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footer1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0.xml" ContentType="application/vnd.openxmlformats-officedocument.wordprocessingml.header+xml"/>
  <Override PartName="/word/footer2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3.xml" ContentType="application/vnd.openxmlformats-officedocument.wordprocessingml.header+xml"/>
  <Override PartName="/word/footer2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6.xml" ContentType="application/vnd.openxmlformats-officedocument.wordprocessingml.header+xml"/>
  <Override PartName="/word/footer26.xml" ContentType="application/vnd.openxmlformats-officedocument.wordprocessingml.footer+xml"/>
  <Override PartName="/word/header37.xml" ContentType="application/vnd.openxmlformats-officedocument.wordprocessingml.header+xml"/>
  <Override PartName="/word/footer27.xml" ContentType="application/vnd.openxmlformats-officedocument.wordprocessingml.footer+xml"/>
  <Override PartName="/word/header38.xml" ContentType="application/vnd.openxmlformats-officedocument.wordprocessingml.header+xml"/>
  <Override PartName="/word/footer28.xml" ContentType="application/vnd.openxmlformats-officedocument.wordprocessingml.footer+xml"/>
  <Override PartName="/word/header39.xml" ContentType="application/vnd.openxmlformats-officedocument.wordprocessingml.header+xml"/>
  <Override PartName="/word/footer29.xml" ContentType="application/vnd.openxmlformats-officedocument.wordprocessingml.footer+xml"/>
  <Override PartName="/word/header40.xml" ContentType="application/vnd.openxmlformats-officedocument.wordprocessingml.header+xml"/>
  <Override PartName="/word/footer3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1.xml" ContentType="application/vnd.openxmlformats-officedocument.wordprocessingml.footer+xml"/>
  <Override PartName="/word/header43.xml" ContentType="application/vnd.openxmlformats-officedocument.wordprocessingml.header+xml"/>
  <Override PartName="/word/footer3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8.xml" ContentType="application/vnd.openxmlformats-officedocument.wordprocessingml.footer+xml"/>
  <Override PartName="/word/header57.xml" ContentType="application/vnd.openxmlformats-officedocument.wordprocessingml.header+xml"/>
  <Override PartName="/word/footer39.xml" ContentType="application/vnd.openxmlformats-officedocument.wordprocessingml.footer+xml"/>
  <Override PartName="/word/header58.xml" ContentType="application/vnd.openxmlformats-officedocument.wordprocessingml.header+xml"/>
  <Override PartName="/word/footer40.xml" ContentType="application/vnd.openxmlformats-officedocument.wordprocessingml.footer+xml"/>
  <Override PartName="/word/header59.xml" ContentType="application/vnd.openxmlformats-officedocument.wordprocessingml.header+xml"/>
  <Override PartName="/word/footer4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2.xml" ContentType="application/vnd.openxmlformats-officedocument.wordprocessingml.footer+xml"/>
  <Override PartName="/word/header62.xml" ContentType="application/vnd.openxmlformats-officedocument.wordprocessingml.header+xml"/>
  <Override PartName="/word/footer4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0538" w:rsidRDefault="00640538" w:rsidP="00D900D1">
      <w:pPr>
        <w:jc w:val="right"/>
        <w:rPr>
          <w:rFonts w:cs="Arial"/>
          <w:b/>
          <w:bCs/>
          <w:color w:val="FFFFFF"/>
          <w:sz w:val="28"/>
        </w:rPr>
      </w:pPr>
    </w:p>
    <w:p w:rsidR="00D900D1" w:rsidRDefault="00D900D1" w:rsidP="00D900D1">
      <w:pPr>
        <w:jc w:val="right"/>
        <w:rPr>
          <w:rFonts w:cs="Arial"/>
          <w:b/>
          <w:bCs/>
          <w:sz w:val="28"/>
        </w:rPr>
      </w:pPr>
      <w:r>
        <w:rPr>
          <w:noProof/>
        </w:rPr>
        <w:drawing>
          <wp:anchor distT="0" distB="0" distL="114300" distR="114300" simplePos="0" relativeHeight="251698176" behindDoc="0" locked="0" layoutInCell="1" allowOverlap="1">
            <wp:simplePos x="0" y="0"/>
            <wp:positionH relativeFrom="column">
              <wp:posOffset>-342900</wp:posOffset>
            </wp:positionH>
            <wp:positionV relativeFrom="paragraph">
              <wp:posOffset>-457200</wp:posOffset>
            </wp:positionV>
            <wp:extent cx="2286000" cy="2057400"/>
            <wp:effectExtent l="0" t="0" r="0" b="0"/>
            <wp:wrapNone/>
            <wp:docPr id="50" name="Picture 50" descr="MCA logo 2013 with spacing - Print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CA logo 2013 with spacing - Print Lar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pic:spPr>
                </pic:pic>
              </a:graphicData>
            </a:graphic>
            <wp14:sizeRelH relativeFrom="page">
              <wp14:pctWidth>0</wp14:pctWidth>
            </wp14:sizeRelH>
            <wp14:sizeRelV relativeFrom="page">
              <wp14:pctHeight>0</wp14:pctHeight>
            </wp14:sizeRelV>
          </wp:anchor>
        </w:drawing>
      </w:r>
      <w:r>
        <w:rPr>
          <w:rFonts w:cs="Arial"/>
          <w:b/>
          <w:bCs/>
          <w:color w:val="FFFFFF"/>
          <w:sz w:val="28"/>
        </w:rPr>
        <w:t xml:space="preserve"> </w:t>
      </w:r>
      <w:r>
        <w:rPr>
          <w:rFonts w:cs="Arial"/>
          <w:b/>
          <w:bCs/>
          <w:sz w:val="28"/>
        </w:rPr>
        <w:t>MERCHANT SHIPPING NOTICE</w:t>
      </w:r>
    </w:p>
    <w:p w:rsidR="00D900D1" w:rsidRDefault="00D900D1" w:rsidP="00D900D1">
      <w:pPr>
        <w:jc w:val="right"/>
        <w:rPr>
          <w:rFonts w:cs="Arial"/>
          <w:b/>
          <w:bCs/>
          <w:sz w:val="52"/>
        </w:rPr>
      </w:pPr>
      <w:r>
        <w:rPr>
          <w:rFonts w:ascii="Times New Roman" w:hAnsi="Times New Roman"/>
          <w:noProof/>
        </w:rPr>
        <mc:AlternateContent>
          <mc:Choice Requires="wps">
            <w:drawing>
              <wp:anchor distT="0" distB="0" distL="114300" distR="114300" simplePos="0" relativeHeight="251697152" behindDoc="0" locked="0" layoutInCell="1" allowOverlap="1">
                <wp:simplePos x="0" y="0"/>
                <wp:positionH relativeFrom="column">
                  <wp:posOffset>462915</wp:posOffset>
                </wp:positionH>
                <wp:positionV relativeFrom="paragraph">
                  <wp:posOffset>114300</wp:posOffset>
                </wp:positionV>
                <wp:extent cx="342900" cy="4572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0AC1" w:rsidRDefault="00C60AC1" w:rsidP="00D900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36.45pt;margin-top:9pt;width:27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" filled="f" stroked="f">
                <v:textbox>
                  <w:txbxContent>
                    <w:p w:rsidR="00C60AC1" w:rsidRDefault="00C60AC1" w:rsidP="00D900D1"/>
                  </w:txbxContent>
                </v:textbox>
              </v:shape>
            </w:pict>
          </mc:Fallback>
        </mc:AlternateContent>
      </w:r>
    </w:p>
    <w:p w:rsidR="00640538" w:rsidRDefault="00640538" w:rsidP="00D900D1">
      <w:pPr>
        <w:jc w:val="right"/>
        <w:rPr>
          <w:rFonts w:cs="Arial"/>
          <w:b/>
          <w:bCs/>
          <w:sz w:val="52"/>
          <w:szCs w:val="52"/>
        </w:rPr>
      </w:pPr>
      <w:r w:rsidRPr="00640538">
        <w:rPr>
          <w:rFonts w:cs="Arial"/>
          <w:b/>
          <w:bCs/>
          <w:sz w:val="52"/>
          <w:szCs w:val="52"/>
        </w:rPr>
        <w:t>MSN 1880 (M)</w:t>
      </w:r>
    </w:p>
    <w:p w:rsidR="00562445" w:rsidRDefault="00562445" w:rsidP="00D900D1">
      <w:pPr>
        <w:jc w:val="right"/>
        <w:rPr>
          <w:rFonts w:cs="Arial"/>
          <w:b/>
          <w:bCs/>
          <w:sz w:val="52"/>
          <w:szCs w:val="52"/>
        </w:rPr>
      </w:pPr>
    </w:p>
    <w:p w:rsidR="00D900D1" w:rsidRDefault="00640538" w:rsidP="00D900D1">
      <w:pPr>
        <w:pStyle w:val="NormalWeb"/>
        <w:spacing w:before="0" w:after="0"/>
        <w:rPr>
          <w:rFonts w:ascii="Arial" w:hAnsi="Arial" w:cs="Arial"/>
          <w:sz w:val="24"/>
          <w:lang w:val="en-GB"/>
        </w:rPr>
      </w:pPr>
      <w:r>
        <w:rPr>
          <w:rFonts w:ascii="Arial" w:hAnsi="Arial" w:cs="Arial"/>
          <w:sz w:val="24"/>
          <w:lang w:val="en-GB"/>
        </w:rPr>
        <w:t>M</w:t>
      </w:r>
    </w:p>
    <w:p w:rsidR="00640538" w:rsidRDefault="00640538" w:rsidP="00D900D1">
      <w:pPr>
        <w:pStyle w:val="NormalWeb"/>
        <w:spacing w:before="0" w:after="0"/>
        <w:rPr>
          <w:rFonts w:ascii="Arial" w:hAnsi="Arial" w:cs="Arial"/>
          <w:lang w:val="en-GB"/>
        </w:rPr>
      </w:pPr>
    </w:p>
    <w:tbl>
      <w:tblPr>
        <w:tblW w:w="9360" w:type="dxa"/>
        <w:tblInd w:w="108" w:type="dxa"/>
        <w:tblBorders>
          <w:top w:val="thinThickThinSmallGap" w:sz="24" w:space="0" w:color="auto"/>
          <w:bottom w:val="thinThickThinSmallGap" w:sz="24" w:space="0" w:color="auto"/>
        </w:tblBorders>
        <w:tblLayout w:type="fixed"/>
        <w:tblLook w:val="04A0" w:firstRow="1" w:lastRow="0" w:firstColumn="1" w:lastColumn="0" w:noHBand="0" w:noVBand="1"/>
      </w:tblPr>
      <w:tblGrid>
        <w:gridCol w:w="9360"/>
      </w:tblGrid>
      <w:tr w:rsidR="00D900D1" w:rsidRPr="0033103A" w:rsidTr="00D900D1">
        <w:tc>
          <w:tcPr>
            <w:tcW w:w="9360" w:type="dxa"/>
            <w:tcBorders>
              <w:top w:val="thinThickThinSmallGap" w:sz="24" w:space="0" w:color="auto"/>
              <w:left w:val="nil"/>
              <w:bottom w:val="thinThickThinSmallGap" w:sz="24" w:space="0" w:color="auto"/>
              <w:right w:val="nil"/>
            </w:tcBorders>
          </w:tcPr>
          <w:p w:rsidR="00D900D1" w:rsidRPr="0033103A" w:rsidRDefault="00D900D1">
            <w:pPr>
              <w:rPr>
                <w:rFonts w:cs="Arial"/>
                <w:b/>
                <w:bCs/>
                <w:sz w:val="22"/>
                <w:lang w:val="en-GB"/>
              </w:rPr>
            </w:pPr>
          </w:p>
          <w:p w:rsidR="00D900D1" w:rsidRPr="0033103A" w:rsidRDefault="00D900D1" w:rsidP="00F62827">
            <w:pPr>
              <w:ind w:left="0" w:firstLine="0"/>
              <w:rPr>
                <w:rFonts w:cs="Arial"/>
                <w:b/>
                <w:bCs/>
                <w:sz w:val="36"/>
                <w:szCs w:val="36"/>
                <w:lang w:val="en-GB"/>
              </w:rPr>
            </w:pPr>
            <w:r w:rsidRPr="0033103A">
              <w:rPr>
                <w:rFonts w:cs="Arial"/>
                <w:b/>
                <w:bCs/>
                <w:sz w:val="36"/>
                <w:szCs w:val="36"/>
                <w:lang w:val="en-GB"/>
              </w:rPr>
              <w:t>Directive (EU) 2016/1629 – Laying Down Technical Requirements for Inland Waterway Vessels</w:t>
            </w:r>
          </w:p>
          <w:p w:rsidR="00D900D1" w:rsidRPr="0033103A" w:rsidRDefault="00D900D1">
            <w:pPr>
              <w:rPr>
                <w:rFonts w:cs="Arial"/>
                <w:b/>
                <w:sz w:val="22"/>
                <w:lang w:val="en-GB"/>
              </w:rPr>
            </w:pPr>
          </w:p>
          <w:p w:rsidR="00D900D1" w:rsidRPr="0033103A" w:rsidRDefault="00D900D1">
            <w:pPr>
              <w:pStyle w:val="BodyText3"/>
              <w:rPr>
                <w:rFonts w:cs="Arial"/>
                <w:b/>
                <w:sz w:val="36"/>
                <w:szCs w:val="36"/>
                <w:lang w:val="en-GB"/>
              </w:rPr>
            </w:pPr>
            <w:r w:rsidRPr="0033103A">
              <w:rPr>
                <w:b/>
                <w:sz w:val="36"/>
                <w:szCs w:val="36"/>
                <w:lang w:val="en-GB"/>
              </w:rPr>
              <w:t xml:space="preserve">Technical Requirements of Annex II </w:t>
            </w:r>
          </w:p>
          <w:p w:rsidR="00D900D1" w:rsidRPr="0033103A" w:rsidRDefault="00D900D1">
            <w:pPr>
              <w:pStyle w:val="BodyText3"/>
              <w:rPr>
                <w:sz w:val="24"/>
                <w:szCs w:val="22"/>
                <w:lang w:val="en-GB"/>
              </w:rPr>
            </w:pPr>
          </w:p>
          <w:p w:rsidR="00D900D1" w:rsidRPr="0033103A" w:rsidRDefault="00D900D1" w:rsidP="00F62827">
            <w:pPr>
              <w:pStyle w:val="BodyText3"/>
              <w:ind w:left="0" w:firstLine="0"/>
              <w:rPr>
                <w:b/>
                <w:bCs/>
                <w:sz w:val="22"/>
                <w:szCs w:val="22"/>
                <w:lang w:val="en-GB"/>
              </w:rPr>
            </w:pPr>
            <w:r w:rsidRPr="0033103A">
              <w:rPr>
                <w:bCs/>
                <w:sz w:val="22"/>
                <w:szCs w:val="22"/>
                <w:lang w:val="en-GB"/>
              </w:rPr>
              <w:t>Notice to all owners and operators of inland waterway vessels, and navigation and harbour authorities</w:t>
            </w:r>
          </w:p>
          <w:p w:rsidR="00D900D1" w:rsidRPr="0033103A" w:rsidRDefault="00D900D1">
            <w:pPr>
              <w:rPr>
                <w:rFonts w:cs="Arial"/>
                <w:sz w:val="22"/>
                <w:szCs w:val="22"/>
                <w:lang w:val="en-GB"/>
              </w:rPr>
            </w:pPr>
          </w:p>
          <w:p w:rsidR="00D900D1" w:rsidRPr="0033103A" w:rsidRDefault="007328CD">
            <w:pPr>
              <w:rPr>
                <w:rFonts w:cs="Arial"/>
                <w:i/>
                <w:iCs/>
                <w:sz w:val="22"/>
                <w:szCs w:val="22"/>
                <w:lang w:val="en-GB"/>
              </w:rPr>
            </w:pPr>
            <w:r w:rsidRPr="0033103A">
              <w:rPr>
                <w:rFonts w:cs="Arial"/>
                <w:i/>
                <w:iCs/>
                <w:sz w:val="22"/>
                <w:szCs w:val="22"/>
                <w:lang w:val="en-GB"/>
              </w:rPr>
              <w:t>This notice should be read in con</w:t>
            </w:r>
            <w:r w:rsidR="0033103A" w:rsidRPr="0033103A">
              <w:rPr>
                <w:rFonts w:cs="Arial"/>
                <w:i/>
                <w:iCs/>
                <w:sz w:val="22"/>
                <w:szCs w:val="22"/>
                <w:lang w:val="en-GB"/>
              </w:rPr>
              <w:t>j</w:t>
            </w:r>
            <w:r w:rsidRPr="0033103A">
              <w:rPr>
                <w:rFonts w:cs="Arial"/>
                <w:i/>
                <w:iCs/>
                <w:sz w:val="22"/>
                <w:szCs w:val="22"/>
                <w:lang w:val="en-GB"/>
              </w:rPr>
              <w:t xml:space="preserve">unction with </w:t>
            </w:r>
            <w:r w:rsidR="00D900D1" w:rsidRPr="0033103A">
              <w:rPr>
                <w:rFonts w:cs="Arial"/>
                <w:i/>
                <w:iCs/>
                <w:sz w:val="22"/>
                <w:szCs w:val="22"/>
                <w:lang w:val="en-GB"/>
              </w:rPr>
              <w:t>MSN 1879</w:t>
            </w:r>
            <w:r w:rsidRPr="0033103A">
              <w:rPr>
                <w:rFonts w:cs="Arial"/>
                <w:i/>
                <w:iCs/>
                <w:sz w:val="22"/>
                <w:szCs w:val="22"/>
                <w:lang w:val="en-GB"/>
              </w:rPr>
              <w:t xml:space="preserve"> and MSN 1881</w:t>
            </w:r>
          </w:p>
          <w:p w:rsidR="00D900D1" w:rsidRPr="0033103A" w:rsidRDefault="00D900D1">
            <w:pPr>
              <w:rPr>
                <w:rFonts w:cs="Arial"/>
                <w:i/>
                <w:iCs/>
                <w:sz w:val="22"/>
                <w:lang w:val="en-GB"/>
              </w:rPr>
            </w:pPr>
          </w:p>
          <w:p w:rsidR="00D900D1" w:rsidRPr="0033103A" w:rsidRDefault="00D900D1">
            <w:pPr>
              <w:rPr>
                <w:rFonts w:cs="Arial"/>
                <w:i/>
                <w:iCs/>
                <w:sz w:val="22"/>
                <w:lang w:val="en-GB"/>
              </w:rPr>
            </w:pPr>
          </w:p>
        </w:tc>
      </w:tr>
    </w:tbl>
    <w:p w:rsidR="00D900D1" w:rsidRPr="0033103A" w:rsidRDefault="00D900D1" w:rsidP="00D900D1">
      <w:pPr>
        <w:rPr>
          <w:rFonts w:cs="Arial"/>
          <w:bCs/>
          <w:sz w:val="22"/>
          <w:szCs w:val="22"/>
          <w:lang w:val="en-GB" w:eastAsia="en-US"/>
        </w:rPr>
      </w:pPr>
      <w:bookmarkStart w:id="0" w:name="FileRef"/>
      <w:bookmarkEnd w:id="0"/>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60"/>
      </w:tblGrid>
      <w:tr w:rsidR="00D900D1" w:rsidRPr="0033103A" w:rsidTr="00D900D1">
        <w:tc>
          <w:tcPr>
            <w:tcW w:w="9360" w:type="dxa"/>
            <w:tcBorders>
              <w:top w:val="single" w:sz="4" w:space="0" w:color="auto"/>
              <w:left w:val="single" w:sz="4" w:space="0" w:color="auto"/>
              <w:bottom w:val="single" w:sz="4" w:space="0" w:color="auto"/>
              <w:right w:val="single" w:sz="4" w:space="0" w:color="auto"/>
            </w:tcBorders>
          </w:tcPr>
          <w:p w:rsidR="00D900D1" w:rsidRPr="0033103A" w:rsidRDefault="00D900D1">
            <w:pPr>
              <w:pStyle w:val="Heading1"/>
              <w:jc w:val="center"/>
              <w:rPr>
                <w:rFonts w:ascii="Arial" w:hAnsi="Arial" w:cs="Arial"/>
                <w:bCs w:val="0"/>
                <w:color w:val="FFFFFF"/>
                <w:sz w:val="22"/>
                <w:szCs w:val="22"/>
                <w:lang w:val="en-GB"/>
              </w:rPr>
            </w:pPr>
            <w:bookmarkStart w:id="1" w:name="DocStart"/>
            <w:bookmarkEnd w:id="1"/>
            <w:r w:rsidRPr="0033103A">
              <w:rPr>
                <w:rFonts w:ascii="Arial" w:hAnsi="Arial" w:cs="Arial"/>
                <w:sz w:val="22"/>
                <w:szCs w:val="22"/>
                <w:lang w:val="en-GB"/>
              </w:rPr>
              <w:t>Summary</w:t>
            </w:r>
          </w:p>
          <w:p w:rsidR="00D900D1" w:rsidRPr="0033103A" w:rsidRDefault="00D900D1">
            <w:pPr>
              <w:rPr>
                <w:rFonts w:cs="Arial"/>
                <w:color w:val="FFFFFF"/>
                <w:sz w:val="22"/>
                <w:szCs w:val="22"/>
                <w:lang w:val="en-GB"/>
              </w:rPr>
            </w:pPr>
            <w:r w:rsidRPr="0033103A">
              <w:rPr>
                <w:rFonts w:cs="Arial"/>
                <w:color w:val="FFFFFF"/>
                <w:sz w:val="22"/>
                <w:szCs w:val="22"/>
                <w:lang w:val="en-GB"/>
              </w:rPr>
              <w:t>.</w:t>
            </w:r>
          </w:p>
          <w:p w:rsidR="00D900D1" w:rsidRPr="0033103A" w:rsidRDefault="00F62827" w:rsidP="00816385">
            <w:pPr>
              <w:ind w:left="0" w:firstLine="0"/>
              <w:rPr>
                <w:rFonts w:cs="Arial"/>
                <w:sz w:val="22"/>
                <w:lang w:val="en-GB"/>
              </w:rPr>
            </w:pPr>
            <w:r w:rsidRPr="0033103A">
              <w:rPr>
                <w:rFonts w:cs="Arial"/>
                <w:sz w:val="22"/>
                <w:lang w:val="en-GB"/>
              </w:rPr>
              <w:t xml:space="preserve">The </w:t>
            </w:r>
            <w:r w:rsidR="00D900D1" w:rsidRPr="0033103A">
              <w:rPr>
                <w:rFonts w:cs="Arial"/>
                <w:sz w:val="22"/>
                <w:lang w:val="en-GB"/>
              </w:rPr>
              <w:t xml:space="preserve">purpose of this Merchant Shipping Notice is to set out the technical requirements </w:t>
            </w:r>
            <w:r w:rsidR="00FD3D3D" w:rsidRPr="0033103A">
              <w:rPr>
                <w:rFonts w:cs="Arial"/>
                <w:sz w:val="22"/>
                <w:lang w:val="en-GB"/>
              </w:rPr>
              <w:t>of Annex II to Directive (EU) 2016/1629.</w:t>
            </w:r>
          </w:p>
          <w:p w:rsidR="00D900D1" w:rsidRPr="0033103A" w:rsidRDefault="00D900D1">
            <w:pPr>
              <w:ind w:left="72"/>
              <w:rPr>
                <w:rFonts w:cs="Arial"/>
                <w:sz w:val="22"/>
                <w:lang w:val="en-GB"/>
              </w:rPr>
            </w:pPr>
          </w:p>
          <w:p w:rsidR="00D900D1" w:rsidRPr="0033103A" w:rsidRDefault="00D900D1" w:rsidP="00816385">
            <w:pPr>
              <w:ind w:left="0" w:firstLine="0"/>
              <w:rPr>
                <w:rFonts w:cs="Arial"/>
                <w:sz w:val="22"/>
                <w:lang w:val="en-GB"/>
              </w:rPr>
            </w:pPr>
            <w:r w:rsidRPr="0033103A">
              <w:rPr>
                <w:rFonts w:cs="Arial"/>
                <w:sz w:val="22"/>
                <w:lang w:val="en-GB"/>
              </w:rPr>
              <w:t>This Merchant Shipping Notice also provides background information concerning the amendment process for Annex II of Directive (EU) 2016/1629.</w:t>
            </w:r>
          </w:p>
          <w:p w:rsidR="00D900D1" w:rsidRPr="0033103A" w:rsidRDefault="00D900D1">
            <w:pPr>
              <w:ind w:left="72"/>
              <w:rPr>
                <w:rFonts w:cs="Arial"/>
                <w:sz w:val="22"/>
                <w:lang w:val="en-GB"/>
              </w:rPr>
            </w:pPr>
          </w:p>
        </w:tc>
      </w:tr>
    </w:tbl>
    <w:p w:rsidR="00D900D1" w:rsidRPr="0033103A" w:rsidRDefault="00D900D1" w:rsidP="00D900D1">
      <w:pPr>
        <w:rPr>
          <w:rFonts w:cs="Arial"/>
          <w:b/>
          <w:sz w:val="22"/>
          <w:szCs w:val="22"/>
          <w:lang w:val="en-GB" w:eastAsia="en-US"/>
        </w:rPr>
      </w:pPr>
    </w:p>
    <w:p w:rsidR="00D900D1" w:rsidRDefault="00D900D1" w:rsidP="00D900D1">
      <w:pPr>
        <w:rPr>
          <w:rFonts w:cs="Arial"/>
          <w:b/>
          <w:sz w:val="22"/>
          <w:szCs w:val="22"/>
          <w:lang w:val="en-GB"/>
        </w:rPr>
      </w:pPr>
    </w:p>
    <w:p w:rsidR="00273268" w:rsidRDefault="00273268" w:rsidP="00273268">
      <w:pPr>
        <w:rPr>
          <w:rFonts w:cs="Arial"/>
          <w:b/>
          <w:lang w:val="en-GB"/>
        </w:rPr>
      </w:pPr>
    </w:p>
    <w:p w:rsidR="00273268" w:rsidRDefault="00273268" w:rsidP="00273268">
      <w:pPr>
        <w:rPr>
          <w:rFonts w:cs="Arial"/>
          <w:b/>
          <w:sz w:val="22"/>
          <w:szCs w:val="22"/>
          <w:lang w:val="en-GB"/>
        </w:rPr>
      </w:pPr>
      <w:r w:rsidRPr="00273268">
        <w:rPr>
          <w:rFonts w:cs="Arial"/>
          <w:b/>
          <w:sz w:val="22"/>
          <w:szCs w:val="22"/>
          <w:lang w:val="en-GB"/>
        </w:rPr>
        <w:t>1.</w:t>
      </w:r>
      <w:r w:rsidRPr="00273268">
        <w:rPr>
          <w:rFonts w:cs="Arial"/>
          <w:b/>
          <w:sz w:val="22"/>
          <w:szCs w:val="22"/>
          <w:lang w:val="en-GB"/>
        </w:rPr>
        <w:tab/>
        <w:t>B</w:t>
      </w:r>
      <w:r>
        <w:rPr>
          <w:rFonts w:cs="Arial"/>
          <w:b/>
          <w:sz w:val="22"/>
          <w:szCs w:val="22"/>
          <w:lang w:val="en-GB"/>
        </w:rPr>
        <w:t>ackground</w:t>
      </w:r>
    </w:p>
    <w:p w:rsidR="00273268" w:rsidRDefault="00273268" w:rsidP="00273268">
      <w:pPr>
        <w:rPr>
          <w:rFonts w:cs="Arial"/>
          <w:b/>
          <w:sz w:val="22"/>
          <w:szCs w:val="22"/>
          <w:lang w:val="en-GB"/>
        </w:rPr>
      </w:pPr>
    </w:p>
    <w:p w:rsidR="00273268" w:rsidRDefault="00273268" w:rsidP="00273268">
      <w:pPr>
        <w:rPr>
          <w:rFonts w:cs="Arial"/>
          <w:sz w:val="22"/>
          <w:szCs w:val="22"/>
          <w:lang w:val="en-GB"/>
        </w:rPr>
      </w:pPr>
      <w:r>
        <w:rPr>
          <w:rFonts w:cs="Arial"/>
          <w:sz w:val="22"/>
          <w:szCs w:val="22"/>
          <w:lang w:val="en-GB"/>
        </w:rPr>
        <w:t>1.1</w:t>
      </w:r>
      <w:r>
        <w:rPr>
          <w:rFonts w:cs="Arial"/>
          <w:sz w:val="22"/>
          <w:szCs w:val="22"/>
          <w:lang w:val="en-GB"/>
        </w:rPr>
        <w:tab/>
        <w:t xml:space="preserve">The purpose of this Merchant Shipping Notice is to set out the technical requirements of Annex II as defined in regulation 3(a)(iv) of the </w:t>
      </w:r>
      <w:r>
        <w:rPr>
          <w:rFonts w:cs="Arial"/>
          <w:sz w:val="22"/>
          <w:szCs w:val="22"/>
          <w:lang w:val="en-GB"/>
        </w:rPr>
        <w:tab/>
        <w:t>Merchant Shipping (Technical Requirements for Inland Waterway Vessels) (Amendment) Regulations 2018 (which amends regulation 2(1) of the Merchant Shipping (Technical Requirements for Inland Waterway Vessels) Regulations 2010) (S.I. 2010/1075).</w:t>
      </w:r>
    </w:p>
    <w:p w:rsidR="00273268" w:rsidRDefault="00273268" w:rsidP="00273268">
      <w:pPr>
        <w:rPr>
          <w:rFonts w:cs="Arial"/>
          <w:sz w:val="22"/>
          <w:szCs w:val="22"/>
          <w:lang w:val="en-GB"/>
        </w:rPr>
      </w:pPr>
    </w:p>
    <w:p w:rsidR="00273268" w:rsidRDefault="00273268" w:rsidP="00273268">
      <w:pPr>
        <w:rPr>
          <w:rFonts w:cs="Arial"/>
          <w:sz w:val="22"/>
          <w:szCs w:val="22"/>
          <w:lang w:val="en-GB"/>
        </w:rPr>
      </w:pPr>
      <w:r>
        <w:rPr>
          <w:rFonts w:cs="Arial"/>
          <w:sz w:val="22"/>
          <w:szCs w:val="22"/>
          <w:lang w:val="en-GB"/>
        </w:rPr>
        <w:t>1.2</w:t>
      </w:r>
      <w:r>
        <w:rPr>
          <w:rFonts w:cs="Arial"/>
          <w:sz w:val="22"/>
          <w:szCs w:val="22"/>
          <w:lang w:val="en-GB"/>
        </w:rPr>
        <w:tab/>
        <w:t>The objective of publishing this Merchant Shipping Notice is to inform the operators of inland waterway vessels that intend to operate on the waterway network of mainland Europe what certification they need to carry for their vessel in order to comply with Directive (EU) 2016/1629 (“the Directive”).</w:t>
      </w:r>
    </w:p>
    <w:p w:rsidR="00273268" w:rsidRDefault="00273268" w:rsidP="00273268">
      <w:pPr>
        <w:rPr>
          <w:rFonts w:cs="Arial"/>
          <w:sz w:val="22"/>
          <w:szCs w:val="22"/>
          <w:lang w:val="en-GB"/>
        </w:rPr>
      </w:pPr>
    </w:p>
    <w:p w:rsidR="00273268" w:rsidRPr="00273268" w:rsidRDefault="00273268" w:rsidP="00273268">
      <w:pPr>
        <w:rPr>
          <w:rFonts w:cs="Arial"/>
          <w:sz w:val="22"/>
          <w:szCs w:val="22"/>
          <w:lang w:val="en-GB"/>
        </w:rPr>
      </w:pPr>
      <w:r>
        <w:rPr>
          <w:rFonts w:cs="Arial"/>
          <w:sz w:val="22"/>
          <w:szCs w:val="22"/>
          <w:lang w:val="en-GB"/>
        </w:rPr>
        <w:lastRenderedPageBreak/>
        <w:t>1.3</w:t>
      </w:r>
      <w:r>
        <w:rPr>
          <w:rFonts w:cs="Arial"/>
          <w:sz w:val="22"/>
          <w:szCs w:val="22"/>
          <w:lang w:val="en-GB"/>
        </w:rPr>
        <w:tab/>
        <w:t xml:space="preserve">Owing to the derogation under Article 24(1)(a) of the Directive, </w:t>
      </w:r>
      <w:r w:rsidR="00CB677F">
        <w:rPr>
          <w:rFonts w:cs="Arial"/>
          <w:sz w:val="22"/>
          <w:szCs w:val="22"/>
          <w:lang w:val="en-GB"/>
        </w:rPr>
        <w:t xml:space="preserve">inland waterway vessels which </w:t>
      </w:r>
      <w:r w:rsidR="00072057">
        <w:rPr>
          <w:rFonts w:cs="Arial"/>
          <w:sz w:val="22"/>
          <w:szCs w:val="22"/>
          <w:lang w:val="en-GB"/>
        </w:rPr>
        <w:t>only operate on inland waterways in</w:t>
      </w:r>
      <w:r w:rsidR="00CB677F">
        <w:rPr>
          <w:rFonts w:cs="Arial"/>
          <w:sz w:val="22"/>
          <w:szCs w:val="22"/>
          <w:lang w:val="en-GB"/>
        </w:rPr>
        <w:t xml:space="preserve"> the UK are not affected by this Merchant Shipping Notice.</w:t>
      </w:r>
      <w:r>
        <w:rPr>
          <w:rFonts w:cs="Arial"/>
          <w:sz w:val="22"/>
          <w:szCs w:val="22"/>
          <w:lang w:val="en-GB"/>
        </w:rPr>
        <w:t xml:space="preserve"> </w:t>
      </w:r>
    </w:p>
    <w:p w:rsidR="00273268" w:rsidRPr="0033103A" w:rsidRDefault="00273268" w:rsidP="00D900D1">
      <w:pPr>
        <w:rPr>
          <w:rFonts w:cs="Arial"/>
          <w:b/>
          <w:sz w:val="22"/>
          <w:szCs w:val="22"/>
          <w:lang w:val="en-GB"/>
        </w:rPr>
      </w:pPr>
    </w:p>
    <w:p w:rsidR="00D900D1" w:rsidRPr="00CB677F" w:rsidRDefault="00CB677F" w:rsidP="00CB677F">
      <w:pPr>
        <w:autoSpaceDE/>
        <w:autoSpaceDN/>
        <w:rPr>
          <w:rFonts w:cs="Arial"/>
          <w:b/>
          <w:sz w:val="22"/>
          <w:szCs w:val="22"/>
          <w:lang w:val="en-GB"/>
        </w:rPr>
      </w:pPr>
      <w:r>
        <w:rPr>
          <w:rFonts w:cs="Arial"/>
          <w:b/>
          <w:sz w:val="22"/>
          <w:szCs w:val="22"/>
          <w:lang w:val="en-GB"/>
        </w:rPr>
        <w:t>2.</w:t>
      </w:r>
      <w:r>
        <w:rPr>
          <w:rFonts w:cs="Arial"/>
          <w:b/>
          <w:sz w:val="22"/>
          <w:szCs w:val="22"/>
          <w:lang w:val="en-GB"/>
        </w:rPr>
        <w:tab/>
      </w:r>
      <w:r w:rsidR="00367800" w:rsidRPr="00CB677F">
        <w:rPr>
          <w:rFonts w:cs="Arial"/>
          <w:b/>
          <w:sz w:val="22"/>
          <w:szCs w:val="22"/>
          <w:lang w:val="en-GB"/>
        </w:rPr>
        <w:t>ES-TRIN (European Standard laying down Technical Requirements for Inland Navigation vessels)</w:t>
      </w:r>
    </w:p>
    <w:p w:rsidR="00D900D1" w:rsidRPr="0033103A" w:rsidRDefault="00D900D1" w:rsidP="00D900D1">
      <w:pPr>
        <w:rPr>
          <w:rFonts w:cs="Arial"/>
          <w:b/>
          <w:sz w:val="22"/>
          <w:szCs w:val="22"/>
          <w:lang w:val="en-GB"/>
        </w:rPr>
      </w:pPr>
    </w:p>
    <w:p w:rsidR="00D900D1" w:rsidRPr="0033103A" w:rsidRDefault="00CB677F" w:rsidP="00CB677F">
      <w:pPr>
        <w:autoSpaceDE/>
        <w:autoSpaceDN/>
        <w:rPr>
          <w:rFonts w:cs="Arial"/>
          <w:sz w:val="22"/>
          <w:szCs w:val="22"/>
          <w:lang w:val="en-GB"/>
        </w:rPr>
      </w:pPr>
      <w:r>
        <w:rPr>
          <w:rFonts w:cs="Arial"/>
          <w:sz w:val="22"/>
          <w:szCs w:val="22"/>
          <w:lang w:val="en-GB"/>
        </w:rPr>
        <w:t>2.1</w:t>
      </w:r>
      <w:r>
        <w:rPr>
          <w:rFonts w:cs="Arial"/>
          <w:sz w:val="22"/>
          <w:szCs w:val="22"/>
          <w:lang w:val="en-GB"/>
        </w:rPr>
        <w:tab/>
      </w:r>
      <w:r w:rsidR="00D900D1" w:rsidRPr="0033103A">
        <w:rPr>
          <w:rFonts w:cs="Arial"/>
          <w:sz w:val="22"/>
          <w:szCs w:val="22"/>
          <w:lang w:val="en-GB"/>
        </w:rPr>
        <w:t xml:space="preserve">MSN 1879 explains that one of the main reasons for repealing Directive 2006/87/EC was so that a regulatory regime could be incorporated into a new Directive </w:t>
      </w:r>
      <w:r w:rsidR="00985D34">
        <w:rPr>
          <w:rFonts w:cs="Arial"/>
          <w:sz w:val="22"/>
          <w:szCs w:val="22"/>
          <w:lang w:val="en-GB"/>
        </w:rPr>
        <w:t>(</w:t>
      </w:r>
      <w:r w:rsidR="00D900D1" w:rsidRPr="0033103A">
        <w:rPr>
          <w:rFonts w:cs="Arial"/>
          <w:sz w:val="22"/>
          <w:szCs w:val="22"/>
          <w:lang w:val="en-GB"/>
        </w:rPr>
        <w:t xml:space="preserve">the Directive) which would allow an international body to be established to draw up technical standards for inland waterway vessels to be applied in the EU, as well as on the Rhine under the auspices of the Central Commission for Navigation on the Rhine (CCNR).   </w:t>
      </w:r>
    </w:p>
    <w:p w:rsidR="00D900D1" w:rsidRPr="0033103A" w:rsidRDefault="00D900D1" w:rsidP="00D900D1">
      <w:pPr>
        <w:rPr>
          <w:rFonts w:cs="Arial"/>
          <w:sz w:val="22"/>
          <w:szCs w:val="22"/>
          <w:lang w:val="en-GB"/>
        </w:rPr>
      </w:pPr>
    </w:p>
    <w:p w:rsidR="00D900D1" w:rsidRPr="0033103A" w:rsidRDefault="00985D34" w:rsidP="00985D34">
      <w:pPr>
        <w:autoSpaceDE/>
        <w:autoSpaceDN/>
        <w:rPr>
          <w:rFonts w:cs="Arial"/>
          <w:sz w:val="22"/>
          <w:szCs w:val="22"/>
          <w:lang w:val="en-GB"/>
        </w:rPr>
      </w:pPr>
      <w:r>
        <w:rPr>
          <w:rFonts w:cs="Arial"/>
          <w:sz w:val="22"/>
          <w:szCs w:val="22"/>
          <w:lang w:val="en-GB"/>
        </w:rPr>
        <w:t>2.2</w:t>
      </w:r>
      <w:r>
        <w:rPr>
          <w:rFonts w:cs="Arial"/>
          <w:sz w:val="22"/>
          <w:szCs w:val="22"/>
          <w:lang w:val="en-GB"/>
        </w:rPr>
        <w:tab/>
      </w:r>
      <w:r w:rsidR="00D900D1" w:rsidRPr="0033103A">
        <w:rPr>
          <w:rFonts w:cs="Arial"/>
          <w:sz w:val="22"/>
          <w:szCs w:val="22"/>
          <w:lang w:val="en-GB"/>
        </w:rPr>
        <w:t>The international body is known as CESNI (</w:t>
      </w:r>
      <w:r w:rsidR="00D900D1" w:rsidRPr="0033103A">
        <w:rPr>
          <w:rFonts w:cs="Arial"/>
          <w:i/>
          <w:sz w:val="22"/>
          <w:szCs w:val="22"/>
          <w:lang w:val="en-GB"/>
        </w:rPr>
        <w:t>Comité européan pour les standards dans le domaine de la navigation intérieure</w:t>
      </w:r>
      <w:r w:rsidR="00D900D1" w:rsidRPr="0033103A">
        <w:rPr>
          <w:rFonts w:cs="Arial"/>
          <w:sz w:val="22"/>
          <w:szCs w:val="22"/>
          <w:lang w:val="en-GB"/>
        </w:rPr>
        <w:t xml:space="preserve">) and is administered by the CCNR. CESNI is open to attendance by Member States of the EU and CCNR. CESNI adopted its first international standard (ES-TRIN 2015/1) </w:t>
      </w:r>
      <w:r>
        <w:rPr>
          <w:rFonts w:cs="Arial"/>
          <w:sz w:val="22"/>
          <w:szCs w:val="22"/>
          <w:lang w:val="en-GB"/>
        </w:rPr>
        <w:t>on 16</w:t>
      </w:r>
      <w:r w:rsidRPr="00985D34">
        <w:rPr>
          <w:rFonts w:cs="Arial"/>
          <w:sz w:val="22"/>
          <w:szCs w:val="22"/>
          <w:vertAlign w:val="superscript"/>
          <w:lang w:val="en-GB"/>
        </w:rPr>
        <w:t>th</w:t>
      </w:r>
      <w:r>
        <w:rPr>
          <w:rFonts w:cs="Arial"/>
          <w:sz w:val="22"/>
          <w:szCs w:val="22"/>
          <w:lang w:val="en-GB"/>
        </w:rPr>
        <w:t xml:space="preserve"> November 2015 and</w:t>
      </w:r>
      <w:r w:rsidR="00D900D1" w:rsidRPr="0033103A">
        <w:rPr>
          <w:rFonts w:cs="Arial"/>
          <w:sz w:val="22"/>
          <w:szCs w:val="22"/>
          <w:lang w:val="en-GB"/>
        </w:rPr>
        <w:t xml:space="preserve"> a reference to that standard </w:t>
      </w:r>
      <w:r>
        <w:rPr>
          <w:rFonts w:cs="Arial"/>
          <w:sz w:val="22"/>
          <w:szCs w:val="22"/>
          <w:lang w:val="en-GB"/>
        </w:rPr>
        <w:t>was i</w:t>
      </w:r>
      <w:r w:rsidR="00D900D1" w:rsidRPr="0033103A">
        <w:rPr>
          <w:rFonts w:cs="Arial"/>
          <w:sz w:val="22"/>
          <w:szCs w:val="22"/>
          <w:lang w:val="en-GB"/>
        </w:rPr>
        <w:t xml:space="preserve">ncluded in Annex II to the Directive at the time of </w:t>
      </w:r>
      <w:r>
        <w:rPr>
          <w:rFonts w:cs="Arial"/>
          <w:sz w:val="22"/>
          <w:szCs w:val="22"/>
          <w:lang w:val="en-GB"/>
        </w:rPr>
        <w:t>the Directive’s</w:t>
      </w:r>
      <w:r w:rsidR="00D900D1" w:rsidRPr="0033103A">
        <w:rPr>
          <w:rFonts w:cs="Arial"/>
          <w:sz w:val="22"/>
          <w:szCs w:val="22"/>
          <w:lang w:val="en-GB"/>
        </w:rPr>
        <w:t xml:space="preserve"> publication on 14 September 2016</w:t>
      </w:r>
      <w:r>
        <w:rPr>
          <w:rFonts w:cs="Arial"/>
          <w:sz w:val="22"/>
          <w:szCs w:val="22"/>
          <w:lang w:val="en-GB"/>
        </w:rPr>
        <w:t xml:space="preserve"> (Annex II to the Directive reads: “The technical requirements applicable to craft are those set out in ES-TRIN standard 2015/1”). </w:t>
      </w:r>
    </w:p>
    <w:p w:rsidR="00D900D1" w:rsidRPr="0033103A" w:rsidRDefault="00D900D1" w:rsidP="00D900D1">
      <w:pPr>
        <w:pStyle w:val="ListParagraph"/>
        <w:rPr>
          <w:rFonts w:ascii="Arial" w:hAnsi="Arial" w:cs="Arial"/>
          <w:lang w:val="en-GB"/>
        </w:rPr>
      </w:pPr>
    </w:p>
    <w:p w:rsidR="00D900D1" w:rsidRDefault="00985D34" w:rsidP="00985D34">
      <w:pPr>
        <w:autoSpaceDE/>
        <w:autoSpaceDN/>
        <w:rPr>
          <w:rFonts w:cs="Arial"/>
          <w:sz w:val="22"/>
          <w:szCs w:val="22"/>
          <w:lang w:val="en-GB"/>
        </w:rPr>
      </w:pPr>
      <w:r>
        <w:rPr>
          <w:rFonts w:cs="Arial"/>
          <w:sz w:val="22"/>
          <w:szCs w:val="22"/>
          <w:lang w:val="en-GB"/>
        </w:rPr>
        <w:t>2.3</w:t>
      </w:r>
      <w:r>
        <w:rPr>
          <w:rFonts w:cs="Arial"/>
          <w:sz w:val="22"/>
          <w:szCs w:val="22"/>
          <w:lang w:val="en-GB"/>
        </w:rPr>
        <w:tab/>
      </w:r>
      <w:r w:rsidR="00D900D1" w:rsidRPr="0033103A">
        <w:rPr>
          <w:rFonts w:cs="Arial"/>
          <w:sz w:val="22"/>
          <w:szCs w:val="22"/>
          <w:lang w:val="en-GB"/>
        </w:rPr>
        <w:t xml:space="preserve">CESNI adopted its second standard (ES-TRIN 2017/1) and it </w:t>
      </w:r>
      <w:r>
        <w:rPr>
          <w:rFonts w:cs="Arial"/>
          <w:sz w:val="22"/>
          <w:szCs w:val="22"/>
          <w:lang w:val="en-GB"/>
        </w:rPr>
        <w:t xml:space="preserve">is </w:t>
      </w:r>
      <w:r w:rsidR="00D900D1" w:rsidRPr="0033103A">
        <w:rPr>
          <w:rFonts w:cs="Arial"/>
          <w:sz w:val="22"/>
          <w:szCs w:val="22"/>
          <w:lang w:val="en-GB"/>
        </w:rPr>
        <w:t>intended that this new standard will apply when the Directive enters into force on 7 October 2018</w:t>
      </w:r>
      <w:r>
        <w:rPr>
          <w:rFonts w:cs="Arial"/>
          <w:sz w:val="22"/>
          <w:szCs w:val="22"/>
          <w:lang w:val="en-GB"/>
        </w:rPr>
        <w:t xml:space="preserve"> (the reference to ES-TRIN 2015/1 in Annex II to the Directive being replaced by delegated act to refer instead to ES-TRIN 2017/1)</w:t>
      </w:r>
      <w:r w:rsidR="00D900D1" w:rsidRPr="0033103A">
        <w:rPr>
          <w:rFonts w:cs="Arial"/>
          <w:sz w:val="22"/>
          <w:szCs w:val="22"/>
          <w:lang w:val="en-GB"/>
        </w:rPr>
        <w:t>.</w:t>
      </w:r>
    </w:p>
    <w:p w:rsidR="00985D34" w:rsidRDefault="00985D34" w:rsidP="00985D34">
      <w:pPr>
        <w:autoSpaceDE/>
        <w:autoSpaceDN/>
        <w:rPr>
          <w:rFonts w:cs="Arial"/>
          <w:sz w:val="22"/>
          <w:szCs w:val="22"/>
          <w:lang w:val="en-GB"/>
        </w:rPr>
      </w:pPr>
    </w:p>
    <w:p w:rsidR="00985D34" w:rsidRDefault="00985D34" w:rsidP="00985D34">
      <w:pPr>
        <w:autoSpaceDE/>
        <w:autoSpaceDN/>
        <w:rPr>
          <w:rFonts w:cs="Arial"/>
          <w:sz w:val="22"/>
          <w:szCs w:val="22"/>
          <w:lang w:val="en-GB"/>
        </w:rPr>
      </w:pPr>
      <w:r>
        <w:rPr>
          <w:rFonts w:cs="Arial"/>
          <w:sz w:val="22"/>
          <w:szCs w:val="22"/>
          <w:lang w:val="en-GB"/>
        </w:rPr>
        <w:t>2.4</w:t>
      </w:r>
      <w:r>
        <w:rPr>
          <w:rFonts w:cs="Arial"/>
          <w:sz w:val="22"/>
          <w:szCs w:val="22"/>
          <w:lang w:val="en-GB"/>
        </w:rPr>
        <w:tab/>
        <w:t>The full text of ES-TRIN 2017/1 as amended by Corrigendum 1 (Adopted 1 February 2018) and Corrigendum 2 (adopted 10 April 2018) is set out in the Annex to this Merchant Shipping Notice.</w:t>
      </w:r>
    </w:p>
    <w:p w:rsidR="00C60AC1" w:rsidRDefault="00C60AC1" w:rsidP="00985D34">
      <w:pPr>
        <w:autoSpaceDE/>
        <w:autoSpaceDN/>
        <w:rPr>
          <w:rFonts w:cs="Arial"/>
          <w:sz w:val="22"/>
          <w:szCs w:val="22"/>
          <w:lang w:val="en-GB"/>
        </w:rPr>
      </w:pPr>
    </w:p>
    <w:p w:rsidR="00C60AC1" w:rsidRPr="0033103A" w:rsidRDefault="00C60AC1" w:rsidP="00985D34">
      <w:pPr>
        <w:autoSpaceDE/>
        <w:autoSpaceDN/>
        <w:rPr>
          <w:rFonts w:cs="Arial"/>
          <w:sz w:val="22"/>
          <w:szCs w:val="22"/>
          <w:lang w:val="en-GB"/>
        </w:rPr>
      </w:pPr>
      <w:r>
        <w:rPr>
          <w:rFonts w:cs="Arial"/>
          <w:sz w:val="22"/>
          <w:szCs w:val="22"/>
          <w:lang w:val="en-GB"/>
        </w:rPr>
        <w:t>2.5</w:t>
      </w:r>
      <w:r>
        <w:rPr>
          <w:rFonts w:cs="Arial"/>
          <w:sz w:val="22"/>
          <w:szCs w:val="22"/>
          <w:lang w:val="en-GB"/>
        </w:rPr>
        <w:tab/>
        <w:t xml:space="preserve">Subsequently, the European Commission published Commission Delegated Directive (EU) 2018/970 on 18 April 2018. This amends Annex II of Directive 2016/1629 </w:t>
      </w:r>
      <w:r w:rsidR="00921670">
        <w:rPr>
          <w:rFonts w:cs="Arial"/>
          <w:sz w:val="22"/>
          <w:szCs w:val="22"/>
          <w:lang w:val="en-GB"/>
        </w:rPr>
        <w:t xml:space="preserve">by stating that the technical requirements applicable to craft are those set out in </w:t>
      </w:r>
      <w:r>
        <w:rPr>
          <w:rFonts w:cs="Arial"/>
          <w:sz w:val="22"/>
          <w:szCs w:val="22"/>
          <w:lang w:val="en-GB"/>
        </w:rPr>
        <w:t>ES-TRIN 2017/1</w:t>
      </w:r>
      <w:r w:rsidR="00921670">
        <w:rPr>
          <w:rFonts w:cs="Arial"/>
          <w:sz w:val="22"/>
          <w:szCs w:val="22"/>
          <w:lang w:val="en-GB"/>
        </w:rPr>
        <w:t xml:space="preserve">. The Delegated Directive also amends Annexes III and V of the Directive, with the amendments to Annex V being reflected in MSN 1881.    </w:t>
      </w:r>
      <w:r>
        <w:rPr>
          <w:rFonts w:cs="Arial"/>
          <w:sz w:val="22"/>
          <w:szCs w:val="22"/>
          <w:lang w:val="en-GB"/>
        </w:rPr>
        <w:t xml:space="preserve"> </w:t>
      </w:r>
      <w:r w:rsidR="00921670">
        <w:rPr>
          <w:rFonts w:cs="Arial"/>
          <w:sz w:val="22"/>
          <w:szCs w:val="22"/>
          <w:lang w:val="en-GB"/>
        </w:rPr>
        <w:t xml:space="preserve"> </w:t>
      </w:r>
      <w:r>
        <w:rPr>
          <w:rFonts w:cs="Arial"/>
          <w:sz w:val="22"/>
          <w:szCs w:val="22"/>
          <w:lang w:val="en-GB"/>
        </w:rPr>
        <w:t xml:space="preserve"> </w:t>
      </w:r>
    </w:p>
    <w:p w:rsidR="00D900D1" w:rsidRPr="0033103A" w:rsidRDefault="00D900D1" w:rsidP="00D900D1">
      <w:pPr>
        <w:pStyle w:val="ListParagraph"/>
        <w:rPr>
          <w:rFonts w:ascii="Arial" w:hAnsi="Arial" w:cs="Arial"/>
          <w:lang w:val="en-GB"/>
        </w:rPr>
      </w:pPr>
    </w:p>
    <w:p w:rsidR="00D900D1" w:rsidRPr="0033103A" w:rsidRDefault="00D900D1" w:rsidP="00985D34">
      <w:pPr>
        <w:rPr>
          <w:rFonts w:cs="Arial"/>
          <w:b/>
          <w:sz w:val="22"/>
          <w:szCs w:val="22"/>
          <w:lang w:val="en-GB"/>
        </w:rPr>
      </w:pPr>
      <w:r w:rsidRPr="0033103A">
        <w:rPr>
          <w:rFonts w:cs="Arial"/>
          <w:sz w:val="22"/>
          <w:szCs w:val="22"/>
          <w:lang w:val="en-GB"/>
        </w:rPr>
        <w:t xml:space="preserve"> </w:t>
      </w:r>
      <w:r w:rsidRPr="0033103A">
        <w:rPr>
          <w:rFonts w:cs="Arial"/>
          <w:b/>
          <w:sz w:val="22"/>
          <w:szCs w:val="22"/>
          <w:lang w:val="en-GB"/>
        </w:rPr>
        <w:t>Implications for the application of ES-TRIN</w:t>
      </w:r>
    </w:p>
    <w:p w:rsidR="00D900D1" w:rsidRPr="0033103A" w:rsidRDefault="00D900D1" w:rsidP="00D900D1">
      <w:pPr>
        <w:rPr>
          <w:rFonts w:cs="Arial"/>
          <w:sz w:val="22"/>
          <w:szCs w:val="22"/>
          <w:lang w:val="en-GB"/>
        </w:rPr>
      </w:pPr>
    </w:p>
    <w:p w:rsidR="00D900D1" w:rsidRPr="0033103A" w:rsidRDefault="00985D34" w:rsidP="00985D34">
      <w:pPr>
        <w:tabs>
          <w:tab w:val="left" w:pos="360"/>
        </w:tabs>
        <w:autoSpaceDE/>
        <w:autoSpaceDN/>
        <w:rPr>
          <w:rFonts w:cs="Arial"/>
          <w:sz w:val="22"/>
          <w:szCs w:val="22"/>
          <w:lang w:val="en-GB"/>
        </w:rPr>
      </w:pPr>
      <w:r>
        <w:rPr>
          <w:rFonts w:cs="Arial"/>
          <w:sz w:val="22"/>
          <w:szCs w:val="22"/>
          <w:lang w:val="en-GB"/>
        </w:rPr>
        <w:t>3.1</w:t>
      </w:r>
      <w:r>
        <w:rPr>
          <w:rFonts w:cs="Arial"/>
          <w:sz w:val="22"/>
          <w:szCs w:val="22"/>
          <w:lang w:val="en-GB"/>
        </w:rPr>
        <w:tab/>
      </w:r>
      <w:r w:rsidR="00343F41">
        <w:rPr>
          <w:rFonts w:cs="Arial"/>
          <w:sz w:val="22"/>
          <w:szCs w:val="22"/>
          <w:lang w:val="en-GB"/>
        </w:rPr>
        <w:t>While, i</w:t>
      </w:r>
      <w:r w:rsidR="00D900D1" w:rsidRPr="0033103A">
        <w:rPr>
          <w:rFonts w:cs="Arial"/>
          <w:sz w:val="22"/>
          <w:szCs w:val="22"/>
          <w:lang w:val="en-GB"/>
        </w:rPr>
        <w:t xml:space="preserve">n accordance with the UK’s approach to implementation of the Directive (see MSN 1879), the ES-TRIN standard </w:t>
      </w:r>
      <w:r w:rsidR="00343F41">
        <w:rPr>
          <w:rFonts w:cs="Arial"/>
          <w:sz w:val="22"/>
          <w:szCs w:val="22"/>
          <w:lang w:val="en-GB"/>
        </w:rPr>
        <w:t xml:space="preserve">contained in Annex II to the Directive </w:t>
      </w:r>
      <w:r w:rsidR="00D900D1" w:rsidRPr="0033103A">
        <w:rPr>
          <w:rFonts w:cs="Arial"/>
          <w:sz w:val="22"/>
          <w:szCs w:val="22"/>
          <w:lang w:val="en-GB"/>
        </w:rPr>
        <w:t xml:space="preserve">will not apply to UK inland waterway vessels which </w:t>
      </w:r>
      <w:r w:rsidR="00072057">
        <w:rPr>
          <w:rFonts w:cs="Arial"/>
          <w:sz w:val="22"/>
          <w:szCs w:val="22"/>
          <w:lang w:val="en-GB"/>
        </w:rPr>
        <w:t>only operate on inland waterways</w:t>
      </w:r>
      <w:r w:rsidR="00D900D1" w:rsidRPr="0033103A">
        <w:rPr>
          <w:rFonts w:cs="Arial"/>
          <w:sz w:val="22"/>
          <w:szCs w:val="22"/>
          <w:lang w:val="en-GB"/>
        </w:rPr>
        <w:t xml:space="preserve"> in the UK. The standard will</w:t>
      </w:r>
      <w:r w:rsidR="00343F41">
        <w:rPr>
          <w:rFonts w:cs="Arial"/>
          <w:sz w:val="22"/>
          <w:szCs w:val="22"/>
          <w:lang w:val="en-GB"/>
        </w:rPr>
        <w:t>,</w:t>
      </w:r>
      <w:r w:rsidR="00D900D1" w:rsidRPr="0033103A">
        <w:rPr>
          <w:rFonts w:cs="Arial"/>
          <w:sz w:val="22"/>
          <w:szCs w:val="22"/>
          <w:lang w:val="en-GB"/>
        </w:rPr>
        <w:t xml:space="preserve"> however, apply to UK inland waterway vessels intending to operate in mainland Europe. It is for this reason, that the standard must be published.</w:t>
      </w:r>
    </w:p>
    <w:p w:rsidR="00D900D1" w:rsidRPr="0033103A" w:rsidRDefault="00D900D1" w:rsidP="00D900D1">
      <w:pPr>
        <w:tabs>
          <w:tab w:val="left" w:pos="360"/>
        </w:tabs>
        <w:rPr>
          <w:rFonts w:cs="Arial"/>
          <w:sz w:val="22"/>
          <w:szCs w:val="22"/>
          <w:lang w:val="en-GB"/>
        </w:rPr>
      </w:pPr>
    </w:p>
    <w:p w:rsidR="00D900D1" w:rsidRPr="0033103A" w:rsidRDefault="00343F41" w:rsidP="00343F41">
      <w:pPr>
        <w:tabs>
          <w:tab w:val="left" w:pos="360"/>
        </w:tabs>
        <w:autoSpaceDE/>
        <w:autoSpaceDN/>
        <w:rPr>
          <w:rFonts w:cs="Arial"/>
          <w:sz w:val="22"/>
          <w:szCs w:val="22"/>
          <w:lang w:val="en-GB"/>
        </w:rPr>
      </w:pPr>
      <w:r>
        <w:rPr>
          <w:rFonts w:cs="Arial"/>
          <w:sz w:val="22"/>
          <w:szCs w:val="22"/>
          <w:lang w:val="en-GB"/>
        </w:rPr>
        <w:t>3.2</w:t>
      </w:r>
      <w:r>
        <w:rPr>
          <w:rFonts w:cs="Arial"/>
          <w:sz w:val="22"/>
          <w:szCs w:val="22"/>
          <w:lang w:val="en-GB"/>
        </w:rPr>
        <w:tab/>
      </w:r>
      <w:r w:rsidR="00D900D1" w:rsidRPr="0033103A">
        <w:rPr>
          <w:rFonts w:cs="Arial"/>
          <w:sz w:val="22"/>
          <w:szCs w:val="22"/>
          <w:lang w:val="en-GB"/>
        </w:rPr>
        <w:t xml:space="preserve">UK policy is to accept inland waterway vessels from other Member States when they are carrying a Union or Rhine certificate issued in accordance with either 2006/87/EC (until expiry), or in accordance with the Directive (EU) 2016/1629 (subject to any additional requirements applicable to passenger vessels). The statutory requirements in the UK for inland waterway non-passenger vessels (Class IX(A)), are less onerous than contained in the ES-TRIN standard and hence, carriage of a Union or Rhine certificate is deemed adequate to meet UK requirements.  </w:t>
      </w:r>
    </w:p>
    <w:p w:rsidR="00D900D1" w:rsidRPr="0033103A" w:rsidRDefault="00D900D1" w:rsidP="00D900D1">
      <w:pPr>
        <w:pStyle w:val="Default"/>
        <w:ind w:left="720" w:hanging="720"/>
        <w:rPr>
          <w:rFonts w:ascii="Arial" w:hAnsi="Arial" w:cs="Arial"/>
          <w:bCs/>
          <w:color w:val="auto"/>
          <w:sz w:val="22"/>
          <w:szCs w:val="22"/>
          <w:lang w:val="en-GB"/>
        </w:rPr>
      </w:pPr>
    </w:p>
    <w:p w:rsidR="00D900D1" w:rsidRPr="0033103A" w:rsidRDefault="00D900D1" w:rsidP="00D900D1">
      <w:pPr>
        <w:pStyle w:val="Default"/>
        <w:rPr>
          <w:rFonts w:ascii="Arial" w:hAnsi="Arial" w:cs="Arial"/>
          <w:bCs/>
          <w:color w:val="auto"/>
          <w:sz w:val="22"/>
          <w:szCs w:val="22"/>
          <w:lang w:val="en-GB"/>
        </w:rPr>
      </w:pPr>
    </w:p>
    <w:p w:rsidR="00D900D1" w:rsidRPr="0033103A" w:rsidRDefault="00D900D1" w:rsidP="00D900D1">
      <w:pPr>
        <w:rPr>
          <w:rFonts w:cs="Arial"/>
          <w:b/>
          <w:bCs/>
          <w:sz w:val="22"/>
          <w:szCs w:val="22"/>
          <w:lang w:val="en-GB"/>
        </w:rPr>
      </w:pPr>
    </w:p>
    <w:p w:rsidR="00D900D1" w:rsidRPr="0033103A" w:rsidRDefault="00D900D1" w:rsidP="00D900D1">
      <w:pPr>
        <w:rPr>
          <w:rFonts w:cs="Arial"/>
          <w:b/>
          <w:bCs/>
          <w:sz w:val="22"/>
          <w:szCs w:val="22"/>
          <w:lang w:val="en-GB"/>
        </w:rPr>
      </w:pPr>
    </w:p>
    <w:p w:rsidR="00D900D1" w:rsidRPr="0033103A" w:rsidRDefault="00D900D1" w:rsidP="00D900D1">
      <w:pPr>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343F41" w:rsidRDefault="00343F41" w:rsidP="0027500D">
      <w:pPr>
        <w:ind w:left="0" w:firstLine="0"/>
        <w:rPr>
          <w:rFonts w:cs="Arial"/>
          <w:b/>
          <w:bCs/>
          <w:sz w:val="22"/>
          <w:szCs w:val="22"/>
          <w:lang w:val="en-GB"/>
        </w:rPr>
      </w:pPr>
    </w:p>
    <w:p w:rsidR="00D900D1" w:rsidRPr="0033103A" w:rsidRDefault="00D900D1" w:rsidP="0027500D">
      <w:pPr>
        <w:ind w:left="0" w:firstLine="0"/>
        <w:rPr>
          <w:rFonts w:cs="Arial"/>
          <w:b/>
          <w:bCs/>
          <w:sz w:val="22"/>
          <w:szCs w:val="22"/>
          <w:lang w:val="en-GB"/>
        </w:rPr>
      </w:pPr>
      <w:r w:rsidRPr="0033103A">
        <w:rPr>
          <w:rFonts w:cs="Arial"/>
          <w:b/>
          <w:bCs/>
          <w:sz w:val="22"/>
          <w:szCs w:val="22"/>
          <w:lang w:val="en-GB"/>
        </w:rPr>
        <w:t>More Information</w:t>
      </w:r>
    </w:p>
    <w:p w:rsidR="00D900D1" w:rsidRPr="0033103A" w:rsidRDefault="00D900D1" w:rsidP="0027500D">
      <w:pPr>
        <w:ind w:left="0" w:firstLine="0"/>
        <w:rPr>
          <w:rFonts w:cs="Arial"/>
          <w:sz w:val="22"/>
          <w:lang w:val="en-GB"/>
        </w:rPr>
      </w:pPr>
    </w:p>
    <w:p w:rsidR="00D900D1" w:rsidRPr="0033103A" w:rsidRDefault="00D900D1" w:rsidP="0027500D">
      <w:pPr>
        <w:pStyle w:val="BodyText"/>
        <w:spacing w:line="240" w:lineRule="auto"/>
        <w:ind w:left="0" w:firstLine="0"/>
        <w:jc w:val="both"/>
        <w:rPr>
          <w:rFonts w:cs="Arial"/>
          <w:szCs w:val="22"/>
        </w:rPr>
      </w:pPr>
      <w:r w:rsidRPr="0033103A">
        <w:rPr>
          <w:rFonts w:cs="Arial"/>
          <w:szCs w:val="22"/>
        </w:rPr>
        <w:t>Vessel Standards Branch</w:t>
      </w:r>
      <w:r w:rsidR="002F718A">
        <w:rPr>
          <w:rFonts w:cs="Arial"/>
          <w:szCs w:val="22"/>
        </w:rPr>
        <w:t xml:space="preserve"> </w:t>
      </w:r>
    </w:p>
    <w:p w:rsidR="00D900D1" w:rsidRPr="0033103A" w:rsidRDefault="00D900D1" w:rsidP="0027500D">
      <w:pPr>
        <w:pStyle w:val="BodyText"/>
        <w:spacing w:line="240" w:lineRule="auto"/>
        <w:ind w:left="0" w:firstLine="0"/>
        <w:jc w:val="both"/>
        <w:rPr>
          <w:rFonts w:cs="Arial"/>
          <w:color w:val="FFFFFF"/>
          <w:szCs w:val="22"/>
        </w:rPr>
      </w:pPr>
      <w:r w:rsidRPr="0033103A">
        <w:rPr>
          <w:rFonts w:cs="Arial"/>
          <w:szCs w:val="22"/>
        </w:rPr>
        <w:t>Maritime and Coastguard Agency</w:t>
      </w:r>
      <w:r w:rsidRPr="0033103A">
        <w:rPr>
          <w:rFonts w:cs="Arial"/>
          <w:color w:val="FFFFFF"/>
          <w:szCs w:val="22"/>
        </w:rPr>
        <w:t>,</w:t>
      </w:r>
    </w:p>
    <w:p w:rsidR="00D900D1" w:rsidRPr="0033103A" w:rsidRDefault="00D900D1" w:rsidP="0027500D">
      <w:pPr>
        <w:pStyle w:val="BodyText"/>
        <w:spacing w:line="240" w:lineRule="auto"/>
        <w:ind w:left="0" w:firstLine="0"/>
        <w:jc w:val="both"/>
        <w:rPr>
          <w:rFonts w:cs="Arial"/>
          <w:szCs w:val="22"/>
        </w:rPr>
      </w:pPr>
      <w:r w:rsidRPr="0033103A">
        <w:rPr>
          <w:rFonts w:cs="Arial"/>
          <w:szCs w:val="22"/>
        </w:rPr>
        <w:t>Bay 2/23</w:t>
      </w:r>
    </w:p>
    <w:p w:rsidR="00D900D1" w:rsidRPr="0033103A" w:rsidRDefault="00D900D1" w:rsidP="0027500D">
      <w:pPr>
        <w:pStyle w:val="BodyText"/>
        <w:spacing w:line="240" w:lineRule="auto"/>
        <w:ind w:left="0" w:firstLine="0"/>
        <w:jc w:val="both"/>
        <w:rPr>
          <w:rFonts w:cs="Arial"/>
          <w:color w:val="FFFFFF"/>
          <w:szCs w:val="22"/>
        </w:rPr>
      </w:pPr>
      <w:r w:rsidRPr="0033103A">
        <w:rPr>
          <w:rFonts w:cs="Arial"/>
          <w:szCs w:val="22"/>
        </w:rPr>
        <w:t>Spring Place</w:t>
      </w:r>
      <w:r w:rsidRPr="0033103A">
        <w:rPr>
          <w:rFonts w:cs="Arial"/>
          <w:color w:val="FFFFFF"/>
          <w:szCs w:val="22"/>
        </w:rPr>
        <w:t>,</w:t>
      </w:r>
    </w:p>
    <w:p w:rsidR="00D900D1" w:rsidRPr="0033103A" w:rsidRDefault="00D900D1" w:rsidP="0027500D">
      <w:pPr>
        <w:pStyle w:val="BodyText"/>
        <w:spacing w:line="240" w:lineRule="auto"/>
        <w:ind w:left="0" w:firstLine="0"/>
        <w:jc w:val="both"/>
        <w:rPr>
          <w:rFonts w:cs="Arial"/>
          <w:color w:val="FFFFFF"/>
          <w:szCs w:val="22"/>
        </w:rPr>
      </w:pPr>
      <w:r w:rsidRPr="0033103A">
        <w:rPr>
          <w:rFonts w:cs="Arial"/>
          <w:szCs w:val="22"/>
        </w:rPr>
        <w:t>105 Commercial Road</w:t>
      </w:r>
      <w:r w:rsidRPr="0033103A">
        <w:rPr>
          <w:rFonts w:cs="Arial"/>
          <w:color w:val="FFFFFF"/>
          <w:szCs w:val="22"/>
        </w:rPr>
        <w:t>,</w:t>
      </w:r>
    </w:p>
    <w:p w:rsidR="00D900D1" w:rsidRPr="0033103A" w:rsidRDefault="00D900D1" w:rsidP="0027500D">
      <w:pPr>
        <w:pStyle w:val="BodyText"/>
        <w:spacing w:line="240" w:lineRule="auto"/>
        <w:ind w:left="0" w:firstLine="0"/>
        <w:jc w:val="both"/>
        <w:rPr>
          <w:rFonts w:cs="Arial"/>
          <w:color w:val="FFFFFF"/>
          <w:szCs w:val="22"/>
        </w:rPr>
      </w:pPr>
      <w:r w:rsidRPr="0033103A">
        <w:rPr>
          <w:rFonts w:cs="Arial"/>
          <w:szCs w:val="22"/>
        </w:rPr>
        <w:t>Southampton</w:t>
      </w:r>
      <w:r w:rsidRPr="0033103A">
        <w:rPr>
          <w:rFonts w:cs="Arial"/>
          <w:color w:val="FFFFFF"/>
          <w:szCs w:val="22"/>
        </w:rPr>
        <w:t>,</w:t>
      </w:r>
    </w:p>
    <w:p w:rsidR="00D900D1" w:rsidRPr="0033103A" w:rsidRDefault="00D900D1" w:rsidP="0027500D">
      <w:pPr>
        <w:pStyle w:val="BodyText"/>
        <w:spacing w:line="240" w:lineRule="auto"/>
        <w:ind w:left="0" w:firstLine="0"/>
        <w:jc w:val="both"/>
        <w:rPr>
          <w:rFonts w:cs="Arial"/>
          <w:color w:val="FFFFFF"/>
          <w:szCs w:val="22"/>
        </w:rPr>
      </w:pPr>
      <w:r w:rsidRPr="0033103A">
        <w:rPr>
          <w:rFonts w:cs="Arial"/>
          <w:szCs w:val="22"/>
        </w:rPr>
        <w:t>SO15 1EG</w:t>
      </w:r>
      <w:r w:rsidRPr="0033103A">
        <w:rPr>
          <w:rFonts w:cs="Arial"/>
          <w:color w:val="FFFFFF"/>
          <w:szCs w:val="22"/>
        </w:rPr>
        <w:t>.</w:t>
      </w:r>
    </w:p>
    <w:p w:rsidR="00D900D1" w:rsidRDefault="00D900D1" w:rsidP="00D900D1">
      <w:pPr>
        <w:pStyle w:val="BodyText"/>
        <w:jc w:val="both"/>
        <w:rPr>
          <w:rFonts w:cs="Arial"/>
          <w:szCs w:val="22"/>
        </w:rPr>
      </w:pPr>
    </w:p>
    <w:p w:rsidR="00D900D1" w:rsidRDefault="00D900D1" w:rsidP="00D900D1">
      <w:pPr>
        <w:rPr>
          <w:rFonts w:cs="Arial"/>
          <w:szCs w:val="22"/>
        </w:rPr>
      </w:pPr>
    </w:p>
    <w:p w:rsidR="00D900D1" w:rsidRPr="00274B79" w:rsidRDefault="00D900D1" w:rsidP="00D900D1">
      <w:pPr>
        <w:ind w:right="-6"/>
        <w:rPr>
          <w:rFonts w:cs="Arial"/>
          <w:color w:val="FFFFFF"/>
          <w:szCs w:val="22"/>
          <w:lang w:val="en-GB"/>
        </w:rPr>
      </w:pPr>
      <w:r w:rsidRPr="00274B79">
        <w:rPr>
          <w:rFonts w:ascii="Times New Roman" w:hAnsi="Times New Roman"/>
          <w:noProof/>
          <w:sz w:val="24"/>
          <w:lang w:val="en-GB"/>
        </w:rPr>
        <mc:AlternateContent>
          <mc:Choice Requires="wps">
            <w:drawing>
              <wp:anchor distT="0" distB="0" distL="114300" distR="114300" simplePos="0" relativeHeight="251696128" behindDoc="0" locked="0" layoutInCell="1" allowOverlap="1">
                <wp:simplePos x="0" y="0"/>
                <wp:positionH relativeFrom="column">
                  <wp:posOffset>4457700</wp:posOffset>
                </wp:positionH>
                <wp:positionV relativeFrom="paragraph">
                  <wp:posOffset>108585</wp:posOffset>
                </wp:positionV>
                <wp:extent cx="252095" cy="45339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441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0AC1" w:rsidRDefault="00C60AC1" w:rsidP="00D900D1"/>
                          <w:p w:rsidR="00C60AC1" w:rsidRDefault="00C60AC1" w:rsidP="00D900D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left:0;text-align:left;margin-left:351pt;margin-top:8.55pt;width:19.85pt;height:35.7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" filled="f" stroked="f">
                <v:textbox style="mso-fit-shape-to-text:t">
                  <w:txbxContent>
                    <w:p w:rsidR="00C60AC1" w:rsidRDefault="00C60AC1" w:rsidP="00D900D1"/>
                    <w:p w:rsidR="00C60AC1" w:rsidRDefault="00C60AC1" w:rsidP="00D900D1"/>
                  </w:txbxContent>
                </v:textbox>
              </v:shape>
            </w:pict>
          </mc:Fallback>
        </mc:AlternateContent>
      </w:r>
      <w:r w:rsidRPr="00274B79">
        <w:rPr>
          <w:rFonts w:cs="Arial"/>
          <w:szCs w:val="22"/>
          <w:lang w:val="en-GB"/>
        </w:rPr>
        <w:t>Website Address:</w:t>
      </w:r>
      <w:bookmarkStart w:id="2" w:name="OLE_LINK2"/>
      <w:bookmarkStart w:id="3" w:name="OLE_LINK1"/>
      <w:r w:rsidRPr="00274B79">
        <w:rPr>
          <w:rFonts w:cs="Arial"/>
          <w:szCs w:val="22"/>
          <w:lang w:val="en-GB"/>
        </w:rPr>
        <w:fldChar w:fldCharType="begin"/>
      </w:r>
      <w:r w:rsidRPr="00274B79">
        <w:rPr>
          <w:rFonts w:cs="Arial"/>
          <w:szCs w:val="22"/>
          <w:lang w:val="en-GB"/>
        </w:rPr>
        <w:instrText xml:space="preserve"> HYPERLINK "http://www.gov.uk/government/organisations/maritime-and-coastguard-agency" </w:instrText>
      </w:r>
      <w:r w:rsidRPr="00274B79">
        <w:rPr>
          <w:rFonts w:cs="Arial"/>
          <w:szCs w:val="22"/>
          <w:lang w:val="en-GB"/>
        </w:rPr>
        <w:fldChar w:fldCharType="separate"/>
      </w:r>
      <w:r w:rsidRPr="00274B79">
        <w:rPr>
          <w:rStyle w:val="Hyperlink"/>
          <w:rFonts w:cs="Arial"/>
          <w:szCs w:val="22"/>
          <w:lang w:val="en-GB"/>
        </w:rPr>
        <w:t>www.gov.uk/government/organisations/maritime-and-coastguard-agency</w:t>
      </w:r>
      <w:r w:rsidRPr="00274B79">
        <w:rPr>
          <w:rFonts w:cs="Arial"/>
          <w:szCs w:val="22"/>
          <w:lang w:val="en-GB"/>
        </w:rPr>
        <w:fldChar w:fldCharType="end"/>
      </w:r>
      <w:bookmarkEnd w:id="2"/>
      <w:bookmarkEnd w:id="3"/>
      <w:r w:rsidRPr="00274B79">
        <w:rPr>
          <w:rFonts w:cs="Arial"/>
          <w:szCs w:val="22"/>
          <w:lang w:val="en-GB"/>
        </w:rPr>
        <w:t xml:space="preserve">  </w:t>
      </w:r>
      <w:r w:rsidRPr="00274B79">
        <w:rPr>
          <w:rFonts w:cs="Arial"/>
          <w:color w:val="FFFFFF"/>
          <w:szCs w:val="22"/>
          <w:lang w:val="en-GB"/>
        </w:rPr>
        <w:t>.</w:t>
      </w:r>
    </w:p>
    <w:p w:rsidR="00D900D1" w:rsidRPr="00274B79" w:rsidRDefault="00D900D1" w:rsidP="00D900D1">
      <w:pPr>
        <w:ind w:right="-6"/>
        <w:rPr>
          <w:rFonts w:cs="Arial"/>
          <w:color w:val="FFFFFF"/>
          <w:szCs w:val="22"/>
          <w:lang w:val="en-GB"/>
        </w:rPr>
      </w:pPr>
    </w:p>
    <w:p w:rsidR="00D900D1" w:rsidRPr="00274B79" w:rsidRDefault="00D900D1" w:rsidP="00D900D1">
      <w:pPr>
        <w:ind w:right="-6"/>
        <w:rPr>
          <w:rFonts w:cs="Arial"/>
          <w:color w:val="FFFFFF"/>
          <w:szCs w:val="22"/>
          <w:lang w:val="en-GB"/>
        </w:rPr>
      </w:pPr>
    </w:p>
    <w:p w:rsidR="00D900D1" w:rsidRPr="00274B79" w:rsidRDefault="00D900D1" w:rsidP="00D900D1">
      <w:pPr>
        <w:ind w:right="-6"/>
        <w:rPr>
          <w:rFonts w:cs="Arial"/>
          <w:color w:val="FFFFFF"/>
          <w:szCs w:val="22"/>
          <w:lang w:val="en-GB"/>
        </w:rPr>
      </w:pPr>
      <w:r w:rsidRPr="00274B79">
        <w:rPr>
          <w:rFonts w:cs="Arial"/>
          <w:szCs w:val="22"/>
          <w:lang w:val="en-GB"/>
        </w:rPr>
        <w:t>General Enquiries:</w:t>
      </w:r>
      <w:r w:rsidR="0027500D">
        <w:rPr>
          <w:rFonts w:cs="Arial"/>
          <w:szCs w:val="22"/>
          <w:lang w:val="en-GB"/>
        </w:rPr>
        <w:t xml:space="preserve"> </w:t>
      </w:r>
      <w:hyperlink r:id="rId9" w:history="1">
        <w:r w:rsidRPr="00274B79">
          <w:rPr>
            <w:rStyle w:val="Hyperlink"/>
            <w:rFonts w:cs="Arial"/>
            <w:szCs w:val="22"/>
            <w:lang w:val="en-GB"/>
          </w:rPr>
          <w:t>infoline@mcga.gov.uk</w:t>
        </w:r>
      </w:hyperlink>
      <w:r w:rsidRPr="00274B79">
        <w:rPr>
          <w:rFonts w:cs="Arial"/>
          <w:szCs w:val="22"/>
          <w:lang w:val="en-GB"/>
        </w:rPr>
        <w:t xml:space="preserve"> </w:t>
      </w:r>
    </w:p>
    <w:p w:rsidR="00D900D1" w:rsidRPr="00274B79" w:rsidRDefault="00D900D1" w:rsidP="00D900D1">
      <w:pPr>
        <w:ind w:right="-6"/>
        <w:rPr>
          <w:rFonts w:cs="Arial"/>
          <w:color w:val="FFFFFF"/>
          <w:szCs w:val="22"/>
          <w:lang w:val="en-GB"/>
        </w:rPr>
      </w:pPr>
    </w:p>
    <w:p w:rsidR="00D900D1" w:rsidRPr="00274B79" w:rsidRDefault="00D900D1" w:rsidP="00D900D1">
      <w:pPr>
        <w:rPr>
          <w:rFonts w:cs="Arial"/>
          <w:szCs w:val="22"/>
          <w:lang w:val="en-GB"/>
        </w:rPr>
      </w:pPr>
    </w:p>
    <w:p w:rsidR="00D900D1" w:rsidRPr="00274B79" w:rsidRDefault="00D900D1" w:rsidP="00D900D1">
      <w:pPr>
        <w:rPr>
          <w:rFonts w:cs="Arial"/>
          <w:szCs w:val="22"/>
          <w:lang w:val="en-GB"/>
        </w:rPr>
      </w:pPr>
      <w:r w:rsidRPr="00274B79">
        <w:rPr>
          <w:rFonts w:cs="Arial"/>
          <w:szCs w:val="22"/>
          <w:lang w:val="en-GB"/>
        </w:rPr>
        <w:t>File Ref:</w:t>
      </w:r>
      <w:r w:rsidRPr="00274B79">
        <w:rPr>
          <w:rFonts w:cs="Arial"/>
          <w:szCs w:val="22"/>
          <w:lang w:val="en-GB"/>
        </w:rPr>
        <w:tab/>
        <w:t>MS 84/1/103</w:t>
      </w:r>
    </w:p>
    <w:p w:rsidR="00D900D1" w:rsidRPr="00274B79" w:rsidRDefault="00D900D1" w:rsidP="00D900D1">
      <w:pPr>
        <w:rPr>
          <w:rFonts w:cs="Arial"/>
          <w:szCs w:val="22"/>
          <w:lang w:val="en-GB"/>
        </w:rPr>
      </w:pPr>
    </w:p>
    <w:p w:rsidR="00D900D1" w:rsidRPr="00274B79" w:rsidRDefault="00D900D1" w:rsidP="00D900D1">
      <w:pPr>
        <w:rPr>
          <w:rFonts w:cs="Arial"/>
          <w:szCs w:val="22"/>
          <w:lang w:val="en-GB"/>
        </w:rPr>
      </w:pPr>
      <w:r w:rsidRPr="00274B79">
        <w:rPr>
          <w:rFonts w:cs="Arial"/>
          <w:szCs w:val="22"/>
          <w:lang w:val="en-GB"/>
        </w:rPr>
        <w:t>Published:</w:t>
      </w:r>
      <w:r w:rsidRPr="00274B79">
        <w:rPr>
          <w:rFonts w:cs="Arial"/>
          <w:szCs w:val="22"/>
          <w:lang w:val="en-GB"/>
        </w:rPr>
        <w:tab/>
        <w:t xml:space="preserve">Printers to Insert </w:t>
      </w:r>
      <w:r w:rsidRPr="00274B79">
        <w:rPr>
          <w:rFonts w:cs="Arial"/>
          <w:szCs w:val="22"/>
          <w:lang w:val="en-GB"/>
        </w:rPr>
        <w:fldChar w:fldCharType="begin">
          <w:ffData>
            <w:name w:val=""/>
            <w:enabled/>
            <w:calcOnExit w:val="0"/>
            <w:ddList>
              <w:listEntry w:val="Month Year"/>
              <w:listEntry w:val="January 2018"/>
              <w:listEntry w:val="February 2018"/>
              <w:listEntry w:val="March 2018"/>
              <w:listEntry w:val="April 2018"/>
              <w:listEntry w:val="May 2018"/>
              <w:listEntry w:val="June 2018"/>
              <w:listEntry w:val="July 2018"/>
              <w:listEntry w:val="August 2018"/>
              <w:listEntry w:val="September 2018"/>
              <w:listEntry w:val="October 2018"/>
              <w:listEntry w:val="November 2018"/>
              <w:listEntry w:val="December 2018"/>
            </w:ddList>
          </w:ffData>
        </w:fldChar>
      </w:r>
      <w:r w:rsidRPr="00274B79">
        <w:rPr>
          <w:rFonts w:cs="Arial"/>
          <w:szCs w:val="22"/>
          <w:lang w:val="en-GB"/>
        </w:rPr>
        <w:instrText xml:space="preserve"> FORMDROPDOWN </w:instrText>
      </w:r>
      <w:r w:rsidR="00F12BAF">
        <w:rPr>
          <w:rFonts w:cs="Arial"/>
          <w:szCs w:val="22"/>
          <w:lang w:val="en-GB"/>
        </w:rPr>
      </w:r>
      <w:r w:rsidR="00F12BAF">
        <w:rPr>
          <w:rFonts w:cs="Arial"/>
          <w:szCs w:val="22"/>
          <w:lang w:val="en-GB"/>
        </w:rPr>
        <w:fldChar w:fldCharType="separate"/>
      </w:r>
      <w:r w:rsidRPr="00274B79">
        <w:rPr>
          <w:rFonts w:cs="Arial"/>
          <w:szCs w:val="22"/>
          <w:lang w:val="en-GB"/>
        </w:rPr>
        <w:fldChar w:fldCharType="end"/>
      </w:r>
    </w:p>
    <w:p w:rsidR="00D900D1" w:rsidRPr="00274B79" w:rsidRDefault="00D900D1" w:rsidP="00D900D1">
      <w:pPr>
        <w:rPr>
          <w:rFonts w:cs="Arial"/>
          <w:szCs w:val="22"/>
          <w:lang w:val="en-GB"/>
        </w:rPr>
      </w:pPr>
      <w:r w:rsidRPr="00274B79">
        <w:rPr>
          <w:rFonts w:cs="Arial"/>
          <w:szCs w:val="22"/>
          <w:lang w:val="en-GB"/>
        </w:rPr>
        <w:tab/>
      </w:r>
      <w:r w:rsidRPr="00274B79">
        <w:rPr>
          <w:rFonts w:cs="Arial"/>
          <w:szCs w:val="22"/>
          <w:lang w:val="en-GB"/>
        </w:rPr>
        <w:tab/>
      </w:r>
      <w:r w:rsidRPr="00274B79">
        <w:rPr>
          <w:rFonts w:cs="Arial"/>
          <w:szCs w:val="22"/>
          <w:lang w:val="en-GB"/>
        </w:rPr>
        <w:tab/>
        <w:t xml:space="preserve">Please note that all addresses and </w:t>
      </w:r>
    </w:p>
    <w:p w:rsidR="00D900D1" w:rsidRPr="00274B79" w:rsidRDefault="00D900D1" w:rsidP="00D900D1">
      <w:pPr>
        <w:rPr>
          <w:rFonts w:cs="Arial"/>
          <w:color w:val="FFFFFF"/>
          <w:szCs w:val="22"/>
          <w:lang w:val="en-GB"/>
        </w:rPr>
      </w:pPr>
      <w:r w:rsidRPr="00274B79">
        <w:rPr>
          <w:rFonts w:cs="Arial"/>
          <w:szCs w:val="22"/>
          <w:lang w:val="en-GB"/>
        </w:rPr>
        <w:tab/>
      </w:r>
      <w:r w:rsidRPr="00274B79">
        <w:rPr>
          <w:rFonts w:cs="Arial"/>
          <w:szCs w:val="22"/>
          <w:lang w:val="en-GB"/>
        </w:rPr>
        <w:tab/>
      </w:r>
      <w:r w:rsidRPr="00274B79">
        <w:rPr>
          <w:rFonts w:cs="Arial"/>
          <w:szCs w:val="22"/>
          <w:lang w:val="en-GB"/>
        </w:rPr>
        <w:tab/>
        <w:t>telephone numbers are correct at time of publishing</w:t>
      </w:r>
      <w:r w:rsidRPr="00274B79">
        <w:rPr>
          <w:rFonts w:cs="Arial"/>
          <w:color w:val="FFFFFF"/>
          <w:szCs w:val="22"/>
          <w:lang w:val="en-GB"/>
        </w:rPr>
        <w:t>.</w:t>
      </w:r>
    </w:p>
    <w:p w:rsidR="00D900D1" w:rsidRPr="00274B79" w:rsidRDefault="00D900D1" w:rsidP="00D900D1">
      <w:pPr>
        <w:rPr>
          <w:rFonts w:cs="Arial"/>
          <w:szCs w:val="22"/>
          <w:lang w:val="en-GB"/>
        </w:rPr>
      </w:pPr>
    </w:p>
    <w:p w:rsidR="00D900D1" w:rsidRPr="00274B79" w:rsidRDefault="00D900D1" w:rsidP="00D900D1">
      <w:pPr>
        <w:ind w:right="-6"/>
        <w:rPr>
          <w:rFonts w:cs="Arial"/>
          <w:color w:val="FFFFFF"/>
          <w:szCs w:val="22"/>
          <w:lang w:val="en-GB"/>
        </w:rPr>
      </w:pPr>
      <w:r w:rsidRPr="00274B79">
        <w:rPr>
          <w:rFonts w:cs="Arial"/>
          <w:szCs w:val="22"/>
          <w:lang w:val="en-GB"/>
        </w:rPr>
        <w:t>© Crown Copyright 2018</w:t>
      </w:r>
    </w:p>
    <w:p w:rsidR="00D900D1" w:rsidRPr="00274B79" w:rsidRDefault="00D900D1" w:rsidP="00D900D1">
      <w:pPr>
        <w:ind w:right="-6"/>
        <w:rPr>
          <w:rFonts w:cs="Arial"/>
          <w:b/>
          <w:bCs/>
          <w:i/>
          <w:iCs/>
          <w:sz w:val="24"/>
          <w:szCs w:val="22"/>
          <w:lang w:val="en-GB"/>
        </w:rPr>
      </w:pPr>
    </w:p>
    <w:p w:rsidR="00D900D1" w:rsidRPr="00274B79" w:rsidRDefault="00D900D1" w:rsidP="00D900D1">
      <w:pPr>
        <w:ind w:right="-6"/>
        <w:rPr>
          <w:rFonts w:cs="Arial"/>
          <w:b/>
          <w:bCs/>
          <w:i/>
          <w:iCs/>
          <w:color w:val="FFFFFF"/>
          <w:szCs w:val="22"/>
          <w:lang w:val="en-GB"/>
        </w:rPr>
      </w:pPr>
      <w:r w:rsidRPr="00274B79">
        <w:rPr>
          <w:rFonts w:cs="Arial"/>
          <w:b/>
          <w:bCs/>
          <w:i/>
          <w:iCs/>
          <w:szCs w:val="22"/>
          <w:lang w:val="en-GB"/>
        </w:rPr>
        <w:t>Safer Lives, Safer Ships, Cleaner Seas</w:t>
      </w:r>
      <w:r w:rsidRPr="00274B79">
        <w:rPr>
          <w:rFonts w:cs="Arial"/>
          <w:b/>
          <w:bCs/>
          <w:i/>
          <w:iCs/>
          <w:color w:val="FFFFFF"/>
          <w:szCs w:val="22"/>
          <w:lang w:val="en-GB"/>
        </w:rPr>
        <w:t>.</w:t>
      </w:r>
    </w:p>
    <w:p w:rsidR="00D900D1" w:rsidRDefault="00D900D1" w:rsidP="00D900D1">
      <w:pPr>
        <w:ind w:right="-6"/>
        <w:rPr>
          <w:rFonts w:cs="Arial"/>
          <w:b/>
          <w:bCs/>
          <w:i/>
          <w:iCs/>
          <w:color w:val="FFFFFF"/>
          <w:szCs w:val="22"/>
        </w:rPr>
      </w:pPr>
    </w:p>
    <w:p w:rsidR="00D900D1" w:rsidRDefault="00D900D1" w:rsidP="00D900D1">
      <w:pPr>
        <w:ind w:right="-6"/>
        <w:rPr>
          <w:rFonts w:cs="Arial"/>
          <w:b/>
          <w:bCs/>
          <w:i/>
          <w:iCs/>
          <w:color w:val="FFFFFF"/>
          <w:szCs w:val="22"/>
        </w:rPr>
      </w:pPr>
    </w:p>
    <w:p w:rsidR="00302C3E" w:rsidRDefault="00302C3E" w:rsidP="00E1027C">
      <w:pPr>
        <w:pStyle w:val="Annexetitreglobale"/>
        <w:spacing w:line="240" w:lineRule="atLeast"/>
        <w:rPr>
          <w:rFonts w:cs="Arial"/>
          <w:b w:val="0"/>
          <w:u w:val="none"/>
          <w:lang w:val="en-US"/>
        </w:rPr>
      </w:pPr>
    </w:p>
    <w:p w:rsidR="000C6BE9" w:rsidRPr="000C6BE9" w:rsidRDefault="000C6BE9" w:rsidP="000C6BE9">
      <w:pPr>
        <w:rPr>
          <w:lang w:val="en-US"/>
        </w:rPr>
      </w:pPr>
    </w:p>
    <w:p w:rsidR="007874ED" w:rsidRPr="00C903F8" w:rsidRDefault="00226A59" w:rsidP="00FA2BFC">
      <w:pPr>
        <w:spacing w:line="240" w:lineRule="atLeast"/>
        <w:ind w:left="0" w:firstLine="0"/>
        <w:jc w:val="center"/>
        <w:rPr>
          <w:rFonts w:cs="Arial"/>
          <w:sz w:val="22"/>
          <w:szCs w:val="22"/>
          <w:lang w:val="en-US"/>
        </w:rPr>
      </w:pPr>
      <w:r w:rsidRPr="00C903F8">
        <w:rPr>
          <w:rFonts w:cs="Arial"/>
          <w:sz w:val="22"/>
          <w:szCs w:val="22"/>
          <w:lang w:val="en-GB"/>
        </w:rPr>
        <w:t>European Committee for drawing up Standards in the field of Inland Navigation</w:t>
      </w:r>
      <w:r w:rsidR="00465BBB" w:rsidRPr="00C903F8">
        <w:rPr>
          <w:rFonts w:cs="Arial"/>
          <w:sz w:val="22"/>
          <w:szCs w:val="22"/>
          <w:lang w:val="en-US"/>
        </w:rPr>
        <w:br/>
        <w:t>(CESNI)</w:t>
      </w:r>
    </w:p>
    <w:p w:rsidR="007874ED" w:rsidRPr="00C903F8" w:rsidRDefault="007874ED" w:rsidP="00E1027C">
      <w:pPr>
        <w:spacing w:line="240" w:lineRule="atLeast"/>
        <w:jc w:val="center"/>
        <w:rPr>
          <w:rFonts w:cs="Arial"/>
          <w:sz w:val="22"/>
          <w:szCs w:val="22"/>
          <w:lang w:val="en-US"/>
        </w:rPr>
      </w:pPr>
    </w:p>
    <w:p w:rsidR="007874ED" w:rsidRPr="00C903F8" w:rsidRDefault="007874ED" w:rsidP="00E1027C">
      <w:pPr>
        <w:spacing w:line="240" w:lineRule="atLeast"/>
        <w:jc w:val="center"/>
        <w:rPr>
          <w:rFonts w:cs="Arial"/>
          <w:sz w:val="22"/>
          <w:szCs w:val="22"/>
          <w:lang w:val="en-US"/>
        </w:rPr>
      </w:pPr>
    </w:p>
    <w:p w:rsidR="00E1027C" w:rsidRPr="00C903F8" w:rsidRDefault="00E1027C" w:rsidP="00E1027C">
      <w:pPr>
        <w:spacing w:line="240" w:lineRule="atLeast"/>
        <w:jc w:val="center"/>
        <w:rPr>
          <w:rFonts w:cs="Arial"/>
          <w:sz w:val="22"/>
          <w:szCs w:val="22"/>
          <w:lang w:val="en-US"/>
        </w:rPr>
      </w:pPr>
    </w:p>
    <w:p w:rsidR="00E1027C" w:rsidRPr="00C903F8" w:rsidRDefault="00E1027C" w:rsidP="00E1027C">
      <w:pPr>
        <w:spacing w:line="240" w:lineRule="atLeast"/>
        <w:jc w:val="center"/>
        <w:rPr>
          <w:rFonts w:cs="Arial"/>
          <w:sz w:val="22"/>
          <w:szCs w:val="22"/>
          <w:lang w:val="en-US"/>
        </w:rPr>
      </w:pPr>
    </w:p>
    <w:p w:rsidR="00E1027C" w:rsidRPr="00C903F8" w:rsidRDefault="00E1027C" w:rsidP="00E1027C">
      <w:pPr>
        <w:spacing w:line="240" w:lineRule="atLeast"/>
        <w:jc w:val="center"/>
        <w:rPr>
          <w:rFonts w:cs="Arial"/>
          <w:sz w:val="22"/>
          <w:szCs w:val="22"/>
          <w:lang w:val="en-US"/>
        </w:rPr>
      </w:pPr>
    </w:p>
    <w:p w:rsidR="007874ED" w:rsidRPr="00C903F8" w:rsidRDefault="007874ED" w:rsidP="00E1027C">
      <w:pPr>
        <w:spacing w:line="240" w:lineRule="atLeast"/>
        <w:jc w:val="center"/>
        <w:rPr>
          <w:rFonts w:cs="Arial"/>
          <w:sz w:val="22"/>
          <w:szCs w:val="22"/>
          <w:lang w:val="en-US"/>
        </w:rPr>
      </w:pPr>
    </w:p>
    <w:p w:rsidR="00E77F1F" w:rsidRPr="00C903F8" w:rsidRDefault="004F7EC9" w:rsidP="00E77F1F">
      <w:pPr>
        <w:pStyle w:val="BodyText3"/>
        <w:spacing w:line="240" w:lineRule="atLeast"/>
        <w:jc w:val="center"/>
        <w:rPr>
          <w:rFonts w:cs="Arial"/>
          <w:sz w:val="22"/>
          <w:szCs w:val="22"/>
          <w:lang w:val="en-US"/>
        </w:rPr>
      </w:pPr>
      <w:r w:rsidRPr="00C903F8">
        <w:rPr>
          <w:rFonts w:cs="Arial"/>
          <w:b/>
          <w:bCs/>
          <w:sz w:val="22"/>
          <w:szCs w:val="22"/>
          <w:lang w:val="en-US"/>
        </w:rPr>
        <w:t>Edition</w:t>
      </w:r>
      <w:r w:rsidR="00302C3E" w:rsidRPr="00C903F8">
        <w:rPr>
          <w:rFonts w:cs="Arial"/>
          <w:b/>
          <w:bCs/>
          <w:sz w:val="22"/>
          <w:szCs w:val="22"/>
          <w:lang w:val="en-US"/>
        </w:rPr>
        <w:t xml:space="preserve"> </w:t>
      </w:r>
      <w:r w:rsidR="0092687B">
        <w:rPr>
          <w:rFonts w:cs="Arial"/>
          <w:b/>
          <w:bCs/>
          <w:sz w:val="22"/>
          <w:szCs w:val="22"/>
          <w:lang w:val="en-US"/>
        </w:rPr>
        <w:t>2017</w:t>
      </w:r>
      <w:r w:rsidR="003E54E3" w:rsidRPr="00C903F8">
        <w:rPr>
          <w:rFonts w:cs="Arial"/>
          <w:b/>
          <w:bCs/>
          <w:sz w:val="22"/>
          <w:szCs w:val="22"/>
          <w:lang w:val="en-US"/>
        </w:rPr>
        <w:t>/1</w:t>
      </w:r>
    </w:p>
    <w:p w:rsidR="00302C3E" w:rsidRPr="00C903F8" w:rsidRDefault="00302C3E" w:rsidP="00E1027C">
      <w:pPr>
        <w:pStyle w:val="BodyText3"/>
        <w:spacing w:line="240" w:lineRule="atLeast"/>
        <w:jc w:val="center"/>
        <w:rPr>
          <w:rFonts w:cs="Arial"/>
          <w:sz w:val="22"/>
          <w:szCs w:val="22"/>
          <w:lang w:val="en-US"/>
        </w:rPr>
      </w:pPr>
    </w:p>
    <w:p w:rsidR="007874ED" w:rsidRPr="00C903F8" w:rsidRDefault="007874ED" w:rsidP="00E1027C">
      <w:pPr>
        <w:pStyle w:val="BodyText3"/>
        <w:spacing w:line="240" w:lineRule="atLeast"/>
        <w:jc w:val="center"/>
        <w:rPr>
          <w:rFonts w:cs="Arial"/>
          <w:sz w:val="22"/>
          <w:szCs w:val="22"/>
          <w:lang w:val="en-US"/>
        </w:rPr>
      </w:pPr>
    </w:p>
    <w:p w:rsidR="007874ED" w:rsidRPr="00C903F8" w:rsidRDefault="007874ED" w:rsidP="00E1027C">
      <w:pPr>
        <w:pStyle w:val="BodyText3"/>
        <w:spacing w:line="240" w:lineRule="atLeast"/>
        <w:jc w:val="center"/>
        <w:rPr>
          <w:rFonts w:cs="Arial"/>
          <w:sz w:val="22"/>
          <w:szCs w:val="22"/>
          <w:lang w:val="en-US"/>
        </w:rPr>
      </w:pPr>
    </w:p>
    <w:p w:rsidR="007874ED" w:rsidRPr="00C903F8" w:rsidRDefault="007874ED" w:rsidP="00E1027C">
      <w:pPr>
        <w:pStyle w:val="BodyText3"/>
        <w:spacing w:line="240" w:lineRule="atLeast"/>
        <w:jc w:val="center"/>
        <w:rPr>
          <w:rFonts w:cs="Arial"/>
          <w:sz w:val="22"/>
          <w:szCs w:val="22"/>
          <w:lang w:val="en-US"/>
        </w:rPr>
      </w:pPr>
    </w:p>
    <w:p w:rsidR="00E1027C" w:rsidRPr="00C903F8" w:rsidRDefault="00E1027C" w:rsidP="00E1027C">
      <w:pPr>
        <w:pStyle w:val="BodyText3"/>
        <w:spacing w:line="240" w:lineRule="atLeast"/>
        <w:jc w:val="center"/>
        <w:rPr>
          <w:rFonts w:cs="Arial"/>
          <w:sz w:val="22"/>
          <w:szCs w:val="22"/>
          <w:lang w:val="en-US"/>
        </w:rPr>
      </w:pPr>
    </w:p>
    <w:p w:rsidR="00E1027C" w:rsidRPr="00C903F8" w:rsidRDefault="00E1027C" w:rsidP="00E1027C">
      <w:pPr>
        <w:pStyle w:val="BodyText3"/>
        <w:spacing w:line="240" w:lineRule="atLeast"/>
        <w:jc w:val="center"/>
        <w:rPr>
          <w:rFonts w:cs="Arial"/>
          <w:sz w:val="22"/>
          <w:szCs w:val="22"/>
          <w:lang w:val="en-US"/>
        </w:rPr>
      </w:pPr>
    </w:p>
    <w:p w:rsidR="007874ED" w:rsidRPr="00C903F8" w:rsidRDefault="007874ED" w:rsidP="00E1027C">
      <w:pPr>
        <w:pStyle w:val="BodyText3"/>
        <w:spacing w:line="240" w:lineRule="atLeast"/>
        <w:jc w:val="center"/>
        <w:rPr>
          <w:rFonts w:cs="Arial"/>
          <w:sz w:val="22"/>
          <w:szCs w:val="22"/>
          <w:lang w:val="en-US"/>
        </w:rPr>
      </w:pPr>
    </w:p>
    <w:p w:rsidR="007874ED" w:rsidRPr="00C903F8" w:rsidRDefault="007874ED" w:rsidP="00E1027C">
      <w:pPr>
        <w:pStyle w:val="BodyText3"/>
        <w:spacing w:line="240" w:lineRule="atLeast"/>
        <w:jc w:val="center"/>
        <w:rPr>
          <w:rFonts w:cs="Arial"/>
          <w:sz w:val="22"/>
          <w:szCs w:val="22"/>
          <w:lang w:val="en-US"/>
        </w:rPr>
      </w:pPr>
    </w:p>
    <w:p w:rsidR="007874ED" w:rsidRPr="00C903F8" w:rsidRDefault="007874ED" w:rsidP="00E1027C">
      <w:pPr>
        <w:pStyle w:val="BodyText3"/>
        <w:spacing w:line="240" w:lineRule="atLeast"/>
        <w:jc w:val="center"/>
        <w:rPr>
          <w:rFonts w:cs="Arial"/>
          <w:sz w:val="22"/>
          <w:szCs w:val="22"/>
          <w:lang w:val="en-US"/>
        </w:rPr>
      </w:pPr>
    </w:p>
    <w:p w:rsidR="007874ED" w:rsidRPr="00C903F8" w:rsidRDefault="007874ED" w:rsidP="00E1027C">
      <w:pPr>
        <w:pStyle w:val="BodyText3"/>
        <w:spacing w:line="240" w:lineRule="atLeast"/>
        <w:jc w:val="center"/>
        <w:rPr>
          <w:rFonts w:cs="Arial"/>
          <w:sz w:val="22"/>
          <w:szCs w:val="22"/>
          <w:lang w:val="en-US"/>
        </w:rPr>
      </w:pPr>
    </w:p>
    <w:p w:rsidR="00226A59" w:rsidRPr="00C903F8" w:rsidRDefault="00226A59" w:rsidP="00226A59">
      <w:pPr>
        <w:pStyle w:val="BodyText3"/>
        <w:spacing w:line="240" w:lineRule="atLeast"/>
        <w:jc w:val="center"/>
        <w:rPr>
          <w:rFonts w:cs="Arial"/>
          <w:b/>
          <w:sz w:val="44"/>
          <w:szCs w:val="44"/>
          <w:lang w:val="en-GB"/>
        </w:rPr>
      </w:pPr>
      <w:r w:rsidRPr="00C903F8">
        <w:rPr>
          <w:rFonts w:cs="Arial"/>
          <w:b/>
          <w:sz w:val="44"/>
          <w:szCs w:val="44"/>
          <w:lang w:val="en-GB"/>
        </w:rPr>
        <w:t xml:space="preserve">European Standard </w:t>
      </w:r>
    </w:p>
    <w:p w:rsidR="00226A59" w:rsidRPr="00C903F8" w:rsidRDefault="00226A59" w:rsidP="00226A59">
      <w:pPr>
        <w:pStyle w:val="BodyText3"/>
        <w:spacing w:line="240" w:lineRule="atLeast"/>
        <w:jc w:val="center"/>
        <w:rPr>
          <w:rFonts w:cs="Arial"/>
          <w:b/>
          <w:sz w:val="44"/>
          <w:szCs w:val="44"/>
          <w:lang w:val="en-GB"/>
        </w:rPr>
      </w:pPr>
      <w:r w:rsidRPr="00C903F8">
        <w:rPr>
          <w:rFonts w:cs="Arial"/>
          <w:b/>
          <w:sz w:val="44"/>
          <w:szCs w:val="44"/>
          <w:lang w:val="en-GB"/>
        </w:rPr>
        <w:t xml:space="preserve">laying down </w:t>
      </w:r>
    </w:p>
    <w:p w:rsidR="00226A59" w:rsidRPr="00C903F8" w:rsidRDefault="00226A59" w:rsidP="00226A59">
      <w:pPr>
        <w:pStyle w:val="BodyText3"/>
        <w:spacing w:line="240" w:lineRule="atLeast"/>
        <w:jc w:val="center"/>
        <w:rPr>
          <w:rFonts w:cs="Arial"/>
          <w:b/>
          <w:sz w:val="44"/>
          <w:szCs w:val="44"/>
          <w:lang w:val="en-GB"/>
        </w:rPr>
      </w:pPr>
      <w:r w:rsidRPr="00C903F8">
        <w:rPr>
          <w:rFonts w:cs="Arial"/>
          <w:b/>
          <w:sz w:val="44"/>
          <w:szCs w:val="44"/>
          <w:lang w:val="en-GB"/>
        </w:rPr>
        <w:t xml:space="preserve">Technical Requirements </w:t>
      </w:r>
    </w:p>
    <w:p w:rsidR="00226A59" w:rsidRPr="00C903F8" w:rsidRDefault="00226A59" w:rsidP="00226A59">
      <w:pPr>
        <w:pStyle w:val="BodyText3"/>
        <w:spacing w:line="240" w:lineRule="atLeast"/>
        <w:jc w:val="center"/>
        <w:rPr>
          <w:rFonts w:cs="Arial"/>
          <w:b/>
          <w:sz w:val="44"/>
          <w:szCs w:val="44"/>
          <w:lang w:val="en-GB"/>
        </w:rPr>
      </w:pPr>
      <w:r w:rsidRPr="00C903F8">
        <w:rPr>
          <w:rFonts w:cs="Arial"/>
          <w:b/>
          <w:sz w:val="44"/>
          <w:szCs w:val="44"/>
          <w:lang w:val="en-GB"/>
        </w:rPr>
        <w:t xml:space="preserve">for </w:t>
      </w:r>
    </w:p>
    <w:p w:rsidR="00226A59" w:rsidRPr="00C903F8" w:rsidRDefault="00226A59" w:rsidP="00226A59">
      <w:pPr>
        <w:pStyle w:val="BodyText3"/>
        <w:spacing w:line="240" w:lineRule="atLeast"/>
        <w:jc w:val="center"/>
        <w:rPr>
          <w:rFonts w:cs="Arial"/>
          <w:b/>
          <w:bCs/>
          <w:iCs/>
          <w:sz w:val="44"/>
          <w:szCs w:val="44"/>
          <w:lang w:val="en-GB"/>
        </w:rPr>
      </w:pPr>
      <w:r w:rsidRPr="00C903F8">
        <w:rPr>
          <w:rFonts w:cs="Arial"/>
          <w:b/>
          <w:sz w:val="44"/>
          <w:szCs w:val="44"/>
          <w:lang w:val="en-GB"/>
        </w:rPr>
        <w:t>Inland Navigation vessels</w:t>
      </w:r>
    </w:p>
    <w:p w:rsidR="00302C3E" w:rsidRPr="00C903F8" w:rsidRDefault="00302C3E" w:rsidP="00E1027C">
      <w:pPr>
        <w:spacing w:line="240" w:lineRule="atLeast"/>
        <w:jc w:val="center"/>
        <w:rPr>
          <w:rFonts w:cs="Arial"/>
          <w:sz w:val="22"/>
          <w:szCs w:val="22"/>
          <w:lang w:val="en-GB"/>
        </w:rPr>
      </w:pPr>
    </w:p>
    <w:p w:rsidR="00302C3E" w:rsidRPr="00C903F8" w:rsidRDefault="00172F8E" w:rsidP="00E1027C">
      <w:pPr>
        <w:spacing w:line="240" w:lineRule="atLeast"/>
        <w:jc w:val="center"/>
        <w:rPr>
          <w:rFonts w:cs="Arial"/>
          <w:b/>
          <w:sz w:val="22"/>
          <w:szCs w:val="22"/>
          <w:lang w:val="en-US"/>
        </w:rPr>
      </w:pPr>
      <w:r w:rsidRPr="00C903F8">
        <w:rPr>
          <w:rFonts w:cs="Arial"/>
          <w:b/>
          <w:sz w:val="22"/>
          <w:szCs w:val="22"/>
          <w:lang w:val="en-US"/>
        </w:rPr>
        <w:t>(ES-TRIN)</w:t>
      </w:r>
    </w:p>
    <w:p w:rsidR="00302C3E" w:rsidRPr="00C903F8" w:rsidRDefault="00302C3E" w:rsidP="00E1027C">
      <w:pPr>
        <w:spacing w:line="240" w:lineRule="atLeast"/>
        <w:jc w:val="center"/>
        <w:rPr>
          <w:rFonts w:cs="Arial"/>
          <w:sz w:val="22"/>
          <w:szCs w:val="22"/>
          <w:lang w:val="en-US"/>
        </w:rPr>
      </w:pPr>
    </w:p>
    <w:p w:rsidR="007874ED" w:rsidRPr="00C903F8" w:rsidRDefault="007874ED" w:rsidP="00E1027C">
      <w:pPr>
        <w:spacing w:line="240" w:lineRule="atLeast"/>
        <w:jc w:val="center"/>
        <w:rPr>
          <w:rFonts w:cs="Arial"/>
          <w:sz w:val="22"/>
          <w:szCs w:val="22"/>
          <w:lang w:val="en-US"/>
        </w:rPr>
      </w:pPr>
    </w:p>
    <w:p w:rsidR="00302C3E" w:rsidRPr="00C903F8" w:rsidRDefault="00302C3E" w:rsidP="00E1027C">
      <w:pPr>
        <w:pStyle w:val="Annexetitreglobale"/>
        <w:spacing w:line="240" w:lineRule="atLeast"/>
        <w:jc w:val="both"/>
        <w:rPr>
          <w:rFonts w:cs="Arial"/>
          <w:b w:val="0"/>
          <w:szCs w:val="20"/>
          <w:u w:val="none"/>
          <w:lang w:val="en-US"/>
        </w:rPr>
      </w:pPr>
    </w:p>
    <w:p w:rsidR="00302C3E" w:rsidRPr="00C903F8" w:rsidRDefault="00302C3E" w:rsidP="00E1027C">
      <w:pPr>
        <w:pStyle w:val="Annexetitreglobale"/>
        <w:spacing w:line="240" w:lineRule="atLeast"/>
        <w:jc w:val="both"/>
        <w:rPr>
          <w:rFonts w:cs="Arial"/>
          <w:b w:val="0"/>
          <w:szCs w:val="20"/>
          <w:u w:val="none"/>
          <w:lang w:val="en-US"/>
        </w:rPr>
      </w:pPr>
    </w:p>
    <w:p w:rsidR="00302C3E" w:rsidRPr="00C903F8" w:rsidRDefault="00302C3E" w:rsidP="00E1027C">
      <w:pPr>
        <w:pStyle w:val="Annexetitreglobale"/>
        <w:spacing w:line="240" w:lineRule="atLeast"/>
        <w:jc w:val="both"/>
        <w:rPr>
          <w:rFonts w:cs="Arial"/>
          <w:b w:val="0"/>
          <w:szCs w:val="20"/>
          <w:u w:val="none"/>
          <w:lang w:val="en-US"/>
        </w:rPr>
      </w:pPr>
    </w:p>
    <w:p w:rsidR="00E1027C" w:rsidRPr="00C903F8" w:rsidRDefault="00302C3E" w:rsidP="00E1027C">
      <w:pPr>
        <w:spacing w:line="240" w:lineRule="atLeast"/>
        <w:jc w:val="center"/>
        <w:rPr>
          <w:lang w:val="en-US"/>
        </w:rPr>
      </w:pPr>
      <w:r w:rsidRPr="00C903F8">
        <w:rPr>
          <w:lang w:val="en-US"/>
        </w:rPr>
        <w:br w:type="page"/>
      </w:r>
    </w:p>
    <w:p w:rsidR="002C44F2" w:rsidRPr="00C903F8" w:rsidRDefault="002C44F2" w:rsidP="00E1027C">
      <w:pPr>
        <w:spacing w:line="240" w:lineRule="atLeast"/>
        <w:jc w:val="center"/>
        <w:rPr>
          <w:lang w:val="en-US"/>
        </w:rPr>
      </w:pPr>
    </w:p>
    <w:p w:rsidR="00E1027C" w:rsidRPr="00C903F8" w:rsidRDefault="00E1027C" w:rsidP="00E1027C">
      <w:pPr>
        <w:pStyle w:val="TOCHeading"/>
        <w:spacing w:after="0" w:line="240" w:lineRule="atLeast"/>
        <w:rPr>
          <w:rFonts w:cs="Arial"/>
          <w:sz w:val="20"/>
          <w:szCs w:val="20"/>
          <w:lang w:val="en-US"/>
        </w:rPr>
      </w:pPr>
    </w:p>
    <w:p w:rsidR="00360D41" w:rsidRPr="00C903F8" w:rsidRDefault="00CA2865" w:rsidP="00E1027C">
      <w:pPr>
        <w:pStyle w:val="TOCHeading"/>
        <w:spacing w:after="0" w:line="240" w:lineRule="atLeast"/>
        <w:rPr>
          <w:rFonts w:cs="Arial"/>
          <w:sz w:val="24"/>
          <w:szCs w:val="24"/>
          <w:lang w:val="en-US"/>
        </w:rPr>
      </w:pPr>
      <w:r w:rsidRPr="00C903F8">
        <w:rPr>
          <w:rFonts w:cs="Arial"/>
          <w:sz w:val="24"/>
          <w:szCs w:val="24"/>
          <w:lang w:val="en-US"/>
        </w:rPr>
        <w:t xml:space="preserve">TABLE </w:t>
      </w:r>
      <w:r w:rsidR="00226A59" w:rsidRPr="00C903F8">
        <w:rPr>
          <w:rFonts w:cs="Arial"/>
          <w:sz w:val="24"/>
          <w:szCs w:val="24"/>
          <w:lang w:val="en-US"/>
        </w:rPr>
        <w:t>OF CONTENTS</w:t>
      </w:r>
    </w:p>
    <w:p w:rsidR="00E1027C" w:rsidRPr="00C903F8" w:rsidRDefault="00E1027C" w:rsidP="00A31C24">
      <w:pPr>
        <w:spacing w:line="240" w:lineRule="atLeast"/>
        <w:rPr>
          <w:lang w:val="en-US"/>
        </w:rPr>
      </w:pPr>
    </w:p>
    <w:p w:rsidR="006E79EB" w:rsidRPr="00C903F8" w:rsidRDefault="006E79EB" w:rsidP="00A31C24">
      <w:pPr>
        <w:spacing w:line="240" w:lineRule="atLeast"/>
        <w:rPr>
          <w:lang w:val="en-US"/>
        </w:rPr>
      </w:pPr>
    </w:p>
    <w:p w:rsidR="00D30C93" w:rsidRDefault="00FC3016">
      <w:pPr>
        <w:pStyle w:val="TOC1"/>
        <w:rPr>
          <w:rFonts w:asciiTheme="minorHAnsi" w:eastAsiaTheme="minorEastAsia" w:hAnsiTheme="minorHAnsi" w:cstheme="minorBidi"/>
          <w:b w:val="0"/>
          <w:bCs w:val="0"/>
          <w:caps w:val="0"/>
          <w:noProof/>
          <w:sz w:val="22"/>
          <w:szCs w:val="22"/>
        </w:rPr>
      </w:pPr>
      <w:r>
        <w:rPr>
          <w:rFonts w:cs="Arial"/>
        </w:rPr>
        <w:fldChar w:fldCharType="begin"/>
      </w:r>
      <w:r>
        <w:rPr>
          <w:rFonts w:cs="Arial"/>
        </w:rPr>
        <w:instrText xml:space="preserve"> TOC \h \z \t "ES-Titre1;1;ES-Titre2;2;ES-Titre3;3;ES-Titre3a;3;Es-Titre_annexes;1;ES-Titre3_pr_chap32;3;Chiffre_gras;1;ES-Titre2_ESI;2" </w:instrText>
      </w:r>
      <w:r>
        <w:rPr>
          <w:rFonts w:cs="Arial"/>
        </w:rPr>
        <w:fldChar w:fldCharType="separate"/>
      </w:r>
      <w:hyperlink w:anchor="_Toc491854002" w:history="1">
        <w:r w:rsidR="00D30C93" w:rsidRPr="00F57C6C">
          <w:rPr>
            <w:rStyle w:val="Hyperlink"/>
            <w:noProof/>
          </w:rPr>
          <w:t>PART I GENERAL</w:t>
        </w:r>
        <w:r w:rsidR="00D30C93">
          <w:rPr>
            <w:noProof/>
            <w:webHidden/>
          </w:rPr>
          <w:tab/>
        </w:r>
        <w:r w:rsidR="00D30C93">
          <w:rPr>
            <w:noProof/>
            <w:webHidden/>
          </w:rPr>
          <w:fldChar w:fldCharType="begin"/>
        </w:r>
        <w:r w:rsidR="00D30C93">
          <w:rPr>
            <w:noProof/>
            <w:webHidden/>
          </w:rPr>
          <w:instrText xml:space="preserve"> PAGEREF _Toc491854002 \h </w:instrText>
        </w:r>
        <w:r w:rsidR="00D30C93">
          <w:rPr>
            <w:noProof/>
            <w:webHidden/>
          </w:rPr>
        </w:r>
        <w:r w:rsidR="00D30C93">
          <w:rPr>
            <w:noProof/>
            <w:webHidden/>
          </w:rPr>
          <w:fldChar w:fldCharType="separate"/>
        </w:r>
        <w:r w:rsidR="001B3D1D">
          <w:rPr>
            <w:noProof/>
            <w:webHidden/>
          </w:rPr>
          <w:t>1</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003" w:history="1">
        <w:r w:rsidR="00D30C93" w:rsidRPr="00F57C6C">
          <w:rPr>
            <w:rStyle w:val="Hyperlink"/>
            <w:noProof/>
          </w:rPr>
          <w:t>Chapter 1 General</w:t>
        </w:r>
        <w:r w:rsidR="00DB1C3A">
          <w:rPr>
            <w:rStyle w:val="Hyperlink"/>
            <w:noProof/>
          </w:rPr>
          <w:t>................</w:t>
        </w:r>
        <w:r w:rsidR="007D5411">
          <w:rPr>
            <w:rStyle w:val="Hyperlink"/>
            <w:noProof/>
          </w:rPr>
          <w:t>........................................................................................................</w:t>
        </w:r>
        <w:r w:rsidR="00D30C93">
          <w:rPr>
            <w:noProof/>
            <w:webHidden/>
          </w:rPr>
          <w:fldChar w:fldCharType="begin"/>
        </w:r>
        <w:r w:rsidR="00D30C93">
          <w:rPr>
            <w:noProof/>
            <w:webHidden/>
          </w:rPr>
          <w:instrText xml:space="preserve"> PAGEREF _Toc491854003 \h </w:instrText>
        </w:r>
        <w:r w:rsidR="00D30C93">
          <w:rPr>
            <w:noProof/>
            <w:webHidden/>
          </w:rPr>
        </w:r>
        <w:r w:rsidR="00D30C93">
          <w:rPr>
            <w:noProof/>
            <w:webHidden/>
          </w:rPr>
          <w:fldChar w:fldCharType="separate"/>
        </w:r>
        <w:r w:rsidR="001B3D1D">
          <w:rPr>
            <w:noProof/>
            <w:webHidden/>
          </w:rPr>
          <w:t>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04" w:history="1">
        <w:r w:rsidR="00D30C93" w:rsidRPr="00F57C6C">
          <w:rPr>
            <w:rStyle w:val="Hyperlink"/>
            <w:noProof/>
            <w:lang w:val="en-US"/>
          </w:rPr>
          <w:t>Article 1.01 Definitions</w:t>
        </w:r>
        <w:r w:rsidR="00D30C93">
          <w:rPr>
            <w:noProof/>
            <w:webHidden/>
          </w:rPr>
          <w:tab/>
        </w:r>
        <w:r w:rsidR="00D30C93">
          <w:rPr>
            <w:noProof/>
            <w:webHidden/>
          </w:rPr>
          <w:fldChar w:fldCharType="begin"/>
        </w:r>
        <w:r w:rsidR="00D30C93">
          <w:rPr>
            <w:noProof/>
            <w:webHidden/>
          </w:rPr>
          <w:instrText xml:space="preserve"> PAGEREF _Toc491854004 \h </w:instrText>
        </w:r>
        <w:r w:rsidR="00D30C93">
          <w:rPr>
            <w:noProof/>
            <w:webHidden/>
          </w:rPr>
        </w:r>
        <w:r w:rsidR="00D30C93">
          <w:rPr>
            <w:noProof/>
            <w:webHidden/>
          </w:rPr>
          <w:fldChar w:fldCharType="separate"/>
        </w:r>
        <w:r w:rsidR="001B3D1D">
          <w:rPr>
            <w:noProof/>
            <w:webHidden/>
          </w:rPr>
          <w:t>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05" w:history="1">
        <w:r w:rsidR="00D30C93" w:rsidRPr="00F57C6C">
          <w:rPr>
            <w:rStyle w:val="Hyperlink"/>
            <w:rFonts w:cs="Arial"/>
            <w:noProof/>
            <w:lang w:val="en-US"/>
          </w:rPr>
          <w:t>Article 1.02</w:t>
        </w:r>
        <w:r w:rsidR="00D30C93" w:rsidRPr="00F57C6C">
          <w:rPr>
            <w:rStyle w:val="Hyperlink"/>
            <w:noProof/>
            <w:lang w:val="en-US"/>
          </w:rPr>
          <w:t xml:space="preserve"> </w:t>
        </w:r>
        <w:r w:rsidR="00D30C93" w:rsidRPr="00F57C6C">
          <w:rPr>
            <w:rStyle w:val="Hyperlink"/>
            <w:rFonts w:cs="Arial"/>
            <w:noProof/>
            <w:lang w:val="en-US"/>
          </w:rPr>
          <w:t>Instructions for the application of this Standard</w:t>
        </w:r>
        <w:r w:rsidR="00D30C93">
          <w:rPr>
            <w:noProof/>
            <w:webHidden/>
          </w:rPr>
          <w:tab/>
        </w:r>
        <w:r w:rsidR="00D30C93">
          <w:rPr>
            <w:noProof/>
            <w:webHidden/>
          </w:rPr>
          <w:fldChar w:fldCharType="begin"/>
        </w:r>
        <w:r w:rsidR="00D30C93">
          <w:rPr>
            <w:noProof/>
            <w:webHidden/>
          </w:rPr>
          <w:instrText xml:space="preserve"> PAGEREF _Toc491854005 \h </w:instrText>
        </w:r>
        <w:r w:rsidR="00D30C93">
          <w:rPr>
            <w:noProof/>
            <w:webHidden/>
          </w:rPr>
        </w:r>
        <w:r w:rsidR="00D30C93">
          <w:rPr>
            <w:noProof/>
            <w:webHidden/>
          </w:rPr>
          <w:fldChar w:fldCharType="separate"/>
        </w:r>
        <w:r w:rsidR="001B3D1D">
          <w:rPr>
            <w:noProof/>
            <w:webHidden/>
          </w:rPr>
          <w:t>10</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006" w:history="1">
        <w:r w:rsidR="00D30C93" w:rsidRPr="00F57C6C">
          <w:rPr>
            <w:rStyle w:val="Hyperlink"/>
            <w:noProof/>
          </w:rPr>
          <w:t>Chapter 2 Procedure</w:t>
        </w:r>
        <w:r w:rsidR="007D5411">
          <w:rPr>
            <w:webHidden/>
          </w:rPr>
          <w:t>……</w:t>
        </w:r>
        <w:r w:rsidR="008B663C">
          <w:rPr>
            <w:webHidden/>
          </w:rPr>
          <w:t>…………………………………………………………………………….</w:t>
        </w:r>
        <w:r w:rsidR="007A532F">
          <w:rPr>
            <w:webHidden/>
          </w:rPr>
          <w:t>.</w:t>
        </w:r>
        <w:r w:rsidR="00D30C93">
          <w:rPr>
            <w:noProof/>
            <w:webHidden/>
          </w:rPr>
          <w:fldChar w:fldCharType="begin"/>
        </w:r>
        <w:r w:rsidR="00D30C93">
          <w:rPr>
            <w:noProof/>
            <w:webHidden/>
          </w:rPr>
          <w:instrText xml:space="preserve"> PAGEREF _Toc491854006 \h </w:instrText>
        </w:r>
        <w:r w:rsidR="00D30C93">
          <w:rPr>
            <w:noProof/>
            <w:webHidden/>
          </w:rPr>
        </w:r>
        <w:r w:rsidR="00D30C93">
          <w:rPr>
            <w:noProof/>
            <w:webHidden/>
          </w:rPr>
          <w:fldChar w:fldCharType="separate"/>
        </w:r>
        <w:r w:rsidR="001B3D1D">
          <w:rPr>
            <w:noProof/>
            <w:webHidden/>
          </w:rPr>
          <w:t>11</w:t>
        </w:r>
        <w:r w:rsidR="00D30C93">
          <w:rPr>
            <w:noProof/>
            <w:webHidden/>
          </w:rPr>
          <w:fldChar w:fldCharType="end"/>
        </w:r>
      </w:hyperlink>
    </w:p>
    <w:p w:rsidR="00D30C93" w:rsidRDefault="00F12BAF">
      <w:pPr>
        <w:pStyle w:val="TOC1"/>
        <w:rPr>
          <w:rFonts w:asciiTheme="minorHAnsi" w:eastAsiaTheme="minorEastAsia" w:hAnsiTheme="minorHAnsi" w:cstheme="minorBidi"/>
          <w:b w:val="0"/>
          <w:bCs w:val="0"/>
          <w:caps w:val="0"/>
          <w:noProof/>
          <w:sz w:val="22"/>
          <w:szCs w:val="22"/>
        </w:rPr>
      </w:pPr>
      <w:hyperlink w:anchor="_Toc491854007" w:history="1">
        <w:r w:rsidR="00D30C93" w:rsidRPr="00F57C6C">
          <w:rPr>
            <w:rStyle w:val="Hyperlink"/>
            <w:noProof/>
          </w:rPr>
          <w:t>PART II PROVISIONS REGARDING SHIPBUILDING, FITTING OUT AND EQUIPMENT</w:t>
        </w:r>
        <w:r w:rsidR="00D30C93">
          <w:rPr>
            <w:noProof/>
            <w:webHidden/>
          </w:rPr>
          <w:tab/>
        </w:r>
        <w:r w:rsidR="00D30C93">
          <w:rPr>
            <w:noProof/>
            <w:webHidden/>
          </w:rPr>
          <w:fldChar w:fldCharType="begin"/>
        </w:r>
        <w:r w:rsidR="00D30C93">
          <w:rPr>
            <w:noProof/>
            <w:webHidden/>
          </w:rPr>
          <w:instrText xml:space="preserve"> PAGEREF _Toc491854007 \h </w:instrText>
        </w:r>
        <w:r w:rsidR="00D30C93">
          <w:rPr>
            <w:noProof/>
            <w:webHidden/>
          </w:rPr>
        </w:r>
        <w:r w:rsidR="00D30C93">
          <w:rPr>
            <w:noProof/>
            <w:webHidden/>
          </w:rPr>
          <w:fldChar w:fldCharType="separate"/>
        </w:r>
        <w:r w:rsidR="001B3D1D">
          <w:rPr>
            <w:noProof/>
            <w:webHidden/>
          </w:rPr>
          <w:t>13</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008" w:history="1">
        <w:r w:rsidR="00D30C93" w:rsidRPr="00F57C6C">
          <w:rPr>
            <w:rStyle w:val="Hyperlink"/>
            <w:noProof/>
          </w:rPr>
          <w:t>Chapter 3 Shipbuilding requirements</w:t>
        </w:r>
        <w:r w:rsidR="007A532F">
          <w:rPr>
            <w:webHidden/>
          </w:rPr>
          <w:t>……………………………………………………………….</w:t>
        </w:r>
        <w:r w:rsidR="00D30C93">
          <w:rPr>
            <w:noProof/>
            <w:webHidden/>
          </w:rPr>
          <w:fldChar w:fldCharType="begin"/>
        </w:r>
        <w:r w:rsidR="00D30C93">
          <w:rPr>
            <w:noProof/>
            <w:webHidden/>
          </w:rPr>
          <w:instrText xml:space="preserve"> PAGEREF _Toc491854008 \h </w:instrText>
        </w:r>
        <w:r w:rsidR="00D30C93">
          <w:rPr>
            <w:noProof/>
            <w:webHidden/>
          </w:rPr>
        </w:r>
        <w:r w:rsidR="00D30C93">
          <w:rPr>
            <w:noProof/>
            <w:webHidden/>
          </w:rPr>
          <w:fldChar w:fldCharType="separate"/>
        </w:r>
        <w:r w:rsidR="001B3D1D">
          <w:rPr>
            <w:noProof/>
            <w:webHidden/>
          </w:rPr>
          <w:t>13</w:t>
        </w:r>
        <w:r w:rsidR="00D30C93">
          <w:rPr>
            <w:noProof/>
            <w:webHidden/>
          </w:rPr>
          <w:fldChar w:fldCharType="end"/>
        </w:r>
      </w:hyperlink>
    </w:p>
    <w:p w:rsidR="00D30C93" w:rsidRDefault="00F12BAF" w:rsidP="00A74BCF">
      <w:pPr>
        <w:pStyle w:val="TOC3"/>
        <w:rPr>
          <w:rFonts w:asciiTheme="minorHAnsi" w:eastAsiaTheme="minorEastAsia" w:hAnsiTheme="minorHAnsi" w:cstheme="minorBidi"/>
          <w:i w:val="0"/>
          <w:iCs w:val="0"/>
          <w:noProof/>
          <w:sz w:val="22"/>
          <w:szCs w:val="22"/>
        </w:rPr>
      </w:pPr>
      <w:hyperlink w:anchor="_Toc491854009" w:history="1">
        <w:r w:rsidR="00D30C93" w:rsidRPr="00F57C6C">
          <w:rPr>
            <w:rStyle w:val="Hyperlink"/>
            <w:noProof/>
            <w:lang w:val="en-US"/>
          </w:rPr>
          <w:t>Article 3.01 Basic rules</w:t>
        </w:r>
        <w:r w:rsidR="00D30C93">
          <w:rPr>
            <w:noProof/>
            <w:webHidden/>
          </w:rPr>
          <w:tab/>
        </w:r>
        <w:r w:rsidR="00D30C93">
          <w:rPr>
            <w:noProof/>
            <w:webHidden/>
          </w:rPr>
          <w:fldChar w:fldCharType="begin"/>
        </w:r>
        <w:r w:rsidR="00D30C93">
          <w:rPr>
            <w:noProof/>
            <w:webHidden/>
          </w:rPr>
          <w:instrText xml:space="preserve"> PAGEREF _Toc491854009 \h </w:instrText>
        </w:r>
        <w:r w:rsidR="00D30C93">
          <w:rPr>
            <w:noProof/>
            <w:webHidden/>
          </w:rPr>
        </w:r>
        <w:r w:rsidR="00D30C93">
          <w:rPr>
            <w:noProof/>
            <w:webHidden/>
          </w:rPr>
          <w:fldChar w:fldCharType="separate"/>
        </w:r>
        <w:r w:rsidR="001B3D1D">
          <w:rPr>
            <w:noProof/>
            <w:webHidden/>
          </w:rPr>
          <w:t>13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10" w:history="1">
        <w:r w:rsidR="00D30C93" w:rsidRPr="00F57C6C">
          <w:rPr>
            <w:rStyle w:val="Hyperlink"/>
            <w:noProof/>
            <w:lang w:val="en-US"/>
          </w:rPr>
          <w:t>Article 3.02 Strength and stability</w:t>
        </w:r>
        <w:r w:rsidR="00D30C93">
          <w:rPr>
            <w:noProof/>
            <w:webHidden/>
          </w:rPr>
          <w:tab/>
        </w:r>
        <w:r w:rsidR="00D30C93">
          <w:rPr>
            <w:noProof/>
            <w:webHidden/>
          </w:rPr>
          <w:fldChar w:fldCharType="begin"/>
        </w:r>
        <w:r w:rsidR="00D30C93">
          <w:rPr>
            <w:noProof/>
            <w:webHidden/>
          </w:rPr>
          <w:instrText xml:space="preserve"> PAGEREF _Toc491854010 \h </w:instrText>
        </w:r>
        <w:r w:rsidR="00D30C93">
          <w:rPr>
            <w:noProof/>
            <w:webHidden/>
          </w:rPr>
        </w:r>
        <w:r w:rsidR="00D30C93">
          <w:rPr>
            <w:noProof/>
            <w:webHidden/>
          </w:rPr>
          <w:fldChar w:fldCharType="separate"/>
        </w:r>
        <w:r w:rsidR="001B3D1D">
          <w:rPr>
            <w:noProof/>
            <w:webHidden/>
          </w:rPr>
          <w:t>13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11" w:history="1">
        <w:r w:rsidR="00D30C93" w:rsidRPr="00F57C6C">
          <w:rPr>
            <w:rStyle w:val="Hyperlink"/>
            <w:noProof/>
            <w:lang w:val="en-US"/>
          </w:rPr>
          <w:t>Article 3.03 Hull</w:t>
        </w:r>
        <w:r w:rsidR="00D30C93">
          <w:rPr>
            <w:noProof/>
            <w:webHidden/>
          </w:rPr>
          <w:tab/>
        </w:r>
        <w:r w:rsidR="00D30C93">
          <w:rPr>
            <w:noProof/>
            <w:webHidden/>
          </w:rPr>
          <w:fldChar w:fldCharType="begin"/>
        </w:r>
        <w:r w:rsidR="00D30C93">
          <w:rPr>
            <w:noProof/>
            <w:webHidden/>
          </w:rPr>
          <w:instrText xml:space="preserve"> PAGEREF _Toc491854011 \h </w:instrText>
        </w:r>
        <w:r w:rsidR="00D30C93">
          <w:rPr>
            <w:noProof/>
            <w:webHidden/>
          </w:rPr>
        </w:r>
        <w:r w:rsidR="00D30C93">
          <w:rPr>
            <w:noProof/>
            <w:webHidden/>
          </w:rPr>
          <w:fldChar w:fldCharType="separate"/>
        </w:r>
        <w:r w:rsidR="001B3D1D">
          <w:rPr>
            <w:noProof/>
            <w:webHidden/>
          </w:rPr>
          <w:t>14</w:t>
        </w:r>
        <w:r w:rsidR="00D30C93">
          <w:rPr>
            <w:noProof/>
            <w:webHidden/>
          </w:rPr>
          <w:fldChar w:fldCharType="end"/>
        </w:r>
      </w:hyperlink>
    </w:p>
    <w:p w:rsidR="00D30C93" w:rsidRDefault="00F12BAF" w:rsidP="007C4323">
      <w:pPr>
        <w:pStyle w:val="TOC3"/>
        <w:rPr>
          <w:rFonts w:asciiTheme="minorHAnsi" w:eastAsiaTheme="minorEastAsia" w:hAnsiTheme="minorHAnsi" w:cstheme="minorBidi"/>
          <w:i w:val="0"/>
          <w:iCs w:val="0"/>
          <w:noProof/>
          <w:sz w:val="22"/>
          <w:szCs w:val="22"/>
        </w:rPr>
      </w:pPr>
      <w:hyperlink w:anchor="_Toc491854012" w:history="1">
        <w:r w:rsidR="00D30C93" w:rsidRPr="00F57C6C">
          <w:rPr>
            <w:rStyle w:val="Hyperlink"/>
            <w:noProof/>
            <w:lang w:val="en-US"/>
          </w:rPr>
          <w:t>Article 3.04 Engine and boiler rooms, bunkers</w:t>
        </w:r>
        <w:r w:rsidR="00D30C93">
          <w:rPr>
            <w:noProof/>
            <w:webHidden/>
          </w:rPr>
          <w:tab/>
        </w:r>
        <w:r w:rsidR="00D30C93">
          <w:rPr>
            <w:noProof/>
            <w:webHidden/>
          </w:rPr>
          <w:fldChar w:fldCharType="begin"/>
        </w:r>
        <w:r w:rsidR="00D30C93">
          <w:rPr>
            <w:noProof/>
            <w:webHidden/>
          </w:rPr>
          <w:instrText xml:space="preserve"> PAGEREF _Toc491854012 \h </w:instrText>
        </w:r>
        <w:r w:rsidR="00D30C93">
          <w:rPr>
            <w:noProof/>
            <w:webHidden/>
          </w:rPr>
        </w:r>
        <w:r w:rsidR="00D30C93">
          <w:rPr>
            <w:noProof/>
            <w:webHidden/>
          </w:rPr>
          <w:fldChar w:fldCharType="separate"/>
        </w:r>
        <w:r w:rsidR="001B3D1D">
          <w:rPr>
            <w:noProof/>
            <w:webHidden/>
          </w:rPr>
          <w:t>16</w:t>
        </w:r>
        <w:r w:rsidR="00D30C93">
          <w:rPr>
            <w:noProof/>
            <w:webHidden/>
          </w:rPr>
          <w:fldChar w:fldCharType="end"/>
        </w:r>
      </w:hyperlink>
    </w:p>
    <w:p w:rsidR="00D30C93" w:rsidRDefault="00F12BAF" w:rsidP="007C4323">
      <w:pPr>
        <w:pStyle w:val="TOC2"/>
        <w:tabs>
          <w:tab w:val="right" w:leader="dot" w:pos="9060"/>
        </w:tabs>
        <w:ind w:left="142"/>
        <w:rPr>
          <w:rFonts w:asciiTheme="minorHAnsi" w:eastAsiaTheme="minorEastAsia" w:hAnsiTheme="minorHAnsi" w:cstheme="minorBidi"/>
          <w:smallCaps w:val="0"/>
          <w:noProof/>
          <w:sz w:val="22"/>
          <w:szCs w:val="22"/>
        </w:rPr>
      </w:pPr>
      <w:hyperlink w:anchor="_Toc491854013" w:history="1">
        <w:r w:rsidR="00D30C93" w:rsidRPr="00F57C6C">
          <w:rPr>
            <w:rStyle w:val="Hyperlink"/>
            <w:noProof/>
          </w:rPr>
          <w:t>Chapter 4 Safety clearance, freeboard and draught marks</w:t>
        </w:r>
        <w:r w:rsidR="007C4323">
          <w:rPr>
            <w:rStyle w:val="Hyperlink"/>
            <w:noProof/>
          </w:rPr>
          <w:t>…………………………………..</w:t>
        </w:r>
        <w:r w:rsidR="00D30C93">
          <w:rPr>
            <w:noProof/>
            <w:webHidden/>
          </w:rPr>
          <w:fldChar w:fldCharType="begin"/>
        </w:r>
        <w:r w:rsidR="00D30C93">
          <w:rPr>
            <w:noProof/>
            <w:webHidden/>
          </w:rPr>
          <w:instrText xml:space="preserve"> PAGEREF _Toc491854013 \h </w:instrText>
        </w:r>
        <w:r w:rsidR="00D30C93">
          <w:rPr>
            <w:noProof/>
            <w:webHidden/>
          </w:rPr>
        </w:r>
        <w:r w:rsidR="00D30C93">
          <w:rPr>
            <w:noProof/>
            <w:webHidden/>
          </w:rPr>
          <w:fldChar w:fldCharType="separate"/>
        </w:r>
        <w:r w:rsidR="001B3D1D">
          <w:rPr>
            <w:noProof/>
            <w:webHidden/>
          </w:rPr>
          <w:t>17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14" w:history="1">
        <w:r w:rsidR="00D30C93" w:rsidRPr="00F57C6C">
          <w:rPr>
            <w:rStyle w:val="Hyperlink"/>
            <w:noProof/>
            <w:lang w:val="en-US"/>
          </w:rPr>
          <w:t>Article 4.01 Safety clearance</w:t>
        </w:r>
        <w:r w:rsidR="00D30C93">
          <w:rPr>
            <w:noProof/>
            <w:webHidden/>
          </w:rPr>
          <w:tab/>
        </w:r>
        <w:r w:rsidR="00D30C93">
          <w:rPr>
            <w:noProof/>
            <w:webHidden/>
          </w:rPr>
          <w:fldChar w:fldCharType="begin"/>
        </w:r>
        <w:r w:rsidR="00D30C93">
          <w:rPr>
            <w:noProof/>
            <w:webHidden/>
          </w:rPr>
          <w:instrText xml:space="preserve"> PAGEREF _Toc491854014 \h </w:instrText>
        </w:r>
        <w:r w:rsidR="00D30C93">
          <w:rPr>
            <w:noProof/>
            <w:webHidden/>
          </w:rPr>
        </w:r>
        <w:r w:rsidR="00D30C93">
          <w:rPr>
            <w:noProof/>
            <w:webHidden/>
          </w:rPr>
          <w:fldChar w:fldCharType="separate"/>
        </w:r>
        <w:r w:rsidR="001B3D1D">
          <w:rPr>
            <w:noProof/>
            <w:webHidden/>
          </w:rPr>
          <w:t>17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15" w:history="1">
        <w:r w:rsidR="00D30C93" w:rsidRPr="00F57C6C">
          <w:rPr>
            <w:rStyle w:val="Hyperlink"/>
            <w:noProof/>
            <w:lang w:val="en-US"/>
          </w:rPr>
          <w:t>Article 4.02 Freeboard</w:t>
        </w:r>
        <w:r w:rsidR="00D30C93">
          <w:rPr>
            <w:noProof/>
            <w:webHidden/>
          </w:rPr>
          <w:tab/>
        </w:r>
        <w:r w:rsidR="00D30C93">
          <w:rPr>
            <w:noProof/>
            <w:webHidden/>
          </w:rPr>
          <w:fldChar w:fldCharType="begin"/>
        </w:r>
        <w:r w:rsidR="00D30C93">
          <w:rPr>
            <w:noProof/>
            <w:webHidden/>
          </w:rPr>
          <w:instrText xml:space="preserve"> PAGEREF _Toc491854015 \h </w:instrText>
        </w:r>
        <w:r w:rsidR="00D30C93">
          <w:rPr>
            <w:noProof/>
            <w:webHidden/>
          </w:rPr>
        </w:r>
        <w:r w:rsidR="00D30C93">
          <w:rPr>
            <w:noProof/>
            <w:webHidden/>
          </w:rPr>
          <w:fldChar w:fldCharType="separate"/>
        </w:r>
        <w:r w:rsidR="001B3D1D">
          <w:rPr>
            <w:noProof/>
            <w:webHidden/>
          </w:rPr>
          <w:t>17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16" w:history="1">
        <w:r w:rsidR="00D30C93" w:rsidRPr="00F57C6C">
          <w:rPr>
            <w:rStyle w:val="Hyperlink"/>
            <w:noProof/>
            <w:lang w:val="en-US"/>
          </w:rPr>
          <w:t>Article 4.03 Minimum freeboard</w:t>
        </w:r>
        <w:r w:rsidR="00D30C93">
          <w:rPr>
            <w:noProof/>
            <w:webHidden/>
          </w:rPr>
          <w:tab/>
        </w:r>
        <w:r w:rsidR="00D30C93">
          <w:rPr>
            <w:noProof/>
            <w:webHidden/>
          </w:rPr>
          <w:fldChar w:fldCharType="begin"/>
        </w:r>
        <w:r w:rsidR="00D30C93">
          <w:rPr>
            <w:noProof/>
            <w:webHidden/>
          </w:rPr>
          <w:instrText xml:space="preserve"> PAGEREF _Toc491854016 \h </w:instrText>
        </w:r>
        <w:r w:rsidR="00D30C93">
          <w:rPr>
            <w:noProof/>
            <w:webHidden/>
          </w:rPr>
        </w:r>
        <w:r w:rsidR="00D30C93">
          <w:rPr>
            <w:noProof/>
            <w:webHidden/>
          </w:rPr>
          <w:fldChar w:fldCharType="separate"/>
        </w:r>
        <w:r w:rsidR="001B3D1D">
          <w:rPr>
            <w:noProof/>
            <w:webHidden/>
          </w:rPr>
          <w:t>19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17" w:history="1">
        <w:r w:rsidR="00D30C93" w:rsidRPr="00F57C6C">
          <w:rPr>
            <w:rStyle w:val="Hyperlink"/>
            <w:noProof/>
            <w:lang w:val="en-US"/>
          </w:rPr>
          <w:t>Article 4.04 Draught marks</w:t>
        </w:r>
        <w:r w:rsidR="00D30C93">
          <w:rPr>
            <w:noProof/>
            <w:webHidden/>
          </w:rPr>
          <w:tab/>
        </w:r>
        <w:r w:rsidR="00D30C93">
          <w:rPr>
            <w:noProof/>
            <w:webHidden/>
          </w:rPr>
          <w:fldChar w:fldCharType="begin"/>
        </w:r>
        <w:r w:rsidR="00D30C93">
          <w:rPr>
            <w:noProof/>
            <w:webHidden/>
          </w:rPr>
          <w:instrText xml:space="preserve"> PAGEREF _Toc491854017 \h </w:instrText>
        </w:r>
        <w:r w:rsidR="00D30C93">
          <w:rPr>
            <w:noProof/>
            <w:webHidden/>
          </w:rPr>
        </w:r>
        <w:r w:rsidR="00D30C93">
          <w:rPr>
            <w:noProof/>
            <w:webHidden/>
          </w:rPr>
          <w:fldChar w:fldCharType="separate"/>
        </w:r>
        <w:r w:rsidR="001B3D1D">
          <w:rPr>
            <w:noProof/>
            <w:webHidden/>
          </w:rPr>
          <w:t>19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18" w:history="1">
        <w:r w:rsidR="00D30C93" w:rsidRPr="00F57C6C">
          <w:rPr>
            <w:rStyle w:val="Hyperlink"/>
            <w:noProof/>
            <w:lang w:val="en-GB"/>
          </w:rPr>
          <w:t>Article 4.05 Maximum loaded draught of vessels whose holds are not always closed so as to be spray-proof and weathertight</w:t>
        </w:r>
        <w:r w:rsidR="00D30C93">
          <w:rPr>
            <w:noProof/>
            <w:webHidden/>
          </w:rPr>
          <w:tab/>
        </w:r>
        <w:r w:rsidR="00D30C93">
          <w:rPr>
            <w:noProof/>
            <w:webHidden/>
          </w:rPr>
          <w:fldChar w:fldCharType="begin"/>
        </w:r>
        <w:r w:rsidR="00D30C93">
          <w:rPr>
            <w:noProof/>
            <w:webHidden/>
          </w:rPr>
          <w:instrText xml:space="preserve"> PAGEREF _Toc491854018 \h </w:instrText>
        </w:r>
        <w:r w:rsidR="00D30C93">
          <w:rPr>
            <w:noProof/>
            <w:webHidden/>
          </w:rPr>
        </w:r>
        <w:r w:rsidR="00D30C93">
          <w:rPr>
            <w:noProof/>
            <w:webHidden/>
          </w:rPr>
          <w:fldChar w:fldCharType="separate"/>
        </w:r>
        <w:r w:rsidR="001B3D1D">
          <w:rPr>
            <w:noProof/>
            <w:webHidden/>
          </w:rPr>
          <w:t>21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19" w:history="1">
        <w:r w:rsidR="00D30C93" w:rsidRPr="00F57C6C">
          <w:rPr>
            <w:rStyle w:val="Hyperlink"/>
            <w:noProof/>
            <w:lang w:val="en-US"/>
          </w:rPr>
          <w:t>Article 4.06 Draught scales</w:t>
        </w:r>
        <w:r w:rsidR="00D30C93">
          <w:rPr>
            <w:noProof/>
            <w:webHidden/>
          </w:rPr>
          <w:tab/>
        </w:r>
        <w:r w:rsidR="00D30C93">
          <w:rPr>
            <w:noProof/>
            <w:webHidden/>
          </w:rPr>
          <w:fldChar w:fldCharType="begin"/>
        </w:r>
        <w:r w:rsidR="00D30C93">
          <w:rPr>
            <w:noProof/>
            <w:webHidden/>
          </w:rPr>
          <w:instrText xml:space="preserve"> PAGEREF _Toc491854019 \h </w:instrText>
        </w:r>
        <w:r w:rsidR="00D30C93">
          <w:rPr>
            <w:noProof/>
            <w:webHidden/>
          </w:rPr>
        </w:r>
        <w:r w:rsidR="00D30C93">
          <w:rPr>
            <w:noProof/>
            <w:webHidden/>
          </w:rPr>
          <w:fldChar w:fldCharType="separate"/>
        </w:r>
        <w:r w:rsidR="001B3D1D">
          <w:rPr>
            <w:noProof/>
            <w:webHidden/>
          </w:rPr>
          <w:t>21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20" w:history="1">
        <w:r w:rsidR="00D30C93" w:rsidRPr="00F57C6C">
          <w:rPr>
            <w:rStyle w:val="Hyperlink"/>
            <w:noProof/>
            <w:lang w:val="en-US"/>
          </w:rPr>
          <w:t>Article 4.07 Specific requirements applicable to vessels navigating on zone 4 waterways</w:t>
        </w:r>
        <w:r w:rsidR="00D30C93">
          <w:rPr>
            <w:noProof/>
            <w:webHidden/>
          </w:rPr>
          <w:tab/>
        </w:r>
        <w:r w:rsidR="00D30C93">
          <w:rPr>
            <w:noProof/>
            <w:webHidden/>
          </w:rPr>
          <w:fldChar w:fldCharType="begin"/>
        </w:r>
        <w:r w:rsidR="00D30C93">
          <w:rPr>
            <w:noProof/>
            <w:webHidden/>
          </w:rPr>
          <w:instrText xml:space="preserve"> PAGEREF _Toc491854020 \h </w:instrText>
        </w:r>
        <w:r w:rsidR="00D30C93">
          <w:rPr>
            <w:noProof/>
            <w:webHidden/>
          </w:rPr>
        </w:r>
        <w:r w:rsidR="00D30C93">
          <w:rPr>
            <w:noProof/>
            <w:webHidden/>
          </w:rPr>
          <w:fldChar w:fldCharType="separate"/>
        </w:r>
        <w:r w:rsidR="001B3D1D">
          <w:rPr>
            <w:noProof/>
            <w:webHidden/>
          </w:rPr>
          <w:t>21</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021" w:history="1">
        <w:r w:rsidR="00D30C93" w:rsidRPr="00F57C6C">
          <w:rPr>
            <w:rStyle w:val="Hyperlink"/>
            <w:noProof/>
          </w:rPr>
          <w:t>Chapter 5 Manoeuvrability</w:t>
        </w:r>
        <w:r w:rsidR="007C4323">
          <w:rPr>
            <w:rStyle w:val="Hyperlink"/>
            <w:noProof/>
          </w:rPr>
          <w:t>……………………………………………………………………………</w:t>
        </w:r>
        <w:r w:rsidR="00D30C93">
          <w:rPr>
            <w:noProof/>
            <w:webHidden/>
          </w:rPr>
          <w:fldChar w:fldCharType="begin"/>
        </w:r>
        <w:r w:rsidR="00D30C93">
          <w:rPr>
            <w:noProof/>
            <w:webHidden/>
          </w:rPr>
          <w:instrText xml:space="preserve"> PAGEREF _Toc491854021 \h </w:instrText>
        </w:r>
        <w:r w:rsidR="00D30C93">
          <w:rPr>
            <w:noProof/>
            <w:webHidden/>
          </w:rPr>
        </w:r>
        <w:r w:rsidR="00D30C93">
          <w:rPr>
            <w:noProof/>
            <w:webHidden/>
          </w:rPr>
          <w:fldChar w:fldCharType="separate"/>
        </w:r>
        <w:r w:rsidR="001B3D1D">
          <w:rPr>
            <w:noProof/>
            <w:webHidden/>
          </w:rPr>
          <w:t>23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22" w:history="1">
        <w:r w:rsidR="00D30C93" w:rsidRPr="00F57C6C">
          <w:rPr>
            <w:rStyle w:val="Hyperlink"/>
            <w:noProof/>
            <w:lang w:val="en-US"/>
          </w:rPr>
          <w:t>Article 5.01 General</w:t>
        </w:r>
        <w:r w:rsidR="00D30C93">
          <w:rPr>
            <w:noProof/>
            <w:webHidden/>
          </w:rPr>
          <w:tab/>
        </w:r>
        <w:r w:rsidR="00D30C93">
          <w:rPr>
            <w:noProof/>
            <w:webHidden/>
          </w:rPr>
          <w:fldChar w:fldCharType="begin"/>
        </w:r>
        <w:r w:rsidR="00D30C93">
          <w:rPr>
            <w:noProof/>
            <w:webHidden/>
          </w:rPr>
          <w:instrText xml:space="preserve"> PAGEREF _Toc491854022 \h </w:instrText>
        </w:r>
        <w:r w:rsidR="00D30C93">
          <w:rPr>
            <w:noProof/>
            <w:webHidden/>
          </w:rPr>
        </w:r>
        <w:r w:rsidR="00D30C93">
          <w:rPr>
            <w:noProof/>
            <w:webHidden/>
          </w:rPr>
          <w:fldChar w:fldCharType="separate"/>
        </w:r>
        <w:r w:rsidR="001B3D1D">
          <w:rPr>
            <w:noProof/>
            <w:webHidden/>
          </w:rPr>
          <w:t>23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23" w:history="1">
        <w:r w:rsidR="00D30C93" w:rsidRPr="00F57C6C">
          <w:rPr>
            <w:rStyle w:val="Hyperlink"/>
            <w:noProof/>
            <w:lang w:val="en-US"/>
          </w:rPr>
          <w:t>Article 5.02 Navigation tests</w:t>
        </w:r>
        <w:r w:rsidR="00D30C93">
          <w:rPr>
            <w:noProof/>
            <w:webHidden/>
          </w:rPr>
          <w:tab/>
        </w:r>
        <w:r w:rsidR="00D30C93">
          <w:rPr>
            <w:noProof/>
            <w:webHidden/>
          </w:rPr>
          <w:fldChar w:fldCharType="begin"/>
        </w:r>
        <w:r w:rsidR="00D30C93">
          <w:rPr>
            <w:noProof/>
            <w:webHidden/>
          </w:rPr>
          <w:instrText xml:space="preserve"> PAGEREF _Toc491854023 \h </w:instrText>
        </w:r>
        <w:r w:rsidR="00D30C93">
          <w:rPr>
            <w:noProof/>
            <w:webHidden/>
          </w:rPr>
        </w:r>
        <w:r w:rsidR="00D30C93">
          <w:rPr>
            <w:noProof/>
            <w:webHidden/>
          </w:rPr>
          <w:fldChar w:fldCharType="separate"/>
        </w:r>
        <w:r w:rsidR="001B3D1D">
          <w:rPr>
            <w:noProof/>
            <w:webHidden/>
          </w:rPr>
          <w:t>23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24" w:history="1">
        <w:r w:rsidR="00D30C93" w:rsidRPr="00F57C6C">
          <w:rPr>
            <w:rStyle w:val="Hyperlink"/>
            <w:noProof/>
            <w:lang w:val="en-US"/>
          </w:rPr>
          <w:t>Article 5.03 Test area</w:t>
        </w:r>
        <w:r w:rsidR="00D30C93">
          <w:rPr>
            <w:noProof/>
            <w:webHidden/>
          </w:rPr>
          <w:tab/>
        </w:r>
        <w:r w:rsidR="00D30C93">
          <w:rPr>
            <w:noProof/>
            <w:webHidden/>
          </w:rPr>
          <w:fldChar w:fldCharType="begin"/>
        </w:r>
        <w:r w:rsidR="00D30C93">
          <w:rPr>
            <w:noProof/>
            <w:webHidden/>
          </w:rPr>
          <w:instrText xml:space="preserve"> PAGEREF _Toc491854024 \h </w:instrText>
        </w:r>
        <w:r w:rsidR="00D30C93">
          <w:rPr>
            <w:noProof/>
            <w:webHidden/>
          </w:rPr>
        </w:r>
        <w:r w:rsidR="00D30C93">
          <w:rPr>
            <w:noProof/>
            <w:webHidden/>
          </w:rPr>
          <w:fldChar w:fldCharType="separate"/>
        </w:r>
        <w:r w:rsidR="001B3D1D">
          <w:rPr>
            <w:noProof/>
            <w:webHidden/>
          </w:rPr>
          <w:t>23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25" w:history="1">
        <w:r w:rsidR="00D30C93" w:rsidRPr="00F57C6C">
          <w:rPr>
            <w:rStyle w:val="Hyperlink"/>
            <w:noProof/>
            <w:lang w:val="en-GB"/>
          </w:rPr>
          <w:t>Article 5.04 Degree of loading of vessels and convoys during navigation tests</w:t>
        </w:r>
        <w:r w:rsidR="00D30C93">
          <w:rPr>
            <w:noProof/>
            <w:webHidden/>
          </w:rPr>
          <w:tab/>
        </w:r>
        <w:r w:rsidR="00D30C93">
          <w:rPr>
            <w:noProof/>
            <w:webHidden/>
          </w:rPr>
          <w:fldChar w:fldCharType="begin"/>
        </w:r>
        <w:r w:rsidR="00D30C93">
          <w:rPr>
            <w:noProof/>
            <w:webHidden/>
          </w:rPr>
          <w:instrText xml:space="preserve"> PAGEREF _Toc491854025 \h </w:instrText>
        </w:r>
        <w:r w:rsidR="00D30C93">
          <w:rPr>
            <w:noProof/>
            <w:webHidden/>
          </w:rPr>
        </w:r>
        <w:r w:rsidR="00D30C93">
          <w:rPr>
            <w:noProof/>
            <w:webHidden/>
          </w:rPr>
          <w:fldChar w:fldCharType="separate"/>
        </w:r>
        <w:r w:rsidR="001B3D1D">
          <w:rPr>
            <w:noProof/>
            <w:webHidden/>
          </w:rPr>
          <w:t>23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26" w:history="1">
        <w:r w:rsidR="00D30C93" w:rsidRPr="00F57C6C">
          <w:rPr>
            <w:rStyle w:val="Hyperlink"/>
            <w:noProof/>
            <w:lang w:val="en-GB"/>
          </w:rPr>
          <w:t>Article 5.05 Use of on-board facilities for navigation test</w:t>
        </w:r>
        <w:r w:rsidR="00D30C93">
          <w:rPr>
            <w:noProof/>
            <w:webHidden/>
          </w:rPr>
          <w:tab/>
        </w:r>
        <w:r w:rsidR="00D30C93">
          <w:rPr>
            <w:noProof/>
            <w:webHidden/>
          </w:rPr>
          <w:fldChar w:fldCharType="begin"/>
        </w:r>
        <w:r w:rsidR="00D30C93">
          <w:rPr>
            <w:noProof/>
            <w:webHidden/>
          </w:rPr>
          <w:instrText xml:space="preserve"> PAGEREF _Toc491854026 \h </w:instrText>
        </w:r>
        <w:r w:rsidR="00D30C93">
          <w:rPr>
            <w:noProof/>
            <w:webHidden/>
          </w:rPr>
        </w:r>
        <w:r w:rsidR="00D30C93">
          <w:rPr>
            <w:noProof/>
            <w:webHidden/>
          </w:rPr>
          <w:fldChar w:fldCharType="separate"/>
        </w:r>
        <w:r w:rsidR="001B3D1D">
          <w:rPr>
            <w:noProof/>
            <w:webHidden/>
          </w:rPr>
          <w:t>24</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27" w:history="1">
        <w:r w:rsidR="00D30C93" w:rsidRPr="00F57C6C">
          <w:rPr>
            <w:rStyle w:val="Hyperlink"/>
            <w:noProof/>
            <w:lang w:val="en-US"/>
          </w:rPr>
          <w:t>Article 5.06 Prescribed (forward) speed</w:t>
        </w:r>
        <w:r w:rsidR="00D30C93">
          <w:rPr>
            <w:noProof/>
            <w:webHidden/>
          </w:rPr>
          <w:tab/>
        </w:r>
        <w:r w:rsidR="00D30C93">
          <w:rPr>
            <w:noProof/>
            <w:webHidden/>
          </w:rPr>
          <w:fldChar w:fldCharType="begin"/>
        </w:r>
        <w:r w:rsidR="00D30C93">
          <w:rPr>
            <w:noProof/>
            <w:webHidden/>
          </w:rPr>
          <w:instrText xml:space="preserve"> PAGEREF _Toc491854027 \h </w:instrText>
        </w:r>
        <w:r w:rsidR="00D30C93">
          <w:rPr>
            <w:noProof/>
            <w:webHidden/>
          </w:rPr>
        </w:r>
        <w:r w:rsidR="00D30C93">
          <w:rPr>
            <w:noProof/>
            <w:webHidden/>
          </w:rPr>
          <w:fldChar w:fldCharType="separate"/>
        </w:r>
        <w:r w:rsidR="001B3D1D">
          <w:rPr>
            <w:noProof/>
            <w:webHidden/>
          </w:rPr>
          <w:t>24</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28" w:history="1">
        <w:r w:rsidR="00D30C93" w:rsidRPr="00F57C6C">
          <w:rPr>
            <w:rStyle w:val="Hyperlink"/>
            <w:noProof/>
            <w:lang w:val="en-US"/>
          </w:rPr>
          <w:t>Article 5.07 Stopping capacity</w:t>
        </w:r>
        <w:r w:rsidR="00D30C93">
          <w:rPr>
            <w:noProof/>
            <w:webHidden/>
          </w:rPr>
          <w:tab/>
        </w:r>
        <w:r w:rsidR="00D30C93">
          <w:rPr>
            <w:noProof/>
            <w:webHidden/>
          </w:rPr>
          <w:fldChar w:fldCharType="begin"/>
        </w:r>
        <w:r w:rsidR="00D30C93">
          <w:rPr>
            <w:noProof/>
            <w:webHidden/>
          </w:rPr>
          <w:instrText xml:space="preserve"> PAGEREF _Toc491854028 \h </w:instrText>
        </w:r>
        <w:r w:rsidR="00D30C93">
          <w:rPr>
            <w:noProof/>
            <w:webHidden/>
          </w:rPr>
        </w:r>
        <w:r w:rsidR="00D30C93">
          <w:rPr>
            <w:noProof/>
            <w:webHidden/>
          </w:rPr>
          <w:fldChar w:fldCharType="separate"/>
        </w:r>
        <w:r w:rsidR="001B3D1D">
          <w:rPr>
            <w:noProof/>
            <w:webHidden/>
          </w:rPr>
          <w:t>24</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29" w:history="1">
        <w:r w:rsidR="00D30C93" w:rsidRPr="00F57C6C">
          <w:rPr>
            <w:rStyle w:val="Hyperlink"/>
            <w:noProof/>
            <w:lang w:val="en-GB"/>
          </w:rPr>
          <w:t>Article 5.08 Capacity for going astern</w:t>
        </w:r>
        <w:r w:rsidR="00D30C93">
          <w:rPr>
            <w:noProof/>
            <w:webHidden/>
          </w:rPr>
          <w:tab/>
        </w:r>
        <w:r w:rsidR="00D30C93">
          <w:rPr>
            <w:noProof/>
            <w:webHidden/>
          </w:rPr>
          <w:fldChar w:fldCharType="begin"/>
        </w:r>
        <w:r w:rsidR="00D30C93">
          <w:rPr>
            <w:noProof/>
            <w:webHidden/>
          </w:rPr>
          <w:instrText xml:space="preserve"> PAGEREF _Toc491854029 \h </w:instrText>
        </w:r>
        <w:r w:rsidR="00D30C93">
          <w:rPr>
            <w:noProof/>
            <w:webHidden/>
          </w:rPr>
        </w:r>
        <w:r w:rsidR="00D30C93">
          <w:rPr>
            <w:noProof/>
            <w:webHidden/>
          </w:rPr>
          <w:fldChar w:fldCharType="separate"/>
        </w:r>
        <w:r w:rsidR="001B3D1D">
          <w:rPr>
            <w:noProof/>
            <w:webHidden/>
          </w:rPr>
          <w:t>24</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30" w:history="1">
        <w:r w:rsidR="00D30C93" w:rsidRPr="00F57C6C">
          <w:rPr>
            <w:rStyle w:val="Hyperlink"/>
            <w:noProof/>
            <w:lang w:val="en-GB"/>
          </w:rPr>
          <w:t>Article 5.09 Capacity for taking evasive action</w:t>
        </w:r>
        <w:r w:rsidR="00D30C93">
          <w:rPr>
            <w:noProof/>
            <w:webHidden/>
          </w:rPr>
          <w:tab/>
        </w:r>
        <w:r w:rsidR="00D30C93">
          <w:rPr>
            <w:noProof/>
            <w:webHidden/>
          </w:rPr>
          <w:fldChar w:fldCharType="begin"/>
        </w:r>
        <w:r w:rsidR="00D30C93">
          <w:rPr>
            <w:noProof/>
            <w:webHidden/>
          </w:rPr>
          <w:instrText xml:space="preserve"> PAGEREF _Toc491854030 \h </w:instrText>
        </w:r>
        <w:r w:rsidR="00D30C93">
          <w:rPr>
            <w:noProof/>
            <w:webHidden/>
          </w:rPr>
        </w:r>
        <w:r w:rsidR="00D30C93">
          <w:rPr>
            <w:noProof/>
            <w:webHidden/>
          </w:rPr>
          <w:fldChar w:fldCharType="separate"/>
        </w:r>
        <w:r w:rsidR="001B3D1D">
          <w:rPr>
            <w:noProof/>
            <w:webHidden/>
          </w:rPr>
          <w:t>25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31" w:history="1">
        <w:r w:rsidR="00D30C93" w:rsidRPr="00F57C6C">
          <w:rPr>
            <w:rStyle w:val="Hyperlink"/>
            <w:noProof/>
            <w:lang w:val="en-US"/>
          </w:rPr>
          <w:t>Article 5.10 Turning capacity</w:t>
        </w:r>
        <w:r w:rsidR="00D30C93">
          <w:rPr>
            <w:noProof/>
            <w:webHidden/>
          </w:rPr>
          <w:tab/>
        </w:r>
        <w:r w:rsidR="00D30C93">
          <w:rPr>
            <w:noProof/>
            <w:webHidden/>
          </w:rPr>
          <w:fldChar w:fldCharType="begin"/>
        </w:r>
        <w:r w:rsidR="00D30C93">
          <w:rPr>
            <w:noProof/>
            <w:webHidden/>
          </w:rPr>
          <w:instrText xml:space="preserve"> PAGEREF _Toc491854031 \h </w:instrText>
        </w:r>
        <w:r w:rsidR="00D30C93">
          <w:rPr>
            <w:noProof/>
            <w:webHidden/>
          </w:rPr>
        </w:r>
        <w:r w:rsidR="00D30C93">
          <w:rPr>
            <w:noProof/>
            <w:webHidden/>
          </w:rPr>
          <w:fldChar w:fldCharType="separate"/>
        </w:r>
        <w:r w:rsidR="001B3D1D">
          <w:rPr>
            <w:noProof/>
            <w:webHidden/>
          </w:rPr>
          <w:t>25</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032" w:history="1">
        <w:r w:rsidR="00D30C93" w:rsidRPr="00F57C6C">
          <w:rPr>
            <w:rStyle w:val="Hyperlink"/>
            <w:noProof/>
          </w:rPr>
          <w:t>Chapter 6 Steering system</w:t>
        </w:r>
        <w:r w:rsidR="007C4323">
          <w:rPr>
            <w:webHidden/>
          </w:rPr>
          <w:t>……</w:t>
        </w:r>
        <w:r w:rsidR="00114DA7">
          <w:rPr>
            <w:webHidden/>
          </w:rPr>
          <w:t>………………………………………………………………………</w:t>
        </w:r>
        <w:r w:rsidR="00D30C93">
          <w:rPr>
            <w:noProof/>
            <w:webHidden/>
          </w:rPr>
          <w:fldChar w:fldCharType="begin"/>
        </w:r>
        <w:r w:rsidR="00D30C93">
          <w:rPr>
            <w:noProof/>
            <w:webHidden/>
          </w:rPr>
          <w:instrText xml:space="preserve"> PAGEREF _Toc491854032 \h </w:instrText>
        </w:r>
        <w:r w:rsidR="00D30C93">
          <w:rPr>
            <w:noProof/>
            <w:webHidden/>
          </w:rPr>
        </w:r>
        <w:r w:rsidR="00D30C93">
          <w:rPr>
            <w:noProof/>
            <w:webHidden/>
          </w:rPr>
          <w:fldChar w:fldCharType="separate"/>
        </w:r>
        <w:r w:rsidR="001B3D1D">
          <w:rPr>
            <w:noProof/>
            <w:webHidden/>
          </w:rPr>
          <w:t>27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33" w:history="1">
        <w:r w:rsidR="00D30C93" w:rsidRPr="00F57C6C">
          <w:rPr>
            <w:rStyle w:val="Hyperlink"/>
            <w:noProof/>
            <w:lang w:val="en-US"/>
          </w:rPr>
          <w:t>Article 6.01 General requirements</w:t>
        </w:r>
        <w:r w:rsidR="00D30C93">
          <w:rPr>
            <w:noProof/>
            <w:webHidden/>
          </w:rPr>
          <w:tab/>
        </w:r>
        <w:r w:rsidR="00D30C93">
          <w:rPr>
            <w:noProof/>
            <w:webHidden/>
          </w:rPr>
          <w:fldChar w:fldCharType="begin"/>
        </w:r>
        <w:r w:rsidR="00D30C93">
          <w:rPr>
            <w:noProof/>
            <w:webHidden/>
          </w:rPr>
          <w:instrText xml:space="preserve"> PAGEREF _Toc491854033 \h </w:instrText>
        </w:r>
        <w:r w:rsidR="00D30C93">
          <w:rPr>
            <w:noProof/>
            <w:webHidden/>
          </w:rPr>
        </w:r>
        <w:r w:rsidR="00D30C93">
          <w:rPr>
            <w:noProof/>
            <w:webHidden/>
          </w:rPr>
          <w:fldChar w:fldCharType="separate"/>
        </w:r>
        <w:r w:rsidR="001B3D1D">
          <w:rPr>
            <w:noProof/>
            <w:webHidden/>
          </w:rPr>
          <w:t>27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34" w:history="1">
        <w:r w:rsidR="00D30C93" w:rsidRPr="00F57C6C">
          <w:rPr>
            <w:rStyle w:val="Hyperlink"/>
            <w:noProof/>
            <w:lang w:val="en-US"/>
          </w:rPr>
          <w:t>Article 6.02 Steering apparatus drive unit</w:t>
        </w:r>
        <w:r w:rsidR="00D30C93">
          <w:rPr>
            <w:noProof/>
            <w:webHidden/>
          </w:rPr>
          <w:tab/>
        </w:r>
        <w:r w:rsidR="00D30C93">
          <w:rPr>
            <w:noProof/>
            <w:webHidden/>
          </w:rPr>
          <w:fldChar w:fldCharType="begin"/>
        </w:r>
        <w:r w:rsidR="00D30C93">
          <w:rPr>
            <w:noProof/>
            <w:webHidden/>
          </w:rPr>
          <w:instrText xml:space="preserve"> PAGEREF _Toc491854034 \h </w:instrText>
        </w:r>
        <w:r w:rsidR="00D30C93">
          <w:rPr>
            <w:noProof/>
            <w:webHidden/>
          </w:rPr>
        </w:r>
        <w:r w:rsidR="00D30C93">
          <w:rPr>
            <w:noProof/>
            <w:webHidden/>
          </w:rPr>
          <w:fldChar w:fldCharType="separate"/>
        </w:r>
        <w:r w:rsidR="001B3D1D">
          <w:rPr>
            <w:noProof/>
            <w:webHidden/>
          </w:rPr>
          <w:t>27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35" w:history="1">
        <w:r w:rsidR="00D30C93" w:rsidRPr="00F57C6C">
          <w:rPr>
            <w:rStyle w:val="Hyperlink"/>
            <w:noProof/>
            <w:lang w:val="en-US"/>
          </w:rPr>
          <w:t>Article 6.03 Hydraulic steering apparatus drive unit</w:t>
        </w:r>
        <w:r w:rsidR="00D30C93">
          <w:rPr>
            <w:noProof/>
            <w:webHidden/>
          </w:rPr>
          <w:tab/>
        </w:r>
        <w:r w:rsidR="00D30C93">
          <w:rPr>
            <w:noProof/>
            <w:webHidden/>
          </w:rPr>
          <w:fldChar w:fldCharType="begin"/>
        </w:r>
        <w:r w:rsidR="00D30C93">
          <w:rPr>
            <w:noProof/>
            <w:webHidden/>
          </w:rPr>
          <w:instrText xml:space="preserve"> PAGEREF _Toc491854035 \h </w:instrText>
        </w:r>
        <w:r w:rsidR="00D30C93">
          <w:rPr>
            <w:noProof/>
            <w:webHidden/>
          </w:rPr>
        </w:r>
        <w:r w:rsidR="00D30C93">
          <w:rPr>
            <w:noProof/>
            <w:webHidden/>
          </w:rPr>
          <w:fldChar w:fldCharType="separate"/>
        </w:r>
        <w:r w:rsidR="001B3D1D">
          <w:rPr>
            <w:noProof/>
            <w:webHidden/>
          </w:rPr>
          <w:t>28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36" w:history="1">
        <w:r w:rsidR="00D30C93" w:rsidRPr="00F57C6C">
          <w:rPr>
            <w:rStyle w:val="Hyperlink"/>
            <w:noProof/>
            <w:lang w:val="en-US"/>
          </w:rPr>
          <w:t>Article 6.04 Power source</w:t>
        </w:r>
        <w:r w:rsidR="00D30C93">
          <w:rPr>
            <w:noProof/>
            <w:webHidden/>
          </w:rPr>
          <w:tab/>
        </w:r>
        <w:r w:rsidR="00D30C93">
          <w:rPr>
            <w:noProof/>
            <w:webHidden/>
          </w:rPr>
          <w:fldChar w:fldCharType="begin"/>
        </w:r>
        <w:r w:rsidR="00D30C93">
          <w:rPr>
            <w:noProof/>
            <w:webHidden/>
          </w:rPr>
          <w:instrText xml:space="preserve"> PAGEREF _Toc491854036 \h </w:instrText>
        </w:r>
        <w:r w:rsidR="00D30C93">
          <w:rPr>
            <w:noProof/>
            <w:webHidden/>
          </w:rPr>
        </w:r>
        <w:r w:rsidR="00D30C93">
          <w:rPr>
            <w:noProof/>
            <w:webHidden/>
          </w:rPr>
          <w:fldChar w:fldCharType="separate"/>
        </w:r>
        <w:r w:rsidR="001B3D1D">
          <w:rPr>
            <w:noProof/>
            <w:webHidden/>
          </w:rPr>
          <w:t>28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37" w:history="1">
        <w:r w:rsidR="00D30C93" w:rsidRPr="00F57C6C">
          <w:rPr>
            <w:rStyle w:val="Hyperlink"/>
            <w:noProof/>
            <w:lang w:val="en-GB"/>
          </w:rPr>
          <w:t>Article 6.05 Manual drive</w:t>
        </w:r>
        <w:r w:rsidR="00D30C93">
          <w:rPr>
            <w:noProof/>
            <w:webHidden/>
          </w:rPr>
          <w:tab/>
        </w:r>
        <w:r w:rsidR="00D30C93">
          <w:rPr>
            <w:noProof/>
            <w:webHidden/>
          </w:rPr>
          <w:fldChar w:fldCharType="begin"/>
        </w:r>
        <w:r w:rsidR="00D30C93">
          <w:rPr>
            <w:noProof/>
            <w:webHidden/>
          </w:rPr>
          <w:instrText xml:space="preserve"> PAGEREF _Toc491854037 \h </w:instrText>
        </w:r>
        <w:r w:rsidR="00D30C93">
          <w:rPr>
            <w:noProof/>
            <w:webHidden/>
          </w:rPr>
        </w:r>
        <w:r w:rsidR="00D30C93">
          <w:rPr>
            <w:noProof/>
            <w:webHidden/>
          </w:rPr>
          <w:fldChar w:fldCharType="separate"/>
        </w:r>
        <w:r w:rsidR="001B3D1D">
          <w:rPr>
            <w:noProof/>
            <w:webHidden/>
          </w:rPr>
          <w:t>28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38" w:history="1">
        <w:r w:rsidR="00D30C93" w:rsidRPr="00F57C6C">
          <w:rPr>
            <w:rStyle w:val="Hyperlink"/>
            <w:noProof/>
            <w:lang w:val="en-US"/>
          </w:rPr>
          <w:t>Article 6.06 Rudder-propeller, water-jet, cycloidal-propeller and bow-thruster systems</w:t>
        </w:r>
        <w:r w:rsidR="00D30C93">
          <w:rPr>
            <w:noProof/>
            <w:webHidden/>
          </w:rPr>
          <w:tab/>
        </w:r>
        <w:r w:rsidR="00D30C93">
          <w:rPr>
            <w:noProof/>
            <w:webHidden/>
          </w:rPr>
          <w:fldChar w:fldCharType="begin"/>
        </w:r>
        <w:r w:rsidR="00D30C93">
          <w:rPr>
            <w:noProof/>
            <w:webHidden/>
          </w:rPr>
          <w:instrText xml:space="preserve"> PAGEREF _Toc491854038 \h </w:instrText>
        </w:r>
        <w:r w:rsidR="00D30C93">
          <w:rPr>
            <w:noProof/>
            <w:webHidden/>
          </w:rPr>
        </w:r>
        <w:r w:rsidR="00D30C93">
          <w:rPr>
            <w:noProof/>
            <w:webHidden/>
          </w:rPr>
          <w:fldChar w:fldCharType="separate"/>
        </w:r>
        <w:r w:rsidR="001B3D1D">
          <w:rPr>
            <w:noProof/>
            <w:webHidden/>
          </w:rPr>
          <w:t>29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39" w:history="1">
        <w:r w:rsidR="00D30C93" w:rsidRPr="00F57C6C">
          <w:rPr>
            <w:rStyle w:val="Hyperlink"/>
            <w:noProof/>
            <w:lang w:val="en-US"/>
          </w:rPr>
          <w:t>Article 6.07 Indicators and monitoring devices</w:t>
        </w:r>
        <w:r w:rsidR="00D30C93">
          <w:rPr>
            <w:noProof/>
            <w:webHidden/>
          </w:rPr>
          <w:tab/>
        </w:r>
        <w:r w:rsidR="00D30C93">
          <w:rPr>
            <w:noProof/>
            <w:webHidden/>
          </w:rPr>
          <w:fldChar w:fldCharType="begin"/>
        </w:r>
        <w:r w:rsidR="00D30C93">
          <w:rPr>
            <w:noProof/>
            <w:webHidden/>
          </w:rPr>
          <w:instrText xml:space="preserve"> PAGEREF _Toc491854039 \h </w:instrText>
        </w:r>
        <w:r w:rsidR="00D30C93">
          <w:rPr>
            <w:noProof/>
            <w:webHidden/>
          </w:rPr>
        </w:r>
        <w:r w:rsidR="00D30C93">
          <w:rPr>
            <w:noProof/>
            <w:webHidden/>
          </w:rPr>
          <w:fldChar w:fldCharType="separate"/>
        </w:r>
        <w:r w:rsidR="001B3D1D">
          <w:rPr>
            <w:noProof/>
            <w:webHidden/>
          </w:rPr>
          <w:t>29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40" w:history="1">
        <w:r w:rsidR="00D30C93" w:rsidRPr="00F57C6C">
          <w:rPr>
            <w:rStyle w:val="Hyperlink"/>
            <w:noProof/>
            <w:lang w:val="en-US"/>
          </w:rPr>
          <w:t>Article 6.08 Rate-of-turn regulators</w:t>
        </w:r>
        <w:r w:rsidR="00D30C93">
          <w:rPr>
            <w:noProof/>
            <w:webHidden/>
          </w:rPr>
          <w:tab/>
        </w:r>
        <w:r w:rsidR="00D30C93">
          <w:rPr>
            <w:noProof/>
            <w:webHidden/>
          </w:rPr>
          <w:fldChar w:fldCharType="begin"/>
        </w:r>
        <w:r w:rsidR="00D30C93">
          <w:rPr>
            <w:noProof/>
            <w:webHidden/>
          </w:rPr>
          <w:instrText xml:space="preserve"> PAGEREF _Toc491854040 \h </w:instrText>
        </w:r>
        <w:r w:rsidR="00D30C93">
          <w:rPr>
            <w:noProof/>
            <w:webHidden/>
          </w:rPr>
        </w:r>
        <w:r w:rsidR="00D30C93">
          <w:rPr>
            <w:noProof/>
            <w:webHidden/>
          </w:rPr>
          <w:fldChar w:fldCharType="separate"/>
        </w:r>
        <w:r w:rsidR="001B3D1D">
          <w:rPr>
            <w:noProof/>
            <w:webHidden/>
          </w:rPr>
          <w:t>29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41" w:history="1">
        <w:r w:rsidR="00D30C93" w:rsidRPr="00F57C6C">
          <w:rPr>
            <w:rStyle w:val="Hyperlink"/>
            <w:noProof/>
            <w:lang w:val="en-US"/>
          </w:rPr>
          <w:t>Article 6.09 Testing</w:t>
        </w:r>
        <w:r w:rsidR="00D30C93">
          <w:rPr>
            <w:noProof/>
            <w:webHidden/>
          </w:rPr>
          <w:tab/>
        </w:r>
        <w:r w:rsidR="00D30C93">
          <w:rPr>
            <w:noProof/>
            <w:webHidden/>
          </w:rPr>
          <w:fldChar w:fldCharType="begin"/>
        </w:r>
        <w:r w:rsidR="00D30C93">
          <w:rPr>
            <w:noProof/>
            <w:webHidden/>
          </w:rPr>
          <w:instrText xml:space="preserve"> PAGEREF _Toc491854041 \h </w:instrText>
        </w:r>
        <w:r w:rsidR="00D30C93">
          <w:rPr>
            <w:noProof/>
            <w:webHidden/>
          </w:rPr>
        </w:r>
        <w:r w:rsidR="00D30C93">
          <w:rPr>
            <w:noProof/>
            <w:webHidden/>
          </w:rPr>
          <w:fldChar w:fldCharType="separate"/>
        </w:r>
        <w:r w:rsidR="001B3D1D">
          <w:rPr>
            <w:noProof/>
            <w:webHidden/>
          </w:rPr>
          <w:t>30</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042" w:history="1">
        <w:r w:rsidR="00D30C93" w:rsidRPr="00F57C6C">
          <w:rPr>
            <w:rStyle w:val="Hyperlink"/>
            <w:noProof/>
          </w:rPr>
          <w:t>Chapter 7 Wheelhouse</w:t>
        </w:r>
        <w:r w:rsidR="00C05A21">
          <w:rPr>
            <w:webHidden/>
          </w:rPr>
          <w:t>………………………………………………………………………………...</w:t>
        </w:r>
        <w:r w:rsidR="00D30C93">
          <w:rPr>
            <w:noProof/>
            <w:webHidden/>
          </w:rPr>
          <w:fldChar w:fldCharType="begin"/>
        </w:r>
        <w:r w:rsidR="00D30C93">
          <w:rPr>
            <w:noProof/>
            <w:webHidden/>
          </w:rPr>
          <w:instrText xml:space="preserve"> PAGEREF _Toc491854042 \h </w:instrText>
        </w:r>
        <w:r w:rsidR="00D30C93">
          <w:rPr>
            <w:noProof/>
            <w:webHidden/>
          </w:rPr>
        </w:r>
        <w:r w:rsidR="00D30C93">
          <w:rPr>
            <w:noProof/>
            <w:webHidden/>
          </w:rPr>
          <w:fldChar w:fldCharType="separate"/>
        </w:r>
        <w:r w:rsidR="001B3D1D">
          <w:rPr>
            <w:noProof/>
            <w:webHidden/>
          </w:rPr>
          <w:t>31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43" w:history="1">
        <w:r w:rsidR="00D30C93" w:rsidRPr="00F57C6C">
          <w:rPr>
            <w:rStyle w:val="Hyperlink"/>
            <w:noProof/>
            <w:lang w:val="en-US"/>
          </w:rPr>
          <w:t>Article 7.01 General</w:t>
        </w:r>
        <w:r w:rsidR="00D30C93">
          <w:rPr>
            <w:noProof/>
            <w:webHidden/>
          </w:rPr>
          <w:tab/>
        </w:r>
        <w:r w:rsidR="00D30C93">
          <w:rPr>
            <w:noProof/>
            <w:webHidden/>
          </w:rPr>
          <w:fldChar w:fldCharType="begin"/>
        </w:r>
        <w:r w:rsidR="00D30C93">
          <w:rPr>
            <w:noProof/>
            <w:webHidden/>
          </w:rPr>
          <w:instrText xml:space="preserve"> PAGEREF _Toc491854043 \h </w:instrText>
        </w:r>
        <w:r w:rsidR="00D30C93">
          <w:rPr>
            <w:noProof/>
            <w:webHidden/>
          </w:rPr>
        </w:r>
        <w:r w:rsidR="00D30C93">
          <w:rPr>
            <w:noProof/>
            <w:webHidden/>
          </w:rPr>
          <w:fldChar w:fldCharType="separate"/>
        </w:r>
        <w:r w:rsidR="001B3D1D">
          <w:rPr>
            <w:noProof/>
            <w:webHidden/>
          </w:rPr>
          <w:t>31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44" w:history="1">
        <w:r w:rsidR="00D30C93" w:rsidRPr="00F57C6C">
          <w:rPr>
            <w:rStyle w:val="Hyperlink"/>
            <w:noProof/>
            <w:lang w:val="en-US"/>
          </w:rPr>
          <w:t>Article 7.02 Unobstructed view</w:t>
        </w:r>
        <w:r w:rsidR="00D30C93">
          <w:rPr>
            <w:noProof/>
            <w:webHidden/>
          </w:rPr>
          <w:tab/>
        </w:r>
        <w:r w:rsidR="00D30C93">
          <w:rPr>
            <w:noProof/>
            <w:webHidden/>
          </w:rPr>
          <w:fldChar w:fldCharType="begin"/>
        </w:r>
        <w:r w:rsidR="00D30C93">
          <w:rPr>
            <w:noProof/>
            <w:webHidden/>
          </w:rPr>
          <w:instrText xml:space="preserve"> PAGEREF _Toc491854044 \h </w:instrText>
        </w:r>
        <w:r w:rsidR="00D30C93">
          <w:rPr>
            <w:noProof/>
            <w:webHidden/>
          </w:rPr>
        </w:r>
        <w:r w:rsidR="00D30C93">
          <w:rPr>
            <w:noProof/>
            <w:webHidden/>
          </w:rPr>
          <w:fldChar w:fldCharType="separate"/>
        </w:r>
        <w:r w:rsidR="001B3D1D">
          <w:rPr>
            <w:noProof/>
            <w:webHidden/>
          </w:rPr>
          <w:t>31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45" w:history="1">
        <w:r w:rsidR="00D30C93" w:rsidRPr="00F57C6C">
          <w:rPr>
            <w:rStyle w:val="Hyperlink"/>
            <w:noProof/>
            <w:lang w:val="en-US"/>
          </w:rPr>
          <w:t>Article 7.03 General requirements concerning control, indicating and monitoring equipment</w:t>
        </w:r>
        <w:r w:rsidR="00D30C93">
          <w:rPr>
            <w:noProof/>
            <w:webHidden/>
          </w:rPr>
          <w:tab/>
        </w:r>
        <w:r w:rsidR="00D30C93">
          <w:rPr>
            <w:noProof/>
            <w:webHidden/>
          </w:rPr>
          <w:fldChar w:fldCharType="begin"/>
        </w:r>
        <w:r w:rsidR="00D30C93">
          <w:rPr>
            <w:noProof/>
            <w:webHidden/>
          </w:rPr>
          <w:instrText xml:space="preserve"> PAGEREF _Toc491854045 \h </w:instrText>
        </w:r>
        <w:r w:rsidR="00D30C93">
          <w:rPr>
            <w:noProof/>
            <w:webHidden/>
          </w:rPr>
        </w:r>
        <w:r w:rsidR="00D30C93">
          <w:rPr>
            <w:noProof/>
            <w:webHidden/>
          </w:rPr>
          <w:fldChar w:fldCharType="separate"/>
        </w:r>
        <w:r w:rsidR="001B3D1D">
          <w:rPr>
            <w:noProof/>
            <w:webHidden/>
          </w:rPr>
          <w:t>32</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46" w:history="1">
        <w:r w:rsidR="00D30C93" w:rsidRPr="00F57C6C">
          <w:rPr>
            <w:rStyle w:val="Hyperlink"/>
            <w:noProof/>
            <w:lang w:val="en-US"/>
          </w:rPr>
          <w:t>Article 7.04 Specific requirements concerning control, indicating and monitoring equipment of main engines and steering system</w:t>
        </w:r>
        <w:r w:rsidR="00D30C93">
          <w:rPr>
            <w:noProof/>
            <w:webHidden/>
          </w:rPr>
          <w:tab/>
        </w:r>
        <w:r w:rsidR="00D30C93">
          <w:rPr>
            <w:noProof/>
            <w:webHidden/>
          </w:rPr>
          <w:fldChar w:fldCharType="begin"/>
        </w:r>
        <w:r w:rsidR="00D30C93">
          <w:rPr>
            <w:noProof/>
            <w:webHidden/>
          </w:rPr>
          <w:instrText xml:space="preserve"> PAGEREF _Toc491854046 \h </w:instrText>
        </w:r>
        <w:r w:rsidR="00D30C93">
          <w:rPr>
            <w:noProof/>
            <w:webHidden/>
          </w:rPr>
        </w:r>
        <w:r w:rsidR="00D30C93">
          <w:rPr>
            <w:noProof/>
            <w:webHidden/>
          </w:rPr>
          <w:fldChar w:fldCharType="separate"/>
        </w:r>
        <w:r w:rsidR="001B3D1D">
          <w:rPr>
            <w:noProof/>
            <w:webHidden/>
          </w:rPr>
          <w:t>33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47" w:history="1">
        <w:r w:rsidR="00D30C93" w:rsidRPr="00F57C6C">
          <w:rPr>
            <w:rStyle w:val="Hyperlink"/>
            <w:noProof/>
            <w:lang w:val="en-US"/>
          </w:rPr>
          <w:t>Article 7.06 Navigation and information equipment</w:t>
        </w:r>
        <w:r w:rsidR="00D30C93">
          <w:rPr>
            <w:noProof/>
            <w:webHidden/>
          </w:rPr>
          <w:tab/>
        </w:r>
        <w:r w:rsidR="00D30C93">
          <w:rPr>
            <w:noProof/>
            <w:webHidden/>
          </w:rPr>
          <w:fldChar w:fldCharType="begin"/>
        </w:r>
        <w:r w:rsidR="00D30C93">
          <w:rPr>
            <w:noProof/>
            <w:webHidden/>
          </w:rPr>
          <w:instrText xml:space="preserve"> PAGEREF _Toc491854047 \h </w:instrText>
        </w:r>
        <w:r w:rsidR="00D30C93">
          <w:rPr>
            <w:noProof/>
            <w:webHidden/>
          </w:rPr>
        </w:r>
        <w:r w:rsidR="00D30C93">
          <w:rPr>
            <w:noProof/>
            <w:webHidden/>
          </w:rPr>
          <w:fldChar w:fldCharType="separate"/>
        </w:r>
        <w:r w:rsidR="001B3D1D">
          <w:rPr>
            <w:noProof/>
            <w:webHidden/>
          </w:rPr>
          <w:t>35</w:t>
        </w:r>
        <w:r w:rsidR="00D30C93">
          <w:rPr>
            <w:noProof/>
            <w:webHidden/>
          </w:rPr>
          <w:fldChar w:fldCharType="end"/>
        </w:r>
      </w:hyperlink>
    </w:p>
    <w:p w:rsidR="00620A37" w:rsidRPr="00DB1C3A" w:rsidRDefault="00F12BAF" w:rsidP="00DB1C3A">
      <w:pPr>
        <w:pStyle w:val="TOC3"/>
        <w:rPr>
          <w:rStyle w:val="Hyperlink"/>
          <w:rFonts w:asciiTheme="minorHAnsi" w:eastAsiaTheme="minorEastAsia" w:hAnsiTheme="minorHAnsi" w:cstheme="minorBidi"/>
          <w:b w:val="0"/>
          <w:bCs w:val="0"/>
          <w:i w:val="0"/>
          <w:iCs w:val="0"/>
          <w:noProof/>
          <w:color w:val="auto"/>
          <w:sz w:val="22"/>
          <w:szCs w:val="22"/>
          <w:u w:val="none"/>
        </w:rPr>
      </w:pPr>
      <w:hyperlink w:anchor="_Toc491854048" w:history="1">
        <w:r w:rsidR="00D30C93" w:rsidRPr="00F57C6C">
          <w:rPr>
            <w:rStyle w:val="Hyperlink"/>
            <w:noProof/>
            <w:lang w:val="en-US"/>
          </w:rPr>
          <w:t>Article 7.07 Radio telephony systems for vessels with wheelhouses designed for radar navigation by one person</w:t>
        </w:r>
        <w:r w:rsidR="00D30C93">
          <w:rPr>
            <w:noProof/>
            <w:webHidden/>
          </w:rPr>
          <w:tab/>
        </w:r>
        <w:r w:rsidR="00D30C93">
          <w:rPr>
            <w:noProof/>
            <w:webHidden/>
          </w:rPr>
          <w:fldChar w:fldCharType="begin"/>
        </w:r>
        <w:r w:rsidR="00D30C93">
          <w:rPr>
            <w:noProof/>
            <w:webHidden/>
          </w:rPr>
          <w:instrText xml:space="preserve"> PAGEREF _Toc491854048 \h </w:instrText>
        </w:r>
        <w:r w:rsidR="00D30C93">
          <w:rPr>
            <w:noProof/>
            <w:webHidden/>
          </w:rPr>
        </w:r>
        <w:r w:rsidR="00D30C93">
          <w:rPr>
            <w:noProof/>
            <w:webHidden/>
          </w:rPr>
          <w:fldChar w:fldCharType="separate"/>
        </w:r>
        <w:r w:rsidR="001B3D1D">
          <w:rPr>
            <w:noProof/>
            <w:webHidden/>
          </w:rPr>
          <w:t>35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49" w:history="1">
        <w:r w:rsidR="00D30C93" w:rsidRPr="00F57C6C">
          <w:rPr>
            <w:rStyle w:val="Hyperlink"/>
            <w:noProof/>
            <w:lang w:val="en-US"/>
          </w:rPr>
          <w:t>Article 7.08 Internal communication facilities on board</w:t>
        </w:r>
        <w:r w:rsidR="00D30C93">
          <w:rPr>
            <w:noProof/>
            <w:webHidden/>
          </w:rPr>
          <w:tab/>
        </w:r>
        <w:r w:rsidR="00D30C93">
          <w:rPr>
            <w:noProof/>
            <w:webHidden/>
          </w:rPr>
          <w:fldChar w:fldCharType="begin"/>
        </w:r>
        <w:r w:rsidR="00D30C93">
          <w:rPr>
            <w:noProof/>
            <w:webHidden/>
          </w:rPr>
          <w:instrText xml:space="preserve"> PAGEREF _Toc491854049 \h </w:instrText>
        </w:r>
        <w:r w:rsidR="00D30C93">
          <w:rPr>
            <w:noProof/>
            <w:webHidden/>
          </w:rPr>
        </w:r>
        <w:r w:rsidR="00D30C93">
          <w:rPr>
            <w:noProof/>
            <w:webHidden/>
          </w:rPr>
          <w:fldChar w:fldCharType="separate"/>
        </w:r>
        <w:r w:rsidR="001B3D1D">
          <w:rPr>
            <w:noProof/>
            <w:webHidden/>
          </w:rPr>
          <w:t>36</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50" w:history="1">
        <w:r w:rsidR="00D30C93" w:rsidRPr="00F57C6C">
          <w:rPr>
            <w:rStyle w:val="Hyperlink"/>
            <w:noProof/>
            <w:lang w:val="en-US"/>
          </w:rPr>
          <w:t>Article 7.09 Alarm system</w:t>
        </w:r>
        <w:r w:rsidR="00D30C93">
          <w:rPr>
            <w:noProof/>
            <w:webHidden/>
          </w:rPr>
          <w:tab/>
        </w:r>
        <w:r w:rsidR="00D30C93">
          <w:rPr>
            <w:noProof/>
            <w:webHidden/>
          </w:rPr>
          <w:fldChar w:fldCharType="begin"/>
        </w:r>
        <w:r w:rsidR="00D30C93">
          <w:rPr>
            <w:noProof/>
            <w:webHidden/>
          </w:rPr>
          <w:instrText xml:space="preserve"> PAGEREF _Toc491854050 \h </w:instrText>
        </w:r>
        <w:r w:rsidR="00D30C93">
          <w:rPr>
            <w:noProof/>
            <w:webHidden/>
          </w:rPr>
        </w:r>
        <w:r w:rsidR="00D30C93">
          <w:rPr>
            <w:noProof/>
            <w:webHidden/>
          </w:rPr>
          <w:fldChar w:fldCharType="separate"/>
        </w:r>
        <w:r w:rsidR="001B3D1D">
          <w:rPr>
            <w:noProof/>
            <w:webHidden/>
          </w:rPr>
          <w:t>36</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51" w:history="1">
        <w:r w:rsidR="00D30C93" w:rsidRPr="00F57C6C">
          <w:rPr>
            <w:rStyle w:val="Hyperlink"/>
            <w:noProof/>
            <w:lang w:val="en-US"/>
          </w:rPr>
          <w:t>Article 7.10 Heating and ventilation</w:t>
        </w:r>
        <w:r w:rsidR="00D30C93">
          <w:rPr>
            <w:noProof/>
            <w:webHidden/>
          </w:rPr>
          <w:tab/>
        </w:r>
        <w:r w:rsidR="00D30C93">
          <w:rPr>
            <w:noProof/>
            <w:webHidden/>
          </w:rPr>
          <w:fldChar w:fldCharType="begin"/>
        </w:r>
        <w:r w:rsidR="00D30C93">
          <w:rPr>
            <w:noProof/>
            <w:webHidden/>
          </w:rPr>
          <w:instrText xml:space="preserve"> PAGEREF _Toc491854051 \h </w:instrText>
        </w:r>
        <w:r w:rsidR="00D30C93">
          <w:rPr>
            <w:noProof/>
            <w:webHidden/>
          </w:rPr>
        </w:r>
        <w:r w:rsidR="00D30C93">
          <w:rPr>
            <w:noProof/>
            <w:webHidden/>
          </w:rPr>
          <w:fldChar w:fldCharType="separate"/>
        </w:r>
        <w:r w:rsidR="001B3D1D">
          <w:rPr>
            <w:noProof/>
            <w:webHidden/>
          </w:rPr>
          <w:t>36</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52" w:history="1">
        <w:r w:rsidR="00D30C93" w:rsidRPr="00F57C6C">
          <w:rPr>
            <w:rStyle w:val="Hyperlink"/>
            <w:noProof/>
            <w:lang w:val="en-US"/>
          </w:rPr>
          <w:t>Article 7.11 Stern-anchor operating equipment</w:t>
        </w:r>
        <w:r w:rsidR="00D30C93">
          <w:rPr>
            <w:noProof/>
            <w:webHidden/>
          </w:rPr>
          <w:tab/>
        </w:r>
        <w:r w:rsidR="00D30C93">
          <w:rPr>
            <w:noProof/>
            <w:webHidden/>
          </w:rPr>
          <w:fldChar w:fldCharType="begin"/>
        </w:r>
        <w:r w:rsidR="00D30C93">
          <w:rPr>
            <w:noProof/>
            <w:webHidden/>
          </w:rPr>
          <w:instrText xml:space="preserve"> PAGEREF _Toc491854052 \h </w:instrText>
        </w:r>
        <w:r w:rsidR="00D30C93">
          <w:rPr>
            <w:noProof/>
            <w:webHidden/>
          </w:rPr>
        </w:r>
        <w:r w:rsidR="00D30C93">
          <w:rPr>
            <w:noProof/>
            <w:webHidden/>
          </w:rPr>
          <w:fldChar w:fldCharType="separate"/>
        </w:r>
        <w:r w:rsidR="001B3D1D">
          <w:rPr>
            <w:noProof/>
            <w:webHidden/>
          </w:rPr>
          <w:t>36</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53" w:history="1">
        <w:r w:rsidR="00D30C93" w:rsidRPr="00F57C6C">
          <w:rPr>
            <w:rStyle w:val="Hyperlink"/>
            <w:noProof/>
            <w:lang w:val="en-US"/>
          </w:rPr>
          <w:t xml:space="preserve">Article 7.12 </w:t>
        </w:r>
        <w:r w:rsidR="00D30C93" w:rsidRPr="00F57C6C">
          <w:rPr>
            <w:rStyle w:val="Hyperlink"/>
            <w:noProof/>
            <w:snapToGrid w:val="0"/>
            <w:lang w:val="en-GB"/>
          </w:rPr>
          <w:t>Elevating wheelhouses</w:t>
        </w:r>
        <w:r w:rsidR="00D30C93">
          <w:rPr>
            <w:noProof/>
            <w:webHidden/>
          </w:rPr>
          <w:tab/>
        </w:r>
        <w:r w:rsidR="00D30C93">
          <w:rPr>
            <w:noProof/>
            <w:webHidden/>
          </w:rPr>
          <w:fldChar w:fldCharType="begin"/>
        </w:r>
        <w:r w:rsidR="00D30C93">
          <w:rPr>
            <w:noProof/>
            <w:webHidden/>
          </w:rPr>
          <w:instrText xml:space="preserve"> PAGEREF _Toc491854053 \h </w:instrText>
        </w:r>
        <w:r w:rsidR="00D30C93">
          <w:rPr>
            <w:noProof/>
            <w:webHidden/>
          </w:rPr>
        </w:r>
        <w:r w:rsidR="00D30C93">
          <w:rPr>
            <w:noProof/>
            <w:webHidden/>
          </w:rPr>
          <w:fldChar w:fldCharType="separate"/>
        </w:r>
        <w:r w:rsidR="001B3D1D">
          <w:rPr>
            <w:noProof/>
            <w:webHidden/>
          </w:rPr>
          <w:t>37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54" w:history="1">
        <w:r w:rsidR="00D30C93" w:rsidRPr="00F57C6C">
          <w:rPr>
            <w:rStyle w:val="Hyperlink"/>
            <w:noProof/>
            <w:lang w:val="en-US"/>
          </w:rPr>
          <w:t>Article 7.13 Entry in the inland navigation vessel certificate for vessels with wheelhouses designed for radar navigation by one person</w:t>
        </w:r>
        <w:r w:rsidR="00D30C93">
          <w:rPr>
            <w:noProof/>
            <w:webHidden/>
          </w:rPr>
          <w:tab/>
        </w:r>
        <w:r w:rsidR="00D30C93">
          <w:rPr>
            <w:noProof/>
            <w:webHidden/>
          </w:rPr>
          <w:fldChar w:fldCharType="begin"/>
        </w:r>
        <w:r w:rsidR="00D30C93">
          <w:rPr>
            <w:noProof/>
            <w:webHidden/>
          </w:rPr>
          <w:instrText xml:space="preserve"> PAGEREF _Toc491854054 \h </w:instrText>
        </w:r>
        <w:r w:rsidR="00D30C93">
          <w:rPr>
            <w:noProof/>
            <w:webHidden/>
          </w:rPr>
        </w:r>
        <w:r w:rsidR="00D30C93">
          <w:rPr>
            <w:noProof/>
            <w:webHidden/>
          </w:rPr>
          <w:fldChar w:fldCharType="separate"/>
        </w:r>
        <w:r w:rsidR="001B3D1D">
          <w:rPr>
            <w:noProof/>
            <w:webHidden/>
          </w:rPr>
          <w:t>38</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055" w:history="1">
        <w:r w:rsidR="00D30C93" w:rsidRPr="00F57C6C">
          <w:rPr>
            <w:rStyle w:val="Hyperlink"/>
            <w:noProof/>
            <w:lang w:val="en-GB"/>
          </w:rPr>
          <w:t>Chapter 8</w:t>
        </w:r>
        <w:r w:rsidR="00D30C93" w:rsidRPr="00F57C6C">
          <w:rPr>
            <w:rStyle w:val="Hyperlink"/>
            <w:noProof/>
          </w:rPr>
          <w:t xml:space="preserve"> Engine design</w:t>
        </w:r>
        <w:r w:rsidR="00C05A21">
          <w:rPr>
            <w:webHidden/>
          </w:rPr>
          <w:t>………………………………………………………………………………</w:t>
        </w:r>
        <w:r w:rsidR="00D30C93">
          <w:rPr>
            <w:noProof/>
            <w:webHidden/>
          </w:rPr>
          <w:fldChar w:fldCharType="begin"/>
        </w:r>
        <w:r w:rsidR="00D30C93">
          <w:rPr>
            <w:noProof/>
            <w:webHidden/>
          </w:rPr>
          <w:instrText xml:space="preserve"> PAGEREF _Toc491854055 \h </w:instrText>
        </w:r>
        <w:r w:rsidR="00D30C93">
          <w:rPr>
            <w:noProof/>
            <w:webHidden/>
          </w:rPr>
        </w:r>
        <w:r w:rsidR="00D30C93">
          <w:rPr>
            <w:noProof/>
            <w:webHidden/>
          </w:rPr>
          <w:fldChar w:fldCharType="separate"/>
        </w:r>
        <w:r w:rsidR="001B3D1D">
          <w:rPr>
            <w:noProof/>
            <w:webHidden/>
          </w:rPr>
          <w:t>39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56" w:history="1">
        <w:r w:rsidR="00D30C93" w:rsidRPr="00F57C6C">
          <w:rPr>
            <w:rStyle w:val="Hyperlink"/>
            <w:noProof/>
            <w:lang w:val="en-US"/>
          </w:rPr>
          <w:t>Article 8.01 General</w:t>
        </w:r>
        <w:r w:rsidR="00D30C93">
          <w:rPr>
            <w:noProof/>
            <w:webHidden/>
          </w:rPr>
          <w:tab/>
        </w:r>
        <w:r w:rsidR="00D30C93">
          <w:rPr>
            <w:noProof/>
            <w:webHidden/>
          </w:rPr>
          <w:fldChar w:fldCharType="begin"/>
        </w:r>
        <w:r w:rsidR="00D30C93">
          <w:rPr>
            <w:noProof/>
            <w:webHidden/>
          </w:rPr>
          <w:instrText xml:space="preserve"> PAGEREF _Toc491854056 \h </w:instrText>
        </w:r>
        <w:r w:rsidR="00D30C93">
          <w:rPr>
            <w:noProof/>
            <w:webHidden/>
          </w:rPr>
        </w:r>
        <w:r w:rsidR="00D30C93">
          <w:rPr>
            <w:noProof/>
            <w:webHidden/>
          </w:rPr>
          <w:fldChar w:fldCharType="separate"/>
        </w:r>
        <w:r w:rsidR="001B3D1D">
          <w:rPr>
            <w:noProof/>
            <w:webHidden/>
          </w:rPr>
          <w:t>39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57" w:history="1">
        <w:r w:rsidR="00D30C93" w:rsidRPr="00F57C6C">
          <w:rPr>
            <w:rStyle w:val="Hyperlink"/>
            <w:noProof/>
            <w:lang w:val="en-US"/>
          </w:rPr>
          <w:t>Article 8.02 Safety equipment</w:t>
        </w:r>
        <w:r w:rsidR="00D30C93">
          <w:rPr>
            <w:noProof/>
            <w:webHidden/>
          </w:rPr>
          <w:tab/>
        </w:r>
        <w:r w:rsidR="00D30C93">
          <w:rPr>
            <w:noProof/>
            <w:webHidden/>
          </w:rPr>
          <w:fldChar w:fldCharType="begin"/>
        </w:r>
        <w:r w:rsidR="00D30C93">
          <w:rPr>
            <w:noProof/>
            <w:webHidden/>
          </w:rPr>
          <w:instrText xml:space="preserve"> PAGEREF _Toc491854057 \h </w:instrText>
        </w:r>
        <w:r w:rsidR="00D30C93">
          <w:rPr>
            <w:noProof/>
            <w:webHidden/>
          </w:rPr>
        </w:r>
        <w:r w:rsidR="00D30C93">
          <w:rPr>
            <w:noProof/>
            <w:webHidden/>
          </w:rPr>
          <w:fldChar w:fldCharType="separate"/>
        </w:r>
        <w:r w:rsidR="001B3D1D">
          <w:rPr>
            <w:noProof/>
            <w:webHidden/>
          </w:rPr>
          <w:t>39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58" w:history="1">
        <w:r w:rsidR="00D30C93" w:rsidRPr="00F57C6C">
          <w:rPr>
            <w:rStyle w:val="Hyperlink"/>
            <w:noProof/>
            <w:lang w:val="en-US"/>
          </w:rPr>
          <w:t>Article 8.03 Propulsion systems</w:t>
        </w:r>
        <w:r w:rsidR="00D30C93">
          <w:rPr>
            <w:noProof/>
            <w:webHidden/>
          </w:rPr>
          <w:tab/>
        </w:r>
        <w:r w:rsidR="00D30C93">
          <w:rPr>
            <w:noProof/>
            <w:webHidden/>
          </w:rPr>
          <w:fldChar w:fldCharType="begin"/>
        </w:r>
        <w:r w:rsidR="00D30C93">
          <w:rPr>
            <w:noProof/>
            <w:webHidden/>
          </w:rPr>
          <w:instrText xml:space="preserve"> PAGEREF _Toc491854058 \h </w:instrText>
        </w:r>
        <w:r w:rsidR="00D30C93">
          <w:rPr>
            <w:noProof/>
            <w:webHidden/>
          </w:rPr>
        </w:r>
        <w:r w:rsidR="00D30C93">
          <w:rPr>
            <w:noProof/>
            <w:webHidden/>
          </w:rPr>
          <w:fldChar w:fldCharType="separate"/>
        </w:r>
        <w:r w:rsidR="001B3D1D">
          <w:rPr>
            <w:noProof/>
            <w:webHidden/>
          </w:rPr>
          <w:t>40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59" w:history="1">
        <w:r w:rsidR="00D30C93" w:rsidRPr="00F57C6C">
          <w:rPr>
            <w:rStyle w:val="Hyperlink"/>
            <w:noProof/>
            <w:lang w:val="en-US"/>
          </w:rPr>
          <w:t>Article 8.04 Engine exhaust system</w:t>
        </w:r>
        <w:r w:rsidR="00D30C93">
          <w:rPr>
            <w:noProof/>
            <w:webHidden/>
          </w:rPr>
          <w:tab/>
        </w:r>
        <w:r w:rsidR="00D30C93">
          <w:rPr>
            <w:noProof/>
            <w:webHidden/>
          </w:rPr>
          <w:fldChar w:fldCharType="begin"/>
        </w:r>
        <w:r w:rsidR="00D30C93">
          <w:rPr>
            <w:noProof/>
            <w:webHidden/>
          </w:rPr>
          <w:instrText xml:space="preserve"> PAGEREF _Toc491854059 \h </w:instrText>
        </w:r>
        <w:r w:rsidR="00D30C93">
          <w:rPr>
            <w:noProof/>
            <w:webHidden/>
          </w:rPr>
        </w:r>
        <w:r w:rsidR="00D30C93">
          <w:rPr>
            <w:noProof/>
            <w:webHidden/>
          </w:rPr>
          <w:fldChar w:fldCharType="separate"/>
        </w:r>
        <w:r w:rsidR="001B3D1D">
          <w:rPr>
            <w:noProof/>
            <w:webHidden/>
          </w:rPr>
          <w:t>40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60" w:history="1">
        <w:r w:rsidR="00D30C93" w:rsidRPr="00F57C6C">
          <w:rPr>
            <w:rStyle w:val="Hyperlink"/>
            <w:noProof/>
            <w:lang w:val="en-GB"/>
          </w:rPr>
          <w:t>Article 8.05 Fuel tanks, pipes and accessories</w:t>
        </w:r>
        <w:r w:rsidR="00D30C93">
          <w:rPr>
            <w:noProof/>
            <w:webHidden/>
          </w:rPr>
          <w:tab/>
        </w:r>
        <w:r w:rsidR="00D30C93">
          <w:rPr>
            <w:noProof/>
            <w:webHidden/>
          </w:rPr>
          <w:fldChar w:fldCharType="begin"/>
        </w:r>
        <w:r w:rsidR="00D30C93">
          <w:rPr>
            <w:noProof/>
            <w:webHidden/>
          </w:rPr>
          <w:instrText xml:space="preserve"> PAGEREF _Toc491854060 \h </w:instrText>
        </w:r>
        <w:r w:rsidR="00D30C93">
          <w:rPr>
            <w:noProof/>
            <w:webHidden/>
          </w:rPr>
        </w:r>
        <w:r w:rsidR="00D30C93">
          <w:rPr>
            <w:noProof/>
            <w:webHidden/>
          </w:rPr>
          <w:fldChar w:fldCharType="separate"/>
        </w:r>
        <w:r w:rsidR="001B3D1D">
          <w:rPr>
            <w:noProof/>
            <w:webHidden/>
          </w:rPr>
          <w:t>41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61" w:history="1">
        <w:r w:rsidR="00D30C93" w:rsidRPr="00F57C6C">
          <w:rPr>
            <w:rStyle w:val="Hyperlink"/>
            <w:noProof/>
            <w:lang w:val="en-GB"/>
          </w:rPr>
          <w:t>Article 8.06 Storage of lubricating oil, pipes and accessories</w:t>
        </w:r>
        <w:r w:rsidR="00D30C93">
          <w:rPr>
            <w:noProof/>
            <w:webHidden/>
          </w:rPr>
          <w:tab/>
        </w:r>
        <w:r w:rsidR="00D30C93">
          <w:rPr>
            <w:noProof/>
            <w:webHidden/>
          </w:rPr>
          <w:fldChar w:fldCharType="begin"/>
        </w:r>
        <w:r w:rsidR="00D30C93">
          <w:rPr>
            <w:noProof/>
            <w:webHidden/>
          </w:rPr>
          <w:instrText xml:space="preserve"> PAGEREF _Toc491854061 \h </w:instrText>
        </w:r>
        <w:r w:rsidR="00D30C93">
          <w:rPr>
            <w:noProof/>
            <w:webHidden/>
          </w:rPr>
        </w:r>
        <w:r w:rsidR="00D30C93">
          <w:rPr>
            <w:noProof/>
            <w:webHidden/>
          </w:rPr>
          <w:fldChar w:fldCharType="separate"/>
        </w:r>
        <w:r w:rsidR="001B3D1D">
          <w:rPr>
            <w:noProof/>
            <w:webHidden/>
          </w:rPr>
          <w:t>42</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62" w:history="1">
        <w:r w:rsidR="00D30C93" w:rsidRPr="00F57C6C">
          <w:rPr>
            <w:rStyle w:val="Hyperlink"/>
            <w:noProof/>
            <w:lang w:val="en-GB"/>
          </w:rPr>
          <w:t>Article 8.07 Storage of oils used in power transmission systems, control and activating systems and heating systems, pipes and accessories</w:t>
        </w:r>
        <w:r w:rsidR="00D30C93">
          <w:rPr>
            <w:noProof/>
            <w:webHidden/>
          </w:rPr>
          <w:tab/>
        </w:r>
        <w:r w:rsidR="00D30C93">
          <w:rPr>
            <w:noProof/>
            <w:webHidden/>
          </w:rPr>
          <w:fldChar w:fldCharType="begin"/>
        </w:r>
        <w:r w:rsidR="00D30C93">
          <w:rPr>
            <w:noProof/>
            <w:webHidden/>
          </w:rPr>
          <w:instrText xml:space="preserve"> PAGEREF _Toc491854062 \h </w:instrText>
        </w:r>
        <w:r w:rsidR="00D30C93">
          <w:rPr>
            <w:noProof/>
            <w:webHidden/>
          </w:rPr>
        </w:r>
        <w:r w:rsidR="00D30C93">
          <w:rPr>
            <w:noProof/>
            <w:webHidden/>
          </w:rPr>
          <w:fldChar w:fldCharType="separate"/>
        </w:r>
        <w:r w:rsidR="001B3D1D">
          <w:rPr>
            <w:noProof/>
            <w:webHidden/>
          </w:rPr>
          <w:t>43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63" w:history="1">
        <w:r w:rsidR="00D30C93" w:rsidRPr="00F57C6C">
          <w:rPr>
            <w:rStyle w:val="Hyperlink"/>
            <w:noProof/>
            <w:lang w:val="en-GB"/>
          </w:rPr>
          <w:t>Article 8.08 Bilge pumping and drainage systems</w:t>
        </w:r>
        <w:r w:rsidR="00D30C93">
          <w:rPr>
            <w:noProof/>
            <w:webHidden/>
          </w:rPr>
          <w:tab/>
        </w:r>
        <w:r w:rsidR="00D30C93">
          <w:rPr>
            <w:noProof/>
            <w:webHidden/>
          </w:rPr>
          <w:fldChar w:fldCharType="begin"/>
        </w:r>
        <w:r w:rsidR="00D30C93">
          <w:rPr>
            <w:noProof/>
            <w:webHidden/>
          </w:rPr>
          <w:instrText xml:space="preserve"> PAGEREF _Toc491854063 \h </w:instrText>
        </w:r>
        <w:r w:rsidR="00D30C93">
          <w:rPr>
            <w:noProof/>
            <w:webHidden/>
          </w:rPr>
        </w:r>
        <w:r w:rsidR="00D30C93">
          <w:rPr>
            <w:noProof/>
            <w:webHidden/>
          </w:rPr>
          <w:fldChar w:fldCharType="separate"/>
        </w:r>
        <w:r w:rsidR="001B3D1D">
          <w:rPr>
            <w:noProof/>
            <w:webHidden/>
          </w:rPr>
          <w:t>44</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64" w:history="1">
        <w:r w:rsidR="00D30C93" w:rsidRPr="00F57C6C">
          <w:rPr>
            <w:rStyle w:val="Hyperlink"/>
            <w:noProof/>
            <w:lang w:val="en-GB"/>
          </w:rPr>
          <w:t>Article 8.09 Oily water and used oil stores</w:t>
        </w:r>
        <w:r w:rsidR="00D30C93">
          <w:rPr>
            <w:noProof/>
            <w:webHidden/>
          </w:rPr>
          <w:tab/>
        </w:r>
        <w:r w:rsidR="00D30C93">
          <w:rPr>
            <w:noProof/>
            <w:webHidden/>
          </w:rPr>
          <w:fldChar w:fldCharType="begin"/>
        </w:r>
        <w:r w:rsidR="00D30C93">
          <w:rPr>
            <w:noProof/>
            <w:webHidden/>
          </w:rPr>
          <w:instrText xml:space="preserve"> PAGEREF _Toc491854064 \h </w:instrText>
        </w:r>
        <w:r w:rsidR="00D30C93">
          <w:rPr>
            <w:noProof/>
            <w:webHidden/>
          </w:rPr>
        </w:r>
        <w:r w:rsidR="00D30C93">
          <w:rPr>
            <w:noProof/>
            <w:webHidden/>
          </w:rPr>
          <w:fldChar w:fldCharType="separate"/>
        </w:r>
        <w:r w:rsidR="001B3D1D">
          <w:rPr>
            <w:noProof/>
            <w:webHidden/>
          </w:rPr>
          <w:t>45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65" w:history="1">
        <w:r w:rsidR="00D30C93" w:rsidRPr="00F57C6C">
          <w:rPr>
            <w:rStyle w:val="Hyperlink"/>
            <w:noProof/>
            <w:lang w:val="en-US"/>
          </w:rPr>
          <w:t>Article 8.10 Noise emitted by vessels</w:t>
        </w:r>
        <w:r w:rsidR="00D30C93">
          <w:rPr>
            <w:noProof/>
            <w:webHidden/>
          </w:rPr>
          <w:tab/>
        </w:r>
        <w:r w:rsidR="00D30C93">
          <w:rPr>
            <w:noProof/>
            <w:webHidden/>
          </w:rPr>
          <w:fldChar w:fldCharType="begin"/>
        </w:r>
        <w:r w:rsidR="00D30C93">
          <w:rPr>
            <w:noProof/>
            <w:webHidden/>
          </w:rPr>
          <w:instrText xml:space="preserve"> PAGEREF _Toc491854065 \h </w:instrText>
        </w:r>
        <w:r w:rsidR="00D30C93">
          <w:rPr>
            <w:noProof/>
            <w:webHidden/>
          </w:rPr>
        </w:r>
        <w:r w:rsidR="00D30C93">
          <w:rPr>
            <w:noProof/>
            <w:webHidden/>
          </w:rPr>
          <w:fldChar w:fldCharType="separate"/>
        </w:r>
        <w:r w:rsidR="001B3D1D">
          <w:rPr>
            <w:noProof/>
            <w:webHidden/>
          </w:rPr>
          <w:t>46</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066" w:history="1">
        <w:r w:rsidR="00D30C93" w:rsidRPr="00F57C6C">
          <w:rPr>
            <w:rStyle w:val="Hyperlink"/>
            <w:noProof/>
          </w:rPr>
          <w:t>Chapter 9 Emission of gaseous and particulate pollutants from internal combustion engines</w:t>
        </w:r>
        <w:r w:rsidR="00C05A21">
          <w:rPr>
            <w:webHidden/>
          </w:rPr>
          <w:t>………………………………………………………………………………………………….</w:t>
        </w:r>
        <w:r w:rsidR="00D30C93">
          <w:rPr>
            <w:noProof/>
            <w:webHidden/>
          </w:rPr>
          <w:fldChar w:fldCharType="begin"/>
        </w:r>
        <w:r w:rsidR="00D30C93">
          <w:rPr>
            <w:noProof/>
            <w:webHidden/>
          </w:rPr>
          <w:instrText xml:space="preserve"> PAGEREF _Toc491854066 \h </w:instrText>
        </w:r>
        <w:r w:rsidR="00D30C93">
          <w:rPr>
            <w:noProof/>
            <w:webHidden/>
          </w:rPr>
        </w:r>
        <w:r w:rsidR="00D30C93">
          <w:rPr>
            <w:noProof/>
            <w:webHidden/>
          </w:rPr>
          <w:fldChar w:fldCharType="separate"/>
        </w:r>
        <w:r w:rsidR="001B3D1D">
          <w:rPr>
            <w:noProof/>
            <w:webHidden/>
          </w:rPr>
          <w:t>47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67" w:history="1">
        <w:r w:rsidR="00D30C93" w:rsidRPr="00F57C6C">
          <w:rPr>
            <w:rStyle w:val="Hyperlink"/>
            <w:noProof/>
            <w:lang w:val="en-US"/>
          </w:rPr>
          <w:t>Article 9.00 Definitions</w:t>
        </w:r>
        <w:r w:rsidR="00D30C93">
          <w:rPr>
            <w:noProof/>
            <w:webHidden/>
          </w:rPr>
          <w:tab/>
        </w:r>
        <w:r w:rsidR="00D30C93">
          <w:rPr>
            <w:noProof/>
            <w:webHidden/>
          </w:rPr>
          <w:fldChar w:fldCharType="begin"/>
        </w:r>
        <w:r w:rsidR="00D30C93">
          <w:rPr>
            <w:noProof/>
            <w:webHidden/>
          </w:rPr>
          <w:instrText xml:space="preserve"> PAGEREF _Toc491854067 \h </w:instrText>
        </w:r>
        <w:r w:rsidR="00D30C93">
          <w:rPr>
            <w:noProof/>
            <w:webHidden/>
          </w:rPr>
        </w:r>
        <w:r w:rsidR="00D30C93">
          <w:rPr>
            <w:noProof/>
            <w:webHidden/>
          </w:rPr>
          <w:fldChar w:fldCharType="separate"/>
        </w:r>
        <w:r w:rsidR="001B3D1D">
          <w:rPr>
            <w:noProof/>
            <w:webHidden/>
          </w:rPr>
          <w:t>47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68" w:history="1">
        <w:r w:rsidR="00D30C93" w:rsidRPr="00F57C6C">
          <w:rPr>
            <w:rStyle w:val="Hyperlink"/>
            <w:noProof/>
            <w:lang w:val="en-US"/>
          </w:rPr>
          <w:t>Article 9.01 General provisions</w:t>
        </w:r>
        <w:r w:rsidR="00D30C93">
          <w:rPr>
            <w:noProof/>
            <w:webHidden/>
          </w:rPr>
          <w:tab/>
        </w:r>
        <w:r w:rsidR="00D30C93">
          <w:rPr>
            <w:noProof/>
            <w:webHidden/>
          </w:rPr>
          <w:fldChar w:fldCharType="begin"/>
        </w:r>
        <w:r w:rsidR="00D30C93">
          <w:rPr>
            <w:noProof/>
            <w:webHidden/>
          </w:rPr>
          <w:instrText xml:space="preserve"> PAGEREF _Toc491854068 \h </w:instrText>
        </w:r>
        <w:r w:rsidR="00D30C93">
          <w:rPr>
            <w:noProof/>
            <w:webHidden/>
          </w:rPr>
        </w:r>
        <w:r w:rsidR="00D30C93">
          <w:rPr>
            <w:noProof/>
            <w:webHidden/>
          </w:rPr>
          <w:fldChar w:fldCharType="separate"/>
        </w:r>
        <w:r w:rsidR="001B3D1D">
          <w:rPr>
            <w:noProof/>
            <w:webHidden/>
          </w:rPr>
          <w:t>47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69" w:history="1">
        <w:r w:rsidR="00D30C93" w:rsidRPr="00F57C6C">
          <w:rPr>
            <w:rStyle w:val="Hyperlink"/>
            <w:noProof/>
            <w:lang w:val="en-US"/>
          </w:rPr>
          <w:t>Article 9.02 Entry in the inland navigation vessel certificate</w:t>
        </w:r>
        <w:r w:rsidR="00D30C93">
          <w:rPr>
            <w:noProof/>
            <w:webHidden/>
          </w:rPr>
          <w:tab/>
        </w:r>
        <w:r w:rsidR="00D30C93">
          <w:rPr>
            <w:noProof/>
            <w:webHidden/>
          </w:rPr>
          <w:fldChar w:fldCharType="begin"/>
        </w:r>
        <w:r w:rsidR="00D30C93">
          <w:rPr>
            <w:noProof/>
            <w:webHidden/>
          </w:rPr>
          <w:instrText xml:space="preserve"> PAGEREF _Toc491854069 \h </w:instrText>
        </w:r>
        <w:r w:rsidR="00D30C93">
          <w:rPr>
            <w:noProof/>
            <w:webHidden/>
          </w:rPr>
        </w:r>
        <w:r w:rsidR="00D30C93">
          <w:rPr>
            <w:noProof/>
            <w:webHidden/>
          </w:rPr>
          <w:fldChar w:fldCharType="separate"/>
        </w:r>
        <w:r w:rsidR="001B3D1D">
          <w:rPr>
            <w:noProof/>
            <w:webHidden/>
          </w:rPr>
          <w:t>48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70" w:history="1">
        <w:r w:rsidR="00D30C93" w:rsidRPr="00F57C6C">
          <w:rPr>
            <w:rStyle w:val="Hyperlink"/>
            <w:noProof/>
            <w:lang w:val="en-US"/>
          </w:rPr>
          <w:t>Article 9.03 Provisions for the installation of internal combustion engines</w:t>
        </w:r>
        <w:r w:rsidR="00D30C93">
          <w:rPr>
            <w:noProof/>
            <w:webHidden/>
          </w:rPr>
          <w:tab/>
        </w:r>
        <w:r w:rsidR="00D30C93">
          <w:rPr>
            <w:noProof/>
            <w:webHidden/>
          </w:rPr>
          <w:fldChar w:fldCharType="begin"/>
        </w:r>
        <w:r w:rsidR="00D30C93">
          <w:rPr>
            <w:noProof/>
            <w:webHidden/>
          </w:rPr>
          <w:instrText xml:space="preserve"> PAGEREF _Toc491854070 \h </w:instrText>
        </w:r>
        <w:r w:rsidR="00D30C93">
          <w:rPr>
            <w:noProof/>
            <w:webHidden/>
          </w:rPr>
        </w:r>
        <w:r w:rsidR="00D30C93">
          <w:rPr>
            <w:noProof/>
            <w:webHidden/>
          </w:rPr>
          <w:fldChar w:fldCharType="separate"/>
        </w:r>
        <w:r w:rsidR="001B3D1D">
          <w:rPr>
            <w:noProof/>
            <w:webHidden/>
          </w:rPr>
          <w:t>48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71" w:history="1">
        <w:r w:rsidR="00D30C93" w:rsidRPr="00F57C6C">
          <w:rPr>
            <w:rStyle w:val="Hyperlink"/>
            <w:noProof/>
            <w:lang w:val="en-US"/>
          </w:rPr>
          <w:t>Article 9.04 Engine manufacturer’s instructions</w:t>
        </w:r>
        <w:r w:rsidR="00D30C93">
          <w:rPr>
            <w:noProof/>
            <w:webHidden/>
          </w:rPr>
          <w:tab/>
        </w:r>
        <w:r w:rsidR="00D30C93">
          <w:rPr>
            <w:noProof/>
            <w:webHidden/>
          </w:rPr>
          <w:fldChar w:fldCharType="begin"/>
        </w:r>
        <w:r w:rsidR="00D30C93">
          <w:rPr>
            <w:noProof/>
            <w:webHidden/>
          </w:rPr>
          <w:instrText xml:space="preserve"> PAGEREF _Toc491854071 \h </w:instrText>
        </w:r>
        <w:r w:rsidR="00D30C93">
          <w:rPr>
            <w:noProof/>
            <w:webHidden/>
          </w:rPr>
        </w:r>
        <w:r w:rsidR="00D30C93">
          <w:rPr>
            <w:noProof/>
            <w:webHidden/>
          </w:rPr>
          <w:fldChar w:fldCharType="separate"/>
        </w:r>
        <w:r w:rsidR="001B3D1D">
          <w:rPr>
            <w:noProof/>
            <w:webHidden/>
          </w:rPr>
          <w:t>48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72" w:history="1">
        <w:r w:rsidR="00D30C93" w:rsidRPr="00F57C6C">
          <w:rPr>
            <w:rStyle w:val="Hyperlink"/>
            <w:noProof/>
            <w:lang w:val="en-US"/>
          </w:rPr>
          <w:t>Article 9.05 Tests of the internal combustion engines</w:t>
        </w:r>
        <w:r w:rsidR="00D30C93">
          <w:rPr>
            <w:noProof/>
            <w:webHidden/>
          </w:rPr>
          <w:tab/>
        </w:r>
        <w:r w:rsidR="00D30C93">
          <w:rPr>
            <w:noProof/>
            <w:webHidden/>
          </w:rPr>
          <w:fldChar w:fldCharType="begin"/>
        </w:r>
        <w:r w:rsidR="00D30C93">
          <w:rPr>
            <w:noProof/>
            <w:webHidden/>
          </w:rPr>
          <w:instrText xml:space="preserve"> PAGEREF _Toc491854072 \h </w:instrText>
        </w:r>
        <w:r w:rsidR="00D30C93">
          <w:rPr>
            <w:noProof/>
            <w:webHidden/>
          </w:rPr>
        </w:r>
        <w:r w:rsidR="00D30C93">
          <w:rPr>
            <w:noProof/>
            <w:webHidden/>
          </w:rPr>
          <w:fldChar w:fldCharType="separate"/>
        </w:r>
        <w:r w:rsidR="001B3D1D">
          <w:rPr>
            <w:noProof/>
            <w:webHidden/>
          </w:rPr>
          <w:t>49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73" w:history="1">
        <w:r w:rsidR="00D30C93" w:rsidRPr="00F57C6C">
          <w:rPr>
            <w:rStyle w:val="Hyperlink"/>
            <w:noProof/>
            <w:lang w:val="en-US"/>
          </w:rPr>
          <w:t>Article 9.06 Installation tests</w:t>
        </w:r>
        <w:r w:rsidR="00D30C93">
          <w:rPr>
            <w:noProof/>
            <w:webHidden/>
          </w:rPr>
          <w:tab/>
        </w:r>
        <w:r w:rsidR="00D30C93">
          <w:rPr>
            <w:noProof/>
            <w:webHidden/>
          </w:rPr>
          <w:fldChar w:fldCharType="begin"/>
        </w:r>
        <w:r w:rsidR="00D30C93">
          <w:rPr>
            <w:noProof/>
            <w:webHidden/>
          </w:rPr>
          <w:instrText xml:space="preserve"> PAGEREF _Toc491854073 \h </w:instrText>
        </w:r>
        <w:r w:rsidR="00D30C93">
          <w:rPr>
            <w:noProof/>
            <w:webHidden/>
          </w:rPr>
        </w:r>
        <w:r w:rsidR="00D30C93">
          <w:rPr>
            <w:noProof/>
            <w:webHidden/>
          </w:rPr>
          <w:fldChar w:fldCharType="separate"/>
        </w:r>
        <w:r w:rsidR="001B3D1D">
          <w:rPr>
            <w:noProof/>
            <w:webHidden/>
          </w:rPr>
          <w:t>49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74" w:history="1">
        <w:r w:rsidR="00D30C93" w:rsidRPr="00F57C6C">
          <w:rPr>
            <w:rStyle w:val="Hyperlink"/>
            <w:noProof/>
            <w:lang w:val="en-US"/>
          </w:rPr>
          <w:t>Article 9.07 Intermediate tests</w:t>
        </w:r>
        <w:r w:rsidR="00D30C93">
          <w:rPr>
            <w:noProof/>
            <w:webHidden/>
          </w:rPr>
          <w:tab/>
        </w:r>
        <w:r w:rsidR="00D30C93">
          <w:rPr>
            <w:noProof/>
            <w:webHidden/>
          </w:rPr>
          <w:fldChar w:fldCharType="begin"/>
        </w:r>
        <w:r w:rsidR="00D30C93">
          <w:rPr>
            <w:noProof/>
            <w:webHidden/>
          </w:rPr>
          <w:instrText xml:space="preserve"> PAGEREF _Toc491854074 \h </w:instrText>
        </w:r>
        <w:r w:rsidR="00D30C93">
          <w:rPr>
            <w:noProof/>
            <w:webHidden/>
          </w:rPr>
        </w:r>
        <w:r w:rsidR="00D30C93">
          <w:rPr>
            <w:noProof/>
            <w:webHidden/>
          </w:rPr>
          <w:fldChar w:fldCharType="separate"/>
        </w:r>
        <w:r w:rsidR="001B3D1D">
          <w:rPr>
            <w:noProof/>
            <w:webHidden/>
          </w:rPr>
          <w:t>50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75" w:history="1">
        <w:r w:rsidR="00D30C93" w:rsidRPr="00F57C6C">
          <w:rPr>
            <w:rStyle w:val="Hyperlink"/>
            <w:noProof/>
            <w:lang w:val="en-US"/>
          </w:rPr>
          <w:t>Article 9.08 Special tests</w:t>
        </w:r>
        <w:r w:rsidR="00D30C93">
          <w:rPr>
            <w:noProof/>
            <w:webHidden/>
          </w:rPr>
          <w:tab/>
        </w:r>
        <w:r w:rsidR="00D30C93">
          <w:rPr>
            <w:noProof/>
            <w:webHidden/>
          </w:rPr>
          <w:fldChar w:fldCharType="begin"/>
        </w:r>
        <w:r w:rsidR="00D30C93">
          <w:rPr>
            <w:noProof/>
            <w:webHidden/>
          </w:rPr>
          <w:instrText xml:space="preserve"> PAGEREF _Toc491854075 \h </w:instrText>
        </w:r>
        <w:r w:rsidR="00D30C93">
          <w:rPr>
            <w:noProof/>
            <w:webHidden/>
          </w:rPr>
        </w:r>
        <w:r w:rsidR="00D30C93">
          <w:rPr>
            <w:noProof/>
            <w:webHidden/>
          </w:rPr>
          <w:fldChar w:fldCharType="separate"/>
        </w:r>
        <w:r w:rsidR="001B3D1D">
          <w:rPr>
            <w:noProof/>
            <w:webHidden/>
          </w:rPr>
          <w:t>50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76" w:history="1">
        <w:r w:rsidR="00D30C93" w:rsidRPr="00F57C6C">
          <w:rPr>
            <w:rStyle w:val="Hyperlink"/>
            <w:noProof/>
            <w:lang w:val="en-US"/>
          </w:rPr>
          <w:t>Article 9.09 Specific requirements concerning exhaust gas after treatment systems</w:t>
        </w:r>
        <w:r w:rsidR="00D30C93">
          <w:rPr>
            <w:noProof/>
            <w:webHidden/>
          </w:rPr>
          <w:tab/>
        </w:r>
        <w:r w:rsidR="00D30C93">
          <w:rPr>
            <w:noProof/>
            <w:webHidden/>
          </w:rPr>
          <w:fldChar w:fldCharType="begin"/>
        </w:r>
        <w:r w:rsidR="00D30C93">
          <w:rPr>
            <w:noProof/>
            <w:webHidden/>
          </w:rPr>
          <w:instrText xml:space="preserve"> PAGEREF _Toc491854076 \h </w:instrText>
        </w:r>
        <w:r w:rsidR="00D30C93">
          <w:rPr>
            <w:noProof/>
            <w:webHidden/>
          </w:rPr>
        </w:r>
        <w:r w:rsidR="00D30C93">
          <w:rPr>
            <w:noProof/>
            <w:webHidden/>
          </w:rPr>
          <w:fldChar w:fldCharType="separate"/>
        </w:r>
        <w:r w:rsidR="001B3D1D">
          <w:rPr>
            <w:noProof/>
            <w:webHidden/>
          </w:rPr>
          <w:t>50</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077" w:history="1">
        <w:r w:rsidR="00D30C93" w:rsidRPr="00F57C6C">
          <w:rPr>
            <w:rStyle w:val="Hyperlink"/>
            <w:noProof/>
          </w:rPr>
          <w:t>Chapter 10 Electrical equipment and installations</w:t>
        </w:r>
        <w:r w:rsidR="00D271A7">
          <w:rPr>
            <w:webHidden/>
          </w:rPr>
          <w:t>………………………………………………</w:t>
        </w:r>
        <w:r w:rsidR="00D30C93">
          <w:rPr>
            <w:noProof/>
            <w:webHidden/>
          </w:rPr>
          <w:fldChar w:fldCharType="begin"/>
        </w:r>
        <w:r w:rsidR="00D30C93">
          <w:rPr>
            <w:noProof/>
            <w:webHidden/>
          </w:rPr>
          <w:instrText xml:space="preserve"> PAGEREF _Toc491854077 \h </w:instrText>
        </w:r>
        <w:r w:rsidR="00D30C93">
          <w:rPr>
            <w:noProof/>
            <w:webHidden/>
          </w:rPr>
        </w:r>
        <w:r w:rsidR="00D30C93">
          <w:rPr>
            <w:noProof/>
            <w:webHidden/>
          </w:rPr>
          <w:fldChar w:fldCharType="separate"/>
        </w:r>
        <w:r w:rsidR="001B3D1D">
          <w:rPr>
            <w:noProof/>
            <w:webHidden/>
          </w:rPr>
          <w:t>53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78" w:history="1">
        <w:r w:rsidR="00D30C93" w:rsidRPr="00F57C6C">
          <w:rPr>
            <w:rStyle w:val="Hyperlink"/>
            <w:noProof/>
            <w:lang w:val="en-US"/>
          </w:rPr>
          <w:t>Article 10.01 General</w:t>
        </w:r>
        <w:r w:rsidR="00D30C93">
          <w:rPr>
            <w:noProof/>
            <w:webHidden/>
          </w:rPr>
          <w:tab/>
        </w:r>
        <w:r w:rsidR="00D30C93">
          <w:rPr>
            <w:noProof/>
            <w:webHidden/>
          </w:rPr>
          <w:fldChar w:fldCharType="begin"/>
        </w:r>
        <w:r w:rsidR="00D30C93">
          <w:rPr>
            <w:noProof/>
            <w:webHidden/>
          </w:rPr>
          <w:instrText xml:space="preserve"> PAGEREF _Toc491854078 \h </w:instrText>
        </w:r>
        <w:r w:rsidR="00D30C93">
          <w:rPr>
            <w:noProof/>
            <w:webHidden/>
          </w:rPr>
        </w:r>
        <w:r w:rsidR="00D30C93">
          <w:rPr>
            <w:noProof/>
            <w:webHidden/>
          </w:rPr>
          <w:fldChar w:fldCharType="separate"/>
        </w:r>
        <w:r w:rsidR="001B3D1D">
          <w:rPr>
            <w:noProof/>
            <w:webHidden/>
          </w:rPr>
          <w:t>53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79" w:history="1">
        <w:r w:rsidR="00D30C93" w:rsidRPr="00F57C6C">
          <w:rPr>
            <w:rStyle w:val="Hyperlink"/>
            <w:noProof/>
            <w:lang w:val="en-US"/>
          </w:rPr>
          <w:t>Article 10.02 Electricity supply systems</w:t>
        </w:r>
        <w:r w:rsidR="00D30C93">
          <w:rPr>
            <w:noProof/>
            <w:webHidden/>
          </w:rPr>
          <w:tab/>
        </w:r>
        <w:r w:rsidR="00D30C93">
          <w:rPr>
            <w:noProof/>
            <w:webHidden/>
          </w:rPr>
          <w:fldChar w:fldCharType="begin"/>
        </w:r>
        <w:r w:rsidR="00D30C93">
          <w:rPr>
            <w:noProof/>
            <w:webHidden/>
          </w:rPr>
          <w:instrText xml:space="preserve"> PAGEREF _Toc491854079 \h </w:instrText>
        </w:r>
        <w:r w:rsidR="00D30C93">
          <w:rPr>
            <w:noProof/>
            <w:webHidden/>
          </w:rPr>
        </w:r>
        <w:r w:rsidR="00D30C93">
          <w:rPr>
            <w:noProof/>
            <w:webHidden/>
          </w:rPr>
          <w:fldChar w:fldCharType="separate"/>
        </w:r>
        <w:r w:rsidR="001B3D1D">
          <w:rPr>
            <w:noProof/>
            <w:webHidden/>
          </w:rPr>
          <w:t>53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80" w:history="1">
        <w:r w:rsidR="00D30C93" w:rsidRPr="00F57C6C">
          <w:rPr>
            <w:rStyle w:val="Hyperlink"/>
            <w:noProof/>
            <w:lang w:val="en-US"/>
          </w:rPr>
          <w:t xml:space="preserve">Article 10.03 </w:t>
        </w:r>
        <w:r w:rsidR="00D30C93" w:rsidRPr="00F57C6C">
          <w:rPr>
            <w:rStyle w:val="Hyperlink"/>
            <w:noProof/>
            <w:lang w:val="en-GB"/>
          </w:rPr>
          <w:t>Protection against access to hazardous parts, against solid foreign objects, against ingress of water</w:t>
        </w:r>
        <w:r w:rsidR="00D30C93">
          <w:rPr>
            <w:noProof/>
            <w:webHidden/>
          </w:rPr>
          <w:tab/>
        </w:r>
        <w:r w:rsidR="00D30C93">
          <w:rPr>
            <w:noProof/>
            <w:webHidden/>
          </w:rPr>
          <w:fldChar w:fldCharType="begin"/>
        </w:r>
        <w:r w:rsidR="00D30C93">
          <w:rPr>
            <w:noProof/>
            <w:webHidden/>
          </w:rPr>
          <w:instrText xml:space="preserve"> PAGEREF _Toc491854080 \h </w:instrText>
        </w:r>
        <w:r w:rsidR="00D30C93">
          <w:rPr>
            <w:noProof/>
            <w:webHidden/>
          </w:rPr>
        </w:r>
        <w:r w:rsidR="00D30C93">
          <w:rPr>
            <w:noProof/>
            <w:webHidden/>
          </w:rPr>
          <w:fldChar w:fldCharType="separate"/>
        </w:r>
        <w:r w:rsidR="001B3D1D">
          <w:rPr>
            <w:noProof/>
            <w:webHidden/>
          </w:rPr>
          <w:t>54</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81" w:history="1">
        <w:r w:rsidR="00D30C93" w:rsidRPr="00F57C6C">
          <w:rPr>
            <w:rStyle w:val="Hyperlink"/>
            <w:noProof/>
            <w:lang w:val="en-US"/>
          </w:rPr>
          <w:t>Article 10.04 Protection from explosion</w:t>
        </w:r>
        <w:r w:rsidR="00D30C93">
          <w:rPr>
            <w:noProof/>
            <w:webHidden/>
          </w:rPr>
          <w:tab/>
        </w:r>
        <w:r w:rsidR="00D30C93">
          <w:rPr>
            <w:noProof/>
            <w:webHidden/>
          </w:rPr>
          <w:fldChar w:fldCharType="begin"/>
        </w:r>
        <w:r w:rsidR="00D30C93">
          <w:rPr>
            <w:noProof/>
            <w:webHidden/>
          </w:rPr>
          <w:instrText xml:space="preserve"> PAGEREF _Toc491854081 \h </w:instrText>
        </w:r>
        <w:r w:rsidR="00D30C93">
          <w:rPr>
            <w:noProof/>
            <w:webHidden/>
          </w:rPr>
        </w:r>
        <w:r w:rsidR="00D30C93">
          <w:rPr>
            <w:noProof/>
            <w:webHidden/>
          </w:rPr>
          <w:fldChar w:fldCharType="separate"/>
        </w:r>
        <w:r w:rsidR="001B3D1D">
          <w:rPr>
            <w:noProof/>
            <w:webHidden/>
          </w:rPr>
          <w:t>54</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82" w:history="1">
        <w:r w:rsidR="00D30C93" w:rsidRPr="00F57C6C">
          <w:rPr>
            <w:rStyle w:val="Hyperlink"/>
            <w:noProof/>
            <w:lang w:val="en-US"/>
          </w:rPr>
          <w:t>Article 10.05 Earthing</w:t>
        </w:r>
        <w:r w:rsidR="00D30C93">
          <w:rPr>
            <w:noProof/>
            <w:webHidden/>
          </w:rPr>
          <w:tab/>
        </w:r>
        <w:r w:rsidR="00D30C93">
          <w:rPr>
            <w:noProof/>
            <w:webHidden/>
          </w:rPr>
          <w:fldChar w:fldCharType="begin"/>
        </w:r>
        <w:r w:rsidR="00D30C93">
          <w:rPr>
            <w:noProof/>
            <w:webHidden/>
          </w:rPr>
          <w:instrText xml:space="preserve"> PAGEREF _Toc491854082 \h </w:instrText>
        </w:r>
        <w:r w:rsidR="00D30C93">
          <w:rPr>
            <w:noProof/>
            <w:webHidden/>
          </w:rPr>
        </w:r>
        <w:r w:rsidR="00D30C93">
          <w:rPr>
            <w:noProof/>
            <w:webHidden/>
          </w:rPr>
          <w:fldChar w:fldCharType="separate"/>
        </w:r>
        <w:r w:rsidR="001B3D1D">
          <w:rPr>
            <w:noProof/>
            <w:webHidden/>
          </w:rPr>
          <w:t>55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83" w:history="1">
        <w:r w:rsidR="00D30C93" w:rsidRPr="00F57C6C">
          <w:rPr>
            <w:rStyle w:val="Hyperlink"/>
            <w:noProof/>
            <w:lang w:val="en-US"/>
          </w:rPr>
          <w:t>Article 10.06 Maximum permissible voltages</w:t>
        </w:r>
        <w:r w:rsidR="00D30C93">
          <w:rPr>
            <w:noProof/>
            <w:webHidden/>
          </w:rPr>
          <w:tab/>
        </w:r>
        <w:r w:rsidR="00D30C93">
          <w:rPr>
            <w:noProof/>
            <w:webHidden/>
          </w:rPr>
          <w:fldChar w:fldCharType="begin"/>
        </w:r>
        <w:r w:rsidR="00D30C93">
          <w:rPr>
            <w:noProof/>
            <w:webHidden/>
          </w:rPr>
          <w:instrText xml:space="preserve"> PAGEREF _Toc491854083 \h </w:instrText>
        </w:r>
        <w:r w:rsidR="00D30C93">
          <w:rPr>
            <w:noProof/>
            <w:webHidden/>
          </w:rPr>
        </w:r>
        <w:r w:rsidR="00D30C93">
          <w:rPr>
            <w:noProof/>
            <w:webHidden/>
          </w:rPr>
          <w:fldChar w:fldCharType="separate"/>
        </w:r>
        <w:r w:rsidR="001B3D1D">
          <w:rPr>
            <w:noProof/>
            <w:webHidden/>
          </w:rPr>
          <w:t>57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84" w:history="1">
        <w:r w:rsidR="00D30C93" w:rsidRPr="00F57C6C">
          <w:rPr>
            <w:rStyle w:val="Hyperlink"/>
            <w:noProof/>
            <w:lang w:val="en-US"/>
          </w:rPr>
          <w:t>Article 10.07 Distribution systems</w:t>
        </w:r>
        <w:r w:rsidR="00D30C93">
          <w:rPr>
            <w:noProof/>
            <w:webHidden/>
          </w:rPr>
          <w:tab/>
        </w:r>
        <w:r w:rsidR="00D30C93">
          <w:rPr>
            <w:noProof/>
            <w:webHidden/>
          </w:rPr>
          <w:fldChar w:fldCharType="begin"/>
        </w:r>
        <w:r w:rsidR="00D30C93">
          <w:rPr>
            <w:noProof/>
            <w:webHidden/>
          </w:rPr>
          <w:instrText xml:space="preserve"> PAGEREF _Toc491854084 \h </w:instrText>
        </w:r>
        <w:r w:rsidR="00D30C93">
          <w:rPr>
            <w:noProof/>
            <w:webHidden/>
          </w:rPr>
        </w:r>
        <w:r w:rsidR="00D30C93">
          <w:rPr>
            <w:noProof/>
            <w:webHidden/>
          </w:rPr>
          <w:fldChar w:fldCharType="separate"/>
        </w:r>
        <w:r w:rsidR="001B3D1D">
          <w:rPr>
            <w:noProof/>
            <w:webHidden/>
          </w:rPr>
          <w:t>58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85" w:history="1">
        <w:r w:rsidR="00D30C93" w:rsidRPr="00F57C6C">
          <w:rPr>
            <w:rStyle w:val="Hyperlink"/>
            <w:noProof/>
            <w:lang w:val="en-US"/>
          </w:rPr>
          <w:t xml:space="preserve">Article 10.08 </w:t>
        </w:r>
        <w:r w:rsidR="00D30C93" w:rsidRPr="00F57C6C">
          <w:rPr>
            <w:rStyle w:val="Hyperlink"/>
            <w:noProof/>
            <w:lang w:val="en-GB"/>
          </w:rPr>
          <w:t>Connection to the shore or other external networks</w:t>
        </w:r>
        <w:r w:rsidR="00D30C93">
          <w:rPr>
            <w:noProof/>
            <w:webHidden/>
          </w:rPr>
          <w:tab/>
        </w:r>
        <w:r w:rsidR="00D30C93">
          <w:rPr>
            <w:noProof/>
            <w:webHidden/>
          </w:rPr>
          <w:fldChar w:fldCharType="begin"/>
        </w:r>
        <w:r w:rsidR="00D30C93">
          <w:rPr>
            <w:noProof/>
            <w:webHidden/>
          </w:rPr>
          <w:instrText xml:space="preserve"> PAGEREF _Toc491854085 \h </w:instrText>
        </w:r>
        <w:r w:rsidR="00D30C93">
          <w:rPr>
            <w:noProof/>
            <w:webHidden/>
          </w:rPr>
        </w:r>
        <w:r w:rsidR="00D30C93">
          <w:rPr>
            <w:noProof/>
            <w:webHidden/>
          </w:rPr>
          <w:fldChar w:fldCharType="separate"/>
        </w:r>
        <w:r w:rsidR="001B3D1D">
          <w:rPr>
            <w:noProof/>
            <w:webHidden/>
          </w:rPr>
          <w:t>58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86" w:history="1">
        <w:r w:rsidR="00D30C93" w:rsidRPr="00F57C6C">
          <w:rPr>
            <w:rStyle w:val="Hyperlink"/>
            <w:noProof/>
            <w:lang w:val="en-US"/>
          </w:rPr>
          <w:t>Article 10.09 Power supply to other craft</w:t>
        </w:r>
        <w:r w:rsidR="00D30C93">
          <w:rPr>
            <w:noProof/>
            <w:webHidden/>
          </w:rPr>
          <w:tab/>
        </w:r>
        <w:r w:rsidR="00D30C93">
          <w:rPr>
            <w:noProof/>
            <w:webHidden/>
          </w:rPr>
          <w:fldChar w:fldCharType="begin"/>
        </w:r>
        <w:r w:rsidR="00D30C93">
          <w:rPr>
            <w:noProof/>
            <w:webHidden/>
          </w:rPr>
          <w:instrText xml:space="preserve"> PAGEREF _Toc491854086 \h </w:instrText>
        </w:r>
        <w:r w:rsidR="00D30C93">
          <w:rPr>
            <w:noProof/>
            <w:webHidden/>
          </w:rPr>
        </w:r>
        <w:r w:rsidR="00D30C93">
          <w:rPr>
            <w:noProof/>
            <w:webHidden/>
          </w:rPr>
          <w:fldChar w:fldCharType="separate"/>
        </w:r>
        <w:r w:rsidR="001B3D1D">
          <w:rPr>
            <w:noProof/>
            <w:webHidden/>
          </w:rPr>
          <w:t>59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87" w:history="1">
        <w:r w:rsidR="00D30C93" w:rsidRPr="00F57C6C">
          <w:rPr>
            <w:rStyle w:val="Hyperlink"/>
            <w:noProof/>
            <w:lang w:val="en-US"/>
          </w:rPr>
          <w:t xml:space="preserve">Article 10.10 </w:t>
        </w:r>
        <w:r w:rsidR="00D30C93" w:rsidRPr="00F57C6C">
          <w:rPr>
            <w:rStyle w:val="Hyperlink"/>
            <w:noProof/>
            <w:lang w:val="en-GB"/>
          </w:rPr>
          <w:t>Generators, engines and transformers</w:t>
        </w:r>
        <w:r w:rsidR="00D30C93">
          <w:rPr>
            <w:noProof/>
            <w:webHidden/>
          </w:rPr>
          <w:tab/>
        </w:r>
        <w:r w:rsidR="00D30C93">
          <w:rPr>
            <w:noProof/>
            <w:webHidden/>
          </w:rPr>
          <w:fldChar w:fldCharType="begin"/>
        </w:r>
        <w:r w:rsidR="00D30C93">
          <w:rPr>
            <w:noProof/>
            <w:webHidden/>
          </w:rPr>
          <w:instrText xml:space="preserve"> PAGEREF _Toc491854087 \h </w:instrText>
        </w:r>
        <w:r w:rsidR="00D30C93">
          <w:rPr>
            <w:noProof/>
            <w:webHidden/>
          </w:rPr>
        </w:r>
        <w:r w:rsidR="00D30C93">
          <w:rPr>
            <w:noProof/>
            <w:webHidden/>
          </w:rPr>
          <w:fldChar w:fldCharType="separate"/>
        </w:r>
        <w:r w:rsidR="001B3D1D">
          <w:rPr>
            <w:noProof/>
            <w:webHidden/>
          </w:rPr>
          <w:t>59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88" w:history="1">
        <w:r w:rsidR="00D30C93" w:rsidRPr="00F57C6C">
          <w:rPr>
            <w:rStyle w:val="Hyperlink"/>
            <w:noProof/>
            <w:lang w:val="en-US"/>
          </w:rPr>
          <w:t xml:space="preserve">Article 10.11 </w:t>
        </w:r>
        <w:r w:rsidR="00D30C93" w:rsidRPr="00F57C6C">
          <w:rPr>
            <w:rStyle w:val="Hyperlink"/>
            <w:noProof/>
            <w:lang w:val="en-GB"/>
          </w:rPr>
          <w:t>Batteries, Accumulators and their charging devices</w:t>
        </w:r>
        <w:r w:rsidR="00D30C93">
          <w:rPr>
            <w:noProof/>
            <w:webHidden/>
          </w:rPr>
          <w:tab/>
        </w:r>
        <w:r w:rsidR="00D30C93">
          <w:rPr>
            <w:noProof/>
            <w:webHidden/>
          </w:rPr>
          <w:fldChar w:fldCharType="begin"/>
        </w:r>
        <w:r w:rsidR="00D30C93">
          <w:rPr>
            <w:noProof/>
            <w:webHidden/>
          </w:rPr>
          <w:instrText xml:space="preserve"> PAGEREF _Toc491854088 \h </w:instrText>
        </w:r>
        <w:r w:rsidR="00D30C93">
          <w:rPr>
            <w:noProof/>
            <w:webHidden/>
          </w:rPr>
        </w:r>
        <w:r w:rsidR="00D30C93">
          <w:rPr>
            <w:noProof/>
            <w:webHidden/>
          </w:rPr>
          <w:fldChar w:fldCharType="separate"/>
        </w:r>
        <w:r w:rsidR="001B3D1D">
          <w:rPr>
            <w:noProof/>
            <w:webHidden/>
          </w:rPr>
          <w:t>60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89" w:history="1">
        <w:r w:rsidR="00D30C93" w:rsidRPr="00F57C6C">
          <w:rPr>
            <w:rStyle w:val="Hyperlink"/>
            <w:noProof/>
            <w:lang w:val="en-US"/>
          </w:rPr>
          <w:t xml:space="preserve">Article 10.12 </w:t>
        </w:r>
        <w:r w:rsidR="00D30C93" w:rsidRPr="00F57C6C">
          <w:rPr>
            <w:rStyle w:val="Hyperlink"/>
            <w:noProof/>
            <w:lang w:val="en-GB"/>
          </w:rPr>
          <w:t>Switchgear and controlgear</w:t>
        </w:r>
        <w:r w:rsidR="00D30C93">
          <w:rPr>
            <w:noProof/>
            <w:webHidden/>
          </w:rPr>
          <w:tab/>
        </w:r>
        <w:r w:rsidR="00D30C93">
          <w:rPr>
            <w:noProof/>
            <w:webHidden/>
          </w:rPr>
          <w:fldChar w:fldCharType="begin"/>
        </w:r>
        <w:r w:rsidR="00D30C93">
          <w:rPr>
            <w:noProof/>
            <w:webHidden/>
          </w:rPr>
          <w:instrText xml:space="preserve"> PAGEREF _Toc491854089 \h </w:instrText>
        </w:r>
        <w:r w:rsidR="00D30C93">
          <w:rPr>
            <w:noProof/>
            <w:webHidden/>
          </w:rPr>
        </w:r>
        <w:r w:rsidR="00D30C93">
          <w:rPr>
            <w:noProof/>
            <w:webHidden/>
          </w:rPr>
          <w:fldChar w:fldCharType="separate"/>
        </w:r>
        <w:r w:rsidR="001B3D1D">
          <w:rPr>
            <w:noProof/>
            <w:webHidden/>
          </w:rPr>
          <w:t>62</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90" w:history="1">
        <w:r w:rsidR="00D30C93" w:rsidRPr="00F57C6C">
          <w:rPr>
            <w:rStyle w:val="Hyperlink"/>
            <w:noProof/>
            <w:lang w:val="en-US"/>
          </w:rPr>
          <w:t xml:space="preserve">Article 10.13 </w:t>
        </w:r>
        <w:r w:rsidR="00D30C93" w:rsidRPr="00F57C6C">
          <w:rPr>
            <w:rStyle w:val="Hyperlink"/>
            <w:noProof/>
            <w:lang w:val="en-GB"/>
          </w:rPr>
          <w:t>Emergency circuit-breaker devices</w:t>
        </w:r>
        <w:r w:rsidR="00D30C93">
          <w:rPr>
            <w:noProof/>
            <w:webHidden/>
          </w:rPr>
          <w:tab/>
        </w:r>
        <w:r w:rsidR="00D30C93">
          <w:rPr>
            <w:noProof/>
            <w:webHidden/>
          </w:rPr>
          <w:fldChar w:fldCharType="begin"/>
        </w:r>
        <w:r w:rsidR="00D30C93">
          <w:rPr>
            <w:noProof/>
            <w:webHidden/>
          </w:rPr>
          <w:instrText xml:space="preserve"> PAGEREF _Toc491854090 \h </w:instrText>
        </w:r>
        <w:r w:rsidR="00D30C93">
          <w:rPr>
            <w:noProof/>
            <w:webHidden/>
          </w:rPr>
        </w:r>
        <w:r w:rsidR="00D30C93">
          <w:rPr>
            <w:noProof/>
            <w:webHidden/>
          </w:rPr>
          <w:fldChar w:fldCharType="separate"/>
        </w:r>
        <w:r w:rsidR="001B3D1D">
          <w:rPr>
            <w:noProof/>
            <w:webHidden/>
          </w:rPr>
          <w:t>63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91" w:history="1">
        <w:r w:rsidR="00D30C93" w:rsidRPr="00F57C6C">
          <w:rPr>
            <w:rStyle w:val="Hyperlink"/>
            <w:noProof/>
            <w:lang w:val="en-US"/>
          </w:rPr>
          <w:t>Article 10.14 Installation fittings</w:t>
        </w:r>
        <w:r w:rsidR="00D30C93">
          <w:rPr>
            <w:noProof/>
            <w:webHidden/>
          </w:rPr>
          <w:tab/>
        </w:r>
        <w:r w:rsidR="00D30C93">
          <w:rPr>
            <w:noProof/>
            <w:webHidden/>
          </w:rPr>
          <w:fldChar w:fldCharType="begin"/>
        </w:r>
        <w:r w:rsidR="00D30C93">
          <w:rPr>
            <w:noProof/>
            <w:webHidden/>
          </w:rPr>
          <w:instrText xml:space="preserve"> PAGEREF _Toc491854091 \h </w:instrText>
        </w:r>
        <w:r w:rsidR="00D30C93">
          <w:rPr>
            <w:noProof/>
            <w:webHidden/>
          </w:rPr>
        </w:r>
        <w:r w:rsidR="00D30C93">
          <w:rPr>
            <w:noProof/>
            <w:webHidden/>
          </w:rPr>
          <w:fldChar w:fldCharType="separate"/>
        </w:r>
        <w:r w:rsidR="001B3D1D">
          <w:rPr>
            <w:noProof/>
            <w:webHidden/>
          </w:rPr>
          <w:t>63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92" w:history="1">
        <w:r w:rsidR="00D30C93" w:rsidRPr="00F57C6C">
          <w:rPr>
            <w:rStyle w:val="Hyperlink"/>
            <w:noProof/>
            <w:lang w:val="en-US"/>
          </w:rPr>
          <w:t xml:space="preserve">Article 10.15 </w:t>
        </w:r>
        <w:r w:rsidR="00D30C93" w:rsidRPr="00F57C6C">
          <w:rPr>
            <w:rStyle w:val="Hyperlink"/>
            <w:noProof/>
            <w:lang w:val="en-GB"/>
          </w:rPr>
          <w:t>Cables, insulated cables and cable systems</w:t>
        </w:r>
        <w:r w:rsidR="00D30C93">
          <w:rPr>
            <w:noProof/>
            <w:webHidden/>
          </w:rPr>
          <w:tab/>
        </w:r>
        <w:r w:rsidR="00D30C93">
          <w:rPr>
            <w:noProof/>
            <w:webHidden/>
          </w:rPr>
          <w:fldChar w:fldCharType="begin"/>
        </w:r>
        <w:r w:rsidR="00D30C93">
          <w:rPr>
            <w:noProof/>
            <w:webHidden/>
          </w:rPr>
          <w:instrText xml:space="preserve"> PAGEREF _Toc491854092 \h </w:instrText>
        </w:r>
        <w:r w:rsidR="00D30C93">
          <w:rPr>
            <w:noProof/>
            <w:webHidden/>
          </w:rPr>
        </w:r>
        <w:r w:rsidR="00D30C93">
          <w:rPr>
            <w:noProof/>
            <w:webHidden/>
          </w:rPr>
          <w:fldChar w:fldCharType="separate"/>
        </w:r>
        <w:r w:rsidR="001B3D1D">
          <w:rPr>
            <w:noProof/>
            <w:webHidden/>
          </w:rPr>
          <w:t>64</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93" w:history="1">
        <w:r w:rsidR="00D30C93" w:rsidRPr="00F57C6C">
          <w:rPr>
            <w:rStyle w:val="Hyperlink"/>
            <w:noProof/>
            <w:lang w:val="en-US"/>
          </w:rPr>
          <w:t>Article 10.16 Lighting installations</w:t>
        </w:r>
        <w:r w:rsidR="00D30C93">
          <w:rPr>
            <w:noProof/>
            <w:webHidden/>
          </w:rPr>
          <w:tab/>
        </w:r>
        <w:r w:rsidR="00D30C93">
          <w:rPr>
            <w:noProof/>
            <w:webHidden/>
          </w:rPr>
          <w:fldChar w:fldCharType="begin"/>
        </w:r>
        <w:r w:rsidR="00D30C93">
          <w:rPr>
            <w:noProof/>
            <w:webHidden/>
          </w:rPr>
          <w:instrText xml:space="preserve"> PAGEREF _Toc491854093 \h </w:instrText>
        </w:r>
        <w:r w:rsidR="00D30C93">
          <w:rPr>
            <w:noProof/>
            <w:webHidden/>
          </w:rPr>
        </w:r>
        <w:r w:rsidR="00D30C93">
          <w:rPr>
            <w:noProof/>
            <w:webHidden/>
          </w:rPr>
          <w:fldChar w:fldCharType="separate"/>
        </w:r>
        <w:r w:rsidR="001B3D1D">
          <w:rPr>
            <w:noProof/>
            <w:webHidden/>
          </w:rPr>
          <w:t>65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94" w:history="1">
        <w:r w:rsidR="00D30C93" w:rsidRPr="00F57C6C">
          <w:rPr>
            <w:rStyle w:val="Hyperlink"/>
            <w:noProof/>
            <w:lang w:val="en-US"/>
          </w:rPr>
          <w:t>Article 10.17 Navigation lights</w:t>
        </w:r>
        <w:r w:rsidR="00D30C93">
          <w:rPr>
            <w:noProof/>
            <w:webHidden/>
          </w:rPr>
          <w:tab/>
        </w:r>
        <w:r w:rsidR="00D30C93">
          <w:rPr>
            <w:noProof/>
            <w:webHidden/>
          </w:rPr>
          <w:fldChar w:fldCharType="begin"/>
        </w:r>
        <w:r w:rsidR="00D30C93">
          <w:rPr>
            <w:noProof/>
            <w:webHidden/>
          </w:rPr>
          <w:instrText xml:space="preserve"> PAGEREF _Toc491854094 \h </w:instrText>
        </w:r>
        <w:r w:rsidR="00D30C93">
          <w:rPr>
            <w:noProof/>
            <w:webHidden/>
          </w:rPr>
        </w:r>
        <w:r w:rsidR="00D30C93">
          <w:rPr>
            <w:noProof/>
            <w:webHidden/>
          </w:rPr>
          <w:fldChar w:fldCharType="separate"/>
        </w:r>
        <w:r w:rsidR="001B3D1D">
          <w:rPr>
            <w:noProof/>
            <w:webHidden/>
          </w:rPr>
          <w:t>65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95" w:history="1">
        <w:r w:rsidR="00D30C93" w:rsidRPr="00F57C6C">
          <w:rPr>
            <w:rStyle w:val="Hyperlink"/>
            <w:noProof/>
            <w:lang w:val="en-US"/>
          </w:rPr>
          <w:t xml:space="preserve">Article 10.18 </w:t>
        </w:r>
        <w:r w:rsidR="00D30C93" w:rsidRPr="00F57C6C">
          <w:rPr>
            <w:rStyle w:val="Hyperlink"/>
            <w:noProof/>
            <w:lang w:val="en-GB"/>
          </w:rPr>
          <w:t>Power electronics</w:t>
        </w:r>
        <w:r w:rsidR="00D30C93">
          <w:rPr>
            <w:noProof/>
            <w:webHidden/>
          </w:rPr>
          <w:tab/>
        </w:r>
        <w:r w:rsidR="00D30C93">
          <w:rPr>
            <w:noProof/>
            <w:webHidden/>
          </w:rPr>
          <w:fldChar w:fldCharType="begin"/>
        </w:r>
        <w:r w:rsidR="00D30C93">
          <w:rPr>
            <w:noProof/>
            <w:webHidden/>
          </w:rPr>
          <w:instrText xml:space="preserve"> PAGEREF _Toc491854095 \h </w:instrText>
        </w:r>
        <w:r w:rsidR="00D30C93">
          <w:rPr>
            <w:noProof/>
            <w:webHidden/>
          </w:rPr>
        </w:r>
        <w:r w:rsidR="00D30C93">
          <w:rPr>
            <w:noProof/>
            <w:webHidden/>
          </w:rPr>
          <w:fldChar w:fldCharType="separate"/>
        </w:r>
        <w:r w:rsidR="001B3D1D">
          <w:rPr>
            <w:noProof/>
            <w:webHidden/>
          </w:rPr>
          <w:t>66</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96" w:history="1">
        <w:r w:rsidR="00D30C93" w:rsidRPr="00F57C6C">
          <w:rPr>
            <w:rStyle w:val="Hyperlink"/>
            <w:noProof/>
            <w:lang w:val="en-US"/>
          </w:rPr>
          <w:t xml:space="preserve">Article 10.19 </w:t>
        </w:r>
        <w:r w:rsidR="00D30C93" w:rsidRPr="00F57C6C">
          <w:rPr>
            <w:rStyle w:val="Hyperlink"/>
            <w:noProof/>
            <w:lang w:val="en-GB"/>
          </w:rPr>
          <w:t>Alarm and safety systems for mechanical installations</w:t>
        </w:r>
        <w:r w:rsidR="00D30C93">
          <w:rPr>
            <w:noProof/>
            <w:webHidden/>
          </w:rPr>
          <w:tab/>
        </w:r>
        <w:r w:rsidR="00D30C93">
          <w:rPr>
            <w:noProof/>
            <w:webHidden/>
          </w:rPr>
          <w:fldChar w:fldCharType="begin"/>
        </w:r>
        <w:r w:rsidR="00D30C93">
          <w:rPr>
            <w:noProof/>
            <w:webHidden/>
          </w:rPr>
          <w:instrText xml:space="preserve"> PAGEREF _Toc491854096 \h </w:instrText>
        </w:r>
        <w:r w:rsidR="00D30C93">
          <w:rPr>
            <w:noProof/>
            <w:webHidden/>
          </w:rPr>
        </w:r>
        <w:r w:rsidR="00D30C93">
          <w:rPr>
            <w:noProof/>
            <w:webHidden/>
          </w:rPr>
          <w:fldChar w:fldCharType="separate"/>
        </w:r>
        <w:r w:rsidR="001B3D1D">
          <w:rPr>
            <w:noProof/>
            <w:webHidden/>
          </w:rPr>
          <w:t>67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97" w:history="1">
        <w:r w:rsidR="00D30C93" w:rsidRPr="00F57C6C">
          <w:rPr>
            <w:rStyle w:val="Hyperlink"/>
            <w:noProof/>
            <w:lang w:val="en-US"/>
          </w:rPr>
          <w:t xml:space="preserve">Article 10.20 </w:t>
        </w:r>
        <w:r w:rsidR="00D30C93" w:rsidRPr="00F57C6C">
          <w:rPr>
            <w:rStyle w:val="Hyperlink"/>
            <w:noProof/>
            <w:lang w:val="en-GB"/>
          </w:rPr>
          <w:t>Test conditions for electronic installations</w:t>
        </w:r>
        <w:r w:rsidR="00D30C93">
          <w:rPr>
            <w:noProof/>
            <w:webHidden/>
          </w:rPr>
          <w:tab/>
        </w:r>
        <w:r w:rsidR="00D30C93">
          <w:rPr>
            <w:noProof/>
            <w:webHidden/>
          </w:rPr>
          <w:fldChar w:fldCharType="begin"/>
        </w:r>
        <w:r w:rsidR="00D30C93">
          <w:rPr>
            <w:noProof/>
            <w:webHidden/>
          </w:rPr>
          <w:instrText xml:space="preserve"> PAGEREF _Toc491854097 \h </w:instrText>
        </w:r>
        <w:r w:rsidR="00D30C93">
          <w:rPr>
            <w:noProof/>
            <w:webHidden/>
          </w:rPr>
        </w:r>
        <w:r w:rsidR="00D30C93">
          <w:rPr>
            <w:noProof/>
            <w:webHidden/>
          </w:rPr>
          <w:fldChar w:fldCharType="separate"/>
        </w:r>
        <w:r w:rsidR="001B3D1D">
          <w:rPr>
            <w:noProof/>
            <w:webHidden/>
          </w:rPr>
          <w:t>67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098" w:history="1">
        <w:r w:rsidR="00D30C93" w:rsidRPr="00F57C6C">
          <w:rPr>
            <w:rStyle w:val="Hyperlink"/>
            <w:noProof/>
            <w:lang w:val="en-GB"/>
          </w:rPr>
          <w:t>Article 10.21 Electromagnetic compatibility</w:t>
        </w:r>
        <w:r w:rsidR="00D30C93">
          <w:rPr>
            <w:noProof/>
            <w:webHidden/>
          </w:rPr>
          <w:tab/>
        </w:r>
        <w:r w:rsidR="00D30C93">
          <w:rPr>
            <w:noProof/>
            <w:webHidden/>
          </w:rPr>
          <w:fldChar w:fldCharType="begin"/>
        </w:r>
        <w:r w:rsidR="00D30C93">
          <w:rPr>
            <w:noProof/>
            <w:webHidden/>
          </w:rPr>
          <w:instrText xml:space="preserve"> PAGEREF _Toc491854098 \h </w:instrText>
        </w:r>
        <w:r w:rsidR="00D30C93">
          <w:rPr>
            <w:noProof/>
            <w:webHidden/>
          </w:rPr>
        </w:r>
        <w:r w:rsidR="00D30C93">
          <w:rPr>
            <w:noProof/>
            <w:webHidden/>
          </w:rPr>
          <w:fldChar w:fldCharType="separate"/>
        </w:r>
        <w:r w:rsidR="001B3D1D">
          <w:rPr>
            <w:noProof/>
            <w:webHidden/>
          </w:rPr>
          <w:t>69</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099" w:history="1">
        <w:r w:rsidR="00D30C93" w:rsidRPr="00F57C6C">
          <w:rPr>
            <w:rStyle w:val="Hyperlink"/>
            <w:noProof/>
          </w:rPr>
          <w:t>Chapter 11 Electrical propulsion systems</w:t>
        </w:r>
        <w:r w:rsidR="00D271A7">
          <w:rPr>
            <w:webHidden/>
          </w:rPr>
          <w:t>……………………………………………………..…</w:t>
        </w:r>
        <w:r w:rsidR="00D30C93">
          <w:rPr>
            <w:noProof/>
            <w:webHidden/>
          </w:rPr>
          <w:fldChar w:fldCharType="begin"/>
        </w:r>
        <w:r w:rsidR="00D30C93">
          <w:rPr>
            <w:noProof/>
            <w:webHidden/>
          </w:rPr>
          <w:instrText xml:space="preserve"> PAGEREF _Toc491854099 \h </w:instrText>
        </w:r>
        <w:r w:rsidR="00D30C93">
          <w:rPr>
            <w:noProof/>
            <w:webHidden/>
          </w:rPr>
        </w:r>
        <w:r w:rsidR="00D30C93">
          <w:rPr>
            <w:noProof/>
            <w:webHidden/>
          </w:rPr>
          <w:fldChar w:fldCharType="separate"/>
        </w:r>
        <w:r w:rsidR="001B3D1D">
          <w:rPr>
            <w:noProof/>
            <w:webHidden/>
          </w:rPr>
          <w:t>71</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100" w:history="1">
        <w:r w:rsidR="00D30C93" w:rsidRPr="00F57C6C">
          <w:rPr>
            <w:rStyle w:val="Hyperlink"/>
            <w:noProof/>
          </w:rPr>
          <w:t>Chapter 12 Electronic equipment and systems</w:t>
        </w:r>
        <w:r w:rsidR="00D271A7">
          <w:rPr>
            <w:webHidden/>
          </w:rPr>
          <w:t>……………………………………………………</w:t>
        </w:r>
        <w:r w:rsidR="00D30C93">
          <w:rPr>
            <w:noProof/>
            <w:webHidden/>
          </w:rPr>
          <w:fldChar w:fldCharType="begin"/>
        </w:r>
        <w:r w:rsidR="00D30C93">
          <w:rPr>
            <w:noProof/>
            <w:webHidden/>
          </w:rPr>
          <w:instrText xml:space="preserve"> PAGEREF _Toc491854100 \h </w:instrText>
        </w:r>
        <w:r w:rsidR="00D30C93">
          <w:rPr>
            <w:noProof/>
            <w:webHidden/>
          </w:rPr>
        </w:r>
        <w:r w:rsidR="00D30C93">
          <w:rPr>
            <w:noProof/>
            <w:webHidden/>
          </w:rPr>
          <w:fldChar w:fldCharType="separate"/>
        </w:r>
        <w:r w:rsidR="001B3D1D">
          <w:rPr>
            <w:noProof/>
            <w:webHidden/>
          </w:rPr>
          <w:t>73</w:t>
        </w:r>
        <w:r w:rsidR="00D30C93">
          <w:rPr>
            <w:noProof/>
            <w:webHidden/>
          </w:rPr>
          <w:fldChar w:fldCharType="end"/>
        </w:r>
      </w:hyperlink>
    </w:p>
    <w:p w:rsidR="00620A37" w:rsidRDefault="00620A37">
      <w:pPr>
        <w:autoSpaceDE/>
        <w:autoSpaceDN/>
        <w:ind w:left="0" w:firstLine="0"/>
        <w:jc w:val="left"/>
        <w:rPr>
          <w:rStyle w:val="Hyperlink"/>
          <w:smallCaps/>
          <w:noProof/>
          <w:szCs w:val="20"/>
        </w:rPr>
      </w:pPr>
      <w:r>
        <w:rPr>
          <w:rStyle w:val="Hyperlink"/>
          <w:noProof/>
        </w:rPr>
        <w:br w:type="page"/>
      </w:r>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101" w:history="1">
        <w:r w:rsidR="00D30C93" w:rsidRPr="00F57C6C">
          <w:rPr>
            <w:rStyle w:val="Hyperlink"/>
            <w:noProof/>
          </w:rPr>
          <w:t>Chapter 13 Equipment</w:t>
        </w:r>
        <w:r w:rsidR="00D271A7">
          <w:rPr>
            <w:webHidden/>
          </w:rPr>
          <w:t>………</w:t>
        </w:r>
        <w:r w:rsidR="00244AE3">
          <w:rPr>
            <w:webHidden/>
          </w:rPr>
          <w:t>………………………………………………………………………….</w:t>
        </w:r>
        <w:r w:rsidR="00D30C93">
          <w:rPr>
            <w:noProof/>
            <w:webHidden/>
          </w:rPr>
          <w:fldChar w:fldCharType="begin"/>
        </w:r>
        <w:r w:rsidR="00D30C93">
          <w:rPr>
            <w:noProof/>
            <w:webHidden/>
          </w:rPr>
          <w:instrText xml:space="preserve"> PAGEREF _Toc491854101 \h </w:instrText>
        </w:r>
        <w:r w:rsidR="00D30C93">
          <w:rPr>
            <w:noProof/>
            <w:webHidden/>
          </w:rPr>
        </w:r>
        <w:r w:rsidR="00D30C93">
          <w:rPr>
            <w:noProof/>
            <w:webHidden/>
          </w:rPr>
          <w:fldChar w:fldCharType="separate"/>
        </w:r>
        <w:r w:rsidR="001B3D1D">
          <w:rPr>
            <w:noProof/>
            <w:webHidden/>
          </w:rPr>
          <w:t>75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02" w:history="1">
        <w:r w:rsidR="00D30C93" w:rsidRPr="00F57C6C">
          <w:rPr>
            <w:rStyle w:val="Hyperlink"/>
            <w:noProof/>
            <w:lang w:val="en-US"/>
          </w:rPr>
          <w:t>Article 13.01 Anchor equipment</w:t>
        </w:r>
        <w:r w:rsidR="00D30C93">
          <w:rPr>
            <w:noProof/>
            <w:webHidden/>
          </w:rPr>
          <w:tab/>
        </w:r>
        <w:r w:rsidR="00D30C93">
          <w:rPr>
            <w:noProof/>
            <w:webHidden/>
          </w:rPr>
          <w:fldChar w:fldCharType="begin"/>
        </w:r>
        <w:r w:rsidR="00D30C93">
          <w:rPr>
            <w:noProof/>
            <w:webHidden/>
          </w:rPr>
          <w:instrText xml:space="preserve"> PAGEREF _Toc491854102 \h </w:instrText>
        </w:r>
        <w:r w:rsidR="00D30C93">
          <w:rPr>
            <w:noProof/>
            <w:webHidden/>
          </w:rPr>
        </w:r>
        <w:r w:rsidR="00D30C93">
          <w:rPr>
            <w:noProof/>
            <w:webHidden/>
          </w:rPr>
          <w:fldChar w:fldCharType="separate"/>
        </w:r>
        <w:r w:rsidR="001B3D1D">
          <w:rPr>
            <w:noProof/>
            <w:webHidden/>
          </w:rPr>
          <w:t>75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03" w:history="1">
        <w:r w:rsidR="00D30C93" w:rsidRPr="00F57C6C">
          <w:rPr>
            <w:rStyle w:val="Hyperlink"/>
            <w:noProof/>
            <w:lang w:val="en-US"/>
          </w:rPr>
          <w:t>Article 13.02 Other equipment</w:t>
        </w:r>
        <w:r w:rsidR="00D30C93">
          <w:rPr>
            <w:noProof/>
            <w:webHidden/>
          </w:rPr>
          <w:tab/>
        </w:r>
        <w:r w:rsidR="00D30C93">
          <w:rPr>
            <w:noProof/>
            <w:webHidden/>
          </w:rPr>
          <w:fldChar w:fldCharType="begin"/>
        </w:r>
        <w:r w:rsidR="00D30C93">
          <w:rPr>
            <w:noProof/>
            <w:webHidden/>
          </w:rPr>
          <w:instrText xml:space="preserve"> PAGEREF _Toc491854103 \h </w:instrText>
        </w:r>
        <w:r w:rsidR="00D30C93">
          <w:rPr>
            <w:noProof/>
            <w:webHidden/>
          </w:rPr>
        </w:r>
        <w:r w:rsidR="00D30C93">
          <w:rPr>
            <w:noProof/>
            <w:webHidden/>
          </w:rPr>
          <w:fldChar w:fldCharType="separate"/>
        </w:r>
        <w:r w:rsidR="001B3D1D">
          <w:rPr>
            <w:noProof/>
            <w:webHidden/>
          </w:rPr>
          <w:t>77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04" w:history="1">
        <w:r w:rsidR="00D30C93" w:rsidRPr="00F57C6C">
          <w:rPr>
            <w:rStyle w:val="Hyperlink"/>
            <w:noProof/>
            <w:lang w:val="en-US"/>
          </w:rPr>
          <w:t>Article 13.03 Portable fire extinguishers</w:t>
        </w:r>
        <w:r w:rsidR="00D30C93">
          <w:rPr>
            <w:noProof/>
            <w:webHidden/>
          </w:rPr>
          <w:tab/>
        </w:r>
        <w:r w:rsidR="00D30C93">
          <w:rPr>
            <w:noProof/>
            <w:webHidden/>
          </w:rPr>
          <w:fldChar w:fldCharType="begin"/>
        </w:r>
        <w:r w:rsidR="00D30C93">
          <w:rPr>
            <w:noProof/>
            <w:webHidden/>
          </w:rPr>
          <w:instrText xml:space="preserve"> PAGEREF _Toc491854104 \h </w:instrText>
        </w:r>
        <w:r w:rsidR="00D30C93">
          <w:rPr>
            <w:noProof/>
            <w:webHidden/>
          </w:rPr>
        </w:r>
        <w:r w:rsidR="00D30C93">
          <w:rPr>
            <w:noProof/>
            <w:webHidden/>
          </w:rPr>
          <w:fldChar w:fldCharType="separate"/>
        </w:r>
        <w:r w:rsidR="001B3D1D">
          <w:rPr>
            <w:noProof/>
            <w:webHidden/>
          </w:rPr>
          <w:t>79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05" w:history="1">
        <w:r w:rsidR="00D30C93" w:rsidRPr="00F57C6C">
          <w:rPr>
            <w:rStyle w:val="Hyperlink"/>
            <w:noProof/>
            <w:lang w:val="en-US"/>
          </w:rPr>
          <w:t>Article 13.04 Permanently installed firefighting systems for protecting accommodation spaces, wheelhouses and passenger rooms</w:t>
        </w:r>
        <w:r w:rsidR="00D30C93">
          <w:rPr>
            <w:noProof/>
            <w:webHidden/>
          </w:rPr>
          <w:tab/>
        </w:r>
        <w:r w:rsidR="00D30C93">
          <w:rPr>
            <w:noProof/>
            <w:webHidden/>
          </w:rPr>
          <w:fldChar w:fldCharType="begin"/>
        </w:r>
        <w:r w:rsidR="00D30C93">
          <w:rPr>
            <w:noProof/>
            <w:webHidden/>
          </w:rPr>
          <w:instrText xml:space="preserve"> PAGEREF _Toc491854105 \h </w:instrText>
        </w:r>
        <w:r w:rsidR="00D30C93">
          <w:rPr>
            <w:noProof/>
            <w:webHidden/>
          </w:rPr>
        </w:r>
        <w:r w:rsidR="00D30C93">
          <w:rPr>
            <w:noProof/>
            <w:webHidden/>
          </w:rPr>
          <w:fldChar w:fldCharType="separate"/>
        </w:r>
        <w:r w:rsidR="001B3D1D">
          <w:rPr>
            <w:noProof/>
            <w:webHidden/>
          </w:rPr>
          <w:t>80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06" w:history="1">
        <w:r w:rsidR="00D30C93" w:rsidRPr="00F57C6C">
          <w:rPr>
            <w:rStyle w:val="Hyperlink"/>
            <w:noProof/>
            <w:lang w:val="en-US"/>
          </w:rPr>
          <w:t>Article 13.05 Permanently installed firefighting systems for protecting engine rooms, boiler rooms and pump rooms</w:t>
        </w:r>
        <w:r w:rsidR="00D30C93">
          <w:rPr>
            <w:noProof/>
            <w:webHidden/>
          </w:rPr>
          <w:tab/>
        </w:r>
        <w:r w:rsidR="00D30C93">
          <w:rPr>
            <w:noProof/>
            <w:webHidden/>
          </w:rPr>
          <w:fldChar w:fldCharType="begin"/>
        </w:r>
        <w:r w:rsidR="00D30C93">
          <w:rPr>
            <w:noProof/>
            <w:webHidden/>
          </w:rPr>
          <w:instrText xml:space="preserve"> PAGEREF _Toc491854106 \h </w:instrText>
        </w:r>
        <w:r w:rsidR="00D30C93">
          <w:rPr>
            <w:noProof/>
            <w:webHidden/>
          </w:rPr>
        </w:r>
        <w:r w:rsidR="00D30C93">
          <w:rPr>
            <w:noProof/>
            <w:webHidden/>
          </w:rPr>
          <w:fldChar w:fldCharType="separate"/>
        </w:r>
        <w:r w:rsidR="001B3D1D">
          <w:rPr>
            <w:noProof/>
            <w:webHidden/>
          </w:rPr>
          <w:t>81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07" w:history="1">
        <w:r w:rsidR="00D30C93" w:rsidRPr="00F57C6C">
          <w:rPr>
            <w:rStyle w:val="Hyperlink"/>
            <w:noProof/>
            <w:lang w:val="en-US"/>
          </w:rPr>
          <w:t>Article 13.06 Permanently installed firefighting systems for protecting objects</w:t>
        </w:r>
        <w:r w:rsidR="00D30C93">
          <w:rPr>
            <w:noProof/>
            <w:webHidden/>
          </w:rPr>
          <w:tab/>
        </w:r>
        <w:r w:rsidR="00D30C93">
          <w:rPr>
            <w:noProof/>
            <w:webHidden/>
          </w:rPr>
          <w:fldChar w:fldCharType="begin"/>
        </w:r>
        <w:r w:rsidR="00D30C93">
          <w:rPr>
            <w:noProof/>
            <w:webHidden/>
          </w:rPr>
          <w:instrText xml:space="preserve"> PAGEREF _Toc491854107 \h </w:instrText>
        </w:r>
        <w:r w:rsidR="00D30C93">
          <w:rPr>
            <w:noProof/>
            <w:webHidden/>
          </w:rPr>
        </w:r>
        <w:r w:rsidR="00D30C93">
          <w:rPr>
            <w:noProof/>
            <w:webHidden/>
          </w:rPr>
          <w:fldChar w:fldCharType="separate"/>
        </w:r>
        <w:r w:rsidR="001B3D1D">
          <w:rPr>
            <w:noProof/>
            <w:webHidden/>
          </w:rPr>
          <w:t>87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08" w:history="1">
        <w:r w:rsidR="00D30C93" w:rsidRPr="00F57C6C">
          <w:rPr>
            <w:rStyle w:val="Hyperlink"/>
            <w:noProof/>
            <w:lang w:val="en-US"/>
          </w:rPr>
          <w:t>Article 13.07 Ship's boats</w:t>
        </w:r>
        <w:r w:rsidR="00D30C93">
          <w:rPr>
            <w:noProof/>
            <w:webHidden/>
          </w:rPr>
          <w:tab/>
        </w:r>
        <w:r w:rsidR="00D30C93">
          <w:rPr>
            <w:noProof/>
            <w:webHidden/>
          </w:rPr>
          <w:fldChar w:fldCharType="begin"/>
        </w:r>
        <w:r w:rsidR="00D30C93">
          <w:rPr>
            <w:noProof/>
            <w:webHidden/>
          </w:rPr>
          <w:instrText xml:space="preserve"> PAGEREF _Toc491854108 \h </w:instrText>
        </w:r>
        <w:r w:rsidR="00D30C93">
          <w:rPr>
            <w:noProof/>
            <w:webHidden/>
          </w:rPr>
        </w:r>
        <w:r w:rsidR="00D30C93">
          <w:rPr>
            <w:noProof/>
            <w:webHidden/>
          </w:rPr>
          <w:fldChar w:fldCharType="separate"/>
        </w:r>
        <w:r w:rsidR="001B3D1D">
          <w:rPr>
            <w:noProof/>
            <w:webHidden/>
          </w:rPr>
          <w:t>88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09" w:history="1">
        <w:r w:rsidR="00D30C93" w:rsidRPr="00F57C6C">
          <w:rPr>
            <w:rStyle w:val="Hyperlink"/>
            <w:noProof/>
            <w:lang w:val="en-US"/>
          </w:rPr>
          <w:t>Article 13.08 Lifebuoys and lifejackets</w:t>
        </w:r>
        <w:r w:rsidR="00D30C93">
          <w:rPr>
            <w:noProof/>
            <w:webHidden/>
          </w:rPr>
          <w:tab/>
        </w:r>
        <w:r w:rsidR="00D30C93">
          <w:rPr>
            <w:noProof/>
            <w:webHidden/>
          </w:rPr>
          <w:fldChar w:fldCharType="begin"/>
        </w:r>
        <w:r w:rsidR="00D30C93">
          <w:rPr>
            <w:noProof/>
            <w:webHidden/>
          </w:rPr>
          <w:instrText xml:space="preserve"> PAGEREF _Toc491854109 \h </w:instrText>
        </w:r>
        <w:r w:rsidR="00D30C93">
          <w:rPr>
            <w:noProof/>
            <w:webHidden/>
          </w:rPr>
        </w:r>
        <w:r w:rsidR="00D30C93">
          <w:rPr>
            <w:noProof/>
            <w:webHidden/>
          </w:rPr>
          <w:fldChar w:fldCharType="separate"/>
        </w:r>
        <w:r w:rsidR="001B3D1D">
          <w:rPr>
            <w:noProof/>
            <w:webHidden/>
          </w:rPr>
          <w:t>88</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110" w:history="1">
        <w:r w:rsidR="00D30C93" w:rsidRPr="00F57C6C">
          <w:rPr>
            <w:rStyle w:val="Hyperlink"/>
            <w:noProof/>
          </w:rPr>
          <w:t>Chapter 14 Safety at work stations</w:t>
        </w:r>
        <w:r w:rsidR="00DD423A">
          <w:rPr>
            <w:webHidden/>
          </w:rPr>
          <w:t>…………………………………………………………………</w:t>
        </w:r>
        <w:r w:rsidR="00D30C93">
          <w:rPr>
            <w:noProof/>
            <w:webHidden/>
          </w:rPr>
          <w:fldChar w:fldCharType="begin"/>
        </w:r>
        <w:r w:rsidR="00D30C93">
          <w:rPr>
            <w:noProof/>
            <w:webHidden/>
          </w:rPr>
          <w:instrText xml:space="preserve"> PAGEREF _Toc491854110 \h </w:instrText>
        </w:r>
        <w:r w:rsidR="00D30C93">
          <w:rPr>
            <w:noProof/>
            <w:webHidden/>
          </w:rPr>
        </w:r>
        <w:r w:rsidR="00D30C93">
          <w:rPr>
            <w:noProof/>
            <w:webHidden/>
          </w:rPr>
          <w:fldChar w:fldCharType="separate"/>
        </w:r>
        <w:r w:rsidR="001B3D1D">
          <w:rPr>
            <w:noProof/>
            <w:webHidden/>
          </w:rPr>
          <w:t>89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11" w:history="1">
        <w:r w:rsidR="00D30C93" w:rsidRPr="00F57C6C">
          <w:rPr>
            <w:rStyle w:val="Hyperlink"/>
            <w:noProof/>
            <w:lang w:val="en-US"/>
          </w:rPr>
          <w:t>Article 14.01 General</w:t>
        </w:r>
        <w:r w:rsidR="00D30C93">
          <w:rPr>
            <w:noProof/>
            <w:webHidden/>
          </w:rPr>
          <w:tab/>
        </w:r>
        <w:r w:rsidR="00D30C93">
          <w:rPr>
            <w:noProof/>
            <w:webHidden/>
          </w:rPr>
          <w:fldChar w:fldCharType="begin"/>
        </w:r>
        <w:r w:rsidR="00D30C93">
          <w:rPr>
            <w:noProof/>
            <w:webHidden/>
          </w:rPr>
          <w:instrText xml:space="preserve"> PAGEREF _Toc491854111 \h </w:instrText>
        </w:r>
        <w:r w:rsidR="00D30C93">
          <w:rPr>
            <w:noProof/>
            <w:webHidden/>
          </w:rPr>
        </w:r>
        <w:r w:rsidR="00D30C93">
          <w:rPr>
            <w:noProof/>
            <w:webHidden/>
          </w:rPr>
          <w:fldChar w:fldCharType="separate"/>
        </w:r>
        <w:r w:rsidR="001B3D1D">
          <w:rPr>
            <w:noProof/>
            <w:webHidden/>
          </w:rPr>
          <w:t>89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12" w:history="1">
        <w:r w:rsidR="00D30C93" w:rsidRPr="00F57C6C">
          <w:rPr>
            <w:rStyle w:val="Hyperlink"/>
            <w:noProof/>
            <w:lang w:val="en-US"/>
          </w:rPr>
          <w:t>Article 14.02 Protection against falling</w:t>
        </w:r>
        <w:r w:rsidR="00D30C93">
          <w:rPr>
            <w:noProof/>
            <w:webHidden/>
          </w:rPr>
          <w:tab/>
        </w:r>
        <w:r w:rsidR="00D30C93">
          <w:rPr>
            <w:noProof/>
            <w:webHidden/>
          </w:rPr>
          <w:fldChar w:fldCharType="begin"/>
        </w:r>
        <w:r w:rsidR="00D30C93">
          <w:rPr>
            <w:noProof/>
            <w:webHidden/>
          </w:rPr>
          <w:instrText xml:space="preserve"> PAGEREF _Toc491854112 \h </w:instrText>
        </w:r>
        <w:r w:rsidR="00D30C93">
          <w:rPr>
            <w:noProof/>
            <w:webHidden/>
          </w:rPr>
        </w:r>
        <w:r w:rsidR="00D30C93">
          <w:rPr>
            <w:noProof/>
            <w:webHidden/>
          </w:rPr>
          <w:fldChar w:fldCharType="separate"/>
        </w:r>
        <w:r w:rsidR="001B3D1D">
          <w:rPr>
            <w:noProof/>
            <w:webHidden/>
          </w:rPr>
          <w:t>89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13" w:history="1">
        <w:r w:rsidR="00D30C93" w:rsidRPr="00F57C6C">
          <w:rPr>
            <w:rStyle w:val="Hyperlink"/>
            <w:noProof/>
            <w:lang w:val="en-US"/>
          </w:rPr>
          <w:t>Article 14.03 Dimensions of work stations</w:t>
        </w:r>
        <w:r w:rsidR="00D30C93">
          <w:rPr>
            <w:noProof/>
            <w:webHidden/>
          </w:rPr>
          <w:tab/>
        </w:r>
        <w:r w:rsidR="00D30C93">
          <w:rPr>
            <w:noProof/>
            <w:webHidden/>
          </w:rPr>
          <w:fldChar w:fldCharType="begin"/>
        </w:r>
        <w:r w:rsidR="00D30C93">
          <w:rPr>
            <w:noProof/>
            <w:webHidden/>
          </w:rPr>
          <w:instrText xml:space="preserve"> PAGEREF _Toc491854113 \h </w:instrText>
        </w:r>
        <w:r w:rsidR="00D30C93">
          <w:rPr>
            <w:noProof/>
            <w:webHidden/>
          </w:rPr>
        </w:r>
        <w:r w:rsidR="00D30C93">
          <w:rPr>
            <w:noProof/>
            <w:webHidden/>
          </w:rPr>
          <w:fldChar w:fldCharType="separate"/>
        </w:r>
        <w:r w:rsidR="001B3D1D">
          <w:rPr>
            <w:noProof/>
            <w:webHidden/>
          </w:rPr>
          <w:t>90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14" w:history="1">
        <w:r w:rsidR="00D30C93" w:rsidRPr="00F57C6C">
          <w:rPr>
            <w:rStyle w:val="Hyperlink"/>
            <w:noProof/>
            <w:lang w:val="en-US"/>
          </w:rPr>
          <w:t>Article 14.04 Side decks</w:t>
        </w:r>
        <w:r w:rsidR="00D30C93">
          <w:rPr>
            <w:noProof/>
            <w:webHidden/>
          </w:rPr>
          <w:tab/>
        </w:r>
        <w:r w:rsidR="00D30C93">
          <w:rPr>
            <w:noProof/>
            <w:webHidden/>
          </w:rPr>
          <w:fldChar w:fldCharType="begin"/>
        </w:r>
        <w:r w:rsidR="00D30C93">
          <w:rPr>
            <w:noProof/>
            <w:webHidden/>
          </w:rPr>
          <w:instrText xml:space="preserve"> PAGEREF _Toc491854114 \h </w:instrText>
        </w:r>
        <w:r w:rsidR="00D30C93">
          <w:rPr>
            <w:noProof/>
            <w:webHidden/>
          </w:rPr>
        </w:r>
        <w:r w:rsidR="00D30C93">
          <w:rPr>
            <w:noProof/>
            <w:webHidden/>
          </w:rPr>
          <w:fldChar w:fldCharType="separate"/>
        </w:r>
        <w:r w:rsidR="001B3D1D">
          <w:rPr>
            <w:noProof/>
            <w:webHidden/>
          </w:rPr>
          <w:t>90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15" w:history="1">
        <w:r w:rsidR="00D30C93" w:rsidRPr="00F57C6C">
          <w:rPr>
            <w:rStyle w:val="Hyperlink"/>
            <w:noProof/>
            <w:lang w:val="en-US"/>
          </w:rPr>
          <w:t>Article 14.05 Access to work stations</w:t>
        </w:r>
        <w:r w:rsidR="00D30C93">
          <w:rPr>
            <w:noProof/>
            <w:webHidden/>
          </w:rPr>
          <w:tab/>
        </w:r>
        <w:r w:rsidR="00D30C93">
          <w:rPr>
            <w:noProof/>
            <w:webHidden/>
          </w:rPr>
          <w:fldChar w:fldCharType="begin"/>
        </w:r>
        <w:r w:rsidR="00D30C93">
          <w:rPr>
            <w:noProof/>
            <w:webHidden/>
          </w:rPr>
          <w:instrText xml:space="preserve"> PAGEREF _Toc491854115 \h </w:instrText>
        </w:r>
        <w:r w:rsidR="00D30C93">
          <w:rPr>
            <w:noProof/>
            <w:webHidden/>
          </w:rPr>
        </w:r>
        <w:r w:rsidR="00D30C93">
          <w:rPr>
            <w:noProof/>
            <w:webHidden/>
          </w:rPr>
          <w:fldChar w:fldCharType="separate"/>
        </w:r>
        <w:r w:rsidR="001B3D1D">
          <w:rPr>
            <w:noProof/>
            <w:webHidden/>
          </w:rPr>
          <w:t>90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16" w:history="1">
        <w:r w:rsidR="00D30C93" w:rsidRPr="00F57C6C">
          <w:rPr>
            <w:rStyle w:val="Hyperlink"/>
            <w:noProof/>
            <w:lang w:val="en-US"/>
          </w:rPr>
          <w:t>Article 14.06 Exits and emergency exits</w:t>
        </w:r>
        <w:r w:rsidR="00D30C93">
          <w:rPr>
            <w:noProof/>
            <w:webHidden/>
          </w:rPr>
          <w:tab/>
        </w:r>
        <w:r w:rsidR="00D30C93">
          <w:rPr>
            <w:noProof/>
            <w:webHidden/>
          </w:rPr>
          <w:fldChar w:fldCharType="begin"/>
        </w:r>
        <w:r w:rsidR="00D30C93">
          <w:rPr>
            <w:noProof/>
            <w:webHidden/>
          </w:rPr>
          <w:instrText xml:space="preserve"> PAGEREF _Toc491854116 \h </w:instrText>
        </w:r>
        <w:r w:rsidR="00D30C93">
          <w:rPr>
            <w:noProof/>
            <w:webHidden/>
          </w:rPr>
        </w:r>
        <w:r w:rsidR="00D30C93">
          <w:rPr>
            <w:noProof/>
            <w:webHidden/>
          </w:rPr>
          <w:fldChar w:fldCharType="separate"/>
        </w:r>
        <w:r w:rsidR="001B3D1D">
          <w:rPr>
            <w:noProof/>
            <w:webHidden/>
          </w:rPr>
          <w:t>91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17" w:history="1">
        <w:r w:rsidR="00D30C93" w:rsidRPr="00F57C6C">
          <w:rPr>
            <w:rStyle w:val="Hyperlink"/>
            <w:noProof/>
            <w:lang w:val="en-US"/>
          </w:rPr>
          <w:t>Article 14.07 Ladders, steps and similar devices</w:t>
        </w:r>
        <w:r w:rsidR="00D30C93">
          <w:rPr>
            <w:noProof/>
            <w:webHidden/>
          </w:rPr>
          <w:tab/>
        </w:r>
        <w:r w:rsidR="00D30C93">
          <w:rPr>
            <w:noProof/>
            <w:webHidden/>
          </w:rPr>
          <w:fldChar w:fldCharType="begin"/>
        </w:r>
        <w:r w:rsidR="00D30C93">
          <w:rPr>
            <w:noProof/>
            <w:webHidden/>
          </w:rPr>
          <w:instrText xml:space="preserve"> PAGEREF _Toc491854117 \h </w:instrText>
        </w:r>
        <w:r w:rsidR="00D30C93">
          <w:rPr>
            <w:noProof/>
            <w:webHidden/>
          </w:rPr>
        </w:r>
        <w:r w:rsidR="00D30C93">
          <w:rPr>
            <w:noProof/>
            <w:webHidden/>
          </w:rPr>
          <w:fldChar w:fldCharType="separate"/>
        </w:r>
        <w:r w:rsidR="001B3D1D">
          <w:rPr>
            <w:noProof/>
            <w:webHidden/>
          </w:rPr>
          <w:t>91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18" w:history="1">
        <w:r w:rsidR="00D30C93" w:rsidRPr="00F57C6C">
          <w:rPr>
            <w:rStyle w:val="Hyperlink"/>
            <w:noProof/>
            <w:lang w:val="en-US"/>
          </w:rPr>
          <w:t>Article 14.08 Interior rooms</w:t>
        </w:r>
        <w:r w:rsidR="00D30C93">
          <w:rPr>
            <w:noProof/>
            <w:webHidden/>
          </w:rPr>
          <w:tab/>
        </w:r>
        <w:r w:rsidR="00D30C93">
          <w:rPr>
            <w:noProof/>
            <w:webHidden/>
          </w:rPr>
          <w:fldChar w:fldCharType="begin"/>
        </w:r>
        <w:r w:rsidR="00D30C93">
          <w:rPr>
            <w:noProof/>
            <w:webHidden/>
          </w:rPr>
          <w:instrText xml:space="preserve"> PAGEREF _Toc491854118 \h </w:instrText>
        </w:r>
        <w:r w:rsidR="00D30C93">
          <w:rPr>
            <w:noProof/>
            <w:webHidden/>
          </w:rPr>
        </w:r>
        <w:r w:rsidR="00D30C93">
          <w:rPr>
            <w:noProof/>
            <w:webHidden/>
          </w:rPr>
          <w:fldChar w:fldCharType="separate"/>
        </w:r>
        <w:r w:rsidR="001B3D1D">
          <w:rPr>
            <w:noProof/>
            <w:webHidden/>
          </w:rPr>
          <w:t>91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19" w:history="1">
        <w:r w:rsidR="00D30C93" w:rsidRPr="00F57C6C">
          <w:rPr>
            <w:rStyle w:val="Hyperlink"/>
            <w:noProof/>
            <w:lang w:val="en-US"/>
          </w:rPr>
          <w:t>Article 14.09 Protection against noise and vibration</w:t>
        </w:r>
        <w:r w:rsidR="00D30C93">
          <w:rPr>
            <w:noProof/>
            <w:webHidden/>
          </w:rPr>
          <w:tab/>
        </w:r>
        <w:r w:rsidR="00D30C93">
          <w:rPr>
            <w:noProof/>
            <w:webHidden/>
          </w:rPr>
          <w:fldChar w:fldCharType="begin"/>
        </w:r>
        <w:r w:rsidR="00D30C93">
          <w:rPr>
            <w:noProof/>
            <w:webHidden/>
          </w:rPr>
          <w:instrText xml:space="preserve"> PAGEREF _Toc491854119 \h </w:instrText>
        </w:r>
        <w:r w:rsidR="00D30C93">
          <w:rPr>
            <w:noProof/>
            <w:webHidden/>
          </w:rPr>
        </w:r>
        <w:r w:rsidR="00D30C93">
          <w:rPr>
            <w:noProof/>
            <w:webHidden/>
          </w:rPr>
          <w:fldChar w:fldCharType="separate"/>
        </w:r>
        <w:r w:rsidR="001B3D1D">
          <w:rPr>
            <w:noProof/>
            <w:webHidden/>
          </w:rPr>
          <w:t>92</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20" w:history="1">
        <w:r w:rsidR="00D30C93" w:rsidRPr="00F57C6C">
          <w:rPr>
            <w:rStyle w:val="Hyperlink"/>
            <w:noProof/>
            <w:lang w:val="en-US"/>
          </w:rPr>
          <w:t>Article 14.10 Hatch covers</w:t>
        </w:r>
        <w:r w:rsidR="00D30C93">
          <w:rPr>
            <w:noProof/>
            <w:webHidden/>
          </w:rPr>
          <w:tab/>
        </w:r>
        <w:r w:rsidR="00D30C93">
          <w:rPr>
            <w:noProof/>
            <w:webHidden/>
          </w:rPr>
          <w:fldChar w:fldCharType="begin"/>
        </w:r>
        <w:r w:rsidR="00D30C93">
          <w:rPr>
            <w:noProof/>
            <w:webHidden/>
          </w:rPr>
          <w:instrText xml:space="preserve"> PAGEREF _Toc491854120 \h </w:instrText>
        </w:r>
        <w:r w:rsidR="00D30C93">
          <w:rPr>
            <w:noProof/>
            <w:webHidden/>
          </w:rPr>
        </w:r>
        <w:r w:rsidR="00D30C93">
          <w:rPr>
            <w:noProof/>
            <w:webHidden/>
          </w:rPr>
          <w:fldChar w:fldCharType="separate"/>
        </w:r>
        <w:r w:rsidR="001B3D1D">
          <w:rPr>
            <w:noProof/>
            <w:webHidden/>
          </w:rPr>
          <w:t>92</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21" w:history="1">
        <w:r w:rsidR="00D30C93" w:rsidRPr="00F57C6C">
          <w:rPr>
            <w:rStyle w:val="Hyperlink"/>
            <w:noProof/>
            <w:lang w:val="en-US"/>
          </w:rPr>
          <w:t>Article 14.11 Winches</w:t>
        </w:r>
        <w:r w:rsidR="00D30C93">
          <w:rPr>
            <w:noProof/>
            <w:webHidden/>
          </w:rPr>
          <w:tab/>
        </w:r>
        <w:r w:rsidR="00D30C93">
          <w:rPr>
            <w:noProof/>
            <w:webHidden/>
          </w:rPr>
          <w:fldChar w:fldCharType="begin"/>
        </w:r>
        <w:r w:rsidR="00D30C93">
          <w:rPr>
            <w:noProof/>
            <w:webHidden/>
          </w:rPr>
          <w:instrText xml:space="preserve"> PAGEREF _Toc491854121 \h </w:instrText>
        </w:r>
        <w:r w:rsidR="00D30C93">
          <w:rPr>
            <w:noProof/>
            <w:webHidden/>
          </w:rPr>
        </w:r>
        <w:r w:rsidR="00D30C93">
          <w:rPr>
            <w:noProof/>
            <w:webHidden/>
          </w:rPr>
          <w:fldChar w:fldCharType="separate"/>
        </w:r>
        <w:r w:rsidR="001B3D1D">
          <w:rPr>
            <w:noProof/>
            <w:webHidden/>
          </w:rPr>
          <w:t>93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22" w:history="1">
        <w:r w:rsidR="00D30C93" w:rsidRPr="00F57C6C">
          <w:rPr>
            <w:rStyle w:val="Hyperlink"/>
            <w:noProof/>
            <w:lang w:val="en-US"/>
          </w:rPr>
          <w:t>Article 14.12 Cranes</w:t>
        </w:r>
        <w:r w:rsidR="00D30C93">
          <w:rPr>
            <w:noProof/>
            <w:webHidden/>
          </w:rPr>
          <w:tab/>
        </w:r>
        <w:r w:rsidR="00D30C93">
          <w:rPr>
            <w:noProof/>
            <w:webHidden/>
          </w:rPr>
          <w:fldChar w:fldCharType="begin"/>
        </w:r>
        <w:r w:rsidR="00D30C93">
          <w:rPr>
            <w:noProof/>
            <w:webHidden/>
          </w:rPr>
          <w:instrText xml:space="preserve"> PAGEREF _Toc491854122 \h </w:instrText>
        </w:r>
        <w:r w:rsidR="00D30C93">
          <w:rPr>
            <w:noProof/>
            <w:webHidden/>
          </w:rPr>
        </w:r>
        <w:r w:rsidR="00D30C93">
          <w:rPr>
            <w:noProof/>
            <w:webHidden/>
          </w:rPr>
          <w:fldChar w:fldCharType="separate"/>
        </w:r>
        <w:r w:rsidR="001B3D1D">
          <w:rPr>
            <w:noProof/>
            <w:webHidden/>
          </w:rPr>
          <w:t>93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23" w:history="1">
        <w:r w:rsidR="00D30C93" w:rsidRPr="00F57C6C">
          <w:rPr>
            <w:rStyle w:val="Hyperlink"/>
            <w:noProof/>
            <w:lang w:val="en-US"/>
          </w:rPr>
          <w:t>Article 14.13 Storing flammable liquids</w:t>
        </w:r>
        <w:r w:rsidR="00D30C93">
          <w:rPr>
            <w:noProof/>
            <w:webHidden/>
          </w:rPr>
          <w:tab/>
        </w:r>
        <w:r w:rsidR="00D30C93">
          <w:rPr>
            <w:noProof/>
            <w:webHidden/>
          </w:rPr>
          <w:fldChar w:fldCharType="begin"/>
        </w:r>
        <w:r w:rsidR="00D30C93">
          <w:rPr>
            <w:noProof/>
            <w:webHidden/>
          </w:rPr>
          <w:instrText xml:space="preserve"> PAGEREF _Toc491854123 \h </w:instrText>
        </w:r>
        <w:r w:rsidR="00D30C93">
          <w:rPr>
            <w:noProof/>
            <w:webHidden/>
          </w:rPr>
        </w:r>
        <w:r w:rsidR="00D30C93">
          <w:rPr>
            <w:noProof/>
            <w:webHidden/>
          </w:rPr>
          <w:fldChar w:fldCharType="separate"/>
        </w:r>
        <w:r w:rsidR="001B3D1D">
          <w:rPr>
            <w:noProof/>
            <w:webHidden/>
          </w:rPr>
          <w:t>94</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124" w:history="1">
        <w:r w:rsidR="00D30C93" w:rsidRPr="00F57C6C">
          <w:rPr>
            <w:rStyle w:val="Hyperlink"/>
            <w:noProof/>
          </w:rPr>
          <w:t>Chapter</w:t>
        </w:r>
        <w:r w:rsidR="0068412D">
          <w:rPr>
            <w:rStyle w:val="Hyperlink"/>
            <w:noProof/>
          </w:rPr>
          <w:t>.</w:t>
        </w:r>
        <w:r w:rsidR="00D30C93" w:rsidRPr="00F57C6C">
          <w:rPr>
            <w:rStyle w:val="Hyperlink"/>
            <w:noProof/>
          </w:rPr>
          <w:t>15</w:t>
        </w:r>
        <w:r w:rsidR="00E75CE6">
          <w:rPr>
            <w:rStyle w:val="Hyperlink"/>
            <w:noProof/>
          </w:rPr>
          <w:t>.</w:t>
        </w:r>
        <w:r w:rsidR="00D30C93" w:rsidRPr="00F57C6C">
          <w:rPr>
            <w:rStyle w:val="Hyperlink"/>
            <w:noProof/>
          </w:rPr>
          <w:t>Accommodation</w:t>
        </w:r>
        <w:r w:rsidR="00DD423A">
          <w:rPr>
            <w:webHidden/>
          </w:rPr>
          <w:t>………………………………………………</w:t>
        </w:r>
        <w:r w:rsidR="00E75CE6">
          <w:rPr>
            <w:webHidden/>
          </w:rPr>
          <w:t>.</w:t>
        </w:r>
        <w:r w:rsidR="00DD423A">
          <w:rPr>
            <w:webHidden/>
          </w:rPr>
          <w:t>………………………</w:t>
        </w:r>
        <w:r w:rsidR="0068412D">
          <w:rPr>
            <w:webHidden/>
          </w:rPr>
          <w:t>….</w:t>
        </w:r>
        <w:r w:rsidR="00D30C93">
          <w:rPr>
            <w:noProof/>
            <w:webHidden/>
          </w:rPr>
          <w:fldChar w:fldCharType="begin"/>
        </w:r>
        <w:r w:rsidR="00D30C93">
          <w:rPr>
            <w:noProof/>
            <w:webHidden/>
          </w:rPr>
          <w:instrText xml:space="preserve"> PAGEREF _Toc491854124 \h </w:instrText>
        </w:r>
        <w:r w:rsidR="00D30C93">
          <w:rPr>
            <w:noProof/>
            <w:webHidden/>
          </w:rPr>
        </w:r>
        <w:r w:rsidR="00D30C93">
          <w:rPr>
            <w:noProof/>
            <w:webHidden/>
          </w:rPr>
          <w:fldChar w:fldCharType="separate"/>
        </w:r>
        <w:r w:rsidR="001B3D1D">
          <w:rPr>
            <w:noProof/>
            <w:webHidden/>
          </w:rPr>
          <w:t>9</w:t>
        </w:r>
        <w:r w:rsidR="00D30C93">
          <w:rPr>
            <w:noProof/>
            <w:webHidden/>
          </w:rPr>
          <w:fldChar w:fldCharType="end"/>
        </w:r>
      </w:hyperlink>
      <w:r w:rsidR="0068412D">
        <w:rPr>
          <w:noProof/>
        </w:rPr>
        <w:t>5</w:t>
      </w:r>
    </w:p>
    <w:p w:rsidR="00D30C93" w:rsidRDefault="00F12BAF">
      <w:pPr>
        <w:pStyle w:val="TOC3"/>
        <w:rPr>
          <w:rFonts w:asciiTheme="minorHAnsi" w:eastAsiaTheme="minorEastAsia" w:hAnsiTheme="minorHAnsi" w:cstheme="minorBidi"/>
          <w:i w:val="0"/>
          <w:iCs w:val="0"/>
          <w:noProof/>
          <w:sz w:val="22"/>
          <w:szCs w:val="22"/>
        </w:rPr>
      </w:pPr>
      <w:hyperlink w:anchor="_Toc491854125" w:history="1">
        <w:r w:rsidR="00D30C93" w:rsidRPr="00F57C6C">
          <w:rPr>
            <w:rStyle w:val="Hyperlink"/>
            <w:noProof/>
            <w:lang w:val="en-US"/>
          </w:rPr>
          <w:t>Article 15.01 General</w:t>
        </w:r>
        <w:r w:rsidR="00D30C93">
          <w:rPr>
            <w:noProof/>
            <w:webHidden/>
          </w:rPr>
          <w:tab/>
        </w:r>
        <w:r w:rsidR="00D30C93">
          <w:rPr>
            <w:noProof/>
            <w:webHidden/>
          </w:rPr>
          <w:fldChar w:fldCharType="begin"/>
        </w:r>
        <w:r w:rsidR="00D30C93">
          <w:rPr>
            <w:noProof/>
            <w:webHidden/>
          </w:rPr>
          <w:instrText xml:space="preserve"> PAGEREF _Toc491854125 \h </w:instrText>
        </w:r>
        <w:r w:rsidR="00D30C93">
          <w:rPr>
            <w:noProof/>
            <w:webHidden/>
          </w:rPr>
        </w:r>
        <w:r w:rsidR="00D30C93">
          <w:rPr>
            <w:noProof/>
            <w:webHidden/>
          </w:rPr>
          <w:fldChar w:fldCharType="separate"/>
        </w:r>
        <w:r w:rsidR="001B3D1D">
          <w:rPr>
            <w:noProof/>
            <w:webHidden/>
          </w:rPr>
          <w:t>95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26" w:history="1">
        <w:r w:rsidR="00D30C93" w:rsidRPr="00F57C6C">
          <w:rPr>
            <w:rStyle w:val="Hyperlink"/>
            <w:noProof/>
            <w:lang w:val="en-US"/>
          </w:rPr>
          <w:t>Article 15.02 Special design requirements for accommodation</w:t>
        </w:r>
        <w:r w:rsidR="00D30C93">
          <w:rPr>
            <w:noProof/>
            <w:webHidden/>
          </w:rPr>
          <w:tab/>
        </w:r>
        <w:r w:rsidR="00D30C93">
          <w:rPr>
            <w:noProof/>
            <w:webHidden/>
          </w:rPr>
          <w:fldChar w:fldCharType="begin"/>
        </w:r>
        <w:r w:rsidR="00D30C93">
          <w:rPr>
            <w:noProof/>
            <w:webHidden/>
          </w:rPr>
          <w:instrText xml:space="preserve"> PAGEREF _Toc491854126 \h </w:instrText>
        </w:r>
        <w:r w:rsidR="00D30C93">
          <w:rPr>
            <w:noProof/>
            <w:webHidden/>
          </w:rPr>
        </w:r>
        <w:r w:rsidR="00D30C93">
          <w:rPr>
            <w:noProof/>
            <w:webHidden/>
          </w:rPr>
          <w:fldChar w:fldCharType="separate"/>
        </w:r>
        <w:r w:rsidR="001B3D1D">
          <w:rPr>
            <w:noProof/>
            <w:webHidden/>
          </w:rPr>
          <w:t>95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27" w:history="1">
        <w:r w:rsidR="00D30C93" w:rsidRPr="00F57C6C">
          <w:rPr>
            <w:rStyle w:val="Hyperlink"/>
            <w:noProof/>
            <w:lang w:val="en-US"/>
          </w:rPr>
          <w:t>Article 15.03 Sanitary installations</w:t>
        </w:r>
        <w:r w:rsidR="00D30C93">
          <w:rPr>
            <w:noProof/>
            <w:webHidden/>
          </w:rPr>
          <w:tab/>
        </w:r>
        <w:r w:rsidR="00D30C93">
          <w:rPr>
            <w:noProof/>
            <w:webHidden/>
          </w:rPr>
          <w:fldChar w:fldCharType="begin"/>
        </w:r>
        <w:r w:rsidR="00D30C93">
          <w:rPr>
            <w:noProof/>
            <w:webHidden/>
          </w:rPr>
          <w:instrText xml:space="preserve"> PAGEREF _Toc491854127 \h </w:instrText>
        </w:r>
        <w:r w:rsidR="00D30C93">
          <w:rPr>
            <w:noProof/>
            <w:webHidden/>
          </w:rPr>
        </w:r>
        <w:r w:rsidR="00D30C93">
          <w:rPr>
            <w:noProof/>
            <w:webHidden/>
          </w:rPr>
          <w:fldChar w:fldCharType="separate"/>
        </w:r>
        <w:r w:rsidR="001B3D1D">
          <w:rPr>
            <w:noProof/>
            <w:webHidden/>
          </w:rPr>
          <w:t>96</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28" w:history="1">
        <w:r w:rsidR="00D30C93" w:rsidRPr="00F57C6C">
          <w:rPr>
            <w:rStyle w:val="Hyperlink"/>
            <w:noProof/>
            <w:lang w:val="en-US"/>
          </w:rPr>
          <w:t>Article 15.04 Galleys</w:t>
        </w:r>
        <w:r w:rsidR="00D30C93">
          <w:rPr>
            <w:noProof/>
            <w:webHidden/>
          </w:rPr>
          <w:tab/>
        </w:r>
        <w:r w:rsidR="00D30C93">
          <w:rPr>
            <w:noProof/>
            <w:webHidden/>
          </w:rPr>
          <w:fldChar w:fldCharType="begin"/>
        </w:r>
        <w:r w:rsidR="00D30C93">
          <w:rPr>
            <w:noProof/>
            <w:webHidden/>
          </w:rPr>
          <w:instrText xml:space="preserve"> PAGEREF _Toc491854128 \h </w:instrText>
        </w:r>
        <w:r w:rsidR="00D30C93">
          <w:rPr>
            <w:noProof/>
            <w:webHidden/>
          </w:rPr>
        </w:r>
        <w:r w:rsidR="00D30C93">
          <w:rPr>
            <w:noProof/>
            <w:webHidden/>
          </w:rPr>
          <w:fldChar w:fldCharType="separate"/>
        </w:r>
        <w:r w:rsidR="001B3D1D">
          <w:rPr>
            <w:noProof/>
            <w:webHidden/>
          </w:rPr>
          <w:t>97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29" w:history="1">
        <w:r w:rsidR="00D30C93" w:rsidRPr="00F57C6C">
          <w:rPr>
            <w:rStyle w:val="Hyperlink"/>
            <w:noProof/>
            <w:lang w:val="en-US"/>
          </w:rPr>
          <w:t>Article 15.05 Potable water installations</w:t>
        </w:r>
        <w:r w:rsidR="00D30C93">
          <w:rPr>
            <w:noProof/>
            <w:webHidden/>
          </w:rPr>
          <w:tab/>
        </w:r>
        <w:r w:rsidR="00D30C93">
          <w:rPr>
            <w:noProof/>
            <w:webHidden/>
          </w:rPr>
          <w:fldChar w:fldCharType="begin"/>
        </w:r>
        <w:r w:rsidR="00D30C93">
          <w:rPr>
            <w:noProof/>
            <w:webHidden/>
          </w:rPr>
          <w:instrText xml:space="preserve"> PAGEREF _Toc491854129 \h </w:instrText>
        </w:r>
        <w:r w:rsidR="00D30C93">
          <w:rPr>
            <w:noProof/>
            <w:webHidden/>
          </w:rPr>
        </w:r>
        <w:r w:rsidR="00D30C93">
          <w:rPr>
            <w:noProof/>
            <w:webHidden/>
          </w:rPr>
          <w:fldChar w:fldCharType="separate"/>
        </w:r>
        <w:r w:rsidR="001B3D1D">
          <w:rPr>
            <w:noProof/>
            <w:webHidden/>
          </w:rPr>
          <w:t>97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30" w:history="1">
        <w:r w:rsidR="00D30C93" w:rsidRPr="00F57C6C">
          <w:rPr>
            <w:rStyle w:val="Hyperlink"/>
            <w:noProof/>
            <w:lang w:val="en-US"/>
          </w:rPr>
          <w:t>Article 15.06 Heating and ventilation</w:t>
        </w:r>
        <w:r w:rsidR="00D30C93">
          <w:rPr>
            <w:noProof/>
            <w:webHidden/>
          </w:rPr>
          <w:tab/>
        </w:r>
        <w:r w:rsidR="00D30C93">
          <w:rPr>
            <w:noProof/>
            <w:webHidden/>
          </w:rPr>
          <w:fldChar w:fldCharType="begin"/>
        </w:r>
        <w:r w:rsidR="00D30C93">
          <w:rPr>
            <w:noProof/>
            <w:webHidden/>
          </w:rPr>
          <w:instrText xml:space="preserve"> PAGEREF _Toc491854130 \h </w:instrText>
        </w:r>
        <w:r w:rsidR="00D30C93">
          <w:rPr>
            <w:noProof/>
            <w:webHidden/>
          </w:rPr>
        </w:r>
        <w:r w:rsidR="00D30C93">
          <w:rPr>
            <w:noProof/>
            <w:webHidden/>
          </w:rPr>
          <w:fldChar w:fldCharType="separate"/>
        </w:r>
        <w:r w:rsidR="001B3D1D">
          <w:rPr>
            <w:noProof/>
            <w:webHidden/>
          </w:rPr>
          <w:t>98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31" w:history="1">
        <w:r w:rsidR="00D30C93" w:rsidRPr="00F57C6C">
          <w:rPr>
            <w:rStyle w:val="Hyperlink"/>
            <w:noProof/>
            <w:lang w:val="en-US"/>
          </w:rPr>
          <w:t>Article 15.07 Other accommodation installations</w:t>
        </w:r>
        <w:r w:rsidR="00D30C93">
          <w:rPr>
            <w:noProof/>
            <w:webHidden/>
          </w:rPr>
          <w:tab/>
        </w:r>
        <w:r w:rsidR="00D30C93">
          <w:rPr>
            <w:noProof/>
            <w:webHidden/>
          </w:rPr>
          <w:fldChar w:fldCharType="begin"/>
        </w:r>
        <w:r w:rsidR="00D30C93">
          <w:rPr>
            <w:noProof/>
            <w:webHidden/>
          </w:rPr>
          <w:instrText xml:space="preserve"> PAGEREF _Toc491854131 \h </w:instrText>
        </w:r>
        <w:r w:rsidR="00D30C93">
          <w:rPr>
            <w:noProof/>
            <w:webHidden/>
          </w:rPr>
        </w:r>
        <w:r w:rsidR="00D30C93">
          <w:rPr>
            <w:noProof/>
            <w:webHidden/>
          </w:rPr>
          <w:fldChar w:fldCharType="separate"/>
        </w:r>
        <w:r w:rsidR="001B3D1D">
          <w:rPr>
            <w:noProof/>
            <w:webHidden/>
          </w:rPr>
          <w:t>98</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132" w:history="1">
        <w:r w:rsidR="00D30C93" w:rsidRPr="00F57C6C">
          <w:rPr>
            <w:rStyle w:val="Hyperlink"/>
            <w:noProof/>
          </w:rPr>
          <w:t>Chapter 16 Fuel-fired heating, cooking and refrigerating equipment</w:t>
        </w:r>
        <w:r w:rsidR="00E75CE6">
          <w:rPr>
            <w:rStyle w:val="Hyperlink"/>
            <w:noProof/>
          </w:rPr>
          <w:t>…..……………………</w:t>
        </w:r>
        <w:r w:rsidR="00D30C93">
          <w:rPr>
            <w:noProof/>
            <w:webHidden/>
          </w:rPr>
          <w:fldChar w:fldCharType="begin"/>
        </w:r>
        <w:r w:rsidR="00D30C93">
          <w:rPr>
            <w:noProof/>
            <w:webHidden/>
          </w:rPr>
          <w:instrText xml:space="preserve"> PAGEREF _Toc491854132 \h </w:instrText>
        </w:r>
        <w:r w:rsidR="00D30C93">
          <w:rPr>
            <w:noProof/>
            <w:webHidden/>
          </w:rPr>
        </w:r>
        <w:r w:rsidR="00D30C93">
          <w:rPr>
            <w:noProof/>
            <w:webHidden/>
          </w:rPr>
          <w:fldChar w:fldCharType="separate"/>
        </w:r>
        <w:r w:rsidR="001B3D1D">
          <w:rPr>
            <w:noProof/>
            <w:webHidden/>
          </w:rPr>
          <w:t>99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33" w:history="1">
        <w:r w:rsidR="00D30C93" w:rsidRPr="00F57C6C">
          <w:rPr>
            <w:rStyle w:val="Hyperlink"/>
            <w:noProof/>
            <w:lang w:val="en-US"/>
          </w:rPr>
          <w:t>Article 16.01 General</w:t>
        </w:r>
        <w:r w:rsidR="00D30C93">
          <w:rPr>
            <w:noProof/>
            <w:webHidden/>
          </w:rPr>
          <w:tab/>
        </w:r>
        <w:r w:rsidR="00D30C93">
          <w:rPr>
            <w:noProof/>
            <w:webHidden/>
          </w:rPr>
          <w:fldChar w:fldCharType="begin"/>
        </w:r>
        <w:r w:rsidR="00D30C93">
          <w:rPr>
            <w:noProof/>
            <w:webHidden/>
          </w:rPr>
          <w:instrText xml:space="preserve"> PAGEREF _Toc491854133 \h </w:instrText>
        </w:r>
        <w:r w:rsidR="00D30C93">
          <w:rPr>
            <w:noProof/>
            <w:webHidden/>
          </w:rPr>
        </w:r>
        <w:r w:rsidR="00D30C93">
          <w:rPr>
            <w:noProof/>
            <w:webHidden/>
          </w:rPr>
          <w:fldChar w:fldCharType="separate"/>
        </w:r>
        <w:r w:rsidR="001B3D1D">
          <w:rPr>
            <w:noProof/>
            <w:webHidden/>
          </w:rPr>
          <w:t>99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34" w:history="1">
        <w:r w:rsidR="00D30C93" w:rsidRPr="00F57C6C">
          <w:rPr>
            <w:rStyle w:val="Hyperlink"/>
            <w:noProof/>
            <w:lang w:val="en-US"/>
          </w:rPr>
          <w:t>Article 16.02 Use of liquid fuels, oil-fired equipment</w:t>
        </w:r>
        <w:r w:rsidR="00D30C93">
          <w:rPr>
            <w:noProof/>
            <w:webHidden/>
          </w:rPr>
          <w:tab/>
        </w:r>
        <w:r w:rsidR="00D30C93">
          <w:rPr>
            <w:noProof/>
            <w:webHidden/>
          </w:rPr>
          <w:fldChar w:fldCharType="begin"/>
        </w:r>
        <w:r w:rsidR="00D30C93">
          <w:rPr>
            <w:noProof/>
            <w:webHidden/>
          </w:rPr>
          <w:instrText xml:space="preserve"> PAGEREF _Toc491854134 \h </w:instrText>
        </w:r>
        <w:r w:rsidR="00D30C93">
          <w:rPr>
            <w:noProof/>
            <w:webHidden/>
          </w:rPr>
        </w:r>
        <w:r w:rsidR="00D30C93">
          <w:rPr>
            <w:noProof/>
            <w:webHidden/>
          </w:rPr>
          <w:fldChar w:fldCharType="separate"/>
        </w:r>
        <w:r w:rsidR="001B3D1D">
          <w:rPr>
            <w:noProof/>
            <w:webHidden/>
          </w:rPr>
          <w:t>99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35" w:history="1">
        <w:r w:rsidR="00D30C93" w:rsidRPr="00F57C6C">
          <w:rPr>
            <w:rStyle w:val="Hyperlink"/>
            <w:noProof/>
            <w:lang w:val="en-US"/>
          </w:rPr>
          <w:t>Article 16.03 Vaporising oil burner stoves and atomising oil burner heating appliances</w:t>
        </w:r>
        <w:r w:rsidR="00D30C93">
          <w:rPr>
            <w:noProof/>
            <w:webHidden/>
          </w:rPr>
          <w:tab/>
        </w:r>
        <w:r w:rsidR="00D30C93">
          <w:rPr>
            <w:noProof/>
            <w:webHidden/>
          </w:rPr>
          <w:fldChar w:fldCharType="begin"/>
        </w:r>
        <w:r w:rsidR="00D30C93">
          <w:rPr>
            <w:noProof/>
            <w:webHidden/>
          </w:rPr>
          <w:instrText xml:space="preserve"> PAGEREF _Toc491854135 \h </w:instrText>
        </w:r>
        <w:r w:rsidR="00D30C93">
          <w:rPr>
            <w:noProof/>
            <w:webHidden/>
          </w:rPr>
        </w:r>
        <w:r w:rsidR="00D30C93">
          <w:rPr>
            <w:noProof/>
            <w:webHidden/>
          </w:rPr>
          <w:fldChar w:fldCharType="separate"/>
        </w:r>
        <w:r w:rsidR="001B3D1D">
          <w:rPr>
            <w:noProof/>
            <w:webHidden/>
          </w:rPr>
          <w:t>99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36" w:history="1">
        <w:r w:rsidR="00D30C93" w:rsidRPr="00F57C6C">
          <w:rPr>
            <w:rStyle w:val="Hyperlink"/>
            <w:noProof/>
            <w:lang w:val="en-US"/>
          </w:rPr>
          <w:t>Article 16.04 Vaporising oil burner stoves</w:t>
        </w:r>
        <w:r w:rsidR="00D30C93">
          <w:rPr>
            <w:noProof/>
            <w:webHidden/>
          </w:rPr>
          <w:tab/>
        </w:r>
        <w:r w:rsidR="00D30C93">
          <w:rPr>
            <w:noProof/>
            <w:webHidden/>
          </w:rPr>
          <w:fldChar w:fldCharType="begin"/>
        </w:r>
        <w:r w:rsidR="00D30C93">
          <w:rPr>
            <w:noProof/>
            <w:webHidden/>
          </w:rPr>
          <w:instrText xml:space="preserve"> PAGEREF _Toc491854136 \h </w:instrText>
        </w:r>
        <w:r w:rsidR="00D30C93">
          <w:rPr>
            <w:noProof/>
            <w:webHidden/>
          </w:rPr>
        </w:r>
        <w:r w:rsidR="00D30C93">
          <w:rPr>
            <w:noProof/>
            <w:webHidden/>
          </w:rPr>
          <w:fldChar w:fldCharType="separate"/>
        </w:r>
        <w:r w:rsidR="001B3D1D">
          <w:rPr>
            <w:noProof/>
            <w:webHidden/>
          </w:rPr>
          <w:t>100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37" w:history="1">
        <w:r w:rsidR="00D30C93" w:rsidRPr="00F57C6C">
          <w:rPr>
            <w:rStyle w:val="Hyperlink"/>
            <w:noProof/>
            <w:lang w:val="en-US"/>
          </w:rPr>
          <w:t>Article 16.05 Atomising oil burner heating appliances</w:t>
        </w:r>
        <w:r w:rsidR="00D30C93">
          <w:rPr>
            <w:noProof/>
            <w:webHidden/>
          </w:rPr>
          <w:tab/>
        </w:r>
        <w:r w:rsidR="00D30C93">
          <w:rPr>
            <w:noProof/>
            <w:webHidden/>
          </w:rPr>
          <w:fldChar w:fldCharType="begin"/>
        </w:r>
        <w:r w:rsidR="00D30C93">
          <w:rPr>
            <w:noProof/>
            <w:webHidden/>
          </w:rPr>
          <w:instrText xml:space="preserve"> PAGEREF _Toc491854137 \h </w:instrText>
        </w:r>
        <w:r w:rsidR="00D30C93">
          <w:rPr>
            <w:noProof/>
            <w:webHidden/>
          </w:rPr>
        </w:r>
        <w:r w:rsidR="00D30C93">
          <w:rPr>
            <w:noProof/>
            <w:webHidden/>
          </w:rPr>
          <w:fldChar w:fldCharType="separate"/>
        </w:r>
        <w:r w:rsidR="001B3D1D">
          <w:rPr>
            <w:noProof/>
            <w:webHidden/>
          </w:rPr>
          <w:t>100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38" w:history="1">
        <w:r w:rsidR="00D30C93" w:rsidRPr="00F57C6C">
          <w:rPr>
            <w:rStyle w:val="Hyperlink"/>
            <w:noProof/>
            <w:lang w:val="en-US"/>
          </w:rPr>
          <w:t>Article 16.06 Forced-air heating appliances</w:t>
        </w:r>
        <w:r w:rsidR="00D30C93">
          <w:rPr>
            <w:noProof/>
            <w:webHidden/>
          </w:rPr>
          <w:tab/>
        </w:r>
        <w:r w:rsidR="00D30C93">
          <w:rPr>
            <w:noProof/>
            <w:webHidden/>
          </w:rPr>
          <w:fldChar w:fldCharType="begin"/>
        </w:r>
        <w:r w:rsidR="00D30C93">
          <w:rPr>
            <w:noProof/>
            <w:webHidden/>
          </w:rPr>
          <w:instrText xml:space="preserve"> PAGEREF _Toc491854138 \h </w:instrText>
        </w:r>
        <w:r w:rsidR="00D30C93">
          <w:rPr>
            <w:noProof/>
            <w:webHidden/>
          </w:rPr>
        </w:r>
        <w:r w:rsidR="00D30C93">
          <w:rPr>
            <w:noProof/>
            <w:webHidden/>
          </w:rPr>
          <w:fldChar w:fldCharType="separate"/>
        </w:r>
        <w:r w:rsidR="001B3D1D">
          <w:rPr>
            <w:noProof/>
            <w:webHidden/>
          </w:rPr>
          <w:t>101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39" w:history="1">
        <w:r w:rsidR="00D30C93" w:rsidRPr="00F57C6C">
          <w:rPr>
            <w:rStyle w:val="Hyperlink"/>
            <w:noProof/>
            <w:lang w:val="en-US"/>
          </w:rPr>
          <w:t>Article 16.07 Solid fuel heating</w:t>
        </w:r>
        <w:r w:rsidR="00D30C93">
          <w:rPr>
            <w:noProof/>
            <w:webHidden/>
          </w:rPr>
          <w:tab/>
        </w:r>
        <w:r w:rsidR="00D30C93">
          <w:rPr>
            <w:noProof/>
            <w:webHidden/>
          </w:rPr>
          <w:fldChar w:fldCharType="begin"/>
        </w:r>
        <w:r w:rsidR="00D30C93">
          <w:rPr>
            <w:noProof/>
            <w:webHidden/>
          </w:rPr>
          <w:instrText xml:space="preserve"> PAGEREF _Toc491854139 \h </w:instrText>
        </w:r>
        <w:r w:rsidR="00D30C93">
          <w:rPr>
            <w:noProof/>
            <w:webHidden/>
          </w:rPr>
        </w:r>
        <w:r w:rsidR="00D30C93">
          <w:rPr>
            <w:noProof/>
            <w:webHidden/>
          </w:rPr>
          <w:fldChar w:fldCharType="separate"/>
        </w:r>
        <w:r w:rsidR="001B3D1D">
          <w:rPr>
            <w:noProof/>
            <w:webHidden/>
          </w:rPr>
          <w:t>101</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140" w:history="1">
        <w:r w:rsidR="00D30C93" w:rsidRPr="00F57C6C">
          <w:rPr>
            <w:rStyle w:val="Hyperlink"/>
            <w:noProof/>
          </w:rPr>
          <w:t>Chapter 17 Liquefied gas installations for domestic purposes</w:t>
        </w:r>
        <w:r w:rsidR="00E75CE6">
          <w:rPr>
            <w:rStyle w:val="Hyperlink"/>
            <w:noProof/>
          </w:rPr>
          <w:t>………………………………</w:t>
        </w:r>
        <w:r w:rsidR="00D30C93">
          <w:rPr>
            <w:noProof/>
            <w:webHidden/>
          </w:rPr>
          <w:fldChar w:fldCharType="begin"/>
        </w:r>
        <w:r w:rsidR="00D30C93">
          <w:rPr>
            <w:noProof/>
            <w:webHidden/>
          </w:rPr>
          <w:instrText xml:space="preserve"> PAGEREF _Toc491854140 \h </w:instrText>
        </w:r>
        <w:r w:rsidR="00D30C93">
          <w:rPr>
            <w:noProof/>
            <w:webHidden/>
          </w:rPr>
        </w:r>
        <w:r w:rsidR="00D30C93">
          <w:rPr>
            <w:noProof/>
            <w:webHidden/>
          </w:rPr>
          <w:fldChar w:fldCharType="separate"/>
        </w:r>
        <w:r w:rsidR="001B3D1D">
          <w:rPr>
            <w:noProof/>
            <w:webHidden/>
          </w:rPr>
          <w:t>103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41" w:history="1">
        <w:r w:rsidR="00D30C93" w:rsidRPr="00F57C6C">
          <w:rPr>
            <w:rStyle w:val="Hyperlink"/>
            <w:noProof/>
            <w:lang w:val="en-US"/>
          </w:rPr>
          <w:t>Article 17.01 General</w:t>
        </w:r>
        <w:r w:rsidR="00D30C93">
          <w:rPr>
            <w:noProof/>
            <w:webHidden/>
          </w:rPr>
          <w:tab/>
        </w:r>
        <w:r w:rsidR="00D30C93">
          <w:rPr>
            <w:noProof/>
            <w:webHidden/>
          </w:rPr>
          <w:fldChar w:fldCharType="begin"/>
        </w:r>
        <w:r w:rsidR="00D30C93">
          <w:rPr>
            <w:noProof/>
            <w:webHidden/>
          </w:rPr>
          <w:instrText xml:space="preserve"> PAGEREF _Toc491854141 \h </w:instrText>
        </w:r>
        <w:r w:rsidR="00D30C93">
          <w:rPr>
            <w:noProof/>
            <w:webHidden/>
          </w:rPr>
        </w:r>
        <w:r w:rsidR="00D30C93">
          <w:rPr>
            <w:noProof/>
            <w:webHidden/>
          </w:rPr>
          <w:fldChar w:fldCharType="separate"/>
        </w:r>
        <w:r w:rsidR="001B3D1D">
          <w:rPr>
            <w:noProof/>
            <w:webHidden/>
          </w:rPr>
          <w:t>103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42" w:history="1">
        <w:r w:rsidR="00D30C93" w:rsidRPr="00F57C6C">
          <w:rPr>
            <w:rStyle w:val="Hyperlink"/>
            <w:noProof/>
            <w:lang w:val="en-US"/>
          </w:rPr>
          <w:t>Article 17.02 Installations</w:t>
        </w:r>
        <w:r w:rsidR="00D30C93">
          <w:rPr>
            <w:noProof/>
            <w:webHidden/>
          </w:rPr>
          <w:tab/>
        </w:r>
        <w:r w:rsidR="00D30C93">
          <w:rPr>
            <w:noProof/>
            <w:webHidden/>
          </w:rPr>
          <w:fldChar w:fldCharType="begin"/>
        </w:r>
        <w:r w:rsidR="00D30C93">
          <w:rPr>
            <w:noProof/>
            <w:webHidden/>
          </w:rPr>
          <w:instrText xml:space="preserve"> PAGEREF _Toc491854142 \h </w:instrText>
        </w:r>
        <w:r w:rsidR="00D30C93">
          <w:rPr>
            <w:noProof/>
            <w:webHidden/>
          </w:rPr>
        </w:r>
        <w:r w:rsidR="00D30C93">
          <w:rPr>
            <w:noProof/>
            <w:webHidden/>
          </w:rPr>
          <w:fldChar w:fldCharType="separate"/>
        </w:r>
        <w:r w:rsidR="001B3D1D">
          <w:rPr>
            <w:noProof/>
            <w:webHidden/>
          </w:rPr>
          <w:t>103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43" w:history="1">
        <w:r w:rsidR="00D30C93" w:rsidRPr="00F57C6C">
          <w:rPr>
            <w:rStyle w:val="Hyperlink"/>
            <w:noProof/>
            <w:lang w:val="en-US"/>
          </w:rPr>
          <w:t>Article 17.03 Receptacles</w:t>
        </w:r>
        <w:r w:rsidR="00D30C93">
          <w:rPr>
            <w:noProof/>
            <w:webHidden/>
          </w:rPr>
          <w:tab/>
        </w:r>
        <w:r w:rsidR="00D30C93">
          <w:rPr>
            <w:noProof/>
            <w:webHidden/>
          </w:rPr>
          <w:fldChar w:fldCharType="begin"/>
        </w:r>
        <w:r w:rsidR="00D30C93">
          <w:rPr>
            <w:noProof/>
            <w:webHidden/>
          </w:rPr>
          <w:instrText xml:space="preserve"> PAGEREF _Toc491854143 \h </w:instrText>
        </w:r>
        <w:r w:rsidR="00D30C93">
          <w:rPr>
            <w:noProof/>
            <w:webHidden/>
          </w:rPr>
        </w:r>
        <w:r w:rsidR="00D30C93">
          <w:rPr>
            <w:noProof/>
            <w:webHidden/>
          </w:rPr>
          <w:fldChar w:fldCharType="separate"/>
        </w:r>
        <w:r w:rsidR="001B3D1D">
          <w:rPr>
            <w:noProof/>
            <w:webHidden/>
          </w:rPr>
          <w:t>103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44" w:history="1">
        <w:r w:rsidR="00D30C93" w:rsidRPr="00F57C6C">
          <w:rPr>
            <w:rStyle w:val="Hyperlink"/>
            <w:noProof/>
            <w:lang w:val="en-US"/>
          </w:rPr>
          <w:t>Article 17.04 Location and arrangement of supply units</w:t>
        </w:r>
        <w:r w:rsidR="00D30C93">
          <w:rPr>
            <w:noProof/>
            <w:webHidden/>
          </w:rPr>
          <w:tab/>
        </w:r>
        <w:r w:rsidR="00D30C93">
          <w:rPr>
            <w:noProof/>
            <w:webHidden/>
          </w:rPr>
          <w:fldChar w:fldCharType="begin"/>
        </w:r>
        <w:r w:rsidR="00D30C93">
          <w:rPr>
            <w:noProof/>
            <w:webHidden/>
          </w:rPr>
          <w:instrText xml:space="preserve"> PAGEREF _Toc491854144 \h </w:instrText>
        </w:r>
        <w:r w:rsidR="00D30C93">
          <w:rPr>
            <w:noProof/>
            <w:webHidden/>
          </w:rPr>
        </w:r>
        <w:r w:rsidR="00D30C93">
          <w:rPr>
            <w:noProof/>
            <w:webHidden/>
          </w:rPr>
          <w:fldChar w:fldCharType="separate"/>
        </w:r>
        <w:r w:rsidR="001B3D1D">
          <w:rPr>
            <w:noProof/>
            <w:webHidden/>
          </w:rPr>
          <w:t>103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45" w:history="1">
        <w:r w:rsidR="00D30C93" w:rsidRPr="00F57C6C">
          <w:rPr>
            <w:rStyle w:val="Hyperlink"/>
            <w:noProof/>
            <w:lang w:val="en-US"/>
          </w:rPr>
          <w:t>Article 17.05 Spare and empty receptacles</w:t>
        </w:r>
        <w:r w:rsidR="00D30C93">
          <w:rPr>
            <w:noProof/>
            <w:webHidden/>
          </w:rPr>
          <w:tab/>
        </w:r>
        <w:r w:rsidR="00D30C93">
          <w:rPr>
            <w:noProof/>
            <w:webHidden/>
          </w:rPr>
          <w:fldChar w:fldCharType="begin"/>
        </w:r>
        <w:r w:rsidR="00D30C93">
          <w:rPr>
            <w:noProof/>
            <w:webHidden/>
          </w:rPr>
          <w:instrText xml:space="preserve"> PAGEREF _Toc491854145 \h </w:instrText>
        </w:r>
        <w:r w:rsidR="00D30C93">
          <w:rPr>
            <w:noProof/>
            <w:webHidden/>
          </w:rPr>
        </w:r>
        <w:r w:rsidR="00D30C93">
          <w:rPr>
            <w:noProof/>
            <w:webHidden/>
          </w:rPr>
          <w:fldChar w:fldCharType="separate"/>
        </w:r>
        <w:r w:rsidR="001B3D1D">
          <w:rPr>
            <w:noProof/>
            <w:webHidden/>
          </w:rPr>
          <w:t>104</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46" w:history="1">
        <w:r w:rsidR="00D30C93" w:rsidRPr="00F57C6C">
          <w:rPr>
            <w:rStyle w:val="Hyperlink"/>
            <w:noProof/>
            <w:lang w:val="en-US"/>
          </w:rPr>
          <w:t>Article 17.06 Pressure regulators</w:t>
        </w:r>
        <w:r w:rsidR="00D30C93">
          <w:rPr>
            <w:noProof/>
            <w:webHidden/>
          </w:rPr>
          <w:tab/>
        </w:r>
        <w:r w:rsidR="00D30C93">
          <w:rPr>
            <w:noProof/>
            <w:webHidden/>
          </w:rPr>
          <w:fldChar w:fldCharType="begin"/>
        </w:r>
        <w:r w:rsidR="00D30C93">
          <w:rPr>
            <w:noProof/>
            <w:webHidden/>
          </w:rPr>
          <w:instrText xml:space="preserve"> PAGEREF _Toc491854146 \h </w:instrText>
        </w:r>
        <w:r w:rsidR="00D30C93">
          <w:rPr>
            <w:noProof/>
            <w:webHidden/>
          </w:rPr>
        </w:r>
        <w:r w:rsidR="00D30C93">
          <w:rPr>
            <w:noProof/>
            <w:webHidden/>
          </w:rPr>
          <w:fldChar w:fldCharType="separate"/>
        </w:r>
        <w:r w:rsidR="001B3D1D">
          <w:rPr>
            <w:noProof/>
            <w:webHidden/>
          </w:rPr>
          <w:t>104</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47" w:history="1">
        <w:r w:rsidR="00D30C93" w:rsidRPr="00F57C6C">
          <w:rPr>
            <w:rStyle w:val="Hyperlink"/>
            <w:noProof/>
            <w:lang w:val="en-US"/>
          </w:rPr>
          <w:t>Article 17.07 Pressure</w:t>
        </w:r>
        <w:r w:rsidR="00D30C93">
          <w:rPr>
            <w:noProof/>
            <w:webHidden/>
          </w:rPr>
          <w:tab/>
        </w:r>
        <w:r w:rsidR="00D30C93">
          <w:rPr>
            <w:noProof/>
            <w:webHidden/>
          </w:rPr>
          <w:fldChar w:fldCharType="begin"/>
        </w:r>
        <w:r w:rsidR="00D30C93">
          <w:rPr>
            <w:noProof/>
            <w:webHidden/>
          </w:rPr>
          <w:instrText xml:space="preserve"> PAGEREF _Toc491854147 \h </w:instrText>
        </w:r>
        <w:r w:rsidR="00D30C93">
          <w:rPr>
            <w:noProof/>
            <w:webHidden/>
          </w:rPr>
        </w:r>
        <w:r w:rsidR="00D30C93">
          <w:rPr>
            <w:noProof/>
            <w:webHidden/>
          </w:rPr>
          <w:fldChar w:fldCharType="separate"/>
        </w:r>
        <w:r w:rsidR="001B3D1D">
          <w:rPr>
            <w:noProof/>
            <w:webHidden/>
          </w:rPr>
          <w:t>105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48" w:history="1">
        <w:r w:rsidR="00D30C93" w:rsidRPr="00F57C6C">
          <w:rPr>
            <w:rStyle w:val="Hyperlink"/>
            <w:noProof/>
            <w:lang w:val="en-US"/>
          </w:rPr>
          <w:t>Article 17.08 Piping and flexible tubes</w:t>
        </w:r>
        <w:r w:rsidR="00D30C93">
          <w:rPr>
            <w:noProof/>
            <w:webHidden/>
          </w:rPr>
          <w:tab/>
        </w:r>
        <w:r w:rsidR="00D30C93">
          <w:rPr>
            <w:noProof/>
            <w:webHidden/>
          </w:rPr>
          <w:fldChar w:fldCharType="begin"/>
        </w:r>
        <w:r w:rsidR="00D30C93">
          <w:rPr>
            <w:noProof/>
            <w:webHidden/>
          </w:rPr>
          <w:instrText xml:space="preserve"> PAGEREF _Toc491854148 \h </w:instrText>
        </w:r>
        <w:r w:rsidR="00D30C93">
          <w:rPr>
            <w:noProof/>
            <w:webHidden/>
          </w:rPr>
        </w:r>
        <w:r w:rsidR="00D30C93">
          <w:rPr>
            <w:noProof/>
            <w:webHidden/>
          </w:rPr>
          <w:fldChar w:fldCharType="separate"/>
        </w:r>
        <w:r w:rsidR="001B3D1D">
          <w:rPr>
            <w:noProof/>
            <w:webHidden/>
          </w:rPr>
          <w:t>105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49" w:history="1">
        <w:r w:rsidR="00D30C93" w:rsidRPr="00F57C6C">
          <w:rPr>
            <w:rStyle w:val="Hyperlink"/>
            <w:noProof/>
            <w:lang w:val="en-US"/>
          </w:rPr>
          <w:t>Article 17.09 Distribution system</w:t>
        </w:r>
        <w:r w:rsidR="00D30C93">
          <w:rPr>
            <w:noProof/>
            <w:webHidden/>
          </w:rPr>
          <w:tab/>
        </w:r>
        <w:r w:rsidR="00D30C93">
          <w:rPr>
            <w:noProof/>
            <w:webHidden/>
          </w:rPr>
          <w:fldChar w:fldCharType="begin"/>
        </w:r>
        <w:r w:rsidR="00D30C93">
          <w:rPr>
            <w:noProof/>
            <w:webHidden/>
          </w:rPr>
          <w:instrText xml:space="preserve"> PAGEREF _Toc491854149 \h </w:instrText>
        </w:r>
        <w:r w:rsidR="00D30C93">
          <w:rPr>
            <w:noProof/>
            <w:webHidden/>
          </w:rPr>
        </w:r>
        <w:r w:rsidR="00D30C93">
          <w:rPr>
            <w:noProof/>
            <w:webHidden/>
          </w:rPr>
          <w:fldChar w:fldCharType="separate"/>
        </w:r>
        <w:r w:rsidR="001B3D1D">
          <w:rPr>
            <w:noProof/>
            <w:webHidden/>
          </w:rPr>
          <w:t>105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50" w:history="1">
        <w:r w:rsidR="00D30C93" w:rsidRPr="00F57C6C">
          <w:rPr>
            <w:rStyle w:val="Hyperlink"/>
            <w:noProof/>
            <w:lang w:val="en-US"/>
          </w:rPr>
          <w:t>Article 17.10 Gas-consuming appliances and their installation</w:t>
        </w:r>
        <w:r w:rsidR="00D30C93">
          <w:rPr>
            <w:noProof/>
            <w:webHidden/>
          </w:rPr>
          <w:tab/>
        </w:r>
        <w:r w:rsidR="00D30C93">
          <w:rPr>
            <w:noProof/>
            <w:webHidden/>
          </w:rPr>
          <w:fldChar w:fldCharType="begin"/>
        </w:r>
        <w:r w:rsidR="00D30C93">
          <w:rPr>
            <w:noProof/>
            <w:webHidden/>
          </w:rPr>
          <w:instrText xml:space="preserve"> PAGEREF _Toc491854150 \h </w:instrText>
        </w:r>
        <w:r w:rsidR="00D30C93">
          <w:rPr>
            <w:noProof/>
            <w:webHidden/>
          </w:rPr>
        </w:r>
        <w:r w:rsidR="00D30C93">
          <w:rPr>
            <w:noProof/>
            <w:webHidden/>
          </w:rPr>
          <w:fldChar w:fldCharType="separate"/>
        </w:r>
        <w:r w:rsidR="001B3D1D">
          <w:rPr>
            <w:noProof/>
            <w:webHidden/>
          </w:rPr>
          <w:t>106</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51" w:history="1">
        <w:r w:rsidR="00D30C93" w:rsidRPr="00F57C6C">
          <w:rPr>
            <w:rStyle w:val="Hyperlink"/>
            <w:noProof/>
            <w:lang w:val="en-US"/>
          </w:rPr>
          <w:t>Article 17.11 Ventilation and evacuation of combustion gases</w:t>
        </w:r>
        <w:r w:rsidR="00D30C93">
          <w:rPr>
            <w:noProof/>
            <w:webHidden/>
          </w:rPr>
          <w:tab/>
        </w:r>
        <w:r w:rsidR="00D30C93">
          <w:rPr>
            <w:noProof/>
            <w:webHidden/>
          </w:rPr>
          <w:fldChar w:fldCharType="begin"/>
        </w:r>
        <w:r w:rsidR="00D30C93">
          <w:rPr>
            <w:noProof/>
            <w:webHidden/>
          </w:rPr>
          <w:instrText xml:space="preserve"> PAGEREF _Toc491854151 \h </w:instrText>
        </w:r>
        <w:r w:rsidR="00D30C93">
          <w:rPr>
            <w:noProof/>
            <w:webHidden/>
          </w:rPr>
        </w:r>
        <w:r w:rsidR="00D30C93">
          <w:rPr>
            <w:noProof/>
            <w:webHidden/>
          </w:rPr>
          <w:fldChar w:fldCharType="separate"/>
        </w:r>
        <w:r w:rsidR="001B3D1D">
          <w:rPr>
            <w:noProof/>
            <w:webHidden/>
          </w:rPr>
          <w:t>106</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52" w:history="1">
        <w:r w:rsidR="00D30C93" w:rsidRPr="00F57C6C">
          <w:rPr>
            <w:rStyle w:val="Hyperlink"/>
            <w:noProof/>
            <w:lang w:val="en-US"/>
          </w:rPr>
          <w:t>Article 17.12 Operating instructions</w:t>
        </w:r>
        <w:r w:rsidR="00D30C93">
          <w:rPr>
            <w:noProof/>
            <w:webHidden/>
          </w:rPr>
          <w:tab/>
        </w:r>
        <w:r w:rsidR="00D30C93">
          <w:rPr>
            <w:noProof/>
            <w:webHidden/>
          </w:rPr>
          <w:fldChar w:fldCharType="begin"/>
        </w:r>
        <w:r w:rsidR="00D30C93">
          <w:rPr>
            <w:noProof/>
            <w:webHidden/>
          </w:rPr>
          <w:instrText xml:space="preserve"> PAGEREF _Toc491854152 \h </w:instrText>
        </w:r>
        <w:r w:rsidR="00D30C93">
          <w:rPr>
            <w:noProof/>
            <w:webHidden/>
          </w:rPr>
        </w:r>
        <w:r w:rsidR="00D30C93">
          <w:rPr>
            <w:noProof/>
            <w:webHidden/>
          </w:rPr>
          <w:fldChar w:fldCharType="separate"/>
        </w:r>
        <w:r w:rsidR="001B3D1D">
          <w:rPr>
            <w:noProof/>
            <w:webHidden/>
          </w:rPr>
          <w:t>107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53" w:history="1">
        <w:r w:rsidR="00D30C93" w:rsidRPr="00F57C6C">
          <w:rPr>
            <w:rStyle w:val="Hyperlink"/>
            <w:noProof/>
            <w:lang w:val="en-US"/>
          </w:rPr>
          <w:t>Article 17.13 Acceptance test</w:t>
        </w:r>
        <w:r w:rsidR="00D30C93">
          <w:rPr>
            <w:noProof/>
            <w:webHidden/>
          </w:rPr>
          <w:tab/>
        </w:r>
        <w:r w:rsidR="00D30C93">
          <w:rPr>
            <w:noProof/>
            <w:webHidden/>
          </w:rPr>
          <w:fldChar w:fldCharType="begin"/>
        </w:r>
        <w:r w:rsidR="00D30C93">
          <w:rPr>
            <w:noProof/>
            <w:webHidden/>
          </w:rPr>
          <w:instrText xml:space="preserve"> PAGEREF _Toc491854153 \h </w:instrText>
        </w:r>
        <w:r w:rsidR="00D30C93">
          <w:rPr>
            <w:noProof/>
            <w:webHidden/>
          </w:rPr>
        </w:r>
        <w:r w:rsidR="00D30C93">
          <w:rPr>
            <w:noProof/>
            <w:webHidden/>
          </w:rPr>
          <w:fldChar w:fldCharType="separate"/>
        </w:r>
        <w:r w:rsidR="001B3D1D">
          <w:rPr>
            <w:noProof/>
            <w:webHidden/>
          </w:rPr>
          <w:t>107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54" w:history="1">
        <w:r w:rsidR="00D30C93" w:rsidRPr="00F57C6C">
          <w:rPr>
            <w:rStyle w:val="Hyperlink"/>
            <w:noProof/>
            <w:lang w:val="en-US"/>
          </w:rPr>
          <w:t>Article 17.14 Test conditions</w:t>
        </w:r>
        <w:r w:rsidR="00D30C93">
          <w:rPr>
            <w:noProof/>
            <w:webHidden/>
          </w:rPr>
          <w:tab/>
        </w:r>
        <w:r w:rsidR="00D30C93">
          <w:rPr>
            <w:noProof/>
            <w:webHidden/>
          </w:rPr>
          <w:fldChar w:fldCharType="begin"/>
        </w:r>
        <w:r w:rsidR="00D30C93">
          <w:rPr>
            <w:noProof/>
            <w:webHidden/>
          </w:rPr>
          <w:instrText xml:space="preserve"> PAGEREF _Toc491854154 \h </w:instrText>
        </w:r>
        <w:r w:rsidR="00D30C93">
          <w:rPr>
            <w:noProof/>
            <w:webHidden/>
          </w:rPr>
        </w:r>
        <w:r w:rsidR="00D30C93">
          <w:rPr>
            <w:noProof/>
            <w:webHidden/>
          </w:rPr>
          <w:fldChar w:fldCharType="separate"/>
        </w:r>
        <w:r w:rsidR="001B3D1D">
          <w:rPr>
            <w:noProof/>
            <w:webHidden/>
          </w:rPr>
          <w:t>107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55" w:history="1">
        <w:r w:rsidR="00D30C93" w:rsidRPr="00F57C6C">
          <w:rPr>
            <w:rStyle w:val="Hyperlink"/>
            <w:noProof/>
            <w:lang w:val="en-US"/>
          </w:rPr>
          <w:t>Article 17.15 Attestation</w:t>
        </w:r>
        <w:r w:rsidR="00D30C93">
          <w:rPr>
            <w:noProof/>
            <w:webHidden/>
          </w:rPr>
          <w:tab/>
        </w:r>
        <w:r w:rsidR="00D30C93">
          <w:rPr>
            <w:noProof/>
            <w:webHidden/>
          </w:rPr>
          <w:fldChar w:fldCharType="begin"/>
        </w:r>
        <w:r w:rsidR="00D30C93">
          <w:rPr>
            <w:noProof/>
            <w:webHidden/>
          </w:rPr>
          <w:instrText xml:space="preserve"> PAGEREF _Toc491854155 \h </w:instrText>
        </w:r>
        <w:r w:rsidR="00D30C93">
          <w:rPr>
            <w:noProof/>
            <w:webHidden/>
          </w:rPr>
        </w:r>
        <w:r w:rsidR="00D30C93">
          <w:rPr>
            <w:noProof/>
            <w:webHidden/>
          </w:rPr>
          <w:fldChar w:fldCharType="separate"/>
        </w:r>
        <w:r w:rsidR="001B3D1D">
          <w:rPr>
            <w:noProof/>
            <w:webHidden/>
          </w:rPr>
          <w:t>108</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156" w:history="1">
        <w:r w:rsidR="00D30C93" w:rsidRPr="00F57C6C">
          <w:rPr>
            <w:rStyle w:val="Hyperlink"/>
            <w:noProof/>
          </w:rPr>
          <w:t>Chapter 18 On-board sewage treatment plants</w:t>
        </w:r>
        <w:r w:rsidR="00E75CE6">
          <w:rPr>
            <w:rStyle w:val="Hyperlink"/>
            <w:noProof/>
          </w:rPr>
          <w:t>………………………</w:t>
        </w:r>
        <w:r w:rsidR="00833229">
          <w:rPr>
            <w:rStyle w:val="Hyperlink"/>
            <w:noProof/>
          </w:rPr>
          <w:t>…………………………</w:t>
        </w:r>
        <w:r w:rsidR="00D30C93">
          <w:rPr>
            <w:noProof/>
            <w:webHidden/>
          </w:rPr>
          <w:fldChar w:fldCharType="begin"/>
        </w:r>
        <w:r w:rsidR="00D30C93">
          <w:rPr>
            <w:noProof/>
            <w:webHidden/>
          </w:rPr>
          <w:instrText xml:space="preserve"> PAGEREF _Toc491854156 \h </w:instrText>
        </w:r>
        <w:r w:rsidR="00D30C93">
          <w:rPr>
            <w:noProof/>
            <w:webHidden/>
          </w:rPr>
        </w:r>
        <w:r w:rsidR="00D30C93">
          <w:rPr>
            <w:noProof/>
            <w:webHidden/>
          </w:rPr>
          <w:fldChar w:fldCharType="separate"/>
        </w:r>
        <w:r w:rsidR="001B3D1D">
          <w:rPr>
            <w:noProof/>
            <w:webHidden/>
          </w:rPr>
          <w:t>109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57" w:history="1">
        <w:r w:rsidR="00D30C93" w:rsidRPr="00F57C6C">
          <w:rPr>
            <w:rStyle w:val="Hyperlink"/>
            <w:noProof/>
            <w:lang w:val="en-US"/>
          </w:rPr>
          <w:t>Article 18.00 Definitions</w:t>
        </w:r>
        <w:r w:rsidR="00D30C93">
          <w:rPr>
            <w:noProof/>
            <w:webHidden/>
          </w:rPr>
          <w:tab/>
        </w:r>
        <w:r w:rsidR="00D30C93">
          <w:rPr>
            <w:noProof/>
            <w:webHidden/>
          </w:rPr>
          <w:fldChar w:fldCharType="begin"/>
        </w:r>
        <w:r w:rsidR="00D30C93">
          <w:rPr>
            <w:noProof/>
            <w:webHidden/>
          </w:rPr>
          <w:instrText xml:space="preserve"> PAGEREF _Toc491854157 \h </w:instrText>
        </w:r>
        <w:r w:rsidR="00D30C93">
          <w:rPr>
            <w:noProof/>
            <w:webHidden/>
          </w:rPr>
        </w:r>
        <w:r w:rsidR="00D30C93">
          <w:rPr>
            <w:noProof/>
            <w:webHidden/>
          </w:rPr>
          <w:fldChar w:fldCharType="separate"/>
        </w:r>
        <w:r w:rsidR="001B3D1D">
          <w:rPr>
            <w:noProof/>
            <w:webHidden/>
          </w:rPr>
          <w:t>109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58" w:history="1">
        <w:r w:rsidR="00D30C93" w:rsidRPr="00F57C6C">
          <w:rPr>
            <w:rStyle w:val="Hyperlink"/>
            <w:noProof/>
            <w:lang w:val="en-US"/>
          </w:rPr>
          <w:t>Article 18.01 General provisions</w:t>
        </w:r>
        <w:r w:rsidR="00D30C93">
          <w:rPr>
            <w:noProof/>
            <w:webHidden/>
          </w:rPr>
          <w:tab/>
        </w:r>
        <w:r w:rsidR="00D30C93">
          <w:rPr>
            <w:noProof/>
            <w:webHidden/>
          </w:rPr>
          <w:fldChar w:fldCharType="begin"/>
        </w:r>
        <w:r w:rsidR="00D30C93">
          <w:rPr>
            <w:noProof/>
            <w:webHidden/>
          </w:rPr>
          <w:instrText xml:space="preserve"> PAGEREF _Toc491854158 \h </w:instrText>
        </w:r>
        <w:r w:rsidR="00D30C93">
          <w:rPr>
            <w:noProof/>
            <w:webHidden/>
          </w:rPr>
        </w:r>
        <w:r w:rsidR="00D30C93">
          <w:rPr>
            <w:noProof/>
            <w:webHidden/>
          </w:rPr>
          <w:fldChar w:fldCharType="separate"/>
        </w:r>
        <w:r w:rsidR="001B3D1D">
          <w:rPr>
            <w:noProof/>
            <w:webHidden/>
          </w:rPr>
          <w:t>110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59" w:history="1">
        <w:r w:rsidR="00D30C93" w:rsidRPr="00F57C6C">
          <w:rPr>
            <w:rStyle w:val="Hyperlink"/>
            <w:noProof/>
            <w:lang w:val="en-US"/>
          </w:rPr>
          <w:t>Article 18.02 Application for type approval</w:t>
        </w:r>
        <w:r w:rsidR="00D30C93">
          <w:rPr>
            <w:noProof/>
            <w:webHidden/>
          </w:rPr>
          <w:tab/>
        </w:r>
        <w:r w:rsidR="00D30C93">
          <w:rPr>
            <w:noProof/>
            <w:webHidden/>
          </w:rPr>
          <w:fldChar w:fldCharType="begin"/>
        </w:r>
        <w:r w:rsidR="00D30C93">
          <w:rPr>
            <w:noProof/>
            <w:webHidden/>
          </w:rPr>
          <w:instrText xml:space="preserve"> PAGEREF _Toc491854159 \h </w:instrText>
        </w:r>
        <w:r w:rsidR="00D30C93">
          <w:rPr>
            <w:noProof/>
            <w:webHidden/>
          </w:rPr>
        </w:r>
        <w:r w:rsidR="00D30C93">
          <w:rPr>
            <w:noProof/>
            <w:webHidden/>
          </w:rPr>
          <w:fldChar w:fldCharType="separate"/>
        </w:r>
        <w:r w:rsidR="001B3D1D">
          <w:rPr>
            <w:noProof/>
            <w:webHidden/>
          </w:rPr>
          <w:t>112</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60" w:history="1">
        <w:r w:rsidR="00D30C93" w:rsidRPr="00F57C6C">
          <w:rPr>
            <w:rStyle w:val="Hyperlink"/>
            <w:noProof/>
            <w:lang w:val="en-US"/>
          </w:rPr>
          <w:t>Article 18.03 Type approval procedure</w:t>
        </w:r>
        <w:r w:rsidR="00D30C93">
          <w:rPr>
            <w:noProof/>
            <w:webHidden/>
          </w:rPr>
          <w:tab/>
        </w:r>
        <w:r w:rsidR="00D30C93">
          <w:rPr>
            <w:noProof/>
            <w:webHidden/>
          </w:rPr>
          <w:fldChar w:fldCharType="begin"/>
        </w:r>
        <w:r w:rsidR="00D30C93">
          <w:rPr>
            <w:noProof/>
            <w:webHidden/>
          </w:rPr>
          <w:instrText xml:space="preserve"> PAGEREF _Toc491854160 \h </w:instrText>
        </w:r>
        <w:r w:rsidR="00D30C93">
          <w:rPr>
            <w:noProof/>
            <w:webHidden/>
          </w:rPr>
        </w:r>
        <w:r w:rsidR="00D30C93">
          <w:rPr>
            <w:noProof/>
            <w:webHidden/>
          </w:rPr>
          <w:fldChar w:fldCharType="separate"/>
        </w:r>
        <w:r w:rsidR="001B3D1D">
          <w:rPr>
            <w:noProof/>
            <w:webHidden/>
          </w:rPr>
          <w:t>112</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61" w:history="1">
        <w:r w:rsidR="00D30C93" w:rsidRPr="00F57C6C">
          <w:rPr>
            <w:rStyle w:val="Hyperlink"/>
            <w:noProof/>
            <w:lang w:val="en-US"/>
          </w:rPr>
          <w:t>Article 18.04 Amendment of type approvals</w:t>
        </w:r>
        <w:r w:rsidR="00D30C93">
          <w:rPr>
            <w:noProof/>
            <w:webHidden/>
          </w:rPr>
          <w:tab/>
        </w:r>
        <w:r w:rsidR="00D30C93">
          <w:rPr>
            <w:noProof/>
            <w:webHidden/>
          </w:rPr>
          <w:fldChar w:fldCharType="begin"/>
        </w:r>
        <w:r w:rsidR="00D30C93">
          <w:rPr>
            <w:noProof/>
            <w:webHidden/>
          </w:rPr>
          <w:instrText xml:space="preserve"> PAGEREF _Toc491854161 \h </w:instrText>
        </w:r>
        <w:r w:rsidR="00D30C93">
          <w:rPr>
            <w:noProof/>
            <w:webHidden/>
          </w:rPr>
        </w:r>
        <w:r w:rsidR="00D30C93">
          <w:rPr>
            <w:noProof/>
            <w:webHidden/>
          </w:rPr>
          <w:fldChar w:fldCharType="separate"/>
        </w:r>
        <w:r w:rsidR="001B3D1D">
          <w:rPr>
            <w:noProof/>
            <w:webHidden/>
          </w:rPr>
          <w:t>113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62" w:history="1">
        <w:r w:rsidR="00D30C93" w:rsidRPr="00F57C6C">
          <w:rPr>
            <w:rStyle w:val="Hyperlink"/>
            <w:noProof/>
            <w:lang w:val="en-US"/>
          </w:rPr>
          <w:t>Article 18.05 Conformity of the type-approval</w:t>
        </w:r>
        <w:r w:rsidR="00D30C93">
          <w:rPr>
            <w:noProof/>
            <w:webHidden/>
          </w:rPr>
          <w:tab/>
        </w:r>
        <w:r w:rsidR="00D30C93">
          <w:rPr>
            <w:noProof/>
            <w:webHidden/>
          </w:rPr>
          <w:fldChar w:fldCharType="begin"/>
        </w:r>
        <w:r w:rsidR="00D30C93">
          <w:rPr>
            <w:noProof/>
            <w:webHidden/>
          </w:rPr>
          <w:instrText xml:space="preserve"> PAGEREF _Toc491854162 \h </w:instrText>
        </w:r>
        <w:r w:rsidR="00D30C93">
          <w:rPr>
            <w:noProof/>
            <w:webHidden/>
          </w:rPr>
        </w:r>
        <w:r w:rsidR="00D30C93">
          <w:rPr>
            <w:noProof/>
            <w:webHidden/>
          </w:rPr>
          <w:fldChar w:fldCharType="separate"/>
        </w:r>
        <w:r w:rsidR="001B3D1D">
          <w:rPr>
            <w:noProof/>
            <w:webHidden/>
          </w:rPr>
          <w:t>114</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63" w:history="1">
        <w:r w:rsidR="00D30C93" w:rsidRPr="00F57C6C">
          <w:rPr>
            <w:rStyle w:val="Hyperlink"/>
            <w:noProof/>
            <w:lang w:val="en-US"/>
          </w:rPr>
          <w:t>Article 18.06 Checking of serial numbers</w:t>
        </w:r>
        <w:r w:rsidR="00D30C93">
          <w:rPr>
            <w:noProof/>
            <w:webHidden/>
          </w:rPr>
          <w:tab/>
        </w:r>
        <w:r w:rsidR="00D30C93">
          <w:rPr>
            <w:noProof/>
            <w:webHidden/>
          </w:rPr>
          <w:fldChar w:fldCharType="begin"/>
        </w:r>
        <w:r w:rsidR="00D30C93">
          <w:rPr>
            <w:noProof/>
            <w:webHidden/>
          </w:rPr>
          <w:instrText xml:space="preserve"> PAGEREF _Toc491854163 \h </w:instrText>
        </w:r>
        <w:r w:rsidR="00D30C93">
          <w:rPr>
            <w:noProof/>
            <w:webHidden/>
          </w:rPr>
        </w:r>
        <w:r w:rsidR="00D30C93">
          <w:rPr>
            <w:noProof/>
            <w:webHidden/>
          </w:rPr>
          <w:fldChar w:fldCharType="separate"/>
        </w:r>
        <w:r w:rsidR="001B3D1D">
          <w:rPr>
            <w:noProof/>
            <w:webHidden/>
          </w:rPr>
          <w:t>114</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64" w:history="1">
        <w:r w:rsidR="00D30C93" w:rsidRPr="00F57C6C">
          <w:rPr>
            <w:rStyle w:val="Hyperlink"/>
            <w:noProof/>
            <w:lang w:val="en-US"/>
          </w:rPr>
          <w:t>Article 18.07 Conformity of production</w:t>
        </w:r>
        <w:r w:rsidR="00D30C93">
          <w:rPr>
            <w:noProof/>
            <w:webHidden/>
          </w:rPr>
          <w:tab/>
        </w:r>
        <w:r w:rsidR="00D30C93">
          <w:rPr>
            <w:noProof/>
            <w:webHidden/>
          </w:rPr>
          <w:fldChar w:fldCharType="begin"/>
        </w:r>
        <w:r w:rsidR="00D30C93">
          <w:rPr>
            <w:noProof/>
            <w:webHidden/>
          </w:rPr>
          <w:instrText xml:space="preserve"> PAGEREF _Toc491854164 \h </w:instrText>
        </w:r>
        <w:r w:rsidR="00D30C93">
          <w:rPr>
            <w:noProof/>
            <w:webHidden/>
          </w:rPr>
        </w:r>
        <w:r w:rsidR="00D30C93">
          <w:rPr>
            <w:noProof/>
            <w:webHidden/>
          </w:rPr>
          <w:fldChar w:fldCharType="separate"/>
        </w:r>
        <w:r w:rsidR="001B3D1D">
          <w:rPr>
            <w:noProof/>
            <w:webHidden/>
          </w:rPr>
          <w:t>115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65" w:history="1">
        <w:r w:rsidR="00D30C93" w:rsidRPr="00F57C6C">
          <w:rPr>
            <w:rStyle w:val="Hyperlink"/>
            <w:noProof/>
            <w:lang w:val="en-US"/>
          </w:rPr>
          <w:t>Article 18.08 Non-conformity with the type-approved on-board sewage treatment plant type</w:t>
        </w:r>
        <w:r w:rsidR="00D30C93">
          <w:rPr>
            <w:noProof/>
            <w:webHidden/>
          </w:rPr>
          <w:tab/>
        </w:r>
        <w:r w:rsidR="00D30C93">
          <w:rPr>
            <w:noProof/>
            <w:webHidden/>
          </w:rPr>
          <w:fldChar w:fldCharType="begin"/>
        </w:r>
        <w:r w:rsidR="00D30C93">
          <w:rPr>
            <w:noProof/>
            <w:webHidden/>
          </w:rPr>
          <w:instrText xml:space="preserve"> PAGEREF _Toc491854165 \h </w:instrText>
        </w:r>
        <w:r w:rsidR="00D30C93">
          <w:rPr>
            <w:noProof/>
            <w:webHidden/>
          </w:rPr>
        </w:r>
        <w:r w:rsidR="00D30C93">
          <w:rPr>
            <w:noProof/>
            <w:webHidden/>
          </w:rPr>
          <w:fldChar w:fldCharType="separate"/>
        </w:r>
        <w:r w:rsidR="001B3D1D">
          <w:rPr>
            <w:noProof/>
            <w:webHidden/>
          </w:rPr>
          <w:t>115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66" w:history="1">
        <w:r w:rsidR="00D30C93" w:rsidRPr="00F57C6C">
          <w:rPr>
            <w:rStyle w:val="Hyperlink"/>
            <w:noProof/>
            <w:lang w:val="en-US"/>
          </w:rPr>
          <w:t>Article 18.09 Random sample measurement / Special test</w:t>
        </w:r>
        <w:r w:rsidR="00D30C93">
          <w:rPr>
            <w:noProof/>
            <w:webHidden/>
          </w:rPr>
          <w:tab/>
        </w:r>
        <w:r w:rsidR="00D30C93">
          <w:rPr>
            <w:noProof/>
            <w:webHidden/>
          </w:rPr>
          <w:fldChar w:fldCharType="begin"/>
        </w:r>
        <w:r w:rsidR="00D30C93">
          <w:rPr>
            <w:noProof/>
            <w:webHidden/>
          </w:rPr>
          <w:instrText xml:space="preserve"> PAGEREF _Toc491854166 \h </w:instrText>
        </w:r>
        <w:r w:rsidR="00D30C93">
          <w:rPr>
            <w:noProof/>
            <w:webHidden/>
          </w:rPr>
        </w:r>
        <w:r w:rsidR="00D30C93">
          <w:rPr>
            <w:noProof/>
            <w:webHidden/>
          </w:rPr>
          <w:fldChar w:fldCharType="separate"/>
        </w:r>
        <w:r w:rsidR="001B3D1D">
          <w:rPr>
            <w:noProof/>
            <w:webHidden/>
          </w:rPr>
          <w:t>116</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67" w:history="1">
        <w:r w:rsidR="00D30C93" w:rsidRPr="00F57C6C">
          <w:rPr>
            <w:rStyle w:val="Hyperlink"/>
            <w:noProof/>
            <w:lang w:val="en-US"/>
          </w:rPr>
          <w:t>Article 18.10 Competent authorities and technical services</w:t>
        </w:r>
        <w:r w:rsidR="00D30C93">
          <w:rPr>
            <w:noProof/>
            <w:webHidden/>
          </w:rPr>
          <w:tab/>
        </w:r>
        <w:r w:rsidR="00D30C93">
          <w:rPr>
            <w:noProof/>
            <w:webHidden/>
          </w:rPr>
          <w:fldChar w:fldCharType="begin"/>
        </w:r>
        <w:r w:rsidR="00D30C93">
          <w:rPr>
            <w:noProof/>
            <w:webHidden/>
          </w:rPr>
          <w:instrText xml:space="preserve"> PAGEREF _Toc491854167 \h </w:instrText>
        </w:r>
        <w:r w:rsidR="00D30C93">
          <w:rPr>
            <w:noProof/>
            <w:webHidden/>
          </w:rPr>
        </w:r>
        <w:r w:rsidR="00D30C93">
          <w:rPr>
            <w:noProof/>
            <w:webHidden/>
          </w:rPr>
          <w:fldChar w:fldCharType="separate"/>
        </w:r>
        <w:r w:rsidR="001B3D1D">
          <w:rPr>
            <w:noProof/>
            <w:webHidden/>
          </w:rPr>
          <w:t>117</w:t>
        </w:r>
        <w:r w:rsidR="00D30C93">
          <w:rPr>
            <w:noProof/>
            <w:webHidden/>
          </w:rPr>
          <w:fldChar w:fldCharType="end"/>
        </w:r>
      </w:hyperlink>
    </w:p>
    <w:p w:rsidR="00D30C93" w:rsidRDefault="00F12BAF">
      <w:pPr>
        <w:pStyle w:val="TOC1"/>
        <w:rPr>
          <w:rFonts w:asciiTheme="minorHAnsi" w:eastAsiaTheme="minorEastAsia" w:hAnsiTheme="minorHAnsi" w:cstheme="minorBidi"/>
          <w:b w:val="0"/>
          <w:bCs w:val="0"/>
          <w:caps w:val="0"/>
          <w:noProof/>
          <w:sz w:val="22"/>
          <w:szCs w:val="22"/>
        </w:rPr>
      </w:pPr>
      <w:hyperlink w:anchor="_Toc491854168" w:history="1">
        <w:r w:rsidR="00D30C93" w:rsidRPr="00F57C6C">
          <w:rPr>
            <w:rStyle w:val="Hyperlink"/>
            <w:noProof/>
          </w:rPr>
          <w:t>PART III SPECIAL PROVISIONS</w:t>
        </w:r>
        <w:r w:rsidR="00D30C93">
          <w:rPr>
            <w:noProof/>
            <w:webHidden/>
          </w:rPr>
          <w:tab/>
        </w:r>
        <w:r w:rsidR="00D30C93">
          <w:rPr>
            <w:noProof/>
            <w:webHidden/>
          </w:rPr>
          <w:fldChar w:fldCharType="begin"/>
        </w:r>
        <w:r w:rsidR="00D30C93">
          <w:rPr>
            <w:noProof/>
            <w:webHidden/>
          </w:rPr>
          <w:instrText xml:space="preserve"> PAGEREF _Toc491854168 \h </w:instrText>
        </w:r>
        <w:r w:rsidR="00D30C93">
          <w:rPr>
            <w:noProof/>
            <w:webHidden/>
          </w:rPr>
        </w:r>
        <w:r w:rsidR="00D30C93">
          <w:rPr>
            <w:noProof/>
            <w:webHidden/>
          </w:rPr>
          <w:fldChar w:fldCharType="separate"/>
        </w:r>
        <w:r w:rsidR="001B3D1D">
          <w:rPr>
            <w:noProof/>
            <w:webHidden/>
          </w:rPr>
          <w:t>119</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169" w:history="1">
        <w:r w:rsidR="00D30C93" w:rsidRPr="00F57C6C">
          <w:rPr>
            <w:rStyle w:val="Hyperlink"/>
            <w:noProof/>
          </w:rPr>
          <w:t>Chapter 19 Special provisions applicable to passenger vessels</w:t>
        </w:r>
        <w:r w:rsidR="00833229">
          <w:rPr>
            <w:rStyle w:val="Hyperlink"/>
            <w:noProof/>
          </w:rPr>
          <w:t>…………………………….</w:t>
        </w:r>
        <w:r w:rsidR="00D30C93">
          <w:rPr>
            <w:noProof/>
            <w:webHidden/>
          </w:rPr>
          <w:fldChar w:fldCharType="begin"/>
        </w:r>
        <w:r w:rsidR="00D30C93">
          <w:rPr>
            <w:noProof/>
            <w:webHidden/>
          </w:rPr>
          <w:instrText xml:space="preserve"> PAGEREF _Toc491854169 \h </w:instrText>
        </w:r>
        <w:r w:rsidR="00D30C93">
          <w:rPr>
            <w:noProof/>
            <w:webHidden/>
          </w:rPr>
        </w:r>
        <w:r w:rsidR="00D30C93">
          <w:rPr>
            <w:noProof/>
            <w:webHidden/>
          </w:rPr>
          <w:fldChar w:fldCharType="separate"/>
        </w:r>
        <w:r w:rsidR="001B3D1D">
          <w:rPr>
            <w:noProof/>
            <w:webHidden/>
          </w:rPr>
          <w:t>119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70" w:history="1">
        <w:r w:rsidR="00D30C93" w:rsidRPr="00F57C6C">
          <w:rPr>
            <w:rStyle w:val="Hyperlink"/>
            <w:noProof/>
            <w:lang w:val="en-US"/>
          </w:rPr>
          <w:t>Article 19.01 General provisions</w:t>
        </w:r>
        <w:r w:rsidR="00D30C93">
          <w:rPr>
            <w:noProof/>
            <w:webHidden/>
          </w:rPr>
          <w:tab/>
        </w:r>
        <w:r w:rsidR="00D30C93">
          <w:rPr>
            <w:noProof/>
            <w:webHidden/>
          </w:rPr>
          <w:fldChar w:fldCharType="begin"/>
        </w:r>
        <w:r w:rsidR="00D30C93">
          <w:rPr>
            <w:noProof/>
            <w:webHidden/>
          </w:rPr>
          <w:instrText xml:space="preserve"> PAGEREF _Toc491854170 \h </w:instrText>
        </w:r>
        <w:r w:rsidR="00D30C93">
          <w:rPr>
            <w:noProof/>
            <w:webHidden/>
          </w:rPr>
        </w:r>
        <w:r w:rsidR="00D30C93">
          <w:rPr>
            <w:noProof/>
            <w:webHidden/>
          </w:rPr>
          <w:fldChar w:fldCharType="separate"/>
        </w:r>
        <w:r w:rsidR="001B3D1D">
          <w:rPr>
            <w:noProof/>
            <w:webHidden/>
          </w:rPr>
          <w:t>119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71" w:history="1">
        <w:r w:rsidR="00D30C93" w:rsidRPr="00F57C6C">
          <w:rPr>
            <w:rStyle w:val="Hyperlink"/>
            <w:noProof/>
            <w:lang w:val="en-US"/>
          </w:rPr>
          <w:t>Article 19.02 Hull</w:t>
        </w:r>
        <w:r w:rsidR="00D30C93">
          <w:rPr>
            <w:noProof/>
            <w:webHidden/>
          </w:rPr>
          <w:tab/>
        </w:r>
        <w:r w:rsidR="00D30C93">
          <w:rPr>
            <w:noProof/>
            <w:webHidden/>
          </w:rPr>
          <w:fldChar w:fldCharType="begin"/>
        </w:r>
        <w:r w:rsidR="00D30C93">
          <w:rPr>
            <w:noProof/>
            <w:webHidden/>
          </w:rPr>
          <w:instrText xml:space="preserve"> PAGEREF _Toc491854171 \h </w:instrText>
        </w:r>
        <w:r w:rsidR="00D30C93">
          <w:rPr>
            <w:noProof/>
            <w:webHidden/>
          </w:rPr>
        </w:r>
        <w:r w:rsidR="00D30C93">
          <w:rPr>
            <w:noProof/>
            <w:webHidden/>
          </w:rPr>
          <w:fldChar w:fldCharType="separate"/>
        </w:r>
        <w:r w:rsidR="001B3D1D">
          <w:rPr>
            <w:noProof/>
            <w:webHidden/>
          </w:rPr>
          <w:t>119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72" w:history="1">
        <w:r w:rsidR="00D30C93" w:rsidRPr="00F57C6C">
          <w:rPr>
            <w:rStyle w:val="Hyperlink"/>
            <w:noProof/>
            <w:lang w:val="en-US"/>
          </w:rPr>
          <w:t>Article 19.03 Stability</w:t>
        </w:r>
        <w:r w:rsidR="00D30C93">
          <w:rPr>
            <w:noProof/>
            <w:webHidden/>
          </w:rPr>
          <w:tab/>
        </w:r>
        <w:r w:rsidR="00D30C93">
          <w:rPr>
            <w:noProof/>
            <w:webHidden/>
          </w:rPr>
          <w:fldChar w:fldCharType="begin"/>
        </w:r>
        <w:r w:rsidR="00D30C93">
          <w:rPr>
            <w:noProof/>
            <w:webHidden/>
          </w:rPr>
          <w:instrText xml:space="preserve"> PAGEREF _Toc491854172 \h </w:instrText>
        </w:r>
        <w:r w:rsidR="00D30C93">
          <w:rPr>
            <w:noProof/>
            <w:webHidden/>
          </w:rPr>
        </w:r>
        <w:r w:rsidR="00D30C93">
          <w:rPr>
            <w:noProof/>
            <w:webHidden/>
          </w:rPr>
          <w:fldChar w:fldCharType="separate"/>
        </w:r>
        <w:r w:rsidR="001B3D1D">
          <w:rPr>
            <w:noProof/>
            <w:webHidden/>
          </w:rPr>
          <w:t>121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73" w:history="1">
        <w:r w:rsidR="00D30C93" w:rsidRPr="00F57C6C">
          <w:rPr>
            <w:rStyle w:val="Hyperlink"/>
            <w:noProof/>
            <w:lang w:val="en-GB"/>
          </w:rPr>
          <w:t>Article 19.04 Safety clearance and freeboard</w:t>
        </w:r>
        <w:r w:rsidR="00D30C93">
          <w:rPr>
            <w:noProof/>
            <w:webHidden/>
          </w:rPr>
          <w:tab/>
        </w:r>
        <w:r w:rsidR="00D30C93">
          <w:rPr>
            <w:noProof/>
            <w:webHidden/>
          </w:rPr>
          <w:fldChar w:fldCharType="begin"/>
        </w:r>
        <w:r w:rsidR="00D30C93">
          <w:rPr>
            <w:noProof/>
            <w:webHidden/>
          </w:rPr>
          <w:instrText xml:space="preserve"> PAGEREF _Toc491854173 \h </w:instrText>
        </w:r>
        <w:r w:rsidR="00D30C93">
          <w:rPr>
            <w:noProof/>
            <w:webHidden/>
          </w:rPr>
        </w:r>
        <w:r w:rsidR="00D30C93">
          <w:rPr>
            <w:noProof/>
            <w:webHidden/>
          </w:rPr>
          <w:fldChar w:fldCharType="separate"/>
        </w:r>
        <w:r w:rsidR="001B3D1D">
          <w:rPr>
            <w:noProof/>
            <w:webHidden/>
          </w:rPr>
          <w:t>127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74" w:history="1">
        <w:r w:rsidR="00D30C93" w:rsidRPr="00F57C6C">
          <w:rPr>
            <w:rStyle w:val="Hyperlink"/>
            <w:noProof/>
            <w:lang w:val="en-GB"/>
          </w:rPr>
          <w:t>Article 19.05 Maximum permitted number of passengers</w:t>
        </w:r>
        <w:r w:rsidR="00D30C93">
          <w:rPr>
            <w:noProof/>
            <w:webHidden/>
          </w:rPr>
          <w:tab/>
        </w:r>
        <w:r w:rsidR="00D30C93">
          <w:rPr>
            <w:noProof/>
            <w:webHidden/>
          </w:rPr>
          <w:fldChar w:fldCharType="begin"/>
        </w:r>
        <w:r w:rsidR="00D30C93">
          <w:rPr>
            <w:noProof/>
            <w:webHidden/>
          </w:rPr>
          <w:instrText xml:space="preserve"> PAGEREF _Toc491854174 \h </w:instrText>
        </w:r>
        <w:r w:rsidR="00D30C93">
          <w:rPr>
            <w:noProof/>
            <w:webHidden/>
          </w:rPr>
        </w:r>
        <w:r w:rsidR="00D30C93">
          <w:rPr>
            <w:noProof/>
            <w:webHidden/>
          </w:rPr>
          <w:fldChar w:fldCharType="separate"/>
        </w:r>
        <w:r w:rsidR="001B3D1D">
          <w:rPr>
            <w:noProof/>
            <w:webHidden/>
          </w:rPr>
          <w:t>127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75" w:history="1">
        <w:r w:rsidR="00D30C93" w:rsidRPr="00F57C6C">
          <w:rPr>
            <w:rStyle w:val="Hyperlink"/>
            <w:noProof/>
            <w:lang w:val="en-US"/>
          </w:rPr>
          <w:t>Article 19.06 Passenger rooms and areas</w:t>
        </w:r>
        <w:r w:rsidR="00D30C93">
          <w:rPr>
            <w:noProof/>
            <w:webHidden/>
          </w:rPr>
          <w:tab/>
        </w:r>
        <w:r w:rsidR="00D30C93">
          <w:rPr>
            <w:noProof/>
            <w:webHidden/>
          </w:rPr>
          <w:fldChar w:fldCharType="begin"/>
        </w:r>
        <w:r w:rsidR="00D30C93">
          <w:rPr>
            <w:noProof/>
            <w:webHidden/>
          </w:rPr>
          <w:instrText xml:space="preserve"> PAGEREF _Toc491854175 \h </w:instrText>
        </w:r>
        <w:r w:rsidR="00D30C93">
          <w:rPr>
            <w:noProof/>
            <w:webHidden/>
          </w:rPr>
        </w:r>
        <w:r w:rsidR="00D30C93">
          <w:rPr>
            <w:noProof/>
            <w:webHidden/>
          </w:rPr>
          <w:fldChar w:fldCharType="separate"/>
        </w:r>
        <w:r w:rsidR="001B3D1D">
          <w:rPr>
            <w:noProof/>
            <w:webHidden/>
          </w:rPr>
          <w:t>128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76" w:history="1">
        <w:r w:rsidR="00D30C93" w:rsidRPr="00F57C6C">
          <w:rPr>
            <w:rStyle w:val="Hyperlink"/>
            <w:noProof/>
            <w:lang w:val="en-GB"/>
          </w:rPr>
          <w:t>Article 19.07 Propulsion system</w:t>
        </w:r>
        <w:r w:rsidR="00D30C93">
          <w:rPr>
            <w:noProof/>
            <w:webHidden/>
          </w:rPr>
          <w:tab/>
        </w:r>
        <w:r w:rsidR="00D30C93">
          <w:rPr>
            <w:noProof/>
            <w:webHidden/>
          </w:rPr>
          <w:fldChar w:fldCharType="begin"/>
        </w:r>
        <w:r w:rsidR="00D30C93">
          <w:rPr>
            <w:noProof/>
            <w:webHidden/>
          </w:rPr>
          <w:instrText xml:space="preserve"> PAGEREF _Toc491854176 \h </w:instrText>
        </w:r>
        <w:r w:rsidR="00D30C93">
          <w:rPr>
            <w:noProof/>
            <w:webHidden/>
          </w:rPr>
        </w:r>
        <w:r w:rsidR="00D30C93">
          <w:rPr>
            <w:noProof/>
            <w:webHidden/>
          </w:rPr>
          <w:fldChar w:fldCharType="separate"/>
        </w:r>
        <w:r w:rsidR="001B3D1D">
          <w:rPr>
            <w:noProof/>
            <w:webHidden/>
          </w:rPr>
          <w:t>132</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77" w:history="1">
        <w:r w:rsidR="00D30C93" w:rsidRPr="00F57C6C">
          <w:rPr>
            <w:rStyle w:val="Hyperlink"/>
            <w:noProof/>
            <w:lang w:val="en-US"/>
          </w:rPr>
          <w:t>Article 19.08 Safety devices and equipment</w:t>
        </w:r>
        <w:r w:rsidR="00D30C93">
          <w:rPr>
            <w:noProof/>
            <w:webHidden/>
          </w:rPr>
          <w:tab/>
        </w:r>
        <w:r w:rsidR="00D30C93">
          <w:rPr>
            <w:noProof/>
            <w:webHidden/>
          </w:rPr>
          <w:fldChar w:fldCharType="begin"/>
        </w:r>
        <w:r w:rsidR="00D30C93">
          <w:rPr>
            <w:noProof/>
            <w:webHidden/>
          </w:rPr>
          <w:instrText xml:space="preserve"> PAGEREF _Toc491854177 \h </w:instrText>
        </w:r>
        <w:r w:rsidR="00D30C93">
          <w:rPr>
            <w:noProof/>
            <w:webHidden/>
          </w:rPr>
        </w:r>
        <w:r w:rsidR="00D30C93">
          <w:rPr>
            <w:noProof/>
            <w:webHidden/>
          </w:rPr>
          <w:fldChar w:fldCharType="separate"/>
        </w:r>
        <w:r w:rsidR="001B3D1D">
          <w:rPr>
            <w:noProof/>
            <w:webHidden/>
          </w:rPr>
          <w:t>132</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78" w:history="1">
        <w:r w:rsidR="00D30C93" w:rsidRPr="00F57C6C">
          <w:rPr>
            <w:rStyle w:val="Hyperlink"/>
            <w:noProof/>
            <w:lang w:val="en-US"/>
          </w:rPr>
          <w:t>Article 19.09 Life-saving equipment</w:t>
        </w:r>
        <w:r w:rsidR="00D30C93">
          <w:rPr>
            <w:noProof/>
            <w:webHidden/>
          </w:rPr>
          <w:tab/>
        </w:r>
        <w:r w:rsidR="00D30C93">
          <w:rPr>
            <w:noProof/>
            <w:webHidden/>
          </w:rPr>
          <w:fldChar w:fldCharType="begin"/>
        </w:r>
        <w:r w:rsidR="00D30C93">
          <w:rPr>
            <w:noProof/>
            <w:webHidden/>
          </w:rPr>
          <w:instrText xml:space="preserve"> PAGEREF _Toc491854178 \h </w:instrText>
        </w:r>
        <w:r w:rsidR="00D30C93">
          <w:rPr>
            <w:noProof/>
            <w:webHidden/>
          </w:rPr>
        </w:r>
        <w:r w:rsidR="00D30C93">
          <w:rPr>
            <w:noProof/>
            <w:webHidden/>
          </w:rPr>
          <w:fldChar w:fldCharType="separate"/>
        </w:r>
        <w:r w:rsidR="001B3D1D">
          <w:rPr>
            <w:noProof/>
            <w:webHidden/>
          </w:rPr>
          <w:t>133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79" w:history="1">
        <w:r w:rsidR="00D30C93" w:rsidRPr="00F57C6C">
          <w:rPr>
            <w:rStyle w:val="Hyperlink"/>
            <w:noProof/>
            <w:lang w:val="en-US"/>
          </w:rPr>
          <w:t>Article 19.10 Electrical Equipment</w:t>
        </w:r>
        <w:r w:rsidR="00D30C93">
          <w:rPr>
            <w:noProof/>
            <w:webHidden/>
          </w:rPr>
          <w:tab/>
        </w:r>
        <w:r w:rsidR="00D30C93">
          <w:rPr>
            <w:noProof/>
            <w:webHidden/>
          </w:rPr>
          <w:fldChar w:fldCharType="begin"/>
        </w:r>
        <w:r w:rsidR="00D30C93">
          <w:rPr>
            <w:noProof/>
            <w:webHidden/>
          </w:rPr>
          <w:instrText xml:space="preserve"> PAGEREF _Toc491854179 \h </w:instrText>
        </w:r>
        <w:r w:rsidR="00D30C93">
          <w:rPr>
            <w:noProof/>
            <w:webHidden/>
          </w:rPr>
        </w:r>
        <w:r w:rsidR="00D30C93">
          <w:rPr>
            <w:noProof/>
            <w:webHidden/>
          </w:rPr>
          <w:fldChar w:fldCharType="separate"/>
        </w:r>
        <w:r w:rsidR="001B3D1D">
          <w:rPr>
            <w:noProof/>
            <w:webHidden/>
          </w:rPr>
          <w:t>135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80" w:history="1">
        <w:r w:rsidR="00D30C93" w:rsidRPr="00F57C6C">
          <w:rPr>
            <w:rStyle w:val="Hyperlink"/>
            <w:noProof/>
            <w:lang w:val="en-US"/>
          </w:rPr>
          <w:t>Article 19.11 Fire protection</w:t>
        </w:r>
        <w:r w:rsidR="00D30C93">
          <w:rPr>
            <w:noProof/>
            <w:webHidden/>
          </w:rPr>
          <w:tab/>
        </w:r>
        <w:r w:rsidR="00D30C93">
          <w:rPr>
            <w:noProof/>
            <w:webHidden/>
          </w:rPr>
          <w:fldChar w:fldCharType="begin"/>
        </w:r>
        <w:r w:rsidR="00D30C93">
          <w:rPr>
            <w:noProof/>
            <w:webHidden/>
          </w:rPr>
          <w:instrText xml:space="preserve"> PAGEREF _Toc491854180 \h </w:instrText>
        </w:r>
        <w:r w:rsidR="00D30C93">
          <w:rPr>
            <w:noProof/>
            <w:webHidden/>
          </w:rPr>
        </w:r>
        <w:r w:rsidR="00D30C93">
          <w:rPr>
            <w:noProof/>
            <w:webHidden/>
          </w:rPr>
          <w:fldChar w:fldCharType="separate"/>
        </w:r>
        <w:r w:rsidR="001B3D1D">
          <w:rPr>
            <w:noProof/>
            <w:webHidden/>
          </w:rPr>
          <w:t>137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81" w:history="1">
        <w:r w:rsidR="00D30C93" w:rsidRPr="00F57C6C">
          <w:rPr>
            <w:rStyle w:val="Hyperlink"/>
            <w:noProof/>
            <w:lang w:val="en-US"/>
          </w:rPr>
          <w:t>Article 19.12 Fire-fighting</w:t>
        </w:r>
        <w:r w:rsidR="00D30C93">
          <w:rPr>
            <w:noProof/>
            <w:webHidden/>
          </w:rPr>
          <w:tab/>
        </w:r>
        <w:r w:rsidR="00D30C93">
          <w:rPr>
            <w:noProof/>
            <w:webHidden/>
          </w:rPr>
          <w:fldChar w:fldCharType="begin"/>
        </w:r>
        <w:r w:rsidR="00D30C93">
          <w:rPr>
            <w:noProof/>
            <w:webHidden/>
          </w:rPr>
          <w:instrText xml:space="preserve"> PAGEREF _Toc491854181 \h </w:instrText>
        </w:r>
        <w:r w:rsidR="00D30C93">
          <w:rPr>
            <w:noProof/>
            <w:webHidden/>
          </w:rPr>
        </w:r>
        <w:r w:rsidR="00D30C93">
          <w:rPr>
            <w:noProof/>
            <w:webHidden/>
          </w:rPr>
          <w:fldChar w:fldCharType="separate"/>
        </w:r>
        <w:r w:rsidR="001B3D1D">
          <w:rPr>
            <w:noProof/>
            <w:webHidden/>
          </w:rPr>
          <w:t>142</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82" w:history="1">
        <w:r w:rsidR="00D30C93" w:rsidRPr="00F57C6C">
          <w:rPr>
            <w:rStyle w:val="Hyperlink"/>
            <w:noProof/>
            <w:lang w:val="en-US"/>
          </w:rPr>
          <w:t>Article 19.13 Safety organisation</w:t>
        </w:r>
        <w:r w:rsidR="00D30C93">
          <w:rPr>
            <w:noProof/>
            <w:webHidden/>
          </w:rPr>
          <w:tab/>
        </w:r>
        <w:r w:rsidR="00D30C93">
          <w:rPr>
            <w:noProof/>
            <w:webHidden/>
          </w:rPr>
          <w:fldChar w:fldCharType="begin"/>
        </w:r>
        <w:r w:rsidR="00D30C93">
          <w:rPr>
            <w:noProof/>
            <w:webHidden/>
          </w:rPr>
          <w:instrText xml:space="preserve"> PAGEREF _Toc491854182 \h </w:instrText>
        </w:r>
        <w:r w:rsidR="00D30C93">
          <w:rPr>
            <w:noProof/>
            <w:webHidden/>
          </w:rPr>
        </w:r>
        <w:r w:rsidR="00D30C93">
          <w:rPr>
            <w:noProof/>
            <w:webHidden/>
          </w:rPr>
          <w:fldChar w:fldCharType="separate"/>
        </w:r>
        <w:r w:rsidR="001B3D1D">
          <w:rPr>
            <w:noProof/>
            <w:webHidden/>
          </w:rPr>
          <w:t>143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83" w:history="1">
        <w:r w:rsidR="00D30C93" w:rsidRPr="00F57C6C">
          <w:rPr>
            <w:rStyle w:val="Hyperlink"/>
            <w:noProof/>
            <w:lang w:val="en-US"/>
          </w:rPr>
          <w:t>Article 19.14 Waste water collection and disposal facilities</w:t>
        </w:r>
        <w:r w:rsidR="00D30C93">
          <w:rPr>
            <w:noProof/>
            <w:webHidden/>
          </w:rPr>
          <w:tab/>
        </w:r>
        <w:r w:rsidR="00D30C93">
          <w:rPr>
            <w:noProof/>
            <w:webHidden/>
          </w:rPr>
          <w:fldChar w:fldCharType="begin"/>
        </w:r>
        <w:r w:rsidR="00D30C93">
          <w:rPr>
            <w:noProof/>
            <w:webHidden/>
          </w:rPr>
          <w:instrText xml:space="preserve"> PAGEREF _Toc491854183 \h </w:instrText>
        </w:r>
        <w:r w:rsidR="00D30C93">
          <w:rPr>
            <w:noProof/>
            <w:webHidden/>
          </w:rPr>
        </w:r>
        <w:r w:rsidR="00D30C93">
          <w:rPr>
            <w:noProof/>
            <w:webHidden/>
          </w:rPr>
          <w:fldChar w:fldCharType="separate"/>
        </w:r>
        <w:r w:rsidR="001B3D1D">
          <w:rPr>
            <w:noProof/>
            <w:webHidden/>
          </w:rPr>
          <w:t>145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84" w:history="1">
        <w:r w:rsidR="00D30C93" w:rsidRPr="00F57C6C">
          <w:rPr>
            <w:rStyle w:val="Hyperlink"/>
            <w:noProof/>
            <w:lang w:val="fr-BE"/>
          </w:rPr>
          <w:t>Article 19.15 Derogations for certain passenger vessels</w:t>
        </w:r>
        <w:r w:rsidR="00D30C93">
          <w:rPr>
            <w:noProof/>
            <w:webHidden/>
          </w:rPr>
          <w:tab/>
        </w:r>
        <w:r w:rsidR="00D30C93">
          <w:rPr>
            <w:noProof/>
            <w:webHidden/>
          </w:rPr>
          <w:fldChar w:fldCharType="begin"/>
        </w:r>
        <w:r w:rsidR="00D30C93">
          <w:rPr>
            <w:noProof/>
            <w:webHidden/>
          </w:rPr>
          <w:instrText xml:space="preserve"> PAGEREF _Toc491854184 \h </w:instrText>
        </w:r>
        <w:r w:rsidR="00D30C93">
          <w:rPr>
            <w:noProof/>
            <w:webHidden/>
          </w:rPr>
        </w:r>
        <w:r w:rsidR="00D30C93">
          <w:rPr>
            <w:noProof/>
            <w:webHidden/>
          </w:rPr>
          <w:fldChar w:fldCharType="separate"/>
        </w:r>
        <w:r w:rsidR="001B3D1D">
          <w:rPr>
            <w:noProof/>
            <w:webHidden/>
          </w:rPr>
          <w:t>145</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185" w:history="1">
        <w:r w:rsidR="00D30C93" w:rsidRPr="00F57C6C">
          <w:rPr>
            <w:rStyle w:val="Hyperlink"/>
            <w:noProof/>
          </w:rPr>
          <w:t>Chapter 20 Special provisions applicable to passenger sailing vessels not navigating on the Rhine (Zone R)</w:t>
        </w:r>
        <w:r w:rsidR="00833229">
          <w:rPr>
            <w:rStyle w:val="Hyperlink"/>
            <w:noProof/>
          </w:rPr>
          <w:t>…………………………………………………………………………………...</w:t>
        </w:r>
        <w:r w:rsidR="00D30C93">
          <w:rPr>
            <w:noProof/>
            <w:webHidden/>
          </w:rPr>
          <w:fldChar w:fldCharType="begin"/>
        </w:r>
        <w:r w:rsidR="00D30C93">
          <w:rPr>
            <w:noProof/>
            <w:webHidden/>
          </w:rPr>
          <w:instrText xml:space="preserve"> PAGEREF _Toc491854185 \h </w:instrText>
        </w:r>
        <w:r w:rsidR="00D30C93">
          <w:rPr>
            <w:noProof/>
            <w:webHidden/>
          </w:rPr>
        </w:r>
        <w:r w:rsidR="00D30C93">
          <w:rPr>
            <w:noProof/>
            <w:webHidden/>
          </w:rPr>
          <w:fldChar w:fldCharType="separate"/>
        </w:r>
        <w:r w:rsidR="001B3D1D">
          <w:rPr>
            <w:noProof/>
            <w:webHidden/>
          </w:rPr>
          <w:t>147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86" w:history="1">
        <w:r w:rsidR="00D30C93" w:rsidRPr="00F57C6C">
          <w:rPr>
            <w:rStyle w:val="Hyperlink"/>
            <w:noProof/>
            <w:lang w:val="en-US"/>
          </w:rPr>
          <w:t>Article 20.01 Application of Parts II and III</w:t>
        </w:r>
        <w:r w:rsidR="00D30C93">
          <w:rPr>
            <w:noProof/>
            <w:webHidden/>
          </w:rPr>
          <w:tab/>
        </w:r>
        <w:r w:rsidR="00D30C93">
          <w:rPr>
            <w:noProof/>
            <w:webHidden/>
          </w:rPr>
          <w:fldChar w:fldCharType="begin"/>
        </w:r>
        <w:r w:rsidR="00D30C93">
          <w:rPr>
            <w:noProof/>
            <w:webHidden/>
          </w:rPr>
          <w:instrText xml:space="preserve"> PAGEREF _Toc491854186 \h </w:instrText>
        </w:r>
        <w:r w:rsidR="00D30C93">
          <w:rPr>
            <w:noProof/>
            <w:webHidden/>
          </w:rPr>
        </w:r>
        <w:r w:rsidR="00D30C93">
          <w:rPr>
            <w:noProof/>
            <w:webHidden/>
          </w:rPr>
          <w:fldChar w:fldCharType="separate"/>
        </w:r>
        <w:r w:rsidR="001B3D1D">
          <w:rPr>
            <w:noProof/>
            <w:webHidden/>
          </w:rPr>
          <w:t>147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87" w:history="1">
        <w:r w:rsidR="00D30C93" w:rsidRPr="00F57C6C">
          <w:rPr>
            <w:rStyle w:val="Hyperlink"/>
            <w:noProof/>
            <w:lang w:val="en-US"/>
          </w:rPr>
          <w:t>Article 20.02 Exceptions for certain passenger sailing vessels</w:t>
        </w:r>
        <w:r w:rsidR="00D30C93">
          <w:rPr>
            <w:noProof/>
            <w:webHidden/>
          </w:rPr>
          <w:tab/>
        </w:r>
        <w:r w:rsidR="00D30C93">
          <w:rPr>
            <w:noProof/>
            <w:webHidden/>
          </w:rPr>
          <w:fldChar w:fldCharType="begin"/>
        </w:r>
        <w:r w:rsidR="00D30C93">
          <w:rPr>
            <w:noProof/>
            <w:webHidden/>
          </w:rPr>
          <w:instrText xml:space="preserve"> PAGEREF _Toc491854187 \h </w:instrText>
        </w:r>
        <w:r w:rsidR="00D30C93">
          <w:rPr>
            <w:noProof/>
            <w:webHidden/>
          </w:rPr>
        </w:r>
        <w:r w:rsidR="00D30C93">
          <w:rPr>
            <w:noProof/>
            <w:webHidden/>
          </w:rPr>
          <w:fldChar w:fldCharType="separate"/>
        </w:r>
        <w:r w:rsidR="001B3D1D">
          <w:rPr>
            <w:noProof/>
            <w:webHidden/>
          </w:rPr>
          <w:t>147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88" w:history="1">
        <w:r w:rsidR="00D30C93" w:rsidRPr="00F57C6C">
          <w:rPr>
            <w:rStyle w:val="Hyperlink"/>
            <w:noProof/>
            <w:lang w:val="en-US"/>
          </w:rPr>
          <w:t>Article 20.03 Stability requirements for vessels under sail</w:t>
        </w:r>
        <w:r w:rsidR="00D30C93">
          <w:rPr>
            <w:noProof/>
            <w:webHidden/>
          </w:rPr>
          <w:tab/>
        </w:r>
        <w:r w:rsidR="00D30C93">
          <w:rPr>
            <w:noProof/>
            <w:webHidden/>
          </w:rPr>
          <w:fldChar w:fldCharType="begin"/>
        </w:r>
        <w:r w:rsidR="00D30C93">
          <w:rPr>
            <w:noProof/>
            <w:webHidden/>
          </w:rPr>
          <w:instrText xml:space="preserve"> PAGEREF _Toc491854188 \h </w:instrText>
        </w:r>
        <w:r w:rsidR="00D30C93">
          <w:rPr>
            <w:noProof/>
            <w:webHidden/>
          </w:rPr>
        </w:r>
        <w:r w:rsidR="00D30C93">
          <w:rPr>
            <w:noProof/>
            <w:webHidden/>
          </w:rPr>
          <w:fldChar w:fldCharType="separate"/>
        </w:r>
        <w:r w:rsidR="001B3D1D">
          <w:rPr>
            <w:noProof/>
            <w:webHidden/>
          </w:rPr>
          <w:t>147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89" w:history="1">
        <w:r w:rsidR="00D30C93" w:rsidRPr="00F57C6C">
          <w:rPr>
            <w:rStyle w:val="Hyperlink"/>
            <w:noProof/>
            <w:lang w:val="en-US"/>
          </w:rPr>
          <w:t>Article 20.04 Shipbuilding and mechanical requirements</w:t>
        </w:r>
        <w:r w:rsidR="00D30C93">
          <w:rPr>
            <w:noProof/>
            <w:webHidden/>
          </w:rPr>
          <w:tab/>
        </w:r>
        <w:r w:rsidR="00D30C93">
          <w:rPr>
            <w:noProof/>
            <w:webHidden/>
          </w:rPr>
          <w:fldChar w:fldCharType="begin"/>
        </w:r>
        <w:r w:rsidR="00D30C93">
          <w:rPr>
            <w:noProof/>
            <w:webHidden/>
          </w:rPr>
          <w:instrText xml:space="preserve"> PAGEREF _Toc491854189 \h </w:instrText>
        </w:r>
        <w:r w:rsidR="00D30C93">
          <w:rPr>
            <w:noProof/>
            <w:webHidden/>
          </w:rPr>
        </w:r>
        <w:r w:rsidR="00D30C93">
          <w:rPr>
            <w:noProof/>
            <w:webHidden/>
          </w:rPr>
          <w:fldChar w:fldCharType="separate"/>
        </w:r>
        <w:r w:rsidR="001B3D1D">
          <w:rPr>
            <w:noProof/>
            <w:webHidden/>
          </w:rPr>
          <w:t>148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90" w:history="1">
        <w:r w:rsidR="00D30C93" w:rsidRPr="00F57C6C">
          <w:rPr>
            <w:rStyle w:val="Hyperlink"/>
            <w:noProof/>
            <w:lang w:val="en-US"/>
          </w:rPr>
          <w:t>Article 20.05 Rigging in general</w:t>
        </w:r>
        <w:r w:rsidR="00D30C93">
          <w:rPr>
            <w:noProof/>
            <w:webHidden/>
          </w:rPr>
          <w:tab/>
        </w:r>
        <w:r w:rsidR="00D30C93">
          <w:rPr>
            <w:noProof/>
            <w:webHidden/>
          </w:rPr>
          <w:fldChar w:fldCharType="begin"/>
        </w:r>
        <w:r w:rsidR="00D30C93">
          <w:rPr>
            <w:noProof/>
            <w:webHidden/>
          </w:rPr>
          <w:instrText xml:space="preserve"> PAGEREF _Toc491854190 \h </w:instrText>
        </w:r>
        <w:r w:rsidR="00D30C93">
          <w:rPr>
            <w:noProof/>
            <w:webHidden/>
          </w:rPr>
        </w:r>
        <w:r w:rsidR="00D30C93">
          <w:rPr>
            <w:noProof/>
            <w:webHidden/>
          </w:rPr>
          <w:fldChar w:fldCharType="separate"/>
        </w:r>
        <w:r w:rsidR="001B3D1D">
          <w:rPr>
            <w:noProof/>
            <w:webHidden/>
          </w:rPr>
          <w:t>148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91" w:history="1">
        <w:r w:rsidR="00D30C93" w:rsidRPr="00F57C6C">
          <w:rPr>
            <w:rStyle w:val="Hyperlink"/>
            <w:noProof/>
            <w:lang w:val="en-US"/>
          </w:rPr>
          <w:t>Article 20.06 Masts and spars in general</w:t>
        </w:r>
        <w:r w:rsidR="00D30C93">
          <w:rPr>
            <w:noProof/>
            <w:webHidden/>
          </w:rPr>
          <w:tab/>
        </w:r>
        <w:r w:rsidR="00D30C93">
          <w:rPr>
            <w:noProof/>
            <w:webHidden/>
          </w:rPr>
          <w:fldChar w:fldCharType="begin"/>
        </w:r>
        <w:r w:rsidR="00D30C93">
          <w:rPr>
            <w:noProof/>
            <w:webHidden/>
          </w:rPr>
          <w:instrText xml:space="preserve"> PAGEREF _Toc491854191 \h </w:instrText>
        </w:r>
        <w:r w:rsidR="00D30C93">
          <w:rPr>
            <w:noProof/>
            <w:webHidden/>
          </w:rPr>
        </w:r>
        <w:r w:rsidR="00D30C93">
          <w:rPr>
            <w:noProof/>
            <w:webHidden/>
          </w:rPr>
          <w:fldChar w:fldCharType="separate"/>
        </w:r>
        <w:r w:rsidR="001B3D1D">
          <w:rPr>
            <w:noProof/>
            <w:webHidden/>
          </w:rPr>
          <w:t>149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92" w:history="1">
        <w:r w:rsidR="00D30C93" w:rsidRPr="00F57C6C">
          <w:rPr>
            <w:rStyle w:val="Hyperlink"/>
            <w:noProof/>
            <w:lang w:val="en-US"/>
          </w:rPr>
          <w:t>Article 20.07 Special provisions for masts</w:t>
        </w:r>
        <w:r w:rsidR="00D30C93">
          <w:rPr>
            <w:noProof/>
            <w:webHidden/>
          </w:rPr>
          <w:tab/>
        </w:r>
        <w:r w:rsidR="00D30C93">
          <w:rPr>
            <w:noProof/>
            <w:webHidden/>
          </w:rPr>
          <w:fldChar w:fldCharType="begin"/>
        </w:r>
        <w:r w:rsidR="00D30C93">
          <w:rPr>
            <w:noProof/>
            <w:webHidden/>
          </w:rPr>
          <w:instrText xml:space="preserve"> PAGEREF _Toc491854192 \h </w:instrText>
        </w:r>
        <w:r w:rsidR="00D30C93">
          <w:rPr>
            <w:noProof/>
            <w:webHidden/>
          </w:rPr>
        </w:r>
        <w:r w:rsidR="00D30C93">
          <w:rPr>
            <w:noProof/>
            <w:webHidden/>
          </w:rPr>
          <w:fldChar w:fldCharType="separate"/>
        </w:r>
        <w:r w:rsidR="001B3D1D">
          <w:rPr>
            <w:noProof/>
            <w:webHidden/>
          </w:rPr>
          <w:t>149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93" w:history="1">
        <w:r w:rsidR="00D30C93" w:rsidRPr="00F57C6C">
          <w:rPr>
            <w:rStyle w:val="Hyperlink"/>
            <w:noProof/>
            <w:lang w:val="en-US"/>
          </w:rPr>
          <w:t>Article 20.08 Special provisions for topmasts</w:t>
        </w:r>
        <w:r w:rsidR="00D30C93">
          <w:rPr>
            <w:noProof/>
            <w:webHidden/>
          </w:rPr>
          <w:tab/>
        </w:r>
        <w:r w:rsidR="00D30C93">
          <w:rPr>
            <w:noProof/>
            <w:webHidden/>
          </w:rPr>
          <w:fldChar w:fldCharType="begin"/>
        </w:r>
        <w:r w:rsidR="00D30C93">
          <w:rPr>
            <w:noProof/>
            <w:webHidden/>
          </w:rPr>
          <w:instrText xml:space="preserve"> PAGEREF _Toc491854193 \h </w:instrText>
        </w:r>
        <w:r w:rsidR="00D30C93">
          <w:rPr>
            <w:noProof/>
            <w:webHidden/>
          </w:rPr>
        </w:r>
        <w:r w:rsidR="00D30C93">
          <w:rPr>
            <w:noProof/>
            <w:webHidden/>
          </w:rPr>
          <w:fldChar w:fldCharType="separate"/>
        </w:r>
        <w:r w:rsidR="001B3D1D">
          <w:rPr>
            <w:noProof/>
            <w:webHidden/>
          </w:rPr>
          <w:t>150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94" w:history="1">
        <w:r w:rsidR="00D30C93" w:rsidRPr="00F57C6C">
          <w:rPr>
            <w:rStyle w:val="Hyperlink"/>
            <w:noProof/>
            <w:lang w:val="en-US"/>
          </w:rPr>
          <w:t>Article 20.09 Special provisions for bowsprits</w:t>
        </w:r>
        <w:r w:rsidR="00D30C93">
          <w:rPr>
            <w:noProof/>
            <w:webHidden/>
          </w:rPr>
          <w:tab/>
        </w:r>
        <w:r w:rsidR="00D30C93">
          <w:rPr>
            <w:noProof/>
            <w:webHidden/>
          </w:rPr>
          <w:fldChar w:fldCharType="begin"/>
        </w:r>
        <w:r w:rsidR="00D30C93">
          <w:rPr>
            <w:noProof/>
            <w:webHidden/>
          </w:rPr>
          <w:instrText xml:space="preserve"> PAGEREF _Toc491854194 \h </w:instrText>
        </w:r>
        <w:r w:rsidR="00D30C93">
          <w:rPr>
            <w:noProof/>
            <w:webHidden/>
          </w:rPr>
        </w:r>
        <w:r w:rsidR="00D30C93">
          <w:rPr>
            <w:noProof/>
            <w:webHidden/>
          </w:rPr>
          <w:fldChar w:fldCharType="separate"/>
        </w:r>
        <w:r w:rsidR="001B3D1D">
          <w:rPr>
            <w:noProof/>
            <w:webHidden/>
          </w:rPr>
          <w:t>151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95" w:history="1">
        <w:r w:rsidR="00D30C93" w:rsidRPr="00F57C6C">
          <w:rPr>
            <w:rStyle w:val="Hyperlink"/>
            <w:noProof/>
            <w:lang w:val="en-US"/>
          </w:rPr>
          <w:t>Article 20.10 Special provisions for jib-booms</w:t>
        </w:r>
        <w:r w:rsidR="00D30C93">
          <w:rPr>
            <w:noProof/>
            <w:webHidden/>
          </w:rPr>
          <w:tab/>
        </w:r>
        <w:r w:rsidR="00D30C93">
          <w:rPr>
            <w:noProof/>
            <w:webHidden/>
          </w:rPr>
          <w:fldChar w:fldCharType="begin"/>
        </w:r>
        <w:r w:rsidR="00D30C93">
          <w:rPr>
            <w:noProof/>
            <w:webHidden/>
          </w:rPr>
          <w:instrText xml:space="preserve"> PAGEREF _Toc491854195 \h </w:instrText>
        </w:r>
        <w:r w:rsidR="00D30C93">
          <w:rPr>
            <w:noProof/>
            <w:webHidden/>
          </w:rPr>
        </w:r>
        <w:r w:rsidR="00D30C93">
          <w:rPr>
            <w:noProof/>
            <w:webHidden/>
          </w:rPr>
          <w:fldChar w:fldCharType="separate"/>
        </w:r>
        <w:r w:rsidR="001B3D1D">
          <w:rPr>
            <w:noProof/>
            <w:webHidden/>
          </w:rPr>
          <w:t>151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96" w:history="1">
        <w:r w:rsidR="00D30C93" w:rsidRPr="00F57C6C">
          <w:rPr>
            <w:rStyle w:val="Hyperlink"/>
            <w:noProof/>
            <w:lang w:val="en-US"/>
          </w:rPr>
          <w:t>Article 20.11 Special provisions for main booms</w:t>
        </w:r>
        <w:r w:rsidR="00D30C93">
          <w:rPr>
            <w:noProof/>
            <w:webHidden/>
          </w:rPr>
          <w:tab/>
        </w:r>
        <w:r w:rsidR="00D30C93">
          <w:rPr>
            <w:noProof/>
            <w:webHidden/>
          </w:rPr>
          <w:fldChar w:fldCharType="begin"/>
        </w:r>
        <w:r w:rsidR="00D30C93">
          <w:rPr>
            <w:noProof/>
            <w:webHidden/>
          </w:rPr>
          <w:instrText xml:space="preserve"> PAGEREF _Toc491854196 \h </w:instrText>
        </w:r>
        <w:r w:rsidR="00D30C93">
          <w:rPr>
            <w:noProof/>
            <w:webHidden/>
          </w:rPr>
        </w:r>
        <w:r w:rsidR="00D30C93">
          <w:rPr>
            <w:noProof/>
            <w:webHidden/>
          </w:rPr>
          <w:fldChar w:fldCharType="separate"/>
        </w:r>
        <w:r w:rsidR="001B3D1D">
          <w:rPr>
            <w:noProof/>
            <w:webHidden/>
          </w:rPr>
          <w:t>152</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97" w:history="1">
        <w:r w:rsidR="00D30C93" w:rsidRPr="00F57C6C">
          <w:rPr>
            <w:rStyle w:val="Hyperlink"/>
            <w:noProof/>
            <w:lang w:val="en-US"/>
          </w:rPr>
          <w:t>Article 20.12 Special provisions for gaffs</w:t>
        </w:r>
        <w:r w:rsidR="00D30C93">
          <w:rPr>
            <w:noProof/>
            <w:webHidden/>
          </w:rPr>
          <w:tab/>
        </w:r>
        <w:r w:rsidR="00D30C93">
          <w:rPr>
            <w:noProof/>
            <w:webHidden/>
          </w:rPr>
          <w:fldChar w:fldCharType="begin"/>
        </w:r>
        <w:r w:rsidR="00D30C93">
          <w:rPr>
            <w:noProof/>
            <w:webHidden/>
          </w:rPr>
          <w:instrText xml:space="preserve"> PAGEREF _Toc491854197 \h </w:instrText>
        </w:r>
        <w:r w:rsidR="00D30C93">
          <w:rPr>
            <w:noProof/>
            <w:webHidden/>
          </w:rPr>
        </w:r>
        <w:r w:rsidR="00D30C93">
          <w:rPr>
            <w:noProof/>
            <w:webHidden/>
          </w:rPr>
          <w:fldChar w:fldCharType="separate"/>
        </w:r>
        <w:r w:rsidR="001B3D1D">
          <w:rPr>
            <w:noProof/>
            <w:webHidden/>
          </w:rPr>
          <w:t>152</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98" w:history="1">
        <w:r w:rsidR="00D30C93" w:rsidRPr="00F57C6C">
          <w:rPr>
            <w:rStyle w:val="Hyperlink"/>
            <w:noProof/>
            <w:lang w:val="en-US"/>
          </w:rPr>
          <w:t>Article 20.13 General provisions for standing and running rigging</w:t>
        </w:r>
        <w:r w:rsidR="00D30C93">
          <w:rPr>
            <w:noProof/>
            <w:webHidden/>
          </w:rPr>
          <w:tab/>
        </w:r>
        <w:r w:rsidR="00D30C93">
          <w:rPr>
            <w:noProof/>
            <w:webHidden/>
          </w:rPr>
          <w:fldChar w:fldCharType="begin"/>
        </w:r>
        <w:r w:rsidR="00D30C93">
          <w:rPr>
            <w:noProof/>
            <w:webHidden/>
          </w:rPr>
          <w:instrText xml:space="preserve"> PAGEREF _Toc491854198 \h </w:instrText>
        </w:r>
        <w:r w:rsidR="00D30C93">
          <w:rPr>
            <w:noProof/>
            <w:webHidden/>
          </w:rPr>
        </w:r>
        <w:r w:rsidR="00D30C93">
          <w:rPr>
            <w:noProof/>
            <w:webHidden/>
          </w:rPr>
          <w:fldChar w:fldCharType="separate"/>
        </w:r>
        <w:r w:rsidR="001B3D1D">
          <w:rPr>
            <w:noProof/>
            <w:webHidden/>
          </w:rPr>
          <w:t>153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199" w:history="1">
        <w:r w:rsidR="00D30C93" w:rsidRPr="00F57C6C">
          <w:rPr>
            <w:rStyle w:val="Hyperlink"/>
            <w:noProof/>
            <w:lang w:val="en-US"/>
          </w:rPr>
          <w:t>Article 20.14 Special provisions for standing rigging</w:t>
        </w:r>
        <w:r w:rsidR="00D30C93">
          <w:rPr>
            <w:noProof/>
            <w:webHidden/>
          </w:rPr>
          <w:tab/>
        </w:r>
        <w:r w:rsidR="00D30C93">
          <w:rPr>
            <w:noProof/>
            <w:webHidden/>
          </w:rPr>
          <w:fldChar w:fldCharType="begin"/>
        </w:r>
        <w:r w:rsidR="00D30C93">
          <w:rPr>
            <w:noProof/>
            <w:webHidden/>
          </w:rPr>
          <w:instrText xml:space="preserve"> PAGEREF _Toc491854199 \h </w:instrText>
        </w:r>
        <w:r w:rsidR="00D30C93">
          <w:rPr>
            <w:noProof/>
            <w:webHidden/>
          </w:rPr>
        </w:r>
        <w:r w:rsidR="00D30C93">
          <w:rPr>
            <w:noProof/>
            <w:webHidden/>
          </w:rPr>
          <w:fldChar w:fldCharType="separate"/>
        </w:r>
        <w:r w:rsidR="001B3D1D">
          <w:rPr>
            <w:noProof/>
            <w:webHidden/>
          </w:rPr>
          <w:t>153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00" w:history="1">
        <w:r w:rsidR="00D30C93" w:rsidRPr="00F57C6C">
          <w:rPr>
            <w:rStyle w:val="Hyperlink"/>
            <w:noProof/>
            <w:lang w:val="en-US"/>
          </w:rPr>
          <w:t>Article 20.15 Special provisions for running rigging</w:t>
        </w:r>
        <w:r w:rsidR="00D30C93">
          <w:rPr>
            <w:noProof/>
            <w:webHidden/>
          </w:rPr>
          <w:tab/>
        </w:r>
        <w:r w:rsidR="00D30C93">
          <w:rPr>
            <w:noProof/>
            <w:webHidden/>
          </w:rPr>
          <w:fldChar w:fldCharType="begin"/>
        </w:r>
        <w:r w:rsidR="00D30C93">
          <w:rPr>
            <w:noProof/>
            <w:webHidden/>
          </w:rPr>
          <w:instrText xml:space="preserve"> PAGEREF _Toc491854200 \h </w:instrText>
        </w:r>
        <w:r w:rsidR="00D30C93">
          <w:rPr>
            <w:noProof/>
            <w:webHidden/>
          </w:rPr>
        </w:r>
        <w:r w:rsidR="00D30C93">
          <w:rPr>
            <w:noProof/>
            <w:webHidden/>
          </w:rPr>
          <w:fldChar w:fldCharType="separate"/>
        </w:r>
        <w:r w:rsidR="001B3D1D">
          <w:rPr>
            <w:noProof/>
            <w:webHidden/>
          </w:rPr>
          <w:t>154</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01" w:history="1">
        <w:r w:rsidR="00D30C93" w:rsidRPr="00F57C6C">
          <w:rPr>
            <w:rStyle w:val="Hyperlink"/>
            <w:noProof/>
            <w:lang w:val="en-US"/>
          </w:rPr>
          <w:t>Article 20.16 Fittings and parts of the rigging</w:t>
        </w:r>
        <w:r w:rsidR="00D30C93">
          <w:rPr>
            <w:noProof/>
            <w:webHidden/>
          </w:rPr>
          <w:tab/>
        </w:r>
        <w:r w:rsidR="00D30C93">
          <w:rPr>
            <w:noProof/>
            <w:webHidden/>
          </w:rPr>
          <w:fldChar w:fldCharType="begin"/>
        </w:r>
        <w:r w:rsidR="00D30C93">
          <w:rPr>
            <w:noProof/>
            <w:webHidden/>
          </w:rPr>
          <w:instrText xml:space="preserve"> PAGEREF _Toc491854201 \h </w:instrText>
        </w:r>
        <w:r w:rsidR="00D30C93">
          <w:rPr>
            <w:noProof/>
            <w:webHidden/>
          </w:rPr>
        </w:r>
        <w:r w:rsidR="00D30C93">
          <w:rPr>
            <w:noProof/>
            <w:webHidden/>
          </w:rPr>
          <w:fldChar w:fldCharType="separate"/>
        </w:r>
        <w:r w:rsidR="001B3D1D">
          <w:rPr>
            <w:noProof/>
            <w:webHidden/>
          </w:rPr>
          <w:t>155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02" w:history="1">
        <w:r w:rsidR="00D30C93" w:rsidRPr="00F57C6C">
          <w:rPr>
            <w:rStyle w:val="Hyperlink"/>
            <w:noProof/>
            <w:lang w:val="en-US"/>
          </w:rPr>
          <w:t>Article 20.17 Sails</w:t>
        </w:r>
        <w:r w:rsidR="00D30C93">
          <w:rPr>
            <w:noProof/>
            <w:webHidden/>
          </w:rPr>
          <w:tab/>
        </w:r>
        <w:r w:rsidR="00D30C93">
          <w:rPr>
            <w:noProof/>
            <w:webHidden/>
          </w:rPr>
          <w:fldChar w:fldCharType="begin"/>
        </w:r>
        <w:r w:rsidR="00D30C93">
          <w:rPr>
            <w:noProof/>
            <w:webHidden/>
          </w:rPr>
          <w:instrText xml:space="preserve"> PAGEREF _Toc491854202 \h </w:instrText>
        </w:r>
        <w:r w:rsidR="00D30C93">
          <w:rPr>
            <w:noProof/>
            <w:webHidden/>
          </w:rPr>
        </w:r>
        <w:r w:rsidR="00D30C93">
          <w:rPr>
            <w:noProof/>
            <w:webHidden/>
          </w:rPr>
          <w:fldChar w:fldCharType="separate"/>
        </w:r>
        <w:r w:rsidR="001B3D1D">
          <w:rPr>
            <w:noProof/>
            <w:webHidden/>
          </w:rPr>
          <w:t>156</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03" w:history="1">
        <w:r w:rsidR="00D30C93" w:rsidRPr="00F57C6C">
          <w:rPr>
            <w:rStyle w:val="Hyperlink"/>
            <w:noProof/>
            <w:lang w:val="en-US"/>
          </w:rPr>
          <w:t>Article 20.18 Equipment</w:t>
        </w:r>
        <w:r w:rsidR="00D30C93">
          <w:rPr>
            <w:noProof/>
            <w:webHidden/>
          </w:rPr>
          <w:tab/>
        </w:r>
        <w:r w:rsidR="00D30C93">
          <w:rPr>
            <w:noProof/>
            <w:webHidden/>
          </w:rPr>
          <w:fldChar w:fldCharType="begin"/>
        </w:r>
        <w:r w:rsidR="00D30C93">
          <w:rPr>
            <w:noProof/>
            <w:webHidden/>
          </w:rPr>
          <w:instrText xml:space="preserve"> PAGEREF _Toc491854203 \h </w:instrText>
        </w:r>
        <w:r w:rsidR="00D30C93">
          <w:rPr>
            <w:noProof/>
            <w:webHidden/>
          </w:rPr>
        </w:r>
        <w:r w:rsidR="00D30C93">
          <w:rPr>
            <w:noProof/>
            <w:webHidden/>
          </w:rPr>
          <w:fldChar w:fldCharType="separate"/>
        </w:r>
        <w:r w:rsidR="001B3D1D">
          <w:rPr>
            <w:noProof/>
            <w:webHidden/>
          </w:rPr>
          <w:t>156</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04" w:history="1">
        <w:r w:rsidR="00D30C93" w:rsidRPr="00F57C6C">
          <w:rPr>
            <w:rStyle w:val="Hyperlink"/>
            <w:noProof/>
            <w:lang w:val="en-US"/>
          </w:rPr>
          <w:t>Article 20.19 Testing</w:t>
        </w:r>
        <w:r w:rsidR="00D30C93">
          <w:rPr>
            <w:noProof/>
            <w:webHidden/>
          </w:rPr>
          <w:tab/>
        </w:r>
        <w:r w:rsidR="00D30C93">
          <w:rPr>
            <w:noProof/>
            <w:webHidden/>
          </w:rPr>
          <w:fldChar w:fldCharType="begin"/>
        </w:r>
        <w:r w:rsidR="00D30C93">
          <w:rPr>
            <w:noProof/>
            <w:webHidden/>
          </w:rPr>
          <w:instrText xml:space="preserve"> PAGEREF _Toc491854204 \h </w:instrText>
        </w:r>
        <w:r w:rsidR="00D30C93">
          <w:rPr>
            <w:noProof/>
            <w:webHidden/>
          </w:rPr>
        </w:r>
        <w:r w:rsidR="00D30C93">
          <w:rPr>
            <w:noProof/>
            <w:webHidden/>
          </w:rPr>
          <w:fldChar w:fldCharType="separate"/>
        </w:r>
        <w:r w:rsidR="001B3D1D">
          <w:rPr>
            <w:noProof/>
            <w:webHidden/>
          </w:rPr>
          <w:t>156</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205" w:history="1">
        <w:r w:rsidR="00D30C93" w:rsidRPr="00F57C6C">
          <w:rPr>
            <w:rStyle w:val="Hyperlink"/>
            <w:noProof/>
          </w:rPr>
          <w:t>Chapter 21 Special provisions applicable to craft intended to form part of a pushed or towed convoy or of a side-by-side formation</w:t>
        </w:r>
        <w:r w:rsidR="00833229">
          <w:rPr>
            <w:rStyle w:val="Hyperlink"/>
            <w:noProof/>
          </w:rPr>
          <w:t>…………………………………………………..</w:t>
        </w:r>
        <w:r w:rsidR="00D30C93">
          <w:rPr>
            <w:noProof/>
            <w:webHidden/>
          </w:rPr>
          <w:fldChar w:fldCharType="begin"/>
        </w:r>
        <w:r w:rsidR="00D30C93">
          <w:rPr>
            <w:noProof/>
            <w:webHidden/>
          </w:rPr>
          <w:instrText xml:space="preserve"> PAGEREF _Toc491854205 \h </w:instrText>
        </w:r>
        <w:r w:rsidR="00D30C93">
          <w:rPr>
            <w:noProof/>
            <w:webHidden/>
          </w:rPr>
        </w:r>
        <w:r w:rsidR="00D30C93">
          <w:rPr>
            <w:noProof/>
            <w:webHidden/>
          </w:rPr>
          <w:fldChar w:fldCharType="separate"/>
        </w:r>
        <w:r w:rsidR="001B3D1D">
          <w:rPr>
            <w:noProof/>
            <w:webHidden/>
          </w:rPr>
          <w:t>157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06" w:history="1">
        <w:r w:rsidR="00D30C93" w:rsidRPr="00F57C6C">
          <w:rPr>
            <w:rStyle w:val="Hyperlink"/>
            <w:noProof/>
            <w:lang w:val="en-US"/>
          </w:rPr>
          <w:t>Article 21.01 Craft suitable for pushing</w:t>
        </w:r>
        <w:r w:rsidR="00D30C93">
          <w:rPr>
            <w:noProof/>
            <w:webHidden/>
          </w:rPr>
          <w:tab/>
        </w:r>
        <w:r w:rsidR="00D30C93">
          <w:rPr>
            <w:noProof/>
            <w:webHidden/>
          </w:rPr>
          <w:fldChar w:fldCharType="begin"/>
        </w:r>
        <w:r w:rsidR="00D30C93">
          <w:rPr>
            <w:noProof/>
            <w:webHidden/>
          </w:rPr>
          <w:instrText xml:space="preserve"> PAGEREF _Toc491854206 \h </w:instrText>
        </w:r>
        <w:r w:rsidR="00D30C93">
          <w:rPr>
            <w:noProof/>
            <w:webHidden/>
          </w:rPr>
        </w:r>
        <w:r w:rsidR="00D30C93">
          <w:rPr>
            <w:noProof/>
            <w:webHidden/>
          </w:rPr>
          <w:fldChar w:fldCharType="separate"/>
        </w:r>
        <w:r w:rsidR="001B3D1D">
          <w:rPr>
            <w:noProof/>
            <w:webHidden/>
          </w:rPr>
          <w:t>157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07" w:history="1">
        <w:r w:rsidR="00D30C93" w:rsidRPr="00F57C6C">
          <w:rPr>
            <w:rStyle w:val="Hyperlink"/>
            <w:noProof/>
            <w:lang w:val="en-US"/>
          </w:rPr>
          <w:t>Article 21.02 Craft suitable for being pushed</w:t>
        </w:r>
        <w:r w:rsidR="00D30C93">
          <w:rPr>
            <w:noProof/>
            <w:webHidden/>
          </w:rPr>
          <w:tab/>
        </w:r>
        <w:r w:rsidR="00D30C93">
          <w:rPr>
            <w:noProof/>
            <w:webHidden/>
          </w:rPr>
          <w:fldChar w:fldCharType="begin"/>
        </w:r>
        <w:r w:rsidR="00D30C93">
          <w:rPr>
            <w:noProof/>
            <w:webHidden/>
          </w:rPr>
          <w:instrText xml:space="preserve"> PAGEREF _Toc491854207 \h </w:instrText>
        </w:r>
        <w:r w:rsidR="00D30C93">
          <w:rPr>
            <w:noProof/>
            <w:webHidden/>
          </w:rPr>
        </w:r>
        <w:r w:rsidR="00D30C93">
          <w:rPr>
            <w:noProof/>
            <w:webHidden/>
          </w:rPr>
          <w:fldChar w:fldCharType="separate"/>
        </w:r>
        <w:r w:rsidR="001B3D1D">
          <w:rPr>
            <w:noProof/>
            <w:webHidden/>
          </w:rPr>
          <w:t>157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08" w:history="1">
        <w:r w:rsidR="00D30C93" w:rsidRPr="00F57C6C">
          <w:rPr>
            <w:rStyle w:val="Hyperlink"/>
            <w:noProof/>
            <w:lang w:val="en-US"/>
          </w:rPr>
          <w:t>Article 21.03 Craft suitable for propelling side-by-side formations</w:t>
        </w:r>
        <w:r w:rsidR="00D30C93">
          <w:rPr>
            <w:noProof/>
            <w:webHidden/>
          </w:rPr>
          <w:tab/>
        </w:r>
        <w:r w:rsidR="00D30C93">
          <w:rPr>
            <w:noProof/>
            <w:webHidden/>
          </w:rPr>
          <w:fldChar w:fldCharType="begin"/>
        </w:r>
        <w:r w:rsidR="00D30C93">
          <w:rPr>
            <w:noProof/>
            <w:webHidden/>
          </w:rPr>
          <w:instrText xml:space="preserve"> PAGEREF _Toc491854208 \h </w:instrText>
        </w:r>
        <w:r w:rsidR="00D30C93">
          <w:rPr>
            <w:noProof/>
            <w:webHidden/>
          </w:rPr>
        </w:r>
        <w:r w:rsidR="00D30C93">
          <w:rPr>
            <w:noProof/>
            <w:webHidden/>
          </w:rPr>
          <w:fldChar w:fldCharType="separate"/>
        </w:r>
        <w:r w:rsidR="001B3D1D">
          <w:rPr>
            <w:noProof/>
            <w:webHidden/>
          </w:rPr>
          <w:t>158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09" w:history="1">
        <w:r w:rsidR="00D30C93" w:rsidRPr="00F57C6C">
          <w:rPr>
            <w:rStyle w:val="Hyperlink"/>
            <w:noProof/>
            <w:lang w:val="en-US"/>
          </w:rPr>
          <w:t>Article 21.04 Craft suitable for being propelled in convoys</w:t>
        </w:r>
        <w:r w:rsidR="00D30C93">
          <w:rPr>
            <w:noProof/>
            <w:webHidden/>
          </w:rPr>
          <w:tab/>
        </w:r>
        <w:r w:rsidR="00D30C93">
          <w:rPr>
            <w:noProof/>
            <w:webHidden/>
          </w:rPr>
          <w:fldChar w:fldCharType="begin"/>
        </w:r>
        <w:r w:rsidR="00D30C93">
          <w:rPr>
            <w:noProof/>
            <w:webHidden/>
          </w:rPr>
          <w:instrText xml:space="preserve"> PAGEREF _Toc491854209 \h </w:instrText>
        </w:r>
        <w:r w:rsidR="00D30C93">
          <w:rPr>
            <w:noProof/>
            <w:webHidden/>
          </w:rPr>
        </w:r>
        <w:r w:rsidR="00D30C93">
          <w:rPr>
            <w:noProof/>
            <w:webHidden/>
          </w:rPr>
          <w:fldChar w:fldCharType="separate"/>
        </w:r>
        <w:r w:rsidR="001B3D1D">
          <w:rPr>
            <w:noProof/>
            <w:webHidden/>
          </w:rPr>
          <w:t>158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10" w:history="1">
        <w:r w:rsidR="00D30C93" w:rsidRPr="00F57C6C">
          <w:rPr>
            <w:rStyle w:val="Hyperlink"/>
            <w:noProof/>
            <w:lang w:val="en-US"/>
          </w:rPr>
          <w:t>Article 21.05 Craft suitable for towing</w:t>
        </w:r>
        <w:r w:rsidR="00D30C93">
          <w:rPr>
            <w:noProof/>
            <w:webHidden/>
          </w:rPr>
          <w:tab/>
        </w:r>
        <w:r w:rsidR="00D30C93">
          <w:rPr>
            <w:noProof/>
            <w:webHidden/>
          </w:rPr>
          <w:fldChar w:fldCharType="begin"/>
        </w:r>
        <w:r w:rsidR="00D30C93">
          <w:rPr>
            <w:noProof/>
            <w:webHidden/>
          </w:rPr>
          <w:instrText xml:space="preserve"> PAGEREF _Toc491854210 \h </w:instrText>
        </w:r>
        <w:r w:rsidR="00D30C93">
          <w:rPr>
            <w:noProof/>
            <w:webHidden/>
          </w:rPr>
        </w:r>
        <w:r w:rsidR="00D30C93">
          <w:rPr>
            <w:noProof/>
            <w:webHidden/>
          </w:rPr>
          <w:fldChar w:fldCharType="separate"/>
        </w:r>
        <w:r w:rsidR="001B3D1D">
          <w:rPr>
            <w:noProof/>
            <w:webHidden/>
          </w:rPr>
          <w:t>158</w:t>
        </w:r>
        <w:r w:rsidR="00D30C93">
          <w:rPr>
            <w:noProof/>
            <w:webHidden/>
          </w:rPr>
          <w:fldChar w:fldCharType="end"/>
        </w:r>
      </w:hyperlink>
    </w:p>
    <w:p w:rsidR="00620A37" w:rsidRDefault="00620A37">
      <w:pPr>
        <w:autoSpaceDE/>
        <w:autoSpaceDN/>
        <w:ind w:left="0" w:firstLine="0"/>
        <w:jc w:val="left"/>
        <w:rPr>
          <w:rStyle w:val="Hyperlink"/>
          <w:i/>
          <w:iCs/>
          <w:noProof/>
          <w:szCs w:val="20"/>
        </w:rPr>
      </w:pPr>
      <w:r>
        <w:rPr>
          <w:rStyle w:val="Hyperlink"/>
          <w:noProof/>
        </w:rPr>
        <w:br w:type="page"/>
      </w:r>
    </w:p>
    <w:p w:rsidR="00D30C93" w:rsidRDefault="00F12BAF">
      <w:pPr>
        <w:pStyle w:val="TOC3"/>
        <w:rPr>
          <w:rFonts w:asciiTheme="minorHAnsi" w:eastAsiaTheme="minorEastAsia" w:hAnsiTheme="minorHAnsi" w:cstheme="minorBidi"/>
          <w:i w:val="0"/>
          <w:iCs w:val="0"/>
          <w:noProof/>
          <w:sz w:val="22"/>
          <w:szCs w:val="22"/>
        </w:rPr>
      </w:pPr>
      <w:hyperlink w:anchor="_Toc491854211" w:history="1">
        <w:r w:rsidR="00D30C93" w:rsidRPr="00F57C6C">
          <w:rPr>
            <w:rStyle w:val="Hyperlink"/>
            <w:noProof/>
            <w:lang w:val="en-GB"/>
          </w:rPr>
          <w:t>Article 21.06 Navigation tests on convoys</w:t>
        </w:r>
        <w:r w:rsidR="00D30C93">
          <w:rPr>
            <w:noProof/>
            <w:webHidden/>
          </w:rPr>
          <w:tab/>
        </w:r>
        <w:r w:rsidR="00D30C93">
          <w:rPr>
            <w:noProof/>
            <w:webHidden/>
          </w:rPr>
          <w:fldChar w:fldCharType="begin"/>
        </w:r>
        <w:r w:rsidR="00D30C93">
          <w:rPr>
            <w:noProof/>
            <w:webHidden/>
          </w:rPr>
          <w:instrText xml:space="preserve"> PAGEREF _Toc491854211 \h </w:instrText>
        </w:r>
        <w:r w:rsidR="00D30C93">
          <w:rPr>
            <w:noProof/>
            <w:webHidden/>
          </w:rPr>
        </w:r>
        <w:r w:rsidR="00D30C93">
          <w:rPr>
            <w:noProof/>
            <w:webHidden/>
          </w:rPr>
          <w:fldChar w:fldCharType="separate"/>
        </w:r>
        <w:r w:rsidR="001B3D1D">
          <w:rPr>
            <w:noProof/>
            <w:webHidden/>
          </w:rPr>
          <w:t>158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12" w:history="1">
        <w:r w:rsidR="00D30C93" w:rsidRPr="00F57C6C">
          <w:rPr>
            <w:rStyle w:val="Hyperlink"/>
            <w:noProof/>
            <w:lang w:val="en-US"/>
          </w:rPr>
          <w:t>Article 21.07 Entries on the inland navigation vessel certificate</w:t>
        </w:r>
        <w:r w:rsidR="00D30C93">
          <w:rPr>
            <w:noProof/>
            <w:webHidden/>
          </w:rPr>
          <w:tab/>
        </w:r>
        <w:r w:rsidR="00D30C93">
          <w:rPr>
            <w:noProof/>
            <w:webHidden/>
          </w:rPr>
          <w:fldChar w:fldCharType="begin"/>
        </w:r>
        <w:r w:rsidR="00D30C93">
          <w:rPr>
            <w:noProof/>
            <w:webHidden/>
          </w:rPr>
          <w:instrText xml:space="preserve"> PAGEREF _Toc491854212 \h </w:instrText>
        </w:r>
        <w:r w:rsidR="00D30C93">
          <w:rPr>
            <w:noProof/>
            <w:webHidden/>
          </w:rPr>
        </w:r>
        <w:r w:rsidR="00D30C93">
          <w:rPr>
            <w:noProof/>
            <w:webHidden/>
          </w:rPr>
          <w:fldChar w:fldCharType="separate"/>
        </w:r>
        <w:r w:rsidR="001B3D1D">
          <w:rPr>
            <w:noProof/>
            <w:webHidden/>
          </w:rPr>
          <w:t>159</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213" w:history="1">
        <w:r w:rsidR="00D30C93" w:rsidRPr="00F57C6C">
          <w:rPr>
            <w:rStyle w:val="Hyperlink"/>
            <w:noProof/>
          </w:rPr>
          <w:t>Chapter 22 Special provisions applicable to floating equipment</w:t>
        </w:r>
        <w:r w:rsidR="00833229">
          <w:rPr>
            <w:rStyle w:val="Hyperlink"/>
            <w:noProof/>
          </w:rPr>
          <w:t>…………………………….</w:t>
        </w:r>
        <w:r w:rsidR="00D30C93">
          <w:rPr>
            <w:noProof/>
            <w:webHidden/>
          </w:rPr>
          <w:fldChar w:fldCharType="begin"/>
        </w:r>
        <w:r w:rsidR="00D30C93">
          <w:rPr>
            <w:noProof/>
            <w:webHidden/>
          </w:rPr>
          <w:instrText xml:space="preserve"> PAGEREF _Toc491854213 \h </w:instrText>
        </w:r>
        <w:r w:rsidR="00D30C93">
          <w:rPr>
            <w:noProof/>
            <w:webHidden/>
          </w:rPr>
        </w:r>
        <w:r w:rsidR="00D30C93">
          <w:rPr>
            <w:noProof/>
            <w:webHidden/>
          </w:rPr>
          <w:fldChar w:fldCharType="separate"/>
        </w:r>
        <w:r w:rsidR="001B3D1D">
          <w:rPr>
            <w:noProof/>
            <w:webHidden/>
          </w:rPr>
          <w:t>161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14" w:history="1">
        <w:r w:rsidR="00D30C93" w:rsidRPr="00F57C6C">
          <w:rPr>
            <w:rStyle w:val="Hyperlink"/>
            <w:noProof/>
            <w:lang w:val="en-US"/>
          </w:rPr>
          <w:t>Article 22.01 General</w:t>
        </w:r>
        <w:r w:rsidR="00D30C93">
          <w:rPr>
            <w:noProof/>
            <w:webHidden/>
          </w:rPr>
          <w:tab/>
        </w:r>
        <w:r w:rsidR="00D30C93">
          <w:rPr>
            <w:noProof/>
            <w:webHidden/>
          </w:rPr>
          <w:fldChar w:fldCharType="begin"/>
        </w:r>
        <w:r w:rsidR="00D30C93">
          <w:rPr>
            <w:noProof/>
            <w:webHidden/>
          </w:rPr>
          <w:instrText xml:space="preserve"> PAGEREF _Toc491854214 \h </w:instrText>
        </w:r>
        <w:r w:rsidR="00D30C93">
          <w:rPr>
            <w:noProof/>
            <w:webHidden/>
          </w:rPr>
        </w:r>
        <w:r w:rsidR="00D30C93">
          <w:rPr>
            <w:noProof/>
            <w:webHidden/>
          </w:rPr>
          <w:fldChar w:fldCharType="separate"/>
        </w:r>
        <w:r w:rsidR="001B3D1D">
          <w:rPr>
            <w:noProof/>
            <w:webHidden/>
          </w:rPr>
          <w:t>161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15" w:history="1">
        <w:r w:rsidR="00D30C93" w:rsidRPr="00F57C6C">
          <w:rPr>
            <w:rStyle w:val="Hyperlink"/>
            <w:noProof/>
            <w:lang w:val="en-US"/>
          </w:rPr>
          <w:t>Article 22.02 Derogations</w:t>
        </w:r>
        <w:r w:rsidR="00D30C93">
          <w:rPr>
            <w:noProof/>
            <w:webHidden/>
          </w:rPr>
          <w:tab/>
        </w:r>
        <w:r w:rsidR="00D30C93">
          <w:rPr>
            <w:noProof/>
            <w:webHidden/>
          </w:rPr>
          <w:fldChar w:fldCharType="begin"/>
        </w:r>
        <w:r w:rsidR="00D30C93">
          <w:rPr>
            <w:noProof/>
            <w:webHidden/>
          </w:rPr>
          <w:instrText xml:space="preserve"> PAGEREF _Toc491854215 \h </w:instrText>
        </w:r>
        <w:r w:rsidR="00D30C93">
          <w:rPr>
            <w:noProof/>
            <w:webHidden/>
          </w:rPr>
        </w:r>
        <w:r w:rsidR="00D30C93">
          <w:rPr>
            <w:noProof/>
            <w:webHidden/>
          </w:rPr>
          <w:fldChar w:fldCharType="separate"/>
        </w:r>
        <w:r w:rsidR="001B3D1D">
          <w:rPr>
            <w:noProof/>
            <w:webHidden/>
          </w:rPr>
          <w:t>161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16" w:history="1">
        <w:r w:rsidR="00D30C93" w:rsidRPr="00F57C6C">
          <w:rPr>
            <w:rStyle w:val="Hyperlink"/>
            <w:noProof/>
            <w:lang w:val="en-US"/>
          </w:rPr>
          <w:t>Article 22.03 Additional requirements</w:t>
        </w:r>
        <w:r w:rsidR="00D30C93">
          <w:rPr>
            <w:noProof/>
            <w:webHidden/>
          </w:rPr>
          <w:tab/>
        </w:r>
        <w:r w:rsidR="00D30C93">
          <w:rPr>
            <w:noProof/>
            <w:webHidden/>
          </w:rPr>
          <w:fldChar w:fldCharType="begin"/>
        </w:r>
        <w:r w:rsidR="00D30C93">
          <w:rPr>
            <w:noProof/>
            <w:webHidden/>
          </w:rPr>
          <w:instrText xml:space="preserve"> PAGEREF _Toc491854216 \h </w:instrText>
        </w:r>
        <w:r w:rsidR="00D30C93">
          <w:rPr>
            <w:noProof/>
            <w:webHidden/>
          </w:rPr>
        </w:r>
        <w:r w:rsidR="00D30C93">
          <w:rPr>
            <w:noProof/>
            <w:webHidden/>
          </w:rPr>
          <w:fldChar w:fldCharType="separate"/>
        </w:r>
        <w:r w:rsidR="001B3D1D">
          <w:rPr>
            <w:noProof/>
            <w:webHidden/>
          </w:rPr>
          <w:t>162</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17" w:history="1">
        <w:r w:rsidR="00D30C93" w:rsidRPr="00F57C6C">
          <w:rPr>
            <w:rStyle w:val="Hyperlink"/>
            <w:noProof/>
            <w:lang w:val="en-US"/>
          </w:rPr>
          <w:t>Article 22.04 Residual safety clearance</w:t>
        </w:r>
        <w:r w:rsidR="00D30C93">
          <w:rPr>
            <w:noProof/>
            <w:webHidden/>
          </w:rPr>
          <w:tab/>
        </w:r>
        <w:r w:rsidR="00D30C93">
          <w:rPr>
            <w:noProof/>
            <w:webHidden/>
          </w:rPr>
          <w:fldChar w:fldCharType="begin"/>
        </w:r>
        <w:r w:rsidR="00D30C93">
          <w:rPr>
            <w:noProof/>
            <w:webHidden/>
          </w:rPr>
          <w:instrText xml:space="preserve"> PAGEREF _Toc491854217 \h </w:instrText>
        </w:r>
        <w:r w:rsidR="00D30C93">
          <w:rPr>
            <w:noProof/>
            <w:webHidden/>
          </w:rPr>
        </w:r>
        <w:r w:rsidR="00D30C93">
          <w:rPr>
            <w:noProof/>
            <w:webHidden/>
          </w:rPr>
          <w:fldChar w:fldCharType="separate"/>
        </w:r>
        <w:r w:rsidR="001B3D1D">
          <w:rPr>
            <w:noProof/>
            <w:webHidden/>
          </w:rPr>
          <w:t>162</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18" w:history="1">
        <w:r w:rsidR="00D30C93" w:rsidRPr="00F57C6C">
          <w:rPr>
            <w:rStyle w:val="Hyperlink"/>
            <w:noProof/>
            <w:lang w:val="en-US"/>
          </w:rPr>
          <w:t>Article 22.05 Residual freeboard</w:t>
        </w:r>
        <w:r w:rsidR="00D30C93">
          <w:rPr>
            <w:noProof/>
            <w:webHidden/>
          </w:rPr>
          <w:tab/>
        </w:r>
        <w:r w:rsidR="00D30C93">
          <w:rPr>
            <w:noProof/>
            <w:webHidden/>
          </w:rPr>
          <w:fldChar w:fldCharType="begin"/>
        </w:r>
        <w:r w:rsidR="00D30C93">
          <w:rPr>
            <w:noProof/>
            <w:webHidden/>
          </w:rPr>
          <w:instrText xml:space="preserve"> PAGEREF _Toc491854218 \h </w:instrText>
        </w:r>
        <w:r w:rsidR="00D30C93">
          <w:rPr>
            <w:noProof/>
            <w:webHidden/>
          </w:rPr>
        </w:r>
        <w:r w:rsidR="00D30C93">
          <w:rPr>
            <w:noProof/>
            <w:webHidden/>
          </w:rPr>
          <w:fldChar w:fldCharType="separate"/>
        </w:r>
        <w:r w:rsidR="001B3D1D">
          <w:rPr>
            <w:noProof/>
            <w:webHidden/>
          </w:rPr>
          <w:t>162</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19" w:history="1">
        <w:r w:rsidR="00D30C93" w:rsidRPr="00F57C6C">
          <w:rPr>
            <w:rStyle w:val="Hyperlink"/>
            <w:noProof/>
            <w:lang w:val="en-US"/>
          </w:rPr>
          <w:t>Article 22.06 Heeling test</w:t>
        </w:r>
        <w:r w:rsidR="00D30C93">
          <w:rPr>
            <w:noProof/>
            <w:webHidden/>
          </w:rPr>
          <w:tab/>
        </w:r>
        <w:r w:rsidR="00D30C93">
          <w:rPr>
            <w:noProof/>
            <w:webHidden/>
          </w:rPr>
          <w:fldChar w:fldCharType="begin"/>
        </w:r>
        <w:r w:rsidR="00D30C93">
          <w:rPr>
            <w:noProof/>
            <w:webHidden/>
          </w:rPr>
          <w:instrText xml:space="preserve"> PAGEREF _Toc491854219 \h </w:instrText>
        </w:r>
        <w:r w:rsidR="00D30C93">
          <w:rPr>
            <w:noProof/>
            <w:webHidden/>
          </w:rPr>
        </w:r>
        <w:r w:rsidR="00D30C93">
          <w:rPr>
            <w:noProof/>
            <w:webHidden/>
          </w:rPr>
          <w:fldChar w:fldCharType="separate"/>
        </w:r>
        <w:r w:rsidR="001B3D1D">
          <w:rPr>
            <w:noProof/>
            <w:webHidden/>
          </w:rPr>
          <w:t>163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20" w:history="1">
        <w:r w:rsidR="00D30C93" w:rsidRPr="00F57C6C">
          <w:rPr>
            <w:rStyle w:val="Hyperlink"/>
            <w:noProof/>
            <w:lang w:val="en-US"/>
          </w:rPr>
          <w:t>Article 22.07 Proof of stability</w:t>
        </w:r>
        <w:r w:rsidR="00D30C93">
          <w:rPr>
            <w:noProof/>
            <w:webHidden/>
          </w:rPr>
          <w:tab/>
        </w:r>
        <w:r w:rsidR="00D30C93">
          <w:rPr>
            <w:noProof/>
            <w:webHidden/>
          </w:rPr>
          <w:fldChar w:fldCharType="begin"/>
        </w:r>
        <w:r w:rsidR="00D30C93">
          <w:rPr>
            <w:noProof/>
            <w:webHidden/>
          </w:rPr>
          <w:instrText xml:space="preserve"> PAGEREF _Toc491854220 \h </w:instrText>
        </w:r>
        <w:r w:rsidR="00D30C93">
          <w:rPr>
            <w:noProof/>
            <w:webHidden/>
          </w:rPr>
        </w:r>
        <w:r w:rsidR="00D30C93">
          <w:rPr>
            <w:noProof/>
            <w:webHidden/>
          </w:rPr>
          <w:fldChar w:fldCharType="separate"/>
        </w:r>
        <w:r w:rsidR="001B3D1D">
          <w:rPr>
            <w:noProof/>
            <w:webHidden/>
          </w:rPr>
          <w:t>163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21" w:history="1">
        <w:r w:rsidR="00D30C93" w:rsidRPr="00F57C6C">
          <w:rPr>
            <w:rStyle w:val="Hyperlink"/>
            <w:noProof/>
            <w:lang w:val="en-US"/>
          </w:rPr>
          <w:t>Article 22.08 Proof of stability in the case of reduced residual freeboard</w:t>
        </w:r>
        <w:r w:rsidR="00D30C93">
          <w:rPr>
            <w:noProof/>
            <w:webHidden/>
          </w:rPr>
          <w:tab/>
        </w:r>
        <w:r w:rsidR="00D30C93">
          <w:rPr>
            <w:noProof/>
            <w:webHidden/>
          </w:rPr>
          <w:fldChar w:fldCharType="begin"/>
        </w:r>
        <w:r w:rsidR="00D30C93">
          <w:rPr>
            <w:noProof/>
            <w:webHidden/>
          </w:rPr>
          <w:instrText xml:space="preserve"> PAGEREF _Toc491854221 \h </w:instrText>
        </w:r>
        <w:r w:rsidR="00D30C93">
          <w:rPr>
            <w:noProof/>
            <w:webHidden/>
          </w:rPr>
        </w:r>
        <w:r w:rsidR="00D30C93">
          <w:rPr>
            <w:noProof/>
            <w:webHidden/>
          </w:rPr>
          <w:fldChar w:fldCharType="separate"/>
        </w:r>
        <w:r w:rsidR="001B3D1D">
          <w:rPr>
            <w:noProof/>
            <w:webHidden/>
          </w:rPr>
          <w:t>165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22" w:history="1">
        <w:r w:rsidR="00D30C93" w:rsidRPr="00F57C6C">
          <w:rPr>
            <w:rStyle w:val="Hyperlink"/>
            <w:noProof/>
            <w:lang w:val="en-US"/>
          </w:rPr>
          <w:t>Article 22.09 Draught marks and draught scales</w:t>
        </w:r>
        <w:r w:rsidR="00D30C93">
          <w:rPr>
            <w:noProof/>
            <w:webHidden/>
          </w:rPr>
          <w:tab/>
        </w:r>
        <w:r w:rsidR="00D30C93">
          <w:rPr>
            <w:noProof/>
            <w:webHidden/>
          </w:rPr>
          <w:fldChar w:fldCharType="begin"/>
        </w:r>
        <w:r w:rsidR="00D30C93">
          <w:rPr>
            <w:noProof/>
            <w:webHidden/>
          </w:rPr>
          <w:instrText xml:space="preserve"> PAGEREF _Toc491854222 \h </w:instrText>
        </w:r>
        <w:r w:rsidR="00D30C93">
          <w:rPr>
            <w:noProof/>
            <w:webHidden/>
          </w:rPr>
        </w:r>
        <w:r w:rsidR="00D30C93">
          <w:rPr>
            <w:noProof/>
            <w:webHidden/>
          </w:rPr>
          <w:fldChar w:fldCharType="separate"/>
        </w:r>
        <w:r w:rsidR="001B3D1D">
          <w:rPr>
            <w:noProof/>
            <w:webHidden/>
          </w:rPr>
          <w:t>166</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23" w:history="1">
        <w:r w:rsidR="00D30C93" w:rsidRPr="00F57C6C">
          <w:rPr>
            <w:rStyle w:val="Hyperlink"/>
            <w:noProof/>
            <w:lang w:val="en-US"/>
          </w:rPr>
          <w:t>Article 22.10 Floating equipment without proof of stability</w:t>
        </w:r>
        <w:r w:rsidR="00D30C93">
          <w:rPr>
            <w:noProof/>
            <w:webHidden/>
          </w:rPr>
          <w:tab/>
        </w:r>
        <w:r w:rsidR="00D30C93">
          <w:rPr>
            <w:noProof/>
            <w:webHidden/>
          </w:rPr>
          <w:fldChar w:fldCharType="begin"/>
        </w:r>
        <w:r w:rsidR="00D30C93">
          <w:rPr>
            <w:noProof/>
            <w:webHidden/>
          </w:rPr>
          <w:instrText xml:space="preserve"> PAGEREF _Toc491854223 \h </w:instrText>
        </w:r>
        <w:r w:rsidR="00D30C93">
          <w:rPr>
            <w:noProof/>
            <w:webHidden/>
          </w:rPr>
        </w:r>
        <w:r w:rsidR="00D30C93">
          <w:rPr>
            <w:noProof/>
            <w:webHidden/>
          </w:rPr>
          <w:fldChar w:fldCharType="separate"/>
        </w:r>
        <w:r w:rsidR="001B3D1D">
          <w:rPr>
            <w:noProof/>
            <w:webHidden/>
          </w:rPr>
          <w:t>166</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224" w:history="1">
        <w:r w:rsidR="00D30C93" w:rsidRPr="00F57C6C">
          <w:rPr>
            <w:rStyle w:val="Hyperlink"/>
            <w:noProof/>
          </w:rPr>
          <w:t>Chapter 23 Special provisions applicable to worksite craft</w:t>
        </w:r>
        <w:r w:rsidR="00833229">
          <w:rPr>
            <w:webHidden/>
          </w:rPr>
          <w:t>…………………………………</w:t>
        </w:r>
        <w:r w:rsidR="00D30C93">
          <w:rPr>
            <w:noProof/>
            <w:webHidden/>
          </w:rPr>
          <w:fldChar w:fldCharType="begin"/>
        </w:r>
        <w:r w:rsidR="00D30C93">
          <w:rPr>
            <w:noProof/>
            <w:webHidden/>
          </w:rPr>
          <w:instrText xml:space="preserve"> PAGEREF _Toc491854224 \h </w:instrText>
        </w:r>
        <w:r w:rsidR="00D30C93">
          <w:rPr>
            <w:noProof/>
            <w:webHidden/>
          </w:rPr>
        </w:r>
        <w:r w:rsidR="00D30C93">
          <w:rPr>
            <w:noProof/>
            <w:webHidden/>
          </w:rPr>
          <w:fldChar w:fldCharType="separate"/>
        </w:r>
        <w:r w:rsidR="001B3D1D">
          <w:rPr>
            <w:noProof/>
            <w:webHidden/>
          </w:rPr>
          <w:t>167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25" w:history="1">
        <w:r w:rsidR="00D30C93" w:rsidRPr="00F57C6C">
          <w:rPr>
            <w:rStyle w:val="Hyperlink"/>
            <w:noProof/>
            <w:lang w:val="en-US"/>
          </w:rPr>
          <w:t>Article 23.01 Operating conditions</w:t>
        </w:r>
        <w:r w:rsidR="00D30C93">
          <w:rPr>
            <w:noProof/>
            <w:webHidden/>
          </w:rPr>
          <w:tab/>
        </w:r>
        <w:r w:rsidR="00D30C93">
          <w:rPr>
            <w:noProof/>
            <w:webHidden/>
          </w:rPr>
          <w:fldChar w:fldCharType="begin"/>
        </w:r>
        <w:r w:rsidR="00D30C93">
          <w:rPr>
            <w:noProof/>
            <w:webHidden/>
          </w:rPr>
          <w:instrText xml:space="preserve"> PAGEREF _Toc491854225 \h </w:instrText>
        </w:r>
        <w:r w:rsidR="00D30C93">
          <w:rPr>
            <w:noProof/>
            <w:webHidden/>
          </w:rPr>
        </w:r>
        <w:r w:rsidR="00D30C93">
          <w:rPr>
            <w:noProof/>
            <w:webHidden/>
          </w:rPr>
          <w:fldChar w:fldCharType="separate"/>
        </w:r>
        <w:r w:rsidR="001B3D1D">
          <w:rPr>
            <w:noProof/>
            <w:webHidden/>
          </w:rPr>
          <w:t>167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26" w:history="1">
        <w:r w:rsidR="00D30C93" w:rsidRPr="00F57C6C">
          <w:rPr>
            <w:rStyle w:val="Hyperlink"/>
            <w:noProof/>
            <w:lang w:val="en-US"/>
          </w:rPr>
          <w:t>Article 23.02 Application of Part II</w:t>
        </w:r>
        <w:r w:rsidR="00D30C93">
          <w:rPr>
            <w:noProof/>
            <w:webHidden/>
          </w:rPr>
          <w:tab/>
        </w:r>
        <w:r w:rsidR="00D30C93">
          <w:rPr>
            <w:noProof/>
            <w:webHidden/>
          </w:rPr>
          <w:fldChar w:fldCharType="begin"/>
        </w:r>
        <w:r w:rsidR="00D30C93">
          <w:rPr>
            <w:noProof/>
            <w:webHidden/>
          </w:rPr>
          <w:instrText xml:space="preserve"> PAGEREF _Toc491854226 \h </w:instrText>
        </w:r>
        <w:r w:rsidR="00D30C93">
          <w:rPr>
            <w:noProof/>
            <w:webHidden/>
          </w:rPr>
        </w:r>
        <w:r w:rsidR="00D30C93">
          <w:rPr>
            <w:noProof/>
            <w:webHidden/>
          </w:rPr>
          <w:fldChar w:fldCharType="separate"/>
        </w:r>
        <w:r w:rsidR="001B3D1D">
          <w:rPr>
            <w:noProof/>
            <w:webHidden/>
          </w:rPr>
          <w:t>167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27" w:history="1">
        <w:r w:rsidR="00D30C93" w:rsidRPr="00F57C6C">
          <w:rPr>
            <w:rStyle w:val="Hyperlink"/>
            <w:noProof/>
            <w:lang w:val="en-US"/>
          </w:rPr>
          <w:t>Article 23.03 Derogations</w:t>
        </w:r>
        <w:r w:rsidR="00D30C93">
          <w:rPr>
            <w:noProof/>
            <w:webHidden/>
          </w:rPr>
          <w:tab/>
        </w:r>
        <w:r w:rsidR="00D30C93">
          <w:rPr>
            <w:noProof/>
            <w:webHidden/>
          </w:rPr>
          <w:fldChar w:fldCharType="begin"/>
        </w:r>
        <w:r w:rsidR="00D30C93">
          <w:rPr>
            <w:noProof/>
            <w:webHidden/>
          </w:rPr>
          <w:instrText xml:space="preserve"> PAGEREF _Toc491854227 \h </w:instrText>
        </w:r>
        <w:r w:rsidR="00D30C93">
          <w:rPr>
            <w:noProof/>
            <w:webHidden/>
          </w:rPr>
        </w:r>
        <w:r w:rsidR="00D30C93">
          <w:rPr>
            <w:noProof/>
            <w:webHidden/>
          </w:rPr>
          <w:fldChar w:fldCharType="separate"/>
        </w:r>
        <w:r w:rsidR="001B3D1D">
          <w:rPr>
            <w:noProof/>
            <w:webHidden/>
          </w:rPr>
          <w:t>167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28" w:history="1">
        <w:r w:rsidR="00D30C93" w:rsidRPr="00F57C6C">
          <w:rPr>
            <w:rStyle w:val="Hyperlink"/>
            <w:noProof/>
            <w:lang w:val="en-US"/>
          </w:rPr>
          <w:t>Article 23.04 Safety clearance and freeboard</w:t>
        </w:r>
        <w:r w:rsidR="00D30C93">
          <w:rPr>
            <w:noProof/>
            <w:webHidden/>
          </w:rPr>
          <w:tab/>
        </w:r>
        <w:r w:rsidR="00D30C93">
          <w:rPr>
            <w:noProof/>
            <w:webHidden/>
          </w:rPr>
          <w:fldChar w:fldCharType="begin"/>
        </w:r>
        <w:r w:rsidR="00D30C93">
          <w:rPr>
            <w:noProof/>
            <w:webHidden/>
          </w:rPr>
          <w:instrText xml:space="preserve"> PAGEREF _Toc491854228 \h </w:instrText>
        </w:r>
        <w:r w:rsidR="00D30C93">
          <w:rPr>
            <w:noProof/>
            <w:webHidden/>
          </w:rPr>
        </w:r>
        <w:r w:rsidR="00D30C93">
          <w:rPr>
            <w:noProof/>
            <w:webHidden/>
          </w:rPr>
          <w:fldChar w:fldCharType="separate"/>
        </w:r>
        <w:r w:rsidR="001B3D1D">
          <w:rPr>
            <w:noProof/>
            <w:webHidden/>
          </w:rPr>
          <w:t>168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29" w:history="1">
        <w:r w:rsidR="00D30C93" w:rsidRPr="00F57C6C">
          <w:rPr>
            <w:rStyle w:val="Hyperlink"/>
            <w:noProof/>
            <w:lang w:val="en-US"/>
          </w:rPr>
          <w:t>Article 23.05 Ship's boats</w:t>
        </w:r>
        <w:r w:rsidR="00D30C93">
          <w:rPr>
            <w:noProof/>
            <w:webHidden/>
          </w:rPr>
          <w:tab/>
        </w:r>
        <w:r w:rsidR="00D30C93">
          <w:rPr>
            <w:noProof/>
            <w:webHidden/>
          </w:rPr>
          <w:fldChar w:fldCharType="begin"/>
        </w:r>
        <w:r w:rsidR="00D30C93">
          <w:rPr>
            <w:noProof/>
            <w:webHidden/>
          </w:rPr>
          <w:instrText xml:space="preserve"> PAGEREF _Toc491854229 \h </w:instrText>
        </w:r>
        <w:r w:rsidR="00D30C93">
          <w:rPr>
            <w:noProof/>
            <w:webHidden/>
          </w:rPr>
        </w:r>
        <w:r w:rsidR="00D30C93">
          <w:rPr>
            <w:noProof/>
            <w:webHidden/>
          </w:rPr>
          <w:fldChar w:fldCharType="separate"/>
        </w:r>
        <w:r w:rsidR="001B3D1D">
          <w:rPr>
            <w:noProof/>
            <w:webHidden/>
          </w:rPr>
          <w:t>168</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230" w:history="1">
        <w:r w:rsidR="00D30C93" w:rsidRPr="00F57C6C">
          <w:rPr>
            <w:rStyle w:val="Hyperlink"/>
            <w:noProof/>
          </w:rPr>
          <w:t>Chapter 24 Special provisions applicable to traditional craft</w:t>
        </w:r>
        <w:r w:rsidR="00FD690D">
          <w:rPr>
            <w:rStyle w:val="Hyperlink"/>
            <w:noProof/>
          </w:rPr>
          <w:t>……………………………….</w:t>
        </w:r>
        <w:r w:rsidR="00D30C93">
          <w:rPr>
            <w:noProof/>
            <w:webHidden/>
          </w:rPr>
          <w:fldChar w:fldCharType="begin"/>
        </w:r>
        <w:r w:rsidR="00D30C93">
          <w:rPr>
            <w:noProof/>
            <w:webHidden/>
          </w:rPr>
          <w:instrText xml:space="preserve"> PAGEREF _Toc491854230 \h </w:instrText>
        </w:r>
        <w:r w:rsidR="00D30C93">
          <w:rPr>
            <w:noProof/>
            <w:webHidden/>
          </w:rPr>
        </w:r>
        <w:r w:rsidR="00D30C93">
          <w:rPr>
            <w:noProof/>
            <w:webHidden/>
          </w:rPr>
          <w:fldChar w:fldCharType="separate"/>
        </w:r>
        <w:r w:rsidR="001B3D1D">
          <w:rPr>
            <w:noProof/>
            <w:webHidden/>
          </w:rPr>
          <w:t>169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31" w:history="1">
        <w:r w:rsidR="00D30C93" w:rsidRPr="00F57C6C">
          <w:rPr>
            <w:rStyle w:val="Hyperlink"/>
            <w:noProof/>
            <w:lang w:val="en-US"/>
          </w:rPr>
          <w:t>Article 24.01 Application of Parts II and III</w:t>
        </w:r>
        <w:r w:rsidR="00D30C93">
          <w:rPr>
            <w:noProof/>
            <w:webHidden/>
          </w:rPr>
          <w:tab/>
        </w:r>
        <w:r w:rsidR="00D30C93">
          <w:rPr>
            <w:noProof/>
            <w:webHidden/>
          </w:rPr>
          <w:fldChar w:fldCharType="begin"/>
        </w:r>
        <w:r w:rsidR="00D30C93">
          <w:rPr>
            <w:noProof/>
            <w:webHidden/>
          </w:rPr>
          <w:instrText xml:space="preserve"> PAGEREF _Toc491854231 \h </w:instrText>
        </w:r>
        <w:r w:rsidR="00D30C93">
          <w:rPr>
            <w:noProof/>
            <w:webHidden/>
          </w:rPr>
        </w:r>
        <w:r w:rsidR="00D30C93">
          <w:rPr>
            <w:noProof/>
            <w:webHidden/>
          </w:rPr>
          <w:fldChar w:fldCharType="separate"/>
        </w:r>
        <w:r w:rsidR="001B3D1D">
          <w:rPr>
            <w:noProof/>
            <w:webHidden/>
          </w:rPr>
          <w:t>169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32" w:history="1">
        <w:r w:rsidR="00D30C93" w:rsidRPr="00F57C6C">
          <w:rPr>
            <w:rStyle w:val="Hyperlink"/>
            <w:noProof/>
            <w:lang w:val="en-US"/>
          </w:rPr>
          <w:t xml:space="preserve">Article 24.02 Recognition and entry in the </w:t>
        </w:r>
        <w:r w:rsidR="00D30C93" w:rsidRPr="00F57C6C">
          <w:rPr>
            <w:rStyle w:val="Hyperlink"/>
            <w:rFonts w:cs="Arial"/>
            <w:noProof/>
            <w:lang w:val="en-US"/>
          </w:rPr>
          <w:t>inland navigation vessel certificate</w:t>
        </w:r>
        <w:r w:rsidR="00D30C93">
          <w:rPr>
            <w:noProof/>
            <w:webHidden/>
          </w:rPr>
          <w:tab/>
        </w:r>
        <w:r w:rsidR="00D30C93">
          <w:rPr>
            <w:noProof/>
            <w:webHidden/>
          </w:rPr>
          <w:fldChar w:fldCharType="begin"/>
        </w:r>
        <w:r w:rsidR="00D30C93">
          <w:rPr>
            <w:noProof/>
            <w:webHidden/>
          </w:rPr>
          <w:instrText xml:space="preserve"> PAGEREF _Toc491854232 \h </w:instrText>
        </w:r>
        <w:r w:rsidR="00D30C93">
          <w:rPr>
            <w:noProof/>
            <w:webHidden/>
          </w:rPr>
        </w:r>
        <w:r w:rsidR="00D30C93">
          <w:rPr>
            <w:noProof/>
            <w:webHidden/>
          </w:rPr>
          <w:fldChar w:fldCharType="separate"/>
        </w:r>
        <w:r w:rsidR="001B3D1D">
          <w:rPr>
            <w:noProof/>
            <w:webHidden/>
          </w:rPr>
          <w:t>169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33" w:history="1">
        <w:r w:rsidR="00D30C93" w:rsidRPr="00F57C6C">
          <w:rPr>
            <w:rStyle w:val="Hyperlink"/>
            <w:noProof/>
            <w:lang w:val="en-US"/>
          </w:rPr>
          <w:t>Article 24.03 Other provisions and requirements</w:t>
        </w:r>
        <w:r w:rsidR="00D30C93">
          <w:rPr>
            <w:noProof/>
            <w:webHidden/>
          </w:rPr>
          <w:tab/>
        </w:r>
        <w:r w:rsidR="00D30C93">
          <w:rPr>
            <w:noProof/>
            <w:webHidden/>
          </w:rPr>
          <w:fldChar w:fldCharType="begin"/>
        </w:r>
        <w:r w:rsidR="00D30C93">
          <w:rPr>
            <w:noProof/>
            <w:webHidden/>
          </w:rPr>
          <w:instrText xml:space="preserve"> PAGEREF _Toc491854233 \h </w:instrText>
        </w:r>
        <w:r w:rsidR="00D30C93">
          <w:rPr>
            <w:noProof/>
            <w:webHidden/>
          </w:rPr>
        </w:r>
        <w:r w:rsidR="00D30C93">
          <w:rPr>
            <w:noProof/>
            <w:webHidden/>
          </w:rPr>
          <w:fldChar w:fldCharType="separate"/>
        </w:r>
        <w:r w:rsidR="001B3D1D">
          <w:rPr>
            <w:noProof/>
            <w:webHidden/>
          </w:rPr>
          <w:t>171</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234" w:history="1">
        <w:r w:rsidR="00D30C93" w:rsidRPr="00F57C6C">
          <w:rPr>
            <w:rStyle w:val="Hyperlink"/>
            <w:noProof/>
          </w:rPr>
          <w:t>Chapter 25 Special provisions applicable to sea-going vessels</w:t>
        </w:r>
        <w:r w:rsidR="00FD690D">
          <w:rPr>
            <w:rStyle w:val="Hyperlink"/>
            <w:noProof/>
          </w:rPr>
          <w:t>………………………………</w:t>
        </w:r>
        <w:r w:rsidR="00D30C93">
          <w:rPr>
            <w:noProof/>
            <w:webHidden/>
          </w:rPr>
          <w:fldChar w:fldCharType="begin"/>
        </w:r>
        <w:r w:rsidR="00D30C93">
          <w:rPr>
            <w:noProof/>
            <w:webHidden/>
          </w:rPr>
          <w:instrText xml:space="preserve"> PAGEREF _Toc491854234 \h </w:instrText>
        </w:r>
        <w:r w:rsidR="00D30C93">
          <w:rPr>
            <w:noProof/>
            <w:webHidden/>
          </w:rPr>
        </w:r>
        <w:r w:rsidR="00D30C93">
          <w:rPr>
            <w:noProof/>
            <w:webHidden/>
          </w:rPr>
          <w:fldChar w:fldCharType="separate"/>
        </w:r>
        <w:r w:rsidR="001B3D1D">
          <w:rPr>
            <w:noProof/>
            <w:webHidden/>
          </w:rPr>
          <w:t>173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35" w:history="1">
        <w:r w:rsidR="00D30C93" w:rsidRPr="00F57C6C">
          <w:rPr>
            <w:rStyle w:val="Hyperlink"/>
            <w:noProof/>
            <w:lang w:val="en-US"/>
          </w:rPr>
          <w:t>Article 25.01 Provisions for the Rhine (Zone R)</w:t>
        </w:r>
        <w:r w:rsidR="00D30C93">
          <w:rPr>
            <w:noProof/>
            <w:webHidden/>
          </w:rPr>
          <w:tab/>
        </w:r>
        <w:r w:rsidR="00D30C93">
          <w:rPr>
            <w:noProof/>
            <w:webHidden/>
          </w:rPr>
          <w:fldChar w:fldCharType="begin"/>
        </w:r>
        <w:r w:rsidR="00D30C93">
          <w:rPr>
            <w:noProof/>
            <w:webHidden/>
          </w:rPr>
          <w:instrText xml:space="preserve"> PAGEREF _Toc491854235 \h </w:instrText>
        </w:r>
        <w:r w:rsidR="00D30C93">
          <w:rPr>
            <w:noProof/>
            <w:webHidden/>
          </w:rPr>
        </w:r>
        <w:r w:rsidR="00D30C93">
          <w:rPr>
            <w:noProof/>
            <w:webHidden/>
          </w:rPr>
          <w:fldChar w:fldCharType="separate"/>
        </w:r>
        <w:r w:rsidR="001B3D1D">
          <w:rPr>
            <w:noProof/>
            <w:webHidden/>
          </w:rPr>
          <w:t>173</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236" w:history="1">
        <w:r w:rsidR="00D30C93" w:rsidRPr="00F57C6C">
          <w:rPr>
            <w:rStyle w:val="Hyperlink"/>
            <w:noProof/>
          </w:rPr>
          <w:t>Chapter 26 Special provisions applicable to recreational craft</w:t>
        </w:r>
        <w:r w:rsidR="00FD690D">
          <w:rPr>
            <w:rStyle w:val="Hyperlink"/>
            <w:noProof/>
          </w:rPr>
          <w:t>…………………………….</w:t>
        </w:r>
        <w:r w:rsidR="00D30C93">
          <w:rPr>
            <w:noProof/>
            <w:webHidden/>
          </w:rPr>
          <w:fldChar w:fldCharType="begin"/>
        </w:r>
        <w:r w:rsidR="00D30C93">
          <w:rPr>
            <w:noProof/>
            <w:webHidden/>
          </w:rPr>
          <w:instrText xml:space="preserve"> PAGEREF _Toc491854236 \h </w:instrText>
        </w:r>
        <w:r w:rsidR="00D30C93">
          <w:rPr>
            <w:noProof/>
            <w:webHidden/>
          </w:rPr>
        </w:r>
        <w:r w:rsidR="00D30C93">
          <w:rPr>
            <w:noProof/>
            <w:webHidden/>
          </w:rPr>
          <w:fldChar w:fldCharType="separate"/>
        </w:r>
        <w:r w:rsidR="001B3D1D">
          <w:rPr>
            <w:noProof/>
            <w:webHidden/>
          </w:rPr>
          <w:t>175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37" w:history="1">
        <w:r w:rsidR="00D30C93" w:rsidRPr="00F57C6C">
          <w:rPr>
            <w:rStyle w:val="Hyperlink"/>
            <w:noProof/>
            <w:lang w:val="en-US"/>
          </w:rPr>
          <w:t>Article 26.01 Application of Part II</w:t>
        </w:r>
        <w:r w:rsidR="00D30C93">
          <w:rPr>
            <w:noProof/>
            <w:webHidden/>
          </w:rPr>
          <w:tab/>
        </w:r>
        <w:r w:rsidR="00D30C93">
          <w:rPr>
            <w:noProof/>
            <w:webHidden/>
          </w:rPr>
          <w:fldChar w:fldCharType="begin"/>
        </w:r>
        <w:r w:rsidR="00D30C93">
          <w:rPr>
            <w:noProof/>
            <w:webHidden/>
          </w:rPr>
          <w:instrText xml:space="preserve"> PAGEREF _Toc491854237 \h </w:instrText>
        </w:r>
        <w:r w:rsidR="00D30C93">
          <w:rPr>
            <w:noProof/>
            <w:webHidden/>
          </w:rPr>
        </w:r>
        <w:r w:rsidR="00D30C93">
          <w:rPr>
            <w:noProof/>
            <w:webHidden/>
          </w:rPr>
          <w:fldChar w:fldCharType="separate"/>
        </w:r>
        <w:r w:rsidR="001B3D1D">
          <w:rPr>
            <w:noProof/>
            <w:webHidden/>
          </w:rPr>
          <w:t>175</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238" w:history="1">
        <w:r w:rsidR="00D30C93" w:rsidRPr="00F57C6C">
          <w:rPr>
            <w:rStyle w:val="Hyperlink"/>
            <w:noProof/>
          </w:rPr>
          <w:t>Chapter 27 Special provisions applicable to vessels carrying containers</w:t>
        </w:r>
        <w:r w:rsidR="00FD690D">
          <w:rPr>
            <w:rStyle w:val="Hyperlink"/>
            <w:noProof/>
          </w:rPr>
          <w:t>…………………</w:t>
        </w:r>
        <w:r w:rsidR="00D30C93">
          <w:rPr>
            <w:noProof/>
            <w:webHidden/>
          </w:rPr>
          <w:fldChar w:fldCharType="begin"/>
        </w:r>
        <w:r w:rsidR="00D30C93">
          <w:rPr>
            <w:noProof/>
            <w:webHidden/>
          </w:rPr>
          <w:instrText xml:space="preserve"> PAGEREF _Toc491854238 \h </w:instrText>
        </w:r>
        <w:r w:rsidR="00D30C93">
          <w:rPr>
            <w:noProof/>
            <w:webHidden/>
          </w:rPr>
        </w:r>
        <w:r w:rsidR="00D30C93">
          <w:rPr>
            <w:noProof/>
            <w:webHidden/>
          </w:rPr>
          <w:fldChar w:fldCharType="separate"/>
        </w:r>
        <w:r w:rsidR="001B3D1D">
          <w:rPr>
            <w:noProof/>
            <w:webHidden/>
          </w:rPr>
          <w:t>177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39" w:history="1">
        <w:r w:rsidR="00D30C93" w:rsidRPr="00F57C6C">
          <w:rPr>
            <w:rStyle w:val="Hyperlink"/>
            <w:noProof/>
            <w:lang w:val="en-US"/>
          </w:rPr>
          <w:t>Article 27.01 General</w:t>
        </w:r>
        <w:r w:rsidR="00D30C93">
          <w:rPr>
            <w:noProof/>
            <w:webHidden/>
          </w:rPr>
          <w:tab/>
        </w:r>
        <w:r w:rsidR="00D30C93">
          <w:rPr>
            <w:noProof/>
            <w:webHidden/>
          </w:rPr>
          <w:fldChar w:fldCharType="begin"/>
        </w:r>
        <w:r w:rsidR="00D30C93">
          <w:rPr>
            <w:noProof/>
            <w:webHidden/>
          </w:rPr>
          <w:instrText xml:space="preserve"> PAGEREF _Toc491854239 \h </w:instrText>
        </w:r>
        <w:r w:rsidR="00D30C93">
          <w:rPr>
            <w:noProof/>
            <w:webHidden/>
          </w:rPr>
        </w:r>
        <w:r w:rsidR="00D30C93">
          <w:rPr>
            <w:noProof/>
            <w:webHidden/>
          </w:rPr>
          <w:fldChar w:fldCharType="separate"/>
        </w:r>
        <w:r w:rsidR="001B3D1D">
          <w:rPr>
            <w:noProof/>
            <w:webHidden/>
          </w:rPr>
          <w:t>177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40" w:history="1">
        <w:r w:rsidR="00D30C93" w:rsidRPr="00F57C6C">
          <w:rPr>
            <w:rStyle w:val="Hyperlink"/>
            <w:noProof/>
            <w:lang w:val="en-US"/>
          </w:rPr>
          <w:t xml:space="preserve">Article 27.02 Limit conditions and method of calculation for proof of stability </w:t>
        </w:r>
        <w:r w:rsidR="00D30C93" w:rsidRPr="00F57C6C">
          <w:rPr>
            <w:rStyle w:val="Hyperlink"/>
            <w:noProof/>
            <w:lang w:val="en-GB"/>
          </w:rPr>
          <w:t>for the transport of non-secured containers</w:t>
        </w:r>
        <w:r w:rsidR="00D30C93">
          <w:rPr>
            <w:noProof/>
            <w:webHidden/>
          </w:rPr>
          <w:tab/>
        </w:r>
        <w:r w:rsidR="00D30C93">
          <w:rPr>
            <w:noProof/>
            <w:webHidden/>
          </w:rPr>
          <w:fldChar w:fldCharType="begin"/>
        </w:r>
        <w:r w:rsidR="00D30C93">
          <w:rPr>
            <w:noProof/>
            <w:webHidden/>
          </w:rPr>
          <w:instrText xml:space="preserve"> PAGEREF _Toc491854240 \h </w:instrText>
        </w:r>
        <w:r w:rsidR="00D30C93">
          <w:rPr>
            <w:noProof/>
            <w:webHidden/>
          </w:rPr>
        </w:r>
        <w:r w:rsidR="00D30C93">
          <w:rPr>
            <w:noProof/>
            <w:webHidden/>
          </w:rPr>
          <w:fldChar w:fldCharType="separate"/>
        </w:r>
        <w:r w:rsidR="001B3D1D">
          <w:rPr>
            <w:noProof/>
            <w:webHidden/>
          </w:rPr>
          <w:t>177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41" w:history="1">
        <w:r w:rsidR="00D30C93" w:rsidRPr="00F57C6C">
          <w:rPr>
            <w:rStyle w:val="Hyperlink"/>
            <w:noProof/>
            <w:lang w:val="en-GB"/>
          </w:rPr>
          <w:t>Article 27.03 Limit conditions and method of calculation for proof of stability for the transport of secured containers</w:t>
        </w:r>
        <w:r w:rsidR="00D30C93">
          <w:rPr>
            <w:noProof/>
            <w:webHidden/>
          </w:rPr>
          <w:tab/>
        </w:r>
        <w:r w:rsidR="00D30C93">
          <w:rPr>
            <w:noProof/>
            <w:webHidden/>
          </w:rPr>
          <w:fldChar w:fldCharType="begin"/>
        </w:r>
        <w:r w:rsidR="00D30C93">
          <w:rPr>
            <w:noProof/>
            <w:webHidden/>
          </w:rPr>
          <w:instrText xml:space="preserve"> PAGEREF _Toc491854241 \h </w:instrText>
        </w:r>
        <w:r w:rsidR="00D30C93">
          <w:rPr>
            <w:noProof/>
            <w:webHidden/>
          </w:rPr>
        </w:r>
        <w:r w:rsidR="00D30C93">
          <w:rPr>
            <w:noProof/>
            <w:webHidden/>
          </w:rPr>
          <w:fldChar w:fldCharType="separate"/>
        </w:r>
        <w:r w:rsidR="001B3D1D">
          <w:rPr>
            <w:noProof/>
            <w:webHidden/>
          </w:rPr>
          <w:t>180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42" w:history="1">
        <w:r w:rsidR="00D30C93" w:rsidRPr="00F57C6C">
          <w:rPr>
            <w:rStyle w:val="Hyperlink"/>
            <w:noProof/>
            <w:lang w:val="en-GB"/>
          </w:rPr>
          <w:t>Article 27.04 Procedure for assessing stability on board</w:t>
        </w:r>
        <w:r w:rsidR="00D30C93">
          <w:rPr>
            <w:noProof/>
            <w:webHidden/>
          </w:rPr>
          <w:tab/>
        </w:r>
        <w:r w:rsidR="00D30C93">
          <w:rPr>
            <w:noProof/>
            <w:webHidden/>
          </w:rPr>
          <w:fldChar w:fldCharType="begin"/>
        </w:r>
        <w:r w:rsidR="00D30C93">
          <w:rPr>
            <w:noProof/>
            <w:webHidden/>
          </w:rPr>
          <w:instrText xml:space="preserve"> PAGEREF _Toc491854242 \h </w:instrText>
        </w:r>
        <w:r w:rsidR="00D30C93">
          <w:rPr>
            <w:noProof/>
            <w:webHidden/>
          </w:rPr>
        </w:r>
        <w:r w:rsidR="00D30C93">
          <w:rPr>
            <w:noProof/>
            <w:webHidden/>
          </w:rPr>
          <w:fldChar w:fldCharType="separate"/>
        </w:r>
        <w:r w:rsidR="001B3D1D">
          <w:rPr>
            <w:noProof/>
            <w:webHidden/>
          </w:rPr>
          <w:t>181</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243" w:history="1">
        <w:r w:rsidR="00D30C93" w:rsidRPr="00F57C6C">
          <w:rPr>
            <w:rStyle w:val="Hyperlink"/>
            <w:noProof/>
          </w:rPr>
          <w:t>Chapter 28 Special provisions applicable to craft longer than 110 m</w:t>
        </w:r>
        <w:r w:rsidR="00FD690D">
          <w:rPr>
            <w:rStyle w:val="Hyperlink"/>
            <w:noProof/>
          </w:rPr>
          <w:t>………………………</w:t>
        </w:r>
        <w:r w:rsidR="00D30C93">
          <w:rPr>
            <w:noProof/>
            <w:webHidden/>
          </w:rPr>
          <w:fldChar w:fldCharType="begin"/>
        </w:r>
        <w:r w:rsidR="00D30C93">
          <w:rPr>
            <w:noProof/>
            <w:webHidden/>
          </w:rPr>
          <w:instrText xml:space="preserve"> PAGEREF _Toc491854243 \h </w:instrText>
        </w:r>
        <w:r w:rsidR="00D30C93">
          <w:rPr>
            <w:noProof/>
            <w:webHidden/>
          </w:rPr>
        </w:r>
        <w:r w:rsidR="00D30C93">
          <w:rPr>
            <w:noProof/>
            <w:webHidden/>
          </w:rPr>
          <w:fldChar w:fldCharType="separate"/>
        </w:r>
        <w:r w:rsidR="001B3D1D">
          <w:rPr>
            <w:noProof/>
            <w:webHidden/>
          </w:rPr>
          <w:t>183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44" w:history="1">
        <w:r w:rsidR="00D30C93" w:rsidRPr="00F57C6C">
          <w:rPr>
            <w:rStyle w:val="Hyperlink"/>
            <w:noProof/>
            <w:lang w:val="en-US"/>
          </w:rPr>
          <w:t>Article 28.01 Application of Part II</w:t>
        </w:r>
        <w:r w:rsidR="00D30C93">
          <w:rPr>
            <w:noProof/>
            <w:webHidden/>
          </w:rPr>
          <w:tab/>
        </w:r>
        <w:r w:rsidR="00D30C93">
          <w:rPr>
            <w:noProof/>
            <w:webHidden/>
          </w:rPr>
          <w:fldChar w:fldCharType="begin"/>
        </w:r>
        <w:r w:rsidR="00D30C93">
          <w:rPr>
            <w:noProof/>
            <w:webHidden/>
          </w:rPr>
          <w:instrText xml:space="preserve"> PAGEREF _Toc491854244 \h </w:instrText>
        </w:r>
        <w:r w:rsidR="00D30C93">
          <w:rPr>
            <w:noProof/>
            <w:webHidden/>
          </w:rPr>
        </w:r>
        <w:r w:rsidR="00D30C93">
          <w:rPr>
            <w:noProof/>
            <w:webHidden/>
          </w:rPr>
          <w:fldChar w:fldCharType="separate"/>
        </w:r>
        <w:r w:rsidR="001B3D1D">
          <w:rPr>
            <w:noProof/>
            <w:webHidden/>
          </w:rPr>
          <w:t>183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45" w:history="1">
        <w:r w:rsidR="00D30C93" w:rsidRPr="00F57C6C">
          <w:rPr>
            <w:rStyle w:val="Hyperlink"/>
            <w:noProof/>
            <w:lang w:val="en-US"/>
          </w:rPr>
          <w:t>Article 28.02 Strength</w:t>
        </w:r>
        <w:r w:rsidR="00D30C93">
          <w:rPr>
            <w:noProof/>
            <w:webHidden/>
          </w:rPr>
          <w:tab/>
        </w:r>
        <w:r w:rsidR="00D30C93">
          <w:rPr>
            <w:noProof/>
            <w:webHidden/>
          </w:rPr>
          <w:fldChar w:fldCharType="begin"/>
        </w:r>
        <w:r w:rsidR="00D30C93">
          <w:rPr>
            <w:noProof/>
            <w:webHidden/>
          </w:rPr>
          <w:instrText xml:space="preserve"> PAGEREF _Toc491854245 \h </w:instrText>
        </w:r>
        <w:r w:rsidR="00D30C93">
          <w:rPr>
            <w:noProof/>
            <w:webHidden/>
          </w:rPr>
        </w:r>
        <w:r w:rsidR="00D30C93">
          <w:rPr>
            <w:noProof/>
            <w:webHidden/>
          </w:rPr>
          <w:fldChar w:fldCharType="separate"/>
        </w:r>
        <w:r w:rsidR="001B3D1D">
          <w:rPr>
            <w:noProof/>
            <w:webHidden/>
          </w:rPr>
          <w:t>183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46" w:history="1">
        <w:r w:rsidR="00D30C93" w:rsidRPr="00F57C6C">
          <w:rPr>
            <w:rStyle w:val="Hyperlink"/>
            <w:noProof/>
            <w:lang w:val="en-US"/>
          </w:rPr>
          <w:t>Article 28.03 Buoyancy and stability</w:t>
        </w:r>
        <w:r w:rsidR="00D30C93">
          <w:rPr>
            <w:noProof/>
            <w:webHidden/>
          </w:rPr>
          <w:tab/>
        </w:r>
        <w:r w:rsidR="00D30C93">
          <w:rPr>
            <w:noProof/>
            <w:webHidden/>
          </w:rPr>
          <w:fldChar w:fldCharType="begin"/>
        </w:r>
        <w:r w:rsidR="00D30C93">
          <w:rPr>
            <w:noProof/>
            <w:webHidden/>
          </w:rPr>
          <w:instrText xml:space="preserve"> PAGEREF _Toc491854246 \h </w:instrText>
        </w:r>
        <w:r w:rsidR="00D30C93">
          <w:rPr>
            <w:noProof/>
            <w:webHidden/>
          </w:rPr>
        </w:r>
        <w:r w:rsidR="00D30C93">
          <w:rPr>
            <w:noProof/>
            <w:webHidden/>
          </w:rPr>
          <w:fldChar w:fldCharType="separate"/>
        </w:r>
        <w:r w:rsidR="001B3D1D">
          <w:rPr>
            <w:noProof/>
            <w:webHidden/>
          </w:rPr>
          <w:t>183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47" w:history="1">
        <w:r w:rsidR="00D30C93" w:rsidRPr="00F57C6C">
          <w:rPr>
            <w:rStyle w:val="Hyperlink"/>
            <w:noProof/>
            <w:lang w:val="en-US"/>
          </w:rPr>
          <w:t>Article 28.04 Additional requirements</w:t>
        </w:r>
        <w:r w:rsidR="00D30C93">
          <w:rPr>
            <w:noProof/>
            <w:webHidden/>
          </w:rPr>
          <w:tab/>
        </w:r>
        <w:r w:rsidR="00D30C93">
          <w:rPr>
            <w:noProof/>
            <w:webHidden/>
          </w:rPr>
          <w:fldChar w:fldCharType="begin"/>
        </w:r>
        <w:r w:rsidR="00D30C93">
          <w:rPr>
            <w:noProof/>
            <w:webHidden/>
          </w:rPr>
          <w:instrText xml:space="preserve"> PAGEREF _Toc491854247 \h </w:instrText>
        </w:r>
        <w:r w:rsidR="00D30C93">
          <w:rPr>
            <w:noProof/>
            <w:webHidden/>
          </w:rPr>
        </w:r>
        <w:r w:rsidR="00D30C93">
          <w:rPr>
            <w:noProof/>
            <w:webHidden/>
          </w:rPr>
          <w:fldChar w:fldCharType="separate"/>
        </w:r>
        <w:r w:rsidR="001B3D1D">
          <w:rPr>
            <w:noProof/>
            <w:webHidden/>
          </w:rPr>
          <w:t>186</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248" w:history="1">
        <w:r w:rsidR="00D30C93" w:rsidRPr="00F57C6C">
          <w:rPr>
            <w:rStyle w:val="Hyperlink"/>
            <w:noProof/>
          </w:rPr>
          <w:t>Chapter 29 Special provisions applicable to high-speed vessels</w:t>
        </w:r>
        <w:r w:rsidR="00FD690D">
          <w:rPr>
            <w:rStyle w:val="Hyperlink"/>
            <w:noProof/>
          </w:rPr>
          <w:t>………</w:t>
        </w:r>
        <w:r w:rsidR="00A259A9">
          <w:rPr>
            <w:rStyle w:val="Hyperlink"/>
            <w:noProof/>
          </w:rPr>
          <w:t>……….</w:t>
        </w:r>
        <w:r w:rsidR="00FD690D">
          <w:rPr>
            <w:rStyle w:val="Hyperlink"/>
            <w:noProof/>
          </w:rPr>
          <w:t>…………….</w:t>
        </w:r>
        <w:r w:rsidR="00D30C93">
          <w:rPr>
            <w:noProof/>
            <w:webHidden/>
          </w:rPr>
          <w:fldChar w:fldCharType="begin"/>
        </w:r>
        <w:r w:rsidR="00D30C93">
          <w:rPr>
            <w:noProof/>
            <w:webHidden/>
          </w:rPr>
          <w:instrText xml:space="preserve"> PAGEREF _Toc491854248 \h </w:instrText>
        </w:r>
        <w:r w:rsidR="00D30C93">
          <w:rPr>
            <w:noProof/>
            <w:webHidden/>
          </w:rPr>
        </w:r>
        <w:r w:rsidR="00D30C93">
          <w:rPr>
            <w:noProof/>
            <w:webHidden/>
          </w:rPr>
          <w:fldChar w:fldCharType="separate"/>
        </w:r>
        <w:r w:rsidR="001B3D1D">
          <w:rPr>
            <w:noProof/>
            <w:webHidden/>
          </w:rPr>
          <w:t>189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49" w:history="1">
        <w:r w:rsidR="00D30C93" w:rsidRPr="00F57C6C">
          <w:rPr>
            <w:rStyle w:val="Hyperlink"/>
            <w:noProof/>
            <w:lang w:val="en-US"/>
          </w:rPr>
          <w:t>Article 29.01 General</w:t>
        </w:r>
        <w:r w:rsidR="00D30C93">
          <w:rPr>
            <w:noProof/>
            <w:webHidden/>
          </w:rPr>
          <w:tab/>
        </w:r>
        <w:r w:rsidR="00D30C93">
          <w:rPr>
            <w:noProof/>
            <w:webHidden/>
          </w:rPr>
          <w:fldChar w:fldCharType="begin"/>
        </w:r>
        <w:r w:rsidR="00D30C93">
          <w:rPr>
            <w:noProof/>
            <w:webHidden/>
          </w:rPr>
          <w:instrText xml:space="preserve"> PAGEREF _Toc491854249 \h </w:instrText>
        </w:r>
        <w:r w:rsidR="00D30C93">
          <w:rPr>
            <w:noProof/>
            <w:webHidden/>
          </w:rPr>
        </w:r>
        <w:r w:rsidR="00D30C93">
          <w:rPr>
            <w:noProof/>
            <w:webHidden/>
          </w:rPr>
          <w:fldChar w:fldCharType="separate"/>
        </w:r>
        <w:r w:rsidR="001B3D1D">
          <w:rPr>
            <w:noProof/>
            <w:webHidden/>
          </w:rPr>
          <w:t>189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50" w:history="1">
        <w:r w:rsidR="00D30C93" w:rsidRPr="00F57C6C">
          <w:rPr>
            <w:rStyle w:val="Hyperlink"/>
            <w:noProof/>
            <w:lang w:val="en-US"/>
          </w:rPr>
          <w:t>Article 29.02 Application of Parts II and III</w:t>
        </w:r>
        <w:r w:rsidR="00D30C93">
          <w:rPr>
            <w:noProof/>
            <w:webHidden/>
          </w:rPr>
          <w:tab/>
        </w:r>
        <w:r w:rsidR="00D30C93">
          <w:rPr>
            <w:noProof/>
            <w:webHidden/>
          </w:rPr>
          <w:fldChar w:fldCharType="begin"/>
        </w:r>
        <w:r w:rsidR="00D30C93">
          <w:rPr>
            <w:noProof/>
            <w:webHidden/>
          </w:rPr>
          <w:instrText xml:space="preserve"> PAGEREF _Toc491854250 \h </w:instrText>
        </w:r>
        <w:r w:rsidR="00D30C93">
          <w:rPr>
            <w:noProof/>
            <w:webHidden/>
          </w:rPr>
        </w:r>
        <w:r w:rsidR="00D30C93">
          <w:rPr>
            <w:noProof/>
            <w:webHidden/>
          </w:rPr>
          <w:fldChar w:fldCharType="separate"/>
        </w:r>
        <w:r w:rsidR="001B3D1D">
          <w:rPr>
            <w:noProof/>
            <w:webHidden/>
          </w:rPr>
          <w:t>189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51" w:history="1">
        <w:r w:rsidR="00D30C93" w:rsidRPr="00F57C6C">
          <w:rPr>
            <w:rStyle w:val="Hyperlink"/>
            <w:noProof/>
            <w:lang w:val="en-US"/>
          </w:rPr>
          <w:t>Article 29.03 Seats and safety belts</w:t>
        </w:r>
        <w:r w:rsidR="00D30C93">
          <w:rPr>
            <w:noProof/>
            <w:webHidden/>
          </w:rPr>
          <w:tab/>
        </w:r>
        <w:r w:rsidR="00D30C93">
          <w:rPr>
            <w:noProof/>
            <w:webHidden/>
          </w:rPr>
          <w:fldChar w:fldCharType="begin"/>
        </w:r>
        <w:r w:rsidR="00D30C93">
          <w:rPr>
            <w:noProof/>
            <w:webHidden/>
          </w:rPr>
          <w:instrText xml:space="preserve"> PAGEREF _Toc491854251 \h </w:instrText>
        </w:r>
        <w:r w:rsidR="00D30C93">
          <w:rPr>
            <w:noProof/>
            <w:webHidden/>
          </w:rPr>
        </w:r>
        <w:r w:rsidR="00D30C93">
          <w:rPr>
            <w:noProof/>
            <w:webHidden/>
          </w:rPr>
          <w:fldChar w:fldCharType="separate"/>
        </w:r>
        <w:r w:rsidR="001B3D1D">
          <w:rPr>
            <w:noProof/>
            <w:webHidden/>
          </w:rPr>
          <w:t>190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52" w:history="1">
        <w:r w:rsidR="00D30C93" w:rsidRPr="00F57C6C">
          <w:rPr>
            <w:rStyle w:val="Hyperlink"/>
            <w:noProof/>
            <w:lang w:val="en-US"/>
          </w:rPr>
          <w:t>Article 29.04 Freeboard</w:t>
        </w:r>
        <w:r w:rsidR="00D30C93">
          <w:rPr>
            <w:noProof/>
            <w:webHidden/>
          </w:rPr>
          <w:tab/>
        </w:r>
        <w:r w:rsidR="00D30C93">
          <w:rPr>
            <w:noProof/>
            <w:webHidden/>
          </w:rPr>
          <w:fldChar w:fldCharType="begin"/>
        </w:r>
        <w:r w:rsidR="00D30C93">
          <w:rPr>
            <w:noProof/>
            <w:webHidden/>
          </w:rPr>
          <w:instrText xml:space="preserve"> PAGEREF _Toc491854252 \h </w:instrText>
        </w:r>
        <w:r w:rsidR="00D30C93">
          <w:rPr>
            <w:noProof/>
            <w:webHidden/>
          </w:rPr>
        </w:r>
        <w:r w:rsidR="00D30C93">
          <w:rPr>
            <w:noProof/>
            <w:webHidden/>
          </w:rPr>
          <w:fldChar w:fldCharType="separate"/>
        </w:r>
        <w:r w:rsidR="001B3D1D">
          <w:rPr>
            <w:noProof/>
            <w:webHidden/>
          </w:rPr>
          <w:t>190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53" w:history="1">
        <w:r w:rsidR="00D30C93" w:rsidRPr="00F57C6C">
          <w:rPr>
            <w:rStyle w:val="Hyperlink"/>
            <w:noProof/>
            <w:lang w:val="en-US"/>
          </w:rPr>
          <w:t>Article 29.05 Buoyancy, stability and subdivision</w:t>
        </w:r>
        <w:r w:rsidR="00D30C93">
          <w:rPr>
            <w:noProof/>
            <w:webHidden/>
          </w:rPr>
          <w:tab/>
        </w:r>
        <w:r w:rsidR="00D30C93">
          <w:rPr>
            <w:noProof/>
            <w:webHidden/>
          </w:rPr>
          <w:fldChar w:fldCharType="begin"/>
        </w:r>
        <w:r w:rsidR="00D30C93">
          <w:rPr>
            <w:noProof/>
            <w:webHidden/>
          </w:rPr>
          <w:instrText xml:space="preserve"> PAGEREF _Toc491854253 \h </w:instrText>
        </w:r>
        <w:r w:rsidR="00D30C93">
          <w:rPr>
            <w:noProof/>
            <w:webHidden/>
          </w:rPr>
        </w:r>
        <w:r w:rsidR="00D30C93">
          <w:rPr>
            <w:noProof/>
            <w:webHidden/>
          </w:rPr>
          <w:fldChar w:fldCharType="separate"/>
        </w:r>
        <w:r w:rsidR="001B3D1D">
          <w:rPr>
            <w:noProof/>
            <w:webHidden/>
          </w:rPr>
          <w:t>190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54" w:history="1">
        <w:r w:rsidR="00D30C93" w:rsidRPr="00F57C6C">
          <w:rPr>
            <w:rStyle w:val="Hyperlink"/>
            <w:noProof/>
            <w:lang w:val="en-US"/>
          </w:rPr>
          <w:t>Article 29.06 Wheelhouse</w:t>
        </w:r>
        <w:r w:rsidR="00D30C93">
          <w:rPr>
            <w:noProof/>
            <w:webHidden/>
          </w:rPr>
          <w:tab/>
        </w:r>
        <w:r w:rsidR="00D30C93">
          <w:rPr>
            <w:noProof/>
            <w:webHidden/>
          </w:rPr>
          <w:fldChar w:fldCharType="begin"/>
        </w:r>
        <w:r w:rsidR="00D30C93">
          <w:rPr>
            <w:noProof/>
            <w:webHidden/>
          </w:rPr>
          <w:instrText xml:space="preserve"> PAGEREF _Toc491854254 \h </w:instrText>
        </w:r>
        <w:r w:rsidR="00D30C93">
          <w:rPr>
            <w:noProof/>
            <w:webHidden/>
          </w:rPr>
        </w:r>
        <w:r w:rsidR="00D30C93">
          <w:rPr>
            <w:noProof/>
            <w:webHidden/>
          </w:rPr>
          <w:fldChar w:fldCharType="separate"/>
        </w:r>
        <w:r w:rsidR="001B3D1D">
          <w:rPr>
            <w:noProof/>
            <w:webHidden/>
          </w:rPr>
          <w:t>190</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55" w:history="1">
        <w:r w:rsidR="00D30C93" w:rsidRPr="00F57C6C">
          <w:rPr>
            <w:rStyle w:val="Hyperlink"/>
            <w:noProof/>
            <w:lang w:val="en-US"/>
          </w:rPr>
          <w:t>Article 29.07 Additional equipment</w:t>
        </w:r>
        <w:r w:rsidR="00D30C93">
          <w:rPr>
            <w:noProof/>
            <w:webHidden/>
          </w:rPr>
          <w:tab/>
        </w:r>
        <w:r w:rsidR="00D30C93">
          <w:rPr>
            <w:noProof/>
            <w:webHidden/>
          </w:rPr>
          <w:fldChar w:fldCharType="begin"/>
        </w:r>
        <w:r w:rsidR="00D30C93">
          <w:rPr>
            <w:noProof/>
            <w:webHidden/>
          </w:rPr>
          <w:instrText xml:space="preserve"> PAGEREF _Toc491854255 \h </w:instrText>
        </w:r>
        <w:r w:rsidR="00D30C93">
          <w:rPr>
            <w:noProof/>
            <w:webHidden/>
          </w:rPr>
        </w:r>
        <w:r w:rsidR="00D30C93">
          <w:rPr>
            <w:noProof/>
            <w:webHidden/>
          </w:rPr>
          <w:fldChar w:fldCharType="separate"/>
        </w:r>
        <w:r w:rsidR="001B3D1D">
          <w:rPr>
            <w:noProof/>
            <w:webHidden/>
          </w:rPr>
          <w:t>191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56" w:history="1">
        <w:r w:rsidR="00D30C93" w:rsidRPr="00F57C6C">
          <w:rPr>
            <w:rStyle w:val="Hyperlink"/>
            <w:noProof/>
            <w:lang w:val="en-US"/>
          </w:rPr>
          <w:t>Article 29.08 Enclosed areas</w:t>
        </w:r>
        <w:r w:rsidR="00D30C93">
          <w:rPr>
            <w:noProof/>
            <w:webHidden/>
          </w:rPr>
          <w:tab/>
        </w:r>
        <w:r w:rsidR="00D30C93">
          <w:rPr>
            <w:noProof/>
            <w:webHidden/>
          </w:rPr>
          <w:fldChar w:fldCharType="begin"/>
        </w:r>
        <w:r w:rsidR="00D30C93">
          <w:rPr>
            <w:noProof/>
            <w:webHidden/>
          </w:rPr>
          <w:instrText xml:space="preserve"> PAGEREF _Toc491854256 \h </w:instrText>
        </w:r>
        <w:r w:rsidR="00D30C93">
          <w:rPr>
            <w:noProof/>
            <w:webHidden/>
          </w:rPr>
        </w:r>
        <w:r w:rsidR="00D30C93">
          <w:rPr>
            <w:noProof/>
            <w:webHidden/>
          </w:rPr>
          <w:fldChar w:fldCharType="separate"/>
        </w:r>
        <w:r w:rsidR="001B3D1D">
          <w:rPr>
            <w:noProof/>
            <w:webHidden/>
          </w:rPr>
          <w:t>191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57" w:history="1">
        <w:r w:rsidR="00D30C93" w:rsidRPr="00F57C6C">
          <w:rPr>
            <w:rStyle w:val="Hyperlink"/>
            <w:noProof/>
            <w:lang w:val="en-US"/>
          </w:rPr>
          <w:t>Article 29.09 Exits and escape routes</w:t>
        </w:r>
        <w:r w:rsidR="00D30C93">
          <w:rPr>
            <w:noProof/>
            <w:webHidden/>
          </w:rPr>
          <w:tab/>
        </w:r>
        <w:r w:rsidR="00D30C93">
          <w:rPr>
            <w:noProof/>
            <w:webHidden/>
          </w:rPr>
          <w:fldChar w:fldCharType="begin"/>
        </w:r>
        <w:r w:rsidR="00D30C93">
          <w:rPr>
            <w:noProof/>
            <w:webHidden/>
          </w:rPr>
          <w:instrText xml:space="preserve"> PAGEREF _Toc491854257 \h </w:instrText>
        </w:r>
        <w:r w:rsidR="00D30C93">
          <w:rPr>
            <w:noProof/>
            <w:webHidden/>
          </w:rPr>
        </w:r>
        <w:r w:rsidR="00D30C93">
          <w:rPr>
            <w:noProof/>
            <w:webHidden/>
          </w:rPr>
          <w:fldChar w:fldCharType="separate"/>
        </w:r>
        <w:r w:rsidR="001B3D1D">
          <w:rPr>
            <w:noProof/>
            <w:webHidden/>
          </w:rPr>
          <w:t>192</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58" w:history="1">
        <w:r w:rsidR="00D30C93" w:rsidRPr="00F57C6C">
          <w:rPr>
            <w:rStyle w:val="Hyperlink"/>
            <w:noProof/>
            <w:lang w:val="en-US"/>
          </w:rPr>
          <w:t>Article 29.10 Fire protection and fire-fighting</w:t>
        </w:r>
        <w:r w:rsidR="00D30C93">
          <w:rPr>
            <w:noProof/>
            <w:webHidden/>
          </w:rPr>
          <w:tab/>
        </w:r>
        <w:r w:rsidR="00D30C93">
          <w:rPr>
            <w:noProof/>
            <w:webHidden/>
          </w:rPr>
          <w:fldChar w:fldCharType="begin"/>
        </w:r>
        <w:r w:rsidR="00D30C93">
          <w:rPr>
            <w:noProof/>
            <w:webHidden/>
          </w:rPr>
          <w:instrText xml:space="preserve"> PAGEREF _Toc491854258 \h </w:instrText>
        </w:r>
        <w:r w:rsidR="00D30C93">
          <w:rPr>
            <w:noProof/>
            <w:webHidden/>
          </w:rPr>
        </w:r>
        <w:r w:rsidR="00D30C93">
          <w:rPr>
            <w:noProof/>
            <w:webHidden/>
          </w:rPr>
          <w:fldChar w:fldCharType="separate"/>
        </w:r>
        <w:r w:rsidR="001B3D1D">
          <w:rPr>
            <w:noProof/>
            <w:webHidden/>
          </w:rPr>
          <w:t>192</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259" w:history="1">
        <w:r w:rsidR="00D30C93" w:rsidRPr="00F57C6C">
          <w:rPr>
            <w:rStyle w:val="Hyperlink"/>
            <w:noProof/>
          </w:rPr>
          <w:t>Chapter 30 Special provisions applicable to craft equipped with propulsion or auxiliary systems operating on fuels with a flashpoint equal to or lower than 55 °C</w:t>
        </w:r>
        <w:r w:rsidR="00A259A9">
          <w:rPr>
            <w:rStyle w:val="Hyperlink"/>
            <w:noProof/>
          </w:rPr>
          <w:t>…………….</w:t>
        </w:r>
        <w:r w:rsidR="00D30C93">
          <w:rPr>
            <w:noProof/>
            <w:webHidden/>
          </w:rPr>
          <w:fldChar w:fldCharType="begin"/>
        </w:r>
        <w:r w:rsidR="00D30C93">
          <w:rPr>
            <w:noProof/>
            <w:webHidden/>
          </w:rPr>
          <w:instrText xml:space="preserve"> PAGEREF _Toc491854259 \h </w:instrText>
        </w:r>
        <w:r w:rsidR="00D30C93">
          <w:rPr>
            <w:noProof/>
            <w:webHidden/>
          </w:rPr>
        </w:r>
        <w:r w:rsidR="00D30C93">
          <w:rPr>
            <w:noProof/>
            <w:webHidden/>
          </w:rPr>
          <w:fldChar w:fldCharType="separate"/>
        </w:r>
        <w:r w:rsidR="001B3D1D">
          <w:rPr>
            <w:noProof/>
            <w:webHidden/>
          </w:rPr>
          <w:t>193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60" w:history="1">
        <w:r w:rsidR="00D30C93" w:rsidRPr="00F57C6C">
          <w:rPr>
            <w:rStyle w:val="Hyperlink"/>
            <w:noProof/>
            <w:lang w:val="en-US"/>
          </w:rPr>
          <w:t xml:space="preserve">Article </w:t>
        </w:r>
        <w:r w:rsidR="00D30C93" w:rsidRPr="00F57C6C">
          <w:rPr>
            <w:rStyle w:val="Hyperlink"/>
            <w:noProof/>
            <w:lang w:val="en-GB"/>
          </w:rPr>
          <w:t>30</w:t>
        </w:r>
        <w:r w:rsidR="00D30C93" w:rsidRPr="00F57C6C">
          <w:rPr>
            <w:rStyle w:val="Hyperlink"/>
            <w:noProof/>
            <w:lang w:val="en-US"/>
          </w:rPr>
          <w:t>.01 General</w:t>
        </w:r>
        <w:r w:rsidR="00D30C93">
          <w:rPr>
            <w:noProof/>
            <w:webHidden/>
          </w:rPr>
          <w:tab/>
        </w:r>
        <w:r w:rsidR="00D30C93">
          <w:rPr>
            <w:noProof/>
            <w:webHidden/>
          </w:rPr>
          <w:fldChar w:fldCharType="begin"/>
        </w:r>
        <w:r w:rsidR="00D30C93">
          <w:rPr>
            <w:noProof/>
            <w:webHidden/>
          </w:rPr>
          <w:instrText xml:space="preserve"> PAGEREF _Toc491854260 \h </w:instrText>
        </w:r>
        <w:r w:rsidR="00D30C93">
          <w:rPr>
            <w:noProof/>
            <w:webHidden/>
          </w:rPr>
        </w:r>
        <w:r w:rsidR="00D30C93">
          <w:rPr>
            <w:noProof/>
            <w:webHidden/>
          </w:rPr>
          <w:fldChar w:fldCharType="separate"/>
        </w:r>
        <w:r w:rsidR="001B3D1D">
          <w:rPr>
            <w:noProof/>
            <w:webHidden/>
          </w:rPr>
          <w:t>193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61" w:history="1">
        <w:r w:rsidR="00D30C93" w:rsidRPr="00F57C6C">
          <w:rPr>
            <w:rStyle w:val="Hyperlink"/>
            <w:noProof/>
            <w:lang w:val="en-GB"/>
          </w:rPr>
          <w:t>Article 30.02 Testing</w:t>
        </w:r>
        <w:r w:rsidR="00D30C93">
          <w:rPr>
            <w:noProof/>
            <w:webHidden/>
          </w:rPr>
          <w:tab/>
        </w:r>
        <w:r w:rsidR="00D30C93">
          <w:rPr>
            <w:noProof/>
            <w:webHidden/>
          </w:rPr>
          <w:fldChar w:fldCharType="begin"/>
        </w:r>
        <w:r w:rsidR="00D30C93">
          <w:rPr>
            <w:noProof/>
            <w:webHidden/>
          </w:rPr>
          <w:instrText xml:space="preserve"> PAGEREF _Toc491854261 \h </w:instrText>
        </w:r>
        <w:r w:rsidR="00D30C93">
          <w:rPr>
            <w:noProof/>
            <w:webHidden/>
          </w:rPr>
        </w:r>
        <w:r w:rsidR="00D30C93">
          <w:rPr>
            <w:noProof/>
            <w:webHidden/>
          </w:rPr>
          <w:fldChar w:fldCharType="separate"/>
        </w:r>
        <w:r w:rsidR="001B3D1D">
          <w:rPr>
            <w:noProof/>
            <w:webHidden/>
          </w:rPr>
          <w:t>194</w:t>
        </w:r>
        <w:r w:rsidR="00D30C93">
          <w:rPr>
            <w:noProof/>
            <w:webHidden/>
          </w:rPr>
          <w:fldChar w:fldCharType="end"/>
        </w:r>
      </w:hyperlink>
    </w:p>
    <w:p w:rsidR="008C2B5C" w:rsidRDefault="008C2B5C">
      <w:pPr>
        <w:autoSpaceDE/>
        <w:autoSpaceDN/>
        <w:ind w:left="0" w:firstLine="0"/>
        <w:jc w:val="left"/>
        <w:rPr>
          <w:rStyle w:val="Hyperlink"/>
          <w:i/>
          <w:iCs/>
          <w:noProof/>
          <w:szCs w:val="20"/>
        </w:rPr>
      </w:pPr>
      <w:r>
        <w:rPr>
          <w:rStyle w:val="Hyperlink"/>
          <w:noProof/>
        </w:rPr>
        <w:br w:type="page"/>
      </w:r>
    </w:p>
    <w:p w:rsidR="00D30C93" w:rsidRDefault="00F12BAF">
      <w:pPr>
        <w:pStyle w:val="TOC3"/>
        <w:rPr>
          <w:rFonts w:asciiTheme="minorHAnsi" w:eastAsiaTheme="minorEastAsia" w:hAnsiTheme="minorHAnsi" w:cstheme="minorBidi"/>
          <w:i w:val="0"/>
          <w:iCs w:val="0"/>
          <w:noProof/>
          <w:sz w:val="22"/>
          <w:szCs w:val="22"/>
        </w:rPr>
      </w:pPr>
      <w:hyperlink w:anchor="_Toc491854262" w:history="1">
        <w:r w:rsidR="00D30C93" w:rsidRPr="00F57C6C">
          <w:rPr>
            <w:rStyle w:val="Hyperlink"/>
            <w:noProof/>
            <w:lang w:val="en-GB"/>
          </w:rPr>
          <w:t>Article 30.03 Safety organisation</w:t>
        </w:r>
        <w:r w:rsidR="00D30C93">
          <w:rPr>
            <w:noProof/>
            <w:webHidden/>
          </w:rPr>
          <w:tab/>
        </w:r>
        <w:r w:rsidR="00D30C93">
          <w:rPr>
            <w:noProof/>
            <w:webHidden/>
          </w:rPr>
          <w:fldChar w:fldCharType="begin"/>
        </w:r>
        <w:r w:rsidR="00D30C93">
          <w:rPr>
            <w:noProof/>
            <w:webHidden/>
          </w:rPr>
          <w:instrText xml:space="preserve"> PAGEREF _Toc491854262 \h </w:instrText>
        </w:r>
        <w:r w:rsidR="00D30C93">
          <w:rPr>
            <w:noProof/>
            <w:webHidden/>
          </w:rPr>
        </w:r>
        <w:r w:rsidR="00D30C93">
          <w:rPr>
            <w:noProof/>
            <w:webHidden/>
          </w:rPr>
          <w:fldChar w:fldCharType="separate"/>
        </w:r>
        <w:r w:rsidR="001B3D1D">
          <w:rPr>
            <w:noProof/>
            <w:webHidden/>
          </w:rPr>
          <w:t>194</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63" w:history="1">
        <w:r w:rsidR="00D30C93" w:rsidRPr="00F57C6C">
          <w:rPr>
            <w:rStyle w:val="Hyperlink"/>
            <w:noProof/>
            <w:lang w:val="en-GB"/>
          </w:rPr>
          <w:t>Article 30.04 (left void)</w:t>
        </w:r>
        <w:r w:rsidR="00D30C93">
          <w:rPr>
            <w:noProof/>
            <w:webHidden/>
          </w:rPr>
          <w:tab/>
        </w:r>
        <w:r w:rsidR="00D30C93">
          <w:rPr>
            <w:noProof/>
            <w:webHidden/>
          </w:rPr>
          <w:fldChar w:fldCharType="begin"/>
        </w:r>
        <w:r w:rsidR="00D30C93">
          <w:rPr>
            <w:noProof/>
            <w:webHidden/>
          </w:rPr>
          <w:instrText xml:space="preserve"> PAGEREF _Toc491854263 \h </w:instrText>
        </w:r>
        <w:r w:rsidR="00D30C93">
          <w:rPr>
            <w:noProof/>
            <w:webHidden/>
          </w:rPr>
        </w:r>
        <w:r w:rsidR="00D30C93">
          <w:rPr>
            <w:noProof/>
            <w:webHidden/>
          </w:rPr>
          <w:fldChar w:fldCharType="separate"/>
        </w:r>
        <w:r w:rsidR="001B3D1D">
          <w:rPr>
            <w:noProof/>
            <w:webHidden/>
          </w:rPr>
          <w:t>195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64" w:history="1">
        <w:r w:rsidR="00D30C93" w:rsidRPr="00F57C6C">
          <w:rPr>
            <w:rStyle w:val="Hyperlink"/>
            <w:noProof/>
            <w:lang w:val="en-GB"/>
          </w:rPr>
          <w:t>Article 30.05 Marking</w:t>
        </w:r>
        <w:r w:rsidR="00D30C93">
          <w:rPr>
            <w:noProof/>
            <w:webHidden/>
          </w:rPr>
          <w:tab/>
        </w:r>
        <w:r w:rsidR="00D30C93">
          <w:rPr>
            <w:noProof/>
            <w:webHidden/>
          </w:rPr>
          <w:fldChar w:fldCharType="begin"/>
        </w:r>
        <w:r w:rsidR="00D30C93">
          <w:rPr>
            <w:noProof/>
            <w:webHidden/>
          </w:rPr>
          <w:instrText xml:space="preserve"> PAGEREF _Toc491854264 \h </w:instrText>
        </w:r>
        <w:r w:rsidR="00D30C93">
          <w:rPr>
            <w:noProof/>
            <w:webHidden/>
          </w:rPr>
        </w:r>
        <w:r w:rsidR="00D30C93">
          <w:rPr>
            <w:noProof/>
            <w:webHidden/>
          </w:rPr>
          <w:fldChar w:fldCharType="separate"/>
        </w:r>
        <w:r w:rsidR="001B3D1D">
          <w:rPr>
            <w:noProof/>
            <w:webHidden/>
          </w:rPr>
          <w:t>195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65" w:history="1">
        <w:r w:rsidR="00D30C93" w:rsidRPr="00F57C6C">
          <w:rPr>
            <w:rStyle w:val="Hyperlink"/>
            <w:noProof/>
            <w:lang w:val="en-GB"/>
          </w:rPr>
          <w:t>Article 30.06 Independent propulsion</w:t>
        </w:r>
        <w:r w:rsidR="00D30C93">
          <w:rPr>
            <w:noProof/>
            <w:webHidden/>
          </w:rPr>
          <w:tab/>
        </w:r>
        <w:r w:rsidR="00D30C93">
          <w:rPr>
            <w:noProof/>
            <w:webHidden/>
          </w:rPr>
          <w:fldChar w:fldCharType="begin"/>
        </w:r>
        <w:r w:rsidR="00D30C93">
          <w:rPr>
            <w:noProof/>
            <w:webHidden/>
          </w:rPr>
          <w:instrText xml:space="preserve"> PAGEREF _Toc491854265 \h </w:instrText>
        </w:r>
        <w:r w:rsidR="00D30C93">
          <w:rPr>
            <w:noProof/>
            <w:webHidden/>
          </w:rPr>
        </w:r>
        <w:r w:rsidR="00D30C93">
          <w:rPr>
            <w:noProof/>
            <w:webHidden/>
          </w:rPr>
          <w:fldChar w:fldCharType="separate"/>
        </w:r>
        <w:r w:rsidR="001B3D1D">
          <w:rPr>
            <w:noProof/>
            <w:webHidden/>
          </w:rPr>
          <w:t>195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66" w:history="1">
        <w:r w:rsidR="00D30C93" w:rsidRPr="00F57C6C">
          <w:rPr>
            <w:rStyle w:val="Hyperlink"/>
            <w:noProof/>
            <w:lang w:val="en-GB"/>
          </w:rPr>
          <w:t>Article 30.07 Technical services</w:t>
        </w:r>
        <w:r w:rsidR="00D30C93">
          <w:rPr>
            <w:noProof/>
            <w:webHidden/>
          </w:rPr>
          <w:tab/>
        </w:r>
        <w:r w:rsidR="00D30C93">
          <w:rPr>
            <w:noProof/>
            <w:webHidden/>
          </w:rPr>
          <w:fldChar w:fldCharType="begin"/>
        </w:r>
        <w:r w:rsidR="00D30C93">
          <w:rPr>
            <w:noProof/>
            <w:webHidden/>
          </w:rPr>
          <w:instrText xml:space="preserve"> PAGEREF _Toc491854266 \h </w:instrText>
        </w:r>
        <w:r w:rsidR="00D30C93">
          <w:rPr>
            <w:noProof/>
            <w:webHidden/>
          </w:rPr>
        </w:r>
        <w:r w:rsidR="00D30C93">
          <w:rPr>
            <w:noProof/>
            <w:webHidden/>
          </w:rPr>
          <w:fldChar w:fldCharType="separate"/>
        </w:r>
        <w:r w:rsidR="001B3D1D">
          <w:rPr>
            <w:noProof/>
            <w:webHidden/>
          </w:rPr>
          <w:t>195</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267" w:history="1">
        <w:r w:rsidR="00D30C93" w:rsidRPr="00F57C6C">
          <w:rPr>
            <w:rStyle w:val="Hyperlink"/>
            <w:noProof/>
          </w:rPr>
          <w:t>Chapter 31 Special provisions applicable to vessels sailing with minimum crew</w:t>
        </w:r>
        <w:r w:rsidR="00A259A9">
          <w:rPr>
            <w:rStyle w:val="Hyperlink"/>
            <w:noProof/>
          </w:rPr>
          <w:t>…………..</w:t>
        </w:r>
        <w:r w:rsidR="00D30C93">
          <w:rPr>
            <w:noProof/>
            <w:webHidden/>
          </w:rPr>
          <w:fldChar w:fldCharType="begin"/>
        </w:r>
        <w:r w:rsidR="00D30C93">
          <w:rPr>
            <w:noProof/>
            <w:webHidden/>
          </w:rPr>
          <w:instrText xml:space="preserve"> PAGEREF _Toc491854267 \h </w:instrText>
        </w:r>
        <w:r w:rsidR="00D30C93">
          <w:rPr>
            <w:noProof/>
            <w:webHidden/>
          </w:rPr>
        </w:r>
        <w:r w:rsidR="00D30C93">
          <w:rPr>
            <w:noProof/>
            <w:webHidden/>
          </w:rPr>
          <w:fldChar w:fldCharType="separate"/>
        </w:r>
        <w:r w:rsidR="001B3D1D">
          <w:rPr>
            <w:noProof/>
            <w:webHidden/>
          </w:rPr>
          <w:t>197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68" w:history="1">
        <w:r w:rsidR="00D30C93" w:rsidRPr="00F57C6C">
          <w:rPr>
            <w:rStyle w:val="Hyperlink"/>
            <w:noProof/>
            <w:lang w:val="en-US"/>
          </w:rPr>
          <w:t>Article 31.01 Vessels' equipment</w:t>
        </w:r>
        <w:r w:rsidR="00D30C93">
          <w:rPr>
            <w:noProof/>
            <w:webHidden/>
          </w:rPr>
          <w:tab/>
        </w:r>
        <w:r w:rsidR="00D30C93">
          <w:rPr>
            <w:noProof/>
            <w:webHidden/>
          </w:rPr>
          <w:fldChar w:fldCharType="begin"/>
        </w:r>
        <w:r w:rsidR="00D30C93">
          <w:rPr>
            <w:noProof/>
            <w:webHidden/>
          </w:rPr>
          <w:instrText xml:space="preserve"> PAGEREF _Toc491854268 \h </w:instrText>
        </w:r>
        <w:r w:rsidR="00D30C93">
          <w:rPr>
            <w:noProof/>
            <w:webHidden/>
          </w:rPr>
        </w:r>
        <w:r w:rsidR="00D30C93">
          <w:rPr>
            <w:noProof/>
            <w:webHidden/>
          </w:rPr>
          <w:fldChar w:fldCharType="separate"/>
        </w:r>
        <w:r w:rsidR="001B3D1D">
          <w:rPr>
            <w:noProof/>
            <w:webHidden/>
          </w:rPr>
          <w:t>197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69" w:history="1">
        <w:r w:rsidR="00D30C93" w:rsidRPr="00F57C6C">
          <w:rPr>
            <w:rStyle w:val="Hyperlink"/>
            <w:noProof/>
            <w:lang w:val="en-US"/>
          </w:rPr>
          <w:t xml:space="preserve">Article 31.02 </w:t>
        </w:r>
        <w:r w:rsidR="00D30C93" w:rsidRPr="00F57C6C">
          <w:rPr>
            <w:rStyle w:val="Hyperlink"/>
            <w:rFonts w:cs="Arial"/>
            <w:noProof/>
            <w:lang w:val="en-US" w:bidi="fr-FR"/>
          </w:rPr>
          <w:t>Standard S1</w:t>
        </w:r>
        <w:r w:rsidR="00D30C93">
          <w:rPr>
            <w:noProof/>
            <w:webHidden/>
          </w:rPr>
          <w:tab/>
        </w:r>
        <w:r w:rsidR="00D30C93">
          <w:rPr>
            <w:noProof/>
            <w:webHidden/>
          </w:rPr>
          <w:fldChar w:fldCharType="begin"/>
        </w:r>
        <w:r w:rsidR="00D30C93">
          <w:rPr>
            <w:noProof/>
            <w:webHidden/>
          </w:rPr>
          <w:instrText xml:space="preserve"> PAGEREF _Toc491854269 \h </w:instrText>
        </w:r>
        <w:r w:rsidR="00D30C93">
          <w:rPr>
            <w:noProof/>
            <w:webHidden/>
          </w:rPr>
        </w:r>
        <w:r w:rsidR="00D30C93">
          <w:rPr>
            <w:noProof/>
            <w:webHidden/>
          </w:rPr>
          <w:fldChar w:fldCharType="separate"/>
        </w:r>
        <w:r w:rsidR="001B3D1D">
          <w:rPr>
            <w:noProof/>
            <w:webHidden/>
          </w:rPr>
          <w:t>197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70" w:history="1">
        <w:r w:rsidR="00D30C93" w:rsidRPr="00F57C6C">
          <w:rPr>
            <w:rStyle w:val="Hyperlink"/>
            <w:noProof/>
            <w:lang w:val="en-US"/>
          </w:rPr>
          <w:t xml:space="preserve">Article 31.03 </w:t>
        </w:r>
        <w:r w:rsidR="00D30C93" w:rsidRPr="00F57C6C">
          <w:rPr>
            <w:rStyle w:val="Hyperlink"/>
            <w:rFonts w:cs="Arial"/>
            <w:noProof/>
            <w:lang w:val="en-US" w:bidi="fr-FR"/>
          </w:rPr>
          <w:t>Standard S2</w:t>
        </w:r>
        <w:r w:rsidR="00D30C93">
          <w:rPr>
            <w:noProof/>
            <w:webHidden/>
          </w:rPr>
          <w:tab/>
        </w:r>
        <w:r w:rsidR="00D30C93">
          <w:rPr>
            <w:noProof/>
            <w:webHidden/>
          </w:rPr>
          <w:fldChar w:fldCharType="begin"/>
        </w:r>
        <w:r w:rsidR="00D30C93">
          <w:rPr>
            <w:noProof/>
            <w:webHidden/>
          </w:rPr>
          <w:instrText xml:space="preserve"> PAGEREF _Toc491854270 \h </w:instrText>
        </w:r>
        <w:r w:rsidR="00D30C93">
          <w:rPr>
            <w:noProof/>
            <w:webHidden/>
          </w:rPr>
        </w:r>
        <w:r w:rsidR="00D30C93">
          <w:rPr>
            <w:noProof/>
            <w:webHidden/>
          </w:rPr>
          <w:fldChar w:fldCharType="separate"/>
        </w:r>
        <w:r w:rsidR="001B3D1D">
          <w:rPr>
            <w:noProof/>
            <w:webHidden/>
          </w:rPr>
          <w:t>198</w:t>
        </w:r>
        <w:r w:rsidR="00D30C93">
          <w:rPr>
            <w:noProof/>
            <w:webHidden/>
          </w:rPr>
          <w:fldChar w:fldCharType="end"/>
        </w:r>
      </w:hyperlink>
    </w:p>
    <w:p w:rsidR="00D30C93" w:rsidRDefault="00F12BAF">
      <w:pPr>
        <w:pStyle w:val="TOC1"/>
        <w:rPr>
          <w:rFonts w:asciiTheme="minorHAnsi" w:eastAsiaTheme="minorEastAsia" w:hAnsiTheme="minorHAnsi" w:cstheme="minorBidi"/>
          <w:b w:val="0"/>
          <w:bCs w:val="0"/>
          <w:caps w:val="0"/>
          <w:noProof/>
          <w:sz w:val="22"/>
          <w:szCs w:val="22"/>
        </w:rPr>
      </w:pPr>
      <w:hyperlink w:anchor="_Toc491854271" w:history="1">
        <w:r w:rsidR="00D30C93" w:rsidRPr="00F57C6C">
          <w:rPr>
            <w:rStyle w:val="Hyperlink"/>
            <w:noProof/>
          </w:rPr>
          <w:t>PART IV TRANSITIONAL PROVISIONS</w:t>
        </w:r>
        <w:r w:rsidR="00D30C93">
          <w:rPr>
            <w:noProof/>
            <w:webHidden/>
          </w:rPr>
          <w:tab/>
        </w:r>
        <w:r w:rsidR="00D30C93">
          <w:rPr>
            <w:noProof/>
            <w:webHidden/>
          </w:rPr>
          <w:fldChar w:fldCharType="begin"/>
        </w:r>
        <w:r w:rsidR="00D30C93">
          <w:rPr>
            <w:noProof/>
            <w:webHidden/>
          </w:rPr>
          <w:instrText xml:space="preserve"> PAGEREF _Toc491854271 \h </w:instrText>
        </w:r>
        <w:r w:rsidR="00D30C93">
          <w:rPr>
            <w:noProof/>
            <w:webHidden/>
          </w:rPr>
        </w:r>
        <w:r w:rsidR="00D30C93">
          <w:rPr>
            <w:noProof/>
            <w:webHidden/>
          </w:rPr>
          <w:fldChar w:fldCharType="separate"/>
        </w:r>
        <w:r w:rsidR="001B3D1D">
          <w:rPr>
            <w:noProof/>
            <w:webHidden/>
          </w:rPr>
          <w:t>199</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272" w:history="1">
        <w:r w:rsidR="00D30C93" w:rsidRPr="00F57C6C">
          <w:rPr>
            <w:rStyle w:val="Hyperlink"/>
            <w:noProof/>
          </w:rPr>
          <w:t>Chapter 32 Transitional provisions for craft navigating on the Rhine (Zone R)</w:t>
        </w:r>
        <w:r w:rsidR="00502B55">
          <w:rPr>
            <w:rStyle w:val="Hyperlink"/>
            <w:noProof/>
          </w:rPr>
          <w:t>………….</w:t>
        </w:r>
        <w:r w:rsidR="00D30C93">
          <w:rPr>
            <w:noProof/>
            <w:webHidden/>
          </w:rPr>
          <w:fldChar w:fldCharType="begin"/>
        </w:r>
        <w:r w:rsidR="00D30C93">
          <w:rPr>
            <w:noProof/>
            <w:webHidden/>
          </w:rPr>
          <w:instrText xml:space="preserve"> PAGEREF _Toc491854272 \h </w:instrText>
        </w:r>
        <w:r w:rsidR="00D30C93">
          <w:rPr>
            <w:noProof/>
            <w:webHidden/>
          </w:rPr>
        </w:r>
        <w:r w:rsidR="00D30C93">
          <w:rPr>
            <w:noProof/>
            <w:webHidden/>
          </w:rPr>
          <w:fldChar w:fldCharType="separate"/>
        </w:r>
        <w:r w:rsidR="001B3D1D">
          <w:rPr>
            <w:noProof/>
            <w:webHidden/>
          </w:rPr>
          <w:t>199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73" w:history="1">
        <w:r w:rsidR="00D30C93" w:rsidRPr="00F57C6C">
          <w:rPr>
            <w:rStyle w:val="Hyperlink"/>
            <w:noProof/>
            <w:lang w:val="en-US"/>
          </w:rPr>
          <w:t>Article 32.01</w:t>
        </w:r>
        <w:r w:rsidR="00946CF6">
          <w:rPr>
            <w:rStyle w:val="Hyperlink"/>
            <w:noProof/>
            <w:lang w:val="en-US"/>
          </w:rPr>
          <w:t xml:space="preserve"> </w:t>
        </w:r>
      </w:hyperlink>
      <w:hyperlink w:anchor="_Toc491854274" w:history="1">
        <w:r w:rsidR="00D30C93" w:rsidRPr="00F57C6C">
          <w:rPr>
            <w:rStyle w:val="Hyperlink"/>
            <w:noProof/>
            <w:lang w:val="en-US"/>
          </w:rPr>
          <w:t>Applicability of transitional provisions to craft which are already in service</w:t>
        </w:r>
        <w:r w:rsidR="00D30C93">
          <w:rPr>
            <w:noProof/>
            <w:webHidden/>
          </w:rPr>
          <w:tab/>
        </w:r>
        <w:r w:rsidR="00D30C93">
          <w:rPr>
            <w:noProof/>
            <w:webHidden/>
          </w:rPr>
          <w:fldChar w:fldCharType="begin"/>
        </w:r>
        <w:r w:rsidR="00D30C93">
          <w:rPr>
            <w:noProof/>
            <w:webHidden/>
          </w:rPr>
          <w:instrText xml:space="preserve"> PAGEREF _Toc491854274 \h </w:instrText>
        </w:r>
        <w:r w:rsidR="00D30C93">
          <w:rPr>
            <w:noProof/>
            <w:webHidden/>
          </w:rPr>
        </w:r>
        <w:r w:rsidR="00D30C93">
          <w:rPr>
            <w:noProof/>
            <w:webHidden/>
          </w:rPr>
          <w:fldChar w:fldCharType="separate"/>
        </w:r>
        <w:r w:rsidR="001B3D1D">
          <w:rPr>
            <w:noProof/>
            <w:webHidden/>
          </w:rPr>
          <w:t>199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75" w:history="1">
        <w:r w:rsidR="00D30C93" w:rsidRPr="00F57C6C">
          <w:rPr>
            <w:rStyle w:val="Hyperlink"/>
            <w:noProof/>
            <w:lang w:val="en-US"/>
          </w:rPr>
          <w:t>Article 32.02</w:t>
        </w:r>
        <w:r w:rsidR="00946CF6">
          <w:rPr>
            <w:rStyle w:val="Hyperlink"/>
            <w:noProof/>
            <w:lang w:val="en-US"/>
          </w:rPr>
          <w:t xml:space="preserve"> </w:t>
        </w:r>
      </w:hyperlink>
      <w:hyperlink w:anchor="_Toc491854276" w:history="1">
        <w:r w:rsidR="00D30C93" w:rsidRPr="00F57C6C">
          <w:rPr>
            <w:rStyle w:val="Hyperlink"/>
            <w:noProof/>
            <w:lang w:val="en-US"/>
          </w:rPr>
          <w:t>Transitional provisions for craft which are already in service</w:t>
        </w:r>
        <w:r w:rsidR="00D30C93">
          <w:rPr>
            <w:noProof/>
            <w:webHidden/>
          </w:rPr>
          <w:tab/>
        </w:r>
        <w:r w:rsidR="00D30C93">
          <w:rPr>
            <w:noProof/>
            <w:webHidden/>
          </w:rPr>
          <w:fldChar w:fldCharType="begin"/>
        </w:r>
        <w:r w:rsidR="00D30C93">
          <w:rPr>
            <w:noProof/>
            <w:webHidden/>
          </w:rPr>
          <w:instrText xml:space="preserve"> PAGEREF _Toc491854276 \h </w:instrText>
        </w:r>
        <w:r w:rsidR="00D30C93">
          <w:rPr>
            <w:noProof/>
            <w:webHidden/>
          </w:rPr>
        </w:r>
        <w:r w:rsidR="00D30C93">
          <w:rPr>
            <w:noProof/>
            <w:webHidden/>
          </w:rPr>
          <w:fldChar w:fldCharType="separate"/>
        </w:r>
        <w:r w:rsidR="001B3D1D">
          <w:rPr>
            <w:noProof/>
            <w:webHidden/>
          </w:rPr>
          <w:t>199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77" w:history="1">
        <w:r w:rsidR="00D30C93" w:rsidRPr="00F57C6C">
          <w:rPr>
            <w:rStyle w:val="Hyperlink"/>
            <w:noProof/>
            <w:lang w:val="en-US"/>
          </w:rPr>
          <w:t>Article 32.03</w:t>
        </w:r>
        <w:r w:rsidR="00946CF6">
          <w:rPr>
            <w:rStyle w:val="Hyperlink"/>
            <w:noProof/>
            <w:lang w:val="en-US"/>
          </w:rPr>
          <w:t xml:space="preserve"> </w:t>
        </w:r>
      </w:hyperlink>
      <w:hyperlink w:anchor="_Toc491854278" w:history="1">
        <w:r w:rsidR="00D30C93" w:rsidRPr="00F57C6C">
          <w:rPr>
            <w:rStyle w:val="Hyperlink"/>
            <w:noProof/>
            <w:lang w:val="en-US"/>
          </w:rPr>
          <w:t>Additional transitional provisions for craft which were laid down on or before 1</w:t>
        </w:r>
        <w:r w:rsidR="00946CF6">
          <w:rPr>
            <w:rStyle w:val="Hyperlink"/>
            <w:noProof/>
            <w:lang w:val="en-US"/>
          </w:rPr>
          <w:t> </w:t>
        </w:r>
        <w:r w:rsidR="00D30C93" w:rsidRPr="00F57C6C">
          <w:rPr>
            <w:rStyle w:val="Hyperlink"/>
            <w:noProof/>
            <w:lang w:val="en-US"/>
          </w:rPr>
          <w:t>April</w:t>
        </w:r>
        <w:r w:rsidR="00946CF6">
          <w:rPr>
            <w:rStyle w:val="Hyperlink"/>
            <w:noProof/>
            <w:lang w:val="en-US"/>
          </w:rPr>
          <w:t> </w:t>
        </w:r>
        <w:r w:rsidR="00D30C93" w:rsidRPr="00F57C6C">
          <w:rPr>
            <w:rStyle w:val="Hyperlink"/>
            <w:noProof/>
            <w:lang w:val="en-US"/>
          </w:rPr>
          <w:t>1976</w:t>
        </w:r>
        <w:r w:rsidR="00D30C93">
          <w:rPr>
            <w:noProof/>
            <w:webHidden/>
          </w:rPr>
          <w:tab/>
        </w:r>
        <w:r w:rsidR="00D30C93">
          <w:rPr>
            <w:noProof/>
            <w:webHidden/>
          </w:rPr>
          <w:fldChar w:fldCharType="begin"/>
        </w:r>
        <w:r w:rsidR="00D30C93">
          <w:rPr>
            <w:noProof/>
            <w:webHidden/>
          </w:rPr>
          <w:instrText xml:space="preserve"> PAGEREF _Toc491854278 \h </w:instrText>
        </w:r>
        <w:r w:rsidR="00D30C93">
          <w:rPr>
            <w:noProof/>
            <w:webHidden/>
          </w:rPr>
        </w:r>
        <w:r w:rsidR="00D30C93">
          <w:rPr>
            <w:noProof/>
            <w:webHidden/>
          </w:rPr>
          <w:fldChar w:fldCharType="separate"/>
        </w:r>
        <w:r w:rsidR="001B3D1D">
          <w:rPr>
            <w:noProof/>
            <w:webHidden/>
          </w:rPr>
          <w:t>225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79" w:history="1">
        <w:r w:rsidR="00D30C93" w:rsidRPr="00F57C6C">
          <w:rPr>
            <w:rStyle w:val="Hyperlink"/>
            <w:noProof/>
            <w:lang w:val="en-US"/>
          </w:rPr>
          <w:t>Article 32.04</w:t>
        </w:r>
        <w:r w:rsidR="00946CF6">
          <w:rPr>
            <w:rStyle w:val="Hyperlink"/>
            <w:noProof/>
            <w:lang w:val="en-US"/>
          </w:rPr>
          <w:t xml:space="preserve"> </w:t>
        </w:r>
      </w:hyperlink>
      <w:hyperlink w:anchor="_Toc491854280" w:history="1">
        <w:r w:rsidR="00D30C93" w:rsidRPr="00F57C6C">
          <w:rPr>
            <w:rStyle w:val="Hyperlink"/>
            <w:noProof/>
            <w:lang w:val="en-US"/>
          </w:rPr>
          <w:t>Other transitional provisions</w:t>
        </w:r>
        <w:r w:rsidR="00D30C93">
          <w:rPr>
            <w:noProof/>
            <w:webHidden/>
          </w:rPr>
          <w:tab/>
        </w:r>
        <w:r w:rsidR="00D30C93">
          <w:rPr>
            <w:noProof/>
            <w:webHidden/>
          </w:rPr>
          <w:fldChar w:fldCharType="begin"/>
        </w:r>
        <w:r w:rsidR="00D30C93">
          <w:rPr>
            <w:noProof/>
            <w:webHidden/>
          </w:rPr>
          <w:instrText xml:space="preserve"> PAGEREF _Toc491854280 \h </w:instrText>
        </w:r>
        <w:r w:rsidR="00D30C93">
          <w:rPr>
            <w:noProof/>
            <w:webHidden/>
          </w:rPr>
        </w:r>
        <w:r w:rsidR="00D30C93">
          <w:rPr>
            <w:noProof/>
            <w:webHidden/>
          </w:rPr>
          <w:fldChar w:fldCharType="separate"/>
        </w:r>
        <w:r w:rsidR="001B3D1D">
          <w:rPr>
            <w:noProof/>
            <w:webHidden/>
          </w:rPr>
          <w:t>228</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81" w:history="1">
        <w:r w:rsidR="00D30C93" w:rsidRPr="00F57C6C">
          <w:rPr>
            <w:rStyle w:val="Hyperlink"/>
            <w:noProof/>
            <w:lang w:val="en-US"/>
          </w:rPr>
          <w:t>Article 32.05</w:t>
        </w:r>
        <w:r w:rsidR="00946CF6">
          <w:rPr>
            <w:rStyle w:val="Hyperlink"/>
            <w:noProof/>
            <w:lang w:val="en-US"/>
          </w:rPr>
          <w:t xml:space="preserve"> </w:t>
        </w:r>
      </w:hyperlink>
      <w:hyperlink w:anchor="_Toc491854282" w:history="1">
        <w:r w:rsidR="00D30C93" w:rsidRPr="00F57C6C">
          <w:rPr>
            <w:rStyle w:val="Hyperlink"/>
            <w:noProof/>
            <w:lang w:val="en-US"/>
          </w:rPr>
          <w:t>Transitional provisions for craft not covered by Article 32.01</w:t>
        </w:r>
        <w:r w:rsidR="00D30C93">
          <w:rPr>
            <w:noProof/>
            <w:webHidden/>
          </w:rPr>
          <w:tab/>
        </w:r>
        <w:r w:rsidR="00D30C93">
          <w:rPr>
            <w:noProof/>
            <w:webHidden/>
          </w:rPr>
          <w:fldChar w:fldCharType="begin"/>
        </w:r>
        <w:r w:rsidR="00D30C93">
          <w:rPr>
            <w:noProof/>
            <w:webHidden/>
          </w:rPr>
          <w:instrText xml:space="preserve"> PAGEREF _Toc491854282 \h </w:instrText>
        </w:r>
        <w:r w:rsidR="00D30C93">
          <w:rPr>
            <w:noProof/>
            <w:webHidden/>
          </w:rPr>
        </w:r>
        <w:r w:rsidR="00D30C93">
          <w:rPr>
            <w:noProof/>
            <w:webHidden/>
          </w:rPr>
          <w:fldChar w:fldCharType="separate"/>
        </w:r>
        <w:r w:rsidR="001B3D1D">
          <w:rPr>
            <w:noProof/>
            <w:webHidden/>
          </w:rPr>
          <w:t>229</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283" w:history="1">
        <w:r w:rsidR="00D30C93" w:rsidRPr="00F57C6C">
          <w:rPr>
            <w:rStyle w:val="Hyperlink"/>
            <w:noProof/>
          </w:rPr>
          <w:t>Chapter 33 Transitional provisions for craft operating exclusively on waterways outside the Rhine (Zone R)</w:t>
        </w:r>
        <w:r w:rsidR="00502B55">
          <w:rPr>
            <w:rStyle w:val="Hyperlink"/>
            <w:noProof/>
          </w:rPr>
          <w:t>…………………………………………………………………………………...</w:t>
        </w:r>
        <w:r w:rsidR="00D30C93">
          <w:rPr>
            <w:noProof/>
            <w:webHidden/>
          </w:rPr>
          <w:fldChar w:fldCharType="begin"/>
        </w:r>
        <w:r w:rsidR="00D30C93">
          <w:rPr>
            <w:noProof/>
            <w:webHidden/>
          </w:rPr>
          <w:instrText xml:space="preserve"> PAGEREF _Toc491854283 \h </w:instrText>
        </w:r>
        <w:r w:rsidR="00D30C93">
          <w:rPr>
            <w:noProof/>
            <w:webHidden/>
          </w:rPr>
        </w:r>
        <w:r w:rsidR="00D30C93">
          <w:rPr>
            <w:noProof/>
            <w:webHidden/>
          </w:rPr>
          <w:fldChar w:fldCharType="separate"/>
        </w:r>
        <w:r w:rsidR="001B3D1D">
          <w:rPr>
            <w:noProof/>
            <w:webHidden/>
          </w:rPr>
          <w:t>249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84" w:history="1">
        <w:r w:rsidR="00D30C93" w:rsidRPr="00F57C6C">
          <w:rPr>
            <w:rStyle w:val="Hyperlink"/>
            <w:noProof/>
            <w:lang w:val="en-US"/>
          </w:rPr>
          <w:t>Article 33.01</w:t>
        </w:r>
        <w:r w:rsidR="00946CF6">
          <w:rPr>
            <w:rStyle w:val="Hyperlink"/>
            <w:noProof/>
            <w:lang w:val="en-US"/>
          </w:rPr>
          <w:t xml:space="preserve"> </w:t>
        </w:r>
      </w:hyperlink>
      <w:hyperlink w:anchor="_Toc491854285" w:history="1">
        <w:r w:rsidR="00D30C93" w:rsidRPr="00F57C6C">
          <w:rPr>
            <w:rStyle w:val="Hyperlink"/>
            <w:noProof/>
            <w:lang w:val="en-US"/>
          </w:rPr>
          <w:t>Applicability of transitional provisions to craft which are already in service</w:t>
        </w:r>
        <w:r w:rsidR="00D30C93">
          <w:rPr>
            <w:noProof/>
            <w:webHidden/>
          </w:rPr>
          <w:tab/>
        </w:r>
        <w:r w:rsidR="00D30C93">
          <w:rPr>
            <w:noProof/>
            <w:webHidden/>
          </w:rPr>
          <w:fldChar w:fldCharType="begin"/>
        </w:r>
        <w:r w:rsidR="00D30C93">
          <w:rPr>
            <w:noProof/>
            <w:webHidden/>
          </w:rPr>
          <w:instrText xml:space="preserve"> PAGEREF _Toc491854285 \h </w:instrText>
        </w:r>
        <w:r w:rsidR="00D30C93">
          <w:rPr>
            <w:noProof/>
            <w:webHidden/>
          </w:rPr>
        </w:r>
        <w:r w:rsidR="00D30C93">
          <w:rPr>
            <w:noProof/>
            <w:webHidden/>
          </w:rPr>
          <w:fldChar w:fldCharType="separate"/>
        </w:r>
        <w:r w:rsidR="001B3D1D">
          <w:rPr>
            <w:noProof/>
            <w:webHidden/>
          </w:rPr>
          <w:t>249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86" w:history="1">
        <w:r w:rsidR="00D30C93" w:rsidRPr="00F57C6C">
          <w:rPr>
            <w:rStyle w:val="Hyperlink"/>
            <w:noProof/>
            <w:lang w:val="en-US" w:bidi="fr-FR"/>
          </w:rPr>
          <w:t>Article 33.02</w:t>
        </w:r>
        <w:r w:rsidR="00946CF6">
          <w:rPr>
            <w:rStyle w:val="Hyperlink"/>
            <w:noProof/>
            <w:lang w:val="en-US" w:bidi="fr-FR"/>
          </w:rPr>
          <w:t xml:space="preserve"> </w:t>
        </w:r>
      </w:hyperlink>
      <w:hyperlink w:anchor="_Toc491854287" w:history="1">
        <w:r w:rsidR="00D30C93" w:rsidRPr="00F57C6C">
          <w:rPr>
            <w:rStyle w:val="Hyperlink"/>
            <w:noProof/>
            <w:lang w:val="en-US"/>
          </w:rPr>
          <w:t>Transitional provisions for craft which are already in service</w:t>
        </w:r>
        <w:r w:rsidR="00D30C93">
          <w:rPr>
            <w:noProof/>
            <w:webHidden/>
          </w:rPr>
          <w:tab/>
        </w:r>
        <w:r w:rsidR="00D30C93">
          <w:rPr>
            <w:noProof/>
            <w:webHidden/>
          </w:rPr>
          <w:fldChar w:fldCharType="begin"/>
        </w:r>
        <w:r w:rsidR="00D30C93">
          <w:rPr>
            <w:noProof/>
            <w:webHidden/>
          </w:rPr>
          <w:instrText xml:space="preserve"> PAGEREF _Toc491854287 \h </w:instrText>
        </w:r>
        <w:r w:rsidR="00D30C93">
          <w:rPr>
            <w:noProof/>
            <w:webHidden/>
          </w:rPr>
        </w:r>
        <w:r w:rsidR="00D30C93">
          <w:rPr>
            <w:noProof/>
            <w:webHidden/>
          </w:rPr>
          <w:fldChar w:fldCharType="separate"/>
        </w:r>
        <w:r w:rsidR="001B3D1D">
          <w:rPr>
            <w:noProof/>
            <w:webHidden/>
          </w:rPr>
          <w:t>249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88" w:history="1">
        <w:r w:rsidR="00D30C93" w:rsidRPr="00F57C6C">
          <w:rPr>
            <w:rStyle w:val="Hyperlink"/>
            <w:noProof/>
            <w:lang w:val="en-US"/>
          </w:rPr>
          <w:t>Article 33.03</w:t>
        </w:r>
        <w:r w:rsidR="00946CF6">
          <w:rPr>
            <w:rStyle w:val="Hyperlink"/>
            <w:noProof/>
            <w:lang w:val="en-US"/>
          </w:rPr>
          <w:t xml:space="preserve"> </w:t>
        </w:r>
      </w:hyperlink>
      <w:hyperlink w:anchor="_Toc491854289" w:history="1">
        <w:r w:rsidR="00D30C93" w:rsidRPr="00F57C6C">
          <w:rPr>
            <w:rStyle w:val="Hyperlink"/>
            <w:noProof/>
            <w:lang w:val="en-US"/>
          </w:rPr>
          <w:t>Additional transitional provisions for craft which were laid down before 1</w:t>
        </w:r>
        <w:r w:rsidR="00946CF6">
          <w:rPr>
            <w:rStyle w:val="Hyperlink"/>
            <w:noProof/>
            <w:lang w:val="en-US"/>
          </w:rPr>
          <w:t> </w:t>
        </w:r>
        <w:r w:rsidR="00D30C93" w:rsidRPr="00F57C6C">
          <w:rPr>
            <w:rStyle w:val="Hyperlink"/>
            <w:noProof/>
            <w:lang w:val="en-US"/>
          </w:rPr>
          <w:t>January</w:t>
        </w:r>
        <w:r w:rsidR="00946CF6">
          <w:rPr>
            <w:rStyle w:val="Hyperlink"/>
            <w:noProof/>
            <w:lang w:val="en-US"/>
          </w:rPr>
          <w:t> </w:t>
        </w:r>
        <w:r w:rsidR="00D30C93" w:rsidRPr="00F57C6C">
          <w:rPr>
            <w:rStyle w:val="Hyperlink"/>
            <w:noProof/>
            <w:lang w:val="en-US"/>
          </w:rPr>
          <w:t>1985</w:t>
        </w:r>
        <w:r w:rsidR="00D30C93">
          <w:rPr>
            <w:noProof/>
            <w:webHidden/>
          </w:rPr>
          <w:tab/>
        </w:r>
        <w:r w:rsidR="00D30C93">
          <w:rPr>
            <w:noProof/>
            <w:webHidden/>
          </w:rPr>
          <w:fldChar w:fldCharType="begin"/>
        </w:r>
        <w:r w:rsidR="00D30C93">
          <w:rPr>
            <w:noProof/>
            <w:webHidden/>
          </w:rPr>
          <w:instrText xml:space="preserve"> PAGEREF _Toc491854289 \h </w:instrText>
        </w:r>
        <w:r w:rsidR="00D30C93">
          <w:rPr>
            <w:noProof/>
            <w:webHidden/>
          </w:rPr>
        </w:r>
        <w:r w:rsidR="00D30C93">
          <w:rPr>
            <w:noProof/>
            <w:webHidden/>
          </w:rPr>
          <w:fldChar w:fldCharType="separate"/>
        </w:r>
        <w:r w:rsidR="001B3D1D">
          <w:rPr>
            <w:noProof/>
            <w:webHidden/>
          </w:rPr>
          <w:t>269</w:t>
        </w:r>
        <w:r w:rsidR="00D30C93">
          <w:rPr>
            <w:noProof/>
            <w:webHidden/>
          </w:rPr>
          <w:fldChar w:fldCharType="end"/>
        </w:r>
      </w:hyperlink>
    </w:p>
    <w:p w:rsidR="00D30C93" w:rsidRDefault="00F12BAF">
      <w:pPr>
        <w:pStyle w:val="TOC1"/>
        <w:rPr>
          <w:rFonts w:asciiTheme="minorHAnsi" w:eastAsiaTheme="minorEastAsia" w:hAnsiTheme="minorHAnsi" w:cstheme="minorBidi"/>
          <w:b w:val="0"/>
          <w:bCs w:val="0"/>
          <w:caps w:val="0"/>
          <w:noProof/>
          <w:sz w:val="22"/>
          <w:szCs w:val="22"/>
        </w:rPr>
      </w:pPr>
      <w:hyperlink w:anchor="_Toc491854290" w:history="1">
        <w:r w:rsidR="00D30C93" w:rsidRPr="00F57C6C">
          <w:rPr>
            <w:rStyle w:val="Hyperlink"/>
            <w:noProof/>
            <w:lang w:val="en-US"/>
          </w:rPr>
          <w:t>European standard annexes</w:t>
        </w:r>
        <w:r w:rsidR="00D30C93">
          <w:rPr>
            <w:noProof/>
            <w:webHidden/>
          </w:rPr>
          <w:tab/>
        </w:r>
        <w:r w:rsidR="00D30C93">
          <w:rPr>
            <w:noProof/>
            <w:webHidden/>
          </w:rPr>
          <w:fldChar w:fldCharType="begin"/>
        </w:r>
        <w:r w:rsidR="00D30C93">
          <w:rPr>
            <w:noProof/>
            <w:webHidden/>
          </w:rPr>
          <w:instrText xml:space="preserve"> PAGEREF _Toc491854290 \h </w:instrText>
        </w:r>
        <w:r w:rsidR="00D30C93">
          <w:rPr>
            <w:noProof/>
            <w:webHidden/>
          </w:rPr>
        </w:r>
        <w:r w:rsidR="00D30C93">
          <w:rPr>
            <w:noProof/>
            <w:webHidden/>
          </w:rPr>
          <w:fldChar w:fldCharType="separate"/>
        </w:r>
        <w:r w:rsidR="001B3D1D">
          <w:rPr>
            <w:noProof/>
            <w:webHidden/>
          </w:rPr>
          <w:t>273</w:t>
        </w:r>
        <w:r w:rsidR="00D30C93">
          <w:rPr>
            <w:noProof/>
            <w:webHidden/>
          </w:rPr>
          <w:fldChar w:fldCharType="end"/>
        </w:r>
      </w:hyperlink>
    </w:p>
    <w:p w:rsidR="00D30C93" w:rsidRDefault="00F12BAF">
      <w:pPr>
        <w:pStyle w:val="TOC1"/>
        <w:rPr>
          <w:rFonts w:asciiTheme="minorHAnsi" w:eastAsiaTheme="minorEastAsia" w:hAnsiTheme="minorHAnsi" w:cstheme="minorBidi"/>
          <w:b w:val="0"/>
          <w:bCs w:val="0"/>
          <w:caps w:val="0"/>
          <w:noProof/>
          <w:sz w:val="22"/>
          <w:szCs w:val="22"/>
        </w:rPr>
      </w:pPr>
      <w:hyperlink w:anchor="_Toc491854291" w:history="1">
        <w:r w:rsidR="00D30C93" w:rsidRPr="00F57C6C">
          <w:rPr>
            <w:rStyle w:val="Hyperlink"/>
            <w:noProof/>
          </w:rPr>
          <w:t>PART I VESSEL IDENTIFICATION AND REGISTER</w:t>
        </w:r>
        <w:r w:rsidR="00D30C93">
          <w:rPr>
            <w:noProof/>
            <w:webHidden/>
          </w:rPr>
          <w:tab/>
        </w:r>
        <w:r w:rsidR="00D30C93">
          <w:rPr>
            <w:noProof/>
            <w:webHidden/>
          </w:rPr>
          <w:fldChar w:fldCharType="begin"/>
        </w:r>
        <w:r w:rsidR="00D30C93">
          <w:rPr>
            <w:noProof/>
            <w:webHidden/>
          </w:rPr>
          <w:instrText xml:space="preserve"> PAGEREF _Toc491854291 \h </w:instrText>
        </w:r>
        <w:r w:rsidR="00D30C93">
          <w:rPr>
            <w:noProof/>
            <w:webHidden/>
          </w:rPr>
        </w:r>
        <w:r w:rsidR="00D30C93">
          <w:rPr>
            <w:noProof/>
            <w:webHidden/>
          </w:rPr>
          <w:fldChar w:fldCharType="separate"/>
        </w:r>
        <w:r w:rsidR="001B3D1D">
          <w:rPr>
            <w:noProof/>
            <w:webHidden/>
          </w:rPr>
          <w:t>275</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292" w:history="1">
        <w:r w:rsidR="00D30C93" w:rsidRPr="00F57C6C">
          <w:rPr>
            <w:rStyle w:val="Hyperlink"/>
            <w:noProof/>
          </w:rPr>
          <w:t>Annex 1 Model of the unique European vessel identification number (ENI)</w:t>
        </w:r>
        <w:r w:rsidR="00502B55">
          <w:rPr>
            <w:rStyle w:val="Hyperlink"/>
            <w:noProof/>
          </w:rPr>
          <w:t>…………………</w:t>
        </w:r>
        <w:r w:rsidR="00D30C93">
          <w:rPr>
            <w:noProof/>
            <w:webHidden/>
          </w:rPr>
          <w:fldChar w:fldCharType="begin"/>
        </w:r>
        <w:r w:rsidR="00D30C93">
          <w:rPr>
            <w:noProof/>
            <w:webHidden/>
          </w:rPr>
          <w:instrText xml:space="preserve"> PAGEREF _Toc491854292 \h </w:instrText>
        </w:r>
        <w:r w:rsidR="00D30C93">
          <w:rPr>
            <w:noProof/>
            <w:webHidden/>
          </w:rPr>
        </w:r>
        <w:r w:rsidR="00D30C93">
          <w:rPr>
            <w:noProof/>
            <w:webHidden/>
          </w:rPr>
          <w:fldChar w:fldCharType="separate"/>
        </w:r>
        <w:r w:rsidR="001B3D1D">
          <w:rPr>
            <w:noProof/>
            <w:webHidden/>
          </w:rPr>
          <w:t>275</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293" w:history="1">
        <w:r w:rsidR="00D30C93" w:rsidRPr="00F57C6C">
          <w:rPr>
            <w:rStyle w:val="Hyperlink"/>
            <w:noProof/>
          </w:rPr>
          <w:t>Annex 2 Data for the identification of a vessel</w:t>
        </w:r>
        <w:r w:rsidR="00502B55">
          <w:rPr>
            <w:webHidden/>
          </w:rPr>
          <w:t>………………</w:t>
        </w:r>
        <w:r w:rsidR="00AE129D">
          <w:rPr>
            <w:webHidden/>
          </w:rPr>
          <w:t>………………………………….</w:t>
        </w:r>
        <w:r w:rsidR="00D30C93">
          <w:rPr>
            <w:noProof/>
            <w:webHidden/>
          </w:rPr>
          <w:fldChar w:fldCharType="begin"/>
        </w:r>
        <w:r w:rsidR="00D30C93">
          <w:rPr>
            <w:noProof/>
            <w:webHidden/>
          </w:rPr>
          <w:instrText xml:space="preserve"> PAGEREF _Toc491854293 \h </w:instrText>
        </w:r>
        <w:r w:rsidR="00D30C93">
          <w:rPr>
            <w:noProof/>
            <w:webHidden/>
          </w:rPr>
        </w:r>
        <w:r w:rsidR="00D30C93">
          <w:rPr>
            <w:noProof/>
            <w:webHidden/>
          </w:rPr>
          <w:fldChar w:fldCharType="separate"/>
        </w:r>
        <w:r w:rsidR="001B3D1D">
          <w:rPr>
            <w:noProof/>
            <w:webHidden/>
          </w:rPr>
          <w:t>277</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294" w:history="1">
        <w:r w:rsidR="00D30C93" w:rsidRPr="00F57C6C">
          <w:rPr>
            <w:rStyle w:val="Hyperlink"/>
            <w:noProof/>
          </w:rPr>
          <w:t>Annex 3 Models of inland navigation vessel certificates and model of register of inland navigation vessel certificates</w:t>
        </w:r>
        <w:r w:rsidR="00D30C93">
          <w:rPr>
            <w:noProof/>
            <w:webHidden/>
          </w:rPr>
          <w:fldChar w:fldCharType="begin"/>
        </w:r>
        <w:r w:rsidR="00D30C93">
          <w:rPr>
            <w:noProof/>
            <w:webHidden/>
          </w:rPr>
          <w:instrText xml:space="preserve"> PAGEREF _Toc491854294 \h </w:instrText>
        </w:r>
        <w:r w:rsidR="00D30C93">
          <w:rPr>
            <w:noProof/>
            <w:webHidden/>
          </w:rPr>
        </w:r>
        <w:r w:rsidR="00D30C93">
          <w:rPr>
            <w:noProof/>
            <w:webHidden/>
          </w:rPr>
          <w:fldChar w:fldCharType="separate"/>
        </w:r>
        <w:r w:rsidR="001B3D1D">
          <w:rPr>
            <w:noProof/>
            <w:webHidden/>
          </w:rPr>
          <w:t>279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95" w:history="1">
        <w:r w:rsidR="00D30C93" w:rsidRPr="00F57C6C">
          <w:rPr>
            <w:rStyle w:val="Hyperlink"/>
            <w:noProof/>
            <w:lang w:val="en-US"/>
          </w:rPr>
          <w:t>Section I</w:t>
        </w:r>
        <w:r w:rsidR="00946CF6">
          <w:rPr>
            <w:rStyle w:val="Hyperlink"/>
            <w:noProof/>
            <w:lang w:val="en-US"/>
          </w:rPr>
          <w:t xml:space="preserve"> </w:t>
        </w:r>
      </w:hyperlink>
      <w:hyperlink w:anchor="_Toc491854296" w:history="1">
        <w:r w:rsidR="00D30C93" w:rsidRPr="00F57C6C">
          <w:rPr>
            <w:rStyle w:val="Hyperlink"/>
            <w:noProof/>
            <w:lang w:val="en-US"/>
          </w:rPr>
          <w:t>Model of inland navigation vessel certificate</w:t>
        </w:r>
        <w:r w:rsidR="00D30C93">
          <w:rPr>
            <w:noProof/>
            <w:webHidden/>
          </w:rPr>
          <w:tab/>
        </w:r>
        <w:r w:rsidR="00D30C93">
          <w:rPr>
            <w:noProof/>
            <w:webHidden/>
          </w:rPr>
          <w:fldChar w:fldCharType="begin"/>
        </w:r>
        <w:r w:rsidR="00D30C93">
          <w:rPr>
            <w:noProof/>
            <w:webHidden/>
          </w:rPr>
          <w:instrText xml:space="preserve"> PAGEREF _Toc491854296 \h </w:instrText>
        </w:r>
        <w:r w:rsidR="00D30C93">
          <w:rPr>
            <w:noProof/>
            <w:webHidden/>
          </w:rPr>
        </w:r>
        <w:r w:rsidR="00D30C93">
          <w:rPr>
            <w:noProof/>
            <w:webHidden/>
          </w:rPr>
          <w:fldChar w:fldCharType="separate"/>
        </w:r>
        <w:r w:rsidR="001B3D1D">
          <w:rPr>
            <w:noProof/>
            <w:webHidden/>
          </w:rPr>
          <w:t>279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97" w:history="1">
        <w:r w:rsidR="00D30C93" w:rsidRPr="00F57C6C">
          <w:rPr>
            <w:rStyle w:val="Hyperlink"/>
            <w:noProof/>
            <w:lang w:val="en-US"/>
          </w:rPr>
          <w:t>Section II</w:t>
        </w:r>
        <w:r w:rsidR="00946CF6">
          <w:rPr>
            <w:rStyle w:val="Hyperlink"/>
            <w:noProof/>
            <w:lang w:val="en-US"/>
          </w:rPr>
          <w:t xml:space="preserve"> </w:t>
        </w:r>
      </w:hyperlink>
      <w:hyperlink w:anchor="_Toc491854298" w:history="1">
        <w:r w:rsidR="00D30C93" w:rsidRPr="00F57C6C">
          <w:rPr>
            <w:rStyle w:val="Hyperlink"/>
            <w:noProof/>
            <w:lang w:val="en-US"/>
          </w:rPr>
          <w:t>Model of provisional inland navigation vessel certificate</w:t>
        </w:r>
        <w:r w:rsidR="00D30C93">
          <w:rPr>
            <w:noProof/>
            <w:webHidden/>
          </w:rPr>
          <w:tab/>
        </w:r>
        <w:r w:rsidR="00D30C93">
          <w:rPr>
            <w:noProof/>
            <w:webHidden/>
          </w:rPr>
          <w:fldChar w:fldCharType="begin"/>
        </w:r>
        <w:r w:rsidR="00D30C93">
          <w:rPr>
            <w:noProof/>
            <w:webHidden/>
          </w:rPr>
          <w:instrText xml:space="preserve"> PAGEREF _Toc491854298 \h </w:instrText>
        </w:r>
        <w:r w:rsidR="00D30C93">
          <w:rPr>
            <w:noProof/>
            <w:webHidden/>
          </w:rPr>
        </w:r>
        <w:r w:rsidR="00D30C93">
          <w:rPr>
            <w:noProof/>
            <w:webHidden/>
          </w:rPr>
          <w:fldChar w:fldCharType="separate"/>
        </w:r>
        <w:r w:rsidR="001B3D1D">
          <w:rPr>
            <w:noProof/>
            <w:webHidden/>
          </w:rPr>
          <w:t>293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299" w:history="1">
        <w:r w:rsidR="00D30C93" w:rsidRPr="00F57C6C">
          <w:rPr>
            <w:rStyle w:val="Hyperlink"/>
            <w:noProof/>
            <w:lang w:val="en-US"/>
          </w:rPr>
          <w:t>Section III</w:t>
        </w:r>
        <w:r w:rsidR="00946CF6">
          <w:rPr>
            <w:rStyle w:val="Hyperlink"/>
            <w:noProof/>
            <w:lang w:val="en-US"/>
          </w:rPr>
          <w:t xml:space="preserve"> </w:t>
        </w:r>
      </w:hyperlink>
      <w:hyperlink w:anchor="_Toc491854300" w:history="1">
        <w:r w:rsidR="00D30C93" w:rsidRPr="00F57C6C">
          <w:rPr>
            <w:rStyle w:val="Hyperlink"/>
            <w:noProof/>
            <w:lang w:val="en-US"/>
          </w:rPr>
          <w:t>Model of supplementary Union inland navigation certificate</w:t>
        </w:r>
        <w:r w:rsidR="00D30C93">
          <w:rPr>
            <w:noProof/>
            <w:webHidden/>
          </w:rPr>
          <w:tab/>
        </w:r>
        <w:r w:rsidR="00D30C93">
          <w:rPr>
            <w:noProof/>
            <w:webHidden/>
          </w:rPr>
          <w:fldChar w:fldCharType="begin"/>
        </w:r>
        <w:r w:rsidR="00D30C93">
          <w:rPr>
            <w:noProof/>
            <w:webHidden/>
          </w:rPr>
          <w:instrText xml:space="preserve"> PAGEREF _Toc491854300 \h </w:instrText>
        </w:r>
        <w:r w:rsidR="00D30C93">
          <w:rPr>
            <w:noProof/>
            <w:webHidden/>
          </w:rPr>
        </w:r>
        <w:r w:rsidR="00D30C93">
          <w:rPr>
            <w:noProof/>
            <w:webHidden/>
          </w:rPr>
          <w:fldChar w:fldCharType="separate"/>
        </w:r>
        <w:r w:rsidR="001B3D1D">
          <w:rPr>
            <w:noProof/>
            <w:webHidden/>
          </w:rPr>
          <w:t>295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01" w:history="1">
        <w:r w:rsidR="00D30C93" w:rsidRPr="00F57C6C">
          <w:rPr>
            <w:rStyle w:val="Hyperlink"/>
            <w:noProof/>
          </w:rPr>
          <w:t>Section IV</w:t>
        </w:r>
        <w:r w:rsidR="00946CF6">
          <w:rPr>
            <w:rStyle w:val="Hyperlink"/>
            <w:noProof/>
          </w:rPr>
          <w:t xml:space="preserve"> </w:t>
        </w:r>
      </w:hyperlink>
      <w:hyperlink w:anchor="_Toc491854302" w:history="1">
        <w:r w:rsidR="00D30C93" w:rsidRPr="00F57C6C">
          <w:rPr>
            <w:rStyle w:val="Hyperlink"/>
            <w:noProof/>
            <w:lang w:val="en-US"/>
          </w:rPr>
          <w:t>Model of certificate for sea-going vessel operating on the Rhine</w:t>
        </w:r>
        <w:r w:rsidR="00D30C93">
          <w:rPr>
            <w:noProof/>
            <w:webHidden/>
          </w:rPr>
          <w:tab/>
        </w:r>
        <w:r w:rsidR="00D30C93">
          <w:rPr>
            <w:noProof/>
            <w:webHidden/>
          </w:rPr>
          <w:fldChar w:fldCharType="begin"/>
        </w:r>
        <w:r w:rsidR="00D30C93">
          <w:rPr>
            <w:noProof/>
            <w:webHidden/>
          </w:rPr>
          <w:instrText xml:space="preserve"> PAGEREF _Toc491854302 \h </w:instrText>
        </w:r>
        <w:r w:rsidR="00D30C93">
          <w:rPr>
            <w:noProof/>
            <w:webHidden/>
          </w:rPr>
        </w:r>
        <w:r w:rsidR="00D30C93">
          <w:rPr>
            <w:noProof/>
            <w:webHidden/>
          </w:rPr>
          <w:fldChar w:fldCharType="separate"/>
        </w:r>
        <w:r w:rsidR="001B3D1D">
          <w:rPr>
            <w:noProof/>
            <w:webHidden/>
          </w:rPr>
          <w:t>297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03" w:history="1">
        <w:r w:rsidR="00D30C93" w:rsidRPr="00F57C6C">
          <w:rPr>
            <w:rStyle w:val="Hyperlink"/>
            <w:noProof/>
            <w:lang w:val="en-US"/>
          </w:rPr>
          <w:t>Section V</w:t>
        </w:r>
        <w:r w:rsidR="00946CF6">
          <w:rPr>
            <w:rStyle w:val="Hyperlink"/>
            <w:noProof/>
            <w:lang w:val="en-US"/>
          </w:rPr>
          <w:t xml:space="preserve"> </w:t>
        </w:r>
      </w:hyperlink>
      <w:hyperlink w:anchor="_Toc491854304" w:history="1">
        <w:r w:rsidR="00D30C93" w:rsidRPr="00F57C6C">
          <w:rPr>
            <w:rStyle w:val="Hyperlink"/>
            <w:noProof/>
            <w:lang w:val="en-US"/>
          </w:rPr>
          <w:t>Model annex “Traditional craft” to the inland navigation certificate according to chapter 24</w:t>
        </w:r>
        <w:r w:rsidR="00946CF6">
          <w:rPr>
            <w:rStyle w:val="Hyperlink"/>
            <w:noProof/>
            <w:lang w:val="en-US"/>
          </w:rPr>
          <w:t xml:space="preserve"> </w:t>
        </w:r>
        <w:r w:rsidR="00D30C93">
          <w:rPr>
            <w:noProof/>
            <w:webHidden/>
          </w:rPr>
          <w:tab/>
        </w:r>
        <w:r w:rsidR="00D30C93">
          <w:rPr>
            <w:noProof/>
            <w:webHidden/>
          </w:rPr>
          <w:fldChar w:fldCharType="begin"/>
        </w:r>
        <w:r w:rsidR="00D30C93">
          <w:rPr>
            <w:noProof/>
            <w:webHidden/>
          </w:rPr>
          <w:instrText xml:space="preserve"> PAGEREF _Toc491854304 \h </w:instrText>
        </w:r>
        <w:r w:rsidR="00D30C93">
          <w:rPr>
            <w:noProof/>
            <w:webHidden/>
          </w:rPr>
        </w:r>
        <w:r w:rsidR="00D30C93">
          <w:rPr>
            <w:noProof/>
            <w:webHidden/>
          </w:rPr>
          <w:fldChar w:fldCharType="separate"/>
        </w:r>
        <w:r w:rsidR="001B3D1D">
          <w:rPr>
            <w:noProof/>
            <w:webHidden/>
          </w:rPr>
          <w:t>299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05" w:history="1">
        <w:r w:rsidR="00D30C93" w:rsidRPr="00F57C6C">
          <w:rPr>
            <w:rStyle w:val="Hyperlink"/>
            <w:noProof/>
            <w:lang w:val="en-US"/>
          </w:rPr>
          <w:t>Section VI</w:t>
        </w:r>
        <w:r w:rsidR="00946CF6">
          <w:rPr>
            <w:rStyle w:val="Hyperlink"/>
            <w:noProof/>
            <w:lang w:val="en-US"/>
          </w:rPr>
          <w:t xml:space="preserve"> </w:t>
        </w:r>
      </w:hyperlink>
      <w:hyperlink w:anchor="_Toc491854306" w:history="1">
        <w:r w:rsidR="00D30C93" w:rsidRPr="00F57C6C">
          <w:rPr>
            <w:rStyle w:val="Hyperlink"/>
            <w:noProof/>
            <w:lang w:val="en-US"/>
          </w:rPr>
          <w:t>Model of register of inland navigation vessel certificates</w:t>
        </w:r>
        <w:r w:rsidR="00D30C93">
          <w:rPr>
            <w:noProof/>
            <w:webHidden/>
          </w:rPr>
          <w:tab/>
        </w:r>
        <w:r w:rsidR="00D30C93">
          <w:rPr>
            <w:noProof/>
            <w:webHidden/>
          </w:rPr>
          <w:fldChar w:fldCharType="begin"/>
        </w:r>
        <w:r w:rsidR="00D30C93">
          <w:rPr>
            <w:noProof/>
            <w:webHidden/>
          </w:rPr>
          <w:instrText xml:space="preserve"> PAGEREF _Toc491854306 \h </w:instrText>
        </w:r>
        <w:r w:rsidR="00D30C93">
          <w:rPr>
            <w:noProof/>
            <w:webHidden/>
          </w:rPr>
        </w:r>
        <w:r w:rsidR="00D30C93">
          <w:rPr>
            <w:noProof/>
            <w:webHidden/>
          </w:rPr>
          <w:fldChar w:fldCharType="separate"/>
        </w:r>
        <w:r w:rsidR="001B3D1D">
          <w:rPr>
            <w:noProof/>
            <w:webHidden/>
          </w:rPr>
          <w:t>301</w:t>
        </w:r>
        <w:r w:rsidR="00D30C93">
          <w:rPr>
            <w:noProof/>
            <w:webHidden/>
          </w:rPr>
          <w:fldChar w:fldCharType="end"/>
        </w:r>
      </w:hyperlink>
    </w:p>
    <w:p w:rsidR="00D30C93" w:rsidRDefault="00F12BAF">
      <w:pPr>
        <w:pStyle w:val="TOC1"/>
        <w:rPr>
          <w:rFonts w:asciiTheme="minorHAnsi" w:eastAsiaTheme="minorEastAsia" w:hAnsiTheme="minorHAnsi" w:cstheme="minorBidi"/>
          <w:b w:val="0"/>
          <w:bCs w:val="0"/>
          <w:caps w:val="0"/>
          <w:noProof/>
          <w:sz w:val="22"/>
          <w:szCs w:val="22"/>
        </w:rPr>
      </w:pPr>
      <w:hyperlink w:anchor="_Toc491854307" w:history="1">
        <w:r w:rsidR="00D30C93" w:rsidRPr="00F57C6C">
          <w:rPr>
            <w:rStyle w:val="Hyperlink"/>
            <w:noProof/>
          </w:rPr>
          <w:t>PART II ADDITIONAL REQUIREMENTS FOR SPECIFIC EQUIPMENT USED ON BOARD</w:t>
        </w:r>
        <w:r w:rsidR="00D30C93">
          <w:rPr>
            <w:noProof/>
            <w:webHidden/>
          </w:rPr>
          <w:tab/>
        </w:r>
        <w:r w:rsidR="00D30C93">
          <w:rPr>
            <w:noProof/>
            <w:webHidden/>
          </w:rPr>
          <w:fldChar w:fldCharType="begin"/>
        </w:r>
        <w:r w:rsidR="00D30C93">
          <w:rPr>
            <w:noProof/>
            <w:webHidden/>
          </w:rPr>
          <w:instrText xml:space="preserve"> PAGEREF _Toc491854307 \h </w:instrText>
        </w:r>
        <w:r w:rsidR="00D30C93">
          <w:rPr>
            <w:noProof/>
            <w:webHidden/>
          </w:rPr>
        </w:r>
        <w:r w:rsidR="00D30C93">
          <w:rPr>
            <w:noProof/>
            <w:webHidden/>
          </w:rPr>
          <w:fldChar w:fldCharType="separate"/>
        </w:r>
        <w:r w:rsidR="001B3D1D">
          <w:rPr>
            <w:noProof/>
            <w:webHidden/>
          </w:rPr>
          <w:t>305</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08" w:history="1">
        <w:r w:rsidR="00D30C93" w:rsidRPr="00F57C6C">
          <w:rPr>
            <w:rStyle w:val="Hyperlink"/>
            <w:noProof/>
          </w:rPr>
          <w:t>Annex 4 Safety Signs</w:t>
        </w:r>
        <w:r w:rsidR="000D6771">
          <w:rPr>
            <w:rStyle w:val="Hyperlink"/>
            <w:noProof/>
          </w:rPr>
          <w:t>………………………………………………………………………………….</w:t>
        </w:r>
        <w:r w:rsidR="00D30C93">
          <w:rPr>
            <w:noProof/>
            <w:webHidden/>
          </w:rPr>
          <w:fldChar w:fldCharType="begin"/>
        </w:r>
        <w:r w:rsidR="00D30C93">
          <w:rPr>
            <w:noProof/>
            <w:webHidden/>
          </w:rPr>
          <w:instrText xml:space="preserve"> PAGEREF _Toc491854308 \h </w:instrText>
        </w:r>
        <w:r w:rsidR="00D30C93">
          <w:rPr>
            <w:noProof/>
            <w:webHidden/>
          </w:rPr>
        </w:r>
        <w:r w:rsidR="00D30C93">
          <w:rPr>
            <w:noProof/>
            <w:webHidden/>
          </w:rPr>
          <w:fldChar w:fldCharType="separate"/>
        </w:r>
        <w:r w:rsidR="001B3D1D">
          <w:rPr>
            <w:noProof/>
            <w:webHidden/>
          </w:rPr>
          <w:t>305</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09" w:history="1">
        <w:r w:rsidR="00D30C93" w:rsidRPr="00F57C6C">
          <w:rPr>
            <w:rStyle w:val="Hyperlink"/>
            <w:noProof/>
          </w:rPr>
          <w:t>Annex 5 Navigation and information equipment</w:t>
        </w:r>
        <w:r w:rsidR="000D6771">
          <w:rPr>
            <w:rStyle w:val="Hyperlink"/>
            <w:noProof/>
          </w:rPr>
          <w:t>…………………………………………………..</w:t>
        </w:r>
        <w:r w:rsidR="00D30C93">
          <w:rPr>
            <w:noProof/>
            <w:webHidden/>
          </w:rPr>
          <w:fldChar w:fldCharType="begin"/>
        </w:r>
        <w:r w:rsidR="00D30C93">
          <w:rPr>
            <w:noProof/>
            <w:webHidden/>
          </w:rPr>
          <w:instrText xml:space="preserve"> PAGEREF _Toc491854309 \h </w:instrText>
        </w:r>
        <w:r w:rsidR="00D30C93">
          <w:rPr>
            <w:noProof/>
            <w:webHidden/>
          </w:rPr>
        </w:r>
        <w:r w:rsidR="00D30C93">
          <w:rPr>
            <w:noProof/>
            <w:webHidden/>
          </w:rPr>
          <w:fldChar w:fldCharType="separate"/>
        </w:r>
        <w:r w:rsidR="001B3D1D">
          <w:rPr>
            <w:noProof/>
            <w:webHidden/>
          </w:rPr>
          <w:t>309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10" w:history="1">
        <w:r w:rsidR="00D30C93" w:rsidRPr="00F57C6C">
          <w:rPr>
            <w:rStyle w:val="Hyperlink"/>
            <w:noProof/>
            <w:lang w:val="en-US"/>
          </w:rPr>
          <w:t>Section I</w:t>
        </w:r>
        <w:r w:rsidR="00946CF6">
          <w:rPr>
            <w:rStyle w:val="Hyperlink"/>
            <w:noProof/>
            <w:lang w:val="en-US"/>
          </w:rPr>
          <w:t xml:space="preserve"> </w:t>
        </w:r>
      </w:hyperlink>
      <w:hyperlink w:anchor="_Toc491854311" w:history="1">
        <w:r w:rsidR="00D30C93" w:rsidRPr="00F57C6C">
          <w:rPr>
            <w:rStyle w:val="Hyperlink"/>
            <w:noProof/>
            <w:lang w:val="en-US"/>
          </w:rPr>
          <w:t>Minimum requirements and test conditions for navigational radar installations in inland navigation</w:t>
        </w:r>
        <w:r w:rsidR="00D30C93">
          <w:rPr>
            <w:noProof/>
            <w:webHidden/>
          </w:rPr>
          <w:tab/>
        </w:r>
        <w:r w:rsidR="00D30C93">
          <w:rPr>
            <w:noProof/>
            <w:webHidden/>
          </w:rPr>
          <w:fldChar w:fldCharType="begin"/>
        </w:r>
        <w:r w:rsidR="00D30C93">
          <w:rPr>
            <w:noProof/>
            <w:webHidden/>
          </w:rPr>
          <w:instrText xml:space="preserve"> PAGEREF _Toc491854311 \h </w:instrText>
        </w:r>
        <w:r w:rsidR="00D30C93">
          <w:rPr>
            <w:noProof/>
            <w:webHidden/>
          </w:rPr>
        </w:r>
        <w:r w:rsidR="00D30C93">
          <w:rPr>
            <w:noProof/>
            <w:webHidden/>
          </w:rPr>
          <w:fldChar w:fldCharType="separate"/>
        </w:r>
        <w:r w:rsidR="001B3D1D">
          <w:rPr>
            <w:noProof/>
            <w:webHidden/>
          </w:rPr>
          <w:t>311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12" w:history="1">
        <w:r w:rsidR="00D30C93" w:rsidRPr="00F57C6C">
          <w:rPr>
            <w:rStyle w:val="Hyperlink"/>
            <w:noProof/>
            <w:lang w:val="en-US"/>
          </w:rPr>
          <w:t>Section II</w:t>
        </w:r>
        <w:r w:rsidR="00946CF6">
          <w:rPr>
            <w:rStyle w:val="Hyperlink"/>
            <w:noProof/>
            <w:lang w:val="en-US"/>
          </w:rPr>
          <w:t xml:space="preserve"> </w:t>
        </w:r>
      </w:hyperlink>
      <w:hyperlink w:anchor="_Toc491854313" w:history="1">
        <w:r w:rsidR="00D30C93" w:rsidRPr="00F57C6C">
          <w:rPr>
            <w:rStyle w:val="Hyperlink"/>
            <w:noProof/>
            <w:lang w:val="en-US"/>
          </w:rPr>
          <w:t>Minimum requirements and test conditions for rate-of-turn indicators in inland navigation</w:t>
        </w:r>
        <w:r w:rsidR="00D30C93">
          <w:rPr>
            <w:noProof/>
            <w:webHidden/>
          </w:rPr>
          <w:tab/>
        </w:r>
        <w:r w:rsidR="00D30C93">
          <w:rPr>
            <w:noProof/>
            <w:webHidden/>
          </w:rPr>
          <w:fldChar w:fldCharType="begin"/>
        </w:r>
        <w:r w:rsidR="00D30C93">
          <w:rPr>
            <w:noProof/>
            <w:webHidden/>
          </w:rPr>
          <w:instrText xml:space="preserve"> PAGEREF _Toc491854313 \h </w:instrText>
        </w:r>
        <w:r w:rsidR="00D30C93">
          <w:rPr>
            <w:noProof/>
            <w:webHidden/>
          </w:rPr>
        </w:r>
        <w:r w:rsidR="00D30C93">
          <w:rPr>
            <w:noProof/>
            <w:webHidden/>
          </w:rPr>
          <w:fldChar w:fldCharType="separate"/>
        </w:r>
        <w:r w:rsidR="001B3D1D">
          <w:rPr>
            <w:noProof/>
            <w:webHidden/>
          </w:rPr>
          <w:t>315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14" w:history="1">
        <w:r w:rsidR="00D30C93" w:rsidRPr="00F57C6C">
          <w:rPr>
            <w:rStyle w:val="Hyperlink"/>
            <w:noProof/>
            <w:lang w:val="en-US"/>
          </w:rPr>
          <w:t>Section III</w:t>
        </w:r>
        <w:r w:rsidR="00946CF6">
          <w:rPr>
            <w:rStyle w:val="Hyperlink"/>
            <w:noProof/>
            <w:lang w:val="en-US"/>
          </w:rPr>
          <w:t xml:space="preserve"> </w:t>
        </w:r>
      </w:hyperlink>
      <w:hyperlink w:anchor="_Toc491854315" w:history="1">
        <w:r w:rsidR="00D30C93" w:rsidRPr="00F57C6C">
          <w:rPr>
            <w:rStyle w:val="Hyperlink"/>
            <w:noProof/>
            <w:lang w:val="en-US"/>
          </w:rPr>
          <w:t>Requirements for installation and performance tests for navigational radar installations and rate­of­turn indicators in inland navigation</w:t>
        </w:r>
        <w:r w:rsidR="00D30C93">
          <w:rPr>
            <w:noProof/>
            <w:webHidden/>
          </w:rPr>
          <w:tab/>
        </w:r>
        <w:r w:rsidR="00D30C93">
          <w:rPr>
            <w:noProof/>
            <w:webHidden/>
          </w:rPr>
          <w:fldChar w:fldCharType="begin"/>
        </w:r>
        <w:r w:rsidR="00D30C93">
          <w:rPr>
            <w:noProof/>
            <w:webHidden/>
          </w:rPr>
          <w:instrText xml:space="preserve"> PAGEREF _Toc491854315 \h </w:instrText>
        </w:r>
        <w:r w:rsidR="00D30C93">
          <w:rPr>
            <w:noProof/>
            <w:webHidden/>
          </w:rPr>
        </w:r>
        <w:r w:rsidR="00D30C93">
          <w:rPr>
            <w:noProof/>
            <w:webHidden/>
          </w:rPr>
          <w:fldChar w:fldCharType="separate"/>
        </w:r>
        <w:r w:rsidR="001B3D1D">
          <w:rPr>
            <w:noProof/>
            <w:webHidden/>
          </w:rPr>
          <w:t>325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16" w:history="1">
        <w:r w:rsidR="00D30C93" w:rsidRPr="00F57C6C">
          <w:rPr>
            <w:rStyle w:val="Hyperlink"/>
            <w:noProof/>
            <w:lang w:val="en-US"/>
          </w:rPr>
          <w:t>Section IV</w:t>
        </w:r>
        <w:r w:rsidR="00946CF6">
          <w:rPr>
            <w:rStyle w:val="Hyperlink"/>
            <w:noProof/>
            <w:lang w:val="en-US"/>
          </w:rPr>
          <w:t xml:space="preserve"> </w:t>
        </w:r>
      </w:hyperlink>
      <w:hyperlink w:anchor="_Toc491854317" w:history="1">
        <w:r w:rsidR="00D30C93" w:rsidRPr="00F57C6C">
          <w:rPr>
            <w:rStyle w:val="Hyperlink"/>
            <w:noProof/>
            <w:lang w:val="en-US"/>
          </w:rPr>
          <w:t>Minimum requirements, requirements for installation and performance tests for Inland AIS equipment in inland navigation</w:t>
        </w:r>
        <w:r w:rsidR="00D30C93">
          <w:rPr>
            <w:noProof/>
            <w:webHidden/>
          </w:rPr>
          <w:tab/>
        </w:r>
        <w:r w:rsidR="00D30C93">
          <w:rPr>
            <w:noProof/>
            <w:webHidden/>
          </w:rPr>
          <w:fldChar w:fldCharType="begin"/>
        </w:r>
        <w:r w:rsidR="00D30C93">
          <w:rPr>
            <w:noProof/>
            <w:webHidden/>
          </w:rPr>
          <w:instrText xml:space="preserve"> PAGEREF _Toc491854317 \h </w:instrText>
        </w:r>
        <w:r w:rsidR="00D30C93">
          <w:rPr>
            <w:noProof/>
            <w:webHidden/>
          </w:rPr>
        </w:r>
        <w:r w:rsidR="00D30C93">
          <w:rPr>
            <w:noProof/>
            <w:webHidden/>
          </w:rPr>
          <w:fldChar w:fldCharType="separate"/>
        </w:r>
        <w:r w:rsidR="001B3D1D">
          <w:rPr>
            <w:noProof/>
            <w:webHidden/>
          </w:rPr>
          <w:t>329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18" w:history="1">
        <w:r w:rsidR="00D30C93" w:rsidRPr="00F57C6C">
          <w:rPr>
            <w:rStyle w:val="Hyperlink"/>
            <w:noProof/>
            <w:lang w:val="en-US"/>
          </w:rPr>
          <w:t>Section V</w:t>
        </w:r>
        <w:r w:rsidR="00946CF6">
          <w:rPr>
            <w:rStyle w:val="Hyperlink"/>
            <w:noProof/>
            <w:lang w:val="en-US"/>
          </w:rPr>
          <w:t xml:space="preserve"> </w:t>
        </w:r>
      </w:hyperlink>
      <w:hyperlink w:anchor="_Toc491854319" w:history="1">
        <w:r w:rsidR="00D30C93" w:rsidRPr="00F57C6C">
          <w:rPr>
            <w:rStyle w:val="Hyperlink"/>
            <w:noProof/>
            <w:lang w:val="en-US"/>
          </w:rPr>
          <w:t>Minimum requirements, requirements for installation and performance tests for tachographs in inland navigation</w:t>
        </w:r>
        <w:r w:rsidR="00D30C93">
          <w:rPr>
            <w:noProof/>
            <w:webHidden/>
          </w:rPr>
          <w:tab/>
        </w:r>
        <w:r w:rsidR="00D30C93">
          <w:rPr>
            <w:noProof/>
            <w:webHidden/>
          </w:rPr>
          <w:fldChar w:fldCharType="begin"/>
        </w:r>
        <w:r w:rsidR="00D30C93">
          <w:rPr>
            <w:noProof/>
            <w:webHidden/>
          </w:rPr>
          <w:instrText xml:space="preserve"> PAGEREF _Toc491854319 \h </w:instrText>
        </w:r>
        <w:r w:rsidR="00D30C93">
          <w:rPr>
            <w:noProof/>
            <w:webHidden/>
          </w:rPr>
        </w:r>
        <w:r w:rsidR="00D30C93">
          <w:rPr>
            <w:noProof/>
            <w:webHidden/>
          </w:rPr>
          <w:fldChar w:fldCharType="separate"/>
        </w:r>
        <w:r w:rsidR="001B3D1D">
          <w:rPr>
            <w:noProof/>
            <w:webHidden/>
          </w:rPr>
          <w:t>331</w:t>
        </w:r>
        <w:r w:rsidR="00D30C93">
          <w:rPr>
            <w:noProof/>
            <w:webHidden/>
          </w:rPr>
          <w:fldChar w:fldCharType="end"/>
        </w:r>
      </w:hyperlink>
    </w:p>
    <w:p w:rsidR="00946CF6" w:rsidRDefault="00946CF6">
      <w:pPr>
        <w:autoSpaceDE/>
        <w:autoSpaceDN/>
        <w:ind w:left="0" w:firstLine="0"/>
        <w:jc w:val="left"/>
        <w:rPr>
          <w:i/>
          <w:iCs/>
          <w:szCs w:val="20"/>
        </w:rPr>
      </w:pPr>
      <w:r>
        <w:br w:type="page"/>
      </w:r>
    </w:p>
    <w:p w:rsidR="00D30C93" w:rsidRDefault="00F12BAF">
      <w:pPr>
        <w:pStyle w:val="TOC3"/>
        <w:rPr>
          <w:rFonts w:asciiTheme="minorHAnsi" w:eastAsiaTheme="minorEastAsia" w:hAnsiTheme="minorHAnsi" w:cstheme="minorBidi"/>
          <w:i w:val="0"/>
          <w:iCs w:val="0"/>
          <w:noProof/>
          <w:sz w:val="22"/>
          <w:szCs w:val="22"/>
        </w:rPr>
      </w:pPr>
      <w:hyperlink w:anchor="_Toc491854320" w:history="1">
        <w:r w:rsidR="00D30C93" w:rsidRPr="00F57C6C">
          <w:rPr>
            <w:rStyle w:val="Hyperlink"/>
            <w:noProof/>
            <w:lang w:val="en-US"/>
          </w:rPr>
          <w:t>Section VI</w:t>
        </w:r>
        <w:r w:rsidR="00946CF6">
          <w:rPr>
            <w:rStyle w:val="Hyperlink"/>
            <w:noProof/>
            <w:lang w:val="en-US"/>
          </w:rPr>
          <w:t xml:space="preserve"> </w:t>
        </w:r>
      </w:hyperlink>
      <w:hyperlink w:anchor="_Toc491854321" w:history="1">
        <w:r w:rsidR="00D30C93" w:rsidRPr="00F57C6C">
          <w:rPr>
            <w:rStyle w:val="Hyperlink"/>
            <w:noProof/>
            <w:lang w:val="en-US"/>
          </w:rPr>
          <w:t>Installation and performance certificate for navigational radar installations, rate-of-turn indicators, for Inland AIS equipment and for tachographs in inland navigation</w:t>
        </w:r>
        <w:r w:rsidR="00D30C93">
          <w:rPr>
            <w:noProof/>
            <w:webHidden/>
          </w:rPr>
          <w:tab/>
        </w:r>
        <w:r w:rsidR="00D30C93">
          <w:rPr>
            <w:noProof/>
            <w:webHidden/>
          </w:rPr>
          <w:fldChar w:fldCharType="begin"/>
        </w:r>
        <w:r w:rsidR="00D30C93">
          <w:rPr>
            <w:noProof/>
            <w:webHidden/>
          </w:rPr>
          <w:instrText xml:space="preserve"> PAGEREF _Toc491854321 \h </w:instrText>
        </w:r>
        <w:r w:rsidR="00D30C93">
          <w:rPr>
            <w:noProof/>
            <w:webHidden/>
          </w:rPr>
        </w:r>
        <w:r w:rsidR="00D30C93">
          <w:rPr>
            <w:noProof/>
            <w:webHidden/>
          </w:rPr>
          <w:fldChar w:fldCharType="separate"/>
        </w:r>
        <w:r w:rsidR="001B3D1D">
          <w:rPr>
            <w:noProof/>
            <w:webHidden/>
          </w:rPr>
          <w:t>335</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22" w:history="1">
        <w:r w:rsidR="00D30C93" w:rsidRPr="00F57C6C">
          <w:rPr>
            <w:rStyle w:val="Hyperlink"/>
            <w:noProof/>
          </w:rPr>
          <w:t>Annex 6 Engine parameter protocol</w:t>
        </w:r>
        <w:r w:rsidR="00C27ABC">
          <w:rPr>
            <w:rStyle w:val="Hyperlink"/>
            <w:noProof/>
          </w:rPr>
          <w:t>……………………………………………………………….</w:t>
        </w:r>
        <w:r w:rsidR="00D30C93">
          <w:rPr>
            <w:noProof/>
            <w:webHidden/>
          </w:rPr>
          <w:fldChar w:fldCharType="begin"/>
        </w:r>
        <w:r w:rsidR="00D30C93">
          <w:rPr>
            <w:noProof/>
            <w:webHidden/>
          </w:rPr>
          <w:instrText xml:space="preserve"> PAGEREF _Toc491854322 \h </w:instrText>
        </w:r>
        <w:r w:rsidR="00D30C93">
          <w:rPr>
            <w:noProof/>
            <w:webHidden/>
          </w:rPr>
        </w:r>
        <w:r w:rsidR="00D30C93">
          <w:rPr>
            <w:noProof/>
            <w:webHidden/>
          </w:rPr>
          <w:fldChar w:fldCharType="separate"/>
        </w:r>
        <w:r w:rsidR="001B3D1D">
          <w:rPr>
            <w:noProof/>
            <w:webHidden/>
          </w:rPr>
          <w:t>337</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23" w:history="1">
        <w:r w:rsidR="00D30C93" w:rsidRPr="00F57C6C">
          <w:rPr>
            <w:rStyle w:val="Hyperlink"/>
            <w:noProof/>
          </w:rPr>
          <w:t>Annex 7 On-board sewage treatment plants</w:t>
        </w:r>
        <w:r w:rsidR="001E65D1">
          <w:rPr>
            <w:rStyle w:val="Hyperlink"/>
            <w:noProof/>
          </w:rPr>
          <w:t>……………………………………………………..</w:t>
        </w:r>
        <w:r w:rsidR="00D30C93">
          <w:rPr>
            <w:noProof/>
            <w:webHidden/>
          </w:rPr>
          <w:fldChar w:fldCharType="begin"/>
        </w:r>
        <w:r w:rsidR="00D30C93">
          <w:rPr>
            <w:noProof/>
            <w:webHidden/>
          </w:rPr>
          <w:instrText xml:space="preserve"> PAGEREF _Toc491854323 \h </w:instrText>
        </w:r>
        <w:r w:rsidR="00D30C93">
          <w:rPr>
            <w:noProof/>
            <w:webHidden/>
          </w:rPr>
        </w:r>
        <w:r w:rsidR="00D30C93">
          <w:rPr>
            <w:noProof/>
            <w:webHidden/>
          </w:rPr>
          <w:fldChar w:fldCharType="separate"/>
        </w:r>
        <w:r w:rsidR="001B3D1D">
          <w:rPr>
            <w:noProof/>
            <w:webHidden/>
          </w:rPr>
          <w:t>341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24" w:history="1">
        <w:r w:rsidR="00D30C93" w:rsidRPr="00F57C6C">
          <w:rPr>
            <w:rStyle w:val="Hyperlink"/>
            <w:noProof/>
            <w:lang w:val="en-US"/>
          </w:rPr>
          <w:t>Section I</w:t>
        </w:r>
        <w:r w:rsidR="00946CF6">
          <w:rPr>
            <w:rStyle w:val="Hyperlink"/>
            <w:noProof/>
            <w:lang w:val="en-US"/>
          </w:rPr>
          <w:t xml:space="preserve"> </w:t>
        </w:r>
      </w:hyperlink>
      <w:hyperlink w:anchor="_Toc491854325" w:history="1">
        <w:r w:rsidR="00D30C93" w:rsidRPr="00F57C6C">
          <w:rPr>
            <w:rStyle w:val="Hyperlink"/>
            <w:noProof/>
            <w:lang w:val="en-US"/>
          </w:rPr>
          <w:t>Supplementary provisions</w:t>
        </w:r>
        <w:r w:rsidR="00D30C93">
          <w:rPr>
            <w:noProof/>
            <w:webHidden/>
          </w:rPr>
          <w:tab/>
        </w:r>
        <w:r w:rsidR="00D30C93">
          <w:rPr>
            <w:noProof/>
            <w:webHidden/>
          </w:rPr>
          <w:fldChar w:fldCharType="begin"/>
        </w:r>
        <w:r w:rsidR="00D30C93">
          <w:rPr>
            <w:noProof/>
            <w:webHidden/>
          </w:rPr>
          <w:instrText xml:space="preserve"> PAGEREF _Toc491854325 \h </w:instrText>
        </w:r>
        <w:r w:rsidR="00D30C93">
          <w:rPr>
            <w:noProof/>
            <w:webHidden/>
          </w:rPr>
        </w:r>
        <w:r w:rsidR="00D30C93">
          <w:rPr>
            <w:noProof/>
            <w:webHidden/>
          </w:rPr>
          <w:fldChar w:fldCharType="separate"/>
        </w:r>
        <w:r w:rsidR="001B3D1D">
          <w:rPr>
            <w:noProof/>
            <w:webHidden/>
          </w:rPr>
          <w:t>343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26" w:history="1">
        <w:r w:rsidR="00D30C93" w:rsidRPr="00F57C6C">
          <w:rPr>
            <w:rStyle w:val="Hyperlink"/>
            <w:noProof/>
          </w:rPr>
          <w:t>Section II</w:t>
        </w:r>
        <w:r w:rsidR="00946CF6">
          <w:rPr>
            <w:rStyle w:val="Hyperlink"/>
            <w:noProof/>
          </w:rPr>
          <w:t xml:space="preserve"> </w:t>
        </w:r>
      </w:hyperlink>
      <w:hyperlink w:anchor="_Toc491854327" w:history="1">
        <w:r w:rsidR="00D30C93" w:rsidRPr="00F57C6C">
          <w:rPr>
            <w:rStyle w:val="Hyperlink"/>
            <w:noProof/>
          </w:rPr>
          <w:t>Information Document No …</w:t>
        </w:r>
        <w:r w:rsidR="00D30C93" w:rsidRPr="00F57C6C">
          <w:rPr>
            <w:rStyle w:val="Hyperlink"/>
            <w:noProof/>
            <w:vertAlign w:val="superscript"/>
          </w:rPr>
          <w:t xml:space="preserve"> </w:t>
        </w:r>
        <w:r w:rsidR="00D30C93" w:rsidRPr="00F57C6C">
          <w:rPr>
            <w:rStyle w:val="Hyperlink"/>
            <w:noProof/>
            <w:lang w:val="en-US"/>
          </w:rPr>
          <w:t>relating to type approval of on-board sewage treatment plants intended for installation in inland waterway vessels</w:t>
        </w:r>
        <w:r w:rsidR="00D30C93">
          <w:rPr>
            <w:noProof/>
            <w:webHidden/>
          </w:rPr>
          <w:tab/>
        </w:r>
        <w:r w:rsidR="00D30C93">
          <w:rPr>
            <w:noProof/>
            <w:webHidden/>
          </w:rPr>
          <w:fldChar w:fldCharType="begin"/>
        </w:r>
        <w:r w:rsidR="00D30C93">
          <w:rPr>
            <w:noProof/>
            <w:webHidden/>
          </w:rPr>
          <w:instrText xml:space="preserve"> PAGEREF _Toc491854327 \h </w:instrText>
        </w:r>
        <w:r w:rsidR="00D30C93">
          <w:rPr>
            <w:noProof/>
            <w:webHidden/>
          </w:rPr>
        </w:r>
        <w:r w:rsidR="00D30C93">
          <w:rPr>
            <w:noProof/>
            <w:webHidden/>
          </w:rPr>
          <w:fldChar w:fldCharType="separate"/>
        </w:r>
        <w:r w:rsidR="001B3D1D">
          <w:rPr>
            <w:noProof/>
            <w:webHidden/>
          </w:rPr>
          <w:t>347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28" w:history="1">
        <w:r w:rsidR="00D30C93" w:rsidRPr="00F57C6C">
          <w:rPr>
            <w:rStyle w:val="Hyperlink"/>
            <w:noProof/>
            <w:lang w:val="en-US"/>
          </w:rPr>
          <w:t>Section III</w:t>
        </w:r>
        <w:r w:rsidR="00946CF6">
          <w:rPr>
            <w:rStyle w:val="Hyperlink"/>
            <w:noProof/>
            <w:lang w:val="en-US"/>
          </w:rPr>
          <w:t xml:space="preserve"> </w:t>
        </w:r>
      </w:hyperlink>
      <w:hyperlink w:anchor="_Toc491854329" w:history="1">
        <w:r w:rsidR="00D30C93" w:rsidRPr="00F57C6C">
          <w:rPr>
            <w:rStyle w:val="Hyperlink"/>
            <w:noProof/>
            <w:lang w:val="en-US"/>
          </w:rPr>
          <w:t>Type approval certificate</w:t>
        </w:r>
        <w:r w:rsidR="00D30C93">
          <w:rPr>
            <w:noProof/>
            <w:webHidden/>
          </w:rPr>
          <w:tab/>
        </w:r>
        <w:r w:rsidR="00D30C93">
          <w:rPr>
            <w:noProof/>
            <w:webHidden/>
          </w:rPr>
          <w:fldChar w:fldCharType="begin"/>
        </w:r>
        <w:r w:rsidR="00D30C93">
          <w:rPr>
            <w:noProof/>
            <w:webHidden/>
          </w:rPr>
          <w:instrText xml:space="preserve"> PAGEREF _Toc491854329 \h </w:instrText>
        </w:r>
        <w:r w:rsidR="00D30C93">
          <w:rPr>
            <w:noProof/>
            <w:webHidden/>
          </w:rPr>
        </w:r>
        <w:r w:rsidR="00D30C93">
          <w:rPr>
            <w:noProof/>
            <w:webHidden/>
          </w:rPr>
          <w:fldChar w:fldCharType="separate"/>
        </w:r>
        <w:r w:rsidR="001B3D1D">
          <w:rPr>
            <w:noProof/>
            <w:webHidden/>
          </w:rPr>
          <w:t>349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30" w:history="1">
        <w:r w:rsidR="00D30C93" w:rsidRPr="00F57C6C">
          <w:rPr>
            <w:rStyle w:val="Hyperlink"/>
            <w:noProof/>
            <w:lang w:val="en-US"/>
          </w:rPr>
          <w:t>Section IV</w:t>
        </w:r>
        <w:r w:rsidR="00946CF6">
          <w:rPr>
            <w:rStyle w:val="Hyperlink"/>
            <w:noProof/>
            <w:lang w:val="en-US"/>
          </w:rPr>
          <w:t xml:space="preserve"> </w:t>
        </w:r>
      </w:hyperlink>
      <w:hyperlink w:anchor="_Toc491854331" w:history="1">
        <w:r w:rsidR="00D30C93" w:rsidRPr="00F57C6C">
          <w:rPr>
            <w:rStyle w:val="Hyperlink"/>
            <w:noProof/>
            <w:lang w:val="en-US"/>
          </w:rPr>
          <w:t>Type approvals numbering system</w:t>
        </w:r>
        <w:r w:rsidR="00D30C93">
          <w:rPr>
            <w:noProof/>
            <w:webHidden/>
          </w:rPr>
          <w:tab/>
        </w:r>
        <w:r w:rsidR="00D30C93">
          <w:rPr>
            <w:noProof/>
            <w:webHidden/>
          </w:rPr>
          <w:fldChar w:fldCharType="begin"/>
        </w:r>
        <w:r w:rsidR="00D30C93">
          <w:rPr>
            <w:noProof/>
            <w:webHidden/>
          </w:rPr>
          <w:instrText xml:space="preserve"> PAGEREF _Toc491854331 \h </w:instrText>
        </w:r>
        <w:r w:rsidR="00D30C93">
          <w:rPr>
            <w:noProof/>
            <w:webHidden/>
          </w:rPr>
        </w:r>
        <w:r w:rsidR="00D30C93">
          <w:rPr>
            <w:noProof/>
            <w:webHidden/>
          </w:rPr>
          <w:fldChar w:fldCharType="separate"/>
        </w:r>
        <w:r w:rsidR="001B3D1D">
          <w:rPr>
            <w:noProof/>
            <w:webHidden/>
          </w:rPr>
          <w:t>355</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32" w:history="1">
        <w:r w:rsidR="00D30C93" w:rsidRPr="00F57C6C">
          <w:rPr>
            <w:rStyle w:val="Hyperlink"/>
            <w:noProof/>
            <w:lang w:val="en-US"/>
          </w:rPr>
          <w:t>Section V</w:t>
        </w:r>
        <w:r w:rsidR="00946CF6">
          <w:rPr>
            <w:rStyle w:val="Hyperlink"/>
            <w:noProof/>
            <w:lang w:val="en-US"/>
          </w:rPr>
          <w:t xml:space="preserve"> </w:t>
        </w:r>
      </w:hyperlink>
      <w:hyperlink w:anchor="_Toc491854333" w:history="1">
        <w:r w:rsidR="00D30C93" w:rsidRPr="00F57C6C">
          <w:rPr>
            <w:rStyle w:val="Hyperlink"/>
            <w:noProof/>
            <w:lang w:val="en-US"/>
          </w:rPr>
          <w:t>Summary of type approvals for on-board sewage treatment plant types</w:t>
        </w:r>
        <w:r w:rsidR="00D30C93">
          <w:rPr>
            <w:noProof/>
            <w:webHidden/>
          </w:rPr>
          <w:tab/>
        </w:r>
        <w:r w:rsidR="00D30C93">
          <w:rPr>
            <w:noProof/>
            <w:webHidden/>
          </w:rPr>
          <w:fldChar w:fldCharType="begin"/>
        </w:r>
        <w:r w:rsidR="00D30C93">
          <w:rPr>
            <w:noProof/>
            <w:webHidden/>
          </w:rPr>
          <w:instrText xml:space="preserve"> PAGEREF _Toc491854333 \h </w:instrText>
        </w:r>
        <w:r w:rsidR="00D30C93">
          <w:rPr>
            <w:noProof/>
            <w:webHidden/>
          </w:rPr>
        </w:r>
        <w:r w:rsidR="00D30C93">
          <w:rPr>
            <w:noProof/>
            <w:webHidden/>
          </w:rPr>
          <w:fldChar w:fldCharType="separate"/>
        </w:r>
        <w:r w:rsidR="001B3D1D">
          <w:rPr>
            <w:noProof/>
            <w:webHidden/>
          </w:rPr>
          <w:t>357</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34" w:history="1">
        <w:r w:rsidR="00D30C93" w:rsidRPr="00F57C6C">
          <w:rPr>
            <w:rStyle w:val="Hyperlink"/>
            <w:noProof/>
            <w:lang w:val="en-US"/>
          </w:rPr>
          <w:t>Section VI</w:t>
        </w:r>
        <w:r w:rsidR="00946CF6">
          <w:rPr>
            <w:rStyle w:val="Hyperlink"/>
            <w:noProof/>
            <w:lang w:val="en-US"/>
          </w:rPr>
          <w:t xml:space="preserve"> </w:t>
        </w:r>
      </w:hyperlink>
      <w:hyperlink w:anchor="_Toc491854335" w:history="1">
        <w:r w:rsidR="00D30C93" w:rsidRPr="00F57C6C">
          <w:rPr>
            <w:rStyle w:val="Hyperlink"/>
            <w:noProof/>
            <w:lang w:val="en-US"/>
          </w:rPr>
          <w:t>Summary of on-board sewage treatment plants manufactured</w:t>
        </w:r>
        <w:r w:rsidR="00D30C93">
          <w:rPr>
            <w:noProof/>
            <w:webHidden/>
          </w:rPr>
          <w:tab/>
        </w:r>
        <w:r w:rsidR="00D30C93">
          <w:rPr>
            <w:noProof/>
            <w:webHidden/>
          </w:rPr>
          <w:fldChar w:fldCharType="begin"/>
        </w:r>
        <w:r w:rsidR="00D30C93">
          <w:rPr>
            <w:noProof/>
            <w:webHidden/>
          </w:rPr>
          <w:instrText xml:space="preserve"> PAGEREF _Toc491854335 \h </w:instrText>
        </w:r>
        <w:r w:rsidR="00D30C93">
          <w:rPr>
            <w:noProof/>
            <w:webHidden/>
          </w:rPr>
        </w:r>
        <w:r w:rsidR="00D30C93">
          <w:rPr>
            <w:noProof/>
            <w:webHidden/>
          </w:rPr>
          <w:fldChar w:fldCharType="separate"/>
        </w:r>
        <w:r w:rsidR="001B3D1D">
          <w:rPr>
            <w:noProof/>
            <w:webHidden/>
          </w:rPr>
          <w:t>359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36" w:history="1">
        <w:r w:rsidR="00D30C93" w:rsidRPr="00F57C6C">
          <w:rPr>
            <w:rStyle w:val="Hyperlink"/>
            <w:noProof/>
            <w:lang w:val="en-US"/>
          </w:rPr>
          <w:t>Section VII</w:t>
        </w:r>
        <w:r w:rsidR="00946CF6">
          <w:rPr>
            <w:rStyle w:val="Hyperlink"/>
            <w:noProof/>
            <w:lang w:val="en-US"/>
          </w:rPr>
          <w:t xml:space="preserve"> </w:t>
        </w:r>
      </w:hyperlink>
      <w:hyperlink w:anchor="_Toc491854337" w:history="1">
        <w:r w:rsidR="00D30C93" w:rsidRPr="00F57C6C">
          <w:rPr>
            <w:rStyle w:val="Hyperlink"/>
            <w:noProof/>
            <w:lang w:val="en-US"/>
          </w:rPr>
          <w:t>Data sheet for on-board sewage treatment plants with type approval</w:t>
        </w:r>
        <w:r w:rsidR="00D30C93">
          <w:rPr>
            <w:noProof/>
            <w:webHidden/>
          </w:rPr>
          <w:tab/>
        </w:r>
        <w:r w:rsidR="00D30C93">
          <w:rPr>
            <w:noProof/>
            <w:webHidden/>
          </w:rPr>
          <w:fldChar w:fldCharType="begin"/>
        </w:r>
        <w:r w:rsidR="00D30C93">
          <w:rPr>
            <w:noProof/>
            <w:webHidden/>
          </w:rPr>
          <w:instrText xml:space="preserve"> PAGEREF _Toc491854337 \h </w:instrText>
        </w:r>
        <w:r w:rsidR="00D30C93">
          <w:rPr>
            <w:noProof/>
            <w:webHidden/>
          </w:rPr>
        </w:r>
        <w:r w:rsidR="00D30C93">
          <w:rPr>
            <w:noProof/>
            <w:webHidden/>
          </w:rPr>
          <w:fldChar w:fldCharType="separate"/>
        </w:r>
        <w:r w:rsidR="001B3D1D">
          <w:rPr>
            <w:noProof/>
            <w:webHidden/>
          </w:rPr>
          <w:t>361</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38" w:history="1">
        <w:r w:rsidR="00D30C93" w:rsidRPr="00F57C6C">
          <w:rPr>
            <w:rStyle w:val="Hyperlink"/>
            <w:noProof/>
            <w:lang w:val="en-US"/>
          </w:rPr>
          <w:t>Section VIII</w:t>
        </w:r>
        <w:r w:rsidR="00946CF6">
          <w:rPr>
            <w:rStyle w:val="Hyperlink"/>
            <w:noProof/>
            <w:lang w:val="en-US"/>
          </w:rPr>
          <w:t xml:space="preserve"> </w:t>
        </w:r>
      </w:hyperlink>
      <w:hyperlink w:anchor="_Toc491854339" w:history="1">
        <w:r w:rsidR="00D30C93" w:rsidRPr="00F57C6C">
          <w:rPr>
            <w:rStyle w:val="Hyperlink"/>
            <w:noProof/>
            <w:lang w:val="en-US"/>
          </w:rPr>
          <w:t>On-board sewage treatment plant parameters record for special test</w:t>
        </w:r>
        <w:r w:rsidR="00D30C93">
          <w:rPr>
            <w:noProof/>
            <w:webHidden/>
          </w:rPr>
          <w:tab/>
        </w:r>
        <w:r w:rsidR="00D30C93">
          <w:rPr>
            <w:noProof/>
            <w:webHidden/>
          </w:rPr>
          <w:fldChar w:fldCharType="begin"/>
        </w:r>
        <w:r w:rsidR="00D30C93">
          <w:rPr>
            <w:noProof/>
            <w:webHidden/>
          </w:rPr>
          <w:instrText xml:space="preserve"> PAGEREF _Toc491854339 \h </w:instrText>
        </w:r>
        <w:r w:rsidR="00D30C93">
          <w:rPr>
            <w:noProof/>
            <w:webHidden/>
          </w:rPr>
        </w:r>
        <w:r w:rsidR="00D30C93">
          <w:rPr>
            <w:noProof/>
            <w:webHidden/>
          </w:rPr>
          <w:fldChar w:fldCharType="separate"/>
        </w:r>
        <w:r w:rsidR="001B3D1D">
          <w:rPr>
            <w:noProof/>
            <w:webHidden/>
          </w:rPr>
          <w:t>363</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40" w:history="1">
        <w:r w:rsidR="00D30C93" w:rsidRPr="00F57C6C">
          <w:rPr>
            <w:rStyle w:val="Hyperlink"/>
            <w:noProof/>
            <w:lang w:val="en-US"/>
          </w:rPr>
          <w:t>Section IX</w:t>
        </w:r>
        <w:r w:rsidR="00946CF6">
          <w:rPr>
            <w:rStyle w:val="Hyperlink"/>
            <w:noProof/>
            <w:lang w:val="en-US"/>
          </w:rPr>
          <w:t xml:space="preserve"> </w:t>
        </w:r>
      </w:hyperlink>
      <w:hyperlink w:anchor="_Toc491854341" w:history="1">
        <w:r w:rsidR="00D30C93" w:rsidRPr="00F57C6C">
          <w:rPr>
            <w:rStyle w:val="Hyperlink"/>
            <w:noProof/>
            <w:lang w:val="en-US"/>
          </w:rPr>
          <w:t>Test procedure</w:t>
        </w:r>
        <w:r w:rsidR="00D30C93">
          <w:rPr>
            <w:noProof/>
            <w:webHidden/>
          </w:rPr>
          <w:tab/>
        </w:r>
        <w:r w:rsidR="00D30C93">
          <w:rPr>
            <w:noProof/>
            <w:webHidden/>
          </w:rPr>
          <w:fldChar w:fldCharType="begin"/>
        </w:r>
        <w:r w:rsidR="00D30C93">
          <w:rPr>
            <w:noProof/>
            <w:webHidden/>
          </w:rPr>
          <w:instrText xml:space="preserve"> PAGEREF _Toc491854341 \h </w:instrText>
        </w:r>
        <w:r w:rsidR="00D30C93">
          <w:rPr>
            <w:noProof/>
            <w:webHidden/>
          </w:rPr>
        </w:r>
        <w:r w:rsidR="00D30C93">
          <w:rPr>
            <w:noProof/>
            <w:webHidden/>
          </w:rPr>
          <w:fldChar w:fldCharType="separate"/>
        </w:r>
        <w:r w:rsidR="001B3D1D">
          <w:rPr>
            <w:noProof/>
            <w:webHidden/>
          </w:rPr>
          <w:t>367</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42" w:history="1">
        <w:r w:rsidR="00D30C93" w:rsidRPr="00F57C6C">
          <w:rPr>
            <w:rStyle w:val="Hyperlink"/>
            <w:noProof/>
          </w:rPr>
          <w:t>Annex 8 Supplementary provisions applicable to craft operating on fuels with a flashpoint equal to or lower than 55 °C</w:t>
        </w:r>
        <w:r w:rsidR="001E65D1">
          <w:rPr>
            <w:rStyle w:val="Hyperlink"/>
            <w:noProof/>
          </w:rPr>
          <w:t>………………………………………………………………………</w:t>
        </w:r>
        <w:r w:rsidR="00D30C93">
          <w:rPr>
            <w:noProof/>
            <w:webHidden/>
          </w:rPr>
          <w:fldChar w:fldCharType="begin"/>
        </w:r>
        <w:r w:rsidR="00D30C93">
          <w:rPr>
            <w:noProof/>
            <w:webHidden/>
          </w:rPr>
          <w:instrText xml:space="preserve"> PAGEREF _Toc491854342 \h </w:instrText>
        </w:r>
        <w:r w:rsidR="00D30C93">
          <w:rPr>
            <w:noProof/>
            <w:webHidden/>
          </w:rPr>
        </w:r>
        <w:r w:rsidR="00D30C93">
          <w:rPr>
            <w:noProof/>
            <w:webHidden/>
          </w:rPr>
          <w:fldChar w:fldCharType="separate"/>
        </w:r>
        <w:r w:rsidR="001B3D1D">
          <w:rPr>
            <w:noProof/>
            <w:webHidden/>
          </w:rPr>
          <w:t>379</w:t>
        </w:r>
        <w:r w:rsidR="00D30C93">
          <w:rPr>
            <w:noProof/>
            <w:webHidden/>
          </w:rPr>
          <w:fldChar w:fldCharType="end"/>
        </w:r>
      </w:hyperlink>
    </w:p>
    <w:p w:rsidR="00D30C93" w:rsidRDefault="00F12BAF">
      <w:pPr>
        <w:pStyle w:val="TOC3"/>
        <w:rPr>
          <w:rFonts w:asciiTheme="minorHAnsi" w:eastAsiaTheme="minorEastAsia" w:hAnsiTheme="minorHAnsi" w:cstheme="minorBidi"/>
          <w:i w:val="0"/>
          <w:iCs w:val="0"/>
          <w:noProof/>
          <w:sz w:val="22"/>
          <w:szCs w:val="22"/>
        </w:rPr>
      </w:pPr>
      <w:hyperlink w:anchor="_Toc491854343" w:history="1">
        <w:r w:rsidR="00D30C93" w:rsidRPr="00F57C6C">
          <w:rPr>
            <w:rStyle w:val="Hyperlink"/>
            <w:noProof/>
            <w:lang w:val="en-GB"/>
          </w:rPr>
          <w:t>Section I</w:t>
        </w:r>
        <w:r w:rsidR="00946CF6">
          <w:rPr>
            <w:rStyle w:val="Hyperlink"/>
            <w:noProof/>
            <w:lang w:val="en-GB"/>
          </w:rPr>
          <w:t xml:space="preserve"> </w:t>
        </w:r>
      </w:hyperlink>
      <w:hyperlink w:anchor="_Toc491854344" w:history="1">
        <w:r w:rsidR="00D30C93" w:rsidRPr="00F57C6C">
          <w:rPr>
            <w:rStyle w:val="Hyperlink"/>
            <w:noProof/>
            <w:lang w:val="en-GB"/>
          </w:rPr>
          <w:t>Liquefied Natural Gas (LNG)</w:t>
        </w:r>
        <w:r w:rsidR="00D30C93">
          <w:rPr>
            <w:noProof/>
            <w:webHidden/>
          </w:rPr>
          <w:tab/>
        </w:r>
        <w:r w:rsidR="00D30C93">
          <w:rPr>
            <w:noProof/>
            <w:webHidden/>
          </w:rPr>
          <w:fldChar w:fldCharType="begin"/>
        </w:r>
        <w:r w:rsidR="00D30C93">
          <w:rPr>
            <w:noProof/>
            <w:webHidden/>
          </w:rPr>
          <w:instrText xml:space="preserve"> PAGEREF _Toc491854344 \h </w:instrText>
        </w:r>
        <w:r w:rsidR="00D30C93">
          <w:rPr>
            <w:noProof/>
            <w:webHidden/>
          </w:rPr>
        </w:r>
        <w:r w:rsidR="00D30C93">
          <w:rPr>
            <w:noProof/>
            <w:webHidden/>
          </w:rPr>
          <w:fldChar w:fldCharType="separate"/>
        </w:r>
        <w:r w:rsidR="001B3D1D">
          <w:rPr>
            <w:noProof/>
            <w:webHidden/>
          </w:rPr>
          <w:t>379</w:t>
        </w:r>
        <w:r w:rsidR="00D30C93">
          <w:rPr>
            <w:noProof/>
            <w:webHidden/>
          </w:rPr>
          <w:fldChar w:fldCharType="end"/>
        </w:r>
      </w:hyperlink>
    </w:p>
    <w:p w:rsidR="00D30C93" w:rsidRDefault="00F12BAF">
      <w:pPr>
        <w:pStyle w:val="TOC1"/>
        <w:rPr>
          <w:rFonts w:asciiTheme="minorHAnsi" w:eastAsiaTheme="minorEastAsia" w:hAnsiTheme="minorHAnsi" w:cstheme="minorBidi"/>
          <w:b w:val="0"/>
          <w:bCs w:val="0"/>
          <w:caps w:val="0"/>
          <w:noProof/>
          <w:sz w:val="22"/>
          <w:szCs w:val="22"/>
        </w:rPr>
      </w:pPr>
      <w:hyperlink w:anchor="_Toc491854345" w:history="1">
        <w:r w:rsidR="00D30C93" w:rsidRPr="00F57C6C">
          <w:rPr>
            <w:rStyle w:val="Hyperlink"/>
            <w:noProof/>
            <w:lang w:val="en-US"/>
          </w:rPr>
          <w:t>Instructions for the application of the technical Standard</w:t>
        </w:r>
        <w:r w:rsidR="00D30C93">
          <w:rPr>
            <w:noProof/>
            <w:webHidden/>
          </w:rPr>
          <w:tab/>
        </w:r>
        <w:r w:rsidR="00D30C93">
          <w:rPr>
            <w:noProof/>
            <w:webHidden/>
          </w:rPr>
          <w:fldChar w:fldCharType="begin"/>
        </w:r>
        <w:r w:rsidR="00D30C93">
          <w:rPr>
            <w:noProof/>
            <w:webHidden/>
          </w:rPr>
          <w:instrText xml:space="preserve"> PAGEREF _Toc491854345 \h </w:instrText>
        </w:r>
        <w:r w:rsidR="00D30C93">
          <w:rPr>
            <w:noProof/>
            <w:webHidden/>
          </w:rPr>
        </w:r>
        <w:r w:rsidR="00D30C93">
          <w:rPr>
            <w:noProof/>
            <w:webHidden/>
          </w:rPr>
          <w:fldChar w:fldCharType="separate"/>
        </w:r>
        <w:r w:rsidR="001B3D1D">
          <w:rPr>
            <w:noProof/>
            <w:webHidden/>
          </w:rPr>
          <w:t>397</w:t>
        </w:r>
        <w:r w:rsidR="00D30C93">
          <w:rPr>
            <w:noProof/>
            <w:webHidden/>
          </w:rPr>
          <w:fldChar w:fldCharType="end"/>
        </w:r>
      </w:hyperlink>
    </w:p>
    <w:p w:rsidR="00D30C93" w:rsidRDefault="00F12BAF">
      <w:pPr>
        <w:pStyle w:val="TOC1"/>
        <w:rPr>
          <w:rFonts w:asciiTheme="minorHAnsi" w:eastAsiaTheme="minorEastAsia" w:hAnsiTheme="minorHAnsi" w:cstheme="minorBidi"/>
          <w:b w:val="0"/>
          <w:bCs w:val="0"/>
          <w:caps w:val="0"/>
          <w:noProof/>
          <w:sz w:val="22"/>
          <w:szCs w:val="22"/>
        </w:rPr>
      </w:pPr>
      <w:hyperlink w:anchor="_Toc491854346" w:history="1">
        <w:r w:rsidR="00D30C93" w:rsidRPr="00F57C6C">
          <w:rPr>
            <w:rStyle w:val="Hyperlink"/>
            <w:noProof/>
          </w:rPr>
          <w:t>PART I GENERAL</w:t>
        </w:r>
        <w:r w:rsidR="00D30C93">
          <w:rPr>
            <w:noProof/>
            <w:webHidden/>
          </w:rPr>
          <w:tab/>
        </w:r>
        <w:r w:rsidR="00D30C93">
          <w:rPr>
            <w:noProof/>
            <w:webHidden/>
          </w:rPr>
          <w:fldChar w:fldCharType="begin"/>
        </w:r>
        <w:r w:rsidR="00D30C93">
          <w:rPr>
            <w:noProof/>
            <w:webHidden/>
          </w:rPr>
          <w:instrText xml:space="preserve"> PAGEREF _Toc491854346 \h </w:instrText>
        </w:r>
        <w:r w:rsidR="00D30C93">
          <w:rPr>
            <w:noProof/>
            <w:webHidden/>
          </w:rPr>
        </w:r>
        <w:r w:rsidR="00D30C93">
          <w:rPr>
            <w:noProof/>
            <w:webHidden/>
          </w:rPr>
          <w:fldChar w:fldCharType="separate"/>
        </w:r>
        <w:r w:rsidR="001B3D1D">
          <w:rPr>
            <w:noProof/>
            <w:webHidden/>
          </w:rPr>
          <w:t>399</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47" w:history="1">
        <w:r w:rsidR="00D30C93" w:rsidRPr="00F57C6C">
          <w:rPr>
            <w:rStyle w:val="Hyperlink"/>
            <w:noProof/>
          </w:rPr>
          <w:t>ESI-I-1 Completion of the inland navigation vessel certificates</w:t>
        </w:r>
        <w:r w:rsidR="001E65D1">
          <w:rPr>
            <w:rStyle w:val="Hyperlink"/>
            <w:noProof/>
          </w:rPr>
          <w:t>……………………………..</w:t>
        </w:r>
        <w:r w:rsidR="00D30C93">
          <w:rPr>
            <w:noProof/>
            <w:webHidden/>
          </w:rPr>
          <w:fldChar w:fldCharType="begin"/>
        </w:r>
        <w:r w:rsidR="00D30C93">
          <w:rPr>
            <w:noProof/>
            <w:webHidden/>
          </w:rPr>
          <w:instrText xml:space="preserve"> PAGEREF _Toc491854347 \h </w:instrText>
        </w:r>
        <w:r w:rsidR="00D30C93">
          <w:rPr>
            <w:noProof/>
            <w:webHidden/>
          </w:rPr>
        </w:r>
        <w:r w:rsidR="00D30C93">
          <w:rPr>
            <w:noProof/>
            <w:webHidden/>
          </w:rPr>
          <w:fldChar w:fldCharType="separate"/>
        </w:r>
        <w:r w:rsidR="001B3D1D">
          <w:rPr>
            <w:noProof/>
            <w:webHidden/>
          </w:rPr>
          <w:t>399</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48" w:history="1">
        <w:r w:rsidR="00D30C93" w:rsidRPr="00F57C6C">
          <w:rPr>
            <w:rStyle w:val="Hyperlink"/>
            <w:noProof/>
          </w:rPr>
          <w:t xml:space="preserve">ESI-I-2 </w:t>
        </w:r>
        <w:r w:rsidR="00D30C93" w:rsidRPr="00F57C6C">
          <w:rPr>
            <w:rStyle w:val="Hyperlink"/>
            <w:noProof/>
            <w:snapToGrid w:val="0"/>
          </w:rPr>
          <w:t>Experts and Competent Persons</w:t>
        </w:r>
        <w:r w:rsidR="001E65D1">
          <w:rPr>
            <w:webHidden/>
          </w:rPr>
          <w:t>………………………………………………………….</w:t>
        </w:r>
        <w:r w:rsidR="00D30C93">
          <w:rPr>
            <w:noProof/>
            <w:webHidden/>
          </w:rPr>
          <w:fldChar w:fldCharType="begin"/>
        </w:r>
        <w:r w:rsidR="00D30C93">
          <w:rPr>
            <w:noProof/>
            <w:webHidden/>
          </w:rPr>
          <w:instrText xml:space="preserve"> PAGEREF _Toc491854348 \h </w:instrText>
        </w:r>
        <w:r w:rsidR="00D30C93">
          <w:rPr>
            <w:noProof/>
            <w:webHidden/>
          </w:rPr>
        </w:r>
        <w:r w:rsidR="00D30C93">
          <w:rPr>
            <w:noProof/>
            <w:webHidden/>
          </w:rPr>
          <w:fldChar w:fldCharType="separate"/>
        </w:r>
        <w:r w:rsidR="001B3D1D">
          <w:rPr>
            <w:noProof/>
            <w:webHidden/>
          </w:rPr>
          <w:t>405</w:t>
        </w:r>
        <w:r w:rsidR="00D30C93">
          <w:rPr>
            <w:noProof/>
            <w:webHidden/>
          </w:rPr>
          <w:fldChar w:fldCharType="end"/>
        </w:r>
      </w:hyperlink>
    </w:p>
    <w:p w:rsidR="00D30C93" w:rsidRDefault="00F12BAF">
      <w:pPr>
        <w:pStyle w:val="TOC1"/>
        <w:rPr>
          <w:rFonts w:asciiTheme="minorHAnsi" w:eastAsiaTheme="minorEastAsia" w:hAnsiTheme="minorHAnsi" w:cstheme="minorBidi"/>
          <w:b w:val="0"/>
          <w:bCs w:val="0"/>
          <w:caps w:val="0"/>
          <w:noProof/>
          <w:sz w:val="22"/>
          <w:szCs w:val="22"/>
        </w:rPr>
      </w:pPr>
      <w:hyperlink w:anchor="_Toc491854349" w:history="1">
        <w:r w:rsidR="00D30C93" w:rsidRPr="00F57C6C">
          <w:rPr>
            <w:rStyle w:val="Hyperlink"/>
            <w:noProof/>
          </w:rPr>
          <w:t>PART II PROVISIONS REGARDING SHIPBUILDING, FITTING OUT AND EQUIPMENT</w:t>
        </w:r>
        <w:r w:rsidR="00D30C93">
          <w:rPr>
            <w:noProof/>
            <w:webHidden/>
          </w:rPr>
          <w:tab/>
        </w:r>
        <w:r w:rsidR="00D30C93">
          <w:rPr>
            <w:noProof/>
            <w:webHidden/>
          </w:rPr>
          <w:fldChar w:fldCharType="begin"/>
        </w:r>
        <w:r w:rsidR="00D30C93">
          <w:rPr>
            <w:noProof/>
            <w:webHidden/>
          </w:rPr>
          <w:instrText xml:space="preserve"> PAGEREF _Toc491854349 \h </w:instrText>
        </w:r>
        <w:r w:rsidR="00D30C93">
          <w:rPr>
            <w:noProof/>
            <w:webHidden/>
          </w:rPr>
        </w:r>
        <w:r w:rsidR="00D30C93">
          <w:rPr>
            <w:noProof/>
            <w:webHidden/>
          </w:rPr>
          <w:fldChar w:fldCharType="separate"/>
        </w:r>
        <w:r w:rsidR="001B3D1D">
          <w:rPr>
            <w:noProof/>
            <w:webHidden/>
          </w:rPr>
          <w:t>407</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50" w:history="1">
        <w:r w:rsidR="00D30C93" w:rsidRPr="00F57C6C">
          <w:rPr>
            <w:rStyle w:val="Hyperlink"/>
            <w:noProof/>
          </w:rPr>
          <w:t>ESI-II-1 Minimum hull thickness of barges</w:t>
        </w:r>
        <w:r w:rsidR="001E65D1">
          <w:rPr>
            <w:webHidden/>
          </w:rPr>
          <w:t>…………………………………………………………</w:t>
        </w:r>
        <w:r w:rsidR="00D30C93">
          <w:rPr>
            <w:noProof/>
            <w:webHidden/>
          </w:rPr>
          <w:fldChar w:fldCharType="begin"/>
        </w:r>
        <w:r w:rsidR="00D30C93">
          <w:rPr>
            <w:noProof/>
            <w:webHidden/>
          </w:rPr>
          <w:instrText xml:space="preserve"> PAGEREF _Toc491854350 \h </w:instrText>
        </w:r>
        <w:r w:rsidR="00D30C93">
          <w:rPr>
            <w:noProof/>
            <w:webHidden/>
          </w:rPr>
        </w:r>
        <w:r w:rsidR="00D30C93">
          <w:rPr>
            <w:noProof/>
            <w:webHidden/>
          </w:rPr>
          <w:fldChar w:fldCharType="separate"/>
        </w:r>
        <w:r w:rsidR="001B3D1D">
          <w:rPr>
            <w:noProof/>
            <w:webHidden/>
          </w:rPr>
          <w:t>407</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51" w:history="1">
        <w:r w:rsidR="00D30C93" w:rsidRPr="00F57C6C">
          <w:rPr>
            <w:rStyle w:val="Hyperlink"/>
            <w:noProof/>
          </w:rPr>
          <w:t>ESI-II-2 Installation of doubler plates to the hull</w:t>
        </w:r>
        <w:r w:rsidR="00832531">
          <w:rPr>
            <w:webHidden/>
          </w:rPr>
          <w:t>………………………………………………</w:t>
        </w:r>
        <w:r w:rsidR="00D30C93">
          <w:rPr>
            <w:noProof/>
            <w:webHidden/>
          </w:rPr>
          <w:fldChar w:fldCharType="begin"/>
        </w:r>
        <w:r w:rsidR="00D30C93">
          <w:rPr>
            <w:noProof/>
            <w:webHidden/>
          </w:rPr>
          <w:instrText xml:space="preserve"> PAGEREF _Toc491854351 \h </w:instrText>
        </w:r>
        <w:r w:rsidR="00D30C93">
          <w:rPr>
            <w:noProof/>
            <w:webHidden/>
          </w:rPr>
        </w:r>
        <w:r w:rsidR="00D30C93">
          <w:rPr>
            <w:noProof/>
            <w:webHidden/>
          </w:rPr>
          <w:fldChar w:fldCharType="separate"/>
        </w:r>
        <w:r w:rsidR="001B3D1D">
          <w:rPr>
            <w:noProof/>
            <w:webHidden/>
          </w:rPr>
          <w:t>409</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52" w:history="1">
        <w:r w:rsidR="00D30C93" w:rsidRPr="00F57C6C">
          <w:rPr>
            <w:rStyle w:val="Hyperlink"/>
            <w:noProof/>
          </w:rPr>
          <w:t>ESI-II-3 Minimum prescribed forward speed, stopping capacity and capacity for going astern</w:t>
        </w:r>
        <w:r w:rsidR="00832531">
          <w:rPr>
            <w:webHidden/>
          </w:rPr>
          <w:t>…………………………………………………………………………………………………</w:t>
        </w:r>
        <w:r w:rsidR="00D30C93">
          <w:rPr>
            <w:noProof/>
            <w:webHidden/>
          </w:rPr>
          <w:fldChar w:fldCharType="begin"/>
        </w:r>
        <w:r w:rsidR="00D30C93">
          <w:rPr>
            <w:noProof/>
            <w:webHidden/>
          </w:rPr>
          <w:instrText xml:space="preserve"> PAGEREF _Toc491854352 \h </w:instrText>
        </w:r>
        <w:r w:rsidR="00D30C93">
          <w:rPr>
            <w:noProof/>
            <w:webHidden/>
          </w:rPr>
        </w:r>
        <w:r w:rsidR="00D30C93">
          <w:rPr>
            <w:noProof/>
            <w:webHidden/>
          </w:rPr>
          <w:fldChar w:fldCharType="separate"/>
        </w:r>
        <w:r w:rsidR="001B3D1D">
          <w:rPr>
            <w:noProof/>
            <w:webHidden/>
          </w:rPr>
          <w:t>411</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53" w:history="1">
        <w:r w:rsidR="00D30C93" w:rsidRPr="00F57C6C">
          <w:rPr>
            <w:rStyle w:val="Hyperlink"/>
            <w:noProof/>
          </w:rPr>
          <w:t>ESI-II-4 Capacity for taking evasive action and turning capacity</w:t>
        </w:r>
        <w:r w:rsidR="00832531">
          <w:rPr>
            <w:rStyle w:val="Hyperlink"/>
            <w:noProof/>
          </w:rPr>
          <w:t>……………………………..</w:t>
        </w:r>
        <w:r w:rsidR="00D30C93">
          <w:rPr>
            <w:noProof/>
            <w:webHidden/>
          </w:rPr>
          <w:fldChar w:fldCharType="begin"/>
        </w:r>
        <w:r w:rsidR="00D30C93">
          <w:rPr>
            <w:noProof/>
            <w:webHidden/>
          </w:rPr>
          <w:instrText xml:space="preserve"> PAGEREF _Toc491854353 \h </w:instrText>
        </w:r>
        <w:r w:rsidR="00D30C93">
          <w:rPr>
            <w:noProof/>
            <w:webHidden/>
          </w:rPr>
        </w:r>
        <w:r w:rsidR="00D30C93">
          <w:rPr>
            <w:noProof/>
            <w:webHidden/>
          </w:rPr>
          <w:fldChar w:fldCharType="separate"/>
        </w:r>
        <w:r w:rsidR="001B3D1D">
          <w:rPr>
            <w:noProof/>
            <w:webHidden/>
          </w:rPr>
          <w:t>435</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54" w:history="1">
        <w:r w:rsidR="00D30C93" w:rsidRPr="00F57C6C">
          <w:rPr>
            <w:rStyle w:val="Hyperlink"/>
            <w:noProof/>
          </w:rPr>
          <w:t>ESI-II-5 Noise measurements</w:t>
        </w:r>
        <w:r w:rsidR="00832531">
          <w:rPr>
            <w:webHidden/>
          </w:rPr>
          <w:t>…………………………………………………………………………</w:t>
        </w:r>
        <w:r w:rsidR="00D30C93">
          <w:rPr>
            <w:noProof/>
            <w:webHidden/>
          </w:rPr>
          <w:fldChar w:fldCharType="begin"/>
        </w:r>
        <w:r w:rsidR="00D30C93">
          <w:rPr>
            <w:noProof/>
            <w:webHidden/>
          </w:rPr>
          <w:instrText xml:space="preserve"> PAGEREF _Toc491854354 \h </w:instrText>
        </w:r>
        <w:r w:rsidR="00D30C93">
          <w:rPr>
            <w:noProof/>
            <w:webHidden/>
          </w:rPr>
        </w:r>
        <w:r w:rsidR="00D30C93">
          <w:rPr>
            <w:noProof/>
            <w:webHidden/>
          </w:rPr>
          <w:fldChar w:fldCharType="separate"/>
        </w:r>
        <w:r w:rsidR="001B3D1D">
          <w:rPr>
            <w:noProof/>
            <w:webHidden/>
          </w:rPr>
          <w:t>441</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55" w:history="1">
        <w:r w:rsidR="00D30C93" w:rsidRPr="00F57C6C">
          <w:rPr>
            <w:rStyle w:val="Hyperlink"/>
            <w:noProof/>
          </w:rPr>
          <w:t>ESI-II-6 Appropriate auxiliary means for observing the area of obstructed vision</w:t>
        </w:r>
        <w:r w:rsidR="00832531">
          <w:rPr>
            <w:webHidden/>
          </w:rPr>
          <w:t>……….</w:t>
        </w:r>
        <w:r w:rsidR="00D30C93">
          <w:rPr>
            <w:noProof/>
            <w:webHidden/>
          </w:rPr>
          <w:fldChar w:fldCharType="begin"/>
        </w:r>
        <w:r w:rsidR="00D30C93">
          <w:rPr>
            <w:noProof/>
            <w:webHidden/>
          </w:rPr>
          <w:instrText xml:space="preserve"> PAGEREF _Toc491854355 \h </w:instrText>
        </w:r>
        <w:r w:rsidR="00D30C93">
          <w:rPr>
            <w:noProof/>
            <w:webHidden/>
          </w:rPr>
        </w:r>
        <w:r w:rsidR="00D30C93">
          <w:rPr>
            <w:noProof/>
            <w:webHidden/>
          </w:rPr>
          <w:fldChar w:fldCharType="separate"/>
        </w:r>
        <w:r w:rsidR="001B3D1D">
          <w:rPr>
            <w:noProof/>
            <w:webHidden/>
          </w:rPr>
          <w:t>445</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56" w:history="1">
        <w:r w:rsidR="00D30C93" w:rsidRPr="00F57C6C">
          <w:rPr>
            <w:rStyle w:val="Hyperlink"/>
            <w:noProof/>
          </w:rPr>
          <w:t>ESI-II-7 Used oil collection facilities</w:t>
        </w:r>
        <w:r w:rsidR="00832531">
          <w:rPr>
            <w:webHidden/>
          </w:rPr>
          <w:t>………………………………………………………………</w:t>
        </w:r>
        <w:r w:rsidR="00D30C93">
          <w:rPr>
            <w:noProof/>
            <w:webHidden/>
          </w:rPr>
          <w:fldChar w:fldCharType="begin"/>
        </w:r>
        <w:r w:rsidR="00D30C93">
          <w:rPr>
            <w:noProof/>
            <w:webHidden/>
          </w:rPr>
          <w:instrText xml:space="preserve"> PAGEREF _Toc491854356 \h </w:instrText>
        </w:r>
        <w:r w:rsidR="00D30C93">
          <w:rPr>
            <w:noProof/>
            <w:webHidden/>
          </w:rPr>
        </w:r>
        <w:r w:rsidR="00D30C93">
          <w:rPr>
            <w:noProof/>
            <w:webHidden/>
          </w:rPr>
          <w:fldChar w:fldCharType="separate"/>
        </w:r>
        <w:r w:rsidR="001B3D1D">
          <w:rPr>
            <w:noProof/>
            <w:webHidden/>
          </w:rPr>
          <w:t>451</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57" w:history="1">
        <w:r w:rsidR="00D30C93" w:rsidRPr="00F57C6C">
          <w:rPr>
            <w:rStyle w:val="Hyperlink"/>
            <w:noProof/>
          </w:rPr>
          <w:t xml:space="preserve">ESI-II-8 </w:t>
        </w:r>
        <w:r w:rsidR="00D30C93" w:rsidRPr="00F57C6C">
          <w:rPr>
            <w:rStyle w:val="Hyperlink"/>
            <w:noProof/>
            <w:snapToGrid w:val="0"/>
          </w:rPr>
          <w:t>(Left void)</w:t>
        </w:r>
        <w:r w:rsidR="00832531">
          <w:rPr>
            <w:webHidden/>
          </w:rPr>
          <w:t>……………………………………………………………………………………..</w:t>
        </w:r>
        <w:r w:rsidR="00D30C93">
          <w:rPr>
            <w:noProof/>
            <w:webHidden/>
          </w:rPr>
          <w:fldChar w:fldCharType="begin"/>
        </w:r>
        <w:r w:rsidR="00D30C93">
          <w:rPr>
            <w:noProof/>
            <w:webHidden/>
          </w:rPr>
          <w:instrText xml:space="preserve"> PAGEREF _Toc491854357 \h </w:instrText>
        </w:r>
        <w:r w:rsidR="00D30C93">
          <w:rPr>
            <w:noProof/>
            <w:webHidden/>
          </w:rPr>
        </w:r>
        <w:r w:rsidR="00D30C93">
          <w:rPr>
            <w:noProof/>
            <w:webHidden/>
          </w:rPr>
          <w:fldChar w:fldCharType="separate"/>
        </w:r>
        <w:r w:rsidR="001B3D1D">
          <w:rPr>
            <w:noProof/>
            <w:webHidden/>
          </w:rPr>
          <w:t>453</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58" w:history="1">
        <w:r w:rsidR="00D30C93" w:rsidRPr="00F57C6C">
          <w:rPr>
            <w:rStyle w:val="Hyperlink"/>
            <w:noProof/>
          </w:rPr>
          <w:t>ESI-II-9 Special anchors with reduced mass</w:t>
        </w:r>
        <w:r w:rsidR="00832531">
          <w:rPr>
            <w:webHidden/>
          </w:rPr>
          <w:t>………………………………………………………</w:t>
        </w:r>
        <w:r w:rsidR="00D30C93">
          <w:rPr>
            <w:noProof/>
            <w:webHidden/>
          </w:rPr>
          <w:fldChar w:fldCharType="begin"/>
        </w:r>
        <w:r w:rsidR="00D30C93">
          <w:rPr>
            <w:noProof/>
            <w:webHidden/>
          </w:rPr>
          <w:instrText xml:space="preserve"> PAGEREF _Toc491854358 \h </w:instrText>
        </w:r>
        <w:r w:rsidR="00D30C93">
          <w:rPr>
            <w:noProof/>
            <w:webHidden/>
          </w:rPr>
        </w:r>
        <w:r w:rsidR="00D30C93">
          <w:rPr>
            <w:noProof/>
            <w:webHidden/>
          </w:rPr>
          <w:fldChar w:fldCharType="separate"/>
        </w:r>
        <w:r w:rsidR="001B3D1D">
          <w:rPr>
            <w:noProof/>
            <w:webHidden/>
          </w:rPr>
          <w:t>455</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59" w:history="1">
        <w:r w:rsidR="00D30C93" w:rsidRPr="00F57C6C">
          <w:rPr>
            <w:rStyle w:val="Hyperlink"/>
            <w:noProof/>
          </w:rPr>
          <w:t>ESI-II-10 Automatic pressurised water sprinklers</w:t>
        </w:r>
        <w:r w:rsidR="00832531">
          <w:rPr>
            <w:webHidden/>
          </w:rPr>
          <w:t>……………………………</w:t>
        </w:r>
        <w:r w:rsidR="00FC3227">
          <w:rPr>
            <w:webHidden/>
          </w:rPr>
          <w:t>………………...</w:t>
        </w:r>
        <w:r w:rsidR="00D30C93">
          <w:rPr>
            <w:noProof/>
            <w:webHidden/>
          </w:rPr>
          <w:fldChar w:fldCharType="begin"/>
        </w:r>
        <w:r w:rsidR="00D30C93">
          <w:rPr>
            <w:noProof/>
            <w:webHidden/>
          </w:rPr>
          <w:instrText xml:space="preserve"> PAGEREF _Toc491854359 \h </w:instrText>
        </w:r>
        <w:r w:rsidR="00D30C93">
          <w:rPr>
            <w:noProof/>
            <w:webHidden/>
          </w:rPr>
        </w:r>
        <w:r w:rsidR="00D30C93">
          <w:rPr>
            <w:noProof/>
            <w:webHidden/>
          </w:rPr>
          <w:fldChar w:fldCharType="separate"/>
        </w:r>
        <w:r w:rsidR="001B3D1D">
          <w:rPr>
            <w:noProof/>
            <w:webHidden/>
          </w:rPr>
          <w:t>461</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60" w:history="1">
        <w:r w:rsidR="00D30C93" w:rsidRPr="00F57C6C">
          <w:rPr>
            <w:rStyle w:val="Hyperlink"/>
            <w:noProof/>
          </w:rPr>
          <w:t>ESI-II-11 Steerageway under vessel’s own power</w:t>
        </w:r>
        <w:r w:rsidR="00FC3227">
          <w:rPr>
            <w:webHidden/>
          </w:rPr>
          <w:t>………………………………………………</w:t>
        </w:r>
        <w:r w:rsidR="00D30C93">
          <w:rPr>
            <w:noProof/>
            <w:webHidden/>
          </w:rPr>
          <w:fldChar w:fldCharType="begin"/>
        </w:r>
        <w:r w:rsidR="00D30C93">
          <w:rPr>
            <w:noProof/>
            <w:webHidden/>
          </w:rPr>
          <w:instrText xml:space="preserve"> PAGEREF _Toc491854360 \h </w:instrText>
        </w:r>
        <w:r w:rsidR="00D30C93">
          <w:rPr>
            <w:noProof/>
            <w:webHidden/>
          </w:rPr>
        </w:r>
        <w:r w:rsidR="00D30C93">
          <w:rPr>
            <w:noProof/>
            <w:webHidden/>
          </w:rPr>
          <w:fldChar w:fldCharType="separate"/>
        </w:r>
        <w:r w:rsidR="001B3D1D">
          <w:rPr>
            <w:noProof/>
            <w:webHidden/>
          </w:rPr>
          <w:t>463</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61" w:history="1">
        <w:r w:rsidR="00D30C93" w:rsidRPr="00F57C6C">
          <w:rPr>
            <w:rStyle w:val="Hyperlink"/>
            <w:noProof/>
          </w:rPr>
          <w:t>ESI-II-12 Appropriate fire alarm system</w:t>
        </w:r>
        <w:r w:rsidR="00FC3227">
          <w:rPr>
            <w:rStyle w:val="Hyperlink"/>
            <w:noProof/>
          </w:rPr>
          <w:t>…………………………………………………………..</w:t>
        </w:r>
        <w:r w:rsidR="00D30C93">
          <w:rPr>
            <w:noProof/>
            <w:webHidden/>
          </w:rPr>
          <w:fldChar w:fldCharType="begin"/>
        </w:r>
        <w:r w:rsidR="00D30C93">
          <w:rPr>
            <w:noProof/>
            <w:webHidden/>
          </w:rPr>
          <w:instrText xml:space="preserve"> PAGEREF _Toc491854361 \h </w:instrText>
        </w:r>
        <w:r w:rsidR="00D30C93">
          <w:rPr>
            <w:noProof/>
            <w:webHidden/>
          </w:rPr>
        </w:r>
        <w:r w:rsidR="00D30C93">
          <w:rPr>
            <w:noProof/>
            <w:webHidden/>
          </w:rPr>
          <w:fldChar w:fldCharType="separate"/>
        </w:r>
        <w:r w:rsidR="001B3D1D">
          <w:rPr>
            <w:noProof/>
            <w:webHidden/>
          </w:rPr>
          <w:t>465</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62" w:history="1">
        <w:r w:rsidR="00D30C93" w:rsidRPr="00F57C6C">
          <w:rPr>
            <w:rStyle w:val="Hyperlink"/>
            <w:noProof/>
          </w:rPr>
          <w:t xml:space="preserve">ESI-II-13 </w:t>
        </w:r>
        <w:r w:rsidR="00D30C93" w:rsidRPr="00F57C6C">
          <w:rPr>
            <w:rStyle w:val="Hyperlink"/>
            <w:noProof/>
            <w:snapToGrid w:val="0"/>
          </w:rPr>
          <w:t>(Left void)</w:t>
        </w:r>
        <w:r w:rsidR="00FC3227">
          <w:rPr>
            <w:webHidden/>
          </w:rPr>
          <w:t>……………………………………………………………………………………</w:t>
        </w:r>
        <w:r w:rsidR="00D30C93">
          <w:rPr>
            <w:noProof/>
            <w:webHidden/>
          </w:rPr>
          <w:fldChar w:fldCharType="begin"/>
        </w:r>
        <w:r w:rsidR="00D30C93">
          <w:rPr>
            <w:noProof/>
            <w:webHidden/>
          </w:rPr>
          <w:instrText xml:space="preserve"> PAGEREF _Toc491854362 \h </w:instrText>
        </w:r>
        <w:r w:rsidR="00D30C93">
          <w:rPr>
            <w:noProof/>
            <w:webHidden/>
          </w:rPr>
        </w:r>
        <w:r w:rsidR="00D30C93">
          <w:rPr>
            <w:noProof/>
            <w:webHidden/>
          </w:rPr>
          <w:fldChar w:fldCharType="separate"/>
        </w:r>
        <w:r w:rsidR="001B3D1D">
          <w:rPr>
            <w:noProof/>
            <w:webHidden/>
          </w:rPr>
          <w:t>471</w:t>
        </w:r>
        <w:r w:rsidR="00D30C93">
          <w:rPr>
            <w:noProof/>
            <w:webHidden/>
          </w:rPr>
          <w:fldChar w:fldCharType="end"/>
        </w:r>
      </w:hyperlink>
    </w:p>
    <w:p w:rsidR="00D30C93" w:rsidRDefault="00F12BAF">
      <w:pPr>
        <w:pStyle w:val="TOC1"/>
        <w:rPr>
          <w:rFonts w:asciiTheme="minorHAnsi" w:eastAsiaTheme="minorEastAsia" w:hAnsiTheme="minorHAnsi" w:cstheme="minorBidi"/>
          <w:b w:val="0"/>
          <w:bCs w:val="0"/>
          <w:caps w:val="0"/>
          <w:noProof/>
          <w:sz w:val="22"/>
          <w:szCs w:val="22"/>
        </w:rPr>
      </w:pPr>
      <w:hyperlink w:anchor="_Toc491854363" w:history="1">
        <w:r w:rsidR="00D30C93" w:rsidRPr="00F57C6C">
          <w:rPr>
            <w:rStyle w:val="Hyperlink"/>
            <w:noProof/>
          </w:rPr>
          <w:t>PART III SPECIAL PROVISIONS</w:t>
        </w:r>
        <w:r w:rsidR="00D30C93">
          <w:rPr>
            <w:noProof/>
            <w:webHidden/>
          </w:rPr>
          <w:tab/>
        </w:r>
        <w:r w:rsidR="00D30C93">
          <w:rPr>
            <w:noProof/>
            <w:webHidden/>
          </w:rPr>
          <w:fldChar w:fldCharType="begin"/>
        </w:r>
        <w:r w:rsidR="00D30C93">
          <w:rPr>
            <w:noProof/>
            <w:webHidden/>
          </w:rPr>
          <w:instrText xml:space="preserve"> PAGEREF _Toc491854363 \h </w:instrText>
        </w:r>
        <w:r w:rsidR="00D30C93">
          <w:rPr>
            <w:noProof/>
            <w:webHidden/>
          </w:rPr>
        </w:r>
        <w:r w:rsidR="00D30C93">
          <w:rPr>
            <w:noProof/>
            <w:webHidden/>
          </w:rPr>
          <w:fldChar w:fldCharType="separate"/>
        </w:r>
        <w:r w:rsidR="001B3D1D">
          <w:rPr>
            <w:noProof/>
            <w:webHidden/>
          </w:rPr>
          <w:t>473</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64" w:history="1">
        <w:r w:rsidR="00D30C93" w:rsidRPr="00F57C6C">
          <w:rPr>
            <w:rStyle w:val="Hyperlink"/>
            <w:noProof/>
          </w:rPr>
          <w:t>ESI-III-1 Application of Chapter 19 requirements</w:t>
        </w:r>
        <w:r w:rsidR="002725E7">
          <w:rPr>
            <w:rStyle w:val="Hyperlink"/>
            <w:noProof/>
          </w:rPr>
          <w:t>……………………………………………….</w:t>
        </w:r>
        <w:r w:rsidR="00D30C93">
          <w:rPr>
            <w:noProof/>
            <w:webHidden/>
          </w:rPr>
          <w:fldChar w:fldCharType="begin"/>
        </w:r>
        <w:r w:rsidR="00D30C93">
          <w:rPr>
            <w:noProof/>
            <w:webHidden/>
          </w:rPr>
          <w:instrText xml:space="preserve"> PAGEREF _Toc491854364 \h </w:instrText>
        </w:r>
        <w:r w:rsidR="00D30C93">
          <w:rPr>
            <w:noProof/>
            <w:webHidden/>
          </w:rPr>
        </w:r>
        <w:r w:rsidR="00D30C93">
          <w:rPr>
            <w:noProof/>
            <w:webHidden/>
          </w:rPr>
          <w:fldChar w:fldCharType="separate"/>
        </w:r>
        <w:r w:rsidR="001B3D1D">
          <w:rPr>
            <w:noProof/>
            <w:webHidden/>
          </w:rPr>
          <w:t>473</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65" w:history="1">
        <w:r w:rsidR="00D30C93" w:rsidRPr="00F57C6C">
          <w:rPr>
            <w:rStyle w:val="Hyperlink"/>
            <w:noProof/>
          </w:rPr>
          <w:t>ESI-III-2 Specific safety needs of persons with reduced mobility</w:t>
        </w:r>
        <w:r w:rsidR="002725E7">
          <w:rPr>
            <w:noProof/>
            <w:webHidden/>
          </w:rPr>
          <w:t>…………………………….</w:t>
        </w:r>
        <w:r w:rsidR="00D30C93">
          <w:rPr>
            <w:noProof/>
            <w:webHidden/>
          </w:rPr>
          <w:fldChar w:fldCharType="begin"/>
        </w:r>
        <w:r w:rsidR="00D30C93">
          <w:rPr>
            <w:noProof/>
            <w:webHidden/>
          </w:rPr>
          <w:instrText xml:space="preserve"> PAGEREF _Toc491854365 \h </w:instrText>
        </w:r>
        <w:r w:rsidR="00D30C93">
          <w:rPr>
            <w:noProof/>
            <w:webHidden/>
          </w:rPr>
        </w:r>
        <w:r w:rsidR="00D30C93">
          <w:rPr>
            <w:noProof/>
            <w:webHidden/>
          </w:rPr>
          <w:fldChar w:fldCharType="separate"/>
        </w:r>
        <w:r w:rsidR="001B3D1D">
          <w:rPr>
            <w:noProof/>
            <w:webHidden/>
          </w:rPr>
          <w:t>475</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66" w:history="1">
        <w:r w:rsidR="00D30C93" w:rsidRPr="00F57C6C">
          <w:rPr>
            <w:rStyle w:val="Hyperlink"/>
            <w:noProof/>
          </w:rPr>
          <w:t>ESI-III-3 Strength of watertight windows</w:t>
        </w:r>
        <w:r w:rsidR="002725E7">
          <w:rPr>
            <w:noProof/>
            <w:webHidden/>
          </w:rPr>
          <w:t>………………………………………………………..</w:t>
        </w:r>
        <w:r w:rsidR="00D30C93">
          <w:rPr>
            <w:noProof/>
            <w:webHidden/>
          </w:rPr>
          <w:fldChar w:fldCharType="begin"/>
        </w:r>
        <w:r w:rsidR="00D30C93">
          <w:rPr>
            <w:noProof/>
            <w:webHidden/>
          </w:rPr>
          <w:instrText xml:space="preserve"> PAGEREF _Toc491854366 \h </w:instrText>
        </w:r>
        <w:r w:rsidR="00D30C93">
          <w:rPr>
            <w:noProof/>
            <w:webHidden/>
          </w:rPr>
        </w:r>
        <w:r w:rsidR="00D30C93">
          <w:rPr>
            <w:noProof/>
            <w:webHidden/>
          </w:rPr>
          <w:fldChar w:fldCharType="separate"/>
        </w:r>
        <w:r w:rsidR="001B3D1D">
          <w:rPr>
            <w:noProof/>
            <w:webHidden/>
          </w:rPr>
          <w:t>479</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67" w:history="1">
        <w:r w:rsidR="00D30C93" w:rsidRPr="00F57C6C">
          <w:rPr>
            <w:rStyle w:val="Hyperlink"/>
            <w:noProof/>
          </w:rPr>
          <w:t>ESI-III-4 Safety guidance system</w:t>
        </w:r>
        <w:r w:rsidR="002725E7">
          <w:rPr>
            <w:noProof/>
            <w:webHidden/>
          </w:rPr>
          <w:t>……………………………………………………………………</w:t>
        </w:r>
        <w:r w:rsidR="00D30C93">
          <w:rPr>
            <w:noProof/>
            <w:webHidden/>
          </w:rPr>
          <w:fldChar w:fldCharType="begin"/>
        </w:r>
        <w:r w:rsidR="00D30C93">
          <w:rPr>
            <w:noProof/>
            <w:webHidden/>
          </w:rPr>
          <w:instrText xml:space="preserve"> PAGEREF _Toc491854367 \h </w:instrText>
        </w:r>
        <w:r w:rsidR="00D30C93">
          <w:rPr>
            <w:noProof/>
            <w:webHidden/>
          </w:rPr>
        </w:r>
        <w:r w:rsidR="00D30C93">
          <w:rPr>
            <w:noProof/>
            <w:webHidden/>
          </w:rPr>
          <w:fldChar w:fldCharType="separate"/>
        </w:r>
        <w:r w:rsidR="001B3D1D">
          <w:rPr>
            <w:noProof/>
            <w:webHidden/>
          </w:rPr>
          <w:t>481</w:t>
        </w:r>
        <w:r w:rsidR="00D30C93">
          <w:rPr>
            <w:noProof/>
            <w:webHidden/>
          </w:rPr>
          <w:fldChar w:fldCharType="end"/>
        </w:r>
      </w:hyperlink>
    </w:p>
    <w:p w:rsidR="00946CF6" w:rsidRDefault="00946CF6">
      <w:pPr>
        <w:autoSpaceDE/>
        <w:autoSpaceDN/>
        <w:ind w:left="0" w:firstLine="0"/>
        <w:jc w:val="left"/>
        <w:rPr>
          <w:smallCaps/>
          <w:szCs w:val="20"/>
        </w:rPr>
      </w:pPr>
      <w:r>
        <w:br w:type="page"/>
      </w:r>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68" w:history="1">
        <w:r w:rsidR="00D30C93" w:rsidRPr="00F57C6C">
          <w:rPr>
            <w:rStyle w:val="Hyperlink"/>
            <w:noProof/>
          </w:rPr>
          <w:t>ESI-III-5 Suitable gas warning equipment</w:t>
        </w:r>
        <w:r w:rsidR="00D43EFE">
          <w:rPr>
            <w:rStyle w:val="Hyperlink"/>
            <w:noProof/>
          </w:rPr>
          <w:t>….………………………………………………………</w:t>
        </w:r>
        <w:r w:rsidR="00D30C93">
          <w:rPr>
            <w:noProof/>
            <w:webHidden/>
          </w:rPr>
          <w:fldChar w:fldCharType="begin"/>
        </w:r>
        <w:r w:rsidR="00D30C93">
          <w:rPr>
            <w:noProof/>
            <w:webHidden/>
          </w:rPr>
          <w:instrText xml:space="preserve"> PAGEREF _Toc491854368 \h </w:instrText>
        </w:r>
        <w:r w:rsidR="00D30C93">
          <w:rPr>
            <w:noProof/>
            <w:webHidden/>
          </w:rPr>
        </w:r>
        <w:r w:rsidR="00D30C93">
          <w:rPr>
            <w:noProof/>
            <w:webHidden/>
          </w:rPr>
          <w:fldChar w:fldCharType="separate"/>
        </w:r>
        <w:r w:rsidR="001B3D1D">
          <w:rPr>
            <w:noProof/>
            <w:webHidden/>
          </w:rPr>
          <w:t>485</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69" w:history="1">
        <w:r w:rsidR="00D30C93" w:rsidRPr="00F57C6C">
          <w:rPr>
            <w:rStyle w:val="Hyperlink"/>
            <w:noProof/>
          </w:rPr>
          <w:t>ESI-III-6 Coupling systems and coupling devices for craft suitable for propelling or being propelled in a rigid assembly</w:t>
        </w:r>
        <w:r w:rsidR="00D43EFE">
          <w:rPr>
            <w:rStyle w:val="Hyperlink"/>
            <w:noProof/>
          </w:rPr>
          <w:t>…………………………………………………………………..….</w:t>
        </w:r>
        <w:r w:rsidR="00D30C93">
          <w:rPr>
            <w:noProof/>
            <w:webHidden/>
          </w:rPr>
          <w:fldChar w:fldCharType="begin"/>
        </w:r>
        <w:r w:rsidR="00D30C93">
          <w:rPr>
            <w:noProof/>
            <w:webHidden/>
          </w:rPr>
          <w:instrText xml:space="preserve"> PAGEREF _Toc491854369 \h </w:instrText>
        </w:r>
        <w:r w:rsidR="00D30C93">
          <w:rPr>
            <w:noProof/>
            <w:webHidden/>
          </w:rPr>
        </w:r>
        <w:r w:rsidR="00D30C93">
          <w:rPr>
            <w:noProof/>
            <w:webHidden/>
          </w:rPr>
          <w:fldChar w:fldCharType="separate"/>
        </w:r>
        <w:r w:rsidR="001B3D1D">
          <w:rPr>
            <w:noProof/>
            <w:webHidden/>
          </w:rPr>
          <w:t>489</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70" w:history="1">
        <w:r w:rsidR="00D30C93" w:rsidRPr="00F57C6C">
          <w:rPr>
            <w:rStyle w:val="Hyperlink"/>
            <w:noProof/>
          </w:rPr>
          <w:t>ESI-III-7 Fuel tanks on floating equipment</w:t>
        </w:r>
        <w:r w:rsidR="00D43EFE">
          <w:rPr>
            <w:webHidden/>
          </w:rPr>
          <w:t>………………………………………………………..</w:t>
        </w:r>
        <w:r w:rsidR="00D30C93">
          <w:rPr>
            <w:noProof/>
            <w:webHidden/>
          </w:rPr>
          <w:fldChar w:fldCharType="begin"/>
        </w:r>
        <w:r w:rsidR="00D30C93">
          <w:rPr>
            <w:noProof/>
            <w:webHidden/>
          </w:rPr>
          <w:instrText xml:space="preserve"> PAGEREF _Toc491854370 \h </w:instrText>
        </w:r>
        <w:r w:rsidR="00D30C93">
          <w:rPr>
            <w:noProof/>
            <w:webHidden/>
          </w:rPr>
        </w:r>
        <w:r w:rsidR="00D30C93">
          <w:rPr>
            <w:noProof/>
            <w:webHidden/>
          </w:rPr>
          <w:fldChar w:fldCharType="separate"/>
        </w:r>
        <w:r w:rsidR="001B3D1D">
          <w:rPr>
            <w:noProof/>
            <w:webHidden/>
          </w:rPr>
          <w:t>493</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71" w:history="1">
        <w:r w:rsidR="00D30C93" w:rsidRPr="00F57C6C">
          <w:rPr>
            <w:rStyle w:val="Hyperlink"/>
            <w:noProof/>
          </w:rPr>
          <w:t xml:space="preserve">ESI-III-8 </w:t>
        </w:r>
        <w:r w:rsidR="00D30C93" w:rsidRPr="00F57C6C">
          <w:rPr>
            <w:rStyle w:val="Hyperlink"/>
            <w:noProof/>
            <w:lang w:bidi="fr-FR"/>
          </w:rPr>
          <w:t>Recreational craft</w:t>
        </w:r>
        <w:r w:rsidR="00D43EFE">
          <w:rPr>
            <w:webHidden/>
          </w:rPr>
          <w:t>………</w:t>
        </w:r>
        <w:r w:rsidR="00D32BB2">
          <w:rPr>
            <w:webHidden/>
          </w:rPr>
          <w:t>…………………………………………………………………</w:t>
        </w:r>
        <w:r w:rsidR="00D30C93">
          <w:rPr>
            <w:noProof/>
            <w:webHidden/>
          </w:rPr>
          <w:fldChar w:fldCharType="begin"/>
        </w:r>
        <w:r w:rsidR="00D30C93">
          <w:rPr>
            <w:noProof/>
            <w:webHidden/>
          </w:rPr>
          <w:instrText xml:space="preserve"> PAGEREF _Toc491854371 \h </w:instrText>
        </w:r>
        <w:r w:rsidR="00D30C93">
          <w:rPr>
            <w:noProof/>
            <w:webHidden/>
          </w:rPr>
        </w:r>
        <w:r w:rsidR="00D30C93">
          <w:rPr>
            <w:noProof/>
            <w:webHidden/>
          </w:rPr>
          <w:fldChar w:fldCharType="separate"/>
        </w:r>
        <w:r w:rsidR="001B3D1D">
          <w:rPr>
            <w:noProof/>
            <w:webHidden/>
          </w:rPr>
          <w:t>495</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72" w:history="1">
        <w:r w:rsidR="00D30C93" w:rsidRPr="00F57C6C">
          <w:rPr>
            <w:rStyle w:val="Hyperlink"/>
            <w:noProof/>
          </w:rPr>
          <w:t>ESI-III-9 Proof of buoyancy, trim and stability of the separated parts of a vessel</w:t>
        </w:r>
        <w:r w:rsidR="00D32BB2">
          <w:rPr>
            <w:rStyle w:val="Hyperlink"/>
            <w:noProof/>
          </w:rPr>
          <w:t>……….</w:t>
        </w:r>
        <w:r w:rsidR="00D30C93">
          <w:rPr>
            <w:noProof/>
            <w:webHidden/>
          </w:rPr>
          <w:fldChar w:fldCharType="begin"/>
        </w:r>
        <w:r w:rsidR="00D30C93">
          <w:rPr>
            <w:noProof/>
            <w:webHidden/>
          </w:rPr>
          <w:instrText xml:space="preserve"> PAGEREF _Toc491854372 \h </w:instrText>
        </w:r>
        <w:r w:rsidR="00D30C93">
          <w:rPr>
            <w:noProof/>
            <w:webHidden/>
          </w:rPr>
        </w:r>
        <w:r w:rsidR="00D30C93">
          <w:rPr>
            <w:noProof/>
            <w:webHidden/>
          </w:rPr>
          <w:fldChar w:fldCharType="separate"/>
        </w:r>
        <w:r w:rsidR="001B3D1D">
          <w:rPr>
            <w:noProof/>
            <w:webHidden/>
          </w:rPr>
          <w:t>497</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73" w:history="1">
        <w:r w:rsidR="00D30C93" w:rsidRPr="00F57C6C">
          <w:rPr>
            <w:rStyle w:val="Hyperlink"/>
            <w:noProof/>
          </w:rPr>
          <w:t>ESI-III-10 Equipment for vessels to be operated according to standards S1 or S2</w:t>
        </w:r>
        <w:r w:rsidR="00D32BB2">
          <w:rPr>
            <w:noProof/>
            <w:webHidden/>
          </w:rPr>
          <w:t>……….</w:t>
        </w:r>
        <w:r w:rsidR="00D30C93">
          <w:rPr>
            <w:noProof/>
            <w:webHidden/>
          </w:rPr>
          <w:fldChar w:fldCharType="begin"/>
        </w:r>
        <w:r w:rsidR="00D30C93">
          <w:rPr>
            <w:noProof/>
            <w:webHidden/>
          </w:rPr>
          <w:instrText xml:space="preserve"> PAGEREF _Toc491854373 \h </w:instrText>
        </w:r>
        <w:r w:rsidR="00D30C93">
          <w:rPr>
            <w:noProof/>
            <w:webHidden/>
          </w:rPr>
        </w:r>
        <w:r w:rsidR="00D30C93">
          <w:rPr>
            <w:noProof/>
            <w:webHidden/>
          </w:rPr>
          <w:fldChar w:fldCharType="separate"/>
        </w:r>
        <w:r w:rsidR="001B3D1D">
          <w:rPr>
            <w:noProof/>
            <w:webHidden/>
          </w:rPr>
          <w:t>499</w:t>
        </w:r>
        <w:r w:rsidR="00D30C93">
          <w:rPr>
            <w:noProof/>
            <w:webHidden/>
          </w:rPr>
          <w:fldChar w:fldCharType="end"/>
        </w:r>
      </w:hyperlink>
    </w:p>
    <w:p w:rsidR="00D30C93" w:rsidRDefault="00F12BAF">
      <w:pPr>
        <w:pStyle w:val="TOC1"/>
        <w:rPr>
          <w:rFonts w:asciiTheme="minorHAnsi" w:eastAsiaTheme="minorEastAsia" w:hAnsiTheme="minorHAnsi" w:cstheme="minorBidi"/>
          <w:b w:val="0"/>
          <w:bCs w:val="0"/>
          <w:caps w:val="0"/>
          <w:noProof/>
          <w:sz w:val="22"/>
          <w:szCs w:val="22"/>
        </w:rPr>
      </w:pPr>
      <w:hyperlink w:anchor="_Toc491854374" w:history="1">
        <w:r w:rsidR="00D30C93" w:rsidRPr="00F57C6C">
          <w:rPr>
            <w:rStyle w:val="Hyperlink"/>
            <w:noProof/>
          </w:rPr>
          <w:t>PART IV TRANSITIONAL PROVISIONS</w:t>
        </w:r>
        <w:r w:rsidR="00D30C93">
          <w:rPr>
            <w:noProof/>
            <w:webHidden/>
          </w:rPr>
          <w:tab/>
        </w:r>
        <w:r w:rsidR="00D30C93">
          <w:rPr>
            <w:noProof/>
            <w:webHidden/>
          </w:rPr>
          <w:fldChar w:fldCharType="begin"/>
        </w:r>
        <w:r w:rsidR="00D30C93">
          <w:rPr>
            <w:noProof/>
            <w:webHidden/>
          </w:rPr>
          <w:instrText xml:space="preserve"> PAGEREF _Toc491854374 \h </w:instrText>
        </w:r>
        <w:r w:rsidR="00D30C93">
          <w:rPr>
            <w:noProof/>
            <w:webHidden/>
          </w:rPr>
        </w:r>
        <w:r w:rsidR="00D30C93">
          <w:rPr>
            <w:noProof/>
            <w:webHidden/>
          </w:rPr>
          <w:fldChar w:fldCharType="separate"/>
        </w:r>
        <w:r w:rsidR="001B3D1D">
          <w:rPr>
            <w:noProof/>
            <w:webHidden/>
          </w:rPr>
          <w:t>503</w:t>
        </w:r>
        <w:r w:rsidR="00D30C93">
          <w:rPr>
            <w:noProof/>
            <w:webHidden/>
          </w:rPr>
          <w:fldChar w:fldCharType="end"/>
        </w:r>
      </w:hyperlink>
    </w:p>
    <w:p w:rsidR="00D30C93" w:rsidRDefault="00F12BAF">
      <w:pPr>
        <w:pStyle w:val="TOC2"/>
        <w:tabs>
          <w:tab w:val="right" w:leader="dot" w:pos="9060"/>
        </w:tabs>
        <w:rPr>
          <w:rFonts w:asciiTheme="minorHAnsi" w:eastAsiaTheme="minorEastAsia" w:hAnsiTheme="minorHAnsi" w:cstheme="minorBidi"/>
          <w:smallCaps w:val="0"/>
          <w:noProof/>
          <w:sz w:val="22"/>
          <w:szCs w:val="22"/>
        </w:rPr>
      </w:pPr>
      <w:hyperlink w:anchor="_Toc491854375" w:history="1">
        <w:r w:rsidR="00D30C93" w:rsidRPr="00F57C6C">
          <w:rPr>
            <w:rStyle w:val="Hyperlink"/>
            <w:noProof/>
          </w:rPr>
          <w:t>ESI-IV-1 Application of transitional provisions</w:t>
        </w:r>
        <w:r w:rsidR="00D32BB2">
          <w:rPr>
            <w:noProof/>
            <w:webHidden/>
          </w:rPr>
          <w:t>………………………………………………….</w:t>
        </w:r>
        <w:r w:rsidR="00D30C93">
          <w:rPr>
            <w:noProof/>
            <w:webHidden/>
          </w:rPr>
          <w:fldChar w:fldCharType="begin"/>
        </w:r>
        <w:r w:rsidR="00D30C93">
          <w:rPr>
            <w:noProof/>
            <w:webHidden/>
          </w:rPr>
          <w:instrText xml:space="preserve"> PAGEREF _Toc491854375 \h </w:instrText>
        </w:r>
        <w:r w:rsidR="00D30C93">
          <w:rPr>
            <w:noProof/>
            <w:webHidden/>
          </w:rPr>
        </w:r>
        <w:r w:rsidR="00D30C93">
          <w:rPr>
            <w:noProof/>
            <w:webHidden/>
          </w:rPr>
          <w:fldChar w:fldCharType="separate"/>
        </w:r>
        <w:r w:rsidR="001B3D1D">
          <w:rPr>
            <w:noProof/>
            <w:webHidden/>
          </w:rPr>
          <w:t>503</w:t>
        </w:r>
        <w:r w:rsidR="00D30C93">
          <w:rPr>
            <w:noProof/>
            <w:webHidden/>
          </w:rPr>
          <w:fldChar w:fldCharType="end"/>
        </w:r>
      </w:hyperlink>
    </w:p>
    <w:p w:rsidR="00360D41" w:rsidRPr="00C903F8" w:rsidRDefault="00FC3016" w:rsidP="00A31C24">
      <w:pPr>
        <w:spacing w:line="240" w:lineRule="atLeast"/>
        <w:ind w:right="709"/>
        <w:rPr>
          <w:rFonts w:cs="Arial"/>
          <w:szCs w:val="20"/>
        </w:rPr>
      </w:pPr>
      <w:r>
        <w:rPr>
          <w:rFonts w:cs="Arial"/>
          <w:szCs w:val="20"/>
        </w:rPr>
        <w:fldChar w:fldCharType="end"/>
      </w:r>
    </w:p>
    <w:p w:rsidR="00FE7BE7" w:rsidRPr="00C903F8" w:rsidRDefault="00FE7BE7" w:rsidP="005F5F39">
      <w:pPr>
        <w:rPr>
          <w:rFonts w:cs="Arial"/>
          <w:szCs w:val="20"/>
          <w:lang w:val="en-US"/>
        </w:rPr>
      </w:pPr>
    </w:p>
    <w:p w:rsidR="00C8674F" w:rsidRPr="00C903F8" w:rsidRDefault="00C8674F" w:rsidP="00E1027C">
      <w:pPr>
        <w:spacing w:line="240" w:lineRule="atLeast"/>
        <w:rPr>
          <w:rFonts w:cs="Arial"/>
          <w:szCs w:val="20"/>
          <w:lang w:val="en-US"/>
        </w:rPr>
      </w:pPr>
    </w:p>
    <w:p w:rsidR="00731F7D" w:rsidRPr="00C903F8" w:rsidRDefault="00731F7D" w:rsidP="00E1027C">
      <w:pPr>
        <w:spacing w:line="240" w:lineRule="atLeast"/>
        <w:rPr>
          <w:rFonts w:cs="Arial"/>
          <w:szCs w:val="20"/>
          <w:lang w:val="en-US"/>
        </w:rPr>
        <w:sectPr w:rsidR="00731F7D" w:rsidRPr="00C903F8" w:rsidSect="006327E3">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6" w:h="16838" w:code="9"/>
          <w:pgMar w:top="1418" w:right="1418" w:bottom="1418" w:left="1418" w:header="709" w:footer="709" w:gutter="0"/>
          <w:pgNumType w:fmt="lowerRoman"/>
          <w:cols w:space="709"/>
          <w:titlePg/>
          <w:docGrid w:linePitch="326"/>
        </w:sectPr>
      </w:pPr>
    </w:p>
    <w:p w:rsidR="00360D41" w:rsidRPr="00C903F8" w:rsidRDefault="00360D41" w:rsidP="004B2505">
      <w:pPr>
        <w:pStyle w:val="ES-Titre1"/>
      </w:pPr>
      <w:bookmarkStart w:id="5" w:name="_Toc384624875"/>
      <w:bookmarkStart w:id="6" w:name="_Toc491854002"/>
      <w:r w:rsidRPr="00C903F8">
        <w:lastRenderedPageBreak/>
        <w:t>PART</w:t>
      </w:r>
      <w:r w:rsidR="00DE4417" w:rsidRPr="00C903F8">
        <w:t xml:space="preserve"> I</w:t>
      </w:r>
      <w:r w:rsidRPr="00C903F8">
        <w:br/>
      </w:r>
      <w:bookmarkEnd w:id="5"/>
      <w:r w:rsidR="00DE4417" w:rsidRPr="00C903F8">
        <w:t>GENERAL</w:t>
      </w:r>
      <w:bookmarkEnd w:id="6"/>
    </w:p>
    <w:p w:rsidR="00A2046F" w:rsidRPr="00C903F8" w:rsidRDefault="00A2046F" w:rsidP="00A2046F">
      <w:pPr>
        <w:pStyle w:val="ESch"/>
        <w:tabs>
          <w:tab w:val="left" w:pos="2325"/>
        </w:tabs>
        <w:rPr>
          <w:lang w:val="en-US"/>
        </w:rPr>
      </w:pPr>
      <w:bookmarkStart w:id="7" w:name="_Toc384624876"/>
    </w:p>
    <w:p w:rsidR="00360D41" w:rsidRPr="00C903F8" w:rsidRDefault="00DE4417" w:rsidP="00B267B5">
      <w:pPr>
        <w:pStyle w:val="ES-Titre2"/>
        <w:pageBreakBefore w:val="0"/>
      </w:pPr>
      <w:bookmarkStart w:id="8" w:name="_Toc491854003"/>
      <w:r w:rsidRPr="00C903F8">
        <w:t>Chapter</w:t>
      </w:r>
      <w:r w:rsidR="00360D41" w:rsidRPr="00C903F8">
        <w:t xml:space="preserve"> 1</w:t>
      </w:r>
      <w:r w:rsidR="00A16748" w:rsidRPr="00C903F8">
        <w:br/>
      </w:r>
      <w:bookmarkEnd w:id="7"/>
      <w:r w:rsidR="00B267B5" w:rsidRPr="00C903F8">
        <w:t>General</w:t>
      </w:r>
      <w:bookmarkEnd w:id="8"/>
    </w:p>
    <w:p w:rsidR="004B2505" w:rsidRPr="00C903F8" w:rsidRDefault="004B2505" w:rsidP="00E1027C">
      <w:pPr>
        <w:pStyle w:val="ES-Titre3"/>
        <w:spacing w:line="240" w:lineRule="atLeast"/>
        <w:rPr>
          <w:lang w:val="en-US"/>
        </w:rPr>
      </w:pPr>
      <w:bookmarkStart w:id="9" w:name="_Toc384624877"/>
    </w:p>
    <w:p w:rsidR="00360D41" w:rsidRPr="00C903F8" w:rsidRDefault="00360D41" w:rsidP="00E1027C">
      <w:pPr>
        <w:pStyle w:val="ES-Titre3"/>
        <w:spacing w:line="240" w:lineRule="atLeast"/>
        <w:rPr>
          <w:i/>
          <w:lang w:val="en-US"/>
        </w:rPr>
      </w:pPr>
      <w:bookmarkStart w:id="10" w:name="_Toc491854004"/>
      <w:r w:rsidRPr="00C903F8">
        <w:rPr>
          <w:lang w:val="en-US"/>
        </w:rPr>
        <w:t>Article 1.01</w:t>
      </w:r>
      <w:r w:rsidR="00944893" w:rsidRPr="00C903F8">
        <w:rPr>
          <w:lang w:val="en-US"/>
        </w:rPr>
        <w:br/>
      </w:r>
      <w:r w:rsidRPr="00C903F8">
        <w:rPr>
          <w:i/>
          <w:lang w:val="en-US"/>
        </w:rPr>
        <w:t>D</w:t>
      </w:r>
      <w:bookmarkEnd w:id="9"/>
      <w:r w:rsidR="00DE4417" w:rsidRPr="00C903F8">
        <w:rPr>
          <w:i/>
          <w:lang w:val="en-US"/>
        </w:rPr>
        <w:t>e</w:t>
      </w:r>
      <w:r w:rsidR="00A15D4D" w:rsidRPr="00C903F8">
        <w:rPr>
          <w:i/>
          <w:lang w:val="en-US"/>
        </w:rPr>
        <w:t>finitions</w:t>
      </w:r>
      <w:bookmarkEnd w:id="10"/>
    </w:p>
    <w:p w:rsidR="004B2505" w:rsidRPr="00C903F8" w:rsidRDefault="004B2505" w:rsidP="00E1027C">
      <w:pPr>
        <w:spacing w:line="240" w:lineRule="atLeast"/>
        <w:ind w:firstLine="0"/>
        <w:rPr>
          <w:noProof/>
          <w:snapToGrid w:val="0"/>
          <w:lang w:val="en-US"/>
        </w:rPr>
      </w:pPr>
    </w:p>
    <w:p w:rsidR="00DE4417" w:rsidRPr="00C903F8" w:rsidRDefault="00DE4417" w:rsidP="009A1D30">
      <w:pPr>
        <w:rPr>
          <w:rFonts w:cs="Arial"/>
          <w:szCs w:val="20"/>
          <w:lang w:val="en-US"/>
        </w:rPr>
      </w:pPr>
      <w:r w:rsidRPr="00C903F8">
        <w:rPr>
          <w:rFonts w:cs="Arial"/>
          <w:szCs w:val="20"/>
          <w:lang w:val="en-US"/>
        </w:rPr>
        <w:t xml:space="preserve">For the purposes of this </w:t>
      </w:r>
      <w:r w:rsidR="00837508" w:rsidRPr="00C903F8">
        <w:rPr>
          <w:rFonts w:cs="Arial"/>
          <w:szCs w:val="20"/>
          <w:lang w:val="en-US"/>
        </w:rPr>
        <w:t>Standard</w:t>
      </w:r>
      <w:r w:rsidRPr="00C903F8">
        <w:rPr>
          <w:rFonts w:cs="Arial"/>
          <w:szCs w:val="20"/>
          <w:lang w:val="en-US"/>
        </w:rPr>
        <w:t>, the following definitions shall apply</w:t>
      </w:r>
    </w:p>
    <w:p w:rsidR="00DE4417" w:rsidRPr="00C903F8" w:rsidRDefault="00DE4417" w:rsidP="009A1D30">
      <w:pPr>
        <w:rPr>
          <w:rFonts w:cs="Arial"/>
          <w:b/>
          <w:color w:val="000000"/>
          <w:szCs w:val="20"/>
          <w:lang w:val="en-US"/>
        </w:rPr>
      </w:pPr>
    </w:p>
    <w:p w:rsidR="00151656" w:rsidRPr="00C903F8" w:rsidRDefault="00151656" w:rsidP="00151656">
      <w:pPr>
        <w:pStyle w:val="ESchgras"/>
        <w:rPr>
          <w:lang w:val="en-US"/>
        </w:rPr>
      </w:pPr>
      <w:r w:rsidRPr="00C903F8">
        <w:rPr>
          <w:lang w:val="en-US"/>
        </w:rPr>
        <w:t>1.</w:t>
      </w:r>
      <w:r w:rsidR="00391A9D" w:rsidRPr="00C903F8">
        <w:rPr>
          <w:lang w:val="en-US"/>
        </w:rPr>
        <w:tab/>
        <w:t>Types of craft</w:t>
      </w:r>
    </w:p>
    <w:p w:rsidR="00511BF6" w:rsidRPr="00C903F8" w:rsidRDefault="00511BF6" w:rsidP="00391A9D">
      <w:pPr>
        <w:pStyle w:val="ESch"/>
        <w:tabs>
          <w:tab w:val="left" w:pos="2325"/>
        </w:tabs>
        <w:rPr>
          <w:lang w:val="en-US"/>
        </w:rPr>
      </w:pPr>
    </w:p>
    <w:p w:rsidR="00DE4417" w:rsidRPr="00C903F8" w:rsidRDefault="00DE4417" w:rsidP="00511BF6">
      <w:pPr>
        <w:pStyle w:val="ESch"/>
        <w:rPr>
          <w:lang w:val="en-US"/>
        </w:rPr>
      </w:pPr>
      <w:r w:rsidRPr="00C903F8">
        <w:rPr>
          <w:rFonts w:cs="Arial"/>
          <w:szCs w:val="20"/>
          <w:lang w:val="en-US"/>
        </w:rPr>
        <w:t>1.1</w:t>
      </w:r>
      <w:r w:rsidRPr="00C903F8">
        <w:rPr>
          <w:rFonts w:cs="Arial"/>
          <w:szCs w:val="20"/>
          <w:lang w:val="en-US"/>
        </w:rPr>
        <w:tab/>
        <w:t>‘craft’: a vessel or item of floating equipment;</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1.2</w:t>
      </w:r>
      <w:r w:rsidRPr="00C903F8">
        <w:rPr>
          <w:rFonts w:cs="Arial"/>
          <w:szCs w:val="20"/>
          <w:lang w:val="en-US"/>
        </w:rPr>
        <w:tab/>
        <w:t>‘vessel’: an inland waterway vessel or sea-going ship;</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1.3</w:t>
      </w:r>
      <w:r w:rsidRPr="00C903F8">
        <w:rPr>
          <w:rFonts w:cs="Arial"/>
          <w:szCs w:val="20"/>
          <w:lang w:val="en-US"/>
        </w:rPr>
        <w:tab/>
        <w:t>‘inland waterway vessel’: a vessel intended solely or mainly for navigation on inland waterways;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1.4</w:t>
      </w:r>
      <w:r w:rsidRPr="00C903F8">
        <w:rPr>
          <w:rFonts w:cs="Arial"/>
          <w:szCs w:val="20"/>
          <w:lang w:val="en-US"/>
        </w:rPr>
        <w:tab/>
        <w:t xml:space="preserve">‘sea-going ship’: a vessel </w:t>
      </w:r>
      <w:r w:rsidR="00136BFD" w:rsidRPr="00C903F8">
        <w:rPr>
          <w:rFonts w:cs="Arial"/>
          <w:szCs w:val="20"/>
          <w:lang w:val="en-US"/>
        </w:rPr>
        <w:t>approved and intended primarily for sea-going or coastal navigation</w:t>
      </w:r>
      <w:r w:rsidRPr="00C903F8">
        <w:rPr>
          <w:rFonts w:cs="Arial"/>
          <w:szCs w:val="20"/>
          <w:lang w:val="en-US"/>
        </w:rPr>
        <w:t>;</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1.5</w:t>
      </w:r>
      <w:r w:rsidRPr="00C903F8">
        <w:rPr>
          <w:rFonts w:cs="Arial"/>
          <w:szCs w:val="20"/>
          <w:lang w:val="en-US"/>
        </w:rPr>
        <w:tab/>
        <w:t>‘motor vessel’: a motor cargo vessel or a motor tanker;</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1.6</w:t>
      </w:r>
      <w:r w:rsidRPr="00C903F8">
        <w:rPr>
          <w:rFonts w:cs="Arial"/>
          <w:szCs w:val="20"/>
          <w:lang w:val="en-US"/>
        </w:rPr>
        <w:tab/>
        <w:t>‘motor tanker’: a vessel intended for the carriage of goods in fixed tanks and built to navigate independently under its own motive power;</w:t>
      </w:r>
    </w:p>
    <w:p w:rsidR="00B267B5" w:rsidRPr="00C903F8" w:rsidRDefault="00B267B5"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1.7</w:t>
      </w:r>
      <w:r w:rsidRPr="00C903F8">
        <w:rPr>
          <w:rFonts w:cs="Arial"/>
          <w:szCs w:val="20"/>
          <w:lang w:val="en-US"/>
        </w:rPr>
        <w:tab/>
        <w:t>‘motor cargo vessel’: a vessel, other than a motor tanker, intended for the carriage of goods and built to navigate independently under its own motive power;</w:t>
      </w:r>
    </w:p>
    <w:p w:rsidR="009A1D30" w:rsidRPr="00C903F8" w:rsidRDefault="009A1D30" w:rsidP="00511BF6">
      <w:pPr>
        <w:pStyle w:val="ESch"/>
        <w:rPr>
          <w:rFonts w:cs="Arial"/>
          <w:szCs w:val="20"/>
          <w:lang w:val="en-US"/>
        </w:rPr>
      </w:pPr>
    </w:p>
    <w:p w:rsidR="00DE4417" w:rsidRPr="00C903F8" w:rsidRDefault="00DE4417" w:rsidP="00511BF6">
      <w:pPr>
        <w:pStyle w:val="ESch"/>
        <w:rPr>
          <w:rFonts w:cs="Arial"/>
          <w:szCs w:val="20"/>
          <w:lang w:val="en-US"/>
        </w:rPr>
      </w:pPr>
      <w:r w:rsidRPr="00C903F8">
        <w:rPr>
          <w:rFonts w:cs="Arial"/>
          <w:szCs w:val="20"/>
          <w:lang w:val="en-US"/>
        </w:rPr>
        <w:t>1.8</w:t>
      </w:r>
      <w:r w:rsidRPr="00C903F8">
        <w:rPr>
          <w:rFonts w:cs="Arial"/>
          <w:szCs w:val="20"/>
          <w:lang w:val="en-US"/>
        </w:rPr>
        <w:tab/>
        <w:t>‘canal barge’: an inland waterway vessel not exceeding 38,5 m</w:t>
      </w:r>
      <w:r w:rsidR="009A1D30" w:rsidRPr="00C903F8">
        <w:rPr>
          <w:rFonts w:cs="Arial"/>
          <w:szCs w:val="20"/>
          <w:lang w:val="en-US"/>
        </w:rPr>
        <w:t xml:space="preserve"> in length and 5,05 m in breadth;</w:t>
      </w:r>
    </w:p>
    <w:p w:rsidR="009A1D30" w:rsidRPr="00C903F8" w:rsidRDefault="009A1D30" w:rsidP="00511BF6">
      <w:pPr>
        <w:pStyle w:val="ESch"/>
        <w:rPr>
          <w:lang w:val="en-US"/>
        </w:rPr>
      </w:pPr>
    </w:p>
    <w:p w:rsidR="00DE4417" w:rsidRPr="00C903F8" w:rsidRDefault="00DE4417" w:rsidP="00511BF6">
      <w:pPr>
        <w:pStyle w:val="ESch"/>
        <w:rPr>
          <w:lang w:val="en-US"/>
        </w:rPr>
      </w:pPr>
      <w:r w:rsidRPr="00C903F8">
        <w:rPr>
          <w:rFonts w:cs="Arial"/>
          <w:szCs w:val="20"/>
          <w:lang w:val="en-US"/>
        </w:rPr>
        <w:t>1.9</w:t>
      </w:r>
      <w:r w:rsidRPr="00C903F8">
        <w:rPr>
          <w:rFonts w:cs="Arial"/>
          <w:szCs w:val="20"/>
          <w:lang w:val="en-US"/>
        </w:rPr>
        <w:tab/>
        <w:t>‘tug’: a vessel specially built to perform towing operations;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1.10</w:t>
      </w:r>
      <w:r w:rsidRPr="00C903F8">
        <w:rPr>
          <w:rFonts w:cs="Arial"/>
          <w:szCs w:val="20"/>
          <w:lang w:val="en-US"/>
        </w:rPr>
        <w:tab/>
        <w:t>‘pusher’: a vessel specially built to propel a pushed convoy;</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1.11</w:t>
      </w:r>
      <w:r w:rsidRPr="00C903F8">
        <w:rPr>
          <w:rFonts w:cs="Arial"/>
          <w:szCs w:val="20"/>
          <w:lang w:val="en-US"/>
        </w:rPr>
        <w:tab/>
        <w:t>‘barge’: a dumb barge or tank barge;</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1.12</w:t>
      </w:r>
      <w:r w:rsidRPr="00C903F8">
        <w:rPr>
          <w:rFonts w:cs="Arial"/>
          <w:szCs w:val="20"/>
          <w:lang w:val="en-US"/>
        </w:rPr>
        <w:tab/>
        <w:t>‘tank barge’: a vessel intended for the carriage of goods in fixed tanks and built to be towed, either having no motive power of its own or having only sufficient motive power to perform restricted manoeuvres;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1.13</w:t>
      </w:r>
      <w:r w:rsidRPr="00C903F8">
        <w:rPr>
          <w:rFonts w:cs="Arial"/>
          <w:szCs w:val="20"/>
          <w:lang w:val="en-US"/>
        </w:rPr>
        <w:tab/>
        <w:t>‘dumb barge’: a vessel, other than a tank barge, intended for the carriage of goods and built to be towed, either having no motive power of its own or having only sufficient motive power to perform restricted manoeuvres;</w:t>
      </w:r>
    </w:p>
    <w:p w:rsidR="009A1D30" w:rsidRPr="00C903F8" w:rsidRDefault="009A1D30" w:rsidP="00511BF6">
      <w:pPr>
        <w:pStyle w:val="ESch"/>
        <w:rPr>
          <w:rFonts w:cs="Arial"/>
          <w:szCs w:val="20"/>
          <w:lang w:val="en-US"/>
        </w:rPr>
      </w:pPr>
    </w:p>
    <w:p w:rsidR="00DE4417" w:rsidRPr="00C903F8" w:rsidRDefault="00DE4417" w:rsidP="00511BF6">
      <w:pPr>
        <w:pStyle w:val="ESch"/>
        <w:rPr>
          <w:rFonts w:cs="Arial"/>
          <w:szCs w:val="20"/>
          <w:lang w:val="en-US"/>
        </w:rPr>
      </w:pPr>
      <w:r w:rsidRPr="00C903F8">
        <w:rPr>
          <w:rFonts w:cs="Arial"/>
          <w:szCs w:val="20"/>
          <w:lang w:val="en-US"/>
        </w:rPr>
        <w:t>1.14</w:t>
      </w:r>
      <w:r w:rsidRPr="00C903F8">
        <w:rPr>
          <w:rFonts w:cs="Arial"/>
          <w:szCs w:val="20"/>
          <w:lang w:val="en-US"/>
        </w:rPr>
        <w:tab/>
        <w:t>‘lighter’: a tank lighter, cargo lighter or ship-borne lighter;</w:t>
      </w:r>
    </w:p>
    <w:p w:rsidR="009A1D30" w:rsidRPr="00C903F8" w:rsidRDefault="009A1D30" w:rsidP="00511BF6">
      <w:pPr>
        <w:pStyle w:val="ESch"/>
        <w:rPr>
          <w:rFonts w:cs="Arial"/>
          <w:szCs w:val="20"/>
          <w:lang w:val="en-US"/>
        </w:rPr>
      </w:pPr>
    </w:p>
    <w:p w:rsidR="009A1D30" w:rsidRPr="00C903F8" w:rsidRDefault="009A1D30" w:rsidP="00511BF6">
      <w:pPr>
        <w:pStyle w:val="ESch"/>
        <w:rPr>
          <w:rFonts w:cs="Arial"/>
          <w:szCs w:val="20"/>
          <w:lang w:val="en-US"/>
        </w:rPr>
      </w:pPr>
      <w:r w:rsidRPr="00C903F8">
        <w:rPr>
          <w:rFonts w:cs="Arial"/>
          <w:szCs w:val="20"/>
          <w:lang w:val="en-US"/>
        </w:rPr>
        <w:br w:type="page"/>
      </w:r>
    </w:p>
    <w:p w:rsidR="00DE4417" w:rsidRPr="00C903F8" w:rsidRDefault="00DE4417" w:rsidP="00511BF6">
      <w:pPr>
        <w:pStyle w:val="ESch"/>
        <w:rPr>
          <w:lang w:val="en-US"/>
        </w:rPr>
      </w:pPr>
      <w:r w:rsidRPr="00C903F8">
        <w:rPr>
          <w:rFonts w:cs="Arial"/>
          <w:szCs w:val="20"/>
          <w:lang w:val="en-US"/>
        </w:rPr>
        <w:lastRenderedPageBreak/>
        <w:t>1.15</w:t>
      </w:r>
      <w:r w:rsidRPr="00C903F8">
        <w:rPr>
          <w:rFonts w:cs="Arial"/>
          <w:szCs w:val="20"/>
          <w:lang w:val="en-US"/>
        </w:rPr>
        <w:tab/>
        <w:t>‘tank lighter’: a vessel intended for the carriage of goods in fixed tanks, built or specially modified to be pushed, either having no motive power of its own or having only sufficient motive power to perform restricted manoeuvres when not part of a pushed convoy;</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1.16</w:t>
      </w:r>
      <w:r w:rsidRPr="00C903F8">
        <w:rPr>
          <w:rFonts w:cs="Arial"/>
          <w:szCs w:val="20"/>
          <w:lang w:val="en-US"/>
        </w:rPr>
        <w:tab/>
        <w:t>‘cargo lighter’: a vessel, other than a tank lighter, intended for the carriage of goods and built or specially modified to be pushed, either having no motive power of its own or having only sufficient motive power to perform restricted manoeuvres when not part of a pushed convoy;</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1.17</w:t>
      </w:r>
      <w:r w:rsidRPr="00C903F8">
        <w:rPr>
          <w:rFonts w:cs="Arial"/>
          <w:szCs w:val="20"/>
          <w:lang w:val="en-US"/>
        </w:rPr>
        <w:tab/>
        <w:t>‘ship-borne lighter’: a lighter built to be carried aboard sea-going ships and to navigate on inland waterways;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1.18</w:t>
      </w:r>
      <w:r w:rsidRPr="00C903F8">
        <w:rPr>
          <w:rFonts w:cs="Arial"/>
          <w:szCs w:val="20"/>
          <w:lang w:val="en-US"/>
        </w:rPr>
        <w:tab/>
        <w:t>‘passenger vessel’: a day trip or cabin vessel constructed and equipped to carry more than 12</w:t>
      </w:r>
      <w:r w:rsidR="00511BF6" w:rsidRPr="00C903F8">
        <w:rPr>
          <w:rFonts w:cs="Arial"/>
          <w:szCs w:val="20"/>
          <w:lang w:val="en-US"/>
        </w:rPr>
        <w:t> </w:t>
      </w:r>
      <w:r w:rsidRPr="00C903F8">
        <w:rPr>
          <w:rFonts w:cs="Arial"/>
          <w:szCs w:val="20"/>
          <w:lang w:val="en-US"/>
        </w:rPr>
        <w:t>passengers;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1.19</w:t>
      </w:r>
      <w:r w:rsidRPr="00C903F8">
        <w:rPr>
          <w:rFonts w:cs="Arial"/>
          <w:szCs w:val="20"/>
          <w:lang w:val="en-US"/>
        </w:rPr>
        <w:tab/>
        <w:t>‘passenger sailing vessel’: a passenger vessel built and fitted out also with a view to propulsion under sail;</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1.20</w:t>
      </w:r>
      <w:r w:rsidRPr="00C903F8">
        <w:rPr>
          <w:rFonts w:cs="Arial"/>
          <w:szCs w:val="20"/>
          <w:lang w:val="en-US"/>
        </w:rPr>
        <w:tab/>
        <w:t>‘day-trip vessel’: a passenger vessel without overnight passenger cabins;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1.21</w:t>
      </w:r>
      <w:r w:rsidRPr="00C903F8">
        <w:rPr>
          <w:rFonts w:cs="Arial"/>
          <w:szCs w:val="20"/>
          <w:lang w:val="en-US"/>
        </w:rPr>
        <w:tab/>
        <w:t>‘cabin vessel’: a passenger vessel with overnight passenger cabins;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1.22</w:t>
      </w:r>
      <w:r w:rsidRPr="00C903F8">
        <w:rPr>
          <w:rFonts w:cs="Arial"/>
          <w:szCs w:val="20"/>
          <w:lang w:val="en-US"/>
        </w:rPr>
        <w:tab/>
        <w:t>‘high-speed vessel’: a motorised craft capable of reaching speeds over 40 km/h in relation to water;</w:t>
      </w:r>
    </w:p>
    <w:p w:rsidR="009A1D30" w:rsidRPr="00C903F8" w:rsidRDefault="009A1D30" w:rsidP="00511BF6">
      <w:pPr>
        <w:pStyle w:val="ESch"/>
        <w:rPr>
          <w:rFonts w:cs="Arial"/>
          <w:szCs w:val="20"/>
          <w:lang w:val="en-US"/>
        </w:rPr>
      </w:pPr>
    </w:p>
    <w:p w:rsidR="00DE4417" w:rsidRPr="00C903F8" w:rsidRDefault="009A1D30" w:rsidP="00511BF6">
      <w:pPr>
        <w:pStyle w:val="ESch"/>
        <w:rPr>
          <w:lang w:val="en-US"/>
        </w:rPr>
      </w:pPr>
      <w:r w:rsidRPr="00C903F8">
        <w:rPr>
          <w:rFonts w:cs="Arial"/>
          <w:szCs w:val="20"/>
          <w:lang w:val="en-US"/>
        </w:rPr>
        <w:t>1.23</w:t>
      </w:r>
      <w:r w:rsidR="00DE4417" w:rsidRPr="00C903F8">
        <w:rPr>
          <w:rFonts w:cs="Arial"/>
          <w:szCs w:val="20"/>
          <w:lang w:val="en-US"/>
        </w:rPr>
        <w:tab/>
        <w:t>‘floating equipment’: a floating installation carrying working gear such as cranes, dredging equipment, pile drivers or elevators;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1.24</w:t>
      </w:r>
      <w:r w:rsidRPr="00C903F8">
        <w:rPr>
          <w:rFonts w:cs="Arial"/>
          <w:szCs w:val="20"/>
          <w:lang w:val="en-US"/>
        </w:rPr>
        <w:tab/>
        <w:t>‘worksite craft’: a vessel, appropriately built and equipped for use at worksites, such as a reclamation barge, hopper or pontoon barge, pontoon or stone-dumping vessel;</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1.25</w:t>
      </w:r>
      <w:r w:rsidRPr="00C903F8">
        <w:rPr>
          <w:rFonts w:cs="Arial"/>
          <w:szCs w:val="20"/>
          <w:lang w:val="en-US"/>
        </w:rPr>
        <w:tab/>
        <w:t>‘recreational craft’: a vessel other than a passenger vessel, intended for sport or pleasure;</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1.26</w:t>
      </w:r>
      <w:r w:rsidRPr="00C903F8">
        <w:rPr>
          <w:rFonts w:cs="Arial"/>
          <w:szCs w:val="20"/>
          <w:lang w:val="en-US"/>
        </w:rPr>
        <w:tab/>
        <w:t>‘ship's boat’: a boat for use in transport, rescue, salvage and work duties;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1.27</w:t>
      </w:r>
      <w:r w:rsidRPr="00C903F8">
        <w:rPr>
          <w:rFonts w:cs="Arial"/>
          <w:szCs w:val="20"/>
          <w:lang w:val="en-US"/>
        </w:rPr>
        <w:tab/>
        <w:t>‘floating establishment’: any floating installation not normally intended to be moved, such as a swimming bath, dock, jetty or boathouse;</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1.28</w:t>
      </w:r>
      <w:r w:rsidRPr="00C903F8">
        <w:rPr>
          <w:rFonts w:cs="Arial"/>
          <w:szCs w:val="20"/>
          <w:lang w:val="en-US"/>
        </w:rPr>
        <w:tab/>
        <w:t>‘floating objec</w:t>
      </w:r>
      <w:r w:rsidR="009A1D30" w:rsidRPr="00C903F8">
        <w:rPr>
          <w:rFonts w:cs="Arial"/>
          <w:szCs w:val="20"/>
          <w:lang w:val="en-US"/>
        </w:rPr>
        <w:t>t</w:t>
      </w:r>
      <w:r w:rsidRPr="00C903F8">
        <w:rPr>
          <w:rFonts w:cs="Arial"/>
          <w:szCs w:val="20"/>
          <w:lang w:val="en-US"/>
        </w:rPr>
        <w:t>’: a raft or other structure, object or assembly capable of navigation, not being a vessel or floating equipment or</w:t>
      </w:r>
      <w:r w:rsidR="00EC0A82" w:rsidRPr="00C903F8">
        <w:rPr>
          <w:rFonts w:cs="Arial"/>
          <w:szCs w:val="20"/>
          <w:lang w:val="en-US"/>
        </w:rPr>
        <w:t xml:space="preserve"> floating</w:t>
      </w:r>
      <w:r w:rsidRPr="00C903F8">
        <w:rPr>
          <w:rFonts w:cs="Arial"/>
          <w:szCs w:val="20"/>
          <w:lang w:val="en-US"/>
        </w:rPr>
        <w:t xml:space="preserve"> establishment;</w:t>
      </w:r>
    </w:p>
    <w:p w:rsidR="009A1D30" w:rsidRDefault="009A1D30" w:rsidP="00511BF6">
      <w:pPr>
        <w:pStyle w:val="ESch"/>
        <w:rPr>
          <w:rFonts w:cs="Arial"/>
          <w:b/>
          <w:szCs w:val="20"/>
          <w:lang w:val="en-US"/>
        </w:rPr>
      </w:pPr>
    </w:p>
    <w:p w:rsidR="00881510" w:rsidRPr="003B0440" w:rsidRDefault="00881510" w:rsidP="00511BF6">
      <w:pPr>
        <w:pStyle w:val="ESch"/>
        <w:rPr>
          <w:lang w:val="en-US"/>
        </w:rPr>
      </w:pPr>
      <w:r w:rsidRPr="003B0440">
        <w:rPr>
          <w:lang w:val="en-US"/>
        </w:rPr>
        <w:t>1.29</w:t>
      </w:r>
      <w:r w:rsidRPr="003B0440">
        <w:rPr>
          <w:lang w:val="en-US"/>
        </w:rPr>
        <w:tab/>
        <w:t>‘Traditional craft’: a craft which, based on its age, its technical nature or construction, its rarity, its meaning for the preservation of traditional principles of seamanship or techniques of inland navigation or its significance for a period from a historic viewpoint, is worthy of being preserved, and is operated for demonstration purposes in particular, or a replica thereof;</w:t>
      </w:r>
    </w:p>
    <w:p w:rsidR="00881510" w:rsidRPr="003B0440" w:rsidRDefault="00881510" w:rsidP="00511BF6">
      <w:pPr>
        <w:pStyle w:val="ESch"/>
        <w:rPr>
          <w:lang w:val="en-US"/>
        </w:rPr>
      </w:pPr>
    </w:p>
    <w:p w:rsidR="00881510" w:rsidRPr="003B0440" w:rsidRDefault="00881510" w:rsidP="00881510">
      <w:pPr>
        <w:pStyle w:val="ESch"/>
        <w:rPr>
          <w:lang w:val="en-US"/>
        </w:rPr>
      </w:pPr>
      <w:r w:rsidRPr="003B0440">
        <w:rPr>
          <w:lang w:val="en-US"/>
        </w:rPr>
        <w:t>1.30</w:t>
      </w:r>
      <w:r w:rsidRPr="003B0440">
        <w:rPr>
          <w:lang w:val="en-US"/>
        </w:rPr>
        <w:tab/>
        <w:t>‘Replica of a traditional craft’: a craft which was largely built from original materials, using an appropriate construction method according to plans or templates as a traditional craft;</w:t>
      </w:r>
    </w:p>
    <w:p w:rsidR="00881510" w:rsidRPr="00C903F8" w:rsidRDefault="00881510" w:rsidP="00511BF6">
      <w:pPr>
        <w:pStyle w:val="ESch"/>
        <w:rPr>
          <w:rFonts w:cs="Arial"/>
          <w:b/>
          <w:szCs w:val="20"/>
          <w:lang w:val="en-US"/>
        </w:rPr>
      </w:pPr>
    </w:p>
    <w:p w:rsidR="003B0440" w:rsidRDefault="003B0440">
      <w:pPr>
        <w:autoSpaceDE/>
        <w:autoSpaceDN/>
        <w:ind w:left="0" w:firstLine="0"/>
        <w:jc w:val="left"/>
        <w:rPr>
          <w:rFonts w:cs="Arial"/>
          <w:b/>
          <w:szCs w:val="20"/>
          <w:lang w:val="en-US"/>
        </w:rPr>
      </w:pPr>
      <w:r>
        <w:rPr>
          <w:rFonts w:cs="Arial"/>
          <w:b/>
          <w:szCs w:val="20"/>
          <w:lang w:val="en-US"/>
        </w:rPr>
        <w:br w:type="page"/>
      </w:r>
    </w:p>
    <w:p w:rsidR="009A1D30" w:rsidRPr="00C903F8" w:rsidRDefault="009A1D30" w:rsidP="00511BF6">
      <w:pPr>
        <w:pStyle w:val="ESch"/>
        <w:rPr>
          <w:rFonts w:cs="Arial"/>
          <w:b/>
          <w:szCs w:val="20"/>
          <w:lang w:val="en-US"/>
        </w:rPr>
      </w:pPr>
    </w:p>
    <w:p w:rsidR="00DE4417" w:rsidRPr="00C903F8" w:rsidRDefault="00DE4417" w:rsidP="00511BF6">
      <w:pPr>
        <w:pStyle w:val="ESch"/>
        <w:rPr>
          <w:lang w:val="en-US"/>
        </w:rPr>
      </w:pPr>
      <w:r w:rsidRPr="00C903F8">
        <w:rPr>
          <w:rFonts w:cs="Arial"/>
          <w:b/>
          <w:szCs w:val="20"/>
          <w:lang w:val="en-US"/>
        </w:rPr>
        <w:t>2.</w:t>
      </w:r>
      <w:r w:rsidRPr="00C903F8">
        <w:rPr>
          <w:rFonts w:cs="Arial"/>
          <w:b/>
          <w:szCs w:val="20"/>
          <w:lang w:val="en-US"/>
        </w:rPr>
        <w:tab/>
        <w:t>Assemblies of craft</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2.1</w:t>
      </w:r>
      <w:r w:rsidRPr="00C903F8">
        <w:rPr>
          <w:rFonts w:cs="Arial"/>
          <w:szCs w:val="20"/>
          <w:lang w:val="en-US"/>
        </w:rPr>
        <w:tab/>
        <w:t>‘convoy’: a rigid or towed convoy of craft;</w:t>
      </w:r>
    </w:p>
    <w:p w:rsidR="009A1D30" w:rsidRPr="00C903F8" w:rsidRDefault="009A1D30" w:rsidP="00511BF6">
      <w:pPr>
        <w:pStyle w:val="ESch"/>
        <w:rPr>
          <w:rFonts w:cs="Arial"/>
          <w:szCs w:val="20"/>
          <w:lang w:val="en-US"/>
        </w:rPr>
      </w:pPr>
    </w:p>
    <w:p w:rsidR="00DE4417" w:rsidRPr="00C903F8" w:rsidRDefault="00DE4417" w:rsidP="00511BF6">
      <w:pPr>
        <w:pStyle w:val="ESch"/>
        <w:rPr>
          <w:rFonts w:cs="Arial"/>
          <w:szCs w:val="20"/>
          <w:lang w:val="en-US"/>
        </w:rPr>
      </w:pPr>
      <w:r w:rsidRPr="00C903F8">
        <w:rPr>
          <w:rFonts w:cs="Arial"/>
          <w:szCs w:val="20"/>
          <w:lang w:val="en-US"/>
        </w:rPr>
        <w:t>2.2</w:t>
      </w:r>
      <w:r w:rsidRPr="00C903F8">
        <w:rPr>
          <w:rFonts w:cs="Arial"/>
          <w:szCs w:val="20"/>
          <w:lang w:val="en-US"/>
        </w:rPr>
        <w:tab/>
        <w:t>‘formation’: the manner in which a convoy is assembled;</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2.3</w:t>
      </w:r>
      <w:r w:rsidRPr="00C903F8">
        <w:rPr>
          <w:rFonts w:cs="Arial"/>
          <w:szCs w:val="20"/>
          <w:lang w:val="en-US"/>
        </w:rPr>
        <w:tab/>
        <w:t>‘rigid convoy’: a pushed convoy or side-by-side formation;</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2.4</w:t>
      </w:r>
      <w:r w:rsidRPr="00C903F8">
        <w:rPr>
          <w:rFonts w:cs="Arial"/>
          <w:szCs w:val="20"/>
          <w:lang w:val="en-US"/>
        </w:rPr>
        <w:tab/>
        <w:t>‘pushed convoy’: a rigid assembly of craft of which at least one is positioned in front of the craft providing the power for propelling the convoy, known as the ‘pusher(s)’; a convoy composed of a pusher and a pushed craft coupled so as to permit guided articulation is also considered as rigid;</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2.5</w:t>
      </w:r>
      <w:r w:rsidRPr="00C903F8">
        <w:rPr>
          <w:rFonts w:cs="Arial"/>
          <w:szCs w:val="20"/>
          <w:lang w:val="en-US"/>
        </w:rPr>
        <w:tab/>
        <w:t>‘side-by-side formation’: an assembly of craft coupled rigidly side by side, none of which is positioned in front of the craft propelling the assembly;</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2.6</w:t>
      </w:r>
      <w:r w:rsidRPr="00C903F8">
        <w:rPr>
          <w:rFonts w:cs="Arial"/>
          <w:szCs w:val="20"/>
          <w:lang w:val="en-US"/>
        </w:rPr>
        <w:tab/>
        <w:t>‘towed convoy’: an assembly of one or more craft, floating establishments or floating objects towed by one or more self-propelled craft forming part of the convoy;</w:t>
      </w:r>
    </w:p>
    <w:p w:rsidR="009A1D30" w:rsidRPr="00C903F8" w:rsidRDefault="009A1D30" w:rsidP="00511BF6">
      <w:pPr>
        <w:pStyle w:val="ESch"/>
        <w:rPr>
          <w:rFonts w:cs="Arial"/>
          <w:b/>
          <w:szCs w:val="20"/>
          <w:lang w:val="en-US"/>
        </w:rPr>
      </w:pPr>
    </w:p>
    <w:p w:rsidR="009A1D30" w:rsidRPr="00C903F8" w:rsidRDefault="009A1D30" w:rsidP="00511BF6">
      <w:pPr>
        <w:pStyle w:val="ESch"/>
        <w:rPr>
          <w:rFonts w:cs="Arial"/>
          <w:b/>
          <w:szCs w:val="20"/>
          <w:lang w:val="en-US"/>
        </w:rPr>
      </w:pPr>
    </w:p>
    <w:p w:rsidR="00DE4417" w:rsidRPr="00C903F8" w:rsidRDefault="00DE4417" w:rsidP="00511BF6">
      <w:pPr>
        <w:pStyle w:val="ESch"/>
        <w:rPr>
          <w:b/>
          <w:lang w:val="en-US"/>
        </w:rPr>
      </w:pPr>
      <w:r w:rsidRPr="00C903F8">
        <w:rPr>
          <w:rFonts w:cs="Arial"/>
          <w:b/>
          <w:szCs w:val="20"/>
          <w:lang w:val="en-US"/>
        </w:rPr>
        <w:t>3.</w:t>
      </w:r>
      <w:r w:rsidRPr="00C903F8">
        <w:rPr>
          <w:rFonts w:cs="Arial"/>
          <w:b/>
          <w:szCs w:val="20"/>
          <w:lang w:val="en-US"/>
        </w:rPr>
        <w:tab/>
        <w:t>Particular areas on board</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3.1</w:t>
      </w:r>
      <w:r w:rsidRPr="00C903F8">
        <w:rPr>
          <w:rFonts w:cs="Arial"/>
          <w:szCs w:val="20"/>
          <w:lang w:val="en-US"/>
        </w:rPr>
        <w:tab/>
        <w:t>‘main engine room’: space where the propulsion engines are installed;</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3.2</w:t>
      </w:r>
      <w:r w:rsidRPr="00C903F8">
        <w:rPr>
          <w:rFonts w:cs="Arial"/>
          <w:szCs w:val="20"/>
          <w:lang w:val="en-US"/>
        </w:rPr>
        <w:tab/>
        <w:t>‘engine room’: space where combustion engines are installed;</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3.3</w:t>
      </w:r>
      <w:r w:rsidRPr="00C903F8">
        <w:rPr>
          <w:rFonts w:cs="Arial"/>
          <w:szCs w:val="20"/>
          <w:lang w:val="en-US"/>
        </w:rPr>
        <w:tab/>
        <w:t>‘boiler room’: a space housing a fuel-operated installation designed to produce steam or heat a thermal fluid;</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3.4</w:t>
      </w:r>
      <w:r w:rsidRPr="00C903F8">
        <w:rPr>
          <w:rFonts w:cs="Arial"/>
          <w:szCs w:val="20"/>
          <w:lang w:val="en-US"/>
        </w:rPr>
        <w:tab/>
      </w:r>
      <w:r w:rsidR="009A4813">
        <w:rPr>
          <w:rFonts w:cs="Arial"/>
          <w:szCs w:val="20"/>
          <w:lang w:val="en-US"/>
        </w:rPr>
        <w:t>‘</w:t>
      </w:r>
      <w:r w:rsidR="00BF3595" w:rsidRPr="00BF3595">
        <w:rPr>
          <w:rFonts w:cs="Arial"/>
          <w:szCs w:val="20"/>
          <w:lang w:val="en-US"/>
        </w:rPr>
        <w:t>electrical service room</w:t>
      </w:r>
      <w:r w:rsidR="009A4813">
        <w:rPr>
          <w:rFonts w:cs="Arial"/>
          <w:szCs w:val="20"/>
          <w:lang w:val="en-US"/>
        </w:rPr>
        <w:t>’</w:t>
      </w:r>
      <w:r w:rsidR="00BF3595" w:rsidRPr="00BF3595">
        <w:rPr>
          <w:rFonts w:cs="Arial"/>
          <w:szCs w:val="20"/>
          <w:lang w:val="en-US"/>
        </w:rPr>
        <w:t xml:space="preserve"> a room in which components of an electric propulsion system such as control cabinets or electric engines are located, and which is not a main engine room or engine room;</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3.5</w:t>
      </w:r>
      <w:r w:rsidRPr="00C903F8">
        <w:rPr>
          <w:rFonts w:cs="Arial"/>
          <w:szCs w:val="20"/>
          <w:lang w:val="en-US"/>
        </w:rPr>
        <w:tab/>
        <w:t>‘enclosed superstructure’: a watertight, rigid, continuous structure with rigid walls joined to the deck in a permanent and watertight manner;</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3.6</w:t>
      </w:r>
      <w:r w:rsidRPr="00C903F8">
        <w:rPr>
          <w:rFonts w:cs="Arial"/>
          <w:szCs w:val="20"/>
          <w:lang w:val="en-US"/>
        </w:rPr>
        <w:tab/>
        <w:t>‘wheelhouse’: the area which houses all the control and monitoring instruments necessary for manoeuvring the vessel;</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3.7</w:t>
      </w:r>
      <w:r w:rsidRPr="00C903F8">
        <w:rPr>
          <w:rFonts w:cs="Arial"/>
          <w:szCs w:val="20"/>
          <w:lang w:val="en-US"/>
        </w:rPr>
        <w:tab/>
        <w:t>‘</w:t>
      </w:r>
      <w:r w:rsidR="00881510" w:rsidRPr="00C903F8">
        <w:rPr>
          <w:rFonts w:cs="Arial"/>
          <w:szCs w:val="20"/>
          <w:lang w:val="en-US"/>
        </w:rPr>
        <w:t xml:space="preserve">accommodation’: a space intended for the use of persons normally living on board, including galleys, </w:t>
      </w:r>
      <w:r w:rsidR="00881510" w:rsidRPr="003B0440">
        <w:rPr>
          <w:rFonts w:cs="Arial"/>
          <w:szCs w:val="20"/>
          <w:lang w:val="en-US"/>
        </w:rPr>
        <w:t>store rooms,</w:t>
      </w:r>
      <w:r w:rsidR="00881510" w:rsidRPr="00C903F8">
        <w:rPr>
          <w:rFonts w:cs="Arial"/>
          <w:szCs w:val="20"/>
          <w:lang w:val="en-US"/>
        </w:rPr>
        <w:t xml:space="preserve"> toilets and washing facilities, laundry facilities, passageways, but not the wheelhouse;</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3.8</w:t>
      </w:r>
      <w:r w:rsidRPr="00C903F8">
        <w:rPr>
          <w:rFonts w:cs="Arial"/>
          <w:szCs w:val="20"/>
          <w:lang w:val="en-US"/>
        </w:rPr>
        <w:tab/>
        <w:t xml:space="preserve">‘passenger </w:t>
      </w:r>
      <w:r w:rsidR="002723EF" w:rsidRPr="00C903F8">
        <w:rPr>
          <w:rFonts w:cs="Arial"/>
          <w:szCs w:val="20"/>
          <w:lang w:val="en-US"/>
        </w:rPr>
        <w:t>room</w:t>
      </w:r>
      <w:r w:rsidRPr="00C903F8">
        <w:rPr>
          <w:rFonts w:cs="Arial"/>
          <w:szCs w:val="20"/>
          <w:lang w:val="en-US"/>
        </w:rPr>
        <w:t xml:space="preserve">’: </w:t>
      </w:r>
      <w:r w:rsidR="00FE4BA1" w:rsidRPr="00C903F8">
        <w:rPr>
          <w:rFonts w:cs="Arial"/>
          <w:szCs w:val="20"/>
          <w:lang w:val="en-US"/>
        </w:rPr>
        <w:t>rooms</w:t>
      </w:r>
      <w:r w:rsidRPr="00C903F8">
        <w:rPr>
          <w:rFonts w:cs="Arial"/>
          <w:szCs w:val="20"/>
          <w:lang w:val="en-US"/>
        </w:rPr>
        <w:t xml:space="preserve"> on board intended for passengers and enclosed areas such as lounges, offices, shops, hairdressing salons, drying rooms, laundries, saunas, toilets, washrooms, passageways, connecting passages and stairs not encapsulated by walls;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3.9</w:t>
      </w:r>
      <w:r w:rsidRPr="00C903F8">
        <w:rPr>
          <w:rFonts w:cs="Arial"/>
          <w:szCs w:val="20"/>
          <w:lang w:val="en-US"/>
        </w:rPr>
        <w:tab/>
        <w:t xml:space="preserve">‘control centre’: a wheelhouse, an area which contains an emergency electrical power plant or parts thereof or an area with a centre permanently occupied by </w:t>
      </w:r>
      <w:r w:rsidR="00404D6F" w:rsidRPr="00C903F8">
        <w:rPr>
          <w:rFonts w:cs="Arial"/>
          <w:szCs w:val="20"/>
          <w:lang w:val="en-US"/>
        </w:rPr>
        <w:t xml:space="preserve">shipboard </w:t>
      </w:r>
      <w:r w:rsidRPr="00C903F8">
        <w:rPr>
          <w:rFonts w:cs="Arial"/>
          <w:szCs w:val="20"/>
          <w:lang w:val="en-US"/>
        </w:rPr>
        <w:t>personnel or crew members, such as for fire alarm equipment, remote controls of doors or fire dampers;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3.10</w:t>
      </w:r>
      <w:r w:rsidRPr="00C903F8">
        <w:rPr>
          <w:rFonts w:cs="Arial"/>
          <w:szCs w:val="20"/>
          <w:lang w:val="en-US"/>
        </w:rPr>
        <w:tab/>
        <w:t>‘stairwell’: the well of an internal staircase or of a lift;</w:t>
      </w:r>
    </w:p>
    <w:p w:rsidR="009A1D30" w:rsidRDefault="009A1D30" w:rsidP="00511BF6">
      <w:pPr>
        <w:pStyle w:val="ESch"/>
        <w:rPr>
          <w:rFonts w:cs="Arial"/>
          <w:szCs w:val="20"/>
          <w:lang w:val="en-US"/>
        </w:rPr>
      </w:pPr>
    </w:p>
    <w:p w:rsidR="003B0440" w:rsidRDefault="003B0440">
      <w:pPr>
        <w:autoSpaceDE/>
        <w:autoSpaceDN/>
        <w:ind w:left="0" w:firstLine="0"/>
        <w:jc w:val="left"/>
        <w:rPr>
          <w:rFonts w:cs="Arial"/>
          <w:szCs w:val="20"/>
          <w:lang w:val="en-US"/>
        </w:rPr>
      </w:pPr>
      <w:r>
        <w:rPr>
          <w:rFonts w:cs="Arial"/>
          <w:szCs w:val="20"/>
          <w:lang w:val="en-US"/>
        </w:rPr>
        <w:br w:type="page"/>
      </w:r>
    </w:p>
    <w:p w:rsidR="003B0440" w:rsidRPr="00C903F8" w:rsidRDefault="003B0440" w:rsidP="00511BF6">
      <w:pPr>
        <w:pStyle w:val="ESch"/>
        <w:rPr>
          <w:rFonts w:cs="Arial"/>
          <w:szCs w:val="20"/>
          <w:lang w:val="en-US"/>
        </w:rPr>
      </w:pPr>
    </w:p>
    <w:p w:rsidR="00DE4417" w:rsidRPr="00C903F8" w:rsidRDefault="00DE4417" w:rsidP="00511BF6">
      <w:pPr>
        <w:pStyle w:val="ESch"/>
        <w:rPr>
          <w:rFonts w:cs="Arial"/>
          <w:szCs w:val="20"/>
          <w:lang w:val="en-US"/>
        </w:rPr>
      </w:pPr>
      <w:r w:rsidRPr="00C903F8">
        <w:rPr>
          <w:rFonts w:cs="Arial"/>
          <w:szCs w:val="20"/>
          <w:lang w:val="en-US"/>
        </w:rPr>
        <w:t>3.11</w:t>
      </w:r>
      <w:r w:rsidRPr="00C903F8">
        <w:rPr>
          <w:rFonts w:cs="Arial"/>
          <w:szCs w:val="20"/>
          <w:lang w:val="en-US"/>
        </w:rPr>
        <w:tab/>
        <w:t xml:space="preserve">‘lounge’: a room of an accommodation or a passenger </w:t>
      </w:r>
      <w:r w:rsidR="002723EF" w:rsidRPr="00C903F8">
        <w:rPr>
          <w:rFonts w:cs="Arial"/>
          <w:szCs w:val="20"/>
          <w:lang w:val="en-US"/>
        </w:rPr>
        <w:t>room</w:t>
      </w:r>
      <w:r w:rsidRPr="00C903F8">
        <w:rPr>
          <w:rFonts w:cs="Arial"/>
          <w:szCs w:val="20"/>
          <w:lang w:val="en-US"/>
        </w:rPr>
        <w:t>. On board passenger vessels, galleys are not regarded as lounges;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3.12</w:t>
      </w:r>
      <w:r w:rsidRPr="00C903F8">
        <w:rPr>
          <w:rFonts w:cs="Arial"/>
          <w:szCs w:val="20"/>
          <w:lang w:val="en-US"/>
        </w:rPr>
        <w:tab/>
        <w:t>‘galley’: a room with a stove or a similar cooking appliance;</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3.13</w:t>
      </w:r>
      <w:r w:rsidRPr="00C903F8">
        <w:rPr>
          <w:rFonts w:cs="Arial"/>
          <w:szCs w:val="20"/>
          <w:lang w:val="en-US"/>
        </w:rPr>
        <w:tab/>
        <w:t>‘store room’: a room for the storage of flammable liquids or a room with an area of over 4 m</w:t>
      </w:r>
      <w:r w:rsidRPr="00C903F8">
        <w:rPr>
          <w:rFonts w:cs="Arial"/>
          <w:szCs w:val="20"/>
          <w:vertAlign w:val="superscript"/>
          <w:lang w:val="en-US"/>
        </w:rPr>
        <w:t>2</w:t>
      </w:r>
      <w:r w:rsidRPr="00C903F8">
        <w:rPr>
          <w:rFonts w:cs="Arial"/>
          <w:szCs w:val="20"/>
          <w:lang w:val="en-US"/>
        </w:rPr>
        <w:t xml:space="preserve"> for storing supplies;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3.14</w:t>
      </w:r>
      <w:r w:rsidRPr="00C903F8">
        <w:rPr>
          <w:rFonts w:cs="Arial"/>
          <w:szCs w:val="20"/>
          <w:lang w:val="en-US"/>
        </w:rPr>
        <w:tab/>
        <w:t>‘hold’: part of the vessel, bounded fore and aft by bulkheads, opened or closed by means of hatch covers, intended for the carriage of goods, whether packaged or in bulk, or for housing tanks not forming part of the hull;</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3.15</w:t>
      </w:r>
      <w:r w:rsidRPr="00C903F8">
        <w:rPr>
          <w:rFonts w:cs="Arial"/>
          <w:szCs w:val="20"/>
          <w:lang w:val="en-US"/>
        </w:rPr>
        <w:tab/>
        <w:t>‘fixed tank’: a tank joined to the vessel, the walls of the tank consisting either of the hull itself or of a casing separate from the hull;</w:t>
      </w:r>
    </w:p>
    <w:p w:rsidR="009A1D30" w:rsidRPr="00C903F8" w:rsidRDefault="009A1D30" w:rsidP="00511BF6">
      <w:pPr>
        <w:pStyle w:val="ESch"/>
        <w:rPr>
          <w:rFonts w:cs="Arial"/>
          <w:szCs w:val="20"/>
          <w:lang w:val="en-US"/>
        </w:rPr>
      </w:pPr>
    </w:p>
    <w:p w:rsidR="00DE4417" w:rsidRPr="00C903F8" w:rsidRDefault="00D71B1A" w:rsidP="00511BF6">
      <w:pPr>
        <w:pStyle w:val="ESch"/>
        <w:rPr>
          <w:lang w:val="en-US"/>
        </w:rPr>
      </w:pPr>
      <w:r w:rsidRPr="00C903F8">
        <w:rPr>
          <w:rFonts w:cs="Arial"/>
          <w:szCs w:val="20"/>
          <w:lang w:val="en-US"/>
        </w:rPr>
        <w:t>3.16</w:t>
      </w:r>
      <w:r w:rsidRPr="00C903F8">
        <w:rPr>
          <w:rFonts w:cs="Arial"/>
          <w:szCs w:val="20"/>
          <w:lang w:val="en-US"/>
        </w:rPr>
        <w:tab/>
        <w:t>‘work</w:t>
      </w:r>
      <w:r w:rsidR="00DE4417" w:rsidRPr="00C903F8">
        <w:rPr>
          <w:rFonts w:cs="Arial"/>
          <w:szCs w:val="20"/>
          <w:lang w:val="en-US"/>
        </w:rPr>
        <w:t xml:space="preserve"> station’: an area where members of the crew carry out their duties, including </w:t>
      </w:r>
      <w:r w:rsidR="00C26BCA" w:rsidRPr="00C903F8">
        <w:rPr>
          <w:rFonts w:cs="Arial"/>
          <w:szCs w:val="20"/>
          <w:lang w:val="en-US"/>
        </w:rPr>
        <w:t xml:space="preserve">the </w:t>
      </w:r>
      <w:r w:rsidR="00DE4417" w:rsidRPr="00C903F8">
        <w:rPr>
          <w:rFonts w:cs="Arial"/>
          <w:szCs w:val="20"/>
          <w:lang w:val="en-US"/>
        </w:rPr>
        <w:t>gangway, derrick and ship's boat;</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3.17</w:t>
      </w:r>
      <w:r w:rsidRPr="00C903F8">
        <w:rPr>
          <w:rFonts w:cs="Arial"/>
          <w:szCs w:val="20"/>
          <w:lang w:val="en-US"/>
        </w:rPr>
        <w:tab/>
        <w:t>‘passageway’: an area intended for the normal movement of persons and goods;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3.18</w:t>
      </w:r>
      <w:r w:rsidRPr="00C903F8">
        <w:rPr>
          <w:rFonts w:cs="Arial"/>
          <w:szCs w:val="20"/>
          <w:lang w:val="en-US"/>
        </w:rPr>
        <w:tab/>
        <w:t xml:space="preserve">‘safe area’: the area which is externally bounded by a vertical surface running at a distance of 1/5 </w:t>
      </w:r>
      <m:oMath>
        <m:r>
          <w:rPr>
            <w:rFonts w:ascii="Cambria Math" w:hAnsi="Cambria Math" w:cs="Arial"/>
            <w:szCs w:val="20"/>
            <w:lang w:val="en-US"/>
          </w:rPr>
          <m:t>B</m:t>
        </m:r>
        <m:r>
          <w:rPr>
            <w:rFonts w:ascii="Cambria Math" w:eastAsia="Calibri" w:hAnsi="Cambria Math" w:cs="Arial"/>
            <w:noProof/>
            <w:snapToGrid w:val="0"/>
            <w:color w:val="000000"/>
            <w:position w:val="-6"/>
            <w:sz w:val="14"/>
            <w:szCs w:val="20"/>
            <w:lang w:val="en-US" w:eastAsia="en-US" w:bidi="fr-FR"/>
          </w:rPr>
          <m:t>WL</m:t>
        </m:r>
      </m:oMath>
      <w:r w:rsidRPr="00C903F8">
        <w:rPr>
          <w:rFonts w:cs="Arial"/>
          <w:szCs w:val="20"/>
          <w:lang w:val="en-US"/>
        </w:rPr>
        <w:t xml:space="preserve"> parallel to the course of the hull in the line of maximum draught;</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3.19</w:t>
      </w:r>
      <w:r w:rsidRPr="00C903F8">
        <w:rPr>
          <w:rFonts w:cs="Arial"/>
          <w:szCs w:val="20"/>
          <w:lang w:val="en-US"/>
        </w:rPr>
        <w:tab/>
        <w:t>‘muster areas’: areas of the vessel which are specially protected and in which persons muster in the event of danger;</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3.20</w:t>
      </w:r>
      <w:r w:rsidRPr="00C903F8">
        <w:rPr>
          <w:rFonts w:cs="Arial"/>
          <w:szCs w:val="20"/>
          <w:lang w:val="en-US"/>
        </w:rPr>
        <w:tab/>
        <w:t>‘evacuation areas’: part of muster areas of the vessel from which evacuation of persons can be carried out;</w:t>
      </w:r>
    </w:p>
    <w:p w:rsidR="009A1D30" w:rsidRDefault="009A1D30" w:rsidP="00511BF6">
      <w:pPr>
        <w:pStyle w:val="ESch"/>
        <w:rPr>
          <w:rFonts w:cs="Arial"/>
          <w:b/>
          <w:szCs w:val="20"/>
          <w:lang w:val="en-US"/>
        </w:rPr>
      </w:pPr>
    </w:p>
    <w:p w:rsidR="00BF3595" w:rsidRPr="008F6ABB" w:rsidRDefault="00BF3595" w:rsidP="00BF3595">
      <w:pPr>
        <w:pStyle w:val="ESch"/>
        <w:spacing w:line="220" w:lineRule="atLeast"/>
        <w:rPr>
          <w:lang w:val="en-GB"/>
        </w:rPr>
      </w:pPr>
      <w:r>
        <w:rPr>
          <w:lang w:val="en-GB"/>
        </w:rPr>
        <w:t>3.21</w:t>
      </w:r>
      <w:r w:rsidRPr="008F6ABB">
        <w:rPr>
          <w:lang w:val="en-GB"/>
        </w:rPr>
        <w:tab/>
      </w:r>
      <w:r w:rsidR="00D52D91">
        <w:rPr>
          <w:lang w:val="en-GB"/>
        </w:rPr>
        <w:t>‘</w:t>
      </w:r>
      <w:r w:rsidRPr="008F6ABB">
        <w:rPr>
          <w:lang w:val="en-GB"/>
        </w:rPr>
        <w:t>explosive atmosphere</w:t>
      </w:r>
      <w:r w:rsidR="00D52D91">
        <w:rPr>
          <w:lang w:val="en-GB"/>
        </w:rPr>
        <w:t>’</w:t>
      </w:r>
      <w:r w:rsidRPr="008F6ABB">
        <w:rPr>
          <w:lang w:val="en-GB"/>
        </w:rPr>
        <w:t xml:space="preserve"> a mixture with air, under atmospheric conditions, of flammable substances in the form of gas, vapour, dust, fibres, or f</w:t>
      </w:r>
      <w:r w:rsidR="009209C3">
        <w:rPr>
          <w:lang w:val="en-GB"/>
        </w:rPr>
        <w:t>i</w:t>
      </w:r>
      <w:r w:rsidRPr="008F6ABB">
        <w:rPr>
          <w:lang w:val="en-GB"/>
        </w:rPr>
        <w:t>lings, which, after ignition, permits self-sustaining flame propagation;</w:t>
      </w:r>
    </w:p>
    <w:p w:rsidR="00BF3595" w:rsidRPr="008F6ABB" w:rsidRDefault="00BF3595" w:rsidP="00BF3595">
      <w:pPr>
        <w:pStyle w:val="ESch"/>
        <w:rPr>
          <w:lang w:val="en-GB"/>
        </w:rPr>
      </w:pPr>
    </w:p>
    <w:p w:rsidR="00BF3595" w:rsidRPr="008F6ABB" w:rsidRDefault="00BF3595" w:rsidP="00BF3595">
      <w:pPr>
        <w:pStyle w:val="ESch"/>
        <w:rPr>
          <w:lang w:val="en-GB"/>
        </w:rPr>
      </w:pPr>
      <w:r>
        <w:rPr>
          <w:lang w:val="en-GB"/>
        </w:rPr>
        <w:t>3.22</w:t>
      </w:r>
      <w:r w:rsidRPr="008F6ABB">
        <w:rPr>
          <w:lang w:val="en-GB"/>
        </w:rPr>
        <w:tab/>
      </w:r>
      <w:r w:rsidR="00D52D91">
        <w:rPr>
          <w:lang w:val="en-GB"/>
        </w:rPr>
        <w:t>‘</w:t>
      </w:r>
      <w:r w:rsidRPr="008F6ABB">
        <w:rPr>
          <w:lang w:val="en-GB"/>
        </w:rPr>
        <w:t>hazardous area</w:t>
      </w:r>
      <w:r w:rsidR="00D52D91">
        <w:rPr>
          <w:lang w:val="en-GB"/>
        </w:rPr>
        <w:t>’</w:t>
      </w:r>
      <w:r w:rsidRPr="008F6ABB">
        <w:rPr>
          <w:lang w:val="en-GB"/>
        </w:rPr>
        <w:t xml:space="preserve"> an area in which an explosive gas atmosphere is or may be expected to be present, in quantities such as to require special precautions for the construction, installation and use of equipment;</w:t>
      </w:r>
    </w:p>
    <w:p w:rsidR="00BF3595" w:rsidRPr="008F6ABB" w:rsidRDefault="00BF3595" w:rsidP="00BF3595">
      <w:pPr>
        <w:pStyle w:val="ESch"/>
        <w:rPr>
          <w:lang w:val="en-GB"/>
        </w:rPr>
      </w:pPr>
    </w:p>
    <w:p w:rsidR="00BF3595" w:rsidRPr="008F6ABB" w:rsidRDefault="00BF3595" w:rsidP="00BF3595">
      <w:pPr>
        <w:adjustRightInd w:val="0"/>
        <w:ind w:left="567" w:hanging="567"/>
        <w:rPr>
          <w:rFonts w:cs="Arial"/>
          <w:szCs w:val="20"/>
          <w:lang w:val="en-GB"/>
        </w:rPr>
      </w:pPr>
      <w:r>
        <w:rPr>
          <w:szCs w:val="20"/>
          <w:lang w:val="en-GB"/>
        </w:rPr>
        <w:t>3.23</w:t>
      </w:r>
      <w:r w:rsidRPr="008F6ABB">
        <w:rPr>
          <w:szCs w:val="20"/>
          <w:lang w:val="en-GB"/>
        </w:rPr>
        <w:tab/>
      </w:r>
      <w:r w:rsidR="00D52D91">
        <w:rPr>
          <w:szCs w:val="20"/>
          <w:lang w:val="en-GB"/>
        </w:rPr>
        <w:t>‘</w:t>
      </w:r>
      <w:r w:rsidR="0037277F">
        <w:rPr>
          <w:szCs w:val="20"/>
          <w:lang w:val="en-GB"/>
        </w:rPr>
        <w:t>z</w:t>
      </w:r>
      <w:r w:rsidRPr="008F6ABB">
        <w:rPr>
          <w:szCs w:val="20"/>
          <w:lang w:val="en-GB"/>
        </w:rPr>
        <w:t>ones</w:t>
      </w:r>
      <w:r w:rsidR="00D52D91">
        <w:rPr>
          <w:szCs w:val="20"/>
          <w:lang w:val="en-GB"/>
        </w:rPr>
        <w:t>’</w:t>
      </w:r>
      <w:r w:rsidRPr="008F6ABB">
        <w:rPr>
          <w:szCs w:val="20"/>
          <w:lang w:val="en-GB"/>
        </w:rPr>
        <w:t xml:space="preserve"> hazardous area classification based upon the frequency of the occurrence and duration of an explosive atmosphere;</w:t>
      </w:r>
    </w:p>
    <w:p w:rsidR="00BF3595" w:rsidRPr="008F6ABB" w:rsidRDefault="00BF3595" w:rsidP="00E46F58">
      <w:pPr>
        <w:pStyle w:val="ESch"/>
        <w:rPr>
          <w:lang w:val="en-GB"/>
        </w:rPr>
      </w:pPr>
    </w:p>
    <w:p w:rsidR="00BF3595" w:rsidRPr="008F6ABB" w:rsidRDefault="00D52D91" w:rsidP="00E46F58">
      <w:pPr>
        <w:pStyle w:val="ESchpar"/>
        <w:rPr>
          <w:lang w:val="en-GB"/>
        </w:rPr>
      </w:pPr>
      <w:r>
        <w:rPr>
          <w:lang w:val="en-GB"/>
        </w:rPr>
        <w:t>‘</w:t>
      </w:r>
      <w:r w:rsidR="00E46F58">
        <w:rPr>
          <w:lang w:val="en-GB"/>
        </w:rPr>
        <w:t>Z</w:t>
      </w:r>
      <w:r w:rsidR="00BF3595" w:rsidRPr="008F6ABB">
        <w:rPr>
          <w:lang w:val="en-GB"/>
        </w:rPr>
        <w:t>one 0</w:t>
      </w:r>
      <w:r>
        <w:rPr>
          <w:lang w:val="en-GB"/>
        </w:rPr>
        <w:t>’</w:t>
      </w:r>
      <w:r w:rsidR="00BF3595" w:rsidRPr="008F6ABB">
        <w:rPr>
          <w:lang w:val="en-GB"/>
        </w:rPr>
        <w:t>: areas in which an explosive atmosphere is present continuously or for long periods or frequently.</w:t>
      </w:r>
    </w:p>
    <w:p w:rsidR="00BF3595" w:rsidRPr="008F6ABB" w:rsidRDefault="00BF3595" w:rsidP="00E46F58">
      <w:pPr>
        <w:pStyle w:val="ESch"/>
        <w:rPr>
          <w:lang w:val="en-GB"/>
        </w:rPr>
      </w:pPr>
    </w:p>
    <w:p w:rsidR="00BF3595" w:rsidRPr="008F6ABB" w:rsidRDefault="00D52D91" w:rsidP="00E46F58">
      <w:pPr>
        <w:pStyle w:val="ESchpar"/>
        <w:rPr>
          <w:lang w:val="en-GB"/>
        </w:rPr>
      </w:pPr>
      <w:r>
        <w:rPr>
          <w:lang w:val="en-GB"/>
        </w:rPr>
        <w:t>‘</w:t>
      </w:r>
      <w:r w:rsidR="00E46F58">
        <w:rPr>
          <w:lang w:val="en-GB"/>
        </w:rPr>
        <w:t>Z</w:t>
      </w:r>
      <w:r w:rsidR="00BF3595" w:rsidRPr="008F6ABB">
        <w:rPr>
          <w:lang w:val="en-GB"/>
        </w:rPr>
        <w:t>one 1</w:t>
      </w:r>
      <w:r>
        <w:rPr>
          <w:lang w:val="en-GB"/>
        </w:rPr>
        <w:t>’</w:t>
      </w:r>
      <w:r w:rsidR="00BF3595" w:rsidRPr="008F6ABB">
        <w:rPr>
          <w:lang w:val="en-GB"/>
        </w:rPr>
        <w:t>: areas in which an explosive atmosphere is likely to occur i</w:t>
      </w:r>
      <w:r w:rsidR="00E46F58">
        <w:rPr>
          <w:lang w:val="en-GB"/>
        </w:rPr>
        <w:t>n normal operation occasionally.</w:t>
      </w:r>
    </w:p>
    <w:p w:rsidR="00BF3595" w:rsidRPr="008F6ABB" w:rsidRDefault="00BF3595" w:rsidP="00E46F58">
      <w:pPr>
        <w:pStyle w:val="ESch"/>
        <w:rPr>
          <w:lang w:val="en-GB"/>
        </w:rPr>
      </w:pPr>
    </w:p>
    <w:p w:rsidR="00BF3595" w:rsidRPr="008F6ABB" w:rsidRDefault="00D52D91" w:rsidP="00E46F58">
      <w:pPr>
        <w:pStyle w:val="ESchpar"/>
        <w:rPr>
          <w:lang w:val="en-GB"/>
        </w:rPr>
      </w:pPr>
      <w:r>
        <w:rPr>
          <w:lang w:val="en-GB"/>
        </w:rPr>
        <w:t>‘</w:t>
      </w:r>
      <w:r w:rsidR="00E46F58">
        <w:rPr>
          <w:lang w:val="en-GB"/>
        </w:rPr>
        <w:t>Z</w:t>
      </w:r>
      <w:r w:rsidR="00BF3595" w:rsidRPr="008F6ABB">
        <w:rPr>
          <w:lang w:val="en-GB"/>
        </w:rPr>
        <w:t>one 2</w:t>
      </w:r>
      <w:r>
        <w:rPr>
          <w:lang w:val="en-GB"/>
        </w:rPr>
        <w:t>’</w:t>
      </w:r>
      <w:r w:rsidR="00BF3595" w:rsidRPr="008F6ABB">
        <w:rPr>
          <w:lang w:val="en-GB"/>
        </w:rPr>
        <w:t>: areas in which an explosive atmosphere is not likely to occur in normal operation but, if it does occur, will persist for a short period only. These areas also in</w:t>
      </w:r>
      <w:r w:rsidR="00E46F58">
        <w:rPr>
          <w:lang w:val="en-GB"/>
        </w:rPr>
        <w:t>clude areas directly adjoining Z</w:t>
      </w:r>
      <w:r w:rsidR="00BF3595" w:rsidRPr="008F6ABB">
        <w:rPr>
          <w:lang w:val="en-GB"/>
        </w:rPr>
        <w:t>one 1 that are not separated from one another in a gas tight manner.</w:t>
      </w:r>
    </w:p>
    <w:p w:rsidR="00BF3595" w:rsidRDefault="00BF3595" w:rsidP="00E46F58">
      <w:pPr>
        <w:pStyle w:val="ESch"/>
        <w:rPr>
          <w:lang w:val="en-GB"/>
        </w:rPr>
      </w:pPr>
    </w:p>
    <w:p w:rsidR="008D24FF" w:rsidRDefault="008D24FF">
      <w:pPr>
        <w:autoSpaceDE/>
        <w:autoSpaceDN/>
        <w:ind w:left="0" w:firstLine="0"/>
        <w:jc w:val="left"/>
        <w:rPr>
          <w:lang w:val="en-GB"/>
        </w:rPr>
      </w:pPr>
      <w:r>
        <w:rPr>
          <w:lang w:val="en-GB"/>
        </w:rPr>
        <w:br w:type="page"/>
      </w:r>
    </w:p>
    <w:p w:rsidR="008D24FF" w:rsidRPr="008F6ABB" w:rsidRDefault="008D24FF" w:rsidP="00E46F58">
      <w:pPr>
        <w:pStyle w:val="ESch"/>
        <w:rPr>
          <w:lang w:val="en-GB"/>
        </w:rPr>
      </w:pPr>
    </w:p>
    <w:p w:rsidR="00BF3595" w:rsidRPr="008F6ABB" w:rsidRDefault="00BF3595" w:rsidP="00BF3595">
      <w:pPr>
        <w:pStyle w:val="ESch"/>
        <w:rPr>
          <w:strike/>
          <w:lang w:val="en-GB"/>
        </w:rPr>
      </w:pPr>
      <w:r>
        <w:rPr>
          <w:lang w:val="en-GB"/>
        </w:rPr>
        <w:t>3.24</w:t>
      </w:r>
      <w:r w:rsidRPr="008F6ABB">
        <w:rPr>
          <w:lang w:val="en-GB"/>
        </w:rPr>
        <w:tab/>
      </w:r>
      <w:r w:rsidR="00D52D91">
        <w:rPr>
          <w:lang w:val="en-GB"/>
        </w:rPr>
        <w:t>‘</w:t>
      </w:r>
      <w:r w:rsidRPr="008F6ABB">
        <w:rPr>
          <w:lang w:val="en-GB"/>
        </w:rPr>
        <w:t>certified safe type electrical equipment</w:t>
      </w:r>
      <w:r w:rsidR="00D52D91">
        <w:rPr>
          <w:lang w:val="en-GB"/>
        </w:rPr>
        <w:t>’</w:t>
      </w:r>
      <w:r w:rsidRPr="008F6ABB">
        <w:rPr>
          <w:rStyle w:val="FootnoteReference"/>
          <w:lang w:val="en-GB"/>
        </w:rPr>
        <w:t xml:space="preserve"> </w:t>
      </w:r>
      <w:r w:rsidRPr="008F6ABB">
        <w:rPr>
          <w:lang w:val="en-GB"/>
        </w:rPr>
        <w:t xml:space="preserve">an electrical equipment which has been tested and approved by the competent authority regarding its safety of operation in an explosive </w:t>
      </w:r>
      <w:r w:rsidRPr="00BF3595">
        <w:rPr>
          <w:lang w:val="en-GB"/>
        </w:rPr>
        <w:t>atmosphere;</w:t>
      </w:r>
    </w:p>
    <w:p w:rsidR="009A1D30" w:rsidRPr="00C903F8" w:rsidRDefault="009A1D30" w:rsidP="00E46F58">
      <w:pPr>
        <w:pStyle w:val="ESch"/>
        <w:rPr>
          <w:lang w:val="en-US"/>
        </w:rPr>
      </w:pPr>
    </w:p>
    <w:p w:rsidR="00BF3595" w:rsidRDefault="00BF3595" w:rsidP="008D24FF">
      <w:pPr>
        <w:pStyle w:val="ESch"/>
        <w:rPr>
          <w:lang w:val="en-US"/>
        </w:rPr>
      </w:pPr>
    </w:p>
    <w:p w:rsidR="00DE4417" w:rsidRPr="00C903F8" w:rsidRDefault="00DE4417" w:rsidP="00511BF6">
      <w:pPr>
        <w:pStyle w:val="ESch"/>
        <w:rPr>
          <w:lang w:val="en-US"/>
        </w:rPr>
      </w:pPr>
      <w:r w:rsidRPr="00C903F8">
        <w:rPr>
          <w:rFonts w:cs="Arial"/>
          <w:b/>
          <w:szCs w:val="20"/>
          <w:lang w:val="en-US"/>
        </w:rPr>
        <w:t>4.</w:t>
      </w:r>
      <w:r w:rsidRPr="00C903F8">
        <w:rPr>
          <w:rFonts w:cs="Arial"/>
          <w:b/>
          <w:szCs w:val="20"/>
          <w:lang w:val="en-US"/>
        </w:rPr>
        <w:tab/>
        <w:t>Marine engineering terms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4.1</w:t>
      </w:r>
      <w:r w:rsidRPr="00C903F8">
        <w:rPr>
          <w:rFonts w:cs="Arial"/>
          <w:szCs w:val="20"/>
          <w:lang w:val="en-US"/>
        </w:rPr>
        <w:tab/>
        <w:t>‘plane of maximum draught’: the water plane corresponding to the maximum draught at which the craft is authorised to navigate;</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4.2</w:t>
      </w:r>
      <w:r w:rsidRPr="00C903F8">
        <w:rPr>
          <w:rFonts w:cs="Arial"/>
          <w:szCs w:val="20"/>
          <w:lang w:val="en-US"/>
        </w:rPr>
        <w:tab/>
        <w:t>‘safety clearance’: the distance between the plane of maximum draught and the parallel plane passing through the lowest point above which the craft is no longer deemed to be watertight;</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4.3</w:t>
      </w:r>
      <w:r w:rsidRPr="00C903F8">
        <w:rPr>
          <w:rFonts w:cs="Arial"/>
          <w:szCs w:val="20"/>
          <w:lang w:val="en-US"/>
        </w:rPr>
        <w:tab/>
        <w:t>‘residual safety clearance’: the vertical clearance available, in the event of the vessel heeling over, between the water level and the lowest point of the immersed side, beyond which the vessel is no longer regarded as watertight;</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4.4</w:t>
      </w:r>
      <w:r w:rsidRPr="00C903F8">
        <w:rPr>
          <w:rFonts w:cs="Arial"/>
          <w:szCs w:val="20"/>
          <w:lang w:val="en-US"/>
        </w:rPr>
        <w:tab/>
        <w:t>‘freeboard</w:t>
      </w:r>
      <w:r w:rsidR="00C26BCA" w:rsidRPr="00C903F8">
        <w:rPr>
          <w:rFonts w:cs="Arial"/>
          <w:szCs w:val="20"/>
          <w:lang w:val="en-US"/>
        </w:rPr>
        <w:t>’ or ‘</w:t>
      </w:r>
      <m:oMath>
        <m:r>
          <w:rPr>
            <w:rFonts w:ascii="Cambria Math" w:hAnsi="Cambria Math" w:cs="Arial"/>
            <w:szCs w:val="20"/>
            <w:lang w:val="en-US"/>
          </w:rPr>
          <m:t>F</m:t>
        </m:r>
      </m:oMath>
      <w:r w:rsidRPr="00C903F8">
        <w:rPr>
          <w:rFonts w:cs="Arial"/>
          <w:szCs w:val="20"/>
          <w:lang w:val="en-US"/>
        </w:rPr>
        <w:t>’: the distance between the plane of maximum draught and a parallel plane passing through the lowest point of the gunwale or, in the absence of a gunwale, the lowest point of the upper edge of the ship's side;</w:t>
      </w:r>
    </w:p>
    <w:p w:rsidR="009A1D30" w:rsidRPr="00C903F8" w:rsidRDefault="009A1D30" w:rsidP="00511BF6">
      <w:pPr>
        <w:pStyle w:val="ESch"/>
        <w:rPr>
          <w:rFonts w:cs="Arial"/>
          <w:szCs w:val="20"/>
          <w:lang w:val="en-US"/>
        </w:rPr>
      </w:pPr>
    </w:p>
    <w:p w:rsidR="00DE4417" w:rsidRPr="00C903F8" w:rsidRDefault="00DE4417" w:rsidP="00511BF6">
      <w:pPr>
        <w:pStyle w:val="ESch"/>
        <w:rPr>
          <w:rFonts w:cs="Arial"/>
          <w:szCs w:val="20"/>
          <w:lang w:val="en-US"/>
        </w:rPr>
      </w:pPr>
      <w:r w:rsidRPr="00C903F8">
        <w:rPr>
          <w:rFonts w:cs="Arial"/>
          <w:szCs w:val="20"/>
          <w:lang w:val="en-US"/>
        </w:rPr>
        <w:t>4.5</w:t>
      </w:r>
      <w:r w:rsidRPr="00C903F8">
        <w:rPr>
          <w:rFonts w:cs="Arial"/>
          <w:szCs w:val="20"/>
          <w:lang w:val="en-US"/>
        </w:rPr>
        <w:tab/>
        <w:t>‘residual freeboard’: the vertical clearance available, in the event of the vessel heeling over, between the water level and the upper surface of the deck at the lowest point of the immersed side or, if there is no deck, the lowest point of the upper surface of the fixed ship's side;</w:t>
      </w:r>
    </w:p>
    <w:p w:rsidR="008D2FD5" w:rsidRPr="00C903F8" w:rsidRDefault="008D2FD5"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4.6</w:t>
      </w:r>
      <w:r w:rsidRPr="00C903F8">
        <w:rPr>
          <w:rFonts w:cs="Arial"/>
          <w:szCs w:val="20"/>
          <w:lang w:val="en-US"/>
        </w:rPr>
        <w:tab/>
        <w:t>‘margin line’: an imaginary line drawn on the side plating not less than 10 cm below the bulkhead deck and not less than 10 cm below the lowest non-watertight point of the side plating. If there is no bulkhead deck, a line drawn not less than 10 cm below the lowest line up to which the outer plating is watertight shall be used;</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4.7</w:t>
      </w:r>
      <w:r w:rsidRPr="00C903F8">
        <w:rPr>
          <w:rFonts w:cs="Arial"/>
          <w:szCs w:val="20"/>
          <w:lang w:val="en-US"/>
        </w:rPr>
        <w:tab/>
        <w:t>‘water displacement</w:t>
      </w:r>
      <w:r w:rsidR="00850AFF" w:rsidRPr="00C903F8">
        <w:rPr>
          <w:rFonts w:cs="Arial"/>
          <w:szCs w:val="20"/>
          <w:lang w:val="en-US"/>
        </w:rPr>
        <w:t>’</w:t>
      </w:r>
      <w:r w:rsidRPr="00C903F8">
        <w:rPr>
          <w:rFonts w:cs="Arial"/>
          <w:szCs w:val="20"/>
          <w:lang w:val="en-US"/>
        </w:rPr>
        <w:t xml:space="preserve"> or ‘</w:t>
      </w:r>
      <m:oMath>
        <m:r>
          <w:rPr>
            <w:rFonts w:ascii="Cambria Math" w:hAnsi="Cambria Math" w:cs="Arial"/>
            <w:szCs w:val="20"/>
            <w:lang w:val="en-US"/>
          </w:rPr>
          <m:t>∀</m:t>
        </m:r>
      </m:oMath>
      <w:r w:rsidR="009A1D30" w:rsidRPr="00C903F8">
        <w:rPr>
          <w:rFonts w:cs="Arial"/>
          <w:szCs w:val="20"/>
          <w:lang w:val="en-US"/>
        </w:rPr>
        <w:t>’</w:t>
      </w:r>
      <w:r w:rsidRPr="00C903F8">
        <w:rPr>
          <w:rFonts w:cs="Arial"/>
          <w:szCs w:val="20"/>
          <w:lang w:val="en-US"/>
        </w:rPr>
        <w:t>: the immersed volume of the vessel, in m</w:t>
      </w:r>
      <w:r w:rsidRPr="00C903F8">
        <w:rPr>
          <w:rFonts w:cs="Arial"/>
          <w:sz w:val="22"/>
          <w:szCs w:val="20"/>
          <w:lang w:val="en-US"/>
        </w:rPr>
        <w:t>³</w:t>
      </w:r>
      <w:r w:rsidRPr="00C903F8">
        <w:rPr>
          <w:rFonts w:cs="Arial"/>
          <w:szCs w:val="20"/>
          <w:lang w:val="en-US"/>
        </w:rPr>
        <w:t>;</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4.8</w:t>
      </w:r>
      <w:r w:rsidRPr="00C903F8">
        <w:rPr>
          <w:rFonts w:cs="Arial"/>
          <w:szCs w:val="20"/>
          <w:lang w:val="en-US"/>
        </w:rPr>
        <w:tab/>
        <w:t>‘displacement’ or ‘</w:t>
      </w:r>
      <m:oMath>
        <m:r>
          <w:rPr>
            <w:rFonts w:ascii="Cambria Math" w:hAnsi="Cambria Math" w:cs="Arial"/>
            <w:szCs w:val="20"/>
            <w:lang w:val="en-US"/>
          </w:rPr>
          <m:t>∆</m:t>
        </m:r>
      </m:oMath>
      <w:r w:rsidRPr="00C903F8">
        <w:rPr>
          <w:rFonts w:cs="Arial"/>
          <w:szCs w:val="20"/>
          <w:lang w:val="en-US"/>
        </w:rPr>
        <w:t>’: the total weight of the vessel, inclusive of cargo, in t;</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4.9</w:t>
      </w:r>
      <w:r w:rsidRPr="00C903F8">
        <w:rPr>
          <w:rFonts w:cs="Arial"/>
          <w:szCs w:val="20"/>
          <w:lang w:val="en-US"/>
        </w:rPr>
        <w:tab/>
        <w:t>‘block coefficient’ or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C</m:t>
            </m:r>
          </m:e>
          <m:sub>
            <m:r>
              <w:rPr>
                <w:rFonts w:ascii="Cambria Math" w:hAnsi="Cambria Math" w:cs="Arial"/>
                <w:noProof/>
                <w:sz w:val="18"/>
                <w:szCs w:val="18"/>
                <w:lang w:val="en-US"/>
              </w:rPr>
              <m:t>B</m:t>
            </m:r>
          </m:sub>
        </m:sSub>
      </m:oMath>
      <w:r w:rsidRPr="00C903F8">
        <w:rPr>
          <w:rFonts w:cs="Arial"/>
          <w:szCs w:val="20"/>
          <w:lang w:val="en-US"/>
        </w:rPr>
        <w:t xml:space="preserve">’: the ratio between the water displacement and the product of length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L</m:t>
            </m:r>
          </m:e>
          <m:sub>
            <m:r>
              <w:rPr>
                <w:rFonts w:ascii="Cambria Math" w:hAnsi="Cambria Math" w:cs="Arial"/>
                <w:noProof/>
                <w:sz w:val="18"/>
                <w:szCs w:val="18"/>
                <w:lang w:val="en-US"/>
              </w:rPr>
              <m:t>WL</m:t>
            </m:r>
          </m:sub>
        </m:sSub>
      </m:oMath>
      <w:r w:rsidRPr="00C903F8">
        <w:rPr>
          <w:rFonts w:cs="Arial"/>
          <w:szCs w:val="20"/>
          <w:lang w:val="en-US"/>
        </w:rPr>
        <w:t xml:space="preserve">, breadth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B</m:t>
            </m:r>
          </m:e>
          <m:sub>
            <m:r>
              <w:rPr>
                <w:rFonts w:ascii="Cambria Math" w:hAnsi="Cambria Math" w:cs="Arial"/>
                <w:noProof/>
                <w:sz w:val="18"/>
                <w:szCs w:val="18"/>
                <w:lang w:val="en-US"/>
              </w:rPr>
              <m:t>WL</m:t>
            </m:r>
          </m:sub>
        </m:sSub>
      </m:oMath>
      <w:r w:rsidRPr="00C903F8">
        <w:rPr>
          <w:rFonts w:cs="Arial"/>
          <w:szCs w:val="20"/>
          <w:lang w:val="en-US"/>
        </w:rPr>
        <w:t xml:space="preserve"> and draught</w:t>
      </w:r>
      <w:r w:rsidR="001A583E" w:rsidRPr="00C903F8">
        <w:rPr>
          <w:rFonts w:cs="Arial"/>
          <w:szCs w:val="20"/>
          <w:lang w:val="en-US"/>
        </w:rPr>
        <w:t xml:space="preserve"> </w:t>
      </w:r>
      <m:oMath>
        <m:r>
          <w:rPr>
            <w:rFonts w:ascii="Cambria Math" w:hAnsi="Cambria Math" w:cs="Arial"/>
            <w:szCs w:val="20"/>
            <w:lang w:val="en-US"/>
          </w:rPr>
          <m:t>T</m:t>
        </m:r>
      </m:oMath>
      <w:r w:rsidRPr="00C903F8">
        <w:rPr>
          <w:rFonts w:cs="Arial"/>
          <w:szCs w:val="20"/>
          <w:lang w:val="en-US"/>
        </w:rPr>
        <w:t>;</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4.10</w:t>
      </w:r>
      <w:r w:rsidRPr="00C903F8">
        <w:rPr>
          <w:rFonts w:cs="Arial"/>
          <w:szCs w:val="20"/>
          <w:lang w:val="en-US"/>
        </w:rPr>
        <w:tab/>
        <w:t>‘lateral plane above water’ or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A</m:t>
            </m:r>
          </m:e>
          <m:sub>
            <m:r>
              <w:rPr>
                <w:rFonts w:ascii="Cambria Math" w:hAnsi="Cambria Math" w:cs="Arial"/>
                <w:noProof/>
                <w:sz w:val="18"/>
                <w:szCs w:val="18"/>
                <w:lang w:val="en-US"/>
              </w:rPr>
              <m:t>V</m:t>
            </m:r>
          </m:sub>
        </m:sSub>
      </m:oMath>
      <w:r w:rsidRPr="00C903F8">
        <w:rPr>
          <w:rFonts w:cs="Arial"/>
          <w:szCs w:val="20"/>
          <w:lang w:val="en-US"/>
        </w:rPr>
        <w:t>’: lateral plane of the vessel above the waterline in m</w:t>
      </w:r>
      <w:r w:rsidRPr="00C903F8">
        <w:rPr>
          <w:rFonts w:cs="Arial"/>
          <w:szCs w:val="20"/>
          <w:vertAlign w:val="superscript"/>
          <w:lang w:val="en-US"/>
        </w:rPr>
        <w:t>2</w:t>
      </w:r>
      <w:r w:rsidRPr="00C903F8">
        <w:rPr>
          <w:rFonts w:cs="Arial"/>
          <w:szCs w:val="20"/>
          <w:lang w:val="en-US"/>
        </w:rPr>
        <w:t>;</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4.11</w:t>
      </w:r>
      <w:r w:rsidRPr="00C903F8">
        <w:rPr>
          <w:rFonts w:cs="Arial"/>
          <w:szCs w:val="20"/>
          <w:lang w:val="en-US"/>
        </w:rPr>
        <w:tab/>
        <w:t>‘bulkhead deck’: the deck to which the required watertight bulkheads are taken and from which the freeboard is measured;</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4.12</w:t>
      </w:r>
      <w:r w:rsidRPr="00C903F8">
        <w:rPr>
          <w:rFonts w:cs="Arial"/>
          <w:szCs w:val="20"/>
          <w:lang w:val="en-US"/>
        </w:rPr>
        <w:tab/>
        <w:t>‘bulkhead’: a wall of a given height, usually vertical, partitioning the vessel and bounded by the bottom of the vessel, the plating or other bulkheads;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4.13</w:t>
      </w:r>
      <w:r w:rsidRPr="00C903F8">
        <w:rPr>
          <w:rFonts w:cs="Arial"/>
          <w:szCs w:val="20"/>
          <w:lang w:val="en-US"/>
        </w:rPr>
        <w:tab/>
        <w:t>‘transverse bulkhead’: a bulkhead extending from one side of the vessel to the other;</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4.14</w:t>
      </w:r>
      <w:r w:rsidRPr="00C903F8">
        <w:rPr>
          <w:rFonts w:cs="Arial"/>
          <w:szCs w:val="20"/>
          <w:lang w:val="en-US"/>
        </w:rPr>
        <w:tab/>
        <w:t>‘wall’: a dividing surface, usually vertical;</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4.15</w:t>
      </w:r>
      <w:r w:rsidRPr="00C903F8">
        <w:rPr>
          <w:rFonts w:cs="Arial"/>
          <w:szCs w:val="20"/>
          <w:lang w:val="en-US"/>
        </w:rPr>
        <w:tab/>
        <w:t>‘partition wall’: a non-watertight wall;</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4.16</w:t>
      </w:r>
      <w:r w:rsidRPr="00C903F8">
        <w:rPr>
          <w:rFonts w:cs="Arial"/>
          <w:szCs w:val="20"/>
          <w:lang w:val="en-US"/>
        </w:rPr>
        <w:tab/>
        <w:t>‘length’ or ‘</w:t>
      </w:r>
      <m:oMath>
        <m:r>
          <w:rPr>
            <w:rFonts w:ascii="Cambria Math" w:hAnsi="Cambria Math" w:cs="Arial"/>
            <w:szCs w:val="20"/>
            <w:lang w:val="en-US"/>
          </w:rPr>
          <m:t>L</m:t>
        </m:r>
      </m:oMath>
      <w:r w:rsidRPr="00C903F8">
        <w:rPr>
          <w:rFonts w:cs="Arial"/>
          <w:szCs w:val="20"/>
          <w:lang w:val="en-US"/>
        </w:rPr>
        <w:t>’: the maximum length of the hull in m, excluding rudder and bowsprit;</w:t>
      </w:r>
    </w:p>
    <w:p w:rsidR="009A1D30" w:rsidRDefault="009A1D30" w:rsidP="00511BF6">
      <w:pPr>
        <w:pStyle w:val="ESch"/>
        <w:rPr>
          <w:rFonts w:cs="Arial"/>
          <w:szCs w:val="20"/>
          <w:lang w:val="en-US"/>
        </w:rPr>
      </w:pPr>
    </w:p>
    <w:p w:rsidR="008D24FF" w:rsidRDefault="008D24FF">
      <w:pPr>
        <w:autoSpaceDE/>
        <w:autoSpaceDN/>
        <w:ind w:left="0" w:firstLine="0"/>
        <w:jc w:val="left"/>
        <w:rPr>
          <w:rFonts w:cs="Arial"/>
          <w:szCs w:val="20"/>
          <w:lang w:val="en-US"/>
        </w:rPr>
      </w:pPr>
      <w:r>
        <w:rPr>
          <w:rFonts w:cs="Arial"/>
          <w:szCs w:val="20"/>
          <w:lang w:val="en-US"/>
        </w:rPr>
        <w:br w:type="page"/>
      </w:r>
    </w:p>
    <w:p w:rsidR="008D24FF" w:rsidRPr="00C903F8" w:rsidRDefault="008D24FF"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4.17</w:t>
      </w:r>
      <w:r w:rsidRPr="00C903F8">
        <w:rPr>
          <w:rFonts w:cs="Arial"/>
          <w:szCs w:val="20"/>
          <w:lang w:val="en-US"/>
        </w:rPr>
        <w:tab/>
      </w:r>
      <w:r w:rsidR="001A583E" w:rsidRPr="00C903F8">
        <w:rPr>
          <w:rFonts w:cs="Arial"/>
          <w:szCs w:val="20"/>
          <w:lang w:val="en-US"/>
        </w:rPr>
        <w:t>‘length overall’ or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L</m:t>
            </m:r>
          </m:e>
          <m:sub>
            <m:r>
              <w:rPr>
                <w:rFonts w:ascii="Cambria Math" w:hAnsi="Cambria Math" w:cs="Arial"/>
                <w:noProof/>
                <w:sz w:val="18"/>
                <w:szCs w:val="18"/>
                <w:lang w:val="en-US"/>
              </w:rPr>
              <m:t>OA</m:t>
            </m:r>
          </m:sub>
        </m:sSub>
      </m:oMath>
      <w:r w:rsidRPr="00C903F8">
        <w:rPr>
          <w:rFonts w:cs="Arial"/>
          <w:szCs w:val="20"/>
          <w:lang w:val="en-US"/>
        </w:rPr>
        <w:t>’: the maximum length of the craft in m, including all fixed installations such as parts of the steering system or power plant, mechanical or similar devices;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4.18</w:t>
      </w:r>
      <w:r w:rsidRPr="00C903F8">
        <w:rPr>
          <w:rFonts w:cs="Arial"/>
          <w:szCs w:val="20"/>
          <w:lang w:val="en-US"/>
        </w:rPr>
        <w:tab/>
        <w:t>‘length of waterline’ or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L</m:t>
            </m:r>
          </m:e>
          <m:sub>
            <m:r>
              <w:rPr>
                <w:rFonts w:ascii="Cambria Math" w:hAnsi="Cambria Math" w:cs="Arial"/>
                <w:noProof/>
                <w:sz w:val="18"/>
                <w:szCs w:val="18"/>
                <w:lang w:val="en-US"/>
              </w:rPr>
              <m:t>WL</m:t>
            </m:r>
          </m:sub>
        </m:sSub>
      </m:oMath>
      <w:r w:rsidRPr="00C903F8">
        <w:rPr>
          <w:rFonts w:cs="Arial"/>
          <w:szCs w:val="20"/>
          <w:lang w:val="en-US"/>
        </w:rPr>
        <w:t>’: the length of the hull in m, measured at the maximum draught;</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4.19</w:t>
      </w:r>
      <w:r w:rsidRPr="00C903F8">
        <w:rPr>
          <w:rFonts w:cs="Arial"/>
          <w:szCs w:val="20"/>
          <w:lang w:val="en-US"/>
        </w:rPr>
        <w:tab/>
        <w:t>‘breadth’ or ‘</w:t>
      </w:r>
      <m:oMath>
        <m:r>
          <w:rPr>
            <w:rFonts w:ascii="Cambria Math" w:hAnsi="Cambria Math" w:cs="Arial"/>
            <w:szCs w:val="20"/>
            <w:lang w:val="en-US"/>
          </w:rPr>
          <m:t>B</m:t>
        </m:r>
      </m:oMath>
      <w:r w:rsidRPr="00C903F8">
        <w:rPr>
          <w:rFonts w:cs="Arial"/>
          <w:szCs w:val="20"/>
          <w:lang w:val="en-US"/>
        </w:rPr>
        <w:t>’: the maximum breadth of the hull in m, measured to the outer edge of the shell plating (excluding paddle wheels, rub rails, and similar);</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4.20</w:t>
      </w:r>
      <w:r w:rsidRPr="00C903F8">
        <w:rPr>
          <w:rFonts w:cs="Arial"/>
          <w:szCs w:val="20"/>
          <w:lang w:val="en-US"/>
        </w:rPr>
        <w:tab/>
        <w:t>‘breadth overall’ or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B</m:t>
            </m:r>
          </m:e>
          <m:sub>
            <m:r>
              <w:rPr>
                <w:rFonts w:ascii="Cambria Math" w:hAnsi="Cambria Math" w:cs="Arial"/>
                <w:noProof/>
                <w:sz w:val="18"/>
                <w:szCs w:val="18"/>
                <w:lang w:val="en-US"/>
              </w:rPr>
              <m:t>OA</m:t>
            </m:r>
          </m:sub>
        </m:sSub>
      </m:oMath>
      <w:r w:rsidRPr="00C903F8">
        <w:rPr>
          <w:rFonts w:cs="Arial"/>
          <w:szCs w:val="20"/>
          <w:lang w:val="en-US"/>
        </w:rPr>
        <w:t xml:space="preserve">’: the maximum breadth of the craft in m, including all fixed equipment such as paddle wheels, rub rails, mechanical devices </w:t>
      </w:r>
      <w:r w:rsidR="00622329" w:rsidRPr="00C903F8">
        <w:rPr>
          <w:rFonts w:cs="Arial"/>
          <w:szCs w:val="20"/>
          <w:lang w:val="en-US"/>
        </w:rPr>
        <w:t>or similar</w:t>
      </w:r>
      <w:r w:rsidRPr="00C903F8">
        <w:rPr>
          <w:rFonts w:cs="Arial"/>
          <w:szCs w:val="20"/>
          <w:lang w:val="en-US"/>
        </w:rPr>
        <w:t>;</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4.21</w:t>
      </w:r>
      <w:r w:rsidRPr="00C903F8">
        <w:rPr>
          <w:rFonts w:cs="Arial"/>
          <w:szCs w:val="20"/>
          <w:lang w:val="en-US"/>
        </w:rPr>
        <w:tab/>
        <w:t>‘breadth of waterline’ or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B</m:t>
            </m:r>
          </m:e>
          <m:sub>
            <m:r>
              <w:rPr>
                <w:rFonts w:ascii="Cambria Math" w:hAnsi="Cambria Math" w:cs="Arial"/>
                <w:noProof/>
                <w:sz w:val="18"/>
                <w:szCs w:val="18"/>
                <w:lang w:val="en-US"/>
              </w:rPr>
              <m:t>WL</m:t>
            </m:r>
          </m:sub>
        </m:sSub>
      </m:oMath>
      <w:r w:rsidRPr="00C903F8">
        <w:rPr>
          <w:rFonts w:cs="Arial"/>
          <w:szCs w:val="20"/>
          <w:lang w:val="en-US"/>
        </w:rPr>
        <w:t>’: breadth of the hull in m, measured from the outside of the side plating at the maximum draught line;</w:t>
      </w:r>
    </w:p>
    <w:p w:rsidR="009A1D30" w:rsidRPr="00C903F8" w:rsidRDefault="009A1D30" w:rsidP="00511BF6">
      <w:pPr>
        <w:pStyle w:val="ESch"/>
        <w:rPr>
          <w:rFonts w:cs="Arial"/>
          <w:szCs w:val="20"/>
          <w:lang w:val="en-US"/>
        </w:rPr>
      </w:pPr>
    </w:p>
    <w:p w:rsidR="00DE4417" w:rsidRPr="00C903F8" w:rsidRDefault="00DE4417" w:rsidP="00511BF6">
      <w:pPr>
        <w:pStyle w:val="ESch"/>
        <w:rPr>
          <w:rFonts w:cs="Arial"/>
          <w:szCs w:val="20"/>
          <w:lang w:val="en-US"/>
        </w:rPr>
      </w:pPr>
      <w:r w:rsidRPr="00C903F8">
        <w:rPr>
          <w:rFonts w:cs="Arial"/>
          <w:szCs w:val="20"/>
          <w:lang w:val="en-US"/>
        </w:rPr>
        <w:t>4.22</w:t>
      </w:r>
      <w:r w:rsidRPr="00C903F8">
        <w:rPr>
          <w:rFonts w:cs="Arial"/>
          <w:szCs w:val="20"/>
          <w:lang w:val="en-US"/>
        </w:rPr>
        <w:tab/>
        <w:t>‘height’ or ‘</w:t>
      </w:r>
      <m:oMath>
        <m:r>
          <w:rPr>
            <w:rFonts w:ascii="Cambria Math" w:hAnsi="Cambria Math" w:cs="Arial"/>
            <w:szCs w:val="20"/>
            <w:lang w:val="en-US"/>
          </w:rPr>
          <m:t>H</m:t>
        </m:r>
      </m:oMath>
      <w:r w:rsidRPr="00C903F8">
        <w:rPr>
          <w:rFonts w:cs="Arial"/>
          <w:szCs w:val="20"/>
          <w:lang w:val="en-US"/>
        </w:rPr>
        <w:t>’: the shortest vertical distance in m between the lowest point of the hull or the keel and the lowest point of the deck on the side of the vessel;</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4.23</w:t>
      </w:r>
      <w:r w:rsidRPr="00C903F8">
        <w:rPr>
          <w:rFonts w:cs="Arial"/>
          <w:szCs w:val="20"/>
          <w:lang w:val="en-US"/>
        </w:rPr>
        <w:tab/>
        <w:t>‘draught’ or ‘</w:t>
      </w:r>
      <m:oMath>
        <m:r>
          <w:rPr>
            <w:rFonts w:ascii="Cambria Math" w:hAnsi="Cambria Math" w:cs="Arial"/>
            <w:szCs w:val="20"/>
            <w:lang w:val="en-US"/>
          </w:rPr>
          <m:t>T</m:t>
        </m:r>
      </m:oMath>
      <w:r w:rsidRPr="00C903F8">
        <w:rPr>
          <w:rFonts w:cs="Arial"/>
          <w:szCs w:val="20"/>
          <w:lang w:val="en-US"/>
        </w:rPr>
        <w:t>’: the vertical distance in m between the lowest point of the hull without taking into account the keel or other fixed attachments and the maximum draught line;</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4.24</w:t>
      </w:r>
      <w:r w:rsidRPr="00C903F8">
        <w:rPr>
          <w:rFonts w:cs="Arial"/>
          <w:szCs w:val="20"/>
          <w:lang w:val="en-US"/>
        </w:rPr>
        <w:tab/>
        <w:t>‘draught overall or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T</m:t>
            </m:r>
          </m:e>
          <m:sub>
            <m:r>
              <w:rPr>
                <w:rFonts w:ascii="Cambria Math" w:hAnsi="Cambria Math" w:cs="Arial"/>
                <w:noProof/>
                <w:sz w:val="18"/>
                <w:szCs w:val="18"/>
                <w:lang w:val="en-US"/>
              </w:rPr>
              <m:t>OA</m:t>
            </m:r>
          </m:sub>
        </m:sSub>
      </m:oMath>
      <w:r w:rsidRPr="00C903F8">
        <w:rPr>
          <w:rFonts w:cs="Arial"/>
          <w:szCs w:val="20"/>
          <w:lang w:val="en-US"/>
        </w:rPr>
        <w:t>’: the vertical distance in m between the lowest point of the hull including the keel or other fixed attachments and the maximum draught line;</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4.25</w:t>
      </w:r>
      <w:r w:rsidRPr="00C903F8">
        <w:rPr>
          <w:rFonts w:cs="Arial"/>
          <w:szCs w:val="20"/>
          <w:lang w:val="en-US"/>
        </w:rPr>
        <w:tab/>
        <w:t>‘forward perpendicular’: the vertical line at the forward point of the intersection of the hull with the maximum draught line;</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4.2</w:t>
      </w:r>
      <w:r w:rsidR="00E54654" w:rsidRPr="00C903F8">
        <w:rPr>
          <w:rFonts w:cs="Arial"/>
          <w:szCs w:val="20"/>
          <w:lang w:val="en-US"/>
        </w:rPr>
        <w:t>6</w:t>
      </w:r>
      <w:r w:rsidRPr="00C903F8">
        <w:rPr>
          <w:rFonts w:cs="Arial"/>
          <w:szCs w:val="20"/>
          <w:lang w:val="en-US"/>
        </w:rPr>
        <w:tab/>
        <w:t>‘clear width of side deck’: the distance between the vertical line passing through the most prominent part of the hatch coaming on the side deck side and the vertical line passing through the inside edge of the slip guard (guard-rail, foot rail) on the outer side of the side deck;</w:t>
      </w:r>
    </w:p>
    <w:p w:rsidR="009A1D30" w:rsidRPr="00C903F8" w:rsidRDefault="009A1D30" w:rsidP="00511BF6">
      <w:pPr>
        <w:pStyle w:val="ESch"/>
        <w:rPr>
          <w:rFonts w:cs="Arial"/>
          <w:szCs w:val="20"/>
          <w:lang w:val="en-US"/>
        </w:rPr>
      </w:pPr>
    </w:p>
    <w:p w:rsidR="00850AFF" w:rsidRPr="00C903F8" w:rsidRDefault="00850AFF" w:rsidP="00511BF6">
      <w:pPr>
        <w:pStyle w:val="ESch"/>
        <w:rPr>
          <w:rFonts w:cs="Arial"/>
          <w:szCs w:val="20"/>
          <w:lang w:val="en-US"/>
        </w:rPr>
      </w:pPr>
    </w:p>
    <w:p w:rsidR="00DE4417" w:rsidRPr="00C903F8" w:rsidRDefault="00DE4417" w:rsidP="00511BF6">
      <w:pPr>
        <w:pStyle w:val="ESch"/>
        <w:rPr>
          <w:lang w:val="en-US"/>
        </w:rPr>
      </w:pPr>
      <w:r w:rsidRPr="00C903F8">
        <w:rPr>
          <w:rFonts w:cs="Arial"/>
          <w:b/>
          <w:szCs w:val="20"/>
          <w:lang w:val="en-US"/>
        </w:rPr>
        <w:t>5.</w:t>
      </w:r>
      <w:r w:rsidRPr="00C903F8">
        <w:rPr>
          <w:rFonts w:cs="Arial"/>
          <w:b/>
          <w:szCs w:val="20"/>
          <w:lang w:val="en-US"/>
        </w:rPr>
        <w:tab/>
        <w:t>Steering system</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5.1</w:t>
      </w:r>
      <w:r w:rsidRPr="00C903F8">
        <w:rPr>
          <w:rFonts w:cs="Arial"/>
          <w:szCs w:val="20"/>
          <w:lang w:val="en-US"/>
        </w:rPr>
        <w:tab/>
        <w:t>‘steering system’: all the equipment necessary for steering the vessel, such as to ensure the manoeuvrability laid down in Chapter 5;</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5.2</w:t>
      </w:r>
      <w:r w:rsidRPr="00C903F8">
        <w:rPr>
          <w:rFonts w:cs="Arial"/>
          <w:szCs w:val="20"/>
          <w:lang w:val="en-US"/>
        </w:rPr>
        <w:tab/>
        <w:t>‘rudder’: the rudder or rudders, with shaft, including the rudder quadrant and the components connecting with the steering apparatus;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5.3</w:t>
      </w:r>
      <w:r w:rsidRPr="00C903F8">
        <w:rPr>
          <w:rFonts w:cs="Arial"/>
          <w:szCs w:val="20"/>
          <w:lang w:val="en-US"/>
        </w:rPr>
        <w:tab/>
        <w:t>‘steering apparatus’: the part of the steering system which produces the movement of the rudder;</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5.4</w:t>
      </w:r>
      <w:r w:rsidRPr="00C903F8">
        <w:rPr>
          <w:rFonts w:cs="Arial"/>
          <w:szCs w:val="20"/>
          <w:lang w:val="en-US"/>
        </w:rPr>
        <w:tab/>
        <w:t>‘drive unit’: the steering-apparatus drive, between the power source and the steering apparatus;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5.5</w:t>
      </w:r>
      <w:r w:rsidRPr="00C903F8">
        <w:rPr>
          <w:rFonts w:cs="Arial"/>
          <w:szCs w:val="20"/>
          <w:lang w:val="en-US"/>
        </w:rPr>
        <w:tab/>
      </w:r>
      <w:r w:rsidR="00AA6660">
        <w:rPr>
          <w:rFonts w:cs="Arial"/>
          <w:szCs w:val="20"/>
          <w:lang w:val="en-US"/>
        </w:rPr>
        <w:t>(left void)</w:t>
      </w:r>
      <w:r w:rsidRPr="00C903F8">
        <w:rPr>
          <w:rFonts w:cs="Arial"/>
          <w:szCs w:val="20"/>
          <w:lang w:val="en-US"/>
        </w:rPr>
        <w:t>;</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5.6</w:t>
      </w:r>
      <w:r w:rsidRPr="00C903F8">
        <w:rPr>
          <w:rFonts w:cs="Arial"/>
          <w:szCs w:val="20"/>
          <w:lang w:val="en-US"/>
        </w:rPr>
        <w:tab/>
        <w:t xml:space="preserve">‘steering control’: the component parts and </w:t>
      </w:r>
      <w:r w:rsidR="00E54654" w:rsidRPr="00C903F8">
        <w:rPr>
          <w:rFonts w:cs="Arial"/>
          <w:szCs w:val="20"/>
          <w:lang w:val="en-US"/>
        </w:rPr>
        <w:t xml:space="preserve">the </w:t>
      </w:r>
      <w:r w:rsidRPr="00C903F8">
        <w:rPr>
          <w:rFonts w:cs="Arial"/>
          <w:szCs w:val="20"/>
          <w:lang w:val="en-US"/>
        </w:rPr>
        <w:t>circuitry for the operation of a power-driven steering control;</w:t>
      </w:r>
    </w:p>
    <w:p w:rsidR="009A1D30" w:rsidRDefault="009A1D30" w:rsidP="00511BF6">
      <w:pPr>
        <w:pStyle w:val="ESch"/>
        <w:rPr>
          <w:rFonts w:cs="Arial"/>
          <w:szCs w:val="20"/>
          <w:lang w:val="en-US"/>
        </w:rPr>
      </w:pPr>
    </w:p>
    <w:p w:rsidR="008D24FF" w:rsidRDefault="008D24FF">
      <w:pPr>
        <w:autoSpaceDE/>
        <w:autoSpaceDN/>
        <w:ind w:left="0" w:firstLine="0"/>
        <w:jc w:val="left"/>
        <w:rPr>
          <w:rFonts w:cs="Arial"/>
          <w:szCs w:val="20"/>
          <w:lang w:val="en-US"/>
        </w:rPr>
      </w:pPr>
      <w:r>
        <w:rPr>
          <w:rFonts w:cs="Arial"/>
          <w:szCs w:val="20"/>
          <w:lang w:val="en-US"/>
        </w:rPr>
        <w:br w:type="page"/>
      </w:r>
    </w:p>
    <w:p w:rsidR="008D24FF" w:rsidRPr="00C903F8" w:rsidRDefault="008D24FF"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5.7</w:t>
      </w:r>
      <w:r w:rsidRPr="00C903F8">
        <w:rPr>
          <w:rFonts w:cs="Arial"/>
          <w:szCs w:val="20"/>
          <w:lang w:val="en-US"/>
        </w:rPr>
        <w:tab/>
        <w:t>‘steering apparatus drive unit’: the control for the steering apparatus, its drive unit and its power source;</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5.8</w:t>
      </w:r>
      <w:r w:rsidRPr="00C903F8">
        <w:rPr>
          <w:rFonts w:cs="Arial"/>
          <w:szCs w:val="20"/>
          <w:lang w:val="en-US"/>
        </w:rPr>
        <w:tab/>
        <w:t>‘manual drive’: a system whereby manual operation of the hand wheel moves the rudder by means of a mechanical transmission, without any additional power source;</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5.9</w:t>
      </w:r>
      <w:r w:rsidRPr="00C903F8">
        <w:rPr>
          <w:rFonts w:cs="Arial"/>
          <w:szCs w:val="20"/>
          <w:lang w:val="en-US"/>
        </w:rPr>
        <w:tab/>
        <w:t>‘manually-operated hydraulic drive’: a manual control actuating a hydraulic transmission;</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5.10</w:t>
      </w:r>
      <w:r w:rsidRPr="00C903F8">
        <w:rPr>
          <w:rFonts w:cs="Arial"/>
          <w:szCs w:val="20"/>
          <w:lang w:val="en-US"/>
        </w:rPr>
        <w:tab/>
        <w:t>‘rate-of-turn regulator’: equipment which automatically produces and maintains a given rate of turn of the vessel in accordance with preselected values;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5.11</w:t>
      </w:r>
      <w:r w:rsidRPr="00C903F8">
        <w:rPr>
          <w:rFonts w:cs="Arial"/>
          <w:szCs w:val="20"/>
          <w:lang w:val="en-US"/>
        </w:rPr>
        <w:tab/>
        <w:t>‘wheelhouse designed for radar navigation by one person’: a wheelhouse arranged in such a way that, during radar navigation, the vessel can be manoeuvred by one person;</w:t>
      </w:r>
    </w:p>
    <w:p w:rsidR="009A1D30" w:rsidRDefault="009A1D30" w:rsidP="008D24FF">
      <w:pPr>
        <w:pStyle w:val="ESch"/>
        <w:rPr>
          <w:lang w:val="en-US"/>
        </w:rPr>
      </w:pPr>
    </w:p>
    <w:p w:rsidR="008D24FF" w:rsidRPr="00C903F8" w:rsidRDefault="008D24FF" w:rsidP="008D24FF">
      <w:pPr>
        <w:pStyle w:val="ESch"/>
        <w:rPr>
          <w:lang w:val="en-US"/>
        </w:rPr>
      </w:pPr>
    </w:p>
    <w:p w:rsidR="00DE4417" w:rsidRPr="00C903F8" w:rsidRDefault="00DE4417" w:rsidP="00511BF6">
      <w:pPr>
        <w:pStyle w:val="ESch"/>
        <w:rPr>
          <w:b/>
          <w:lang w:val="en-US"/>
        </w:rPr>
      </w:pPr>
      <w:r w:rsidRPr="00C903F8">
        <w:rPr>
          <w:rFonts w:cs="Arial"/>
          <w:b/>
          <w:szCs w:val="20"/>
          <w:lang w:val="en-US"/>
        </w:rPr>
        <w:t>6.</w:t>
      </w:r>
      <w:r w:rsidRPr="00C903F8">
        <w:rPr>
          <w:rFonts w:cs="Arial"/>
          <w:b/>
          <w:szCs w:val="20"/>
          <w:lang w:val="en-US"/>
        </w:rPr>
        <w:tab/>
        <w:t>Properties of structural components and materials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6.1</w:t>
      </w:r>
      <w:r w:rsidRPr="00C903F8">
        <w:rPr>
          <w:rFonts w:cs="Arial"/>
          <w:szCs w:val="20"/>
          <w:lang w:val="en-US"/>
        </w:rPr>
        <w:tab/>
        <w:t>‘watertight’: a structural component or device so fitted as to prevent any ingress of water;</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6.2</w:t>
      </w:r>
      <w:r w:rsidRPr="00C903F8">
        <w:rPr>
          <w:rFonts w:cs="Arial"/>
          <w:szCs w:val="20"/>
          <w:lang w:val="en-US"/>
        </w:rPr>
        <w:tab/>
        <w:t>‘spray-proof and weathertight’: a structural component or device so fitted that in normal conditions it allows only a negligible quantity of water to penetrate;</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6.3</w:t>
      </w:r>
      <w:r w:rsidRPr="00C903F8">
        <w:rPr>
          <w:rFonts w:cs="Arial"/>
          <w:szCs w:val="20"/>
          <w:lang w:val="en-US"/>
        </w:rPr>
        <w:tab/>
        <w:t>‘gastight’: a structural component or device so fitted as to prevent the ingress of gas and vapours;</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6.4</w:t>
      </w:r>
      <w:r w:rsidRPr="00C903F8">
        <w:rPr>
          <w:rFonts w:cs="Arial"/>
          <w:szCs w:val="20"/>
          <w:lang w:val="en-US"/>
        </w:rPr>
        <w:tab/>
        <w:t>‘non-combustible’: a substance which neither burns nor produces flammable vapours in such quantities that they ignite spontaneously when heated to approximately 750 °C;</w:t>
      </w:r>
    </w:p>
    <w:p w:rsidR="009A1D30" w:rsidRPr="00C903F8" w:rsidRDefault="009A1D3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6.5</w:t>
      </w:r>
      <w:r w:rsidRPr="00C903F8">
        <w:rPr>
          <w:rFonts w:cs="Arial"/>
          <w:szCs w:val="20"/>
          <w:lang w:val="en-US"/>
        </w:rPr>
        <w:tab/>
        <w:t xml:space="preserve">‘flame-retardant’: material which does not readily catch fire, or whose surface at least restricts the spread of flames pursuant to the test procedure referred to in Article </w:t>
      </w:r>
      <w:r w:rsidR="009A1D30" w:rsidRPr="00C903F8">
        <w:rPr>
          <w:rFonts w:cs="Arial"/>
          <w:szCs w:val="20"/>
          <w:lang w:val="en-US"/>
        </w:rPr>
        <w:t>19</w:t>
      </w:r>
      <w:r w:rsidRPr="00C903F8">
        <w:rPr>
          <w:rFonts w:cs="Arial"/>
          <w:szCs w:val="20"/>
          <w:lang w:val="en-US"/>
        </w:rPr>
        <w:t>.11(1)(c);</w:t>
      </w:r>
    </w:p>
    <w:p w:rsidR="009A1D30" w:rsidRPr="00C903F8" w:rsidRDefault="009A1D30" w:rsidP="00511BF6">
      <w:pPr>
        <w:pStyle w:val="ESch"/>
        <w:rPr>
          <w:rFonts w:cs="Arial"/>
          <w:szCs w:val="20"/>
          <w:lang w:val="en-US"/>
        </w:rPr>
      </w:pPr>
    </w:p>
    <w:p w:rsidR="00BF3595" w:rsidRPr="008F6ABB" w:rsidRDefault="00BF3595" w:rsidP="00BF3595">
      <w:pPr>
        <w:pStyle w:val="ESch"/>
        <w:rPr>
          <w:lang w:val="en-GB"/>
        </w:rPr>
      </w:pPr>
      <w:r>
        <w:rPr>
          <w:lang w:val="en-GB"/>
        </w:rPr>
        <w:t>6.6</w:t>
      </w:r>
      <w:r w:rsidRPr="008F6ABB">
        <w:rPr>
          <w:lang w:val="en-GB"/>
        </w:rPr>
        <w:tab/>
      </w:r>
      <w:r w:rsidR="00D52D91">
        <w:rPr>
          <w:lang w:val="en-GB"/>
        </w:rPr>
        <w:t>‘</w:t>
      </w:r>
      <w:r w:rsidRPr="008F6ABB">
        <w:rPr>
          <w:lang w:val="en-GB"/>
        </w:rPr>
        <w:t>self-extinguishing</w:t>
      </w:r>
      <w:r w:rsidR="00D52D91">
        <w:rPr>
          <w:lang w:val="en-GB"/>
        </w:rPr>
        <w:t>’</w:t>
      </w:r>
      <w:r w:rsidRPr="008F6ABB">
        <w:rPr>
          <w:lang w:val="en-GB"/>
        </w:rPr>
        <w:t xml:space="preserve"> the characteristic of a burning substance whereby it extinguishes itself of its own accord within a short period once the ignition source has been removed, i.e. does not continue to burn;</w:t>
      </w:r>
    </w:p>
    <w:p w:rsidR="00BF3595" w:rsidRDefault="00BF3595" w:rsidP="00BF3595">
      <w:pPr>
        <w:pStyle w:val="ESch"/>
        <w:ind w:left="0" w:firstLine="0"/>
        <w:rPr>
          <w:rFonts w:cs="Arial"/>
          <w:szCs w:val="20"/>
          <w:lang w:val="en-US"/>
        </w:rPr>
      </w:pPr>
    </w:p>
    <w:p w:rsidR="00DE4417" w:rsidRPr="00C903F8" w:rsidRDefault="00BF3595" w:rsidP="00511BF6">
      <w:pPr>
        <w:pStyle w:val="ESch"/>
        <w:rPr>
          <w:lang w:val="en-US"/>
        </w:rPr>
      </w:pPr>
      <w:r>
        <w:rPr>
          <w:rFonts w:cs="Arial"/>
          <w:szCs w:val="20"/>
          <w:lang w:val="en-US"/>
        </w:rPr>
        <w:t>6.7</w:t>
      </w:r>
      <w:r w:rsidR="00DE4417" w:rsidRPr="00C903F8">
        <w:rPr>
          <w:rFonts w:cs="Arial"/>
          <w:szCs w:val="20"/>
          <w:lang w:val="en-US"/>
        </w:rPr>
        <w:tab/>
        <w:t xml:space="preserve">‘fire-resistance’: the property of structural components or devices as certified by the test procedure referred to in Article </w:t>
      </w:r>
      <w:r w:rsidR="009A1D30" w:rsidRPr="00C903F8">
        <w:rPr>
          <w:rFonts w:cs="Arial"/>
          <w:szCs w:val="20"/>
          <w:lang w:val="en-US"/>
        </w:rPr>
        <w:t>19</w:t>
      </w:r>
      <w:r w:rsidR="00DE4417" w:rsidRPr="00C903F8">
        <w:rPr>
          <w:rFonts w:cs="Arial"/>
          <w:szCs w:val="20"/>
          <w:lang w:val="en-US"/>
        </w:rPr>
        <w:t>.11(1)(d);</w:t>
      </w:r>
    </w:p>
    <w:p w:rsidR="009A1D30" w:rsidRPr="00C903F8" w:rsidRDefault="009A1D30" w:rsidP="00511BF6">
      <w:pPr>
        <w:pStyle w:val="ESch"/>
        <w:rPr>
          <w:rFonts w:cs="Arial"/>
          <w:szCs w:val="20"/>
          <w:lang w:val="en-US"/>
        </w:rPr>
      </w:pPr>
    </w:p>
    <w:p w:rsidR="00DE4417" w:rsidRPr="00C903F8" w:rsidRDefault="00BF3595" w:rsidP="00511BF6">
      <w:pPr>
        <w:pStyle w:val="ESch"/>
        <w:rPr>
          <w:rFonts w:cs="Arial"/>
          <w:szCs w:val="20"/>
          <w:lang w:val="en-US"/>
        </w:rPr>
      </w:pPr>
      <w:r>
        <w:rPr>
          <w:rFonts w:cs="Arial"/>
          <w:szCs w:val="20"/>
          <w:lang w:val="en-US"/>
        </w:rPr>
        <w:t>6.8</w:t>
      </w:r>
      <w:r w:rsidR="00DE4417" w:rsidRPr="00C903F8">
        <w:rPr>
          <w:rFonts w:cs="Arial"/>
          <w:szCs w:val="20"/>
          <w:lang w:val="en-US"/>
        </w:rPr>
        <w:tab/>
      </w:r>
      <w:r w:rsidR="00881510" w:rsidRPr="0076753A">
        <w:rPr>
          <w:rFonts w:eastAsia="Calibri" w:cs="Arial"/>
          <w:szCs w:val="20"/>
          <w:lang w:val="it-IT" w:eastAsia="en-US"/>
        </w:rPr>
        <w:t xml:space="preserve">‘Code for Fire Test Procedures’: the International Code for the Application of Fire Test Procedures (FTP code) adopted under Resolution </w:t>
      </w:r>
      <w:r w:rsidR="00881510" w:rsidRPr="003B0440">
        <w:rPr>
          <w:rFonts w:eastAsia="Calibri" w:cs="Arial"/>
          <w:szCs w:val="20"/>
          <w:lang w:val="it-IT" w:eastAsia="en-US"/>
        </w:rPr>
        <w:t>MSC.307(88)</w:t>
      </w:r>
      <w:r w:rsidR="00881510" w:rsidRPr="003B0440">
        <w:rPr>
          <w:rFonts w:eastAsia="Calibri" w:cs="Arial"/>
          <w:szCs w:val="20"/>
          <w:vertAlign w:val="superscript"/>
          <w:lang w:val="it-IT" w:eastAsia="en-US"/>
        </w:rPr>
        <w:footnoteReference w:id="1"/>
      </w:r>
      <w:r w:rsidR="00881510" w:rsidRPr="0076753A">
        <w:rPr>
          <w:rFonts w:eastAsia="Calibri" w:cs="Arial"/>
          <w:szCs w:val="20"/>
          <w:lang w:val="it-IT" w:eastAsia="en-US"/>
        </w:rPr>
        <w:t xml:space="preserve"> by the Maritime Safety Committee of the Internatio</w:t>
      </w:r>
      <w:r w:rsidR="00881510">
        <w:rPr>
          <w:rFonts w:eastAsia="Calibri" w:cs="Arial"/>
          <w:szCs w:val="20"/>
          <w:lang w:val="it-IT" w:eastAsia="en-US"/>
        </w:rPr>
        <w:t>nal Maritime Organization (IMO);</w:t>
      </w:r>
    </w:p>
    <w:p w:rsidR="009A1D30" w:rsidRPr="00C903F8" w:rsidRDefault="009A1D30" w:rsidP="00511BF6">
      <w:pPr>
        <w:pStyle w:val="ESch"/>
        <w:rPr>
          <w:rFonts w:cs="Arial"/>
          <w:szCs w:val="20"/>
          <w:lang w:val="en-US"/>
        </w:rPr>
      </w:pPr>
    </w:p>
    <w:p w:rsidR="009A1D30" w:rsidRPr="00C903F8" w:rsidRDefault="009A1D30" w:rsidP="00511BF6">
      <w:pPr>
        <w:pStyle w:val="ESch"/>
        <w:rPr>
          <w:rFonts w:cs="Arial"/>
          <w:szCs w:val="20"/>
          <w:lang w:val="en-US"/>
        </w:rPr>
      </w:pPr>
    </w:p>
    <w:p w:rsidR="009A1D30" w:rsidRPr="003B0440" w:rsidRDefault="009A1D30" w:rsidP="00511BF6">
      <w:pPr>
        <w:pStyle w:val="ESch"/>
        <w:rPr>
          <w:lang w:val="en-US"/>
        </w:rPr>
      </w:pPr>
      <w:r w:rsidRPr="00C903F8">
        <w:rPr>
          <w:rFonts w:cs="Arial"/>
          <w:b/>
          <w:szCs w:val="20"/>
          <w:lang w:val="en-US"/>
        </w:rPr>
        <w:t>7.</w:t>
      </w:r>
      <w:r w:rsidRPr="00C903F8">
        <w:rPr>
          <w:rFonts w:cs="Arial"/>
          <w:b/>
          <w:szCs w:val="20"/>
          <w:lang w:val="en-US"/>
        </w:rPr>
        <w:tab/>
      </w:r>
      <w:r w:rsidR="00881510" w:rsidRPr="003B0440">
        <w:rPr>
          <w:rFonts w:eastAsia="Calibri" w:cs="Arial"/>
          <w:b/>
          <w:bCs/>
          <w:szCs w:val="20"/>
          <w:lang w:val="en-US"/>
        </w:rPr>
        <w:t>Signal lights, navigation and information equipment</w:t>
      </w:r>
    </w:p>
    <w:p w:rsidR="009A1D30" w:rsidRPr="003B0440" w:rsidRDefault="009A1D30" w:rsidP="00511BF6">
      <w:pPr>
        <w:pStyle w:val="ESch"/>
        <w:rPr>
          <w:rFonts w:cs="Arial"/>
          <w:szCs w:val="20"/>
          <w:lang w:val="en-US"/>
        </w:rPr>
      </w:pPr>
    </w:p>
    <w:p w:rsidR="009A1D30" w:rsidRPr="003B0440" w:rsidRDefault="009A1D30" w:rsidP="003B0440">
      <w:pPr>
        <w:pStyle w:val="ESch"/>
        <w:rPr>
          <w:lang w:val="en-US"/>
        </w:rPr>
      </w:pPr>
      <w:r w:rsidRPr="003B0440">
        <w:rPr>
          <w:lang w:val="en-US"/>
        </w:rPr>
        <w:t>7.1</w:t>
      </w:r>
      <w:r w:rsidRPr="003B0440">
        <w:rPr>
          <w:lang w:val="en-US"/>
        </w:rPr>
        <w:tab/>
      </w:r>
      <w:r w:rsidR="00881510" w:rsidRPr="009942A5">
        <w:rPr>
          <w:rFonts w:eastAsia="Calibri"/>
          <w:lang w:val="en-US"/>
        </w:rPr>
        <w:t>'signal</w:t>
      </w:r>
      <w:r w:rsidR="00881510" w:rsidRPr="003B0440">
        <w:rPr>
          <w:rFonts w:eastAsia="Calibri"/>
          <w:lang w:val="en-US" w:eastAsia="en-US"/>
        </w:rPr>
        <w:t xml:space="preserve"> lights': light from navigation lights to indicate vessels;</w:t>
      </w:r>
    </w:p>
    <w:p w:rsidR="009A1D30" w:rsidRPr="003B0440" w:rsidRDefault="009A1D30" w:rsidP="00511BF6">
      <w:pPr>
        <w:pStyle w:val="ESch"/>
        <w:rPr>
          <w:rFonts w:cs="Arial"/>
          <w:szCs w:val="20"/>
          <w:lang w:val="en-US"/>
        </w:rPr>
      </w:pPr>
    </w:p>
    <w:p w:rsidR="009A1D30" w:rsidRPr="003B0440" w:rsidRDefault="009A1D30" w:rsidP="00511BF6">
      <w:pPr>
        <w:pStyle w:val="ESch"/>
        <w:rPr>
          <w:lang w:val="en-US"/>
        </w:rPr>
      </w:pPr>
      <w:r w:rsidRPr="003B0440">
        <w:rPr>
          <w:rFonts w:cs="Arial"/>
          <w:szCs w:val="20"/>
          <w:lang w:val="en-US"/>
        </w:rPr>
        <w:t>7.2</w:t>
      </w:r>
      <w:r w:rsidRPr="003B0440">
        <w:rPr>
          <w:rFonts w:cs="Arial"/>
          <w:szCs w:val="20"/>
          <w:lang w:val="en-US"/>
        </w:rPr>
        <w:tab/>
      </w:r>
      <w:r w:rsidR="00881510" w:rsidRPr="003B0440">
        <w:rPr>
          <w:rFonts w:eastAsia="Calibri" w:cs="Arial"/>
          <w:szCs w:val="20"/>
          <w:lang w:val="en-US" w:eastAsia="en-US"/>
        </w:rPr>
        <w:t>'light signals': light used to supplement optical or acoustic signals</w:t>
      </w:r>
      <w:r w:rsidR="00DA53FD" w:rsidRPr="003B0440">
        <w:rPr>
          <w:rFonts w:cs="Arial"/>
          <w:szCs w:val="20"/>
          <w:lang w:val="en-US"/>
        </w:rPr>
        <w:t>;</w:t>
      </w:r>
    </w:p>
    <w:p w:rsidR="009A1D30" w:rsidRDefault="009A1D30" w:rsidP="00511BF6">
      <w:pPr>
        <w:pStyle w:val="ESch"/>
        <w:rPr>
          <w:rFonts w:cs="Arial"/>
          <w:szCs w:val="20"/>
          <w:lang w:val="en-US"/>
        </w:rPr>
      </w:pPr>
    </w:p>
    <w:p w:rsidR="008D24FF" w:rsidRDefault="008D24FF">
      <w:pPr>
        <w:autoSpaceDE/>
        <w:autoSpaceDN/>
        <w:ind w:left="0" w:firstLine="0"/>
        <w:jc w:val="left"/>
        <w:rPr>
          <w:rFonts w:cs="Arial"/>
          <w:szCs w:val="20"/>
          <w:lang w:val="en-US"/>
        </w:rPr>
      </w:pPr>
      <w:r>
        <w:rPr>
          <w:rFonts w:cs="Arial"/>
          <w:szCs w:val="20"/>
          <w:lang w:val="en-US"/>
        </w:rPr>
        <w:br w:type="page"/>
      </w:r>
    </w:p>
    <w:p w:rsidR="008D24FF" w:rsidRPr="003B0440" w:rsidRDefault="008D24FF" w:rsidP="00511BF6">
      <w:pPr>
        <w:pStyle w:val="ESch"/>
        <w:rPr>
          <w:rFonts w:cs="Arial"/>
          <w:szCs w:val="20"/>
          <w:lang w:val="en-US"/>
        </w:rPr>
      </w:pPr>
    </w:p>
    <w:p w:rsidR="009A1D30" w:rsidRPr="003B0440" w:rsidRDefault="009A1D30" w:rsidP="003B0440">
      <w:pPr>
        <w:pStyle w:val="ESch"/>
        <w:rPr>
          <w:lang w:val="en-US"/>
        </w:rPr>
      </w:pPr>
      <w:r w:rsidRPr="003B0440">
        <w:rPr>
          <w:lang w:val="en-US"/>
        </w:rPr>
        <w:t>7.3</w:t>
      </w:r>
      <w:r w:rsidRPr="003B0440">
        <w:rPr>
          <w:lang w:val="en-US"/>
        </w:rPr>
        <w:tab/>
        <w:t>‘</w:t>
      </w:r>
      <w:r w:rsidR="00153AB4" w:rsidRPr="009942A5">
        <w:rPr>
          <w:lang w:val="en-US"/>
        </w:rPr>
        <w:t>navigational</w:t>
      </w:r>
      <w:r w:rsidR="00153AB4" w:rsidRPr="003B0440">
        <w:rPr>
          <w:lang w:val="en-US"/>
        </w:rPr>
        <w:t xml:space="preserve"> </w:t>
      </w:r>
      <w:r w:rsidRPr="003B0440">
        <w:rPr>
          <w:lang w:val="en-US"/>
        </w:rPr>
        <w:t>radar installation’: an electronic navigational aid for detecting and displaying the surroundings and traffic;</w:t>
      </w:r>
    </w:p>
    <w:p w:rsidR="009A1D30" w:rsidRPr="003B0440" w:rsidRDefault="009A1D30" w:rsidP="00511BF6">
      <w:pPr>
        <w:pStyle w:val="ESch"/>
        <w:rPr>
          <w:rFonts w:cs="Arial"/>
          <w:szCs w:val="20"/>
          <w:lang w:val="en-US"/>
        </w:rPr>
      </w:pPr>
    </w:p>
    <w:p w:rsidR="009A1D30" w:rsidRPr="00C903F8" w:rsidRDefault="009A1D30" w:rsidP="00511BF6">
      <w:pPr>
        <w:pStyle w:val="ESch"/>
        <w:rPr>
          <w:lang w:val="en-US"/>
        </w:rPr>
      </w:pPr>
      <w:r w:rsidRPr="003B0440">
        <w:rPr>
          <w:rFonts w:cs="Arial"/>
          <w:szCs w:val="20"/>
          <w:lang w:val="en-US"/>
        </w:rPr>
        <w:t>7.4</w:t>
      </w:r>
      <w:r w:rsidRPr="003B0440">
        <w:rPr>
          <w:rFonts w:cs="Arial"/>
          <w:szCs w:val="20"/>
          <w:lang w:val="en-US"/>
        </w:rPr>
        <w:tab/>
      </w:r>
      <w:r w:rsidR="00881510" w:rsidRPr="003B0440">
        <w:rPr>
          <w:rFonts w:cs="Arial"/>
          <w:szCs w:val="20"/>
          <w:lang w:val="en-US"/>
        </w:rPr>
        <w:t xml:space="preserve">‘Inland ECDIS’: a system </w:t>
      </w:r>
      <w:r w:rsidR="00881510" w:rsidRPr="003B0440">
        <w:rPr>
          <w:rFonts w:cs="Arial"/>
          <w:color w:val="000000"/>
          <w:szCs w:val="20"/>
          <w:lang w:val="en-US"/>
        </w:rPr>
        <w:t>used within the meaning of the current Inland ECDIS Standard</w:t>
      </w:r>
      <w:r w:rsidR="00881510" w:rsidRPr="003B0440">
        <w:rPr>
          <w:rFonts w:cs="Arial"/>
          <w:szCs w:val="20"/>
          <w:lang w:val="en-US"/>
        </w:rPr>
        <w:t xml:space="preserve"> for displaying electronic navigational charts for inland waters and associated information</w:t>
      </w:r>
      <w:r w:rsidR="00881510" w:rsidRPr="00C15BF5">
        <w:rPr>
          <w:rFonts w:cs="Arial"/>
          <w:szCs w:val="20"/>
          <w:lang w:val="en-US"/>
        </w:rPr>
        <w:t>, that displays selected information from proprietary electronic navigational charts for inland waters and optionally information from other sensors of the craft</w:t>
      </w:r>
      <w:r w:rsidRPr="00C903F8">
        <w:rPr>
          <w:rFonts w:cs="Arial"/>
          <w:szCs w:val="20"/>
          <w:lang w:val="en-US"/>
        </w:rPr>
        <w:t>;</w:t>
      </w:r>
    </w:p>
    <w:p w:rsidR="009A1D30" w:rsidRPr="00C903F8" w:rsidRDefault="009A1D30" w:rsidP="00511BF6">
      <w:pPr>
        <w:pStyle w:val="ESch"/>
        <w:rPr>
          <w:rFonts w:cs="Arial"/>
          <w:szCs w:val="20"/>
          <w:lang w:val="en-US"/>
        </w:rPr>
      </w:pPr>
    </w:p>
    <w:p w:rsidR="009A1D30" w:rsidRPr="00C903F8" w:rsidRDefault="009A1D30" w:rsidP="00511BF6">
      <w:pPr>
        <w:pStyle w:val="ESch"/>
        <w:rPr>
          <w:lang w:val="en-US"/>
        </w:rPr>
      </w:pPr>
      <w:r w:rsidRPr="00C903F8">
        <w:rPr>
          <w:rFonts w:cs="Arial"/>
          <w:szCs w:val="20"/>
          <w:lang w:val="en-US"/>
        </w:rPr>
        <w:t>7.5</w:t>
      </w:r>
      <w:r w:rsidRPr="00C903F8">
        <w:rPr>
          <w:rFonts w:cs="Arial"/>
          <w:szCs w:val="20"/>
          <w:lang w:val="en-US"/>
        </w:rPr>
        <w:tab/>
        <w:t xml:space="preserve">‘Inland ECDIS </w:t>
      </w:r>
      <w:r w:rsidR="00DA53FD" w:rsidRPr="00C903F8">
        <w:rPr>
          <w:rFonts w:cs="Arial"/>
          <w:szCs w:val="20"/>
          <w:lang w:val="en-US"/>
        </w:rPr>
        <w:t>equipment</w:t>
      </w:r>
      <w:r w:rsidRPr="00C903F8">
        <w:rPr>
          <w:rFonts w:cs="Arial"/>
          <w:szCs w:val="20"/>
          <w:lang w:val="en-US"/>
        </w:rPr>
        <w:t>’: an installation for displaying electronic navigational charts for inland waters that can be operated in two different modes: information mode and navigation mode;</w:t>
      </w:r>
    </w:p>
    <w:p w:rsidR="009A1D30" w:rsidRPr="00C903F8" w:rsidRDefault="009A1D30" w:rsidP="00511BF6">
      <w:pPr>
        <w:pStyle w:val="ESch"/>
        <w:rPr>
          <w:rFonts w:cs="Arial"/>
          <w:szCs w:val="20"/>
          <w:lang w:val="en-US"/>
        </w:rPr>
      </w:pPr>
    </w:p>
    <w:p w:rsidR="009A1D30" w:rsidRPr="00C903F8" w:rsidRDefault="009A1D30" w:rsidP="00511BF6">
      <w:pPr>
        <w:pStyle w:val="ESch"/>
        <w:rPr>
          <w:lang w:val="en-US"/>
        </w:rPr>
      </w:pPr>
      <w:r w:rsidRPr="00C903F8">
        <w:rPr>
          <w:rFonts w:cs="Arial"/>
          <w:szCs w:val="20"/>
          <w:lang w:val="en-US"/>
        </w:rPr>
        <w:t>7.6</w:t>
      </w:r>
      <w:r w:rsidRPr="00C903F8">
        <w:rPr>
          <w:rFonts w:cs="Arial"/>
          <w:szCs w:val="20"/>
          <w:lang w:val="en-US"/>
        </w:rPr>
        <w:tab/>
        <w:t>‘information mode’: use of Inland ECDIS for information purposes only without radar overlay;</w:t>
      </w:r>
    </w:p>
    <w:p w:rsidR="009A1D30" w:rsidRPr="00C903F8" w:rsidRDefault="009A1D30" w:rsidP="00511BF6">
      <w:pPr>
        <w:pStyle w:val="ESch"/>
        <w:rPr>
          <w:rFonts w:cs="Arial"/>
          <w:szCs w:val="20"/>
          <w:lang w:val="en-US"/>
        </w:rPr>
      </w:pPr>
    </w:p>
    <w:p w:rsidR="009A1D30" w:rsidRPr="00C903F8" w:rsidRDefault="009A1D30" w:rsidP="00511BF6">
      <w:pPr>
        <w:pStyle w:val="ESch"/>
        <w:rPr>
          <w:rFonts w:cs="Arial"/>
          <w:szCs w:val="20"/>
          <w:lang w:val="en-US"/>
        </w:rPr>
      </w:pPr>
      <w:r w:rsidRPr="00C903F8">
        <w:rPr>
          <w:rFonts w:cs="Arial"/>
          <w:szCs w:val="20"/>
          <w:lang w:val="en-US"/>
        </w:rPr>
        <w:t>7.7</w:t>
      </w:r>
      <w:r w:rsidRPr="00C903F8">
        <w:rPr>
          <w:rFonts w:cs="Arial"/>
          <w:szCs w:val="20"/>
          <w:lang w:val="en-US"/>
        </w:rPr>
        <w:tab/>
        <w:t>‘navigation mode’: use of Inland ECDIS with radar overlay for navigating a craft;</w:t>
      </w:r>
    </w:p>
    <w:p w:rsidR="009A1D30" w:rsidRPr="00C903F8" w:rsidRDefault="009A1D30" w:rsidP="00511BF6">
      <w:pPr>
        <w:pStyle w:val="ESch"/>
        <w:rPr>
          <w:rFonts w:cs="Arial"/>
          <w:szCs w:val="20"/>
          <w:lang w:val="en-US"/>
        </w:rPr>
      </w:pPr>
    </w:p>
    <w:p w:rsidR="009A1D30" w:rsidRPr="00C903F8" w:rsidRDefault="009A1D30" w:rsidP="003B0440">
      <w:pPr>
        <w:pStyle w:val="ESch"/>
        <w:rPr>
          <w:color w:val="000000"/>
          <w:lang w:val="en-US"/>
        </w:rPr>
      </w:pPr>
      <w:r w:rsidRPr="00C903F8">
        <w:rPr>
          <w:lang w:val="en-US"/>
        </w:rPr>
        <w:t>7.8</w:t>
      </w:r>
      <w:r w:rsidRPr="00C903F8">
        <w:rPr>
          <w:lang w:val="en-US"/>
        </w:rPr>
        <w:tab/>
      </w:r>
      <w:r w:rsidR="00881510" w:rsidRPr="00897E5A">
        <w:rPr>
          <w:rFonts w:eastAsia="Calibri"/>
          <w:lang w:val="en-US" w:eastAsia="en-US"/>
        </w:rPr>
        <w:t xml:space="preserve">’Inland AIS equipment’: equipment fitted aboard a vessel and used within the meaning of the current </w:t>
      </w:r>
      <w:r w:rsidR="00881510" w:rsidRPr="003B0440">
        <w:rPr>
          <w:rFonts w:eastAsia="Calibri"/>
          <w:lang w:val="en-US" w:eastAsia="en-US"/>
        </w:rPr>
        <w:t>VTT</w:t>
      </w:r>
      <w:r w:rsidR="00881510" w:rsidRPr="00897E5A">
        <w:rPr>
          <w:rFonts w:eastAsia="Calibri"/>
          <w:lang w:val="en-US" w:eastAsia="en-US"/>
        </w:rPr>
        <w:t xml:space="preserve"> Standard</w:t>
      </w:r>
      <w:r w:rsidR="00881510">
        <w:rPr>
          <w:rFonts w:eastAsia="Calibri"/>
          <w:lang w:val="en-US" w:eastAsia="en-US"/>
        </w:rPr>
        <w:t>;</w:t>
      </w:r>
    </w:p>
    <w:p w:rsidR="009A1D30" w:rsidRPr="00C903F8" w:rsidRDefault="009A1D30" w:rsidP="00511BF6">
      <w:pPr>
        <w:pStyle w:val="ESch"/>
        <w:rPr>
          <w:rFonts w:cs="Arial"/>
          <w:color w:val="000000"/>
          <w:szCs w:val="20"/>
          <w:lang w:val="en-US"/>
        </w:rPr>
      </w:pPr>
    </w:p>
    <w:p w:rsidR="00881510" w:rsidRPr="00881510" w:rsidRDefault="008D24FF" w:rsidP="00881510">
      <w:pPr>
        <w:adjustRightInd w:val="0"/>
        <w:ind w:left="567" w:hanging="567"/>
        <w:rPr>
          <w:rFonts w:ascii="ArialMT" w:eastAsiaTheme="minorEastAsia" w:hAnsi="ArialMT" w:cs="ArialMT"/>
          <w:szCs w:val="20"/>
          <w:lang w:val="en-US"/>
        </w:rPr>
      </w:pPr>
      <w:r>
        <w:rPr>
          <w:rFonts w:ascii="ArialMT" w:hAnsi="ArialMT"/>
          <w:szCs w:val="20"/>
          <w:lang w:val="en-US"/>
        </w:rPr>
        <w:t>7.9</w:t>
      </w:r>
      <w:r w:rsidR="00881510" w:rsidRPr="00881510">
        <w:rPr>
          <w:rFonts w:ascii="ArialMT" w:hAnsi="ArialMT"/>
          <w:szCs w:val="20"/>
          <w:lang w:val="en-US"/>
        </w:rPr>
        <w:tab/>
      </w:r>
      <w:r w:rsidR="00881510" w:rsidRPr="00881510">
        <w:rPr>
          <w:rFonts w:eastAsia="Calibri" w:cs="Arial"/>
          <w:szCs w:val="20"/>
          <w:lang w:val="en-US" w:eastAsia="en-US"/>
        </w:rPr>
        <w:t>’</w:t>
      </w:r>
      <w:r w:rsidR="00881510" w:rsidRPr="00881510">
        <w:rPr>
          <w:rFonts w:ascii="ArialMT" w:hAnsi="ArialMT"/>
          <w:spacing w:val="-2"/>
          <w:szCs w:val="20"/>
          <w:lang w:val="en-US"/>
        </w:rPr>
        <w:t>VTT standard</w:t>
      </w:r>
      <w:r w:rsidR="00881510" w:rsidRPr="00897E5A">
        <w:rPr>
          <w:rFonts w:eastAsia="Calibri" w:cs="Arial"/>
          <w:szCs w:val="20"/>
          <w:lang w:val="en-US" w:eastAsia="en-US"/>
        </w:rPr>
        <w:t>’</w:t>
      </w:r>
      <w:r w:rsidR="00881510" w:rsidRPr="00881510">
        <w:rPr>
          <w:rFonts w:ascii="ArialMT" w:hAnsi="ArialMT"/>
          <w:spacing w:val="-2"/>
          <w:szCs w:val="20"/>
          <w:lang w:val="en-US"/>
        </w:rPr>
        <w:t xml:space="preserve"> the CCNR Standard </w:t>
      </w:r>
      <w:r w:rsidR="00D52D91">
        <w:rPr>
          <w:rFonts w:ascii="ArialMT" w:hAnsi="ArialMT"/>
          <w:spacing w:val="-2"/>
          <w:szCs w:val="20"/>
          <w:lang w:val="en-US"/>
        </w:rPr>
        <w:t>‘</w:t>
      </w:r>
      <w:r w:rsidR="00881510" w:rsidRPr="00881510">
        <w:rPr>
          <w:rFonts w:ascii="ArialMT" w:hAnsi="ArialMT"/>
          <w:spacing w:val="-2"/>
          <w:szCs w:val="20"/>
          <w:lang w:val="en-US"/>
        </w:rPr>
        <w:t>Vessel Tracking and Tracing Standard for Inland Navigation</w:t>
      </w:r>
      <w:r w:rsidR="00D52D91">
        <w:rPr>
          <w:rFonts w:ascii="ArialMT" w:hAnsi="ArialMT"/>
          <w:spacing w:val="-2"/>
          <w:szCs w:val="20"/>
          <w:lang w:val="en-US"/>
        </w:rPr>
        <w:t>’</w:t>
      </w:r>
      <w:r w:rsidR="00881510" w:rsidRPr="00881510">
        <w:rPr>
          <w:rFonts w:ascii="ArialMT" w:hAnsi="ArialMT"/>
          <w:spacing w:val="-2"/>
          <w:szCs w:val="20"/>
          <w:lang w:val="en-US"/>
        </w:rPr>
        <w:t xml:space="preserve"> edition 1.2</w:t>
      </w:r>
      <w:r w:rsidR="00881510" w:rsidRPr="00881510">
        <w:rPr>
          <w:rStyle w:val="FootnoteReference"/>
          <w:rFonts w:ascii="ArialMT" w:eastAsiaTheme="minorEastAsia" w:hAnsi="ArialMT" w:cs="ArialMT"/>
          <w:spacing w:val="-2"/>
          <w:szCs w:val="20"/>
        </w:rPr>
        <w:footnoteReference w:id="2"/>
      </w:r>
      <w:r w:rsidR="00881510" w:rsidRPr="00881510">
        <w:rPr>
          <w:rFonts w:ascii="ArialMT" w:hAnsi="ArialMT"/>
          <w:spacing w:val="-2"/>
          <w:szCs w:val="20"/>
          <w:lang w:val="en-US"/>
        </w:rPr>
        <w:t xml:space="preserve"> or the technical specifications defined by Implementing Regulation (EU) no.</w:t>
      </w:r>
      <w:r w:rsidR="008D2608">
        <w:rPr>
          <w:rFonts w:ascii="ArialMT" w:hAnsi="ArialMT"/>
          <w:spacing w:val="-2"/>
          <w:szCs w:val="20"/>
          <w:lang w:val="en-US"/>
        </w:rPr>
        <w:t> </w:t>
      </w:r>
      <w:r w:rsidR="00881510" w:rsidRPr="00881510">
        <w:rPr>
          <w:rFonts w:ascii="ArialMT" w:hAnsi="ArialMT"/>
          <w:spacing w:val="-2"/>
          <w:szCs w:val="20"/>
          <w:lang w:val="en-US"/>
        </w:rPr>
        <w:t>689/2012</w:t>
      </w:r>
      <w:r w:rsidR="00881510" w:rsidRPr="00881510">
        <w:rPr>
          <w:rStyle w:val="FootnoteReference"/>
          <w:rFonts w:ascii="ArialMT" w:eastAsiaTheme="minorEastAsia" w:hAnsi="ArialMT" w:cs="ArialMT"/>
          <w:spacing w:val="-2"/>
          <w:szCs w:val="20"/>
        </w:rPr>
        <w:footnoteReference w:id="3"/>
      </w:r>
      <w:r w:rsidR="00881510" w:rsidRPr="00881510">
        <w:rPr>
          <w:rFonts w:ascii="ArialMT" w:hAnsi="ArialMT"/>
          <w:spacing w:val="-2"/>
          <w:szCs w:val="20"/>
          <w:lang w:val="en-US"/>
        </w:rPr>
        <w:t>;</w:t>
      </w:r>
    </w:p>
    <w:p w:rsidR="00881510" w:rsidRPr="00881510" w:rsidRDefault="00881510" w:rsidP="00881510">
      <w:pPr>
        <w:adjustRightInd w:val="0"/>
        <w:ind w:left="567" w:hanging="567"/>
        <w:rPr>
          <w:rFonts w:ascii="ArialMT" w:eastAsiaTheme="minorEastAsia" w:hAnsi="ArialMT" w:cs="ArialMT"/>
          <w:szCs w:val="20"/>
          <w:lang w:val="en-US"/>
        </w:rPr>
      </w:pPr>
    </w:p>
    <w:p w:rsidR="00881510" w:rsidRDefault="008D24FF" w:rsidP="00881510">
      <w:pPr>
        <w:adjustRightInd w:val="0"/>
        <w:ind w:left="567" w:hanging="567"/>
        <w:rPr>
          <w:rFonts w:ascii="ArialMT" w:hAnsi="ArialMT"/>
          <w:szCs w:val="20"/>
          <w:lang w:val="en-US"/>
        </w:rPr>
      </w:pPr>
      <w:r>
        <w:rPr>
          <w:rFonts w:ascii="ArialMT" w:hAnsi="ArialMT"/>
          <w:szCs w:val="20"/>
          <w:lang w:val="en-US"/>
        </w:rPr>
        <w:t>7.10</w:t>
      </w:r>
      <w:r w:rsidR="00881510" w:rsidRPr="00881510">
        <w:rPr>
          <w:rFonts w:ascii="ArialMT" w:hAnsi="ArialMT"/>
          <w:szCs w:val="20"/>
          <w:lang w:val="en-US"/>
        </w:rPr>
        <w:tab/>
      </w:r>
      <w:r w:rsidR="00881510" w:rsidRPr="00881510">
        <w:rPr>
          <w:rFonts w:eastAsia="Calibri" w:cs="Arial"/>
          <w:szCs w:val="20"/>
          <w:lang w:val="en-US" w:eastAsia="en-US"/>
        </w:rPr>
        <w:t>’</w:t>
      </w:r>
      <w:r w:rsidR="00881510" w:rsidRPr="00881510">
        <w:rPr>
          <w:rFonts w:ascii="ArialMT" w:hAnsi="ArialMT"/>
          <w:szCs w:val="20"/>
          <w:lang w:val="en-US"/>
        </w:rPr>
        <w:t>Inland ECDIS standard</w:t>
      </w:r>
      <w:r w:rsidR="00881510" w:rsidRPr="00897E5A">
        <w:rPr>
          <w:rFonts w:eastAsia="Calibri" w:cs="Arial"/>
          <w:szCs w:val="20"/>
          <w:lang w:val="en-US" w:eastAsia="en-US"/>
        </w:rPr>
        <w:t>’</w:t>
      </w:r>
      <w:r w:rsidR="00881510" w:rsidRPr="00881510">
        <w:rPr>
          <w:rFonts w:ascii="ArialMT" w:hAnsi="ArialMT"/>
          <w:szCs w:val="20"/>
          <w:lang w:val="en-US"/>
        </w:rPr>
        <w:t xml:space="preserve">: the CCNR Standard </w:t>
      </w:r>
      <w:r w:rsidR="00D52D91">
        <w:rPr>
          <w:rFonts w:ascii="ArialMT" w:hAnsi="ArialMT"/>
          <w:szCs w:val="20"/>
          <w:lang w:val="en-US"/>
        </w:rPr>
        <w:t>‘</w:t>
      </w:r>
      <w:r w:rsidR="00881510" w:rsidRPr="00881510">
        <w:rPr>
          <w:rFonts w:ascii="ArialMT" w:hAnsi="ArialMT"/>
          <w:szCs w:val="20"/>
          <w:lang w:val="en-US"/>
        </w:rPr>
        <w:t>Electronic Chart Display and Information System for Inland Navigation</w:t>
      </w:r>
      <w:r w:rsidR="00D52D91">
        <w:rPr>
          <w:rFonts w:ascii="ArialMT" w:hAnsi="ArialMT"/>
          <w:szCs w:val="20"/>
          <w:lang w:val="en-US"/>
        </w:rPr>
        <w:t>’</w:t>
      </w:r>
      <w:r w:rsidR="00881510" w:rsidRPr="00881510">
        <w:rPr>
          <w:rFonts w:ascii="ArialMT" w:hAnsi="ArialMT"/>
          <w:szCs w:val="20"/>
          <w:lang w:val="en-US"/>
        </w:rPr>
        <w:t xml:space="preserve"> edition 2.3</w:t>
      </w:r>
      <w:r w:rsidR="00881510" w:rsidRPr="00881510">
        <w:rPr>
          <w:rStyle w:val="FootnoteReference"/>
          <w:rFonts w:ascii="ArialMT" w:eastAsiaTheme="minorEastAsia" w:hAnsi="ArialMT" w:cs="ArialMT"/>
          <w:szCs w:val="20"/>
        </w:rPr>
        <w:footnoteReference w:id="4"/>
      </w:r>
      <w:r w:rsidR="00881510" w:rsidRPr="00881510">
        <w:rPr>
          <w:rFonts w:ascii="ArialMT" w:hAnsi="ArialMT"/>
          <w:szCs w:val="20"/>
          <w:lang w:val="en-US"/>
        </w:rPr>
        <w:t xml:space="preserve"> or the technical specifications defined by Implementing Regulation (EU) no. 909/2013</w:t>
      </w:r>
      <w:r w:rsidR="00881510" w:rsidRPr="00881510">
        <w:rPr>
          <w:rStyle w:val="FootnoteReference"/>
          <w:rFonts w:ascii="ArialMT" w:eastAsiaTheme="minorEastAsia" w:hAnsi="ArialMT" w:cs="ArialMT"/>
          <w:szCs w:val="20"/>
        </w:rPr>
        <w:footnoteReference w:id="5"/>
      </w:r>
      <w:r w:rsidR="00881510" w:rsidRPr="00881510">
        <w:rPr>
          <w:rFonts w:ascii="ArialMT" w:hAnsi="ArialMT"/>
          <w:szCs w:val="20"/>
          <w:lang w:val="en-US"/>
        </w:rPr>
        <w:t>;</w:t>
      </w:r>
    </w:p>
    <w:p w:rsidR="00FA4437" w:rsidRDefault="00FA4437" w:rsidP="00881510">
      <w:pPr>
        <w:adjustRightInd w:val="0"/>
        <w:ind w:left="567" w:hanging="567"/>
        <w:rPr>
          <w:rFonts w:ascii="ArialMT" w:hAnsi="ArialMT"/>
          <w:szCs w:val="20"/>
          <w:lang w:val="en-US"/>
        </w:rPr>
      </w:pPr>
    </w:p>
    <w:p w:rsidR="00FA4437" w:rsidRPr="0098002E" w:rsidRDefault="00FA4437" w:rsidP="003B0440">
      <w:pPr>
        <w:pStyle w:val="ESch"/>
        <w:rPr>
          <w:lang w:val="en-US"/>
        </w:rPr>
      </w:pPr>
      <w:r w:rsidRPr="003B0440">
        <w:rPr>
          <w:lang w:val="en-US"/>
        </w:rPr>
        <w:t>7.11</w:t>
      </w:r>
      <w:r w:rsidRPr="003B0440">
        <w:rPr>
          <w:lang w:val="en-US"/>
        </w:rPr>
        <w:tab/>
      </w:r>
      <w:r w:rsidRPr="003B0440">
        <w:rPr>
          <w:rFonts w:eastAsia="Calibri" w:cs="Arial"/>
          <w:lang w:val="en-US" w:eastAsia="en-US"/>
        </w:rPr>
        <w:t>’</w:t>
      </w:r>
      <w:r w:rsidRPr="003B0440">
        <w:rPr>
          <w:lang w:val="en-US"/>
        </w:rPr>
        <w:t>Test Standard for Inland AIS</w:t>
      </w:r>
      <w:r w:rsidRPr="003B0440">
        <w:rPr>
          <w:rFonts w:eastAsia="Calibri" w:cs="Arial"/>
          <w:lang w:val="en-US" w:eastAsia="en-US"/>
        </w:rPr>
        <w:t>’</w:t>
      </w:r>
      <w:r w:rsidRPr="003B0440">
        <w:rPr>
          <w:lang w:val="en-US"/>
        </w:rPr>
        <w:t xml:space="preserve">: the </w:t>
      </w:r>
      <w:r w:rsidR="00B722AB">
        <w:rPr>
          <w:lang w:val="en-US"/>
        </w:rPr>
        <w:t>CESNI</w:t>
      </w:r>
      <w:r w:rsidRPr="003B0440">
        <w:rPr>
          <w:lang w:val="en-US"/>
        </w:rPr>
        <w:t xml:space="preserve"> Inland AIS Test Standard edition 2.0</w:t>
      </w:r>
      <w:r w:rsidRPr="003B0440">
        <w:rPr>
          <w:vertAlign w:val="superscript"/>
          <w:lang w:val="en-US"/>
        </w:rPr>
        <w:footnoteReference w:id="6"/>
      </w:r>
      <w:r w:rsidR="002506E7">
        <w:rPr>
          <w:lang w:val="en-US"/>
        </w:rPr>
        <w:t>;</w:t>
      </w:r>
    </w:p>
    <w:p w:rsidR="008D24FF" w:rsidRDefault="008D24FF" w:rsidP="00511BF6">
      <w:pPr>
        <w:pStyle w:val="ESch"/>
        <w:rPr>
          <w:lang w:val="en-US"/>
        </w:rPr>
      </w:pPr>
    </w:p>
    <w:p w:rsidR="003971A3" w:rsidRPr="00B722AB" w:rsidRDefault="003971A3" w:rsidP="00511BF6">
      <w:pPr>
        <w:pStyle w:val="ESch"/>
        <w:rPr>
          <w:lang w:val="en-US"/>
        </w:rPr>
      </w:pPr>
    </w:p>
    <w:p w:rsidR="009A1D30" w:rsidRPr="00C903F8" w:rsidRDefault="009A1D30" w:rsidP="00511BF6">
      <w:pPr>
        <w:pStyle w:val="ESch"/>
        <w:rPr>
          <w:rFonts w:cs="Arial"/>
          <w:b/>
          <w:color w:val="000000"/>
          <w:szCs w:val="20"/>
          <w:lang w:val="en-US"/>
        </w:rPr>
      </w:pPr>
      <w:r w:rsidRPr="00C903F8">
        <w:rPr>
          <w:rFonts w:cs="Arial"/>
          <w:b/>
          <w:color w:val="000000"/>
          <w:szCs w:val="20"/>
          <w:lang w:val="en-US"/>
        </w:rPr>
        <w:t>8.</w:t>
      </w:r>
      <w:r w:rsidRPr="00C903F8">
        <w:rPr>
          <w:rFonts w:cs="Arial"/>
          <w:b/>
          <w:color w:val="000000"/>
          <w:szCs w:val="20"/>
          <w:lang w:val="en-US"/>
        </w:rPr>
        <w:tab/>
        <w:t>Engines</w:t>
      </w:r>
    </w:p>
    <w:p w:rsidR="00E61447" w:rsidRPr="00C903F8" w:rsidRDefault="00E61447" w:rsidP="00511BF6">
      <w:pPr>
        <w:pStyle w:val="ESch"/>
        <w:rPr>
          <w:rFonts w:cs="Arial"/>
          <w:color w:val="000000"/>
          <w:szCs w:val="20"/>
          <w:lang w:val="en-US"/>
        </w:rPr>
      </w:pPr>
    </w:p>
    <w:p w:rsidR="0087027F" w:rsidRPr="00C903F8" w:rsidRDefault="0087027F" w:rsidP="00AE3F86">
      <w:pPr>
        <w:pStyle w:val="ESch"/>
        <w:ind w:firstLine="0"/>
        <w:rPr>
          <w:color w:val="000000"/>
          <w:lang w:val="en-US"/>
        </w:rPr>
      </w:pPr>
      <w:r w:rsidRPr="00C903F8">
        <w:rPr>
          <w:rFonts w:cs="Arial"/>
          <w:color w:val="000000"/>
          <w:szCs w:val="20"/>
          <w:lang w:val="en-US"/>
        </w:rPr>
        <w:t>(left void)</w:t>
      </w:r>
      <w:r w:rsidR="00AA6660">
        <w:rPr>
          <w:rFonts w:cs="Arial"/>
          <w:color w:val="000000"/>
          <w:szCs w:val="20"/>
          <w:lang w:val="en-US"/>
        </w:rPr>
        <w:t>;</w:t>
      </w:r>
    </w:p>
    <w:p w:rsidR="009A1D30" w:rsidRPr="00C903F8" w:rsidRDefault="009A1D30" w:rsidP="00511BF6">
      <w:pPr>
        <w:pStyle w:val="ESch"/>
        <w:rPr>
          <w:lang w:val="en-US"/>
        </w:rPr>
      </w:pPr>
    </w:p>
    <w:p w:rsidR="006971A7" w:rsidRPr="00C903F8" w:rsidRDefault="006971A7" w:rsidP="00511BF6">
      <w:pPr>
        <w:pStyle w:val="ESch"/>
        <w:rPr>
          <w:lang w:val="en-US"/>
        </w:rPr>
      </w:pPr>
    </w:p>
    <w:p w:rsidR="008D2FD5" w:rsidRPr="00C903F8" w:rsidRDefault="008D2FD5" w:rsidP="00511BF6">
      <w:pPr>
        <w:pStyle w:val="ESch"/>
        <w:rPr>
          <w:b/>
          <w:lang w:val="en-US"/>
        </w:rPr>
      </w:pPr>
      <w:r w:rsidRPr="00C903F8">
        <w:rPr>
          <w:b/>
          <w:lang w:val="en-US"/>
        </w:rPr>
        <w:t>9.</w:t>
      </w:r>
      <w:r w:rsidRPr="00C903F8">
        <w:rPr>
          <w:b/>
          <w:lang w:val="en-US"/>
        </w:rPr>
        <w:tab/>
        <w:t>On-board sewage treatment plants</w:t>
      </w:r>
    </w:p>
    <w:p w:rsidR="0087027F" w:rsidRPr="00C903F8" w:rsidRDefault="0087027F" w:rsidP="008D24FF">
      <w:pPr>
        <w:pStyle w:val="ESch"/>
        <w:rPr>
          <w:lang w:val="en-US"/>
        </w:rPr>
      </w:pPr>
    </w:p>
    <w:p w:rsidR="0087027F" w:rsidRPr="00C903F8" w:rsidRDefault="0087027F" w:rsidP="00AE3F86">
      <w:pPr>
        <w:pStyle w:val="ESch"/>
        <w:ind w:firstLine="0"/>
        <w:rPr>
          <w:rFonts w:cs="Arial"/>
          <w:color w:val="000000"/>
          <w:szCs w:val="20"/>
          <w:lang w:val="en-US"/>
        </w:rPr>
      </w:pPr>
      <w:r w:rsidRPr="00C903F8">
        <w:rPr>
          <w:rFonts w:cs="Arial"/>
          <w:color w:val="000000"/>
          <w:szCs w:val="20"/>
          <w:lang w:val="en-US"/>
        </w:rPr>
        <w:t>(left void)</w:t>
      </w:r>
      <w:r w:rsidR="00AA6660">
        <w:rPr>
          <w:rFonts w:cs="Arial"/>
          <w:color w:val="000000"/>
          <w:szCs w:val="20"/>
          <w:lang w:val="en-US"/>
        </w:rPr>
        <w:t>;</w:t>
      </w:r>
    </w:p>
    <w:p w:rsidR="00197F7A" w:rsidRPr="00C903F8" w:rsidRDefault="00197F7A" w:rsidP="00511BF6">
      <w:pPr>
        <w:pStyle w:val="ESch"/>
        <w:rPr>
          <w:lang w:val="en-US"/>
        </w:rPr>
      </w:pPr>
    </w:p>
    <w:p w:rsidR="008D24FF" w:rsidRDefault="008D24FF">
      <w:pPr>
        <w:autoSpaceDE/>
        <w:autoSpaceDN/>
        <w:ind w:left="0" w:firstLine="0"/>
        <w:jc w:val="left"/>
        <w:rPr>
          <w:lang w:val="en-US"/>
        </w:rPr>
      </w:pPr>
      <w:r>
        <w:rPr>
          <w:lang w:val="en-US"/>
        </w:rPr>
        <w:br w:type="page"/>
      </w:r>
    </w:p>
    <w:p w:rsidR="006971A7" w:rsidRPr="00C903F8" w:rsidRDefault="006971A7" w:rsidP="00511BF6">
      <w:pPr>
        <w:pStyle w:val="ESch"/>
        <w:rPr>
          <w:lang w:val="en-US"/>
        </w:rPr>
      </w:pPr>
    </w:p>
    <w:p w:rsidR="00E61447" w:rsidRPr="00C903F8" w:rsidRDefault="00E61447" w:rsidP="00E61447">
      <w:pPr>
        <w:pStyle w:val="ESch"/>
        <w:rPr>
          <w:lang w:val="en-US"/>
        </w:rPr>
      </w:pPr>
      <w:r w:rsidRPr="00C903F8">
        <w:rPr>
          <w:rFonts w:cs="Arial"/>
          <w:b/>
          <w:szCs w:val="20"/>
          <w:lang w:val="en-US"/>
        </w:rPr>
        <w:t>10.</w:t>
      </w:r>
      <w:r w:rsidRPr="00C903F8">
        <w:rPr>
          <w:rFonts w:cs="Arial"/>
          <w:b/>
          <w:szCs w:val="20"/>
          <w:lang w:val="en-US"/>
        </w:rPr>
        <w:tab/>
        <w:t>Classification societies, experts, and competent persons</w:t>
      </w:r>
    </w:p>
    <w:p w:rsidR="00E61447" w:rsidRPr="00C903F8" w:rsidRDefault="00E61447" w:rsidP="00E61447">
      <w:pPr>
        <w:pStyle w:val="ESch"/>
        <w:rPr>
          <w:rFonts w:cs="Arial"/>
          <w:szCs w:val="20"/>
          <w:lang w:val="en-US"/>
        </w:rPr>
      </w:pPr>
    </w:p>
    <w:p w:rsidR="00E61447" w:rsidRPr="00C903F8" w:rsidRDefault="00E61447" w:rsidP="00E61447">
      <w:pPr>
        <w:pStyle w:val="ESch"/>
        <w:rPr>
          <w:lang w:val="en-US"/>
        </w:rPr>
      </w:pPr>
      <w:r w:rsidRPr="00C903F8">
        <w:rPr>
          <w:rFonts w:cs="Arial"/>
          <w:szCs w:val="20"/>
          <w:lang w:val="en-US"/>
        </w:rPr>
        <w:t>10.1</w:t>
      </w:r>
      <w:r w:rsidRPr="00C903F8">
        <w:rPr>
          <w:rFonts w:cs="Arial"/>
          <w:szCs w:val="20"/>
          <w:lang w:val="en-US"/>
        </w:rPr>
        <w:tab/>
        <w:t>'</w:t>
      </w:r>
      <w:r w:rsidR="00C34F3E" w:rsidRPr="00C903F8">
        <w:rPr>
          <w:rFonts w:cs="Arial"/>
          <w:szCs w:val="20"/>
          <w:lang w:val="en-US"/>
        </w:rPr>
        <w:t>recogni</w:t>
      </w:r>
      <w:r w:rsidR="004E1AD0" w:rsidRPr="00C903F8">
        <w:rPr>
          <w:rFonts w:cs="Arial"/>
          <w:szCs w:val="20"/>
          <w:lang w:val="en-US"/>
        </w:rPr>
        <w:t>s</w:t>
      </w:r>
      <w:r w:rsidR="00C34F3E" w:rsidRPr="00C903F8">
        <w:rPr>
          <w:rFonts w:cs="Arial"/>
          <w:szCs w:val="20"/>
          <w:lang w:val="en-US"/>
        </w:rPr>
        <w:t xml:space="preserve">ed </w:t>
      </w:r>
      <w:r w:rsidRPr="00C903F8">
        <w:rPr>
          <w:rFonts w:cs="Arial"/>
          <w:szCs w:val="20"/>
          <w:lang w:val="en-US"/>
        </w:rPr>
        <w:t xml:space="preserve">classification society': a classification society that has been </w:t>
      </w:r>
      <w:r w:rsidR="004E1AD0" w:rsidRPr="00C903F8">
        <w:rPr>
          <w:rFonts w:cs="Arial"/>
          <w:szCs w:val="20"/>
          <w:lang w:val="en-US"/>
        </w:rPr>
        <w:t>recognis</w:t>
      </w:r>
      <w:r w:rsidR="00C34F3E" w:rsidRPr="00C903F8">
        <w:rPr>
          <w:rFonts w:cs="Arial"/>
          <w:szCs w:val="20"/>
          <w:lang w:val="en-US"/>
        </w:rPr>
        <w:t>ed</w:t>
      </w:r>
      <w:r w:rsidRPr="00C903F8">
        <w:rPr>
          <w:rFonts w:cs="Arial"/>
          <w:szCs w:val="20"/>
          <w:lang w:val="en-US"/>
        </w:rPr>
        <w:t xml:space="preserve"> in accordance with CCNR or EU procedures respectively.</w:t>
      </w:r>
    </w:p>
    <w:p w:rsidR="00E61447" w:rsidRPr="00C903F8" w:rsidRDefault="00E61447" w:rsidP="00E61447">
      <w:pPr>
        <w:pStyle w:val="ESch"/>
        <w:rPr>
          <w:rFonts w:cs="Arial"/>
          <w:szCs w:val="20"/>
          <w:lang w:val="en-US"/>
        </w:rPr>
      </w:pPr>
    </w:p>
    <w:p w:rsidR="00E61447" w:rsidRPr="00C903F8" w:rsidRDefault="00E61447" w:rsidP="00E61447">
      <w:pPr>
        <w:pStyle w:val="ESch"/>
        <w:rPr>
          <w:lang w:val="en-US"/>
        </w:rPr>
      </w:pPr>
      <w:r w:rsidRPr="00C903F8">
        <w:rPr>
          <w:rFonts w:cs="Arial"/>
          <w:szCs w:val="20"/>
          <w:lang w:val="en-US"/>
        </w:rPr>
        <w:t>10.2</w:t>
      </w:r>
      <w:r w:rsidRPr="00C903F8">
        <w:rPr>
          <w:rFonts w:cs="Arial"/>
          <w:szCs w:val="20"/>
          <w:lang w:val="en-US"/>
        </w:rPr>
        <w:tab/>
        <w:t>‘highest class’: the highest class is allocated to a vessel where</w:t>
      </w:r>
    </w:p>
    <w:p w:rsidR="00E61447" w:rsidRPr="00C903F8" w:rsidRDefault="00E61447" w:rsidP="00E61447">
      <w:pPr>
        <w:pStyle w:val="ESlet"/>
        <w:rPr>
          <w:lang w:val="en-US"/>
        </w:rPr>
      </w:pPr>
      <w:r w:rsidRPr="00C903F8">
        <w:rPr>
          <w:rFonts w:cs="Arial"/>
          <w:szCs w:val="20"/>
          <w:lang w:val="en-US"/>
        </w:rPr>
        <w:t>-</w:t>
      </w:r>
      <w:r w:rsidRPr="00C903F8">
        <w:rPr>
          <w:rFonts w:cs="Arial"/>
          <w:szCs w:val="20"/>
          <w:lang w:val="en-US"/>
        </w:rPr>
        <w:tab/>
        <w:t xml:space="preserve">the hull, including the steering and manoeuvring apparatus as well as the anchors and anchor chains, comply with the rules established by a </w:t>
      </w:r>
      <w:r w:rsidR="004E1AD0" w:rsidRPr="00C903F8">
        <w:rPr>
          <w:rFonts w:cs="Arial"/>
          <w:szCs w:val="20"/>
          <w:lang w:val="en-US"/>
        </w:rPr>
        <w:t>recognised</w:t>
      </w:r>
      <w:r w:rsidRPr="00C903F8">
        <w:rPr>
          <w:rFonts w:cs="Arial"/>
          <w:szCs w:val="20"/>
          <w:lang w:val="en-US"/>
        </w:rPr>
        <w:t xml:space="preserve"> classification society and has been built and tested under its supervision.</w:t>
      </w:r>
    </w:p>
    <w:p w:rsidR="00E61447" w:rsidRPr="00C903F8" w:rsidRDefault="00E61447" w:rsidP="00E61447">
      <w:pPr>
        <w:pStyle w:val="ESlet"/>
        <w:rPr>
          <w:lang w:val="en-US"/>
        </w:rPr>
      </w:pPr>
      <w:r w:rsidRPr="00C903F8">
        <w:rPr>
          <w:rFonts w:cs="Arial"/>
          <w:szCs w:val="20"/>
          <w:lang w:val="en-US"/>
        </w:rPr>
        <w:t>-</w:t>
      </w:r>
      <w:r w:rsidRPr="00C903F8">
        <w:rPr>
          <w:rFonts w:cs="Arial"/>
          <w:szCs w:val="20"/>
          <w:lang w:val="en-US"/>
        </w:rPr>
        <w:tab/>
        <w:t>the propulsion machinery as well as the auxiliary engines, the mechanical and electrical equipment, required for shipboard services, have been manufactured and tested in accordance with the classification society's rules and have been installed under its supervision; the unit as a whole will have successfully undergone post installation testing.</w:t>
      </w:r>
    </w:p>
    <w:p w:rsidR="00E61447" w:rsidRDefault="00E61447" w:rsidP="00E61447">
      <w:pPr>
        <w:pStyle w:val="ESch"/>
        <w:rPr>
          <w:lang w:val="en-US"/>
        </w:rPr>
      </w:pPr>
    </w:p>
    <w:p w:rsidR="00E61447" w:rsidRPr="00C903F8" w:rsidRDefault="00E61447" w:rsidP="00E61447">
      <w:pPr>
        <w:pStyle w:val="ESch"/>
        <w:rPr>
          <w:rFonts w:cs="Arial"/>
          <w:szCs w:val="20"/>
          <w:lang w:val="en-US"/>
        </w:rPr>
      </w:pPr>
      <w:r w:rsidRPr="00C903F8">
        <w:rPr>
          <w:rFonts w:cs="Arial"/>
          <w:szCs w:val="20"/>
          <w:lang w:val="en-US"/>
        </w:rPr>
        <w:t>10.3</w:t>
      </w:r>
      <w:r w:rsidRPr="00C903F8">
        <w:rPr>
          <w:rFonts w:cs="Arial"/>
          <w:szCs w:val="20"/>
          <w:lang w:val="en-US"/>
        </w:rPr>
        <w:tab/>
        <w:t xml:space="preserve">'expert': a person recognised by the competent authority or by an authorised institution, having specialist knowledge in the relevant area on the basis of his or her professional training and experience, fully conversant with the relevant rules and regulations and the generally accepted technical rules (e.g. EN </w:t>
      </w:r>
      <w:r w:rsidR="00837508" w:rsidRPr="00C903F8">
        <w:rPr>
          <w:rFonts w:cs="Arial"/>
          <w:szCs w:val="20"/>
          <w:lang w:val="en-US"/>
        </w:rPr>
        <w:t>S</w:t>
      </w:r>
      <w:r w:rsidRPr="00C903F8">
        <w:rPr>
          <w:rFonts w:cs="Arial"/>
          <w:szCs w:val="20"/>
          <w:lang w:val="en-US"/>
        </w:rPr>
        <w:t>tandards, relevant legislation, technical rules), and able to examine and give an expert assessment of the relevant systems and equipment;</w:t>
      </w:r>
    </w:p>
    <w:p w:rsidR="00E61447" w:rsidRPr="00C903F8" w:rsidRDefault="00E61447" w:rsidP="00E61447">
      <w:pPr>
        <w:pStyle w:val="ESch"/>
        <w:rPr>
          <w:lang w:val="en-US"/>
        </w:rPr>
      </w:pPr>
    </w:p>
    <w:p w:rsidR="00E61447" w:rsidRPr="00C903F8" w:rsidRDefault="00E61447" w:rsidP="00E61447">
      <w:pPr>
        <w:pStyle w:val="ESch"/>
        <w:rPr>
          <w:lang w:val="en-US"/>
        </w:rPr>
      </w:pPr>
      <w:r w:rsidRPr="00C903F8">
        <w:rPr>
          <w:rFonts w:cs="Arial"/>
          <w:szCs w:val="20"/>
          <w:lang w:val="en-US"/>
        </w:rPr>
        <w:t>10.4</w:t>
      </w:r>
      <w:r w:rsidRPr="00C903F8">
        <w:rPr>
          <w:rFonts w:cs="Arial"/>
          <w:szCs w:val="20"/>
          <w:lang w:val="en-US"/>
        </w:rPr>
        <w:tab/>
        <w:t xml:space="preserve">'competent person': a person who has acquired sufficient knowledge in the relevant area on the basis of his or her professional training and experience and is sufficiently conversant with the relevant rules and regulations and the generally accepted technical rules (such as EN </w:t>
      </w:r>
      <w:r w:rsidR="00837508" w:rsidRPr="00C903F8">
        <w:rPr>
          <w:rFonts w:cs="Arial"/>
          <w:szCs w:val="20"/>
          <w:lang w:val="en-US"/>
        </w:rPr>
        <w:t>S</w:t>
      </w:r>
      <w:r w:rsidRPr="00C903F8">
        <w:rPr>
          <w:rFonts w:cs="Arial"/>
          <w:szCs w:val="20"/>
          <w:lang w:val="en-US"/>
        </w:rPr>
        <w:t>tandards, relevant legislation, technical rules) to be able to assess the operational safety of the relevant systems and equipment;</w:t>
      </w:r>
    </w:p>
    <w:p w:rsidR="00E61447" w:rsidRPr="00E87BD8" w:rsidRDefault="00E61447" w:rsidP="00080F6D">
      <w:pPr>
        <w:pStyle w:val="ESch"/>
        <w:rPr>
          <w:lang w:val="en-US"/>
        </w:rPr>
      </w:pPr>
    </w:p>
    <w:p w:rsidR="00BF3595" w:rsidRPr="00E87BD8" w:rsidRDefault="00BF3595" w:rsidP="00080F6D">
      <w:pPr>
        <w:pStyle w:val="ESch"/>
        <w:rPr>
          <w:lang w:val="en-US"/>
        </w:rPr>
      </w:pPr>
    </w:p>
    <w:p w:rsidR="00BF3595" w:rsidRPr="00680CCD" w:rsidRDefault="00BF3595" w:rsidP="00BF3595">
      <w:pPr>
        <w:pStyle w:val="ESch"/>
        <w:rPr>
          <w:b/>
          <w:bCs/>
          <w:iCs/>
          <w:lang w:val="en-GB"/>
        </w:rPr>
      </w:pPr>
      <w:r w:rsidRPr="00680CCD">
        <w:rPr>
          <w:b/>
          <w:bCs/>
          <w:iCs/>
          <w:lang w:val="en-GB"/>
        </w:rPr>
        <w:t>11.</w:t>
      </w:r>
      <w:r w:rsidRPr="00680CCD">
        <w:rPr>
          <w:b/>
          <w:bCs/>
          <w:iCs/>
          <w:lang w:val="en-GB"/>
        </w:rPr>
        <w:tab/>
        <w:t>Electrical equipment, installations and propulsion systems</w:t>
      </w:r>
    </w:p>
    <w:p w:rsidR="00BF3595" w:rsidRPr="00820CCC" w:rsidRDefault="00BF3595" w:rsidP="00080F6D">
      <w:pPr>
        <w:pStyle w:val="ESch"/>
        <w:rPr>
          <w:lang w:val="en-GB"/>
        </w:rPr>
      </w:pPr>
    </w:p>
    <w:p w:rsidR="00BF3595" w:rsidRPr="008F6ABB" w:rsidRDefault="00BF3595" w:rsidP="00BF3595">
      <w:pPr>
        <w:pStyle w:val="ESch"/>
        <w:rPr>
          <w:lang w:val="en-GB"/>
        </w:rPr>
      </w:pPr>
      <w:r>
        <w:rPr>
          <w:lang w:val="en-GB"/>
        </w:rPr>
        <w:t>11.1</w:t>
      </w:r>
      <w:r w:rsidRPr="00C7014E">
        <w:rPr>
          <w:lang w:val="en-GB"/>
        </w:rPr>
        <w:tab/>
      </w:r>
      <w:r w:rsidR="00D52D91">
        <w:rPr>
          <w:lang w:val="en-GB"/>
        </w:rPr>
        <w:t>‘</w:t>
      </w:r>
      <w:r w:rsidRPr="00C7014E">
        <w:rPr>
          <w:lang w:val="en-GB"/>
        </w:rPr>
        <w:t>power source</w:t>
      </w:r>
      <w:r w:rsidR="00D52D91">
        <w:rPr>
          <w:lang w:val="en-GB"/>
        </w:rPr>
        <w:t>’</w:t>
      </w:r>
      <w:r w:rsidRPr="00C7014E">
        <w:rPr>
          <w:lang w:val="en-GB"/>
        </w:rPr>
        <w:t xml:space="preserve"> an energy carrier or energy converter used for producing useful energy. For rudder machinery propulsion system</w:t>
      </w:r>
      <w:r w:rsidR="009209C3">
        <w:rPr>
          <w:lang w:val="en-GB"/>
        </w:rPr>
        <w:t>’</w:t>
      </w:r>
      <w:r w:rsidRPr="00C7014E">
        <w:rPr>
          <w:lang w:val="en-GB"/>
        </w:rPr>
        <w:t>s the power supply to the steering drive unit and the steering apparatus produced by an on-board network, a battery, an accumulator or an internal combustion engine;</w:t>
      </w:r>
    </w:p>
    <w:p w:rsidR="00BF3595" w:rsidRPr="008F6ABB" w:rsidRDefault="00BF3595" w:rsidP="00BF3595">
      <w:pPr>
        <w:pStyle w:val="ESch"/>
        <w:rPr>
          <w:lang w:val="en-GB"/>
        </w:rPr>
      </w:pPr>
    </w:p>
    <w:p w:rsidR="00BF3595" w:rsidRPr="008F6ABB" w:rsidRDefault="00BF3595" w:rsidP="00BF3595">
      <w:pPr>
        <w:pStyle w:val="ESch"/>
        <w:rPr>
          <w:lang w:val="en-GB"/>
        </w:rPr>
      </w:pPr>
      <w:r>
        <w:rPr>
          <w:lang w:val="en-GB"/>
        </w:rPr>
        <w:t>11.2</w:t>
      </w:r>
      <w:r w:rsidRPr="008F6ABB">
        <w:rPr>
          <w:lang w:val="en-GB"/>
        </w:rPr>
        <w:tab/>
      </w:r>
      <w:r w:rsidR="00D52D91">
        <w:rPr>
          <w:lang w:val="en-GB"/>
        </w:rPr>
        <w:t>‘</w:t>
      </w:r>
      <w:r w:rsidRPr="008F6ABB">
        <w:rPr>
          <w:lang w:val="en-GB"/>
        </w:rPr>
        <w:t>electric</w:t>
      </w:r>
      <w:r w:rsidR="00F87682">
        <w:rPr>
          <w:lang w:val="en-GB"/>
        </w:rPr>
        <w:t>al</w:t>
      </w:r>
      <w:r w:rsidRPr="008F6ABB">
        <w:rPr>
          <w:lang w:val="en-GB"/>
        </w:rPr>
        <w:t xml:space="preserve"> power source</w:t>
      </w:r>
      <w:r w:rsidR="00D52D91">
        <w:rPr>
          <w:lang w:val="en-GB"/>
        </w:rPr>
        <w:t>’</w:t>
      </w:r>
      <w:r w:rsidRPr="008F6ABB">
        <w:rPr>
          <w:lang w:val="en-GB"/>
        </w:rPr>
        <w:t xml:space="preserve"> an energy source from which electric power is obtained;</w:t>
      </w:r>
    </w:p>
    <w:p w:rsidR="00BF3595" w:rsidRPr="008F6ABB" w:rsidRDefault="00BF3595" w:rsidP="00BF3595">
      <w:pPr>
        <w:pStyle w:val="ESch"/>
        <w:rPr>
          <w:lang w:val="en-GB"/>
        </w:rPr>
      </w:pPr>
    </w:p>
    <w:p w:rsidR="00BF3595" w:rsidRPr="008F6ABB" w:rsidRDefault="00BF3595" w:rsidP="00BF3595">
      <w:pPr>
        <w:pStyle w:val="ESch"/>
        <w:rPr>
          <w:lang w:val="en-GB"/>
        </w:rPr>
      </w:pPr>
      <w:r>
        <w:rPr>
          <w:lang w:val="en-GB"/>
        </w:rPr>
        <w:t>11.3</w:t>
      </w:r>
      <w:r w:rsidR="00D52D91">
        <w:rPr>
          <w:lang w:val="en-GB"/>
        </w:rPr>
        <w:tab/>
        <w:t>‘</w:t>
      </w:r>
      <w:r w:rsidRPr="008F6ABB">
        <w:rPr>
          <w:lang w:val="en-GB"/>
        </w:rPr>
        <w:t>accumulator</w:t>
      </w:r>
      <w:r w:rsidR="00D52D91">
        <w:rPr>
          <w:lang w:val="en-GB"/>
        </w:rPr>
        <w:t>’</w:t>
      </w:r>
      <w:r w:rsidRPr="008F6ABB">
        <w:rPr>
          <w:lang w:val="en-GB"/>
        </w:rPr>
        <w:t xml:space="preserve"> a rechargeable storage device for electrical energy on an electro-chemical basis;</w:t>
      </w:r>
    </w:p>
    <w:p w:rsidR="00BF3595" w:rsidRPr="008F6ABB" w:rsidRDefault="00BF3595" w:rsidP="00BF3595">
      <w:pPr>
        <w:pStyle w:val="ESch"/>
        <w:rPr>
          <w:lang w:val="en-GB"/>
        </w:rPr>
      </w:pPr>
    </w:p>
    <w:p w:rsidR="00BF3595" w:rsidRPr="008F6ABB" w:rsidRDefault="00BF3595" w:rsidP="00BF3595">
      <w:pPr>
        <w:pStyle w:val="ESch"/>
        <w:rPr>
          <w:lang w:val="en-GB"/>
        </w:rPr>
      </w:pPr>
      <w:r>
        <w:rPr>
          <w:lang w:val="en-GB"/>
        </w:rPr>
        <w:t>11.4</w:t>
      </w:r>
      <w:r w:rsidRPr="008F6ABB">
        <w:rPr>
          <w:lang w:val="en-GB"/>
        </w:rPr>
        <w:tab/>
      </w:r>
      <w:r w:rsidR="00D52D91">
        <w:rPr>
          <w:lang w:val="en-GB"/>
        </w:rPr>
        <w:t>‘</w:t>
      </w:r>
      <w:r w:rsidRPr="008F6ABB">
        <w:rPr>
          <w:lang w:val="en-GB"/>
        </w:rPr>
        <w:t>battery</w:t>
      </w:r>
      <w:r w:rsidR="00D52D91">
        <w:rPr>
          <w:lang w:val="en-GB"/>
        </w:rPr>
        <w:t>’</w:t>
      </w:r>
      <w:r w:rsidRPr="008F6ABB">
        <w:rPr>
          <w:lang w:val="en-GB"/>
        </w:rPr>
        <w:t xml:space="preserve"> a non-rechargeable storage device for electrical energy on an electro-chemical basis;</w:t>
      </w:r>
    </w:p>
    <w:p w:rsidR="00ED26E0" w:rsidRPr="00E87BD8" w:rsidRDefault="00ED26E0" w:rsidP="00080F6D">
      <w:pPr>
        <w:pStyle w:val="ESch"/>
        <w:rPr>
          <w:lang w:val="en-US"/>
        </w:rPr>
      </w:pPr>
    </w:p>
    <w:p w:rsidR="001851F8" w:rsidRDefault="00BF3595" w:rsidP="003971A3">
      <w:pPr>
        <w:pStyle w:val="ESch"/>
        <w:rPr>
          <w:rFonts w:eastAsia="Calibri"/>
          <w:highlight w:val="lightGray"/>
          <w:lang w:val="en-US"/>
        </w:rPr>
      </w:pPr>
      <w:r w:rsidRPr="00E87BD8">
        <w:rPr>
          <w:rFonts w:eastAsia="Calibri"/>
          <w:lang w:val="en-US"/>
        </w:rPr>
        <w:t>11.5</w:t>
      </w:r>
      <w:r w:rsidR="00080F6D" w:rsidRPr="00E87BD8">
        <w:rPr>
          <w:rFonts w:eastAsia="Calibri"/>
          <w:lang w:val="en-US"/>
        </w:rPr>
        <w:tab/>
      </w:r>
      <w:r w:rsidR="003971A3">
        <w:rPr>
          <w:lang w:val="en-GB"/>
        </w:rPr>
        <w:t>‘</w:t>
      </w:r>
      <w:r w:rsidR="003971A3" w:rsidRPr="008F6ABB">
        <w:rPr>
          <w:lang w:val="en-GB"/>
        </w:rPr>
        <w:t>power electronics</w:t>
      </w:r>
      <w:r w:rsidR="003971A3">
        <w:rPr>
          <w:lang w:val="en-GB"/>
        </w:rPr>
        <w:t>’</w:t>
      </w:r>
      <w:r w:rsidR="003971A3" w:rsidRPr="008F6ABB">
        <w:rPr>
          <w:lang w:val="en-GB"/>
        </w:rPr>
        <w:t xml:space="preserve"> an installation, appliance, assembly or device for converting electrical energy with switching electronic devices or a system comprised thereof;</w:t>
      </w:r>
    </w:p>
    <w:p w:rsidR="001851F8" w:rsidRPr="001851F8" w:rsidRDefault="001851F8">
      <w:pPr>
        <w:autoSpaceDE/>
        <w:autoSpaceDN/>
        <w:ind w:left="0" w:firstLine="0"/>
        <w:jc w:val="left"/>
        <w:rPr>
          <w:rFonts w:eastAsia="Calibri"/>
          <w:lang w:val="en-US"/>
        </w:rPr>
      </w:pPr>
    </w:p>
    <w:p w:rsidR="003971A3" w:rsidRDefault="003971A3">
      <w:pPr>
        <w:autoSpaceDE/>
        <w:autoSpaceDN/>
        <w:ind w:left="0" w:firstLine="0"/>
        <w:jc w:val="left"/>
        <w:rPr>
          <w:lang w:val="en-US"/>
        </w:rPr>
      </w:pPr>
      <w:r>
        <w:rPr>
          <w:lang w:val="en-US"/>
        </w:rPr>
        <w:br w:type="page"/>
      </w:r>
    </w:p>
    <w:p w:rsidR="00BF3595" w:rsidRDefault="00BF3595" w:rsidP="00080F6D">
      <w:pPr>
        <w:pStyle w:val="ESch"/>
        <w:rPr>
          <w:lang w:val="en-US"/>
        </w:rPr>
      </w:pPr>
    </w:p>
    <w:p w:rsidR="00DE4417" w:rsidRPr="00C903F8" w:rsidRDefault="00DE4417" w:rsidP="00511BF6">
      <w:pPr>
        <w:pStyle w:val="ESch"/>
        <w:rPr>
          <w:b/>
          <w:color w:val="000000"/>
          <w:lang w:val="en-US"/>
        </w:rPr>
      </w:pPr>
      <w:r w:rsidRPr="00C903F8">
        <w:rPr>
          <w:rFonts w:cs="Arial"/>
          <w:b/>
          <w:color w:val="000000"/>
          <w:szCs w:val="20"/>
          <w:lang w:val="en-US"/>
        </w:rPr>
        <w:t>1</w:t>
      </w:r>
      <w:r w:rsidR="00BF3595">
        <w:rPr>
          <w:rFonts w:cs="Arial"/>
          <w:b/>
          <w:color w:val="000000"/>
          <w:szCs w:val="20"/>
          <w:lang w:val="en-US"/>
        </w:rPr>
        <w:t>2</w:t>
      </w:r>
      <w:r w:rsidRPr="00C903F8">
        <w:rPr>
          <w:rFonts w:cs="Arial"/>
          <w:b/>
          <w:color w:val="000000"/>
          <w:szCs w:val="20"/>
          <w:lang w:val="en-US"/>
        </w:rPr>
        <w:t>.</w:t>
      </w:r>
      <w:r w:rsidRPr="00C903F8">
        <w:rPr>
          <w:rFonts w:cs="Arial"/>
          <w:b/>
          <w:color w:val="000000"/>
          <w:szCs w:val="20"/>
          <w:lang w:val="en-US"/>
        </w:rPr>
        <w:tab/>
        <w:t>Other terms</w:t>
      </w:r>
    </w:p>
    <w:p w:rsidR="00DE4417" w:rsidRPr="00C903F8" w:rsidRDefault="00DE4417" w:rsidP="00511BF6">
      <w:pPr>
        <w:pStyle w:val="ESch"/>
        <w:rPr>
          <w:lang w:val="en-US"/>
        </w:rPr>
      </w:pPr>
    </w:p>
    <w:p w:rsidR="00DE4417" w:rsidRPr="00C903F8" w:rsidRDefault="00DE4417" w:rsidP="00511BF6">
      <w:pPr>
        <w:pStyle w:val="ESch"/>
        <w:rPr>
          <w:lang w:val="en-US"/>
        </w:rPr>
      </w:pPr>
      <w:r w:rsidRPr="00C903F8">
        <w:rPr>
          <w:rFonts w:cs="Arial"/>
          <w:szCs w:val="20"/>
          <w:lang w:val="en-US"/>
        </w:rPr>
        <w:t>1</w:t>
      </w:r>
      <w:r w:rsidR="00BF3595">
        <w:rPr>
          <w:rFonts w:cs="Arial"/>
          <w:szCs w:val="20"/>
          <w:lang w:val="en-US"/>
        </w:rPr>
        <w:t>2</w:t>
      </w:r>
      <w:r w:rsidRPr="00C903F8">
        <w:rPr>
          <w:rFonts w:cs="Arial"/>
          <w:szCs w:val="20"/>
          <w:lang w:val="en-US"/>
        </w:rPr>
        <w:t>.1</w:t>
      </w:r>
      <w:r w:rsidRPr="00C903F8">
        <w:rPr>
          <w:rFonts w:cs="Arial"/>
          <w:szCs w:val="20"/>
          <w:lang w:val="en-US"/>
        </w:rPr>
        <w:tab/>
        <w:t>‘shipboard personnel’: all employees on board a passenger vessel who are not members of the crew;</w:t>
      </w:r>
    </w:p>
    <w:p w:rsidR="00D71B1A" w:rsidRPr="00C903F8" w:rsidRDefault="00D71B1A" w:rsidP="00511BF6">
      <w:pPr>
        <w:pStyle w:val="ESch"/>
        <w:rPr>
          <w:rFonts w:cs="Arial"/>
          <w:szCs w:val="20"/>
          <w:lang w:val="en-US"/>
        </w:rPr>
      </w:pPr>
    </w:p>
    <w:p w:rsidR="00ED26E0" w:rsidRPr="00FA4437" w:rsidRDefault="00DE4417" w:rsidP="00FA4437">
      <w:pPr>
        <w:pStyle w:val="ESch"/>
        <w:rPr>
          <w:lang w:val="en-US"/>
        </w:rPr>
      </w:pPr>
      <w:r w:rsidRPr="00C903F8">
        <w:rPr>
          <w:rFonts w:cs="Arial"/>
          <w:szCs w:val="20"/>
          <w:lang w:val="en-US"/>
        </w:rPr>
        <w:t>1</w:t>
      </w:r>
      <w:r w:rsidR="00BF3595">
        <w:rPr>
          <w:rFonts w:cs="Arial"/>
          <w:szCs w:val="20"/>
          <w:lang w:val="en-US"/>
        </w:rPr>
        <w:t>2</w:t>
      </w:r>
      <w:r w:rsidRPr="00C903F8">
        <w:rPr>
          <w:rFonts w:cs="Arial"/>
          <w:szCs w:val="20"/>
          <w:lang w:val="en-US"/>
        </w:rPr>
        <w:t>.2</w:t>
      </w:r>
      <w:r w:rsidRPr="00C903F8">
        <w:rPr>
          <w:rFonts w:cs="Arial"/>
          <w:szCs w:val="20"/>
          <w:lang w:val="en-US"/>
        </w:rPr>
        <w:tab/>
        <w:t>‘persons with reduced mobility’: persons facing particular problems when using public transport, such as the elderly and the handicapped and persons with sensory disabilities, persons in wheelchairs, pregnant women and persons accompanying young children;</w:t>
      </w:r>
    </w:p>
    <w:p w:rsidR="00ED26E0" w:rsidRPr="00C903F8" w:rsidRDefault="00ED26E0"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w:t>
      </w:r>
      <w:r w:rsidR="00BF3595">
        <w:rPr>
          <w:rFonts w:cs="Arial"/>
          <w:szCs w:val="20"/>
          <w:lang w:val="en-US"/>
        </w:rPr>
        <w:t>2</w:t>
      </w:r>
      <w:r w:rsidRPr="00C903F8">
        <w:rPr>
          <w:rFonts w:cs="Arial"/>
          <w:szCs w:val="20"/>
          <w:lang w:val="en-US"/>
        </w:rPr>
        <w:t>.3</w:t>
      </w:r>
      <w:r w:rsidRPr="00C903F8">
        <w:rPr>
          <w:rFonts w:cs="Arial"/>
          <w:szCs w:val="20"/>
          <w:lang w:val="en-US"/>
        </w:rPr>
        <w:tab/>
      </w:r>
      <w:r w:rsidR="00850AFF" w:rsidRPr="00C903F8">
        <w:rPr>
          <w:rFonts w:cs="Arial"/>
          <w:szCs w:val="20"/>
          <w:lang w:val="en-US"/>
        </w:rPr>
        <w:t>‘ADN’:</w:t>
      </w:r>
      <w:r w:rsidRPr="00C903F8">
        <w:rPr>
          <w:rFonts w:cs="Arial"/>
          <w:szCs w:val="20"/>
          <w:lang w:val="en-US"/>
        </w:rPr>
        <w:t xml:space="preserve"> the Regulations annexed to The European Agreement concerning the International Carriage of Dangerous Goods by Inland Waterways (ADN) in its current version;</w:t>
      </w:r>
    </w:p>
    <w:p w:rsidR="00D71B1A" w:rsidRPr="00C903F8" w:rsidRDefault="00D71B1A" w:rsidP="00511BF6">
      <w:pPr>
        <w:pStyle w:val="ESch"/>
        <w:rPr>
          <w:rFonts w:cs="Arial"/>
          <w:szCs w:val="20"/>
          <w:lang w:val="en-US"/>
        </w:rPr>
      </w:pPr>
    </w:p>
    <w:p w:rsidR="00DE4417" w:rsidRPr="00C903F8" w:rsidRDefault="00DE4417" w:rsidP="00511BF6">
      <w:pPr>
        <w:pStyle w:val="ESch"/>
        <w:rPr>
          <w:lang w:val="en-US"/>
        </w:rPr>
      </w:pPr>
      <w:r w:rsidRPr="00C903F8">
        <w:rPr>
          <w:rFonts w:cs="Arial"/>
          <w:szCs w:val="20"/>
          <w:lang w:val="en-US"/>
        </w:rPr>
        <w:t>1</w:t>
      </w:r>
      <w:r w:rsidR="00BF3595">
        <w:rPr>
          <w:rFonts w:cs="Arial"/>
          <w:szCs w:val="20"/>
          <w:lang w:val="en-US"/>
        </w:rPr>
        <w:t>2</w:t>
      </w:r>
      <w:r w:rsidRPr="00C903F8">
        <w:rPr>
          <w:rFonts w:cs="Arial"/>
          <w:szCs w:val="20"/>
          <w:lang w:val="en-US"/>
        </w:rPr>
        <w:t>.4</w:t>
      </w:r>
      <w:r w:rsidRPr="00C903F8">
        <w:rPr>
          <w:rFonts w:cs="Arial"/>
          <w:szCs w:val="20"/>
          <w:lang w:val="en-US"/>
        </w:rPr>
        <w:tab/>
      </w:r>
      <w:r w:rsidR="00850AFF" w:rsidRPr="00C903F8">
        <w:rPr>
          <w:rFonts w:cs="Arial"/>
          <w:szCs w:val="20"/>
          <w:lang w:val="en-US"/>
        </w:rPr>
        <w:t>‘</w:t>
      </w:r>
      <w:r w:rsidRPr="00C903F8">
        <w:rPr>
          <w:rFonts w:cs="Arial"/>
          <w:szCs w:val="20"/>
          <w:lang w:val="en-US"/>
        </w:rPr>
        <w:t>inland navigation vessel certificate</w:t>
      </w:r>
      <w:r w:rsidR="00850AFF" w:rsidRPr="00C903F8">
        <w:rPr>
          <w:rFonts w:cs="Arial"/>
          <w:szCs w:val="20"/>
          <w:lang w:val="en-US"/>
        </w:rPr>
        <w:t>’:</w:t>
      </w:r>
      <w:r w:rsidRPr="00C903F8">
        <w:rPr>
          <w:rFonts w:cs="Arial"/>
          <w:szCs w:val="20"/>
          <w:lang w:val="en-US"/>
        </w:rPr>
        <w:t xml:space="preserve"> Union certificate for inland navigation vessels or Rhine vessel inspection certificate, issued by the competent authority and which confirms compliance with the technical requirements</w:t>
      </w:r>
      <w:r w:rsidR="00850AFF" w:rsidRPr="00C903F8">
        <w:rPr>
          <w:rFonts w:cs="Arial"/>
          <w:szCs w:val="20"/>
          <w:lang w:val="en-US"/>
        </w:rPr>
        <w:t>.</w:t>
      </w:r>
    </w:p>
    <w:p w:rsidR="00DE4417" w:rsidRPr="00C903F8" w:rsidRDefault="00DE4417" w:rsidP="00511BF6">
      <w:pPr>
        <w:pStyle w:val="ESch"/>
        <w:rPr>
          <w:lang w:val="en-US"/>
        </w:rPr>
      </w:pPr>
    </w:p>
    <w:p w:rsidR="005849A9" w:rsidRPr="00C903F8" w:rsidRDefault="005849A9" w:rsidP="00511BF6">
      <w:pPr>
        <w:pStyle w:val="ESch"/>
        <w:rPr>
          <w:lang w:val="en-US"/>
        </w:rPr>
      </w:pPr>
    </w:p>
    <w:p w:rsidR="00DE4417" w:rsidRPr="00C903F8" w:rsidRDefault="00DE4417" w:rsidP="00D71B1A">
      <w:pPr>
        <w:pStyle w:val="ES-Titre3"/>
        <w:rPr>
          <w:sz w:val="20"/>
          <w:lang w:val="en-US"/>
        </w:rPr>
      </w:pPr>
      <w:bookmarkStart w:id="11" w:name="_Toc491854005"/>
      <w:r w:rsidRPr="00C903F8">
        <w:rPr>
          <w:rFonts w:cs="Arial"/>
          <w:szCs w:val="20"/>
          <w:lang w:val="en-US"/>
        </w:rPr>
        <w:t>Article 1.02</w:t>
      </w:r>
      <w:r w:rsidRPr="00C903F8">
        <w:rPr>
          <w:lang w:val="en-US"/>
        </w:rPr>
        <w:br/>
      </w:r>
      <w:r w:rsidRPr="00C903F8">
        <w:rPr>
          <w:rFonts w:cs="Arial"/>
          <w:i/>
          <w:szCs w:val="20"/>
          <w:lang w:val="en-US"/>
        </w:rPr>
        <w:t xml:space="preserve">Instructions </w:t>
      </w:r>
      <w:r w:rsidR="00FA4437">
        <w:rPr>
          <w:rFonts w:cs="Arial"/>
          <w:i/>
          <w:szCs w:val="20"/>
          <w:lang w:val="en-US"/>
        </w:rPr>
        <w:t xml:space="preserve">for the application of this </w:t>
      </w:r>
      <w:r w:rsidR="00837508" w:rsidRPr="00C903F8">
        <w:rPr>
          <w:rFonts w:cs="Arial"/>
          <w:i/>
          <w:szCs w:val="20"/>
          <w:lang w:val="en-US"/>
        </w:rPr>
        <w:t>S</w:t>
      </w:r>
      <w:r w:rsidRPr="00C903F8">
        <w:rPr>
          <w:rFonts w:cs="Arial"/>
          <w:i/>
          <w:szCs w:val="20"/>
          <w:lang w:val="en-US"/>
        </w:rPr>
        <w:t>tandard</w:t>
      </w:r>
      <w:bookmarkEnd w:id="11"/>
    </w:p>
    <w:p w:rsidR="00D71B1A" w:rsidRPr="00C903F8" w:rsidRDefault="00D71B1A" w:rsidP="00DE4417">
      <w:pPr>
        <w:rPr>
          <w:rFonts w:cs="Arial"/>
          <w:szCs w:val="20"/>
          <w:lang w:val="en-US"/>
        </w:rPr>
      </w:pPr>
    </w:p>
    <w:p w:rsidR="00DE4417" w:rsidRPr="00C903F8" w:rsidRDefault="00DE4417" w:rsidP="00DE4417">
      <w:pPr>
        <w:rPr>
          <w:rFonts w:cs="Arial"/>
          <w:szCs w:val="20"/>
          <w:lang w:val="en-US"/>
        </w:rPr>
      </w:pPr>
      <w:r w:rsidRPr="00C903F8">
        <w:rPr>
          <w:rFonts w:cs="Arial"/>
          <w:szCs w:val="20"/>
          <w:lang w:val="en-US"/>
        </w:rPr>
        <w:t xml:space="preserve">The instructions annexed to this </w:t>
      </w:r>
      <w:r w:rsidR="00837508" w:rsidRPr="00C903F8">
        <w:rPr>
          <w:rFonts w:cs="Arial"/>
          <w:szCs w:val="20"/>
          <w:lang w:val="en-US"/>
        </w:rPr>
        <w:t>S</w:t>
      </w:r>
      <w:r w:rsidRPr="00C903F8">
        <w:rPr>
          <w:rFonts w:cs="Arial"/>
          <w:szCs w:val="20"/>
          <w:lang w:val="en-US"/>
        </w:rPr>
        <w:t xml:space="preserve">tandard aim to facilitate and standardise its application. </w:t>
      </w:r>
    </w:p>
    <w:p w:rsidR="00AE58CD" w:rsidRPr="00C903F8" w:rsidRDefault="00AE58CD" w:rsidP="00E630F7">
      <w:pPr>
        <w:spacing w:line="240" w:lineRule="atLeast"/>
        <w:ind w:left="0" w:firstLine="0"/>
        <w:rPr>
          <w:lang w:val="en-US" w:eastAsia="nl-NL"/>
        </w:rPr>
      </w:pPr>
    </w:p>
    <w:p w:rsidR="00AE58CD" w:rsidRPr="00C903F8" w:rsidRDefault="00AE58CD" w:rsidP="00E630F7">
      <w:pPr>
        <w:spacing w:line="240" w:lineRule="atLeast"/>
        <w:ind w:left="0" w:firstLine="0"/>
        <w:rPr>
          <w:lang w:val="en-US" w:eastAsia="nl-NL"/>
        </w:rPr>
      </w:pPr>
    </w:p>
    <w:p w:rsidR="001E33AF" w:rsidRPr="00C903F8" w:rsidRDefault="001E33AF" w:rsidP="00E1027C">
      <w:pPr>
        <w:spacing w:line="240" w:lineRule="atLeast"/>
        <w:rPr>
          <w:lang w:val="en-US"/>
        </w:rPr>
      </w:pPr>
    </w:p>
    <w:p w:rsidR="00CA6E56" w:rsidRPr="00C903F8" w:rsidRDefault="00CA6E56" w:rsidP="00CA6E56">
      <w:pPr>
        <w:pStyle w:val="ES-Titre2"/>
      </w:pPr>
      <w:bookmarkStart w:id="12" w:name="_Toc491854006"/>
      <w:r w:rsidRPr="00C903F8">
        <w:lastRenderedPageBreak/>
        <w:t>Chap</w:t>
      </w:r>
      <w:r w:rsidR="00D71B1A" w:rsidRPr="00C903F8">
        <w:t>ter</w:t>
      </w:r>
      <w:r w:rsidRPr="00C903F8">
        <w:t xml:space="preserve"> 2</w:t>
      </w:r>
      <w:r w:rsidRPr="00C903F8">
        <w:br/>
        <w:t>Proc</w:t>
      </w:r>
      <w:r w:rsidR="00D71B1A" w:rsidRPr="00C903F8">
        <w:t>edure</w:t>
      </w:r>
      <w:bookmarkEnd w:id="12"/>
    </w:p>
    <w:p w:rsidR="00AE3F86" w:rsidRPr="00C903F8" w:rsidRDefault="00AE3F86" w:rsidP="00E1027C">
      <w:pPr>
        <w:spacing w:line="240" w:lineRule="atLeast"/>
        <w:rPr>
          <w:lang w:val="en-US"/>
        </w:rPr>
      </w:pPr>
    </w:p>
    <w:p w:rsidR="00F935C7" w:rsidRPr="00C903F8" w:rsidRDefault="00F935C7" w:rsidP="00F935C7">
      <w:pPr>
        <w:spacing w:line="240" w:lineRule="atLeast"/>
        <w:jc w:val="center"/>
        <w:rPr>
          <w:lang w:val="en-US"/>
        </w:rPr>
      </w:pPr>
      <w:r w:rsidRPr="00C903F8">
        <w:rPr>
          <w:lang w:val="en-US"/>
        </w:rPr>
        <w:t>(left void)</w:t>
      </w:r>
    </w:p>
    <w:p w:rsidR="006971A7" w:rsidRPr="00C903F8" w:rsidRDefault="006971A7" w:rsidP="00F935C7">
      <w:pPr>
        <w:spacing w:line="240" w:lineRule="atLeast"/>
        <w:jc w:val="center"/>
        <w:rPr>
          <w:lang w:val="en-US"/>
        </w:rPr>
      </w:pPr>
    </w:p>
    <w:p w:rsidR="006971A7" w:rsidRPr="00C903F8" w:rsidRDefault="006971A7" w:rsidP="00F935C7">
      <w:pPr>
        <w:spacing w:line="240" w:lineRule="atLeast"/>
        <w:jc w:val="center"/>
        <w:rPr>
          <w:lang w:val="en-US"/>
        </w:rPr>
      </w:pPr>
    </w:p>
    <w:p w:rsidR="006971A7" w:rsidRPr="00C903F8" w:rsidRDefault="006971A7" w:rsidP="00F935C7">
      <w:pPr>
        <w:spacing w:line="240" w:lineRule="atLeast"/>
        <w:jc w:val="center"/>
        <w:rPr>
          <w:lang w:val="en-US"/>
        </w:rPr>
      </w:pPr>
    </w:p>
    <w:p w:rsidR="006971A7" w:rsidRPr="00C903F8" w:rsidRDefault="006971A7" w:rsidP="00F935C7">
      <w:pPr>
        <w:spacing w:line="240" w:lineRule="atLeast"/>
        <w:jc w:val="center"/>
        <w:rPr>
          <w:lang w:val="en-US"/>
        </w:rPr>
      </w:pPr>
    </w:p>
    <w:p w:rsidR="006D6907" w:rsidRPr="00C903F8" w:rsidRDefault="006D6907" w:rsidP="00F935C7">
      <w:pPr>
        <w:spacing w:line="240" w:lineRule="atLeast"/>
        <w:jc w:val="center"/>
        <w:rPr>
          <w:lang w:val="en-US"/>
        </w:rPr>
      </w:pPr>
      <w:r w:rsidRPr="00C903F8">
        <w:rPr>
          <w:lang w:val="en-US"/>
        </w:rPr>
        <w:br w:type="page"/>
      </w:r>
    </w:p>
    <w:p w:rsidR="006971A7" w:rsidRPr="00C903F8" w:rsidRDefault="006971A7" w:rsidP="00F935C7">
      <w:pPr>
        <w:spacing w:line="240" w:lineRule="atLeast"/>
        <w:jc w:val="center"/>
        <w:rPr>
          <w:lang w:val="en-US"/>
        </w:rPr>
      </w:pPr>
    </w:p>
    <w:p w:rsidR="00AE3F86" w:rsidRPr="00C903F8" w:rsidRDefault="00AE3F86" w:rsidP="00F935C7">
      <w:pPr>
        <w:spacing w:line="240" w:lineRule="atLeast"/>
        <w:jc w:val="center"/>
        <w:rPr>
          <w:lang w:val="en-US"/>
        </w:rPr>
      </w:pPr>
    </w:p>
    <w:p w:rsidR="00AE3F86" w:rsidRPr="00C903F8" w:rsidRDefault="00AE3F86" w:rsidP="00F935C7">
      <w:pPr>
        <w:spacing w:line="240" w:lineRule="atLeast"/>
        <w:jc w:val="center"/>
        <w:rPr>
          <w:lang w:val="en-US"/>
        </w:rPr>
        <w:sectPr w:rsidR="00AE3F86" w:rsidRPr="00C903F8" w:rsidSect="0010389F">
          <w:headerReference w:type="default" r:id="rId16"/>
          <w:headerReference w:type="first" r:id="rId17"/>
          <w:footnotePr>
            <w:numRestart w:val="eachPage"/>
          </w:footnotePr>
          <w:pgSz w:w="11906" w:h="16838" w:code="9"/>
          <w:pgMar w:top="1418" w:right="1418" w:bottom="1418" w:left="1418" w:header="709" w:footer="709" w:gutter="0"/>
          <w:pgNumType w:start="1"/>
          <w:cols w:space="709"/>
          <w:titlePg/>
          <w:docGrid w:linePitch="272"/>
        </w:sectPr>
      </w:pPr>
    </w:p>
    <w:p w:rsidR="00436930" w:rsidRPr="00C903F8" w:rsidRDefault="00D71B1A" w:rsidP="00887B58">
      <w:pPr>
        <w:pStyle w:val="ES-Titre1"/>
      </w:pPr>
      <w:bookmarkStart w:id="13" w:name="_Toc491854007"/>
      <w:r w:rsidRPr="00C903F8">
        <w:lastRenderedPageBreak/>
        <w:t>PART</w:t>
      </w:r>
      <w:r w:rsidR="00436930" w:rsidRPr="00C903F8">
        <w:t xml:space="preserve"> II</w:t>
      </w:r>
      <w:r w:rsidR="00436930" w:rsidRPr="00C903F8">
        <w:br/>
      </w:r>
      <w:r w:rsidRPr="00C903F8">
        <w:t>PROVISIONS REGARDING SHIPBUILDING, FITTING OUT AND EQUIPMENT</w:t>
      </w:r>
      <w:bookmarkEnd w:id="13"/>
    </w:p>
    <w:p w:rsidR="00887B58" w:rsidRPr="00C903F8" w:rsidRDefault="00887B58" w:rsidP="00887B58">
      <w:pPr>
        <w:pStyle w:val="ES-Titre2"/>
        <w:pageBreakBefore w:val="0"/>
      </w:pPr>
    </w:p>
    <w:p w:rsidR="00436930" w:rsidRPr="00C903F8" w:rsidRDefault="00436930" w:rsidP="00887B58">
      <w:pPr>
        <w:pStyle w:val="ES-Titre2"/>
        <w:pageBreakBefore w:val="0"/>
      </w:pPr>
      <w:bookmarkStart w:id="14" w:name="_Toc491854008"/>
      <w:r w:rsidRPr="00C903F8">
        <w:t>C</w:t>
      </w:r>
      <w:r w:rsidR="00D71B1A" w:rsidRPr="00C903F8">
        <w:t>hapter</w:t>
      </w:r>
      <w:r w:rsidR="002722AA">
        <w:t xml:space="preserve"> 3</w:t>
      </w:r>
      <w:r w:rsidRPr="00C903F8">
        <w:br/>
      </w:r>
      <w:r w:rsidR="00D71B1A" w:rsidRPr="00C903F8">
        <w:t>Shipbuilding requirements</w:t>
      </w:r>
      <w:bookmarkEnd w:id="14"/>
    </w:p>
    <w:p w:rsidR="00887B58" w:rsidRPr="00C903F8" w:rsidRDefault="00887B58" w:rsidP="00887B58">
      <w:pPr>
        <w:pStyle w:val="ES-Titre3"/>
        <w:spacing w:line="240" w:lineRule="atLeast"/>
        <w:rPr>
          <w:lang w:val="en-US"/>
        </w:rPr>
      </w:pPr>
    </w:p>
    <w:p w:rsidR="003F616C" w:rsidRPr="00C903F8" w:rsidRDefault="003F616C" w:rsidP="003F616C">
      <w:pPr>
        <w:pStyle w:val="ES-Titre3"/>
        <w:rPr>
          <w:lang w:val="en-US"/>
        </w:rPr>
      </w:pPr>
      <w:bookmarkStart w:id="15" w:name="_Toc491854009"/>
      <w:r w:rsidRPr="00C903F8">
        <w:rPr>
          <w:lang w:val="en-US"/>
        </w:rPr>
        <w:t>Article 3.01</w:t>
      </w:r>
      <w:r w:rsidRPr="00C903F8">
        <w:rPr>
          <w:lang w:val="en-US"/>
        </w:rPr>
        <w:br/>
      </w:r>
      <w:r w:rsidRPr="00C903F8">
        <w:rPr>
          <w:i/>
          <w:lang w:val="en-US"/>
        </w:rPr>
        <w:t>Basic rules</w:t>
      </w:r>
      <w:bookmarkEnd w:id="15"/>
    </w:p>
    <w:p w:rsidR="003F616C" w:rsidRPr="00C903F8" w:rsidRDefault="003F616C" w:rsidP="003F616C">
      <w:pPr>
        <w:rPr>
          <w:rFonts w:cs="Arial"/>
          <w:szCs w:val="20"/>
          <w:lang w:val="en-US"/>
        </w:rPr>
      </w:pPr>
    </w:p>
    <w:p w:rsidR="003F616C" w:rsidRPr="00C903F8" w:rsidRDefault="003F616C" w:rsidP="003F616C">
      <w:pPr>
        <w:rPr>
          <w:rFonts w:cs="Arial"/>
          <w:szCs w:val="20"/>
          <w:lang w:val="en-US"/>
        </w:rPr>
      </w:pPr>
      <w:r w:rsidRPr="00C903F8">
        <w:rPr>
          <w:rFonts w:cs="Arial"/>
          <w:szCs w:val="20"/>
          <w:lang w:val="en-US"/>
        </w:rPr>
        <w:t>Vessels shall be built in accordance with good shipbuilding practice.</w:t>
      </w:r>
    </w:p>
    <w:p w:rsidR="003F616C" w:rsidRPr="00C903F8" w:rsidRDefault="003F616C" w:rsidP="003F616C">
      <w:pPr>
        <w:rPr>
          <w:rFonts w:cs="Arial"/>
          <w:szCs w:val="20"/>
          <w:lang w:val="en-US"/>
        </w:rPr>
      </w:pPr>
    </w:p>
    <w:p w:rsidR="003F616C" w:rsidRPr="00C903F8" w:rsidRDefault="003F616C" w:rsidP="003F616C">
      <w:pPr>
        <w:rPr>
          <w:rFonts w:cs="Arial"/>
          <w:szCs w:val="20"/>
          <w:lang w:val="en-US"/>
        </w:rPr>
      </w:pPr>
    </w:p>
    <w:p w:rsidR="003F616C" w:rsidRPr="00C903F8" w:rsidRDefault="003F616C" w:rsidP="003F616C">
      <w:pPr>
        <w:pStyle w:val="ES-Titre3"/>
        <w:rPr>
          <w:lang w:val="en-US"/>
        </w:rPr>
      </w:pPr>
      <w:bookmarkStart w:id="16" w:name="_Toc491854010"/>
      <w:r w:rsidRPr="00C903F8">
        <w:rPr>
          <w:lang w:val="en-US"/>
        </w:rPr>
        <w:t>Article 3.02</w:t>
      </w:r>
      <w:r w:rsidRPr="00C903F8">
        <w:rPr>
          <w:lang w:val="en-US"/>
        </w:rPr>
        <w:br/>
      </w:r>
      <w:r w:rsidRPr="00C903F8">
        <w:rPr>
          <w:i/>
          <w:lang w:val="en-US"/>
        </w:rPr>
        <w:t>Strength and stability</w:t>
      </w:r>
      <w:bookmarkEnd w:id="16"/>
    </w:p>
    <w:p w:rsidR="003F616C" w:rsidRPr="00C903F8" w:rsidRDefault="003F616C" w:rsidP="003F616C">
      <w:pPr>
        <w:rPr>
          <w:rFonts w:cs="Arial"/>
          <w:szCs w:val="20"/>
          <w:lang w:val="en-US"/>
        </w:rPr>
      </w:pPr>
    </w:p>
    <w:p w:rsidR="003F616C" w:rsidRPr="00C903F8" w:rsidRDefault="00511BF6" w:rsidP="00511BF6">
      <w:pPr>
        <w:pStyle w:val="ESch"/>
        <w:rPr>
          <w:lang w:val="en-US"/>
        </w:rPr>
      </w:pPr>
      <w:r w:rsidRPr="00C903F8">
        <w:rPr>
          <w:rFonts w:cs="Arial"/>
          <w:szCs w:val="20"/>
          <w:lang w:val="en-US"/>
        </w:rPr>
        <w:t>1.</w:t>
      </w:r>
      <w:r w:rsidRPr="00C903F8">
        <w:rPr>
          <w:rFonts w:cs="Arial"/>
          <w:szCs w:val="20"/>
          <w:lang w:val="en-US"/>
        </w:rPr>
        <w:tab/>
      </w:r>
      <w:r w:rsidR="003F616C" w:rsidRPr="00C903F8">
        <w:rPr>
          <w:rFonts w:cs="Arial"/>
          <w:szCs w:val="20"/>
          <w:lang w:val="en-US"/>
        </w:rPr>
        <w:t>The hull shall be sufficiently strong to withstand all of the stresses to which it is normally subjected.</w:t>
      </w:r>
    </w:p>
    <w:p w:rsidR="003F616C" w:rsidRPr="00C903F8" w:rsidRDefault="005C7859" w:rsidP="00511BF6">
      <w:pPr>
        <w:pStyle w:val="ESlet"/>
        <w:rPr>
          <w:lang w:val="en-US"/>
        </w:rPr>
      </w:pPr>
      <w:r w:rsidRPr="00C903F8">
        <w:rPr>
          <w:rFonts w:cs="Arial"/>
          <w:szCs w:val="20"/>
          <w:lang w:val="en-US"/>
        </w:rPr>
        <w:t>a)</w:t>
      </w:r>
      <w:r w:rsidR="003F616C" w:rsidRPr="00C903F8">
        <w:rPr>
          <w:rFonts w:cs="Arial"/>
          <w:szCs w:val="20"/>
          <w:lang w:val="en-US"/>
        </w:rPr>
        <w:tab/>
        <w:t xml:space="preserve">In the case of newly built vessels or major conversions affecting vessel strength, adequate strength shall be demonstrated by presenting </w:t>
      </w:r>
      <w:r w:rsidR="008C2B7E" w:rsidRPr="00C903F8">
        <w:rPr>
          <w:rFonts w:cs="Arial"/>
          <w:szCs w:val="20"/>
          <w:lang w:val="en-US"/>
        </w:rPr>
        <w:t xml:space="preserve">the </w:t>
      </w:r>
      <w:r w:rsidR="003F616C" w:rsidRPr="00C903F8">
        <w:rPr>
          <w:rFonts w:cs="Arial"/>
          <w:szCs w:val="20"/>
          <w:lang w:val="en-US"/>
        </w:rPr>
        <w:t>design calculation proof. That proof is not required where a classification certificate or a</w:t>
      </w:r>
      <w:r w:rsidR="00357056" w:rsidRPr="00C903F8">
        <w:rPr>
          <w:rFonts w:cs="Arial"/>
          <w:szCs w:val="20"/>
          <w:lang w:val="en-US"/>
        </w:rPr>
        <w:t>n</w:t>
      </w:r>
      <w:r w:rsidR="003F616C" w:rsidRPr="00C903F8">
        <w:rPr>
          <w:rFonts w:cs="Arial"/>
          <w:szCs w:val="20"/>
          <w:lang w:val="en-US"/>
        </w:rPr>
        <w:t xml:space="preserve"> </w:t>
      </w:r>
      <w:r w:rsidR="001B1AA7" w:rsidRPr="00C903F8">
        <w:rPr>
          <w:rFonts w:cs="Arial"/>
          <w:szCs w:val="20"/>
          <w:lang w:val="en-US"/>
        </w:rPr>
        <w:t xml:space="preserve">attestation </w:t>
      </w:r>
      <w:r w:rsidR="003F616C" w:rsidRPr="00C903F8">
        <w:rPr>
          <w:rFonts w:cs="Arial"/>
          <w:szCs w:val="20"/>
          <w:lang w:val="en-US"/>
        </w:rPr>
        <w:t xml:space="preserve">from a </w:t>
      </w:r>
      <w:r w:rsidR="004E1AD0" w:rsidRPr="00C903F8">
        <w:rPr>
          <w:rFonts w:cs="Arial"/>
          <w:szCs w:val="20"/>
          <w:lang w:val="en-US"/>
        </w:rPr>
        <w:t>recognis</w:t>
      </w:r>
      <w:r w:rsidR="001856B5" w:rsidRPr="00C903F8">
        <w:rPr>
          <w:rFonts w:cs="Arial"/>
          <w:szCs w:val="20"/>
          <w:lang w:val="en-US"/>
        </w:rPr>
        <w:t xml:space="preserve">ed </w:t>
      </w:r>
      <w:r w:rsidR="003F616C" w:rsidRPr="00C903F8">
        <w:rPr>
          <w:rFonts w:cs="Arial"/>
          <w:szCs w:val="20"/>
          <w:lang w:val="en-US"/>
        </w:rPr>
        <w:t>classification society is submitted.</w:t>
      </w:r>
    </w:p>
    <w:p w:rsidR="003F616C" w:rsidRPr="00C903F8" w:rsidRDefault="005C7859" w:rsidP="00511BF6">
      <w:pPr>
        <w:pStyle w:val="ESlet"/>
        <w:rPr>
          <w:rFonts w:cs="Arial"/>
          <w:szCs w:val="20"/>
          <w:lang w:val="en-US"/>
        </w:rPr>
      </w:pPr>
      <w:r w:rsidRPr="00C903F8">
        <w:rPr>
          <w:rFonts w:cs="Arial"/>
          <w:szCs w:val="20"/>
          <w:lang w:val="en-US"/>
        </w:rPr>
        <w:t>b)</w:t>
      </w:r>
      <w:r w:rsidR="003F616C" w:rsidRPr="00C903F8">
        <w:rPr>
          <w:rFonts w:cs="Arial"/>
          <w:szCs w:val="20"/>
          <w:lang w:val="en-US"/>
        </w:rPr>
        <w:tab/>
        <w:t>In the event of periodical inspection, the minimum thickness of the bottom, bilge and side plates of vessels made from steel shall be no less than the higher of the values resulting from the following formulae:</w:t>
      </w:r>
    </w:p>
    <w:p w:rsidR="00767591" w:rsidRPr="00C903F8" w:rsidRDefault="00767591" w:rsidP="00A31E1B">
      <w:pPr>
        <w:spacing w:before="60"/>
        <w:ind w:left="1417"/>
        <w:rPr>
          <w:lang w:val="en-US"/>
        </w:rPr>
      </w:pPr>
      <w:r w:rsidRPr="00C903F8">
        <w:rPr>
          <w:rFonts w:eastAsia="Calibri"/>
          <w:lang w:val="en-US" w:eastAsia="en-US"/>
        </w:rPr>
        <w:t>1.</w:t>
      </w:r>
      <w:r w:rsidRPr="00C903F8">
        <w:rPr>
          <w:rFonts w:eastAsia="Calibri"/>
          <w:lang w:val="en-US" w:eastAsia="en-US"/>
        </w:rPr>
        <w:tab/>
      </w:r>
      <w:r w:rsidRPr="00C903F8">
        <w:rPr>
          <w:rFonts w:cs="Arial"/>
          <w:szCs w:val="20"/>
          <w:lang w:val="en-US"/>
        </w:rPr>
        <w:t>for vessels that are longer than 40 m:</w:t>
      </w:r>
      <w:r w:rsidR="008F1C00" w:rsidRPr="00C903F8">
        <w:rPr>
          <w:rFonts w:cs="Arial"/>
          <w:szCs w:val="20"/>
          <w:lang w:val="en-US"/>
        </w:rPr>
        <w:t xml:space="preserve"> </w:t>
      </w:r>
      <m:oMath>
        <m:sSub>
          <m:sSubPr>
            <m:ctrlPr>
              <w:rPr>
                <w:rFonts w:ascii="Cambria Math" w:hAnsi="Cambria Math" w:cs="Arial"/>
                <w:i/>
                <w:szCs w:val="20"/>
                <w:lang w:val="en-US"/>
              </w:rPr>
            </m:ctrlPr>
          </m:sSubPr>
          <m:e>
            <m:r>
              <w:rPr>
                <w:rFonts w:ascii="Cambria Math" w:hAnsi="Cambria Math" w:cs="Arial"/>
                <w:szCs w:val="20"/>
                <w:lang w:val="en-US"/>
              </w:rPr>
              <m:t>t</m:t>
            </m:r>
          </m:e>
          <m:sub>
            <m:r>
              <w:rPr>
                <w:rFonts w:ascii="Cambria Math" w:hAnsi="Cambria Math" w:cs="Arial"/>
                <w:szCs w:val="20"/>
                <w:lang w:val="en-US"/>
              </w:rPr>
              <m:t>min</m:t>
            </m:r>
          </m:sub>
        </m:sSub>
        <m:r>
          <w:rPr>
            <w:rFonts w:ascii="Cambria Math" w:hAnsi="Cambria Math" w:cs="Arial"/>
            <w:szCs w:val="20"/>
            <w:lang w:val="en-US"/>
          </w:rPr>
          <m:t xml:space="preserve">=f ∙b ∙c </m:t>
        </m:r>
        <m:d>
          <m:dPr>
            <m:ctrlPr>
              <w:rPr>
                <w:rFonts w:ascii="Cambria Math" w:hAnsi="Cambria Math" w:cs="Arial"/>
                <w:i/>
                <w:szCs w:val="20"/>
                <w:lang w:val="en-US"/>
              </w:rPr>
            </m:ctrlPr>
          </m:dPr>
          <m:e>
            <m:r>
              <w:rPr>
                <w:rFonts w:ascii="Cambria Math" w:hAnsi="Cambria Math" w:cs="Arial"/>
                <w:szCs w:val="20"/>
                <w:lang w:val="en-US"/>
              </w:rPr>
              <m:t>2,3+0,04 L</m:t>
            </m:r>
          </m:e>
        </m:d>
        <m:d>
          <m:dPr>
            <m:begChr m:val="["/>
            <m:endChr m:val="]"/>
            <m:ctrlPr>
              <w:rPr>
                <w:rFonts w:ascii="Cambria Math" w:hAnsi="Cambria Math" w:cs="Arial"/>
                <w:i/>
                <w:szCs w:val="20"/>
                <w:lang w:val="en-US"/>
              </w:rPr>
            </m:ctrlPr>
          </m:dPr>
          <m:e>
            <m:r>
              <w:rPr>
                <w:rFonts w:ascii="Cambria Math" w:hAnsi="Cambria Math" w:cs="Arial"/>
                <w:szCs w:val="20"/>
                <w:lang w:val="en-US"/>
              </w:rPr>
              <m:t>mm</m:t>
            </m:r>
          </m:e>
        </m:d>
        <m:r>
          <w:rPr>
            <w:rFonts w:ascii="Cambria Math" w:hAnsi="Cambria Math" w:cs="Arial"/>
            <w:szCs w:val="20"/>
            <w:lang w:val="en-US"/>
          </w:rPr>
          <m:t>;</m:t>
        </m:r>
      </m:oMath>
    </w:p>
    <w:p w:rsidR="00767591" w:rsidRPr="00C903F8" w:rsidRDefault="00767591" w:rsidP="00767591">
      <w:pPr>
        <w:spacing w:before="60" w:line="240" w:lineRule="atLeast"/>
        <w:ind w:left="1418" w:firstLine="0"/>
        <w:rPr>
          <w:rFonts w:eastAsia="Calibri"/>
          <w:lang w:val="en-US" w:eastAsia="en-US"/>
        </w:rPr>
      </w:pPr>
      <w:r w:rsidRPr="00C903F8">
        <w:rPr>
          <w:rFonts w:eastAsia="Calibri"/>
          <w:lang w:val="en-US" w:eastAsia="en-US"/>
        </w:rPr>
        <w:t xml:space="preserve">for vessels not more than 40 m in length: </w:t>
      </w:r>
      <m:oMath>
        <m:sSub>
          <m:sSubPr>
            <m:ctrlPr>
              <w:rPr>
                <w:rFonts w:ascii="Cambria Math" w:hAnsi="Cambria Math" w:cs="Arial"/>
                <w:i/>
                <w:szCs w:val="20"/>
                <w:lang w:val="en-US"/>
              </w:rPr>
            </m:ctrlPr>
          </m:sSubPr>
          <m:e>
            <m:r>
              <w:rPr>
                <w:rFonts w:ascii="Cambria Math" w:hAnsi="Cambria Math" w:cs="Arial"/>
                <w:szCs w:val="20"/>
                <w:lang w:val="en-US"/>
              </w:rPr>
              <m:t>t</m:t>
            </m:r>
          </m:e>
          <m:sub>
            <m:r>
              <w:rPr>
                <w:rFonts w:ascii="Cambria Math" w:hAnsi="Cambria Math" w:cs="Arial"/>
                <w:szCs w:val="20"/>
                <w:lang w:val="en-US"/>
              </w:rPr>
              <m:t>min</m:t>
            </m:r>
          </m:sub>
        </m:sSub>
        <m:r>
          <w:rPr>
            <w:rFonts w:ascii="Cambria Math" w:hAnsi="Cambria Math" w:cs="Arial"/>
            <w:szCs w:val="20"/>
            <w:lang w:val="en-US"/>
          </w:rPr>
          <m:t xml:space="preserve">=f ∙b ∙c </m:t>
        </m:r>
        <m:d>
          <m:dPr>
            <m:ctrlPr>
              <w:rPr>
                <w:rFonts w:ascii="Cambria Math" w:hAnsi="Cambria Math" w:cs="Arial"/>
                <w:i/>
                <w:szCs w:val="20"/>
                <w:lang w:val="en-US"/>
              </w:rPr>
            </m:ctrlPr>
          </m:dPr>
          <m:e>
            <m:r>
              <w:rPr>
                <w:rFonts w:ascii="Cambria Math" w:hAnsi="Cambria Math" w:cs="Arial"/>
                <w:szCs w:val="20"/>
                <w:lang w:val="en-US"/>
              </w:rPr>
              <m:t>1,5+0,06 L</m:t>
            </m:r>
          </m:e>
        </m:d>
        <m:d>
          <m:dPr>
            <m:begChr m:val="["/>
            <m:endChr m:val="]"/>
            <m:ctrlPr>
              <w:rPr>
                <w:rFonts w:ascii="Cambria Math" w:hAnsi="Cambria Math" w:cs="Arial"/>
                <w:i/>
                <w:szCs w:val="20"/>
                <w:lang w:val="en-US"/>
              </w:rPr>
            </m:ctrlPr>
          </m:dPr>
          <m:e>
            <m:r>
              <w:rPr>
                <w:rFonts w:ascii="Cambria Math" w:hAnsi="Cambria Math" w:cs="Arial"/>
                <w:szCs w:val="20"/>
                <w:lang w:val="en-US"/>
              </w:rPr>
              <m:t>mm</m:t>
            </m:r>
          </m:e>
        </m:d>
        <m:r>
          <w:rPr>
            <w:rFonts w:ascii="Cambria Math" w:hAnsi="Cambria Math" w:cs="Arial"/>
            <w:szCs w:val="20"/>
            <w:lang w:val="en-US"/>
          </w:rPr>
          <m:t xml:space="preserve">, </m:t>
        </m:r>
      </m:oMath>
      <w:r w:rsidRPr="00C903F8">
        <w:rPr>
          <w:rFonts w:eastAsia="Calibri"/>
          <w:lang w:val="en-US" w:eastAsia="en-US"/>
        </w:rPr>
        <w:t>however, not less than 3,00 mm.</w:t>
      </w:r>
    </w:p>
    <w:p w:rsidR="00767591" w:rsidRPr="00C903F8" w:rsidRDefault="00767591" w:rsidP="00767591">
      <w:pPr>
        <w:spacing w:before="60" w:line="240" w:lineRule="atLeast"/>
        <w:ind w:left="1418"/>
        <w:rPr>
          <w:rFonts w:eastAsia="Calibri"/>
          <w:lang w:val="en-US" w:eastAsia="en-US"/>
        </w:rPr>
      </w:pPr>
      <w:r w:rsidRPr="00C903F8">
        <w:rPr>
          <w:rFonts w:eastAsia="Calibri"/>
          <w:lang w:val="en-US" w:eastAsia="en-US"/>
        </w:rPr>
        <w:t>2.</w:t>
      </w:r>
      <w:r w:rsidRPr="00C903F8">
        <w:rPr>
          <w:rFonts w:eastAsia="Calibri"/>
          <w:lang w:val="en-US" w:eastAsia="en-US"/>
        </w:rPr>
        <w:tab/>
      </w:r>
      <m:oMath>
        <m:r>
          <w:rPr>
            <w:rFonts w:ascii="Cambria Math" w:eastAsia="Calibri" w:hAnsi="Cambria Math"/>
            <w:lang w:val="en-US" w:eastAsia="en-US"/>
          </w:rPr>
          <m:t>t</m:t>
        </m:r>
        <m:r>
          <w:rPr>
            <w:rFonts w:ascii="Cambria Math" w:eastAsia="Calibri" w:hAnsi="Cambria Math"/>
            <w:noProof/>
            <w:snapToGrid w:val="0"/>
            <w:color w:val="000000"/>
            <w:position w:val="-6"/>
            <w:sz w:val="14"/>
            <w:lang w:val="en-US" w:eastAsia="en-US" w:bidi="fr-FR"/>
          </w:rPr>
          <m:t>min</m:t>
        </m:r>
        <m:r>
          <w:rPr>
            <w:rFonts w:ascii="Cambria Math" w:eastAsia="Calibri" w:hAnsi="Cambria Math"/>
            <w:lang w:val="en-US" w:eastAsia="en-US"/>
          </w:rPr>
          <m:t xml:space="preserve"> = 0,005 ∙ a </m:t>
        </m:r>
        <m:r>
          <m:rPr>
            <m:sty m:val="p"/>
          </m:rPr>
          <w:rPr>
            <w:rFonts w:ascii="Cambria Math" w:eastAsia="Calibri" w:hAnsi="Cambria Math"/>
            <w:noProof/>
          </w:rPr>
          <w:drawing>
            <wp:inline distT="0" distB="0" distL="0" distR="0" wp14:anchorId="085559FE" wp14:editId="4D6A28EF">
              <wp:extent cx="273050" cy="27305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m:r>
        <m:r>
          <w:rPr>
            <w:rFonts w:ascii="Cambria Math" w:eastAsia="Calibri" w:hAnsi="Cambria Math"/>
            <w:lang w:val="en-US" w:eastAsia="en-US"/>
          </w:rPr>
          <m:t xml:space="preserve"> [mm].</m:t>
        </m:r>
      </m:oMath>
    </w:p>
    <w:p w:rsidR="00767591" w:rsidRPr="00C903F8" w:rsidRDefault="00767591" w:rsidP="00767591">
      <w:pPr>
        <w:rPr>
          <w:lang w:val="en-US"/>
        </w:rPr>
      </w:pPr>
    </w:p>
    <w:p w:rsidR="003F616C" w:rsidRPr="00C903F8" w:rsidRDefault="003F616C" w:rsidP="00767591">
      <w:pPr>
        <w:ind w:left="1417"/>
        <w:rPr>
          <w:lang w:val="en-US"/>
        </w:rPr>
      </w:pPr>
      <w:r w:rsidRPr="00C903F8">
        <w:rPr>
          <w:rFonts w:cs="Arial"/>
          <w:szCs w:val="20"/>
          <w:lang w:val="en-US"/>
        </w:rPr>
        <w:t>where:</w:t>
      </w:r>
    </w:p>
    <w:p w:rsidR="003F616C" w:rsidRPr="00C903F8" w:rsidRDefault="00431542" w:rsidP="00511BF6">
      <w:pPr>
        <w:tabs>
          <w:tab w:val="left" w:pos="1418"/>
          <w:tab w:val="left" w:pos="1843"/>
        </w:tabs>
        <w:spacing w:before="60" w:line="240" w:lineRule="atLeast"/>
        <w:ind w:left="1843" w:hanging="850"/>
        <w:rPr>
          <w:rFonts w:eastAsia="Calibri"/>
          <w:lang w:val="en-US" w:eastAsia="en-US"/>
        </w:rPr>
      </w:pPr>
      <m:oMath>
        <m:r>
          <w:rPr>
            <w:rFonts w:ascii="Cambria Math" w:eastAsia="Calibri" w:hAnsi="Cambria Math"/>
            <w:lang w:val="en-US" w:eastAsia="en-US"/>
          </w:rPr>
          <m:t>a</m:t>
        </m:r>
      </m:oMath>
      <w:r w:rsidR="00511BF6" w:rsidRPr="00C903F8">
        <w:rPr>
          <w:rFonts w:eastAsia="Calibri"/>
          <w:lang w:val="en-US" w:eastAsia="en-US"/>
        </w:rPr>
        <w:tab/>
      </w:r>
      <w:r w:rsidR="003F616C" w:rsidRPr="00C903F8">
        <w:rPr>
          <w:rFonts w:eastAsia="Calibri"/>
          <w:lang w:val="en-US" w:eastAsia="en-US"/>
        </w:rPr>
        <w:t>=</w:t>
      </w:r>
      <w:r w:rsidR="00511BF6" w:rsidRPr="00C903F8">
        <w:rPr>
          <w:rFonts w:eastAsia="Calibri"/>
          <w:lang w:val="en-US" w:eastAsia="en-US"/>
        </w:rPr>
        <w:tab/>
      </w:r>
      <w:r w:rsidR="003F616C" w:rsidRPr="00C903F8">
        <w:rPr>
          <w:rFonts w:eastAsia="Calibri"/>
          <w:lang w:val="en-US" w:eastAsia="en-US"/>
        </w:rPr>
        <w:t>frame spacing (mm);</w:t>
      </w:r>
    </w:p>
    <w:p w:rsidR="003F616C" w:rsidRPr="00C903F8" w:rsidRDefault="00431542" w:rsidP="00511BF6">
      <w:pPr>
        <w:tabs>
          <w:tab w:val="left" w:pos="1418"/>
          <w:tab w:val="left" w:pos="1843"/>
        </w:tabs>
        <w:spacing w:before="60" w:line="240" w:lineRule="atLeast"/>
        <w:ind w:left="1843" w:hanging="850"/>
        <w:rPr>
          <w:rFonts w:eastAsia="Calibri"/>
          <w:lang w:val="en-US" w:eastAsia="en-US"/>
        </w:rPr>
      </w:pPr>
      <m:oMath>
        <m:r>
          <w:rPr>
            <w:rFonts w:ascii="Cambria Math" w:eastAsia="Calibri" w:hAnsi="Cambria Math"/>
            <w:lang w:val="en-US" w:eastAsia="en-US"/>
          </w:rPr>
          <m:t>f</m:t>
        </m:r>
      </m:oMath>
      <w:r w:rsidR="00511BF6" w:rsidRPr="00C903F8">
        <w:rPr>
          <w:rFonts w:eastAsia="Calibri"/>
          <w:lang w:val="en-US" w:eastAsia="en-US"/>
        </w:rPr>
        <w:tab/>
      </w:r>
      <w:r w:rsidR="003F616C" w:rsidRPr="00C903F8">
        <w:rPr>
          <w:rFonts w:eastAsia="Calibri"/>
          <w:lang w:val="en-US" w:eastAsia="en-US"/>
        </w:rPr>
        <w:t>=</w:t>
      </w:r>
      <w:r w:rsidR="00511BF6" w:rsidRPr="00C903F8">
        <w:rPr>
          <w:rFonts w:eastAsia="Calibri"/>
          <w:lang w:val="en-US" w:eastAsia="en-US"/>
        </w:rPr>
        <w:tab/>
      </w:r>
      <w:r w:rsidR="003F616C" w:rsidRPr="00C903F8">
        <w:rPr>
          <w:rFonts w:eastAsia="Calibri"/>
          <w:lang w:val="en-US" w:eastAsia="en-US"/>
        </w:rPr>
        <w:t>frame spacing factor</w:t>
      </w:r>
    </w:p>
    <w:p w:rsidR="00767591" w:rsidRPr="00C903F8" w:rsidRDefault="00731F17" w:rsidP="00511BF6">
      <w:pPr>
        <w:tabs>
          <w:tab w:val="left" w:pos="2268"/>
        </w:tabs>
        <w:spacing w:before="60" w:line="240" w:lineRule="atLeast"/>
        <w:ind w:left="2694" w:hanging="851"/>
        <w:rPr>
          <w:rFonts w:eastAsia="Calibri"/>
          <w:lang w:val="en-US" w:eastAsia="en-US"/>
        </w:rPr>
      </w:pPr>
      <m:oMath>
        <m:r>
          <w:rPr>
            <w:rFonts w:ascii="Cambria Math" w:eastAsia="Calibri" w:hAnsi="Cambria Math"/>
            <w:lang w:val="en-US" w:eastAsia="en-US"/>
          </w:rPr>
          <m:t>f = 1</m:t>
        </m:r>
      </m:oMath>
      <w:r w:rsidR="003F616C" w:rsidRPr="00C903F8">
        <w:rPr>
          <w:rFonts w:eastAsia="Calibri"/>
          <w:lang w:val="en-US" w:eastAsia="en-US"/>
        </w:rPr>
        <w:t xml:space="preserve"> for</w:t>
      </w:r>
      <w:r w:rsidRPr="00C903F8">
        <w:rPr>
          <w:rFonts w:eastAsia="Calibri"/>
          <w:lang w:val="en-US" w:eastAsia="en-US"/>
        </w:rPr>
        <w:t xml:space="preserve"> </w:t>
      </w:r>
      <m:oMath>
        <m:r>
          <w:rPr>
            <w:rFonts w:ascii="Cambria Math" w:eastAsia="Calibri" w:hAnsi="Cambria Math"/>
            <w:lang w:val="en-US" w:eastAsia="en-US"/>
          </w:rPr>
          <m:t>a ≤500 mm,</m:t>
        </m:r>
      </m:oMath>
      <w:r w:rsidR="003F616C" w:rsidRPr="00C903F8">
        <w:rPr>
          <w:rFonts w:eastAsia="Calibri"/>
          <w:lang w:val="en-US" w:eastAsia="en-US"/>
        </w:rPr>
        <w:t xml:space="preserve"> </w:t>
      </w:r>
    </w:p>
    <w:p w:rsidR="003F616C" w:rsidRPr="00C903F8" w:rsidRDefault="00731F17" w:rsidP="00511BF6">
      <w:pPr>
        <w:tabs>
          <w:tab w:val="left" w:pos="2268"/>
        </w:tabs>
        <w:spacing w:before="60" w:line="240" w:lineRule="atLeast"/>
        <w:ind w:left="2694" w:hanging="851"/>
        <w:rPr>
          <w:rFonts w:eastAsia="Calibri"/>
          <w:lang w:val="en-US" w:eastAsia="en-US"/>
        </w:rPr>
      </w:pPr>
      <m:oMath>
        <m:r>
          <w:rPr>
            <w:rFonts w:ascii="Cambria Math" w:eastAsia="Calibri" w:hAnsi="Cambria Math"/>
            <w:lang w:val="en-US" w:eastAsia="en-US"/>
          </w:rPr>
          <m:t>f= 1 + 0,0013 (a - 500)</m:t>
        </m:r>
      </m:oMath>
      <w:r w:rsidR="00850AFF" w:rsidRPr="00C903F8">
        <w:rPr>
          <w:rFonts w:eastAsia="Calibri"/>
          <w:lang w:val="en-US" w:eastAsia="en-US"/>
        </w:rPr>
        <w:t xml:space="preserve"> for </w:t>
      </w:r>
      <m:oMath>
        <m:r>
          <w:rPr>
            <w:rFonts w:ascii="Cambria Math" w:eastAsia="Calibri" w:hAnsi="Cambria Math"/>
            <w:lang w:val="en-US" w:eastAsia="en-US"/>
          </w:rPr>
          <m:t>a &gt; 500 mm;</m:t>
        </m:r>
      </m:oMath>
    </w:p>
    <w:p w:rsidR="003F616C" w:rsidRPr="00C903F8" w:rsidRDefault="00431542" w:rsidP="00511BF6">
      <w:pPr>
        <w:tabs>
          <w:tab w:val="left" w:pos="1418"/>
          <w:tab w:val="left" w:pos="1843"/>
        </w:tabs>
        <w:spacing w:before="60" w:line="240" w:lineRule="atLeast"/>
        <w:ind w:left="1843" w:hanging="850"/>
        <w:rPr>
          <w:rFonts w:eastAsia="Calibri"/>
          <w:lang w:val="en-US" w:eastAsia="en-US"/>
        </w:rPr>
      </w:pPr>
      <m:oMath>
        <m:r>
          <w:rPr>
            <w:rFonts w:ascii="Cambria Math" w:eastAsia="Calibri" w:hAnsi="Cambria Math"/>
            <w:lang w:val="en-US" w:eastAsia="en-US"/>
          </w:rPr>
          <m:t>b</m:t>
        </m:r>
      </m:oMath>
      <w:r w:rsidR="009058C5" w:rsidRPr="00C903F8">
        <w:rPr>
          <w:rFonts w:eastAsia="Calibri"/>
          <w:lang w:val="en-US" w:eastAsia="en-US"/>
        </w:rPr>
        <w:tab/>
      </w:r>
      <w:r w:rsidR="003F616C" w:rsidRPr="00C903F8">
        <w:rPr>
          <w:rFonts w:eastAsia="Calibri"/>
          <w:lang w:val="en-US" w:eastAsia="en-US"/>
        </w:rPr>
        <w:t>=</w:t>
      </w:r>
      <w:r w:rsidR="009058C5" w:rsidRPr="00C903F8">
        <w:rPr>
          <w:rFonts w:eastAsia="Calibri"/>
          <w:lang w:val="en-US" w:eastAsia="en-US"/>
        </w:rPr>
        <w:tab/>
      </w:r>
      <w:r w:rsidR="003F616C" w:rsidRPr="00C903F8">
        <w:rPr>
          <w:rFonts w:eastAsia="Calibri"/>
          <w:lang w:val="en-US" w:eastAsia="en-US"/>
        </w:rPr>
        <w:t>factor for bottom, side or bilge plates</w:t>
      </w:r>
    </w:p>
    <w:p w:rsidR="003F616C" w:rsidRPr="00C903F8" w:rsidRDefault="00731F17" w:rsidP="00511BF6">
      <w:pPr>
        <w:tabs>
          <w:tab w:val="left" w:pos="2268"/>
        </w:tabs>
        <w:spacing w:before="60" w:line="240" w:lineRule="atLeast"/>
        <w:ind w:left="2694" w:hanging="851"/>
        <w:rPr>
          <w:rFonts w:eastAsia="Calibri"/>
          <w:lang w:val="en-US" w:eastAsia="en-US"/>
        </w:rPr>
      </w:pPr>
      <m:oMath>
        <m:r>
          <w:rPr>
            <w:rFonts w:ascii="Cambria Math" w:eastAsia="Calibri" w:hAnsi="Cambria Math"/>
            <w:lang w:val="en-US" w:eastAsia="en-US"/>
          </w:rPr>
          <m:t>b = 1,0</m:t>
        </m:r>
      </m:oMath>
      <w:r w:rsidR="003F616C" w:rsidRPr="00C903F8">
        <w:rPr>
          <w:rFonts w:eastAsia="Calibri"/>
          <w:lang w:val="en-US" w:eastAsia="en-US"/>
        </w:rPr>
        <w:t xml:space="preserve"> for bottom plates and side plates</w:t>
      </w:r>
      <w:r w:rsidR="00850AFF" w:rsidRPr="00C903F8">
        <w:rPr>
          <w:rFonts w:eastAsia="Calibri"/>
          <w:lang w:val="en-US" w:eastAsia="en-US"/>
        </w:rPr>
        <w:t>,</w:t>
      </w:r>
      <w:r w:rsidR="003F616C" w:rsidRPr="00C903F8">
        <w:rPr>
          <w:rFonts w:eastAsia="Calibri"/>
          <w:lang w:val="en-US" w:eastAsia="en-US"/>
        </w:rPr>
        <w:t xml:space="preserve"> </w:t>
      </w:r>
    </w:p>
    <w:p w:rsidR="003F616C" w:rsidRPr="00C903F8" w:rsidRDefault="00731F17" w:rsidP="00511BF6">
      <w:pPr>
        <w:tabs>
          <w:tab w:val="left" w:pos="2268"/>
        </w:tabs>
        <w:spacing w:before="60" w:line="240" w:lineRule="atLeast"/>
        <w:ind w:left="2694" w:hanging="851"/>
        <w:rPr>
          <w:rFonts w:eastAsia="Calibri"/>
          <w:lang w:val="en-US" w:eastAsia="en-US"/>
        </w:rPr>
      </w:pPr>
      <m:oMath>
        <m:r>
          <w:rPr>
            <w:rFonts w:ascii="Cambria Math" w:eastAsia="Calibri" w:hAnsi="Cambria Math"/>
            <w:lang w:val="en-US" w:eastAsia="en-US"/>
          </w:rPr>
          <m:t>b = 1,25</m:t>
        </m:r>
      </m:oMath>
      <w:r w:rsidR="003F616C" w:rsidRPr="00C903F8">
        <w:rPr>
          <w:rFonts w:eastAsia="Calibri"/>
          <w:lang w:val="en-US" w:eastAsia="en-US"/>
        </w:rPr>
        <w:t xml:space="preserve"> for bilge plates.</w:t>
      </w:r>
    </w:p>
    <w:p w:rsidR="00767591" w:rsidRPr="00C903F8" w:rsidRDefault="00767591" w:rsidP="00767591">
      <w:pPr>
        <w:rPr>
          <w:rFonts w:cs="Arial"/>
          <w:szCs w:val="20"/>
          <w:lang w:val="en-US"/>
        </w:rPr>
      </w:pPr>
    </w:p>
    <w:p w:rsidR="003F616C" w:rsidRPr="00C903F8" w:rsidRDefault="00731F17" w:rsidP="009058C5">
      <w:pPr>
        <w:tabs>
          <w:tab w:val="left" w:pos="1418"/>
          <w:tab w:val="left" w:pos="1843"/>
        </w:tabs>
        <w:spacing w:before="60" w:line="240" w:lineRule="atLeast"/>
        <w:ind w:left="1843" w:hanging="850"/>
        <w:rPr>
          <w:rFonts w:eastAsia="Calibri"/>
          <w:lang w:val="en-US" w:eastAsia="en-US"/>
        </w:rPr>
      </w:pPr>
      <m:oMath>
        <m:r>
          <w:rPr>
            <w:rFonts w:ascii="Cambria Math" w:hAnsi="Cambria Math" w:cs="Arial"/>
            <w:lang w:val="en-US" w:eastAsia="en-US"/>
          </w:rPr>
          <m:t>f = 1</m:t>
        </m:r>
      </m:oMath>
      <w:r w:rsidRPr="00C903F8">
        <w:rPr>
          <w:rFonts w:eastAsia="Calibri"/>
          <w:lang w:val="en-US" w:eastAsia="en-US"/>
        </w:rPr>
        <w:tab/>
      </w:r>
      <w:r w:rsidR="003F616C" w:rsidRPr="00C903F8">
        <w:rPr>
          <w:rFonts w:eastAsia="Calibri"/>
          <w:lang w:val="en-US" w:eastAsia="en-US"/>
        </w:rPr>
        <w:t>may be taken for the frame spacing when calculating the minimum thickness of the side plates. However, the minimum thickness of the bilge plates may in no case be less than that of the bottom plates and side plates.</w:t>
      </w:r>
    </w:p>
    <w:p w:rsidR="003F616C" w:rsidRPr="00C903F8" w:rsidRDefault="00431542" w:rsidP="009058C5">
      <w:pPr>
        <w:tabs>
          <w:tab w:val="left" w:pos="1418"/>
          <w:tab w:val="left" w:pos="1843"/>
        </w:tabs>
        <w:spacing w:before="60" w:line="240" w:lineRule="atLeast"/>
        <w:ind w:left="1843" w:hanging="850"/>
        <w:rPr>
          <w:rFonts w:eastAsia="Calibri"/>
          <w:lang w:val="en-US" w:eastAsia="en-US"/>
        </w:rPr>
      </w:pPr>
      <m:oMath>
        <m:r>
          <w:rPr>
            <w:rFonts w:ascii="Cambria Math" w:eastAsia="Calibri" w:hAnsi="Cambria Math"/>
            <w:lang w:val="en-US" w:eastAsia="en-US"/>
          </w:rPr>
          <m:t>c</m:t>
        </m:r>
      </m:oMath>
      <w:r w:rsidR="009058C5" w:rsidRPr="00C903F8">
        <w:rPr>
          <w:rFonts w:eastAsia="Calibri"/>
          <w:lang w:val="en-US" w:eastAsia="en-US"/>
        </w:rPr>
        <w:tab/>
      </w:r>
      <w:r w:rsidR="003F616C" w:rsidRPr="00C903F8">
        <w:rPr>
          <w:rFonts w:eastAsia="Calibri"/>
          <w:lang w:val="en-US" w:eastAsia="en-US"/>
        </w:rPr>
        <w:t>=</w:t>
      </w:r>
      <w:r w:rsidR="009058C5" w:rsidRPr="00C903F8">
        <w:rPr>
          <w:rFonts w:eastAsia="Calibri"/>
          <w:lang w:val="en-US" w:eastAsia="en-US"/>
        </w:rPr>
        <w:tab/>
      </w:r>
      <w:r w:rsidR="003F616C" w:rsidRPr="00C903F8">
        <w:rPr>
          <w:rFonts w:eastAsia="Calibri"/>
          <w:lang w:val="en-US" w:eastAsia="en-US"/>
        </w:rPr>
        <w:t>factor for the type of structure:</w:t>
      </w:r>
    </w:p>
    <w:p w:rsidR="00767591" w:rsidRPr="00C903F8" w:rsidRDefault="00731F17" w:rsidP="00731F17">
      <w:pPr>
        <w:tabs>
          <w:tab w:val="left" w:pos="2835"/>
        </w:tabs>
        <w:spacing w:before="60" w:line="240" w:lineRule="atLeast"/>
        <w:ind w:left="2835" w:hanging="992"/>
        <w:rPr>
          <w:rFonts w:eastAsia="Calibri"/>
          <w:lang w:val="en-US" w:eastAsia="en-US"/>
        </w:rPr>
      </w:pPr>
      <m:oMath>
        <m:r>
          <w:rPr>
            <w:rFonts w:ascii="Cambria Math" w:eastAsia="Calibri" w:hAnsi="Cambria Math"/>
            <w:lang w:val="en-US" w:eastAsia="en-US"/>
          </w:rPr>
          <m:t>c = 0,95</m:t>
        </m:r>
      </m:oMath>
      <w:r w:rsidRPr="00C903F8">
        <w:rPr>
          <w:rFonts w:eastAsia="Calibri"/>
          <w:lang w:val="en-US" w:eastAsia="en-US"/>
        </w:rPr>
        <w:tab/>
      </w:r>
      <w:r w:rsidR="003F616C" w:rsidRPr="00C903F8">
        <w:rPr>
          <w:rFonts w:eastAsia="Calibri"/>
          <w:lang w:val="en-US" w:eastAsia="en-US"/>
        </w:rPr>
        <w:t>for vessels with double bottom and wing void, where the partition between wing void and hold is located verti</w:t>
      </w:r>
      <w:r w:rsidR="00767591" w:rsidRPr="00C903F8">
        <w:rPr>
          <w:rFonts w:eastAsia="Calibri"/>
          <w:lang w:val="en-US" w:eastAsia="en-US"/>
        </w:rPr>
        <w:t>cally in line with the coaming</w:t>
      </w:r>
      <w:r w:rsidR="00850AFF" w:rsidRPr="00C903F8">
        <w:rPr>
          <w:rFonts w:eastAsia="Calibri"/>
          <w:lang w:val="en-US" w:eastAsia="en-US"/>
        </w:rPr>
        <w:t>,</w:t>
      </w:r>
    </w:p>
    <w:p w:rsidR="003F616C" w:rsidRPr="00C903F8" w:rsidRDefault="00731F17" w:rsidP="00731F17">
      <w:pPr>
        <w:tabs>
          <w:tab w:val="left" w:pos="2835"/>
        </w:tabs>
        <w:spacing w:before="60" w:line="240" w:lineRule="atLeast"/>
        <w:ind w:left="2835" w:hanging="992"/>
        <w:rPr>
          <w:rFonts w:eastAsia="Calibri"/>
          <w:lang w:val="en-US" w:eastAsia="en-US"/>
        </w:rPr>
      </w:pPr>
      <m:oMath>
        <m:r>
          <w:rPr>
            <w:rFonts w:ascii="Cambria Math" w:eastAsia="Calibri" w:hAnsi="Cambria Math"/>
            <w:lang w:val="en-US" w:eastAsia="en-US"/>
          </w:rPr>
          <m:t>c = 1,0</m:t>
        </m:r>
      </m:oMath>
      <w:r w:rsidRPr="00C903F8">
        <w:rPr>
          <w:rFonts w:eastAsia="Calibri"/>
          <w:lang w:val="en-US" w:eastAsia="en-US"/>
        </w:rPr>
        <w:tab/>
      </w:r>
      <w:r w:rsidR="003F616C" w:rsidRPr="00C903F8">
        <w:rPr>
          <w:rFonts w:eastAsia="Calibri"/>
          <w:lang w:val="en-US" w:eastAsia="en-US"/>
        </w:rPr>
        <w:t>for all other types of structure.</w:t>
      </w:r>
    </w:p>
    <w:p w:rsidR="003F616C" w:rsidRPr="00C903F8" w:rsidRDefault="00850AFF" w:rsidP="00511BF6">
      <w:pPr>
        <w:pStyle w:val="ESlet"/>
        <w:rPr>
          <w:lang w:val="en-US"/>
        </w:rPr>
      </w:pPr>
      <w:r w:rsidRPr="00C903F8">
        <w:rPr>
          <w:rFonts w:cs="Arial"/>
          <w:szCs w:val="20"/>
          <w:lang w:val="en-US"/>
        </w:rPr>
        <w:br w:type="page"/>
      </w:r>
      <w:r w:rsidR="005C7859" w:rsidRPr="00C903F8">
        <w:rPr>
          <w:rFonts w:cs="Arial"/>
          <w:szCs w:val="20"/>
          <w:lang w:val="en-US"/>
        </w:rPr>
        <w:lastRenderedPageBreak/>
        <w:t>c)</w:t>
      </w:r>
      <w:r w:rsidR="003F616C" w:rsidRPr="00C903F8">
        <w:rPr>
          <w:rFonts w:cs="Arial"/>
          <w:szCs w:val="20"/>
          <w:lang w:val="en-US"/>
        </w:rPr>
        <w:tab/>
        <w:t xml:space="preserve">In longitudinally framed vessels with double bottom and wing voids, the minimum value calculated for the plate thickness in accordance with the formulae in (b) may be reduced to a calculated value certified by a </w:t>
      </w:r>
      <w:r w:rsidR="004E1AD0" w:rsidRPr="00C903F8">
        <w:rPr>
          <w:rFonts w:cs="Arial"/>
          <w:szCs w:val="20"/>
          <w:lang w:val="en-US"/>
        </w:rPr>
        <w:t>recognised</w:t>
      </w:r>
      <w:r w:rsidR="003F616C" w:rsidRPr="00C903F8">
        <w:rPr>
          <w:rFonts w:cs="Arial"/>
          <w:szCs w:val="20"/>
          <w:lang w:val="en-US"/>
        </w:rPr>
        <w:t xml:space="preserve"> classification society for sufficient hull strength (longitudinal, lateral and local strength).</w:t>
      </w:r>
    </w:p>
    <w:p w:rsidR="003F616C" w:rsidRPr="00C903F8" w:rsidRDefault="003F616C" w:rsidP="009058C5">
      <w:pPr>
        <w:pStyle w:val="ESletpar"/>
        <w:rPr>
          <w:lang w:val="en-US"/>
        </w:rPr>
      </w:pPr>
      <w:r w:rsidRPr="00C903F8">
        <w:rPr>
          <w:lang w:val="en-US"/>
        </w:rPr>
        <w:t>Plates shall be renewed if bottom, bilge or side plates are below the permissible value laid down in this way.</w:t>
      </w:r>
    </w:p>
    <w:p w:rsidR="003F616C" w:rsidRPr="00C903F8" w:rsidRDefault="003F616C" w:rsidP="009058C5">
      <w:pPr>
        <w:pStyle w:val="ESletpar"/>
        <w:rPr>
          <w:rFonts w:cs="Arial"/>
          <w:szCs w:val="20"/>
          <w:lang w:val="en-US"/>
        </w:rPr>
      </w:pPr>
      <w:r w:rsidRPr="00C903F8">
        <w:rPr>
          <w:rFonts w:cs="Arial"/>
          <w:szCs w:val="20"/>
          <w:lang w:val="en-US"/>
        </w:rPr>
        <w:t>The minimum values calculated in accordance with the method are limit values taking account of normal, uniform wear, and provided that shipbuilding steel is used and that the internal structural components such as frames, frame floor, main longitudinal and transverse structural members are in a good state and that the hull shows no indication of any overloading of the longitudinal strength.</w:t>
      </w:r>
    </w:p>
    <w:p w:rsidR="003F616C" w:rsidRPr="00C903F8" w:rsidRDefault="003F616C" w:rsidP="009058C5">
      <w:pPr>
        <w:pStyle w:val="ESletpar"/>
        <w:rPr>
          <w:rFonts w:cs="Arial"/>
          <w:szCs w:val="20"/>
          <w:lang w:val="en-US"/>
        </w:rPr>
      </w:pPr>
      <w:r w:rsidRPr="00C903F8">
        <w:rPr>
          <w:rFonts w:cs="Arial"/>
          <w:szCs w:val="20"/>
          <w:lang w:val="en-US"/>
        </w:rPr>
        <w:t>As soon as these values are no longer achieved, the plates in question shall be repaired or replaced. However, lesser thicknesses, of not more than 10</w:t>
      </w:r>
      <w:r w:rsidR="0075795F">
        <w:rPr>
          <w:rFonts w:cs="Arial"/>
          <w:szCs w:val="20"/>
          <w:lang w:val="en-US"/>
        </w:rPr>
        <w:t> </w:t>
      </w:r>
      <w:r w:rsidRPr="00C903F8">
        <w:rPr>
          <w:rFonts w:cs="Arial"/>
          <w:szCs w:val="20"/>
          <w:lang w:val="en-US"/>
        </w:rPr>
        <w:t>% reduction from calculated values, are acceptable locally for small areas.</w:t>
      </w:r>
    </w:p>
    <w:p w:rsidR="00767591" w:rsidRPr="00C903F8" w:rsidRDefault="00767591" w:rsidP="006A4BCB">
      <w:pPr>
        <w:pStyle w:val="ESch"/>
        <w:rPr>
          <w:lang w:val="en-US"/>
        </w:rPr>
      </w:pPr>
    </w:p>
    <w:p w:rsidR="003F616C" w:rsidRPr="00C903F8" w:rsidRDefault="003F616C" w:rsidP="008E6308">
      <w:pPr>
        <w:pStyle w:val="ESch"/>
        <w:rPr>
          <w:lang w:val="en-US"/>
        </w:rPr>
      </w:pPr>
      <w:r w:rsidRPr="00C903F8">
        <w:rPr>
          <w:lang w:val="en-US"/>
        </w:rPr>
        <w:t>2.</w:t>
      </w:r>
      <w:r w:rsidRPr="00C903F8">
        <w:rPr>
          <w:lang w:val="en-US"/>
        </w:rPr>
        <w:tab/>
        <w:t xml:space="preserve">Where a material other than steel is used for the construction of the hull, it shall be proved by calculation that the hull strength (longitudinal, lateral and local strength) equals at least the strength that would result from the use of steel under the assumption of minimum thickness in accordance with </w:t>
      </w:r>
      <w:r w:rsidR="009827B2" w:rsidRPr="00C903F8">
        <w:rPr>
          <w:lang w:val="en-US"/>
        </w:rPr>
        <w:t>(</w:t>
      </w:r>
      <w:r w:rsidRPr="00C903F8">
        <w:rPr>
          <w:lang w:val="en-US"/>
        </w:rPr>
        <w:t>1</w:t>
      </w:r>
      <w:r w:rsidR="009827B2" w:rsidRPr="00C903F8">
        <w:rPr>
          <w:lang w:val="en-US"/>
        </w:rPr>
        <w:t>)</w:t>
      </w:r>
      <w:r w:rsidRPr="00C903F8">
        <w:rPr>
          <w:lang w:val="en-US"/>
        </w:rPr>
        <w:t>. If a certificate of class or a declaration issued by a recognised classification society is presented, a proof by calculation may be dispensed with.</w:t>
      </w:r>
    </w:p>
    <w:p w:rsidR="00767591" w:rsidRPr="00C903F8" w:rsidRDefault="00767591" w:rsidP="003F616C">
      <w:pPr>
        <w:rPr>
          <w:rFonts w:cs="Arial"/>
          <w:szCs w:val="20"/>
          <w:lang w:val="en-US"/>
        </w:rPr>
      </w:pPr>
    </w:p>
    <w:p w:rsidR="003F616C" w:rsidRPr="00C903F8" w:rsidRDefault="003F616C" w:rsidP="008E6308">
      <w:pPr>
        <w:pStyle w:val="ESch"/>
        <w:rPr>
          <w:lang w:val="en-US"/>
        </w:rPr>
      </w:pPr>
      <w:r w:rsidRPr="00C903F8">
        <w:rPr>
          <w:lang w:val="en-US"/>
        </w:rPr>
        <w:t>3.</w:t>
      </w:r>
      <w:r w:rsidRPr="00C903F8">
        <w:rPr>
          <w:lang w:val="en-US"/>
        </w:rPr>
        <w:tab/>
        <w:t>The stability of vessels shall correspond to their intended use.</w:t>
      </w:r>
    </w:p>
    <w:p w:rsidR="00767591" w:rsidRPr="00C903F8" w:rsidRDefault="00767591" w:rsidP="003F616C">
      <w:pPr>
        <w:rPr>
          <w:rFonts w:cs="Arial"/>
          <w:i/>
          <w:szCs w:val="20"/>
          <w:lang w:val="en-US"/>
        </w:rPr>
      </w:pPr>
    </w:p>
    <w:p w:rsidR="00767591" w:rsidRPr="00C903F8" w:rsidRDefault="00767591" w:rsidP="003F616C">
      <w:pPr>
        <w:rPr>
          <w:rFonts w:cs="Arial"/>
          <w:i/>
          <w:szCs w:val="20"/>
          <w:lang w:val="en-US"/>
        </w:rPr>
      </w:pPr>
    </w:p>
    <w:p w:rsidR="003F616C" w:rsidRPr="00C903F8" w:rsidRDefault="003F616C" w:rsidP="00767591">
      <w:pPr>
        <w:pStyle w:val="ES-Titre3"/>
        <w:rPr>
          <w:lang w:val="en-US"/>
        </w:rPr>
      </w:pPr>
      <w:bookmarkStart w:id="17" w:name="_Toc491854011"/>
      <w:r w:rsidRPr="00C903F8">
        <w:rPr>
          <w:lang w:val="en-US"/>
        </w:rPr>
        <w:t>Article 3.03</w:t>
      </w:r>
      <w:r w:rsidRPr="00C903F8">
        <w:rPr>
          <w:lang w:val="en-US"/>
        </w:rPr>
        <w:br/>
      </w:r>
      <w:r w:rsidRPr="00C903F8">
        <w:rPr>
          <w:i/>
          <w:lang w:val="en-US"/>
        </w:rPr>
        <w:t>Hull</w:t>
      </w:r>
      <w:bookmarkEnd w:id="17"/>
    </w:p>
    <w:p w:rsidR="00767591" w:rsidRPr="00C903F8" w:rsidRDefault="00767591" w:rsidP="003F616C">
      <w:pPr>
        <w:rPr>
          <w:rFonts w:cs="Arial"/>
          <w:szCs w:val="20"/>
          <w:lang w:val="en-US"/>
        </w:rPr>
      </w:pPr>
    </w:p>
    <w:p w:rsidR="003F616C" w:rsidRPr="00C903F8" w:rsidRDefault="003F616C" w:rsidP="009058C5">
      <w:pPr>
        <w:pStyle w:val="ESch"/>
        <w:rPr>
          <w:lang w:val="en-US"/>
        </w:rPr>
      </w:pPr>
      <w:r w:rsidRPr="00C903F8">
        <w:rPr>
          <w:rFonts w:cs="Arial"/>
          <w:szCs w:val="20"/>
          <w:lang w:val="en-US"/>
        </w:rPr>
        <w:t>1.</w:t>
      </w:r>
      <w:r w:rsidRPr="00C903F8">
        <w:rPr>
          <w:rFonts w:cs="Arial"/>
          <w:szCs w:val="20"/>
          <w:lang w:val="en-US"/>
        </w:rPr>
        <w:tab/>
        <w:t>Bulkheads rising up to the deck or, where there is no deck, up to the gunwale, shall be installed at the following points:</w:t>
      </w:r>
    </w:p>
    <w:p w:rsidR="003F616C" w:rsidRPr="00C903F8" w:rsidRDefault="005C7859" w:rsidP="008E6308">
      <w:pPr>
        <w:pStyle w:val="ESlet"/>
        <w:rPr>
          <w:lang w:val="en-US"/>
        </w:rPr>
      </w:pPr>
      <w:r w:rsidRPr="00C903F8">
        <w:rPr>
          <w:rFonts w:cs="Arial"/>
          <w:szCs w:val="20"/>
          <w:lang w:val="en-US"/>
        </w:rPr>
        <w:t>a)</w:t>
      </w:r>
      <w:r w:rsidR="003F616C" w:rsidRPr="00C903F8">
        <w:rPr>
          <w:rFonts w:cs="Arial"/>
          <w:szCs w:val="20"/>
          <w:lang w:val="en-US"/>
        </w:rPr>
        <w:tab/>
        <w:t>A collision bulkhead at a suitable distance from the bow in such a way that the buoyancy of the laden vessel is ensured, with a residual safety clearance of 100 mm if water enters the watertight compartment ahead of the collision bulkhead.</w:t>
      </w:r>
    </w:p>
    <w:p w:rsidR="003F616C" w:rsidRPr="00C903F8" w:rsidRDefault="003F616C" w:rsidP="008E6308">
      <w:pPr>
        <w:pStyle w:val="ESletpar"/>
        <w:rPr>
          <w:lang w:val="en-US"/>
        </w:rPr>
      </w:pPr>
      <w:r w:rsidRPr="00C903F8">
        <w:rPr>
          <w:rFonts w:cs="Arial"/>
          <w:szCs w:val="20"/>
          <w:lang w:val="en-US"/>
        </w:rPr>
        <w:t xml:space="preserve">As a general rule, the requirement referred to in </w:t>
      </w:r>
      <w:r w:rsidR="009827B2" w:rsidRPr="00C903F8">
        <w:rPr>
          <w:rFonts w:cs="Arial"/>
          <w:szCs w:val="20"/>
          <w:lang w:val="en-US"/>
        </w:rPr>
        <w:t>(</w:t>
      </w:r>
      <w:r w:rsidRPr="00C903F8">
        <w:rPr>
          <w:rFonts w:cs="Arial"/>
          <w:szCs w:val="20"/>
          <w:lang w:val="en-US"/>
        </w:rPr>
        <w:t>1</w:t>
      </w:r>
      <w:r w:rsidR="009827B2" w:rsidRPr="00C903F8">
        <w:rPr>
          <w:rFonts w:cs="Arial"/>
          <w:szCs w:val="20"/>
          <w:lang w:val="en-US"/>
        </w:rPr>
        <w:t>)</w:t>
      </w:r>
      <w:r w:rsidRPr="00C903F8">
        <w:rPr>
          <w:rFonts w:cs="Arial"/>
          <w:szCs w:val="20"/>
          <w:lang w:val="en-US"/>
        </w:rPr>
        <w:t xml:space="preserve"> shall be considered to have been met if the collision bulkhead has been installed at a distance of between </w:t>
      </w:r>
      <m:oMath>
        <m:r>
          <w:rPr>
            <w:rFonts w:ascii="Cambria Math" w:hAnsi="Cambria Math" w:cs="Arial"/>
            <w:szCs w:val="20"/>
            <w:lang w:val="en-US"/>
          </w:rPr>
          <m:t>0,04 L</m:t>
        </m:r>
      </m:oMath>
      <w:r w:rsidRPr="00C903F8">
        <w:rPr>
          <w:rFonts w:cs="Arial"/>
          <w:szCs w:val="20"/>
          <w:lang w:val="en-US"/>
        </w:rPr>
        <w:t xml:space="preserve"> and </w:t>
      </w:r>
      <m:oMath>
        <m:r>
          <w:rPr>
            <w:rFonts w:ascii="Cambria Math" w:hAnsi="Cambria Math" w:cs="Arial"/>
            <w:szCs w:val="20"/>
            <w:lang w:val="en-US"/>
          </w:rPr>
          <m:t>0,04 L + 2 m</m:t>
        </m:r>
      </m:oMath>
      <w:r w:rsidRPr="00C903F8">
        <w:rPr>
          <w:rFonts w:cs="Arial"/>
          <w:szCs w:val="20"/>
          <w:lang w:val="en-US"/>
        </w:rPr>
        <w:t xml:space="preserve"> measured from the forward perpendicular in the plane of maximum draught.</w:t>
      </w:r>
    </w:p>
    <w:p w:rsidR="003F616C" w:rsidRPr="00C903F8" w:rsidRDefault="003F616C" w:rsidP="008E6308">
      <w:pPr>
        <w:pStyle w:val="ESletpar"/>
        <w:rPr>
          <w:lang w:val="en-US"/>
        </w:rPr>
      </w:pPr>
      <w:r w:rsidRPr="00C903F8">
        <w:rPr>
          <w:rFonts w:cs="Arial"/>
          <w:szCs w:val="20"/>
          <w:lang w:val="en-US"/>
        </w:rPr>
        <w:t xml:space="preserve">If this distance exceeds </w:t>
      </w:r>
      <m:oMath>
        <m:r>
          <w:rPr>
            <w:rFonts w:ascii="Cambria Math" w:hAnsi="Cambria Math" w:cs="Arial"/>
            <w:szCs w:val="20"/>
            <w:lang w:val="en-US"/>
          </w:rPr>
          <m:t>0,04 L + 2 m</m:t>
        </m:r>
      </m:oMath>
      <w:r w:rsidRPr="00C903F8">
        <w:rPr>
          <w:rFonts w:cs="Arial"/>
          <w:szCs w:val="20"/>
          <w:lang w:val="en-US"/>
        </w:rPr>
        <w:t xml:space="preserve">, the requirement set out in </w:t>
      </w:r>
      <w:r w:rsidR="009827B2" w:rsidRPr="00C903F8">
        <w:rPr>
          <w:rFonts w:cs="Arial"/>
          <w:szCs w:val="20"/>
          <w:lang w:val="en-US"/>
        </w:rPr>
        <w:t>(</w:t>
      </w:r>
      <w:r w:rsidRPr="00C903F8">
        <w:rPr>
          <w:rFonts w:cs="Arial"/>
          <w:szCs w:val="20"/>
          <w:lang w:val="en-US"/>
        </w:rPr>
        <w:t>1</w:t>
      </w:r>
      <w:r w:rsidR="009827B2" w:rsidRPr="00C903F8">
        <w:rPr>
          <w:rFonts w:cs="Arial"/>
          <w:szCs w:val="20"/>
          <w:lang w:val="en-US"/>
        </w:rPr>
        <w:t>)</w:t>
      </w:r>
      <w:r w:rsidRPr="00C903F8">
        <w:rPr>
          <w:rFonts w:cs="Arial"/>
          <w:szCs w:val="20"/>
          <w:lang w:val="en-US"/>
        </w:rPr>
        <w:t xml:space="preserve"> shall be proved by calculation.</w:t>
      </w:r>
    </w:p>
    <w:p w:rsidR="00767591" w:rsidRPr="00C903F8" w:rsidRDefault="003F616C" w:rsidP="008E6308">
      <w:pPr>
        <w:pStyle w:val="ESletpar"/>
        <w:rPr>
          <w:rFonts w:cs="Arial"/>
          <w:szCs w:val="20"/>
          <w:lang w:val="en-US"/>
        </w:rPr>
      </w:pPr>
      <w:r w:rsidRPr="00C903F8">
        <w:rPr>
          <w:rFonts w:cs="Arial"/>
          <w:szCs w:val="20"/>
          <w:lang w:val="en-US"/>
        </w:rPr>
        <w:t xml:space="preserve">The distance may be reduced to </w:t>
      </w:r>
      <m:oMath>
        <m:r>
          <w:rPr>
            <w:rFonts w:ascii="Cambria Math" w:hAnsi="Cambria Math" w:cs="Arial"/>
            <w:szCs w:val="20"/>
            <w:lang w:val="en-US"/>
          </w:rPr>
          <m:t>0,03 L</m:t>
        </m:r>
      </m:oMath>
      <w:r w:rsidRPr="00C903F8">
        <w:rPr>
          <w:rFonts w:cs="Arial"/>
          <w:szCs w:val="20"/>
          <w:lang w:val="en-US"/>
        </w:rPr>
        <w:t xml:space="preserve">. In that case the requirement referred to in </w:t>
      </w:r>
      <w:r w:rsidR="009827B2" w:rsidRPr="00C903F8">
        <w:rPr>
          <w:rFonts w:cs="Arial"/>
          <w:szCs w:val="20"/>
          <w:lang w:val="en-US"/>
        </w:rPr>
        <w:t>(</w:t>
      </w:r>
      <w:r w:rsidRPr="00C903F8">
        <w:rPr>
          <w:rFonts w:cs="Arial"/>
          <w:szCs w:val="20"/>
          <w:lang w:val="en-US"/>
        </w:rPr>
        <w:t>1</w:t>
      </w:r>
      <w:r w:rsidR="009827B2" w:rsidRPr="00C903F8">
        <w:rPr>
          <w:rFonts w:cs="Arial"/>
          <w:szCs w:val="20"/>
          <w:lang w:val="en-US"/>
        </w:rPr>
        <w:t>)</w:t>
      </w:r>
      <w:r w:rsidRPr="00C903F8">
        <w:rPr>
          <w:rFonts w:cs="Arial"/>
          <w:szCs w:val="20"/>
          <w:lang w:val="en-US"/>
        </w:rPr>
        <w:t xml:space="preserve"> shall be proved by calculation on the assumption that the compartment ahead of the collision bulkhead and those adjacent have all been filled with water.</w:t>
      </w:r>
    </w:p>
    <w:p w:rsidR="00C62373" w:rsidRPr="00C903F8" w:rsidRDefault="00C62373" w:rsidP="00767591">
      <w:pPr>
        <w:ind w:firstLine="0"/>
        <w:rPr>
          <w:rFonts w:cs="Arial"/>
          <w:szCs w:val="20"/>
          <w:lang w:val="en-US"/>
        </w:rPr>
      </w:pPr>
    </w:p>
    <w:p w:rsidR="00C62373" w:rsidRPr="00C903F8" w:rsidRDefault="00C62373" w:rsidP="00767591">
      <w:pPr>
        <w:ind w:firstLine="0"/>
        <w:rPr>
          <w:rFonts w:cs="Arial"/>
          <w:szCs w:val="20"/>
          <w:lang w:val="en-US"/>
        </w:rPr>
      </w:pPr>
    </w:p>
    <w:p w:rsidR="00767591" w:rsidRPr="00C903F8" w:rsidRDefault="00767591" w:rsidP="00321E38">
      <w:pPr>
        <w:ind w:firstLine="0"/>
        <w:rPr>
          <w:rFonts w:cs="Arial"/>
          <w:szCs w:val="20"/>
          <w:lang w:val="en-US"/>
        </w:rPr>
      </w:pPr>
      <w:r w:rsidRPr="00C903F8">
        <w:rPr>
          <w:rFonts w:cs="Arial"/>
          <w:szCs w:val="20"/>
          <w:lang w:val="en-US"/>
        </w:rPr>
        <w:br w:type="page"/>
      </w:r>
    </w:p>
    <w:p w:rsidR="003F616C" w:rsidRPr="00C903F8" w:rsidRDefault="003F616C" w:rsidP="008E6308">
      <w:pPr>
        <w:pStyle w:val="ESlet"/>
        <w:rPr>
          <w:rFonts w:cs="Arial"/>
          <w:szCs w:val="20"/>
          <w:lang w:val="en-US"/>
        </w:rPr>
      </w:pPr>
      <w:r w:rsidRPr="00C903F8">
        <w:rPr>
          <w:rFonts w:cs="Arial"/>
          <w:szCs w:val="20"/>
          <w:lang w:val="en-US"/>
        </w:rPr>
        <w:lastRenderedPageBreak/>
        <w:t>b)</w:t>
      </w:r>
      <w:r w:rsidRPr="00C903F8">
        <w:rPr>
          <w:rFonts w:cs="Arial"/>
          <w:szCs w:val="20"/>
          <w:lang w:val="en-US"/>
        </w:rPr>
        <w:tab/>
        <w:t xml:space="preserve">An aft-peak bulkhead at a suitable distance from the stern where the vessel length </w:t>
      </w:r>
      <m:oMath>
        <m:r>
          <w:rPr>
            <w:rFonts w:ascii="Cambria Math" w:hAnsi="Cambria Math" w:cs="Arial"/>
            <w:szCs w:val="20"/>
            <w:lang w:val="en-US"/>
          </w:rPr>
          <m:t>L</m:t>
        </m:r>
      </m:oMath>
      <w:r w:rsidRPr="00C903F8">
        <w:rPr>
          <w:rFonts w:cs="Arial"/>
          <w:szCs w:val="20"/>
          <w:lang w:val="en-US"/>
        </w:rPr>
        <w:t xml:space="preserve"> exceeds 25 m in such a way that the buoyancy of the laden vessel is ensured, with a residual safety clearance of 100 mm if water enters the watertight compartment aft of the aft peak bulkhead.</w:t>
      </w:r>
    </w:p>
    <w:p w:rsidR="003F616C" w:rsidRPr="00C903F8" w:rsidRDefault="003F616C" w:rsidP="008E6308">
      <w:pPr>
        <w:pStyle w:val="ESletpar"/>
        <w:rPr>
          <w:rFonts w:cs="Arial"/>
          <w:szCs w:val="20"/>
          <w:lang w:val="en-US"/>
        </w:rPr>
      </w:pPr>
      <w:r w:rsidRPr="00C903F8">
        <w:rPr>
          <w:rFonts w:cs="Arial"/>
          <w:szCs w:val="20"/>
          <w:lang w:val="en-US"/>
        </w:rPr>
        <w:t>As a general rule, the requirement referred to in the first subparagraph shall be considered to have been met if the aft peak bulkhead has been installed at a distance of between 1</w:t>
      </w:r>
      <w:r w:rsidR="00C62373" w:rsidRPr="00C903F8">
        <w:rPr>
          <w:rFonts w:cs="Arial"/>
          <w:szCs w:val="20"/>
          <w:lang w:val="en-US"/>
        </w:rPr>
        <w:t>,</w:t>
      </w:r>
      <w:r w:rsidRPr="00C903F8">
        <w:rPr>
          <w:rFonts w:cs="Arial"/>
          <w:szCs w:val="20"/>
          <w:lang w:val="en-US"/>
        </w:rPr>
        <w:t>4</w:t>
      </w:r>
      <w:r w:rsidR="00C62373" w:rsidRPr="00C903F8">
        <w:rPr>
          <w:rFonts w:cs="Arial"/>
          <w:szCs w:val="20"/>
          <w:lang w:val="en-US"/>
        </w:rPr>
        <w:t> </w:t>
      </w:r>
      <w:r w:rsidRPr="00C903F8">
        <w:rPr>
          <w:rFonts w:cs="Arial"/>
          <w:szCs w:val="20"/>
          <w:lang w:val="en-US"/>
        </w:rPr>
        <w:t xml:space="preserve">m and </w:t>
      </w:r>
      <m:oMath>
        <m:r>
          <w:rPr>
            <w:rFonts w:ascii="Cambria Math" w:hAnsi="Cambria Math" w:cs="Arial"/>
            <w:szCs w:val="20"/>
            <w:lang w:val="en-US"/>
          </w:rPr>
          <m:t>0,04 L + 2 m</m:t>
        </m:r>
      </m:oMath>
      <w:r w:rsidRPr="00C903F8">
        <w:rPr>
          <w:rFonts w:cs="Arial"/>
          <w:szCs w:val="20"/>
          <w:lang w:val="en-US"/>
        </w:rPr>
        <w:t xml:space="preserve"> measured from the aft point of the intersection of the hull with the maximum draught line.</w:t>
      </w:r>
    </w:p>
    <w:p w:rsidR="003F616C" w:rsidRPr="00C903F8" w:rsidRDefault="003F616C" w:rsidP="008E6308">
      <w:pPr>
        <w:pStyle w:val="ESletpar"/>
        <w:rPr>
          <w:rFonts w:cs="Arial"/>
          <w:szCs w:val="20"/>
          <w:lang w:val="en-US"/>
        </w:rPr>
      </w:pPr>
      <w:r w:rsidRPr="00C903F8">
        <w:rPr>
          <w:rFonts w:cs="Arial"/>
          <w:szCs w:val="20"/>
          <w:lang w:val="en-US"/>
        </w:rPr>
        <w:t xml:space="preserve">If this distance is greater than </w:t>
      </w:r>
      <m:oMath>
        <m:r>
          <w:rPr>
            <w:rFonts w:ascii="Cambria Math" w:hAnsi="Cambria Math" w:cs="Arial"/>
            <w:szCs w:val="20"/>
            <w:lang w:val="en-US"/>
          </w:rPr>
          <m:t>0,04 L + 2 m</m:t>
        </m:r>
      </m:oMath>
      <w:r w:rsidRPr="00C903F8">
        <w:rPr>
          <w:rFonts w:cs="Arial"/>
          <w:szCs w:val="20"/>
          <w:lang w:val="en-US"/>
        </w:rPr>
        <w:t>, the requirement referred to in the first subparagraph must be proved by calculation.</w:t>
      </w:r>
    </w:p>
    <w:p w:rsidR="003F616C" w:rsidRPr="00C903F8" w:rsidRDefault="003F616C" w:rsidP="008E6308">
      <w:pPr>
        <w:pStyle w:val="ESletpar"/>
        <w:rPr>
          <w:lang w:val="en-US"/>
        </w:rPr>
      </w:pPr>
      <w:r w:rsidRPr="00C903F8">
        <w:rPr>
          <w:rFonts w:cs="Arial"/>
          <w:szCs w:val="20"/>
          <w:lang w:val="en-US"/>
        </w:rPr>
        <w:t>The distance may be decreased to 1 m. In this case, the requirement referred to in the first subparagraph must be substantiated by calculation on the assumption that the compartment aft of the aft peak bulkhead and the immediately adjacent compartments have been filled with water.</w:t>
      </w:r>
    </w:p>
    <w:p w:rsidR="00767591" w:rsidRPr="00C903F8" w:rsidRDefault="00767591" w:rsidP="008E6308">
      <w:pPr>
        <w:pStyle w:val="ESch"/>
        <w:rPr>
          <w:rFonts w:cs="Arial"/>
          <w:szCs w:val="20"/>
          <w:lang w:val="en-US"/>
        </w:rPr>
      </w:pPr>
    </w:p>
    <w:p w:rsidR="005A78A5" w:rsidRDefault="003F616C" w:rsidP="00321E38">
      <w:pPr>
        <w:pStyle w:val="ESch"/>
        <w:rPr>
          <w:rFonts w:cs="Arial"/>
          <w:szCs w:val="20"/>
          <w:lang w:val="en-US"/>
        </w:rPr>
      </w:pPr>
      <w:r w:rsidRPr="00C903F8">
        <w:rPr>
          <w:rFonts w:cs="Arial"/>
          <w:szCs w:val="20"/>
          <w:lang w:val="en-US"/>
        </w:rPr>
        <w:t>2.</w:t>
      </w:r>
      <w:r w:rsidRPr="00C903F8">
        <w:rPr>
          <w:rFonts w:cs="Arial"/>
          <w:szCs w:val="20"/>
          <w:lang w:val="en-US"/>
        </w:rPr>
        <w:tab/>
        <w:t xml:space="preserve">No accommodation or installations needed for vessel safety or operation may be located ahead of the plane of the collision bulkhead or aft of the aft-peak bulkhead. </w:t>
      </w:r>
    </w:p>
    <w:p w:rsidR="005A78A5" w:rsidRDefault="005A78A5" w:rsidP="00321E38">
      <w:pPr>
        <w:pStyle w:val="ESch"/>
        <w:rPr>
          <w:rFonts w:cs="Arial"/>
          <w:szCs w:val="20"/>
          <w:lang w:val="en-US"/>
        </w:rPr>
      </w:pPr>
    </w:p>
    <w:p w:rsidR="003F616C" w:rsidRPr="00C903F8" w:rsidRDefault="003F616C" w:rsidP="005A78A5">
      <w:pPr>
        <w:pStyle w:val="ESchpar"/>
        <w:rPr>
          <w:lang w:val="en-US"/>
        </w:rPr>
      </w:pPr>
      <w:r w:rsidRPr="00C903F8">
        <w:rPr>
          <w:lang w:val="en-US"/>
        </w:rPr>
        <w:t>This requirement shall not apply to anchor gear or steering apparatus.</w:t>
      </w:r>
    </w:p>
    <w:p w:rsidR="00767591" w:rsidRPr="00C903F8" w:rsidRDefault="00767591" w:rsidP="00321E38">
      <w:pPr>
        <w:pStyle w:val="ESch"/>
        <w:rPr>
          <w:rFonts w:cs="Arial"/>
          <w:szCs w:val="20"/>
          <w:lang w:val="en-US"/>
        </w:rPr>
      </w:pPr>
    </w:p>
    <w:p w:rsidR="003F616C" w:rsidRPr="00C903F8" w:rsidRDefault="003F616C" w:rsidP="00321E38">
      <w:pPr>
        <w:pStyle w:val="ESch"/>
        <w:rPr>
          <w:lang w:val="en-US"/>
        </w:rPr>
      </w:pPr>
      <w:r w:rsidRPr="00C903F8">
        <w:rPr>
          <w:rFonts w:cs="Arial"/>
          <w:szCs w:val="20"/>
          <w:lang w:val="en-US"/>
        </w:rPr>
        <w:t>3.</w:t>
      </w:r>
      <w:r w:rsidRPr="00C903F8">
        <w:rPr>
          <w:rFonts w:cs="Arial"/>
          <w:szCs w:val="20"/>
          <w:lang w:val="en-US"/>
        </w:rPr>
        <w:tab/>
        <w:t>The accommodation, engine rooms and boiler rooms, and the workspaces forming part of these shall be separated from the holds by watertight transverse bulkheads that extend up to the deck.</w:t>
      </w:r>
    </w:p>
    <w:p w:rsidR="00767591" w:rsidRPr="00C903F8" w:rsidRDefault="00767591" w:rsidP="00321E38">
      <w:pPr>
        <w:pStyle w:val="ESch"/>
        <w:rPr>
          <w:rFonts w:cs="Arial"/>
          <w:szCs w:val="20"/>
          <w:lang w:val="en-US"/>
        </w:rPr>
      </w:pPr>
    </w:p>
    <w:p w:rsidR="003F616C" w:rsidRPr="00C903F8" w:rsidRDefault="003F616C" w:rsidP="00321E38">
      <w:pPr>
        <w:pStyle w:val="ESch"/>
        <w:rPr>
          <w:lang w:val="en-US"/>
        </w:rPr>
      </w:pPr>
      <w:r w:rsidRPr="00C903F8">
        <w:rPr>
          <w:rFonts w:cs="Arial"/>
          <w:szCs w:val="20"/>
          <w:lang w:val="en-US"/>
        </w:rPr>
        <w:t>4.</w:t>
      </w:r>
      <w:r w:rsidRPr="00C903F8">
        <w:rPr>
          <w:rFonts w:cs="Arial"/>
          <w:szCs w:val="20"/>
          <w:lang w:val="en-US"/>
        </w:rPr>
        <w:tab/>
        <w:t>The accommodation shall be separated from engine rooms, boiler rooms and holds in a gastight manner and shall be directly accessible from the deck. If no such access has been provided an emergency exit shall also lead directly to the deck.</w:t>
      </w:r>
    </w:p>
    <w:p w:rsidR="00767591" w:rsidRPr="00C903F8" w:rsidRDefault="00767591" w:rsidP="00321E38">
      <w:pPr>
        <w:pStyle w:val="ESch"/>
        <w:rPr>
          <w:rFonts w:cs="Arial"/>
          <w:szCs w:val="20"/>
          <w:lang w:val="en-US"/>
        </w:rPr>
      </w:pPr>
    </w:p>
    <w:p w:rsidR="003F616C" w:rsidRPr="00C903F8" w:rsidRDefault="003F616C" w:rsidP="00321E38">
      <w:pPr>
        <w:pStyle w:val="ESch"/>
        <w:rPr>
          <w:lang w:val="en-US"/>
        </w:rPr>
      </w:pPr>
      <w:r w:rsidRPr="00C903F8">
        <w:rPr>
          <w:rFonts w:cs="Arial"/>
          <w:szCs w:val="20"/>
          <w:lang w:val="en-US"/>
        </w:rPr>
        <w:t>5.</w:t>
      </w:r>
      <w:r w:rsidRPr="00C903F8">
        <w:rPr>
          <w:rFonts w:cs="Arial"/>
          <w:szCs w:val="20"/>
          <w:lang w:val="en-US"/>
        </w:rPr>
        <w:tab/>
        <w:t xml:space="preserve">The bulkheads specified in </w:t>
      </w:r>
      <w:r w:rsidR="007828F7" w:rsidRPr="00C903F8">
        <w:rPr>
          <w:rFonts w:cs="Arial"/>
          <w:szCs w:val="20"/>
          <w:lang w:val="en-US"/>
        </w:rPr>
        <w:t>(</w:t>
      </w:r>
      <w:r w:rsidRPr="00C903F8">
        <w:rPr>
          <w:rFonts w:cs="Arial"/>
          <w:szCs w:val="20"/>
          <w:lang w:val="en-US"/>
        </w:rPr>
        <w:t>1</w:t>
      </w:r>
      <w:r w:rsidR="007828F7" w:rsidRPr="00C903F8">
        <w:rPr>
          <w:rFonts w:cs="Arial"/>
          <w:szCs w:val="20"/>
          <w:lang w:val="en-US"/>
        </w:rPr>
        <w:t>)</w:t>
      </w:r>
      <w:r w:rsidRPr="00C903F8">
        <w:rPr>
          <w:rFonts w:cs="Arial"/>
          <w:szCs w:val="20"/>
          <w:lang w:val="en-US"/>
        </w:rPr>
        <w:t xml:space="preserve"> and </w:t>
      </w:r>
      <w:r w:rsidR="007828F7" w:rsidRPr="00C903F8">
        <w:rPr>
          <w:rFonts w:cs="Arial"/>
          <w:szCs w:val="20"/>
          <w:lang w:val="en-US"/>
        </w:rPr>
        <w:t>(</w:t>
      </w:r>
      <w:r w:rsidRPr="00C903F8">
        <w:rPr>
          <w:rFonts w:cs="Arial"/>
          <w:szCs w:val="20"/>
          <w:lang w:val="en-US"/>
        </w:rPr>
        <w:t>3</w:t>
      </w:r>
      <w:r w:rsidR="007828F7" w:rsidRPr="00C903F8">
        <w:rPr>
          <w:rFonts w:cs="Arial"/>
          <w:szCs w:val="20"/>
          <w:lang w:val="en-US"/>
        </w:rPr>
        <w:t>)</w:t>
      </w:r>
      <w:r w:rsidRPr="00C903F8">
        <w:rPr>
          <w:rFonts w:cs="Arial"/>
          <w:szCs w:val="20"/>
          <w:lang w:val="en-US"/>
        </w:rPr>
        <w:t xml:space="preserve"> and the separation of areas specified in </w:t>
      </w:r>
      <w:r w:rsidR="007828F7" w:rsidRPr="00C903F8">
        <w:rPr>
          <w:rFonts w:cs="Arial"/>
          <w:szCs w:val="20"/>
          <w:lang w:val="en-US"/>
        </w:rPr>
        <w:t>(</w:t>
      </w:r>
      <w:r w:rsidRPr="00C903F8">
        <w:rPr>
          <w:rFonts w:cs="Arial"/>
          <w:szCs w:val="20"/>
          <w:lang w:val="en-US"/>
        </w:rPr>
        <w:t>4</w:t>
      </w:r>
      <w:r w:rsidR="007828F7" w:rsidRPr="00C903F8">
        <w:rPr>
          <w:rFonts w:cs="Arial"/>
          <w:szCs w:val="20"/>
          <w:lang w:val="en-US"/>
        </w:rPr>
        <w:t>)</w:t>
      </w:r>
      <w:r w:rsidRPr="00C903F8">
        <w:rPr>
          <w:rFonts w:cs="Arial"/>
          <w:szCs w:val="20"/>
          <w:lang w:val="en-US"/>
        </w:rPr>
        <w:t xml:space="preserve"> shall not contain any openings.</w:t>
      </w:r>
    </w:p>
    <w:p w:rsidR="00767591" w:rsidRPr="00C903F8" w:rsidRDefault="00767591" w:rsidP="00321E38">
      <w:pPr>
        <w:pStyle w:val="ESch"/>
        <w:rPr>
          <w:rFonts w:cs="Arial"/>
          <w:szCs w:val="20"/>
          <w:lang w:val="en-US"/>
        </w:rPr>
      </w:pPr>
    </w:p>
    <w:p w:rsidR="003F616C" w:rsidRPr="00C903F8" w:rsidRDefault="003F616C" w:rsidP="00321E38">
      <w:pPr>
        <w:pStyle w:val="ESchpar"/>
        <w:rPr>
          <w:lang w:val="en-US"/>
        </w:rPr>
      </w:pPr>
      <w:r w:rsidRPr="00C903F8">
        <w:rPr>
          <w:rFonts w:cs="Arial"/>
          <w:szCs w:val="20"/>
          <w:lang w:val="en-US"/>
        </w:rPr>
        <w:t>However, doors in the aft-peak bulkhead and penetrations, in particular for shafts and pipework, shall be permitted where they are so designed that the effectiveness of those bulkheads and of the separation of areas is not impaired. Doors in the aft-peak bulkhead shall be permitted only if it can be determined by remote monitoring in the wheelhouse whether they are open or closed and shall bear the following readily legible instruction on both sides:</w:t>
      </w:r>
    </w:p>
    <w:p w:rsidR="00767591" w:rsidRPr="00C903F8" w:rsidRDefault="00767591" w:rsidP="003F616C">
      <w:pPr>
        <w:rPr>
          <w:rFonts w:cs="Arial"/>
          <w:szCs w:val="20"/>
          <w:lang w:val="en-US"/>
        </w:rPr>
      </w:pPr>
    </w:p>
    <w:p w:rsidR="003F616C" w:rsidRPr="00C903F8" w:rsidRDefault="003F616C" w:rsidP="00321E38">
      <w:pPr>
        <w:ind w:left="0" w:firstLine="0"/>
        <w:jc w:val="center"/>
        <w:rPr>
          <w:rFonts w:cs="Arial"/>
          <w:szCs w:val="20"/>
          <w:lang w:val="en-US"/>
        </w:rPr>
      </w:pPr>
      <w:r w:rsidRPr="00C903F8">
        <w:rPr>
          <w:rFonts w:cs="Arial"/>
          <w:szCs w:val="20"/>
          <w:lang w:val="en-US"/>
        </w:rPr>
        <w:t>‘Door to be closed immediately after use’.</w:t>
      </w:r>
    </w:p>
    <w:p w:rsidR="00767591" w:rsidRPr="00C903F8" w:rsidRDefault="00767591" w:rsidP="003F616C">
      <w:pPr>
        <w:rPr>
          <w:rFonts w:cs="Arial"/>
          <w:szCs w:val="20"/>
          <w:lang w:val="en-US"/>
        </w:rPr>
      </w:pPr>
    </w:p>
    <w:p w:rsidR="003F616C" w:rsidRPr="00C903F8" w:rsidRDefault="003F616C" w:rsidP="00321E38">
      <w:pPr>
        <w:pStyle w:val="ESch"/>
        <w:rPr>
          <w:lang w:val="en-US"/>
        </w:rPr>
      </w:pPr>
      <w:r w:rsidRPr="00C903F8">
        <w:rPr>
          <w:rFonts w:cs="Arial"/>
          <w:szCs w:val="20"/>
          <w:lang w:val="en-US"/>
        </w:rPr>
        <w:t>6.</w:t>
      </w:r>
      <w:r w:rsidRPr="00C903F8">
        <w:rPr>
          <w:rFonts w:cs="Arial"/>
          <w:szCs w:val="20"/>
          <w:lang w:val="en-US"/>
        </w:rPr>
        <w:tab/>
        <w:t>The water inlets and discharges, and the pipework connected to these, shall be such that no unintentional ingress of water into the vessel is possible.</w:t>
      </w:r>
    </w:p>
    <w:p w:rsidR="00767591" w:rsidRPr="00C903F8" w:rsidRDefault="00767591" w:rsidP="00321E38">
      <w:pPr>
        <w:pStyle w:val="ESch"/>
        <w:rPr>
          <w:rFonts w:cs="Arial"/>
          <w:szCs w:val="20"/>
          <w:lang w:val="en-US"/>
        </w:rPr>
      </w:pPr>
    </w:p>
    <w:p w:rsidR="003F616C" w:rsidRPr="00C903F8" w:rsidRDefault="003F616C" w:rsidP="00321E38">
      <w:pPr>
        <w:pStyle w:val="ESch"/>
        <w:rPr>
          <w:lang w:val="en-US"/>
        </w:rPr>
      </w:pPr>
      <w:r w:rsidRPr="00C903F8">
        <w:rPr>
          <w:rFonts w:cs="Arial"/>
          <w:szCs w:val="20"/>
          <w:lang w:val="en-US"/>
        </w:rPr>
        <w:t>7.</w:t>
      </w:r>
      <w:r w:rsidRPr="00C903F8">
        <w:rPr>
          <w:rFonts w:cs="Arial"/>
          <w:szCs w:val="20"/>
          <w:lang w:val="en-US"/>
        </w:rPr>
        <w:tab/>
        <w:t>The fore</w:t>
      </w:r>
      <w:r w:rsidR="008C2B7E" w:rsidRPr="00C903F8">
        <w:rPr>
          <w:rFonts w:cs="Arial"/>
          <w:szCs w:val="20"/>
          <w:lang w:val="en-US"/>
        </w:rPr>
        <w:t>-</w:t>
      </w:r>
      <w:r w:rsidRPr="00C903F8">
        <w:rPr>
          <w:rFonts w:cs="Arial"/>
          <w:szCs w:val="20"/>
          <w:lang w:val="en-US"/>
        </w:rPr>
        <w:t>sections of vessels shall be built in such a way that the anchors neither wholly nor partly protrude beyond the side plating.</w:t>
      </w:r>
    </w:p>
    <w:p w:rsidR="003F616C" w:rsidRPr="00C903F8" w:rsidRDefault="00767591" w:rsidP="003F616C">
      <w:pPr>
        <w:rPr>
          <w:rFonts w:cs="Arial"/>
          <w:szCs w:val="20"/>
          <w:lang w:val="en-US"/>
        </w:rPr>
      </w:pPr>
      <w:r w:rsidRPr="00C903F8">
        <w:rPr>
          <w:rFonts w:cs="Arial"/>
          <w:szCs w:val="20"/>
          <w:lang w:val="en-US"/>
        </w:rPr>
        <w:br w:type="page"/>
      </w:r>
    </w:p>
    <w:p w:rsidR="003F616C" w:rsidRPr="00C903F8" w:rsidRDefault="003F616C" w:rsidP="00767591">
      <w:pPr>
        <w:pStyle w:val="ES-Titre3"/>
        <w:rPr>
          <w:i/>
          <w:lang w:val="en-US"/>
        </w:rPr>
      </w:pPr>
      <w:bookmarkStart w:id="18" w:name="_Toc491854012"/>
      <w:r w:rsidRPr="00C903F8">
        <w:rPr>
          <w:lang w:val="en-US"/>
        </w:rPr>
        <w:lastRenderedPageBreak/>
        <w:t>Article 3.04</w:t>
      </w:r>
      <w:r w:rsidRPr="00C903F8">
        <w:rPr>
          <w:lang w:val="en-US"/>
        </w:rPr>
        <w:br/>
      </w:r>
      <w:r w:rsidRPr="00C903F8">
        <w:rPr>
          <w:i/>
          <w:lang w:val="en-US"/>
        </w:rPr>
        <w:t>Engine and boiler rooms, bunkers</w:t>
      </w:r>
      <w:bookmarkEnd w:id="18"/>
    </w:p>
    <w:p w:rsidR="00767591" w:rsidRPr="00C903F8" w:rsidRDefault="00767591" w:rsidP="003F616C">
      <w:pPr>
        <w:rPr>
          <w:rFonts w:cs="Arial"/>
          <w:szCs w:val="20"/>
          <w:lang w:val="en-US"/>
        </w:rPr>
      </w:pPr>
    </w:p>
    <w:p w:rsidR="003F616C" w:rsidRPr="00C903F8" w:rsidRDefault="003F616C" w:rsidP="00954259">
      <w:pPr>
        <w:pStyle w:val="ESch"/>
        <w:rPr>
          <w:lang w:val="en-US"/>
        </w:rPr>
      </w:pPr>
      <w:r w:rsidRPr="00C903F8">
        <w:rPr>
          <w:rFonts w:cs="Arial"/>
          <w:szCs w:val="20"/>
          <w:lang w:val="en-US"/>
        </w:rPr>
        <w:t>1.</w:t>
      </w:r>
      <w:r w:rsidRPr="00C903F8">
        <w:rPr>
          <w:rFonts w:cs="Arial"/>
          <w:szCs w:val="20"/>
          <w:lang w:val="en-US"/>
        </w:rPr>
        <w:tab/>
        <w:t>Engine or boiler rooms shall be arranged in such a way that the equipment therein can be operated, serviced and maintained easily and safely.</w:t>
      </w:r>
    </w:p>
    <w:p w:rsidR="00767591" w:rsidRPr="00C903F8" w:rsidRDefault="00767591" w:rsidP="00954259">
      <w:pPr>
        <w:pStyle w:val="ESch"/>
        <w:rPr>
          <w:rFonts w:cs="Arial"/>
          <w:szCs w:val="20"/>
          <w:lang w:val="en-US"/>
        </w:rPr>
      </w:pPr>
    </w:p>
    <w:p w:rsidR="003F616C" w:rsidRPr="00C903F8" w:rsidRDefault="003F616C" w:rsidP="00954259">
      <w:pPr>
        <w:pStyle w:val="ESch"/>
        <w:rPr>
          <w:lang w:val="en-US"/>
        </w:rPr>
      </w:pPr>
      <w:r w:rsidRPr="00C903F8">
        <w:rPr>
          <w:rFonts w:cs="Arial"/>
          <w:szCs w:val="20"/>
          <w:lang w:val="en-US"/>
        </w:rPr>
        <w:t>2.</w:t>
      </w:r>
      <w:r w:rsidRPr="00C903F8">
        <w:rPr>
          <w:rFonts w:cs="Arial"/>
          <w:szCs w:val="20"/>
          <w:lang w:val="en-US"/>
        </w:rPr>
        <w:tab/>
        <w:t xml:space="preserve">The liquid-fuel or lubricant bunkers and passenger </w:t>
      </w:r>
      <w:r w:rsidR="002723EF" w:rsidRPr="00C903F8">
        <w:rPr>
          <w:rFonts w:cs="Arial"/>
          <w:szCs w:val="20"/>
          <w:lang w:val="en-US"/>
        </w:rPr>
        <w:t>rooms</w:t>
      </w:r>
      <w:r w:rsidRPr="00C903F8">
        <w:rPr>
          <w:rFonts w:cs="Arial"/>
          <w:szCs w:val="20"/>
          <w:lang w:val="en-US"/>
        </w:rPr>
        <w:t xml:space="preserve"> and accommodation may not have any common surfaces which are under the static pressure of the liquid when in normal service.</w:t>
      </w:r>
    </w:p>
    <w:p w:rsidR="00767591" w:rsidRPr="00C903F8" w:rsidRDefault="00767591" w:rsidP="00954259">
      <w:pPr>
        <w:pStyle w:val="ESch"/>
        <w:rPr>
          <w:rFonts w:cs="Arial"/>
          <w:szCs w:val="20"/>
          <w:lang w:val="en-US"/>
        </w:rPr>
      </w:pPr>
    </w:p>
    <w:p w:rsidR="003F616C" w:rsidRPr="00C903F8" w:rsidRDefault="003F616C" w:rsidP="00954259">
      <w:pPr>
        <w:pStyle w:val="ESch"/>
        <w:rPr>
          <w:lang w:val="en-US"/>
        </w:rPr>
      </w:pPr>
      <w:r w:rsidRPr="00C903F8">
        <w:rPr>
          <w:rFonts w:cs="Arial"/>
          <w:szCs w:val="20"/>
          <w:lang w:val="en-US"/>
        </w:rPr>
        <w:t>3.</w:t>
      </w:r>
      <w:r w:rsidRPr="00C903F8">
        <w:rPr>
          <w:rFonts w:cs="Arial"/>
          <w:szCs w:val="20"/>
          <w:lang w:val="en-US"/>
        </w:rPr>
        <w:tab/>
      </w:r>
      <w:r w:rsidR="00751A5B" w:rsidRPr="00C903F8">
        <w:rPr>
          <w:rFonts w:cs="Arial"/>
          <w:szCs w:val="20"/>
          <w:lang w:val="en-US"/>
        </w:rPr>
        <w:t>Walls, ceilings and doors of e</w:t>
      </w:r>
      <w:r w:rsidRPr="00C903F8">
        <w:rPr>
          <w:rFonts w:cs="Arial"/>
          <w:szCs w:val="20"/>
          <w:lang w:val="en-US"/>
        </w:rPr>
        <w:t>ngine room</w:t>
      </w:r>
      <w:r w:rsidR="00751A5B" w:rsidRPr="00C903F8">
        <w:rPr>
          <w:rFonts w:cs="Arial"/>
          <w:szCs w:val="20"/>
          <w:lang w:val="en-US"/>
        </w:rPr>
        <w:t>s</w:t>
      </w:r>
      <w:r w:rsidRPr="00C903F8">
        <w:rPr>
          <w:rFonts w:cs="Arial"/>
          <w:szCs w:val="20"/>
          <w:lang w:val="en-US"/>
        </w:rPr>
        <w:t>, boiler room</w:t>
      </w:r>
      <w:r w:rsidR="00751A5B" w:rsidRPr="00C903F8">
        <w:rPr>
          <w:rFonts w:cs="Arial"/>
          <w:szCs w:val="20"/>
          <w:lang w:val="en-US"/>
        </w:rPr>
        <w:t>s</w:t>
      </w:r>
      <w:r w:rsidRPr="00C903F8">
        <w:rPr>
          <w:rFonts w:cs="Arial"/>
          <w:szCs w:val="20"/>
          <w:lang w:val="en-US"/>
        </w:rPr>
        <w:t xml:space="preserve"> and bunker</w:t>
      </w:r>
      <w:r w:rsidR="00751A5B" w:rsidRPr="00C903F8">
        <w:rPr>
          <w:rFonts w:cs="Arial"/>
          <w:szCs w:val="20"/>
          <w:lang w:val="en-US"/>
        </w:rPr>
        <w:t>s</w:t>
      </w:r>
      <w:r w:rsidRPr="00C903F8">
        <w:rPr>
          <w:rFonts w:cs="Arial"/>
          <w:szCs w:val="20"/>
          <w:lang w:val="en-US"/>
        </w:rPr>
        <w:t xml:space="preserve"> shall be made of steel or another equivalent non-combustible material.</w:t>
      </w:r>
    </w:p>
    <w:p w:rsidR="00767591" w:rsidRPr="00C903F8" w:rsidRDefault="00767591" w:rsidP="00954259">
      <w:pPr>
        <w:pStyle w:val="ESch"/>
        <w:rPr>
          <w:rFonts w:cs="Arial"/>
          <w:szCs w:val="20"/>
          <w:lang w:val="en-US"/>
        </w:rPr>
      </w:pPr>
    </w:p>
    <w:p w:rsidR="003F616C" w:rsidRPr="00C903F8" w:rsidRDefault="003F616C" w:rsidP="00954259">
      <w:pPr>
        <w:pStyle w:val="ESchpar"/>
        <w:rPr>
          <w:lang w:val="en-US"/>
        </w:rPr>
      </w:pPr>
      <w:r w:rsidRPr="00C903F8">
        <w:rPr>
          <w:rFonts w:cs="Arial"/>
          <w:szCs w:val="20"/>
          <w:lang w:val="en-US"/>
        </w:rPr>
        <w:t>Insulation material used in engine rooms shall be protected against the intrusion of fuel and fuel vapours.</w:t>
      </w:r>
    </w:p>
    <w:p w:rsidR="00767591" w:rsidRPr="00C903F8" w:rsidRDefault="00767591" w:rsidP="00954259">
      <w:pPr>
        <w:pStyle w:val="ESchpar"/>
        <w:rPr>
          <w:rFonts w:cs="Arial"/>
          <w:szCs w:val="20"/>
          <w:lang w:val="en-US"/>
        </w:rPr>
      </w:pPr>
    </w:p>
    <w:p w:rsidR="003F616C" w:rsidRPr="00C903F8" w:rsidRDefault="003F616C" w:rsidP="00954259">
      <w:pPr>
        <w:pStyle w:val="ESchpar"/>
        <w:rPr>
          <w:lang w:val="en-US"/>
        </w:rPr>
      </w:pPr>
      <w:r w:rsidRPr="00C903F8">
        <w:rPr>
          <w:rFonts w:cs="Arial"/>
          <w:szCs w:val="20"/>
          <w:lang w:val="en-US"/>
        </w:rPr>
        <w:t>All openings in walls, ceilings, and doors of engine rooms, boiler rooms, and bunker rooms shall be such that they can be closed from outside the room. The locking devices shall be made from steel or an equivalent non-combustible material.</w:t>
      </w:r>
    </w:p>
    <w:p w:rsidR="00767591" w:rsidRPr="00C903F8" w:rsidRDefault="00767591" w:rsidP="00954259">
      <w:pPr>
        <w:pStyle w:val="ESch"/>
        <w:rPr>
          <w:rFonts w:cs="Arial"/>
          <w:szCs w:val="20"/>
          <w:lang w:val="en-US"/>
        </w:rPr>
      </w:pPr>
    </w:p>
    <w:p w:rsidR="003F616C" w:rsidRPr="00C903F8" w:rsidRDefault="003F616C" w:rsidP="00954259">
      <w:pPr>
        <w:pStyle w:val="ESch"/>
        <w:rPr>
          <w:lang w:val="en-US"/>
        </w:rPr>
      </w:pPr>
      <w:r w:rsidRPr="00C903F8">
        <w:rPr>
          <w:rFonts w:cs="Arial"/>
          <w:szCs w:val="20"/>
          <w:lang w:val="en-US"/>
        </w:rPr>
        <w:t>4.</w:t>
      </w:r>
      <w:r w:rsidRPr="00C903F8">
        <w:rPr>
          <w:rFonts w:cs="Arial"/>
          <w:szCs w:val="20"/>
          <w:lang w:val="en-US"/>
        </w:rPr>
        <w:tab/>
        <w:t xml:space="preserve">Engine and boiler rooms and other premises in which flammable or toxic gases </w:t>
      </w:r>
      <w:r w:rsidR="00FF4813" w:rsidRPr="00C903F8">
        <w:rPr>
          <w:rFonts w:cs="Arial"/>
          <w:szCs w:val="20"/>
          <w:lang w:val="en-US"/>
        </w:rPr>
        <w:t>can</w:t>
      </w:r>
      <w:r w:rsidRPr="00C903F8">
        <w:rPr>
          <w:rFonts w:cs="Arial"/>
          <w:szCs w:val="20"/>
          <w:lang w:val="en-US"/>
        </w:rPr>
        <w:t xml:space="preserve"> escape shall be capable of being adequately ventilated.</w:t>
      </w:r>
    </w:p>
    <w:p w:rsidR="00767591" w:rsidRPr="00C903F8" w:rsidRDefault="00767591" w:rsidP="00954259">
      <w:pPr>
        <w:pStyle w:val="ESch"/>
        <w:rPr>
          <w:rFonts w:cs="Arial"/>
          <w:szCs w:val="20"/>
          <w:lang w:val="en-US"/>
        </w:rPr>
      </w:pPr>
    </w:p>
    <w:p w:rsidR="003F616C" w:rsidRPr="00C903F8" w:rsidRDefault="003F616C" w:rsidP="00954259">
      <w:pPr>
        <w:pStyle w:val="ESch"/>
        <w:rPr>
          <w:lang w:val="en-US"/>
        </w:rPr>
      </w:pPr>
      <w:r w:rsidRPr="00C903F8">
        <w:rPr>
          <w:rFonts w:cs="Arial"/>
          <w:szCs w:val="20"/>
          <w:lang w:val="en-US"/>
        </w:rPr>
        <w:t>5.</w:t>
      </w:r>
      <w:r w:rsidRPr="00C903F8">
        <w:rPr>
          <w:rFonts w:cs="Arial"/>
          <w:szCs w:val="20"/>
          <w:lang w:val="en-US"/>
        </w:rPr>
        <w:tab/>
        <w:t>Companionways and ladders providing access to engine and boiler rooms and bunkers shall be firmly attached and be made of steel or another shock-resistant and non-combustible material.</w:t>
      </w:r>
    </w:p>
    <w:p w:rsidR="00767591" w:rsidRPr="00C903F8" w:rsidRDefault="00767591" w:rsidP="00954259">
      <w:pPr>
        <w:pStyle w:val="ESch"/>
        <w:rPr>
          <w:rFonts w:cs="Arial"/>
          <w:szCs w:val="20"/>
          <w:lang w:val="en-US"/>
        </w:rPr>
      </w:pPr>
    </w:p>
    <w:p w:rsidR="003F616C" w:rsidRPr="00C903F8" w:rsidRDefault="003F616C" w:rsidP="00954259">
      <w:pPr>
        <w:pStyle w:val="ESch"/>
        <w:rPr>
          <w:rFonts w:cs="Arial"/>
          <w:szCs w:val="20"/>
          <w:lang w:val="en-US"/>
        </w:rPr>
      </w:pPr>
      <w:r w:rsidRPr="00C903F8">
        <w:rPr>
          <w:rFonts w:cs="Arial"/>
          <w:szCs w:val="20"/>
          <w:lang w:val="en-US"/>
        </w:rPr>
        <w:t>6.</w:t>
      </w:r>
      <w:r w:rsidRPr="00C903F8">
        <w:rPr>
          <w:rFonts w:cs="Arial"/>
          <w:szCs w:val="20"/>
          <w:lang w:val="en-US"/>
        </w:rPr>
        <w:tab/>
        <w:t>Engine and boiler rooms shall have two exits of which one may be an emergency exit.</w:t>
      </w:r>
    </w:p>
    <w:p w:rsidR="00767591" w:rsidRPr="00C903F8" w:rsidRDefault="00767591" w:rsidP="00954259">
      <w:pPr>
        <w:pStyle w:val="ESch"/>
        <w:rPr>
          <w:lang w:val="en-US"/>
        </w:rPr>
      </w:pPr>
    </w:p>
    <w:p w:rsidR="003F616C" w:rsidRPr="00C903F8" w:rsidRDefault="003F616C" w:rsidP="00954259">
      <w:pPr>
        <w:pStyle w:val="ESchpar"/>
        <w:rPr>
          <w:rFonts w:cs="Arial"/>
          <w:szCs w:val="20"/>
          <w:lang w:val="en-US"/>
        </w:rPr>
      </w:pPr>
      <w:r w:rsidRPr="00C903F8">
        <w:rPr>
          <w:rFonts w:cs="Arial"/>
          <w:szCs w:val="20"/>
          <w:lang w:val="en-US"/>
        </w:rPr>
        <w:t>The second exit may be dispensed with if:</w:t>
      </w:r>
    </w:p>
    <w:p w:rsidR="003F616C" w:rsidRPr="00C903F8" w:rsidRDefault="005C7859" w:rsidP="00954259">
      <w:pPr>
        <w:pStyle w:val="ESlet"/>
        <w:rPr>
          <w:rFonts w:cs="Arial"/>
          <w:szCs w:val="20"/>
          <w:lang w:val="en-US"/>
        </w:rPr>
      </w:pPr>
      <w:r w:rsidRPr="00C903F8">
        <w:rPr>
          <w:rFonts w:cs="Arial"/>
          <w:szCs w:val="20"/>
          <w:lang w:val="en-US"/>
        </w:rPr>
        <w:t>a)</w:t>
      </w:r>
      <w:r w:rsidR="00954259" w:rsidRPr="00C903F8">
        <w:rPr>
          <w:rFonts w:cs="Arial"/>
          <w:szCs w:val="20"/>
          <w:lang w:val="en-US"/>
        </w:rPr>
        <w:tab/>
      </w:r>
      <w:r w:rsidR="003F616C" w:rsidRPr="00C903F8">
        <w:rPr>
          <w:rFonts w:cs="Arial"/>
          <w:szCs w:val="20"/>
          <w:lang w:val="en-US"/>
        </w:rPr>
        <w:t>the total floor area (average length × average width at the level of the floor plating) of the engine or boiler room does not exceed 35 m</w:t>
      </w:r>
      <w:r w:rsidR="003F616C" w:rsidRPr="00C903F8">
        <w:rPr>
          <w:rFonts w:cs="Arial"/>
          <w:szCs w:val="20"/>
          <w:vertAlign w:val="superscript"/>
          <w:lang w:val="en-US"/>
        </w:rPr>
        <w:t>2</w:t>
      </w:r>
      <w:r w:rsidR="003F616C" w:rsidRPr="00C903F8">
        <w:rPr>
          <w:rFonts w:cs="Arial"/>
          <w:szCs w:val="20"/>
          <w:lang w:val="en-US"/>
        </w:rPr>
        <w:t>; and</w:t>
      </w:r>
    </w:p>
    <w:p w:rsidR="003F616C" w:rsidRPr="00C903F8" w:rsidRDefault="005C7859" w:rsidP="00954259">
      <w:pPr>
        <w:pStyle w:val="ESlet"/>
        <w:rPr>
          <w:lang w:val="en-US"/>
        </w:rPr>
      </w:pPr>
      <w:r w:rsidRPr="00C903F8">
        <w:rPr>
          <w:rFonts w:cs="Arial"/>
          <w:szCs w:val="20"/>
          <w:lang w:val="en-US"/>
        </w:rPr>
        <w:t>b)</w:t>
      </w:r>
      <w:r w:rsidR="003F616C" w:rsidRPr="00C903F8">
        <w:rPr>
          <w:rFonts w:cs="Arial"/>
          <w:szCs w:val="20"/>
          <w:lang w:val="en-US"/>
        </w:rPr>
        <w:tab/>
        <w:t>the path between each point where servicing or maintenance operations are to be carried out and the exit, or foot of the companionway near the exit providing access to the outside, is not longer than 5 m; and</w:t>
      </w:r>
    </w:p>
    <w:p w:rsidR="003F616C" w:rsidRPr="00C903F8" w:rsidRDefault="005C7859" w:rsidP="00954259">
      <w:pPr>
        <w:pStyle w:val="ESlet"/>
        <w:rPr>
          <w:lang w:val="en-US"/>
        </w:rPr>
      </w:pPr>
      <w:r w:rsidRPr="00C903F8">
        <w:rPr>
          <w:rFonts w:cs="Arial"/>
          <w:szCs w:val="20"/>
          <w:lang w:val="en-US"/>
        </w:rPr>
        <w:t>c)</w:t>
      </w:r>
      <w:r w:rsidR="003F616C" w:rsidRPr="00C903F8">
        <w:rPr>
          <w:rFonts w:cs="Arial"/>
          <w:szCs w:val="20"/>
          <w:lang w:val="en-US"/>
        </w:rPr>
        <w:tab/>
        <w:t>a fire extinguisher is located at the servicing point that is furthest removed from the exit door and also, by way of derogation from Article 13.03(1)</w:t>
      </w:r>
      <w:r w:rsidR="00363D0C" w:rsidRPr="00C903F8">
        <w:rPr>
          <w:rFonts w:cs="Arial"/>
          <w:szCs w:val="20"/>
          <w:lang w:val="en-US"/>
        </w:rPr>
        <w:t>(</w:t>
      </w:r>
      <w:r w:rsidR="0029453D" w:rsidRPr="00C903F8">
        <w:rPr>
          <w:rFonts w:cs="Arial"/>
          <w:szCs w:val="20"/>
          <w:lang w:val="en-US"/>
        </w:rPr>
        <w:t>e)</w:t>
      </w:r>
      <w:r w:rsidR="003F616C" w:rsidRPr="00C903F8">
        <w:rPr>
          <w:rFonts w:cs="Arial"/>
          <w:szCs w:val="20"/>
          <w:lang w:val="en-US"/>
        </w:rPr>
        <w:t>, where the installed power of the engines does not exceed 100 kW.</w:t>
      </w:r>
    </w:p>
    <w:p w:rsidR="00767591" w:rsidRPr="00C903F8" w:rsidRDefault="00767591" w:rsidP="003F616C">
      <w:pPr>
        <w:rPr>
          <w:rFonts w:cs="Arial"/>
          <w:szCs w:val="20"/>
          <w:lang w:val="en-US"/>
        </w:rPr>
      </w:pPr>
    </w:p>
    <w:p w:rsidR="003F616C" w:rsidRPr="00C903F8" w:rsidRDefault="003F616C" w:rsidP="003F616C">
      <w:pPr>
        <w:rPr>
          <w:rFonts w:cs="Arial"/>
          <w:szCs w:val="20"/>
          <w:lang w:val="en-US"/>
        </w:rPr>
      </w:pPr>
      <w:r w:rsidRPr="00C903F8">
        <w:rPr>
          <w:rFonts w:cs="Arial"/>
          <w:szCs w:val="20"/>
          <w:lang w:val="en-US"/>
        </w:rPr>
        <w:t>7.</w:t>
      </w:r>
      <w:r w:rsidRPr="00C903F8">
        <w:rPr>
          <w:rFonts w:cs="Arial"/>
          <w:szCs w:val="20"/>
          <w:lang w:val="en-US"/>
        </w:rPr>
        <w:tab/>
        <w:t xml:space="preserve">The permissible sound pressure level in the engine rooms shall </w:t>
      </w:r>
      <w:r w:rsidR="00751A5B" w:rsidRPr="00C903F8">
        <w:rPr>
          <w:rFonts w:cs="Arial"/>
          <w:szCs w:val="20"/>
          <w:lang w:val="en-US"/>
        </w:rPr>
        <w:t>not exceed</w:t>
      </w:r>
      <w:r w:rsidRPr="00C903F8">
        <w:rPr>
          <w:rFonts w:cs="Arial"/>
          <w:szCs w:val="20"/>
          <w:lang w:val="en-US"/>
        </w:rPr>
        <w:t xml:space="preserve"> 110</w:t>
      </w:r>
      <w:r w:rsidR="00363D0C" w:rsidRPr="00C903F8">
        <w:rPr>
          <w:rFonts w:cs="Arial"/>
          <w:szCs w:val="20"/>
          <w:lang w:val="en-US"/>
        </w:rPr>
        <w:t> </w:t>
      </w:r>
      <w:r w:rsidRPr="00C903F8">
        <w:rPr>
          <w:rFonts w:cs="Arial"/>
          <w:szCs w:val="20"/>
          <w:lang w:val="en-US"/>
        </w:rPr>
        <w:t>dB(A). The measuring points shall be selected as a function of the maintenance work needed during normal operation of the plant located therein.</w:t>
      </w:r>
    </w:p>
    <w:p w:rsidR="008D7EA6" w:rsidRPr="00C903F8" w:rsidRDefault="008D7EA6" w:rsidP="00F6236E">
      <w:pPr>
        <w:spacing w:line="240" w:lineRule="atLeast"/>
        <w:ind w:left="567" w:hanging="567"/>
        <w:rPr>
          <w:rFonts w:eastAsia="Calibri"/>
          <w:noProof/>
          <w:lang w:val="en-US" w:eastAsia="en-US"/>
        </w:rPr>
      </w:pPr>
    </w:p>
    <w:p w:rsidR="008D7EA6" w:rsidRPr="00C903F8" w:rsidRDefault="008D7EA6" w:rsidP="00F6236E">
      <w:pPr>
        <w:spacing w:line="240" w:lineRule="atLeast"/>
        <w:ind w:left="567" w:hanging="567"/>
        <w:rPr>
          <w:rFonts w:eastAsia="Calibri"/>
          <w:noProof/>
          <w:lang w:val="en-US" w:eastAsia="en-US"/>
        </w:rPr>
      </w:pPr>
    </w:p>
    <w:p w:rsidR="008D7EA6" w:rsidRPr="00C903F8" w:rsidRDefault="008D7EA6" w:rsidP="00F6236E">
      <w:pPr>
        <w:spacing w:line="240" w:lineRule="atLeast"/>
        <w:ind w:left="567" w:hanging="567"/>
        <w:rPr>
          <w:rFonts w:eastAsia="Calibri"/>
          <w:noProof/>
          <w:lang w:val="en-US" w:eastAsia="en-US"/>
        </w:rPr>
        <w:sectPr w:rsidR="008D7EA6" w:rsidRPr="00C903F8" w:rsidSect="00AC5CC1">
          <w:headerReference w:type="default" r:id="rId19"/>
          <w:headerReference w:type="first" r:id="rId20"/>
          <w:footnotePr>
            <w:numRestart w:val="eachPage"/>
          </w:footnotePr>
          <w:pgSz w:w="11906" w:h="16838" w:code="9"/>
          <w:pgMar w:top="1418" w:right="1418" w:bottom="1418" w:left="1418" w:header="709" w:footer="709" w:gutter="0"/>
          <w:cols w:space="709"/>
          <w:titlePg/>
          <w:docGrid w:linePitch="272"/>
        </w:sectPr>
      </w:pPr>
    </w:p>
    <w:p w:rsidR="001F1A9D" w:rsidRPr="00C903F8" w:rsidRDefault="0060175E" w:rsidP="00E1027C">
      <w:pPr>
        <w:pStyle w:val="ES-Titre2"/>
      </w:pPr>
      <w:bookmarkStart w:id="19" w:name="_Toc491854013"/>
      <w:r w:rsidRPr="00C903F8">
        <w:lastRenderedPageBreak/>
        <w:t>Cha</w:t>
      </w:r>
      <w:r w:rsidR="00C62373" w:rsidRPr="00C903F8">
        <w:t>pter</w:t>
      </w:r>
      <w:r w:rsidR="001F1A9D" w:rsidRPr="00C903F8">
        <w:t xml:space="preserve"> 4</w:t>
      </w:r>
      <w:r w:rsidR="001F1A9D" w:rsidRPr="00C903F8">
        <w:br/>
      </w:r>
      <w:r w:rsidRPr="00C903F8">
        <w:t>Safety clearance, freeboard and draught marks</w:t>
      </w:r>
      <w:bookmarkEnd w:id="19"/>
    </w:p>
    <w:p w:rsidR="00EF4E24" w:rsidRPr="00C903F8" w:rsidRDefault="00EF4E24" w:rsidP="00E1027C">
      <w:pPr>
        <w:pStyle w:val="ES-Titre3"/>
        <w:spacing w:line="240" w:lineRule="atLeast"/>
        <w:rPr>
          <w:lang w:val="en-US"/>
        </w:rPr>
      </w:pPr>
    </w:p>
    <w:p w:rsidR="001F1A9D" w:rsidRPr="00C903F8" w:rsidRDefault="001F1A9D" w:rsidP="00E1027C">
      <w:pPr>
        <w:pStyle w:val="ES-Titre3"/>
        <w:spacing w:line="240" w:lineRule="atLeast"/>
        <w:rPr>
          <w:lang w:val="en-US"/>
        </w:rPr>
      </w:pPr>
      <w:bookmarkStart w:id="20" w:name="_Toc491854014"/>
      <w:r w:rsidRPr="00C903F8">
        <w:rPr>
          <w:lang w:val="en-US"/>
        </w:rPr>
        <w:t>Article 4.01</w:t>
      </w:r>
      <w:r w:rsidRPr="00C903F8">
        <w:rPr>
          <w:lang w:val="en-US"/>
        </w:rPr>
        <w:br/>
      </w:r>
      <w:r w:rsidR="0060175E" w:rsidRPr="00C903F8">
        <w:rPr>
          <w:i/>
          <w:lang w:val="en-US"/>
        </w:rPr>
        <w:t>Safety clearance</w:t>
      </w:r>
      <w:bookmarkEnd w:id="20"/>
    </w:p>
    <w:p w:rsidR="00EF4E24" w:rsidRPr="00C903F8" w:rsidRDefault="00EF4E24" w:rsidP="00E1027C">
      <w:pPr>
        <w:spacing w:line="240" w:lineRule="atLeast"/>
        <w:rPr>
          <w:rFonts w:eastAsia="Calibri"/>
          <w:szCs w:val="20"/>
          <w:lang w:val="en-US" w:eastAsia="en-US"/>
        </w:rPr>
      </w:pPr>
    </w:p>
    <w:p w:rsidR="001F1A9D" w:rsidRPr="00C903F8" w:rsidRDefault="001F1A9D" w:rsidP="00954259">
      <w:pPr>
        <w:pStyle w:val="ESch"/>
        <w:rPr>
          <w:rFonts w:eastAsia="Calibri"/>
          <w:lang w:val="en-US" w:eastAsia="en-US"/>
        </w:rPr>
      </w:pPr>
      <w:r w:rsidRPr="00C903F8">
        <w:rPr>
          <w:rFonts w:eastAsia="Calibri"/>
          <w:lang w:val="en-US" w:eastAsia="en-US"/>
        </w:rPr>
        <w:t>1.</w:t>
      </w:r>
      <w:r w:rsidRPr="00C903F8">
        <w:rPr>
          <w:rFonts w:eastAsia="Calibri"/>
          <w:lang w:val="en-US" w:eastAsia="en-US"/>
        </w:rPr>
        <w:tab/>
      </w:r>
      <w:r w:rsidR="0060175E" w:rsidRPr="00C903F8">
        <w:rPr>
          <w:noProof/>
          <w:lang w:val="en-GB"/>
        </w:rPr>
        <w:t>The safety clearance shall be at least 300 mm.</w:t>
      </w:r>
    </w:p>
    <w:p w:rsidR="00EF4E24" w:rsidRPr="00C903F8" w:rsidRDefault="00EF4E24" w:rsidP="00954259">
      <w:pPr>
        <w:pStyle w:val="ESch"/>
        <w:rPr>
          <w:rFonts w:eastAsia="Calibri"/>
          <w:lang w:val="en-US" w:eastAsia="en-US"/>
        </w:rPr>
      </w:pPr>
    </w:p>
    <w:p w:rsidR="001F1A9D" w:rsidRPr="00C903F8" w:rsidRDefault="001F1A9D" w:rsidP="00954259">
      <w:pPr>
        <w:pStyle w:val="ESch"/>
        <w:rPr>
          <w:rFonts w:eastAsia="Calibri"/>
          <w:lang w:val="en-US" w:eastAsia="en-US"/>
        </w:rPr>
      </w:pPr>
      <w:r w:rsidRPr="00C903F8">
        <w:rPr>
          <w:rFonts w:eastAsia="Calibri"/>
          <w:lang w:val="en-US" w:eastAsia="en-US"/>
        </w:rPr>
        <w:t>2.</w:t>
      </w:r>
      <w:r w:rsidRPr="00C903F8">
        <w:rPr>
          <w:rFonts w:eastAsia="Calibri"/>
          <w:lang w:val="en-US" w:eastAsia="en-US"/>
        </w:rPr>
        <w:tab/>
      </w:r>
      <w:r w:rsidR="0060175E" w:rsidRPr="00C903F8">
        <w:rPr>
          <w:noProof/>
          <w:lang w:val="en-GB"/>
        </w:rPr>
        <w:t>The safety clearance in the case of vessels whose openings cannot be closed by spray-proof and weathertight devices, and for vessels sailing with their holds uncovered, shall be increased in such a way that each of those openings shall be at least 500 mm from the plane of maximum draught</w:t>
      </w:r>
      <w:r w:rsidRPr="00C903F8">
        <w:rPr>
          <w:rFonts w:eastAsia="Calibri"/>
          <w:noProof/>
          <w:lang w:val="en-US" w:eastAsia="en-US"/>
        </w:rPr>
        <w:t>.</w:t>
      </w:r>
    </w:p>
    <w:p w:rsidR="001F1A9D" w:rsidRPr="00C903F8" w:rsidRDefault="001F1A9D" w:rsidP="00E1027C">
      <w:pPr>
        <w:spacing w:line="240" w:lineRule="atLeast"/>
        <w:rPr>
          <w:rFonts w:eastAsia="Calibri"/>
          <w:lang w:val="en-US" w:eastAsia="en-US"/>
        </w:rPr>
      </w:pPr>
    </w:p>
    <w:p w:rsidR="00EE7E64" w:rsidRPr="00C903F8" w:rsidRDefault="00EE7E64" w:rsidP="00E1027C">
      <w:pPr>
        <w:spacing w:line="240" w:lineRule="atLeast"/>
        <w:rPr>
          <w:rFonts w:eastAsia="Calibri"/>
          <w:lang w:val="en-US" w:eastAsia="en-US"/>
        </w:rPr>
      </w:pPr>
    </w:p>
    <w:p w:rsidR="001F1A9D" w:rsidRPr="00C903F8" w:rsidRDefault="001F1A9D" w:rsidP="00E1027C">
      <w:pPr>
        <w:pStyle w:val="ES-Titre3"/>
        <w:spacing w:line="240" w:lineRule="atLeast"/>
        <w:rPr>
          <w:lang w:val="en-US"/>
        </w:rPr>
      </w:pPr>
      <w:bookmarkStart w:id="21" w:name="_Toc491854015"/>
      <w:r w:rsidRPr="00C903F8">
        <w:rPr>
          <w:lang w:val="en-US"/>
        </w:rPr>
        <w:t>Article 4.02</w:t>
      </w:r>
      <w:r w:rsidRPr="00C903F8">
        <w:rPr>
          <w:lang w:val="en-US"/>
        </w:rPr>
        <w:br/>
      </w:r>
      <w:r w:rsidR="00ED2F51" w:rsidRPr="00C903F8">
        <w:rPr>
          <w:i/>
          <w:lang w:val="en-US"/>
        </w:rPr>
        <w:t>Freeboard</w:t>
      </w:r>
      <w:bookmarkEnd w:id="21"/>
    </w:p>
    <w:p w:rsidR="00EF4E24" w:rsidRPr="00C903F8" w:rsidRDefault="00EF4E24" w:rsidP="00E1027C">
      <w:pPr>
        <w:spacing w:line="240" w:lineRule="atLeast"/>
        <w:rPr>
          <w:rFonts w:eastAsia="Calibri"/>
          <w:lang w:val="en-US" w:eastAsia="en-US"/>
        </w:rPr>
      </w:pPr>
    </w:p>
    <w:p w:rsidR="001F1A9D" w:rsidRPr="00C903F8" w:rsidRDefault="001F1A9D" w:rsidP="00F6236E">
      <w:pPr>
        <w:spacing w:line="240" w:lineRule="atLeast"/>
        <w:ind w:left="567" w:hanging="567"/>
        <w:rPr>
          <w:rFonts w:eastAsia="Calibri"/>
          <w:szCs w:val="20"/>
          <w:lang w:val="en-US" w:eastAsia="en-US"/>
        </w:rPr>
      </w:pPr>
      <w:r w:rsidRPr="00C903F8">
        <w:rPr>
          <w:rFonts w:eastAsia="Calibri"/>
          <w:szCs w:val="20"/>
          <w:lang w:val="en-US" w:eastAsia="en-US"/>
        </w:rPr>
        <w:t>1.</w:t>
      </w:r>
      <w:r w:rsidRPr="00C903F8">
        <w:rPr>
          <w:rFonts w:eastAsia="Calibri"/>
          <w:szCs w:val="20"/>
          <w:lang w:val="en-US" w:eastAsia="en-US"/>
        </w:rPr>
        <w:tab/>
      </w:r>
      <w:r w:rsidR="0060175E" w:rsidRPr="00C903F8">
        <w:rPr>
          <w:rFonts w:cs="Arial"/>
          <w:noProof/>
          <w:szCs w:val="20"/>
          <w:lang w:val="en-GB"/>
        </w:rPr>
        <w:t>The freeboard of vessels with a continuous deck, without sheer and superstructures, shall be 150 mm</w:t>
      </w:r>
      <w:r w:rsidRPr="00C903F8">
        <w:rPr>
          <w:rFonts w:eastAsia="Calibri"/>
          <w:noProof/>
          <w:szCs w:val="20"/>
          <w:lang w:val="en-US" w:bidi="fr-FR"/>
        </w:rPr>
        <w:t>.</w:t>
      </w:r>
    </w:p>
    <w:p w:rsidR="00EF4E24" w:rsidRPr="00C903F8" w:rsidRDefault="00EF4E24" w:rsidP="00F6236E">
      <w:pPr>
        <w:spacing w:line="240" w:lineRule="atLeast"/>
        <w:ind w:left="567" w:hanging="567"/>
        <w:rPr>
          <w:rFonts w:eastAsia="Calibri"/>
          <w:szCs w:val="20"/>
          <w:lang w:val="en-US" w:eastAsia="en-US"/>
        </w:rPr>
      </w:pPr>
    </w:p>
    <w:p w:rsidR="001F1A9D" w:rsidRPr="00C903F8" w:rsidRDefault="001F1A9D" w:rsidP="00F6236E">
      <w:pPr>
        <w:spacing w:line="240" w:lineRule="atLeast"/>
        <w:ind w:left="567" w:hanging="567"/>
        <w:rPr>
          <w:rFonts w:eastAsia="Calibri"/>
          <w:szCs w:val="20"/>
          <w:lang w:val="en-US" w:eastAsia="en-US"/>
        </w:rPr>
      </w:pPr>
      <w:r w:rsidRPr="00C903F8">
        <w:rPr>
          <w:rFonts w:eastAsia="Calibri"/>
          <w:szCs w:val="20"/>
          <w:lang w:val="en-US" w:eastAsia="en-US"/>
        </w:rPr>
        <w:t>2.</w:t>
      </w:r>
      <w:r w:rsidRPr="00C903F8">
        <w:rPr>
          <w:rFonts w:eastAsia="Calibri"/>
          <w:szCs w:val="20"/>
          <w:lang w:val="en-US" w:eastAsia="en-US"/>
        </w:rPr>
        <w:tab/>
      </w:r>
      <w:r w:rsidR="0060175E" w:rsidRPr="00C903F8">
        <w:rPr>
          <w:rFonts w:cs="Arial"/>
          <w:noProof/>
          <w:szCs w:val="20"/>
          <w:lang w:val="en-GB"/>
        </w:rPr>
        <w:t>The freeboard of vessels with sheer and superstructures shall be calculated using the following formula</w:t>
      </w:r>
      <w:r w:rsidRPr="00C903F8">
        <w:rPr>
          <w:rFonts w:eastAsia="Calibri"/>
          <w:szCs w:val="20"/>
          <w:lang w:val="en-US" w:eastAsia="en-US"/>
        </w:rPr>
        <w:t>:</w:t>
      </w:r>
    </w:p>
    <w:p w:rsidR="00576124" w:rsidRPr="00C903F8" w:rsidRDefault="00576124" w:rsidP="00F6236E">
      <w:pPr>
        <w:spacing w:line="240" w:lineRule="atLeast"/>
        <w:ind w:left="567" w:hanging="567"/>
        <w:rPr>
          <w:rFonts w:eastAsia="Calibri"/>
          <w:szCs w:val="20"/>
          <w:lang w:val="en-US" w:eastAsia="en-US"/>
        </w:rPr>
      </w:pPr>
    </w:p>
    <w:p w:rsidR="001F1A9D" w:rsidRPr="00C903F8" w:rsidRDefault="0026577D" w:rsidP="007E2368">
      <w:pPr>
        <w:spacing w:line="240" w:lineRule="atLeast"/>
        <w:ind w:left="0" w:firstLine="0"/>
        <w:jc w:val="center"/>
        <w:rPr>
          <w:rFonts w:eastAsia="Calibri"/>
          <w:szCs w:val="20"/>
          <w:lang w:val="en-GB" w:eastAsia="en-US"/>
        </w:rPr>
      </w:pPr>
      <m:oMathPara>
        <m:oMath>
          <m:r>
            <w:rPr>
              <w:rFonts w:ascii="Cambria Math" w:eastAsia="Calibri" w:hAnsi="Cambria Math" w:cs="Arial"/>
              <w:szCs w:val="22"/>
              <w:lang w:val="en-US" w:eastAsia="en-US"/>
            </w:rPr>
            <m:t xml:space="preserve">F=150 </m:t>
          </m:r>
          <m:d>
            <m:dPr>
              <m:ctrlPr>
                <w:rPr>
                  <w:rFonts w:ascii="Cambria Math" w:eastAsia="Calibri" w:hAnsi="Cambria Math" w:cs="Arial"/>
                  <w:i/>
                  <w:szCs w:val="22"/>
                  <w:lang w:val="en-US" w:eastAsia="en-US"/>
                </w:rPr>
              </m:ctrlPr>
            </m:dPr>
            <m:e>
              <m:r>
                <w:rPr>
                  <w:rFonts w:ascii="Cambria Math" w:eastAsia="Calibri" w:hAnsi="Cambria Math" w:cs="Arial"/>
                  <w:szCs w:val="22"/>
                  <w:lang w:val="en-US" w:eastAsia="en-US"/>
                </w:rPr>
                <m:t>1- α</m:t>
              </m:r>
            </m:e>
          </m:d>
          <m:r>
            <w:rPr>
              <w:rFonts w:ascii="Cambria Math" w:eastAsia="Calibri" w:hAnsi="Cambria Math" w:cs="Arial"/>
              <w:szCs w:val="22"/>
              <w:lang w:val="en-US" w:eastAsia="en-US"/>
            </w:rPr>
            <m:t>-</m:t>
          </m:r>
          <m:f>
            <m:fPr>
              <m:ctrlPr>
                <w:rPr>
                  <w:rFonts w:ascii="Cambria Math" w:eastAsia="Calibri" w:hAnsi="Cambria Math" w:cs="Arial"/>
                  <w:i/>
                  <w:szCs w:val="22"/>
                  <w:lang w:val="en-US" w:eastAsia="en-US"/>
                </w:rPr>
              </m:ctrlPr>
            </m:fPr>
            <m:num>
              <m:sSub>
                <m:sSubPr>
                  <m:ctrlPr>
                    <w:rPr>
                      <w:rFonts w:ascii="Cambria Math" w:eastAsia="Calibri" w:hAnsi="Cambria Math" w:cs="Arial"/>
                      <w:i/>
                      <w:szCs w:val="22"/>
                      <w:lang w:val="en-US" w:eastAsia="en-US"/>
                    </w:rPr>
                  </m:ctrlPr>
                </m:sSubPr>
                <m:e>
                  <m:r>
                    <w:rPr>
                      <w:rFonts w:ascii="Cambria Math" w:eastAsia="Calibri" w:hAnsi="Cambria Math" w:cs="Arial"/>
                      <w:szCs w:val="22"/>
                      <w:lang w:val="en-US" w:eastAsia="en-US"/>
                    </w:rPr>
                    <m:t>β</m:t>
                  </m:r>
                </m:e>
                <m:sub>
                  <m:r>
                    <w:rPr>
                      <w:rFonts w:ascii="Cambria Math" w:eastAsia="Calibri" w:hAnsi="Cambria Math" w:cs="Arial"/>
                      <w:szCs w:val="22"/>
                      <w:lang w:val="en-US" w:eastAsia="en-US"/>
                    </w:rPr>
                    <m:t>v</m:t>
                  </m:r>
                </m:sub>
              </m:sSub>
              <m:r>
                <w:rPr>
                  <w:rFonts w:ascii="Cambria Math" w:eastAsia="Calibri" w:hAnsi="Cambria Math" w:cs="Arial"/>
                  <w:szCs w:val="22"/>
                  <w:lang w:val="en-US" w:eastAsia="en-US"/>
                </w:rPr>
                <m:t>∙</m:t>
              </m:r>
              <m:sSub>
                <m:sSubPr>
                  <m:ctrlPr>
                    <w:rPr>
                      <w:rFonts w:ascii="Cambria Math" w:eastAsia="Calibri" w:hAnsi="Cambria Math" w:cs="Arial"/>
                      <w:i/>
                      <w:szCs w:val="22"/>
                      <w:lang w:val="en-US" w:eastAsia="en-US"/>
                    </w:rPr>
                  </m:ctrlPr>
                </m:sSubPr>
                <m:e>
                  <m:r>
                    <w:rPr>
                      <w:rFonts w:ascii="Cambria Math" w:eastAsia="Calibri" w:hAnsi="Cambria Math" w:cs="Arial"/>
                      <w:sz w:val="18"/>
                      <w:szCs w:val="22"/>
                      <w:lang w:val="en-US" w:eastAsia="en-US"/>
                    </w:rPr>
                    <m:t>Se</m:t>
                  </m:r>
                </m:e>
                <m:sub>
                  <m:r>
                    <w:rPr>
                      <w:rFonts w:ascii="Cambria Math" w:eastAsia="Calibri" w:hAnsi="Cambria Math" w:cs="Arial"/>
                      <w:szCs w:val="22"/>
                      <w:lang w:val="en-US" w:eastAsia="en-US"/>
                    </w:rPr>
                    <m:t>v</m:t>
                  </m:r>
                </m:sub>
              </m:sSub>
              <m:r>
                <w:rPr>
                  <w:rFonts w:ascii="Cambria Math" w:eastAsia="Calibri" w:hAnsi="Cambria Math" w:cs="Arial"/>
                  <w:szCs w:val="22"/>
                  <w:lang w:val="en-US" w:eastAsia="en-US"/>
                </w:rPr>
                <m:t xml:space="preserve">+ </m:t>
              </m:r>
              <m:sSub>
                <m:sSubPr>
                  <m:ctrlPr>
                    <w:rPr>
                      <w:rFonts w:ascii="Cambria Math" w:eastAsia="Calibri" w:hAnsi="Cambria Math" w:cs="Arial"/>
                      <w:i/>
                      <w:szCs w:val="22"/>
                      <w:lang w:val="en-US" w:eastAsia="en-US"/>
                    </w:rPr>
                  </m:ctrlPr>
                </m:sSubPr>
                <m:e>
                  <m:r>
                    <w:rPr>
                      <w:rFonts w:ascii="Cambria Math" w:eastAsia="Calibri" w:hAnsi="Cambria Math" w:cs="Arial"/>
                      <w:szCs w:val="22"/>
                      <w:lang w:val="en-US" w:eastAsia="en-US"/>
                    </w:rPr>
                    <m:t>β</m:t>
                  </m:r>
                </m:e>
                <m:sub>
                  <m:r>
                    <w:rPr>
                      <w:rFonts w:ascii="Cambria Math" w:eastAsia="Calibri" w:hAnsi="Cambria Math" w:cs="Arial"/>
                      <w:szCs w:val="22"/>
                      <w:lang w:val="en-US" w:eastAsia="en-US"/>
                    </w:rPr>
                    <m:t>a</m:t>
                  </m:r>
                </m:sub>
              </m:sSub>
              <m:r>
                <w:rPr>
                  <w:rFonts w:ascii="Cambria Math" w:eastAsia="Calibri" w:hAnsi="Cambria Math" w:cs="Arial"/>
                  <w:szCs w:val="22"/>
                  <w:lang w:val="en-US" w:eastAsia="en-US"/>
                </w:rPr>
                <m:t xml:space="preserve">∙ </m:t>
              </m:r>
              <m:sSub>
                <m:sSubPr>
                  <m:ctrlPr>
                    <w:rPr>
                      <w:rFonts w:ascii="Cambria Math" w:eastAsia="Calibri" w:hAnsi="Cambria Math" w:cs="Arial"/>
                      <w:i/>
                      <w:szCs w:val="22"/>
                      <w:lang w:val="en-US" w:eastAsia="en-US"/>
                    </w:rPr>
                  </m:ctrlPr>
                </m:sSubPr>
                <m:e>
                  <m:r>
                    <w:rPr>
                      <w:rFonts w:ascii="Cambria Math" w:eastAsia="Calibri" w:hAnsi="Cambria Math" w:cs="Arial"/>
                      <w:szCs w:val="22"/>
                      <w:lang w:val="en-US" w:eastAsia="en-US"/>
                    </w:rPr>
                    <m:t>Se</m:t>
                  </m:r>
                </m:e>
                <m:sub>
                  <m:r>
                    <w:rPr>
                      <w:rFonts w:ascii="Cambria Math" w:eastAsia="Calibri" w:hAnsi="Cambria Math" w:cs="Arial"/>
                      <w:szCs w:val="22"/>
                      <w:lang w:val="en-US" w:eastAsia="en-US"/>
                    </w:rPr>
                    <m:t>a</m:t>
                  </m:r>
                </m:sub>
              </m:sSub>
            </m:num>
            <m:den>
              <m:r>
                <w:rPr>
                  <w:rFonts w:ascii="Cambria Math" w:eastAsia="Calibri" w:hAnsi="Cambria Math" w:cs="Arial"/>
                  <w:szCs w:val="22"/>
                  <w:lang w:val="en-US" w:eastAsia="en-US"/>
                </w:rPr>
                <m:t>15</m:t>
              </m:r>
            </m:den>
          </m:f>
          <m:r>
            <m:rPr>
              <m:sty m:val="p"/>
            </m:rPr>
            <w:rPr>
              <w:rFonts w:ascii="Cambria Math" w:eastAsia="Calibri" w:hAnsi="Cambria Math" w:cs="Arial"/>
              <w:szCs w:val="22"/>
              <w:lang w:val="en-US" w:eastAsia="en-US"/>
            </w:rPr>
            <m:t xml:space="preserve">  [mm]</m:t>
          </m:r>
          <m:r>
            <m:rPr>
              <m:sty m:val="p"/>
            </m:rPr>
            <w:rPr>
              <w:rFonts w:eastAsia="Calibri" w:cs="Arial"/>
              <w:szCs w:val="22"/>
              <w:lang w:val="en-US" w:eastAsia="en-US"/>
            </w:rPr>
            <w:br/>
          </m:r>
        </m:oMath>
      </m:oMathPara>
    </w:p>
    <w:p w:rsidR="001F1A9D" w:rsidRPr="00C903F8" w:rsidRDefault="0060175E" w:rsidP="00F6236E">
      <w:pPr>
        <w:spacing w:line="240" w:lineRule="atLeast"/>
        <w:ind w:left="850" w:hanging="283"/>
        <w:rPr>
          <w:rFonts w:eastAsia="Calibri"/>
          <w:szCs w:val="20"/>
          <w:lang w:val="en-US" w:eastAsia="en-US"/>
        </w:rPr>
      </w:pPr>
      <w:r w:rsidRPr="00C903F8">
        <w:rPr>
          <w:rFonts w:cs="Arial"/>
          <w:noProof/>
          <w:szCs w:val="20"/>
          <w:lang w:val="en-US"/>
        </w:rPr>
        <w:t>where</w:t>
      </w:r>
      <w:r w:rsidR="001F1A9D" w:rsidRPr="00C903F8">
        <w:rPr>
          <w:rFonts w:eastAsia="Calibri"/>
          <w:szCs w:val="20"/>
          <w:lang w:val="en-US" w:eastAsia="nl-NL"/>
        </w:rPr>
        <w:t>:</w:t>
      </w:r>
    </w:p>
    <w:p w:rsidR="001F1A9D" w:rsidRPr="00C903F8" w:rsidRDefault="00395A9E" w:rsidP="00F6236E">
      <w:pPr>
        <w:spacing w:before="60" w:line="240" w:lineRule="atLeast"/>
        <w:ind w:left="993" w:hanging="426"/>
        <w:rPr>
          <w:rFonts w:eastAsia="Calibri"/>
          <w:szCs w:val="20"/>
          <w:lang w:val="en-US" w:eastAsia="en-US"/>
        </w:rPr>
      </w:pPr>
      <m:oMath>
        <m:r>
          <w:rPr>
            <w:rFonts w:ascii="Cambria Math" w:eastAsia="Calibri" w:hAnsi="Cambria Math"/>
            <w:szCs w:val="20"/>
            <w:lang w:eastAsia="en-US"/>
          </w:rPr>
          <m:t>α</m:t>
        </m:r>
      </m:oMath>
      <w:r w:rsidR="002836CA" w:rsidRPr="00C903F8">
        <w:rPr>
          <w:rFonts w:eastAsia="Calibri"/>
          <w:szCs w:val="20"/>
          <w:lang w:val="en-US" w:eastAsia="en-US"/>
        </w:rPr>
        <w:tab/>
      </w:r>
      <w:r w:rsidR="0060175E" w:rsidRPr="00C903F8">
        <w:rPr>
          <w:rFonts w:cs="Arial"/>
          <w:noProof/>
          <w:szCs w:val="20"/>
          <w:lang w:val="en-GB"/>
        </w:rPr>
        <w:t>is a correction coefficient that takes account of all of the superstructures involved</w:t>
      </w:r>
      <w:r w:rsidR="001F1A9D" w:rsidRPr="00C903F8">
        <w:rPr>
          <w:rFonts w:eastAsia="Calibri"/>
          <w:szCs w:val="20"/>
          <w:lang w:val="en-US" w:eastAsia="en-US"/>
        </w:rPr>
        <w:t>;</w:t>
      </w:r>
    </w:p>
    <w:p w:rsidR="001F1A9D" w:rsidRPr="00C903F8" w:rsidRDefault="00F12BAF" w:rsidP="00F6236E">
      <w:pPr>
        <w:spacing w:before="60" w:line="240" w:lineRule="atLeast"/>
        <w:ind w:left="993" w:hanging="426"/>
        <w:rPr>
          <w:rFonts w:eastAsia="Calibri"/>
          <w:szCs w:val="20"/>
          <w:lang w:val="en-US" w:eastAsia="en-US"/>
        </w:rPr>
      </w:pPr>
      <m:oMath>
        <m:sSub>
          <m:sSubPr>
            <m:ctrlPr>
              <w:rPr>
                <w:rFonts w:ascii="Cambria Math" w:eastAsia="Calibri" w:hAnsi="Cambria Math"/>
                <w:i/>
                <w:szCs w:val="20"/>
                <w:lang w:eastAsia="en-US"/>
              </w:rPr>
            </m:ctrlPr>
          </m:sSubPr>
          <m:e>
            <m:r>
              <w:rPr>
                <w:rFonts w:ascii="Cambria Math" w:eastAsia="Calibri" w:hAnsi="Cambria Math"/>
                <w:szCs w:val="20"/>
                <w:lang w:eastAsia="en-US"/>
              </w:rPr>
              <m:t>β</m:t>
            </m:r>
          </m:e>
          <m:sub>
            <m:r>
              <w:rPr>
                <w:rFonts w:ascii="Cambria Math" w:eastAsia="Calibri" w:hAnsi="Cambria Math"/>
                <w:szCs w:val="20"/>
                <w:lang w:eastAsia="en-US"/>
              </w:rPr>
              <m:t>v</m:t>
            </m:r>
          </m:sub>
        </m:sSub>
      </m:oMath>
      <w:r w:rsidR="00395A9E" w:rsidRPr="00C903F8">
        <w:rPr>
          <w:rFonts w:eastAsia="Calibri"/>
          <w:sz w:val="22"/>
          <w:szCs w:val="20"/>
          <w:lang w:val="en-US" w:eastAsia="en-US"/>
        </w:rPr>
        <w:t xml:space="preserve"> </w:t>
      </w:r>
      <w:r w:rsidR="001F1A9D" w:rsidRPr="00C903F8">
        <w:rPr>
          <w:rFonts w:eastAsia="Calibri"/>
          <w:szCs w:val="20"/>
          <w:lang w:val="en-US" w:eastAsia="en-US"/>
        </w:rPr>
        <w:tab/>
      </w:r>
      <w:r w:rsidR="0060175E" w:rsidRPr="00C903F8">
        <w:rPr>
          <w:rFonts w:cs="Arial"/>
          <w:noProof/>
          <w:szCs w:val="20"/>
          <w:lang w:val="en-GB"/>
        </w:rPr>
        <w:t xml:space="preserve">is a coefficient for correcting the effect of the forward sheer resulting from the presence of superstructures in the forward quarter of length </w:t>
      </w:r>
      <m:oMath>
        <m:r>
          <w:rPr>
            <w:rFonts w:ascii="Cambria Math" w:hAnsi="Cambria Math" w:cs="Arial"/>
            <w:noProof/>
            <w:szCs w:val="20"/>
            <w:lang w:val="en-GB"/>
          </w:rPr>
          <m:t>L</m:t>
        </m:r>
      </m:oMath>
      <w:r w:rsidR="0060175E" w:rsidRPr="00C903F8">
        <w:rPr>
          <w:rFonts w:cs="Arial"/>
          <w:noProof/>
          <w:szCs w:val="20"/>
          <w:lang w:val="en-GB"/>
        </w:rPr>
        <w:t xml:space="preserve"> of the vessel</w:t>
      </w:r>
      <w:r w:rsidR="001F1A9D" w:rsidRPr="00C903F8">
        <w:rPr>
          <w:rFonts w:eastAsia="Calibri"/>
          <w:szCs w:val="20"/>
          <w:lang w:val="en-US" w:eastAsia="en-US"/>
        </w:rPr>
        <w:t>;</w:t>
      </w:r>
    </w:p>
    <w:p w:rsidR="001F1A9D" w:rsidRPr="00C903F8" w:rsidRDefault="00F12BAF" w:rsidP="00F6236E">
      <w:pPr>
        <w:spacing w:before="60" w:line="240" w:lineRule="atLeast"/>
        <w:ind w:left="993" w:hanging="426"/>
        <w:rPr>
          <w:rFonts w:eastAsia="Calibri"/>
          <w:szCs w:val="20"/>
          <w:lang w:val="en-US" w:eastAsia="en-US"/>
        </w:rPr>
      </w:pPr>
      <m:oMath>
        <m:sSub>
          <m:sSubPr>
            <m:ctrlPr>
              <w:rPr>
                <w:rFonts w:ascii="Cambria Math" w:eastAsia="Calibri" w:hAnsi="Cambria Math"/>
                <w:i/>
                <w:szCs w:val="20"/>
                <w:lang w:eastAsia="en-US"/>
              </w:rPr>
            </m:ctrlPr>
          </m:sSubPr>
          <m:e>
            <m:r>
              <w:rPr>
                <w:rFonts w:ascii="Cambria Math" w:eastAsia="Calibri" w:hAnsi="Cambria Math"/>
                <w:szCs w:val="20"/>
                <w:lang w:eastAsia="en-US"/>
              </w:rPr>
              <m:t>β</m:t>
            </m:r>
          </m:e>
          <m:sub>
            <m:r>
              <w:rPr>
                <w:rFonts w:ascii="Cambria Math" w:eastAsia="Calibri" w:hAnsi="Cambria Math"/>
                <w:szCs w:val="20"/>
                <w:lang w:eastAsia="en-US"/>
              </w:rPr>
              <m:t>a</m:t>
            </m:r>
          </m:sub>
        </m:sSub>
      </m:oMath>
      <w:r w:rsidR="001F1A9D" w:rsidRPr="00C903F8">
        <w:rPr>
          <w:rFonts w:eastAsia="Calibri"/>
          <w:position w:val="-6"/>
          <w:szCs w:val="20"/>
          <w:lang w:val="en-US" w:eastAsia="en-US"/>
        </w:rPr>
        <w:tab/>
      </w:r>
      <w:r w:rsidR="0060175E" w:rsidRPr="00C903F8">
        <w:rPr>
          <w:rFonts w:cs="Arial"/>
          <w:noProof/>
          <w:szCs w:val="20"/>
          <w:lang w:val="en-GB"/>
        </w:rPr>
        <w:t xml:space="preserve">is a coefficient correcting the effect of the aft sheer resulting from the presence of superstructures in the aft quarter of length </w:t>
      </w:r>
      <m:oMath>
        <m:r>
          <w:rPr>
            <w:rFonts w:ascii="Cambria Math" w:hAnsi="Cambria Math" w:cs="Arial"/>
            <w:noProof/>
            <w:szCs w:val="20"/>
            <w:lang w:val="en-GB"/>
          </w:rPr>
          <m:t>L</m:t>
        </m:r>
      </m:oMath>
      <w:r w:rsidR="0060175E" w:rsidRPr="00C903F8">
        <w:rPr>
          <w:rFonts w:cs="Arial"/>
          <w:noProof/>
          <w:szCs w:val="20"/>
          <w:lang w:val="en-GB"/>
        </w:rPr>
        <w:t xml:space="preserve"> of the vessel</w:t>
      </w:r>
      <w:r w:rsidR="001F1A9D" w:rsidRPr="00C903F8">
        <w:rPr>
          <w:rFonts w:eastAsia="Calibri"/>
          <w:szCs w:val="20"/>
          <w:lang w:val="en-US" w:eastAsia="en-US"/>
        </w:rPr>
        <w:t>;</w:t>
      </w:r>
    </w:p>
    <w:p w:rsidR="001F1A9D" w:rsidRPr="00C903F8" w:rsidRDefault="00F12BAF" w:rsidP="00F6236E">
      <w:pPr>
        <w:spacing w:before="60" w:line="240" w:lineRule="atLeast"/>
        <w:ind w:left="993" w:hanging="426"/>
        <w:rPr>
          <w:rFonts w:eastAsia="Calibri"/>
          <w:szCs w:val="20"/>
          <w:lang w:val="en-US" w:eastAsia="en-US"/>
        </w:rPr>
      </w:pPr>
      <m:oMath>
        <m:sSub>
          <m:sSubPr>
            <m:ctrlPr>
              <w:rPr>
                <w:rFonts w:ascii="Cambria Math" w:eastAsia="Calibri" w:hAnsi="Cambria Math"/>
                <w:i/>
                <w:szCs w:val="20"/>
                <w:lang w:eastAsia="en-US"/>
              </w:rPr>
            </m:ctrlPr>
          </m:sSubPr>
          <m:e>
            <m:r>
              <w:rPr>
                <w:rFonts w:ascii="Cambria Math" w:eastAsia="Calibri" w:hAnsi="Cambria Math"/>
                <w:szCs w:val="20"/>
                <w:lang w:eastAsia="en-US"/>
              </w:rPr>
              <m:t>Se</m:t>
            </m:r>
          </m:e>
          <m:sub>
            <m:r>
              <w:rPr>
                <w:rFonts w:ascii="Cambria Math" w:eastAsia="Calibri" w:hAnsi="Cambria Math"/>
                <w:szCs w:val="20"/>
                <w:lang w:eastAsia="en-US"/>
              </w:rPr>
              <m:t>v</m:t>
            </m:r>
          </m:sub>
        </m:sSub>
      </m:oMath>
      <w:r w:rsidR="001F1A9D" w:rsidRPr="00C903F8">
        <w:rPr>
          <w:rFonts w:eastAsia="Calibri"/>
          <w:szCs w:val="20"/>
          <w:vertAlign w:val="subscript"/>
          <w:lang w:val="en-US" w:eastAsia="en-US"/>
        </w:rPr>
        <w:tab/>
      </w:r>
      <w:r w:rsidR="0060175E" w:rsidRPr="00C903F8">
        <w:rPr>
          <w:rFonts w:cs="Arial"/>
          <w:noProof/>
          <w:szCs w:val="20"/>
          <w:lang w:val="en-GB"/>
        </w:rPr>
        <w:t>is the effective forward sheer in mm</w:t>
      </w:r>
      <w:r w:rsidR="001F1A9D" w:rsidRPr="00C903F8">
        <w:rPr>
          <w:rFonts w:eastAsia="Calibri"/>
          <w:szCs w:val="20"/>
          <w:lang w:val="en-US" w:eastAsia="en-US"/>
        </w:rPr>
        <w:t>;</w:t>
      </w:r>
    </w:p>
    <w:p w:rsidR="001F1A9D" w:rsidRPr="00C903F8" w:rsidRDefault="00F12BAF" w:rsidP="00F6236E">
      <w:pPr>
        <w:spacing w:before="60" w:line="240" w:lineRule="atLeast"/>
        <w:ind w:left="993" w:hanging="426"/>
        <w:rPr>
          <w:rFonts w:eastAsia="Calibri"/>
          <w:szCs w:val="20"/>
          <w:lang w:val="en-US" w:eastAsia="en-US"/>
        </w:rPr>
      </w:pPr>
      <m:oMath>
        <m:sSub>
          <m:sSubPr>
            <m:ctrlPr>
              <w:rPr>
                <w:rFonts w:ascii="Cambria Math" w:eastAsia="Calibri" w:hAnsi="Cambria Math"/>
                <w:i/>
                <w:szCs w:val="20"/>
                <w:lang w:eastAsia="en-US"/>
              </w:rPr>
            </m:ctrlPr>
          </m:sSubPr>
          <m:e>
            <m:r>
              <w:rPr>
                <w:rFonts w:ascii="Cambria Math" w:eastAsia="Calibri" w:hAnsi="Cambria Math"/>
                <w:szCs w:val="20"/>
                <w:lang w:eastAsia="en-US"/>
              </w:rPr>
              <m:t>Se</m:t>
            </m:r>
          </m:e>
          <m:sub>
            <m:r>
              <w:rPr>
                <w:rFonts w:ascii="Cambria Math" w:eastAsia="Calibri" w:hAnsi="Cambria Math"/>
                <w:szCs w:val="20"/>
                <w:lang w:eastAsia="en-US"/>
              </w:rPr>
              <m:t>a</m:t>
            </m:r>
          </m:sub>
        </m:sSub>
      </m:oMath>
      <w:r w:rsidR="001F1A9D" w:rsidRPr="00C903F8">
        <w:rPr>
          <w:rFonts w:eastAsia="Calibri"/>
          <w:position w:val="-6"/>
          <w:szCs w:val="20"/>
          <w:vertAlign w:val="subscript"/>
          <w:lang w:val="en-US" w:eastAsia="en-US"/>
        </w:rPr>
        <w:tab/>
      </w:r>
      <w:r w:rsidR="0060175E" w:rsidRPr="00C903F8">
        <w:rPr>
          <w:rFonts w:cs="Arial"/>
          <w:noProof/>
          <w:szCs w:val="20"/>
          <w:lang w:val="en-GB"/>
        </w:rPr>
        <w:t>is the effective aft sheer in mm</w:t>
      </w:r>
      <w:r w:rsidR="001F1A9D" w:rsidRPr="00C903F8">
        <w:rPr>
          <w:rFonts w:eastAsia="Calibri"/>
          <w:szCs w:val="20"/>
          <w:lang w:val="en-US" w:eastAsia="en-US"/>
        </w:rPr>
        <w:t>.</w:t>
      </w:r>
    </w:p>
    <w:p w:rsidR="00EE7E64" w:rsidRPr="00C903F8" w:rsidRDefault="00EE7E64" w:rsidP="00E1027C">
      <w:pPr>
        <w:spacing w:line="240" w:lineRule="atLeast"/>
        <w:rPr>
          <w:rFonts w:eastAsia="Calibri"/>
          <w:szCs w:val="20"/>
          <w:lang w:val="en-US" w:eastAsia="en-US"/>
        </w:rPr>
      </w:pPr>
    </w:p>
    <w:p w:rsidR="001F1A9D" w:rsidRPr="00C903F8" w:rsidRDefault="001F1A9D" w:rsidP="00F6236E">
      <w:pPr>
        <w:spacing w:line="240" w:lineRule="atLeast"/>
        <w:ind w:left="567" w:hanging="567"/>
        <w:rPr>
          <w:rFonts w:eastAsia="Calibri"/>
          <w:szCs w:val="20"/>
          <w:lang w:val="en-US" w:eastAsia="en-US"/>
        </w:rPr>
      </w:pPr>
      <w:r w:rsidRPr="00C903F8">
        <w:rPr>
          <w:rFonts w:eastAsia="Calibri"/>
          <w:szCs w:val="20"/>
          <w:lang w:val="en-US" w:eastAsia="en-US"/>
        </w:rPr>
        <w:t>3.</w:t>
      </w:r>
      <w:r w:rsidRPr="00C903F8">
        <w:rPr>
          <w:rFonts w:eastAsia="Calibri"/>
          <w:szCs w:val="20"/>
          <w:lang w:val="en-US" w:eastAsia="en-US"/>
        </w:rPr>
        <w:tab/>
      </w:r>
      <w:r w:rsidR="0060175E" w:rsidRPr="00C903F8">
        <w:rPr>
          <w:rFonts w:cs="Arial"/>
          <w:noProof/>
          <w:szCs w:val="20"/>
          <w:lang w:val="en-GB"/>
        </w:rPr>
        <w:t xml:space="preserve">The coefficient </w:t>
      </w:r>
      <m:oMath>
        <m:r>
          <w:rPr>
            <w:rFonts w:ascii="Cambria Math" w:eastAsia="Calibri" w:hAnsi="Cambria Math"/>
            <w:szCs w:val="20"/>
            <w:lang w:eastAsia="en-US"/>
          </w:rPr>
          <m:t>α</m:t>
        </m:r>
      </m:oMath>
      <w:r w:rsidR="0060175E" w:rsidRPr="00C903F8">
        <w:rPr>
          <w:rFonts w:cs="Arial"/>
          <w:noProof/>
          <w:szCs w:val="20"/>
          <w:lang w:val="en-GB"/>
        </w:rPr>
        <w:t xml:space="preserve"> is calculated using the following formula</w:t>
      </w:r>
      <w:r w:rsidRPr="00C903F8">
        <w:rPr>
          <w:rFonts w:eastAsia="Calibri"/>
          <w:szCs w:val="20"/>
          <w:lang w:val="en-US" w:eastAsia="en-US"/>
        </w:rPr>
        <w:t>:</w:t>
      </w:r>
    </w:p>
    <w:p w:rsidR="00395A9E" w:rsidRPr="00C903F8" w:rsidRDefault="00395A9E" w:rsidP="00F6236E">
      <w:pPr>
        <w:spacing w:line="240" w:lineRule="atLeast"/>
        <w:ind w:left="567" w:hanging="567"/>
        <w:rPr>
          <w:rFonts w:eastAsia="Calibri"/>
          <w:szCs w:val="20"/>
          <w:lang w:val="en-US" w:eastAsia="en-US"/>
        </w:rPr>
      </w:pPr>
    </w:p>
    <w:p w:rsidR="0082441A" w:rsidRPr="00C903F8" w:rsidRDefault="00006207" w:rsidP="007E2368">
      <w:pPr>
        <w:spacing w:line="240" w:lineRule="atLeast"/>
        <w:ind w:left="0" w:firstLine="0"/>
        <w:rPr>
          <w:rFonts w:eastAsia="Calibri"/>
          <w:szCs w:val="20"/>
          <w:lang w:val="en-US" w:eastAsia="en-US"/>
        </w:rPr>
      </w:pPr>
      <m:oMathPara>
        <m:oMath>
          <m:r>
            <w:rPr>
              <w:rFonts w:ascii="Cambria Math" w:eastAsia="Calibri" w:hAnsi="Cambria Math" w:cs="Cambria Math"/>
              <w:szCs w:val="20"/>
              <w:lang w:val="en-US" w:eastAsia="en-US"/>
            </w:rPr>
            <m:t>α</m:t>
          </m:r>
          <m:r>
            <m:rPr>
              <m:sty m:val="p"/>
            </m:rPr>
            <w:rPr>
              <w:rFonts w:ascii="Cambria Math" w:eastAsia="Calibri" w:hAnsi="Cambria Math" w:cs="Cambria Math"/>
              <w:szCs w:val="20"/>
              <w:lang w:val="en-US" w:eastAsia="en-US"/>
            </w:rPr>
            <m:t>=</m:t>
          </m:r>
          <m:f>
            <m:fPr>
              <m:ctrlPr>
                <w:rPr>
                  <w:rFonts w:ascii="Cambria Math" w:eastAsia="Calibri" w:hAnsi="Cambria Math"/>
                  <w:szCs w:val="20"/>
                  <w:lang w:val="en-US" w:eastAsia="en-US"/>
                </w:rPr>
              </m:ctrlPr>
            </m:fPr>
            <m:num>
              <m:nary>
                <m:naryPr>
                  <m:chr m:val="∑"/>
                  <m:limLoc m:val="undOvr"/>
                  <m:subHide m:val="1"/>
                  <m:supHide m:val="1"/>
                  <m:ctrlPr>
                    <w:rPr>
                      <w:rFonts w:ascii="Cambria Math" w:eastAsia="Calibri" w:hAnsi="Cambria Math" w:cs="Cambria Math"/>
                      <w:szCs w:val="20"/>
                      <w:lang w:val="en-US" w:eastAsia="en-US"/>
                    </w:rPr>
                  </m:ctrlPr>
                </m:naryPr>
                <m:sub/>
                <m:sup/>
                <m:e>
                  <m:sSub>
                    <m:sSubPr>
                      <m:ctrlPr>
                        <w:rPr>
                          <w:rFonts w:ascii="Cambria Math" w:eastAsia="Calibri" w:hAnsi="Cambria Math" w:cs="Cambria Math"/>
                          <w:i/>
                          <w:szCs w:val="20"/>
                          <w:lang w:val="en-US" w:eastAsia="en-US"/>
                        </w:rPr>
                      </m:ctrlPr>
                    </m:sSubPr>
                    <m:e>
                      <m:r>
                        <w:rPr>
                          <w:rFonts w:ascii="Cambria Math" w:eastAsia="Calibri" w:hAnsi="Cambria Math" w:cs="Cambria Math"/>
                          <w:szCs w:val="20"/>
                          <w:lang w:val="en-US" w:eastAsia="en-US"/>
                        </w:rPr>
                        <m:t>le</m:t>
                      </m:r>
                    </m:e>
                    <m:sub>
                      <m:r>
                        <w:rPr>
                          <w:rFonts w:ascii="Cambria Math" w:eastAsia="Calibri" w:hAnsi="Cambria Math" w:cs="Cambria Math"/>
                          <w:szCs w:val="20"/>
                          <w:lang w:val="en-US" w:eastAsia="en-US"/>
                        </w:rPr>
                        <m:t>a</m:t>
                      </m:r>
                    </m:sub>
                  </m:sSub>
                </m:e>
              </m:nary>
              <m:r>
                <m:rPr>
                  <m:sty m:val="p"/>
                </m:rPr>
                <w:rPr>
                  <w:rFonts w:ascii="Cambria Math" w:eastAsia="Calibri" w:hAnsi="Cambria Math" w:cs="Cambria Math"/>
                  <w:szCs w:val="20"/>
                  <w:lang w:val="en-US" w:eastAsia="en-US"/>
                </w:rPr>
                <m:t xml:space="preserve">+ </m:t>
              </m:r>
              <m:nary>
                <m:naryPr>
                  <m:chr m:val="∑"/>
                  <m:limLoc m:val="undOvr"/>
                  <m:subHide m:val="1"/>
                  <m:supHide m:val="1"/>
                  <m:ctrlPr>
                    <w:rPr>
                      <w:rFonts w:ascii="Cambria Math" w:eastAsia="Calibri" w:hAnsi="Cambria Math" w:cs="Cambria Math"/>
                      <w:szCs w:val="20"/>
                      <w:lang w:val="en-US" w:eastAsia="en-US"/>
                    </w:rPr>
                  </m:ctrlPr>
                </m:naryPr>
                <m:sub/>
                <m:sup/>
                <m:e>
                  <m:sSub>
                    <m:sSubPr>
                      <m:ctrlPr>
                        <w:rPr>
                          <w:rFonts w:ascii="Cambria Math" w:eastAsia="Calibri" w:hAnsi="Cambria Math" w:cs="Cambria Math"/>
                          <w:i/>
                          <w:szCs w:val="20"/>
                          <w:lang w:val="en-US" w:eastAsia="en-US"/>
                        </w:rPr>
                      </m:ctrlPr>
                    </m:sSubPr>
                    <m:e>
                      <m:r>
                        <w:rPr>
                          <w:rFonts w:ascii="Cambria Math" w:eastAsia="Calibri" w:hAnsi="Cambria Math" w:cs="Cambria Math"/>
                          <w:szCs w:val="20"/>
                          <w:lang w:val="en-US" w:eastAsia="en-US"/>
                        </w:rPr>
                        <m:t>le</m:t>
                      </m:r>
                    </m:e>
                    <m:sub>
                      <m:r>
                        <w:rPr>
                          <w:rFonts w:ascii="Cambria Math" w:eastAsia="Calibri" w:hAnsi="Cambria Math" w:cs="Cambria Math"/>
                          <w:szCs w:val="20"/>
                          <w:lang w:val="en-US" w:eastAsia="en-US"/>
                        </w:rPr>
                        <m:t>m</m:t>
                      </m:r>
                    </m:sub>
                  </m:sSub>
                </m:e>
              </m:nary>
              <m:r>
                <w:rPr>
                  <w:rFonts w:ascii="Cambria Math" w:eastAsia="Calibri" w:hAnsi="Cambria Math" w:cs="Cambria Math"/>
                  <w:szCs w:val="20"/>
                  <w:lang w:val="en-US" w:eastAsia="en-US"/>
                </w:rPr>
                <m:t xml:space="preserve">+ </m:t>
              </m:r>
              <m:nary>
                <m:naryPr>
                  <m:chr m:val="∑"/>
                  <m:limLoc m:val="undOvr"/>
                  <m:subHide m:val="1"/>
                  <m:supHide m:val="1"/>
                  <m:ctrlPr>
                    <w:rPr>
                      <w:rFonts w:ascii="Cambria Math" w:eastAsia="Calibri" w:hAnsi="Cambria Math" w:cs="Cambria Math"/>
                      <w:szCs w:val="20"/>
                      <w:lang w:val="en-US" w:eastAsia="en-US"/>
                    </w:rPr>
                  </m:ctrlPr>
                </m:naryPr>
                <m:sub/>
                <m:sup/>
                <m:e>
                  <m:sSub>
                    <m:sSubPr>
                      <m:ctrlPr>
                        <w:rPr>
                          <w:rFonts w:ascii="Cambria Math" w:eastAsia="Calibri" w:hAnsi="Cambria Math" w:cs="Cambria Math"/>
                          <w:i/>
                          <w:szCs w:val="20"/>
                          <w:lang w:val="en-US" w:eastAsia="en-US"/>
                        </w:rPr>
                      </m:ctrlPr>
                    </m:sSubPr>
                    <m:e>
                      <m:r>
                        <w:rPr>
                          <w:rFonts w:ascii="Cambria Math" w:eastAsia="Calibri" w:hAnsi="Cambria Math" w:cs="Cambria Math"/>
                          <w:szCs w:val="20"/>
                          <w:lang w:val="en-US" w:eastAsia="en-US"/>
                        </w:rPr>
                        <m:t>le</m:t>
                      </m:r>
                    </m:e>
                    <m:sub>
                      <m:r>
                        <w:rPr>
                          <w:rFonts w:ascii="Cambria Math" w:eastAsia="Calibri" w:hAnsi="Cambria Math" w:cs="Cambria Math"/>
                          <w:szCs w:val="20"/>
                          <w:lang w:val="en-US" w:eastAsia="en-US"/>
                        </w:rPr>
                        <m:t>v</m:t>
                      </m:r>
                    </m:sub>
                  </m:sSub>
                </m:e>
              </m:nary>
            </m:num>
            <m:den>
              <m:r>
                <m:rPr>
                  <m:sty m:val="p"/>
                </m:rPr>
                <w:rPr>
                  <w:rFonts w:ascii="Cambria Math" w:eastAsia="Calibri" w:hAnsi="Cambria Math" w:cs="Cambria Math"/>
                  <w:szCs w:val="20"/>
                  <w:lang w:val="en-US" w:eastAsia="en-US"/>
                </w:rPr>
                <m:t>L</m:t>
              </m:r>
            </m:den>
          </m:f>
        </m:oMath>
      </m:oMathPara>
    </w:p>
    <w:p w:rsidR="001F1A9D" w:rsidRPr="00C903F8" w:rsidRDefault="001F1A9D" w:rsidP="00E1027C">
      <w:pPr>
        <w:spacing w:line="240" w:lineRule="atLeast"/>
        <w:rPr>
          <w:rFonts w:eastAsia="Calibri"/>
          <w:szCs w:val="20"/>
          <w:lang w:val="de-DE" w:eastAsia="en-US"/>
        </w:rPr>
      </w:pPr>
    </w:p>
    <w:p w:rsidR="001F1A9D" w:rsidRPr="00C903F8" w:rsidRDefault="0060175E" w:rsidP="00F6236E">
      <w:pPr>
        <w:spacing w:line="240" w:lineRule="atLeast"/>
        <w:ind w:left="567" w:firstLine="0"/>
        <w:rPr>
          <w:rFonts w:eastAsia="Calibri"/>
          <w:szCs w:val="20"/>
          <w:lang w:val="en-US" w:eastAsia="en-US"/>
        </w:rPr>
      </w:pPr>
      <w:r w:rsidRPr="00C903F8">
        <w:rPr>
          <w:rFonts w:eastAsia="Calibri"/>
          <w:szCs w:val="20"/>
          <w:lang w:val="en-US" w:eastAsia="en-US"/>
        </w:rPr>
        <w:t>where</w:t>
      </w:r>
      <w:r w:rsidR="001F1A9D" w:rsidRPr="00C903F8">
        <w:rPr>
          <w:rFonts w:eastAsia="Calibri"/>
          <w:szCs w:val="20"/>
          <w:lang w:val="en-US" w:eastAsia="en-US"/>
        </w:rPr>
        <w:t>:</w:t>
      </w:r>
    </w:p>
    <w:p w:rsidR="001F1A9D" w:rsidRPr="00C903F8" w:rsidRDefault="00F12BAF" w:rsidP="00F6236E">
      <w:pPr>
        <w:spacing w:before="60" w:line="240" w:lineRule="atLeast"/>
        <w:ind w:left="993" w:hanging="426"/>
        <w:rPr>
          <w:rFonts w:eastAsia="Calibri"/>
          <w:szCs w:val="20"/>
          <w:lang w:val="en-US" w:eastAsia="en-US"/>
        </w:rPr>
      </w:pPr>
      <m:oMath>
        <m:sSub>
          <m:sSubPr>
            <m:ctrlPr>
              <w:rPr>
                <w:rFonts w:ascii="Cambria Math" w:eastAsia="Calibri" w:hAnsi="Cambria Math"/>
                <w:i/>
                <w:szCs w:val="20"/>
                <w:lang w:eastAsia="en-US"/>
              </w:rPr>
            </m:ctrlPr>
          </m:sSubPr>
          <m:e>
            <m:r>
              <w:rPr>
                <w:rFonts w:ascii="Cambria Math" w:eastAsia="Calibri" w:hAnsi="Cambria Math"/>
                <w:szCs w:val="20"/>
                <w:lang w:eastAsia="en-US"/>
              </w:rPr>
              <m:t>le</m:t>
            </m:r>
          </m:e>
          <m:sub>
            <m:r>
              <w:rPr>
                <w:rFonts w:ascii="Cambria Math" w:eastAsia="Calibri" w:hAnsi="Cambria Math"/>
                <w:szCs w:val="20"/>
                <w:lang w:eastAsia="en-US"/>
              </w:rPr>
              <m:t>m</m:t>
            </m:r>
          </m:sub>
        </m:sSub>
      </m:oMath>
      <w:r w:rsidR="00395A9E" w:rsidRPr="00C903F8">
        <w:rPr>
          <w:rFonts w:eastAsia="Calibri"/>
          <w:szCs w:val="20"/>
          <w:lang w:val="en-US" w:eastAsia="en-US"/>
        </w:rPr>
        <w:t xml:space="preserve"> </w:t>
      </w:r>
      <w:r w:rsidR="001F1A9D" w:rsidRPr="00C903F8">
        <w:rPr>
          <w:rFonts w:eastAsia="Calibri"/>
          <w:szCs w:val="20"/>
          <w:lang w:val="en-US" w:eastAsia="en-US"/>
        </w:rPr>
        <w:tab/>
      </w:r>
      <w:r w:rsidR="0060175E" w:rsidRPr="00C903F8">
        <w:rPr>
          <w:rFonts w:cs="Arial"/>
          <w:noProof/>
          <w:szCs w:val="20"/>
          <w:lang w:val="en-GB"/>
        </w:rPr>
        <w:t xml:space="preserve">is the effective length, in m, of a superstructure located in the median part corresponding to half of length </w:t>
      </w:r>
      <m:oMath>
        <m:r>
          <w:rPr>
            <w:rFonts w:ascii="Cambria Math" w:hAnsi="Cambria Math" w:cs="Arial"/>
            <w:noProof/>
            <w:szCs w:val="20"/>
            <w:lang w:val="en-GB"/>
          </w:rPr>
          <m:t>L</m:t>
        </m:r>
      </m:oMath>
      <w:r w:rsidR="0060175E" w:rsidRPr="00C903F8">
        <w:rPr>
          <w:rFonts w:cs="Arial"/>
          <w:noProof/>
          <w:szCs w:val="20"/>
          <w:lang w:val="en-GB"/>
        </w:rPr>
        <w:t xml:space="preserve"> of the vessel</w:t>
      </w:r>
      <w:r w:rsidR="001F1A9D" w:rsidRPr="00C903F8">
        <w:rPr>
          <w:rFonts w:eastAsia="Calibri"/>
          <w:szCs w:val="20"/>
          <w:lang w:val="en-US" w:eastAsia="en-US"/>
        </w:rPr>
        <w:t>;</w:t>
      </w:r>
    </w:p>
    <w:p w:rsidR="001F1A9D" w:rsidRPr="00C903F8" w:rsidRDefault="00F12BAF" w:rsidP="00F6236E">
      <w:pPr>
        <w:spacing w:before="60" w:line="240" w:lineRule="atLeast"/>
        <w:ind w:left="993" w:hanging="426"/>
        <w:rPr>
          <w:rFonts w:eastAsia="Calibri"/>
          <w:szCs w:val="20"/>
          <w:lang w:val="en-US" w:eastAsia="en-US"/>
        </w:rPr>
      </w:pPr>
      <m:oMath>
        <m:sSub>
          <m:sSubPr>
            <m:ctrlPr>
              <w:rPr>
                <w:rFonts w:ascii="Cambria Math" w:eastAsia="Calibri" w:hAnsi="Cambria Math"/>
                <w:i/>
                <w:szCs w:val="20"/>
                <w:lang w:eastAsia="en-US"/>
              </w:rPr>
            </m:ctrlPr>
          </m:sSubPr>
          <m:e>
            <m:r>
              <w:rPr>
                <w:rFonts w:ascii="Cambria Math" w:eastAsia="Calibri" w:hAnsi="Cambria Math"/>
                <w:szCs w:val="20"/>
                <w:lang w:eastAsia="en-US"/>
              </w:rPr>
              <m:t>le</m:t>
            </m:r>
          </m:e>
          <m:sub>
            <m:r>
              <w:rPr>
                <w:rFonts w:ascii="Cambria Math" w:eastAsia="Calibri" w:hAnsi="Cambria Math"/>
                <w:szCs w:val="20"/>
                <w:lang w:eastAsia="en-US"/>
              </w:rPr>
              <m:t>v</m:t>
            </m:r>
          </m:sub>
        </m:sSub>
      </m:oMath>
      <w:r w:rsidR="001F1A9D" w:rsidRPr="00C903F8">
        <w:rPr>
          <w:rFonts w:eastAsia="Calibri"/>
          <w:szCs w:val="20"/>
          <w:lang w:val="en-US" w:eastAsia="en-US"/>
        </w:rPr>
        <w:tab/>
      </w:r>
      <w:r w:rsidR="0060175E" w:rsidRPr="00C903F8">
        <w:rPr>
          <w:rFonts w:cs="Arial"/>
          <w:noProof/>
          <w:szCs w:val="20"/>
          <w:lang w:val="en-GB"/>
        </w:rPr>
        <w:t xml:space="preserve">is the effective length, in m, of a superstructure in the forward quarter of vessel length </w:t>
      </w:r>
      <m:oMath>
        <m:r>
          <w:rPr>
            <w:rFonts w:ascii="Cambria Math" w:hAnsi="Cambria Math" w:cs="Arial"/>
            <w:noProof/>
            <w:szCs w:val="20"/>
            <w:lang w:val="en-GB"/>
          </w:rPr>
          <m:t>L</m:t>
        </m:r>
      </m:oMath>
      <w:r w:rsidR="0060175E" w:rsidRPr="00C903F8">
        <w:rPr>
          <w:rFonts w:cs="Arial"/>
          <w:noProof/>
          <w:szCs w:val="20"/>
          <w:lang w:val="en-GB"/>
        </w:rPr>
        <w:t>;</w:t>
      </w:r>
    </w:p>
    <w:p w:rsidR="001F1A9D" w:rsidRPr="00C903F8" w:rsidRDefault="00F12BAF" w:rsidP="00F6236E">
      <w:pPr>
        <w:spacing w:before="60" w:line="240" w:lineRule="atLeast"/>
        <w:ind w:left="993" w:hanging="426"/>
        <w:rPr>
          <w:rFonts w:eastAsia="Calibri"/>
          <w:szCs w:val="20"/>
          <w:lang w:val="en-US" w:eastAsia="en-US"/>
        </w:rPr>
      </w:pPr>
      <m:oMath>
        <m:sSub>
          <m:sSubPr>
            <m:ctrlPr>
              <w:rPr>
                <w:rFonts w:ascii="Cambria Math" w:eastAsia="Calibri" w:hAnsi="Cambria Math"/>
                <w:i/>
                <w:szCs w:val="20"/>
                <w:lang w:eastAsia="en-US"/>
              </w:rPr>
            </m:ctrlPr>
          </m:sSubPr>
          <m:e>
            <m:r>
              <w:rPr>
                <w:rFonts w:ascii="Cambria Math" w:eastAsia="Calibri" w:hAnsi="Cambria Math"/>
                <w:szCs w:val="20"/>
                <w:lang w:eastAsia="en-US"/>
              </w:rPr>
              <m:t>le</m:t>
            </m:r>
          </m:e>
          <m:sub>
            <m:r>
              <w:rPr>
                <w:rFonts w:ascii="Cambria Math" w:eastAsia="Calibri" w:hAnsi="Cambria Math"/>
                <w:szCs w:val="20"/>
                <w:lang w:eastAsia="en-US"/>
              </w:rPr>
              <m:t>a</m:t>
            </m:r>
          </m:sub>
        </m:sSub>
      </m:oMath>
      <w:r w:rsidR="001F1A9D" w:rsidRPr="00C903F8">
        <w:rPr>
          <w:rFonts w:eastAsia="Calibri"/>
          <w:position w:val="-6"/>
          <w:szCs w:val="20"/>
          <w:lang w:val="en-US" w:eastAsia="en-US"/>
        </w:rPr>
        <w:tab/>
      </w:r>
      <w:r w:rsidR="0060175E" w:rsidRPr="00C903F8">
        <w:rPr>
          <w:rFonts w:cs="Arial"/>
          <w:noProof/>
          <w:szCs w:val="20"/>
          <w:vertAlign w:val="subscript"/>
          <w:lang w:val="en-GB"/>
        </w:rPr>
        <w:t xml:space="preserve"> </w:t>
      </w:r>
      <w:r w:rsidR="0060175E" w:rsidRPr="00C903F8">
        <w:rPr>
          <w:rFonts w:cs="Arial"/>
          <w:noProof/>
          <w:szCs w:val="20"/>
          <w:lang w:val="en-GB"/>
        </w:rPr>
        <w:t xml:space="preserve">is the effective length, in m, of a superstructure in the aft quarter of vessel length </w:t>
      </w:r>
      <m:oMath>
        <m:r>
          <w:rPr>
            <w:rFonts w:ascii="Cambria Math" w:hAnsi="Cambria Math" w:cs="Arial"/>
            <w:noProof/>
            <w:szCs w:val="20"/>
            <w:lang w:val="en-GB"/>
          </w:rPr>
          <m:t>L</m:t>
        </m:r>
      </m:oMath>
      <w:r w:rsidR="001F1A9D" w:rsidRPr="00C903F8">
        <w:rPr>
          <w:rFonts w:eastAsia="Calibri"/>
          <w:szCs w:val="20"/>
          <w:lang w:val="en-US" w:eastAsia="en-US"/>
        </w:rPr>
        <w:t>.</w:t>
      </w:r>
    </w:p>
    <w:p w:rsidR="00745DD2" w:rsidRPr="00C903F8" w:rsidRDefault="00745DD2" w:rsidP="00E1027C">
      <w:pPr>
        <w:spacing w:line="240" w:lineRule="atLeast"/>
        <w:ind w:left="850"/>
        <w:rPr>
          <w:rFonts w:eastAsia="Calibri"/>
          <w:szCs w:val="20"/>
          <w:lang w:val="en-US" w:eastAsia="en-US"/>
        </w:rPr>
      </w:pPr>
    </w:p>
    <w:p w:rsidR="004316CC" w:rsidRPr="00C903F8" w:rsidRDefault="004316CC" w:rsidP="00E1027C">
      <w:pPr>
        <w:spacing w:line="240" w:lineRule="atLeast"/>
        <w:ind w:left="850"/>
        <w:rPr>
          <w:rFonts w:eastAsia="Calibri"/>
          <w:szCs w:val="20"/>
          <w:lang w:val="en-US" w:eastAsia="en-US"/>
        </w:rPr>
      </w:pPr>
      <w:r w:rsidRPr="00C903F8">
        <w:rPr>
          <w:rFonts w:eastAsia="Calibri"/>
          <w:szCs w:val="20"/>
          <w:lang w:val="en-US" w:eastAsia="en-US"/>
        </w:rPr>
        <w:br w:type="page"/>
      </w:r>
    </w:p>
    <w:p w:rsidR="001F1A9D" w:rsidRPr="00C903F8" w:rsidRDefault="0060175E" w:rsidP="00F6236E">
      <w:pPr>
        <w:spacing w:line="240" w:lineRule="atLeast"/>
        <w:ind w:left="567" w:firstLine="0"/>
        <w:rPr>
          <w:rFonts w:eastAsia="Calibri"/>
          <w:szCs w:val="20"/>
          <w:lang w:val="en-US" w:eastAsia="en-US"/>
        </w:rPr>
      </w:pPr>
      <w:r w:rsidRPr="00C903F8">
        <w:rPr>
          <w:rFonts w:cs="Arial"/>
          <w:noProof/>
          <w:szCs w:val="20"/>
          <w:lang w:val="en-GB"/>
        </w:rPr>
        <w:lastRenderedPageBreak/>
        <w:t>The effective length of a superstructure is calculated using the following formulae</w:t>
      </w:r>
      <w:r w:rsidR="001F1A9D" w:rsidRPr="00C903F8">
        <w:rPr>
          <w:rFonts w:eastAsia="Calibri"/>
          <w:szCs w:val="20"/>
          <w:lang w:val="en-US" w:eastAsia="en-US"/>
        </w:rPr>
        <w:t>:</w:t>
      </w:r>
    </w:p>
    <w:p w:rsidR="0058606C" w:rsidRPr="00C903F8" w:rsidRDefault="0058606C" w:rsidP="0060175E">
      <w:pPr>
        <w:tabs>
          <w:tab w:val="left" w:pos="1485"/>
        </w:tabs>
        <w:spacing w:line="240" w:lineRule="atLeast"/>
        <w:ind w:left="567" w:firstLine="0"/>
        <w:rPr>
          <w:rFonts w:eastAsia="Calibri"/>
          <w:szCs w:val="20"/>
          <w:lang w:val="en-US" w:eastAsia="en-US"/>
        </w:rPr>
      </w:pPr>
    </w:p>
    <w:p w:rsidR="0026577D" w:rsidRPr="00C903F8" w:rsidRDefault="00F12BAF" w:rsidP="007E2368">
      <w:pPr>
        <w:tabs>
          <w:tab w:val="left" w:pos="1485"/>
        </w:tabs>
        <w:spacing w:line="240" w:lineRule="atLeast"/>
        <w:ind w:left="0" w:firstLine="0"/>
        <w:rPr>
          <w:rFonts w:eastAsia="Calibri"/>
          <w:szCs w:val="20"/>
          <w:lang w:val="en-US" w:eastAsia="en-US"/>
        </w:rPr>
      </w:pPr>
      <m:oMathPara>
        <m:oMath>
          <m:sSub>
            <m:sSubPr>
              <m:ctrlPr>
                <w:rPr>
                  <w:rFonts w:ascii="Cambria Math" w:eastAsia="Calibri" w:hAnsi="Cambria Math" w:cs="Arial"/>
                  <w:i/>
                  <w:szCs w:val="22"/>
                  <w:lang w:val="en-US" w:eastAsia="en-US"/>
                </w:rPr>
              </m:ctrlPr>
            </m:sSubPr>
            <m:e>
              <m:r>
                <w:rPr>
                  <w:rFonts w:ascii="Cambria Math" w:eastAsia="Calibri" w:hAnsi="Cambria Math" w:cs="Arial"/>
                  <w:szCs w:val="22"/>
                  <w:lang w:val="en-US" w:eastAsia="en-US"/>
                </w:rPr>
                <m:t>le</m:t>
              </m:r>
            </m:e>
            <m:sub>
              <m:r>
                <w:rPr>
                  <w:rFonts w:ascii="Cambria Math" w:eastAsia="Calibri" w:hAnsi="Cambria Math" w:cs="Arial"/>
                  <w:szCs w:val="22"/>
                  <w:lang w:val="en-US" w:eastAsia="en-US"/>
                </w:rPr>
                <m:t>m</m:t>
              </m:r>
            </m:sub>
          </m:sSub>
          <m:r>
            <w:rPr>
              <w:rFonts w:ascii="Cambria Math" w:eastAsia="Calibri" w:hAnsi="Cambria Math" w:cs="Arial"/>
              <w:szCs w:val="22"/>
              <w:lang w:val="en-US" w:eastAsia="en-US"/>
            </w:rPr>
            <m:t>=l ∙</m:t>
          </m:r>
          <m:d>
            <m:dPr>
              <m:ctrlPr>
                <w:rPr>
                  <w:rFonts w:ascii="Cambria Math" w:eastAsia="Calibri" w:hAnsi="Cambria Math" w:cs="Arial"/>
                  <w:i/>
                  <w:szCs w:val="22"/>
                  <w:lang w:val="en-US" w:eastAsia="en-US"/>
                </w:rPr>
              </m:ctrlPr>
            </m:dPr>
            <m:e>
              <m:r>
                <w:rPr>
                  <w:rFonts w:ascii="Cambria Math" w:eastAsia="Calibri" w:hAnsi="Cambria Math" w:cs="Arial"/>
                  <w:szCs w:val="22"/>
                  <w:lang w:val="en-US" w:eastAsia="en-US"/>
                </w:rPr>
                <m:t xml:space="preserve">2,5 ∙ </m:t>
              </m:r>
              <m:f>
                <m:fPr>
                  <m:ctrlPr>
                    <w:rPr>
                      <w:rFonts w:ascii="Cambria Math" w:eastAsia="Calibri" w:hAnsi="Cambria Math" w:cs="Arial"/>
                      <w:i/>
                      <w:szCs w:val="22"/>
                      <w:lang w:val="en-US" w:eastAsia="en-US"/>
                    </w:rPr>
                  </m:ctrlPr>
                </m:fPr>
                <m:num>
                  <m:r>
                    <w:rPr>
                      <w:rFonts w:ascii="Cambria Math" w:eastAsia="Calibri" w:hAnsi="Cambria Math" w:cs="Arial"/>
                      <w:szCs w:val="22"/>
                      <w:lang w:val="en-US" w:eastAsia="en-US"/>
                    </w:rPr>
                    <m:t>b</m:t>
                  </m:r>
                </m:num>
                <m:den>
                  <m:r>
                    <w:rPr>
                      <w:rFonts w:ascii="Cambria Math" w:eastAsia="Calibri" w:hAnsi="Cambria Math" w:cs="Arial"/>
                      <w:szCs w:val="22"/>
                      <w:lang w:val="en-US" w:eastAsia="en-US"/>
                    </w:rPr>
                    <m:t>B</m:t>
                  </m:r>
                </m:den>
              </m:f>
              <m:r>
                <w:rPr>
                  <w:rFonts w:ascii="Cambria Math" w:eastAsia="Calibri" w:hAnsi="Cambria Math" w:cs="Arial"/>
                  <w:szCs w:val="22"/>
                  <w:lang w:val="en-US" w:eastAsia="en-US"/>
                </w:rPr>
                <m:t>-1,5</m:t>
              </m:r>
            </m:e>
          </m:d>
          <m:r>
            <w:rPr>
              <w:rFonts w:ascii="Cambria Math" w:eastAsia="Calibri" w:hAnsi="Cambria Math" w:cs="Arial"/>
              <w:szCs w:val="22"/>
              <w:lang w:val="en-US" w:eastAsia="en-US"/>
            </w:rPr>
            <m:t xml:space="preserve"> ∙ </m:t>
          </m:r>
          <m:f>
            <m:fPr>
              <m:ctrlPr>
                <w:rPr>
                  <w:rFonts w:ascii="Cambria Math" w:eastAsia="Calibri" w:hAnsi="Cambria Math" w:cs="Arial"/>
                  <w:i/>
                  <w:szCs w:val="22"/>
                  <w:lang w:val="en-US" w:eastAsia="en-US"/>
                </w:rPr>
              </m:ctrlPr>
            </m:fPr>
            <m:num>
              <m:r>
                <w:rPr>
                  <w:rFonts w:ascii="Cambria Math" w:eastAsia="Calibri" w:hAnsi="Cambria Math" w:cs="Arial"/>
                  <w:szCs w:val="22"/>
                  <w:lang w:val="en-US" w:eastAsia="en-US"/>
                </w:rPr>
                <m:t>h</m:t>
              </m:r>
            </m:num>
            <m:den>
              <m:r>
                <w:rPr>
                  <w:rFonts w:ascii="Cambria Math" w:eastAsia="Calibri" w:hAnsi="Cambria Math" w:cs="Arial"/>
                  <w:szCs w:val="22"/>
                  <w:lang w:val="en-US" w:eastAsia="en-US"/>
                </w:rPr>
                <m:t>0,36</m:t>
              </m:r>
            </m:den>
          </m:f>
          <m:r>
            <m:rPr>
              <m:sty m:val="p"/>
            </m:rPr>
            <w:rPr>
              <w:rFonts w:ascii="Cambria Math" w:eastAsia="Calibri" w:hAnsi="Cambria Math" w:cs="Arial"/>
              <w:szCs w:val="22"/>
              <w:lang w:val="en-US" w:eastAsia="en-US"/>
            </w:rPr>
            <m:t xml:space="preserve">  [m]</m:t>
          </m:r>
          <m:r>
            <m:rPr>
              <m:sty m:val="p"/>
            </m:rPr>
            <w:rPr>
              <w:rFonts w:eastAsia="Calibri" w:cs="Arial"/>
              <w:szCs w:val="22"/>
              <w:lang w:val="en-US" w:eastAsia="en-US"/>
            </w:rPr>
            <w:br/>
          </m:r>
        </m:oMath>
      </m:oMathPara>
    </w:p>
    <w:p w:rsidR="001F1A9D" w:rsidRPr="00C903F8" w:rsidRDefault="00F12BAF" w:rsidP="007E2368">
      <w:pPr>
        <w:tabs>
          <w:tab w:val="left" w:pos="1485"/>
        </w:tabs>
        <w:spacing w:line="240" w:lineRule="atLeast"/>
        <w:ind w:left="0" w:firstLine="0"/>
        <w:rPr>
          <w:rFonts w:eastAsia="Calibri"/>
          <w:szCs w:val="20"/>
          <w:lang w:val="de-DE" w:eastAsia="en-US"/>
        </w:rPr>
      </w:pPr>
      <m:oMathPara>
        <m:oMath>
          <m:sSub>
            <m:sSubPr>
              <m:ctrlPr>
                <w:rPr>
                  <w:rFonts w:ascii="Cambria Math" w:eastAsia="Calibri" w:hAnsi="Cambria Math" w:cs="Arial"/>
                  <w:i/>
                  <w:szCs w:val="22"/>
                  <w:lang w:val="en-US" w:eastAsia="en-US"/>
                </w:rPr>
              </m:ctrlPr>
            </m:sSubPr>
            <m:e>
              <m:r>
                <w:rPr>
                  <w:rFonts w:ascii="Cambria Math" w:eastAsia="Calibri" w:hAnsi="Cambria Math" w:cs="Arial"/>
                  <w:szCs w:val="22"/>
                  <w:lang w:val="en-US" w:eastAsia="en-US"/>
                </w:rPr>
                <m:t>le</m:t>
              </m:r>
            </m:e>
            <m:sub>
              <m:r>
                <w:rPr>
                  <w:rFonts w:ascii="Cambria Math" w:eastAsia="Calibri" w:hAnsi="Cambria Math" w:cs="Arial"/>
                  <w:szCs w:val="22"/>
                  <w:lang w:val="en-US" w:eastAsia="en-US"/>
                </w:rPr>
                <m:t>v</m:t>
              </m:r>
            </m:sub>
          </m:sSub>
          <m:r>
            <w:rPr>
              <w:rFonts w:ascii="Cambria Math" w:eastAsia="Calibri" w:hAnsi="Cambria Math" w:cs="Arial"/>
              <w:szCs w:val="22"/>
              <w:lang w:val="en-US" w:eastAsia="en-US"/>
            </w:rPr>
            <m:t xml:space="preserve">, resp.  </m:t>
          </m:r>
          <m:sSub>
            <m:sSubPr>
              <m:ctrlPr>
                <w:rPr>
                  <w:rFonts w:ascii="Cambria Math" w:eastAsia="Calibri" w:hAnsi="Cambria Math" w:cs="Arial"/>
                  <w:i/>
                  <w:szCs w:val="22"/>
                  <w:lang w:val="en-US" w:eastAsia="en-US"/>
                </w:rPr>
              </m:ctrlPr>
            </m:sSubPr>
            <m:e>
              <m:r>
                <w:rPr>
                  <w:rFonts w:ascii="Cambria Math" w:eastAsia="Calibri" w:hAnsi="Cambria Math" w:cs="Arial"/>
                  <w:szCs w:val="22"/>
                  <w:lang w:val="en-US" w:eastAsia="en-US"/>
                </w:rPr>
                <m:t>le</m:t>
              </m:r>
            </m:e>
            <m:sub>
              <m:r>
                <w:rPr>
                  <w:rFonts w:ascii="Cambria Math" w:eastAsia="Calibri" w:hAnsi="Cambria Math" w:cs="Arial"/>
                  <w:szCs w:val="22"/>
                  <w:lang w:val="en-US" w:eastAsia="en-US"/>
                </w:rPr>
                <m:t>a</m:t>
              </m:r>
            </m:sub>
          </m:sSub>
          <m:r>
            <w:rPr>
              <w:rFonts w:ascii="Cambria Math" w:eastAsia="Calibri" w:hAnsi="Cambria Math" w:cs="Arial"/>
              <w:szCs w:val="22"/>
              <w:lang w:val="en-US" w:eastAsia="en-US"/>
            </w:rPr>
            <m:t>=l ∙</m:t>
          </m:r>
          <m:d>
            <m:dPr>
              <m:ctrlPr>
                <w:rPr>
                  <w:rFonts w:ascii="Cambria Math" w:eastAsia="Calibri" w:hAnsi="Cambria Math" w:cs="Arial"/>
                  <w:i/>
                  <w:szCs w:val="22"/>
                  <w:lang w:val="en-US" w:eastAsia="en-US"/>
                </w:rPr>
              </m:ctrlPr>
            </m:dPr>
            <m:e>
              <m:r>
                <w:rPr>
                  <w:rFonts w:ascii="Cambria Math" w:eastAsia="Calibri" w:hAnsi="Cambria Math" w:cs="Arial"/>
                  <w:szCs w:val="22"/>
                  <w:lang w:val="en-US" w:eastAsia="en-US"/>
                </w:rPr>
                <m:t xml:space="preserve">2,5 ∙ </m:t>
              </m:r>
              <m:f>
                <m:fPr>
                  <m:ctrlPr>
                    <w:rPr>
                      <w:rFonts w:ascii="Cambria Math" w:eastAsia="Calibri" w:hAnsi="Cambria Math" w:cs="Arial"/>
                      <w:i/>
                      <w:szCs w:val="22"/>
                      <w:lang w:val="en-US" w:eastAsia="en-US"/>
                    </w:rPr>
                  </m:ctrlPr>
                </m:fPr>
                <m:num>
                  <m:r>
                    <w:rPr>
                      <w:rFonts w:ascii="Cambria Math" w:eastAsia="Calibri" w:hAnsi="Cambria Math" w:cs="Arial"/>
                      <w:szCs w:val="22"/>
                      <w:lang w:val="en-US" w:eastAsia="en-US"/>
                    </w:rPr>
                    <m:t>b</m:t>
                  </m:r>
                </m:num>
                <m:den>
                  <m:sSub>
                    <m:sSubPr>
                      <m:ctrlPr>
                        <w:rPr>
                          <w:rFonts w:ascii="Cambria Math" w:eastAsia="Calibri" w:hAnsi="Cambria Math" w:cs="Arial"/>
                          <w:i/>
                          <w:szCs w:val="22"/>
                          <w:lang w:val="en-US" w:eastAsia="en-US"/>
                        </w:rPr>
                      </m:ctrlPr>
                    </m:sSubPr>
                    <m:e>
                      <m:r>
                        <w:rPr>
                          <w:rFonts w:ascii="Cambria Math" w:eastAsia="Calibri" w:hAnsi="Cambria Math" w:cs="Arial"/>
                          <w:szCs w:val="22"/>
                          <w:lang w:val="en-US" w:eastAsia="en-US"/>
                        </w:rPr>
                        <m:t>B</m:t>
                      </m:r>
                    </m:e>
                    <m:sub>
                      <m:r>
                        <w:rPr>
                          <w:rFonts w:ascii="Cambria Math" w:eastAsia="Calibri" w:hAnsi="Cambria Math" w:cs="Arial"/>
                          <w:szCs w:val="22"/>
                          <w:lang w:val="en-US" w:eastAsia="en-US"/>
                        </w:rPr>
                        <m:t>1</m:t>
                      </m:r>
                    </m:sub>
                  </m:sSub>
                </m:den>
              </m:f>
              <m:r>
                <w:rPr>
                  <w:rFonts w:ascii="Cambria Math" w:eastAsia="Calibri" w:hAnsi="Cambria Math" w:cs="Arial"/>
                  <w:szCs w:val="22"/>
                  <w:lang w:val="en-US" w:eastAsia="en-US"/>
                </w:rPr>
                <m:t>-1,5</m:t>
              </m:r>
            </m:e>
          </m:d>
          <m:r>
            <w:rPr>
              <w:rFonts w:ascii="Cambria Math" w:eastAsia="Calibri" w:hAnsi="Cambria Math" w:cs="Arial"/>
              <w:szCs w:val="22"/>
              <w:lang w:val="en-US" w:eastAsia="en-US"/>
            </w:rPr>
            <m:t xml:space="preserve"> ∙ </m:t>
          </m:r>
          <m:f>
            <m:fPr>
              <m:ctrlPr>
                <w:rPr>
                  <w:rFonts w:ascii="Cambria Math" w:eastAsia="Calibri" w:hAnsi="Cambria Math" w:cs="Arial"/>
                  <w:i/>
                  <w:szCs w:val="22"/>
                  <w:lang w:val="en-US" w:eastAsia="en-US"/>
                </w:rPr>
              </m:ctrlPr>
            </m:fPr>
            <m:num>
              <m:r>
                <w:rPr>
                  <w:rFonts w:ascii="Cambria Math" w:eastAsia="Calibri" w:hAnsi="Cambria Math" w:cs="Arial"/>
                  <w:szCs w:val="22"/>
                  <w:lang w:val="en-US" w:eastAsia="en-US"/>
                </w:rPr>
                <m:t>h</m:t>
              </m:r>
            </m:num>
            <m:den>
              <m:r>
                <w:rPr>
                  <w:rFonts w:ascii="Cambria Math" w:eastAsia="Calibri" w:hAnsi="Cambria Math" w:cs="Arial"/>
                  <w:szCs w:val="22"/>
                  <w:lang w:val="en-US" w:eastAsia="en-US"/>
                </w:rPr>
                <m:t>0,36</m:t>
              </m:r>
            </m:den>
          </m:f>
          <m:r>
            <m:rPr>
              <m:sty m:val="p"/>
            </m:rPr>
            <w:rPr>
              <w:rFonts w:ascii="Cambria Math" w:eastAsia="Calibri" w:hAnsi="Cambria Math" w:cs="Arial"/>
              <w:szCs w:val="22"/>
              <w:lang w:val="en-US" w:eastAsia="en-US"/>
            </w:rPr>
            <m:t xml:space="preserve">  </m:t>
          </m:r>
          <m:d>
            <m:dPr>
              <m:begChr m:val="["/>
              <m:endChr m:val="]"/>
              <m:ctrlPr>
                <w:rPr>
                  <w:rFonts w:ascii="Cambria Math" w:eastAsia="Calibri" w:hAnsi="Cambria Math" w:cs="Arial"/>
                  <w:szCs w:val="22"/>
                  <w:lang w:val="en-US" w:eastAsia="en-US"/>
                </w:rPr>
              </m:ctrlPr>
            </m:dPr>
            <m:e>
              <m:r>
                <m:rPr>
                  <m:sty m:val="p"/>
                </m:rPr>
                <w:rPr>
                  <w:rFonts w:ascii="Cambria Math" w:eastAsia="Calibri" w:hAnsi="Cambria Math" w:cs="Arial"/>
                  <w:szCs w:val="22"/>
                  <w:lang w:val="en-US" w:eastAsia="en-US"/>
                </w:rPr>
                <m:t>m</m:t>
              </m:r>
            </m:e>
          </m:d>
          <m:r>
            <m:rPr>
              <m:sty m:val="p"/>
            </m:rPr>
            <w:rPr>
              <w:rFonts w:ascii="Cambria Math" w:eastAsia="Calibri" w:hAnsi="Cambria Math" w:cs="Arial"/>
              <w:szCs w:val="22"/>
              <w:lang w:val="en-US" w:eastAsia="en-US"/>
            </w:rPr>
            <m:t>.</m:t>
          </m:r>
          <m:r>
            <m:rPr>
              <m:sty m:val="p"/>
            </m:rPr>
            <w:rPr>
              <w:rFonts w:eastAsia="Calibri" w:cs="Arial"/>
              <w:szCs w:val="22"/>
              <w:lang w:val="en-US" w:eastAsia="en-US"/>
            </w:rPr>
            <w:br/>
          </m:r>
        </m:oMath>
      </m:oMathPara>
    </w:p>
    <w:p w:rsidR="001F1A9D" w:rsidRPr="00C903F8" w:rsidRDefault="0060175E" w:rsidP="00F6236E">
      <w:pPr>
        <w:spacing w:line="240" w:lineRule="atLeast"/>
        <w:ind w:left="567" w:firstLine="0"/>
        <w:rPr>
          <w:rFonts w:eastAsia="Calibri"/>
          <w:szCs w:val="20"/>
          <w:lang w:val="en-US" w:eastAsia="en-US"/>
        </w:rPr>
      </w:pPr>
      <w:r w:rsidRPr="00C903F8">
        <w:rPr>
          <w:rFonts w:eastAsia="Calibri"/>
          <w:szCs w:val="20"/>
          <w:lang w:val="en-US" w:eastAsia="en-US"/>
        </w:rPr>
        <w:t>where</w:t>
      </w:r>
      <w:r w:rsidR="001F1A9D" w:rsidRPr="00C903F8">
        <w:rPr>
          <w:rFonts w:eastAsia="Calibri"/>
          <w:szCs w:val="20"/>
          <w:lang w:val="en-US" w:eastAsia="en-US"/>
        </w:rPr>
        <w:t>:</w:t>
      </w:r>
    </w:p>
    <w:p w:rsidR="001F1A9D" w:rsidRPr="00C903F8" w:rsidRDefault="0026577D" w:rsidP="004316CC">
      <w:pPr>
        <w:spacing w:before="60" w:line="240" w:lineRule="atLeast"/>
        <w:ind w:left="992"/>
        <w:rPr>
          <w:rFonts w:eastAsia="Calibri"/>
          <w:szCs w:val="20"/>
          <w:lang w:val="en-US" w:eastAsia="en-US"/>
        </w:rPr>
      </w:pPr>
      <m:oMath>
        <m:r>
          <w:rPr>
            <w:rFonts w:ascii="Cambria Math" w:eastAsia="Calibri" w:hAnsi="Cambria Math"/>
            <w:szCs w:val="20"/>
            <w:lang w:eastAsia="en-US"/>
          </w:rPr>
          <m:t>l</m:t>
        </m:r>
      </m:oMath>
      <w:r w:rsidR="001F1A9D" w:rsidRPr="00C903F8">
        <w:rPr>
          <w:rFonts w:eastAsia="Calibri"/>
          <w:szCs w:val="20"/>
          <w:lang w:val="en-US" w:eastAsia="en-US"/>
        </w:rPr>
        <w:tab/>
      </w:r>
      <w:r w:rsidR="0060175E" w:rsidRPr="00C903F8">
        <w:rPr>
          <w:rFonts w:cs="Arial"/>
          <w:noProof/>
          <w:szCs w:val="20"/>
          <w:lang w:val="en-GB"/>
        </w:rPr>
        <w:t>is the effective length, in m, of the superstructure involved</w:t>
      </w:r>
      <w:r w:rsidR="001F1A9D" w:rsidRPr="00C903F8">
        <w:rPr>
          <w:rFonts w:eastAsia="Calibri"/>
          <w:szCs w:val="20"/>
          <w:lang w:val="en-US" w:eastAsia="en-US"/>
        </w:rPr>
        <w:t>;</w:t>
      </w:r>
    </w:p>
    <w:p w:rsidR="001F1A9D" w:rsidRPr="00C903F8" w:rsidRDefault="0026577D" w:rsidP="004316CC">
      <w:pPr>
        <w:spacing w:before="60" w:line="240" w:lineRule="atLeast"/>
        <w:ind w:left="992"/>
        <w:rPr>
          <w:rFonts w:eastAsia="Calibri"/>
          <w:szCs w:val="20"/>
          <w:lang w:val="en-US" w:eastAsia="en-US"/>
        </w:rPr>
      </w:pPr>
      <m:oMath>
        <m:r>
          <w:rPr>
            <w:rFonts w:ascii="Cambria Math" w:eastAsia="Calibri" w:hAnsi="Cambria Math"/>
            <w:szCs w:val="20"/>
            <w:lang w:val="en-US" w:eastAsia="en-US"/>
          </w:rPr>
          <m:t>b</m:t>
        </m:r>
      </m:oMath>
      <w:r w:rsidR="001F1A9D" w:rsidRPr="00C903F8">
        <w:rPr>
          <w:rFonts w:eastAsia="Calibri"/>
          <w:szCs w:val="20"/>
          <w:lang w:val="en-US" w:eastAsia="en-US"/>
        </w:rPr>
        <w:tab/>
      </w:r>
      <w:r w:rsidR="0060175E" w:rsidRPr="00C903F8">
        <w:rPr>
          <w:rFonts w:cs="Arial"/>
          <w:noProof/>
          <w:szCs w:val="20"/>
          <w:lang w:val="en-GB"/>
        </w:rPr>
        <w:t>is the width, in m, of the superstructure involved</w:t>
      </w:r>
      <w:r w:rsidR="001F1A9D" w:rsidRPr="00C903F8">
        <w:rPr>
          <w:rFonts w:eastAsia="Calibri"/>
          <w:szCs w:val="20"/>
          <w:lang w:val="en-US" w:eastAsia="en-US"/>
        </w:rPr>
        <w:t>;</w:t>
      </w:r>
    </w:p>
    <w:p w:rsidR="001F1A9D" w:rsidRPr="00C903F8" w:rsidRDefault="00F12BAF" w:rsidP="004316CC">
      <w:pPr>
        <w:spacing w:before="60" w:line="240" w:lineRule="atLeast"/>
        <w:ind w:left="992"/>
        <w:rPr>
          <w:rFonts w:eastAsia="Calibri"/>
          <w:szCs w:val="20"/>
          <w:lang w:val="en-US" w:eastAsia="en-US"/>
        </w:rPr>
      </w:pPr>
      <m:oMath>
        <m:sSub>
          <m:sSubPr>
            <m:ctrlPr>
              <w:rPr>
                <w:rFonts w:ascii="Cambria Math" w:eastAsia="Calibri" w:hAnsi="Cambria Math"/>
                <w:i/>
                <w:szCs w:val="20"/>
                <w:lang w:eastAsia="en-US"/>
              </w:rPr>
            </m:ctrlPr>
          </m:sSubPr>
          <m:e>
            <m:r>
              <w:rPr>
                <w:rFonts w:ascii="Cambria Math" w:eastAsia="Calibri" w:hAnsi="Cambria Math"/>
                <w:szCs w:val="20"/>
                <w:lang w:eastAsia="en-US"/>
              </w:rPr>
              <m:t>B</m:t>
            </m:r>
          </m:e>
          <m:sub>
            <m:r>
              <w:rPr>
                <w:rFonts w:ascii="Cambria Math" w:eastAsia="Calibri" w:hAnsi="Cambria Math"/>
                <w:szCs w:val="20"/>
                <w:lang w:val="en-US" w:eastAsia="en-US"/>
              </w:rPr>
              <m:t>1</m:t>
            </m:r>
          </m:sub>
        </m:sSub>
      </m:oMath>
      <w:r w:rsidR="0026577D" w:rsidRPr="00C903F8">
        <w:rPr>
          <w:rFonts w:eastAsia="Calibri"/>
          <w:szCs w:val="20"/>
          <w:lang w:val="en-US" w:eastAsia="en-US"/>
        </w:rPr>
        <w:t xml:space="preserve"> </w:t>
      </w:r>
      <w:r w:rsidR="001F1A9D" w:rsidRPr="00C903F8">
        <w:rPr>
          <w:rFonts w:eastAsia="Calibri"/>
          <w:szCs w:val="20"/>
          <w:lang w:val="en-US" w:eastAsia="en-US"/>
        </w:rPr>
        <w:tab/>
      </w:r>
      <w:r w:rsidR="0060175E" w:rsidRPr="00C903F8">
        <w:rPr>
          <w:rFonts w:cs="Arial"/>
          <w:noProof/>
          <w:szCs w:val="20"/>
          <w:lang w:val="en-GB"/>
        </w:rPr>
        <w:t>is the width of the vessel, in m, measured on the outside of the vertical sideplates at deck level halfway along the superstructure involved</w:t>
      </w:r>
      <w:r w:rsidR="001F1A9D" w:rsidRPr="00C903F8">
        <w:rPr>
          <w:rFonts w:eastAsia="Calibri"/>
          <w:szCs w:val="20"/>
          <w:lang w:val="en-US" w:eastAsia="en-US"/>
        </w:rPr>
        <w:t>;</w:t>
      </w:r>
    </w:p>
    <w:p w:rsidR="001F1A9D" w:rsidRPr="00C903F8" w:rsidRDefault="0026577D" w:rsidP="004316CC">
      <w:pPr>
        <w:spacing w:before="60" w:line="240" w:lineRule="atLeast"/>
        <w:ind w:left="992"/>
        <w:rPr>
          <w:rFonts w:eastAsia="Calibri"/>
          <w:szCs w:val="20"/>
          <w:lang w:val="en-US" w:eastAsia="en-US"/>
        </w:rPr>
      </w:pPr>
      <m:oMath>
        <m:r>
          <w:rPr>
            <w:rFonts w:ascii="Cambria Math" w:eastAsia="Calibri" w:hAnsi="Cambria Math"/>
            <w:szCs w:val="20"/>
            <w:lang w:val="en-US" w:eastAsia="en-US"/>
          </w:rPr>
          <m:t>h</m:t>
        </m:r>
      </m:oMath>
      <w:r w:rsidR="0060175E" w:rsidRPr="00C903F8">
        <w:rPr>
          <w:rFonts w:eastAsia="Calibri"/>
          <w:szCs w:val="20"/>
          <w:lang w:val="en-US" w:eastAsia="en-US"/>
        </w:rPr>
        <w:tab/>
      </w:r>
      <w:r w:rsidR="0060175E" w:rsidRPr="00C903F8">
        <w:rPr>
          <w:rFonts w:cs="Arial"/>
          <w:noProof/>
          <w:szCs w:val="20"/>
          <w:lang w:val="en-GB"/>
        </w:rPr>
        <w:t xml:space="preserve">is the height, in m, of the superstructure involved. However, in the case of hatches, </w:t>
      </w:r>
      <m:oMath>
        <m:r>
          <w:rPr>
            <w:rFonts w:ascii="Cambria Math" w:eastAsia="Calibri" w:hAnsi="Cambria Math"/>
            <w:szCs w:val="20"/>
            <w:lang w:val="en-US" w:eastAsia="en-US"/>
          </w:rPr>
          <m:t>h</m:t>
        </m:r>
      </m:oMath>
      <w:r w:rsidR="0060175E" w:rsidRPr="00C903F8">
        <w:rPr>
          <w:rFonts w:cs="Arial"/>
          <w:noProof/>
          <w:szCs w:val="20"/>
          <w:lang w:val="en-GB"/>
        </w:rPr>
        <w:t xml:space="preserve"> is obtained by reducing the height of the coamings by half of the safety distance according to Article 4.01. In no case will a value exceeding 0,36 m be taken for </w:t>
      </w:r>
      <m:oMath>
        <m:r>
          <w:rPr>
            <w:rFonts w:ascii="Cambria Math" w:eastAsia="Calibri" w:hAnsi="Cambria Math"/>
            <w:szCs w:val="20"/>
            <w:lang w:val="en-US" w:eastAsia="en-US"/>
          </w:rPr>
          <m:t>h</m:t>
        </m:r>
      </m:oMath>
      <w:r w:rsidR="001F1A9D" w:rsidRPr="00C903F8">
        <w:rPr>
          <w:rFonts w:eastAsia="Calibri"/>
          <w:szCs w:val="20"/>
          <w:lang w:val="en-US" w:eastAsia="en-US"/>
        </w:rPr>
        <w:t>.</w:t>
      </w:r>
    </w:p>
    <w:p w:rsidR="001F1A9D" w:rsidRPr="00C903F8" w:rsidRDefault="0060175E" w:rsidP="004316CC">
      <w:pPr>
        <w:spacing w:before="60" w:line="240" w:lineRule="atLeast"/>
        <w:ind w:left="992"/>
        <w:rPr>
          <w:rFonts w:eastAsia="Calibri"/>
          <w:szCs w:val="20"/>
          <w:lang w:val="en-US" w:eastAsia="en-US"/>
        </w:rPr>
      </w:pPr>
      <w:r w:rsidRPr="00C903F8">
        <w:rPr>
          <w:rFonts w:eastAsia="Calibri"/>
          <w:szCs w:val="20"/>
          <w:lang w:val="en-US" w:eastAsia="en-US"/>
        </w:rPr>
        <w:t>If</w:t>
      </w:r>
      <w:r w:rsidR="000418C9" w:rsidRPr="00C903F8">
        <w:rPr>
          <w:rFonts w:eastAsia="Calibri"/>
          <w:szCs w:val="20"/>
          <w:lang w:val="en-US" w:eastAsia="en-US"/>
        </w:rPr>
        <w:t xml:space="preserve"> </w:t>
      </w:r>
      <m:oMath>
        <m:f>
          <m:fPr>
            <m:ctrlPr>
              <w:rPr>
                <w:rFonts w:ascii="Cambria Math" w:eastAsia="Calibri" w:hAnsi="Cambria Math"/>
                <w:i/>
                <w:sz w:val="24"/>
                <w:szCs w:val="20"/>
                <w:lang w:val="en-US" w:eastAsia="en-US"/>
              </w:rPr>
            </m:ctrlPr>
          </m:fPr>
          <m:num>
            <m:r>
              <w:rPr>
                <w:rFonts w:ascii="Cambria Math" w:eastAsia="Calibri" w:hAnsi="Cambria Math"/>
                <w:sz w:val="24"/>
                <w:szCs w:val="20"/>
                <w:lang w:val="en-US" w:eastAsia="en-US"/>
              </w:rPr>
              <m:t>b</m:t>
            </m:r>
          </m:num>
          <m:den>
            <m:r>
              <w:rPr>
                <w:rFonts w:ascii="Cambria Math" w:eastAsia="Calibri" w:hAnsi="Cambria Math"/>
                <w:sz w:val="24"/>
                <w:szCs w:val="20"/>
                <w:lang w:val="en-US" w:eastAsia="en-US"/>
              </w:rPr>
              <m:t>B</m:t>
            </m:r>
          </m:den>
        </m:f>
      </m:oMath>
      <w:r w:rsidR="000418C9" w:rsidRPr="00C903F8">
        <w:rPr>
          <w:rFonts w:eastAsia="Calibri"/>
          <w:sz w:val="24"/>
          <w:szCs w:val="20"/>
          <w:lang w:val="en-US" w:eastAsia="en-US"/>
        </w:rPr>
        <w:t xml:space="preserve"> </w:t>
      </w:r>
      <w:r w:rsidRPr="00C903F8">
        <w:rPr>
          <w:rFonts w:eastAsia="Calibri"/>
          <w:szCs w:val="20"/>
          <w:lang w:val="en-US" w:eastAsia="en-US"/>
        </w:rPr>
        <w:t>or</w:t>
      </w:r>
      <w:r w:rsidR="000418C9" w:rsidRPr="00C903F8">
        <w:rPr>
          <w:rFonts w:eastAsia="Calibri"/>
          <w:szCs w:val="20"/>
          <w:lang w:val="en-US" w:eastAsia="en-US"/>
        </w:rPr>
        <w:t xml:space="preserve"> </w:t>
      </w:r>
      <m:oMath>
        <m:f>
          <m:fPr>
            <m:ctrlPr>
              <w:rPr>
                <w:rFonts w:ascii="Cambria Math" w:eastAsia="Calibri" w:hAnsi="Cambria Math"/>
                <w:i/>
                <w:sz w:val="24"/>
                <w:szCs w:val="20"/>
                <w:lang w:val="en-US" w:eastAsia="en-US"/>
              </w:rPr>
            </m:ctrlPr>
          </m:fPr>
          <m:num>
            <m:r>
              <w:rPr>
                <w:rFonts w:ascii="Cambria Math" w:eastAsia="Calibri" w:hAnsi="Cambria Math"/>
                <w:sz w:val="24"/>
                <w:szCs w:val="20"/>
                <w:lang w:val="en-US" w:eastAsia="en-US"/>
              </w:rPr>
              <m:t>b</m:t>
            </m:r>
          </m:num>
          <m:den>
            <m:sSub>
              <m:sSubPr>
                <m:ctrlPr>
                  <w:rPr>
                    <w:rFonts w:ascii="Cambria Math" w:eastAsia="Calibri" w:hAnsi="Cambria Math"/>
                    <w:i/>
                    <w:sz w:val="24"/>
                    <w:szCs w:val="20"/>
                    <w:lang w:val="en-US" w:eastAsia="en-US"/>
                  </w:rPr>
                </m:ctrlPr>
              </m:sSubPr>
              <m:e>
                <m:r>
                  <w:rPr>
                    <w:rFonts w:ascii="Cambria Math" w:eastAsia="Calibri" w:hAnsi="Cambria Math"/>
                    <w:sz w:val="24"/>
                    <w:szCs w:val="20"/>
                    <w:lang w:val="en-US" w:eastAsia="en-US"/>
                  </w:rPr>
                  <m:t>B</m:t>
                </m:r>
              </m:e>
              <m:sub>
                <m:r>
                  <w:rPr>
                    <w:rFonts w:ascii="Cambria Math" w:eastAsia="Calibri" w:hAnsi="Cambria Math"/>
                    <w:sz w:val="24"/>
                    <w:szCs w:val="20"/>
                    <w:lang w:val="en-US" w:eastAsia="en-US"/>
                  </w:rPr>
                  <m:t>1</m:t>
                </m:r>
              </m:sub>
            </m:sSub>
          </m:den>
        </m:f>
        <m:r>
          <w:rPr>
            <w:rFonts w:ascii="Cambria Math" w:eastAsia="Calibri" w:hAnsi="Cambria Math"/>
            <w:sz w:val="24"/>
            <w:szCs w:val="20"/>
            <w:lang w:val="en-US" w:eastAsia="en-US"/>
          </w:rPr>
          <m:t xml:space="preserve"> </m:t>
        </m:r>
      </m:oMath>
      <w:r w:rsidRPr="00C903F8">
        <w:rPr>
          <w:rFonts w:cs="Arial"/>
          <w:noProof/>
          <w:szCs w:val="20"/>
          <w:lang w:val="en-GB"/>
        </w:rPr>
        <w:t>is less than 0</w:t>
      </w:r>
      <w:r w:rsidR="004271FC" w:rsidRPr="00C903F8">
        <w:rPr>
          <w:rFonts w:cs="Arial"/>
          <w:noProof/>
          <w:szCs w:val="20"/>
          <w:lang w:val="en-GB"/>
        </w:rPr>
        <w:t>,</w:t>
      </w:r>
      <w:r w:rsidRPr="00C903F8">
        <w:rPr>
          <w:rFonts w:cs="Arial"/>
          <w:noProof/>
          <w:szCs w:val="20"/>
          <w:lang w:val="en-GB"/>
        </w:rPr>
        <w:t xml:space="preserve">6 the effective length </w:t>
      </w:r>
      <m:oMath>
        <m:r>
          <w:rPr>
            <w:rFonts w:ascii="Cambria Math" w:eastAsia="Calibri" w:hAnsi="Cambria Math"/>
            <w:szCs w:val="20"/>
            <w:lang w:eastAsia="en-US"/>
          </w:rPr>
          <m:t>le</m:t>
        </m:r>
      </m:oMath>
      <w:r w:rsidRPr="00C903F8">
        <w:rPr>
          <w:rFonts w:cs="Arial"/>
          <w:noProof/>
          <w:szCs w:val="20"/>
          <w:lang w:val="en-GB"/>
        </w:rPr>
        <w:t xml:space="preserve"> of the superstructure will be zero.</w:t>
      </w:r>
    </w:p>
    <w:p w:rsidR="00745DD2" w:rsidRPr="00C903F8" w:rsidRDefault="00745DD2" w:rsidP="00E1027C">
      <w:pPr>
        <w:spacing w:line="240" w:lineRule="atLeast"/>
        <w:rPr>
          <w:rFonts w:eastAsia="Calibri"/>
          <w:szCs w:val="20"/>
          <w:lang w:val="en-US" w:eastAsia="en-US"/>
        </w:rPr>
      </w:pPr>
    </w:p>
    <w:p w:rsidR="001F1A9D" w:rsidRPr="00C903F8" w:rsidRDefault="001F1A9D" w:rsidP="00111867">
      <w:pPr>
        <w:pStyle w:val="ESch"/>
        <w:rPr>
          <w:rFonts w:eastAsia="Calibri"/>
          <w:lang w:val="en-US" w:eastAsia="en-US"/>
        </w:rPr>
      </w:pPr>
      <w:r w:rsidRPr="00C903F8">
        <w:rPr>
          <w:rFonts w:eastAsia="Calibri"/>
          <w:lang w:val="en-US" w:eastAsia="en-US"/>
        </w:rPr>
        <w:t>4.</w:t>
      </w:r>
      <w:r w:rsidRPr="00C903F8">
        <w:rPr>
          <w:rFonts w:eastAsia="Calibri"/>
          <w:lang w:val="en-US" w:eastAsia="en-US"/>
        </w:rPr>
        <w:tab/>
      </w:r>
      <w:r w:rsidR="0060175E" w:rsidRPr="00C903F8">
        <w:rPr>
          <w:noProof/>
          <w:lang w:val="en-GB"/>
        </w:rPr>
        <w:t xml:space="preserve">Coefficients </w:t>
      </w:r>
      <m:oMath>
        <m:sSub>
          <m:sSubPr>
            <m:ctrlPr>
              <w:rPr>
                <w:rFonts w:ascii="Cambria Math" w:eastAsia="Calibri" w:hAnsi="Cambria Math"/>
                <w:i/>
                <w:szCs w:val="20"/>
                <w:lang w:eastAsia="en-US"/>
              </w:rPr>
            </m:ctrlPr>
          </m:sSubPr>
          <m:e>
            <m:r>
              <w:rPr>
                <w:rFonts w:ascii="Cambria Math" w:eastAsia="Calibri" w:hAnsi="Cambria Math"/>
                <w:szCs w:val="20"/>
                <w:lang w:eastAsia="en-US"/>
              </w:rPr>
              <m:t>β</m:t>
            </m:r>
          </m:e>
          <m:sub>
            <m:r>
              <w:rPr>
                <w:rFonts w:ascii="Cambria Math" w:eastAsia="Calibri" w:hAnsi="Cambria Math"/>
                <w:szCs w:val="20"/>
                <w:lang w:eastAsia="en-US"/>
              </w:rPr>
              <m:t>v</m:t>
            </m:r>
          </m:sub>
        </m:sSub>
      </m:oMath>
      <w:r w:rsidR="0060175E" w:rsidRPr="00C903F8">
        <w:rPr>
          <w:noProof/>
          <w:lang w:val="en-GB"/>
        </w:rPr>
        <w:t xml:space="preserve">and </w:t>
      </w:r>
      <m:oMath>
        <m:sSub>
          <m:sSubPr>
            <m:ctrlPr>
              <w:rPr>
                <w:rFonts w:ascii="Cambria Math" w:eastAsia="Calibri" w:hAnsi="Cambria Math"/>
                <w:i/>
                <w:szCs w:val="20"/>
                <w:lang w:eastAsia="en-US"/>
              </w:rPr>
            </m:ctrlPr>
          </m:sSubPr>
          <m:e>
            <m:r>
              <w:rPr>
                <w:rFonts w:ascii="Cambria Math" w:eastAsia="Calibri" w:hAnsi="Cambria Math"/>
                <w:szCs w:val="20"/>
                <w:lang w:eastAsia="en-US"/>
              </w:rPr>
              <m:t>β</m:t>
            </m:r>
          </m:e>
          <m:sub>
            <m:r>
              <w:rPr>
                <w:rFonts w:ascii="Cambria Math" w:eastAsia="Calibri" w:hAnsi="Cambria Math"/>
                <w:szCs w:val="20"/>
                <w:lang w:eastAsia="en-US"/>
              </w:rPr>
              <m:t>a</m:t>
            </m:r>
          </m:sub>
        </m:sSub>
      </m:oMath>
      <w:r w:rsidR="0060175E" w:rsidRPr="00C903F8">
        <w:rPr>
          <w:noProof/>
          <w:lang w:val="en-GB"/>
        </w:rPr>
        <w:t xml:space="preserve"> are calculated using the following formulae</w:t>
      </w:r>
      <w:r w:rsidRPr="00C903F8">
        <w:rPr>
          <w:rFonts w:eastAsia="Calibri"/>
          <w:lang w:val="en-US" w:eastAsia="en-US"/>
        </w:rPr>
        <w:t>:</w:t>
      </w:r>
    </w:p>
    <w:p w:rsidR="00BE2487" w:rsidRPr="00C903F8" w:rsidRDefault="00BE2487" w:rsidP="00111867">
      <w:pPr>
        <w:pStyle w:val="ESch"/>
        <w:rPr>
          <w:rFonts w:eastAsia="Calibri"/>
          <w:lang w:val="en-US" w:eastAsia="en-US"/>
        </w:rPr>
      </w:pPr>
    </w:p>
    <w:p w:rsidR="00BE2487" w:rsidRPr="00C903F8" w:rsidRDefault="00F12BAF" w:rsidP="007E2368">
      <w:pPr>
        <w:pStyle w:val="ESch"/>
        <w:ind w:left="0" w:firstLine="0"/>
        <w:jc w:val="center"/>
        <w:rPr>
          <w:rFonts w:eastAsia="Calibri"/>
          <w:lang w:val="en-US" w:eastAsia="en-US"/>
        </w:rPr>
      </w:pPr>
      <m:oMathPara>
        <m:oMath>
          <m:sSub>
            <m:sSubPr>
              <m:ctrlPr>
                <w:rPr>
                  <w:rFonts w:ascii="Cambria Math" w:eastAsia="Calibri" w:hAnsi="Cambria Math"/>
                  <w:i/>
                  <w:lang w:val="en-US" w:eastAsia="en-US"/>
                </w:rPr>
              </m:ctrlPr>
            </m:sSubPr>
            <m:e>
              <m:r>
                <w:rPr>
                  <w:rFonts w:ascii="Cambria Math" w:eastAsia="Calibri" w:hAnsi="Cambria Math"/>
                  <w:lang w:val="en-US" w:eastAsia="en-US"/>
                </w:rPr>
                <m:t>B</m:t>
              </m:r>
            </m:e>
            <m:sub>
              <m:r>
                <w:rPr>
                  <w:rFonts w:ascii="Cambria Math" w:eastAsia="Calibri" w:hAnsi="Cambria Math"/>
                  <w:lang w:val="en-US" w:eastAsia="en-US"/>
                </w:rPr>
                <m:t xml:space="preserve">v </m:t>
              </m:r>
            </m:sub>
          </m:sSub>
          <m:r>
            <w:rPr>
              <w:rFonts w:ascii="Cambria Math" w:eastAsia="Calibri" w:hAnsi="Cambria Math"/>
              <w:lang w:val="en-US" w:eastAsia="en-US"/>
            </w:rPr>
            <m:t xml:space="preserve">=1- </m:t>
          </m:r>
          <m:f>
            <m:fPr>
              <m:ctrlPr>
                <w:rPr>
                  <w:rFonts w:ascii="Cambria Math" w:eastAsia="Calibri" w:hAnsi="Cambria Math"/>
                  <w:i/>
                  <w:lang w:val="en-US" w:eastAsia="en-US"/>
                </w:rPr>
              </m:ctrlPr>
            </m:fPr>
            <m:num>
              <m:r>
                <w:rPr>
                  <w:rFonts w:ascii="Cambria Math" w:eastAsia="Calibri" w:hAnsi="Cambria Math"/>
                  <w:lang w:val="en-US" w:eastAsia="en-US"/>
                </w:rPr>
                <m:t xml:space="preserve">3 ∙ </m:t>
              </m:r>
              <m:sSub>
                <m:sSubPr>
                  <m:ctrlPr>
                    <w:rPr>
                      <w:rFonts w:ascii="Cambria Math" w:eastAsia="Calibri" w:hAnsi="Cambria Math"/>
                      <w:i/>
                      <w:lang w:val="en-US" w:eastAsia="en-US"/>
                    </w:rPr>
                  </m:ctrlPr>
                </m:sSubPr>
                <m:e>
                  <m:r>
                    <w:rPr>
                      <w:rFonts w:ascii="Cambria Math" w:eastAsia="Calibri" w:hAnsi="Cambria Math"/>
                      <w:lang w:val="en-US" w:eastAsia="en-US"/>
                    </w:rPr>
                    <m:t>le</m:t>
                  </m:r>
                </m:e>
                <m:sub>
                  <m:r>
                    <w:rPr>
                      <w:rFonts w:ascii="Cambria Math" w:eastAsia="Calibri" w:hAnsi="Cambria Math"/>
                      <w:lang w:val="en-US" w:eastAsia="en-US"/>
                    </w:rPr>
                    <m:t>v</m:t>
                  </m:r>
                </m:sub>
              </m:sSub>
            </m:num>
            <m:den>
              <m:r>
                <w:rPr>
                  <w:rFonts w:ascii="Cambria Math" w:eastAsia="Calibri" w:hAnsi="Cambria Math"/>
                  <w:lang w:val="en-US" w:eastAsia="en-US"/>
                </w:rPr>
                <m:t>L</m:t>
              </m:r>
            </m:den>
          </m:f>
        </m:oMath>
      </m:oMathPara>
    </w:p>
    <w:p w:rsidR="0097552D" w:rsidRPr="00C903F8" w:rsidRDefault="0097552D" w:rsidP="007E2368">
      <w:pPr>
        <w:pStyle w:val="ESch"/>
        <w:ind w:left="0" w:firstLine="0"/>
        <w:jc w:val="center"/>
        <w:rPr>
          <w:rFonts w:eastAsia="Calibri"/>
          <w:lang w:val="en-US" w:eastAsia="en-US"/>
        </w:rPr>
      </w:pPr>
    </w:p>
    <w:p w:rsidR="0097552D" w:rsidRPr="00C903F8" w:rsidRDefault="00F12BAF" w:rsidP="007E2368">
      <w:pPr>
        <w:pStyle w:val="ESch"/>
        <w:ind w:left="0" w:firstLine="0"/>
        <w:jc w:val="center"/>
        <w:rPr>
          <w:rFonts w:eastAsia="Calibri"/>
          <w:lang w:val="en-US" w:eastAsia="en-US"/>
        </w:rPr>
      </w:pPr>
      <m:oMathPara>
        <m:oMath>
          <m:sSub>
            <m:sSubPr>
              <m:ctrlPr>
                <w:rPr>
                  <w:rFonts w:ascii="Cambria Math" w:eastAsia="Calibri" w:hAnsi="Cambria Math"/>
                  <w:i/>
                  <w:lang w:val="en-US" w:eastAsia="en-US"/>
                </w:rPr>
              </m:ctrlPr>
            </m:sSubPr>
            <m:e>
              <m:r>
                <w:rPr>
                  <w:rFonts w:ascii="Cambria Math" w:eastAsia="Calibri" w:hAnsi="Cambria Math"/>
                  <w:lang w:val="en-US" w:eastAsia="en-US"/>
                </w:rPr>
                <m:t>B</m:t>
              </m:r>
            </m:e>
            <m:sub>
              <m:r>
                <w:rPr>
                  <w:rFonts w:ascii="Cambria Math" w:eastAsia="Calibri" w:hAnsi="Cambria Math"/>
                  <w:lang w:val="en-US" w:eastAsia="en-US"/>
                </w:rPr>
                <m:t xml:space="preserve">a </m:t>
              </m:r>
            </m:sub>
          </m:sSub>
          <m:r>
            <w:rPr>
              <w:rFonts w:ascii="Cambria Math" w:eastAsia="Calibri" w:hAnsi="Cambria Math"/>
              <w:lang w:val="en-US" w:eastAsia="en-US"/>
            </w:rPr>
            <m:t xml:space="preserve">=1- </m:t>
          </m:r>
          <m:f>
            <m:fPr>
              <m:ctrlPr>
                <w:rPr>
                  <w:rFonts w:ascii="Cambria Math" w:eastAsia="Calibri" w:hAnsi="Cambria Math"/>
                  <w:i/>
                  <w:lang w:val="en-US" w:eastAsia="en-US"/>
                </w:rPr>
              </m:ctrlPr>
            </m:fPr>
            <m:num>
              <m:r>
                <w:rPr>
                  <w:rFonts w:ascii="Cambria Math" w:eastAsia="Calibri" w:hAnsi="Cambria Math"/>
                  <w:lang w:val="en-US" w:eastAsia="en-US"/>
                </w:rPr>
                <m:t xml:space="preserve">3 ∙ </m:t>
              </m:r>
              <m:sSub>
                <m:sSubPr>
                  <m:ctrlPr>
                    <w:rPr>
                      <w:rFonts w:ascii="Cambria Math" w:eastAsia="Calibri" w:hAnsi="Cambria Math"/>
                      <w:i/>
                      <w:lang w:val="en-US" w:eastAsia="en-US"/>
                    </w:rPr>
                  </m:ctrlPr>
                </m:sSubPr>
                <m:e>
                  <m:r>
                    <w:rPr>
                      <w:rFonts w:ascii="Cambria Math" w:eastAsia="Calibri" w:hAnsi="Cambria Math"/>
                      <w:lang w:val="en-US" w:eastAsia="en-US"/>
                    </w:rPr>
                    <m:t>le</m:t>
                  </m:r>
                </m:e>
                <m:sub>
                  <m:r>
                    <w:rPr>
                      <w:rFonts w:ascii="Cambria Math" w:eastAsia="Calibri" w:hAnsi="Cambria Math"/>
                      <w:lang w:val="en-US" w:eastAsia="en-US"/>
                    </w:rPr>
                    <m:t>a</m:t>
                  </m:r>
                </m:sub>
              </m:sSub>
            </m:num>
            <m:den>
              <m:r>
                <w:rPr>
                  <w:rFonts w:ascii="Cambria Math" w:eastAsia="Calibri" w:hAnsi="Cambria Math"/>
                  <w:lang w:val="en-US" w:eastAsia="en-US"/>
                </w:rPr>
                <m:t>L</m:t>
              </m:r>
            </m:den>
          </m:f>
        </m:oMath>
      </m:oMathPara>
    </w:p>
    <w:p w:rsidR="00745DD2" w:rsidRPr="00C903F8" w:rsidRDefault="00745DD2" w:rsidP="00E1027C">
      <w:pPr>
        <w:spacing w:line="240" w:lineRule="atLeast"/>
        <w:rPr>
          <w:rFonts w:eastAsia="Calibri"/>
          <w:szCs w:val="20"/>
          <w:lang w:eastAsia="en-US"/>
        </w:rPr>
      </w:pPr>
    </w:p>
    <w:p w:rsidR="001F1A9D" w:rsidRPr="00C903F8" w:rsidRDefault="001F1A9D" w:rsidP="00111867">
      <w:pPr>
        <w:pStyle w:val="ESch"/>
        <w:rPr>
          <w:noProof/>
          <w:lang w:val="en-GB"/>
        </w:rPr>
      </w:pPr>
      <w:r w:rsidRPr="00C903F8">
        <w:rPr>
          <w:rFonts w:eastAsia="Calibri"/>
          <w:lang w:val="en-US" w:eastAsia="en-US"/>
        </w:rPr>
        <w:t>5.</w:t>
      </w:r>
      <w:r w:rsidRPr="00C903F8">
        <w:rPr>
          <w:rFonts w:eastAsia="Calibri"/>
          <w:lang w:val="en-US" w:eastAsia="en-US"/>
        </w:rPr>
        <w:tab/>
      </w:r>
      <w:r w:rsidR="0060175E" w:rsidRPr="00C903F8">
        <w:rPr>
          <w:noProof/>
          <w:lang w:val="en-GB"/>
        </w:rPr>
        <w:t xml:space="preserve">The effective aft/forward sheers </w:t>
      </w:r>
      <m:oMath>
        <m:sSub>
          <m:sSubPr>
            <m:ctrlPr>
              <w:rPr>
                <w:rFonts w:ascii="Cambria Math" w:eastAsia="Calibri" w:hAnsi="Cambria Math"/>
                <w:i/>
                <w:szCs w:val="20"/>
                <w:lang w:eastAsia="en-US"/>
              </w:rPr>
            </m:ctrlPr>
          </m:sSubPr>
          <m:e>
            <m:r>
              <w:rPr>
                <w:rFonts w:ascii="Cambria Math" w:eastAsia="Calibri" w:hAnsi="Cambria Math"/>
                <w:szCs w:val="20"/>
                <w:lang w:eastAsia="en-US"/>
              </w:rPr>
              <m:t>Se</m:t>
            </m:r>
          </m:e>
          <m:sub>
            <m:r>
              <w:rPr>
                <w:rFonts w:ascii="Cambria Math" w:eastAsia="Calibri" w:hAnsi="Cambria Math"/>
                <w:szCs w:val="20"/>
                <w:lang w:eastAsia="en-US"/>
              </w:rPr>
              <m:t>v</m:t>
            </m:r>
          </m:sub>
        </m:sSub>
      </m:oMath>
      <w:r w:rsidR="0060175E" w:rsidRPr="00C903F8">
        <w:rPr>
          <w:noProof/>
          <w:lang w:val="en-GB"/>
        </w:rPr>
        <w:t>/</w:t>
      </w:r>
      <m:oMath>
        <m:sSub>
          <m:sSubPr>
            <m:ctrlPr>
              <w:rPr>
                <w:rFonts w:ascii="Cambria Math" w:eastAsia="Calibri" w:hAnsi="Cambria Math"/>
                <w:i/>
                <w:szCs w:val="20"/>
                <w:lang w:eastAsia="en-US"/>
              </w:rPr>
            </m:ctrlPr>
          </m:sSubPr>
          <m:e>
            <m:r>
              <w:rPr>
                <w:rFonts w:ascii="Cambria Math" w:eastAsia="Calibri" w:hAnsi="Cambria Math"/>
                <w:szCs w:val="20"/>
                <w:lang w:eastAsia="en-US"/>
              </w:rPr>
              <m:t>Se</m:t>
            </m:r>
          </m:e>
          <m:sub>
            <m:r>
              <w:rPr>
                <w:rFonts w:ascii="Cambria Math" w:eastAsia="Calibri" w:hAnsi="Cambria Math"/>
                <w:szCs w:val="20"/>
                <w:lang w:eastAsia="en-US"/>
              </w:rPr>
              <m:t>a</m:t>
            </m:r>
          </m:sub>
        </m:sSub>
      </m:oMath>
      <w:r w:rsidR="0060175E" w:rsidRPr="00C903F8">
        <w:rPr>
          <w:noProof/>
          <w:lang w:val="en-GB"/>
        </w:rPr>
        <w:t xml:space="preserve"> are calculated using the following formulae:</w:t>
      </w:r>
    </w:p>
    <w:p w:rsidR="007E2368" w:rsidRPr="00C903F8" w:rsidRDefault="007E2368" w:rsidP="00111867">
      <w:pPr>
        <w:pStyle w:val="ESch"/>
        <w:rPr>
          <w:noProof/>
          <w:lang w:val="en-GB"/>
        </w:rPr>
      </w:pPr>
    </w:p>
    <w:p w:rsidR="007E2368" w:rsidRPr="00C903F8" w:rsidRDefault="00F12BAF" w:rsidP="007E2368">
      <w:pPr>
        <w:pStyle w:val="ESch"/>
        <w:ind w:left="0" w:firstLine="0"/>
        <w:jc w:val="center"/>
        <w:rPr>
          <w:rFonts w:eastAsia="Calibri"/>
          <w:lang w:val="en-US" w:eastAsia="en-US"/>
        </w:rPr>
      </w:pPr>
      <m:oMathPara>
        <m:oMath>
          <m:sSub>
            <m:sSubPr>
              <m:ctrlPr>
                <w:rPr>
                  <w:rFonts w:ascii="Cambria Math" w:eastAsia="Calibri" w:hAnsi="Cambria Math"/>
                  <w:i/>
                  <w:lang w:val="en-US" w:eastAsia="en-US"/>
                </w:rPr>
              </m:ctrlPr>
            </m:sSubPr>
            <m:e>
              <m:r>
                <w:rPr>
                  <w:rFonts w:ascii="Cambria Math" w:eastAsia="Calibri" w:hAnsi="Cambria Math"/>
                  <w:lang w:val="en-US" w:eastAsia="en-US"/>
                </w:rPr>
                <m:t>Se</m:t>
              </m:r>
            </m:e>
            <m:sub>
              <m:r>
                <w:rPr>
                  <w:rFonts w:ascii="Cambria Math" w:eastAsia="Calibri" w:hAnsi="Cambria Math"/>
                  <w:lang w:val="en-US" w:eastAsia="en-US"/>
                </w:rPr>
                <m:t>v</m:t>
              </m:r>
            </m:sub>
          </m:sSub>
          <m:r>
            <w:rPr>
              <w:rFonts w:ascii="Cambria Math" w:eastAsia="Calibri" w:hAnsi="Cambria Math"/>
              <w:lang w:val="en-US" w:eastAsia="en-US"/>
            </w:rPr>
            <m:t xml:space="preserve">= </m:t>
          </m:r>
          <m:sSub>
            <m:sSubPr>
              <m:ctrlPr>
                <w:rPr>
                  <w:rFonts w:ascii="Cambria Math" w:eastAsia="Calibri" w:hAnsi="Cambria Math"/>
                  <w:i/>
                  <w:lang w:val="en-US" w:eastAsia="en-US"/>
                </w:rPr>
              </m:ctrlPr>
            </m:sSubPr>
            <m:e>
              <m:r>
                <w:rPr>
                  <w:rFonts w:ascii="Cambria Math" w:eastAsia="Calibri" w:hAnsi="Cambria Math"/>
                  <w:lang w:val="en-US" w:eastAsia="en-US"/>
                </w:rPr>
                <m:t>S</m:t>
              </m:r>
            </m:e>
            <m:sub>
              <m:r>
                <w:rPr>
                  <w:rFonts w:ascii="Cambria Math" w:eastAsia="Calibri" w:hAnsi="Cambria Math"/>
                  <w:lang w:val="en-US" w:eastAsia="en-US"/>
                </w:rPr>
                <m:t>v</m:t>
              </m:r>
            </m:sub>
          </m:sSub>
          <m:r>
            <w:rPr>
              <w:rFonts w:ascii="Cambria Math" w:eastAsia="Calibri" w:hAnsi="Cambria Math"/>
              <w:lang w:val="en-US" w:eastAsia="en-US"/>
            </w:rPr>
            <m:t>∙p</m:t>
          </m:r>
        </m:oMath>
      </m:oMathPara>
    </w:p>
    <w:p w:rsidR="007E2368" w:rsidRPr="00C903F8" w:rsidRDefault="007E2368" w:rsidP="007E2368">
      <w:pPr>
        <w:pStyle w:val="ESch"/>
        <w:ind w:left="0" w:firstLine="0"/>
        <w:jc w:val="center"/>
        <w:rPr>
          <w:rFonts w:eastAsia="Calibri"/>
          <w:lang w:val="en-US" w:eastAsia="en-US"/>
        </w:rPr>
      </w:pPr>
    </w:p>
    <w:p w:rsidR="007E2368" w:rsidRPr="00C903F8" w:rsidRDefault="00F12BAF" w:rsidP="007E2368">
      <w:pPr>
        <w:pStyle w:val="ESch"/>
        <w:ind w:left="0" w:firstLine="0"/>
        <w:jc w:val="center"/>
        <w:rPr>
          <w:rFonts w:eastAsia="Calibri"/>
          <w:lang w:val="en-US" w:eastAsia="en-US"/>
        </w:rPr>
      </w:pPr>
      <m:oMathPara>
        <m:oMath>
          <m:sSub>
            <m:sSubPr>
              <m:ctrlPr>
                <w:rPr>
                  <w:rFonts w:ascii="Cambria Math" w:eastAsia="Calibri" w:hAnsi="Cambria Math"/>
                  <w:i/>
                  <w:lang w:val="en-US" w:eastAsia="en-US"/>
                </w:rPr>
              </m:ctrlPr>
            </m:sSubPr>
            <m:e>
              <m:r>
                <w:rPr>
                  <w:rFonts w:ascii="Cambria Math" w:eastAsia="Calibri" w:hAnsi="Cambria Math"/>
                  <w:lang w:val="en-US" w:eastAsia="en-US"/>
                </w:rPr>
                <m:t>Se</m:t>
              </m:r>
            </m:e>
            <m:sub>
              <m:r>
                <w:rPr>
                  <w:rFonts w:ascii="Cambria Math" w:eastAsia="Calibri" w:hAnsi="Cambria Math"/>
                  <w:lang w:val="en-US" w:eastAsia="en-US"/>
                </w:rPr>
                <m:t>a</m:t>
              </m:r>
            </m:sub>
          </m:sSub>
          <m:r>
            <w:rPr>
              <w:rFonts w:ascii="Cambria Math" w:eastAsia="Calibri" w:hAnsi="Cambria Math"/>
              <w:lang w:val="en-US" w:eastAsia="en-US"/>
            </w:rPr>
            <m:t xml:space="preserve">= </m:t>
          </m:r>
          <m:sSub>
            <m:sSubPr>
              <m:ctrlPr>
                <w:rPr>
                  <w:rFonts w:ascii="Cambria Math" w:eastAsia="Calibri" w:hAnsi="Cambria Math"/>
                  <w:i/>
                  <w:lang w:val="en-US" w:eastAsia="en-US"/>
                </w:rPr>
              </m:ctrlPr>
            </m:sSubPr>
            <m:e>
              <m:r>
                <w:rPr>
                  <w:rFonts w:ascii="Cambria Math" w:eastAsia="Calibri" w:hAnsi="Cambria Math"/>
                  <w:lang w:val="en-US" w:eastAsia="en-US"/>
                </w:rPr>
                <m:t>S</m:t>
              </m:r>
            </m:e>
            <m:sub>
              <m:r>
                <w:rPr>
                  <w:rFonts w:ascii="Cambria Math" w:eastAsia="Calibri" w:hAnsi="Cambria Math"/>
                  <w:lang w:val="en-US" w:eastAsia="en-US"/>
                </w:rPr>
                <m:t>a</m:t>
              </m:r>
            </m:sub>
          </m:sSub>
          <m:r>
            <w:rPr>
              <w:rFonts w:ascii="Cambria Math" w:eastAsia="Calibri" w:hAnsi="Cambria Math"/>
              <w:lang w:val="en-US" w:eastAsia="en-US"/>
            </w:rPr>
            <m:t>∙p</m:t>
          </m:r>
        </m:oMath>
      </m:oMathPara>
    </w:p>
    <w:p w:rsidR="001F1A9D" w:rsidRPr="00C903F8" w:rsidRDefault="001F1A9D" w:rsidP="007E2368">
      <w:pPr>
        <w:spacing w:line="240" w:lineRule="atLeast"/>
        <w:ind w:left="0" w:firstLine="0"/>
        <w:rPr>
          <w:rFonts w:eastAsia="Calibri"/>
          <w:szCs w:val="20"/>
          <w:lang w:val="de-DE" w:eastAsia="en-US"/>
        </w:rPr>
      </w:pPr>
    </w:p>
    <w:p w:rsidR="001F1A9D" w:rsidRPr="00C903F8" w:rsidRDefault="0060175E" w:rsidP="00F6236E">
      <w:pPr>
        <w:spacing w:line="240" w:lineRule="atLeast"/>
        <w:ind w:left="567" w:firstLine="0"/>
        <w:rPr>
          <w:rFonts w:eastAsia="Calibri"/>
          <w:szCs w:val="20"/>
          <w:lang w:val="en-US" w:eastAsia="en-US"/>
        </w:rPr>
      </w:pPr>
      <w:r w:rsidRPr="00C903F8">
        <w:rPr>
          <w:rFonts w:eastAsia="Calibri"/>
          <w:szCs w:val="20"/>
          <w:lang w:val="en-US" w:eastAsia="en-US"/>
        </w:rPr>
        <w:t>where</w:t>
      </w:r>
      <w:r w:rsidR="001F1A9D" w:rsidRPr="00C903F8">
        <w:rPr>
          <w:rFonts w:eastAsia="Calibri"/>
          <w:szCs w:val="20"/>
          <w:lang w:val="en-US" w:eastAsia="en-US"/>
        </w:rPr>
        <w:t>:</w:t>
      </w:r>
    </w:p>
    <w:p w:rsidR="001F1A9D" w:rsidRPr="00C903F8" w:rsidRDefault="00F12BAF" w:rsidP="00F6236E">
      <w:pPr>
        <w:spacing w:before="60" w:line="240" w:lineRule="atLeast"/>
        <w:ind w:left="993" w:hanging="426"/>
        <w:rPr>
          <w:rFonts w:eastAsia="Calibri"/>
          <w:szCs w:val="20"/>
          <w:lang w:val="en-US" w:eastAsia="en-US"/>
        </w:rPr>
      </w:pPr>
      <m:oMath>
        <m:sSub>
          <m:sSubPr>
            <m:ctrlPr>
              <w:rPr>
                <w:rFonts w:ascii="Cambria Math" w:eastAsia="Calibri" w:hAnsi="Cambria Math"/>
                <w:i/>
                <w:szCs w:val="20"/>
                <w:lang w:eastAsia="en-US"/>
              </w:rPr>
            </m:ctrlPr>
          </m:sSubPr>
          <m:e>
            <m:r>
              <w:rPr>
                <w:rFonts w:ascii="Cambria Math" w:eastAsia="Calibri" w:hAnsi="Cambria Math"/>
                <w:szCs w:val="20"/>
                <w:lang w:eastAsia="en-US"/>
              </w:rPr>
              <m:t>S</m:t>
            </m:r>
          </m:e>
          <m:sub>
            <m:r>
              <w:rPr>
                <w:rFonts w:ascii="Cambria Math" w:eastAsia="Calibri" w:hAnsi="Cambria Math"/>
                <w:szCs w:val="20"/>
                <w:lang w:eastAsia="en-US"/>
              </w:rPr>
              <m:t>v</m:t>
            </m:r>
          </m:sub>
        </m:sSub>
      </m:oMath>
      <w:r w:rsidR="001F1A9D" w:rsidRPr="00C903F8">
        <w:rPr>
          <w:rFonts w:eastAsia="Calibri"/>
          <w:szCs w:val="20"/>
          <w:lang w:val="en-US" w:eastAsia="en-US"/>
        </w:rPr>
        <w:tab/>
      </w:r>
      <w:r w:rsidR="0060175E" w:rsidRPr="00C903F8">
        <w:rPr>
          <w:rFonts w:cs="Arial"/>
          <w:noProof/>
          <w:szCs w:val="20"/>
          <w:lang w:val="en-GB"/>
        </w:rPr>
        <w:t>is the actual</w:t>
      </w:r>
      <w:r w:rsidR="006025D0" w:rsidRPr="00C903F8">
        <w:rPr>
          <w:rFonts w:cs="Arial"/>
          <w:noProof/>
          <w:szCs w:val="20"/>
          <w:lang w:val="en-GB"/>
        </w:rPr>
        <w:t xml:space="preserve"> forward sheer, in mm; however </w:t>
      </w:r>
      <m:oMath>
        <m:sSub>
          <m:sSubPr>
            <m:ctrlPr>
              <w:rPr>
                <w:rFonts w:ascii="Cambria Math" w:eastAsia="Calibri" w:hAnsi="Cambria Math"/>
                <w:i/>
                <w:szCs w:val="20"/>
                <w:lang w:eastAsia="en-US"/>
              </w:rPr>
            </m:ctrlPr>
          </m:sSubPr>
          <m:e>
            <m:r>
              <w:rPr>
                <w:rFonts w:ascii="Cambria Math" w:eastAsia="Calibri" w:hAnsi="Cambria Math"/>
                <w:szCs w:val="20"/>
                <w:lang w:eastAsia="en-US"/>
              </w:rPr>
              <m:t>S</m:t>
            </m:r>
          </m:e>
          <m:sub>
            <m:r>
              <w:rPr>
                <w:rFonts w:ascii="Cambria Math" w:eastAsia="Calibri" w:hAnsi="Cambria Math"/>
                <w:szCs w:val="20"/>
                <w:lang w:eastAsia="en-US"/>
              </w:rPr>
              <m:t>v</m:t>
            </m:r>
          </m:sub>
        </m:sSub>
      </m:oMath>
      <w:r w:rsidR="0060175E" w:rsidRPr="00C903F8">
        <w:rPr>
          <w:rFonts w:cs="Arial"/>
          <w:noProof/>
          <w:szCs w:val="20"/>
          <w:lang w:val="en-GB"/>
        </w:rPr>
        <w:t xml:space="preserve"> shall not be taken to be more than 1000</w:t>
      </w:r>
      <w:r w:rsidR="00C62373" w:rsidRPr="00C903F8">
        <w:rPr>
          <w:rFonts w:cs="Arial"/>
          <w:noProof/>
          <w:szCs w:val="20"/>
          <w:lang w:val="en-GB"/>
        </w:rPr>
        <w:t> </w:t>
      </w:r>
      <w:r w:rsidR="0060175E" w:rsidRPr="00C903F8">
        <w:rPr>
          <w:rFonts w:cs="Arial"/>
          <w:noProof/>
          <w:szCs w:val="20"/>
          <w:lang w:val="en-GB"/>
        </w:rPr>
        <w:t>mm</w:t>
      </w:r>
      <w:r w:rsidR="001F1A9D" w:rsidRPr="00C903F8">
        <w:rPr>
          <w:rFonts w:eastAsia="Calibri"/>
          <w:szCs w:val="20"/>
          <w:lang w:val="en-US" w:eastAsia="en-US"/>
        </w:rPr>
        <w:t>;</w:t>
      </w:r>
    </w:p>
    <w:p w:rsidR="001F1A9D" w:rsidRPr="00C903F8" w:rsidRDefault="00F12BAF" w:rsidP="00F6236E">
      <w:pPr>
        <w:spacing w:before="60" w:line="240" w:lineRule="atLeast"/>
        <w:ind w:left="993" w:hanging="426"/>
        <w:rPr>
          <w:rFonts w:eastAsia="Calibri"/>
          <w:szCs w:val="20"/>
          <w:lang w:val="en-US" w:eastAsia="en-US"/>
        </w:rPr>
      </w:pPr>
      <m:oMath>
        <m:sSub>
          <m:sSubPr>
            <m:ctrlPr>
              <w:rPr>
                <w:rFonts w:ascii="Cambria Math" w:eastAsia="Calibri" w:hAnsi="Cambria Math"/>
                <w:i/>
                <w:szCs w:val="20"/>
                <w:lang w:eastAsia="en-US"/>
              </w:rPr>
            </m:ctrlPr>
          </m:sSubPr>
          <m:e>
            <m:r>
              <w:rPr>
                <w:rFonts w:ascii="Cambria Math" w:eastAsia="Calibri" w:hAnsi="Cambria Math"/>
                <w:szCs w:val="20"/>
                <w:lang w:eastAsia="en-US"/>
              </w:rPr>
              <m:t>S</m:t>
            </m:r>
          </m:e>
          <m:sub>
            <m:r>
              <w:rPr>
                <w:rFonts w:ascii="Cambria Math" w:eastAsia="Calibri" w:hAnsi="Cambria Math"/>
                <w:szCs w:val="20"/>
                <w:lang w:eastAsia="en-US"/>
              </w:rPr>
              <m:t>a</m:t>
            </m:r>
          </m:sub>
        </m:sSub>
      </m:oMath>
      <w:r w:rsidR="001F1A9D" w:rsidRPr="00C903F8">
        <w:rPr>
          <w:rFonts w:eastAsia="Calibri"/>
          <w:szCs w:val="20"/>
          <w:lang w:val="en-US" w:eastAsia="en-US"/>
        </w:rPr>
        <w:tab/>
      </w:r>
      <w:r w:rsidR="0060175E" w:rsidRPr="00C903F8">
        <w:rPr>
          <w:rFonts w:cs="Arial"/>
          <w:noProof/>
          <w:szCs w:val="20"/>
          <w:lang w:val="en-GB"/>
        </w:rPr>
        <w:t>is the ac</w:t>
      </w:r>
      <w:r w:rsidR="006025D0" w:rsidRPr="00C903F8">
        <w:rPr>
          <w:rFonts w:cs="Arial"/>
          <w:noProof/>
          <w:szCs w:val="20"/>
          <w:lang w:val="en-GB"/>
        </w:rPr>
        <w:t xml:space="preserve">tual aft sheer, in mm; however </w:t>
      </w:r>
      <m:oMath>
        <m:sSub>
          <m:sSubPr>
            <m:ctrlPr>
              <w:rPr>
                <w:rFonts w:ascii="Cambria Math" w:eastAsia="Calibri" w:hAnsi="Cambria Math"/>
                <w:i/>
                <w:szCs w:val="20"/>
                <w:lang w:eastAsia="en-US"/>
              </w:rPr>
            </m:ctrlPr>
          </m:sSubPr>
          <m:e>
            <m:r>
              <w:rPr>
                <w:rFonts w:ascii="Cambria Math" w:eastAsia="Calibri" w:hAnsi="Cambria Math"/>
                <w:szCs w:val="20"/>
                <w:lang w:eastAsia="en-US"/>
              </w:rPr>
              <m:t>S</m:t>
            </m:r>
          </m:e>
          <m:sub>
            <m:r>
              <w:rPr>
                <w:rFonts w:ascii="Cambria Math" w:eastAsia="Calibri" w:hAnsi="Cambria Math"/>
                <w:szCs w:val="20"/>
                <w:lang w:eastAsia="en-US"/>
              </w:rPr>
              <m:t>a</m:t>
            </m:r>
          </m:sub>
        </m:sSub>
      </m:oMath>
      <w:r w:rsidR="0060175E" w:rsidRPr="00C903F8">
        <w:rPr>
          <w:rFonts w:cs="Arial"/>
          <w:noProof/>
          <w:szCs w:val="20"/>
          <w:lang w:val="en-GB"/>
        </w:rPr>
        <w:t xml:space="preserve"> may not be taken to be more than 500 mm;</w:t>
      </w:r>
    </w:p>
    <w:p w:rsidR="001F1A9D" w:rsidRPr="00C903F8" w:rsidRDefault="0026577D" w:rsidP="00F6236E">
      <w:pPr>
        <w:spacing w:before="60" w:line="240" w:lineRule="atLeast"/>
        <w:ind w:left="993" w:hanging="426"/>
        <w:rPr>
          <w:rFonts w:eastAsia="Calibri"/>
          <w:szCs w:val="20"/>
          <w:lang w:val="en-US" w:eastAsia="en-US"/>
        </w:rPr>
      </w:pPr>
      <m:oMath>
        <m:r>
          <w:rPr>
            <w:rFonts w:ascii="Cambria Math" w:eastAsia="Calibri" w:hAnsi="Cambria Math"/>
            <w:szCs w:val="20"/>
            <w:lang w:eastAsia="en-US"/>
          </w:rPr>
          <m:t>p</m:t>
        </m:r>
      </m:oMath>
      <w:r w:rsidR="001F1A9D" w:rsidRPr="00C903F8">
        <w:rPr>
          <w:rFonts w:eastAsia="Calibri"/>
          <w:szCs w:val="20"/>
          <w:lang w:val="en-US" w:eastAsia="en-US"/>
        </w:rPr>
        <w:tab/>
      </w:r>
      <w:r w:rsidR="0060175E" w:rsidRPr="00C903F8">
        <w:rPr>
          <w:rFonts w:cs="Arial"/>
          <w:noProof/>
          <w:szCs w:val="20"/>
          <w:lang w:val="en-GB"/>
        </w:rPr>
        <w:t>is a coefficient calculated using the following formula</w:t>
      </w:r>
      <w:r w:rsidR="001F1A9D" w:rsidRPr="00C903F8">
        <w:rPr>
          <w:rFonts w:eastAsia="Calibri"/>
          <w:szCs w:val="20"/>
          <w:lang w:val="en-US" w:eastAsia="en-US"/>
        </w:rPr>
        <w:t>:</w:t>
      </w:r>
    </w:p>
    <w:p w:rsidR="003232B5" w:rsidRPr="00C903F8" w:rsidRDefault="003232B5" w:rsidP="003232B5">
      <w:pPr>
        <w:pStyle w:val="ESch"/>
        <w:spacing w:before="60"/>
        <w:ind w:left="0" w:firstLine="0"/>
        <w:jc w:val="center"/>
        <w:rPr>
          <w:rFonts w:eastAsia="Calibri"/>
          <w:lang w:val="en-US" w:eastAsia="en-US"/>
        </w:rPr>
      </w:pPr>
      <m:oMathPara>
        <m:oMath>
          <m:r>
            <w:rPr>
              <w:rFonts w:ascii="Cambria Math" w:eastAsia="Calibri" w:hAnsi="Cambria Math"/>
              <w:lang w:val="en-US" w:eastAsia="en-US"/>
            </w:rPr>
            <m:t xml:space="preserve">p =4∙ </m:t>
          </m:r>
          <m:f>
            <m:fPr>
              <m:ctrlPr>
                <w:rPr>
                  <w:rFonts w:ascii="Cambria Math" w:eastAsia="Calibri" w:hAnsi="Cambria Math"/>
                  <w:i/>
                  <w:lang w:val="en-US" w:eastAsia="en-US"/>
                </w:rPr>
              </m:ctrlPr>
            </m:fPr>
            <m:num>
              <m:r>
                <w:rPr>
                  <w:rFonts w:ascii="Cambria Math" w:eastAsia="Calibri" w:hAnsi="Cambria Math"/>
                  <w:lang w:val="en-US" w:eastAsia="en-US"/>
                </w:rPr>
                <m:t>x</m:t>
              </m:r>
            </m:num>
            <m:den>
              <m:r>
                <w:rPr>
                  <w:rFonts w:ascii="Cambria Math" w:eastAsia="Calibri" w:hAnsi="Cambria Math"/>
                  <w:lang w:val="en-US" w:eastAsia="en-US"/>
                </w:rPr>
                <m:t>L</m:t>
              </m:r>
            </m:den>
          </m:f>
        </m:oMath>
      </m:oMathPara>
    </w:p>
    <w:p w:rsidR="001F1A9D" w:rsidRPr="00C903F8" w:rsidRDefault="0026577D" w:rsidP="00F6236E">
      <w:pPr>
        <w:spacing w:before="60" w:line="240" w:lineRule="atLeast"/>
        <w:ind w:left="993" w:hanging="426"/>
        <w:rPr>
          <w:rFonts w:eastAsia="Calibri"/>
          <w:szCs w:val="20"/>
          <w:lang w:val="en-US" w:eastAsia="en-US"/>
        </w:rPr>
      </w:pPr>
      <m:oMath>
        <m:r>
          <w:rPr>
            <w:rFonts w:ascii="Cambria Math" w:eastAsia="Calibri" w:hAnsi="Cambria Math"/>
            <w:szCs w:val="20"/>
            <w:lang w:eastAsia="en-US"/>
          </w:rPr>
          <m:t>x</m:t>
        </m:r>
      </m:oMath>
      <w:r w:rsidR="001F1A9D" w:rsidRPr="00C903F8">
        <w:rPr>
          <w:rFonts w:eastAsia="Calibri"/>
          <w:szCs w:val="20"/>
          <w:lang w:val="en-US" w:eastAsia="en-US"/>
        </w:rPr>
        <w:tab/>
      </w:r>
      <w:r w:rsidR="0060175E" w:rsidRPr="00C903F8">
        <w:rPr>
          <w:rFonts w:cs="Arial"/>
          <w:noProof/>
          <w:szCs w:val="20"/>
          <w:lang w:val="en-GB"/>
        </w:rPr>
        <w:t xml:space="preserve">is the abscissa, measured from the extremity of the point where the sheer is 0,25 </w:t>
      </w:r>
      <m:oMath>
        <m:sSub>
          <m:sSubPr>
            <m:ctrlPr>
              <w:rPr>
                <w:rFonts w:ascii="Cambria Math" w:eastAsia="Calibri" w:hAnsi="Cambria Math"/>
                <w:i/>
                <w:szCs w:val="20"/>
                <w:lang w:eastAsia="en-US"/>
              </w:rPr>
            </m:ctrlPr>
          </m:sSubPr>
          <m:e>
            <m:r>
              <w:rPr>
                <w:rFonts w:ascii="Cambria Math" w:eastAsia="Calibri" w:hAnsi="Cambria Math"/>
                <w:szCs w:val="20"/>
                <w:lang w:eastAsia="en-US"/>
              </w:rPr>
              <m:t>S</m:t>
            </m:r>
          </m:e>
          <m:sub>
            <m:r>
              <w:rPr>
                <w:rFonts w:ascii="Cambria Math" w:eastAsia="Calibri" w:hAnsi="Cambria Math"/>
                <w:szCs w:val="20"/>
                <w:lang w:eastAsia="en-US"/>
              </w:rPr>
              <m:t>v</m:t>
            </m:r>
          </m:sub>
        </m:sSub>
      </m:oMath>
      <w:r w:rsidR="008D5C11" w:rsidRPr="00C903F8">
        <w:rPr>
          <w:rFonts w:cs="Arial"/>
          <w:noProof/>
          <w:szCs w:val="20"/>
          <w:lang w:val="en-US" w:eastAsia="en-US"/>
        </w:rPr>
        <w:t xml:space="preserve"> </w:t>
      </w:r>
      <w:r w:rsidR="0060175E" w:rsidRPr="00C903F8">
        <w:rPr>
          <w:rFonts w:eastAsia="Calibri"/>
          <w:szCs w:val="20"/>
          <w:lang w:val="en-US" w:eastAsia="en-US"/>
        </w:rPr>
        <w:t>or</w:t>
      </w:r>
      <w:r w:rsidR="001F1A9D" w:rsidRPr="00C903F8">
        <w:rPr>
          <w:rFonts w:eastAsia="Calibri"/>
          <w:szCs w:val="20"/>
          <w:lang w:val="en-US" w:eastAsia="en-US"/>
        </w:rPr>
        <w:t xml:space="preserve"> 0,25</w:t>
      </w:r>
      <w:r w:rsidR="00431553" w:rsidRPr="00C903F8">
        <w:rPr>
          <w:rFonts w:eastAsia="Calibri"/>
          <w:szCs w:val="20"/>
          <w:lang w:val="en-US" w:eastAsia="en-US"/>
        </w:rPr>
        <w:t> </w:t>
      </w:r>
      <m:oMath>
        <m:sSub>
          <m:sSubPr>
            <m:ctrlPr>
              <w:rPr>
                <w:rFonts w:ascii="Cambria Math" w:eastAsia="Calibri" w:hAnsi="Cambria Math"/>
                <w:i/>
                <w:szCs w:val="20"/>
                <w:lang w:eastAsia="en-US"/>
              </w:rPr>
            </m:ctrlPr>
          </m:sSubPr>
          <m:e>
            <m:r>
              <w:rPr>
                <w:rFonts w:ascii="Cambria Math" w:eastAsia="Calibri" w:hAnsi="Cambria Math"/>
                <w:szCs w:val="20"/>
                <w:lang w:eastAsia="en-US"/>
              </w:rPr>
              <m:t>S</m:t>
            </m:r>
          </m:e>
          <m:sub>
            <m:r>
              <w:rPr>
                <w:rFonts w:ascii="Cambria Math" w:eastAsia="Calibri" w:hAnsi="Cambria Math"/>
                <w:szCs w:val="20"/>
                <w:lang w:eastAsia="en-US"/>
              </w:rPr>
              <m:t>a</m:t>
            </m:r>
          </m:sub>
        </m:sSub>
      </m:oMath>
      <w:r w:rsidR="001F1A9D" w:rsidRPr="00C903F8">
        <w:rPr>
          <w:rFonts w:eastAsia="Calibri"/>
          <w:szCs w:val="20"/>
          <w:lang w:val="en-US" w:eastAsia="en-US"/>
        </w:rPr>
        <w:t xml:space="preserve"> (</w:t>
      </w:r>
      <w:r w:rsidR="0060175E" w:rsidRPr="00C903F8">
        <w:rPr>
          <w:rFonts w:eastAsia="Calibri"/>
          <w:szCs w:val="20"/>
          <w:lang w:val="en-US" w:eastAsia="en-US"/>
        </w:rPr>
        <w:t>see figure</w:t>
      </w:r>
      <w:r w:rsidR="001F1A9D" w:rsidRPr="00C903F8">
        <w:rPr>
          <w:rFonts w:eastAsia="Calibri"/>
          <w:szCs w:val="20"/>
          <w:lang w:val="en-US" w:eastAsia="en-US"/>
        </w:rPr>
        <w:t>).</w:t>
      </w:r>
    </w:p>
    <w:p w:rsidR="008D5C11" w:rsidRPr="00C903F8" w:rsidRDefault="008D5C11">
      <w:pPr>
        <w:autoSpaceDE/>
        <w:autoSpaceDN/>
        <w:ind w:left="0" w:firstLine="0"/>
        <w:jc w:val="left"/>
        <w:rPr>
          <w:rFonts w:eastAsia="Calibri"/>
          <w:szCs w:val="20"/>
          <w:lang w:val="en-US" w:eastAsia="en-US"/>
        </w:rPr>
      </w:pPr>
      <w:r w:rsidRPr="00C903F8">
        <w:rPr>
          <w:rFonts w:eastAsia="Calibri"/>
          <w:szCs w:val="20"/>
          <w:lang w:val="en-US" w:eastAsia="en-US"/>
        </w:rPr>
        <w:br w:type="page"/>
      </w:r>
    </w:p>
    <w:p w:rsidR="008D5C11" w:rsidRPr="00C903F8" w:rsidRDefault="008D5C11" w:rsidP="00F6236E">
      <w:pPr>
        <w:spacing w:before="60" w:line="240" w:lineRule="atLeast"/>
        <w:ind w:left="993" w:hanging="426"/>
        <w:rPr>
          <w:rFonts w:eastAsia="Calibri"/>
          <w:szCs w:val="20"/>
          <w:lang w:val="en-US" w:eastAsia="en-US"/>
        </w:rPr>
      </w:pPr>
    </w:p>
    <w:p w:rsidR="008D5C11" w:rsidRPr="00C903F8" w:rsidRDefault="00EB7F5F" w:rsidP="00EB7F5F">
      <w:pPr>
        <w:autoSpaceDE/>
        <w:autoSpaceDN/>
        <w:ind w:left="0" w:firstLine="0"/>
        <w:jc w:val="center"/>
        <w:rPr>
          <w:rFonts w:cs="Arial"/>
          <w:noProof/>
          <w:szCs w:val="20"/>
          <w:lang w:val="en-GB"/>
        </w:rPr>
      </w:pPr>
      <w:r w:rsidRPr="00C903F8">
        <w:rPr>
          <w:rFonts w:cs="Arial"/>
          <w:noProof/>
          <w:szCs w:val="20"/>
        </w:rPr>
        <w:drawing>
          <wp:inline distT="0" distB="0" distL="0" distR="0" wp14:anchorId="7CB1337C" wp14:editId="35111402">
            <wp:extent cx="3709416" cy="1597152"/>
            <wp:effectExtent l="0" t="0" r="5715"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trin_4_02en.jpg"/>
                    <pic:cNvPicPr/>
                  </pic:nvPicPr>
                  <pic:blipFill>
                    <a:blip r:embed="rId21">
                      <a:extLst>
                        <a:ext uri="{28A0092B-C50C-407E-A947-70E740481C1C}">
                          <a14:useLocalDpi xmlns:a14="http://schemas.microsoft.com/office/drawing/2010/main" val="0"/>
                        </a:ext>
                      </a:extLst>
                    </a:blip>
                    <a:stretch>
                      <a:fillRect/>
                    </a:stretch>
                  </pic:blipFill>
                  <pic:spPr>
                    <a:xfrm>
                      <a:off x="0" y="0"/>
                      <a:ext cx="3709416" cy="1597152"/>
                    </a:xfrm>
                    <a:prstGeom prst="rect">
                      <a:avLst/>
                    </a:prstGeom>
                  </pic:spPr>
                </pic:pic>
              </a:graphicData>
            </a:graphic>
          </wp:inline>
        </w:drawing>
      </w:r>
    </w:p>
    <w:p w:rsidR="00EB7F5F" w:rsidRPr="00C903F8" w:rsidRDefault="00EB7F5F" w:rsidP="006025D0">
      <w:pPr>
        <w:spacing w:line="240" w:lineRule="atLeast"/>
        <w:ind w:left="567" w:firstLine="0"/>
        <w:rPr>
          <w:rFonts w:cs="Arial"/>
          <w:noProof/>
          <w:szCs w:val="20"/>
          <w:lang w:val="en-GB"/>
        </w:rPr>
      </w:pPr>
    </w:p>
    <w:p w:rsidR="00745DD2" w:rsidRPr="00C903F8" w:rsidRDefault="006025D0" w:rsidP="006025D0">
      <w:pPr>
        <w:spacing w:line="240" w:lineRule="atLeast"/>
        <w:ind w:left="567" w:firstLine="0"/>
        <w:rPr>
          <w:rFonts w:cs="Arial"/>
          <w:noProof/>
          <w:szCs w:val="20"/>
          <w:lang w:val="en-GB"/>
        </w:rPr>
      </w:pPr>
      <w:r w:rsidRPr="00C903F8">
        <w:rPr>
          <w:rFonts w:cs="Arial"/>
          <w:noProof/>
          <w:szCs w:val="20"/>
          <w:lang w:val="en-GB"/>
        </w:rPr>
        <w:t xml:space="preserve">However, coefficient </w:t>
      </w:r>
      <m:oMath>
        <m:r>
          <w:rPr>
            <w:rFonts w:ascii="Cambria Math" w:eastAsia="Calibri" w:hAnsi="Cambria Math"/>
            <w:szCs w:val="20"/>
            <w:lang w:eastAsia="en-US"/>
          </w:rPr>
          <m:t>p</m:t>
        </m:r>
      </m:oMath>
      <w:r w:rsidRPr="00C903F8">
        <w:rPr>
          <w:rFonts w:cs="Arial"/>
          <w:noProof/>
          <w:szCs w:val="20"/>
          <w:lang w:val="en-GB"/>
        </w:rPr>
        <w:t xml:space="preserve"> will not be taken to be more than 1.</w:t>
      </w:r>
    </w:p>
    <w:p w:rsidR="003232B5" w:rsidRPr="00C903F8" w:rsidRDefault="003232B5" w:rsidP="006025D0">
      <w:pPr>
        <w:spacing w:line="240" w:lineRule="atLeast"/>
        <w:ind w:left="567" w:firstLine="0"/>
        <w:rPr>
          <w:rFonts w:cs="Arial"/>
          <w:noProof/>
          <w:szCs w:val="20"/>
          <w:lang w:val="en-GB"/>
        </w:rPr>
      </w:pPr>
    </w:p>
    <w:p w:rsidR="001F1A9D" w:rsidRPr="00C903F8" w:rsidRDefault="001F1A9D" w:rsidP="00F6236E">
      <w:pPr>
        <w:spacing w:line="240" w:lineRule="atLeast"/>
        <w:ind w:left="567" w:hanging="567"/>
        <w:rPr>
          <w:rFonts w:eastAsia="Calibri"/>
          <w:szCs w:val="20"/>
          <w:lang w:val="en-US" w:eastAsia="en-US"/>
        </w:rPr>
      </w:pPr>
      <w:r w:rsidRPr="00C903F8">
        <w:rPr>
          <w:rFonts w:eastAsia="Calibri"/>
          <w:szCs w:val="20"/>
          <w:lang w:val="en-US" w:eastAsia="en-US"/>
        </w:rPr>
        <w:t>6.</w:t>
      </w:r>
      <w:r w:rsidRPr="00C903F8">
        <w:rPr>
          <w:rFonts w:eastAsia="Calibri"/>
          <w:szCs w:val="20"/>
          <w:lang w:val="en-US" w:eastAsia="en-US"/>
        </w:rPr>
        <w:tab/>
      </w:r>
      <w:r w:rsidR="006025D0" w:rsidRPr="00C903F8">
        <w:rPr>
          <w:rFonts w:eastAsia="Calibri"/>
          <w:szCs w:val="20"/>
          <w:lang w:val="en-US" w:eastAsia="en-US"/>
        </w:rPr>
        <w:t>If</w:t>
      </w:r>
      <w:r w:rsidR="003232B5" w:rsidRPr="00C903F8">
        <w:rPr>
          <w:rFonts w:eastAsia="Calibri"/>
          <w:szCs w:val="20"/>
          <w:lang w:val="en-US" w:eastAsia="en-US"/>
        </w:rPr>
        <w:t xml:space="preserve"> </w:t>
      </w:r>
      <m:oMath>
        <m:sSub>
          <m:sSubPr>
            <m:ctrlPr>
              <w:rPr>
                <w:rFonts w:ascii="Cambria Math" w:eastAsia="Calibri" w:hAnsi="Cambria Math"/>
                <w:i/>
                <w:szCs w:val="20"/>
                <w:lang w:val="en-US" w:eastAsia="en-US"/>
              </w:rPr>
            </m:ctrlPr>
          </m:sSubPr>
          <m:e>
            <m:r>
              <w:rPr>
                <w:rFonts w:ascii="Cambria Math" w:eastAsia="Calibri" w:hAnsi="Cambria Math"/>
                <w:szCs w:val="20"/>
                <w:lang w:val="en-US" w:eastAsia="en-US"/>
              </w:rPr>
              <m:t>β</m:t>
            </m:r>
          </m:e>
          <m:sub>
            <m:r>
              <w:rPr>
                <w:rFonts w:ascii="Cambria Math" w:eastAsia="Calibri" w:hAnsi="Cambria Math"/>
                <w:szCs w:val="20"/>
                <w:lang w:val="en-US" w:eastAsia="en-US"/>
              </w:rPr>
              <m:t>a</m:t>
            </m:r>
          </m:sub>
        </m:sSub>
        <m:r>
          <w:rPr>
            <w:rFonts w:ascii="Cambria Math" w:eastAsia="Calibri" w:hAnsi="Cambria Math"/>
            <w:szCs w:val="20"/>
            <w:lang w:val="en-US" w:eastAsia="en-US"/>
          </w:rPr>
          <m:t xml:space="preserve">∙ </m:t>
        </m:r>
        <m:sSub>
          <m:sSubPr>
            <m:ctrlPr>
              <w:rPr>
                <w:rFonts w:ascii="Cambria Math" w:eastAsia="Calibri" w:hAnsi="Cambria Math"/>
                <w:i/>
                <w:szCs w:val="20"/>
                <w:lang w:val="en-US" w:eastAsia="en-US"/>
              </w:rPr>
            </m:ctrlPr>
          </m:sSubPr>
          <m:e>
            <m:r>
              <w:rPr>
                <w:rFonts w:ascii="Cambria Math" w:eastAsia="Calibri" w:hAnsi="Cambria Math"/>
                <w:szCs w:val="20"/>
                <w:lang w:val="en-US" w:eastAsia="en-US"/>
              </w:rPr>
              <m:t>Se</m:t>
            </m:r>
          </m:e>
          <m:sub>
            <m:r>
              <w:rPr>
                <w:rFonts w:ascii="Cambria Math" w:eastAsia="Calibri" w:hAnsi="Cambria Math"/>
                <w:szCs w:val="20"/>
                <w:lang w:val="en-US" w:eastAsia="en-US"/>
              </w:rPr>
              <m:t>a</m:t>
            </m:r>
          </m:sub>
        </m:sSub>
      </m:oMath>
      <w:r w:rsidRPr="00C903F8">
        <w:rPr>
          <w:rFonts w:eastAsia="Calibri"/>
          <w:szCs w:val="20"/>
          <w:lang w:val="en-US" w:eastAsia="en-US"/>
        </w:rPr>
        <w:t xml:space="preserve"> </w:t>
      </w:r>
      <w:r w:rsidR="006025D0" w:rsidRPr="00C903F8">
        <w:rPr>
          <w:rFonts w:eastAsia="Calibri"/>
          <w:noProof/>
          <w:szCs w:val="20"/>
          <w:lang w:val="en-US" w:eastAsia="en-US"/>
        </w:rPr>
        <w:t>is greater than</w:t>
      </w:r>
      <w:r w:rsidRPr="00C903F8">
        <w:rPr>
          <w:rFonts w:eastAsia="Calibri"/>
          <w:szCs w:val="20"/>
          <w:lang w:val="en-US" w:eastAsia="en-US"/>
        </w:rPr>
        <w:t xml:space="preserve"> </w:t>
      </w:r>
      <m:oMath>
        <m:sSub>
          <m:sSubPr>
            <m:ctrlPr>
              <w:rPr>
                <w:rFonts w:ascii="Cambria Math" w:eastAsia="Calibri" w:hAnsi="Cambria Math"/>
                <w:i/>
                <w:szCs w:val="20"/>
                <w:lang w:val="en-US" w:eastAsia="en-US"/>
              </w:rPr>
            </m:ctrlPr>
          </m:sSubPr>
          <m:e>
            <m:r>
              <w:rPr>
                <w:rFonts w:ascii="Cambria Math" w:eastAsia="Calibri" w:hAnsi="Cambria Math"/>
                <w:szCs w:val="20"/>
                <w:lang w:val="en-US" w:eastAsia="en-US"/>
              </w:rPr>
              <m:t>β</m:t>
            </m:r>
          </m:e>
          <m:sub>
            <m:r>
              <w:rPr>
                <w:rFonts w:ascii="Cambria Math" w:eastAsia="Calibri" w:hAnsi="Cambria Math"/>
                <w:szCs w:val="20"/>
                <w:lang w:val="en-US" w:eastAsia="en-US"/>
              </w:rPr>
              <m:t>v</m:t>
            </m:r>
          </m:sub>
        </m:sSub>
        <m:r>
          <w:rPr>
            <w:rFonts w:ascii="Cambria Math" w:eastAsia="Calibri" w:hAnsi="Cambria Math"/>
            <w:szCs w:val="20"/>
            <w:lang w:val="en-US" w:eastAsia="en-US"/>
          </w:rPr>
          <m:t xml:space="preserve">∙ </m:t>
        </m:r>
        <m:sSub>
          <m:sSubPr>
            <m:ctrlPr>
              <w:rPr>
                <w:rFonts w:ascii="Cambria Math" w:eastAsia="Calibri" w:hAnsi="Cambria Math"/>
                <w:i/>
                <w:szCs w:val="20"/>
                <w:lang w:val="en-US" w:eastAsia="en-US"/>
              </w:rPr>
            </m:ctrlPr>
          </m:sSubPr>
          <m:e>
            <m:r>
              <w:rPr>
                <w:rFonts w:ascii="Cambria Math" w:eastAsia="Calibri" w:hAnsi="Cambria Math"/>
                <w:szCs w:val="20"/>
                <w:lang w:val="en-US" w:eastAsia="en-US"/>
              </w:rPr>
              <m:t>Se</m:t>
            </m:r>
          </m:e>
          <m:sub>
            <m:r>
              <w:rPr>
                <w:rFonts w:ascii="Cambria Math" w:eastAsia="Calibri" w:hAnsi="Cambria Math"/>
                <w:szCs w:val="20"/>
                <w:lang w:val="en-US" w:eastAsia="en-US"/>
              </w:rPr>
              <m:t>v</m:t>
            </m:r>
          </m:sub>
        </m:sSub>
      </m:oMath>
      <w:r w:rsidRPr="00C903F8">
        <w:rPr>
          <w:rFonts w:eastAsia="Calibri"/>
          <w:szCs w:val="20"/>
          <w:lang w:val="en-US" w:eastAsia="en-US"/>
        </w:rPr>
        <w:t xml:space="preserve">, </w:t>
      </w:r>
      <w:r w:rsidR="006025D0" w:rsidRPr="00C903F8">
        <w:rPr>
          <w:rFonts w:eastAsia="Calibri"/>
          <w:szCs w:val="20"/>
          <w:lang w:val="en-US" w:eastAsia="en-US"/>
        </w:rPr>
        <w:t>the value of</w:t>
      </w:r>
      <w:r w:rsidR="003232B5" w:rsidRPr="00C903F8">
        <w:rPr>
          <w:rFonts w:eastAsia="Calibri"/>
          <w:szCs w:val="20"/>
          <w:lang w:val="en-US" w:eastAsia="en-US"/>
        </w:rPr>
        <w:t xml:space="preserve"> </w:t>
      </w:r>
      <m:oMath>
        <m:sSub>
          <m:sSubPr>
            <m:ctrlPr>
              <w:rPr>
                <w:rFonts w:ascii="Cambria Math" w:eastAsia="Calibri" w:hAnsi="Cambria Math"/>
                <w:i/>
                <w:szCs w:val="20"/>
                <w:lang w:val="en-US" w:eastAsia="en-US"/>
              </w:rPr>
            </m:ctrlPr>
          </m:sSubPr>
          <m:e>
            <m:r>
              <w:rPr>
                <w:rFonts w:ascii="Cambria Math" w:eastAsia="Calibri" w:hAnsi="Cambria Math"/>
                <w:szCs w:val="20"/>
                <w:lang w:val="en-US" w:eastAsia="en-US"/>
              </w:rPr>
              <m:t>β</m:t>
            </m:r>
          </m:e>
          <m:sub>
            <m:r>
              <w:rPr>
                <w:rFonts w:ascii="Cambria Math" w:eastAsia="Calibri" w:hAnsi="Cambria Math"/>
                <w:szCs w:val="20"/>
                <w:lang w:val="en-US" w:eastAsia="en-US"/>
              </w:rPr>
              <m:t>v</m:t>
            </m:r>
          </m:sub>
        </m:sSub>
        <m:r>
          <w:rPr>
            <w:rFonts w:ascii="Cambria Math" w:eastAsia="Calibri" w:hAnsi="Cambria Math"/>
            <w:szCs w:val="20"/>
            <w:lang w:val="en-US" w:eastAsia="en-US"/>
          </w:rPr>
          <m:t xml:space="preserve">∙ </m:t>
        </m:r>
        <m:sSub>
          <m:sSubPr>
            <m:ctrlPr>
              <w:rPr>
                <w:rFonts w:ascii="Cambria Math" w:eastAsia="Calibri" w:hAnsi="Cambria Math"/>
                <w:i/>
                <w:szCs w:val="20"/>
                <w:lang w:val="en-US" w:eastAsia="en-US"/>
              </w:rPr>
            </m:ctrlPr>
          </m:sSubPr>
          <m:e>
            <m:r>
              <w:rPr>
                <w:rFonts w:ascii="Cambria Math" w:eastAsia="Calibri" w:hAnsi="Cambria Math"/>
                <w:szCs w:val="20"/>
                <w:lang w:val="en-US" w:eastAsia="en-US"/>
              </w:rPr>
              <m:t>Se</m:t>
            </m:r>
          </m:e>
          <m:sub>
            <m:r>
              <w:rPr>
                <w:rFonts w:ascii="Cambria Math" w:eastAsia="Calibri" w:hAnsi="Cambria Math"/>
                <w:szCs w:val="20"/>
                <w:lang w:val="en-US" w:eastAsia="en-US"/>
              </w:rPr>
              <m:t>v</m:t>
            </m:r>
          </m:sub>
        </m:sSub>
      </m:oMath>
      <w:r w:rsidR="006025D0" w:rsidRPr="00C903F8">
        <w:rPr>
          <w:rFonts w:eastAsia="Calibri"/>
          <w:szCs w:val="20"/>
          <w:lang w:val="en-US" w:eastAsia="en-US"/>
        </w:rPr>
        <w:t xml:space="preserve"> will be taken as being the value for </w:t>
      </w:r>
      <m:oMath>
        <m:sSub>
          <m:sSubPr>
            <m:ctrlPr>
              <w:rPr>
                <w:rFonts w:ascii="Cambria Math" w:eastAsia="Calibri" w:hAnsi="Cambria Math"/>
                <w:i/>
                <w:szCs w:val="20"/>
                <w:lang w:val="en-US" w:eastAsia="en-US"/>
              </w:rPr>
            </m:ctrlPr>
          </m:sSubPr>
          <m:e>
            <m:r>
              <w:rPr>
                <w:rFonts w:ascii="Cambria Math" w:eastAsia="Calibri" w:hAnsi="Cambria Math"/>
                <w:szCs w:val="20"/>
                <w:lang w:val="en-US" w:eastAsia="en-US"/>
              </w:rPr>
              <m:t>β</m:t>
            </m:r>
          </m:e>
          <m:sub>
            <m:r>
              <w:rPr>
                <w:rFonts w:ascii="Cambria Math" w:eastAsia="Calibri" w:hAnsi="Cambria Math"/>
                <w:szCs w:val="20"/>
                <w:lang w:val="en-US" w:eastAsia="en-US"/>
              </w:rPr>
              <m:t>a</m:t>
            </m:r>
          </m:sub>
        </m:sSub>
        <m:r>
          <w:rPr>
            <w:rFonts w:ascii="Cambria Math" w:eastAsia="Calibri" w:hAnsi="Cambria Math"/>
            <w:szCs w:val="20"/>
            <w:lang w:val="en-US" w:eastAsia="en-US"/>
          </w:rPr>
          <m:t xml:space="preserve">∙ </m:t>
        </m:r>
        <m:sSub>
          <m:sSubPr>
            <m:ctrlPr>
              <w:rPr>
                <w:rFonts w:ascii="Cambria Math" w:eastAsia="Calibri" w:hAnsi="Cambria Math"/>
                <w:i/>
                <w:szCs w:val="20"/>
                <w:lang w:val="en-US" w:eastAsia="en-US"/>
              </w:rPr>
            </m:ctrlPr>
          </m:sSubPr>
          <m:e>
            <m:r>
              <w:rPr>
                <w:rFonts w:ascii="Cambria Math" w:eastAsia="Calibri" w:hAnsi="Cambria Math"/>
                <w:szCs w:val="20"/>
                <w:lang w:val="en-US" w:eastAsia="en-US"/>
              </w:rPr>
              <m:t>Se</m:t>
            </m:r>
          </m:e>
          <m:sub>
            <m:r>
              <w:rPr>
                <w:rFonts w:ascii="Cambria Math" w:eastAsia="Calibri" w:hAnsi="Cambria Math"/>
                <w:szCs w:val="20"/>
                <w:lang w:val="en-US" w:eastAsia="en-US"/>
              </w:rPr>
              <m:t>a</m:t>
            </m:r>
          </m:sub>
        </m:sSub>
      </m:oMath>
      <w:r w:rsidR="003232B5" w:rsidRPr="00C903F8">
        <w:rPr>
          <w:rFonts w:eastAsia="Calibri"/>
          <w:szCs w:val="20"/>
          <w:lang w:val="en-US" w:eastAsia="en-US"/>
        </w:rPr>
        <w:t>.</w:t>
      </w:r>
    </w:p>
    <w:p w:rsidR="005C1DF0" w:rsidRDefault="005C1DF0" w:rsidP="00E1027C">
      <w:pPr>
        <w:spacing w:line="240" w:lineRule="atLeast"/>
        <w:rPr>
          <w:rFonts w:eastAsia="Calibri"/>
          <w:lang w:val="en-US" w:eastAsia="en-US"/>
        </w:rPr>
      </w:pPr>
    </w:p>
    <w:p w:rsidR="00533048" w:rsidRPr="00C903F8" w:rsidRDefault="00533048" w:rsidP="00E1027C">
      <w:pPr>
        <w:spacing w:line="240" w:lineRule="atLeast"/>
        <w:rPr>
          <w:rFonts w:eastAsia="Calibri"/>
          <w:lang w:val="en-US" w:eastAsia="en-US"/>
        </w:rPr>
      </w:pPr>
    </w:p>
    <w:p w:rsidR="006025D0" w:rsidRPr="00C903F8" w:rsidRDefault="006025D0" w:rsidP="006025D0">
      <w:pPr>
        <w:pStyle w:val="ES-Titre3"/>
        <w:spacing w:line="240" w:lineRule="atLeast"/>
        <w:rPr>
          <w:lang w:val="en-US"/>
        </w:rPr>
      </w:pPr>
      <w:bookmarkStart w:id="22" w:name="_Toc491854016"/>
      <w:r w:rsidRPr="00C903F8">
        <w:rPr>
          <w:lang w:val="en-US"/>
        </w:rPr>
        <w:t>Article 4.03</w:t>
      </w:r>
      <w:r w:rsidRPr="00C903F8">
        <w:rPr>
          <w:lang w:val="en-US"/>
        </w:rPr>
        <w:br/>
      </w:r>
      <w:r w:rsidRPr="00C903F8">
        <w:rPr>
          <w:i/>
          <w:lang w:val="en-US"/>
        </w:rPr>
        <w:t>Minimum freeboard</w:t>
      </w:r>
      <w:bookmarkEnd w:id="22"/>
    </w:p>
    <w:p w:rsidR="006025D0" w:rsidRPr="00C903F8" w:rsidRDefault="006025D0" w:rsidP="00C62373">
      <w:pPr>
        <w:spacing w:line="240" w:lineRule="atLeast"/>
        <w:ind w:left="0" w:firstLine="0"/>
        <w:rPr>
          <w:rFonts w:eastAsia="Calibri"/>
          <w:lang w:val="en-US" w:eastAsia="en-US"/>
        </w:rPr>
      </w:pPr>
    </w:p>
    <w:p w:rsidR="006025D0" w:rsidRPr="00C903F8" w:rsidRDefault="006025D0" w:rsidP="00111867">
      <w:pPr>
        <w:pStyle w:val="ESgauche"/>
        <w:rPr>
          <w:rFonts w:eastAsia="Calibri"/>
          <w:lang w:val="en-US" w:eastAsia="en-US"/>
        </w:rPr>
      </w:pPr>
      <w:r w:rsidRPr="00C903F8">
        <w:rPr>
          <w:lang w:val="en-GB"/>
        </w:rPr>
        <w:t>In view of the reductions referred to in Article 4.02 the minimum freeboard shall be not less than 0 mm.</w:t>
      </w:r>
    </w:p>
    <w:p w:rsidR="006025D0" w:rsidRPr="00C903F8" w:rsidRDefault="006025D0" w:rsidP="00E1027C">
      <w:pPr>
        <w:spacing w:line="240" w:lineRule="atLeast"/>
        <w:rPr>
          <w:rFonts w:eastAsia="Calibri"/>
          <w:lang w:val="en-US" w:eastAsia="en-US"/>
        </w:rPr>
      </w:pPr>
    </w:p>
    <w:p w:rsidR="00500018" w:rsidRPr="00C903F8" w:rsidRDefault="00500018" w:rsidP="00E1027C">
      <w:pPr>
        <w:spacing w:line="240" w:lineRule="atLeast"/>
        <w:rPr>
          <w:rFonts w:eastAsia="Calibri"/>
          <w:lang w:val="en-US" w:eastAsia="en-US"/>
        </w:rPr>
      </w:pPr>
    </w:p>
    <w:p w:rsidR="006025D0" w:rsidRPr="00C903F8" w:rsidRDefault="006025D0" w:rsidP="006025D0">
      <w:pPr>
        <w:pStyle w:val="ES-Titre3"/>
        <w:rPr>
          <w:lang w:val="en-GB"/>
        </w:rPr>
      </w:pPr>
      <w:bookmarkStart w:id="23" w:name="_Toc491854017"/>
      <w:r w:rsidRPr="00C903F8">
        <w:rPr>
          <w:noProof/>
          <w:lang w:val="en-US"/>
        </w:rPr>
        <w:t>Article 4.04</w:t>
      </w:r>
      <w:r w:rsidRPr="00C903F8">
        <w:rPr>
          <w:noProof/>
          <w:lang w:val="en-US"/>
        </w:rPr>
        <w:br/>
      </w:r>
      <w:r w:rsidRPr="00C903F8">
        <w:rPr>
          <w:bCs/>
          <w:i/>
          <w:noProof/>
          <w:lang w:val="en-US"/>
        </w:rPr>
        <w:t>Draught marks</w:t>
      </w:r>
      <w:bookmarkEnd w:id="23"/>
    </w:p>
    <w:p w:rsidR="00111867" w:rsidRPr="00C903F8" w:rsidRDefault="00111867" w:rsidP="006025D0">
      <w:pPr>
        <w:rPr>
          <w:noProof/>
          <w:lang w:val="en-GB"/>
        </w:rPr>
      </w:pPr>
    </w:p>
    <w:p w:rsidR="00853731" w:rsidRPr="00C903F8" w:rsidRDefault="00853731" w:rsidP="00853731">
      <w:pPr>
        <w:pStyle w:val="ESch"/>
        <w:rPr>
          <w:noProof/>
          <w:lang w:val="en-GB"/>
        </w:rPr>
      </w:pPr>
      <w:r w:rsidRPr="00C903F8">
        <w:rPr>
          <w:noProof/>
          <w:lang w:val="en-GB"/>
        </w:rPr>
        <w:t>1.</w:t>
      </w:r>
      <w:r w:rsidRPr="00C903F8">
        <w:rPr>
          <w:noProof/>
          <w:lang w:val="en-GB"/>
        </w:rPr>
        <w:tab/>
        <w:t>For the purpose of Article 4.04 and 4.05, Zone R is equivalent to Zone 3.</w:t>
      </w:r>
    </w:p>
    <w:p w:rsidR="00853731" w:rsidRPr="00C903F8" w:rsidRDefault="00853731" w:rsidP="006025D0">
      <w:pPr>
        <w:rPr>
          <w:noProof/>
          <w:lang w:val="en-GB"/>
        </w:rPr>
      </w:pPr>
    </w:p>
    <w:p w:rsidR="00C62373" w:rsidRPr="00C903F8" w:rsidRDefault="00853731" w:rsidP="00111867">
      <w:pPr>
        <w:pStyle w:val="ESch"/>
        <w:rPr>
          <w:noProof/>
          <w:lang w:val="en-GB"/>
        </w:rPr>
      </w:pPr>
      <w:r w:rsidRPr="00C903F8">
        <w:rPr>
          <w:noProof/>
          <w:lang w:val="en-GB"/>
        </w:rPr>
        <w:t>2</w:t>
      </w:r>
      <w:r w:rsidR="006025D0" w:rsidRPr="00C903F8">
        <w:rPr>
          <w:noProof/>
          <w:lang w:val="en-GB"/>
        </w:rPr>
        <w:t>.</w:t>
      </w:r>
      <w:r w:rsidR="006025D0" w:rsidRPr="00C903F8">
        <w:rPr>
          <w:noProof/>
          <w:lang w:val="en-GB"/>
        </w:rPr>
        <w:tab/>
        <w:t xml:space="preserve">The plane of maximum draught shall be determined in such a way that the specifications concerning minimum freeboard and minimum safety clearance are both met. However, for safety reasons, the inspection body may lay down a greater value for the safety clearance or freeboard. </w:t>
      </w:r>
    </w:p>
    <w:p w:rsidR="00C62373" w:rsidRPr="00C903F8" w:rsidRDefault="00C62373" w:rsidP="00111867">
      <w:pPr>
        <w:pStyle w:val="ESch"/>
        <w:rPr>
          <w:noProof/>
          <w:lang w:val="en-GB"/>
        </w:rPr>
      </w:pPr>
    </w:p>
    <w:p w:rsidR="006025D0" w:rsidRPr="00C903F8" w:rsidRDefault="006025D0" w:rsidP="00C62373">
      <w:pPr>
        <w:pStyle w:val="ESchpar"/>
        <w:rPr>
          <w:noProof/>
          <w:lang w:val="en-GB"/>
        </w:rPr>
      </w:pPr>
      <w:r w:rsidRPr="00C903F8">
        <w:rPr>
          <w:noProof/>
          <w:lang w:val="en-GB"/>
        </w:rPr>
        <w:t>The plane of maximum draught shall be determined at least for Zone 3</w:t>
      </w:r>
      <w:r w:rsidR="00853731" w:rsidRPr="00C903F8">
        <w:rPr>
          <w:noProof/>
          <w:lang w:val="en-GB"/>
        </w:rPr>
        <w:t>.</w:t>
      </w:r>
    </w:p>
    <w:p w:rsidR="00500018" w:rsidRPr="00C903F8" w:rsidRDefault="00500018" w:rsidP="00111867">
      <w:pPr>
        <w:pStyle w:val="ESch"/>
        <w:rPr>
          <w:lang w:val="en-GB"/>
        </w:rPr>
      </w:pPr>
    </w:p>
    <w:p w:rsidR="006025D0" w:rsidRPr="00C903F8" w:rsidRDefault="00853731" w:rsidP="00111867">
      <w:pPr>
        <w:pStyle w:val="ESch"/>
        <w:rPr>
          <w:lang w:val="en-US"/>
        </w:rPr>
      </w:pPr>
      <w:r w:rsidRPr="00C903F8">
        <w:rPr>
          <w:noProof/>
          <w:lang w:val="en-GB"/>
        </w:rPr>
        <w:t>3</w:t>
      </w:r>
      <w:r w:rsidR="006025D0" w:rsidRPr="00C903F8">
        <w:rPr>
          <w:noProof/>
          <w:lang w:val="en-GB"/>
        </w:rPr>
        <w:t>.</w:t>
      </w:r>
      <w:r w:rsidR="006025D0" w:rsidRPr="00C903F8">
        <w:rPr>
          <w:noProof/>
          <w:lang w:val="en-GB"/>
        </w:rPr>
        <w:tab/>
        <w:t>The plane of maximum draught shall be indicated by means of highly visible, indelible draught marks.</w:t>
      </w:r>
    </w:p>
    <w:p w:rsidR="00500018" w:rsidRPr="00C903F8" w:rsidRDefault="00500018" w:rsidP="00111867">
      <w:pPr>
        <w:pStyle w:val="ESch"/>
        <w:rPr>
          <w:noProof/>
          <w:lang w:val="en-GB"/>
        </w:rPr>
      </w:pPr>
    </w:p>
    <w:p w:rsidR="006025D0" w:rsidRPr="00C903F8" w:rsidRDefault="00853731" w:rsidP="00111867">
      <w:pPr>
        <w:pStyle w:val="ESch"/>
        <w:rPr>
          <w:lang w:val="en-US"/>
        </w:rPr>
      </w:pPr>
      <w:r w:rsidRPr="00C903F8">
        <w:rPr>
          <w:noProof/>
          <w:lang w:val="en-GB"/>
        </w:rPr>
        <w:t>4</w:t>
      </w:r>
      <w:r w:rsidR="006025D0" w:rsidRPr="00C903F8">
        <w:rPr>
          <w:noProof/>
          <w:lang w:val="en-GB"/>
        </w:rPr>
        <w:t>.</w:t>
      </w:r>
      <w:r w:rsidR="006025D0" w:rsidRPr="00C903F8">
        <w:rPr>
          <w:noProof/>
          <w:lang w:val="en-GB"/>
        </w:rPr>
        <w:tab/>
        <w:t>The draught marks for Zone 3</w:t>
      </w:r>
      <w:r w:rsidR="00BA095D" w:rsidRPr="00C903F8">
        <w:rPr>
          <w:noProof/>
          <w:lang w:val="en-GB"/>
        </w:rPr>
        <w:t xml:space="preserve"> </w:t>
      </w:r>
      <w:r w:rsidRPr="00C903F8">
        <w:rPr>
          <w:noProof/>
          <w:lang w:val="en-GB"/>
        </w:rPr>
        <w:t>s</w:t>
      </w:r>
      <w:r w:rsidR="006025D0" w:rsidRPr="00C903F8">
        <w:rPr>
          <w:noProof/>
          <w:lang w:val="en-GB"/>
        </w:rPr>
        <w:t>hall consist of a rectangle 300 mm long and 40</w:t>
      </w:r>
      <w:r w:rsidR="00BA095D" w:rsidRPr="00C903F8">
        <w:rPr>
          <w:noProof/>
          <w:lang w:val="en-GB"/>
        </w:rPr>
        <w:t> </w:t>
      </w:r>
      <w:r w:rsidR="006025D0" w:rsidRPr="00C903F8">
        <w:rPr>
          <w:noProof/>
          <w:lang w:val="en-GB"/>
        </w:rPr>
        <w:t xml:space="preserve">mm deep, the base of which is horizontal and coincides with the plane of the maximum authorised draught. </w:t>
      </w:r>
      <w:r w:rsidR="006025D0" w:rsidRPr="00C903F8">
        <w:rPr>
          <w:noProof/>
          <w:lang w:val="en-US"/>
        </w:rPr>
        <w:t>Any differing draught marks shall include such a rectangle.</w:t>
      </w:r>
    </w:p>
    <w:p w:rsidR="00500018" w:rsidRPr="00C903F8" w:rsidRDefault="00500018" w:rsidP="00111867">
      <w:pPr>
        <w:pStyle w:val="ESch"/>
        <w:rPr>
          <w:noProof/>
          <w:lang w:val="en-GB"/>
        </w:rPr>
      </w:pPr>
    </w:p>
    <w:p w:rsidR="006025D0" w:rsidRPr="00C903F8" w:rsidRDefault="00853731" w:rsidP="00111867">
      <w:pPr>
        <w:pStyle w:val="ESch"/>
        <w:rPr>
          <w:lang w:val="en-US"/>
        </w:rPr>
      </w:pPr>
      <w:r w:rsidRPr="00C903F8">
        <w:rPr>
          <w:noProof/>
          <w:lang w:val="en-GB"/>
        </w:rPr>
        <w:t>5</w:t>
      </w:r>
      <w:r w:rsidR="006025D0" w:rsidRPr="00C903F8">
        <w:rPr>
          <w:noProof/>
          <w:lang w:val="en-GB"/>
        </w:rPr>
        <w:t>.</w:t>
      </w:r>
      <w:r w:rsidR="006025D0" w:rsidRPr="00C903F8">
        <w:rPr>
          <w:noProof/>
          <w:lang w:val="en-GB"/>
        </w:rPr>
        <w:tab/>
        <w:t xml:space="preserve">Vessels shall have at least three pairs of draught marks, of which one pair shall be at </w:t>
      </w:r>
      <w:r w:rsidR="00CE405E" w:rsidRPr="00C903F8">
        <w:rPr>
          <w:noProof/>
          <w:lang w:val="en-GB"/>
        </w:rPr>
        <w:t>1/2</w:t>
      </w:r>
      <w:r w:rsidR="006025D0" w:rsidRPr="00C903F8">
        <w:rPr>
          <w:noProof/>
          <w:lang w:val="en-GB"/>
        </w:rPr>
        <w:t xml:space="preserve"> of the length </w:t>
      </w:r>
      <m:oMath>
        <m:r>
          <w:rPr>
            <w:rFonts w:ascii="Cambria Math" w:hAnsi="Cambria Math" w:cs="Arial"/>
            <w:noProof/>
            <w:szCs w:val="20"/>
            <w:lang w:val="en-GB"/>
          </w:rPr>
          <m:t>L</m:t>
        </m:r>
      </m:oMath>
      <w:r w:rsidR="006025D0" w:rsidRPr="00C903F8">
        <w:rPr>
          <w:noProof/>
          <w:lang w:val="en-GB"/>
        </w:rPr>
        <w:t xml:space="preserve"> and the two others located, respectively, at a distance from the bow and stern that is equal to roughly 1/6 of the length </w:t>
      </w:r>
      <m:oMath>
        <m:r>
          <w:rPr>
            <w:rFonts w:ascii="Cambria Math" w:hAnsi="Cambria Math" w:cs="Arial"/>
            <w:noProof/>
            <w:szCs w:val="20"/>
            <w:lang w:val="en-GB"/>
          </w:rPr>
          <m:t>L</m:t>
        </m:r>
      </m:oMath>
      <w:r w:rsidR="006025D0" w:rsidRPr="00C903F8">
        <w:rPr>
          <w:noProof/>
          <w:lang w:val="en-GB"/>
        </w:rPr>
        <w:t>.</w:t>
      </w:r>
    </w:p>
    <w:p w:rsidR="00500018" w:rsidRPr="00C903F8" w:rsidRDefault="00500018" w:rsidP="00111867">
      <w:pPr>
        <w:pStyle w:val="ESch"/>
        <w:rPr>
          <w:noProof/>
          <w:lang w:val="en-US"/>
        </w:rPr>
      </w:pPr>
    </w:p>
    <w:p w:rsidR="006025D0" w:rsidRPr="00C903F8" w:rsidRDefault="006025D0" w:rsidP="00111867">
      <w:pPr>
        <w:pStyle w:val="ESchpar"/>
        <w:rPr>
          <w:lang w:val="en-GB"/>
        </w:rPr>
      </w:pPr>
      <w:r w:rsidRPr="00C903F8">
        <w:rPr>
          <w:noProof/>
          <w:lang w:val="en-US"/>
        </w:rPr>
        <w:t>However,</w:t>
      </w:r>
    </w:p>
    <w:p w:rsidR="006025D0" w:rsidRPr="00C903F8" w:rsidRDefault="005C7859" w:rsidP="00DF19D3">
      <w:pPr>
        <w:pStyle w:val="ESlet"/>
        <w:rPr>
          <w:lang w:val="en-GB"/>
        </w:rPr>
      </w:pPr>
      <w:r w:rsidRPr="00C903F8">
        <w:rPr>
          <w:lang w:val="en-GB"/>
        </w:rPr>
        <w:t>a)</w:t>
      </w:r>
      <w:r w:rsidR="006025D0" w:rsidRPr="00C903F8">
        <w:rPr>
          <w:lang w:val="en-GB"/>
        </w:rPr>
        <w:tab/>
        <w:t xml:space="preserve">where a vessel is less than 40 m in length </w:t>
      </w:r>
      <m:oMath>
        <m:r>
          <w:rPr>
            <w:rFonts w:ascii="Cambria Math" w:hAnsi="Cambria Math" w:cs="Arial"/>
            <w:noProof/>
            <w:szCs w:val="20"/>
            <w:lang w:val="en-GB"/>
          </w:rPr>
          <m:t>L</m:t>
        </m:r>
      </m:oMath>
      <w:r w:rsidR="006025D0" w:rsidRPr="00C903F8">
        <w:rPr>
          <w:lang w:val="en-GB"/>
        </w:rPr>
        <w:t xml:space="preserve"> it will suffice to affix two pairs of marks at a distance from the bow and stern, respectively, that is equal to a quarter of the length </w:t>
      </w:r>
      <m:oMath>
        <m:r>
          <w:rPr>
            <w:rFonts w:ascii="Cambria Math" w:hAnsi="Cambria Math" w:cs="Arial"/>
            <w:noProof/>
            <w:szCs w:val="20"/>
            <w:lang w:val="en-GB"/>
          </w:rPr>
          <m:t>L</m:t>
        </m:r>
      </m:oMath>
      <w:r w:rsidR="006025D0" w:rsidRPr="00C903F8">
        <w:rPr>
          <w:lang w:val="en-GB"/>
        </w:rPr>
        <w:t>;</w:t>
      </w:r>
    </w:p>
    <w:p w:rsidR="006025D0" w:rsidRPr="00C903F8" w:rsidRDefault="005C7859" w:rsidP="00DF19D3">
      <w:pPr>
        <w:pStyle w:val="ESlet"/>
        <w:rPr>
          <w:lang w:val="en-GB"/>
        </w:rPr>
      </w:pPr>
      <w:r w:rsidRPr="00C903F8">
        <w:rPr>
          <w:lang w:val="en-GB"/>
        </w:rPr>
        <w:t>b)</w:t>
      </w:r>
      <w:r w:rsidR="006025D0" w:rsidRPr="00C903F8">
        <w:rPr>
          <w:lang w:val="en-GB"/>
        </w:rPr>
        <w:tab/>
        <w:t>where vessels are not intended for the carriage of goods, a pair of marks located roughly halfway along the vessel will suffice.</w:t>
      </w:r>
    </w:p>
    <w:p w:rsidR="00500018" w:rsidRPr="00C903F8" w:rsidRDefault="00500018" w:rsidP="00500018">
      <w:pPr>
        <w:rPr>
          <w:lang w:val="en-GB"/>
        </w:rPr>
      </w:pPr>
      <w:r w:rsidRPr="00C903F8">
        <w:rPr>
          <w:lang w:val="en-GB"/>
        </w:rPr>
        <w:br w:type="page"/>
      </w:r>
    </w:p>
    <w:p w:rsidR="006025D0" w:rsidRPr="00C903F8" w:rsidRDefault="00853731" w:rsidP="00844E91">
      <w:pPr>
        <w:pStyle w:val="ESch"/>
        <w:rPr>
          <w:lang w:val="en-US"/>
        </w:rPr>
      </w:pPr>
      <w:r w:rsidRPr="00C903F8">
        <w:rPr>
          <w:noProof/>
          <w:lang w:val="en-GB"/>
        </w:rPr>
        <w:lastRenderedPageBreak/>
        <w:t>6</w:t>
      </w:r>
      <w:r w:rsidR="006025D0" w:rsidRPr="00C903F8">
        <w:rPr>
          <w:noProof/>
          <w:lang w:val="en-GB"/>
        </w:rPr>
        <w:t>.</w:t>
      </w:r>
      <w:r w:rsidR="006025D0" w:rsidRPr="00C903F8">
        <w:rPr>
          <w:noProof/>
          <w:lang w:val="en-GB"/>
        </w:rPr>
        <w:tab/>
        <w:t>Marks or indications which cease to be valid following a further inspection shall be deleted or marked as being no longer valid under the supervision of the inspection body. If a draught mark should disappear, it may only be replaced under the supervision of an inspection body.</w:t>
      </w:r>
    </w:p>
    <w:p w:rsidR="00500018" w:rsidRPr="00C903F8" w:rsidRDefault="00500018" w:rsidP="00844E91">
      <w:pPr>
        <w:pStyle w:val="ESch"/>
        <w:rPr>
          <w:lang w:val="en-US"/>
        </w:rPr>
      </w:pPr>
    </w:p>
    <w:p w:rsidR="006025D0" w:rsidRPr="00C903F8" w:rsidRDefault="00853731" w:rsidP="00844E91">
      <w:pPr>
        <w:pStyle w:val="ESch"/>
        <w:rPr>
          <w:lang w:val="en-US"/>
        </w:rPr>
      </w:pPr>
      <w:r w:rsidRPr="00C903F8">
        <w:rPr>
          <w:lang w:val="en-US"/>
        </w:rPr>
        <w:t>7</w:t>
      </w:r>
      <w:r w:rsidR="006025D0" w:rsidRPr="00C903F8">
        <w:rPr>
          <w:lang w:val="en-US"/>
        </w:rPr>
        <w:t>.</w:t>
      </w:r>
      <w:r w:rsidR="006025D0" w:rsidRPr="00C903F8">
        <w:rPr>
          <w:lang w:val="en-US"/>
        </w:rPr>
        <w:tab/>
        <w:t xml:space="preserve">Where a vessel has been measured in implementation of the 1966 Convention on the Measurement of </w:t>
      </w:r>
      <w:r w:rsidR="00875A5A" w:rsidRPr="00C903F8">
        <w:rPr>
          <w:lang w:val="en-US"/>
        </w:rPr>
        <w:t>i</w:t>
      </w:r>
      <w:r w:rsidR="006025D0" w:rsidRPr="00C903F8">
        <w:rPr>
          <w:lang w:val="en-US"/>
        </w:rPr>
        <w:t xml:space="preserve">nland </w:t>
      </w:r>
      <w:r w:rsidR="00875A5A" w:rsidRPr="00C903F8">
        <w:rPr>
          <w:lang w:val="en-US"/>
        </w:rPr>
        <w:t>n</w:t>
      </w:r>
      <w:r w:rsidR="006025D0" w:rsidRPr="00C903F8">
        <w:rPr>
          <w:lang w:val="en-US"/>
        </w:rPr>
        <w:t xml:space="preserve">avigation </w:t>
      </w:r>
      <w:r w:rsidR="00875A5A" w:rsidRPr="00C903F8">
        <w:rPr>
          <w:lang w:val="en-US"/>
        </w:rPr>
        <w:t>v</w:t>
      </w:r>
      <w:r w:rsidR="006025D0" w:rsidRPr="00C903F8">
        <w:rPr>
          <w:lang w:val="en-US"/>
        </w:rPr>
        <w:t xml:space="preserve">essels and the plane of the measurement marks meet the requirements of this </w:t>
      </w:r>
      <w:r w:rsidR="00837508" w:rsidRPr="00C903F8">
        <w:rPr>
          <w:lang w:val="en-US"/>
        </w:rPr>
        <w:t>S</w:t>
      </w:r>
      <w:r w:rsidR="006025D0" w:rsidRPr="00C903F8">
        <w:rPr>
          <w:lang w:val="en-US"/>
        </w:rPr>
        <w:t>tandard, the measurement marks shall take the place of the draught marks; this shall be mentioned in the inland navigation vessel certificate.</w:t>
      </w:r>
    </w:p>
    <w:p w:rsidR="00500018" w:rsidRPr="00C903F8" w:rsidRDefault="00500018" w:rsidP="00844E91">
      <w:pPr>
        <w:pStyle w:val="ESch"/>
        <w:rPr>
          <w:noProof/>
          <w:lang w:val="en-US" w:bidi="fr-FR"/>
        </w:rPr>
      </w:pPr>
    </w:p>
    <w:p w:rsidR="006025D0" w:rsidRPr="00C903F8" w:rsidRDefault="00853731" w:rsidP="00844E91">
      <w:pPr>
        <w:pStyle w:val="ESch"/>
        <w:rPr>
          <w:noProof/>
          <w:lang w:val="en-US" w:bidi="fr-FR"/>
        </w:rPr>
      </w:pPr>
      <w:r w:rsidRPr="00C903F8">
        <w:rPr>
          <w:noProof/>
          <w:lang w:val="en-US" w:bidi="fr-FR"/>
        </w:rPr>
        <w:t>8</w:t>
      </w:r>
      <w:r w:rsidR="006025D0" w:rsidRPr="00C903F8">
        <w:rPr>
          <w:noProof/>
          <w:lang w:val="en-US" w:bidi="fr-FR"/>
        </w:rPr>
        <w:t>.</w:t>
      </w:r>
      <w:r w:rsidR="006025D0" w:rsidRPr="00C903F8">
        <w:rPr>
          <w:noProof/>
          <w:lang w:val="en-US" w:bidi="fr-FR"/>
        </w:rPr>
        <w:tab/>
        <w:t>For vessels operating on zones of inland waterways other than Zone 3 (i.e. Zones 1, 2 or 4), the bow and stern pairs of draught marks relevant to this zone referred to in (4) shall be supplemented by adding a vertical line</w:t>
      </w:r>
      <w:r w:rsidR="00B65E04" w:rsidRPr="00C903F8">
        <w:rPr>
          <w:noProof/>
          <w:lang w:val="en-US" w:bidi="fr-FR"/>
        </w:rPr>
        <w:t xml:space="preserve"> </w:t>
      </w:r>
      <w:r w:rsidR="00493339" w:rsidRPr="00C903F8">
        <w:rPr>
          <w:noProof/>
          <w:lang w:val="en-US" w:bidi="fr-FR"/>
        </w:rPr>
        <w:t>t</w:t>
      </w:r>
      <w:r w:rsidR="00B65E04" w:rsidRPr="00C903F8">
        <w:rPr>
          <w:noProof/>
          <w:lang w:val="en-US" w:bidi="fr-FR"/>
        </w:rPr>
        <w:t>o this line</w:t>
      </w:r>
      <w:r w:rsidR="006025D0" w:rsidRPr="00C903F8">
        <w:rPr>
          <w:noProof/>
          <w:lang w:val="en-US" w:bidi="fr-FR"/>
        </w:rPr>
        <w:t xml:space="preserve"> or, in the case of several zones, several additional draught lines 150 mm long shall be affixed towards the bow, in relation to the draught mark for Zone 3.</w:t>
      </w:r>
    </w:p>
    <w:p w:rsidR="00500018" w:rsidRPr="00C903F8" w:rsidRDefault="00500018" w:rsidP="00844E91">
      <w:pPr>
        <w:pStyle w:val="ESch"/>
        <w:rPr>
          <w:noProof/>
          <w:lang w:val="en-US" w:bidi="fr-FR"/>
        </w:rPr>
      </w:pPr>
    </w:p>
    <w:p w:rsidR="00500018" w:rsidRPr="00C903F8" w:rsidRDefault="00500018" w:rsidP="00320866">
      <w:pPr>
        <w:pStyle w:val="ESchpar"/>
        <w:rPr>
          <w:noProof/>
          <w:lang w:val="en-US" w:bidi="fr-FR"/>
        </w:rPr>
      </w:pPr>
      <w:r w:rsidRPr="00C903F8">
        <w:rPr>
          <w:noProof/>
          <w:lang w:val="en-US" w:bidi="fr-FR"/>
        </w:rPr>
        <w:t>This vertical line and the horizontal line shall be 30 mm thick. In addition to the draught mark towards the bow of the vessel, the relevant zone numbers shall be indicated in lettering 60 mm high × 40 mm deep (see Figure 1).</w:t>
      </w:r>
    </w:p>
    <w:p w:rsidR="00500018" w:rsidRPr="00C903F8" w:rsidRDefault="00500018" w:rsidP="00500018">
      <w:pPr>
        <w:ind w:firstLine="0"/>
        <w:rPr>
          <w:noProof/>
          <w:lang w:val="en-US" w:bidi="fr-FR"/>
        </w:rPr>
      </w:pPr>
    </w:p>
    <w:p w:rsidR="00500018" w:rsidRPr="00C903F8" w:rsidRDefault="00500018" w:rsidP="00500018">
      <w:pPr>
        <w:ind w:firstLine="0"/>
        <w:rPr>
          <w:lang w:val="en-US"/>
        </w:rPr>
      </w:pPr>
    </w:p>
    <w:p w:rsidR="006025D0" w:rsidRPr="00C903F8" w:rsidRDefault="00014931" w:rsidP="00500018">
      <w:pPr>
        <w:jc w:val="center"/>
      </w:pPr>
      <w:r w:rsidRPr="00C903F8">
        <w:rPr>
          <w:noProof/>
        </w:rPr>
        <w:drawing>
          <wp:inline distT="0" distB="0" distL="0" distR="0" wp14:anchorId="6B396338" wp14:editId="13A05B06">
            <wp:extent cx="4654550" cy="3484880"/>
            <wp:effectExtent l="0" t="0" r="0" b="1270"/>
            <wp:docPr id="28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4550" cy="3484880"/>
                    </a:xfrm>
                    <a:prstGeom prst="rect">
                      <a:avLst/>
                    </a:prstGeom>
                    <a:noFill/>
                  </pic:spPr>
                </pic:pic>
              </a:graphicData>
            </a:graphic>
          </wp:inline>
        </w:drawing>
      </w:r>
    </w:p>
    <w:p w:rsidR="006025D0" w:rsidRPr="00C903F8" w:rsidRDefault="00500018" w:rsidP="00500018">
      <w:pPr>
        <w:jc w:val="center"/>
        <w:rPr>
          <w:i/>
          <w:lang w:val="en-US"/>
        </w:rPr>
      </w:pPr>
      <w:r w:rsidRPr="00C903F8">
        <w:rPr>
          <w:i/>
          <w:noProof/>
          <w:lang w:val="en-US" w:eastAsia="fr-BE"/>
        </w:rPr>
        <w:t>Figure 1</w:t>
      </w:r>
    </w:p>
    <w:p w:rsidR="006025D0" w:rsidRPr="00C903F8" w:rsidRDefault="00500018" w:rsidP="006025D0">
      <w:pPr>
        <w:rPr>
          <w:lang w:val="en-US"/>
        </w:rPr>
      </w:pPr>
      <w:r w:rsidRPr="00C903F8">
        <w:rPr>
          <w:lang w:val="en-US"/>
        </w:rPr>
        <w:br w:type="page"/>
      </w:r>
    </w:p>
    <w:p w:rsidR="006025D0" w:rsidRPr="00C903F8" w:rsidRDefault="006025D0" w:rsidP="00500018">
      <w:pPr>
        <w:pStyle w:val="ES-Titre3"/>
        <w:rPr>
          <w:i/>
          <w:lang w:val="en-US"/>
        </w:rPr>
      </w:pPr>
      <w:bookmarkStart w:id="24" w:name="_Toc491854018"/>
      <w:r w:rsidRPr="00C903F8">
        <w:rPr>
          <w:noProof/>
          <w:lang w:val="en-GB"/>
        </w:rPr>
        <w:lastRenderedPageBreak/>
        <w:t>Article 4.05</w:t>
      </w:r>
      <w:r w:rsidRPr="00C903F8">
        <w:rPr>
          <w:noProof/>
          <w:lang w:val="en-GB"/>
        </w:rPr>
        <w:br/>
      </w:r>
      <w:r w:rsidRPr="00C903F8">
        <w:rPr>
          <w:i/>
          <w:noProof/>
          <w:lang w:val="en-GB"/>
        </w:rPr>
        <w:t>Maximum loaded draught of vessels whose holds are not always closed so as to be spray-proof and weathertight</w:t>
      </w:r>
      <w:bookmarkEnd w:id="24"/>
    </w:p>
    <w:p w:rsidR="00320866" w:rsidRPr="00C903F8" w:rsidRDefault="00320866" w:rsidP="00500018">
      <w:pPr>
        <w:ind w:left="0" w:firstLine="0"/>
        <w:rPr>
          <w:lang w:val="en-US"/>
        </w:rPr>
      </w:pPr>
    </w:p>
    <w:p w:rsidR="006025D0" w:rsidRPr="00C903F8" w:rsidRDefault="006025D0" w:rsidP="00320866">
      <w:pPr>
        <w:pStyle w:val="ESgauche"/>
        <w:rPr>
          <w:lang w:val="en-US"/>
        </w:rPr>
      </w:pPr>
      <w:r w:rsidRPr="00C903F8">
        <w:rPr>
          <w:lang w:val="en-US"/>
        </w:rPr>
        <w:t>If the plane of maximum draught for Zone 3</w:t>
      </w:r>
      <w:r w:rsidR="00BA095D" w:rsidRPr="00C903F8">
        <w:rPr>
          <w:lang w:val="en-US"/>
        </w:rPr>
        <w:t xml:space="preserve"> </w:t>
      </w:r>
      <w:r w:rsidRPr="00C903F8">
        <w:rPr>
          <w:lang w:val="en-US"/>
        </w:rPr>
        <w:t>of a vessel is determined by assuming that the holds may be closed in such a way as to make them spray-proof and weathertight, and if the distance between the plane of maximum draught and the upper edge of the coamings is less than 500</w:t>
      </w:r>
      <w:r w:rsidR="00C20E00" w:rsidRPr="00C903F8">
        <w:rPr>
          <w:lang w:val="en-US"/>
        </w:rPr>
        <w:t> </w:t>
      </w:r>
      <w:r w:rsidRPr="00C903F8">
        <w:rPr>
          <w:lang w:val="en-US"/>
        </w:rPr>
        <w:t>mm, the maximum draught for sailing with uncovered holds shall be determined.</w:t>
      </w:r>
    </w:p>
    <w:p w:rsidR="00500018" w:rsidRPr="00C903F8" w:rsidRDefault="00500018" w:rsidP="00320866">
      <w:pPr>
        <w:pStyle w:val="ESgauche"/>
        <w:rPr>
          <w:lang w:val="en-US"/>
        </w:rPr>
      </w:pPr>
    </w:p>
    <w:p w:rsidR="006025D0" w:rsidRPr="00C903F8" w:rsidRDefault="006025D0" w:rsidP="00320866">
      <w:pPr>
        <w:pStyle w:val="ESgauche"/>
        <w:rPr>
          <w:lang w:val="en-US"/>
        </w:rPr>
      </w:pPr>
      <w:r w:rsidRPr="00C903F8">
        <w:rPr>
          <w:lang w:val="en-US"/>
        </w:rPr>
        <w:t>The following statement shall be entered on the inland navigation vessel certificate:</w:t>
      </w:r>
    </w:p>
    <w:p w:rsidR="00500018" w:rsidRPr="00C903F8" w:rsidRDefault="00500018" w:rsidP="006025D0">
      <w:pPr>
        <w:rPr>
          <w:lang w:val="en-US"/>
        </w:rPr>
      </w:pPr>
    </w:p>
    <w:p w:rsidR="006025D0" w:rsidRPr="00C903F8" w:rsidRDefault="004271FC" w:rsidP="00500018">
      <w:pPr>
        <w:jc w:val="center"/>
        <w:rPr>
          <w:lang w:val="en-US"/>
        </w:rPr>
      </w:pPr>
      <w:r w:rsidRPr="00C903F8">
        <w:rPr>
          <w:lang w:val="en-US"/>
        </w:rPr>
        <w:t>’</w:t>
      </w:r>
      <w:r w:rsidR="006025D0" w:rsidRPr="00C903F8">
        <w:rPr>
          <w:lang w:val="en-US"/>
        </w:rPr>
        <w:t>Where the hold hatches are totally or partly uncovered the vessel may only be loaded up to ... mm below the draught marks for Zone 3</w:t>
      </w:r>
      <w:r w:rsidR="00BA095D" w:rsidRPr="00C903F8">
        <w:rPr>
          <w:lang w:val="en-US"/>
        </w:rPr>
        <w:t xml:space="preserve"> </w:t>
      </w:r>
      <w:r w:rsidR="00853731" w:rsidRPr="00C903F8">
        <w:rPr>
          <w:lang w:val="en-US"/>
        </w:rPr>
        <w:t>/</w:t>
      </w:r>
      <w:r w:rsidR="00C20E00" w:rsidRPr="00C903F8">
        <w:rPr>
          <w:noProof/>
          <w:lang w:val="en-GB"/>
        </w:rPr>
        <w:t xml:space="preserve"> Z</w:t>
      </w:r>
      <w:r w:rsidR="00BA095D" w:rsidRPr="00C903F8">
        <w:rPr>
          <w:noProof/>
          <w:lang w:val="en-GB"/>
        </w:rPr>
        <w:t>one R</w:t>
      </w:r>
      <w:r w:rsidR="006025D0" w:rsidRPr="00C903F8">
        <w:rPr>
          <w:lang w:val="en-US"/>
        </w:rPr>
        <w:t>.</w:t>
      </w:r>
      <w:r w:rsidRPr="00C903F8">
        <w:rPr>
          <w:lang w:val="en-US"/>
        </w:rPr>
        <w:t>’</w:t>
      </w:r>
    </w:p>
    <w:p w:rsidR="006025D0" w:rsidRPr="00C903F8" w:rsidRDefault="006025D0" w:rsidP="006025D0">
      <w:pPr>
        <w:rPr>
          <w:lang w:val="en-US"/>
        </w:rPr>
      </w:pPr>
    </w:p>
    <w:p w:rsidR="00500018" w:rsidRPr="00C903F8" w:rsidRDefault="00500018" w:rsidP="006025D0">
      <w:pPr>
        <w:rPr>
          <w:lang w:val="en-US"/>
        </w:rPr>
      </w:pPr>
    </w:p>
    <w:p w:rsidR="006025D0" w:rsidRPr="00C903F8" w:rsidRDefault="006025D0" w:rsidP="00500018">
      <w:pPr>
        <w:pStyle w:val="ES-Titre3"/>
        <w:rPr>
          <w:i/>
          <w:lang w:val="en-US"/>
        </w:rPr>
      </w:pPr>
      <w:bookmarkStart w:id="25" w:name="_Toc491854019"/>
      <w:r w:rsidRPr="00C903F8">
        <w:rPr>
          <w:noProof/>
          <w:lang w:val="en-US"/>
        </w:rPr>
        <w:t>Article 4.06</w:t>
      </w:r>
      <w:r w:rsidRPr="00C903F8">
        <w:rPr>
          <w:noProof/>
          <w:lang w:val="en-US"/>
        </w:rPr>
        <w:br/>
      </w:r>
      <w:r w:rsidRPr="00C903F8">
        <w:rPr>
          <w:i/>
          <w:noProof/>
          <w:lang w:val="en-US"/>
        </w:rPr>
        <w:t>Draught scales</w:t>
      </w:r>
      <w:bookmarkEnd w:id="25"/>
    </w:p>
    <w:p w:rsidR="00500018" w:rsidRPr="00C903F8" w:rsidRDefault="00500018" w:rsidP="00320866">
      <w:pPr>
        <w:pStyle w:val="ESch"/>
        <w:rPr>
          <w:noProof/>
          <w:lang w:val="en-GB"/>
        </w:rPr>
      </w:pPr>
    </w:p>
    <w:p w:rsidR="006025D0" w:rsidRPr="00C903F8" w:rsidRDefault="006025D0" w:rsidP="00320866">
      <w:pPr>
        <w:pStyle w:val="ESch"/>
        <w:rPr>
          <w:lang w:val="en-GB"/>
        </w:rPr>
      </w:pPr>
      <w:r w:rsidRPr="00C903F8">
        <w:rPr>
          <w:noProof/>
          <w:lang w:val="en-GB"/>
        </w:rPr>
        <w:t>1.</w:t>
      </w:r>
      <w:r w:rsidRPr="00C903F8">
        <w:rPr>
          <w:noProof/>
          <w:lang w:val="en-GB"/>
        </w:rPr>
        <w:tab/>
        <w:t>Vessels whose draught may exceed 1 m shall bear a draught scale on each of their sides towards the stern; they may bear additional draught scales.</w:t>
      </w:r>
    </w:p>
    <w:p w:rsidR="00500018" w:rsidRPr="00C903F8" w:rsidRDefault="00500018" w:rsidP="00320866">
      <w:pPr>
        <w:pStyle w:val="ESch"/>
        <w:rPr>
          <w:noProof/>
          <w:lang w:val="en-GB"/>
        </w:rPr>
      </w:pPr>
    </w:p>
    <w:p w:rsidR="006025D0" w:rsidRPr="00C903F8" w:rsidRDefault="006025D0" w:rsidP="00320866">
      <w:pPr>
        <w:pStyle w:val="ESch"/>
        <w:rPr>
          <w:lang w:val="en-US"/>
        </w:rPr>
      </w:pPr>
      <w:r w:rsidRPr="00C903F8">
        <w:rPr>
          <w:noProof/>
          <w:lang w:val="en-GB"/>
        </w:rPr>
        <w:t>2.</w:t>
      </w:r>
      <w:r w:rsidRPr="00C903F8">
        <w:rPr>
          <w:noProof/>
          <w:lang w:val="en-GB"/>
        </w:rPr>
        <w:tab/>
        <w:t>The zero points on each draught scale shall be taken vertically to this within the plane running parallel to the plane of maximum draught passing through the lowest point of the hull or of the keel where such exists. The vertical distance above the zero point shall be graduated in decimetres. That graduation shall be located on each scale, from the unladen water line up to 100</w:t>
      </w:r>
      <w:r w:rsidR="00450DA2" w:rsidRPr="00C903F8">
        <w:rPr>
          <w:noProof/>
          <w:lang w:val="en-GB"/>
        </w:rPr>
        <w:t> </w:t>
      </w:r>
      <w:r w:rsidRPr="00C903F8">
        <w:rPr>
          <w:noProof/>
          <w:lang w:val="en-GB"/>
        </w:rPr>
        <w:t>mm above the maximum draught by means of punched or chiselled marks, and shall be painted in the form of a highly-visible band in two alternating colours. That graduation shall be identified by figures at a distance of every five decimetres marked next to the scale as well as at the top of the scale.</w:t>
      </w:r>
    </w:p>
    <w:p w:rsidR="00500018" w:rsidRPr="00C903F8" w:rsidRDefault="00500018" w:rsidP="00320866">
      <w:pPr>
        <w:pStyle w:val="ESch"/>
        <w:rPr>
          <w:noProof/>
          <w:lang w:val="en-GB"/>
        </w:rPr>
      </w:pPr>
    </w:p>
    <w:p w:rsidR="006025D0" w:rsidRPr="00C903F8" w:rsidRDefault="006025D0" w:rsidP="00320866">
      <w:pPr>
        <w:pStyle w:val="ESch"/>
        <w:rPr>
          <w:lang w:val="en-US"/>
        </w:rPr>
      </w:pPr>
      <w:r w:rsidRPr="00C903F8">
        <w:rPr>
          <w:noProof/>
          <w:lang w:val="en-GB"/>
        </w:rPr>
        <w:t>3.</w:t>
      </w:r>
      <w:r w:rsidRPr="00C903F8">
        <w:rPr>
          <w:noProof/>
          <w:lang w:val="en-GB"/>
        </w:rPr>
        <w:tab/>
        <w:t>The two stern measurement scales affixed pursuant to the Convention referred to in Article</w:t>
      </w:r>
      <w:r w:rsidR="00275ADD" w:rsidRPr="00C903F8">
        <w:rPr>
          <w:noProof/>
          <w:lang w:val="en-GB"/>
        </w:rPr>
        <w:t> </w:t>
      </w:r>
      <w:r w:rsidRPr="00C903F8">
        <w:rPr>
          <w:noProof/>
          <w:lang w:val="en-GB"/>
        </w:rPr>
        <w:t>4.04(</w:t>
      </w:r>
      <w:r w:rsidR="00853731" w:rsidRPr="00C903F8">
        <w:rPr>
          <w:noProof/>
          <w:lang w:val="en-GB"/>
        </w:rPr>
        <w:t>7</w:t>
      </w:r>
      <w:r w:rsidRPr="00C903F8">
        <w:rPr>
          <w:noProof/>
          <w:lang w:val="en-GB"/>
        </w:rPr>
        <w:t>), may replace the draught scales, provided that they include a graduation that meets the requirements plus, where appropriate, figures indicating the draught.</w:t>
      </w:r>
    </w:p>
    <w:p w:rsidR="00745DD2" w:rsidRPr="00C903F8" w:rsidRDefault="00745DD2" w:rsidP="00E1027C">
      <w:pPr>
        <w:spacing w:line="240" w:lineRule="atLeast"/>
        <w:rPr>
          <w:rFonts w:eastAsia="Calibri"/>
          <w:lang w:val="en-US" w:eastAsia="en-US"/>
        </w:rPr>
      </w:pPr>
    </w:p>
    <w:p w:rsidR="001F1A9D" w:rsidRPr="00C903F8" w:rsidRDefault="001F1A9D" w:rsidP="00745DD2">
      <w:pPr>
        <w:pStyle w:val="ES-Titre3"/>
        <w:spacing w:line="240" w:lineRule="atLeast"/>
        <w:jc w:val="both"/>
        <w:rPr>
          <w:b w:val="0"/>
          <w:sz w:val="20"/>
          <w:lang w:val="en-US"/>
        </w:rPr>
      </w:pPr>
    </w:p>
    <w:p w:rsidR="005E15D4" w:rsidRPr="00C903F8" w:rsidRDefault="005E15D4" w:rsidP="005E15D4">
      <w:pPr>
        <w:pStyle w:val="ES-Titre3"/>
        <w:rPr>
          <w:i/>
          <w:lang w:val="en-US"/>
        </w:rPr>
      </w:pPr>
      <w:bookmarkStart w:id="26" w:name="_Toc491854020"/>
      <w:r w:rsidRPr="00C903F8">
        <w:rPr>
          <w:noProof/>
          <w:lang w:val="en-US"/>
        </w:rPr>
        <w:t>Article 4.0</w:t>
      </w:r>
      <w:r w:rsidR="00D46600" w:rsidRPr="00C903F8">
        <w:rPr>
          <w:noProof/>
          <w:lang w:val="en-US"/>
        </w:rPr>
        <w:t>7</w:t>
      </w:r>
      <w:r w:rsidRPr="00C903F8">
        <w:rPr>
          <w:noProof/>
          <w:lang w:val="en-US"/>
        </w:rPr>
        <w:br/>
      </w:r>
      <w:r w:rsidRPr="00C903F8">
        <w:rPr>
          <w:i/>
          <w:noProof/>
          <w:lang w:val="en-US"/>
        </w:rPr>
        <w:t>Specific requirements applicable to vessels navigating on zone 4 waterways</w:t>
      </w:r>
      <w:bookmarkEnd w:id="26"/>
    </w:p>
    <w:p w:rsidR="00745DD2" w:rsidRPr="00C903F8" w:rsidRDefault="00745DD2" w:rsidP="00745DD2">
      <w:pPr>
        <w:pStyle w:val="ES-Titre3"/>
        <w:spacing w:line="240" w:lineRule="atLeast"/>
        <w:jc w:val="both"/>
        <w:rPr>
          <w:b w:val="0"/>
          <w:sz w:val="20"/>
          <w:lang w:val="en-US"/>
        </w:rPr>
      </w:pPr>
    </w:p>
    <w:p w:rsidR="005E15D4" w:rsidRPr="00C903F8" w:rsidRDefault="005E15D4" w:rsidP="005E15D4">
      <w:pPr>
        <w:pStyle w:val="ESch"/>
        <w:rPr>
          <w:noProof/>
          <w:lang w:val="en-GB"/>
        </w:rPr>
      </w:pPr>
      <w:r w:rsidRPr="00C903F8">
        <w:rPr>
          <w:noProof/>
          <w:lang w:val="en-GB"/>
        </w:rPr>
        <w:t xml:space="preserve">1. </w:t>
      </w:r>
      <w:r w:rsidRPr="00C903F8">
        <w:rPr>
          <w:noProof/>
          <w:lang w:val="en-GB"/>
        </w:rPr>
        <w:tab/>
        <w:t>By way of derogation from Article 4.01(1) and (2), the safety clearance of doors and openings other than hold hatches for vessels navigating on Zone 4 waterways is reduced as follows:</w:t>
      </w:r>
    </w:p>
    <w:p w:rsidR="005E15D4" w:rsidRPr="00C903F8" w:rsidRDefault="005E15D4" w:rsidP="00493339">
      <w:pPr>
        <w:pStyle w:val="ESlet"/>
        <w:rPr>
          <w:noProof/>
          <w:lang w:val="en-GB"/>
        </w:rPr>
      </w:pPr>
      <w:r w:rsidRPr="00C903F8">
        <w:rPr>
          <w:noProof/>
          <w:lang w:val="en-GB"/>
        </w:rPr>
        <w:t>a)</w:t>
      </w:r>
      <w:r w:rsidRPr="00C903F8">
        <w:rPr>
          <w:noProof/>
          <w:lang w:val="en-GB"/>
        </w:rPr>
        <w:tab/>
        <w:t>for openings which can be closed spray-proof and weathertight, to 150 mm;</w:t>
      </w:r>
    </w:p>
    <w:p w:rsidR="005E15D4" w:rsidRPr="00C903F8" w:rsidRDefault="005E15D4" w:rsidP="00493339">
      <w:pPr>
        <w:pStyle w:val="ESlet"/>
        <w:rPr>
          <w:noProof/>
          <w:lang w:val="en-GB"/>
        </w:rPr>
      </w:pPr>
      <w:r w:rsidRPr="00C903F8">
        <w:rPr>
          <w:noProof/>
          <w:lang w:val="en-GB"/>
        </w:rPr>
        <w:t>b)</w:t>
      </w:r>
      <w:r w:rsidRPr="00C903F8">
        <w:rPr>
          <w:noProof/>
          <w:lang w:val="en-GB"/>
        </w:rPr>
        <w:tab/>
        <w:t>for openings which cannot be closed spray-proof and weathertight, to 200 mm.</w:t>
      </w:r>
    </w:p>
    <w:p w:rsidR="005E15D4" w:rsidRPr="00C903F8" w:rsidRDefault="005E15D4" w:rsidP="005E15D4">
      <w:pPr>
        <w:pStyle w:val="ESch"/>
        <w:rPr>
          <w:noProof/>
          <w:lang w:val="en-GB"/>
        </w:rPr>
      </w:pPr>
    </w:p>
    <w:p w:rsidR="00745DD2" w:rsidRPr="00C903F8" w:rsidRDefault="005E15D4" w:rsidP="005E15D4">
      <w:pPr>
        <w:pStyle w:val="ESch"/>
        <w:rPr>
          <w:noProof/>
          <w:lang w:val="en-GB"/>
        </w:rPr>
      </w:pPr>
      <w:r w:rsidRPr="00C903F8">
        <w:rPr>
          <w:noProof/>
          <w:lang w:val="en-GB"/>
        </w:rPr>
        <w:t xml:space="preserve">2. </w:t>
      </w:r>
      <w:r w:rsidRPr="00C903F8">
        <w:rPr>
          <w:noProof/>
          <w:lang w:val="en-GB"/>
        </w:rPr>
        <w:tab/>
        <w:t>By way of derogation from Article 4.02, the minimum freeboard of vessels navigating on Zone 4 waterways is 0 mm, if the safety clearance according to (1) is respected.</w:t>
      </w:r>
    </w:p>
    <w:p w:rsidR="00A60727" w:rsidRPr="00C903F8" w:rsidRDefault="00A60727" w:rsidP="005E15D4">
      <w:pPr>
        <w:pStyle w:val="ESch"/>
        <w:rPr>
          <w:noProof/>
          <w:lang w:val="en-GB"/>
        </w:rPr>
      </w:pPr>
    </w:p>
    <w:p w:rsidR="00A60727" w:rsidRPr="00C903F8" w:rsidRDefault="00A60727" w:rsidP="005E15D4">
      <w:pPr>
        <w:pStyle w:val="ESch"/>
        <w:rPr>
          <w:noProof/>
          <w:lang w:val="en-GB"/>
        </w:rPr>
      </w:pPr>
    </w:p>
    <w:p w:rsidR="006D6907" w:rsidRPr="00C903F8" w:rsidRDefault="006D6907" w:rsidP="005E15D4">
      <w:pPr>
        <w:pStyle w:val="ESch"/>
        <w:rPr>
          <w:noProof/>
          <w:lang w:val="en-GB"/>
        </w:rPr>
      </w:pPr>
      <w:r w:rsidRPr="00C903F8">
        <w:rPr>
          <w:noProof/>
          <w:lang w:val="en-GB"/>
        </w:rPr>
        <w:br w:type="page"/>
      </w:r>
    </w:p>
    <w:p w:rsidR="006D6907" w:rsidRPr="00C903F8" w:rsidRDefault="006D6907" w:rsidP="005E15D4">
      <w:pPr>
        <w:pStyle w:val="ESch"/>
        <w:rPr>
          <w:noProof/>
          <w:lang w:val="en-GB"/>
        </w:rPr>
      </w:pPr>
    </w:p>
    <w:p w:rsidR="006D6907" w:rsidRPr="00C903F8" w:rsidRDefault="006D6907" w:rsidP="005E15D4">
      <w:pPr>
        <w:pStyle w:val="ESch"/>
        <w:rPr>
          <w:noProof/>
          <w:lang w:val="en-GB"/>
        </w:rPr>
      </w:pPr>
    </w:p>
    <w:p w:rsidR="00A60727" w:rsidRPr="00C903F8" w:rsidRDefault="00A60727" w:rsidP="005E15D4">
      <w:pPr>
        <w:pStyle w:val="ESch"/>
        <w:rPr>
          <w:noProof/>
          <w:lang w:val="en-GB"/>
        </w:rPr>
      </w:pPr>
    </w:p>
    <w:p w:rsidR="00A06CEC" w:rsidRPr="00C903F8" w:rsidRDefault="00A06CEC" w:rsidP="00E1027C">
      <w:pPr>
        <w:pStyle w:val="ES-Titre2"/>
      </w:pPr>
      <w:bookmarkStart w:id="27" w:name="_Toc491854021"/>
      <w:r w:rsidRPr="00C903F8">
        <w:lastRenderedPageBreak/>
        <w:t>C</w:t>
      </w:r>
      <w:r w:rsidR="00500018" w:rsidRPr="00C903F8">
        <w:t>hap</w:t>
      </w:r>
      <w:r w:rsidR="00901A3D" w:rsidRPr="00C903F8">
        <w:t>ter</w:t>
      </w:r>
      <w:r w:rsidRPr="00C903F8">
        <w:t xml:space="preserve"> 5</w:t>
      </w:r>
      <w:r w:rsidRPr="00C903F8">
        <w:br/>
        <w:t>Manoeuv</w:t>
      </w:r>
      <w:r w:rsidR="00500018" w:rsidRPr="00C903F8">
        <w:t>rability</w:t>
      </w:r>
      <w:bookmarkEnd w:id="27"/>
    </w:p>
    <w:p w:rsidR="00745DD2" w:rsidRPr="00C903F8" w:rsidRDefault="00745DD2" w:rsidP="00E1027C">
      <w:pPr>
        <w:pStyle w:val="ES-Titre3"/>
        <w:spacing w:line="240" w:lineRule="atLeast"/>
        <w:rPr>
          <w:lang w:val="en-US"/>
        </w:rPr>
      </w:pPr>
    </w:p>
    <w:p w:rsidR="00500018" w:rsidRPr="00C903F8" w:rsidRDefault="00500018" w:rsidP="00500018">
      <w:pPr>
        <w:pStyle w:val="ES-Titre3"/>
        <w:rPr>
          <w:lang w:val="en-US"/>
        </w:rPr>
      </w:pPr>
      <w:bookmarkStart w:id="28" w:name="_Toc491854022"/>
      <w:r w:rsidRPr="00C903F8">
        <w:rPr>
          <w:noProof/>
          <w:lang w:val="en-US"/>
        </w:rPr>
        <w:t>Article 5.01</w:t>
      </w:r>
      <w:r w:rsidRPr="00C903F8">
        <w:rPr>
          <w:noProof/>
          <w:lang w:val="en-US"/>
        </w:rPr>
        <w:br/>
      </w:r>
      <w:r w:rsidRPr="00C903F8">
        <w:rPr>
          <w:bCs/>
          <w:i/>
          <w:noProof/>
          <w:lang w:val="en-US"/>
        </w:rPr>
        <w:t>General</w:t>
      </w:r>
      <w:bookmarkEnd w:id="28"/>
    </w:p>
    <w:p w:rsidR="00500018" w:rsidRPr="00C903F8" w:rsidRDefault="00500018" w:rsidP="00500018">
      <w:pPr>
        <w:rPr>
          <w:noProof/>
          <w:szCs w:val="20"/>
          <w:lang w:val="en-GB"/>
        </w:rPr>
      </w:pPr>
    </w:p>
    <w:p w:rsidR="00500018" w:rsidRPr="00C903F8" w:rsidRDefault="00F64273" w:rsidP="000225FB">
      <w:pPr>
        <w:pStyle w:val="ESch"/>
        <w:rPr>
          <w:lang w:val="en-US"/>
        </w:rPr>
      </w:pPr>
      <w:r w:rsidRPr="00C903F8">
        <w:rPr>
          <w:lang w:val="en-US"/>
        </w:rPr>
        <w:t>1.</w:t>
      </w:r>
      <w:r w:rsidRPr="00C903F8">
        <w:rPr>
          <w:lang w:val="en-US"/>
        </w:rPr>
        <w:tab/>
      </w:r>
      <w:r w:rsidR="00500018" w:rsidRPr="00C903F8">
        <w:rPr>
          <w:lang w:val="en-US"/>
        </w:rPr>
        <w:t>Vessels and convoys shall display adequate navigability and manoeuvrability.</w:t>
      </w:r>
    </w:p>
    <w:p w:rsidR="00500018" w:rsidRPr="00C903F8" w:rsidRDefault="00500018" w:rsidP="000225FB">
      <w:pPr>
        <w:pStyle w:val="ESch"/>
        <w:rPr>
          <w:lang w:val="en-US"/>
        </w:rPr>
      </w:pPr>
    </w:p>
    <w:p w:rsidR="00500018" w:rsidRPr="00C903F8" w:rsidRDefault="00F64273" w:rsidP="000225FB">
      <w:pPr>
        <w:pStyle w:val="ESch"/>
        <w:rPr>
          <w:lang w:val="en-US"/>
        </w:rPr>
      </w:pPr>
      <w:r w:rsidRPr="00C903F8">
        <w:rPr>
          <w:lang w:val="en-US"/>
        </w:rPr>
        <w:t>2.</w:t>
      </w:r>
      <w:r w:rsidRPr="00C903F8">
        <w:rPr>
          <w:lang w:val="en-US"/>
        </w:rPr>
        <w:tab/>
      </w:r>
      <w:r w:rsidR="00500018" w:rsidRPr="00C903F8">
        <w:rPr>
          <w:lang w:val="en-US"/>
        </w:rPr>
        <w:t>Unpowered vessels intended to be towed shall meet the specific requirements laid down by the inspection body.</w:t>
      </w:r>
    </w:p>
    <w:p w:rsidR="00500018" w:rsidRPr="00C903F8" w:rsidRDefault="00500018" w:rsidP="000225FB">
      <w:pPr>
        <w:pStyle w:val="ESch"/>
        <w:rPr>
          <w:lang w:val="en-US"/>
        </w:rPr>
      </w:pPr>
    </w:p>
    <w:p w:rsidR="00500018" w:rsidRPr="00C903F8" w:rsidRDefault="00F64273" w:rsidP="000225FB">
      <w:pPr>
        <w:pStyle w:val="ESch"/>
        <w:rPr>
          <w:lang w:val="en-US"/>
        </w:rPr>
      </w:pPr>
      <w:r w:rsidRPr="00C903F8">
        <w:rPr>
          <w:lang w:val="en-US"/>
        </w:rPr>
        <w:t>3.</w:t>
      </w:r>
      <w:r w:rsidRPr="00C903F8">
        <w:rPr>
          <w:lang w:val="en-US"/>
        </w:rPr>
        <w:tab/>
      </w:r>
      <w:r w:rsidR="00500018" w:rsidRPr="00C903F8">
        <w:rPr>
          <w:lang w:val="en-US"/>
        </w:rPr>
        <w:t>Powered vessels and convoys shall meet the requirements set out in Articles 5.02 to 5.10.</w:t>
      </w:r>
    </w:p>
    <w:p w:rsidR="00500018" w:rsidRPr="00C903F8" w:rsidRDefault="00500018" w:rsidP="00065064">
      <w:pPr>
        <w:pStyle w:val="ESch"/>
        <w:rPr>
          <w:lang w:val="en-US"/>
        </w:rPr>
      </w:pPr>
    </w:p>
    <w:p w:rsidR="00500018" w:rsidRPr="00C903F8" w:rsidRDefault="00500018" w:rsidP="00500018">
      <w:pPr>
        <w:rPr>
          <w:szCs w:val="20"/>
          <w:lang w:val="en-US"/>
        </w:rPr>
      </w:pPr>
    </w:p>
    <w:p w:rsidR="00500018" w:rsidRPr="00C903F8" w:rsidRDefault="00500018" w:rsidP="00500018">
      <w:pPr>
        <w:pStyle w:val="ES-Titre3"/>
        <w:rPr>
          <w:lang w:val="en-US"/>
        </w:rPr>
      </w:pPr>
      <w:bookmarkStart w:id="29" w:name="_Toc491854023"/>
      <w:r w:rsidRPr="00C903F8">
        <w:rPr>
          <w:noProof/>
          <w:lang w:val="en-US"/>
        </w:rPr>
        <w:t>Article 5.02</w:t>
      </w:r>
      <w:r w:rsidRPr="00C903F8">
        <w:rPr>
          <w:noProof/>
          <w:lang w:val="en-US"/>
        </w:rPr>
        <w:br/>
      </w:r>
      <w:r w:rsidRPr="00C903F8">
        <w:rPr>
          <w:i/>
          <w:noProof/>
          <w:lang w:val="en-US"/>
        </w:rPr>
        <w:t>Navigation tests</w:t>
      </w:r>
      <w:bookmarkEnd w:id="29"/>
    </w:p>
    <w:p w:rsidR="00500018" w:rsidRPr="00C903F8" w:rsidRDefault="00500018" w:rsidP="00320866">
      <w:pPr>
        <w:pStyle w:val="ESch"/>
        <w:rPr>
          <w:noProof/>
          <w:lang w:val="en-GB"/>
        </w:rPr>
      </w:pPr>
    </w:p>
    <w:p w:rsidR="00500018" w:rsidRPr="00C903F8" w:rsidRDefault="00500018" w:rsidP="00320866">
      <w:pPr>
        <w:pStyle w:val="ESch"/>
        <w:rPr>
          <w:lang w:val="en-US"/>
        </w:rPr>
      </w:pPr>
      <w:r w:rsidRPr="00C903F8">
        <w:rPr>
          <w:noProof/>
          <w:lang w:val="en-GB"/>
        </w:rPr>
        <w:t>1.</w:t>
      </w:r>
      <w:r w:rsidRPr="00C903F8">
        <w:rPr>
          <w:noProof/>
          <w:lang w:val="en-GB"/>
        </w:rPr>
        <w:tab/>
        <w:t>Navigability and manoeuvrability shall be checked by means of navigation tests. Compliance with the requirements of Articles 5.06 to 5.10 shall, in particular, be examined.</w:t>
      </w:r>
    </w:p>
    <w:p w:rsidR="00500018" w:rsidRPr="00C903F8" w:rsidRDefault="00500018" w:rsidP="00320866">
      <w:pPr>
        <w:pStyle w:val="ESch"/>
        <w:rPr>
          <w:noProof/>
          <w:lang w:val="en-GB"/>
        </w:rPr>
      </w:pPr>
    </w:p>
    <w:p w:rsidR="00500018" w:rsidRPr="00C903F8" w:rsidRDefault="00500018" w:rsidP="00320866">
      <w:pPr>
        <w:pStyle w:val="ESch"/>
        <w:rPr>
          <w:lang w:val="en-US"/>
        </w:rPr>
      </w:pPr>
      <w:r w:rsidRPr="00C903F8">
        <w:rPr>
          <w:noProof/>
          <w:lang w:val="en-GB"/>
        </w:rPr>
        <w:t>2.</w:t>
      </w:r>
      <w:r w:rsidRPr="00C903F8">
        <w:rPr>
          <w:noProof/>
          <w:lang w:val="en-GB"/>
        </w:rPr>
        <w:tab/>
        <w:t>The inspection body may dispense with all or part of the tests where compliance with the navigability and manoeuvrability requirements is proven in another manner.</w:t>
      </w:r>
    </w:p>
    <w:p w:rsidR="00500018" w:rsidRPr="00C903F8" w:rsidRDefault="00500018" w:rsidP="00500018">
      <w:pPr>
        <w:rPr>
          <w:szCs w:val="20"/>
          <w:lang w:val="en-US"/>
        </w:rPr>
      </w:pPr>
    </w:p>
    <w:p w:rsidR="00500018" w:rsidRPr="00C903F8" w:rsidRDefault="00500018" w:rsidP="00500018">
      <w:pPr>
        <w:rPr>
          <w:szCs w:val="20"/>
          <w:lang w:val="en-US"/>
        </w:rPr>
      </w:pPr>
    </w:p>
    <w:p w:rsidR="00500018" w:rsidRPr="00C903F8" w:rsidRDefault="00500018" w:rsidP="00500018">
      <w:pPr>
        <w:pStyle w:val="ES-Titre3"/>
        <w:rPr>
          <w:lang w:val="en-GB"/>
        </w:rPr>
      </w:pPr>
      <w:bookmarkStart w:id="30" w:name="_Toc491854024"/>
      <w:r w:rsidRPr="00C903F8">
        <w:rPr>
          <w:noProof/>
          <w:lang w:val="en-US"/>
        </w:rPr>
        <w:t>Article 5.03</w:t>
      </w:r>
      <w:r w:rsidRPr="00C903F8">
        <w:rPr>
          <w:noProof/>
          <w:lang w:val="en-US"/>
        </w:rPr>
        <w:br/>
      </w:r>
      <w:r w:rsidRPr="00C903F8">
        <w:rPr>
          <w:bCs/>
          <w:i/>
          <w:noProof/>
          <w:lang w:val="en-US"/>
        </w:rPr>
        <w:t>Test area</w:t>
      </w:r>
      <w:bookmarkEnd w:id="30"/>
    </w:p>
    <w:p w:rsidR="00500018" w:rsidRPr="00C903F8" w:rsidRDefault="00500018" w:rsidP="00320866">
      <w:pPr>
        <w:pStyle w:val="ESch"/>
        <w:rPr>
          <w:noProof/>
          <w:lang w:val="en-GB"/>
        </w:rPr>
      </w:pPr>
    </w:p>
    <w:p w:rsidR="00500018" w:rsidRPr="00C903F8" w:rsidRDefault="00500018" w:rsidP="00320866">
      <w:pPr>
        <w:pStyle w:val="ESch"/>
        <w:rPr>
          <w:lang w:val="en-GB"/>
        </w:rPr>
      </w:pPr>
      <w:r w:rsidRPr="00C903F8">
        <w:rPr>
          <w:noProof/>
          <w:lang w:val="en-GB"/>
        </w:rPr>
        <w:t>1.</w:t>
      </w:r>
      <w:r w:rsidRPr="00C903F8">
        <w:rPr>
          <w:noProof/>
          <w:lang w:val="en-GB"/>
        </w:rPr>
        <w:tab/>
        <w:t>The navigation tests referred to in Article 5.02 shall be carried out on areas of inland waterways that have been designated by the competent authorities.</w:t>
      </w:r>
    </w:p>
    <w:p w:rsidR="00500018" w:rsidRPr="00C903F8" w:rsidRDefault="00500018" w:rsidP="00320866">
      <w:pPr>
        <w:pStyle w:val="ESch"/>
        <w:rPr>
          <w:noProof/>
          <w:lang w:val="en-GB"/>
        </w:rPr>
      </w:pPr>
    </w:p>
    <w:p w:rsidR="00500018" w:rsidRPr="00C903F8" w:rsidRDefault="00500018" w:rsidP="00320866">
      <w:pPr>
        <w:pStyle w:val="ESch"/>
        <w:rPr>
          <w:lang w:val="en-GB"/>
        </w:rPr>
      </w:pPr>
      <w:r w:rsidRPr="00C903F8">
        <w:rPr>
          <w:noProof/>
          <w:lang w:val="en-GB"/>
        </w:rPr>
        <w:t>2.</w:t>
      </w:r>
      <w:r w:rsidRPr="00C903F8">
        <w:rPr>
          <w:noProof/>
          <w:lang w:val="en-GB"/>
        </w:rPr>
        <w:tab/>
        <w:t>Those test areas shall be situated on a stretch of flowing or standing water that is if possible straight, at least 2 km long and sufficiently wide and is equipped with highly-distinctive marks for determining the position of the vessel.</w:t>
      </w:r>
    </w:p>
    <w:p w:rsidR="00500018" w:rsidRPr="00C903F8" w:rsidRDefault="00500018" w:rsidP="00320866">
      <w:pPr>
        <w:pStyle w:val="ESch"/>
        <w:rPr>
          <w:noProof/>
          <w:lang w:val="en-GB"/>
        </w:rPr>
      </w:pPr>
    </w:p>
    <w:p w:rsidR="00500018" w:rsidRPr="00C903F8" w:rsidRDefault="00500018" w:rsidP="00320866">
      <w:pPr>
        <w:pStyle w:val="ESch"/>
        <w:rPr>
          <w:lang w:val="en-US"/>
        </w:rPr>
      </w:pPr>
      <w:r w:rsidRPr="00C903F8">
        <w:rPr>
          <w:noProof/>
          <w:lang w:val="en-GB"/>
        </w:rPr>
        <w:t>3.</w:t>
      </w:r>
      <w:r w:rsidRPr="00C903F8">
        <w:rPr>
          <w:noProof/>
          <w:lang w:val="en-GB"/>
        </w:rPr>
        <w:tab/>
      </w:r>
      <w:r w:rsidR="00FA4437" w:rsidRPr="00533168">
        <w:rPr>
          <w:rFonts w:cs="Arial"/>
          <w:iCs/>
          <w:szCs w:val="20"/>
          <w:lang w:val="en-US"/>
        </w:rPr>
        <w:t xml:space="preserve">It shall be possible for the inspection body to plot the hydrological data such as depth of water, width </w:t>
      </w:r>
      <w:r w:rsidR="00FA4437" w:rsidRPr="003B0440">
        <w:rPr>
          <w:rFonts w:cs="Arial"/>
          <w:iCs/>
          <w:szCs w:val="20"/>
          <w:lang w:val="en-US"/>
        </w:rPr>
        <w:t>of fairway</w:t>
      </w:r>
      <w:r w:rsidR="00FA4437" w:rsidRPr="00533168">
        <w:rPr>
          <w:rFonts w:cs="Arial"/>
          <w:iCs/>
          <w:szCs w:val="20"/>
          <w:lang w:val="en-US"/>
        </w:rPr>
        <w:t xml:space="preserve"> and average speed of the current in the navigation area as a function of the various water levels.</w:t>
      </w:r>
    </w:p>
    <w:p w:rsidR="00500018" w:rsidRPr="00C903F8" w:rsidRDefault="00500018" w:rsidP="00320866">
      <w:pPr>
        <w:pStyle w:val="ESch"/>
        <w:rPr>
          <w:lang w:val="en-US"/>
        </w:rPr>
      </w:pPr>
    </w:p>
    <w:p w:rsidR="00500018" w:rsidRPr="00C903F8" w:rsidRDefault="00500018" w:rsidP="00533048">
      <w:pPr>
        <w:pStyle w:val="ESch"/>
        <w:rPr>
          <w:lang w:val="en-US"/>
        </w:rPr>
      </w:pPr>
    </w:p>
    <w:p w:rsidR="00500018" w:rsidRPr="00C903F8" w:rsidRDefault="00500018" w:rsidP="00500018">
      <w:pPr>
        <w:pStyle w:val="ES-Titre3"/>
        <w:rPr>
          <w:lang w:val="en-GB"/>
        </w:rPr>
      </w:pPr>
      <w:bookmarkStart w:id="31" w:name="_Toc491854025"/>
      <w:r w:rsidRPr="00C903F8">
        <w:rPr>
          <w:noProof/>
          <w:lang w:val="en-GB"/>
        </w:rPr>
        <w:t>Article 5.04</w:t>
      </w:r>
      <w:r w:rsidRPr="00C903F8">
        <w:rPr>
          <w:noProof/>
          <w:lang w:val="en-GB"/>
        </w:rPr>
        <w:br/>
      </w:r>
      <w:r w:rsidRPr="00C903F8">
        <w:rPr>
          <w:bCs/>
          <w:i/>
          <w:noProof/>
          <w:lang w:val="en-GB"/>
        </w:rPr>
        <w:t>Degree of loading of vessels and convoys during navigation tests</w:t>
      </w:r>
      <w:bookmarkEnd w:id="31"/>
    </w:p>
    <w:p w:rsidR="00500018" w:rsidRPr="00C903F8" w:rsidRDefault="00500018" w:rsidP="00500018">
      <w:pPr>
        <w:ind w:left="0" w:firstLine="0"/>
        <w:rPr>
          <w:noProof/>
          <w:szCs w:val="20"/>
          <w:lang w:val="en-GB"/>
        </w:rPr>
      </w:pPr>
    </w:p>
    <w:p w:rsidR="00500018" w:rsidRPr="00C903F8" w:rsidRDefault="00500018" w:rsidP="00320866">
      <w:pPr>
        <w:pStyle w:val="ESgauche"/>
        <w:rPr>
          <w:lang w:val="en-GB"/>
        </w:rPr>
      </w:pPr>
      <w:r w:rsidRPr="00C903F8">
        <w:rPr>
          <w:lang w:val="en-GB"/>
        </w:rPr>
        <w:t>During navigation tests, vessels and convoys intended to carry goods shall be loaded to at least 70</w:t>
      </w:r>
      <w:r w:rsidR="0075795F">
        <w:rPr>
          <w:lang w:val="en-GB"/>
        </w:rPr>
        <w:t> </w:t>
      </w:r>
      <w:r w:rsidRPr="00C903F8">
        <w:rPr>
          <w:lang w:val="en-GB"/>
        </w:rPr>
        <w:t>% of their tonnage and loading, distributed in such a way as to ensure a horizontal attitude as far as possible. If the tests are carried out with a lesser load the approval for downstream navigation shall be restricted to that loading.</w:t>
      </w:r>
    </w:p>
    <w:p w:rsidR="00500018" w:rsidRPr="00C903F8" w:rsidRDefault="00500018" w:rsidP="00500018">
      <w:pPr>
        <w:ind w:left="0" w:firstLine="0"/>
        <w:rPr>
          <w:szCs w:val="20"/>
          <w:lang w:val="en-US"/>
        </w:rPr>
      </w:pPr>
      <w:r w:rsidRPr="00C903F8">
        <w:rPr>
          <w:noProof/>
          <w:szCs w:val="20"/>
          <w:lang w:val="en-GB"/>
        </w:rPr>
        <w:br w:type="page"/>
      </w:r>
    </w:p>
    <w:p w:rsidR="00500018" w:rsidRPr="00C903F8" w:rsidRDefault="00500018" w:rsidP="00500018">
      <w:pPr>
        <w:pStyle w:val="ES-Titre3"/>
        <w:rPr>
          <w:lang w:val="en-GB"/>
        </w:rPr>
      </w:pPr>
      <w:bookmarkStart w:id="32" w:name="_Toc491854026"/>
      <w:r w:rsidRPr="00C903F8">
        <w:rPr>
          <w:noProof/>
          <w:lang w:val="en-GB"/>
        </w:rPr>
        <w:lastRenderedPageBreak/>
        <w:t>Article 5.05</w:t>
      </w:r>
      <w:r w:rsidRPr="00C903F8">
        <w:rPr>
          <w:noProof/>
          <w:lang w:val="en-GB"/>
        </w:rPr>
        <w:br/>
      </w:r>
      <w:r w:rsidRPr="00C903F8">
        <w:rPr>
          <w:i/>
          <w:noProof/>
          <w:lang w:val="en-GB"/>
        </w:rPr>
        <w:t>Use of on-board facilities for navigation test</w:t>
      </w:r>
      <w:bookmarkEnd w:id="32"/>
    </w:p>
    <w:p w:rsidR="00500018" w:rsidRPr="00C903F8" w:rsidRDefault="00500018" w:rsidP="00500018">
      <w:pPr>
        <w:rPr>
          <w:noProof/>
          <w:szCs w:val="20"/>
          <w:lang w:val="en-GB"/>
        </w:rPr>
      </w:pPr>
    </w:p>
    <w:p w:rsidR="00500018" w:rsidRPr="00C903F8" w:rsidRDefault="00500018" w:rsidP="00320866">
      <w:pPr>
        <w:pStyle w:val="ESch"/>
        <w:rPr>
          <w:lang w:val="en-GB"/>
        </w:rPr>
      </w:pPr>
      <w:r w:rsidRPr="00C903F8">
        <w:rPr>
          <w:noProof/>
          <w:lang w:val="en-GB"/>
        </w:rPr>
        <w:t>1.</w:t>
      </w:r>
      <w:r w:rsidRPr="00C903F8">
        <w:rPr>
          <w:noProof/>
          <w:lang w:val="en-GB"/>
        </w:rPr>
        <w:tab/>
        <w:t xml:space="preserve">During the navigation test, all of the equipment referred to in items 34 and 52 of the </w:t>
      </w:r>
      <w:r w:rsidR="001F173C" w:rsidRPr="00C903F8">
        <w:rPr>
          <w:lang w:val="en-US"/>
        </w:rPr>
        <w:t>inland navigation vessel</w:t>
      </w:r>
      <w:r w:rsidRPr="00C903F8">
        <w:rPr>
          <w:lang w:val="en-US"/>
        </w:rPr>
        <w:t xml:space="preserve"> certificate</w:t>
      </w:r>
      <w:r w:rsidRPr="00C903F8">
        <w:rPr>
          <w:noProof/>
          <w:lang w:val="en-GB"/>
        </w:rPr>
        <w:t xml:space="preserve"> which may be actuated from the wheelhouse may be used, apart from anchors.</w:t>
      </w:r>
    </w:p>
    <w:p w:rsidR="00500018" w:rsidRPr="00C903F8" w:rsidRDefault="00500018" w:rsidP="00320866">
      <w:pPr>
        <w:pStyle w:val="ESch"/>
        <w:rPr>
          <w:noProof/>
          <w:lang w:val="en-GB"/>
        </w:rPr>
      </w:pPr>
    </w:p>
    <w:p w:rsidR="00500018" w:rsidRPr="00C903F8" w:rsidRDefault="00500018" w:rsidP="00320866">
      <w:pPr>
        <w:pStyle w:val="ESch"/>
        <w:rPr>
          <w:lang w:val="en-GB"/>
        </w:rPr>
      </w:pPr>
      <w:r w:rsidRPr="00C903F8">
        <w:rPr>
          <w:noProof/>
          <w:lang w:val="en-GB"/>
        </w:rPr>
        <w:t>2.</w:t>
      </w:r>
      <w:r w:rsidRPr="00C903F8">
        <w:rPr>
          <w:noProof/>
          <w:lang w:val="en-GB"/>
        </w:rPr>
        <w:tab/>
        <w:t>However, during the test involving turning into the current referred to in Article 5.10, bow anchors may be used.</w:t>
      </w:r>
    </w:p>
    <w:p w:rsidR="00500018" w:rsidRPr="00C903F8" w:rsidRDefault="00500018" w:rsidP="00500018">
      <w:pPr>
        <w:rPr>
          <w:szCs w:val="20"/>
          <w:lang w:val="en-US"/>
        </w:rPr>
      </w:pPr>
    </w:p>
    <w:p w:rsidR="00500018" w:rsidRPr="00C903F8" w:rsidRDefault="00500018" w:rsidP="00500018">
      <w:pPr>
        <w:pStyle w:val="ES-Titre3"/>
        <w:rPr>
          <w:lang w:val="en-US"/>
        </w:rPr>
      </w:pPr>
      <w:bookmarkStart w:id="33" w:name="_Toc491854027"/>
      <w:r w:rsidRPr="00C903F8">
        <w:rPr>
          <w:noProof/>
          <w:lang w:val="en-US"/>
        </w:rPr>
        <w:t>Article 5.06</w:t>
      </w:r>
      <w:r w:rsidRPr="00C903F8">
        <w:rPr>
          <w:noProof/>
          <w:lang w:val="en-US"/>
        </w:rPr>
        <w:br/>
      </w:r>
      <w:r w:rsidRPr="00C903F8">
        <w:rPr>
          <w:i/>
          <w:noProof/>
          <w:lang w:val="en-US"/>
        </w:rPr>
        <w:t>Prescribed (forward) speed</w:t>
      </w:r>
      <w:bookmarkEnd w:id="33"/>
    </w:p>
    <w:p w:rsidR="003D32C2" w:rsidRPr="00C903F8" w:rsidRDefault="003D32C2" w:rsidP="00500018">
      <w:pPr>
        <w:rPr>
          <w:rFonts w:cs="Arial"/>
          <w:noProof/>
          <w:szCs w:val="20"/>
          <w:lang w:val="en-GB"/>
        </w:rPr>
      </w:pPr>
    </w:p>
    <w:p w:rsidR="00500018" w:rsidRPr="00C903F8" w:rsidRDefault="00500018" w:rsidP="00320866">
      <w:pPr>
        <w:pStyle w:val="ESch"/>
        <w:rPr>
          <w:lang w:val="en-GB"/>
        </w:rPr>
      </w:pPr>
      <w:r w:rsidRPr="00C903F8">
        <w:rPr>
          <w:noProof/>
          <w:lang w:val="en-GB"/>
        </w:rPr>
        <w:t>1.</w:t>
      </w:r>
      <w:r w:rsidRPr="00C903F8">
        <w:rPr>
          <w:noProof/>
          <w:lang w:val="en-GB"/>
        </w:rPr>
        <w:tab/>
        <w:t>Vessels and convoys shall achieve a speed in relation to the water of at least 13 km/h. That condition is not mandatory where pushers are operating solo.</w:t>
      </w:r>
    </w:p>
    <w:p w:rsidR="003D32C2" w:rsidRPr="00C903F8" w:rsidRDefault="003D32C2" w:rsidP="00320866">
      <w:pPr>
        <w:pStyle w:val="ESch"/>
        <w:rPr>
          <w:noProof/>
          <w:lang w:val="en-GB"/>
        </w:rPr>
      </w:pPr>
    </w:p>
    <w:p w:rsidR="00500018" w:rsidRPr="00C903F8" w:rsidRDefault="00500018" w:rsidP="00320866">
      <w:pPr>
        <w:pStyle w:val="ESch"/>
        <w:rPr>
          <w:lang w:val="en-GB"/>
        </w:rPr>
      </w:pPr>
      <w:r w:rsidRPr="00C903F8">
        <w:rPr>
          <w:noProof/>
          <w:lang w:val="en-GB"/>
        </w:rPr>
        <w:t>2.</w:t>
      </w:r>
      <w:r w:rsidRPr="00C903F8">
        <w:rPr>
          <w:noProof/>
          <w:lang w:val="en-GB"/>
        </w:rPr>
        <w:tab/>
        <w:t xml:space="preserve">The inspection body may </w:t>
      </w:r>
      <w:r w:rsidR="00357056" w:rsidRPr="00C903F8">
        <w:rPr>
          <w:noProof/>
          <w:lang w:val="en-GB"/>
        </w:rPr>
        <w:t>allow derogations</w:t>
      </w:r>
      <w:r w:rsidRPr="00C903F8">
        <w:rPr>
          <w:noProof/>
          <w:lang w:val="en-GB"/>
        </w:rPr>
        <w:t xml:space="preserve"> to vessels and convoys operating solely in estuaries and ports.</w:t>
      </w:r>
    </w:p>
    <w:p w:rsidR="003D32C2" w:rsidRPr="00C903F8" w:rsidRDefault="003D32C2" w:rsidP="00320866">
      <w:pPr>
        <w:pStyle w:val="ESch"/>
        <w:rPr>
          <w:noProof/>
          <w:lang w:val="en-GB"/>
        </w:rPr>
      </w:pPr>
    </w:p>
    <w:p w:rsidR="00500018" w:rsidRPr="00C903F8" w:rsidRDefault="00500018" w:rsidP="00320866">
      <w:pPr>
        <w:pStyle w:val="ESch"/>
        <w:rPr>
          <w:lang w:val="en-GB"/>
        </w:rPr>
      </w:pPr>
      <w:r w:rsidRPr="00C903F8">
        <w:rPr>
          <w:noProof/>
          <w:lang w:val="en-GB"/>
        </w:rPr>
        <w:t>3.</w:t>
      </w:r>
      <w:r w:rsidRPr="00C903F8">
        <w:rPr>
          <w:noProof/>
          <w:lang w:val="en-GB"/>
        </w:rPr>
        <w:tab/>
        <w:t>The inspection body shall check if the unladen vessel is capable of exceeding a speed of 40</w:t>
      </w:r>
      <w:r w:rsidR="00CE1CF7" w:rsidRPr="00C903F8">
        <w:rPr>
          <w:noProof/>
          <w:lang w:val="en-GB"/>
        </w:rPr>
        <w:t> </w:t>
      </w:r>
      <w:r w:rsidRPr="00C903F8">
        <w:rPr>
          <w:noProof/>
          <w:lang w:val="en-GB"/>
        </w:rPr>
        <w:t xml:space="preserve">km/h in relation to water. If this can be confirmed, the following entry </w:t>
      </w:r>
      <w:r w:rsidR="004271FC" w:rsidRPr="00C903F8">
        <w:rPr>
          <w:noProof/>
          <w:lang w:val="en-GB"/>
        </w:rPr>
        <w:t>shall be entered in item</w:t>
      </w:r>
      <w:r w:rsidR="00CE1CF7" w:rsidRPr="00C903F8">
        <w:rPr>
          <w:noProof/>
          <w:lang w:val="en-GB"/>
        </w:rPr>
        <w:t> </w:t>
      </w:r>
      <w:r w:rsidR="004271FC" w:rsidRPr="00C903F8">
        <w:rPr>
          <w:noProof/>
          <w:lang w:val="en-GB"/>
        </w:rPr>
        <w:t>52 of the inland navigation vessel certificate</w:t>
      </w:r>
      <w:r w:rsidRPr="00C903F8">
        <w:rPr>
          <w:noProof/>
          <w:lang w:val="en-GB"/>
        </w:rPr>
        <w:t>:</w:t>
      </w:r>
    </w:p>
    <w:p w:rsidR="003D32C2" w:rsidRPr="00C903F8" w:rsidRDefault="003D32C2" w:rsidP="00320866">
      <w:pPr>
        <w:pStyle w:val="ESch"/>
        <w:rPr>
          <w:noProof/>
          <w:lang w:val="en-GB"/>
        </w:rPr>
      </w:pPr>
    </w:p>
    <w:p w:rsidR="00500018" w:rsidRPr="00C903F8" w:rsidRDefault="00500018" w:rsidP="003D32C2">
      <w:pPr>
        <w:jc w:val="center"/>
        <w:rPr>
          <w:rFonts w:cs="Arial"/>
          <w:szCs w:val="20"/>
          <w:lang w:val="en-GB"/>
        </w:rPr>
      </w:pPr>
      <w:r w:rsidRPr="00C903F8">
        <w:rPr>
          <w:rFonts w:cs="Arial"/>
          <w:noProof/>
          <w:szCs w:val="20"/>
          <w:lang w:val="en-GB"/>
        </w:rPr>
        <w:t>‘The vessel is capable of exceeding a speed of 40 km/h in relation to water.’</w:t>
      </w:r>
    </w:p>
    <w:p w:rsidR="00500018" w:rsidRPr="00C903F8" w:rsidRDefault="00500018" w:rsidP="00500018">
      <w:pPr>
        <w:rPr>
          <w:rFonts w:cs="Arial"/>
          <w:szCs w:val="20"/>
          <w:lang w:val="en-US"/>
        </w:rPr>
      </w:pPr>
    </w:p>
    <w:p w:rsidR="003D32C2" w:rsidRPr="00C903F8" w:rsidRDefault="003D32C2" w:rsidP="00500018">
      <w:pPr>
        <w:rPr>
          <w:rFonts w:cs="Arial"/>
          <w:szCs w:val="20"/>
          <w:lang w:val="en-US"/>
        </w:rPr>
      </w:pPr>
    </w:p>
    <w:p w:rsidR="00500018" w:rsidRPr="00C903F8" w:rsidRDefault="00500018" w:rsidP="003D32C2">
      <w:pPr>
        <w:pStyle w:val="ES-Titre3"/>
        <w:rPr>
          <w:lang w:val="en-GB"/>
        </w:rPr>
      </w:pPr>
      <w:bookmarkStart w:id="34" w:name="_Toc491854028"/>
      <w:r w:rsidRPr="00C903F8">
        <w:rPr>
          <w:noProof/>
          <w:lang w:val="en-US"/>
        </w:rPr>
        <w:t>Article 5.07</w:t>
      </w:r>
      <w:r w:rsidRPr="00C903F8">
        <w:rPr>
          <w:noProof/>
          <w:lang w:val="en-US"/>
        </w:rPr>
        <w:br/>
      </w:r>
      <w:r w:rsidRPr="00C903F8">
        <w:rPr>
          <w:i/>
          <w:noProof/>
          <w:lang w:val="en-US"/>
        </w:rPr>
        <w:t>Stopping capacity</w:t>
      </w:r>
      <w:bookmarkEnd w:id="34"/>
    </w:p>
    <w:p w:rsidR="003D32C2" w:rsidRPr="00C903F8" w:rsidRDefault="003D32C2" w:rsidP="00500018">
      <w:pPr>
        <w:rPr>
          <w:rFonts w:cs="Arial"/>
          <w:noProof/>
          <w:szCs w:val="20"/>
          <w:lang w:val="en-GB"/>
        </w:rPr>
      </w:pPr>
    </w:p>
    <w:p w:rsidR="00500018" w:rsidRPr="00C903F8" w:rsidRDefault="00500018" w:rsidP="00320866">
      <w:pPr>
        <w:pStyle w:val="ESch"/>
        <w:rPr>
          <w:lang w:val="en-GB"/>
        </w:rPr>
      </w:pPr>
      <w:r w:rsidRPr="00C903F8">
        <w:rPr>
          <w:noProof/>
          <w:lang w:val="en-GB"/>
        </w:rPr>
        <w:t>1.</w:t>
      </w:r>
      <w:r w:rsidRPr="00C903F8">
        <w:rPr>
          <w:noProof/>
          <w:lang w:val="en-GB"/>
        </w:rPr>
        <w:tab/>
        <w:t>Vessels and convoys shall be able to stop facing downstream in good time while remaining adequately manoeuvrable.</w:t>
      </w:r>
    </w:p>
    <w:p w:rsidR="003D32C2" w:rsidRPr="00C903F8" w:rsidRDefault="003D32C2" w:rsidP="00320866">
      <w:pPr>
        <w:pStyle w:val="ESch"/>
        <w:rPr>
          <w:noProof/>
          <w:lang w:val="en-GB"/>
        </w:rPr>
      </w:pPr>
    </w:p>
    <w:p w:rsidR="00500018" w:rsidRPr="00C903F8" w:rsidRDefault="00500018" w:rsidP="00320866">
      <w:pPr>
        <w:pStyle w:val="ESch"/>
        <w:rPr>
          <w:lang w:val="en-GB"/>
        </w:rPr>
      </w:pPr>
      <w:r w:rsidRPr="00C903F8">
        <w:rPr>
          <w:noProof/>
          <w:lang w:val="en-GB"/>
        </w:rPr>
        <w:t>2.</w:t>
      </w:r>
      <w:r w:rsidRPr="00C903F8">
        <w:rPr>
          <w:noProof/>
          <w:lang w:val="en-GB"/>
        </w:rPr>
        <w:tab/>
        <w:t>Where vessels and convoys</w:t>
      </w:r>
      <w:r w:rsidR="00357056" w:rsidRPr="00C903F8">
        <w:rPr>
          <w:noProof/>
          <w:lang w:val="en-GB"/>
        </w:rPr>
        <w:t xml:space="preserve"> with a lenghth </w:t>
      </w:r>
      <m:oMath>
        <m:r>
          <w:rPr>
            <w:rFonts w:ascii="Cambria Math" w:hAnsi="Cambria Math"/>
            <w:noProof/>
            <w:lang w:val="en-GB"/>
          </w:rPr>
          <m:t>L</m:t>
        </m:r>
      </m:oMath>
      <w:r w:rsidR="00357056" w:rsidRPr="00C903F8">
        <w:rPr>
          <w:noProof/>
          <w:lang w:val="en-GB"/>
        </w:rPr>
        <w:t xml:space="preserve"> of not more</w:t>
      </w:r>
      <w:r w:rsidRPr="00C903F8">
        <w:rPr>
          <w:noProof/>
          <w:lang w:val="en-GB"/>
        </w:rPr>
        <w:t xml:space="preserve"> than 86 m and</w:t>
      </w:r>
      <w:r w:rsidR="00357056" w:rsidRPr="00C903F8">
        <w:rPr>
          <w:noProof/>
          <w:lang w:val="en-GB"/>
        </w:rPr>
        <w:t xml:space="preserve"> with a</w:t>
      </w:r>
      <w:r w:rsidRPr="00C903F8">
        <w:rPr>
          <w:noProof/>
          <w:lang w:val="en-GB"/>
        </w:rPr>
        <w:t xml:space="preserve"> </w:t>
      </w:r>
      <w:r w:rsidR="006C7BF8" w:rsidRPr="00C903F8">
        <w:rPr>
          <w:noProof/>
          <w:lang w:val="en-GB"/>
        </w:rPr>
        <w:t xml:space="preserve">breadth </w:t>
      </w:r>
      <m:oMath>
        <m:r>
          <w:rPr>
            <w:rFonts w:ascii="Cambria Math" w:hAnsi="Cambria Math"/>
            <w:noProof/>
            <w:lang w:val="en-GB"/>
          </w:rPr>
          <m:t>B</m:t>
        </m:r>
      </m:oMath>
      <w:r w:rsidR="006C7BF8" w:rsidRPr="00C903F8">
        <w:rPr>
          <w:noProof/>
          <w:lang w:val="en-GB"/>
        </w:rPr>
        <w:t xml:space="preserve"> of not more</w:t>
      </w:r>
      <w:r w:rsidRPr="00C903F8">
        <w:rPr>
          <w:noProof/>
          <w:lang w:val="en-GB"/>
        </w:rPr>
        <w:t xml:space="preserve"> than 22</w:t>
      </w:r>
      <w:r w:rsidR="00CE1CF7" w:rsidRPr="00C903F8">
        <w:rPr>
          <w:noProof/>
          <w:lang w:val="en-GB"/>
        </w:rPr>
        <w:t>,</w:t>
      </w:r>
      <w:r w:rsidRPr="00C903F8">
        <w:rPr>
          <w:noProof/>
          <w:lang w:val="en-GB"/>
        </w:rPr>
        <w:t>90 m the stopping capacity mentioned above may be replaced by turning capacity.</w:t>
      </w:r>
    </w:p>
    <w:p w:rsidR="003D32C2" w:rsidRPr="00C903F8" w:rsidRDefault="003D32C2" w:rsidP="00320866">
      <w:pPr>
        <w:pStyle w:val="ESch"/>
        <w:rPr>
          <w:noProof/>
          <w:lang w:val="en-GB"/>
        </w:rPr>
      </w:pPr>
    </w:p>
    <w:p w:rsidR="00500018" w:rsidRPr="00C903F8" w:rsidRDefault="00500018" w:rsidP="00320866">
      <w:pPr>
        <w:pStyle w:val="ESch"/>
        <w:rPr>
          <w:lang w:val="en-GB"/>
        </w:rPr>
      </w:pPr>
      <w:r w:rsidRPr="00C903F8">
        <w:rPr>
          <w:noProof/>
          <w:lang w:val="en-GB"/>
        </w:rPr>
        <w:t>3.</w:t>
      </w:r>
      <w:r w:rsidRPr="00C903F8">
        <w:rPr>
          <w:noProof/>
          <w:lang w:val="en-GB"/>
        </w:rPr>
        <w:tab/>
        <w:t>The stopping capacity shall be proved by means of stopping manoeuvres carried out within a test area as referred to in Article 5.03 and the turning capacity by turning manoeuvres in accordance with Article 5.10.</w:t>
      </w:r>
    </w:p>
    <w:p w:rsidR="00500018" w:rsidRPr="00C903F8" w:rsidRDefault="00500018" w:rsidP="00500018">
      <w:pPr>
        <w:rPr>
          <w:noProof/>
          <w:szCs w:val="20"/>
          <w:lang w:val="en-GB"/>
        </w:rPr>
      </w:pPr>
    </w:p>
    <w:p w:rsidR="003D32C2" w:rsidRPr="00C903F8" w:rsidRDefault="003D32C2" w:rsidP="00500018">
      <w:pPr>
        <w:rPr>
          <w:noProof/>
          <w:szCs w:val="20"/>
          <w:lang w:val="en-GB"/>
        </w:rPr>
      </w:pPr>
    </w:p>
    <w:p w:rsidR="00500018" w:rsidRPr="00C903F8" w:rsidRDefault="00500018" w:rsidP="003D32C2">
      <w:pPr>
        <w:pStyle w:val="ES-Titre3"/>
        <w:rPr>
          <w:lang w:val="en-GB"/>
        </w:rPr>
      </w:pPr>
      <w:bookmarkStart w:id="35" w:name="_Toc491854029"/>
      <w:r w:rsidRPr="00C903F8">
        <w:rPr>
          <w:noProof/>
          <w:lang w:val="en-GB"/>
        </w:rPr>
        <w:t>Article 5.08</w:t>
      </w:r>
      <w:r w:rsidRPr="00C903F8">
        <w:rPr>
          <w:noProof/>
          <w:lang w:val="en-GB"/>
        </w:rPr>
        <w:br/>
      </w:r>
      <w:r w:rsidRPr="00C903F8">
        <w:rPr>
          <w:i/>
          <w:noProof/>
          <w:lang w:val="en-GB"/>
        </w:rPr>
        <w:t>Capacity for going astern</w:t>
      </w:r>
      <w:bookmarkEnd w:id="35"/>
    </w:p>
    <w:p w:rsidR="003D32C2" w:rsidRPr="00C903F8" w:rsidRDefault="003D32C2" w:rsidP="003D32C2">
      <w:pPr>
        <w:ind w:left="0" w:firstLine="0"/>
        <w:rPr>
          <w:noProof/>
          <w:szCs w:val="20"/>
          <w:lang w:val="en-GB"/>
        </w:rPr>
      </w:pPr>
    </w:p>
    <w:p w:rsidR="00500018" w:rsidRPr="00C903F8" w:rsidRDefault="00500018" w:rsidP="00320866">
      <w:pPr>
        <w:pStyle w:val="ESgauche"/>
        <w:rPr>
          <w:lang w:val="en-GB"/>
        </w:rPr>
      </w:pPr>
      <w:r w:rsidRPr="00C903F8">
        <w:rPr>
          <w:lang w:val="en-GB"/>
        </w:rPr>
        <w:t>Where the stopping manoeuvre required by Article 5.07 is carried out in standing water it shall be followed by a navigation test while going astern.</w:t>
      </w:r>
    </w:p>
    <w:p w:rsidR="003D32C2" w:rsidRPr="00C903F8" w:rsidRDefault="003D32C2" w:rsidP="00500018">
      <w:pPr>
        <w:rPr>
          <w:noProof/>
          <w:szCs w:val="20"/>
          <w:lang w:val="en-GB"/>
        </w:rPr>
      </w:pPr>
      <w:r w:rsidRPr="00C903F8">
        <w:rPr>
          <w:noProof/>
          <w:szCs w:val="20"/>
          <w:lang w:val="en-GB"/>
        </w:rPr>
        <w:br w:type="page"/>
      </w:r>
    </w:p>
    <w:p w:rsidR="00500018" w:rsidRPr="00C903F8" w:rsidRDefault="00500018" w:rsidP="003D32C2">
      <w:pPr>
        <w:pStyle w:val="ES-Titre3"/>
        <w:rPr>
          <w:i/>
          <w:noProof/>
          <w:lang w:val="en-GB"/>
        </w:rPr>
      </w:pPr>
      <w:bookmarkStart w:id="36" w:name="_Toc491854030"/>
      <w:r w:rsidRPr="00C903F8">
        <w:rPr>
          <w:noProof/>
          <w:lang w:val="en-GB"/>
        </w:rPr>
        <w:lastRenderedPageBreak/>
        <w:t>Article 5.09</w:t>
      </w:r>
      <w:r w:rsidRPr="00C903F8">
        <w:rPr>
          <w:noProof/>
          <w:lang w:val="en-GB"/>
        </w:rPr>
        <w:br/>
      </w:r>
      <w:r w:rsidRPr="00C903F8">
        <w:rPr>
          <w:i/>
          <w:noProof/>
          <w:lang w:val="en-GB"/>
        </w:rPr>
        <w:t>Capacity for taking evasive action</w:t>
      </w:r>
      <w:bookmarkEnd w:id="36"/>
    </w:p>
    <w:p w:rsidR="003D32C2" w:rsidRPr="00C903F8" w:rsidRDefault="003D32C2" w:rsidP="003D32C2">
      <w:pPr>
        <w:pStyle w:val="ES-Titre3"/>
        <w:rPr>
          <w:lang w:val="en-GB"/>
        </w:rPr>
      </w:pPr>
    </w:p>
    <w:p w:rsidR="00500018" w:rsidRPr="00C903F8" w:rsidRDefault="00500018" w:rsidP="00320866">
      <w:pPr>
        <w:pStyle w:val="ESgauche"/>
        <w:rPr>
          <w:lang w:val="en-GB"/>
        </w:rPr>
      </w:pPr>
      <w:r w:rsidRPr="00C903F8">
        <w:rPr>
          <w:lang w:val="en-GB"/>
        </w:rPr>
        <w:t>Vessels and convoys shall be able to take evasive action in good time. That capacity shall be proven by means of evasive manoeuvres carried out within a test area as referred to in Article 5.03.</w:t>
      </w:r>
    </w:p>
    <w:p w:rsidR="00500018" w:rsidRPr="00C903F8" w:rsidRDefault="00500018" w:rsidP="00500018">
      <w:pPr>
        <w:rPr>
          <w:szCs w:val="20"/>
          <w:lang w:val="en-US"/>
        </w:rPr>
      </w:pPr>
    </w:p>
    <w:p w:rsidR="003D32C2" w:rsidRPr="00C903F8" w:rsidRDefault="003D32C2" w:rsidP="00500018">
      <w:pPr>
        <w:rPr>
          <w:szCs w:val="20"/>
          <w:lang w:val="en-US"/>
        </w:rPr>
      </w:pPr>
    </w:p>
    <w:p w:rsidR="00500018" w:rsidRPr="00C903F8" w:rsidRDefault="00500018" w:rsidP="003D32C2">
      <w:pPr>
        <w:pStyle w:val="ES-Titre3"/>
        <w:rPr>
          <w:lang w:val="en-GB"/>
        </w:rPr>
      </w:pPr>
      <w:bookmarkStart w:id="37" w:name="_Toc491854031"/>
      <w:r w:rsidRPr="00C903F8">
        <w:rPr>
          <w:noProof/>
          <w:lang w:val="en-US"/>
        </w:rPr>
        <w:t>Article 5.10</w:t>
      </w:r>
      <w:r w:rsidRPr="00C903F8">
        <w:rPr>
          <w:noProof/>
          <w:lang w:val="en-US"/>
        </w:rPr>
        <w:br/>
      </w:r>
      <w:r w:rsidRPr="00C903F8">
        <w:rPr>
          <w:i/>
          <w:noProof/>
          <w:lang w:val="en-US"/>
        </w:rPr>
        <w:t>Turning capacity</w:t>
      </w:r>
      <w:bookmarkEnd w:id="37"/>
    </w:p>
    <w:p w:rsidR="003D32C2" w:rsidRPr="00C903F8" w:rsidRDefault="003D32C2" w:rsidP="003D32C2">
      <w:pPr>
        <w:ind w:left="0" w:firstLine="0"/>
        <w:rPr>
          <w:noProof/>
          <w:szCs w:val="20"/>
          <w:lang w:val="en-GB"/>
        </w:rPr>
      </w:pPr>
    </w:p>
    <w:p w:rsidR="00500018" w:rsidRPr="00C903F8" w:rsidRDefault="00500018" w:rsidP="003D32C2">
      <w:pPr>
        <w:ind w:left="0" w:firstLine="0"/>
        <w:rPr>
          <w:szCs w:val="20"/>
          <w:lang w:val="en-GB"/>
        </w:rPr>
      </w:pPr>
      <w:r w:rsidRPr="00C903F8">
        <w:rPr>
          <w:noProof/>
          <w:szCs w:val="20"/>
          <w:lang w:val="en-GB"/>
        </w:rPr>
        <w:t xml:space="preserve">Vessels and convoys </w:t>
      </w:r>
      <w:r w:rsidR="006C7BF8" w:rsidRPr="00C903F8">
        <w:rPr>
          <w:noProof/>
          <w:szCs w:val="20"/>
          <w:lang w:val="en-GB"/>
        </w:rPr>
        <w:t xml:space="preserve">with a length </w:t>
      </w:r>
      <m:oMath>
        <m:r>
          <w:rPr>
            <w:rFonts w:ascii="Cambria Math" w:hAnsi="Cambria Math"/>
            <w:noProof/>
            <w:szCs w:val="20"/>
            <w:lang w:val="en-GB"/>
          </w:rPr>
          <m:t>L</m:t>
        </m:r>
      </m:oMath>
      <w:r w:rsidR="006C7BF8" w:rsidRPr="00C903F8">
        <w:rPr>
          <w:noProof/>
          <w:szCs w:val="20"/>
          <w:lang w:val="en-GB"/>
        </w:rPr>
        <w:t xml:space="preserve"> of not more than</w:t>
      </w:r>
      <w:r w:rsidRPr="00C903F8">
        <w:rPr>
          <w:noProof/>
          <w:szCs w:val="20"/>
          <w:lang w:val="en-GB"/>
        </w:rPr>
        <w:t xml:space="preserve"> 86 m or</w:t>
      </w:r>
      <w:r w:rsidR="006C7BF8" w:rsidRPr="00C903F8">
        <w:rPr>
          <w:noProof/>
          <w:szCs w:val="20"/>
          <w:lang w:val="en-GB"/>
        </w:rPr>
        <w:t xml:space="preserve"> with a breadth </w:t>
      </w:r>
      <m:oMath>
        <m:r>
          <w:rPr>
            <w:rFonts w:ascii="Cambria Math" w:hAnsi="Cambria Math"/>
            <w:noProof/>
            <w:szCs w:val="20"/>
            <w:lang w:val="en-GB"/>
          </w:rPr>
          <m:t>B</m:t>
        </m:r>
      </m:oMath>
      <w:r w:rsidR="006C7BF8" w:rsidRPr="00C903F8">
        <w:rPr>
          <w:noProof/>
          <w:szCs w:val="20"/>
          <w:lang w:val="en-GB"/>
        </w:rPr>
        <w:t xml:space="preserve"> of not more than</w:t>
      </w:r>
      <w:r w:rsidRPr="00C903F8">
        <w:rPr>
          <w:noProof/>
          <w:szCs w:val="20"/>
          <w:lang w:val="en-GB"/>
        </w:rPr>
        <w:t xml:space="preserve"> 22,90</w:t>
      </w:r>
      <w:r w:rsidR="006137DC">
        <w:rPr>
          <w:noProof/>
          <w:szCs w:val="20"/>
          <w:lang w:val="en-GB"/>
        </w:rPr>
        <w:t> </w:t>
      </w:r>
      <w:r w:rsidRPr="00C903F8">
        <w:rPr>
          <w:noProof/>
          <w:szCs w:val="20"/>
          <w:lang w:val="en-GB"/>
        </w:rPr>
        <w:t>m shall be able to turn in good time.</w:t>
      </w:r>
    </w:p>
    <w:p w:rsidR="003D32C2" w:rsidRPr="00C903F8" w:rsidRDefault="003D32C2" w:rsidP="00500018">
      <w:pPr>
        <w:rPr>
          <w:noProof/>
          <w:szCs w:val="20"/>
          <w:lang w:val="en-GB"/>
        </w:rPr>
      </w:pPr>
    </w:p>
    <w:p w:rsidR="00500018" w:rsidRPr="00C903F8" w:rsidRDefault="00500018" w:rsidP="00500018">
      <w:pPr>
        <w:rPr>
          <w:szCs w:val="20"/>
          <w:lang w:val="en-GB"/>
        </w:rPr>
      </w:pPr>
      <w:r w:rsidRPr="00C903F8">
        <w:rPr>
          <w:noProof/>
          <w:szCs w:val="20"/>
          <w:lang w:val="en-GB"/>
        </w:rPr>
        <w:t>That turning capacity may be replaced by the stopping capacity referred to in Article 5.07.</w:t>
      </w:r>
    </w:p>
    <w:p w:rsidR="003D32C2" w:rsidRPr="00C903F8" w:rsidRDefault="003D32C2" w:rsidP="00500018">
      <w:pPr>
        <w:rPr>
          <w:noProof/>
          <w:szCs w:val="20"/>
          <w:lang w:val="en-GB"/>
        </w:rPr>
      </w:pPr>
    </w:p>
    <w:p w:rsidR="00500018" w:rsidRPr="00C903F8" w:rsidRDefault="00500018" w:rsidP="00500018">
      <w:pPr>
        <w:rPr>
          <w:szCs w:val="20"/>
          <w:lang w:val="en-GB"/>
        </w:rPr>
      </w:pPr>
      <w:r w:rsidRPr="00C903F8">
        <w:rPr>
          <w:noProof/>
          <w:szCs w:val="20"/>
          <w:lang w:val="en-GB"/>
        </w:rPr>
        <w:t>The turning capacity shall be proven by means of turning manoeuvres against the current.</w:t>
      </w:r>
    </w:p>
    <w:p w:rsidR="00A06CEC" w:rsidRPr="00C903F8" w:rsidRDefault="00A06CEC" w:rsidP="003D32C2">
      <w:pPr>
        <w:spacing w:line="240" w:lineRule="atLeast"/>
        <w:ind w:left="0" w:firstLine="0"/>
        <w:rPr>
          <w:lang w:val="en-US"/>
        </w:rPr>
      </w:pPr>
    </w:p>
    <w:p w:rsidR="00745DD2" w:rsidRPr="00C903F8" w:rsidRDefault="00745DD2" w:rsidP="00E1027C">
      <w:pPr>
        <w:spacing w:line="240" w:lineRule="atLeast"/>
        <w:rPr>
          <w:lang w:val="en-US"/>
        </w:rPr>
      </w:pPr>
    </w:p>
    <w:p w:rsidR="008D7EA6" w:rsidRPr="00C903F8" w:rsidRDefault="008D7EA6" w:rsidP="003D32C2">
      <w:pPr>
        <w:spacing w:line="240" w:lineRule="atLeast"/>
        <w:rPr>
          <w:noProof/>
          <w:lang w:val="en-US" w:bidi="fr-FR"/>
        </w:rPr>
      </w:pPr>
    </w:p>
    <w:p w:rsidR="006D6907" w:rsidRPr="00C903F8" w:rsidRDefault="006D6907" w:rsidP="003D32C2">
      <w:pPr>
        <w:spacing w:line="240" w:lineRule="atLeast"/>
        <w:rPr>
          <w:noProof/>
          <w:lang w:val="en-US" w:bidi="fr-FR"/>
        </w:rPr>
      </w:pPr>
      <w:r w:rsidRPr="00C903F8">
        <w:rPr>
          <w:noProof/>
          <w:lang w:val="en-US" w:bidi="fr-FR"/>
        </w:rPr>
        <w:br w:type="page"/>
      </w:r>
    </w:p>
    <w:p w:rsidR="006D6907" w:rsidRPr="00C903F8" w:rsidRDefault="006D6907" w:rsidP="003D32C2">
      <w:pPr>
        <w:spacing w:line="240" w:lineRule="atLeast"/>
        <w:rPr>
          <w:noProof/>
          <w:lang w:val="en-US" w:bidi="fr-FR"/>
        </w:rPr>
      </w:pPr>
    </w:p>
    <w:p w:rsidR="0063454C" w:rsidRDefault="0063454C" w:rsidP="00745DD2">
      <w:pPr>
        <w:spacing w:line="240" w:lineRule="atLeast"/>
        <w:ind w:left="0" w:firstLine="0"/>
        <w:rPr>
          <w:noProof/>
          <w:lang w:val="en-US" w:bidi="fr-FR"/>
        </w:rPr>
        <w:sectPr w:rsidR="0063454C" w:rsidSect="00AC5CC1">
          <w:headerReference w:type="first" r:id="rId23"/>
          <w:footnotePr>
            <w:numRestart w:val="eachPage"/>
          </w:footnotePr>
          <w:pgSz w:w="11906" w:h="16838" w:code="9"/>
          <w:pgMar w:top="1418" w:right="1418" w:bottom="1418" w:left="1418" w:header="709" w:footer="709" w:gutter="0"/>
          <w:cols w:space="709"/>
          <w:titlePg/>
          <w:docGrid w:linePitch="272"/>
        </w:sectPr>
      </w:pPr>
    </w:p>
    <w:p w:rsidR="003D32C2" w:rsidRPr="00C903F8" w:rsidRDefault="003D32C2" w:rsidP="003D32C2">
      <w:pPr>
        <w:pStyle w:val="ES-Titre2"/>
        <w:spacing w:line="240" w:lineRule="auto"/>
      </w:pPr>
      <w:bookmarkStart w:id="38" w:name="_Toc491854032"/>
      <w:r w:rsidRPr="00C903F8">
        <w:lastRenderedPageBreak/>
        <w:t>Chapter 6</w:t>
      </w:r>
      <w:r w:rsidRPr="00C903F8">
        <w:br/>
        <w:t>Steering system</w:t>
      </w:r>
      <w:bookmarkEnd w:id="38"/>
    </w:p>
    <w:p w:rsidR="00745DD2" w:rsidRPr="00C903F8" w:rsidRDefault="00745DD2" w:rsidP="00E1027C">
      <w:pPr>
        <w:pStyle w:val="ES-Titre3"/>
        <w:spacing w:line="240" w:lineRule="atLeast"/>
        <w:rPr>
          <w:lang w:val="en-US"/>
        </w:rPr>
      </w:pPr>
    </w:p>
    <w:p w:rsidR="003D32C2" w:rsidRPr="00C903F8" w:rsidRDefault="003D32C2" w:rsidP="003D32C2">
      <w:pPr>
        <w:pStyle w:val="ES-Titre3"/>
        <w:rPr>
          <w:lang w:val="en-US"/>
        </w:rPr>
      </w:pPr>
      <w:bookmarkStart w:id="39" w:name="_Toc491854033"/>
      <w:r w:rsidRPr="00C903F8">
        <w:rPr>
          <w:noProof/>
          <w:lang w:val="en-US"/>
        </w:rPr>
        <w:t>Article 6.01</w:t>
      </w:r>
      <w:r w:rsidRPr="00C903F8">
        <w:rPr>
          <w:noProof/>
          <w:lang w:val="en-US"/>
        </w:rPr>
        <w:br/>
      </w:r>
      <w:r w:rsidRPr="00C903F8">
        <w:rPr>
          <w:i/>
          <w:noProof/>
          <w:lang w:val="en-US"/>
        </w:rPr>
        <w:t>General requirements</w:t>
      </w:r>
      <w:bookmarkEnd w:id="39"/>
    </w:p>
    <w:p w:rsidR="003D32C2" w:rsidRPr="00C903F8" w:rsidRDefault="003D32C2" w:rsidP="003D32C2">
      <w:pPr>
        <w:rPr>
          <w:noProof/>
          <w:lang w:val="en-US"/>
        </w:rPr>
      </w:pPr>
    </w:p>
    <w:p w:rsidR="003D32C2" w:rsidRPr="00C903F8" w:rsidRDefault="003D32C2" w:rsidP="00320866">
      <w:pPr>
        <w:pStyle w:val="ESch"/>
        <w:rPr>
          <w:lang w:val="en-US"/>
        </w:rPr>
      </w:pPr>
      <w:r w:rsidRPr="00C903F8">
        <w:rPr>
          <w:noProof/>
          <w:lang w:val="en-US"/>
        </w:rPr>
        <w:t>1.</w:t>
      </w:r>
      <w:r w:rsidRPr="00C903F8">
        <w:rPr>
          <w:noProof/>
          <w:lang w:val="en-US"/>
        </w:rPr>
        <w:tab/>
        <w:t>Vessels shall be fitted with a reliable steering system which provides at least the manoeu</w:t>
      </w:r>
      <w:r w:rsidRPr="00C903F8">
        <w:rPr>
          <w:noProof/>
          <w:lang w:val="en-US"/>
        </w:rPr>
        <w:softHyphen/>
        <w:t>vrability required by Chapter 5.</w:t>
      </w:r>
    </w:p>
    <w:p w:rsidR="003D32C2" w:rsidRPr="00C903F8" w:rsidRDefault="003D32C2" w:rsidP="00320866">
      <w:pPr>
        <w:pStyle w:val="ESch"/>
        <w:rPr>
          <w:lang w:val="en-GB"/>
        </w:rPr>
      </w:pPr>
    </w:p>
    <w:p w:rsidR="003D32C2" w:rsidRPr="00C903F8" w:rsidRDefault="003D32C2" w:rsidP="00320866">
      <w:pPr>
        <w:pStyle w:val="ESch"/>
        <w:rPr>
          <w:lang w:val="en-US"/>
        </w:rPr>
      </w:pPr>
      <w:r w:rsidRPr="00C903F8">
        <w:rPr>
          <w:lang w:val="en-GB"/>
        </w:rPr>
        <w:t>2.</w:t>
      </w:r>
      <w:r w:rsidRPr="00C903F8">
        <w:rPr>
          <w:lang w:val="en-GB"/>
        </w:rPr>
        <w:tab/>
      </w:r>
      <w:r w:rsidRPr="00C903F8">
        <w:rPr>
          <w:noProof/>
          <w:lang w:val="en-US"/>
        </w:rPr>
        <w:t>Powered steering systems shall be designed in such a way that the rudder cannot change position unintentionally.</w:t>
      </w:r>
    </w:p>
    <w:p w:rsidR="003D32C2" w:rsidRPr="00C903F8" w:rsidRDefault="003D32C2" w:rsidP="00320866">
      <w:pPr>
        <w:pStyle w:val="ESch"/>
        <w:rPr>
          <w:noProof/>
          <w:lang w:val="en-US"/>
        </w:rPr>
      </w:pPr>
    </w:p>
    <w:p w:rsidR="003D32C2" w:rsidRPr="00C903F8" w:rsidRDefault="003D32C2" w:rsidP="00320866">
      <w:pPr>
        <w:pStyle w:val="ESch"/>
        <w:rPr>
          <w:lang w:val="en-US"/>
        </w:rPr>
      </w:pPr>
      <w:r w:rsidRPr="00C903F8">
        <w:rPr>
          <w:noProof/>
          <w:lang w:val="en-US"/>
        </w:rPr>
        <w:t>3.</w:t>
      </w:r>
      <w:r w:rsidRPr="00C903F8">
        <w:rPr>
          <w:noProof/>
          <w:lang w:val="en-US"/>
        </w:rPr>
        <w:tab/>
        <w:t xml:space="preserve">The steering system as a whole shall be designed for permanent lists of up to 15° and ambient temperatures from </w:t>
      </w:r>
      <w:r w:rsidR="00320866" w:rsidRPr="00C903F8">
        <w:rPr>
          <w:noProof/>
          <w:lang w:val="en-US"/>
        </w:rPr>
        <w:t>-</w:t>
      </w:r>
      <w:r w:rsidRPr="00C903F8">
        <w:rPr>
          <w:noProof/>
          <w:lang w:val="en-US"/>
        </w:rPr>
        <w:t xml:space="preserve"> 20 °C to + 50 °C.</w:t>
      </w:r>
    </w:p>
    <w:p w:rsidR="003D32C2" w:rsidRPr="00C903F8" w:rsidRDefault="003D32C2" w:rsidP="00320866">
      <w:pPr>
        <w:pStyle w:val="ESch"/>
        <w:rPr>
          <w:lang w:val="en-US"/>
        </w:rPr>
      </w:pPr>
    </w:p>
    <w:p w:rsidR="003D32C2" w:rsidRPr="00C903F8" w:rsidRDefault="003D32C2" w:rsidP="00320866">
      <w:pPr>
        <w:pStyle w:val="ESch"/>
        <w:rPr>
          <w:lang w:val="en-US"/>
        </w:rPr>
      </w:pPr>
      <w:r w:rsidRPr="00C903F8">
        <w:rPr>
          <w:lang w:val="en-US"/>
        </w:rPr>
        <w:t>4.</w:t>
      </w:r>
      <w:r w:rsidRPr="00C903F8">
        <w:rPr>
          <w:lang w:val="en-US"/>
        </w:rPr>
        <w:tab/>
      </w:r>
      <w:r w:rsidRPr="00C903F8">
        <w:rPr>
          <w:noProof/>
          <w:lang w:val="en-US"/>
        </w:rPr>
        <w:t>The component parts of the steering system shall be rugged enough to always be able to withstand the stresses to which they may be subjected during normal operation. No external forces applied to the rudder shall impair the operating capacity of the steering apparatus and its drive unit.</w:t>
      </w:r>
    </w:p>
    <w:p w:rsidR="003D32C2" w:rsidRPr="00C903F8" w:rsidRDefault="003D32C2" w:rsidP="00320866">
      <w:pPr>
        <w:pStyle w:val="ESch"/>
        <w:rPr>
          <w:noProof/>
          <w:lang w:val="en-US"/>
        </w:rPr>
      </w:pPr>
    </w:p>
    <w:p w:rsidR="003D32C2" w:rsidRPr="00C903F8" w:rsidRDefault="003D32C2" w:rsidP="00320866">
      <w:pPr>
        <w:pStyle w:val="ESch"/>
        <w:rPr>
          <w:lang w:val="en-US"/>
        </w:rPr>
      </w:pPr>
      <w:r w:rsidRPr="00C903F8">
        <w:rPr>
          <w:noProof/>
          <w:lang w:val="en-US"/>
        </w:rPr>
        <w:t>5.</w:t>
      </w:r>
      <w:r w:rsidRPr="00C903F8">
        <w:rPr>
          <w:noProof/>
          <w:lang w:val="en-US"/>
        </w:rPr>
        <w:tab/>
        <w:t>The steering system shall incorporate a powered drive unit if so required by the forces needed to actuate the rudder.</w:t>
      </w:r>
    </w:p>
    <w:p w:rsidR="003D32C2" w:rsidRPr="00C903F8" w:rsidRDefault="003D32C2" w:rsidP="00320866">
      <w:pPr>
        <w:pStyle w:val="ESch"/>
        <w:rPr>
          <w:lang w:val="en-US"/>
        </w:rPr>
      </w:pPr>
    </w:p>
    <w:p w:rsidR="003D32C2" w:rsidRPr="00C903F8" w:rsidRDefault="003D32C2" w:rsidP="00320866">
      <w:pPr>
        <w:pStyle w:val="ESch"/>
        <w:rPr>
          <w:lang w:val="en-US"/>
        </w:rPr>
      </w:pPr>
      <w:r w:rsidRPr="00C903F8">
        <w:rPr>
          <w:lang w:val="en-US"/>
        </w:rPr>
        <w:t>6.</w:t>
      </w:r>
      <w:r w:rsidRPr="00C903F8">
        <w:rPr>
          <w:lang w:val="en-US"/>
        </w:rPr>
        <w:tab/>
      </w:r>
      <w:r w:rsidRPr="00C903F8">
        <w:rPr>
          <w:noProof/>
          <w:lang w:val="en-US"/>
        </w:rPr>
        <w:t>A steering apparatus with powered drive unit shall be protected against overloads by means of a system that restricts the torque applied by the drive unit.</w:t>
      </w:r>
    </w:p>
    <w:p w:rsidR="003D32C2" w:rsidRPr="00C903F8" w:rsidRDefault="003D32C2" w:rsidP="00320866">
      <w:pPr>
        <w:pStyle w:val="ESch"/>
        <w:rPr>
          <w:noProof/>
          <w:lang w:val="en-US"/>
        </w:rPr>
      </w:pPr>
    </w:p>
    <w:p w:rsidR="003D32C2" w:rsidRPr="00C903F8" w:rsidRDefault="003D32C2" w:rsidP="00320866">
      <w:pPr>
        <w:pStyle w:val="ESch"/>
        <w:rPr>
          <w:lang w:val="en-US"/>
        </w:rPr>
      </w:pPr>
      <w:r w:rsidRPr="00C903F8">
        <w:rPr>
          <w:noProof/>
          <w:lang w:val="en-US"/>
        </w:rPr>
        <w:t>7.</w:t>
      </w:r>
      <w:r w:rsidRPr="00C903F8">
        <w:rPr>
          <w:noProof/>
          <w:lang w:val="en-US"/>
        </w:rPr>
        <w:tab/>
        <w:t>The penetrations for the rudder stocks shall be so designed as to prevent the spread of water-polluting lubricants.</w:t>
      </w:r>
    </w:p>
    <w:p w:rsidR="003D32C2" w:rsidRPr="00C903F8" w:rsidRDefault="003D32C2" w:rsidP="00320866">
      <w:pPr>
        <w:pStyle w:val="ESch"/>
        <w:rPr>
          <w:lang w:val="en-US"/>
        </w:rPr>
      </w:pPr>
    </w:p>
    <w:p w:rsidR="003D32C2" w:rsidRPr="00C903F8" w:rsidRDefault="003D32C2" w:rsidP="003D32C2">
      <w:pPr>
        <w:rPr>
          <w:lang w:val="en-US"/>
        </w:rPr>
      </w:pPr>
    </w:p>
    <w:p w:rsidR="003D32C2" w:rsidRPr="00C903F8" w:rsidRDefault="003D32C2" w:rsidP="003D32C2">
      <w:pPr>
        <w:pStyle w:val="ES-Titre3"/>
        <w:rPr>
          <w:lang w:val="en-US"/>
        </w:rPr>
      </w:pPr>
      <w:bookmarkStart w:id="40" w:name="_Toc491854034"/>
      <w:r w:rsidRPr="00C903F8">
        <w:rPr>
          <w:noProof/>
          <w:lang w:val="en-US"/>
        </w:rPr>
        <w:t>Article 6.02</w:t>
      </w:r>
      <w:r w:rsidRPr="00C903F8">
        <w:rPr>
          <w:i/>
          <w:noProof/>
          <w:lang w:val="en-US"/>
        </w:rPr>
        <w:br/>
        <w:t>Steering apparatus drive unit</w:t>
      </w:r>
      <w:bookmarkEnd w:id="40"/>
    </w:p>
    <w:p w:rsidR="003D32C2" w:rsidRPr="00C903F8" w:rsidRDefault="003D32C2" w:rsidP="003D32C2">
      <w:pPr>
        <w:rPr>
          <w:lang w:val="en-GB"/>
        </w:rPr>
      </w:pPr>
    </w:p>
    <w:p w:rsidR="003D32C2" w:rsidRPr="00C903F8" w:rsidRDefault="003D32C2" w:rsidP="00320866">
      <w:pPr>
        <w:pStyle w:val="ESch"/>
        <w:rPr>
          <w:lang w:val="en-US"/>
        </w:rPr>
      </w:pPr>
      <w:r w:rsidRPr="00C903F8">
        <w:rPr>
          <w:lang w:val="en-GB"/>
        </w:rPr>
        <w:t>1.</w:t>
      </w:r>
      <w:r w:rsidRPr="00C903F8">
        <w:rPr>
          <w:lang w:val="en-GB"/>
        </w:rPr>
        <w:tab/>
      </w:r>
      <w:r w:rsidRPr="00C903F8">
        <w:rPr>
          <w:noProof/>
          <w:lang w:val="en-US"/>
        </w:rPr>
        <w:t>If the steering apparatus has a powered drive unit, a second independent drive unit or an addi</w:t>
      </w:r>
      <w:r w:rsidRPr="00C903F8">
        <w:rPr>
          <w:noProof/>
          <w:lang w:val="en-US"/>
        </w:rPr>
        <w:softHyphen/>
        <w:t>tional manual drive shall be present. In case of failure or malfunction of the drive unit of the rudder system, the second independent drive unit or the manual drive has to be in operation within 5 seconds.</w:t>
      </w:r>
    </w:p>
    <w:p w:rsidR="003D32C2" w:rsidRPr="00C903F8" w:rsidRDefault="003D32C2" w:rsidP="00320866">
      <w:pPr>
        <w:pStyle w:val="ESch"/>
        <w:rPr>
          <w:lang w:val="en-US"/>
        </w:rPr>
      </w:pPr>
    </w:p>
    <w:p w:rsidR="003D32C2" w:rsidRPr="00C903F8" w:rsidRDefault="003D32C2" w:rsidP="00320866">
      <w:pPr>
        <w:pStyle w:val="ESch"/>
        <w:rPr>
          <w:lang w:val="en-US"/>
        </w:rPr>
      </w:pPr>
      <w:r w:rsidRPr="00C903F8">
        <w:rPr>
          <w:lang w:val="en-US"/>
        </w:rPr>
        <w:t>2.</w:t>
      </w:r>
      <w:r w:rsidRPr="00C903F8">
        <w:rPr>
          <w:lang w:val="en-US"/>
        </w:rPr>
        <w:tab/>
      </w:r>
      <w:r w:rsidRPr="00C903F8">
        <w:rPr>
          <w:noProof/>
          <w:lang w:val="en-US"/>
        </w:rPr>
        <w:t>If the second drive unit or manual drive is not placed in service automatically, it shall be possible to do so immediately by means of a single operation by the helmsman that is both simple and quick.</w:t>
      </w:r>
    </w:p>
    <w:p w:rsidR="003D32C2" w:rsidRPr="00C903F8" w:rsidRDefault="003D32C2" w:rsidP="00320866">
      <w:pPr>
        <w:pStyle w:val="ESch"/>
        <w:rPr>
          <w:lang w:val="en-US"/>
        </w:rPr>
      </w:pPr>
    </w:p>
    <w:p w:rsidR="003D32C2" w:rsidRPr="00C903F8" w:rsidRDefault="003D32C2" w:rsidP="00320866">
      <w:pPr>
        <w:pStyle w:val="ESch"/>
        <w:rPr>
          <w:lang w:val="en-US"/>
        </w:rPr>
      </w:pPr>
      <w:r w:rsidRPr="00C903F8">
        <w:rPr>
          <w:lang w:val="en-US"/>
        </w:rPr>
        <w:t>3.</w:t>
      </w:r>
      <w:r w:rsidRPr="00C903F8">
        <w:rPr>
          <w:lang w:val="en-US"/>
        </w:rPr>
        <w:tab/>
      </w:r>
      <w:r w:rsidRPr="00C903F8">
        <w:rPr>
          <w:noProof/>
          <w:lang w:val="en-US"/>
        </w:rPr>
        <w:t>The second drive unit or manual drive shall ensure the manoeuvrability required by Chapter 5 as well.</w:t>
      </w:r>
    </w:p>
    <w:p w:rsidR="003D32C2" w:rsidRPr="00C903F8" w:rsidRDefault="003D32C2" w:rsidP="003D32C2">
      <w:pPr>
        <w:rPr>
          <w:lang w:val="en-US"/>
        </w:rPr>
      </w:pPr>
      <w:r w:rsidRPr="00C903F8">
        <w:rPr>
          <w:lang w:val="en-US"/>
        </w:rPr>
        <w:br w:type="page"/>
      </w:r>
    </w:p>
    <w:p w:rsidR="003D32C2" w:rsidRPr="00C903F8" w:rsidRDefault="003D32C2" w:rsidP="003D32C2">
      <w:pPr>
        <w:pStyle w:val="ES-Titre3"/>
        <w:rPr>
          <w:lang w:val="en-US"/>
        </w:rPr>
      </w:pPr>
      <w:bookmarkStart w:id="41" w:name="_Toc491854035"/>
      <w:r w:rsidRPr="00C903F8">
        <w:rPr>
          <w:noProof/>
          <w:lang w:val="en-US"/>
        </w:rPr>
        <w:lastRenderedPageBreak/>
        <w:t>Article 6.03</w:t>
      </w:r>
      <w:r w:rsidRPr="00C903F8">
        <w:rPr>
          <w:noProof/>
          <w:lang w:val="en-US"/>
        </w:rPr>
        <w:br/>
      </w:r>
      <w:r w:rsidRPr="00C903F8">
        <w:rPr>
          <w:i/>
          <w:noProof/>
          <w:lang w:val="en-US"/>
        </w:rPr>
        <w:t>Hydraulic steering apparatus drive unit</w:t>
      </w:r>
      <w:bookmarkEnd w:id="41"/>
    </w:p>
    <w:p w:rsidR="003D32C2" w:rsidRPr="00C903F8" w:rsidRDefault="003D32C2" w:rsidP="003D32C2">
      <w:pPr>
        <w:rPr>
          <w:lang w:val="en-US"/>
        </w:rPr>
      </w:pPr>
    </w:p>
    <w:p w:rsidR="003D32C2" w:rsidRPr="00C903F8" w:rsidRDefault="003D32C2" w:rsidP="00320866">
      <w:pPr>
        <w:pStyle w:val="ESch"/>
        <w:rPr>
          <w:lang w:val="en-US"/>
        </w:rPr>
      </w:pPr>
      <w:r w:rsidRPr="00C903F8">
        <w:rPr>
          <w:lang w:val="en-US"/>
        </w:rPr>
        <w:t>1.</w:t>
      </w:r>
      <w:r w:rsidRPr="00C903F8">
        <w:rPr>
          <w:lang w:val="en-US"/>
        </w:rPr>
        <w:tab/>
      </w:r>
      <w:r w:rsidRPr="00C903F8">
        <w:rPr>
          <w:noProof/>
          <w:lang w:val="en-US"/>
        </w:rPr>
        <w:t>No other power con</w:t>
      </w:r>
      <w:r w:rsidRPr="00C903F8">
        <w:rPr>
          <w:noProof/>
          <w:lang w:val="en-US"/>
        </w:rPr>
        <w:softHyphen/>
        <w:t>sumers may be connected to the hydraulic steering apparatus drive unit.</w:t>
      </w:r>
    </w:p>
    <w:p w:rsidR="003D32C2" w:rsidRPr="00C903F8" w:rsidRDefault="003D32C2" w:rsidP="00320866">
      <w:pPr>
        <w:pStyle w:val="ESch"/>
        <w:rPr>
          <w:noProof/>
          <w:lang w:val="en-US"/>
        </w:rPr>
      </w:pPr>
    </w:p>
    <w:p w:rsidR="003D32C2" w:rsidRPr="00C903F8" w:rsidRDefault="003D32C2" w:rsidP="00320866">
      <w:pPr>
        <w:pStyle w:val="ESch"/>
        <w:rPr>
          <w:lang w:val="en-US"/>
        </w:rPr>
      </w:pPr>
      <w:r w:rsidRPr="00C903F8">
        <w:rPr>
          <w:noProof/>
          <w:lang w:val="en-US"/>
        </w:rPr>
        <w:t>2.</w:t>
      </w:r>
      <w:r w:rsidRPr="00C903F8">
        <w:rPr>
          <w:noProof/>
          <w:lang w:val="en-US"/>
        </w:rPr>
        <w:tab/>
        <w:t>Hydraulic tanks shall be equipped with a warning system that monitors a dropping of the oil level below the lowest content level needed for safe operation.</w:t>
      </w:r>
    </w:p>
    <w:p w:rsidR="003D32C2" w:rsidRPr="00C903F8" w:rsidRDefault="003D32C2" w:rsidP="00320866">
      <w:pPr>
        <w:pStyle w:val="ESch"/>
        <w:rPr>
          <w:lang w:val="en-US"/>
        </w:rPr>
      </w:pPr>
    </w:p>
    <w:p w:rsidR="003D32C2" w:rsidRPr="00C903F8" w:rsidRDefault="003D32C2" w:rsidP="00320866">
      <w:pPr>
        <w:pStyle w:val="ESch"/>
        <w:rPr>
          <w:lang w:val="en-US"/>
        </w:rPr>
      </w:pPr>
      <w:r w:rsidRPr="00C903F8">
        <w:rPr>
          <w:lang w:val="en-US"/>
        </w:rPr>
        <w:t>3.</w:t>
      </w:r>
      <w:r w:rsidRPr="00C903F8">
        <w:rPr>
          <w:lang w:val="en-US"/>
        </w:rPr>
        <w:tab/>
      </w:r>
      <w:r w:rsidRPr="00C903F8">
        <w:rPr>
          <w:noProof/>
          <w:lang w:val="en-US"/>
        </w:rPr>
        <w:t>The dimensions, design and arrangement of the pipework shall as far as possible exclude mechanical damage or damage resulting from fire.</w:t>
      </w:r>
    </w:p>
    <w:p w:rsidR="003D32C2" w:rsidRPr="00C903F8" w:rsidRDefault="003D32C2" w:rsidP="00320866">
      <w:pPr>
        <w:pStyle w:val="ESch"/>
        <w:rPr>
          <w:noProof/>
          <w:lang w:val="en-US"/>
        </w:rPr>
      </w:pPr>
    </w:p>
    <w:p w:rsidR="003D32C2" w:rsidRPr="00C903F8" w:rsidRDefault="003D32C2" w:rsidP="00320866">
      <w:pPr>
        <w:pStyle w:val="ESch"/>
        <w:rPr>
          <w:lang w:val="en-GB"/>
        </w:rPr>
      </w:pPr>
      <w:r w:rsidRPr="00C903F8">
        <w:rPr>
          <w:noProof/>
          <w:lang w:val="en-US"/>
        </w:rPr>
        <w:t>4.</w:t>
      </w:r>
      <w:r w:rsidRPr="00C903F8">
        <w:rPr>
          <w:noProof/>
          <w:lang w:val="en-US"/>
        </w:rPr>
        <w:tab/>
        <w:t>Hydraulic hoses are:</w:t>
      </w:r>
    </w:p>
    <w:p w:rsidR="003D32C2" w:rsidRPr="00C903F8" w:rsidRDefault="005C7859" w:rsidP="00553616">
      <w:pPr>
        <w:pStyle w:val="ESlet"/>
        <w:rPr>
          <w:lang w:val="en-US"/>
        </w:rPr>
      </w:pPr>
      <w:r w:rsidRPr="00C903F8">
        <w:rPr>
          <w:lang w:val="en-GB"/>
        </w:rPr>
        <w:t>a)</w:t>
      </w:r>
      <w:r w:rsidR="003D32C2" w:rsidRPr="00C903F8">
        <w:rPr>
          <w:lang w:val="en-GB"/>
        </w:rPr>
        <w:tab/>
      </w:r>
      <w:r w:rsidR="003D32C2" w:rsidRPr="00C903F8">
        <w:rPr>
          <w:lang w:val="en-US"/>
        </w:rPr>
        <w:t>only permissible, if vibration absorption or freedom of movement of components makes their use inevitable;</w:t>
      </w:r>
    </w:p>
    <w:p w:rsidR="003D32C2" w:rsidRPr="00C903F8" w:rsidRDefault="005C7859" w:rsidP="00553616">
      <w:pPr>
        <w:pStyle w:val="ESlet"/>
        <w:rPr>
          <w:lang w:val="en-US"/>
        </w:rPr>
      </w:pPr>
      <w:r w:rsidRPr="00C903F8">
        <w:rPr>
          <w:lang w:val="en-US"/>
        </w:rPr>
        <w:t>b)</w:t>
      </w:r>
      <w:r w:rsidR="003D32C2" w:rsidRPr="00C903F8">
        <w:rPr>
          <w:lang w:val="en-US"/>
        </w:rPr>
        <w:tab/>
        <w:t>to be designed for at least the maximum service pressure;</w:t>
      </w:r>
    </w:p>
    <w:p w:rsidR="003D32C2" w:rsidRPr="00C903F8" w:rsidRDefault="005C7859" w:rsidP="00553616">
      <w:pPr>
        <w:pStyle w:val="ESlet"/>
        <w:rPr>
          <w:lang w:val="en-US"/>
        </w:rPr>
      </w:pPr>
      <w:r w:rsidRPr="00C903F8">
        <w:rPr>
          <w:lang w:val="en-US"/>
        </w:rPr>
        <w:t>c)</w:t>
      </w:r>
      <w:r w:rsidR="003D32C2" w:rsidRPr="00C903F8">
        <w:rPr>
          <w:lang w:val="en-US"/>
        </w:rPr>
        <w:tab/>
        <w:t>to be renewed at the latest every eight years.</w:t>
      </w:r>
    </w:p>
    <w:p w:rsidR="003D32C2" w:rsidRPr="00C903F8" w:rsidRDefault="003D32C2" w:rsidP="003D32C2">
      <w:pPr>
        <w:rPr>
          <w:lang w:val="en-US"/>
        </w:rPr>
      </w:pPr>
    </w:p>
    <w:p w:rsidR="003D32C2" w:rsidRPr="00C903F8" w:rsidRDefault="003D32C2" w:rsidP="00320866">
      <w:pPr>
        <w:pStyle w:val="ESch"/>
        <w:rPr>
          <w:lang w:val="en-US"/>
        </w:rPr>
      </w:pPr>
      <w:r w:rsidRPr="00C903F8">
        <w:rPr>
          <w:lang w:val="en-US"/>
        </w:rPr>
        <w:t>5.</w:t>
      </w:r>
      <w:r w:rsidRPr="00C903F8">
        <w:rPr>
          <w:lang w:val="en-US"/>
        </w:rPr>
        <w:tab/>
      </w:r>
      <w:r w:rsidRPr="00C903F8">
        <w:rPr>
          <w:noProof/>
          <w:lang w:val="en-US"/>
        </w:rPr>
        <w:t>Hydraulic cylinders, hydraulic pumps and hydraulic motors as well as electric motors shall be examined at the latest every eight years by a specialised firm and repaired if required.</w:t>
      </w:r>
    </w:p>
    <w:p w:rsidR="003D32C2" w:rsidRPr="00C903F8" w:rsidRDefault="003D32C2" w:rsidP="003D32C2">
      <w:pPr>
        <w:rPr>
          <w:lang w:val="en-US"/>
        </w:rPr>
      </w:pPr>
    </w:p>
    <w:p w:rsidR="003D32C2" w:rsidRPr="00C903F8" w:rsidRDefault="003D32C2" w:rsidP="00B079AF">
      <w:pPr>
        <w:rPr>
          <w:lang w:val="en-US"/>
        </w:rPr>
      </w:pPr>
    </w:p>
    <w:p w:rsidR="003D32C2" w:rsidRPr="00C903F8" w:rsidRDefault="003D32C2" w:rsidP="003D32C2">
      <w:pPr>
        <w:pStyle w:val="ES-Titre3"/>
        <w:rPr>
          <w:lang w:val="en-US"/>
        </w:rPr>
      </w:pPr>
      <w:bookmarkStart w:id="42" w:name="_Toc491854036"/>
      <w:r w:rsidRPr="00C903F8">
        <w:rPr>
          <w:lang w:val="en-US"/>
        </w:rPr>
        <w:t>Article 6.04</w:t>
      </w:r>
      <w:r w:rsidRPr="00C903F8">
        <w:rPr>
          <w:lang w:val="en-US"/>
        </w:rPr>
        <w:br/>
      </w:r>
      <w:r w:rsidRPr="00C903F8">
        <w:rPr>
          <w:i/>
          <w:lang w:val="en-US"/>
        </w:rPr>
        <w:t>Power source</w:t>
      </w:r>
      <w:bookmarkEnd w:id="42"/>
    </w:p>
    <w:p w:rsidR="003D32C2" w:rsidRPr="00C903F8" w:rsidRDefault="003D32C2" w:rsidP="003D32C2">
      <w:pPr>
        <w:rPr>
          <w:lang w:val="en-US"/>
        </w:rPr>
      </w:pPr>
    </w:p>
    <w:p w:rsidR="003D32C2" w:rsidRPr="00C903F8" w:rsidRDefault="003D32C2" w:rsidP="00320866">
      <w:pPr>
        <w:pStyle w:val="ESch"/>
        <w:rPr>
          <w:lang w:val="en-US"/>
        </w:rPr>
      </w:pPr>
      <w:r w:rsidRPr="00C903F8">
        <w:rPr>
          <w:lang w:val="en-US"/>
        </w:rPr>
        <w:t>1.</w:t>
      </w:r>
      <w:r w:rsidRPr="00C903F8">
        <w:rPr>
          <w:lang w:val="en-US"/>
        </w:rPr>
        <w:tab/>
        <w:t>Steering systems fitted with two powered drive units shall have at least two power sources.</w:t>
      </w:r>
    </w:p>
    <w:p w:rsidR="003D32C2" w:rsidRPr="00C903F8" w:rsidRDefault="003D32C2" w:rsidP="00320866">
      <w:pPr>
        <w:pStyle w:val="ESch"/>
        <w:rPr>
          <w:lang w:val="en-US"/>
        </w:rPr>
      </w:pPr>
    </w:p>
    <w:p w:rsidR="003D32C2" w:rsidRPr="00C903F8" w:rsidRDefault="003D32C2" w:rsidP="00320866">
      <w:pPr>
        <w:pStyle w:val="ESch"/>
        <w:rPr>
          <w:lang w:val="en-US"/>
        </w:rPr>
      </w:pPr>
      <w:r w:rsidRPr="00C903F8">
        <w:rPr>
          <w:lang w:val="en-US"/>
        </w:rPr>
        <w:t>2.</w:t>
      </w:r>
      <w:r w:rsidRPr="00C903F8">
        <w:rPr>
          <w:lang w:val="en-US"/>
        </w:rPr>
        <w:tab/>
        <w:t>If the second power source for the powered steering apparatus is not constantly available while the vessel is under way, a buffer device carrying adequate capacity shall provide back-up during the period needed for start-up.</w:t>
      </w:r>
    </w:p>
    <w:p w:rsidR="003D32C2" w:rsidRPr="00C903F8" w:rsidRDefault="003D32C2" w:rsidP="00320866">
      <w:pPr>
        <w:pStyle w:val="ESch"/>
        <w:rPr>
          <w:lang w:val="en-GB"/>
        </w:rPr>
      </w:pPr>
    </w:p>
    <w:p w:rsidR="003D32C2" w:rsidRPr="00C903F8" w:rsidRDefault="003D32C2" w:rsidP="00320866">
      <w:pPr>
        <w:pStyle w:val="ESch"/>
        <w:rPr>
          <w:lang w:val="en-GB"/>
        </w:rPr>
      </w:pPr>
      <w:r w:rsidRPr="00C903F8">
        <w:rPr>
          <w:lang w:val="en-GB"/>
        </w:rPr>
        <w:t>3.</w:t>
      </w:r>
      <w:r w:rsidRPr="00C903F8">
        <w:rPr>
          <w:lang w:val="en-GB"/>
        </w:rPr>
        <w:tab/>
        <w:t>In the case of electrical power sources, no other power consumers may be supplied by the main power source for the steering system.</w:t>
      </w:r>
    </w:p>
    <w:p w:rsidR="003D32C2" w:rsidRPr="00C903F8" w:rsidRDefault="003D32C2" w:rsidP="003D32C2">
      <w:pPr>
        <w:rPr>
          <w:lang w:val="en-US"/>
        </w:rPr>
      </w:pPr>
    </w:p>
    <w:p w:rsidR="003D32C2" w:rsidRPr="00C903F8" w:rsidRDefault="003D32C2" w:rsidP="003D32C2">
      <w:pPr>
        <w:rPr>
          <w:lang w:val="en-US"/>
        </w:rPr>
      </w:pPr>
    </w:p>
    <w:p w:rsidR="003D32C2" w:rsidRPr="00C903F8" w:rsidRDefault="003D32C2" w:rsidP="003D32C2">
      <w:pPr>
        <w:pStyle w:val="ES-Titre3"/>
        <w:rPr>
          <w:lang w:val="en-GB"/>
        </w:rPr>
      </w:pPr>
      <w:bookmarkStart w:id="43" w:name="_Toc491854037"/>
      <w:r w:rsidRPr="00C903F8">
        <w:rPr>
          <w:lang w:val="en-GB"/>
        </w:rPr>
        <w:t>Article 6.05</w:t>
      </w:r>
      <w:r w:rsidRPr="00C903F8">
        <w:rPr>
          <w:lang w:val="en-GB"/>
        </w:rPr>
        <w:br/>
      </w:r>
      <w:r w:rsidRPr="00C903F8">
        <w:rPr>
          <w:i/>
          <w:lang w:val="en-GB"/>
        </w:rPr>
        <w:t>Manual drive</w:t>
      </w:r>
      <w:bookmarkEnd w:id="43"/>
    </w:p>
    <w:p w:rsidR="003D32C2" w:rsidRPr="00C903F8" w:rsidRDefault="003D32C2" w:rsidP="003D32C2">
      <w:pPr>
        <w:rPr>
          <w:lang w:val="en-US"/>
        </w:rPr>
      </w:pPr>
    </w:p>
    <w:p w:rsidR="003D32C2" w:rsidRPr="00C903F8" w:rsidRDefault="003D32C2" w:rsidP="00320866">
      <w:pPr>
        <w:pStyle w:val="ESch"/>
        <w:rPr>
          <w:lang w:val="en-US"/>
        </w:rPr>
      </w:pPr>
      <w:r w:rsidRPr="00C903F8">
        <w:rPr>
          <w:lang w:val="en-US"/>
        </w:rPr>
        <w:t>1.</w:t>
      </w:r>
      <w:r w:rsidRPr="00C903F8">
        <w:rPr>
          <w:lang w:val="en-US"/>
        </w:rPr>
        <w:tab/>
        <w:t>The manual wheel shall not be driven by a powered drive unit.</w:t>
      </w:r>
    </w:p>
    <w:p w:rsidR="003D32C2" w:rsidRPr="00C903F8" w:rsidRDefault="003D32C2" w:rsidP="00320866">
      <w:pPr>
        <w:pStyle w:val="ESch"/>
        <w:rPr>
          <w:lang w:val="en-US"/>
        </w:rPr>
      </w:pPr>
    </w:p>
    <w:p w:rsidR="003D32C2" w:rsidRPr="00C903F8" w:rsidRDefault="003D32C2" w:rsidP="00320866">
      <w:pPr>
        <w:pStyle w:val="ESch"/>
        <w:rPr>
          <w:lang w:val="en-US"/>
        </w:rPr>
      </w:pPr>
      <w:r w:rsidRPr="00C903F8">
        <w:rPr>
          <w:lang w:val="en-US"/>
        </w:rPr>
        <w:t>2.</w:t>
      </w:r>
      <w:r w:rsidRPr="00C903F8">
        <w:rPr>
          <w:lang w:val="en-US"/>
        </w:rPr>
        <w:tab/>
        <w:t>Regardless of rudder position, a kick-back of the wheel shall be prevented when the manual drive is engaged automatically.</w:t>
      </w:r>
    </w:p>
    <w:p w:rsidR="003D32C2" w:rsidRPr="00C903F8" w:rsidRDefault="003D32C2" w:rsidP="003D32C2">
      <w:pPr>
        <w:pStyle w:val="ES-Titre3"/>
        <w:rPr>
          <w:lang w:val="en-US"/>
        </w:rPr>
      </w:pPr>
      <w:r w:rsidRPr="00C903F8">
        <w:rPr>
          <w:lang w:val="en-US"/>
        </w:rPr>
        <w:br w:type="page"/>
      </w:r>
    </w:p>
    <w:p w:rsidR="003D32C2" w:rsidRPr="00C903F8" w:rsidRDefault="003D32C2" w:rsidP="003D32C2">
      <w:pPr>
        <w:pStyle w:val="ES-Titre3"/>
        <w:rPr>
          <w:i/>
          <w:lang w:val="en-US"/>
        </w:rPr>
      </w:pPr>
      <w:bookmarkStart w:id="44" w:name="_Toc491854038"/>
      <w:r w:rsidRPr="00C903F8">
        <w:rPr>
          <w:noProof/>
          <w:lang w:val="en-US"/>
        </w:rPr>
        <w:lastRenderedPageBreak/>
        <w:t>Article 6.06</w:t>
      </w:r>
      <w:r w:rsidRPr="00C903F8">
        <w:rPr>
          <w:noProof/>
          <w:lang w:val="en-US"/>
        </w:rPr>
        <w:br/>
      </w:r>
      <w:r w:rsidRPr="00C903F8">
        <w:rPr>
          <w:bCs/>
          <w:i/>
          <w:noProof/>
          <w:lang w:val="en-US"/>
        </w:rPr>
        <w:t>Rudder-propeller, water-jet, cycloidal-propeller and bow-thruster systems</w:t>
      </w:r>
      <w:bookmarkEnd w:id="44"/>
    </w:p>
    <w:p w:rsidR="003D32C2" w:rsidRPr="00C903F8" w:rsidRDefault="003D32C2" w:rsidP="003D32C2">
      <w:pPr>
        <w:rPr>
          <w:lang w:val="en-US"/>
        </w:rPr>
      </w:pPr>
    </w:p>
    <w:p w:rsidR="003D32C2" w:rsidRPr="00C903F8" w:rsidRDefault="003D32C2" w:rsidP="00320866">
      <w:pPr>
        <w:pStyle w:val="ESch"/>
        <w:rPr>
          <w:lang w:val="en-US"/>
        </w:rPr>
      </w:pPr>
      <w:r w:rsidRPr="00C903F8">
        <w:rPr>
          <w:lang w:val="en-US"/>
        </w:rPr>
        <w:t>1.</w:t>
      </w:r>
      <w:r w:rsidRPr="00C903F8">
        <w:rPr>
          <w:lang w:val="en-US"/>
        </w:rPr>
        <w:tab/>
        <w:t xml:space="preserve">Where the thrust vectoring of rudder-propeller, water-jet, cycloidal-propeller or bow thruster installations is remotely actuated by electric, hydraulic or pneumatic means, there shall be two steering controls, each independent of the other, between the wheelhouse and the propeller- or thruster-installation which, </w:t>
      </w:r>
      <w:r w:rsidRPr="00C903F8">
        <w:rPr>
          <w:i/>
          <w:lang w:val="en-US"/>
        </w:rPr>
        <w:t>mutatis mutandis</w:t>
      </w:r>
      <w:r w:rsidRPr="00C903F8">
        <w:rPr>
          <w:lang w:val="en-US"/>
        </w:rPr>
        <w:t>, meet the requirements of Articles 6.01 to 6.05.</w:t>
      </w:r>
    </w:p>
    <w:p w:rsidR="003D32C2" w:rsidRPr="00C903F8" w:rsidRDefault="003D32C2" w:rsidP="003D32C2">
      <w:pPr>
        <w:rPr>
          <w:lang w:val="en-US"/>
        </w:rPr>
      </w:pPr>
    </w:p>
    <w:p w:rsidR="003D32C2" w:rsidRPr="00C903F8" w:rsidRDefault="003D32C2" w:rsidP="00320866">
      <w:pPr>
        <w:pStyle w:val="ESchpar"/>
        <w:rPr>
          <w:lang w:val="en-US"/>
        </w:rPr>
      </w:pPr>
      <w:r w:rsidRPr="00C903F8">
        <w:rPr>
          <w:lang w:val="en-US"/>
        </w:rPr>
        <w:t>Such systems are not subject to this paragraph if they are not needed in order to achieve the manoeuvrability required by Chapter 5 or if they are only needed for the stopping test.</w:t>
      </w:r>
    </w:p>
    <w:p w:rsidR="003D32C2" w:rsidRPr="00C903F8" w:rsidRDefault="003D32C2" w:rsidP="003D32C2">
      <w:pPr>
        <w:rPr>
          <w:lang w:val="en-US"/>
        </w:rPr>
      </w:pPr>
    </w:p>
    <w:p w:rsidR="003D32C2" w:rsidRPr="00C903F8" w:rsidRDefault="003D32C2" w:rsidP="00320866">
      <w:pPr>
        <w:pStyle w:val="ESch"/>
        <w:rPr>
          <w:lang w:val="en-US"/>
        </w:rPr>
      </w:pPr>
      <w:r w:rsidRPr="00C903F8">
        <w:rPr>
          <w:lang w:val="en-US"/>
        </w:rPr>
        <w:t>2.</w:t>
      </w:r>
      <w:r w:rsidRPr="00C903F8">
        <w:rPr>
          <w:lang w:val="en-US"/>
        </w:rPr>
        <w:tab/>
        <w:t>Where there are two or more rudder-propeller, water-jet or cycloidal-propeller installations that are independent of each other the second actuation system is not necessary if the vessel retains the manoeuvrability required by Chapter 5 if one of the systems fails.</w:t>
      </w:r>
    </w:p>
    <w:p w:rsidR="003D32C2" w:rsidRPr="00C903F8" w:rsidRDefault="003D32C2" w:rsidP="003D32C2">
      <w:pPr>
        <w:rPr>
          <w:lang w:val="en-US"/>
        </w:rPr>
      </w:pPr>
    </w:p>
    <w:p w:rsidR="003D32C2" w:rsidRPr="00C903F8" w:rsidRDefault="003D32C2" w:rsidP="003D32C2">
      <w:pPr>
        <w:rPr>
          <w:lang w:val="en-US"/>
        </w:rPr>
      </w:pPr>
    </w:p>
    <w:p w:rsidR="003D32C2" w:rsidRPr="00C903F8" w:rsidRDefault="003D32C2" w:rsidP="003D32C2">
      <w:pPr>
        <w:pStyle w:val="ES-Titre3"/>
        <w:rPr>
          <w:lang w:val="en-US"/>
        </w:rPr>
      </w:pPr>
      <w:bookmarkStart w:id="45" w:name="_Toc491854039"/>
      <w:r w:rsidRPr="00C903F8">
        <w:rPr>
          <w:noProof/>
          <w:lang w:val="en-US"/>
        </w:rPr>
        <w:t>Article 6.07</w:t>
      </w:r>
      <w:r w:rsidRPr="00C903F8">
        <w:rPr>
          <w:noProof/>
          <w:lang w:val="en-US"/>
        </w:rPr>
        <w:br/>
      </w:r>
      <w:r w:rsidRPr="00C903F8">
        <w:rPr>
          <w:i/>
          <w:noProof/>
          <w:lang w:val="en-US"/>
        </w:rPr>
        <w:t>Indicators and monitoring devices</w:t>
      </w:r>
      <w:bookmarkEnd w:id="45"/>
    </w:p>
    <w:p w:rsidR="003D32C2" w:rsidRPr="00C903F8" w:rsidRDefault="003D32C2" w:rsidP="003D32C2">
      <w:pPr>
        <w:rPr>
          <w:lang w:val="en-GB"/>
        </w:rPr>
      </w:pPr>
    </w:p>
    <w:p w:rsidR="003D32C2" w:rsidRPr="00C903F8" w:rsidRDefault="003D32C2" w:rsidP="00320866">
      <w:pPr>
        <w:pStyle w:val="ESch"/>
        <w:rPr>
          <w:lang w:val="en-GB"/>
        </w:rPr>
      </w:pPr>
      <w:r w:rsidRPr="00C903F8">
        <w:rPr>
          <w:lang w:val="en-GB"/>
        </w:rPr>
        <w:t>1.</w:t>
      </w:r>
      <w:r w:rsidRPr="00C903F8">
        <w:rPr>
          <w:lang w:val="en-GB"/>
        </w:rPr>
        <w:tab/>
        <w:t>The rudder position shall be clearly displayed at the steering position. If the rudder-position indicator is electric it shall have its own power supply.</w:t>
      </w:r>
    </w:p>
    <w:p w:rsidR="003D32C2" w:rsidRPr="00C903F8" w:rsidRDefault="003D32C2" w:rsidP="00320866">
      <w:pPr>
        <w:pStyle w:val="ESch"/>
        <w:rPr>
          <w:lang w:val="en-US"/>
        </w:rPr>
      </w:pPr>
    </w:p>
    <w:p w:rsidR="003D32C2" w:rsidRPr="00C903F8" w:rsidRDefault="003D32C2" w:rsidP="00320866">
      <w:pPr>
        <w:pStyle w:val="ESch"/>
        <w:rPr>
          <w:lang w:val="en-US"/>
        </w:rPr>
      </w:pPr>
      <w:r w:rsidRPr="00C903F8">
        <w:rPr>
          <w:lang w:val="en-US"/>
        </w:rPr>
        <w:t>2.</w:t>
      </w:r>
      <w:r w:rsidRPr="00C903F8">
        <w:rPr>
          <w:lang w:val="en-US"/>
        </w:rPr>
        <w:tab/>
        <w:t>An optical and acoustic alarm shall be present at the steering position to signal the following:</w:t>
      </w:r>
    </w:p>
    <w:p w:rsidR="003D32C2" w:rsidRPr="00C903F8" w:rsidRDefault="005C7859" w:rsidP="00320866">
      <w:pPr>
        <w:pStyle w:val="ESlet"/>
        <w:rPr>
          <w:lang w:val="en-US"/>
        </w:rPr>
      </w:pPr>
      <w:r w:rsidRPr="00C903F8">
        <w:rPr>
          <w:lang w:val="en-US"/>
        </w:rPr>
        <w:t>a)</w:t>
      </w:r>
      <w:r w:rsidR="003D32C2" w:rsidRPr="00C903F8">
        <w:rPr>
          <w:lang w:val="en-US"/>
        </w:rPr>
        <w:tab/>
        <w:t>oil level of the hydraulic tanks falling under the lowest content level in accordance with Article 6.03(2) and decrease of service pressure of the hydraulic system;</w:t>
      </w:r>
    </w:p>
    <w:p w:rsidR="003D32C2" w:rsidRPr="00C903F8" w:rsidRDefault="005C7859" w:rsidP="00320866">
      <w:pPr>
        <w:pStyle w:val="ESlet"/>
        <w:rPr>
          <w:lang w:val="en-US"/>
        </w:rPr>
      </w:pPr>
      <w:r w:rsidRPr="00C903F8">
        <w:rPr>
          <w:lang w:val="en-US"/>
        </w:rPr>
        <w:t>b)</w:t>
      </w:r>
      <w:r w:rsidR="003D32C2" w:rsidRPr="00C903F8">
        <w:rPr>
          <w:lang w:val="en-US"/>
        </w:rPr>
        <w:tab/>
        <w:t>failure of the electrical supply for the steering control;</w:t>
      </w:r>
    </w:p>
    <w:p w:rsidR="003D32C2" w:rsidRPr="00C903F8" w:rsidRDefault="005C7859" w:rsidP="00320866">
      <w:pPr>
        <w:pStyle w:val="ESlet"/>
        <w:rPr>
          <w:lang w:val="en-US"/>
        </w:rPr>
      </w:pPr>
      <w:r w:rsidRPr="00C903F8">
        <w:rPr>
          <w:lang w:val="en-US"/>
        </w:rPr>
        <w:t>c)</w:t>
      </w:r>
      <w:r w:rsidR="003D32C2" w:rsidRPr="00C903F8">
        <w:rPr>
          <w:lang w:val="en-US"/>
        </w:rPr>
        <w:tab/>
        <w:t>failure of the electrical supply for the drive units;</w:t>
      </w:r>
    </w:p>
    <w:p w:rsidR="003D32C2" w:rsidRPr="00C903F8" w:rsidRDefault="003D32C2" w:rsidP="00320866">
      <w:pPr>
        <w:pStyle w:val="ESlet"/>
        <w:rPr>
          <w:lang w:val="en-US"/>
        </w:rPr>
      </w:pPr>
      <w:r w:rsidRPr="00C903F8">
        <w:rPr>
          <w:lang w:val="en-US"/>
        </w:rPr>
        <w:t>d)</w:t>
      </w:r>
      <w:r w:rsidRPr="00C903F8">
        <w:rPr>
          <w:lang w:val="en-US"/>
        </w:rPr>
        <w:tab/>
        <w:t>failure of the rate-of-turn regulator;</w:t>
      </w:r>
    </w:p>
    <w:p w:rsidR="003D32C2" w:rsidRPr="00C903F8" w:rsidRDefault="003D32C2" w:rsidP="00320866">
      <w:pPr>
        <w:pStyle w:val="ESlet"/>
        <w:rPr>
          <w:lang w:val="en-US"/>
        </w:rPr>
      </w:pPr>
      <w:r w:rsidRPr="00C903F8">
        <w:rPr>
          <w:lang w:val="en-US"/>
        </w:rPr>
        <w:t>e)</w:t>
      </w:r>
      <w:r w:rsidRPr="00C903F8">
        <w:rPr>
          <w:lang w:val="en-US"/>
        </w:rPr>
        <w:tab/>
        <w:t>failure of the required buffer devices.</w:t>
      </w:r>
    </w:p>
    <w:p w:rsidR="003D32C2" w:rsidRPr="00C903F8" w:rsidRDefault="003D32C2" w:rsidP="003D32C2">
      <w:pPr>
        <w:rPr>
          <w:lang w:val="en-US"/>
        </w:rPr>
      </w:pPr>
    </w:p>
    <w:p w:rsidR="008A407A" w:rsidRPr="00C903F8" w:rsidRDefault="008A407A" w:rsidP="003D32C2">
      <w:pPr>
        <w:rPr>
          <w:lang w:val="en-US"/>
        </w:rPr>
      </w:pPr>
    </w:p>
    <w:p w:rsidR="003D32C2" w:rsidRPr="00C903F8" w:rsidRDefault="003D32C2" w:rsidP="003D32C2">
      <w:pPr>
        <w:pStyle w:val="ES-Titre3"/>
        <w:rPr>
          <w:i/>
          <w:lang w:val="en-US"/>
        </w:rPr>
      </w:pPr>
      <w:bookmarkStart w:id="46" w:name="_Toc491854040"/>
      <w:r w:rsidRPr="00C903F8">
        <w:rPr>
          <w:noProof/>
          <w:lang w:val="en-US"/>
        </w:rPr>
        <w:t>Article 6.08</w:t>
      </w:r>
      <w:r w:rsidRPr="00C903F8">
        <w:rPr>
          <w:noProof/>
          <w:lang w:val="en-US"/>
        </w:rPr>
        <w:br/>
      </w:r>
      <w:r w:rsidRPr="00C903F8">
        <w:rPr>
          <w:i/>
          <w:noProof/>
          <w:lang w:val="en-US"/>
        </w:rPr>
        <w:t>Rate-of-turn regulators</w:t>
      </w:r>
      <w:bookmarkEnd w:id="46"/>
    </w:p>
    <w:p w:rsidR="008A407A" w:rsidRPr="00C903F8" w:rsidRDefault="008A407A" w:rsidP="00320866">
      <w:pPr>
        <w:pStyle w:val="ESch"/>
        <w:rPr>
          <w:lang w:val="en-GB"/>
        </w:rPr>
      </w:pPr>
    </w:p>
    <w:p w:rsidR="003D32C2" w:rsidRPr="00C903F8" w:rsidRDefault="003D32C2" w:rsidP="00320866">
      <w:pPr>
        <w:pStyle w:val="ESch"/>
        <w:rPr>
          <w:lang w:val="en-GB"/>
        </w:rPr>
      </w:pPr>
      <w:r w:rsidRPr="00C903F8">
        <w:rPr>
          <w:lang w:val="en-GB"/>
        </w:rPr>
        <w:t>1.</w:t>
      </w:r>
      <w:r w:rsidRPr="00C903F8">
        <w:rPr>
          <w:lang w:val="en-GB"/>
        </w:rPr>
        <w:tab/>
        <w:t>Rate-of-turn regulators and their components shall meet the requirements laid down in Article</w:t>
      </w:r>
      <w:r w:rsidR="00E000F9" w:rsidRPr="00C903F8">
        <w:rPr>
          <w:lang w:val="en-GB"/>
        </w:rPr>
        <w:t> </w:t>
      </w:r>
      <w:r w:rsidR="009E2139">
        <w:rPr>
          <w:lang w:val="en-GB"/>
        </w:rPr>
        <w:t>10.2</w:t>
      </w:r>
      <w:r w:rsidR="00101D20">
        <w:rPr>
          <w:lang w:val="en-GB"/>
        </w:rPr>
        <w:t>0</w:t>
      </w:r>
      <w:r w:rsidRPr="00C903F8">
        <w:rPr>
          <w:lang w:val="en-GB"/>
        </w:rPr>
        <w:t>.</w:t>
      </w:r>
    </w:p>
    <w:p w:rsidR="003D32C2" w:rsidRPr="00C903F8" w:rsidRDefault="003D32C2" w:rsidP="00320866">
      <w:pPr>
        <w:pStyle w:val="ESch"/>
        <w:rPr>
          <w:lang w:val="en-GB"/>
        </w:rPr>
      </w:pPr>
    </w:p>
    <w:p w:rsidR="003D32C2" w:rsidRPr="00C903F8" w:rsidRDefault="003D32C2" w:rsidP="00320866">
      <w:pPr>
        <w:pStyle w:val="ESch"/>
        <w:rPr>
          <w:lang w:val="en-US"/>
        </w:rPr>
      </w:pPr>
      <w:r w:rsidRPr="00C903F8">
        <w:rPr>
          <w:lang w:val="en-US"/>
        </w:rPr>
        <w:t>2.</w:t>
      </w:r>
      <w:r w:rsidRPr="00C903F8">
        <w:rPr>
          <w:lang w:val="en-US"/>
        </w:rPr>
        <w:tab/>
        <w:t>The proper functioning of the rate-of-turn regulator shall be displayed at the steering position by means of a green indicating light.</w:t>
      </w:r>
    </w:p>
    <w:p w:rsidR="003D32C2" w:rsidRPr="00C903F8" w:rsidRDefault="003D32C2" w:rsidP="003D32C2">
      <w:pPr>
        <w:rPr>
          <w:lang w:val="en-US"/>
        </w:rPr>
      </w:pPr>
    </w:p>
    <w:p w:rsidR="003D32C2" w:rsidRPr="00C903F8" w:rsidRDefault="003D32C2" w:rsidP="00320866">
      <w:pPr>
        <w:pStyle w:val="ESchpar"/>
        <w:rPr>
          <w:lang w:val="en-US"/>
        </w:rPr>
      </w:pPr>
      <w:r w:rsidRPr="00C903F8">
        <w:rPr>
          <w:lang w:val="en-US"/>
        </w:rPr>
        <w:t>Any lack of or unacceptable variations in the supply voltage and an unacceptable decrease in the speed of rotation of the gyroscope shall be monitored.</w:t>
      </w:r>
    </w:p>
    <w:p w:rsidR="003D32C2" w:rsidRPr="00C903F8" w:rsidRDefault="003D32C2" w:rsidP="003D32C2">
      <w:pPr>
        <w:rPr>
          <w:lang w:val="en-GB"/>
        </w:rPr>
      </w:pPr>
      <w:r w:rsidRPr="00C903F8">
        <w:rPr>
          <w:lang w:val="en-GB"/>
        </w:rPr>
        <w:br w:type="page"/>
      </w:r>
    </w:p>
    <w:p w:rsidR="003D32C2" w:rsidRPr="00C903F8" w:rsidRDefault="003D32C2" w:rsidP="008A407A">
      <w:pPr>
        <w:pStyle w:val="ESch"/>
        <w:rPr>
          <w:lang w:val="en-GB"/>
        </w:rPr>
      </w:pPr>
      <w:r w:rsidRPr="00C903F8">
        <w:rPr>
          <w:lang w:val="en-GB"/>
        </w:rPr>
        <w:lastRenderedPageBreak/>
        <w:t>3.</w:t>
      </w:r>
      <w:r w:rsidRPr="00C903F8">
        <w:rPr>
          <w:lang w:val="en-GB"/>
        </w:rPr>
        <w:tab/>
        <w:t>Where, in addition to the rate-of-turn regulator, there are other steering systems, it shall be possible to clearly distinguish at the steering position which of these systems has been activated. It shall be possible to shift from one system to another immediately. The rate-of-turn regulator shall not have any influence on the steering systems.</w:t>
      </w:r>
    </w:p>
    <w:p w:rsidR="003D32C2" w:rsidRPr="00C903F8" w:rsidRDefault="003D32C2" w:rsidP="008A407A">
      <w:pPr>
        <w:pStyle w:val="ESch"/>
        <w:rPr>
          <w:lang w:val="en-US"/>
        </w:rPr>
      </w:pPr>
    </w:p>
    <w:p w:rsidR="003D32C2" w:rsidRPr="00C903F8" w:rsidRDefault="003D32C2" w:rsidP="008A407A">
      <w:pPr>
        <w:pStyle w:val="ESch"/>
        <w:rPr>
          <w:lang w:val="en-US"/>
        </w:rPr>
      </w:pPr>
      <w:r w:rsidRPr="00C903F8">
        <w:rPr>
          <w:lang w:val="en-US"/>
        </w:rPr>
        <w:t>4.</w:t>
      </w:r>
      <w:r w:rsidRPr="00C903F8">
        <w:rPr>
          <w:lang w:val="en-US"/>
        </w:rPr>
        <w:tab/>
        <w:t>The electricity supply to the rate-of-turn regulator shall be independent of other power consumers.</w:t>
      </w:r>
    </w:p>
    <w:p w:rsidR="003D32C2" w:rsidRPr="00C903F8" w:rsidRDefault="003D32C2" w:rsidP="008A407A">
      <w:pPr>
        <w:pStyle w:val="ESch"/>
        <w:rPr>
          <w:lang w:val="en-US"/>
        </w:rPr>
      </w:pPr>
    </w:p>
    <w:p w:rsidR="003D32C2" w:rsidRPr="00C903F8" w:rsidRDefault="003D32C2" w:rsidP="008A407A">
      <w:pPr>
        <w:pStyle w:val="ESch"/>
        <w:rPr>
          <w:lang w:val="en-US"/>
        </w:rPr>
      </w:pPr>
      <w:r w:rsidRPr="00C903F8">
        <w:rPr>
          <w:lang w:val="en-US"/>
        </w:rPr>
        <w:t>5.</w:t>
      </w:r>
      <w:r w:rsidRPr="00C903F8">
        <w:rPr>
          <w:lang w:val="en-US"/>
        </w:rPr>
        <w:tab/>
        <w:t xml:space="preserve">The gyroscopes, detectors and rate-of-turn indicators used in the rate-of-turn regulators shall meet the minimum requirements of the minimum specifications and test conditions concerning rate-of-turn displays for inland waterways, as laid down in </w:t>
      </w:r>
      <w:r w:rsidR="004271FC" w:rsidRPr="00C903F8">
        <w:rPr>
          <w:lang w:val="en-US"/>
        </w:rPr>
        <w:t xml:space="preserve">Section II of </w:t>
      </w:r>
      <w:r w:rsidRPr="00C903F8">
        <w:rPr>
          <w:lang w:val="en-US"/>
        </w:rPr>
        <w:t xml:space="preserve">Annex </w:t>
      </w:r>
      <w:r w:rsidR="004271FC" w:rsidRPr="00C903F8">
        <w:rPr>
          <w:lang w:val="en-US"/>
        </w:rPr>
        <w:t>5</w:t>
      </w:r>
      <w:r w:rsidRPr="00C903F8">
        <w:rPr>
          <w:lang w:val="en-US"/>
        </w:rPr>
        <w:t>.</w:t>
      </w:r>
    </w:p>
    <w:p w:rsidR="003D32C2" w:rsidRPr="00C903F8" w:rsidRDefault="003D32C2" w:rsidP="003D32C2">
      <w:pPr>
        <w:rPr>
          <w:lang w:val="en-US"/>
        </w:rPr>
      </w:pPr>
    </w:p>
    <w:p w:rsidR="003D32C2" w:rsidRPr="00C903F8" w:rsidRDefault="003D32C2" w:rsidP="003D32C2">
      <w:pPr>
        <w:rPr>
          <w:lang w:val="en-US"/>
        </w:rPr>
      </w:pPr>
    </w:p>
    <w:p w:rsidR="003D32C2" w:rsidRPr="00C903F8" w:rsidRDefault="003D32C2" w:rsidP="003D32C2">
      <w:pPr>
        <w:pStyle w:val="ES-Titre3"/>
        <w:rPr>
          <w:lang w:val="en-US"/>
        </w:rPr>
      </w:pPr>
      <w:bookmarkStart w:id="47" w:name="_Toc491854041"/>
      <w:r w:rsidRPr="00C903F8">
        <w:rPr>
          <w:noProof/>
          <w:lang w:val="en-US"/>
        </w:rPr>
        <w:t>Article 6.09</w:t>
      </w:r>
      <w:r w:rsidRPr="00C903F8">
        <w:rPr>
          <w:noProof/>
          <w:lang w:val="en-US"/>
        </w:rPr>
        <w:br/>
      </w:r>
      <w:r w:rsidRPr="00C903F8">
        <w:rPr>
          <w:i/>
          <w:noProof/>
          <w:lang w:val="en-US"/>
        </w:rPr>
        <w:t>Testing</w:t>
      </w:r>
      <w:bookmarkEnd w:id="47"/>
    </w:p>
    <w:p w:rsidR="008A407A" w:rsidRPr="00C903F8" w:rsidRDefault="008A407A" w:rsidP="008A407A">
      <w:pPr>
        <w:pStyle w:val="ESch"/>
        <w:rPr>
          <w:lang w:val="en-GB"/>
        </w:rPr>
      </w:pPr>
    </w:p>
    <w:p w:rsidR="003D32C2" w:rsidRPr="00C903F8" w:rsidRDefault="003D32C2" w:rsidP="008A407A">
      <w:pPr>
        <w:pStyle w:val="ESch"/>
        <w:rPr>
          <w:lang w:val="en-GB"/>
        </w:rPr>
      </w:pPr>
      <w:r w:rsidRPr="00C903F8">
        <w:rPr>
          <w:lang w:val="en-GB"/>
        </w:rPr>
        <w:t>1.</w:t>
      </w:r>
      <w:r w:rsidRPr="00C903F8">
        <w:rPr>
          <w:lang w:val="en-GB"/>
        </w:rPr>
        <w:tab/>
        <w:t>The correct installation of the steering system shall be inspected by an inspection body. For this purpose</w:t>
      </w:r>
      <w:r w:rsidR="009E13C8">
        <w:rPr>
          <w:lang w:val="en-GB"/>
        </w:rPr>
        <w:t>,</w:t>
      </w:r>
      <w:r w:rsidRPr="00C903F8">
        <w:rPr>
          <w:lang w:val="en-GB"/>
        </w:rPr>
        <w:t xml:space="preserve"> the inspection body can require the following documents:</w:t>
      </w:r>
    </w:p>
    <w:p w:rsidR="003D32C2" w:rsidRPr="00C903F8" w:rsidRDefault="005C7859" w:rsidP="008A407A">
      <w:pPr>
        <w:pStyle w:val="ESlet"/>
        <w:rPr>
          <w:lang w:val="en-GB"/>
        </w:rPr>
      </w:pPr>
      <w:r w:rsidRPr="00C903F8">
        <w:rPr>
          <w:lang w:val="en-GB"/>
        </w:rPr>
        <w:t>a)</w:t>
      </w:r>
      <w:r w:rsidR="003D32C2" w:rsidRPr="00C903F8">
        <w:rPr>
          <w:lang w:val="en-GB"/>
        </w:rPr>
        <w:tab/>
        <w:t>description of the steering system;</w:t>
      </w:r>
    </w:p>
    <w:p w:rsidR="003D32C2" w:rsidRPr="00C903F8" w:rsidRDefault="005C7859" w:rsidP="008A407A">
      <w:pPr>
        <w:pStyle w:val="ESlet"/>
        <w:rPr>
          <w:lang w:val="en-US"/>
        </w:rPr>
      </w:pPr>
      <w:r w:rsidRPr="00C903F8">
        <w:rPr>
          <w:lang w:val="en-GB"/>
        </w:rPr>
        <w:t>b)</w:t>
      </w:r>
      <w:r w:rsidR="003D32C2" w:rsidRPr="00C903F8">
        <w:rPr>
          <w:lang w:val="en-US"/>
        </w:rPr>
        <w:tab/>
        <w:t>drawings of and information on the steering apparatus drive units and the steering control;</w:t>
      </w:r>
    </w:p>
    <w:p w:rsidR="003D32C2" w:rsidRPr="00C903F8" w:rsidRDefault="005C7859" w:rsidP="008A407A">
      <w:pPr>
        <w:pStyle w:val="ESlet"/>
        <w:rPr>
          <w:lang w:val="en-US"/>
        </w:rPr>
      </w:pPr>
      <w:r w:rsidRPr="00C903F8">
        <w:rPr>
          <w:lang w:val="en-US"/>
        </w:rPr>
        <w:t>c)</w:t>
      </w:r>
      <w:r w:rsidR="003D32C2" w:rsidRPr="00C903F8">
        <w:rPr>
          <w:lang w:val="en-US"/>
        </w:rPr>
        <w:tab/>
        <w:t>information concerning the steering apparatus;</w:t>
      </w:r>
    </w:p>
    <w:p w:rsidR="003D32C2" w:rsidRPr="00C903F8" w:rsidRDefault="003D32C2" w:rsidP="008A407A">
      <w:pPr>
        <w:pStyle w:val="ESlet"/>
        <w:rPr>
          <w:lang w:val="en-US"/>
        </w:rPr>
      </w:pPr>
      <w:r w:rsidRPr="00C903F8">
        <w:rPr>
          <w:lang w:val="en-US"/>
        </w:rPr>
        <w:t>d)</w:t>
      </w:r>
      <w:r w:rsidRPr="00C903F8">
        <w:rPr>
          <w:lang w:val="en-US"/>
        </w:rPr>
        <w:tab/>
        <w:t>electrical wiring diagram;</w:t>
      </w:r>
    </w:p>
    <w:p w:rsidR="003D32C2" w:rsidRPr="00C903F8" w:rsidRDefault="003D32C2" w:rsidP="008A407A">
      <w:pPr>
        <w:pStyle w:val="ESlet"/>
        <w:rPr>
          <w:lang w:val="en-US"/>
        </w:rPr>
      </w:pPr>
      <w:r w:rsidRPr="00C903F8">
        <w:rPr>
          <w:lang w:val="en-US"/>
        </w:rPr>
        <w:t>e)</w:t>
      </w:r>
      <w:r w:rsidRPr="00C903F8">
        <w:rPr>
          <w:lang w:val="en-US"/>
        </w:rPr>
        <w:tab/>
        <w:t>description of the rate-of-turn regulator;</w:t>
      </w:r>
    </w:p>
    <w:p w:rsidR="003D32C2" w:rsidRPr="00C903F8" w:rsidRDefault="003D32C2" w:rsidP="008A407A">
      <w:pPr>
        <w:pStyle w:val="ESlet"/>
        <w:rPr>
          <w:lang w:val="en-US"/>
        </w:rPr>
      </w:pPr>
      <w:r w:rsidRPr="00C903F8">
        <w:rPr>
          <w:lang w:val="en-US"/>
        </w:rPr>
        <w:t>f)</w:t>
      </w:r>
      <w:r w:rsidRPr="00C903F8">
        <w:rPr>
          <w:lang w:val="en-US"/>
        </w:rPr>
        <w:tab/>
        <w:t>operating and maintenance instructions for the steering system.</w:t>
      </w:r>
    </w:p>
    <w:p w:rsidR="003D32C2" w:rsidRPr="00C903F8" w:rsidRDefault="003D32C2" w:rsidP="003D32C2">
      <w:pPr>
        <w:rPr>
          <w:lang w:val="en-US"/>
        </w:rPr>
      </w:pPr>
    </w:p>
    <w:p w:rsidR="003D32C2" w:rsidRPr="00C903F8" w:rsidRDefault="003D32C2" w:rsidP="008A407A">
      <w:pPr>
        <w:pStyle w:val="ESch"/>
        <w:rPr>
          <w:lang w:val="en-US"/>
        </w:rPr>
      </w:pPr>
      <w:r w:rsidRPr="00C903F8">
        <w:rPr>
          <w:lang w:val="en-US"/>
        </w:rPr>
        <w:t>2.</w:t>
      </w:r>
      <w:r w:rsidRPr="00C903F8">
        <w:rPr>
          <w:lang w:val="en-US"/>
        </w:rPr>
        <w:tab/>
        <w:t>Operation of the entire steering system shall be checked by means of a navigation test. If a rate-of-turn regulator is installed it shall be checked that a predetermined course can be reliably maintained and that bends can be negotiated safely.</w:t>
      </w:r>
    </w:p>
    <w:p w:rsidR="003D32C2" w:rsidRPr="00C903F8" w:rsidRDefault="003D32C2" w:rsidP="008A407A">
      <w:pPr>
        <w:pStyle w:val="ESch"/>
        <w:rPr>
          <w:lang w:val="en-GB"/>
        </w:rPr>
      </w:pPr>
    </w:p>
    <w:p w:rsidR="003D32C2" w:rsidRPr="00C903F8" w:rsidRDefault="003D32C2" w:rsidP="008A407A">
      <w:pPr>
        <w:pStyle w:val="ESch"/>
        <w:rPr>
          <w:lang w:val="en-GB"/>
        </w:rPr>
      </w:pPr>
      <w:r w:rsidRPr="00C903F8">
        <w:rPr>
          <w:lang w:val="en-GB"/>
        </w:rPr>
        <w:t>3.</w:t>
      </w:r>
      <w:r w:rsidRPr="00C903F8">
        <w:rPr>
          <w:lang w:val="en-GB"/>
        </w:rPr>
        <w:tab/>
        <w:t>Power-driven steering systems shall be inspected by a competent person:</w:t>
      </w:r>
    </w:p>
    <w:p w:rsidR="003D32C2" w:rsidRPr="00C903F8" w:rsidRDefault="005C7859" w:rsidP="008C2125">
      <w:pPr>
        <w:pStyle w:val="ESlet"/>
        <w:rPr>
          <w:lang w:val="en-GB"/>
        </w:rPr>
      </w:pPr>
      <w:r w:rsidRPr="00C903F8">
        <w:rPr>
          <w:lang w:val="en-GB"/>
        </w:rPr>
        <w:t>a)</w:t>
      </w:r>
      <w:r w:rsidR="003D32C2" w:rsidRPr="00C903F8">
        <w:rPr>
          <w:lang w:val="en-GB"/>
        </w:rPr>
        <w:tab/>
        <w:t>before being put into service;</w:t>
      </w:r>
    </w:p>
    <w:p w:rsidR="003D32C2" w:rsidRPr="00C903F8" w:rsidRDefault="005C7859" w:rsidP="008C2125">
      <w:pPr>
        <w:pStyle w:val="ESlet"/>
        <w:rPr>
          <w:lang w:val="en-US"/>
        </w:rPr>
      </w:pPr>
      <w:r w:rsidRPr="00C903F8">
        <w:rPr>
          <w:lang w:val="en-GB"/>
        </w:rPr>
        <w:t>b)</w:t>
      </w:r>
      <w:r w:rsidR="003D32C2" w:rsidRPr="00C903F8">
        <w:rPr>
          <w:lang w:val="en-US"/>
        </w:rPr>
        <w:tab/>
        <w:t>after a failure;</w:t>
      </w:r>
    </w:p>
    <w:p w:rsidR="003D32C2" w:rsidRPr="00C903F8" w:rsidRDefault="005C7859" w:rsidP="008C2125">
      <w:pPr>
        <w:pStyle w:val="ESlet"/>
        <w:rPr>
          <w:lang w:val="en-US"/>
        </w:rPr>
      </w:pPr>
      <w:r w:rsidRPr="00C903F8">
        <w:rPr>
          <w:lang w:val="en-US"/>
        </w:rPr>
        <w:t>c)</w:t>
      </w:r>
      <w:r w:rsidR="003D32C2" w:rsidRPr="00C903F8">
        <w:rPr>
          <w:lang w:val="en-US"/>
        </w:rPr>
        <w:tab/>
        <w:t>after any modification or repair;</w:t>
      </w:r>
    </w:p>
    <w:p w:rsidR="003D32C2" w:rsidRPr="00C903F8" w:rsidRDefault="005C7859" w:rsidP="008C2125">
      <w:pPr>
        <w:pStyle w:val="ESlet"/>
        <w:rPr>
          <w:lang w:val="en-US"/>
        </w:rPr>
      </w:pPr>
      <w:r w:rsidRPr="00C903F8">
        <w:rPr>
          <w:lang w:val="en-US"/>
        </w:rPr>
        <w:t>d)</w:t>
      </w:r>
      <w:r w:rsidR="003D32C2" w:rsidRPr="00C903F8">
        <w:rPr>
          <w:lang w:val="en-US"/>
        </w:rPr>
        <w:tab/>
        <w:t>regularly at least every three years.</w:t>
      </w:r>
    </w:p>
    <w:p w:rsidR="003D32C2" w:rsidRPr="00C903F8" w:rsidRDefault="003D32C2" w:rsidP="003D32C2">
      <w:pPr>
        <w:rPr>
          <w:lang w:val="en-US"/>
        </w:rPr>
      </w:pPr>
    </w:p>
    <w:p w:rsidR="003D32C2" w:rsidRPr="00C903F8" w:rsidRDefault="003D32C2" w:rsidP="008A407A">
      <w:pPr>
        <w:pStyle w:val="ESch"/>
        <w:rPr>
          <w:lang w:val="en-US"/>
        </w:rPr>
      </w:pPr>
      <w:r w:rsidRPr="00C903F8">
        <w:rPr>
          <w:lang w:val="en-US"/>
        </w:rPr>
        <w:t>4.</w:t>
      </w:r>
      <w:r w:rsidRPr="00C903F8">
        <w:rPr>
          <w:lang w:val="en-US"/>
        </w:rPr>
        <w:tab/>
        <w:t>The inspection has to cover at least:</w:t>
      </w:r>
    </w:p>
    <w:p w:rsidR="003D32C2" w:rsidRPr="00C903F8" w:rsidRDefault="005C7859" w:rsidP="008A407A">
      <w:pPr>
        <w:pStyle w:val="ESlet"/>
        <w:rPr>
          <w:lang w:val="en-US"/>
        </w:rPr>
      </w:pPr>
      <w:r w:rsidRPr="00C903F8">
        <w:rPr>
          <w:lang w:val="en-US"/>
        </w:rPr>
        <w:t>a)</w:t>
      </w:r>
      <w:r w:rsidR="003D32C2" w:rsidRPr="00C903F8">
        <w:rPr>
          <w:lang w:val="en-US"/>
        </w:rPr>
        <w:tab/>
        <w:t>a check of conformity with the approved drawings and at periodical inspections whether alterations in the steering system were made;</w:t>
      </w:r>
    </w:p>
    <w:p w:rsidR="003D32C2" w:rsidRPr="00C903F8" w:rsidRDefault="005C7859" w:rsidP="008A407A">
      <w:pPr>
        <w:pStyle w:val="ESlet"/>
        <w:rPr>
          <w:lang w:val="en-US"/>
        </w:rPr>
      </w:pPr>
      <w:r w:rsidRPr="00C903F8">
        <w:rPr>
          <w:lang w:val="en-US"/>
        </w:rPr>
        <w:t>b)</w:t>
      </w:r>
      <w:r w:rsidR="003D32C2" w:rsidRPr="00C903F8">
        <w:rPr>
          <w:lang w:val="en-US"/>
        </w:rPr>
        <w:tab/>
        <w:t>a functional test of the steering system for all operational possibilities;</w:t>
      </w:r>
    </w:p>
    <w:p w:rsidR="003D32C2" w:rsidRPr="00C903F8" w:rsidRDefault="005C7859" w:rsidP="008A407A">
      <w:pPr>
        <w:pStyle w:val="ESlet"/>
        <w:rPr>
          <w:lang w:val="en-GB"/>
        </w:rPr>
      </w:pPr>
      <w:r w:rsidRPr="00C903F8">
        <w:rPr>
          <w:lang w:val="en-US"/>
        </w:rPr>
        <w:t>c)</w:t>
      </w:r>
      <w:r w:rsidR="003D32C2" w:rsidRPr="00C903F8">
        <w:rPr>
          <w:lang w:val="en-GB"/>
        </w:rPr>
        <w:tab/>
        <w:t>a visual check and a tightness check of the hydraulic components, in particular valves, pipelines, hydraulic hoses, hydraulic cylinders, hydraulic pumps, and hydraulic strainers;</w:t>
      </w:r>
    </w:p>
    <w:p w:rsidR="003D32C2" w:rsidRPr="00C903F8" w:rsidRDefault="005C7859" w:rsidP="008A407A">
      <w:pPr>
        <w:pStyle w:val="ESlet"/>
        <w:rPr>
          <w:lang w:val="en-GB"/>
        </w:rPr>
      </w:pPr>
      <w:r w:rsidRPr="00C903F8">
        <w:rPr>
          <w:lang w:val="en-GB"/>
        </w:rPr>
        <w:t>d)</w:t>
      </w:r>
      <w:r w:rsidR="003D32C2" w:rsidRPr="00C903F8">
        <w:rPr>
          <w:lang w:val="en-GB"/>
        </w:rPr>
        <w:tab/>
        <w:t>a visual check of the electrical components, in particular relays, electric motors and safety devices;</w:t>
      </w:r>
    </w:p>
    <w:p w:rsidR="003D32C2" w:rsidRPr="00C903F8" w:rsidRDefault="003D32C2" w:rsidP="008A407A">
      <w:pPr>
        <w:pStyle w:val="ESlet"/>
        <w:rPr>
          <w:lang w:val="en-US"/>
        </w:rPr>
      </w:pPr>
      <w:r w:rsidRPr="00C903F8">
        <w:rPr>
          <w:lang w:val="en-US"/>
        </w:rPr>
        <w:t>e)</w:t>
      </w:r>
      <w:r w:rsidRPr="00C903F8">
        <w:rPr>
          <w:lang w:val="en-US"/>
        </w:rPr>
        <w:tab/>
        <w:t>a check of the optical and acoustic control devices.</w:t>
      </w:r>
    </w:p>
    <w:p w:rsidR="003D32C2" w:rsidRPr="00C903F8" w:rsidRDefault="003D32C2" w:rsidP="003D32C2">
      <w:pPr>
        <w:rPr>
          <w:lang w:val="en-US"/>
        </w:rPr>
      </w:pPr>
    </w:p>
    <w:p w:rsidR="003D32C2" w:rsidRPr="00C903F8" w:rsidRDefault="003D32C2" w:rsidP="008A407A">
      <w:pPr>
        <w:pStyle w:val="ESch"/>
        <w:rPr>
          <w:lang w:val="en-US"/>
        </w:rPr>
      </w:pPr>
      <w:r w:rsidRPr="00C903F8">
        <w:rPr>
          <w:lang w:val="en-US"/>
        </w:rPr>
        <w:t>5.</w:t>
      </w:r>
      <w:r w:rsidRPr="00C903F8">
        <w:rPr>
          <w:lang w:val="en-US"/>
        </w:rPr>
        <w:tab/>
        <w:t xml:space="preserve">An inspection </w:t>
      </w:r>
      <w:r w:rsidR="00011E41" w:rsidRPr="00C903F8">
        <w:rPr>
          <w:lang w:val="en-US"/>
        </w:rPr>
        <w:t>attestation</w:t>
      </w:r>
      <w:r w:rsidRPr="00C903F8">
        <w:rPr>
          <w:lang w:val="en-US"/>
        </w:rPr>
        <w:t>, signed by the competent person, shall be issued, showing the date of inspection.</w:t>
      </w:r>
    </w:p>
    <w:p w:rsidR="003D32C2" w:rsidRPr="00C903F8" w:rsidRDefault="003D32C2" w:rsidP="003D32C2">
      <w:pPr>
        <w:rPr>
          <w:lang w:val="en-US"/>
        </w:rPr>
      </w:pPr>
    </w:p>
    <w:p w:rsidR="00822C1C" w:rsidRPr="00C903F8" w:rsidRDefault="00822C1C" w:rsidP="00822C1C">
      <w:pPr>
        <w:pStyle w:val="ES-Titre2"/>
      </w:pPr>
      <w:bookmarkStart w:id="48" w:name="_Toc491854042"/>
      <w:r w:rsidRPr="00C903F8">
        <w:lastRenderedPageBreak/>
        <w:t>Chapter 7</w:t>
      </w:r>
      <w:r w:rsidRPr="00C903F8">
        <w:br/>
        <w:t>Wheelhouse</w:t>
      </w:r>
      <w:bookmarkEnd w:id="48"/>
    </w:p>
    <w:p w:rsidR="00822C1C" w:rsidRPr="00C903F8" w:rsidRDefault="00822C1C" w:rsidP="00822C1C">
      <w:pPr>
        <w:rPr>
          <w:rFonts w:cs="Arial"/>
          <w:b/>
          <w:i/>
          <w:noProof/>
          <w:szCs w:val="20"/>
          <w:lang w:val="en-US"/>
        </w:rPr>
      </w:pPr>
    </w:p>
    <w:p w:rsidR="00822C1C" w:rsidRPr="00C903F8" w:rsidRDefault="00822C1C" w:rsidP="00822C1C">
      <w:pPr>
        <w:pStyle w:val="ES-Titre3"/>
        <w:rPr>
          <w:lang w:val="en-US"/>
        </w:rPr>
      </w:pPr>
      <w:bookmarkStart w:id="49" w:name="_Toc491854043"/>
      <w:r w:rsidRPr="00C903F8">
        <w:rPr>
          <w:noProof/>
          <w:lang w:val="en-US"/>
        </w:rPr>
        <w:t>Article 7.01</w:t>
      </w:r>
      <w:r w:rsidRPr="00C903F8">
        <w:rPr>
          <w:noProof/>
          <w:lang w:val="en-US"/>
        </w:rPr>
        <w:br/>
      </w:r>
      <w:r w:rsidRPr="00C903F8">
        <w:rPr>
          <w:bCs/>
          <w:i/>
          <w:noProof/>
          <w:lang w:val="en-US"/>
        </w:rPr>
        <w:t>General</w:t>
      </w:r>
      <w:bookmarkEnd w:id="49"/>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1.</w:t>
      </w:r>
      <w:r w:rsidRPr="00C903F8">
        <w:rPr>
          <w:szCs w:val="20"/>
          <w:lang w:val="en-US"/>
        </w:rPr>
        <w:tab/>
        <w:t>Wheelhouses shall be arranged in such a way that the helmsman may at all times perform his task while the vessel is under way.</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2.</w:t>
      </w:r>
      <w:r w:rsidRPr="00C903F8">
        <w:rPr>
          <w:szCs w:val="20"/>
          <w:lang w:val="en-US"/>
        </w:rPr>
        <w:tab/>
        <w:t>Under normal operating conditions, sound pressure generated by the vessel and measured at the level of the helmsman's head at the steering position shall not exceed 70 dB(A).</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3.</w:t>
      </w:r>
      <w:r w:rsidRPr="00C903F8">
        <w:rPr>
          <w:szCs w:val="20"/>
          <w:lang w:val="en-US"/>
        </w:rPr>
        <w:tab/>
        <w:t>Where a wheelhouse has been designed for radar navigation by one person, the helmsman shall be able to accomplish his task while seated and all of the display or monitoring instruments and all of the controls needed for operation of the vessel shall be arranged in such a way that the helmsman may use them comfortably while the vessel is under way without leaving his position or losing sight of the radar screen.</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p>
    <w:p w:rsidR="00822C1C" w:rsidRPr="00C903F8" w:rsidRDefault="00822C1C" w:rsidP="00822C1C">
      <w:pPr>
        <w:pStyle w:val="ES-Titre3"/>
        <w:rPr>
          <w:lang w:val="en-US"/>
        </w:rPr>
      </w:pPr>
      <w:bookmarkStart w:id="50" w:name="_Toc491854044"/>
      <w:r w:rsidRPr="00C903F8">
        <w:rPr>
          <w:lang w:val="en-US"/>
        </w:rPr>
        <w:t>Article 7.02</w:t>
      </w:r>
      <w:r w:rsidRPr="00C903F8">
        <w:rPr>
          <w:lang w:val="en-US"/>
        </w:rPr>
        <w:br/>
      </w:r>
      <w:r w:rsidRPr="00C903F8">
        <w:rPr>
          <w:i/>
          <w:lang w:val="en-US"/>
        </w:rPr>
        <w:t>Unobstructed view</w:t>
      </w:r>
      <w:bookmarkEnd w:id="50"/>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1.</w:t>
      </w:r>
      <w:r w:rsidRPr="00C903F8">
        <w:rPr>
          <w:szCs w:val="20"/>
          <w:lang w:val="en-US"/>
        </w:rPr>
        <w:tab/>
        <w:t>There shall be an adequately unobstructed view in all directions from the steering position</w:t>
      </w:r>
      <w:r w:rsidR="00B35C66" w:rsidRPr="00C903F8">
        <w:rPr>
          <w:szCs w:val="20"/>
          <w:lang w:val="en-US"/>
        </w:rPr>
        <w:t>.</w:t>
      </w:r>
    </w:p>
    <w:p w:rsidR="00822C1C" w:rsidRPr="00C903F8" w:rsidRDefault="00822C1C" w:rsidP="00822C1C">
      <w:pPr>
        <w:pStyle w:val="ESch"/>
        <w:rPr>
          <w:szCs w:val="20"/>
          <w:lang w:val="en-US"/>
        </w:rPr>
      </w:pPr>
    </w:p>
    <w:p w:rsidR="00822C1C" w:rsidRPr="00C903F8" w:rsidRDefault="00BF58F6" w:rsidP="00822C1C">
      <w:pPr>
        <w:pStyle w:val="ESch"/>
        <w:rPr>
          <w:szCs w:val="20"/>
          <w:lang w:val="en-US"/>
        </w:rPr>
      </w:pPr>
      <w:r w:rsidRPr="00C903F8">
        <w:rPr>
          <w:szCs w:val="20"/>
          <w:lang w:val="en-US"/>
        </w:rPr>
        <w:t>2.</w:t>
      </w:r>
      <w:r w:rsidR="00822C1C" w:rsidRPr="00C903F8">
        <w:rPr>
          <w:szCs w:val="20"/>
          <w:lang w:val="en-US"/>
        </w:rPr>
        <w:tab/>
        <w:t>The area of obstructed vision for the helmsman ahead of the vessel in an unladen state with half of its supplies but without ballast shall not exceed 250 m.</w:t>
      </w:r>
    </w:p>
    <w:p w:rsidR="00822C1C" w:rsidRPr="00C903F8" w:rsidRDefault="00822C1C" w:rsidP="00822C1C">
      <w:pPr>
        <w:pStyle w:val="ESch"/>
        <w:rPr>
          <w:szCs w:val="20"/>
          <w:lang w:val="en-US"/>
        </w:rPr>
      </w:pPr>
    </w:p>
    <w:p w:rsidR="00822C1C" w:rsidRPr="00C903F8" w:rsidRDefault="00822C1C" w:rsidP="00822C1C">
      <w:pPr>
        <w:pStyle w:val="ESchpar"/>
        <w:rPr>
          <w:lang w:val="en-US"/>
        </w:rPr>
      </w:pPr>
      <w:r w:rsidRPr="00C903F8">
        <w:rPr>
          <w:szCs w:val="20"/>
          <w:lang w:val="en-US"/>
        </w:rPr>
        <w:t>To further reduce any area of obstructed vision, only appropriate auxiliary means shall be used.</w:t>
      </w:r>
    </w:p>
    <w:p w:rsidR="00822C1C" w:rsidRPr="00C903F8" w:rsidRDefault="00822C1C" w:rsidP="00822C1C">
      <w:pPr>
        <w:pStyle w:val="ESch"/>
        <w:rPr>
          <w:szCs w:val="20"/>
          <w:lang w:val="en-US"/>
        </w:rPr>
      </w:pPr>
    </w:p>
    <w:p w:rsidR="00822C1C" w:rsidRPr="00C903F8" w:rsidRDefault="00822C1C" w:rsidP="00822C1C">
      <w:pPr>
        <w:pStyle w:val="ESchpar"/>
        <w:rPr>
          <w:lang w:val="en-US"/>
        </w:rPr>
      </w:pPr>
      <w:r w:rsidRPr="00C903F8">
        <w:rPr>
          <w:szCs w:val="20"/>
          <w:lang w:val="en-US"/>
        </w:rPr>
        <w:t>Auxiliary means for reducing the area of obstructed vision may not be taken into account during the inspection.</w:t>
      </w:r>
    </w:p>
    <w:p w:rsidR="00822C1C" w:rsidRPr="00C903F8" w:rsidRDefault="00822C1C" w:rsidP="00822C1C">
      <w:pPr>
        <w:pStyle w:val="ESch"/>
        <w:rPr>
          <w:szCs w:val="20"/>
          <w:lang w:val="en-US"/>
        </w:rPr>
      </w:pPr>
    </w:p>
    <w:p w:rsidR="00822C1C" w:rsidRPr="00C903F8" w:rsidRDefault="00BF58F6" w:rsidP="00822C1C">
      <w:pPr>
        <w:pStyle w:val="ESch"/>
        <w:rPr>
          <w:szCs w:val="20"/>
          <w:lang w:val="en-US"/>
        </w:rPr>
      </w:pPr>
      <w:r w:rsidRPr="00C903F8">
        <w:rPr>
          <w:szCs w:val="20"/>
          <w:lang w:val="en-US"/>
        </w:rPr>
        <w:t>3.</w:t>
      </w:r>
      <w:r w:rsidR="00822C1C" w:rsidRPr="00C903F8">
        <w:rPr>
          <w:szCs w:val="20"/>
          <w:lang w:val="en-US"/>
        </w:rPr>
        <w:tab/>
        <w:t>The helmsman's field of unobstructed vision at his normal position shall be at least 240° of the horizon and at least 140° within the forward semicircle.</w:t>
      </w:r>
    </w:p>
    <w:p w:rsidR="00822C1C" w:rsidRPr="00C903F8" w:rsidRDefault="00822C1C" w:rsidP="00822C1C">
      <w:pPr>
        <w:pStyle w:val="ESchpar"/>
        <w:rPr>
          <w:szCs w:val="20"/>
          <w:lang w:val="en-US"/>
        </w:rPr>
      </w:pPr>
    </w:p>
    <w:p w:rsidR="00822C1C" w:rsidRPr="00C903F8" w:rsidRDefault="00822C1C" w:rsidP="00822C1C">
      <w:pPr>
        <w:pStyle w:val="ESchpar"/>
        <w:rPr>
          <w:lang w:val="en-US"/>
        </w:rPr>
      </w:pPr>
      <w:r w:rsidRPr="00C903F8">
        <w:rPr>
          <w:szCs w:val="20"/>
          <w:lang w:val="en-US"/>
        </w:rPr>
        <w:t>No window frame, post or superstructure shall lie within the helmsman's usual axis of vision.</w:t>
      </w:r>
    </w:p>
    <w:p w:rsidR="00822C1C" w:rsidRPr="00C903F8" w:rsidRDefault="00822C1C" w:rsidP="00822C1C">
      <w:pPr>
        <w:pStyle w:val="ESchpar"/>
        <w:rPr>
          <w:szCs w:val="20"/>
          <w:lang w:val="en-US"/>
        </w:rPr>
      </w:pPr>
    </w:p>
    <w:p w:rsidR="00822C1C" w:rsidRPr="00C903F8" w:rsidRDefault="00822C1C" w:rsidP="00822C1C">
      <w:pPr>
        <w:pStyle w:val="ESchpar"/>
        <w:rPr>
          <w:lang w:val="en-US"/>
        </w:rPr>
      </w:pPr>
      <w:r w:rsidRPr="00C903F8">
        <w:rPr>
          <w:szCs w:val="20"/>
          <w:lang w:val="en-US"/>
        </w:rPr>
        <w:t xml:space="preserve">Even in the case where a field of unobstructed vision of at least 240° of the horizon is provided, the inspection body may require other measures and in particular the installation of appropriate auxiliary means if no sufficiently unobstructed view is provided towards the rear. </w:t>
      </w:r>
    </w:p>
    <w:p w:rsidR="00822C1C" w:rsidRPr="00C903F8" w:rsidRDefault="00822C1C" w:rsidP="00822C1C">
      <w:pPr>
        <w:pStyle w:val="ESchpar"/>
        <w:rPr>
          <w:szCs w:val="20"/>
          <w:lang w:val="en-US"/>
        </w:rPr>
      </w:pPr>
    </w:p>
    <w:p w:rsidR="00822C1C" w:rsidRPr="00C903F8" w:rsidRDefault="00822C1C" w:rsidP="00822C1C">
      <w:pPr>
        <w:pStyle w:val="ESchpar"/>
        <w:rPr>
          <w:lang w:val="en-US"/>
        </w:rPr>
      </w:pPr>
      <w:r w:rsidRPr="00C903F8">
        <w:rPr>
          <w:szCs w:val="20"/>
          <w:lang w:val="en-US"/>
        </w:rPr>
        <w:t>The lower edge of the side windows must be located as low as possible and the upper edge of the side and rear windows must be located as high as possible.</w:t>
      </w:r>
    </w:p>
    <w:p w:rsidR="00822C1C" w:rsidRPr="00C903F8" w:rsidRDefault="00822C1C" w:rsidP="00822C1C">
      <w:pPr>
        <w:pStyle w:val="ESchpar"/>
        <w:rPr>
          <w:szCs w:val="20"/>
          <w:lang w:val="en-US"/>
        </w:rPr>
      </w:pPr>
    </w:p>
    <w:p w:rsidR="00822C1C" w:rsidRPr="00C903F8" w:rsidRDefault="00822C1C" w:rsidP="00822C1C">
      <w:pPr>
        <w:pStyle w:val="ESchpar"/>
        <w:rPr>
          <w:lang w:val="en-US"/>
        </w:rPr>
      </w:pPr>
      <w:r w:rsidRPr="00C903F8">
        <w:rPr>
          <w:szCs w:val="20"/>
          <w:lang w:val="en-US"/>
        </w:rPr>
        <w:t>In determining whether the requirements in this Article for visibility from the wheelhouse are met, the helmsman shall be assumed to have a height of eye of 1,65 m above the</w:t>
      </w:r>
      <w:r w:rsidR="007C7F1D" w:rsidRPr="00C903F8">
        <w:rPr>
          <w:szCs w:val="20"/>
          <w:lang w:val="en-US"/>
        </w:rPr>
        <w:t xml:space="preserve"> wheelhouse floor at</w:t>
      </w:r>
      <w:r w:rsidRPr="00C903F8">
        <w:rPr>
          <w:szCs w:val="20"/>
          <w:lang w:val="en-US"/>
        </w:rPr>
        <w:t xml:space="preserve"> the steering position.</w:t>
      </w:r>
    </w:p>
    <w:p w:rsidR="00822C1C" w:rsidRPr="00C903F8" w:rsidRDefault="00822C1C" w:rsidP="00822C1C">
      <w:pPr>
        <w:pStyle w:val="ESch"/>
        <w:rPr>
          <w:szCs w:val="20"/>
          <w:lang w:val="en-US"/>
        </w:rPr>
      </w:pPr>
    </w:p>
    <w:p w:rsidR="00D94C10" w:rsidRPr="00C903F8" w:rsidRDefault="00D94C10" w:rsidP="00822C1C">
      <w:pPr>
        <w:pStyle w:val="ESch"/>
        <w:rPr>
          <w:szCs w:val="20"/>
          <w:lang w:val="en-US"/>
        </w:rPr>
      </w:pPr>
      <w:r w:rsidRPr="00C903F8">
        <w:rPr>
          <w:szCs w:val="20"/>
          <w:lang w:val="en-US"/>
        </w:rPr>
        <w:br w:type="page"/>
      </w:r>
    </w:p>
    <w:p w:rsidR="00822C1C" w:rsidRPr="00C903F8" w:rsidRDefault="00822C1C" w:rsidP="00822C1C">
      <w:pPr>
        <w:pStyle w:val="ESch"/>
        <w:rPr>
          <w:szCs w:val="20"/>
          <w:lang w:val="en-US"/>
        </w:rPr>
      </w:pPr>
      <w:r w:rsidRPr="00C903F8">
        <w:rPr>
          <w:szCs w:val="20"/>
          <w:lang w:val="en-US"/>
        </w:rPr>
        <w:lastRenderedPageBreak/>
        <w:t>4.</w:t>
      </w:r>
      <w:r w:rsidRPr="00C903F8">
        <w:rPr>
          <w:szCs w:val="20"/>
          <w:lang w:val="en-US"/>
        </w:rPr>
        <w:tab/>
        <w:t>The upper edge of the forward</w:t>
      </w:r>
      <w:r w:rsidR="009E13C8">
        <w:rPr>
          <w:szCs w:val="20"/>
          <w:lang w:val="en-US"/>
        </w:rPr>
        <w:t>-</w:t>
      </w:r>
      <w:r w:rsidRPr="00C903F8">
        <w:rPr>
          <w:szCs w:val="20"/>
          <w:lang w:val="en-US"/>
        </w:rPr>
        <w:t>facing windows of the wheelhouse shall be high enough to allow a person at the steering position a clear forward view.</w:t>
      </w:r>
    </w:p>
    <w:p w:rsidR="00822C1C" w:rsidRPr="00C903F8" w:rsidRDefault="00822C1C" w:rsidP="00822C1C">
      <w:pPr>
        <w:pStyle w:val="ESchpar"/>
        <w:rPr>
          <w:szCs w:val="20"/>
          <w:lang w:val="en-US"/>
        </w:rPr>
      </w:pPr>
    </w:p>
    <w:p w:rsidR="00822C1C" w:rsidRPr="00C903F8" w:rsidRDefault="00822C1C" w:rsidP="00822C1C">
      <w:pPr>
        <w:pStyle w:val="ESchpar"/>
        <w:rPr>
          <w:lang w:val="en-US"/>
        </w:rPr>
      </w:pPr>
      <w:r w:rsidRPr="00C903F8">
        <w:rPr>
          <w:szCs w:val="20"/>
          <w:lang w:val="en-US"/>
        </w:rPr>
        <w:t>This requirement shall have been fulfilled when a person at the steering position with height of eye of 1,80 m have a clear forward view to at least 10° above the horizontal at eye-level height.</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5.</w:t>
      </w:r>
      <w:r w:rsidRPr="00C903F8">
        <w:rPr>
          <w:szCs w:val="20"/>
          <w:lang w:val="en-US"/>
        </w:rPr>
        <w:tab/>
        <w:t>There shall in all weathers be appropriate means of providing a clear view through the front windows.</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6.</w:t>
      </w:r>
      <w:r w:rsidRPr="00C903F8">
        <w:rPr>
          <w:szCs w:val="20"/>
          <w:lang w:val="en-US"/>
        </w:rPr>
        <w:tab/>
        <w:t>The glazing used in wheelhouses shall be made of safety glass and have a light transmission of at least 75 %.</w:t>
      </w:r>
    </w:p>
    <w:p w:rsidR="00822C1C" w:rsidRPr="00C903F8" w:rsidRDefault="00822C1C" w:rsidP="00822C1C">
      <w:pPr>
        <w:pStyle w:val="ESch"/>
        <w:rPr>
          <w:szCs w:val="20"/>
          <w:lang w:val="en-US"/>
        </w:rPr>
      </w:pPr>
    </w:p>
    <w:p w:rsidR="00822C1C" w:rsidRPr="00C903F8" w:rsidRDefault="00822C1C" w:rsidP="00822C1C">
      <w:pPr>
        <w:pStyle w:val="ESchpar"/>
        <w:rPr>
          <w:szCs w:val="20"/>
          <w:lang w:val="en-US"/>
        </w:rPr>
      </w:pPr>
      <w:r w:rsidRPr="00C903F8">
        <w:rPr>
          <w:szCs w:val="20"/>
          <w:lang w:val="en-US"/>
        </w:rPr>
        <w:t xml:space="preserve">To avoid reflections, the wheelhouse front windows must be glare-free or fitted so as to exclude reflections effectively. </w:t>
      </w:r>
    </w:p>
    <w:p w:rsidR="00822C1C" w:rsidRPr="00C903F8" w:rsidRDefault="00822C1C" w:rsidP="00822C1C">
      <w:pPr>
        <w:pStyle w:val="ESchpar"/>
        <w:rPr>
          <w:szCs w:val="20"/>
          <w:lang w:val="en-US"/>
        </w:rPr>
      </w:pPr>
    </w:p>
    <w:p w:rsidR="00822C1C" w:rsidRPr="00C903F8" w:rsidRDefault="006777B9" w:rsidP="00822C1C">
      <w:pPr>
        <w:pStyle w:val="ESchpar"/>
        <w:rPr>
          <w:lang w:val="en-US"/>
        </w:rPr>
      </w:pPr>
      <w:r w:rsidRPr="00C903F8">
        <w:rPr>
          <w:szCs w:val="20"/>
          <w:lang w:val="en-US"/>
        </w:rPr>
        <w:t>The</w:t>
      </w:r>
      <w:r w:rsidR="00822C1C" w:rsidRPr="00C903F8">
        <w:rPr>
          <w:szCs w:val="20"/>
          <w:lang w:val="en-US"/>
        </w:rPr>
        <w:t xml:space="preserve"> requirement </w:t>
      </w:r>
      <w:r w:rsidRPr="00C903F8">
        <w:rPr>
          <w:szCs w:val="20"/>
          <w:lang w:val="en-US"/>
        </w:rPr>
        <w:t xml:space="preserve">of the second sentence </w:t>
      </w:r>
      <w:r w:rsidR="00822C1C" w:rsidRPr="00C903F8">
        <w:rPr>
          <w:szCs w:val="20"/>
          <w:lang w:val="en-US"/>
        </w:rPr>
        <w:t>shall have been fulfilled when the windows are inclined from the vertical plane at an angle of not less than 10° and not more than 25°.</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p>
    <w:p w:rsidR="00822C1C" w:rsidRPr="00C903F8" w:rsidRDefault="00822C1C" w:rsidP="00822C1C">
      <w:pPr>
        <w:pStyle w:val="ES-Titre3"/>
        <w:rPr>
          <w:i/>
          <w:lang w:val="en-US"/>
        </w:rPr>
      </w:pPr>
      <w:bookmarkStart w:id="51" w:name="_Toc491854045"/>
      <w:r w:rsidRPr="00C903F8">
        <w:rPr>
          <w:lang w:val="en-US"/>
        </w:rPr>
        <w:t>Article 7.03</w:t>
      </w:r>
      <w:r w:rsidRPr="00C903F8">
        <w:rPr>
          <w:lang w:val="en-US"/>
        </w:rPr>
        <w:br/>
      </w:r>
      <w:r w:rsidRPr="00C903F8">
        <w:rPr>
          <w:i/>
          <w:lang w:val="en-US"/>
        </w:rPr>
        <w:t>General requirements concerning control, indicating and monitoring equipment</w:t>
      </w:r>
      <w:bookmarkEnd w:id="51"/>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1.</w:t>
      </w:r>
      <w:r w:rsidRPr="00C903F8">
        <w:rPr>
          <w:szCs w:val="20"/>
          <w:lang w:val="en-US"/>
        </w:rPr>
        <w:tab/>
        <w:t xml:space="preserve">Control equipment </w:t>
      </w:r>
      <w:r w:rsidR="00D94C10" w:rsidRPr="00C903F8">
        <w:rPr>
          <w:szCs w:val="20"/>
          <w:lang w:val="en-US"/>
        </w:rPr>
        <w:t>n</w:t>
      </w:r>
      <w:r w:rsidRPr="00C903F8">
        <w:rPr>
          <w:szCs w:val="20"/>
          <w:lang w:val="en-US"/>
        </w:rPr>
        <w:t>eeded to operate the vessel shall be brought into its operating position easily. That position shall be unambiguously clear.</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2.</w:t>
      </w:r>
      <w:r w:rsidRPr="00C903F8">
        <w:rPr>
          <w:szCs w:val="20"/>
          <w:lang w:val="en-US"/>
        </w:rPr>
        <w:tab/>
        <w:t>Monitoring instruments shall be easily legible. It shall be possible to</w:t>
      </w:r>
      <w:r w:rsidR="00E0050D" w:rsidRPr="00C903F8">
        <w:rPr>
          <w:szCs w:val="20"/>
          <w:lang w:val="en-US"/>
        </w:rPr>
        <w:t xml:space="preserve"> dim</w:t>
      </w:r>
      <w:r w:rsidRPr="00C903F8">
        <w:rPr>
          <w:szCs w:val="20"/>
          <w:lang w:val="en-US"/>
        </w:rPr>
        <w:t xml:space="preserve"> their lighting down to their extinction. Light sources shall be neither intrusive nor impair the legibility of the monitoring instruments.</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3.</w:t>
      </w:r>
      <w:r w:rsidRPr="00C903F8">
        <w:rPr>
          <w:szCs w:val="20"/>
          <w:lang w:val="en-US"/>
        </w:rPr>
        <w:tab/>
        <w:t>There shall be a system for testing the warning and indicating lights.</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4.</w:t>
      </w:r>
      <w:r w:rsidRPr="00C903F8">
        <w:rPr>
          <w:szCs w:val="20"/>
          <w:lang w:val="en-US"/>
        </w:rPr>
        <w:tab/>
        <w:t>It shall be possible to clearly establish whether a system is in operation. If its functioning is indicated by means of an indicating light, this shall be green.</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5.</w:t>
      </w:r>
      <w:r w:rsidRPr="00C903F8">
        <w:rPr>
          <w:szCs w:val="20"/>
          <w:lang w:val="en-US"/>
        </w:rPr>
        <w:tab/>
        <w:t>Any malfunctioning or failure of systems that require monitoring shall be indicated by means of red warning lights.</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6.</w:t>
      </w:r>
      <w:r w:rsidRPr="00C903F8">
        <w:rPr>
          <w:szCs w:val="20"/>
          <w:lang w:val="en-US"/>
        </w:rPr>
        <w:tab/>
        <w:t>An audible warning shall sound at the same time that a red warning light lights up. Audible warnings may be given by a single, collective signal. The sound pressure level of that signal shall exceed the maximum sound pressure level of the ambient noise at the steering position by at least 3 dB(A).</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7.</w:t>
      </w:r>
      <w:r w:rsidRPr="00C903F8">
        <w:rPr>
          <w:szCs w:val="20"/>
          <w:lang w:val="en-US"/>
        </w:rPr>
        <w:tab/>
        <w:t>The audible warning shall be capable of being switched off after a malfunction or failure has been acknowledged. Such shutdown shall not prevent the alarm signal from being triggered by other malfunctions. The red warning lights shall only go out when the malfunction has been corrected.</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8.</w:t>
      </w:r>
      <w:r w:rsidRPr="00C903F8">
        <w:rPr>
          <w:szCs w:val="20"/>
          <w:lang w:val="en-US"/>
        </w:rPr>
        <w:tab/>
      </w:r>
      <w:r w:rsidR="00DD67C0" w:rsidRPr="003B0440">
        <w:rPr>
          <w:szCs w:val="20"/>
          <w:lang w:val="en-US"/>
        </w:rPr>
        <w:t>The monitoring and indicating devices shall be automatically switched to an alternative power source if their own power source fails</w:t>
      </w:r>
      <w:r w:rsidRPr="003B0440">
        <w:rPr>
          <w:szCs w:val="20"/>
          <w:lang w:val="en-US"/>
        </w:rPr>
        <w:t>.</w:t>
      </w:r>
    </w:p>
    <w:p w:rsidR="00822C1C" w:rsidRPr="00C903F8" w:rsidRDefault="00822C1C" w:rsidP="00822C1C">
      <w:pPr>
        <w:pStyle w:val="ESch"/>
        <w:rPr>
          <w:szCs w:val="20"/>
          <w:lang w:val="en-US"/>
        </w:rPr>
      </w:pPr>
    </w:p>
    <w:p w:rsidR="00822C1C" w:rsidRPr="00C903F8" w:rsidRDefault="00D94C10" w:rsidP="00822C1C">
      <w:pPr>
        <w:pStyle w:val="ESch"/>
        <w:rPr>
          <w:szCs w:val="20"/>
          <w:lang w:val="en-US"/>
        </w:rPr>
      </w:pPr>
      <w:r w:rsidRPr="00C903F8">
        <w:rPr>
          <w:szCs w:val="20"/>
          <w:lang w:val="en-US"/>
        </w:rPr>
        <w:br w:type="page"/>
      </w:r>
    </w:p>
    <w:p w:rsidR="00822C1C" w:rsidRPr="00C903F8" w:rsidRDefault="00822C1C" w:rsidP="00822C1C">
      <w:pPr>
        <w:pStyle w:val="ES-Titre3"/>
        <w:rPr>
          <w:lang w:val="en-US"/>
        </w:rPr>
      </w:pPr>
      <w:bookmarkStart w:id="52" w:name="_Toc491854046"/>
      <w:r w:rsidRPr="00C903F8">
        <w:rPr>
          <w:lang w:val="en-US"/>
        </w:rPr>
        <w:lastRenderedPageBreak/>
        <w:t>Article 7.04</w:t>
      </w:r>
      <w:r w:rsidRPr="00C903F8">
        <w:rPr>
          <w:lang w:val="en-US"/>
        </w:rPr>
        <w:br/>
      </w:r>
      <w:r w:rsidRPr="00C903F8">
        <w:rPr>
          <w:i/>
          <w:lang w:val="en-US"/>
        </w:rPr>
        <w:t>Specific requirements concerning control, indicating and monitoring equipment of main engines and steering system</w:t>
      </w:r>
      <w:bookmarkEnd w:id="52"/>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1.</w:t>
      </w:r>
      <w:r w:rsidRPr="00C903F8">
        <w:rPr>
          <w:szCs w:val="20"/>
          <w:lang w:val="en-US"/>
        </w:rPr>
        <w:tab/>
        <w:t>It shall be possible to control and monitor the main engines and steering systems from the steering position. Main engines fitted with a clutch which can be actuated from the steering position,</w:t>
      </w:r>
      <w:r w:rsidR="009E13C8">
        <w:rPr>
          <w:szCs w:val="20"/>
          <w:lang w:val="en-US"/>
        </w:rPr>
        <w:t xml:space="preserve"> </w:t>
      </w:r>
      <w:r w:rsidRPr="00C903F8">
        <w:rPr>
          <w:szCs w:val="20"/>
          <w:lang w:val="en-US"/>
        </w:rPr>
        <w:t>or driving a controllable pitch propeller which can be controlled from the steering position, need only to be capable of being started up and shut down from the engine room.</w:t>
      </w:r>
    </w:p>
    <w:p w:rsidR="00D94C10" w:rsidRPr="00C903F8" w:rsidRDefault="00D94C10"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2.</w:t>
      </w:r>
      <w:r w:rsidRPr="00C903F8">
        <w:rPr>
          <w:szCs w:val="20"/>
          <w:lang w:val="en-US"/>
        </w:rPr>
        <w:tab/>
        <w:t>The control for each main engine shall take the form of a single lever which prescribes an arc within a vertical plane that is approximately parallel to the longitudinal axis of the vessel. Movement of that lever towards the bow of the vessel shall cause forward motion, whereas movement of the lever towards the stern shall cause the vessel to go astern. Clutch engagement and reversal of the direction of motion shall take place about the neutral position of that lever. The lever shall catch in the neutral position.</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3.</w:t>
      </w:r>
      <w:r w:rsidRPr="00C903F8">
        <w:rPr>
          <w:szCs w:val="20"/>
          <w:lang w:val="en-US"/>
        </w:rPr>
        <w:tab/>
        <w:t>The direction of the propulsion thrust imparted to the vessel and the rotational speed of the propeller or main engines shall be displayed.</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4.</w:t>
      </w:r>
      <w:r w:rsidRPr="00C903F8">
        <w:rPr>
          <w:szCs w:val="20"/>
          <w:lang w:val="en-US"/>
        </w:rPr>
        <w:tab/>
        <w:t>The indicating and monitoring devices required by Article 6.07(2), Article 8.03(2), and Article</w:t>
      </w:r>
      <w:r w:rsidR="00FE3FE9" w:rsidRPr="00C903F8">
        <w:rPr>
          <w:szCs w:val="20"/>
          <w:lang w:val="en-US"/>
        </w:rPr>
        <w:t> </w:t>
      </w:r>
      <w:r w:rsidRPr="00C903F8">
        <w:rPr>
          <w:szCs w:val="20"/>
          <w:lang w:val="en-US"/>
        </w:rPr>
        <w:t>8.05(13), shall be located at the steering position.</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5.</w:t>
      </w:r>
      <w:r w:rsidRPr="00C903F8">
        <w:rPr>
          <w:szCs w:val="20"/>
          <w:lang w:val="en-US"/>
        </w:rPr>
        <w:tab/>
        <w:t>Vessels with wheelhouses designed for radar navigation by one person shall be steered by means of a lever. It shall be possible to move that lever easily by hand. The position of the lever in relation to the longitudinal axis of the vessel shall correspond precisely to the position of the rudder blades. It shall be possible to release hold of the lever in any given position without that of the rudder blades changing. The neutral position of the lever shall be clearly perceptible.</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6.</w:t>
      </w:r>
      <w:r w:rsidRPr="00C903F8">
        <w:rPr>
          <w:szCs w:val="20"/>
          <w:lang w:val="en-US"/>
        </w:rPr>
        <w:tab/>
        <w:t xml:space="preserve">Where the vessel is fitted with bow rudders or special rudders, particularly for going astern, these shall be actuated in wheelhouses designed for radar navigation by one person by special levers which, </w:t>
      </w:r>
      <w:r w:rsidRPr="00C903F8">
        <w:rPr>
          <w:i/>
          <w:szCs w:val="20"/>
          <w:lang w:val="en-US"/>
        </w:rPr>
        <w:t>mutatis mutandis</w:t>
      </w:r>
      <w:r w:rsidRPr="00C903F8">
        <w:rPr>
          <w:szCs w:val="20"/>
          <w:lang w:val="en-US"/>
        </w:rPr>
        <w:t xml:space="preserve">, meet the requirements set out in </w:t>
      </w:r>
      <w:r w:rsidR="007828F7" w:rsidRPr="00C903F8">
        <w:rPr>
          <w:szCs w:val="20"/>
          <w:lang w:val="en-US"/>
        </w:rPr>
        <w:t>(</w:t>
      </w:r>
      <w:r w:rsidRPr="00C903F8">
        <w:rPr>
          <w:szCs w:val="20"/>
          <w:lang w:val="en-US"/>
        </w:rPr>
        <w:t>5</w:t>
      </w:r>
      <w:r w:rsidR="007828F7" w:rsidRPr="00C903F8">
        <w:rPr>
          <w:szCs w:val="20"/>
          <w:lang w:val="en-US"/>
        </w:rPr>
        <w:t>)</w:t>
      </w:r>
      <w:r w:rsidRPr="00C903F8">
        <w:rPr>
          <w:szCs w:val="20"/>
          <w:lang w:val="en-US"/>
        </w:rPr>
        <w:t>.</w:t>
      </w:r>
    </w:p>
    <w:p w:rsidR="00822C1C" w:rsidRPr="00C903F8" w:rsidRDefault="00822C1C" w:rsidP="00822C1C">
      <w:pPr>
        <w:pStyle w:val="ESch"/>
        <w:rPr>
          <w:szCs w:val="20"/>
          <w:lang w:val="en-US"/>
        </w:rPr>
      </w:pPr>
    </w:p>
    <w:p w:rsidR="00822C1C" w:rsidRPr="00C903F8" w:rsidRDefault="00822C1C" w:rsidP="00822C1C">
      <w:pPr>
        <w:pStyle w:val="ESchpar"/>
        <w:rPr>
          <w:lang w:val="en-US"/>
        </w:rPr>
      </w:pPr>
      <w:r w:rsidRPr="00C903F8">
        <w:rPr>
          <w:szCs w:val="20"/>
          <w:lang w:val="en-US"/>
        </w:rPr>
        <w:t>That requirement shall also apply where, in convoys, the steering system fitted to craft other than those powering the convoy is used.</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7.</w:t>
      </w:r>
      <w:r w:rsidRPr="00C903F8">
        <w:rPr>
          <w:szCs w:val="20"/>
          <w:lang w:val="en-US"/>
        </w:rPr>
        <w:tab/>
        <w:t>Where rate-of-turn regulators are used, it shall be possible for the rate-of-turn control to be released in any given position without altering the speed selected.</w:t>
      </w:r>
    </w:p>
    <w:p w:rsidR="00822C1C" w:rsidRPr="00C903F8" w:rsidRDefault="00822C1C" w:rsidP="00822C1C">
      <w:pPr>
        <w:pStyle w:val="ESch"/>
        <w:rPr>
          <w:szCs w:val="20"/>
          <w:lang w:val="en-US"/>
        </w:rPr>
      </w:pPr>
    </w:p>
    <w:p w:rsidR="00822C1C" w:rsidRPr="00C903F8" w:rsidRDefault="00822C1C" w:rsidP="00822C1C">
      <w:pPr>
        <w:pStyle w:val="ESchpar"/>
        <w:rPr>
          <w:lang w:val="en-US"/>
        </w:rPr>
      </w:pPr>
      <w:r w:rsidRPr="00C903F8">
        <w:rPr>
          <w:szCs w:val="20"/>
          <w:lang w:val="en-US"/>
        </w:rPr>
        <w:t xml:space="preserve">The control shall turn through a wide enough arc to guarantee adequately precise positioning. The neutral position shall be clearly perceptible from the other positions. </w:t>
      </w:r>
      <w:r w:rsidR="00E0050D" w:rsidRPr="00C903F8">
        <w:rPr>
          <w:szCs w:val="20"/>
          <w:lang w:val="en-US"/>
        </w:rPr>
        <w:t xml:space="preserve">It shall be possible to increase or decrease the level of </w:t>
      </w:r>
      <w:r w:rsidRPr="00C903F8">
        <w:rPr>
          <w:szCs w:val="20"/>
          <w:lang w:val="en-US"/>
        </w:rPr>
        <w:t>illumination</w:t>
      </w:r>
      <w:r w:rsidR="00E0050D" w:rsidRPr="00C903F8">
        <w:rPr>
          <w:szCs w:val="20"/>
          <w:lang w:val="en-US"/>
        </w:rPr>
        <w:t>.</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8.</w:t>
      </w:r>
      <w:r w:rsidRPr="00C903F8">
        <w:rPr>
          <w:szCs w:val="20"/>
          <w:lang w:val="en-US"/>
        </w:rPr>
        <w:tab/>
        <w:t>The remote-control equipment for the entire steering system shall be installed in a permanent manner and be arranged in such a way that the course selected is clearly visible. If the remote control equipment can be disengaged, it shall be equipped with an indicating device displaying the respective operational conditions ‘in service’ or ‘out of service’. The disposition and manipulation of the controls shall be functional.</w:t>
      </w:r>
    </w:p>
    <w:p w:rsidR="00822C1C" w:rsidRPr="00C903F8" w:rsidRDefault="00822C1C" w:rsidP="00822C1C">
      <w:pPr>
        <w:pStyle w:val="ESch"/>
        <w:rPr>
          <w:szCs w:val="20"/>
          <w:lang w:val="en-US"/>
        </w:rPr>
      </w:pPr>
    </w:p>
    <w:p w:rsidR="00D94C10" w:rsidRPr="00C903F8" w:rsidRDefault="00D94C10" w:rsidP="00822C1C">
      <w:pPr>
        <w:pStyle w:val="ESch"/>
        <w:rPr>
          <w:szCs w:val="20"/>
          <w:lang w:val="en-US"/>
        </w:rPr>
      </w:pPr>
      <w:r w:rsidRPr="00C903F8">
        <w:rPr>
          <w:szCs w:val="20"/>
          <w:lang w:val="en-US"/>
        </w:rPr>
        <w:br w:type="page"/>
      </w:r>
    </w:p>
    <w:p w:rsidR="00822C1C" w:rsidRPr="00C903F8" w:rsidRDefault="00822C1C" w:rsidP="00822C1C">
      <w:pPr>
        <w:pStyle w:val="ESchpar"/>
        <w:rPr>
          <w:lang w:val="en-US"/>
        </w:rPr>
      </w:pPr>
      <w:r w:rsidRPr="00C903F8">
        <w:rPr>
          <w:szCs w:val="20"/>
          <w:lang w:val="en-US"/>
        </w:rPr>
        <w:lastRenderedPageBreak/>
        <w:t>For systems that are subsidiary to the steering system, such as active bow thrusters, remote</w:t>
      </w:r>
      <w:r w:rsidR="009E13C8">
        <w:rPr>
          <w:szCs w:val="20"/>
          <w:lang w:val="en-US"/>
        </w:rPr>
        <w:t xml:space="preserve"> </w:t>
      </w:r>
      <w:r w:rsidRPr="00C903F8">
        <w:rPr>
          <w:szCs w:val="20"/>
          <w:lang w:val="en-US"/>
        </w:rPr>
        <w:t>control equipment not permanently installed shall be acceptable provided that such a subsidiary installation can be activated by means of an override at any time within the wheelhouse.</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9.</w:t>
      </w:r>
      <w:r w:rsidRPr="00C903F8">
        <w:rPr>
          <w:szCs w:val="20"/>
          <w:lang w:val="en-US"/>
        </w:rPr>
        <w:tab/>
        <w:t>In the case of rudder-propeller, water-jet, cycloidal-propeller and bow-thruster systems, equivalent devices shall be acceptable as control, indicating and monitoring devices.</w:t>
      </w:r>
    </w:p>
    <w:p w:rsidR="00822C1C" w:rsidRPr="00C903F8" w:rsidRDefault="00822C1C" w:rsidP="00822C1C">
      <w:pPr>
        <w:pStyle w:val="ESchpar"/>
        <w:rPr>
          <w:szCs w:val="20"/>
          <w:lang w:val="en-US"/>
        </w:rPr>
      </w:pPr>
    </w:p>
    <w:p w:rsidR="00822C1C" w:rsidRPr="00C903F8" w:rsidRDefault="00822C1C" w:rsidP="00822C1C">
      <w:pPr>
        <w:pStyle w:val="ESchpar"/>
        <w:rPr>
          <w:lang w:val="en-US"/>
        </w:rPr>
      </w:pPr>
      <w:r w:rsidRPr="00C903F8">
        <w:rPr>
          <w:szCs w:val="20"/>
          <w:lang w:val="en-US"/>
        </w:rPr>
        <w:t xml:space="preserve">The requirements set out in </w:t>
      </w:r>
      <w:r w:rsidR="007828F7" w:rsidRPr="00C903F8">
        <w:rPr>
          <w:szCs w:val="20"/>
          <w:lang w:val="en-US"/>
        </w:rPr>
        <w:t>(</w:t>
      </w:r>
      <w:r w:rsidRPr="00C903F8">
        <w:rPr>
          <w:szCs w:val="20"/>
          <w:lang w:val="en-US"/>
        </w:rPr>
        <w:t>1</w:t>
      </w:r>
      <w:r w:rsidR="007828F7" w:rsidRPr="00C903F8">
        <w:rPr>
          <w:szCs w:val="20"/>
          <w:lang w:val="en-US"/>
        </w:rPr>
        <w:t>)</w:t>
      </w:r>
      <w:r w:rsidRPr="00C903F8">
        <w:rPr>
          <w:szCs w:val="20"/>
          <w:lang w:val="en-US"/>
        </w:rPr>
        <w:t xml:space="preserve"> to </w:t>
      </w:r>
      <w:r w:rsidR="007828F7" w:rsidRPr="00C903F8">
        <w:rPr>
          <w:szCs w:val="20"/>
          <w:lang w:val="en-US"/>
        </w:rPr>
        <w:t>(</w:t>
      </w:r>
      <w:r w:rsidRPr="00C903F8">
        <w:rPr>
          <w:szCs w:val="20"/>
          <w:lang w:val="en-US"/>
        </w:rPr>
        <w:t>8</w:t>
      </w:r>
      <w:r w:rsidR="007828F7" w:rsidRPr="00C903F8">
        <w:rPr>
          <w:szCs w:val="20"/>
          <w:lang w:val="en-US"/>
        </w:rPr>
        <w:t>)</w:t>
      </w:r>
      <w:r w:rsidRPr="00C903F8">
        <w:rPr>
          <w:szCs w:val="20"/>
          <w:lang w:val="en-US"/>
        </w:rPr>
        <w:t xml:space="preserve"> shall apply, </w:t>
      </w:r>
      <w:r w:rsidRPr="00C903F8">
        <w:rPr>
          <w:i/>
          <w:szCs w:val="20"/>
          <w:lang w:val="en-US"/>
        </w:rPr>
        <w:t>mutatis mutandis</w:t>
      </w:r>
      <w:r w:rsidRPr="00C903F8">
        <w:rPr>
          <w:szCs w:val="20"/>
          <w:lang w:val="en-US"/>
        </w:rPr>
        <w:t xml:space="preserve">, in view of the specific characteristics and arrangements selected for the abovementioned active steering and propulsion units. In analogy to </w:t>
      </w:r>
      <w:r w:rsidR="007828F7" w:rsidRPr="00C903F8">
        <w:rPr>
          <w:szCs w:val="20"/>
          <w:lang w:val="en-US"/>
        </w:rPr>
        <w:t>(</w:t>
      </w:r>
      <w:r w:rsidRPr="00C903F8">
        <w:rPr>
          <w:szCs w:val="20"/>
          <w:lang w:val="en-US"/>
        </w:rPr>
        <w:t>2</w:t>
      </w:r>
      <w:r w:rsidR="007828F7" w:rsidRPr="00C903F8">
        <w:rPr>
          <w:szCs w:val="20"/>
          <w:lang w:val="en-US"/>
        </w:rPr>
        <w:t>)</w:t>
      </w:r>
      <w:r w:rsidRPr="00C903F8">
        <w:rPr>
          <w:szCs w:val="20"/>
          <w:lang w:val="en-US"/>
        </w:rPr>
        <w:t>, each unit shall be controlled by a lever which moves in the form of an arc within a vertical plane that is approximately parallel to the direction of the thrust of the unit. From the position of the lever the direction of the thrust acting on the vessel shall be clear</w:t>
      </w:r>
    </w:p>
    <w:p w:rsidR="00822C1C" w:rsidRPr="00C903F8" w:rsidRDefault="00822C1C" w:rsidP="00822C1C">
      <w:pPr>
        <w:pStyle w:val="ESchpar"/>
        <w:rPr>
          <w:szCs w:val="20"/>
          <w:lang w:val="en-US"/>
        </w:rPr>
      </w:pPr>
    </w:p>
    <w:p w:rsidR="00822C1C" w:rsidRPr="00C903F8" w:rsidRDefault="00822C1C" w:rsidP="00822C1C">
      <w:pPr>
        <w:pStyle w:val="ESchpar"/>
        <w:rPr>
          <w:lang w:val="en-US"/>
        </w:rPr>
      </w:pPr>
      <w:r w:rsidRPr="00C903F8">
        <w:rPr>
          <w:szCs w:val="20"/>
          <w:lang w:val="en-US"/>
        </w:rPr>
        <w:t xml:space="preserve">If rudder propeller or cycloidal-propeller systems are not controlled by means of levers, the inspection body may allow derogations from </w:t>
      </w:r>
      <w:r w:rsidR="007828F7" w:rsidRPr="00C903F8">
        <w:rPr>
          <w:szCs w:val="20"/>
          <w:lang w:val="en-US"/>
        </w:rPr>
        <w:t>(</w:t>
      </w:r>
      <w:r w:rsidRPr="00C903F8">
        <w:rPr>
          <w:szCs w:val="20"/>
          <w:lang w:val="en-US"/>
        </w:rPr>
        <w:t>2</w:t>
      </w:r>
      <w:r w:rsidR="007828F7" w:rsidRPr="00C903F8">
        <w:rPr>
          <w:szCs w:val="20"/>
          <w:lang w:val="en-US"/>
        </w:rPr>
        <w:t>)</w:t>
      </w:r>
      <w:r w:rsidRPr="00C903F8">
        <w:rPr>
          <w:szCs w:val="20"/>
          <w:lang w:val="en-US"/>
        </w:rPr>
        <w:t xml:space="preserve">. These derogations </w:t>
      </w:r>
      <w:r w:rsidR="004271FC" w:rsidRPr="00C903F8">
        <w:rPr>
          <w:noProof/>
          <w:lang w:val="en-GB"/>
        </w:rPr>
        <w:t>shall be entered in item 52 of the inland navigation vessel certificate</w:t>
      </w:r>
      <w:r w:rsidRPr="00C903F8">
        <w:rPr>
          <w:szCs w:val="20"/>
          <w:lang w:val="en-US"/>
        </w:rPr>
        <w:t>.</w:t>
      </w:r>
    </w:p>
    <w:p w:rsidR="00822C1C" w:rsidRPr="00C903F8" w:rsidRDefault="00822C1C" w:rsidP="00822C1C">
      <w:pPr>
        <w:pStyle w:val="ESch"/>
        <w:rPr>
          <w:szCs w:val="20"/>
          <w:lang w:val="en-US"/>
        </w:rPr>
      </w:pPr>
    </w:p>
    <w:p w:rsidR="00D94C10" w:rsidRPr="00C903F8" w:rsidRDefault="00D94C10" w:rsidP="00822C1C">
      <w:pPr>
        <w:pStyle w:val="ESch"/>
        <w:rPr>
          <w:szCs w:val="20"/>
          <w:lang w:val="en-US"/>
        </w:rPr>
      </w:pPr>
    </w:p>
    <w:p w:rsidR="00DD67C0" w:rsidRPr="008418DC" w:rsidRDefault="00822C1C" w:rsidP="00DD67C0">
      <w:pPr>
        <w:spacing w:line="240" w:lineRule="atLeast"/>
        <w:jc w:val="center"/>
        <w:rPr>
          <w:rFonts w:cs="Arial"/>
          <w:bCs/>
          <w:i/>
          <w:sz w:val="22"/>
          <w:szCs w:val="22"/>
          <w:lang w:val="en-US"/>
        </w:rPr>
      </w:pPr>
      <w:r w:rsidRPr="008418DC">
        <w:rPr>
          <w:b/>
          <w:sz w:val="22"/>
          <w:szCs w:val="22"/>
          <w:lang w:val="en-US"/>
        </w:rPr>
        <w:t>Article 7.05</w:t>
      </w:r>
      <w:r w:rsidRPr="008418DC">
        <w:rPr>
          <w:sz w:val="22"/>
          <w:szCs w:val="22"/>
          <w:lang w:val="en-US"/>
        </w:rPr>
        <w:br/>
      </w:r>
      <w:r w:rsidR="00DD67C0" w:rsidRPr="008418DC">
        <w:rPr>
          <w:rFonts w:eastAsia="Calibri" w:cs="Arial"/>
          <w:b/>
          <w:bCs/>
          <w:i/>
          <w:iCs/>
          <w:sz w:val="22"/>
          <w:szCs w:val="22"/>
          <w:lang w:val="en-US"/>
        </w:rPr>
        <w:t>Navigation lights, light signals and sound signals</w:t>
      </w:r>
    </w:p>
    <w:p w:rsidR="00DD67C0" w:rsidRPr="0098002E" w:rsidRDefault="00DD67C0" w:rsidP="00DD67C0">
      <w:pPr>
        <w:spacing w:line="240" w:lineRule="atLeast"/>
        <w:rPr>
          <w:rFonts w:cs="Arial"/>
          <w:bCs/>
          <w:i/>
          <w:szCs w:val="22"/>
          <w:lang w:val="en-US"/>
        </w:rPr>
      </w:pPr>
    </w:p>
    <w:p w:rsidR="00DD67C0" w:rsidRPr="0098002E" w:rsidRDefault="00DD67C0" w:rsidP="0071721E">
      <w:pPr>
        <w:pStyle w:val="ESch"/>
        <w:rPr>
          <w:lang w:val="en-US"/>
        </w:rPr>
      </w:pPr>
      <w:r w:rsidRPr="0098002E">
        <w:rPr>
          <w:lang w:val="en-US"/>
        </w:rPr>
        <w:t>1.</w:t>
      </w:r>
      <w:r w:rsidRPr="0098002E">
        <w:rPr>
          <w:lang w:val="en-US"/>
        </w:rPr>
        <w:tab/>
        <w:t xml:space="preserve">Navigation lights, their casings and accessories shall bear the approval mark prescribed by Directive </w:t>
      </w:r>
      <w:r w:rsidRPr="0071721E">
        <w:rPr>
          <w:rFonts w:eastAsiaTheme="minorHAnsi" w:cs="Arial"/>
          <w:lang w:val="en-US" w:eastAsia="en-US"/>
        </w:rPr>
        <w:t>2014/90/EU</w:t>
      </w:r>
      <w:r w:rsidRPr="0071721E">
        <w:rPr>
          <w:rFonts w:cs="Arial"/>
          <w:vertAlign w:val="superscript"/>
          <w:lang w:eastAsia="en-US"/>
        </w:rPr>
        <w:footnoteReference w:id="7"/>
      </w:r>
      <w:r w:rsidRPr="0071721E">
        <w:rPr>
          <w:rFonts w:cs="Arial"/>
          <w:lang w:val="en-US"/>
        </w:rPr>
        <w:t>,</w:t>
      </w:r>
      <w:r w:rsidRPr="0098002E">
        <w:rPr>
          <w:lang w:val="en-US"/>
        </w:rPr>
        <w:t xml:space="preserve"> as amended.” </w:t>
      </w:r>
    </w:p>
    <w:p w:rsidR="00DD67C0" w:rsidRPr="0098002E" w:rsidRDefault="00DD67C0" w:rsidP="0071721E">
      <w:pPr>
        <w:pStyle w:val="ESch"/>
        <w:rPr>
          <w:rFonts w:cs="Arial"/>
          <w:bCs/>
          <w:i/>
          <w:lang w:val="en-US"/>
        </w:rPr>
      </w:pPr>
    </w:p>
    <w:p w:rsidR="00DD67C0" w:rsidRPr="0098002E" w:rsidRDefault="00DD67C0" w:rsidP="0071721E">
      <w:pPr>
        <w:pStyle w:val="ESch"/>
        <w:rPr>
          <w:lang w:val="en-US"/>
        </w:rPr>
      </w:pPr>
      <w:r w:rsidRPr="0098002E">
        <w:rPr>
          <w:lang w:val="en-US"/>
        </w:rPr>
        <w:t>2.</w:t>
      </w:r>
      <w:r w:rsidRPr="0098002E">
        <w:rPr>
          <w:lang w:val="en-US"/>
        </w:rPr>
        <w:tab/>
        <w:t>Current indicating lights or other equivalent devices, such as repeater lights, for monitoring the navigation lights shall be installed in the wheelhouse unless that monitoring can be performed direct from the wheelhouse.</w:t>
      </w:r>
    </w:p>
    <w:p w:rsidR="00DD67C0" w:rsidRPr="0098002E" w:rsidRDefault="00DD67C0" w:rsidP="0071721E">
      <w:pPr>
        <w:pStyle w:val="ESch"/>
        <w:rPr>
          <w:lang w:val="en-US"/>
        </w:rPr>
      </w:pPr>
    </w:p>
    <w:p w:rsidR="00DD67C0" w:rsidRDefault="0071721E" w:rsidP="0071721E">
      <w:pPr>
        <w:pStyle w:val="ESch"/>
        <w:rPr>
          <w:lang w:val="en-US"/>
        </w:rPr>
      </w:pPr>
      <w:r>
        <w:rPr>
          <w:lang w:val="en-US"/>
        </w:rPr>
        <w:t>3.</w:t>
      </w:r>
      <w:r w:rsidR="00DD67C0" w:rsidRPr="0098002E">
        <w:rPr>
          <w:lang w:val="en-US"/>
        </w:rPr>
        <w:tab/>
        <w:t>In wheelhouses designed for radar navigation by one person, repeater lights shall be installed on the control panel in order to monitor the navigation lights and the light signals. Switches of navigation lights shall be included in the repeater lights or be adjacent to these and shall be clearly assigned to them.</w:t>
      </w:r>
    </w:p>
    <w:p w:rsidR="00DD67C0" w:rsidRDefault="00DD67C0" w:rsidP="0071721E">
      <w:pPr>
        <w:pStyle w:val="ESch"/>
        <w:rPr>
          <w:lang w:val="en-US"/>
        </w:rPr>
      </w:pPr>
    </w:p>
    <w:p w:rsidR="00DD67C0" w:rsidRPr="0098002E" w:rsidRDefault="00DD67C0" w:rsidP="0071721E">
      <w:pPr>
        <w:pStyle w:val="ESchpar"/>
        <w:rPr>
          <w:lang w:val="en-US"/>
        </w:rPr>
      </w:pPr>
      <w:r w:rsidRPr="0098002E">
        <w:rPr>
          <w:lang w:val="en-US"/>
        </w:rPr>
        <w:t>The arrangement and colour of the repeater lights for the navigation lights and light signals shall correspond to the actual position and colour of those lights and signals.</w:t>
      </w:r>
    </w:p>
    <w:p w:rsidR="00DD67C0" w:rsidRPr="0098002E" w:rsidRDefault="00DD67C0" w:rsidP="0071721E">
      <w:pPr>
        <w:pStyle w:val="ESch"/>
        <w:rPr>
          <w:lang w:val="en-US"/>
        </w:rPr>
      </w:pPr>
    </w:p>
    <w:p w:rsidR="00DD67C0" w:rsidRPr="0098002E" w:rsidRDefault="00DD67C0" w:rsidP="0071721E">
      <w:pPr>
        <w:pStyle w:val="ESchpar"/>
        <w:rPr>
          <w:lang w:val="en-US"/>
        </w:rPr>
      </w:pPr>
      <w:r w:rsidRPr="0098002E">
        <w:rPr>
          <w:lang w:val="en-US"/>
        </w:rPr>
        <w:t>The failure of a navigation light or light signal to function shall cause the corresponding repeater light either to go out or to provide a signal in another manner.</w:t>
      </w:r>
    </w:p>
    <w:p w:rsidR="00DD67C0" w:rsidRDefault="00DD67C0" w:rsidP="0071721E">
      <w:pPr>
        <w:pStyle w:val="ESch"/>
        <w:rPr>
          <w:lang w:val="en-US"/>
        </w:rPr>
      </w:pPr>
    </w:p>
    <w:p w:rsidR="00822C1C" w:rsidRPr="00C903F8" w:rsidRDefault="00DD67C0" w:rsidP="0071721E">
      <w:pPr>
        <w:pStyle w:val="ESch"/>
        <w:rPr>
          <w:lang w:val="en-US"/>
        </w:rPr>
      </w:pPr>
      <w:r>
        <w:rPr>
          <w:lang w:val="en-US"/>
        </w:rPr>
        <w:t>4.</w:t>
      </w:r>
      <w:r>
        <w:rPr>
          <w:lang w:val="en-US"/>
        </w:rPr>
        <w:tab/>
      </w:r>
      <w:r w:rsidRPr="0098002E">
        <w:rPr>
          <w:lang w:val="en-US"/>
        </w:rPr>
        <w:t>In wheelhouses designed for radar navigation by one person it shall be possible to activate the sound signals by a foot operated switch. That requirement shall not apply to the ‘do not approach’ signal in accordance with the applicable navigational authority regulations of the Member States</w:t>
      </w:r>
      <w:r>
        <w:rPr>
          <w:lang w:val="en-US"/>
        </w:rPr>
        <w:t>.</w:t>
      </w:r>
    </w:p>
    <w:p w:rsidR="00D94C10" w:rsidRPr="00C903F8" w:rsidRDefault="00D94C10" w:rsidP="00822C1C">
      <w:pPr>
        <w:pStyle w:val="ESch"/>
        <w:rPr>
          <w:szCs w:val="20"/>
          <w:lang w:val="en-US"/>
        </w:rPr>
      </w:pPr>
      <w:r w:rsidRPr="00C903F8">
        <w:rPr>
          <w:szCs w:val="20"/>
          <w:lang w:val="en-US"/>
        </w:rPr>
        <w:br w:type="page"/>
      </w:r>
    </w:p>
    <w:p w:rsidR="00822C1C" w:rsidRPr="00C903F8" w:rsidRDefault="00822C1C" w:rsidP="00822C1C">
      <w:pPr>
        <w:pStyle w:val="ES-Titre3"/>
        <w:rPr>
          <w:lang w:val="en-US"/>
        </w:rPr>
      </w:pPr>
      <w:bookmarkStart w:id="53" w:name="_Toc491854047"/>
      <w:r w:rsidRPr="00C903F8">
        <w:rPr>
          <w:lang w:val="en-US"/>
        </w:rPr>
        <w:lastRenderedPageBreak/>
        <w:t>Article 7.06</w:t>
      </w:r>
      <w:r w:rsidRPr="00C903F8">
        <w:rPr>
          <w:lang w:val="en-US"/>
        </w:rPr>
        <w:br/>
      </w:r>
      <w:r w:rsidRPr="00C903F8">
        <w:rPr>
          <w:i/>
          <w:lang w:val="en-US"/>
        </w:rPr>
        <w:t>Navigation and information equipment</w:t>
      </w:r>
      <w:bookmarkEnd w:id="53"/>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1.</w:t>
      </w:r>
      <w:r w:rsidRPr="00C903F8">
        <w:rPr>
          <w:szCs w:val="20"/>
          <w:lang w:val="en-US"/>
        </w:rPr>
        <w:tab/>
      </w:r>
      <w:r w:rsidR="005E325D" w:rsidRPr="00C903F8">
        <w:rPr>
          <w:szCs w:val="20"/>
          <w:lang w:val="en-US"/>
        </w:rPr>
        <w:t>Navigational r</w:t>
      </w:r>
      <w:r w:rsidRPr="00C903F8">
        <w:rPr>
          <w:szCs w:val="20"/>
          <w:lang w:val="en-US"/>
        </w:rPr>
        <w:t xml:space="preserve">adar </w:t>
      </w:r>
      <w:r w:rsidR="005E325D" w:rsidRPr="00C903F8">
        <w:rPr>
          <w:szCs w:val="20"/>
          <w:lang w:val="en-US"/>
        </w:rPr>
        <w:t>installation</w:t>
      </w:r>
      <w:r w:rsidRPr="00C903F8">
        <w:rPr>
          <w:szCs w:val="20"/>
          <w:lang w:val="en-US"/>
        </w:rPr>
        <w:t xml:space="preserve"> and rate-of-turn indicators shall fulfil the requirements laid down in Annex </w:t>
      </w:r>
      <w:r w:rsidR="0087027F" w:rsidRPr="00C903F8">
        <w:rPr>
          <w:szCs w:val="20"/>
          <w:lang w:val="en-US"/>
        </w:rPr>
        <w:t>5</w:t>
      </w:r>
      <w:r w:rsidRPr="00C903F8">
        <w:rPr>
          <w:szCs w:val="20"/>
          <w:lang w:val="en-US"/>
        </w:rPr>
        <w:t xml:space="preserve">. Compliance with these requirements shall be determined by a type-approval issued by the competent authority. </w:t>
      </w:r>
    </w:p>
    <w:p w:rsidR="00822C1C" w:rsidRPr="00C903F8" w:rsidRDefault="00822C1C" w:rsidP="00822C1C">
      <w:pPr>
        <w:pStyle w:val="ESch"/>
        <w:rPr>
          <w:szCs w:val="20"/>
          <w:lang w:val="en-US"/>
        </w:rPr>
      </w:pPr>
    </w:p>
    <w:p w:rsidR="00DD67C0" w:rsidRDefault="00822C1C" w:rsidP="00DD67C0">
      <w:pPr>
        <w:pStyle w:val="ESch"/>
        <w:rPr>
          <w:szCs w:val="20"/>
          <w:lang w:val="en-US"/>
        </w:rPr>
      </w:pPr>
      <w:r w:rsidRPr="00C903F8">
        <w:rPr>
          <w:szCs w:val="20"/>
          <w:lang w:val="en-US"/>
        </w:rPr>
        <w:t>2.</w:t>
      </w:r>
      <w:r w:rsidRPr="00C903F8">
        <w:rPr>
          <w:szCs w:val="20"/>
          <w:lang w:val="en-US"/>
        </w:rPr>
        <w:tab/>
      </w:r>
      <w:r w:rsidR="00DD67C0" w:rsidRPr="0098002E">
        <w:rPr>
          <w:szCs w:val="20"/>
          <w:lang w:val="en-US"/>
        </w:rPr>
        <w:t xml:space="preserve">Inland ECDIS equipment which can be operated in navigation mode shall be regarded as navigational radar installation. It shall meet the requirements of the </w:t>
      </w:r>
      <w:r w:rsidR="00DD67C0">
        <w:rPr>
          <w:szCs w:val="20"/>
          <w:lang w:val="en-US"/>
        </w:rPr>
        <w:t>Inland ECDIS</w:t>
      </w:r>
      <w:r w:rsidR="00DD67C0" w:rsidRPr="0098002E">
        <w:rPr>
          <w:szCs w:val="20"/>
          <w:lang w:val="en-US"/>
        </w:rPr>
        <w:t xml:space="preserve"> standard. The requirements of Annex 5 must be complied with.</w:t>
      </w:r>
    </w:p>
    <w:p w:rsidR="00822C1C" w:rsidRPr="00C903F8" w:rsidRDefault="00822C1C" w:rsidP="00DD67C0">
      <w:pPr>
        <w:pStyle w:val="ESch"/>
        <w:rPr>
          <w:szCs w:val="20"/>
          <w:lang w:val="en-US"/>
        </w:rPr>
      </w:pPr>
    </w:p>
    <w:p w:rsidR="00822C1C" w:rsidRDefault="008418DC" w:rsidP="00822C1C">
      <w:pPr>
        <w:pStyle w:val="ESch"/>
        <w:rPr>
          <w:rFonts w:cs="Arial"/>
          <w:szCs w:val="20"/>
          <w:lang w:val="en-US"/>
        </w:rPr>
      </w:pPr>
      <w:r w:rsidRPr="00C15BF5">
        <w:rPr>
          <w:rFonts w:cs="Arial"/>
          <w:szCs w:val="20"/>
          <w:lang w:val="en-US"/>
        </w:rPr>
        <w:t>3.</w:t>
      </w:r>
      <w:r w:rsidRPr="00C15BF5">
        <w:rPr>
          <w:rFonts w:cs="Arial"/>
          <w:szCs w:val="20"/>
          <w:lang w:val="en-US"/>
        </w:rPr>
        <w:tab/>
        <w:t xml:space="preserve">Inland AIS equipment shall meet the requirements of the current </w:t>
      </w:r>
      <w:r w:rsidR="00F9609C">
        <w:rPr>
          <w:rFonts w:cs="Arial"/>
          <w:szCs w:val="20"/>
          <w:lang w:val="en-US"/>
        </w:rPr>
        <w:t>T</w:t>
      </w:r>
      <w:r w:rsidRPr="0071721E">
        <w:rPr>
          <w:rFonts w:cs="Arial"/>
          <w:szCs w:val="20"/>
          <w:lang w:val="en-US"/>
        </w:rPr>
        <w:t xml:space="preserve">est </w:t>
      </w:r>
      <w:r w:rsidR="00F9609C">
        <w:rPr>
          <w:rFonts w:cs="Arial"/>
          <w:szCs w:val="20"/>
          <w:lang w:val="en-US"/>
        </w:rPr>
        <w:t>S</w:t>
      </w:r>
      <w:r w:rsidRPr="0071721E">
        <w:rPr>
          <w:rFonts w:cs="Arial"/>
          <w:szCs w:val="20"/>
          <w:lang w:val="en-US"/>
        </w:rPr>
        <w:t>tandard</w:t>
      </w:r>
      <w:r w:rsidR="00A77DA6">
        <w:rPr>
          <w:rFonts w:cs="Arial"/>
          <w:szCs w:val="20"/>
          <w:lang w:val="en-US"/>
        </w:rPr>
        <w:t xml:space="preserve"> </w:t>
      </w:r>
      <w:r w:rsidR="00A77DA6" w:rsidRPr="003B0440">
        <w:rPr>
          <w:lang w:val="en-US"/>
        </w:rPr>
        <w:t>for Inland AIS</w:t>
      </w:r>
      <w:r w:rsidRPr="0071721E">
        <w:rPr>
          <w:rFonts w:cs="Arial"/>
          <w:szCs w:val="20"/>
          <w:lang w:val="en-US"/>
        </w:rPr>
        <w:t>.</w:t>
      </w:r>
      <w:r>
        <w:rPr>
          <w:rFonts w:cs="Arial"/>
          <w:szCs w:val="20"/>
          <w:lang w:val="en-US"/>
        </w:rPr>
        <w:t xml:space="preserve"> </w:t>
      </w:r>
      <w:r w:rsidRPr="00C15BF5">
        <w:rPr>
          <w:rFonts w:cs="Arial"/>
          <w:szCs w:val="20"/>
          <w:lang w:val="en-US"/>
        </w:rPr>
        <w:t>The requirements of Annex 5 must be complied with</w:t>
      </w:r>
      <w:r>
        <w:rPr>
          <w:rFonts w:cs="Arial"/>
          <w:szCs w:val="20"/>
          <w:lang w:val="en-US"/>
        </w:rPr>
        <w:t>.</w:t>
      </w:r>
    </w:p>
    <w:p w:rsidR="008418DC" w:rsidRPr="00C903F8" w:rsidRDefault="008418D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4.</w:t>
      </w:r>
      <w:r w:rsidRPr="00C903F8">
        <w:rPr>
          <w:szCs w:val="20"/>
          <w:lang w:val="en-US"/>
        </w:rPr>
        <w:tab/>
        <w:t>The rate-of-turn indicator shall be located ahead of the helmsman and within his field of vision.</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5.</w:t>
      </w:r>
      <w:r w:rsidRPr="00C903F8">
        <w:rPr>
          <w:szCs w:val="20"/>
          <w:lang w:val="en-US"/>
        </w:rPr>
        <w:tab/>
        <w:t>In wheelhouses designed for radar navigation by one person:</w:t>
      </w:r>
    </w:p>
    <w:p w:rsidR="00822C1C" w:rsidRPr="00C903F8" w:rsidRDefault="005C7859" w:rsidP="00822C1C">
      <w:pPr>
        <w:pStyle w:val="ESlet"/>
        <w:rPr>
          <w:lang w:val="en-US"/>
        </w:rPr>
      </w:pPr>
      <w:r w:rsidRPr="00C903F8">
        <w:rPr>
          <w:szCs w:val="20"/>
          <w:lang w:val="en-US"/>
        </w:rPr>
        <w:t>a)</w:t>
      </w:r>
      <w:r w:rsidR="00822C1C" w:rsidRPr="00C903F8">
        <w:rPr>
          <w:szCs w:val="20"/>
          <w:lang w:val="en-US"/>
        </w:rPr>
        <w:tab/>
        <w:t>the radar screen shall not be shifted significantly out of the helmsman's axis of view in its normal position;</w:t>
      </w:r>
    </w:p>
    <w:p w:rsidR="00822C1C" w:rsidRPr="00C903F8" w:rsidRDefault="005C7859" w:rsidP="00822C1C">
      <w:pPr>
        <w:pStyle w:val="ESlet"/>
        <w:rPr>
          <w:lang w:val="en-US"/>
        </w:rPr>
      </w:pPr>
      <w:r w:rsidRPr="00C903F8">
        <w:rPr>
          <w:szCs w:val="20"/>
          <w:lang w:val="en-US"/>
        </w:rPr>
        <w:t>b)</w:t>
      </w:r>
      <w:r w:rsidR="00822C1C" w:rsidRPr="00C903F8">
        <w:rPr>
          <w:szCs w:val="20"/>
          <w:lang w:val="en-US"/>
        </w:rPr>
        <w:tab/>
        <w:t>the radar image shall continue to be perfectly visible, without a mask or screen, whatever the lighting conditions outside the wheelhouse;</w:t>
      </w:r>
    </w:p>
    <w:p w:rsidR="00822C1C" w:rsidRPr="00C903F8" w:rsidRDefault="005C7859" w:rsidP="00822C1C">
      <w:pPr>
        <w:pStyle w:val="ESlet"/>
        <w:rPr>
          <w:lang w:val="en-US"/>
        </w:rPr>
      </w:pPr>
      <w:r w:rsidRPr="00C903F8">
        <w:rPr>
          <w:szCs w:val="20"/>
          <w:lang w:val="en-US"/>
        </w:rPr>
        <w:t>c)</w:t>
      </w:r>
      <w:r w:rsidR="00822C1C" w:rsidRPr="00C903F8">
        <w:rPr>
          <w:szCs w:val="20"/>
          <w:lang w:val="en-US"/>
        </w:rPr>
        <w:tab/>
        <w:t>the rate-of-turn indicator shall be installed directly above or below the radar image or be incorporated into this.</w:t>
      </w:r>
    </w:p>
    <w:p w:rsidR="00822C1C" w:rsidRPr="00C903F8" w:rsidRDefault="00822C1C" w:rsidP="00822C1C">
      <w:pPr>
        <w:pStyle w:val="ESch"/>
        <w:rPr>
          <w:szCs w:val="20"/>
          <w:lang w:val="en-US"/>
        </w:rPr>
      </w:pPr>
    </w:p>
    <w:p w:rsidR="00822C1C" w:rsidRPr="00C903F8" w:rsidRDefault="00822C1C" w:rsidP="00822C1C">
      <w:pPr>
        <w:pStyle w:val="ESch"/>
        <w:rPr>
          <w:lang w:val="en-US"/>
        </w:rPr>
      </w:pPr>
    </w:p>
    <w:p w:rsidR="00822C1C" w:rsidRPr="00C903F8" w:rsidRDefault="00822C1C" w:rsidP="00822C1C">
      <w:pPr>
        <w:pStyle w:val="ES-Titre3"/>
        <w:rPr>
          <w:lang w:val="en-US"/>
        </w:rPr>
      </w:pPr>
      <w:bookmarkStart w:id="54" w:name="_Toc491854048"/>
      <w:r w:rsidRPr="00C903F8">
        <w:rPr>
          <w:lang w:val="en-US"/>
        </w:rPr>
        <w:t>Article 7.07</w:t>
      </w:r>
      <w:r w:rsidRPr="00C903F8">
        <w:rPr>
          <w:lang w:val="en-US"/>
        </w:rPr>
        <w:br/>
      </w:r>
      <w:r w:rsidRPr="00C903F8">
        <w:rPr>
          <w:i/>
          <w:lang w:val="en-US"/>
        </w:rPr>
        <w:t>Radio telephony systems for vessels with wheelhouses designed for radar navigation by one person</w:t>
      </w:r>
      <w:bookmarkEnd w:id="54"/>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1.</w:t>
      </w:r>
      <w:r w:rsidRPr="00C903F8">
        <w:rPr>
          <w:szCs w:val="20"/>
          <w:lang w:val="en-US"/>
        </w:rPr>
        <w:tab/>
        <w:t>Where vessel wheelhouses have been designed for radar navigation by one person, reception from the vessel</w:t>
      </w:r>
      <w:r w:rsidR="003062AF" w:rsidRPr="00C903F8">
        <w:rPr>
          <w:szCs w:val="20"/>
          <w:lang w:val="en-US"/>
        </w:rPr>
        <w:t xml:space="preserve"> to </w:t>
      </w:r>
      <w:r w:rsidRPr="00C903F8">
        <w:rPr>
          <w:szCs w:val="20"/>
          <w:lang w:val="en-US"/>
        </w:rPr>
        <w:t>vessel networks and that of nautical information shall be via a loudspeaker, and outgoing communications via a fixed microphone. Send/receive shall be selected by means of a push-button.</w:t>
      </w:r>
    </w:p>
    <w:p w:rsidR="00822C1C" w:rsidRPr="00C903F8" w:rsidRDefault="00822C1C" w:rsidP="00822C1C">
      <w:pPr>
        <w:pStyle w:val="ESch"/>
        <w:rPr>
          <w:szCs w:val="20"/>
          <w:lang w:val="en-US"/>
        </w:rPr>
      </w:pPr>
    </w:p>
    <w:p w:rsidR="00822C1C" w:rsidRPr="00C903F8" w:rsidRDefault="00822C1C" w:rsidP="00822C1C">
      <w:pPr>
        <w:pStyle w:val="ESchpar"/>
        <w:rPr>
          <w:szCs w:val="20"/>
          <w:lang w:val="en-US"/>
        </w:rPr>
      </w:pPr>
      <w:r w:rsidRPr="00C903F8">
        <w:rPr>
          <w:szCs w:val="20"/>
          <w:lang w:val="en-US"/>
        </w:rPr>
        <w:t>It shall not be possible to use the microphones of those networks for the public correspondence network.</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2.</w:t>
      </w:r>
      <w:r w:rsidRPr="00C903F8">
        <w:rPr>
          <w:szCs w:val="20"/>
          <w:lang w:val="en-US"/>
        </w:rPr>
        <w:tab/>
        <w:t>Where vessel wheelhouses designed for radar navigation by one person are equipped with a radio telephone system for the public correspondence network, reception shall be possible from the helmsman's seat.</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p>
    <w:p w:rsidR="00B006DB" w:rsidRPr="00C903F8" w:rsidRDefault="00B006DB" w:rsidP="00822C1C">
      <w:pPr>
        <w:pStyle w:val="ESch"/>
        <w:rPr>
          <w:szCs w:val="20"/>
          <w:lang w:val="en-US"/>
        </w:rPr>
      </w:pPr>
      <w:r w:rsidRPr="00C903F8">
        <w:rPr>
          <w:szCs w:val="20"/>
          <w:lang w:val="en-US"/>
        </w:rPr>
        <w:br w:type="page"/>
      </w:r>
    </w:p>
    <w:p w:rsidR="00822C1C" w:rsidRPr="00C903F8" w:rsidRDefault="00822C1C" w:rsidP="00822C1C">
      <w:pPr>
        <w:pStyle w:val="ES-Titre3"/>
        <w:rPr>
          <w:lang w:val="en-US"/>
        </w:rPr>
      </w:pPr>
      <w:bookmarkStart w:id="55" w:name="_Toc491854049"/>
      <w:r w:rsidRPr="00C903F8">
        <w:rPr>
          <w:lang w:val="en-US"/>
        </w:rPr>
        <w:lastRenderedPageBreak/>
        <w:t>Article 7.08</w:t>
      </w:r>
      <w:r w:rsidRPr="00C903F8">
        <w:rPr>
          <w:lang w:val="en-US"/>
        </w:rPr>
        <w:br/>
      </w:r>
      <w:r w:rsidRPr="00C903F8">
        <w:rPr>
          <w:i/>
          <w:lang w:val="en-US"/>
        </w:rPr>
        <w:t>Internal communication facilities on board</w:t>
      </w:r>
      <w:bookmarkEnd w:id="55"/>
    </w:p>
    <w:p w:rsidR="00822C1C" w:rsidRPr="00C903F8" w:rsidRDefault="00822C1C" w:rsidP="00822C1C">
      <w:pPr>
        <w:pStyle w:val="ESch"/>
        <w:rPr>
          <w:szCs w:val="20"/>
          <w:lang w:val="en-US"/>
        </w:rPr>
      </w:pPr>
    </w:p>
    <w:p w:rsidR="00822C1C" w:rsidRPr="00C903F8" w:rsidRDefault="00822C1C" w:rsidP="00822C1C">
      <w:pPr>
        <w:pStyle w:val="ESgauche"/>
        <w:rPr>
          <w:lang w:val="en-US"/>
        </w:rPr>
      </w:pPr>
      <w:r w:rsidRPr="00C903F8">
        <w:rPr>
          <w:szCs w:val="20"/>
          <w:lang w:val="en-US"/>
        </w:rPr>
        <w:t xml:space="preserve">There </w:t>
      </w:r>
      <w:r w:rsidRPr="00C903F8">
        <w:rPr>
          <w:lang w:val="en-US"/>
        </w:rPr>
        <w:t>shall be internal communication facilities on board vessels with a wheelhouse designed for radar navigation by one person.</w:t>
      </w:r>
    </w:p>
    <w:p w:rsidR="00822C1C" w:rsidRPr="00C903F8" w:rsidRDefault="00822C1C" w:rsidP="00822C1C">
      <w:pPr>
        <w:pStyle w:val="ESgauche"/>
        <w:rPr>
          <w:lang w:val="en-US"/>
        </w:rPr>
      </w:pPr>
    </w:p>
    <w:p w:rsidR="00822C1C" w:rsidRPr="00C903F8" w:rsidRDefault="00822C1C" w:rsidP="00B006DB">
      <w:pPr>
        <w:pStyle w:val="ESgauche"/>
        <w:rPr>
          <w:lang w:val="en-US"/>
        </w:rPr>
      </w:pPr>
      <w:r w:rsidRPr="00C903F8">
        <w:rPr>
          <w:lang w:val="en-US"/>
        </w:rPr>
        <w:t>It shall be possible to establish communication links from the steering position:</w:t>
      </w:r>
    </w:p>
    <w:p w:rsidR="00822C1C" w:rsidRPr="00C903F8" w:rsidRDefault="005C7859" w:rsidP="00B006DB">
      <w:pPr>
        <w:pStyle w:val="ESletgauche"/>
        <w:rPr>
          <w:lang w:val="en-US"/>
        </w:rPr>
      </w:pPr>
      <w:r w:rsidRPr="00C903F8">
        <w:rPr>
          <w:szCs w:val="20"/>
          <w:lang w:val="en-US"/>
        </w:rPr>
        <w:t>a)</w:t>
      </w:r>
      <w:r w:rsidR="00822C1C" w:rsidRPr="00C903F8">
        <w:rPr>
          <w:szCs w:val="20"/>
          <w:lang w:val="en-US"/>
        </w:rPr>
        <w:tab/>
        <w:t>with the bow of the vessel or convoy;</w:t>
      </w:r>
    </w:p>
    <w:p w:rsidR="00822C1C" w:rsidRPr="00C903F8" w:rsidRDefault="005C7859" w:rsidP="00B006DB">
      <w:pPr>
        <w:pStyle w:val="ESletgauche"/>
        <w:rPr>
          <w:lang w:val="en-US"/>
        </w:rPr>
      </w:pPr>
      <w:r w:rsidRPr="00C903F8">
        <w:rPr>
          <w:szCs w:val="20"/>
          <w:lang w:val="en-US"/>
        </w:rPr>
        <w:t>b)</w:t>
      </w:r>
      <w:r w:rsidR="00822C1C" w:rsidRPr="00C903F8">
        <w:rPr>
          <w:szCs w:val="20"/>
          <w:lang w:val="en-US"/>
        </w:rPr>
        <w:tab/>
        <w:t>with the stern of the vessel or convoy if no direct communication is possible from the steering position;</w:t>
      </w:r>
    </w:p>
    <w:p w:rsidR="00822C1C" w:rsidRPr="00C903F8" w:rsidRDefault="005C7859" w:rsidP="00B006DB">
      <w:pPr>
        <w:pStyle w:val="ESletgauche"/>
        <w:rPr>
          <w:lang w:val="en-US"/>
        </w:rPr>
      </w:pPr>
      <w:r w:rsidRPr="00C903F8">
        <w:rPr>
          <w:szCs w:val="20"/>
          <w:lang w:val="en-US"/>
        </w:rPr>
        <w:t>c)</w:t>
      </w:r>
      <w:r w:rsidR="00822C1C" w:rsidRPr="00C903F8">
        <w:rPr>
          <w:szCs w:val="20"/>
          <w:lang w:val="en-US"/>
        </w:rPr>
        <w:tab/>
        <w:t>with the crew accommodation;</w:t>
      </w:r>
    </w:p>
    <w:p w:rsidR="00822C1C" w:rsidRPr="00C903F8" w:rsidRDefault="005C7859" w:rsidP="00B006DB">
      <w:pPr>
        <w:pStyle w:val="ESletgauche"/>
        <w:rPr>
          <w:lang w:val="en-US"/>
        </w:rPr>
      </w:pPr>
      <w:r w:rsidRPr="00C903F8">
        <w:rPr>
          <w:szCs w:val="20"/>
          <w:lang w:val="en-US"/>
        </w:rPr>
        <w:t>d)</w:t>
      </w:r>
      <w:r w:rsidR="00822C1C" w:rsidRPr="00C903F8">
        <w:rPr>
          <w:szCs w:val="20"/>
          <w:lang w:val="en-US"/>
        </w:rPr>
        <w:tab/>
        <w:t>with the boatmaster's cabin.</w:t>
      </w:r>
    </w:p>
    <w:p w:rsidR="00822C1C" w:rsidRPr="00C903F8" w:rsidRDefault="00822C1C" w:rsidP="00822C1C">
      <w:pPr>
        <w:pStyle w:val="ESgauche"/>
        <w:rPr>
          <w:szCs w:val="20"/>
          <w:lang w:val="en-US"/>
        </w:rPr>
      </w:pPr>
    </w:p>
    <w:p w:rsidR="00822C1C" w:rsidRPr="00C903F8" w:rsidRDefault="00822C1C" w:rsidP="00822C1C">
      <w:pPr>
        <w:pStyle w:val="ESgauche"/>
        <w:rPr>
          <w:szCs w:val="20"/>
          <w:lang w:val="en-US"/>
        </w:rPr>
      </w:pPr>
      <w:r w:rsidRPr="00C903F8">
        <w:rPr>
          <w:szCs w:val="20"/>
          <w:lang w:val="en-US"/>
        </w:rPr>
        <w:t>Reception at all positions of these internal communication links shall be via loudspeaker, and transmission shall be via a fixed microphone. The link with the bow and stern of the vessel or convoy may be of the radio-telephone type.</w:t>
      </w:r>
    </w:p>
    <w:p w:rsidR="00822C1C" w:rsidRPr="00C903F8" w:rsidRDefault="00822C1C" w:rsidP="00822C1C">
      <w:pPr>
        <w:pStyle w:val="ESgauche"/>
        <w:rPr>
          <w:szCs w:val="20"/>
          <w:lang w:val="en-US"/>
        </w:rPr>
      </w:pPr>
    </w:p>
    <w:p w:rsidR="00822C1C" w:rsidRPr="00C903F8" w:rsidRDefault="00822C1C" w:rsidP="00822C1C">
      <w:pPr>
        <w:pStyle w:val="ESgauche"/>
        <w:rPr>
          <w:lang w:val="en-US"/>
        </w:rPr>
      </w:pPr>
    </w:p>
    <w:p w:rsidR="00822C1C" w:rsidRPr="00C903F8" w:rsidRDefault="00822C1C" w:rsidP="00822C1C">
      <w:pPr>
        <w:pStyle w:val="ES-Titre3"/>
        <w:rPr>
          <w:lang w:val="en-US"/>
        </w:rPr>
      </w:pPr>
      <w:bookmarkStart w:id="56" w:name="_Toc491854050"/>
      <w:r w:rsidRPr="00C903F8">
        <w:rPr>
          <w:lang w:val="en-US"/>
        </w:rPr>
        <w:t>Article 7.09</w:t>
      </w:r>
      <w:r w:rsidRPr="00C903F8">
        <w:rPr>
          <w:lang w:val="en-US"/>
        </w:rPr>
        <w:br/>
      </w:r>
      <w:r w:rsidRPr="00C903F8">
        <w:rPr>
          <w:i/>
          <w:lang w:val="en-US"/>
        </w:rPr>
        <w:t>Alarm system</w:t>
      </w:r>
      <w:bookmarkEnd w:id="56"/>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1.</w:t>
      </w:r>
      <w:r w:rsidRPr="00C903F8">
        <w:rPr>
          <w:szCs w:val="20"/>
          <w:lang w:val="en-US"/>
        </w:rPr>
        <w:tab/>
        <w:t>There shall be an independent alarm system enabling the accommodation, engine rooms and, where appropriate, the separate pump rooms to be reached.</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2.</w:t>
      </w:r>
      <w:r w:rsidRPr="00C903F8">
        <w:rPr>
          <w:szCs w:val="20"/>
          <w:lang w:val="en-US"/>
        </w:rPr>
        <w:tab/>
        <w:t>The helmsman shall have within reach an on/off switch controlling the alarm signal; switches which automatically return to the off position when released are not acceptable.</w:t>
      </w:r>
    </w:p>
    <w:p w:rsidR="00822C1C" w:rsidRPr="00C903F8" w:rsidRDefault="00822C1C" w:rsidP="00822C1C">
      <w:pPr>
        <w:pStyle w:val="ESch"/>
        <w:rPr>
          <w:szCs w:val="20"/>
          <w:lang w:val="en-US"/>
        </w:rPr>
      </w:pPr>
    </w:p>
    <w:p w:rsidR="00822C1C" w:rsidRPr="00C903F8" w:rsidRDefault="00822C1C" w:rsidP="00822C1C">
      <w:pPr>
        <w:pStyle w:val="ESch"/>
        <w:rPr>
          <w:szCs w:val="20"/>
          <w:lang w:val="en-US"/>
        </w:rPr>
      </w:pPr>
      <w:r w:rsidRPr="00C903F8">
        <w:rPr>
          <w:szCs w:val="20"/>
          <w:lang w:val="en-US"/>
        </w:rPr>
        <w:t>3.</w:t>
      </w:r>
      <w:r w:rsidRPr="00C903F8">
        <w:rPr>
          <w:szCs w:val="20"/>
          <w:lang w:val="en-US"/>
        </w:rPr>
        <w:tab/>
        <w:t>The sound pressure level for the alarm signal shall be at least 75 dB(A) within the accommodation area.</w:t>
      </w:r>
    </w:p>
    <w:p w:rsidR="00822C1C" w:rsidRPr="00C903F8" w:rsidRDefault="00822C1C" w:rsidP="00822C1C">
      <w:pPr>
        <w:pStyle w:val="ESch"/>
        <w:rPr>
          <w:szCs w:val="20"/>
          <w:lang w:val="en-US"/>
        </w:rPr>
      </w:pPr>
    </w:p>
    <w:p w:rsidR="00822C1C" w:rsidRPr="00C903F8" w:rsidRDefault="00822C1C" w:rsidP="00822C1C">
      <w:pPr>
        <w:pStyle w:val="ESchpar"/>
        <w:rPr>
          <w:szCs w:val="20"/>
          <w:lang w:val="en-US"/>
        </w:rPr>
      </w:pPr>
      <w:r w:rsidRPr="00C903F8">
        <w:rPr>
          <w:szCs w:val="20"/>
          <w:lang w:val="en-US"/>
        </w:rPr>
        <w:t>In engine rooms and pump rooms the alarm signal shall take the form of a flashing light that is visible on all sides and clearly perceptible at all points.</w:t>
      </w:r>
    </w:p>
    <w:p w:rsidR="00822C1C" w:rsidRPr="00C903F8" w:rsidRDefault="00822C1C" w:rsidP="00B006DB">
      <w:pPr>
        <w:pStyle w:val="ESch"/>
        <w:rPr>
          <w:szCs w:val="20"/>
          <w:lang w:val="en-US"/>
        </w:rPr>
      </w:pPr>
    </w:p>
    <w:p w:rsidR="00822C1C" w:rsidRPr="00C903F8" w:rsidRDefault="00822C1C" w:rsidP="00B006DB">
      <w:pPr>
        <w:pStyle w:val="ESch"/>
        <w:rPr>
          <w:lang w:val="en-US"/>
        </w:rPr>
      </w:pPr>
    </w:p>
    <w:p w:rsidR="00822C1C" w:rsidRPr="00C903F8" w:rsidRDefault="00822C1C" w:rsidP="00822C1C">
      <w:pPr>
        <w:pStyle w:val="ES-Titre3"/>
        <w:rPr>
          <w:lang w:val="en-US"/>
        </w:rPr>
      </w:pPr>
      <w:bookmarkStart w:id="57" w:name="_Toc491854051"/>
      <w:r w:rsidRPr="00C903F8">
        <w:rPr>
          <w:lang w:val="en-US"/>
        </w:rPr>
        <w:t>Article 7.10</w:t>
      </w:r>
      <w:r w:rsidRPr="00C903F8">
        <w:rPr>
          <w:lang w:val="en-US"/>
        </w:rPr>
        <w:br/>
      </w:r>
      <w:r w:rsidRPr="00C903F8">
        <w:rPr>
          <w:i/>
          <w:lang w:val="en-US"/>
        </w:rPr>
        <w:t>Heating and ventilation</w:t>
      </w:r>
      <w:bookmarkEnd w:id="57"/>
    </w:p>
    <w:p w:rsidR="00822C1C" w:rsidRPr="00C903F8" w:rsidRDefault="00822C1C" w:rsidP="00822C1C">
      <w:pPr>
        <w:pStyle w:val="ESch"/>
        <w:rPr>
          <w:szCs w:val="20"/>
          <w:lang w:val="en-US"/>
        </w:rPr>
      </w:pPr>
    </w:p>
    <w:p w:rsidR="003F558E" w:rsidRPr="00C903F8" w:rsidRDefault="00822C1C" w:rsidP="003F558E">
      <w:pPr>
        <w:pStyle w:val="ESgauche"/>
        <w:rPr>
          <w:szCs w:val="20"/>
          <w:lang w:val="en-US"/>
        </w:rPr>
      </w:pPr>
      <w:r w:rsidRPr="00C903F8">
        <w:rPr>
          <w:szCs w:val="20"/>
          <w:lang w:val="en-US"/>
        </w:rPr>
        <w:t>Wheelhouses shall be equipped with an effective heating and ventilation system that can be regulated.</w:t>
      </w:r>
    </w:p>
    <w:p w:rsidR="003F558E" w:rsidRPr="00C903F8" w:rsidRDefault="003F558E" w:rsidP="003F558E">
      <w:pPr>
        <w:pStyle w:val="ESgauche"/>
        <w:rPr>
          <w:szCs w:val="20"/>
          <w:lang w:val="en-US"/>
        </w:rPr>
      </w:pPr>
    </w:p>
    <w:p w:rsidR="003F558E" w:rsidRPr="00C903F8" w:rsidRDefault="003F558E" w:rsidP="003F558E">
      <w:pPr>
        <w:pStyle w:val="ESgauche"/>
        <w:rPr>
          <w:lang w:val="en-US"/>
        </w:rPr>
      </w:pPr>
    </w:p>
    <w:p w:rsidR="00822C1C" w:rsidRPr="00C903F8" w:rsidRDefault="00822C1C" w:rsidP="003F558E">
      <w:pPr>
        <w:pStyle w:val="ES-Titre3"/>
        <w:rPr>
          <w:i/>
          <w:lang w:val="en-US"/>
        </w:rPr>
      </w:pPr>
      <w:bookmarkStart w:id="58" w:name="_Toc491854052"/>
      <w:r w:rsidRPr="00C903F8">
        <w:rPr>
          <w:lang w:val="en-US"/>
        </w:rPr>
        <w:t>Article 7.11</w:t>
      </w:r>
      <w:r w:rsidRPr="00C903F8">
        <w:rPr>
          <w:lang w:val="en-US"/>
        </w:rPr>
        <w:br/>
      </w:r>
      <w:r w:rsidRPr="00C903F8">
        <w:rPr>
          <w:i/>
          <w:lang w:val="en-US"/>
        </w:rPr>
        <w:t>Stern-anchor operating equipment</w:t>
      </w:r>
      <w:bookmarkEnd w:id="58"/>
    </w:p>
    <w:p w:rsidR="003F558E" w:rsidRPr="00C903F8" w:rsidRDefault="003F558E" w:rsidP="00822C1C">
      <w:pPr>
        <w:pStyle w:val="ESch"/>
        <w:rPr>
          <w:szCs w:val="20"/>
          <w:lang w:val="en-US"/>
        </w:rPr>
      </w:pPr>
    </w:p>
    <w:p w:rsidR="00822C1C" w:rsidRPr="00C903F8" w:rsidRDefault="00822C1C" w:rsidP="003F558E">
      <w:pPr>
        <w:pStyle w:val="ESgauche"/>
        <w:rPr>
          <w:szCs w:val="20"/>
          <w:lang w:val="en-US"/>
        </w:rPr>
      </w:pPr>
      <w:r w:rsidRPr="00C903F8">
        <w:rPr>
          <w:szCs w:val="20"/>
          <w:lang w:val="en-US"/>
        </w:rPr>
        <w:t>On board vessels and convoys whose wheelhouse has been designed for radar navigation by one person and exceeding 86 m in length or 22,90 m in breadth it shall be possible for the helmsman to drop the stern anchors from his position.</w:t>
      </w:r>
    </w:p>
    <w:p w:rsidR="003F558E" w:rsidRPr="00C903F8" w:rsidRDefault="003F558E" w:rsidP="003F558E">
      <w:pPr>
        <w:pStyle w:val="ESgauche"/>
        <w:rPr>
          <w:szCs w:val="20"/>
          <w:lang w:val="en-US"/>
        </w:rPr>
      </w:pPr>
    </w:p>
    <w:p w:rsidR="003F558E" w:rsidRPr="00C903F8" w:rsidRDefault="003F558E" w:rsidP="003F558E">
      <w:pPr>
        <w:pStyle w:val="ESgauche"/>
        <w:rPr>
          <w:lang w:val="en-US"/>
        </w:rPr>
      </w:pPr>
    </w:p>
    <w:p w:rsidR="00B006DB" w:rsidRPr="00C903F8" w:rsidRDefault="00B006DB" w:rsidP="003F558E">
      <w:pPr>
        <w:pStyle w:val="ESgauche"/>
        <w:rPr>
          <w:lang w:val="en-US"/>
        </w:rPr>
      </w:pPr>
      <w:r w:rsidRPr="00C903F8">
        <w:rPr>
          <w:lang w:val="en-US"/>
        </w:rPr>
        <w:br w:type="page"/>
      </w:r>
    </w:p>
    <w:p w:rsidR="008418DC" w:rsidRPr="003B0440" w:rsidRDefault="00822C1C" w:rsidP="003B0440">
      <w:pPr>
        <w:pStyle w:val="ES-Titre3"/>
        <w:rPr>
          <w:i/>
          <w:snapToGrid w:val="0"/>
          <w:lang w:val="en-GB"/>
        </w:rPr>
      </w:pPr>
      <w:bookmarkStart w:id="59" w:name="_Toc491854053"/>
      <w:r w:rsidRPr="008418DC">
        <w:rPr>
          <w:lang w:val="en-US"/>
        </w:rPr>
        <w:lastRenderedPageBreak/>
        <w:t>Article 7.12</w:t>
      </w:r>
      <w:r w:rsidRPr="008418DC">
        <w:rPr>
          <w:lang w:val="en-US"/>
        </w:rPr>
        <w:br/>
      </w:r>
      <w:r w:rsidR="008418DC" w:rsidRPr="003B0440">
        <w:rPr>
          <w:i/>
          <w:snapToGrid w:val="0"/>
          <w:lang w:val="en-GB"/>
        </w:rPr>
        <w:t>Elevating wheelhouses</w:t>
      </w:r>
      <w:bookmarkEnd w:id="59"/>
    </w:p>
    <w:p w:rsidR="008418DC" w:rsidRPr="003B0440" w:rsidRDefault="008418DC" w:rsidP="008418DC">
      <w:pPr>
        <w:tabs>
          <w:tab w:val="left" w:pos="851"/>
        </w:tabs>
        <w:adjustRightInd w:val="0"/>
        <w:spacing w:line="240" w:lineRule="atLeast"/>
        <w:ind w:left="0" w:firstLine="0"/>
        <w:jc w:val="center"/>
        <w:rPr>
          <w:rFonts w:cs="Arial"/>
          <w:b/>
          <w:bCs/>
          <w:snapToGrid w:val="0"/>
          <w:szCs w:val="20"/>
          <w:lang w:val="en-GB"/>
        </w:rPr>
      </w:pPr>
    </w:p>
    <w:p w:rsidR="008418DC" w:rsidRPr="009942A5" w:rsidRDefault="008418DC" w:rsidP="001F1AC2">
      <w:pPr>
        <w:pStyle w:val="ESch"/>
        <w:rPr>
          <w:lang w:val="en-US"/>
        </w:rPr>
      </w:pPr>
      <w:r w:rsidRPr="009942A5">
        <w:rPr>
          <w:lang w:val="en-US"/>
        </w:rPr>
        <w:t>1.</w:t>
      </w:r>
      <w:r w:rsidRPr="009942A5">
        <w:rPr>
          <w:lang w:val="en-US"/>
        </w:rPr>
        <w:tab/>
        <w:t xml:space="preserve">A mechanically powered elevating wheelhouse and its appliances shall be designed in such a way that the safety of persons on board is not endangered. </w:t>
      </w:r>
    </w:p>
    <w:p w:rsidR="008418DC" w:rsidRPr="009942A5" w:rsidRDefault="008418DC" w:rsidP="001F1AC2">
      <w:pPr>
        <w:pStyle w:val="ESch"/>
        <w:rPr>
          <w:lang w:val="en-US"/>
        </w:rPr>
      </w:pPr>
    </w:p>
    <w:p w:rsidR="008418DC" w:rsidRPr="009942A5" w:rsidRDefault="008418DC" w:rsidP="001F1AC2">
      <w:pPr>
        <w:pStyle w:val="ESch"/>
        <w:rPr>
          <w:lang w:val="en-US"/>
        </w:rPr>
      </w:pPr>
      <w:r w:rsidRPr="009942A5">
        <w:rPr>
          <w:lang w:val="en-US"/>
        </w:rPr>
        <w:t>2.</w:t>
      </w:r>
      <w:r w:rsidRPr="009942A5">
        <w:rPr>
          <w:lang w:val="en-US"/>
        </w:rPr>
        <w:tab/>
        <w:t xml:space="preserve">An elevating wheelhouse shall not endanger the stability of the vessel. </w:t>
      </w:r>
    </w:p>
    <w:p w:rsidR="008418DC" w:rsidRPr="009942A5" w:rsidRDefault="008418DC" w:rsidP="001F1AC2">
      <w:pPr>
        <w:pStyle w:val="ESch"/>
        <w:rPr>
          <w:lang w:val="en-US"/>
        </w:rPr>
      </w:pPr>
    </w:p>
    <w:p w:rsidR="008418DC" w:rsidRPr="009942A5" w:rsidRDefault="008418DC" w:rsidP="001F1AC2">
      <w:pPr>
        <w:pStyle w:val="ESch"/>
        <w:rPr>
          <w:lang w:val="en-US"/>
        </w:rPr>
      </w:pPr>
      <w:r w:rsidRPr="009942A5">
        <w:rPr>
          <w:lang w:val="en-US"/>
        </w:rPr>
        <w:t>3.</w:t>
      </w:r>
      <w:r w:rsidRPr="009942A5">
        <w:rPr>
          <w:lang w:val="en-US"/>
        </w:rPr>
        <w:tab/>
        <w:t>Operations carried out from the wheelhouse shall not be hindered during lifting and lowering. It shall be possible to enter and leave the wheelhouse safely, whatever its position.</w:t>
      </w:r>
    </w:p>
    <w:p w:rsidR="008418DC" w:rsidRPr="009942A5" w:rsidRDefault="008418DC" w:rsidP="001F1AC2">
      <w:pPr>
        <w:pStyle w:val="ESch"/>
        <w:rPr>
          <w:lang w:val="en-US"/>
        </w:rPr>
      </w:pPr>
    </w:p>
    <w:p w:rsidR="008418DC" w:rsidRPr="009942A5" w:rsidRDefault="008418DC" w:rsidP="001F1AC2">
      <w:pPr>
        <w:pStyle w:val="ESch"/>
        <w:rPr>
          <w:lang w:val="en-US"/>
        </w:rPr>
      </w:pPr>
      <w:r w:rsidRPr="009942A5">
        <w:rPr>
          <w:lang w:val="en-US"/>
        </w:rPr>
        <w:t>4.</w:t>
      </w:r>
      <w:r w:rsidRPr="009942A5">
        <w:rPr>
          <w:lang w:val="en-US"/>
        </w:rPr>
        <w:tab/>
        <w:t>It shall be possible to operate the lifting mechanism from inside the wheelhouse. The following indications shall be arranged at the steering position:</w:t>
      </w:r>
    </w:p>
    <w:p w:rsidR="008418DC" w:rsidRPr="003B0440" w:rsidRDefault="008418DC" w:rsidP="003B0440">
      <w:pPr>
        <w:pStyle w:val="ESlet"/>
        <w:rPr>
          <w:lang w:val="en-GB"/>
        </w:rPr>
      </w:pPr>
      <w:r w:rsidRPr="003B0440">
        <w:rPr>
          <w:lang w:val="en-GB"/>
        </w:rPr>
        <w:t xml:space="preserve">a) </w:t>
      </w:r>
      <w:r w:rsidRPr="003B0440">
        <w:rPr>
          <w:lang w:val="en-GB"/>
        </w:rPr>
        <w:tab/>
        <w:t>voltage present,</w:t>
      </w:r>
    </w:p>
    <w:p w:rsidR="008418DC" w:rsidRPr="003B0440" w:rsidRDefault="008418DC" w:rsidP="003B0440">
      <w:pPr>
        <w:pStyle w:val="ESlet"/>
        <w:rPr>
          <w:lang w:val="en-GB"/>
        </w:rPr>
      </w:pPr>
      <w:r w:rsidRPr="003B0440">
        <w:rPr>
          <w:lang w:val="en-GB"/>
        </w:rPr>
        <w:t xml:space="preserve">b) </w:t>
      </w:r>
      <w:r w:rsidRPr="003B0440">
        <w:rPr>
          <w:lang w:val="en-GB"/>
        </w:rPr>
        <w:tab/>
        <w:t>wheelhouse in lowest position,</w:t>
      </w:r>
    </w:p>
    <w:p w:rsidR="008418DC" w:rsidRPr="003B0440" w:rsidRDefault="008418DC" w:rsidP="003B0440">
      <w:pPr>
        <w:pStyle w:val="ESlet"/>
        <w:rPr>
          <w:lang w:val="en-GB"/>
        </w:rPr>
      </w:pPr>
      <w:r w:rsidRPr="003B0440">
        <w:rPr>
          <w:lang w:val="en-GB"/>
        </w:rPr>
        <w:t xml:space="preserve">c) </w:t>
      </w:r>
      <w:r w:rsidRPr="003B0440">
        <w:rPr>
          <w:lang w:val="en-GB"/>
        </w:rPr>
        <w:tab/>
        <w:t>wheelhouse in highest position,</w:t>
      </w:r>
    </w:p>
    <w:p w:rsidR="008418DC" w:rsidRPr="003B0440" w:rsidRDefault="008418DC" w:rsidP="003B0440">
      <w:pPr>
        <w:pStyle w:val="ESlet"/>
        <w:rPr>
          <w:lang w:val="en-GB"/>
        </w:rPr>
      </w:pPr>
      <w:r w:rsidRPr="003B0440">
        <w:rPr>
          <w:lang w:val="en-GB"/>
        </w:rPr>
        <w:t xml:space="preserve">d) </w:t>
      </w:r>
      <w:r w:rsidRPr="003B0440">
        <w:rPr>
          <w:lang w:val="en-GB"/>
        </w:rPr>
        <w:tab/>
        <w:t>wheelhouse locked in fixed position (if applicable).</w:t>
      </w:r>
    </w:p>
    <w:p w:rsidR="008418DC" w:rsidRPr="009942A5" w:rsidRDefault="008418DC" w:rsidP="001F1AC2">
      <w:pPr>
        <w:pStyle w:val="ESch"/>
        <w:rPr>
          <w:lang w:val="en-US"/>
        </w:rPr>
      </w:pPr>
    </w:p>
    <w:p w:rsidR="008418DC" w:rsidRPr="009942A5" w:rsidRDefault="008418DC" w:rsidP="001F1AC2">
      <w:pPr>
        <w:pStyle w:val="ESch"/>
        <w:rPr>
          <w:lang w:val="en-US"/>
        </w:rPr>
      </w:pPr>
      <w:r w:rsidRPr="009942A5">
        <w:rPr>
          <w:lang w:val="en-US"/>
        </w:rPr>
        <w:t>5.</w:t>
      </w:r>
      <w:r w:rsidRPr="009942A5">
        <w:rPr>
          <w:lang w:val="en-US"/>
        </w:rPr>
        <w:tab/>
        <w:t>The lifting mechanism shall enable the wheelhouse to stop in all positions. If the possibility exists to lock the wheelhouse in a certain position, the lifting mechanism shall be automatically disabled when locking takes place. Releasing the locks shall be possible under all operating conditions.</w:t>
      </w:r>
    </w:p>
    <w:p w:rsidR="008418DC" w:rsidRPr="009942A5" w:rsidRDefault="008418DC" w:rsidP="001F1AC2">
      <w:pPr>
        <w:pStyle w:val="ESch"/>
        <w:rPr>
          <w:lang w:val="en-US"/>
        </w:rPr>
      </w:pPr>
    </w:p>
    <w:p w:rsidR="008418DC" w:rsidRPr="009942A5" w:rsidRDefault="008418DC" w:rsidP="001F1AC2">
      <w:pPr>
        <w:pStyle w:val="ESch"/>
        <w:rPr>
          <w:lang w:val="en-US"/>
        </w:rPr>
      </w:pPr>
      <w:r w:rsidRPr="009942A5">
        <w:rPr>
          <w:lang w:val="en-US"/>
        </w:rPr>
        <w:t>6.</w:t>
      </w:r>
      <w:r w:rsidRPr="009942A5">
        <w:rPr>
          <w:lang w:val="en-US"/>
        </w:rPr>
        <w:tab/>
        <w:t>The lifting mechanism shall be designed in such a way that exceeding the terminal positions is not possible.</w:t>
      </w:r>
    </w:p>
    <w:p w:rsidR="008418DC" w:rsidRPr="009942A5" w:rsidRDefault="008418DC" w:rsidP="001F1AC2">
      <w:pPr>
        <w:pStyle w:val="ESch"/>
        <w:rPr>
          <w:lang w:val="en-US"/>
        </w:rPr>
      </w:pPr>
    </w:p>
    <w:p w:rsidR="008418DC" w:rsidRPr="009942A5" w:rsidRDefault="008418DC" w:rsidP="001F1AC2">
      <w:pPr>
        <w:pStyle w:val="ESch"/>
        <w:rPr>
          <w:lang w:val="en-US"/>
        </w:rPr>
      </w:pPr>
      <w:r w:rsidRPr="009942A5">
        <w:rPr>
          <w:lang w:val="en-US"/>
        </w:rPr>
        <w:t>7.</w:t>
      </w:r>
      <w:r w:rsidRPr="009942A5">
        <w:rPr>
          <w:lang w:val="en-US"/>
        </w:rPr>
        <w:tab/>
        <w:t xml:space="preserve">Arrangements shall be provided to avoid uncontrolled lowering of the wheelhouse. Appropriate protection features shall be installed to prevent the risk of injury which may result from lowering. All lowering operations shall automatically trigger an optical and a clearly audible acoustic warning signal. </w:t>
      </w:r>
    </w:p>
    <w:p w:rsidR="008418DC" w:rsidRPr="009942A5" w:rsidRDefault="008418DC" w:rsidP="001F1AC2">
      <w:pPr>
        <w:pStyle w:val="ESch"/>
        <w:rPr>
          <w:lang w:val="en-US"/>
        </w:rPr>
      </w:pPr>
    </w:p>
    <w:p w:rsidR="008418DC" w:rsidRPr="009942A5" w:rsidRDefault="008418DC" w:rsidP="001F1AC2">
      <w:pPr>
        <w:pStyle w:val="ESch"/>
        <w:rPr>
          <w:lang w:val="en-US"/>
        </w:rPr>
      </w:pPr>
      <w:r w:rsidRPr="009942A5">
        <w:rPr>
          <w:lang w:val="en-US"/>
        </w:rPr>
        <w:t>8.</w:t>
      </w:r>
      <w:r w:rsidRPr="009942A5">
        <w:rPr>
          <w:lang w:val="en-US"/>
        </w:rPr>
        <w:tab/>
        <w:t>Elevating wheelhouses shall be fitted with an emergency lowering system, which is independent from the normal lifting mechanism and can be used even in the event of a power failure. This emergency system shall be operated from inside the wheelhouse. When using the emergency system</w:t>
      </w:r>
      <w:r w:rsidR="009E13C8">
        <w:rPr>
          <w:lang w:val="en-US"/>
        </w:rPr>
        <w:t>,</w:t>
      </w:r>
      <w:r w:rsidRPr="009942A5">
        <w:rPr>
          <w:lang w:val="en-US"/>
        </w:rPr>
        <w:t xml:space="preserve"> the lowering speed shall not be less than the lowering speed under normal conditions.</w:t>
      </w:r>
    </w:p>
    <w:p w:rsidR="008418DC" w:rsidRPr="009942A5" w:rsidRDefault="008418DC" w:rsidP="001F1AC2">
      <w:pPr>
        <w:pStyle w:val="ESch"/>
        <w:rPr>
          <w:lang w:val="en-US"/>
        </w:rPr>
      </w:pPr>
    </w:p>
    <w:p w:rsidR="008418DC" w:rsidRPr="009942A5" w:rsidRDefault="008418DC" w:rsidP="001F1AC2">
      <w:pPr>
        <w:pStyle w:val="ESch"/>
        <w:rPr>
          <w:lang w:val="en-US"/>
        </w:rPr>
      </w:pPr>
      <w:r w:rsidRPr="009942A5">
        <w:rPr>
          <w:lang w:val="en-US"/>
        </w:rPr>
        <w:t>9.</w:t>
      </w:r>
      <w:r w:rsidRPr="009942A5">
        <w:rPr>
          <w:lang w:val="en-US"/>
        </w:rPr>
        <w:tab/>
        <w:t>(left void)</w:t>
      </w:r>
    </w:p>
    <w:p w:rsidR="008418DC" w:rsidRPr="009942A5" w:rsidRDefault="008418DC" w:rsidP="001F1AC2">
      <w:pPr>
        <w:pStyle w:val="ESch"/>
        <w:rPr>
          <w:lang w:val="en-US"/>
        </w:rPr>
      </w:pPr>
    </w:p>
    <w:p w:rsidR="008418DC" w:rsidRPr="009942A5" w:rsidRDefault="008418DC" w:rsidP="001F1AC2">
      <w:pPr>
        <w:pStyle w:val="ESch"/>
        <w:rPr>
          <w:lang w:val="en-US"/>
        </w:rPr>
      </w:pPr>
      <w:r w:rsidRPr="009942A5">
        <w:rPr>
          <w:lang w:val="en-US"/>
        </w:rPr>
        <w:t>10.</w:t>
      </w:r>
      <w:r w:rsidRPr="009942A5">
        <w:rPr>
          <w:lang w:val="en-US"/>
        </w:rPr>
        <w:tab/>
        <w:t>Hydraulic hoses are:</w:t>
      </w:r>
    </w:p>
    <w:p w:rsidR="008418DC" w:rsidRPr="009942A5" w:rsidRDefault="008418DC" w:rsidP="001F1AC2">
      <w:pPr>
        <w:pStyle w:val="ESlet"/>
        <w:rPr>
          <w:lang w:val="en-US"/>
        </w:rPr>
      </w:pPr>
      <w:r w:rsidRPr="009942A5">
        <w:rPr>
          <w:lang w:val="en-US"/>
        </w:rPr>
        <w:t>a)</w:t>
      </w:r>
      <w:r w:rsidRPr="009942A5">
        <w:rPr>
          <w:lang w:val="en-US"/>
        </w:rPr>
        <w:tab/>
        <w:t>only permissible, if vibration absorption or freedom of movement of components makes their use inevitable;</w:t>
      </w:r>
    </w:p>
    <w:p w:rsidR="008418DC" w:rsidRPr="009942A5" w:rsidRDefault="008418DC" w:rsidP="001F1AC2">
      <w:pPr>
        <w:pStyle w:val="ESlet"/>
        <w:rPr>
          <w:lang w:val="en-US"/>
        </w:rPr>
      </w:pPr>
      <w:r w:rsidRPr="009942A5">
        <w:rPr>
          <w:lang w:val="en-US"/>
        </w:rPr>
        <w:t>b)</w:t>
      </w:r>
      <w:r w:rsidRPr="009942A5">
        <w:rPr>
          <w:lang w:val="en-US"/>
        </w:rPr>
        <w:tab/>
        <w:t>to be designed for at least the maximum service pressure;</w:t>
      </w:r>
    </w:p>
    <w:p w:rsidR="008418DC" w:rsidRPr="009942A5" w:rsidRDefault="008418DC" w:rsidP="001F1AC2">
      <w:pPr>
        <w:pStyle w:val="ESlet"/>
        <w:rPr>
          <w:lang w:val="en-US"/>
        </w:rPr>
      </w:pPr>
      <w:r w:rsidRPr="009942A5">
        <w:rPr>
          <w:lang w:val="en-US"/>
        </w:rPr>
        <w:t>c)</w:t>
      </w:r>
      <w:r w:rsidRPr="009942A5">
        <w:rPr>
          <w:lang w:val="en-US"/>
        </w:rPr>
        <w:tab/>
        <w:t xml:space="preserve">to be renewed at the latest every eight years. </w:t>
      </w:r>
    </w:p>
    <w:p w:rsidR="008418DC" w:rsidRPr="003B0440" w:rsidRDefault="008418DC" w:rsidP="008418DC">
      <w:pPr>
        <w:widowControl w:val="0"/>
        <w:autoSpaceDE/>
        <w:autoSpaceDN/>
        <w:rPr>
          <w:rFonts w:cs="Arial"/>
          <w:szCs w:val="20"/>
          <w:lang w:val="en-GB"/>
        </w:rPr>
      </w:pPr>
    </w:p>
    <w:p w:rsidR="008418DC" w:rsidRPr="003B0440" w:rsidRDefault="008418DC" w:rsidP="001F1AC2">
      <w:pPr>
        <w:pStyle w:val="ESch"/>
        <w:rPr>
          <w:lang w:val="en-GB"/>
        </w:rPr>
      </w:pPr>
      <w:r w:rsidRPr="003B0440">
        <w:rPr>
          <w:lang w:val="en-GB"/>
        </w:rPr>
        <w:t>11.</w:t>
      </w:r>
      <w:r w:rsidRPr="003B0440">
        <w:rPr>
          <w:lang w:val="en-GB"/>
        </w:rPr>
        <w:tab/>
        <w:t xml:space="preserve">Elevating </w:t>
      </w:r>
      <w:r w:rsidRPr="009942A5">
        <w:rPr>
          <w:lang w:val="en-US"/>
        </w:rPr>
        <w:t>wheelhouses</w:t>
      </w:r>
      <w:r w:rsidRPr="003B0440">
        <w:rPr>
          <w:lang w:val="en-GB"/>
        </w:rPr>
        <w:t xml:space="preserve"> and their appliances shall be inspected regularly, but at least once every twelve months, by a competent person. The safety of the installation is to be established by a visual check and a check on satisfactory operation. </w:t>
      </w:r>
    </w:p>
    <w:p w:rsidR="008418DC" w:rsidRPr="003B0440" w:rsidRDefault="008418DC" w:rsidP="003B0440">
      <w:pPr>
        <w:pStyle w:val="ESch"/>
        <w:rPr>
          <w:lang w:val="en-GB"/>
        </w:rPr>
      </w:pPr>
    </w:p>
    <w:p w:rsidR="008418DC" w:rsidRPr="003B0440" w:rsidRDefault="008418DC" w:rsidP="003B0440">
      <w:pPr>
        <w:pStyle w:val="ESch"/>
        <w:rPr>
          <w:lang w:val="en-GB"/>
        </w:rPr>
      </w:pPr>
      <w:r w:rsidRPr="003B0440">
        <w:rPr>
          <w:lang w:val="en-GB"/>
        </w:rPr>
        <w:br w:type="page"/>
      </w:r>
    </w:p>
    <w:p w:rsidR="008418DC" w:rsidRPr="003B0440" w:rsidRDefault="008418DC" w:rsidP="001F1AC2">
      <w:pPr>
        <w:pStyle w:val="ESch"/>
        <w:rPr>
          <w:lang w:val="en-GB"/>
        </w:rPr>
      </w:pPr>
      <w:r w:rsidRPr="003B0440">
        <w:rPr>
          <w:lang w:val="en-GB"/>
        </w:rPr>
        <w:lastRenderedPageBreak/>
        <w:t>12.</w:t>
      </w:r>
      <w:r w:rsidRPr="003B0440">
        <w:rPr>
          <w:lang w:val="en-GB"/>
        </w:rPr>
        <w:tab/>
        <w:t xml:space="preserve">Elevating </w:t>
      </w:r>
      <w:r w:rsidRPr="009942A5">
        <w:rPr>
          <w:lang w:val="en-US"/>
        </w:rPr>
        <w:t>wheelhouses</w:t>
      </w:r>
      <w:r w:rsidRPr="003B0440">
        <w:rPr>
          <w:lang w:val="en-GB"/>
        </w:rPr>
        <w:t xml:space="preserve"> and their appliances shall be inspected by an expert: </w:t>
      </w:r>
    </w:p>
    <w:p w:rsidR="008418DC" w:rsidRPr="003B0440" w:rsidRDefault="008418DC" w:rsidP="003B0440">
      <w:pPr>
        <w:pStyle w:val="ESlet"/>
        <w:rPr>
          <w:lang w:val="en-GB"/>
        </w:rPr>
      </w:pPr>
      <w:r w:rsidRPr="003B0440">
        <w:rPr>
          <w:lang w:val="en-GB"/>
        </w:rPr>
        <w:t>a)</w:t>
      </w:r>
      <w:r w:rsidRPr="003B0440">
        <w:rPr>
          <w:lang w:val="en-GB"/>
        </w:rPr>
        <w:tab/>
        <w:t xml:space="preserve">before being put into service for the first time, </w:t>
      </w:r>
    </w:p>
    <w:p w:rsidR="008418DC" w:rsidRPr="003B0440" w:rsidRDefault="008418DC" w:rsidP="003B0440">
      <w:pPr>
        <w:pStyle w:val="ESlet"/>
        <w:rPr>
          <w:lang w:val="en-GB"/>
        </w:rPr>
      </w:pPr>
      <w:r w:rsidRPr="003B0440">
        <w:rPr>
          <w:lang w:val="en-GB"/>
        </w:rPr>
        <w:t>b)</w:t>
      </w:r>
      <w:r w:rsidRPr="003B0440">
        <w:rPr>
          <w:lang w:val="en-GB"/>
        </w:rPr>
        <w:tab/>
        <w:t>before being put back into service after any major modification or repair, and</w:t>
      </w:r>
    </w:p>
    <w:p w:rsidR="008418DC" w:rsidRPr="003B0440" w:rsidRDefault="008418DC" w:rsidP="003B0440">
      <w:pPr>
        <w:pStyle w:val="ESlet"/>
        <w:rPr>
          <w:lang w:val="en-GB"/>
        </w:rPr>
      </w:pPr>
      <w:r w:rsidRPr="003B0440">
        <w:rPr>
          <w:lang w:val="en-GB"/>
        </w:rPr>
        <w:t>c)</w:t>
      </w:r>
      <w:r w:rsidRPr="003B0440">
        <w:rPr>
          <w:lang w:val="en-GB"/>
        </w:rPr>
        <w:tab/>
        <w:t>regularly, at least every five years.</w:t>
      </w:r>
    </w:p>
    <w:p w:rsidR="003B0440" w:rsidRDefault="003B0440" w:rsidP="003B0440">
      <w:pPr>
        <w:pStyle w:val="ESchpar"/>
        <w:rPr>
          <w:lang w:val="en-GB" w:eastAsia="en-US"/>
        </w:rPr>
      </w:pPr>
    </w:p>
    <w:p w:rsidR="008418DC" w:rsidRPr="003B0440" w:rsidRDefault="008418DC" w:rsidP="003B0440">
      <w:pPr>
        <w:pStyle w:val="ESchpar"/>
        <w:rPr>
          <w:lang w:val="en-GB" w:eastAsia="en-US"/>
        </w:rPr>
      </w:pPr>
      <w:r w:rsidRPr="003B0440">
        <w:rPr>
          <w:lang w:val="en-GB" w:eastAsia="en-US"/>
        </w:rPr>
        <w:t>In these inspections proof of adequate strength and stability shall be provided by calculations.</w:t>
      </w:r>
    </w:p>
    <w:p w:rsidR="008418DC" w:rsidRPr="003B0440" w:rsidRDefault="008418DC" w:rsidP="003B0440">
      <w:pPr>
        <w:pStyle w:val="ESchpar"/>
        <w:rPr>
          <w:lang w:val="en-GB" w:eastAsia="en-US"/>
        </w:rPr>
      </w:pPr>
    </w:p>
    <w:p w:rsidR="003F558E" w:rsidRPr="003B0440" w:rsidRDefault="008418DC" w:rsidP="003B0440">
      <w:pPr>
        <w:pStyle w:val="ESchpar"/>
        <w:rPr>
          <w:lang w:val="en-GB" w:eastAsia="en-US"/>
        </w:rPr>
      </w:pPr>
      <w:r w:rsidRPr="003B0440">
        <w:rPr>
          <w:lang w:val="en-GB" w:eastAsia="en-US"/>
        </w:rPr>
        <w:t>An inspection attestation shall be issued, signed by the expert and showing the date of the inspection.</w:t>
      </w:r>
    </w:p>
    <w:p w:rsidR="008418DC" w:rsidRDefault="008418DC" w:rsidP="003B0440">
      <w:pPr>
        <w:pStyle w:val="ESch"/>
        <w:rPr>
          <w:lang w:val="en-US"/>
        </w:rPr>
      </w:pPr>
    </w:p>
    <w:p w:rsidR="008418DC" w:rsidRDefault="008418DC" w:rsidP="003B0440">
      <w:pPr>
        <w:pStyle w:val="ESch"/>
        <w:rPr>
          <w:lang w:val="en-US"/>
        </w:rPr>
      </w:pPr>
    </w:p>
    <w:p w:rsidR="00822C1C" w:rsidRPr="00C903F8" w:rsidRDefault="00822C1C" w:rsidP="003F558E">
      <w:pPr>
        <w:pStyle w:val="ES-Titre3"/>
        <w:rPr>
          <w:i/>
          <w:lang w:val="en-US"/>
        </w:rPr>
      </w:pPr>
      <w:bookmarkStart w:id="60" w:name="_Toc491854054"/>
      <w:r w:rsidRPr="00C903F8">
        <w:rPr>
          <w:lang w:val="en-US"/>
        </w:rPr>
        <w:t>Article 7.13</w:t>
      </w:r>
      <w:r w:rsidRPr="00C903F8">
        <w:rPr>
          <w:lang w:val="en-US"/>
        </w:rPr>
        <w:br/>
      </w:r>
      <w:r w:rsidRPr="00C903F8">
        <w:rPr>
          <w:i/>
          <w:lang w:val="en-US"/>
        </w:rPr>
        <w:t xml:space="preserve">Entry in the </w:t>
      </w:r>
      <w:r w:rsidR="003062AF" w:rsidRPr="00C903F8">
        <w:rPr>
          <w:i/>
          <w:lang w:val="en-US"/>
        </w:rPr>
        <w:t>i</w:t>
      </w:r>
      <w:r w:rsidRPr="00C903F8">
        <w:rPr>
          <w:i/>
          <w:lang w:val="en-US"/>
        </w:rPr>
        <w:t>nland navigation vessel certificate for vessels with wheelhouses designed for radar navigation by one person</w:t>
      </w:r>
      <w:bookmarkEnd w:id="60"/>
    </w:p>
    <w:p w:rsidR="003F558E" w:rsidRPr="00C903F8" w:rsidRDefault="003F558E" w:rsidP="00822C1C">
      <w:pPr>
        <w:pStyle w:val="ESch"/>
        <w:rPr>
          <w:szCs w:val="20"/>
          <w:lang w:val="en-US"/>
        </w:rPr>
      </w:pPr>
    </w:p>
    <w:p w:rsidR="00822C1C" w:rsidRPr="00C903F8" w:rsidRDefault="00822C1C" w:rsidP="003F558E">
      <w:pPr>
        <w:pStyle w:val="ESgauche"/>
        <w:rPr>
          <w:lang w:val="en-US"/>
        </w:rPr>
      </w:pPr>
      <w:r w:rsidRPr="00C903F8">
        <w:rPr>
          <w:szCs w:val="20"/>
          <w:lang w:val="en-US"/>
        </w:rPr>
        <w:t>Where a vessel complies with the special provisions for wheelhouses designed for radar navigation by one person as set out in Articles 7.01</w:t>
      </w:r>
      <w:r w:rsidR="00FA47C1" w:rsidRPr="00C903F8">
        <w:rPr>
          <w:szCs w:val="20"/>
          <w:lang w:val="en-US"/>
        </w:rPr>
        <w:t>(3)</w:t>
      </w:r>
      <w:r w:rsidRPr="00C903F8">
        <w:rPr>
          <w:szCs w:val="20"/>
          <w:lang w:val="en-US"/>
        </w:rPr>
        <w:t>, 7.04</w:t>
      </w:r>
      <w:r w:rsidR="00FA47C1" w:rsidRPr="00C903F8">
        <w:rPr>
          <w:szCs w:val="20"/>
          <w:lang w:val="en-US"/>
        </w:rPr>
        <w:t>(5) and (6), 7.05(3) and (4), 7.06(2), 7.07,</w:t>
      </w:r>
      <w:r w:rsidRPr="00C903F8">
        <w:rPr>
          <w:szCs w:val="20"/>
          <w:lang w:val="en-US"/>
        </w:rPr>
        <w:t xml:space="preserve"> 7.08 and 7.11, the following entry shall be made in the </w:t>
      </w:r>
      <w:r w:rsidR="003062AF" w:rsidRPr="00C903F8">
        <w:rPr>
          <w:szCs w:val="20"/>
          <w:lang w:val="en-US"/>
        </w:rPr>
        <w:t>i</w:t>
      </w:r>
      <w:r w:rsidRPr="00C903F8">
        <w:rPr>
          <w:szCs w:val="20"/>
          <w:lang w:val="en-US"/>
        </w:rPr>
        <w:t>nland navigation vessel certificate:</w:t>
      </w:r>
    </w:p>
    <w:p w:rsidR="003F558E" w:rsidRPr="00C903F8" w:rsidRDefault="003F558E" w:rsidP="003F558E">
      <w:pPr>
        <w:pStyle w:val="ESgauche"/>
        <w:rPr>
          <w:szCs w:val="20"/>
          <w:lang w:val="en-US"/>
        </w:rPr>
      </w:pPr>
    </w:p>
    <w:p w:rsidR="00822C1C" w:rsidRPr="00C903F8" w:rsidRDefault="00461781" w:rsidP="003F558E">
      <w:pPr>
        <w:pStyle w:val="ESgauche"/>
        <w:jc w:val="center"/>
        <w:rPr>
          <w:lang w:val="en-US"/>
        </w:rPr>
      </w:pPr>
      <w:r w:rsidRPr="00C903F8">
        <w:rPr>
          <w:szCs w:val="20"/>
          <w:lang w:val="en-US"/>
        </w:rPr>
        <w:t>‘</w:t>
      </w:r>
      <w:r w:rsidR="00822C1C" w:rsidRPr="00C903F8">
        <w:rPr>
          <w:szCs w:val="20"/>
          <w:lang w:val="en-US"/>
        </w:rPr>
        <w:t>The vessel has a wheelhouse designed for radar navigation by one person</w:t>
      </w:r>
      <w:r w:rsidRPr="00C903F8">
        <w:rPr>
          <w:szCs w:val="20"/>
          <w:lang w:val="en-US"/>
        </w:rPr>
        <w:t>’</w:t>
      </w:r>
      <w:r w:rsidR="00822C1C" w:rsidRPr="00C903F8">
        <w:rPr>
          <w:szCs w:val="20"/>
          <w:lang w:val="en-US"/>
        </w:rPr>
        <w:t>.</w:t>
      </w:r>
    </w:p>
    <w:p w:rsidR="00DC11E8" w:rsidRPr="00C903F8" w:rsidRDefault="00DC11E8" w:rsidP="00E35772">
      <w:pPr>
        <w:spacing w:line="240" w:lineRule="atLeast"/>
        <w:ind w:left="567" w:hanging="567"/>
        <w:rPr>
          <w:noProof/>
          <w:szCs w:val="20"/>
          <w:lang w:val="en-US"/>
        </w:rPr>
      </w:pPr>
    </w:p>
    <w:p w:rsidR="00DC11E8" w:rsidRPr="00C903F8" w:rsidRDefault="00DC11E8" w:rsidP="00E35772">
      <w:pPr>
        <w:spacing w:line="240" w:lineRule="atLeast"/>
        <w:ind w:left="567" w:hanging="567"/>
        <w:rPr>
          <w:noProof/>
          <w:lang w:val="en-US"/>
        </w:rPr>
      </w:pPr>
    </w:p>
    <w:p w:rsidR="005344DA" w:rsidRPr="00C903F8" w:rsidRDefault="006D6907" w:rsidP="00E35772">
      <w:pPr>
        <w:spacing w:line="240" w:lineRule="atLeast"/>
        <w:ind w:left="567" w:hanging="567"/>
        <w:rPr>
          <w:noProof/>
          <w:lang w:val="en-US"/>
        </w:rPr>
      </w:pPr>
      <w:r w:rsidRPr="00C903F8">
        <w:rPr>
          <w:noProof/>
          <w:lang w:val="en-US"/>
        </w:rPr>
        <w:br w:type="page"/>
      </w:r>
    </w:p>
    <w:p w:rsidR="00763ADA" w:rsidRPr="00C903F8" w:rsidRDefault="00E24808" w:rsidP="00763ADA">
      <w:pPr>
        <w:pStyle w:val="ES-Titre2"/>
      </w:pPr>
      <w:bookmarkStart w:id="61" w:name="_Toc491854055"/>
      <w:r w:rsidRPr="000E732C">
        <w:rPr>
          <w:lang w:val="en-GB"/>
        </w:rPr>
        <w:lastRenderedPageBreak/>
        <w:t>Chapter</w:t>
      </w:r>
      <w:r w:rsidR="00763ADA" w:rsidRPr="000E732C">
        <w:rPr>
          <w:lang w:val="en-GB"/>
        </w:rPr>
        <w:t xml:space="preserve"> 8</w:t>
      </w:r>
      <w:r w:rsidR="00763ADA" w:rsidRPr="00C903F8">
        <w:br/>
      </w:r>
      <w:r w:rsidRPr="00C903F8">
        <w:t>Engine design</w:t>
      </w:r>
      <w:bookmarkEnd w:id="61"/>
    </w:p>
    <w:p w:rsidR="00E24808" w:rsidRPr="00C903F8" w:rsidRDefault="00E24808" w:rsidP="00E24808">
      <w:pPr>
        <w:rPr>
          <w:rFonts w:cs="Arial"/>
          <w:b/>
          <w:i/>
          <w:noProof/>
          <w:szCs w:val="20"/>
          <w:lang w:val="en-US"/>
        </w:rPr>
      </w:pPr>
    </w:p>
    <w:p w:rsidR="00E24808" w:rsidRPr="00C903F8" w:rsidRDefault="00E24808" w:rsidP="00E24808">
      <w:pPr>
        <w:pStyle w:val="ES-Titre3"/>
        <w:rPr>
          <w:lang w:val="en-US"/>
        </w:rPr>
      </w:pPr>
      <w:bookmarkStart w:id="62" w:name="_Toc491854056"/>
      <w:r w:rsidRPr="00C903F8">
        <w:rPr>
          <w:noProof/>
          <w:lang w:val="en-US"/>
        </w:rPr>
        <w:t>Article 8.01</w:t>
      </w:r>
      <w:r w:rsidRPr="00C903F8">
        <w:rPr>
          <w:noProof/>
          <w:lang w:val="en-US"/>
        </w:rPr>
        <w:br/>
      </w:r>
      <w:r w:rsidRPr="00C903F8">
        <w:rPr>
          <w:bCs/>
          <w:i/>
          <w:noProof/>
          <w:lang w:val="en-US"/>
        </w:rPr>
        <w:t>General</w:t>
      </w:r>
      <w:bookmarkEnd w:id="62"/>
    </w:p>
    <w:p w:rsidR="00266522" w:rsidRPr="00C903F8" w:rsidRDefault="00266522" w:rsidP="00E24808">
      <w:pPr>
        <w:rPr>
          <w:rFonts w:cs="Arial"/>
          <w:noProof/>
          <w:szCs w:val="20"/>
          <w:lang w:val="en-GB"/>
        </w:rPr>
      </w:pPr>
    </w:p>
    <w:p w:rsidR="00E24808" w:rsidRPr="00C903F8" w:rsidRDefault="00E24808" w:rsidP="00266522">
      <w:pPr>
        <w:pStyle w:val="ESch"/>
        <w:rPr>
          <w:lang w:val="en-GB"/>
        </w:rPr>
      </w:pPr>
      <w:r w:rsidRPr="00C903F8">
        <w:rPr>
          <w:noProof/>
          <w:lang w:val="en-GB"/>
        </w:rPr>
        <w:t>1.</w:t>
      </w:r>
      <w:r w:rsidRPr="00C903F8">
        <w:rPr>
          <w:noProof/>
          <w:lang w:val="en-GB"/>
        </w:rPr>
        <w:tab/>
        <w:t>Engines and their ancillaries shall be designed, built and installed in accordance with best practice.</w:t>
      </w:r>
    </w:p>
    <w:p w:rsidR="000B60B9" w:rsidRPr="00C903F8" w:rsidRDefault="000B60B9" w:rsidP="00266522">
      <w:pPr>
        <w:pStyle w:val="ESch"/>
        <w:rPr>
          <w:noProof/>
          <w:lang w:val="en-GB"/>
        </w:rPr>
      </w:pPr>
    </w:p>
    <w:p w:rsidR="00E24808" w:rsidRPr="00C903F8" w:rsidRDefault="00E24808" w:rsidP="00266522">
      <w:pPr>
        <w:pStyle w:val="ESch"/>
        <w:rPr>
          <w:lang w:val="en-GB"/>
        </w:rPr>
      </w:pPr>
      <w:r w:rsidRPr="00C903F8">
        <w:rPr>
          <w:noProof/>
          <w:lang w:val="en-GB"/>
        </w:rPr>
        <w:t>2.</w:t>
      </w:r>
      <w:r w:rsidRPr="00C903F8">
        <w:rPr>
          <w:noProof/>
          <w:lang w:val="en-GB"/>
        </w:rPr>
        <w:tab/>
        <w:t xml:space="preserve">Pressure </w:t>
      </w:r>
      <w:r w:rsidR="00647B13" w:rsidRPr="00C903F8">
        <w:rPr>
          <w:noProof/>
          <w:lang w:val="en-GB"/>
        </w:rPr>
        <w:t>vessels dedicated for the opera</w:t>
      </w:r>
      <w:r w:rsidRPr="00C903F8">
        <w:rPr>
          <w:noProof/>
          <w:lang w:val="en-GB"/>
        </w:rPr>
        <w:t>tion of the vessel shall be</w:t>
      </w:r>
      <w:r w:rsidR="003062AF" w:rsidRPr="00C903F8">
        <w:rPr>
          <w:noProof/>
          <w:lang w:val="en-GB"/>
        </w:rPr>
        <w:t xml:space="preserve"> </w:t>
      </w:r>
      <w:r w:rsidRPr="00C903F8">
        <w:rPr>
          <w:noProof/>
          <w:lang w:val="en-GB"/>
        </w:rPr>
        <w:t>checked by an expert to verify that they are safe for operation:</w:t>
      </w:r>
    </w:p>
    <w:p w:rsidR="00E24808" w:rsidRPr="00C903F8" w:rsidRDefault="005C7859" w:rsidP="00266522">
      <w:pPr>
        <w:pStyle w:val="ESlet"/>
        <w:rPr>
          <w:lang w:val="en-GB"/>
        </w:rPr>
      </w:pPr>
      <w:r w:rsidRPr="00C903F8">
        <w:rPr>
          <w:lang w:val="en-GB"/>
        </w:rPr>
        <w:t>a)</w:t>
      </w:r>
      <w:r w:rsidR="00E24808" w:rsidRPr="00C903F8">
        <w:rPr>
          <w:lang w:val="en-GB"/>
        </w:rPr>
        <w:tab/>
        <w:t>before being put into service for the first time</w:t>
      </w:r>
      <w:r w:rsidR="009622D2" w:rsidRPr="00C903F8">
        <w:rPr>
          <w:lang w:val="en-GB"/>
        </w:rPr>
        <w:t>;</w:t>
      </w:r>
    </w:p>
    <w:p w:rsidR="00E24808" w:rsidRPr="00C903F8" w:rsidRDefault="005C7859" w:rsidP="00266522">
      <w:pPr>
        <w:pStyle w:val="ESlet"/>
        <w:rPr>
          <w:lang w:val="en-GB"/>
        </w:rPr>
      </w:pPr>
      <w:r w:rsidRPr="00C903F8">
        <w:rPr>
          <w:lang w:val="en-GB"/>
        </w:rPr>
        <w:t>b)</w:t>
      </w:r>
      <w:r w:rsidR="00E24808" w:rsidRPr="00C903F8">
        <w:rPr>
          <w:lang w:val="en-GB"/>
        </w:rPr>
        <w:tab/>
        <w:t>before being put back into service after any modification or repair</w:t>
      </w:r>
      <w:r w:rsidR="009622D2" w:rsidRPr="00C903F8">
        <w:rPr>
          <w:lang w:val="en-GB"/>
        </w:rPr>
        <w:t>;</w:t>
      </w:r>
      <w:r w:rsidR="00E24808" w:rsidRPr="00C903F8">
        <w:rPr>
          <w:lang w:val="en-GB"/>
        </w:rPr>
        <w:t xml:space="preserve"> and</w:t>
      </w:r>
    </w:p>
    <w:p w:rsidR="00E24808" w:rsidRPr="00C903F8" w:rsidRDefault="005C7859" w:rsidP="00266522">
      <w:pPr>
        <w:pStyle w:val="ESlet"/>
        <w:rPr>
          <w:lang w:val="en-GB"/>
        </w:rPr>
      </w:pPr>
      <w:r w:rsidRPr="00C903F8">
        <w:rPr>
          <w:lang w:val="en-GB"/>
        </w:rPr>
        <w:t>c)</w:t>
      </w:r>
      <w:r w:rsidR="00E24808" w:rsidRPr="00C903F8">
        <w:rPr>
          <w:lang w:val="en-GB"/>
        </w:rPr>
        <w:tab/>
        <w:t>regularly, at least every five years.</w:t>
      </w:r>
    </w:p>
    <w:p w:rsidR="000B60B9" w:rsidRPr="00C903F8" w:rsidRDefault="000B60B9" w:rsidP="00E24808">
      <w:pPr>
        <w:rPr>
          <w:rFonts w:cs="Arial"/>
          <w:noProof/>
          <w:szCs w:val="20"/>
          <w:lang w:val="en-GB"/>
        </w:rPr>
      </w:pPr>
    </w:p>
    <w:p w:rsidR="00E24808" w:rsidRPr="00C903F8" w:rsidRDefault="00E24808" w:rsidP="00266522">
      <w:pPr>
        <w:pStyle w:val="ESchpar"/>
        <w:rPr>
          <w:lang w:val="en-US"/>
        </w:rPr>
      </w:pPr>
      <w:r w:rsidRPr="00C903F8">
        <w:rPr>
          <w:noProof/>
          <w:lang w:val="en-GB"/>
        </w:rPr>
        <w:t>The inspection shall involve an internal and an external inspection. Compressed-air vessels the interior of which cannot be properly inspected, or the condition of which cannot be clearly established during the internal inspection, are required to undergo additional non-destructive testing or a hydraulic pressure test.</w:t>
      </w:r>
    </w:p>
    <w:p w:rsidR="000B60B9" w:rsidRPr="00C903F8" w:rsidRDefault="000B60B9" w:rsidP="00266522">
      <w:pPr>
        <w:pStyle w:val="ESchpar"/>
        <w:rPr>
          <w:noProof/>
          <w:lang w:val="en-GB"/>
        </w:rPr>
      </w:pPr>
    </w:p>
    <w:p w:rsidR="00E24808" w:rsidRPr="00C903F8" w:rsidRDefault="00E24808" w:rsidP="00266522">
      <w:pPr>
        <w:pStyle w:val="ESchpar"/>
        <w:rPr>
          <w:lang w:val="en-GB"/>
        </w:rPr>
      </w:pPr>
      <w:r w:rsidRPr="00C903F8">
        <w:rPr>
          <w:noProof/>
          <w:lang w:val="en-GB"/>
        </w:rPr>
        <w:t xml:space="preserve">An inspection </w:t>
      </w:r>
      <w:r w:rsidR="00011E41" w:rsidRPr="00C903F8">
        <w:rPr>
          <w:noProof/>
          <w:lang w:val="en-GB"/>
        </w:rPr>
        <w:t>attestation</w:t>
      </w:r>
      <w:r w:rsidRPr="00C903F8">
        <w:rPr>
          <w:noProof/>
          <w:lang w:val="en-GB"/>
        </w:rPr>
        <w:t xml:space="preserve"> shall be issued, signed by the expert and showing the date of the inspection.</w:t>
      </w:r>
    </w:p>
    <w:p w:rsidR="000B60B9" w:rsidRPr="00C903F8" w:rsidRDefault="000B60B9" w:rsidP="00266522">
      <w:pPr>
        <w:pStyle w:val="ESchpar"/>
        <w:rPr>
          <w:noProof/>
          <w:lang w:val="en-GB"/>
        </w:rPr>
      </w:pPr>
    </w:p>
    <w:p w:rsidR="00E24808" w:rsidRPr="00C903F8" w:rsidRDefault="00D329B3" w:rsidP="00266522">
      <w:pPr>
        <w:pStyle w:val="ESchpar"/>
        <w:rPr>
          <w:noProof/>
          <w:lang w:val="en-GB"/>
        </w:rPr>
      </w:pPr>
      <w:r w:rsidRPr="00C903F8">
        <w:rPr>
          <w:noProof/>
          <w:lang w:val="en-GB"/>
        </w:rPr>
        <w:t>Other installations re</w:t>
      </w:r>
      <w:r w:rsidR="00E24808" w:rsidRPr="00C903F8">
        <w:rPr>
          <w:noProof/>
          <w:lang w:val="en-GB"/>
        </w:rPr>
        <w:t>quiring regular inspection, particularly steam boilers, other pressure vessels and their accessories, and lifts, shall meet the regulations applying in one of the Member States</w:t>
      </w:r>
      <w:r w:rsidR="008E7459" w:rsidRPr="00C903F8">
        <w:rPr>
          <w:noProof/>
          <w:lang w:val="en-GB"/>
        </w:rPr>
        <w:t>.</w:t>
      </w:r>
    </w:p>
    <w:p w:rsidR="000B60B9" w:rsidRPr="00C903F8" w:rsidRDefault="000B60B9" w:rsidP="00266522">
      <w:pPr>
        <w:pStyle w:val="ESchpar"/>
        <w:rPr>
          <w:lang w:val="en-GB"/>
        </w:rPr>
      </w:pPr>
    </w:p>
    <w:p w:rsidR="00E24808" w:rsidRPr="00C903F8" w:rsidRDefault="00E24808" w:rsidP="00266522">
      <w:pPr>
        <w:pStyle w:val="ESch"/>
        <w:rPr>
          <w:lang w:val="en-US"/>
        </w:rPr>
      </w:pPr>
      <w:r w:rsidRPr="00C903F8">
        <w:rPr>
          <w:lang w:val="en-US"/>
        </w:rPr>
        <w:t>3.</w:t>
      </w:r>
      <w:r w:rsidR="00266522" w:rsidRPr="00C903F8">
        <w:rPr>
          <w:lang w:val="en-US"/>
        </w:rPr>
        <w:tab/>
      </w:r>
      <w:r w:rsidRPr="00C903F8">
        <w:rPr>
          <w:noProof/>
          <w:lang w:val="en-GB"/>
        </w:rPr>
        <w:t>Only internal-combustion engines burning fuels having a flashpoint of more than 55 °C may be installed.</w:t>
      </w:r>
    </w:p>
    <w:p w:rsidR="00E24808" w:rsidRPr="00C903F8" w:rsidRDefault="00E24808" w:rsidP="00E24808">
      <w:pPr>
        <w:rPr>
          <w:rFonts w:cs="Arial"/>
          <w:szCs w:val="20"/>
          <w:lang w:val="en-US"/>
        </w:rPr>
      </w:pPr>
    </w:p>
    <w:p w:rsidR="000B60B9" w:rsidRPr="00C903F8" w:rsidRDefault="000B60B9" w:rsidP="00E24808">
      <w:pPr>
        <w:rPr>
          <w:rFonts w:cs="Arial"/>
          <w:szCs w:val="20"/>
          <w:lang w:val="en-US"/>
        </w:rPr>
      </w:pPr>
    </w:p>
    <w:p w:rsidR="00E24808" w:rsidRPr="00C903F8" w:rsidRDefault="00E24808" w:rsidP="000B60B9">
      <w:pPr>
        <w:pStyle w:val="ES-Titre3"/>
        <w:rPr>
          <w:lang w:val="en-US"/>
        </w:rPr>
      </w:pPr>
      <w:bookmarkStart w:id="63" w:name="_Toc491854057"/>
      <w:r w:rsidRPr="00C903F8">
        <w:rPr>
          <w:iCs/>
          <w:noProof/>
          <w:lang w:val="en-US"/>
        </w:rPr>
        <w:t>Article 8.02</w:t>
      </w:r>
      <w:r w:rsidRPr="00C903F8">
        <w:rPr>
          <w:noProof/>
          <w:lang w:val="en-US"/>
        </w:rPr>
        <w:br/>
      </w:r>
      <w:r w:rsidRPr="00C903F8">
        <w:rPr>
          <w:i/>
          <w:noProof/>
          <w:lang w:val="en-US"/>
        </w:rPr>
        <w:t>Safety equipment</w:t>
      </w:r>
      <w:bookmarkEnd w:id="63"/>
    </w:p>
    <w:p w:rsidR="000B60B9" w:rsidRPr="00C903F8" w:rsidRDefault="000B60B9" w:rsidP="00E24808">
      <w:pPr>
        <w:rPr>
          <w:rFonts w:cs="Arial"/>
          <w:noProof/>
          <w:szCs w:val="20"/>
          <w:lang w:val="en-GB"/>
        </w:rPr>
      </w:pPr>
    </w:p>
    <w:p w:rsidR="00E24808" w:rsidRPr="00C903F8" w:rsidRDefault="00E24808" w:rsidP="00266522">
      <w:pPr>
        <w:pStyle w:val="ESch"/>
        <w:rPr>
          <w:lang w:val="en-GB"/>
        </w:rPr>
      </w:pPr>
      <w:r w:rsidRPr="00C903F8">
        <w:rPr>
          <w:noProof/>
          <w:lang w:val="en-GB"/>
        </w:rPr>
        <w:t>1.</w:t>
      </w:r>
      <w:r w:rsidRPr="00C903F8">
        <w:rPr>
          <w:noProof/>
          <w:lang w:val="en-GB"/>
        </w:rPr>
        <w:tab/>
        <w:t>Engines shall be installed and fitted in such a way as to be adequately accessible for operation and maintenance and shall not endanger the persons assigned to those tasks. It shall be possible to make them secure against unintentional starting.</w:t>
      </w:r>
    </w:p>
    <w:p w:rsidR="000B60B9" w:rsidRPr="00C903F8" w:rsidRDefault="000B60B9" w:rsidP="00266522">
      <w:pPr>
        <w:pStyle w:val="ESch"/>
        <w:rPr>
          <w:noProof/>
          <w:lang w:val="en-GB"/>
        </w:rPr>
      </w:pPr>
    </w:p>
    <w:p w:rsidR="00E24808" w:rsidRPr="00C903F8" w:rsidRDefault="00E24808" w:rsidP="00266522">
      <w:pPr>
        <w:pStyle w:val="ESch"/>
        <w:rPr>
          <w:lang w:val="en-GB"/>
        </w:rPr>
      </w:pPr>
      <w:r w:rsidRPr="00C903F8">
        <w:rPr>
          <w:noProof/>
          <w:lang w:val="en-GB"/>
        </w:rPr>
        <w:t>2.</w:t>
      </w:r>
      <w:r w:rsidRPr="00C903F8">
        <w:rPr>
          <w:noProof/>
          <w:lang w:val="en-GB"/>
        </w:rPr>
        <w:tab/>
        <w:t>Main engines, auxiliaries, boilers and pressure vessels, and their accessories, shall be fitted with safety devices.</w:t>
      </w:r>
    </w:p>
    <w:p w:rsidR="000B60B9" w:rsidRPr="00C903F8" w:rsidRDefault="000B60B9" w:rsidP="00266522">
      <w:pPr>
        <w:pStyle w:val="ESch"/>
        <w:rPr>
          <w:noProof/>
          <w:lang w:val="en-GB"/>
        </w:rPr>
      </w:pPr>
    </w:p>
    <w:p w:rsidR="00E24808" w:rsidRPr="00C903F8" w:rsidRDefault="00E24808" w:rsidP="00266522">
      <w:pPr>
        <w:pStyle w:val="ESch"/>
        <w:rPr>
          <w:lang w:val="en-GB"/>
        </w:rPr>
      </w:pPr>
      <w:r w:rsidRPr="00C903F8">
        <w:rPr>
          <w:noProof/>
          <w:lang w:val="en-GB"/>
        </w:rPr>
        <w:t>3.</w:t>
      </w:r>
      <w:r w:rsidRPr="00C903F8">
        <w:rPr>
          <w:noProof/>
          <w:lang w:val="en-GB"/>
        </w:rPr>
        <w:tab/>
        <w:t>In case of emergency, it shall also be possible to shut down the motors driving the blower and suction fans from outside the space in which they are located, and from outside the engine room.</w:t>
      </w:r>
    </w:p>
    <w:p w:rsidR="000B60B9" w:rsidRPr="00C903F8" w:rsidRDefault="000B60B9" w:rsidP="00266522">
      <w:pPr>
        <w:pStyle w:val="ESch"/>
        <w:rPr>
          <w:noProof/>
          <w:lang w:val="en-GB"/>
        </w:rPr>
      </w:pPr>
    </w:p>
    <w:p w:rsidR="00E24808" w:rsidRPr="00C903F8" w:rsidRDefault="00E24808" w:rsidP="00266522">
      <w:pPr>
        <w:pStyle w:val="ESch"/>
        <w:rPr>
          <w:lang w:val="en-US"/>
        </w:rPr>
      </w:pPr>
      <w:r w:rsidRPr="00C903F8">
        <w:rPr>
          <w:noProof/>
          <w:lang w:val="en-GB"/>
        </w:rPr>
        <w:t>4.</w:t>
      </w:r>
      <w:r w:rsidRPr="00C903F8">
        <w:rPr>
          <w:noProof/>
          <w:lang w:val="en-GB"/>
        </w:rPr>
        <w:tab/>
        <w:t>Where necessary, connections of pipes which carry fuel oil, lubricating oil, and oils used in power transmission systems, control and activating systems and heating systems shall be screened or otherwise suitably protected to avoid oil spray or leakages onto hot surfaces, into machinery air intakes, or other sources of ignition. The number of connections in such piping systems shall be kept to a minimum.</w:t>
      </w:r>
    </w:p>
    <w:p w:rsidR="000B60B9" w:rsidRPr="00C903F8" w:rsidRDefault="000B60B9" w:rsidP="00266522">
      <w:pPr>
        <w:pStyle w:val="ESch"/>
        <w:rPr>
          <w:noProof/>
          <w:lang w:val="en-GB"/>
        </w:rPr>
      </w:pPr>
    </w:p>
    <w:p w:rsidR="00266522" w:rsidRPr="00C903F8" w:rsidRDefault="00266522" w:rsidP="00266522">
      <w:pPr>
        <w:pStyle w:val="ESch"/>
        <w:rPr>
          <w:noProof/>
          <w:lang w:val="en-GB"/>
        </w:rPr>
      </w:pPr>
      <w:r w:rsidRPr="00C903F8">
        <w:rPr>
          <w:noProof/>
          <w:lang w:val="en-GB"/>
        </w:rPr>
        <w:br w:type="page"/>
      </w:r>
    </w:p>
    <w:p w:rsidR="00E24808" w:rsidRPr="00C903F8" w:rsidRDefault="00E24808" w:rsidP="00266522">
      <w:pPr>
        <w:pStyle w:val="ESch"/>
        <w:rPr>
          <w:lang w:val="en-GB"/>
        </w:rPr>
      </w:pPr>
      <w:r w:rsidRPr="00C903F8">
        <w:rPr>
          <w:noProof/>
          <w:lang w:val="en-GB"/>
        </w:rPr>
        <w:lastRenderedPageBreak/>
        <w:t>5.</w:t>
      </w:r>
      <w:r w:rsidRPr="00C903F8">
        <w:rPr>
          <w:noProof/>
          <w:lang w:val="en-GB"/>
        </w:rPr>
        <w:tab/>
        <w:t>External high pressure fuel delivery pipes of diesel engines, between the high pressure fuel pumps and fuel injectors, shall be protected with a jacketed piping system capable of containing fuel from a high pressure pipe failure. The jacketed piping system shall include a means for collection of leakages and arrangements shall be provided for an alarm to be given of a fuel pipe failure, except that an alarm is not required for engines with no more than two cylinders. Jacketed piping systems need not be applied to engines on open decks operating windlasses and capstans.</w:t>
      </w:r>
    </w:p>
    <w:p w:rsidR="000B60B9" w:rsidRPr="00C903F8" w:rsidRDefault="000B60B9" w:rsidP="00E24808">
      <w:pPr>
        <w:rPr>
          <w:rFonts w:cs="Arial"/>
          <w:noProof/>
          <w:szCs w:val="20"/>
          <w:lang w:val="en-GB"/>
        </w:rPr>
      </w:pPr>
    </w:p>
    <w:p w:rsidR="00E24808" w:rsidRPr="00C903F8" w:rsidRDefault="00E24808" w:rsidP="00266522">
      <w:pPr>
        <w:pStyle w:val="ESch"/>
        <w:rPr>
          <w:lang w:val="en-US"/>
        </w:rPr>
      </w:pPr>
      <w:r w:rsidRPr="00C903F8">
        <w:rPr>
          <w:noProof/>
          <w:lang w:val="en-GB"/>
        </w:rPr>
        <w:t>6.</w:t>
      </w:r>
      <w:r w:rsidRPr="00C903F8">
        <w:rPr>
          <w:noProof/>
          <w:lang w:val="en-GB"/>
        </w:rPr>
        <w:tab/>
        <w:t xml:space="preserve">Insulation of engine parts shall meet the requirements of Article 3.04(3), second </w:t>
      </w:r>
      <w:r w:rsidR="009827B2" w:rsidRPr="00C903F8">
        <w:rPr>
          <w:noProof/>
          <w:lang w:val="en-GB"/>
        </w:rPr>
        <w:t>sub</w:t>
      </w:r>
      <w:r w:rsidRPr="00C903F8">
        <w:rPr>
          <w:noProof/>
          <w:lang w:val="en-GB"/>
        </w:rPr>
        <w:t>paragraph.</w:t>
      </w:r>
    </w:p>
    <w:p w:rsidR="00E24808" w:rsidRPr="00C903F8" w:rsidRDefault="00E24808" w:rsidP="00E24808">
      <w:pPr>
        <w:rPr>
          <w:rFonts w:cs="Arial"/>
          <w:szCs w:val="20"/>
          <w:lang w:val="en-US"/>
        </w:rPr>
      </w:pPr>
    </w:p>
    <w:p w:rsidR="00266522" w:rsidRPr="00C903F8" w:rsidRDefault="00266522" w:rsidP="00E24808">
      <w:pPr>
        <w:rPr>
          <w:rFonts w:cs="Arial"/>
          <w:szCs w:val="20"/>
          <w:lang w:val="en-US"/>
        </w:rPr>
      </w:pPr>
    </w:p>
    <w:p w:rsidR="00E24808" w:rsidRPr="00C903F8" w:rsidRDefault="00E24808" w:rsidP="000B60B9">
      <w:pPr>
        <w:pStyle w:val="ES-Titre3"/>
        <w:rPr>
          <w:lang w:val="en-US"/>
        </w:rPr>
      </w:pPr>
      <w:bookmarkStart w:id="64" w:name="_Toc491854058"/>
      <w:r w:rsidRPr="00C903F8">
        <w:rPr>
          <w:noProof/>
          <w:lang w:val="en-US"/>
        </w:rPr>
        <w:t>Article 8.03</w:t>
      </w:r>
      <w:r w:rsidRPr="00C903F8">
        <w:rPr>
          <w:noProof/>
          <w:lang w:val="en-US"/>
        </w:rPr>
        <w:br/>
      </w:r>
      <w:r w:rsidR="00FF7340" w:rsidRPr="00C903F8">
        <w:rPr>
          <w:bCs/>
          <w:i/>
          <w:noProof/>
          <w:lang w:val="en-US"/>
        </w:rPr>
        <w:t>Propulsion systems</w:t>
      </w:r>
      <w:bookmarkEnd w:id="64"/>
    </w:p>
    <w:p w:rsidR="000B60B9" w:rsidRPr="00C903F8" w:rsidRDefault="000B60B9" w:rsidP="00E24808">
      <w:pPr>
        <w:rPr>
          <w:rFonts w:cs="Arial"/>
          <w:noProof/>
          <w:szCs w:val="20"/>
          <w:lang w:val="en-GB"/>
        </w:rPr>
      </w:pPr>
    </w:p>
    <w:p w:rsidR="00E24808" w:rsidRPr="00C903F8" w:rsidRDefault="00E24808" w:rsidP="00266522">
      <w:pPr>
        <w:pStyle w:val="ESch"/>
        <w:rPr>
          <w:lang w:val="en-GB"/>
        </w:rPr>
      </w:pPr>
      <w:r w:rsidRPr="00C903F8">
        <w:rPr>
          <w:noProof/>
          <w:lang w:val="en-GB"/>
        </w:rPr>
        <w:t>1.</w:t>
      </w:r>
      <w:r w:rsidRPr="00C903F8">
        <w:rPr>
          <w:noProof/>
          <w:lang w:val="en-GB"/>
        </w:rPr>
        <w:tab/>
        <w:t>It shall be possible to start, stop or reverse the ship's propulsion reliably and quickly.</w:t>
      </w:r>
    </w:p>
    <w:p w:rsidR="000B60B9" w:rsidRPr="00C903F8" w:rsidRDefault="000B60B9" w:rsidP="00266522">
      <w:pPr>
        <w:pStyle w:val="ESch"/>
        <w:rPr>
          <w:lang w:val="en-US"/>
        </w:rPr>
      </w:pPr>
    </w:p>
    <w:p w:rsidR="00E24808" w:rsidRPr="00C903F8" w:rsidRDefault="00E24808" w:rsidP="00266522">
      <w:pPr>
        <w:pStyle w:val="ESch"/>
        <w:rPr>
          <w:lang w:val="en-US"/>
        </w:rPr>
      </w:pPr>
      <w:r w:rsidRPr="00C903F8">
        <w:rPr>
          <w:lang w:val="en-US"/>
        </w:rPr>
        <w:t>2.</w:t>
      </w:r>
      <w:r w:rsidRPr="00C903F8">
        <w:rPr>
          <w:lang w:val="en-US"/>
        </w:rPr>
        <w:tab/>
        <w:t>The following areas shall be monitored by suitable devices which trigger an alarm once a critical level has been reached:</w:t>
      </w:r>
    </w:p>
    <w:p w:rsidR="00E24808" w:rsidRPr="00C903F8" w:rsidRDefault="005C7859" w:rsidP="00266522">
      <w:pPr>
        <w:pStyle w:val="ESlet"/>
        <w:rPr>
          <w:lang w:val="en-US"/>
        </w:rPr>
      </w:pPr>
      <w:r w:rsidRPr="00C903F8">
        <w:rPr>
          <w:lang w:val="en-US"/>
        </w:rPr>
        <w:t>a)</w:t>
      </w:r>
      <w:r w:rsidR="00E24808" w:rsidRPr="00C903F8">
        <w:rPr>
          <w:lang w:val="en-US"/>
        </w:rPr>
        <w:tab/>
        <w:t>the temperature of the cooling water</w:t>
      </w:r>
      <w:r w:rsidR="00FF7340" w:rsidRPr="00C903F8">
        <w:rPr>
          <w:lang w:val="en-US"/>
        </w:rPr>
        <w:t xml:space="preserve"> of the main engines</w:t>
      </w:r>
      <w:r w:rsidR="00E24808" w:rsidRPr="00C903F8">
        <w:rPr>
          <w:lang w:val="en-US"/>
        </w:rPr>
        <w:t>;</w:t>
      </w:r>
    </w:p>
    <w:p w:rsidR="00E24808" w:rsidRPr="00C903F8" w:rsidRDefault="005C7859" w:rsidP="00266522">
      <w:pPr>
        <w:pStyle w:val="ESlet"/>
        <w:rPr>
          <w:lang w:val="en-US"/>
        </w:rPr>
      </w:pPr>
      <w:r w:rsidRPr="00C903F8">
        <w:rPr>
          <w:lang w:val="en-US"/>
        </w:rPr>
        <w:t>b)</w:t>
      </w:r>
      <w:r w:rsidR="00E24808" w:rsidRPr="00C903F8">
        <w:rPr>
          <w:lang w:val="en-US"/>
        </w:rPr>
        <w:tab/>
        <w:t>the lubricating-oil pressure for the main engines and transmissions;</w:t>
      </w:r>
    </w:p>
    <w:p w:rsidR="00E24808" w:rsidRPr="00C903F8" w:rsidRDefault="005C7859" w:rsidP="00266522">
      <w:pPr>
        <w:pStyle w:val="ESlet"/>
        <w:rPr>
          <w:lang w:val="en-US"/>
        </w:rPr>
      </w:pPr>
      <w:r w:rsidRPr="00C903F8">
        <w:rPr>
          <w:lang w:val="en-US"/>
        </w:rPr>
        <w:t>c)</w:t>
      </w:r>
      <w:r w:rsidR="00E24808" w:rsidRPr="00C903F8">
        <w:rPr>
          <w:lang w:val="en-US"/>
        </w:rPr>
        <w:tab/>
        <w:t>the oil and air pressure of the reversing units</w:t>
      </w:r>
      <w:r w:rsidR="00FF7340" w:rsidRPr="00C903F8">
        <w:rPr>
          <w:lang w:val="en-US"/>
        </w:rPr>
        <w:t xml:space="preserve"> of the main engines</w:t>
      </w:r>
      <w:r w:rsidR="00E24808" w:rsidRPr="00C903F8">
        <w:rPr>
          <w:lang w:val="en-US"/>
        </w:rPr>
        <w:t>, reversible transmissions or propellers.</w:t>
      </w:r>
    </w:p>
    <w:p w:rsidR="000B60B9" w:rsidRPr="00C903F8" w:rsidRDefault="000B60B9" w:rsidP="00266522">
      <w:pPr>
        <w:pStyle w:val="ESch"/>
        <w:rPr>
          <w:noProof/>
          <w:lang w:val="en-GB"/>
        </w:rPr>
      </w:pPr>
    </w:p>
    <w:p w:rsidR="00E24808" w:rsidRPr="00C903F8" w:rsidRDefault="00E24808" w:rsidP="00266522">
      <w:pPr>
        <w:pStyle w:val="ESch"/>
        <w:rPr>
          <w:lang w:val="en-US"/>
        </w:rPr>
      </w:pPr>
      <w:r w:rsidRPr="00C903F8">
        <w:rPr>
          <w:noProof/>
          <w:lang w:val="en-GB"/>
        </w:rPr>
        <w:t>3.</w:t>
      </w:r>
      <w:r w:rsidRPr="00C903F8">
        <w:rPr>
          <w:noProof/>
          <w:lang w:val="en-GB"/>
        </w:rPr>
        <w:tab/>
        <w:t>Where vessels have only one propulsion engine, that engine shall not be shut down automatically except in order to protect against overspeed.</w:t>
      </w:r>
    </w:p>
    <w:p w:rsidR="000B60B9" w:rsidRPr="00C903F8" w:rsidRDefault="000B60B9" w:rsidP="00266522">
      <w:pPr>
        <w:pStyle w:val="ESch"/>
        <w:rPr>
          <w:noProof/>
          <w:lang w:val="en-GB"/>
        </w:rPr>
      </w:pPr>
    </w:p>
    <w:p w:rsidR="00E24808" w:rsidRPr="00C903F8" w:rsidRDefault="00E24808" w:rsidP="00266522">
      <w:pPr>
        <w:pStyle w:val="ESch"/>
        <w:rPr>
          <w:lang w:val="en-GB"/>
        </w:rPr>
      </w:pPr>
      <w:r w:rsidRPr="00C903F8">
        <w:rPr>
          <w:noProof/>
          <w:lang w:val="en-GB"/>
        </w:rPr>
        <w:t>4.</w:t>
      </w:r>
      <w:r w:rsidRPr="00C903F8">
        <w:rPr>
          <w:noProof/>
          <w:lang w:val="en-GB"/>
        </w:rPr>
        <w:tab/>
        <w:t>Where vessels have only one propulsion engine, that engine may be equipped with an automatic device for the reduction of the engine speed only if an automatic reduction of the engine speed is indicated both optically and acoustically in the wheelhouse and the device for the reduction of the engine speed can be switched off from the helmsman's position.</w:t>
      </w:r>
    </w:p>
    <w:p w:rsidR="000B60B9" w:rsidRPr="00C903F8" w:rsidRDefault="000B60B9" w:rsidP="00266522">
      <w:pPr>
        <w:pStyle w:val="ESch"/>
        <w:rPr>
          <w:noProof/>
          <w:lang w:val="en-GB"/>
        </w:rPr>
      </w:pPr>
    </w:p>
    <w:p w:rsidR="00E24808" w:rsidRPr="00C903F8" w:rsidRDefault="00E24808" w:rsidP="00266522">
      <w:pPr>
        <w:pStyle w:val="ESch"/>
        <w:rPr>
          <w:lang w:val="en-GB"/>
        </w:rPr>
      </w:pPr>
      <w:r w:rsidRPr="00C903F8">
        <w:rPr>
          <w:noProof/>
          <w:lang w:val="en-GB"/>
        </w:rPr>
        <w:t>5.</w:t>
      </w:r>
      <w:r w:rsidRPr="00C903F8">
        <w:rPr>
          <w:noProof/>
          <w:lang w:val="en-GB"/>
        </w:rPr>
        <w:tab/>
        <w:t>Shaft bushings shall be designed in such a way as to prevent the spread of water-polluting lubri</w:t>
      </w:r>
      <w:r w:rsidRPr="00C903F8">
        <w:rPr>
          <w:noProof/>
          <w:lang w:val="en-GB"/>
        </w:rPr>
        <w:softHyphen/>
        <w:t>cants.</w:t>
      </w:r>
    </w:p>
    <w:p w:rsidR="00E24808" w:rsidRPr="00C903F8" w:rsidRDefault="00E24808" w:rsidP="00E24808">
      <w:pPr>
        <w:rPr>
          <w:rFonts w:cs="Arial"/>
          <w:szCs w:val="20"/>
          <w:lang w:val="en-US"/>
        </w:rPr>
      </w:pPr>
    </w:p>
    <w:p w:rsidR="00E24808" w:rsidRPr="00C903F8" w:rsidRDefault="00E24808" w:rsidP="000B60B9">
      <w:pPr>
        <w:pStyle w:val="ES-Titre3"/>
        <w:rPr>
          <w:i/>
          <w:lang w:val="en-US"/>
        </w:rPr>
      </w:pPr>
      <w:bookmarkStart w:id="65" w:name="_Toc491854059"/>
      <w:r w:rsidRPr="00C903F8">
        <w:rPr>
          <w:noProof/>
          <w:lang w:val="en-US"/>
        </w:rPr>
        <w:t>Article 8.04</w:t>
      </w:r>
      <w:r w:rsidR="00113730" w:rsidRPr="00C903F8">
        <w:rPr>
          <w:noProof/>
          <w:lang w:val="en-US"/>
        </w:rPr>
        <w:br/>
      </w:r>
      <w:r w:rsidRPr="00C903F8">
        <w:rPr>
          <w:bCs/>
          <w:i/>
          <w:noProof/>
          <w:lang w:val="en-US"/>
        </w:rPr>
        <w:t>Engine exhaust system</w:t>
      </w:r>
      <w:bookmarkEnd w:id="65"/>
    </w:p>
    <w:p w:rsidR="000B60B9" w:rsidRPr="00C903F8" w:rsidRDefault="000B60B9" w:rsidP="00E24808">
      <w:pPr>
        <w:rPr>
          <w:rFonts w:cs="Arial"/>
          <w:noProof/>
          <w:szCs w:val="20"/>
          <w:lang w:val="en-GB"/>
        </w:rPr>
      </w:pPr>
    </w:p>
    <w:p w:rsidR="00E24808" w:rsidRPr="00C903F8" w:rsidRDefault="00E24808" w:rsidP="00266522">
      <w:pPr>
        <w:pStyle w:val="ESch"/>
        <w:rPr>
          <w:lang w:val="en-GB"/>
        </w:rPr>
      </w:pPr>
      <w:r w:rsidRPr="00C903F8">
        <w:rPr>
          <w:noProof/>
          <w:lang w:val="en-GB"/>
        </w:rPr>
        <w:t>1.</w:t>
      </w:r>
      <w:r w:rsidRPr="00C903F8">
        <w:rPr>
          <w:noProof/>
          <w:lang w:val="en-GB"/>
        </w:rPr>
        <w:tab/>
        <w:t>The exhaust gases shall be completely ducted out of the vessel.</w:t>
      </w:r>
    </w:p>
    <w:p w:rsidR="000B60B9" w:rsidRPr="00C903F8" w:rsidRDefault="000B60B9" w:rsidP="00266522">
      <w:pPr>
        <w:pStyle w:val="ESch"/>
        <w:rPr>
          <w:noProof/>
          <w:lang w:val="en-GB"/>
        </w:rPr>
      </w:pPr>
    </w:p>
    <w:p w:rsidR="00E24808" w:rsidRPr="00C903F8" w:rsidRDefault="00E24808" w:rsidP="00266522">
      <w:pPr>
        <w:pStyle w:val="ESch"/>
        <w:rPr>
          <w:lang w:val="en-GB"/>
        </w:rPr>
      </w:pPr>
      <w:r w:rsidRPr="00C903F8">
        <w:rPr>
          <w:noProof/>
          <w:lang w:val="en-GB"/>
        </w:rPr>
        <w:t>2.</w:t>
      </w:r>
      <w:r w:rsidRPr="00C903F8">
        <w:rPr>
          <w:noProof/>
          <w:lang w:val="en-GB"/>
        </w:rPr>
        <w:tab/>
        <w:t>All suitable measures shall be taken to avoid ingress of the exhaust gases into the various compartments. Exhaust pipes passing through accommodation or the wheelhouse shall, within these, be covered by protective gas-tight sheathing. The gap between the exhaust pipe and this sheathing shall be open to the outside air.</w:t>
      </w:r>
    </w:p>
    <w:p w:rsidR="000B60B9" w:rsidRPr="00C903F8" w:rsidRDefault="000B60B9" w:rsidP="00266522">
      <w:pPr>
        <w:pStyle w:val="ESch"/>
        <w:rPr>
          <w:noProof/>
          <w:lang w:val="en-GB"/>
        </w:rPr>
      </w:pPr>
    </w:p>
    <w:p w:rsidR="00E24808" w:rsidRPr="00C903F8" w:rsidRDefault="00E24808" w:rsidP="00266522">
      <w:pPr>
        <w:pStyle w:val="ESch"/>
        <w:rPr>
          <w:lang w:val="en-GB"/>
        </w:rPr>
      </w:pPr>
      <w:r w:rsidRPr="00C903F8">
        <w:rPr>
          <w:noProof/>
          <w:lang w:val="en-GB"/>
        </w:rPr>
        <w:t>3.</w:t>
      </w:r>
      <w:r w:rsidRPr="00C903F8">
        <w:rPr>
          <w:noProof/>
          <w:lang w:val="en-GB"/>
        </w:rPr>
        <w:tab/>
        <w:t>The exhaust pipes shall be arranged and protected in such a way that they cannot cause a fire.</w:t>
      </w:r>
    </w:p>
    <w:p w:rsidR="000B60B9" w:rsidRPr="00C903F8" w:rsidRDefault="000B60B9" w:rsidP="00266522">
      <w:pPr>
        <w:pStyle w:val="ESch"/>
        <w:rPr>
          <w:noProof/>
          <w:lang w:val="en-GB"/>
        </w:rPr>
      </w:pPr>
    </w:p>
    <w:p w:rsidR="00E24808" w:rsidRPr="00C903F8" w:rsidRDefault="00E24808" w:rsidP="00266522">
      <w:pPr>
        <w:pStyle w:val="ESch"/>
        <w:rPr>
          <w:lang w:val="en-GB"/>
        </w:rPr>
      </w:pPr>
      <w:r w:rsidRPr="00C903F8">
        <w:rPr>
          <w:noProof/>
          <w:lang w:val="en-GB"/>
        </w:rPr>
        <w:t>4.</w:t>
      </w:r>
      <w:r w:rsidRPr="00C903F8">
        <w:rPr>
          <w:noProof/>
          <w:lang w:val="en-GB"/>
        </w:rPr>
        <w:tab/>
        <w:t>The exhaust pipes shall be suitably insulated or cooled in the engine rooms. Protection against physical contact may suffice outside the engine rooms.</w:t>
      </w:r>
    </w:p>
    <w:p w:rsidR="00E24808" w:rsidRPr="00C903F8" w:rsidRDefault="00E24808" w:rsidP="00E24808">
      <w:pPr>
        <w:rPr>
          <w:rFonts w:cs="Arial"/>
          <w:szCs w:val="20"/>
          <w:lang w:val="en-US"/>
        </w:rPr>
      </w:pPr>
    </w:p>
    <w:p w:rsidR="000B60B9" w:rsidRPr="00C903F8" w:rsidRDefault="00266522" w:rsidP="00E24808">
      <w:pPr>
        <w:rPr>
          <w:rFonts w:cs="Arial"/>
          <w:szCs w:val="20"/>
          <w:lang w:val="en-US"/>
        </w:rPr>
      </w:pPr>
      <w:r w:rsidRPr="00C903F8">
        <w:rPr>
          <w:rFonts w:cs="Arial"/>
          <w:szCs w:val="20"/>
          <w:lang w:val="en-US"/>
        </w:rPr>
        <w:br w:type="page"/>
      </w:r>
    </w:p>
    <w:p w:rsidR="00E24808" w:rsidRPr="00C903F8" w:rsidRDefault="00E24808" w:rsidP="000B60B9">
      <w:pPr>
        <w:pStyle w:val="ES-Titre3"/>
        <w:rPr>
          <w:lang w:val="en-GB"/>
        </w:rPr>
      </w:pPr>
      <w:bookmarkStart w:id="66" w:name="_Toc491854060"/>
      <w:r w:rsidRPr="00C903F8">
        <w:rPr>
          <w:noProof/>
          <w:lang w:val="en-GB"/>
        </w:rPr>
        <w:lastRenderedPageBreak/>
        <w:t>Article 8.05</w:t>
      </w:r>
      <w:r w:rsidRPr="00C903F8">
        <w:rPr>
          <w:noProof/>
          <w:lang w:val="en-GB"/>
        </w:rPr>
        <w:br/>
      </w:r>
      <w:r w:rsidRPr="00C903F8">
        <w:rPr>
          <w:i/>
          <w:noProof/>
          <w:lang w:val="en-GB"/>
        </w:rPr>
        <w:t>Fuel tanks, pipes and accessories</w:t>
      </w:r>
      <w:bookmarkEnd w:id="66"/>
    </w:p>
    <w:p w:rsidR="000B60B9" w:rsidRPr="00C903F8" w:rsidRDefault="000B60B9" w:rsidP="00E24808">
      <w:pPr>
        <w:rPr>
          <w:rFonts w:cs="Arial"/>
          <w:noProof/>
          <w:szCs w:val="20"/>
          <w:lang w:val="en-GB"/>
        </w:rPr>
      </w:pPr>
    </w:p>
    <w:p w:rsidR="00E24808" w:rsidRPr="00C903F8" w:rsidRDefault="000B60B9" w:rsidP="00266522">
      <w:pPr>
        <w:pStyle w:val="ESch"/>
        <w:rPr>
          <w:noProof/>
          <w:lang w:val="en-GB"/>
        </w:rPr>
      </w:pPr>
      <w:r w:rsidRPr="00C903F8">
        <w:rPr>
          <w:noProof/>
          <w:lang w:val="en-GB"/>
        </w:rPr>
        <w:t xml:space="preserve">1. </w:t>
      </w:r>
      <w:r w:rsidRPr="00C903F8">
        <w:rPr>
          <w:noProof/>
          <w:lang w:val="en-GB"/>
        </w:rPr>
        <w:tab/>
      </w:r>
      <w:r w:rsidR="00E24808" w:rsidRPr="00C903F8">
        <w:rPr>
          <w:noProof/>
          <w:lang w:val="en-GB"/>
        </w:rPr>
        <w:t>Liquid fuels shall be stored in steel tanks which are either an integral part of the hull or which are firmly attached to the hull. If so required by the design of the vessel, an equivalent material in terms of fire-resistance may be used. These requirements shall not apply to tanks having a capacity of no more than 12 litres that have been incorporated in auxiliaries during their manufacture. Fuel tanks shall not have common partitions with drinking-water tanks.</w:t>
      </w:r>
    </w:p>
    <w:p w:rsidR="000B60B9" w:rsidRPr="00C903F8" w:rsidRDefault="000B60B9" w:rsidP="00266522">
      <w:pPr>
        <w:pStyle w:val="ESch"/>
        <w:rPr>
          <w:noProof/>
          <w:lang w:val="en-GB"/>
        </w:rPr>
      </w:pPr>
    </w:p>
    <w:p w:rsidR="00E24808" w:rsidRPr="00C903F8" w:rsidRDefault="00E24808" w:rsidP="00266522">
      <w:pPr>
        <w:pStyle w:val="ESch"/>
        <w:rPr>
          <w:lang w:val="en-GB"/>
        </w:rPr>
      </w:pPr>
      <w:r w:rsidRPr="00C903F8">
        <w:rPr>
          <w:noProof/>
          <w:lang w:val="en-GB"/>
        </w:rPr>
        <w:t>2.</w:t>
      </w:r>
      <w:r w:rsidRPr="00C903F8">
        <w:rPr>
          <w:noProof/>
          <w:lang w:val="en-GB"/>
        </w:rPr>
        <w:tab/>
        <w:t>Fuel tanks and their pipework and other accessories shall be laid out and arranged in such a way that neither fuel nor fuel vapours may accidentally reach the inside of the vessel. Tank valves intended for fuel sampling or water drainage shall close automatically.</w:t>
      </w:r>
    </w:p>
    <w:p w:rsidR="000B60B9" w:rsidRPr="00C903F8" w:rsidRDefault="000B60B9" w:rsidP="00266522">
      <w:pPr>
        <w:pStyle w:val="ESch"/>
        <w:rPr>
          <w:noProof/>
          <w:lang w:val="en-GB"/>
        </w:rPr>
      </w:pPr>
    </w:p>
    <w:p w:rsidR="00E24808" w:rsidRPr="00C903F8" w:rsidRDefault="00E24808" w:rsidP="00266522">
      <w:pPr>
        <w:pStyle w:val="ESch"/>
        <w:rPr>
          <w:lang w:val="en-GB"/>
        </w:rPr>
      </w:pPr>
      <w:r w:rsidRPr="00C903F8">
        <w:rPr>
          <w:noProof/>
          <w:lang w:val="en-GB"/>
        </w:rPr>
        <w:t>3.</w:t>
      </w:r>
      <w:r w:rsidRPr="00C903F8">
        <w:rPr>
          <w:noProof/>
          <w:lang w:val="en-GB"/>
        </w:rPr>
        <w:tab/>
      </w:r>
      <w:r w:rsidRPr="00C903F8">
        <w:rPr>
          <w:lang w:val="en-US"/>
        </w:rPr>
        <w:t>No fuel tanks may be located forward of the collision bulkhead or aft of the aft-peak bulkhead.</w:t>
      </w:r>
    </w:p>
    <w:p w:rsidR="000B60B9" w:rsidRPr="00C903F8" w:rsidRDefault="000B60B9" w:rsidP="00266522">
      <w:pPr>
        <w:pStyle w:val="ESch"/>
        <w:rPr>
          <w:noProof/>
          <w:lang w:val="en-GB"/>
        </w:rPr>
      </w:pPr>
    </w:p>
    <w:p w:rsidR="00E24808" w:rsidRPr="00C903F8" w:rsidRDefault="00E24808" w:rsidP="00266522">
      <w:pPr>
        <w:pStyle w:val="ESch"/>
        <w:rPr>
          <w:lang w:val="en-GB"/>
        </w:rPr>
      </w:pPr>
      <w:r w:rsidRPr="00C903F8">
        <w:rPr>
          <w:noProof/>
          <w:lang w:val="en-GB"/>
        </w:rPr>
        <w:t>4.</w:t>
      </w:r>
      <w:r w:rsidRPr="00C903F8">
        <w:rPr>
          <w:noProof/>
          <w:lang w:val="en-GB"/>
        </w:rPr>
        <w:tab/>
        <w:t>Fuel tanks and their fittings shall not be located directly above engines or exhaust pipes.</w:t>
      </w:r>
    </w:p>
    <w:p w:rsidR="000B60B9" w:rsidRPr="00C903F8" w:rsidRDefault="000B60B9" w:rsidP="00266522">
      <w:pPr>
        <w:pStyle w:val="ESch"/>
        <w:rPr>
          <w:noProof/>
          <w:lang w:val="en-GB"/>
        </w:rPr>
      </w:pPr>
    </w:p>
    <w:p w:rsidR="00E24808" w:rsidRPr="00C903F8" w:rsidRDefault="00E24808" w:rsidP="00266522">
      <w:pPr>
        <w:pStyle w:val="ESch"/>
        <w:rPr>
          <w:lang w:val="en-GB"/>
        </w:rPr>
      </w:pPr>
      <w:r w:rsidRPr="00C903F8">
        <w:rPr>
          <w:noProof/>
          <w:lang w:val="en-GB"/>
        </w:rPr>
        <w:t>5.</w:t>
      </w:r>
      <w:r w:rsidRPr="00C903F8">
        <w:rPr>
          <w:noProof/>
          <w:lang w:val="en-GB"/>
        </w:rPr>
        <w:tab/>
        <w:t>The filler orifices for fuel tanks shall be marked distinctly.</w:t>
      </w:r>
    </w:p>
    <w:p w:rsidR="000B60B9" w:rsidRPr="00C903F8" w:rsidRDefault="000B60B9" w:rsidP="00266522">
      <w:pPr>
        <w:pStyle w:val="ESch"/>
        <w:rPr>
          <w:noProof/>
          <w:lang w:val="en-GB"/>
        </w:rPr>
      </w:pPr>
    </w:p>
    <w:p w:rsidR="00E24808" w:rsidRPr="00C903F8" w:rsidRDefault="00E24808" w:rsidP="00266522">
      <w:pPr>
        <w:pStyle w:val="ESch"/>
        <w:rPr>
          <w:lang w:val="en-US"/>
        </w:rPr>
      </w:pPr>
      <w:r w:rsidRPr="00C903F8">
        <w:rPr>
          <w:noProof/>
          <w:lang w:val="en-GB"/>
        </w:rPr>
        <w:t>6.</w:t>
      </w:r>
      <w:r w:rsidRPr="00C903F8">
        <w:rPr>
          <w:noProof/>
          <w:lang w:val="en-GB"/>
        </w:rPr>
        <w:tab/>
        <w:t>The orifice for the fuel tank filler necks shall be on the deck, except for the daily-supply tanks. The filler neck shall be fitted with a connection piece in accor</w:t>
      </w:r>
      <w:r w:rsidR="004004C5" w:rsidRPr="00C903F8">
        <w:rPr>
          <w:noProof/>
          <w:lang w:val="en-GB"/>
        </w:rPr>
        <w:t xml:space="preserve">dance with European </w:t>
      </w:r>
      <w:r w:rsidR="00D93FF7" w:rsidRPr="00C903F8">
        <w:rPr>
          <w:noProof/>
          <w:lang w:val="en-GB"/>
        </w:rPr>
        <w:t>S</w:t>
      </w:r>
      <w:r w:rsidR="004004C5" w:rsidRPr="00C903F8">
        <w:rPr>
          <w:noProof/>
          <w:lang w:val="en-GB"/>
        </w:rPr>
        <w:t>tandard EN </w:t>
      </w:r>
      <w:r w:rsidRPr="00C903F8">
        <w:rPr>
          <w:noProof/>
          <w:lang w:val="en-GB"/>
        </w:rPr>
        <w:t>12827</w:t>
      </w:r>
      <w:r w:rsidR="004004C5" w:rsidRPr="00C903F8">
        <w:rPr>
          <w:noProof/>
          <w:lang w:val="en-GB"/>
        </w:rPr>
        <w:t> </w:t>
      </w:r>
      <w:r w:rsidRPr="00C903F8">
        <w:rPr>
          <w:noProof/>
          <w:lang w:val="en-GB"/>
        </w:rPr>
        <w:t>:</w:t>
      </w:r>
      <w:r w:rsidR="004004C5" w:rsidRPr="00C903F8">
        <w:rPr>
          <w:noProof/>
          <w:lang w:val="en-GB"/>
        </w:rPr>
        <w:t> </w:t>
      </w:r>
      <w:r w:rsidRPr="00C903F8">
        <w:rPr>
          <w:noProof/>
          <w:lang w:val="en-GB"/>
        </w:rPr>
        <w:t>1999.</w:t>
      </w:r>
    </w:p>
    <w:p w:rsidR="000B60B9" w:rsidRPr="00C903F8" w:rsidRDefault="000B60B9" w:rsidP="00266522">
      <w:pPr>
        <w:pStyle w:val="ESch"/>
        <w:rPr>
          <w:noProof/>
          <w:lang w:val="en-GB"/>
        </w:rPr>
      </w:pPr>
    </w:p>
    <w:p w:rsidR="00E24808" w:rsidRPr="00C903F8" w:rsidRDefault="00E24808" w:rsidP="00266522">
      <w:pPr>
        <w:pStyle w:val="ESchpar"/>
        <w:rPr>
          <w:lang w:val="en-GB"/>
        </w:rPr>
      </w:pPr>
      <w:r w:rsidRPr="00C903F8">
        <w:rPr>
          <w:noProof/>
          <w:lang w:val="en-GB"/>
        </w:rPr>
        <w:t>Such tanks shall be fitted with a breather pipe terminating in the open air above the deck and arranged in such a way that no water ingress is possible. The cross-section of the breather pipe shall be at least 1,25 times the cross-section of the filler neck.</w:t>
      </w:r>
    </w:p>
    <w:p w:rsidR="000B60B9" w:rsidRPr="00C903F8" w:rsidRDefault="000B60B9" w:rsidP="00266522">
      <w:pPr>
        <w:pStyle w:val="ESchpar"/>
        <w:rPr>
          <w:noProof/>
          <w:lang w:val="en-GB"/>
        </w:rPr>
      </w:pPr>
    </w:p>
    <w:p w:rsidR="00E24808" w:rsidRPr="00C903F8" w:rsidRDefault="004004C5" w:rsidP="00266522">
      <w:pPr>
        <w:pStyle w:val="ESchpar"/>
        <w:rPr>
          <w:lang w:val="en-US"/>
        </w:rPr>
      </w:pPr>
      <w:r w:rsidRPr="00C903F8">
        <w:rPr>
          <w:noProof/>
          <w:lang w:val="en-GB"/>
        </w:rPr>
        <w:t>If tanks are inter</w:t>
      </w:r>
      <w:r w:rsidR="00E24808" w:rsidRPr="00C903F8">
        <w:rPr>
          <w:noProof/>
          <w:lang w:val="en-GB"/>
        </w:rPr>
        <w:t>connected, the cross-section of the connecting pipe shall be at least 1,25 times the cross-section of the filler neck.</w:t>
      </w:r>
    </w:p>
    <w:p w:rsidR="000B60B9" w:rsidRPr="00C903F8" w:rsidRDefault="000B60B9" w:rsidP="00266522">
      <w:pPr>
        <w:pStyle w:val="ESch"/>
        <w:rPr>
          <w:noProof/>
          <w:lang w:val="en-GB"/>
        </w:rPr>
      </w:pPr>
    </w:p>
    <w:p w:rsidR="00E24808" w:rsidRPr="00C903F8" w:rsidRDefault="00E24808" w:rsidP="00266522">
      <w:pPr>
        <w:pStyle w:val="ESch"/>
        <w:rPr>
          <w:lang w:val="en-GB"/>
        </w:rPr>
      </w:pPr>
      <w:r w:rsidRPr="00C903F8">
        <w:rPr>
          <w:noProof/>
          <w:lang w:val="en-GB"/>
        </w:rPr>
        <w:t>7.</w:t>
      </w:r>
      <w:r w:rsidRPr="00C903F8">
        <w:rPr>
          <w:noProof/>
          <w:lang w:val="en-GB"/>
        </w:rPr>
        <w:tab/>
        <w:t>Directly at tank outlets the pipework for the distribution of fuels shall be fitted with a quick-closing valve that can be operated from the deck, even when the rooms in question are closed.</w:t>
      </w:r>
    </w:p>
    <w:p w:rsidR="000B60B9" w:rsidRPr="00C903F8" w:rsidRDefault="000B60B9" w:rsidP="00266522">
      <w:pPr>
        <w:pStyle w:val="ESch"/>
        <w:rPr>
          <w:noProof/>
          <w:lang w:val="en-GB"/>
        </w:rPr>
      </w:pPr>
    </w:p>
    <w:p w:rsidR="00E24808" w:rsidRPr="00C903F8" w:rsidRDefault="00E24808" w:rsidP="00266522">
      <w:pPr>
        <w:pStyle w:val="ESchpar"/>
        <w:rPr>
          <w:lang w:val="en-GB"/>
        </w:rPr>
      </w:pPr>
      <w:r w:rsidRPr="00C903F8">
        <w:rPr>
          <w:noProof/>
          <w:lang w:val="en-GB"/>
        </w:rPr>
        <w:t>If the operating device is concealed, the lid or cover shall not be lockable.</w:t>
      </w:r>
    </w:p>
    <w:p w:rsidR="000B60B9" w:rsidRPr="00C903F8" w:rsidRDefault="000B60B9" w:rsidP="00266522">
      <w:pPr>
        <w:pStyle w:val="ESchpar"/>
        <w:rPr>
          <w:noProof/>
          <w:lang w:val="en-GB"/>
        </w:rPr>
      </w:pPr>
    </w:p>
    <w:p w:rsidR="00E24808" w:rsidRPr="00C903F8" w:rsidRDefault="00E24808" w:rsidP="00266522">
      <w:pPr>
        <w:pStyle w:val="ESchpar"/>
        <w:rPr>
          <w:lang w:val="en-US"/>
        </w:rPr>
      </w:pPr>
      <w:r w:rsidRPr="00C903F8">
        <w:rPr>
          <w:noProof/>
          <w:lang w:val="en-GB"/>
        </w:rPr>
        <w:t xml:space="preserve">The operating device shall be marked in red. If the device is concealed it shall be marked with </w:t>
      </w:r>
      <w:r w:rsidR="002C0EB8" w:rsidRPr="00C903F8">
        <w:rPr>
          <w:noProof/>
          <w:lang w:val="en-GB"/>
        </w:rPr>
        <w:t>a</w:t>
      </w:r>
      <w:r w:rsidRPr="00C903F8">
        <w:rPr>
          <w:noProof/>
          <w:lang w:val="en-GB"/>
        </w:rPr>
        <w:t xml:space="preserve"> symbol</w:t>
      </w:r>
      <w:r w:rsidR="002C0EB8" w:rsidRPr="00C903F8">
        <w:rPr>
          <w:noProof/>
          <w:lang w:val="en-GB"/>
        </w:rPr>
        <w:t xml:space="preserve"> for the</w:t>
      </w:r>
      <w:r w:rsidRPr="00C903F8">
        <w:rPr>
          <w:noProof/>
          <w:lang w:val="en-GB"/>
        </w:rPr>
        <w:t xml:space="preserve"> </w:t>
      </w:r>
      <w:r w:rsidR="0064343D" w:rsidRPr="00C903F8">
        <w:rPr>
          <w:noProof/>
          <w:lang w:val="en-GB"/>
        </w:rPr>
        <w:t>’</w:t>
      </w:r>
      <w:r w:rsidRPr="00C903F8">
        <w:rPr>
          <w:noProof/>
          <w:lang w:val="en-GB"/>
        </w:rPr>
        <w:t>quick-closing valve</w:t>
      </w:r>
      <w:r w:rsidR="00C05BD4" w:rsidRPr="00C903F8">
        <w:rPr>
          <w:noProof/>
          <w:lang w:val="en-GB"/>
        </w:rPr>
        <w:t xml:space="preserve"> on the tank</w:t>
      </w:r>
      <w:r w:rsidR="0064343D" w:rsidRPr="00C903F8">
        <w:rPr>
          <w:noProof/>
          <w:lang w:val="en-GB"/>
        </w:rPr>
        <w:t xml:space="preserve">‘ </w:t>
      </w:r>
      <w:r w:rsidRPr="00C903F8">
        <w:rPr>
          <w:noProof/>
          <w:lang w:val="en-GB"/>
        </w:rPr>
        <w:t>in accordance with Fig</w:t>
      </w:r>
      <w:r w:rsidR="00C05BD4" w:rsidRPr="00C903F8">
        <w:rPr>
          <w:noProof/>
          <w:lang w:val="en-GB"/>
        </w:rPr>
        <w:t>ure</w:t>
      </w:r>
      <w:r w:rsidRPr="00C903F8">
        <w:rPr>
          <w:noProof/>
          <w:lang w:val="en-GB"/>
        </w:rPr>
        <w:t xml:space="preserve"> 9 of Annex </w:t>
      </w:r>
      <w:r w:rsidR="002E6F15" w:rsidRPr="00C903F8">
        <w:rPr>
          <w:noProof/>
          <w:lang w:val="en-GB"/>
        </w:rPr>
        <w:t>4</w:t>
      </w:r>
      <w:r w:rsidRPr="00C903F8">
        <w:rPr>
          <w:noProof/>
          <w:lang w:val="en-GB"/>
        </w:rPr>
        <w:t xml:space="preserve"> with a side length of at least 10 cm.</w:t>
      </w:r>
    </w:p>
    <w:p w:rsidR="000B60B9" w:rsidRPr="00C903F8" w:rsidRDefault="000B60B9" w:rsidP="00266522">
      <w:pPr>
        <w:pStyle w:val="ESch"/>
        <w:rPr>
          <w:noProof/>
          <w:lang w:val="en-US"/>
        </w:rPr>
      </w:pPr>
    </w:p>
    <w:p w:rsidR="00E24808" w:rsidRPr="00C903F8" w:rsidRDefault="00E24808" w:rsidP="00266522">
      <w:pPr>
        <w:pStyle w:val="ESchpar"/>
        <w:rPr>
          <w:lang w:val="en-US"/>
        </w:rPr>
      </w:pPr>
      <w:r w:rsidRPr="00C903F8">
        <w:rPr>
          <w:noProof/>
          <w:lang w:val="en-GB"/>
        </w:rPr>
        <w:t>The first subparagraph shall not apply to fuel tanks mounted directly on the engine.</w:t>
      </w:r>
    </w:p>
    <w:p w:rsidR="000B60B9" w:rsidRPr="00C903F8" w:rsidRDefault="000B60B9" w:rsidP="00266522">
      <w:pPr>
        <w:pStyle w:val="ESch"/>
        <w:rPr>
          <w:noProof/>
          <w:lang w:val="en-GB"/>
        </w:rPr>
      </w:pPr>
    </w:p>
    <w:p w:rsidR="00E24808" w:rsidRPr="00C903F8" w:rsidRDefault="00E24808" w:rsidP="00266522">
      <w:pPr>
        <w:pStyle w:val="ESch"/>
        <w:rPr>
          <w:lang w:val="en-US"/>
        </w:rPr>
      </w:pPr>
      <w:r w:rsidRPr="00C903F8">
        <w:rPr>
          <w:noProof/>
          <w:lang w:val="en-GB"/>
        </w:rPr>
        <w:t>8.</w:t>
      </w:r>
      <w:r w:rsidRPr="00C903F8">
        <w:rPr>
          <w:noProof/>
          <w:lang w:val="en-GB"/>
        </w:rPr>
        <w:tab/>
        <w:t>Fuel pipes, their connections, seals and fittings shall be made of materials that are able to withstand the mechanical, chemical and thermal stresses to which they are likely to be subjected. The fuel pipes shall not be subjected to any adverse influence of heat and it shall be possible to inspect them throughout their length.</w:t>
      </w:r>
    </w:p>
    <w:p w:rsidR="000B60B9" w:rsidRPr="00C903F8" w:rsidRDefault="000B60B9" w:rsidP="00266522">
      <w:pPr>
        <w:pStyle w:val="ESch"/>
        <w:rPr>
          <w:noProof/>
          <w:lang w:val="en-GB"/>
        </w:rPr>
      </w:pPr>
    </w:p>
    <w:p w:rsidR="00266522" w:rsidRPr="00C903F8" w:rsidRDefault="00266522" w:rsidP="00266522">
      <w:pPr>
        <w:pStyle w:val="ESch"/>
        <w:rPr>
          <w:noProof/>
          <w:lang w:val="en-GB"/>
        </w:rPr>
      </w:pPr>
      <w:r w:rsidRPr="00C903F8">
        <w:rPr>
          <w:noProof/>
          <w:lang w:val="en-GB"/>
        </w:rPr>
        <w:br w:type="page"/>
      </w:r>
    </w:p>
    <w:p w:rsidR="00E24808" w:rsidRPr="00C903F8" w:rsidRDefault="00E24808" w:rsidP="00266522">
      <w:pPr>
        <w:pStyle w:val="ESch"/>
        <w:rPr>
          <w:lang w:val="en-US"/>
        </w:rPr>
      </w:pPr>
      <w:r w:rsidRPr="00C903F8">
        <w:rPr>
          <w:noProof/>
          <w:lang w:val="en-GB"/>
        </w:rPr>
        <w:lastRenderedPageBreak/>
        <w:t>9.</w:t>
      </w:r>
      <w:r w:rsidRPr="00C903F8">
        <w:rPr>
          <w:noProof/>
          <w:lang w:val="en-GB"/>
        </w:rPr>
        <w:tab/>
        <w:t>Fuel tanks shall be provided with a suitable capacity-gauging device. Capacity-gauging devices shall be legible right up to the maximum filling level. Glass gauges shall be effectively protected against impacts, shall be fitted with an automatic closing device at their base and their upper end shall be connected to the tanks above their maximum filling level. The material used for glass gauges shall not deform under normal ambient temperatures. Sounding pipes shall not terminate in accommodation spaces. Sounding pipes termi</w:t>
      </w:r>
      <w:r w:rsidRPr="00C903F8">
        <w:rPr>
          <w:noProof/>
          <w:lang w:val="en-GB"/>
        </w:rPr>
        <w:softHyphen/>
        <w:t>nating in an engine or boiler room shall be fitted with suitable self-closing devices.</w:t>
      </w:r>
    </w:p>
    <w:p w:rsidR="000B60B9" w:rsidRPr="00C903F8" w:rsidRDefault="000B60B9" w:rsidP="00266522">
      <w:pPr>
        <w:pStyle w:val="ESch"/>
        <w:rPr>
          <w:noProof/>
          <w:lang w:val="en-GB"/>
        </w:rPr>
      </w:pPr>
    </w:p>
    <w:p w:rsidR="00E24808" w:rsidRPr="00C903F8" w:rsidRDefault="00E24808" w:rsidP="00266522">
      <w:pPr>
        <w:pStyle w:val="ESch"/>
        <w:tabs>
          <w:tab w:val="left" w:pos="567"/>
        </w:tabs>
        <w:ind w:left="993" w:hanging="993"/>
        <w:rPr>
          <w:lang w:val="en-GB"/>
        </w:rPr>
      </w:pPr>
      <w:r w:rsidRPr="00C903F8">
        <w:rPr>
          <w:noProof/>
          <w:lang w:val="en-GB"/>
        </w:rPr>
        <w:t>10.</w:t>
      </w:r>
      <w:r w:rsidRPr="00C903F8">
        <w:rPr>
          <w:noProof/>
          <w:lang w:val="en-GB"/>
        </w:rPr>
        <w:tab/>
      </w:r>
      <w:r w:rsidR="005C7859" w:rsidRPr="00C903F8">
        <w:rPr>
          <w:noProof/>
          <w:lang w:val="en-GB"/>
        </w:rPr>
        <w:t>a)</w:t>
      </w:r>
      <w:r w:rsidR="00266522" w:rsidRPr="00C903F8">
        <w:rPr>
          <w:noProof/>
          <w:lang w:val="en-GB"/>
        </w:rPr>
        <w:tab/>
      </w:r>
      <w:r w:rsidRPr="00C903F8">
        <w:rPr>
          <w:noProof/>
          <w:lang w:val="en-GB"/>
        </w:rPr>
        <w:t xml:space="preserve">Fuel tanks shall be safeguarded against fuel spills during bunkering by means of appropriate onboard technical devices which shall be entered in item 52 of the </w:t>
      </w:r>
      <w:r w:rsidR="00823792" w:rsidRPr="00C903F8">
        <w:rPr>
          <w:noProof/>
          <w:lang w:val="en-GB"/>
        </w:rPr>
        <w:t>i</w:t>
      </w:r>
      <w:r w:rsidRPr="00C903F8">
        <w:rPr>
          <w:noProof/>
          <w:lang w:val="en-GB"/>
        </w:rPr>
        <w:t>nland nav</w:t>
      </w:r>
      <w:r w:rsidR="002C0EB8" w:rsidRPr="00C903F8">
        <w:rPr>
          <w:noProof/>
          <w:lang w:val="en-GB"/>
        </w:rPr>
        <w:t>i</w:t>
      </w:r>
      <w:r w:rsidRPr="00C903F8">
        <w:rPr>
          <w:noProof/>
          <w:lang w:val="en-GB"/>
        </w:rPr>
        <w:t>gation vessel certificate.</w:t>
      </w:r>
    </w:p>
    <w:p w:rsidR="000B60B9" w:rsidRPr="00C903F8" w:rsidRDefault="000B60B9" w:rsidP="000B60B9">
      <w:pPr>
        <w:ind w:firstLine="0"/>
        <w:rPr>
          <w:rFonts w:cs="Arial"/>
          <w:noProof/>
          <w:szCs w:val="20"/>
          <w:lang w:val="en-GB"/>
        </w:rPr>
      </w:pPr>
    </w:p>
    <w:p w:rsidR="00E24808" w:rsidRPr="00C903F8" w:rsidRDefault="005C7859" w:rsidP="00266522">
      <w:pPr>
        <w:pStyle w:val="ESlet"/>
        <w:rPr>
          <w:noProof/>
          <w:lang w:val="en-GB"/>
        </w:rPr>
      </w:pPr>
      <w:r w:rsidRPr="00C903F8">
        <w:rPr>
          <w:noProof/>
          <w:lang w:val="en-GB"/>
        </w:rPr>
        <w:t>b)</w:t>
      </w:r>
      <w:r w:rsidR="00266522" w:rsidRPr="00C903F8">
        <w:rPr>
          <w:noProof/>
          <w:lang w:val="en-GB"/>
        </w:rPr>
        <w:tab/>
      </w:r>
      <w:r w:rsidR="00E24808" w:rsidRPr="00C903F8">
        <w:rPr>
          <w:noProof/>
          <w:lang w:val="en-GB"/>
        </w:rPr>
        <w:t xml:space="preserve">If fuel is taken on from bunkering stations with their own technical devices to prevent fuel spills on board during bunkering, the equipment requirements in (a) and </w:t>
      </w:r>
      <w:r w:rsidR="009827B2" w:rsidRPr="00C903F8">
        <w:rPr>
          <w:noProof/>
          <w:lang w:val="en-GB"/>
        </w:rPr>
        <w:t>(</w:t>
      </w:r>
      <w:r w:rsidR="00E24808" w:rsidRPr="00C903F8">
        <w:rPr>
          <w:noProof/>
          <w:lang w:val="en-GB"/>
        </w:rPr>
        <w:t>11</w:t>
      </w:r>
      <w:r w:rsidR="009827B2" w:rsidRPr="00C903F8">
        <w:rPr>
          <w:noProof/>
          <w:lang w:val="en-GB"/>
        </w:rPr>
        <w:t>)</w:t>
      </w:r>
      <w:r w:rsidR="00E24808" w:rsidRPr="00C903F8">
        <w:rPr>
          <w:noProof/>
          <w:lang w:val="en-GB"/>
        </w:rPr>
        <w:t xml:space="preserve"> shall no longer apply.</w:t>
      </w:r>
    </w:p>
    <w:p w:rsidR="000B60B9" w:rsidRPr="00C903F8" w:rsidRDefault="000B60B9" w:rsidP="00E24808">
      <w:pPr>
        <w:rPr>
          <w:rFonts w:cs="Arial"/>
          <w:noProof/>
          <w:szCs w:val="20"/>
          <w:lang w:val="en-GB"/>
        </w:rPr>
      </w:pPr>
    </w:p>
    <w:p w:rsidR="00E24808" w:rsidRPr="00C903F8" w:rsidRDefault="00E24808" w:rsidP="00266522">
      <w:pPr>
        <w:pStyle w:val="ESch"/>
        <w:rPr>
          <w:lang w:val="en-GB"/>
        </w:rPr>
      </w:pPr>
      <w:r w:rsidRPr="00C903F8">
        <w:rPr>
          <w:noProof/>
          <w:lang w:val="en-GB"/>
        </w:rPr>
        <w:t>11.</w:t>
      </w:r>
      <w:r w:rsidRPr="00C903F8">
        <w:rPr>
          <w:noProof/>
          <w:lang w:val="en-GB"/>
        </w:rPr>
        <w:tab/>
        <w:t>If fuel tanks are fitted with an automatic shut-off device, the sensors shall stop fuelling when the tank is 97 % full; this equipment shall meet the ‘failsafe’ requirements.</w:t>
      </w:r>
    </w:p>
    <w:p w:rsidR="000B60B9" w:rsidRPr="00C903F8" w:rsidRDefault="000B60B9" w:rsidP="00266522">
      <w:pPr>
        <w:pStyle w:val="ESch"/>
        <w:rPr>
          <w:noProof/>
          <w:lang w:val="en-GB"/>
        </w:rPr>
      </w:pPr>
    </w:p>
    <w:p w:rsidR="000B60B9" w:rsidRDefault="008418DC" w:rsidP="008418DC">
      <w:pPr>
        <w:pStyle w:val="ESch"/>
        <w:ind w:firstLine="0"/>
        <w:rPr>
          <w:noProof/>
          <w:lang w:val="en-GB"/>
        </w:rPr>
      </w:pPr>
      <w:r w:rsidRPr="008418DC">
        <w:rPr>
          <w:noProof/>
          <w:lang w:val="en-GB"/>
        </w:rPr>
        <w:t>If the sensor activates an electrical contact, which can break the circuit provided by the bunkering station by a binary signal, it shall be possible to transmit the signal to the bunkering station by means of a watertight connection plug meeting the requirements of International Standard IEC 60309­1 : 2012 for 40 to 50 V DC, housing colour white, earthin</w:t>
      </w:r>
      <w:r>
        <w:rPr>
          <w:noProof/>
          <w:lang w:val="en-GB"/>
        </w:rPr>
        <w:t>g contact position ten o'clock.</w:t>
      </w:r>
    </w:p>
    <w:p w:rsidR="008418DC" w:rsidRPr="00C903F8" w:rsidRDefault="008418DC" w:rsidP="00266522">
      <w:pPr>
        <w:pStyle w:val="ESch"/>
        <w:rPr>
          <w:noProof/>
          <w:lang w:val="en-GB"/>
        </w:rPr>
      </w:pPr>
    </w:p>
    <w:p w:rsidR="00E24808" w:rsidRPr="00C903F8" w:rsidRDefault="00E24808" w:rsidP="00266522">
      <w:pPr>
        <w:pStyle w:val="ESch"/>
        <w:rPr>
          <w:lang w:val="en-GB"/>
        </w:rPr>
      </w:pPr>
      <w:r w:rsidRPr="00C903F8">
        <w:rPr>
          <w:noProof/>
          <w:lang w:val="en-GB"/>
        </w:rPr>
        <w:t>12.</w:t>
      </w:r>
      <w:r w:rsidRPr="00C903F8">
        <w:rPr>
          <w:noProof/>
          <w:lang w:val="en-GB"/>
        </w:rPr>
        <w:tab/>
        <w:t>Fuel tanks shall be provided with openings having leak-proof closures that are intended to permit cleaning and inspection.</w:t>
      </w:r>
    </w:p>
    <w:p w:rsidR="000B60B9" w:rsidRPr="00C903F8" w:rsidRDefault="000B60B9" w:rsidP="00266522">
      <w:pPr>
        <w:pStyle w:val="ESch"/>
        <w:rPr>
          <w:noProof/>
          <w:lang w:val="en-US"/>
        </w:rPr>
      </w:pPr>
    </w:p>
    <w:p w:rsidR="00E24808" w:rsidRDefault="00E24808" w:rsidP="008418DC">
      <w:pPr>
        <w:pStyle w:val="ESch"/>
        <w:rPr>
          <w:noProof/>
          <w:lang w:val="en-GB"/>
        </w:rPr>
      </w:pPr>
      <w:r w:rsidRPr="00C903F8">
        <w:rPr>
          <w:noProof/>
          <w:lang w:val="en-US"/>
        </w:rPr>
        <w:t>13.</w:t>
      </w:r>
      <w:r w:rsidRPr="00C903F8">
        <w:rPr>
          <w:noProof/>
          <w:lang w:val="en-US"/>
        </w:rPr>
        <w:tab/>
      </w:r>
      <w:r w:rsidR="008418DC" w:rsidRPr="00F87B2F">
        <w:rPr>
          <w:noProof/>
          <w:lang w:val="en-GB"/>
        </w:rPr>
        <w:t xml:space="preserve">Fuel tanks directly </w:t>
      </w:r>
      <w:r w:rsidR="008418DC" w:rsidRPr="001F1AC2">
        <w:rPr>
          <w:noProof/>
          <w:lang w:val="en-GB"/>
        </w:rPr>
        <w:t>supplying the propulsion engines and engines needed for navigation</w:t>
      </w:r>
      <w:r w:rsidR="008418DC" w:rsidRPr="00F87B2F">
        <w:rPr>
          <w:noProof/>
          <w:lang w:val="en-GB"/>
        </w:rPr>
        <w:t xml:space="preserve"> shall be fitted with a device emitting both visual and audible signals in the wheelhouse if their level of filling is not sufficient to ensure further safe operation</w:t>
      </w:r>
      <w:r w:rsidR="008418DC">
        <w:rPr>
          <w:noProof/>
          <w:lang w:val="en-GB"/>
        </w:rPr>
        <w:t>.</w:t>
      </w:r>
    </w:p>
    <w:p w:rsidR="008418DC" w:rsidRPr="00C903F8" w:rsidRDefault="008418DC" w:rsidP="008418DC">
      <w:pPr>
        <w:pStyle w:val="ESch"/>
        <w:rPr>
          <w:rFonts w:cs="Arial"/>
          <w:szCs w:val="20"/>
          <w:lang w:val="en-US"/>
        </w:rPr>
      </w:pPr>
    </w:p>
    <w:p w:rsidR="000B60B9" w:rsidRPr="00C903F8" w:rsidRDefault="000B60B9" w:rsidP="00E24808">
      <w:pPr>
        <w:rPr>
          <w:rFonts w:cs="Arial"/>
          <w:szCs w:val="20"/>
          <w:lang w:val="en-US"/>
        </w:rPr>
      </w:pPr>
    </w:p>
    <w:p w:rsidR="00E24808" w:rsidRPr="00C903F8" w:rsidRDefault="00E24808" w:rsidP="000B60B9">
      <w:pPr>
        <w:pStyle w:val="ES-Titre3"/>
        <w:rPr>
          <w:lang w:val="en-US"/>
        </w:rPr>
      </w:pPr>
      <w:bookmarkStart w:id="67" w:name="_Toc491854061"/>
      <w:r w:rsidRPr="00C903F8">
        <w:rPr>
          <w:noProof/>
          <w:lang w:val="en-GB"/>
        </w:rPr>
        <w:t>Article 8.06</w:t>
      </w:r>
      <w:r w:rsidRPr="00C903F8">
        <w:rPr>
          <w:noProof/>
          <w:lang w:val="en-GB"/>
        </w:rPr>
        <w:br/>
      </w:r>
      <w:r w:rsidRPr="00C903F8">
        <w:rPr>
          <w:i/>
          <w:noProof/>
          <w:lang w:val="en-GB"/>
        </w:rPr>
        <w:t>Storage of lubricating oil, pipes and accessories</w:t>
      </w:r>
      <w:bookmarkEnd w:id="67"/>
    </w:p>
    <w:p w:rsidR="000B60B9" w:rsidRPr="00C903F8" w:rsidRDefault="000B60B9" w:rsidP="00E24808">
      <w:pPr>
        <w:rPr>
          <w:rFonts w:cs="Arial"/>
          <w:noProof/>
          <w:szCs w:val="20"/>
          <w:lang w:val="en-GB"/>
        </w:rPr>
      </w:pPr>
    </w:p>
    <w:p w:rsidR="00E24808" w:rsidRPr="00C903F8" w:rsidRDefault="00E24808" w:rsidP="005A3E0D">
      <w:pPr>
        <w:pStyle w:val="ESch"/>
        <w:rPr>
          <w:lang w:val="en-GB"/>
        </w:rPr>
      </w:pPr>
      <w:r w:rsidRPr="00C903F8">
        <w:rPr>
          <w:noProof/>
          <w:lang w:val="en-GB"/>
        </w:rPr>
        <w:t>1.</w:t>
      </w:r>
      <w:r w:rsidRPr="00C903F8">
        <w:rPr>
          <w:noProof/>
          <w:lang w:val="en-GB"/>
        </w:rPr>
        <w:tab/>
        <w:t>Lubricating oil shall be stored in steel tanks which are either an integral part of the hull or which are firmly attached to the hull. If so required by the design of the vessel, an equivalent material in terms of fire-resistance may be used. These requirements shall not apply to tanks having a capacity of no more than 25 litres. Lubricating oil tanks shall not have common partitions with drinking-water tanks.</w:t>
      </w:r>
    </w:p>
    <w:p w:rsidR="000B60B9" w:rsidRPr="00C903F8" w:rsidRDefault="000B60B9" w:rsidP="005A3E0D">
      <w:pPr>
        <w:pStyle w:val="ESch"/>
        <w:rPr>
          <w:noProof/>
          <w:lang w:val="en-GB"/>
        </w:rPr>
      </w:pPr>
    </w:p>
    <w:p w:rsidR="00E24808" w:rsidRPr="00C903F8" w:rsidRDefault="00E24808" w:rsidP="005A3E0D">
      <w:pPr>
        <w:pStyle w:val="ESch"/>
        <w:rPr>
          <w:lang w:val="en-GB"/>
        </w:rPr>
      </w:pPr>
      <w:r w:rsidRPr="00C903F8">
        <w:rPr>
          <w:noProof/>
          <w:lang w:val="en-GB"/>
        </w:rPr>
        <w:t>2.</w:t>
      </w:r>
      <w:r w:rsidRPr="00C903F8">
        <w:rPr>
          <w:noProof/>
          <w:lang w:val="en-GB"/>
        </w:rPr>
        <w:tab/>
        <w:t>Lubricating oil tanks and their pipework and other accessories shall be laid out and arranged in such a way that neither lubricating oil nor lubricating oil vapour may accidentally reach the inside of the vessel.</w:t>
      </w:r>
    </w:p>
    <w:p w:rsidR="000B60B9" w:rsidRPr="00C903F8" w:rsidRDefault="000B60B9" w:rsidP="005A3E0D">
      <w:pPr>
        <w:pStyle w:val="ESch"/>
        <w:rPr>
          <w:noProof/>
          <w:lang w:val="en-GB"/>
        </w:rPr>
      </w:pPr>
    </w:p>
    <w:p w:rsidR="00E24808" w:rsidRPr="00C903F8" w:rsidRDefault="00E24808" w:rsidP="005A3E0D">
      <w:pPr>
        <w:pStyle w:val="ESch"/>
        <w:rPr>
          <w:lang w:val="en-GB"/>
        </w:rPr>
      </w:pPr>
      <w:r w:rsidRPr="00C903F8">
        <w:rPr>
          <w:noProof/>
          <w:lang w:val="en-GB"/>
        </w:rPr>
        <w:t>3.</w:t>
      </w:r>
      <w:r w:rsidRPr="00C903F8">
        <w:rPr>
          <w:noProof/>
          <w:lang w:val="en-GB"/>
        </w:rPr>
        <w:tab/>
        <w:t>No lubricating oil tanks may be located forward of the collision bulkhead.</w:t>
      </w:r>
    </w:p>
    <w:p w:rsidR="000B60B9" w:rsidRPr="00C903F8" w:rsidRDefault="000B60B9" w:rsidP="005A3E0D">
      <w:pPr>
        <w:pStyle w:val="ESch"/>
        <w:rPr>
          <w:noProof/>
          <w:lang w:val="en-GB"/>
        </w:rPr>
      </w:pPr>
    </w:p>
    <w:p w:rsidR="005A3E0D" w:rsidRPr="00C903F8" w:rsidRDefault="005A3E0D" w:rsidP="005A3E0D">
      <w:pPr>
        <w:pStyle w:val="ESch"/>
        <w:rPr>
          <w:noProof/>
          <w:lang w:val="en-GB"/>
        </w:rPr>
      </w:pPr>
      <w:r w:rsidRPr="00C903F8">
        <w:rPr>
          <w:noProof/>
          <w:lang w:val="en-GB"/>
        </w:rPr>
        <w:br w:type="page"/>
      </w:r>
    </w:p>
    <w:p w:rsidR="00E24808" w:rsidRPr="00C903F8" w:rsidRDefault="00E24808" w:rsidP="005A3E0D">
      <w:pPr>
        <w:pStyle w:val="ESch"/>
        <w:rPr>
          <w:lang w:val="en-GB"/>
        </w:rPr>
      </w:pPr>
      <w:r w:rsidRPr="00C903F8">
        <w:rPr>
          <w:noProof/>
          <w:lang w:val="en-GB"/>
        </w:rPr>
        <w:lastRenderedPageBreak/>
        <w:t>4.</w:t>
      </w:r>
      <w:r w:rsidRPr="00C903F8">
        <w:rPr>
          <w:noProof/>
          <w:lang w:val="en-GB"/>
        </w:rPr>
        <w:tab/>
        <w:t>Lubricating oil tanks and their fittings shall not be located directly above engines or exhaust pipes.</w:t>
      </w:r>
    </w:p>
    <w:p w:rsidR="000B60B9" w:rsidRPr="00C903F8" w:rsidRDefault="000B60B9" w:rsidP="005A3E0D">
      <w:pPr>
        <w:pStyle w:val="ESch"/>
        <w:rPr>
          <w:noProof/>
          <w:lang w:val="en-GB"/>
        </w:rPr>
      </w:pPr>
    </w:p>
    <w:p w:rsidR="00E24808" w:rsidRPr="00C903F8" w:rsidRDefault="00E24808" w:rsidP="005A3E0D">
      <w:pPr>
        <w:pStyle w:val="ESch"/>
        <w:rPr>
          <w:lang w:val="en-GB"/>
        </w:rPr>
      </w:pPr>
      <w:r w:rsidRPr="00C903F8">
        <w:rPr>
          <w:noProof/>
          <w:lang w:val="en-GB"/>
        </w:rPr>
        <w:t>5.</w:t>
      </w:r>
      <w:r w:rsidRPr="00C903F8">
        <w:rPr>
          <w:noProof/>
          <w:lang w:val="en-GB"/>
        </w:rPr>
        <w:tab/>
        <w:t>The filler orifices for lubricating oil tanks shall be marked distinctly.</w:t>
      </w:r>
    </w:p>
    <w:p w:rsidR="000B60B9" w:rsidRPr="00C903F8" w:rsidRDefault="000B60B9" w:rsidP="005A3E0D">
      <w:pPr>
        <w:pStyle w:val="ESch"/>
        <w:rPr>
          <w:noProof/>
          <w:lang w:val="en-GB"/>
        </w:rPr>
      </w:pPr>
    </w:p>
    <w:p w:rsidR="00E24808" w:rsidRPr="00C903F8" w:rsidRDefault="00E24808" w:rsidP="005A3E0D">
      <w:pPr>
        <w:pStyle w:val="ESch"/>
        <w:rPr>
          <w:lang w:val="en-US"/>
        </w:rPr>
      </w:pPr>
      <w:r w:rsidRPr="00C903F8">
        <w:rPr>
          <w:noProof/>
          <w:lang w:val="en-GB"/>
        </w:rPr>
        <w:t>6.</w:t>
      </w:r>
      <w:r w:rsidRPr="00C903F8">
        <w:rPr>
          <w:noProof/>
          <w:lang w:val="en-GB"/>
        </w:rPr>
        <w:tab/>
        <w:t>Lubricating oil pipes, their connections, seals and fittings shall be made of materials that are able to withstand the mechanical, chemical and thermal stresses to which they are likely to be subjected. The pipes shall not be subjected to any adverse influence of heat and it shall be possible to inspect them throughout their length.</w:t>
      </w:r>
    </w:p>
    <w:p w:rsidR="000B60B9" w:rsidRPr="00C903F8" w:rsidRDefault="000B60B9" w:rsidP="005A3E0D">
      <w:pPr>
        <w:pStyle w:val="ESch"/>
        <w:rPr>
          <w:noProof/>
          <w:lang w:val="en-GB"/>
        </w:rPr>
      </w:pPr>
    </w:p>
    <w:p w:rsidR="00E24808" w:rsidRPr="00C903F8" w:rsidRDefault="00E24808" w:rsidP="005A3E0D">
      <w:pPr>
        <w:pStyle w:val="ESch"/>
        <w:rPr>
          <w:lang w:val="en-US"/>
        </w:rPr>
      </w:pPr>
      <w:r w:rsidRPr="00C903F8">
        <w:rPr>
          <w:noProof/>
          <w:lang w:val="en-GB"/>
        </w:rPr>
        <w:t>7.</w:t>
      </w:r>
      <w:r w:rsidRPr="00C903F8">
        <w:rPr>
          <w:noProof/>
          <w:lang w:val="en-GB"/>
        </w:rPr>
        <w:tab/>
        <w:t>Lubricating oil tanks shall be provided with a suitable capacity-gauging device. Capacity-gauging devices shall be legible right up to the maximum filling level. Glass gauges shall be effectively protected against impacts, shall be fitted with an automatic closing device at their base and their upper end shall be connected to the tanks above their maximum filling level. The material used for glass gauges shall not deform under normal ambient temperatures. Sounding pipes shall not terminate in accommodation spaces. Sounding pipes terminating in an engine or boiler room shall be fitted with suitable self-closing devices.</w:t>
      </w:r>
    </w:p>
    <w:p w:rsidR="00E24808" w:rsidRPr="00C903F8" w:rsidRDefault="00E24808" w:rsidP="00E24808">
      <w:pPr>
        <w:rPr>
          <w:rFonts w:cs="Arial"/>
          <w:szCs w:val="20"/>
          <w:lang w:val="en-US"/>
        </w:rPr>
      </w:pPr>
    </w:p>
    <w:p w:rsidR="000B60B9" w:rsidRPr="00C903F8" w:rsidRDefault="000B60B9" w:rsidP="00E24808">
      <w:pPr>
        <w:rPr>
          <w:rFonts w:cs="Arial"/>
          <w:szCs w:val="20"/>
          <w:lang w:val="en-US"/>
        </w:rPr>
      </w:pPr>
    </w:p>
    <w:p w:rsidR="00E24808" w:rsidRPr="00C903F8" w:rsidRDefault="00E24808" w:rsidP="000B60B9">
      <w:pPr>
        <w:pStyle w:val="ES-Titre3"/>
        <w:rPr>
          <w:i/>
          <w:lang w:val="en-US"/>
        </w:rPr>
      </w:pPr>
      <w:bookmarkStart w:id="68" w:name="_Toc491854062"/>
      <w:r w:rsidRPr="00C903F8">
        <w:rPr>
          <w:noProof/>
          <w:lang w:val="en-GB"/>
        </w:rPr>
        <w:t>Article 8.07</w:t>
      </w:r>
      <w:r w:rsidRPr="00C903F8">
        <w:rPr>
          <w:noProof/>
          <w:lang w:val="en-GB"/>
        </w:rPr>
        <w:br/>
      </w:r>
      <w:r w:rsidRPr="00C903F8">
        <w:rPr>
          <w:i/>
          <w:noProof/>
          <w:lang w:val="en-GB"/>
        </w:rPr>
        <w:t>Storage of oils used in power transmission systems, control and activating systems and heating systems, pipes and accessories</w:t>
      </w:r>
      <w:bookmarkEnd w:id="68"/>
    </w:p>
    <w:p w:rsidR="005A3E0D" w:rsidRPr="00C903F8" w:rsidRDefault="005A3E0D" w:rsidP="00E24808">
      <w:pPr>
        <w:rPr>
          <w:rFonts w:cs="Arial"/>
          <w:noProof/>
          <w:szCs w:val="20"/>
          <w:lang w:val="en-US"/>
        </w:rPr>
      </w:pPr>
    </w:p>
    <w:p w:rsidR="00E24808" w:rsidRPr="00C903F8" w:rsidRDefault="00E24808" w:rsidP="005A3E0D">
      <w:pPr>
        <w:pStyle w:val="ESch"/>
        <w:rPr>
          <w:lang w:val="en-GB"/>
        </w:rPr>
      </w:pPr>
      <w:r w:rsidRPr="00C903F8">
        <w:rPr>
          <w:noProof/>
          <w:lang w:val="en-GB"/>
        </w:rPr>
        <w:t>1.</w:t>
      </w:r>
      <w:r w:rsidRPr="00C903F8">
        <w:rPr>
          <w:noProof/>
          <w:lang w:val="en-GB"/>
        </w:rPr>
        <w:tab/>
        <w:t xml:space="preserve">Oils used in power transmission systems, control and activating systems and heating systems shall be stored in steel tanks which are either an integral part of the hull or which are firmly attached to the hull. If so required by the design of the vessel, an equivalent material in terms of fire-resistance may be used. These requirements shall not apply to tanks having a capacity of no more than 25 litres. </w:t>
      </w:r>
      <w:r w:rsidR="009C2468" w:rsidRPr="00C903F8">
        <w:rPr>
          <w:noProof/>
          <w:lang w:val="en-GB"/>
        </w:rPr>
        <w:t>O</w:t>
      </w:r>
      <w:r w:rsidRPr="00C903F8">
        <w:rPr>
          <w:noProof/>
          <w:lang w:val="en-GB"/>
        </w:rPr>
        <w:t>il tanks</w:t>
      </w:r>
      <w:r w:rsidR="009C2468" w:rsidRPr="00C903F8">
        <w:rPr>
          <w:noProof/>
          <w:lang w:val="en-GB"/>
        </w:rPr>
        <w:t xml:space="preserve"> according to </w:t>
      </w:r>
      <w:r w:rsidR="00917628" w:rsidRPr="00C903F8">
        <w:rPr>
          <w:noProof/>
          <w:lang w:val="en-GB"/>
        </w:rPr>
        <w:t xml:space="preserve">sentence </w:t>
      </w:r>
      <w:r w:rsidR="00CC355E" w:rsidRPr="00C903F8">
        <w:rPr>
          <w:noProof/>
          <w:lang w:val="en-GB"/>
        </w:rPr>
        <w:t>(1)</w:t>
      </w:r>
      <w:r w:rsidRPr="00C903F8">
        <w:rPr>
          <w:noProof/>
          <w:lang w:val="en-GB"/>
        </w:rPr>
        <w:t xml:space="preserve"> shall not have common partitions with drinking-water tanks.</w:t>
      </w:r>
    </w:p>
    <w:p w:rsidR="000B60B9" w:rsidRPr="00C903F8" w:rsidRDefault="000B60B9" w:rsidP="005A3E0D">
      <w:pPr>
        <w:pStyle w:val="ESch"/>
        <w:rPr>
          <w:noProof/>
          <w:lang w:val="en-GB"/>
        </w:rPr>
      </w:pPr>
    </w:p>
    <w:p w:rsidR="00E24808" w:rsidRPr="00C903F8" w:rsidRDefault="00E24808" w:rsidP="005A3E0D">
      <w:pPr>
        <w:pStyle w:val="ESch"/>
        <w:rPr>
          <w:lang w:val="en-GB"/>
        </w:rPr>
      </w:pPr>
      <w:r w:rsidRPr="00C903F8">
        <w:rPr>
          <w:noProof/>
          <w:lang w:val="en-GB"/>
        </w:rPr>
        <w:t>2.</w:t>
      </w:r>
      <w:r w:rsidRPr="00C903F8">
        <w:rPr>
          <w:noProof/>
          <w:lang w:val="en-GB"/>
        </w:rPr>
        <w:tab/>
      </w:r>
      <w:r w:rsidR="009C2468" w:rsidRPr="00C903F8">
        <w:rPr>
          <w:noProof/>
          <w:lang w:val="en-GB"/>
        </w:rPr>
        <w:t>O</w:t>
      </w:r>
      <w:r w:rsidRPr="00C903F8">
        <w:rPr>
          <w:noProof/>
          <w:lang w:val="en-GB"/>
        </w:rPr>
        <w:t>il tanks</w:t>
      </w:r>
      <w:r w:rsidR="009C2468" w:rsidRPr="00C903F8">
        <w:rPr>
          <w:noProof/>
          <w:lang w:val="en-GB"/>
        </w:rPr>
        <w:t xml:space="preserve"> according to (1)</w:t>
      </w:r>
      <w:r w:rsidRPr="00C903F8">
        <w:rPr>
          <w:noProof/>
          <w:lang w:val="en-GB"/>
        </w:rPr>
        <w:t xml:space="preserve"> and their pipework and other accessories shall be laid out and arranged in such a way that neither such oil nor such oil vapour may accidentally reach the inside of the vessel.</w:t>
      </w:r>
    </w:p>
    <w:p w:rsidR="000B60B9" w:rsidRPr="00C903F8" w:rsidRDefault="000B60B9" w:rsidP="005A3E0D">
      <w:pPr>
        <w:pStyle w:val="ESch"/>
        <w:rPr>
          <w:noProof/>
          <w:lang w:val="en-GB"/>
        </w:rPr>
      </w:pPr>
    </w:p>
    <w:p w:rsidR="00E24808" w:rsidRPr="00C903F8" w:rsidRDefault="00E24808" w:rsidP="005A3E0D">
      <w:pPr>
        <w:pStyle w:val="ESch"/>
        <w:rPr>
          <w:lang w:val="en-GB"/>
        </w:rPr>
      </w:pPr>
      <w:r w:rsidRPr="00C903F8">
        <w:rPr>
          <w:noProof/>
          <w:lang w:val="en-GB"/>
        </w:rPr>
        <w:t>3.</w:t>
      </w:r>
      <w:r w:rsidRPr="00C903F8">
        <w:rPr>
          <w:noProof/>
          <w:lang w:val="en-GB"/>
        </w:rPr>
        <w:tab/>
        <w:t>No oil tanks</w:t>
      </w:r>
      <w:r w:rsidR="009C2468" w:rsidRPr="00C903F8">
        <w:rPr>
          <w:noProof/>
          <w:lang w:val="en-GB"/>
        </w:rPr>
        <w:t xml:space="preserve"> according to (1)</w:t>
      </w:r>
      <w:r w:rsidRPr="00C903F8">
        <w:rPr>
          <w:noProof/>
          <w:lang w:val="en-GB"/>
        </w:rPr>
        <w:t xml:space="preserve"> may be located forward of the collision bulkhead.</w:t>
      </w:r>
    </w:p>
    <w:p w:rsidR="000B60B9" w:rsidRPr="00C903F8" w:rsidRDefault="000B60B9" w:rsidP="005A3E0D">
      <w:pPr>
        <w:pStyle w:val="ESch"/>
        <w:rPr>
          <w:noProof/>
          <w:lang w:val="en-GB"/>
        </w:rPr>
      </w:pPr>
    </w:p>
    <w:p w:rsidR="00E24808" w:rsidRPr="00C903F8" w:rsidRDefault="00E24808" w:rsidP="005A3E0D">
      <w:pPr>
        <w:pStyle w:val="ESch"/>
        <w:rPr>
          <w:lang w:val="en-GB"/>
        </w:rPr>
      </w:pPr>
      <w:r w:rsidRPr="00C903F8">
        <w:rPr>
          <w:noProof/>
          <w:lang w:val="en-GB"/>
        </w:rPr>
        <w:t>4.</w:t>
      </w:r>
      <w:r w:rsidRPr="00C903F8">
        <w:rPr>
          <w:noProof/>
          <w:lang w:val="en-GB"/>
        </w:rPr>
        <w:tab/>
      </w:r>
      <w:r w:rsidR="009C2468" w:rsidRPr="00C903F8">
        <w:rPr>
          <w:noProof/>
          <w:lang w:val="en-GB"/>
        </w:rPr>
        <w:t>O</w:t>
      </w:r>
      <w:r w:rsidRPr="00C903F8">
        <w:rPr>
          <w:noProof/>
          <w:lang w:val="en-GB"/>
        </w:rPr>
        <w:t>il tanks</w:t>
      </w:r>
      <w:r w:rsidR="009C2468" w:rsidRPr="00C903F8">
        <w:rPr>
          <w:noProof/>
          <w:lang w:val="en-GB"/>
        </w:rPr>
        <w:t xml:space="preserve"> according to (1)</w:t>
      </w:r>
      <w:r w:rsidRPr="00C903F8">
        <w:rPr>
          <w:noProof/>
          <w:lang w:val="en-GB"/>
        </w:rPr>
        <w:t xml:space="preserve"> and their fittings shall not be located directly above engines or exhaust pipes.</w:t>
      </w:r>
    </w:p>
    <w:p w:rsidR="000B60B9" w:rsidRPr="00C903F8" w:rsidRDefault="000B60B9" w:rsidP="005A3E0D">
      <w:pPr>
        <w:pStyle w:val="ESch"/>
        <w:rPr>
          <w:noProof/>
          <w:lang w:val="en-GB"/>
        </w:rPr>
      </w:pPr>
    </w:p>
    <w:p w:rsidR="00E24808" w:rsidRPr="00C903F8" w:rsidRDefault="00E24808" w:rsidP="005A3E0D">
      <w:pPr>
        <w:pStyle w:val="ESch"/>
        <w:rPr>
          <w:lang w:val="en-GB"/>
        </w:rPr>
      </w:pPr>
      <w:r w:rsidRPr="00C903F8">
        <w:rPr>
          <w:noProof/>
          <w:lang w:val="en-GB"/>
        </w:rPr>
        <w:t>5.</w:t>
      </w:r>
      <w:r w:rsidRPr="00C903F8">
        <w:rPr>
          <w:noProof/>
          <w:lang w:val="en-GB"/>
        </w:rPr>
        <w:tab/>
        <w:t>The filler orifices for oil tanks</w:t>
      </w:r>
      <w:r w:rsidR="00451D26" w:rsidRPr="00C903F8">
        <w:rPr>
          <w:noProof/>
          <w:lang w:val="en-GB"/>
        </w:rPr>
        <w:t xml:space="preserve"> according to (1)</w:t>
      </w:r>
      <w:r w:rsidRPr="00C903F8">
        <w:rPr>
          <w:noProof/>
          <w:lang w:val="en-GB"/>
        </w:rPr>
        <w:t xml:space="preserve"> shall be marked distinctly.</w:t>
      </w:r>
    </w:p>
    <w:p w:rsidR="000B60B9" w:rsidRPr="00C903F8" w:rsidRDefault="000B60B9" w:rsidP="005A3E0D">
      <w:pPr>
        <w:pStyle w:val="ESch"/>
        <w:rPr>
          <w:noProof/>
          <w:lang w:val="en-GB"/>
        </w:rPr>
      </w:pPr>
    </w:p>
    <w:p w:rsidR="00E24808" w:rsidRPr="00C903F8" w:rsidRDefault="00E24808" w:rsidP="005A3E0D">
      <w:pPr>
        <w:pStyle w:val="ESch"/>
        <w:rPr>
          <w:lang w:val="en-US"/>
        </w:rPr>
      </w:pPr>
      <w:r w:rsidRPr="00C903F8">
        <w:rPr>
          <w:noProof/>
          <w:lang w:val="en-GB"/>
        </w:rPr>
        <w:t>6.</w:t>
      </w:r>
      <w:r w:rsidRPr="00C903F8">
        <w:rPr>
          <w:noProof/>
          <w:lang w:val="en-GB"/>
        </w:rPr>
        <w:tab/>
      </w:r>
      <w:r w:rsidR="00451D26" w:rsidRPr="00C903F8">
        <w:rPr>
          <w:noProof/>
          <w:lang w:val="en-GB"/>
        </w:rPr>
        <w:t>O</w:t>
      </w:r>
      <w:r w:rsidRPr="00C903F8">
        <w:rPr>
          <w:noProof/>
          <w:lang w:val="en-GB"/>
        </w:rPr>
        <w:t>il pipes</w:t>
      </w:r>
      <w:r w:rsidR="00451D26" w:rsidRPr="00C903F8">
        <w:rPr>
          <w:noProof/>
          <w:lang w:val="en-GB"/>
        </w:rPr>
        <w:t xml:space="preserve"> according to (1)</w:t>
      </w:r>
      <w:r w:rsidRPr="00C903F8">
        <w:rPr>
          <w:noProof/>
          <w:lang w:val="en-GB"/>
        </w:rPr>
        <w:t>, their connections, seals and fittings shall be made of materials that are able to withstand the mechanical, chemical and thermal stresses to which they are likely to be subjected. The pipes shall not be subjected to any adverse influence of heat and it shall be possible to inspect them throughout their length.</w:t>
      </w:r>
    </w:p>
    <w:p w:rsidR="000B60B9" w:rsidRPr="00C903F8" w:rsidRDefault="000B60B9" w:rsidP="005A3E0D">
      <w:pPr>
        <w:pStyle w:val="ESch"/>
        <w:rPr>
          <w:noProof/>
          <w:lang w:val="en-GB"/>
        </w:rPr>
      </w:pPr>
    </w:p>
    <w:p w:rsidR="005A3E0D" w:rsidRPr="00C903F8" w:rsidRDefault="005A3E0D" w:rsidP="005A3E0D">
      <w:pPr>
        <w:pStyle w:val="ESch"/>
        <w:rPr>
          <w:noProof/>
          <w:lang w:val="en-GB"/>
        </w:rPr>
      </w:pPr>
      <w:r w:rsidRPr="00C903F8">
        <w:rPr>
          <w:noProof/>
          <w:lang w:val="en-GB"/>
        </w:rPr>
        <w:br w:type="page"/>
      </w:r>
    </w:p>
    <w:p w:rsidR="00E24808" w:rsidRPr="00C903F8" w:rsidRDefault="00E24808" w:rsidP="005A3E0D">
      <w:pPr>
        <w:pStyle w:val="ESch"/>
        <w:rPr>
          <w:noProof/>
          <w:lang w:val="en-GB"/>
        </w:rPr>
      </w:pPr>
      <w:r w:rsidRPr="00C903F8">
        <w:rPr>
          <w:noProof/>
          <w:lang w:val="en-GB"/>
        </w:rPr>
        <w:lastRenderedPageBreak/>
        <w:t>7.</w:t>
      </w:r>
      <w:r w:rsidRPr="00C903F8">
        <w:rPr>
          <w:noProof/>
          <w:lang w:val="en-GB"/>
        </w:rPr>
        <w:tab/>
      </w:r>
      <w:r w:rsidR="009C2468" w:rsidRPr="00C903F8">
        <w:rPr>
          <w:noProof/>
          <w:lang w:val="en-GB"/>
        </w:rPr>
        <w:t>O</w:t>
      </w:r>
      <w:r w:rsidRPr="00C903F8">
        <w:rPr>
          <w:noProof/>
          <w:lang w:val="en-GB"/>
        </w:rPr>
        <w:t>il tanks</w:t>
      </w:r>
      <w:r w:rsidR="009C2468" w:rsidRPr="00C903F8">
        <w:rPr>
          <w:noProof/>
          <w:lang w:val="en-GB"/>
        </w:rPr>
        <w:t xml:space="preserve"> according to (1)</w:t>
      </w:r>
      <w:r w:rsidRPr="00C903F8">
        <w:rPr>
          <w:noProof/>
          <w:lang w:val="en-GB"/>
        </w:rPr>
        <w:t xml:space="preserve"> shall be provided with a suitable capacity-gauging device. Capacity-gauging devices shall be legible right up to the maximum filling level. Glass gauges shall be effectively protected against impacts, shall be fitted with an automatic closing device at their base and their upper end shall be connected to the tanks above their maximum filling level. The material used for glass gauges shall not deform under normal ambient temperatures. Sounding pipes shall not terminate in accommodation spaces. Sounding pipes terminating in an engine or boiler room shall be fitted with suitable self-closing devices.</w:t>
      </w:r>
    </w:p>
    <w:p w:rsidR="000B60B9" w:rsidRPr="00C903F8" w:rsidRDefault="000B60B9" w:rsidP="00E24808">
      <w:pPr>
        <w:rPr>
          <w:rFonts w:cs="Arial"/>
          <w:szCs w:val="20"/>
          <w:lang w:val="en-US"/>
        </w:rPr>
      </w:pPr>
    </w:p>
    <w:p w:rsidR="00E24808" w:rsidRPr="00C903F8" w:rsidRDefault="00E24808" w:rsidP="00E24808">
      <w:pPr>
        <w:rPr>
          <w:rFonts w:cs="Arial"/>
          <w:szCs w:val="20"/>
          <w:lang w:val="en-US"/>
        </w:rPr>
      </w:pPr>
    </w:p>
    <w:p w:rsidR="00E24808" w:rsidRPr="00C903F8" w:rsidRDefault="00E24808" w:rsidP="000B60B9">
      <w:pPr>
        <w:pStyle w:val="ES-Titre3"/>
        <w:rPr>
          <w:i/>
          <w:lang w:val="en-GB"/>
        </w:rPr>
      </w:pPr>
      <w:bookmarkStart w:id="69" w:name="_Toc491854063"/>
      <w:r w:rsidRPr="00C903F8">
        <w:rPr>
          <w:noProof/>
          <w:lang w:val="en-GB"/>
        </w:rPr>
        <w:t>Article 8.08</w:t>
      </w:r>
      <w:r w:rsidRPr="00C903F8">
        <w:rPr>
          <w:noProof/>
          <w:lang w:val="en-GB"/>
        </w:rPr>
        <w:br/>
      </w:r>
      <w:r w:rsidRPr="00C903F8">
        <w:rPr>
          <w:i/>
          <w:noProof/>
          <w:lang w:val="en-GB"/>
        </w:rPr>
        <w:t>Bilge pumping and drainage systems</w:t>
      </w:r>
      <w:bookmarkEnd w:id="69"/>
    </w:p>
    <w:p w:rsidR="000B60B9" w:rsidRPr="00C903F8" w:rsidRDefault="000B60B9" w:rsidP="00E24808">
      <w:pPr>
        <w:rPr>
          <w:rFonts w:cs="Arial"/>
          <w:noProof/>
          <w:szCs w:val="20"/>
          <w:lang w:val="en-GB"/>
        </w:rPr>
      </w:pPr>
    </w:p>
    <w:p w:rsidR="00E24808" w:rsidRPr="00C903F8" w:rsidRDefault="00E24808" w:rsidP="005A3E0D">
      <w:pPr>
        <w:pStyle w:val="ESch"/>
        <w:rPr>
          <w:lang w:val="en-GB"/>
        </w:rPr>
      </w:pPr>
      <w:r w:rsidRPr="00C903F8">
        <w:rPr>
          <w:noProof/>
          <w:lang w:val="en-GB"/>
        </w:rPr>
        <w:t>1.</w:t>
      </w:r>
      <w:r w:rsidRPr="00C903F8">
        <w:rPr>
          <w:noProof/>
          <w:lang w:val="en-GB"/>
        </w:rPr>
        <w:tab/>
        <w:t>It shall be possible to pump out each watertight compartment separately. However, that requi</w:t>
      </w:r>
      <w:r w:rsidR="00917628" w:rsidRPr="00C903F8">
        <w:rPr>
          <w:noProof/>
          <w:lang w:val="en-GB"/>
        </w:rPr>
        <w:t>rement shall not apply to water</w:t>
      </w:r>
      <w:r w:rsidRPr="00C903F8">
        <w:rPr>
          <w:noProof/>
          <w:lang w:val="en-GB"/>
        </w:rPr>
        <w:t>tight compartments that are normally sealed hermetically during operation.</w:t>
      </w:r>
    </w:p>
    <w:p w:rsidR="000B60B9" w:rsidRPr="00C903F8" w:rsidRDefault="000B60B9" w:rsidP="005A3E0D">
      <w:pPr>
        <w:pStyle w:val="ESch"/>
        <w:rPr>
          <w:noProof/>
          <w:lang w:val="en-GB"/>
        </w:rPr>
      </w:pPr>
    </w:p>
    <w:p w:rsidR="00E24808" w:rsidRPr="00C903F8" w:rsidRDefault="00E24808" w:rsidP="005A3E0D">
      <w:pPr>
        <w:pStyle w:val="ESch"/>
        <w:rPr>
          <w:lang w:val="en-GB"/>
        </w:rPr>
      </w:pPr>
      <w:r w:rsidRPr="00C903F8">
        <w:rPr>
          <w:noProof/>
          <w:lang w:val="en-GB"/>
        </w:rPr>
        <w:t>2.</w:t>
      </w:r>
      <w:r w:rsidRPr="00C903F8">
        <w:rPr>
          <w:noProof/>
          <w:lang w:val="en-GB"/>
        </w:rPr>
        <w:tab/>
        <w:t>Vessels requiring a crew shall be equipped with two independent bilge pumps which shall not be installed within the same space. At least one of these shall be motor driven. However, for vessels with a power of less than 225 kW or with a deadweight of less than 350 t, or where vessels not intended for the carriage of goods have a displacement of less than 250 m</w:t>
      </w:r>
      <w:r w:rsidRPr="00C903F8">
        <w:rPr>
          <w:noProof/>
          <w:vertAlign w:val="superscript"/>
          <w:lang w:val="en-GB"/>
        </w:rPr>
        <w:t>3</w:t>
      </w:r>
      <w:r w:rsidRPr="00C903F8">
        <w:rPr>
          <w:noProof/>
          <w:lang w:val="en-GB"/>
        </w:rPr>
        <w:t>, one pump will suffice which can be either manually-operated or motor-driven.</w:t>
      </w:r>
    </w:p>
    <w:p w:rsidR="000B60B9" w:rsidRPr="00C903F8" w:rsidRDefault="000B60B9" w:rsidP="005A3E0D">
      <w:pPr>
        <w:pStyle w:val="ESch"/>
        <w:rPr>
          <w:noProof/>
          <w:lang w:val="en-GB"/>
        </w:rPr>
      </w:pPr>
    </w:p>
    <w:p w:rsidR="00E24808" w:rsidRPr="00C903F8" w:rsidRDefault="00E24808" w:rsidP="005A3E0D">
      <w:pPr>
        <w:pStyle w:val="ESchpar"/>
        <w:rPr>
          <w:noProof/>
          <w:lang w:val="en-GB"/>
        </w:rPr>
      </w:pPr>
      <w:r w:rsidRPr="00C903F8">
        <w:rPr>
          <w:noProof/>
          <w:lang w:val="en-GB"/>
        </w:rPr>
        <w:t xml:space="preserve">Each of the required pumps shall be capable of use </w:t>
      </w:r>
      <w:r w:rsidR="00CB6B47" w:rsidRPr="00C903F8">
        <w:rPr>
          <w:noProof/>
          <w:lang w:val="en-GB"/>
        </w:rPr>
        <w:t>in</w:t>
      </w:r>
      <w:r w:rsidRPr="00C903F8">
        <w:rPr>
          <w:noProof/>
          <w:lang w:val="en-GB"/>
        </w:rPr>
        <w:t xml:space="preserve"> each watertight compartment.</w:t>
      </w:r>
    </w:p>
    <w:p w:rsidR="000B60B9" w:rsidRPr="00C903F8" w:rsidRDefault="000B60B9" w:rsidP="005A3E0D">
      <w:pPr>
        <w:pStyle w:val="ESch"/>
        <w:rPr>
          <w:noProof/>
          <w:lang w:val="en-GB"/>
        </w:rPr>
      </w:pPr>
    </w:p>
    <w:p w:rsidR="00E24808" w:rsidRPr="00C903F8" w:rsidRDefault="00E24808" w:rsidP="005A3E0D">
      <w:pPr>
        <w:pStyle w:val="ESch"/>
        <w:rPr>
          <w:noProof/>
          <w:lang w:val="en-GB"/>
        </w:rPr>
      </w:pPr>
      <w:r w:rsidRPr="00C903F8">
        <w:rPr>
          <w:noProof/>
          <w:lang w:val="en-GB"/>
        </w:rPr>
        <w:t>3.</w:t>
      </w:r>
      <w:r w:rsidRPr="00C903F8">
        <w:rPr>
          <w:noProof/>
          <w:lang w:val="en-GB"/>
        </w:rPr>
        <w:tab/>
        <w:t>The minimum pumping capacity</w:t>
      </w:r>
      <w:r w:rsidR="00E000F9" w:rsidRPr="00C903F8">
        <w:rPr>
          <w:noProof/>
          <w:lang w:val="en-GB"/>
        </w:rPr>
        <w:t xml:space="preserve"> </w:t>
      </w:r>
      <m:oMath>
        <m:sSub>
          <m:sSubPr>
            <m:ctrlPr>
              <w:rPr>
                <w:rFonts w:ascii="Cambria Math" w:hAnsi="Cambria Math"/>
                <w:i/>
                <w:noProof/>
                <w:lang w:val="en-GB"/>
              </w:rPr>
            </m:ctrlPr>
          </m:sSubPr>
          <m:e>
            <m:r>
              <w:rPr>
                <w:rFonts w:ascii="Cambria Math" w:hAnsi="Cambria Math"/>
                <w:noProof/>
                <w:lang w:val="en-GB"/>
              </w:rPr>
              <m:t>Q</m:t>
            </m:r>
          </m:e>
          <m:sub>
            <m:r>
              <w:rPr>
                <w:rFonts w:ascii="Cambria Math" w:hAnsi="Cambria Math"/>
                <w:noProof/>
                <w:lang w:val="en-GB"/>
              </w:rPr>
              <m:t>1</m:t>
            </m:r>
          </m:sub>
        </m:sSub>
      </m:oMath>
      <w:r w:rsidRPr="00C903F8">
        <w:rPr>
          <w:noProof/>
          <w:lang w:val="en-GB"/>
        </w:rPr>
        <w:t xml:space="preserve"> of the first bilge pump shall be calculated using the following formula:</w:t>
      </w:r>
    </w:p>
    <w:p w:rsidR="00E000F9" w:rsidRPr="00C903F8" w:rsidRDefault="00F12BAF" w:rsidP="00E000F9">
      <w:pPr>
        <w:pStyle w:val="ESch"/>
        <w:ind w:left="0" w:firstLine="0"/>
        <w:jc w:val="center"/>
        <w:rPr>
          <w:noProof/>
          <w:lang w:val="en-GB"/>
        </w:rPr>
      </w:pPr>
      <m:oMathPara>
        <m:oMath>
          <m:sSub>
            <m:sSubPr>
              <m:ctrlPr>
                <w:rPr>
                  <w:rFonts w:ascii="Cambria Math" w:hAnsi="Cambria Math"/>
                  <w:i/>
                  <w:noProof/>
                  <w:lang w:val="en-GB"/>
                </w:rPr>
              </m:ctrlPr>
            </m:sSubPr>
            <m:e>
              <m:r>
                <w:rPr>
                  <w:rFonts w:ascii="Cambria Math" w:hAnsi="Cambria Math"/>
                  <w:noProof/>
                  <w:lang w:val="en-GB"/>
                </w:rPr>
                <m:t>Q</m:t>
              </m:r>
            </m:e>
            <m:sub>
              <m:r>
                <w:rPr>
                  <w:rFonts w:ascii="Cambria Math" w:hAnsi="Cambria Math"/>
                  <w:noProof/>
                  <w:lang w:val="en-GB"/>
                </w:rPr>
                <m:t>1</m:t>
              </m:r>
            </m:sub>
          </m:sSub>
          <m:r>
            <w:rPr>
              <w:rFonts w:ascii="Cambria Math" w:hAnsi="Cambria Math"/>
              <w:noProof/>
              <w:lang w:val="en-GB"/>
            </w:rPr>
            <m:t xml:space="preserve">=0,1 ∙ </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1</m:t>
                  </m:r>
                </m:sub>
              </m:sSub>
            </m:e>
            <m:sup>
              <m:r>
                <w:rPr>
                  <w:rFonts w:ascii="Cambria Math" w:hAnsi="Cambria Math"/>
                  <w:noProof/>
                  <w:lang w:val="en-GB"/>
                </w:rPr>
                <m:t>2</m:t>
              </m:r>
            </m:sup>
          </m:sSup>
          <m:r>
            <w:rPr>
              <w:rFonts w:ascii="Cambria Math" w:hAnsi="Cambria Math"/>
              <w:noProof/>
              <w:lang w:val="en-GB"/>
            </w:rPr>
            <m:t xml:space="preserve"> [l/min]</m:t>
          </m:r>
        </m:oMath>
      </m:oMathPara>
    </w:p>
    <w:p w:rsidR="00E000F9" w:rsidRPr="00C903F8" w:rsidRDefault="00E000F9" w:rsidP="00E000F9">
      <w:pPr>
        <w:pStyle w:val="ESch"/>
        <w:ind w:left="0" w:firstLine="0"/>
        <w:rPr>
          <w:noProof/>
          <w:lang w:val="en-GB"/>
        </w:rPr>
      </w:pPr>
    </w:p>
    <w:p w:rsidR="000B60B9" w:rsidRPr="00C903F8" w:rsidRDefault="00F12BAF" w:rsidP="0089015B">
      <w:pPr>
        <w:pStyle w:val="ESchpar"/>
        <w:spacing w:before="60"/>
        <w:rPr>
          <w:lang w:val="en-US"/>
        </w:rPr>
      </w:pP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1</m:t>
            </m:r>
          </m:sub>
        </m:sSub>
      </m:oMath>
      <w:r w:rsidR="00230288" w:rsidRPr="00C903F8">
        <w:rPr>
          <w:noProof/>
          <w:lang w:val="en-GB"/>
        </w:rPr>
        <w:t xml:space="preserve"> </w:t>
      </w:r>
      <w:r w:rsidR="000B60B9" w:rsidRPr="00C903F8">
        <w:rPr>
          <w:lang w:val="en-US"/>
        </w:rPr>
        <w:t>is calculated via the formula:</w:t>
      </w:r>
    </w:p>
    <w:p w:rsidR="00230288" w:rsidRPr="00C903F8" w:rsidRDefault="00230288" w:rsidP="0089015B">
      <w:pPr>
        <w:pStyle w:val="ESchpar"/>
        <w:spacing w:before="60"/>
        <w:rPr>
          <w:lang w:val="en-US"/>
        </w:rPr>
      </w:pPr>
    </w:p>
    <w:p w:rsidR="00230288" w:rsidRPr="00C903F8" w:rsidRDefault="00F12BAF" w:rsidP="00230288">
      <w:pPr>
        <w:pStyle w:val="ESch"/>
        <w:ind w:left="0" w:firstLine="0"/>
        <w:jc w:val="center"/>
        <w:rPr>
          <w:noProof/>
          <w:lang w:val="en-GB"/>
        </w:rPr>
      </w:pPr>
      <m:oMathPara>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1</m:t>
              </m:r>
            </m:sub>
          </m:sSub>
          <m:r>
            <w:rPr>
              <w:rFonts w:ascii="Cambria Math" w:hAnsi="Cambria Math"/>
              <w:noProof/>
              <w:lang w:val="en-GB"/>
            </w:rPr>
            <m:t xml:space="preserve">=1,5 ∙ </m:t>
          </m:r>
          <m:rad>
            <m:radPr>
              <m:degHide m:val="1"/>
              <m:ctrlPr>
                <w:rPr>
                  <w:rFonts w:ascii="Cambria Math" w:hAnsi="Cambria Math"/>
                  <w:i/>
                  <w:noProof/>
                  <w:lang w:val="en-GB"/>
                </w:rPr>
              </m:ctrlPr>
            </m:radPr>
            <m:deg/>
            <m:e>
              <m:r>
                <w:rPr>
                  <w:rFonts w:ascii="Cambria Math" w:hAnsi="Cambria Math"/>
                  <w:noProof/>
                  <w:lang w:val="en-GB"/>
                </w:rPr>
                <m:t xml:space="preserve">L </m:t>
              </m:r>
              <m:d>
                <m:dPr>
                  <m:ctrlPr>
                    <w:rPr>
                      <w:rFonts w:ascii="Cambria Math" w:hAnsi="Cambria Math"/>
                      <w:i/>
                      <w:noProof/>
                      <w:lang w:val="en-GB"/>
                    </w:rPr>
                  </m:ctrlPr>
                </m:dPr>
                <m:e>
                  <m:r>
                    <w:rPr>
                      <w:rFonts w:ascii="Cambria Math" w:hAnsi="Cambria Math"/>
                      <w:noProof/>
                      <w:lang w:val="en-GB"/>
                    </w:rPr>
                    <m:t>B+H</m:t>
                  </m:r>
                </m:e>
              </m:d>
            </m:e>
          </m:rad>
          <m:r>
            <w:rPr>
              <w:rFonts w:ascii="Cambria Math" w:hAnsi="Cambria Math"/>
              <w:noProof/>
              <w:lang w:val="en-GB"/>
            </w:rPr>
            <m:t>+25  [mm]</m:t>
          </m:r>
        </m:oMath>
      </m:oMathPara>
    </w:p>
    <w:p w:rsidR="000B60B9" w:rsidRPr="00C903F8" w:rsidRDefault="000B60B9" w:rsidP="0089015B">
      <w:pPr>
        <w:pStyle w:val="ESchpar"/>
      </w:pPr>
    </w:p>
    <w:p w:rsidR="000B60B9" w:rsidRPr="00C903F8" w:rsidRDefault="000B60B9" w:rsidP="0089015B">
      <w:pPr>
        <w:pStyle w:val="ESchpar"/>
        <w:rPr>
          <w:rFonts w:cs="Arial"/>
          <w:noProof/>
          <w:szCs w:val="20"/>
          <w:lang w:val="en-GB"/>
        </w:rPr>
      </w:pPr>
      <w:r w:rsidRPr="00C903F8">
        <w:rPr>
          <w:rFonts w:cs="Arial"/>
          <w:noProof/>
          <w:szCs w:val="20"/>
          <w:lang w:val="en-GB"/>
        </w:rPr>
        <w:t xml:space="preserve">The minimum pumping capacity </w:t>
      </w:r>
      <m:oMath>
        <m:sSub>
          <m:sSubPr>
            <m:ctrlPr>
              <w:rPr>
                <w:rFonts w:ascii="Cambria Math" w:hAnsi="Cambria Math"/>
                <w:i/>
                <w:noProof/>
                <w:lang w:val="en-GB"/>
              </w:rPr>
            </m:ctrlPr>
          </m:sSubPr>
          <m:e>
            <m:r>
              <w:rPr>
                <w:rFonts w:ascii="Cambria Math" w:hAnsi="Cambria Math"/>
                <w:noProof/>
                <w:lang w:val="en-GB"/>
              </w:rPr>
              <m:t>Q</m:t>
            </m:r>
          </m:e>
          <m:sub>
            <m:r>
              <w:rPr>
                <w:rFonts w:ascii="Cambria Math" w:hAnsi="Cambria Math"/>
                <w:noProof/>
                <w:lang w:val="en-GB"/>
              </w:rPr>
              <m:t>2</m:t>
            </m:r>
          </m:sub>
        </m:sSub>
      </m:oMath>
      <w:r w:rsidRPr="00C903F8">
        <w:rPr>
          <w:rFonts w:cs="Arial"/>
          <w:noProof/>
          <w:szCs w:val="20"/>
          <w:lang w:val="en-GB"/>
        </w:rPr>
        <w:t xml:space="preserve"> of the second bilge pump shall be calculated using the following formula:</w:t>
      </w:r>
    </w:p>
    <w:p w:rsidR="000B60B9" w:rsidRPr="00C903F8" w:rsidRDefault="00F12BAF" w:rsidP="00B079AF">
      <w:pPr>
        <w:pStyle w:val="ESchpar"/>
        <w:spacing w:before="60"/>
        <w:jc w:val="center"/>
        <w:rPr>
          <w:lang w:val="en-US"/>
        </w:rPr>
      </w:pPr>
      <m:oMathPara>
        <m:oMath>
          <m:sSub>
            <m:sSubPr>
              <m:ctrlPr>
                <w:rPr>
                  <w:rFonts w:ascii="Cambria Math" w:hAnsi="Cambria Math"/>
                  <w:i/>
                  <w:noProof/>
                  <w:lang w:val="en-GB"/>
                </w:rPr>
              </m:ctrlPr>
            </m:sSubPr>
            <m:e>
              <m:r>
                <w:rPr>
                  <w:rFonts w:ascii="Cambria Math" w:hAnsi="Cambria Math"/>
                  <w:noProof/>
                  <w:lang w:val="en-GB"/>
                </w:rPr>
                <m:t>Q</m:t>
              </m:r>
            </m:e>
            <m:sub>
              <m:r>
                <w:rPr>
                  <w:rFonts w:ascii="Cambria Math" w:hAnsi="Cambria Math"/>
                  <w:noProof/>
                  <w:lang w:val="en-GB"/>
                </w:rPr>
                <m:t>2</m:t>
              </m:r>
            </m:sub>
          </m:sSub>
          <m:r>
            <w:rPr>
              <w:rFonts w:ascii="Cambria Math" w:hAnsi="Cambria Math"/>
              <w:noProof/>
              <w:lang w:val="en-GB"/>
            </w:rPr>
            <m:t xml:space="preserve">=0,1 ∙ </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2</m:t>
                  </m:r>
                </m:sub>
              </m:sSub>
            </m:e>
            <m:sup>
              <m:r>
                <w:rPr>
                  <w:rFonts w:ascii="Cambria Math" w:hAnsi="Cambria Math"/>
                  <w:noProof/>
                  <w:lang w:val="en-GB"/>
                </w:rPr>
                <m:t>2</m:t>
              </m:r>
            </m:sup>
          </m:sSup>
          <m:r>
            <w:rPr>
              <w:rFonts w:ascii="Cambria Math" w:hAnsi="Cambria Math"/>
              <w:noProof/>
              <w:lang w:val="en-GB"/>
            </w:rPr>
            <m:t xml:space="preserve"> [l/min]</m:t>
          </m:r>
        </m:oMath>
      </m:oMathPara>
    </w:p>
    <w:p w:rsidR="000B60B9" w:rsidRPr="00C903F8" w:rsidRDefault="00F12BAF" w:rsidP="0089015B">
      <w:pPr>
        <w:pStyle w:val="ESchpar"/>
        <w:spacing w:before="60"/>
        <w:rPr>
          <w:rFonts w:cs="Arial"/>
          <w:szCs w:val="20"/>
          <w:lang w:val="en-GB"/>
        </w:rPr>
      </w:pP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2</m:t>
            </m:r>
          </m:sub>
        </m:sSub>
      </m:oMath>
      <w:r w:rsidR="00E000F9" w:rsidRPr="00C903F8">
        <w:rPr>
          <w:noProof/>
          <w:lang w:val="en-GB"/>
        </w:rPr>
        <w:t xml:space="preserve"> </w:t>
      </w:r>
      <w:r w:rsidR="000B60B9" w:rsidRPr="00C903F8">
        <w:rPr>
          <w:rFonts w:cs="Arial"/>
          <w:szCs w:val="20"/>
          <w:lang w:val="en-GB"/>
        </w:rPr>
        <w:t>is calculated using the formula:</w:t>
      </w:r>
    </w:p>
    <w:p w:rsidR="00230288" w:rsidRPr="00C903F8" w:rsidRDefault="00230288" w:rsidP="0089015B">
      <w:pPr>
        <w:pStyle w:val="ESchpar"/>
        <w:spacing w:before="60"/>
        <w:rPr>
          <w:lang w:val="en-US"/>
        </w:rPr>
      </w:pPr>
    </w:p>
    <w:p w:rsidR="00230288" w:rsidRPr="00C903F8" w:rsidRDefault="00F12BAF" w:rsidP="00230288">
      <w:pPr>
        <w:pStyle w:val="ESch"/>
        <w:ind w:left="0" w:firstLine="0"/>
        <w:jc w:val="center"/>
        <w:rPr>
          <w:noProof/>
          <w:lang w:val="en-GB"/>
        </w:rPr>
      </w:pPr>
      <m:oMathPara>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2</m:t>
              </m:r>
            </m:sub>
          </m:sSub>
          <m:r>
            <w:rPr>
              <w:rFonts w:ascii="Cambria Math" w:hAnsi="Cambria Math"/>
              <w:noProof/>
              <w:lang w:val="en-GB"/>
            </w:rPr>
            <m:t xml:space="preserve">=2 ∙ </m:t>
          </m:r>
          <m:rad>
            <m:radPr>
              <m:degHide m:val="1"/>
              <m:ctrlPr>
                <w:rPr>
                  <w:rFonts w:ascii="Cambria Math" w:hAnsi="Cambria Math"/>
                  <w:i/>
                  <w:noProof/>
                  <w:lang w:val="en-GB"/>
                </w:rPr>
              </m:ctrlPr>
            </m:radPr>
            <m:deg/>
            <m:e>
              <m:r>
                <w:rPr>
                  <w:rFonts w:ascii="Cambria Math" w:hAnsi="Cambria Math"/>
                  <w:noProof/>
                  <w:lang w:val="en-GB"/>
                </w:rPr>
                <m:t xml:space="preserve">l </m:t>
              </m:r>
              <m:d>
                <m:dPr>
                  <m:ctrlPr>
                    <w:rPr>
                      <w:rFonts w:ascii="Cambria Math" w:hAnsi="Cambria Math"/>
                      <w:i/>
                      <w:noProof/>
                      <w:lang w:val="en-GB"/>
                    </w:rPr>
                  </m:ctrlPr>
                </m:dPr>
                <m:e>
                  <m:r>
                    <w:rPr>
                      <w:rFonts w:ascii="Cambria Math" w:hAnsi="Cambria Math"/>
                      <w:noProof/>
                      <w:lang w:val="en-GB"/>
                    </w:rPr>
                    <m:t>B+H</m:t>
                  </m:r>
                </m:e>
              </m:d>
            </m:e>
          </m:rad>
          <m:r>
            <w:rPr>
              <w:rFonts w:ascii="Cambria Math" w:hAnsi="Cambria Math"/>
              <w:noProof/>
              <w:lang w:val="en-GB"/>
            </w:rPr>
            <m:t>+25  [mm]</m:t>
          </m:r>
        </m:oMath>
      </m:oMathPara>
    </w:p>
    <w:p w:rsidR="00230288" w:rsidRPr="00C903F8" w:rsidRDefault="00230288" w:rsidP="0089015B">
      <w:pPr>
        <w:pStyle w:val="ESchpar"/>
        <w:spacing w:before="60"/>
        <w:rPr>
          <w:lang w:val="en-US"/>
        </w:rPr>
      </w:pPr>
    </w:p>
    <w:p w:rsidR="00E24808" w:rsidRPr="00C903F8" w:rsidRDefault="00480E5E" w:rsidP="002C0EB8">
      <w:pPr>
        <w:pStyle w:val="ESlet"/>
        <w:rPr>
          <w:lang w:val="en-GB"/>
        </w:rPr>
      </w:pPr>
      <w:r w:rsidRPr="00C903F8">
        <w:rPr>
          <w:lang w:val="en-GB"/>
        </w:rPr>
        <w:t xml:space="preserve">However, the value </w:t>
      </w: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2</m:t>
            </m:r>
          </m:sub>
        </m:sSub>
      </m:oMath>
      <w:r w:rsidRPr="00C903F8">
        <w:rPr>
          <w:noProof/>
          <w:lang w:val="en-GB"/>
        </w:rPr>
        <w:t xml:space="preserve"> </w:t>
      </w:r>
      <w:r w:rsidR="00E24808" w:rsidRPr="00C903F8">
        <w:rPr>
          <w:lang w:val="en-GB"/>
        </w:rPr>
        <w:t xml:space="preserve">need not exceed value </w:t>
      </w: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1</m:t>
            </m:r>
          </m:sub>
        </m:sSub>
      </m:oMath>
      <w:r w:rsidR="00E24808" w:rsidRPr="00C903F8">
        <w:rPr>
          <w:lang w:val="en-GB"/>
        </w:rPr>
        <w:t>.</w:t>
      </w:r>
    </w:p>
    <w:p w:rsidR="00E24808" w:rsidRPr="00C903F8" w:rsidRDefault="00E24808" w:rsidP="002C0EB8">
      <w:pPr>
        <w:pStyle w:val="ESlet"/>
        <w:rPr>
          <w:lang w:val="en-GB"/>
        </w:rPr>
      </w:pPr>
      <w:r w:rsidRPr="00C903F8">
        <w:rPr>
          <w:lang w:val="en-GB"/>
        </w:rPr>
        <w:t xml:space="preserve">For the calculation of </w:t>
      </w:r>
      <m:oMath>
        <m:sSub>
          <m:sSubPr>
            <m:ctrlPr>
              <w:rPr>
                <w:rFonts w:ascii="Cambria Math" w:hAnsi="Cambria Math"/>
                <w:i/>
                <w:noProof/>
                <w:lang w:val="en-GB"/>
              </w:rPr>
            </m:ctrlPr>
          </m:sSubPr>
          <m:e>
            <m:r>
              <w:rPr>
                <w:rFonts w:ascii="Cambria Math" w:hAnsi="Cambria Math"/>
                <w:noProof/>
                <w:lang w:val="en-GB"/>
              </w:rPr>
              <m:t>Q</m:t>
            </m:r>
          </m:e>
          <m:sub>
            <m:r>
              <w:rPr>
                <w:rFonts w:ascii="Cambria Math" w:hAnsi="Cambria Math"/>
                <w:noProof/>
                <w:lang w:val="en-GB"/>
              </w:rPr>
              <m:t>2</m:t>
            </m:r>
          </m:sub>
        </m:sSub>
      </m:oMath>
      <w:r w:rsidRPr="00C903F8">
        <w:rPr>
          <w:lang w:val="en-GB"/>
        </w:rPr>
        <w:t xml:space="preserve"> </w:t>
      </w:r>
      <m:oMath>
        <m:r>
          <w:rPr>
            <w:rFonts w:ascii="Cambria Math" w:hAnsi="Cambria Math"/>
            <w:lang w:val="en-GB"/>
          </w:rPr>
          <m:t>l</m:t>
        </m:r>
      </m:oMath>
      <w:r w:rsidRPr="00C903F8">
        <w:rPr>
          <w:lang w:val="en-GB"/>
        </w:rPr>
        <w:t xml:space="preserve"> shall be taken to be the length of the longest watertight compartment.</w:t>
      </w:r>
    </w:p>
    <w:p w:rsidR="00FA096B" w:rsidRPr="00C903F8" w:rsidRDefault="00FA096B" w:rsidP="000B60B9">
      <w:pPr>
        <w:rPr>
          <w:lang w:val="en-US"/>
        </w:rPr>
      </w:pPr>
    </w:p>
    <w:p w:rsidR="00E24808" w:rsidRPr="00C903F8" w:rsidRDefault="00E24808" w:rsidP="002C0EB8">
      <w:pPr>
        <w:pStyle w:val="ESlet"/>
        <w:rPr>
          <w:lang w:val="en-US"/>
        </w:rPr>
      </w:pPr>
      <w:r w:rsidRPr="00C903F8">
        <w:rPr>
          <w:lang w:val="en-US"/>
        </w:rPr>
        <w:t xml:space="preserve">In these formulae: </w:t>
      </w:r>
    </w:p>
    <w:p w:rsidR="00E24808" w:rsidRPr="00C903F8" w:rsidRDefault="00230288" w:rsidP="002C0EB8">
      <w:pPr>
        <w:pStyle w:val="ESlet"/>
        <w:rPr>
          <w:lang w:val="en-US"/>
        </w:rPr>
      </w:pPr>
      <m:oMath>
        <m:r>
          <w:rPr>
            <w:rFonts w:ascii="Cambria Math" w:hAnsi="Cambria Math"/>
            <w:lang w:val="en-GB"/>
          </w:rPr>
          <m:t>l</m:t>
        </m:r>
      </m:oMath>
      <w:r w:rsidR="002C0EB8" w:rsidRPr="00C903F8">
        <w:rPr>
          <w:lang w:val="en-GB"/>
        </w:rPr>
        <w:tab/>
      </w:r>
      <w:r w:rsidR="00E24808" w:rsidRPr="00C903F8">
        <w:rPr>
          <w:lang w:val="en-US"/>
        </w:rPr>
        <w:t>is the length of the watertight compartment in question, in [m];</w:t>
      </w:r>
    </w:p>
    <w:p w:rsidR="00E24808" w:rsidRPr="00C903F8" w:rsidRDefault="00F12BAF" w:rsidP="002C0EB8">
      <w:pPr>
        <w:pStyle w:val="ESlet"/>
        <w:rPr>
          <w:lang w:val="en-US"/>
        </w:rPr>
      </w:pP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1</m:t>
            </m:r>
          </m:sub>
        </m:sSub>
      </m:oMath>
      <w:r w:rsidR="002C0EB8" w:rsidRPr="00C903F8">
        <w:rPr>
          <w:lang w:val="en-GB"/>
        </w:rPr>
        <w:tab/>
      </w:r>
      <w:r w:rsidR="00E24808" w:rsidRPr="00C903F8">
        <w:rPr>
          <w:lang w:val="en-US"/>
        </w:rPr>
        <w:t>is the calculated internal diameter of the main drainage pipe, in [mm];</w:t>
      </w:r>
    </w:p>
    <w:p w:rsidR="00E24808" w:rsidRPr="00C903F8" w:rsidRDefault="00F12BAF" w:rsidP="002C0EB8">
      <w:pPr>
        <w:pStyle w:val="ESlet"/>
        <w:rPr>
          <w:lang w:val="en-US"/>
        </w:rPr>
      </w:pP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2</m:t>
            </m:r>
          </m:sub>
        </m:sSub>
      </m:oMath>
      <w:r w:rsidR="002C0EB8" w:rsidRPr="00C903F8">
        <w:rPr>
          <w:lang w:val="en-GB"/>
        </w:rPr>
        <w:tab/>
      </w:r>
      <w:r w:rsidR="00E24808" w:rsidRPr="00C903F8">
        <w:rPr>
          <w:lang w:val="en-US"/>
        </w:rPr>
        <w:t>is the calculated internal diameter of the branch pipe, in [mm].</w:t>
      </w:r>
    </w:p>
    <w:p w:rsidR="00FA096B" w:rsidRPr="00C903F8" w:rsidRDefault="00FA096B" w:rsidP="00E24808">
      <w:pPr>
        <w:rPr>
          <w:rFonts w:cs="Arial"/>
          <w:noProof/>
          <w:szCs w:val="20"/>
          <w:lang w:val="en-GB"/>
        </w:rPr>
      </w:pPr>
    </w:p>
    <w:p w:rsidR="0089015B" w:rsidRPr="00C903F8" w:rsidRDefault="0089015B" w:rsidP="00E24808">
      <w:pPr>
        <w:rPr>
          <w:rFonts w:cs="Arial"/>
          <w:noProof/>
          <w:szCs w:val="20"/>
          <w:lang w:val="en-GB"/>
        </w:rPr>
      </w:pPr>
      <w:r w:rsidRPr="00C903F8">
        <w:rPr>
          <w:rFonts w:cs="Arial"/>
          <w:noProof/>
          <w:szCs w:val="20"/>
          <w:lang w:val="en-GB"/>
        </w:rPr>
        <w:br w:type="page"/>
      </w:r>
    </w:p>
    <w:p w:rsidR="00E24808" w:rsidRPr="00C903F8" w:rsidRDefault="00E24808" w:rsidP="0089015B">
      <w:pPr>
        <w:pStyle w:val="ESch"/>
        <w:rPr>
          <w:lang w:val="en-GB"/>
        </w:rPr>
      </w:pPr>
      <w:r w:rsidRPr="00C903F8">
        <w:rPr>
          <w:noProof/>
          <w:lang w:val="en-GB"/>
        </w:rPr>
        <w:lastRenderedPageBreak/>
        <w:t>4.</w:t>
      </w:r>
      <w:r w:rsidRPr="00C903F8">
        <w:rPr>
          <w:noProof/>
          <w:lang w:val="en-GB"/>
        </w:rPr>
        <w:tab/>
        <w:t xml:space="preserve">Where the bilge pumps are connected to a drainage system the drainage pipes shall have an internal diameter of at least </w:t>
      </w: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1</m:t>
            </m:r>
          </m:sub>
        </m:sSub>
      </m:oMath>
      <w:r w:rsidRPr="00C903F8">
        <w:rPr>
          <w:noProof/>
          <w:lang w:val="en-GB"/>
        </w:rPr>
        <w:t xml:space="preserve">, in mm, and the branch pipes an internal diameter of at least </w:t>
      </w: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2</m:t>
            </m:r>
          </m:sub>
        </m:sSub>
      </m:oMath>
      <w:r w:rsidRPr="00C903F8">
        <w:rPr>
          <w:noProof/>
          <w:lang w:val="en-GB"/>
        </w:rPr>
        <w:t>, in mm.</w:t>
      </w:r>
    </w:p>
    <w:p w:rsidR="00FA096B" w:rsidRPr="00C903F8" w:rsidRDefault="00FA096B" w:rsidP="00E24808">
      <w:pPr>
        <w:rPr>
          <w:rFonts w:cs="Arial"/>
          <w:noProof/>
          <w:szCs w:val="20"/>
          <w:lang w:val="en-GB"/>
        </w:rPr>
      </w:pPr>
    </w:p>
    <w:p w:rsidR="00E24808" w:rsidRPr="00C903F8" w:rsidRDefault="00E24808" w:rsidP="0089015B">
      <w:pPr>
        <w:pStyle w:val="ESchpar"/>
        <w:rPr>
          <w:lang w:val="en-GB"/>
        </w:rPr>
      </w:pPr>
      <w:r w:rsidRPr="00C903F8">
        <w:rPr>
          <w:noProof/>
          <w:lang w:val="en-GB"/>
        </w:rPr>
        <w:t xml:space="preserve">Where the vessels length </w:t>
      </w:r>
      <m:oMath>
        <m:r>
          <w:rPr>
            <w:rFonts w:ascii="Cambria Math" w:hAnsi="Cambria Math"/>
            <w:noProof/>
            <w:lang w:val="en-GB"/>
          </w:rPr>
          <m:t>L</m:t>
        </m:r>
      </m:oMath>
      <w:r w:rsidRPr="00C903F8">
        <w:rPr>
          <w:noProof/>
          <w:lang w:val="en-GB"/>
        </w:rPr>
        <w:t xml:space="preserve"> is less than 25 m the values </w:t>
      </w: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1</m:t>
            </m:r>
          </m:sub>
        </m:sSub>
      </m:oMath>
      <w:r w:rsidRPr="00C903F8">
        <w:rPr>
          <w:noProof/>
          <w:lang w:val="en-GB"/>
        </w:rPr>
        <w:t xml:space="preserve"> and </w:t>
      </w: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2</m:t>
            </m:r>
          </m:sub>
        </m:sSub>
      </m:oMath>
      <w:r w:rsidR="00165F82">
        <w:rPr>
          <w:noProof/>
          <w:lang w:val="en-GB"/>
        </w:rPr>
        <w:t xml:space="preserve"> </w:t>
      </w:r>
      <w:r w:rsidRPr="00C903F8">
        <w:rPr>
          <w:noProof/>
          <w:lang w:val="en-GB"/>
        </w:rPr>
        <w:t>may be reduced to 35 mm.</w:t>
      </w:r>
    </w:p>
    <w:p w:rsidR="00FA096B" w:rsidRPr="00C903F8" w:rsidRDefault="00FA096B" w:rsidP="0089015B">
      <w:pPr>
        <w:pStyle w:val="ESch"/>
        <w:rPr>
          <w:noProof/>
          <w:lang w:val="en-GB"/>
        </w:rPr>
      </w:pPr>
    </w:p>
    <w:p w:rsidR="00E24808" w:rsidRPr="00C903F8" w:rsidRDefault="00E24808" w:rsidP="0089015B">
      <w:pPr>
        <w:pStyle w:val="ESch"/>
        <w:rPr>
          <w:lang w:val="en-GB"/>
        </w:rPr>
      </w:pPr>
      <w:r w:rsidRPr="00C903F8">
        <w:rPr>
          <w:noProof/>
          <w:lang w:val="en-GB"/>
        </w:rPr>
        <w:t>5.</w:t>
      </w:r>
      <w:r w:rsidRPr="00C903F8">
        <w:rPr>
          <w:noProof/>
          <w:lang w:val="en-GB"/>
        </w:rPr>
        <w:tab/>
        <w:t>Only self-priming bilge pumps are permitted.</w:t>
      </w:r>
    </w:p>
    <w:p w:rsidR="00FA096B" w:rsidRPr="00C903F8" w:rsidRDefault="00FA096B" w:rsidP="0089015B">
      <w:pPr>
        <w:pStyle w:val="ESch"/>
        <w:rPr>
          <w:noProof/>
          <w:lang w:val="en-GB"/>
        </w:rPr>
      </w:pPr>
    </w:p>
    <w:p w:rsidR="00E24808" w:rsidRPr="00C903F8" w:rsidRDefault="00E24808" w:rsidP="0089015B">
      <w:pPr>
        <w:pStyle w:val="ESch"/>
        <w:rPr>
          <w:lang w:val="en-GB"/>
        </w:rPr>
      </w:pPr>
      <w:r w:rsidRPr="00C903F8">
        <w:rPr>
          <w:noProof/>
          <w:lang w:val="en-GB"/>
        </w:rPr>
        <w:t>6.</w:t>
      </w:r>
      <w:r w:rsidRPr="00C903F8">
        <w:rPr>
          <w:noProof/>
          <w:lang w:val="en-GB"/>
        </w:rPr>
        <w:tab/>
        <w:t>There shall be at least one suction on both the starboard and port sides of all flat-bottomed, drainable compartments that are wider than 5 m.</w:t>
      </w:r>
    </w:p>
    <w:p w:rsidR="00FA096B" w:rsidRPr="00C903F8" w:rsidRDefault="00FA096B" w:rsidP="0089015B">
      <w:pPr>
        <w:pStyle w:val="ESch"/>
        <w:rPr>
          <w:noProof/>
          <w:lang w:val="en-GB"/>
        </w:rPr>
      </w:pPr>
    </w:p>
    <w:p w:rsidR="00E24808" w:rsidRPr="00C903F8" w:rsidRDefault="00E24808" w:rsidP="0089015B">
      <w:pPr>
        <w:pStyle w:val="ESch"/>
        <w:rPr>
          <w:lang w:val="en-GB"/>
        </w:rPr>
      </w:pPr>
      <w:r w:rsidRPr="00C903F8">
        <w:rPr>
          <w:noProof/>
          <w:lang w:val="en-GB"/>
        </w:rPr>
        <w:t>7.</w:t>
      </w:r>
      <w:r w:rsidRPr="00C903F8">
        <w:rPr>
          <w:noProof/>
          <w:lang w:val="en-GB"/>
        </w:rPr>
        <w:tab/>
        <w:t>It may be possible to drain the aft peak via the main engine room by means of an easily accessible, automatically closable fitting.</w:t>
      </w:r>
    </w:p>
    <w:p w:rsidR="00FA096B" w:rsidRPr="00C903F8" w:rsidRDefault="00FA096B" w:rsidP="0089015B">
      <w:pPr>
        <w:pStyle w:val="ESch"/>
        <w:rPr>
          <w:noProof/>
          <w:lang w:val="en-GB"/>
        </w:rPr>
      </w:pPr>
    </w:p>
    <w:p w:rsidR="00E24808" w:rsidRPr="00C903F8" w:rsidRDefault="00E24808" w:rsidP="0089015B">
      <w:pPr>
        <w:pStyle w:val="ESch"/>
        <w:rPr>
          <w:lang w:val="en-GB"/>
        </w:rPr>
      </w:pPr>
      <w:r w:rsidRPr="00C903F8">
        <w:rPr>
          <w:noProof/>
          <w:lang w:val="en-GB"/>
        </w:rPr>
        <w:t>8.</w:t>
      </w:r>
      <w:r w:rsidRPr="00C903F8">
        <w:rPr>
          <w:noProof/>
          <w:lang w:val="en-GB"/>
        </w:rPr>
        <w:tab/>
        <w:t>Branch pipes of single compartments shall be connected to the main drainage pipe by means of a lockable non-return valve.</w:t>
      </w:r>
    </w:p>
    <w:p w:rsidR="00FA096B" w:rsidRPr="00C903F8" w:rsidRDefault="00FA096B" w:rsidP="0089015B">
      <w:pPr>
        <w:pStyle w:val="ESch"/>
        <w:rPr>
          <w:noProof/>
          <w:lang w:val="en-GB"/>
        </w:rPr>
      </w:pPr>
    </w:p>
    <w:p w:rsidR="00E24808" w:rsidRPr="00C903F8" w:rsidRDefault="00E24808" w:rsidP="0089015B">
      <w:pPr>
        <w:pStyle w:val="ESchpar"/>
        <w:rPr>
          <w:lang w:val="en-GB"/>
        </w:rPr>
      </w:pPr>
      <w:r w:rsidRPr="00C903F8">
        <w:rPr>
          <w:noProof/>
          <w:lang w:val="en-GB"/>
        </w:rPr>
        <w:t>Compartments or other spaces that are capable of carrying ballast need to be connected to the drainage system only by means of a simple closing device. That requirement shall not apply to holds that are capable of carrying ballast. Such holds shall be filled with ballast water by means of ballast piping that is permanently installed and independent of the drainage pipes, or by means of branch pipes that can be connected to the main drainage pipe by flexible pipes or flexible adaptors. Water intake valves located in the bottom of the hold shall not be permitted for this purpose.</w:t>
      </w:r>
    </w:p>
    <w:p w:rsidR="00FA096B" w:rsidRPr="00C903F8" w:rsidRDefault="00FA096B" w:rsidP="0089015B">
      <w:pPr>
        <w:pStyle w:val="ESch"/>
        <w:rPr>
          <w:noProof/>
          <w:lang w:val="en-GB"/>
        </w:rPr>
      </w:pPr>
    </w:p>
    <w:p w:rsidR="00E24808" w:rsidRPr="00C903F8" w:rsidRDefault="00E24808" w:rsidP="0089015B">
      <w:pPr>
        <w:pStyle w:val="ESch"/>
        <w:rPr>
          <w:lang w:val="en-GB"/>
        </w:rPr>
      </w:pPr>
      <w:r w:rsidRPr="00C903F8">
        <w:rPr>
          <w:noProof/>
          <w:lang w:val="en-GB"/>
        </w:rPr>
        <w:t>9.</w:t>
      </w:r>
      <w:r w:rsidRPr="00C903F8">
        <w:rPr>
          <w:noProof/>
          <w:lang w:val="en-GB"/>
        </w:rPr>
        <w:tab/>
        <w:t>Hold bilges shall be fitted with gauging devices.</w:t>
      </w:r>
    </w:p>
    <w:p w:rsidR="00FA096B" w:rsidRPr="00C903F8" w:rsidRDefault="00FA096B" w:rsidP="0089015B">
      <w:pPr>
        <w:pStyle w:val="ESch"/>
        <w:rPr>
          <w:noProof/>
          <w:lang w:val="en-GB"/>
        </w:rPr>
      </w:pPr>
    </w:p>
    <w:p w:rsidR="00E24808" w:rsidRPr="00C903F8" w:rsidRDefault="00E24808" w:rsidP="0089015B">
      <w:pPr>
        <w:pStyle w:val="ESch"/>
        <w:rPr>
          <w:lang w:val="en-GB"/>
        </w:rPr>
      </w:pPr>
      <w:r w:rsidRPr="00C903F8">
        <w:rPr>
          <w:noProof/>
          <w:lang w:val="en-GB"/>
        </w:rPr>
        <w:t>10</w:t>
      </w:r>
      <w:r w:rsidR="007E5F4E" w:rsidRPr="00C903F8">
        <w:rPr>
          <w:noProof/>
          <w:lang w:val="en-GB"/>
        </w:rPr>
        <w:t>.</w:t>
      </w:r>
      <w:r w:rsidRPr="00C903F8">
        <w:rPr>
          <w:noProof/>
          <w:lang w:val="en-GB"/>
        </w:rPr>
        <w:tab/>
        <w:t>Where a drainage system incorpor</w:t>
      </w:r>
      <w:r w:rsidR="00480E5E" w:rsidRPr="00C903F8">
        <w:rPr>
          <w:noProof/>
          <w:lang w:val="en-GB"/>
        </w:rPr>
        <w:t>ates permanently installed pipe</w:t>
      </w:r>
      <w:r w:rsidRPr="00C903F8">
        <w:rPr>
          <w:noProof/>
          <w:lang w:val="en-GB"/>
        </w:rPr>
        <w:t xml:space="preserve">work the bilge-bottom drainage pipes intended to extract oily water shall be equipped with closures that have been sealed in position by an inspection body. The number and position of those closures shall be entered on the </w:t>
      </w:r>
      <w:r w:rsidR="00875A5A" w:rsidRPr="00C903F8">
        <w:rPr>
          <w:noProof/>
          <w:lang w:val="en-GB"/>
        </w:rPr>
        <w:t>i</w:t>
      </w:r>
      <w:r w:rsidRPr="00C903F8">
        <w:rPr>
          <w:noProof/>
          <w:lang w:val="en-GB"/>
        </w:rPr>
        <w:t>nland navigation vessel certificate.</w:t>
      </w:r>
    </w:p>
    <w:p w:rsidR="0089015B" w:rsidRPr="00C903F8" w:rsidRDefault="0089015B" w:rsidP="0089015B">
      <w:pPr>
        <w:pStyle w:val="ESch"/>
        <w:rPr>
          <w:noProof/>
          <w:lang w:val="en-GB"/>
        </w:rPr>
      </w:pPr>
    </w:p>
    <w:p w:rsidR="00E24808" w:rsidRPr="00C903F8" w:rsidRDefault="00E24808" w:rsidP="0089015B">
      <w:pPr>
        <w:pStyle w:val="ESch"/>
        <w:rPr>
          <w:lang w:val="en-GB"/>
        </w:rPr>
      </w:pPr>
      <w:r w:rsidRPr="00C903F8">
        <w:rPr>
          <w:noProof/>
          <w:lang w:val="en-GB"/>
        </w:rPr>
        <w:t>11.</w:t>
      </w:r>
      <w:r w:rsidRPr="00C903F8">
        <w:rPr>
          <w:noProof/>
          <w:lang w:val="en-GB"/>
        </w:rPr>
        <w:tab/>
        <w:t xml:space="preserve">Locking the closures in position shall be regarded as equivalent to sealing in accordance with </w:t>
      </w:r>
      <w:r w:rsidR="007828F7" w:rsidRPr="00C903F8">
        <w:rPr>
          <w:noProof/>
          <w:lang w:val="en-GB"/>
        </w:rPr>
        <w:t>(</w:t>
      </w:r>
      <w:r w:rsidRPr="00C903F8">
        <w:rPr>
          <w:noProof/>
          <w:lang w:val="en-GB"/>
        </w:rPr>
        <w:t>10</w:t>
      </w:r>
      <w:r w:rsidR="007828F7" w:rsidRPr="00C903F8">
        <w:rPr>
          <w:noProof/>
          <w:lang w:val="en-GB"/>
        </w:rPr>
        <w:t>)</w:t>
      </w:r>
      <w:r w:rsidRPr="00C903F8">
        <w:rPr>
          <w:noProof/>
          <w:lang w:val="en-GB"/>
        </w:rPr>
        <w:t>. The key or keys for the locking of the closures shall be indicated accordingly and kept in a marked and easily accessible location in the engine room.</w:t>
      </w:r>
    </w:p>
    <w:p w:rsidR="00E24808" w:rsidRPr="00C903F8" w:rsidRDefault="00E24808" w:rsidP="00E24808">
      <w:pPr>
        <w:rPr>
          <w:rFonts w:cs="Arial"/>
          <w:szCs w:val="20"/>
          <w:lang w:val="en-US"/>
        </w:rPr>
      </w:pPr>
    </w:p>
    <w:p w:rsidR="00FA096B" w:rsidRPr="00C903F8" w:rsidRDefault="00FA096B" w:rsidP="00E24808">
      <w:pPr>
        <w:rPr>
          <w:rFonts w:cs="Arial"/>
          <w:szCs w:val="20"/>
          <w:lang w:val="en-US"/>
        </w:rPr>
      </w:pPr>
    </w:p>
    <w:p w:rsidR="00E24808" w:rsidRPr="00C903F8" w:rsidRDefault="00E24808" w:rsidP="00FA096B">
      <w:pPr>
        <w:pStyle w:val="ES-Titre3"/>
        <w:rPr>
          <w:lang w:val="en-US"/>
        </w:rPr>
      </w:pPr>
      <w:bookmarkStart w:id="70" w:name="_Toc491854064"/>
      <w:r w:rsidRPr="00C903F8">
        <w:rPr>
          <w:noProof/>
          <w:lang w:val="en-GB"/>
        </w:rPr>
        <w:t>Article 8.09</w:t>
      </w:r>
      <w:r w:rsidRPr="00C903F8">
        <w:rPr>
          <w:noProof/>
          <w:lang w:val="en-GB"/>
        </w:rPr>
        <w:br/>
      </w:r>
      <w:r w:rsidRPr="00C903F8">
        <w:rPr>
          <w:i/>
          <w:noProof/>
          <w:lang w:val="en-GB"/>
        </w:rPr>
        <w:t>Oily water and used oil stores</w:t>
      </w:r>
      <w:bookmarkEnd w:id="70"/>
    </w:p>
    <w:p w:rsidR="00FA096B" w:rsidRPr="00C903F8" w:rsidRDefault="00FA096B" w:rsidP="00E24808">
      <w:pPr>
        <w:rPr>
          <w:rFonts w:cs="Arial"/>
          <w:noProof/>
          <w:szCs w:val="20"/>
          <w:lang w:val="en-GB"/>
        </w:rPr>
      </w:pPr>
    </w:p>
    <w:p w:rsidR="00E24808" w:rsidRPr="00C903F8" w:rsidRDefault="00E24808" w:rsidP="0089015B">
      <w:pPr>
        <w:pStyle w:val="ESch"/>
        <w:rPr>
          <w:lang w:val="en-GB"/>
        </w:rPr>
      </w:pPr>
      <w:r w:rsidRPr="00C903F8">
        <w:rPr>
          <w:noProof/>
          <w:lang w:val="en-GB"/>
        </w:rPr>
        <w:t>1</w:t>
      </w:r>
      <w:r w:rsidR="00FA096B" w:rsidRPr="00C903F8">
        <w:rPr>
          <w:noProof/>
          <w:lang w:val="en-GB"/>
        </w:rPr>
        <w:t>.</w:t>
      </w:r>
      <w:r w:rsidRPr="00C903F8">
        <w:rPr>
          <w:noProof/>
          <w:lang w:val="en-GB"/>
        </w:rPr>
        <w:tab/>
      </w:r>
      <w:r w:rsidR="008418DC" w:rsidRPr="00AD42BE">
        <w:rPr>
          <w:noProof/>
          <w:lang w:val="en-GB"/>
        </w:rPr>
        <w:t xml:space="preserve">It </w:t>
      </w:r>
      <w:r w:rsidR="008418DC" w:rsidRPr="001F1AC2">
        <w:rPr>
          <w:noProof/>
          <w:lang w:val="en-GB"/>
        </w:rPr>
        <w:t>shall be possible to store, on board, oily water accumulated during operation. The engine room b</w:t>
      </w:r>
      <w:r w:rsidR="008418DC" w:rsidRPr="00AD42BE">
        <w:rPr>
          <w:noProof/>
          <w:lang w:val="en-GB"/>
        </w:rPr>
        <w:t xml:space="preserve">ilge is considered </w:t>
      </w:r>
      <w:r w:rsidR="008418DC">
        <w:rPr>
          <w:noProof/>
          <w:lang w:val="en-GB"/>
        </w:rPr>
        <w:t>to be a store for this purpose.</w:t>
      </w:r>
    </w:p>
    <w:p w:rsidR="00FA096B" w:rsidRPr="00C903F8" w:rsidRDefault="00FA096B" w:rsidP="0089015B">
      <w:pPr>
        <w:pStyle w:val="ESch"/>
        <w:rPr>
          <w:noProof/>
          <w:lang w:val="en-GB"/>
        </w:rPr>
      </w:pPr>
    </w:p>
    <w:p w:rsidR="00E24808" w:rsidRPr="00C903F8" w:rsidRDefault="00E24808" w:rsidP="0089015B">
      <w:pPr>
        <w:pStyle w:val="ESch"/>
        <w:rPr>
          <w:lang w:val="en-GB"/>
        </w:rPr>
      </w:pPr>
      <w:r w:rsidRPr="00C903F8">
        <w:rPr>
          <w:noProof/>
          <w:lang w:val="en-GB"/>
        </w:rPr>
        <w:t>2.</w:t>
      </w:r>
      <w:r w:rsidRPr="00C903F8">
        <w:rPr>
          <w:noProof/>
          <w:lang w:val="en-GB"/>
        </w:rPr>
        <w:tab/>
        <w:t>In order to store used oils there shall, in the engine room, be one or several specific receptacles whose capacity corresponds to at least 1,5 times the quantity of the used oils from the sumps of all of the internal combustion engines and transmissions installed, together with the hydraulic fluids from the hydraulic-fluid tanks.</w:t>
      </w:r>
    </w:p>
    <w:p w:rsidR="00FA096B" w:rsidRPr="00C903F8" w:rsidRDefault="00FA096B" w:rsidP="0089015B">
      <w:pPr>
        <w:pStyle w:val="ESch"/>
        <w:rPr>
          <w:noProof/>
          <w:lang w:val="en-GB"/>
        </w:rPr>
      </w:pPr>
    </w:p>
    <w:p w:rsidR="00E24808" w:rsidRPr="00C903F8" w:rsidRDefault="00E24808" w:rsidP="0089015B">
      <w:pPr>
        <w:pStyle w:val="ESchpar"/>
        <w:rPr>
          <w:lang w:val="en-GB"/>
        </w:rPr>
      </w:pPr>
      <w:r w:rsidRPr="00C903F8">
        <w:rPr>
          <w:noProof/>
          <w:lang w:val="en-GB"/>
        </w:rPr>
        <w:t xml:space="preserve">The connections used in order to empty the receptacles referred to above shall comply with European </w:t>
      </w:r>
      <w:r w:rsidR="00CB6B47" w:rsidRPr="00C903F8">
        <w:rPr>
          <w:noProof/>
          <w:lang w:val="en-GB"/>
        </w:rPr>
        <w:t>S</w:t>
      </w:r>
      <w:r w:rsidRPr="00C903F8">
        <w:rPr>
          <w:noProof/>
          <w:lang w:val="en-GB"/>
        </w:rPr>
        <w:t>tandard EN 1305</w:t>
      </w:r>
      <w:r w:rsidR="005625CE" w:rsidRPr="00C903F8">
        <w:rPr>
          <w:noProof/>
          <w:lang w:val="en-GB"/>
        </w:rPr>
        <w:t> </w:t>
      </w:r>
      <w:r w:rsidRPr="00C903F8">
        <w:rPr>
          <w:noProof/>
          <w:lang w:val="en-GB"/>
        </w:rPr>
        <w:t>:</w:t>
      </w:r>
      <w:r w:rsidR="005625CE" w:rsidRPr="00C903F8">
        <w:rPr>
          <w:noProof/>
          <w:lang w:val="en-GB"/>
        </w:rPr>
        <w:t> </w:t>
      </w:r>
      <w:r w:rsidRPr="00C903F8">
        <w:rPr>
          <w:noProof/>
          <w:lang w:val="en-GB"/>
        </w:rPr>
        <w:t>1996.</w:t>
      </w:r>
      <w:r w:rsidRPr="00C903F8">
        <w:rPr>
          <w:lang w:val="en-GB"/>
        </w:rPr>
        <w:t xml:space="preserve"> </w:t>
      </w:r>
    </w:p>
    <w:p w:rsidR="0063454C" w:rsidRDefault="0063454C" w:rsidP="0089015B">
      <w:pPr>
        <w:pStyle w:val="ESch"/>
        <w:rPr>
          <w:noProof/>
          <w:lang w:val="en-US"/>
        </w:rPr>
      </w:pPr>
    </w:p>
    <w:p w:rsidR="00E24808" w:rsidRPr="00C903F8" w:rsidRDefault="00E24808" w:rsidP="0089015B">
      <w:pPr>
        <w:pStyle w:val="ESch"/>
        <w:rPr>
          <w:lang w:val="en-GB"/>
        </w:rPr>
      </w:pPr>
      <w:r w:rsidRPr="00C903F8">
        <w:rPr>
          <w:noProof/>
          <w:lang w:val="en-US"/>
        </w:rPr>
        <w:t>3.</w:t>
      </w:r>
      <w:r w:rsidRPr="00C903F8">
        <w:rPr>
          <w:noProof/>
          <w:lang w:val="en-US"/>
        </w:rPr>
        <w:tab/>
      </w:r>
      <w:r w:rsidRPr="00C903F8">
        <w:rPr>
          <w:noProof/>
          <w:lang w:val="en-GB"/>
        </w:rPr>
        <w:t xml:space="preserve">Where vessels are only used on short-haul operation the inspection body may grant exceptions from the requirements of </w:t>
      </w:r>
      <w:r w:rsidR="00AE7B53" w:rsidRPr="00C903F8">
        <w:rPr>
          <w:noProof/>
          <w:lang w:val="en-GB"/>
        </w:rPr>
        <w:t>(</w:t>
      </w:r>
      <w:r w:rsidRPr="00C903F8">
        <w:rPr>
          <w:noProof/>
          <w:lang w:val="en-GB"/>
        </w:rPr>
        <w:t>2</w:t>
      </w:r>
      <w:r w:rsidR="00AE7B53" w:rsidRPr="00C903F8">
        <w:rPr>
          <w:noProof/>
          <w:lang w:val="en-GB"/>
        </w:rPr>
        <w:t>)</w:t>
      </w:r>
      <w:r w:rsidRPr="00C903F8">
        <w:rPr>
          <w:noProof/>
          <w:lang w:val="en-GB"/>
        </w:rPr>
        <w:t>.</w:t>
      </w:r>
    </w:p>
    <w:p w:rsidR="00E24808" w:rsidRPr="00C903F8" w:rsidRDefault="00E24808" w:rsidP="009622D2">
      <w:pPr>
        <w:pStyle w:val="ESch"/>
        <w:rPr>
          <w:lang w:val="en-GB"/>
        </w:rPr>
      </w:pPr>
    </w:p>
    <w:p w:rsidR="00FA096B" w:rsidRPr="00C903F8" w:rsidRDefault="00FA096B" w:rsidP="009622D2">
      <w:pPr>
        <w:pStyle w:val="ESch"/>
        <w:rPr>
          <w:lang w:val="en-US"/>
        </w:rPr>
      </w:pPr>
    </w:p>
    <w:p w:rsidR="0063454C" w:rsidRDefault="0063454C">
      <w:pPr>
        <w:autoSpaceDE/>
        <w:autoSpaceDN/>
        <w:ind w:left="0" w:firstLine="0"/>
        <w:jc w:val="left"/>
        <w:rPr>
          <w:rFonts w:eastAsia="Calibri"/>
          <w:b/>
          <w:noProof/>
          <w:sz w:val="22"/>
          <w:szCs w:val="22"/>
          <w:lang w:val="en-US" w:eastAsia="en-US"/>
        </w:rPr>
      </w:pPr>
      <w:r>
        <w:rPr>
          <w:noProof/>
          <w:lang w:val="en-US"/>
        </w:rPr>
        <w:br w:type="page"/>
      </w:r>
    </w:p>
    <w:p w:rsidR="00E24808" w:rsidRPr="00C903F8" w:rsidRDefault="00E24808" w:rsidP="00FA096B">
      <w:pPr>
        <w:pStyle w:val="ES-Titre3"/>
        <w:rPr>
          <w:lang w:val="en-US"/>
        </w:rPr>
      </w:pPr>
      <w:bookmarkStart w:id="71" w:name="_Toc491854065"/>
      <w:r w:rsidRPr="00C903F8">
        <w:rPr>
          <w:noProof/>
          <w:lang w:val="en-US"/>
        </w:rPr>
        <w:lastRenderedPageBreak/>
        <w:t>Article 8.10</w:t>
      </w:r>
      <w:r w:rsidRPr="00C903F8">
        <w:rPr>
          <w:noProof/>
          <w:lang w:val="en-US"/>
        </w:rPr>
        <w:br/>
      </w:r>
      <w:r w:rsidRPr="00C903F8">
        <w:rPr>
          <w:bCs/>
          <w:i/>
          <w:noProof/>
          <w:lang w:val="en-US"/>
        </w:rPr>
        <w:t>Noise emitted by vessels</w:t>
      </w:r>
      <w:bookmarkEnd w:id="71"/>
    </w:p>
    <w:p w:rsidR="00FA096B" w:rsidRPr="00C903F8" w:rsidRDefault="00FA096B" w:rsidP="00E24808">
      <w:pPr>
        <w:rPr>
          <w:rFonts w:cs="Arial"/>
          <w:noProof/>
          <w:szCs w:val="20"/>
          <w:lang w:val="en-GB"/>
        </w:rPr>
      </w:pPr>
    </w:p>
    <w:p w:rsidR="00E24808" w:rsidRPr="00C903F8" w:rsidRDefault="00E24808" w:rsidP="0089015B">
      <w:pPr>
        <w:pStyle w:val="ESch"/>
        <w:rPr>
          <w:lang w:val="en-GB"/>
        </w:rPr>
      </w:pPr>
      <w:r w:rsidRPr="00C903F8">
        <w:rPr>
          <w:noProof/>
          <w:lang w:val="en-GB"/>
        </w:rPr>
        <w:t>1.</w:t>
      </w:r>
      <w:r w:rsidRPr="00C903F8">
        <w:rPr>
          <w:noProof/>
          <w:lang w:val="en-GB"/>
        </w:rPr>
        <w:tab/>
        <w:t>The noise produced by a vessel under way, and in particular the engine air intake and exhaust noises, shall be damped by using appropriate means.</w:t>
      </w:r>
    </w:p>
    <w:p w:rsidR="00FA096B" w:rsidRPr="00C903F8" w:rsidRDefault="00FA096B" w:rsidP="0089015B">
      <w:pPr>
        <w:pStyle w:val="ESch"/>
        <w:rPr>
          <w:noProof/>
          <w:lang w:val="en-GB"/>
        </w:rPr>
      </w:pPr>
    </w:p>
    <w:p w:rsidR="00E24808" w:rsidRPr="00C903F8" w:rsidRDefault="00E24808" w:rsidP="0089015B">
      <w:pPr>
        <w:pStyle w:val="ESch"/>
        <w:rPr>
          <w:lang w:val="en-GB"/>
        </w:rPr>
      </w:pPr>
      <w:r w:rsidRPr="00C903F8">
        <w:rPr>
          <w:noProof/>
          <w:lang w:val="en-GB"/>
        </w:rPr>
        <w:t>2.</w:t>
      </w:r>
      <w:r w:rsidRPr="00C903F8">
        <w:rPr>
          <w:noProof/>
          <w:lang w:val="en-GB"/>
        </w:rPr>
        <w:tab/>
        <w:t>The noise generated by a vessel under way shall not exceed 75 dB(A) at a lateral distance of 25 m from the ship's side.</w:t>
      </w:r>
    </w:p>
    <w:p w:rsidR="00FA096B" w:rsidRPr="00C903F8" w:rsidRDefault="00FA096B" w:rsidP="0089015B">
      <w:pPr>
        <w:pStyle w:val="ESch"/>
        <w:rPr>
          <w:noProof/>
          <w:lang w:val="en-GB"/>
        </w:rPr>
      </w:pPr>
    </w:p>
    <w:p w:rsidR="00E24808" w:rsidRPr="00C903F8" w:rsidRDefault="00E24808" w:rsidP="0089015B">
      <w:pPr>
        <w:pStyle w:val="ESch"/>
        <w:rPr>
          <w:lang w:val="en-GB"/>
        </w:rPr>
      </w:pPr>
      <w:r w:rsidRPr="00C903F8">
        <w:rPr>
          <w:noProof/>
          <w:lang w:val="en-GB"/>
        </w:rPr>
        <w:t>3.</w:t>
      </w:r>
      <w:r w:rsidRPr="00C903F8">
        <w:rPr>
          <w:noProof/>
          <w:lang w:val="en-GB"/>
        </w:rPr>
        <w:tab/>
        <w:t>Apart from transhipment operations the noise generated by a stationary vessel shall not exceed 65 dB(A) at a lateral distance of 25 m from the ship's side.</w:t>
      </w:r>
    </w:p>
    <w:p w:rsidR="0033095A" w:rsidRPr="00C903F8" w:rsidRDefault="0033095A" w:rsidP="00763ADA">
      <w:pPr>
        <w:rPr>
          <w:noProof/>
          <w:lang w:val="en-GB"/>
        </w:rPr>
      </w:pPr>
    </w:p>
    <w:p w:rsidR="00917628" w:rsidRPr="00C903F8" w:rsidRDefault="00917628" w:rsidP="00763ADA">
      <w:pPr>
        <w:rPr>
          <w:noProof/>
          <w:lang w:val="en-GB"/>
        </w:rPr>
      </w:pPr>
    </w:p>
    <w:p w:rsidR="00917628" w:rsidRPr="00C903F8" w:rsidRDefault="00917628" w:rsidP="00763ADA">
      <w:pPr>
        <w:rPr>
          <w:noProof/>
          <w:lang w:val="en-GB"/>
        </w:rPr>
      </w:pPr>
    </w:p>
    <w:p w:rsidR="00917628" w:rsidRPr="00C903F8" w:rsidRDefault="00917628" w:rsidP="00763ADA">
      <w:pPr>
        <w:rPr>
          <w:noProof/>
          <w:lang w:val="en-GB"/>
        </w:rPr>
      </w:pPr>
    </w:p>
    <w:p w:rsidR="00917628" w:rsidRPr="00C903F8" w:rsidRDefault="00917628" w:rsidP="00763ADA">
      <w:pPr>
        <w:rPr>
          <w:noProof/>
          <w:lang w:val="en-GB"/>
        </w:rPr>
      </w:pPr>
    </w:p>
    <w:p w:rsidR="00917628" w:rsidRPr="00C903F8" w:rsidRDefault="00917628" w:rsidP="00763ADA">
      <w:pPr>
        <w:rPr>
          <w:noProof/>
          <w:lang w:val="en-GB"/>
        </w:rPr>
      </w:pPr>
    </w:p>
    <w:p w:rsidR="0033095A" w:rsidRPr="00C903F8" w:rsidRDefault="002D2D76" w:rsidP="0033095A">
      <w:pPr>
        <w:pStyle w:val="ES-Titre2"/>
      </w:pPr>
      <w:bookmarkStart w:id="72" w:name="_Toc491854066"/>
      <w:r w:rsidRPr="00C903F8">
        <w:lastRenderedPageBreak/>
        <w:t>Chapter 9</w:t>
      </w:r>
      <w:r w:rsidR="0033095A" w:rsidRPr="00C903F8">
        <w:br/>
      </w:r>
      <w:r w:rsidRPr="00C903F8">
        <w:t xml:space="preserve">Emission of gaseous and particulate pollutants from </w:t>
      </w:r>
      <w:r w:rsidR="00D52D91">
        <w:t>internal combustion</w:t>
      </w:r>
      <w:r w:rsidRPr="00C903F8">
        <w:t xml:space="preserve"> engines</w:t>
      </w:r>
      <w:bookmarkEnd w:id="72"/>
      <w:r w:rsidR="0033095A" w:rsidRPr="00C903F8">
        <w:t xml:space="preserve"> </w:t>
      </w:r>
    </w:p>
    <w:p w:rsidR="003915AC" w:rsidRPr="00C903F8" w:rsidRDefault="003915AC" w:rsidP="00917628">
      <w:pPr>
        <w:pStyle w:val="ESch"/>
        <w:rPr>
          <w:lang w:val="en-US" w:eastAsia="nl-NL"/>
        </w:rPr>
      </w:pPr>
    </w:p>
    <w:p w:rsidR="004B6F54" w:rsidRPr="00C903F8" w:rsidRDefault="004B6F54" w:rsidP="004B6F54">
      <w:pPr>
        <w:pStyle w:val="ES-Titre3"/>
        <w:rPr>
          <w:lang w:val="en-US"/>
        </w:rPr>
      </w:pPr>
      <w:bookmarkStart w:id="73" w:name="_Toc491854067"/>
      <w:r w:rsidRPr="00C903F8">
        <w:rPr>
          <w:noProof/>
          <w:lang w:val="en-US"/>
        </w:rPr>
        <w:t>Article 9.00</w:t>
      </w:r>
      <w:r w:rsidRPr="00C903F8">
        <w:rPr>
          <w:noProof/>
          <w:lang w:val="en-US"/>
        </w:rPr>
        <w:br/>
      </w:r>
      <w:r w:rsidRPr="00C903F8">
        <w:rPr>
          <w:i/>
          <w:lang w:val="en-US"/>
        </w:rPr>
        <w:t>Definitions</w:t>
      </w:r>
      <w:bookmarkEnd w:id="73"/>
    </w:p>
    <w:p w:rsidR="002A434E" w:rsidRPr="00C903F8" w:rsidRDefault="002A434E" w:rsidP="004B6F54">
      <w:pPr>
        <w:rPr>
          <w:rFonts w:cs="Arial"/>
          <w:noProof/>
          <w:szCs w:val="20"/>
          <w:lang w:val="en-US"/>
        </w:rPr>
      </w:pPr>
    </w:p>
    <w:p w:rsidR="00DE2419" w:rsidRPr="004B606C" w:rsidRDefault="00DE2419" w:rsidP="00DE2419">
      <w:pPr>
        <w:pStyle w:val="ESgauche"/>
        <w:rPr>
          <w:lang w:val="en-US"/>
        </w:rPr>
      </w:pPr>
      <w:r w:rsidRPr="004B606C">
        <w:rPr>
          <w:lang w:val="en-US"/>
        </w:rPr>
        <w:t>For the purposes of this Chapter, the following definitions shall apply</w:t>
      </w:r>
    </w:p>
    <w:p w:rsidR="00DE2419" w:rsidRPr="004B606C" w:rsidRDefault="00DE2419" w:rsidP="00DE2419">
      <w:pPr>
        <w:pStyle w:val="ESch"/>
        <w:rPr>
          <w:noProof/>
          <w:lang w:val="en-US"/>
        </w:rPr>
      </w:pPr>
    </w:p>
    <w:p w:rsidR="00DE2419" w:rsidRPr="004B606C" w:rsidRDefault="00DE2419" w:rsidP="00DE2419">
      <w:pPr>
        <w:pStyle w:val="ESch"/>
        <w:rPr>
          <w:lang w:val="en-US"/>
        </w:rPr>
      </w:pPr>
      <w:r w:rsidRPr="004B606C">
        <w:rPr>
          <w:lang w:val="en-US"/>
        </w:rPr>
        <w:t>1.</w:t>
      </w:r>
      <w:r w:rsidRPr="004B606C">
        <w:rPr>
          <w:lang w:val="en-US"/>
        </w:rPr>
        <w:tab/>
        <w:t>‘internal combustion engine’: an energy converter other than a gas turbine designed to transform chemical energy (input) into mechanical energy (output) with an internal combustion process; it includes, where they have been installed, the emission control system and the communication interface (hardware and messages) between the engine’s electronic control unit(s) and any other control unit;</w:t>
      </w:r>
    </w:p>
    <w:p w:rsidR="00DE2419" w:rsidRPr="004B606C" w:rsidRDefault="00DE2419" w:rsidP="00DE2419">
      <w:pPr>
        <w:pStyle w:val="ESch"/>
        <w:rPr>
          <w:lang w:val="en-US"/>
        </w:rPr>
      </w:pPr>
    </w:p>
    <w:p w:rsidR="00DE2419" w:rsidRPr="004B606C" w:rsidRDefault="00DE2419" w:rsidP="00DE2419">
      <w:pPr>
        <w:pStyle w:val="ESch"/>
        <w:rPr>
          <w:lang w:val="en-US"/>
        </w:rPr>
      </w:pPr>
      <w:r w:rsidRPr="004B606C">
        <w:rPr>
          <w:lang w:val="en-US"/>
        </w:rPr>
        <w:t>2.</w:t>
      </w:r>
      <w:r w:rsidRPr="004B606C">
        <w:rPr>
          <w:lang w:val="en-US"/>
        </w:rPr>
        <w:tab/>
        <w:t>‘type-approval’: the procedure whereby the competent authority certifies that an engine type or an engine family satisfies the relevant administrative provisions and technical requirements with regard to the levels of gaseous and particulate pollutants emitted by the engine(s);</w:t>
      </w:r>
    </w:p>
    <w:p w:rsidR="00DE2419" w:rsidRPr="004B606C" w:rsidRDefault="00DE2419" w:rsidP="00DE2419">
      <w:pPr>
        <w:pStyle w:val="ESch"/>
        <w:rPr>
          <w:lang w:val="en-US"/>
        </w:rPr>
      </w:pPr>
    </w:p>
    <w:p w:rsidR="00DE2419" w:rsidRPr="004B606C" w:rsidRDefault="00DE2419" w:rsidP="00DE2419">
      <w:pPr>
        <w:pStyle w:val="ESch"/>
        <w:rPr>
          <w:lang w:val="en-US"/>
        </w:rPr>
      </w:pPr>
      <w:r w:rsidRPr="004B606C">
        <w:rPr>
          <w:lang w:val="en-US"/>
        </w:rPr>
        <w:t>3.</w:t>
      </w:r>
      <w:r w:rsidRPr="004B606C">
        <w:rPr>
          <w:lang w:val="en-US"/>
        </w:rPr>
        <w:tab/>
        <w:t>‘engine family’: an engine manufacturer's grouping of engines which, through their design, have similar exhaust emission characteristics, and respect the applicable emission limit values;</w:t>
      </w:r>
    </w:p>
    <w:p w:rsidR="00DE2419" w:rsidRPr="004B606C" w:rsidRDefault="00DE2419" w:rsidP="00DE2419">
      <w:pPr>
        <w:pStyle w:val="ESch"/>
        <w:rPr>
          <w:lang w:val="en-US"/>
        </w:rPr>
      </w:pPr>
    </w:p>
    <w:p w:rsidR="00DE2419" w:rsidRPr="004B606C" w:rsidRDefault="00DE2419" w:rsidP="00DE2419">
      <w:pPr>
        <w:pStyle w:val="ESch"/>
        <w:rPr>
          <w:sz w:val="18"/>
          <w:lang w:val="en-US"/>
        </w:rPr>
      </w:pPr>
      <w:r w:rsidRPr="004B606C">
        <w:rPr>
          <w:lang w:val="en-US"/>
        </w:rPr>
        <w:t>4.</w:t>
      </w:r>
      <w:r w:rsidRPr="004B606C">
        <w:rPr>
          <w:lang w:val="en-US"/>
        </w:rPr>
        <w:tab/>
        <w:t xml:space="preserve">‘reference power‘: the net power that </w:t>
      </w:r>
      <w:bookmarkStart w:id="74" w:name="_DV_C386"/>
      <w:r w:rsidRPr="004B606C">
        <w:rPr>
          <w:lang w:val="en-US"/>
        </w:rPr>
        <w:t>is</w:t>
      </w:r>
      <w:bookmarkStart w:id="75" w:name="_DV_M298"/>
      <w:bookmarkEnd w:id="74"/>
      <w:bookmarkEnd w:id="75"/>
      <w:r w:rsidRPr="004B606C">
        <w:rPr>
          <w:lang w:val="en-US"/>
        </w:rPr>
        <w:t xml:space="preserve"> used to determine the applicable emission limit values for the engine; </w:t>
      </w:r>
    </w:p>
    <w:p w:rsidR="00DE2419" w:rsidRPr="004B606C" w:rsidRDefault="00DE2419" w:rsidP="00DE2419">
      <w:pPr>
        <w:pStyle w:val="ESch"/>
        <w:rPr>
          <w:noProof/>
          <w:lang w:val="en-US" w:bidi="fr-FR"/>
        </w:rPr>
      </w:pPr>
    </w:p>
    <w:p w:rsidR="00DE2419" w:rsidRPr="004B606C" w:rsidRDefault="00DE2419" w:rsidP="00DE2419">
      <w:pPr>
        <w:pStyle w:val="ESch"/>
        <w:rPr>
          <w:lang w:val="en-US"/>
        </w:rPr>
      </w:pPr>
      <w:r w:rsidRPr="004B606C">
        <w:rPr>
          <w:lang w:val="en-US"/>
        </w:rPr>
        <w:t>5.</w:t>
      </w:r>
      <w:r w:rsidRPr="004B606C">
        <w:rPr>
          <w:lang w:val="en-US"/>
        </w:rPr>
        <w:tab/>
        <w:t xml:space="preserve">‘engine manufacturer’: any natural or legal person who is responsible to the approval authority for all aspects of the engine type-approval or authorisation process and for ensuring conformity of engine production, and who is also responsible for market surveillance concerns for the engines produced, whether or not they are directly involved in all stages of the design and construction of the engine which is the subject of the </w:t>
      </w:r>
      <w:bookmarkStart w:id="76" w:name="_DV_C457"/>
      <w:r w:rsidRPr="004B606C">
        <w:rPr>
          <w:lang w:val="en-US"/>
        </w:rPr>
        <w:t>type-</w:t>
      </w:r>
      <w:bookmarkStart w:id="77" w:name="_DV_M380"/>
      <w:bookmarkEnd w:id="76"/>
      <w:bookmarkEnd w:id="77"/>
      <w:r w:rsidRPr="004B606C">
        <w:rPr>
          <w:lang w:val="en-US"/>
        </w:rPr>
        <w:t xml:space="preserve">approval process; </w:t>
      </w:r>
    </w:p>
    <w:p w:rsidR="00DE2419" w:rsidRPr="004B606C" w:rsidRDefault="00DE2419" w:rsidP="00DE2419">
      <w:pPr>
        <w:pStyle w:val="ESch"/>
        <w:rPr>
          <w:lang w:val="en-US"/>
        </w:rPr>
      </w:pPr>
    </w:p>
    <w:p w:rsidR="00DE2419" w:rsidRPr="004B606C" w:rsidRDefault="00DE2419" w:rsidP="00DE2419">
      <w:pPr>
        <w:pStyle w:val="ESch"/>
        <w:rPr>
          <w:lang w:val="en-US"/>
        </w:rPr>
      </w:pPr>
      <w:r w:rsidRPr="004B606C">
        <w:rPr>
          <w:lang w:val="en-US"/>
        </w:rPr>
        <w:t>6.</w:t>
      </w:r>
      <w:r w:rsidRPr="004B606C">
        <w:rPr>
          <w:lang w:val="en-US"/>
        </w:rPr>
        <w:tab/>
        <w:t>‘engine parameter protocol’: the document pursuant to Annex 6, in which all the parameters, together with changes, and including components and engine settings which affect the level of emission of gaseous and particulate pollutants fr</w:t>
      </w:r>
      <w:r>
        <w:rPr>
          <w:lang w:val="en-US"/>
        </w:rPr>
        <w:t>om the engine are duly recorded.</w:t>
      </w:r>
    </w:p>
    <w:p w:rsidR="00DE2419" w:rsidRPr="004B606C" w:rsidRDefault="00DE2419" w:rsidP="00DE2419">
      <w:pPr>
        <w:pStyle w:val="ESch"/>
        <w:rPr>
          <w:lang w:val="en-US"/>
        </w:rPr>
      </w:pPr>
    </w:p>
    <w:p w:rsidR="00DE2419" w:rsidRPr="004B606C" w:rsidRDefault="00DE2419" w:rsidP="00DE2419">
      <w:pPr>
        <w:rPr>
          <w:szCs w:val="20"/>
          <w:lang w:val="en-US"/>
        </w:rPr>
      </w:pPr>
    </w:p>
    <w:p w:rsidR="00DE2419" w:rsidRPr="004B606C" w:rsidRDefault="00DE2419" w:rsidP="00DE2419">
      <w:pPr>
        <w:pStyle w:val="ES-Titre3"/>
        <w:rPr>
          <w:i/>
          <w:lang w:val="en-US"/>
        </w:rPr>
      </w:pPr>
      <w:bookmarkStart w:id="78" w:name="_Toc453317268"/>
      <w:bookmarkStart w:id="79" w:name="_Toc491854068"/>
      <w:r w:rsidRPr="004B606C">
        <w:rPr>
          <w:lang w:val="en-US"/>
        </w:rPr>
        <w:t>Article 9.01</w:t>
      </w:r>
      <w:r w:rsidRPr="004B606C">
        <w:rPr>
          <w:lang w:val="en-US"/>
        </w:rPr>
        <w:br/>
      </w:r>
      <w:r w:rsidRPr="004B606C">
        <w:rPr>
          <w:i/>
          <w:lang w:val="en-US"/>
        </w:rPr>
        <w:t>General provisions</w:t>
      </w:r>
      <w:bookmarkEnd w:id="78"/>
      <w:bookmarkEnd w:id="79"/>
    </w:p>
    <w:p w:rsidR="00DE2419" w:rsidRPr="004B606C" w:rsidRDefault="00DE2419" w:rsidP="00DE2419">
      <w:pPr>
        <w:pStyle w:val="ESgauche"/>
        <w:rPr>
          <w:lang w:val="en-US"/>
        </w:rPr>
      </w:pPr>
    </w:p>
    <w:p w:rsidR="00DE2419" w:rsidRPr="004B606C" w:rsidRDefault="00DE2419" w:rsidP="00DE2419">
      <w:pPr>
        <w:pStyle w:val="ESch"/>
        <w:rPr>
          <w:lang w:val="en-US"/>
        </w:rPr>
      </w:pPr>
      <w:r w:rsidRPr="004B606C">
        <w:rPr>
          <w:lang w:val="en-US"/>
        </w:rPr>
        <w:t>1.</w:t>
      </w:r>
      <w:r w:rsidRPr="004B606C">
        <w:rPr>
          <w:lang w:val="en-US"/>
        </w:rPr>
        <w:tab/>
        <w:t xml:space="preserve">The provisions of this Chapter shall apply to all internal combustion engines with a reference power that is greater than or equal to 19 kW installed on board craft. </w:t>
      </w:r>
    </w:p>
    <w:p w:rsidR="00DE2419" w:rsidRDefault="00DE2419" w:rsidP="00DE2419">
      <w:pPr>
        <w:pStyle w:val="ESch"/>
        <w:rPr>
          <w:lang w:val="en-US" w:eastAsia="nl-NL"/>
        </w:rPr>
      </w:pPr>
    </w:p>
    <w:p w:rsidR="00211AAA" w:rsidRDefault="00211AAA">
      <w:pPr>
        <w:autoSpaceDE/>
        <w:autoSpaceDN/>
        <w:ind w:left="0" w:firstLine="0"/>
        <w:jc w:val="left"/>
        <w:rPr>
          <w:lang w:val="en-US" w:eastAsia="nl-NL"/>
        </w:rPr>
      </w:pPr>
      <w:r>
        <w:rPr>
          <w:lang w:val="en-US" w:eastAsia="nl-NL"/>
        </w:rPr>
        <w:br w:type="page"/>
      </w:r>
    </w:p>
    <w:p w:rsidR="00211AAA" w:rsidRPr="004B606C" w:rsidRDefault="00211AAA" w:rsidP="00DE2419">
      <w:pPr>
        <w:pStyle w:val="ESch"/>
        <w:rPr>
          <w:lang w:val="en-US" w:eastAsia="nl-NL"/>
        </w:rPr>
      </w:pPr>
    </w:p>
    <w:p w:rsidR="00DE2419" w:rsidRPr="004B606C" w:rsidRDefault="00DE2419" w:rsidP="00DE2419">
      <w:pPr>
        <w:pStyle w:val="ESch"/>
        <w:rPr>
          <w:lang w:val="en-US"/>
        </w:rPr>
      </w:pPr>
      <w:r w:rsidRPr="004B606C">
        <w:rPr>
          <w:lang w:val="en-US"/>
        </w:rPr>
        <w:t>2.</w:t>
      </w:r>
      <w:r w:rsidRPr="004B606C">
        <w:rPr>
          <w:lang w:val="en-US"/>
        </w:rPr>
        <w:tab/>
        <w:t>Internal combustion engines comply with the requirements of Regulation (EU) 2016/1628</w:t>
      </w:r>
      <w:r w:rsidR="002B6B2C">
        <w:rPr>
          <w:rStyle w:val="FootnoteReference"/>
          <w:lang w:val="en-US"/>
        </w:rPr>
        <w:footnoteReference w:id="8"/>
      </w:r>
      <w:r w:rsidRPr="004B606C">
        <w:rPr>
          <w:lang w:val="en-US"/>
        </w:rPr>
        <w:t xml:space="preserve">. Only internal combustion engines of categories </w:t>
      </w:r>
    </w:p>
    <w:p w:rsidR="00DE2419" w:rsidRPr="004B606C" w:rsidRDefault="00DE2419" w:rsidP="00DE2419">
      <w:pPr>
        <w:pStyle w:val="ESlet"/>
        <w:rPr>
          <w:lang w:val="en-US"/>
        </w:rPr>
      </w:pPr>
      <w:r w:rsidRPr="004B606C">
        <w:rPr>
          <w:lang w:val="en-US"/>
        </w:rPr>
        <w:t>a)</w:t>
      </w:r>
      <w:r w:rsidRPr="004B606C">
        <w:rPr>
          <w:lang w:val="en-US"/>
        </w:rPr>
        <w:tab/>
        <w:t xml:space="preserve">IWP, </w:t>
      </w:r>
    </w:p>
    <w:p w:rsidR="00DE2419" w:rsidRPr="004B606C" w:rsidRDefault="00DE2419" w:rsidP="00DE2419">
      <w:pPr>
        <w:pStyle w:val="ESlet"/>
        <w:rPr>
          <w:lang w:val="en-US"/>
        </w:rPr>
      </w:pPr>
      <w:r w:rsidRPr="004B606C">
        <w:rPr>
          <w:lang w:val="en-US"/>
        </w:rPr>
        <w:t>b)</w:t>
      </w:r>
      <w:r w:rsidRPr="004B606C">
        <w:rPr>
          <w:lang w:val="en-US"/>
        </w:rPr>
        <w:tab/>
        <w:t xml:space="preserve">IWA, </w:t>
      </w:r>
    </w:p>
    <w:p w:rsidR="00DE2419" w:rsidRPr="004B606C" w:rsidRDefault="00DE2419" w:rsidP="00DE2419">
      <w:pPr>
        <w:pStyle w:val="ESlet"/>
        <w:rPr>
          <w:lang w:val="en-US"/>
        </w:rPr>
      </w:pPr>
      <w:r w:rsidRPr="004B606C">
        <w:rPr>
          <w:lang w:val="en-US"/>
        </w:rPr>
        <w:t>c)</w:t>
      </w:r>
      <w:r w:rsidRPr="004B606C">
        <w:rPr>
          <w:lang w:val="en-US"/>
        </w:rPr>
        <w:tab/>
        <w:t xml:space="preserve">NRE with reference power less than 560 kW or </w:t>
      </w:r>
    </w:p>
    <w:p w:rsidR="00DE2419" w:rsidRPr="004B606C" w:rsidRDefault="00DE2419" w:rsidP="00DE2419">
      <w:pPr>
        <w:pStyle w:val="ESlet"/>
        <w:rPr>
          <w:lang w:val="en-US"/>
        </w:rPr>
      </w:pPr>
      <w:r w:rsidRPr="004B606C">
        <w:rPr>
          <w:lang w:val="en-US"/>
        </w:rPr>
        <w:t>d)</w:t>
      </w:r>
      <w:r w:rsidRPr="004B606C">
        <w:rPr>
          <w:lang w:val="en-US"/>
        </w:rPr>
        <w:tab/>
        <w:t>engines recognized equivalent according to Regulation (EU) 2016/1628</w:t>
      </w:r>
    </w:p>
    <w:p w:rsidR="00DE2419" w:rsidRPr="004B606C" w:rsidRDefault="00DE2419" w:rsidP="00DE2419">
      <w:pPr>
        <w:pStyle w:val="ESletpar"/>
        <w:ind w:left="567"/>
        <w:rPr>
          <w:lang w:val="en-US"/>
        </w:rPr>
      </w:pPr>
      <w:r w:rsidRPr="004B606C">
        <w:rPr>
          <w:lang w:val="en-US"/>
        </w:rPr>
        <w:t>shall be installed. This compliance is established by means of a type approval certificate.</w:t>
      </w:r>
    </w:p>
    <w:p w:rsidR="00DE2419" w:rsidRDefault="00DE2419" w:rsidP="00DE2419">
      <w:pPr>
        <w:pStyle w:val="ESch"/>
        <w:rPr>
          <w:lang w:val="en-US"/>
        </w:rPr>
      </w:pPr>
    </w:p>
    <w:p w:rsidR="00DE2419" w:rsidRPr="004B606C" w:rsidRDefault="00DE2419" w:rsidP="00DE2419">
      <w:pPr>
        <w:pStyle w:val="ESch"/>
        <w:rPr>
          <w:lang w:val="en-US"/>
        </w:rPr>
      </w:pPr>
      <w:r w:rsidRPr="004B606C">
        <w:rPr>
          <w:lang w:val="en-US"/>
        </w:rPr>
        <w:t>3.</w:t>
      </w:r>
      <w:r w:rsidRPr="004B606C">
        <w:rPr>
          <w:lang w:val="en-US"/>
        </w:rPr>
        <w:tab/>
        <w:t>A copy of the type approval certificate, the engine manufacturer's instructions and the engine parameter protocol shall be kept on board.</w:t>
      </w:r>
    </w:p>
    <w:p w:rsidR="00DE2419" w:rsidRPr="004B606C" w:rsidRDefault="00DE2419" w:rsidP="00DE2419">
      <w:pPr>
        <w:pStyle w:val="ESch"/>
        <w:rPr>
          <w:lang w:val="en-US"/>
        </w:rPr>
      </w:pPr>
    </w:p>
    <w:p w:rsidR="00DE2419" w:rsidRPr="004B606C" w:rsidRDefault="00DE2419" w:rsidP="00DE2419">
      <w:pPr>
        <w:pStyle w:val="ESch"/>
        <w:rPr>
          <w:lang w:val="en-US"/>
        </w:rPr>
      </w:pPr>
      <w:r w:rsidRPr="004B606C">
        <w:rPr>
          <w:lang w:val="en-US"/>
        </w:rPr>
        <w:t>4.</w:t>
      </w:r>
      <w:r w:rsidRPr="004B606C">
        <w:rPr>
          <w:lang w:val="en-US"/>
        </w:rPr>
        <w:tab/>
        <w:t>The installation of replacement engines, as defined in Regulation (EU) 2016/1628, is prohibited.</w:t>
      </w:r>
    </w:p>
    <w:p w:rsidR="00DE2419" w:rsidRPr="004B606C" w:rsidRDefault="00DE2419" w:rsidP="00DE2419">
      <w:pPr>
        <w:pStyle w:val="ESch"/>
        <w:rPr>
          <w:rFonts w:cs="Arial"/>
          <w:szCs w:val="20"/>
          <w:lang w:val="en-US"/>
        </w:rPr>
      </w:pPr>
    </w:p>
    <w:p w:rsidR="00DE2419" w:rsidRPr="004B606C" w:rsidRDefault="00DE2419" w:rsidP="00DE2419">
      <w:pPr>
        <w:pStyle w:val="ESch"/>
        <w:rPr>
          <w:lang w:val="en-US"/>
        </w:rPr>
      </w:pPr>
      <w:r w:rsidRPr="004B606C">
        <w:rPr>
          <w:szCs w:val="20"/>
          <w:lang w:val="en-US"/>
        </w:rPr>
        <w:t>5.</w:t>
      </w:r>
      <w:r w:rsidRPr="004B606C">
        <w:rPr>
          <w:szCs w:val="20"/>
          <w:lang w:val="en-US"/>
        </w:rPr>
        <w:tab/>
        <w:t>For the purpose of discharging tasks pursuant to this Chapter, the inspection body may employ a technical service.</w:t>
      </w:r>
      <w:r w:rsidRPr="004B606C">
        <w:rPr>
          <w:lang w:val="en-GB"/>
        </w:rPr>
        <w:t xml:space="preserve"> </w:t>
      </w:r>
      <w:r w:rsidRPr="004B606C">
        <w:rPr>
          <w:szCs w:val="20"/>
          <w:lang w:val="en-US"/>
        </w:rPr>
        <w:t>Only technical services notified according to Regulation (EU) 2016/1628 are recognised for the purpose of this Standard.</w:t>
      </w:r>
    </w:p>
    <w:p w:rsidR="00DE2419" w:rsidRPr="004B606C" w:rsidRDefault="00DE2419" w:rsidP="00DE2419">
      <w:pPr>
        <w:pStyle w:val="ESch"/>
        <w:rPr>
          <w:lang w:val="en-US"/>
        </w:rPr>
      </w:pPr>
    </w:p>
    <w:p w:rsidR="00DE2419" w:rsidRPr="004B606C" w:rsidRDefault="00DE2419" w:rsidP="00DE2419">
      <w:pPr>
        <w:pStyle w:val="ESch"/>
        <w:rPr>
          <w:lang w:val="en-US"/>
        </w:rPr>
      </w:pPr>
    </w:p>
    <w:p w:rsidR="00DE2419" w:rsidRPr="004B606C" w:rsidRDefault="00DE2419" w:rsidP="00DE2419">
      <w:pPr>
        <w:pStyle w:val="ES-Titre3"/>
        <w:rPr>
          <w:i/>
          <w:lang w:val="en-US"/>
        </w:rPr>
      </w:pPr>
      <w:bookmarkStart w:id="80" w:name="_Toc491854069"/>
      <w:r w:rsidRPr="004B606C">
        <w:rPr>
          <w:lang w:val="en-US"/>
        </w:rPr>
        <w:t>Article 9.02</w:t>
      </w:r>
      <w:r w:rsidRPr="004B606C">
        <w:rPr>
          <w:lang w:val="en-US"/>
        </w:rPr>
        <w:br/>
      </w:r>
      <w:r w:rsidRPr="004B606C">
        <w:rPr>
          <w:i/>
          <w:lang w:val="en-US"/>
        </w:rPr>
        <w:t>Entry in the inland navigation vessel certificate</w:t>
      </w:r>
      <w:bookmarkEnd w:id="80"/>
    </w:p>
    <w:p w:rsidR="00DE2419" w:rsidRPr="004B606C" w:rsidRDefault="00DE2419" w:rsidP="00DE2419">
      <w:pPr>
        <w:pStyle w:val="ESch"/>
        <w:rPr>
          <w:lang w:val="en-US"/>
        </w:rPr>
      </w:pPr>
    </w:p>
    <w:p w:rsidR="00DE2419" w:rsidRPr="004B606C" w:rsidRDefault="00DE2419" w:rsidP="00DE2419">
      <w:pPr>
        <w:pStyle w:val="ESgauche"/>
        <w:rPr>
          <w:lang w:val="en-US"/>
        </w:rPr>
      </w:pPr>
      <w:r w:rsidRPr="004B606C">
        <w:rPr>
          <w:lang w:val="en-US"/>
        </w:rPr>
        <w:t xml:space="preserve">The identification number, as well as the type-approval number where applicable, of all internal combustion engines on board the craft shall be entered in item 52 of the inland navigation vessel certificate. </w:t>
      </w:r>
    </w:p>
    <w:p w:rsidR="00DE2419" w:rsidRPr="004B606C" w:rsidRDefault="00DE2419" w:rsidP="00DE2419">
      <w:pPr>
        <w:pStyle w:val="ESch"/>
        <w:rPr>
          <w:lang w:val="en-US"/>
        </w:rPr>
      </w:pPr>
    </w:p>
    <w:p w:rsidR="00DE2419" w:rsidRPr="004B606C" w:rsidRDefault="00DE2419" w:rsidP="00DE2419">
      <w:pPr>
        <w:pStyle w:val="ESch"/>
        <w:rPr>
          <w:lang w:val="en-US"/>
        </w:rPr>
      </w:pPr>
    </w:p>
    <w:p w:rsidR="00DE2419" w:rsidRPr="004B606C" w:rsidRDefault="00DE2419" w:rsidP="00DE2419">
      <w:pPr>
        <w:pStyle w:val="ES-Titre3"/>
        <w:spacing w:line="240" w:lineRule="atLeast"/>
        <w:rPr>
          <w:lang w:val="en-US"/>
        </w:rPr>
      </w:pPr>
      <w:bookmarkStart w:id="81" w:name="_Toc491854070"/>
      <w:r w:rsidRPr="004B606C">
        <w:rPr>
          <w:lang w:val="en-US"/>
        </w:rPr>
        <w:t>Article 9.03</w:t>
      </w:r>
      <w:r w:rsidRPr="004B606C">
        <w:rPr>
          <w:i/>
          <w:lang w:val="en-US"/>
        </w:rPr>
        <w:br/>
        <w:t>Provisions for the installation of internal combustion engines</w:t>
      </w:r>
      <w:bookmarkEnd w:id="81"/>
    </w:p>
    <w:p w:rsidR="00DE2419" w:rsidRPr="004B606C" w:rsidRDefault="00DE2419" w:rsidP="00DE2419">
      <w:pPr>
        <w:pStyle w:val="ESch"/>
        <w:rPr>
          <w:lang w:val="en-US"/>
        </w:rPr>
      </w:pPr>
    </w:p>
    <w:p w:rsidR="00DE2419" w:rsidRPr="004B606C" w:rsidRDefault="00DE2419" w:rsidP="00DE2419">
      <w:pPr>
        <w:pStyle w:val="ESgauche"/>
        <w:rPr>
          <w:lang w:val="en-US"/>
        </w:rPr>
      </w:pPr>
      <w:r w:rsidRPr="004B606C">
        <w:rPr>
          <w:lang w:val="en-US"/>
        </w:rPr>
        <w:t>The installation of engines in craft shall comply with the restrictions set out in the scope of the type approval.</w:t>
      </w:r>
    </w:p>
    <w:p w:rsidR="00DE2419" w:rsidRPr="004B606C" w:rsidRDefault="00DE2419" w:rsidP="00DE2419">
      <w:pPr>
        <w:pStyle w:val="ESch"/>
        <w:ind w:left="0" w:firstLine="0"/>
        <w:rPr>
          <w:szCs w:val="20"/>
          <w:lang w:val="en-US"/>
        </w:rPr>
      </w:pPr>
    </w:p>
    <w:p w:rsidR="00DE2419" w:rsidRPr="004B606C" w:rsidRDefault="00DE2419" w:rsidP="00DE2419">
      <w:pPr>
        <w:pStyle w:val="ESch"/>
        <w:ind w:left="0" w:firstLine="0"/>
        <w:rPr>
          <w:lang w:val="en-US"/>
        </w:rPr>
      </w:pPr>
    </w:p>
    <w:p w:rsidR="00DE2419" w:rsidRPr="004B606C" w:rsidRDefault="00DE2419" w:rsidP="00DE2419">
      <w:pPr>
        <w:pStyle w:val="ES-Titre3"/>
        <w:spacing w:line="240" w:lineRule="atLeast"/>
        <w:rPr>
          <w:lang w:val="en-US"/>
        </w:rPr>
      </w:pPr>
      <w:bookmarkStart w:id="82" w:name="_Toc491854071"/>
      <w:r w:rsidRPr="004B606C">
        <w:rPr>
          <w:lang w:val="en-US"/>
        </w:rPr>
        <w:t>Article 9.04</w:t>
      </w:r>
      <w:r w:rsidRPr="004B606C">
        <w:rPr>
          <w:i/>
          <w:lang w:val="en-US"/>
        </w:rPr>
        <w:br/>
        <w:t>Engine manufacturer’s instructions</w:t>
      </w:r>
      <w:bookmarkEnd w:id="82"/>
    </w:p>
    <w:p w:rsidR="00DE2419" w:rsidRPr="004B606C" w:rsidRDefault="00DE2419" w:rsidP="00DE2419">
      <w:pPr>
        <w:pStyle w:val="ESch"/>
        <w:rPr>
          <w:lang w:val="en-US"/>
        </w:rPr>
      </w:pPr>
    </w:p>
    <w:p w:rsidR="00DE2419" w:rsidRPr="004B606C" w:rsidRDefault="00DE2419" w:rsidP="00DE2419">
      <w:pPr>
        <w:pStyle w:val="ESch"/>
        <w:rPr>
          <w:lang w:val="en-US"/>
        </w:rPr>
      </w:pPr>
      <w:r w:rsidRPr="004B606C">
        <w:rPr>
          <w:rFonts w:cs="Arial"/>
          <w:szCs w:val="20"/>
          <w:lang w:val="en-US"/>
        </w:rPr>
        <w:t>1.</w:t>
      </w:r>
      <w:r w:rsidRPr="004B606C">
        <w:rPr>
          <w:rFonts w:cs="Arial"/>
          <w:szCs w:val="20"/>
          <w:lang w:val="en-US"/>
        </w:rPr>
        <w:tab/>
        <w:t xml:space="preserve">The engine manufacturer’s instructions, to be drawn up by the engine manufacturer, shall specify the exhaust relevant components as well as adjustments and parameters, whereby continuous compliance with the exhaust gas emission limit values can be assumed. </w:t>
      </w:r>
    </w:p>
    <w:p w:rsidR="00DE2419" w:rsidRPr="004B606C" w:rsidRDefault="00DE2419" w:rsidP="00DE2419">
      <w:pPr>
        <w:pStyle w:val="ListParagraph"/>
        <w:spacing w:line="240" w:lineRule="atLeast"/>
        <w:ind w:left="567" w:hanging="567"/>
        <w:rPr>
          <w:rFonts w:ascii="Arial" w:eastAsia="Times New Roman" w:hAnsi="Arial" w:cs="Arial"/>
          <w:sz w:val="20"/>
          <w:szCs w:val="20"/>
          <w:lang w:val="en-US" w:eastAsia="fr-FR"/>
        </w:rPr>
      </w:pPr>
    </w:p>
    <w:p w:rsidR="00DE2419" w:rsidRPr="004B606C" w:rsidRDefault="00DE2419" w:rsidP="00DE2419">
      <w:pPr>
        <w:pStyle w:val="ESch"/>
        <w:rPr>
          <w:lang w:val="en-US"/>
        </w:rPr>
      </w:pPr>
      <w:r w:rsidRPr="004B606C">
        <w:rPr>
          <w:lang w:val="en-US"/>
        </w:rPr>
        <w:t>2.</w:t>
      </w:r>
      <w:r w:rsidRPr="004B606C">
        <w:rPr>
          <w:lang w:val="en-US"/>
        </w:rPr>
        <w:tab/>
        <w:t>The instructions contain at least the following details:</w:t>
      </w:r>
    </w:p>
    <w:p w:rsidR="00DE2419" w:rsidRPr="004B606C" w:rsidRDefault="00DE2419" w:rsidP="00DE2419">
      <w:pPr>
        <w:pStyle w:val="ESlet"/>
        <w:rPr>
          <w:lang w:val="en-US"/>
        </w:rPr>
      </w:pPr>
      <w:r w:rsidRPr="004B606C">
        <w:rPr>
          <w:lang w:val="en-US"/>
        </w:rPr>
        <w:t>a)</w:t>
      </w:r>
      <w:r w:rsidRPr="004B606C">
        <w:rPr>
          <w:lang w:val="en-US"/>
        </w:rPr>
        <w:tab/>
        <w:t>type of engine and, where appropriate, engine family with an indication of the reference power and rated speed;</w:t>
      </w:r>
    </w:p>
    <w:p w:rsidR="00DE2419" w:rsidRPr="004B606C" w:rsidRDefault="00DE2419" w:rsidP="00DE2419">
      <w:pPr>
        <w:pStyle w:val="ESlet"/>
        <w:rPr>
          <w:lang w:val="en-US"/>
        </w:rPr>
      </w:pPr>
      <w:r w:rsidRPr="004B606C">
        <w:rPr>
          <w:lang w:val="en-US"/>
        </w:rPr>
        <w:t>b)</w:t>
      </w:r>
      <w:r w:rsidRPr="004B606C">
        <w:rPr>
          <w:lang w:val="en-US"/>
        </w:rPr>
        <w:tab/>
        <w:t>list of the components and engine parameters of relevance in an exhaust gas emission context;</w:t>
      </w:r>
    </w:p>
    <w:p w:rsidR="00211AAA" w:rsidRDefault="00211AAA">
      <w:pPr>
        <w:autoSpaceDE/>
        <w:autoSpaceDN/>
        <w:ind w:left="0" w:firstLine="0"/>
        <w:jc w:val="left"/>
        <w:rPr>
          <w:lang w:val="en-US"/>
        </w:rPr>
      </w:pPr>
      <w:r>
        <w:rPr>
          <w:lang w:val="en-US"/>
        </w:rPr>
        <w:br w:type="page"/>
      </w:r>
    </w:p>
    <w:p w:rsidR="00211AAA" w:rsidRDefault="00211AAA" w:rsidP="00DE2419">
      <w:pPr>
        <w:pStyle w:val="ESlet"/>
        <w:rPr>
          <w:lang w:val="en-US"/>
        </w:rPr>
      </w:pPr>
    </w:p>
    <w:p w:rsidR="00DE2419" w:rsidRPr="004B606C" w:rsidRDefault="00DE2419" w:rsidP="00DE2419">
      <w:pPr>
        <w:pStyle w:val="ESlet"/>
        <w:rPr>
          <w:lang w:val="en-US"/>
        </w:rPr>
      </w:pPr>
      <w:r w:rsidRPr="004B606C">
        <w:rPr>
          <w:lang w:val="en-US"/>
        </w:rPr>
        <w:t>c)</w:t>
      </w:r>
      <w:r w:rsidRPr="004B606C">
        <w:rPr>
          <w:lang w:val="en-US"/>
        </w:rPr>
        <w:tab/>
        <w:t>unambiguous features to identify the permitted components of relevance in an exhaust gas emission context (e.g. part numbers appearing on the components);</w:t>
      </w:r>
    </w:p>
    <w:p w:rsidR="00DE2419" w:rsidRPr="004B606C" w:rsidRDefault="00DE2419" w:rsidP="00DE2419">
      <w:pPr>
        <w:pStyle w:val="ESlet"/>
        <w:rPr>
          <w:lang w:val="en-US"/>
        </w:rPr>
      </w:pPr>
      <w:r w:rsidRPr="004B606C">
        <w:rPr>
          <w:lang w:val="en-US"/>
        </w:rPr>
        <w:t>d)</w:t>
      </w:r>
      <w:r w:rsidRPr="004B606C">
        <w:rPr>
          <w:lang w:val="en-US"/>
        </w:rPr>
        <w:tab/>
        <w:t>engine parameters of relevance in an exhaust gas emission context such as setting ranges for the injection timing, permitted cooling water temperature, maximum exhaust gas backpressure.</w:t>
      </w:r>
    </w:p>
    <w:p w:rsidR="00DE2419" w:rsidRPr="004B606C" w:rsidRDefault="00DE2419" w:rsidP="00DE2419">
      <w:pPr>
        <w:pStyle w:val="ESch"/>
        <w:rPr>
          <w:lang w:val="en-US"/>
        </w:rPr>
      </w:pPr>
    </w:p>
    <w:p w:rsidR="00DE2419" w:rsidRPr="004B606C" w:rsidRDefault="00DE2419" w:rsidP="00DE2419">
      <w:pPr>
        <w:pStyle w:val="ESch"/>
        <w:rPr>
          <w:lang w:val="en-US"/>
        </w:rPr>
      </w:pPr>
    </w:p>
    <w:p w:rsidR="00DE2419" w:rsidRPr="00192DA6" w:rsidRDefault="00DE2419" w:rsidP="00DE2419">
      <w:pPr>
        <w:pStyle w:val="ES-Titre3"/>
        <w:rPr>
          <w:i/>
          <w:lang w:val="en-US"/>
        </w:rPr>
      </w:pPr>
      <w:bookmarkStart w:id="83" w:name="_Toc491854072"/>
      <w:r w:rsidRPr="004B606C">
        <w:rPr>
          <w:lang w:val="en-US"/>
        </w:rPr>
        <w:t>Article 9.05</w:t>
      </w:r>
      <w:r w:rsidRPr="004B606C">
        <w:rPr>
          <w:lang w:val="en-US"/>
        </w:rPr>
        <w:br/>
      </w:r>
      <w:r w:rsidRPr="00192DA6">
        <w:rPr>
          <w:i/>
          <w:lang w:val="en-US"/>
        </w:rPr>
        <w:t>Tests of the internal combustion engines</w:t>
      </w:r>
      <w:bookmarkEnd w:id="83"/>
    </w:p>
    <w:p w:rsidR="00DE2419" w:rsidRPr="004B606C" w:rsidRDefault="00DE2419" w:rsidP="00DE2419">
      <w:pPr>
        <w:pStyle w:val="ESch"/>
        <w:rPr>
          <w:lang w:val="en-US"/>
        </w:rPr>
      </w:pPr>
    </w:p>
    <w:p w:rsidR="00DE2419" w:rsidRPr="004B606C" w:rsidRDefault="00DE2419" w:rsidP="00DE2419">
      <w:pPr>
        <w:pStyle w:val="ESch"/>
        <w:rPr>
          <w:rFonts w:cs="Arial"/>
          <w:szCs w:val="20"/>
          <w:lang w:val="en-US"/>
        </w:rPr>
      </w:pPr>
      <w:r w:rsidRPr="004B606C">
        <w:rPr>
          <w:szCs w:val="20"/>
          <w:lang w:val="en-US"/>
        </w:rPr>
        <w:t>1.</w:t>
      </w:r>
      <w:r w:rsidRPr="004B606C">
        <w:rPr>
          <w:szCs w:val="20"/>
          <w:lang w:val="en-US"/>
        </w:rPr>
        <w:tab/>
        <w:t xml:space="preserve">At the time of the installation test and in the event of intermediate tests and special tests, the </w:t>
      </w:r>
      <w:r>
        <w:rPr>
          <w:szCs w:val="20"/>
          <w:lang w:val="en-US"/>
        </w:rPr>
        <w:t>inspection body</w:t>
      </w:r>
      <w:r w:rsidRPr="004B606C">
        <w:rPr>
          <w:szCs w:val="20"/>
          <w:lang w:val="en-US"/>
        </w:rPr>
        <w:t xml:space="preserve"> will inspect the current state of the engine with reference to the components, adjustments and parameters specified in the engine manufacturer’s instructions and the engine parameter protocol.</w:t>
      </w:r>
    </w:p>
    <w:p w:rsidR="00DE2419" w:rsidRDefault="00DE2419" w:rsidP="00DE2419">
      <w:pPr>
        <w:pStyle w:val="ESch"/>
        <w:rPr>
          <w:lang w:val="en-US"/>
        </w:rPr>
      </w:pPr>
    </w:p>
    <w:p w:rsidR="00DE2419" w:rsidRPr="004B606C" w:rsidRDefault="00DE2419" w:rsidP="00DE2419">
      <w:pPr>
        <w:pStyle w:val="ESch"/>
        <w:rPr>
          <w:rFonts w:cs="Arial"/>
          <w:szCs w:val="20"/>
          <w:lang w:val="en-US"/>
        </w:rPr>
      </w:pPr>
      <w:r w:rsidRPr="004B606C">
        <w:rPr>
          <w:szCs w:val="20"/>
          <w:lang w:val="en-US"/>
        </w:rPr>
        <w:t>2.</w:t>
      </w:r>
      <w:r w:rsidRPr="004B606C">
        <w:rPr>
          <w:szCs w:val="20"/>
          <w:lang w:val="en-US"/>
        </w:rPr>
        <w:tab/>
        <w:t>The results of the tests pursuant to (1) shall be registered in the engine parameter protocol in accordance with Annex 6.</w:t>
      </w:r>
    </w:p>
    <w:p w:rsidR="00DE2419" w:rsidRPr="004B606C" w:rsidRDefault="00DE2419" w:rsidP="00DE2419">
      <w:pPr>
        <w:pStyle w:val="ESch"/>
        <w:rPr>
          <w:rFonts w:cs="Arial"/>
          <w:szCs w:val="20"/>
          <w:lang w:val="en-US"/>
        </w:rPr>
      </w:pPr>
    </w:p>
    <w:p w:rsidR="00DE2419" w:rsidRPr="004B606C" w:rsidRDefault="00DE2419" w:rsidP="00DE2419">
      <w:pPr>
        <w:pStyle w:val="ESch"/>
        <w:rPr>
          <w:lang w:val="en-US"/>
        </w:rPr>
      </w:pPr>
      <w:r w:rsidRPr="004B606C">
        <w:rPr>
          <w:szCs w:val="20"/>
          <w:lang w:val="en-US"/>
        </w:rPr>
        <w:t>3.</w:t>
      </w:r>
      <w:r w:rsidRPr="004B606C">
        <w:rPr>
          <w:szCs w:val="20"/>
          <w:lang w:val="en-US"/>
        </w:rPr>
        <w:tab/>
        <w:t>If the installation, intermediate and special tests show that, in relation to their parameters, components and adjustable features, the internal combustion engines installed on board comply with the specifications set out in the documents covered by Article 9.01(3), it may be assumed that the exhaust gas and particulate emissions from the internal combustion engines comply with the limit values.</w:t>
      </w:r>
    </w:p>
    <w:p w:rsidR="00DE2419" w:rsidRPr="004B606C" w:rsidRDefault="00DE2419" w:rsidP="00DE2419">
      <w:pPr>
        <w:pStyle w:val="ESch"/>
        <w:rPr>
          <w:rFonts w:cs="Arial"/>
          <w:szCs w:val="20"/>
          <w:lang w:val="en-US"/>
        </w:rPr>
      </w:pPr>
    </w:p>
    <w:p w:rsidR="00DE2419" w:rsidRPr="004B606C" w:rsidRDefault="00DE2419" w:rsidP="00DE2419">
      <w:pPr>
        <w:pStyle w:val="ESchpar"/>
        <w:rPr>
          <w:snapToGrid w:val="0"/>
          <w:color w:val="000000"/>
          <w:lang w:val="en-US"/>
        </w:rPr>
      </w:pPr>
      <w:r w:rsidRPr="004B606C">
        <w:rPr>
          <w:lang w:val="en-US"/>
        </w:rPr>
        <w:t xml:space="preserve">If the inspection body finds that the internal combustion engine does not comply with the </w:t>
      </w:r>
      <w:r>
        <w:rPr>
          <w:lang w:val="en-US"/>
        </w:rPr>
        <w:t xml:space="preserve">requirements set out in </w:t>
      </w:r>
      <w:r w:rsidR="0094532F">
        <w:rPr>
          <w:lang w:val="en-US"/>
        </w:rPr>
        <w:t xml:space="preserve">the </w:t>
      </w:r>
      <w:r w:rsidRPr="004B606C">
        <w:rPr>
          <w:lang w:val="en-US"/>
        </w:rPr>
        <w:t xml:space="preserve">documents covered by Article 9.01(3), it shall require that </w:t>
      </w:r>
      <w:r w:rsidRPr="004B606C">
        <w:rPr>
          <w:snapToGrid w:val="0"/>
          <w:color w:val="000000"/>
          <w:lang w:val="en-US"/>
        </w:rPr>
        <w:t xml:space="preserve">steps are taken to re-establish internal </w:t>
      </w:r>
      <w:r>
        <w:rPr>
          <w:snapToGrid w:val="0"/>
          <w:color w:val="000000"/>
          <w:lang w:val="en-US"/>
        </w:rPr>
        <w:t>combustion engine conformity.</w:t>
      </w:r>
    </w:p>
    <w:p w:rsidR="00DE2419" w:rsidRPr="004B606C" w:rsidRDefault="00DE2419" w:rsidP="00DE2419">
      <w:pPr>
        <w:pStyle w:val="ESch"/>
        <w:rPr>
          <w:lang w:val="en-US"/>
        </w:rPr>
      </w:pPr>
    </w:p>
    <w:p w:rsidR="00DE2419" w:rsidRPr="004B606C" w:rsidRDefault="00DE2419" w:rsidP="00DE2419">
      <w:pPr>
        <w:pStyle w:val="ESch"/>
        <w:rPr>
          <w:lang w:val="en-US"/>
        </w:rPr>
      </w:pPr>
      <w:r w:rsidRPr="004B606C">
        <w:rPr>
          <w:lang w:val="en-US"/>
        </w:rPr>
        <w:t>4.</w:t>
      </w:r>
      <w:r w:rsidRPr="004B606C">
        <w:rPr>
          <w:lang w:val="en-US"/>
        </w:rPr>
        <w:tab/>
        <w:t xml:space="preserve">In the case of </w:t>
      </w:r>
      <w:r w:rsidRPr="004B606C">
        <w:rPr>
          <w:snapToGrid w:val="0"/>
          <w:color w:val="000000"/>
          <w:lang w:val="en-US"/>
        </w:rPr>
        <w:t xml:space="preserve">internal combustion </w:t>
      </w:r>
      <w:r w:rsidRPr="004B606C">
        <w:rPr>
          <w:lang w:val="en-US"/>
        </w:rPr>
        <w:t xml:space="preserve">engines with exhaust gas after treatment systems, checks shall be carried out to establish that these systems are functioning properly in the context of the installation, intermediate or special tests. </w:t>
      </w:r>
    </w:p>
    <w:p w:rsidR="00DE2419" w:rsidRPr="004B606C" w:rsidRDefault="00DE2419" w:rsidP="00DE2419">
      <w:pPr>
        <w:pStyle w:val="ESch"/>
        <w:rPr>
          <w:lang w:val="en-US"/>
        </w:rPr>
      </w:pPr>
    </w:p>
    <w:p w:rsidR="00DE2419" w:rsidRPr="004B606C" w:rsidRDefault="00DE2419" w:rsidP="00DE2419">
      <w:pPr>
        <w:pStyle w:val="ESch"/>
        <w:rPr>
          <w:lang w:val="en-US"/>
        </w:rPr>
      </w:pPr>
    </w:p>
    <w:p w:rsidR="00DE2419" w:rsidRPr="00192DA6" w:rsidRDefault="00DE2419" w:rsidP="00DE2419">
      <w:pPr>
        <w:pStyle w:val="ES-Titre3"/>
        <w:rPr>
          <w:i/>
          <w:lang w:val="en-US"/>
        </w:rPr>
      </w:pPr>
      <w:bookmarkStart w:id="84" w:name="_Toc491854073"/>
      <w:r w:rsidRPr="004B606C">
        <w:rPr>
          <w:lang w:val="en-US"/>
        </w:rPr>
        <w:t>Article 9.06</w:t>
      </w:r>
      <w:r w:rsidRPr="004B606C">
        <w:rPr>
          <w:lang w:val="en-US"/>
        </w:rPr>
        <w:br/>
      </w:r>
      <w:r w:rsidRPr="00192DA6">
        <w:rPr>
          <w:i/>
          <w:lang w:val="en-US"/>
        </w:rPr>
        <w:t>Installation tests</w:t>
      </w:r>
      <w:bookmarkEnd w:id="84"/>
    </w:p>
    <w:p w:rsidR="00DE2419" w:rsidRPr="004B606C" w:rsidRDefault="00DE2419" w:rsidP="00DE2419">
      <w:pPr>
        <w:pStyle w:val="ESch"/>
        <w:rPr>
          <w:lang w:val="en-US"/>
        </w:rPr>
      </w:pPr>
    </w:p>
    <w:p w:rsidR="00DE2419" w:rsidRPr="004B606C" w:rsidRDefault="00DE2419" w:rsidP="00DE2419">
      <w:pPr>
        <w:pStyle w:val="ESch"/>
        <w:rPr>
          <w:lang w:val="en-US"/>
        </w:rPr>
      </w:pPr>
      <w:r w:rsidRPr="004B606C">
        <w:rPr>
          <w:lang w:val="en-US"/>
        </w:rPr>
        <w:t>1.</w:t>
      </w:r>
      <w:r w:rsidRPr="004B606C">
        <w:rPr>
          <w:lang w:val="en-US"/>
        </w:rPr>
        <w:tab/>
        <w:t xml:space="preserve">After the installation of the </w:t>
      </w:r>
      <w:r w:rsidRPr="004B606C">
        <w:rPr>
          <w:snapToGrid w:val="0"/>
          <w:color w:val="000000"/>
          <w:szCs w:val="20"/>
          <w:lang w:val="en-US"/>
        </w:rPr>
        <w:t xml:space="preserve">internal combustion </w:t>
      </w:r>
      <w:r w:rsidRPr="004B606C">
        <w:rPr>
          <w:lang w:val="en-US"/>
        </w:rPr>
        <w:t xml:space="preserve">engine on board, but before it is brought into service, an installation test shall be carried out. This test, which forms part of the initial inspection of the craft, or of a special inspection by virtue of the relevant </w:t>
      </w:r>
      <w:r w:rsidRPr="004B606C">
        <w:rPr>
          <w:snapToGrid w:val="0"/>
          <w:color w:val="000000"/>
          <w:szCs w:val="20"/>
          <w:lang w:val="en-US"/>
        </w:rPr>
        <w:t xml:space="preserve">internal combustion </w:t>
      </w:r>
      <w:r w:rsidRPr="004B606C">
        <w:rPr>
          <w:lang w:val="en-US"/>
        </w:rPr>
        <w:t>engine having been installed, shall result either in the registration of the engine in the inland navigation vessel certificate to be issued for the first time or in the modification of the existing inland navigation vessel certificate.</w:t>
      </w:r>
    </w:p>
    <w:p w:rsidR="00DE2419" w:rsidRPr="004B606C" w:rsidRDefault="00DE2419" w:rsidP="00DE2419">
      <w:pPr>
        <w:pStyle w:val="ESch"/>
        <w:rPr>
          <w:lang w:val="en-US"/>
        </w:rPr>
      </w:pPr>
    </w:p>
    <w:p w:rsidR="00DE2419" w:rsidRPr="004B606C" w:rsidRDefault="00DE2419" w:rsidP="00DE2419">
      <w:pPr>
        <w:pStyle w:val="ESch"/>
        <w:rPr>
          <w:rFonts w:cs="Arial"/>
          <w:szCs w:val="20"/>
          <w:lang w:val="en-US"/>
        </w:rPr>
      </w:pPr>
      <w:r w:rsidRPr="004B606C">
        <w:rPr>
          <w:rFonts w:cs="Arial"/>
          <w:szCs w:val="20"/>
          <w:lang w:val="en-US"/>
        </w:rPr>
        <w:t>2.</w:t>
      </w:r>
      <w:r w:rsidRPr="004B606C">
        <w:rPr>
          <w:rFonts w:cs="Arial"/>
          <w:szCs w:val="20"/>
          <w:lang w:val="en-US"/>
        </w:rPr>
        <w:tab/>
        <w:t xml:space="preserve">During the installation test, the inspection body shall ensure that an engine installed on board still complies with the technical requirements with regard to the level of emissions of gaseous and particulate pollutants, even after undergoing modifications or adaptations since the issuing of the type-approval. </w:t>
      </w:r>
    </w:p>
    <w:p w:rsidR="00DE2419" w:rsidRDefault="00DE2419" w:rsidP="00DE2419">
      <w:pPr>
        <w:pStyle w:val="ESch"/>
        <w:rPr>
          <w:lang w:val="en-US"/>
        </w:rPr>
      </w:pPr>
    </w:p>
    <w:p w:rsidR="00211AAA" w:rsidRDefault="00211AAA">
      <w:pPr>
        <w:autoSpaceDE/>
        <w:autoSpaceDN/>
        <w:ind w:left="0" w:firstLine="0"/>
        <w:jc w:val="left"/>
        <w:rPr>
          <w:lang w:val="en-US"/>
        </w:rPr>
      </w:pPr>
      <w:r>
        <w:rPr>
          <w:lang w:val="en-US"/>
        </w:rPr>
        <w:br w:type="page"/>
      </w:r>
    </w:p>
    <w:p w:rsidR="00211AAA" w:rsidRPr="004B606C" w:rsidRDefault="00211AAA" w:rsidP="00DE2419">
      <w:pPr>
        <w:pStyle w:val="ESch"/>
        <w:rPr>
          <w:lang w:val="en-US"/>
        </w:rPr>
      </w:pPr>
    </w:p>
    <w:p w:rsidR="00DE2419" w:rsidRPr="004B606C" w:rsidRDefault="00DE2419" w:rsidP="00DE2419">
      <w:pPr>
        <w:pStyle w:val="ESch"/>
        <w:rPr>
          <w:lang w:val="en-US"/>
        </w:rPr>
      </w:pPr>
      <w:r w:rsidRPr="004B606C">
        <w:rPr>
          <w:lang w:val="en-US"/>
        </w:rPr>
        <w:t>3.</w:t>
      </w:r>
      <w:r w:rsidRPr="004B606C">
        <w:rPr>
          <w:lang w:val="en-US"/>
        </w:rPr>
        <w:tab/>
        <w:t xml:space="preserve">The inspection body may dispense with an installation test pursuant to (1), if an </w:t>
      </w:r>
      <w:r w:rsidRPr="004B606C">
        <w:rPr>
          <w:snapToGrid w:val="0"/>
          <w:color w:val="000000"/>
          <w:szCs w:val="20"/>
          <w:lang w:val="en-US"/>
        </w:rPr>
        <w:t xml:space="preserve">internal combustion </w:t>
      </w:r>
      <w:r w:rsidRPr="004B606C">
        <w:rPr>
          <w:lang w:val="en-US"/>
        </w:rPr>
        <w:t xml:space="preserve">engine having a reference power output </w:t>
      </w:r>
      <m:oMath>
        <m:sSub>
          <m:sSubPr>
            <m:ctrlPr>
              <w:rPr>
                <w:rFonts w:ascii="Cambria Math" w:hAnsi="Cambria Math" w:cs="Arial"/>
                <w:i/>
                <w:szCs w:val="20"/>
                <w:lang w:val="en-US"/>
              </w:rPr>
            </m:ctrlPr>
          </m:sSubPr>
          <m:e>
            <m:r>
              <w:rPr>
                <w:rFonts w:ascii="Cambria Math" w:hAnsi="Cambria Math" w:cs="Arial"/>
                <w:szCs w:val="20"/>
                <w:lang w:val="en-US"/>
              </w:rPr>
              <m:t>P</m:t>
            </m:r>
          </m:e>
          <m:sub>
            <m:r>
              <w:rPr>
                <w:rFonts w:ascii="Cambria Math" w:hAnsi="Cambria Math" w:cs="Arial"/>
                <w:szCs w:val="20"/>
                <w:lang w:val="en-US"/>
              </w:rPr>
              <m:t>N</m:t>
            </m:r>
          </m:sub>
        </m:sSub>
      </m:oMath>
      <w:r w:rsidRPr="004B606C">
        <w:rPr>
          <w:lang w:val="en-US"/>
        </w:rPr>
        <w:t xml:space="preserve"> of less than 130 kW is replaced by an internal combustion engine covered by the same type-approval according to Article 9.01(2). As a pre-condition, the inspection body shall be notified of the engine’s replacement and shall be provided with a copy of the type-approval document and details of the identification number of the newly installed engine. The inspection body shall make the appropriate amendments to item</w:t>
      </w:r>
      <w:r>
        <w:rPr>
          <w:lang w:val="en-US"/>
        </w:rPr>
        <w:t> </w:t>
      </w:r>
      <w:r w:rsidRPr="004B606C">
        <w:rPr>
          <w:lang w:val="en-US"/>
        </w:rPr>
        <w:t>52 of the inland navigation vessel certificate.</w:t>
      </w:r>
    </w:p>
    <w:p w:rsidR="00DE2419" w:rsidRPr="004B606C" w:rsidRDefault="00DE2419" w:rsidP="00DE2419">
      <w:pPr>
        <w:pStyle w:val="ESch"/>
        <w:rPr>
          <w:noProof/>
          <w:lang w:val="en-US" w:bidi="fr-FR"/>
        </w:rPr>
      </w:pPr>
    </w:p>
    <w:p w:rsidR="00DE2419" w:rsidRPr="004B606C" w:rsidRDefault="00DE2419" w:rsidP="00DE2419">
      <w:pPr>
        <w:pStyle w:val="ESlet"/>
        <w:spacing w:before="0"/>
        <w:ind w:left="567" w:hanging="567"/>
        <w:rPr>
          <w:noProof/>
          <w:lang w:val="en-US" w:bidi="fr-FR"/>
        </w:rPr>
      </w:pPr>
    </w:p>
    <w:p w:rsidR="00DE2419" w:rsidRPr="00192DA6" w:rsidRDefault="00DE2419" w:rsidP="00DE2419">
      <w:pPr>
        <w:pStyle w:val="ES-Titre3"/>
        <w:rPr>
          <w:i/>
          <w:lang w:val="en-US"/>
        </w:rPr>
      </w:pPr>
      <w:bookmarkStart w:id="85" w:name="_Toc491854074"/>
      <w:r w:rsidRPr="004B606C">
        <w:rPr>
          <w:lang w:val="en-US"/>
        </w:rPr>
        <w:t>Article 9.07</w:t>
      </w:r>
      <w:r w:rsidRPr="004B606C">
        <w:rPr>
          <w:lang w:val="en-US"/>
        </w:rPr>
        <w:br/>
      </w:r>
      <w:r w:rsidRPr="00192DA6">
        <w:rPr>
          <w:i/>
          <w:lang w:val="en-US"/>
        </w:rPr>
        <w:t>Intermediate tests</w:t>
      </w:r>
      <w:bookmarkEnd w:id="85"/>
    </w:p>
    <w:p w:rsidR="00DE2419" w:rsidRPr="004B606C" w:rsidRDefault="00DE2419" w:rsidP="00DE2419">
      <w:pPr>
        <w:pStyle w:val="ESch"/>
        <w:rPr>
          <w:lang w:val="en-US"/>
        </w:rPr>
      </w:pPr>
    </w:p>
    <w:p w:rsidR="00DE2419" w:rsidRPr="004B606C" w:rsidRDefault="00DE2419" w:rsidP="00DE2419">
      <w:pPr>
        <w:pStyle w:val="ESch"/>
        <w:rPr>
          <w:szCs w:val="20"/>
          <w:lang w:val="en-US"/>
        </w:rPr>
      </w:pPr>
      <w:r w:rsidRPr="004B606C">
        <w:rPr>
          <w:rFonts w:cs="Arial"/>
          <w:szCs w:val="20"/>
          <w:lang w:val="en-US"/>
        </w:rPr>
        <w:t>1.</w:t>
      </w:r>
      <w:r w:rsidRPr="004B606C">
        <w:rPr>
          <w:rFonts w:cs="Arial"/>
          <w:szCs w:val="20"/>
          <w:lang w:val="en-US"/>
        </w:rPr>
        <w:tab/>
        <w:t>In the event of intermediates tests, the inspection body shall ensure that an engine installed on board still complies with the technical requirements with regard to the level of emissions of gaseous and particulate pollutants, e</w:t>
      </w:r>
      <w:r w:rsidRPr="004B606C">
        <w:rPr>
          <w:szCs w:val="20"/>
          <w:lang w:val="en-US"/>
        </w:rPr>
        <w:t xml:space="preserve">ven after undergoing modifications or adaptations since the installation test, have been undergone. </w:t>
      </w:r>
    </w:p>
    <w:p w:rsidR="00DE2419" w:rsidRPr="004B606C" w:rsidRDefault="00DE2419" w:rsidP="00DE2419">
      <w:pPr>
        <w:pStyle w:val="ESch"/>
        <w:rPr>
          <w:szCs w:val="20"/>
          <w:lang w:val="en-US"/>
        </w:rPr>
      </w:pPr>
    </w:p>
    <w:p w:rsidR="00DE2419" w:rsidRPr="004B606C" w:rsidRDefault="00DE2419" w:rsidP="00DE2419">
      <w:pPr>
        <w:pStyle w:val="ESch"/>
        <w:rPr>
          <w:szCs w:val="20"/>
          <w:lang w:val="en-US"/>
        </w:rPr>
      </w:pPr>
      <w:r w:rsidRPr="004B606C">
        <w:rPr>
          <w:lang w:val="en-US"/>
        </w:rPr>
        <w:t>2.</w:t>
      </w:r>
      <w:r w:rsidRPr="004B606C">
        <w:rPr>
          <w:lang w:val="en-US"/>
        </w:rPr>
        <w:tab/>
        <w:t>Intermediate tests on the internal combustion engine shall be carried out in the context of the craft periodical inspection.</w:t>
      </w:r>
    </w:p>
    <w:p w:rsidR="00DE2419" w:rsidRPr="004B606C" w:rsidRDefault="00DE2419" w:rsidP="00DE2419">
      <w:pPr>
        <w:pStyle w:val="ESch"/>
        <w:rPr>
          <w:szCs w:val="20"/>
          <w:lang w:val="en-US"/>
        </w:rPr>
      </w:pPr>
    </w:p>
    <w:p w:rsidR="00DE2419" w:rsidRPr="004B606C" w:rsidRDefault="00DE2419" w:rsidP="00DE2419">
      <w:pPr>
        <w:pStyle w:val="ESch"/>
        <w:rPr>
          <w:szCs w:val="20"/>
          <w:lang w:val="en-US"/>
        </w:rPr>
      </w:pPr>
    </w:p>
    <w:p w:rsidR="00DE2419" w:rsidRPr="00192DA6" w:rsidRDefault="00DE2419" w:rsidP="00DE2419">
      <w:pPr>
        <w:pStyle w:val="ES-Titre3"/>
        <w:rPr>
          <w:i/>
          <w:lang w:val="en-US"/>
        </w:rPr>
      </w:pPr>
      <w:bookmarkStart w:id="86" w:name="_Toc491854075"/>
      <w:r w:rsidRPr="004B606C">
        <w:rPr>
          <w:lang w:val="en-US"/>
        </w:rPr>
        <w:t>Article 9.08</w:t>
      </w:r>
      <w:r w:rsidRPr="004B606C">
        <w:rPr>
          <w:lang w:val="en-US"/>
        </w:rPr>
        <w:br/>
      </w:r>
      <w:r w:rsidRPr="00192DA6">
        <w:rPr>
          <w:i/>
          <w:lang w:val="en-US"/>
        </w:rPr>
        <w:t>Special tests</w:t>
      </w:r>
      <w:bookmarkEnd w:id="86"/>
    </w:p>
    <w:p w:rsidR="00DE2419" w:rsidRPr="004B606C" w:rsidRDefault="00DE2419" w:rsidP="00DE2419">
      <w:pPr>
        <w:pStyle w:val="ESch"/>
        <w:rPr>
          <w:lang w:val="en-US"/>
        </w:rPr>
      </w:pPr>
    </w:p>
    <w:p w:rsidR="00DE2419" w:rsidRPr="004B606C" w:rsidRDefault="00DE2419" w:rsidP="00DE2419">
      <w:pPr>
        <w:pStyle w:val="ESch"/>
        <w:rPr>
          <w:szCs w:val="20"/>
          <w:lang w:val="en-US"/>
        </w:rPr>
      </w:pPr>
      <w:r w:rsidRPr="004B606C">
        <w:rPr>
          <w:rFonts w:cs="Arial"/>
          <w:szCs w:val="20"/>
          <w:lang w:val="en-US"/>
        </w:rPr>
        <w:t>1.</w:t>
      </w:r>
      <w:r w:rsidRPr="004B606C">
        <w:rPr>
          <w:rFonts w:cs="Arial"/>
          <w:szCs w:val="20"/>
          <w:lang w:val="en-US"/>
        </w:rPr>
        <w:tab/>
        <w:t xml:space="preserve">In the event of special tests, the inspection body shall ensure that an engine installed on board still complies with the technical requirements with regard to the level of emissions of gaseous and particulate pollutants, </w:t>
      </w:r>
      <w:r w:rsidRPr="004B606C">
        <w:rPr>
          <w:szCs w:val="20"/>
          <w:lang w:val="en-US"/>
        </w:rPr>
        <w:t xml:space="preserve">after each significant modification. </w:t>
      </w:r>
    </w:p>
    <w:p w:rsidR="00DE2419" w:rsidRPr="004B606C" w:rsidRDefault="00DE2419" w:rsidP="00DE2419">
      <w:pPr>
        <w:pStyle w:val="ESch"/>
        <w:rPr>
          <w:lang w:val="en-US"/>
        </w:rPr>
      </w:pPr>
    </w:p>
    <w:p w:rsidR="00DE2419" w:rsidRPr="004B606C" w:rsidRDefault="00DE2419" w:rsidP="00DE2419">
      <w:pPr>
        <w:pStyle w:val="ESch"/>
        <w:rPr>
          <w:lang w:val="en-US"/>
        </w:rPr>
      </w:pPr>
      <w:r w:rsidRPr="004B606C">
        <w:rPr>
          <w:lang w:val="en-US"/>
        </w:rPr>
        <w:t>2.</w:t>
      </w:r>
      <w:r w:rsidRPr="004B606C">
        <w:rPr>
          <w:lang w:val="en-US"/>
        </w:rPr>
        <w:tab/>
        <w:t>After each significant modification to an engine, where such modifications have the potential to affect the emission of gaseous and particulate pollutants from the internal combustion engine, a special test must invariably be carried out.</w:t>
      </w:r>
    </w:p>
    <w:p w:rsidR="00DE2419" w:rsidRPr="004B606C" w:rsidRDefault="00DE2419" w:rsidP="00DE2419">
      <w:pPr>
        <w:rPr>
          <w:rFonts w:cs="Arial"/>
          <w:szCs w:val="20"/>
          <w:lang w:val="en-US"/>
        </w:rPr>
      </w:pPr>
    </w:p>
    <w:p w:rsidR="00DE2419" w:rsidRPr="004B606C" w:rsidRDefault="00DE2419" w:rsidP="00DE2419">
      <w:pPr>
        <w:pStyle w:val="ESch"/>
        <w:rPr>
          <w:lang w:val="en-US"/>
        </w:rPr>
      </w:pPr>
    </w:p>
    <w:p w:rsidR="00DE2419" w:rsidRPr="00192DA6" w:rsidRDefault="00DE2419" w:rsidP="00DE2419">
      <w:pPr>
        <w:pStyle w:val="ES-Titre3"/>
        <w:rPr>
          <w:i/>
          <w:lang w:val="en-US"/>
        </w:rPr>
      </w:pPr>
      <w:bookmarkStart w:id="87" w:name="_Toc491854076"/>
      <w:r w:rsidRPr="004B606C">
        <w:rPr>
          <w:lang w:val="en-US"/>
        </w:rPr>
        <w:t>Article 9.09</w:t>
      </w:r>
      <w:r>
        <w:rPr>
          <w:lang w:val="en-US"/>
        </w:rPr>
        <w:br/>
      </w:r>
      <w:r w:rsidRPr="00192DA6">
        <w:rPr>
          <w:i/>
          <w:lang w:val="en-US"/>
        </w:rPr>
        <w:t>Specific requirements concerning exhaust gas after treatment systems</w:t>
      </w:r>
      <w:bookmarkEnd w:id="87"/>
    </w:p>
    <w:p w:rsidR="00DE2419" w:rsidRPr="004B606C" w:rsidRDefault="00DE2419" w:rsidP="00DE2419">
      <w:pPr>
        <w:pStyle w:val="ESch"/>
        <w:rPr>
          <w:lang w:val="en-US"/>
        </w:rPr>
      </w:pPr>
    </w:p>
    <w:p w:rsidR="00DE2419" w:rsidRPr="004B606C" w:rsidRDefault="00DE2419" w:rsidP="00DE2419">
      <w:pPr>
        <w:pStyle w:val="ESch"/>
        <w:rPr>
          <w:rFonts w:cs="Arial"/>
          <w:szCs w:val="20"/>
          <w:lang w:val="en-US"/>
        </w:rPr>
      </w:pPr>
      <w:r w:rsidRPr="004B606C">
        <w:rPr>
          <w:rFonts w:cs="Arial"/>
          <w:szCs w:val="20"/>
          <w:lang w:val="en-US"/>
        </w:rPr>
        <w:t>1.</w:t>
      </w:r>
      <w:r w:rsidRPr="004B606C">
        <w:rPr>
          <w:rFonts w:cs="Arial"/>
          <w:szCs w:val="20"/>
          <w:lang w:val="en-US"/>
        </w:rPr>
        <w:tab/>
        <w:t xml:space="preserve">The exhaust gas after treatment systems shall not impair the safe operation of the craft, including propulsion system and power supply, nor block the exhaust system. </w:t>
      </w:r>
    </w:p>
    <w:p w:rsidR="00DE2419" w:rsidRPr="004B606C" w:rsidRDefault="00DE2419" w:rsidP="00DE2419">
      <w:pPr>
        <w:pStyle w:val="ESch"/>
        <w:rPr>
          <w:rFonts w:cs="Arial"/>
          <w:szCs w:val="20"/>
          <w:lang w:val="en-US"/>
        </w:rPr>
      </w:pPr>
    </w:p>
    <w:p w:rsidR="00DE2419" w:rsidRPr="004B606C" w:rsidRDefault="00DE2419" w:rsidP="00DE2419">
      <w:pPr>
        <w:pStyle w:val="ESch"/>
        <w:rPr>
          <w:rFonts w:ascii="ArialMT" w:hAnsi="ArialMT" w:cs="ArialMT"/>
          <w:szCs w:val="20"/>
          <w:lang w:val="en-GB"/>
        </w:rPr>
      </w:pPr>
      <w:r w:rsidRPr="004B606C">
        <w:rPr>
          <w:rFonts w:ascii="ArialMT" w:hAnsi="ArialMT" w:cs="ArialMT"/>
          <w:szCs w:val="20"/>
          <w:lang w:val="en-GB"/>
        </w:rPr>
        <w:t>2.</w:t>
      </w:r>
      <w:r w:rsidRPr="004B606C">
        <w:rPr>
          <w:rFonts w:ascii="ArialMT" w:hAnsi="ArialMT" w:cs="ArialMT"/>
          <w:szCs w:val="20"/>
          <w:lang w:val="en-GB"/>
        </w:rPr>
        <w:tab/>
        <w:t>When the exhaust gas after treatment system of internal combustion engines, which ensure the main propulsion of a craft, is equipped with a bypassing device, the bypassing device must comply with the following conditions:</w:t>
      </w:r>
    </w:p>
    <w:p w:rsidR="00DE2419" w:rsidRPr="004B606C" w:rsidRDefault="00DE2419" w:rsidP="00DE2419">
      <w:pPr>
        <w:pStyle w:val="ESlet"/>
        <w:rPr>
          <w:lang w:val="en-GB"/>
        </w:rPr>
      </w:pPr>
      <w:r w:rsidRPr="004B606C">
        <w:rPr>
          <w:lang w:val="en-GB"/>
        </w:rPr>
        <w:t>a)</w:t>
      </w:r>
      <w:r w:rsidRPr="004B606C">
        <w:rPr>
          <w:lang w:val="en-GB"/>
        </w:rPr>
        <w:tab/>
        <w:t>In the event of a failure of the exhaust gas after treatment system, the activation of the bypassing device must allow the craft to continue to make steerageway under its own power.</w:t>
      </w:r>
    </w:p>
    <w:p w:rsidR="00DE2419" w:rsidRPr="004B606C" w:rsidRDefault="00DE2419" w:rsidP="00DE2419">
      <w:pPr>
        <w:pStyle w:val="ESlet"/>
        <w:rPr>
          <w:lang w:val="en-GB"/>
        </w:rPr>
      </w:pPr>
      <w:r w:rsidRPr="004B606C">
        <w:rPr>
          <w:lang w:val="en-GB"/>
        </w:rPr>
        <w:t>b)</w:t>
      </w:r>
      <w:r w:rsidRPr="004B606C">
        <w:rPr>
          <w:lang w:val="en-GB"/>
        </w:rPr>
        <w:tab/>
      </w:r>
      <w:r w:rsidRPr="004B606C">
        <w:rPr>
          <w:rFonts w:cs="Arial"/>
          <w:lang w:val="en-US"/>
        </w:rPr>
        <w:t>In the event of activation of the bypassing device, the by-pass device control system</w:t>
      </w:r>
      <w:r w:rsidRPr="004B606C">
        <w:rPr>
          <w:lang w:val="en-US"/>
        </w:rPr>
        <w:t xml:space="preserve"> shall trigger an acoustic and optical alarm signal in the wheelhouse.</w:t>
      </w:r>
    </w:p>
    <w:p w:rsidR="00DE2419" w:rsidRPr="004B606C" w:rsidRDefault="00DE2419" w:rsidP="00DE2419">
      <w:pPr>
        <w:pStyle w:val="ESlet"/>
        <w:rPr>
          <w:rFonts w:cs="Arial"/>
          <w:lang w:val="en-US"/>
        </w:rPr>
      </w:pPr>
      <w:r w:rsidRPr="004B606C">
        <w:rPr>
          <w:lang w:val="en-GB"/>
        </w:rPr>
        <w:t>c)</w:t>
      </w:r>
      <w:r w:rsidRPr="004B606C">
        <w:rPr>
          <w:lang w:val="en-GB"/>
        </w:rPr>
        <w:tab/>
        <w:t>A b</w:t>
      </w:r>
      <w:r w:rsidRPr="004B606C">
        <w:rPr>
          <w:rFonts w:cs="Arial"/>
          <w:lang w:val="en-US"/>
        </w:rPr>
        <w:t>y-pass device control system shall record in nonvolatile computer memory all incidents of engine operation with use of the bypassing device. The information shall be readily available for the competent authorities.</w:t>
      </w:r>
    </w:p>
    <w:p w:rsidR="00DE2419" w:rsidRDefault="00DE2419" w:rsidP="00DE2419">
      <w:pPr>
        <w:pStyle w:val="ESch"/>
        <w:rPr>
          <w:lang w:val="en-US"/>
        </w:rPr>
      </w:pPr>
    </w:p>
    <w:p w:rsidR="00211AAA" w:rsidRDefault="00211AAA">
      <w:pPr>
        <w:autoSpaceDE/>
        <w:autoSpaceDN/>
        <w:ind w:left="0" w:firstLine="0"/>
        <w:jc w:val="left"/>
        <w:rPr>
          <w:lang w:val="en-US"/>
        </w:rPr>
      </w:pPr>
      <w:r>
        <w:rPr>
          <w:lang w:val="en-US"/>
        </w:rPr>
        <w:br w:type="page"/>
      </w:r>
    </w:p>
    <w:p w:rsidR="00211AAA" w:rsidRPr="004B606C" w:rsidRDefault="00211AAA" w:rsidP="00DE2419">
      <w:pPr>
        <w:pStyle w:val="ESch"/>
        <w:rPr>
          <w:lang w:val="en-US"/>
        </w:rPr>
      </w:pPr>
    </w:p>
    <w:p w:rsidR="00DE2419" w:rsidRPr="004B606C" w:rsidRDefault="00DE2419" w:rsidP="00DE2419">
      <w:pPr>
        <w:pStyle w:val="ESch"/>
        <w:rPr>
          <w:lang w:val="en-US"/>
        </w:rPr>
      </w:pPr>
      <w:r w:rsidRPr="004B606C">
        <w:rPr>
          <w:lang w:val="en-US"/>
        </w:rPr>
        <w:t>3.</w:t>
      </w:r>
      <w:r w:rsidRPr="004B606C">
        <w:rPr>
          <w:lang w:val="en-US"/>
        </w:rPr>
        <w:tab/>
        <w:t>When a control diagnostic system is installed according to Article 25(3)(f)</w:t>
      </w:r>
      <w:r>
        <w:rPr>
          <w:lang w:val="en-US"/>
        </w:rPr>
        <w:t xml:space="preserve"> of </w:t>
      </w:r>
      <w:r w:rsidRPr="004B606C">
        <w:rPr>
          <w:lang w:val="en-US"/>
        </w:rPr>
        <w:t>Regulation (EU) 2016/1628, the required alarms shall trigger an acoustic and optical alarm signal in the wheelhouse in case of malfunctions.</w:t>
      </w:r>
    </w:p>
    <w:p w:rsidR="00DE2419" w:rsidRPr="004B606C" w:rsidRDefault="00DE2419" w:rsidP="00DE2419">
      <w:pPr>
        <w:pStyle w:val="ESch"/>
        <w:rPr>
          <w:lang w:val="en-US"/>
        </w:rPr>
      </w:pPr>
    </w:p>
    <w:p w:rsidR="00DE2419" w:rsidRPr="004B606C" w:rsidRDefault="00DE2419" w:rsidP="00DE2419">
      <w:pPr>
        <w:pStyle w:val="ESch"/>
        <w:rPr>
          <w:lang w:val="en-US"/>
        </w:rPr>
      </w:pPr>
      <w:r w:rsidRPr="004B606C">
        <w:rPr>
          <w:lang w:val="en-US"/>
        </w:rPr>
        <w:t>4.</w:t>
      </w:r>
      <w:r w:rsidRPr="004B606C">
        <w:rPr>
          <w:lang w:val="en-US"/>
        </w:rPr>
        <w:tab/>
        <w:t>If an after-treatment system relies on the use of a reagent in order to reduce emissions, the required alarm</w:t>
      </w:r>
      <w:r>
        <w:rPr>
          <w:lang w:val="en-US"/>
        </w:rPr>
        <w:t>s</w:t>
      </w:r>
      <w:r w:rsidRPr="004B606C">
        <w:rPr>
          <w:lang w:val="en-US"/>
        </w:rPr>
        <w:t xml:space="preserve"> shall alert crew to the need to refill the reagent tank before it is empty, or to replace the reagent if it does not meet the concentration specifications. </w:t>
      </w:r>
    </w:p>
    <w:p w:rsidR="00DE2419" w:rsidRPr="004B606C" w:rsidRDefault="00DE2419" w:rsidP="00DE2419">
      <w:pPr>
        <w:pStyle w:val="ESch"/>
        <w:rPr>
          <w:lang w:val="en-US"/>
        </w:rPr>
      </w:pPr>
    </w:p>
    <w:p w:rsidR="00DE2419" w:rsidRPr="004532C5" w:rsidRDefault="00DE2419" w:rsidP="00DE2419">
      <w:pPr>
        <w:pStyle w:val="ESchpar"/>
        <w:rPr>
          <w:lang w:val="en-US"/>
        </w:rPr>
      </w:pPr>
      <w:r w:rsidRPr="004532C5">
        <w:rPr>
          <w:lang w:val="en-US"/>
        </w:rPr>
        <w:t xml:space="preserve">When </w:t>
      </w:r>
      <w:r w:rsidRPr="001E1A39">
        <w:rPr>
          <w:lang w:val="en-US"/>
        </w:rPr>
        <w:t>a control diagnosti</w:t>
      </w:r>
      <w:r>
        <w:rPr>
          <w:lang w:val="en-US"/>
        </w:rPr>
        <w:t>c system installed according</w:t>
      </w:r>
      <w:r w:rsidRPr="004532C5">
        <w:rPr>
          <w:lang w:val="en-US"/>
        </w:rPr>
        <w:t xml:space="preserve"> to Article 25(3)(f) of Regulation (EU) 2016/1628 </w:t>
      </w:r>
      <w:r w:rsidRPr="001E1A39">
        <w:rPr>
          <w:rFonts w:cs="Arial"/>
          <w:bCs/>
          <w:szCs w:val="20"/>
          <w:lang w:val="en-US"/>
        </w:rPr>
        <w:t>can activate</w:t>
      </w:r>
      <w:r>
        <w:rPr>
          <w:rFonts w:cs="Arial"/>
          <w:szCs w:val="20"/>
          <w:lang w:val="en-US"/>
        </w:rPr>
        <w:t xml:space="preserve"> </w:t>
      </w:r>
      <w:r w:rsidRPr="004532C5">
        <w:rPr>
          <w:lang w:val="en-US"/>
        </w:rPr>
        <w:t>power reduction of the internal combustion engine, the following requirements must be fulfilled:</w:t>
      </w:r>
    </w:p>
    <w:p w:rsidR="00DE2419" w:rsidRPr="004532C5" w:rsidRDefault="00DE2419" w:rsidP="00DE2419">
      <w:pPr>
        <w:spacing w:before="60" w:line="240" w:lineRule="atLeast"/>
        <w:ind w:left="993" w:hanging="426"/>
        <w:rPr>
          <w:rFonts w:ascii="ArialMT" w:hAnsi="ArialMT" w:cs="ArialMT"/>
          <w:szCs w:val="20"/>
          <w:lang w:val="en-GB"/>
        </w:rPr>
      </w:pPr>
      <w:r w:rsidRPr="004532C5">
        <w:rPr>
          <w:rFonts w:ascii="ArialMT" w:hAnsi="ArialMT" w:cs="ArialMT"/>
          <w:szCs w:val="20"/>
          <w:lang w:val="en-GB"/>
        </w:rPr>
        <w:t>a)</w:t>
      </w:r>
      <w:r w:rsidRPr="004532C5">
        <w:rPr>
          <w:rFonts w:ascii="ArialMT" w:hAnsi="ArialMT" w:cs="ArialMT"/>
          <w:szCs w:val="20"/>
          <w:lang w:val="en-GB"/>
        </w:rPr>
        <w:tab/>
        <w:t>The activation of the power reduction must allow the craft to continue to make steerageway under its own power.</w:t>
      </w:r>
    </w:p>
    <w:p w:rsidR="00DE2419" w:rsidRPr="004532C5" w:rsidRDefault="00DE2419" w:rsidP="00DE2419">
      <w:pPr>
        <w:spacing w:before="60" w:line="240" w:lineRule="atLeast"/>
        <w:ind w:left="993" w:hanging="426"/>
        <w:rPr>
          <w:rFonts w:ascii="ArialMT" w:hAnsi="ArialMT" w:cs="ArialMT"/>
          <w:szCs w:val="20"/>
          <w:lang w:val="en-GB"/>
        </w:rPr>
      </w:pPr>
      <w:r w:rsidRPr="004532C5">
        <w:rPr>
          <w:rFonts w:ascii="ArialMT" w:hAnsi="ArialMT" w:cs="ArialMT"/>
          <w:szCs w:val="20"/>
          <w:lang w:val="en-GB"/>
        </w:rPr>
        <w:t>b)</w:t>
      </w:r>
      <w:r w:rsidRPr="004532C5">
        <w:rPr>
          <w:rFonts w:ascii="ArialMT" w:hAnsi="ArialMT" w:cs="ArialMT"/>
          <w:szCs w:val="20"/>
          <w:lang w:val="en-GB"/>
        </w:rPr>
        <w:tab/>
        <w:t>In the event of activation of the power reduction, the control system shall trigger an acoustic and optical alarm signal in the wheelhouse.</w:t>
      </w:r>
    </w:p>
    <w:p w:rsidR="00DE2419" w:rsidRDefault="00DE2419" w:rsidP="00DE2419">
      <w:pPr>
        <w:pStyle w:val="ESch"/>
        <w:rPr>
          <w:lang w:val="en-US"/>
        </w:rPr>
      </w:pPr>
    </w:p>
    <w:p w:rsidR="00DE2419" w:rsidRPr="004B606C" w:rsidRDefault="00DE2419" w:rsidP="00DE2419">
      <w:pPr>
        <w:pStyle w:val="ESch"/>
        <w:rPr>
          <w:rFonts w:ascii="ArialMT" w:hAnsi="ArialMT" w:cs="ArialMT"/>
          <w:lang w:val="en-GB"/>
        </w:rPr>
      </w:pPr>
      <w:r w:rsidRPr="004B606C">
        <w:rPr>
          <w:rFonts w:ascii="ArialMT" w:hAnsi="ArialMT" w:cs="ArialMT"/>
          <w:lang w:val="en-GB"/>
        </w:rPr>
        <w:t>5.</w:t>
      </w:r>
      <w:r w:rsidRPr="004B606C">
        <w:rPr>
          <w:rFonts w:ascii="ArialMT" w:hAnsi="ArialMT" w:cs="ArialMT"/>
          <w:lang w:val="en-GB"/>
        </w:rPr>
        <w:tab/>
        <w:t xml:space="preserve">The requirement of (1) shall be deemed to be fulfilled when the vessel is equipped with </w:t>
      </w:r>
    </w:p>
    <w:p w:rsidR="00DE2419" w:rsidRPr="004B606C" w:rsidRDefault="00DE2419" w:rsidP="00DE2419">
      <w:pPr>
        <w:pStyle w:val="ESlet"/>
        <w:rPr>
          <w:lang w:val="en-GB"/>
        </w:rPr>
      </w:pPr>
      <w:r w:rsidRPr="004B606C">
        <w:rPr>
          <w:lang w:val="en-GB"/>
        </w:rPr>
        <w:t>a)</w:t>
      </w:r>
      <w:r w:rsidRPr="004B606C">
        <w:rPr>
          <w:lang w:val="en-GB"/>
        </w:rPr>
        <w:tab/>
        <w:t>a second independent propulsion system (even if that second system also includes an exhaust gas after treatment system) allowing the craft to continue to make steerageway under its own power; or</w:t>
      </w:r>
    </w:p>
    <w:p w:rsidR="00DE2419" w:rsidRPr="004B606C" w:rsidRDefault="00DE2419" w:rsidP="00DE2419">
      <w:pPr>
        <w:pStyle w:val="ESlet"/>
        <w:rPr>
          <w:lang w:val="en-GB"/>
        </w:rPr>
      </w:pPr>
      <w:r w:rsidRPr="004B606C">
        <w:rPr>
          <w:lang w:val="en-GB"/>
        </w:rPr>
        <w:t>b)</w:t>
      </w:r>
      <w:r w:rsidRPr="004B606C">
        <w:rPr>
          <w:lang w:val="en-GB"/>
        </w:rPr>
        <w:tab/>
        <w:t xml:space="preserve">an after-treatment system with a bypass device according to (2). </w:t>
      </w:r>
    </w:p>
    <w:p w:rsidR="002D2D76" w:rsidRPr="00DE2419" w:rsidRDefault="002D2D76" w:rsidP="002D2D76">
      <w:pPr>
        <w:rPr>
          <w:rFonts w:cs="Arial"/>
          <w:szCs w:val="20"/>
          <w:lang w:val="en-GB"/>
        </w:rPr>
      </w:pPr>
    </w:p>
    <w:p w:rsidR="00E9195A" w:rsidRPr="00C903F8" w:rsidRDefault="00E9195A" w:rsidP="00245091">
      <w:pPr>
        <w:rPr>
          <w:lang w:val="en-US"/>
        </w:rPr>
      </w:pPr>
    </w:p>
    <w:p w:rsidR="00ED1CB3" w:rsidRPr="00C903F8" w:rsidRDefault="00ED1CB3" w:rsidP="00245091">
      <w:pPr>
        <w:rPr>
          <w:lang w:val="en-US"/>
        </w:rPr>
      </w:pPr>
    </w:p>
    <w:p w:rsidR="00ED1CB3" w:rsidRPr="00C903F8" w:rsidRDefault="00ED1CB3">
      <w:pPr>
        <w:autoSpaceDE/>
        <w:autoSpaceDN/>
        <w:ind w:left="0" w:firstLine="0"/>
        <w:jc w:val="left"/>
        <w:rPr>
          <w:lang w:val="en-US"/>
        </w:rPr>
      </w:pPr>
      <w:r w:rsidRPr="00C903F8">
        <w:rPr>
          <w:lang w:val="en-US"/>
        </w:rPr>
        <w:br w:type="page"/>
      </w:r>
    </w:p>
    <w:p w:rsidR="00ED1CB3" w:rsidRPr="00C903F8" w:rsidRDefault="00ED1CB3" w:rsidP="00245091">
      <w:pPr>
        <w:rPr>
          <w:lang w:val="en-US"/>
        </w:rPr>
      </w:pPr>
    </w:p>
    <w:p w:rsidR="00ED1CB3" w:rsidRPr="00C903F8" w:rsidRDefault="00ED1CB3" w:rsidP="00245091">
      <w:pPr>
        <w:rPr>
          <w:lang w:val="en-US"/>
        </w:rPr>
      </w:pPr>
    </w:p>
    <w:p w:rsidR="00ED1CB3" w:rsidRPr="00C903F8" w:rsidRDefault="00ED1CB3" w:rsidP="00245091">
      <w:pPr>
        <w:rPr>
          <w:lang w:val="en-US"/>
        </w:rPr>
      </w:pPr>
    </w:p>
    <w:p w:rsidR="00E9195A" w:rsidRPr="00C903F8" w:rsidRDefault="00E9195A" w:rsidP="00245091">
      <w:pPr>
        <w:rPr>
          <w:lang w:val="en-US"/>
        </w:rPr>
      </w:pPr>
    </w:p>
    <w:p w:rsidR="0033095A" w:rsidRPr="00C903F8" w:rsidRDefault="008A12E7" w:rsidP="0033095A">
      <w:pPr>
        <w:pStyle w:val="ES-Titre2"/>
      </w:pPr>
      <w:bookmarkStart w:id="88" w:name="_Toc491854077"/>
      <w:r w:rsidRPr="00C903F8">
        <w:lastRenderedPageBreak/>
        <w:t>Chapter</w:t>
      </w:r>
      <w:r w:rsidR="0033095A" w:rsidRPr="00C903F8">
        <w:t xml:space="preserve"> 10</w:t>
      </w:r>
      <w:r w:rsidR="0033095A" w:rsidRPr="00C903F8">
        <w:br/>
      </w:r>
      <w:r w:rsidRPr="00C903F8">
        <w:t>Electrical equipment</w:t>
      </w:r>
      <w:r w:rsidR="001F02E6">
        <w:t xml:space="preserve"> and installations</w:t>
      </w:r>
      <w:bookmarkEnd w:id="88"/>
    </w:p>
    <w:p w:rsidR="0033095A" w:rsidRDefault="0033095A" w:rsidP="00763ADA">
      <w:pPr>
        <w:rPr>
          <w:lang w:val="en-US"/>
        </w:rPr>
      </w:pPr>
    </w:p>
    <w:p w:rsidR="008A12E7" w:rsidRPr="00C903F8" w:rsidRDefault="008A12E7" w:rsidP="008A12E7">
      <w:pPr>
        <w:pStyle w:val="ES-Titre3"/>
        <w:rPr>
          <w:i/>
          <w:noProof/>
          <w:lang w:val="en-US"/>
        </w:rPr>
      </w:pPr>
      <w:bookmarkStart w:id="89" w:name="_Toc491854078"/>
      <w:r w:rsidRPr="00C903F8">
        <w:rPr>
          <w:noProof/>
          <w:lang w:val="en-US"/>
        </w:rPr>
        <w:t>Article 10.01</w:t>
      </w:r>
      <w:r w:rsidRPr="00C903F8">
        <w:rPr>
          <w:noProof/>
          <w:lang w:val="en-US"/>
        </w:rPr>
        <w:br/>
      </w:r>
      <w:r w:rsidRPr="00C903F8">
        <w:rPr>
          <w:i/>
          <w:noProof/>
          <w:lang w:val="en-US"/>
        </w:rPr>
        <w:t>General</w:t>
      </w:r>
      <w:bookmarkEnd w:id="89"/>
    </w:p>
    <w:p w:rsidR="008A12E7" w:rsidRPr="00C903F8" w:rsidRDefault="008A12E7" w:rsidP="008A12E7">
      <w:pPr>
        <w:rPr>
          <w:rFonts w:cs="Arial"/>
          <w:noProof/>
          <w:szCs w:val="20"/>
          <w:lang w:val="en-US"/>
        </w:rPr>
      </w:pPr>
    </w:p>
    <w:p w:rsidR="001F02E6" w:rsidRPr="008F6ABB" w:rsidRDefault="001F02E6" w:rsidP="001F02E6">
      <w:pPr>
        <w:pStyle w:val="ESch"/>
        <w:rPr>
          <w:rFonts w:eastAsia="Calibri"/>
          <w:lang w:val="en-GB"/>
        </w:rPr>
      </w:pPr>
      <w:r w:rsidRPr="008F6ABB">
        <w:rPr>
          <w:lang w:val="en-GB"/>
        </w:rPr>
        <w:t>1.</w:t>
      </w:r>
      <w:r w:rsidRPr="008F6ABB">
        <w:rPr>
          <w:lang w:val="en-GB"/>
        </w:rPr>
        <w:tab/>
        <w:t>When no special requirements are specified for certain parts of an electrical installation or an electrical equipment, the safety level shall be considered satisfactory when these parts have been installed in accordance with an approved European Standard or in accordance with the requirements of a recognised classification society.</w:t>
      </w:r>
    </w:p>
    <w:p w:rsidR="001F02E6" w:rsidRPr="008F6ABB" w:rsidRDefault="001F02E6" w:rsidP="001F02E6">
      <w:pPr>
        <w:pStyle w:val="ESchpar"/>
        <w:rPr>
          <w:rFonts w:eastAsia="Calibri"/>
          <w:lang w:val="en-GB"/>
        </w:rPr>
      </w:pPr>
    </w:p>
    <w:p w:rsidR="001F02E6" w:rsidRPr="008F6ABB" w:rsidRDefault="001F02E6" w:rsidP="001F02E6">
      <w:pPr>
        <w:pStyle w:val="ESchpar"/>
        <w:rPr>
          <w:rFonts w:eastAsia="Calibri"/>
          <w:lang w:val="en-GB"/>
        </w:rPr>
      </w:pPr>
      <w:r w:rsidRPr="008F6ABB">
        <w:rPr>
          <w:lang w:val="en-GB"/>
        </w:rPr>
        <w:t>The relevant documents must be submitted to the inspection body.</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2.</w:t>
      </w:r>
      <w:r w:rsidRPr="008F6ABB">
        <w:rPr>
          <w:lang w:val="en-GB"/>
        </w:rPr>
        <w:tab/>
        <w:t>The following documents bearing the stamp of the inspection body shall be available on board:</w:t>
      </w:r>
    </w:p>
    <w:p w:rsidR="001F02E6" w:rsidRPr="008F6ABB" w:rsidRDefault="001F02E6" w:rsidP="001F02E6">
      <w:pPr>
        <w:pStyle w:val="ESlet"/>
        <w:rPr>
          <w:rFonts w:eastAsia="Calibri"/>
          <w:lang w:val="en-GB"/>
        </w:rPr>
      </w:pPr>
      <w:r w:rsidRPr="008F6ABB">
        <w:rPr>
          <w:lang w:val="en-GB"/>
        </w:rPr>
        <w:t>a)</w:t>
      </w:r>
      <w:r w:rsidRPr="008F6ABB">
        <w:rPr>
          <w:lang w:val="en-GB"/>
        </w:rPr>
        <w:tab/>
        <w:t>general plans concerning the entire electrical installation;</w:t>
      </w:r>
    </w:p>
    <w:p w:rsidR="001F02E6" w:rsidRPr="008F6ABB" w:rsidRDefault="001F02E6" w:rsidP="001F02E6">
      <w:pPr>
        <w:pStyle w:val="ESlet"/>
        <w:rPr>
          <w:rFonts w:eastAsia="Calibri" w:cs="Arial"/>
          <w:szCs w:val="20"/>
          <w:lang w:val="en-GB"/>
        </w:rPr>
      </w:pPr>
      <w:r w:rsidRPr="008F6ABB">
        <w:rPr>
          <w:szCs w:val="20"/>
          <w:lang w:val="en-GB"/>
        </w:rPr>
        <w:t>b)</w:t>
      </w:r>
      <w:r w:rsidRPr="008F6ABB">
        <w:rPr>
          <w:szCs w:val="20"/>
          <w:lang w:val="en-GB"/>
        </w:rPr>
        <w:tab/>
        <w:t>plans of the main switchboards, the emergency switchboards, the distribution switchboards, showing the most important technical data such as amperage of the nominal current of fuses and switching devices;</w:t>
      </w:r>
    </w:p>
    <w:p w:rsidR="001F02E6" w:rsidRPr="008F6ABB" w:rsidRDefault="001F02E6" w:rsidP="001F02E6">
      <w:pPr>
        <w:pStyle w:val="ESlet"/>
        <w:rPr>
          <w:rFonts w:eastAsia="Calibri"/>
          <w:lang w:val="en-GB"/>
        </w:rPr>
      </w:pPr>
      <w:r w:rsidRPr="008F6ABB">
        <w:rPr>
          <w:lang w:val="en-GB"/>
        </w:rPr>
        <w:t>c)</w:t>
      </w:r>
      <w:r w:rsidRPr="008F6ABB">
        <w:rPr>
          <w:lang w:val="en-GB"/>
        </w:rPr>
        <w:tab/>
        <w:t>indications of power requirements for electrical service equipment;</w:t>
      </w:r>
    </w:p>
    <w:p w:rsidR="001F02E6" w:rsidRPr="008F6ABB" w:rsidRDefault="001F02E6" w:rsidP="001F02E6">
      <w:pPr>
        <w:pStyle w:val="ESlet"/>
        <w:rPr>
          <w:rFonts w:eastAsia="Calibri"/>
          <w:lang w:val="en-GB"/>
        </w:rPr>
      </w:pPr>
      <w:r w:rsidRPr="008F6ABB">
        <w:rPr>
          <w:lang w:val="en-GB"/>
        </w:rPr>
        <w:t>d)</w:t>
      </w:r>
      <w:r w:rsidRPr="008F6ABB">
        <w:rPr>
          <w:lang w:val="en-GB"/>
        </w:rPr>
        <w:tab/>
        <w:t>types of cables indicating conductor cross-sections;</w:t>
      </w:r>
    </w:p>
    <w:p w:rsidR="001F02E6" w:rsidRPr="008F6ABB" w:rsidRDefault="001F02E6" w:rsidP="001F02E6">
      <w:pPr>
        <w:pStyle w:val="ESlet"/>
        <w:rPr>
          <w:rFonts w:eastAsia="Calibri"/>
          <w:lang w:val="en-GB"/>
        </w:rPr>
      </w:pPr>
      <w:r w:rsidRPr="008F6ABB">
        <w:rPr>
          <w:lang w:val="en-GB"/>
        </w:rPr>
        <w:t>e)</w:t>
      </w:r>
      <w:r w:rsidRPr="008F6ABB">
        <w:rPr>
          <w:lang w:val="en-GB"/>
        </w:rPr>
        <w:tab/>
        <w:t>for electric vessel propulsion systems, switchboard plans as well as electric propulsion engine documentation;</w:t>
      </w:r>
    </w:p>
    <w:p w:rsidR="001F02E6" w:rsidRPr="00881113" w:rsidRDefault="001F02E6" w:rsidP="001F02E6">
      <w:pPr>
        <w:pStyle w:val="ESlet"/>
        <w:rPr>
          <w:rFonts w:eastAsia="Calibri"/>
          <w:lang w:val="en-GB"/>
        </w:rPr>
      </w:pPr>
      <w:r w:rsidRPr="00881113">
        <w:rPr>
          <w:lang w:val="en-GB"/>
        </w:rPr>
        <w:t>f)</w:t>
      </w:r>
      <w:r w:rsidRPr="00881113">
        <w:rPr>
          <w:lang w:val="en-GB"/>
        </w:rPr>
        <w:tab/>
        <w:t>plans of electronic steering control, regulating, alarm and safety systems;</w:t>
      </w:r>
    </w:p>
    <w:p w:rsidR="001F02E6" w:rsidRPr="008F6ABB" w:rsidRDefault="001F02E6" w:rsidP="001F02E6">
      <w:pPr>
        <w:pStyle w:val="ESlet"/>
        <w:rPr>
          <w:rFonts w:eastAsia="Calibri"/>
          <w:lang w:val="en-GB"/>
        </w:rPr>
      </w:pPr>
      <w:r w:rsidRPr="00881113">
        <w:rPr>
          <w:lang w:val="en-GB"/>
        </w:rPr>
        <w:t>g)</w:t>
      </w:r>
      <w:r w:rsidRPr="00881113">
        <w:rPr>
          <w:lang w:val="en-GB"/>
        </w:rPr>
        <w:tab/>
        <w:t>control circuit plans.</w:t>
      </w:r>
    </w:p>
    <w:p w:rsidR="001F02E6" w:rsidRPr="008F6ABB" w:rsidRDefault="001F02E6" w:rsidP="001F02E6">
      <w:pPr>
        <w:pStyle w:val="ESchpar"/>
        <w:rPr>
          <w:rFonts w:eastAsia="Calibri"/>
          <w:lang w:val="en-GB"/>
        </w:rPr>
      </w:pPr>
    </w:p>
    <w:p w:rsidR="001F02E6" w:rsidRPr="008F6ABB" w:rsidRDefault="001F02E6" w:rsidP="001F02E6">
      <w:pPr>
        <w:pStyle w:val="ESchpar"/>
        <w:rPr>
          <w:rFonts w:eastAsia="Calibri"/>
          <w:lang w:val="en-GB"/>
        </w:rPr>
      </w:pPr>
      <w:r w:rsidRPr="008F6ABB">
        <w:rPr>
          <w:lang w:val="en-GB"/>
        </w:rPr>
        <w:t xml:space="preserve">For unmanned </w:t>
      </w:r>
      <w:r>
        <w:rPr>
          <w:lang w:val="en-GB"/>
        </w:rPr>
        <w:t>craft</w:t>
      </w:r>
      <w:r w:rsidRPr="008F6ABB">
        <w:rPr>
          <w:lang w:val="en-GB"/>
        </w:rPr>
        <w:t>, these documents shall not be required to be on board but shall at all times be available with the owner.</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3.</w:t>
      </w:r>
      <w:r w:rsidRPr="008F6ABB">
        <w:rPr>
          <w:lang w:val="en-GB"/>
        </w:rPr>
        <w:tab/>
        <w:t xml:space="preserve">The equipment and installations shall be designed for a permanent list of the </w:t>
      </w:r>
      <w:r>
        <w:rPr>
          <w:lang w:val="en-GB"/>
        </w:rPr>
        <w:t>craft</w:t>
      </w:r>
      <w:r w:rsidRPr="008F6ABB">
        <w:rPr>
          <w:lang w:val="en-GB"/>
        </w:rPr>
        <w:t xml:space="preserve"> of up to 15° and internal ambient temperatures from 0 °C to + 40 °C and on deck from – 20 °C to + 40 °C. They shall be fully functional up to these limits.</w:t>
      </w:r>
    </w:p>
    <w:p w:rsidR="001F02E6" w:rsidRPr="001717EA"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4.</w:t>
      </w:r>
      <w:r w:rsidRPr="008F6ABB">
        <w:rPr>
          <w:lang w:val="en-GB"/>
        </w:rPr>
        <w:tab/>
        <w:t>Electrical equipment and installations shall be easily accessible and easy to maintain</w:t>
      </w:r>
      <w:r w:rsidR="000236CB">
        <w:rPr>
          <w:lang w:val="en-GB"/>
        </w:rPr>
        <w:t>.</w:t>
      </w:r>
    </w:p>
    <w:p w:rsidR="001F02E6" w:rsidRPr="001717EA"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5.</w:t>
      </w:r>
      <w:r w:rsidRPr="008F6ABB">
        <w:rPr>
          <w:lang w:val="en-GB"/>
        </w:rPr>
        <w:tab/>
        <w:t>Electrical equipment and installations must be designed and installed so that vibrations which occur in normal service on board do not cause malfunctions or damage.</w:t>
      </w:r>
    </w:p>
    <w:p w:rsidR="008A12E7" w:rsidRPr="001F02E6" w:rsidRDefault="008A12E7" w:rsidP="008A12E7">
      <w:pPr>
        <w:rPr>
          <w:rFonts w:cs="Arial"/>
          <w:szCs w:val="20"/>
          <w:lang w:val="en-GB"/>
        </w:rPr>
      </w:pPr>
    </w:p>
    <w:p w:rsidR="008A12E7" w:rsidRPr="00C903F8" w:rsidRDefault="008A12E7" w:rsidP="008A12E7">
      <w:pPr>
        <w:rPr>
          <w:rFonts w:cs="Arial"/>
          <w:szCs w:val="20"/>
          <w:lang w:val="en-US"/>
        </w:rPr>
      </w:pPr>
    </w:p>
    <w:p w:rsidR="008A12E7" w:rsidRPr="00C903F8" w:rsidRDefault="008A12E7" w:rsidP="008A12E7">
      <w:pPr>
        <w:pStyle w:val="ES-Titre3"/>
        <w:rPr>
          <w:noProof/>
          <w:lang w:val="en-US"/>
        </w:rPr>
      </w:pPr>
      <w:bookmarkStart w:id="90" w:name="_Toc491854079"/>
      <w:r w:rsidRPr="00C903F8">
        <w:rPr>
          <w:noProof/>
          <w:lang w:val="en-US"/>
        </w:rPr>
        <w:t>Article 10.02</w:t>
      </w:r>
      <w:r w:rsidRPr="00C903F8">
        <w:rPr>
          <w:noProof/>
          <w:lang w:val="en-US"/>
        </w:rPr>
        <w:br/>
      </w:r>
      <w:r w:rsidRPr="00C903F8">
        <w:rPr>
          <w:i/>
          <w:noProof/>
          <w:lang w:val="en-US"/>
        </w:rPr>
        <w:t>Electricity supply systems</w:t>
      </w:r>
      <w:bookmarkEnd w:id="90"/>
    </w:p>
    <w:p w:rsidR="008A12E7" w:rsidRPr="00C903F8" w:rsidRDefault="008A12E7" w:rsidP="008A12E7">
      <w:pPr>
        <w:rPr>
          <w:rFonts w:cs="Arial"/>
          <w:noProof/>
          <w:szCs w:val="20"/>
          <w:lang w:val="en-US"/>
        </w:rPr>
      </w:pPr>
    </w:p>
    <w:p w:rsidR="001F02E6" w:rsidRPr="008F6ABB" w:rsidRDefault="001F02E6" w:rsidP="001F02E6">
      <w:pPr>
        <w:pStyle w:val="ESch"/>
        <w:rPr>
          <w:rFonts w:eastAsia="Calibri"/>
          <w:lang w:val="en-GB"/>
        </w:rPr>
      </w:pPr>
      <w:r w:rsidRPr="008F6ABB">
        <w:rPr>
          <w:lang w:val="en-GB"/>
        </w:rPr>
        <w:t>1.</w:t>
      </w:r>
      <w:r w:rsidRPr="008F6ABB">
        <w:rPr>
          <w:lang w:val="en-GB"/>
        </w:rPr>
        <w:tab/>
        <w:t xml:space="preserve">Where </w:t>
      </w:r>
      <w:r>
        <w:rPr>
          <w:lang w:val="en-GB"/>
        </w:rPr>
        <w:t>craft</w:t>
      </w:r>
      <w:r w:rsidRPr="008F6ABB">
        <w:rPr>
          <w:lang w:val="en-GB"/>
        </w:rPr>
        <w:t xml:space="preserve"> are fitted with an electrical installation, that installation shall have at least two power sources in such a way that where one power source fails the remaining source is able to supply the consumer equipment needed for the safe operation for at least 30 minutes.</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2.</w:t>
      </w:r>
      <w:r w:rsidRPr="008F6ABB">
        <w:rPr>
          <w:lang w:val="en-GB"/>
        </w:rPr>
        <w:tab/>
        <w:t>Adequate sizing of the power supply shall be demonstrated by means of a power budget calculation. An appropriate utilisation factor may be taken into account.</w:t>
      </w:r>
    </w:p>
    <w:p w:rsidR="001F02E6" w:rsidRPr="008F6ABB" w:rsidRDefault="001F02E6" w:rsidP="001F02E6">
      <w:pPr>
        <w:pStyle w:val="ESch"/>
        <w:rPr>
          <w:rFonts w:eastAsia="Calibri"/>
          <w:lang w:val="en-GB"/>
        </w:rPr>
      </w:pPr>
    </w:p>
    <w:p w:rsidR="00481591" w:rsidRDefault="001F02E6" w:rsidP="001F02E6">
      <w:pPr>
        <w:pStyle w:val="ESch"/>
        <w:rPr>
          <w:lang w:val="en-GB"/>
        </w:rPr>
      </w:pPr>
      <w:r w:rsidRPr="008F6ABB">
        <w:rPr>
          <w:lang w:val="en-GB"/>
        </w:rPr>
        <w:t>3.</w:t>
      </w:r>
      <w:r w:rsidRPr="008F6ABB">
        <w:rPr>
          <w:lang w:val="en-GB"/>
        </w:rPr>
        <w:tab/>
        <w:t>Independently of (1) above, Article 6.04 shall apply to the power sources for the steering systems.</w:t>
      </w:r>
    </w:p>
    <w:p w:rsidR="008A12E7" w:rsidRPr="001F02E6" w:rsidRDefault="008A12E7" w:rsidP="001F02E6">
      <w:pPr>
        <w:pStyle w:val="ESch"/>
        <w:rPr>
          <w:rFonts w:eastAsia="Calibri"/>
          <w:lang w:val="en-GB"/>
        </w:rPr>
      </w:pPr>
      <w:r w:rsidRPr="00C903F8">
        <w:rPr>
          <w:rFonts w:cs="Arial"/>
          <w:szCs w:val="20"/>
          <w:lang w:val="en-GB"/>
        </w:rPr>
        <w:br w:type="page"/>
      </w:r>
    </w:p>
    <w:p w:rsidR="008A12E7" w:rsidRPr="00C903F8" w:rsidRDefault="008A12E7" w:rsidP="008A12E7">
      <w:pPr>
        <w:pStyle w:val="ES-Titre3"/>
        <w:rPr>
          <w:i/>
          <w:lang w:val="en-US"/>
        </w:rPr>
      </w:pPr>
      <w:bookmarkStart w:id="91" w:name="_Toc491854080"/>
      <w:r w:rsidRPr="00C903F8">
        <w:rPr>
          <w:lang w:val="en-US"/>
        </w:rPr>
        <w:lastRenderedPageBreak/>
        <w:t>Article 10.03</w:t>
      </w:r>
      <w:r w:rsidRPr="00C903F8">
        <w:rPr>
          <w:lang w:val="en-US"/>
        </w:rPr>
        <w:br/>
      </w:r>
      <w:r w:rsidR="001F02E6" w:rsidRPr="00F90337">
        <w:rPr>
          <w:i/>
          <w:lang w:val="en-GB"/>
        </w:rPr>
        <w:t>Protection against access to hazardous parts, against solid foreign objects, against ingress of water</w:t>
      </w:r>
      <w:bookmarkEnd w:id="91"/>
    </w:p>
    <w:p w:rsidR="008A12E7" w:rsidRPr="00C903F8" w:rsidRDefault="008A12E7" w:rsidP="008A12E7">
      <w:pPr>
        <w:ind w:left="0" w:firstLine="0"/>
        <w:rPr>
          <w:rFonts w:cs="Arial"/>
          <w:noProof/>
          <w:szCs w:val="20"/>
          <w:lang w:val="en-US"/>
        </w:rPr>
      </w:pPr>
    </w:p>
    <w:p w:rsidR="001F02E6" w:rsidRPr="008F6ABB" w:rsidRDefault="001F02E6" w:rsidP="001F02E6">
      <w:pPr>
        <w:pStyle w:val="ESgauche"/>
        <w:rPr>
          <w:rFonts w:eastAsia="Calibri"/>
          <w:noProof w:val="0"/>
          <w:lang w:val="en-GB"/>
        </w:rPr>
      </w:pPr>
      <w:r w:rsidRPr="008F6ABB">
        <w:rPr>
          <w:noProof w:val="0"/>
          <w:lang w:val="en-GB"/>
        </w:rPr>
        <w:t>The type of minimum protection for parts of a permanent electrical installation shall be as set out in the following table:</w:t>
      </w:r>
    </w:p>
    <w:p w:rsidR="008A12E7" w:rsidRPr="001F02E6" w:rsidRDefault="008A12E7" w:rsidP="008A12E7">
      <w:pPr>
        <w:rPr>
          <w:rFonts w:cs="Arial"/>
          <w:szCs w:val="20"/>
          <w:lang w:val="en-GB"/>
        </w:rPr>
      </w:pPr>
    </w:p>
    <w:tbl>
      <w:tblPr>
        <w:tblW w:w="9356" w:type="dxa"/>
        <w:tblInd w:w="8" w:type="dxa"/>
        <w:tblLayout w:type="fixed"/>
        <w:tblCellMar>
          <w:left w:w="0" w:type="dxa"/>
          <w:right w:w="0" w:type="dxa"/>
        </w:tblCellMar>
        <w:tblLook w:val="0000" w:firstRow="0" w:lastRow="0" w:firstColumn="0" w:lastColumn="0" w:noHBand="0" w:noVBand="0"/>
      </w:tblPr>
      <w:tblGrid>
        <w:gridCol w:w="2835"/>
        <w:gridCol w:w="1080"/>
        <w:gridCol w:w="960"/>
        <w:gridCol w:w="960"/>
        <w:gridCol w:w="1253"/>
        <w:gridCol w:w="1154"/>
        <w:gridCol w:w="1114"/>
      </w:tblGrid>
      <w:tr w:rsidR="001F02E6" w:rsidRPr="00505433" w:rsidTr="001F02E6">
        <w:trPr>
          <w:cantSplit/>
        </w:trPr>
        <w:tc>
          <w:tcPr>
            <w:tcW w:w="2835" w:type="dxa"/>
            <w:tcBorders>
              <w:top w:val="single" w:sz="6" w:space="0" w:color="auto"/>
              <w:left w:val="single" w:sz="6" w:space="0" w:color="auto"/>
              <w:right w:val="single" w:sz="6" w:space="0" w:color="auto"/>
            </w:tcBorders>
          </w:tcPr>
          <w:p w:rsidR="001F02E6" w:rsidRPr="00481591" w:rsidRDefault="001F02E6" w:rsidP="001F02E6">
            <w:pPr>
              <w:keepNext/>
              <w:keepLines/>
              <w:spacing w:before="60" w:after="60" w:line="240" w:lineRule="atLeast"/>
              <w:jc w:val="center"/>
              <w:rPr>
                <w:rFonts w:eastAsia="Calibri" w:cs="Arial"/>
                <w:sz w:val="18"/>
                <w:szCs w:val="18"/>
                <w:lang w:val="en-GB"/>
              </w:rPr>
            </w:pPr>
          </w:p>
        </w:tc>
        <w:tc>
          <w:tcPr>
            <w:tcW w:w="6521" w:type="dxa"/>
            <w:gridSpan w:val="6"/>
            <w:tcBorders>
              <w:top w:val="single" w:sz="6" w:space="0" w:color="auto"/>
              <w:left w:val="nil"/>
              <w:bottom w:val="single" w:sz="6" w:space="0" w:color="auto"/>
              <w:right w:val="single" w:sz="6" w:space="0" w:color="auto"/>
            </w:tcBorders>
          </w:tcPr>
          <w:p w:rsidR="001F02E6" w:rsidRPr="00481591" w:rsidRDefault="001F02E6" w:rsidP="00481591">
            <w:pPr>
              <w:keepNext/>
              <w:keepLines/>
              <w:spacing w:before="60" w:after="60" w:line="240" w:lineRule="atLeast"/>
              <w:jc w:val="center"/>
              <w:rPr>
                <w:rFonts w:eastAsia="Calibri" w:cs="Arial"/>
                <w:sz w:val="18"/>
                <w:szCs w:val="18"/>
                <w:lang w:val="en-GB"/>
              </w:rPr>
            </w:pPr>
            <w:r w:rsidRPr="00481591">
              <w:rPr>
                <w:sz w:val="18"/>
                <w:szCs w:val="18"/>
                <w:lang w:val="en-GB"/>
              </w:rPr>
              <w:t>Type of minimum protection in accordance with the European Standard EN</w:t>
            </w:r>
            <w:r w:rsidR="00481591">
              <w:rPr>
                <w:sz w:val="18"/>
                <w:szCs w:val="18"/>
                <w:lang w:val="en-GB"/>
              </w:rPr>
              <w:t> </w:t>
            </w:r>
            <w:r w:rsidRPr="00481591">
              <w:rPr>
                <w:sz w:val="18"/>
                <w:szCs w:val="18"/>
                <w:lang w:val="en-GB"/>
              </w:rPr>
              <w:t>60529 : 2014</w:t>
            </w:r>
          </w:p>
        </w:tc>
      </w:tr>
      <w:tr w:rsidR="001F02E6" w:rsidRPr="00481591" w:rsidTr="001F02E6">
        <w:trPr>
          <w:cantSplit/>
          <w:trHeight w:val="668"/>
        </w:trPr>
        <w:tc>
          <w:tcPr>
            <w:tcW w:w="2835" w:type="dxa"/>
            <w:tcBorders>
              <w:left w:val="single" w:sz="6" w:space="0" w:color="auto"/>
              <w:bottom w:val="single" w:sz="12" w:space="0" w:color="auto"/>
              <w:right w:val="single" w:sz="6" w:space="0" w:color="auto"/>
            </w:tcBorders>
          </w:tcPr>
          <w:p w:rsidR="001F02E6" w:rsidRPr="00481591" w:rsidRDefault="001F02E6" w:rsidP="001F02E6">
            <w:pPr>
              <w:keepNext/>
              <w:keepLines/>
              <w:spacing w:before="60" w:after="60" w:line="240" w:lineRule="atLeast"/>
              <w:jc w:val="center"/>
              <w:rPr>
                <w:rFonts w:eastAsia="Calibri" w:cs="Arial"/>
                <w:sz w:val="18"/>
                <w:szCs w:val="18"/>
                <w:lang w:val="en-GB"/>
              </w:rPr>
            </w:pPr>
            <w:r w:rsidRPr="00481591">
              <w:rPr>
                <w:sz w:val="18"/>
                <w:szCs w:val="18"/>
                <w:lang w:val="en-GB"/>
              </w:rPr>
              <w:t>Location</w:t>
            </w:r>
          </w:p>
        </w:tc>
        <w:tc>
          <w:tcPr>
            <w:tcW w:w="1080" w:type="dxa"/>
            <w:tcBorders>
              <w:top w:val="single" w:sz="6" w:space="0" w:color="auto"/>
              <w:left w:val="nil"/>
              <w:bottom w:val="single" w:sz="12" w:space="0" w:color="auto"/>
              <w:right w:val="single" w:sz="6" w:space="0" w:color="auto"/>
            </w:tcBorders>
          </w:tcPr>
          <w:p w:rsidR="001F02E6" w:rsidRPr="00481591" w:rsidRDefault="001F02E6" w:rsidP="00481591">
            <w:pPr>
              <w:keepNext/>
              <w:keepLines/>
              <w:spacing w:before="40" w:after="40" w:line="220" w:lineRule="atLeast"/>
              <w:ind w:left="0" w:firstLine="0"/>
              <w:jc w:val="center"/>
              <w:rPr>
                <w:rFonts w:eastAsia="Calibri" w:cs="Arial"/>
                <w:sz w:val="18"/>
                <w:szCs w:val="18"/>
                <w:lang w:val="en-GB"/>
              </w:rPr>
            </w:pPr>
            <w:r w:rsidRPr="00481591">
              <w:rPr>
                <w:sz w:val="18"/>
                <w:szCs w:val="18"/>
                <w:lang w:val="en-GB"/>
              </w:rPr>
              <w:t>Generators</w:t>
            </w:r>
          </w:p>
        </w:tc>
        <w:tc>
          <w:tcPr>
            <w:tcW w:w="960" w:type="dxa"/>
            <w:tcBorders>
              <w:top w:val="single" w:sz="6" w:space="0" w:color="auto"/>
              <w:left w:val="single" w:sz="6" w:space="0" w:color="auto"/>
              <w:bottom w:val="single" w:sz="12" w:space="0" w:color="auto"/>
              <w:right w:val="single" w:sz="6" w:space="0" w:color="auto"/>
            </w:tcBorders>
          </w:tcPr>
          <w:p w:rsidR="001F02E6" w:rsidRPr="00481591" w:rsidRDefault="001F02E6" w:rsidP="00481591">
            <w:pPr>
              <w:keepNext/>
              <w:keepLines/>
              <w:spacing w:before="40" w:after="40" w:line="220" w:lineRule="atLeast"/>
              <w:ind w:left="0" w:firstLine="0"/>
              <w:jc w:val="center"/>
              <w:rPr>
                <w:rFonts w:eastAsia="Calibri" w:cs="Arial"/>
                <w:sz w:val="18"/>
                <w:szCs w:val="18"/>
                <w:lang w:val="en-GB"/>
              </w:rPr>
            </w:pPr>
            <w:r w:rsidRPr="00481591">
              <w:rPr>
                <w:sz w:val="18"/>
                <w:szCs w:val="18"/>
                <w:lang w:val="en-GB"/>
              </w:rPr>
              <w:t>Motors</w:t>
            </w:r>
          </w:p>
        </w:tc>
        <w:tc>
          <w:tcPr>
            <w:tcW w:w="960" w:type="dxa"/>
            <w:tcBorders>
              <w:top w:val="single" w:sz="6" w:space="0" w:color="auto"/>
              <w:left w:val="single" w:sz="6" w:space="0" w:color="auto"/>
              <w:bottom w:val="single" w:sz="12" w:space="0" w:color="auto"/>
              <w:right w:val="single" w:sz="6" w:space="0" w:color="auto"/>
            </w:tcBorders>
          </w:tcPr>
          <w:p w:rsidR="001F02E6" w:rsidRPr="00481591" w:rsidRDefault="001F02E6" w:rsidP="00481591">
            <w:pPr>
              <w:keepNext/>
              <w:keepLines/>
              <w:spacing w:before="40" w:after="40" w:line="220" w:lineRule="atLeast"/>
              <w:ind w:left="0" w:firstLine="0"/>
              <w:jc w:val="center"/>
              <w:rPr>
                <w:rFonts w:eastAsia="Calibri" w:cs="Arial"/>
                <w:sz w:val="18"/>
                <w:szCs w:val="18"/>
                <w:lang w:val="en-GB"/>
              </w:rPr>
            </w:pPr>
            <w:r w:rsidRPr="00481591">
              <w:rPr>
                <w:sz w:val="18"/>
                <w:szCs w:val="18"/>
                <w:lang w:val="en-GB"/>
              </w:rPr>
              <w:t>Trans</w:t>
            </w:r>
            <w:r w:rsidRPr="00481591">
              <w:rPr>
                <w:sz w:val="18"/>
                <w:szCs w:val="18"/>
                <w:lang w:val="en-GB"/>
              </w:rPr>
              <w:softHyphen/>
            </w:r>
            <w:r w:rsidRPr="00481591">
              <w:rPr>
                <w:sz w:val="18"/>
                <w:szCs w:val="18"/>
                <w:lang w:val="en-GB"/>
              </w:rPr>
              <w:br/>
              <w:t>formers</w:t>
            </w:r>
          </w:p>
        </w:tc>
        <w:tc>
          <w:tcPr>
            <w:tcW w:w="1253" w:type="dxa"/>
            <w:tcBorders>
              <w:top w:val="single" w:sz="6" w:space="0" w:color="auto"/>
              <w:left w:val="single" w:sz="6" w:space="0" w:color="auto"/>
              <w:bottom w:val="single" w:sz="12" w:space="0" w:color="auto"/>
              <w:right w:val="single" w:sz="6" w:space="0" w:color="auto"/>
            </w:tcBorders>
          </w:tcPr>
          <w:p w:rsidR="001F02E6" w:rsidRPr="00481591" w:rsidRDefault="001F02E6" w:rsidP="00481591">
            <w:pPr>
              <w:keepNext/>
              <w:keepLines/>
              <w:spacing w:before="40" w:after="40" w:line="220" w:lineRule="atLeast"/>
              <w:ind w:left="0" w:firstLine="0"/>
              <w:jc w:val="center"/>
              <w:rPr>
                <w:rFonts w:eastAsia="Calibri" w:cs="Arial"/>
                <w:sz w:val="18"/>
                <w:szCs w:val="18"/>
                <w:lang w:val="en-GB"/>
              </w:rPr>
            </w:pPr>
            <w:r w:rsidRPr="00481591">
              <w:rPr>
                <w:sz w:val="18"/>
                <w:szCs w:val="18"/>
                <w:lang w:val="en-GB"/>
              </w:rPr>
              <w:t>Switchboards</w:t>
            </w:r>
            <w:r w:rsidRPr="00481591">
              <w:rPr>
                <w:sz w:val="18"/>
                <w:szCs w:val="18"/>
                <w:lang w:val="en-GB"/>
              </w:rPr>
              <w:br/>
              <w:t>Distribution</w:t>
            </w:r>
            <w:r w:rsidRPr="00481591">
              <w:rPr>
                <w:rFonts w:eastAsia="Calibri" w:cs="Arial"/>
                <w:sz w:val="18"/>
                <w:szCs w:val="18"/>
                <w:lang w:val="en-GB"/>
              </w:rPr>
              <w:br/>
            </w:r>
            <w:r w:rsidRPr="00481591">
              <w:rPr>
                <w:sz w:val="18"/>
                <w:szCs w:val="18"/>
                <w:lang w:val="en-GB"/>
              </w:rPr>
              <w:t>Switching devices</w:t>
            </w:r>
          </w:p>
        </w:tc>
        <w:tc>
          <w:tcPr>
            <w:tcW w:w="1154" w:type="dxa"/>
            <w:tcBorders>
              <w:top w:val="single" w:sz="6" w:space="0" w:color="auto"/>
              <w:left w:val="single" w:sz="6" w:space="0" w:color="auto"/>
              <w:bottom w:val="single" w:sz="12" w:space="0" w:color="auto"/>
              <w:right w:val="single" w:sz="6" w:space="0" w:color="auto"/>
            </w:tcBorders>
          </w:tcPr>
          <w:p w:rsidR="001F02E6" w:rsidRPr="00481591" w:rsidRDefault="001F02E6" w:rsidP="00481591">
            <w:pPr>
              <w:keepNext/>
              <w:keepLines/>
              <w:spacing w:before="40" w:after="40" w:line="220" w:lineRule="atLeast"/>
              <w:ind w:left="0" w:firstLine="0"/>
              <w:jc w:val="center"/>
              <w:rPr>
                <w:rFonts w:eastAsia="Calibri" w:cs="Arial"/>
                <w:sz w:val="18"/>
                <w:szCs w:val="18"/>
                <w:lang w:val="en-GB"/>
              </w:rPr>
            </w:pPr>
            <w:r w:rsidRPr="00481591">
              <w:rPr>
                <w:sz w:val="18"/>
                <w:szCs w:val="18"/>
                <w:lang w:val="en-GB"/>
              </w:rPr>
              <w:t>Installation fittings</w:t>
            </w:r>
            <w:r w:rsidRPr="00481591">
              <w:rPr>
                <w:sz w:val="18"/>
                <w:szCs w:val="18"/>
                <w:vertAlign w:val="superscript"/>
                <w:lang w:val="en-GB"/>
              </w:rPr>
              <w:t>(4)</w:t>
            </w:r>
          </w:p>
        </w:tc>
        <w:tc>
          <w:tcPr>
            <w:tcW w:w="1114" w:type="dxa"/>
            <w:tcBorders>
              <w:top w:val="single" w:sz="6" w:space="0" w:color="auto"/>
              <w:left w:val="single" w:sz="6" w:space="0" w:color="auto"/>
              <w:bottom w:val="single" w:sz="12" w:space="0" w:color="auto"/>
              <w:right w:val="single" w:sz="6" w:space="0" w:color="auto"/>
            </w:tcBorders>
          </w:tcPr>
          <w:p w:rsidR="001F02E6" w:rsidRPr="00481591" w:rsidRDefault="001F02E6" w:rsidP="00481591">
            <w:pPr>
              <w:keepNext/>
              <w:keepLines/>
              <w:spacing w:before="40" w:after="40" w:line="220" w:lineRule="atLeast"/>
              <w:ind w:left="0" w:firstLine="0"/>
              <w:jc w:val="center"/>
              <w:rPr>
                <w:rFonts w:eastAsia="Calibri" w:cs="Arial"/>
                <w:sz w:val="18"/>
                <w:szCs w:val="18"/>
                <w:lang w:val="en-GB"/>
              </w:rPr>
            </w:pPr>
            <w:r w:rsidRPr="00481591">
              <w:rPr>
                <w:sz w:val="18"/>
                <w:szCs w:val="18"/>
                <w:lang w:val="en-GB"/>
              </w:rPr>
              <w:t>Lighting appliances/</w:t>
            </w:r>
            <w:r w:rsidR="00481591">
              <w:rPr>
                <w:sz w:val="18"/>
                <w:szCs w:val="18"/>
                <w:lang w:val="en-GB"/>
              </w:rPr>
              <w:t xml:space="preserve"> </w:t>
            </w:r>
            <w:r w:rsidRPr="00481591">
              <w:rPr>
                <w:sz w:val="18"/>
                <w:szCs w:val="18"/>
                <w:lang w:val="en-GB"/>
              </w:rPr>
              <w:t>fire detectors</w:t>
            </w:r>
          </w:p>
        </w:tc>
      </w:tr>
      <w:tr w:rsidR="001F02E6" w:rsidRPr="00481591" w:rsidTr="00481591">
        <w:trPr>
          <w:cantSplit/>
        </w:trPr>
        <w:tc>
          <w:tcPr>
            <w:tcW w:w="2835" w:type="dxa"/>
            <w:tcBorders>
              <w:top w:val="single" w:sz="12" w:space="0" w:color="auto"/>
              <w:left w:val="single" w:sz="6" w:space="0" w:color="auto"/>
              <w:bottom w:val="single" w:sz="6" w:space="0" w:color="auto"/>
              <w:right w:val="single" w:sz="6" w:space="0" w:color="auto"/>
            </w:tcBorders>
          </w:tcPr>
          <w:p w:rsidR="001F02E6" w:rsidRPr="00481591" w:rsidRDefault="001F02E6" w:rsidP="00360E7D">
            <w:pPr>
              <w:keepNext/>
              <w:keepLines/>
              <w:tabs>
                <w:tab w:val="left" w:pos="180"/>
                <w:tab w:val="left" w:leader="dot" w:pos="2694"/>
              </w:tabs>
              <w:spacing w:before="60" w:after="60" w:line="240" w:lineRule="atLeast"/>
              <w:ind w:left="57" w:right="141" w:firstLine="0"/>
              <w:rPr>
                <w:rFonts w:eastAsia="Calibri" w:cs="Arial"/>
                <w:sz w:val="18"/>
                <w:szCs w:val="18"/>
                <w:lang w:val="en-GB"/>
              </w:rPr>
            </w:pPr>
            <w:r w:rsidRPr="00481591">
              <w:rPr>
                <w:rFonts w:cs="Arial"/>
                <w:sz w:val="18"/>
                <w:szCs w:val="18"/>
                <w:lang w:val="en-GB"/>
              </w:rPr>
              <w:t>Operation rooms, engine rooms and rooms of steering apparatus</w:t>
            </w:r>
            <w:r w:rsidR="00481591">
              <w:rPr>
                <w:rFonts w:cs="Arial"/>
                <w:sz w:val="18"/>
                <w:szCs w:val="18"/>
                <w:lang w:val="en-GB"/>
              </w:rPr>
              <w:t xml:space="preserve"> </w:t>
            </w:r>
            <w:r w:rsidR="00481591">
              <w:rPr>
                <w:rFonts w:cs="Arial"/>
                <w:sz w:val="18"/>
                <w:szCs w:val="18"/>
                <w:lang w:val="en-GB"/>
              </w:rPr>
              <w:tab/>
            </w:r>
            <w:r w:rsidR="00481591">
              <w:rPr>
                <w:rFonts w:cs="Arial"/>
                <w:sz w:val="18"/>
                <w:szCs w:val="18"/>
                <w:lang w:val="en-GB"/>
              </w:rPr>
              <w:tab/>
            </w:r>
          </w:p>
        </w:tc>
        <w:tc>
          <w:tcPr>
            <w:tcW w:w="1080" w:type="dxa"/>
            <w:tcBorders>
              <w:top w:val="single" w:sz="12" w:space="0" w:color="auto"/>
              <w:left w:val="nil"/>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22</w:t>
            </w:r>
          </w:p>
        </w:tc>
        <w:tc>
          <w:tcPr>
            <w:tcW w:w="960" w:type="dxa"/>
            <w:tcBorders>
              <w:top w:val="single" w:sz="12"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22</w:t>
            </w:r>
          </w:p>
        </w:tc>
        <w:tc>
          <w:tcPr>
            <w:tcW w:w="960" w:type="dxa"/>
            <w:tcBorders>
              <w:top w:val="single" w:sz="12"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22</w:t>
            </w:r>
            <w:r w:rsidRPr="00481591">
              <w:rPr>
                <w:rFonts w:cs="Arial"/>
                <w:sz w:val="18"/>
                <w:szCs w:val="18"/>
                <w:vertAlign w:val="superscript"/>
                <w:lang w:val="en-GB"/>
              </w:rPr>
              <w:t>(2)</w:t>
            </w:r>
          </w:p>
        </w:tc>
        <w:tc>
          <w:tcPr>
            <w:tcW w:w="1253" w:type="dxa"/>
            <w:tcBorders>
              <w:top w:val="single" w:sz="12"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22</w:t>
            </w:r>
            <w:r w:rsidRPr="00481591">
              <w:rPr>
                <w:rFonts w:cs="Arial"/>
                <w:sz w:val="18"/>
                <w:szCs w:val="18"/>
                <w:vertAlign w:val="superscript"/>
                <w:lang w:val="en-GB"/>
              </w:rPr>
              <w:t>(1) (2)</w:t>
            </w:r>
          </w:p>
        </w:tc>
        <w:tc>
          <w:tcPr>
            <w:tcW w:w="1154" w:type="dxa"/>
            <w:tcBorders>
              <w:top w:val="single" w:sz="12"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44</w:t>
            </w:r>
          </w:p>
        </w:tc>
        <w:tc>
          <w:tcPr>
            <w:tcW w:w="1114" w:type="dxa"/>
            <w:tcBorders>
              <w:top w:val="single" w:sz="12"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22</w:t>
            </w:r>
          </w:p>
        </w:tc>
      </w:tr>
      <w:tr w:rsidR="001F02E6" w:rsidRPr="00481591" w:rsidTr="00481591">
        <w:trPr>
          <w:cantSplit/>
          <w:trHeight w:val="292"/>
        </w:trPr>
        <w:tc>
          <w:tcPr>
            <w:tcW w:w="2835" w:type="dxa"/>
            <w:tcBorders>
              <w:top w:val="single" w:sz="6" w:space="0" w:color="auto"/>
              <w:left w:val="single" w:sz="6" w:space="0" w:color="auto"/>
              <w:bottom w:val="single" w:sz="6" w:space="0" w:color="auto"/>
              <w:right w:val="single" w:sz="6" w:space="0" w:color="auto"/>
            </w:tcBorders>
          </w:tcPr>
          <w:p w:rsidR="001F02E6" w:rsidRPr="00481591" w:rsidRDefault="001F02E6" w:rsidP="00360E7D">
            <w:pPr>
              <w:keepNext/>
              <w:keepLines/>
              <w:tabs>
                <w:tab w:val="left" w:pos="180"/>
                <w:tab w:val="left" w:leader="dot" w:pos="2694"/>
              </w:tabs>
              <w:spacing w:before="60" w:after="60" w:line="240" w:lineRule="atLeast"/>
              <w:ind w:left="57" w:right="141" w:firstLine="0"/>
              <w:rPr>
                <w:rFonts w:eastAsia="Calibri" w:cs="Arial"/>
                <w:sz w:val="18"/>
                <w:szCs w:val="18"/>
                <w:lang w:val="en-GB"/>
              </w:rPr>
            </w:pPr>
            <w:r w:rsidRPr="00481591">
              <w:rPr>
                <w:rFonts w:cs="Arial"/>
                <w:sz w:val="18"/>
                <w:szCs w:val="18"/>
                <w:lang w:val="en-GB"/>
              </w:rPr>
              <w:t>Holds</w:t>
            </w:r>
            <w:r w:rsidR="00481591">
              <w:rPr>
                <w:rFonts w:cs="Arial"/>
                <w:sz w:val="18"/>
                <w:szCs w:val="18"/>
                <w:lang w:val="en-GB"/>
              </w:rPr>
              <w:t xml:space="preserve"> </w:t>
            </w:r>
            <w:r w:rsidR="00481591">
              <w:rPr>
                <w:rFonts w:cs="Arial"/>
                <w:sz w:val="18"/>
                <w:szCs w:val="18"/>
                <w:lang w:val="en-GB"/>
              </w:rPr>
              <w:tab/>
            </w:r>
          </w:p>
        </w:tc>
        <w:tc>
          <w:tcPr>
            <w:tcW w:w="1080" w:type="dxa"/>
            <w:tcBorders>
              <w:top w:val="single" w:sz="6" w:space="0" w:color="auto"/>
              <w:left w:val="nil"/>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55</w:t>
            </w: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55</w:t>
            </w:r>
          </w:p>
        </w:tc>
        <w:tc>
          <w:tcPr>
            <w:tcW w:w="1253"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p>
        </w:tc>
        <w:tc>
          <w:tcPr>
            <w:tcW w:w="1154"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55</w:t>
            </w:r>
          </w:p>
        </w:tc>
        <w:tc>
          <w:tcPr>
            <w:tcW w:w="1114"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55</w:t>
            </w:r>
          </w:p>
        </w:tc>
      </w:tr>
      <w:tr w:rsidR="001F02E6" w:rsidRPr="00481591" w:rsidTr="00481591">
        <w:trPr>
          <w:cantSplit/>
        </w:trPr>
        <w:tc>
          <w:tcPr>
            <w:tcW w:w="2835" w:type="dxa"/>
            <w:tcBorders>
              <w:top w:val="single" w:sz="6" w:space="0" w:color="auto"/>
              <w:left w:val="single" w:sz="6" w:space="0" w:color="auto"/>
              <w:bottom w:val="single" w:sz="6" w:space="0" w:color="auto"/>
              <w:right w:val="single" w:sz="6" w:space="0" w:color="auto"/>
            </w:tcBorders>
          </w:tcPr>
          <w:p w:rsidR="001F02E6" w:rsidRPr="00481591" w:rsidRDefault="001F02E6" w:rsidP="00360E7D">
            <w:pPr>
              <w:keepNext/>
              <w:keepLines/>
              <w:tabs>
                <w:tab w:val="left" w:pos="180"/>
                <w:tab w:val="left" w:leader="dot" w:pos="2694"/>
              </w:tabs>
              <w:spacing w:before="60" w:after="60" w:line="240" w:lineRule="atLeast"/>
              <w:ind w:left="57" w:right="141" w:firstLine="0"/>
              <w:jc w:val="left"/>
              <w:rPr>
                <w:rFonts w:eastAsia="Calibri" w:cs="Arial"/>
                <w:sz w:val="18"/>
                <w:szCs w:val="18"/>
                <w:lang w:val="en-GB"/>
              </w:rPr>
            </w:pPr>
            <w:r w:rsidRPr="00481591">
              <w:rPr>
                <w:rFonts w:cs="Arial"/>
                <w:sz w:val="18"/>
                <w:szCs w:val="18"/>
                <w:lang w:val="en-GB"/>
              </w:rPr>
              <w:t>Accumulator rooms and paint lockers</w:t>
            </w:r>
            <w:r w:rsidR="00481591">
              <w:rPr>
                <w:rFonts w:cs="Arial"/>
                <w:sz w:val="18"/>
                <w:szCs w:val="18"/>
                <w:lang w:val="en-GB"/>
              </w:rPr>
              <w:t xml:space="preserve"> </w:t>
            </w:r>
            <w:r w:rsidR="00481591">
              <w:rPr>
                <w:rFonts w:cs="Arial"/>
                <w:sz w:val="18"/>
                <w:szCs w:val="18"/>
                <w:lang w:val="en-GB"/>
              </w:rPr>
              <w:tab/>
            </w:r>
          </w:p>
        </w:tc>
        <w:tc>
          <w:tcPr>
            <w:tcW w:w="1080" w:type="dxa"/>
            <w:tcBorders>
              <w:top w:val="single" w:sz="6" w:space="0" w:color="auto"/>
              <w:left w:val="nil"/>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p>
        </w:tc>
        <w:tc>
          <w:tcPr>
            <w:tcW w:w="1253"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p>
        </w:tc>
        <w:tc>
          <w:tcPr>
            <w:tcW w:w="1154"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p>
        </w:tc>
        <w:tc>
          <w:tcPr>
            <w:tcW w:w="1114"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44and (Ex)</w:t>
            </w:r>
            <w:r w:rsidRPr="00481591">
              <w:rPr>
                <w:rFonts w:cs="Arial"/>
                <w:sz w:val="18"/>
                <w:szCs w:val="18"/>
                <w:vertAlign w:val="superscript"/>
                <w:lang w:val="en-GB"/>
              </w:rPr>
              <w:t>(3)</w:t>
            </w:r>
          </w:p>
        </w:tc>
      </w:tr>
      <w:tr w:rsidR="001F02E6" w:rsidRPr="00481591" w:rsidTr="00481591">
        <w:trPr>
          <w:cantSplit/>
        </w:trPr>
        <w:tc>
          <w:tcPr>
            <w:tcW w:w="2835" w:type="dxa"/>
            <w:tcBorders>
              <w:top w:val="single" w:sz="6" w:space="0" w:color="auto"/>
              <w:left w:val="single" w:sz="6" w:space="0" w:color="auto"/>
              <w:bottom w:val="single" w:sz="6" w:space="0" w:color="auto"/>
              <w:right w:val="single" w:sz="6" w:space="0" w:color="auto"/>
            </w:tcBorders>
          </w:tcPr>
          <w:p w:rsidR="001F02E6" w:rsidRPr="00481591" w:rsidRDefault="001F02E6" w:rsidP="00360E7D">
            <w:pPr>
              <w:keepNext/>
              <w:keepLines/>
              <w:tabs>
                <w:tab w:val="left" w:pos="180"/>
                <w:tab w:val="left" w:leader="dot" w:pos="2694"/>
              </w:tabs>
              <w:spacing w:before="60" w:after="60" w:line="240" w:lineRule="atLeast"/>
              <w:ind w:left="57" w:right="141" w:firstLine="0"/>
              <w:jc w:val="left"/>
              <w:rPr>
                <w:rFonts w:eastAsia="Calibri" w:cs="Arial"/>
                <w:sz w:val="18"/>
                <w:szCs w:val="18"/>
                <w:lang w:val="en-GB"/>
              </w:rPr>
            </w:pPr>
            <w:r w:rsidRPr="00481591">
              <w:rPr>
                <w:rFonts w:cs="Arial"/>
                <w:sz w:val="18"/>
                <w:szCs w:val="18"/>
                <w:lang w:val="en-GB"/>
              </w:rPr>
              <w:t>Unroofed decks and open steering positions</w:t>
            </w:r>
            <w:r w:rsidR="00481591">
              <w:rPr>
                <w:rFonts w:cs="Arial"/>
                <w:sz w:val="18"/>
                <w:szCs w:val="18"/>
                <w:lang w:val="en-GB"/>
              </w:rPr>
              <w:t xml:space="preserve"> </w:t>
            </w:r>
            <w:r w:rsidR="00481591">
              <w:rPr>
                <w:rFonts w:cs="Arial"/>
                <w:sz w:val="18"/>
                <w:szCs w:val="18"/>
                <w:lang w:val="en-GB"/>
              </w:rPr>
              <w:tab/>
            </w:r>
          </w:p>
        </w:tc>
        <w:tc>
          <w:tcPr>
            <w:tcW w:w="1080" w:type="dxa"/>
            <w:tcBorders>
              <w:top w:val="single" w:sz="6" w:space="0" w:color="auto"/>
              <w:left w:val="nil"/>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55</w:t>
            </w: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55</w:t>
            </w: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p>
        </w:tc>
        <w:tc>
          <w:tcPr>
            <w:tcW w:w="1253"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55</w:t>
            </w:r>
          </w:p>
        </w:tc>
        <w:tc>
          <w:tcPr>
            <w:tcW w:w="1154"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55</w:t>
            </w:r>
          </w:p>
        </w:tc>
        <w:tc>
          <w:tcPr>
            <w:tcW w:w="1114"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55</w:t>
            </w:r>
          </w:p>
        </w:tc>
      </w:tr>
      <w:tr w:rsidR="001F02E6" w:rsidRPr="00481591" w:rsidTr="00481591">
        <w:trPr>
          <w:cantSplit/>
        </w:trPr>
        <w:tc>
          <w:tcPr>
            <w:tcW w:w="2835" w:type="dxa"/>
            <w:tcBorders>
              <w:top w:val="single" w:sz="6" w:space="0" w:color="auto"/>
              <w:left w:val="single" w:sz="6" w:space="0" w:color="auto"/>
              <w:bottom w:val="single" w:sz="6" w:space="0" w:color="auto"/>
              <w:right w:val="single" w:sz="6" w:space="0" w:color="auto"/>
            </w:tcBorders>
          </w:tcPr>
          <w:p w:rsidR="001F02E6" w:rsidRPr="00481591" w:rsidRDefault="001F02E6" w:rsidP="00360E7D">
            <w:pPr>
              <w:keepNext/>
              <w:keepLines/>
              <w:tabs>
                <w:tab w:val="left" w:pos="180"/>
                <w:tab w:val="left" w:leader="dot" w:pos="2694"/>
              </w:tabs>
              <w:spacing w:before="60" w:after="60" w:line="240" w:lineRule="atLeast"/>
              <w:ind w:left="57" w:right="141" w:firstLine="0"/>
              <w:jc w:val="left"/>
              <w:rPr>
                <w:rFonts w:eastAsia="Calibri" w:cs="Arial"/>
                <w:sz w:val="18"/>
                <w:szCs w:val="18"/>
                <w:lang w:val="en-GB"/>
              </w:rPr>
            </w:pPr>
            <w:r w:rsidRPr="00481591">
              <w:rPr>
                <w:rFonts w:cs="Arial"/>
                <w:sz w:val="18"/>
                <w:szCs w:val="18"/>
                <w:lang w:val="en-GB"/>
              </w:rPr>
              <w:t>Enclosed wheelhouse</w:t>
            </w:r>
            <w:r w:rsidR="00481591">
              <w:rPr>
                <w:rFonts w:cs="Arial"/>
                <w:sz w:val="18"/>
                <w:szCs w:val="18"/>
                <w:lang w:val="en-GB"/>
              </w:rPr>
              <w:t xml:space="preserve"> </w:t>
            </w:r>
            <w:r w:rsidR="00481591">
              <w:rPr>
                <w:rFonts w:cs="Arial"/>
                <w:sz w:val="18"/>
                <w:szCs w:val="18"/>
                <w:lang w:val="en-GB"/>
              </w:rPr>
              <w:tab/>
            </w:r>
          </w:p>
        </w:tc>
        <w:tc>
          <w:tcPr>
            <w:tcW w:w="1080" w:type="dxa"/>
            <w:tcBorders>
              <w:top w:val="single" w:sz="6" w:space="0" w:color="auto"/>
              <w:left w:val="nil"/>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55</w:t>
            </w: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22</w:t>
            </w: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22</w:t>
            </w:r>
          </w:p>
        </w:tc>
        <w:tc>
          <w:tcPr>
            <w:tcW w:w="1253"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22</w:t>
            </w:r>
          </w:p>
        </w:tc>
        <w:tc>
          <w:tcPr>
            <w:tcW w:w="1154"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22</w:t>
            </w:r>
          </w:p>
        </w:tc>
        <w:tc>
          <w:tcPr>
            <w:tcW w:w="1114"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22</w:t>
            </w:r>
          </w:p>
        </w:tc>
      </w:tr>
      <w:tr w:rsidR="001F02E6" w:rsidRPr="00481591" w:rsidTr="00481591">
        <w:trPr>
          <w:cantSplit/>
        </w:trPr>
        <w:tc>
          <w:tcPr>
            <w:tcW w:w="2835" w:type="dxa"/>
            <w:tcBorders>
              <w:top w:val="single" w:sz="6" w:space="0" w:color="auto"/>
              <w:left w:val="single" w:sz="6" w:space="0" w:color="auto"/>
              <w:bottom w:val="single" w:sz="6" w:space="0" w:color="auto"/>
              <w:right w:val="single" w:sz="6" w:space="0" w:color="auto"/>
            </w:tcBorders>
          </w:tcPr>
          <w:p w:rsidR="001F02E6" w:rsidRPr="00481591" w:rsidRDefault="001F02E6" w:rsidP="00360E7D">
            <w:pPr>
              <w:keepNext/>
              <w:keepLines/>
              <w:tabs>
                <w:tab w:val="left" w:pos="180"/>
                <w:tab w:val="left" w:leader="dot" w:pos="2694"/>
              </w:tabs>
              <w:spacing w:before="60" w:after="60" w:line="240" w:lineRule="atLeast"/>
              <w:ind w:left="57" w:right="141" w:firstLine="0"/>
              <w:jc w:val="left"/>
              <w:rPr>
                <w:rFonts w:eastAsia="Calibri" w:cs="Arial"/>
                <w:sz w:val="18"/>
                <w:szCs w:val="18"/>
                <w:lang w:val="en-GB"/>
              </w:rPr>
            </w:pPr>
            <w:r w:rsidRPr="00481591">
              <w:rPr>
                <w:rFonts w:cs="Arial"/>
                <w:sz w:val="18"/>
                <w:szCs w:val="18"/>
                <w:lang w:val="en-GB"/>
              </w:rPr>
              <w:t>Accommodation, except sanitary and wet rooms</w:t>
            </w:r>
            <w:r w:rsidR="00481591">
              <w:rPr>
                <w:rFonts w:cs="Arial"/>
                <w:sz w:val="18"/>
                <w:szCs w:val="18"/>
                <w:lang w:val="en-GB"/>
              </w:rPr>
              <w:t xml:space="preserve"> </w:t>
            </w:r>
            <w:r w:rsidR="00481591">
              <w:rPr>
                <w:rFonts w:cs="Arial"/>
                <w:sz w:val="18"/>
                <w:szCs w:val="18"/>
                <w:lang w:val="en-GB"/>
              </w:rPr>
              <w:tab/>
            </w:r>
          </w:p>
        </w:tc>
        <w:tc>
          <w:tcPr>
            <w:tcW w:w="1080" w:type="dxa"/>
            <w:tcBorders>
              <w:top w:val="single" w:sz="6" w:space="0" w:color="auto"/>
              <w:left w:val="nil"/>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p>
        </w:tc>
        <w:tc>
          <w:tcPr>
            <w:tcW w:w="1253"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22</w:t>
            </w:r>
          </w:p>
        </w:tc>
        <w:tc>
          <w:tcPr>
            <w:tcW w:w="1154"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20</w:t>
            </w:r>
          </w:p>
        </w:tc>
        <w:tc>
          <w:tcPr>
            <w:tcW w:w="1114"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20</w:t>
            </w:r>
          </w:p>
        </w:tc>
      </w:tr>
      <w:tr w:rsidR="001F02E6" w:rsidRPr="00481591" w:rsidTr="00481591">
        <w:trPr>
          <w:cantSplit/>
        </w:trPr>
        <w:tc>
          <w:tcPr>
            <w:tcW w:w="2835" w:type="dxa"/>
            <w:tcBorders>
              <w:top w:val="single" w:sz="6" w:space="0" w:color="auto"/>
              <w:left w:val="single" w:sz="6" w:space="0" w:color="auto"/>
              <w:bottom w:val="single" w:sz="6" w:space="0" w:color="auto"/>
              <w:right w:val="single" w:sz="6" w:space="0" w:color="auto"/>
            </w:tcBorders>
          </w:tcPr>
          <w:p w:rsidR="001F02E6" w:rsidRPr="00481591" w:rsidRDefault="001F02E6" w:rsidP="00360E7D">
            <w:pPr>
              <w:keepNext/>
              <w:keepLines/>
              <w:tabs>
                <w:tab w:val="left" w:pos="180"/>
                <w:tab w:val="left" w:leader="dot" w:pos="2694"/>
              </w:tabs>
              <w:spacing w:before="60" w:after="60" w:line="240" w:lineRule="atLeast"/>
              <w:ind w:left="57" w:right="141" w:firstLine="0"/>
              <w:rPr>
                <w:rFonts w:eastAsia="Calibri" w:cs="Arial"/>
                <w:sz w:val="18"/>
                <w:szCs w:val="18"/>
                <w:lang w:val="en-GB"/>
              </w:rPr>
            </w:pPr>
            <w:r w:rsidRPr="00481591">
              <w:rPr>
                <w:rFonts w:cs="Arial"/>
                <w:sz w:val="18"/>
                <w:szCs w:val="18"/>
                <w:lang w:val="en-GB"/>
              </w:rPr>
              <w:t>Sanitary and wet rooms</w:t>
            </w:r>
            <w:r w:rsidR="00481591">
              <w:rPr>
                <w:rFonts w:cs="Arial"/>
                <w:sz w:val="18"/>
                <w:szCs w:val="18"/>
                <w:lang w:val="en-GB"/>
              </w:rPr>
              <w:t xml:space="preserve"> </w:t>
            </w:r>
            <w:r w:rsidR="00481591">
              <w:rPr>
                <w:rFonts w:cs="Arial"/>
                <w:sz w:val="18"/>
                <w:szCs w:val="18"/>
                <w:lang w:val="en-GB"/>
              </w:rPr>
              <w:tab/>
            </w:r>
          </w:p>
        </w:tc>
        <w:tc>
          <w:tcPr>
            <w:tcW w:w="1080" w:type="dxa"/>
            <w:tcBorders>
              <w:top w:val="single" w:sz="6" w:space="0" w:color="auto"/>
              <w:left w:val="nil"/>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44</w:t>
            </w: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44</w:t>
            </w:r>
          </w:p>
        </w:tc>
        <w:tc>
          <w:tcPr>
            <w:tcW w:w="1253"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44</w:t>
            </w:r>
          </w:p>
        </w:tc>
        <w:tc>
          <w:tcPr>
            <w:tcW w:w="1154"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55</w:t>
            </w:r>
          </w:p>
        </w:tc>
        <w:tc>
          <w:tcPr>
            <w:tcW w:w="1114" w:type="dxa"/>
            <w:tcBorders>
              <w:top w:val="single" w:sz="6" w:space="0" w:color="auto"/>
              <w:left w:val="single" w:sz="6" w:space="0" w:color="auto"/>
              <w:bottom w:val="single" w:sz="6" w:space="0" w:color="auto"/>
              <w:right w:val="single" w:sz="6" w:space="0" w:color="auto"/>
            </w:tcBorders>
            <w:vAlign w:val="bottom"/>
          </w:tcPr>
          <w:p w:rsidR="001F02E6" w:rsidRPr="00481591" w:rsidRDefault="001F02E6" w:rsidP="00481591">
            <w:pPr>
              <w:keepNext/>
              <w:keepLines/>
              <w:spacing w:before="60" w:after="60" w:line="240" w:lineRule="atLeast"/>
              <w:ind w:left="0" w:firstLine="0"/>
              <w:jc w:val="center"/>
              <w:rPr>
                <w:rFonts w:eastAsia="Calibri" w:cs="Arial"/>
                <w:sz w:val="18"/>
                <w:szCs w:val="18"/>
                <w:lang w:val="en-GB"/>
              </w:rPr>
            </w:pPr>
            <w:r w:rsidRPr="00481591">
              <w:rPr>
                <w:rFonts w:cs="Arial"/>
                <w:sz w:val="18"/>
                <w:szCs w:val="18"/>
                <w:lang w:val="en-GB"/>
              </w:rPr>
              <w:t>IP 44</w:t>
            </w:r>
          </w:p>
        </w:tc>
      </w:tr>
      <w:tr w:rsidR="001F02E6" w:rsidRPr="002F3A33" w:rsidTr="001F02E6">
        <w:trPr>
          <w:cantSplit/>
        </w:trPr>
        <w:tc>
          <w:tcPr>
            <w:tcW w:w="9356" w:type="dxa"/>
            <w:gridSpan w:val="7"/>
            <w:tcBorders>
              <w:top w:val="single" w:sz="6" w:space="0" w:color="auto"/>
              <w:left w:val="single" w:sz="6" w:space="0" w:color="auto"/>
              <w:bottom w:val="single" w:sz="6" w:space="0" w:color="auto"/>
              <w:right w:val="single" w:sz="6" w:space="0" w:color="auto"/>
            </w:tcBorders>
          </w:tcPr>
          <w:p w:rsidR="001F02E6" w:rsidRPr="008F6ABB" w:rsidRDefault="001F02E6" w:rsidP="001F02E6">
            <w:pPr>
              <w:widowControl w:val="0"/>
              <w:tabs>
                <w:tab w:val="left" w:pos="142"/>
              </w:tabs>
              <w:overflowPunct w:val="0"/>
              <w:adjustRightInd w:val="0"/>
              <w:spacing w:before="40" w:after="20" w:line="240" w:lineRule="atLeast"/>
              <w:ind w:left="57" w:firstLine="0"/>
              <w:textAlignment w:val="baseline"/>
              <w:rPr>
                <w:rFonts w:eastAsia="Calibri" w:cs="Arial"/>
                <w:sz w:val="18"/>
                <w:szCs w:val="18"/>
                <w:lang w:val="en-GB"/>
              </w:rPr>
            </w:pPr>
            <w:r w:rsidRPr="008F6ABB">
              <w:rPr>
                <w:sz w:val="18"/>
                <w:szCs w:val="18"/>
                <w:lang w:val="en-GB"/>
              </w:rPr>
              <w:t>Comments:</w:t>
            </w:r>
          </w:p>
          <w:p w:rsidR="001F02E6" w:rsidRPr="008F6ABB" w:rsidRDefault="001F02E6" w:rsidP="001F02E6">
            <w:pPr>
              <w:widowControl w:val="0"/>
              <w:overflowPunct w:val="0"/>
              <w:adjustRightInd w:val="0"/>
              <w:spacing w:before="20" w:after="20"/>
              <w:ind w:left="426" w:hanging="369"/>
              <w:textAlignment w:val="baseline"/>
              <w:rPr>
                <w:rFonts w:eastAsia="Calibri" w:cs="Arial"/>
                <w:sz w:val="18"/>
                <w:szCs w:val="18"/>
                <w:lang w:val="en-GB"/>
              </w:rPr>
            </w:pPr>
            <w:r w:rsidRPr="008F6ABB">
              <w:rPr>
                <w:sz w:val="18"/>
                <w:szCs w:val="18"/>
                <w:vertAlign w:val="superscript"/>
                <w:lang w:val="en-GB"/>
              </w:rPr>
              <w:t>(1)</w:t>
            </w:r>
            <w:r w:rsidRPr="008F6ABB">
              <w:rPr>
                <w:sz w:val="18"/>
                <w:szCs w:val="18"/>
                <w:lang w:val="en-GB"/>
              </w:rPr>
              <w:tab/>
              <w:t>Where equipment release large amounts of heat: IP 12.</w:t>
            </w:r>
          </w:p>
          <w:p w:rsidR="001F02E6" w:rsidRPr="008F6ABB" w:rsidRDefault="001F02E6" w:rsidP="001F02E6">
            <w:pPr>
              <w:widowControl w:val="0"/>
              <w:overflowPunct w:val="0"/>
              <w:adjustRightInd w:val="0"/>
              <w:spacing w:before="20" w:after="20"/>
              <w:ind w:left="426" w:hanging="369"/>
              <w:textAlignment w:val="baseline"/>
              <w:rPr>
                <w:rFonts w:eastAsia="Calibri" w:cs="Arial"/>
                <w:sz w:val="18"/>
                <w:szCs w:val="18"/>
                <w:lang w:val="en-GB"/>
              </w:rPr>
            </w:pPr>
            <w:r w:rsidRPr="008F6ABB">
              <w:rPr>
                <w:sz w:val="18"/>
                <w:szCs w:val="18"/>
                <w:vertAlign w:val="superscript"/>
                <w:lang w:val="en-GB"/>
              </w:rPr>
              <w:t>(2)</w:t>
            </w:r>
            <w:r w:rsidRPr="008F6ABB">
              <w:rPr>
                <w:sz w:val="18"/>
                <w:szCs w:val="18"/>
                <w:lang w:val="en-GB"/>
              </w:rPr>
              <w:tab/>
              <w:t>Where the type of protection is not ensured by the equipment itself, the equipment location shall meet the conditions indicated in the table.</w:t>
            </w:r>
          </w:p>
          <w:p w:rsidR="001F02E6" w:rsidRPr="008F6ABB" w:rsidRDefault="001F02E6" w:rsidP="001F02E6">
            <w:pPr>
              <w:widowControl w:val="0"/>
              <w:tabs>
                <w:tab w:val="left" w:pos="567"/>
              </w:tabs>
              <w:overflowPunct w:val="0"/>
              <w:adjustRightInd w:val="0"/>
              <w:spacing w:before="20" w:after="20"/>
              <w:ind w:left="426" w:hanging="369"/>
              <w:textAlignment w:val="baseline"/>
              <w:rPr>
                <w:rFonts w:eastAsia="Calibri" w:cs="Arial"/>
                <w:sz w:val="18"/>
                <w:szCs w:val="18"/>
                <w:lang w:val="en-GB"/>
              </w:rPr>
            </w:pPr>
            <w:r w:rsidRPr="008F6ABB">
              <w:rPr>
                <w:sz w:val="18"/>
                <w:szCs w:val="18"/>
                <w:vertAlign w:val="superscript"/>
                <w:lang w:val="en-GB"/>
              </w:rPr>
              <w:t>(3)</w:t>
            </w:r>
            <w:r w:rsidRPr="008F6ABB">
              <w:rPr>
                <w:sz w:val="18"/>
                <w:szCs w:val="18"/>
                <w:lang w:val="en-GB"/>
              </w:rPr>
              <w:tab/>
            </w:r>
            <w:r>
              <w:rPr>
                <w:sz w:val="18"/>
                <w:szCs w:val="18"/>
                <w:lang w:val="en-GB"/>
              </w:rPr>
              <w:t>C</w:t>
            </w:r>
            <w:r w:rsidRPr="00A30D43">
              <w:rPr>
                <w:sz w:val="18"/>
                <w:szCs w:val="18"/>
                <w:lang w:val="en-GB"/>
              </w:rPr>
              <w:t>ertified safe type electrical equipmen</w:t>
            </w:r>
            <w:r>
              <w:rPr>
                <w:sz w:val="18"/>
                <w:szCs w:val="18"/>
                <w:lang w:val="en-GB"/>
              </w:rPr>
              <w:t>t</w:t>
            </w:r>
            <w:r w:rsidRPr="008F6ABB">
              <w:rPr>
                <w:sz w:val="18"/>
                <w:szCs w:val="18"/>
                <w:lang w:val="en-GB"/>
              </w:rPr>
              <w:t xml:space="preserve">, for example installations </w:t>
            </w:r>
          </w:p>
          <w:p w:rsidR="001F02E6" w:rsidRPr="00881113" w:rsidRDefault="001F02E6" w:rsidP="001F02E6">
            <w:pPr>
              <w:widowControl w:val="0"/>
              <w:overflowPunct w:val="0"/>
              <w:adjustRightInd w:val="0"/>
              <w:spacing w:before="20" w:after="20"/>
              <w:ind w:left="709" w:hanging="283"/>
              <w:textAlignment w:val="baseline"/>
              <w:rPr>
                <w:rFonts w:eastAsia="Calibri" w:cs="Arial"/>
                <w:sz w:val="18"/>
                <w:szCs w:val="18"/>
                <w:lang w:val="en-GB"/>
              </w:rPr>
            </w:pPr>
            <w:r w:rsidRPr="008F6ABB">
              <w:rPr>
                <w:sz w:val="18"/>
                <w:szCs w:val="18"/>
                <w:lang w:val="en-GB"/>
              </w:rPr>
              <w:t>a)</w:t>
            </w:r>
            <w:r w:rsidRPr="008F6ABB">
              <w:rPr>
                <w:sz w:val="18"/>
                <w:szCs w:val="18"/>
                <w:lang w:val="en-GB"/>
              </w:rPr>
              <w:tab/>
              <w:t>allowed pu</w:t>
            </w:r>
            <w:r w:rsidRPr="00881113">
              <w:rPr>
                <w:sz w:val="18"/>
                <w:szCs w:val="18"/>
                <w:lang w:val="en-GB"/>
              </w:rPr>
              <w:t xml:space="preserve">rsuant to the European Standards series EN 60079 in the version </w:t>
            </w:r>
            <w:r>
              <w:rPr>
                <w:sz w:val="18"/>
                <w:szCs w:val="18"/>
                <w:lang w:val="en-GB"/>
              </w:rPr>
              <w:t>in force on 6 July 2017</w:t>
            </w:r>
            <w:r w:rsidRPr="00881113">
              <w:rPr>
                <w:sz w:val="18"/>
                <w:szCs w:val="18"/>
                <w:lang w:val="en-GB"/>
              </w:rPr>
              <w:t>,</w:t>
            </w:r>
          </w:p>
          <w:p w:rsidR="001F02E6" w:rsidRPr="00881113" w:rsidRDefault="001F02E6" w:rsidP="001F02E6">
            <w:pPr>
              <w:spacing w:line="240" w:lineRule="atLeast"/>
              <w:ind w:left="709" w:hanging="283"/>
              <w:rPr>
                <w:sz w:val="18"/>
                <w:szCs w:val="18"/>
                <w:lang w:val="en-GB"/>
              </w:rPr>
            </w:pPr>
            <w:r w:rsidRPr="00881113">
              <w:rPr>
                <w:sz w:val="18"/>
                <w:szCs w:val="18"/>
                <w:lang w:val="en-GB"/>
              </w:rPr>
              <w:t>b)</w:t>
            </w:r>
            <w:r w:rsidRPr="00881113">
              <w:rPr>
                <w:sz w:val="18"/>
                <w:szCs w:val="18"/>
                <w:lang w:val="en-GB"/>
              </w:rPr>
              <w:tab/>
              <w:t>lower minimum type of protection depending on design, e.g. certain types of fire detector.</w:t>
            </w:r>
          </w:p>
          <w:p w:rsidR="001F02E6" w:rsidRPr="00881113" w:rsidRDefault="001F02E6" w:rsidP="001F02E6">
            <w:pPr>
              <w:widowControl w:val="0"/>
              <w:overflowPunct w:val="0"/>
              <w:adjustRightInd w:val="0"/>
              <w:spacing w:before="40" w:after="40"/>
              <w:ind w:left="57" w:firstLine="0"/>
              <w:textAlignment w:val="baseline"/>
              <w:rPr>
                <w:rFonts w:cs="Arial"/>
                <w:sz w:val="18"/>
                <w:szCs w:val="18"/>
                <w:vertAlign w:val="superscript"/>
                <w:lang w:val="en-GB"/>
              </w:rPr>
            </w:pPr>
            <w:r w:rsidRPr="00881113">
              <w:rPr>
                <w:sz w:val="18"/>
                <w:szCs w:val="18"/>
                <w:lang w:val="en-GB"/>
              </w:rPr>
              <w:t>If lighting devices or fire detectors are used in accumulator and paint lockers, both conditions must be complied with.</w:t>
            </w:r>
          </w:p>
          <w:p w:rsidR="001F02E6" w:rsidRPr="008F6ABB" w:rsidRDefault="001F02E6" w:rsidP="000403EC">
            <w:pPr>
              <w:widowControl w:val="0"/>
              <w:tabs>
                <w:tab w:val="left" w:pos="426"/>
              </w:tabs>
              <w:overflowPunct w:val="0"/>
              <w:adjustRightInd w:val="0"/>
              <w:spacing w:before="20" w:after="40" w:line="240" w:lineRule="atLeast"/>
              <w:ind w:left="426" w:hanging="369"/>
              <w:textAlignment w:val="baseline"/>
              <w:rPr>
                <w:rFonts w:eastAsia="Calibri" w:cs="Arial"/>
                <w:sz w:val="16"/>
                <w:szCs w:val="16"/>
                <w:lang w:val="en-GB"/>
              </w:rPr>
            </w:pPr>
            <w:r w:rsidRPr="00881113">
              <w:rPr>
                <w:sz w:val="18"/>
                <w:szCs w:val="18"/>
                <w:vertAlign w:val="superscript"/>
                <w:lang w:val="en-GB"/>
              </w:rPr>
              <w:t>(4)</w:t>
            </w:r>
            <w:r w:rsidRPr="00881113">
              <w:rPr>
                <w:sz w:val="18"/>
                <w:szCs w:val="18"/>
                <w:lang w:val="en-GB"/>
              </w:rPr>
              <w:tab/>
              <w:t>For installation fittings for currents of 125 A and greater: IP 66 (EN 60529 : 201</w:t>
            </w:r>
            <w:r w:rsidR="000403EC">
              <w:rPr>
                <w:sz w:val="18"/>
                <w:szCs w:val="18"/>
                <w:lang w:val="en-GB"/>
              </w:rPr>
              <w:t>4</w:t>
            </w:r>
            <w:r w:rsidRPr="00881113">
              <w:rPr>
                <w:sz w:val="18"/>
                <w:szCs w:val="18"/>
                <w:lang w:val="en-GB"/>
              </w:rPr>
              <w:t>).</w:t>
            </w:r>
          </w:p>
        </w:tc>
      </w:tr>
    </w:tbl>
    <w:p w:rsidR="008A12E7" w:rsidRPr="001F02E6" w:rsidRDefault="008A12E7" w:rsidP="008A12E7">
      <w:pPr>
        <w:rPr>
          <w:rFonts w:cs="Arial"/>
          <w:szCs w:val="20"/>
          <w:lang w:val="en-GB"/>
        </w:rPr>
      </w:pPr>
    </w:p>
    <w:p w:rsidR="008A12E7" w:rsidRPr="00533048" w:rsidRDefault="008A12E7" w:rsidP="00533048">
      <w:pPr>
        <w:rPr>
          <w:rFonts w:cs="Arial"/>
          <w:szCs w:val="20"/>
          <w:lang w:val="en-US"/>
        </w:rPr>
      </w:pPr>
    </w:p>
    <w:p w:rsidR="008A12E7" w:rsidRPr="00C903F8" w:rsidRDefault="008A12E7" w:rsidP="001D61F0">
      <w:pPr>
        <w:pStyle w:val="ES-Titre3"/>
        <w:rPr>
          <w:lang w:val="en-US"/>
        </w:rPr>
      </w:pPr>
      <w:bookmarkStart w:id="92" w:name="_Toc491854081"/>
      <w:r w:rsidRPr="00C903F8">
        <w:rPr>
          <w:noProof/>
          <w:lang w:val="en-US"/>
        </w:rPr>
        <w:t>Article 10.04</w:t>
      </w:r>
      <w:r w:rsidRPr="00C903F8">
        <w:rPr>
          <w:noProof/>
          <w:lang w:val="en-US"/>
        </w:rPr>
        <w:br/>
      </w:r>
      <w:r w:rsidRPr="00C903F8">
        <w:rPr>
          <w:bCs/>
          <w:i/>
          <w:noProof/>
          <w:lang w:val="en-US"/>
        </w:rPr>
        <w:t xml:space="preserve">Protection from </w:t>
      </w:r>
      <w:r w:rsidRPr="00C903F8">
        <w:rPr>
          <w:i/>
          <w:noProof/>
          <w:lang w:val="en-US"/>
        </w:rPr>
        <w:t>explosion</w:t>
      </w:r>
      <w:bookmarkEnd w:id="92"/>
    </w:p>
    <w:p w:rsidR="001D61F0" w:rsidRPr="00C903F8" w:rsidRDefault="001D61F0" w:rsidP="001D61F0">
      <w:pPr>
        <w:ind w:left="0" w:firstLine="0"/>
        <w:rPr>
          <w:rFonts w:cs="Arial"/>
          <w:noProof/>
          <w:szCs w:val="20"/>
          <w:lang w:val="en-US"/>
        </w:rPr>
      </w:pPr>
    </w:p>
    <w:p w:rsidR="001F02E6" w:rsidRPr="008F6ABB" w:rsidRDefault="001F02E6" w:rsidP="001F02E6">
      <w:pPr>
        <w:pStyle w:val="ESch"/>
        <w:rPr>
          <w:rFonts w:eastAsia="Calibri" w:cs="Arial"/>
          <w:lang w:val="en-GB"/>
        </w:rPr>
      </w:pPr>
      <w:r w:rsidRPr="008F6ABB">
        <w:rPr>
          <w:lang w:val="en-GB"/>
        </w:rPr>
        <w:t>1.</w:t>
      </w:r>
      <w:r w:rsidRPr="008F6ABB">
        <w:rPr>
          <w:lang w:val="en-GB"/>
        </w:rPr>
        <w:tab/>
        <w:t xml:space="preserve">Only electrical equipment that has been explosion proofed (certified safety) may be installed in rooms or areas where explosive atmosphere is likely to accumulate. This equipment must be tested and approved as to its operating safety in an explosive atmosphere by testing institution recognised on the basis of national provisions of </w:t>
      </w:r>
      <w:r>
        <w:rPr>
          <w:lang w:val="en-GB"/>
        </w:rPr>
        <w:t xml:space="preserve">one of </w:t>
      </w:r>
      <w:r w:rsidRPr="008F6ABB">
        <w:rPr>
          <w:lang w:val="en-GB"/>
        </w:rPr>
        <w:t xml:space="preserve">the Member States. </w:t>
      </w:r>
    </w:p>
    <w:p w:rsidR="001F02E6" w:rsidRPr="008F6ABB" w:rsidRDefault="001F02E6" w:rsidP="001F02E6">
      <w:pPr>
        <w:pStyle w:val="ESch"/>
        <w:rPr>
          <w:rFonts w:eastAsia="Calibri"/>
          <w:lang w:val="en-GB"/>
        </w:rPr>
      </w:pPr>
    </w:p>
    <w:p w:rsidR="001F02E6" w:rsidRPr="008F6ABB" w:rsidRDefault="001F02E6" w:rsidP="001F02E6">
      <w:pPr>
        <w:pStyle w:val="ESchpar"/>
        <w:rPr>
          <w:rFonts w:eastAsia="Calibri"/>
          <w:lang w:val="en-GB"/>
        </w:rPr>
      </w:pPr>
      <w:r w:rsidRPr="008F6ABB">
        <w:rPr>
          <w:lang w:val="en-GB"/>
        </w:rPr>
        <w:t>The installation</w:t>
      </w:r>
      <w:r w:rsidRPr="008F6ABB">
        <w:rPr>
          <w:szCs w:val="20"/>
          <w:lang w:val="en-GB" w:eastAsia="de-DE"/>
        </w:rPr>
        <w:t xml:space="preserve"> </w:t>
      </w:r>
      <w:r w:rsidRPr="008F6ABB">
        <w:rPr>
          <w:lang w:val="en-GB"/>
        </w:rPr>
        <w:t>in these rooms or areas of switching devices for lighting appliances and other electrical equipment is to be avoided as far as possible. The explosion proofing shall take account of the characteristics of the atmosphere that is likely to arise (explosion-potential group, temperature class) and of the requirements of the relevant zone.</w:t>
      </w:r>
    </w:p>
    <w:p w:rsidR="001F02E6" w:rsidRDefault="001F02E6" w:rsidP="001F02E6">
      <w:pPr>
        <w:pStyle w:val="ESchpar"/>
        <w:rPr>
          <w:rFonts w:eastAsia="Calibri"/>
          <w:lang w:val="en-GB"/>
        </w:rPr>
      </w:pPr>
    </w:p>
    <w:p w:rsidR="00AA5633" w:rsidRDefault="00AA5633">
      <w:pPr>
        <w:autoSpaceDE/>
        <w:autoSpaceDN/>
        <w:ind w:left="0" w:firstLine="0"/>
        <w:jc w:val="left"/>
        <w:rPr>
          <w:rFonts w:eastAsia="Calibri"/>
          <w:lang w:val="en-GB"/>
        </w:rPr>
      </w:pPr>
      <w:r>
        <w:rPr>
          <w:rFonts w:eastAsia="Calibri"/>
          <w:lang w:val="en-GB"/>
        </w:rPr>
        <w:br w:type="page"/>
      </w:r>
    </w:p>
    <w:p w:rsidR="00AA5633" w:rsidRPr="008F6ABB" w:rsidRDefault="00AA5633" w:rsidP="001F02E6">
      <w:pPr>
        <w:pStyle w:val="ESchpar"/>
        <w:rPr>
          <w:rFonts w:eastAsia="Calibri"/>
          <w:lang w:val="en-GB"/>
        </w:rPr>
      </w:pPr>
    </w:p>
    <w:p w:rsidR="001F02E6" w:rsidRPr="008F6ABB" w:rsidRDefault="001F02E6" w:rsidP="001F02E6">
      <w:pPr>
        <w:pStyle w:val="ESchpar"/>
        <w:rPr>
          <w:rFonts w:eastAsia="Calibri"/>
          <w:strike/>
          <w:lang w:val="en-GB"/>
        </w:rPr>
      </w:pPr>
      <w:r w:rsidRPr="008F6ABB">
        <w:rPr>
          <w:lang w:val="en-GB"/>
        </w:rPr>
        <w:t xml:space="preserve">Information and restrictions in the approval certificates of the equipment must be observed. </w:t>
      </w:r>
    </w:p>
    <w:p w:rsidR="001F02E6" w:rsidRPr="008F6ABB" w:rsidRDefault="001F02E6" w:rsidP="001F02E6">
      <w:pPr>
        <w:pStyle w:val="ESchpar"/>
        <w:rPr>
          <w:rFonts w:eastAsia="Calibri"/>
          <w:lang w:val="en-GB"/>
        </w:rPr>
      </w:pPr>
    </w:p>
    <w:p w:rsidR="001F02E6" w:rsidRPr="001717EA" w:rsidRDefault="001F02E6" w:rsidP="001F02E6">
      <w:pPr>
        <w:pStyle w:val="ESchpar"/>
        <w:rPr>
          <w:lang w:val="en-GB"/>
        </w:rPr>
      </w:pPr>
      <w:r w:rsidRPr="001717EA">
        <w:rPr>
          <w:lang w:val="en-GB"/>
        </w:rPr>
        <w:t>The classification and evaluation of areas at risk of explosion is to be conducted and documented in accordance with International Standards EN 60079-10-1:</w:t>
      </w:r>
      <w:r w:rsidR="009E13C8">
        <w:rPr>
          <w:lang w:val="en-GB"/>
        </w:rPr>
        <w:t xml:space="preserve"> </w:t>
      </w:r>
      <w:r w:rsidRPr="001717EA">
        <w:rPr>
          <w:lang w:val="en-GB"/>
        </w:rPr>
        <w:t>2015 and EN 60079­10-2: 2015.</w:t>
      </w:r>
    </w:p>
    <w:p w:rsidR="001F02E6" w:rsidRPr="008F6ABB" w:rsidRDefault="001F02E6" w:rsidP="001F02E6">
      <w:pPr>
        <w:pStyle w:val="ESch"/>
        <w:rPr>
          <w:rFonts w:eastAsia="Calibri"/>
          <w:lang w:val="en-GB"/>
        </w:rPr>
      </w:pPr>
    </w:p>
    <w:p w:rsidR="001F02E6" w:rsidRPr="001717EA" w:rsidRDefault="001F02E6" w:rsidP="001F02E6">
      <w:pPr>
        <w:pStyle w:val="ESch"/>
        <w:rPr>
          <w:rFonts w:eastAsia="Calibri"/>
          <w:lang w:val="en-GB"/>
        </w:rPr>
      </w:pPr>
      <w:r w:rsidRPr="001717EA">
        <w:rPr>
          <w:lang w:val="en-GB"/>
        </w:rPr>
        <w:t>2.</w:t>
      </w:r>
      <w:r w:rsidRPr="001717EA">
        <w:rPr>
          <w:lang w:val="en-GB"/>
        </w:rPr>
        <w:tab/>
        <w:t>The applicable rules for hazardous areas:</w:t>
      </w:r>
    </w:p>
    <w:p w:rsidR="001F02E6" w:rsidRPr="008F6ABB" w:rsidRDefault="001F02E6" w:rsidP="001F02E6">
      <w:pPr>
        <w:pStyle w:val="ESlet"/>
        <w:rPr>
          <w:rFonts w:eastAsia="Calibri"/>
          <w:lang w:val="en-GB"/>
        </w:rPr>
      </w:pPr>
      <w:r w:rsidRPr="008F6ABB">
        <w:rPr>
          <w:lang w:val="en-GB"/>
        </w:rPr>
        <w:t>a)</w:t>
      </w:r>
      <w:r w:rsidRPr="008F6ABB">
        <w:rPr>
          <w:lang w:val="en-GB"/>
        </w:rPr>
        <w:tab/>
        <w:t xml:space="preserve">In </w:t>
      </w:r>
      <w:r w:rsidR="008D24FF">
        <w:rPr>
          <w:lang w:val="en-GB"/>
        </w:rPr>
        <w:t>Z</w:t>
      </w:r>
      <w:r w:rsidRPr="008F6ABB">
        <w:rPr>
          <w:lang w:val="en-GB"/>
        </w:rPr>
        <w:t>one 0 areas o</w:t>
      </w:r>
      <w:r w:rsidRPr="00A30D43">
        <w:rPr>
          <w:lang w:val="en-GB"/>
        </w:rPr>
        <w:t>nly intrinsically safe circuits (protection class Ex ia) in accordance with International Standard IEC 60079­11: 2012</w:t>
      </w:r>
      <w:r w:rsidRPr="008F6ABB">
        <w:rPr>
          <w:lang w:val="en-GB"/>
        </w:rPr>
        <w:t xml:space="preserve"> are permitted.</w:t>
      </w:r>
    </w:p>
    <w:p w:rsidR="001F02E6" w:rsidRPr="008F6ABB" w:rsidRDefault="001F02E6" w:rsidP="001F02E6">
      <w:pPr>
        <w:pStyle w:val="ESlet"/>
        <w:rPr>
          <w:rFonts w:eastAsia="Calibri"/>
          <w:lang w:val="en-GB"/>
        </w:rPr>
      </w:pPr>
      <w:r w:rsidRPr="008F6ABB">
        <w:rPr>
          <w:lang w:val="en-GB"/>
        </w:rPr>
        <w:t>b)</w:t>
      </w:r>
      <w:r w:rsidRPr="008F6ABB">
        <w:rPr>
          <w:lang w:val="en-GB"/>
        </w:rPr>
        <w:tab/>
        <w:t>In zone 1 areas only</w:t>
      </w:r>
      <w:r w:rsidR="009E13C8">
        <w:rPr>
          <w:lang w:val="en-GB"/>
        </w:rPr>
        <w:t>,</w:t>
      </w:r>
      <w:r w:rsidRPr="008F6ABB">
        <w:rPr>
          <w:lang w:val="en-GB"/>
        </w:rPr>
        <w:t xml:space="preserve"> explosion-protected electrical equipment (certified safety) is permitted. </w:t>
      </w:r>
    </w:p>
    <w:p w:rsidR="001F02E6" w:rsidRPr="008F6ABB" w:rsidRDefault="001F02E6" w:rsidP="001F02E6">
      <w:pPr>
        <w:pStyle w:val="ESlet"/>
        <w:rPr>
          <w:rFonts w:eastAsia="Calibri"/>
          <w:lang w:val="en-GB"/>
        </w:rPr>
      </w:pPr>
      <w:r w:rsidRPr="008F6ABB">
        <w:rPr>
          <w:lang w:val="en-GB"/>
        </w:rPr>
        <w:t>c)</w:t>
      </w:r>
      <w:r w:rsidRPr="008F6ABB">
        <w:rPr>
          <w:lang w:val="en-GB"/>
        </w:rPr>
        <w:tab/>
        <w:t xml:space="preserve">In zone 2 areas measures need to be taken to protect electrical equipment that are appropriate to the type and intended purpose of the service equipment. </w:t>
      </w:r>
    </w:p>
    <w:p w:rsidR="001F02E6" w:rsidRPr="008F6ABB" w:rsidRDefault="001F02E6" w:rsidP="001F02E6">
      <w:pPr>
        <w:pStyle w:val="EStiret"/>
        <w:rPr>
          <w:rFonts w:eastAsia="Calibri"/>
          <w:noProof w:val="0"/>
          <w:lang w:val="en-GB"/>
        </w:rPr>
      </w:pPr>
      <w:r w:rsidRPr="008F6ABB">
        <w:rPr>
          <w:noProof w:val="0"/>
          <w:lang w:val="en-GB"/>
        </w:rPr>
        <w:t>Approval in these areas is restricted to:</w:t>
      </w:r>
    </w:p>
    <w:p w:rsidR="001F02E6" w:rsidRPr="008F6ABB" w:rsidRDefault="001F02E6" w:rsidP="001F02E6">
      <w:pPr>
        <w:pStyle w:val="EStiret"/>
        <w:rPr>
          <w:rFonts w:eastAsia="Calibri"/>
          <w:noProof w:val="0"/>
          <w:lang w:val="en-GB"/>
        </w:rPr>
      </w:pPr>
      <w:r w:rsidRPr="008F6ABB">
        <w:rPr>
          <w:noProof w:val="0"/>
          <w:lang w:val="en-GB"/>
        </w:rPr>
        <w:t>aa)</w:t>
      </w:r>
      <w:r w:rsidRPr="008F6ABB">
        <w:rPr>
          <w:noProof w:val="0"/>
          <w:lang w:val="en-GB"/>
        </w:rPr>
        <w:tab/>
        <w:t>explosion-protected electrical equipment (certified safety) or</w:t>
      </w:r>
    </w:p>
    <w:p w:rsidR="001F02E6" w:rsidRPr="008F6ABB" w:rsidRDefault="001F02E6" w:rsidP="001F02E6">
      <w:pPr>
        <w:pStyle w:val="EStiret"/>
        <w:rPr>
          <w:rFonts w:eastAsia="Calibri"/>
          <w:noProof w:val="0"/>
          <w:lang w:val="en-GB"/>
        </w:rPr>
      </w:pPr>
      <w:r w:rsidRPr="008F6ABB">
        <w:rPr>
          <w:noProof w:val="0"/>
          <w:lang w:val="en-GB"/>
        </w:rPr>
        <w:t>bb)</w:t>
      </w:r>
      <w:r w:rsidRPr="008F6ABB">
        <w:rPr>
          <w:noProof w:val="0"/>
          <w:lang w:val="en-GB"/>
        </w:rPr>
        <w:tab/>
        <w:t xml:space="preserve">service equipment, which in normal use do not produce any sparks and whose surfaces might come into contact with the outside air, do not reach impermissible temperatures, or </w:t>
      </w:r>
    </w:p>
    <w:p w:rsidR="001F02E6" w:rsidRPr="008F6ABB" w:rsidRDefault="001F02E6" w:rsidP="001F02E6">
      <w:pPr>
        <w:pStyle w:val="EStiret"/>
        <w:rPr>
          <w:rFonts w:eastAsia="Calibri"/>
          <w:noProof w:val="0"/>
          <w:lang w:val="en-GB"/>
        </w:rPr>
      </w:pPr>
      <w:r w:rsidRPr="008F6ABB">
        <w:rPr>
          <w:noProof w:val="0"/>
          <w:lang w:val="en-GB"/>
        </w:rPr>
        <w:t>cc)</w:t>
      </w:r>
      <w:r w:rsidRPr="008F6ABB">
        <w:rPr>
          <w:noProof w:val="0"/>
          <w:lang w:val="en-GB"/>
        </w:rPr>
        <w:tab/>
        <w:t>service equipment which is protected by pressurization or which is encapsulated in a vapour-proof manner (minimum protection class IP 55) and whose surfaces do not reach impermissible temperatures.</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3.</w:t>
      </w:r>
      <w:r w:rsidRPr="008F6ABB">
        <w:rPr>
          <w:lang w:val="en-GB"/>
        </w:rPr>
        <w:tab/>
        <w:t>For dust explosion protection, the requirements shall apply according to European Standard EN 60079-10-2: 2015.</w:t>
      </w:r>
    </w:p>
    <w:p w:rsidR="008A12E7" w:rsidRPr="001F02E6" w:rsidRDefault="008A12E7" w:rsidP="008A12E7">
      <w:pPr>
        <w:rPr>
          <w:rFonts w:cs="Arial"/>
          <w:szCs w:val="20"/>
          <w:lang w:val="en-GB"/>
        </w:rPr>
      </w:pPr>
    </w:p>
    <w:p w:rsidR="001D61F0" w:rsidRPr="00C903F8" w:rsidRDefault="001D61F0" w:rsidP="008A12E7">
      <w:pPr>
        <w:rPr>
          <w:rFonts w:cs="Arial"/>
          <w:szCs w:val="20"/>
          <w:lang w:val="en-US"/>
        </w:rPr>
      </w:pPr>
    </w:p>
    <w:p w:rsidR="008A12E7" w:rsidRPr="00C903F8" w:rsidRDefault="008A12E7" w:rsidP="001D61F0">
      <w:pPr>
        <w:pStyle w:val="ES-Titre3"/>
        <w:rPr>
          <w:lang w:val="en-GB"/>
        </w:rPr>
      </w:pPr>
      <w:bookmarkStart w:id="93" w:name="_Toc491854082"/>
      <w:r w:rsidRPr="00C903F8">
        <w:rPr>
          <w:noProof/>
          <w:lang w:val="en-US"/>
        </w:rPr>
        <w:t>Article 10.05</w:t>
      </w:r>
      <w:r w:rsidRPr="00C903F8">
        <w:rPr>
          <w:noProof/>
          <w:lang w:val="en-US"/>
        </w:rPr>
        <w:br/>
      </w:r>
      <w:r w:rsidRPr="00C903F8">
        <w:rPr>
          <w:i/>
          <w:noProof/>
          <w:lang w:val="en-US"/>
        </w:rPr>
        <w:t>Earthing</w:t>
      </w:r>
      <w:bookmarkEnd w:id="93"/>
    </w:p>
    <w:p w:rsidR="001D61F0" w:rsidRPr="00C903F8" w:rsidRDefault="001D61F0" w:rsidP="008A12E7">
      <w:pPr>
        <w:rPr>
          <w:rFonts w:cs="Arial"/>
          <w:noProof/>
          <w:szCs w:val="20"/>
          <w:lang w:val="en-US"/>
        </w:rPr>
      </w:pPr>
    </w:p>
    <w:p w:rsidR="001F02E6" w:rsidRPr="008F6ABB" w:rsidRDefault="001F02E6" w:rsidP="001F02E6">
      <w:pPr>
        <w:pStyle w:val="ESch"/>
        <w:rPr>
          <w:rFonts w:eastAsia="Calibri"/>
          <w:lang w:val="en-GB"/>
        </w:rPr>
      </w:pPr>
      <w:r w:rsidRPr="008F6ABB">
        <w:rPr>
          <w:lang w:val="en-GB"/>
        </w:rPr>
        <w:t>1.</w:t>
      </w:r>
      <w:r w:rsidRPr="008F6ABB">
        <w:rPr>
          <w:lang w:val="en-GB"/>
        </w:rPr>
        <w:tab/>
        <w:t>Earthing shall be required for electrical installations with voltages in excess of 50 V.</w:t>
      </w:r>
    </w:p>
    <w:p w:rsidR="001F02E6" w:rsidRPr="008F6ABB" w:rsidRDefault="001F02E6" w:rsidP="001F02E6">
      <w:pPr>
        <w:pStyle w:val="ESch"/>
        <w:rPr>
          <w:rFonts w:eastAsia="Calibri"/>
          <w:sz w:val="18"/>
          <w:lang w:val="en-GB"/>
        </w:rPr>
      </w:pPr>
    </w:p>
    <w:p w:rsidR="001F02E6" w:rsidRPr="008F6ABB" w:rsidRDefault="001F02E6" w:rsidP="001F02E6">
      <w:pPr>
        <w:pStyle w:val="ESch"/>
        <w:rPr>
          <w:rFonts w:eastAsia="Calibri"/>
          <w:lang w:val="en-GB"/>
        </w:rPr>
      </w:pPr>
      <w:r w:rsidRPr="008F6ABB">
        <w:rPr>
          <w:lang w:val="en-GB"/>
        </w:rPr>
        <w:t>2.</w:t>
      </w:r>
      <w:r w:rsidRPr="008F6ABB">
        <w:rPr>
          <w:lang w:val="en-GB"/>
        </w:rPr>
        <w:tab/>
        <w:t>Exposed metal parts which under normal operating conditions are not live, such as electrical system frames and casings of electrical installations and non</w:t>
      </w:r>
      <w:r w:rsidR="009E13C8">
        <w:rPr>
          <w:lang w:val="en-GB"/>
        </w:rPr>
        <w:t>-</w:t>
      </w:r>
      <w:r w:rsidRPr="008F6ABB">
        <w:rPr>
          <w:lang w:val="en-GB"/>
        </w:rPr>
        <w:t xml:space="preserve">mobile electrical equipment, shall be earthed separately if they are not so mounted as to be already in electrical contact with the </w:t>
      </w:r>
      <w:r>
        <w:rPr>
          <w:lang w:val="en-GB"/>
        </w:rPr>
        <w:t>craft</w:t>
      </w:r>
      <w:r w:rsidRPr="008F6ABB">
        <w:rPr>
          <w:lang w:val="en-GB"/>
        </w:rPr>
        <w:t>'s hull.</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3.</w:t>
      </w:r>
      <w:r w:rsidRPr="008F6ABB">
        <w:rPr>
          <w:lang w:val="en-GB"/>
        </w:rPr>
        <w:tab/>
        <w:t>The casings of mobile electric equipment shall be earthed by means of an additional conductor not normally carrying current and incorporated in the supply cable. This requirement shall not apply when an isolation transformer is used or to equipment fitted with protective insulation (double insulation).</w:t>
      </w:r>
    </w:p>
    <w:p w:rsidR="001F02E6" w:rsidRDefault="001F02E6" w:rsidP="001F02E6">
      <w:pPr>
        <w:pStyle w:val="ESch"/>
        <w:rPr>
          <w:rFonts w:eastAsia="Calibri"/>
          <w:lang w:val="en-GB"/>
        </w:rPr>
      </w:pPr>
    </w:p>
    <w:p w:rsidR="00666810" w:rsidRDefault="00666810">
      <w:pPr>
        <w:autoSpaceDE/>
        <w:autoSpaceDN/>
        <w:ind w:left="0" w:firstLine="0"/>
        <w:jc w:val="left"/>
        <w:rPr>
          <w:rFonts w:eastAsia="Calibri"/>
          <w:lang w:val="en-GB"/>
        </w:rPr>
      </w:pPr>
      <w:r>
        <w:rPr>
          <w:rFonts w:eastAsia="Calibri"/>
          <w:lang w:val="en-GB"/>
        </w:rPr>
        <w:br w:type="page"/>
      </w:r>
    </w:p>
    <w:p w:rsidR="00666810" w:rsidRPr="008F6ABB" w:rsidRDefault="00666810"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4.</w:t>
      </w:r>
      <w:r w:rsidRPr="008F6ABB">
        <w:rPr>
          <w:lang w:val="en-GB"/>
        </w:rPr>
        <w:tab/>
        <w:t xml:space="preserve">The </w:t>
      </w:r>
      <w:r w:rsidRPr="001717EA">
        <w:rPr>
          <w:lang w:val="en-GB"/>
        </w:rPr>
        <w:t>cross</w:t>
      </w:r>
      <w:r w:rsidRPr="008F6ABB">
        <w:rPr>
          <w:lang w:val="en-GB"/>
        </w:rPr>
        <w:t>-section of earth wires shall be at least equal to the values obtained from the following table:</w:t>
      </w:r>
    </w:p>
    <w:p w:rsidR="008A12E7" w:rsidRPr="001F02E6" w:rsidRDefault="008A12E7" w:rsidP="008A12E7">
      <w:pPr>
        <w:rPr>
          <w:rFonts w:cs="Arial"/>
          <w:szCs w:val="20"/>
          <w:lang w:val="en-GB"/>
        </w:rPr>
      </w:pPr>
    </w:p>
    <w:tbl>
      <w:tblPr>
        <w:tblW w:w="0" w:type="auto"/>
        <w:jc w:val="center"/>
        <w:tblLayout w:type="fixed"/>
        <w:tblCellMar>
          <w:left w:w="70" w:type="dxa"/>
          <w:right w:w="70" w:type="dxa"/>
        </w:tblCellMar>
        <w:tblLook w:val="0000" w:firstRow="0" w:lastRow="0" w:firstColumn="0" w:lastColumn="0" w:noHBand="0" w:noVBand="0"/>
      </w:tblPr>
      <w:tblGrid>
        <w:gridCol w:w="2214"/>
        <w:gridCol w:w="2833"/>
        <w:gridCol w:w="3062"/>
      </w:tblGrid>
      <w:tr w:rsidR="001F02E6" w:rsidRPr="00505433" w:rsidTr="001F02E6">
        <w:trPr>
          <w:cantSplit/>
          <w:jc w:val="center"/>
        </w:trPr>
        <w:tc>
          <w:tcPr>
            <w:tcW w:w="2214" w:type="dxa"/>
            <w:vMerge w:val="restart"/>
            <w:tcBorders>
              <w:top w:val="single" w:sz="6" w:space="0" w:color="auto"/>
              <w:left w:val="single" w:sz="6" w:space="0" w:color="auto"/>
              <w:right w:val="single" w:sz="6" w:space="0" w:color="auto"/>
            </w:tcBorders>
            <w:vAlign w:val="center"/>
          </w:tcPr>
          <w:p w:rsidR="001F02E6" w:rsidRPr="008F6ABB" w:rsidRDefault="001F02E6" w:rsidP="001F02E6">
            <w:pPr>
              <w:tabs>
                <w:tab w:val="left" w:pos="1632"/>
                <w:tab w:val="left" w:pos="3456"/>
              </w:tabs>
              <w:spacing w:before="60" w:after="60" w:line="240" w:lineRule="atLeast"/>
              <w:jc w:val="center"/>
              <w:rPr>
                <w:rFonts w:cs="Arial"/>
                <w:sz w:val="18"/>
                <w:szCs w:val="18"/>
                <w:lang w:val="en-GB"/>
              </w:rPr>
            </w:pPr>
            <w:r w:rsidRPr="008F6ABB">
              <w:rPr>
                <w:sz w:val="18"/>
                <w:szCs w:val="18"/>
                <w:lang w:val="en-GB"/>
              </w:rPr>
              <w:t>Cross-section of external conductors (S)</w:t>
            </w:r>
            <w:r w:rsidRPr="008F6ABB">
              <w:rPr>
                <w:sz w:val="18"/>
                <w:szCs w:val="18"/>
                <w:lang w:val="en-GB"/>
              </w:rPr>
              <w:br/>
              <w:t>[mm</w:t>
            </w:r>
            <w:r w:rsidRPr="00AA5633">
              <w:rPr>
                <w:sz w:val="16"/>
                <w:szCs w:val="18"/>
                <w:vertAlign w:val="superscript"/>
                <w:lang w:val="en-GB"/>
              </w:rPr>
              <w:t>2</w:t>
            </w:r>
            <w:r w:rsidRPr="008F6ABB">
              <w:rPr>
                <w:sz w:val="18"/>
                <w:szCs w:val="18"/>
                <w:lang w:val="en-GB"/>
              </w:rPr>
              <w:t>]</w:t>
            </w:r>
          </w:p>
        </w:tc>
        <w:tc>
          <w:tcPr>
            <w:tcW w:w="5895" w:type="dxa"/>
            <w:gridSpan w:val="2"/>
            <w:tcBorders>
              <w:top w:val="single" w:sz="6" w:space="0" w:color="auto"/>
              <w:right w:val="single" w:sz="6" w:space="0" w:color="auto"/>
            </w:tcBorders>
            <w:vAlign w:val="center"/>
          </w:tcPr>
          <w:p w:rsidR="001F02E6" w:rsidRPr="008F6ABB" w:rsidRDefault="001F02E6" w:rsidP="001F02E6">
            <w:pPr>
              <w:tabs>
                <w:tab w:val="left" w:pos="1632"/>
                <w:tab w:val="left" w:pos="3456"/>
              </w:tabs>
              <w:spacing w:before="60" w:after="60" w:line="240" w:lineRule="atLeast"/>
              <w:ind w:left="17" w:hanging="17"/>
              <w:jc w:val="center"/>
              <w:rPr>
                <w:rFonts w:cs="Arial"/>
                <w:sz w:val="18"/>
                <w:szCs w:val="18"/>
                <w:lang w:val="en-GB"/>
              </w:rPr>
            </w:pPr>
            <w:r w:rsidRPr="008F6ABB">
              <w:rPr>
                <w:sz w:val="18"/>
                <w:szCs w:val="18"/>
                <w:lang w:val="en-GB"/>
              </w:rPr>
              <w:t>Minimum cross-section of earthing conductors</w:t>
            </w:r>
          </w:p>
        </w:tc>
      </w:tr>
      <w:tr w:rsidR="001F02E6" w:rsidRPr="008F6ABB" w:rsidTr="001F02E6">
        <w:trPr>
          <w:cantSplit/>
          <w:jc w:val="center"/>
        </w:trPr>
        <w:tc>
          <w:tcPr>
            <w:tcW w:w="2214" w:type="dxa"/>
            <w:vMerge/>
            <w:tcBorders>
              <w:left w:val="single" w:sz="6" w:space="0" w:color="auto"/>
              <w:bottom w:val="single" w:sz="12" w:space="0" w:color="auto"/>
              <w:right w:val="single" w:sz="6" w:space="0" w:color="auto"/>
            </w:tcBorders>
            <w:vAlign w:val="center"/>
          </w:tcPr>
          <w:p w:rsidR="001F02E6" w:rsidRPr="008F6ABB" w:rsidRDefault="001F02E6" w:rsidP="001F02E6">
            <w:pPr>
              <w:tabs>
                <w:tab w:val="left" w:pos="1632"/>
                <w:tab w:val="left" w:pos="3456"/>
              </w:tabs>
              <w:spacing w:before="60" w:after="60" w:line="240" w:lineRule="atLeast"/>
              <w:jc w:val="center"/>
              <w:rPr>
                <w:rFonts w:cs="Arial"/>
                <w:sz w:val="18"/>
                <w:szCs w:val="18"/>
                <w:lang w:val="en-GB"/>
              </w:rPr>
            </w:pPr>
          </w:p>
        </w:tc>
        <w:tc>
          <w:tcPr>
            <w:tcW w:w="2833" w:type="dxa"/>
            <w:tcBorders>
              <w:bottom w:val="single" w:sz="12" w:space="0" w:color="auto"/>
              <w:right w:val="single" w:sz="6" w:space="0" w:color="auto"/>
            </w:tcBorders>
            <w:vAlign w:val="center"/>
          </w:tcPr>
          <w:p w:rsidR="001F02E6" w:rsidRPr="008F6ABB" w:rsidRDefault="001F02E6" w:rsidP="001F02E6">
            <w:pPr>
              <w:tabs>
                <w:tab w:val="left" w:pos="1632"/>
                <w:tab w:val="left" w:pos="3456"/>
              </w:tabs>
              <w:spacing w:before="60" w:after="60" w:line="240" w:lineRule="atLeast"/>
              <w:jc w:val="center"/>
              <w:rPr>
                <w:rFonts w:cs="Arial"/>
                <w:sz w:val="18"/>
                <w:szCs w:val="18"/>
                <w:lang w:val="en-GB"/>
              </w:rPr>
            </w:pPr>
            <w:r w:rsidRPr="008F6ABB">
              <w:rPr>
                <w:sz w:val="18"/>
                <w:szCs w:val="18"/>
                <w:lang w:val="en-GB"/>
              </w:rPr>
              <w:t>in insulated cables</w:t>
            </w:r>
            <w:r w:rsidRPr="008F6ABB">
              <w:rPr>
                <w:sz w:val="18"/>
                <w:szCs w:val="18"/>
                <w:lang w:val="en-GB"/>
              </w:rPr>
              <w:br/>
              <w:t>[mm</w:t>
            </w:r>
            <w:r w:rsidRPr="00AA5633">
              <w:rPr>
                <w:sz w:val="16"/>
                <w:szCs w:val="18"/>
                <w:vertAlign w:val="superscript"/>
                <w:lang w:val="en-GB"/>
              </w:rPr>
              <w:t>2</w:t>
            </w:r>
            <w:r w:rsidRPr="008F6ABB">
              <w:rPr>
                <w:sz w:val="18"/>
                <w:szCs w:val="18"/>
                <w:lang w:val="en-GB"/>
              </w:rPr>
              <w:t>]</w:t>
            </w:r>
          </w:p>
        </w:tc>
        <w:tc>
          <w:tcPr>
            <w:tcW w:w="3062" w:type="dxa"/>
            <w:tcBorders>
              <w:left w:val="single" w:sz="6" w:space="0" w:color="auto"/>
              <w:bottom w:val="single" w:sz="12" w:space="0" w:color="auto"/>
              <w:right w:val="single" w:sz="6" w:space="0" w:color="auto"/>
            </w:tcBorders>
            <w:vAlign w:val="center"/>
          </w:tcPr>
          <w:p w:rsidR="001F02E6" w:rsidRPr="008F6ABB" w:rsidRDefault="001F02E6" w:rsidP="001F02E6">
            <w:pPr>
              <w:tabs>
                <w:tab w:val="left" w:pos="1632"/>
                <w:tab w:val="left" w:pos="3456"/>
              </w:tabs>
              <w:spacing w:before="60" w:after="60" w:line="240" w:lineRule="atLeast"/>
              <w:jc w:val="center"/>
              <w:rPr>
                <w:rFonts w:cs="Arial"/>
                <w:sz w:val="18"/>
                <w:szCs w:val="18"/>
                <w:lang w:val="en-GB"/>
              </w:rPr>
            </w:pPr>
            <w:r w:rsidRPr="008F6ABB">
              <w:rPr>
                <w:sz w:val="18"/>
                <w:szCs w:val="18"/>
                <w:lang w:val="en-GB"/>
              </w:rPr>
              <w:t>separately mounted</w:t>
            </w:r>
            <w:r w:rsidRPr="008F6ABB">
              <w:rPr>
                <w:sz w:val="18"/>
                <w:szCs w:val="18"/>
                <w:lang w:val="en-GB"/>
              </w:rPr>
              <w:br/>
              <w:t>[mm</w:t>
            </w:r>
            <w:r w:rsidRPr="00AA5633">
              <w:rPr>
                <w:sz w:val="16"/>
                <w:szCs w:val="18"/>
                <w:vertAlign w:val="superscript"/>
                <w:lang w:val="en-GB"/>
              </w:rPr>
              <w:t>2</w:t>
            </w:r>
            <w:r w:rsidRPr="008F6ABB">
              <w:rPr>
                <w:sz w:val="18"/>
                <w:szCs w:val="18"/>
                <w:lang w:val="en-GB"/>
              </w:rPr>
              <w:t>]</w:t>
            </w:r>
          </w:p>
        </w:tc>
      </w:tr>
      <w:tr w:rsidR="001F02E6" w:rsidRPr="008F6ABB" w:rsidTr="001F02E6">
        <w:trPr>
          <w:cantSplit/>
          <w:jc w:val="center"/>
        </w:trPr>
        <w:tc>
          <w:tcPr>
            <w:tcW w:w="2214" w:type="dxa"/>
            <w:tcBorders>
              <w:top w:val="single" w:sz="12" w:space="0" w:color="auto"/>
              <w:left w:val="single" w:sz="6" w:space="0" w:color="auto"/>
              <w:bottom w:val="single" w:sz="6" w:space="0" w:color="auto"/>
            </w:tcBorders>
            <w:vAlign w:val="center"/>
          </w:tcPr>
          <w:p w:rsidR="001F02E6" w:rsidRPr="008F6ABB" w:rsidRDefault="001F02E6" w:rsidP="001F02E6">
            <w:pPr>
              <w:tabs>
                <w:tab w:val="left" w:pos="1632"/>
                <w:tab w:val="left" w:pos="3456"/>
              </w:tabs>
              <w:spacing w:before="60" w:after="60" w:line="240" w:lineRule="atLeast"/>
              <w:jc w:val="center"/>
              <w:rPr>
                <w:rFonts w:cs="Arial"/>
                <w:sz w:val="18"/>
                <w:szCs w:val="18"/>
                <w:lang w:val="en-GB"/>
              </w:rPr>
            </w:pPr>
            <w:r w:rsidRPr="008F6ABB">
              <w:rPr>
                <w:sz w:val="18"/>
                <w:szCs w:val="18"/>
                <w:lang w:val="en-GB"/>
              </w:rPr>
              <w:t>0,5 ≤ S ≤ 4</w:t>
            </w:r>
          </w:p>
        </w:tc>
        <w:tc>
          <w:tcPr>
            <w:tcW w:w="2833" w:type="dxa"/>
            <w:tcBorders>
              <w:top w:val="single" w:sz="12" w:space="0" w:color="auto"/>
              <w:left w:val="single" w:sz="6" w:space="0" w:color="auto"/>
              <w:bottom w:val="single" w:sz="6" w:space="0" w:color="auto"/>
              <w:right w:val="single" w:sz="6" w:space="0" w:color="auto"/>
            </w:tcBorders>
            <w:vAlign w:val="center"/>
          </w:tcPr>
          <w:p w:rsidR="001F02E6" w:rsidRPr="008F6ABB" w:rsidRDefault="001F02E6" w:rsidP="00AA5633">
            <w:pPr>
              <w:tabs>
                <w:tab w:val="left" w:pos="1632"/>
                <w:tab w:val="left" w:pos="3456"/>
              </w:tabs>
              <w:spacing w:before="60" w:after="60" w:line="240" w:lineRule="atLeast"/>
              <w:ind w:left="0" w:firstLine="0"/>
              <w:jc w:val="center"/>
              <w:rPr>
                <w:rFonts w:cs="Arial"/>
                <w:sz w:val="18"/>
                <w:szCs w:val="18"/>
                <w:lang w:val="en-GB"/>
              </w:rPr>
            </w:pPr>
            <w:r w:rsidRPr="008F6ABB">
              <w:rPr>
                <w:sz w:val="18"/>
                <w:szCs w:val="18"/>
                <w:lang w:val="en-GB"/>
              </w:rPr>
              <w:t>same cross-section as for the</w:t>
            </w:r>
            <w:r w:rsidRPr="008F6ABB">
              <w:rPr>
                <w:rFonts w:ascii="MS Gothic" w:hAnsi="MS Gothic"/>
                <w:sz w:val="18"/>
                <w:szCs w:val="18"/>
                <w:lang w:val="en-GB"/>
              </w:rPr>
              <w:t> </w:t>
            </w:r>
            <w:r w:rsidRPr="008F6ABB">
              <w:rPr>
                <w:sz w:val="18"/>
                <w:szCs w:val="18"/>
                <w:lang w:val="en-GB"/>
              </w:rPr>
              <w:t>external conductor</w:t>
            </w:r>
          </w:p>
        </w:tc>
        <w:tc>
          <w:tcPr>
            <w:tcW w:w="3062" w:type="dxa"/>
            <w:tcBorders>
              <w:top w:val="single" w:sz="12" w:space="0" w:color="auto"/>
              <w:left w:val="single" w:sz="6" w:space="0" w:color="auto"/>
              <w:bottom w:val="single" w:sz="6" w:space="0" w:color="auto"/>
              <w:right w:val="single" w:sz="6" w:space="0" w:color="auto"/>
            </w:tcBorders>
            <w:vAlign w:val="center"/>
          </w:tcPr>
          <w:p w:rsidR="001F02E6" w:rsidRPr="008F6ABB" w:rsidRDefault="001F02E6" w:rsidP="00AA5633">
            <w:pPr>
              <w:tabs>
                <w:tab w:val="left" w:pos="1632"/>
                <w:tab w:val="left" w:pos="3456"/>
              </w:tabs>
              <w:spacing w:before="60" w:after="60" w:line="240" w:lineRule="atLeast"/>
              <w:ind w:left="0" w:firstLine="0"/>
              <w:jc w:val="center"/>
              <w:rPr>
                <w:rFonts w:cs="Arial"/>
                <w:sz w:val="18"/>
                <w:szCs w:val="18"/>
                <w:lang w:val="en-GB"/>
              </w:rPr>
            </w:pPr>
            <w:r w:rsidRPr="008F6ABB">
              <w:rPr>
                <w:sz w:val="18"/>
                <w:szCs w:val="18"/>
                <w:lang w:val="en-GB"/>
              </w:rPr>
              <w:t>4</w:t>
            </w:r>
          </w:p>
        </w:tc>
      </w:tr>
      <w:tr w:rsidR="001F02E6" w:rsidRPr="00505433" w:rsidTr="001F02E6">
        <w:trPr>
          <w:cantSplit/>
          <w:jc w:val="center"/>
        </w:trPr>
        <w:tc>
          <w:tcPr>
            <w:tcW w:w="2214" w:type="dxa"/>
            <w:tcBorders>
              <w:top w:val="single" w:sz="6" w:space="0" w:color="auto"/>
              <w:left w:val="single" w:sz="6" w:space="0" w:color="auto"/>
              <w:bottom w:val="single" w:sz="6" w:space="0" w:color="auto"/>
            </w:tcBorders>
            <w:vAlign w:val="center"/>
          </w:tcPr>
          <w:p w:rsidR="001F02E6" w:rsidRPr="008F6ABB" w:rsidRDefault="001F02E6" w:rsidP="001F02E6">
            <w:pPr>
              <w:tabs>
                <w:tab w:val="left" w:pos="1632"/>
                <w:tab w:val="left" w:pos="3456"/>
              </w:tabs>
              <w:spacing w:before="60" w:after="60" w:line="240" w:lineRule="atLeast"/>
              <w:jc w:val="center"/>
              <w:rPr>
                <w:rFonts w:cs="Arial"/>
                <w:sz w:val="18"/>
                <w:szCs w:val="18"/>
                <w:lang w:val="en-GB"/>
              </w:rPr>
            </w:pPr>
            <w:r>
              <w:rPr>
                <w:sz w:val="18"/>
                <w:szCs w:val="18"/>
                <w:lang w:val="en-GB"/>
              </w:rPr>
              <w:t xml:space="preserve">4 &lt; S ≤ </w:t>
            </w:r>
            <w:r w:rsidRPr="008F6ABB">
              <w:rPr>
                <w:sz w:val="18"/>
                <w:szCs w:val="18"/>
                <w:lang w:val="en-GB"/>
              </w:rPr>
              <w:t>16</w:t>
            </w:r>
          </w:p>
        </w:tc>
        <w:tc>
          <w:tcPr>
            <w:tcW w:w="5895" w:type="dxa"/>
            <w:gridSpan w:val="2"/>
            <w:tcBorders>
              <w:top w:val="single" w:sz="6" w:space="0" w:color="auto"/>
              <w:left w:val="single" w:sz="6" w:space="0" w:color="auto"/>
              <w:bottom w:val="single" w:sz="6" w:space="0" w:color="auto"/>
              <w:right w:val="single" w:sz="6" w:space="0" w:color="auto"/>
            </w:tcBorders>
            <w:vAlign w:val="center"/>
          </w:tcPr>
          <w:p w:rsidR="001F02E6" w:rsidRPr="008F6ABB" w:rsidRDefault="001F02E6" w:rsidP="00AA5633">
            <w:pPr>
              <w:tabs>
                <w:tab w:val="left" w:pos="1632"/>
                <w:tab w:val="left" w:pos="3456"/>
              </w:tabs>
              <w:spacing w:before="60" w:after="60" w:line="240" w:lineRule="atLeast"/>
              <w:ind w:left="0" w:firstLine="0"/>
              <w:jc w:val="center"/>
              <w:rPr>
                <w:rFonts w:cs="Arial"/>
                <w:sz w:val="18"/>
                <w:szCs w:val="18"/>
                <w:lang w:val="en-GB"/>
              </w:rPr>
            </w:pPr>
            <w:r w:rsidRPr="008F6ABB">
              <w:rPr>
                <w:sz w:val="18"/>
                <w:szCs w:val="18"/>
                <w:lang w:val="en-GB"/>
              </w:rPr>
              <w:t>same cross-section as for the external conductor</w:t>
            </w:r>
          </w:p>
        </w:tc>
      </w:tr>
      <w:tr w:rsidR="001F02E6" w:rsidRPr="008F6ABB" w:rsidTr="001F02E6">
        <w:trPr>
          <w:cantSplit/>
          <w:jc w:val="center"/>
        </w:trPr>
        <w:tc>
          <w:tcPr>
            <w:tcW w:w="2214" w:type="dxa"/>
            <w:tcBorders>
              <w:top w:val="single" w:sz="6" w:space="0" w:color="auto"/>
              <w:left w:val="single" w:sz="6" w:space="0" w:color="auto"/>
              <w:bottom w:val="single" w:sz="6" w:space="0" w:color="auto"/>
            </w:tcBorders>
            <w:vAlign w:val="center"/>
          </w:tcPr>
          <w:p w:rsidR="001F02E6" w:rsidRPr="008F6ABB" w:rsidRDefault="001F02E6" w:rsidP="001F02E6">
            <w:pPr>
              <w:tabs>
                <w:tab w:val="left" w:pos="1632"/>
                <w:tab w:val="left" w:pos="3456"/>
              </w:tabs>
              <w:spacing w:before="60" w:after="60" w:line="240" w:lineRule="atLeast"/>
              <w:jc w:val="center"/>
              <w:rPr>
                <w:rFonts w:cs="Arial"/>
                <w:sz w:val="18"/>
                <w:szCs w:val="18"/>
                <w:lang w:val="en-GB"/>
              </w:rPr>
            </w:pPr>
            <w:r w:rsidRPr="008F6ABB">
              <w:rPr>
                <w:sz w:val="18"/>
                <w:szCs w:val="18"/>
                <w:lang w:val="en-GB"/>
              </w:rPr>
              <w:t>16 &lt; S ≤ 35</w:t>
            </w:r>
          </w:p>
        </w:tc>
        <w:tc>
          <w:tcPr>
            <w:tcW w:w="5895" w:type="dxa"/>
            <w:gridSpan w:val="2"/>
            <w:tcBorders>
              <w:top w:val="single" w:sz="6" w:space="0" w:color="auto"/>
              <w:left w:val="single" w:sz="6" w:space="0" w:color="auto"/>
              <w:bottom w:val="single" w:sz="6" w:space="0" w:color="auto"/>
              <w:right w:val="single" w:sz="6" w:space="0" w:color="auto"/>
            </w:tcBorders>
            <w:vAlign w:val="center"/>
          </w:tcPr>
          <w:p w:rsidR="001F02E6" w:rsidRPr="008F6ABB" w:rsidRDefault="001F02E6" w:rsidP="00AA5633">
            <w:pPr>
              <w:tabs>
                <w:tab w:val="left" w:pos="1632"/>
                <w:tab w:val="left" w:pos="3456"/>
              </w:tabs>
              <w:spacing w:before="60" w:after="60" w:line="240" w:lineRule="atLeast"/>
              <w:ind w:left="0" w:firstLine="0"/>
              <w:jc w:val="center"/>
              <w:rPr>
                <w:rFonts w:cs="Arial"/>
                <w:sz w:val="18"/>
                <w:szCs w:val="18"/>
                <w:lang w:val="en-GB"/>
              </w:rPr>
            </w:pPr>
            <w:r w:rsidRPr="008F6ABB">
              <w:rPr>
                <w:sz w:val="18"/>
                <w:szCs w:val="18"/>
                <w:lang w:val="en-GB"/>
              </w:rPr>
              <w:t>16</w:t>
            </w:r>
          </w:p>
        </w:tc>
      </w:tr>
      <w:tr w:rsidR="001F02E6" w:rsidRPr="00505433" w:rsidTr="001F02E6">
        <w:trPr>
          <w:cantSplit/>
          <w:jc w:val="center"/>
        </w:trPr>
        <w:tc>
          <w:tcPr>
            <w:tcW w:w="2214" w:type="dxa"/>
            <w:tcBorders>
              <w:top w:val="single" w:sz="6" w:space="0" w:color="auto"/>
              <w:left w:val="single" w:sz="6" w:space="0" w:color="auto"/>
              <w:bottom w:val="single" w:sz="6" w:space="0" w:color="auto"/>
            </w:tcBorders>
            <w:vAlign w:val="center"/>
          </w:tcPr>
          <w:p w:rsidR="001F02E6" w:rsidRPr="008F6ABB" w:rsidRDefault="001F02E6" w:rsidP="001F02E6">
            <w:pPr>
              <w:tabs>
                <w:tab w:val="left" w:pos="1632"/>
                <w:tab w:val="left" w:pos="3456"/>
              </w:tabs>
              <w:spacing w:before="60" w:after="60" w:line="240" w:lineRule="atLeast"/>
              <w:jc w:val="center"/>
              <w:rPr>
                <w:rFonts w:cs="Arial"/>
                <w:sz w:val="18"/>
                <w:szCs w:val="18"/>
                <w:lang w:val="en-GB"/>
              </w:rPr>
            </w:pPr>
            <w:r w:rsidRPr="008F6ABB">
              <w:rPr>
                <w:sz w:val="18"/>
                <w:szCs w:val="18"/>
                <w:lang w:val="en-GB"/>
              </w:rPr>
              <w:t>35 &lt; S ≤ 120</w:t>
            </w:r>
          </w:p>
        </w:tc>
        <w:tc>
          <w:tcPr>
            <w:tcW w:w="5895" w:type="dxa"/>
            <w:gridSpan w:val="2"/>
            <w:tcBorders>
              <w:top w:val="single" w:sz="6" w:space="0" w:color="auto"/>
              <w:left w:val="single" w:sz="6" w:space="0" w:color="auto"/>
              <w:bottom w:val="single" w:sz="6" w:space="0" w:color="auto"/>
              <w:right w:val="single" w:sz="6" w:space="0" w:color="auto"/>
            </w:tcBorders>
            <w:vAlign w:val="center"/>
          </w:tcPr>
          <w:p w:rsidR="001F02E6" w:rsidRPr="008F6ABB" w:rsidRDefault="001F02E6" w:rsidP="00AA5633">
            <w:pPr>
              <w:tabs>
                <w:tab w:val="left" w:pos="1632"/>
                <w:tab w:val="left" w:pos="3456"/>
              </w:tabs>
              <w:spacing w:before="60" w:after="60" w:line="240" w:lineRule="atLeast"/>
              <w:ind w:left="0" w:firstLine="0"/>
              <w:jc w:val="center"/>
              <w:rPr>
                <w:rFonts w:cs="Arial"/>
                <w:sz w:val="18"/>
                <w:szCs w:val="18"/>
                <w:lang w:val="en-GB"/>
              </w:rPr>
            </w:pPr>
            <w:r w:rsidRPr="008F6ABB">
              <w:rPr>
                <w:sz w:val="18"/>
                <w:szCs w:val="18"/>
                <w:lang w:val="en-GB"/>
              </w:rPr>
              <w:t>half of the cross-section of the external conductor</w:t>
            </w:r>
          </w:p>
        </w:tc>
      </w:tr>
      <w:tr w:rsidR="001F02E6" w:rsidRPr="008F6ABB" w:rsidTr="001F02E6">
        <w:trPr>
          <w:cantSplit/>
          <w:jc w:val="center"/>
        </w:trPr>
        <w:tc>
          <w:tcPr>
            <w:tcW w:w="2214" w:type="dxa"/>
            <w:tcBorders>
              <w:top w:val="single" w:sz="6" w:space="0" w:color="auto"/>
              <w:left w:val="single" w:sz="6" w:space="0" w:color="auto"/>
              <w:bottom w:val="single" w:sz="6" w:space="0" w:color="auto"/>
            </w:tcBorders>
            <w:vAlign w:val="center"/>
          </w:tcPr>
          <w:p w:rsidR="001F02E6" w:rsidRPr="008F6ABB" w:rsidRDefault="001F02E6" w:rsidP="001F02E6">
            <w:pPr>
              <w:tabs>
                <w:tab w:val="left" w:pos="1632"/>
                <w:tab w:val="left" w:pos="3456"/>
              </w:tabs>
              <w:spacing w:before="60" w:after="60" w:line="240" w:lineRule="atLeast"/>
              <w:jc w:val="center"/>
              <w:rPr>
                <w:rFonts w:cs="Arial"/>
                <w:sz w:val="18"/>
                <w:szCs w:val="18"/>
                <w:lang w:val="en-GB"/>
              </w:rPr>
            </w:pPr>
            <w:r w:rsidRPr="008F6ABB">
              <w:rPr>
                <w:sz w:val="18"/>
                <w:szCs w:val="18"/>
                <w:lang w:val="en-GB"/>
              </w:rPr>
              <w:t>S &gt; 120</w:t>
            </w:r>
          </w:p>
        </w:tc>
        <w:tc>
          <w:tcPr>
            <w:tcW w:w="5895" w:type="dxa"/>
            <w:gridSpan w:val="2"/>
            <w:tcBorders>
              <w:top w:val="single" w:sz="6" w:space="0" w:color="auto"/>
              <w:left w:val="single" w:sz="6" w:space="0" w:color="auto"/>
              <w:bottom w:val="single" w:sz="6" w:space="0" w:color="auto"/>
              <w:right w:val="single" w:sz="6" w:space="0" w:color="auto"/>
            </w:tcBorders>
            <w:vAlign w:val="center"/>
          </w:tcPr>
          <w:p w:rsidR="001F02E6" w:rsidRPr="008F6ABB" w:rsidRDefault="001F02E6" w:rsidP="001F02E6">
            <w:pPr>
              <w:tabs>
                <w:tab w:val="left" w:pos="1632"/>
                <w:tab w:val="left" w:pos="3456"/>
              </w:tabs>
              <w:spacing w:before="60" w:after="60" w:line="240" w:lineRule="atLeast"/>
              <w:jc w:val="center"/>
              <w:rPr>
                <w:rFonts w:cs="Arial"/>
                <w:sz w:val="18"/>
                <w:szCs w:val="18"/>
                <w:lang w:val="en-GB"/>
              </w:rPr>
            </w:pPr>
            <w:r w:rsidRPr="008F6ABB">
              <w:rPr>
                <w:sz w:val="18"/>
                <w:szCs w:val="18"/>
                <w:lang w:val="en-GB"/>
              </w:rPr>
              <w:t>70</w:t>
            </w:r>
          </w:p>
        </w:tc>
      </w:tr>
    </w:tbl>
    <w:p w:rsidR="001D61F0" w:rsidRPr="00C903F8" w:rsidRDefault="001D61F0" w:rsidP="008A12E7">
      <w:pPr>
        <w:rPr>
          <w:rFonts w:cs="Arial"/>
          <w:szCs w:val="20"/>
          <w:lang w:val="en-US"/>
        </w:rPr>
      </w:pPr>
    </w:p>
    <w:p w:rsidR="001D61F0" w:rsidRDefault="001D61F0" w:rsidP="008A12E7">
      <w:pPr>
        <w:rPr>
          <w:rFonts w:cs="Arial"/>
          <w:szCs w:val="20"/>
          <w:lang w:val="en-US"/>
        </w:rPr>
      </w:pPr>
    </w:p>
    <w:p w:rsidR="00C5222B" w:rsidRDefault="00C5222B">
      <w:pPr>
        <w:autoSpaceDE/>
        <w:autoSpaceDN/>
        <w:ind w:left="0" w:firstLine="0"/>
        <w:jc w:val="left"/>
        <w:rPr>
          <w:rFonts w:cs="Arial"/>
          <w:szCs w:val="20"/>
          <w:lang w:val="en-US"/>
        </w:rPr>
      </w:pPr>
      <w:r>
        <w:rPr>
          <w:rFonts w:cs="Arial"/>
          <w:szCs w:val="20"/>
          <w:lang w:val="en-US"/>
        </w:rPr>
        <w:br w:type="page"/>
      </w:r>
    </w:p>
    <w:p w:rsidR="00C5222B" w:rsidRPr="00C903F8" w:rsidRDefault="00C5222B" w:rsidP="008A12E7">
      <w:pPr>
        <w:rPr>
          <w:rFonts w:cs="Arial"/>
          <w:szCs w:val="20"/>
          <w:lang w:val="en-US"/>
        </w:rPr>
      </w:pPr>
    </w:p>
    <w:p w:rsidR="008A12E7" w:rsidRPr="00C903F8" w:rsidRDefault="008A12E7" w:rsidP="001D61F0">
      <w:pPr>
        <w:pStyle w:val="ES-Titre3"/>
        <w:rPr>
          <w:lang w:val="en-US"/>
        </w:rPr>
      </w:pPr>
      <w:bookmarkStart w:id="94" w:name="_Toc491854083"/>
      <w:r w:rsidRPr="00C903F8">
        <w:rPr>
          <w:noProof/>
          <w:lang w:val="en-US"/>
        </w:rPr>
        <w:t>Article 10.06</w:t>
      </w:r>
      <w:r w:rsidRPr="00C903F8">
        <w:rPr>
          <w:noProof/>
          <w:lang w:val="en-US"/>
        </w:rPr>
        <w:br/>
      </w:r>
      <w:r w:rsidRPr="00C903F8">
        <w:rPr>
          <w:i/>
          <w:noProof/>
          <w:lang w:val="en-US"/>
        </w:rPr>
        <w:t>Maximum</w:t>
      </w:r>
      <w:r w:rsidRPr="00C903F8">
        <w:rPr>
          <w:bCs/>
          <w:i/>
          <w:noProof/>
          <w:lang w:val="en-US"/>
        </w:rPr>
        <w:t xml:space="preserve"> permissible voltages</w:t>
      </w:r>
      <w:bookmarkEnd w:id="94"/>
    </w:p>
    <w:p w:rsidR="001D61F0" w:rsidRPr="00C903F8" w:rsidRDefault="001D61F0" w:rsidP="008A12E7">
      <w:pPr>
        <w:rPr>
          <w:rFonts w:cs="Arial"/>
          <w:noProof/>
          <w:szCs w:val="20"/>
          <w:lang w:val="en-US"/>
        </w:rPr>
      </w:pPr>
    </w:p>
    <w:p w:rsidR="008A12E7" w:rsidRDefault="008A12E7" w:rsidP="001F02E6">
      <w:pPr>
        <w:pStyle w:val="ESch"/>
        <w:numPr>
          <w:ilvl w:val="0"/>
          <w:numId w:val="17"/>
        </w:numPr>
        <w:rPr>
          <w:noProof/>
          <w:lang w:val="en-US"/>
        </w:rPr>
      </w:pPr>
      <w:r w:rsidRPr="00C903F8">
        <w:rPr>
          <w:noProof/>
          <w:lang w:val="en-US"/>
        </w:rPr>
        <w:t>The following voltages shall not be exceeded:</w:t>
      </w:r>
    </w:p>
    <w:p w:rsidR="001F02E6" w:rsidRPr="00C903F8" w:rsidRDefault="001F02E6" w:rsidP="001F02E6">
      <w:pPr>
        <w:pStyle w:val="ESch"/>
        <w:ind w:left="930" w:firstLine="0"/>
        <w:rPr>
          <w:lang w:val="en-US"/>
        </w:rPr>
      </w:pPr>
    </w:p>
    <w:tbl>
      <w:tblPr>
        <w:tblW w:w="9116" w:type="dxa"/>
        <w:tblInd w:w="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960"/>
        <w:gridCol w:w="1680"/>
        <w:gridCol w:w="1680"/>
        <w:gridCol w:w="1796"/>
      </w:tblGrid>
      <w:tr w:rsidR="001F02E6" w:rsidRPr="008F6ABB" w:rsidTr="001F02E6">
        <w:trPr>
          <w:cantSplit/>
          <w:tblHeader/>
        </w:trPr>
        <w:tc>
          <w:tcPr>
            <w:tcW w:w="3960" w:type="dxa"/>
            <w:vMerge w:val="restart"/>
            <w:vAlign w:val="center"/>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 xml:space="preserve">Type of equipment or installation </w:t>
            </w:r>
          </w:p>
        </w:tc>
        <w:tc>
          <w:tcPr>
            <w:tcW w:w="5156" w:type="dxa"/>
            <w:gridSpan w:val="3"/>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Maximum permissible voltage</w:t>
            </w:r>
          </w:p>
        </w:tc>
      </w:tr>
      <w:tr w:rsidR="001F02E6" w:rsidRPr="008F6ABB" w:rsidTr="001F02E6">
        <w:trPr>
          <w:cantSplit/>
          <w:tblHeader/>
        </w:trPr>
        <w:tc>
          <w:tcPr>
            <w:tcW w:w="3960" w:type="dxa"/>
            <w:vMerge/>
            <w:tcBorders>
              <w:bottom w:val="single" w:sz="12" w:space="0" w:color="auto"/>
            </w:tcBorders>
          </w:tcPr>
          <w:p w:rsidR="001F02E6" w:rsidRPr="008F6ABB" w:rsidRDefault="001F02E6" w:rsidP="00666810">
            <w:pPr>
              <w:spacing w:before="60" w:after="60" w:line="240" w:lineRule="atLeast"/>
              <w:rPr>
                <w:rFonts w:eastAsia="Calibri" w:cs="Arial"/>
                <w:sz w:val="18"/>
                <w:szCs w:val="18"/>
                <w:lang w:val="en-GB"/>
              </w:rPr>
            </w:pPr>
          </w:p>
        </w:tc>
        <w:tc>
          <w:tcPr>
            <w:tcW w:w="1680" w:type="dxa"/>
            <w:tcBorders>
              <w:bottom w:val="single" w:sz="12" w:space="0" w:color="auto"/>
            </w:tcBorders>
            <w:vAlign w:val="center"/>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Direct current</w:t>
            </w:r>
          </w:p>
        </w:tc>
        <w:tc>
          <w:tcPr>
            <w:tcW w:w="1680" w:type="dxa"/>
            <w:tcBorders>
              <w:bottom w:val="single" w:sz="12" w:space="0" w:color="auto"/>
            </w:tcBorders>
            <w:vAlign w:val="center"/>
          </w:tcPr>
          <w:p w:rsidR="001F02E6" w:rsidRPr="008F6ABB" w:rsidRDefault="001F02E6" w:rsidP="00666810">
            <w:pPr>
              <w:spacing w:before="60" w:after="60" w:line="240" w:lineRule="atLeast"/>
              <w:ind w:left="0" w:firstLine="0"/>
              <w:jc w:val="center"/>
              <w:rPr>
                <w:rFonts w:eastAsia="Calibri" w:cs="Arial"/>
                <w:sz w:val="18"/>
                <w:szCs w:val="18"/>
                <w:lang w:val="en-GB"/>
              </w:rPr>
            </w:pPr>
            <w:r w:rsidRPr="008F6ABB">
              <w:rPr>
                <w:sz w:val="18"/>
                <w:szCs w:val="18"/>
                <w:lang w:val="en-GB"/>
              </w:rPr>
              <w:t>Single-phase alternating current</w:t>
            </w:r>
          </w:p>
        </w:tc>
        <w:tc>
          <w:tcPr>
            <w:tcW w:w="1796" w:type="dxa"/>
            <w:tcBorders>
              <w:bottom w:val="single" w:sz="12" w:space="0" w:color="auto"/>
            </w:tcBorders>
            <w:vAlign w:val="center"/>
          </w:tcPr>
          <w:p w:rsidR="001F02E6" w:rsidRPr="008F6ABB" w:rsidRDefault="001F02E6" w:rsidP="00666810">
            <w:pPr>
              <w:spacing w:before="60" w:after="60" w:line="240" w:lineRule="atLeast"/>
              <w:ind w:left="0" w:firstLine="0"/>
              <w:jc w:val="center"/>
              <w:rPr>
                <w:rFonts w:eastAsia="Calibri" w:cs="Arial"/>
                <w:sz w:val="18"/>
                <w:szCs w:val="18"/>
                <w:lang w:val="en-GB"/>
              </w:rPr>
            </w:pPr>
            <w:r w:rsidRPr="008F6ABB">
              <w:rPr>
                <w:sz w:val="18"/>
                <w:szCs w:val="18"/>
                <w:lang w:val="en-GB"/>
              </w:rPr>
              <w:t>Three-phase alternating current</w:t>
            </w:r>
          </w:p>
        </w:tc>
      </w:tr>
      <w:tr w:rsidR="001F02E6" w:rsidRPr="008F6ABB" w:rsidTr="00AA5633">
        <w:tc>
          <w:tcPr>
            <w:tcW w:w="3960" w:type="dxa"/>
            <w:tcBorders>
              <w:top w:val="single" w:sz="12" w:space="0" w:color="auto"/>
            </w:tcBorders>
            <w:vAlign w:val="bottom"/>
          </w:tcPr>
          <w:p w:rsidR="001F02E6" w:rsidRPr="008F6ABB" w:rsidRDefault="001F02E6" w:rsidP="00666810">
            <w:pPr>
              <w:tabs>
                <w:tab w:val="left" w:leader="dot" w:pos="3621"/>
              </w:tabs>
              <w:spacing w:before="60" w:after="60" w:line="240" w:lineRule="atLeast"/>
              <w:ind w:left="360" w:hanging="357"/>
              <w:rPr>
                <w:rFonts w:eastAsia="Calibri" w:cs="Arial"/>
                <w:sz w:val="18"/>
                <w:szCs w:val="18"/>
                <w:lang w:val="en-GB"/>
              </w:rPr>
            </w:pPr>
            <w:r w:rsidRPr="008F6ABB">
              <w:rPr>
                <w:sz w:val="18"/>
                <w:szCs w:val="18"/>
                <w:lang w:val="en-GB"/>
              </w:rPr>
              <w:t>a)</w:t>
            </w:r>
            <w:r w:rsidRPr="008F6ABB">
              <w:rPr>
                <w:sz w:val="18"/>
                <w:szCs w:val="18"/>
                <w:lang w:val="en-GB"/>
              </w:rPr>
              <w:tab/>
              <w:t xml:space="preserve">Power and heating installations, including the sockets for general use </w:t>
            </w:r>
            <w:r w:rsidRPr="008F6ABB">
              <w:rPr>
                <w:sz w:val="18"/>
                <w:szCs w:val="18"/>
                <w:lang w:val="en-GB"/>
              </w:rPr>
              <w:tab/>
            </w:r>
          </w:p>
        </w:tc>
        <w:tc>
          <w:tcPr>
            <w:tcW w:w="1680" w:type="dxa"/>
            <w:tcBorders>
              <w:top w:val="single" w:sz="12" w:space="0" w:color="auto"/>
            </w:tcBorders>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250 V</w:t>
            </w:r>
          </w:p>
        </w:tc>
        <w:tc>
          <w:tcPr>
            <w:tcW w:w="1680" w:type="dxa"/>
            <w:tcBorders>
              <w:top w:val="single" w:sz="12" w:space="0" w:color="auto"/>
            </w:tcBorders>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250 V</w:t>
            </w:r>
          </w:p>
        </w:tc>
        <w:tc>
          <w:tcPr>
            <w:tcW w:w="1796" w:type="dxa"/>
            <w:tcBorders>
              <w:top w:val="single" w:sz="12" w:space="0" w:color="auto"/>
            </w:tcBorders>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690 V</w:t>
            </w:r>
          </w:p>
        </w:tc>
      </w:tr>
      <w:tr w:rsidR="001F02E6" w:rsidRPr="008F6ABB" w:rsidTr="00AA5633">
        <w:tc>
          <w:tcPr>
            <w:tcW w:w="3960" w:type="dxa"/>
            <w:vAlign w:val="bottom"/>
          </w:tcPr>
          <w:p w:rsidR="001F02E6" w:rsidRPr="008F6ABB" w:rsidRDefault="001F02E6" w:rsidP="00666810">
            <w:pPr>
              <w:tabs>
                <w:tab w:val="left" w:leader="dot" w:pos="3621"/>
              </w:tabs>
              <w:spacing w:before="60" w:after="60" w:line="240" w:lineRule="atLeast"/>
              <w:ind w:left="360" w:hanging="357"/>
              <w:rPr>
                <w:rFonts w:eastAsia="Calibri" w:cs="Arial"/>
                <w:sz w:val="18"/>
                <w:szCs w:val="18"/>
                <w:lang w:val="en-GB"/>
              </w:rPr>
            </w:pPr>
            <w:r w:rsidRPr="008F6ABB">
              <w:rPr>
                <w:sz w:val="18"/>
                <w:szCs w:val="18"/>
                <w:lang w:val="en-GB"/>
              </w:rPr>
              <w:t>b)</w:t>
            </w:r>
            <w:r w:rsidRPr="008F6ABB">
              <w:rPr>
                <w:sz w:val="18"/>
                <w:szCs w:val="18"/>
                <w:lang w:val="en-GB"/>
              </w:rPr>
              <w:tab/>
              <w:t xml:space="preserve">Installations for lighting, for communication, of orders and information, including the sockets for general use </w:t>
            </w:r>
            <w:r w:rsidRPr="008F6ABB">
              <w:rPr>
                <w:sz w:val="18"/>
                <w:szCs w:val="18"/>
                <w:lang w:val="en-GB"/>
              </w:rPr>
              <w:tab/>
            </w:r>
          </w:p>
        </w:tc>
        <w:tc>
          <w:tcPr>
            <w:tcW w:w="1680"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250 V</w:t>
            </w:r>
          </w:p>
        </w:tc>
        <w:tc>
          <w:tcPr>
            <w:tcW w:w="1680"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250 V</w:t>
            </w:r>
          </w:p>
        </w:tc>
        <w:tc>
          <w:tcPr>
            <w:tcW w:w="1796"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w:t>
            </w:r>
          </w:p>
        </w:tc>
      </w:tr>
      <w:tr w:rsidR="001F02E6" w:rsidRPr="00505433" w:rsidTr="00AA5633">
        <w:tc>
          <w:tcPr>
            <w:tcW w:w="3960" w:type="dxa"/>
            <w:vAlign w:val="bottom"/>
          </w:tcPr>
          <w:p w:rsidR="001F02E6" w:rsidRPr="008F6ABB" w:rsidRDefault="001F02E6" w:rsidP="005C5181">
            <w:pPr>
              <w:tabs>
                <w:tab w:val="left" w:leader="dot" w:pos="3621"/>
              </w:tabs>
              <w:spacing w:before="60" w:after="60" w:line="240" w:lineRule="atLeast"/>
              <w:ind w:left="360" w:hanging="357"/>
              <w:rPr>
                <w:rFonts w:eastAsia="Calibri" w:cs="Arial"/>
                <w:sz w:val="18"/>
                <w:szCs w:val="18"/>
                <w:lang w:val="en-GB"/>
              </w:rPr>
            </w:pPr>
            <w:r w:rsidRPr="008F6ABB">
              <w:rPr>
                <w:sz w:val="18"/>
                <w:szCs w:val="18"/>
                <w:lang w:val="en-GB"/>
              </w:rPr>
              <w:t>c)</w:t>
            </w:r>
            <w:r w:rsidRPr="008F6ABB">
              <w:rPr>
                <w:sz w:val="18"/>
                <w:szCs w:val="18"/>
                <w:lang w:val="en-GB"/>
              </w:rPr>
              <w:tab/>
              <w:t>Sockets for current supply to mobile electrical equipment used on open decks or in confined or damp metal-enclosed rooms other than boilers and tanks</w:t>
            </w:r>
          </w:p>
        </w:tc>
        <w:tc>
          <w:tcPr>
            <w:tcW w:w="1680" w:type="dxa"/>
            <w:vAlign w:val="bottom"/>
          </w:tcPr>
          <w:p w:rsidR="001F02E6" w:rsidRPr="008F6ABB" w:rsidRDefault="001F02E6" w:rsidP="00666810">
            <w:pPr>
              <w:spacing w:before="60" w:after="60" w:line="240" w:lineRule="atLeast"/>
              <w:jc w:val="center"/>
              <w:rPr>
                <w:rFonts w:eastAsia="Calibri" w:cs="Arial"/>
                <w:sz w:val="18"/>
                <w:szCs w:val="18"/>
                <w:lang w:val="en-GB"/>
              </w:rPr>
            </w:pPr>
          </w:p>
        </w:tc>
        <w:tc>
          <w:tcPr>
            <w:tcW w:w="1680" w:type="dxa"/>
            <w:vAlign w:val="bottom"/>
          </w:tcPr>
          <w:p w:rsidR="001F02E6" w:rsidRPr="008F6ABB" w:rsidRDefault="001F02E6" w:rsidP="00666810">
            <w:pPr>
              <w:spacing w:before="60" w:after="60" w:line="240" w:lineRule="atLeast"/>
              <w:jc w:val="center"/>
              <w:rPr>
                <w:rFonts w:eastAsia="Calibri" w:cs="Arial"/>
                <w:sz w:val="18"/>
                <w:szCs w:val="18"/>
                <w:lang w:val="en-GB"/>
              </w:rPr>
            </w:pPr>
          </w:p>
        </w:tc>
        <w:tc>
          <w:tcPr>
            <w:tcW w:w="1796" w:type="dxa"/>
            <w:vAlign w:val="bottom"/>
          </w:tcPr>
          <w:p w:rsidR="001F02E6" w:rsidRPr="008F6ABB" w:rsidRDefault="001F02E6" w:rsidP="00666810">
            <w:pPr>
              <w:spacing w:before="60" w:after="60" w:line="240" w:lineRule="atLeast"/>
              <w:jc w:val="center"/>
              <w:rPr>
                <w:rFonts w:eastAsia="Calibri" w:cs="Arial"/>
                <w:sz w:val="18"/>
                <w:szCs w:val="18"/>
                <w:lang w:val="en-GB"/>
              </w:rPr>
            </w:pPr>
          </w:p>
        </w:tc>
      </w:tr>
      <w:tr w:rsidR="001F02E6" w:rsidRPr="008F6ABB" w:rsidTr="00AA5633">
        <w:tc>
          <w:tcPr>
            <w:tcW w:w="3960" w:type="dxa"/>
            <w:vAlign w:val="bottom"/>
          </w:tcPr>
          <w:p w:rsidR="001F02E6" w:rsidRPr="008F6ABB" w:rsidRDefault="001F02E6" w:rsidP="00666810">
            <w:pPr>
              <w:tabs>
                <w:tab w:val="left" w:leader="dot" w:pos="3621"/>
              </w:tabs>
              <w:spacing w:before="60" w:after="60" w:line="240" w:lineRule="atLeast"/>
              <w:ind w:left="720" w:hanging="357"/>
              <w:rPr>
                <w:rFonts w:eastAsia="Calibri" w:cs="Arial"/>
                <w:sz w:val="18"/>
                <w:szCs w:val="18"/>
                <w:lang w:val="en-GB"/>
              </w:rPr>
            </w:pPr>
            <w:r w:rsidRPr="008F6ABB">
              <w:rPr>
                <w:sz w:val="18"/>
                <w:szCs w:val="18"/>
                <w:lang w:val="en-GB"/>
              </w:rPr>
              <w:t>1.</w:t>
            </w:r>
            <w:r w:rsidRPr="008F6ABB">
              <w:rPr>
                <w:sz w:val="18"/>
                <w:szCs w:val="18"/>
                <w:lang w:val="en-GB"/>
              </w:rPr>
              <w:tab/>
              <w:t xml:space="preserve">general </w:t>
            </w:r>
            <w:r w:rsidRPr="008F6ABB">
              <w:rPr>
                <w:sz w:val="18"/>
                <w:szCs w:val="18"/>
                <w:lang w:val="en-GB"/>
              </w:rPr>
              <w:tab/>
            </w:r>
          </w:p>
        </w:tc>
        <w:tc>
          <w:tcPr>
            <w:tcW w:w="1680"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50 V</w:t>
            </w:r>
            <w:r w:rsidR="00666810">
              <w:rPr>
                <w:sz w:val="18"/>
                <w:szCs w:val="18"/>
                <w:vertAlign w:val="superscript"/>
                <w:lang w:val="en-GB"/>
              </w:rPr>
              <w:t>(1</w:t>
            </w:r>
            <w:r w:rsidRPr="008F6ABB">
              <w:rPr>
                <w:sz w:val="18"/>
                <w:szCs w:val="18"/>
                <w:vertAlign w:val="superscript"/>
                <w:lang w:val="en-GB"/>
              </w:rPr>
              <w:t>)</w:t>
            </w:r>
          </w:p>
        </w:tc>
        <w:tc>
          <w:tcPr>
            <w:tcW w:w="1680" w:type="dxa"/>
            <w:vAlign w:val="bottom"/>
          </w:tcPr>
          <w:p w:rsidR="001F02E6" w:rsidRPr="008F6ABB" w:rsidRDefault="001F02E6" w:rsidP="00666810">
            <w:pPr>
              <w:spacing w:before="60" w:after="60" w:line="240" w:lineRule="atLeast"/>
              <w:jc w:val="center"/>
              <w:rPr>
                <w:rFonts w:eastAsia="Calibri" w:cs="Arial"/>
                <w:sz w:val="18"/>
                <w:szCs w:val="18"/>
                <w:vertAlign w:val="superscript"/>
                <w:lang w:val="en-GB"/>
              </w:rPr>
            </w:pPr>
            <w:r w:rsidRPr="008F6ABB">
              <w:rPr>
                <w:sz w:val="18"/>
                <w:szCs w:val="18"/>
                <w:lang w:val="en-GB"/>
              </w:rPr>
              <w:t>50 V</w:t>
            </w:r>
            <w:r w:rsidR="00666810">
              <w:rPr>
                <w:sz w:val="18"/>
                <w:szCs w:val="18"/>
                <w:vertAlign w:val="superscript"/>
                <w:lang w:val="en-GB"/>
              </w:rPr>
              <w:t>(1</w:t>
            </w:r>
            <w:r w:rsidRPr="008F6ABB">
              <w:rPr>
                <w:sz w:val="18"/>
                <w:szCs w:val="18"/>
                <w:vertAlign w:val="superscript"/>
                <w:lang w:val="en-GB"/>
              </w:rPr>
              <w:t>)</w:t>
            </w:r>
          </w:p>
        </w:tc>
        <w:tc>
          <w:tcPr>
            <w:tcW w:w="1796"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w:t>
            </w:r>
          </w:p>
        </w:tc>
      </w:tr>
      <w:tr w:rsidR="001F02E6" w:rsidRPr="008F6ABB" w:rsidTr="00AA5633">
        <w:tc>
          <w:tcPr>
            <w:tcW w:w="3960" w:type="dxa"/>
            <w:vAlign w:val="bottom"/>
          </w:tcPr>
          <w:p w:rsidR="001F02E6" w:rsidRPr="008F6ABB" w:rsidRDefault="001F02E6" w:rsidP="003A47CF">
            <w:pPr>
              <w:tabs>
                <w:tab w:val="left" w:leader="dot" w:pos="3621"/>
              </w:tabs>
              <w:spacing w:before="60" w:after="60" w:line="240" w:lineRule="atLeast"/>
              <w:ind w:left="720" w:hanging="357"/>
              <w:rPr>
                <w:rFonts w:eastAsia="Calibri" w:cs="Arial"/>
                <w:sz w:val="18"/>
                <w:szCs w:val="18"/>
                <w:lang w:val="en-GB"/>
              </w:rPr>
            </w:pPr>
            <w:r w:rsidRPr="008F6ABB">
              <w:rPr>
                <w:sz w:val="18"/>
                <w:szCs w:val="18"/>
                <w:lang w:val="en-GB"/>
              </w:rPr>
              <w:t>2.</w:t>
            </w:r>
            <w:r w:rsidRPr="008F6ABB">
              <w:rPr>
                <w:sz w:val="18"/>
                <w:szCs w:val="18"/>
                <w:lang w:val="en-GB"/>
              </w:rPr>
              <w:tab/>
              <w:t xml:space="preserve">in the event of </w:t>
            </w:r>
            <w:r w:rsidRPr="00F90337">
              <w:rPr>
                <w:sz w:val="18"/>
                <w:szCs w:val="18"/>
                <w:lang w:val="en-GB"/>
              </w:rPr>
              <w:t>isolation transformer</w:t>
            </w:r>
            <w:r w:rsidRPr="008F6ABB">
              <w:rPr>
                <w:sz w:val="18"/>
                <w:szCs w:val="18"/>
                <w:lang w:val="en-GB"/>
              </w:rPr>
              <w:t xml:space="preserve"> serving a single equipment being used </w:t>
            </w:r>
            <w:r w:rsidRPr="008F6ABB">
              <w:rPr>
                <w:sz w:val="18"/>
                <w:szCs w:val="18"/>
                <w:lang w:val="en-GB"/>
              </w:rPr>
              <w:tab/>
            </w:r>
          </w:p>
        </w:tc>
        <w:tc>
          <w:tcPr>
            <w:tcW w:w="1680"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w:t>
            </w:r>
          </w:p>
        </w:tc>
        <w:tc>
          <w:tcPr>
            <w:tcW w:w="1680"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250 V</w:t>
            </w:r>
            <w:r w:rsidRPr="008F6ABB">
              <w:rPr>
                <w:sz w:val="18"/>
                <w:szCs w:val="18"/>
                <w:vertAlign w:val="superscript"/>
                <w:lang w:val="en-GB"/>
              </w:rPr>
              <w:t>2)</w:t>
            </w:r>
          </w:p>
        </w:tc>
        <w:tc>
          <w:tcPr>
            <w:tcW w:w="1796"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w:t>
            </w:r>
          </w:p>
        </w:tc>
      </w:tr>
      <w:tr w:rsidR="001F02E6" w:rsidRPr="008F6ABB" w:rsidTr="00AA5633">
        <w:tc>
          <w:tcPr>
            <w:tcW w:w="3960" w:type="dxa"/>
            <w:vAlign w:val="bottom"/>
          </w:tcPr>
          <w:p w:rsidR="001F02E6" w:rsidRPr="008F6ABB" w:rsidRDefault="001F02E6" w:rsidP="00666810">
            <w:pPr>
              <w:tabs>
                <w:tab w:val="left" w:leader="dot" w:pos="3621"/>
              </w:tabs>
              <w:spacing w:before="60" w:after="60" w:line="240" w:lineRule="atLeast"/>
              <w:ind w:left="720" w:hanging="357"/>
              <w:rPr>
                <w:rFonts w:eastAsia="Calibri" w:cs="Arial"/>
                <w:sz w:val="18"/>
                <w:szCs w:val="18"/>
                <w:lang w:val="en-GB"/>
              </w:rPr>
            </w:pPr>
            <w:r w:rsidRPr="008F6ABB">
              <w:rPr>
                <w:sz w:val="18"/>
                <w:szCs w:val="18"/>
                <w:lang w:val="en-GB"/>
              </w:rPr>
              <w:t>3.</w:t>
            </w:r>
            <w:r w:rsidRPr="008F6ABB">
              <w:rPr>
                <w:sz w:val="18"/>
                <w:szCs w:val="18"/>
                <w:lang w:val="en-GB"/>
              </w:rPr>
              <w:tab/>
              <w:t xml:space="preserve">in the event of equipment fitted with protective insulation (double insulation) being used </w:t>
            </w:r>
            <w:r w:rsidRPr="008F6ABB">
              <w:rPr>
                <w:sz w:val="18"/>
                <w:szCs w:val="18"/>
                <w:lang w:val="en-GB"/>
              </w:rPr>
              <w:tab/>
            </w:r>
          </w:p>
        </w:tc>
        <w:tc>
          <w:tcPr>
            <w:tcW w:w="1680"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250 V</w:t>
            </w:r>
          </w:p>
        </w:tc>
        <w:tc>
          <w:tcPr>
            <w:tcW w:w="1680"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250 V</w:t>
            </w:r>
          </w:p>
        </w:tc>
        <w:tc>
          <w:tcPr>
            <w:tcW w:w="1796"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w:t>
            </w:r>
          </w:p>
        </w:tc>
      </w:tr>
      <w:tr w:rsidR="001F02E6" w:rsidRPr="008F6ABB" w:rsidTr="00AA5633">
        <w:tc>
          <w:tcPr>
            <w:tcW w:w="3960" w:type="dxa"/>
            <w:vAlign w:val="bottom"/>
          </w:tcPr>
          <w:p w:rsidR="001F02E6" w:rsidRPr="008F6ABB" w:rsidRDefault="001F02E6" w:rsidP="00666810">
            <w:pPr>
              <w:tabs>
                <w:tab w:val="left" w:leader="dot" w:pos="3621"/>
              </w:tabs>
              <w:spacing w:before="60" w:after="60" w:line="240" w:lineRule="atLeast"/>
              <w:ind w:left="720" w:hanging="357"/>
              <w:rPr>
                <w:rFonts w:eastAsia="Calibri" w:cs="Arial"/>
                <w:sz w:val="18"/>
                <w:szCs w:val="18"/>
                <w:lang w:val="en-GB"/>
              </w:rPr>
            </w:pPr>
            <w:r w:rsidRPr="008F6ABB">
              <w:rPr>
                <w:sz w:val="18"/>
                <w:szCs w:val="18"/>
                <w:lang w:val="en-GB"/>
              </w:rPr>
              <w:t>4.</w:t>
            </w:r>
            <w:r w:rsidRPr="008F6ABB">
              <w:rPr>
                <w:sz w:val="18"/>
                <w:szCs w:val="18"/>
                <w:lang w:val="en-GB"/>
              </w:rPr>
              <w:tab/>
              <w:t xml:space="preserve">In the event of </w:t>
            </w:r>
            <w:r w:rsidR="00F87682">
              <w:rPr>
                <w:sz w:val="18"/>
                <w:szCs w:val="18"/>
                <w:lang w:val="en-GB"/>
              </w:rPr>
              <w:t>use of residual current circuit-</w:t>
            </w:r>
            <w:r w:rsidRPr="008F6ABB">
              <w:rPr>
                <w:sz w:val="18"/>
                <w:szCs w:val="18"/>
                <w:lang w:val="en-GB"/>
              </w:rPr>
              <w:t xml:space="preserve">breaker ≤ 30mA </w:t>
            </w:r>
            <w:r w:rsidRPr="008F6ABB">
              <w:rPr>
                <w:sz w:val="18"/>
                <w:szCs w:val="18"/>
                <w:lang w:val="en-GB"/>
              </w:rPr>
              <w:tab/>
            </w:r>
          </w:p>
        </w:tc>
        <w:tc>
          <w:tcPr>
            <w:tcW w:w="1680"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w:t>
            </w:r>
          </w:p>
        </w:tc>
        <w:tc>
          <w:tcPr>
            <w:tcW w:w="1680"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250 V</w:t>
            </w:r>
          </w:p>
        </w:tc>
        <w:tc>
          <w:tcPr>
            <w:tcW w:w="1796"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690 V</w:t>
            </w:r>
          </w:p>
        </w:tc>
      </w:tr>
      <w:tr w:rsidR="001F02E6" w:rsidRPr="008F6ABB" w:rsidTr="00666810">
        <w:trPr>
          <w:cantSplit/>
        </w:trPr>
        <w:tc>
          <w:tcPr>
            <w:tcW w:w="3960" w:type="dxa"/>
            <w:vAlign w:val="bottom"/>
          </w:tcPr>
          <w:p w:rsidR="001F02E6" w:rsidRPr="008F6ABB" w:rsidRDefault="001F02E6" w:rsidP="00666810">
            <w:pPr>
              <w:tabs>
                <w:tab w:val="left" w:leader="dot" w:pos="3621"/>
              </w:tabs>
              <w:spacing w:before="60" w:after="60" w:line="240" w:lineRule="atLeast"/>
              <w:ind w:left="360" w:hanging="357"/>
              <w:rPr>
                <w:rFonts w:eastAsia="Calibri" w:cs="Arial"/>
                <w:sz w:val="18"/>
                <w:szCs w:val="18"/>
                <w:lang w:val="en-GB"/>
              </w:rPr>
            </w:pPr>
            <w:r w:rsidRPr="008F6ABB">
              <w:rPr>
                <w:sz w:val="18"/>
                <w:szCs w:val="18"/>
                <w:lang w:val="en-GB"/>
              </w:rPr>
              <w:t>d)</w:t>
            </w:r>
            <w:r w:rsidRPr="008F6ABB">
              <w:rPr>
                <w:sz w:val="18"/>
                <w:szCs w:val="18"/>
                <w:lang w:val="en-GB"/>
              </w:rPr>
              <w:tab/>
              <w:t xml:space="preserve">Mobile electrical equipment (such as electrical devices of containers, engines, fans and pumps) which are not normally adjusted during operation whose exposed conductive parts are earthed by a protective conductor incorporated in the connecting cable and which are connected to the hull, not only by this protective conductor, but by their location or by another conductor </w:t>
            </w:r>
            <w:r w:rsidRPr="008F6ABB">
              <w:rPr>
                <w:sz w:val="18"/>
                <w:szCs w:val="18"/>
                <w:lang w:val="en-GB"/>
              </w:rPr>
              <w:tab/>
            </w:r>
          </w:p>
        </w:tc>
        <w:tc>
          <w:tcPr>
            <w:tcW w:w="1680"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250 V</w:t>
            </w:r>
          </w:p>
        </w:tc>
        <w:tc>
          <w:tcPr>
            <w:tcW w:w="1680"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250 V</w:t>
            </w:r>
          </w:p>
        </w:tc>
        <w:tc>
          <w:tcPr>
            <w:tcW w:w="1796"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690 V</w:t>
            </w:r>
          </w:p>
        </w:tc>
      </w:tr>
      <w:tr w:rsidR="001F02E6" w:rsidRPr="008F6ABB" w:rsidTr="00AA5633">
        <w:tc>
          <w:tcPr>
            <w:tcW w:w="3960" w:type="dxa"/>
            <w:vAlign w:val="bottom"/>
          </w:tcPr>
          <w:p w:rsidR="001F02E6" w:rsidRPr="008F6ABB" w:rsidRDefault="001F02E6" w:rsidP="00666810">
            <w:pPr>
              <w:tabs>
                <w:tab w:val="left" w:leader="dot" w:pos="3621"/>
              </w:tabs>
              <w:spacing w:before="60" w:after="60" w:line="240" w:lineRule="atLeast"/>
              <w:ind w:left="360" w:hanging="357"/>
              <w:rPr>
                <w:rFonts w:eastAsia="Calibri" w:cs="Arial"/>
                <w:sz w:val="18"/>
                <w:szCs w:val="18"/>
                <w:lang w:val="en-GB"/>
              </w:rPr>
            </w:pPr>
            <w:r w:rsidRPr="008F6ABB">
              <w:rPr>
                <w:sz w:val="18"/>
                <w:szCs w:val="18"/>
                <w:lang w:val="en-GB"/>
              </w:rPr>
              <w:t>e)</w:t>
            </w:r>
            <w:r w:rsidRPr="008F6ABB">
              <w:rPr>
                <w:sz w:val="18"/>
                <w:szCs w:val="18"/>
                <w:lang w:val="en-GB"/>
              </w:rPr>
              <w:tab/>
              <w:t xml:space="preserve">Sockets for current supply to mobile electrical equipment used in boilers and tanks </w:t>
            </w:r>
            <w:r w:rsidRPr="008F6ABB">
              <w:rPr>
                <w:sz w:val="18"/>
                <w:szCs w:val="18"/>
                <w:lang w:val="en-GB"/>
              </w:rPr>
              <w:tab/>
            </w:r>
          </w:p>
        </w:tc>
        <w:tc>
          <w:tcPr>
            <w:tcW w:w="1680" w:type="dxa"/>
            <w:vAlign w:val="bottom"/>
          </w:tcPr>
          <w:p w:rsidR="001F02E6" w:rsidRPr="008F6ABB" w:rsidRDefault="001F02E6" w:rsidP="00666810">
            <w:pPr>
              <w:spacing w:before="60" w:after="60" w:line="240" w:lineRule="atLeast"/>
              <w:jc w:val="center"/>
              <w:rPr>
                <w:rFonts w:eastAsia="Calibri" w:cs="Arial"/>
                <w:sz w:val="18"/>
                <w:szCs w:val="18"/>
                <w:vertAlign w:val="superscript"/>
                <w:lang w:val="en-GB"/>
              </w:rPr>
            </w:pPr>
            <w:r w:rsidRPr="008F6ABB">
              <w:rPr>
                <w:sz w:val="18"/>
                <w:szCs w:val="18"/>
                <w:lang w:val="en-GB"/>
              </w:rPr>
              <w:t>50 V</w:t>
            </w:r>
            <w:r w:rsidRPr="008F6ABB">
              <w:rPr>
                <w:sz w:val="18"/>
                <w:szCs w:val="18"/>
                <w:vertAlign w:val="superscript"/>
                <w:lang w:val="en-GB"/>
              </w:rPr>
              <w:t>1)</w:t>
            </w:r>
          </w:p>
        </w:tc>
        <w:tc>
          <w:tcPr>
            <w:tcW w:w="1680" w:type="dxa"/>
            <w:vAlign w:val="bottom"/>
          </w:tcPr>
          <w:p w:rsidR="001F02E6" w:rsidRPr="008F6ABB" w:rsidRDefault="001F02E6" w:rsidP="00666810">
            <w:pPr>
              <w:spacing w:before="60" w:after="60" w:line="240" w:lineRule="atLeast"/>
              <w:jc w:val="center"/>
              <w:rPr>
                <w:rFonts w:eastAsia="Calibri" w:cs="Arial"/>
                <w:sz w:val="18"/>
                <w:szCs w:val="18"/>
                <w:vertAlign w:val="superscript"/>
                <w:lang w:val="en-GB"/>
              </w:rPr>
            </w:pPr>
            <w:r w:rsidRPr="008F6ABB">
              <w:rPr>
                <w:sz w:val="18"/>
                <w:szCs w:val="18"/>
                <w:lang w:val="en-GB"/>
              </w:rPr>
              <w:t>50 V</w:t>
            </w:r>
            <w:r w:rsidR="00666810">
              <w:rPr>
                <w:sz w:val="18"/>
                <w:szCs w:val="18"/>
                <w:vertAlign w:val="superscript"/>
                <w:lang w:val="en-GB"/>
              </w:rPr>
              <w:t>(1</w:t>
            </w:r>
            <w:r w:rsidRPr="008F6ABB">
              <w:rPr>
                <w:sz w:val="18"/>
                <w:szCs w:val="18"/>
                <w:vertAlign w:val="superscript"/>
                <w:lang w:val="en-GB"/>
              </w:rPr>
              <w:t>)</w:t>
            </w:r>
          </w:p>
        </w:tc>
        <w:tc>
          <w:tcPr>
            <w:tcW w:w="1796" w:type="dxa"/>
            <w:vAlign w:val="bottom"/>
          </w:tcPr>
          <w:p w:rsidR="001F02E6" w:rsidRPr="008F6ABB" w:rsidRDefault="001F02E6" w:rsidP="00666810">
            <w:pPr>
              <w:spacing w:before="60" w:after="60" w:line="240" w:lineRule="atLeast"/>
              <w:jc w:val="center"/>
              <w:rPr>
                <w:rFonts w:eastAsia="Calibri" w:cs="Arial"/>
                <w:sz w:val="18"/>
                <w:szCs w:val="18"/>
                <w:lang w:val="en-GB"/>
              </w:rPr>
            </w:pPr>
            <w:r w:rsidRPr="008F6ABB">
              <w:rPr>
                <w:sz w:val="18"/>
                <w:szCs w:val="18"/>
                <w:lang w:val="en-GB"/>
              </w:rPr>
              <w:t>-</w:t>
            </w:r>
          </w:p>
        </w:tc>
      </w:tr>
      <w:tr w:rsidR="001F02E6" w:rsidRPr="00505433" w:rsidTr="001F02E6">
        <w:tc>
          <w:tcPr>
            <w:tcW w:w="9116" w:type="dxa"/>
            <w:gridSpan w:val="4"/>
          </w:tcPr>
          <w:p w:rsidR="001F02E6" w:rsidRPr="008F6ABB" w:rsidRDefault="001F02E6" w:rsidP="00666810">
            <w:pPr>
              <w:spacing w:before="60" w:after="60" w:line="240" w:lineRule="atLeast"/>
              <w:rPr>
                <w:rFonts w:eastAsia="Calibri" w:cs="Arial"/>
                <w:sz w:val="18"/>
                <w:szCs w:val="18"/>
                <w:lang w:val="en-GB"/>
              </w:rPr>
            </w:pPr>
            <w:r w:rsidRPr="008F6ABB">
              <w:rPr>
                <w:sz w:val="18"/>
                <w:szCs w:val="18"/>
                <w:lang w:val="en-GB"/>
              </w:rPr>
              <w:t>Comments:</w:t>
            </w:r>
          </w:p>
          <w:p w:rsidR="001F02E6" w:rsidRPr="008F6ABB" w:rsidRDefault="00666810" w:rsidP="00666810">
            <w:pPr>
              <w:spacing w:before="60" w:after="60" w:line="240" w:lineRule="atLeast"/>
              <w:ind w:left="240" w:hanging="240"/>
              <w:rPr>
                <w:rFonts w:eastAsia="Calibri" w:cs="Arial"/>
                <w:sz w:val="18"/>
                <w:szCs w:val="18"/>
                <w:lang w:val="en-GB"/>
              </w:rPr>
            </w:pPr>
            <w:r>
              <w:rPr>
                <w:sz w:val="18"/>
                <w:szCs w:val="18"/>
                <w:vertAlign w:val="superscript"/>
                <w:lang w:val="en-GB"/>
              </w:rPr>
              <w:t>(</w:t>
            </w:r>
            <w:r w:rsidR="001F02E6" w:rsidRPr="008F6ABB">
              <w:rPr>
                <w:sz w:val="18"/>
                <w:szCs w:val="18"/>
                <w:vertAlign w:val="superscript"/>
                <w:lang w:val="en-GB"/>
              </w:rPr>
              <w:t>1)</w:t>
            </w:r>
            <w:r w:rsidR="001F02E6" w:rsidRPr="008F6ABB">
              <w:rPr>
                <w:sz w:val="18"/>
                <w:szCs w:val="18"/>
                <w:lang w:val="en-GB"/>
              </w:rPr>
              <w:tab/>
              <w:t>When this voltage comes from higher voltage networks, a galvanic isolator (isolation transformer) must be used.</w:t>
            </w:r>
          </w:p>
          <w:p w:rsidR="001F02E6" w:rsidRPr="008F6ABB" w:rsidRDefault="00666810" w:rsidP="00666810">
            <w:pPr>
              <w:spacing w:before="60" w:after="60" w:line="240" w:lineRule="atLeast"/>
              <w:ind w:left="240" w:hanging="240"/>
              <w:rPr>
                <w:rFonts w:eastAsia="Calibri" w:cs="Arial"/>
                <w:sz w:val="18"/>
                <w:szCs w:val="18"/>
                <w:lang w:val="en-GB"/>
              </w:rPr>
            </w:pPr>
            <w:r>
              <w:rPr>
                <w:sz w:val="18"/>
                <w:szCs w:val="18"/>
                <w:vertAlign w:val="superscript"/>
                <w:lang w:val="en-GB"/>
              </w:rPr>
              <w:t>(</w:t>
            </w:r>
            <w:r w:rsidR="001F02E6" w:rsidRPr="008F6ABB">
              <w:rPr>
                <w:sz w:val="18"/>
                <w:szCs w:val="18"/>
                <w:vertAlign w:val="superscript"/>
                <w:lang w:val="en-GB"/>
              </w:rPr>
              <w:t>2)</w:t>
            </w:r>
            <w:r w:rsidR="001F02E6" w:rsidRPr="008F6ABB">
              <w:rPr>
                <w:sz w:val="18"/>
                <w:szCs w:val="18"/>
                <w:lang w:val="en-GB"/>
              </w:rPr>
              <w:tab/>
              <w:t>The secondary electrical circuit must be insulated from the chassis for all polarities.</w:t>
            </w:r>
          </w:p>
        </w:tc>
      </w:tr>
    </w:tbl>
    <w:p w:rsidR="001F02E6" w:rsidRDefault="001F02E6" w:rsidP="001F02E6">
      <w:pPr>
        <w:pStyle w:val="ESch"/>
        <w:rPr>
          <w:lang w:val="en-GB"/>
        </w:rPr>
      </w:pPr>
    </w:p>
    <w:p w:rsidR="00AB2818" w:rsidRDefault="00AB2818">
      <w:pPr>
        <w:autoSpaceDE/>
        <w:autoSpaceDN/>
        <w:ind w:left="0" w:firstLine="0"/>
        <w:jc w:val="left"/>
        <w:rPr>
          <w:lang w:val="en-GB"/>
        </w:rPr>
      </w:pPr>
      <w:r>
        <w:rPr>
          <w:lang w:val="en-GB"/>
        </w:rPr>
        <w:br w:type="page"/>
      </w:r>
    </w:p>
    <w:p w:rsidR="00AB2818" w:rsidRDefault="00AB2818" w:rsidP="001F02E6">
      <w:pPr>
        <w:pStyle w:val="ESch"/>
        <w:rPr>
          <w:lang w:val="en-GB"/>
        </w:rPr>
      </w:pPr>
    </w:p>
    <w:p w:rsidR="001F02E6" w:rsidRPr="008F6ABB" w:rsidRDefault="001F02E6" w:rsidP="001F02E6">
      <w:pPr>
        <w:pStyle w:val="ESch"/>
        <w:rPr>
          <w:rFonts w:eastAsia="Calibri"/>
          <w:lang w:val="en-GB"/>
        </w:rPr>
      </w:pPr>
      <w:r w:rsidRPr="008F6ABB">
        <w:rPr>
          <w:lang w:val="en-GB"/>
        </w:rPr>
        <w:t>2.</w:t>
      </w:r>
      <w:r w:rsidRPr="008F6ABB">
        <w:rPr>
          <w:lang w:val="en-GB"/>
        </w:rPr>
        <w:tab/>
        <w:t>If the required protective measures are complied with, higher voltages are permissible:</w:t>
      </w:r>
    </w:p>
    <w:p w:rsidR="001F02E6" w:rsidRPr="008F6ABB" w:rsidRDefault="001F02E6" w:rsidP="001F02E6">
      <w:pPr>
        <w:pStyle w:val="ESlet"/>
        <w:rPr>
          <w:rFonts w:eastAsia="Calibri"/>
          <w:lang w:val="en-GB"/>
        </w:rPr>
      </w:pPr>
      <w:r w:rsidRPr="008F6ABB">
        <w:rPr>
          <w:lang w:val="en-GB"/>
        </w:rPr>
        <w:t>a)</w:t>
      </w:r>
      <w:r w:rsidRPr="008F6ABB">
        <w:rPr>
          <w:lang w:val="en-GB"/>
        </w:rPr>
        <w:tab/>
        <w:t>for power installations whose power so requires;</w:t>
      </w:r>
    </w:p>
    <w:p w:rsidR="001F02E6" w:rsidRPr="008F6ABB" w:rsidRDefault="001F02E6" w:rsidP="001F02E6">
      <w:pPr>
        <w:pStyle w:val="ESlet"/>
        <w:rPr>
          <w:rFonts w:eastAsia="Calibri"/>
          <w:lang w:val="en-GB"/>
        </w:rPr>
      </w:pPr>
      <w:r w:rsidRPr="008F6ABB">
        <w:rPr>
          <w:lang w:val="en-GB"/>
        </w:rPr>
        <w:t>b)</w:t>
      </w:r>
      <w:r w:rsidRPr="008F6ABB">
        <w:rPr>
          <w:lang w:val="en-GB"/>
        </w:rPr>
        <w:tab/>
        <w:t>for special installations on board such as radio and ignition devices.</w:t>
      </w:r>
    </w:p>
    <w:p w:rsidR="008A12E7" w:rsidRDefault="008A12E7" w:rsidP="008A12E7">
      <w:pPr>
        <w:rPr>
          <w:rFonts w:cs="Arial"/>
          <w:szCs w:val="20"/>
          <w:lang w:val="en-GB"/>
        </w:rPr>
      </w:pPr>
    </w:p>
    <w:p w:rsidR="001F02E6" w:rsidRPr="008F6ABB" w:rsidRDefault="001F02E6" w:rsidP="001F02E6">
      <w:pPr>
        <w:pStyle w:val="ESch"/>
        <w:rPr>
          <w:rFonts w:eastAsia="Calibri"/>
          <w:lang w:val="en-GB"/>
        </w:rPr>
      </w:pPr>
      <w:r w:rsidRPr="008F6ABB">
        <w:rPr>
          <w:lang w:val="en-GB"/>
        </w:rPr>
        <w:t>3.</w:t>
      </w:r>
      <w:r w:rsidRPr="008F6ABB">
        <w:rPr>
          <w:lang w:val="en-GB"/>
        </w:rPr>
        <w:tab/>
        <w:t>The inspection body may allow other exceptions in justified cases if the required protective measures are complied with.</w:t>
      </w:r>
    </w:p>
    <w:p w:rsidR="001F02E6" w:rsidRDefault="001F02E6" w:rsidP="008A12E7">
      <w:pPr>
        <w:rPr>
          <w:rFonts w:cs="Arial"/>
          <w:szCs w:val="20"/>
          <w:lang w:val="en-GB"/>
        </w:rPr>
      </w:pPr>
    </w:p>
    <w:p w:rsidR="00666810" w:rsidRPr="00C903F8" w:rsidRDefault="00666810" w:rsidP="008A12E7">
      <w:pPr>
        <w:rPr>
          <w:rFonts w:cs="Arial"/>
          <w:szCs w:val="20"/>
          <w:lang w:val="en-GB"/>
        </w:rPr>
      </w:pPr>
    </w:p>
    <w:p w:rsidR="008A12E7" w:rsidRPr="00C903F8" w:rsidRDefault="008A12E7" w:rsidP="00651EFD">
      <w:pPr>
        <w:pStyle w:val="ES-Titre3"/>
        <w:rPr>
          <w:lang w:val="en-US"/>
        </w:rPr>
      </w:pPr>
      <w:bookmarkStart w:id="95" w:name="_Toc491854084"/>
      <w:r w:rsidRPr="00C903F8">
        <w:rPr>
          <w:noProof/>
          <w:lang w:val="en-US"/>
        </w:rPr>
        <w:t>Article 10.07</w:t>
      </w:r>
      <w:r w:rsidRPr="00C903F8">
        <w:rPr>
          <w:noProof/>
          <w:lang w:val="en-US"/>
        </w:rPr>
        <w:br/>
      </w:r>
      <w:r w:rsidRPr="00C903F8">
        <w:rPr>
          <w:i/>
          <w:noProof/>
          <w:lang w:val="en-US"/>
        </w:rPr>
        <w:t>Distribution</w:t>
      </w:r>
      <w:r w:rsidRPr="00C903F8">
        <w:rPr>
          <w:bCs/>
          <w:i/>
          <w:noProof/>
          <w:lang w:val="en-US"/>
        </w:rPr>
        <w:t xml:space="preserve"> systems</w:t>
      </w:r>
      <w:bookmarkEnd w:id="95"/>
    </w:p>
    <w:p w:rsidR="00651EFD" w:rsidRPr="00C903F8" w:rsidRDefault="00651EFD" w:rsidP="008A12E7">
      <w:pPr>
        <w:rPr>
          <w:rFonts w:cs="Arial"/>
          <w:noProof/>
          <w:szCs w:val="20"/>
          <w:lang w:val="en-US"/>
        </w:rPr>
      </w:pPr>
    </w:p>
    <w:p w:rsidR="001F02E6" w:rsidRPr="001717EA" w:rsidRDefault="001F02E6" w:rsidP="001F02E6">
      <w:pPr>
        <w:pStyle w:val="ESch"/>
        <w:rPr>
          <w:rFonts w:eastAsia="Calibri"/>
          <w:lang w:val="en-GB"/>
        </w:rPr>
      </w:pPr>
      <w:r w:rsidRPr="008F6ABB">
        <w:rPr>
          <w:lang w:val="en-GB"/>
        </w:rPr>
        <w:t>1.</w:t>
      </w:r>
      <w:r w:rsidRPr="008F6ABB">
        <w:rPr>
          <w:lang w:val="en-GB"/>
        </w:rPr>
        <w:tab/>
        <w:t>The following distribution systems are allowed for direct current and single-phase alternating current:</w:t>
      </w:r>
    </w:p>
    <w:p w:rsidR="001F02E6" w:rsidRPr="001717EA" w:rsidRDefault="001F02E6" w:rsidP="001F02E6">
      <w:pPr>
        <w:pStyle w:val="ESlet"/>
        <w:rPr>
          <w:rFonts w:eastAsia="Calibri"/>
          <w:lang w:val="en-GB"/>
        </w:rPr>
      </w:pPr>
      <w:r w:rsidRPr="001717EA">
        <w:rPr>
          <w:lang w:val="en-GB"/>
        </w:rPr>
        <w:t>a)</w:t>
      </w:r>
      <w:r w:rsidRPr="001717EA">
        <w:rPr>
          <w:lang w:val="en-GB"/>
        </w:rPr>
        <w:tab/>
        <w:t>2-conductor systems of which one is earthed (L1/N/PE);</w:t>
      </w:r>
    </w:p>
    <w:p w:rsidR="001F02E6" w:rsidRPr="001717EA" w:rsidRDefault="001F02E6" w:rsidP="001F02E6">
      <w:pPr>
        <w:pStyle w:val="ESlet"/>
        <w:rPr>
          <w:rFonts w:eastAsia="Calibri"/>
          <w:lang w:val="en-GB"/>
        </w:rPr>
      </w:pPr>
      <w:r w:rsidRPr="001717EA">
        <w:rPr>
          <w:lang w:val="en-GB"/>
        </w:rPr>
        <w:t>b)</w:t>
      </w:r>
      <w:r w:rsidRPr="001717EA">
        <w:rPr>
          <w:lang w:val="en-GB"/>
        </w:rPr>
        <w:tab/>
        <w:t>single-conductor systems using the hull return principle, only for local installations (for example, starting installations for internal combustion engines) (L1/PEN);</w:t>
      </w:r>
    </w:p>
    <w:p w:rsidR="001F02E6" w:rsidRPr="001717EA" w:rsidRDefault="001F02E6" w:rsidP="001F02E6">
      <w:pPr>
        <w:pStyle w:val="ESlet"/>
        <w:rPr>
          <w:rFonts w:eastAsia="Calibri"/>
          <w:lang w:val="en-GB"/>
        </w:rPr>
      </w:pPr>
      <w:r w:rsidRPr="001717EA">
        <w:rPr>
          <w:lang w:val="en-GB"/>
        </w:rPr>
        <w:t>c)</w:t>
      </w:r>
      <w:r w:rsidRPr="001717EA">
        <w:rPr>
          <w:lang w:val="en-GB"/>
        </w:rPr>
        <w:tab/>
        <w:t>2-conductor systems insulated from the hull (L1/L2/PE).</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2.</w:t>
      </w:r>
      <w:r w:rsidRPr="008F6ABB">
        <w:rPr>
          <w:lang w:val="en-GB"/>
        </w:rPr>
        <w:tab/>
        <w:t xml:space="preserve">The </w:t>
      </w:r>
      <w:r w:rsidRPr="001717EA">
        <w:rPr>
          <w:lang w:val="en-GB"/>
        </w:rPr>
        <w:t>following</w:t>
      </w:r>
      <w:r w:rsidRPr="008F6ABB">
        <w:rPr>
          <w:lang w:val="en-GB"/>
        </w:rPr>
        <w:t xml:space="preserve"> distribution systems are allowed for three-phase alternating current:</w:t>
      </w:r>
    </w:p>
    <w:p w:rsidR="001F02E6" w:rsidRPr="008F6ABB" w:rsidRDefault="001F02E6" w:rsidP="001F02E6">
      <w:pPr>
        <w:pStyle w:val="ESlet"/>
        <w:rPr>
          <w:rFonts w:eastAsia="Calibri"/>
          <w:lang w:val="en-GB"/>
        </w:rPr>
      </w:pPr>
      <w:r w:rsidRPr="008F6ABB">
        <w:rPr>
          <w:lang w:val="en-GB"/>
        </w:rPr>
        <w:t>a)</w:t>
      </w:r>
      <w:r w:rsidRPr="008F6ABB">
        <w:rPr>
          <w:lang w:val="en-GB"/>
        </w:rPr>
        <w:tab/>
        <w:t>4-conductor systems with earthing of the neutral point, not using the hull return principle (L1/L2/L3/N/PE) = network (TN-S) or network (TT);</w:t>
      </w:r>
    </w:p>
    <w:p w:rsidR="001F02E6" w:rsidRPr="008F6ABB" w:rsidRDefault="001F02E6" w:rsidP="001F02E6">
      <w:pPr>
        <w:pStyle w:val="ESlet"/>
        <w:rPr>
          <w:rFonts w:eastAsia="Calibri"/>
          <w:lang w:val="en-GB"/>
        </w:rPr>
      </w:pPr>
      <w:r w:rsidRPr="008F6ABB">
        <w:rPr>
          <w:lang w:val="en-GB"/>
        </w:rPr>
        <w:t>b)</w:t>
      </w:r>
      <w:r w:rsidRPr="008F6ABB">
        <w:rPr>
          <w:lang w:val="en-GB"/>
        </w:rPr>
        <w:tab/>
        <w:t>3-conductor system insulated from the hull (L1/L2/L3/PE) = network (IT);</w:t>
      </w:r>
    </w:p>
    <w:p w:rsidR="001F02E6" w:rsidRPr="008F6ABB" w:rsidRDefault="001F02E6" w:rsidP="001F02E6">
      <w:pPr>
        <w:pStyle w:val="ESlet"/>
        <w:rPr>
          <w:rFonts w:eastAsia="Calibri"/>
          <w:lang w:val="en-GB"/>
        </w:rPr>
      </w:pPr>
      <w:r w:rsidRPr="008F6ABB">
        <w:rPr>
          <w:lang w:val="en-GB"/>
        </w:rPr>
        <w:t>c)</w:t>
      </w:r>
      <w:r w:rsidRPr="008F6ABB">
        <w:rPr>
          <w:lang w:val="en-GB"/>
        </w:rPr>
        <w:tab/>
        <w:t>3-conductor with earthing of the neutral point using the hull return principle except for terminal circuits (L1/L2/L3/PEN).</w:t>
      </w:r>
    </w:p>
    <w:p w:rsidR="001F02E6" w:rsidRPr="008F6ABB" w:rsidRDefault="001F02E6" w:rsidP="00AA5633">
      <w:pPr>
        <w:pStyle w:val="ESch"/>
        <w:rPr>
          <w:rFonts w:eastAsia="Calibri"/>
          <w:lang w:val="en-GB"/>
        </w:rPr>
      </w:pPr>
    </w:p>
    <w:p w:rsidR="001F02E6" w:rsidRPr="008F6ABB" w:rsidRDefault="001F02E6" w:rsidP="001F02E6">
      <w:pPr>
        <w:pStyle w:val="ESch"/>
        <w:rPr>
          <w:lang w:val="en-GB"/>
        </w:rPr>
      </w:pPr>
      <w:r w:rsidRPr="008F6ABB">
        <w:rPr>
          <w:lang w:val="en-GB"/>
        </w:rPr>
        <w:t>3.</w:t>
      </w:r>
      <w:r w:rsidRPr="008F6ABB">
        <w:rPr>
          <w:lang w:val="en-GB"/>
        </w:rPr>
        <w:tab/>
        <w:t>The inspection body may allow the use of other distribution systems.</w:t>
      </w:r>
    </w:p>
    <w:p w:rsidR="00651EFD" w:rsidRPr="001F02E6" w:rsidRDefault="00651EFD" w:rsidP="00AA5633">
      <w:pPr>
        <w:pStyle w:val="ESch"/>
        <w:rPr>
          <w:noProof/>
          <w:lang w:val="en-GB"/>
        </w:rPr>
      </w:pPr>
    </w:p>
    <w:p w:rsidR="00651EFD" w:rsidRPr="00C903F8" w:rsidRDefault="00651EFD" w:rsidP="00AA5633">
      <w:pPr>
        <w:pStyle w:val="ESch"/>
        <w:rPr>
          <w:noProof/>
          <w:lang w:val="en-US"/>
        </w:rPr>
      </w:pPr>
    </w:p>
    <w:p w:rsidR="008A12E7" w:rsidRPr="00C903F8" w:rsidRDefault="008A12E7" w:rsidP="00651EFD">
      <w:pPr>
        <w:pStyle w:val="ES-Titre3"/>
        <w:rPr>
          <w:lang w:val="en-US"/>
        </w:rPr>
      </w:pPr>
      <w:bookmarkStart w:id="96" w:name="_Toc491854085"/>
      <w:r w:rsidRPr="00C903F8">
        <w:rPr>
          <w:noProof/>
          <w:lang w:val="en-US"/>
        </w:rPr>
        <w:t>Article 10.08</w:t>
      </w:r>
      <w:r w:rsidRPr="00C903F8">
        <w:rPr>
          <w:noProof/>
          <w:lang w:val="en-US"/>
        </w:rPr>
        <w:br/>
      </w:r>
      <w:r w:rsidR="001F02E6" w:rsidRPr="007C1F45">
        <w:rPr>
          <w:i/>
          <w:lang w:val="en-GB"/>
        </w:rPr>
        <w:t>Connection to the shore or other external networks</w:t>
      </w:r>
      <w:bookmarkEnd w:id="96"/>
    </w:p>
    <w:p w:rsidR="00651EFD" w:rsidRPr="00C903F8" w:rsidRDefault="00651EFD" w:rsidP="008A12E7">
      <w:pPr>
        <w:rPr>
          <w:rFonts w:cs="Arial"/>
          <w:noProof/>
          <w:szCs w:val="20"/>
          <w:lang w:val="en-US"/>
        </w:rPr>
      </w:pPr>
    </w:p>
    <w:p w:rsidR="001F02E6" w:rsidRPr="008F6ABB" w:rsidRDefault="001F02E6" w:rsidP="001F02E6">
      <w:pPr>
        <w:pStyle w:val="ESch"/>
        <w:rPr>
          <w:rFonts w:eastAsia="Calibri"/>
          <w:lang w:val="en-GB"/>
        </w:rPr>
      </w:pPr>
      <w:r w:rsidRPr="008F6ABB">
        <w:rPr>
          <w:lang w:val="en-GB"/>
        </w:rPr>
        <w:t>1.</w:t>
      </w:r>
      <w:r w:rsidRPr="008F6ABB">
        <w:rPr>
          <w:lang w:val="en-GB"/>
        </w:rPr>
        <w:tab/>
        <w:t xml:space="preserve">The feed-in unit, that is the entire onboard equipment for transferring electrical power to the </w:t>
      </w:r>
      <w:r>
        <w:rPr>
          <w:lang w:val="en-GB"/>
        </w:rPr>
        <w:t>craft</w:t>
      </w:r>
      <w:r w:rsidRPr="008F6ABB">
        <w:rPr>
          <w:lang w:val="en-GB"/>
        </w:rPr>
        <w:t xml:space="preserve">, must be designed </w:t>
      </w:r>
      <w:r w:rsidRPr="001717EA">
        <w:rPr>
          <w:lang w:val="en-GB"/>
        </w:rPr>
        <w:t>as</w:t>
      </w:r>
      <w:r w:rsidRPr="008F6ABB">
        <w:rPr>
          <w:lang w:val="en-GB"/>
        </w:rPr>
        <w:t xml:space="preserve"> follows:</w:t>
      </w:r>
    </w:p>
    <w:p w:rsidR="001F02E6" w:rsidRPr="008F6ABB" w:rsidRDefault="001F02E6" w:rsidP="001F02E6">
      <w:pPr>
        <w:pStyle w:val="ESlet"/>
        <w:rPr>
          <w:rFonts w:eastAsia="Calibri"/>
          <w:lang w:val="en-GB"/>
        </w:rPr>
      </w:pPr>
      <w:r w:rsidRPr="008F6ABB">
        <w:rPr>
          <w:lang w:val="en-GB"/>
        </w:rPr>
        <w:t>a)</w:t>
      </w:r>
      <w:r w:rsidRPr="008F6ABB">
        <w:rPr>
          <w:lang w:val="en-GB"/>
        </w:rPr>
        <w:tab/>
        <w:t>Transfer from shoreside power supply systems:</w:t>
      </w:r>
    </w:p>
    <w:p w:rsidR="001F02E6" w:rsidRPr="008F6ABB" w:rsidRDefault="001F02E6" w:rsidP="001F02E6">
      <w:pPr>
        <w:pStyle w:val="EStiret"/>
        <w:rPr>
          <w:rFonts w:eastAsia="Calibri"/>
          <w:noProof w:val="0"/>
          <w:lang w:val="en-GB"/>
        </w:rPr>
      </w:pPr>
      <w:r w:rsidRPr="008F6ABB">
        <w:rPr>
          <w:noProof w:val="0"/>
          <w:lang w:val="en-GB"/>
        </w:rPr>
        <w:t>aa)</w:t>
      </w:r>
      <w:r w:rsidRPr="008F6ABB">
        <w:rPr>
          <w:noProof w:val="0"/>
          <w:lang w:val="en-GB"/>
        </w:rPr>
        <w:tab/>
        <w:t>For currents up to 125 A, the requirements of European Standards EN 15869­1 and EN 15869­3 in the version</w:t>
      </w:r>
      <w:r>
        <w:rPr>
          <w:noProof w:val="0"/>
          <w:lang w:val="en-GB"/>
        </w:rPr>
        <w:t xml:space="preserve"> in force on 6 July 2017</w:t>
      </w:r>
      <w:r w:rsidRPr="008F6ABB">
        <w:rPr>
          <w:noProof w:val="0"/>
          <w:lang w:val="en-GB"/>
        </w:rPr>
        <w:t xml:space="preserve"> are to be complied with.</w:t>
      </w:r>
    </w:p>
    <w:p w:rsidR="001F02E6" w:rsidRPr="008F6ABB" w:rsidRDefault="001F02E6" w:rsidP="001F02E6">
      <w:pPr>
        <w:pStyle w:val="EStiret"/>
        <w:rPr>
          <w:rFonts w:eastAsia="Calibri"/>
          <w:noProof w:val="0"/>
          <w:lang w:val="en-GB"/>
        </w:rPr>
      </w:pPr>
      <w:r w:rsidRPr="008F6ABB">
        <w:rPr>
          <w:noProof w:val="0"/>
          <w:lang w:val="en-GB"/>
        </w:rPr>
        <w:t>bb)</w:t>
      </w:r>
      <w:r w:rsidRPr="008F6ABB">
        <w:rPr>
          <w:noProof w:val="0"/>
          <w:lang w:val="en-GB"/>
        </w:rPr>
        <w:tab/>
        <w:t>For currents greater than 250 A, the requirements of European Standards EN 16840:</w:t>
      </w:r>
      <w:r>
        <w:rPr>
          <w:noProof w:val="0"/>
          <w:lang w:val="en-GB"/>
        </w:rPr>
        <w:t> </w:t>
      </w:r>
      <w:r w:rsidRPr="00306D9A">
        <w:rPr>
          <w:noProof w:val="0"/>
          <w:lang w:val="en-GB"/>
        </w:rPr>
        <w:t>2017 are</w:t>
      </w:r>
      <w:r w:rsidRPr="008F6ABB">
        <w:rPr>
          <w:noProof w:val="0"/>
          <w:lang w:val="en-GB"/>
        </w:rPr>
        <w:t xml:space="preserve"> to be complied with.</w:t>
      </w:r>
    </w:p>
    <w:p w:rsidR="001F02E6" w:rsidRPr="008F6ABB" w:rsidRDefault="001F02E6" w:rsidP="001F02E6">
      <w:pPr>
        <w:pStyle w:val="ESlet"/>
        <w:rPr>
          <w:rFonts w:eastAsia="Calibri"/>
          <w:lang w:val="en-GB"/>
        </w:rPr>
      </w:pPr>
      <w:r w:rsidRPr="008F6ABB">
        <w:rPr>
          <w:lang w:val="en-GB"/>
        </w:rPr>
        <w:t>b)</w:t>
      </w:r>
      <w:r w:rsidRPr="008F6ABB">
        <w:rPr>
          <w:lang w:val="en-GB"/>
        </w:rPr>
        <w:tab/>
        <w:t>In all other cases, the requirements of (2) to (</w:t>
      </w:r>
      <w:r>
        <w:rPr>
          <w:lang w:val="en-GB"/>
        </w:rPr>
        <w:t>9</w:t>
      </w:r>
      <w:r w:rsidRPr="008F6ABB">
        <w:rPr>
          <w:lang w:val="en-GB"/>
        </w:rPr>
        <w:t>) shall apply. The requirements specified shall be deemed to have been complied with if the standards referred to in (a) are adhered to for the use in question.</w:t>
      </w:r>
    </w:p>
    <w:p w:rsidR="001F02E6" w:rsidRPr="008F6ABB" w:rsidRDefault="001F02E6" w:rsidP="001F02E6">
      <w:pPr>
        <w:pStyle w:val="ESch"/>
        <w:spacing w:line="240" w:lineRule="auto"/>
        <w:rPr>
          <w:rFonts w:eastAsia="Calibri"/>
          <w:sz w:val="18"/>
          <w:szCs w:val="18"/>
          <w:lang w:val="en-GB"/>
        </w:rPr>
      </w:pPr>
    </w:p>
    <w:p w:rsidR="001F02E6" w:rsidRPr="008F6ABB" w:rsidRDefault="001F02E6" w:rsidP="001F02E6">
      <w:pPr>
        <w:pStyle w:val="ESch"/>
        <w:rPr>
          <w:rFonts w:eastAsia="Calibri"/>
          <w:lang w:val="en-GB"/>
        </w:rPr>
      </w:pPr>
      <w:r w:rsidRPr="008F6ABB">
        <w:rPr>
          <w:lang w:val="en-GB"/>
        </w:rPr>
        <w:t>2.</w:t>
      </w:r>
      <w:r w:rsidRPr="008F6ABB">
        <w:rPr>
          <w:lang w:val="en-GB"/>
        </w:rPr>
        <w:tab/>
        <w:t>Incoming supply lines from shore networks or other external networks to the installations of the onboard network shall have a permanent connection on board in the form of permanently fixed terminals or permanently fixed plug sockets. Cables connections shall not be subjected to any pulling load.</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3.</w:t>
      </w:r>
      <w:r w:rsidRPr="008F6ABB">
        <w:rPr>
          <w:lang w:val="en-GB"/>
        </w:rPr>
        <w:tab/>
      </w:r>
      <w:r w:rsidRPr="00306D9A">
        <w:rPr>
          <w:lang w:val="en-GB"/>
        </w:rPr>
        <w:t>When the connection voltage exceeds 50 V, the hull shall have an earthing connection.</w:t>
      </w:r>
      <w:r w:rsidRPr="008F6ABB">
        <w:rPr>
          <w:lang w:val="en-GB"/>
        </w:rPr>
        <w:t xml:space="preserve"> The earthing connection should be specially marked.</w:t>
      </w:r>
    </w:p>
    <w:p w:rsidR="001F02E6" w:rsidRDefault="001F02E6" w:rsidP="001F02E6">
      <w:pPr>
        <w:pStyle w:val="ESch"/>
        <w:rPr>
          <w:rFonts w:eastAsia="Calibri"/>
          <w:lang w:val="en-GB"/>
        </w:rPr>
      </w:pPr>
    </w:p>
    <w:p w:rsidR="00AB2818" w:rsidRDefault="00AB2818">
      <w:pPr>
        <w:autoSpaceDE/>
        <w:autoSpaceDN/>
        <w:ind w:left="0" w:firstLine="0"/>
        <w:jc w:val="left"/>
        <w:rPr>
          <w:rFonts w:eastAsia="Calibri"/>
          <w:lang w:val="en-GB"/>
        </w:rPr>
      </w:pPr>
      <w:r>
        <w:rPr>
          <w:rFonts w:eastAsia="Calibri"/>
          <w:lang w:val="en-GB"/>
        </w:rPr>
        <w:br w:type="page"/>
      </w:r>
    </w:p>
    <w:p w:rsidR="00AB2818" w:rsidRPr="008F6ABB" w:rsidRDefault="00AB2818"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4.</w:t>
      </w:r>
      <w:r w:rsidRPr="008F6ABB">
        <w:rPr>
          <w:lang w:val="en-GB"/>
        </w:rPr>
        <w:tab/>
        <w:t>The protective devices of the connections</w:t>
      </w:r>
      <w:r w:rsidRPr="008F6ABB">
        <w:rPr>
          <w:rStyle w:val="Heading4Char"/>
          <w:lang w:val="en-GB"/>
        </w:rPr>
        <w:t xml:space="preserve"> </w:t>
      </w:r>
      <w:r w:rsidRPr="008F6ABB">
        <w:rPr>
          <w:lang w:val="en-GB"/>
        </w:rPr>
        <w:t>shall be capable of being locked so as to prevent the concurrent operation of the onboard network generators and the shore network or another external network. A brief period of concurrent operation shall be permitted when changing from one system to another without a break in voltage.</w:t>
      </w:r>
    </w:p>
    <w:p w:rsidR="001F02E6" w:rsidRPr="008F6ABB" w:rsidRDefault="001F02E6" w:rsidP="001F02E6">
      <w:pPr>
        <w:pStyle w:val="ESch"/>
        <w:spacing w:line="240" w:lineRule="auto"/>
        <w:rPr>
          <w:rFonts w:eastAsia="Calibri"/>
          <w:sz w:val="18"/>
          <w:szCs w:val="18"/>
          <w:lang w:val="en-GB"/>
        </w:rPr>
      </w:pPr>
    </w:p>
    <w:p w:rsidR="001F02E6" w:rsidRPr="008F6ABB" w:rsidRDefault="001F02E6" w:rsidP="001F02E6">
      <w:pPr>
        <w:pStyle w:val="ESch"/>
        <w:rPr>
          <w:rFonts w:eastAsia="Calibri"/>
          <w:lang w:val="en-GB"/>
        </w:rPr>
      </w:pPr>
      <w:r w:rsidRPr="008F6ABB">
        <w:rPr>
          <w:lang w:val="en-GB"/>
        </w:rPr>
        <w:t>5.</w:t>
      </w:r>
      <w:r w:rsidRPr="008F6ABB">
        <w:rPr>
          <w:lang w:val="en-GB"/>
        </w:rPr>
        <w:tab/>
        <w:t>The connection shall be protected against short circuits and overloads.</w:t>
      </w:r>
    </w:p>
    <w:p w:rsidR="001F02E6" w:rsidRPr="008F6ABB" w:rsidRDefault="001F02E6" w:rsidP="001F02E6">
      <w:pPr>
        <w:pStyle w:val="ESch"/>
        <w:spacing w:line="240" w:lineRule="auto"/>
        <w:rPr>
          <w:rFonts w:eastAsia="Calibri"/>
          <w:sz w:val="18"/>
          <w:szCs w:val="18"/>
          <w:lang w:val="en-GB"/>
        </w:rPr>
      </w:pPr>
    </w:p>
    <w:p w:rsidR="001F02E6" w:rsidRPr="008F6ABB" w:rsidRDefault="001F02E6" w:rsidP="001F02E6">
      <w:pPr>
        <w:pStyle w:val="ESch"/>
        <w:rPr>
          <w:rFonts w:eastAsia="Calibri"/>
          <w:lang w:val="en-GB"/>
        </w:rPr>
      </w:pPr>
      <w:r w:rsidRPr="008F6ABB">
        <w:rPr>
          <w:lang w:val="en-GB"/>
        </w:rPr>
        <w:t>6.</w:t>
      </w:r>
      <w:r w:rsidRPr="008F6ABB">
        <w:rPr>
          <w:lang w:val="en-GB"/>
        </w:rPr>
        <w:tab/>
        <w:t>The main switchboard shall indicate whether the connection is live.</w:t>
      </w:r>
    </w:p>
    <w:p w:rsidR="001F02E6" w:rsidRPr="008F6ABB" w:rsidRDefault="001F02E6" w:rsidP="001F02E6">
      <w:pPr>
        <w:pStyle w:val="ESch"/>
        <w:spacing w:line="240" w:lineRule="auto"/>
        <w:rPr>
          <w:rFonts w:eastAsia="Calibri"/>
          <w:sz w:val="18"/>
          <w:szCs w:val="18"/>
          <w:lang w:val="en-GB"/>
        </w:rPr>
      </w:pPr>
    </w:p>
    <w:p w:rsidR="001F02E6" w:rsidRPr="008F6ABB" w:rsidRDefault="001F02E6" w:rsidP="001F02E6">
      <w:pPr>
        <w:pStyle w:val="ESch"/>
        <w:rPr>
          <w:rFonts w:eastAsia="Calibri"/>
          <w:lang w:val="en-GB"/>
        </w:rPr>
      </w:pPr>
      <w:r w:rsidRPr="008F6ABB">
        <w:rPr>
          <w:lang w:val="en-GB"/>
        </w:rPr>
        <w:t>7.</w:t>
      </w:r>
      <w:r w:rsidRPr="008F6ABB">
        <w:rPr>
          <w:lang w:val="en-GB"/>
        </w:rPr>
        <w:tab/>
        <w:t>Indicator devices shall be installed to allow comparison of polarity in the case of direct current and phase sequence in the case of alternating current between the connection and the onboard network.</w:t>
      </w:r>
    </w:p>
    <w:p w:rsidR="001F02E6" w:rsidRPr="008F6ABB" w:rsidRDefault="001F02E6" w:rsidP="001F02E6">
      <w:pPr>
        <w:pStyle w:val="ESch"/>
        <w:spacing w:line="240" w:lineRule="auto"/>
        <w:rPr>
          <w:rFonts w:eastAsia="Calibri"/>
          <w:sz w:val="18"/>
          <w:szCs w:val="18"/>
          <w:lang w:val="en-GB"/>
        </w:rPr>
      </w:pPr>
    </w:p>
    <w:p w:rsidR="001F02E6" w:rsidRPr="008F6ABB" w:rsidRDefault="001F02E6" w:rsidP="001F02E6">
      <w:pPr>
        <w:pStyle w:val="ESch"/>
        <w:rPr>
          <w:rFonts w:eastAsia="Calibri"/>
          <w:lang w:val="en-GB"/>
        </w:rPr>
      </w:pPr>
      <w:r w:rsidRPr="008F6ABB">
        <w:rPr>
          <w:lang w:val="en-GB"/>
        </w:rPr>
        <w:t>8.</w:t>
      </w:r>
      <w:r w:rsidRPr="008F6ABB">
        <w:rPr>
          <w:lang w:val="en-GB"/>
        </w:rPr>
        <w:tab/>
        <w:t>A panel on the connection shall indicate:</w:t>
      </w:r>
    </w:p>
    <w:p w:rsidR="001F02E6" w:rsidRPr="008F6ABB" w:rsidRDefault="001F02E6" w:rsidP="001F02E6">
      <w:pPr>
        <w:pStyle w:val="ESlet"/>
        <w:rPr>
          <w:rFonts w:eastAsia="Calibri"/>
          <w:lang w:val="en-GB"/>
        </w:rPr>
      </w:pPr>
      <w:r w:rsidRPr="008F6ABB">
        <w:rPr>
          <w:lang w:val="en-GB"/>
        </w:rPr>
        <w:t>a)</w:t>
      </w:r>
      <w:r w:rsidRPr="008F6ABB">
        <w:rPr>
          <w:lang w:val="en-GB"/>
        </w:rPr>
        <w:tab/>
        <w:t>the measures required to make the connection;</w:t>
      </w:r>
    </w:p>
    <w:p w:rsidR="001F02E6" w:rsidRPr="008F6ABB" w:rsidRDefault="001F02E6" w:rsidP="001F02E6">
      <w:pPr>
        <w:pStyle w:val="ESlet"/>
        <w:rPr>
          <w:rFonts w:eastAsia="Calibri"/>
          <w:lang w:val="en-GB"/>
        </w:rPr>
      </w:pPr>
      <w:r w:rsidRPr="008F6ABB">
        <w:rPr>
          <w:lang w:val="en-GB"/>
        </w:rPr>
        <w:t>b)</w:t>
      </w:r>
      <w:r w:rsidRPr="008F6ABB">
        <w:rPr>
          <w:lang w:val="en-GB"/>
        </w:rPr>
        <w:tab/>
        <w:t>the kind of current and the nominal voltage and, for alternating current, the frequency.</w:t>
      </w:r>
    </w:p>
    <w:p w:rsidR="001F02E6" w:rsidRPr="008F6ABB" w:rsidRDefault="001F02E6" w:rsidP="001F02E6">
      <w:pPr>
        <w:pStyle w:val="ESch"/>
        <w:spacing w:line="240" w:lineRule="auto"/>
        <w:rPr>
          <w:rFonts w:eastAsia="Calibri"/>
          <w:sz w:val="18"/>
          <w:szCs w:val="18"/>
          <w:lang w:val="en-GB"/>
        </w:rPr>
      </w:pPr>
    </w:p>
    <w:p w:rsidR="001F02E6" w:rsidRDefault="001F02E6" w:rsidP="001F02E6">
      <w:pPr>
        <w:pStyle w:val="ESch"/>
        <w:rPr>
          <w:rStyle w:val="Heading4Char"/>
          <w:lang w:val="en-GB"/>
        </w:rPr>
      </w:pPr>
      <w:r w:rsidRPr="008F6ABB">
        <w:rPr>
          <w:lang w:val="en-GB"/>
        </w:rPr>
        <w:t>9.</w:t>
      </w:r>
      <w:r w:rsidRPr="008F6ABB">
        <w:rPr>
          <w:lang w:val="en-GB"/>
        </w:rPr>
        <w:tab/>
        <w:t>If sockets devices rated at more than 16 A are used, steps shall be taken to ensure that connection and disconnection can take place only when the line is dead.</w:t>
      </w:r>
      <w:r w:rsidRPr="008F6ABB">
        <w:rPr>
          <w:rStyle w:val="Heading4Char"/>
          <w:lang w:val="en-GB"/>
        </w:rPr>
        <w:t xml:space="preserve"> </w:t>
      </w:r>
    </w:p>
    <w:p w:rsidR="008A12E7" w:rsidRPr="001F02E6" w:rsidRDefault="008A12E7" w:rsidP="008A12E7">
      <w:pPr>
        <w:rPr>
          <w:rFonts w:cs="Arial"/>
          <w:szCs w:val="20"/>
          <w:lang w:val="en-GB"/>
        </w:rPr>
      </w:pPr>
    </w:p>
    <w:p w:rsidR="00651EFD" w:rsidRPr="00C903F8" w:rsidRDefault="00651EFD" w:rsidP="008A12E7">
      <w:pPr>
        <w:rPr>
          <w:rFonts w:cs="Arial"/>
          <w:szCs w:val="20"/>
          <w:lang w:val="en-US"/>
        </w:rPr>
      </w:pPr>
    </w:p>
    <w:p w:rsidR="008A12E7" w:rsidRPr="00C903F8" w:rsidRDefault="008A12E7" w:rsidP="00651EFD">
      <w:pPr>
        <w:pStyle w:val="ES-Titre3"/>
        <w:rPr>
          <w:lang w:val="en-US"/>
        </w:rPr>
      </w:pPr>
      <w:bookmarkStart w:id="97" w:name="_Toc491854086"/>
      <w:r w:rsidRPr="00C903F8">
        <w:rPr>
          <w:noProof/>
          <w:lang w:val="en-US"/>
        </w:rPr>
        <w:t>Article 10.09</w:t>
      </w:r>
      <w:r w:rsidRPr="00C903F8">
        <w:rPr>
          <w:noProof/>
          <w:lang w:val="en-US"/>
        </w:rPr>
        <w:br/>
      </w:r>
      <w:r w:rsidRPr="00C903F8">
        <w:rPr>
          <w:i/>
          <w:noProof/>
          <w:lang w:val="en-US"/>
        </w:rPr>
        <w:t>Power supply to other craft</w:t>
      </w:r>
      <w:bookmarkEnd w:id="97"/>
    </w:p>
    <w:p w:rsidR="00651EFD" w:rsidRPr="00C903F8" w:rsidRDefault="00651EFD" w:rsidP="008A12E7">
      <w:pPr>
        <w:rPr>
          <w:rFonts w:cs="Arial"/>
          <w:noProof/>
          <w:szCs w:val="20"/>
          <w:lang w:val="en-US"/>
        </w:rPr>
      </w:pPr>
    </w:p>
    <w:p w:rsidR="001F02E6" w:rsidRPr="008F6ABB" w:rsidRDefault="001F02E6" w:rsidP="001F02E6">
      <w:pPr>
        <w:pStyle w:val="ESch"/>
        <w:rPr>
          <w:rFonts w:eastAsia="Calibri"/>
          <w:strike/>
          <w:lang w:val="en-GB"/>
        </w:rPr>
      </w:pPr>
      <w:r w:rsidRPr="008F6ABB">
        <w:rPr>
          <w:lang w:val="en-GB"/>
        </w:rPr>
        <w:t>1.</w:t>
      </w:r>
      <w:r w:rsidRPr="008F6ABB">
        <w:rPr>
          <w:lang w:val="en-GB"/>
        </w:rPr>
        <w:tab/>
        <w:t xml:space="preserve">When power is applied to other </w:t>
      </w:r>
      <w:r>
        <w:rPr>
          <w:lang w:val="en-GB"/>
        </w:rPr>
        <w:t>craft</w:t>
      </w:r>
      <w:r w:rsidRPr="008F6ABB">
        <w:rPr>
          <w:lang w:val="en-GB"/>
        </w:rPr>
        <w:t xml:space="preserve">, a separate connection must exist. </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2.</w:t>
      </w:r>
      <w:r w:rsidRPr="008F6ABB">
        <w:rPr>
          <w:lang w:val="en-GB"/>
        </w:rPr>
        <w:tab/>
        <w:t xml:space="preserve">Article 10.08(2) and (4) to (9) shall apply </w:t>
      </w:r>
      <w:r w:rsidRPr="008F6ABB">
        <w:rPr>
          <w:i/>
          <w:lang w:val="en-GB"/>
        </w:rPr>
        <w:t>mutatis mutandis</w:t>
      </w:r>
      <w:r w:rsidRPr="008F6ABB">
        <w:rPr>
          <w:lang w:val="en-GB"/>
        </w:rPr>
        <w:t>.</w:t>
      </w:r>
    </w:p>
    <w:p w:rsidR="008A12E7" w:rsidRPr="001F02E6" w:rsidRDefault="008A12E7" w:rsidP="00253FD8">
      <w:pPr>
        <w:pStyle w:val="ESch"/>
        <w:rPr>
          <w:lang w:val="en-GB"/>
        </w:rPr>
      </w:pPr>
    </w:p>
    <w:p w:rsidR="00651EFD" w:rsidRPr="00C903F8" w:rsidRDefault="00651EFD" w:rsidP="008A12E7">
      <w:pPr>
        <w:rPr>
          <w:rFonts w:cs="Arial"/>
          <w:szCs w:val="20"/>
          <w:lang w:val="en-US"/>
        </w:rPr>
      </w:pPr>
    </w:p>
    <w:p w:rsidR="008A12E7" w:rsidRPr="00C903F8" w:rsidRDefault="008A12E7" w:rsidP="00651EFD">
      <w:pPr>
        <w:pStyle w:val="ES-Titre3"/>
        <w:rPr>
          <w:lang w:val="en-US"/>
        </w:rPr>
      </w:pPr>
      <w:bookmarkStart w:id="98" w:name="_Toc491854087"/>
      <w:r w:rsidRPr="00C903F8">
        <w:rPr>
          <w:noProof/>
          <w:lang w:val="en-US"/>
        </w:rPr>
        <w:t>Article 10.10</w:t>
      </w:r>
      <w:r w:rsidRPr="00C903F8">
        <w:rPr>
          <w:noProof/>
          <w:lang w:val="en-US"/>
        </w:rPr>
        <w:br/>
      </w:r>
      <w:r w:rsidR="001F02E6" w:rsidRPr="00F90337">
        <w:rPr>
          <w:i/>
          <w:lang w:val="en-GB"/>
        </w:rPr>
        <w:t>Generators, engines and transformers</w:t>
      </w:r>
      <w:bookmarkEnd w:id="98"/>
    </w:p>
    <w:p w:rsidR="00651EFD" w:rsidRPr="00C903F8" w:rsidRDefault="00651EFD" w:rsidP="008A12E7">
      <w:pPr>
        <w:rPr>
          <w:rFonts w:cs="Arial"/>
          <w:noProof/>
          <w:szCs w:val="20"/>
          <w:lang w:val="en-US"/>
        </w:rPr>
      </w:pPr>
    </w:p>
    <w:p w:rsidR="001F02E6" w:rsidRPr="008F6ABB" w:rsidRDefault="001F02E6" w:rsidP="001F02E6">
      <w:pPr>
        <w:pStyle w:val="ESch"/>
        <w:rPr>
          <w:rFonts w:eastAsia="Calibri"/>
          <w:lang w:val="en-GB"/>
        </w:rPr>
      </w:pPr>
      <w:r w:rsidRPr="008F6ABB">
        <w:rPr>
          <w:lang w:val="en-GB"/>
        </w:rPr>
        <w:t>1.</w:t>
      </w:r>
      <w:r w:rsidRPr="008F6ABB">
        <w:rPr>
          <w:lang w:val="en-GB"/>
        </w:rPr>
        <w:tab/>
        <w:t>Generators driven by the main engine, the propeller shaft or by an auxiliary set intended for another function shall be designed as a function of the range of rotational speeds which can occur during operation.</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2.</w:t>
      </w:r>
      <w:r w:rsidRPr="008F6ABB">
        <w:rPr>
          <w:lang w:val="en-GB"/>
        </w:rPr>
        <w:tab/>
        <w:t>Transformers must be installed in well-ventilated locations or in well-ventilated rooms.</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3.</w:t>
      </w:r>
      <w:r w:rsidRPr="008F6ABB">
        <w:rPr>
          <w:lang w:val="en-GB"/>
        </w:rPr>
        <w:tab/>
        <w:t>Primary and secondary windings of transformers shall be executed in an electrically isolated manner. Autotransformers are excluded hereof.</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4.</w:t>
      </w:r>
      <w:r w:rsidRPr="008F6ABB">
        <w:rPr>
          <w:lang w:val="en-GB"/>
        </w:rPr>
        <w:tab/>
        <w:t>Corresponding tappings of the nominal voltage shall be provided for setting the secondary voltage of transformers. Autotransformers are excluded hereof.</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5.</w:t>
      </w:r>
      <w:r w:rsidRPr="008F6ABB">
        <w:rPr>
          <w:lang w:val="en-GB"/>
        </w:rPr>
        <w:tab/>
        <w:t>Engines, generators, and transformers shall be provided by the manufacturer with a plate, which in addition to the company name, the machine's serial number and the rated power must contain the essential rating data.</w:t>
      </w:r>
    </w:p>
    <w:p w:rsidR="008A12E7" w:rsidRPr="001F02E6" w:rsidRDefault="008A12E7" w:rsidP="008A12E7">
      <w:pPr>
        <w:rPr>
          <w:rFonts w:cs="Arial"/>
          <w:szCs w:val="20"/>
          <w:lang w:val="en-GB"/>
        </w:rPr>
      </w:pPr>
    </w:p>
    <w:p w:rsidR="00AB2818" w:rsidRDefault="00AB2818">
      <w:pPr>
        <w:autoSpaceDE/>
        <w:autoSpaceDN/>
        <w:ind w:left="0" w:firstLine="0"/>
        <w:jc w:val="left"/>
        <w:rPr>
          <w:rFonts w:cs="Arial"/>
          <w:szCs w:val="20"/>
          <w:lang w:val="en-US"/>
        </w:rPr>
      </w:pPr>
      <w:r>
        <w:rPr>
          <w:rFonts w:cs="Arial"/>
          <w:szCs w:val="20"/>
          <w:lang w:val="en-US"/>
        </w:rPr>
        <w:br w:type="page"/>
      </w:r>
    </w:p>
    <w:p w:rsidR="00651EFD" w:rsidRPr="00C903F8" w:rsidRDefault="00651EFD" w:rsidP="008A12E7">
      <w:pPr>
        <w:rPr>
          <w:rFonts w:cs="Arial"/>
          <w:szCs w:val="20"/>
          <w:lang w:val="en-US"/>
        </w:rPr>
      </w:pPr>
    </w:p>
    <w:p w:rsidR="008A12E7" w:rsidRPr="00C903F8" w:rsidRDefault="008A12E7" w:rsidP="00651EFD">
      <w:pPr>
        <w:pStyle w:val="ES-Titre3"/>
        <w:rPr>
          <w:lang w:val="en-US"/>
        </w:rPr>
      </w:pPr>
      <w:bookmarkStart w:id="99" w:name="_Toc491854088"/>
      <w:r w:rsidRPr="00C903F8">
        <w:rPr>
          <w:noProof/>
          <w:lang w:val="en-US"/>
        </w:rPr>
        <w:t>Article 10.11</w:t>
      </w:r>
      <w:r w:rsidRPr="00C903F8">
        <w:rPr>
          <w:noProof/>
          <w:lang w:val="en-US"/>
        </w:rPr>
        <w:br/>
      </w:r>
      <w:r w:rsidR="001F02E6" w:rsidRPr="00F90337">
        <w:rPr>
          <w:i/>
          <w:lang w:val="en-GB"/>
        </w:rPr>
        <w:t>Batteries, Accumulators and their charging devices</w:t>
      </w:r>
      <w:bookmarkEnd w:id="99"/>
    </w:p>
    <w:p w:rsidR="00651EFD" w:rsidRPr="00C903F8" w:rsidRDefault="00651EFD" w:rsidP="008A12E7">
      <w:pPr>
        <w:rPr>
          <w:rFonts w:cs="Arial"/>
          <w:noProof/>
          <w:szCs w:val="20"/>
          <w:lang w:val="en-US"/>
        </w:rPr>
      </w:pPr>
    </w:p>
    <w:p w:rsidR="001F02E6" w:rsidRPr="008F6ABB" w:rsidRDefault="001F02E6" w:rsidP="001F02E6">
      <w:pPr>
        <w:pStyle w:val="ESch"/>
        <w:rPr>
          <w:rFonts w:eastAsia="Calibri"/>
          <w:lang w:val="en-GB"/>
        </w:rPr>
      </w:pPr>
      <w:r w:rsidRPr="008F6ABB">
        <w:rPr>
          <w:lang w:val="en-GB"/>
        </w:rPr>
        <w:t>1.</w:t>
      </w:r>
      <w:r w:rsidRPr="008F6ABB">
        <w:rPr>
          <w:lang w:val="en-GB"/>
        </w:rPr>
        <w:tab/>
      </w:r>
      <w:r w:rsidRPr="001717EA">
        <w:rPr>
          <w:lang w:val="en-GB"/>
        </w:rPr>
        <w:t>Accumulators</w:t>
      </w:r>
      <w:r w:rsidRPr="008F6ABB">
        <w:rPr>
          <w:lang w:val="en-GB"/>
        </w:rPr>
        <w:t xml:space="preserve"> shall be accessible and so arranged as not to shift with movements of the </w:t>
      </w:r>
      <w:r>
        <w:rPr>
          <w:lang w:val="en-GB"/>
        </w:rPr>
        <w:t>craft</w:t>
      </w:r>
      <w:r w:rsidRPr="008F6ABB">
        <w:rPr>
          <w:lang w:val="en-GB"/>
        </w:rPr>
        <w:t>. They shall not be placed where they will be exposed to excessive heat, extreme cold, spray, steam or vapour.</w:t>
      </w:r>
    </w:p>
    <w:p w:rsidR="001F02E6" w:rsidRPr="001717EA"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306D9A">
        <w:rPr>
          <w:lang w:val="en-GB"/>
        </w:rPr>
        <w:t>2.</w:t>
      </w:r>
      <w:r w:rsidRPr="00306D9A">
        <w:rPr>
          <w:lang w:val="en-GB"/>
        </w:rPr>
        <w:tab/>
        <w:t xml:space="preserve">Accumulators shall not be installed in the wheelhouse, accommodation </w:t>
      </w:r>
      <w:r w:rsidRPr="00097827">
        <w:rPr>
          <w:lang w:val="en-GB"/>
        </w:rPr>
        <w:t>lounges</w:t>
      </w:r>
      <w:r w:rsidRPr="00306D9A">
        <w:rPr>
          <w:lang w:val="en-GB"/>
        </w:rPr>
        <w:t xml:space="preserve"> and </w:t>
      </w:r>
      <w:r w:rsidRPr="00097827">
        <w:rPr>
          <w:lang w:val="en-GB"/>
        </w:rPr>
        <w:t>holds</w:t>
      </w:r>
      <w:r w:rsidRPr="00306D9A">
        <w:rPr>
          <w:lang w:val="en-GB"/>
        </w:rPr>
        <w:t xml:space="preserve"> </w:t>
      </w:r>
      <w:r w:rsidRPr="00097827">
        <w:rPr>
          <w:lang w:val="en-GB"/>
        </w:rPr>
        <w:t>and in the case of passenger vessels in passenger rooms, cabins and galleys</w:t>
      </w:r>
      <w:r w:rsidRPr="00306D9A">
        <w:rPr>
          <w:lang w:val="en-GB"/>
        </w:rPr>
        <w:t>.</w:t>
      </w:r>
      <w:r w:rsidRPr="00C4681D">
        <w:rPr>
          <w:lang w:val="en-GB"/>
        </w:rPr>
        <w:t xml:space="preserve"> The first sentence shall not apply for accumulators:</w:t>
      </w:r>
    </w:p>
    <w:p w:rsidR="001F02E6" w:rsidRPr="008F6ABB" w:rsidRDefault="001F02E6" w:rsidP="001F02E6">
      <w:pPr>
        <w:pStyle w:val="ESlet"/>
        <w:rPr>
          <w:rFonts w:eastAsia="Calibri"/>
          <w:lang w:val="en-GB"/>
        </w:rPr>
      </w:pPr>
      <w:r w:rsidRPr="008F6ABB">
        <w:rPr>
          <w:lang w:val="en-GB"/>
        </w:rPr>
        <w:t>a)</w:t>
      </w:r>
      <w:r w:rsidRPr="008F6ABB">
        <w:rPr>
          <w:lang w:val="en-GB"/>
        </w:rPr>
        <w:tab/>
        <w:t xml:space="preserve">in mobile equipment; </w:t>
      </w:r>
      <w:r>
        <w:rPr>
          <w:lang w:val="en-GB"/>
        </w:rPr>
        <w:t>or</w:t>
      </w:r>
    </w:p>
    <w:p w:rsidR="001F02E6" w:rsidRPr="008F6ABB" w:rsidRDefault="001F02E6" w:rsidP="001F02E6">
      <w:pPr>
        <w:pStyle w:val="ESlet"/>
        <w:rPr>
          <w:rFonts w:eastAsia="Calibri"/>
          <w:lang w:val="en-GB"/>
        </w:rPr>
      </w:pPr>
      <w:r w:rsidRPr="008F6ABB">
        <w:rPr>
          <w:lang w:val="en-GB"/>
        </w:rPr>
        <w:t>b)</w:t>
      </w:r>
      <w:r w:rsidRPr="008F6ABB">
        <w:rPr>
          <w:lang w:val="en-GB"/>
        </w:rPr>
        <w:tab/>
        <w:t>with charging power of less than 0,2 kW</w:t>
      </w:r>
      <w:r>
        <w:rPr>
          <w:lang w:val="en-GB"/>
        </w:rPr>
        <w:t>.</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3.</w:t>
      </w:r>
      <w:r w:rsidRPr="008F6ABB">
        <w:rPr>
          <w:lang w:val="en-GB"/>
        </w:rPr>
        <w:tab/>
        <w:t>Accumulators requiring a charging power of more than 2,0 kW shall be installed in a special room. If placed on deck, they may also be enclosed in a cupboard. If gas can escape from accumulators, this room or cupboard must be mechanically ventilated to the open deck (supply and exhaust air).</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Pr>
          <w:lang w:val="en-GB"/>
        </w:rPr>
        <w:t>4.</w:t>
      </w:r>
      <w:r w:rsidRPr="008F6ABB">
        <w:rPr>
          <w:lang w:val="en-GB"/>
        </w:rPr>
        <w:tab/>
        <w:t>The charging power is calculated on the basis of the maximum charging current and the nominal voltage of the accumulator, taking into account the characteristic charging curves of the charging device.</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Pr>
          <w:lang w:val="en-GB"/>
        </w:rPr>
        <w:t>5</w:t>
      </w:r>
      <w:r w:rsidRPr="008F6ABB">
        <w:rPr>
          <w:lang w:val="en-GB"/>
        </w:rPr>
        <w:t>.</w:t>
      </w:r>
      <w:r w:rsidRPr="008F6ABB">
        <w:rPr>
          <w:lang w:val="en-GB"/>
        </w:rPr>
        <w:tab/>
        <w:t xml:space="preserve">Accumulators requiring a charging power not exceeding 2,0 kW may also be installed below decks in a cupboard or chest. They may also be installed </w:t>
      </w:r>
      <w:r>
        <w:rPr>
          <w:lang w:val="en-GB"/>
        </w:rPr>
        <w:t xml:space="preserve">without casing </w:t>
      </w:r>
      <w:r w:rsidRPr="008F6ABB">
        <w:rPr>
          <w:lang w:val="en-GB"/>
        </w:rPr>
        <w:t>in an engine room, electrical service room or any other well-ventilated place provided that they are protected against falling objects and dripping water.</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Pr>
          <w:lang w:val="en-GB"/>
        </w:rPr>
        <w:t>6</w:t>
      </w:r>
      <w:r w:rsidRPr="008F6ABB">
        <w:rPr>
          <w:lang w:val="en-GB"/>
        </w:rPr>
        <w:t>.</w:t>
      </w:r>
      <w:r w:rsidRPr="008F6ABB">
        <w:rPr>
          <w:lang w:val="en-GB"/>
        </w:rPr>
        <w:tab/>
        <w:t>The interior surfaces of all rooms, cupboards or chests, as well as shelving or other components intended for accumulators shall be protected against the harmful effects of the electrolyte.</w:t>
      </w:r>
    </w:p>
    <w:p w:rsidR="001F02E6" w:rsidRDefault="001F02E6" w:rsidP="001F02E6">
      <w:pPr>
        <w:pStyle w:val="ESch"/>
        <w:rPr>
          <w:rFonts w:eastAsia="Calibri"/>
          <w:lang w:val="en-GB"/>
        </w:rPr>
      </w:pPr>
    </w:p>
    <w:p w:rsidR="001F02E6" w:rsidRPr="008F6ABB" w:rsidRDefault="001F02E6" w:rsidP="001F02E6">
      <w:pPr>
        <w:pStyle w:val="ESch"/>
        <w:rPr>
          <w:rFonts w:eastAsia="Calibri"/>
          <w:lang w:val="en-GB"/>
        </w:rPr>
      </w:pPr>
      <w:r>
        <w:rPr>
          <w:lang w:val="en-GB"/>
        </w:rPr>
        <w:t>7</w:t>
      </w:r>
      <w:r w:rsidRPr="008F6ABB">
        <w:rPr>
          <w:lang w:val="en-GB"/>
        </w:rPr>
        <w:t>.</w:t>
      </w:r>
      <w:r w:rsidRPr="008F6ABB">
        <w:rPr>
          <w:lang w:val="en-GB"/>
        </w:rPr>
        <w:tab/>
        <w:t xml:space="preserve">Provision shall be made for effective ventilation when accumulators are installed in a closed room, cupboard or chest. Mechanical ventilation shall be provided for charging power of more than </w:t>
      </w:r>
    </w:p>
    <w:p w:rsidR="001F02E6" w:rsidRPr="008F6ABB" w:rsidRDefault="001F02E6" w:rsidP="001F02E6">
      <w:pPr>
        <w:pStyle w:val="ESlet"/>
        <w:rPr>
          <w:rFonts w:eastAsia="Calibri"/>
          <w:lang w:val="en-GB"/>
        </w:rPr>
      </w:pPr>
      <w:r w:rsidRPr="008F6ABB">
        <w:rPr>
          <w:lang w:val="en-GB"/>
        </w:rPr>
        <w:t>a)</w:t>
      </w:r>
      <w:r w:rsidRPr="008F6ABB">
        <w:rPr>
          <w:lang w:val="en-GB"/>
        </w:rPr>
        <w:tab/>
        <w:t>2,0 kW for nickel-cadmium accumulators;</w:t>
      </w:r>
    </w:p>
    <w:p w:rsidR="001F02E6" w:rsidRPr="008F6ABB" w:rsidRDefault="001F02E6" w:rsidP="001F02E6">
      <w:pPr>
        <w:pStyle w:val="ESlet"/>
        <w:rPr>
          <w:rFonts w:eastAsia="Calibri"/>
          <w:lang w:val="en-GB"/>
        </w:rPr>
      </w:pPr>
      <w:r w:rsidRPr="008F6ABB">
        <w:rPr>
          <w:lang w:val="en-GB"/>
        </w:rPr>
        <w:t>b)</w:t>
      </w:r>
      <w:r w:rsidRPr="008F6ABB">
        <w:rPr>
          <w:lang w:val="en-GB"/>
        </w:rPr>
        <w:tab/>
        <w:t>3,0 kW for lead accumulators.</w:t>
      </w:r>
    </w:p>
    <w:p w:rsidR="001F02E6" w:rsidRPr="008F6ABB" w:rsidRDefault="001F02E6" w:rsidP="001F02E6">
      <w:pPr>
        <w:pStyle w:val="ESchpar"/>
        <w:rPr>
          <w:rFonts w:eastAsia="Calibri"/>
          <w:lang w:val="en-GB"/>
        </w:rPr>
      </w:pPr>
    </w:p>
    <w:p w:rsidR="001F02E6" w:rsidRPr="008F6ABB" w:rsidRDefault="001F02E6" w:rsidP="001F02E6">
      <w:pPr>
        <w:pStyle w:val="ESchpar"/>
        <w:rPr>
          <w:rFonts w:eastAsia="Calibri"/>
          <w:lang w:val="en-GB"/>
        </w:rPr>
      </w:pPr>
      <w:r w:rsidRPr="008F6ABB">
        <w:rPr>
          <w:lang w:val="en-GB"/>
        </w:rPr>
        <w:t xml:space="preserve">The air shall enter at the bottom and be discharged at the top so that a total evacuation of gases is ensured. </w:t>
      </w:r>
    </w:p>
    <w:p w:rsidR="001F02E6" w:rsidRPr="008F6ABB" w:rsidRDefault="001F02E6" w:rsidP="001F02E6">
      <w:pPr>
        <w:pStyle w:val="ESchpar"/>
        <w:rPr>
          <w:rFonts w:eastAsia="Calibri"/>
          <w:lang w:val="en-GB"/>
        </w:rPr>
      </w:pPr>
    </w:p>
    <w:p w:rsidR="001F02E6" w:rsidRPr="008F6ABB" w:rsidRDefault="001F02E6" w:rsidP="001F02E6">
      <w:pPr>
        <w:pStyle w:val="ESchpar"/>
        <w:rPr>
          <w:rFonts w:eastAsia="Calibri"/>
          <w:lang w:val="en-GB"/>
        </w:rPr>
      </w:pPr>
      <w:r w:rsidRPr="008F6ABB">
        <w:rPr>
          <w:lang w:val="en-GB"/>
        </w:rPr>
        <w:t>Ventilation ducts shall not include devices which obstruct the air flow such as stop valves.</w:t>
      </w:r>
    </w:p>
    <w:p w:rsidR="001F02E6" w:rsidRPr="008F6ABB" w:rsidRDefault="001F02E6" w:rsidP="001F02E6">
      <w:pPr>
        <w:pStyle w:val="ESch"/>
        <w:rPr>
          <w:rFonts w:eastAsia="Calibri"/>
          <w:lang w:val="en-GB"/>
        </w:rPr>
      </w:pPr>
    </w:p>
    <w:p w:rsidR="001F02E6" w:rsidRPr="008F6ABB" w:rsidRDefault="001F02E6" w:rsidP="001F02E6">
      <w:pPr>
        <w:pStyle w:val="ESch"/>
        <w:spacing w:after="120"/>
        <w:rPr>
          <w:rFonts w:eastAsia="Calibri"/>
          <w:lang w:val="en-GB"/>
        </w:rPr>
      </w:pPr>
      <w:r>
        <w:rPr>
          <w:lang w:val="en-GB"/>
        </w:rPr>
        <w:t>8</w:t>
      </w:r>
      <w:r w:rsidRPr="008F6ABB">
        <w:rPr>
          <w:lang w:val="en-GB"/>
        </w:rPr>
        <w:t>.</w:t>
      </w:r>
      <w:r w:rsidRPr="008F6ABB">
        <w:rPr>
          <w:lang w:val="en-GB"/>
        </w:rPr>
        <w:tab/>
        <w:t>The required air throughput (</w:t>
      </w:r>
      <m:oMath>
        <m:r>
          <w:rPr>
            <w:rFonts w:ascii="Cambria Math" w:hAnsi="Cambria Math"/>
            <w:lang w:val="en-GB"/>
          </w:rPr>
          <m:t>Q</m:t>
        </m:r>
      </m:oMath>
      <w:r w:rsidRPr="008F6ABB">
        <w:rPr>
          <w:lang w:val="en-GB"/>
        </w:rPr>
        <w:t>) shall be calculated by the following formula:</w:t>
      </w:r>
    </w:p>
    <w:p w:rsidR="001F02E6" w:rsidRPr="008F6ABB" w:rsidRDefault="001F02E6" w:rsidP="001F02E6">
      <w:pPr>
        <w:pStyle w:val="ESch"/>
        <w:jc w:val="center"/>
        <w:rPr>
          <w:lang w:val="en-GB"/>
        </w:rPr>
      </w:pPr>
      <m:oMath>
        <m:r>
          <w:rPr>
            <w:rFonts w:ascii="Cambria Math" w:hAnsi="Cambria Math"/>
            <w:lang w:val="en-GB"/>
          </w:rPr>
          <m:t>Q=f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gas</m:t>
            </m:r>
          </m:sub>
        </m:sSub>
        <m:r>
          <w:rPr>
            <w:rFonts w:ascii="Cambria Math" w:hAnsi="Cambria Math"/>
            <w:lang w:val="en-GB"/>
          </w:rPr>
          <m:t xml:space="preserve"> ∙n </m:t>
        </m:r>
        <m:d>
          <m:dPr>
            <m:begChr m:val="["/>
            <m:endChr m:val="]"/>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3</m:t>
                </m:r>
              </m:sup>
            </m:sSup>
            <m:r>
              <w:rPr>
                <w:rFonts w:ascii="Cambria Math" w:hAnsi="Cambria Math"/>
                <w:lang w:val="en-GB"/>
              </w:rPr>
              <m:t>/h</m:t>
            </m:r>
          </m:e>
        </m:d>
      </m:oMath>
      <w:r w:rsidRPr="008F6ABB">
        <w:rPr>
          <w:lang w:val="en-GB"/>
        </w:rPr>
        <w:t>.</w:t>
      </w:r>
    </w:p>
    <w:p w:rsidR="001F02E6" w:rsidRPr="008F6ABB" w:rsidRDefault="001F02E6" w:rsidP="001F02E6">
      <w:pPr>
        <w:pStyle w:val="ESchpar"/>
        <w:rPr>
          <w:rFonts w:eastAsia="Calibri"/>
          <w:lang w:val="en-GB"/>
        </w:rPr>
      </w:pPr>
      <w:r w:rsidRPr="008F6ABB">
        <w:rPr>
          <w:lang w:val="en-GB"/>
        </w:rPr>
        <w:t>where</w:t>
      </w:r>
    </w:p>
    <w:p w:rsidR="001F02E6" w:rsidRPr="008F6ABB" w:rsidRDefault="001F02E6" w:rsidP="001F02E6">
      <w:pPr>
        <w:pStyle w:val="ESlet"/>
        <w:ind w:left="1276" w:hanging="709"/>
        <w:rPr>
          <w:rFonts w:eastAsia="Calibri"/>
          <w:lang w:val="en-GB"/>
        </w:rPr>
      </w:pPr>
      <m:oMath>
        <m:r>
          <w:rPr>
            <w:rFonts w:ascii="Cambria Math" w:eastAsia="Calibri" w:hAnsi="Cambria Math"/>
            <w:lang w:val="en-GB"/>
          </w:rPr>
          <m:t>f</m:t>
        </m:r>
      </m:oMath>
      <w:r w:rsidRPr="008F6ABB">
        <w:rPr>
          <w:lang w:val="en-GB"/>
        </w:rPr>
        <w:t xml:space="preserve"> =</w:t>
      </w:r>
      <w:r w:rsidRPr="008F6ABB">
        <w:rPr>
          <w:lang w:val="en-GB"/>
        </w:rPr>
        <w:tab/>
        <w:t>0,11 for accumulators with liquid electrolytes;</w:t>
      </w:r>
    </w:p>
    <w:p w:rsidR="001F02E6" w:rsidRPr="008F6ABB" w:rsidRDefault="001F02E6" w:rsidP="001F02E6">
      <w:pPr>
        <w:pStyle w:val="ESlet"/>
        <w:ind w:left="1276" w:hanging="709"/>
        <w:rPr>
          <w:rFonts w:eastAsia="Calibri"/>
          <w:lang w:val="en-GB"/>
        </w:rPr>
      </w:pPr>
      <m:oMath>
        <m:r>
          <w:rPr>
            <w:rFonts w:ascii="Cambria Math" w:eastAsia="Calibri" w:hAnsi="Cambria Math"/>
            <w:lang w:val="en-GB"/>
          </w:rPr>
          <m:t>f</m:t>
        </m:r>
      </m:oMath>
      <w:r w:rsidRPr="008F6ABB">
        <w:rPr>
          <w:lang w:val="en-GB"/>
        </w:rPr>
        <w:t xml:space="preserve"> =</w:t>
      </w:r>
      <w:r w:rsidRPr="008F6ABB">
        <w:rPr>
          <w:lang w:val="en-GB"/>
        </w:rPr>
        <w:tab/>
        <w:t>0,03 for accumulators with enclosed cells (electrolyte immobilised in gel, non-woven fibrous material);</w:t>
      </w:r>
    </w:p>
    <w:p w:rsidR="001F02E6" w:rsidRPr="008F6ABB" w:rsidRDefault="00F12BAF" w:rsidP="001F02E6">
      <w:pPr>
        <w:pStyle w:val="ESlet"/>
        <w:ind w:left="1276" w:hanging="709"/>
        <w:rPr>
          <w:rFonts w:eastAsia="Calibri"/>
          <w:lang w:val="en-GB"/>
        </w:rPr>
      </w:pP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gas</m:t>
            </m:r>
          </m:sub>
        </m:sSub>
      </m:oMath>
      <w:r w:rsidR="001F02E6" w:rsidRPr="008F6ABB">
        <w:rPr>
          <w:lang w:val="en-GB"/>
        </w:rPr>
        <w:t xml:space="preserve"> =</w:t>
      </w:r>
      <w:r w:rsidR="001F02E6" w:rsidRPr="008F6ABB">
        <w:rPr>
          <w:lang w:val="en-GB"/>
        </w:rPr>
        <w:tab/>
        <w:t>¼ of the maximum current of the charging device in A;</w:t>
      </w:r>
    </w:p>
    <w:p w:rsidR="001F02E6" w:rsidRPr="008F6ABB" w:rsidRDefault="001F02E6" w:rsidP="001F02E6">
      <w:pPr>
        <w:pStyle w:val="ESlet"/>
        <w:ind w:left="1276" w:hanging="709"/>
        <w:rPr>
          <w:rFonts w:eastAsia="Calibri"/>
          <w:lang w:val="en-GB"/>
        </w:rPr>
      </w:pPr>
      <m:oMath>
        <m:r>
          <w:rPr>
            <w:rFonts w:ascii="Cambria Math" w:eastAsia="Calibri" w:hAnsi="Cambria Math"/>
            <w:lang w:val="en-GB"/>
          </w:rPr>
          <m:t>n</m:t>
        </m:r>
      </m:oMath>
      <w:r w:rsidRPr="008F6ABB">
        <w:rPr>
          <w:lang w:val="en-GB"/>
        </w:rPr>
        <w:t xml:space="preserve"> =</w:t>
      </w:r>
      <w:r w:rsidRPr="008F6ABB">
        <w:rPr>
          <w:lang w:val="en-GB"/>
        </w:rPr>
        <w:tab/>
        <w:t>number of cells in series circuit.</w:t>
      </w:r>
    </w:p>
    <w:p w:rsidR="001F02E6" w:rsidRDefault="001F02E6" w:rsidP="001F02E6">
      <w:pPr>
        <w:pStyle w:val="ESchpar"/>
        <w:rPr>
          <w:rFonts w:eastAsia="Calibri"/>
          <w:lang w:val="en-GB"/>
        </w:rPr>
      </w:pPr>
    </w:p>
    <w:p w:rsidR="00AB2818" w:rsidRDefault="00AB2818">
      <w:pPr>
        <w:autoSpaceDE/>
        <w:autoSpaceDN/>
        <w:ind w:left="0" w:firstLine="0"/>
        <w:jc w:val="left"/>
        <w:rPr>
          <w:rFonts w:eastAsia="Calibri"/>
          <w:lang w:val="en-GB"/>
        </w:rPr>
      </w:pPr>
      <w:r>
        <w:rPr>
          <w:rFonts w:eastAsia="Calibri"/>
          <w:lang w:val="en-GB"/>
        </w:rPr>
        <w:br w:type="page"/>
      </w:r>
    </w:p>
    <w:p w:rsidR="00AB2818" w:rsidRPr="008F6ABB" w:rsidRDefault="00AB2818" w:rsidP="001F02E6">
      <w:pPr>
        <w:pStyle w:val="ESchpar"/>
        <w:rPr>
          <w:rFonts w:eastAsia="Calibri"/>
          <w:lang w:val="en-GB"/>
        </w:rPr>
      </w:pPr>
    </w:p>
    <w:p w:rsidR="001F02E6" w:rsidRPr="008F6ABB" w:rsidRDefault="001F02E6" w:rsidP="001F02E6">
      <w:pPr>
        <w:pStyle w:val="ESchpar"/>
        <w:rPr>
          <w:rFonts w:eastAsia="Calibri"/>
          <w:lang w:val="en-GB"/>
        </w:rPr>
      </w:pPr>
      <w:r w:rsidRPr="008F6ABB">
        <w:rPr>
          <w:lang w:val="en-GB"/>
        </w:rPr>
        <w:t>In the case of buffer accumulators of the onboard network, other methods of calculation taking into account the characteristic charging curve of the charging devices may be accepted by the inspection body, provided that these methods are based on the provisions of recognised classification societies or on relevant standards.</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Pr>
          <w:lang w:val="en-GB"/>
        </w:rPr>
        <w:t>9</w:t>
      </w:r>
      <w:r w:rsidRPr="008F6ABB">
        <w:rPr>
          <w:lang w:val="en-GB"/>
        </w:rPr>
        <w:t>.</w:t>
      </w:r>
      <w:r w:rsidRPr="008F6ABB">
        <w:rPr>
          <w:lang w:val="en-GB"/>
        </w:rPr>
        <w:tab/>
        <w:t>Where natural ventilation is used, the cross-section of the air ducts shall be sufficient for the required air throughput on the basis of an air flow velocity of 0,5 m/s. However, the cross section shall have a minimum value of</w:t>
      </w:r>
    </w:p>
    <w:p w:rsidR="001F02E6" w:rsidRPr="008F6ABB" w:rsidRDefault="001F02E6" w:rsidP="001F02E6">
      <w:pPr>
        <w:pStyle w:val="ESlet"/>
        <w:rPr>
          <w:rFonts w:eastAsia="Calibri"/>
          <w:lang w:val="en-GB"/>
        </w:rPr>
      </w:pPr>
      <w:r w:rsidRPr="008F6ABB">
        <w:rPr>
          <w:lang w:val="en-GB"/>
        </w:rPr>
        <w:t>a)</w:t>
      </w:r>
      <w:r w:rsidRPr="008F6ABB">
        <w:rPr>
          <w:lang w:val="en-GB"/>
        </w:rPr>
        <w:tab/>
        <w:t>80 cm</w:t>
      </w:r>
      <w:r w:rsidRPr="008F6ABB">
        <w:rPr>
          <w:vertAlign w:val="superscript"/>
          <w:lang w:val="en-GB"/>
        </w:rPr>
        <w:t>2</w:t>
      </w:r>
      <w:r w:rsidRPr="008F6ABB">
        <w:rPr>
          <w:lang w:val="en-GB"/>
        </w:rPr>
        <w:t xml:space="preserve"> for lead accumulators;</w:t>
      </w:r>
    </w:p>
    <w:p w:rsidR="001F02E6" w:rsidRPr="008F6ABB" w:rsidRDefault="001F02E6" w:rsidP="001F02E6">
      <w:pPr>
        <w:pStyle w:val="ESlet"/>
        <w:rPr>
          <w:rFonts w:eastAsia="Calibri"/>
          <w:lang w:val="en-GB"/>
        </w:rPr>
      </w:pPr>
      <w:r w:rsidRPr="008F6ABB">
        <w:rPr>
          <w:lang w:val="en-GB"/>
        </w:rPr>
        <w:t>b)</w:t>
      </w:r>
      <w:r w:rsidRPr="008F6ABB">
        <w:rPr>
          <w:lang w:val="en-GB"/>
        </w:rPr>
        <w:tab/>
        <w:t>120 cm</w:t>
      </w:r>
      <w:r w:rsidRPr="008F6ABB">
        <w:rPr>
          <w:vertAlign w:val="superscript"/>
          <w:lang w:val="en-GB"/>
        </w:rPr>
        <w:t>2</w:t>
      </w:r>
      <w:r w:rsidRPr="008F6ABB">
        <w:rPr>
          <w:lang w:val="en-GB"/>
        </w:rPr>
        <w:t xml:space="preserve"> for nickel-cadmium accumulators.</w:t>
      </w:r>
    </w:p>
    <w:p w:rsidR="001F02E6" w:rsidRPr="008F6ABB" w:rsidRDefault="001F02E6" w:rsidP="001F02E6">
      <w:pPr>
        <w:spacing w:line="240" w:lineRule="atLeast"/>
        <w:ind w:left="567" w:hanging="567"/>
        <w:rPr>
          <w:rFonts w:eastAsia="Calibri" w:cs="Arial"/>
          <w:szCs w:val="20"/>
          <w:lang w:val="en-GB"/>
        </w:rPr>
      </w:pPr>
    </w:p>
    <w:p w:rsidR="001F02E6" w:rsidRPr="008F6ABB" w:rsidRDefault="001F02E6" w:rsidP="001F02E6">
      <w:pPr>
        <w:pStyle w:val="ESch"/>
        <w:rPr>
          <w:rFonts w:eastAsia="Calibri" w:cs="Arial"/>
          <w:lang w:val="en-GB"/>
        </w:rPr>
      </w:pPr>
      <w:r>
        <w:rPr>
          <w:lang w:val="en-GB"/>
        </w:rPr>
        <w:t>10</w:t>
      </w:r>
      <w:r w:rsidRPr="008F6ABB">
        <w:rPr>
          <w:lang w:val="en-GB"/>
        </w:rPr>
        <w:t>.</w:t>
      </w:r>
      <w:r w:rsidRPr="008F6ABB">
        <w:rPr>
          <w:lang w:val="en-GB"/>
        </w:rPr>
        <w:tab/>
        <w:t>Where mechanical ventilation is used, a fan shall be provided, preferably with an exhauster device; its motor shall be clear of the gas stream and the air stream. Fans shall be of a construction precluding the production of sparks through contact between a blade and the fan casing and shall avoid any electrostatic charges.</w:t>
      </w:r>
    </w:p>
    <w:p w:rsidR="001F02E6" w:rsidRPr="008F6ABB" w:rsidRDefault="001F02E6" w:rsidP="001F02E6">
      <w:pPr>
        <w:pStyle w:val="ESch"/>
        <w:rPr>
          <w:rFonts w:eastAsia="Calibri"/>
          <w:lang w:val="en-GB"/>
        </w:rPr>
      </w:pPr>
    </w:p>
    <w:p w:rsidR="001F02E6" w:rsidRPr="008F6ABB" w:rsidRDefault="001F02E6" w:rsidP="001F02E6">
      <w:pPr>
        <w:spacing w:line="240" w:lineRule="atLeast"/>
        <w:ind w:left="567" w:hanging="567"/>
        <w:rPr>
          <w:rFonts w:eastAsia="Calibri" w:cs="Arial"/>
          <w:szCs w:val="20"/>
          <w:lang w:val="en-GB"/>
        </w:rPr>
      </w:pPr>
      <w:r>
        <w:rPr>
          <w:szCs w:val="20"/>
          <w:lang w:val="en-GB"/>
        </w:rPr>
        <w:t>11</w:t>
      </w:r>
      <w:r w:rsidRPr="008F6ABB">
        <w:rPr>
          <w:szCs w:val="20"/>
          <w:lang w:val="en-GB"/>
        </w:rPr>
        <w:t>.</w:t>
      </w:r>
      <w:r w:rsidRPr="008F6ABB">
        <w:rPr>
          <w:szCs w:val="20"/>
          <w:lang w:val="en-GB"/>
        </w:rPr>
        <w:tab/>
        <w:t xml:space="preserve">A symbol for </w:t>
      </w:r>
      <w:r w:rsidR="00B41586">
        <w:rPr>
          <w:szCs w:val="20"/>
          <w:lang w:val="en-GB"/>
        </w:rPr>
        <w:t>‘</w:t>
      </w:r>
      <w:r w:rsidRPr="008F6ABB">
        <w:rPr>
          <w:szCs w:val="20"/>
          <w:lang w:val="en-GB"/>
        </w:rPr>
        <w:t>Fire, naked flame and smoking prohibited</w:t>
      </w:r>
      <w:r w:rsidR="00B41586">
        <w:rPr>
          <w:szCs w:val="20"/>
          <w:lang w:val="en-GB"/>
        </w:rPr>
        <w:t>’</w:t>
      </w:r>
      <w:r w:rsidRPr="008F6ABB">
        <w:rPr>
          <w:szCs w:val="20"/>
          <w:lang w:val="en-GB"/>
        </w:rPr>
        <w:t xml:space="preserve"> in accordance with figure 2 of Annex </w:t>
      </w:r>
      <w:r>
        <w:rPr>
          <w:szCs w:val="20"/>
          <w:lang w:val="en-GB"/>
        </w:rPr>
        <w:t>4</w:t>
      </w:r>
      <w:r w:rsidRPr="008F6ABB">
        <w:rPr>
          <w:szCs w:val="20"/>
          <w:lang w:val="en-GB"/>
        </w:rPr>
        <w:t xml:space="preserve"> with a diameter of at least 10 cm shall be affixed to the doors or covers of accumulator rooms, cupboard or chest.</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Pr>
          <w:lang w:val="en-GB"/>
        </w:rPr>
        <w:t>12</w:t>
      </w:r>
      <w:r w:rsidRPr="008F6ABB">
        <w:rPr>
          <w:lang w:val="en-GB"/>
        </w:rPr>
        <w:t>.</w:t>
      </w:r>
      <w:r w:rsidRPr="008F6ABB">
        <w:rPr>
          <w:lang w:val="en-GB"/>
        </w:rPr>
        <w:tab/>
        <w:t>Charging devices must basically be designed so that discharged accumulators can be re-charged within a maximum of 15 hours to 80</w:t>
      </w:r>
      <w:r w:rsidR="0075795F">
        <w:rPr>
          <w:lang w:val="en-GB"/>
        </w:rPr>
        <w:t> </w:t>
      </w:r>
      <w:r w:rsidRPr="008F6ABB">
        <w:rPr>
          <w:lang w:val="en-GB"/>
        </w:rPr>
        <w:t>% of their nominal capacity, without exceeding the amperage of maximum permissible charge rate.</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Pr>
          <w:lang w:val="en-GB"/>
        </w:rPr>
        <w:t>13</w:t>
      </w:r>
      <w:r w:rsidRPr="008F6ABB">
        <w:rPr>
          <w:lang w:val="en-GB"/>
        </w:rPr>
        <w:t>.</w:t>
      </w:r>
      <w:r w:rsidRPr="008F6ABB">
        <w:rPr>
          <w:lang w:val="en-GB"/>
        </w:rPr>
        <w:tab/>
        <w:t>Only automatic charging devices which correspond to the charging characteristics of the accumulator type must be used.</w:t>
      </w:r>
    </w:p>
    <w:p w:rsidR="001F02E6" w:rsidRDefault="001F02E6" w:rsidP="001F02E6">
      <w:pPr>
        <w:pStyle w:val="ESch"/>
        <w:rPr>
          <w:rFonts w:eastAsia="Calibri"/>
          <w:lang w:val="en-GB"/>
        </w:rPr>
      </w:pPr>
    </w:p>
    <w:p w:rsidR="001F02E6" w:rsidRPr="008F6ABB" w:rsidRDefault="001F02E6" w:rsidP="001F02E6">
      <w:pPr>
        <w:pStyle w:val="ESch"/>
        <w:rPr>
          <w:rFonts w:eastAsia="Calibri"/>
          <w:lang w:val="en-GB"/>
        </w:rPr>
      </w:pPr>
      <w:r>
        <w:rPr>
          <w:lang w:val="en-GB"/>
        </w:rPr>
        <w:t>14.</w:t>
      </w:r>
      <w:r w:rsidRPr="008F6ABB">
        <w:rPr>
          <w:lang w:val="en-GB"/>
        </w:rPr>
        <w:tab/>
        <w:t>For the simultaneous supply of consumer equipment while charging, the power requirements of the consumer equipment must be taken into account when selecting the charger. A charging voltage of up to a maximum of 120</w:t>
      </w:r>
      <w:r w:rsidR="0075795F">
        <w:rPr>
          <w:lang w:val="en-GB"/>
        </w:rPr>
        <w:t> </w:t>
      </w:r>
      <w:r w:rsidRPr="008F6ABB">
        <w:rPr>
          <w:lang w:val="en-GB"/>
        </w:rPr>
        <w:t>% of the rated voltage must be observed irrespective of the current power requirements.</w:t>
      </w:r>
    </w:p>
    <w:p w:rsidR="001F02E6" w:rsidRDefault="001F02E6" w:rsidP="001F02E6">
      <w:pPr>
        <w:pStyle w:val="ESch"/>
        <w:rPr>
          <w:rFonts w:eastAsia="Calibri"/>
          <w:lang w:val="en-GB"/>
        </w:rPr>
      </w:pPr>
    </w:p>
    <w:p w:rsidR="001F02E6" w:rsidRPr="008F6ABB" w:rsidRDefault="001F02E6" w:rsidP="001F02E6">
      <w:pPr>
        <w:pStyle w:val="ESch"/>
        <w:rPr>
          <w:rFonts w:eastAsia="Calibri"/>
          <w:szCs w:val="20"/>
          <w:lang w:val="en-GB"/>
        </w:rPr>
      </w:pPr>
      <w:r>
        <w:rPr>
          <w:lang w:val="en-GB"/>
        </w:rPr>
        <w:t>15</w:t>
      </w:r>
      <w:r w:rsidRPr="008F6ABB">
        <w:rPr>
          <w:lang w:val="en-GB"/>
        </w:rPr>
        <w:t>.</w:t>
      </w:r>
      <w:r w:rsidRPr="008F6ABB">
        <w:rPr>
          <w:lang w:val="en-GB"/>
        </w:rPr>
        <w:tab/>
        <w:t>The requirements of European Standar</w:t>
      </w:r>
      <w:r w:rsidRPr="00C4681D">
        <w:rPr>
          <w:lang w:val="en-GB"/>
        </w:rPr>
        <w:t>d EN 62</w:t>
      </w:r>
      <w:r w:rsidRPr="00C4681D">
        <w:rPr>
          <w:szCs w:val="20"/>
          <w:lang w:val="en-GB"/>
        </w:rPr>
        <w:t xml:space="preserve">619 in the version </w:t>
      </w:r>
      <w:r>
        <w:rPr>
          <w:szCs w:val="20"/>
          <w:lang w:val="en-GB"/>
        </w:rPr>
        <w:t>in force on 6 July 2017</w:t>
      </w:r>
      <w:r w:rsidRPr="00C4681D">
        <w:rPr>
          <w:szCs w:val="20"/>
          <w:lang w:val="en-GB"/>
        </w:rPr>
        <w:t xml:space="preserve"> and EN 62620: 2015 shall apply for lithium-ion accumulators.</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Pr>
          <w:lang w:val="en-GB"/>
        </w:rPr>
        <w:t>16</w:t>
      </w:r>
      <w:r w:rsidRPr="008F6ABB">
        <w:rPr>
          <w:lang w:val="en-GB"/>
        </w:rPr>
        <w:t>.</w:t>
      </w:r>
      <w:r w:rsidRPr="008F6ABB">
        <w:rPr>
          <w:lang w:val="en-GB"/>
        </w:rPr>
        <w:tab/>
      </w:r>
      <w:r>
        <w:rPr>
          <w:lang w:val="en-GB"/>
        </w:rPr>
        <w:t>Accumulator</w:t>
      </w:r>
      <w:r w:rsidRPr="008F6ABB">
        <w:rPr>
          <w:lang w:val="en-GB"/>
        </w:rPr>
        <w:t xml:space="preserve"> management systems for monitoring the accumulators are to be used if possible. Lithium-ion accumulators must be equipped with such systems.</w:t>
      </w:r>
    </w:p>
    <w:p w:rsidR="001F02E6" w:rsidRPr="00E87BD8" w:rsidRDefault="001F02E6" w:rsidP="00AA5633">
      <w:pPr>
        <w:pStyle w:val="ESch"/>
        <w:rPr>
          <w:rFonts w:eastAsia="Calibri"/>
          <w:lang w:val="en-US"/>
        </w:rPr>
      </w:pPr>
    </w:p>
    <w:p w:rsidR="001F02E6" w:rsidRPr="008F6ABB" w:rsidRDefault="001F02E6" w:rsidP="001F02E6">
      <w:pPr>
        <w:pStyle w:val="ESchpar"/>
        <w:rPr>
          <w:rFonts w:eastAsia="Calibri"/>
          <w:lang w:val="en-GB"/>
        </w:rPr>
      </w:pPr>
      <w:r w:rsidRPr="008F6ABB">
        <w:rPr>
          <w:lang w:val="en-GB"/>
        </w:rPr>
        <w:t>These systems shall at a minimum comprise the following functionality:</w:t>
      </w:r>
    </w:p>
    <w:p w:rsidR="001F02E6" w:rsidRPr="008F6ABB" w:rsidRDefault="001F02E6" w:rsidP="001F02E6">
      <w:pPr>
        <w:pStyle w:val="ESlet"/>
        <w:rPr>
          <w:rFonts w:eastAsia="Calibri"/>
          <w:lang w:val="en-GB"/>
        </w:rPr>
      </w:pPr>
      <w:r w:rsidRPr="008F6ABB">
        <w:rPr>
          <w:lang w:val="en-GB"/>
        </w:rPr>
        <w:t>a)</w:t>
      </w:r>
      <w:r w:rsidRPr="008F6ABB">
        <w:rPr>
          <w:lang w:val="en-GB"/>
        </w:rPr>
        <w:tab/>
        <w:t>cell protection (short-circuit, external, internal, overcurrent, deep discharge, etc.);</w:t>
      </w:r>
    </w:p>
    <w:p w:rsidR="001F02E6" w:rsidRPr="008F6ABB" w:rsidRDefault="001F02E6" w:rsidP="001F02E6">
      <w:pPr>
        <w:pStyle w:val="ESlet"/>
        <w:rPr>
          <w:rFonts w:eastAsia="Calibri"/>
          <w:lang w:val="en-GB"/>
        </w:rPr>
      </w:pPr>
      <w:r w:rsidRPr="008F6ABB">
        <w:rPr>
          <w:lang w:val="en-GB"/>
        </w:rPr>
        <w:t>b)</w:t>
      </w:r>
      <w:r w:rsidRPr="008F6ABB">
        <w:rPr>
          <w:lang w:val="en-GB"/>
        </w:rPr>
        <w:tab/>
        <w:t>charge control, provided this is not by means of the charger;</w:t>
      </w:r>
    </w:p>
    <w:p w:rsidR="001F02E6" w:rsidRPr="008F6ABB" w:rsidRDefault="001F02E6" w:rsidP="001F02E6">
      <w:pPr>
        <w:pStyle w:val="ESlet"/>
        <w:rPr>
          <w:rFonts w:eastAsia="Calibri"/>
          <w:lang w:val="en-GB"/>
        </w:rPr>
      </w:pPr>
      <w:r w:rsidRPr="008F6ABB">
        <w:rPr>
          <w:lang w:val="en-GB"/>
        </w:rPr>
        <w:t>c)</w:t>
      </w:r>
      <w:r w:rsidRPr="008F6ABB">
        <w:rPr>
          <w:lang w:val="en-GB"/>
        </w:rPr>
        <w:tab/>
        <w:t>load management;</w:t>
      </w:r>
    </w:p>
    <w:p w:rsidR="001F02E6" w:rsidRPr="008F6ABB" w:rsidRDefault="001F02E6" w:rsidP="001F02E6">
      <w:pPr>
        <w:pStyle w:val="ESlet"/>
        <w:rPr>
          <w:rFonts w:eastAsia="Calibri"/>
          <w:lang w:val="en-GB"/>
        </w:rPr>
      </w:pPr>
      <w:r w:rsidRPr="008F6ABB">
        <w:rPr>
          <w:lang w:val="en-GB"/>
        </w:rPr>
        <w:t>d)</w:t>
      </w:r>
      <w:r w:rsidRPr="008F6ABB">
        <w:rPr>
          <w:lang w:val="en-GB"/>
        </w:rPr>
        <w:tab/>
        <w:t>determination of the charge level;</w:t>
      </w:r>
    </w:p>
    <w:p w:rsidR="001F02E6" w:rsidRPr="008F6ABB" w:rsidRDefault="001F02E6" w:rsidP="001F02E6">
      <w:pPr>
        <w:pStyle w:val="ESlet"/>
        <w:rPr>
          <w:rFonts w:eastAsia="Calibri"/>
          <w:lang w:val="en-GB"/>
        </w:rPr>
      </w:pPr>
      <w:r w:rsidRPr="008F6ABB">
        <w:rPr>
          <w:lang w:val="en-GB"/>
        </w:rPr>
        <w:t>e)</w:t>
      </w:r>
      <w:r w:rsidRPr="008F6ABB">
        <w:rPr>
          <w:lang w:val="en-GB"/>
        </w:rPr>
        <w:tab/>
        <w:t>balancing of the cells;</w:t>
      </w:r>
    </w:p>
    <w:p w:rsidR="001F02E6" w:rsidRPr="008F6ABB" w:rsidRDefault="001F02E6" w:rsidP="001F02E6">
      <w:pPr>
        <w:pStyle w:val="ESlet"/>
        <w:rPr>
          <w:rFonts w:eastAsia="Calibri"/>
          <w:lang w:val="en-GB"/>
        </w:rPr>
      </w:pPr>
      <w:r w:rsidRPr="008F6ABB">
        <w:rPr>
          <w:lang w:val="en-GB"/>
        </w:rPr>
        <w:t>f)</w:t>
      </w:r>
      <w:r w:rsidRPr="008F6ABB">
        <w:rPr>
          <w:lang w:val="en-GB"/>
        </w:rPr>
        <w:tab/>
        <w:t>thermal management.</w:t>
      </w:r>
    </w:p>
    <w:p w:rsidR="001F02E6" w:rsidRPr="008F6ABB" w:rsidRDefault="001F02E6" w:rsidP="00AA5633">
      <w:pPr>
        <w:pStyle w:val="ESch"/>
        <w:rPr>
          <w:rFonts w:eastAsia="Calibri"/>
          <w:lang w:val="en-GB"/>
        </w:rPr>
      </w:pPr>
    </w:p>
    <w:p w:rsidR="001F02E6" w:rsidRPr="008F6ABB" w:rsidRDefault="001F02E6" w:rsidP="001F02E6">
      <w:pPr>
        <w:pStyle w:val="ESlet"/>
        <w:ind w:left="567" w:firstLine="0"/>
        <w:rPr>
          <w:rFonts w:eastAsia="Calibri"/>
          <w:lang w:val="en-GB"/>
        </w:rPr>
      </w:pPr>
      <w:r w:rsidRPr="008F6ABB">
        <w:rPr>
          <w:lang w:val="en-GB"/>
        </w:rPr>
        <w:t>Depending on use, if possible, they should also feature the following functionality:</w:t>
      </w:r>
    </w:p>
    <w:p w:rsidR="001F02E6" w:rsidRPr="008F6ABB" w:rsidRDefault="001F02E6" w:rsidP="001F02E6">
      <w:pPr>
        <w:pStyle w:val="ESlet"/>
        <w:rPr>
          <w:rFonts w:eastAsia="Calibri"/>
          <w:lang w:val="en-GB"/>
        </w:rPr>
      </w:pPr>
      <w:r w:rsidRPr="008F6ABB">
        <w:rPr>
          <w:lang w:val="en-GB"/>
        </w:rPr>
        <w:t>g)</w:t>
      </w:r>
      <w:r w:rsidRPr="008F6ABB">
        <w:rPr>
          <w:lang w:val="en-GB"/>
        </w:rPr>
        <w:tab/>
        <w:t>determination of ageing, remaining capacity, internal resistance etc.;</w:t>
      </w:r>
    </w:p>
    <w:p w:rsidR="001F02E6" w:rsidRPr="008F6ABB" w:rsidRDefault="001F02E6" w:rsidP="001F02E6">
      <w:pPr>
        <w:pStyle w:val="ESlet"/>
        <w:rPr>
          <w:rFonts w:eastAsia="Calibri"/>
          <w:lang w:val="en-GB"/>
        </w:rPr>
      </w:pPr>
      <w:r w:rsidRPr="008F6ABB">
        <w:rPr>
          <w:lang w:val="en-GB"/>
        </w:rPr>
        <w:t>h)</w:t>
      </w:r>
      <w:r w:rsidRPr="008F6ABB">
        <w:rPr>
          <w:lang w:val="en-GB"/>
        </w:rPr>
        <w:tab/>
        <w:t>communication (e.g. with inverters and control devices);</w:t>
      </w:r>
    </w:p>
    <w:p w:rsidR="00AB2818" w:rsidRDefault="00AB2818">
      <w:pPr>
        <w:autoSpaceDE/>
        <w:autoSpaceDN/>
        <w:ind w:left="0" w:firstLine="0"/>
        <w:jc w:val="left"/>
        <w:rPr>
          <w:lang w:val="en-GB"/>
        </w:rPr>
      </w:pPr>
      <w:r>
        <w:rPr>
          <w:lang w:val="en-GB"/>
        </w:rPr>
        <w:br w:type="page"/>
      </w:r>
    </w:p>
    <w:p w:rsidR="00AB2818" w:rsidRDefault="00AB2818" w:rsidP="001F02E6">
      <w:pPr>
        <w:pStyle w:val="ESlet"/>
        <w:rPr>
          <w:lang w:val="en-GB"/>
        </w:rPr>
      </w:pPr>
    </w:p>
    <w:p w:rsidR="001F02E6" w:rsidRPr="008F6ABB" w:rsidRDefault="001F02E6" w:rsidP="001F02E6">
      <w:pPr>
        <w:pStyle w:val="ESlet"/>
        <w:rPr>
          <w:rFonts w:eastAsia="Calibri"/>
          <w:lang w:val="en-GB"/>
        </w:rPr>
      </w:pPr>
      <w:r w:rsidRPr="008F6ABB">
        <w:rPr>
          <w:lang w:val="en-GB"/>
        </w:rPr>
        <w:t>i)</w:t>
      </w:r>
      <w:r w:rsidRPr="008F6ABB">
        <w:rPr>
          <w:lang w:val="en-GB"/>
        </w:rPr>
        <w:tab/>
        <w:t>authentication and identification;</w:t>
      </w:r>
    </w:p>
    <w:p w:rsidR="001F02E6" w:rsidRPr="008F6ABB" w:rsidRDefault="001F02E6" w:rsidP="001F02E6">
      <w:pPr>
        <w:pStyle w:val="ESlet"/>
        <w:rPr>
          <w:rFonts w:eastAsia="Calibri"/>
          <w:lang w:val="en-GB"/>
        </w:rPr>
      </w:pPr>
      <w:r w:rsidRPr="008F6ABB">
        <w:rPr>
          <w:lang w:val="en-GB"/>
        </w:rPr>
        <w:t>j)</w:t>
      </w:r>
      <w:r w:rsidRPr="008F6ABB">
        <w:rPr>
          <w:lang w:val="en-GB"/>
        </w:rPr>
        <w:tab/>
        <w:t>history.</w:t>
      </w:r>
    </w:p>
    <w:p w:rsidR="001F02E6" w:rsidRPr="008F6ABB" w:rsidRDefault="001F02E6" w:rsidP="001F02E6">
      <w:pPr>
        <w:pStyle w:val="ESch"/>
        <w:rPr>
          <w:rFonts w:eastAsia="Calibri"/>
          <w:lang w:val="en-GB"/>
        </w:rPr>
      </w:pPr>
    </w:p>
    <w:p w:rsidR="001F02E6" w:rsidRPr="008F6ABB" w:rsidRDefault="001F02E6" w:rsidP="001F02E6">
      <w:pPr>
        <w:pStyle w:val="ESch"/>
        <w:rPr>
          <w:lang w:val="en-GB"/>
        </w:rPr>
      </w:pPr>
      <w:r>
        <w:rPr>
          <w:lang w:val="en-GB"/>
        </w:rPr>
        <w:t>17</w:t>
      </w:r>
      <w:r w:rsidRPr="008F6ABB">
        <w:rPr>
          <w:lang w:val="en-GB"/>
        </w:rPr>
        <w:t>.</w:t>
      </w:r>
      <w:r w:rsidRPr="008F6ABB">
        <w:rPr>
          <w:lang w:val="en-GB"/>
        </w:rPr>
        <w:tab/>
        <w:t>For batteries, (1) to (1</w:t>
      </w:r>
      <w:r>
        <w:rPr>
          <w:lang w:val="en-GB"/>
        </w:rPr>
        <w:t>2</w:t>
      </w:r>
      <w:r w:rsidRPr="008F6ABB">
        <w:rPr>
          <w:lang w:val="en-GB"/>
        </w:rPr>
        <w:t>) and (1</w:t>
      </w:r>
      <w:r>
        <w:rPr>
          <w:lang w:val="en-GB"/>
        </w:rPr>
        <w:t>6</w:t>
      </w:r>
      <w:r w:rsidRPr="008F6ABB">
        <w:rPr>
          <w:lang w:val="en-GB"/>
        </w:rPr>
        <w:t xml:space="preserve">) shall apply </w:t>
      </w:r>
      <w:r w:rsidRPr="008F6ABB">
        <w:rPr>
          <w:i/>
          <w:lang w:val="en-GB"/>
        </w:rPr>
        <w:t>mutatis mutandis.</w:t>
      </w:r>
    </w:p>
    <w:p w:rsidR="008A12E7" w:rsidRPr="001F02E6" w:rsidRDefault="008A12E7" w:rsidP="00AA5633">
      <w:pPr>
        <w:pStyle w:val="ESch"/>
        <w:rPr>
          <w:lang w:val="en-GB"/>
        </w:rPr>
      </w:pPr>
    </w:p>
    <w:p w:rsidR="00651EFD" w:rsidRPr="00C903F8" w:rsidRDefault="00651EFD" w:rsidP="00AA5633">
      <w:pPr>
        <w:pStyle w:val="ESch"/>
        <w:rPr>
          <w:lang w:val="en-US"/>
        </w:rPr>
      </w:pPr>
    </w:p>
    <w:p w:rsidR="008A12E7" w:rsidRPr="00C903F8" w:rsidRDefault="008A12E7" w:rsidP="00651EFD">
      <w:pPr>
        <w:pStyle w:val="ES-Titre3"/>
        <w:rPr>
          <w:lang w:val="en-US"/>
        </w:rPr>
      </w:pPr>
      <w:bookmarkStart w:id="100" w:name="_Toc491854089"/>
      <w:r w:rsidRPr="00C903F8">
        <w:rPr>
          <w:noProof/>
          <w:lang w:val="en-US"/>
        </w:rPr>
        <w:t>Article 10.12</w:t>
      </w:r>
      <w:r w:rsidRPr="00C903F8">
        <w:rPr>
          <w:noProof/>
          <w:lang w:val="en-US"/>
        </w:rPr>
        <w:br/>
      </w:r>
      <w:r w:rsidR="001F02E6" w:rsidRPr="000A4258">
        <w:rPr>
          <w:i/>
          <w:lang w:val="en-GB"/>
        </w:rPr>
        <w:t>Switchgear and controlgear</w:t>
      </w:r>
      <w:bookmarkEnd w:id="100"/>
    </w:p>
    <w:p w:rsidR="00651EFD" w:rsidRPr="00C903F8" w:rsidRDefault="00651EFD" w:rsidP="008A12E7">
      <w:pPr>
        <w:rPr>
          <w:rFonts w:cs="Arial"/>
          <w:noProof/>
          <w:szCs w:val="20"/>
          <w:lang w:val="en-US"/>
        </w:rPr>
      </w:pPr>
    </w:p>
    <w:p w:rsidR="001F02E6" w:rsidRPr="008F6ABB" w:rsidRDefault="001F02E6" w:rsidP="001F02E6">
      <w:pPr>
        <w:pStyle w:val="ESch"/>
        <w:rPr>
          <w:rFonts w:eastAsia="Calibri"/>
          <w:lang w:val="en-GB"/>
        </w:rPr>
      </w:pPr>
      <w:r w:rsidRPr="008F6ABB">
        <w:rPr>
          <w:lang w:val="en-GB"/>
        </w:rPr>
        <w:t>1.</w:t>
      </w:r>
      <w:r w:rsidRPr="008F6ABB">
        <w:rPr>
          <w:lang w:val="en-GB"/>
        </w:rPr>
        <w:tab/>
        <w:t>Switchboards</w:t>
      </w:r>
    </w:p>
    <w:p w:rsidR="001F02E6" w:rsidRPr="008F6ABB" w:rsidRDefault="001F02E6" w:rsidP="001F02E6">
      <w:pPr>
        <w:pStyle w:val="ESlet"/>
        <w:rPr>
          <w:rFonts w:eastAsia="Calibri"/>
          <w:lang w:val="en-GB"/>
        </w:rPr>
      </w:pPr>
      <w:r w:rsidRPr="008F6ABB">
        <w:rPr>
          <w:lang w:val="en-GB"/>
        </w:rPr>
        <w:t>a)</w:t>
      </w:r>
      <w:r w:rsidRPr="008F6ABB">
        <w:rPr>
          <w:lang w:val="en-GB"/>
        </w:rPr>
        <w:tab/>
        <w:t>Equipment, switches, fuses and switchboard instruments shall be arranged visibly and shall be accessible for maintenance and repair.</w:t>
      </w:r>
    </w:p>
    <w:p w:rsidR="001F02E6" w:rsidRPr="008F6ABB" w:rsidRDefault="001F02E6" w:rsidP="001F02E6">
      <w:pPr>
        <w:pStyle w:val="EStiret"/>
        <w:ind w:left="993" w:hanging="1"/>
        <w:rPr>
          <w:rFonts w:eastAsia="Calibri"/>
          <w:noProof w:val="0"/>
          <w:lang w:val="en-GB"/>
        </w:rPr>
      </w:pPr>
      <w:r w:rsidRPr="008F6ABB">
        <w:rPr>
          <w:noProof w:val="0"/>
          <w:lang w:val="en-GB"/>
        </w:rPr>
        <w:t>Terminals for voltages up to 50 V and for voltages greater than 50 V shall be kept separate and marked appropriately.</w:t>
      </w:r>
    </w:p>
    <w:p w:rsidR="001F02E6" w:rsidRPr="008F6ABB" w:rsidRDefault="001F02E6" w:rsidP="001F02E6">
      <w:pPr>
        <w:pStyle w:val="ESlet"/>
        <w:rPr>
          <w:rFonts w:eastAsia="Calibri"/>
          <w:lang w:val="en-GB"/>
        </w:rPr>
      </w:pPr>
      <w:r w:rsidRPr="008F6ABB">
        <w:rPr>
          <w:lang w:val="en-GB"/>
        </w:rPr>
        <w:t>b)</w:t>
      </w:r>
      <w:r w:rsidRPr="008F6ABB">
        <w:rPr>
          <w:lang w:val="en-GB"/>
        </w:rPr>
        <w:tab/>
        <w:t>For all switches and equipment, marker plates indicating the circuit shall be affixed to switchboards.</w:t>
      </w:r>
    </w:p>
    <w:p w:rsidR="001F02E6" w:rsidRPr="008F6ABB" w:rsidRDefault="001F02E6" w:rsidP="001F02E6">
      <w:pPr>
        <w:pStyle w:val="ESletpar"/>
        <w:rPr>
          <w:rFonts w:eastAsia="Calibri"/>
          <w:lang w:val="en-GB"/>
        </w:rPr>
      </w:pPr>
      <w:r w:rsidRPr="008F6ABB">
        <w:rPr>
          <w:lang w:val="en-GB"/>
        </w:rPr>
        <w:t>The nominal amperage and the circuit shall be indicated for fuses.</w:t>
      </w:r>
    </w:p>
    <w:p w:rsidR="001F02E6" w:rsidRPr="008F6ABB" w:rsidRDefault="001F02E6" w:rsidP="001F02E6">
      <w:pPr>
        <w:pStyle w:val="ESlet"/>
        <w:rPr>
          <w:rFonts w:eastAsia="Calibri"/>
          <w:lang w:val="en-GB"/>
        </w:rPr>
      </w:pPr>
      <w:r w:rsidRPr="008F6ABB">
        <w:rPr>
          <w:lang w:val="en-GB"/>
        </w:rPr>
        <w:t>c)</w:t>
      </w:r>
      <w:r w:rsidRPr="008F6ABB">
        <w:rPr>
          <w:lang w:val="en-GB"/>
        </w:rPr>
        <w:tab/>
        <w:t>When equipment with an operating voltage greater than 50 V are installed behind doors, the current-carrying components of these equipment shall be protected against accidental contact while the doors are open.</w:t>
      </w:r>
    </w:p>
    <w:p w:rsidR="001F02E6" w:rsidRPr="008F6ABB" w:rsidRDefault="001F02E6" w:rsidP="001F02E6">
      <w:pPr>
        <w:pStyle w:val="ESlet"/>
        <w:rPr>
          <w:rFonts w:eastAsia="Calibri"/>
          <w:lang w:val="en-GB"/>
        </w:rPr>
      </w:pPr>
      <w:r w:rsidRPr="008F6ABB">
        <w:rPr>
          <w:lang w:val="en-GB"/>
        </w:rPr>
        <w:t>d)</w:t>
      </w:r>
      <w:r w:rsidRPr="008F6ABB">
        <w:rPr>
          <w:lang w:val="en-GB"/>
        </w:rPr>
        <w:tab/>
        <w:t>The materials of switchboards shall have suitable mechanical strength, be durable, flame-retardant, self-extinguishing and not be hygroscopic.</w:t>
      </w:r>
    </w:p>
    <w:p w:rsidR="001F02E6" w:rsidRPr="008F6ABB" w:rsidRDefault="001F02E6" w:rsidP="001F02E6">
      <w:pPr>
        <w:pStyle w:val="ESlet"/>
        <w:rPr>
          <w:rFonts w:eastAsia="Calibri"/>
          <w:lang w:val="en-GB"/>
        </w:rPr>
      </w:pPr>
      <w:r w:rsidRPr="008F6ABB">
        <w:rPr>
          <w:lang w:val="en-GB"/>
        </w:rPr>
        <w:t>e)</w:t>
      </w:r>
      <w:r w:rsidRPr="008F6ABB">
        <w:rPr>
          <w:lang w:val="en-GB"/>
        </w:rPr>
        <w:tab/>
        <w:t>If low voltage - high rupturing capacity fuses are installed in switchboards, accessories and equipment for bodily protection shall be available for installing and removing such fuse-links.</w:t>
      </w:r>
    </w:p>
    <w:p w:rsidR="001F02E6" w:rsidRDefault="001F02E6" w:rsidP="001F02E6">
      <w:pPr>
        <w:pStyle w:val="ESch"/>
        <w:rPr>
          <w:lang w:val="en-GB"/>
        </w:rPr>
      </w:pPr>
    </w:p>
    <w:p w:rsidR="001F02E6" w:rsidRPr="008F6ABB" w:rsidRDefault="001F02E6" w:rsidP="001F02E6">
      <w:pPr>
        <w:pStyle w:val="ESch"/>
        <w:rPr>
          <w:rFonts w:eastAsia="Calibri"/>
          <w:lang w:val="en-GB"/>
        </w:rPr>
      </w:pPr>
      <w:r w:rsidRPr="008F6ABB">
        <w:rPr>
          <w:lang w:val="en-GB"/>
        </w:rPr>
        <w:t>2.</w:t>
      </w:r>
      <w:r w:rsidRPr="008F6ABB">
        <w:rPr>
          <w:lang w:val="en-GB"/>
        </w:rPr>
        <w:tab/>
        <w:t>Switches, protective devices</w:t>
      </w:r>
    </w:p>
    <w:p w:rsidR="001F02E6" w:rsidRPr="008F6ABB" w:rsidRDefault="001F02E6" w:rsidP="001F02E6">
      <w:pPr>
        <w:pStyle w:val="ESlet"/>
        <w:rPr>
          <w:rFonts w:eastAsia="Calibri"/>
          <w:lang w:val="en-GB"/>
        </w:rPr>
      </w:pPr>
      <w:r w:rsidRPr="008F6ABB">
        <w:rPr>
          <w:lang w:val="en-GB"/>
        </w:rPr>
        <w:t>a)</w:t>
      </w:r>
      <w:r w:rsidRPr="008F6ABB">
        <w:rPr>
          <w:lang w:val="en-GB"/>
        </w:rPr>
        <w:tab/>
        <w:t xml:space="preserve">Generator circuits and consumer equipment circuits shall be protected against short circuits and overcurrent on all non-earthed conductors. Switching devices triggered by short-circuiting and overload or fuses (with fuse-links) may be used for this purpose. </w:t>
      </w:r>
    </w:p>
    <w:p w:rsidR="001F02E6" w:rsidRPr="008F6ABB" w:rsidRDefault="001F02E6" w:rsidP="001F02E6">
      <w:pPr>
        <w:pStyle w:val="ESletpar"/>
        <w:rPr>
          <w:rFonts w:eastAsia="Calibri"/>
          <w:lang w:val="en-GB"/>
        </w:rPr>
      </w:pPr>
      <w:r w:rsidRPr="008F6ABB">
        <w:rPr>
          <w:lang w:val="en-GB"/>
        </w:rPr>
        <w:t>Circuits supplying the steering system according to Article 6.04 and their control circuits shall be protected only against short circuits. When circuit-breaker include thermal release, these shall be neutralised or set at not less than twice the nominal amperage.</w:t>
      </w:r>
    </w:p>
    <w:p w:rsidR="001F02E6" w:rsidRPr="008F6ABB" w:rsidRDefault="001F02E6" w:rsidP="001F02E6">
      <w:pPr>
        <w:pStyle w:val="ESlet"/>
        <w:rPr>
          <w:rFonts w:eastAsia="Calibri"/>
          <w:lang w:val="en-GB"/>
        </w:rPr>
      </w:pPr>
      <w:r w:rsidRPr="008F6ABB">
        <w:rPr>
          <w:lang w:val="en-GB"/>
        </w:rPr>
        <w:t>b)</w:t>
      </w:r>
      <w:r w:rsidRPr="008F6ABB">
        <w:rPr>
          <w:lang w:val="en-GB"/>
        </w:rPr>
        <w:tab/>
        <w:t>Outputs to consumer equipment from the main switchboard shall include a load switch or circuit-breaker for nominal amperage greater than 16 A</w:t>
      </w:r>
    </w:p>
    <w:p w:rsidR="001F02E6" w:rsidRPr="008F6ABB" w:rsidRDefault="001F02E6" w:rsidP="001F02E6">
      <w:pPr>
        <w:pStyle w:val="ESlet"/>
        <w:rPr>
          <w:rFonts w:eastAsia="Calibri"/>
          <w:lang w:val="en-GB"/>
        </w:rPr>
      </w:pPr>
      <w:r w:rsidRPr="008F6ABB">
        <w:rPr>
          <w:lang w:val="en-GB"/>
        </w:rPr>
        <w:t>c)</w:t>
      </w:r>
      <w:r w:rsidRPr="008F6ABB">
        <w:rPr>
          <w:lang w:val="en-GB"/>
        </w:rPr>
        <w:tab/>
        <w:t xml:space="preserve">Consumer equipment required for propelling the vessel, for the steering systems according to </w:t>
      </w:r>
      <w:r w:rsidRPr="008A1F8E">
        <w:rPr>
          <w:lang w:val="en-GB"/>
        </w:rPr>
        <w:t>Chapter 6</w:t>
      </w:r>
      <w:r w:rsidRPr="008F6ABB">
        <w:rPr>
          <w:lang w:val="en-GB"/>
        </w:rPr>
        <w:t>, for the rudder position indicators, for navigation or for safety systems as well as consumer equipment, with a nominal amperage greater than 16 A shall be supplied by separate circuits.</w:t>
      </w:r>
    </w:p>
    <w:p w:rsidR="001F02E6" w:rsidRPr="008F6ABB" w:rsidRDefault="001F02E6" w:rsidP="001F02E6">
      <w:pPr>
        <w:pStyle w:val="ESlet"/>
        <w:rPr>
          <w:rFonts w:eastAsia="Calibri"/>
          <w:lang w:val="en-GB"/>
        </w:rPr>
      </w:pPr>
      <w:r w:rsidRPr="008F6ABB">
        <w:rPr>
          <w:lang w:val="en-GB"/>
        </w:rPr>
        <w:t>d)</w:t>
      </w:r>
      <w:r w:rsidRPr="008F6ABB">
        <w:rPr>
          <w:lang w:val="en-GB"/>
        </w:rPr>
        <w:tab/>
        <w:t>The circuits of consumer equipment required for propelling and manoeuvring the vessel shall be supplied directly by the main switchboard.</w:t>
      </w:r>
    </w:p>
    <w:p w:rsidR="001F02E6" w:rsidRPr="008F6ABB" w:rsidRDefault="001F02E6" w:rsidP="001F02E6">
      <w:pPr>
        <w:pStyle w:val="ESlet"/>
        <w:rPr>
          <w:rFonts w:eastAsia="Calibri"/>
          <w:lang w:val="en-GB"/>
        </w:rPr>
      </w:pPr>
      <w:r w:rsidRPr="008F6ABB">
        <w:rPr>
          <w:lang w:val="en-GB"/>
        </w:rPr>
        <w:t>e)</w:t>
      </w:r>
      <w:r w:rsidRPr="008F6ABB">
        <w:rPr>
          <w:lang w:val="en-GB"/>
        </w:rPr>
        <w:tab/>
        <w:t>Switching devices shall be selected on the basis of nominal amperage, thermal or dynamic strength and their breaking capacity. Switches shall simultaneously cut off all live conductors. The switching position shall be easily identifiable.</w:t>
      </w:r>
    </w:p>
    <w:p w:rsidR="001F02E6" w:rsidRPr="008F6ABB" w:rsidRDefault="001F02E6" w:rsidP="001F02E6">
      <w:pPr>
        <w:pStyle w:val="ESlet"/>
        <w:rPr>
          <w:rFonts w:eastAsia="Calibri"/>
          <w:lang w:val="en-GB"/>
        </w:rPr>
      </w:pPr>
      <w:r w:rsidRPr="008F6ABB">
        <w:rPr>
          <w:lang w:val="en-GB"/>
        </w:rPr>
        <w:t>f)</w:t>
      </w:r>
      <w:r w:rsidRPr="008F6ABB">
        <w:rPr>
          <w:lang w:val="en-GB"/>
        </w:rPr>
        <w:tab/>
        <w:t>Fuse-links must be of the enclosed-melt type and be made of porcelain or an equivalent material. It shall be possible to change them without any danger of contact.</w:t>
      </w:r>
    </w:p>
    <w:p w:rsidR="001F02E6" w:rsidRDefault="001F02E6" w:rsidP="001F02E6">
      <w:pPr>
        <w:pStyle w:val="ESch"/>
        <w:rPr>
          <w:rFonts w:eastAsia="Calibri"/>
          <w:lang w:val="en-GB"/>
        </w:rPr>
      </w:pPr>
    </w:p>
    <w:p w:rsidR="00AB2818" w:rsidRDefault="00AB2818">
      <w:pPr>
        <w:autoSpaceDE/>
        <w:autoSpaceDN/>
        <w:ind w:left="0" w:firstLine="0"/>
        <w:jc w:val="left"/>
        <w:rPr>
          <w:rFonts w:eastAsia="Calibri"/>
          <w:lang w:val="en-GB"/>
        </w:rPr>
      </w:pPr>
      <w:r>
        <w:rPr>
          <w:rFonts w:eastAsia="Calibri"/>
          <w:lang w:val="en-GB"/>
        </w:rPr>
        <w:br w:type="page"/>
      </w:r>
    </w:p>
    <w:p w:rsidR="00AB2818" w:rsidRPr="008F6ABB" w:rsidRDefault="00AB2818"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3.</w:t>
      </w:r>
      <w:r w:rsidRPr="008F6ABB">
        <w:rPr>
          <w:lang w:val="en-GB"/>
        </w:rPr>
        <w:tab/>
        <w:t>Measuring and monitoring devices</w:t>
      </w:r>
    </w:p>
    <w:p w:rsidR="001F02E6" w:rsidRPr="008F6ABB" w:rsidRDefault="001F02E6" w:rsidP="001F02E6">
      <w:pPr>
        <w:pStyle w:val="ESlet"/>
        <w:rPr>
          <w:rFonts w:eastAsia="Calibri"/>
          <w:lang w:val="en-GB"/>
        </w:rPr>
      </w:pPr>
      <w:r w:rsidRPr="008F6ABB">
        <w:rPr>
          <w:lang w:val="en-GB"/>
        </w:rPr>
        <w:t>a)</w:t>
      </w:r>
      <w:r w:rsidRPr="008F6ABB">
        <w:rPr>
          <w:lang w:val="en-GB"/>
        </w:rPr>
        <w:tab/>
        <w:t>Generator, accumulator and distribution circuits shall be equipped with measuring and monitoring devices required for the safe operation of the installation.</w:t>
      </w:r>
    </w:p>
    <w:p w:rsidR="001F02E6" w:rsidRPr="008F6ABB" w:rsidRDefault="001F02E6" w:rsidP="001F02E6">
      <w:pPr>
        <w:pStyle w:val="ESlet"/>
        <w:rPr>
          <w:rFonts w:eastAsia="Calibri"/>
          <w:lang w:val="en-GB"/>
        </w:rPr>
      </w:pPr>
      <w:r w:rsidRPr="008F6ABB">
        <w:rPr>
          <w:lang w:val="en-GB"/>
        </w:rPr>
        <w:t>b)</w:t>
      </w:r>
      <w:r w:rsidRPr="008F6ABB">
        <w:rPr>
          <w:lang w:val="en-GB"/>
        </w:rPr>
        <w:tab/>
        <w:t>Non-earthed networks where the voltage is higher than 50 V must include a device for monitoring insulation equipped with an optical and acoustic alarm. In secondary installations such as control circuits, this device for monitoring insulation may be dispensed with.</w:t>
      </w:r>
    </w:p>
    <w:p w:rsidR="001F02E6" w:rsidRPr="008F6ABB" w:rsidRDefault="001F02E6" w:rsidP="001F02E6">
      <w:pPr>
        <w:pStyle w:val="ESch"/>
        <w:rPr>
          <w:rFonts w:eastAsia="Calibri"/>
          <w:lang w:val="en-GB"/>
        </w:rPr>
      </w:pPr>
    </w:p>
    <w:p w:rsidR="001F02E6" w:rsidRPr="008F6ABB" w:rsidRDefault="001F02E6" w:rsidP="001F02E6">
      <w:pPr>
        <w:pStyle w:val="ESch"/>
        <w:rPr>
          <w:rFonts w:eastAsia="Calibri"/>
          <w:lang w:val="en-GB"/>
        </w:rPr>
      </w:pPr>
      <w:r w:rsidRPr="008F6ABB">
        <w:rPr>
          <w:lang w:val="en-GB"/>
        </w:rPr>
        <w:t>4.</w:t>
      </w:r>
      <w:r w:rsidRPr="008F6ABB">
        <w:rPr>
          <w:lang w:val="en-GB"/>
        </w:rPr>
        <w:tab/>
        <w:t>Placement of switchboards</w:t>
      </w:r>
    </w:p>
    <w:p w:rsidR="001F02E6" w:rsidRPr="008F6ABB" w:rsidRDefault="001F02E6" w:rsidP="001F02E6">
      <w:pPr>
        <w:pStyle w:val="ESlet"/>
        <w:rPr>
          <w:rFonts w:eastAsia="Calibri"/>
          <w:lang w:val="en-GB"/>
        </w:rPr>
      </w:pPr>
      <w:r w:rsidRPr="008F6ABB">
        <w:rPr>
          <w:lang w:val="en-GB"/>
        </w:rPr>
        <w:t>a)</w:t>
      </w:r>
      <w:r w:rsidRPr="008F6ABB">
        <w:rPr>
          <w:lang w:val="en-GB"/>
        </w:rPr>
        <w:tab/>
        <w:t>Switchboards shall be placed in accessible and sufficiently ventilated rooms, in order to be protected against water and mechanical damage.</w:t>
      </w:r>
    </w:p>
    <w:p w:rsidR="001F02E6" w:rsidRPr="008F6ABB" w:rsidRDefault="001F02E6" w:rsidP="001F02E6">
      <w:pPr>
        <w:pStyle w:val="ESletpar"/>
        <w:rPr>
          <w:rFonts w:eastAsia="Calibri"/>
          <w:lang w:val="en-GB"/>
        </w:rPr>
      </w:pPr>
      <w:r w:rsidRPr="008F6ABB">
        <w:rPr>
          <w:lang w:val="en-GB"/>
        </w:rPr>
        <w:t>Piping and air ducts shall be so arranged that in the event of leakage the switchgear and controlgear cannot be damaged. If they have imperatively to be installed near switchboards, pipes shall not have removable connections in the vicinity.</w:t>
      </w:r>
    </w:p>
    <w:p w:rsidR="001F02E6" w:rsidRPr="008F6ABB" w:rsidRDefault="001F02E6" w:rsidP="001F02E6">
      <w:pPr>
        <w:pStyle w:val="ESlet"/>
        <w:rPr>
          <w:rFonts w:eastAsia="Calibri"/>
          <w:lang w:val="en-GB"/>
        </w:rPr>
      </w:pPr>
      <w:r w:rsidRPr="008F6ABB">
        <w:rPr>
          <w:lang w:val="en-GB"/>
        </w:rPr>
        <w:t>b)</w:t>
      </w:r>
      <w:r w:rsidRPr="008F6ABB">
        <w:rPr>
          <w:lang w:val="en-GB"/>
        </w:rPr>
        <w:tab/>
        <w:t>Cupboards and wall recesses in which unprotected switching devices are installed shall be of a flame-retardant material or protected by a metal or other non-flammable sheathing.</w:t>
      </w:r>
    </w:p>
    <w:p w:rsidR="001F02E6" w:rsidRPr="008F6ABB" w:rsidRDefault="001F02E6" w:rsidP="001F02E6">
      <w:pPr>
        <w:pStyle w:val="ESlet"/>
        <w:rPr>
          <w:rFonts w:eastAsia="Calibri"/>
          <w:lang w:val="en-GB"/>
        </w:rPr>
      </w:pPr>
      <w:r w:rsidRPr="008F6ABB">
        <w:rPr>
          <w:lang w:val="en-GB"/>
        </w:rPr>
        <w:t>c)</w:t>
      </w:r>
      <w:r w:rsidRPr="008F6ABB">
        <w:rPr>
          <w:lang w:val="en-GB"/>
        </w:rPr>
        <w:tab/>
        <w:t>When the voltage is greater than 50 V, gratings or insulating mats shall be placed in front of the main switchboard where the operator sits.</w:t>
      </w:r>
    </w:p>
    <w:p w:rsidR="008A12E7" w:rsidRPr="001F02E6" w:rsidRDefault="008A12E7" w:rsidP="00AA5633">
      <w:pPr>
        <w:pStyle w:val="ESch"/>
        <w:rPr>
          <w:lang w:val="en-GB"/>
        </w:rPr>
      </w:pPr>
    </w:p>
    <w:p w:rsidR="00651EFD" w:rsidRPr="00C903F8" w:rsidRDefault="00651EFD" w:rsidP="00AA5633">
      <w:pPr>
        <w:pStyle w:val="ESch"/>
        <w:rPr>
          <w:lang w:val="en-US"/>
        </w:rPr>
      </w:pPr>
    </w:p>
    <w:p w:rsidR="008A12E7" w:rsidRPr="00C903F8" w:rsidRDefault="008A12E7" w:rsidP="00F87682">
      <w:pPr>
        <w:pStyle w:val="ES-Titre3"/>
        <w:spacing w:line="240" w:lineRule="atLeast"/>
        <w:rPr>
          <w:lang w:val="en-US"/>
        </w:rPr>
      </w:pPr>
      <w:bookmarkStart w:id="101" w:name="_Toc491854090"/>
      <w:r w:rsidRPr="00C903F8">
        <w:rPr>
          <w:noProof/>
          <w:lang w:val="en-US"/>
        </w:rPr>
        <w:t>Article 10.13</w:t>
      </w:r>
      <w:r w:rsidRPr="00C903F8">
        <w:rPr>
          <w:noProof/>
          <w:lang w:val="en-US"/>
        </w:rPr>
        <w:br/>
      </w:r>
      <w:r w:rsidR="00F87682">
        <w:rPr>
          <w:i/>
          <w:lang w:val="en-GB"/>
        </w:rPr>
        <w:t>Emergency circuit-breaker</w:t>
      </w:r>
      <w:r w:rsidR="0091718D" w:rsidRPr="00F90337">
        <w:rPr>
          <w:i/>
          <w:lang w:val="en-GB"/>
        </w:rPr>
        <w:t xml:space="preserve"> devices</w:t>
      </w:r>
      <w:bookmarkEnd w:id="101"/>
    </w:p>
    <w:p w:rsidR="006B754E" w:rsidRPr="00C903F8" w:rsidRDefault="006B754E" w:rsidP="006B754E">
      <w:pPr>
        <w:ind w:left="0" w:firstLine="0"/>
        <w:rPr>
          <w:rFonts w:cs="Arial"/>
          <w:noProof/>
          <w:szCs w:val="20"/>
          <w:lang w:val="en-US"/>
        </w:rPr>
      </w:pPr>
    </w:p>
    <w:p w:rsidR="0091718D" w:rsidRPr="008F6ABB" w:rsidRDefault="0091718D" w:rsidP="0091718D">
      <w:pPr>
        <w:pStyle w:val="ESgauche"/>
        <w:rPr>
          <w:rFonts w:eastAsia="Calibri"/>
          <w:noProof w:val="0"/>
          <w:lang w:val="en-GB"/>
        </w:rPr>
      </w:pPr>
      <w:r w:rsidRPr="008F6ABB">
        <w:rPr>
          <w:noProof w:val="0"/>
          <w:lang w:val="en-GB"/>
        </w:rPr>
        <w:t>For oil burners, oil and fuel pumps, oil and fuel separators and engine room</w:t>
      </w:r>
      <w:r w:rsidR="00F87682">
        <w:rPr>
          <w:noProof w:val="0"/>
          <w:lang w:val="en-GB"/>
        </w:rPr>
        <w:t xml:space="preserve"> ventilators, emergency circuit-</w:t>
      </w:r>
      <w:r w:rsidRPr="008F6ABB">
        <w:rPr>
          <w:noProof w:val="0"/>
          <w:lang w:val="en-GB"/>
        </w:rPr>
        <w:t>breaker devices shall be installed in central location outside the rooms containing the equipment.</w:t>
      </w:r>
    </w:p>
    <w:p w:rsidR="008A12E7" w:rsidRPr="0091718D" w:rsidRDefault="008A12E7" w:rsidP="008A12E7">
      <w:pPr>
        <w:rPr>
          <w:rFonts w:cs="Arial"/>
          <w:szCs w:val="20"/>
          <w:lang w:val="en-GB"/>
        </w:rPr>
      </w:pPr>
    </w:p>
    <w:p w:rsidR="00BD4F1D" w:rsidRPr="00C903F8" w:rsidRDefault="00BD4F1D" w:rsidP="008A12E7">
      <w:pPr>
        <w:rPr>
          <w:rFonts w:cs="Arial"/>
          <w:szCs w:val="20"/>
          <w:lang w:val="en-US"/>
        </w:rPr>
      </w:pPr>
    </w:p>
    <w:p w:rsidR="008A12E7" w:rsidRPr="00C903F8" w:rsidRDefault="008A12E7" w:rsidP="00F87682">
      <w:pPr>
        <w:pStyle w:val="ES-Titre3"/>
        <w:spacing w:line="240" w:lineRule="atLeast"/>
        <w:rPr>
          <w:lang w:val="en-US"/>
        </w:rPr>
      </w:pPr>
      <w:bookmarkStart w:id="102" w:name="_Toc491854091"/>
      <w:r w:rsidRPr="00C903F8">
        <w:rPr>
          <w:noProof/>
          <w:lang w:val="en-US"/>
        </w:rPr>
        <w:t>Article 10.14</w:t>
      </w:r>
      <w:r w:rsidRPr="00C903F8">
        <w:rPr>
          <w:noProof/>
          <w:lang w:val="en-US"/>
        </w:rPr>
        <w:br/>
      </w:r>
      <w:r w:rsidRPr="00C903F8">
        <w:rPr>
          <w:bCs/>
          <w:i/>
          <w:noProof/>
          <w:lang w:val="en-US"/>
        </w:rPr>
        <w:t xml:space="preserve">Installation </w:t>
      </w:r>
      <w:r w:rsidRPr="00C903F8">
        <w:rPr>
          <w:i/>
          <w:noProof/>
          <w:lang w:val="en-US"/>
        </w:rPr>
        <w:t>fittings</w:t>
      </w:r>
      <w:bookmarkEnd w:id="102"/>
    </w:p>
    <w:p w:rsidR="00651EFD" w:rsidRPr="00C903F8" w:rsidRDefault="00651EFD" w:rsidP="008A12E7">
      <w:pPr>
        <w:rPr>
          <w:rFonts w:cs="Arial"/>
          <w:noProof/>
          <w:szCs w:val="20"/>
          <w:lang w:val="en-US"/>
        </w:rPr>
      </w:pPr>
    </w:p>
    <w:p w:rsidR="008A12E7" w:rsidRPr="00C903F8" w:rsidRDefault="008A12E7" w:rsidP="00BD4F1D">
      <w:pPr>
        <w:pStyle w:val="ESch"/>
        <w:rPr>
          <w:lang w:val="en-US"/>
        </w:rPr>
      </w:pPr>
      <w:r w:rsidRPr="00C903F8">
        <w:rPr>
          <w:noProof/>
          <w:lang w:val="en-US"/>
        </w:rPr>
        <w:t>1.</w:t>
      </w:r>
      <w:r w:rsidRPr="00C903F8">
        <w:rPr>
          <w:noProof/>
          <w:lang w:val="en-US"/>
        </w:rPr>
        <w:tab/>
        <w:t>Cable entries shall be sized as a function of the cables to be connected and be appropriate to the types of cable used.</w:t>
      </w:r>
    </w:p>
    <w:p w:rsidR="00651EFD" w:rsidRPr="00C903F8" w:rsidRDefault="00651EFD" w:rsidP="00BD4F1D">
      <w:pPr>
        <w:pStyle w:val="ESch"/>
        <w:rPr>
          <w:noProof/>
          <w:lang w:val="en-US"/>
        </w:rPr>
      </w:pPr>
    </w:p>
    <w:p w:rsidR="008A12E7" w:rsidRPr="00C903F8" w:rsidRDefault="008A12E7" w:rsidP="00BD4F1D">
      <w:pPr>
        <w:pStyle w:val="ESch"/>
        <w:rPr>
          <w:lang w:val="en-US"/>
        </w:rPr>
      </w:pPr>
      <w:r w:rsidRPr="00C903F8">
        <w:rPr>
          <w:noProof/>
          <w:lang w:val="en-US"/>
        </w:rPr>
        <w:t>2.</w:t>
      </w:r>
      <w:r w:rsidRPr="00C903F8">
        <w:rPr>
          <w:noProof/>
          <w:lang w:val="en-US"/>
        </w:rPr>
        <w:tab/>
        <w:t>Sockets for distribution circuits at different voltages or frequencies shall be impossible to confuse.</w:t>
      </w:r>
    </w:p>
    <w:p w:rsidR="00651EFD" w:rsidRPr="00C903F8" w:rsidRDefault="00651EFD" w:rsidP="00BD4F1D">
      <w:pPr>
        <w:pStyle w:val="ESch"/>
        <w:rPr>
          <w:noProof/>
          <w:lang w:val="en-US"/>
        </w:rPr>
      </w:pPr>
    </w:p>
    <w:p w:rsidR="008A12E7" w:rsidRPr="00C903F8" w:rsidRDefault="008A12E7" w:rsidP="00BD4F1D">
      <w:pPr>
        <w:pStyle w:val="ESch"/>
        <w:rPr>
          <w:lang w:val="en-US"/>
        </w:rPr>
      </w:pPr>
      <w:r w:rsidRPr="00C903F8">
        <w:rPr>
          <w:noProof/>
          <w:lang w:val="en-US"/>
        </w:rPr>
        <w:t>3.</w:t>
      </w:r>
      <w:r w:rsidRPr="00C903F8">
        <w:rPr>
          <w:noProof/>
          <w:lang w:val="en-US"/>
        </w:rPr>
        <w:tab/>
        <w:t>Switches shall simultaneously switch all non-earthed conductors within a circuit. However, single-pole switches within non-earthed circuitry shall be permitted in accommodation-lighting circuits apart from in laundries, bathrooms, washrooms and other rooms with wet facilities.</w:t>
      </w:r>
    </w:p>
    <w:p w:rsidR="00651EFD" w:rsidRPr="00C903F8" w:rsidRDefault="00651EFD" w:rsidP="00BD4F1D">
      <w:pPr>
        <w:pStyle w:val="ESch"/>
        <w:rPr>
          <w:noProof/>
          <w:lang w:val="en-US"/>
        </w:rPr>
      </w:pPr>
    </w:p>
    <w:p w:rsidR="008A12E7" w:rsidRPr="00C903F8" w:rsidRDefault="008A12E7" w:rsidP="00BD4F1D">
      <w:pPr>
        <w:pStyle w:val="ESch"/>
        <w:rPr>
          <w:lang w:val="en-US"/>
        </w:rPr>
      </w:pPr>
      <w:r w:rsidRPr="00C903F8">
        <w:rPr>
          <w:noProof/>
          <w:lang w:val="en-US"/>
        </w:rPr>
        <w:t>4.</w:t>
      </w:r>
      <w:r w:rsidRPr="00C903F8">
        <w:rPr>
          <w:noProof/>
          <w:lang w:val="en-US"/>
        </w:rPr>
        <w:tab/>
        <w:t>Where amperage exceeds 16 A it shall be possible to lock the sockets by means of a switch in such a way that the plug can only be inserted and withdrawn with the power switched off.</w:t>
      </w:r>
    </w:p>
    <w:p w:rsidR="00651EFD" w:rsidRPr="00C903F8" w:rsidRDefault="00651EFD" w:rsidP="008A12E7">
      <w:pPr>
        <w:rPr>
          <w:rFonts w:cs="Arial"/>
          <w:szCs w:val="20"/>
          <w:lang w:val="en-US"/>
        </w:rPr>
      </w:pPr>
    </w:p>
    <w:p w:rsidR="00651EFD" w:rsidRDefault="00651EFD" w:rsidP="008A12E7">
      <w:pPr>
        <w:rPr>
          <w:rFonts w:cs="Arial"/>
          <w:szCs w:val="20"/>
          <w:lang w:val="en-US"/>
        </w:rPr>
      </w:pPr>
    </w:p>
    <w:p w:rsidR="00AB2818" w:rsidRDefault="00AB2818">
      <w:pPr>
        <w:autoSpaceDE/>
        <w:autoSpaceDN/>
        <w:ind w:left="0" w:firstLine="0"/>
        <w:jc w:val="left"/>
        <w:rPr>
          <w:rFonts w:cs="Arial"/>
          <w:szCs w:val="20"/>
          <w:lang w:val="en-US"/>
        </w:rPr>
      </w:pPr>
      <w:r>
        <w:rPr>
          <w:rFonts w:cs="Arial"/>
          <w:szCs w:val="20"/>
          <w:lang w:val="en-US"/>
        </w:rPr>
        <w:br w:type="page"/>
      </w:r>
    </w:p>
    <w:p w:rsidR="00AB2818" w:rsidRPr="00C903F8" w:rsidRDefault="00AB2818" w:rsidP="008A12E7">
      <w:pPr>
        <w:rPr>
          <w:rFonts w:cs="Arial"/>
          <w:szCs w:val="20"/>
          <w:lang w:val="en-US"/>
        </w:rPr>
      </w:pPr>
    </w:p>
    <w:p w:rsidR="008A12E7" w:rsidRPr="00C903F8" w:rsidRDefault="008A12E7" w:rsidP="00651EFD">
      <w:pPr>
        <w:pStyle w:val="ES-Titre3"/>
        <w:rPr>
          <w:lang w:val="en-US"/>
        </w:rPr>
      </w:pPr>
      <w:bookmarkStart w:id="103" w:name="_Toc491854092"/>
      <w:r w:rsidRPr="00C903F8">
        <w:rPr>
          <w:noProof/>
          <w:lang w:val="en-US"/>
        </w:rPr>
        <w:t>Article 10.15</w:t>
      </w:r>
      <w:r w:rsidRPr="00C903F8">
        <w:rPr>
          <w:noProof/>
          <w:lang w:val="en-US"/>
        </w:rPr>
        <w:br/>
      </w:r>
      <w:r w:rsidR="00A07DE6" w:rsidRPr="000A4258">
        <w:rPr>
          <w:i/>
          <w:lang w:val="en-GB"/>
        </w:rPr>
        <w:t>Cables, insulated cables and cable systems</w:t>
      </w:r>
      <w:bookmarkEnd w:id="103"/>
    </w:p>
    <w:p w:rsidR="00651EFD" w:rsidRPr="00C903F8" w:rsidRDefault="00651EFD" w:rsidP="008A12E7">
      <w:pPr>
        <w:rPr>
          <w:rFonts w:cs="Arial"/>
          <w:noProof/>
          <w:szCs w:val="20"/>
          <w:lang w:val="en-US"/>
        </w:rPr>
      </w:pPr>
    </w:p>
    <w:p w:rsidR="00A07DE6" w:rsidRPr="008F6ABB" w:rsidRDefault="00A07DE6" w:rsidP="00A07DE6">
      <w:pPr>
        <w:pStyle w:val="ESch"/>
        <w:rPr>
          <w:rFonts w:eastAsia="Calibri"/>
          <w:lang w:val="en-GB"/>
        </w:rPr>
      </w:pPr>
      <w:r w:rsidRPr="008F6ABB">
        <w:rPr>
          <w:lang w:val="en-GB"/>
        </w:rPr>
        <w:t>1.</w:t>
      </w:r>
      <w:r w:rsidRPr="008F6ABB">
        <w:rPr>
          <w:lang w:val="en-GB"/>
        </w:rPr>
        <w:tab/>
      </w:r>
      <w:r w:rsidRPr="001717EA">
        <w:rPr>
          <w:lang w:val="en-GB"/>
        </w:rPr>
        <w:t>Cables</w:t>
      </w:r>
      <w:r w:rsidRPr="008F6ABB">
        <w:rPr>
          <w:lang w:val="en-GB"/>
        </w:rPr>
        <w:t xml:space="preserve"> shall be flame-retardant, self-extinguishing and resistant to water and oil.</w:t>
      </w:r>
    </w:p>
    <w:p w:rsidR="00A07DE6" w:rsidRPr="008F6ABB" w:rsidRDefault="00A07DE6" w:rsidP="00A07DE6">
      <w:pPr>
        <w:pStyle w:val="ESch"/>
        <w:rPr>
          <w:rFonts w:eastAsia="Calibri"/>
          <w:lang w:val="en-GB"/>
        </w:rPr>
      </w:pPr>
    </w:p>
    <w:p w:rsidR="00A07DE6" w:rsidRPr="008F6ABB" w:rsidRDefault="00A07DE6" w:rsidP="00A07DE6">
      <w:pPr>
        <w:pStyle w:val="ESchpar"/>
        <w:rPr>
          <w:rFonts w:eastAsia="Calibri"/>
          <w:lang w:val="en-GB"/>
        </w:rPr>
      </w:pPr>
      <w:r w:rsidRPr="008F6ABB">
        <w:rPr>
          <w:lang w:val="en-GB"/>
        </w:rPr>
        <w:t>In accommodation, the inspection body may authorise the use of other types of cables, provided they are effectively protected, flame-retardant or self-extinguishing.</w:t>
      </w:r>
    </w:p>
    <w:p w:rsidR="00A07DE6" w:rsidRPr="008F6ABB" w:rsidRDefault="00A07DE6" w:rsidP="00A07DE6">
      <w:pPr>
        <w:pStyle w:val="ESchpar"/>
        <w:rPr>
          <w:rFonts w:eastAsia="Calibri"/>
          <w:lang w:val="en-GB"/>
        </w:rPr>
      </w:pPr>
    </w:p>
    <w:p w:rsidR="00A07DE6" w:rsidRPr="008F6ABB" w:rsidRDefault="00A07DE6" w:rsidP="00A07DE6">
      <w:pPr>
        <w:pStyle w:val="ESchpar"/>
        <w:rPr>
          <w:rFonts w:eastAsia="Calibri"/>
          <w:lang w:val="en-GB"/>
        </w:rPr>
      </w:pPr>
      <w:r w:rsidRPr="008F6ABB">
        <w:rPr>
          <w:lang w:val="en-GB"/>
        </w:rPr>
        <w:t xml:space="preserve">For determining that electric cables are flame-retardant, shall </w:t>
      </w:r>
    </w:p>
    <w:p w:rsidR="00A07DE6" w:rsidRPr="008F6ABB" w:rsidRDefault="00A07DE6" w:rsidP="00A07DE6">
      <w:pPr>
        <w:pStyle w:val="ESlet"/>
        <w:rPr>
          <w:rFonts w:eastAsia="Calibri"/>
          <w:lang w:val="en-GB"/>
        </w:rPr>
      </w:pPr>
      <w:r w:rsidRPr="008F6ABB">
        <w:rPr>
          <w:lang w:val="en-GB"/>
        </w:rPr>
        <w:t>a)</w:t>
      </w:r>
      <w:r w:rsidRPr="008F6ABB">
        <w:rPr>
          <w:lang w:val="en-GB"/>
        </w:rPr>
        <w:tab/>
        <w:t xml:space="preserve">the requirements of European Standards series EN 60332-1 and EN 60332­3 in the version </w:t>
      </w:r>
      <w:r>
        <w:rPr>
          <w:lang w:val="en-GB"/>
        </w:rPr>
        <w:t>in force on 6 July 2017</w:t>
      </w:r>
      <w:r w:rsidRPr="008F6ABB">
        <w:rPr>
          <w:lang w:val="en-GB"/>
        </w:rPr>
        <w:t xml:space="preserve"> or</w:t>
      </w:r>
    </w:p>
    <w:p w:rsidR="001427DF" w:rsidRDefault="00A07DE6" w:rsidP="00A07DE6">
      <w:pPr>
        <w:pStyle w:val="ESlet"/>
        <w:rPr>
          <w:lang w:val="en-GB"/>
        </w:rPr>
      </w:pPr>
      <w:r w:rsidRPr="008F6ABB">
        <w:rPr>
          <w:lang w:val="en-GB"/>
        </w:rPr>
        <w:t>b)</w:t>
      </w:r>
      <w:r w:rsidRPr="008F6ABB">
        <w:rPr>
          <w:lang w:val="en-GB"/>
        </w:rPr>
        <w:tab/>
        <w:t xml:space="preserve">equivalent regulations </w:t>
      </w:r>
      <w:r w:rsidR="001427DF">
        <w:rPr>
          <w:lang w:val="en-GB"/>
        </w:rPr>
        <w:t xml:space="preserve">of </w:t>
      </w:r>
      <w:r w:rsidRPr="008F6ABB">
        <w:rPr>
          <w:lang w:val="en-GB"/>
        </w:rPr>
        <w:t>one of the Member States</w:t>
      </w:r>
    </w:p>
    <w:p w:rsidR="00A07DE6" w:rsidRPr="008F6ABB" w:rsidRDefault="001427DF" w:rsidP="00A07DE6">
      <w:pPr>
        <w:pStyle w:val="ESlet"/>
        <w:rPr>
          <w:rFonts w:eastAsia="Calibri"/>
          <w:lang w:val="en-GB"/>
        </w:rPr>
      </w:pPr>
      <w:r w:rsidRPr="008F6ABB">
        <w:rPr>
          <w:lang w:val="en-GB"/>
        </w:rPr>
        <w:t>be recogni</w:t>
      </w:r>
      <w:r>
        <w:rPr>
          <w:lang w:val="en-GB"/>
        </w:rPr>
        <w:t>s</w:t>
      </w:r>
      <w:r w:rsidRPr="008F6ABB">
        <w:rPr>
          <w:lang w:val="en-GB"/>
        </w:rPr>
        <w:t>ed</w:t>
      </w:r>
      <w:r>
        <w:rPr>
          <w:lang w:val="en-GB"/>
        </w:rPr>
        <w:t>.</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2.</w:t>
      </w:r>
      <w:r w:rsidRPr="008F6ABB">
        <w:rPr>
          <w:lang w:val="en-GB"/>
        </w:rPr>
        <w:tab/>
        <w:t>Conductors wires of cables used for power and lighting circuits shall have a minimum cross-section of 1,5 mm</w:t>
      </w:r>
      <w:r w:rsidRPr="008F6ABB">
        <w:rPr>
          <w:vertAlign w:val="superscript"/>
          <w:lang w:val="en-GB"/>
        </w:rPr>
        <w:t>2</w:t>
      </w:r>
      <w:r w:rsidRPr="008F6ABB">
        <w:rPr>
          <w:lang w:val="en-GB"/>
        </w:rPr>
        <w:t xml:space="preserve"> per conductor.</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3.</w:t>
      </w:r>
      <w:r w:rsidRPr="008F6ABB">
        <w:rPr>
          <w:lang w:val="en-GB"/>
        </w:rPr>
        <w:tab/>
        <w:t>Metal armouring, shielding and sheathing of cables shall not, under normal operating conditions, be used as conductors or for earthing.</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4.</w:t>
      </w:r>
      <w:r w:rsidRPr="008F6ABB">
        <w:rPr>
          <w:lang w:val="en-GB"/>
        </w:rPr>
        <w:tab/>
        <w:t>Metal shielding and sheathing of cables in power and lighting installations shall be earthed at least at one end.</w:t>
      </w:r>
    </w:p>
    <w:p w:rsidR="00A07DE6"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5.</w:t>
      </w:r>
      <w:r w:rsidRPr="008F6ABB">
        <w:rPr>
          <w:lang w:val="en-GB"/>
        </w:rPr>
        <w:tab/>
        <w:t>The cross-section of conductor wires shall comply with the final permissible maximum temperature of conductor wires (maximum permissible amperage) and permissible voltage drop. Such a drop between the main switchboard and the least favourable point of the installation shall not be more than 5</w:t>
      </w:r>
      <w:r w:rsidR="00350277">
        <w:rPr>
          <w:lang w:val="en-GB"/>
        </w:rPr>
        <w:t> </w:t>
      </w:r>
      <w:r w:rsidRPr="008F6ABB">
        <w:rPr>
          <w:lang w:val="en-GB"/>
        </w:rPr>
        <w:t>% of nominal voltage for lighting and more than 7</w:t>
      </w:r>
      <w:r w:rsidR="00350277">
        <w:rPr>
          <w:lang w:val="en-GB"/>
        </w:rPr>
        <w:t> </w:t>
      </w:r>
      <w:r w:rsidRPr="008F6ABB">
        <w:rPr>
          <w:lang w:val="en-GB"/>
        </w:rPr>
        <w:t>% for power or heating installations.</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6.</w:t>
      </w:r>
      <w:r w:rsidRPr="008F6ABB">
        <w:rPr>
          <w:lang w:val="en-GB"/>
        </w:rPr>
        <w:tab/>
        <w:t>Cables shall be protected against mechanical damage.</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7.</w:t>
      </w:r>
      <w:r w:rsidRPr="008F6ABB">
        <w:rPr>
          <w:lang w:val="en-GB"/>
        </w:rPr>
        <w:tab/>
        <w:t xml:space="preserve">Cable connections must be protected against mechanical load and against pulling load </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8.</w:t>
      </w:r>
      <w:r w:rsidRPr="008F6ABB">
        <w:rPr>
          <w:lang w:val="en-GB"/>
        </w:rPr>
        <w:tab/>
        <w:t xml:space="preserve">When cables pass through bulkheads or decks, the mechanical strength, water tightness and required fire protection properties (e.g. non-combustible, flame-retardant, fire-resistant) of these bulkheads and decks shall not be affected by </w:t>
      </w:r>
      <w:r w:rsidRPr="00C4681D">
        <w:rPr>
          <w:lang w:val="en-GB"/>
        </w:rPr>
        <w:t xml:space="preserve">these </w:t>
      </w:r>
      <w:r w:rsidRPr="008A1F8E">
        <w:rPr>
          <w:lang w:val="en-GB"/>
        </w:rPr>
        <w:t>cable</w:t>
      </w:r>
      <w:r w:rsidRPr="00C4681D">
        <w:rPr>
          <w:lang w:val="en-GB"/>
        </w:rPr>
        <w:t xml:space="preserve"> penetrat</w:t>
      </w:r>
      <w:r w:rsidRPr="008F6ABB">
        <w:rPr>
          <w:lang w:val="en-GB"/>
        </w:rPr>
        <w:t>ions.</w:t>
      </w:r>
    </w:p>
    <w:p w:rsidR="00A07DE6" w:rsidRPr="008F6ABB" w:rsidRDefault="00A07DE6" w:rsidP="00A07DE6">
      <w:pPr>
        <w:pStyle w:val="ESch"/>
        <w:rPr>
          <w:rFonts w:eastAsia="Calibri"/>
          <w:highlight w:val="yellow"/>
          <w:lang w:val="en-GB"/>
        </w:rPr>
      </w:pPr>
    </w:p>
    <w:p w:rsidR="00A07DE6" w:rsidRPr="008F6ABB" w:rsidRDefault="00A07DE6" w:rsidP="00A07DE6">
      <w:pPr>
        <w:pStyle w:val="ESch"/>
        <w:rPr>
          <w:rFonts w:eastAsia="Calibri"/>
          <w:lang w:val="en-GB"/>
        </w:rPr>
      </w:pPr>
      <w:r w:rsidRPr="008F6ABB">
        <w:rPr>
          <w:lang w:val="en-GB"/>
        </w:rPr>
        <w:t>9.</w:t>
      </w:r>
      <w:r w:rsidRPr="008F6ABB">
        <w:rPr>
          <w:lang w:val="en-GB"/>
        </w:rPr>
        <w:tab/>
        <w:t>Terminations and connections of all conductors must be designed so that the original electrical, mechanical, fire protection properties (e.g. non-combustible, flame-retardant, fire-resistant) of the cable are preserved. This requirement shall have been fulfilled if the terminations and the connections meet:</w:t>
      </w:r>
    </w:p>
    <w:p w:rsidR="00A07DE6" w:rsidRPr="008F6ABB" w:rsidRDefault="00A07DE6" w:rsidP="00A07DE6">
      <w:pPr>
        <w:pStyle w:val="ESlet"/>
        <w:rPr>
          <w:rFonts w:eastAsia="Calibri"/>
          <w:lang w:val="en-GB"/>
        </w:rPr>
      </w:pPr>
      <w:r w:rsidRPr="008F6ABB">
        <w:rPr>
          <w:lang w:val="en-GB"/>
        </w:rPr>
        <w:t>a)</w:t>
      </w:r>
      <w:r w:rsidRPr="008F6ABB">
        <w:rPr>
          <w:lang w:val="en-GB"/>
        </w:rPr>
        <w:tab/>
        <w:t>the International Standard IEC 60092­352: 20</w:t>
      </w:r>
      <w:r w:rsidR="009F398B">
        <w:rPr>
          <w:lang w:val="en-GB"/>
        </w:rPr>
        <w:t>0</w:t>
      </w:r>
      <w:r w:rsidRPr="008F6ABB">
        <w:rPr>
          <w:lang w:val="en-GB"/>
        </w:rPr>
        <w:t xml:space="preserve">5 number 3.28 in conjunction with Annex D of the standard or </w:t>
      </w:r>
    </w:p>
    <w:p w:rsidR="00A07DE6" w:rsidRPr="008F6ABB" w:rsidRDefault="00A07DE6" w:rsidP="00A07DE6">
      <w:pPr>
        <w:pStyle w:val="ESlet"/>
        <w:rPr>
          <w:rFonts w:eastAsia="Calibri"/>
          <w:lang w:val="en-GB"/>
        </w:rPr>
      </w:pPr>
      <w:r w:rsidRPr="008F6ABB">
        <w:rPr>
          <w:lang w:val="en-GB"/>
        </w:rPr>
        <w:t>b)</w:t>
      </w:r>
      <w:r w:rsidRPr="008F6ABB">
        <w:rPr>
          <w:lang w:val="en-GB"/>
        </w:rPr>
        <w:tab/>
        <w:t>equivalent regulation or Standard recognised by one of the Member States.</w:t>
      </w:r>
    </w:p>
    <w:p w:rsidR="00A07DE6" w:rsidRPr="008F6ABB" w:rsidRDefault="00A07DE6" w:rsidP="00A07DE6">
      <w:pPr>
        <w:pStyle w:val="ESlet"/>
        <w:rPr>
          <w:rFonts w:eastAsia="Calibri"/>
          <w:lang w:val="en-GB"/>
        </w:rPr>
      </w:pPr>
      <w:r w:rsidRPr="008F6ABB">
        <w:rPr>
          <w:lang w:val="en-GB"/>
        </w:rPr>
        <w:t>The number of cable connections must be restricted to a minimum.</w:t>
      </w:r>
    </w:p>
    <w:p w:rsidR="00A07DE6" w:rsidRPr="008F6ABB" w:rsidRDefault="00A07DE6" w:rsidP="00A07DE6">
      <w:pPr>
        <w:pStyle w:val="ESch"/>
        <w:rPr>
          <w:rFonts w:eastAsia="Calibri"/>
          <w:lang w:val="en-GB"/>
        </w:rPr>
      </w:pPr>
    </w:p>
    <w:p w:rsidR="00A07DE6" w:rsidRPr="00C4681D" w:rsidRDefault="00A07DE6" w:rsidP="00A07DE6">
      <w:pPr>
        <w:pStyle w:val="ESch"/>
        <w:ind w:firstLine="0"/>
        <w:rPr>
          <w:rFonts w:eastAsia="Calibri"/>
          <w:lang w:val="en-GB"/>
        </w:rPr>
      </w:pPr>
      <w:r w:rsidRPr="008F6ABB">
        <w:rPr>
          <w:lang w:val="en-GB"/>
        </w:rPr>
        <w:t>For repaired or replaced cables, sentence 1 shall have been fulfilled if the cable connections comply with International Standard IEC 60092­352: 2005 n</w:t>
      </w:r>
      <w:r w:rsidR="000236CB">
        <w:rPr>
          <w:lang w:val="en-GB"/>
        </w:rPr>
        <w:t>umber</w:t>
      </w:r>
      <w:r w:rsidRPr="008F6ABB">
        <w:rPr>
          <w:lang w:val="en-GB"/>
        </w:rPr>
        <w:t xml:space="preserve"> 3.28 in conjunction with annex D of the standard, or rules recognise</w:t>
      </w:r>
      <w:r w:rsidRPr="00C4681D">
        <w:rPr>
          <w:lang w:val="en-GB"/>
        </w:rPr>
        <w:t>d by a Member state as being equivalent.</w:t>
      </w:r>
    </w:p>
    <w:p w:rsidR="00A07DE6" w:rsidRDefault="00A07DE6" w:rsidP="00A07DE6">
      <w:pPr>
        <w:ind w:left="0" w:firstLine="0"/>
        <w:rPr>
          <w:lang w:val="en-GB"/>
        </w:rPr>
      </w:pPr>
    </w:p>
    <w:p w:rsidR="00AB2818" w:rsidRDefault="00AB2818">
      <w:pPr>
        <w:autoSpaceDE/>
        <w:autoSpaceDN/>
        <w:ind w:left="0" w:firstLine="0"/>
        <w:jc w:val="left"/>
        <w:rPr>
          <w:lang w:val="en-GB"/>
        </w:rPr>
      </w:pPr>
      <w:r>
        <w:rPr>
          <w:lang w:val="en-GB"/>
        </w:rPr>
        <w:br w:type="page"/>
      </w:r>
    </w:p>
    <w:p w:rsidR="00AB2818" w:rsidRDefault="00AB2818" w:rsidP="00A07DE6">
      <w:pPr>
        <w:ind w:left="0" w:firstLine="0"/>
        <w:rPr>
          <w:lang w:val="en-GB"/>
        </w:rPr>
      </w:pPr>
    </w:p>
    <w:p w:rsidR="00A07DE6" w:rsidRPr="001358D9" w:rsidRDefault="00A07DE6" w:rsidP="00A07DE6">
      <w:pPr>
        <w:pStyle w:val="ESch"/>
        <w:rPr>
          <w:rFonts w:eastAsia="Calibri"/>
          <w:lang w:val="en-GB"/>
        </w:rPr>
      </w:pPr>
      <w:r w:rsidRPr="00FE5499">
        <w:rPr>
          <w:lang w:val="en-GB"/>
        </w:rPr>
        <w:t>10.</w:t>
      </w:r>
      <w:r w:rsidRPr="00FE5499">
        <w:rPr>
          <w:lang w:val="en-GB"/>
        </w:rPr>
        <w:tab/>
        <w:t>Cables connected to elevating wheelhouses shall be sufficiently flexible and be fitted with insulation with sufficient flexibility at temperatures down to - 20 °C and resistant to steam and vapour, ultraviolet rays and ozone.</w:t>
      </w:r>
    </w:p>
    <w:p w:rsidR="00A07DE6" w:rsidRPr="00C4681D"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C4681D">
        <w:rPr>
          <w:lang w:val="en-GB"/>
        </w:rPr>
        <w:t>11.</w:t>
      </w:r>
      <w:r w:rsidRPr="00C4681D">
        <w:rPr>
          <w:lang w:val="en-GB"/>
        </w:rPr>
        <w:tab/>
        <w:t xml:space="preserve">When setting up cable harness penetrations, the fire protection properties of the partition must not be impaired. This shall be deemed to be met if the cables meet the provisions of the European </w:t>
      </w:r>
      <w:r w:rsidRPr="008A1F8E">
        <w:rPr>
          <w:lang w:val="en-GB"/>
        </w:rPr>
        <w:t>Standard series</w:t>
      </w:r>
      <w:r w:rsidRPr="00C4681D">
        <w:rPr>
          <w:lang w:val="en-GB"/>
        </w:rPr>
        <w:t xml:space="preserve"> </w:t>
      </w:r>
      <w:r w:rsidRPr="008A1F8E">
        <w:rPr>
          <w:lang w:val="en-GB"/>
        </w:rPr>
        <w:t xml:space="preserve">EN 60332-3 in the version </w:t>
      </w:r>
      <w:r>
        <w:rPr>
          <w:lang w:val="en-GB"/>
        </w:rPr>
        <w:t>in force on 6 July 2017</w:t>
      </w:r>
      <w:r w:rsidRPr="008F6ABB">
        <w:rPr>
          <w:lang w:val="en-GB"/>
        </w:rPr>
        <w:t xml:space="preserve"> or one of the rules recognised as an equivalent by a Member State. If this is not the case, fire stop equipment must be provided in the penetrations for long cable harnesses (more than 6 m vertical and 14 m horizontal) if the cables are not completely enclosed by cable ducts.</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12.</w:t>
      </w:r>
      <w:r w:rsidRPr="008F6ABB">
        <w:rPr>
          <w:lang w:val="en-GB"/>
        </w:rPr>
        <w:tab/>
        <w:t>Cables from an emergency electrical power source to consumer equipment</w:t>
      </w:r>
      <w:r w:rsidRPr="008F6ABB">
        <w:rPr>
          <w:szCs w:val="20"/>
          <w:lang w:val="en-GB"/>
        </w:rPr>
        <w:t xml:space="preserve"> </w:t>
      </w:r>
      <w:r w:rsidRPr="008F6ABB">
        <w:rPr>
          <w:lang w:val="en-GB"/>
        </w:rPr>
        <w:t>must be laid as far as possible in the safe area.</w:t>
      </w:r>
    </w:p>
    <w:p w:rsidR="00A07DE6" w:rsidRPr="001717EA"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13.</w:t>
      </w:r>
      <w:r w:rsidRPr="008F6ABB">
        <w:rPr>
          <w:lang w:val="en-GB"/>
        </w:rPr>
        <w:tab/>
        <w:t xml:space="preserve">The running of cables through areas with high ambient temperatures should be avoided. If this is not possible, </w:t>
      </w:r>
    </w:p>
    <w:p w:rsidR="00A07DE6" w:rsidRPr="008F6ABB" w:rsidRDefault="00A07DE6" w:rsidP="00A07DE6">
      <w:pPr>
        <w:pStyle w:val="ESlet"/>
        <w:rPr>
          <w:rFonts w:eastAsia="Calibri"/>
          <w:lang w:val="en-GB"/>
        </w:rPr>
      </w:pPr>
      <w:r w:rsidRPr="008F6ABB">
        <w:rPr>
          <w:lang w:val="en-GB"/>
        </w:rPr>
        <w:t>a)</w:t>
      </w:r>
      <w:r w:rsidRPr="008F6ABB">
        <w:rPr>
          <w:lang w:val="en-GB"/>
        </w:rPr>
        <w:tab/>
        <w:t xml:space="preserve">the ambient temperatures must be taken into account when determining the maximum permissible amperage or </w:t>
      </w:r>
    </w:p>
    <w:p w:rsidR="00A07DE6" w:rsidRPr="008F6ABB" w:rsidRDefault="00A07DE6" w:rsidP="00A07DE6">
      <w:pPr>
        <w:pStyle w:val="ESlet"/>
        <w:rPr>
          <w:rFonts w:eastAsia="Calibri"/>
          <w:lang w:val="en-GB"/>
        </w:rPr>
      </w:pPr>
      <w:r w:rsidRPr="008F6ABB">
        <w:rPr>
          <w:lang w:val="en-GB"/>
        </w:rPr>
        <w:t>b)</w:t>
      </w:r>
      <w:r w:rsidRPr="008F6ABB">
        <w:rPr>
          <w:lang w:val="en-GB"/>
        </w:rPr>
        <w:tab/>
        <w:t>the cable must be protected against damage by heat and fire.</w:t>
      </w:r>
    </w:p>
    <w:p w:rsidR="00A07DE6"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14.</w:t>
      </w:r>
      <w:r w:rsidRPr="008F6ABB">
        <w:rPr>
          <w:lang w:val="en-GB"/>
        </w:rPr>
        <w:tab/>
        <w:t>Main and emergency power supply cables must not run through the same room. The inspection body may waive this requirement if:</w:t>
      </w:r>
    </w:p>
    <w:p w:rsidR="00A07DE6" w:rsidRPr="008F6ABB" w:rsidRDefault="00A07DE6" w:rsidP="00A07DE6">
      <w:pPr>
        <w:pStyle w:val="ESlet"/>
        <w:rPr>
          <w:rFonts w:eastAsia="Calibri"/>
          <w:lang w:val="en-GB"/>
        </w:rPr>
      </w:pPr>
      <w:r w:rsidRPr="008F6ABB">
        <w:rPr>
          <w:lang w:val="en-GB"/>
        </w:rPr>
        <w:t>a)</w:t>
      </w:r>
      <w:r w:rsidRPr="008F6ABB">
        <w:rPr>
          <w:lang w:val="en-GB"/>
        </w:rPr>
        <w:tab/>
        <w:t>main and emergency power supply cables are laid as far apart from each other as possible or</w:t>
      </w:r>
    </w:p>
    <w:p w:rsidR="00A07DE6" w:rsidRPr="008F6ABB" w:rsidRDefault="00A07DE6" w:rsidP="00A07DE6">
      <w:pPr>
        <w:pStyle w:val="ESlet"/>
        <w:rPr>
          <w:rFonts w:eastAsia="Calibri"/>
          <w:lang w:val="en-GB"/>
        </w:rPr>
      </w:pPr>
      <w:r w:rsidRPr="008F6ABB">
        <w:rPr>
          <w:lang w:val="en-GB"/>
        </w:rPr>
        <w:t>b)</w:t>
      </w:r>
      <w:r w:rsidRPr="008F6ABB">
        <w:rPr>
          <w:lang w:val="en-GB"/>
        </w:rPr>
        <w:tab/>
        <w:t>the emergency power supply ca</w:t>
      </w:r>
      <w:r w:rsidRPr="00C4681D">
        <w:rPr>
          <w:lang w:val="en-GB"/>
        </w:rPr>
        <w:t xml:space="preserve">bles are fire-resistant. This </w:t>
      </w:r>
      <w:r w:rsidRPr="00FE5499">
        <w:rPr>
          <w:lang w:val="en-GB"/>
        </w:rPr>
        <w:t xml:space="preserve">requirement shall have been fulfilled if they satisfy the requirements of the International Standards series IEC 60331 </w:t>
      </w:r>
      <w:r w:rsidRPr="008A1F8E">
        <w:rPr>
          <w:lang w:val="en-GB"/>
        </w:rPr>
        <w:t xml:space="preserve">in the version in force on </w:t>
      </w:r>
      <w:r>
        <w:rPr>
          <w:lang w:val="en-GB"/>
        </w:rPr>
        <w:t>6</w:t>
      </w:r>
      <w:r w:rsidRPr="008A1F8E">
        <w:rPr>
          <w:lang w:val="en-GB"/>
        </w:rPr>
        <w:t xml:space="preserve"> July 2017</w:t>
      </w:r>
      <w:r w:rsidRPr="00C4681D">
        <w:rPr>
          <w:lang w:val="en-GB"/>
        </w:rPr>
        <w:t>.</w:t>
      </w:r>
      <w:r w:rsidRPr="008F6ABB">
        <w:rPr>
          <w:lang w:val="en-GB"/>
        </w:rPr>
        <w:t xml:space="preserve"> </w:t>
      </w:r>
    </w:p>
    <w:p w:rsidR="008A12E7" w:rsidRPr="00A07DE6" w:rsidRDefault="008A12E7" w:rsidP="00A07DE6">
      <w:pPr>
        <w:ind w:left="0" w:firstLine="0"/>
        <w:rPr>
          <w:rFonts w:cs="Arial"/>
          <w:szCs w:val="20"/>
          <w:lang w:val="en-GB"/>
        </w:rPr>
      </w:pPr>
    </w:p>
    <w:p w:rsidR="002A778C" w:rsidRPr="00C903F8" w:rsidRDefault="002A778C" w:rsidP="008A12E7">
      <w:pPr>
        <w:rPr>
          <w:rFonts w:cs="Arial"/>
          <w:szCs w:val="20"/>
          <w:lang w:val="en-US"/>
        </w:rPr>
      </w:pPr>
    </w:p>
    <w:p w:rsidR="008A12E7" w:rsidRPr="00C903F8" w:rsidRDefault="008A12E7" w:rsidP="00651EFD">
      <w:pPr>
        <w:pStyle w:val="ES-Titre3"/>
        <w:rPr>
          <w:lang w:val="en-US"/>
        </w:rPr>
      </w:pPr>
      <w:bookmarkStart w:id="104" w:name="_Toc491854093"/>
      <w:r w:rsidRPr="00C903F8">
        <w:rPr>
          <w:noProof/>
          <w:lang w:val="en-US"/>
        </w:rPr>
        <w:t>Article 10.16</w:t>
      </w:r>
      <w:r w:rsidRPr="00C903F8">
        <w:rPr>
          <w:noProof/>
          <w:lang w:val="en-US"/>
        </w:rPr>
        <w:br/>
      </w:r>
      <w:r w:rsidRPr="00C903F8">
        <w:rPr>
          <w:i/>
          <w:noProof/>
          <w:lang w:val="en-US"/>
        </w:rPr>
        <w:t>Lighting</w:t>
      </w:r>
      <w:r w:rsidRPr="00C903F8">
        <w:rPr>
          <w:bCs/>
          <w:i/>
          <w:noProof/>
          <w:lang w:val="en-US"/>
        </w:rPr>
        <w:t xml:space="preserve"> installations</w:t>
      </w:r>
      <w:bookmarkEnd w:id="104"/>
    </w:p>
    <w:p w:rsidR="00651EFD" w:rsidRPr="00C903F8" w:rsidRDefault="00651EFD" w:rsidP="008A12E7">
      <w:pPr>
        <w:rPr>
          <w:rFonts w:cs="Arial"/>
          <w:noProof/>
          <w:szCs w:val="20"/>
          <w:lang w:val="en-US"/>
        </w:rPr>
      </w:pPr>
    </w:p>
    <w:p w:rsidR="00A07DE6" w:rsidRPr="008F6ABB" w:rsidRDefault="00A07DE6" w:rsidP="00A07DE6">
      <w:pPr>
        <w:pStyle w:val="ESch"/>
        <w:rPr>
          <w:rFonts w:eastAsia="Calibri"/>
          <w:lang w:val="en-GB"/>
        </w:rPr>
      </w:pPr>
      <w:r w:rsidRPr="008F6ABB">
        <w:rPr>
          <w:lang w:val="en-GB"/>
        </w:rPr>
        <w:t>1.</w:t>
      </w:r>
      <w:r w:rsidRPr="008F6ABB">
        <w:rPr>
          <w:lang w:val="en-GB"/>
        </w:rPr>
        <w:tab/>
        <w:t>Lighting appliances shall be so installed that the heat they emit cannot set fire to nearby inflammable objects or components.</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2.</w:t>
      </w:r>
      <w:r w:rsidRPr="008F6ABB">
        <w:rPr>
          <w:lang w:val="en-GB"/>
        </w:rPr>
        <w:tab/>
        <w:t>Lighting appliances on open decks shall be so installed as not to impede the recognition of signal lights.</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3.</w:t>
      </w:r>
      <w:r w:rsidRPr="008F6ABB">
        <w:rPr>
          <w:lang w:val="en-GB"/>
        </w:rPr>
        <w:tab/>
        <w:t>When two or more lighting appliances are installed in an engine room or boiler room, they shall be distributed between at least two circuits. This requirement shall also apply to rooms where cooling machinery, hydraulic machinery or electric motors are installed.</w:t>
      </w:r>
    </w:p>
    <w:p w:rsidR="008A12E7" w:rsidRPr="00A07DE6" w:rsidRDefault="008A12E7" w:rsidP="008A12E7">
      <w:pPr>
        <w:rPr>
          <w:rFonts w:cs="Arial"/>
          <w:szCs w:val="20"/>
          <w:lang w:val="en-GB"/>
        </w:rPr>
      </w:pPr>
    </w:p>
    <w:p w:rsidR="00651EFD" w:rsidRPr="00C903F8" w:rsidRDefault="00651EFD" w:rsidP="008A12E7">
      <w:pPr>
        <w:rPr>
          <w:rFonts w:cs="Arial"/>
          <w:szCs w:val="20"/>
          <w:lang w:val="en-US"/>
        </w:rPr>
      </w:pPr>
    </w:p>
    <w:p w:rsidR="008A12E7" w:rsidRPr="00C903F8" w:rsidRDefault="008A12E7" w:rsidP="00651EFD">
      <w:pPr>
        <w:pStyle w:val="ES-Titre3"/>
        <w:rPr>
          <w:lang w:val="en-US"/>
        </w:rPr>
      </w:pPr>
      <w:bookmarkStart w:id="105" w:name="_Toc491854094"/>
      <w:r w:rsidRPr="00C903F8">
        <w:rPr>
          <w:noProof/>
          <w:lang w:val="en-US"/>
        </w:rPr>
        <w:t>Article 10.17</w:t>
      </w:r>
      <w:r w:rsidRPr="00C903F8">
        <w:rPr>
          <w:noProof/>
          <w:lang w:val="en-US"/>
        </w:rPr>
        <w:br/>
      </w:r>
      <w:r w:rsidRPr="00C903F8">
        <w:rPr>
          <w:i/>
          <w:noProof/>
          <w:lang w:val="en-US"/>
        </w:rPr>
        <w:t>Navigation</w:t>
      </w:r>
      <w:r w:rsidRPr="00C903F8">
        <w:rPr>
          <w:bCs/>
          <w:i/>
          <w:noProof/>
          <w:lang w:val="en-US"/>
        </w:rPr>
        <w:t xml:space="preserve"> lights</w:t>
      </w:r>
      <w:bookmarkEnd w:id="105"/>
    </w:p>
    <w:p w:rsidR="00651EFD" w:rsidRPr="00C903F8" w:rsidRDefault="00651EFD" w:rsidP="008A12E7">
      <w:pPr>
        <w:rPr>
          <w:rFonts w:cs="Arial"/>
          <w:noProof/>
          <w:szCs w:val="20"/>
          <w:lang w:val="en-US"/>
        </w:rPr>
      </w:pPr>
    </w:p>
    <w:p w:rsidR="00A07DE6" w:rsidRPr="008F6ABB" w:rsidRDefault="00A07DE6" w:rsidP="00A07DE6">
      <w:pPr>
        <w:pStyle w:val="ESch"/>
        <w:rPr>
          <w:rFonts w:eastAsia="Calibri"/>
          <w:lang w:val="en-GB"/>
        </w:rPr>
      </w:pPr>
      <w:r w:rsidRPr="008F6ABB">
        <w:rPr>
          <w:lang w:val="en-GB"/>
        </w:rPr>
        <w:t>1.</w:t>
      </w:r>
      <w:r w:rsidRPr="008F6ABB">
        <w:rPr>
          <w:lang w:val="en-GB"/>
        </w:rPr>
        <w:tab/>
        <w:t>Switchboards for navigation lights shall be installed in the wheelhouse. They shall be supplied by a separate cable from the main switchboard or by two independent secondary networks.</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2.</w:t>
      </w:r>
      <w:r w:rsidRPr="008F6ABB">
        <w:rPr>
          <w:lang w:val="en-GB"/>
        </w:rPr>
        <w:tab/>
        <w:t>Navigation lights shall be supplied, protected and controlled separately from the navigation lights switchboard.</w:t>
      </w:r>
    </w:p>
    <w:p w:rsidR="00A07DE6" w:rsidRDefault="00A07DE6" w:rsidP="00A07DE6">
      <w:pPr>
        <w:pStyle w:val="ESch"/>
        <w:rPr>
          <w:rFonts w:eastAsia="Calibri"/>
          <w:lang w:val="en-GB"/>
        </w:rPr>
      </w:pPr>
    </w:p>
    <w:p w:rsidR="00AB2818" w:rsidRDefault="00AB2818">
      <w:pPr>
        <w:autoSpaceDE/>
        <w:autoSpaceDN/>
        <w:ind w:left="0" w:firstLine="0"/>
        <w:jc w:val="left"/>
        <w:rPr>
          <w:rFonts w:eastAsia="Calibri"/>
          <w:lang w:val="en-GB"/>
        </w:rPr>
      </w:pPr>
      <w:r>
        <w:rPr>
          <w:rFonts w:eastAsia="Calibri"/>
          <w:lang w:val="en-GB"/>
        </w:rPr>
        <w:br w:type="page"/>
      </w:r>
    </w:p>
    <w:p w:rsidR="00AB2818" w:rsidRPr="001717EA" w:rsidRDefault="00AB2818" w:rsidP="00A07DE6">
      <w:pPr>
        <w:pStyle w:val="ESch"/>
        <w:rPr>
          <w:rFonts w:eastAsia="Calibri"/>
          <w:lang w:val="en-GB"/>
        </w:rPr>
      </w:pPr>
    </w:p>
    <w:p w:rsidR="00A07DE6" w:rsidRPr="001717EA" w:rsidRDefault="00A07DE6" w:rsidP="00A07DE6">
      <w:pPr>
        <w:pStyle w:val="ESch"/>
        <w:rPr>
          <w:rFonts w:eastAsia="Calibri"/>
          <w:lang w:val="en-GB"/>
        </w:rPr>
      </w:pPr>
      <w:r w:rsidRPr="001717EA">
        <w:rPr>
          <w:lang w:val="en-GB"/>
        </w:rPr>
        <w:t>3.</w:t>
      </w:r>
      <w:r w:rsidRPr="001717EA">
        <w:rPr>
          <w:lang w:val="en-GB"/>
        </w:rPr>
        <w:tab/>
        <w:t>A failure of the device according to Article 7.05(2) shall not impair the operation of the navigation lights which it monitors.</w:t>
      </w:r>
    </w:p>
    <w:p w:rsidR="00A07DE6" w:rsidRPr="001717EA" w:rsidRDefault="00A07DE6" w:rsidP="00A07DE6">
      <w:pPr>
        <w:pStyle w:val="ESch"/>
        <w:rPr>
          <w:rFonts w:eastAsia="Calibri"/>
          <w:lang w:val="en-GB"/>
        </w:rPr>
      </w:pPr>
    </w:p>
    <w:p w:rsidR="00A07DE6" w:rsidRPr="001717EA" w:rsidRDefault="00A07DE6" w:rsidP="00A07DE6">
      <w:pPr>
        <w:pStyle w:val="ESch"/>
        <w:rPr>
          <w:rFonts w:eastAsia="Calibri"/>
          <w:lang w:val="en-GB"/>
        </w:rPr>
      </w:pPr>
      <w:r w:rsidRPr="001717EA">
        <w:rPr>
          <w:lang w:val="en-GB"/>
        </w:rPr>
        <w:t xml:space="preserve">4. </w:t>
      </w:r>
      <w:r w:rsidRPr="001717EA">
        <w:rPr>
          <w:lang w:val="en-GB"/>
        </w:rPr>
        <w:tab/>
        <w:t>Several signal lamps forming a functional unit and installed together at the same point may be jointly supplied, controlled and monitored. The monitoring device shall be capable of identifying the failure of any one of these lights. It shall not be possible to use both light sources in a double light (two lights mounted one above the other in the same housing) simultaneously.</w:t>
      </w:r>
    </w:p>
    <w:p w:rsidR="008A12E7" w:rsidRPr="00A07DE6" w:rsidRDefault="008A12E7" w:rsidP="00651EFD">
      <w:pPr>
        <w:ind w:left="0" w:firstLine="0"/>
        <w:rPr>
          <w:rFonts w:cs="Arial"/>
          <w:szCs w:val="20"/>
          <w:lang w:val="en-GB"/>
        </w:rPr>
      </w:pPr>
    </w:p>
    <w:p w:rsidR="008A12E7" w:rsidRPr="00C903F8" w:rsidRDefault="008A12E7" w:rsidP="008A12E7">
      <w:pPr>
        <w:rPr>
          <w:rFonts w:cs="Arial"/>
          <w:szCs w:val="20"/>
          <w:lang w:val="en-US"/>
        </w:rPr>
      </w:pPr>
    </w:p>
    <w:p w:rsidR="008A12E7" w:rsidRPr="00C903F8" w:rsidRDefault="008A12E7" w:rsidP="00651EFD">
      <w:pPr>
        <w:pStyle w:val="ES-Titre3"/>
        <w:rPr>
          <w:lang w:val="en-US"/>
        </w:rPr>
      </w:pPr>
      <w:bookmarkStart w:id="106" w:name="_Toc491854095"/>
      <w:r w:rsidRPr="00C903F8">
        <w:rPr>
          <w:noProof/>
          <w:lang w:val="en-US"/>
        </w:rPr>
        <w:t>Article 10.18</w:t>
      </w:r>
      <w:r w:rsidRPr="00C903F8">
        <w:rPr>
          <w:noProof/>
          <w:lang w:val="en-US"/>
        </w:rPr>
        <w:br/>
      </w:r>
      <w:r w:rsidR="00A07DE6" w:rsidRPr="000700D7">
        <w:rPr>
          <w:i/>
          <w:lang w:val="en-GB"/>
        </w:rPr>
        <w:t>Power electronics</w:t>
      </w:r>
      <w:bookmarkEnd w:id="106"/>
    </w:p>
    <w:p w:rsidR="00651EFD" w:rsidRPr="00C903F8" w:rsidRDefault="00651EFD" w:rsidP="00651EFD">
      <w:pPr>
        <w:ind w:left="0" w:firstLine="0"/>
        <w:rPr>
          <w:rFonts w:cs="Arial"/>
          <w:noProof/>
          <w:szCs w:val="20"/>
          <w:lang w:val="en-US"/>
        </w:rPr>
      </w:pPr>
    </w:p>
    <w:p w:rsidR="00A07DE6" w:rsidRPr="008F6ABB" w:rsidRDefault="00A07DE6" w:rsidP="00A07DE6">
      <w:pPr>
        <w:pStyle w:val="ESch"/>
        <w:rPr>
          <w:rFonts w:eastAsia="Calibri"/>
          <w:lang w:val="en-GB"/>
        </w:rPr>
      </w:pPr>
      <w:r w:rsidRPr="008F6ABB">
        <w:rPr>
          <w:lang w:val="en-GB"/>
        </w:rPr>
        <w:t>1.</w:t>
      </w:r>
      <w:r w:rsidRPr="008F6ABB">
        <w:rPr>
          <w:lang w:val="en-GB"/>
        </w:rPr>
        <w:tab/>
        <w:t xml:space="preserve">A separate device for disconnecting from the mains must be provided for each power electronics system. The combination fuse – </w:t>
      </w:r>
      <w:r>
        <w:rPr>
          <w:lang w:val="en-GB"/>
        </w:rPr>
        <w:t>switch</w:t>
      </w:r>
      <w:r w:rsidRPr="008F6ABB">
        <w:rPr>
          <w:lang w:val="en-GB"/>
        </w:rPr>
        <w:t xml:space="preserve"> may be used for consumer equipment up to a nominal current of 315 A. In all other cases, a circuit-breaker must be provided on the network side.</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2.</w:t>
      </w:r>
      <w:r w:rsidRPr="008F6ABB">
        <w:rPr>
          <w:lang w:val="en-GB"/>
        </w:rPr>
        <w:tab/>
        <w:t>The power electronics should be readily accessible for repairs and measurements. Appropriate devices must be provided for checking functions and detecting malfunctions.</w:t>
      </w:r>
    </w:p>
    <w:p w:rsidR="00A07DE6"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3.</w:t>
      </w:r>
      <w:r w:rsidRPr="008F6ABB">
        <w:rPr>
          <w:lang w:val="en-GB"/>
        </w:rPr>
        <w:tab/>
        <w:t>Control and signal electronics must be galvanically separated from power circuits.</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4.</w:t>
      </w:r>
      <w:r w:rsidRPr="008F6ABB">
        <w:rPr>
          <w:lang w:val="en-GB"/>
        </w:rPr>
        <w:tab/>
        <w:t>Converter systems must ensure safe operation even with the largest permissible voltage and frequency fluctuations. For impermissibly high frequency and/or voltage variations in the supply voltage, the system must switch itself off or remain in a safe operating condition.</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5.</w:t>
      </w:r>
      <w:r w:rsidRPr="008F6ABB">
        <w:rPr>
          <w:lang w:val="en-GB"/>
        </w:rPr>
        <w:tab/>
        <w:t xml:space="preserve">Electric charges in assemblies should be reduced to a voltage below 50V in less than 5 seconds after disconnecting from the network. If longer discharge times are required, a warning sign must be affixed to the device. </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6.</w:t>
      </w:r>
      <w:r w:rsidRPr="008F6ABB">
        <w:rPr>
          <w:lang w:val="en-GB"/>
        </w:rPr>
        <w:tab/>
        <w:t>The failure of external control signals must not lead to a dangerous condition.</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7.</w:t>
      </w:r>
      <w:r w:rsidRPr="008F6ABB">
        <w:rPr>
          <w:lang w:val="en-GB"/>
        </w:rPr>
        <w:tab/>
        <w:t>Power electronics must be designed and installed in such a way that the failure of control voltages cannot lead to threats or damage to the system or device where the power electronics is installed, or to the overall system.</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8.</w:t>
      </w:r>
      <w:r w:rsidRPr="008F6ABB">
        <w:rPr>
          <w:lang w:val="en-GB"/>
        </w:rPr>
        <w:tab/>
        <w:t xml:space="preserve">In installation which is required for propulsion and manoeuvrability as well as safety of the crew, </w:t>
      </w:r>
      <w:r>
        <w:rPr>
          <w:lang w:val="en-GB"/>
        </w:rPr>
        <w:t xml:space="preserve">craft </w:t>
      </w:r>
      <w:r w:rsidRPr="008F6ABB">
        <w:rPr>
          <w:lang w:val="en-GB"/>
        </w:rPr>
        <w:t>or cargo, components must be provided for monitoring the individual power electronic assemblies and subsystems in order to facilitate error detection in the event of a malfunction and prevent the existence of undetected errors.</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9.</w:t>
      </w:r>
      <w:r w:rsidRPr="008F6ABB">
        <w:rPr>
          <w:lang w:val="en-GB"/>
        </w:rPr>
        <w:tab/>
        <w:t>The monitoring of the power electronics must detect errors with certainty and prevent them from remaining unrecognised.</w:t>
      </w:r>
    </w:p>
    <w:p w:rsidR="00A07DE6" w:rsidRPr="008F6ABB"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10.</w:t>
      </w:r>
      <w:r w:rsidRPr="008F6ABB">
        <w:rPr>
          <w:lang w:val="en-GB"/>
        </w:rPr>
        <w:tab/>
        <w:t>Except for components, only power electronics that have undergone type examination may be used. If the power electronics feature protective and monitoring devices, the examination must also include proof of the response thresholds and coordinated interaction of all protective and monitoring equipment. The type examination report is to be included with the system documentation.</w:t>
      </w:r>
    </w:p>
    <w:p w:rsidR="008A12E7" w:rsidRPr="00A07DE6" w:rsidRDefault="008A12E7" w:rsidP="00AA5633">
      <w:pPr>
        <w:pStyle w:val="ESch"/>
        <w:rPr>
          <w:lang w:val="en-GB"/>
        </w:rPr>
      </w:pPr>
    </w:p>
    <w:p w:rsidR="00AB2818" w:rsidRDefault="00AB2818">
      <w:pPr>
        <w:autoSpaceDE/>
        <w:autoSpaceDN/>
        <w:ind w:left="0" w:firstLine="0"/>
        <w:jc w:val="left"/>
        <w:rPr>
          <w:lang w:val="en-US"/>
        </w:rPr>
      </w:pPr>
      <w:r>
        <w:rPr>
          <w:lang w:val="en-US"/>
        </w:rPr>
        <w:br w:type="page"/>
      </w:r>
    </w:p>
    <w:p w:rsidR="004E6822" w:rsidRPr="00C903F8" w:rsidRDefault="004E6822" w:rsidP="00AA5633">
      <w:pPr>
        <w:pStyle w:val="ESch"/>
        <w:rPr>
          <w:lang w:val="en-US"/>
        </w:rPr>
      </w:pPr>
    </w:p>
    <w:p w:rsidR="008A12E7" w:rsidRPr="00C903F8" w:rsidRDefault="008A12E7" w:rsidP="00651EFD">
      <w:pPr>
        <w:pStyle w:val="ES-Titre3"/>
        <w:rPr>
          <w:lang w:val="en-US"/>
        </w:rPr>
      </w:pPr>
      <w:bookmarkStart w:id="107" w:name="_Toc491854096"/>
      <w:r w:rsidRPr="00C903F8">
        <w:rPr>
          <w:noProof/>
          <w:lang w:val="en-US"/>
        </w:rPr>
        <w:t>Article 10.19</w:t>
      </w:r>
      <w:r w:rsidRPr="00C903F8">
        <w:rPr>
          <w:noProof/>
          <w:lang w:val="en-US"/>
        </w:rPr>
        <w:br/>
      </w:r>
      <w:r w:rsidR="00A07DE6" w:rsidRPr="00F90337">
        <w:rPr>
          <w:i/>
          <w:lang w:val="en-GB"/>
        </w:rPr>
        <w:t>Alarm and safety systems for mechanical installations</w:t>
      </w:r>
      <w:bookmarkEnd w:id="107"/>
    </w:p>
    <w:p w:rsidR="00651EFD" w:rsidRPr="00C903F8" w:rsidRDefault="00651EFD" w:rsidP="008A12E7">
      <w:pPr>
        <w:rPr>
          <w:rFonts w:cs="Arial"/>
          <w:noProof/>
          <w:szCs w:val="20"/>
          <w:lang w:val="en-US"/>
        </w:rPr>
      </w:pPr>
    </w:p>
    <w:p w:rsidR="00A07DE6" w:rsidRPr="008F6ABB" w:rsidRDefault="00A07DE6" w:rsidP="00A07DE6">
      <w:pPr>
        <w:pStyle w:val="ESgauche"/>
        <w:rPr>
          <w:rFonts w:eastAsia="Calibri"/>
          <w:noProof w:val="0"/>
          <w:lang w:val="en-GB"/>
        </w:rPr>
      </w:pPr>
      <w:r w:rsidRPr="008F6ABB">
        <w:rPr>
          <w:noProof w:val="0"/>
          <w:lang w:val="en-GB"/>
        </w:rPr>
        <w:t>Alarm and safety systems for monitoring and protecting mechanical equipment shall meet the following requirements:</w:t>
      </w:r>
    </w:p>
    <w:p w:rsidR="00A07DE6" w:rsidRPr="008F6ABB" w:rsidRDefault="00A07DE6" w:rsidP="00AA5633">
      <w:pPr>
        <w:pStyle w:val="ESch"/>
        <w:rPr>
          <w:rFonts w:eastAsia="Calibri"/>
          <w:lang w:val="en-GB"/>
        </w:rPr>
      </w:pPr>
    </w:p>
    <w:p w:rsidR="00A07DE6" w:rsidRPr="008F6ABB" w:rsidRDefault="00A07DE6" w:rsidP="00A07DE6">
      <w:pPr>
        <w:pStyle w:val="ESch"/>
        <w:rPr>
          <w:rFonts w:eastAsia="Calibri"/>
          <w:lang w:val="en-GB"/>
        </w:rPr>
      </w:pPr>
      <w:r w:rsidRPr="008F6ABB">
        <w:rPr>
          <w:lang w:val="en-GB"/>
        </w:rPr>
        <w:t>1.</w:t>
      </w:r>
      <w:r w:rsidRPr="008F6ABB">
        <w:rPr>
          <w:lang w:val="en-GB"/>
        </w:rPr>
        <w:tab/>
        <w:t>Alarm systems:</w:t>
      </w:r>
    </w:p>
    <w:p w:rsidR="00A07DE6" w:rsidRPr="008F6ABB" w:rsidRDefault="00A07DE6" w:rsidP="00A07DE6">
      <w:pPr>
        <w:pStyle w:val="ESchpar"/>
        <w:rPr>
          <w:rFonts w:eastAsia="Calibri"/>
          <w:lang w:val="en-GB"/>
        </w:rPr>
      </w:pPr>
    </w:p>
    <w:p w:rsidR="00A07DE6" w:rsidRPr="008F6ABB" w:rsidRDefault="00A07DE6" w:rsidP="00A07DE6">
      <w:pPr>
        <w:pStyle w:val="ESchpar"/>
        <w:rPr>
          <w:rFonts w:eastAsia="Calibri"/>
          <w:lang w:val="en-GB"/>
        </w:rPr>
      </w:pPr>
      <w:r w:rsidRPr="008F6ABB">
        <w:rPr>
          <w:lang w:val="en-GB"/>
        </w:rPr>
        <w:t>Alarm systems shall be so constructed that a failure in the alarm system cannot result in a failure of the equipment or installation being monitored.</w:t>
      </w:r>
    </w:p>
    <w:p w:rsidR="00A07DE6" w:rsidRPr="008F6ABB" w:rsidRDefault="00A07DE6" w:rsidP="00A07DE6">
      <w:pPr>
        <w:pStyle w:val="ESchpar"/>
        <w:rPr>
          <w:rFonts w:eastAsia="Calibri"/>
          <w:lang w:val="en-GB"/>
        </w:rPr>
      </w:pPr>
    </w:p>
    <w:p w:rsidR="00A07DE6" w:rsidRPr="008F6ABB" w:rsidRDefault="00A07DE6" w:rsidP="00A07DE6">
      <w:pPr>
        <w:pStyle w:val="ESchpar"/>
        <w:rPr>
          <w:rFonts w:eastAsia="Calibri"/>
          <w:lang w:val="en-GB"/>
        </w:rPr>
      </w:pPr>
      <w:r w:rsidRPr="008F6ABB">
        <w:rPr>
          <w:lang w:val="en-GB"/>
        </w:rPr>
        <w:t>Binary transmitters shall be designed on the rest-current principle or on the supervised operating current principle.</w:t>
      </w:r>
    </w:p>
    <w:p w:rsidR="00A07DE6" w:rsidRPr="008F6ABB" w:rsidRDefault="00A07DE6" w:rsidP="00A07DE6">
      <w:pPr>
        <w:pStyle w:val="ESchpar"/>
        <w:rPr>
          <w:rFonts w:eastAsia="Calibri"/>
          <w:lang w:val="en-GB"/>
        </w:rPr>
      </w:pPr>
    </w:p>
    <w:p w:rsidR="00A07DE6" w:rsidRPr="008F6ABB" w:rsidRDefault="00A07DE6" w:rsidP="00A07DE6">
      <w:pPr>
        <w:pStyle w:val="ESchpar"/>
        <w:rPr>
          <w:rFonts w:eastAsia="Calibri"/>
          <w:lang w:val="en-GB"/>
        </w:rPr>
      </w:pPr>
      <w:r w:rsidRPr="008F6ABB">
        <w:rPr>
          <w:lang w:val="en-GB"/>
        </w:rPr>
        <w:t>Optical alarms shall remain visible until the malfunction has been remedied; an alarm with acknowledgement shall be distinguishable from an alarm without acknowledgement. Each alarm shall also comprise an acoustic signal. It shall be possible to switch off acoustic alarms. Switching off one alarm signal shall not prevent another signal from being set off by another causes.</w:t>
      </w:r>
    </w:p>
    <w:p w:rsidR="00A07DE6" w:rsidRPr="008F6ABB" w:rsidRDefault="00A07DE6" w:rsidP="00A07DE6">
      <w:pPr>
        <w:pStyle w:val="ESchpar"/>
        <w:rPr>
          <w:rFonts w:eastAsia="Calibri"/>
          <w:lang w:val="en-GB"/>
        </w:rPr>
      </w:pPr>
    </w:p>
    <w:p w:rsidR="00A07DE6" w:rsidRPr="008F6ABB" w:rsidRDefault="00A07DE6" w:rsidP="00A07DE6">
      <w:pPr>
        <w:pStyle w:val="ESchpar"/>
        <w:rPr>
          <w:rFonts w:eastAsia="Calibri"/>
          <w:lang w:val="en-GB"/>
        </w:rPr>
      </w:pPr>
      <w:r w:rsidRPr="008F6ABB">
        <w:rPr>
          <w:lang w:val="en-GB"/>
        </w:rPr>
        <w:t>Exceptions shall be permitted by the inspection body in the case of alarm systems comprising less than five measurement points.</w:t>
      </w:r>
    </w:p>
    <w:p w:rsidR="00A07DE6" w:rsidRDefault="00A07DE6" w:rsidP="00A07DE6">
      <w:pPr>
        <w:pStyle w:val="ESch"/>
        <w:rPr>
          <w:rFonts w:eastAsia="Calibri"/>
          <w:lang w:val="en-GB"/>
        </w:rPr>
      </w:pPr>
    </w:p>
    <w:p w:rsidR="00A07DE6" w:rsidRPr="008F6ABB" w:rsidRDefault="00A07DE6" w:rsidP="00A07DE6">
      <w:pPr>
        <w:pStyle w:val="ESch"/>
        <w:rPr>
          <w:rFonts w:eastAsia="Calibri"/>
          <w:lang w:val="en-GB"/>
        </w:rPr>
      </w:pPr>
      <w:r w:rsidRPr="008F6ABB">
        <w:rPr>
          <w:lang w:val="en-GB"/>
        </w:rPr>
        <w:t>2.</w:t>
      </w:r>
      <w:r w:rsidRPr="008F6ABB">
        <w:rPr>
          <w:lang w:val="en-GB"/>
        </w:rPr>
        <w:tab/>
        <w:t>Safety systems:</w:t>
      </w:r>
    </w:p>
    <w:p w:rsidR="00A07DE6" w:rsidRPr="008F6ABB" w:rsidRDefault="00A07DE6" w:rsidP="00A07DE6">
      <w:pPr>
        <w:pStyle w:val="ESchpar"/>
        <w:rPr>
          <w:rFonts w:eastAsia="Calibri"/>
          <w:lang w:val="en-GB"/>
        </w:rPr>
      </w:pPr>
    </w:p>
    <w:p w:rsidR="00A07DE6" w:rsidRPr="008F6ABB" w:rsidRDefault="00A07DE6" w:rsidP="00A07DE6">
      <w:pPr>
        <w:pStyle w:val="ESchpar"/>
        <w:rPr>
          <w:rFonts w:eastAsia="Calibri"/>
          <w:lang w:val="en-GB"/>
        </w:rPr>
      </w:pPr>
      <w:r w:rsidRPr="008F6ABB">
        <w:rPr>
          <w:lang w:val="en-GB"/>
        </w:rPr>
        <w:t>Safety systems shall be designed to halt or slow down the operation of the affected installation or to signal a permanently manned station to do so before a critical state is reached.</w:t>
      </w:r>
    </w:p>
    <w:p w:rsidR="00A07DE6" w:rsidRPr="008F6ABB" w:rsidRDefault="00A07DE6" w:rsidP="00A07DE6">
      <w:pPr>
        <w:pStyle w:val="ESchpar"/>
        <w:rPr>
          <w:rFonts w:eastAsia="Calibri"/>
          <w:lang w:val="en-GB"/>
        </w:rPr>
      </w:pPr>
    </w:p>
    <w:p w:rsidR="00A07DE6" w:rsidRPr="008F6ABB" w:rsidRDefault="00A07DE6" w:rsidP="00A07DE6">
      <w:pPr>
        <w:pStyle w:val="ESchpar"/>
        <w:rPr>
          <w:rFonts w:eastAsia="Calibri"/>
          <w:lang w:val="en-GB"/>
        </w:rPr>
      </w:pPr>
      <w:r w:rsidRPr="008F6ABB">
        <w:rPr>
          <w:lang w:val="en-GB"/>
        </w:rPr>
        <w:t>Binary transmitters shall be designed according to the operating current principle.</w:t>
      </w:r>
    </w:p>
    <w:p w:rsidR="00A07DE6" w:rsidRPr="008F6ABB" w:rsidRDefault="00A07DE6" w:rsidP="00A07DE6">
      <w:pPr>
        <w:pStyle w:val="ESchpar"/>
        <w:rPr>
          <w:rFonts w:eastAsia="Calibri"/>
          <w:lang w:val="en-GB"/>
        </w:rPr>
      </w:pPr>
    </w:p>
    <w:p w:rsidR="00A07DE6" w:rsidRPr="008F6ABB" w:rsidRDefault="00A07DE6" w:rsidP="00A07DE6">
      <w:pPr>
        <w:pStyle w:val="ESchpar"/>
        <w:rPr>
          <w:rFonts w:eastAsia="Calibri"/>
          <w:lang w:val="en-GB"/>
        </w:rPr>
      </w:pPr>
      <w:r w:rsidRPr="008F6ABB">
        <w:rPr>
          <w:lang w:val="en-GB"/>
        </w:rPr>
        <w:t>If safety systems are not designed to be self-monitoring, their operation must be verifiable.</w:t>
      </w:r>
    </w:p>
    <w:p w:rsidR="00A07DE6" w:rsidRPr="008F6ABB" w:rsidRDefault="00A07DE6" w:rsidP="00A07DE6">
      <w:pPr>
        <w:pStyle w:val="ESchpar"/>
        <w:rPr>
          <w:rFonts w:eastAsia="Calibri"/>
          <w:lang w:val="en-GB"/>
        </w:rPr>
      </w:pPr>
    </w:p>
    <w:p w:rsidR="00A07DE6" w:rsidRPr="008F6ABB" w:rsidRDefault="00A07DE6" w:rsidP="00A07DE6">
      <w:pPr>
        <w:pStyle w:val="ESchpar"/>
        <w:rPr>
          <w:rFonts w:eastAsia="Calibri"/>
          <w:lang w:val="en-GB"/>
        </w:rPr>
      </w:pPr>
      <w:r w:rsidRPr="008F6ABB">
        <w:rPr>
          <w:lang w:val="en-GB"/>
        </w:rPr>
        <w:t>Safety systems must be independent of other systems.</w:t>
      </w:r>
    </w:p>
    <w:p w:rsidR="008A12E7" w:rsidRPr="00A07DE6" w:rsidRDefault="008A12E7" w:rsidP="008A12E7">
      <w:pPr>
        <w:rPr>
          <w:rFonts w:cs="Arial"/>
          <w:szCs w:val="20"/>
          <w:lang w:val="en-GB"/>
        </w:rPr>
      </w:pPr>
    </w:p>
    <w:p w:rsidR="0009596F" w:rsidRPr="00C903F8" w:rsidRDefault="0009596F" w:rsidP="008A12E7">
      <w:pPr>
        <w:rPr>
          <w:rFonts w:cs="Arial"/>
          <w:szCs w:val="20"/>
          <w:lang w:val="en-US"/>
        </w:rPr>
      </w:pPr>
    </w:p>
    <w:p w:rsidR="008A12E7" w:rsidRPr="00C903F8" w:rsidRDefault="008A12E7" w:rsidP="00F06174">
      <w:pPr>
        <w:pStyle w:val="ES-Titre3"/>
        <w:rPr>
          <w:lang w:val="en-US"/>
        </w:rPr>
      </w:pPr>
      <w:bookmarkStart w:id="108" w:name="_Toc491854097"/>
      <w:r w:rsidRPr="00C903F8">
        <w:rPr>
          <w:noProof/>
          <w:lang w:val="en-US"/>
        </w:rPr>
        <w:t>Article 10.20</w:t>
      </w:r>
      <w:r w:rsidRPr="00C903F8">
        <w:rPr>
          <w:noProof/>
          <w:lang w:val="en-US"/>
        </w:rPr>
        <w:br/>
      </w:r>
      <w:r w:rsidR="00A07DE6" w:rsidRPr="00184F22">
        <w:rPr>
          <w:i/>
          <w:lang w:val="en-GB"/>
        </w:rPr>
        <w:t>Test conditions for electronic installations</w:t>
      </w:r>
      <w:bookmarkEnd w:id="108"/>
    </w:p>
    <w:p w:rsidR="00F06174" w:rsidRPr="00C903F8" w:rsidRDefault="00F06174" w:rsidP="00F06174">
      <w:pPr>
        <w:ind w:left="0" w:firstLine="0"/>
        <w:rPr>
          <w:rFonts w:cs="Arial"/>
          <w:noProof/>
          <w:szCs w:val="20"/>
          <w:lang w:val="en-US"/>
        </w:rPr>
      </w:pPr>
    </w:p>
    <w:p w:rsidR="00A07DE6" w:rsidRPr="00A07DE6" w:rsidRDefault="00A07DE6" w:rsidP="00A07DE6">
      <w:pPr>
        <w:spacing w:line="240" w:lineRule="atLeast"/>
        <w:ind w:left="567" w:hanging="567"/>
        <w:rPr>
          <w:lang w:val="en-GB"/>
        </w:rPr>
      </w:pPr>
      <w:r w:rsidRPr="00A07DE6">
        <w:rPr>
          <w:lang w:val="en-GB"/>
        </w:rPr>
        <w:t>1.</w:t>
      </w:r>
      <w:r w:rsidRPr="00A07DE6">
        <w:rPr>
          <w:lang w:val="en-GB"/>
        </w:rPr>
        <w:tab/>
        <w:t>General</w:t>
      </w:r>
    </w:p>
    <w:p w:rsidR="00A07DE6" w:rsidRPr="00A07DE6" w:rsidRDefault="00A07DE6" w:rsidP="00A07DE6">
      <w:pPr>
        <w:spacing w:line="240" w:lineRule="atLeast"/>
        <w:ind w:left="567" w:firstLine="0"/>
        <w:rPr>
          <w:lang w:val="en-GB"/>
        </w:rPr>
      </w:pPr>
    </w:p>
    <w:p w:rsidR="00A07DE6" w:rsidRPr="00A07DE6" w:rsidRDefault="00A07DE6" w:rsidP="00A07DE6">
      <w:pPr>
        <w:spacing w:line="240" w:lineRule="atLeast"/>
        <w:ind w:left="567" w:firstLine="0"/>
        <w:rPr>
          <w:lang w:val="en-GB"/>
        </w:rPr>
      </w:pPr>
      <w:r w:rsidRPr="00A07DE6">
        <w:rPr>
          <w:lang w:val="en-GB"/>
        </w:rPr>
        <w:t>The test conditions in (2) shall apply only to electronic equipment that are necessary for the steering system and the craft's propulsion machinery, including their ancillaries.</w:t>
      </w:r>
    </w:p>
    <w:p w:rsidR="00A07DE6" w:rsidRPr="00A07DE6" w:rsidRDefault="00A07DE6" w:rsidP="00A07DE6">
      <w:pPr>
        <w:spacing w:line="240" w:lineRule="atLeast"/>
        <w:ind w:left="567" w:hanging="567"/>
        <w:rPr>
          <w:lang w:val="en-GB"/>
        </w:rPr>
      </w:pPr>
    </w:p>
    <w:p w:rsidR="00A07DE6" w:rsidRPr="00A07DE6" w:rsidRDefault="00A07DE6" w:rsidP="00A07DE6">
      <w:pPr>
        <w:spacing w:line="240" w:lineRule="atLeast"/>
        <w:ind w:left="567" w:hanging="567"/>
        <w:rPr>
          <w:lang w:val="en-GB"/>
        </w:rPr>
      </w:pPr>
      <w:r w:rsidRPr="00A07DE6">
        <w:rPr>
          <w:lang w:val="en-GB"/>
        </w:rPr>
        <w:t>2.</w:t>
      </w:r>
      <w:r w:rsidRPr="00A07DE6">
        <w:rPr>
          <w:lang w:val="en-GB"/>
        </w:rPr>
        <w:tab/>
        <w:t>Test conditions</w:t>
      </w:r>
    </w:p>
    <w:p w:rsidR="00A07DE6" w:rsidRPr="00A07DE6" w:rsidRDefault="00A07DE6" w:rsidP="00A07DE6">
      <w:pPr>
        <w:spacing w:before="60" w:line="240" w:lineRule="atLeast"/>
        <w:ind w:left="992"/>
        <w:rPr>
          <w:lang w:val="en-GB"/>
        </w:rPr>
      </w:pPr>
      <w:r w:rsidRPr="00A07DE6">
        <w:rPr>
          <w:lang w:val="en-GB"/>
        </w:rPr>
        <w:t>a)</w:t>
      </w:r>
      <w:r w:rsidRPr="00A07DE6">
        <w:rPr>
          <w:lang w:val="en-GB"/>
        </w:rPr>
        <w:tab/>
        <w:t>The stresses arising from the following tests shall not cause electronic equipment to be damaged or to malfunction. The tests in accordance with relevant International Standards, such as IEC 60092-504: 2016, apart from the cold-condition test, shall be carried out with the equipment switched on. These tests shall include checking of proper operation.</w:t>
      </w:r>
    </w:p>
    <w:p w:rsidR="00AB2818" w:rsidRDefault="00AB2818">
      <w:pPr>
        <w:autoSpaceDE/>
        <w:autoSpaceDN/>
        <w:ind w:left="0" w:firstLine="0"/>
        <w:jc w:val="left"/>
        <w:rPr>
          <w:lang w:val="en-GB"/>
        </w:rPr>
      </w:pPr>
      <w:r>
        <w:rPr>
          <w:lang w:val="en-GB"/>
        </w:rPr>
        <w:br w:type="page"/>
      </w:r>
    </w:p>
    <w:p w:rsidR="00AB2818" w:rsidRDefault="00AB2818" w:rsidP="00A07DE6">
      <w:pPr>
        <w:spacing w:before="60" w:line="240" w:lineRule="atLeast"/>
        <w:ind w:left="992"/>
        <w:rPr>
          <w:lang w:val="en-GB"/>
        </w:rPr>
      </w:pPr>
    </w:p>
    <w:p w:rsidR="00A07DE6" w:rsidRPr="00A07DE6" w:rsidRDefault="00A07DE6" w:rsidP="00A07DE6">
      <w:pPr>
        <w:spacing w:before="60" w:line="240" w:lineRule="atLeast"/>
        <w:ind w:left="992"/>
        <w:rPr>
          <w:lang w:val="en-GB"/>
        </w:rPr>
      </w:pPr>
      <w:r w:rsidRPr="00A07DE6">
        <w:rPr>
          <w:lang w:val="en-GB"/>
        </w:rPr>
        <w:t>b)</w:t>
      </w:r>
      <w:r w:rsidRPr="00A07DE6">
        <w:rPr>
          <w:lang w:val="en-GB"/>
        </w:rPr>
        <w:tab/>
        <w:t>Variations in voltage and frequency</w:t>
      </w:r>
    </w:p>
    <w:p w:rsidR="00A07DE6" w:rsidRPr="00A07DE6" w:rsidRDefault="00A07DE6" w:rsidP="00A07DE6">
      <w:pPr>
        <w:spacing w:line="240" w:lineRule="atLeast"/>
        <w:ind w:left="567" w:hanging="567"/>
        <w:rPr>
          <w:lang w:val="en-GB"/>
        </w:rPr>
      </w:pPr>
    </w:p>
    <w:tbl>
      <w:tblPr>
        <w:tblW w:w="0" w:type="auto"/>
        <w:jc w:val="center"/>
        <w:tblLayout w:type="fixed"/>
        <w:tblCellMar>
          <w:left w:w="70" w:type="dxa"/>
          <w:right w:w="70" w:type="dxa"/>
        </w:tblCellMar>
        <w:tblLook w:val="0000" w:firstRow="0" w:lastRow="0" w:firstColumn="0" w:lastColumn="0" w:noHBand="0" w:noVBand="0"/>
      </w:tblPr>
      <w:tblGrid>
        <w:gridCol w:w="1985"/>
        <w:gridCol w:w="1701"/>
        <w:gridCol w:w="2155"/>
        <w:gridCol w:w="2155"/>
      </w:tblGrid>
      <w:tr w:rsidR="00A07DE6" w:rsidRPr="00A07DE6" w:rsidTr="00A07DE6">
        <w:trPr>
          <w:cantSplit/>
          <w:jc w:val="center"/>
        </w:trPr>
        <w:tc>
          <w:tcPr>
            <w:tcW w:w="1985" w:type="dxa"/>
            <w:tcBorders>
              <w:top w:val="single" w:sz="6" w:space="0" w:color="auto"/>
              <w:left w:val="single" w:sz="6" w:space="0" w:color="auto"/>
            </w:tcBorders>
            <w:vAlign w:val="center"/>
          </w:tcPr>
          <w:p w:rsidR="00A07DE6" w:rsidRPr="00A07DE6" w:rsidRDefault="00A07DE6" w:rsidP="00A07DE6">
            <w:pPr>
              <w:spacing w:before="60" w:after="60" w:line="240" w:lineRule="atLeast"/>
              <w:ind w:left="0" w:firstLine="0"/>
              <w:jc w:val="center"/>
              <w:rPr>
                <w:sz w:val="18"/>
                <w:lang w:val="en-US"/>
              </w:rPr>
            </w:pPr>
          </w:p>
        </w:tc>
        <w:tc>
          <w:tcPr>
            <w:tcW w:w="1701" w:type="dxa"/>
            <w:tcBorders>
              <w:top w:val="single" w:sz="6" w:space="0" w:color="auto"/>
              <w:left w:val="single" w:sz="6" w:space="0" w:color="auto"/>
              <w:right w:val="single" w:sz="6" w:space="0" w:color="auto"/>
            </w:tcBorders>
            <w:vAlign w:val="center"/>
          </w:tcPr>
          <w:p w:rsidR="00A07DE6" w:rsidRPr="00A07DE6" w:rsidRDefault="00A07DE6" w:rsidP="00A07DE6">
            <w:pPr>
              <w:spacing w:before="60" w:after="60" w:line="240" w:lineRule="atLeast"/>
              <w:ind w:left="0" w:firstLine="0"/>
              <w:jc w:val="center"/>
              <w:rPr>
                <w:sz w:val="18"/>
                <w:lang w:val="en-US"/>
              </w:rPr>
            </w:pPr>
            <w:r w:rsidRPr="00A07DE6">
              <w:rPr>
                <w:sz w:val="18"/>
                <w:lang w:val="en-US"/>
              </w:rPr>
              <w:t>Parameters</w:t>
            </w:r>
          </w:p>
        </w:tc>
        <w:tc>
          <w:tcPr>
            <w:tcW w:w="4310" w:type="dxa"/>
            <w:gridSpan w:val="2"/>
            <w:tcBorders>
              <w:top w:val="single" w:sz="6" w:space="0" w:color="auto"/>
              <w:right w:val="single" w:sz="6" w:space="0" w:color="auto"/>
            </w:tcBorders>
            <w:vAlign w:val="center"/>
          </w:tcPr>
          <w:p w:rsidR="00A07DE6" w:rsidRPr="00A07DE6" w:rsidRDefault="00A07DE6" w:rsidP="00A07DE6">
            <w:pPr>
              <w:spacing w:before="60" w:after="60" w:line="240" w:lineRule="atLeast"/>
              <w:ind w:left="0" w:firstLine="0"/>
              <w:jc w:val="center"/>
              <w:rPr>
                <w:sz w:val="18"/>
                <w:lang w:val="en-US"/>
              </w:rPr>
            </w:pPr>
            <w:r w:rsidRPr="00A07DE6">
              <w:rPr>
                <w:sz w:val="18"/>
                <w:lang w:val="en-US"/>
              </w:rPr>
              <w:t>Variations</w:t>
            </w:r>
          </w:p>
        </w:tc>
      </w:tr>
      <w:tr w:rsidR="00A07DE6" w:rsidRPr="00A07DE6" w:rsidTr="00A07DE6">
        <w:trPr>
          <w:cantSplit/>
          <w:jc w:val="center"/>
        </w:trPr>
        <w:tc>
          <w:tcPr>
            <w:tcW w:w="1985" w:type="dxa"/>
            <w:tcBorders>
              <w:left w:val="single" w:sz="6" w:space="0" w:color="auto"/>
              <w:bottom w:val="single" w:sz="12" w:space="0" w:color="auto"/>
              <w:right w:val="single" w:sz="6" w:space="0" w:color="auto"/>
            </w:tcBorders>
            <w:vAlign w:val="center"/>
          </w:tcPr>
          <w:p w:rsidR="00A07DE6" w:rsidRPr="00A07DE6" w:rsidRDefault="00A07DE6" w:rsidP="00A07DE6">
            <w:pPr>
              <w:spacing w:before="60" w:after="60" w:line="240" w:lineRule="atLeast"/>
              <w:ind w:left="0" w:firstLine="0"/>
              <w:jc w:val="center"/>
              <w:rPr>
                <w:sz w:val="18"/>
                <w:lang w:val="en-US"/>
              </w:rPr>
            </w:pPr>
          </w:p>
        </w:tc>
        <w:tc>
          <w:tcPr>
            <w:tcW w:w="1701" w:type="dxa"/>
            <w:tcBorders>
              <w:left w:val="single" w:sz="6" w:space="0" w:color="auto"/>
              <w:bottom w:val="single" w:sz="12" w:space="0" w:color="auto"/>
              <w:right w:val="single" w:sz="6" w:space="0" w:color="auto"/>
            </w:tcBorders>
            <w:vAlign w:val="center"/>
          </w:tcPr>
          <w:p w:rsidR="00A07DE6" w:rsidRPr="00A07DE6" w:rsidRDefault="00A07DE6" w:rsidP="00A07DE6">
            <w:pPr>
              <w:spacing w:before="60" w:after="60" w:line="240" w:lineRule="atLeast"/>
              <w:ind w:left="0" w:firstLine="0"/>
              <w:jc w:val="center"/>
              <w:rPr>
                <w:sz w:val="18"/>
                <w:lang w:val="en-US"/>
              </w:rPr>
            </w:pPr>
          </w:p>
        </w:tc>
        <w:tc>
          <w:tcPr>
            <w:tcW w:w="2155" w:type="dxa"/>
            <w:tcBorders>
              <w:left w:val="single" w:sz="6" w:space="0" w:color="auto"/>
              <w:bottom w:val="single" w:sz="12" w:space="0" w:color="auto"/>
              <w:right w:val="single" w:sz="6" w:space="0" w:color="auto"/>
            </w:tcBorders>
            <w:vAlign w:val="center"/>
          </w:tcPr>
          <w:p w:rsidR="00A07DE6" w:rsidRPr="00A07DE6" w:rsidRDefault="00A07DE6" w:rsidP="00A07DE6">
            <w:pPr>
              <w:spacing w:before="60" w:after="60" w:line="240" w:lineRule="atLeast"/>
              <w:ind w:left="0" w:firstLine="0"/>
              <w:jc w:val="center"/>
              <w:rPr>
                <w:sz w:val="18"/>
                <w:lang w:val="en-US"/>
              </w:rPr>
            </w:pPr>
            <w:r w:rsidRPr="00A07DE6">
              <w:rPr>
                <w:sz w:val="18"/>
                <w:lang w:val="en-US"/>
              </w:rPr>
              <w:t>continuous</w:t>
            </w:r>
          </w:p>
        </w:tc>
        <w:tc>
          <w:tcPr>
            <w:tcW w:w="2155" w:type="dxa"/>
            <w:tcBorders>
              <w:left w:val="single" w:sz="6" w:space="0" w:color="auto"/>
              <w:bottom w:val="single" w:sz="12" w:space="0" w:color="auto"/>
              <w:right w:val="single" w:sz="6" w:space="0" w:color="auto"/>
            </w:tcBorders>
            <w:vAlign w:val="center"/>
          </w:tcPr>
          <w:p w:rsidR="00A07DE6" w:rsidRPr="00A07DE6" w:rsidRDefault="00A07DE6" w:rsidP="00A07DE6">
            <w:pPr>
              <w:spacing w:before="60" w:after="60" w:line="240" w:lineRule="atLeast"/>
              <w:ind w:left="0" w:firstLine="0"/>
              <w:jc w:val="center"/>
              <w:rPr>
                <w:sz w:val="18"/>
                <w:lang w:val="en-US"/>
              </w:rPr>
            </w:pPr>
            <w:r w:rsidRPr="00A07DE6">
              <w:rPr>
                <w:sz w:val="18"/>
                <w:lang w:val="en-US"/>
              </w:rPr>
              <w:t>Short-duration</w:t>
            </w:r>
          </w:p>
        </w:tc>
      </w:tr>
      <w:tr w:rsidR="00A07DE6" w:rsidRPr="00A07DE6" w:rsidTr="00A07DE6">
        <w:trPr>
          <w:cantSplit/>
          <w:trHeight w:val="763"/>
          <w:jc w:val="center"/>
        </w:trPr>
        <w:tc>
          <w:tcPr>
            <w:tcW w:w="1985" w:type="dxa"/>
            <w:tcBorders>
              <w:top w:val="single" w:sz="12" w:space="0" w:color="auto"/>
              <w:left w:val="single" w:sz="6" w:space="0" w:color="auto"/>
              <w:bottom w:val="single" w:sz="6" w:space="0" w:color="auto"/>
              <w:right w:val="single" w:sz="6" w:space="0" w:color="auto"/>
            </w:tcBorders>
            <w:vAlign w:val="center"/>
          </w:tcPr>
          <w:p w:rsidR="00A07DE6" w:rsidRPr="00A07DE6" w:rsidRDefault="00A07DE6" w:rsidP="00A07DE6">
            <w:pPr>
              <w:spacing w:before="60" w:after="60" w:line="240" w:lineRule="atLeast"/>
              <w:ind w:left="0" w:firstLine="0"/>
              <w:jc w:val="left"/>
              <w:rPr>
                <w:sz w:val="18"/>
                <w:lang w:val="en-US"/>
              </w:rPr>
            </w:pPr>
            <w:r w:rsidRPr="00A07DE6">
              <w:rPr>
                <w:sz w:val="18"/>
                <w:lang w:val="en-US"/>
              </w:rPr>
              <w:t>General</w:t>
            </w:r>
          </w:p>
        </w:tc>
        <w:tc>
          <w:tcPr>
            <w:tcW w:w="1701" w:type="dxa"/>
            <w:tcBorders>
              <w:top w:val="single" w:sz="12" w:space="0" w:color="auto"/>
              <w:left w:val="single" w:sz="6" w:space="0" w:color="auto"/>
              <w:bottom w:val="single" w:sz="6" w:space="0" w:color="auto"/>
              <w:right w:val="single" w:sz="6" w:space="0" w:color="auto"/>
            </w:tcBorders>
            <w:vAlign w:val="center"/>
          </w:tcPr>
          <w:p w:rsidR="00A07DE6" w:rsidRPr="00A07DE6" w:rsidRDefault="00A07DE6" w:rsidP="00A07DE6">
            <w:pPr>
              <w:spacing w:before="60" w:after="60" w:line="240" w:lineRule="atLeast"/>
              <w:ind w:left="0" w:firstLine="0"/>
              <w:jc w:val="center"/>
              <w:rPr>
                <w:sz w:val="18"/>
                <w:lang w:val="en-US"/>
              </w:rPr>
            </w:pPr>
            <w:r w:rsidRPr="00A07DE6">
              <w:rPr>
                <w:sz w:val="18"/>
                <w:lang w:val="en-US"/>
              </w:rPr>
              <w:t>Frequency</w:t>
            </w:r>
            <w:r w:rsidRPr="00A07DE6">
              <w:rPr>
                <w:sz w:val="18"/>
                <w:lang w:val="en-US"/>
              </w:rPr>
              <w:br/>
              <w:t>voltage</w:t>
            </w:r>
          </w:p>
        </w:tc>
        <w:tc>
          <w:tcPr>
            <w:tcW w:w="2155" w:type="dxa"/>
            <w:tcBorders>
              <w:top w:val="single" w:sz="12" w:space="0" w:color="auto"/>
              <w:left w:val="single" w:sz="6" w:space="0" w:color="auto"/>
              <w:bottom w:val="single" w:sz="6" w:space="0" w:color="auto"/>
              <w:right w:val="single" w:sz="6" w:space="0" w:color="auto"/>
            </w:tcBorders>
            <w:vAlign w:val="center"/>
          </w:tcPr>
          <w:p w:rsidR="00A07DE6" w:rsidRPr="00A07DE6" w:rsidRDefault="00A07DE6" w:rsidP="00A07DE6">
            <w:pPr>
              <w:spacing w:before="60" w:after="60" w:line="240" w:lineRule="atLeast"/>
              <w:ind w:left="0" w:firstLine="0"/>
              <w:jc w:val="center"/>
              <w:rPr>
                <w:sz w:val="18"/>
                <w:lang w:val="en-US"/>
              </w:rPr>
            </w:pPr>
            <w:r w:rsidRPr="00A07DE6">
              <w:rPr>
                <w:sz w:val="18"/>
                <w:lang w:val="en-US"/>
              </w:rPr>
              <w:sym w:font="Symbol" w:char="F0B1"/>
            </w:r>
            <w:r w:rsidRPr="00A07DE6">
              <w:rPr>
                <w:sz w:val="18"/>
                <w:lang w:val="en-US"/>
              </w:rPr>
              <w:t xml:space="preserve"> 5 %</w:t>
            </w:r>
            <w:r w:rsidRPr="00A07DE6">
              <w:rPr>
                <w:sz w:val="18"/>
                <w:lang w:val="en-US"/>
              </w:rPr>
              <w:br/>
            </w:r>
            <w:r w:rsidRPr="00A07DE6">
              <w:rPr>
                <w:sz w:val="18"/>
                <w:lang w:val="en-US"/>
              </w:rPr>
              <w:sym w:font="Symbol" w:char="F0B1"/>
            </w:r>
            <w:r w:rsidRPr="00A07DE6">
              <w:rPr>
                <w:sz w:val="18"/>
                <w:lang w:val="en-US"/>
              </w:rPr>
              <w:t xml:space="preserve"> 10 %</w:t>
            </w:r>
          </w:p>
        </w:tc>
        <w:tc>
          <w:tcPr>
            <w:tcW w:w="2155" w:type="dxa"/>
            <w:tcBorders>
              <w:top w:val="single" w:sz="12" w:space="0" w:color="auto"/>
              <w:left w:val="single" w:sz="6" w:space="0" w:color="auto"/>
              <w:bottom w:val="single" w:sz="6" w:space="0" w:color="auto"/>
              <w:right w:val="single" w:sz="6" w:space="0" w:color="auto"/>
            </w:tcBorders>
            <w:vAlign w:val="center"/>
          </w:tcPr>
          <w:p w:rsidR="00A07DE6" w:rsidRPr="00A07DE6" w:rsidRDefault="00A07DE6" w:rsidP="00A07DE6">
            <w:pPr>
              <w:spacing w:before="60" w:after="60" w:line="240" w:lineRule="atLeast"/>
              <w:ind w:left="0" w:firstLine="0"/>
              <w:jc w:val="center"/>
              <w:rPr>
                <w:sz w:val="18"/>
                <w:lang w:val="en-US"/>
              </w:rPr>
            </w:pPr>
            <w:r w:rsidRPr="00A07DE6">
              <w:rPr>
                <w:sz w:val="18"/>
                <w:lang w:val="en-US"/>
              </w:rPr>
              <w:sym w:font="Symbol" w:char="F0B1"/>
            </w:r>
            <w:r w:rsidRPr="00A07DE6">
              <w:rPr>
                <w:sz w:val="18"/>
                <w:lang w:val="en-US"/>
              </w:rPr>
              <w:t xml:space="preserve"> 10 % 5 s</w:t>
            </w:r>
            <w:r w:rsidRPr="00A07DE6">
              <w:rPr>
                <w:sz w:val="18"/>
                <w:lang w:val="en-US"/>
              </w:rPr>
              <w:br/>
            </w:r>
            <w:r w:rsidRPr="00A07DE6">
              <w:rPr>
                <w:sz w:val="18"/>
                <w:lang w:val="en-US"/>
              </w:rPr>
              <w:sym w:font="Symbol" w:char="F0B1"/>
            </w:r>
            <w:r w:rsidRPr="00A07DE6">
              <w:rPr>
                <w:sz w:val="18"/>
                <w:lang w:val="en-US"/>
              </w:rPr>
              <w:t xml:space="preserve"> 20 % 1,5 s</w:t>
            </w:r>
          </w:p>
        </w:tc>
      </w:tr>
      <w:tr w:rsidR="00A07DE6" w:rsidRPr="00A07DE6" w:rsidTr="00A07DE6">
        <w:trPr>
          <w:cantSplit/>
          <w:trHeight w:val="689"/>
          <w:jc w:val="center"/>
        </w:trPr>
        <w:tc>
          <w:tcPr>
            <w:tcW w:w="1985" w:type="dxa"/>
            <w:tcBorders>
              <w:top w:val="single" w:sz="6" w:space="0" w:color="auto"/>
              <w:left w:val="single" w:sz="6" w:space="0" w:color="auto"/>
              <w:bottom w:val="single" w:sz="6" w:space="0" w:color="auto"/>
              <w:right w:val="single" w:sz="6" w:space="0" w:color="auto"/>
            </w:tcBorders>
            <w:vAlign w:val="center"/>
          </w:tcPr>
          <w:p w:rsidR="00A07DE6" w:rsidRPr="00A07DE6" w:rsidRDefault="00A07DE6" w:rsidP="00A07DE6">
            <w:pPr>
              <w:spacing w:before="60" w:after="60" w:line="240" w:lineRule="atLeast"/>
              <w:ind w:left="0" w:firstLine="0"/>
              <w:jc w:val="left"/>
              <w:rPr>
                <w:sz w:val="18"/>
                <w:lang w:val="en-US"/>
              </w:rPr>
            </w:pPr>
            <w:r w:rsidRPr="00A07DE6">
              <w:rPr>
                <w:sz w:val="18"/>
                <w:lang w:val="en-US"/>
              </w:rPr>
              <w:t>Battery operation</w:t>
            </w:r>
          </w:p>
        </w:tc>
        <w:tc>
          <w:tcPr>
            <w:tcW w:w="1701" w:type="dxa"/>
            <w:tcBorders>
              <w:top w:val="single" w:sz="6" w:space="0" w:color="auto"/>
              <w:left w:val="single" w:sz="6" w:space="0" w:color="auto"/>
              <w:bottom w:val="single" w:sz="6" w:space="0" w:color="auto"/>
              <w:right w:val="single" w:sz="6" w:space="0" w:color="auto"/>
            </w:tcBorders>
            <w:vAlign w:val="center"/>
          </w:tcPr>
          <w:p w:rsidR="00A07DE6" w:rsidRPr="00A07DE6" w:rsidRDefault="00A07DE6" w:rsidP="00A07DE6">
            <w:pPr>
              <w:spacing w:before="60" w:after="60" w:line="240" w:lineRule="atLeast"/>
              <w:ind w:left="0" w:firstLine="0"/>
              <w:jc w:val="center"/>
              <w:rPr>
                <w:sz w:val="18"/>
                <w:lang w:val="en-US"/>
              </w:rPr>
            </w:pPr>
            <w:r w:rsidRPr="00A07DE6">
              <w:rPr>
                <w:sz w:val="18"/>
                <w:lang w:val="en-US"/>
              </w:rPr>
              <w:t>voltage</w:t>
            </w:r>
          </w:p>
        </w:tc>
        <w:tc>
          <w:tcPr>
            <w:tcW w:w="2155" w:type="dxa"/>
            <w:tcBorders>
              <w:top w:val="single" w:sz="6" w:space="0" w:color="auto"/>
              <w:left w:val="single" w:sz="6" w:space="0" w:color="auto"/>
              <w:bottom w:val="single" w:sz="6" w:space="0" w:color="auto"/>
              <w:right w:val="single" w:sz="6" w:space="0" w:color="auto"/>
            </w:tcBorders>
            <w:vAlign w:val="center"/>
          </w:tcPr>
          <w:p w:rsidR="00A07DE6" w:rsidRPr="00A07DE6" w:rsidRDefault="00A07DE6" w:rsidP="00A07DE6">
            <w:pPr>
              <w:spacing w:before="60" w:after="60" w:line="240" w:lineRule="atLeast"/>
              <w:ind w:left="0" w:firstLine="0"/>
              <w:jc w:val="center"/>
              <w:rPr>
                <w:sz w:val="18"/>
                <w:lang w:val="en-US"/>
              </w:rPr>
            </w:pPr>
            <w:r w:rsidRPr="00A07DE6">
              <w:rPr>
                <w:sz w:val="18"/>
                <w:lang w:val="en-US"/>
              </w:rPr>
              <w:t>+ 30 % / - 25 %</w:t>
            </w:r>
          </w:p>
        </w:tc>
        <w:tc>
          <w:tcPr>
            <w:tcW w:w="2155" w:type="dxa"/>
            <w:tcBorders>
              <w:top w:val="single" w:sz="6" w:space="0" w:color="auto"/>
              <w:left w:val="single" w:sz="6" w:space="0" w:color="auto"/>
              <w:bottom w:val="single" w:sz="6" w:space="0" w:color="auto"/>
              <w:right w:val="single" w:sz="6" w:space="0" w:color="auto"/>
            </w:tcBorders>
            <w:vAlign w:val="center"/>
          </w:tcPr>
          <w:p w:rsidR="00A07DE6" w:rsidRPr="00A07DE6" w:rsidRDefault="00A07DE6" w:rsidP="00A07DE6">
            <w:pPr>
              <w:spacing w:before="60" w:after="60" w:line="240" w:lineRule="atLeast"/>
              <w:ind w:left="0" w:firstLine="0"/>
              <w:jc w:val="center"/>
              <w:rPr>
                <w:sz w:val="18"/>
                <w:lang w:val="en-US"/>
              </w:rPr>
            </w:pPr>
            <w:r w:rsidRPr="00A07DE6">
              <w:rPr>
                <w:sz w:val="18"/>
                <w:lang w:val="en-US"/>
              </w:rPr>
              <w:t>-</w:t>
            </w:r>
          </w:p>
        </w:tc>
      </w:tr>
    </w:tbl>
    <w:p w:rsidR="00A07DE6" w:rsidRPr="00A07DE6" w:rsidRDefault="00A07DE6" w:rsidP="00A07DE6">
      <w:pPr>
        <w:spacing w:line="240" w:lineRule="atLeast"/>
        <w:ind w:left="567" w:hanging="567"/>
        <w:rPr>
          <w:lang w:val="en-GB"/>
        </w:rPr>
      </w:pPr>
    </w:p>
    <w:p w:rsidR="00A07DE6" w:rsidRPr="00A07DE6" w:rsidRDefault="00A07DE6" w:rsidP="00A07DE6">
      <w:pPr>
        <w:spacing w:before="60" w:line="240" w:lineRule="atLeast"/>
        <w:ind w:left="992"/>
        <w:rPr>
          <w:lang w:val="en-GB"/>
        </w:rPr>
      </w:pPr>
      <w:r w:rsidRPr="00A07DE6">
        <w:rPr>
          <w:lang w:val="en-GB"/>
        </w:rPr>
        <w:t>c)</w:t>
      </w:r>
      <w:r w:rsidRPr="00A07DE6">
        <w:rPr>
          <w:lang w:val="en-GB"/>
        </w:rPr>
        <w:tab/>
        <w:t>Heating test</w:t>
      </w:r>
    </w:p>
    <w:p w:rsidR="00A07DE6" w:rsidRPr="00A07DE6" w:rsidRDefault="00A07DE6" w:rsidP="00A07DE6">
      <w:pPr>
        <w:spacing w:before="60" w:line="240" w:lineRule="atLeast"/>
        <w:ind w:left="992" w:firstLine="0"/>
        <w:rPr>
          <w:lang w:val="en-GB" w:eastAsia="de-DE"/>
        </w:rPr>
      </w:pPr>
      <w:r w:rsidRPr="00A07DE6">
        <w:rPr>
          <w:lang w:val="en-GB" w:eastAsia="de-DE"/>
        </w:rPr>
        <w:t>The sample is brought up to a temperature of 55 °C within a half-hour period. After that temperature has been reached it is maintained for 16 hours. An operating test is then carried out.</w:t>
      </w:r>
    </w:p>
    <w:p w:rsidR="00A07DE6" w:rsidRPr="00A07DE6" w:rsidRDefault="00A07DE6" w:rsidP="00E9735B">
      <w:pPr>
        <w:pStyle w:val="ESlet"/>
        <w:rPr>
          <w:lang w:val="en-GB"/>
        </w:rPr>
      </w:pPr>
      <w:r w:rsidRPr="00A07DE6">
        <w:rPr>
          <w:lang w:val="en-GB"/>
        </w:rPr>
        <w:t>d)</w:t>
      </w:r>
      <w:r w:rsidRPr="00A07DE6">
        <w:rPr>
          <w:lang w:val="en-GB"/>
        </w:rPr>
        <w:tab/>
        <w:t>Cold-condition test</w:t>
      </w:r>
    </w:p>
    <w:p w:rsidR="00A07DE6" w:rsidRPr="00A07DE6" w:rsidRDefault="00A07DE6" w:rsidP="00A07DE6">
      <w:pPr>
        <w:spacing w:before="60" w:line="240" w:lineRule="atLeast"/>
        <w:ind w:left="992" w:firstLine="0"/>
        <w:rPr>
          <w:lang w:val="en-GB" w:eastAsia="de-DE"/>
        </w:rPr>
      </w:pPr>
      <w:r w:rsidRPr="00A07DE6">
        <w:rPr>
          <w:lang w:val="en-GB" w:eastAsia="de-DE"/>
        </w:rPr>
        <w:t>The sample is switched off and cooled to -25 °C and held at that temperature for two hours. The temperature is then raised to 0 °C and an operating test is carried out.</w:t>
      </w:r>
    </w:p>
    <w:p w:rsidR="00A07DE6" w:rsidRPr="00A07DE6" w:rsidRDefault="00A07DE6" w:rsidP="00E9735B">
      <w:pPr>
        <w:pStyle w:val="ESlet"/>
        <w:rPr>
          <w:lang w:val="en-GB"/>
        </w:rPr>
      </w:pPr>
      <w:r w:rsidRPr="00A07DE6">
        <w:rPr>
          <w:lang w:val="en-GB"/>
        </w:rPr>
        <w:t>e)</w:t>
      </w:r>
      <w:r w:rsidRPr="00A07DE6">
        <w:rPr>
          <w:lang w:val="en-GB"/>
        </w:rPr>
        <w:tab/>
        <w:t>Vibration test</w:t>
      </w:r>
    </w:p>
    <w:p w:rsidR="00A07DE6" w:rsidRPr="00A07DE6" w:rsidRDefault="00A07DE6" w:rsidP="00A07DE6">
      <w:pPr>
        <w:spacing w:before="60" w:line="240" w:lineRule="atLeast"/>
        <w:ind w:left="992" w:firstLine="0"/>
        <w:rPr>
          <w:lang w:val="en-GB" w:eastAsia="de-DE"/>
        </w:rPr>
      </w:pPr>
      <w:r w:rsidRPr="00A07DE6">
        <w:rPr>
          <w:lang w:val="en-GB" w:eastAsia="de-DE"/>
        </w:rPr>
        <w:t>The vibration test shall be carried out along the three axes at the resonance frequency of the equipment or of components for the period of 90 minutes in each case. If no clear resonance emerges the vibration test shall be carried out at 30 Hz.</w:t>
      </w:r>
    </w:p>
    <w:p w:rsidR="00A07DE6" w:rsidRPr="00A07DE6" w:rsidRDefault="00A07DE6" w:rsidP="00350277">
      <w:pPr>
        <w:pStyle w:val="ESletpar"/>
        <w:rPr>
          <w:lang w:val="en-GB"/>
        </w:rPr>
      </w:pPr>
      <w:r w:rsidRPr="00A07DE6">
        <w:rPr>
          <w:lang w:val="en-GB"/>
        </w:rPr>
        <w:t>The vibration test shall be carried out by sinusoidal oscillation within the following limits:</w:t>
      </w:r>
    </w:p>
    <w:p w:rsidR="00A07DE6" w:rsidRPr="00A07DE6" w:rsidRDefault="00A07DE6" w:rsidP="00350277">
      <w:pPr>
        <w:pStyle w:val="ESletpar"/>
        <w:rPr>
          <w:lang w:val="en-GB"/>
        </w:rPr>
      </w:pPr>
      <w:r w:rsidRPr="00A07DE6">
        <w:rPr>
          <w:lang w:val="en-GB"/>
        </w:rPr>
        <w:t>General:</w:t>
      </w:r>
    </w:p>
    <w:p w:rsidR="00A07DE6" w:rsidRPr="00A07DE6" w:rsidRDefault="00A07DE6" w:rsidP="00A07DE6">
      <w:pPr>
        <w:spacing w:before="60" w:line="240" w:lineRule="atLeast"/>
        <w:ind w:left="992" w:firstLine="0"/>
        <w:rPr>
          <w:lang w:val="en-GB" w:eastAsia="de-DE"/>
        </w:rPr>
      </w:pPr>
      <m:oMath>
        <m:r>
          <w:rPr>
            <w:rFonts w:ascii="Cambria Math" w:hAnsi="Cambria Math"/>
            <w:lang w:val="en-GB" w:eastAsia="de-DE"/>
          </w:rPr>
          <m:t>f</m:t>
        </m:r>
      </m:oMath>
      <w:r w:rsidRPr="00A07DE6">
        <w:rPr>
          <w:lang w:val="en-GB" w:eastAsia="de-DE"/>
        </w:rPr>
        <w:t xml:space="preserve"> = 2,0 to 13,2 Hz; </w:t>
      </w:r>
      <m:oMath>
        <m:r>
          <w:rPr>
            <w:rFonts w:ascii="Cambria Math" w:hAnsi="Cambria Math"/>
            <w:lang w:val="en-GB" w:eastAsia="de-DE"/>
          </w:rPr>
          <m:t>a</m:t>
        </m:r>
      </m:oMath>
      <w:r w:rsidRPr="00A07DE6">
        <w:rPr>
          <w:lang w:val="en-GB" w:eastAsia="de-DE"/>
        </w:rPr>
        <w:t xml:space="preserve"> = ± 1 mm</w:t>
      </w:r>
    </w:p>
    <w:p w:rsidR="00A07DE6" w:rsidRPr="00A07DE6" w:rsidRDefault="00A07DE6" w:rsidP="00A07DE6">
      <w:pPr>
        <w:spacing w:before="60" w:line="240" w:lineRule="atLeast"/>
        <w:ind w:left="992" w:firstLine="0"/>
        <w:rPr>
          <w:lang w:val="en-GB" w:eastAsia="de-DE"/>
        </w:rPr>
      </w:pPr>
      <w:r w:rsidRPr="00A07DE6">
        <w:rPr>
          <w:lang w:val="en-GB" w:eastAsia="de-DE"/>
        </w:rPr>
        <w:t xml:space="preserve">(amplitude </w:t>
      </w:r>
      <m:oMath>
        <m:r>
          <w:rPr>
            <w:rFonts w:ascii="Cambria Math" w:hAnsi="Cambria Math"/>
            <w:lang w:val="en-GB" w:eastAsia="de-DE"/>
          </w:rPr>
          <m:t>a</m:t>
        </m:r>
      </m:oMath>
      <w:r w:rsidRPr="00A07DE6">
        <w:rPr>
          <w:lang w:val="en-GB" w:eastAsia="de-DE"/>
        </w:rPr>
        <w:t xml:space="preserve"> = 1/2 the vibration width)</w:t>
      </w:r>
    </w:p>
    <w:p w:rsidR="00A07DE6" w:rsidRPr="00A07DE6" w:rsidRDefault="00A07DE6" w:rsidP="00A07DE6">
      <w:pPr>
        <w:spacing w:before="60" w:line="240" w:lineRule="atLeast"/>
        <w:ind w:left="992" w:firstLine="0"/>
        <w:rPr>
          <w:lang w:val="en-GB" w:eastAsia="de-DE"/>
        </w:rPr>
      </w:pPr>
      <m:oMath>
        <m:r>
          <w:rPr>
            <w:rFonts w:ascii="Cambria Math" w:hAnsi="Cambria Math"/>
            <w:lang w:val="en-GB" w:eastAsia="de-DE"/>
          </w:rPr>
          <m:t>f</m:t>
        </m:r>
      </m:oMath>
      <w:r w:rsidRPr="00A07DE6">
        <w:rPr>
          <w:lang w:val="en-GB" w:eastAsia="de-DE"/>
        </w:rPr>
        <w:t xml:space="preserve"> = 13,2 Hz to 100 Hz: acceleration ± 0,7 g.</w:t>
      </w:r>
    </w:p>
    <w:p w:rsidR="00A07DE6" w:rsidRPr="00A07DE6" w:rsidRDefault="00A07DE6" w:rsidP="00A07DE6">
      <w:pPr>
        <w:spacing w:before="60" w:line="240" w:lineRule="atLeast"/>
        <w:ind w:left="992" w:firstLine="0"/>
        <w:rPr>
          <w:lang w:val="en-GB" w:eastAsia="de-DE"/>
        </w:rPr>
      </w:pPr>
      <w:r w:rsidRPr="00A07DE6">
        <w:rPr>
          <w:lang w:val="en-GB" w:eastAsia="de-DE"/>
        </w:rPr>
        <w:t>Service equipment intended to be fitted to internal combustion engines or steering apparatus shall be tested as follows:</w:t>
      </w:r>
    </w:p>
    <w:p w:rsidR="00A07DE6" w:rsidRPr="00A07DE6" w:rsidRDefault="00A07DE6" w:rsidP="00A07DE6">
      <w:pPr>
        <w:spacing w:before="60" w:line="240" w:lineRule="atLeast"/>
        <w:ind w:left="992" w:firstLine="0"/>
        <w:rPr>
          <w:lang w:val="en-GB" w:eastAsia="de-DE"/>
        </w:rPr>
      </w:pPr>
      <m:oMath>
        <m:r>
          <w:rPr>
            <w:rFonts w:ascii="Cambria Math" w:hAnsi="Cambria Math"/>
            <w:lang w:val="en-GB" w:eastAsia="de-DE"/>
          </w:rPr>
          <m:t>f</m:t>
        </m:r>
      </m:oMath>
      <w:r w:rsidRPr="00A07DE6">
        <w:rPr>
          <w:lang w:val="en-GB" w:eastAsia="de-DE"/>
        </w:rPr>
        <w:t xml:space="preserve"> = 2,0 to 25 Hz; </w:t>
      </w:r>
      <m:oMath>
        <m:r>
          <w:rPr>
            <w:rFonts w:ascii="Cambria Math" w:hAnsi="Cambria Math"/>
            <w:lang w:val="en-GB" w:eastAsia="de-DE"/>
          </w:rPr>
          <m:t>a</m:t>
        </m:r>
      </m:oMath>
      <w:r w:rsidRPr="00A07DE6">
        <w:rPr>
          <w:lang w:val="en-GB" w:eastAsia="de-DE"/>
        </w:rPr>
        <w:t xml:space="preserve"> = ± 1,6 mm</w:t>
      </w:r>
    </w:p>
    <w:p w:rsidR="00A07DE6" w:rsidRPr="00A07DE6" w:rsidRDefault="00A07DE6" w:rsidP="00A07DE6">
      <w:pPr>
        <w:spacing w:before="60" w:line="240" w:lineRule="atLeast"/>
        <w:ind w:left="992" w:firstLine="0"/>
        <w:rPr>
          <w:lang w:val="en-GB" w:eastAsia="de-DE"/>
        </w:rPr>
      </w:pPr>
      <w:r w:rsidRPr="00A07DE6">
        <w:rPr>
          <w:lang w:val="en-GB" w:eastAsia="de-DE"/>
        </w:rPr>
        <w:t xml:space="preserve">(amplitude </w:t>
      </w:r>
      <m:oMath>
        <m:r>
          <w:rPr>
            <w:rFonts w:ascii="Cambria Math" w:hAnsi="Cambria Math"/>
            <w:lang w:val="en-GB" w:eastAsia="de-DE"/>
          </w:rPr>
          <m:t>a</m:t>
        </m:r>
      </m:oMath>
      <w:r w:rsidRPr="00A07DE6">
        <w:rPr>
          <w:lang w:val="en-GB" w:eastAsia="de-DE"/>
        </w:rPr>
        <w:t xml:space="preserve"> = 1/2 the vibration width)</w:t>
      </w:r>
    </w:p>
    <w:p w:rsidR="00A07DE6" w:rsidRPr="00A07DE6" w:rsidRDefault="00A07DE6" w:rsidP="00A07DE6">
      <w:pPr>
        <w:spacing w:before="60" w:line="240" w:lineRule="atLeast"/>
        <w:ind w:left="992" w:firstLine="0"/>
        <w:rPr>
          <w:lang w:val="en-GB" w:eastAsia="de-DE"/>
        </w:rPr>
      </w:pPr>
      <m:oMath>
        <m:r>
          <w:rPr>
            <w:rFonts w:ascii="Cambria Math" w:hAnsi="Cambria Math"/>
            <w:lang w:val="en-GB" w:eastAsia="de-DE"/>
          </w:rPr>
          <m:t>f</m:t>
        </m:r>
      </m:oMath>
      <w:r w:rsidRPr="00A07DE6">
        <w:rPr>
          <w:lang w:val="en-GB" w:eastAsia="de-DE"/>
        </w:rPr>
        <w:t xml:space="preserve"> = 25 Hz to 100 Hz; acceleration ± 4 g.</w:t>
      </w:r>
    </w:p>
    <w:p w:rsidR="00A07DE6" w:rsidRPr="00A07DE6" w:rsidRDefault="00A07DE6" w:rsidP="00350277">
      <w:pPr>
        <w:pStyle w:val="ESletpar"/>
        <w:rPr>
          <w:lang w:val="en-GB"/>
        </w:rPr>
      </w:pPr>
      <w:r w:rsidRPr="00A07DE6">
        <w:rPr>
          <w:lang w:val="en-GB"/>
        </w:rPr>
        <w:t>The sensors intended to be installed in internal combustion engine exhaust pipes may be exposed to considerably higher stresses. Account shall be taken of this during the tests.</w:t>
      </w:r>
    </w:p>
    <w:p w:rsidR="00A07DE6" w:rsidRPr="00A07DE6" w:rsidRDefault="00A07DE6" w:rsidP="00350277">
      <w:pPr>
        <w:pStyle w:val="ESch"/>
        <w:rPr>
          <w:lang w:val="en-GB"/>
        </w:rPr>
      </w:pPr>
    </w:p>
    <w:p w:rsidR="00A07DE6" w:rsidRPr="00A07DE6" w:rsidRDefault="00A07DE6" w:rsidP="00A07DE6">
      <w:pPr>
        <w:spacing w:line="240" w:lineRule="atLeast"/>
        <w:ind w:left="567" w:hanging="567"/>
        <w:rPr>
          <w:lang w:val="en-GB"/>
        </w:rPr>
      </w:pPr>
      <w:r w:rsidRPr="00A07DE6">
        <w:rPr>
          <w:lang w:val="en-GB"/>
        </w:rPr>
        <w:t>4.</w:t>
      </w:r>
      <w:r w:rsidRPr="00A07DE6">
        <w:rPr>
          <w:lang w:val="en-GB"/>
        </w:rPr>
        <w:tab/>
        <w:t>The electromagnetic compatibility test shall be carried out on the basis of European Standards EN 61000-4-2: 2009, EN 61000-4-3: 2010, EN 61000­4­4: 2012, at test degree number 3.</w:t>
      </w:r>
    </w:p>
    <w:p w:rsidR="00A07DE6" w:rsidRPr="00A07DE6" w:rsidRDefault="00A07DE6" w:rsidP="00A07DE6">
      <w:pPr>
        <w:spacing w:line="240" w:lineRule="atLeast"/>
        <w:ind w:left="992"/>
        <w:rPr>
          <w:lang w:val="en-GB"/>
        </w:rPr>
      </w:pPr>
    </w:p>
    <w:p w:rsidR="00A07DE6" w:rsidRPr="00A07DE6" w:rsidRDefault="00A07DE6" w:rsidP="00A07DE6">
      <w:pPr>
        <w:spacing w:line="240" w:lineRule="atLeast"/>
        <w:ind w:left="567" w:hanging="567"/>
        <w:rPr>
          <w:lang w:val="en-GB"/>
        </w:rPr>
      </w:pPr>
      <w:r w:rsidRPr="00A07DE6">
        <w:rPr>
          <w:lang w:val="en-GB"/>
        </w:rPr>
        <w:t>5.</w:t>
      </w:r>
      <w:r w:rsidRPr="00A07DE6">
        <w:rPr>
          <w:lang w:val="en-GB"/>
        </w:rPr>
        <w:tab/>
        <w:t xml:space="preserve">Proof that the electronic equipment is adequate for these test conditions shall be provided by their manufacturer. A certificate by a </w:t>
      </w:r>
      <w:r w:rsidRPr="00A07DE6">
        <w:rPr>
          <w:rFonts w:cs="Arial"/>
          <w:szCs w:val="20"/>
          <w:lang w:val="en-GB"/>
        </w:rPr>
        <w:t>recognised</w:t>
      </w:r>
      <w:r w:rsidRPr="00A07DE6">
        <w:rPr>
          <w:lang w:val="en-GB"/>
        </w:rPr>
        <w:t xml:space="preserve"> classification society is also considered as a proof.</w:t>
      </w:r>
    </w:p>
    <w:p w:rsidR="00283317" w:rsidRPr="00A07DE6" w:rsidRDefault="00283317" w:rsidP="00283317">
      <w:pPr>
        <w:rPr>
          <w:rFonts w:cs="Arial"/>
          <w:szCs w:val="20"/>
          <w:lang w:val="en-GB"/>
        </w:rPr>
      </w:pPr>
    </w:p>
    <w:p w:rsidR="00B04291" w:rsidRDefault="00B04291" w:rsidP="00AA5633">
      <w:pPr>
        <w:pStyle w:val="ESch"/>
        <w:rPr>
          <w:lang w:val="en-GB"/>
        </w:rPr>
      </w:pPr>
      <w:bookmarkStart w:id="109" w:name="_Toc436115054"/>
    </w:p>
    <w:p w:rsidR="00E9735B" w:rsidRDefault="00E9735B">
      <w:pPr>
        <w:autoSpaceDE/>
        <w:autoSpaceDN/>
        <w:ind w:left="0" w:firstLine="0"/>
        <w:jc w:val="left"/>
        <w:rPr>
          <w:lang w:val="en-GB"/>
        </w:rPr>
      </w:pPr>
      <w:r>
        <w:rPr>
          <w:lang w:val="en-GB"/>
        </w:rPr>
        <w:br w:type="page"/>
      </w:r>
    </w:p>
    <w:p w:rsidR="00E9735B" w:rsidRDefault="00E9735B" w:rsidP="00AA5633">
      <w:pPr>
        <w:pStyle w:val="ESch"/>
        <w:rPr>
          <w:lang w:val="en-GB"/>
        </w:rPr>
      </w:pPr>
    </w:p>
    <w:p w:rsidR="00B04291" w:rsidRPr="00AA5633" w:rsidRDefault="00B04291" w:rsidP="00B04291">
      <w:pPr>
        <w:pStyle w:val="ES-Titre3"/>
        <w:rPr>
          <w:i/>
          <w:lang w:val="en-GB"/>
        </w:rPr>
      </w:pPr>
      <w:bookmarkStart w:id="110" w:name="_Toc491854098"/>
      <w:r w:rsidRPr="008F6ABB">
        <w:rPr>
          <w:lang w:val="en-GB"/>
        </w:rPr>
        <w:t>Article 10.21</w:t>
      </w:r>
      <w:r w:rsidRPr="008F6ABB">
        <w:rPr>
          <w:lang w:val="en-GB"/>
        </w:rPr>
        <w:br/>
      </w:r>
      <w:r w:rsidRPr="00AA5633">
        <w:rPr>
          <w:i/>
          <w:lang w:val="en-GB"/>
        </w:rPr>
        <w:t>Electromagnetic</w:t>
      </w:r>
      <w:r w:rsidRPr="00AA5633">
        <w:rPr>
          <w:bCs/>
          <w:i/>
          <w:lang w:val="en-GB"/>
        </w:rPr>
        <w:t xml:space="preserve"> compatibility</w:t>
      </w:r>
      <w:bookmarkEnd w:id="109"/>
      <w:bookmarkEnd w:id="110"/>
    </w:p>
    <w:p w:rsidR="00B04291" w:rsidRPr="008F6ABB" w:rsidRDefault="00B04291" w:rsidP="00B04291">
      <w:pPr>
        <w:pStyle w:val="ESch"/>
        <w:rPr>
          <w:lang w:val="en-GB"/>
        </w:rPr>
      </w:pPr>
    </w:p>
    <w:p w:rsidR="00B04291" w:rsidRPr="00C4681D" w:rsidRDefault="00B04291" w:rsidP="00B04291">
      <w:pPr>
        <w:pStyle w:val="ESgauche"/>
        <w:rPr>
          <w:noProof w:val="0"/>
          <w:lang w:val="en-GB"/>
        </w:rPr>
      </w:pPr>
      <w:r w:rsidRPr="008F6ABB">
        <w:rPr>
          <w:noProof w:val="0"/>
          <w:lang w:val="en-GB"/>
        </w:rPr>
        <w:t>The operat</w:t>
      </w:r>
      <w:r w:rsidRPr="00C4681D">
        <w:rPr>
          <w:noProof w:val="0"/>
          <w:lang w:val="en-GB"/>
        </w:rPr>
        <w:t xml:space="preserve">ion of the electric and electronic </w:t>
      </w:r>
      <w:r w:rsidRPr="008A1F8E">
        <w:rPr>
          <w:noProof w:val="0"/>
          <w:lang w:val="en-GB"/>
        </w:rPr>
        <w:t>installations</w:t>
      </w:r>
      <w:r w:rsidRPr="00C4681D">
        <w:rPr>
          <w:noProof w:val="0"/>
          <w:lang w:val="en-GB"/>
        </w:rPr>
        <w:t xml:space="preserve"> shall not be impaired by electromagnetic interference. General measures shall, with equal importance, extend to:</w:t>
      </w:r>
    </w:p>
    <w:p w:rsidR="00B04291" w:rsidRPr="00C4681D" w:rsidRDefault="00B04291" w:rsidP="00B04291">
      <w:pPr>
        <w:pStyle w:val="ESletgauche"/>
        <w:rPr>
          <w:lang w:val="en-GB"/>
        </w:rPr>
      </w:pPr>
      <w:r w:rsidRPr="00C4681D">
        <w:rPr>
          <w:lang w:val="en-GB"/>
        </w:rPr>
        <w:t>a)</w:t>
      </w:r>
      <w:r w:rsidRPr="00C4681D">
        <w:rPr>
          <w:lang w:val="en-GB"/>
        </w:rPr>
        <w:tab/>
        <w:t>disconnection of the transmission pat</w:t>
      </w:r>
      <w:r w:rsidRPr="00FE5499">
        <w:rPr>
          <w:lang w:val="en-GB"/>
        </w:rPr>
        <w:t xml:space="preserve">hs between the source of interference and affected </w:t>
      </w:r>
      <w:r w:rsidRPr="008A1F8E">
        <w:rPr>
          <w:lang w:val="en-GB"/>
        </w:rPr>
        <w:t>equipment</w:t>
      </w:r>
      <w:r w:rsidRPr="00C4681D">
        <w:rPr>
          <w:lang w:val="en-GB"/>
        </w:rPr>
        <w:t>;</w:t>
      </w:r>
    </w:p>
    <w:p w:rsidR="00B04291" w:rsidRPr="00FE5499" w:rsidRDefault="00B04291" w:rsidP="00B04291">
      <w:pPr>
        <w:pStyle w:val="ESletgauche"/>
        <w:rPr>
          <w:lang w:val="en-GB"/>
        </w:rPr>
      </w:pPr>
      <w:r w:rsidRPr="00FE5499">
        <w:rPr>
          <w:lang w:val="en-GB"/>
        </w:rPr>
        <w:t>b)</w:t>
      </w:r>
      <w:r w:rsidRPr="00FE5499">
        <w:rPr>
          <w:lang w:val="en-GB"/>
        </w:rPr>
        <w:tab/>
        <w:t>reducing the causes of disturbance at their source;</w:t>
      </w:r>
    </w:p>
    <w:p w:rsidR="00B04291" w:rsidRDefault="00B04291" w:rsidP="00B04291">
      <w:pPr>
        <w:pStyle w:val="ESletgauche"/>
        <w:rPr>
          <w:lang w:val="en-GB"/>
        </w:rPr>
      </w:pPr>
      <w:r w:rsidRPr="00FE5499">
        <w:rPr>
          <w:lang w:val="en-GB"/>
        </w:rPr>
        <w:t>c)</w:t>
      </w:r>
      <w:r w:rsidRPr="00FE5499">
        <w:rPr>
          <w:lang w:val="en-GB"/>
        </w:rPr>
        <w:tab/>
        <w:t xml:space="preserve">reducing the sensitivity of affected </w:t>
      </w:r>
      <w:r w:rsidRPr="008A1F8E">
        <w:rPr>
          <w:lang w:val="en-GB"/>
        </w:rPr>
        <w:t>equipment</w:t>
      </w:r>
      <w:r w:rsidRPr="00C4681D">
        <w:rPr>
          <w:lang w:val="en-GB"/>
        </w:rPr>
        <w:t xml:space="preserve"> to interference.</w:t>
      </w:r>
    </w:p>
    <w:p w:rsidR="00283317" w:rsidRDefault="00283317" w:rsidP="00283317">
      <w:pPr>
        <w:rPr>
          <w:rFonts w:cs="Arial"/>
          <w:szCs w:val="20"/>
          <w:lang w:val="en-US"/>
        </w:rPr>
      </w:pPr>
    </w:p>
    <w:p w:rsidR="00350277" w:rsidRDefault="00350277">
      <w:pPr>
        <w:autoSpaceDE/>
        <w:autoSpaceDN/>
        <w:ind w:left="0" w:firstLine="0"/>
        <w:jc w:val="left"/>
        <w:rPr>
          <w:rFonts w:cs="Arial"/>
          <w:szCs w:val="20"/>
          <w:lang w:val="en-US"/>
        </w:rPr>
      </w:pPr>
    </w:p>
    <w:p w:rsidR="00E9735B" w:rsidRDefault="00E9735B">
      <w:pPr>
        <w:autoSpaceDE/>
        <w:autoSpaceDN/>
        <w:ind w:left="0" w:firstLine="0"/>
        <w:jc w:val="left"/>
        <w:rPr>
          <w:rFonts w:cs="Arial"/>
          <w:szCs w:val="20"/>
          <w:lang w:val="en-US"/>
        </w:rPr>
      </w:pPr>
      <w:r>
        <w:rPr>
          <w:rFonts w:cs="Arial"/>
          <w:szCs w:val="20"/>
          <w:lang w:val="en-US"/>
        </w:rPr>
        <w:br w:type="page"/>
      </w:r>
    </w:p>
    <w:p w:rsidR="00350277" w:rsidRDefault="00350277" w:rsidP="00283317">
      <w:pPr>
        <w:rPr>
          <w:rFonts w:cs="Arial"/>
          <w:szCs w:val="20"/>
          <w:lang w:val="en-US"/>
        </w:rPr>
      </w:pPr>
    </w:p>
    <w:p w:rsidR="00E9735B" w:rsidRDefault="00E9735B" w:rsidP="00283317">
      <w:pPr>
        <w:rPr>
          <w:rFonts w:cs="Arial"/>
          <w:szCs w:val="20"/>
          <w:lang w:val="en-US"/>
        </w:rPr>
      </w:pPr>
    </w:p>
    <w:p w:rsidR="00350277" w:rsidRPr="00C903F8" w:rsidRDefault="00350277" w:rsidP="00283317">
      <w:pPr>
        <w:rPr>
          <w:rFonts w:cs="Arial"/>
          <w:szCs w:val="20"/>
          <w:lang w:val="en-US"/>
        </w:rPr>
      </w:pPr>
    </w:p>
    <w:p w:rsidR="00F6371D" w:rsidRPr="00C903F8" w:rsidRDefault="00F06174" w:rsidP="00F6371D">
      <w:pPr>
        <w:pStyle w:val="ES-Titre2"/>
      </w:pPr>
      <w:bookmarkStart w:id="111" w:name="_Toc491854099"/>
      <w:r w:rsidRPr="00C903F8">
        <w:lastRenderedPageBreak/>
        <w:t>Chapter</w:t>
      </w:r>
      <w:r w:rsidR="00F6371D" w:rsidRPr="00C903F8">
        <w:t xml:space="preserve"> 1</w:t>
      </w:r>
      <w:r w:rsidR="00725D4A" w:rsidRPr="00C903F8">
        <w:t>1</w:t>
      </w:r>
      <w:r w:rsidR="00F6371D" w:rsidRPr="00C903F8">
        <w:br/>
      </w:r>
      <w:r w:rsidRPr="00C903F8">
        <w:t xml:space="preserve">Electrical </w:t>
      </w:r>
      <w:r w:rsidR="00910878">
        <w:t>propulsion systems</w:t>
      </w:r>
      <w:bookmarkEnd w:id="111"/>
    </w:p>
    <w:p w:rsidR="009E1A19" w:rsidRPr="00C903F8" w:rsidRDefault="009E1A19" w:rsidP="009E1A19">
      <w:pPr>
        <w:rPr>
          <w:lang w:val="en-US"/>
        </w:rPr>
      </w:pPr>
    </w:p>
    <w:p w:rsidR="009E1A19" w:rsidRPr="00C903F8" w:rsidRDefault="009E1A19" w:rsidP="009E1A19">
      <w:pPr>
        <w:jc w:val="center"/>
        <w:rPr>
          <w:lang w:val="en-US"/>
        </w:rPr>
      </w:pPr>
      <w:r w:rsidRPr="00C903F8">
        <w:rPr>
          <w:lang w:val="en-US"/>
        </w:rPr>
        <w:t>(</w:t>
      </w:r>
      <w:r w:rsidR="00F06174" w:rsidRPr="00C903F8">
        <w:rPr>
          <w:lang w:val="en-US"/>
        </w:rPr>
        <w:t>left void</w:t>
      </w:r>
      <w:r w:rsidRPr="00C903F8">
        <w:rPr>
          <w:lang w:val="en-US"/>
        </w:rPr>
        <w:t>)</w:t>
      </w:r>
    </w:p>
    <w:p w:rsidR="00283317" w:rsidRPr="00C903F8" w:rsidRDefault="00283317" w:rsidP="009E1A19">
      <w:pPr>
        <w:jc w:val="center"/>
        <w:rPr>
          <w:lang w:val="en-US"/>
        </w:rPr>
      </w:pPr>
    </w:p>
    <w:p w:rsidR="00283317" w:rsidRPr="00C903F8" w:rsidRDefault="00283317" w:rsidP="009E1A19">
      <w:pPr>
        <w:jc w:val="center"/>
        <w:rPr>
          <w:lang w:val="en-US"/>
        </w:rPr>
      </w:pPr>
    </w:p>
    <w:p w:rsidR="0093091E" w:rsidRPr="00C903F8" w:rsidRDefault="000222E9" w:rsidP="009E1A19">
      <w:pPr>
        <w:jc w:val="center"/>
        <w:rPr>
          <w:lang w:val="en-US"/>
        </w:rPr>
      </w:pPr>
      <w:r w:rsidRPr="00C903F8">
        <w:rPr>
          <w:lang w:val="en-US"/>
        </w:rPr>
        <w:br w:type="page"/>
      </w:r>
    </w:p>
    <w:p w:rsidR="00283317" w:rsidRPr="00C903F8" w:rsidRDefault="00283317" w:rsidP="009E1A19">
      <w:pPr>
        <w:jc w:val="center"/>
        <w:rPr>
          <w:lang w:val="en-US"/>
        </w:rPr>
      </w:pPr>
    </w:p>
    <w:p w:rsidR="00283317" w:rsidRPr="00C903F8" w:rsidRDefault="00283317" w:rsidP="009E1A19">
      <w:pPr>
        <w:jc w:val="center"/>
        <w:rPr>
          <w:lang w:val="en-US"/>
        </w:rPr>
      </w:pPr>
    </w:p>
    <w:p w:rsidR="00F6371D" w:rsidRPr="00C903F8" w:rsidRDefault="00F06174" w:rsidP="00F6371D">
      <w:pPr>
        <w:pStyle w:val="ES-Titre2"/>
      </w:pPr>
      <w:bookmarkStart w:id="112" w:name="_Toc491854100"/>
      <w:r w:rsidRPr="00C903F8">
        <w:lastRenderedPageBreak/>
        <w:t>Chapter</w:t>
      </w:r>
      <w:r w:rsidR="00F6371D" w:rsidRPr="00C903F8">
        <w:t xml:space="preserve"> 12</w:t>
      </w:r>
      <w:r w:rsidR="00F6371D" w:rsidRPr="00C903F8">
        <w:br/>
      </w:r>
      <w:r w:rsidRPr="00C903F8">
        <w:t>Electronic equipment and systems</w:t>
      </w:r>
      <w:bookmarkEnd w:id="112"/>
    </w:p>
    <w:p w:rsidR="009E1A19" w:rsidRPr="00C903F8" w:rsidRDefault="009E1A19" w:rsidP="009E1A19">
      <w:pPr>
        <w:jc w:val="center"/>
        <w:rPr>
          <w:lang w:val="en-US"/>
        </w:rPr>
      </w:pPr>
    </w:p>
    <w:p w:rsidR="009E1A19" w:rsidRPr="00C903F8" w:rsidRDefault="009E1A19" w:rsidP="009E1A19">
      <w:pPr>
        <w:jc w:val="center"/>
        <w:rPr>
          <w:lang w:val="en-US"/>
        </w:rPr>
      </w:pPr>
      <w:r w:rsidRPr="00C903F8">
        <w:rPr>
          <w:lang w:val="en-US"/>
        </w:rPr>
        <w:t>(</w:t>
      </w:r>
      <w:r w:rsidR="00F06174" w:rsidRPr="00C903F8">
        <w:rPr>
          <w:lang w:val="en-US"/>
        </w:rPr>
        <w:t>left void</w:t>
      </w:r>
      <w:r w:rsidRPr="00C903F8">
        <w:rPr>
          <w:lang w:val="en-US"/>
        </w:rPr>
        <w:t>)</w:t>
      </w:r>
    </w:p>
    <w:p w:rsidR="00283317" w:rsidRPr="00C903F8" w:rsidRDefault="00283317" w:rsidP="009E1A19">
      <w:pPr>
        <w:jc w:val="center"/>
        <w:rPr>
          <w:lang w:val="en-US"/>
        </w:rPr>
      </w:pPr>
    </w:p>
    <w:p w:rsidR="00283317" w:rsidRPr="00C903F8" w:rsidRDefault="00283317" w:rsidP="009E1A19">
      <w:pPr>
        <w:jc w:val="center"/>
        <w:rPr>
          <w:lang w:val="en-US"/>
        </w:rPr>
      </w:pPr>
    </w:p>
    <w:p w:rsidR="000222E9" w:rsidRPr="00C903F8" w:rsidRDefault="000222E9" w:rsidP="009E1A19">
      <w:pPr>
        <w:jc w:val="center"/>
        <w:rPr>
          <w:lang w:val="en-US"/>
        </w:rPr>
      </w:pPr>
    </w:p>
    <w:p w:rsidR="000222E9" w:rsidRPr="00C903F8" w:rsidRDefault="000222E9" w:rsidP="009E1A19">
      <w:pPr>
        <w:jc w:val="center"/>
        <w:rPr>
          <w:lang w:val="en-US"/>
        </w:rPr>
      </w:pPr>
      <w:r w:rsidRPr="00C903F8">
        <w:rPr>
          <w:lang w:val="en-US"/>
        </w:rPr>
        <w:br w:type="page"/>
      </w:r>
    </w:p>
    <w:p w:rsidR="00283317" w:rsidRPr="00C903F8" w:rsidRDefault="00283317" w:rsidP="009E1A19">
      <w:pPr>
        <w:jc w:val="center"/>
        <w:rPr>
          <w:lang w:val="en-US"/>
        </w:rPr>
      </w:pPr>
    </w:p>
    <w:p w:rsidR="00F6371D" w:rsidRPr="00C903F8" w:rsidRDefault="00F06174" w:rsidP="00F6371D">
      <w:pPr>
        <w:pStyle w:val="ES-Titre2"/>
      </w:pPr>
      <w:bookmarkStart w:id="113" w:name="_Toc491854101"/>
      <w:r w:rsidRPr="00C903F8">
        <w:lastRenderedPageBreak/>
        <w:t>Chapter</w:t>
      </w:r>
      <w:r w:rsidR="00F6371D" w:rsidRPr="00C903F8">
        <w:t xml:space="preserve"> 13</w:t>
      </w:r>
      <w:r w:rsidR="00F6371D" w:rsidRPr="00C903F8">
        <w:br/>
      </w:r>
      <w:r w:rsidRPr="00C903F8">
        <w:t>Equipment</w:t>
      </w:r>
      <w:bookmarkEnd w:id="113"/>
    </w:p>
    <w:p w:rsidR="00E65F26" w:rsidRPr="00C903F8" w:rsidRDefault="00E65F26" w:rsidP="00E65F26">
      <w:pPr>
        <w:pStyle w:val="ESch"/>
        <w:rPr>
          <w:lang w:val="en-US"/>
        </w:rPr>
      </w:pPr>
    </w:p>
    <w:p w:rsidR="00E65F26" w:rsidRPr="00C903F8" w:rsidRDefault="00E65F26" w:rsidP="00E65F26">
      <w:pPr>
        <w:pStyle w:val="ES-Titre3"/>
        <w:rPr>
          <w:i/>
          <w:lang w:val="en-US"/>
        </w:rPr>
      </w:pPr>
      <w:bookmarkStart w:id="114" w:name="_Toc491854102"/>
      <w:r w:rsidRPr="00C903F8">
        <w:rPr>
          <w:noProof/>
          <w:lang w:val="en-US"/>
        </w:rPr>
        <w:t>Article 13.01</w:t>
      </w:r>
      <w:r w:rsidRPr="00C903F8">
        <w:rPr>
          <w:noProof/>
          <w:lang w:val="en-US"/>
        </w:rPr>
        <w:br/>
      </w:r>
      <w:r w:rsidRPr="00C903F8">
        <w:rPr>
          <w:i/>
          <w:noProof/>
          <w:lang w:val="en-US"/>
        </w:rPr>
        <w:t>Anchor equipment</w:t>
      </w:r>
      <w:bookmarkEnd w:id="114"/>
    </w:p>
    <w:p w:rsidR="00312E1A" w:rsidRPr="00C903F8" w:rsidRDefault="00312E1A" w:rsidP="00E65F26">
      <w:pPr>
        <w:pStyle w:val="ESch"/>
        <w:rPr>
          <w:noProof/>
          <w:lang w:val="en-US"/>
        </w:rPr>
      </w:pPr>
    </w:p>
    <w:p w:rsidR="00E65F26" w:rsidRPr="00C903F8" w:rsidRDefault="00E65F26" w:rsidP="00E65F26">
      <w:pPr>
        <w:pStyle w:val="ESch"/>
        <w:rPr>
          <w:noProof/>
          <w:lang w:val="en-US"/>
        </w:rPr>
      </w:pPr>
      <w:r w:rsidRPr="00C903F8">
        <w:rPr>
          <w:noProof/>
          <w:lang w:val="en-US"/>
        </w:rPr>
        <w:t>1.</w:t>
      </w:r>
      <w:r w:rsidRPr="00C903F8">
        <w:rPr>
          <w:lang w:val="en-US"/>
        </w:rPr>
        <w:tab/>
      </w:r>
      <w:r w:rsidRPr="00C903F8">
        <w:rPr>
          <w:noProof/>
          <w:lang w:val="en-US"/>
        </w:rPr>
        <w:t xml:space="preserve">Vessels intended for the carriage of goods, apart from ship-borne lighters whose length </w:t>
      </w:r>
      <m:oMath>
        <m:r>
          <w:rPr>
            <w:rFonts w:ascii="Cambria Math" w:hAnsi="Cambria Math"/>
            <w:lang w:val="en-US"/>
          </w:rPr>
          <m:t>L</m:t>
        </m:r>
      </m:oMath>
      <w:r w:rsidRPr="00C903F8">
        <w:rPr>
          <w:noProof/>
          <w:lang w:val="en-US"/>
        </w:rPr>
        <w:t xml:space="preserve"> does not exceed 40</w:t>
      </w:r>
      <w:r w:rsidR="00B51D33" w:rsidRPr="00C903F8">
        <w:rPr>
          <w:noProof/>
          <w:lang w:val="en-US"/>
        </w:rPr>
        <w:t> </w:t>
      </w:r>
      <w:r w:rsidRPr="00C903F8">
        <w:rPr>
          <w:noProof/>
          <w:lang w:val="en-US"/>
        </w:rPr>
        <w:t>m, shall be equipped wit</w:t>
      </w:r>
      <w:r w:rsidR="00754A0C" w:rsidRPr="00C903F8">
        <w:rPr>
          <w:noProof/>
          <w:lang w:val="en-US"/>
        </w:rPr>
        <w:t xml:space="preserve">h bow anchors whose total mass </w:t>
      </w:r>
      <m:oMath>
        <m:r>
          <w:rPr>
            <w:rFonts w:ascii="Cambria Math" w:hAnsi="Cambria Math"/>
            <w:noProof/>
            <w:lang w:val="en-US"/>
          </w:rPr>
          <m:t>P</m:t>
        </m:r>
      </m:oMath>
      <w:r w:rsidRPr="00C903F8">
        <w:rPr>
          <w:noProof/>
          <w:lang w:val="en-US"/>
        </w:rPr>
        <w:t xml:space="preserve"> is obtained using the following formula:</w:t>
      </w:r>
    </w:p>
    <w:p w:rsidR="00754A0C" w:rsidRPr="00C903F8" w:rsidRDefault="00754A0C" w:rsidP="00E65F26">
      <w:pPr>
        <w:pStyle w:val="ESch"/>
        <w:rPr>
          <w:noProof/>
          <w:lang w:val="en-US"/>
        </w:rPr>
      </w:pPr>
    </w:p>
    <w:p w:rsidR="00754A0C" w:rsidRPr="00C903F8" w:rsidRDefault="00754A0C" w:rsidP="00AD0020">
      <w:pPr>
        <w:pStyle w:val="ESch"/>
        <w:ind w:left="0" w:firstLine="0"/>
        <w:jc w:val="center"/>
        <w:rPr>
          <w:noProof/>
          <w:lang w:val="en-US"/>
        </w:rPr>
      </w:pPr>
      <m:oMathPara>
        <m:oMath>
          <m:r>
            <w:rPr>
              <w:rFonts w:ascii="Cambria Math" w:hAnsi="Cambria Math"/>
              <w:noProof/>
              <w:lang w:val="en-US"/>
            </w:rPr>
            <m:t>P=k ∙B ∙T [kg]</m:t>
          </m:r>
        </m:oMath>
      </m:oMathPara>
    </w:p>
    <w:p w:rsidR="00E65F26" w:rsidRPr="00C903F8" w:rsidRDefault="00E65F26" w:rsidP="00E65F26">
      <w:pPr>
        <w:pStyle w:val="ESch"/>
        <w:rPr>
          <w:lang w:val="en-US"/>
        </w:rPr>
      </w:pPr>
    </w:p>
    <w:p w:rsidR="00E65F26" w:rsidRPr="00C903F8" w:rsidRDefault="00E65F26" w:rsidP="00E65F26">
      <w:pPr>
        <w:pStyle w:val="ESchpar"/>
        <w:rPr>
          <w:lang w:val="en-US"/>
        </w:rPr>
      </w:pPr>
      <w:r w:rsidRPr="00C903F8">
        <w:rPr>
          <w:noProof/>
          <w:lang w:val="en-US"/>
        </w:rPr>
        <w:t>where</w:t>
      </w:r>
    </w:p>
    <w:p w:rsidR="00E65F26" w:rsidRPr="00C903F8" w:rsidRDefault="00754A0C" w:rsidP="00E65F26">
      <w:pPr>
        <w:pStyle w:val="ESlet"/>
        <w:rPr>
          <w:lang w:val="en-US"/>
        </w:rPr>
      </w:pPr>
      <m:oMath>
        <m:r>
          <w:rPr>
            <w:rFonts w:ascii="Cambria Math" w:hAnsi="Cambria Math"/>
            <w:lang w:val="en-US"/>
          </w:rPr>
          <m:t>k</m:t>
        </m:r>
      </m:oMath>
      <w:r w:rsidR="00E65F26" w:rsidRPr="00C903F8">
        <w:rPr>
          <w:lang w:val="en-US"/>
        </w:rPr>
        <w:tab/>
        <w:t>is a coefficient that takes account of the relationship between length</w:t>
      </w:r>
      <w:r w:rsidRPr="00C903F8">
        <w:rPr>
          <w:lang w:val="en-US"/>
        </w:rPr>
        <w:t xml:space="preserve"> </w:t>
      </w:r>
      <m:oMath>
        <m:r>
          <w:rPr>
            <w:rFonts w:ascii="Cambria Math" w:hAnsi="Cambria Math"/>
            <w:lang w:val="en-US"/>
          </w:rPr>
          <m:t>L</m:t>
        </m:r>
      </m:oMath>
      <w:r w:rsidR="00E65F26" w:rsidRPr="00C903F8">
        <w:rPr>
          <w:lang w:val="en-US"/>
        </w:rPr>
        <w:t xml:space="preserve"> and beam</w:t>
      </w:r>
      <m:oMath>
        <m:r>
          <w:rPr>
            <w:rFonts w:ascii="Cambria Math" w:hAnsi="Cambria Math"/>
            <w:lang w:val="en-US"/>
          </w:rPr>
          <m:t xml:space="preserve"> B</m:t>
        </m:r>
      </m:oMath>
      <w:r w:rsidR="00E65F26" w:rsidRPr="00C903F8">
        <w:rPr>
          <w:lang w:val="en-US"/>
        </w:rPr>
        <w:t>, and of the type of vessel:</w:t>
      </w:r>
    </w:p>
    <w:p w:rsidR="00AD0020" w:rsidRPr="00C903F8" w:rsidRDefault="001C4EBE" w:rsidP="00AD0020">
      <w:pPr>
        <w:pStyle w:val="ESlet"/>
        <w:ind w:left="0" w:firstLine="0"/>
        <w:jc w:val="center"/>
        <w:rPr>
          <w:noProof/>
          <w:lang w:val="en-US"/>
        </w:rPr>
      </w:pPr>
      <m:oMathPara>
        <m:oMath>
          <m:r>
            <w:rPr>
              <w:rFonts w:ascii="Cambria Math" w:hAnsi="Cambria Math"/>
              <w:noProof/>
              <w:lang w:val="en-US"/>
            </w:rPr>
            <m:t xml:space="preserve">k= c </m:t>
          </m:r>
          <m:rad>
            <m:radPr>
              <m:degHide m:val="1"/>
              <m:ctrlPr>
                <w:rPr>
                  <w:rFonts w:ascii="Cambria Math" w:hAnsi="Cambria Math"/>
                  <w:i/>
                  <w:noProof/>
                  <w:sz w:val="22"/>
                </w:rPr>
              </m:ctrlPr>
            </m:radPr>
            <m:deg/>
            <m:e>
              <m:f>
                <m:fPr>
                  <m:ctrlPr>
                    <w:rPr>
                      <w:rFonts w:ascii="Cambria Math" w:hAnsi="Cambria Math"/>
                      <w:i/>
                      <w:noProof/>
                      <w:sz w:val="22"/>
                    </w:rPr>
                  </m:ctrlPr>
                </m:fPr>
                <m:num>
                  <m:r>
                    <w:rPr>
                      <w:rFonts w:ascii="Cambria Math" w:hAnsi="Cambria Math"/>
                      <w:noProof/>
                      <w:sz w:val="22"/>
                    </w:rPr>
                    <m:t>L</m:t>
                  </m:r>
                </m:num>
                <m:den>
                  <m:r>
                    <w:rPr>
                      <w:rFonts w:ascii="Cambria Math" w:hAnsi="Cambria Math"/>
                      <w:noProof/>
                      <w:sz w:val="22"/>
                      <w:lang w:val="en-US"/>
                    </w:rPr>
                    <m:t>8 ∙</m:t>
                  </m:r>
                  <m:r>
                    <w:rPr>
                      <w:rFonts w:ascii="Cambria Math" w:hAnsi="Cambria Math"/>
                      <w:noProof/>
                      <w:sz w:val="22"/>
                    </w:rPr>
                    <m:t>B</m:t>
                  </m:r>
                </m:den>
              </m:f>
            </m:e>
          </m:rad>
        </m:oMath>
      </m:oMathPara>
    </w:p>
    <w:p w:rsidR="00E65F26" w:rsidRPr="00C903F8" w:rsidRDefault="00E65F26" w:rsidP="00E65F26">
      <w:pPr>
        <w:pStyle w:val="ESch"/>
        <w:jc w:val="center"/>
        <w:rPr>
          <w:rStyle w:val="FootnoteReference"/>
          <w:rFonts w:cs="Arial"/>
          <w:sz w:val="18"/>
          <w:szCs w:val="18"/>
          <w:lang w:val="en-US"/>
        </w:rPr>
      </w:pPr>
    </w:p>
    <w:p w:rsidR="00E65F26" w:rsidRPr="00C903F8" w:rsidRDefault="00E65F26" w:rsidP="00E65F26">
      <w:pPr>
        <w:pStyle w:val="ESletpar"/>
        <w:rPr>
          <w:noProof/>
          <w:lang w:val="en-US"/>
        </w:rPr>
      </w:pPr>
      <w:r w:rsidRPr="00C903F8">
        <w:rPr>
          <w:noProof/>
          <w:lang w:val="en-US"/>
        </w:rPr>
        <w:t>for lighters, however,</w:t>
      </w:r>
      <w:r w:rsidR="00754A0C" w:rsidRPr="00C903F8">
        <w:rPr>
          <w:noProof/>
          <w:lang w:val="en-US"/>
        </w:rPr>
        <w:t xml:space="preserve"> </w:t>
      </w:r>
      <m:oMath>
        <m:r>
          <w:rPr>
            <w:rFonts w:ascii="Cambria Math" w:hAnsi="Cambria Math"/>
            <w:noProof/>
            <w:lang w:val="en-US"/>
          </w:rPr>
          <m:t>k=c</m:t>
        </m:r>
      </m:oMath>
      <w:r w:rsidRPr="00C903F8">
        <w:rPr>
          <w:noProof/>
          <w:lang w:val="en-US"/>
        </w:rPr>
        <w:t xml:space="preserve"> will be taken;</w:t>
      </w:r>
    </w:p>
    <w:p w:rsidR="00E65F26" w:rsidRPr="00C903F8" w:rsidRDefault="00754A0C" w:rsidP="00E65F26">
      <w:pPr>
        <w:pStyle w:val="ESlet"/>
        <w:rPr>
          <w:noProof/>
          <w:lang w:val="en-US"/>
        </w:rPr>
      </w:pPr>
      <m:oMath>
        <m:r>
          <w:rPr>
            <w:rFonts w:ascii="Cambria Math" w:hAnsi="Cambria Math"/>
            <w:noProof/>
            <w:lang w:val="en-US"/>
          </w:rPr>
          <m:t>c</m:t>
        </m:r>
      </m:oMath>
      <w:r w:rsidR="00E65F26" w:rsidRPr="00C903F8">
        <w:rPr>
          <w:noProof/>
          <w:lang w:val="en-US"/>
        </w:rPr>
        <w:tab/>
        <w:t>is an empirical coefficient given in the following table:</w:t>
      </w:r>
    </w:p>
    <w:p w:rsidR="00E65F26" w:rsidRPr="00C903F8" w:rsidRDefault="00E65F26" w:rsidP="00E65F26">
      <w:pPr>
        <w:pStyle w:val="ESchpar"/>
        <w:rPr>
          <w:noProof/>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E65F26" w:rsidRPr="00C903F8" w:rsidTr="0097624C">
        <w:trPr>
          <w:jc w:val="center"/>
        </w:trPr>
        <w:tc>
          <w:tcPr>
            <w:tcW w:w="3402" w:type="dxa"/>
            <w:shd w:val="clear" w:color="auto" w:fill="auto"/>
          </w:tcPr>
          <w:p w:rsidR="00E65F26" w:rsidRPr="00C903F8" w:rsidRDefault="00E65F26" w:rsidP="00481A0E">
            <w:pPr>
              <w:pStyle w:val="ESch"/>
              <w:spacing w:before="60" w:after="60"/>
              <w:ind w:left="0" w:firstLine="0"/>
              <w:jc w:val="center"/>
              <w:rPr>
                <w:sz w:val="18"/>
              </w:rPr>
            </w:pPr>
            <w:r w:rsidRPr="00C903F8">
              <w:rPr>
                <w:noProof/>
                <w:sz w:val="18"/>
                <w:lang w:val="en-US"/>
              </w:rPr>
              <w:t xml:space="preserve">Dead-weight tonnage </w:t>
            </w:r>
            <w:r w:rsidR="00481A0E" w:rsidRPr="00C903F8">
              <w:rPr>
                <w:noProof/>
                <w:sz w:val="18"/>
                <w:lang w:val="en-US"/>
              </w:rPr>
              <w:t>[</w:t>
            </w:r>
            <w:r w:rsidRPr="00C903F8">
              <w:rPr>
                <w:noProof/>
                <w:sz w:val="18"/>
                <w:lang w:val="en-US"/>
              </w:rPr>
              <w:t>t</w:t>
            </w:r>
            <w:r w:rsidR="00481A0E" w:rsidRPr="00C903F8">
              <w:rPr>
                <w:noProof/>
                <w:sz w:val="18"/>
                <w:lang w:val="en-US"/>
              </w:rPr>
              <w:t>]</w:t>
            </w:r>
          </w:p>
        </w:tc>
        <w:tc>
          <w:tcPr>
            <w:tcW w:w="3402" w:type="dxa"/>
            <w:shd w:val="clear" w:color="auto" w:fill="auto"/>
          </w:tcPr>
          <w:p w:rsidR="00E65F26" w:rsidRPr="00C903F8" w:rsidRDefault="00E65F26" w:rsidP="0097624C">
            <w:pPr>
              <w:pStyle w:val="ESch"/>
              <w:spacing w:before="60" w:after="60"/>
              <w:ind w:left="0" w:firstLine="0"/>
              <w:jc w:val="center"/>
              <w:rPr>
                <w:sz w:val="18"/>
              </w:rPr>
            </w:pPr>
            <w:r w:rsidRPr="00C903F8">
              <w:rPr>
                <w:noProof/>
                <w:sz w:val="18"/>
                <w:lang w:val="en-US"/>
              </w:rPr>
              <w:t xml:space="preserve">Coefficient </w:t>
            </w:r>
            <m:oMath>
              <m:r>
                <w:rPr>
                  <w:rFonts w:ascii="Cambria Math" w:hAnsi="Cambria Math"/>
                  <w:noProof/>
                  <w:lang w:val="en-US"/>
                </w:rPr>
                <m:t>c</m:t>
              </m:r>
            </m:oMath>
          </w:p>
        </w:tc>
      </w:tr>
      <w:tr w:rsidR="00E65F26" w:rsidRPr="00C903F8" w:rsidTr="0097624C">
        <w:trPr>
          <w:jc w:val="center"/>
        </w:trPr>
        <w:tc>
          <w:tcPr>
            <w:tcW w:w="3402" w:type="dxa"/>
            <w:shd w:val="clear" w:color="auto" w:fill="auto"/>
          </w:tcPr>
          <w:p w:rsidR="00E65F26" w:rsidRPr="00C903F8" w:rsidRDefault="00E65F26" w:rsidP="0097624C">
            <w:pPr>
              <w:pStyle w:val="ESch"/>
              <w:spacing w:before="60" w:after="60"/>
              <w:ind w:left="0" w:firstLine="0"/>
              <w:rPr>
                <w:sz w:val="18"/>
              </w:rPr>
            </w:pPr>
            <w:r w:rsidRPr="00C903F8">
              <w:rPr>
                <w:noProof/>
                <w:sz w:val="18"/>
                <w:szCs w:val="18"/>
                <w:lang w:val="en-US"/>
              </w:rPr>
              <w:t>up to 400 inclusive</w:t>
            </w:r>
          </w:p>
        </w:tc>
        <w:tc>
          <w:tcPr>
            <w:tcW w:w="3402" w:type="dxa"/>
            <w:shd w:val="clear" w:color="auto" w:fill="auto"/>
          </w:tcPr>
          <w:p w:rsidR="00E65F26" w:rsidRPr="00C903F8" w:rsidRDefault="00E65F26" w:rsidP="0097624C">
            <w:pPr>
              <w:pStyle w:val="ESch"/>
              <w:spacing w:before="60" w:after="60"/>
              <w:ind w:left="0" w:firstLine="0"/>
              <w:jc w:val="center"/>
              <w:rPr>
                <w:sz w:val="18"/>
              </w:rPr>
            </w:pPr>
            <w:r w:rsidRPr="00C903F8">
              <w:rPr>
                <w:rFonts w:cs="Arial"/>
                <w:sz w:val="18"/>
                <w:szCs w:val="20"/>
                <w:lang w:val="fr-BE" w:eastAsia="nl-NL"/>
              </w:rPr>
              <w:t>45</w:t>
            </w:r>
          </w:p>
        </w:tc>
      </w:tr>
      <w:tr w:rsidR="00E65F26" w:rsidRPr="00C903F8" w:rsidTr="0097624C">
        <w:trPr>
          <w:jc w:val="center"/>
        </w:trPr>
        <w:tc>
          <w:tcPr>
            <w:tcW w:w="3402" w:type="dxa"/>
            <w:shd w:val="clear" w:color="auto" w:fill="auto"/>
          </w:tcPr>
          <w:p w:rsidR="00E65F26" w:rsidRPr="00C903F8" w:rsidRDefault="00E65F26" w:rsidP="0097624C">
            <w:pPr>
              <w:pStyle w:val="ESch"/>
              <w:spacing w:before="60" w:after="60"/>
              <w:ind w:left="0" w:firstLine="0"/>
              <w:rPr>
                <w:sz w:val="18"/>
              </w:rPr>
            </w:pPr>
            <w:r w:rsidRPr="00C903F8">
              <w:rPr>
                <w:noProof/>
                <w:sz w:val="18"/>
                <w:szCs w:val="18"/>
                <w:lang w:val="en-US"/>
              </w:rPr>
              <w:t>from 400 to 650 inclusive</w:t>
            </w:r>
          </w:p>
        </w:tc>
        <w:tc>
          <w:tcPr>
            <w:tcW w:w="3402" w:type="dxa"/>
            <w:shd w:val="clear" w:color="auto" w:fill="auto"/>
          </w:tcPr>
          <w:p w:rsidR="00E65F26" w:rsidRPr="00C903F8" w:rsidRDefault="00E65F26" w:rsidP="0097624C">
            <w:pPr>
              <w:pStyle w:val="ESch"/>
              <w:spacing w:before="60" w:after="60"/>
              <w:ind w:left="0" w:firstLine="0"/>
              <w:jc w:val="center"/>
              <w:rPr>
                <w:sz w:val="18"/>
              </w:rPr>
            </w:pPr>
            <w:r w:rsidRPr="00C903F8">
              <w:rPr>
                <w:rFonts w:cs="Arial"/>
                <w:sz w:val="18"/>
                <w:szCs w:val="20"/>
                <w:lang w:val="fr-BE" w:eastAsia="nl-NL"/>
              </w:rPr>
              <w:t>55</w:t>
            </w:r>
          </w:p>
        </w:tc>
      </w:tr>
      <w:tr w:rsidR="00E65F26" w:rsidRPr="00C903F8" w:rsidTr="0097624C">
        <w:trPr>
          <w:jc w:val="center"/>
        </w:trPr>
        <w:tc>
          <w:tcPr>
            <w:tcW w:w="3402" w:type="dxa"/>
            <w:shd w:val="clear" w:color="auto" w:fill="auto"/>
          </w:tcPr>
          <w:p w:rsidR="00E65F26" w:rsidRPr="00C903F8" w:rsidRDefault="00E65F26" w:rsidP="0097624C">
            <w:pPr>
              <w:pStyle w:val="ESch"/>
              <w:spacing w:before="60" w:after="60"/>
              <w:ind w:left="0" w:firstLine="0"/>
              <w:rPr>
                <w:sz w:val="18"/>
              </w:rPr>
            </w:pPr>
            <w:r w:rsidRPr="00C903F8">
              <w:rPr>
                <w:noProof/>
                <w:sz w:val="18"/>
                <w:szCs w:val="18"/>
                <w:lang w:val="en-US"/>
              </w:rPr>
              <w:t>from 650 to 1000 inclusive</w:t>
            </w:r>
          </w:p>
        </w:tc>
        <w:tc>
          <w:tcPr>
            <w:tcW w:w="3402" w:type="dxa"/>
            <w:shd w:val="clear" w:color="auto" w:fill="auto"/>
          </w:tcPr>
          <w:p w:rsidR="00E65F26" w:rsidRPr="00C903F8" w:rsidRDefault="00E65F26" w:rsidP="0097624C">
            <w:pPr>
              <w:pStyle w:val="ESch"/>
              <w:spacing w:before="60" w:after="60"/>
              <w:ind w:left="0" w:firstLine="0"/>
              <w:jc w:val="center"/>
              <w:rPr>
                <w:sz w:val="18"/>
              </w:rPr>
            </w:pPr>
            <w:r w:rsidRPr="00C903F8">
              <w:rPr>
                <w:rFonts w:cs="Arial"/>
                <w:sz w:val="18"/>
                <w:szCs w:val="20"/>
                <w:lang w:val="fr-BE" w:eastAsia="nl-NL"/>
              </w:rPr>
              <w:t>65</w:t>
            </w:r>
          </w:p>
        </w:tc>
      </w:tr>
      <w:tr w:rsidR="00E65F26" w:rsidRPr="00C903F8" w:rsidTr="0097624C">
        <w:trPr>
          <w:jc w:val="center"/>
        </w:trPr>
        <w:tc>
          <w:tcPr>
            <w:tcW w:w="3402" w:type="dxa"/>
            <w:shd w:val="clear" w:color="auto" w:fill="auto"/>
          </w:tcPr>
          <w:p w:rsidR="00E65F26" w:rsidRPr="00C903F8" w:rsidRDefault="00E65F26" w:rsidP="0097624C">
            <w:pPr>
              <w:pStyle w:val="ESch"/>
              <w:spacing w:before="60" w:after="60"/>
              <w:ind w:left="0" w:firstLine="0"/>
              <w:rPr>
                <w:sz w:val="18"/>
              </w:rPr>
            </w:pPr>
            <w:r w:rsidRPr="00C903F8">
              <w:rPr>
                <w:noProof/>
                <w:sz w:val="18"/>
                <w:szCs w:val="18"/>
                <w:lang w:val="en-US"/>
              </w:rPr>
              <w:t>more than 1000</w:t>
            </w:r>
          </w:p>
        </w:tc>
        <w:tc>
          <w:tcPr>
            <w:tcW w:w="3402" w:type="dxa"/>
            <w:shd w:val="clear" w:color="auto" w:fill="auto"/>
          </w:tcPr>
          <w:p w:rsidR="00E65F26" w:rsidRPr="00C903F8" w:rsidRDefault="00E65F26" w:rsidP="0097624C">
            <w:pPr>
              <w:pStyle w:val="ESch"/>
              <w:spacing w:before="60" w:after="60"/>
              <w:ind w:left="0" w:firstLine="0"/>
              <w:jc w:val="center"/>
              <w:rPr>
                <w:sz w:val="18"/>
              </w:rPr>
            </w:pPr>
            <w:r w:rsidRPr="00C903F8">
              <w:rPr>
                <w:rFonts w:cs="Arial"/>
                <w:sz w:val="18"/>
                <w:szCs w:val="20"/>
                <w:lang w:val="fr-BE" w:eastAsia="nl-NL"/>
              </w:rPr>
              <w:t>70</w:t>
            </w:r>
          </w:p>
        </w:tc>
      </w:tr>
    </w:tbl>
    <w:p w:rsidR="00E65F26" w:rsidRPr="00C903F8" w:rsidRDefault="00E65F26" w:rsidP="00E65F26">
      <w:pPr>
        <w:pStyle w:val="ESchpar"/>
        <w:rPr>
          <w:noProof/>
          <w:lang w:val="en-US"/>
        </w:rPr>
      </w:pPr>
    </w:p>
    <w:p w:rsidR="00E65F26" w:rsidRPr="00C903F8" w:rsidRDefault="00E65F26" w:rsidP="00E65F26">
      <w:pPr>
        <w:pStyle w:val="ESchpar"/>
        <w:rPr>
          <w:lang w:val="en-US"/>
        </w:rPr>
      </w:pPr>
      <w:r w:rsidRPr="00C903F8">
        <w:rPr>
          <w:noProof/>
          <w:lang w:val="en-US"/>
        </w:rPr>
        <w:t xml:space="preserve">On vessels whose dead-weight tonnage is not greater than 400 t and which, owing to their design and intended purpose, are used only on predetermined short-haul sections, the inspection body may accept that only two-thirds of total mass </w:t>
      </w:r>
      <m:oMath>
        <m:r>
          <w:rPr>
            <w:rFonts w:ascii="Cambria Math" w:hAnsi="Cambria Math"/>
            <w:noProof/>
            <w:lang w:val="en-US"/>
          </w:rPr>
          <m:t>P</m:t>
        </m:r>
      </m:oMath>
      <w:r w:rsidR="000E4A73" w:rsidRPr="00C903F8">
        <w:rPr>
          <w:noProof/>
          <w:lang w:val="en-US"/>
        </w:rPr>
        <w:t xml:space="preserve"> </w:t>
      </w:r>
      <w:r w:rsidRPr="00C903F8">
        <w:rPr>
          <w:noProof/>
          <w:lang w:val="en-US"/>
        </w:rPr>
        <w:t>is required for the bow anchors.</w:t>
      </w:r>
    </w:p>
    <w:p w:rsidR="00E65F26" w:rsidRPr="00C903F8" w:rsidRDefault="00E65F26" w:rsidP="00E65F26">
      <w:pPr>
        <w:pStyle w:val="ESch"/>
        <w:rPr>
          <w:noProof/>
          <w:lang w:val="en-US"/>
        </w:rPr>
      </w:pPr>
    </w:p>
    <w:p w:rsidR="00E65F26" w:rsidRPr="00C903F8" w:rsidRDefault="00E65F26" w:rsidP="00E65F26">
      <w:pPr>
        <w:pStyle w:val="ESlet"/>
        <w:tabs>
          <w:tab w:val="left" w:pos="567"/>
        </w:tabs>
        <w:ind w:hanging="992"/>
        <w:rPr>
          <w:lang w:val="en-US"/>
        </w:rPr>
      </w:pPr>
      <w:r w:rsidRPr="00C903F8">
        <w:rPr>
          <w:noProof/>
          <w:lang w:val="en-US"/>
        </w:rPr>
        <w:t>2.</w:t>
      </w:r>
      <w:r w:rsidRPr="00C903F8">
        <w:rPr>
          <w:lang w:val="en-US"/>
        </w:rPr>
        <w:tab/>
      </w:r>
      <w:r w:rsidR="005C7859" w:rsidRPr="00C903F8">
        <w:rPr>
          <w:lang w:val="en-US"/>
        </w:rPr>
        <w:t>a)</w:t>
      </w:r>
      <w:r w:rsidRPr="00C903F8">
        <w:rPr>
          <w:lang w:val="en-US"/>
        </w:rPr>
        <w:tab/>
      </w:r>
      <w:r w:rsidRPr="00C903F8">
        <w:rPr>
          <w:noProof/>
          <w:lang w:val="en-US"/>
        </w:rPr>
        <w:t xml:space="preserve">Passenger vessels and vessels not intended for the carriage of goods, apart from pushers, shall be fitted with bow anchors whose total mass </w:t>
      </w:r>
      <m:oMath>
        <m:r>
          <w:rPr>
            <w:rFonts w:ascii="Cambria Math" w:hAnsi="Cambria Math"/>
            <w:noProof/>
            <w:lang w:val="en-US"/>
          </w:rPr>
          <m:t>P</m:t>
        </m:r>
      </m:oMath>
      <w:r w:rsidRPr="00C903F8">
        <w:rPr>
          <w:noProof/>
          <w:lang w:val="en-US"/>
        </w:rPr>
        <w:t xml:space="preserve"> is obtained using the following formula:</w:t>
      </w:r>
    </w:p>
    <w:p w:rsidR="00E65F26" w:rsidRPr="00C903F8" w:rsidRDefault="00E65F26" w:rsidP="00E65F26">
      <w:pPr>
        <w:pStyle w:val="ESch"/>
        <w:rPr>
          <w:noProof/>
          <w:lang w:val="en-US"/>
        </w:rPr>
      </w:pPr>
    </w:p>
    <w:p w:rsidR="000E4A73" w:rsidRPr="00C903F8" w:rsidRDefault="000E4A73" w:rsidP="000E4A73">
      <w:pPr>
        <w:pStyle w:val="ESch"/>
        <w:ind w:left="0" w:firstLine="0"/>
        <w:jc w:val="center"/>
        <w:rPr>
          <w:noProof/>
          <w:lang w:val="en-US"/>
        </w:rPr>
      </w:pPr>
      <m:oMathPara>
        <m:oMath>
          <m:r>
            <w:rPr>
              <w:rFonts w:ascii="Cambria Math" w:hAnsi="Cambria Math"/>
              <w:noProof/>
              <w:lang w:val="en-US"/>
            </w:rPr>
            <m:t>P=k ∙B ∙T [kg]</m:t>
          </m:r>
        </m:oMath>
      </m:oMathPara>
    </w:p>
    <w:p w:rsidR="000E4A73" w:rsidRPr="00C903F8" w:rsidRDefault="000E4A73" w:rsidP="000E4A73">
      <w:pPr>
        <w:pStyle w:val="ESch"/>
        <w:jc w:val="center"/>
        <w:rPr>
          <w:noProof/>
          <w:lang w:val="en-US"/>
        </w:rPr>
      </w:pPr>
    </w:p>
    <w:p w:rsidR="00E65F26" w:rsidRDefault="005C7859" w:rsidP="00E65F26">
      <w:pPr>
        <w:pStyle w:val="ESlet"/>
        <w:rPr>
          <w:rFonts w:eastAsia="Calibri"/>
          <w:szCs w:val="22"/>
          <w:lang w:val="en-US" w:eastAsia="en-US"/>
        </w:rPr>
      </w:pPr>
      <w:r w:rsidRPr="00C903F8">
        <w:rPr>
          <w:lang w:val="en-US"/>
        </w:rPr>
        <w:t>b)</w:t>
      </w:r>
      <w:r w:rsidR="00E65F26" w:rsidRPr="00C903F8">
        <w:rPr>
          <w:lang w:val="en-US"/>
        </w:rPr>
        <w:tab/>
      </w:r>
      <w:r w:rsidR="00FC5FF6">
        <w:rPr>
          <w:lang w:val="en-US"/>
        </w:rPr>
        <w:t>B</w:t>
      </w:r>
      <w:r w:rsidR="00FC5FF6" w:rsidRPr="00156602">
        <w:rPr>
          <w:lang w:val="en-US"/>
        </w:rPr>
        <w:t>y way of derogation from (a) and having regard to</w:t>
      </w:r>
      <w:r w:rsidR="00FC5FF6">
        <w:rPr>
          <w:lang w:val="en-US"/>
        </w:rPr>
        <w:t xml:space="preserve"> the </w:t>
      </w:r>
      <w:r w:rsidR="00FC5FF6" w:rsidRPr="00475DD2">
        <w:rPr>
          <w:lang w:val="en-US"/>
        </w:rPr>
        <w:t>applicable n</w:t>
      </w:r>
      <w:r w:rsidR="00FC5FF6">
        <w:rPr>
          <w:lang w:val="en-US"/>
        </w:rPr>
        <w:t>avigational au</w:t>
      </w:r>
      <w:r w:rsidR="00FC5FF6" w:rsidRPr="00156602">
        <w:rPr>
          <w:lang w:val="en-US"/>
        </w:rPr>
        <w:t>thority regulations</w:t>
      </w:r>
      <w:r w:rsidR="00FC5FF6">
        <w:rPr>
          <w:lang w:val="en-US"/>
        </w:rPr>
        <w:t xml:space="preserve"> for certain areas of navigation</w:t>
      </w:r>
      <w:r w:rsidR="00FC5FF6" w:rsidRPr="00156602">
        <w:rPr>
          <w:lang w:val="en-US"/>
        </w:rPr>
        <w:t xml:space="preserve"> in the Member States,</w:t>
      </w:r>
      <w:r w:rsidR="00FC5FF6">
        <w:rPr>
          <w:lang w:val="en-US"/>
        </w:rPr>
        <w:t xml:space="preserve"> </w:t>
      </w:r>
      <w:r w:rsidR="00FC5FF6">
        <w:rPr>
          <w:rFonts w:eastAsia="Calibri"/>
          <w:szCs w:val="22"/>
          <w:lang w:val="en-US" w:eastAsia="en-US"/>
        </w:rPr>
        <w:t>f</w:t>
      </w:r>
      <w:r w:rsidR="00902FF6" w:rsidRPr="00C903F8">
        <w:rPr>
          <w:rFonts w:eastAsia="Calibri"/>
          <w:szCs w:val="22"/>
          <w:lang w:val="en-US" w:eastAsia="en-US"/>
        </w:rPr>
        <w:t xml:space="preserve">or passenger vessels, for whose bow anchors the total mass </w:t>
      </w:r>
      <m:oMath>
        <m:r>
          <w:rPr>
            <w:rFonts w:ascii="Cambria Math" w:hAnsi="Cambria Math"/>
            <w:lang w:val="en-US"/>
          </w:rPr>
          <m:t>P</m:t>
        </m:r>
      </m:oMath>
      <w:r w:rsidR="00902FF6" w:rsidRPr="00C903F8">
        <w:rPr>
          <w:rFonts w:eastAsia="Calibri"/>
          <w:szCs w:val="22"/>
          <w:lang w:val="en-US" w:eastAsia="en-US"/>
        </w:rPr>
        <w:t xml:space="preserve"> has been obtained by the following formula it shall be entered in item 52 of the inland navigation certificate that the total mass of the bow anchors meets the requirements set out in Article 13.0</w:t>
      </w:r>
      <w:r w:rsidR="00F62C54" w:rsidRPr="00C903F8">
        <w:rPr>
          <w:rFonts w:eastAsia="Calibri"/>
          <w:szCs w:val="22"/>
          <w:lang w:val="en-US" w:eastAsia="en-US"/>
        </w:rPr>
        <w:t>1</w:t>
      </w:r>
      <w:r w:rsidR="00902FF6" w:rsidRPr="00C903F8">
        <w:rPr>
          <w:rFonts w:eastAsia="Calibri"/>
          <w:szCs w:val="22"/>
          <w:lang w:val="en-US" w:eastAsia="en-US"/>
        </w:rPr>
        <w:t>(2)(b):</w:t>
      </w:r>
    </w:p>
    <w:p w:rsidR="003552BC" w:rsidRPr="00C903F8" w:rsidRDefault="003552BC" w:rsidP="00E65F26">
      <w:pPr>
        <w:pStyle w:val="ESlet"/>
        <w:rPr>
          <w:sz w:val="18"/>
          <w:lang w:val="en-US"/>
        </w:rPr>
      </w:pPr>
    </w:p>
    <w:p w:rsidR="000E4A73" w:rsidRPr="00C903F8" w:rsidRDefault="000E4A73" w:rsidP="00497A37">
      <w:pPr>
        <w:pStyle w:val="ESch"/>
        <w:spacing w:before="60"/>
        <w:ind w:left="0" w:firstLine="0"/>
        <w:jc w:val="center"/>
        <w:rPr>
          <w:noProof/>
          <w:lang w:val="en-US"/>
        </w:rPr>
      </w:pPr>
      <m:oMathPara>
        <m:oMath>
          <m:r>
            <w:rPr>
              <w:rFonts w:ascii="Cambria Math" w:hAnsi="Cambria Math"/>
              <w:noProof/>
              <w:lang w:val="en-US"/>
            </w:rPr>
            <m:t xml:space="preserve">P=k ∙B ∙T+4 </m:t>
          </m:r>
          <m:sSub>
            <m:sSubPr>
              <m:ctrlPr>
                <w:rPr>
                  <w:rFonts w:ascii="Cambria Math" w:hAnsi="Cambria Math"/>
                  <w:i/>
                  <w:noProof/>
                  <w:lang w:val="en-US"/>
                </w:rPr>
              </m:ctrlPr>
            </m:sSubPr>
            <m:e>
              <m:r>
                <w:rPr>
                  <w:rFonts w:ascii="Cambria Math" w:hAnsi="Cambria Math"/>
                  <w:noProof/>
                  <w:lang w:val="en-US"/>
                </w:rPr>
                <m:t>A</m:t>
              </m:r>
            </m:e>
            <m:sub>
              <m:r>
                <w:rPr>
                  <w:rFonts w:ascii="Cambria Math" w:hAnsi="Cambria Math"/>
                  <w:noProof/>
                  <w:lang w:val="en-US"/>
                </w:rPr>
                <m:t>f</m:t>
              </m:r>
            </m:sub>
          </m:sSub>
          <m:r>
            <w:rPr>
              <w:rFonts w:ascii="Cambria Math" w:hAnsi="Cambria Math"/>
              <w:noProof/>
              <w:lang w:val="en-US"/>
            </w:rPr>
            <m:t xml:space="preserve"> [kg]</m:t>
          </m:r>
        </m:oMath>
      </m:oMathPara>
    </w:p>
    <w:p w:rsidR="000E4A73" w:rsidRDefault="000E4A73" w:rsidP="00E65F26">
      <w:pPr>
        <w:pStyle w:val="ESch"/>
        <w:rPr>
          <w:lang w:val="en-US"/>
        </w:rPr>
      </w:pPr>
    </w:p>
    <w:p w:rsidR="003552BC" w:rsidRDefault="003552BC">
      <w:pPr>
        <w:autoSpaceDE/>
        <w:autoSpaceDN/>
        <w:ind w:left="0" w:firstLine="0"/>
        <w:jc w:val="left"/>
        <w:rPr>
          <w:lang w:val="en-US"/>
        </w:rPr>
      </w:pPr>
      <w:r>
        <w:rPr>
          <w:lang w:val="en-US"/>
        </w:rPr>
        <w:br w:type="page"/>
      </w:r>
    </w:p>
    <w:p w:rsidR="003552BC" w:rsidRPr="00C903F8" w:rsidRDefault="003552BC" w:rsidP="00E65F26">
      <w:pPr>
        <w:pStyle w:val="ESch"/>
        <w:rPr>
          <w:lang w:val="en-US"/>
        </w:rPr>
      </w:pPr>
    </w:p>
    <w:p w:rsidR="00E65F26" w:rsidRPr="00C903F8" w:rsidRDefault="00E65F26" w:rsidP="00E65F26">
      <w:pPr>
        <w:pStyle w:val="ESchpar"/>
        <w:rPr>
          <w:lang w:val="en-US"/>
        </w:rPr>
      </w:pPr>
      <w:r w:rsidRPr="00C903F8">
        <w:rPr>
          <w:noProof/>
          <w:lang w:val="en-US"/>
        </w:rPr>
        <w:t>where:</w:t>
      </w:r>
    </w:p>
    <w:p w:rsidR="00E65F26" w:rsidRPr="00C903F8" w:rsidRDefault="000E4A73" w:rsidP="00E65F26">
      <w:pPr>
        <w:pStyle w:val="ESlet"/>
        <w:rPr>
          <w:rStyle w:val="FootnoteReference"/>
          <w:rFonts w:cs="Arial"/>
          <w:sz w:val="18"/>
          <w:szCs w:val="18"/>
          <w:lang w:val="en-US"/>
        </w:rPr>
      </w:pPr>
      <m:oMath>
        <m:r>
          <w:rPr>
            <w:rFonts w:ascii="Cambria Math" w:hAnsi="Cambria Math"/>
            <w:lang w:val="en-US"/>
          </w:rPr>
          <m:t>k</m:t>
        </m:r>
      </m:oMath>
      <w:r w:rsidR="00E65F26" w:rsidRPr="00C903F8">
        <w:rPr>
          <w:lang w:val="en-US"/>
        </w:rPr>
        <w:tab/>
        <w:t xml:space="preserve">is the coefficient corresponding to </w:t>
      </w:r>
      <w:r w:rsidR="00E5028E" w:rsidRPr="00C903F8">
        <w:rPr>
          <w:lang w:val="en-US"/>
        </w:rPr>
        <w:t>(</w:t>
      </w:r>
      <w:r w:rsidR="00E65F26" w:rsidRPr="00C903F8">
        <w:rPr>
          <w:lang w:val="en-US"/>
        </w:rPr>
        <w:t>1</w:t>
      </w:r>
      <w:r w:rsidR="00E5028E" w:rsidRPr="00C903F8">
        <w:rPr>
          <w:lang w:val="en-US"/>
        </w:rPr>
        <w:t>)</w:t>
      </w:r>
      <w:r w:rsidR="00E65F26" w:rsidRPr="00C903F8">
        <w:rPr>
          <w:lang w:val="en-US"/>
        </w:rPr>
        <w:t xml:space="preserve">, but where in order to obtain the value of the empirical coefficient </w:t>
      </w:r>
      <m:oMath>
        <m:r>
          <w:rPr>
            <w:rFonts w:ascii="Cambria Math" w:hAnsi="Cambria Math"/>
            <w:noProof/>
            <w:lang w:val="en-US"/>
          </w:rPr>
          <m:t>c</m:t>
        </m:r>
      </m:oMath>
      <w:r w:rsidR="00E65F26" w:rsidRPr="00C903F8">
        <w:rPr>
          <w:lang w:val="en-US"/>
        </w:rPr>
        <w:t xml:space="preserve"> the water displacement in m</w:t>
      </w:r>
      <w:r w:rsidR="00E65F26" w:rsidRPr="00C903F8">
        <w:rPr>
          <w:noProof/>
          <w:vertAlign w:val="superscript"/>
          <w:lang w:val="en-US"/>
        </w:rPr>
        <w:t>3</w:t>
      </w:r>
      <w:r w:rsidR="00E65F26" w:rsidRPr="00C903F8">
        <w:rPr>
          <w:lang w:val="en-US"/>
        </w:rPr>
        <w:t xml:space="preserve"> entered in the </w:t>
      </w:r>
      <w:r w:rsidR="00A938EB" w:rsidRPr="00C903F8">
        <w:rPr>
          <w:noProof/>
          <w:lang w:val="en-US"/>
        </w:rPr>
        <w:t xml:space="preserve">inland </w:t>
      </w:r>
      <w:r w:rsidR="00E65F26" w:rsidRPr="00C903F8">
        <w:rPr>
          <w:noProof/>
          <w:lang w:val="en-US"/>
        </w:rPr>
        <w:t>navigation vessel certificate</w:t>
      </w:r>
      <w:r w:rsidR="00E65F26" w:rsidRPr="00C903F8">
        <w:rPr>
          <w:lang w:val="en-US"/>
        </w:rPr>
        <w:t xml:space="preserve"> shall be taken instead of the deadweight tonnage.</w:t>
      </w:r>
    </w:p>
    <w:p w:rsidR="00E65F26" w:rsidRPr="00C903F8" w:rsidRDefault="00F12BAF" w:rsidP="00E65F26">
      <w:pPr>
        <w:pStyle w:val="ESlet"/>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f</m:t>
            </m:r>
          </m:sub>
        </m:sSub>
      </m:oMath>
      <w:r w:rsidR="00E65F26" w:rsidRPr="00C903F8">
        <w:rPr>
          <w:lang w:val="en-US"/>
        </w:rPr>
        <w:tab/>
        <w:t>is the frontal projected area exposed to the wind, in m</w:t>
      </w:r>
      <w:r w:rsidR="00E65F26" w:rsidRPr="00C903F8">
        <w:rPr>
          <w:position w:val="6"/>
          <w:sz w:val="12"/>
          <w:lang w:val="en-US"/>
        </w:rPr>
        <w:t>2</w:t>
      </w:r>
      <w:r w:rsidR="00E65F26" w:rsidRPr="00C903F8">
        <w:rPr>
          <w:lang w:val="en-US"/>
        </w:rPr>
        <w:t>.</w:t>
      </w:r>
    </w:p>
    <w:p w:rsidR="00E65F26" w:rsidRPr="00C903F8" w:rsidRDefault="00E65F26" w:rsidP="00E65F26">
      <w:pPr>
        <w:pStyle w:val="ESch"/>
        <w:rPr>
          <w:lang w:val="en-US"/>
        </w:rPr>
      </w:pPr>
    </w:p>
    <w:p w:rsidR="00E65F26" w:rsidRPr="00C903F8" w:rsidRDefault="00E65F26" w:rsidP="00E65F26">
      <w:pPr>
        <w:pStyle w:val="ESch"/>
        <w:rPr>
          <w:lang w:val="en-US"/>
        </w:rPr>
      </w:pPr>
      <w:r w:rsidRPr="00C903F8">
        <w:rPr>
          <w:noProof/>
          <w:lang w:val="en-US"/>
        </w:rPr>
        <w:t>3.</w:t>
      </w:r>
      <w:r w:rsidRPr="00C903F8">
        <w:rPr>
          <w:lang w:val="en-US"/>
        </w:rPr>
        <w:tab/>
      </w:r>
      <w:r w:rsidRPr="00C903F8">
        <w:rPr>
          <w:noProof/>
          <w:lang w:val="en-US"/>
        </w:rPr>
        <w:t xml:space="preserve">Vessels referred to in </w:t>
      </w:r>
      <w:r w:rsidR="00E5028E" w:rsidRPr="00C903F8">
        <w:rPr>
          <w:noProof/>
          <w:lang w:val="en-US"/>
        </w:rPr>
        <w:t>(</w:t>
      </w:r>
      <w:r w:rsidRPr="00C903F8">
        <w:rPr>
          <w:noProof/>
          <w:lang w:val="en-US"/>
        </w:rPr>
        <w:t>1</w:t>
      </w:r>
      <w:r w:rsidR="00E5028E" w:rsidRPr="00C903F8">
        <w:rPr>
          <w:noProof/>
          <w:lang w:val="en-US"/>
        </w:rPr>
        <w:t>)</w:t>
      </w:r>
      <w:r w:rsidRPr="00C903F8">
        <w:rPr>
          <w:noProof/>
          <w:lang w:val="en-US"/>
        </w:rPr>
        <w:t xml:space="preserve"> whose length </w:t>
      </w:r>
      <m:oMath>
        <m:r>
          <w:rPr>
            <w:rFonts w:ascii="Cambria Math" w:hAnsi="Cambria Math"/>
            <w:lang w:val="en-US"/>
          </w:rPr>
          <m:t>L</m:t>
        </m:r>
      </m:oMath>
      <w:r w:rsidRPr="00C903F8">
        <w:rPr>
          <w:noProof/>
          <w:lang w:val="en-US"/>
        </w:rPr>
        <w:t xml:space="preserve"> does not exceed 86 m shall be equipped with stern anchors whose total mass is equal to 25 % of mass </w:t>
      </w:r>
      <m:oMath>
        <m:r>
          <w:rPr>
            <w:rFonts w:ascii="Cambria Math" w:hAnsi="Cambria Math"/>
            <w:noProof/>
            <w:lang w:val="en-US"/>
          </w:rPr>
          <m:t>P</m:t>
        </m:r>
      </m:oMath>
      <w:r w:rsidRPr="00C903F8">
        <w:rPr>
          <w:noProof/>
          <w:lang w:val="en-US"/>
        </w:rPr>
        <w:t>.</w:t>
      </w:r>
    </w:p>
    <w:p w:rsidR="00E65F26" w:rsidRPr="00C903F8" w:rsidRDefault="00E65F26" w:rsidP="00E65F26">
      <w:pPr>
        <w:pStyle w:val="ESch"/>
        <w:rPr>
          <w:noProof/>
          <w:lang w:val="en-US"/>
        </w:rPr>
      </w:pPr>
    </w:p>
    <w:p w:rsidR="00E65F26" w:rsidRPr="00C903F8" w:rsidRDefault="00E65F26" w:rsidP="00E65F26">
      <w:pPr>
        <w:pStyle w:val="ESchpar"/>
        <w:rPr>
          <w:lang w:val="en-US"/>
        </w:rPr>
      </w:pPr>
      <w:r w:rsidRPr="00C903F8">
        <w:rPr>
          <w:noProof/>
          <w:lang w:val="en-US"/>
        </w:rPr>
        <w:t xml:space="preserve">Vessels whose length </w:t>
      </w:r>
      <m:oMath>
        <m:r>
          <w:rPr>
            <w:rFonts w:ascii="Cambria Math" w:hAnsi="Cambria Math"/>
            <w:lang w:val="en-US"/>
          </w:rPr>
          <m:t>L</m:t>
        </m:r>
      </m:oMath>
      <w:r w:rsidRPr="00C903F8">
        <w:rPr>
          <w:noProof/>
          <w:lang w:val="en-US"/>
        </w:rPr>
        <w:t xml:space="preserve"> exceeds 86 m shall be equipped with stern anchors whose total mass is equal to 50 % of mass </w:t>
      </w:r>
      <m:oMath>
        <m:r>
          <w:rPr>
            <w:rFonts w:ascii="Cambria Math" w:hAnsi="Cambria Math"/>
            <w:noProof/>
            <w:lang w:val="en-US"/>
          </w:rPr>
          <m:t>P</m:t>
        </m:r>
      </m:oMath>
      <w:r w:rsidRPr="00C903F8">
        <w:rPr>
          <w:noProof/>
          <w:lang w:val="en-US"/>
        </w:rPr>
        <w:t xml:space="preserve"> calculated in accordance with </w:t>
      </w:r>
      <w:r w:rsidR="00E5028E" w:rsidRPr="00C903F8">
        <w:rPr>
          <w:noProof/>
          <w:lang w:val="en-US"/>
        </w:rPr>
        <w:t>(</w:t>
      </w:r>
      <w:r w:rsidRPr="00C903F8">
        <w:rPr>
          <w:noProof/>
          <w:lang w:val="en-US"/>
        </w:rPr>
        <w:t>1</w:t>
      </w:r>
      <w:r w:rsidR="00E5028E" w:rsidRPr="00C903F8">
        <w:rPr>
          <w:noProof/>
          <w:lang w:val="en-US"/>
        </w:rPr>
        <w:t>)</w:t>
      </w:r>
      <w:r w:rsidRPr="00C903F8">
        <w:rPr>
          <w:noProof/>
          <w:lang w:val="en-US"/>
        </w:rPr>
        <w:t xml:space="preserve"> or </w:t>
      </w:r>
      <w:r w:rsidR="00E5028E" w:rsidRPr="00C903F8">
        <w:rPr>
          <w:noProof/>
          <w:lang w:val="en-US"/>
        </w:rPr>
        <w:t>(</w:t>
      </w:r>
      <w:r w:rsidRPr="00C903F8">
        <w:rPr>
          <w:noProof/>
          <w:lang w:val="en-US"/>
        </w:rPr>
        <w:t>2</w:t>
      </w:r>
      <w:r w:rsidR="00E5028E" w:rsidRPr="00C903F8">
        <w:rPr>
          <w:noProof/>
          <w:lang w:val="en-US"/>
        </w:rPr>
        <w:t>)</w:t>
      </w:r>
      <w:r w:rsidRPr="00C903F8">
        <w:rPr>
          <w:noProof/>
          <w:lang w:val="en-US"/>
        </w:rPr>
        <w:t>.</w:t>
      </w:r>
    </w:p>
    <w:p w:rsidR="00E65F26" w:rsidRPr="00C903F8" w:rsidRDefault="00E65F26" w:rsidP="00E65F26">
      <w:pPr>
        <w:pStyle w:val="ESchpar"/>
        <w:rPr>
          <w:noProof/>
          <w:lang w:val="en-US"/>
        </w:rPr>
      </w:pPr>
    </w:p>
    <w:p w:rsidR="00E65F26" w:rsidRPr="00C903F8" w:rsidRDefault="00E65F26" w:rsidP="00E65F26">
      <w:pPr>
        <w:pStyle w:val="ESchpar"/>
        <w:rPr>
          <w:noProof/>
          <w:lang w:val="en-US"/>
        </w:rPr>
      </w:pPr>
      <w:r w:rsidRPr="00C903F8">
        <w:rPr>
          <w:noProof/>
          <w:lang w:val="en-US"/>
        </w:rPr>
        <w:t>Stern anchors are not required for:</w:t>
      </w:r>
    </w:p>
    <w:p w:rsidR="00E65F26" w:rsidRPr="00C903F8" w:rsidRDefault="005C7859" w:rsidP="00E65F26">
      <w:pPr>
        <w:pStyle w:val="ESlet"/>
        <w:rPr>
          <w:lang w:val="en-US"/>
        </w:rPr>
      </w:pPr>
      <w:r w:rsidRPr="00C903F8">
        <w:rPr>
          <w:noProof/>
          <w:lang w:val="en-US"/>
        </w:rPr>
        <w:t>a)</w:t>
      </w:r>
      <w:r w:rsidR="00E65F26" w:rsidRPr="00C903F8">
        <w:rPr>
          <w:lang w:val="en-US"/>
        </w:rPr>
        <w:tab/>
      </w:r>
      <w:r w:rsidR="00E65F26" w:rsidRPr="00C903F8">
        <w:rPr>
          <w:noProof/>
          <w:lang w:val="en-US"/>
        </w:rPr>
        <w:t xml:space="preserve">vessels for which the stern anchor mass will be less than 150 kg; in the case of vessels referred to in </w:t>
      </w:r>
      <w:r w:rsidR="00E5028E" w:rsidRPr="00C903F8">
        <w:rPr>
          <w:noProof/>
          <w:lang w:val="en-US"/>
        </w:rPr>
        <w:t>(</w:t>
      </w:r>
      <w:r w:rsidR="00E65F26" w:rsidRPr="00C903F8">
        <w:rPr>
          <w:noProof/>
          <w:lang w:val="en-US"/>
        </w:rPr>
        <w:t>1</w:t>
      </w:r>
      <w:r w:rsidR="00E5028E" w:rsidRPr="00C903F8">
        <w:rPr>
          <w:noProof/>
          <w:lang w:val="en-US"/>
        </w:rPr>
        <w:t>)</w:t>
      </w:r>
      <w:r w:rsidR="00E65F26" w:rsidRPr="00C903F8">
        <w:rPr>
          <w:noProof/>
          <w:lang w:val="en-US"/>
        </w:rPr>
        <w:t>, final subparagraph, the reduced mass of the bow anchors shall be taken into account;</w:t>
      </w:r>
    </w:p>
    <w:p w:rsidR="00E65F26" w:rsidRPr="00C903F8" w:rsidRDefault="005C7859" w:rsidP="00E65F26">
      <w:pPr>
        <w:pStyle w:val="ESlet"/>
        <w:rPr>
          <w:lang w:val="en-US"/>
        </w:rPr>
      </w:pPr>
      <w:r w:rsidRPr="00C903F8">
        <w:rPr>
          <w:noProof/>
          <w:lang w:val="en-US"/>
        </w:rPr>
        <w:t>b)</w:t>
      </w:r>
      <w:r w:rsidR="00E65F26" w:rsidRPr="00C903F8">
        <w:rPr>
          <w:noProof/>
          <w:lang w:val="en-US"/>
        </w:rPr>
        <w:tab/>
        <w:t>lighters.</w:t>
      </w:r>
    </w:p>
    <w:p w:rsidR="00E65F26" w:rsidRPr="00C903F8" w:rsidRDefault="00E65F26" w:rsidP="00E65F26">
      <w:pPr>
        <w:pStyle w:val="ESch"/>
        <w:rPr>
          <w:noProof/>
          <w:lang w:val="en-US"/>
        </w:rPr>
      </w:pPr>
    </w:p>
    <w:p w:rsidR="00E65F26" w:rsidRPr="00C903F8" w:rsidRDefault="00E65F26" w:rsidP="00E65F26">
      <w:pPr>
        <w:pStyle w:val="ESch"/>
        <w:rPr>
          <w:lang w:val="en-US"/>
        </w:rPr>
      </w:pPr>
      <w:r w:rsidRPr="00C903F8">
        <w:rPr>
          <w:noProof/>
          <w:lang w:val="en-US"/>
        </w:rPr>
        <w:t>4.</w:t>
      </w:r>
      <w:r w:rsidRPr="00C903F8">
        <w:rPr>
          <w:lang w:val="en-US"/>
        </w:rPr>
        <w:tab/>
      </w:r>
      <w:r w:rsidRPr="00C903F8">
        <w:rPr>
          <w:noProof/>
          <w:lang w:val="en-US"/>
        </w:rPr>
        <w:t xml:space="preserve">Vessels intended to propel rigid convoys which do not exceed 86 m in length shall be equipped with stern anchors whose total mass is equal to 25 % of maximum mass </w:t>
      </w:r>
      <m:oMath>
        <m:r>
          <w:rPr>
            <w:rFonts w:ascii="Cambria Math" w:hAnsi="Cambria Math"/>
            <w:noProof/>
            <w:lang w:val="en-US"/>
          </w:rPr>
          <m:t>P</m:t>
        </m:r>
      </m:oMath>
      <w:r w:rsidRPr="00C903F8">
        <w:rPr>
          <w:noProof/>
          <w:lang w:val="en-US"/>
        </w:rPr>
        <w:t xml:space="preserve"> calculated in accordance with </w:t>
      </w:r>
      <w:r w:rsidR="00FA1840" w:rsidRPr="00C903F8">
        <w:rPr>
          <w:noProof/>
          <w:lang w:val="en-US"/>
        </w:rPr>
        <w:t xml:space="preserve">(1) </w:t>
      </w:r>
      <w:r w:rsidRPr="00C903F8">
        <w:rPr>
          <w:noProof/>
          <w:lang w:val="en-US"/>
        </w:rPr>
        <w:t xml:space="preserve">for the formations (considered to be a nautical unit) permitted and entered in the </w:t>
      </w:r>
      <w:r w:rsidR="00A938EB" w:rsidRPr="00C903F8">
        <w:rPr>
          <w:noProof/>
          <w:lang w:val="en-US"/>
        </w:rPr>
        <w:t>i</w:t>
      </w:r>
      <w:r w:rsidRPr="00C903F8">
        <w:rPr>
          <w:noProof/>
          <w:lang w:val="en-US"/>
        </w:rPr>
        <w:t>nland navigation vessel certificate.</w:t>
      </w:r>
    </w:p>
    <w:p w:rsidR="00E65F26" w:rsidRPr="00C903F8" w:rsidRDefault="00E65F26" w:rsidP="00E65F26">
      <w:pPr>
        <w:pStyle w:val="ESch"/>
        <w:rPr>
          <w:noProof/>
          <w:lang w:val="en-US"/>
        </w:rPr>
      </w:pPr>
    </w:p>
    <w:p w:rsidR="00E65F26" w:rsidRPr="00C903F8" w:rsidRDefault="00E65F26" w:rsidP="00E65F26">
      <w:pPr>
        <w:pStyle w:val="ESchpar"/>
        <w:rPr>
          <w:lang w:val="en-US"/>
        </w:rPr>
      </w:pPr>
      <w:r w:rsidRPr="00C903F8">
        <w:rPr>
          <w:noProof/>
          <w:lang w:val="en-US"/>
        </w:rPr>
        <w:t xml:space="preserve">Vessels intended to propel rigid convoys which exceed 86 m in length downstream shall be equipped with stern anchors whose total mass is equal to 50 % of the maximum mass </w:t>
      </w:r>
      <m:oMath>
        <m:r>
          <w:rPr>
            <w:rFonts w:ascii="Cambria Math" w:hAnsi="Cambria Math"/>
            <w:noProof/>
            <w:lang w:val="en-US"/>
          </w:rPr>
          <m:t>P</m:t>
        </m:r>
      </m:oMath>
      <w:r w:rsidRPr="00C903F8">
        <w:rPr>
          <w:noProof/>
          <w:lang w:val="en-US"/>
        </w:rPr>
        <w:t xml:space="preserve"> calculated in accordance with </w:t>
      </w:r>
      <w:r w:rsidR="00FA1840" w:rsidRPr="00C903F8">
        <w:rPr>
          <w:noProof/>
          <w:lang w:val="en-US"/>
        </w:rPr>
        <w:t>(</w:t>
      </w:r>
      <w:r w:rsidRPr="00C903F8">
        <w:rPr>
          <w:noProof/>
          <w:lang w:val="en-US"/>
        </w:rPr>
        <w:t>1</w:t>
      </w:r>
      <w:r w:rsidR="00FA1840" w:rsidRPr="00C903F8">
        <w:rPr>
          <w:noProof/>
          <w:lang w:val="en-US"/>
        </w:rPr>
        <w:t>)</w:t>
      </w:r>
      <w:r w:rsidRPr="00C903F8">
        <w:rPr>
          <w:noProof/>
          <w:lang w:val="en-US"/>
        </w:rPr>
        <w:t xml:space="preserve"> for the formations (considered to be a nautical unit) permitted and entered in the </w:t>
      </w:r>
      <w:r w:rsidR="00A938EB" w:rsidRPr="00C903F8">
        <w:rPr>
          <w:noProof/>
          <w:lang w:val="en-US"/>
        </w:rPr>
        <w:t>i</w:t>
      </w:r>
      <w:r w:rsidRPr="00C903F8">
        <w:rPr>
          <w:noProof/>
          <w:lang w:val="en-US"/>
        </w:rPr>
        <w:t>nland navigation vessel certificate.</w:t>
      </w:r>
    </w:p>
    <w:p w:rsidR="00E65F26" w:rsidRPr="00C903F8" w:rsidRDefault="00E65F26" w:rsidP="00E65F26">
      <w:pPr>
        <w:pStyle w:val="ESch"/>
        <w:rPr>
          <w:noProof/>
          <w:lang w:val="en-US"/>
        </w:rPr>
      </w:pPr>
    </w:p>
    <w:p w:rsidR="00E65F26" w:rsidRPr="00C903F8" w:rsidRDefault="00E65F26" w:rsidP="00E65F26">
      <w:pPr>
        <w:pStyle w:val="ESch"/>
        <w:rPr>
          <w:lang w:val="en-US"/>
        </w:rPr>
      </w:pPr>
      <w:r w:rsidRPr="00C903F8">
        <w:rPr>
          <w:noProof/>
          <w:lang w:val="en-US"/>
        </w:rPr>
        <w:t>5.</w:t>
      </w:r>
      <w:r w:rsidRPr="00C903F8">
        <w:rPr>
          <w:lang w:val="en-US"/>
        </w:rPr>
        <w:tab/>
      </w:r>
      <w:r w:rsidRPr="00C903F8">
        <w:rPr>
          <w:noProof/>
          <w:lang w:val="en-US"/>
        </w:rPr>
        <w:t>The anchor masses established in accordance with</w:t>
      </w:r>
      <w:r w:rsidR="00E5028E" w:rsidRPr="00C903F8">
        <w:rPr>
          <w:noProof/>
          <w:lang w:val="en-US"/>
        </w:rPr>
        <w:t xml:space="preserve"> </w:t>
      </w:r>
      <w:r w:rsidR="00F76783" w:rsidRPr="00C903F8">
        <w:rPr>
          <w:noProof/>
          <w:lang w:val="en-US"/>
        </w:rPr>
        <w:t>(</w:t>
      </w:r>
      <w:r w:rsidRPr="00C903F8">
        <w:rPr>
          <w:noProof/>
          <w:lang w:val="en-US"/>
        </w:rPr>
        <w:t>1</w:t>
      </w:r>
      <w:r w:rsidR="00F76783" w:rsidRPr="00C903F8">
        <w:rPr>
          <w:noProof/>
          <w:lang w:val="en-US"/>
        </w:rPr>
        <w:t>)</w:t>
      </w:r>
      <w:r w:rsidRPr="00C903F8">
        <w:rPr>
          <w:noProof/>
          <w:lang w:val="en-US"/>
        </w:rPr>
        <w:t xml:space="preserve"> to </w:t>
      </w:r>
      <w:r w:rsidR="00F76783" w:rsidRPr="00C903F8">
        <w:rPr>
          <w:noProof/>
          <w:lang w:val="en-US"/>
        </w:rPr>
        <w:t>(</w:t>
      </w:r>
      <w:r w:rsidRPr="00C903F8">
        <w:rPr>
          <w:noProof/>
          <w:lang w:val="en-US"/>
        </w:rPr>
        <w:t>4</w:t>
      </w:r>
      <w:r w:rsidR="00F76783" w:rsidRPr="00C903F8">
        <w:rPr>
          <w:noProof/>
          <w:lang w:val="en-US"/>
        </w:rPr>
        <w:t>)</w:t>
      </w:r>
      <w:r w:rsidRPr="00C903F8">
        <w:rPr>
          <w:noProof/>
          <w:lang w:val="en-US"/>
        </w:rPr>
        <w:t xml:space="preserve"> may be reduced for certain special anchors.</w:t>
      </w:r>
    </w:p>
    <w:p w:rsidR="00E65F26" w:rsidRPr="00C903F8" w:rsidRDefault="00E65F26" w:rsidP="00E65F26">
      <w:pPr>
        <w:pStyle w:val="ESch"/>
        <w:rPr>
          <w:noProof/>
          <w:lang w:val="en-US"/>
        </w:rPr>
      </w:pPr>
    </w:p>
    <w:p w:rsidR="00E65F26" w:rsidRPr="00C903F8" w:rsidRDefault="00E65F26" w:rsidP="00E65F26">
      <w:pPr>
        <w:pStyle w:val="ESch"/>
        <w:rPr>
          <w:lang w:val="en-US"/>
        </w:rPr>
      </w:pPr>
      <w:r w:rsidRPr="00C903F8">
        <w:rPr>
          <w:noProof/>
          <w:lang w:val="en-US"/>
        </w:rPr>
        <w:t>6.</w:t>
      </w:r>
      <w:r w:rsidRPr="00C903F8">
        <w:rPr>
          <w:lang w:val="en-US"/>
        </w:rPr>
        <w:tab/>
      </w:r>
      <w:r w:rsidRPr="00C903F8">
        <w:rPr>
          <w:noProof/>
          <w:lang w:val="en-US"/>
        </w:rPr>
        <w:t xml:space="preserve">The total mass </w:t>
      </w:r>
      <m:oMath>
        <m:r>
          <w:rPr>
            <w:rFonts w:ascii="Cambria Math" w:hAnsi="Cambria Math"/>
            <w:noProof/>
            <w:lang w:val="en-US"/>
          </w:rPr>
          <m:t>P</m:t>
        </m:r>
      </m:oMath>
      <w:r w:rsidRPr="00C903F8">
        <w:rPr>
          <w:noProof/>
          <w:lang w:val="en-US"/>
        </w:rPr>
        <w:t xml:space="preserve"> specified for bow anchors may be distributed between one or two anchors. It may be reduced by 15 % where the vessel is equipped with only a single bow anchor and the hawse pipe is located amidships.</w:t>
      </w:r>
    </w:p>
    <w:p w:rsidR="00E65F26" w:rsidRPr="00C903F8" w:rsidRDefault="00E65F26" w:rsidP="00E65F26">
      <w:pPr>
        <w:pStyle w:val="ESch"/>
        <w:rPr>
          <w:noProof/>
          <w:lang w:val="en-US"/>
        </w:rPr>
      </w:pPr>
    </w:p>
    <w:p w:rsidR="00E65F26" w:rsidRPr="00C903F8" w:rsidRDefault="00E65F26" w:rsidP="00E65F26">
      <w:pPr>
        <w:pStyle w:val="ESchpar"/>
        <w:rPr>
          <w:lang w:val="en-US"/>
        </w:rPr>
      </w:pPr>
      <w:r w:rsidRPr="00C903F8">
        <w:rPr>
          <w:noProof/>
          <w:lang w:val="en-US"/>
        </w:rPr>
        <w:t>The total mass required for stern anchors for pushers and vessels whose maximum length exceeds 86 m may be distributed between one or two anchors.</w:t>
      </w:r>
    </w:p>
    <w:p w:rsidR="00E65F26" w:rsidRPr="00C903F8" w:rsidRDefault="00E65F26" w:rsidP="00E65F26">
      <w:pPr>
        <w:pStyle w:val="ESch"/>
        <w:rPr>
          <w:noProof/>
          <w:lang w:val="en-US"/>
        </w:rPr>
      </w:pPr>
    </w:p>
    <w:p w:rsidR="00E65F26" w:rsidRPr="00C903F8" w:rsidRDefault="00E65F26" w:rsidP="00E65F26">
      <w:pPr>
        <w:pStyle w:val="ESchpar"/>
        <w:rPr>
          <w:lang w:val="en-US"/>
        </w:rPr>
      </w:pPr>
      <w:r w:rsidRPr="00C903F8">
        <w:rPr>
          <w:noProof/>
          <w:lang w:val="en-US"/>
        </w:rPr>
        <w:t>The mass of the lightest anchor shall not be less than 45 % of that total mass.</w:t>
      </w:r>
    </w:p>
    <w:p w:rsidR="00E65F26" w:rsidRPr="00C903F8" w:rsidRDefault="00E65F26" w:rsidP="00E65F26">
      <w:pPr>
        <w:pStyle w:val="ESch"/>
        <w:rPr>
          <w:noProof/>
          <w:lang w:val="en-US"/>
        </w:rPr>
      </w:pPr>
    </w:p>
    <w:p w:rsidR="00E65F26" w:rsidRPr="00C903F8" w:rsidRDefault="00E65F26" w:rsidP="00E65F26">
      <w:pPr>
        <w:pStyle w:val="ESch"/>
        <w:rPr>
          <w:lang w:val="en-US"/>
        </w:rPr>
      </w:pPr>
      <w:r w:rsidRPr="00C903F8">
        <w:rPr>
          <w:noProof/>
          <w:lang w:val="en-US"/>
        </w:rPr>
        <w:t>7.</w:t>
      </w:r>
      <w:r w:rsidRPr="00C903F8">
        <w:rPr>
          <w:lang w:val="en-US"/>
        </w:rPr>
        <w:tab/>
      </w:r>
      <w:r w:rsidRPr="00C903F8">
        <w:rPr>
          <w:noProof/>
          <w:lang w:val="en-US"/>
        </w:rPr>
        <w:t>Cast iron anchors shall not be permitted.</w:t>
      </w:r>
    </w:p>
    <w:p w:rsidR="00E65F26" w:rsidRPr="00C903F8" w:rsidRDefault="00E65F26" w:rsidP="00E65F26">
      <w:pPr>
        <w:pStyle w:val="ESch"/>
        <w:rPr>
          <w:noProof/>
          <w:lang w:val="en-US"/>
        </w:rPr>
      </w:pPr>
    </w:p>
    <w:p w:rsidR="00E65F26" w:rsidRPr="00C903F8" w:rsidRDefault="00E65F26" w:rsidP="00E65F26">
      <w:pPr>
        <w:pStyle w:val="ESch"/>
        <w:rPr>
          <w:lang w:val="en-US"/>
        </w:rPr>
      </w:pPr>
      <w:r w:rsidRPr="00C903F8">
        <w:rPr>
          <w:noProof/>
          <w:lang w:val="en-US"/>
        </w:rPr>
        <w:t>8.</w:t>
      </w:r>
      <w:r w:rsidRPr="00C903F8">
        <w:rPr>
          <w:lang w:val="en-US"/>
        </w:rPr>
        <w:tab/>
      </w:r>
      <w:r w:rsidRPr="00C903F8">
        <w:rPr>
          <w:noProof/>
          <w:lang w:val="en-US"/>
        </w:rPr>
        <w:t>On anchors their mass shall be indicated in characters which stand out in relief in a durable manner.</w:t>
      </w:r>
    </w:p>
    <w:p w:rsidR="00E65F26" w:rsidRPr="00C903F8" w:rsidRDefault="00E65F26" w:rsidP="00E65F26">
      <w:pPr>
        <w:pStyle w:val="ESch"/>
        <w:rPr>
          <w:noProof/>
          <w:lang w:val="en-US"/>
        </w:rPr>
      </w:pPr>
    </w:p>
    <w:p w:rsidR="00E65F26" w:rsidRPr="00C903F8" w:rsidRDefault="00E65F26" w:rsidP="00E65F26">
      <w:pPr>
        <w:pStyle w:val="ESch"/>
        <w:rPr>
          <w:lang w:val="en-US"/>
        </w:rPr>
      </w:pPr>
      <w:r w:rsidRPr="00C903F8">
        <w:rPr>
          <w:noProof/>
          <w:lang w:val="en-US"/>
        </w:rPr>
        <w:t>9.</w:t>
      </w:r>
      <w:r w:rsidRPr="00C903F8">
        <w:rPr>
          <w:lang w:val="en-US"/>
        </w:rPr>
        <w:tab/>
      </w:r>
      <w:r w:rsidRPr="00C903F8">
        <w:rPr>
          <w:noProof/>
          <w:lang w:val="en-US"/>
        </w:rPr>
        <w:t>Anchors having a mass in excess of 50 kg shall be equipped with windlasses.</w:t>
      </w:r>
    </w:p>
    <w:p w:rsidR="00E65F26" w:rsidRPr="00C903F8" w:rsidRDefault="00E65F26" w:rsidP="00E65F26">
      <w:pPr>
        <w:pStyle w:val="ESch"/>
        <w:rPr>
          <w:noProof/>
          <w:lang w:val="en-US"/>
        </w:rPr>
      </w:pPr>
    </w:p>
    <w:p w:rsidR="00E65F26" w:rsidRPr="00C903F8" w:rsidRDefault="00E65F26" w:rsidP="00E65F26">
      <w:pPr>
        <w:pStyle w:val="ESch"/>
        <w:rPr>
          <w:lang w:val="en-US"/>
        </w:rPr>
      </w:pPr>
      <w:r w:rsidRPr="00C903F8">
        <w:rPr>
          <w:noProof/>
          <w:lang w:val="en-US"/>
        </w:rPr>
        <w:t>10.</w:t>
      </w:r>
      <w:r w:rsidRPr="00C903F8">
        <w:rPr>
          <w:lang w:val="en-US"/>
        </w:rPr>
        <w:tab/>
      </w:r>
      <w:r w:rsidRPr="00C903F8">
        <w:rPr>
          <w:noProof/>
          <w:lang w:val="en-US"/>
        </w:rPr>
        <w:t>Each bow anchor chain shall have a minimum length of:</w:t>
      </w:r>
    </w:p>
    <w:p w:rsidR="00E65F26" w:rsidRPr="00C903F8" w:rsidRDefault="005C7859" w:rsidP="00E65F26">
      <w:pPr>
        <w:pStyle w:val="ESlet"/>
        <w:rPr>
          <w:lang w:val="en-US"/>
        </w:rPr>
      </w:pPr>
      <w:r w:rsidRPr="00C903F8">
        <w:rPr>
          <w:noProof/>
          <w:lang w:val="en-US"/>
        </w:rPr>
        <w:t>a)</w:t>
      </w:r>
      <w:r w:rsidR="00E65F26" w:rsidRPr="00C903F8">
        <w:rPr>
          <w:lang w:val="en-US"/>
        </w:rPr>
        <w:tab/>
      </w:r>
      <w:r w:rsidR="00E65F26" w:rsidRPr="00C903F8">
        <w:rPr>
          <w:noProof/>
          <w:lang w:val="en-US"/>
        </w:rPr>
        <w:t xml:space="preserve">40 m for vessels whose length </w:t>
      </w:r>
      <m:oMath>
        <m:r>
          <w:rPr>
            <w:rFonts w:ascii="Cambria Math" w:hAnsi="Cambria Math"/>
            <w:lang w:val="en-US"/>
          </w:rPr>
          <m:t>L</m:t>
        </m:r>
      </m:oMath>
      <w:r w:rsidR="00E65F26" w:rsidRPr="00C903F8">
        <w:rPr>
          <w:noProof/>
          <w:lang w:val="en-US"/>
        </w:rPr>
        <w:t xml:space="preserve"> does not exceed 40 m;</w:t>
      </w:r>
    </w:p>
    <w:p w:rsidR="00E65F26" w:rsidRPr="00C903F8" w:rsidRDefault="005C7859" w:rsidP="00E65F26">
      <w:pPr>
        <w:pStyle w:val="ESlet"/>
        <w:rPr>
          <w:lang w:val="en-US"/>
        </w:rPr>
      </w:pPr>
      <w:r w:rsidRPr="00C903F8">
        <w:rPr>
          <w:lang w:val="en-US"/>
        </w:rPr>
        <w:t>b)</w:t>
      </w:r>
      <w:r w:rsidR="00E65F26" w:rsidRPr="00C903F8">
        <w:rPr>
          <w:lang w:val="en-US"/>
        </w:rPr>
        <w:tab/>
        <w:t>at least 10 m longer tha</w:t>
      </w:r>
      <w:r w:rsidR="00533929" w:rsidRPr="00C903F8">
        <w:rPr>
          <w:lang w:val="en-US"/>
        </w:rPr>
        <w:t>n</w:t>
      </w:r>
      <w:r w:rsidR="00E65F26" w:rsidRPr="00C903F8">
        <w:rPr>
          <w:lang w:val="en-US"/>
        </w:rPr>
        <w:t xml:space="preserve"> the length </w:t>
      </w:r>
      <m:oMath>
        <m:r>
          <w:rPr>
            <w:rFonts w:ascii="Cambria Math" w:hAnsi="Cambria Math"/>
            <w:lang w:val="en-US"/>
          </w:rPr>
          <m:t>L</m:t>
        </m:r>
      </m:oMath>
      <w:r w:rsidR="00E65F26" w:rsidRPr="00C903F8">
        <w:rPr>
          <w:lang w:val="en-US"/>
        </w:rPr>
        <w:t xml:space="preserve"> of the vessel wh</w:t>
      </w:r>
      <w:r w:rsidR="009A25DA" w:rsidRPr="00C903F8">
        <w:rPr>
          <w:lang w:val="en-US"/>
        </w:rPr>
        <w:t>ere this is between 30 and 50 m</w:t>
      </w:r>
      <w:r w:rsidR="00E65F26" w:rsidRPr="00C903F8">
        <w:rPr>
          <w:lang w:val="en-US"/>
        </w:rPr>
        <w:t>;</w:t>
      </w:r>
    </w:p>
    <w:p w:rsidR="00E65F26" w:rsidRPr="00C903F8" w:rsidRDefault="005C7859" w:rsidP="00E65F26">
      <w:pPr>
        <w:pStyle w:val="ESlet"/>
        <w:rPr>
          <w:noProof/>
          <w:lang w:val="en-US"/>
        </w:rPr>
      </w:pPr>
      <w:r w:rsidRPr="00C903F8">
        <w:rPr>
          <w:noProof/>
          <w:lang w:val="en-US"/>
        </w:rPr>
        <w:t>c)</w:t>
      </w:r>
      <w:r w:rsidR="00E65F26" w:rsidRPr="00C903F8">
        <w:rPr>
          <w:lang w:val="en-US"/>
        </w:rPr>
        <w:tab/>
      </w:r>
      <w:r w:rsidR="00E65F26" w:rsidRPr="00C903F8">
        <w:rPr>
          <w:noProof/>
          <w:lang w:val="en-US"/>
        </w:rPr>
        <w:t xml:space="preserve">60 m for vessels whose length </w:t>
      </w:r>
      <m:oMath>
        <m:r>
          <w:rPr>
            <w:rFonts w:ascii="Cambria Math" w:hAnsi="Cambria Math"/>
            <w:lang w:val="en-US"/>
          </w:rPr>
          <m:t>L</m:t>
        </m:r>
      </m:oMath>
      <w:r w:rsidR="00E65F26" w:rsidRPr="00C903F8">
        <w:rPr>
          <w:noProof/>
          <w:lang w:val="en-US"/>
        </w:rPr>
        <w:t xml:space="preserve"> exceeds 50 m.</w:t>
      </w:r>
    </w:p>
    <w:p w:rsidR="00E65F26" w:rsidRDefault="00E65F26" w:rsidP="00E65F26">
      <w:pPr>
        <w:pStyle w:val="ESch"/>
        <w:rPr>
          <w:noProof/>
          <w:lang w:val="en-US"/>
        </w:rPr>
      </w:pPr>
    </w:p>
    <w:p w:rsidR="003552BC" w:rsidRDefault="003552BC">
      <w:pPr>
        <w:autoSpaceDE/>
        <w:autoSpaceDN/>
        <w:ind w:left="0" w:firstLine="0"/>
        <w:jc w:val="left"/>
        <w:rPr>
          <w:noProof/>
          <w:lang w:val="en-US"/>
        </w:rPr>
      </w:pPr>
      <w:r>
        <w:rPr>
          <w:noProof/>
          <w:lang w:val="en-US"/>
        </w:rPr>
        <w:br w:type="page"/>
      </w:r>
    </w:p>
    <w:p w:rsidR="00E65F26" w:rsidRPr="00C903F8" w:rsidRDefault="00E65F26" w:rsidP="00E65F26">
      <w:pPr>
        <w:pStyle w:val="ESchpar"/>
        <w:rPr>
          <w:lang w:val="en-US"/>
        </w:rPr>
      </w:pPr>
      <w:r w:rsidRPr="00C903F8">
        <w:rPr>
          <w:noProof/>
          <w:lang w:val="en-US"/>
        </w:rPr>
        <w:lastRenderedPageBreak/>
        <w:t>Each of the stern anchor chains shall be at least 40 m long. However, where vessels need to stop facing downstream they shall have stern anchor chains that are each at least 60 m in length.</w:t>
      </w:r>
    </w:p>
    <w:p w:rsidR="00E65F26" w:rsidRPr="00C903F8" w:rsidRDefault="00E65F26" w:rsidP="00E65F26">
      <w:pPr>
        <w:pStyle w:val="ESch"/>
        <w:rPr>
          <w:noProof/>
          <w:lang w:val="en-US"/>
        </w:rPr>
      </w:pPr>
    </w:p>
    <w:p w:rsidR="00E65F26" w:rsidRPr="00C903F8" w:rsidRDefault="00E65F26" w:rsidP="00E65F26">
      <w:pPr>
        <w:pStyle w:val="ESch"/>
        <w:rPr>
          <w:lang w:val="en-US"/>
        </w:rPr>
      </w:pPr>
      <w:r w:rsidRPr="00C903F8">
        <w:rPr>
          <w:noProof/>
          <w:lang w:val="en-US"/>
        </w:rPr>
        <w:t>11.</w:t>
      </w:r>
      <w:r w:rsidRPr="00C903F8">
        <w:rPr>
          <w:lang w:val="en-US"/>
        </w:rPr>
        <w:tab/>
      </w:r>
      <w:r w:rsidRPr="00C903F8">
        <w:rPr>
          <w:noProof/>
          <w:lang w:val="en-US"/>
        </w:rPr>
        <w:t xml:space="preserve">The minimum breaking load </w:t>
      </w:r>
      <m:oMath>
        <m:r>
          <w:rPr>
            <w:rFonts w:ascii="Cambria Math" w:hAnsi="Cambria Math"/>
            <w:noProof/>
            <w:lang w:val="en-US"/>
          </w:rPr>
          <m:t>R</m:t>
        </m:r>
      </m:oMath>
      <w:r w:rsidRPr="00C903F8">
        <w:rPr>
          <w:noProof/>
          <w:lang w:val="en-US"/>
        </w:rPr>
        <w:t xml:space="preserve"> of the anchor chains shall be calculated using the following formulae:</w:t>
      </w:r>
    </w:p>
    <w:p w:rsidR="00E65F26" w:rsidRPr="00C903F8" w:rsidRDefault="005C7859" w:rsidP="00E65F26">
      <w:pPr>
        <w:pStyle w:val="ESlet"/>
        <w:rPr>
          <w:noProof/>
          <w:lang w:val="en-US"/>
        </w:rPr>
      </w:pPr>
      <w:r w:rsidRPr="00C903F8">
        <w:rPr>
          <w:noProof/>
          <w:lang w:val="en-US"/>
        </w:rPr>
        <w:t>a)</w:t>
      </w:r>
      <w:r w:rsidR="00E65F26" w:rsidRPr="00C903F8">
        <w:rPr>
          <w:noProof/>
          <w:lang w:val="en-US"/>
        </w:rPr>
        <w:tab/>
        <w:t>anchors having a mass up to 500 kg:</w:t>
      </w:r>
    </w:p>
    <w:p w:rsidR="000E4A73" w:rsidRPr="00C903F8" w:rsidRDefault="000E4A73" w:rsidP="00E65F26">
      <w:pPr>
        <w:pStyle w:val="ESlet"/>
        <w:rPr>
          <w:noProof/>
          <w:lang w:val="en-US"/>
        </w:rPr>
      </w:pPr>
    </w:p>
    <w:p w:rsidR="000E4A73" w:rsidRPr="00C903F8" w:rsidRDefault="000E4A73" w:rsidP="000E4A73">
      <w:pPr>
        <w:pStyle w:val="ESlet"/>
        <w:ind w:left="0" w:firstLine="0"/>
        <w:jc w:val="center"/>
        <w:rPr>
          <w:noProof/>
          <w:lang w:val="en-US"/>
        </w:rPr>
      </w:pPr>
      <m:oMathPara>
        <m:oMath>
          <m:r>
            <w:rPr>
              <w:rFonts w:ascii="Cambria Math" w:hAnsi="Cambria Math"/>
              <w:noProof/>
              <w:lang w:val="en-US"/>
            </w:rPr>
            <m:t>R=0,35 ∙</m:t>
          </m:r>
          <m:sSup>
            <m:sSupPr>
              <m:ctrlPr>
                <w:rPr>
                  <w:rFonts w:ascii="Cambria Math" w:hAnsi="Cambria Math"/>
                  <w:i/>
                  <w:noProof/>
                  <w:lang w:val="en-US"/>
                </w:rPr>
              </m:ctrlPr>
            </m:sSupPr>
            <m:e>
              <m:r>
                <w:rPr>
                  <w:rFonts w:ascii="Cambria Math" w:hAnsi="Cambria Math"/>
                  <w:noProof/>
                  <w:lang w:val="en-US"/>
                </w:rPr>
                <m:t>P</m:t>
              </m:r>
            </m:e>
            <m:sup>
              <m:r>
                <w:rPr>
                  <w:rFonts w:ascii="Cambria Math" w:hAnsi="Cambria Math"/>
                  <w:noProof/>
                  <w:lang w:val="en-US"/>
                </w:rPr>
                <m:t>'</m:t>
              </m:r>
            </m:sup>
          </m:sSup>
          <m:r>
            <w:rPr>
              <w:rFonts w:ascii="Cambria Math" w:hAnsi="Cambria Math"/>
              <w:noProof/>
              <w:lang w:val="en-US"/>
            </w:rPr>
            <m:t>[kN]</m:t>
          </m:r>
        </m:oMath>
      </m:oMathPara>
    </w:p>
    <w:p w:rsidR="000E4A73" w:rsidRPr="00C903F8" w:rsidRDefault="000E4A73" w:rsidP="00E65F26">
      <w:pPr>
        <w:pStyle w:val="ESlet"/>
        <w:rPr>
          <w:lang w:val="en-US"/>
        </w:rPr>
      </w:pPr>
    </w:p>
    <w:p w:rsidR="00E65F26" w:rsidRPr="00C903F8" w:rsidRDefault="005C7859" w:rsidP="00E65F26">
      <w:pPr>
        <w:pStyle w:val="ESlet"/>
        <w:rPr>
          <w:lang w:val="en-US"/>
        </w:rPr>
      </w:pPr>
      <w:r w:rsidRPr="00C903F8">
        <w:rPr>
          <w:noProof/>
          <w:lang w:val="en-US"/>
        </w:rPr>
        <w:t>b)</w:t>
      </w:r>
      <w:r w:rsidR="00E65F26" w:rsidRPr="00C903F8">
        <w:rPr>
          <w:noProof/>
          <w:lang w:val="en-US"/>
        </w:rPr>
        <w:tab/>
        <w:t>anchors having a mass of more than 500 kg and not exceeding 2000 kg:</w:t>
      </w:r>
    </w:p>
    <w:p w:rsidR="003D2E2F" w:rsidRPr="00C903F8" w:rsidRDefault="003D2E2F" w:rsidP="003D2E2F">
      <w:pPr>
        <w:pStyle w:val="ESgauche"/>
        <w:jc w:val="center"/>
        <w:rPr>
          <w:lang w:val="en-US"/>
        </w:rPr>
      </w:pPr>
    </w:p>
    <w:p w:rsidR="007F43E9" w:rsidRPr="00C903F8" w:rsidRDefault="007F43E9" w:rsidP="007F43E9">
      <w:pPr>
        <w:pStyle w:val="ESlet"/>
        <w:ind w:left="0" w:firstLine="0"/>
        <w:jc w:val="center"/>
        <w:rPr>
          <w:noProof/>
          <w:lang w:val="en-US"/>
        </w:rPr>
      </w:pPr>
      <m:oMathPara>
        <m:oMath>
          <m:r>
            <w:rPr>
              <w:rFonts w:ascii="Cambria Math" w:hAnsi="Cambria Math"/>
              <w:noProof/>
              <w:lang w:val="en-US"/>
            </w:rPr>
            <m:t>R=</m:t>
          </m:r>
          <m:d>
            <m:dPr>
              <m:ctrlPr>
                <w:rPr>
                  <w:rFonts w:ascii="Cambria Math" w:hAnsi="Cambria Math"/>
                  <w:i/>
                  <w:noProof/>
                  <w:lang w:val="en-US"/>
                </w:rPr>
              </m:ctrlPr>
            </m:dPr>
            <m:e>
              <m:r>
                <w:rPr>
                  <w:rFonts w:ascii="Cambria Math" w:hAnsi="Cambria Math"/>
                  <w:noProof/>
                  <w:lang w:val="en-US"/>
                </w:rPr>
                <m:t xml:space="preserve">0,35- </m:t>
              </m:r>
              <m:f>
                <m:fPr>
                  <m:ctrlPr>
                    <w:rPr>
                      <w:rFonts w:ascii="Cambria Math" w:hAnsi="Cambria Math"/>
                      <w:i/>
                      <w:noProof/>
                      <w:lang w:val="en-US"/>
                    </w:rPr>
                  </m:ctrlPr>
                </m:fPr>
                <m:num>
                  <m:sSup>
                    <m:sSupPr>
                      <m:ctrlPr>
                        <w:rPr>
                          <w:rFonts w:ascii="Cambria Math" w:hAnsi="Cambria Math"/>
                          <w:i/>
                          <w:noProof/>
                          <w:lang w:val="en-US"/>
                        </w:rPr>
                      </m:ctrlPr>
                    </m:sSupPr>
                    <m:e>
                      <m:r>
                        <w:rPr>
                          <w:rFonts w:ascii="Cambria Math" w:hAnsi="Cambria Math"/>
                          <w:noProof/>
                          <w:lang w:val="en-US"/>
                        </w:rPr>
                        <m:t>P</m:t>
                      </m:r>
                    </m:e>
                    <m:sup>
                      <m:r>
                        <w:rPr>
                          <w:rFonts w:ascii="Cambria Math" w:hAnsi="Cambria Math"/>
                          <w:noProof/>
                          <w:lang w:val="en-US"/>
                        </w:rPr>
                        <m:t>'</m:t>
                      </m:r>
                    </m:sup>
                  </m:sSup>
                  <m:r>
                    <w:rPr>
                      <w:rFonts w:ascii="Cambria Math" w:hAnsi="Cambria Math"/>
                      <w:noProof/>
                      <w:lang w:val="en-US"/>
                    </w:rPr>
                    <m:t>-500</m:t>
                  </m:r>
                </m:num>
                <m:den>
                  <m:r>
                    <w:rPr>
                      <w:rFonts w:ascii="Cambria Math" w:hAnsi="Cambria Math"/>
                      <w:noProof/>
                      <w:lang w:val="en-US"/>
                    </w:rPr>
                    <m:t>15000</m:t>
                  </m:r>
                </m:den>
              </m:f>
            </m:e>
          </m:d>
          <m:sSup>
            <m:sSupPr>
              <m:ctrlPr>
                <w:rPr>
                  <w:rFonts w:ascii="Cambria Math" w:hAnsi="Cambria Math"/>
                  <w:i/>
                  <w:noProof/>
                  <w:lang w:val="en-US"/>
                </w:rPr>
              </m:ctrlPr>
            </m:sSupPr>
            <m:e>
              <m:r>
                <w:rPr>
                  <w:rFonts w:ascii="Cambria Math" w:hAnsi="Cambria Math"/>
                  <w:noProof/>
                  <w:lang w:val="en-US"/>
                </w:rPr>
                <m:t>P</m:t>
              </m:r>
            </m:e>
            <m:sup>
              <m:r>
                <w:rPr>
                  <w:rFonts w:ascii="Cambria Math" w:hAnsi="Cambria Math"/>
                  <w:noProof/>
                  <w:lang w:val="en-US"/>
                </w:rPr>
                <m:t>'</m:t>
              </m:r>
            </m:sup>
          </m:sSup>
          <m:r>
            <w:rPr>
              <w:rFonts w:ascii="Cambria Math" w:hAnsi="Cambria Math"/>
              <w:noProof/>
              <w:lang w:val="en-US"/>
            </w:rPr>
            <m:t xml:space="preserve"> [kN]</m:t>
          </m:r>
        </m:oMath>
      </m:oMathPara>
    </w:p>
    <w:p w:rsidR="007F43E9" w:rsidRPr="00C903F8" w:rsidRDefault="007F43E9" w:rsidP="003D2E2F">
      <w:pPr>
        <w:pStyle w:val="ESgauche"/>
        <w:jc w:val="center"/>
        <w:rPr>
          <w:lang w:val="en-US"/>
        </w:rPr>
      </w:pPr>
    </w:p>
    <w:p w:rsidR="00E65F26" w:rsidRPr="00C903F8" w:rsidRDefault="005C7859" w:rsidP="00E65F26">
      <w:pPr>
        <w:pStyle w:val="ESlet"/>
        <w:rPr>
          <w:noProof/>
          <w:lang w:val="en-US"/>
        </w:rPr>
      </w:pPr>
      <w:r w:rsidRPr="00C903F8">
        <w:rPr>
          <w:noProof/>
          <w:lang w:val="en-US"/>
        </w:rPr>
        <w:t>c)</w:t>
      </w:r>
      <w:r w:rsidR="00E65F26" w:rsidRPr="00C903F8">
        <w:rPr>
          <w:noProof/>
          <w:lang w:val="en-US"/>
        </w:rPr>
        <w:tab/>
        <w:t>anchors having a mass of more than 2000 kg:</w:t>
      </w:r>
    </w:p>
    <w:p w:rsidR="003D2E2F" w:rsidRPr="00C903F8" w:rsidRDefault="003D2E2F" w:rsidP="003D2E2F">
      <w:pPr>
        <w:pStyle w:val="ESgauche"/>
        <w:jc w:val="center"/>
        <w:rPr>
          <w:lang w:val="en-US"/>
        </w:rPr>
      </w:pPr>
    </w:p>
    <w:p w:rsidR="007F43E9" w:rsidRPr="00C903F8" w:rsidRDefault="007F43E9" w:rsidP="007F43E9">
      <w:pPr>
        <w:pStyle w:val="ESlet"/>
        <w:ind w:left="0" w:firstLine="0"/>
        <w:jc w:val="center"/>
        <w:rPr>
          <w:noProof/>
          <w:lang w:val="en-US"/>
        </w:rPr>
      </w:pPr>
      <m:oMathPara>
        <m:oMath>
          <m:r>
            <w:rPr>
              <w:rFonts w:ascii="Cambria Math" w:hAnsi="Cambria Math"/>
              <w:noProof/>
              <w:lang w:val="en-US"/>
            </w:rPr>
            <m:t>R=0,25 ∙</m:t>
          </m:r>
          <m:sSup>
            <m:sSupPr>
              <m:ctrlPr>
                <w:rPr>
                  <w:rFonts w:ascii="Cambria Math" w:hAnsi="Cambria Math"/>
                  <w:i/>
                  <w:noProof/>
                  <w:lang w:val="en-US"/>
                </w:rPr>
              </m:ctrlPr>
            </m:sSupPr>
            <m:e>
              <m:r>
                <w:rPr>
                  <w:rFonts w:ascii="Cambria Math" w:hAnsi="Cambria Math"/>
                  <w:noProof/>
                  <w:lang w:val="en-US"/>
                </w:rPr>
                <m:t>P</m:t>
              </m:r>
            </m:e>
            <m:sup>
              <m:r>
                <w:rPr>
                  <w:rFonts w:ascii="Cambria Math" w:hAnsi="Cambria Math"/>
                  <w:noProof/>
                  <w:lang w:val="en-US"/>
                </w:rPr>
                <m:t>'</m:t>
              </m:r>
            </m:sup>
          </m:sSup>
          <m:r>
            <w:rPr>
              <w:rFonts w:ascii="Cambria Math" w:hAnsi="Cambria Math"/>
              <w:noProof/>
              <w:lang w:val="en-US"/>
            </w:rPr>
            <m:t>[kN]</m:t>
          </m:r>
        </m:oMath>
      </m:oMathPara>
    </w:p>
    <w:p w:rsidR="007F43E9" w:rsidRPr="00C903F8" w:rsidRDefault="007F43E9" w:rsidP="007F43E9">
      <w:pPr>
        <w:pStyle w:val="ESlet"/>
        <w:rPr>
          <w:lang w:val="en-US"/>
        </w:rPr>
      </w:pPr>
    </w:p>
    <w:p w:rsidR="00E65F26" w:rsidRPr="00C903F8" w:rsidRDefault="00E65F26" w:rsidP="00E65F26">
      <w:pPr>
        <w:pStyle w:val="ESchpar"/>
        <w:rPr>
          <w:lang w:val="en-US"/>
        </w:rPr>
      </w:pPr>
      <w:r w:rsidRPr="00C903F8">
        <w:rPr>
          <w:lang w:val="en-US"/>
        </w:rPr>
        <w:t>where</w:t>
      </w:r>
    </w:p>
    <w:p w:rsidR="00E65F26" w:rsidRPr="00C903F8" w:rsidRDefault="000E4A73" w:rsidP="00C973E6">
      <w:pPr>
        <w:pStyle w:val="ESlet"/>
        <w:rPr>
          <w:rStyle w:val="FootnoteReference"/>
          <w:rFonts w:cs="Arial"/>
          <w:sz w:val="18"/>
          <w:szCs w:val="18"/>
          <w:lang w:val="en-US"/>
        </w:rPr>
      </w:pPr>
      <m:oMath>
        <m:r>
          <w:rPr>
            <w:rFonts w:ascii="Cambria Math" w:hAnsi="Cambria Math"/>
            <w:noProof/>
            <w:lang w:val="en-US"/>
          </w:rPr>
          <m:t>P'</m:t>
        </m:r>
      </m:oMath>
      <w:r w:rsidR="00E65F26" w:rsidRPr="00C903F8">
        <w:rPr>
          <w:noProof/>
          <w:lang w:val="en-US"/>
        </w:rPr>
        <w:t xml:space="preserve"> is the theoretical mass of each anchor determined in accordance with </w:t>
      </w:r>
      <w:r w:rsidR="00F76783" w:rsidRPr="00C903F8">
        <w:rPr>
          <w:noProof/>
          <w:lang w:val="en-US"/>
        </w:rPr>
        <w:t>(</w:t>
      </w:r>
      <w:r w:rsidR="00E65F26" w:rsidRPr="00C903F8">
        <w:rPr>
          <w:noProof/>
          <w:lang w:val="en-US"/>
        </w:rPr>
        <w:t>1</w:t>
      </w:r>
      <w:r w:rsidR="00F76783" w:rsidRPr="00C903F8">
        <w:rPr>
          <w:noProof/>
          <w:lang w:val="en-US"/>
        </w:rPr>
        <w:t>)</w:t>
      </w:r>
      <w:r w:rsidR="00E65F26" w:rsidRPr="00C903F8">
        <w:rPr>
          <w:noProof/>
          <w:lang w:val="en-US"/>
        </w:rPr>
        <w:t xml:space="preserve"> to </w:t>
      </w:r>
      <w:r w:rsidR="00F76783" w:rsidRPr="00C903F8">
        <w:rPr>
          <w:noProof/>
          <w:lang w:val="en-US"/>
        </w:rPr>
        <w:t>(</w:t>
      </w:r>
      <w:r w:rsidR="00E65F26" w:rsidRPr="00C903F8">
        <w:rPr>
          <w:noProof/>
          <w:lang w:val="en-US"/>
        </w:rPr>
        <w:t>4</w:t>
      </w:r>
      <w:r w:rsidR="00F76783" w:rsidRPr="00C903F8">
        <w:rPr>
          <w:noProof/>
          <w:lang w:val="en-US"/>
        </w:rPr>
        <w:t>)</w:t>
      </w:r>
      <w:r w:rsidR="00E65F26" w:rsidRPr="00C903F8">
        <w:rPr>
          <w:noProof/>
          <w:lang w:val="en-US"/>
        </w:rPr>
        <w:t xml:space="preserve"> and</w:t>
      </w:r>
      <w:r w:rsidR="009A25DA" w:rsidRPr="00C903F8">
        <w:rPr>
          <w:noProof/>
          <w:lang w:val="en-US"/>
        </w:rPr>
        <w:t> </w:t>
      </w:r>
      <w:r w:rsidR="00F76783" w:rsidRPr="00C903F8">
        <w:rPr>
          <w:noProof/>
          <w:lang w:val="en-US"/>
        </w:rPr>
        <w:t>(</w:t>
      </w:r>
      <w:r w:rsidR="00E65F26" w:rsidRPr="00C903F8">
        <w:rPr>
          <w:noProof/>
          <w:lang w:val="en-US"/>
        </w:rPr>
        <w:t>6</w:t>
      </w:r>
      <w:r w:rsidR="00F76783" w:rsidRPr="00C903F8">
        <w:rPr>
          <w:noProof/>
          <w:lang w:val="en-US"/>
        </w:rPr>
        <w:t>)</w:t>
      </w:r>
      <w:r w:rsidR="00E65F26" w:rsidRPr="00C903F8">
        <w:rPr>
          <w:noProof/>
          <w:lang w:val="en-US"/>
        </w:rPr>
        <w:t>.</w:t>
      </w:r>
    </w:p>
    <w:p w:rsidR="00E65F26" w:rsidRPr="00C903F8" w:rsidRDefault="00E65F26" w:rsidP="009A25DA">
      <w:pPr>
        <w:pStyle w:val="ESchpar"/>
        <w:rPr>
          <w:noProof/>
          <w:lang w:val="en-US"/>
        </w:rPr>
      </w:pPr>
    </w:p>
    <w:p w:rsidR="00E65F26" w:rsidRPr="00C903F8" w:rsidRDefault="00E65F26" w:rsidP="009A25DA">
      <w:pPr>
        <w:pStyle w:val="ESchpar"/>
        <w:rPr>
          <w:lang w:val="en-US"/>
        </w:rPr>
      </w:pPr>
      <w:r w:rsidRPr="00C903F8">
        <w:rPr>
          <w:noProof/>
          <w:lang w:val="en-US"/>
        </w:rPr>
        <w:t>The breaking load of anchor chains shall be stated according to a standard in force in one of the Member States.</w:t>
      </w:r>
    </w:p>
    <w:p w:rsidR="00E65F26" w:rsidRPr="00C903F8" w:rsidRDefault="00E65F26" w:rsidP="00E65F26">
      <w:pPr>
        <w:pStyle w:val="ESch"/>
        <w:rPr>
          <w:noProof/>
          <w:lang w:val="en-US"/>
        </w:rPr>
      </w:pPr>
    </w:p>
    <w:p w:rsidR="00E65F26" w:rsidRPr="00C903F8" w:rsidRDefault="00E65F26" w:rsidP="00E65F26">
      <w:pPr>
        <w:pStyle w:val="ESch"/>
        <w:rPr>
          <w:lang w:val="en-US"/>
        </w:rPr>
      </w:pPr>
      <w:r w:rsidRPr="00C903F8">
        <w:rPr>
          <w:noProof/>
          <w:lang w:val="en-US"/>
        </w:rPr>
        <w:t>12.</w:t>
      </w:r>
      <w:r w:rsidRPr="00C903F8">
        <w:rPr>
          <w:lang w:val="en-US"/>
        </w:rPr>
        <w:tab/>
      </w:r>
      <w:r w:rsidRPr="00C903F8">
        <w:rPr>
          <w:noProof/>
          <w:lang w:val="en-US"/>
        </w:rPr>
        <w:t xml:space="preserve">Where the anchors have a mass greater than that required by </w:t>
      </w:r>
      <w:r w:rsidR="00FD1E75" w:rsidRPr="00C903F8">
        <w:rPr>
          <w:noProof/>
          <w:lang w:val="en-US"/>
        </w:rPr>
        <w:t>(</w:t>
      </w:r>
      <w:r w:rsidRPr="00C903F8">
        <w:rPr>
          <w:noProof/>
          <w:lang w:val="en-US"/>
        </w:rPr>
        <w:t>1</w:t>
      </w:r>
      <w:r w:rsidR="00FD1E75" w:rsidRPr="00C903F8">
        <w:rPr>
          <w:noProof/>
          <w:lang w:val="en-US"/>
        </w:rPr>
        <w:t>)</w:t>
      </w:r>
      <w:r w:rsidRPr="00C903F8">
        <w:rPr>
          <w:noProof/>
          <w:lang w:val="en-US"/>
        </w:rPr>
        <w:t xml:space="preserve"> to </w:t>
      </w:r>
      <w:r w:rsidR="00FD1E75" w:rsidRPr="00C903F8">
        <w:rPr>
          <w:noProof/>
          <w:lang w:val="en-US"/>
        </w:rPr>
        <w:t>(</w:t>
      </w:r>
      <w:r w:rsidRPr="00C903F8">
        <w:rPr>
          <w:noProof/>
          <w:lang w:val="en-US"/>
        </w:rPr>
        <w:t>6</w:t>
      </w:r>
      <w:r w:rsidR="00FD1E75" w:rsidRPr="00C903F8">
        <w:rPr>
          <w:noProof/>
          <w:lang w:val="en-US"/>
        </w:rPr>
        <w:t>)</w:t>
      </w:r>
      <w:r w:rsidRPr="00C903F8">
        <w:rPr>
          <w:noProof/>
          <w:lang w:val="en-US"/>
        </w:rPr>
        <w:t>, the breaking load of the anchor chain shall be determined as a function of the actual anchor mass.</w:t>
      </w:r>
    </w:p>
    <w:p w:rsidR="00E65F26" w:rsidRPr="00C903F8" w:rsidRDefault="00E65F26" w:rsidP="00E65F26">
      <w:pPr>
        <w:pStyle w:val="ESch"/>
        <w:rPr>
          <w:noProof/>
          <w:lang w:val="en-US"/>
        </w:rPr>
      </w:pPr>
    </w:p>
    <w:p w:rsidR="00E65F26" w:rsidRPr="00C903F8" w:rsidRDefault="00E65F26" w:rsidP="009A25DA">
      <w:pPr>
        <w:pStyle w:val="ESchpar"/>
        <w:rPr>
          <w:lang w:val="en-US"/>
        </w:rPr>
      </w:pPr>
      <w:r w:rsidRPr="00C903F8">
        <w:rPr>
          <w:noProof/>
          <w:lang w:val="en-US"/>
        </w:rPr>
        <w:t xml:space="preserve">In cases where heavier anchors with correspondingly stronger anchor chains are aboard, only the minimum masses and minimum breaking loads required according to </w:t>
      </w:r>
      <w:r w:rsidR="00FD1E75" w:rsidRPr="00C903F8">
        <w:rPr>
          <w:noProof/>
          <w:lang w:val="en-US"/>
        </w:rPr>
        <w:t>(</w:t>
      </w:r>
      <w:r w:rsidRPr="00C903F8">
        <w:rPr>
          <w:noProof/>
          <w:lang w:val="en-US"/>
        </w:rPr>
        <w:t>1</w:t>
      </w:r>
      <w:r w:rsidR="00FD1E75" w:rsidRPr="00C903F8">
        <w:rPr>
          <w:noProof/>
          <w:lang w:val="en-US"/>
        </w:rPr>
        <w:t>)</w:t>
      </w:r>
      <w:r w:rsidRPr="00C903F8">
        <w:rPr>
          <w:noProof/>
          <w:lang w:val="en-US"/>
        </w:rPr>
        <w:t xml:space="preserve"> to </w:t>
      </w:r>
      <w:r w:rsidR="00FD1E75" w:rsidRPr="00C903F8">
        <w:rPr>
          <w:noProof/>
          <w:lang w:val="en-US"/>
        </w:rPr>
        <w:t>(</w:t>
      </w:r>
      <w:r w:rsidRPr="00C903F8">
        <w:rPr>
          <w:noProof/>
          <w:lang w:val="en-US"/>
        </w:rPr>
        <w:t>6</w:t>
      </w:r>
      <w:r w:rsidR="00FD1E75" w:rsidRPr="00C903F8">
        <w:rPr>
          <w:noProof/>
          <w:lang w:val="en-US"/>
        </w:rPr>
        <w:t>)</w:t>
      </w:r>
      <w:r w:rsidRPr="00C903F8">
        <w:rPr>
          <w:noProof/>
          <w:lang w:val="en-US"/>
        </w:rPr>
        <w:t xml:space="preserve"> and </w:t>
      </w:r>
      <w:r w:rsidR="00FD1E75" w:rsidRPr="00C903F8">
        <w:rPr>
          <w:noProof/>
          <w:lang w:val="en-US"/>
        </w:rPr>
        <w:t>(</w:t>
      </w:r>
      <w:r w:rsidRPr="00C903F8">
        <w:rPr>
          <w:noProof/>
          <w:lang w:val="en-US"/>
        </w:rPr>
        <w:t>11</w:t>
      </w:r>
      <w:r w:rsidR="00FD1E75" w:rsidRPr="00C903F8">
        <w:rPr>
          <w:noProof/>
          <w:lang w:val="en-US"/>
        </w:rPr>
        <w:t>)</w:t>
      </w:r>
      <w:r w:rsidRPr="00C903F8">
        <w:rPr>
          <w:noProof/>
          <w:lang w:val="en-US"/>
        </w:rPr>
        <w:t xml:space="preserve"> shall be entered in the </w:t>
      </w:r>
      <w:r w:rsidR="00A938EB" w:rsidRPr="00C903F8">
        <w:rPr>
          <w:noProof/>
          <w:lang w:val="en-US"/>
        </w:rPr>
        <w:t>i</w:t>
      </w:r>
      <w:r w:rsidRPr="00C903F8">
        <w:rPr>
          <w:noProof/>
          <w:lang w:val="en-US"/>
        </w:rPr>
        <w:t>nland navigation vessel certificate.</w:t>
      </w:r>
    </w:p>
    <w:p w:rsidR="00E65F26" w:rsidRPr="00C903F8" w:rsidRDefault="00E65F26" w:rsidP="00E65F26">
      <w:pPr>
        <w:pStyle w:val="ESch"/>
        <w:rPr>
          <w:noProof/>
          <w:lang w:val="en-US"/>
        </w:rPr>
      </w:pPr>
    </w:p>
    <w:p w:rsidR="00E65F26" w:rsidRPr="00C903F8" w:rsidRDefault="00E65F26" w:rsidP="00E65F26">
      <w:pPr>
        <w:pStyle w:val="ESch"/>
        <w:rPr>
          <w:lang w:val="en-US"/>
        </w:rPr>
      </w:pPr>
      <w:r w:rsidRPr="00C903F8">
        <w:rPr>
          <w:noProof/>
          <w:lang w:val="en-US"/>
        </w:rPr>
        <w:t>13.</w:t>
      </w:r>
      <w:r w:rsidRPr="00C903F8">
        <w:rPr>
          <w:lang w:val="en-US"/>
        </w:rPr>
        <w:tab/>
      </w:r>
      <w:r w:rsidRPr="00C903F8">
        <w:rPr>
          <w:noProof/>
          <w:lang w:val="en-US"/>
        </w:rPr>
        <w:t>Connecting pieces (swivels) between anchor and chain shall withstand a ten</w:t>
      </w:r>
      <w:r w:rsidR="009A25DA" w:rsidRPr="00C903F8">
        <w:rPr>
          <w:noProof/>
          <w:lang w:val="en-US"/>
        </w:rPr>
        <w:t>sile load 20 </w:t>
      </w:r>
      <w:r w:rsidRPr="00C903F8">
        <w:rPr>
          <w:noProof/>
          <w:lang w:val="en-US"/>
        </w:rPr>
        <w:t>% higher than the breaking load of the corresponding chain.</w:t>
      </w:r>
    </w:p>
    <w:p w:rsidR="00E65F26" w:rsidRPr="00C903F8" w:rsidRDefault="00E65F26" w:rsidP="00E65F26">
      <w:pPr>
        <w:pStyle w:val="ESch"/>
        <w:rPr>
          <w:noProof/>
          <w:lang w:val="en-US"/>
        </w:rPr>
      </w:pPr>
    </w:p>
    <w:p w:rsidR="00E65F26" w:rsidRPr="00C903F8" w:rsidRDefault="00E65F26" w:rsidP="00E65F26">
      <w:pPr>
        <w:pStyle w:val="ESch"/>
        <w:rPr>
          <w:lang w:val="en-US"/>
        </w:rPr>
      </w:pPr>
      <w:r w:rsidRPr="00C903F8">
        <w:rPr>
          <w:noProof/>
          <w:lang w:val="en-US"/>
        </w:rPr>
        <w:t>14.</w:t>
      </w:r>
      <w:r w:rsidRPr="00C903F8">
        <w:rPr>
          <w:lang w:val="en-US"/>
        </w:rPr>
        <w:tab/>
      </w:r>
      <w:r w:rsidRPr="00C903F8">
        <w:rPr>
          <w:noProof/>
          <w:lang w:val="en-US"/>
        </w:rPr>
        <w:t>The use of cables instead of anchor chains is permitted. The cables shall have the same breaking load as that required for chains, but shall be 20 % longer.</w:t>
      </w:r>
    </w:p>
    <w:p w:rsidR="00E65F26" w:rsidRPr="00C903F8" w:rsidRDefault="00E65F26" w:rsidP="00E65F26">
      <w:pPr>
        <w:pStyle w:val="ESch"/>
        <w:rPr>
          <w:lang w:val="en-US"/>
        </w:rPr>
      </w:pPr>
    </w:p>
    <w:p w:rsidR="009A25DA" w:rsidRPr="00C903F8" w:rsidRDefault="009A25DA" w:rsidP="00E65F26">
      <w:pPr>
        <w:pStyle w:val="ESch"/>
        <w:rPr>
          <w:lang w:val="en-US"/>
        </w:rPr>
      </w:pPr>
    </w:p>
    <w:p w:rsidR="00E65F26" w:rsidRPr="00C903F8" w:rsidRDefault="00E65F26" w:rsidP="00E65F26">
      <w:pPr>
        <w:pStyle w:val="ES-Titre3"/>
        <w:rPr>
          <w:i/>
          <w:noProof/>
          <w:lang w:val="en-US"/>
        </w:rPr>
      </w:pPr>
      <w:bookmarkStart w:id="115" w:name="_Toc491854103"/>
      <w:r w:rsidRPr="00C903F8">
        <w:rPr>
          <w:noProof/>
          <w:lang w:val="en-US"/>
        </w:rPr>
        <w:t>Article 13.02</w:t>
      </w:r>
      <w:r w:rsidRPr="00C903F8">
        <w:rPr>
          <w:noProof/>
          <w:lang w:val="en-US"/>
        </w:rPr>
        <w:br/>
      </w:r>
      <w:r w:rsidRPr="00C903F8">
        <w:rPr>
          <w:i/>
          <w:noProof/>
          <w:lang w:val="en-US"/>
        </w:rPr>
        <w:t>Other equipment</w:t>
      </w:r>
      <w:bookmarkEnd w:id="115"/>
    </w:p>
    <w:p w:rsidR="00E65F26" w:rsidRPr="00C903F8" w:rsidRDefault="00E65F26" w:rsidP="00E65F26">
      <w:pPr>
        <w:pStyle w:val="ESch"/>
        <w:rPr>
          <w:noProof/>
          <w:lang w:val="en-US"/>
        </w:rPr>
      </w:pPr>
    </w:p>
    <w:p w:rsidR="00E65F26" w:rsidRPr="00C903F8" w:rsidRDefault="00E65F26" w:rsidP="00E65F26">
      <w:pPr>
        <w:pStyle w:val="ESch"/>
        <w:rPr>
          <w:lang w:val="en-US"/>
        </w:rPr>
      </w:pPr>
      <w:r w:rsidRPr="00C903F8">
        <w:rPr>
          <w:noProof/>
          <w:lang w:val="en-US"/>
        </w:rPr>
        <w:t>1.</w:t>
      </w:r>
      <w:r w:rsidRPr="00C903F8">
        <w:rPr>
          <w:noProof/>
          <w:lang w:val="en-US"/>
        </w:rPr>
        <w:tab/>
        <w:t>At least the following equipment in accordance with the applicable navigational authority regulations in force in one of the Member States</w:t>
      </w:r>
      <w:r w:rsidR="008E7459" w:rsidRPr="00C903F8">
        <w:rPr>
          <w:noProof/>
          <w:lang w:val="en-US"/>
        </w:rPr>
        <w:t xml:space="preserve"> </w:t>
      </w:r>
      <w:r w:rsidRPr="00C903F8">
        <w:rPr>
          <w:noProof/>
          <w:lang w:val="en-US"/>
        </w:rPr>
        <w:t>shall be onboard:</w:t>
      </w:r>
    </w:p>
    <w:p w:rsidR="00E65F26" w:rsidRPr="00C903F8" w:rsidRDefault="005C7859" w:rsidP="00E65F26">
      <w:pPr>
        <w:pStyle w:val="ESlet"/>
        <w:rPr>
          <w:lang w:val="en-US"/>
        </w:rPr>
      </w:pPr>
      <w:r w:rsidRPr="00C903F8">
        <w:rPr>
          <w:noProof/>
          <w:lang w:val="en-US"/>
        </w:rPr>
        <w:t>a)</w:t>
      </w:r>
      <w:r w:rsidR="00E65F26" w:rsidRPr="00C903F8">
        <w:rPr>
          <w:lang w:val="en-US"/>
        </w:rPr>
        <w:tab/>
      </w:r>
      <w:r w:rsidR="00E65F26" w:rsidRPr="00C903F8">
        <w:rPr>
          <w:noProof/>
          <w:lang w:val="en-US"/>
        </w:rPr>
        <w:t>radio-telephone equipment;</w:t>
      </w:r>
    </w:p>
    <w:p w:rsidR="00E65F26" w:rsidRPr="00C903F8" w:rsidRDefault="005C7859" w:rsidP="00E65F26">
      <w:pPr>
        <w:pStyle w:val="ESlet"/>
        <w:rPr>
          <w:lang w:val="en-US"/>
        </w:rPr>
      </w:pPr>
      <w:r w:rsidRPr="00C903F8">
        <w:rPr>
          <w:noProof/>
          <w:lang w:val="en-US"/>
        </w:rPr>
        <w:t>b)</w:t>
      </w:r>
      <w:r w:rsidR="00E65F26" w:rsidRPr="00C903F8">
        <w:rPr>
          <w:lang w:val="en-US"/>
        </w:rPr>
        <w:tab/>
      </w:r>
      <w:r w:rsidR="00E65F26" w:rsidRPr="00C903F8">
        <w:rPr>
          <w:noProof/>
          <w:lang w:val="en-US"/>
        </w:rPr>
        <w:t>appliances and devices necessary for emitting visual and acoustic signals and for marking the vessel;</w:t>
      </w:r>
    </w:p>
    <w:p w:rsidR="00E65F26" w:rsidRPr="00C903F8" w:rsidRDefault="005C7859" w:rsidP="00E65F26">
      <w:pPr>
        <w:pStyle w:val="ESlet"/>
        <w:rPr>
          <w:lang w:val="en-US"/>
        </w:rPr>
      </w:pPr>
      <w:r w:rsidRPr="00C903F8">
        <w:rPr>
          <w:noProof/>
          <w:lang w:val="en-US"/>
        </w:rPr>
        <w:t>c)</w:t>
      </w:r>
      <w:r w:rsidR="00E65F26" w:rsidRPr="00C903F8">
        <w:rPr>
          <w:lang w:val="en-US"/>
        </w:rPr>
        <w:tab/>
      </w:r>
      <w:r w:rsidR="00E65F26" w:rsidRPr="00C903F8">
        <w:rPr>
          <w:noProof/>
          <w:lang w:val="en-US"/>
        </w:rPr>
        <w:t>stand-alone back-up lights for the prescribed mooring lights.</w:t>
      </w:r>
    </w:p>
    <w:p w:rsidR="00E65F26" w:rsidRDefault="00E65F26" w:rsidP="00E65F26">
      <w:pPr>
        <w:pStyle w:val="ESch"/>
        <w:rPr>
          <w:noProof/>
          <w:lang w:val="en-US"/>
        </w:rPr>
      </w:pPr>
    </w:p>
    <w:p w:rsidR="003552BC" w:rsidRDefault="003552BC">
      <w:pPr>
        <w:autoSpaceDE/>
        <w:autoSpaceDN/>
        <w:ind w:left="0" w:firstLine="0"/>
        <w:jc w:val="left"/>
        <w:rPr>
          <w:noProof/>
          <w:lang w:val="en-US"/>
        </w:rPr>
      </w:pPr>
      <w:r>
        <w:rPr>
          <w:noProof/>
          <w:lang w:val="en-US"/>
        </w:rPr>
        <w:br w:type="page"/>
      </w:r>
    </w:p>
    <w:p w:rsidR="003552BC" w:rsidRPr="00C903F8" w:rsidRDefault="003552BC" w:rsidP="00E65F26">
      <w:pPr>
        <w:pStyle w:val="ESch"/>
        <w:rPr>
          <w:noProof/>
          <w:lang w:val="en-US"/>
        </w:rPr>
      </w:pPr>
    </w:p>
    <w:p w:rsidR="00E65F26" w:rsidRPr="00C903F8" w:rsidRDefault="00E65F26" w:rsidP="00E65F26">
      <w:pPr>
        <w:pStyle w:val="ESch"/>
        <w:rPr>
          <w:lang w:val="en-US"/>
        </w:rPr>
      </w:pPr>
      <w:r w:rsidRPr="00C903F8">
        <w:rPr>
          <w:noProof/>
          <w:lang w:val="en-US"/>
        </w:rPr>
        <w:t>2.</w:t>
      </w:r>
      <w:r w:rsidRPr="00C903F8">
        <w:rPr>
          <w:lang w:val="en-US"/>
        </w:rPr>
        <w:tab/>
      </w:r>
      <w:r w:rsidRPr="00C903F8">
        <w:rPr>
          <w:noProof/>
          <w:lang w:val="en-US"/>
        </w:rPr>
        <w:t>The following receptacles must also be present:</w:t>
      </w:r>
    </w:p>
    <w:p w:rsidR="00E65F26" w:rsidRPr="00C903F8" w:rsidRDefault="005C7859" w:rsidP="00E65F26">
      <w:pPr>
        <w:pStyle w:val="ESlet"/>
        <w:rPr>
          <w:lang w:val="en-US"/>
        </w:rPr>
      </w:pPr>
      <w:r w:rsidRPr="00C903F8">
        <w:rPr>
          <w:noProof/>
          <w:lang w:val="en-US"/>
        </w:rPr>
        <w:t>a)</w:t>
      </w:r>
      <w:r w:rsidR="00E65F26" w:rsidRPr="00C903F8">
        <w:rPr>
          <w:lang w:val="en-US"/>
        </w:rPr>
        <w:tab/>
      </w:r>
      <w:r w:rsidR="001B5ABA" w:rsidRPr="00C903F8">
        <w:rPr>
          <w:noProof/>
          <w:lang w:val="en-US"/>
        </w:rPr>
        <w:t>a</w:t>
      </w:r>
      <w:r w:rsidR="00E65F26" w:rsidRPr="00C903F8">
        <w:rPr>
          <w:noProof/>
          <w:lang w:val="en-US"/>
        </w:rPr>
        <w:t xml:space="preserve"> marked receptacle for domestic waste;</w:t>
      </w:r>
    </w:p>
    <w:p w:rsidR="00E65F26" w:rsidRPr="00C903F8" w:rsidRDefault="005C7859" w:rsidP="00E65F26">
      <w:pPr>
        <w:pStyle w:val="ESlet"/>
        <w:rPr>
          <w:lang w:val="en-US"/>
        </w:rPr>
      </w:pPr>
      <w:r w:rsidRPr="00C903F8">
        <w:rPr>
          <w:noProof/>
          <w:lang w:val="en-US"/>
        </w:rPr>
        <w:t>b)</w:t>
      </w:r>
      <w:r w:rsidR="00E65F26" w:rsidRPr="00C903F8">
        <w:rPr>
          <w:lang w:val="en-US"/>
        </w:rPr>
        <w:tab/>
      </w:r>
      <w:r w:rsidR="001B5ABA" w:rsidRPr="00C903F8">
        <w:rPr>
          <w:noProof/>
          <w:lang w:val="en-US"/>
        </w:rPr>
        <w:t>s</w:t>
      </w:r>
      <w:r w:rsidR="00E65F26" w:rsidRPr="00C903F8">
        <w:rPr>
          <w:noProof/>
          <w:lang w:val="en-US"/>
        </w:rPr>
        <w:t>eparate, marked receptacles, with sealing covers, made of steel or another sturdy, non-flammable material, of adequate size but holding at least 10 l</w:t>
      </w:r>
      <w:r w:rsidR="004D2C3E" w:rsidRPr="00C903F8">
        <w:rPr>
          <w:noProof/>
          <w:lang w:val="en-US"/>
        </w:rPr>
        <w:t>itres</w:t>
      </w:r>
      <w:r w:rsidR="00E65F26" w:rsidRPr="00C903F8">
        <w:rPr>
          <w:noProof/>
          <w:lang w:val="en-US"/>
        </w:rPr>
        <w:t>, for the collection of</w:t>
      </w:r>
    </w:p>
    <w:p w:rsidR="00E65F26" w:rsidRPr="00C903F8" w:rsidRDefault="0029453D" w:rsidP="00E65F26">
      <w:pPr>
        <w:pStyle w:val="EStiret"/>
        <w:rPr>
          <w:lang w:val="en-US"/>
        </w:rPr>
      </w:pPr>
      <w:r w:rsidRPr="00C903F8">
        <w:rPr>
          <w:lang w:val="en-US"/>
        </w:rPr>
        <w:t>aa)</w:t>
      </w:r>
      <w:r w:rsidR="00E65F26" w:rsidRPr="00C903F8">
        <w:rPr>
          <w:lang w:val="en-US"/>
        </w:rPr>
        <w:tab/>
        <w:t>oily cleaning cloths</w:t>
      </w:r>
      <w:r w:rsidR="003D2E2F" w:rsidRPr="00C903F8">
        <w:rPr>
          <w:lang w:val="en-US"/>
        </w:rPr>
        <w:t>;</w:t>
      </w:r>
    </w:p>
    <w:p w:rsidR="00E65F26" w:rsidRPr="00C903F8" w:rsidRDefault="0029453D" w:rsidP="00E65F26">
      <w:pPr>
        <w:pStyle w:val="EStiret"/>
        <w:rPr>
          <w:lang w:val="en-US"/>
        </w:rPr>
      </w:pPr>
      <w:r w:rsidRPr="00C903F8">
        <w:rPr>
          <w:lang w:val="en-US"/>
        </w:rPr>
        <w:t>bb)</w:t>
      </w:r>
      <w:r w:rsidR="00E65F26" w:rsidRPr="00C903F8">
        <w:rPr>
          <w:lang w:val="en-US"/>
        </w:rPr>
        <w:tab/>
        <w:t>hazardous or pollutant solid wastes</w:t>
      </w:r>
      <w:r w:rsidR="003D2E2F" w:rsidRPr="00C903F8">
        <w:rPr>
          <w:lang w:val="en-US"/>
        </w:rPr>
        <w:t>;</w:t>
      </w:r>
    </w:p>
    <w:p w:rsidR="00E65F26" w:rsidRPr="00F46C3C" w:rsidRDefault="0029453D" w:rsidP="00E65F26">
      <w:pPr>
        <w:pStyle w:val="EStiret"/>
      </w:pPr>
      <w:r w:rsidRPr="00F46C3C">
        <w:t>cc)</w:t>
      </w:r>
      <w:r w:rsidR="00E65F26" w:rsidRPr="00F46C3C">
        <w:tab/>
        <w:t>hazardous or pollutant liquid wastes</w:t>
      </w:r>
      <w:r w:rsidR="003D2E2F" w:rsidRPr="00F46C3C">
        <w:t>;</w:t>
      </w:r>
    </w:p>
    <w:p w:rsidR="00E65F26" w:rsidRPr="00C903F8" w:rsidRDefault="00E65F26" w:rsidP="00E65F26">
      <w:pPr>
        <w:pStyle w:val="EStiret"/>
        <w:rPr>
          <w:lang w:val="en-US"/>
        </w:rPr>
      </w:pPr>
      <w:r w:rsidRPr="00C903F8">
        <w:rPr>
          <w:lang w:val="en-US"/>
        </w:rPr>
        <w:t>and, inasmuch as they may arise, for the collection of</w:t>
      </w:r>
    </w:p>
    <w:p w:rsidR="00E65F26" w:rsidRPr="00C903F8" w:rsidRDefault="00E65F26" w:rsidP="00E65F26">
      <w:pPr>
        <w:pStyle w:val="EStiret"/>
        <w:rPr>
          <w:lang w:val="en-US"/>
        </w:rPr>
      </w:pPr>
      <w:r w:rsidRPr="00C903F8">
        <w:rPr>
          <w:lang w:val="en-US"/>
        </w:rPr>
        <w:t>dd)</w:t>
      </w:r>
      <w:r w:rsidRPr="00C903F8">
        <w:rPr>
          <w:lang w:val="en-US"/>
        </w:rPr>
        <w:tab/>
        <w:t>slops</w:t>
      </w:r>
      <w:r w:rsidR="003D2E2F" w:rsidRPr="00C903F8">
        <w:rPr>
          <w:lang w:val="en-US"/>
        </w:rPr>
        <w:t>;</w:t>
      </w:r>
    </w:p>
    <w:p w:rsidR="00E65F26" w:rsidRPr="00C903F8" w:rsidRDefault="00E65F26" w:rsidP="00E65F26">
      <w:pPr>
        <w:pStyle w:val="EStiret"/>
        <w:rPr>
          <w:lang w:val="en-US"/>
        </w:rPr>
      </w:pPr>
      <w:r w:rsidRPr="00C903F8">
        <w:rPr>
          <w:lang w:val="en-US"/>
        </w:rPr>
        <w:t>ee)</w:t>
      </w:r>
      <w:r w:rsidRPr="00C903F8">
        <w:rPr>
          <w:lang w:val="en-US"/>
        </w:rPr>
        <w:tab/>
        <w:t>other oily or greasy waste.</w:t>
      </w:r>
    </w:p>
    <w:p w:rsidR="009A25DA" w:rsidRPr="00C903F8" w:rsidRDefault="009A25DA" w:rsidP="00E65F26">
      <w:pPr>
        <w:pStyle w:val="ESch"/>
        <w:rPr>
          <w:noProof/>
          <w:lang w:val="en-US"/>
        </w:rPr>
      </w:pPr>
    </w:p>
    <w:p w:rsidR="00E65F26" w:rsidRPr="00C903F8" w:rsidRDefault="00E65F26" w:rsidP="00E65F26">
      <w:pPr>
        <w:pStyle w:val="ESch"/>
        <w:rPr>
          <w:lang w:val="en-US"/>
        </w:rPr>
      </w:pPr>
      <w:r w:rsidRPr="00C903F8">
        <w:rPr>
          <w:noProof/>
          <w:lang w:val="en-US"/>
        </w:rPr>
        <w:t>3.</w:t>
      </w:r>
      <w:r w:rsidRPr="00C903F8">
        <w:rPr>
          <w:lang w:val="en-US"/>
        </w:rPr>
        <w:tab/>
      </w:r>
      <w:r w:rsidRPr="00C903F8">
        <w:rPr>
          <w:noProof/>
          <w:lang w:val="en-US"/>
        </w:rPr>
        <w:t>In addition, the equipment shall include at least:</w:t>
      </w:r>
    </w:p>
    <w:p w:rsidR="00E65F26" w:rsidRPr="00C903F8" w:rsidRDefault="005C7859" w:rsidP="009A25DA">
      <w:pPr>
        <w:pStyle w:val="ESlet"/>
        <w:rPr>
          <w:lang w:val="en-US"/>
        </w:rPr>
      </w:pPr>
      <w:r w:rsidRPr="00C903F8">
        <w:rPr>
          <w:noProof/>
          <w:lang w:val="en-US"/>
        </w:rPr>
        <w:t>a)</w:t>
      </w:r>
      <w:r w:rsidR="00E65F26" w:rsidRPr="00C903F8">
        <w:rPr>
          <w:lang w:val="en-US"/>
        </w:rPr>
        <w:tab/>
      </w:r>
      <w:r w:rsidR="001B5ABA" w:rsidRPr="00C903F8">
        <w:rPr>
          <w:noProof/>
          <w:lang w:val="en-US"/>
        </w:rPr>
        <w:t>m</w:t>
      </w:r>
      <w:r w:rsidR="00E65F26" w:rsidRPr="00C903F8">
        <w:rPr>
          <w:noProof/>
          <w:lang w:val="en-US"/>
        </w:rPr>
        <w:t>ooring cables;</w:t>
      </w:r>
    </w:p>
    <w:p w:rsidR="00E65F26" w:rsidRPr="00C903F8" w:rsidRDefault="00E65F26" w:rsidP="009A25DA">
      <w:pPr>
        <w:pStyle w:val="ESletpar"/>
        <w:rPr>
          <w:lang w:val="en-US"/>
        </w:rPr>
      </w:pPr>
      <w:r w:rsidRPr="00C903F8">
        <w:rPr>
          <w:noProof/>
          <w:lang w:val="en-US"/>
        </w:rPr>
        <w:t>Vessels shall be equipped with three mooring cables. Their minimum lengths shall be at least the following:</w:t>
      </w:r>
    </w:p>
    <w:p w:rsidR="00E65F26" w:rsidRPr="00C903F8" w:rsidRDefault="00E65F26" w:rsidP="00894579">
      <w:pPr>
        <w:pStyle w:val="EStiret"/>
        <w:tabs>
          <w:tab w:val="left" w:pos="2694"/>
        </w:tabs>
        <w:rPr>
          <w:rStyle w:val="FootnoteReference"/>
          <w:rFonts w:cs="Arial"/>
          <w:sz w:val="18"/>
          <w:szCs w:val="18"/>
          <w:vertAlign w:val="baseline"/>
          <w:lang w:val="en-US"/>
        </w:rPr>
      </w:pPr>
      <w:r w:rsidRPr="00C903F8">
        <w:rPr>
          <w:lang w:val="en-US"/>
        </w:rPr>
        <w:t xml:space="preserve">first cable: </w:t>
      </w:r>
      <w:r w:rsidR="009A25DA" w:rsidRPr="00C903F8">
        <w:rPr>
          <w:lang w:val="en-US"/>
        </w:rPr>
        <w:tab/>
      </w:r>
      <m:oMath>
        <m:r>
          <w:rPr>
            <w:rFonts w:ascii="Cambria Math" w:hAnsi="Cambria Math"/>
            <w:lang w:val="en-US"/>
          </w:rPr>
          <m:t>L+20 m</m:t>
        </m:r>
      </m:oMath>
      <w:r w:rsidRPr="00C903F8">
        <w:rPr>
          <w:lang w:val="en-US"/>
        </w:rPr>
        <w:t xml:space="preserve"> but not more than 100 m,</w:t>
      </w:r>
    </w:p>
    <w:p w:rsidR="00E65F26" w:rsidRPr="00C903F8" w:rsidRDefault="00E65F26" w:rsidP="00894579">
      <w:pPr>
        <w:pStyle w:val="EStiret"/>
        <w:tabs>
          <w:tab w:val="left" w:pos="2694"/>
        </w:tabs>
        <w:rPr>
          <w:rStyle w:val="FootnoteReference"/>
          <w:rFonts w:cs="Arial"/>
          <w:sz w:val="18"/>
          <w:szCs w:val="18"/>
          <w:vertAlign w:val="baseline"/>
          <w:lang w:val="en-US"/>
        </w:rPr>
      </w:pPr>
      <w:r w:rsidRPr="00C903F8">
        <w:rPr>
          <w:lang w:val="en-US"/>
        </w:rPr>
        <w:t>second cable:</w:t>
      </w:r>
      <w:r w:rsidR="009A25DA" w:rsidRPr="00C903F8">
        <w:rPr>
          <w:lang w:val="en-US"/>
        </w:rPr>
        <w:tab/>
      </w:r>
      <w:r w:rsidRPr="00C903F8">
        <w:rPr>
          <w:lang w:val="en-US"/>
        </w:rPr>
        <w:t>2/3 of the first cable,</w:t>
      </w:r>
    </w:p>
    <w:p w:rsidR="00E65F26" w:rsidRPr="00C903F8" w:rsidRDefault="00E65F26" w:rsidP="00894579">
      <w:pPr>
        <w:pStyle w:val="EStiret"/>
        <w:tabs>
          <w:tab w:val="left" w:pos="2694"/>
        </w:tabs>
        <w:rPr>
          <w:rStyle w:val="FootnoteReference"/>
          <w:rFonts w:cs="Arial"/>
          <w:sz w:val="18"/>
          <w:szCs w:val="18"/>
          <w:vertAlign w:val="baseline"/>
          <w:lang w:val="en-US"/>
        </w:rPr>
      </w:pPr>
      <w:r w:rsidRPr="00C903F8">
        <w:rPr>
          <w:lang w:val="en-US"/>
        </w:rPr>
        <w:t>third cable:</w:t>
      </w:r>
      <w:r w:rsidR="009A25DA" w:rsidRPr="00C903F8">
        <w:rPr>
          <w:lang w:val="en-US"/>
        </w:rPr>
        <w:tab/>
      </w:r>
      <w:r w:rsidRPr="00C903F8">
        <w:rPr>
          <w:lang w:val="en-US"/>
        </w:rPr>
        <w:t>1/3 of the first cable.</w:t>
      </w:r>
    </w:p>
    <w:p w:rsidR="00E65F26" w:rsidRPr="00C903F8" w:rsidRDefault="00E65F26" w:rsidP="009A25DA">
      <w:pPr>
        <w:pStyle w:val="ESletpar"/>
        <w:rPr>
          <w:lang w:val="en-US"/>
        </w:rPr>
      </w:pPr>
      <w:r w:rsidRPr="00C903F8">
        <w:rPr>
          <w:noProof/>
          <w:lang w:val="en-US"/>
        </w:rPr>
        <w:t xml:space="preserve">The shortest cable is not required on board vessels whose </w:t>
      </w:r>
      <m:oMath>
        <m:r>
          <w:rPr>
            <w:rFonts w:ascii="Cambria Math" w:hAnsi="Cambria Math"/>
            <w:noProof/>
            <w:lang w:val="en-US"/>
          </w:rPr>
          <m:t>L</m:t>
        </m:r>
      </m:oMath>
      <w:r w:rsidRPr="00C903F8">
        <w:rPr>
          <w:noProof/>
          <w:lang w:val="en-US"/>
        </w:rPr>
        <w:t xml:space="preserve"> is less than 20 m.</w:t>
      </w:r>
    </w:p>
    <w:p w:rsidR="00E65F26" w:rsidRPr="00C903F8" w:rsidRDefault="00E65F26" w:rsidP="009A25DA">
      <w:pPr>
        <w:pStyle w:val="ESletpar"/>
        <w:rPr>
          <w:noProof/>
          <w:lang w:val="en-US"/>
        </w:rPr>
      </w:pPr>
      <w:r w:rsidRPr="00C903F8">
        <w:rPr>
          <w:noProof/>
          <w:lang w:val="en-US"/>
        </w:rPr>
        <w:t xml:space="preserve">The cables shall have a breaking load </w:t>
      </w:r>
      <m:oMath>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s</m:t>
            </m:r>
          </m:sub>
        </m:sSub>
      </m:oMath>
      <w:r w:rsidR="007F43E9" w:rsidRPr="00C903F8">
        <w:rPr>
          <w:noProof/>
          <w:lang w:val="en-US"/>
        </w:rPr>
        <w:t xml:space="preserve"> </w:t>
      </w:r>
      <w:r w:rsidRPr="00C903F8">
        <w:rPr>
          <w:noProof/>
          <w:lang w:val="en-US"/>
        </w:rPr>
        <w:t>that is calculated using the following formulae;</w:t>
      </w:r>
    </w:p>
    <w:p w:rsidR="00894579" w:rsidRPr="00C903F8" w:rsidRDefault="00894579" w:rsidP="009A25DA">
      <w:pPr>
        <w:pStyle w:val="ESletpar"/>
        <w:rPr>
          <w:lang w:val="en-US"/>
        </w:rPr>
      </w:pPr>
    </w:p>
    <w:p w:rsidR="00E65F26" w:rsidRPr="00C903F8" w:rsidRDefault="00894579" w:rsidP="001B5ABA">
      <w:pPr>
        <w:pStyle w:val="ESgauche"/>
        <w:jc w:val="center"/>
        <w:rPr>
          <w:lang w:val="en-US"/>
        </w:rPr>
      </w:pPr>
      <w:r w:rsidRPr="00C903F8">
        <w:rPr>
          <w:lang w:val="en-US"/>
        </w:rPr>
        <w:t>f</w:t>
      </w:r>
      <w:r w:rsidR="00E65F26" w:rsidRPr="00C903F8">
        <w:rPr>
          <w:lang w:val="en-US"/>
        </w:rPr>
        <w:t>or</w:t>
      </w:r>
      <w:r w:rsidRPr="00C903F8">
        <w:rPr>
          <w:lang w:val="en-US"/>
        </w:rPr>
        <w:t xml:space="preserve"> </w:t>
      </w:r>
      <m:oMath>
        <m:r>
          <w:rPr>
            <w:rFonts w:ascii="Cambria Math" w:hAnsi="Cambria Math"/>
            <w:lang w:val="en-US"/>
          </w:rPr>
          <m:t>L ∙B ∙T</m:t>
        </m:r>
      </m:oMath>
      <w:r w:rsidR="00E65F26" w:rsidRPr="00C903F8">
        <w:rPr>
          <w:lang w:val="en-US"/>
        </w:rPr>
        <w:t xml:space="preserve"> up to 1000 m</w:t>
      </w:r>
      <w:r w:rsidR="00E65F26" w:rsidRPr="00C903F8">
        <w:rPr>
          <w:vertAlign w:val="superscript"/>
          <w:lang w:val="en-US"/>
        </w:rPr>
        <w:t>3</w:t>
      </w:r>
      <w:r w:rsidR="00E65F26" w:rsidRPr="00C903F8">
        <w:rPr>
          <w:lang w:val="en-US"/>
        </w:rPr>
        <w:t xml:space="preserve">: </w:t>
      </w:r>
      <m:oMath>
        <m:sSub>
          <m:sSubPr>
            <m:ctrlPr>
              <w:rPr>
                <w:rFonts w:ascii="Cambria Math" w:hAnsi="Cambria Math"/>
                <w:i/>
                <w:sz w:val="22"/>
                <w:lang w:val="en-US"/>
              </w:rPr>
            </m:ctrlPr>
          </m:sSubPr>
          <m:e>
            <m:r>
              <w:rPr>
                <w:rFonts w:ascii="Cambria Math" w:hAnsi="Cambria Math"/>
                <w:sz w:val="22"/>
                <w:lang w:val="en-US"/>
              </w:rPr>
              <m:t>R</m:t>
            </m:r>
          </m:e>
          <m:sub>
            <m:r>
              <w:rPr>
                <w:rFonts w:ascii="Cambria Math" w:hAnsi="Cambria Math"/>
                <w:sz w:val="22"/>
                <w:lang w:val="en-US"/>
              </w:rPr>
              <m:t>s</m:t>
            </m:r>
          </m:sub>
        </m:sSub>
        <m:r>
          <w:rPr>
            <w:rFonts w:ascii="Cambria Math" w:hAnsi="Cambria Math"/>
            <w:sz w:val="22"/>
            <w:lang w:val="en-US"/>
          </w:rPr>
          <m:t xml:space="preserve">=60+ </m:t>
        </m:r>
        <m:f>
          <m:fPr>
            <m:ctrlPr>
              <w:rPr>
                <w:rFonts w:ascii="Cambria Math" w:hAnsi="Cambria Math"/>
                <w:i/>
                <w:sz w:val="22"/>
                <w:lang w:val="en-US"/>
              </w:rPr>
            </m:ctrlPr>
          </m:fPr>
          <m:num>
            <m:r>
              <w:rPr>
                <w:rFonts w:ascii="Cambria Math" w:hAnsi="Cambria Math"/>
                <w:sz w:val="22"/>
                <w:lang w:val="en-US"/>
              </w:rPr>
              <m:t>L ∙B ∙T</m:t>
            </m:r>
          </m:num>
          <m:den>
            <m:r>
              <w:rPr>
                <w:rFonts w:ascii="Cambria Math" w:hAnsi="Cambria Math"/>
                <w:sz w:val="22"/>
                <w:lang w:val="en-US"/>
              </w:rPr>
              <m:t>10</m:t>
            </m:r>
          </m:den>
        </m:f>
        <m:r>
          <w:rPr>
            <w:rFonts w:ascii="Cambria Math" w:hAnsi="Cambria Math"/>
            <w:sz w:val="22"/>
            <w:lang w:val="en-US"/>
          </w:rPr>
          <m:t xml:space="preserve"> </m:t>
        </m:r>
        <m:d>
          <m:dPr>
            <m:begChr m:val="["/>
            <m:endChr m:val="]"/>
            <m:ctrlPr>
              <w:rPr>
                <w:rFonts w:ascii="Cambria Math" w:hAnsi="Cambria Math"/>
                <w:i/>
                <w:sz w:val="22"/>
                <w:lang w:val="en-US"/>
              </w:rPr>
            </m:ctrlPr>
          </m:dPr>
          <m:e>
            <m:r>
              <w:rPr>
                <w:rFonts w:ascii="Cambria Math" w:hAnsi="Cambria Math"/>
                <w:sz w:val="22"/>
                <w:lang w:val="en-US"/>
              </w:rPr>
              <m:t>kN</m:t>
            </m:r>
          </m:e>
        </m:d>
        <m:r>
          <w:rPr>
            <w:rFonts w:ascii="Cambria Math" w:hAnsi="Cambria Math"/>
            <w:sz w:val="22"/>
            <w:lang w:val="en-US"/>
          </w:rPr>
          <m:t>;</m:t>
        </m:r>
      </m:oMath>
    </w:p>
    <w:p w:rsidR="001B5ABA" w:rsidRPr="00C903F8" w:rsidRDefault="001B5ABA" w:rsidP="001B5ABA">
      <w:pPr>
        <w:pStyle w:val="ESgauche"/>
        <w:jc w:val="center"/>
        <w:rPr>
          <w:lang w:val="en-US"/>
        </w:rPr>
      </w:pPr>
    </w:p>
    <w:p w:rsidR="009A25DA" w:rsidRPr="00C903F8" w:rsidRDefault="009A25DA" w:rsidP="001B5ABA">
      <w:pPr>
        <w:pStyle w:val="ESgauche"/>
        <w:jc w:val="center"/>
        <w:rPr>
          <w:lang w:val="en-US"/>
        </w:rPr>
      </w:pPr>
      <w:r w:rsidRPr="00C903F8">
        <w:rPr>
          <w:lang w:val="en-US"/>
        </w:rPr>
        <w:t xml:space="preserve">for </w:t>
      </w:r>
      <m:oMath>
        <m:r>
          <w:rPr>
            <w:rFonts w:ascii="Cambria Math" w:hAnsi="Cambria Math"/>
            <w:lang w:val="en-US"/>
          </w:rPr>
          <m:t>L ∙B ∙T</m:t>
        </m:r>
      </m:oMath>
      <w:r w:rsidR="00894579" w:rsidRPr="00C903F8">
        <w:rPr>
          <w:lang w:val="en-US"/>
        </w:rPr>
        <w:t xml:space="preserve"> </w:t>
      </w:r>
      <w:r w:rsidRPr="00C903F8">
        <w:rPr>
          <w:lang w:val="en-US"/>
        </w:rPr>
        <w:t>exceeding 1000 m</w:t>
      </w:r>
      <w:r w:rsidRPr="00C903F8">
        <w:rPr>
          <w:vertAlign w:val="superscript"/>
          <w:lang w:val="en-US"/>
        </w:rPr>
        <w:t>3</w:t>
      </w:r>
      <w:r w:rsidRPr="00C903F8">
        <w:rPr>
          <w:lang w:val="en-US"/>
        </w:rPr>
        <w:t xml:space="preserve">: </w:t>
      </w:r>
      <m:oMath>
        <m:sSub>
          <m:sSubPr>
            <m:ctrlPr>
              <w:rPr>
                <w:rFonts w:ascii="Cambria Math" w:hAnsi="Cambria Math"/>
                <w:i/>
                <w:sz w:val="22"/>
                <w:lang w:val="en-US"/>
              </w:rPr>
            </m:ctrlPr>
          </m:sSubPr>
          <m:e>
            <m:r>
              <w:rPr>
                <w:rFonts w:ascii="Cambria Math" w:hAnsi="Cambria Math"/>
                <w:sz w:val="22"/>
                <w:lang w:val="en-US"/>
              </w:rPr>
              <m:t>R</m:t>
            </m:r>
          </m:e>
          <m:sub>
            <m:r>
              <w:rPr>
                <w:rFonts w:ascii="Cambria Math" w:hAnsi="Cambria Math"/>
                <w:sz w:val="22"/>
                <w:lang w:val="en-US"/>
              </w:rPr>
              <m:t>s</m:t>
            </m:r>
          </m:sub>
        </m:sSub>
        <m:r>
          <w:rPr>
            <w:rFonts w:ascii="Cambria Math" w:hAnsi="Cambria Math"/>
            <w:sz w:val="22"/>
            <w:lang w:val="en-US"/>
          </w:rPr>
          <m:t xml:space="preserve">=150+ </m:t>
        </m:r>
        <m:f>
          <m:fPr>
            <m:ctrlPr>
              <w:rPr>
                <w:rFonts w:ascii="Cambria Math" w:hAnsi="Cambria Math"/>
                <w:i/>
                <w:sz w:val="22"/>
                <w:lang w:val="en-US"/>
              </w:rPr>
            </m:ctrlPr>
          </m:fPr>
          <m:num>
            <m:r>
              <w:rPr>
                <w:rFonts w:ascii="Cambria Math" w:hAnsi="Cambria Math"/>
                <w:sz w:val="22"/>
                <w:lang w:val="en-US"/>
              </w:rPr>
              <m:t>L ∙B ∙T</m:t>
            </m:r>
          </m:num>
          <m:den>
            <m:r>
              <w:rPr>
                <w:rFonts w:ascii="Cambria Math" w:hAnsi="Cambria Math"/>
                <w:sz w:val="22"/>
                <w:lang w:val="en-US"/>
              </w:rPr>
              <m:t>100</m:t>
            </m:r>
          </m:den>
        </m:f>
        <m:r>
          <w:rPr>
            <w:rFonts w:ascii="Cambria Math" w:hAnsi="Cambria Math"/>
            <w:sz w:val="22"/>
            <w:lang w:val="en-US"/>
          </w:rPr>
          <m:t xml:space="preserve"> </m:t>
        </m:r>
        <m:d>
          <m:dPr>
            <m:begChr m:val="["/>
            <m:endChr m:val="]"/>
            <m:ctrlPr>
              <w:rPr>
                <w:rFonts w:ascii="Cambria Math" w:hAnsi="Cambria Math"/>
                <w:i/>
                <w:sz w:val="22"/>
                <w:lang w:val="en-US"/>
              </w:rPr>
            </m:ctrlPr>
          </m:dPr>
          <m:e>
            <m:r>
              <w:rPr>
                <w:rFonts w:ascii="Cambria Math" w:hAnsi="Cambria Math"/>
                <w:sz w:val="22"/>
                <w:lang w:val="en-US"/>
              </w:rPr>
              <m:t>kN</m:t>
            </m:r>
          </m:e>
        </m:d>
        <m:r>
          <w:rPr>
            <w:rFonts w:ascii="Cambria Math" w:hAnsi="Cambria Math"/>
            <w:sz w:val="22"/>
            <w:lang w:val="en-US"/>
          </w:rPr>
          <m:t>.</m:t>
        </m:r>
      </m:oMath>
    </w:p>
    <w:p w:rsidR="00D20B98" w:rsidRPr="00C903F8" w:rsidRDefault="00D20B98" w:rsidP="0034064A">
      <w:pPr>
        <w:pStyle w:val="ESletpar"/>
        <w:spacing w:before="0"/>
        <w:rPr>
          <w:noProof/>
          <w:lang w:val="en-US"/>
        </w:rPr>
      </w:pPr>
    </w:p>
    <w:p w:rsidR="0088585A" w:rsidRDefault="0088585A" w:rsidP="009A25DA">
      <w:pPr>
        <w:pStyle w:val="ESletpar"/>
        <w:rPr>
          <w:noProof/>
          <w:lang w:val="en-US"/>
        </w:rPr>
      </w:pPr>
      <w:r w:rsidRPr="002637E4">
        <w:rPr>
          <w:noProof/>
          <w:lang w:val="en-US"/>
        </w:rPr>
        <w:t xml:space="preserve">For the </w:t>
      </w:r>
      <w:r w:rsidRPr="008B1036">
        <w:rPr>
          <w:noProof/>
          <w:lang w:val="en-US"/>
        </w:rPr>
        <w:t>required cables a certificate in accordance with European Standard EN 10204 : 2004,</w:t>
      </w:r>
      <w:r w:rsidRPr="002637E4">
        <w:rPr>
          <w:noProof/>
          <w:lang w:val="en-US"/>
        </w:rPr>
        <w:t xml:space="preserve"> under No 3.1, shall be on board</w:t>
      </w:r>
      <w:r>
        <w:rPr>
          <w:noProof/>
          <w:lang w:val="en-US"/>
        </w:rPr>
        <w:t>.</w:t>
      </w:r>
    </w:p>
    <w:p w:rsidR="00E65F26" w:rsidRPr="00C903F8" w:rsidRDefault="00E65F26" w:rsidP="009A25DA">
      <w:pPr>
        <w:pStyle w:val="ESletpar"/>
        <w:rPr>
          <w:lang w:val="en-US"/>
        </w:rPr>
      </w:pPr>
      <w:r w:rsidRPr="00C903F8">
        <w:rPr>
          <w:noProof/>
          <w:lang w:val="en-US"/>
        </w:rPr>
        <w:t>These cables may be replaced by ropes having the same length and breaking load. The minimum breaking load of these ropes shall be indicated in a certificate.</w:t>
      </w:r>
    </w:p>
    <w:p w:rsidR="00E65F26" w:rsidRPr="00C903F8" w:rsidRDefault="005C7859" w:rsidP="009A25DA">
      <w:pPr>
        <w:pStyle w:val="ESlet"/>
        <w:rPr>
          <w:lang w:val="en-US"/>
        </w:rPr>
      </w:pPr>
      <w:r w:rsidRPr="00C903F8">
        <w:rPr>
          <w:noProof/>
          <w:lang w:val="en-US"/>
        </w:rPr>
        <w:t>b)</w:t>
      </w:r>
      <w:r w:rsidR="00E65F26" w:rsidRPr="00C903F8">
        <w:rPr>
          <w:lang w:val="en-US"/>
        </w:rPr>
        <w:tab/>
      </w:r>
      <w:r w:rsidR="001B5ABA" w:rsidRPr="00C903F8">
        <w:rPr>
          <w:noProof/>
          <w:lang w:val="en-US"/>
        </w:rPr>
        <w:t>t</w:t>
      </w:r>
      <w:r w:rsidR="00E65F26" w:rsidRPr="00C903F8">
        <w:rPr>
          <w:noProof/>
          <w:lang w:val="en-US"/>
        </w:rPr>
        <w:t>owing cables;</w:t>
      </w:r>
    </w:p>
    <w:p w:rsidR="00E65F26" w:rsidRPr="00C903F8" w:rsidRDefault="00E65F26" w:rsidP="009A25DA">
      <w:pPr>
        <w:pStyle w:val="ESletpar"/>
        <w:rPr>
          <w:lang w:val="en-US"/>
        </w:rPr>
      </w:pPr>
      <w:r w:rsidRPr="00C903F8">
        <w:rPr>
          <w:noProof/>
          <w:lang w:val="en-US"/>
        </w:rPr>
        <w:t>Tugs shall be equipped with a number of cables that are suitable for their operation.</w:t>
      </w:r>
    </w:p>
    <w:p w:rsidR="00E65F26" w:rsidRPr="00C903F8" w:rsidRDefault="00E65F26" w:rsidP="009A25DA">
      <w:pPr>
        <w:pStyle w:val="ESletpar"/>
        <w:rPr>
          <w:lang w:val="en-US"/>
        </w:rPr>
      </w:pPr>
      <w:r w:rsidRPr="00C903F8">
        <w:rPr>
          <w:noProof/>
          <w:lang w:val="en-US"/>
        </w:rPr>
        <w:t>However, the main cable shall be at least 100 m long and have a breaking load, in kN, not less than one third of the total power, in kW, of the main engine(s).</w:t>
      </w:r>
    </w:p>
    <w:p w:rsidR="00E65F26" w:rsidRPr="00C903F8" w:rsidRDefault="00E65F26" w:rsidP="009A25DA">
      <w:pPr>
        <w:pStyle w:val="ESletpar"/>
        <w:rPr>
          <w:lang w:val="en-US"/>
        </w:rPr>
      </w:pPr>
      <w:r w:rsidRPr="00C903F8">
        <w:rPr>
          <w:noProof/>
          <w:lang w:val="en-US"/>
        </w:rPr>
        <w:t>Motor vessels and pushers that are also able to tow shall be equipped with a towing cable that is at least 100 m long and whose breaking load, in kN, is not less than one quarter of the total power, in kW, of the main engine(s).</w:t>
      </w:r>
    </w:p>
    <w:p w:rsidR="00E65F26" w:rsidRPr="00C903F8" w:rsidRDefault="005C7859" w:rsidP="009A25DA">
      <w:pPr>
        <w:pStyle w:val="ESlet"/>
        <w:rPr>
          <w:lang w:val="en-US"/>
        </w:rPr>
      </w:pPr>
      <w:r w:rsidRPr="00C903F8">
        <w:rPr>
          <w:noProof/>
          <w:lang w:val="en-US"/>
        </w:rPr>
        <w:t>c)</w:t>
      </w:r>
      <w:r w:rsidR="00E65F26" w:rsidRPr="00C903F8">
        <w:rPr>
          <w:lang w:val="en-US"/>
        </w:rPr>
        <w:tab/>
      </w:r>
      <w:r w:rsidR="001B5ABA" w:rsidRPr="00C903F8">
        <w:rPr>
          <w:noProof/>
          <w:lang w:val="en-US"/>
        </w:rPr>
        <w:t>a</w:t>
      </w:r>
      <w:r w:rsidR="00E65F26" w:rsidRPr="00C903F8">
        <w:rPr>
          <w:noProof/>
          <w:lang w:val="en-US"/>
        </w:rPr>
        <w:t xml:space="preserve"> heaving line;</w:t>
      </w:r>
    </w:p>
    <w:p w:rsidR="00E65F26" w:rsidRPr="00C903F8" w:rsidRDefault="005C7859" w:rsidP="009A25DA">
      <w:pPr>
        <w:pStyle w:val="ESlet"/>
        <w:rPr>
          <w:lang w:val="en-US"/>
        </w:rPr>
      </w:pPr>
      <w:r w:rsidRPr="00C903F8">
        <w:rPr>
          <w:noProof/>
          <w:lang w:val="en-US"/>
        </w:rPr>
        <w:t>d)</w:t>
      </w:r>
      <w:r w:rsidR="00E65F26" w:rsidRPr="00C903F8">
        <w:rPr>
          <w:lang w:val="en-US"/>
        </w:rPr>
        <w:tab/>
      </w:r>
      <w:r w:rsidR="001B5ABA" w:rsidRPr="00C903F8">
        <w:rPr>
          <w:noProof/>
          <w:lang w:val="en-US"/>
        </w:rPr>
        <w:t>a</w:t>
      </w:r>
      <w:r w:rsidR="00E65F26" w:rsidRPr="00C903F8">
        <w:rPr>
          <w:noProof/>
          <w:lang w:val="en-US"/>
        </w:rPr>
        <w:t xml:space="preserve"> boarding gangway at least 0,40 m wide and 4 m long whose side edges are defined by a brightly-coloured strip; that gangway shall be equipped with a handrail. The inspection body may permit shorter gangways for small vessels;</w:t>
      </w:r>
    </w:p>
    <w:p w:rsidR="00E65F26" w:rsidRPr="00C903F8" w:rsidRDefault="0029453D" w:rsidP="009A25DA">
      <w:pPr>
        <w:pStyle w:val="ESlet"/>
        <w:rPr>
          <w:lang w:val="en-US"/>
        </w:rPr>
      </w:pPr>
      <w:r w:rsidRPr="00C903F8">
        <w:rPr>
          <w:noProof/>
          <w:lang w:val="en-US"/>
        </w:rPr>
        <w:t>e)</w:t>
      </w:r>
      <w:r w:rsidR="00E65F26" w:rsidRPr="00C903F8">
        <w:rPr>
          <w:lang w:val="en-US"/>
        </w:rPr>
        <w:tab/>
      </w:r>
      <w:r w:rsidR="001B5ABA" w:rsidRPr="00C903F8">
        <w:rPr>
          <w:noProof/>
          <w:lang w:val="en-US"/>
        </w:rPr>
        <w:t>a</w:t>
      </w:r>
      <w:r w:rsidR="00E65F26" w:rsidRPr="00C903F8">
        <w:rPr>
          <w:noProof/>
          <w:lang w:val="en-US"/>
        </w:rPr>
        <w:t xml:space="preserve"> gaff hook;</w:t>
      </w:r>
    </w:p>
    <w:p w:rsidR="009A25DA" w:rsidRPr="00C903F8" w:rsidRDefault="009A25DA" w:rsidP="009A25DA">
      <w:pPr>
        <w:pStyle w:val="ESlet"/>
        <w:rPr>
          <w:noProof/>
          <w:lang w:val="en-US"/>
        </w:rPr>
      </w:pPr>
    </w:p>
    <w:p w:rsidR="009A25DA" w:rsidRPr="00C903F8" w:rsidRDefault="009A25DA" w:rsidP="009A25DA">
      <w:pPr>
        <w:pStyle w:val="ESlet"/>
        <w:rPr>
          <w:noProof/>
          <w:lang w:val="en-US"/>
        </w:rPr>
      </w:pPr>
      <w:r w:rsidRPr="00C903F8">
        <w:rPr>
          <w:noProof/>
          <w:lang w:val="en-US"/>
        </w:rPr>
        <w:br w:type="page"/>
      </w:r>
    </w:p>
    <w:p w:rsidR="00E65F26" w:rsidRPr="00C903F8" w:rsidRDefault="0029453D" w:rsidP="009A25DA">
      <w:pPr>
        <w:pStyle w:val="ESlet"/>
        <w:rPr>
          <w:lang w:val="en-US"/>
        </w:rPr>
      </w:pPr>
      <w:r w:rsidRPr="00C903F8">
        <w:rPr>
          <w:noProof/>
          <w:lang w:val="en-US"/>
        </w:rPr>
        <w:lastRenderedPageBreak/>
        <w:t>f)</w:t>
      </w:r>
      <w:r w:rsidR="00E65F26" w:rsidRPr="00C903F8">
        <w:rPr>
          <w:lang w:val="en-US"/>
        </w:rPr>
        <w:tab/>
      </w:r>
      <w:r w:rsidR="001B5ABA" w:rsidRPr="00C903F8">
        <w:rPr>
          <w:noProof/>
          <w:lang w:val="en-US"/>
        </w:rPr>
        <w:t>a</w:t>
      </w:r>
      <w:r w:rsidR="00E65F26" w:rsidRPr="00C903F8">
        <w:rPr>
          <w:noProof/>
          <w:lang w:val="en-US"/>
        </w:rPr>
        <w:t xml:space="preserve">n appropriate first-aid kit with a content in accordance with a relevant standard of a Member State. The first-aid kit shall be kept in an accommodation room or in the wheelhouse and be stored in such a way that it is easily and safely accessible if necessary. If first-aid kits are stored under cover, the cover shall be marked by a symbol for first-aid kit according to Figure 8 of Annex </w:t>
      </w:r>
      <w:r w:rsidR="002E6F15" w:rsidRPr="00C903F8">
        <w:rPr>
          <w:noProof/>
          <w:lang w:val="en-US"/>
        </w:rPr>
        <w:t>4</w:t>
      </w:r>
      <w:r w:rsidR="00E65F26" w:rsidRPr="00C903F8">
        <w:rPr>
          <w:noProof/>
          <w:lang w:val="en-US"/>
        </w:rPr>
        <w:t>, having a side length of at least 10 cm;</w:t>
      </w:r>
    </w:p>
    <w:p w:rsidR="00E65F26" w:rsidRPr="00C903F8" w:rsidRDefault="0029453D" w:rsidP="009A25DA">
      <w:pPr>
        <w:pStyle w:val="ESlet"/>
        <w:rPr>
          <w:lang w:val="en-US"/>
        </w:rPr>
      </w:pPr>
      <w:r w:rsidRPr="00C903F8">
        <w:rPr>
          <w:noProof/>
          <w:lang w:val="en-US"/>
        </w:rPr>
        <w:t>g)</w:t>
      </w:r>
      <w:r w:rsidR="00E65F26" w:rsidRPr="00C903F8">
        <w:rPr>
          <w:lang w:val="en-US"/>
        </w:rPr>
        <w:tab/>
      </w:r>
      <w:r w:rsidR="001B5ABA" w:rsidRPr="00C903F8">
        <w:rPr>
          <w:noProof/>
          <w:lang w:val="en-US"/>
        </w:rPr>
        <w:t>a</w:t>
      </w:r>
      <w:r w:rsidR="00E65F26" w:rsidRPr="00C903F8">
        <w:rPr>
          <w:noProof/>
          <w:lang w:val="en-US"/>
        </w:rPr>
        <w:t xml:space="preserve"> pair of binoculars, 7 × 50 or with larger lens diameter;</w:t>
      </w:r>
    </w:p>
    <w:p w:rsidR="00E65F26" w:rsidRPr="00C903F8" w:rsidRDefault="0029453D" w:rsidP="009A25DA">
      <w:pPr>
        <w:pStyle w:val="ESlet"/>
        <w:rPr>
          <w:lang w:val="en-US"/>
        </w:rPr>
      </w:pPr>
      <w:r w:rsidRPr="00C903F8">
        <w:rPr>
          <w:noProof/>
          <w:lang w:val="en-US"/>
        </w:rPr>
        <w:t>h)</w:t>
      </w:r>
      <w:r w:rsidR="00E65F26" w:rsidRPr="00C903F8">
        <w:rPr>
          <w:lang w:val="en-US"/>
        </w:rPr>
        <w:tab/>
      </w:r>
      <w:r w:rsidR="001B5ABA" w:rsidRPr="00C903F8">
        <w:rPr>
          <w:noProof/>
          <w:lang w:val="en-US"/>
        </w:rPr>
        <w:t>a</w:t>
      </w:r>
      <w:r w:rsidR="00E65F26" w:rsidRPr="00C903F8">
        <w:rPr>
          <w:noProof/>
          <w:lang w:val="en-US"/>
        </w:rPr>
        <w:t xml:space="preserve"> notice concerning the rescue and revival of persons overboard;</w:t>
      </w:r>
    </w:p>
    <w:p w:rsidR="00E65F26" w:rsidRPr="00C903F8" w:rsidRDefault="0029453D" w:rsidP="009A25DA">
      <w:pPr>
        <w:pStyle w:val="ESlet"/>
        <w:rPr>
          <w:lang w:val="en-US"/>
        </w:rPr>
      </w:pPr>
      <w:r w:rsidRPr="00C903F8">
        <w:rPr>
          <w:noProof/>
          <w:lang w:val="en-US"/>
        </w:rPr>
        <w:t>i)</w:t>
      </w:r>
      <w:r w:rsidR="00E65F26" w:rsidRPr="00C903F8">
        <w:rPr>
          <w:lang w:val="en-US"/>
        </w:rPr>
        <w:tab/>
      </w:r>
      <w:r w:rsidR="001B5ABA" w:rsidRPr="00C903F8">
        <w:rPr>
          <w:noProof/>
          <w:lang w:val="en-US"/>
        </w:rPr>
        <w:t>a</w:t>
      </w:r>
      <w:r w:rsidR="00E65F26" w:rsidRPr="00C903F8">
        <w:rPr>
          <w:noProof/>
          <w:lang w:val="en-US"/>
        </w:rPr>
        <w:t xml:space="preserve"> searchlight that can be operated from the wheelhouse.</w:t>
      </w:r>
    </w:p>
    <w:p w:rsidR="009A25DA" w:rsidRPr="00C903F8" w:rsidRDefault="009A25DA" w:rsidP="00E65F26">
      <w:pPr>
        <w:pStyle w:val="ESch"/>
        <w:rPr>
          <w:noProof/>
          <w:lang w:val="en-US"/>
        </w:rPr>
      </w:pPr>
    </w:p>
    <w:p w:rsidR="00E65F26" w:rsidRPr="00C903F8" w:rsidRDefault="00E65F26" w:rsidP="00E65F26">
      <w:pPr>
        <w:pStyle w:val="ESch"/>
        <w:rPr>
          <w:lang w:val="en-US"/>
        </w:rPr>
      </w:pPr>
      <w:r w:rsidRPr="00C903F8">
        <w:rPr>
          <w:noProof/>
          <w:lang w:val="en-US"/>
        </w:rPr>
        <w:t>4.</w:t>
      </w:r>
      <w:r w:rsidRPr="00C903F8">
        <w:rPr>
          <w:lang w:val="en-US"/>
        </w:rPr>
        <w:tab/>
      </w:r>
      <w:r w:rsidRPr="00C903F8">
        <w:rPr>
          <w:noProof/>
          <w:lang w:val="en-US"/>
        </w:rPr>
        <w:t>There shall be an embarkation stairway or ladder on vessels whose side height above the unladen waterline exceeds 1,50 m.</w:t>
      </w:r>
    </w:p>
    <w:p w:rsidR="00E65F26" w:rsidRPr="00C903F8" w:rsidRDefault="00E65F26" w:rsidP="00E65F26">
      <w:pPr>
        <w:pStyle w:val="ESch"/>
        <w:rPr>
          <w:lang w:val="en-US"/>
        </w:rPr>
      </w:pPr>
    </w:p>
    <w:p w:rsidR="009A25DA" w:rsidRPr="00C903F8" w:rsidRDefault="009A25DA" w:rsidP="00E65F26">
      <w:pPr>
        <w:pStyle w:val="ESch"/>
        <w:rPr>
          <w:lang w:val="en-US"/>
        </w:rPr>
      </w:pPr>
    </w:p>
    <w:p w:rsidR="00E65F26" w:rsidRPr="00C903F8" w:rsidRDefault="00E65F26" w:rsidP="009A25DA">
      <w:pPr>
        <w:pStyle w:val="ES-Titre3"/>
        <w:rPr>
          <w:i/>
          <w:noProof/>
          <w:lang w:val="en-US"/>
        </w:rPr>
      </w:pPr>
      <w:bookmarkStart w:id="116" w:name="_Toc491854104"/>
      <w:r w:rsidRPr="00C903F8">
        <w:rPr>
          <w:noProof/>
          <w:lang w:val="en-US"/>
        </w:rPr>
        <w:t>Article 13.03</w:t>
      </w:r>
      <w:r w:rsidRPr="00C903F8">
        <w:rPr>
          <w:noProof/>
          <w:lang w:val="en-US"/>
        </w:rPr>
        <w:br/>
      </w:r>
      <w:r w:rsidRPr="00C903F8">
        <w:rPr>
          <w:i/>
          <w:noProof/>
          <w:lang w:val="en-US"/>
        </w:rPr>
        <w:t>Portable fire extinguishers</w:t>
      </w:r>
      <w:bookmarkEnd w:id="116"/>
    </w:p>
    <w:p w:rsidR="009A25DA" w:rsidRPr="00C903F8" w:rsidRDefault="009A25DA" w:rsidP="00E65F26">
      <w:pPr>
        <w:pStyle w:val="ESch"/>
        <w:rPr>
          <w:noProof/>
          <w:lang w:val="en-US"/>
        </w:rPr>
      </w:pPr>
    </w:p>
    <w:p w:rsidR="00E65F26" w:rsidRPr="00C903F8" w:rsidRDefault="00E65F26" w:rsidP="00E65F26">
      <w:pPr>
        <w:pStyle w:val="ESch"/>
        <w:rPr>
          <w:lang w:val="en-US"/>
        </w:rPr>
      </w:pPr>
      <w:r w:rsidRPr="00C903F8">
        <w:rPr>
          <w:noProof/>
          <w:lang w:val="en-US"/>
        </w:rPr>
        <w:t>1.</w:t>
      </w:r>
      <w:r w:rsidRPr="00C903F8">
        <w:rPr>
          <w:noProof/>
          <w:lang w:val="en-US"/>
        </w:rPr>
        <w:tab/>
        <w:t xml:space="preserve">There shall be at least one portable fire extinguisher in accordance with the European </w:t>
      </w:r>
      <w:r w:rsidR="00837508" w:rsidRPr="00C903F8">
        <w:rPr>
          <w:noProof/>
          <w:lang w:val="en-US"/>
        </w:rPr>
        <w:t>S</w:t>
      </w:r>
      <w:r w:rsidRPr="00C903F8">
        <w:rPr>
          <w:noProof/>
          <w:lang w:val="en-US"/>
        </w:rPr>
        <w:t>tandards EN 3</w:t>
      </w:r>
      <w:r w:rsidR="00A2073E" w:rsidRPr="00C903F8">
        <w:rPr>
          <w:noProof/>
          <w:lang w:val="en-US"/>
        </w:rPr>
        <w:t>-</w:t>
      </w:r>
      <w:r w:rsidRPr="00C903F8">
        <w:rPr>
          <w:noProof/>
          <w:lang w:val="en-US"/>
        </w:rPr>
        <w:t>7 : 2007 and EN 3-8 : 2007 at each of the following places:</w:t>
      </w:r>
    </w:p>
    <w:p w:rsidR="00E65F26" w:rsidRPr="00C903F8" w:rsidRDefault="005C7859" w:rsidP="009A25DA">
      <w:pPr>
        <w:pStyle w:val="ESlet"/>
        <w:rPr>
          <w:lang w:val="en-US"/>
        </w:rPr>
      </w:pPr>
      <w:r w:rsidRPr="00C903F8">
        <w:rPr>
          <w:noProof/>
          <w:lang w:val="en-US"/>
        </w:rPr>
        <w:t>a)</w:t>
      </w:r>
      <w:r w:rsidR="00E65F26" w:rsidRPr="00C903F8">
        <w:rPr>
          <w:lang w:val="en-US"/>
        </w:rPr>
        <w:tab/>
      </w:r>
      <w:r w:rsidR="00E65F26" w:rsidRPr="00C903F8">
        <w:rPr>
          <w:noProof/>
          <w:lang w:val="en-US"/>
        </w:rPr>
        <w:t>in the wheelhouse;</w:t>
      </w:r>
    </w:p>
    <w:p w:rsidR="00E65F26" w:rsidRPr="00C903F8" w:rsidRDefault="005C7859" w:rsidP="009A25DA">
      <w:pPr>
        <w:pStyle w:val="ESlet"/>
        <w:rPr>
          <w:lang w:val="en-US"/>
        </w:rPr>
      </w:pPr>
      <w:r w:rsidRPr="00C903F8">
        <w:rPr>
          <w:noProof/>
          <w:lang w:val="en-US"/>
        </w:rPr>
        <w:t>b)</w:t>
      </w:r>
      <w:r w:rsidR="00E65F26" w:rsidRPr="00C903F8">
        <w:rPr>
          <w:lang w:val="en-US"/>
        </w:rPr>
        <w:tab/>
      </w:r>
      <w:r w:rsidR="00E65F26" w:rsidRPr="00C903F8">
        <w:rPr>
          <w:noProof/>
          <w:lang w:val="en-US"/>
        </w:rPr>
        <w:t>close to each entrance from the deck to accommodation spaces;</w:t>
      </w:r>
    </w:p>
    <w:p w:rsidR="00E65F26" w:rsidRPr="00C903F8" w:rsidRDefault="005C7859" w:rsidP="009A25DA">
      <w:pPr>
        <w:pStyle w:val="ESlet"/>
        <w:rPr>
          <w:lang w:val="en-US"/>
        </w:rPr>
      </w:pPr>
      <w:r w:rsidRPr="00C903F8">
        <w:rPr>
          <w:noProof/>
          <w:lang w:val="en-US"/>
        </w:rPr>
        <w:t>c)</w:t>
      </w:r>
      <w:r w:rsidR="00E65F26" w:rsidRPr="00C903F8">
        <w:rPr>
          <w:lang w:val="en-US"/>
        </w:rPr>
        <w:tab/>
      </w:r>
      <w:r w:rsidR="00E65F26" w:rsidRPr="00C903F8">
        <w:rPr>
          <w:noProof/>
          <w:lang w:val="en-US"/>
        </w:rPr>
        <w:t>close to each entrance to service spaces which are not accessible from the accommodation spaces and which contain heating, cooking or refrigeration equipment using solid or liquid fuels or liquefied gas;</w:t>
      </w:r>
    </w:p>
    <w:p w:rsidR="00E65F26" w:rsidRPr="00C903F8" w:rsidRDefault="005C7859" w:rsidP="009A25DA">
      <w:pPr>
        <w:pStyle w:val="ESlet"/>
        <w:rPr>
          <w:lang w:val="en-US"/>
        </w:rPr>
      </w:pPr>
      <w:r w:rsidRPr="00C903F8">
        <w:rPr>
          <w:noProof/>
          <w:lang w:val="en-US"/>
        </w:rPr>
        <w:t>d)</w:t>
      </w:r>
      <w:r w:rsidR="00E65F26" w:rsidRPr="00C903F8">
        <w:rPr>
          <w:lang w:val="en-US"/>
        </w:rPr>
        <w:tab/>
      </w:r>
      <w:r w:rsidR="00E65F26" w:rsidRPr="00C903F8">
        <w:rPr>
          <w:noProof/>
          <w:lang w:val="en-US"/>
        </w:rPr>
        <w:t>at each entrance to engine rooms and boiler rooms;</w:t>
      </w:r>
    </w:p>
    <w:p w:rsidR="00E65F26" w:rsidRPr="00C903F8" w:rsidRDefault="0029453D" w:rsidP="009A25DA">
      <w:pPr>
        <w:pStyle w:val="ESlet"/>
        <w:rPr>
          <w:lang w:val="en-US"/>
        </w:rPr>
      </w:pPr>
      <w:r w:rsidRPr="00C903F8">
        <w:rPr>
          <w:noProof/>
          <w:lang w:val="en-US"/>
        </w:rPr>
        <w:t>e)</w:t>
      </w:r>
      <w:r w:rsidR="00E65F26" w:rsidRPr="00C903F8">
        <w:rPr>
          <w:lang w:val="en-US"/>
        </w:rPr>
        <w:tab/>
      </w:r>
      <w:r w:rsidR="00E65F26" w:rsidRPr="00C903F8">
        <w:rPr>
          <w:noProof/>
          <w:lang w:val="en-US"/>
        </w:rPr>
        <w:t>at suitable points below deck in engine rooms and boiler rooms such that no position in the space is more than 10 metres walking distance away from an extinguisher.</w:t>
      </w:r>
    </w:p>
    <w:p w:rsidR="009A25DA" w:rsidRPr="00C903F8" w:rsidRDefault="009A25DA" w:rsidP="00E65F26">
      <w:pPr>
        <w:pStyle w:val="ESch"/>
        <w:rPr>
          <w:lang w:val="en-US"/>
        </w:rPr>
      </w:pPr>
    </w:p>
    <w:p w:rsidR="00E65F26" w:rsidRPr="00C903F8" w:rsidRDefault="00E65F26" w:rsidP="00E65F26">
      <w:pPr>
        <w:pStyle w:val="ESch"/>
        <w:rPr>
          <w:lang w:val="en-US"/>
        </w:rPr>
      </w:pPr>
      <w:r w:rsidRPr="00C903F8">
        <w:rPr>
          <w:lang w:val="en-US"/>
        </w:rPr>
        <w:t>2.</w:t>
      </w:r>
      <w:r w:rsidRPr="00C903F8">
        <w:rPr>
          <w:lang w:val="en-US"/>
        </w:rPr>
        <w:tab/>
        <w:t xml:space="preserve">For the portable fire extinguishers required by </w:t>
      </w:r>
      <w:r w:rsidR="00FD1E75" w:rsidRPr="00C903F8">
        <w:rPr>
          <w:lang w:val="en-US"/>
        </w:rPr>
        <w:t>(</w:t>
      </w:r>
      <w:r w:rsidRPr="00C903F8">
        <w:rPr>
          <w:lang w:val="en-US"/>
        </w:rPr>
        <w:t>1</w:t>
      </w:r>
      <w:r w:rsidR="00FD1E75" w:rsidRPr="00C903F8">
        <w:rPr>
          <w:lang w:val="en-US"/>
        </w:rPr>
        <w:t>)</w:t>
      </w:r>
      <w:r w:rsidRPr="00C903F8">
        <w:rPr>
          <w:lang w:val="en-US"/>
        </w:rPr>
        <w:t>, only powder type extinguishers with a content of at least 6 kg or other portable extinguishers with the same extinguishing capacity may be used. They shall be suitable for Class A, B</w:t>
      </w:r>
      <w:r w:rsidR="00A2073E" w:rsidRPr="00C903F8">
        <w:rPr>
          <w:lang w:val="en-US"/>
        </w:rPr>
        <w:t xml:space="preserve"> and</w:t>
      </w:r>
      <w:r w:rsidRPr="00C903F8">
        <w:rPr>
          <w:lang w:val="en-US"/>
        </w:rPr>
        <w:t xml:space="preserve"> C fires.</w:t>
      </w:r>
    </w:p>
    <w:p w:rsidR="009A25DA" w:rsidRPr="00C903F8" w:rsidRDefault="009A25DA" w:rsidP="00E65F26">
      <w:pPr>
        <w:pStyle w:val="ESch"/>
        <w:rPr>
          <w:noProof/>
          <w:lang w:val="en-US"/>
        </w:rPr>
      </w:pPr>
    </w:p>
    <w:p w:rsidR="00E65F26" w:rsidRPr="00C903F8" w:rsidRDefault="00E65F26" w:rsidP="009A25DA">
      <w:pPr>
        <w:pStyle w:val="ESchpar"/>
        <w:rPr>
          <w:lang w:val="en-US"/>
        </w:rPr>
      </w:pPr>
      <w:r w:rsidRPr="00C903F8">
        <w:rPr>
          <w:noProof/>
          <w:lang w:val="en-US"/>
        </w:rPr>
        <w:t>By way of derogation on vessels with no liquefied gas installations, spray foam fire extinguishers using aqueous film-forming foam (AFFF-AR)</w:t>
      </w:r>
      <w:r w:rsidR="00312E1A" w:rsidRPr="00C903F8">
        <w:rPr>
          <w:noProof/>
          <w:lang w:val="en-US"/>
        </w:rPr>
        <w:t xml:space="preserve"> </w:t>
      </w:r>
      <w:r w:rsidRPr="00C903F8">
        <w:rPr>
          <w:noProof/>
          <w:lang w:val="en-US"/>
        </w:rPr>
        <w:t>frost proof to -20</w:t>
      </w:r>
      <w:r w:rsidR="009A25DA" w:rsidRPr="00C903F8">
        <w:rPr>
          <w:noProof/>
          <w:lang w:val="en-US"/>
        </w:rPr>
        <w:t> </w:t>
      </w:r>
      <w:r w:rsidRPr="00C903F8">
        <w:rPr>
          <w:noProof/>
          <w:lang w:val="en-US"/>
        </w:rPr>
        <w:t>°C are permissible even if they are unsuitable for Class C fires. These fire extinguishers shall have a minimum capacity of 9 litres.</w:t>
      </w:r>
    </w:p>
    <w:p w:rsidR="009A25DA" w:rsidRPr="00C903F8" w:rsidRDefault="009A25DA" w:rsidP="00E65F26">
      <w:pPr>
        <w:pStyle w:val="ESch"/>
        <w:rPr>
          <w:noProof/>
          <w:lang w:val="en-US"/>
        </w:rPr>
      </w:pPr>
    </w:p>
    <w:p w:rsidR="00E65F26" w:rsidRPr="00C903F8" w:rsidRDefault="00E65F26" w:rsidP="009A25DA">
      <w:pPr>
        <w:pStyle w:val="ESchpar"/>
        <w:rPr>
          <w:lang w:val="en-US"/>
        </w:rPr>
      </w:pPr>
      <w:r w:rsidRPr="00C903F8">
        <w:rPr>
          <w:noProof/>
          <w:lang w:val="en-US"/>
        </w:rPr>
        <w:t>All extinguishers shall be suitable to extinguish fires in electrical systems of up to 1000</w:t>
      </w:r>
      <w:r w:rsidR="00312E1A" w:rsidRPr="00C903F8">
        <w:rPr>
          <w:noProof/>
          <w:lang w:val="en-US"/>
        </w:rPr>
        <w:t> </w:t>
      </w:r>
      <w:r w:rsidRPr="00C903F8">
        <w:rPr>
          <w:noProof/>
          <w:lang w:val="en-US"/>
        </w:rPr>
        <w:t>V.</w:t>
      </w:r>
    </w:p>
    <w:p w:rsidR="009A25DA" w:rsidRPr="00C903F8" w:rsidRDefault="009A25DA" w:rsidP="00E65F26">
      <w:pPr>
        <w:pStyle w:val="ESch"/>
        <w:rPr>
          <w:noProof/>
          <w:lang w:val="en-US"/>
        </w:rPr>
      </w:pPr>
    </w:p>
    <w:p w:rsidR="00E65F26" w:rsidRPr="00C903F8" w:rsidRDefault="00E65F26" w:rsidP="00E65F26">
      <w:pPr>
        <w:pStyle w:val="ESch"/>
        <w:rPr>
          <w:lang w:val="en-US"/>
        </w:rPr>
      </w:pPr>
      <w:r w:rsidRPr="00C903F8">
        <w:rPr>
          <w:noProof/>
          <w:lang w:val="en-US"/>
        </w:rPr>
        <w:t>3.</w:t>
      </w:r>
      <w:r w:rsidRPr="00C903F8">
        <w:rPr>
          <w:lang w:val="en-US"/>
        </w:rPr>
        <w:tab/>
      </w:r>
      <w:r w:rsidRPr="00C903F8">
        <w:rPr>
          <w:noProof/>
          <w:lang w:val="en-US"/>
        </w:rPr>
        <w:t>In addition powder, water or foam fire extinguishers may be used which are suitable at least for the class of fire most likely to occur in the room for which they are intended</w:t>
      </w:r>
      <w:r w:rsidR="00EC2B81" w:rsidRPr="00C903F8">
        <w:rPr>
          <w:noProof/>
          <w:lang w:val="en-US"/>
        </w:rPr>
        <w:t>.</w:t>
      </w:r>
    </w:p>
    <w:p w:rsidR="009A25DA" w:rsidRPr="00C903F8" w:rsidRDefault="009A25DA" w:rsidP="00E65F26">
      <w:pPr>
        <w:pStyle w:val="ESch"/>
        <w:rPr>
          <w:noProof/>
          <w:lang w:val="en-US"/>
        </w:rPr>
      </w:pPr>
    </w:p>
    <w:p w:rsidR="00E65F26" w:rsidRPr="00C903F8" w:rsidRDefault="00E65F26" w:rsidP="00E65F26">
      <w:pPr>
        <w:pStyle w:val="ESch"/>
        <w:rPr>
          <w:lang w:val="en-US"/>
        </w:rPr>
      </w:pPr>
      <w:r w:rsidRPr="00C903F8">
        <w:rPr>
          <w:noProof/>
          <w:lang w:val="en-US"/>
        </w:rPr>
        <w:t>4.</w:t>
      </w:r>
      <w:r w:rsidRPr="00C903F8">
        <w:rPr>
          <w:lang w:val="en-US"/>
        </w:rPr>
        <w:tab/>
      </w:r>
      <w:r w:rsidRPr="00C903F8">
        <w:rPr>
          <w:noProof/>
          <w:lang w:val="en-US"/>
        </w:rPr>
        <w:t>Portable fire extinguishers with CO</w:t>
      </w:r>
      <w:r w:rsidRPr="00C903F8">
        <w:rPr>
          <w:noProof/>
          <w:vertAlign w:val="subscript"/>
          <w:lang w:val="en-US"/>
        </w:rPr>
        <w:t>2</w:t>
      </w:r>
      <w:r w:rsidRPr="00C903F8">
        <w:rPr>
          <w:noProof/>
          <w:lang w:val="en-US"/>
        </w:rPr>
        <w:t xml:space="preserve"> as the extinguishing agent may be used only for extinguishing fires in galleys and electrical installations. The content of these fire extinguishers shall be no more than 1 kg per 15 m</w:t>
      </w:r>
      <w:r w:rsidRPr="00C903F8">
        <w:rPr>
          <w:noProof/>
          <w:vertAlign w:val="superscript"/>
          <w:lang w:val="en-US"/>
        </w:rPr>
        <w:t>3</w:t>
      </w:r>
      <w:r w:rsidRPr="00C903F8">
        <w:rPr>
          <w:noProof/>
          <w:lang w:val="en-US"/>
        </w:rPr>
        <w:t xml:space="preserve"> of the room in which they are made available for use.</w:t>
      </w:r>
    </w:p>
    <w:p w:rsidR="009A25DA" w:rsidRPr="00C903F8" w:rsidRDefault="009A25DA" w:rsidP="00E65F26">
      <w:pPr>
        <w:pStyle w:val="ESch"/>
        <w:rPr>
          <w:noProof/>
          <w:lang w:val="en-US"/>
        </w:rPr>
      </w:pPr>
    </w:p>
    <w:p w:rsidR="009A25DA" w:rsidRPr="00C903F8" w:rsidRDefault="009A25DA" w:rsidP="00E65F26">
      <w:pPr>
        <w:pStyle w:val="ESch"/>
        <w:rPr>
          <w:noProof/>
          <w:lang w:val="en-US"/>
        </w:rPr>
      </w:pPr>
      <w:r w:rsidRPr="00C903F8">
        <w:rPr>
          <w:noProof/>
          <w:lang w:val="en-US"/>
        </w:rPr>
        <w:br w:type="page"/>
      </w:r>
    </w:p>
    <w:p w:rsidR="00E65F26" w:rsidRPr="00C903F8" w:rsidRDefault="00E65F26" w:rsidP="00E65F26">
      <w:pPr>
        <w:pStyle w:val="ESch"/>
        <w:rPr>
          <w:lang w:val="en-US"/>
        </w:rPr>
      </w:pPr>
      <w:r w:rsidRPr="00C903F8">
        <w:rPr>
          <w:noProof/>
          <w:lang w:val="en-US"/>
        </w:rPr>
        <w:lastRenderedPageBreak/>
        <w:t>5.</w:t>
      </w:r>
      <w:r w:rsidRPr="00C903F8">
        <w:rPr>
          <w:lang w:val="en-US"/>
        </w:rPr>
        <w:tab/>
      </w:r>
      <w:r w:rsidRPr="00C903F8">
        <w:rPr>
          <w:noProof/>
          <w:lang w:val="en-US"/>
        </w:rPr>
        <w:t>Portable fire extinguishers shall be checked at least every two years by a competent person. An inspection label shall be affixed to the fire extinguisher, signed by the competent person and showing the date of the inspection.</w:t>
      </w:r>
    </w:p>
    <w:p w:rsidR="009A25DA" w:rsidRPr="00C903F8" w:rsidRDefault="009A25DA" w:rsidP="00E65F26">
      <w:pPr>
        <w:pStyle w:val="ESch"/>
        <w:rPr>
          <w:noProof/>
          <w:lang w:val="en-US"/>
        </w:rPr>
      </w:pPr>
    </w:p>
    <w:p w:rsidR="00E65F26" w:rsidRPr="00C903F8" w:rsidRDefault="00E65F26" w:rsidP="00E65F26">
      <w:pPr>
        <w:pStyle w:val="ESch"/>
        <w:rPr>
          <w:lang w:val="en-US"/>
        </w:rPr>
      </w:pPr>
      <w:r w:rsidRPr="00C903F8">
        <w:rPr>
          <w:noProof/>
          <w:lang w:val="en-US"/>
        </w:rPr>
        <w:t>6.</w:t>
      </w:r>
      <w:r w:rsidRPr="00C903F8">
        <w:rPr>
          <w:lang w:val="en-US"/>
        </w:rPr>
        <w:tab/>
      </w:r>
      <w:r w:rsidRPr="00C903F8">
        <w:rPr>
          <w:noProof/>
          <w:lang w:val="en-US"/>
        </w:rPr>
        <w:t>If portable fire extinguishers are installed in such a way that they are out of sight</w:t>
      </w:r>
      <w:r w:rsidR="00A2073E" w:rsidRPr="00C903F8">
        <w:rPr>
          <w:noProof/>
          <w:lang w:val="en-US"/>
        </w:rPr>
        <w:t>,</w:t>
      </w:r>
      <w:r w:rsidRPr="00C903F8">
        <w:rPr>
          <w:noProof/>
          <w:lang w:val="en-US"/>
        </w:rPr>
        <w:t xml:space="preserve"> the panel covering them shall be identified by a symbol for fire extinguishers as shown in Figure 3 of Annex </w:t>
      </w:r>
      <w:r w:rsidR="002E6F15" w:rsidRPr="00C903F8">
        <w:rPr>
          <w:noProof/>
          <w:lang w:val="en-US"/>
        </w:rPr>
        <w:t>4</w:t>
      </w:r>
      <w:r w:rsidRPr="00C903F8">
        <w:rPr>
          <w:noProof/>
          <w:lang w:val="en-US"/>
        </w:rPr>
        <w:t>, and having a side length of at least 10 cm.</w:t>
      </w:r>
    </w:p>
    <w:p w:rsidR="00E65F26" w:rsidRPr="00C903F8" w:rsidRDefault="00E65F26" w:rsidP="00E65F26">
      <w:pPr>
        <w:pStyle w:val="ESch"/>
        <w:rPr>
          <w:lang w:val="en-US"/>
        </w:rPr>
      </w:pPr>
    </w:p>
    <w:p w:rsidR="00824063" w:rsidRPr="00C903F8" w:rsidRDefault="00824063" w:rsidP="00E65F26">
      <w:pPr>
        <w:pStyle w:val="ESch"/>
        <w:rPr>
          <w:lang w:val="en-US"/>
        </w:rPr>
      </w:pPr>
    </w:p>
    <w:p w:rsidR="00E65F26" w:rsidRPr="00C903F8" w:rsidRDefault="00E65F26" w:rsidP="009A25DA">
      <w:pPr>
        <w:pStyle w:val="ES-Titre3"/>
        <w:rPr>
          <w:i/>
          <w:lang w:val="en-US"/>
        </w:rPr>
      </w:pPr>
      <w:bookmarkStart w:id="117" w:name="_Toc491854105"/>
      <w:r w:rsidRPr="00C903F8">
        <w:rPr>
          <w:noProof/>
          <w:lang w:val="en-US"/>
        </w:rPr>
        <w:t>Article 13.04</w:t>
      </w:r>
      <w:r w:rsidRPr="00C903F8">
        <w:rPr>
          <w:noProof/>
          <w:lang w:val="en-US"/>
        </w:rPr>
        <w:br/>
      </w:r>
      <w:r w:rsidRPr="00C903F8">
        <w:rPr>
          <w:i/>
          <w:noProof/>
          <w:lang w:val="en-US"/>
        </w:rPr>
        <w:t>Permanently installed firefighting systems for protecting accommodation</w:t>
      </w:r>
      <w:r w:rsidRPr="00C903F8">
        <w:rPr>
          <w:bCs/>
          <w:i/>
          <w:noProof/>
          <w:lang w:val="en-US"/>
        </w:rPr>
        <w:br/>
      </w:r>
      <w:r w:rsidRPr="00C903F8">
        <w:rPr>
          <w:i/>
          <w:noProof/>
          <w:lang w:val="en-US"/>
        </w:rPr>
        <w:t xml:space="preserve">spaces, wheelhouses and passenger </w:t>
      </w:r>
      <w:r w:rsidR="002723EF" w:rsidRPr="00C903F8">
        <w:rPr>
          <w:i/>
          <w:noProof/>
          <w:lang w:val="en-US"/>
        </w:rPr>
        <w:t>rooms</w:t>
      </w:r>
      <w:bookmarkEnd w:id="117"/>
    </w:p>
    <w:p w:rsidR="009A25DA" w:rsidRPr="00C903F8" w:rsidRDefault="009A25DA" w:rsidP="00E65F26">
      <w:pPr>
        <w:pStyle w:val="ESch"/>
        <w:rPr>
          <w:noProof/>
          <w:lang w:val="en-US"/>
        </w:rPr>
      </w:pPr>
    </w:p>
    <w:p w:rsidR="00E65F26" w:rsidRPr="00C903F8" w:rsidRDefault="00E65F26" w:rsidP="00E65F26">
      <w:pPr>
        <w:pStyle w:val="ESch"/>
        <w:rPr>
          <w:lang w:val="en-US"/>
        </w:rPr>
      </w:pPr>
      <w:r w:rsidRPr="00C903F8">
        <w:rPr>
          <w:noProof/>
          <w:lang w:val="en-US"/>
        </w:rPr>
        <w:t>1.</w:t>
      </w:r>
      <w:r w:rsidRPr="00C903F8">
        <w:rPr>
          <w:lang w:val="en-US"/>
        </w:rPr>
        <w:tab/>
      </w:r>
      <w:r w:rsidRPr="00C903F8">
        <w:rPr>
          <w:noProof/>
          <w:lang w:val="en-US"/>
        </w:rPr>
        <w:t xml:space="preserve">For protecting accommodation spaces, wheelhouses and passenger </w:t>
      </w:r>
      <w:r w:rsidR="002723EF" w:rsidRPr="00C903F8">
        <w:rPr>
          <w:noProof/>
          <w:lang w:val="en-US"/>
        </w:rPr>
        <w:t>rooms</w:t>
      </w:r>
      <w:r w:rsidRPr="00C903F8">
        <w:rPr>
          <w:noProof/>
          <w:lang w:val="en-US"/>
        </w:rPr>
        <w:t>, only suitable automatic pressurised water sprinklers are admitted as permanently installed fire-fighting systems</w:t>
      </w:r>
      <w:r w:rsidR="00A2073E" w:rsidRPr="00C903F8">
        <w:rPr>
          <w:noProof/>
          <w:lang w:val="en-US"/>
        </w:rPr>
        <w:t>.</w:t>
      </w:r>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2.</w:t>
      </w:r>
      <w:r w:rsidRPr="00C903F8">
        <w:rPr>
          <w:lang w:val="en-US"/>
        </w:rPr>
        <w:tab/>
      </w:r>
      <w:r w:rsidRPr="00C903F8">
        <w:rPr>
          <w:noProof/>
          <w:lang w:val="en-US"/>
        </w:rPr>
        <w:t>Installation or conversion of the systems shall be carried out only by specialised firms</w:t>
      </w:r>
      <w:r w:rsidR="00A2073E" w:rsidRPr="00C903F8">
        <w:rPr>
          <w:noProof/>
          <w:lang w:val="en-US"/>
        </w:rPr>
        <w:t>.</w:t>
      </w:r>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3.</w:t>
      </w:r>
      <w:r w:rsidRPr="00C903F8">
        <w:rPr>
          <w:lang w:val="en-US"/>
        </w:rPr>
        <w:tab/>
      </w:r>
      <w:r w:rsidRPr="00C903F8">
        <w:rPr>
          <w:noProof/>
          <w:lang w:val="en-US"/>
        </w:rPr>
        <w:t>The systems shall be made of steel or equivalent non-combustible materials.</w:t>
      </w:r>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4.</w:t>
      </w:r>
      <w:r w:rsidRPr="00C903F8">
        <w:rPr>
          <w:lang w:val="en-US"/>
        </w:rPr>
        <w:tab/>
      </w:r>
      <w:r w:rsidRPr="00C903F8">
        <w:rPr>
          <w:noProof/>
          <w:lang w:val="en-US"/>
        </w:rPr>
        <w:t>The systems shall be able to spray water at a rate of at least 5 l/m</w:t>
      </w:r>
      <w:r w:rsidRPr="00C903F8">
        <w:rPr>
          <w:noProof/>
          <w:vertAlign w:val="superscript"/>
          <w:lang w:val="en-US"/>
        </w:rPr>
        <w:t>2</w:t>
      </w:r>
      <w:r w:rsidRPr="00C903F8">
        <w:rPr>
          <w:noProof/>
          <w:lang w:val="en-US"/>
        </w:rPr>
        <w:t xml:space="preserve"> per minute over the area of the largest room to be protected.</w:t>
      </w:r>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5.</w:t>
      </w:r>
      <w:r w:rsidRPr="00C903F8">
        <w:rPr>
          <w:lang w:val="en-US"/>
        </w:rPr>
        <w:tab/>
      </w:r>
      <w:r w:rsidRPr="00C903F8">
        <w:rPr>
          <w:noProof/>
          <w:lang w:val="en-US"/>
        </w:rPr>
        <w:t>Systems spraying smaller quantities of water shall have a type-approval pursuant to IMO Resolution A</w:t>
      </w:r>
      <w:r w:rsidR="00A2073E" w:rsidRPr="00C903F8">
        <w:rPr>
          <w:noProof/>
          <w:lang w:val="en-US"/>
        </w:rPr>
        <w:t>.</w:t>
      </w:r>
      <w:r w:rsidRPr="00C903F8">
        <w:rPr>
          <w:noProof/>
          <w:lang w:val="en-US"/>
        </w:rPr>
        <w:t>800</w:t>
      </w:r>
      <w:r w:rsidR="004A35FF" w:rsidRPr="00C903F8">
        <w:rPr>
          <w:noProof/>
          <w:lang w:val="en-US"/>
        </w:rPr>
        <w:t xml:space="preserve"> </w:t>
      </w:r>
      <w:r w:rsidRPr="00C903F8">
        <w:rPr>
          <w:noProof/>
          <w:lang w:val="en-US"/>
        </w:rPr>
        <w:t>(19)</w:t>
      </w:r>
      <w:r w:rsidR="000E1F46">
        <w:rPr>
          <w:rStyle w:val="FootnoteReference"/>
          <w:noProof/>
          <w:lang w:val="en-US"/>
        </w:rPr>
        <w:footnoteReference w:id="9"/>
      </w:r>
      <w:r w:rsidRPr="00C903F8">
        <w:rPr>
          <w:noProof/>
          <w:lang w:val="en-US"/>
        </w:rPr>
        <w:t xml:space="preserve"> or another </w:t>
      </w:r>
      <w:r w:rsidR="00CB331B" w:rsidRPr="00C903F8">
        <w:rPr>
          <w:noProof/>
          <w:lang w:val="en-US"/>
        </w:rPr>
        <w:t>S</w:t>
      </w:r>
      <w:r w:rsidRPr="00C903F8">
        <w:rPr>
          <w:noProof/>
          <w:lang w:val="en-US"/>
        </w:rPr>
        <w:t>tandard</w:t>
      </w:r>
      <w:r w:rsidR="004A35FF" w:rsidRPr="00C903F8">
        <w:rPr>
          <w:noProof/>
          <w:lang w:val="en-US"/>
        </w:rPr>
        <w:t xml:space="preserve"> recognised by one of the Member States</w:t>
      </w:r>
      <w:r w:rsidRPr="00C903F8">
        <w:rPr>
          <w:noProof/>
          <w:lang w:val="en-US"/>
        </w:rPr>
        <w:t xml:space="preserve">. Type-approval shall be carried out by a </w:t>
      </w:r>
      <w:r w:rsidR="004E1AD0" w:rsidRPr="00C903F8">
        <w:rPr>
          <w:rFonts w:cs="Arial"/>
          <w:szCs w:val="20"/>
          <w:lang w:val="en-US"/>
        </w:rPr>
        <w:t>recognised</w:t>
      </w:r>
      <w:r w:rsidRPr="00C903F8">
        <w:rPr>
          <w:noProof/>
          <w:lang w:val="en-US"/>
        </w:rPr>
        <w:t xml:space="preserve"> classification society or an accredited testing institution. </w:t>
      </w:r>
      <w:r w:rsidR="0088585A" w:rsidRPr="00E552F1">
        <w:rPr>
          <w:rFonts w:ascii="ArialMT" w:hAnsi="ArialMT" w:cs="ArialMT"/>
          <w:szCs w:val="20"/>
          <w:lang w:val="en-US" w:eastAsia="de-DE"/>
        </w:rPr>
        <w:t>The accredited testing institution shall comply with the European Standard EN</w:t>
      </w:r>
      <w:r w:rsidR="0088585A">
        <w:rPr>
          <w:rFonts w:ascii="ArialMT" w:hAnsi="ArialMT" w:cs="ArialMT"/>
          <w:szCs w:val="20"/>
          <w:lang w:val="en-US" w:eastAsia="de-DE"/>
        </w:rPr>
        <w:t> </w:t>
      </w:r>
      <w:r w:rsidR="0088585A" w:rsidRPr="00E552F1">
        <w:rPr>
          <w:rFonts w:ascii="ArialMT" w:hAnsi="ArialMT" w:cs="ArialMT"/>
          <w:szCs w:val="20"/>
          <w:lang w:val="en-US" w:eastAsia="de-DE"/>
        </w:rPr>
        <w:t>ISO/IEC</w:t>
      </w:r>
      <w:r w:rsidR="0088585A">
        <w:rPr>
          <w:rFonts w:ascii="ArialMT" w:hAnsi="ArialMT" w:cs="ArialMT"/>
          <w:szCs w:val="20"/>
          <w:lang w:val="en-US" w:eastAsia="de-DE"/>
        </w:rPr>
        <w:t> </w:t>
      </w:r>
      <w:r w:rsidR="0088585A" w:rsidRPr="00E552F1">
        <w:rPr>
          <w:rFonts w:ascii="ArialMT" w:hAnsi="ArialMT" w:cs="ArialMT"/>
          <w:szCs w:val="20"/>
          <w:lang w:val="en-US" w:eastAsia="de-DE"/>
        </w:rPr>
        <w:t>17025:</w:t>
      </w:r>
      <w:r w:rsidR="0088585A">
        <w:rPr>
          <w:rFonts w:ascii="ArialMT" w:hAnsi="ArialMT" w:cs="ArialMT"/>
          <w:szCs w:val="20"/>
          <w:lang w:val="en-US" w:eastAsia="de-DE"/>
        </w:rPr>
        <w:t> </w:t>
      </w:r>
      <w:r w:rsidR="0088585A" w:rsidRPr="00E552F1">
        <w:rPr>
          <w:rFonts w:ascii="ArialMT" w:hAnsi="ArialMT" w:cs="ArialMT"/>
          <w:szCs w:val="20"/>
          <w:lang w:val="en-US" w:eastAsia="de-DE"/>
        </w:rPr>
        <w:t>2005</w:t>
      </w:r>
      <w:r w:rsidR="0088585A">
        <w:rPr>
          <w:rFonts w:ascii="ArialMT" w:hAnsi="ArialMT" w:cs="ArialMT"/>
          <w:szCs w:val="20"/>
          <w:lang w:val="en-US" w:eastAsia="de-DE"/>
        </w:rPr>
        <w:t>.</w:t>
      </w:r>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6.</w:t>
      </w:r>
      <w:r w:rsidRPr="00C903F8">
        <w:rPr>
          <w:lang w:val="en-US"/>
        </w:rPr>
        <w:tab/>
      </w:r>
      <w:r w:rsidRPr="00C903F8">
        <w:rPr>
          <w:noProof/>
          <w:lang w:val="en-US"/>
        </w:rPr>
        <w:t>The systems shall be checked by an expert:</w:t>
      </w:r>
    </w:p>
    <w:p w:rsidR="00E65F26" w:rsidRPr="00C903F8" w:rsidRDefault="005C7859" w:rsidP="00824063">
      <w:pPr>
        <w:pStyle w:val="ESlet"/>
        <w:rPr>
          <w:lang w:val="en-US"/>
        </w:rPr>
      </w:pPr>
      <w:r w:rsidRPr="00C903F8">
        <w:rPr>
          <w:noProof/>
          <w:lang w:val="en-US"/>
        </w:rPr>
        <w:t>a)</w:t>
      </w:r>
      <w:r w:rsidR="00E65F26" w:rsidRPr="00C903F8">
        <w:rPr>
          <w:lang w:val="en-US"/>
        </w:rPr>
        <w:tab/>
      </w:r>
      <w:r w:rsidR="00E65F26" w:rsidRPr="00C903F8">
        <w:rPr>
          <w:noProof/>
          <w:lang w:val="en-US"/>
        </w:rPr>
        <w:t>before being put into service for the first time</w:t>
      </w:r>
      <w:r w:rsidR="00EC2B81" w:rsidRPr="00C903F8">
        <w:rPr>
          <w:noProof/>
          <w:lang w:val="en-US"/>
        </w:rPr>
        <w:t>;</w:t>
      </w:r>
    </w:p>
    <w:p w:rsidR="00E65F26" w:rsidRPr="00C903F8" w:rsidRDefault="005C7859" w:rsidP="00824063">
      <w:pPr>
        <w:pStyle w:val="ESlet"/>
        <w:rPr>
          <w:lang w:val="en-US"/>
        </w:rPr>
      </w:pPr>
      <w:r w:rsidRPr="00C903F8">
        <w:rPr>
          <w:noProof/>
          <w:lang w:val="en-US"/>
        </w:rPr>
        <w:t>b)</w:t>
      </w:r>
      <w:r w:rsidR="00E65F26" w:rsidRPr="00C903F8">
        <w:rPr>
          <w:lang w:val="en-US"/>
        </w:rPr>
        <w:tab/>
      </w:r>
      <w:r w:rsidR="00E65F26" w:rsidRPr="00C903F8">
        <w:rPr>
          <w:noProof/>
          <w:lang w:val="en-US"/>
        </w:rPr>
        <w:t>before being put back into service after they have been triggered</w:t>
      </w:r>
      <w:r w:rsidR="00EC2B81" w:rsidRPr="00C903F8">
        <w:rPr>
          <w:noProof/>
          <w:lang w:val="en-US"/>
        </w:rPr>
        <w:t>;</w:t>
      </w:r>
    </w:p>
    <w:p w:rsidR="00E65F26" w:rsidRPr="00C903F8" w:rsidRDefault="005C7859" w:rsidP="00824063">
      <w:pPr>
        <w:pStyle w:val="ESlet"/>
        <w:rPr>
          <w:lang w:val="en-US"/>
        </w:rPr>
      </w:pPr>
      <w:r w:rsidRPr="00C903F8">
        <w:rPr>
          <w:noProof/>
          <w:lang w:val="en-US"/>
        </w:rPr>
        <w:t>c)</w:t>
      </w:r>
      <w:r w:rsidR="00E65F26" w:rsidRPr="00C903F8">
        <w:rPr>
          <w:lang w:val="en-US"/>
        </w:rPr>
        <w:tab/>
      </w:r>
      <w:r w:rsidR="00E65F26" w:rsidRPr="00C903F8">
        <w:rPr>
          <w:noProof/>
          <w:lang w:val="en-US"/>
        </w:rPr>
        <w:t>before being put back into service after any major modification or repair</w:t>
      </w:r>
      <w:r w:rsidR="00EC2B81" w:rsidRPr="00C903F8">
        <w:rPr>
          <w:noProof/>
          <w:lang w:val="en-US"/>
        </w:rPr>
        <w:t>;</w:t>
      </w:r>
      <w:r w:rsidR="001B5ABA" w:rsidRPr="00C903F8">
        <w:rPr>
          <w:noProof/>
          <w:lang w:val="en-US"/>
        </w:rPr>
        <w:t xml:space="preserve"> and</w:t>
      </w:r>
    </w:p>
    <w:p w:rsidR="00E65F26" w:rsidRPr="00C903F8" w:rsidRDefault="005C7859" w:rsidP="00824063">
      <w:pPr>
        <w:pStyle w:val="ESlet"/>
        <w:rPr>
          <w:lang w:val="en-US"/>
        </w:rPr>
      </w:pPr>
      <w:r w:rsidRPr="00C903F8">
        <w:rPr>
          <w:noProof/>
          <w:lang w:val="en-US"/>
        </w:rPr>
        <w:t>d)</w:t>
      </w:r>
      <w:r w:rsidR="00E65F26" w:rsidRPr="00C903F8">
        <w:rPr>
          <w:lang w:val="en-US"/>
        </w:rPr>
        <w:tab/>
      </w:r>
      <w:r w:rsidR="00E65F26" w:rsidRPr="00C903F8">
        <w:rPr>
          <w:noProof/>
          <w:lang w:val="en-US"/>
        </w:rPr>
        <w:t>regularly, at least every two years.</w:t>
      </w:r>
    </w:p>
    <w:p w:rsidR="00824063" w:rsidRPr="00C903F8" w:rsidRDefault="00824063" w:rsidP="00E65F26">
      <w:pPr>
        <w:pStyle w:val="ESch"/>
        <w:rPr>
          <w:noProof/>
          <w:lang w:val="en-US"/>
        </w:rPr>
      </w:pPr>
    </w:p>
    <w:p w:rsidR="00E65F26" w:rsidRPr="00C903F8" w:rsidRDefault="00E65F26" w:rsidP="00824063">
      <w:pPr>
        <w:pStyle w:val="ESchpar"/>
        <w:rPr>
          <w:lang w:val="en-US"/>
        </w:rPr>
      </w:pPr>
      <w:r w:rsidRPr="00C903F8">
        <w:rPr>
          <w:noProof/>
          <w:lang w:val="en-US"/>
        </w:rPr>
        <w:t>Inspections as referred to in (d) may also be carried out by a competent person from a competent firm specialising in fire extinguishing systems.</w:t>
      </w:r>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7.</w:t>
      </w:r>
      <w:r w:rsidRPr="00C903F8">
        <w:rPr>
          <w:lang w:val="en-US"/>
        </w:rPr>
        <w:tab/>
      </w:r>
      <w:r w:rsidRPr="00C903F8">
        <w:rPr>
          <w:noProof/>
          <w:lang w:val="en-US"/>
        </w:rPr>
        <w:t xml:space="preserve">When carrying out the check in accordance with </w:t>
      </w:r>
      <w:r w:rsidR="00FD1E75" w:rsidRPr="00C903F8">
        <w:rPr>
          <w:noProof/>
          <w:lang w:val="en-US"/>
        </w:rPr>
        <w:t>(</w:t>
      </w:r>
      <w:r w:rsidRPr="00C903F8">
        <w:rPr>
          <w:noProof/>
          <w:lang w:val="en-US"/>
        </w:rPr>
        <w:t>6</w:t>
      </w:r>
      <w:r w:rsidR="00FD1E75" w:rsidRPr="00C903F8">
        <w:rPr>
          <w:noProof/>
          <w:lang w:val="en-US"/>
        </w:rPr>
        <w:t>)</w:t>
      </w:r>
      <w:r w:rsidRPr="00C903F8">
        <w:rPr>
          <w:noProof/>
          <w:lang w:val="en-US"/>
        </w:rPr>
        <w:t xml:space="preserve">, the expert or competent person shall verify whether the systems meet the requirements of this </w:t>
      </w:r>
      <w:r w:rsidR="00757CA5" w:rsidRPr="00C903F8">
        <w:rPr>
          <w:noProof/>
          <w:lang w:val="en-US"/>
        </w:rPr>
        <w:t>Article</w:t>
      </w:r>
      <w:r w:rsidRPr="00C903F8">
        <w:rPr>
          <w:noProof/>
          <w:lang w:val="en-US"/>
        </w:rPr>
        <w:t>.</w:t>
      </w:r>
    </w:p>
    <w:p w:rsidR="00824063" w:rsidRPr="00C903F8" w:rsidRDefault="00824063" w:rsidP="00E65F26">
      <w:pPr>
        <w:pStyle w:val="ESch"/>
        <w:rPr>
          <w:noProof/>
          <w:lang w:val="en-US"/>
        </w:rPr>
      </w:pPr>
    </w:p>
    <w:p w:rsidR="00E65F26" w:rsidRPr="00C903F8" w:rsidRDefault="00E65F26" w:rsidP="00824063">
      <w:pPr>
        <w:pStyle w:val="ESchpar"/>
        <w:rPr>
          <w:lang w:val="en-US"/>
        </w:rPr>
      </w:pPr>
      <w:r w:rsidRPr="00C903F8">
        <w:rPr>
          <w:noProof/>
          <w:lang w:val="en-US"/>
        </w:rPr>
        <w:t>The check shall at least include:</w:t>
      </w:r>
    </w:p>
    <w:p w:rsidR="00E65F26" w:rsidRPr="00C903F8" w:rsidRDefault="005C7859" w:rsidP="00824063">
      <w:pPr>
        <w:pStyle w:val="ESlet"/>
        <w:rPr>
          <w:lang w:val="en-US"/>
        </w:rPr>
      </w:pPr>
      <w:r w:rsidRPr="00C903F8">
        <w:rPr>
          <w:noProof/>
          <w:lang w:val="en-US"/>
        </w:rPr>
        <w:t>a)</w:t>
      </w:r>
      <w:r w:rsidR="00E65F26" w:rsidRPr="00C903F8">
        <w:rPr>
          <w:lang w:val="en-US"/>
        </w:rPr>
        <w:tab/>
      </w:r>
      <w:r w:rsidR="00E65F26" w:rsidRPr="00C903F8">
        <w:rPr>
          <w:noProof/>
          <w:lang w:val="en-US"/>
        </w:rPr>
        <w:t>external inspection of the entire system;</w:t>
      </w:r>
    </w:p>
    <w:p w:rsidR="00E65F26" w:rsidRPr="00C903F8" w:rsidRDefault="005C7859" w:rsidP="00824063">
      <w:pPr>
        <w:pStyle w:val="ESlet"/>
        <w:rPr>
          <w:lang w:val="en-US"/>
        </w:rPr>
      </w:pPr>
      <w:r w:rsidRPr="00C903F8">
        <w:rPr>
          <w:noProof/>
          <w:lang w:val="en-US"/>
        </w:rPr>
        <w:t>b)</w:t>
      </w:r>
      <w:r w:rsidR="00E65F26" w:rsidRPr="00C903F8">
        <w:rPr>
          <w:lang w:val="en-US"/>
        </w:rPr>
        <w:tab/>
      </w:r>
      <w:r w:rsidR="00E65F26" w:rsidRPr="00C903F8">
        <w:rPr>
          <w:noProof/>
          <w:lang w:val="en-US"/>
        </w:rPr>
        <w:t>functional testing of the safety systems and nozzles;</w:t>
      </w:r>
    </w:p>
    <w:p w:rsidR="00E65F26" w:rsidRPr="00C903F8" w:rsidRDefault="005C7859" w:rsidP="00824063">
      <w:pPr>
        <w:pStyle w:val="ESlet"/>
        <w:rPr>
          <w:lang w:val="en-US"/>
        </w:rPr>
      </w:pPr>
      <w:r w:rsidRPr="00C903F8">
        <w:rPr>
          <w:noProof/>
          <w:lang w:val="en-US"/>
        </w:rPr>
        <w:t>c)</w:t>
      </w:r>
      <w:r w:rsidR="00E65F26" w:rsidRPr="00C903F8">
        <w:rPr>
          <w:lang w:val="en-US"/>
        </w:rPr>
        <w:tab/>
      </w:r>
      <w:r w:rsidR="00E65F26" w:rsidRPr="00C903F8">
        <w:rPr>
          <w:noProof/>
          <w:lang w:val="en-US"/>
        </w:rPr>
        <w:t>functional testing of the pressure tanks and pumping system.</w:t>
      </w:r>
    </w:p>
    <w:p w:rsidR="00824063" w:rsidRPr="00C903F8" w:rsidRDefault="00824063" w:rsidP="00E65F26">
      <w:pPr>
        <w:pStyle w:val="ESch"/>
        <w:rPr>
          <w:noProof/>
          <w:lang w:val="en-US"/>
        </w:rPr>
      </w:pPr>
    </w:p>
    <w:p w:rsidR="00824063" w:rsidRPr="00C903F8" w:rsidRDefault="00824063" w:rsidP="00E65F26">
      <w:pPr>
        <w:pStyle w:val="ESch"/>
        <w:rPr>
          <w:noProof/>
          <w:lang w:val="en-US"/>
        </w:rPr>
      </w:pPr>
      <w:r w:rsidRPr="00C903F8">
        <w:rPr>
          <w:noProof/>
          <w:lang w:val="en-US"/>
        </w:rPr>
        <w:br w:type="page"/>
      </w:r>
    </w:p>
    <w:p w:rsidR="00E65F26" w:rsidRPr="00C903F8" w:rsidRDefault="00E65F26" w:rsidP="00E65F26">
      <w:pPr>
        <w:pStyle w:val="ESch"/>
        <w:rPr>
          <w:lang w:val="en-US"/>
        </w:rPr>
      </w:pPr>
      <w:r w:rsidRPr="00C903F8">
        <w:rPr>
          <w:noProof/>
          <w:lang w:val="en-US"/>
        </w:rPr>
        <w:lastRenderedPageBreak/>
        <w:t>8.</w:t>
      </w:r>
      <w:r w:rsidRPr="00C903F8">
        <w:rPr>
          <w:lang w:val="en-US"/>
        </w:rPr>
        <w:tab/>
      </w:r>
      <w:r w:rsidRPr="00C903F8">
        <w:rPr>
          <w:noProof/>
          <w:lang w:val="en-US"/>
        </w:rPr>
        <w:t xml:space="preserve">An inspection </w:t>
      </w:r>
      <w:r w:rsidR="00011E41" w:rsidRPr="00C903F8">
        <w:rPr>
          <w:noProof/>
          <w:lang w:val="en-US"/>
        </w:rPr>
        <w:t>attestation</w:t>
      </w:r>
      <w:r w:rsidRPr="00C903F8">
        <w:rPr>
          <w:noProof/>
          <w:lang w:val="en-US"/>
        </w:rPr>
        <w:t>, signed by the expert or competent person, shall be issued, showing the date of inspection.</w:t>
      </w:r>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9.</w:t>
      </w:r>
      <w:r w:rsidRPr="00C903F8">
        <w:rPr>
          <w:lang w:val="en-US"/>
        </w:rPr>
        <w:tab/>
      </w:r>
      <w:r w:rsidRPr="00C903F8">
        <w:rPr>
          <w:noProof/>
          <w:lang w:val="en-US"/>
        </w:rPr>
        <w:t xml:space="preserve">The number of installed systems shall be entered in the </w:t>
      </w:r>
      <w:r w:rsidR="00A938EB" w:rsidRPr="00C903F8">
        <w:rPr>
          <w:noProof/>
          <w:lang w:val="en-US"/>
        </w:rPr>
        <w:t>i</w:t>
      </w:r>
      <w:r w:rsidRPr="00C903F8">
        <w:rPr>
          <w:noProof/>
          <w:lang w:val="en-US"/>
        </w:rPr>
        <w:t>nland navigation vessel certificate.</w:t>
      </w:r>
    </w:p>
    <w:p w:rsidR="00E65F26" w:rsidRPr="00C903F8" w:rsidRDefault="00E65F26" w:rsidP="00E65F26">
      <w:pPr>
        <w:pStyle w:val="ESch"/>
        <w:rPr>
          <w:lang w:val="en-US"/>
        </w:rPr>
      </w:pPr>
    </w:p>
    <w:p w:rsidR="00E65F26" w:rsidRPr="00C903F8" w:rsidRDefault="00E65F26" w:rsidP="00E65F26">
      <w:pPr>
        <w:pStyle w:val="ESch"/>
        <w:rPr>
          <w:lang w:val="en-US"/>
        </w:rPr>
      </w:pPr>
    </w:p>
    <w:p w:rsidR="00E65F26" w:rsidRPr="00C903F8" w:rsidRDefault="00E65F26" w:rsidP="00824063">
      <w:pPr>
        <w:pStyle w:val="ES-Titre3"/>
        <w:rPr>
          <w:i/>
          <w:noProof/>
          <w:lang w:val="en-US"/>
        </w:rPr>
      </w:pPr>
      <w:bookmarkStart w:id="118" w:name="_Toc491854106"/>
      <w:r w:rsidRPr="00C903F8">
        <w:rPr>
          <w:noProof/>
          <w:lang w:val="en-US"/>
        </w:rPr>
        <w:t>Article 13.05</w:t>
      </w:r>
      <w:r w:rsidRPr="00C903F8">
        <w:rPr>
          <w:noProof/>
          <w:lang w:val="en-US"/>
        </w:rPr>
        <w:br/>
      </w:r>
      <w:r w:rsidRPr="00C903F8">
        <w:rPr>
          <w:i/>
          <w:noProof/>
          <w:lang w:val="en-US"/>
        </w:rPr>
        <w:t>Permanently installed firefighting systems for protecting engine rooms,</w:t>
      </w:r>
      <w:r w:rsidR="00393E27" w:rsidRPr="00C903F8">
        <w:rPr>
          <w:i/>
          <w:noProof/>
          <w:lang w:val="en-US"/>
        </w:rPr>
        <w:t xml:space="preserve"> boiler rooms and pump rooms</w:t>
      </w:r>
      <w:bookmarkEnd w:id="118"/>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1.</w:t>
      </w:r>
      <w:r w:rsidRPr="00C903F8">
        <w:rPr>
          <w:lang w:val="en-US"/>
        </w:rPr>
        <w:tab/>
      </w:r>
      <w:r w:rsidRPr="00C903F8">
        <w:rPr>
          <w:noProof/>
          <w:lang w:val="en-US"/>
        </w:rPr>
        <w:t>Extinguishing agents</w:t>
      </w:r>
    </w:p>
    <w:p w:rsidR="00824063" w:rsidRPr="00C903F8" w:rsidRDefault="00824063" w:rsidP="00E65F26">
      <w:pPr>
        <w:pStyle w:val="ESch"/>
        <w:rPr>
          <w:noProof/>
          <w:lang w:val="en-US"/>
        </w:rPr>
      </w:pPr>
    </w:p>
    <w:p w:rsidR="00E65F26" w:rsidRPr="00C903F8" w:rsidRDefault="00E65F26" w:rsidP="00824063">
      <w:pPr>
        <w:pStyle w:val="ESchpar"/>
        <w:rPr>
          <w:lang w:val="en-US"/>
        </w:rPr>
      </w:pPr>
      <w:r w:rsidRPr="00C903F8">
        <w:rPr>
          <w:noProof/>
          <w:lang w:val="en-US"/>
        </w:rPr>
        <w:t>For protecting engine rooms, boiler rooms and pump rooms, the following extinguishing agents may be used in permanently installed fire-fighting systems:</w:t>
      </w:r>
    </w:p>
    <w:p w:rsidR="00E65F26" w:rsidRPr="00C903F8" w:rsidRDefault="005C7859" w:rsidP="00824063">
      <w:pPr>
        <w:pStyle w:val="ESlet"/>
        <w:rPr>
          <w:lang w:val="en-US"/>
        </w:rPr>
      </w:pPr>
      <w:r w:rsidRPr="00C903F8">
        <w:rPr>
          <w:noProof/>
          <w:lang w:val="en-US"/>
        </w:rPr>
        <w:t>a)</w:t>
      </w:r>
      <w:r w:rsidR="00E65F26" w:rsidRPr="00C903F8">
        <w:rPr>
          <w:lang w:val="en-US"/>
        </w:rPr>
        <w:tab/>
      </w:r>
      <w:r w:rsidR="00E65F26" w:rsidRPr="00C903F8">
        <w:rPr>
          <w:noProof/>
          <w:lang w:val="en-US"/>
        </w:rPr>
        <w:t>CO</w:t>
      </w:r>
      <w:r w:rsidR="00E65F26" w:rsidRPr="00C903F8">
        <w:rPr>
          <w:noProof/>
          <w:vertAlign w:val="subscript"/>
          <w:lang w:val="en-US"/>
        </w:rPr>
        <w:t xml:space="preserve">2 </w:t>
      </w:r>
      <w:r w:rsidR="00E65F26" w:rsidRPr="00C903F8">
        <w:rPr>
          <w:noProof/>
          <w:lang w:val="en-US"/>
        </w:rPr>
        <w:t>(carbon dioxide);</w:t>
      </w:r>
    </w:p>
    <w:p w:rsidR="00E65F26" w:rsidRPr="00C903F8" w:rsidRDefault="005C7859" w:rsidP="00824063">
      <w:pPr>
        <w:pStyle w:val="ESlet"/>
        <w:rPr>
          <w:lang w:val="en-US"/>
        </w:rPr>
      </w:pPr>
      <w:r w:rsidRPr="00C903F8">
        <w:rPr>
          <w:noProof/>
          <w:lang w:val="en-US"/>
        </w:rPr>
        <w:t>b)</w:t>
      </w:r>
      <w:r w:rsidR="00E65F26" w:rsidRPr="00C903F8">
        <w:rPr>
          <w:lang w:val="en-US"/>
        </w:rPr>
        <w:tab/>
      </w:r>
      <w:r w:rsidR="00E65F26" w:rsidRPr="00C903F8">
        <w:rPr>
          <w:noProof/>
          <w:lang w:val="en-US"/>
        </w:rPr>
        <w:t>HFC 227 ea (heptafluoropropane);</w:t>
      </w:r>
    </w:p>
    <w:p w:rsidR="00E65F26" w:rsidRPr="009879C7" w:rsidRDefault="005C7859" w:rsidP="00824063">
      <w:pPr>
        <w:pStyle w:val="ESlet"/>
        <w:rPr>
          <w:lang w:val="de-DE"/>
        </w:rPr>
      </w:pPr>
      <w:r w:rsidRPr="009879C7">
        <w:rPr>
          <w:noProof/>
          <w:lang w:val="de-DE"/>
        </w:rPr>
        <w:t>c)</w:t>
      </w:r>
      <w:r w:rsidR="00E65F26" w:rsidRPr="009879C7">
        <w:rPr>
          <w:lang w:val="de-DE"/>
        </w:rPr>
        <w:tab/>
      </w:r>
      <w:r w:rsidR="00E65F26" w:rsidRPr="009879C7">
        <w:rPr>
          <w:noProof/>
          <w:lang w:val="de-DE"/>
        </w:rPr>
        <w:t>IG-541 (52 % nitrogen, 40 % argon, 8 % carbon dioxide);</w:t>
      </w:r>
    </w:p>
    <w:p w:rsidR="00E65F26" w:rsidRPr="00946CF6" w:rsidRDefault="005C7859" w:rsidP="00824063">
      <w:pPr>
        <w:pStyle w:val="ESlet"/>
        <w:rPr>
          <w:noProof/>
          <w:lang w:val="en-GB"/>
        </w:rPr>
      </w:pPr>
      <w:r w:rsidRPr="00946CF6">
        <w:rPr>
          <w:noProof/>
          <w:lang w:val="en-GB"/>
        </w:rPr>
        <w:t>d)</w:t>
      </w:r>
      <w:r w:rsidR="00E65F26" w:rsidRPr="00946CF6">
        <w:rPr>
          <w:lang w:val="en-GB"/>
        </w:rPr>
        <w:tab/>
      </w:r>
      <w:r w:rsidR="00E65F26" w:rsidRPr="00946CF6">
        <w:rPr>
          <w:noProof/>
          <w:lang w:val="en-GB"/>
        </w:rPr>
        <w:t>FK-5-1-12 (</w:t>
      </w:r>
      <w:r w:rsidR="00FC013F" w:rsidRPr="00946CF6">
        <w:rPr>
          <w:noProof/>
          <w:lang w:val="en-GB"/>
        </w:rPr>
        <w:t>d</w:t>
      </w:r>
      <w:r w:rsidR="00E65F26" w:rsidRPr="00946CF6">
        <w:rPr>
          <w:noProof/>
          <w:lang w:val="en-GB"/>
        </w:rPr>
        <w:t>od</w:t>
      </w:r>
      <w:r w:rsidR="0088585A" w:rsidRPr="00946CF6">
        <w:rPr>
          <w:noProof/>
          <w:lang w:val="en-GB"/>
        </w:rPr>
        <w:t>ecafluoro-2-methylpentane-3-on);</w:t>
      </w:r>
    </w:p>
    <w:p w:rsidR="0088585A" w:rsidRPr="000E732C" w:rsidRDefault="0088585A" w:rsidP="00824063">
      <w:pPr>
        <w:pStyle w:val="ESlet"/>
        <w:rPr>
          <w:lang w:val="en-GB"/>
        </w:rPr>
      </w:pPr>
      <w:r w:rsidRPr="000E732C">
        <w:rPr>
          <w:lang w:val="en-GB"/>
        </w:rPr>
        <w:t>e)</w:t>
      </w:r>
      <w:r w:rsidRPr="000E732C">
        <w:rPr>
          <w:lang w:val="en-GB"/>
        </w:rPr>
        <w:tab/>
      </w:r>
      <w:r w:rsidR="00FC013F">
        <w:rPr>
          <w:lang w:val="en-GB"/>
        </w:rPr>
        <w:t>w</w:t>
      </w:r>
      <w:r w:rsidRPr="000E732C">
        <w:rPr>
          <w:lang w:val="en-GB"/>
        </w:rPr>
        <w:t>ater.</w:t>
      </w:r>
    </w:p>
    <w:p w:rsidR="00E65F26" w:rsidRPr="000E732C" w:rsidRDefault="00E65F26" w:rsidP="00E65F26">
      <w:pPr>
        <w:pStyle w:val="ESch"/>
        <w:rPr>
          <w:lang w:val="en-GB"/>
        </w:rPr>
      </w:pPr>
    </w:p>
    <w:p w:rsidR="00E65F26" w:rsidRPr="00C903F8" w:rsidRDefault="00E65F26" w:rsidP="00E65F26">
      <w:pPr>
        <w:pStyle w:val="ESch"/>
        <w:rPr>
          <w:lang w:val="en-US"/>
        </w:rPr>
      </w:pPr>
      <w:r w:rsidRPr="00C903F8">
        <w:rPr>
          <w:noProof/>
          <w:lang w:val="en-US"/>
        </w:rPr>
        <w:t>2.</w:t>
      </w:r>
      <w:r w:rsidRPr="00C903F8">
        <w:rPr>
          <w:lang w:val="en-US"/>
        </w:rPr>
        <w:tab/>
      </w:r>
      <w:r w:rsidRPr="00C903F8">
        <w:rPr>
          <w:noProof/>
          <w:lang w:val="en-US"/>
        </w:rPr>
        <w:t>Ventilation, air intake</w:t>
      </w:r>
    </w:p>
    <w:p w:rsidR="00E65F26" w:rsidRPr="00C903F8" w:rsidRDefault="005C7859" w:rsidP="00824063">
      <w:pPr>
        <w:pStyle w:val="ESlet"/>
        <w:rPr>
          <w:lang w:val="en-US"/>
        </w:rPr>
      </w:pPr>
      <w:r w:rsidRPr="00C903F8">
        <w:rPr>
          <w:noProof/>
          <w:lang w:val="en-US"/>
        </w:rPr>
        <w:t>a)</w:t>
      </w:r>
      <w:r w:rsidR="00E65F26" w:rsidRPr="00C903F8">
        <w:rPr>
          <w:lang w:val="en-US"/>
        </w:rPr>
        <w:tab/>
      </w:r>
      <w:r w:rsidR="0088585A" w:rsidRPr="00533168">
        <w:rPr>
          <w:rFonts w:cs="Arial"/>
          <w:iCs/>
          <w:szCs w:val="20"/>
          <w:lang w:val="en-US"/>
        </w:rPr>
        <w:t xml:space="preserve">Combustion air for the propulsion engines shall not be extracted from rooms that are to be protected by permanently installed fire-fighting systems. This shall not apply where there are two mutually independent and hermetically separated main engine rooms or if next to the main engine room there is a separate engine room with a bow thruster, ensuring that the vessel </w:t>
      </w:r>
      <w:r w:rsidR="0088585A" w:rsidRPr="008B1036">
        <w:rPr>
          <w:rFonts w:cs="Arial"/>
          <w:iCs/>
          <w:szCs w:val="20"/>
          <w:lang w:val="en-US"/>
        </w:rPr>
        <w:t>can continue to make steerageway</w:t>
      </w:r>
      <w:r w:rsidR="0088585A" w:rsidRPr="00533168">
        <w:rPr>
          <w:rFonts w:cs="Arial"/>
          <w:iCs/>
          <w:szCs w:val="20"/>
          <w:lang w:val="en-US"/>
        </w:rPr>
        <w:t xml:space="preserve"> under its own power in the event of fire in the main engine room</w:t>
      </w:r>
      <w:r w:rsidR="0088585A">
        <w:rPr>
          <w:rFonts w:cs="Arial"/>
          <w:iCs/>
          <w:szCs w:val="20"/>
          <w:lang w:val="en-US"/>
        </w:rPr>
        <w:t>.</w:t>
      </w:r>
    </w:p>
    <w:p w:rsidR="00E65F26" w:rsidRPr="00C903F8" w:rsidRDefault="005C7859" w:rsidP="00824063">
      <w:pPr>
        <w:pStyle w:val="ESlet"/>
        <w:rPr>
          <w:lang w:val="en-US"/>
        </w:rPr>
      </w:pPr>
      <w:r w:rsidRPr="00C903F8">
        <w:rPr>
          <w:noProof/>
          <w:lang w:val="en-US"/>
        </w:rPr>
        <w:t>b)</w:t>
      </w:r>
      <w:r w:rsidR="00E65F26" w:rsidRPr="00C903F8">
        <w:rPr>
          <w:lang w:val="en-US"/>
        </w:rPr>
        <w:tab/>
      </w:r>
      <w:r w:rsidR="00E65F26" w:rsidRPr="00C903F8">
        <w:rPr>
          <w:noProof/>
          <w:lang w:val="en-US"/>
        </w:rPr>
        <w:t>Any forced ventilation present in the room to be protected shall switch off automatically if the fire-fighting system is triggered.</w:t>
      </w:r>
    </w:p>
    <w:p w:rsidR="00E65F26" w:rsidRPr="00C903F8" w:rsidRDefault="005C7859" w:rsidP="00824063">
      <w:pPr>
        <w:pStyle w:val="ESlet"/>
        <w:rPr>
          <w:lang w:val="en-US"/>
        </w:rPr>
      </w:pPr>
      <w:r w:rsidRPr="00C903F8">
        <w:rPr>
          <w:noProof/>
          <w:lang w:val="en-US"/>
        </w:rPr>
        <w:t>c)</w:t>
      </w:r>
      <w:r w:rsidR="00E65F26" w:rsidRPr="00C903F8">
        <w:rPr>
          <w:lang w:val="en-US"/>
        </w:rPr>
        <w:tab/>
      </w:r>
      <w:r w:rsidR="00E65F26" w:rsidRPr="00C903F8">
        <w:rPr>
          <w:noProof/>
          <w:lang w:val="en-US"/>
        </w:rPr>
        <w:t>There shall be devices available with which all apertures which can allow air to enter or gas to escape from the room to be protected can be quickly closed. It shall be clearly recognisable whether they are open or closed.</w:t>
      </w:r>
    </w:p>
    <w:p w:rsidR="00E65F26" w:rsidRPr="00C903F8" w:rsidRDefault="005C7859" w:rsidP="00824063">
      <w:pPr>
        <w:pStyle w:val="ESlet"/>
        <w:rPr>
          <w:lang w:val="en-US"/>
        </w:rPr>
      </w:pPr>
      <w:r w:rsidRPr="00C903F8">
        <w:rPr>
          <w:noProof/>
          <w:lang w:val="en-US"/>
        </w:rPr>
        <w:t>d)</w:t>
      </w:r>
      <w:r w:rsidR="00E65F26" w:rsidRPr="00C903F8">
        <w:rPr>
          <w:lang w:val="en-US"/>
        </w:rPr>
        <w:tab/>
      </w:r>
      <w:r w:rsidR="00E65F26" w:rsidRPr="00C903F8">
        <w:rPr>
          <w:noProof/>
          <w:lang w:val="en-US"/>
        </w:rPr>
        <w:t xml:space="preserve">The air escaping from </w:t>
      </w:r>
      <w:r w:rsidR="00757CA5" w:rsidRPr="00C903F8">
        <w:rPr>
          <w:noProof/>
          <w:lang w:val="en-US"/>
        </w:rPr>
        <w:t xml:space="preserve">pressure </w:t>
      </w:r>
      <w:r w:rsidR="00E65F26" w:rsidRPr="00C903F8">
        <w:rPr>
          <w:noProof/>
          <w:lang w:val="en-US"/>
        </w:rPr>
        <w:t>relief valves in the compressed-air tanks installed in engine rooms shall be conveyed to the open air.</w:t>
      </w:r>
    </w:p>
    <w:p w:rsidR="00E65F26" w:rsidRPr="00C903F8" w:rsidRDefault="0029453D" w:rsidP="00824063">
      <w:pPr>
        <w:pStyle w:val="ESlet"/>
        <w:rPr>
          <w:lang w:val="en-US"/>
        </w:rPr>
      </w:pPr>
      <w:r w:rsidRPr="00C903F8">
        <w:rPr>
          <w:noProof/>
          <w:lang w:val="en-US"/>
        </w:rPr>
        <w:t>e)</w:t>
      </w:r>
      <w:r w:rsidR="00E65F26" w:rsidRPr="00C903F8">
        <w:rPr>
          <w:lang w:val="en-US"/>
        </w:rPr>
        <w:tab/>
      </w:r>
      <w:r w:rsidR="00E65F26" w:rsidRPr="00C903F8">
        <w:rPr>
          <w:noProof/>
          <w:lang w:val="en-US"/>
        </w:rPr>
        <w:t>Over- or under</w:t>
      </w:r>
      <w:r w:rsidR="00E86B69" w:rsidRPr="00C903F8">
        <w:rPr>
          <w:noProof/>
          <w:lang w:val="en-US"/>
        </w:rPr>
        <w:t>-</w:t>
      </w:r>
      <w:r w:rsidR="00E65F26" w:rsidRPr="00C903F8">
        <w:rPr>
          <w:noProof/>
          <w:lang w:val="en-US"/>
        </w:rPr>
        <w:t>pressure resulting from the inflow of extinguishing agent shall not destroy the components of the surrounding partitions of the room to be protected. It shall be possible for the pressure to equalise without danger.</w:t>
      </w:r>
    </w:p>
    <w:p w:rsidR="00E65F26" w:rsidRPr="00C903F8" w:rsidRDefault="0029453D" w:rsidP="00824063">
      <w:pPr>
        <w:pStyle w:val="ESlet"/>
        <w:rPr>
          <w:lang w:val="en-US"/>
        </w:rPr>
      </w:pPr>
      <w:r w:rsidRPr="00C903F8">
        <w:rPr>
          <w:noProof/>
          <w:lang w:val="en-US"/>
        </w:rPr>
        <w:t>f)</w:t>
      </w:r>
      <w:r w:rsidR="00E65F26" w:rsidRPr="00C903F8">
        <w:rPr>
          <w:lang w:val="en-US"/>
        </w:rPr>
        <w:tab/>
      </w:r>
      <w:r w:rsidR="00E65F26" w:rsidRPr="00C903F8">
        <w:rPr>
          <w:noProof/>
          <w:lang w:val="en-US"/>
        </w:rPr>
        <w:t xml:space="preserve">Protected rooms shall have a facility for extracting the extinguishing agent and the combustion gases. Such facilities shall be capable of being operated from positions outside the protected rooms and which </w:t>
      </w:r>
      <w:r w:rsidR="00F22A09" w:rsidRPr="00C903F8">
        <w:rPr>
          <w:noProof/>
          <w:lang w:val="en-US"/>
        </w:rPr>
        <w:t xml:space="preserve">must </w:t>
      </w:r>
      <w:r w:rsidR="00E65F26" w:rsidRPr="00C903F8">
        <w:rPr>
          <w:noProof/>
          <w:lang w:val="en-US"/>
        </w:rPr>
        <w:t>not be made inaccessible by a fire within such spaces. If there are permanently installed extractors, it shall not be possible for these to be switched on while the fire is being extinguished.</w:t>
      </w:r>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3.</w:t>
      </w:r>
      <w:r w:rsidRPr="00C903F8">
        <w:rPr>
          <w:lang w:val="en-US"/>
        </w:rPr>
        <w:tab/>
      </w:r>
      <w:r w:rsidRPr="00C903F8">
        <w:rPr>
          <w:noProof/>
          <w:lang w:val="en-US"/>
        </w:rPr>
        <w:t>Fire alarm system</w:t>
      </w:r>
    </w:p>
    <w:p w:rsidR="00824063" w:rsidRPr="00C903F8" w:rsidRDefault="00824063" w:rsidP="00824063">
      <w:pPr>
        <w:pStyle w:val="ESchpar"/>
        <w:rPr>
          <w:noProof/>
          <w:lang w:val="en-US"/>
        </w:rPr>
      </w:pPr>
    </w:p>
    <w:p w:rsidR="00E65F26" w:rsidRPr="00C903F8" w:rsidRDefault="00E65F26" w:rsidP="00824063">
      <w:pPr>
        <w:pStyle w:val="ESchpar"/>
        <w:rPr>
          <w:lang w:val="en-US"/>
        </w:rPr>
      </w:pPr>
      <w:r w:rsidRPr="00C903F8">
        <w:rPr>
          <w:noProof/>
          <w:lang w:val="en-US"/>
        </w:rPr>
        <w:t>The room to be protected shall be monitored by means of an appropriate fire alarm system. The alarm shall be noticeable in the wheelhouse, the accommodation spaces and the room to be protected.</w:t>
      </w:r>
    </w:p>
    <w:p w:rsidR="00824063" w:rsidRPr="00C903F8" w:rsidRDefault="00824063" w:rsidP="00E65F26">
      <w:pPr>
        <w:pStyle w:val="ESch"/>
        <w:rPr>
          <w:noProof/>
          <w:lang w:val="en-US"/>
        </w:rPr>
      </w:pPr>
    </w:p>
    <w:p w:rsidR="00824063" w:rsidRPr="00C903F8" w:rsidRDefault="00824063" w:rsidP="00E65F26">
      <w:pPr>
        <w:pStyle w:val="ESch"/>
        <w:rPr>
          <w:noProof/>
          <w:lang w:val="en-US"/>
        </w:rPr>
      </w:pPr>
      <w:r w:rsidRPr="00C903F8">
        <w:rPr>
          <w:noProof/>
          <w:lang w:val="en-US"/>
        </w:rPr>
        <w:br w:type="page"/>
      </w:r>
    </w:p>
    <w:p w:rsidR="00E65F26" w:rsidRPr="00C903F8" w:rsidRDefault="00E65F26" w:rsidP="00E65F26">
      <w:pPr>
        <w:pStyle w:val="ESch"/>
        <w:rPr>
          <w:lang w:val="en-US"/>
        </w:rPr>
      </w:pPr>
      <w:r w:rsidRPr="00C903F8">
        <w:rPr>
          <w:noProof/>
          <w:lang w:val="en-US"/>
        </w:rPr>
        <w:lastRenderedPageBreak/>
        <w:t>4.</w:t>
      </w:r>
      <w:r w:rsidRPr="00C903F8">
        <w:rPr>
          <w:lang w:val="en-US"/>
        </w:rPr>
        <w:tab/>
      </w:r>
      <w:r w:rsidRPr="00C903F8">
        <w:rPr>
          <w:noProof/>
          <w:lang w:val="en-US"/>
        </w:rPr>
        <w:t>Piping system</w:t>
      </w:r>
    </w:p>
    <w:p w:rsidR="00E65F26" w:rsidRPr="00C903F8" w:rsidRDefault="005C7859" w:rsidP="00824063">
      <w:pPr>
        <w:pStyle w:val="ESlet"/>
        <w:rPr>
          <w:lang w:val="en-US"/>
        </w:rPr>
      </w:pPr>
      <w:r w:rsidRPr="00C903F8">
        <w:rPr>
          <w:noProof/>
          <w:lang w:val="en-US"/>
        </w:rPr>
        <w:t>a)</w:t>
      </w:r>
      <w:r w:rsidR="00E65F26" w:rsidRPr="00C903F8">
        <w:rPr>
          <w:lang w:val="en-US"/>
        </w:rPr>
        <w:tab/>
      </w:r>
      <w:r w:rsidR="00E65F26" w:rsidRPr="00C903F8">
        <w:rPr>
          <w:noProof/>
          <w:lang w:val="en-US"/>
        </w:rPr>
        <w:t xml:space="preserve">The extinguishing agent shall be conveyed to the room to be protected and distributed there by means of a fixed piping system. Inside the room to be protected the piping and associated fittings shall </w:t>
      </w:r>
      <w:r w:rsidR="00726252" w:rsidRPr="00C903F8">
        <w:rPr>
          <w:noProof/>
          <w:lang w:val="en-US"/>
        </w:rPr>
        <w:t xml:space="preserve">be </w:t>
      </w:r>
      <w:r w:rsidR="00E65F26" w:rsidRPr="00C903F8">
        <w:rPr>
          <w:noProof/>
          <w:lang w:val="en-US"/>
        </w:rPr>
        <w:t>made of steel. Tank connecting pipes and expansion joints shall be exempt from this provided the materials used have equivalent properties in case of fire. Pipes shall be both internally and externally protected against corrosion.</w:t>
      </w:r>
    </w:p>
    <w:p w:rsidR="00E65F26" w:rsidRPr="00C903F8" w:rsidRDefault="005C7859" w:rsidP="00824063">
      <w:pPr>
        <w:pStyle w:val="ESlet"/>
        <w:rPr>
          <w:lang w:val="en-US"/>
        </w:rPr>
      </w:pPr>
      <w:r w:rsidRPr="00C903F8">
        <w:rPr>
          <w:noProof/>
          <w:lang w:val="en-US"/>
        </w:rPr>
        <w:t>b)</w:t>
      </w:r>
      <w:r w:rsidR="00E65F26" w:rsidRPr="00C903F8">
        <w:rPr>
          <w:lang w:val="en-US"/>
        </w:rPr>
        <w:tab/>
      </w:r>
      <w:r w:rsidR="00E65F26" w:rsidRPr="00C903F8">
        <w:rPr>
          <w:noProof/>
          <w:lang w:val="en-US"/>
        </w:rPr>
        <w:t>Outlet nozzles shall be dimensioned and fitted such that the extinguishing agent is evenly distributed. In particular the extin</w:t>
      </w:r>
      <w:r w:rsidR="00E65F26" w:rsidRPr="00C903F8">
        <w:rPr>
          <w:lang w:val="en-US"/>
        </w:rPr>
        <w:softHyphen/>
      </w:r>
      <w:r w:rsidR="00E65F26" w:rsidRPr="00C903F8">
        <w:rPr>
          <w:noProof/>
          <w:lang w:val="en-US"/>
        </w:rPr>
        <w:t>guishing agent shall also be effective beneath the floor plates.</w:t>
      </w:r>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5.</w:t>
      </w:r>
      <w:r w:rsidRPr="00C903F8">
        <w:rPr>
          <w:lang w:val="en-US"/>
        </w:rPr>
        <w:tab/>
      </w:r>
      <w:r w:rsidRPr="00C903F8">
        <w:rPr>
          <w:noProof/>
          <w:lang w:val="en-US"/>
        </w:rPr>
        <w:t>Triggering device</w:t>
      </w:r>
    </w:p>
    <w:p w:rsidR="00E65F26" w:rsidRPr="00C903F8" w:rsidRDefault="005C7859" w:rsidP="00824063">
      <w:pPr>
        <w:pStyle w:val="ESlet"/>
        <w:rPr>
          <w:lang w:val="en-US"/>
        </w:rPr>
      </w:pPr>
      <w:r w:rsidRPr="00C903F8">
        <w:rPr>
          <w:noProof/>
          <w:lang w:val="en-US"/>
        </w:rPr>
        <w:t>a)</w:t>
      </w:r>
      <w:r w:rsidR="00E65F26" w:rsidRPr="00C903F8">
        <w:rPr>
          <w:lang w:val="en-US"/>
        </w:rPr>
        <w:tab/>
      </w:r>
      <w:r w:rsidR="00E65F26" w:rsidRPr="00C903F8">
        <w:rPr>
          <w:noProof/>
          <w:lang w:val="en-US"/>
        </w:rPr>
        <w:t>Fire-fighting systems with automatic triggering shall not be permissible.</w:t>
      </w:r>
    </w:p>
    <w:p w:rsidR="00E65F26" w:rsidRPr="00C903F8" w:rsidRDefault="005C7859" w:rsidP="00824063">
      <w:pPr>
        <w:pStyle w:val="ESlet"/>
        <w:rPr>
          <w:lang w:val="en-US"/>
        </w:rPr>
      </w:pPr>
      <w:r w:rsidRPr="00C903F8">
        <w:rPr>
          <w:noProof/>
          <w:lang w:val="en-US"/>
        </w:rPr>
        <w:t>b)</w:t>
      </w:r>
      <w:r w:rsidR="00E65F26" w:rsidRPr="00C903F8">
        <w:rPr>
          <w:lang w:val="en-US"/>
        </w:rPr>
        <w:tab/>
      </w:r>
      <w:r w:rsidR="00E65F26" w:rsidRPr="00C903F8">
        <w:rPr>
          <w:noProof/>
          <w:lang w:val="en-US"/>
        </w:rPr>
        <w:t>It shall be possible to trigger the fire-fighting system from a suitable place outside the room to be protected.</w:t>
      </w:r>
    </w:p>
    <w:p w:rsidR="00E65F26" w:rsidRPr="00C903F8" w:rsidRDefault="005C7859" w:rsidP="00824063">
      <w:pPr>
        <w:pStyle w:val="ESlet"/>
        <w:rPr>
          <w:lang w:val="en-US"/>
        </w:rPr>
      </w:pPr>
      <w:r w:rsidRPr="00C903F8">
        <w:rPr>
          <w:noProof/>
          <w:lang w:val="en-US"/>
        </w:rPr>
        <w:t>c)</w:t>
      </w:r>
      <w:r w:rsidR="00E65F26" w:rsidRPr="00C903F8">
        <w:rPr>
          <w:lang w:val="en-US"/>
        </w:rPr>
        <w:tab/>
      </w:r>
      <w:r w:rsidR="00E65F26" w:rsidRPr="00C903F8">
        <w:rPr>
          <w:noProof/>
          <w:lang w:val="en-US"/>
        </w:rPr>
        <w:t>Triggering devices shall be installed in such a way that they can be operated even in case of a fire and in the event of damage by fire or explosion in the room to be protected the necessary quantity of extinguishing agent can still be conveyed.</w:t>
      </w:r>
    </w:p>
    <w:p w:rsidR="00E65F26" w:rsidRPr="00C903F8" w:rsidRDefault="00C44D3C" w:rsidP="00824063">
      <w:pPr>
        <w:pStyle w:val="ESletpar"/>
        <w:rPr>
          <w:lang w:val="en-US"/>
        </w:rPr>
      </w:pPr>
      <w:r w:rsidRPr="00C903F8">
        <w:rPr>
          <w:noProof/>
          <w:lang w:val="en-US"/>
        </w:rPr>
        <w:t>Non-</w:t>
      </w:r>
      <w:r w:rsidRPr="008B1036">
        <w:rPr>
          <w:noProof/>
          <w:lang w:val="en-US"/>
        </w:rPr>
        <w:t>mechanical triggering devices shall be powered from two different mutually independent power sources. These power</w:t>
      </w:r>
      <w:r w:rsidRPr="00C903F8">
        <w:rPr>
          <w:noProof/>
          <w:lang w:val="en-US"/>
        </w:rPr>
        <w:t xml:space="preserve"> sources shall be located outside the room to be protected. Control lines in the room to be protected shall be designed so as to remain functional for at least 30 minutes in the event of fire. This requirement shall be fulfilled in the case of electric wiring if it complies with the International Standard IEC 60331­21 : 1999</w:t>
      </w:r>
      <w:r w:rsidR="00E65F26" w:rsidRPr="00C903F8">
        <w:rPr>
          <w:noProof/>
          <w:lang w:val="en-US"/>
        </w:rPr>
        <w:t>.</w:t>
      </w:r>
    </w:p>
    <w:p w:rsidR="00E65F26" w:rsidRPr="00C903F8" w:rsidRDefault="00E65F26" w:rsidP="00824063">
      <w:pPr>
        <w:pStyle w:val="ESletpar"/>
        <w:rPr>
          <w:lang w:val="en-US"/>
        </w:rPr>
      </w:pPr>
      <w:r w:rsidRPr="00C903F8">
        <w:rPr>
          <w:noProof/>
          <w:lang w:val="en-US"/>
        </w:rPr>
        <w:t xml:space="preserve">If triggering devices are installed in such a way that they are out of sight the panel covering them shall be identified by the ‘fire-fighting installation’ symbol as shown in Figure 6 of Annex </w:t>
      </w:r>
      <w:r w:rsidR="002E6F15" w:rsidRPr="00C903F8">
        <w:rPr>
          <w:noProof/>
          <w:lang w:val="en-US"/>
        </w:rPr>
        <w:t>4</w:t>
      </w:r>
      <w:r w:rsidRPr="00C903F8">
        <w:rPr>
          <w:noProof/>
          <w:lang w:val="en-US"/>
        </w:rPr>
        <w:t>, having a side length of at least 10 cm, and the following text in red lettering on a white background:</w:t>
      </w:r>
    </w:p>
    <w:p w:rsidR="00E65F26" w:rsidRPr="00C903F8" w:rsidRDefault="0064343D" w:rsidP="001B5ABA">
      <w:pPr>
        <w:pStyle w:val="ESletpar"/>
        <w:jc w:val="center"/>
        <w:rPr>
          <w:lang w:val="en-US"/>
        </w:rPr>
      </w:pPr>
      <w:r w:rsidRPr="00C903F8">
        <w:rPr>
          <w:noProof/>
          <w:lang w:val="en-US"/>
        </w:rPr>
        <w:t>’</w:t>
      </w:r>
      <w:r w:rsidR="00E65F26" w:rsidRPr="00C903F8">
        <w:rPr>
          <w:noProof/>
          <w:lang w:val="en-US"/>
        </w:rPr>
        <w:t>Feuerlöscheinrichtung</w:t>
      </w:r>
    </w:p>
    <w:p w:rsidR="00E65F26" w:rsidRPr="00C903F8" w:rsidRDefault="00E65F26" w:rsidP="001B5ABA">
      <w:pPr>
        <w:pStyle w:val="ESletpar"/>
        <w:jc w:val="center"/>
        <w:rPr>
          <w:lang w:val="en-US"/>
        </w:rPr>
      </w:pPr>
      <w:r w:rsidRPr="00C903F8">
        <w:rPr>
          <w:noProof/>
          <w:lang w:val="en-US"/>
        </w:rPr>
        <w:t>Installation d'extinction</w:t>
      </w:r>
    </w:p>
    <w:p w:rsidR="00E65F26" w:rsidRPr="00C903F8" w:rsidRDefault="00E65F26" w:rsidP="001B5ABA">
      <w:pPr>
        <w:pStyle w:val="ESletpar"/>
        <w:jc w:val="center"/>
        <w:rPr>
          <w:lang w:val="en-US"/>
        </w:rPr>
      </w:pPr>
      <w:r w:rsidRPr="00C903F8">
        <w:rPr>
          <w:noProof/>
          <w:lang w:val="en-US"/>
        </w:rPr>
        <w:t>Brandblusinstallatie</w:t>
      </w:r>
    </w:p>
    <w:p w:rsidR="00E65F26" w:rsidRPr="00C903F8" w:rsidRDefault="00E65F26" w:rsidP="001B5ABA">
      <w:pPr>
        <w:pStyle w:val="ESletpar"/>
        <w:jc w:val="center"/>
        <w:rPr>
          <w:lang w:val="en-US"/>
        </w:rPr>
      </w:pPr>
      <w:r w:rsidRPr="00C903F8">
        <w:rPr>
          <w:noProof/>
          <w:lang w:val="en-US"/>
        </w:rPr>
        <w:t>Fire-fighting installation</w:t>
      </w:r>
      <w:r w:rsidR="0064343D" w:rsidRPr="00C903F8">
        <w:rPr>
          <w:noProof/>
          <w:lang w:val="en-US"/>
        </w:rPr>
        <w:t>’.</w:t>
      </w:r>
    </w:p>
    <w:p w:rsidR="00E65F26" w:rsidRPr="00C903F8" w:rsidRDefault="005C7859" w:rsidP="00824063">
      <w:pPr>
        <w:pStyle w:val="ESlet"/>
        <w:rPr>
          <w:lang w:val="en-US"/>
        </w:rPr>
      </w:pPr>
      <w:r w:rsidRPr="00C903F8">
        <w:rPr>
          <w:noProof/>
          <w:lang w:val="en-US"/>
        </w:rPr>
        <w:t>d)</w:t>
      </w:r>
      <w:r w:rsidR="00E65F26" w:rsidRPr="00C903F8">
        <w:rPr>
          <w:lang w:val="en-US"/>
        </w:rPr>
        <w:tab/>
      </w:r>
      <w:r w:rsidR="00E65F26" w:rsidRPr="00C903F8">
        <w:rPr>
          <w:noProof/>
          <w:lang w:val="en-US"/>
        </w:rPr>
        <w:t>If the fire-fighting system is intended for the protection of several rooms, the triggering devices for each room have to be separate and clearly identified.</w:t>
      </w:r>
    </w:p>
    <w:p w:rsidR="00E65F26" w:rsidRPr="00C903F8" w:rsidRDefault="0029453D" w:rsidP="00824063">
      <w:pPr>
        <w:pStyle w:val="ESlet"/>
        <w:rPr>
          <w:lang w:val="en-US"/>
        </w:rPr>
      </w:pPr>
      <w:r w:rsidRPr="00C903F8">
        <w:rPr>
          <w:noProof/>
          <w:lang w:val="en-US"/>
        </w:rPr>
        <w:t>e)</w:t>
      </w:r>
      <w:r w:rsidR="00E65F26" w:rsidRPr="00C903F8">
        <w:rPr>
          <w:lang w:val="en-US"/>
        </w:rPr>
        <w:tab/>
      </w:r>
      <w:r w:rsidR="00E65F26" w:rsidRPr="00C903F8">
        <w:rPr>
          <w:noProof/>
          <w:lang w:val="en-US"/>
        </w:rPr>
        <w:t>Next to each triggering device operating instructions in one of the languages of the Member States</w:t>
      </w:r>
      <w:r w:rsidR="008E7459" w:rsidRPr="00C903F8">
        <w:rPr>
          <w:noProof/>
          <w:lang w:val="en-US"/>
        </w:rPr>
        <w:t xml:space="preserve"> </w:t>
      </w:r>
      <w:r w:rsidR="00E65F26" w:rsidRPr="00C903F8">
        <w:rPr>
          <w:noProof/>
          <w:lang w:val="en-US"/>
        </w:rPr>
        <w:t>shall be posted up visibly and indelibly. They shall contain, in particular, instructions regarding:</w:t>
      </w:r>
    </w:p>
    <w:p w:rsidR="00E65F26" w:rsidRPr="00C903F8" w:rsidRDefault="0029453D" w:rsidP="00574385">
      <w:pPr>
        <w:pStyle w:val="EStiret"/>
        <w:rPr>
          <w:lang w:val="en-US"/>
        </w:rPr>
      </w:pPr>
      <w:r w:rsidRPr="00C903F8">
        <w:rPr>
          <w:lang w:val="en-US"/>
        </w:rPr>
        <w:t>aa)</w:t>
      </w:r>
      <w:r w:rsidR="00E65F26" w:rsidRPr="00C903F8">
        <w:rPr>
          <w:lang w:val="en-US"/>
        </w:rPr>
        <w:tab/>
        <w:t>triggering of the fire-fighting system;</w:t>
      </w:r>
    </w:p>
    <w:p w:rsidR="00E65F26" w:rsidRPr="00C903F8" w:rsidRDefault="0029453D" w:rsidP="00574385">
      <w:pPr>
        <w:pStyle w:val="EStiret"/>
        <w:rPr>
          <w:lang w:val="en-US"/>
        </w:rPr>
      </w:pPr>
      <w:r w:rsidRPr="00C903F8">
        <w:rPr>
          <w:lang w:val="en-US"/>
        </w:rPr>
        <w:t>bb)</w:t>
      </w:r>
      <w:r w:rsidR="00E65F26" w:rsidRPr="00C903F8">
        <w:rPr>
          <w:lang w:val="en-US"/>
        </w:rPr>
        <w:tab/>
        <w:t>the need for checking to ensure that all persons have left the room to be protected;</w:t>
      </w:r>
    </w:p>
    <w:p w:rsidR="00E65F26" w:rsidRPr="00C903F8" w:rsidRDefault="00E65F26" w:rsidP="00574385">
      <w:pPr>
        <w:pStyle w:val="EStiret"/>
        <w:rPr>
          <w:lang w:val="en-US"/>
        </w:rPr>
      </w:pPr>
      <w:r w:rsidRPr="00C903F8">
        <w:rPr>
          <w:lang w:val="en-US"/>
        </w:rPr>
        <w:t>cc)</w:t>
      </w:r>
      <w:r w:rsidRPr="00C903F8">
        <w:rPr>
          <w:lang w:val="en-US"/>
        </w:rPr>
        <w:tab/>
        <w:t>action to be taken by the crew when the firefighting system is triggered and when accessing the protected room after triggering or flooding, in particular with regard to the possible presence of dangerous substances;</w:t>
      </w:r>
    </w:p>
    <w:p w:rsidR="00E65F26" w:rsidRPr="00C903F8" w:rsidRDefault="00E65F26" w:rsidP="00574385">
      <w:pPr>
        <w:pStyle w:val="EStiret"/>
        <w:rPr>
          <w:lang w:val="en-US"/>
        </w:rPr>
      </w:pPr>
      <w:r w:rsidRPr="00C903F8">
        <w:rPr>
          <w:lang w:val="en-US"/>
        </w:rPr>
        <w:t>dd)</w:t>
      </w:r>
      <w:r w:rsidRPr="00C903F8">
        <w:rPr>
          <w:lang w:val="en-US"/>
        </w:rPr>
        <w:tab/>
        <w:t>action to be taken by the crew in the case of failure of the fire-fighting system.</w:t>
      </w:r>
    </w:p>
    <w:p w:rsidR="00E65F26" w:rsidRPr="00C903F8" w:rsidRDefault="0029453D" w:rsidP="00824063">
      <w:pPr>
        <w:pStyle w:val="ESlet"/>
        <w:rPr>
          <w:lang w:val="en-US"/>
        </w:rPr>
      </w:pPr>
      <w:r w:rsidRPr="00C903F8">
        <w:rPr>
          <w:noProof/>
          <w:lang w:val="en-US"/>
        </w:rPr>
        <w:t>f)</w:t>
      </w:r>
      <w:r w:rsidR="00E65F26" w:rsidRPr="00C903F8">
        <w:rPr>
          <w:lang w:val="en-US"/>
        </w:rPr>
        <w:tab/>
      </w:r>
      <w:r w:rsidR="00E65F26" w:rsidRPr="00C903F8">
        <w:rPr>
          <w:noProof/>
          <w:lang w:val="en-US"/>
        </w:rPr>
        <w:t>The operating instructions shall point out that before the fire-fighting system is triggered combustion engines drawing air from the room to be protected are to be shut down.</w:t>
      </w:r>
    </w:p>
    <w:p w:rsidR="00824063" w:rsidRPr="00C903F8" w:rsidRDefault="00824063" w:rsidP="00E65F26">
      <w:pPr>
        <w:pStyle w:val="ESch"/>
        <w:rPr>
          <w:noProof/>
          <w:lang w:val="en-US"/>
        </w:rPr>
      </w:pPr>
    </w:p>
    <w:p w:rsidR="004C4825" w:rsidRDefault="004C4825">
      <w:pPr>
        <w:autoSpaceDE/>
        <w:autoSpaceDN/>
        <w:ind w:left="0" w:firstLine="0"/>
        <w:jc w:val="left"/>
        <w:rPr>
          <w:noProof/>
          <w:lang w:val="en-US"/>
        </w:rPr>
      </w:pPr>
      <w:r>
        <w:rPr>
          <w:noProof/>
          <w:lang w:val="en-US"/>
        </w:rPr>
        <w:br w:type="page"/>
      </w:r>
    </w:p>
    <w:p w:rsidR="00E65F26" w:rsidRPr="00C903F8" w:rsidRDefault="00E65F26" w:rsidP="00E65F26">
      <w:pPr>
        <w:pStyle w:val="ESch"/>
        <w:rPr>
          <w:lang w:val="en-US"/>
        </w:rPr>
      </w:pPr>
      <w:r w:rsidRPr="00C903F8">
        <w:rPr>
          <w:noProof/>
          <w:lang w:val="en-US"/>
        </w:rPr>
        <w:lastRenderedPageBreak/>
        <w:t>6.</w:t>
      </w:r>
      <w:r w:rsidRPr="00C903F8">
        <w:rPr>
          <w:lang w:val="en-US"/>
        </w:rPr>
        <w:tab/>
      </w:r>
      <w:r w:rsidRPr="00C903F8">
        <w:rPr>
          <w:noProof/>
          <w:lang w:val="en-US"/>
        </w:rPr>
        <w:t>Warning system</w:t>
      </w:r>
    </w:p>
    <w:p w:rsidR="00E65F26" w:rsidRPr="00C903F8" w:rsidRDefault="005C7859" w:rsidP="00824063">
      <w:pPr>
        <w:pStyle w:val="ESlet"/>
        <w:rPr>
          <w:lang w:val="en-US"/>
        </w:rPr>
      </w:pPr>
      <w:r w:rsidRPr="00C903F8">
        <w:rPr>
          <w:noProof/>
          <w:lang w:val="en-US"/>
        </w:rPr>
        <w:t>a)</w:t>
      </w:r>
      <w:r w:rsidR="00E65F26" w:rsidRPr="00C903F8">
        <w:rPr>
          <w:lang w:val="en-US"/>
        </w:rPr>
        <w:tab/>
      </w:r>
      <w:r w:rsidR="00E65F26" w:rsidRPr="00C903F8">
        <w:rPr>
          <w:noProof/>
          <w:lang w:val="en-US"/>
        </w:rPr>
        <w:t>Permanently installed fire-fighting systems shall be provided with acoustic and optical warning systems.</w:t>
      </w:r>
    </w:p>
    <w:p w:rsidR="00E65F26" w:rsidRPr="00C903F8" w:rsidRDefault="005C7859" w:rsidP="00824063">
      <w:pPr>
        <w:pStyle w:val="ESlet"/>
        <w:rPr>
          <w:lang w:val="en-US"/>
        </w:rPr>
      </w:pPr>
      <w:r w:rsidRPr="00C903F8">
        <w:rPr>
          <w:noProof/>
          <w:lang w:val="en-US"/>
        </w:rPr>
        <w:t>b)</w:t>
      </w:r>
      <w:r w:rsidR="00E65F26" w:rsidRPr="00C903F8">
        <w:rPr>
          <w:lang w:val="en-US"/>
        </w:rPr>
        <w:tab/>
      </w:r>
      <w:r w:rsidR="00E65F26" w:rsidRPr="00C903F8">
        <w:rPr>
          <w:noProof/>
          <w:lang w:val="en-US"/>
        </w:rPr>
        <w:t>The warning system shall be set off automatically as soon as the fire-fighting system is first triggered. The warning signal shall sound for an appropriate time before the extinguishing agent is released and it shall not be possible to switch it off.</w:t>
      </w:r>
    </w:p>
    <w:p w:rsidR="00E65F26" w:rsidRPr="00C903F8" w:rsidRDefault="005C7859" w:rsidP="00824063">
      <w:pPr>
        <w:pStyle w:val="ESlet"/>
        <w:rPr>
          <w:lang w:val="en-US"/>
        </w:rPr>
      </w:pPr>
      <w:r w:rsidRPr="00C903F8">
        <w:rPr>
          <w:noProof/>
          <w:lang w:val="en-US"/>
        </w:rPr>
        <w:t>c)</w:t>
      </w:r>
      <w:r w:rsidR="00E65F26" w:rsidRPr="00C903F8">
        <w:rPr>
          <w:lang w:val="en-US"/>
        </w:rPr>
        <w:tab/>
      </w:r>
      <w:r w:rsidR="00E65F26" w:rsidRPr="00C903F8">
        <w:rPr>
          <w:noProof/>
          <w:lang w:val="en-US"/>
        </w:rPr>
        <w:t>Warning signals shall be clearly visible in the rooms to be protected and outside the accesses to them and clearly audible even under operating conditions producing the loudest inherent noise. They shall be clearly distinct from all other acoustic and optical signals in the room to be protected.</w:t>
      </w:r>
    </w:p>
    <w:p w:rsidR="00E65F26" w:rsidRPr="00C903F8" w:rsidRDefault="005C7859" w:rsidP="00824063">
      <w:pPr>
        <w:pStyle w:val="ESlet"/>
        <w:rPr>
          <w:lang w:val="en-US"/>
        </w:rPr>
      </w:pPr>
      <w:r w:rsidRPr="00C903F8">
        <w:rPr>
          <w:noProof/>
          <w:lang w:val="en-US"/>
        </w:rPr>
        <w:t>d)</w:t>
      </w:r>
      <w:r w:rsidR="00E65F26" w:rsidRPr="00C903F8">
        <w:rPr>
          <w:lang w:val="en-US"/>
        </w:rPr>
        <w:tab/>
      </w:r>
      <w:r w:rsidR="00E65F26" w:rsidRPr="00C903F8">
        <w:rPr>
          <w:noProof/>
          <w:lang w:val="en-US"/>
        </w:rPr>
        <w:t>The acoustic warning signals shall be clearly audible in the adjacent rooms even when connecting doors are closed and under operating conditions producing the loudest inherent noise.</w:t>
      </w:r>
    </w:p>
    <w:p w:rsidR="00E65F26" w:rsidRPr="00C903F8" w:rsidRDefault="0029453D" w:rsidP="00824063">
      <w:pPr>
        <w:pStyle w:val="ESlet"/>
        <w:rPr>
          <w:lang w:val="en-US"/>
        </w:rPr>
      </w:pPr>
      <w:r w:rsidRPr="00C903F8">
        <w:rPr>
          <w:noProof/>
          <w:lang w:val="en-US"/>
        </w:rPr>
        <w:t>e)</w:t>
      </w:r>
      <w:r w:rsidR="00E65F26" w:rsidRPr="00C903F8">
        <w:rPr>
          <w:lang w:val="en-US"/>
        </w:rPr>
        <w:tab/>
      </w:r>
      <w:r w:rsidR="00E65F26" w:rsidRPr="00C903F8">
        <w:rPr>
          <w:noProof/>
          <w:lang w:val="en-US"/>
        </w:rPr>
        <w:t>If the warning system is not self-monitoring as regards short-circuits, wire breaks and voltage drops, it shall be possible to check that it is working properly.</w:t>
      </w:r>
    </w:p>
    <w:p w:rsidR="00E65F26" w:rsidRPr="00C903F8" w:rsidRDefault="0029453D" w:rsidP="00824063">
      <w:pPr>
        <w:pStyle w:val="ESlet"/>
        <w:rPr>
          <w:lang w:val="en-US"/>
        </w:rPr>
      </w:pPr>
      <w:r w:rsidRPr="00C903F8">
        <w:rPr>
          <w:noProof/>
          <w:lang w:val="en-US"/>
        </w:rPr>
        <w:t>f)</w:t>
      </w:r>
      <w:r w:rsidR="00E65F26" w:rsidRPr="00C903F8">
        <w:rPr>
          <w:lang w:val="en-US"/>
        </w:rPr>
        <w:tab/>
      </w:r>
      <w:r w:rsidR="00E65F26" w:rsidRPr="00C903F8">
        <w:rPr>
          <w:noProof/>
          <w:lang w:val="en-US"/>
        </w:rPr>
        <w:t>At every entrance to a room that can be supplied with extinguishing agent, a clearly visible notice shall be put up bearing the following text in red lettering on a white background:</w:t>
      </w:r>
    </w:p>
    <w:p w:rsidR="00E65F26" w:rsidRPr="00C903F8" w:rsidRDefault="0064343D" w:rsidP="001B5ABA">
      <w:pPr>
        <w:pStyle w:val="ESgauche"/>
        <w:spacing w:before="60"/>
        <w:jc w:val="center"/>
        <w:rPr>
          <w:lang w:val="de-DE"/>
        </w:rPr>
      </w:pPr>
      <w:r w:rsidRPr="00C903F8">
        <w:rPr>
          <w:lang w:val="de-DE"/>
        </w:rPr>
        <w:t>‘</w:t>
      </w:r>
      <w:r w:rsidR="00E65F26" w:rsidRPr="00C903F8">
        <w:rPr>
          <w:lang w:val="de-DE"/>
        </w:rPr>
        <w:t>Vorsicht, Feuerlöscheinrichtung!</w:t>
      </w:r>
    </w:p>
    <w:p w:rsidR="00E65F26" w:rsidRPr="00C903F8" w:rsidRDefault="00E65F26" w:rsidP="001B5ABA">
      <w:pPr>
        <w:pStyle w:val="ESgauche"/>
        <w:jc w:val="center"/>
        <w:rPr>
          <w:lang w:val="de-DE"/>
        </w:rPr>
      </w:pPr>
      <w:r w:rsidRPr="00C903F8">
        <w:rPr>
          <w:lang w:val="de-DE"/>
        </w:rPr>
        <w:t>Bei Ertönen des Warnsignals (Beschreibung des Signals) den Raum sofort verlassen!</w:t>
      </w:r>
    </w:p>
    <w:p w:rsidR="00EC2B81" w:rsidRPr="00C903F8" w:rsidRDefault="00EC2B81" w:rsidP="001B5ABA">
      <w:pPr>
        <w:pStyle w:val="ESgauche"/>
        <w:jc w:val="center"/>
        <w:rPr>
          <w:lang w:val="de-DE"/>
        </w:rPr>
      </w:pPr>
    </w:p>
    <w:p w:rsidR="00E65F26" w:rsidRPr="00C903F8" w:rsidRDefault="00E65F26" w:rsidP="001B5ABA">
      <w:pPr>
        <w:pStyle w:val="ESgauche"/>
        <w:jc w:val="center"/>
      </w:pPr>
      <w:r w:rsidRPr="00C903F8">
        <w:t>Attention, installation d'extinction d'incendie !</w:t>
      </w:r>
    </w:p>
    <w:p w:rsidR="00E65F26" w:rsidRPr="00C903F8" w:rsidRDefault="00E65F26" w:rsidP="001B5ABA">
      <w:pPr>
        <w:pStyle w:val="ESgauche"/>
        <w:jc w:val="center"/>
      </w:pPr>
      <w:r w:rsidRPr="00C903F8">
        <w:t>Quitter immédiatement ce local au signal (description du signal) !</w:t>
      </w:r>
    </w:p>
    <w:p w:rsidR="00EC2B81" w:rsidRPr="00C903F8" w:rsidRDefault="00EC2B81" w:rsidP="001B5ABA">
      <w:pPr>
        <w:pStyle w:val="ESgauche"/>
        <w:jc w:val="center"/>
      </w:pPr>
    </w:p>
    <w:p w:rsidR="00E65F26" w:rsidRPr="00C903F8" w:rsidRDefault="00E65F26" w:rsidP="001B5ABA">
      <w:pPr>
        <w:pStyle w:val="ESgauche"/>
        <w:jc w:val="center"/>
        <w:rPr>
          <w:lang w:val="nl-NL"/>
        </w:rPr>
      </w:pPr>
      <w:r w:rsidRPr="00C903F8">
        <w:rPr>
          <w:lang w:val="nl-NL"/>
        </w:rPr>
        <w:t>Let op, brandblusinstallatie!</w:t>
      </w:r>
    </w:p>
    <w:p w:rsidR="00E65F26" w:rsidRPr="00C903F8" w:rsidRDefault="00E65F26" w:rsidP="001B5ABA">
      <w:pPr>
        <w:pStyle w:val="ESgauche"/>
        <w:jc w:val="center"/>
        <w:rPr>
          <w:lang w:val="nl-NL"/>
        </w:rPr>
      </w:pPr>
      <w:r w:rsidRPr="00C903F8">
        <w:rPr>
          <w:lang w:val="nl-NL"/>
        </w:rPr>
        <w:t>Bij het in werking treden van het alarmsignaal (omschrijving van het signaal) deze ruimte onmiddellijk verlaten!</w:t>
      </w:r>
    </w:p>
    <w:p w:rsidR="00EC2B81" w:rsidRPr="00C903F8" w:rsidRDefault="00EC2B81" w:rsidP="001B5ABA">
      <w:pPr>
        <w:pStyle w:val="ESgauche"/>
        <w:jc w:val="center"/>
        <w:rPr>
          <w:lang w:val="nl-NL"/>
        </w:rPr>
      </w:pPr>
    </w:p>
    <w:p w:rsidR="00E65F26" w:rsidRPr="00C903F8" w:rsidRDefault="00E65F26" w:rsidP="001B5ABA">
      <w:pPr>
        <w:pStyle w:val="ESgauche"/>
        <w:jc w:val="center"/>
        <w:rPr>
          <w:lang w:val="en-US"/>
        </w:rPr>
      </w:pPr>
      <w:r w:rsidRPr="00C903F8">
        <w:rPr>
          <w:lang w:val="en-US"/>
        </w:rPr>
        <w:t>Warning, fire-fighting installation!</w:t>
      </w:r>
    </w:p>
    <w:p w:rsidR="00E65F26" w:rsidRPr="00C903F8" w:rsidRDefault="00E65F26" w:rsidP="001B5ABA">
      <w:pPr>
        <w:pStyle w:val="ESgauche"/>
        <w:jc w:val="center"/>
        <w:rPr>
          <w:lang w:val="en-US"/>
        </w:rPr>
      </w:pPr>
      <w:r w:rsidRPr="00C903F8">
        <w:rPr>
          <w:lang w:val="en-US"/>
        </w:rPr>
        <w:t>Leave the room as soon as the warning signal sounds (description of signal)!</w:t>
      </w:r>
      <w:r w:rsidR="0064343D" w:rsidRPr="00C903F8">
        <w:rPr>
          <w:lang w:val="en-US"/>
        </w:rPr>
        <w:t>’</w:t>
      </w:r>
    </w:p>
    <w:p w:rsidR="00824063" w:rsidRPr="00C903F8" w:rsidRDefault="00824063" w:rsidP="001B5ABA">
      <w:pPr>
        <w:pStyle w:val="ESgauche"/>
        <w:jc w:val="center"/>
        <w:rPr>
          <w:lang w:val="en-US"/>
        </w:rPr>
      </w:pPr>
    </w:p>
    <w:p w:rsidR="00E65F26" w:rsidRPr="00C903F8" w:rsidRDefault="00E65F26" w:rsidP="00E65F26">
      <w:pPr>
        <w:pStyle w:val="ESch"/>
        <w:rPr>
          <w:lang w:val="en-US"/>
        </w:rPr>
      </w:pPr>
      <w:r w:rsidRPr="00C903F8">
        <w:rPr>
          <w:noProof/>
          <w:lang w:val="en-US"/>
        </w:rPr>
        <w:t>7.</w:t>
      </w:r>
      <w:r w:rsidRPr="00C903F8">
        <w:rPr>
          <w:lang w:val="en-US"/>
        </w:rPr>
        <w:tab/>
      </w:r>
      <w:r w:rsidRPr="00C903F8">
        <w:rPr>
          <w:noProof/>
          <w:lang w:val="en-US"/>
        </w:rPr>
        <w:t>Pressure tanks, fittings and pressure pipes</w:t>
      </w:r>
    </w:p>
    <w:p w:rsidR="00E65F26" w:rsidRPr="00C903F8" w:rsidRDefault="005C7859" w:rsidP="00824063">
      <w:pPr>
        <w:pStyle w:val="ESlet"/>
        <w:rPr>
          <w:lang w:val="en-US"/>
        </w:rPr>
      </w:pPr>
      <w:r w:rsidRPr="00C903F8">
        <w:rPr>
          <w:noProof/>
          <w:lang w:val="en-US"/>
        </w:rPr>
        <w:t>a)</w:t>
      </w:r>
      <w:r w:rsidR="00E65F26" w:rsidRPr="00C903F8">
        <w:rPr>
          <w:lang w:val="en-US"/>
        </w:rPr>
        <w:tab/>
      </w:r>
      <w:r w:rsidR="00E65F26" w:rsidRPr="00C903F8">
        <w:rPr>
          <w:noProof/>
          <w:lang w:val="en-US"/>
        </w:rPr>
        <w:t>Pressure tanks, fittings and pressure pipes shall comply with the provisions in force in one of the Member States.</w:t>
      </w:r>
    </w:p>
    <w:p w:rsidR="00E65F26" w:rsidRPr="00C903F8" w:rsidRDefault="005C7859" w:rsidP="00824063">
      <w:pPr>
        <w:pStyle w:val="ESlet"/>
        <w:rPr>
          <w:lang w:val="en-US"/>
        </w:rPr>
      </w:pPr>
      <w:r w:rsidRPr="00C903F8">
        <w:rPr>
          <w:noProof/>
          <w:lang w:val="en-US"/>
        </w:rPr>
        <w:t>b)</w:t>
      </w:r>
      <w:r w:rsidR="00E65F26" w:rsidRPr="00C903F8">
        <w:rPr>
          <w:lang w:val="en-US"/>
        </w:rPr>
        <w:tab/>
      </w:r>
      <w:r w:rsidR="00E65F26" w:rsidRPr="00C903F8">
        <w:rPr>
          <w:noProof/>
          <w:lang w:val="en-US"/>
        </w:rPr>
        <w:t>Pressure tanks shall be installed in accordance with the manufacturer's instructions.</w:t>
      </w:r>
    </w:p>
    <w:p w:rsidR="00E65F26" w:rsidRPr="00C903F8" w:rsidRDefault="005C7859" w:rsidP="00824063">
      <w:pPr>
        <w:pStyle w:val="ESlet"/>
        <w:rPr>
          <w:lang w:val="en-US"/>
        </w:rPr>
      </w:pPr>
      <w:r w:rsidRPr="00C903F8">
        <w:rPr>
          <w:noProof/>
          <w:lang w:val="en-US"/>
        </w:rPr>
        <w:t>c)</w:t>
      </w:r>
      <w:r w:rsidR="00E65F26" w:rsidRPr="00C903F8">
        <w:rPr>
          <w:lang w:val="en-US"/>
        </w:rPr>
        <w:tab/>
      </w:r>
      <w:r w:rsidR="00E65F26" w:rsidRPr="00C903F8">
        <w:rPr>
          <w:noProof/>
          <w:lang w:val="en-US"/>
        </w:rPr>
        <w:t>Pressure tanks, fittings and pressure pipes are not to be installed in accommodation spaces.</w:t>
      </w:r>
    </w:p>
    <w:p w:rsidR="00E65F26" w:rsidRPr="00C903F8" w:rsidRDefault="005C7859" w:rsidP="00824063">
      <w:pPr>
        <w:pStyle w:val="ESlet"/>
        <w:rPr>
          <w:lang w:val="en-US"/>
        </w:rPr>
      </w:pPr>
      <w:r w:rsidRPr="00C903F8">
        <w:rPr>
          <w:noProof/>
          <w:lang w:val="en-US"/>
        </w:rPr>
        <w:t>d)</w:t>
      </w:r>
      <w:r w:rsidR="00E65F26" w:rsidRPr="00C903F8">
        <w:rPr>
          <w:lang w:val="en-US"/>
        </w:rPr>
        <w:tab/>
      </w:r>
      <w:r w:rsidR="00E65F26" w:rsidRPr="00C903F8">
        <w:rPr>
          <w:noProof/>
          <w:lang w:val="en-US"/>
        </w:rPr>
        <w:t>The temperature in cabinets and installation spaces containing pressure tanks shall not exceed 50 °C.</w:t>
      </w:r>
    </w:p>
    <w:p w:rsidR="00E65F26" w:rsidRPr="00C903F8" w:rsidRDefault="0029453D" w:rsidP="00824063">
      <w:pPr>
        <w:pStyle w:val="ESlet"/>
        <w:rPr>
          <w:lang w:val="en-US"/>
        </w:rPr>
      </w:pPr>
      <w:r w:rsidRPr="00C903F8">
        <w:rPr>
          <w:noProof/>
          <w:lang w:val="en-US"/>
        </w:rPr>
        <w:t>e)</w:t>
      </w:r>
      <w:r w:rsidR="00E65F26" w:rsidRPr="00C903F8">
        <w:rPr>
          <w:lang w:val="en-US"/>
        </w:rPr>
        <w:tab/>
      </w:r>
      <w:r w:rsidR="00E65F26" w:rsidRPr="00C903F8">
        <w:rPr>
          <w:noProof/>
          <w:lang w:val="en-US"/>
        </w:rPr>
        <w:t>Cabinets or installation spaces on deck shall be firmly fixed in place and have air vents which are to be arranged in such a way that in the event of a leak in the pressure tank no gas can escape into the interior of the vessel. Direct connections to other rooms are not permitted.</w:t>
      </w:r>
    </w:p>
    <w:p w:rsidR="00824063" w:rsidRPr="00C903F8" w:rsidRDefault="00824063" w:rsidP="00E65F26">
      <w:pPr>
        <w:pStyle w:val="ESch"/>
        <w:rPr>
          <w:noProof/>
          <w:lang w:val="en-US"/>
        </w:rPr>
      </w:pPr>
    </w:p>
    <w:p w:rsidR="00771FEA" w:rsidRPr="00C903F8" w:rsidRDefault="00771FEA" w:rsidP="00E65F26">
      <w:pPr>
        <w:pStyle w:val="ESch"/>
        <w:rPr>
          <w:noProof/>
          <w:lang w:val="en-US"/>
        </w:rPr>
      </w:pPr>
      <w:r w:rsidRPr="00C903F8">
        <w:rPr>
          <w:noProof/>
          <w:lang w:val="en-US"/>
        </w:rPr>
        <w:br w:type="page"/>
      </w:r>
    </w:p>
    <w:p w:rsidR="00E65F26" w:rsidRPr="00C903F8" w:rsidRDefault="00E65F26" w:rsidP="00E65F26">
      <w:pPr>
        <w:pStyle w:val="ESch"/>
        <w:rPr>
          <w:lang w:val="en-US"/>
        </w:rPr>
      </w:pPr>
      <w:r w:rsidRPr="00C903F8">
        <w:rPr>
          <w:noProof/>
          <w:lang w:val="en-US"/>
        </w:rPr>
        <w:lastRenderedPageBreak/>
        <w:t>8.</w:t>
      </w:r>
      <w:r w:rsidRPr="00C903F8">
        <w:rPr>
          <w:lang w:val="en-US"/>
        </w:rPr>
        <w:tab/>
      </w:r>
      <w:r w:rsidRPr="00C903F8">
        <w:rPr>
          <w:noProof/>
          <w:lang w:val="en-US"/>
        </w:rPr>
        <w:t>Quantity of extinguishing agent</w:t>
      </w:r>
    </w:p>
    <w:p w:rsidR="00824063" w:rsidRPr="00C903F8" w:rsidRDefault="00824063" w:rsidP="00824063">
      <w:pPr>
        <w:pStyle w:val="ESchpar"/>
        <w:rPr>
          <w:noProof/>
          <w:lang w:val="en-US"/>
        </w:rPr>
      </w:pPr>
    </w:p>
    <w:p w:rsidR="00E65F26" w:rsidRPr="00C903F8" w:rsidRDefault="00E65F26" w:rsidP="00824063">
      <w:pPr>
        <w:pStyle w:val="ESchpar"/>
        <w:rPr>
          <w:lang w:val="en-US"/>
        </w:rPr>
      </w:pPr>
      <w:r w:rsidRPr="00C903F8">
        <w:rPr>
          <w:noProof/>
          <w:lang w:val="en-US"/>
        </w:rPr>
        <w:t>If the quantity of extinguishing agent is intended for protecting more than one room, the total amount of extinguishing agent available does not need to be greater than the quantity necessary for the largest room to be protected.</w:t>
      </w:r>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9.</w:t>
      </w:r>
      <w:r w:rsidRPr="00C903F8">
        <w:rPr>
          <w:lang w:val="en-US"/>
        </w:rPr>
        <w:tab/>
      </w:r>
      <w:r w:rsidRPr="00C903F8">
        <w:rPr>
          <w:noProof/>
          <w:lang w:val="en-US"/>
        </w:rPr>
        <w:t>Installation, inspection and documentation</w:t>
      </w:r>
    </w:p>
    <w:p w:rsidR="00E65F26" w:rsidRPr="00C903F8" w:rsidRDefault="005C7859" w:rsidP="00824063">
      <w:pPr>
        <w:pStyle w:val="ESlet"/>
        <w:rPr>
          <w:lang w:val="en-US"/>
        </w:rPr>
      </w:pPr>
      <w:r w:rsidRPr="00C903F8">
        <w:rPr>
          <w:noProof/>
          <w:lang w:val="en-US"/>
        </w:rPr>
        <w:t>a)</w:t>
      </w:r>
      <w:r w:rsidR="00E65F26" w:rsidRPr="00C903F8">
        <w:rPr>
          <w:lang w:val="en-US"/>
        </w:rPr>
        <w:tab/>
      </w:r>
      <w:r w:rsidR="00E65F26" w:rsidRPr="00C903F8">
        <w:rPr>
          <w:noProof/>
          <w:lang w:val="en-US"/>
        </w:rPr>
        <w:t>The system shall be installed or converted only by a firm specialising in fire-fighting systems. The requirements specified by the extinguishing agent manufacturer and the system manufacturer (product data sheet, safety data sheet) are to be complied with.</w:t>
      </w:r>
      <w:r w:rsidR="00C44D3C">
        <w:rPr>
          <w:noProof/>
          <w:lang w:val="en-US"/>
        </w:rPr>
        <w:t xml:space="preserve"> </w:t>
      </w:r>
      <w:r w:rsidR="00C44D3C" w:rsidRPr="00DB0A19">
        <w:rPr>
          <w:szCs w:val="20"/>
          <w:lang w:val="en-GB" w:eastAsia="en-GB"/>
        </w:rPr>
        <w:t>Maintenance, in particular of the condition of the spray nozzles, shall be carried out regularly in accordance with the instructions of the system manufacturer or producer of the extinguishing agent (data sheet).</w:t>
      </w:r>
    </w:p>
    <w:p w:rsidR="00E65F26" w:rsidRPr="00C903F8" w:rsidRDefault="005C7859" w:rsidP="00824063">
      <w:pPr>
        <w:pStyle w:val="ESlet"/>
        <w:rPr>
          <w:lang w:val="en-US"/>
        </w:rPr>
      </w:pPr>
      <w:r w:rsidRPr="00C903F8">
        <w:rPr>
          <w:noProof/>
          <w:lang w:val="en-US"/>
        </w:rPr>
        <w:t>b)</w:t>
      </w:r>
      <w:r w:rsidR="00E65F26" w:rsidRPr="00C903F8">
        <w:rPr>
          <w:lang w:val="en-US"/>
        </w:rPr>
        <w:tab/>
      </w:r>
      <w:r w:rsidR="00E65F26" w:rsidRPr="00C903F8">
        <w:rPr>
          <w:noProof/>
          <w:lang w:val="en-US"/>
        </w:rPr>
        <w:t>The system shall be checked by an expert</w:t>
      </w:r>
      <w:r w:rsidR="00726252" w:rsidRPr="00C903F8">
        <w:rPr>
          <w:noProof/>
          <w:lang w:val="en-US"/>
        </w:rPr>
        <w:t>:</w:t>
      </w:r>
    </w:p>
    <w:p w:rsidR="00E65F26" w:rsidRPr="00C903F8" w:rsidRDefault="0029453D" w:rsidP="00771FEA">
      <w:pPr>
        <w:pStyle w:val="EStiret"/>
        <w:rPr>
          <w:lang w:val="en-US"/>
        </w:rPr>
      </w:pPr>
      <w:r w:rsidRPr="00C903F8">
        <w:rPr>
          <w:lang w:val="en-US"/>
        </w:rPr>
        <w:t>aa)</w:t>
      </w:r>
      <w:r w:rsidR="00E65F26" w:rsidRPr="00C903F8">
        <w:rPr>
          <w:lang w:val="en-US"/>
        </w:rPr>
        <w:tab/>
        <w:t>before being put into service for the first time</w:t>
      </w:r>
      <w:r w:rsidR="00F55D2A" w:rsidRPr="00C903F8">
        <w:rPr>
          <w:lang w:val="en-US"/>
        </w:rPr>
        <w:t>;</w:t>
      </w:r>
    </w:p>
    <w:p w:rsidR="00E65F26" w:rsidRPr="00C903F8" w:rsidRDefault="0029453D" w:rsidP="00771FEA">
      <w:pPr>
        <w:pStyle w:val="EStiret"/>
        <w:rPr>
          <w:lang w:val="en-US"/>
        </w:rPr>
      </w:pPr>
      <w:r w:rsidRPr="00C903F8">
        <w:rPr>
          <w:lang w:val="en-US"/>
        </w:rPr>
        <w:t>bb)</w:t>
      </w:r>
      <w:r w:rsidR="00E65F26" w:rsidRPr="00C903F8">
        <w:rPr>
          <w:lang w:val="en-US"/>
        </w:rPr>
        <w:tab/>
        <w:t>before being put back into service after it has been triggered</w:t>
      </w:r>
      <w:r w:rsidR="00F55D2A" w:rsidRPr="00C903F8">
        <w:rPr>
          <w:lang w:val="en-US"/>
        </w:rPr>
        <w:t>;</w:t>
      </w:r>
    </w:p>
    <w:p w:rsidR="00E65F26" w:rsidRPr="00C903F8" w:rsidRDefault="00E65F26" w:rsidP="00771FEA">
      <w:pPr>
        <w:pStyle w:val="EStiret"/>
        <w:rPr>
          <w:lang w:val="en-US"/>
        </w:rPr>
      </w:pPr>
      <w:r w:rsidRPr="00C903F8">
        <w:rPr>
          <w:lang w:val="en-US"/>
        </w:rPr>
        <w:t>cc)</w:t>
      </w:r>
      <w:r w:rsidRPr="00C903F8">
        <w:rPr>
          <w:lang w:val="en-US"/>
        </w:rPr>
        <w:tab/>
        <w:t>before being put back into service after any major modification or repair</w:t>
      </w:r>
      <w:r w:rsidR="00F55D2A" w:rsidRPr="00C903F8">
        <w:rPr>
          <w:lang w:val="en-US"/>
        </w:rPr>
        <w:t>; and</w:t>
      </w:r>
    </w:p>
    <w:p w:rsidR="00E65F26" w:rsidRPr="00C903F8" w:rsidRDefault="00E65F26" w:rsidP="00771FEA">
      <w:pPr>
        <w:pStyle w:val="EStiret"/>
        <w:rPr>
          <w:lang w:val="en-US"/>
        </w:rPr>
      </w:pPr>
      <w:r w:rsidRPr="00C903F8">
        <w:rPr>
          <w:lang w:val="en-US"/>
        </w:rPr>
        <w:t>dd)</w:t>
      </w:r>
      <w:r w:rsidRPr="00C903F8">
        <w:rPr>
          <w:lang w:val="en-US"/>
        </w:rPr>
        <w:tab/>
        <w:t>regularly, at least every two years.</w:t>
      </w:r>
    </w:p>
    <w:p w:rsidR="00E65F26" w:rsidRPr="00C903F8" w:rsidRDefault="00E65F26" w:rsidP="00771FEA">
      <w:pPr>
        <w:pStyle w:val="ESletpar"/>
        <w:rPr>
          <w:lang w:val="en-US"/>
        </w:rPr>
      </w:pPr>
      <w:r w:rsidRPr="00C903F8">
        <w:rPr>
          <w:noProof/>
          <w:lang w:val="en-US"/>
        </w:rPr>
        <w:t>Inspections as referred to in (dd) may also be carried out by a competent person from a competent firm specialising in fire extinguishing systems.</w:t>
      </w:r>
    </w:p>
    <w:p w:rsidR="00E65F26" w:rsidRPr="00C903F8" w:rsidRDefault="005C7859" w:rsidP="00824063">
      <w:pPr>
        <w:pStyle w:val="ESlet"/>
        <w:rPr>
          <w:lang w:val="en-US"/>
        </w:rPr>
      </w:pPr>
      <w:r w:rsidRPr="00C903F8">
        <w:rPr>
          <w:noProof/>
          <w:lang w:val="en-US"/>
        </w:rPr>
        <w:t>c)</w:t>
      </w:r>
      <w:r w:rsidR="00E65F26" w:rsidRPr="00C903F8">
        <w:rPr>
          <w:lang w:val="en-US"/>
        </w:rPr>
        <w:tab/>
      </w:r>
      <w:r w:rsidR="00E65F26" w:rsidRPr="00C903F8">
        <w:rPr>
          <w:noProof/>
          <w:lang w:val="en-US"/>
        </w:rPr>
        <w:t>In the inspection the expert or competent person shall check whether the system meets the requirements of this Article.</w:t>
      </w:r>
    </w:p>
    <w:p w:rsidR="00E65F26" w:rsidRPr="00C903F8" w:rsidRDefault="005C7859" w:rsidP="00824063">
      <w:pPr>
        <w:pStyle w:val="ESlet"/>
        <w:rPr>
          <w:lang w:val="en-US"/>
        </w:rPr>
      </w:pPr>
      <w:r w:rsidRPr="00C903F8">
        <w:rPr>
          <w:noProof/>
          <w:lang w:val="en-US"/>
        </w:rPr>
        <w:t>d)</w:t>
      </w:r>
      <w:r w:rsidR="00E65F26" w:rsidRPr="00C903F8">
        <w:rPr>
          <w:lang w:val="en-US"/>
        </w:rPr>
        <w:tab/>
      </w:r>
      <w:r w:rsidR="00E65F26" w:rsidRPr="00C903F8">
        <w:rPr>
          <w:noProof/>
          <w:lang w:val="en-US"/>
        </w:rPr>
        <w:t>The inspection shall cover at least the following:</w:t>
      </w:r>
    </w:p>
    <w:p w:rsidR="00E65F26" w:rsidRPr="00C903F8" w:rsidRDefault="0029453D" w:rsidP="00771FEA">
      <w:pPr>
        <w:pStyle w:val="EStiret"/>
        <w:rPr>
          <w:lang w:val="en-US"/>
        </w:rPr>
      </w:pPr>
      <w:r w:rsidRPr="00C903F8">
        <w:rPr>
          <w:lang w:val="en-US"/>
        </w:rPr>
        <w:t>aa)</w:t>
      </w:r>
      <w:r w:rsidR="00E65F26" w:rsidRPr="00C903F8">
        <w:rPr>
          <w:lang w:val="en-US"/>
        </w:rPr>
        <w:tab/>
        <w:t>external inspection of the entire installation;</w:t>
      </w:r>
    </w:p>
    <w:p w:rsidR="00E65F26" w:rsidRPr="00C903F8" w:rsidRDefault="0029453D" w:rsidP="00824063">
      <w:pPr>
        <w:pStyle w:val="EStiret"/>
        <w:rPr>
          <w:lang w:val="en-US"/>
        </w:rPr>
      </w:pPr>
      <w:r w:rsidRPr="00C903F8">
        <w:rPr>
          <w:lang w:val="en-US"/>
        </w:rPr>
        <w:t>bb)</w:t>
      </w:r>
      <w:r w:rsidR="00E65F26" w:rsidRPr="00C903F8">
        <w:rPr>
          <w:lang w:val="en-US"/>
        </w:rPr>
        <w:tab/>
        <w:t>tightness check on pipes;</w:t>
      </w:r>
    </w:p>
    <w:p w:rsidR="00E65F26" w:rsidRPr="00C903F8" w:rsidRDefault="00E65F26" w:rsidP="00824063">
      <w:pPr>
        <w:pStyle w:val="EStiret"/>
        <w:rPr>
          <w:lang w:val="en-US"/>
        </w:rPr>
      </w:pPr>
      <w:r w:rsidRPr="00C903F8">
        <w:rPr>
          <w:lang w:val="en-US"/>
        </w:rPr>
        <w:t>cc)</w:t>
      </w:r>
      <w:r w:rsidRPr="00C903F8">
        <w:rPr>
          <w:lang w:val="en-US"/>
        </w:rPr>
        <w:tab/>
        <w:t>functional checking of control and triggering systems;</w:t>
      </w:r>
    </w:p>
    <w:p w:rsidR="00E65F26" w:rsidRPr="00C903F8" w:rsidRDefault="00E65F26" w:rsidP="00824063">
      <w:pPr>
        <w:pStyle w:val="EStiret"/>
        <w:rPr>
          <w:lang w:val="en-US"/>
        </w:rPr>
      </w:pPr>
      <w:r w:rsidRPr="00C903F8">
        <w:rPr>
          <w:lang w:val="en-US"/>
        </w:rPr>
        <w:t>dd)</w:t>
      </w:r>
      <w:r w:rsidRPr="00C903F8">
        <w:rPr>
          <w:lang w:val="en-US"/>
        </w:rPr>
        <w:tab/>
        <w:t>checking of tank pressure and content;</w:t>
      </w:r>
    </w:p>
    <w:p w:rsidR="00E65F26" w:rsidRPr="00C903F8" w:rsidRDefault="00E65F26" w:rsidP="00824063">
      <w:pPr>
        <w:pStyle w:val="EStiret"/>
        <w:rPr>
          <w:lang w:val="en-US"/>
        </w:rPr>
      </w:pPr>
      <w:r w:rsidRPr="00C903F8">
        <w:rPr>
          <w:lang w:val="en-US"/>
        </w:rPr>
        <w:t>ee)</w:t>
      </w:r>
      <w:r w:rsidRPr="00C903F8">
        <w:rPr>
          <w:lang w:val="en-US"/>
        </w:rPr>
        <w:tab/>
        <w:t>checking of tightness and facilities for locking the room to be protected;</w:t>
      </w:r>
    </w:p>
    <w:p w:rsidR="00E65F26" w:rsidRPr="00C903F8" w:rsidRDefault="00E65F26" w:rsidP="00824063">
      <w:pPr>
        <w:pStyle w:val="EStiret"/>
        <w:rPr>
          <w:lang w:val="en-US"/>
        </w:rPr>
      </w:pPr>
      <w:r w:rsidRPr="00C903F8">
        <w:rPr>
          <w:lang w:val="en-US"/>
        </w:rPr>
        <w:t>ff)</w:t>
      </w:r>
      <w:r w:rsidRPr="00C903F8">
        <w:rPr>
          <w:lang w:val="en-US"/>
        </w:rPr>
        <w:tab/>
        <w:t>checking the fire alarm system;</w:t>
      </w:r>
    </w:p>
    <w:p w:rsidR="00E65F26" w:rsidRPr="00C903F8" w:rsidRDefault="00E65F26" w:rsidP="00824063">
      <w:pPr>
        <w:pStyle w:val="EStiret"/>
        <w:rPr>
          <w:lang w:val="en-US"/>
        </w:rPr>
      </w:pPr>
      <w:r w:rsidRPr="00C903F8">
        <w:rPr>
          <w:lang w:val="en-US"/>
        </w:rPr>
        <w:t>gg)</w:t>
      </w:r>
      <w:r w:rsidRPr="00C903F8">
        <w:rPr>
          <w:lang w:val="en-US"/>
        </w:rPr>
        <w:tab/>
        <w:t>checking the warning system.</w:t>
      </w:r>
    </w:p>
    <w:p w:rsidR="00E65F26" w:rsidRPr="00C903F8" w:rsidRDefault="0029453D" w:rsidP="00824063">
      <w:pPr>
        <w:pStyle w:val="ESlet"/>
        <w:rPr>
          <w:lang w:val="en-US"/>
        </w:rPr>
      </w:pPr>
      <w:r w:rsidRPr="00C903F8">
        <w:rPr>
          <w:noProof/>
          <w:lang w:val="en-US"/>
        </w:rPr>
        <w:t>e)</w:t>
      </w:r>
      <w:r w:rsidR="00E65F26" w:rsidRPr="00C903F8">
        <w:rPr>
          <w:lang w:val="en-US"/>
        </w:rPr>
        <w:tab/>
        <w:t xml:space="preserve">An inspection </w:t>
      </w:r>
      <w:r w:rsidR="00726252" w:rsidRPr="00C903F8">
        <w:rPr>
          <w:lang w:val="en-US"/>
        </w:rPr>
        <w:t xml:space="preserve">attestation </w:t>
      </w:r>
      <w:r w:rsidR="00E65F26" w:rsidRPr="00C903F8">
        <w:rPr>
          <w:lang w:val="en-US"/>
        </w:rPr>
        <w:t>shall be issued, signed by the expert and showing the date of the inspection.</w:t>
      </w:r>
    </w:p>
    <w:p w:rsidR="00E65F26" w:rsidRPr="00C903F8" w:rsidRDefault="0029453D" w:rsidP="00824063">
      <w:pPr>
        <w:pStyle w:val="ESlet"/>
        <w:rPr>
          <w:lang w:val="en-US"/>
        </w:rPr>
      </w:pPr>
      <w:r w:rsidRPr="00C903F8">
        <w:rPr>
          <w:noProof/>
          <w:lang w:val="en-US"/>
        </w:rPr>
        <w:t>f)</w:t>
      </w:r>
      <w:r w:rsidR="00E65F26" w:rsidRPr="00C903F8">
        <w:rPr>
          <w:lang w:val="en-US"/>
        </w:rPr>
        <w:tab/>
      </w:r>
      <w:r w:rsidR="00E65F26" w:rsidRPr="00C903F8">
        <w:rPr>
          <w:noProof/>
          <w:lang w:val="en-US"/>
        </w:rPr>
        <w:t xml:space="preserve">The number of permanently installed fire-fighting systems shall be entered in the inland navigation </w:t>
      </w:r>
      <w:r w:rsidR="003D5828" w:rsidRPr="00C903F8">
        <w:rPr>
          <w:noProof/>
          <w:lang w:val="en-US"/>
        </w:rPr>
        <w:t xml:space="preserve">vessel </w:t>
      </w:r>
      <w:r w:rsidR="00E65F26" w:rsidRPr="00C903F8">
        <w:rPr>
          <w:noProof/>
          <w:lang w:val="en-US"/>
        </w:rPr>
        <w:t>certificate.</w:t>
      </w:r>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10.</w:t>
      </w:r>
      <w:r w:rsidRPr="00C903F8">
        <w:rPr>
          <w:lang w:val="en-US"/>
        </w:rPr>
        <w:tab/>
      </w:r>
      <w:r w:rsidRPr="00C903F8">
        <w:rPr>
          <w:noProof/>
          <w:lang w:val="en-US"/>
        </w:rPr>
        <w:t>CO</w:t>
      </w:r>
      <w:r w:rsidRPr="00C903F8">
        <w:rPr>
          <w:noProof/>
          <w:vertAlign w:val="subscript"/>
          <w:lang w:val="en-US"/>
        </w:rPr>
        <w:t>2</w:t>
      </w:r>
      <w:r w:rsidRPr="00C903F8">
        <w:rPr>
          <w:noProof/>
          <w:lang w:val="en-US"/>
        </w:rPr>
        <w:t xml:space="preserve"> fire-fighting systems</w:t>
      </w:r>
    </w:p>
    <w:p w:rsidR="00824063" w:rsidRPr="00C903F8" w:rsidRDefault="00824063" w:rsidP="00824063">
      <w:pPr>
        <w:pStyle w:val="ESchpar"/>
        <w:rPr>
          <w:noProof/>
          <w:lang w:val="en-US"/>
        </w:rPr>
      </w:pPr>
    </w:p>
    <w:p w:rsidR="00E65F26" w:rsidRPr="00C903F8" w:rsidRDefault="00E65F26" w:rsidP="00824063">
      <w:pPr>
        <w:pStyle w:val="ESchpar"/>
        <w:rPr>
          <w:lang w:val="en-US"/>
        </w:rPr>
      </w:pPr>
      <w:r w:rsidRPr="00C903F8">
        <w:rPr>
          <w:noProof/>
          <w:lang w:val="en-US"/>
        </w:rPr>
        <w:t>Fire-fighting systems using CO</w:t>
      </w:r>
      <w:r w:rsidRPr="00C903F8">
        <w:rPr>
          <w:noProof/>
          <w:vertAlign w:val="subscript"/>
          <w:lang w:val="en-US"/>
        </w:rPr>
        <w:t>2</w:t>
      </w:r>
      <w:r w:rsidRPr="00C903F8">
        <w:rPr>
          <w:noProof/>
          <w:lang w:val="en-US"/>
        </w:rPr>
        <w:t xml:space="preserve"> as the extinguishing agent shall comply with the following provisions in addition to the requirements under </w:t>
      </w:r>
      <w:r w:rsidR="00FD1E75" w:rsidRPr="00C903F8">
        <w:rPr>
          <w:noProof/>
          <w:lang w:val="en-US"/>
        </w:rPr>
        <w:t>(</w:t>
      </w:r>
      <w:r w:rsidRPr="00C903F8">
        <w:rPr>
          <w:noProof/>
          <w:lang w:val="en-US"/>
        </w:rPr>
        <w:t>1</w:t>
      </w:r>
      <w:r w:rsidR="00FD1E75" w:rsidRPr="00C903F8">
        <w:rPr>
          <w:noProof/>
          <w:lang w:val="en-US"/>
        </w:rPr>
        <w:t>)</w:t>
      </w:r>
      <w:r w:rsidRPr="00C903F8">
        <w:rPr>
          <w:noProof/>
          <w:lang w:val="en-US"/>
        </w:rPr>
        <w:t xml:space="preserve"> to </w:t>
      </w:r>
      <w:r w:rsidR="00FD1E75" w:rsidRPr="00C903F8">
        <w:rPr>
          <w:noProof/>
          <w:lang w:val="en-US"/>
        </w:rPr>
        <w:t>(</w:t>
      </w:r>
      <w:r w:rsidRPr="00C903F8">
        <w:rPr>
          <w:noProof/>
          <w:lang w:val="en-US"/>
        </w:rPr>
        <w:t>9</w:t>
      </w:r>
      <w:r w:rsidR="00FD1E75" w:rsidRPr="00C903F8">
        <w:rPr>
          <w:noProof/>
          <w:lang w:val="en-US"/>
        </w:rPr>
        <w:t>)</w:t>
      </w:r>
      <w:r w:rsidRPr="00C903F8">
        <w:rPr>
          <w:noProof/>
          <w:lang w:val="en-US"/>
        </w:rPr>
        <w:t>:</w:t>
      </w:r>
    </w:p>
    <w:p w:rsidR="00E65F26" w:rsidRPr="00C903F8" w:rsidRDefault="005C7859" w:rsidP="00824063">
      <w:pPr>
        <w:pStyle w:val="ESlet"/>
        <w:rPr>
          <w:lang w:val="en-US"/>
        </w:rPr>
      </w:pPr>
      <w:r w:rsidRPr="00C903F8">
        <w:rPr>
          <w:noProof/>
          <w:lang w:val="en-US"/>
        </w:rPr>
        <w:t>a)</w:t>
      </w:r>
      <w:r w:rsidR="00E65F26" w:rsidRPr="00C903F8">
        <w:rPr>
          <w:lang w:val="en-US"/>
        </w:rPr>
        <w:tab/>
      </w:r>
      <w:r w:rsidR="00E65F26" w:rsidRPr="00C903F8">
        <w:rPr>
          <w:noProof/>
          <w:lang w:val="en-US"/>
        </w:rPr>
        <w:t>CO</w:t>
      </w:r>
      <w:r w:rsidR="00E65F26" w:rsidRPr="00C903F8">
        <w:rPr>
          <w:noProof/>
          <w:vertAlign w:val="subscript"/>
          <w:lang w:val="en-US"/>
        </w:rPr>
        <w:t>2</w:t>
      </w:r>
      <w:r w:rsidR="00E65F26" w:rsidRPr="00C903F8">
        <w:rPr>
          <w:noProof/>
          <w:lang w:val="en-US"/>
        </w:rPr>
        <w:t xml:space="preserve"> containers shall be housed outside the room to be protected in a space or cabinet hermetically separated from other rooms. The doors to these installation spaces and cabinets shall open outwards, be lockable and bear on the outside a symbol for ‘General danger warning’ in accordance with Figure 4 of Annex </w:t>
      </w:r>
      <w:r w:rsidR="002E6F15" w:rsidRPr="00C903F8">
        <w:rPr>
          <w:noProof/>
          <w:lang w:val="en-US"/>
        </w:rPr>
        <w:t>4</w:t>
      </w:r>
      <w:r w:rsidR="00E65F26" w:rsidRPr="00C903F8">
        <w:rPr>
          <w:noProof/>
          <w:lang w:val="en-US"/>
        </w:rPr>
        <w:t>, at least 5 cm in height, together with the marking ‘CO</w:t>
      </w:r>
      <w:r w:rsidR="00E65F26" w:rsidRPr="00C903F8">
        <w:rPr>
          <w:noProof/>
          <w:vertAlign w:val="subscript"/>
          <w:lang w:val="en-US"/>
        </w:rPr>
        <w:t>2</w:t>
      </w:r>
      <w:r w:rsidR="00E65F26" w:rsidRPr="00C903F8">
        <w:rPr>
          <w:noProof/>
          <w:lang w:val="en-US"/>
        </w:rPr>
        <w:t>’ in the same colour and with the same height</w:t>
      </w:r>
      <w:r w:rsidR="00F55D2A" w:rsidRPr="00C903F8">
        <w:rPr>
          <w:noProof/>
          <w:lang w:val="en-US"/>
        </w:rPr>
        <w:t>.</w:t>
      </w:r>
    </w:p>
    <w:p w:rsidR="00E65F26" w:rsidRPr="00C903F8" w:rsidRDefault="005C7859" w:rsidP="00824063">
      <w:pPr>
        <w:pStyle w:val="ESlet"/>
        <w:rPr>
          <w:lang w:val="en-US"/>
        </w:rPr>
      </w:pPr>
      <w:r w:rsidRPr="00C903F8">
        <w:rPr>
          <w:noProof/>
          <w:lang w:val="en-US"/>
        </w:rPr>
        <w:t>b)</w:t>
      </w:r>
      <w:r w:rsidR="00E65F26" w:rsidRPr="00C903F8">
        <w:rPr>
          <w:lang w:val="en-US"/>
        </w:rPr>
        <w:tab/>
      </w:r>
      <w:r w:rsidR="00F55D2A" w:rsidRPr="00C903F8">
        <w:rPr>
          <w:noProof/>
          <w:lang w:val="en-US"/>
        </w:rPr>
        <w:t>I</w:t>
      </w:r>
      <w:r w:rsidR="00E65F26" w:rsidRPr="00C903F8">
        <w:rPr>
          <w:noProof/>
          <w:lang w:val="en-US"/>
        </w:rPr>
        <w:t>nstallation spaces below decks for CO</w:t>
      </w:r>
      <w:r w:rsidR="00E65F26" w:rsidRPr="00C903F8">
        <w:rPr>
          <w:noProof/>
          <w:vertAlign w:val="subscript"/>
          <w:lang w:val="en-US"/>
        </w:rPr>
        <w:t>2</w:t>
      </w:r>
      <w:r w:rsidR="00E65F26" w:rsidRPr="00C903F8">
        <w:rPr>
          <w:noProof/>
          <w:lang w:val="en-US"/>
        </w:rPr>
        <w:t xml:space="preserve"> containers shall be accessible only from the open air. These spaces shall have their own adequate artificial ventilation system with extraction ducts, completely separate from other ventilation systems on board</w:t>
      </w:r>
      <w:r w:rsidR="00F55D2A" w:rsidRPr="00C903F8">
        <w:rPr>
          <w:noProof/>
          <w:lang w:val="en-US"/>
        </w:rPr>
        <w:t>.</w:t>
      </w:r>
    </w:p>
    <w:p w:rsidR="00771FEA" w:rsidRPr="00C903F8" w:rsidRDefault="00771FEA" w:rsidP="00824063">
      <w:pPr>
        <w:pStyle w:val="ESlet"/>
        <w:rPr>
          <w:noProof/>
          <w:lang w:val="en-US"/>
        </w:rPr>
      </w:pPr>
    </w:p>
    <w:p w:rsidR="00771FEA" w:rsidRPr="00C903F8" w:rsidRDefault="00771FEA" w:rsidP="00824063">
      <w:pPr>
        <w:pStyle w:val="ESlet"/>
        <w:rPr>
          <w:noProof/>
          <w:lang w:val="en-US"/>
        </w:rPr>
      </w:pPr>
      <w:r w:rsidRPr="00C903F8">
        <w:rPr>
          <w:noProof/>
          <w:lang w:val="en-US"/>
        </w:rPr>
        <w:br w:type="page"/>
      </w:r>
    </w:p>
    <w:p w:rsidR="00E65F26" w:rsidRPr="00C903F8" w:rsidRDefault="005C7859" w:rsidP="00824063">
      <w:pPr>
        <w:pStyle w:val="ESlet"/>
        <w:rPr>
          <w:lang w:val="en-US"/>
        </w:rPr>
      </w:pPr>
      <w:r w:rsidRPr="00C903F8">
        <w:rPr>
          <w:noProof/>
          <w:lang w:val="en-US"/>
        </w:rPr>
        <w:lastRenderedPageBreak/>
        <w:t>c)</w:t>
      </w:r>
      <w:r w:rsidR="00E65F26" w:rsidRPr="00C903F8">
        <w:rPr>
          <w:lang w:val="en-US"/>
        </w:rPr>
        <w:tab/>
      </w:r>
      <w:r w:rsidR="00F55D2A" w:rsidRPr="00C903F8">
        <w:rPr>
          <w:lang w:val="en-US"/>
        </w:rPr>
        <w:t>T</w:t>
      </w:r>
      <w:r w:rsidR="00E65F26" w:rsidRPr="00C903F8">
        <w:rPr>
          <w:noProof/>
          <w:lang w:val="en-US"/>
        </w:rPr>
        <w:t>he CO</w:t>
      </w:r>
      <w:r w:rsidR="00E65F26" w:rsidRPr="00C903F8">
        <w:rPr>
          <w:noProof/>
          <w:vertAlign w:val="subscript"/>
          <w:lang w:val="en-US"/>
        </w:rPr>
        <w:t>2</w:t>
      </w:r>
      <w:r w:rsidR="00E65F26" w:rsidRPr="00C903F8">
        <w:rPr>
          <w:noProof/>
          <w:lang w:val="en-US"/>
        </w:rPr>
        <w:t xml:space="preserve"> containers shall not be filled to more than 0,75 kg/l. The specific volume of unpressurised CO</w:t>
      </w:r>
      <w:r w:rsidR="00E65F26" w:rsidRPr="00C903F8">
        <w:rPr>
          <w:noProof/>
          <w:vertAlign w:val="subscript"/>
          <w:lang w:val="en-US"/>
        </w:rPr>
        <w:t>2</w:t>
      </w:r>
      <w:r w:rsidR="00E65F26" w:rsidRPr="00C903F8">
        <w:rPr>
          <w:noProof/>
          <w:lang w:val="en-US"/>
        </w:rPr>
        <w:t xml:space="preserve"> gas is to be taken as 0,56 m</w:t>
      </w:r>
      <w:r w:rsidR="00E65F26" w:rsidRPr="00C903F8">
        <w:rPr>
          <w:noProof/>
          <w:vertAlign w:val="superscript"/>
          <w:lang w:val="en-US"/>
        </w:rPr>
        <w:t>3</w:t>
      </w:r>
      <w:r w:rsidR="00E65F26" w:rsidRPr="00C903F8">
        <w:rPr>
          <w:noProof/>
          <w:lang w:val="en-US"/>
        </w:rPr>
        <w:t>/kg</w:t>
      </w:r>
      <w:r w:rsidR="00F55D2A" w:rsidRPr="00C903F8">
        <w:rPr>
          <w:noProof/>
          <w:lang w:val="en-US"/>
        </w:rPr>
        <w:t>.</w:t>
      </w:r>
    </w:p>
    <w:p w:rsidR="00E65F26" w:rsidRPr="00C903F8" w:rsidRDefault="005C7859" w:rsidP="00824063">
      <w:pPr>
        <w:pStyle w:val="ESlet"/>
        <w:rPr>
          <w:lang w:val="en-US"/>
        </w:rPr>
      </w:pPr>
      <w:r w:rsidRPr="00C903F8">
        <w:rPr>
          <w:noProof/>
          <w:lang w:val="en-US"/>
        </w:rPr>
        <w:t>d)</w:t>
      </w:r>
      <w:r w:rsidR="00E65F26" w:rsidRPr="00C903F8">
        <w:rPr>
          <w:lang w:val="en-US"/>
        </w:rPr>
        <w:tab/>
      </w:r>
      <w:r w:rsidR="00F55D2A" w:rsidRPr="00C903F8">
        <w:rPr>
          <w:noProof/>
          <w:lang w:val="en-US"/>
        </w:rPr>
        <w:t>T</w:t>
      </w:r>
      <w:r w:rsidR="00E65F26" w:rsidRPr="00C903F8">
        <w:rPr>
          <w:noProof/>
          <w:lang w:val="en-US"/>
        </w:rPr>
        <w:t>he volume of CO</w:t>
      </w:r>
      <w:r w:rsidR="00E65F26" w:rsidRPr="00C903F8">
        <w:rPr>
          <w:noProof/>
          <w:vertAlign w:val="subscript"/>
          <w:lang w:val="en-US"/>
        </w:rPr>
        <w:t>2</w:t>
      </w:r>
      <w:r w:rsidR="00E65F26" w:rsidRPr="00C903F8">
        <w:rPr>
          <w:noProof/>
          <w:lang w:val="en-US"/>
        </w:rPr>
        <w:t xml:space="preserve"> for the room to be protected shall be at least 40 % of its gross volume. It shall be possible to supply this volume within 120 seconds, and to check whether supply has been completed</w:t>
      </w:r>
      <w:r w:rsidR="00F55D2A" w:rsidRPr="00C903F8">
        <w:rPr>
          <w:noProof/>
          <w:lang w:val="en-US"/>
        </w:rPr>
        <w:t>.</w:t>
      </w:r>
    </w:p>
    <w:p w:rsidR="00E65F26" w:rsidRPr="00C903F8" w:rsidRDefault="0029453D" w:rsidP="00824063">
      <w:pPr>
        <w:pStyle w:val="ESlet"/>
        <w:rPr>
          <w:lang w:val="en-US"/>
        </w:rPr>
      </w:pPr>
      <w:r w:rsidRPr="00C903F8">
        <w:rPr>
          <w:noProof/>
          <w:lang w:val="en-US"/>
        </w:rPr>
        <w:t>e)</w:t>
      </w:r>
      <w:r w:rsidR="00E65F26" w:rsidRPr="00C903F8">
        <w:rPr>
          <w:lang w:val="en-US"/>
        </w:rPr>
        <w:tab/>
      </w:r>
      <w:r w:rsidR="00F55D2A" w:rsidRPr="00C903F8">
        <w:rPr>
          <w:lang w:val="en-US"/>
        </w:rPr>
        <w:t>O</w:t>
      </w:r>
      <w:r w:rsidR="00E65F26" w:rsidRPr="00C903F8">
        <w:rPr>
          <w:noProof/>
          <w:lang w:val="en-US"/>
        </w:rPr>
        <w:t xml:space="preserve">pening the container valves and operating the flood valve shall be </w:t>
      </w:r>
      <w:r w:rsidR="00726252" w:rsidRPr="00C903F8">
        <w:rPr>
          <w:noProof/>
          <w:lang w:val="en-US"/>
        </w:rPr>
        <w:t xml:space="preserve">by </w:t>
      </w:r>
      <w:r w:rsidR="00E65F26" w:rsidRPr="00C903F8">
        <w:rPr>
          <w:noProof/>
          <w:lang w:val="en-US"/>
        </w:rPr>
        <w:t>separate control operations</w:t>
      </w:r>
      <w:r w:rsidR="00F55D2A" w:rsidRPr="00C903F8">
        <w:rPr>
          <w:noProof/>
          <w:lang w:val="en-US"/>
        </w:rPr>
        <w:t>.</w:t>
      </w:r>
    </w:p>
    <w:p w:rsidR="00E65F26" w:rsidRPr="00C903F8" w:rsidRDefault="0029453D" w:rsidP="00824063">
      <w:pPr>
        <w:pStyle w:val="ESlet"/>
        <w:rPr>
          <w:lang w:val="en-US"/>
        </w:rPr>
      </w:pPr>
      <w:r w:rsidRPr="00C903F8">
        <w:rPr>
          <w:noProof/>
          <w:lang w:val="en-US"/>
        </w:rPr>
        <w:t>f)</w:t>
      </w:r>
      <w:r w:rsidR="00E65F26" w:rsidRPr="00C903F8">
        <w:rPr>
          <w:lang w:val="en-US"/>
        </w:rPr>
        <w:tab/>
      </w:r>
      <w:r w:rsidR="00F55D2A" w:rsidRPr="00C903F8">
        <w:rPr>
          <w:lang w:val="en-US"/>
        </w:rPr>
        <w:t>T</w:t>
      </w:r>
      <w:r w:rsidR="00E65F26" w:rsidRPr="00C903F8">
        <w:rPr>
          <w:noProof/>
          <w:lang w:val="en-US"/>
        </w:rPr>
        <w:t xml:space="preserve">he appropriate time mentioned under </w:t>
      </w:r>
      <w:r w:rsidR="00FD1E75" w:rsidRPr="00C903F8">
        <w:rPr>
          <w:noProof/>
          <w:lang w:val="en-US"/>
        </w:rPr>
        <w:t>(</w:t>
      </w:r>
      <w:r w:rsidR="00E65F26" w:rsidRPr="00C903F8">
        <w:rPr>
          <w:noProof/>
          <w:lang w:val="en-US"/>
        </w:rPr>
        <w:t>6</w:t>
      </w:r>
      <w:r w:rsidR="00FD1E75" w:rsidRPr="00C903F8">
        <w:rPr>
          <w:noProof/>
          <w:lang w:val="en-US"/>
        </w:rPr>
        <w:t>)</w:t>
      </w:r>
      <w:r w:rsidR="00E65F26" w:rsidRPr="00C903F8">
        <w:rPr>
          <w:noProof/>
          <w:lang w:val="en-US"/>
        </w:rPr>
        <w:t>(b) shall be at least 20 seconds. There shall be a reliable device to ensure the delay before delivery of the CO</w:t>
      </w:r>
      <w:r w:rsidR="00E65F26" w:rsidRPr="00C903F8">
        <w:rPr>
          <w:noProof/>
          <w:vertAlign w:val="subscript"/>
          <w:lang w:val="en-US"/>
        </w:rPr>
        <w:t>2</w:t>
      </w:r>
      <w:r w:rsidR="00E65F26" w:rsidRPr="00C903F8">
        <w:rPr>
          <w:noProof/>
          <w:lang w:val="en-US"/>
        </w:rPr>
        <w:t xml:space="preserve"> gas.</w:t>
      </w:r>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11.</w:t>
      </w:r>
      <w:r w:rsidRPr="00C903F8">
        <w:rPr>
          <w:lang w:val="en-US"/>
        </w:rPr>
        <w:tab/>
      </w:r>
      <w:r w:rsidRPr="00C903F8">
        <w:rPr>
          <w:noProof/>
          <w:lang w:val="en-US"/>
        </w:rPr>
        <w:t>HFC-227ea — fire-fighting systems</w:t>
      </w:r>
    </w:p>
    <w:p w:rsidR="00824063" w:rsidRPr="00C903F8" w:rsidRDefault="00824063" w:rsidP="00824063">
      <w:pPr>
        <w:pStyle w:val="ESchpar"/>
        <w:rPr>
          <w:noProof/>
          <w:lang w:val="en-US"/>
        </w:rPr>
      </w:pPr>
    </w:p>
    <w:p w:rsidR="00E65F26" w:rsidRPr="00C903F8" w:rsidRDefault="00E65F26" w:rsidP="00824063">
      <w:pPr>
        <w:pStyle w:val="ESchpar"/>
        <w:rPr>
          <w:lang w:val="en-US"/>
        </w:rPr>
      </w:pPr>
      <w:r w:rsidRPr="00C903F8">
        <w:rPr>
          <w:noProof/>
          <w:lang w:val="en-US"/>
        </w:rPr>
        <w:t xml:space="preserve">Fire-fighting systems using HFC-227ea as the extinguishing agent shall comply with the following provisions in addition to the requirements under </w:t>
      </w:r>
      <w:r w:rsidR="00FD1E75" w:rsidRPr="00C903F8">
        <w:rPr>
          <w:noProof/>
          <w:lang w:val="en-US"/>
        </w:rPr>
        <w:t>(</w:t>
      </w:r>
      <w:r w:rsidRPr="00C903F8">
        <w:rPr>
          <w:noProof/>
          <w:lang w:val="en-US"/>
        </w:rPr>
        <w:t>1</w:t>
      </w:r>
      <w:r w:rsidR="00FD1E75" w:rsidRPr="00C903F8">
        <w:rPr>
          <w:noProof/>
          <w:lang w:val="en-US"/>
        </w:rPr>
        <w:t>)</w:t>
      </w:r>
      <w:r w:rsidRPr="00C903F8">
        <w:rPr>
          <w:noProof/>
          <w:lang w:val="en-US"/>
        </w:rPr>
        <w:t xml:space="preserve"> to </w:t>
      </w:r>
      <w:r w:rsidR="00FD1E75" w:rsidRPr="00C903F8">
        <w:rPr>
          <w:noProof/>
          <w:lang w:val="en-US"/>
        </w:rPr>
        <w:t>(</w:t>
      </w:r>
      <w:r w:rsidRPr="00C903F8">
        <w:rPr>
          <w:noProof/>
          <w:lang w:val="en-US"/>
        </w:rPr>
        <w:t>9</w:t>
      </w:r>
      <w:r w:rsidR="00FD1E75" w:rsidRPr="00C903F8">
        <w:rPr>
          <w:noProof/>
          <w:lang w:val="en-US"/>
        </w:rPr>
        <w:t>)</w:t>
      </w:r>
      <w:r w:rsidRPr="00C903F8">
        <w:rPr>
          <w:noProof/>
          <w:lang w:val="en-US"/>
        </w:rPr>
        <w:t>:</w:t>
      </w:r>
    </w:p>
    <w:p w:rsidR="00E65F26" w:rsidRPr="00C903F8" w:rsidRDefault="005C7859" w:rsidP="00824063">
      <w:pPr>
        <w:pStyle w:val="ESlet"/>
        <w:rPr>
          <w:lang w:val="en-US"/>
        </w:rPr>
      </w:pPr>
      <w:r w:rsidRPr="00C903F8">
        <w:rPr>
          <w:noProof/>
          <w:lang w:val="en-US"/>
        </w:rPr>
        <w:t>a)</w:t>
      </w:r>
      <w:r w:rsidR="00E65F26" w:rsidRPr="00C903F8">
        <w:rPr>
          <w:lang w:val="en-US"/>
        </w:rPr>
        <w:tab/>
      </w:r>
      <w:r w:rsidR="00F55D2A" w:rsidRPr="00C903F8">
        <w:rPr>
          <w:noProof/>
          <w:lang w:val="en-US"/>
        </w:rPr>
        <w:t>I</w:t>
      </w:r>
      <w:r w:rsidR="00E65F26" w:rsidRPr="00C903F8">
        <w:rPr>
          <w:noProof/>
          <w:lang w:val="en-US"/>
        </w:rPr>
        <w:t>f there are several rooms to be protected, each with a different gross volume, each room shall be provided with its own fire-fighting system</w:t>
      </w:r>
      <w:r w:rsidR="00F55D2A" w:rsidRPr="00C903F8">
        <w:rPr>
          <w:noProof/>
          <w:lang w:val="en-US"/>
        </w:rPr>
        <w:t>.</w:t>
      </w:r>
    </w:p>
    <w:p w:rsidR="00E65F26" w:rsidRPr="00C903F8" w:rsidRDefault="005C7859" w:rsidP="00824063">
      <w:pPr>
        <w:pStyle w:val="ESlet"/>
        <w:rPr>
          <w:lang w:val="en-US"/>
        </w:rPr>
      </w:pPr>
      <w:r w:rsidRPr="00C903F8">
        <w:rPr>
          <w:noProof/>
          <w:lang w:val="en-US"/>
        </w:rPr>
        <w:t>b)</w:t>
      </w:r>
      <w:r w:rsidR="00E65F26" w:rsidRPr="00C903F8">
        <w:rPr>
          <w:lang w:val="en-US"/>
        </w:rPr>
        <w:tab/>
      </w:r>
      <w:r w:rsidR="00F55D2A" w:rsidRPr="00C903F8">
        <w:rPr>
          <w:lang w:val="en-US"/>
        </w:rPr>
        <w:t>E</w:t>
      </w:r>
      <w:r w:rsidR="00E65F26" w:rsidRPr="00C903F8">
        <w:rPr>
          <w:noProof/>
          <w:lang w:val="en-US"/>
        </w:rPr>
        <w:t>ach container of HFC-227ea that is installed in the room to be protected shall be equipped with a pressure relief valve. This shall harmlessly release the contents of the container into the room to be protected if the container is exposed to the effects of fire and the fire-fighting system has not been triggered</w:t>
      </w:r>
      <w:r w:rsidR="00F55D2A" w:rsidRPr="00C903F8">
        <w:rPr>
          <w:noProof/>
          <w:lang w:val="en-US"/>
        </w:rPr>
        <w:t>.</w:t>
      </w:r>
    </w:p>
    <w:p w:rsidR="00E65F26" w:rsidRPr="00C903F8" w:rsidRDefault="005C7859" w:rsidP="00824063">
      <w:pPr>
        <w:pStyle w:val="ESlet"/>
        <w:rPr>
          <w:lang w:val="en-US"/>
        </w:rPr>
      </w:pPr>
      <w:r w:rsidRPr="00C903F8">
        <w:rPr>
          <w:noProof/>
          <w:lang w:val="en-US"/>
        </w:rPr>
        <w:t>c)</w:t>
      </w:r>
      <w:r w:rsidR="00E65F26" w:rsidRPr="00C903F8">
        <w:rPr>
          <w:lang w:val="en-US"/>
        </w:rPr>
        <w:tab/>
      </w:r>
      <w:r w:rsidR="00F55D2A" w:rsidRPr="00C903F8">
        <w:rPr>
          <w:lang w:val="en-US"/>
        </w:rPr>
        <w:t>E</w:t>
      </w:r>
      <w:r w:rsidR="00E65F26" w:rsidRPr="00C903F8">
        <w:rPr>
          <w:noProof/>
          <w:lang w:val="en-US"/>
        </w:rPr>
        <w:t>ach container shall be fitted with a device for checking the gas pressure</w:t>
      </w:r>
      <w:r w:rsidR="00F55D2A" w:rsidRPr="00C903F8">
        <w:rPr>
          <w:noProof/>
          <w:lang w:val="en-US"/>
        </w:rPr>
        <w:t>.</w:t>
      </w:r>
    </w:p>
    <w:p w:rsidR="00E65F26" w:rsidRPr="00C903F8" w:rsidRDefault="005C7859" w:rsidP="00824063">
      <w:pPr>
        <w:pStyle w:val="ESlet"/>
        <w:rPr>
          <w:lang w:val="en-US"/>
        </w:rPr>
      </w:pPr>
      <w:r w:rsidRPr="00C903F8">
        <w:rPr>
          <w:noProof/>
          <w:lang w:val="en-US"/>
        </w:rPr>
        <w:t>d)</w:t>
      </w:r>
      <w:r w:rsidR="00E65F26" w:rsidRPr="00C903F8">
        <w:rPr>
          <w:lang w:val="en-US"/>
        </w:rPr>
        <w:tab/>
      </w:r>
      <w:r w:rsidR="00F55D2A" w:rsidRPr="00C903F8">
        <w:rPr>
          <w:lang w:val="en-US"/>
        </w:rPr>
        <w:t>T</w:t>
      </w:r>
      <w:r w:rsidR="00E65F26" w:rsidRPr="00C903F8">
        <w:rPr>
          <w:noProof/>
          <w:lang w:val="en-US"/>
        </w:rPr>
        <w:t>he containers shall not be filled to more than 1,15 kg/l. The specific volume of the unpressurised HFC-227ea is to be taken as 0,1374 m</w:t>
      </w:r>
      <w:r w:rsidR="00E65F26" w:rsidRPr="00C903F8">
        <w:rPr>
          <w:noProof/>
          <w:vertAlign w:val="superscript"/>
          <w:lang w:val="en-US"/>
        </w:rPr>
        <w:t>3</w:t>
      </w:r>
      <w:r w:rsidR="00E65F26" w:rsidRPr="00C903F8">
        <w:rPr>
          <w:noProof/>
          <w:lang w:val="en-US"/>
        </w:rPr>
        <w:t>/kg</w:t>
      </w:r>
      <w:r w:rsidR="00F55D2A" w:rsidRPr="00C903F8">
        <w:rPr>
          <w:noProof/>
          <w:lang w:val="en-US"/>
        </w:rPr>
        <w:t>.</w:t>
      </w:r>
    </w:p>
    <w:p w:rsidR="00E65F26" w:rsidRPr="00C903F8" w:rsidRDefault="0029453D" w:rsidP="00824063">
      <w:pPr>
        <w:pStyle w:val="ESlet"/>
        <w:rPr>
          <w:lang w:val="en-US"/>
        </w:rPr>
      </w:pPr>
      <w:r w:rsidRPr="00C903F8">
        <w:rPr>
          <w:noProof/>
          <w:lang w:val="en-US"/>
        </w:rPr>
        <w:t>e)</w:t>
      </w:r>
      <w:r w:rsidR="00E65F26" w:rsidRPr="00C903F8">
        <w:rPr>
          <w:lang w:val="en-US"/>
        </w:rPr>
        <w:tab/>
      </w:r>
      <w:r w:rsidR="00F55D2A" w:rsidRPr="00C903F8">
        <w:rPr>
          <w:lang w:val="en-US"/>
        </w:rPr>
        <w:t>T</w:t>
      </w:r>
      <w:r w:rsidR="00E65F26" w:rsidRPr="00C903F8">
        <w:rPr>
          <w:noProof/>
          <w:lang w:val="en-US"/>
        </w:rPr>
        <w:t>he volume of HFC-227ea for the room to be protected shall be at least 8 % of the room's gross volume. This volume shall be supplied within 10 seconds</w:t>
      </w:r>
      <w:r w:rsidR="00F55D2A" w:rsidRPr="00C903F8">
        <w:rPr>
          <w:noProof/>
          <w:lang w:val="en-US"/>
        </w:rPr>
        <w:t>.</w:t>
      </w:r>
    </w:p>
    <w:p w:rsidR="00E65F26" w:rsidRPr="00C903F8" w:rsidRDefault="0029453D" w:rsidP="00824063">
      <w:pPr>
        <w:pStyle w:val="ESlet"/>
        <w:rPr>
          <w:lang w:val="en-US"/>
        </w:rPr>
      </w:pPr>
      <w:r w:rsidRPr="00C903F8">
        <w:rPr>
          <w:noProof/>
          <w:lang w:val="en-US"/>
        </w:rPr>
        <w:t>f)</w:t>
      </w:r>
      <w:r w:rsidR="00E65F26" w:rsidRPr="00C903F8">
        <w:rPr>
          <w:lang w:val="en-US"/>
        </w:rPr>
        <w:tab/>
      </w:r>
      <w:r w:rsidR="00F55D2A" w:rsidRPr="00C903F8">
        <w:rPr>
          <w:lang w:val="en-US"/>
        </w:rPr>
        <w:t>T</w:t>
      </w:r>
      <w:r w:rsidR="00E65F26" w:rsidRPr="00C903F8">
        <w:rPr>
          <w:noProof/>
          <w:lang w:val="en-US"/>
        </w:rPr>
        <w:t>he HFC-227ea containers shall be provided with a pressure monitor which triggers an acoustic and optical alarm signal in the wheelhouse in the event of an unauthorised loss of propellant. If there is no wheelhouse, this alarm signal shall be given outside the room to be protected</w:t>
      </w:r>
      <w:r w:rsidR="00F55D2A" w:rsidRPr="00C903F8">
        <w:rPr>
          <w:noProof/>
          <w:lang w:val="en-US"/>
        </w:rPr>
        <w:t>.</w:t>
      </w:r>
    </w:p>
    <w:p w:rsidR="00E65F26" w:rsidRPr="00C903F8" w:rsidRDefault="0029453D" w:rsidP="00824063">
      <w:pPr>
        <w:pStyle w:val="ESlet"/>
        <w:rPr>
          <w:lang w:val="en-US"/>
        </w:rPr>
      </w:pPr>
      <w:r w:rsidRPr="00C903F8">
        <w:rPr>
          <w:noProof/>
          <w:lang w:val="en-US"/>
        </w:rPr>
        <w:t>g)</w:t>
      </w:r>
      <w:r w:rsidR="00E65F26" w:rsidRPr="00C903F8">
        <w:rPr>
          <w:lang w:val="en-US"/>
        </w:rPr>
        <w:tab/>
      </w:r>
      <w:r w:rsidR="00F55D2A" w:rsidRPr="00C903F8">
        <w:rPr>
          <w:lang w:val="en-US"/>
        </w:rPr>
        <w:t>A</w:t>
      </w:r>
      <w:r w:rsidR="00E65F26" w:rsidRPr="00C903F8">
        <w:rPr>
          <w:noProof/>
          <w:lang w:val="en-US"/>
        </w:rPr>
        <w:t>fter flooding, the concentration in the room to be protected shall not exceed 10,5 %</w:t>
      </w:r>
      <w:r w:rsidR="00F55D2A" w:rsidRPr="00C903F8">
        <w:rPr>
          <w:noProof/>
          <w:lang w:val="en-US"/>
        </w:rPr>
        <w:t>.</w:t>
      </w:r>
    </w:p>
    <w:p w:rsidR="00E65F26" w:rsidRPr="00C903F8" w:rsidRDefault="0029453D" w:rsidP="00824063">
      <w:pPr>
        <w:pStyle w:val="ESlet"/>
        <w:rPr>
          <w:lang w:val="en-US"/>
        </w:rPr>
      </w:pPr>
      <w:r w:rsidRPr="00C903F8">
        <w:rPr>
          <w:noProof/>
          <w:lang w:val="en-US"/>
        </w:rPr>
        <w:t>h)</w:t>
      </w:r>
      <w:r w:rsidR="00E65F26" w:rsidRPr="00C903F8">
        <w:rPr>
          <w:lang w:val="en-US"/>
        </w:rPr>
        <w:tab/>
      </w:r>
      <w:r w:rsidR="00F55D2A" w:rsidRPr="00C903F8">
        <w:rPr>
          <w:lang w:val="en-US"/>
        </w:rPr>
        <w:t>T</w:t>
      </w:r>
      <w:r w:rsidR="00E65F26" w:rsidRPr="00C903F8">
        <w:rPr>
          <w:noProof/>
          <w:lang w:val="en-US"/>
        </w:rPr>
        <w:t>he fire-fighting system shall not contain any parts made of aluminium.</w:t>
      </w:r>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12.</w:t>
      </w:r>
      <w:r w:rsidRPr="00C903F8">
        <w:rPr>
          <w:lang w:val="en-US"/>
        </w:rPr>
        <w:tab/>
      </w:r>
      <w:r w:rsidRPr="00C903F8">
        <w:rPr>
          <w:noProof/>
          <w:lang w:val="en-US"/>
        </w:rPr>
        <w:t>IG-541 — fire-fighting systems</w:t>
      </w:r>
    </w:p>
    <w:p w:rsidR="00824063" w:rsidRPr="00C903F8" w:rsidRDefault="00824063" w:rsidP="00E65F26">
      <w:pPr>
        <w:pStyle w:val="ESch"/>
        <w:rPr>
          <w:noProof/>
          <w:lang w:val="en-US"/>
        </w:rPr>
      </w:pPr>
    </w:p>
    <w:p w:rsidR="00E65F26" w:rsidRPr="00C903F8" w:rsidRDefault="00E65F26" w:rsidP="00824063">
      <w:pPr>
        <w:pStyle w:val="ESchpar"/>
        <w:rPr>
          <w:lang w:val="en-US"/>
        </w:rPr>
      </w:pPr>
      <w:r w:rsidRPr="00C903F8">
        <w:rPr>
          <w:noProof/>
          <w:lang w:val="en-US"/>
        </w:rPr>
        <w:t xml:space="preserve">Fire-fighting systems using IG-541 as the extinguishing agent shall comply with the following provisions in addition to the requirements under </w:t>
      </w:r>
      <w:r w:rsidR="00FD1E75" w:rsidRPr="00C903F8">
        <w:rPr>
          <w:noProof/>
          <w:lang w:val="en-US"/>
        </w:rPr>
        <w:t>(</w:t>
      </w:r>
      <w:r w:rsidRPr="00C903F8">
        <w:rPr>
          <w:noProof/>
          <w:lang w:val="en-US"/>
        </w:rPr>
        <w:t>1</w:t>
      </w:r>
      <w:r w:rsidR="00FD1E75" w:rsidRPr="00C903F8">
        <w:rPr>
          <w:noProof/>
          <w:lang w:val="en-US"/>
        </w:rPr>
        <w:t>)</w:t>
      </w:r>
      <w:r w:rsidRPr="00C903F8">
        <w:rPr>
          <w:noProof/>
          <w:lang w:val="en-US"/>
        </w:rPr>
        <w:t xml:space="preserve"> to </w:t>
      </w:r>
      <w:r w:rsidR="00FD1E75" w:rsidRPr="00C903F8">
        <w:rPr>
          <w:noProof/>
          <w:lang w:val="en-US"/>
        </w:rPr>
        <w:t>(</w:t>
      </w:r>
      <w:r w:rsidRPr="00C903F8">
        <w:rPr>
          <w:noProof/>
          <w:lang w:val="en-US"/>
        </w:rPr>
        <w:t>9</w:t>
      </w:r>
      <w:r w:rsidR="00FD1E75" w:rsidRPr="00C903F8">
        <w:rPr>
          <w:noProof/>
          <w:lang w:val="en-US"/>
        </w:rPr>
        <w:t>)</w:t>
      </w:r>
      <w:r w:rsidRPr="00C903F8">
        <w:rPr>
          <w:noProof/>
          <w:lang w:val="en-US"/>
        </w:rPr>
        <w:t>:</w:t>
      </w:r>
    </w:p>
    <w:p w:rsidR="00E65F26" w:rsidRPr="00C903F8" w:rsidRDefault="005C7859" w:rsidP="00824063">
      <w:pPr>
        <w:pStyle w:val="ESlet"/>
        <w:rPr>
          <w:lang w:val="en-US"/>
        </w:rPr>
      </w:pPr>
      <w:r w:rsidRPr="00C903F8">
        <w:rPr>
          <w:noProof/>
          <w:lang w:val="en-US"/>
        </w:rPr>
        <w:t>a)</w:t>
      </w:r>
      <w:r w:rsidR="00E65F26" w:rsidRPr="00C903F8">
        <w:rPr>
          <w:lang w:val="en-US"/>
        </w:rPr>
        <w:tab/>
      </w:r>
      <w:r w:rsidR="00F55D2A" w:rsidRPr="00C903F8">
        <w:rPr>
          <w:noProof/>
          <w:lang w:val="en-US"/>
        </w:rPr>
        <w:t>I</w:t>
      </w:r>
      <w:r w:rsidR="00E65F26" w:rsidRPr="00C903F8">
        <w:rPr>
          <w:noProof/>
          <w:lang w:val="en-US"/>
        </w:rPr>
        <w:t>f there are several rooms to be protected, each with a different gross volume, each room shall be provided with its own fire-fighting system</w:t>
      </w:r>
      <w:r w:rsidR="00F55D2A" w:rsidRPr="00C903F8">
        <w:rPr>
          <w:noProof/>
          <w:lang w:val="en-US"/>
        </w:rPr>
        <w:t>.</w:t>
      </w:r>
    </w:p>
    <w:p w:rsidR="00E65F26" w:rsidRPr="00C903F8" w:rsidRDefault="005C7859" w:rsidP="00824063">
      <w:pPr>
        <w:pStyle w:val="ESlet"/>
        <w:rPr>
          <w:lang w:val="en-US"/>
        </w:rPr>
      </w:pPr>
      <w:r w:rsidRPr="00C903F8">
        <w:rPr>
          <w:noProof/>
          <w:lang w:val="en-US"/>
        </w:rPr>
        <w:t>b)</w:t>
      </w:r>
      <w:r w:rsidR="00E65F26" w:rsidRPr="00C903F8">
        <w:rPr>
          <w:lang w:val="en-US"/>
        </w:rPr>
        <w:tab/>
      </w:r>
      <w:r w:rsidR="00F55D2A" w:rsidRPr="00C903F8">
        <w:rPr>
          <w:lang w:val="en-US"/>
        </w:rPr>
        <w:t>E</w:t>
      </w:r>
      <w:r w:rsidR="00E65F26" w:rsidRPr="00C903F8">
        <w:rPr>
          <w:noProof/>
          <w:lang w:val="en-US"/>
        </w:rPr>
        <w:t>ach container of IG-541 that is installed in the room to be protected shall be equipped with a pressure relief valve. This shall harmlessly release the contents of the container into the room to be protected if the container is exposed to the effects of fire and the fire-fighting system has not been triggered</w:t>
      </w:r>
      <w:r w:rsidR="00F55D2A" w:rsidRPr="00C903F8">
        <w:rPr>
          <w:noProof/>
          <w:lang w:val="en-US"/>
        </w:rPr>
        <w:t>.</w:t>
      </w:r>
    </w:p>
    <w:p w:rsidR="00E65F26" w:rsidRPr="00C903F8" w:rsidRDefault="005C7859" w:rsidP="00824063">
      <w:pPr>
        <w:pStyle w:val="ESlet"/>
        <w:rPr>
          <w:lang w:val="en-US"/>
        </w:rPr>
      </w:pPr>
      <w:r w:rsidRPr="00C903F8">
        <w:rPr>
          <w:noProof/>
          <w:lang w:val="en-US"/>
        </w:rPr>
        <w:t>c)</w:t>
      </w:r>
      <w:r w:rsidR="00E65F26" w:rsidRPr="00C903F8">
        <w:rPr>
          <w:lang w:val="en-US"/>
        </w:rPr>
        <w:tab/>
      </w:r>
      <w:r w:rsidR="00F55D2A" w:rsidRPr="00C903F8">
        <w:rPr>
          <w:lang w:val="en-US"/>
        </w:rPr>
        <w:t>E</w:t>
      </w:r>
      <w:r w:rsidR="00E65F26" w:rsidRPr="00C903F8">
        <w:rPr>
          <w:noProof/>
          <w:lang w:val="en-US"/>
        </w:rPr>
        <w:t>ach container shall be fitted with a device for checking the contents</w:t>
      </w:r>
      <w:r w:rsidR="00F55D2A" w:rsidRPr="00C903F8">
        <w:rPr>
          <w:noProof/>
          <w:lang w:val="en-US"/>
        </w:rPr>
        <w:t>.</w:t>
      </w:r>
    </w:p>
    <w:p w:rsidR="00771FEA" w:rsidRPr="00C903F8" w:rsidRDefault="00771FEA" w:rsidP="00824063">
      <w:pPr>
        <w:pStyle w:val="ESlet"/>
        <w:rPr>
          <w:noProof/>
          <w:lang w:val="en-US"/>
        </w:rPr>
      </w:pPr>
    </w:p>
    <w:p w:rsidR="00771FEA" w:rsidRPr="00C903F8" w:rsidRDefault="00771FEA" w:rsidP="00824063">
      <w:pPr>
        <w:pStyle w:val="ESlet"/>
        <w:rPr>
          <w:noProof/>
          <w:lang w:val="en-US"/>
        </w:rPr>
      </w:pPr>
      <w:r w:rsidRPr="00C903F8">
        <w:rPr>
          <w:noProof/>
          <w:lang w:val="en-US"/>
        </w:rPr>
        <w:br w:type="page"/>
      </w:r>
    </w:p>
    <w:p w:rsidR="00E65F26" w:rsidRPr="00C903F8" w:rsidRDefault="005C7859" w:rsidP="00824063">
      <w:pPr>
        <w:pStyle w:val="ESlet"/>
        <w:rPr>
          <w:lang w:val="en-US"/>
        </w:rPr>
      </w:pPr>
      <w:r w:rsidRPr="00C903F8">
        <w:rPr>
          <w:noProof/>
          <w:lang w:val="en-US"/>
        </w:rPr>
        <w:lastRenderedPageBreak/>
        <w:t>d)</w:t>
      </w:r>
      <w:r w:rsidR="00E65F26" w:rsidRPr="00C903F8">
        <w:rPr>
          <w:lang w:val="en-US"/>
        </w:rPr>
        <w:tab/>
      </w:r>
      <w:r w:rsidR="00E65F26" w:rsidRPr="00C903F8">
        <w:rPr>
          <w:noProof/>
          <w:lang w:val="en-US"/>
        </w:rPr>
        <w:t>the filling pressure of the container shall not exceed 200 bar at + 15 °C</w:t>
      </w:r>
      <w:r w:rsidR="00F55D2A" w:rsidRPr="00C903F8">
        <w:rPr>
          <w:noProof/>
          <w:lang w:val="en-US"/>
        </w:rPr>
        <w:t>.</w:t>
      </w:r>
    </w:p>
    <w:p w:rsidR="00E65F26" w:rsidRPr="00C903F8" w:rsidRDefault="0029453D" w:rsidP="00824063">
      <w:pPr>
        <w:pStyle w:val="ESlet"/>
        <w:rPr>
          <w:lang w:val="en-US"/>
        </w:rPr>
      </w:pPr>
      <w:r w:rsidRPr="00C903F8">
        <w:rPr>
          <w:noProof/>
          <w:lang w:val="en-US"/>
        </w:rPr>
        <w:t>e)</w:t>
      </w:r>
      <w:r w:rsidR="00E65F26" w:rsidRPr="00C903F8">
        <w:rPr>
          <w:lang w:val="en-US"/>
        </w:rPr>
        <w:tab/>
      </w:r>
      <w:r w:rsidR="00E65F26" w:rsidRPr="00C903F8">
        <w:rPr>
          <w:noProof/>
          <w:lang w:val="en-US"/>
        </w:rPr>
        <w:t>the volume of IG-541 for the room to be protected shall be at least 44 % and no more than 50 % of the room's gross volume. This volume shall be supplied within 120 seconds.</w:t>
      </w:r>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13.</w:t>
      </w:r>
      <w:r w:rsidRPr="00C903F8">
        <w:rPr>
          <w:lang w:val="en-US"/>
        </w:rPr>
        <w:tab/>
      </w:r>
      <w:r w:rsidRPr="00C903F8">
        <w:rPr>
          <w:noProof/>
          <w:lang w:val="en-US"/>
        </w:rPr>
        <w:t>FK-5-1-12 — firefighting systems</w:t>
      </w:r>
    </w:p>
    <w:p w:rsidR="00824063" w:rsidRPr="00C903F8" w:rsidRDefault="00824063" w:rsidP="00E65F26">
      <w:pPr>
        <w:pStyle w:val="ESch"/>
        <w:rPr>
          <w:noProof/>
          <w:lang w:val="en-US"/>
        </w:rPr>
      </w:pPr>
    </w:p>
    <w:p w:rsidR="00E65F26" w:rsidRPr="00C903F8" w:rsidRDefault="00E65F26" w:rsidP="00824063">
      <w:pPr>
        <w:pStyle w:val="ESchpar"/>
        <w:rPr>
          <w:lang w:val="en-US"/>
        </w:rPr>
      </w:pPr>
      <w:r w:rsidRPr="00C903F8">
        <w:rPr>
          <w:noProof/>
          <w:lang w:val="en-US"/>
        </w:rPr>
        <w:t xml:space="preserve">Firefighting systems using FK-5-1-12 as the extinguishing agent shall comply with the following provisions in addition to the requirements under </w:t>
      </w:r>
      <w:r w:rsidR="00FD1E75" w:rsidRPr="00C903F8">
        <w:rPr>
          <w:noProof/>
          <w:lang w:val="en-US"/>
        </w:rPr>
        <w:t>(</w:t>
      </w:r>
      <w:r w:rsidRPr="00C903F8">
        <w:rPr>
          <w:noProof/>
          <w:lang w:val="en-US"/>
        </w:rPr>
        <w:t>1</w:t>
      </w:r>
      <w:r w:rsidR="00FD1E75" w:rsidRPr="00C903F8">
        <w:rPr>
          <w:noProof/>
          <w:lang w:val="en-US"/>
        </w:rPr>
        <w:t>)</w:t>
      </w:r>
      <w:r w:rsidRPr="00C903F8">
        <w:rPr>
          <w:noProof/>
          <w:lang w:val="en-US"/>
        </w:rPr>
        <w:t xml:space="preserve"> to </w:t>
      </w:r>
      <w:r w:rsidR="00FD1E75" w:rsidRPr="00C903F8">
        <w:rPr>
          <w:noProof/>
          <w:lang w:val="en-US"/>
        </w:rPr>
        <w:t>(</w:t>
      </w:r>
      <w:r w:rsidRPr="00C903F8">
        <w:rPr>
          <w:noProof/>
          <w:lang w:val="en-US"/>
        </w:rPr>
        <w:t>9</w:t>
      </w:r>
      <w:r w:rsidR="00FD1E75" w:rsidRPr="00C903F8">
        <w:rPr>
          <w:noProof/>
          <w:lang w:val="en-US"/>
        </w:rPr>
        <w:t>)</w:t>
      </w:r>
      <w:r w:rsidRPr="00C903F8">
        <w:rPr>
          <w:noProof/>
          <w:lang w:val="en-US"/>
        </w:rPr>
        <w:t>:</w:t>
      </w:r>
    </w:p>
    <w:p w:rsidR="00E65F26" w:rsidRPr="00C903F8" w:rsidRDefault="005C7859" w:rsidP="00824063">
      <w:pPr>
        <w:pStyle w:val="ESlet"/>
        <w:rPr>
          <w:lang w:val="en-US"/>
        </w:rPr>
      </w:pPr>
      <w:r w:rsidRPr="00C903F8">
        <w:rPr>
          <w:noProof/>
          <w:lang w:val="en-US"/>
        </w:rPr>
        <w:t>a)</w:t>
      </w:r>
      <w:r w:rsidR="00E65F26" w:rsidRPr="00C903F8">
        <w:rPr>
          <w:lang w:val="en-US"/>
        </w:rPr>
        <w:tab/>
      </w:r>
      <w:r w:rsidR="00F55D2A" w:rsidRPr="00C903F8">
        <w:rPr>
          <w:noProof/>
          <w:lang w:val="en-US"/>
        </w:rPr>
        <w:t>I</w:t>
      </w:r>
      <w:r w:rsidR="00E65F26" w:rsidRPr="00C903F8">
        <w:rPr>
          <w:noProof/>
          <w:lang w:val="en-US"/>
        </w:rPr>
        <w:t>f there are several rooms to be protected, each with a different gross volume, each room shall be provided with its own firefighting system</w:t>
      </w:r>
      <w:r w:rsidR="00F55D2A" w:rsidRPr="00C903F8">
        <w:rPr>
          <w:noProof/>
          <w:lang w:val="en-US"/>
        </w:rPr>
        <w:t>.</w:t>
      </w:r>
    </w:p>
    <w:p w:rsidR="00E65F26" w:rsidRPr="00C903F8" w:rsidRDefault="005C7859" w:rsidP="00824063">
      <w:pPr>
        <w:pStyle w:val="ESlet"/>
        <w:rPr>
          <w:lang w:val="en-US"/>
        </w:rPr>
      </w:pPr>
      <w:r w:rsidRPr="00C903F8">
        <w:rPr>
          <w:noProof/>
          <w:lang w:val="en-US"/>
        </w:rPr>
        <w:t>b)</w:t>
      </w:r>
      <w:r w:rsidR="00E65F26" w:rsidRPr="00C903F8">
        <w:rPr>
          <w:lang w:val="en-US"/>
        </w:rPr>
        <w:tab/>
      </w:r>
      <w:r w:rsidR="00F55D2A" w:rsidRPr="00C903F8">
        <w:rPr>
          <w:lang w:val="en-US"/>
        </w:rPr>
        <w:t>E</w:t>
      </w:r>
      <w:r w:rsidR="00E65F26" w:rsidRPr="00C903F8">
        <w:rPr>
          <w:noProof/>
          <w:lang w:val="en-US"/>
        </w:rPr>
        <w:t>ach container of FK-5-1-12 installed in the room to be protected shall be equipped with an overpressure relief valve. The pressure relief valve shall harmlessly release the contents of the container into the room to be protected if the container is exposed to the effects of fire and the fire</w:t>
      </w:r>
      <w:r w:rsidR="0078121C" w:rsidRPr="00C903F8">
        <w:rPr>
          <w:noProof/>
          <w:lang w:val="en-US"/>
        </w:rPr>
        <w:t>-</w:t>
      </w:r>
      <w:r w:rsidR="00E65F26" w:rsidRPr="00C903F8">
        <w:rPr>
          <w:noProof/>
          <w:lang w:val="en-US"/>
        </w:rPr>
        <w:t>fighting system has not been triggered</w:t>
      </w:r>
      <w:r w:rsidR="00F55D2A" w:rsidRPr="00C903F8">
        <w:rPr>
          <w:noProof/>
          <w:lang w:val="en-US"/>
        </w:rPr>
        <w:t>.</w:t>
      </w:r>
    </w:p>
    <w:p w:rsidR="00E65F26" w:rsidRPr="00C903F8" w:rsidRDefault="005C7859" w:rsidP="00824063">
      <w:pPr>
        <w:pStyle w:val="ESlet"/>
        <w:rPr>
          <w:lang w:val="en-US"/>
        </w:rPr>
      </w:pPr>
      <w:r w:rsidRPr="00C903F8">
        <w:rPr>
          <w:noProof/>
          <w:lang w:val="en-US"/>
        </w:rPr>
        <w:t>c)</w:t>
      </w:r>
      <w:r w:rsidR="00E65F26" w:rsidRPr="00C903F8">
        <w:rPr>
          <w:lang w:val="en-US"/>
        </w:rPr>
        <w:tab/>
      </w:r>
      <w:r w:rsidR="00F55D2A" w:rsidRPr="00C903F8">
        <w:rPr>
          <w:lang w:val="en-US"/>
        </w:rPr>
        <w:t>E</w:t>
      </w:r>
      <w:r w:rsidR="00E65F26" w:rsidRPr="00C903F8">
        <w:rPr>
          <w:noProof/>
          <w:lang w:val="en-US"/>
        </w:rPr>
        <w:t>ach container shall be fitted with a device for checking the gas pressure</w:t>
      </w:r>
      <w:r w:rsidR="00F55D2A" w:rsidRPr="00C903F8">
        <w:rPr>
          <w:noProof/>
          <w:lang w:val="en-US"/>
        </w:rPr>
        <w:t>.</w:t>
      </w:r>
    </w:p>
    <w:p w:rsidR="00E65F26" w:rsidRPr="00C903F8" w:rsidRDefault="005C7859" w:rsidP="00824063">
      <w:pPr>
        <w:pStyle w:val="ESlet"/>
        <w:rPr>
          <w:lang w:val="en-US"/>
        </w:rPr>
      </w:pPr>
      <w:r w:rsidRPr="00C903F8">
        <w:rPr>
          <w:noProof/>
          <w:lang w:val="en-US"/>
        </w:rPr>
        <w:t>d)</w:t>
      </w:r>
      <w:r w:rsidR="00E65F26" w:rsidRPr="00C903F8">
        <w:rPr>
          <w:lang w:val="en-US"/>
        </w:rPr>
        <w:tab/>
      </w:r>
      <w:r w:rsidR="00F55D2A" w:rsidRPr="00C903F8">
        <w:rPr>
          <w:noProof/>
          <w:lang w:val="en-US"/>
        </w:rPr>
        <w:t>T</w:t>
      </w:r>
      <w:r w:rsidR="00E65F26" w:rsidRPr="00C903F8">
        <w:rPr>
          <w:noProof/>
          <w:lang w:val="en-US"/>
        </w:rPr>
        <w:t>he containers shall not be filled to more than 1,00 kg/l. The specific volume of the unpressurised FK-5-1-12 is to be taken as 0,0719 m</w:t>
      </w:r>
      <w:r w:rsidR="00E65F26" w:rsidRPr="00C903F8">
        <w:rPr>
          <w:noProof/>
          <w:vertAlign w:val="superscript"/>
          <w:lang w:val="en-US"/>
        </w:rPr>
        <w:t>3</w:t>
      </w:r>
      <w:r w:rsidR="00E65F26" w:rsidRPr="00C903F8">
        <w:rPr>
          <w:noProof/>
          <w:lang w:val="en-US"/>
        </w:rPr>
        <w:t>/kg</w:t>
      </w:r>
      <w:r w:rsidR="00F55D2A" w:rsidRPr="00C903F8">
        <w:rPr>
          <w:noProof/>
          <w:lang w:val="en-US"/>
        </w:rPr>
        <w:t>.</w:t>
      </w:r>
    </w:p>
    <w:p w:rsidR="00E65F26" w:rsidRPr="00C903F8" w:rsidRDefault="0029453D" w:rsidP="00824063">
      <w:pPr>
        <w:pStyle w:val="ESlet"/>
        <w:rPr>
          <w:lang w:val="en-US"/>
        </w:rPr>
      </w:pPr>
      <w:r w:rsidRPr="00C903F8">
        <w:rPr>
          <w:noProof/>
          <w:lang w:val="en-US"/>
        </w:rPr>
        <w:t>e)</w:t>
      </w:r>
      <w:r w:rsidR="00E65F26" w:rsidRPr="00C903F8">
        <w:rPr>
          <w:lang w:val="en-US"/>
        </w:rPr>
        <w:tab/>
      </w:r>
      <w:r w:rsidR="00F55D2A" w:rsidRPr="00C903F8">
        <w:rPr>
          <w:noProof/>
          <w:lang w:val="en-US"/>
        </w:rPr>
        <w:t>T</w:t>
      </w:r>
      <w:r w:rsidR="00E65F26" w:rsidRPr="00C903F8">
        <w:rPr>
          <w:noProof/>
          <w:lang w:val="en-US"/>
        </w:rPr>
        <w:t>he volume of FK-5-1-12 for the room to be protected shall be at least 5,5 % of the room’s gross volume. This volume shall be supplied within 10 seconds</w:t>
      </w:r>
      <w:r w:rsidR="00F55D2A" w:rsidRPr="00C903F8">
        <w:rPr>
          <w:noProof/>
          <w:lang w:val="en-US"/>
        </w:rPr>
        <w:t>.</w:t>
      </w:r>
    </w:p>
    <w:p w:rsidR="00E65F26" w:rsidRPr="00C903F8" w:rsidRDefault="0029453D" w:rsidP="00824063">
      <w:pPr>
        <w:pStyle w:val="ESlet"/>
        <w:rPr>
          <w:lang w:val="en-US"/>
        </w:rPr>
      </w:pPr>
      <w:r w:rsidRPr="00C903F8">
        <w:rPr>
          <w:noProof/>
          <w:lang w:val="en-US"/>
        </w:rPr>
        <w:t>f)</w:t>
      </w:r>
      <w:r w:rsidR="00E65F26" w:rsidRPr="00C903F8">
        <w:rPr>
          <w:lang w:val="en-US"/>
        </w:rPr>
        <w:tab/>
      </w:r>
      <w:r w:rsidR="00F55D2A" w:rsidRPr="00C903F8">
        <w:rPr>
          <w:lang w:val="en-US"/>
        </w:rPr>
        <w:t>T</w:t>
      </w:r>
      <w:r w:rsidR="00E65F26" w:rsidRPr="00C903F8">
        <w:rPr>
          <w:noProof/>
          <w:lang w:val="en-US"/>
        </w:rPr>
        <w:t>he FK-5-1-12 containers shall be provided with a pressure monitor which triggers an acoustic and optical alarm signal in the wheelhouse in the event of an unauthorised loss of propellant. If there is no wheelhouse, this alarm signal shall be given outside the room to be protected</w:t>
      </w:r>
      <w:r w:rsidR="00F55D2A" w:rsidRPr="00C903F8">
        <w:rPr>
          <w:noProof/>
          <w:lang w:val="en-US"/>
        </w:rPr>
        <w:t>.</w:t>
      </w:r>
    </w:p>
    <w:p w:rsidR="00E65F26" w:rsidRDefault="0029453D" w:rsidP="00824063">
      <w:pPr>
        <w:pStyle w:val="ESlet"/>
        <w:rPr>
          <w:noProof/>
          <w:lang w:val="en-US"/>
        </w:rPr>
      </w:pPr>
      <w:r w:rsidRPr="00C903F8">
        <w:rPr>
          <w:noProof/>
          <w:lang w:val="en-US"/>
        </w:rPr>
        <w:t>g)</w:t>
      </w:r>
      <w:r w:rsidR="00E65F26" w:rsidRPr="00C903F8">
        <w:rPr>
          <w:lang w:val="en-US"/>
        </w:rPr>
        <w:tab/>
      </w:r>
      <w:r w:rsidR="00F55D2A" w:rsidRPr="00C903F8">
        <w:rPr>
          <w:lang w:val="en-US"/>
        </w:rPr>
        <w:t>A</w:t>
      </w:r>
      <w:r w:rsidR="00E65F26" w:rsidRPr="00C903F8">
        <w:rPr>
          <w:noProof/>
          <w:lang w:val="en-US"/>
        </w:rPr>
        <w:t>fter flooding, the concentration in the room to be protected shall not exceed 10,0 %.</w:t>
      </w:r>
    </w:p>
    <w:p w:rsidR="00C44D3C" w:rsidRDefault="00C44D3C" w:rsidP="00C44D3C">
      <w:pPr>
        <w:widowControl w:val="0"/>
        <w:autoSpaceDE/>
        <w:autoSpaceDN/>
        <w:ind w:left="1276"/>
        <w:jc w:val="left"/>
        <w:rPr>
          <w:noProof/>
          <w:lang w:val="en-US"/>
        </w:rPr>
      </w:pPr>
    </w:p>
    <w:p w:rsidR="00C44D3C" w:rsidRPr="00C44D3C" w:rsidRDefault="00C44D3C" w:rsidP="00C44D3C">
      <w:pPr>
        <w:pStyle w:val="ESch"/>
        <w:rPr>
          <w:noProof/>
          <w:lang w:val="en-US"/>
        </w:rPr>
      </w:pPr>
      <w:r w:rsidRPr="00C44D3C">
        <w:rPr>
          <w:noProof/>
          <w:lang w:val="en-US"/>
        </w:rPr>
        <w:t>14.</w:t>
      </w:r>
      <w:r w:rsidRPr="00C44D3C">
        <w:rPr>
          <w:noProof/>
          <w:lang w:val="en-US"/>
        </w:rPr>
        <w:tab/>
        <w:t xml:space="preserve">Fire-fighting systems using water as the extinguishing agent </w:t>
      </w:r>
    </w:p>
    <w:p w:rsidR="00C44D3C" w:rsidRPr="00C44D3C" w:rsidRDefault="00C44D3C" w:rsidP="00980973">
      <w:pPr>
        <w:pStyle w:val="ESch"/>
        <w:rPr>
          <w:highlight w:val="lightGray"/>
          <w:lang w:val="en-GB" w:eastAsia="en-GB"/>
        </w:rPr>
      </w:pPr>
    </w:p>
    <w:p w:rsidR="00C44D3C" w:rsidRPr="00980973" w:rsidRDefault="00C44D3C" w:rsidP="00C44D3C">
      <w:pPr>
        <w:pStyle w:val="ESchpar"/>
        <w:rPr>
          <w:szCs w:val="20"/>
          <w:lang w:val="en-GB" w:eastAsia="en-GB"/>
        </w:rPr>
      </w:pPr>
      <w:r w:rsidRPr="00980973">
        <w:rPr>
          <w:szCs w:val="20"/>
          <w:lang w:val="en-GB" w:eastAsia="en-GB"/>
        </w:rPr>
        <w:t xml:space="preserve">Fire-fighting systems using water as the extinguishing agent may only release this agent into the room to be protected in the form of a water mist. The droplet size must be between 5 and 300 microns. </w:t>
      </w:r>
    </w:p>
    <w:p w:rsidR="00C44D3C" w:rsidRPr="00980973" w:rsidRDefault="00C44D3C" w:rsidP="00980973">
      <w:pPr>
        <w:pStyle w:val="ESch"/>
        <w:rPr>
          <w:lang w:val="en-GB" w:eastAsia="en-GB"/>
        </w:rPr>
      </w:pPr>
    </w:p>
    <w:p w:rsidR="00C44D3C" w:rsidRPr="00980973" w:rsidRDefault="00C44D3C" w:rsidP="00980973">
      <w:pPr>
        <w:pStyle w:val="ESchpar"/>
        <w:rPr>
          <w:lang w:val="en-GB" w:eastAsia="en-GB"/>
        </w:rPr>
      </w:pPr>
      <w:r w:rsidRPr="00980973">
        <w:rPr>
          <w:lang w:val="en-GB" w:eastAsia="en-GB"/>
        </w:rPr>
        <w:t xml:space="preserve">In addition to the requirements laid down in (1) to (7) and (9), (8) applies </w:t>
      </w:r>
      <w:r w:rsidRPr="00980973">
        <w:rPr>
          <w:i/>
          <w:lang w:val="en-GB" w:eastAsia="en-GB"/>
        </w:rPr>
        <w:t>mutatis mutandis</w:t>
      </w:r>
      <w:r w:rsidRPr="00980973">
        <w:rPr>
          <w:lang w:val="en-GB" w:eastAsia="en-GB"/>
        </w:rPr>
        <w:t>, these fire-fighting systems must comply with the following provisions:</w:t>
      </w:r>
    </w:p>
    <w:p w:rsidR="00C44D3C" w:rsidRPr="00980973" w:rsidRDefault="00C44D3C" w:rsidP="00980973">
      <w:pPr>
        <w:pStyle w:val="ESlet"/>
        <w:rPr>
          <w:rFonts w:cs="Arial"/>
          <w:lang w:val="en-GB" w:eastAsia="en-GB"/>
        </w:rPr>
      </w:pPr>
      <w:r w:rsidRPr="00980973">
        <w:rPr>
          <w:lang w:val="en-GB" w:eastAsia="en-GB"/>
        </w:rPr>
        <w:t>a)</w:t>
      </w:r>
      <w:r w:rsidRPr="00980973">
        <w:rPr>
          <w:lang w:val="en-GB" w:eastAsia="en-GB"/>
        </w:rPr>
        <w:tab/>
        <w:t>The fire-fighting system shall have a type-approval pursuant to MSC/Circ. 1165</w:t>
      </w:r>
      <w:r w:rsidRPr="00980973">
        <w:rPr>
          <w:vertAlign w:val="superscript"/>
          <w:lang w:val="en-GB" w:eastAsia="en-GB"/>
        </w:rPr>
        <w:footnoteReference w:id="10"/>
      </w:r>
      <w:r w:rsidRPr="00980973">
        <w:rPr>
          <w:lang w:val="en-GB" w:eastAsia="en-GB"/>
        </w:rPr>
        <w:t xml:space="preserve"> or another Standard recognised by one of the Member States. Type-approval shall be carried out by a recognised classification society or an accredited testing institution. The accredited testing institution shall comply with the European Standard for general requirements for the competence of testing and calibrating laboratories (EN ISO/IEC 17025: 2005).</w:t>
      </w:r>
    </w:p>
    <w:p w:rsidR="00C44D3C" w:rsidRPr="00980973" w:rsidRDefault="00C44D3C" w:rsidP="00980973">
      <w:pPr>
        <w:pStyle w:val="ESlet"/>
        <w:rPr>
          <w:snapToGrid w:val="0"/>
          <w:lang w:val="en-GB" w:bidi="fr-FR"/>
        </w:rPr>
      </w:pPr>
      <w:r w:rsidRPr="00980973">
        <w:rPr>
          <w:snapToGrid w:val="0"/>
          <w:lang w:val="en-GB" w:bidi="fr-FR"/>
        </w:rPr>
        <w:t>b)</w:t>
      </w:r>
      <w:r w:rsidRPr="00980973">
        <w:rPr>
          <w:snapToGrid w:val="0"/>
          <w:lang w:val="en-GB" w:bidi="fr-FR"/>
        </w:rPr>
        <w:tab/>
        <w:t>The fire-fighting system must be sized according to the largest of the rooms to be protected and must be able to spray water continuously into the room for a minimum of 30 minutes.</w:t>
      </w:r>
    </w:p>
    <w:p w:rsidR="00C44D3C" w:rsidRPr="00980973" w:rsidRDefault="00C44D3C" w:rsidP="00980973">
      <w:pPr>
        <w:pStyle w:val="ESlet"/>
        <w:rPr>
          <w:lang w:val="en-GB" w:eastAsia="en-GB"/>
        </w:rPr>
      </w:pPr>
      <w:r w:rsidRPr="00980973">
        <w:rPr>
          <w:lang w:val="en-GB" w:eastAsia="en-GB"/>
        </w:rPr>
        <w:br w:type="page"/>
      </w:r>
    </w:p>
    <w:p w:rsidR="00C44D3C" w:rsidRPr="00980973" w:rsidRDefault="00C44D3C" w:rsidP="00980973">
      <w:pPr>
        <w:pStyle w:val="ESlet"/>
        <w:rPr>
          <w:rFonts w:cs="Arial"/>
          <w:lang w:val="en-GB" w:eastAsia="en-GB"/>
        </w:rPr>
      </w:pPr>
      <w:r w:rsidRPr="00980973">
        <w:rPr>
          <w:lang w:val="en-GB" w:eastAsia="en-GB"/>
        </w:rPr>
        <w:lastRenderedPageBreak/>
        <w:t>c)</w:t>
      </w:r>
      <w:r w:rsidRPr="00980973">
        <w:rPr>
          <w:lang w:val="en-GB" w:eastAsia="en-GB"/>
        </w:rPr>
        <w:tab/>
        <w:t xml:space="preserve">The pumps, their switching mechanisms and the valves that are required in order for the system to operate should be installed in a room outside the rooms to be protected. The room in which they are installed should be separated from adjacent by at least type A30 partition walls. </w:t>
      </w:r>
    </w:p>
    <w:p w:rsidR="00C44D3C" w:rsidRPr="00980973" w:rsidRDefault="00C44D3C" w:rsidP="00980973">
      <w:pPr>
        <w:pStyle w:val="ESlet"/>
        <w:rPr>
          <w:rFonts w:cs="Arial"/>
          <w:lang w:val="en-GB" w:eastAsia="en-GB"/>
        </w:rPr>
      </w:pPr>
      <w:r w:rsidRPr="00980973">
        <w:rPr>
          <w:lang w:val="en-GB" w:eastAsia="en-GB"/>
        </w:rPr>
        <w:t>d)</w:t>
      </w:r>
      <w:r w:rsidRPr="00980973">
        <w:rPr>
          <w:lang w:val="en-GB" w:eastAsia="en-GB"/>
        </w:rPr>
        <w:tab/>
        <w:t>The fire-fighting system must be completely full of water at all times at least as far as the trip valves and be under the required initial operating pressure. The water supply pumps must be automatically initiated when the system is triggered. The system must feature a continuously operating water supply. Measures must be taken to ensure impurities do not affect system operation.</w:t>
      </w:r>
    </w:p>
    <w:p w:rsidR="00C44D3C" w:rsidRPr="00980973" w:rsidRDefault="00C44D3C" w:rsidP="00980973">
      <w:pPr>
        <w:pStyle w:val="ESlet"/>
        <w:rPr>
          <w:rFonts w:cs="Arial"/>
          <w:lang w:val="en-GB" w:eastAsia="en-GB"/>
        </w:rPr>
      </w:pPr>
      <w:r w:rsidRPr="00980973">
        <w:rPr>
          <w:lang w:val="en-GB" w:eastAsia="en-GB"/>
        </w:rPr>
        <w:t>e)</w:t>
      </w:r>
      <w:r w:rsidRPr="00980973">
        <w:rPr>
          <w:lang w:val="en-GB" w:eastAsia="en-GB"/>
        </w:rPr>
        <w:tab/>
        <w:t>The capacity and design of the system's pipe network must be based on an hydraulic calculation.</w:t>
      </w:r>
    </w:p>
    <w:p w:rsidR="00C44D3C" w:rsidRPr="00980973" w:rsidRDefault="00C44D3C" w:rsidP="00980973">
      <w:pPr>
        <w:pStyle w:val="ESlet"/>
        <w:rPr>
          <w:rFonts w:cs="Arial"/>
          <w:lang w:val="en-GB" w:eastAsia="en-GB"/>
        </w:rPr>
      </w:pPr>
      <w:r w:rsidRPr="00980973">
        <w:rPr>
          <w:lang w:val="en-GB" w:eastAsia="en-GB"/>
        </w:rPr>
        <w:t>f)</w:t>
      </w:r>
      <w:r w:rsidRPr="00980973">
        <w:rPr>
          <w:lang w:val="en-GB" w:eastAsia="en-GB"/>
        </w:rPr>
        <w:tab/>
        <w:t xml:space="preserve">The number and arrangement of nozzles must ensure sufficient distribution of water in the rooms to be protected. The spray nozzles must be located so as to ensure that the water mist is distributed throughout the room to be protected, especially in those areas where there is a higher risk of fire, including behind the fittings and beneath the floor. </w:t>
      </w:r>
    </w:p>
    <w:p w:rsidR="00C44D3C" w:rsidRPr="00980973" w:rsidRDefault="00C44D3C" w:rsidP="00980973">
      <w:pPr>
        <w:pStyle w:val="ESlet"/>
        <w:rPr>
          <w:rFonts w:cs="Arial"/>
          <w:lang w:val="en-GB" w:eastAsia="en-GB"/>
        </w:rPr>
      </w:pPr>
      <w:r w:rsidRPr="00980973">
        <w:rPr>
          <w:lang w:val="en-GB" w:eastAsia="en-GB"/>
        </w:rPr>
        <w:t>g)</w:t>
      </w:r>
      <w:r w:rsidRPr="00980973">
        <w:rPr>
          <w:lang w:val="en-GB" w:eastAsia="en-GB"/>
        </w:rPr>
        <w:tab/>
        <w:t>The fire-fighting system's electrical components in the room to be protected must at a minimum comply with protection class IP54. The system shall feature two independent energy sources with automatic switching. One of the power sources must be located outside the room to be protected. Each power source should on its own be capable of ensuring the operation of the system.</w:t>
      </w:r>
    </w:p>
    <w:p w:rsidR="00C44D3C" w:rsidRPr="00980973" w:rsidRDefault="00C44D3C" w:rsidP="00980973">
      <w:pPr>
        <w:pStyle w:val="ESlet"/>
        <w:rPr>
          <w:rFonts w:cs="Arial"/>
          <w:lang w:val="en-GB" w:eastAsia="en-GB"/>
        </w:rPr>
      </w:pPr>
      <w:r w:rsidRPr="00980973">
        <w:rPr>
          <w:lang w:val="en-GB" w:eastAsia="en-GB"/>
        </w:rPr>
        <w:t>h)</w:t>
      </w:r>
      <w:r w:rsidRPr="00980973">
        <w:rPr>
          <w:lang w:val="en-GB" w:eastAsia="en-GB"/>
        </w:rPr>
        <w:tab/>
        <w:t xml:space="preserve">The fire-fighting system must feature redundant pumps. </w:t>
      </w:r>
    </w:p>
    <w:p w:rsidR="00C44D3C" w:rsidRPr="00980973" w:rsidRDefault="00C44D3C" w:rsidP="00980973">
      <w:pPr>
        <w:pStyle w:val="ESlet"/>
        <w:rPr>
          <w:rFonts w:cs="Arial"/>
          <w:lang w:val="en-GB" w:eastAsia="en-GB"/>
        </w:rPr>
      </w:pPr>
      <w:r w:rsidRPr="00980973">
        <w:rPr>
          <w:lang w:val="en-GB" w:eastAsia="en-GB"/>
        </w:rPr>
        <w:t>i)</w:t>
      </w:r>
      <w:r w:rsidRPr="00980973">
        <w:rPr>
          <w:lang w:val="en-GB" w:eastAsia="en-GB"/>
        </w:rPr>
        <w:tab/>
        <w:t>The fire-fighting system must be equipped with a monitoring device</w:t>
      </w:r>
      <w:r w:rsidRPr="00980973">
        <w:rPr>
          <w:rFonts w:ascii="Times New Roman" w:hAnsi="Times New Roman"/>
          <w:lang w:val="en-GB" w:eastAsia="en-GB"/>
        </w:rPr>
        <w:t xml:space="preserve"> </w:t>
      </w:r>
      <w:r w:rsidRPr="00980973">
        <w:rPr>
          <w:lang w:val="en-GB" w:eastAsia="en-GB"/>
        </w:rPr>
        <w:t>which triggers an alarm signal in the wheelhouse in the following cases:</w:t>
      </w:r>
    </w:p>
    <w:p w:rsidR="00C44D3C" w:rsidRPr="000E732C" w:rsidRDefault="00C44D3C" w:rsidP="00C44D3C">
      <w:pPr>
        <w:pStyle w:val="EStiret"/>
        <w:rPr>
          <w:lang w:val="en-GB"/>
        </w:rPr>
      </w:pPr>
      <w:r w:rsidRPr="000E732C">
        <w:rPr>
          <w:lang w:val="en-GB"/>
        </w:rPr>
        <w:t>-</w:t>
      </w:r>
      <w:r w:rsidRPr="000E732C">
        <w:rPr>
          <w:lang w:val="en-GB"/>
        </w:rPr>
        <w:tab/>
        <w:t>drop in water tank level (if fitted),</w:t>
      </w:r>
    </w:p>
    <w:p w:rsidR="00C44D3C" w:rsidRPr="000E732C" w:rsidRDefault="00C44D3C" w:rsidP="00C44D3C">
      <w:pPr>
        <w:pStyle w:val="EStiret"/>
        <w:rPr>
          <w:lang w:val="en-GB"/>
        </w:rPr>
      </w:pPr>
      <w:r w:rsidRPr="000E732C">
        <w:rPr>
          <w:lang w:val="en-GB"/>
        </w:rPr>
        <w:t>-</w:t>
      </w:r>
      <w:r w:rsidRPr="000E732C">
        <w:rPr>
          <w:lang w:val="en-GB"/>
        </w:rPr>
        <w:tab/>
        <w:t>power supply failure,</w:t>
      </w:r>
    </w:p>
    <w:p w:rsidR="00C44D3C" w:rsidRPr="000E732C" w:rsidRDefault="00C44D3C" w:rsidP="00C44D3C">
      <w:pPr>
        <w:pStyle w:val="EStiret"/>
        <w:rPr>
          <w:lang w:val="en-GB"/>
        </w:rPr>
      </w:pPr>
      <w:r w:rsidRPr="000E732C">
        <w:rPr>
          <w:lang w:val="en-GB"/>
        </w:rPr>
        <w:t>-</w:t>
      </w:r>
      <w:r w:rsidRPr="000E732C">
        <w:rPr>
          <w:lang w:val="en-GB"/>
        </w:rPr>
        <w:tab/>
        <w:t>loss of pressure in the low pressure system pipework,</w:t>
      </w:r>
    </w:p>
    <w:p w:rsidR="00C44D3C" w:rsidRPr="000E732C" w:rsidRDefault="00C44D3C" w:rsidP="00C44D3C">
      <w:pPr>
        <w:pStyle w:val="EStiret"/>
        <w:rPr>
          <w:lang w:val="en-GB"/>
        </w:rPr>
      </w:pPr>
      <w:r w:rsidRPr="000E732C">
        <w:rPr>
          <w:lang w:val="en-GB"/>
        </w:rPr>
        <w:t>-</w:t>
      </w:r>
      <w:r w:rsidRPr="000E732C">
        <w:rPr>
          <w:lang w:val="en-GB"/>
        </w:rPr>
        <w:tab/>
        <w:t>loss of pressure in the high pressure circuit,</w:t>
      </w:r>
    </w:p>
    <w:p w:rsidR="00C44D3C" w:rsidRPr="000E732C" w:rsidRDefault="00C44D3C" w:rsidP="00C44D3C">
      <w:pPr>
        <w:pStyle w:val="EStiret"/>
        <w:rPr>
          <w:lang w:val="en-GB"/>
        </w:rPr>
      </w:pPr>
      <w:r w:rsidRPr="000E732C">
        <w:rPr>
          <w:lang w:val="en-GB"/>
        </w:rPr>
        <w:t>-</w:t>
      </w:r>
      <w:r w:rsidRPr="000E732C">
        <w:rPr>
          <w:lang w:val="en-GB"/>
        </w:rPr>
        <w:tab/>
        <w:t>when the system is activated.</w:t>
      </w:r>
    </w:p>
    <w:p w:rsidR="00C44D3C" w:rsidRPr="00980973" w:rsidRDefault="00C44D3C" w:rsidP="00980973">
      <w:pPr>
        <w:pStyle w:val="ESlet"/>
        <w:rPr>
          <w:lang w:val="en-GB" w:eastAsia="en-GB"/>
        </w:rPr>
      </w:pPr>
      <w:r w:rsidRPr="00980973">
        <w:rPr>
          <w:lang w:val="en-GB" w:eastAsia="en-GB"/>
        </w:rPr>
        <w:t>j)</w:t>
      </w:r>
      <w:r w:rsidRPr="00980973">
        <w:rPr>
          <w:lang w:val="en-GB" w:eastAsia="en-GB"/>
        </w:rPr>
        <w:tab/>
        <w:t xml:space="preserve">The documents required for the installation, functional testing and documentation of the installation referred to in (9) must include at a minimum: </w:t>
      </w:r>
    </w:p>
    <w:p w:rsidR="00C44D3C" w:rsidRPr="00C44D3C" w:rsidRDefault="00C44D3C" w:rsidP="00C44D3C">
      <w:pPr>
        <w:pStyle w:val="EStiret"/>
        <w:rPr>
          <w:lang w:val="en-GB"/>
        </w:rPr>
      </w:pPr>
      <w:r w:rsidRPr="00C44D3C">
        <w:rPr>
          <w:lang w:val="en-GB"/>
        </w:rPr>
        <w:t xml:space="preserve">- </w:t>
      </w:r>
      <w:r>
        <w:rPr>
          <w:lang w:val="en-GB"/>
        </w:rPr>
        <w:tab/>
      </w:r>
      <w:r w:rsidRPr="00C44D3C">
        <w:rPr>
          <w:lang w:val="en-GB"/>
        </w:rPr>
        <w:t>a schematic diagram of the system showing the sections of pipe work and the types of spray nozzle,</w:t>
      </w:r>
    </w:p>
    <w:p w:rsidR="00C44D3C" w:rsidRPr="00C44D3C" w:rsidRDefault="00C44D3C" w:rsidP="00C44D3C">
      <w:pPr>
        <w:pStyle w:val="EStiret"/>
        <w:rPr>
          <w:lang w:val="en-GB"/>
        </w:rPr>
      </w:pPr>
      <w:r>
        <w:rPr>
          <w:lang w:val="en-GB"/>
        </w:rPr>
        <w:t xml:space="preserve">- </w:t>
      </w:r>
      <w:r>
        <w:rPr>
          <w:lang w:val="en-GB"/>
        </w:rPr>
        <w:tab/>
      </w:r>
      <w:r w:rsidRPr="00C44D3C">
        <w:rPr>
          <w:lang w:val="en-GB"/>
        </w:rPr>
        <w:t>the hydraulic calculation referred to in (d),</w:t>
      </w:r>
    </w:p>
    <w:p w:rsidR="00C44D3C" w:rsidRPr="00C44D3C" w:rsidRDefault="00C44D3C" w:rsidP="00C44D3C">
      <w:pPr>
        <w:pStyle w:val="EStiret"/>
        <w:rPr>
          <w:lang w:val="en-GB"/>
        </w:rPr>
      </w:pPr>
      <w:r>
        <w:rPr>
          <w:lang w:val="en-GB"/>
        </w:rPr>
        <w:t xml:space="preserve">- </w:t>
      </w:r>
      <w:r>
        <w:rPr>
          <w:lang w:val="en-GB"/>
        </w:rPr>
        <w:tab/>
      </w:r>
      <w:r w:rsidRPr="00C44D3C">
        <w:rPr>
          <w:lang w:val="en-GB"/>
        </w:rPr>
        <w:t>the manufacturer's technical documentation covering all aspects of the installation,</w:t>
      </w:r>
    </w:p>
    <w:p w:rsidR="00C44D3C" w:rsidRPr="00C44D3C" w:rsidRDefault="00C44D3C" w:rsidP="00C44D3C">
      <w:pPr>
        <w:pStyle w:val="EStiret"/>
        <w:rPr>
          <w:lang w:val="en-GB"/>
        </w:rPr>
      </w:pPr>
      <w:r>
        <w:rPr>
          <w:lang w:val="en-GB"/>
        </w:rPr>
        <w:t xml:space="preserve">- </w:t>
      </w:r>
      <w:r>
        <w:rPr>
          <w:lang w:val="en-GB"/>
        </w:rPr>
        <w:tab/>
      </w:r>
      <w:r w:rsidRPr="00C44D3C">
        <w:rPr>
          <w:lang w:val="en-GB"/>
        </w:rPr>
        <w:t>the maintenance manual.</w:t>
      </w:r>
    </w:p>
    <w:p w:rsidR="00E65F26" w:rsidRPr="00C903F8" w:rsidRDefault="00E65F26" w:rsidP="00E65F26">
      <w:pPr>
        <w:pStyle w:val="ESch"/>
        <w:rPr>
          <w:lang w:val="en-US"/>
        </w:rPr>
      </w:pPr>
    </w:p>
    <w:p w:rsidR="00771FEA" w:rsidRPr="00C903F8" w:rsidRDefault="00771FEA" w:rsidP="00E65F26">
      <w:pPr>
        <w:pStyle w:val="ESch"/>
        <w:rPr>
          <w:lang w:val="en-US"/>
        </w:rPr>
      </w:pPr>
    </w:p>
    <w:p w:rsidR="00C83149" w:rsidRPr="00C903F8" w:rsidRDefault="00C83149" w:rsidP="00C83149">
      <w:pPr>
        <w:pStyle w:val="ES-Titre3"/>
        <w:rPr>
          <w:i/>
          <w:noProof/>
          <w:lang w:val="en-US"/>
        </w:rPr>
      </w:pPr>
      <w:bookmarkStart w:id="119" w:name="_Toc491854107"/>
      <w:r w:rsidRPr="00C903F8">
        <w:rPr>
          <w:noProof/>
          <w:lang w:val="en-US"/>
        </w:rPr>
        <w:t>Article 13.06</w:t>
      </w:r>
      <w:r w:rsidRPr="00C903F8">
        <w:rPr>
          <w:noProof/>
          <w:lang w:val="en-US"/>
        </w:rPr>
        <w:br/>
      </w:r>
      <w:r w:rsidRPr="00C903F8">
        <w:rPr>
          <w:i/>
          <w:noProof/>
          <w:lang w:val="en-US"/>
        </w:rPr>
        <w:t>Permanently installed firefighting systems for protecting objects</w:t>
      </w:r>
      <w:bookmarkEnd w:id="119"/>
    </w:p>
    <w:p w:rsidR="00C83149" w:rsidRPr="00C903F8" w:rsidRDefault="00C83149" w:rsidP="00E65F26">
      <w:pPr>
        <w:pStyle w:val="ESch"/>
        <w:rPr>
          <w:lang w:val="en-US"/>
        </w:rPr>
      </w:pPr>
    </w:p>
    <w:p w:rsidR="00C83149" w:rsidRPr="000E732C" w:rsidRDefault="00C83149" w:rsidP="00C83149">
      <w:pPr>
        <w:pStyle w:val="ESgauche"/>
        <w:rPr>
          <w:lang w:val="en-GB"/>
        </w:rPr>
      </w:pPr>
      <w:r w:rsidRPr="000E732C">
        <w:rPr>
          <w:lang w:val="en-GB"/>
        </w:rPr>
        <w:t>Permanently installed firefighting systems for protecting objects are prohibited.</w:t>
      </w:r>
    </w:p>
    <w:p w:rsidR="00C83149" w:rsidRPr="00C903F8" w:rsidRDefault="00C83149" w:rsidP="00E65F26">
      <w:pPr>
        <w:pStyle w:val="ESch"/>
        <w:rPr>
          <w:lang w:val="en-US"/>
        </w:rPr>
      </w:pPr>
    </w:p>
    <w:p w:rsidR="00C83149" w:rsidRPr="00C903F8" w:rsidRDefault="00C83149" w:rsidP="00E65F26">
      <w:pPr>
        <w:pStyle w:val="ESch"/>
        <w:rPr>
          <w:lang w:val="en-US"/>
        </w:rPr>
      </w:pPr>
    </w:p>
    <w:p w:rsidR="00C44D3C" w:rsidRDefault="00C44D3C">
      <w:pPr>
        <w:autoSpaceDE/>
        <w:autoSpaceDN/>
        <w:ind w:left="0" w:firstLine="0"/>
        <w:jc w:val="left"/>
        <w:rPr>
          <w:rFonts w:eastAsia="Calibri"/>
          <w:b/>
          <w:noProof/>
          <w:sz w:val="22"/>
          <w:szCs w:val="22"/>
          <w:lang w:val="en-US" w:eastAsia="en-US"/>
        </w:rPr>
      </w:pPr>
      <w:r>
        <w:rPr>
          <w:noProof/>
          <w:lang w:val="en-US"/>
        </w:rPr>
        <w:br w:type="page"/>
      </w:r>
    </w:p>
    <w:p w:rsidR="00E65F26" w:rsidRPr="00C903F8" w:rsidRDefault="00E65F26" w:rsidP="00824063">
      <w:pPr>
        <w:pStyle w:val="ES-Titre3"/>
        <w:rPr>
          <w:i/>
          <w:lang w:val="en-US"/>
        </w:rPr>
      </w:pPr>
      <w:bookmarkStart w:id="120" w:name="_Toc491854108"/>
      <w:r w:rsidRPr="00C903F8">
        <w:rPr>
          <w:noProof/>
          <w:lang w:val="en-US"/>
        </w:rPr>
        <w:lastRenderedPageBreak/>
        <w:t>Article 13.0</w:t>
      </w:r>
      <w:r w:rsidR="00B82B38" w:rsidRPr="00C903F8">
        <w:rPr>
          <w:noProof/>
          <w:lang w:val="en-US"/>
        </w:rPr>
        <w:t>7</w:t>
      </w:r>
      <w:r w:rsidRPr="00C903F8">
        <w:rPr>
          <w:noProof/>
          <w:lang w:val="en-US"/>
        </w:rPr>
        <w:br/>
      </w:r>
      <w:r w:rsidRPr="00C903F8">
        <w:rPr>
          <w:i/>
          <w:noProof/>
          <w:lang w:val="en-US"/>
        </w:rPr>
        <w:t>Ship's boats</w:t>
      </w:r>
      <w:bookmarkEnd w:id="120"/>
    </w:p>
    <w:p w:rsidR="00824063" w:rsidRPr="00C903F8" w:rsidRDefault="00824063" w:rsidP="00E65F26">
      <w:pPr>
        <w:pStyle w:val="ESch"/>
        <w:rPr>
          <w:noProof/>
          <w:lang w:val="en-US"/>
        </w:rPr>
      </w:pPr>
    </w:p>
    <w:p w:rsidR="00E65F26" w:rsidRPr="002614C4" w:rsidRDefault="00E65F26" w:rsidP="00E65F26">
      <w:pPr>
        <w:pStyle w:val="ESch"/>
        <w:rPr>
          <w:noProof/>
          <w:lang w:val="en-US"/>
        </w:rPr>
      </w:pPr>
      <w:r w:rsidRPr="00C903F8">
        <w:rPr>
          <w:noProof/>
          <w:lang w:val="en-US"/>
        </w:rPr>
        <w:t>1.</w:t>
      </w:r>
      <w:r w:rsidRPr="00C903F8">
        <w:rPr>
          <w:lang w:val="en-US"/>
        </w:rPr>
        <w:tab/>
      </w:r>
      <w:r w:rsidR="00C44D3C" w:rsidRPr="00E552F1">
        <w:rPr>
          <w:rFonts w:cs="Arial"/>
          <w:szCs w:val="20"/>
          <w:lang w:val="en-US"/>
        </w:rPr>
        <w:t xml:space="preserve">The </w:t>
      </w:r>
      <w:r w:rsidR="00C44D3C" w:rsidRPr="002614C4">
        <w:rPr>
          <w:rFonts w:cs="Arial"/>
          <w:szCs w:val="20"/>
          <w:lang w:val="en-US"/>
        </w:rPr>
        <w:t>following craft shall carry a ship's boat according to European Standard EN 1914: 2016</w:t>
      </w:r>
      <w:r w:rsidRPr="002614C4">
        <w:rPr>
          <w:noProof/>
          <w:lang w:val="en-US"/>
        </w:rPr>
        <w:t>:</w:t>
      </w:r>
    </w:p>
    <w:p w:rsidR="00E65F26" w:rsidRPr="00C903F8" w:rsidRDefault="005C7859" w:rsidP="00824063">
      <w:pPr>
        <w:pStyle w:val="ESlet"/>
        <w:rPr>
          <w:lang w:val="en-US"/>
        </w:rPr>
      </w:pPr>
      <w:r w:rsidRPr="002614C4">
        <w:rPr>
          <w:noProof/>
          <w:lang w:val="en-US"/>
        </w:rPr>
        <w:t>a)</w:t>
      </w:r>
      <w:r w:rsidR="00E65F26" w:rsidRPr="002614C4">
        <w:rPr>
          <w:lang w:val="en-US"/>
        </w:rPr>
        <w:tab/>
      </w:r>
      <w:r w:rsidR="00E65F26" w:rsidRPr="002614C4">
        <w:rPr>
          <w:noProof/>
          <w:lang w:val="en-US"/>
        </w:rPr>
        <w:t>motor vessels</w:t>
      </w:r>
      <w:r w:rsidR="00E65F26" w:rsidRPr="00C903F8">
        <w:rPr>
          <w:noProof/>
          <w:lang w:val="en-US"/>
        </w:rPr>
        <w:t xml:space="preserve"> and barges exceeding 150 t deadweight;</w:t>
      </w:r>
    </w:p>
    <w:p w:rsidR="00E65F26" w:rsidRPr="00C903F8" w:rsidRDefault="005C7859" w:rsidP="00824063">
      <w:pPr>
        <w:pStyle w:val="ESlet"/>
        <w:rPr>
          <w:lang w:val="en-US"/>
        </w:rPr>
      </w:pPr>
      <w:r w:rsidRPr="00C903F8">
        <w:rPr>
          <w:noProof/>
          <w:lang w:val="en-US"/>
        </w:rPr>
        <w:t>b)</w:t>
      </w:r>
      <w:r w:rsidR="00E65F26" w:rsidRPr="00C903F8">
        <w:rPr>
          <w:lang w:val="en-US"/>
        </w:rPr>
        <w:tab/>
      </w:r>
      <w:r w:rsidR="00E65F26" w:rsidRPr="00C903F8">
        <w:rPr>
          <w:noProof/>
          <w:lang w:val="en-US"/>
        </w:rPr>
        <w:t>tugs and pushers with a water displacement of more than 150 m</w:t>
      </w:r>
      <w:r w:rsidR="00E65F26" w:rsidRPr="00C903F8">
        <w:rPr>
          <w:noProof/>
          <w:vertAlign w:val="superscript"/>
          <w:lang w:val="en-US"/>
        </w:rPr>
        <w:t>3</w:t>
      </w:r>
      <w:r w:rsidR="00E65F26" w:rsidRPr="00C903F8">
        <w:rPr>
          <w:noProof/>
          <w:lang w:val="en-US"/>
        </w:rPr>
        <w:t>;</w:t>
      </w:r>
    </w:p>
    <w:p w:rsidR="00E65F26" w:rsidRPr="00C903F8" w:rsidRDefault="005C7859" w:rsidP="00824063">
      <w:pPr>
        <w:pStyle w:val="ESlet"/>
        <w:rPr>
          <w:lang w:val="en-US"/>
        </w:rPr>
      </w:pPr>
      <w:r w:rsidRPr="00C903F8">
        <w:rPr>
          <w:noProof/>
          <w:lang w:val="en-US"/>
        </w:rPr>
        <w:t>c)</w:t>
      </w:r>
      <w:r w:rsidR="00E65F26" w:rsidRPr="00C903F8">
        <w:rPr>
          <w:lang w:val="en-US"/>
        </w:rPr>
        <w:tab/>
      </w:r>
      <w:r w:rsidR="00E65F26" w:rsidRPr="00C903F8">
        <w:rPr>
          <w:noProof/>
          <w:lang w:val="en-US"/>
        </w:rPr>
        <w:t>floating equipment;</w:t>
      </w:r>
    </w:p>
    <w:p w:rsidR="00E65F26" w:rsidRPr="00C903F8" w:rsidRDefault="005C7859" w:rsidP="00824063">
      <w:pPr>
        <w:pStyle w:val="ESlet"/>
        <w:rPr>
          <w:lang w:val="en-US"/>
        </w:rPr>
      </w:pPr>
      <w:r w:rsidRPr="00C903F8">
        <w:rPr>
          <w:noProof/>
          <w:lang w:val="en-US"/>
        </w:rPr>
        <w:t>d)</w:t>
      </w:r>
      <w:r w:rsidR="00E65F26" w:rsidRPr="00C903F8">
        <w:rPr>
          <w:lang w:val="en-US"/>
        </w:rPr>
        <w:tab/>
      </w:r>
      <w:r w:rsidR="00E65F26" w:rsidRPr="00C903F8">
        <w:rPr>
          <w:noProof/>
          <w:lang w:val="en-US"/>
        </w:rPr>
        <w:t>passenger vessels.</w:t>
      </w:r>
    </w:p>
    <w:p w:rsidR="00771FEA" w:rsidRPr="00C903F8" w:rsidRDefault="00771FEA" w:rsidP="00E65F26">
      <w:pPr>
        <w:pStyle w:val="ESch"/>
        <w:rPr>
          <w:noProof/>
          <w:lang w:val="en-US"/>
        </w:rPr>
      </w:pPr>
    </w:p>
    <w:p w:rsidR="00E65F26" w:rsidRPr="00C903F8" w:rsidRDefault="00E65F26" w:rsidP="00E65F26">
      <w:pPr>
        <w:pStyle w:val="ESch"/>
        <w:rPr>
          <w:lang w:val="en-US"/>
        </w:rPr>
      </w:pPr>
      <w:r w:rsidRPr="00C903F8">
        <w:rPr>
          <w:noProof/>
          <w:lang w:val="en-US"/>
        </w:rPr>
        <w:t>2.</w:t>
      </w:r>
      <w:r w:rsidRPr="00C903F8">
        <w:rPr>
          <w:lang w:val="en-US"/>
        </w:rPr>
        <w:tab/>
      </w:r>
      <w:r w:rsidRPr="00C903F8">
        <w:rPr>
          <w:noProof/>
          <w:lang w:val="en-US"/>
        </w:rPr>
        <w:t>It shall be possible for one person to launch such ship's boats safely within five minutes from the first manual action necessary. If a powered launching device is used this shall be such that safe, quick launching shall not be impaired if its power supply fails.</w:t>
      </w:r>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3.</w:t>
      </w:r>
      <w:r w:rsidRPr="00C903F8">
        <w:rPr>
          <w:lang w:val="en-US"/>
        </w:rPr>
        <w:tab/>
      </w:r>
      <w:r w:rsidRPr="00C903F8">
        <w:rPr>
          <w:noProof/>
          <w:lang w:val="en-US"/>
        </w:rPr>
        <w:t>Inflatable ship's boats shall be inspected according to manufacturer's instructions.</w:t>
      </w:r>
    </w:p>
    <w:p w:rsidR="00E65F26" w:rsidRPr="00C903F8" w:rsidRDefault="00E65F26" w:rsidP="00E65F26">
      <w:pPr>
        <w:pStyle w:val="ESch"/>
        <w:rPr>
          <w:lang w:val="en-US"/>
        </w:rPr>
      </w:pPr>
    </w:p>
    <w:p w:rsidR="00771FEA" w:rsidRPr="00C903F8" w:rsidRDefault="00771FEA" w:rsidP="00E65F26">
      <w:pPr>
        <w:pStyle w:val="ESch"/>
        <w:rPr>
          <w:lang w:val="en-US"/>
        </w:rPr>
      </w:pPr>
    </w:p>
    <w:p w:rsidR="00771FEA" w:rsidRPr="00C903F8" w:rsidRDefault="00771FEA" w:rsidP="00E65F26">
      <w:pPr>
        <w:pStyle w:val="ESch"/>
        <w:rPr>
          <w:lang w:val="en-US"/>
        </w:rPr>
      </w:pPr>
    </w:p>
    <w:p w:rsidR="00E65F26" w:rsidRPr="00C903F8" w:rsidRDefault="00E65F26" w:rsidP="00824063">
      <w:pPr>
        <w:pStyle w:val="ES-Titre3"/>
        <w:rPr>
          <w:i/>
          <w:noProof/>
          <w:lang w:val="en-US"/>
        </w:rPr>
      </w:pPr>
      <w:bookmarkStart w:id="121" w:name="_Toc491854109"/>
      <w:r w:rsidRPr="00C903F8">
        <w:rPr>
          <w:noProof/>
          <w:lang w:val="en-US"/>
        </w:rPr>
        <w:t>Article 13.0</w:t>
      </w:r>
      <w:r w:rsidR="00B82B38" w:rsidRPr="00C903F8">
        <w:rPr>
          <w:noProof/>
          <w:lang w:val="en-US"/>
        </w:rPr>
        <w:t>8</w:t>
      </w:r>
      <w:r w:rsidRPr="00C903F8">
        <w:rPr>
          <w:noProof/>
          <w:lang w:val="en-US"/>
        </w:rPr>
        <w:br/>
      </w:r>
      <w:r w:rsidRPr="00C903F8">
        <w:rPr>
          <w:i/>
          <w:noProof/>
          <w:lang w:val="en-US"/>
        </w:rPr>
        <w:t>Lifebuoys and lifejackets</w:t>
      </w:r>
      <w:bookmarkEnd w:id="121"/>
    </w:p>
    <w:p w:rsidR="00824063" w:rsidRPr="00C903F8" w:rsidRDefault="00824063" w:rsidP="00E65F26">
      <w:pPr>
        <w:pStyle w:val="ESch"/>
        <w:rPr>
          <w:noProof/>
          <w:lang w:val="en-US"/>
        </w:rPr>
      </w:pPr>
    </w:p>
    <w:p w:rsidR="00E65F26" w:rsidRPr="00C903F8" w:rsidRDefault="00E65F26" w:rsidP="00E65F26">
      <w:pPr>
        <w:pStyle w:val="ESch"/>
        <w:rPr>
          <w:lang w:val="en-US"/>
        </w:rPr>
      </w:pPr>
      <w:r w:rsidRPr="00C903F8">
        <w:rPr>
          <w:noProof/>
          <w:lang w:val="en-US"/>
        </w:rPr>
        <w:t>1.</w:t>
      </w:r>
      <w:r w:rsidRPr="00C903F8">
        <w:rPr>
          <w:lang w:val="en-US"/>
        </w:rPr>
        <w:tab/>
      </w:r>
      <w:r w:rsidRPr="00C903F8">
        <w:rPr>
          <w:noProof/>
          <w:lang w:val="en-US"/>
        </w:rPr>
        <w:t>On board craft there shall be at least three lifebuoys</w:t>
      </w:r>
      <w:r w:rsidR="00292101" w:rsidRPr="00C903F8">
        <w:rPr>
          <w:noProof/>
          <w:lang w:val="en-US"/>
        </w:rPr>
        <w:t>:</w:t>
      </w:r>
      <w:r w:rsidRPr="00C903F8">
        <w:rPr>
          <w:noProof/>
          <w:lang w:val="en-US"/>
        </w:rPr>
        <w:t xml:space="preserve"> </w:t>
      </w:r>
    </w:p>
    <w:p w:rsidR="00E65F26" w:rsidRPr="00C903F8" w:rsidRDefault="00E65F26" w:rsidP="00574385">
      <w:pPr>
        <w:pStyle w:val="ESlet"/>
        <w:rPr>
          <w:lang w:val="en-US"/>
        </w:rPr>
      </w:pPr>
      <w:r w:rsidRPr="00C903F8">
        <w:rPr>
          <w:noProof/>
          <w:lang w:val="en-US"/>
        </w:rPr>
        <w:t>-</w:t>
      </w:r>
      <w:r w:rsidR="00574385" w:rsidRPr="00C903F8">
        <w:rPr>
          <w:noProof/>
          <w:lang w:val="en-US"/>
        </w:rPr>
        <w:tab/>
      </w:r>
      <w:r w:rsidRPr="00C903F8">
        <w:rPr>
          <w:noProof/>
          <w:lang w:val="en-US"/>
        </w:rPr>
        <w:t xml:space="preserve">in accordance with European </w:t>
      </w:r>
      <w:r w:rsidR="00837508" w:rsidRPr="00C903F8">
        <w:rPr>
          <w:noProof/>
          <w:lang w:val="en-US"/>
        </w:rPr>
        <w:t>S</w:t>
      </w:r>
      <w:r w:rsidRPr="00C903F8">
        <w:rPr>
          <w:noProof/>
          <w:lang w:val="en-US"/>
        </w:rPr>
        <w:t>tandard EN 14144:</w:t>
      </w:r>
      <w:r w:rsidR="00EC2B81" w:rsidRPr="00C903F8">
        <w:rPr>
          <w:noProof/>
          <w:lang w:val="en-US"/>
        </w:rPr>
        <w:t> </w:t>
      </w:r>
      <w:r w:rsidRPr="00C903F8">
        <w:rPr>
          <w:noProof/>
          <w:lang w:val="en-US"/>
        </w:rPr>
        <w:t>2003</w:t>
      </w:r>
      <w:r w:rsidR="00F55D2A" w:rsidRPr="00C903F8">
        <w:rPr>
          <w:noProof/>
          <w:lang w:val="en-US"/>
        </w:rPr>
        <w:t>; or</w:t>
      </w:r>
    </w:p>
    <w:p w:rsidR="00E65F26" w:rsidRPr="00C903F8" w:rsidRDefault="00E65F26" w:rsidP="00574385">
      <w:pPr>
        <w:pStyle w:val="ESlet"/>
        <w:rPr>
          <w:lang w:val="en-US"/>
        </w:rPr>
      </w:pPr>
      <w:r w:rsidRPr="00C903F8">
        <w:rPr>
          <w:lang w:val="en-US"/>
        </w:rPr>
        <w:t>-</w:t>
      </w:r>
      <w:r w:rsidRPr="00C903F8">
        <w:rPr>
          <w:lang w:val="en-US"/>
        </w:rPr>
        <w:tab/>
      </w:r>
      <w:r w:rsidRPr="00C903F8">
        <w:rPr>
          <w:noProof/>
          <w:lang w:val="en-US"/>
        </w:rPr>
        <w:t>in accordance with the 1974 International Convention for the Safety of Life at Sea (SOLAS</w:t>
      </w:r>
      <w:r w:rsidR="00EC2B81" w:rsidRPr="00C903F8">
        <w:rPr>
          <w:noProof/>
          <w:lang w:val="en-US"/>
        </w:rPr>
        <w:t> </w:t>
      </w:r>
      <w:r w:rsidRPr="00C903F8">
        <w:rPr>
          <w:noProof/>
          <w:lang w:val="en-US"/>
        </w:rPr>
        <w:t xml:space="preserve">1974), Chapter III, Regulation 7.1, and the </w:t>
      </w:r>
      <w:r w:rsidR="00626316" w:rsidRPr="00C903F8">
        <w:rPr>
          <w:noProof/>
          <w:lang w:val="en-US"/>
        </w:rPr>
        <w:t>I</w:t>
      </w:r>
      <w:r w:rsidRPr="00C903F8">
        <w:rPr>
          <w:noProof/>
          <w:lang w:val="en-US"/>
        </w:rPr>
        <w:t>nternational Life-Saving Appliance (LSA) Code, sub-section 2.1.</w:t>
      </w:r>
    </w:p>
    <w:p w:rsidR="00824063" w:rsidRPr="00C903F8" w:rsidRDefault="00824063" w:rsidP="00E65F26">
      <w:pPr>
        <w:pStyle w:val="ESch"/>
        <w:rPr>
          <w:noProof/>
          <w:lang w:val="en-US"/>
        </w:rPr>
      </w:pPr>
    </w:p>
    <w:p w:rsidR="00E65F26" w:rsidRPr="00C903F8" w:rsidRDefault="00E65F26" w:rsidP="00574385">
      <w:pPr>
        <w:pStyle w:val="ESchpar"/>
        <w:rPr>
          <w:lang w:val="en-US"/>
        </w:rPr>
      </w:pPr>
      <w:r w:rsidRPr="00C903F8">
        <w:rPr>
          <w:noProof/>
          <w:lang w:val="en-US"/>
        </w:rPr>
        <w:t>They shall be ready for use and attached to the deck at appropriate points without being attached to their mounting. At least one lifebuoy shall be in the immediate vicinity of the wheelhouse and shall be equipped with a self-igniting, battery-powered light that will not be extinguished in water.</w:t>
      </w:r>
    </w:p>
    <w:p w:rsidR="00574385" w:rsidRPr="00C903F8" w:rsidRDefault="00574385" w:rsidP="00E65F26">
      <w:pPr>
        <w:pStyle w:val="ESch"/>
        <w:rPr>
          <w:lang w:val="en-US"/>
        </w:rPr>
      </w:pPr>
    </w:p>
    <w:p w:rsidR="00E65F26" w:rsidRPr="00C903F8" w:rsidRDefault="00E65F26" w:rsidP="00E65F26">
      <w:pPr>
        <w:pStyle w:val="ESch"/>
        <w:rPr>
          <w:lang w:val="en-US"/>
        </w:rPr>
      </w:pPr>
      <w:r w:rsidRPr="00C903F8">
        <w:rPr>
          <w:lang w:val="en-US"/>
        </w:rPr>
        <w:t>2.</w:t>
      </w:r>
      <w:r w:rsidRPr="00C903F8">
        <w:rPr>
          <w:lang w:val="en-US"/>
        </w:rPr>
        <w:tab/>
        <w:t>A personalised, automatically inflatable life jacket shall be within reach of every person who is regularly on board a craft. Such life jacket</w:t>
      </w:r>
      <w:r w:rsidR="00292101" w:rsidRPr="00C903F8">
        <w:rPr>
          <w:lang w:val="en-US"/>
        </w:rPr>
        <w:t>s</w:t>
      </w:r>
      <w:r w:rsidRPr="00C903F8">
        <w:rPr>
          <w:lang w:val="en-US"/>
        </w:rPr>
        <w:t xml:space="preserve"> shall conform to</w:t>
      </w:r>
      <w:r w:rsidR="00292101" w:rsidRPr="00C903F8">
        <w:rPr>
          <w:lang w:val="en-US"/>
        </w:rPr>
        <w:t>:</w:t>
      </w:r>
      <w:r w:rsidRPr="00C903F8">
        <w:rPr>
          <w:lang w:val="en-US"/>
        </w:rPr>
        <w:t xml:space="preserve"> </w:t>
      </w:r>
    </w:p>
    <w:p w:rsidR="00E65F26" w:rsidRPr="00C903F8" w:rsidRDefault="00E65F26" w:rsidP="00574385">
      <w:pPr>
        <w:pStyle w:val="ESlet"/>
        <w:rPr>
          <w:lang w:val="en-US"/>
        </w:rPr>
      </w:pPr>
      <w:r w:rsidRPr="00C903F8">
        <w:rPr>
          <w:lang w:val="en-US"/>
        </w:rPr>
        <w:t>-</w:t>
      </w:r>
      <w:r w:rsidRPr="00C903F8">
        <w:rPr>
          <w:lang w:val="en-US"/>
        </w:rPr>
        <w:tab/>
        <w:t xml:space="preserve">European </w:t>
      </w:r>
      <w:r w:rsidR="00837508" w:rsidRPr="00C903F8">
        <w:rPr>
          <w:lang w:val="en-US"/>
        </w:rPr>
        <w:t>S</w:t>
      </w:r>
      <w:r w:rsidRPr="00C903F8">
        <w:rPr>
          <w:lang w:val="en-US"/>
        </w:rPr>
        <w:t>tandards EN ISO 12402</w:t>
      </w:r>
      <w:r w:rsidR="009879C7">
        <w:rPr>
          <w:lang w:val="en-US"/>
        </w:rPr>
        <w:t>-</w:t>
      </w:r>
      <w:r w:rsidRPr="00C903F8">
        <w:rPr>
          <w:lang w:val="en-US"/>
        </w:rPr>
        <w:t>2: 2006</w:t>
      </w:r>
      <w:r w:rsidR="00574385" w:rsidRPr="00C903F8">
        <w:rPr>
          <w:lang w:val="en-US"/>
        </w:rPr>
        <w:t>, EN ISO 12402</w:t>
      </w:r>
      <w:r w:rsidR="009879C7">
        <w:rPr>
          <w:lang w:val="en-US"/>
        </w:rPr>
        <w:t>-</w:t>
      </w:r>
      <w:r w:rsidR="00574385" w:rsidRPr="00C903F8">
        <w:rPr>
          <w:lang w:val="en-US"/>
        </w:rPr>
        <w:t>3: 2006, EN ISO 12402</w:t>
      </w:r>
      <w:r w:rsidR="009879C7">
        <w:rPr>
          <w:lang w:val="en-US"/>
        </w:rPr>
        <w:t>­</w:t>
      </w:r>
      <w:r w:rsidRPr="00C903F8">
        <w:rPr>
          <w:lang w:val="en-US"/>
        </w:rPr>
        <w:t>4:</w:t>
      </w:r>
      <w:r w:rsidR="00574385" w:rsidRPr="00C903F8">
        <w:rPr>
          <w:lang w:val="en-US"/>
        </w:rPr>
        <w:t> </w:t>
      </w:r>
      <w:r w:rsidRPr="00C903F8">
        <w:rPr>
          <w:lang w:val="en-US"/>
        </w:rPr>
        <w:t>2006</w:t>
      </w:r>
      <w:r w:rsidR="00F55D2A" w:rsidRPr="00C903F8">
        <w:rPr>
          <w:lang w:val="en-US"/>
        </w:rPr>
        <w:t>;</w:t>
      </w:r>
      <w:r w:rsidRPr="00C903F8">
        <w:rPr>
          <w:lang w:val="en-US"/>
        </w:rPr>
        <w:t xml:space="preserve"> or</w:t>
      </w:r>
    </w:p>
    <w:p w:rsidR="00E65F26" w:rsidRPr="00C903F8" w:rsidRDefault="00E65F26" w:rsidP="00574385">
      <w:pPr>
        <w:pStyle w:val="ESlet"/>
        <w:rPr>
          <w:lang w:val="en-US"/>
        </w:rPr>
      </w:pPr>
      <w:r w:rsidRPr="00C903F8">
        <w:rPr>
          <w:lang w:val="en-US"/>
        </w:rPr>
        <w:t>-</w:t>
      </w:r>
      <w:r w:rsidRPr="00C903F8">
        <w:rPr>
          <w:lang w:val="en-US"/>
        </w:rPr>
        <w:tab/>
        <w:t xml:space="preserve">The 1974 International Convention for the Safety of Life at Sea (SOLAS 1974), Chapter III, Regulation 7.2, and the </w:t>
      </w:r>
      <w:r w:rsidR="00626316" w:rsidRPr="00C903F8">
        <w:rPr>
          <w:lang w:val="en-US"/>
        </w:rPr>
        <w:t>I</w:t>
      </w:r>
      <w:r w:rsidRPr="00C903F8">
        <w:rPr>
          <w:lang w:val="en-US"/>
        </w:rPr>
        <w:t>nternational Life-Saving Appliance (LSA) Code, sub-section 2.2.</w:t>
      </w:r>
    </w:p>
    <w:p w:rsidR="00574385" w:rsidRPr="00C903F8" w:rsidRDefault="00574385" w:rsidP="00574385">
      <w:pPr>
        <w:pStyle w:val="ESchpar"/>
        <w:rPr>
          <w:noProof/>
          <w:lang w:val="en-US"/>
        </w:rPr>
      </w:pPr>
    </w:p>
    <w:p w:rsidR="00E65F26" w:rsidRPr="00C903F8" w:rsidRDefault="00E65F26" w:rsidP="00574385">
      <w:pPr>
        <w:pStyle w:val="ESchpar"/>
        <w:rPr>
          <w:lang w:val="en-US"/>
        </w:rPr>
      </w:pPr>
      <w:r w:rsidRPr="00C903F8">
        <w:rPr>
          <w:noProof/>
          <w:lang w:val="en-US"/>
        </w:rPr>
        <w:t xml:space="preserve">Non-inflatable lifejackets in accordance with these </w:t>
      </w:r>
      <w:r w:rsidR="00837508" w:rsidRPr="00C903F8">
        <w:rPr>
          <w:noProof/>
          <w:lang w:val="en-US"/>
        </w:rPr>
        <w:t>S</w:t>
      </w:r>
      <w:r w:rsidRPr="00C903F8">
        <w:rPr>
          <w:noProof/>
          <w:lang w:val="en-US"/>
        </w:rPr>
        <w:t>tandards shall also be admissible for children.</w:t>
      </w:r>
    </w:p>
    <w:p w:rsidR="00574385" w:rsidRPr="00C903F8" w:rsidRDefault="00574385" w:rsidP="00E65F26">
      <w:pPr>
        <w:pStyle w:val="ESch"/>
        <w:rPr>
          <w:noProof/>
          <w:lang w:val="en-US"/>
        </w:rPr>
      </w:pPr>
    </w:p>
    <w:p w:rsidR="00E65F26" w:rsidRPr="00C903F8" w:rsidRDefault="00E65F26" w:rsidP="00E65F26">
      <w:pPr>
        <w:pStyle w:val="ESch"/>
        <w:rPr>
          <w:lang w:val="en-US"/>
        </w:rPr>
      </w:pPr>
      <w:r w:rsidRPr="00C903F8">
        <w:rPr>
          <w:noProof/>
          <w:lang w:val="en-US"/>
        </w:rPr>
        <w:t>3.</w:t>
      </w:r>
      <w:r w:rsidRPr="00C903F8">
        <w:rPr>
          <w:lang w:val="en-US"/>
        </w:rPr>
        <w:tab/>
      </w:r>
      <w:r w:rsidRPr="00C903F8">
        <w:rPr>
          <w:noProof/>
          <w:lang w:val="en-US"/>
        </w:rPr>
        <w:t>Lifejackets shall be inspected in accordance with the manufacturer's instructions.</w:t>
      </w:r>
    </w:p>
    <w:p w:rsidR="00E65F26" w:rsidRPr="00C903F8" w:rsidRDefault="00E65F26" w:rsidP="00E65F26">
      <w:pPr>
        <w:pStyle w:val="ESch"/>
        <w:rPr>
          <w:lang w:val="en-US"/>
        </w:rPr>
      </w:pPr>
    </w:p>
    <w:p w:rsidR="00AD0BF7" w:rsidRPr="00C903F8" w:rsidRDefault="00AD0BF7" w:rsidP="00E65F26">
      <w:pPr>
        <w:pStyle w:val="ESch"/>
        <w:rPr>
          <w:lang w:val="en-US"/>
        </w:rPr>
      </w:pPr>
    </w:p>
    <w:p w:rsidR="00AD0BF7" w:rsidRPr="00C903F8" w:rsidRDefault="00B51D33" w:rsidP="00E65F26">
      <w:pPr>
        <w:pStyle w:val="ESch"/>
        <w:rPr>
          <w:lang w:val="en-US"/>
        </w:rPr>
      </w:pPr>
      <w:r w:rsidRPr="00C903F8">
        <w:rPr>
          <w:lang w:val="en-US"/>
        </w:rPr>
        <w:br w:type="page"/>
      </w:r>
    </w:p>
    <w:p w:rsidR="005144F5" w:rsidRPr="00C903F8" w:rsidRDefault="00F06174" w:rsidP="00F6371D">
      <w:pPr>
        <w:pStyle w:val="ES-Titre2"/>
      </w:pPr>
      <w:bookmarkStart w:id="122" w:name="_Toc491854110"/>
      <w:r w:rsidRPr="00C903F8">
        <w:lastRenderedPageBreak/>
        <w:t>Chapter</w:t>
      </w:r>
      <w:r w:rsidR="00F6371D" w:rsidRPr="00C903F8">
        <w:t xml:space="preserve"> </w:t>
      </w:r>
      <w:r w:rsidRPr="00C903F8">
        <w:t>14</w:t>
      </w:r>
      <w:r w:rsidR="00F6371D" w:rsidRPr="00C903F8">
        <w:br/>
      </w:r>
      <w:r w:rsidR="00E66C5C" w:rsidRPr="00C903F8">
        <w:t>S</w:t>
      </w:r>
      <w:r w:rsidRPr="00C903F8">
        <w:t>afety at work stations</w:t>
      </w:r>
      <w:bookmarkEnd w:id="122"/>
    </w:p>
    <w:p w:rsidR="005144F5" w:rsidRPr="00C903F8" w:rsidRDefault="005144F5" w:rsidP="005144F5">
      <w:pPr>
        <w:rPr>
          <w:lang w:val="en-US" w:eastAsia="en-US"/>
        </w:rPr>
      </w:pPr>
    </w:p>
    <w:p w:rsidR="00F06174" w:rsidRPr="00C903F8" w:rsidRDefault="00F06174" w:rsidP="00DE69C7">
      <w:pPr>
        <w:pStyle w:val="ES-Titre3"/>
        <w:rPr>
          <w:lang w:val="en-US"/>
        </w:rPr>
      </w:pPr>
      <w:bookmarkStart w:id="123" w:name="_Toc491854111"/>
      <w:r w:rsidRPr="00C903F8">
        <w:rPr>
          <w:noProof/>
          <w:lang w:val="en-US"/>
        </w:rPr>
        <w:t>Article 14.01</w:t>
      </w:r>
      <w:r w:rsidRPr="00C903F8">
        <w:rPr>
          <w:noProof/>
          <w:lang w:val="en-US"/>
        </w:rPr>
        <w:br/>
      </w:r>
      <w:r w:rsidRPr="00C903F8">
        <w:rPr>
          <w:bCs/>
          <w:i/>
          <w:noProof/>
          <w:lang w:val="en-US"/>
        </w:rPr>
        <w:t>General</w:t>
      </w:r>
      <w:bookmarkEnd w:id="123"/>
    </w:p>
    <w:p w:rsidR="00725D4A" w:rsidRPr="00C903F8" w:rsidRDefault="00725D4A" w:rsidP="00F06174">
      <w:pPr>
        <w:rPr>
          <w:rFonts w:cs="Arial"/>
          <w:noProof/>
          <w:szCs w:val="20"/>
          <w:lang w:val="en-US"/>
        </w:rPr>
      </w:pPr>
    </w:p>
    <w:p w:rsidR="00F06174" w:rsidRPr="00C903F8" w:rsidRDefault="00F06174" w:rsidP="00725D4A">
      <w:pPr>
        <w:pStyle w:val="ESch"/>
        <w:rPr>
          <w:noProof/>
          <w:lang w:val="en-US"/>
        </w:rPr>
      </w:pPr>
      <w:r w:rsidRPr="00C903F8">
        <w:rPr>
          <w:noProof/>
          <w:lang w:val="en-US"/>
        </w:rPr>
        <w:t>1.</w:t>
      </w:r>
      <w:r w:rsidRPr="00C903F8">
        <w:rPr>
          <w:noProof/>
          <w:lang w:val="en-US"/>
        </w:rPr>
        <w:tab/>
        <w:t>Vessels shall be built, arranged and equipped in such a way as to enable persons to work and move about in safety</w:t>
      </w:r>
      <w:r w:rsidR="00495307" w:rsidRPr="00C903F8">
        <w:rPr>
          <w:noProof/>
          <w:lang w:val="en-US"/>
        </w:rPr>
        <w:t xml:space="preserve"> in passageways</w:t>
      </w:r>
      <w:r w:rsidRPr="00C903F8">
        <w:rPr>
          <w:noProof/>
          <w:lang w:val="en-US"/>
        </w:rPr>
        <w:t xml:space="preserve">. </w:t>
      </w:r>
    </w:p>
    <w:p w:rsidR="00DE69C7" w:rsidRPr="00C903F8" w:rsidRDefault="00DE69C7" w:rsidP="00725D4A">
      <w:pPr>
        <w:pStyle w:val="ESch"/>
        <w:rPr>
          <w:noProof/>
          <w:lang w:val="en-US"/>
        </w:rPr>
      </w:pPr>
    </w:p>
    <w:p w:rsidR="00F06174" w:rsidRPr="00C903F8" w:rsidRDefault="00F06174" w:rsidP="00725D4A">
      <w:pPr>
        <w:pStyle w:val="ESch"/>
        <w:rPr>
          <w:noProof/>
          <w:lang w:val="en-US"/>
        </w:rPr>
      </w:pPr>
      <w:r w:rsidRPr="00C903F8">
        <w:rPr>
          <w:noProof/>
          <w:lang w:val="en-US"/>
        </w:rPr>
        <w:t>2.</w:t>
      </w:r>
      <w:r w:rsidRPr="00C903F8">
        <w:rPr>
          <w:noProof/>
          <w:lang w:val="en-US"/>
        </w:rPr>
        <w:tab/>
        <w:t xml:space="preserve">Permanently installed facilities that are necessary for working on board shall be arranged, laid out and secured in such a way as to permit safe and easy operation, use and maintenance. If necessary, mobile or high-temperature components shall be fitted with protective devices. </w:t>
      </w:r>
    </w:p>
    <w:p w:rsidR="00F06174" w:rsidRPr="00C903F8" w:rsidRDefault="00F06174" w:rsidP="00725D4A">
      <w:pPr>
        <w:pStyle w:val="ESch"/>
        <w:rPr>
          <w:lang w:val="en-US"/>
        </w:rPr>
      </w:pPr>
    </w:p>
    <w:p w:rsidR="00DE69C7" w:rsidRPr="00C903F8" w:rsidRDefault="00DE69C7" w:rsidP="00F06174">
      <w:pPr>
        <w:rPr>
          <w:rFonts w:cs="Arial"/>
          <w:szCs w:val="20"/>
          <w:lang w:val="en-US"/>
        </w:rPr>
      </w:pPr>
    </w:p>
    <w:p w:rsidR="00F06174" w:rsidRPr="00C903F8" w:rsidRDefault="00F06174" w:rsidP="00DE69C7">
      <w:pPr>
        <w:pStyle w:val="ES-Titre3"/>
        <w:rPr>
          <w:i/>
          <w:lang w:val="en-US"/>
        </w:rPr>
      </w:pPr>
      <w:bookmarkStart w:id="124" w:name="_Toc491854112"/>
      <w:r w:rsidRPr="00C903F8">
        <w:rPr>
          <w:noProof/>
          <w:lang w:val="en-US"/>
        </w:rPr>
        <w:t>Article 14.02</w:t>
      </w:r>
      <w:r w:rsidRPr="00C903F8">
        <w:rPr>
          <w:noProof/>
          <w:lang w:val="en-US"/>
        </w:rPr>
        <w:br/>
      </w:r>
      <w:r w:rsidRPr="00C903F8">
        <w:rPr>
          <w:i/>
          <w:noProof/>
          <w:lang w:val="en-US"/>
        </w:rPr>
        <w:t>Protection against falling</w:t>
      </w:r>
      <w:bookmarkEnd w:id="124"/>
    </w:p>
    <w:p w:rsidR="00DE69C7" w:rsidRPr="00C903F8" w:rsidRDefault="00DE69C7" w:rsidP="00F06174">
      <w:pPr>
        <w:rPr>
          <w:rFonts w:cs="Arial"/>
          <w:noProof/>
          <w:szCs w:val="20"/>
          <w:lang w:val="en-US"/>
        </w:rPr>
      </w:pPr>
    </w:p>
    <w:p w:rsidR="00F06174" w:rsidRPr="00C903F8" w:rsidRDefault="00F06174" w:rsidP="00725D4A">
      <w:pPr>
        <w:pStyle w:val="ESch"/>
        <w:rPr>
          <w:lang w:val="en-US"/>
        </w:rPr>
      </w:pPr>
      <w:r w:rsidRPr="00C903F8">
        <w:rPr>
          <w:noProof/>
          <w:lang w:val="en-US"/>
        </w:rPr>
        <w:t>1.</w:t>
      </w:r>
      <w:r w:rsidRPr="00C903F8">
        <w:rPr>
          <w:noProof/>
          <w:lang w:val="en-US"/>
        </w:rPr>
        <w:tab/>
        <w:t>Decks and side decks shall be flat and at no point be likely to cause tripping; it shall be impossible for puddles to form.</w:t>
      </w:r>
    </w:p>
    <w:p w:rsidR="00DE69C7" w:rsidRPr="00C903F8" w:rsidRDefault="00DE69C7" w:rsidP="00725D4A">
      <w:pPr>
        <w:pStyle w:val="ESch"/>
        <w:rPr>
          <w:noProof/>
          <w:lang w:val="en-US"/>
        </w:rPr>
      </w:pPr>
    </w:p>
    <w:p w:rsidR="00F06174" w:rsidRPr="002614C4" w:rsidRDefault="00F06174" w:rsidP="00725D4A">
      <w:pPr>
        <w:pStyle w:val="ESch"/>
        <w:rPr>
          <w:noProof/>
          <w:lang w:val="en-US"/>
        </w:rPr>
      </w:pPr>
      <w:r w:rsidRPr="00C903F8">
        <w:rPr>
          <w:noProof/>
          <w:lang w:val="en-US"/>
        </w:rPr>
        <w:t>2.</w:t>
      </w:r>
      <w:r w:rsidRPr="00C903F8">
        <w:rPr>
          <w:noProof/>
          <w:lang w:val="en-US"/>
        </w:rPr>
        <w:tab/>
      </w:r>
      <w:r w:rsidR="00C44D3C" w:rsidRPr="00A24633">
        <w:rPr>
          <w:noProof/>
          <w:lang w:val="en-US"/>
        </w:rPr>
        <w:t xml:space="preserve">Decks, side </w:t>
      </w:r>
      <w:r w:rsidR="00C44D3C" w:rsidRPr="002614C4">
        <w:rPr>
          <w:noProof/>
          <w:lang w:val="en-US"/>
        </w:rPr>
        <w:t>decks, engine room floors, landings, stairways and the tops of side deck bollards shall have non-slip surfaces.</w:t>
      </w:r>
    </w:p>
    <w:p w:rsidR="00DE69C7" w:rsidRPr="002614C4" w:rsidRDefault="00DE69C7" w:rsidP="00725D4A">
      <w:pPr>
        <w:pStyle w:val="ESch"/>
        <w:rPr>
          <w:noProof/>
          <w:lang w:val="en-US"/>
        </w:rPr>
      </w:pPr>
    </w:p>
    <w:p w:rsidR="00F06174" w:rsidRPr="002614C4" w:rsidRDefault="00F06174" w:rsidP="00725D4A">
      <w:pPr>
        <w:pStyle w:val="ESch"/>
        <w:rPr>
          <w:lang w:val="en-US"/>
        </w:rPr>
      </w:pPr>
      <w:r w:rsidRPr="002614C4">
        <w:rPr>
          <w:noProof/>
          <w:lang w:val="en-US"/>
        </w:rPr>
        <w:t>3.</w:t>
      </w:r>
      <w:r w:rsidRPr="002614C4">
        <w:rPr>
          <w:noProof/>
          <w:lang w:val="en-US"/>
        </w:rPr>
        <w:tab/>
        <w:t>The tops of side deck bollards and obstacles in passageways, such as the edges of steps, shall be painted in a colour contrasting with the surrounding deck.</w:t>
      </w:r>
    </w:p>
    <w:p w:rsidR="00DE69C7" w:rsidRPr="002614C4" w:rsidRDefault="00DE69C7" w:rsidP="00725D4A">
      <w:pPr>
        <w:pStyle w:val="ESch"/>
        <w:rPr>
          <w:noProof/>
          <w:lang w:val="en-US"/>
        </w:rPr>
      </w:pPr>
    </w:p>
    <w:p w:rsidR="00F06174" w:rsidRPr="00C903F8" w:rsidRDefault="00F06174" w:rsidP="00725D4A">
      <w:pPr>
        <w:pStyle w:val="ESch"/>
        <w:rPr>
          <w:lang w:val="en-US"/>
        </w:rPr>
      </w:pPr>
      <w:r w:rsidRPr="002614C4">
        <w:rPr>
          <w:noProof/>
          <w:lang w:val="en-US"/>
        </w:rPr>
        <w:t>4.</w:t>
      </w:r>
      <w:r w:rsidRPr="002614C4">
        <w:rPr>
          <w:noProof/>
          <w:lang w:val="en-US"/>
        </w:rPr>
        <w:tab/>
      </w:r>
      <w:r w:rsidR="00C44D3C" w:rsidRPr="002614C4">
        <w:rPr>
          <w:rFonts w:eastAsia="Calibri" w:cs="Arial"/>
          <w:color w:val="000000"/>
          <w:szCs w:val="22"/>
          <w:lang w:val="en-US" w:eastAsia="en-US"/>
        </w:rPr>
        <w:t>The outer edges of decks and side decks, as well as work stations where persons might fall more than 1 m, shall be fitted with bulwarks or coamings that are at least 0,90 m high or with a continuous guard rail in accordance with European Standard EN 711: 2016</w:t>
      </w:r>
      <w:r w:rsidRPr="002614C4">
        <w:rPr>
          <w:lang w:val="en-GB"/>
        </w:rPr>
        <w:t>.</w:t>
      </w:r>
      <w:r w:rsidRPr="00C903F8">
        <w:rPr>
          <w:lang w:val="en-GB"/>
        </w:rPr>
        <w:t xml:space="preserve"> Where the shipside guard rails are retractable,</w:t>
      </w:r>
    </w:p>
    <w:p w:rsidR="00F06174" w:rsidRPr="00C903F8" w:rsidRDefault="005C7859" w:rsidP="00725D4A">
      <w:pPr>
        <w:pStyle w:val="ESlet"/>
        <w:rPr>
          <w:lang w:val="en-GB"/>
        </w:rPr>
      </w:pPr>
      <w:r w:rsidRPr="00C903F8">
        <w:rPr>
          <w:lang w:val="en-US"/>
        </w:rPr>
        <w:t>a)</w:t>
      </w:r>
      <w:r w:rsidR="00F06174" w:rsidRPr="00C903F8">
        <w:rPr>
          <w:lang w:val="en-US"/>
        </w:rPr>
        <w:tab/>
        <w:t>a continuous handrail 0,02 to 0,04 m in diameter shall additionally be secured to the coaming at a height of 0,7 to 1,1 m</w:t>
      </w:r>
      <w:r w:rsidR="00F55D2A" w:rsidRPr="00C903F8">
        <w:rPr>
          <w:lang w:val="en-US"/>
        </w:rPr>
        <w:t>;</w:t>
      </w:r>
      <w:r w:rsidR="00F06174" w:rsidRPr="00C903F8">
        <w:rPr>
          <w:lang w:val="en-US"/>
        </w:rPr>
        <w:t xml:space="preserve"> and</w:t>
      </w:r>
    </w:p>
    <w:p w:rsidR="00F06174" w:rsidRPr="00C903F8" w:rsidRDefault="005C7859" w:rsidP="00725D4A">
      <w:pPr>
        <w:pStyle w:val="ESlet"/>
        <w:rPr>
          <w:lang w:val="en-US"/>
        </w:rPr>
      </w:pPr>
      <w:r w:rsidRPr="00C903F8">
        <w:rPr>
          <w:lang w:val="en-GB"/>
        </w:rPr>
        <w:t>b)</w:t>
      </w:r>
      <w:r w:rsidR="00A14A3A" w:rsidRPr="00C903F8">
        <w:rPr>
          <w:lang w:val="en-US"/>
        </w:rPr>
        <w:tab/>
      </w:r>
      <w:r w:rsidR="00F06174" w:rsidRPr="00C903F8">
        <w:rPr>
          <w:lang w:val="en-GB"/>
        </w:rPr>
        <w:t xml:space="preserve">signs in accordance with Annex </w:t>
      </w:r>
      <w:r w:rsidR="002E6F15" w:rsidRPr="00C903F8">
        <w:rPr>
          <w:lang w:val="en-GB"/>
        </w:rPr>
        <w:t>4</w:t>
      </w:r>
      <w:r w:rsidR="00F06174" w:rsidRPr="00C903F8">
        <w:rPr>
          <w:lang w:val="en-GB"/>
        </w:rPr>
        <w:t>, Figure 10, at least 15 cm in diameter, shall be affixed in clearly visible positions at the point where the side deck begins.</w:t>
      </w:r>
    </w:p>
    <w:p w:rsidR="00F06174" w:rsidRPr="00C903F8" w:rsidRDefault="00F06174" w:rsidP="00DE69C7">
      <w:pPr>
        <w:ind w:left="0" w:firstLine="0"/>
        <w:rPr>
          <w:rFonts w:cs="Arial"/>
          <w:szCs w:val="20"/>
          <w:lang w:val="en-US"/>
        </w:rPr>
      </w:pPr>
    </w:p>
    <w:p w:rsidR="00F06174" w:rsidRPr="00C903F8" w:rsidRDefault="00F06174" w:rsidP="00725D4A">
      <w:pPr>
        <w:pStyle w:val="ESch"/>
        <w:rPr>
          <w:lang w:val="en-US"/>
        </w:rPr>
      </w:pPr>
      <w:r w:rsidRPr="00C903F8">
        <w:rPr>
          <w:lang w:val="en-US"/>
        </w:rPr>
        <w:t>5.</w:t>
      </w:r>
      <w:r w:rsidR="00DE69C7" w:rsidRPr="00C903F8">
        <w:rPr>
          <w:lang w:val="en-US"/>
        </w:rPr>
        <w:tab/>
      </w:r>
      <w:r w:rsidRPr="00C903F8">
        <w:rPr>
          <w:lang w:val="en-GB"/>
        </w:rPr>
        <w:t xml:space="preserve">By way of derogation from </w:t>
      </w:r>
      <w:r w:rsidR="00FD1E75" w:rsidRPr="00C903F8">
        <w:rPr>
          <w:lang w:val="en-GB"/>
        </w:rPr>
        <w:t>(</w:t>
      </w:r>
      <w:r w:rsidRPr="00C903F8">
        <w:rPr>
          <w:lang w:val="en-GB"/>
        </w:rPr>
        <w:t>4</w:t>
      </w:r>
      <w:r w:rsidR="00FD1E75" w:rsidRPr="00C903F8">
        <w:rPr>
          <w:lang w:val="en-GB"/>
        </w:rPr>
        <w:t>)</w:t>
      </w:r>
      <w:r w:rsidRPr="00C903F8">
        <w:rPr>
          <w:lang w:val="en-GB"/>
        </w:rPr>
        <w:t>, in the case of lighters and barges without accommodation, bulwarks or guard rails shall not be required where:</w:t>
      </w:r>
    </w:p>
    <w:p w:rsidR="00F06174" w:rsidRPr="00C903F8" w:rsidRDefault="005C7859" w:rsidP="00725D4A">
      <w:pPr>
        <w:pStyle w:val="ESlet"/>
        <w:rPr>
          <w:lang w:val="en-US"/>
        </w:rPr>
      </w:pPr>
      <w:r w:rsidRPr="00C903F8">
        <w:rPr>
          <w:lang w:val="en-US"/>
        </w:rPr>
        <w:t>a)</w:t>
      </w:r>
      <w:r w:rsidR="00F06174" w:rsidRPr="00C903F8">
        <w:rPr>
          <w:lang w:val="en-US"/>
        </w:rPr>
        <w:tab/>
        <w:t>foot rails have been fitted to the outer edges of the decks and side decks</w:t>
      </w:r>
      <w:r w:rsidR="00F55D2A" w:rsidRPr="00C903F8">
        <w:rPr>
          <w:lang w:val="en-US"/>
        </w:rPr>
        <w:t>;</w:t>
      </w:r>
    </w:p>
    <w:p w:rsidR="00F06174" w:rsidRPr="00C903F8" w:rsidRDefault="005C7859" w:rsidP="00725D4A">
      <w:pPr>
        <w:pStyle w:val="ESlet"/>
        <w:rPr>
          <w:lang w:val="en-US"/>
        </w:rPr>
      </w:pPr>
      <w:r w:rsidRPr="00C903F8">
        <w:rPr>
          <w:lang w:val="en-US"/>
        </w:rPr>
        <w:t>b)</w:t>
      </w:r>
      <w:r w:rsidR="00F06174" w:rsidRPr="00C903F8">
        <w:rPr>
          <w:lang w:val="en-US"/>
        </w:rPr>
        <w:tab/>
        <w:t xml:space="preserve">handrails in accordance with </w:t>
      </w:r>
      <w:r w:rsidR="00FD1E75" w:rsidRPr="00C903F8">
        <w:rPr>
          <w:lang w:val="en-US"/>
        </w:rPr>
        <w:t>(</w:t>
      </w:r>
      <w:r w:rsidR="00F06174" w:rsidRPr="00C903F8">
        <w:rPr>
          <w:lang w:val="en-US"/>
        </w:rPr>
        <w:t>4</w:t>
      </w:r>
      <w:r w:rsidR="00FD1E75" w:rsidRPr="00C903F8">
        <w:rPr>
          <w:lang w:val="en-US"/>
        </w:rPr>
        <w:t>)</w:t>
      </w:r>
      <w:r w:rsidR="00F06174" w:rsidRPr="00C903F8">
        <w:rPr>
          <w:lang w:val="en-US"/>
        </w:rPr>
        <w:t>(a) have been fitted to the coamings</w:t>
      </w:r>
      <w:r w:rsidR="00F55D2A" w:rsidRPr="00C903F8">
        <w:rPr>
          <w:lang w:val="en-US"/>
        </w:rPr>
        <w:t>;</w:t>
      </w:r>
      <w:r w:rsidR="00F06174" w:rsidRPr="00C903F8">
        <w:rPr>
          <w:lang w:val="en-US"/>
        </w:rPr>
        <w:t xml:space="preserve"> and</w:t>
      </w:r>
    </w:p>
    <w:p w:rsidR="00F06174" w:rsidRPr="00C903F8" w:rsidRDefault="005C7859" w:rsidP="00725D4A">
      <w:pPr>
        <w:pStyle w:val="ESlet"/>
        <w:rPr>
          <w:lang w:val="en-US"/>
        </w:rPr>
      </w:pPr>
      <w:r w:rsidRPr="00C903F8">
        <w:rPr>
          <w:lang w:val="en-US"/>
        </w:rPr>
        <w:t>c)</w:t>
      </w:r>
      <w:r w:rsidR="00F06174" w:rsidRPr="00C903F8">
        <w:rPr>
          <w:lang w:val="en-US"/>
        </w:rPr>
        <w:tab/>
        <w:t xml:space="preserve">signs in accordance with Annex </w:t>
      </w:r>
      <w:r w:rsidR="002E6F15" w:rsidRPr="00C903F8">
        <w:rPr>
          <w:lang w:val="en-US"/>
        </w:rPr>
        <w:t>4</w:t>
      </w:r>
      <w:r w:rsidR="00F06174" w:rsidRPr="00C903F8">
        <w:rPr>
          <w:lang w:val="en-US"/>
        </w:rPr>
        <w:t>, Figure 10, at least 15 cm in diameter, have been affixed in clearly visible positions on deck.</w:t>
      </w:r>
    </w:p>
    <w:p w:rsidR="00DE69C7" w:rsidRPr="00C903F8" w:rsidRDefault="00DE69C7" w:rsidP="00F06174">
      <w:pPr>
        <w:rPr>
          <w:rFonts w:cs="Arial"/>
          <w:szCs w:val="20"/>
          <w:lang w:val="en-US"/>
        </w:rPr>
      </w:pPr>
    </w:p>
    <w:p w:rsidR="00F06174" w:rsidRPr="00C903F8" w:rsidRDefault="00F06174" w:rsidP="00725D4A">
      <w:pPr>
        <w:pStyle w:val="ESch"/>
        <w:rPr>
          <w:lang w:val="en-US"/>
        </w:rPr>
      </w:pPr>
      <w:r w:rsidRPr="00C903F8">
        <w:rPr>
          <w:lang w:val="en-US"/>
        </w:rPr>
        <w:t>6.</w:t>
      </w:r>
      <w:r w:rsidR="00DE69C7" w:rsidRPr="00C903F8">
        <w:rPr>
          <w:lang w:val="en-US"/>
        </w:rPr>
        <w:tab/>
      </w:r>
      <w:r w:rsidRPr="00C903F8">
        <w:rPr>
          <w:noProof/>
          <w:lang w:val="en-US"/>
        </w:rPr>
        <w:t xml:space="preserve">By way of derogation from </w:t>
      </w:r>
      <w:r w:rsidR="00FD1E75" w:rsidRPr="00C903F8">
        <w:rPr>
          <w:noProof/>
          <w:lang w:val="en-US"/>
        </w:rPr>
        <w:t>(</w:t>
      </w:r>
      <w:r w:rsidRPr="00C903F8">
        <w:rPr>
          <w:noProof/>
          <w:lang w:val="en-US"/>
        </w:rPr>
        <w:t>4</w:t>
      </w:r>
      <w:r w:rsidR="00FD1E75" w:rsidRPr="00C903F8">
        <w:rPr>
          <w:noProof/>
          <w:lang w:val="en-US"/>
        </w:rPr>
        <w:t>)</w:t>
      </w:r>
      <w:r w:rsidRPr="00C903F8">
        <w:rPr>
          <w:noProof/>
          <w:lang w:val="en-US"/>
        </w:rPr>
        <w:t>, in the case of vessels with flush- or trunk-decks it shall not be required that guard rails be fitted directly on the outer edges of those decks, or on side decks where:</w:t>
      </w:r>
    </w:p>
    <w:p w:rsidR="00F06174" w:rsidRPr="00C903F8" w:rsidRDefault="005C7859" w:rsidP="00725D4A">
      <w:pPr>
        <w:pStyle w:val="ESlet"/>
        <w:rPr>
          <w:lang w:val="en-US"/>
        </w:rPr>
      </w:pPr>
      <w:r w:rsidRPr="00C903F8">
        <w:rPr>
          <w:lang w:val="en-US"/>
        </w:rPr>
        <w:t>a)</w:t>
      </w:r>
      <w:r w:rsidR="00F06174" w:rsidRPr="00C903F8">
        <w:rPr>
          <w:lang w:val="en-US"/>
        </w:rPr>
        <w:tab/>
        <w:t>the passageways run over those decks</w:t>
      </w:r>
      <w:r w:rsidR="00F55D2A" w:rsidRPr="00C903F8">
        <w:rPr>
          <w:lang w:val="en-US"/>
        </w:rPr>
        <w:t>;</w:t>
      </w:r>
    </w:p>
    <w:p w:rsidR="00F06174" w:rsidRPr="00C903F8" w:rsidRDefault="00725D4A" w:rsidP="00725D4A">
      <w:pPr>
        <w:pStyle w:val="ESlet"/>
        <w:rPr>
          <w:lang w:val="en-US"/>
        </w:rPr>
      </w:pPr>
      <w:r w:rsidRPr="00C903F8">
        <w:rPr>
          <w:lang w:val="en-US"/>
        </w:rPr>
        <w:br w:type="page"/>
      </w:r>
      <w:r w:rsidR="005C7859" w:rsidRPr="00C903F8">
        <w:rPr>
          <w:lang w:val="en-US"/>
        </w:rPr>
        <w:lastRenderedPageBreak/>
        <w:t>b)</w:t>
      </w:r>
      <w:r w:rsidRPr="00C903F8">
        <w:rPr>
          <w:lang w:val="en-US"/>
        </w:rPr>
        <w:tab/>
      </w:r>
      <w:r w:rsidR="00C44D3C" w:rsidRPr="00E552F1">
        <w:rPr>
          <w:rFonts w:ascii="ArialMT" w:hAnsi="ArialMT" w:cs="ArialMT"/>
          <w:szCs w:val="20"/>
          <w:lang w:val="en-US" w:eastAsia="de-DE"/>
        </w:rPr>
        <w:t>the passageways and work stations on those decks are surrounded by fixed guard rails in accordance with EN 711</w:t>
      </w:r>
      <w:r w:rsidR="00C44D3C" w:rsidRPr="002614C4">
        <w:rPr>
          <w:rFonts w:ascii="ArialMT" w:hAnsi="ArialMT" w:cs="ArialMT"/>
          <w:szCs w:val="20"/>
          <w:lang w:val="en-US" w:eastAsia="de-DE"/>
        </w:rPr>
        <w:t>: 2016; and</w:t>
      </w:r>
    </w:p>
    <w:p w:rsidR="00F06174" w:rsidRPr="00C903F8" w:rsidRDefault="00F06174" w:rsidP="00725D4A">
      <w:pPr>
        <w:pStyle w:val="ESlet"/>
        <w:rPr>
          <w:lang w:val="en-US"/>
        </w:rPr>
      </w:pPr>
      <w:r w:rsidRPr="00C903F8">
        <w:rPr>
          <w:lang w:val="en-US"/>
        </w:rPr>
        <w:t>c)</w:t>
      </w:r>
      <w:r w:rsidRPr="00C903F8">
        <w:rPr>
          <w:lang w:val="en-US"/>
        </w:rPr>
        <w:tab/>
        <w:t xml:space="preserve">signs in accordance with Annex </w:t>
      </w:r>
      <w:r w:rsidR="002E6F15" w:rsidRPr="00C903F8">
        <w:rPr>
          <w:lang w:val="en-US"/>
        </w:rPr>
        <w:t>4</w:t>
      </w:r>
      <w:r w:rsidRPr="00C903F8">
        <w:rPr>
          <w:lang w:val="en-US"/>
        </w:rPr>
        <w:t>, Figure 10, at least 15 cm in diameter, have been affixed in clearly visible positions at the transitions to areas unprotected by guard rails.</w:t>
      </w:r>
    </w:p>
    <w:p w:rsidR="00DE69C7" w:rsidRPr="00C903F8" w:rsidRDefault="00DE69C7" w:rsidP="00F06174">
      <w:pPr>
        <w:rPr>
          <w:rFonts w:cs="Arial"/>
          <w:noProof/>
          <w:szCs w:val="20"/>
          <w:lang w:val="en-US"/>
        </w:rPr>
      </w:pPr>
    </w:p>
    <w:p w:rsidR="00F06174" w:rsidRPr="00C903F8" w:rsidRDefault="00F06174" w:rsidP="00725D4A">
      <w:pPr>
        <w:pStyle w:val="ESch"/>
        <w:rPr>
          <w:lang w:val="en-US"/>
        </w:rPr>
      </w:pPr>
      <w:r w:rsidRPr="00C903F8">
        <w:rPr>
          <w:noProof/>
          <w:lang w:val="en-US"/>
        </w:rPr>
        <w:t>7.</w:t>
      </w:r>
      <w:r w:rsidRPr="00C903F8">
        <w:rPr>
          <w:noProof/>
          <w:lang w:val="en-US"/>
        </w:rPr>
        <w:tab/>
        <w:t>At work stations where there is danger of falling more than 1 m the inspection body may require appropriate fittings and equipment to ensure safe working.</w:t>
      </w:r>
    </w:p>
    <w:p w:rsidR="00F06174" w:rsidRPr="00C903F8" w:rsidRDefault="00F06174" w:rsidP="00F06174">
      <w:pPr>
        <w:rPr>
          <w:rFonts w:cs="Arial"/>
          <w:szCs w:val="20"/>
          <w:lang w:val="en-US"/>
        </w:rPr>
      </w:pPr>
    </w:p>
    <w:p w:rsidR="00F06174" w:rsidRPr="00C903F8" w:rsidRDefault="00F06174" w:rsidP="00F06174">
      <w:pPr>
        <w:rPr>
          <w:rFonts w:cs="Arial"/>
          <w:szCs w:val="20"/>
          <w:lang w:val="en-US"/>
        </w:rPr>
      </w:pPr>
    </w:p>
    <w:p w:rsidR="00F06174" w:rsidRPr="00C903F8" w:rsidRDefault="00F06174" w:rsidP="00DE69C7">
      <w:pPr>
        <w:pStyle w:val="ES-Titre3"/>
        <w:rPr>
          <w:lang w:val="en-US"/>
        </w:rPr>
      </w:pPr>
      <w:bookmarkStart w:id="125" w:name="_Toc491854113"/>
      <w:r w:rsidRPr="00C903F8">
        <w:rPr>
          <w:noProof/>
          <w:lang w:val="en-US"/>
        </w:rPr>
        <w:t>Article 14.03</w:t>
      </w:r>
      <w:r w:rsidRPr="00C903F8">
        <w:rPr>
          <w:noProof/>
          <w:lang w:val="en-US"/>
        </w:rPr>
        <w:br/>
      </w:r>
      <w:r w:rsidRPr="00C903F8">
        <w:rPr>
          <w:i/>
          <w:noProof/>
          <w:lang w:val="en-US"/>
        </w:rPr>
        <w:t xml:space="preserve">Dimensions of </w:t>
      </w:r>
      <w:r w:rsidR="00C213FE" w:rsidRPr="00C903F8">
        <w:rPr>
          <w:i/>
          <w:noProof/>
          <w:lang w:val="en-US"/>
        </w:rPr>
        <w:t>work stations</w:t>
      </w:r>
      <w:bookmarkEnd w:id="125"/>
    </w:p>
    <w:p w:rsidR="00DE69C7" w:rsidRPr="00C903F8" w:rsidRDefault="00DE69C7" w:rsidP="00DE69C7">
      <w:pPr>
        <w:ind w:left="0" w:firstLine="0"/>
        <w:rPr>
          <w:rFonts w:cs="Arial"/>
          <w:noProof/>
          <w:szCs w:val="20"/>
          <w:lang w:val="en-US"/>
        </w:rPr>
      </w:pPr>
    </w:p>
    <w:p w:rsidR="00F06174" w:rsidRPr="00C903F8" w:rsidRDefault="00F06174" w:rsidP="00725D4A">
      <w:pPr>
        <w:pStyle w:val="ESgauche"/>
        <w:rPr>
          <w:lang w:val="en-US"/>
        </w:rPr>
      </w:pPr>
      <w:r w:rsidRPr="00C903F8">
        <w:rPr>
          <w:lang w:val="en-US"/>
        </w:rPr>
        <w:t xml:space="preserve">Work </w:t>
      </w:r>
      <w:r w:rsidR="00C213FE" w:rsidRPr="00C903F8">
        <w:rPr>
          <w:lang w:val="en-US"/>
        </w:rPr>
        <w:t>stations</w:t>
      </w:r>
      <w:r w:rsidRPr="00C903F8">
        <w:rPr>
          <w:lang w:val="en-US"/>
        </w:rPr>
        <w:t xml:space="preserve"> shall be large enough to provide every person working in them with adequate freedom of movement.</w:t>
      </w:r>
    </w:p>
    <w:p w:rsidR="00F06174" w:rsidRPr="00C903F8" w:rsidRDefault="00F06174" w:rsidP="00F06174">
      <w:pPr>
        <w:rPr>
          <w:rFonts w:cs="Arial"/>
          <w:szCs w:val="20"/>
          <w:lang w:val="en-US"/>
        </w:rPr>
      </w:pPr>
    </w:p>
    <w:p w:rsidR="00DE69C7" w:rsidRPr="00C903F8" w:rsidRDefault="00DE69C7" w:rsidP="00F06174">
      <w:pPr>
        <w:rPr>
          <w:rFonts w:cs="Arial"/>
          <w:szCs w:val="20"/>
          <w:lang w:val="en-US"/>
        </w:rPr>
      </w:pPr>
    </w:p>
    <w:p w:rsidR="00F06174" w:rsidRPr="00C903F8" w:rsidRDefault="00F06174" w:rsidP="00DE69C7">
      <w:pPr>
        <w:pStyle w:val="ES-Titre3"/>
        <w:rPr>
          <w:sz w:val="20"/>
          <w:lang w:val="en-US"/>
        </w:rPr>
      </w:pPr>
      <w:bookmarkStart w:id="126" w:name="_Toc491854114"/>
      <w:r w:rsidRPr="00C903F8">
        <w:rPr>
          <w:noProof/>
          <w:lang w:val="en-US"/>
        </w:rPr>
        <w:t>Article 14.04</w:t>
      </w:r>
      <w:r w:rsidRPr="00C903F8">
        <w:rPr>
          <w:noProof/>
          <w:lang w:val="en-US"/>
        </w:rPr>
        <w:br/>
      </w:r>
      <w:r w:rsidRPr="00C903F8">
        <w:rPr>
          <w:bCs/>
          <w:i/>
          <w:noProof/>
          <w:lang w:val="en-US"/>
        </w:rPr>
        <w:t>Side decks</w:t>
      </w:r>
      <w:bookmarkEnd w:id="126"/>
    </w:p>
    <w:p w:rsidR="00DE69C7" w:rsidRPr="00C903F8" w:rsidRDefault="00DE69C7" w:rsidP="00F06174">
      <w:pPr>
        <w:rPr>
          <w:rFonts w:cs="Arial"/>
          <w:noProof/>
          <w:szCs w:val="20"/>
          <w:lang w:val="en-US"/>
        </w:rPr>
      </w:pPr>
    </w:p>
    <w:p w:rsidR="00F06174" w:rsidRPr="00C903F8" w:rsidRDefault="00F06174" w:rsidP="00725D4A">
      <w:pPr>
        <w:pStyle w:val="ESch"/>
        <w:rPr>
          <w:lang w:val="en-US"/>
        </w:rPr>
      </w:pPr>
      <w:r w:rsidRPr="00C903F8">
        <w:rPr>
          <w:noProof/>
          <w:lang w:val="en-US"/>
        </w:rPr>
        <w:t xml:space="preserve">1. </w:t>
      </w:r>
      <w:r w:rsidR="00DE69C7" w:rsidRPr="00C903F8">
        <w:rPr>
          <w:noProof/>
          <w:lang w:val="en-US"/>
        </w:rPr>
        <w:tab/>
      </w:r>
      <w:r w:rsidRPr="00C903F8">
        <w:rPr>
          <w:noProof/>
          <w:lang w:val="en-US"/>
        </w:rPr>
        <w:t>The clear width of a side deck shall be at least 0,60 m. That figure may be reduced to 0,50 m at certain points that are necessary for the operation of the vessel such as deck-washing valves. It may be reduced to 0,40 m at bollards and cleats.</w:t>
      </w:r>
    </w:p>
    <w:p w:rsidR="00DE69C7" w:rsidRPr="00C903F8" w:rsidRDefault="00DE69C7" w:rsidP="00725D4A">
      <w:pPr>
        <w:pStyle w:val="ESch"/>
        <w:rPr>
          <w:noProof/>
          <w:lang w:val="en-US"/>
        </w:rPr>
      </w:pPr>
    </w:p>
    <w:p w:rsidR="00F06174" w:rsidRPr="00C903F8" w:rsidRDefault="00F06174" w:rsidP="00725D4A">
      <w:pPr>
        <w:pStyle w:val="ESch"/>
        <w:rPr>
          <w:lang w:val="en-US"/>
        </w:rPr>
      </w:pPr>
      <w:r w:rsidRPr="00C903F8">
        <w:rPr>
          <w:noProof/>
          <w:lang w:val="en-US"/>
        </w:rPr>
        <w:t>2.</w:t>
      </w:r>
      <w:r w:rsidR="00DE69C7" w:rsidRPr="00C903F8">
        <w:rPr>
          <w:noProof/>
          <w:lang w:val="en-US"/>
        </w:rPr>
        <w:tab/>
      </w:r>
      <w:r w:rsidRPr="00C903F8">
        <w:rPr>
          <w:noProof/>
          <w:lang w:val="en-US"/>
        </w:rPr>
        <w:t>Up to a height of 0,90 m above the side deck, the clear width of the side deck may be reduced to 0,50 m provided that the clear width above, between the outer edge of the hull and the inner edge of the hold, is not less than 0,65 m.</w:t>
      </w:r>
    </w:p>
    <w:p w:rsidR="00DE69C7" w:rsidRPr="00C903F8" w:rsidRDefault="00DE69C7" w:rsidP="00725D4A">
      <w:pPr>
        <w:pStyle w:val="ESch"/>
        <w:rPr>
          <w:noProof/>
          <w:lang w:val="en-US"/>
        </w:rPr>
      </w:pPr>
    </w:p>
    <w:p w:rsidR="00F06174" w:rsidRPr="00C903F8" w:rsidRDefault="00F06174" w:rsidP="00725D4A">
      <w:pPr>
        <w:pStyle w:val="ESch"/>
        <w:rPr>
          <w:lang w:val="en-US"/>
        </w:rPr>
      </w:pPr>
      <w:r w:rsidRPr="00C903F8">
        <w:rPr>
          <w:noProof/>
          <w:lang w:val="en-US"/>
        </w:rPr>
        <w:t xml:space="preserve">3. </w:t>
      </w:r>
      <w:r w:rsidR="00DE69C7" w:rsidRPr="00C903F8">
        <w:rPr>
          <w:noProof/>
          <w:lang w:val="en-US"/>
        </w:rPr>
        <w:tab/>
      </w:r>
      <w:r w:rsidRPr="00C903F8">
        <w:rPr>
          <w:noProof/>
          <w:lang w:val="en-US"/>
        </w:rPr>
        <w:t xml:space="preserve">The requirements of </w:t>
      </w:r>
      <w:r w:rsidR="00FD1E75" w:rsidRPr="00C903F8">
        <w:rPr>
          <w:noProof/>
          <w:lang w:val="en-US"/>
        </w:rPr>
        <w:t>(</w:t>
      </w:r>
      <w:r w:rsidRPr="00C903F8">
        <w:rPr>
          <w:noProof/>
          <w:lang w:val="en-US"/>
        </w:rPr>
        <w:t>1</w:t>
      </w:r>
      <w:r w:rsidR="00FD1E75" w:rsidRPr="00C903F8">
        <w:rPr>
          <w:noProof/>
          <w:lang w:val="en-US"/>
        </w:rPr>
        <w:t>)</w:t>
      </w:r>
      <w:r w:rsidRPr="00C903F8">
        <w:rPr>
          <w:noProof/>
          <w:lang w:val="en-US"/>
        </w:rPr>
        <w:t xml:space="preserve"> and </w:t>
      </w:r>
      <w:r w:rsidR="00FD1E75" w:rsidRPr="00C903F8">
        <w:rPr>
          <w:noProof/>
          <w:lang w:val="en-US"/>
        </w:rPr>
        <w:t>(</w:t>
      </w:r>
      <w:r w:rsidRPr="00C903F8">
        <w:rPr>
          <w:noProof/>
          <w:lang w:val="en-US"/>
        </w:rPr>
        <w:t>2</w:t>
      </w:r>
      <w:r w:rsidR="00FD1E75" w:rsidRPr="00C903F8">
        <w:rPr>
          <w:noProof/>
          <w:lang w:val="en-US"/>
        </w:rPr>
        <w:t>)</w:t>
      </w:r>
      <w:r w:rsidRPr="00C903F8">
        <w:rPr>
          <w:noProof/>
          <w:lang w:val="en-US"/>
        </w:rPr>
        <w:t xml:space="preserve"> shall apply up to a height of 2,00 m above the side deck.</w:t>
      </w:r>
    </w:p>
    <w:p w:rsidR="00F06174" w:rsidRPr="00C903F8" w:rsidRDefault="00F06174" w:rsidP="00F06174">
      <w:pPr>
        <w:rPr>
          <w:rFonts w:cs="Arial"/>
          <w:szCs w:val="20"/>
          <w:lang w:val="en-US"/>
        </w:rPr>
      </w:pPr>
    </w:p>
    <w:p w:rsidR="00F06174" w:rsidRPr="00C903F8" w:rsidRDefault="00F06174" w:rsidP="00F06174">
      <w:pPr>
        <w:rPr>
          <w:rFonts w:cs="Arial"/>
          <w:szCs w:val="20"/>
          <w:lang w:val="en-US"/>
        </w:rPr>
      </w:pPr>
    </w:p>
    <w:p w:rsidR="00F06174" w:rsidRPr="00C903F8" w:rsidRDefault="00F06174" w:rsidP="00DE69C7">
      <w:pPr>
        <w:pStyle w:val="ES-Titre3"/>
        <w:rPr>
          <w:i/>
          <w:sz w:val="20"/>
          <w:lang w:val="en-US"/>
        </w:rPr>
      </w:pPr>
      <w:bookmarkStart w:id="127" w:name="_Toc491854115"/>
      <w:r w:rsidRPr="00C903F8">
        <w:rPr>
          <w:noProof/>
          <w:lang w:val="en-US"/>
        </w:rPr>
        <w:t>Article 14.05</w:t>
      </w:r>
      <w:r w:rsidRPr="00C903F8">
        <w:rPr>
          <w:noProof/>
          <w:lang w:val="en-US"/>
        </w:rPr>
        <w:br/>
      </w:r>
      <w:r w:rsidRPr="00C903F8">
        <w:rPr>
          <w:i/>
          <w:noProof/>
          <w:lang w:val="en-US"/>
        </w:rPr>
        <w:t>Access to work s</w:t>
      </w:r>
      <w:r w:rsidR="00C213FE" w:rsidRPr="00C903F8">
        <w:rPr>
          <w:i/>
          <w:noProof/>
          <w:lang w:val="en-US"/>
        </w:rPr>
        <w:t>tation</w:t>
      </w:r>
      <w:r w:rsidRPr="00C903F8">
        <w:rPr>
          <w:i/>
          <w:noProof/>
          <w:lang w:val="en-US"/>
        </w:rPr>
        <w:t>s</w:t>
      </w:r>
      <w:bookmarkEnd w:id="127"/>
    </w:p>
    <w:p w:rsidR="00DE69C7" w:rsidRPr="00C903F8" w:rsidRDefault="00DE69C7" w:rsidP="00F06174">
      <w:pPr>
        <w:rPr>
          <w:rFonts w:cs="Arial"/>
          <w:noProof/>
          <w:szCs w:val="20"/>
          <w:lang w:val="en-US"/>
        </w:rPr>
      </w:pPr>
    </w:p>
    <w:p w:rsidR="00F06174" w:rsidRPr="00C903F8" w:rsidRDefault="00F06174" w:rsidP="00725D4A">
      <w:pPr>
        <w:pStyle w:val="ESch"/>
        <w:rPr>
          <w:lang w:val="en-US"/>
        </w:rPr>
      </w:pPr>
      <w:r w:rsidRPr="00C903F8">
        <w:rPr>
          <w:noProof/>
          <w:lang w:val="en-US"/>
        </w:rPr>
        <w:t>1.</w:t>
      </w:r>
      <w:r w:rsidRPr="00C903F8">
        <w:rPr>
          <w:noProof/>
          <w:lang w:val="en-US"/>
        </w:rPr>
        <w:tab/>
        <w:t>Points of access and passageways for the movement of persons and objects shall be of sufficient size and so arranged that:</w:t>
      </w:r>
    </w:p>
    <w:p w:rsidR="00F06174" w:rsidRPr="00C903F8" w:rsidRDefault="005C7859" w:rsidP="00725D4A">
      <w:pPr>
        <w:pStyle w:val="ESlet"/>
        <w:rPr>
          <w:lang w:val="en-US"/>
        </w:rPr>
      </w:pPr>
      <w:r w:rsidRPr="00C903F8">
        <w:rPr>
          <w:lang w:val="en-US"/>
        </w:rPr>
        <w:t>a)</w:t>
      </w:r>
      <w:r w:rsidR="00F06174" w:rsidRPr="00C903F8">
        <w:rPr>
          <w:lang w:val="en-US"/>
        </w:rPr>
        <w:tab/>
        <w:t>in front of the access opening, there is sufficient room not to impede movement;</w:t>
      </w:r>
    </w:p>
    <w:p w:rsidR="00F06174" w:rsidRPr="00C903F8" w:rsidRDefault="005C7859" w:rsidP="00725D4A">
      <w:pPr>
        <w:pStyle w:val="ESlet"/>
        <w:rPr>
          <w:lang w:val="en-US"/>
        </w:rPr>
      </w:pPr>
      <w:r w:rsidRPr="00C903F8">
        <w:rPr>
          <w:lang w:val="en-US"/>
        </w:rPr>
        <w:t>b)</w:t>
      </w:r>
      <w:r w:rsidR="00F06174" w:rsidRPr="00C903F8">
        <w:rPr>
          <w:lang w:val="en-US"/>
        </w:rPr>
        <w:tab/>
        <w:t>the clear width of the passageway shall be appropriate for the intended use of the working space and shall be not less than 0,60 m, except in the case of craft less than 8 m wide, where it may be reduced to 0,50 m;</w:t>
      </w:r>
    </w:p>
    <w:p w:rsidR="00F06174" w:rsidRPr="00C903F8" w:rsidRDefault="005C7859" w:rsidP="00725D4A">
      <w:pPr>
        <w:pStyle w:val="ESlet"/>
        <w:rPr>
          <w:lang w:val="en-US"/>
        </w:rPr>
      </w:pPr>
      <w:r w:rsidRPr="00C903F8">
        <w:rPr>
          <w:lang w:val="en-US"/>
        </w:rPr>
        <w:t>c)</w:t>
      </w:r>
      <w:r w:rsidR="00F06174" w:rsidRPr="00C903F8">
        <w:rPr>
          <w:lang w:val="en-US"/>
        </w:rPr>
        <w:tab/>
        <w:t>the clear height of the passageway including the sill is not less than 1,90 m.</w:t>
      </w:r>
    </w:p>
    <w:p w:rsidR="00DE69C7" w:rsidRPr="00C903F8" w:rsidRDefault="00DE69C7" w:rsidP="00F06174">
      <w:pPr>
        <w:rPr>
          <w:rFonts w:cs="Arial"/>
          <w:noProof/>
          <w:szCs w:val="20"/>
          <w:lang w:val="en-US"/>
        </w:rPr>
      </w:pPr>
    </w:p>
    <w:p w:rsidR="00F06174" w:rsidRPr="00C903F8" w:rsidRDefault="00F06174" w:rsidP="00725D4A">
      <w:pPr>
        <w:pStyle w:val="ESch"/>
        <w:rPr>
          <w:lang w:val="en-US"/>
        </w:rPr>
      </w:pPr>
      <w:r w:rsidRPr="00C903F8">
        <w:rPr>
          <w:noProof/>
          <w:lang w:val="en-US"/>
        </w:rPr>
        <w:t>2.</w:t>
      </w:r>
      <w:r w:rsidRPr="00C903F8">
        <w:rPr>
          <w:noProof/>
          <w:lang w:val="en-US"/>
        </w:rPr>
        <w:tab/>
        <w:t>Doors shall be so arranged that they can be opened and closed safely from either side. They shall be protected against accidental opening or closing.</w:t>
      </w:r>
    </w:p>
    <w:p w:rsidR="00DE69C7" w:rsidRPr="00C903F8" w:rsidRDefault="00DE69C7" w:rsidP="00725D4A">
      <w:pPr>
        <w:pStyle w:val="ESch"/>
        <w:rPr>
          <w:noProof/>
          <w:lang w:val="en-US"/>
        </w:rPr>
      </w:pPr>
    </w:p>
    <w:p w:rsidR="00101CB2" w:rsidRPr="00C903F8" w:rsidRDefault="00101CB2">
      <w:pPr>
        <w:autoSpaceDE/>
        <w:autoSpaceDN/>
        <w:ind w:left="0" w:firstLine="0"/>
        <w:jc w:val="left"/>
        <w:rPr>
          <w:noProof/>
          <w:lang w:val="en-US"/>
        </w:rPr>
      </w:pPr>
      <w:r w:rsidRPr="00C903F8">
        <w:rPr>
          <w:noProof/>
          <w:lang w:val="en-US"/>
        </w:rPr>
        <w:br w:type="page"/>
      </w:r>
    </w:p>
    <w:p w:rsidR="00F06174" w:rsidRPr="00C903F8" w:rsidRDefault="00F06174" w:rsidP="00725D4A">
      <w:pPr>
        <w:pStyle w:val="ESch"/>
        <w:rPr>
          <w:lang w:val="en-US"/>
        </w:rPr>
      </w:pPr>
      <w:r w:rsidRPr="00C903F8">
        <w:rPr>
          <w:noProof/>
          <w:lang w:val="en-US"/>
        </w:rPr>
        <w:lastRenderedPageBreak/>
        <w:t>3.</w:t>
      </w:r>
      <w:r w:rsidRPr="00C903F8">
        <w:rPr>
          <w:noProof/>
          <w:lang w:val="en-US"/>
        </w:rPr>
        <w:tab/>
        <w:t>Appropriate stairs, ladders or steps shall be installed in accesses, exits and passageways where there is more than a 0,50 m difference in floor level.</w:t>
      </w:r>
    </w:p>
    <w:p w:rsidR="00DE69C7" w:rsidRPr="00C903F8" w:rsidRDefault="00DE69C7" w:rsidP="00725D4A">
      <w:pPr>
        <w:pStyle w:val="ESch"/>
        <w:rPr>
          <w:noProof/>
          <w:lang w:val="en-US"/>
        </w:rPr>
      </w:pPr>
    </w:p>
    <w:p w:rsidR="00F06174" w:rsidRPr="00C903F8" w:rsidRDefault="00F06174" w:rsidP="00725D4A">
      <w:pPr>
        <w:pStyle w:val="ESch"/>
        <w:rPr>
          <w:lang w:val="en-US"/>
        </w:rPr>
      </w:pPr>
      <w:r w:rsidRPr="00C903F8">
        <w:rPr>
          <w:noProof/>
          <w:lang w:val="en-US"/>
        </w:rPr>
        <w:t>4.</w:t>
      </w:r>
      <w:r w:rsidRPr="00C903F8">
        <w:rPr>
          <w:noProof/>
          <w:lang w:val="en-US"/>
        </w:rPr>
        <w:tab/>
        <w:t>Work s</w:t>
      </w:r>
      <w:r w:rsidR="00C213FE" w:rsidRPr="00C903F8">
        <w:rPr>
          <w:noProof/>
          <w:lang w:val="en-US"/>
        </w:rPr>
        <w:t>tation</w:t>
      </w:r>
      <w:r w:rsidRPr="00C903F8">
        <w:rPr>
          <w:noProof/>
          <w:lang w:val="en-US"/>
        </w:rPr>
        <w:t>s which are manned continuously shall be fitted with stairs if there is a difference in floor level of more than 1,00 m. This requirement shall not apply to emergency exits.</w:t>
      </w:r>
    </w:p>
    <w:p w:rsidR="00DE69C7" w:rsidRPr="00C903F8" w:rsidRDefault="00DE69C7" w:rsidP="00725D4A">
      <w:pPr>
        <w:pStyle w:val="ESch"/>
        <w:rPr>
          <w:noProof/>
          <w:lang w:val="en-US"/>
        </w:rPr>
      </w:pPr>
    </w:p>
    <w:p w:rsidR="00F06174" w:rsidRPr="00C903F8" w:rsidRDefault="00F06174" w:rsidP="00725D4A">
      <w:pPr>
        <w:pStyle w:val="ESch"/>
        <w:rPr>
          <w:lang w:val="en-US"/>
        </w:rPr>
      </w:pPr>
      <w:r w:rsidRPr="00C903F8">
        <w:rPr>
          <w:noProof/>
          <w:lang w:val="en-US"/>
        </w:rPr>
        <w:t>5.</w:t>
      </w:r>
      <w:r w:rsidRPr="00C903F8">
        <w:rPr>
          <w:noProof/>
          <w:lang w:val="en-US"/>
        </w:rPr>
        <w:tab/>
        <w:t>Vessels with holds shall have at least one permanently installed means of access at each end of each hold.</w:t>
      </w:r>
    </w:p>
    <w:p w:rsidR="00DE69C7" w:rsidRPr="00C903F8" w:rsidRDefault="00DE69C7" w:rsidP="00725D4A">
      <w:pPr>
        <w:pStyle w:val="ESch"/>
        <w:rPr>
          <w:noProof/>
          <w:lang w:val="en-US"/>
        </w:rPr>
      </w:pPr>
    </w:p>
    <w:p w:rsidR="00F06174" w:rsidRPr="00C903F8" w:rsidRDefault="00F06174" w:rsidP="00725D4A">
      <w:pPr>
        <w:pStyle w:val="ESchpar"/>
        <w:rPr>
          <w:lang w:val="en-US"/>
        </w:rPr>
      </w:pPr>
      <w:r w:rsidRPr="00C903F8">
        <w:rPr>
          <w:noProof/>
          <w:lang w:val="en-US"/>
        </w:rPr>
        <w:t>By way of derogation from the first sentence the permanently installed means of access may be dispensed with if at least two movable ladders are provided which reach at least 3 rungs over the hatch coaming at an angle of inclination of 60°.</w:t>
      </w:r>
    </w:p>
    <w:p w:rsidR="00F06174" w:rsidRPr="00C903F8" w:rsidRDefault="00F06174" w:rsidP="00F06174">
      <w:pPr>
        <w:rPr>
          <w:rFonts w:cs="Arial"/>
          <w:szCs w:val="20"/>
          <w:lang w:val="en-US"/>
        </w:rPr>
      </w:pPr>
    </w:p>
    <w:p w:rsidR="00725D4A" w:rsidRPr="00C903F8" w:rsidRDefault="00725D4A" w:rsidP="00F06174">
      <w:pPr>
        <w:rPr>
          <w:rFonts w:cs="Arial"/>
          <w:szCs w:val="20"/>
          <w:lang w:val="en-US"/>
        </w:rPr>
      </w:pPr>
    </w:p>
    <w:p w:rsidR="00F06174" w:rsidRPr="00C903F8" w:rsidRDefault="00F06174" w:rsidP="00DE69C7">
      <w:pPr>
        <w:pStyle w:val="ES-Titre3"/>
        <w:rPr>
          <w:sz w:val="20"/>
          <w:lang w:val="en-US"/>
        </w:rPr>
      </w:pPr>
      <w:bookmarkStart w:id="128" w:name="_Toc491854116"/>
      <w:r w:rsidRPr="00C903F8">
        <w:rPr>
          <w:noProof/>
          <w:lang w:val="en-US"/>
        </w:rPr>
        <w:t>Article 14.06</w:t>
      </w:r>
      <w:r w:rsidRPr="00C903F8">
        <w:rPr>
          <w:noProof/>
          <w:lang w:val="en-US"/>
        </w:rPr>
        <w:br/>
      </w:r>
      <w:r w:rsidRPr="00C903F8">
        <w:rPr>
          <w:i/>
          <w:noProof/>
          <w:lang w:val="en-US"/>
        </w:rPr>
        <w:t>Exits and emergency exits</w:t>
      </w:r>
      <w:bookmarkEnd w:id="128"/>
    </w:p>
    <w:p w:rsidR="00DE69C7" w:rsidRPr="00C903F8" w:rsidRDefault="00DE69C7" w:rsidP="00F06174">
      <w:pPr>
        <w:rPr>
          <w:rFonts w:cs="Arial"/>
          <w:noProof/>
          <w:szCs w:val="20"/>
          <w:lang w:val="en-US"/>
        </w:rPr>
      </w:pPr>
    </w:p>
    <w:p w:rsidR="00F06174" w:rsidRPr="00C903F8" w:rsidRDefault="00F06174" w:rsidP="00725D4A">
      <w:pPr>
        <w:pStyle w:val="ESch"/>
        <w:rPr>
          <w:lang w:val="en-US"/>
        </w:rPr>
      </w:pPr>
      <w:r w:rsidRPr="00C903F8">
        <w:rPr>
          <w:noProof/>
          <w:lang w:val="en-US"/>
        </w:rPr>
        <w:t>1.</w:t>
      </w:r>
      <w:r w:rsidRPr="00C903F8">
        <w:rPr>
          <w:noProof/>
          <w:lang w:val="en-US"/>
        </w:rPr>
        <w:tab/>
        <w:t>The number, arran</w:t>
      </w:r>
      <w:r w:rsidRPr="00C903F8">
        <w:rPr>
          <w:noProof/>
          <w:lang w:val="en-US"/>
        </w:rPr>
        <w:softHyphen/>
        <w:t>gement and dimensions of exits, including emergency exits, shall be in keeping with the purpose and dimensions of the relevant space. Where one of the exits is an emergency exit, it shall be clearly marked as such.</w:t>
      </w:r>
    </w:p>
    <w:p w:rsidR="00DE69C7" w:rsidRPr="00C903F8" w:rsidRDefault="00DE69C7" w:rsidP="00725D4A">
      <w:pPr>
        <w:pStyle w:val="ESch"/>
        <w:rPr>
          <w:noProof/>
          <w:lang w:val="en-GB"/>
        </w:rPr>
      </w:pPr>
    </w:p>
    <w:p w:rsidR="00F06174" w:rsidRPr="00C903F8" w:rsidRDefault="00F06174" w:rsidP="00725D4A">
      <w:pPr>
        <w:pStyle w:val="ESch"/>
        <w:rPr>
          <w:lang w:val="en-US"/>
        </w:rPr>
      </w:pPr>
      <w:r w:rsidRPr="00C903F8">
        <w:rPr>
          <w:noProof/>
          <w:lang w:val="en-GB"/>
        </w:rPr>
        <w:t>2.</w:t>
      </w:r>
      <w:r w:rsidRPr="00C903F8">
        <w:rPr>
          <w:noProof/>
          <w:lang w:val="en-GB"/>
        </w:rPr>
        <w:tab/>
      </w:r>
      <w:r w:rsidRPr="00C903F8">
        <w:rPr>
          <w:noProof/>
          <w:lang w:val="en-US"/>
        </w:rPr>
        <w:t>Emergency exits or windows or the covers of skylights to be used as emergency exits shall have a clear opening of not less than 0,36 m</w:t>
      </w:r>
      <w:r w:rsidRPr="00C903F8">
        <w:rPr>
          <w:noProof/>
          <w:vertAlign w:val="superscript"/>
          <w:lang w:val="en-US"/>
        </w:rPr>
        <w:t>2</w:t>
      </w:r>
      <w:r w:rsidRPr="00C903F8">
        <w:rPr>
          <w:noProof/>
          <w:lang w:val="en-US"/>
        </w:rPr>
        <w:t>, and the smallest dimension shall be not less than 0,50 m.</w:t>
      </w:r>
    </w:p>
    <w:p w:rsidR="00F06174" w:rsidRPr="00C903F8" w:rsidRDefault="00F06174" w:rsidP="00F06174">
      <w:pPr>
        <w:rPr>
          <w:rFonts w:cs="Arial"/>
          <w:szCs w:val="20"/>
          <w:lang w:val="en-US"/>
        </w:rPr>
      </w:pPr>
    </w:p>
    <w:p w:rsidR="00F06174" w:rsidRPr="00C903F8" w:rsidRDefault="00F06174" w:rsidP="00DE69C7">
      <w:pPr>
        <w:pStyle w:val="ES-Titre3"/>
        <w:rPr>
          <w:sz w:val="20"/>
          <w:lang w:val="en-US"/>
        </w:rPr>
      </w:pPr>
      <w:bookmarkStart w:id="129" w:name="_Toc491854117"/>
      <w:r w:rsidRPr="00C903F8">
        <w:rPr>
          <w:noProof/>
          <w:lang w:val="en-US"/>
        </w:rPr>
        <w:t>Article 14.07</w:t>
      </w:r>
      <w:r w:rsidRPr="00C903F8">
        <w:rPr>
          <w:noProof/>
          <w:lang w:val="en-US"/>
        </w:rPr>
        <w:br/>
      </w:r>
      <w:r w:rsidRPr="00C903F8">
        <w:rPr>
          <w:i/>
          <w:noProof/>
          <w:lang w:val="en-US"/>
        </w:rPr>
        <w:t>Ladders, steps and similar devices</w:t>
      </w:r>
      <w:bookmarkEnd w:id="129"/>
    </w:p>
    <w:p w:rsidR="00DE69C7" w:rsidRPr="00C903F8" w:rsidRDefault="00DE69C7" w:rsidP="00F06174">
      <w:pPr>
        <w:rPr>
          <w:rFonts w:cs="Arial"/>
          <w:noProof/>
          <w:szCs w:val="20"/>
          <w:lang w:val="en-US"/>
        </w:rPr>
      </w:pPr>
    </w:p>
    <w:p w:rsidR="00F06174" w:rsidRPr="00C903F8" w:rsidRDefault="00F06174" w:rsidP="00725D4A">
      <w:pPr>
        <w:pStyle w:val="ESch"/>
        <w:rPr>
          <w:lang w:val="en-US"/>
        </w:rPr>
      </w:pPr>
      <w:r w:rsidRPr="00C903F8">
        <w:rPr>
          <w:noProof/>
          <w:lang w:val="en-US"/>
        </w:rPr>
        <w:t>1.</w:t>
      </w:r>
      <w:r w:rsidRPr="00C903F8">
        <w:rPr>
          <w:noProof/>
          <w:lang w:val="en-US"/>
        </w:rPr>
        <w:tab/>
        <w:t>Stairs and ladders shall be securely fixed. Stairs shall be not less than 0,60 m wide and the clear width between handrails shall be not less than 0,60 m; steps shall be not less than 0,15 m deep; steps shall have non-slip surfaces and stairs with more than three steps shall be fitted with handrails.</w:t>
      </w:r>
    </w:p>
    <w:p w:rsidR="00DE69C7" w:rsidRPr="00C903F8" w:rsidRDefault="00DE69C7" w:rsidP="00725D4A">
      <w:pPr>
        <w:pStyle w:val="ESch"/>
        <w:rPr>
          <w:noProof/>
          <w:lang w:val="en-US"/>
        </w:rPr>
      </w:pPr>
    </w:p>
    <w:p w:rsidR="00F06174" w:rsidRPr="00C903F8" w:rsidRDefault="00F06174" w:rsidP="00725D4A">
      <w:pPr>
        <w:pStyle w:val="ESch"/>
        <w:rPr>
          <w:lang w:val="en-US"/>
        </w:rPr>
      </w:pPr>
      <w:r w:rsidRPr="00C903F8">
        <w:rPr>
          <w:noProof/>
          <w:lang w:val="en-US"/>
        </w:rPr>
        <w:t>2.</w:t>
      </w:r>
      <w:r w:rsidRPr="00C903F8">
        <w:rPr>
          <w:noProof/>
          <w:lang w:val="en-US"/>
        </w:rPr>
        <w:tab/>
        <w:t>Ladders and separately attached rungs shall have a clear width of not less than 0,30 m; rungs shall be not more than 0,30 m apart and the distance between rungs and structures shall be not less than 0,15 m.</w:t>
      </w:r>
    </w:p>
    <w:p w:rsidR="00DE69C7" w:rsidRPr="00C903F8" w:rsidRDefault="00DE69C7" w:rsidP="00725D4A">
      <w:pPr>
        <w:pStyle w:val="ESch"/>
        <w:rPr>
          <w:noProof/>
          <w:lang w:val="en-US"/>
        </w:rPr>
      </w:pPr>
    </w:p>
    <w:p w:rsidR="00F06174" w:rsidRPr="00C903F8" w:rsidRDefault="00CD654F" w:rsidP="00725D4A">
      <w:pPr>
        <w:pStyle w:val="ESch"/>
        <w:rPr>
          <w:lang w:val="en-US"/>
        </w:rPr>
      </w:pPr>
      <w:r w:rsidRPr="00C903F8">
        <w:rPr>
          <w:noProof/>
          <w:lang w:val="en-US"/>
        </w:rPr>
        <w:t>3.</w:t>
      </w:r>
      <w:r w:rsidRPr="00C903F8">
        <w:rPr>
          <w:noProof/>
          <w:lang w:val="en-US"/>
        </w:rPr>
        <w:tab/>
        <w:t>Ladders and separa</w:t>
      </w:r>
      <w:r w:rsidR="00F06174" w:rsidRPr="00C903F8">
        <w:rPr>
          <w:noProof/>
          <w:lang w:val="en-US"/>
        </w:rPr>
        <w:t>tely attached rungs shall be clearly recognisable from above and shall be equipped with safety handles above exit openings.</w:t>
      </w:r>
    </w:p>
    <w:p w:rsidR="00DE69C7" w:rsidRPr="00C903F8" w:rsidRDefault="00DE69C7" w:rsidP="00725D4A">
      <w:pPr>
        <w:pStyle w:val="ESch"/>
        <w:rPr>
          <w:noProof/>
          <w:lang w:val="en-US"/>
        </w:rPr>
      </w:pPr>
    </w:p>
    <w:p w:rsidR="00F06174" w:rsidRPr="00C903F8" w:rsidRDefault="00F06174" w:rsidP="00725D4A">
      <w:pPr>
        <w:pStyle w:val="ESch"/>
        <w:rPr>
          <w:lang w:val="en-US"/>
        </w:rPr>
      </w:pPr>
      <w:r w:rsidRPr="00C903F8">
        <w:rPr>
          <w:noProof/>
          <w:lang w:val="en-US"/>
        </w:rPr>
        <w:t>4.</w:t>
      </w:r>
      <w:r w:rsidRPr="00C903F8">
        <w:rPr>
          <w:noProof/>
          <w:lang w:val="en-US"/>
        </w:rPr>
        <w:tab/>
        <w:t>Movable ladders shall be at least 0,40 m wide, and at least 0,50 m wide at the base; it shall be possible to ensure that they will not topple or skid; the rungs shall be securely fixed in the uprights.</w:t>
      </w:r>
    </w:p>
    <w:p w:rsidR="00F06174" w:rsidRPr="00C903F8" w:rsidRDefault="00F06174" w:rsidP="00F06174">
      <w:pPr>
        <w:rPr>
          <w:rFonts w:cs="Arial"/>
          <w:szCs w:val="20"/>
          <w:lang w:val="en-GB"/>
        </w:rPr>
      </w:pPr>
    </w:p>
    <w:p w:rsidR="00DE69C7" w:rsidRPr="00C903F8" w:rsidRDefault="00DE69C7" w:rsidP="00F06174">
      <w:pPr>
        <w:rPr>
          <w:rFonts w:cs="Arial"/>
          <w:szCs w:val="20"/>
          <w:lang w:val="en-GB"/>
        </w:rPr>
      </w:pPr>
    </w:p>
    <w:p w:rsidR="00F06174" w:rsidRPr="00C903F8" w:rsidRDefault="00F06174" w:rsidP="00DE69C7">
      <w:pPr>
        <w:pStyle w:val="ES-Titre3"/>
        <w:rPr>
          <w:lang w:val="en-US"/>
        </w:rPr>
      </w:pPr>
      <w:bookmarkStart w:id="130" w:name="_Toc491854118"/>
      <w:r w:rsidRPr="00C903F8">
        <w:rPr>
          <w:lang w:val="en-US"/>
        </w:rPr>
        <w:t>Article 14.08</w:t>
      </w:r>
      <w:r w:rsidRPr="00C903F8">
        <w:rPr>
          <w:lang w:val="en-US"/>
        </w:rPr>
        <w:br/>
      </w:r>
      <w:r w:rsidRPr="00C903F8">
        <w:rPr>
          <w:i/>
          <w:lang w:val="en-US"/>
        </w:rPr>
        <w:t xml:space="preserve">Interior </w:t>
      </w:r>
      <w:r w:rsidR="004859E8" w:rsidRPr="00C903F8">
        <w:rPr>
          <w:i/>
          <w:lang w:val="en-US"/>
        </w:rPr>
        <w:t>rooms</w:t>
      </w:r>
      <w:bookmarkEnd w:id="130"/>
    </w:p>
    <w:p w:rsidR="00DE69C7" w:rsidRPr="00C903F8" w:rsidRDefault="00DE69C7" w:rsidP="00F06174">
      <w:pPr>
        <w:rPr>
          <w:rFonts w:cs="Arial"/>
          <w:noProof/>
          <w:szCs w:val="20"/>
          <w:lang w:val="en-US"/>
        </w:rPr>
      </w:pPr>
    </w:p>
    <w:p w:rsidR="00F06174" w:rsidRPr="00C903F8" w:rsidRDefault="00F06174" w:rsidP="00725D4A">
      <w:pPr>
        <w:pStyle w:val="ESch"/>
        <w:rPr>
          <w:lang w:val="en-US"/>
        </w:rPr>
      </w:pPr>
      <w:r w:rsidRPr="00C903F8">
        <w:rPr>
          <w:noProof/>
          <w:lang w:val="en-US"/>
        </w:rPr>
        <w:t>1.</w:t>
      </w:r>
      <w:r w:rsidRPr="00C903F8">
        <w:rPr>
          <w:noProof/>
          <w:lang w:val="en-US"/>
        </w:rPr>
        <w:tab/>
        <w:t>The dimensions, arrangement and layout of interior work s</w:t>
      </w:r>
      <w:r w:rsidR="00843DE4" w:rsidRPr="00C903F8">
        <w:rPr>
          <w:noProof/>
          <w:lang w:val="en-US"/>
        </w:rPr>
        <w:t>tation</w:t>
      </w:r>
      <w:r w:rsidRPr="00C903F8">
        <w:rPr>
          <w:noProof/>
          <w:lang w:val="en-US"/>
        </w:rPr>
        <w:t>s shall be in keeping with the work to be carried out and shall meet the health and safety requirements. They shall be equipped with sufficient non-dazzle lighting and with sufficient ventilation arrangements. If necessary, they shall be fitted with heating appliances capable of maintaining an adequate temperature.</w:t>
      </w:r>
    </w:p>
    <w:p w:rsidR="00DE69C7" w:rsidRPr="00C903F8" w:rsidRDefault="00DE69C7" w:rsidP="00725D4A">
      <w:pPr>
        <w:pStyle w:val="ESch"/>
        <w:rPr>
          <w:noProof/>
          <w:lang w:val="en-US"/>
        </w:rPr>
      </w:pPr>
    </w:p>
    <w:p w:rsidR="00725D4A" w:rsidRPr="00C903F8" w:rsidRDefault="00725D4A" w:rsidP="00725D4A">
      <w:pPr>
        <w:pStyle w:val="ESch"/>
        <w:rPr>
          <w:noProof/>
          <w:lang w:val="en-US"/>
        </w:rPr>
      </w:pPr>
      <w:r w:rsidRPr="00C903F8">
        <w:rPr>
          <w:noProof/>
          <w:lang w:val="en-US"/>
        </w:rPr>
        <w:br w:type="page"/>
      </w:r>
    </w:p>
    <w:p w:rsidR="00F06174" w:rsidRPr="00C903F8" w:rsidRDefault="00F06174" w:rsidP="00725D4A">
      <w:pPr>
        <w:pStyle w:val="ESch"/>
        <w:rPr>
          <w:lang w:val="en-US"/>
        </w:rPr>
      </w:pPr>
      <w:r w:rsidRPr="00C903F8">
        <w:rPr>
          <w:noProof/>
          <w:lang w:val="en-US"/>
        </w:rPr>
        <w:lastRenderedPageBreak/>
        <w:t>2.</w:t>
      </w:r>
      <w:r w:rsidRPr="00C903F8">
        <w:rPr>
          <w:noProof/>
          <w:lang w:val="en-US"/>
        </w:rPr>
        <w:tab/>
        <w:t>The floors of interior working spaces shall be solid and durable, and shall be designed not to cause tripping or slipping. Openings in decks and floors shall, when open, be secured against the danger of falling. Windows and skylights shall be so arranged and fitted that they can be operated and cleaned safely.</w:t>
      </w:r>
    </w:p>
    <w:p w:rsidR="00F06174" w:rsidRPr="00C903F8" w:rsidRDefault="00F06174" w:rsidP="00F06174">
      <w:pPr>
        <w:rPr>
          <w:rFonts w:cs="Arial"/>
          <w:szCs w:val="20"/>
          <w:lang w:val="en-GB"/>
        </w:rPr>
      </w:pPr>
    </w:p>
    <w:p w:rsidR="00DE69C7" w:rsidRPr="00C903F8" w:rsidRDefault="00DE69C7" w:rsidP="00F06174">
      <w:pPr>
        <w:rPr>
          <w:rFonts w:cs="Arial"/>
          <w:szCs w:val="20"/>
          <w:lang w:val="en-GB"/>
        </w:rPr>
      </w:pPr>
    </w:p>
    <w:p w:rsidR="00F06174" w:rsidRPr="00C903F8" w:rsidRDefault="00F06174" w:rsidP="00DE69C7">
      <w:pPr>
        <w:pStyle w:val="ES-Titre3"/>
        <w:rPr>
          <w:lang w:val="en-US"/>
        </w:rPr>
      </w:pPr>
      <w:bookmarkStart w:id="131" w:name="_Toc491854119"/>
      <w:r w:rsidRPr="00C903F8">
        <w:rPr>
          <w:lang w:val="en-US"/>
        </w:rPr>
        <w:t>Article 14.09</w:t>
      </w:r>
      <w:r w:rsidRPr="00C903F8">
        <w:rPr>
          <w:lang w:val="en-US"/>
        </w:rPr>
        <w:br/>
      </w:r>
      <w:r w:rsidRPr="00C903F8">
        <w:rPr>
          <w:i/>
          <w:lang w:val="en-US"/>
        </w:rPr>
        <w:t>Protection against noise and vibration</w:t>
      </w:r>
      <w:bookmarkEnd w:id="131"/>
    </w:p>
    <w:p w:rsidR="00DE69C7" w:rsidRPr="00C903F8" w:rsidRDefault="00DE69C7" w:rsidP="00F06174">
      <w:pPr>
        <w:rPr>
          <w:rFonts w:cs="Arial"/>
          <w:szCs w:val="20"/>
          <w:lang w:val="en-US"/>
        </w:rPr>
      </w:pPr>
    </w:p>
    <w:p w:rsidR="00F06174" w:rsidRPr="00C903F8" w:rsidRDefault="00F06174" w:rsidP="00725D4A">
      <w:pPr>
        <w:pStyle w:val="ESch"/>
        <w:rPr>
          <w:lang w:val="en-US"/>
        </w:rPr>
      </w:pPr>
      <w:r w:rsidRPr="00C903F8">
        <w:rPr>
          <w:lang w:val="en-US"/>
        </w:rPr>
        <w:t>1.</w:t>
      </w:r>
      <w:r w:rsidRPr="00C903F8">
        <w:rPr>
          <w:lang w:val="en-US"/>
        </w:rPr>
        <w:tab/>
      </w:r>
      <w:r w:rsidR="001C1441" w:rsidRPr="00C903F8">
        <w:rPr>
          <w:noProof/>
          <w:lang w:val="en-US"/>
        </w:rPr>
        <w:t>Working spaces shall be so situated, equipped and designed that employees are not exposed to harmful vibrations.</w:t>
      </w:r>
    </w:p>
    <w:p w:rsidR="00DE69C7" w:rsidRPr="00C903F8" w:rsidRDefault="00DE69C7" w:rsidP="00725D4A">
      <w:pPr>
        <w:pStyle w:val="ESch"/>
        <w:rPr>
          <w:noProof/>
          <w:lang w:val="en-US"/>
        </w:rPr>
      </w:pPr>
    </w:p>
    <w:p w:rsidR="00F06174" w:rsidRPr="00C903F8" w:rsidRDefault="00F06174" w:rsidP="00725D4A">
      <w:pPr>
        <w:pStyle w:val="ESch"/>
        <w:rPr>
          <w:lang w:val="en-US"/>
        </w:rPr>
      </w:pPr>
      <w:r w:rsidRPr="00C903F8">
        <w:rPr>
          <w:noProof/>
          <w:lang w:val="en-US"/>
        </w:rPr>
        <w:t>2.</w:t>
      </w:r>
      <w:r w:rsidRPr="00C903F8">
        <w:rPr>
          <w:noProof/>
          <w:lang w:val="en-US"/>
        </w:rPr>
        <w:tab/>
      </w:r>
      <w:r w:rsidR="001C1441" w:rsidRPr="00C903F8">
        <w:rPr>
          <w:noProof/>
          <w:lang w:val="en-US"/>
        </w:rPr>
        <w:t>Permanent working spaces shall, in addition, be so constructed and sound-proofed that the health and safety of employees are not affected by noise.</w:t>
      </w:r>
    </w:p>
    <w:p w:rsidR="00DE69C7" w:rsidRPr="00C903F8" w:rsidRDefault="00DE69C7" w:rsidP="00725D4A">
      <w:pPr>
        <w:pStyle w:val="ESch"/>
        <w:rPr>
          <w:noProof/>
          <w:lang w:val="en-US"/>
        </w:rPr>
      </w:pPr>
    </w:p>
    <w:p w:rsidR="00F06174" w:rsidRPr="00C903F8" w:rsidRDefault="00F06174" w:rsidP="00725D4A">
      <w:pPr>
        <w:pStyle w:val="ESch"/>
        <w:rPr>
          <w:lang w:val="en-US"/>
        </w:rPr>
      </w:pPr>
      <w:r w:rsidRPr="00C903F8">
        <w:rPr>
          <w:noProof/>
          <w:lang w:val="en-US"/>
        </w:rPr>
        <w:t>3.</w:t>
      </w:r>
      <w:r w:rsidRPr="00C903F8">
        <w:rPr>
          <w:noProof/>
          <w:lang w:val="en-US"/>
        </w:rPr>
        <w:tab/>
      </w:r>
      <w:r w:rsidR="00496E97" w:rsidRPr="00C903F8">
        <w:rPr>
          <w:noProof/>
          <w:lang w:val="en-US"/>
        </w:rPr>
        <w:t>For employees who are likely to be exposed to noise levels exceeding 85 dB(A) every day, individual acoustic protection devices shall be available</w:t>
      </w:r>
      <w:r w:rsidRPr="00C903F8">
        <w:rPr>
          <w:noProof/>
          <w:lang w:val="en-US"/>
        </w:rPr>
        <w:t xml:space="preserve">. In working spaces where noise levels exceed 90 dB(A) it shall be indicated that wearing of acoustic protection devices is mandatory by a symbol </w:t>
      </w:r>
      <w:r w:rsidR="0064343D" w:rsidRPr="00C903F8">
        <w:rPr>
          <w:noProof/>
          <w:lang w:val="en-US"/>
        </w:rPr>
        <w:t>‘</w:t>
      </w:r>
      <w:r w:rsidRPr="00C903F8">
        <w:rPr>
          <w:noProof/>
          <w:lang w:val="en-US"/>
        </w:rPr>
        <w:t>Wear acoustic protection device</w:t>
      </w:r>
      <w:r w:rsidR="0064343D" w:rsidRPr="00C903F8">
        <w:rPr>
          <w:noProof/>
          <w:lang w:val="en-US"/>
        </w:rPr>
        <w:t xml:space="preserve">‘ </w:t>
      </w:r>
      <w:r w:rsidRPr="00C903F8">
        <w:rPr>
          <w:noProof/>
          <w:lang w:val="en-US"/>
        </w:rPr>
        <w:t xml:space="preserve">with a diameter of at least 10 cm in accordance with Figure 7 of Annex </w:t>
      </w:r>
      <w:r w:rsidR="002E6F15" w:rsidRPr="00C903F8">
        <w:rPr>
          <w:noProof/>
          <w:lang w:val="en-US"/>
        </w:rPr>
        <w:t>4</w:t>
      </w:r>
      <w:r w:rsidRPr="00C903F8">
        <w:rPr>
          <w:noProof/>
          <w:lang w:val="en-US"/>
        </w:rPr>
        <w:t>.</w:t>
      </w:r>
    </w:p>
    <w:p w:rsidR="00F06174" w:rsidRDefault="00F06174" w:rsidP="00F06174">
      <w:pPr>
        <w:rPr>
          <w:rFonts w:cs="Arial"/>
          <w:szCs w:val="20"/>
          <w:lang w:val="en-US"/>
        </w:rPr>
      </w:pPr>
    </w:p>
    <w:p w:rsidR="00C973E6" w:rsidRPr="00C903F8" w:rsidRDefault="00C973E6" w:rsidP="00F06174">
      <w:pPr>
        <w:rPr>
          <w:rFonts w:cs="Arial"/>
          <w:szCs w:val="20"/>
          <w:lang w:val="en-US"/>
        </w:rPr>
      </w:pPr>
    </w:p>
    <w:p w:rsidR="00F06174" w:rsidRPr="00C903F8" w:rsidRDefault="00F06174" w:rsidP="00DE69C7">
      <w:pPr>
        <w:pStyle w:val="ES-Titre3"/>
        <w:rPr>
          <w:sz w:val="20"/>
          <w:lang w:val="en-US"/>
        </w:rPr>
      </w:pPr>
      <w:bookmarkStart w:id="132" w:name="_Toc491854120"/>
      <w:r w:rsidRPr="00C903F8">
        <w:rPr>
          <w:noProof/>
          <w:lang w:val="en-US"/>
        </w:rPr>
        <w:t>Article 14.10</w:t>
      </w:r>
      <w:r w:rsidRPr="00C903F8">
        <w:rPr>
          <w:noProof/>
          <w:lang w:val="en-US"/>
        </w:rPr>
        <w:br/>
      </w:r>
      <w:r w:rsidRPr="00C903F8">
        <w:rPr>
          <w:bCs/>
          <w:i/>
          <w:noProof/>
          <w:lang w:val="en-US"/>
        </w:rPr>
        <w:t>Hatch covers</w:t>
      </w:r>
      <w:bookmarkEnd w:id="132"/>
    </w:p>
    <w:p w:rsidR="00725D4A" w:rsidRPr="00C903F8" w:rsidRDefault="00725D4A" w:rsidP="00725D4A">
      <w:pPr>
        <w:pStyle w:val="ESch"/>
        <w:rPr>
          <w:noProof/>
          <w:lang w:val="en-US"/>
        </w:rPr>
      </w:pPr>
    </w:p>
    <w:p w:rsidR="00F06174" w:rsidRPr="00C903F8" w:rsidRDefault="00F06174" w:rsidP="00725D4A">
      <w:pPr>
        <w:pStyle w:val="ESch"/>
        <w:rPr>
          <w:lang w:val="en-US"/>
        </w:rPr>
      </w:pPr>
      <w:r w:rsidRPr="00C903F8">
        <w:rPr>
          <w:noProof/>
          <w:lang w:val="en-US"/>
        </w:rPr>
        <w:t xml:space="preserve">1. </w:t>
      </w:r>
      <w:r w:rsidR="00756D4B" w:rsidRPr="00C903F8">
        <w:rPr>
          <w:noProof/>
          <w:lang w:val="en-US"/>
        </w:rPr>
        <w:tab/>
      </w:r>
      <w:r w:rsidRPr="00C903F8">
        <w:rPr>
          <w:noProof/>
          <w:lang w:val="en-US"/>
        </w:rPr>
        <w:t>Hatch covers shall be easily accessible and safe to handle. Hatch-cover components weighing more than 40 kg shall be designed to slide or pivot or be fitted with mechanical opening devices. Hatch covers operated by lifting gear shall be fitted with adequate and easily accessible attachment devices. Non-interchan</w:t>
      </w:r>
      <w:r w:rsidRPr="00C903F8">
        <w:rPr>
          <w:noProof/>
          <w:lang w:val="en-US"/>
        </w:rPr>
        <w:softHyphen/>
        <w:t>geable hatch covers and upper sills shall be clearly marked to show the hatches to which they belong and their correct position on those hatches.</w:t>
      </w:r>
    </w:p>
    <w:p w:rsidR="00756D4B" w:rsidRPr="00C903F8" w:rsidRDefault="00756D4B" w:rsidP="00725D4A">
      <w:pPr>
        <w:pStyle w:val="ESch"/>
        <w:rPr>
          <w:noProof/>
          <w:lang w:val="en-US"/>
        </w:rPr>
      </w:pPr>
    </w:p>
    <w:p w:rsidR="00F06174" w:rsidRPr="00C903F8" w:rsidRDefault="00F06174" w:rsidP="00725D4A">
      <w:pPr>
        <w:pStyle w:val="ESch"/>
        <w:rPr>
          <w:lang w:val="en-US"/>
        </w:rPr>
      </w:pPr>
      <w:r w:rsidRPr="00C903F8">
        <w:rPr>
          <w:noProof/>
          <w:lang w:val="en-US"/>
        </w:rPr>
        <w:t>2.</w:t>
      </w:r>
      <w:r w:rsidRPr="00C903F8">
        <w:rPr>
          <w:noProof/>
          <w:lang w:val="en-US"/>
        </w:rPr>
        <w:tab/>
        <w:t>Hatch covers shall be secured against being tilted by the wind or by loading gear. Sliding covers shall be fitted with catches to prevent accidental horizontal movement of more than 0,40 m; they shall be capable of being locked in their final position. Appropriate devices shall be fitted to hold stacked hatch covers in position.</w:t>
      </w:r>
    </w:p>
    <w:p w:rsidR="00756D4B" w:rsidRPr="00C903F8" w:rsidRDefault="00756D4B" w:rsidP="00725D4A">
      <w:pPr>
        <w:pStyle w:val="ESch"/>
        <w:rPr>
          <w:noProof/>
          <w:lang w:val="en-US"/>
        </w:rPr>
      </w:pPr>
    </w:p>
    <w:p w:rsidR="00F06174" w:rsidRPr="00C903F8" w:rsidRDefault="00F06174" w:rsidP="00725D4A">
      <w:pPr>
        <w:pStyle w:val="ESch"/>
        <w:rPr>
          <w:lang w:val="en-US"/>
        </w:rPr>
      </w:pPr>
      <w:r w:rsidRPr="00C903F8">
        <w:rPr>
          <w:noProof/>
          <w:lang w:val="en-US"/>
        </w:rPr>
        <w:t>3.</w:t>
      </w:r>
      <w:r w:rsidRPr="00C903F8">
        <w:rPr>
          <w:noProof/>
          <w:lang w:val="en-US"/>
        </w:rPr>
        <w:tab/>
        <w:t>The power supply for mechanically operated hatch covers shall be cut off automatically when the control switch is released.</w:t>
      </w:r>
    </w:p>
    <w:p w:rsidR="00756D4B" w:rsidRPr="00C903F8" w:rsidRDefault="00756D4B" w:rsidP="00725D4A">
      <w:pPr>
        <w:pStyle w:val="ESch"/>
        <w:rPr>
          <w:lang w:val="en-US"/>
        </w:rPr>
      </w:pPr>
    </w:p>
    <w:p w:rsidR="00F06174" w:rsidRPr="00C903F8" w:rsidRDefault="00F06174" w:rsidP="00725D4A">
      <w:pPr>
        <w:pStyle w:val="ESch"/>
        <w:rPr>
          <w:lang w:val="en-US"/>
        </w:rPr>
      </w:pPr>
      <w:r w:rsidRPr="00C903F8">
        <w:rPr>
          <w:lang w:val="en-US"/>
        </w:rPr>
        <w:t>4.</w:t>
      </w:r>
      <w:r w:rsidRPr="00C903F8">
        <w:rPr>
          <w:lang w:val="en-US"/>
        </w:rPr>
        <w:tab/>
      </w:r>
      <w:r w:rsidRPr="00C903F8">
        <w:rPr>
          <w:noProof/>
          <w:lang w:val="en-US"/>
        </w:rPr>
        <w:t>Hatch covers shall be capable of bearing the loads to which they are likely to be subjected: Hatch covers designed to be walked on shall be capable of bearing concentrated loads of at least 75 kg. Hatch covers not designed to be walked on shall be marked as such. Hatch covers designed to receive deck cargo shall have the permissible load in t/m</w:t>
      </w:r>
      <w:r w:rsidRPr="00C903F8">
        <w:rPr>
          <w:noProof/>
          <w:vertAlign w:val="superscript"/>
          <w:lang w:val="en-US"/>
        </w:rPr>
        <w:t>2</w:t>
      </w:r>
      <w:r w:rsidRPr="00C903F8">
        <w:rPr>
          <w:noProof/>
          <w:lang w:val="en-US"/>
        </w:rPr>
        <w:t xml:space="preserve"> marked on them. Where supports are needed to achieve the maximum permissible load this shall be indicated in an appropriate place; in this case the relevant drawings shall be kept on board.</w:t>
      </w:r>
    </w:p>
    <w:p w:rsidR="00F06174" w:rsidRPr="00C903F8" w:rsidRDefault="00F06174" w:rsidP="00F06174">
      <w:pPr>
        <w:rPr>
          <w:rFonts w:cs="Arial"/>
          <w:szCs w:val="20"/>
          <w:lang w:val="en-US"/>
        </w:rPr>
      </w:pPr>
    </w:p>
    <w:p w:rsidR="00756D4B" w:rsidRPr="00C903F8" w:rsidRDefault="00725D4A" w:rsidP="00F06174">
      <w:pPr>
        <w:rPr>
          <w:rFonts w:cs="Arial"/>
          <w:szCs w:val="20"/>
          <w:lang w:val="en-US"/>
        </w:rPr>
      </w:pPr>
      <w:r w:rsidRPr="00C903F8">
        <w:rPr>
          <w:rFonts w:cs="Arial"/>
          <w:szCs w:val="20"/>
          <w:lang w:val="en-US"/>
        </w:rPr>
        <w:br w:type="page"/>
      </w:r>
    </w:p>
    <w:p w:rsidR="00F06174" w:rsidRPr="00C903F8" w:rsidRDefault="00F06174" w:rsidP="00756D4B">
      <w:pPr>
        <w:pStyle w:val="ES-Titre3"/>
        <w:rPr>
          <w:lang w:val="en-US"/>
        </w:rPr>
      </w:pPr>
      <w:bookmarkStart w:id="133" w:name="_Toc491854121"/>
      <w:r w:rsidRPr="00C903F8">
        <w:rPr>
          <w:lang w:val="en-US"/>
        </w:rPr>
        <w:lastRenderedPageBreak/>
        <w:t>Article 14.11</w:t>
      </w:r>
      <w:r w:rsidRPr="00C903F8">
        <w:rPr>
          <w:lang w:val="en-US"/>
        </w:rPr>
        <w:br/>
      </w:r>
      <w:r w:rsidRPr="00C903F8">
        <w:rPr>
          <w:i/>
          <w:lang w:val="en-US"/>
        </w:rPr>
        <w:t>Winches</w:t>
      </w:r>
      <w:bookmarkEnd w:id="133"/>
    </w:p>
    <w:p w:rsidR="00725D4A" w:rsidRPr="00C903F8" w:rsidRDefault="00725D4A" w:rsidP="00725D4A">
      <w:pPr>
        <w:pStyle w:val="ESch"/>
        <w:rPr>
          <w:noProof/>
          <w:lang w:val="en-US"/>
        </w:rPr>
      </w:pPr>
    </w:p>
    <w:p w:rsidR="00F06174" w:rsidRPr="00C903F8" w:rsidRDefault="00F06174" w:rsidP="00725D4A">
      <w:pPr>
        <w:pStyle w:val="ESch"/>
        <w:rPr>
          <w:lang w:val="en-US"/>
        </w:rPr>
      </w:pPr>
      <w:r w:rsidRPr="00C903F8">
        <w:rPr>
          <w:noProof/>
          <w:lang w:val="en-US"/>
        </w:rPr>
        <w:t>1.</w:t>
      </w:r>
      <w:r w:rsidRPr="00C903F8">
        <w:rPr>
          <w:noProof/>
          <w:lang w:val="en-US"/>
        </w:rPr>
        <w:tab/>
        <w:t>Winches shall be designed in such a way as to enable work to be carried out safely. They shall be fitted with devices that prevent unintentional load release. Winches that do not lock automatically shall be fitted with a brake that is adequate to deal with their tractive force.</w:t>
      </w:r>
    </w:p>
    <w:p w:rsidR="00756D4B" w:rsidRPr="00C903F8" w:rsidRDefault="00756D4B" w:rsidP="00725D4A">
      <w:pPr>
        <w:pStyle w:val="ESch"/>
        <w:rPr>
          <w:noProof/>
          <w:lang w:val="en-US"/>
        </w:rPr>
      </w:pPr>
    </w:p>
    <w:p w:rsidR="00F06174" w:rsidRPr="00C903F8" w:rsidRDefault="00F06174" w:rsidP="00725D4A">
      <w:pPr>
        <w:pStyle w:val="ESch"/>
        <w:rPr>
          <w:lang w:val="en-US"/>
        </w:rPr>
      </w:pPr>
      <w:r w:rsidRPr="00C903F8">
        <w:rPr>
          <w:noProof/>
          <w:lang w:val="en-US"/>
        </w:rPr>
        <w:t>2.</w:t>
      </w:r>
      <w:r w:rsidRPr="00C903F8">
        <w:rPr>
          <w:noProof/>
          <w:lang w:val="en-US"/>
        </w:rPr>
        <w:tab/>
        <w:t>Hand-operated winches shall be fitted with devices to prevent kickback of the crank. Winches that are both power- and manually driven shall be designed in such a way that the motive-power control cannot actuate the manual control.</w:t>
      </w:r>
    </w:p>
    <w:p w:rsidR="00F06174" w:rsidRPr="00C903F8" w:rsidRDefault="00F06174" w:rsidP="00F06174">
      <w:pPr>
        <w:rPr>
          <w:rFonts w:cs="Arial"/>
          <w:szCs w:val="20"/>
          <w:lang w:val="en-US"/>
        </w:rPr>
      </w:pPr>
    </w:p>
    <w:p w:rsidR="00725D4A" w:rsidRPr="00C903F8" w:rsidRDefault="00725D4A" w:rsidP="00F06174">
      <w:pPr>
        <w:rPr>
          <w:rFonts w:cs="Arial"/>
          <w:szCs w:val="20"/>
          <w:lang w:val="en-US"/>
        </w:rPr>
      </w:pPr>
    </w:p>
    <w:p w:rsidR="00F06174" w:rsidRPr="00C903F8" w:rsidRDefault="00F06174" w:rsidP="00756D4B">
      <w:pPr>
        <w:pStyle w:val="ES-Titre3"/>
        <w:rPr>
          <w:lang w:val="en-US"/>
        </w:rPr>
      </w:pPr>
      <w:bookmarkStart w:id="134" w:name="_Toc491854122"/>
      <w:r w:rsidRPr="00C903F8">
        <w:rPr>
          <w:noProof/>
          <w:lang w:val="en-US"/>
        </w:rPr>
        <w:t>Article 14.12</w:t>
      </w:r>
      <w:r w:rsidRPr="00C903F8">
        <w:rPr>
          <w:noProof/>
          <w:lang w:val="en-US"/>
        </w:rPr>
        <w:br/>
      </w:r>
      <w:r w:rsidRPr="00C903F8">
        <w:rPr>
          <w:bCs/>
          <w:i/>
          <w:noProof/>
          <w:lang w:val="en-US"/>
        </w:rPr>
        <w:t>Cranes</w:t>
      </w:r>
      <w:bookmarkEnd w:id="134"/>
    </w:p>
    <w:p w:rsidR="00756D4B" w:rsidRPr="00C903F8" w:rsidRDefault="00756D4B" w:rsidP="00F06174">
      <w:pPr>
        <w:rPr>
          <w:rFonts w:cs="Arial"/>
          <w:noProof/>
          <w:szCs w:val="20"/>
          <w:lang w:val="en-US"/>
        </w:rPr>
      </w:pPr>
    </w:p>
    <w:p w:rsidR="00F06174" w:rsidRPr="00C903F8" w:rsidRDefault="00F06174" w:rsidP="00725D4A">
      <w:pPr>
        <w:pStyle w:val="ESch"/>
        <w:rPr>
          <w:lang w:val="en-US"/>
        </w:rPr>
      </w:pPr>
      <w:r w:rsidRPr="00C903F8">
        <w:rPr>
          <w:noProof/>
          <w:lang w:val="en-US"/>
        </w:rPr>
        <w:t>1.</w:t>
      </w:r>
      <w:r w:rsidRPr="00C903F8">
        <w:rPr>
          <w:noProof/>
          <w:lang w:val="en-US"/>
        </w:rPr>
        <w:tab/>
        <w:t>Cranes shall be built in accordance with best practice. The forces arising during their operation shall be safely transmitted into the vessel's structure; they shall not impair its stability.</w:t>
      </w:r>
    </w:p>
    <w:p w:rsidR="00756D4B" w:rsidRPr="00C903F8" w:rsidRDefault="00756D4B" w:rsidP="00725D4A">
      <w:pPr>
        <w:pStyle w:val="ESch"/>
        <w:rPr>
          <w:noProof/>
          <w:lang w:val="en-US"/>
        </w:rPr>
      </w:pPr>
    </w:p>
    <w:p w:rsidR="00F06174" w:rsidRPr="00C903F8" w:rsidRDefault="00F06174" w:rsidP="00725D4A">
      <w:pPr>
        <w:pStyle w:val="ESch"/>
        <w:rPr>
          <w:lang w:val="en-US"/>
        </w:rPr>
      </w:pPr>
      <w:r w:rsidRPr="00C903F8">
        <w:rPr>
          <w:noProof/>
          <w:lang w:val="en-US"/>
        </w:rPr>
        <w:t>2.</w:t>
      </w:r>
      <w:r w:rsidRPr="00C903F8">
        <w:rPr>
          <w:noProof/>
          <w:lang w:val="en-US"/>
        </w:rPr>
        <w:tab/>
        <w:t>A manufacturer's plate containing the following information shall be affixed to cranes:</w:t>
      </w:r>
    </w:p>
    <w:p w:rsidR="00F06174" w:rsidRPr="00C903F8" w:rsidRDefault="005C7859" w:rsidP="00725D4A">
      <w:pPr>
        <w:pStyle w:val="ESlet"/>
        <w:rPr>
          <w:lang w:val="en-US"/>
        </w:rPr>
      </w:pPr>
      <w:r w:rsidRPr="00C903F8">
        <w:rPr>
          <w:lang w:val="en-US"/>
        </w:rPr>
        <w:t>a)</w:t>
      </w:r>
      <w:r w:rsidR="00F06174" w:rsidRPr="00C903F8">
        <w:rPr>
          <w:lang w:val="en-US"/>
        </w:rPr>
        <w:tab/>
        <w:t>manufacturer's name and address;</w:t>
      </w:r>
    </w:p>
    <w:p w:rsidR="00F06174" w:rsidRPr="00C903F8" w:rsidRDefault="005C7859" w:rsidP="00725D4A">
      <w:pPr>
        <w:pStyle w:val="ESlet"/>
        <w:rPr>
          <w:lang w:val="en-US"/>
        </w:rPr>
      </w:pPr>
      <w:r w:rsidRPr="00C903F8">
        <w:rPr>
          <w:lang w:val="en-US"/>
        </w:rPr>
        <w:t>b)</w:t>
      </w:r>
      <w:r w:rsidR="00F06174" w:rsidRPr="00C903F8">
        <w:rPr>
          <w:lang w:val="en-US"/>
        </w:rPr>
        <w:tab/>
        <w:t>the CE marking, together with the year of manufacture;</w:t>
      </w:r>
    </w:p>
    <w:p w:rsidR="00F06174" w:rsidRPr="00C903F8" w:rsidRDefault="005C7859" w:rsidP="00725D4A">
      <w:pPr>
        <w:pStyle w:val="ESlet"/>
        <w:rPr>
          <w:lang w:val="en-US"/>
        </w:rPr>
      </w:pPr>
      <w:r w:rsidRPr="00C903F8">
        <w:rPr>
          <w:lang w:val="en-US"/>
        </w:rPr>
        <w:t>c)</w:t>
      </w:r>
      <w:r w:rsidR="00F06174" w:rsidRPr="00C903F8">
        <w:rPr>
          <w:lang w:val="en-US"/>
        </w:rPr>
        <w:tab/>
        <w:t>series or type reference;</w:t>
      </w:r>
    </w:p>
    <w:p w:rsidR="00F06174" w:rsidRPr="00C903F8" w:rsidRDefault="005C7859" w:rsidP="00725D4A">
      <w:pPr>
        <w:pStyle w:val="ESlet"/>
        <w:rPr>
          <w:lang w:val="en-US"/>
        </w:rPr>
      </w:pPr>
      <w:r w:rsidRPr="00C903F8">
        <w:rPr>
          <w:lang w:val="en-US"/>
        </w:rPr>
        <w:t>d)</w:t>
      </w:r>
      <w:r w:rsidR="00F06174" w:rsidRPr="00C903F8">
        <w:rPr>
          <w:lang w:val="en-US"/>
        </w:rPr>
        <w:tab/>
        <w:t>where applicable, serial number.</w:t>
      </w:r>
    </w:p>
    <w:p w:rsidR="00756D4B" w:rsidRPr="00C903F8" w:rsidRDefault="00756D4B" w:rsidP="00F06174">
      <w:pPr>
        <w:rPr>
          <w:rFonts w:cs="Arial"/>
          <w:noProof/>
          <w:szCs w:val="20"/>
          <w:lang w:val="en-US"/>
        </w:rPr>
      </w:pPr>
    </w:p>
    <w:p w:rsidR="00F06174" w:rsidRPr="00C903F8" w:rsidRDefault="00F06174" w:rsidP="00725D4A">
      <w:pPr>
        <w:pStyle w:val="ESch"/>
        <w:rPr>
          <w:lang w:val="en-US"/>
        </w:rPr>
      </w:pPr>
      <w:r w:rsidRPr="00C903F8">
        <w:rPr>
          <w:noProof/>
          <w:lang w:val="en-US"/>
        </w:rPr>
        <w:t>3.</w:t>
      </w:r>
      <w:r w:rsidRPr="00C903F8">
        <w:rPr>
          <w:noProof/>
          <w:lang w:val="en-US"/>
        </w:rPr>
        <w:tab/>
        <w:t>The maximum permissible loadings shall be permanently marked in a clearly legible manner on cranes.</w:t>
      </w:r>
    </w:p>
    <w:p w:rsidR="00756D4B" w:rsidRPr="00C903F8" w:rsidRDefault="00756D4B" w:rsidP="00725D4A">
      <w:pPr>
        <w:pStyle w:val="ESch"/>
        <w:rPr>
          <w:noProof/>
          <w:lang w:val="en-US"/>
        </w:rPr>
      </w:pPr>
    </w:p>
    <w:p w:rsidR="00F06174" w:rsidRPr="00C903F8" w:rsidRDefault="00F06174" w:rsidP="00725D4A">
      <w:pPr>
        <w:pStyle w:val="ESchpar"/>
        <w:rPr>
          <w:lang w:val="en-US"/>
        </w:rPr>
      </w:pPr>
      <w:r w:rsidRPr="00C903F8">
        <w:rPr>
          <w:noProof/>
          <w:lang w:val="en-US"/>
        </w:rPr>
        <w:t>Where a crane's safe working load does not exceed 2000 kg, it will be sufficient if the safe working load at the maximum reach is permanently marked in a clearly legible manner on the crane.</w:t>
      </w:r>
    </w:p>
    <w:p w:rsidR="00756D4B" w:rsidRPr="00C903F8" w:rsidRDefault="00756D4B" w:rsidP="00725D4A">
      <w:pPr>
        <w:pStyle w:val="ESch"/>
        <w:rPr>
          <w:noProof/>
          <w:lang w:val="en-US"/>
        </w:rPr>
      </w:pPr>
    </w:p>
    <w:p w:rsidR="00F06174" w:rsidRPr="00C903F8" w:rsidRDefault="00F06174" w:rsidP="00725D4A">
      <w:pPr>
        <w:pStyle w:val="ESch"/>
        <w:rPr>
          <w:lang w:val="en-US"/>
        </w:rPr>
      </w:pPr>
      <w:r w:rsidRPr="00C903F8">
        <w:rPr>
          <w:noProof/>
          <w:lang w:val="en-US"/>
        </w:rPr>
        <w:t>4.</w:t>
      </w:r>
      <w:r w:rsidRPr="00C903F8">
        <w:rPr>
          <w:noProof/>
          <w:lang w:val="en-US"/>
        </w:rPr>
        <w:tab/>
      </w:r>
      <w:r w:rsidR="00C44D3C" w:rsidRPr="002614C4">
        <w:rPr>
          <w:lang w:val="en-US"/>
        </w:rPr>
        <w:t>The presence of devices to protect against crushing or shearing hazards is mandatory. The outer parts of the crane shall leave a minimum safety clearance of 0,50 m relative to fixed superstructure in workstations and passageways</w:t>
      </w:r>
      <w:r w:rsidR="002614C4">
        <w:rPr>
          <w:lang w:val="en-US"/>
        </w:rPr>
        <w:t>.</w:t>
      </w:r>
    </w:p>
    <w:p w:rsidR="00756D4B" w:rsidRPr="00C903F8" w:rsidRDefault="00756D4B" w:rsidP="00725D4A">
      <w:pPr>
        <w:pStyle w:val="ESch"/>
        <w:rPr>
          <w:noProof/>
          <w:lang w:val="en-US"/>
        </w:rPr>
      </w:pPr>
    </w:p>
    <w:p w:rsidR="00F06174" w:rsidRPr="00C903F8" w:rsidRDefault="00F06174" w:rsidP="00725D4A">
      <w:pPr>
        <w:pStyle w:val="ESch"/>
        <w:rPr>
          <w:lang w:val="en-US"/>
        </w:rPr>
      </w:pPr>
      <w:r w:rsidRPr="00C903F8">
        <w:rPr>
          <w:noProof/>
          <w:lang w:val="en-US"/>
        </w:rPr>
        <w:t>5.</w:t>
      </w:r>
      <w:r w:rsidRPr="00C903F8">
        <w:rPr>
          <w:noProof/>
          <w:lang w:val="en-US"/>
        </w:rPr>
        <w:tab/>
        <w:t>It shall be possible to protect power driven cranes against unautho</w:t>
      </w:r>
      <w:r w:rsidRPr="00C903F8">
        <w:rPr>
          <w:noProof/>
          <w:lang w:val="en-US"/>
        </w:rPr>
        <w:softHyphen/>
        <w:t>rised use. It shall only be possible to start these up from the crane's driving position. The control shall be of the automatic-return type (buttons without stops); their operating direction shall be unambiguously clear.</w:t>
      </w:r>
    </w:p>
    <w:p w:rsidR="00756D4B" w:rsidRPr="00C903F8" w:rsidRDefault="00756D4B" w:rsidP="00725D4A">
      <w:pPr>
        <w:pStyle w:val="ESch"/>
        <w:rPr>
          <w:noProof/>
          <w:lang w:val="en-US"/>
        </w:rPr>
      </w:pPr>
    </w:p>
    <w:p w:rsidR="00F06174" w:rsidRPr="00C903F8" w:rsidRDefault="00F06174" w:rsidP="00725D4A">
      <w:pPr>
        <w:pStyle w:val="ESchpar"/>
        <w:rPr>
          <w:lang w:val="en-US"/>
        </w:rPr>
      </w:pPr>
      <w:r w:rsidRPr="00C903F8">
        <w:rPr>
          <w:noProof/>
          <w:lang w:val="en-US"/>
        </w:rPr>
        <w:t xml:space="preserve">If the motive power fails, it shall not be possible for the load to drop </w:t>
      </w:r>
      <w:r w:rsidR="00B165F7" w:rsidRPr="00C903F8">
        <w:rPr>
          <w:noProof/>
          <w:lang w:val="en-US"/>
        </w:rPr>
        <w:t>in a</w:t>
      </w:r>
      <w:r w:rsidR="0021687F" w:rsidRPr="00C903F8">
        <w:rPr>
          <w:noProof/>
          <w:lang w:val="en-US"/>
        </w:rPr>
        <w:t>n</w:t>
      </w:r>
      <w:r w:rsidR="00B165F7" w:rsidRPr="00C903F8">
        <w:rPr>
          <w:noProof/>
          <w:lang w:val="en-US"/>
        </w:rPr>
        <w:t xml:space="preserve"> </w:t>
      </w:r>
      <w:r w:rsidRPr="00C903F8">
        <w:rPr>
          <w:noProof/>
          <w:lang w:val="en-US"/>
        </w:rPr>
        <w:t>uncontrolled</w:t>
      </w:r>
      <w:r w:rsidR="00B165F7" w:rsidRPr="00C903F8">
        <w:rPr>
          <w:noProof/>
          <w:lang w:val="en-US"/>
        </w:rPr>
        <w:t xml:space="preserve"> manner</w:t>
      </w:r>
      <w:r w:rsidRPr="00C903F8">
        <w:rPr>
          <w:noProof/>
          <w:lang w:val="en-US"/>
        </w:rPr>
        <w:t>. Unintentional crane movements shall be prevented.</w:t>
      </w:r>
    </w:p>
    <w:p w:rsidR="00756D4B" w:rsidRPr="00C903F8" w:rsidRDefault="00756D4B" w:rsidP="00725D4A">
      <w:pPr>
        <w:pStyle w:val="ESchpar"/>
        <w:rPr>
          <w:noProof/>
          <w:lang w:val="en-US"/>
        </w:rPr>
      </w:pPr>
    </w:p>
    <w:p w:rsidR="00F06174" w:rsidRPr="00C903F8" w:rsidRDefault="00F06174" w:rsidP="00725D4A">
      <w:pPr>
        <w:pStyle w:val="ESchpar"/>
        <w:rPr>
          <w:lang w:val="en-US"/>
        </w:rPr>
      </w:pPr>
      <w:r w:rsidRPr="00C903F8">
        <w:rPr>
          <w:noProof/>
          <w:lang w:val="en-US"/>
        </w:rPr>
        <w:t>Any upward movement of the hoisting device and any exceeding of the safe working load shall be limited by an appropriate device. Any downward movement of the hoisting device shall be limited if under any envisaged operating conditions at the moment of attaching the hook there can be less than two cable windings on the drum. The corresponding counter movement shall still be possible after the automatic limiting devices have been actuated.</w:t>
      </w:r>
    </w:p>
    <w:p w:rsidR="00756D4B" w:rsidRPr="00C903F8" w:rsidRDefault="00756D4B" w:rsidP="00725D4A">
      <w:pPr>
        <w:pStyle w:val="ESchpar"/>
        <w:rPr>
          <w:noProof/>
          <w:lang w:val="en-US"/>
        </w:rPr>
      </w:pPr>
    </w:p>
    <w:p w:rsidR="00725D4A" w:rsidRPr="00C903F8" w:rsidRDefault="00725D4A" w:rsidP="00725D4A">
      <w:pPr>
        <w:pStyle w:val="ESchpar"/>
        <w:rPr>
          <w:noProof/>
          <w:lang w:val="en-US"/>
        </w:rPr>
      </w:pPr>
      <w:r w:rsidRPr="00C903F8">
        <w:rPr>
          <w:noProof/>
          <w:lang w:val="en-US"/>
        </w:rPr>
        <w:br w:type="page"/>
      </w:r>
    </w:p>
    <w:p w:rsidR="00F06174" w:rsidRPr="00C903F8" w:rsidRDefault="00F06174" w:rsidP="00725D4A">
      <w:pPr>
        <w:pStyle w:val="ESchpar"/>
        <w:rPr>
          <w:lang w:val="en-US"/>
        </w:rPr>
      </w:pPr>
      <w:r w:rsidRPr="00C903F8">
        <w:rPr>
          <w:noProof/>
          <w:lang w:val="en-US"/>
        </w:rPr>
        <w:lastRenderedPageBreak/>
        <w:t>The breaking load of the cables for running rigging shall correspond to five times the cable's permissible loading. The cable construction shall be faultless and the design shall be suitable for use on cranes.</w:t>
      </w:r>
    </w:p>
    <w:p w:rsidR="00756D4B" w:rsidRPr="00C903F8" w:rsidRDefault="00756D4B" w:rsidP="00725D4A">
      <w:pPr>
        <w:pStyle w:val="ESch"/>
        <w:rPr>
          <w:noProof/>
          <w:lang w:val="en-US"/>
        </w:rPr>
      </w:pPr>
    </w:p>
    <w:p w:rsidR="00F06174" w:rsidRPr="00C903F8" w:rsidRDefault="00F06174" w:rsidP="00725D4A">
      <w:pPr>
        <w:pStyle w:val="ESch"/>
        <w:rPr>
          <w:lang w:val="en-US"/>
        </w:rPr>
      </w:pPr>
      <w:r w:rsidRPr="00C903F8">
        <w:rPr>
          <w:noProof/>
          <w:lang w:val="en-US"/>
        </w:rPr>
        <w:t>6.</w:t>
      </w:r>
      <w:r w:rsidRPr="00C903F8">
        <w:rPr>
          <w:noProof/>
          <w:lang w:val="en-US"/>
        </w:rPr>
        <w:tab/>
        <w:t>Cranes shall be inspected by an expert:</w:t>
      </w:r>
    </w:p>
    <w:p w:rsidR="00F06174" w:rsidRPr="00C903F8" w:rsidRDefault="005C7859" w:rsidP="00064BFC">
      <w:pPr>
        <w:pStyle w:val="ESlet"/>
        <w:rPr>
          <w:lang w:val="en-US"/>
        </w:rPr>
      </w:pPr>
      <w:r w:rsidRPr="00C903F8">
        <w:rPr>
          <w:lang w:val="en-US"/>
        </w:rPr>
        <w:t>a)</w:t>
      </w:r>
      <w:r w:rsidR="00F06174" w:rsidRPr="00C903F8">
        <w:rPr>
          <w:lang w:val="en-US"/>
        </w:rPr>
        <w:tab/>
        <w:t>before being put into service for the first time</w:t>
      </w:r>
      <w:r w:rsidR="00F55D2A" w:rsidRPr="00C903F8">
        <w:rPr>
          <w:lang w:val="en-US"/>
        </w:rPr>
        <w:t>;</w:t>
      </w:r>
    </w:p>
    <w:p w:rsidR="00F06174" w:rsidRPr="00C903F8" w:rsidRDefault="005C7859" w:rsidP="00064BFC">
      <w:pPr>
        <w:pStyle w:val="ESlet"/>
        <w:rPr>
          <w:lang w:val="en-US"/>
        </w:rPr>
      </w:pPr>
      <w:r w:rsidRPr="00C903F8">
        <w:rPr>
          <w:lang w:val="en-US"/>
        </w:rPr>
        <w:t>b)</w:t>
      </w:r>
      <w:r w:rsidR="00F06174" w:rsidRPr="00C903F8">
        <w:rPr>
          <w:lang w:val="en-US"/>
        </w:rPr>
        <w:tab/>
        <w:t>before being put back into service after any major modification or repair</w:t>
      </w:r>
      <w:r w:rsidR="00756D4B" w:rsidRPr="00C903F8">
        <w:rPr>
          <w:lang w:val="en-US"/>
        </w:rPr>
        <w:t>,</w:t>
      </w:r>
      <w:r w:rsidR="00F55D2A" w:rsidRPr="00C903F8">
        <w:rPr>
          <w:lang w:val="en-US"/>
        </w:rPr>
        <w:t xml:space="preserve"> and</w:t>
      </w:r>
    </w:p>
    <w:p w:rsidR="00F06174" w:rsidRPr="00C903F8" w:rsidRDefault="005C7859" w:rsidP="00064BFC">
      <w:pPr>
        <w:pStyle w:val="ESlet"/>
        <w:rPr>
          <w:lang w:val="en-US"/>
        </w:rPr>
      </w:pPr>
      <w:r w:rsidRPr="00C903F8">
        <w:rPr>
          <w:lang w:val="en-US"/>
        </w:rPr>
        <w:t>c)</w:t>
      </w:r>
      <w:r w:rsidR="00F06174" w:rsidRPr="00C903F8">
        <w:rPr>
          <w:lang w:val="en-US"/>
        </w:rPr>
        <w:tab/>
        <w:t>regularly, at least every ten years</w:t>
      </w:r>
      <w:r w:rsidR="00756D4B" w:rsidRPr="00C903F8">
        <w:rPr>
          <w:lang w:val="en-US"/>
        </w:rPr>
        <w:t>.</w:t>
      </w:r>
    </w:p>
    <w:p w:rsidR="00756D4B" w:rsidRPr="00C903F8" w:rsidRDefault="00756D4B" w:rsidP="00F06174">
      <w:pPr>
        <w:rPr>
          <w:rFonts w:cs="Arial"/>
          <w:noProof/>
          <w:szCs w:val="20"/>
          <w:lang w:val="en-US"/>
        </w:rPr>
      </w:pPr>
    </w:p>
    <w:p w:rsidR="00F06174" w:rsidRPr="00C903F8" w:rsidRDefault="00F06174" w:rsidP="00064BFC">
      <w:pPr>
        <w:pStyle w:val="ESchpar"/>
        <w:rPr>
          <w:lang w:val="en-US"/>
        </w:rPr>
      </w:pPr>
      <w:r w:rsidRPr="00C903F8">
        <w:rPr>
          <w:noProof/>
          <w:lang w:val="en-US"/>
        </w:rPr>
        <w:t>In this inspection proof of adequate strength and stability shall be provided by calculations and an on-board load test.</w:t>
      </w:r>
    </w:p>
    <w:p w:rsidR="00756D4B" w:rsidRPr="00C903F8" w:rsidRDefault="00756D4B" w:rsidP="00064BFC">
      <w:pPr>
        <w:pStyle w:val="ESchpar"/>
        <w:rPr>
          <w:noProof/>
          <w:lang w:val="en-US"/>
        </w:rPr>
      </w:pPr>
    </w:p>
    <w:p w:rsidR="00F06174" w:rsidRPr="00C903F8" w:rsidRDefault="00F06174" w:rsidP="00064BFC">
      <w:pPr>
        <w:pStyle w:val="ESchpar"/>
        <w:rPr>
          <w:lang w:val="en-US"/>
        </w:rPr>
      </w:pPr>
      <w:r w:rsidRPr="00C903F8">
        <w:rPr>
          <w:noProof/>
          <w:lang w:val="en-US"/>
        </w:rPr>
        <w:t>Where a crane’s safe working load does not exceed 2000 kg the expert may decide that the proof by calculation may be fully or partly replaced by a test with a load 1.25 times the safe working load carried out over the full working range.</w:t>
      </w:r>
    </w:p>
    <w:p w:rsidR="00756D4B" w:rsidRPr="00C903F8" w:rsidRDefault="00756D4B" w:rsidP="00064BFC">
      <w:pPr>
        <w:pStyle w:val="ESchpar"/>
        <w:rPr>
          <w:noProof/>
          <w:lang w:val="en-US"/>
        </w:rPr>
      </w:pPr>
    </w:p>
    <w:p w:rsidR="00F06174" w:rsidRPr="00C903F8" w:rsidRDefault="00F06174" w:rsidP="00064BFC">
      <w:pPr>
        <w:pStyle w:val="ESchpar"/>
        <w:rPr>
          <w:lang w:val="en-US"/>
        </w:rPr>
      </w:pPr>
      <w:r w:rsidRPr="00C903F8">
        <w:rPr>
          <w:noProof/>
          <w:lang w:val="en-US"/>
        </w:rPr>
        <w:t xml:space="preserve">An inspection </w:t>
      </w:r>
      <w:r w:rsidR="00011E41" w:rsidRPr="00C903F8">
        <w:rPr>
          <w:noProof/>
          <w:lang w:val="en-US"/>
        </w:rPr>
        <w:t>attestation</w:t>
      </w:r>
      <w:r w:rsidRPr="00C903F8">
        <w:rPr>
          <w:noProof/>
          <w:lang w:val="en-US"/>
        </w:rPr>
        <w:t xml:space="preserve"> shall be issued, signed by the expert and showing the date of the inspection.</w:t>
      </w:r>
    </w:p>
    <w:p w:rsidR="00064BFC" w:rsidRPr="00C903F8" w:rsidRDefault="00064BFC" w:rsidP="00F06174">
      <w:pPr>
        <w:rPr>
          <w:rFonts w:cs="Arial"/>
          <w:noProof/>
          <w:szCs w:val="20"/>
          <w:lang w:val="en-US"/>
        </w:rPr>
      </w:pPr>
    </w:p>
    <w:p w:rsidR="00F06174" w:rsidRPr="00C903F8" w:rsidRDefault="00F06174" w:rsidP="00064BFC">
      <w:pPr>
        <w:pStyle w:val="ESch"/>
        <w:rPr>
          <w:lang w:val="en-US"/>
        </w:rPr>
      </w:pPr>
      <w:r w:rsidRPr="00C903F8">
        <w:rPr>
          <w:noProof/>
          <w:lang w:val="en-US"/>
        </w:rPr>
        <w:t>7.</w:t>
      </w:r>
      <w:r w:rsidRPr="00C903F8">
        <w:rPr>
          <w:noProof/>
          <w:lang w:val="en-US"/>
        </w:rPr>
        <w:tab/>
        <w:t>Cranes shall be checked regularly and in any case at least every year, by a competent person. During that inspection the safe working condition of the crane shall be determined by a visual check and an operating check.</w:t>
      </w:r>
    </w:p>
    <w:p w:rsidR="00756D4B" w:rsidRPr="00C903F8" w:rsidRDefault="00756D4B" w:rsidP="00064BFC">
      <w:pPr>
        <w:pStyle w:val="ESch"/>
        <w:rPr>
          <w:noProof/>
          <w:lang w:val="en-US"/>
        </w:rPr>
      </w:pPr>
    </w:p>
    <w:p w:rsidR="00F06174" w:rsidRPr="00C903F8" w:rsidRDefault="00F06174" w:rsidP="00064BFC">
      <w:pPr>
        <w:pStyle w:val="ESchpar"/>
        <w:rPr>
          <w:lang w:val="en-US"/>
        </w:rPr>
      </w:pPr>
      <w:r w:rsidRPr="00C903F8">
        <w:rPr>
          <w:noProof/>
          <w:lang w:val="en-US"/>
        </w:rPr>
        <w:t xml:space="preserve">An inspection </w:t>
      </w:r>
      <w:r w:rsidR="00011E41" w:rsidRPr="00C903F8">
        <w:rPr>
          <w:noProof/>
          <w:lang w:val="en-US"/>
        </w:rPr>
        <w:t>attestation</w:t>
      </w:r>
      <w:r w:rsidRPr="00C903F8">
        <w:rPr>
          <w:noProof/>
          <w:lang w:val="en-US"/>
        </w:rPr>
        <w:t xml:space="preserve"> shall be issued, signed by the competent person and showing the date of the inspection.</w:t>
      </w:r>
    </w:p>
    <w:p w:rsidR="00F06174" w:rsidRPr="00C903F8" w:rsidRDefault="00F06174" w:rsidP="00064BFC">
      <w:pPr>
        <w:pStyle w:val="ESch"/>
        <w:rPr>
          <w:lang w:val="en-US"/>
        </w:rPr>
      </w:pPr>
    </w:p>
    <w:p w:rsidR="00F06174" w:rsidRPr="00C903F8" w:rsidRDefault="00F06174" w:rsidP="00064BFC">
      <w:pPr>
        <w:pStyle w:val="ESch"/>
        <w:rPr>
          <w:lang w:val="en-US"/>
        </w:rPr>
      </w:pPr>
      <w:r w:rsidRPr="00C903F8">
        <w:rPr>
          <w:noProof/>
          <w:lang w:val="en-US"/>
        </w:rPr>
        <w:t>8.</w:t>
      </w:r>
      <w:r w:rsidRPr="00C903F8">
        <w:rPr>
          <w:noProof/>
          <w:lang w:val="en-US"/>
        </w:rPr>
        <w:tab/>
        <w:t>Cranes with a safe working load exceeding 2000 kg, or which are used for transhipment of cargo, or which are mounted on board lifting jacks, pontoons and other floating equipment or worksite craft shall in addition meet the requirements of one of the Member States.</w:t>
      </w:r>
    </w:p>
    <w:p w:rsidR="00756D4B" w:rsidRPr="00C903F8" w:rsidRDefault="00756D4B" w:rsidP="00064BFC">
      <w:pPr>
        <w:pStyle w:val="ESch"/>
        <w:rPr>
          <w:noProof/>
          <w:lang w:val="en-US"/>
        </w:rPr>
      </w:pPr>
    </w:p>
    <w:p w:rsidR="00F06174" w:rsidRPr="00C903F8" w:rsidRDefault="00F06174" w:rsidP="00064BFC">
      <w:pPr>
        <w:pStyle w:val="ESch"/>
        <w:rPr>
          <w:lang w:val="en-US"/>
        </w:rPr>
      </w:pPr>
      <w:r w:rsidRPr="00C903F8">
        <w:rPr>
          <w:noProof/>
          <w:lang w:val="en-US"/>
        </w:rPr>
        <w:t>9.</w:t>
      </w:r>
      <w:r w:rsidRPr="00C903F8">
        <w:rPr>
          <w:noProof/>
          <w:lang w:val="en-US"/>
        </w:rPr>
        <w:tab/>
        <w:t>The crane manufacturer's operating instructions shall be kept on board. These shall include at least the following information:</w:t>
      </w:r>
    </w:p>
    <w:p w:rsidR="00F06174" w:rsidRPr="00C903F8" w:rsidRDefault="005C7859" w:rsidP="00064BFC">
      <w:pPr>
        <w:pStyle w:val="ESlet"/>
        <w:rPr>
          <w:lang w:val="en-US"/>
        </w:rPr>
      </w:pPr>
      <w:r w:rsidRPr="00C903F8">
        <w:rPr>
          <w:lang w:val="en-US"/>
        </w:rPr>
        <w:t>a)</w:t>
      </w:r>
      <w:r w:rsidR="00F06174" w:rsidRPr="00C903F8">
        <w:rPr>
          <w:lang w:val="en-US"/>
        </w:rPr>
        <w:tab/>
        <w:t>operating range and function of the controls;</w:t>
      </w:r>
    </w:p>
    <w:p w:rsidR="00F06174" w:rsidRPr="00C903F8" w:rsidRDefault="005C7859" w:rsidP="00064BFC">
      <w:pPr>
        <w:pStyle w:val="ESlet"/>
        <w:rPr>
          <w:lang w:val="en-US"/>
        </w:rPr>
      </w:pPr>
      <w:r w:rsidRPr="00C903F8">
        <w:rPr>
          <w:lang w:val="en-US"/>
        </w:rPr>
        <w:t>b)</w:t>
      </w:r>
      <w:r w:rsidR="00F06174" w:rsidRPr="00C903F8">
        <w:rPr>
          <w:lang w:val="en-US"/>
        </w:rPr>
        <w:tab/>
        <w:t>maximum permissible safe working load as a function of the reach;</w:t>
      </w:r>
    </w:p>
    <w:p w:rsidR="00F06174" w:rsidRPr="00C903F8" w:rsidRDefault="005C7859" w:rsidP="00064BFC">
      <w:pPr>
        <w:pStyle w:val="ESlet"/>
        <w:rPr>
          <w:lang w:val="en-US"/>
        </w:rPr>
      </w:pPr>
      <w:r w:rsidRPr="00C903F8">
        <w:rPr>
          <w:lang w:val="en-US"/>
        </w:rPr>
        <w:t>c)</w:t>
      </w:r>
      <w:r w:rsidR="00F06174" w:rsidRPr="00C903F8">
        <w:rPr>
          <w:lang w:val="en-US"/>
        </w:rPr>
        <w:tab/>
        <w:t>maximum permissible inclination of the crane;</w:t>
      </w:r>
    </w:p>
    <w:p w:rsidR="00F06174" w:rsidRPr="00C903F8" w:rsidRDefault="005C7859" w:rsidP="00064BFC">
      <w:pPr>
        <w:pStyle w:val="ESlet"/>
        <w:rPr>
          <w:lang w:val="en-US"/>
        </w:rPr>
      </w:pPr>
      <w:r w:rsidRPr="00C903F8">
        <w:rPr>
          <w:lang w:val="en-US"/>
        </w:rPr>
        <w:t>d)</w:t>
      </w:r>
      <w:r w:rsidR="00F06174" w:rsidRPr="00C903F8">
        <w:rPr>
          <w:lang w:val="en-US"/>
        </w:rPr>
        <w:tab/>
        <w:t>assembly and maintenance instructions;</w:t>
      </w:r>
    </w:p>
    <w:p w:rsidR="00F06174" w:rsidRPr="00C903F8" w:rsidRDefault="0029453D" w:rsidP="00064BFC">
      <w:pPr>
        <w:pStyle w:val="ESlet"/>
        <w:rPr>
          <w:lang w:val="en-US"/>
        </w:rPr>
      </w:pPr>
      <w:r w:rsidRPr="00C903F8">
        <w:rPr>
          <w:lang w:val="en-US"/>
        </w:rPr>
        <w:t>e)</w:t>
      </w:r>
      <w:r w:rsidR="00F06174" w:rsidRPr="00C903F8">
        <w:rPr>
          <w:lang w:val="en-US"/>
        </w:rPr>
        <w:tab/>
        <w:t>general technical data.</w:t>
      </w:r>
    </w:p>
    <w:p w:rsidR="00F06174" w:rsidRPr="00C903F8" w:rsidRDefault="00F06174" w:rsidP="00B239F2">
      <w:pPr>
        <w:pStyle w:val="ESlet"/>
        <w:ind w:left="0" w:firstLine="0"/>
        <w:rPr>
          <w:rFonts w:cs="Arial"/>
          <w:noProof/>
          <w:szCs w:val="20"/>
          <w:lang w:val="en-US"/>
        </w:rPr>
      </w:pPr>
    </w:p>
    <w:p w:rsidR="00756D4B" w:rsidRPr="00C903F8" w:rsidRDefault="00756D4B" w:rsidP="00B239F2">
      <w:pPr>
        <w:ind w:left="0" w:firstLine="0"/>
        <w:rPr>
          <w:rFonts w:cs="Arial"/>
          <w:noProof/>
          <w:szCs w:val="20"/>
          <w:lang w:val="en-US"/>
        </w:rPr>
      </w:pPr>
    </w:p>
    <w:p w:rsidR="00F06174" w:rsidRPr="00C903F8" w:rsidRDefault="00F06174" w:rsidP="00756D4B">
      <w:pPr>
        <w:pStyle w:val="ES-Titre3"/>
        <w:rPr>
          <w:lang w:val="en-US"/>
        </w:rPr>
      </w:pPr>
      <w:bookmarkStart w:id="135" w:name="_Toc491854123"/>
      <w:r w:rsidRPr="00C903F8">
        <w:rPr>
          <w:lang w:val="en-US"/>
        </w:rPr>
        <w:t>Article 14.13</w:t>
      </w:r>
      <w:r w:rsidRPr="00C903F8">
        <w:rPr>
          <w:lang w:val="en-US"/>
        </w:rPr>
        <w:br/>
      </w:r>
      <w:r w:rsidRPr="00C903F8">
        <w:rPr>
          <w:i/>
          <w:lang w:val="en-US"/>
        </w:rPr>
        <w:t>Storing flammable liquids</w:t>
      </w:r>
      <w:bookmarkEnd w:id="135"/>
    </w:p>
    <w:p w:rsidR="00756D4B" w:rsidRPr="00C903F8" w:rsidRDefault="00756D4B" w:rsidP="00756D4B">
      <w:pPr>
        <w:ind w:left="0" w:firstLine="0"/>
        <w:rPr>
          <w:rFonts w:cs="Arial"/>
          <w:noProof/>
          <w:szCs w:val="20"/>
          <w:lang w:val="en-US"/>
        </w:rPr>
      </w:pPr>
    </w:p>
    <w:p w:rsidR="00F06174" w:rsidRPr="00C903F8" w:rsidRDefault="00F06174" w:rsidP="00064BFC">
      <w:pPr>
        <w:pStyle w:val="ESgauche"/>
        <w:rPr>
          <w:lang w:val="en-US"/>
        </w:rPr>
      </w:pPr>
      <w:r w:rsidRPr="00C903F8">
        <w:rPr>
          <w:lang w:val="en-US"/>
        </w:rPr>
        <w:t>To store flammable liquids with a flash point of less than 55</w:t>
      </w:r>
      <w:r w:rsidR="00B239F2" w:rsidRPr="00C903F8">
        <w:rPr>
          <w:lang w:val="en-US"/>
        </w:rPr>
        <w:t> </w:t>
      </w:r>
      <w:r w:rsidRPr="00C903F8">
        <w:rPr>
          <w:lang w:val="en-US"/>
        </w:rPr>
        <w:t xml:space="preserve">°C there shall be a ventilated cupboard made of non-combustible material on deck. On its outside there shall be a symbol ‘Fire, naked flame and smoking prohibited’ with a diameter of at least 10 cm in accordance with Figure 2 of Annex </w:t>
      </w:r>
      <w:r w:rsidR="002E6F15" w:rsidRPr="00C903F8">
        <w:rPr>
          <w:lang w:val="en-US"/>
        </w:rPr>
        <w:t>4</w:t>
      </w:r>
      <w:r w:rsidRPr="00C903F8">
        <w:rPr>
          <w:lang w:val="en-US"/>
        </w:rPr>
        <w:t>.</w:t>
      </w:r>
    </w:p>
    <w:p w:rsidR="00F6371D" w:rsidRPr="00C903F8" w:rsidRDefault="00F6371D" w:rsidP="00A9660C">
      <w:pPr>
        <w:rPr>
          <w:lang w:val="en-US"/>
        </w:rPr>
      </w:pPr>
    </w:p>
    <w:p w:rsidR="006161E9" w:rsidRPr="00C903F8" w:rsidRDefault="006161E9" w:rsidP="006161E9">
      <w:pPr>
        <w:pStyle w:val="ES-Titre2"/>
        <w:rPr>
          <w:szCs w:val="24"/>
        </w:rPr>
      </w:pPr>
      <w:bookmarkStart w:id="136" w:name="_Toc491854124"/>
      <w:r w:rsidRPr="00C903F8">
        <w:lastRenderedPageBreak/>
        <w:t>Chapter 15</w:t>
      </w:r>
      <w:r w:rsidRPr="00C903F8">
        <w:br/>
      </w:r>
      <w:r w:rsidRPr="00C903F8">
        <w:rPr>
          <w:szCs w:val="24"/>
        </w:rPr>
        <w:t>Accom</w:t>
      </w:r>
      <w:r w:rsidR="004C4825">
        <w:rPr>
          <w:szCs w:val="24"/>
        </w:rPr>
        <w:t>m</w:t>
      </w:r>
      <w:r w:rsidRPr="00C903F8">
        <w:rPr>
          <w:szCs w:val="24"/>
        </w:rPr>
        <w:t>odation</w:t>
      </w:r>
      <w:bookmarkEnd w:id="136"/>
    </w:p>
    <w:p w:rsidR="006161E9" w:rsidRPr="00C903F8" w:rsidRDefault="006161E9" w:rsidP="006161E9">
      <w:pPr>
        <w:rPr>
          <w:lang w:val="en-US" w:eastAsia="en-US"/>
        </w:rPr>
      </w:pPr>
    </w:p>
    <w:p w:rsidR="006161E9" w:rsidRPr="00C903F8" w:rsidRDefault="006161E9" w:rsidP="006161E9">
      <w:pPr>
        <w:pStyle w:val="ES-Titre3"/>
        <w:rPr>
          <w:lang w:val="en-US"/>
        </w:rPr>
      </w:pPr>
      <w:bookmarkStart w:id="137" w:name="_Toc491854125"/>
      <w:r w:rsidRPr="00C903F8">
        <w:rPr>
          <w:noProof/>
          <w:lang w:val="en-US"/>
        </w:rPr>
        <w:t>Article 15.01</w:t>
      </w:r>
      <w:r w:rsidRPr="00C903F8">
        <w:rPr>
          <w:noProof/>
          <w:lang w:val="en-US"/>
        </w:rPr>
        <w:br/>
      </w:r>
      <w:r w:rsidRPr="00C903F8">
        <w:rPr>
          <w:bCs/>
          <w:i/>
          <w:noProof/>
          <w:lang w:val="en-US"/>
        </w:rPr>
        <w:t>General</w:t>
      </w:r>
      <w:bookmarkEnd w:id="137"/>
    </w:p>
    <w:p w:rsidR="006161E9" w:rsidRPr="00C903F8" w:rsidRDefault="006161E9"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1.</w:t>
      </w:r>
      <w:r w:rsidRPr="00C903F8">
        <w:rPr>
          <w:szCs w:val="20"/>
          <w:lang w:val="en-US"/>
        </w:rPr>
        <w:tab/>
        <w:t>Vessels shall have accommodation for the persons lodging habitually on board, and at least for the minimum crew</w:t>
      </w:r>
      <w:r w:rsidR="0021687F" w:rsidRPr="00C903F8">
        <w:rPr>
          <w:szCs w:val="20"/>
          <w:lang w:val="en-US"/>
        </w:rPr>
        <w:t>.</w:t>
      </w:r>
      <w:r w:rsidRPr="00C903F8">
        <w:rPr>
          <w:szCs w:val="20"/>
          <w:lang w:val="en-US"/>
        </w:rPr>
        <w:t xml:space="preserve"> </w:t>
      </w:r>
    </w:p>
    <w:p w:rsidR="00811428" w:rsidRPr="00C903F8" w:rsidRDefault="00811428" w:rsidP="00811428">
      <w:pPr>
        <w:pStyle w:val="ESch"/>
        <w:rPr>
          <w:szCs w:val="20"/>
          <w:lang w:val="en-US"/>
        </w:rPr>
      </w:pPr>
    </w:p>
    <w:p w:rsidR="006161E9" w:rsidRPr="00C903F8" w:rsidRDefault="006161E9" w:rsidP="00811428">
      <w:pPr>
        <w:pStyle w:val="ESch"/>
        <w:rPr>
          <w:rFonts w:cs="Arial"/>
          <w:i/>
          <w:szCs w:val="20"/>
          <w:lang w:val="en-US"/>
        </w:rPr>
      </w:pPr>
      <w:r w:rsidRPr="00C903F8">
        <w:rPr>
          <w:szCs w:val="20"/>
          <w:lang w:val="en-US"/>
        </w:rPr>
        <w:t>2.</w:t>
      </w:r>
      <w:r w:rsidRPr="00C903F8">
        <w:rPr>
          <w:szCs w:val="20"/>
          <w:lang w:val="en-US"/>
        </w:rPr>
        <w:tab/>
        <w:t>Accommodation shall be so designed, arranged and fitted out as to meet the health, safety and comfort needs of those on board. It shall be of safe and easy access and adequately insulated against heat and cold.</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3.</w:t>
      </w:r>
      <w:r w:rsidRPr="00C903F8">
        <w:rPr>
          <w:szCs w:val="20"/>
          <w:lang w:val="en-US"/>
        </w:rPr>
        <w:tab/>
        <w:t>The inspection body may authorise exceptions to the provisions of this Chapter if the health and safety of those on board are ensured by other means.</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4.</w:t>
      </w:r>
      <w:r w:rsidRPr="00C903F8">
        <w:rPr>
          <w:szCs w:val="20"/>
          <w:lang w:val="en-US"/>
        </w:rPr>
        <w:tab/>
        <w:t xml:space="preserve">The inspection body shall enter on the </w:t>
      </w:r>
      <w:r w:rsidR="00A938EB" w:rsidRPr="00C903F8">
        <w:rPr>
          <w:szCs w:val="20"/>
          <w:lang w:val="en-US"/>
        </w:rPr>
        <w:t>i</w:t>
      </w:r>
      <w:r w:rsidRPr="00C903F8">
        <w:rPr>
          <w:szCs w:val="20"/>
          <w:lang w:val="en-US"/>
        </w:rPr>
        <w:t xml:space="preserve">nland navigation vessel certificate any restrictions on the vessel's daily operating periods and its operating mode resulting from the exceptions referred to in </w:t>
      </w:r>
      <w:r w:rsidR="00FD1E75" w:rsidRPr="00C903F8">
        <w:rPr>
          <w:szCs w:val="20"/>
          <w:lang w:val="en-US"/>
        </w:rPr>
        <w:t>(</w:t>
      </w:r>
      <w:r w:rsidRPr="00C903F8">
        <w:rPr>
          <w:szCs w:val="20"/>
          <w:lang w:val="en-US"/>
        </w:rPr>
        <w:t>3</w:t>
      </w:r>
      <w:r w:rsidR="00FD1E75" w:rsidRPr="00C903F8">
        <w:rPr>
          <w:szCs w:val="20"/>
          <w:lang w:val="en-US"/>
        </w:rPr>
        <w:t>)</w:t>
      </w:r>
      <w:r w:rsidRPr="00C903F8">
        <w:rPr>
          <w:szCs w:val="20"/>
          <w:lang w:val="en-US"/>
        </w:rPr>
        <w:t>.</w:t>
      </w:r>
    </w:p>
    <w:p w:rsidR="006161E9" w:rsidRPr="00C903F8" w:rsidRDefault="006161E9" w:rsidP="00811428">
      <w:pPr>
        <w:pStyle w:val="ESch"/>
        <w:rPr>
          <w:rFonts w:cs="Arial"/>
          <w:szCs w:val="20"/>
          <w:lang w:val="en-US"/>
        </w:rPr>
      </w:pPr>
    </w:p>
    <w:p w:rsidR="00A60E37" w:rsidRPr="00C903F8" w:rsidRDefault="00A60E37" w:rsidP="00811428">
      <w:pPr>
        <w:pStyle w:val="ESch"/>
        <w:rPr>
          <w:rFonts w:cs="Arial"/>
          <w:szCs w:val="20"/>
          <w:lang w:val="en-US"/>
        </w:rPr>
      </w:pPr>
    </w:p>
    <w:p w:rsidR="006161E9" w:rsidRPr="00C903F8" w:rsidRDefault="006161E9" w:rsidP="00811428">
      <w:pPr>
        <w:pStyle w:val="ES-Titre3"/>
        <w:rPr>
          <w:i/>
          <w:lang w:val="en-US"/>
        </w:rPr>
      </w:pPr>
      <w:bookmarkStart w:id="138" w:name="_Toc491854126"/>
      <w:r w:rsidRPr="00C903F8">
        <w:rPr>
          <w:lang w:val="en-US"/>
        </w:rPr>
        <w:t>Article 15.02</w:t>
      </w:r>
      <w:r w:rsidRPr="00C903F8">
        <w:rPr>
          <w:lang w:val="en-US"/>
        </w:rPr>
        <w:br/>
      </w:r>
      <w:r w:rsidRPr="00C903F8">
        <w:rPr>
          <w:i/>
          <w:lang w:val="en-US"/>
        </w:rPr>
        <w:t>Special design requirements for accommodation</w:t>
      </w:r>
      <w:bookmarkEnd w:id="138"/>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1.</w:t>
      </w:r>
      <w:r w:rsidRPr="00C903F8">
        <w:rPr>
          <w:szCs w:val="20"/>
          <w:lang w:val="en-US"/>
        </w:rPr>
        <w:tab/>
        <w:t>It shall be possible to ventilate accommodation adequately even when the doors are closed; in addition, communal living quarters shall receive adequate daylight and, as far as possible, provide a view out.</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2.</w:t>
      </w:r>
      <w:r w:rsidRPr="00C903F8">
        <w:rPr>
          <w:szCs w:val="20"/>
          <w:lang w:val="en-US"/>
        </w:rPr>
        <w:tab/>
        <w:t>Where there is no deck-level access to the accommodation and the difference in level is 0,30 m or more the accommodation shall be accessible by means of stairs.</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3.</w:t>
      </w:r>
      <w:r w:rsidRPr="00C903F8">
        <w:rPr>
          <w:szCs w:val="20"/>
          <w:lang w:val="en-US"/>
        </w:rPr>
        <w:tab/>
        <w:t>In the fore</w:t>
      </w:r>
      <w:r w:rsidR="009827B2" w:rsidRPr="00C903F8">
        <w:rPr>
          <w:szCs w:val="20"/>
          <w:lang w:val="en-US"/>
        </w:rPr>
        <w:t>-</w:t>
      </w:r>
      <w:r w:rsidRPr="00C903F8">
        <w:rPr>
          <w:szCs w:val="20"/>
          <w:lang w:val="en-US"/>
        </w:rPr>
        <w:t>section of the vessel no floor shall be more than 1,20 m below the plane of maximum draught.</w:t>
      </w:r>
    </w:p>
    <w:p w:rsidR="00811428" w:rsidRPr="00C903F8" w:rsidRDefault="00811428" w:rsidP="00811428">
      <w:pPr>
        <w:pStyle w:val="ESch"/>
        <w:rPr>
          <w:spacing w:val="-2"/>
          <w:szCs w:val="20"/>
          <w:lang w:val="en-US"/>
        </w:rPr>
      </w:pPr>
    </w:p>
    <w:p w:rsidR="006161E9" w:rsidRPr="00C903F8" w:rsidRDefault="006161E9" w:rsidP="00811428">
      <w:pPr>
        <w:pStyle w:val="ESch"/>
        <w:rPr>
          <w:rFonts w:cs="Arial"/>
          <w:szCs w:val="20"/>
          <w:lang w:val="en-US"/>
        </w:rPr>
      </w:pPr>
      <w:r w:rsidRPr="00C903F8">
        <w:rPr>
          <w:spacing w:val="-2"/>
          <w:szCs w:val="20"/>
          <w:lang w:val="en-US"/>
        </w:rPr>
        <w:t>4.</w:t>
      </w:r>
      <w:r w:rsidRPr="00C903F8">
        <w:rPr>
          <w:spacing w:val="-2"/>
          <w:szCs w:val="20"/>
          <w:lang w:val="en-US"/>
        </w:rPr>
        <w:tab/>
        <w:t>Communal living quarters and sleeping cabins shall have at least two exits which are as far apart from each other as possible and which serve as escape routes. One exit may be designed as an emergency exit. This does not apply to rooms with an exit leading directly onto the deck or into a corridor which serves as an escape route, provided the corridor has two exits apart from each other leading to port and starboard. Emergency exits, which may include skylights and windows, shall have a clear opening of at least 0,36 m</w:t>
      </w:r>
      <w:r w:rsidRPr="00C903F8">
        <w:rPr>
          <w:spacing w:val="-2"/>
          <w:szCs w:val="20"/>
          <w:vertAlign w:val="superscript"/>
          <w:lang w:val="en-US"/>
        </w:rPr>
        <w:t>2</w:t>
      </w:r>
      <w:r w:rsidRPr="00C903F8">
        <w:rPr>
          <w:spacing w:val="-2"/>
          <w:szCs w:val="20"/>
          <w:lang w:val="en-US"/>
        </w:rPr>
        <w:t xml:space="preserve"> and a shortest side no less than 0,50 m and permit rapid evacuation in an emergency. Insulation and cladding of escape routes shall be made of flame-retardant materials and the usability of escape routes shall be guaranteed at all times by appropriate means such as ladders or separately attached rungs.</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5.</w:t>
      </w:r>
      <w:r w:rsidRPr="00C903F8">
        <w:rPr>
          <w:szCs w:val="20"/>
          <w:lang w:val="en-US"/>
        </w:rPr>
        <w:tab/>
        <w:t>Accommodation shall be protected against inadmissible noise and vibration. Sound pressure levels shall not exceed:</w:t>
      </w:r>
    </w:p>
    <w:p w:rsidR="006161E9" w:rsidRPr="00C903F8" w:rsidRDefault="005C7859" w:rsidP="00811428">
      <w:pPr>
        <w:pStyle w:val="ESlet"/>
        <w:rPr>
          <w:rFonts w:cs="Arial"/>
          <w:lang w:val="en-US"/>
        </w:rPr>
      </w:pPr>
      <w:r w:rsidRPr="00C903F8">
        <w:rPr>
          <w:szCs w:val="20"/>
          <w:lang w:val="en-US"/>
        </w:rPr>
        <w:t>a)</w:t>
      </w:r>
      <w:r w:rsidR="006161E9" w:rsidRPr="00C903F8">
        <w:rPr>
          <w:szCs w:val="20"/>
          <w:lang w:val="en-US"/>
        </w:rPr>
        <w:tab/>
        <w:t>70 dB(A) in communal living quarters;</w:t>
      </w:r>
    </w:p>
    <w:p w:rsidR="006161E9" w:rsidRPr="00C903F8" w:rsidRDefault="005C7859" w:rsidP="00811428">
      <w:pPr>
        <w:pStyle w:val="ESlet"/>
        <w:rPr>
          <w:rFonts w:cs="Arial"/>
          <w:lang w:val="en-US"/>
        </w:rPr>
      </w:pPr>
      <w:r w:rsidRPr="00C903F8">
        <w:rPr>
          <w:szCs w:val="20"/>
          <w:lang w:val="en-US"/>
        </w:rPr>
        <w:t>b)</w:t>
      </w:r>
      <w:r w:rsidR="006161E9" w:rsidRPr="00C903F8">
        <w:rPr>
          <w:szCs w:val="20"/>
          <w:lang w:val="en-US"/>
        </w:rPr>
        <w:tab/>
        <w:t>60 dB(A) in sleeping cabins. This provision shall not apply to vessels operating exclusively outside the rest periods of the crew as laid down by Member States' national regulations.</w:t>
      </w:r>
    </w:p>
    <w:p w:rsidR="00811428" w:rsidRPr="00C903F8" w:rsidRDefault="00811428" w:rsidP="00811428">
      <w:pPr>
        <w:pStyle w:val="ESch"/>
        <w:rPr>
          <w:szCs w:val="20"/>
          <w:lang w:val="en-US"/>
        </w:rPr>
      </w:pPr>
    </w:p>
    <w:p w:rsidR="006161E9" w:rsidRPr="00C903F8" w:rsidRDefault="008C3FE7" w:rsidP="00A60E37">
      <w:pPr>
        <w:pStyle w:val="ESchpar"/>
        <w:rPr>
          <w:rFonts w:cs="Arial"/>
          <w:lang w:val="en-US"/>
        </w:rPr>
      </w:pPr>
      <w:r w:rsidRPr="00C903F8">
        <w:rPr>
          <w:szCs w:val="20"/>
          <w:lang w:val="en-US"/>
        </w:rPr>
        <w:t>The restriction of the daily operating period mentioned in (b) shall be entered on the inland navigation vessel certificate</w:t>
      </w:r>
      <w:r w:rsidR="006161E9" w:rsidRPr="00C903F8">
        <w:rPr>
          <w:szCs w:val="20"/>
          <w:lang w:val="en-US"/>
        </w:rPr>
        <w:t>.</w:t>
      </w:r>
    </w:p>
    <w:p w:rsidR="00811428" w:rsidRPr="00C903F8" w:rsidRDefault="00811428" w:rsidP="00811428">
      <w:pPr>
        <w:pStyle w:val="ESch"/>
        <w:rPr>
          <w:szCs w:val="20"/>
          <w:lang w:val="en-US"/>
        </w:rPr>
      </w:pPr>
    </w:p>
    <w:p w:rsidR="00A60E37" w:rsidRPr="00C903F8" w:rsidRDefault="00A60E37" w:rsidP="00811428">
      <w:pPr>
        <w:pStyle w:val="ESch"/>
        <w:rPr>
          <w:szCs w:val="20"/>
          <w:lang w:val="en-US"/>
        </w:rPr>
      </w:pPr>
      <w:r w:rsidRPr="00C903F8">
        <w:rPr>
          <w:szCs w:val="20"/>
          <w:lang w:val="en-US"/>
        </w:rPr>
        <w:br w:type="page"/>
      </w:r>
    </w:p>
    <w:p w:rsidR="006161E9" w:rsidRPr="00C903F8" w:rsidRDefault="006161E9" w:rsidP="00811428">
      <w:pPr>
        <w:pStyle w:val="ESch"/>
        <w:rPr>
          <w:rFonts w:cs="Arial"/>
          <w:szCs w:val="20"/>
          <w:lang w:val="en-US"/>
        </w:rPr>
      </w:pPr>
      <w:r w:rsidRPr="00C903F8">
        <w:rPr>
          <w:szCs w:val="20"/>
          <w:lang w:val="en-US"/>
        </w:rPr>
        <w:lastRenderedPageBreak/>
        <w:t>6.</w:t>
      </w:r>
      <w:r w:rsidRPr="00C903F8">
        <w:rPr>
          <w:szCs w:val="20"/>
          <w:lang w:val="en-US"/>
        </w:rPr>
        <w:tab/>
        <w:t>Headroom in the accommodation shall be not less than 2,00 m.</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7.</w:t>
      </w:r>
      <w:r w:rsidRPr="00C903F8">
        <w:rPr>
          <w:szCs w:val="20"/>
          <w:lang w:val="en-US"/>
        </w:rPr>
        <w:tab/>
        <w:t>As a general rule, vessels shall have at least one communal living room partitioned off from the sleeping cabins.</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8.</w:t>
      </w:r>
      <w:r w:rsidRPr="00C903F8">
        <w:rPr>
          <w:szCs w:val="20"/>
          <w:lang w:val="en-US"/>
        </w:rPr>
        <w:tab/>
        <w:t>The free floor area of communal living quarters shall be not less than 2 m</w:t>
      </w:r>
      <w:r w:rsidRPr="00C903F8">
        <w:rPr>
          <w:szCs w:val="20"/>
          <w:vertAlign w:val="superscript"/>
          <w:lang w:val="en-US"/>
        </w:rPr>
        <w:t>2</w:t>
      </w:r>
      <w:r w:rsidRPr="00C903F8">
        <w:rPr>
          <w:szCs w:val="20"/>
          <w:lang w:val="en-US"/>
        </w:rPr>
        <w:t xml:space="preserve"> per person, and in any event not less than 8 m</w:t>
      </w:r>
      <w:r w:rsidRPr="00C903F8">
        <w:rPr>
          <w:szCs w:val="20"/>
          <w:vertAlign w:val="superscript"/>
          <w:lang w:val="en-US"/>
        </w:rPr>
        <w:t>2</w:t>
      </w:r>
      <w:r w:rsidRPr="00C903F8">
        <w:rPr>
          <w:szCs w:val="20"/>
          <w:lang w:val="en-US"/>
        </w:rPr>
        <w:t xml:space="preserve"> in total (not counting furniture, except tables and chairs).</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9.</w:t>
      </w:r>
      <w:r w:rsidRPr="00C903F8">
        <w:rPr>
          <w:szCs w:val="20"/>
          <w:lang w:val="en-US"/>
        </w:rPr>
        <w:tab/>
        <w:t>The cubic capacity of private living quarters and sleeping cabin shall be not less than 7 m</w:t>
      </w:r>
      <w:r w:rsidRPr="00C903F8">
        <w:rPr>
          <w:szCs w:val="20"/>
          <w:vertAlign w:val="superscript"/>
          <w:lang w:val="en-US"/>
        </w:rPr>
        <w:t>3</w:t>
      </w:r>
      <w:r w:rsidRPr="00C903F8">
        <w:rPr>
          <w:szCs w:val="20"/>
          <w:lang w:val="en-US"/>
        </w:rPr>
        <w:t xml:space="preserve"> each.</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10.</w:t>
      </w:r>
      <w:r w:rsidRPr="00C903F8">
        <w:rPr>
          <w:szCs w:val="20"/>
          <w:lang w:val="en-US"/>
        </w:rPr>
        <w:tab/>
        <w:t>The volume of airspace per person shall be at least 3,5 m</w:t>
      </w:r>
      <w:r w:rsidRPr="00C903F8">
        <w:rPr>
          <w:szCs w:val="20"/>
          <w:vertAlign w:val="superscript"/>
          <w:lang w:val="en-US"/>
        </w:rPr>
        <w:t>3</w:t>
      </w:r>
      <w:r w:rsidRPr="00C903F8">
        <w:rPr>
          <w:szCs w:val="20"/>
          <w:lang w:val="en-US"/>
        </w:rPr>
        <w:t xml:space="preserve"> in private living quarters. In sleeping cabins it shall be at least 5 m</w:t>
      </w:r>
      <w:r w:rsidRPr="00C903F8">
        <w:rPr>
          <w:szCs w:val="20"/>
          <w:vertAlign w:val="superscript"/>
          <w:lang w:val="en-US"/>
        </w:rPr>
        <w:t>3</w:t>
      </w:r>
      <w:r w:rsidRPr="00C903F8">
        <w:rPr>
          <w:szCs w:val="20"/>
          <w:lang w:val="en-US"/>
        </w:rPr>
        <w:t xml:space="preserve"> for the first occupant and at least 3 m</w:t>
      </w:r>
      <w:r w:rsidRPr="00C903F8">
        <w:rPr>
          <w:szCs w:val="20"/>
          <w:vertAlign w:val="superscript"/>
          <w:lang w:val="en-US"/>
        </w:rPr>
        <w:t>3</w:t>
      </w:r>
      <w:r w:rsidRPr="00C903F8">
        <w:rPr>
          <w:szCs w:val="20"/>
          <w:lang w:val="en-US"/>
        </w:rPr>
        <w:t xml:space="preserve"> for each additional occupant (not counting volume of furniture). Sleeping cabins shall, as far as possible, be intended for no more than two persons. Berths shall be not less than 0,30 m above the floor. Where one berth is placed over another, the headroom above each berth shall be not less than 0,60 m.</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11.</w:t>
      </w:r>
      <w:r w:rsidRPr="00C903F8">
        <w:rPr>
          <w:szCs w:val="20"/>
          <w:lang w:val="en-US"/>
        </w:rPr>
        <w:tab/>
        <w:t>Doors shall have an opening whose upper edge is at least 1,90 m above deck or above the floor and a clear width of at least 0,60 m. The prescribed height may be achieved by means of sliding or hinged covers or flaps. Doors shall open to the outside and it shall be possible to open them from either side. Sills shall not be more than 0,40 m high, but shall nonetheless comply with the provisions of other safety regulations.</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12</w:t>
      </w:r>
      <w:r w:rsidRPr="00C903F8">
        <w:rPr>
          <w:szCs w:val="20"/>
          <w:lang w:val="en-US"/>
        </w:rPr>
        <w:tab/>
        <w:t>Stairways shall be permanently fixed and safely negotiable. They shall be deemed to be so when:</w:t>
      </w:r>
    </w:p>
    <w:p w:rsidR="006161E9" w:rsidRPr="00C903F8" w:rsidRDefault="005C7859" w:rsidP="00811428">
      <w:pPr>
        <w:pStyle w:val="ESlet"/>
        <w:rPr>
          <w:rFonts w:cs="Arial"/>
          <w:lang w:val="en-US"/>
        </w:rPr>
      </w:pPr>
      <w:r w:rsidRPr="00C903F8">
        <w:rPr>
          <w:szCs w:val="20"/>
          <w:lang w:val="en-US"/>
        </w:rPr>
        <w:t>a)</w:t>
      </w:r>
      <w:r w:rsidR="006161E9" w:rsidRPr="00C903F8">
        <w:rPr>
          <w:szCs w:val="20"/>
          <w:lang w:val="en-US"/>
        </w:rPr>
        <w:tab/>
        <w:t>they are at least 0,60 m wide;</w:t>
      </w:r>
    </w:p>
    <w:p w:rsidR="006161E9" w:rsidRPr="00C903F8" w:rsidRDefault="005C7859" w:rsidP="00811428">
      <w:pPr>
        <w:pStyle w:val="ESlet"/>
        <w:rPr>
          <w:rFonts w:cs="Arial"/>
          <w:lang w:val="en-US"/>
        </w:rPr>
      </w:pPr>
      <w:r w:rsidRPr="00C903F8">
        <w:rPr>
          <w:szCs w:val="20"/>
          <w:lang w:val="en-US"/>
        </w:rPr>
        <w:t>b)</w:t>
      </w:r>
      <w:r w:rsidR="006161E9" w:rsidRPr="00C903F8">
        <w:rPr>
          <w:szCs w:val="20"/>
          <w:lang w:val="en-US"/>
        </w:rPr>
        <w:tab/>
        <w:t>the tread is at least 0,15 m deep;</w:t>
      </w:r>
    </w:p>
    <w:p w:rsidR="006161E9" w:rsidRPr="00C903F8" w:rsidRDefault="005C7859" w:rsidP="00811428">
      <w:pPr>
        <w:pStyle w:val="ESlet"/>
        <w:rPr>
          <w:rFonts w:cs="Arial"/>
          <w:lang w:val="en-US"/>
        </w:rPr>
      </w:pPr>
      <w:r w:rsidRPr="00C903F8">
        <w:rPr>
          <w:szCs w:val="20"/>
          <w:lang w:val="en-US"/>
        </w:rPr>
        <w:t>c)</w:t>
      </w:r>
      <w:r w:rsidR="006161E9" w:rsidRPr="00C903F8">
        <w:rPr>
          <w:szCs w:val="20"/>
          <w:lang w:val="en-US"/>
        </w:rPr>
        <w:tab/>
        <w:t>the steps are non-slip;</w:t>
      </w:r>
      <w:r w:rsidR="0016074C" w:rsidRPr="00C903F8">
        <w:rPr>
          <w:szCs w:val="20"/>
          <w:lang w:val="en-US"/>
        </w:rPr>
        <w:t xml:space="preserve"> and</w:t>
      </w:r>
    </w:p>
    <w:p w:rsidR="006161E9" w:rsidRPr="00C903F8" w:rsidRDefault="005C7859" w:rsidP="00811428">
      <w:pPr>
        <w:pStyle w:val="ESlet"/>
        <w:rPr>
          <w:rFonts w:cs="Arial"/>
          <w:lang w:val="en-US"/>
        </w:rPr>
      </w:pPr>
      <w:r w:rsidRPr="00C903F8">
        <w:rPr>
          <w:szCs w:val="20"/>
          <w:lang w:val="en-US"/>
        </w:rPr>
        <w:t>d)</w:t>
      </w:r>
      <w:r w:rsidR="006161E9" w:rsidRPr="00C903F8">
        <w:rPr>
          <w:szCs w:val="20"/>
          <w:lang w:val="en-US"/>
        </w:rPr>
        <w:tab/>
        <w:t>stairways with more than three steps are fitted with at least one handrail or handle.</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13.</w:t>
      </w:r>
      <w:r w:rsidRPr="00C903F8">
        <w:rPr>
          <w:szCs w:val="20"/>
          <w:lang w:val="en-US"/>
        </w:rPr>
        <w:tab/>
        <w:t>Pipes carrying dangerous gases or liquids, and particularly those under such a high pressure that a leak could pose a danger to persons, shall not be located in the accommodation or in corridors leading to the accommodation. This does not apply for the pipes of liquefied gas installations for domestic purposes, and to steam pipes and hydraulic system pipes, provided they are fitted in metal sleeves</w:t>
      </w:r>
    </w:p>
    <w:p w:rsidR="006161E9" w:rsidRPr="00C903F8" w:rsidRDefault="006161E9" w:rsidP="00811428">
      <w:pPr>
        <w:pStyle w:val="ESch"/>
        <w:rPr>
          <w:rFonts w:cs="Arial"/>
          <w:szCs w:val="20"/>
          <w:lang w:val="en-US"/>
        </w:rPr>
      </w:pPr>
    </w:p>
    <w:p w:rsidR="00A60E37" w:rsidRPr="00C903F8" w:rsidRDefault="00A60E37" w:rsidP="00811428">
      <w:pPr>
        <w:pStyle w:val="ESch"/>
        <w:rPr>
          <w:rFonts w:cs="Arial"/>
          <w:szCs w:val="20"/>
          <w:lang w:val="en-US"/>
        </w:rPr>
      </w:pPr>
    </w:p>
    <w:p w:rsidR="006161E9" w:rsidRPr="00C903F8" w:rsidRDefault="006161E9" w:rsidP="00811428">
      <w:pPr>
        <w:pStyle w:val="ES-Titre3"/>
        <w:rPr>
          <w:i/>
          <w:lang w:val="en-US"/>
        </w:rPr>
      </w:pPr>
      <w:bookmarkStart w:id="139" w:name="_Toc491854127"/>
      <w:r w:rsidRPr="00C903F8">
        <w:rPr>
          <w:lang w:val="en-US"/>
        </w:rPr>
        <w:t>Article 15.03</w:t>
      </w:r>
      <w:r w:rsidRPr="00C903F8">
        <w:rPr>
          <w:lang w:val="en-US"/>
        </w:rPr>
        <w:br/>
      </w:r>
      <w:r w:rsidRPr="00C903F8">
        <w:rPr>
          <w:i/>
          <w:lang w:val="en-US"/>
        </w:rPr>
        <w:t>Sanitary installations</w:t>
      </w:r>
      <w:bookmarkEnd w:id="139"/>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1.</w:t>
      </w:r>
      <w:r w:rsidRPr="00C903F8">
        <w:rPr>
          <w:szCs w:val="20"/>
          <w:lang w:val="en-US"/>
        </w:rPr>
        <w:tab/>
        <w:t>At least the following sanitary installations shall be provided in vessels with accommodation:</w:t>
      </w:r>
    </w:p>
    <w:p w:rsidR="006161E9" w:rsidRPr="00C903F8" w:rsidRDefault="005C7859" w:rsidP="00811428">
      <w:pPr>
        <w:pStyle w:val="ESlet"/>
        <w:rPr>
          <w:rFonts w:cs="Arial"/>
          <w:lang w:val="en-US"/>
        </w:rPr>
      </w:pPr>
      <w:r w:rsidRPr="00C903F8">
        <w:rPr>
          <w:szCs w:val="20"/>
          <w:lang w:val="en-US"/>
        </w:rPr>
        <w:t>a)</w:t>
      </w:r>
      <w:r w:rsidR="006161E9" w:rsidRPr="00C903F8">
        <w:rPr>
          <w:szCs w:val="20"/>
          <w:lang w:val="en-US"/>
        </w:rPr>
        <w:tab/>
      </w:r>
      <w:r w:rsidR="00243A81" w:rsidRPr="00F01ADD">
        <w:rPr>
          <w:szCs w:val="20"/>
          <w:lang w:val="en-US"/>
        </w:rPr>
        <w:t xml:space="preserve">one toilet per </w:t>
      </w:r>
      <w:r w:rsidR="00243A81" w:rsidRPr="002614C4">
        <w:rPr>
          <w:szCs w:val="20"/>
          <w:lang w:val="en-US"/>
        </w:rPr>
        <w:t>accommodation unit or per six crew members. It shall</w:t>
      </w:r>
      <w:r w:rsidR="00243A81" w:rsidRPr="00F01ADD">
        <w:rPr>
          <w:szCs w:val="20"/>
          <w:lang w:val="en-US"/>
        </w:rPr>
        <w:t xml:space="preserve"> be possible to ventilate these with fresh air</w:t>
      </w:r>
      <w:r w:rsidR="006161E9" w:rsidRPr="00C903F8">
        <w:rPr>
          <w:szCs w:val="20"/>
          <w:lang w:val="en-US"/>
        </w:rPr>
        <w:t>;</w:t>
      </w:r>
    </w:p>
    <w:p w:rsidR="006161E9" w:rsidRPr="00C903F8" w:rsidRDefault="005C7859" w:rsidP="00811428">
      <w:pPr>
        <w:pStyle w:val="ESlet"/>
        <w:rPr>
          <w:rFonts w:cs="Arial"/>
          <w:lang w:val="en-US"/>
        </w:rPr>
      </w:pPr>
      <w:r w:rsidRPr="00C903F8">
        <w:rPr>
          <w:szCs w:val="20"/>
          <w:lang w:val="en-US"/>
        </w:rPr>
        <w:t>b)</w:t>
      </w:r>
      <w:r w:rsidR="006161E9" w:rsidRPr="00C903F8">
        <w:rPr>
          <w:szCs w:val="20"/>
          <w:lang w:val="en-US"/>
        </w:rPr>
        <w:tab/>
        <w:t>one washbasin with waste pipe and connected up to hot and cold potable water per accommodation unit or per four crew members;</w:t>
      </w:r>
    </w:p>
    <w:p w:rsidR="006161E9" w:rsidRPr="00C903F8" w:rsidRDefault="005C7859" w:rsidP="00811428">
      <w:pPr>
        <w:pStyle w:val="ESlet"/>
        <w:rPr>
          <w:rFonts w:cs="Arial"/>
          <w:lang w:val="en-US"/>
        </w:rPr>
      </w:pPr>
      <w:r w:rsidRPr="00C903F8">
        <w:rPr>
          <w:szCs w:val="20"/>
          <w:lang w:val="en-US"/>
        </w:rPr>
        <w:t>c)</w:t>
      </w:r>
      <w:r w:rsidR="006161E9" w:rsidRPr="00C903F8">
        <w:rPr>
          <w:szCs w:val="20"/>
          <w:lang w:val="en-US"/>
        </w:rPr>
        <w:tab/>
        <w:t>one shower or bath connected up to hot and cold potable water per accommodation unit or per six crew members.</w:t>
      </w:r>
    </w:p>
    <w:p w:rsidR="00811428" w:rsidRPr="00C903F8" w:rsidRDefault="00811428" w:rsidP="00811428">
      <w:pPr>
        <w:pStyle w:val="ESlet"/>
        <w:rPr>
          <w:szCs w:val="20"/>
          <w:lang w:val="en-US"/>
        </w:rPr>
      </w:pPr>
    </w:p>
    <w:p w:rsidR="00A60E37" w:rsidRPr="00C903F8" w:rsidRDefault="00A60E37" w:rsidP="00811428">
      <w:pPr>
        <w:pStyle w:val="ESlet"/>
        <w:rPr>
          <w:szCs w:val="20"/>
          <w:lang w:val="en-US"/>
        </w:rPr>
      </w:pPr>
      <w:r w:rsidRPr="00C903F8">
        <w:rPr>
          <w:szCs w:val="20"/>
          <w:lang w:val="en-US"/>
        </w:rPr>
        <w:br w:type="page"/>
      </w:r>
    </w:p>
    <w:p w:rsidR="006161E9" w:rsidRPr="00C903F8" w:rsidRDefault="006161E9" w:rsidP="00811428">
      <w:pPr>
        <w:pStyle w:val="ESch"/>
        <w:rPr>
          <w:rFonts w:cs="Arial"/>
          <w:szCs w:val="20"/>
          <w:lang w:val="en-US"/>
        </w:rPr>
      </w:pPr>
      <w:r w:rsidRPr="00C903F8">
        <w:rPr>
          <w:szCs w:val="20"/>
          <w:lang w:val="en-US"/>
        </w:rPr>
        <w:lastRenderedPageBreak/>
        <w:t>2.</w:t>
      </w:r>
      <w:r w:rsidRPr="00C903F8">
        <w:rPr>
          <w:szCs w:val="20"/>
          <w:lang w:val="en-US"/>
        </w:rPr>
        <w:tab/>
        <w:t>The sanitary installations shall be in close proximity to the accommodation. Toilets shall not have direct access to galleys, mess rooms or combined communal living quarters/galleys.</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3.</w:t>
      </w:r>
      <w:r w:rsidRPr="00C903F8">
        <w:rPr>
          <w:szCs w:val="20"/>
          <w:lang w:val="en-US"/>
        </w:rPr>
        <w:tab/>
        <w:t>Toilet compartments shall have a floor space of at least 1 m</w:t>
      </w:r>
      <w:r w:rsidRPr="00C903F8">
        <w:rPr>
          <w:szCs w:val="20"/>
          <w:vertAlign w:val="superscript"/>
          <w:lang w:val="en-US"/>
        </w:rPr>
        <w:t>2</w:t>
      </w:r>
      <w:r w:rsidRPr="00C903F8">
        <w:rPr>
          <w:szCs w:val="20"/>
          <w:lang w:val="en-US"/>
        </w:rPr>
        <w:t>, not less than 0,75 m wide and not less than 1,10 m long. Toilet compartments in sleeping cabins for no more than two persons may be smaller. Where a toilet contains a wash basin and/or shower, the floor space shall be increased at least by the floor space occupied by the wash basin and/or shower (or bath).</w:t>
      </w:r>
    </w:p>
    <w:p w:rsidR="006161E9" w:rsidRPr="00C903F8" w:rsidRDefault="006161E9" w:rsidP="00811428">
      <w:pPr>
        <w:pStyle w:val="ESch"/>
        <w:rPr>
          <w:rFonts w:cs="Arial"/>
          <w:szCs w:val="20"/>
          <w:lang w:val="en-US"/>
        </w:rPr>
      </w:pPr>
    </w:p>
    <w:p w:rsidR="00A60E37" w:rsidRPr="00C903F8" w:rsidRDefault="00A60E37" w:rsidP="00811428">
      <w:pPr>
        <w:pStyle w:val="ESch"/>
        <w:rPr>
          <w:rFonts w:cs="Arial"/>
          <w:szCs w:val="20"/>
          <w:lang w:val="en-US"/>
        </w:rPr>
      </w:pPr>
    </w:p>
    <w:p w:rsidR="006161E9" w:rsidRPr="00C903F8" w:rsidRDefault="006161E9" w:rsidP="00811428">
      <w:pPr>
        <w:pStyle w:val="ES-Titre3"/>
        <w:rPr>
          <w:i/>
          <w:lang w:val="en-US"/>
        </w:rPr>
      </w:pPr>
      <w:bookmarkStart w:id="140" w:name="_Toc491854128"/>
      <w:r w:rsidRPr="00C903F8">
        <w:rPr>
          <w:lang w:val="en-US"/>
        </w:rPr>
        <w:t>Article 15.04</w:t>
      </w:r>
      <w:r w:rsidRPr="00C903F8">
        <w:rPr>
          <w:lang w:val="en-US"/>
        </w:rPr>
        <w:br/>
      </w:r>
      <w:r w:rsidRPr="00C903F8">
        <w:rPr>
          <w:i/>
          <w:lang w:val="en-US"/>
        </w:rPr>
        <w:t>Galleys</w:t>
      </w:r>
      <w:bookmarkEnd w:id="140"/>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1.</w:t>
      </w:r>
      <w:r w:rsidRPr="00C903F8">
        <w:rPr>
          <w:szCs w:val="20"/>
          <w:lang w:val="en-US"/>
        </w:rPr>
        <w:tab/>
        <w:t>Galleys may be combined with communal living quarters.</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2.</w:t>
      </w:r>
      <w:r w:rsidRPr="00C903F8">
        <w:rPr>
          <w:szCs w:val="20"/>
          <w:lang w:val="en-US"/>
        </w:rPr>
        <w:tab/>
        <w:t>Galleys shall comprise:</w:t>
      </w:r>
    </w:p>
    <w:p w:rsidR="006161E9" w:rsidRPr="00C903F8" w:rsidRDefault="005C7859" w:rsidP="00811428">
      <w:pPr>
        <w:pStyle w:val="ESlet"/>
        <w:rPr>
          <w:rFonts w:cs="Arial"/>
          <w:lang w:val="en-US"/>
        </w:rPr>
      </w:pPr>
      <w:r w:rsidRPr="00C903F8">
        <w:rPr>
          <w:szCs w:val="20"/>
          <w:lang w:val="en-US"/>
        </w:rPr>
        <w:t>a)</w:t>
      </w:r>
      <w:r w:rsidR="006161E9" w:rsidRPr="00C903F8">
        <w:rPr>
          <w:szCs w:val="20"/>
          <w:lang w:val="en-US"/>
        </w:rPr>
        <w:tab/>
        <w:t>a cooker;</w:t>
      </w:r>
    </w:p>
    <w:p w:rsidR="006161E9" w:rsidRPr="00C903F8" w:rsidRDefault="005C7859" w:rsidP="00811428">
      <w:pPr>
        <w:pStyle w:val="ESlet"/>
        <w:rPr>
          <w:rFonts w:cs="Arial"/>
          <w:lang w:val="en-US"/>
        </w:rPr>
      </w:pPr>
      <w:r w:rsidRPr="00C903F8">
        <w:rPr>
          <w:szCs w:val="20"/>
          <w:lang w:val="en-US"/>
        </w:rPr>
        <w:t>b)</w:t>
      </w:r>
      <w:r w:rsidR="006161E9" w:rsidRPr="00C903F8">
        <w:rPr>
          <w:szCs w:val="20"/>
          <w:lang w:val="en-US"/>
        </w:rPr>
        <w:tab/>
        <w:t>a sink with waste connection;</w:t>
      </w:r>
    </w:p>
    <w:p w:rsidR="006161E9" w:rsidRPr="00C903F8" w:rsidRDefault="005C7859" w:rsidP="00811428">
      <w:pPr>
        <w:pStyle w:val="ESlet"/>
        <w:rPr>
          <w:rFonts w:cs="Arial"/>
          <w:lang w:val="en-US"/>
        </w:rPr>
      </w:pPr>
      <w:r w:rsidRPr="00C903F8">
        <w:rPr>
          <w:szCs w:val="20"/>
          <w:lang w:val="en-US"/>
        </w:rPr>
        <w:t>c)</w:t>
      </w:r>
      <w:r w:rsidR="006161E9" w:rsidRPr="00C903F8">
        <w:rPr>
          <w:szCs w:val="20"/>
          <w:lang w:val="en-US"/>
        </w:rPr>
        <w:tab/>
        <w:t>a supply of potable water;</w:t>
      </w:r>
    </w:p>
    <w:p w:rsidR="006161E9" w:rsidRPr="00C903F8" w:rsidRDefault="005C7859" w:rsidP="00811428">
      <w:pPr>
        <w:pStyle w:val="ESlet"/>
        <w:rPr>
          <w:rFonts w:cs="Arial"/>
          <w:lang w:val="en-US"/>
        </w:rPr>
      </w:pPr>
      <w:r w:rsidRPr="00C903F8">
        <w:rPr>
          <w:szCs w:val="20"/>
          <w:lang w:val="en-US"/>
        </w:rPr>
        <w:t>d)</w:t>
      </w:r>
      <w:r w:rsidR="006161E9" w:rsidRPr="00C903F8">
        <w:rPr>
          <w:szCs w:val="20"/>
          <w:lang w:val="en-US"/>
        </w:rPr>
        <w:tab/>
        <w:t>a refrigerator;</w:t>
      </w:r>
    </w:p>
    <w:p w:rsidR="006161E9" w:rsidRPr="00C903F8" w:rsidRDefault="0029453D" w:rsidP="00811428">
      <w:pPr>
        <w:pStyle w:val="ESlet"/>
        <w:rPr>
          <w:rFonts w:cs="Arial"/>
          <w:lang w:val="en-US"/>
        </w:rPr>
      </w:pPr>
      <w:r w:rsidRPr="00C903F8">
        <w:rPr>
          <w:szCs w:val="20"/>
          <w:lang w:val="en-US"/>
        </w:rPr>
        <w:t>e)</w:t>
      </w:r>
      <w:r w:rsidR="006161E9" w:rsidRPr="00C903F8">
        <w:rPr>
          <w:szCs w:val="20"/>
          <w:lang w:val="en-US"/>
        </w:rPr>
        <w:tab/>
        <w:t>sufficient storage and working space.</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3.</w:t>
      </w:r>
      <w:r w:rsidRPr="00C903F8">
        <w:rPr>
          <w:szCs w:val="20"/>
          <w:lang w:val="en-US"/>
        </w:rPr>
        <w:tab/>
        <w:t>The eating area of combined galleys/communal living quarters shall be large enough to accommodate the number of crew normally using it at the same time. Seats shall be not less than 0,60 m wide.</w:t>
      </w:r>
    </w:p>
    <w:p w:rsidR="006161E9" w:rsidRPr="00C903F8" w:rsidRDefault="006161E9" w:rsidP="00811428">
      <w:pPr>
        <w:pStyle w:val="ESch"/>
        <w:rPr>
          <w:rFonts w:cs="Arial"/>
          <w:szCs w:val="20"/>
          <w:lang w:val="en-US"/>
        </w:rPr>
      </w:pPr>
    </w:p>
    <w:p w:rsidR="00A60E37" w:rsidRPr="00C903F8" w:rsidRDefault="00A60E37" w:rsidP="00811428">
      <w:pPr>
        <w:pStyle w:val="ESch"/>
        <w:rPr>
          <w:rFonts w:cs="Arial"/>
          <w:szCs w:val="20"/>
          <w:lang w:val="en-US"/>
        </w:rPr>
      </w:pPr>
    </w:p>
    <w:p w:rsidR="006161E9" w:rsidRPr="00C903F8" w:rsidRDefault="006161E9" w:rsidP="00811428">
      <w:pPr>
        <w:pStyle w:val="ES-Titre3"/>
        <w:rPr>
          <w:i/>
          <w:lang w:val="en-US"/>
        </w:rPr>
      </w:pPr>
      <w:bookmarkStart w:id="141" w:name="_Toc491854129"/>
      <w:r w:rsidRPr="00C903F8">
        <w:rPr>
          <w:lang w:val="en-US"/>
        </w:rPr>
        <w:t>Article 15.05</w:t>
      </w:r>
      <w:r w:rsidRPr="00C903F8">
        <w:rPr>
          <w:lang w:val="en-US"/>
        </w:rPr>
        <w:br/>
      </w:r>
      <w:r w:rsidRPr="00C903F8">
        <w:rPr>
          <w:i/>
          <w:lang w:val="en-US"/>
        </w:rPr>
        <w:t>Potable water installations</w:t>
      </w:r>
      <w:bookmarkEnd w:id="141"/>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1.</w:t>
      </w:r>
      <w:r w:rsidRPr="00C903F8">
        <w:rPr>
          <w:szCs w:val="20"/>
          <w:lang w:val="en-US"/>
        </w:rPr>
        <w:tab/>
        <w:t>Vessels with accommodation shall have a potable water installation. Potable water tank filling apertures and potable water hoses shall be marked as being intended exclusively for potable water. Potable water filler necks shall be installed above the deck.</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2.</w:t>
      </w:r>
      <w:r w:rsidRPr="00C903F8">
        <w:rPr>
          <w:szCs w:val="20"/>
          <w:lang w:val="en-US"/>
        </w:rPr>
        <w:tab/>
        <w:t>Potable water installations shall:</w:t>
      </w:r>
    </w:p>
    <w:p w:rsidR="006161E9" w:rsidRPr="00C903F8" w:rsidRDefault="005C7859" w:rsidP="00811428">
      <w:pPr>
        <w:pStyle w:val="ESlet"/>
        <w:rPr>
          <w:rFonts w:cs="Arial"/>
          <w:lang w:val="en-US"/>
        </w:rPr>
      </w:pPr>
      <w:r w:rsidRPr="00C903F8">
        <w:rPr>
          <w:szCs w:val="20"/>
          <w:lang w:val="en-US"/>
        </w:rPr>
        <w:t>a)</w:t>
      </w:r>
      <w:r w:rsidR="006161E9" w:rsidRPr="00C903F8">
        <w:rPr>
          <w:szCs w:val="20"/>
          <w:lang w:val="en-US"/>
        </w:rPr>
        <w:tab/>
        <w:t>on their inner surfaces</w:t>
      </w:r>
      <w:r w:rsidR="006B4919">
        <w:rPr>
          <w:szCs w:val="20"/>
          <w:lang w:val="en-US"/>
        </w:rPr>
        <w:t>,</w:t>
      </w:r>
      <w:r w:rsidR="006161E9" w:rsidRPr="00C903F8">
        <w:rPr>
          <w:szCs w:val="20"/>
          <w:lang w:val="en-US"/>
        </w:rPr>
        <w:t xml:space="preserve"> be made of a material which resists corrosion and poses no physiological danger;</w:t>
      </w:r>
    </w:p>
    <w:p w:rsidR="006161E9" w:rsidRPr="00C903F8" w:rsidRDefault="005C7859" w:rsidP="00811428">
      <w:pPr>
        <w:pStyle w:val="ESlet"/>
        <w:rPr>
          <w:rFonts w:cs="Arial"/>
          <w:lang w:val="en-US"/>
        </w:rPr>
      </w:pPr>
      <w:r w:rsidRPr="00C903F8">
        <w:rPr>
          <w:szCs w:val="20"/>
          <w:lang w:val="en-US"/>
        </w:rPr>
        <w:t>b)</w:t>
      </w:r>
      <w:r w:rsidR="006161E9" w:rsidRPr="00C903F8">
        <w:rPr>
          <w:szCs w:val="20"/>
          <w:lang w:val="en-US"/>
        </w:rPr>
        <w:tab/>
        <w:t>be free of pipe sections where a regular flow of water is not guaranteed, and</w:t>
      </w:r>
    </w:p>
    <w:p w:rsidR="006161E9" w:rsidRPr="00C903F8" w:rsidRDefault="005C7859" w:rsidP="00811428">
      <w:pPr>
        <w:pStyle w:val="ESlet"/>
        <w:rPr>
          <w:rFonts w:cs="Arial"/>
          <w:lang w:val="en-US"/>
        </w:rPr>
      </w:pPr>
      <w:r w:rsidRPr="00C903F8">
        <w:rPr>
          <w:szCs w:val="20"/>
          <w:lang w:val="en-US"/>
        </w:rPr>
        <w:t>c)</w:t>
      </w:r>
      <w:r w:rsidR="006161E9" w:rsidRPr="00C903F8">
        <w:rPr>
          <w:szCs w:val="20"/>
          <w:lang w:val="en-US"/>
        </w:rPr>
        <w:tab/>
        <w:t>be protected against excessive heating.</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3.</w:t>
      </w:r>
      <w:r w:rsidRPr="00C903F8">
        <w:rPr>
          <w:szCs w:val="20"/>
          <w:lang w:val="en-US"/>
        </w:rPr>
        <w:tab/>
        <w:t xml:space="preserve">In addition to </w:t>
      </w:r>
      <w:r w:rsidR="00FD1E75" w:rsidRPr="00C903F8">
        <w:rPr>
          <w:szCs w:val="20"/>
          <w:lang w:val="en-US"/>
        </w:rPr>
        <w:t>(</w:t>
      </w:r>
      <w:r w:rsidRPr="00C903F8">
        <w:rPr>
          <w:szCs w:val="20"/>
          <w:lang w:val="en-US"/>
        </w:rPr>
        <w:t>2</w:t>
      </w:r>
      <w:r w:rsidR="00FD1E75" w:rsidRPr="00C903F8">
        <w:rPr>
          <w:szCs w:val="20"/>
          <w:lang w:val="en-US"/>
        </w:rPr>
        <w:t>)</w:t>
      </w:r>
      <w:r w:rsidRPr="00C903F8">
        <w:rPr>
          <w:szCs w:val="20"/>
          <w:lang w:val="en-US"/>
        </w:rPr>
        <w:t>, potable water tanks shall:</w:t>
      </w:r>
    </w:p>
    <w:p w:rsidR="006161E9" w:rsidRPr="00C903F8" w:rsidRDefault="005C7859" w:rsidP="00811428">
      <w:pPr>
        <w:pStyle w:val="ESlet"/>
        <w:rPr>
          <w:rFonts w:cs="Arial"/>
          <w:lang w:val="en-US"/>
        </w:rPr>
      </w:pPr>
      <w:r w:rsidRPr="00C903F8">
        <w:rPr>
          <w:szCs w:val="20"/>
          <w:lang w:val="en-US"/>
        </w:rPr>
        <w:t>a)</w:t>
      </w:r>
      <w:r w:rsidR="006161E9" w:rsidRPr="00C903F8">
        <w:rPr>
          <w:szCs w:val="20"/>
          <w:lang w:val="en-US"/>
        </w:rPr>
        <w:tab/>
        <w:t>have a capacity of at least 150 l</w:t>
      </w:r>
      <w:r w:rsidR="00E22349" w:rsidRPr="00C903F8">
        <w:rPr>
          <w:szCs w:val="20"/>
          <w:lang w:val="en-US"/>
        </w:rPr>
        <w:t>itres</w:t>
      </w:r>
      <w:r w:rsidR="006161E9" w:rsidRPr="00C903F8">
        <w:rPr>
          <w:szCs w:val="20"/>
          <w:lang w:val="en-US"/>
        </w:rPr>
        <w:t xml:space="preserve"> per person normally living on board, and at least per </w:t>
      </w:r>
      <w:r w:rsidR="00393255" w:rsidRPr="00C903F8">
        <w:rPr>
          <w:szCs w:val="20"/>
          <w:lang w:val="en-US"/>
        </w:rPr>
        <w:t xml:space="preserve">crew </w:t>
      </w:r>
      <w:r w:rsidR="006161E9" w:rsidRPr="00C903F8">
        <w:rPr>
          <w:szCs w:val="20"/>
          <w:lang w:val="en-US"/>
        </w:rPr>
        <w:t>member;</w:t>
      </w:r>
    </w:p>
    <w:p w:rsidR="006161E9" w:rsidRPr="00C903F8" w:rsidRDefault="005C7859" w:rsidP="00811428">
      <w:pPr>
        <w:pStyle w:val="ESlet"/>
        <w:rPr>
          <w:rFonts w:cs="Arial"/>
          <w:lang w:val="en-US"/>
        </w:rPr>
      </w:pPr>
      <w:r w:rsidRPr="00C903F8">
        <w:rPr>
          <w:szCs w:val="20"/>
          <w:lang w:val="en-US"/>
        </w:rPr>
        <w:t>b)</w:t>
      </w:r>
      <w:r w:rsidR="006161E9" w:rsidRPr="00C903F8">
        <w:rPr>
          <w:szCs w:val="20"/>
          <w:lang w:val="en-US"/>
        </w:rPr>
        <w:tab/>
        <w:t>have a suitable, lockable opening to enable the inside to be cleaned;</w:t>
      </w:r>
    </w:p>
    <w:p w:rsidR="006161E9" w:rsidRPr="00C903F8" w:rsidRDefault="005C7859" w:rsidP="00811428">
      <w:pPr>
        <w:pStyle w:val="ESlet"/>
        <w:rPr>
          <w:rFonts w:cs="Arial"/>
          <w:lang w:val="en-US"/>
        </w:rPr>
      </w:pPr>
      <w:r w:rsidRPr="00C903F8">
        <w:rPr>
          <w:szCs w:val="20"/>
          <w:lang w:val="en-US"/>
        </w:rPr>
        <w:t>c)</w:t>
      </w:r>
      <w:r w:rsidR="006161E9" w:rsidRPr="00C903F8">
        <w:rPr>
          <w:szCs w:val="20"/>
          <w:lang w:val="en-US"/>
        </w:rPr>
        <w:tab/>
        <w:t>have a water level indicator;</w:t>
      </w:r>
    </w:p>
    <w:p w:rsidR="006161E9" w:rsidRPr="00C903F8" w:rsidRDefault="005C7859" w:rsidP="00811428">
      <w:pPr>
        <w:pStyle w:val="ESlet"/>
        <w:rPr>
          <w:rFonts w:cs="Arial"/>
          <w:lang w:val="en-US"/>
        </w:rPr>
      </w:pPr>
      <w:r w:rsidRPr="00C903F8">
        <w:rPr>
          <w:szCs w:val="20"/>
          <w:lang w:val="en-US"/>
        </w:rPr>
        <w:t>d)</w:t>
      </w:r>
      <w:r w:rsidR="006161E9" w:rsidRPr="00C903F8">
        <w:rPr>
          <w:szCs w:val="20"/>
          <w:lang w:val="en-US"/>
        </w:rPr>
        <w:tab/>
        <w:t>have ventilation pipes which lead to the open air or are fitted with appropriate filters.</w:t>
      </w:r>
    </w:p>
    <w:p w:rsidR="00811428" w:rsidRPr="00C903F8" w:rsidRDefault="00811428" w:rsidP="00811428">
      <w:pPr>
        <w:pStyle w:val="ESch"/>
        <w:rPr>
          <w:szCs w:val="20"/>
          <w:lang w:val="en-US"/>
        </w:rPr>
      </w:pPr>
    </w:p>
    <w:p w:rsidR="00A60E37" w:rsidRPr="00C903F8" w:rsidRDefault="00A60E37" w:rsidP="00811428">
      <w:pPr>
        <w:pStyle w:val="ESch"/>
        <w:rPr>
          <w:szCs w:val="20"/>
          <w:lang w:val="en-US"/>
        </w:rPr>
      </w:pPr>
      <w:r w:rsidRPr="00C903F8">
        <w:rPr>
          <w:szCs w:val="20"/>
          <w:lang w:val="en-US"/>
        </w:rPr>
        <w:br w:type="page"/>
      </w:r>
    </w:p>
    <w:p w:rsidR="006161E9" w:rsidRPr="00C903F8" w:rsidRDefault="006161E9" w:rsidP="00811428">
      <w:pPr>
        <w:pStyle w:val="ESch"/>
        <w:rPr>
          <w:rFonts w:cs="Arial"/>
          <w:szCs w:val="20"/>
          <w:lang w:val="en-US"/>
        </w:rPr>
      </w:pPr>
      <w:r w:rsidRPr="00C903F8">
        <w:rPr>
          <w:szCs w:val="20"/>
          <w:lang w:val="en-US"/>
        </w:rPr>
        <w:lastRenderedPageBreak/>
        <w:t>4.</w:t>
      </w:r>
      <w:r w:rsidRPr="00C903F8">
        <w:rPr>
          <w:szCs w:val="20"/>
          <w:lang w:val="en-US"/>
        </w:rPr>
        <w:tab/>
        <w:t>Potable water tanks shall not share walls with other tanks. Potable water pipes shall not pass through tanks containing other liquids. Connections are not permitted between the potable water supply system and other pipes. Pipes carrying gas or liquids other than potable water shall not pass through potable water tanks.</w:t>
      </w:r>
    </w:p>
    <w:p w:rsidR="00811428" w:rsidRPr="00C903F8" w:rsidRDefault="00811428" w:rsidP="00811428">
      <w:pPr>
        <w:pStyle w:val="ESch"/>
        <w:rPr>
          <w:szCs w:val="20"/>
          <w:lang w:val="en-US"/>
        </w:rPr>
      </w:pPr>
    </w:p>
    <w:p w:rsidR="006161E9" w:rsidRPr="00C903F8" w:rsidRDefault="006161E9" w:rsidP="00811428">
      <w:pPr>
        <w:pStyle w:val="ESch"/>
        <w:rPr>
          <w:szCs w:val="20"/>
          <w:lang w:val="en-US"/>
        </w:rPr>
      </w:pPr>
      <w:r w:rsidRPr="00C903F8">
        <w:rPr>
          <w:szCs w:val="20"/>
          <w:lang w:val="en-US"/>
        </w:rPr>
        <w:t>5.</w:t>
      </w:r>
      <w:r w:rsidRPr="00C903F8">
        <w:rPr>
          <w:szCs w:val="20"/>
          <w:lang w:val="en-US"/>
        </w:rPr>
        <w:tab/>
        <w:t>Potable water pressure vessels shall operate only on uncontaminated compressed air. Where it is produced by means of compressors, appropriate air filters and oil separators shall be installed directly in front of the pressure vessel unless the water and the air are separated by a diaphragm.</w:t>
      </w:r>
    </w:p>
    <w:p w:rsidR="00811428" w:rsidRPr="00C903F8" w:rsidRDefault="00811428" w:rsidP="00811428">
      <w:pPr>
        <w:pStyle w:val="ESch"/>
        <w:rPr>
          <w:szCs w:val="20"/>
          <w:lang w:val="en-US"/>
        </w:rPr>
      </w:pPr>
    </w:p>
    <w:p w:rsidR="00811428" w:rsidRPr="00C903F8" w:rsidRDefault="00811428" w:rsidP="00811428">
      <w:pPr>
        <w:pStyle w:val="ESch"/>
        <w:rPr>
          <w:rFonts w:cs="Arial"/>
          <w:szCs w:val="20"/>
          <w:lang w:val="en-US"/>
        </w:rPr>
      </w:pPr>
    </w:p>
    <w:p w:rsidR="006161E9" w:rsidRPr="00C903F8" w:rsidRDefault="006161E9" w:rsidP="00811428">
      <w:pPr>
        <w:pStyle w:val="ES-Titre3"/>
        <w:rPr>
          <w:i/>
          <w:lang w:val="en-US"/>
        </w:rPr>
      </w:pPr>
      <w:bookmarkStart w:id="142" w:name="_Toc491854130"/>
      <w:r w:rsidRPr="00C903F8">
        <w:rPr>
          <w:lang w:val="en-US"/>
        </w:rPr>
        <w:t>Article 15.06</w:t>
      </w:r>
      <w:r w:rsidRPr="00C903F8">
        <w:rPr>
          <w:lang w:val="en-US"/>
        </w:rPr>
        <w:br/>
      </w:r>
      <w:r w:rsidRPr="00C903F8">
        <w:rPr>
          <w:i/>
          <w:lang w:val="en-US"/>
        </w:rPr>
        <w:t>Heating and ventilation</w:t>
      </w:r>
      <w:bookmarkEnd w:id="142"/>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1.</w:t>
      </w:r>
      <w:r w:rsidRPr="00C903F8">
        <w:rPr>
          <w:szCs w:val="20"/>
          <w:lang w:val="en-US"/>
        </w:rPr>
        <w:tab/>
        <w:t>It shall be possible to heat accommodation in accordance with its intended use. Heating installations shall be appropriate for the weather conditions which may arise.</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2.</w:t>
      </w:r>
      <w:r w:rsidRPr="00C903F8">
        <w:rPr>
          <w:szCs w:val="20"/>
          <w:lang w:val="en-US"/>
        </w:rPr>
        <w:tab/>
        <w:t>It shall be possible to ventilate the communal living quarters and sleeping cabins adequately even when the doors are closed. Ventilation shall ensure adequate air circulation in all climatic conditions.</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3.</w:t>
      </w:r>
      <w:r w:rsidRPr="00C903F8">
        <w:rPr>
          <w:szCs w:val="20"/>
          <w:lang w:val="en-US"/>
        </w:rPr>
        <w:tab/>
        <w:t>The accommodation shall be so designed and arranged as to prevent as far as possible the entry of foul air from other areas of the vessel such as engine rooms or holds; where forced-air ventilation is used, the intake vents shall be so placed as to satisfy the above requirements.</w:t>
      </w:r>
    </w:p>
    <w:p w:rsidR="006161E9" w:rsidRPr="00C903F8" w:rsidRDefault="006161E9" w:rsidP="00811428">
      <w:pPr>
        <w:pStyle w:val="ESch"/>
        <w:rPr>
          <w:rFonts w:cs="Arial"/>
          <w:i/>
          <w:szCs w:val="20"/>
          <w:lang w:val="en-US"/>
        </w:rPr>
      </w:pPr>
    </w:p>
    <w:p w:rsidR="00811428" w:rsidRPr="00C903F8" w:rsidRDefault="00811428" w:rsidP="00811428">
      <w:pPr>
        <w:pStyle w:val="ESch"/>
        <w:rPr>
          <w:rFonts w:cs="Arial"/>
          <w:i/>
          <w:szCs w:val="20"/>
          <w:lang w:val="en-US"/>
        </w:rPr>
      </w:pPr>
    </w:p>
    <w:p w:rsidR="006161E9" w:rsidRPr="00C903F8" w:rsidRDefault="006161E9" w:rsidP="00811428">
      <w:pPr>
        <w:pStyle w:val="ES-Titre3"/>
        <w:rPr>
          <w:i/>
          <w:lang w:val="en-US"/>
        </w:rPr>
      </w:pPr>
      <w:bookmarkStart w:id="143" w:name="_Toc491854131"/>
      <w:r w:rsidRPr="00C903F8">
        <w:rPr>
          <w:lang w:val="en-US"/>
        </w:rPr>
        <w:t>Article 15.07</w:t>
      </w:r>
      <w:r w:rsidRPr="00C903F8">
        <w:rPr>
          <w:lang w:val="en-US"/>
        </w:rPr>
        <w:br/>
      </w:r>
      <w:r w:rsidRPr="00C903F8">
        <w:rPr>
          <w:i/>
          <w:lang w:val="en-US"/>
        </w:rPr>
        <w:t>Other accommodation installations</w:t>
      </w:r>
      <w:bookmarkEnd w:id="143"/>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1.</w:t>
      </w:r>
      <w:r w:rsidRPr="00C903F8">
        <w:rPr>
          <w:szCs w:val="20"/>
          <w:lang w:val="en-US"/>
        </w:rPr>
        <w:tab/>
        <w:t>Each crew member living on board shall have an individual berth and an individual clothes locker fitted with a lock. The internal measurements of the berth shall be not less than 2,00</w:t>
      </w:r>
      <w:r w:rsidR="00393255" w:rsidRPr="00C903F8">
        <w:rPr>
          <w:szCs w:val="20"/>
          <w:lang w:val="en-US"/>
        </w:rPr>
        <w:t xml:space="preserve"> m long and</w:t>
      </w:r>
      <w:r w:rsidRPr="00C903F8">
        <w:rPr>
          <w:szCs w:val="20"/>
          <w:lang w:val="en-US"/>
        </w:rPr>
        <w:t> 0,90 m</w:t>
      </w:r>
      <w:r w:rsidR="00393255" w:rsidRPr="00C903F8">
        <w:rPr>
          <w:szCs w:val="20"/>
          <w:lang w:val="en-US"/>
        </w:rPr>
        <w:t xml:space="preserve"> wide.</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2.</w:t>
      </w:r>
      <w:r w:rsidRPr="00C903F8">
        <w:rPr>
          <w:szCs w:val="20"/>
          <w:lang w:val="en-US"/>
        </w:rPr>
        <w:tab/>
        <w:t>Suitable places for storing and drying work clothes shall be provided, but not in the sleeping quarters.</w:t>
      </w:r>
    </w:p>
    <w:p w:rsidR="00811428" w:rsidRPr="00C903F8" w:rsidRDefault="00811428" w:rsidP="00811428">
      <w:pPr>
        <w:pStyle w:val="ESch"/>
        <w:rPr>
          <w:szCs w:val="20"/>
          <w:lang w:val="en-US"/>
        </w:rPr>
      </w:pPr>
    </w:p>
    <w:p w:rsidR="006161E9" w:rsidRPr="00C903F8" w:rsidRDefault="006161E9" w:rsidP="00811428">
      <w:pPr>
        <w:pStyle w:val="ESch"/>
        <w:rPr>
          <w:rFonts w:cs="Arial"/>
          <w:szCs w:val="20"/>
          <w:lang w:val="en-US"/>
        </w:rPr>
      </w:pPr>
      <w:r w:rsidRPr="00C903F8">
        <w:rPr>
          <w:szCs w:val="20"/>
          <w:lang w:val="en-US"/>
        </w:rPr>
        <w:t>3.</w:t>
      </w:r>
      <w:r w:rsidRPr="00C903F8">
        <w:rPr>
          <w:szCs w:val="20"/>
          <w:lang w:val="en-US"/>
        </w:rPr>
        <w:tab/>
        <w:t>All accommodation areas shall be fitted with electric lighting. Additional lamps using gas or liquid fuel may only be used in communal living quarters. Lighting devices using liquid fuel shall be made of metal and shall burn only fuels with a flash point above 55 °C or commercial paraffin oil. They shall be placed or attached so as not to constitute a fire hazard.</w:t>
      </w:r>
    </w:p>
    <w:p w:rsidR="00AE4E9D" w:rsidRPr="00C903F8" w:rsidRDefault="00AE4E9D" w:rsidP="00811428">
      <w:pPr>
        <w:pStyle w:val="ESch"/>
        <w:rPr>
          <w:szCs w:val="20"/>
          <w:lang w:val="en-US"/>
        </w:rPr>
      </w:pPr>
    </w:p>
    <w:p w:rsidR="00260F40" w:rsidRPr="00C903F8" w:rsidRDefault="00260F40" w:rsidP="00811428">
      <w:pPr>
        <w:pStyle w:val="ESch"/>
        <w:rPr>
          <w:szCs w:val="20"/>
          <w:lang w:val="en-US"/>
        </w:rPr>
      </w:pPr>
    </w:p>
    <w:p w:rsidR="00260F40" w:rsidRPr="00C903F8" w:rsidRDefault="00260F40" w:rsidP="00260F40">
      <w:pPr>
        <w:pStyle w:val="ES-Titre2"/>
        <w:rPr>
          <w:szCs w:val="24"/>
        </w:rPr>
      </w:pPr>
      <w:bookmarkStart w:id="144" w:name="_Toc491854132"/>
      <w:r w:rsidRPr="00C903F8">
        <w:lastRenderedPageBreak/>
        <w:t>Chapter 16</w:t>
      </w:r>
      <w:r w:rsidRPr="00C903F8">
        <w:br/>
      </w:r>
      <w:r w:rsidRPr="00C903F8">
        <w:rPr>
          <w:szCs w:val="24"/>
        </w:rPr>
        <w:t>Fuel-fired heating, cooking and refrigerating equipment</w:t>
      </w:r>
      <w:bookmarkEnd w:id="144"/>
    </w:p>
    <w:p w:rsidR="00260F40" w:rsidRPr="00C903F8" w:rsidRDefault="00260F40" w:rsidP="00260F40">
      <w:pPr>
        <w:rPr>
          <w:lang w:val="en-US" w:eastAsia="en-US"/>
        </w:rPr>
      </w:pPr>
    </w:p>
    <w:p w:rsidR="00260F40" w:rsidRPr="00C903F8" w:rsidRDefault="00260F40" w:rsidP="00260F40">
      <w:pPr>
        <w:pStyle w:val="ES-Titre3"/>
        <w:rPr>
          <w:lang w:val="en-US"/>
        </w:rPr>
      </w:pPr>
      <w:bookmarkStart w:id="145" w:name="_Toc491854133"/>
      <w:r w:rsidRPr="00C903F8">
        <w:rPr>
          <w:noProof/>
          <w:lang w:val="en-US"/>
        </w:rPr>
        <w:t>Article 16.01</w:t>
      </w:r>
      <w:r w:rsidRPr="00C903F8">
        <w:rPr>
          <w:noProof/>
          <w:lang w:val="en-US"/>
        </w:rPr>
        <w:br/>
      </w:r>
      <w:r w:rsidRPr="00C903F8">
        <w:rPr>
          <w:bCs/>
          <w:i/>
          <w:noProof/>
          <w:lang w:val="en-US"/>
        </w:rPr>
        <w:t>General</w:t>
      </w:r>
      <w:bookmarkEnd w:id="145"/>
    </w:p>
    <w:p w:rsidR="00260F40" w:rsidRPr="00C903F8" w:rsidRDefault="00260F40" w:rsidP="00811428">
      <w:pPr>
        <w:pStyle w:val="ESch"/>
        <w:rPr>
          <w:szCs w:val="20"/>
          <w:lang w:val="en-US"/>
        </w:rPr>
      </w:pPr>
    </w:p>
    <w:p w:rsidR="00260F40" w:rsidRPr="00C903F8" w:rsidRDefault="00260F40" w:rsidP="00260F40">
      <w:pPr>
        <w:pStyle w:val="ESch"/>
        <w:rPr>
          <w:rFonts w:cs="Arial"/>
          <w:lang w:val="en-US"/>
        </w:rPr>
      </w:pPr>
      <w:r w:rsidRPr="00C903F8">
        <w:rPr>
          <w:noProof/>
          <w:lang w:val="en-US"/>
        </w:rPr>
        <w:t>1.</w:t>
      </w:r>
      <w:r w:rsidRPr="00C903F8">
        <w:rPr>
          <w:noProof/>
          <w:lang w:val="en-US"/>
        </w:rPr>
        <w:tab/>
        <w:t>Heating, cooking and refrigeration equipment running on liquefied gas shall meet the requirements of Chapter 17.</w:t>
      </w:r>
    </w:p>
    <w:p w:rsidR="00260F40" w:rsidRPr="00C903F8" w:rsidRDefault="00260F40" w:rsidP="00260F40">
      <w:pPr>
        <w:pStyle w:val="ESch"/>
        <w:rPr>
          <w:noProof/>
          <w:lang w:val="en-US"/>
        </w:rPr>
      </w:pPr>
    </w:p>
    <w:p w:rsidR="00260F40" w:rsidRPr="00C903F8" w:rsidRDefault="00260F40" w:rsidP="00260F40">
      <w:pPr>
        <w:pStyle w:val="ESch"/>
        <w:rPr>
          <w:rFonts w:cs="Arial"/>
          <w:lang w:val="en-US"/>
        </w:rPr>
      </w:pPr>
      <w:r w:rsidRPr="00C903F8">
        <w:rPr>
          <w:noProof/>
          <w:lang w:val="en-US"/>
        </w:rPr>
        <w:t>2.</w:t>
      </w:r>
      <w:r w:rsidRPr="00C903F8">
        <w:rPr>
          <w:noProof/>
          <w:lang w:val="en-US"/>
        </w:rPr>
        <w:tab/>
        <w:t>Heating, cooking and refrigeration equipment, together with its accessories, shall be so designed and installed that it is not dangerous even in the event of overheating. It shall be so installed that it cannot overturn or be moved accidentally.</w:t>
      </w:r>
    </w:p>
    <w:p w:rsidR="00260F40" w:rsidRPr="00C903F8" w:rsidRDefault="00260F40" w:rsidP="00260F40">
      <w:pPr>
        <w:pStyle w:val="ESch"/>
        <w:rPr>
          <w:noProof/>
          <w:lang w:val="en-US"/>
        </w:rPr>
      </w:pPr>
    </w:p>
    <w:p w:rsidR="00260F40" w:rsidRPr="00C903F8" w:rsidRDefault="00260F40" w:rsidP="00260F40">
      <w:pPr>
        <w:pStyle w:val="ESch"/>
        <w:rPr>
          <w:rFonts w:cs="Arial"/>
          <w:lang w:val="en-US"/>
        </w:rPr>
      </w:pPr>
      <w:r w:rsidRPr="00C903F8">
        <w:rPr>
          <w:noProof/>
          <w:lang w:val="en-US"/>
        </w:rPr>
        <w:t>3.</w:t>
      </w:r>
      <w:r w:rsidRPr="00C903F8">
        <w:rPr>
          <w:noProof/>
          <w:lang w:val="en-US"/>
        </w:rPr>
        <w:tab/>
        <w:t xml:space="preserve">The equipment referred to in </w:t>
      </w:r>
      <w:r w:rsidR="00FD1E75" w:rsidRPr="00C903F8">
        <w:rPr>
          <w:noProof/>
          <w:lang w:val="en-US"/>
        </w:rPr>
        <w:t>(</w:t>
      </w:r>
      <w:r w:rsidRPr="00C903F8">
        <w:rPr>
          <w:noProof/>
          <w:lang w:val="en-US"/>
        </w:rPr>
        <w:t>2</w:t>
      </w:r>
      <w:r w:rsidR="00FD1E75" w:rsidRPr="00C903F8">
        <w:rPr>
          <w:noProof/>
          <w:lang w:val="en-US"/>
        </w:rPr>
        <w:t>)</w:t>
      </w:r>
      <w:r w:rsidRPr="00C903F8">
        <w:rPr>
          <w:noProof/>
          <w:lang w:val="en-US"/>
        </w:rPr>
        <w:t xml:space="preserve"> shall not be installed in areas in which substances with a flash point below 55 °C are used or stored. No flues from these installations may pass through such areas.</w:t>
      </w:r>
    </w:p>
    <w:p w:rsidR="00260F40" w:rsidRPr="00C903F8" w:rsidRDefault="00260F40" w:rsidP="00260F40">
      <w:pPr>
        <w:pStyle w:val="ESch"/>
        <w:rPr>
          <w:noProof/>
          <w:lang w:val="en-US"/>
        </w:rPr>
      </w:pPr>
    </w:p>
    <w:p w:rsidR="00260F40" w:rsidRPr="00C903F8" w:rsidRDefault="00260F40" w:rsidP="00260F40">
      <w:pPr>
        <w:pStyle w:val="ESch"/>
        <w:rPr>
          <w:rFonts w:cs="Arial"/>
          <w:lang w:val="en-US"/>
        </w:rPr>
      </w:pPr>
      <w:r w:rsidRPr="00C903F8">
        <w:rPr>
          <w:noProof/>
          <w:lang w:val="en-US"/>
        </w:rPr>
        <w:t>4.</w:t>
      </w:r>
      <w:r w:rsidRPr="00C903F8">
        <w:rPr>
          <w:noProof/>
          <w:lang w:val="en-US"/>
        </w:rPr>
        <w:tab/>
        <w:t>The supply of air necessary for combustion shall be ensured.</w:t>
      </w:r>
    </w:p>
    <w:p w:rsidR="00260F40" w:rsidRPr="00C903F8" w:rsidRDefault="00260F40" w:rsidP="00260F40">
      <w:pPr>
        <w:pStyle w:val="ESch"/>
        <w:rPr>
          <w:noProof/>
          <w:lang w:val="en-US"/>
        </w:rPr>
      </w:pPr>
    </w:p>
    <w:p w:rsidR="00260F40" w:rsidRPr="00C903F8" w:rsidRDefault="00260F40" w:rsidP="00260F40">
      <w:pPr>
        <w:pStyle w:val="ESch"/>
        <w:rPr>
          <w:rFonts w:cs="Arial"/>
          <w:lang w:val="en-US"/>
        </w:rPr>
      </w:pPr>
      <w:r w:rsidRPr="00C903F8">
        <w:rPr>
          <w:noProof/>
          <w:lang w:val="en-US"/>
        </w:rPr>
        <w:t>5.</w:t>
      </w:r>
      <w:r w:rsidRPr="00C903F8">
        <w:rPr>
          <w:noProof/>
          <w:lang w:val="en-US"/>
        </w:rPr>
        <w:tab/>
        <w:t>Heating appliances shall be securely connected to flues, which shall be fitted with suitable cowls or devices affording protection against the wind. They shall be arranged in such a manner as to permit cleaning.</w:t>
      </w:r>
    </w:p>
    <w:p w:rsidR="00260F40" w:rsidRPr="00C903F8" w:rsidRDefault="00260F40" w:rsidP="00260F40">
      <w:pPr>
        <w:pStyle w:val="ESch"/>
        <w:rPr>
          <w:rFonts w:cs="Arial"/>
          <w:lang w:val="en-US"/>
        </w:rPr>
      </w:pPr>
    </w:p>
    <w:p w:rsidR="00260F40" w:rsidRPr="00C903F8" w:rsidRDefault="00260F40" w:rsidP="00260F40">
      <w:pPr>
        <w:pStyle w:val="ESch"/>
        <w:rPr>
          <w:rFonts w:cs="Arial"/>
          <w:lang w:val="en-US"/>
        </w:rPr>
      </w:pPr>
    </w:p>
    <w:p w:rsidR="00260F40" w:rsidRPr="00C903F8" w:rsidRDefault="00260F40" w:rsidP="00260F40">
      <w:pPr>
        <w:pStyle w:val="ES-Titre3"/>
        <w:rPr>
          <w:rFonts w:cs="Arial"/>
          <w:i/>
          <w:lang w:val="en-US"/>
        </w:rPr>
      </w:pPr>
      <w:bookmarkStart w:id="146" w:name="_Toc491854134"/>
      <w:r w:rsidRPr="00C903F8">
        <w:rPr>
          <w:noProof/>
          <w:lang w:val="en-US"/>
        </w:rPr>
        <w:t>Article 16.02</w:t>
      </w:r>
      <w:r w:rsidRPr="00C903F8">
        <w:rPr>
          <w:noProof/>
          <w:lang w:val="en-US"/>
        </w:rPr>
        <w:br/>
      </w:r>
      <w:r w:rsidRPr="00C903F8">
        <w:rPr>
          <w:i/>
          <w:noProof/>
          <w:lang w:val="en-US"/>
        </w:rPr>
        <w:t>Use of liquid fuels, oil-fired equipment</w:t>
      </w:r>
      <w:bookmarkEnd w:id="146"/>
    </w:p>
    <w:p w:rsidR="00260F40" w:rsidRPr="00C903F8" w:rsidRDefault="00260F40" w:rsidP="00260F40">
      <w:pPr>
        <w:pStyle w:val="ESch"/>
        <w:rPr>
          <w:noProof/>
          <w:lang w:val="en-US"/>
        </w:rPr>
      </w:pPr>
    </w:p>
    <w:p w:rsidR="00260F40" w:rsidRPr="00C903F8" w:rsidRDefault="00260F40" w:rsidP="00260F40">
      <w:pPr>
        <w:pStyle w:val="ESch"/>
        <w:rPr>
          <w:rFonts w:cs="Arial"/>
          <w:lang w:val="en-US"/>
        </w:rPr>
      </w:pPr>
      <w:r w:rsidRPr="00C903F8">
        <w:rPr>
          <w:noProof/>
          <w:lang w:val="en-US"/>
        </w:rPr>
        <w:t>1.</w:t>
      </w:r>
      <w:r w:rsidRPr="00C903F8">
        <w:rPr>
          <w:noProof/>
          <w:lang w:val="en-US"/>
        </w:rPr>
        <w:tab/>
        <w:t>Heating, cooking and refrigeration equipment which uses liquid fuel may be operated only with fuels whose flash point is above 55 °C.</w:t>
      </w:r>
    </w:p>
    <w:p w:rsidR="00260F40" w:rsidRPr="00C903F8" w:rsidRDefault="00260F40" w:rsidP="00260F40">
      <w:pPr>
        <w:pStyle w:val="ESch"/>
        <w:rPr>
          <w:noProof/>
          <w:lang w:val="en-US"/>
        </w:rPr>
      </w:pPr>
    </w:p>
    <w:p w:rsidR="00260F40" w:rsidRPr="00C903F8" w:rsidRDefault="00260F40" w:rsidP="00260F40">
      <w:pPr>
        <w:pStyle w:val="ESch"/>
        <w:rPr>
          <w:rFonts w:cs="Arial"/>
          <w:lang w:val="en-US"/>
        </w:rPr>
      </w:pPr>
      <w:r w:rsidRPr="00C903F8">
        <w:rPr>
          <w:noProof/>
          <w:lang w:val="en-US"/>
        </w:rPr>
        <w:t>2.</w:t>
      </w:r>
      <w:r w:rsidRPr="00C903F8">
        <w:rPr>
          <w:noProof/>
          <w:lang w:val="en-US"/>
        </w:rPr>
        <w:tab/>
        <w:t>By way of derogation from</w:t>
      </w:r>
      <w:r w:rsidR="00E0050D" w:rsidRPr="00C903F8">
        <w:rPr>
          <w:noProof/>
          <w:lang w:val="en-US"/>
        </w:rPr>
        <w:t xml:space="preserve"> </w:t>
      </w:r>
      <w:r w:rsidR="00FD1E75" w:rsidRPr="00C903F8">
        <w:rPr>
          <w:noProof/>
          <w:lang w:val="en-US"/>
        </w:rPr>
        <w:t>(</w:t>
      </w:r>
      <w:r w:rsidRPr="00C903F8">
        <w:rPr>
          <w:noProof/>
          <w:lang w:val="en-US"/>
        </w:rPr>
        <w:t>1</w:t>
      </w:r>
      <w:r w:rsidR="00FD1E75" w:rsidRPr="00C903F8">
        <w:rPr>
          <w:noProof/>
          <w:lang w:val="en-US"/>
        </w:rPr>
        <w:t>)</w:t>
      </w:r>
      <w:r w:rsidRPr="00C903F8">
        <w:rPr>
          <w:noProof/>
          <w:lang w:val="en-US"/>
        </w:rPr>
        <w:t>, cooking appliances and heating and refrigeration appliances fitted with burners with wicks and running on commercial paraffin oil may be permitted in the accommodation and wheelhouse provided the capacity of the fuel tank does not exceed 12</w:t>
      </w:r>
      <w:r w:rsidR="00DE524A">
        <w:rPr>
          <w:noProof/>
          <w:lang w:val="en-US"/>
        </w:rPr>
        <w:t> </w:t>
      </w:r>
      <w:r w:rsidRPr="00C903F8">
        <w:rPr>
          <w:noProof/>
          <w:lang w:val="en-US"/>
        </w:rPr>
        <w:t>litres.</w:t>
      </w:r>
    </w:p>
    <w:p w:rsidR="00260F40" w:rsidRPr="00C903F8" w:rsidRDefault="00260F40" w:rsidP="00260F40">
      <w:pPr>
        <w:pStyle w:val="ESch"/>
        <w:rPr>
          <w:noProof/>
          <w:lang w:val="en-US"/>
        </w:rPr>
      </w:pPr>
    </w:p>
    <w:p w:rsidR="00260F40" w:rsidRPr="00C903F8" w:rsidRDefault="00260F40" w:rsidP="00260F40">
      <w:pPr>
        <w:pStyle w:val="ESch"/>
        <w:rPr>
          <w:rFonts w:cs="Arial"/>
          <w:lang w:val="en-US"/>
        </w:rPr>
      </w:pPr>
      <w:r w:rsidRPr="00C903F8">
        <w:rPr>
          <w:noProof/>
          <w:lang w:val="en-US"/>
        </w:rPr>
        <w:t>3.</w:t>
      </w:r>
      <w:r w:rsidRPr="00C903F8">
        <w:rPr>
          <w:noProof/>
          <w:lang w:val="en-US"/>
        </w:rPr>
        <w:tab/>
        <w:t>Appliances fitted with burners with wicks shall be:</w:t>
      </w:r>
    </w:p>
    <w:p w:rsidR="00260F40" w:rsidRPr="00C903F8" w:rsidRDefault="005C7859" w:rsidP="00260F40">
      <w:pPr>
        <w:pStyle w:val="ESlet"/>
        <w:rPr>
          <w:rFonts w:cs="Arial"/>
          <w:lang w:val="en-US"/>
        </w:rPr>
      </w:pPr>
      <w:r w:rsidRPr="00C903F8">
        <w:rPr>
          <w:noProof/>
          <w:lang w:val="en-US"/>
        </w:rPr>
        <w:t>a)</w:t>
      </w:r>
      <w:r w:rsidR="00260F40" w:rsidRPr="00C903F8">
        <w:rPr>
          <w:noProof/>
          <w:lang w:val="en-US"/>
        </w:rPr>
        <w:tab/>
        <w:t>fitted with a metal fuel tank whose filling aperture may be locked and which has no soft-solder joints below the maximum filling level, and shall be designed and installed in such a way that the fuel tank cannot be opened or emptied accidentally;</w:t>
      </w:r>
    </w:p>
    <w:p w:rsidR="00260F40" w:rsidRPr="00C903F8" w:rsidRDefault="005C7859" w:rsidP="00260F40">
      <w:pPr>
        <w:pStyle w:val="ESlet"/>
        <w:rPr>
          <w:rFonts w:cs="Arial"/>
          <w:lang w:val="en-US"/>
        </w:rPr>
      </w:pPr>
      <w:r w:rsidRPr="00C903F8">
        <w:rPr>
          <w:noProof/>
          <w:lang w:val="en-US"/>
        </w:rPr>
        <w:t>b)</w:t>
      </w:r>
      <w:r w:rsidR="00260F40" w:rsidRPr="00C903F8">
        <w:rPr>
          <w:noProof/>
          <w:lang w:val="en-US"/>
        </w:rPr>
        <w:tab/>
        <w:t>capable of being lit without the aid of another liquid fuel;</w:t>
      </w:r>
      <w:r w:rsidR="000E49C3" w:rsidRPr="00C903F8">
        <w:rPr>
          <w:noProof/>
          <w:lang w:val="en-US"/>
        </w:rPr>
        <w:t xml:space="preserve"> and</w:t>
      </w:r>
    </w:p>
    <w:p w:rsidR="00260F40" w:rsidRPr="00C903F8" w:rsidRDefault="005C7859" w:rsidP="00260F40">
      <w:pPr>
        <w:pStyle w:val="ESlet"/>
        <w:rPr>
          <w:rFonts w:cs="Arial"/>
          <w:lang w:val="en-US"/>
        </w:rPr>
      </w:pPr>
      <w:r w:rsidRPr="00C903F8">
        <w:rPr>
          <w:noProof/>
          <w:lang w:val="en-US"/>
        </w:rPr>
        <w:t>c)</w:t>
      </w:r>
      <w:r w:rsidR="00260F40" w:rsidRPr="00C903F8">
        <w:rPr>
          <w:noProof/>
          <w:lang w:val="en-US"/>
        </w:rPr>
        <w:tab/>
        <w:t>so installed as to ensure the safe evacuation of combustion gases.</w:t>
      </w:r>
    </w:p>
    <w:p w:rsidR="00260F40" w:rsidRPr="00C903F8" w:rsidRDefault="00260F40" w:rsidP="00260F40">
      <w:pPr>
        <w:pStyle w:val="ESch"/>
        <w:rPr>
          <w:rFonts w:cs="Arial"/>
          <w:lang w:val="en-US"/>
        </w:rPr>
      </w:pPr>
    </w:p>
    <w:p w:rsidR="00260F40" w:rsidRPr="00C903F8" w:rsidRDefault="00260F40" w:rsidP="00260F40">
      <w:pPr>
        <w:pStyle w:val="ESch"/>
        <w:rPr>
          <w:rFonts w:cs="Arial"/>
          <w:lang w:val="en-US"/>
        </w:rPr>
      </w:pPr>
    </w:p>
    <w:p w:rsidR="00260F40" w:rsidRPr="00C903F8" w:rsidRDefault="00260F40" w:rsidP="00260F40">
      <w:pPr>
        <w:pStyle w:val="ES-Titre3"/>
        <w:rPr>
          <w:rFonts w:cs="Arial"/>
          <w:i/>
          <w:lang w:val="en-US"/>
        </w:rPr>
      </w:pPr>
      <w:bookmarkStart w:id="147" w:name="_Toc491854135"/>
      <w:r w:rsidRPr="00C903F8">
        <w:rPr>
          <w:noProof/>
          <w:lang w:val="en-US"/>
        </w:rPr>
        <w:t>Article 16.03</w:t>
      </w:r>
      <w:r w:rsidRPr="00C903F8">
        <w:rPr>
          <w:noProof/>
          <w:lang w:val="en-US"/>
        </w:rPr>
        <w:br/>
      </w:r>
      <w:r w:rsidRPr="00C903F8">
        <w:rPr>
          <w:i/>
          <w:noProof/>
          <w:lang w:val="en-US"/>
        </w:rPr>
        <w:t>Vaporising oil burner stoves and atomising oil burner heating appliances</w:t>
      </w:r>
      <w:bookmarkEnd w:id="147"/>
    </w:p>
    <w:p w:rsidR="00260F40" w:rsidRPr="00C903F8" w:rsidRDefault="00260F40" w:rsidP="00260F40">
      <w:pPr>
        <w:pStyle w:val="ESch"/>
        <w:rPr>
          <w:noProof/>
          <w:lang w:val="en-US"/>
        </w:rPr>
      </w:pPr>
    </w:p>
    <w:p w:rsidR="00260F40" w:rsidRPr="00C903F8" w:rsidRDefault="00260F40" w:rsidP="00260F40">
      <w:pPr>
        <w:pStyle w:val="ESch"/>
        <w:rPr>
          <w:rFonts w:cs="Arial"/>
          <w:lang w:val="en-US"/>
        </w:rPr>
      </w:pPr>
      <w:r w:rsidRPr="00C903F8">
        <w:rPr>
          <w:noProof/>
          <w:lang w:val="en-US"/>
        </w:rPr>
        <w:t>1.</w:t>
      </w:r>
      <w:r w:rsidRPr="00C903F8">
        <w:rPr>
          <w:noProof/>
          <w:lang w:val="en-US"/>
        </w:rPr>
        <w:tab/>
        <w:t>Vaporising oil burner stoves and atomising oil burner heating appliances shall be built in accordance with best practice.</w:t>
      </w:r>
    </w:p>
    <w:p w:rsidR="00260F40" w:rsidRPr="00C903F8" w:rsidRDefault="00260F40" w:rsidP="00260F40">
      <w:pPr>
        <w:pStyle w:val="ESch"/>
        <w:rPr>
          <w:noProof/>
          <w:lang w:val="en-US"/>
        </w:rPr>
      </w:pPr>
    </w:p>
    <w:p w:rsidR="00260F40" w:rsidRPr="00C903F8" w:rsidRDefault="00260F40" w:rsidP="00260F40">
      <w:pPr>
        <w:pStyle w:val="ESch"/>
        <w:rPr>
          <w:noProof/>
          <w:lang w:val="en-US"/>
        </w:rPr>
      </w:pPr>
      <w:r w:rsidRPr="00C903F8">
        <w:rPr>
          <w:noProof/>
          <w:lang w:val="en-US"/>
        </w:rPr>
        <w:br w:type="page"/>
      </w:r>
    </w:p>
    <w:p w:rsidR="00260F40" w:rsidRPr="00C903F8" w:rsidRDefault="00260F40" w:rsidP="00260F40">
      <w:pPr>
        <w:pStyle w:val="ESch"/>
        <w:rPr>
          <w:rFonts w:cs="Arial"/>
          <w:lang w:val="en-US"/>
        </w:rPr>
      </w:pPr>
      <w:r w:rsidRPr="00C903F8">
        <w:rPr>
          <w:noProof/>
          <w:lang w:val="en-US"/>
        </w:rPr>
        <w:lastRenderedPageBreak/>
        <w:t>2.</w:t>
      </w:r>
      <w:r w:rsidRPr="00C903F8">
        <w:rPr>
          <w:noProof/>
          <w:lang w:val="en-US"/>
        </w:rPr>
        <w:tab/>
        <w:t>Where a vaporising oil burner stove or an atomising oil burner heating appliance is installed in an engine room, the air supply to the heating appliance and the engines shall be so designed that the heating appliance and the engines can operate properly and safely independently of one another. Where necessary, there shall be a separate air supply. The equipment shall be installed in such a way that no flame from the burner can reach other parts of the engine room installations.</w:t>
      </w:r>
    </w:p>
    <w:p w:rsidR="00260F40" w:rsidRPr="00C903F8" w:rsidRDefault="00260F40" w:rsidP="00260F40">
      <w:pPr>
        <w:pStyle w:val="ESch"/>
        <w:rPr>
          <w:rFonts w:cs="Arial"/>
          <w:lang w:val="en-US"/>
        </w:rPr>
      </w:pPr>
    </w:p>
    <w:p w:rsidR="00260F40" w:rsidRPr="00C903F8" w:rsidRDefault="00260F40" w:rsidP="00260F40">
      <w:pPr>
        <w:pStyle w:val="ESch"/>
        <w:rPr>
          <w:rFonts w:cs="Arial"/>
          <w:lang w:val="en-US"/>
        </w:rPr>
      </w:pPr>
    </w:p>
    <w:p w:rsidR="00260F40" w:rsidRPr="00C903F8" w:rsidRDefault="00260F40" w:rsidP="00260F40">
      <w:pPr>
        <w:pStyle w:val="ES-Titre3"/>
        <w:rPr>
          <w:rFonts w:cs="Arial"/>
          <w:i/>
          <w:lang w:val="en-US"/>
        </w:rPr>
      </w:pPr>
      <w:bookmarkStart w:id="148" w:name="_Toc491854136"/>
      <w:r w:rsidRPr="00C903F8">
        <w:rPr>
          <w:noProof/>
          <w:lang w:val="en-US"/>
        </w:rPr>
        <w:t>Article 16.04</w:t>
      </w:r>
      <w:r w:rsidRPr="00C903F8">
        <w:rPr>
          <w:noProof/>
          <w:lang w:val="en-US"/>
        </w:rPr>
        <w:br/>
      </w:r>
      <w:r w:rsidRPr="00C903F8">
        <w:rPr>
          <w:i/>
          <w:noProof/>
          <w:lang w:val="en-US"/>
        </w:rPr>
        <w:t>Vaporising oil burner stoves</w:t>
      </w:r>
      <w:bookmarkEnd w:id="148"/>
    </w:p>
    <w:p w:rsidR="00260F40" w:rsidRPr="00C903F8" w:rsidRDefault="00260F40" w:rsidP="00260F40">
      <w:pPr>
        <w:pStyle w:val="ESch"/>
        <w:rPr>
          <w:i/>
          <w:noProof/>
          <w:lang w:val="en-US"/>
        </w:rPr>
      </w:pPr>
    </w:p>
    <w:p w:rsidR="00260F40" w:rsidRPr="00C903F8" w:rsidRDefault="00260F40" w:rsidP="00260F40">
      <w:pPr>
        <w:pStyle w:val="ESch"/>
        <w:rPr>
          <w:rFonts w:cs="Arial"/>
          <w:lang w:val="en-US"/>
        </w:rPr>
      </w:pPr>
      <w:r w:rsidRPr="00C903F8">
        <w:rPr>
          <w:noProof/>
          <w:lang w:val="en-US"/>
        </w:rPr>
        <w:t>1.</w:t>
      </w:r>
      <w:r w:rsidRPr="00C903F8">
        <w:rPr>
          <w:noProof/>
          <w:lang w:val="en-US"/>
        </w:rPr>
        <w:tab/>
        <w:t xml:space="preserve">It shall be possible to light vaporising oil burner stoves without the aid of another combustible liquid. They shall be fixed above a metal drip pan which encompasses all the fuel-carrying parts, whose sides are at least 20 mm high and which has a capacity of at least </w:t>
      </w:r>
      <w:r w:rsidR="0023707F" w:rsidRPr="00C903F8">
        <w:rPr>
          <w:noProof/>
          <w:lang w:val="en-US"/>
        </w:rPr>
        <w:t xml:space="preserve">2 </w:t>
      </w:r>
      <w:r w:rsidRPr="00C903F8">
        <w:rPr>
          <w:noProof/>
          <w:lang w:val="en-US"/>
        </w:rPr>
        <w:t>litres.</w:t>
      </w:r>
    </w:p>
    <w:p w:rsidR="00260F40" w:rsidRPr="00C903F8" w:rsidRDefault="00260F40" w:rsidP="00260F40">
      <w:pPr>
        <w:pStyle w:val="ESch"/>
        <w:rPr>
          <w:noProof/>
          <w:lang w:val="en-US"/>
        </w:rPr>
      </w:pPr>
    </w:p>
    <w:p w:rsidR="00260F40" w:rsidRPr="00C903F8" w:rsidRDefault="00260F40" w:rsidP="00260F40">
      <w:pPr>
        <w:pStyle w:val="ESch"/>
        <w:rPr>
          <w:rFonts w:cs="Arial"/>
          <w:lang w:val="en-US"/>
        </w:rPr>
      </w:pPr>
      <w:r w:rsidRPr="00C903F8">
        <w:rPr>
          <w:noProof/>
          <w:lang w:val="en-US"/>
        </w:rPr>
        <w:t>2.</w:t>
      </w:r>
      <w:r w:rsidRPr="00C903F8">
        <w:rPr>
          <w:noProof/>
          <w:lang w:val="en-US"/>
        </w:rPr>
        <w:tab/>
        <w:t xml:space="preserve">For vaporising oil burner stoves installed in an engine room, the sides of the metal drip pan prescribed in </w:t>
      </w:r>
      <w:r w:rsidR="00FD1E75" w:rsidRPr="00C903F8">
        <w:rPr>
          <w:noProof/>
          <w:lang w:val="en-US"/>
        </w:rPr>
        <w:t>(</w:t>
      </w:r>
      <w:r w:rsidRPr="00C903F8">
        <w:rPr>
          <w:noProof/>
          <w:lang w:val="en-US"/>
        </w:rPr>
        <w:t>1</w:t>
      </w:r>
      <w:r w:rsidR="00FD1E75" w:rsidRPr="00C903F8">
        <w:rPr>
          <w:noProof/>
          <w:lang w:val="en-US"/>
        </w:rPr>
        <w:t>)</w:t>
      </w:r>
      <w:r w:rsidRPr="00C903F8">
        <w:rPr>
          <w:noProof/>
          <w:lang w:val="en-US"/>
        </w:rPr>
        <w:t xml:space="preserve"> shall be at least 200 mm high. The lower edge of the vaporising burner shall be located above the edge of the drip pan. In addition, the upper edge of the drip pan shall extend at least 100 mm above the floor.</w:t>
      </w:r>
    </w:p>
    <w:p w:rsidR="00260F40" w:rsidRPr="00C903F8" w:rsidRDefault="00260F40" w:rsidP="00260F40">
      <w:pPr>
        <w:pStyle w:val="ESch"/>
        <w:rPr>
          <w:noProof/>
          <w:lang w:val="en-US"/>
        </w:rPr>
      </w:pPr>
    </w:p>
    <w:p w:rsidR="00260F40" w:rsidRPr="00C903F8" w:rsidRDefault="00260F40" w:rsidP="00260F40">
      <w:pPr>
        <w:pStyle w:val="ESch"/>
        <w:rPr>
          <w:rFonts w:cs="Arial"/>
          <w:lang w:val="en-US"/>
        </w:rPr>
      </w:pPr>
      <w:r w:rsidRPr="00C903F8">
        <w:rPr>
          <w:noProof/>
          <w:lang w:val="en-US"/>
        </w:rPr>
        <w:t>3.</w:t>
      </w:r>
      <w:r w:rsidRPr="00C903F8">
        <w:rPr>
          <w:noProof/>
          <w:lang w:val="en-US"/>
        </w:rPr>
        <w:tab/>
        <w:t>Vaporising oil burner stoves shall be fitted with a suitable regulator which, at all settings, ensures a virtually constant flow of fuel to the burner and which prevents any fuel leak should the flame go out. Regulators shall be considered suitable which function properly even when exposed to vibration and inclined up to 12° and which, in addition to a level-regulating float, have</w:t>
      </w:r>
    </w:p>
    <w:p w:rsidR="00260F40" w:rsidRPr="00C903F8" w:rsidRDefault="005C7859" w:rsidP="00260F40">
      <w:pPr>
        <w:pStyle w:val="ESlet"/>
        <w:rPr>
          <w:rFonts w:cs="Arial"/>
          <w:lang w:val="en-US"/>
        </w:rPr>
      </w:pPr>
      <w:r w:rsidRPr="00C903F8">
        <w:rPr>
          <w:noProof/>
          <w:lang w:val="en-US"/>
        </w:rPr>
        <w:t>a)</w:t>
      </w:r>
      <w:r w:rsidR="00260F40" w:rsidRPr="00C903F8">
        <w:rPr>
          <w:noProof/>
          <w:lang w:val="en-US"/>
        </w:rPr>
        <w:tab/>
        <w:t>a second float which closes off the fuel supply safely and reliably when the permitted level is exceeded, or</w:t>
      </w:r>
    </w:p>
    <w:p w:rsidR="00260F40" w:rsidRPr="00C903F8" w:rsidRDefault="005C7859" w:rsidP="00260F40">
      <w:pPr>
        <w:pStyle w:val="ESlet"/>
        <w:rPr>
          <w:rFonts w:cs="Arial"/>
          <w:lang w:val="en-US"/>
        </w:rPr>
      </w:pPr>
      <w:r w:rsidRPr="00C903F8">
        <w:rPr>
          <w:noProof/>
          <w:lang w:val="en-US"/>
        </w:rPr>
        <w:t>b)</w:t>
      </w:r>
      <w:r w:rsidR="00260F40" w:rsidRPr="00C903F8">
        <w:rPr>
          <w:noProof/>
          <w:lang w:val="en-US"/>
        </w:rPr>
        <w:tab/>
        <w:t>an overflow pipe, but only if the drip pan has sufficient capacity to accommodate at least the contents of the fuel tank.</w:t>
      </w:r>
    </w:p>
    <w:p w:rsidR="00260F40" w:rsidRPr="00C903F8" w:rsidRDefault="00260F40" w:rsidP="00260F40">
      <w:pPr>
        <w:pStyle w:val="ESch"/>
        <w:rPr>
          <w:noProof/>
          <w:lang w:val="en-US"/>
        </w:rPr>
      </w:pPr>
    </w:p>
    <w:p w:rsidR="00260F40" w:rsidRPr="00C903F8" w:rsidRDefault="00260F40" w:rsidP="00260F40">
      <w:pPr>
        <w:pStyle w:val="ESch"/>
        <w:rPr>
          <w:rFonts w:cs="Arial"/>
          <w:lang w:val="en-US"/>
        </w:rPr>
      </w:pPr>
      <w:r w:rsidRPr="00C903F8">
        <w:rPr>
          <w:noProof/>
          <w:lang w:val="en-US"/>
        </w:rPr>
        <w:t>4.</w:t>
      </w:r>
      <w:r w:rsidRPr="00C903F8">
        <w:rPr>
          <w:noProof/>
          <w:lang w:val="en-US"/>
        </w:rPr>
        <w:tab/>
        <w:t>Where the fuel tank of a vaporising oil burner stove is installed separately:</w:t>
      </w:r>
    </w:p>
    <w:p w:rsidR="00260F40" w:rsidRPr="00C903F8" w:rsidRDefault="005C7859" w:rsidP="00260F40">
      <w:pPr>
        <w:pStyle w:val="ESlet"/>
        <w:rPr>
          <w:rFonts w:cs="Arial"/>
          <w:lang w:val="en-US"/>
        </w:rPr>
      </w:pPr>
      <w:r w:rsidRPr="00C903F8">
        <w:rPr>
          <w:noProof/>
          <w:lang w:val="en-US"/>
        </w:rPr>
        <w:t>a)</w:t>
      </w:r>
      <w:r w:rsidR="00260F40" w:rsidRPr="00C903F8">
        <w:rPr>
          <w:noProof/>
          <w:lang w:val="en-US"/>
        </w:rPr>
        <w:tab/>
        <w:t>the drop between the tank and the burner feed may not exceed that laid down in the manufacturer's operating instructions;</w:t>
      </w:r>
    </w:p>
    <w:p w:rsidR="00260F40" w:rsidRPr="00C903F8" w:rsidRDefault="005C7859" w:rsidP="00260F40">
      <w:pPr>
        <w:pStyle w:val="ESlet"/>
        <w:rPr>
          <w:rFonts w:cs="Arial"/>
          <w:lang w:val="en-US"/>
        </w:rPr>
      </w:pPr>
      <w:r w:rsidRPr="00C903F8">
        <w:rPr>
          <w:noProof/>
          <w:lang w:val="en-US"/>
        </w:rPr>
        <w:t>b)</w:t>
      </w:r>
      <w:r w:rsidR="00260F40" w:rsidRPr="00C903F8">
        <w:rPr>
          <w:noProof/>
          <w:lang w:val="en-US"/>
        </w:rPr>
        <w:tab/>
        <w:t>it shall be so installed as to be protected from unacceptable heating;</w:t>
      </w:r>
    </w:p>
    <w:p w:rsidR="00260F40" w:rsidRPr="00C903F8" w:rsidRDefault="005C7859" w:rsidP="00260F40">
      <w:pPr>
        <w:pStyle w:val="ESlet"/>
        <w:rPr>
          <w:rFonts w:cs="Arial"/>
          <w:lang w:val="en-US"/>
        </w:rPr>
      </w:pPr>
      <w:r w:rsidRPr="00C903F8">
        <w:rPr>
          <w:noProof/>
          <w:lang w:val="en-US"/>
        </w:rPr>
        <w:t>c)</w:t>
      </w:r>
      <w:r w:rsidR="00260F40" w:rsidRPr="00C903F8">
        <w:rPr>
          <w:noProof/>
          <w:lang w:val="en-US"/>
        </w:rPr>
        <w:tab/>
        <w:t>it shall be possible to interrupt the fuel supply from the deck.</w:t>
      </w:r>
    </w:p>
    <w:p w:rsidR="00260F40" w:rsidRPr="00C903F8" w:rsidRDefault="00260F40" w:rsidP="00260F40">
      <w:pPr>
        <w:pStyle w:val="ESch"/>
        <w:rPr>
          <w:noProof/>
          <w:lang w:val="en-US"/>
        </w:rPr>
      </w:pPr>
    </w:p>
    <w:p w:rsidR="00260F40" w:rsidRPr="00C903F8" w:rsidRDefault="00260F40" w:rsidP="00260F40">
      <w:pPr>
        <w:pStyle w:val="ESch"/>
        <w:rPr>
          <w:rFonts w:cs="Arial"/>
          <w:lang w:val="en-US"/>
        </w:rPr>
      </w:pPr>
      <w:r w:rsidRPr="00C903F8">
        <w:rPr>
          <w:noProof/>
          <w:lang w:val="en-US"/>
        </w:rPr>
        <w:t>5.</w:t>
      </w:r>
      <w:r w:rsidRPr="00C903F8">
        <w:rPr>
          <w:noProof/>
          <w:lang w:val="en-US"/>
        </w:rPr>
        <w:tab/>
        <w:t>The flues of vaporising oil burner stoves shall be fitted with a device to prevent draught inversion.</w:t>
      </w:r>
    </w:p>
    <w:p w:rsidR="00260F40" w:rsidRPr="00C903F8" w:rsidRDefault="00260F40" w:rsidP="00260F40">
      <w:pPr>
        <w:pStyle w:val="ESch"/>
        <w:rPr>
          <w:rFonts w:cs="Arial"/>
          <w:lang w:val="en-US"/>
        </w:rPr>
      </w:pPr>
    </w:p>
    <w:p w:rsidR="00260F40" w:rsidRPr="00C903F8" w:rsidRDefault="00260F40" w:rsidP="00260F40">
      <w:pPr>
        <w:pStyle w:val="ESch"/>
        <w:rPr>
          <w:rFonts w:cs="Arial"/>
          <w:lang w:val="en-US"/>
        </w:rPr>
      </w:pPr>
    </w:p>
    <w:p w:rsidR="00260F40" w:rsidRPr="00C903F8" w:rsidRDefault="00260F40" w:rsidP="00260F40">
      <w:pPr>
        <w:pStyle w:val="ES-Titre3"/>
        <w:rPr>
          <w:rFonts w:cs="Arial"/>
          <w:i/>
          <w:lang w:val="en-US"/>
        </w:rPr>
      </w:pPr>
      <w:bookmarkStart w:id="149" w:name="_Toc491854137"/>
      <w:r w:rsidRPr="00C903F8">
        <w:rPr>
          <w:noProof/>
          <w:lang w:val="en-US"/>
        </w:rPr>
        <w:t>Article 16.05</w:t>
      </w:r>
      <w:r w:rsidRPr="00C903F8">
        <w:rPr>
          <w:noProof/>
          <w:lang w:val="en-US"/>
        </w:rPr>
        <w:br/>
      </w:r>
      <w:r w:rsidRPr="00C903F8">
        <w:rPr>
          <w:i/>
          <w:noProof/>
          <w:lang w:val="en-US"/>
        </w:rPr>
        <w:t>Atomising oil burner heating appliances</w:t>
      </w:r>
      <w:bookmarkEnd w:id="149"/>
    </w:p>
    <w:p w:rsidR="00260F40" w:rsidRPr="00C903F8" w:rsidRDefault="00260F40" w:rsidP="00260F40">
      <w:pPr>
        <w:pStyle w:val="ESch"/>
        <w:rPr>
          <w:noProof/>
          <w:lang w:val="en-US"/>
        </w:rPr>
      </w:pPr>
    </w:p>
    <w:p w:rsidR="00260F40" w:rsidRPr="00C903F8" w:rsidRDefault="00260F40" w:rsidP="00260F40">
      <w:pPr>
        <w:pStyle w:val="ESgauche"/>
        <w:rPr>
          <w:rFonts w:cs="Arial"/>
          <w:lang w:val="en-US"/>
        </w:rPr>
      </w:pPr>
      <w:r w:rsidRPr="00C903F8">
        <w:rPr>
          <w:lang w:val="en-US"/>
        </w:rPr>
        <w:t>Atomising oil burner heating appliances shall in particular meet the following requirements:</w:t>
      </w:r>
    </w:p>
    <w:p w:rsidR="00260F40" w:rsidRPr="00C903F8" w:rsidRDefault="005C7859" w:rsidP="00260F40">
      <w:pPr>
        <w:pStyle w:val="ESletgauche"/>
        <w:rPr>
          <w:rFonts w:cs="Arial"/>
          <w:lang w:val="en-US"/>
        </w:rPr>
      </w:pPr>
      <w:r w:rsidRPr="00C903F8">
        <w:rPr>
          <w:noProof/>
          <w:lang w:val="en-US"/>
        </w:rPr>
        <w:t>a)</w:t>
      </w:r>
      <w:r w:rsidR="00260F40" w:rsidRPr="00C903F8">
        <w:rPr>
          <w:noProof/>
          <w:lang w:val="en-US"/>
        </w:rPr>
        <w:tab/>
        <w:t>adequate ventilation of the burner shall be ensured before the fuel is supplied;</w:t>
      </w:r>
    </w:p>
    <w:p w:rsidR="00260F40" w:rsidRPr="00C903F8" w:rsidRDefault="005C7859" w:rsidP="00260F40">
      <w:pPr>
        <w:pStyle w:val="ESletgauche"/>
        <w:rPr>
          <w:rFonts w:cs="Arial"/>
          <w:lang w:val="en-US"/>
        </w:rPr>
      </w:pPr>
      <w:r w:rsidRPr="00C903F8">
        <w:rPr>
          <w:noProof/>
          <w:lang w:val="en-US"/>
        </w:rPr>
        <w:t>b)</w:t>
      </w:r>
      <w:r w:rsidR="00260F40" w:rsidRPr="00C903F8">
        <w:rPr>
          <w:noProof/>
          <w:lang w:val="en-US"/>
        </w:rPr>
        <w:tab/>
        <w:t>the fuel supply shall be regulated by a thermostat;</w:t>
      </w:r>
    </w:p>
    <w:p w:rsidR="00260F40" w:rsidRPr="00C903F8" w:rsidRDefault="005C7859" w:rsidP="00260F40">
      <w:pPr>
        <w:pStyle w:val="ESletgauche"/>
        <w:rPr>
          <w:rFonts w:cs="Arial"/>
          <w:lang w:val="en-US"/>
        </w:rPr>
      </w:pPr>
      <w:r w:rsidRPr="00C903F8">
        <w:rPr>
          <w:noProof/>
          <w:lang w:val="en-US"/>
        </w:rPr>
        <w:t>c)</w:t>
      </w:r>
      <w:r w:rsidR="00260F40" w:rsidRPr="00C903F8">
        <w:rPr>
          <w:noProof/>
          <w:lang w:val="en-US"/>
        </w:rPr>
        <w:tab/>
        <w:t>the fuel shall be ignited by an electric device or by a pilot flame;</w:t>
      </w:r>
    </w:p>
    <w:p w:rsidR="00260F40" w:rsidRPr="00C903F8" w:rsidRDefault="00260F40" w:rsidP="00260F40">
      <w:pPr>
        <w:pStyle w:val="ESletgauche"/>
        <w:rPr>
          <w:noProof/>
          <w:lang w:val="en-US"/>
        </w:rPr>
      </w:pPr>
    </w:p>
    <w:p w:rsidR="00260F40" w:rsidRPr="00C903F8" w:rsidRDefault="00260F40" w:rsidP="00260F40">
      <w:pPr>
        <w:pStyle w:val="ESletgauche"/>
        <w:rPr>
          <w:noProof/>
          <w:lang w:val="en-US"/>
        </w:rPr>
      </w:pPr>
      <w:r w:rsidRPr="00C903F8">
        <w:rPr>
          <w:noProof/>
          <w:lang w:val="en-US"/>
        </w:rPr>
        <w:br w:type="page"/>
      </w:r>
    </w:p>
    <w:p w:rsidR="00260F40" w:rsidRPr="00C903F8" w:rsidRDefault="005C7859" w:rsidP="00260F40">
      <w:pPr>
        <w:pStyle w:val="ESletgauche"/>
        <w:rPr>
          <w:rFonts w:cs="Arial"/>
          <w:lang w:val="en-US"/>
        </w:rPr>
      </w:pPr>
      <w:r w:rsidRPr="00C903F8">
        <w:rPr>
          <w:noProof/>
          <w:lang w:val="en-US"/>
        </w:rPr>
        <w:lastRenderedPageBreak/>
        <w:t>d)</w:t>
      </w:r>
      <w:r w:rsidR="00260F40" w:rsidRPr="00C903F8">
        <w:rPr>
          <w:noProof/>
          <w:lang w:val="en-US"/>
        </w:rPr>
        <w:tab/>
        <w:t>a flame monitoring device shall cut off the fuel supply when the flame goes out;</w:t>
      </w:r>
    </w:p>
    <w:p w:rsidR="00260F40" w:rsidRPr="00C903F8" w:rsidRDefault="0029453D" w:rsidP="00260F40">
      <w:pPr>
        <w:pStyle w:val="ESletgauche"/>
        <w:rPr>
          <w:noProof/>
          <w:lang w:val="en-US"/>
        </w:rPr>
      </w:pPr>
      <w:r w:rsidRPr="00C903F8">
        <w:rPr>
          <w:noProof/>
          <w:lang w:val="en-US"/>
        </w:rPr>
        <w:t>e)</w:t>
      </w:r>
      <w:r w:rsidR="00260F40" w:rsidRPr="00C903F8">
        <w:rPr>
          <w:noProof/>
          <w:lang w:val="en-US"/>
        </w:rPr>
        <w:tab/>
        <w:t>the main switch shall be placed at an easily accessible point outside the installation room.</w:t>
      </w:r>
    </w:p>
    <w:p w:rsidR="00260F40" w:rsidRPr="00C903F8" w:rsidRDefault="00260F40" w:rsidP="00260F40">
      <w:pPr>
        <w:pStyle w:val="ESletgauche"/>
        <w:rPr>
          <w:noProof/>
          <w:lang w:val="en-US"/>
        </w:rPr>
      </w:pPr>
    </w:p>
    <w:p w:rsidR="00260F40" w:rsidRPr="00C903F8" w:rsidRDefault="00260F40" w:rsidP="00260F40">
      <w:pPr>
        <w:pStyle w:val="ESch"/>
        <w:rPr>
          <w:rFonts w:cs="Arial"/>
          <w:lang w:val="en-US"/>
        </w:rPr>
      </w:pPr>
    </w:p>
    <w:p w:rsidR="00260F40" w:rsidRPr="00C903F8" w:rsidRDefault="00260F40" w:rsidP="00260F40">
      <w:pPr>
        <w:pStyle w:val="ES-Titre3"/>
        <w:rPr>
          <w:rFonts w:cs="Arial"/>
          <w:i/>
          <w:lang w:val="en-US"/>
        </w:rPr>
      </w:pPr>
      <w:bookmarkStart w:id="150" w:name="_Toc491854138"/>
      <w:r w:rsidRPr="00C903F8">
        <w:rPr>
          <w:noProof/>
          <w:lang w:val="en-US"/>
        </w:rPr>
        <w:t>Article 16.06</w:t>
      </w:r>
      <w:r w:rsidRPr="00C903F8">
        <w:rPr>
          <w:noProof/>
          <w:lang w:val="en-US"/>
        </w:rPr>
        <w:br/>
      </w:r>
      <w:r w:rsidRPr="00C903F8">
        <w:rPr>
          <w:i/>
          <w:noProof/>
          <w:lang w:val="en-US"/>
        </w:rPr>
        <w:t>Forced-air heating appliances</w:t>
      </w:r>
      <w:bookmarkEnd w:id="150"/>
    </w:p>
    <w:p w:rsidR="00260F40" w:rsidRPr="00C903F8" w:rsidRDefault="00260F40" w:rsidP="00260F40">
      <w:pPr>
        <w:pStyle w:val="ESch"/>
        <w:rPr>
          <w:noProof/>
          <w:lang w:val="en-US"/>
        </w:rPr>
      </w:pPr>
    </w:p>
    <w:p w:rsidR="00260F40" w:rsidRPr="00C903F8" w:rsidRDefault="00260F40" w:rsidP="00260F40">
      <w:pPr>
        <w:pStyle w:val="ESgauche"/>
        <w:rPr>
          <w:rFonts w:cs="Arial"/>
          <w:lang w:val="en-US"/>
        </w:rPr>
      </w:pPr>
      <w:r w:rsidRPr="00C903F8">
        <w:rPr>
          <w:lang w:val="en-US"/>
        </w:rPr>
        <w:t>Forced-air heating appliances consisting of a combustion chamber around which the heating air is conducted under pressure to a distribution system or to a room shall meet the following requirements:</w:t>
      </w:r>
    </w:p>
    <w:p w:rsidR="00260F40" w:rsidRPr="00C903F8" w:rsidRDefault="005C7859" w:rsidP="00260F40">
      <w:pPr>
        <w:pStyle w:val="ESletgauche"/>
        <w:rPr>
          <w:rFonts w:cs="Arial"/>
          <w:lang w:val="en-US"/>
        </w:rPr>
      </w:pPr>
      <w:r w:rsidRPr="00C903F8">
        <w:rPr>
          <w:noProof/>
          <w:lang w:val="en-US"/>
        </w:rPr>
        <w:t>a)</w:t>
      </w:r>
      <w:r w:rsidR="00260F40" w:rsidRPr="00C903F8">
        <w:rPr>
          <w:noProof/>
          <w:lang w:val="en-US"/>
        </w:rPr>
        <w:tab/>
      </w:r>
      <w:r w:rsidR="005D13EF" w:rsidRPr="00C903F8">
        <w:rPr>
          <w:noProof/>
          <w:lang w:val="en-US"/>
        </w:rPr>
        <w:t>I</w:t>
      </w:r>
      <w:r w:rsidR="00260F40" w:rsidRPr="00C903F8">
        <w:rPr>
          <w:noProof/>
          <w:lang w:val="en-US"/>
        </w:rPr>
        <w:t>f the fuel is atomised under pressure the combustion air shall be supplied by a blower</w:t>
      </w:r>
      <w:r w:rsidR="004076F6" w:rsidRPr="00C903F8">
        <w:rPr>
          <w:noProof/>
          <w:lang w:val="en-US"/>
        </w:rPr>
        <w:t>;</w:t>
      </w:r>
    </w:p>
    <w:p w:rsidR="00260F40" w:rsidRPr="00C903F8" w:rsidRDefault="005C7859" w:rsidP="00260F40">
      <w:pPr>
        <w:pStyle w:val="ESletgauche"/>
        <w:rPr>
          <w:rFonts w:cs="Arial"/>
          <w:lang w:val="en-US"/>
        </w:rPr>
      </w:pPr>
      <w:r w:rsidRPr="00C903F8">
        <w:rPr>
          <w:noProof/>
          <w:lang w:val="en-US"/>
        </w:rPr>
        <w:t>b)</w:t>
      </w:r>
      <w:r w:rsidR="00260F40" w:rsidRPr="00C903F8">
        <w:rPr>
          <w:noProof/>
          <w:lang w:val="en-US"/>
        </w:rPr>
        <w:tab/>
      </w:r>
      <w:r w:rsidR="005D13EF" w:rsidRPr="00C903F8">
        <w:rPr>
          <w:noProof/>
          <w:lang w:val="en-US"/>
        </w:rPr>
        <w:t>T</w:t>
      </w:r>
      <w:r w:rsidR="00260F40" w:rsidRPr="00C903F8">
        <w:rPr>
          <w:noProof/>
          <w:lang w:val="en-US"/>
        </w:rPr>
        <w:t>he combustion chamber shall be well ventilated before the burner can be lit. Ventilation may be considered complete when the combustion air blower continues to operate after the flame has gone out</w:t>
      </w:r>
      <w:r w:rsidR="004076F6" w:rsidRPr="00C903F8">
        <w:rPr>
          <w:noProof/>
          <w:lang w:val="en-US"/>
        </w:rPr>
        <w:t>;</w:t>
      </w:r>
    </w:p>
    <w:p w:rsidR="00260F40" w:rsidRPr="00C903F8" w:rsidRDefault="005C7859" w:rsidP="00260F40">
      <w:pPr>
        <w:pStyle w:val="ESletgauche"/>
        <w:rPr>
          <w:rFonts w:cs="Arial"/>
          <w:lang w:val="en-US"/>
        </w:rPr>
      </w:pPr>
      <w:r w:rsidRPr="00C903F8">
        <w:rPr>
          <w:noProof/>
          <w:lang w:val="en-US"/>
        </w:rPr>
        <w:t>c)</w:t>
      </w:r>
      <w:r w:rsidR="00260F40" w:rsidRPr="00C903F8">
        <w:rPr>
          <w:noProof/>
          <w:lang w:val="en-US"/>
        </w:rPr>
        <w:tab/>
      </w:r>
      <w:r w:rsidR="005D13EF" w:rsidRPr="00C903F8">
        <w:rPr>
          <w:noProof/>
          <w:lang w:val="en-US"/>
        </w:rPr>
        <w:t>T</w:t>
      </w:r>
      <w:r w:rsidR="00260F40" w:rsidRPr="00C903F8">
        <w:rPr>
          <w:noProof/>
          <w:lang w:val="en-US"/>
        </w:rPr>
        <w:t>he fuel supply shall be automatically cut off if:</w:t>
      </w:r>
    </w:p>
    <w:p w:rsidR="00260F40" w:rsidRPr="00C903F8" w:rsidRDefault="00260F40" w:rsidP="00260F40">
      <w:pPr>
        <w:pStyle w:val="ESletgauche"/>
        <w:ind w:firstLine="0"/>
        <w:rPr>
          <w:rFonts w:cs="Arial"/>
          <w:lang w:val="en-US"/>
        </w:rPr>
      </w:pPr>
      <w:r w:rsidRPr="00C903F8">
        <w:rPr>
          <w:noProof/>
          <w:lang w:val="en-US"/>
        </w:rPr>
        <w:t>the fire goes out;</w:t>
      </w:r>
    </w:p>
    <w:p w:rsidR="00260F40" w:rsidRPr="00C903F8" w:rsidRDefault="00260F40" w:rsidP="00260F40">
      <w:pPr>
        <w:pStyle w:val="ESletgauche"/>
        <w:ind w:firstLine="0"/>
        <w:rPr>
          <w:rFonts w:cs="Arial"/>
          <w:lang w:val="en-US"/>
        </w:rPr>
      </w:pPr>
      <w:r w:rsidRPr="00C903F8">
        <w:rPr>
          <w:noProof/>
          <w:lang w:val="en-US"/>
        </w:rPr>
        <w:t>the supply of combustion air is not sufficient;</w:t>
      </w:r>
    </w:p>
    <w:p w:rsidR="00260F40" w:rsidRPr="00C903F8" w:rsidRDefault="00260F40" w:rsidP="00260F40">
      <w:pPr>
        <w:pStyle w:val="ESletgauche"/>
        <w:ind w:firstLine="0"/>
        <w:rPr>
          <w:rFonts w:cs="Arial"/>
          <w:lang w:val="en-US"/>
        </w:rPr>
      </w:pPr>
      <w:r w:rsidRPr="00C903F8">
        <w:rPr>
          <w:noProof/>
          <w:lang w:val="en-US"/>
        </w:rPr>
        <w:t>the heated air exceeds a previously set temperature</w:t>
      </w:r>
      <w:r w:rsidR="005D13EF" w:rsidRPr="00C903F8">
        <w:rPr>
          <w:noProof/>
          <w:lang w:val="en-US"/>
        </w:rPr>
        <w:t>;</w:t>
      </w:r>
      <w:r w:rsidRPr="00C903F8">
        <w:rPr>
          <w:noProof/>
          <w:lang w:val="en-US"/>
        </w:rPr>
        <w:t xml:space="preserve"> or</w:t>
      </w:r>
    </w:p>
    <w:p w:rsidR="00260F40" w:rsidRPr="00C903F8" w:rsidRDefault="00260F40" w:rsidP="00260F40">
      <w:pPr>
        <w:pStyle w:val="ESletgauche"/>
        <w:ind w:firstLine="0"/>
        <w:rPr>
          <w:rFonts w:cs="Arial"/>
          <w:lang w:val="en-US"/>
        </w:rPr>
      </w:pPr>
      <w:r w:rsidRPr="00C903F8">
        <w:rPr>
          <w:noProof/>
          <w:lang w:val="en-US"/>
        </w:rPr>
        <w:t>the power supply of the safety devices fails</w:t>
      </w:r>
      <w:r w:rsidR="004076F6" w:rsidRPr="00C903F8">
        <w:rPr>
          <w:noProof/>
          <w:lang w:val="en-US"/>
        </w:rPr>
        <w:t>;</w:t>
      </w:r>
    </w:p>
    <w:p w:rsidR="00260F40" w:rsidRPr="00C903F8" w:rsidRDefault="00260F40" w:rsidP="00260F40">
      <w:pPr>
        <w:pStyle w:val="ESletgauche"/>
        <w:ind w:firstLine="0"/>
        <w:rPr>
          <w:rFonts w:cs="Arial"/>
          <w:lang w:val="en-US"/>
        </w:rPr>
      </w:pPr>
      <w:r w:rsidRPr="00C903F8">
        <w:rPr>
          <w:noProof/>
          <w:lang w:val="en-US"/>
        </w:rPr>
        <w:t>In the above cases the fuel supply shall not be re-established automatically after being cut off</w:t>
      </w:r>
      <w:r w:rsidR="004076F6" w:rsidRPr="00C903F8">
        <w:rPr>
          <w:noProof/>
          <w:lang w:val="en-US"/>
        </w:rPr>
        <w:t>;</w:t>
      </w:r>
    </w:p>
    <w:p w:rsidR="00260F40" w:rsidRPr="00C903F8" w:rsidRDefault="005C7859" w:rsidP="00260F40">
      <w:pPr>
        <w:pStyle w:val="ESletgauche"/>
        <w:rPr>
          <w:rFonts w:cs="Arial"/>
          <w:lang w:val="en-US"/>
        </w:rPr>
      </w:pPr>
      <w:r w:rsidRPr="00C903F8">
        <w:rPr>
          <w:noProof/>
          <w:lang w:val="en-US"/>
        </w:rPr>
        <w:t>d)</w:t>
      </w:r>
      <w:r w:rsidR="00260F40" w:rsidRPr="00C903F8">
        <w:rPr>
          <w:noProof/>
          <w:lang w:val="en-US"/>
        </w:rPr>
        <w:tab/>
      </w:r>
      <w:r w:rsidR="005D13EF" w:rsidRPr="00C903F8">
        <w:rPr>
          <w:noProof/>
          <w:lang w:val="en-US"/>
        </w:rPr>
        <w:t>I</w:t>
      </w:r>
      <w:r w:rsidR="00260F40" w:rsidRPr="00C903F8">
        <w:rPr>
          <w:noProof/>
          <w:lang w:val="en-US"/>
        </w:rPr>
        <w:t>t shall be possible to switch off the combustion air and heating air blowers from outside the room where the heating appliance is located</w:t>
      </w:r>
      <w:r w:rsidR="004076F6" w:rsidRPr="00C903F8">
        <w:rPr>
          <w:noProof/>
          <w:lang w:val="en-US"/>
        </w:rPr>
        <w:t>;</w:t>
      </w:r>
    </w:p>
    <w:p w:rsidR="00260F40" w:rsidRPr="00C903F8" w:rsidRDefault="0029453D" w:rsidP="00260F40">
      <w:pPr>
        <w:pStyle w:val="ESletgauche"/>
        <w:rPr>
          <w:rFonts w:cs="Arial"/>
          <w:lang w:val="en-US"/>
        </w:rPr>
      </w:pPr>
      <w:r w:rsidRPr="00C903F8">
        <w:rPr>
          <w:noProof/>
          <w:lang w:val="en-US"/>
        </w:rPr>
        <w:t>e)</w:t>
      </w:r>
      <w:r w:rsidR="00260F40" w:rsidRPr="00C903F8">
        <w:rPr>
          <w:noProof/>
          <w:lang w:val="en-US"/>
        </w:rPr>
        <w:tab/>
      </w:r>
      <w:r w:rsidR="005D13EF" w:rsidRPr="00C903F8">
        <w:rPr>
          <w:noProof/>
          <w:lang w:val="en-US"/>
        </w:rPr>
        <w:t>W</w:t>
      </w:r>
      <w:r w:rsidR="00260F40" w:rsidRPr="00C903F8">
        <w:rPr>
          <w:noProof/>
          <w:lang w:val="en-US"/>
        </w:rPr>
        <w:t>here heating air is drawn from outside, the intake vents shall be located as far as possible above the deck. They shall be installed in such a manner that rain and spray water cannot enter</w:t>
      </w:r>
      <w:r w:rsidR="004076F6" w:rsidRPr="00C903F8">
        <w:rPr>
          <w:noProof/>
          <w:lang w:val="en-US"/>
        </w:rPr>
        <w:t>;</w:t>
      </w:r>
    </w:p>
    <w:p w:rsidR="00260F40" w:rsidRPr="00C903F8" w:rsidRDefault="0029453D" w:rsidP="00260F40">
      <w:pPr>
        <w:pStyle w:val="ESletgauche"/>
        <w:rPr>
          <w:rFonts w:cs="Arial"/>
          <w:lang w:val="en-US"/>
        </w:rPr>
      </w:pPr>
      <w:r w:rsidRPr="00C903F8">
        <w:rPr>
          <w:noProof/>
          <w:lang w:val="en-US"/>
        </w:rPr>
        <w:t>f)</w:t>
      </w:r>
      <w:r w:rsidR="00260F40" w:rsidRPr="00C903F8">
        <w:rPr>
          <w:noProof/>
          <w:lang w:val="en-US"/>
        </w:rPr>
        <w:tab/>
      </w:r>
      <w:r w:rsidR="005D13EF" w:rsidRPr="00C903F8">
        <w:rPr>
          <w:noProof/>
          <w:lang w:val="en-US"/>
        </w:rPr>
        <w:t>H</w:t>
      </w:r>
      <w:r w:rsidR="00260F40" w:rsidRPr="00C903F8">
        <w:rPr>
          <w:noProof/>
          <w:lang w:val="en-US"/>
        </w:rPr>
        <w:t>eating air pipes shall be made of metal</w:t>
      </w:r>
      <w:r w:rsidR="004076F6" w:rsidRPr="00C903F8">
        <w:rPr>
          <w:noProof/>
          <w:lang w:val="en-US"/>
        </w:rPr>
        <w:t>;</w:t>
      </w:r>
    </w:p>
    <w:p w:rsidR="00260F40" w:rsidRPr="00C903F8" w:rsidRDefault="0029453D" w:rsidP="00260F40">
      <w:pPr>
        <w:pStyle w:val="ESletgauche"/>
        <w:rPr>
          <w:rFonts w:cs="Arial"/>
          <w:lang w:val="en-US"/>
        </w:rPr>
      </w:pPr>
      <w:r w:rsidRPr="00C903F8">
        <w:rPr>
          <w:noProof/>
          <w:lang w:val="en-US"/>
        </w:rPr>
        <w:t>g)</w:t>
      </w:r>
      <w:r w:rsidR="00260F40" w:rsidRPr="00C903F8">
        <w:rPr>
          <w:noProof/>
          <w:lang w:val="en-US"/>
        </w:rPr>
        <w:tab/>
      </w:r>
      <w:r w:rsidR="005D13EF" w:rsidRPr="00C903F8">
        <w:rPr>
          <w:noProof/>
          <w:lang w:val="en-US"/>
        </w:rPr>
        <w:t>I</w:t>
      </w:r>
      <w:r w:rsidR="00260F40" w:rsidRPr="00C903F8">
        <w:rPr>
          <w:noProof/>
          <w:lang w:val="en-US"/>
        </w:rPr>
        <w:t>t shall not be possible to close the heating air outlet apertures completely</w:t>
      </w:r>
      <w:r w:rsidR="004076F6" w:rsidRPr="00C903F8">
        <w:rPr>
          <w:noProof/>
          <w:lang w:val="en-US"/>
        </w:rPr>
        <w:t>;</w:t>
      </w:r>
    </w:p>
    <w:p w:rsidR="00260F40" w:rsidRPr="00C903F8" w:rsidRDefault="0029453D" w:rsidP="00260F40">
      <w:pPr>
        <w:pStyle w:val="ESletgauche"/>
        <w:rPr>
          <w:rFonts w:cs="Arial"/>
          <w:lang w:val="en-US"/>
        </w:rPr>
      </w:pPr>
      <w:r w:rsidRPr="00C903F8">
        <w:rPr>
          <w:noProof/>
          <w:lang w:val="en-US"/>
        </w:rPr>
        <w:t>h)</w:t>
      </w:r>
      <w:r w:rsidR="00260F40" w:rsidRPr="00C903F8">
        <w:rPr>
          <w:noProof/>
          <w:lang w:val="en-US"/>
        </w:rPr>
        <w:tab/>
      </w:r>
      <w:r w:rsidR="005D13EF" w:rsidRPr="00C903F8">
        <w:rPr>
          <w:noProof/>
          <w:lang w:val="en-US"/>
        </w:rPr>
        <w:t>I</w:t>
      </w:r>
      <w:r w:rsidR="00260F40" w:rsidRPr="00C903F8">
        <w:rPr>
          <w:noProof/>
          <w:lang w:val="en-US"/>
        </w:rPr>
        <w:t>t shall not be possible for any leaking fuel to reach the heating air pipes</w:t>
      </w:r>
      <w:r w:rsidR="004076F6" w:rsidRPr="00C903F8">
        <w:rPr>
          <w:noProof/>
          <w:lang w:val="en-US"/>
        </w:rPr>
        <w:t>;</w:t>
      </w:r>
    </w:p>
    <w:p w:rsidR="00260F40" w:rsidRPr="00C903F8" w:rsidRDefault="0029453D" w:rsidP="00260F40">
      <w:pPr>
        <w:pStyle w:val="ESletgauche"/>
        <w:rPr>
          <w:rFonts w:cs="Arial"/>
          <w:lang w:val="en-US"/>
        </w:rPr>
      </w:pPr>
      <w:r w:rsidRPr="00C903F8">
        <w:rPr>
          <w:noProof/>
          <w:lang w:val="en-US"/>
        </w:rPr>
        <w:t>i)</w:t>
      </w:r>
      <w:r w:rsidR="00260F40" w:rsidRPr="00C903F8">
        <w:rPr>
          <w:noProof/>
          <w:lang w:val="en-US"/>
        </w:rPr>
        <w:tab/>
      </w:r>
      <w:r w:rsidR="005D13EF" w:rsidRPr="00C903F8">
        <w:rPr>
          <w:noProof/>
          <w:lang w:val="en-US"/>
        </w:rPr>
        <w:t>I</w:t>
      </w:r>
      <w:r w:rsidR="00260F40" w:rsidRPr="00C903F8">
        <w:rPr>
          <w:noProof/>
          <w:lang w:val="en-US"/>
        </w:rPr>
        <w:t>t shall not be possible for forced-air heating appliances to draw their heating air from an engine room.</w:t>
      </w:r>
    </w:p>
    <w:p w:rsidR="00260F40" w:rsidRPr="00C903F8" w:rsidRDefault="00260F40" w:rsidP="00260F40">
      <w:pPr>
        <w:pStyle w:val="ESch"/>
        <w:rPr>
          <w:rFonts w:cs="Arial"/>
          <w:lang w:val="en-US"/>
        </w:rPr>
      </w:pPr>
    </w:p>
    <w:p w:rsidR="00260F40" w:rsidRPr="00C903F8" w:rsidRDefault="00260F40" w:rsidP="00260F40">
      <w:pPr>
        <w:pStyle w:val="ESch"/>
        <w:rPr>
          <w:rFonts w:cs="Arial"/>
          <w:lang w:val="en-US"/>
        </w:rPr>
      </w:pPr>
    </w:p>
    <w:p w:rsidR="00260F40" w:rsidRPr="00C903F8" w:rsidRDefault="00260F40" w:rsidP="00260F40">
      <w:pPr>
        <w:pStyle w:val="ES-Titre3"/>
        <w:rPr>
          <w:rFonts w:cs="Arial"/>
          <w:i/>
          <w:lang w:val="en-GB"/>
        </w:rPr>
      </w:pPr>
      <w:bookmarkStart w:id="151" w:name="_Toc491854139"/>
      <w:r w:rsidRPr="00C903F8">
        <w:rPr>
          <w:noProof/>
          <w:lang w:val="en-US"/>
        </w:rPr>
        <w:t>Article 16.07</w:t>
      </w:r>
      <w:r w:rsidRPr="00C903F8">
        <w:rPr>
          <w:noProof/>
          <w:lang w:val="en-US"/>
        </w:rPr>
        <w:br/>
      </w:r>
      <w:r w:rsidRPr="00C903F8">
        <w:rPr>
          <w:i/>
          <w:noProof/>
          <w:lang w:val="en-US"/>
        </w:rPr>
        <w:t>Solid fuel heating</w:t>
      </w:r>
      <w:bookmarkEnd w:id="151"/>
    </w:p>
    <w:p w:rsidR="00260F40" w:rsidRPr="00C903F8" w:rsidRDefault="00260F40" w:rsidP="00260F40">
      <w:pPr>
        <w:pStyle w:val="ESch"/>
        <w:rPr>
          <w:noProof/>
          <w:lang w:val="en-US"/>
        </w:rPr>
      </w:pPr>
    </w:p>
    <w:p w:rsidR="00260F40" w:rsidRPr="00C903F8" w:rsidRDefault="00260F40" w:rsidP="00260F40">
      <w:pPr>
        <w:pStyle w:val="ESch"/>
        <w:rPr>
          <w:rFonts w:cs="Arial"/>
          <w:lang w:val="en-US"/>
        </w:rPr>
      </w:pPr>
      <w:r w:rsidRPr="00C903F8">
        <w:rPr>
          <w:noProof/>
          <w:lang w:val="en-US"/>
        </w:rPr>
        <w:t>1.</w:t>
      </w:r>
      <w:r w:rsidRPr="00C903F8">
        <w:rPr>
          <w:noProof/>
          <w:lang w:val="en-US"/>
        </w:rPr>
        <w:tab/>
        <w:t>Solid fuel heating appliances shall be placed on a metal plate with raised edges such that no burning fuel or hot cinders fall outside the plate.</w:t>
      </w:r>
    </w:p>
    <w:p w:rsidR="00260F40" w:rsidRPr="00C903F8" w:rsidRDefault="00260F40" w:rsidP="00260F40">
      <w:pPr>
        <w:pStyle w:val="ESch"/>
        <w:rPr>
          <w:noProof/>
          <w:lang w:val="en-US"/>
        </w:rPr>
      </w:pPr>
    </w:p>
    <w:p w:rsidR="00260F40" w:rsidRPr="00C903F8" w:rsidRDefault="00260F40" w:rsidP="00260F40">
      <w:pPr>
        <w:pStyle w:val="ESchpar"/>
        <w:rPr>
          <w:rFonts w:cs="Arial"/>
          <w:lang w:val="en-US"/>
        </w:rPr>
      </w:pPr>
      <w:r w:rsidRPr="00C903F8">
        <w:rPr>
          <w:noProof/>
          <w:lang w:val="en-US"/>
        </w:rPr>
        <w:t>This requirement does not apply to appliances installed in compartments built of non-combustible materials and intended solely to house boilers.</w:t>
      </w:r>
    </w:p>
    <w:p w:rsidR="00260F40" w:rsidRPr="00C903F8" w:rsidRDefault="00260F40" w:rsidP="00260F40">
      <w:pPr>
        <w:pStyle w:val="ESch"/>
        <w:rPr>
          <w:noProof/>
          <w:lang w:val="en-US"/>
        </w:rPr>
      </w:pPr>
    </w:p>
    <w:p w:rsidR="00260F40" w:rsidRPr="00C903F8" w:rsidRDefault="00260F40" w:rsidP="00260F40">
      <w:pPr>
        <w:pStyle w:val="ESch"/>
        <w:rPr>
          <w:rFonts w:cs="Arial"/>
          <w:lang w:val="en-US"/>
        </w:rPr>
      </w:pPr>
      <w:r w:rsidRPr="00C903F8">
        <w:rPr>
          <w:noProof/>
          <w:lang w:val="en-US"/>
        </w:rPr>
        <w:t>2.</w:t>
      </w:r>
      <w:r w:rsidRPr="00C903F8">
        <w:rPr>
          <w:noProof/>
          <w:lang w:val="en-US"/>
        </w:rPr>
        <w:tab/>
        <w:t>Solid fuel boilers shall be fitted with thermostatic controls to regulate the flow of combustion air.</w:t>
      </w:r>
    </w:p>
    <w:p w:rsidR="00260F40" w:rsidRPr="00C903F8" w:rsidRDefault="00260F40" w:rsidP="00260F40">
      <w:pPr>
        <w:pStyle w:val="ESch"/>
        <w:rPr>
          <w:noProof/>
          <w:lang w:val="en-US"/>
        </w:rPr>
      </w:pPr>
    </w:p>
    <w:p w:rsidR="00260F40" w:rsidRPr="00C903F8" w:rsidRDefault="00260F40" w:rsidP="00260F40">
      <w:pPr>
        <w:pStyle w:val="ESch"/>
        <w:rPr>
          <w:rFonts w:cs="Arial"/>
          <w:lang w:val="en-US"/>
        </w:rPr>
      </w:pPr>
      <w:r w:rsidRPr="00C903F8">
        <w:rPr>
          <w:noProof/>
          <w:lang w:val="en-US"/>
        </w:rPr>
        <w:t>3.</w:t>
      </w:r>
      <w:r w:rsidRPr="00C903F8">
        <w:rPr>
          <w:noProof/>
          <w:lang w:val="en-US"/>
        </w:rPr>
        <w:tab/>
        <w:t>A means by which cinders can be quickly doused shall be placed in the vicinity of each heating appliance.</w:t>
      </w:r>
    </w:p>
    <w:p w:rsidR="00260F40" w:rsidRPr="00C903F8" w:rsidRDefault="00260F40" w:rsidP="00811428">
      <w:pPr>
        <w:pStyle w:val="ESch"/>
        <w:rPr>
          <w:szCs w:val="20"/>
          <w:lang w:val="en-US"/>
        </w:rPr>
      </w:pPr>
    </w:p>
    <w:p w:rsidR="00B51D33" w:rsidRPr="00C903F8" w:rsidRDefault="00B51D33" w:rsidP="00811428">
      <w:pPr>
        <w:pStyle w:val="ESch"/>
        <w:rPr>
          <w:szCs w:val="20"/>
          <w:lang w:val="en-US"/>
        </w:rPr>
      </w:pPr>
      <w:r w:rsidRPr="00C903F8">
        <w:rPr>
          <w:szCs w:val="20"/>
          <w:lang w:val="en-US"/>
        </w:rPr>
        <w:br w:type="page"/>
      </w:r>
    </w:p>
    <w:p w:rsidR="00B51D33" w:rsidRPr="00C903F8" w:rsidRDefault="00B51D33" w:rsidP="00811428">
      <w:pPr>
        <w:pStyle w:val="ESch"/>
        <w:rPr>
          <w:szCs w:val="20"/>
          <w:lang w:val="en-US"/>
        </w:rPr>
      </w:pPr>
    </w:p>
    <w:p w:rsidR="00D96486" w:rsidRPr="00C903F8" w:rsidRDefault="00D96486" w:rsidP="00811428">
      <w:pPr>
        <w:pStyle w:val="ESch"/>
        <w:rPr>
          <w:szCs w:val="20"/>
          <w:lang w:val="en-US"/>
        </w:rPr>
      </w:pPr>
    </w:p>
    <w:p w:rsidR="00AE4E9D" w:rsidRPr="00C903F8" w:rsidRDefault="00AE4E9D" w:rsidP="00AE4E9D">
      <w:pPr>
        <w:pStyle w:val="ES-Titre2"/>
        <w:rPr>
          <w:szCs w:val="24"/>
        </w:rPr>
      </w:pPr>
      <w:bookmarkStart w:id="152" w:name="_Toc491854140"/>
      <w:r w:rsidRPr="00C903F8">
        <w:lastRenderedPageBreak/>
        <w:t>Chapter 17</w:t>
      </w:r>
      <w:r w:rsidRPr="00C903F8">
        <w:br/>
      </w:r>
      <w:r w:rsidRPr="00C903F8">
        <w:rPr>
          <w:szCs w:val="24"/>
        </w:rPr>
        <w:t>Liquefied gas installations for domestic purposes</w:t>
      </w:r>
      <w:bookmarkEnd w:id="152"/>
    </w:p>
    <w:p w:rsidR="00AE4E9D" w:rsidRPr="00C903F8" w:rsidRDefault="00AE4E9D" w:rsidP="00AE4E9D">
      <w:pPr>
        <w:rPr>
          <w:lang w:val="en-US" w:eastAsia="en-US"/>
        </w:rPr>
      </w:pPr>
    </w:p>
    <w:p w:rsidR="00AE4E9D" w:rsidRPr="00C903F8" w:rsidRDefault="00AE4E9D" w:rsidP="00AE4E9D">
      <w:pPr>
        <w:pStyle w:val="ES-Titre3"/>
        <w:rPr>
          <w:lang w:val="en-US"/>
        </w:rPr>
      </w:pPr>
      <w:bookmarkStart w:id="153" w:name="_Toc491854141"/>
      <w:r w:rsidRPr="00C903F8">
        <w:rPr>
          <w:noProof/>
          <w:lang w:val="en-US"/>
        </w:rPr>
        <w:t>Article 1</w:t>
      </w:r>
      <w:r w:rsidR="001D67AA" w:rsidRPr="00C903F8">
        <w:rPr>
          <w:noProof/>
          <w:lang w:val="en-US"/>
        </w:rPr>
        <w:t>7</w:t>
      </w:r>
      <w:r w:rsidRPr="00C903F8">
        <w:rPr>
          <w:noProof/>
          <w:lang w:val="en-US"/>
        </w:rPr>
        <w:t>.01</w:t>
      </w:r>
      <w:r w:rsidRPr="00C903F8">
        <w:rPr>
          <w:noProof/>
          <w:lang w:val="en-US"/>
        </w:rPr>
        <w:br/>
      </w:r>
      <w:r w:rsidRPr="00C903F8">
        <w:rPr>
          <w:bCs/>
          <w:i/>
          <w:noProof/>
          <w:lang w:val="en-US"/>
        </w:rPr>
        <w:t>General</w:t>
      </w:r>
      <w:bookmarkEnd w:id="153"/>
    </w:p>
    <w:p w:rsidR="00AE4E9D" w:rsidRPr="00C903F8" w:rsidRDefault="00AE4E9D" w:rsidP="00AE4E9D">
      <w:pPr>
        <w:pStyle w:val="ESch"/>
        <w:rPr>
          <w:noProof/>
          <w:lang w:val="en-US"/>
        </w:rPr>
      </w:pPr>
    </w:p>
    <w:p w:rsidR="00AE4E9D" w:rsidRPr="00C903F8" w:rsidRDefault="00AE4E9D" w:rsidP="00AE4E9D">
      <w:pPr>
        <w:pStyle w:val="ESch"/>
        <w:rPr>
          <w:szCs w:val="20"/>
          <w:lang w:val="en-US"/>
        </w:rPr>
      </w:pPr>
      <w:r w:rsidRPr="00C903F8">
        <w:rPr>
          <w:szCs w:val="20"/>
          <w:lang w:val="en-US"/>
        </w:rPr>
        <w:t>1.</w:t>
      </w:r>
      <w:r w:rsidRPr="00C903F8">
        <w:rPr>
          <w:szCs w:val="20"/>
          <w:lang w:val="en-US"/>
        </w:rPr>
        <w:tab/>
        <w:t>Liquefied gas installations consist essentially of a supply unit comprising one or more gas receptacles, and of one or more pressure regulators, a distribution system and a number of gas-consuming appliances.</w:t>
      </w:r>
    </w:p>
    <w:p w:rsidR="00AE4E9D" w:rsidRPr="00C903F8" w:rsidRDefault="00AE4E9D" w:rsidP="00AE4E9D">
      <w:pPr>
        <w:pStyle w:val="ESch"/>
        <w:rPr>
          <w:szCs w:val="20"/>
          <w:lang w:val="en-US"/>
        </w:rPr>
      </w:pPr>
    </w:p>
    <w:p w:rsidR="00AE4E9D" w:rsidRPr="00C903F8" w:rsidRDefault="00AE4E9D" w:rsidP="00AE4E9D">
      <w:pPr>
        <w:pStyle w:val="ESchpar"/>
        <w:rPr>
          <w:lang w:val="en-US"/>
        </w:rPr>
      </w:pPr>
      <w:r w:rsidRPr="00C903F8">
        <w:rPr>
          <w:szCs w:val="20"/>
          <w:lang w:val="en-US"/>
        </w:rPr>
        <w:t xml:space="preserve">Spare and empty receptacles not in the supply unit shall not be considered part of the installation. Article 17.05 shall apply to them </w:t>
      </w:r>
      <w:r w:rsidRPr="00C903F8">
        <w:rPr>
          <w:i/>
          <w:szCs w:val="20"/>
          <w:lang w:val="en-US"/>
        </w:rPr>
        <w:t>mutatis mutandis</w:t>
      </w:r>
      <w:r w:rsidRPr="00C903F8">
        <w:rPr>
          <w:szCs w:val="20"/>
          <w:lang w:val="en-US"/>
        </w:rPr>
        <w:t>.</w:t>
      </w:r>
    </w:p>
    <w:p w:rsidR="00AE4E9D" w:rsidRPr="00C903F8" w:rsidRDefault="00AE4E9D" w:rsidP="00AE4E9D">
      <w:pPr>
        <w:pStyle w:val="ESch"/>
        <w:rPr>
          <w:szCs w:val="20"/>
          <w:lang w:val="en-US"/>
        </w:rPr>
      </w:pPr>
    </w:p>
    <w:p w:rsidR="00AE4E9D" w:rsidRPr="00C903F8" w:rsidRDefault="00AE4E9D" w:rsidP="00AE4E9D">
      <w:pPr>
        <w:pStyle w:val="ESch"/>
        <w:rPr>
          <w:szCs w:val="20"/>
          <w:lang w:val="en-US"/>
        </w:rPr>
      </w:pPr>
      <w:r w:rsidRPr="00C903F8">
        <w:rPr>
          <w:szCs w:val="20"/>
          <w:lang w:val="en-US"/>
        </w:rPr>
        <w:t>2.</w:t>
      </w:r>
      <w:r w:rsidRPr="00C903F8">
        <w:rPr>
          <w:szCs w:val="20"/>
          <w:lang w:val="en-US"/>
        </w:rPr>
        <w:tab/>
        <w:t>Installations may be operated only with commercial propane.</w:t>
      </w:r>
    </w:p>
    <w:p w:rsidR="00AE4E9D" w:rsidRPr="00C903F8" w:rsidRDefault="00AE4E9D" w:rsidP="00AE4E9D">
      <w:pPr>
        <w:pStyle w:val="ESch"/>
        <w:rPr>
          <w:szCs w:val="20"/>
          <w:lang w:val="en-US"/>
        </w:rPr>
      </w:pPr>
    </w:p>
    <w:p w:rsidR="001D67AA" w:rsidRPr="00C903F8" w:rsidRDefault="001D67AA" w:rsidP="00AE4E9D">
      <w:pPr>
        <w:pStyle w:val="ESch"/>
        <w:rPr>
          <w:szCs w:val="20"/>
          <w:lang w:val="en-US"/>
        </w:rPr>
      </w:pPr>
    </w:p>
    <w:p w:rsidR="00AE4E9D" w:rsidRPr="00C903F8" w:rsidRDefault="00AE4E9D" w:rsidP="00AE4E9D">
      <w:pPr>
        <w:pStyle w:val="ES-Titre3"/>
        <w:rPr>
          <w:lang w:val="en-US"/>
        </w:rPr>
      </w:pPr>
      <w:bookmarkStart w:id="154" w:name="_Toc491854142"/>
      <w:r w:rsidRPr="00C903F8">
        <w:rPr>
          <w:lang w:val="en-US"/>
        </w:rPr>
        <w:t>Article 17.02</w:t>
      </w:r>
      <w:r w:rsidRPr="00C903F8">
        <w:rPr>
          <w:lang w:val="en-US"/>
        </w:rPr>
        <w:br/>
      </w:r>
      <w:r w:rsidRPr="00C903F8">
        <w:rPr>
          <w:i/>
          <w:lang w:val="en-US"/>
        </w:rPr>
        <w:t>Installations</w:t>
      </w:r>
      <w:bookmarkEnd w:id="154"/>
    </w:p>
    <w:p w:rsidR="001D67AA" w:rsidRPr="00C903F8" w:rsidRDefault="001D67AA" w:rsidP="00AE4E9D">
      <w:pPr>
        <w:pStyle w:val="ESch"/>
        <w:rPr>
          <w:szCs w:val="20"/>
          <w:lang w:val="en-US"/>
        </w:rPr>
      </w:pPr>
    </w:p>
    <w:p w:rsidR="00AE4E9D" w:rsidRPr="00C903F8" w:rsidRDefault="00AE4E9D" w:rsidP="00AE4E9D">
      <w:pPr>
        <w:pStyle w:val="ESch"/>
        <w:rPr>
          <w:rFonts w:cs="Arial"/>
          <w:szCs w:val="20"/>
          <w:lang w:val="en-US"/>
        </w:rPr>
      </w:pPr>
      <w:r w:rsidRPr="00C903F8">
        <w:rPr>
          <w:szCs w:val="20"/>
          <w:lang w:val="en-US"/>
        </w:rPr>
        <w:t>1.</w:t>
      </w:r>
      <w:r w:rsidRPr="00C903F8">
        <w:rPr>
          <w:szCs w:val="20"/>
          <w:lang w:val="en-US"/>
        </w:rPr>
        <w:tab/>
        <w:t>Liquefied gas installations shall be suitable throughout for use with propane and shall be built and installed in accordance with best practice.</w:t>
      </w:r>
    </w:p>
    <w:p w:rsidR="001D67AA" w:rsidRPr="00C903F8" w:rsidRDefault="001D67AA" w:rsidP="00AE4E9D">
      <w:pPr>
        <w:pStyle w:val="ESch"/>
        <w:rPr>
          <w:szCs w:val="20"/>
          <w:lang w:val="en-US"/>
        </w:rPr>
      </w:pPr>
    </w:p>
    <w:p w:rsidR="00AE4E9D" w:rsidRPr="00C903F8" w:rsidRDefault="00AE4E9D" w:rsidP="00AE4E9D">
      <w:pPr>
        <w:pStyle w:val="ESch"/>
        <w:rPr>
          <w:rFonts w:cs="Arial"/>
          <w:szCs w:val="20"/>
          <w:lang w:val="en-US"/>
        </w:rPr>
      </w:pPr>
      <w:r w:rsidRPr="00C903F8">
        <w:rPr>
          <w:szCs w:val="20"/>
          <w:lang w:val="en-US"/>
        </w:rPr>
        <w:t>2.</w:t>
      </w:r>
      <w:r w:rsidRPr="00C903F8">
        <w:rPr>
          <w:szCs w:val="20"/>
          <w:lang w:val="en-US"/>
        </w:rPr>
        <w:tab/>
        <w:t>Liquefied gas installations may be used only for domestic purposes in the accommodation and the wheelhouse, and for corresponding purposes on passenger vessels.</w:t>
      </w:r>
    </w:p>
    <w:p w:rsidR="001D67AA" w:rsidRPr="00C903F8" w:rsidRDefault="001D67AA" w:rsidP="00AE4E9D">
      <w:pPr>
        <w:pStyle w:val="ESch"/>
        <w:rPr>
          <w:szCs w:val="20"/>
          <w:lang w:val="en-US"/>
        </w:rPr>
      </w:pPr>
    </w:p>
    <w:p w:rsidR="00AE4E9D" w:rsidRPr="00C903F8" w:rsidRDefault="00AE4E9D" w:rsidP="00AE4E9D">
      <w:pPr>
        <w:pStyle w:val="ESch"/>
        <w:rPr>
          <w:rFonts w:cs="Arial"/>
          <w:szCs w:val="20"/>
          <w:lang w:val="en-US"/>
        </w:rPr>
      </w:pPr>
      <w:r w:rsidRPr="00C903F8">
        <w:rPr>
          <w:szCs w:val="20"/>
          <w:lang w:val="en-US"/>
        </w:rPr>
        <w:t>3.</w:t>
      </w:r>
      <w:r w:rsidRPr="00C903F8">
        <w:rPr>
          <w:szCs w:val="20"/>
          <w:lang w:val="en-US"/>
        </w:rPr>
        <w:tab/>
        <w:t>There may be a number of separate installations on board. A single installation shall not be used to serve accommodation areas separated by a hold or a fixed tank.</w:t>
      </w:r>
    </w:p>
    <w:p w:rsidR="001D67AA" w:rsidRPr="00C903F8" w:rsidRDefault="001D67AA" w:rsidP="00AE4E9D">
      <w:pPr>
        <w:pStyle w:val="ESch"/>
        <w:rPr>
          <w:szCs w:val="20"/>
          <w:lang w:val="en-US"/>
        </w:rPr>
      </w:pPr>
    </w:p>
    <w:p w:rsidR="00AE4E9D" w:rsidRPr="00C903F8" w:rsidRDefault="00AE4E9D" w:rsidP="00AE4E9D">
      <w:pPr>
        <w:pStyle w:val="ESch"/>
        <w:rPr>
          <w:szCs w:val="20"/>
          <w:lang w:val="en-US"/>
        </w:rPr>
      </w:pPr>
      <w:r w:rsidRPr="00C903F8">
        <w:rPr>
          <w:szCs w:val="20"/>
          <w:lang w:val="en-US"/>
        </w:rPr>
        <w:t>4.</w:t>
      </w:r>
      <w:r w:rsidRPr="00C903F8">
        <w:rPr>
          <w:szCs w:val="20"/>
          <w:lang w:val="en-US"/>
        </w:rPr>
        <w:tab/>
        <w:t>No part of a liquefied gas installation shall be located in the engine room.</w:t>
      </w:r>
    </w:p>
    <w:p w:rsidR="001D67AA" w:rsidRPr="00C903F8" w:rsidRDefault="001D67AA" w:rsidP="00AE4E9D">
      <w:pPr>
        <w:pStyle w:val="ESch"/>
        <w:rPr>
          <w:szCs w:val="20"/>
          <w:lang w:val="en-US"/>
        </w:rPr>
      </w:pPr>
    </w:p>
    <w:p w:rsidR="001D67AA" w:rsidRPr="00C903F8" w:rsidRDefault="001D67AA" w:rsidP="00AE4E9D">
      <w:pPr>
        <w:pStyle w:val="ESch"/>
        <w:rPr>
          <w:rFonts w:cs="Arial"/>
          <w:szCs w:val="20"/>
          <w:lang w:val="en-US"/>
        </w:rPr>
      </w:pPr>
    </w:p>
    <w:p w:rsidR="00AE4E9D" w:rsidRPr="00C903F8" w:rsidRDefault="00AE4E9D" w:rsidP="00AE4E9D">
      <w:pPr>
        <w:pStyle w:val="ES-Titre3"/>
        <w:rPr>
          <w:lang w:val="en-US"/>
        </w:rPr>
      </w:pPr>
      <w:bookmarkStart w:id="155" w:name="_Toc491854143"/>
      <w:r w:rsidRPr="00C903F8">
        <w:rPr>
          <w:lang w:val="en-US"/>
        </w:rPr>
        <w:t>Article 17.03</w:t>
      </w:r>
      <w:r w:rsidRPr="00C903F8">
        <w:rPr>
          <w:lang w:val="en-US"/>
        </w:rPr>
        <w:br/>
      </w:r>
      <w:r w:rsidRPr="00C903F8">
        <w:rPr>
          <w:i/>
          <w:lang w:val="en-US"/>
        </w:rPr>
        <w:t>Receptacles</w:t>
      </w:r>
      <w:bookmarkEnd w:id="155"/>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1.</w:t>
      </w:r>
      <w:r w:rsidRPr="00C903F8">
        <w:rPr>
          <w:lang w:val="en-US"/>
        </w:rPr>
        <w:tab/>
        <w:t>Only receptacles with an approved content of between 5 and 35 kg are permitted. In the case of passenger vessels, the inspection body may approve the use of receptacles with a larger content.</w:t>
      </w:r>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2.</w:t>
      </w:r>
      <w:r w:rsidRPr="00C903F8">
        <w:rPr>
          <w:lang w:val="en-US"/>
        </w:rPr>
        <w:tab/>
        <w:t xml:space="preserve">The receptacles must satisfy the current requirements in one of the </w:t>
      </w:r>
      <w:r w:rsidR="007C7F1D" w:rsidRPr="00C903F8">
        <w:rPr>
          <w:lang w:val="en-US"/>
        </w:rPr>
        <w:t>M</w:t>
      </w:r>
      <w:r w:rsidRPr="00C903F8">
        <w:rPr>
          <w:lang w:val="en-US"/>
        </w:rPr>
        <w:t xml:space="preserve">ember </w:t>
      </w:r>
      <w:r w:rsidR="007C7F1D" w:rsidRPr="00C903F8">
        <w:rPr>
          <w:lang w:val="en-US"/>
        </w:rPr>
        <w:t>S</w:t>
      </w:r>
      <w:r w:rsidRPr="00C903F8">
        <w:rPr>
          <w:lang w:val="en-US"/>
        </w:rPr>
        <w:t>tates.</w:t>
      </w:r>
    </w:p>
    <w:p w:rsidR="001D67AA" w:rsidRPr="00C903F8" w:rsidRDefault="001D67AA" w:rsidP="001D67AA">
      <w:pPr>
        <w:pStyle w:val="ESch"/>
        <w:rPr>
          <w:lang w:val="en-US"/>
        </w:rPr>
      </w:pPr>
    </w:p>
    <w:p w:rsidR="00AE4E9D" w:rsidRPr="00C903F8" w:rsidRDefault="00AE4E9D" w:rsidP="001D67AA">
      <w:pPr>
        <w:pStyle w:val="ESchpar"/>
        <w:rPr>
          <w:lang w:val="en-US"/>
        </w:rPr>
      </w:pPr>
      <w:r w:rsidRPr="00C903F8">
        <w:rPr>
          <w:lang w:val="en-US"/>
        </w:rPr>
        <w:t>These receptacles shall bear the official stamp certifying that they have been accepted following the required tests.</w:t>
      </w:r>
    </w:p>
    <w:p w:rsidR="00AE4E9D" w:rsidRPr="00C903F8" w:rsidRDefault="00AE4E9D" w:rsidP="001D67AA">
      <w:pPr>
        <w:pStyle w:val="ESch"/>
        <w:rPr>
          <w:lang w:val="en-US"/>
        </w:rPr>
      </w:pPr>
    </w:p>
    <w:p w:rsidR="001D67AA" w:rsidRPr="00C903F8" w:rsidRDefault="001D67AA" w:rsidP="001D67AA">
      <w:pPr>
        <w:pStyle w:val="ESch"/>
        <w:rPr>
          <w:lang w:val="en-US"/>
        </w:rPr>
      </w:pPr>
    </w:p>
    <w:p w:rsidR="00AE4E9D" w:rsidRPr="00C903F8" w:rsidRDefault="00AE4E9D" w:rsidP="00AE4E9D">
      <w:pPr>
        <w:pStyle w:val="ES-Titre3"/>
        <w:rPr>
          <w:i/>
          <w:lang w:val="en-US"/>
        </w:rPr>
      </w:pPr>
      <w:bookmarkStart w:id="156" w:name="_Toc491854144"/>
      <w:r w:rsidRPr="00C903F8">
        <w:rPr>
          <w:lang w:val="en-US"/>
        </w:rPr>
        <w:t>Article 17.04</w:t>
      </w:r>
      <w:r w:rsidRPr="00C903F8">
        <w:rPr>
          <w:lang w:val="en-US"/>
        </w:rPr>
        <w:br/>
      </w:r>
      <w:r w:rsidRPr="00C903F8">
        <w:rPr>
          <w:i/>
          <w:lang w:val="en-US"/>
        </w:rPr>
        <w:t>Location and arrangement of supply units</w:t>
      </w:r>
      <w:bookmarkEnd w:id="156"/>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1.</w:t>
      </w:r>
      <w:r w:rsidRPr="00C903F8">
        <w:rPr>
          <w:lang w:val="en-US"/>
        </w:rPr>
        <w:tab/>
        <w:t>Supply units shall be installed on deck in a freestanding or wall cupboard located outside the accommodation in a position such that it does not interfere with movement on board. They shall not, however, be installed against the fore or aft bulwark. The cupboard may be a wall cupboard set into the superstructure provided that it is gastight and can only be opened from outside the superstructure. It shall be so located that the distribution pipes leading to the gas consumption points are as short as possible.</w:t>
      </w:r>
    </w:p>
    <w:p w:rsidR="001D67AA" w:rsidRPr="00C903F8" w:rsidRDefault="001D67AA" w:rsidP="001D67AA">
      <w:pPr>
        <w:pStyle w:val="ESch"/>
        <w:rPr>
          <w:lang w:val="en-US"/>
        </w:rPr>
      </w:pPr>
    </w:p>
    <w:p w:rsidR="001D67AA" w:rsidRPr="00C903F8" w:rsidRDefault="001D67AA" w:rsidP="001D67AA">
      <w:pPr>
        <w:pStyle w:val="ESch"/>
        <w:rPr>
          <w:lang w:val="en-US"/>
        </w:rPr>
      </w:pPr>
      <w:r w:rsidRPr="00C903F8">
        <w:rPr>
          <w:lang w:val="en-US"/>
        </w:rPr>
        <w:br w:type="page"/>
      </w:r>
    </w:p>
    <w:p w:rsidR="00AE4E9D" w:rsidRPr="00C903F8" w:rsidRDefault="00AE4E9D" w:rsidP="001D67AA">
      <w:pPr>
        <w:pStyle w:val="ESchpar"/>
        <w:rPr>
          <w:lang w:val="en-US"/>
        </w:rPr>
      </w:pPr>
      <w:r w:rsidRPr="00C903F8">
        <w:rPr>
          <w:lang w:val="en-US"/>
        </w:rPr>
        <w:lastRenderedPageBreak/>
        <w:t>No more receptacles may be in operation simultaneously than are necessary for the functioning of the installation. Several receptacles may be connected only if a reversing coupler is used. Up to four receptacles may be connected per supply unit. The number of receptacles on board, including spare receptacles, shall not exceed six per installation.</w:t>
      </w:r>
    </w:p>
    <w:p w:rsidR="00397B6A" w:rsidRPr="00C903F8" w:rsidRDefault="00397B6A" w:rsidP="001D67AA">
      <w:pPr>
        <w:pStyle w:val="ESchpar"/>
        <w:rPr>
          <w:lang w:val="en-US"/>
        </w:rPr>
      </w:pPr>
    </w:p>
    <w:p w:rsidR="00AE4E9D" w:rsidRPr="00C903F8" w:rsidRDefault="00AE4E9D" w:rsidP="001D67AA">
      <w:pPr>
        <w:pStyle w:val="ESchpar"/>
        <w:rPr>
          <w:lang w:val="en-US"/>
        </w:rPr>
      </w:pPr>
      <w:r w:rsidRPr="00C903F8">
        <w:rPr>
          <w:lang w:val="en-US"/>
        </w:rPr>
        <w:t>Up to six receptacles may be connected on passenger vessels with galleys or canteens for passengers. The number of receptacles on board, including spare receptacles, shall not exceed nine per installation.</w:t>
      </w:r>
    </w:p>
    <w:p w:rsidR="001D67AA" w:rsidRPr="00C903F8" w:rsidRDefault="001D67AA" w:rsidP="001D67AA">
      <w:pPr>
        <w:pStyle w:val="ESchpar"/>
        <w:rPr>
          <w:lang w:val="en-US"/>
        </w:rPr>
      </w:pPr>
    </w:p>
    <w:p w:rsidR="00AE4E9D" w:rsidRPr="00C903F8" w:rsidRDefault="00AE4E9D" w:rsidP="001D67AA">
      <w:pPr>
        <w:pStyle w:val="ESchpar"/>
        <w:rPr>
          <w:lang w:val="en-US"/>
        </w:rPr>
      </w:pPr>
      <w:r w:rsidRPr="00C903F8">
        <w:rPr>
          <w:lang w:val="en-US"/>
        </w:rPr>
        <w:t>Pressure regulators, or in case of two-stage regulation the first pressure regulator, shall be fitted to a wall in the same cupboard as the receptacles.</w:t>
      </w:r>
    </w:p>
    <w:p w:rsidR="001D67AA" w:rsidRPr="00C903F8" w:rsidRDefault="001D67AA" w:rsidP="001D67AA">
      <w:pPr>
        <w:pStyle w:val="ESchpar"/>
        <w:rPr>
          <w:lang w:val="en-US"/>
        </w:rPr>
      </w:pPr>
    </w:p>
    <w:p w:rsidR="00AE4E9D" w:rsidRPr="00C903F8" w:rsidRDefault="00AE4E9D" w:rsidP="001D67AA">
      <w:pPr>
        <w:pStyle w:val="ESch"/>
        <w:rPr>
          <w:lang w:val="en-US"/>
        </w:rPr>
      </w:pPr>
      <w:r w:rsidRPr="00C903F8">
        <w:rPr>
          <w:lang w:val="en-US"/>
        </w:rPr>
        <w:t>2.</w:t>
      </w:r>
      <w:r w:rsidRPr="00C903F8">
        <w:rPr>
          <w:lang w:val="en-US"/>
        </w:rPr>
        <w:tab/>
        <w:t>Supply units shall be so installed that any leaking gas can escape from the cupboard into the open without any risk of it penetrating inside the vessel or coming into contact with a source of ignition.</w:t>
      </w:r>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3.</w:t>
      </w:r>
      <w:r w:rsidRPr="00C903F8">
        <w:rPr>
          <w:lang w:val="en-US"/>
        </w:rPr>
        <w:tab/>
        <w:t>Cupboards shall be constructed of flame-retardant materials and shall be sufficiently ventilated by apertures in the top and bottom. Receptacles shall be placed upright in the cupboards in such a way that they cannot overturn.</w:t>
      </w:r>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4.</w:t>
      </w:r>
      <w:r w:rsidRPr="00C903F8">
        <w:rPr>
          <w:lang w:val="en-US"/>
        </w:rPr>
        <w:tab/>
        <w:t>Cupboards shall be so built and placed that the temperature of the receptacles cannot exceed 50 °C.</w:t>
      </w:r>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5.</w:t>
      </w:r>
      <w:r w:rsidRPr="00C903F8">
        <w:rPr>
          <w:lang w:val="en-US"/>
        </w:rPr>
        <w:tab/>
        <w:t>The words ‘Liquefied gas’ and a ‘Fire, naked flame and smoking prohibited’ symbol at least 10</w:t>
      </w:r>
      <w:r w:rsidR="00DE524A">
        <w:rPr>
          <w:lang w:val="en-US"/>
        </w:rPr>
        <w:t> </w:t>
      </w:r>
      <w:r w:rsidRPr="00C903F8">
        <w:rPr>
          <w:lang w:val="en-US"/>
        </w:rPr>
        <w:t xml:space="preserve">cm in diameter in accordance with Figure 2 of Annex </w:t>
      </w:r>
      <w:r w:rsidR="002E6F15" w:rsidRPr="00C903F8">
        <w:rPr>
          <w:lang w:val="en-US"/>
        </w:rPr>
        <w:t>4</w:t>
      </w:r>
      <w:r w:rsidRPr="00C903F8">
        <w:rPr>
          <w:lang w:val="en-US"/>
        </w:rPr>
        <w:t xml:space="preserve"> shall be affixed to the outer wall of the cupboard.</w:t>
      </w:r>
    </w:p>
    <w:p w:rsidR="001D67AA" w:rsidRPr="00C903F8" w:rsidRDefault="001D67AA" w:rsidP="001D67AA">
      <w:pPr>
        <w:pStyle w:val="ESch"/>
        <w:rPr>
          <w:lang w:val="en-US"/>
        </w:rPr>
      </w:pPr>
    </w:p>
    <w:p w:rsidR="00AE4E9D" w:rsidRPr="00C903F8" w:rsidRDefault="00AE4E9D" w:rsidP="001D67AA">
      <w:pPr>
        <w:pStyle w:val="ESch"/>
        <w:rPr>
          <w:lang w:val="en-US"/>
        </w:rPr>
      </w:pPr>
    </w:p>
    <w:p w:rsidR="00AE4E9D" w:rsidRPr="00C903F8" w:rsidRDefault="00AE4E9D" w:rsidP="00AE4E9D">
      <w:pPr>
        <w:pStyle w:val="ES-Titre3"/>
        <w:rPr>
          <w:i/>
          <w:lang w:val="en-US"/>
        </w:rPr>
      </w:pPr>
      <w:bookmarkStart w:id="157" w:name="_Toc491854145"/>
      <w:r w:rsidRPr="00C903F8">
        <w:rPr>
          <w:lang w:val="en-US"/>
        </w:rPr>
        <w:t>Article 17.05</w:t>
      </w:r>
      <w:r w:rsidRPr="00C903F8">
        <w:rPr>
          <w:lang w:val="en-US"/>
        </w:rPr>
        <w:br/>
      </w:r>
      <w:r w:rsidRPr="00C903F8">
        <w:rPr>
          <w:i/>
          <w:lang w:val="en-US"/>
        </w:rPr>
        <w:t>Spare and empty receptacles</w:t>
      </w:r>
      <w:bookmarkEnd w:id="157"/>
    </w:p>
    <w:p w:rsidR="001D67AA" w:rsidRPr="00C903F8" w:rsidRDefault="001D67AA" w:rsidP="001D67AA">
      <w:pPr>
        <w:pStyle w:val="ESch"/>
        <w:rPr>
          <w:lang w:val="en-US"/>
        </w:rPr>
      </w:pPr>
    </w:p>
    <w:p w:rsidR="00AE4E9D" w:rsidRPr="00C903F8" w:rsidRDefault="00AE4E9D" w:rsidP="001D67AA">
      <w:pPr>
        <w:pStyle w:val="ESgauche"/>
        <w:rPr>
          <w:lang w:val="en-US"/>
        </w:rPr>
      </w:pPr>
      <w:r w:rsidRPr="00C903F8">
        <w:rPr>
          <w:lang w:val="en-US"/>
        </w:rPr>
        <w:t>Spare and empty receptacles not located in the supply unit shall be stored outside the accommodation and the wheelhouse in a cupboard built in accordance with Article 17.04.</w:t>
      </w:r>
    </w:p>
    <w:p w:rsidR="00AE4E9D" w:rsidRPr="00C903F8" w:rsidRDefault="00AE4E9D" w:rsidP="001D67AA">
      <w:pPr>
        <w:pStyle w:val="ESch"/>
        <w:rPr>
          <w:lang w:val="en-US"/>
        </w:rPr>
      </w:pPr>
    </w:p>
    <w:p w:rsidR="001D67AA" w:rsidRPr="00C903F8" w:rsidRDefault="001D67AA" w:rsidP="001D67AA">
      <w:pPr>
        <w:pStyle w:val="ESch"/>
        <w:rPr>
          <w:lang w:val="en-US"/>
        </w:rPr>
      </w:pPr>
    </w:p>
    <w:p w:rsidR="00AE4E9D" w:rsidRPr="00C903F8" w:rsidRDefault="00AE4E9D" w:rsidP="00AE4E9D">
      <w:pPr>
        <w:pStyle w:val="ES-Titre3"/>
        <w:rPr>
          <w:i/>
          <w:lang w:val="en-US"/>
        </w:rPr>
      </w:pPr>
      <w:bookmarkStart w:id="158" w:name="_Toc491854146"/>
      <w:r w:rsidRPr="00C903F8">
        <w:rPr>
          <w:lang w:val="en-US"/>
        </w:rPr>
        <w:t>Article 17.06</w:t>
      </w:r>
      <w:r w:rsidRPr="00C903F8">
        <w:rPr>
          <w:lang w:val="en-US"/>
        </w:rPr>
        <w:br/>
      </w:r>
      <w:r w:rsidRPr="00C903F8">
        <w:rPr>
          <w:i/>
          <w:lang w:val="en-US"/>
        </w:rPr>
        <w:t>Pressure regulators</w:t>
      </w:r>
      <w:bookmarkEnd w:id="158"/>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1.</w:t>
      </w:r>
      <w:r w:rsidRPr="00C903F8">
        <w:rPr>
          <w:lang w:val="en-US"/>
        </w:rPr>
        <w:tab/>
        <w:t>Gas-consuming appliances may be connected to receptacles only through a distribution system fitted with one or more pressure regulators to bring the gas pressure down to the utilisation pressure. The pressure may be reduced in one or two stages. All pressure regulators shall be set permanently at a pressure determined in accordance with Article 17.07.</w:t>
      </w:r>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2.</w:t>
      </w:r>
      <w:r w:rsidRPr="00C903F8">
        <w:rPr>
          <w:lang w:val="en-US"/>
        </w:rPr>
        <w:tab/>
        <w:t>The final pressure regulators shall be either fitted with or immediately followed by a device to protect the pipe automatically against excess pressure in the event of a malfunctioning of the pressure regulator. It shall be ensured that in the event of a leak in the protection device any leaking gas can escape into the open without any risk of it penetrating inside the vessel or coming into contact with a source of ignition; if necessary, a special pipe shall be fitted for this purpose.</w:t>
      </w:r>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3.</w:t>
      </w:r>
      <w:r w:rsidRPr="00C903F8">
        <w:rPr>
          <w:lang w:val="en-US"/>
        </w:rPr>
        <w:tab/>
        <w:t>The protection devices and vents shall be protected against the entry of water.</w:t>
      </w:r>
    </w:p>
    <w:p w:rsidR="00AE4E9D" w:rsidRPr="00C903F8" w:rsidRDefault="00AE4E9D" w:rsidP="001D67AA">
      <w:pPr>
        <w:pStyle w:val="ESch"/>
        <w:rPr>
          <w:lang w:val="en-US"/>
        </w:rPr>
      </w:pPr>
    </w:p>
    <w:p w:rsidR="001D67AA" w:rsidRPr="00C903F8" w:rsidRDefault="001D67AA" w:rsidP="001D67AA">
      <w:pPr>
        <w:pStyle w:val="ESch"/>
        <w:rPr>
          <w:lang w:val="en-US"/>
        </w:rPr>
      </w:pPr>
      <w:r w:rsidRPr="00C903F8">
        <w:rPr>
          <w:lang w:val="en-US"/>
        </w:rPr>
        <w:br w:type="page"/>
      </w:r>
    </w:p>
    <w:p w:rsidR="00AE4E9D" w:rsidRPr="00C903F8" w:rsidRDefault="00AE4E9D" w:rsidP="00AE4E9D">
      <w:pPr>
        <w:pStyle w:val="ES-Titre3"/>
        <w:rPr>
          <w:i/>
          <w:lang w:val="en-US"/>
        </w:rPr>
      </w:pPr>
      <w:bookmarkStart w:id="159" w:name="_Toc491854147"/>
      <w:r w:rsidRPr="00C903F8">
        <w:rPr>
          <w:lang w:val="en-US"/>
        </w:rPr>
        <w:lastRenderedPageBreak/>
        <w:t>Article 17.07</w:t>
      </w:r>
      <w:r w:rsidRPr="00C903F8">
        <w:rPr>
          <w:lang w:val="en-US"/>
        </w:rPr>
        <w:br/>
      </w:r>
      <w:r w:rsidRPr="00C903F8">
        <w:rPr>
          <w:i/>
          <w:lang w:val="en-US"/>
        </w:rPr>
        <w:t>Pressure</w:t>
      </w:r>
      <w:bookmarkEnd w:id="159"/>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1.</w:t>
      </w:r>
      <w:r w:rsidRPr="00C903F8">
        <w:rPr>
          <w:lang w:val="en-US"/>
        </w:rPr>
        <w:tab/>
        <w:t>Where two-stage regulating systems are used, the mean pressure shall be not more than 2,5</w:t>
      </w:r>
      <w:r w:rsidR="001D67AA" w:rsidRPr="00C903F8">
        <w:rPr>
          <w:lang w:val="en-US"/>
        </w:rPr>
        <w:t> </w:t>
      </w:r>
      <w:r w:rsidRPr="00C903F8">
        <w:rPr>
          <w:lang w:val="en-US"/>
        </w:rPr>
        <w:t>bar above atmospheric pressure.</w:t>
      </w:r>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2.</w:t>
      </w:r>
      <w:r w:rsidRPr="00C903F8">
        <w:rPr>
          <w:lang w:val="en-US"/>
        </w:rPr>
        <w:tab/>
        <w:t>The pressure at the outlet from the last pressure regula</w:t>
      </w:r>
      <w:r w:rsidR="001D67AA" w:rsidRPr="00C903F8">
        <w:rPr>
          <w:lang w:val="en-US"/>
        </w:rPr>
        <w:t>tor shall be not more than 0,05 </w:t>
      </w:r>
      <w:r w:rsidRPr="00C903F8">
        <w:rPr>
          <w:lang w:val="en-US"/>
        </w:rPr>
        <w:t>bar above atmospheric pressure, with a tolerance of 10 %.</w:t>
      </w:r>
    </w:p>
    <w:p w:rsidR="00AE4E9D" w:rsidRPr="00C903F8" w:rsidRDefault="00AE4E9D" w:rsidP="001D67AA">
      <w:pPr>
        <w:pStyle w:val="ESch"/>
        <w:rPr>
          <w:lang w:val="en-US"/>
        </w:rPr>
      </w:pPr>
    </w:p>
    <w:p w:rsidR="001D67AA" w:rsidRPr="00C903F8" w:rsidRDefault="001D67AA" w:rsidP="001D67AA">
      <w:pPr>
        <w:pStyle w:val="ESch"/>
        <w:rPr>
          <w:lang w:val="en-US"/>
        </w:rPr>
      </w:pPr>
    </w:p>
    <w:p w:rsidR="00AE4E9D" w:rsidRPr="00C903F8" w:rsidRDefault="00AE4E9D" w:rsidP="00AE4E9D">
      <w:pPr>
        <w:pStyle w:val="ES-Titre3"/>
        <w:rPr>
          <w:i/>
          <w:lang w:val="en-US"/>
        </w:rPr>
      </w:pPr>
      <w:bookmarkStart w:id="160" w:name="_Toc491854148"/>
      <w:r w:rsidRPr="00C903F8">
        <w:rPr>
          <w:lang w:val="en-US"/>
        </w:rPr>
        <w:t>Article 17.08</w:t>
      </w:r>
      <w:r w:rsidRPr="00C903F8">
        <w:rPr>
          <w:lang w:val="en-US"/>
        </w:rPr>
        <w:br/>
      </w:r>
      <w:r w:rsidRPr="00C903F8">
        <w:rPr>
          <w:i/>
          <w:lang w:val="en-US"/>
        </w:rPr>
        <w:t>Piping and flexible tubes</w:t>
      </w:r>
      <w:bookmarkEnd w:id="160"/>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1.</w:t>
      </w:r>
      <w:r w:rsidRPr="00C903F8">
        <w:rPr>
          <w:lang w:val="en-US"/>
        </w:rPr>
        <w:tab/>
        <w:t>Pipes shall consist of permanently installed steel or copper tubing.</w:t>
      </w:r>
    </w:p>
    <w:p w:rsidR="001D67AA" w:rsidRPr="00C903F8" w:rsidRDefault="001D67AA" w:rsidP="001D67AA">
      <w:pPr>
        <w:pStyle w:val="ESchpar"/>
        <w:rPr>
          <w:lang w:val="en-US"/>
        </w:rPr>
      </w:pPr>
    </w:p>
    <w:p w:rsidR="00AE4E9D" w:rsidRPr="00C903F8" w:rsidRDefault="00AE4E9D" w:rsidP="001D67AA">
      <w:pPr>
        <w:pStyle w:val="ESchpar"/>
        <w:rPr>
          <w:lang w:val="en-US"/>
        </w:rPr>
      </w:pPr>
      <w:r w:rsidRPr="00C903F8">
        <w:rPr>
          <w:lang w:val="en-US"/>
        </w:rPr>
        <w:t>However, pipes connecting with the receptacles shall be high-pressure flexible tubes or spiral tubes suitable for propane. Gas-consuming appliances may, if not permanently installed, be connected by means of suitable flexible tubes not more than 1 m long.</w:t>
      </w:r>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2.</w:t>
      </w:r>
      <w:r w:rsidRPr="00C903F8">
        <w:rPr>
          <w:lang w:val="en-US"/>
        </w:rPr>
        <w:tab/>
        <w:t>Pipes shall be able to withstand any stresses, in particular regarding corrosion and strength, which may occur under normal operating conditions on board and their characteristics and layout shall be such that they ensure a satisfactory flow of gas at the appropriate pressure to the gas-consuming appliances.</w:t>
      </w:r>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3.</w:t>
      </w:r>
      <w:r w:rsidRPr="00C903F8">
        <w:rPr>
          <w:lang w:val="en-US"/>
        </w:rPr>
        <w:tab/>
        <w:t>Pipes shall have as few joints as possible. Both pipes and joints shall be gastight and shall remain gastight despite any vibration or expansion to which they may be subjected.</w:t>
      </w:r>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4.</w:t>
      </w:r>
      <w:r w:rsidRPr="00C903F8">
        <w:rPr>
          <w:lang w:val="en-US"/>
        </w:rPr>
        <w:tab/>
        <w:t>Pipes shall be readily accessible, properly fixed and protected at every point where they might be subject to impact or friction, particularly where they pass through steel bulkheads or metal walls. The entire surface of steel pipes shall be treated against corrosion.</w:t>
      </w:r>
    </w:p>
    <w:p w:rsidR="001D67AA" w:rsidRPr="00C903F8" w:rsidRDefault="001D67AA" w:rsidP="001D67AA">
      <w:pPr>
        <w:pStyle w:val="ESch"/>
        <w:rPr>
          <w:lang w:val="en-US"/>
        </w:rPr>
      </w:pPr>
    </w:p>
    <w:p w:rsidR="00AE4E9D" w:rsidRPr="00C903F8" w:rsidRDefault="00AE4E9D" w:rsidP="001D67AA">
      <w:pPr>
        <w:pStyle w:val="ESch"/>
        <w:rPr>
          <w:rStyle w:val="HeaderChar"/>
          <w:rFonts w:ascii="Arial" w:hAnsi="Arial"/>
          <w:sz w:val="20"/>
          <w:lang w:val="en-US"/>
        </w:rPr>
      </w:pPr>
      <w:r w:rsidRPr="00C903F8">
        <w:rPr>
          <w:lang w:val="en-US"/>
        </w:rPr>
        <w:t>5.</w:t>
      </w:r>
      <w:r w:rsidRPr="00C903F8">
        <w:rPr>
          <w:lang w:val="en-US"/>
        </w:rPr>
        <w:tab/>
        <w:t>Flexible pipes and their joints shall be able to withstand any stresses which may occur under normal operating conditions on board. They shall be installed in such a way that they are free of tension, cannot be heated excessively and can be inspected over their entire length.</w:t>
      </w:r>
    </w:p>
    <w:p w:rsidR="00AE4E9D" w:rsidRPr="00C903F8" w:rsidRDefault="00AE4E9D" w:rsidP="001D67AA">
      <w:pPr>
        <w:pStyle w:val="ESch"/>
        <w:rPr>
          <w:lang w:val="en-US"/>
        </w:rPr>
      </w:pPr>
    </w:p>
    <w:p w:rsidR="001D67AA" w:rsidRPr="00C903F8" w:rsidRDefault="001D67AA" w:rsidP="001D67AA">
      <w:pPr>
        <w:pStyle w:val="ESch"/>
        <w:rPr>
          <w:lang w:val="en-US"/>
        </w:rPr>
      </w:pPr>
    </w:p>
    <w:p w:rsidR="00AE4E9D" w:rsidRPr="00C903F8" w:rsidRDefault="00AE4E9D" w:rsidP="00AE4E9D">
      <w:pPr>
        <w:pStyle w:val="ES-Titre3"/>
        <w:rPr>
          <w:i/>
          <w:lang w:val="en-US"/>
        </w:rPr>
      </w:pPr>
      <w:bookmarkStart w:id="161" w:name="_Toc491854149"/>
      <w:r w:rsidRPr="00C903F8">
        <w:rPr>
          <w:lang w:val="en-US"/>
        </w:rPr>
        <w:t>Article 17.09</w:t>
      </w:r>
      <w:r w:rsidRPr="00C903F8">
        <w:rPr>
          <w:lang w:val="en-US"/>
        </w:rPr>
        <w:br/>
      </w:r>
      <w:r w:rsidRPr="00C903F8">
        <w:rPr>
          <w:i/>
          <w:lang w:val="en-US"/>
        </w:rPr>
        <w:t>Distribution system</w:t>
      </w:r>
      <w:bookmarkEnd w:id="161"/>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1.</w:t>
      </w:r>
      <w:r w:rsidRPr="00C903F8">
        <w:rPr>
          <w:lang w:val="en-US"/>
        </w:rPr>
        <w:tab/>
        <w:t>It shall be possible to shut off the entire distribution system by means of a main valve which is at all times easily and rapidly accessible.</w:t>
      </w:r>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2.</w:t>
      </w:r>
      <w:r w:rsidRPr="00C903F8">
        <w:rPr>
          <w:lang w:val="en-US"/>
        </w:rPr>
        <w:tab/>
        <w:t>Each gas-consuming appliance shall be supplied by a separate branch of the distribution system, and each branch shall be controlled by a separate closing device.</w:t>
      </w:r>
    </w:p>
    <w:p w:rsidR="001D67AA" w:rsidRPr="00C903F8" w:rsidRDefault="001D67AA" w:rsidP="001D67AA">
      <w:pPr>
        <w:pStyle w:val="ESch"/>
        <w:rPr>
          <w:lang w:val="en-US"/>
        </w:rPr>
      </w:pPr>
    </w:p>
    <w:p w:rsidR="005662C0" w:rsidRPr="00C903F8" w:rsidRDefault="005662C0" w:rsidP="001D67AA">
      <w:pPr>
        <w:pStyle w:val="ESch"/>
        <w:rPr>
          <w:lang w:val="en-US"/>
        </w:rPr>
      </w:pPr>
      <w:r w:rsidRPr="00C903F8">
        <w:rPr>
          <w:lang w:val="en-US"/>
        </w:rPr>
        <w:br w:type="page"/>
      </w:r>
    </w:p>
    <w:p w:rsidR="00AE4E9D" w:rsidRPr="00C903F8" w:rsidRDefault="00AE4E9D" w:rsidP="001D67AA">
      <w:pPr>
        <w:pStyle w:val="ESch"/>
        <w:rPr>
          <w:lang w:val="en-US"/>
        </w:rPr>
      </w:pPr>
      <w:r w:rsidRPr="00C903F8">
        <w:rPr>
          <w:lang w:val="en-US"/>
        </w:rPr>
        <w:lastRenderedPageBreak/>
        <w:t>3.</w:t>
      </w:r>
      <w:r w:rsidRPr="00C903F8">
        <w:rPr>
          <w:lang w:val="en-US"/>
        </w:rPr>
        <w:tab/>
        <w:t>Valves shall be fitted at points where they are protected from the weather and from impact.</w:t>
      </w:r>
    </w:p>
    <w:p w:rsidR="001D67AA" w:rsidRPr="00C903F8" w:rsidRDefault="001D67AA" w:rsidP="001D67AA">
      <w:pPr>
        <w:pStyle w:val="ESch"/>
        <w:rPr>
          <w:lang w:val="en-US"/>
        </w:rPr>
      </w:pPr>
    </w:p>
    <w:p w:rsidR="00AE4E9D" w:rsidRPr="00C903F8" w:rsidRDefault="00AE4E9D" w:rsidP="001D67AA">
      <w:pPr>
        <w:pStyle w:val="ESch"/>
        <w:rPr>
          <w:lang w:val="en-US"/>
        </w:rPr>
      </w:pPr>
      <w:r w:rsidRPr="00C903F8">
        <w:rPr>
          <w:lang w:val="en-US"/>
        </w:rPr>
        <w:t>4.</w:t>
      </w:r>
      <w:r w:rsidRPr="00C903F8">
        <w:rPr>
          <w:lang w:val="en-US"/>
        </w:rPr>
        <w:tab/>
        <w:t>An inspection connection shall be fitted after each pressure regulator. It shall be ensured using a closing device that in pressure tests the pressure regulator is not exposed to the test pressure.</w:t>
      </w:r>
    </w:p>
    <w:p w:rsidR="00AE4E9D" w:rsidRPr="00C903F8" w:rsidRDefault="00AE4E9D" w:rsidP="001D67AA">
      <w:pPr>
        <w:pStyle w:val="ESch"/>
        <w:rPr>
          <w:lang w:val="en-US"/>
        </w:rPr>
      </w:pPr>
    </w:p>
    <w:p w:rsidR="001D67AA" w:rsidRPr="00C903F8" w:rsidRDefault="001D67AA" w:rsidP="001D67AA">
      <w:pPr>
        <w:pStyle w:val="ESch"/>
        <w:rPr>
          <w:lang w:val="en-US"/>
        </w:rPr>
      </w:pPr>
    </w:p>
    <w:p w:rsidR="00AE4E9D" w:rsidRPr="00C903F8" w:rsidRDefault="00AE4E9D" w:rsidP="00AE4E9D">
      <w:pPr>
        <w:pStyle w:val="ES-Titre3"/>
        <w:rPr>
          <w:i/>
          <w:lang w:val="en-US"/>
        </w:rPr>
      </w:pPr>
      <w:bookmarkStart w:id="162" w:name="_Toc491854150"/>
      <w:r w:rsidRPr="00C903F8">
        <w:rPr>
          <w:lang w:val="en-US"/>
        </w:rPr>
        <w:t>Article 17.10</w:t>
      </w:r>
      <w:r w:rsidRPr="00C903F8">
        <w:rPr>
          <w:lang w:val="en-US"/>
        </w:rPr>
        <w:br/>
      </w:r>
      <w:r w:rsidRPr="00C903F8">
        <w:rPr>
          <w:i/>
          <w:lang w:val="en-US"/>
        </w:rPr>
        <w:t>Gas-consuming appliances and their installation</w:t>
      </w:r>
      <w:bookmarkEnd w:id="162"/>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1.</w:t>
      </w:r>
      <w:r w:rsidRPr="00C903F8">
        <w:rPr>
          <w:lang w:val="en-US"/>
        </w:rPr>
        <w:tab/>
        <w:t>The only appliances that may be installed are propane-consuming appliances approved in one of the Member States</w:t>
      </w:r>
      <w:r w:rsidR="008E7459" w:rsidRPr="00C903F8">
        <w:rPr>
          <w:lang w:val="en-US"/>
        </w:rPr>
        <w:t xml:space="preserve"> </w:t>
      </w:r>
      <w:r w:rsidRPr="00C903F8">
        <w:rPr>
          <w:lang w:val="en-US"/>
        </w:rPr>
        <w:t>and equipped with devices that effectively prevent the escape of gas in the event of either the flame or the pilot light being extinguished.</w:t>
      </w:r>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2.</w:t>
      </w:r>
      <w:r w:rsidRPr="00C903F8">
        <w:rPr>
          <w:lang w:val="en-US"/>
        </w:rPr>
        <w:tab/>
        <w:t>Appliances shall be so placed and connected that they cannot overturn or be accidentally moved and any risk of accidental wrenching of the connecting pipes is avoided.</w:t>
      </w:r>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3.</w:t>
      </w:r>
      <w:r w:rsidRPr="00C903F8">
        <w:rPr>
          <w:lang w:val="en-US"/>
        </w:rPr>
        <w:tab/>
        <w:t>Heating and water-heating appliances and refrigerators shall be connected to a flue for evacuating combustion gases into the open air.</w:t>
      </w:r>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4.</w:t>
      </w:r>
      <w:r w:rsidRPr="00C903F8">
        <w:rPr>
          <w:lang w:val="en-US"/>
        </w:rPr>
        <w:tab/>
        <w:t>The installation of gas-consuming appliances in the wheelhouse is permitted only if the wheelhouse is so constructed that no leaking gas can escape into the lower parts of the craft, in particular through the penetrations for control lines to the engine room.</w:t>
      </w:r>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5.</w:t>
      </w:r>
      <w:r w:rsidRPr="00C903F8">
        <w:rPr>
          <w:lang w:val="en-US"/>
        </w:rPr>
        <w:tab/>
        <w:t>Gas-consuming appliances may be installed in sleeping quarters only if combustion is independent of ambient air in the quarters.</w:t>
      </w:r>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6.</w:t>
      </w:r>
      <w:r w:rsidRPr="00C903F8">
        <w:rPr>
          <w:lang w:val="en-US"/>
        </w:rPr>
        <w:tab/>
        <w:t>Gas-consuming appliances in which combustion depends on ambient air shall be installed in rooms which are sufficiently large.</w:t>
      </w:r>
    </w:p>
    <w:p w:rsidR="00AE4E9D" w:rsidRPr="00C903F8" w:rsidRDefault="00AE4E9D" w:rsidP="005662C0">
      <w:pPr>
        <w:pStyle w:val="ESch"/>
        <w:rPr>
          <w:lang w:val="en-US"/>
        </w:rPr>
      </w:pPr>
    </w:p>
    <w:p w:rsidR="005662C0" w:rsidRPr="00C903F8" w:rsidRDefault="005662C0" w:rsidP="005662C0">
      <w:pPr>
        <w:pStyle w:val="ESch"/>
        <w:rPr>
          <w:lang w:val="en-US"/>
        </w:rPr>
      </w:pPr>
    </w:p>
    <w:p w:rsidR="00AE4E9D" w:rsidRPr="00C903F8" w:rsidRDefault="00AE4E9D" w:rsidP="00AE4E9D">
      <w:pPr>
        <w:pStyle w:val="ES-Titre3"/>
        <w:rPr>
          <w:i/>
          <w:lang w:val="en-US"/>
        </w:rPr>
      </w:pPr>
      <w:bookmarkStart w:id="163" w:name="_Toc491854151"/>
      <w:r w:rsidRPr="00C903F8">
        <w:rPr>
          <w:lang w:val="en-US"/>
        </w:rPr>
        <w:t>Article 17.11</w:t>
      </w:r>
      <w:r w:rsidRPr="00C903F8">
        <w:rPr>
          <w:lang w:val="en-US"/>
        </w:rPr>
        <w:br/>
      </w:r>
      <w:r w:rsidRPr="00C903F8">
        <w:rPr>
          <w:i/>
          <w:lang w:val="en-US"/>
        </w:rPr>
        <w:t>Ventilation and evacuation of combustion gases</w:t>
      </w:r>
      <w:bookmarkEnd w:id="163"/>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1.</w:t>
      </w:r>
      <w:r w:rsidRPr="00C903F8">
        <w:rPr>
          <w:lang w:val="en-US"/>
        </w:rPr>
        <w:tab/>
        <w:t>In rooms containing gas-consuming appliances in which combustion depends on ambient air, fresh air shall be supplied and combustion gases evacuated by means of ventilation apertures of adequate dimensions, with a clear section of at least 150 cm</w:t>
      </w:r>
      <w:r w:rsidRPr="00C903F8">
        <w:rPr>
          <w:vertAlign w:val="superscript"/>
          <w:lang w:val="en-US"/>
        </w:rPr>
        <w:t>2</w:t>
      </w:r>
      <w:r w:rsidRPr="00C903F8">
        <w:rPr>
          <w:lang w:val="en-US"/>
        </w:rPr>
        <w:t xml:space="preserve"> per aperture.</w:t>
      </w:r>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2.</w:t>
      </w:r>
      <w:r w:rsidRPr="00C903F8">
        <w:rPr>
          <w:lang w:val="en-US"/>
        </w:rPr>
        <w:tab/>
        <w:t>Ventilation apertures shall not have any closing device and shall not lead to sleeping quarters.</w:t>
      </w:r>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3.</w:t>
      </w:r>
      <w:r w:rsidRPr="00C903F8">
        <w:rPr>
          <w:lang w:val="en-US"/>
        </w:rPr>
        <w:tab/>
        <w:t>Evacuation devices shall be so designed as to ensure the safe evacuation of combustion gases. They shall be reliable in operation and made of non-combustible materials. Their operation shall not be affected by forced ventilation.</w:t>
      </w:r>
    </w:p>
    <w:p w:rsidR="00AE4E9D" w:rsidRPr="00C903F8" w:rsidRDefault="00AE4E9D" w:rsidP="005662C0">
      <w:pPr>
        <w:pStyle w:val="ESch"/>
        <w:rPr>
          <w:lang w:val="en-US"/>
        </w:rPr>
      </w:pPr>
    </w:p>
    <w:p w:rsidR="005662C0" w:rsidRPr="00C903F8" w:rsidRDefault="005662C0" w:rsidP="005662C0">
      <w:pPr>
        <w:pStyle w:val="ESch"/>
        <w:rPr>
          <w:lang w:val="en-US"/>
        </w:rPr>
      </w:pPr>
      <w:r w:rsidRPr="00C903F8">
        <w:rPr>
          <w:lang w:val="en-US"/>
        </w:rPr>
        <w:br w:type="page"/>
      </w:r>
    </w:p>
    <w:p w:rsidR="00AE4E9D" w:rsidRPr="00C903F8" w:rsidRDefault="00AE4E9D" w:rsidP="00AE4E9D">
      <w:pPr>
        <w:pStyle w:val="ES-Titre3"/>
        <w:rPr>
          <w:i/>
          <w:lang w:val="en-US"/>
        </w:rPr>
      </w:pPr>
      <w:bookmarkStart w:id="164" w:name="_Toc491854152"/>
      <w:r w:rsidRPr="00C903F8">
        <w:rPr>
          <w:lang w:val="en-US"/>
        </w:rPr>
        <w:lastRenderedPageBreak/>
        <w:t>Article 17.12</w:t>
      </w:r>
      <w:r w:rsidRPr="00C903F8">
        <w:rPr>
          <w:lang w:val="en-US"/>
        </w:rPr>
        <w:br/>
      </w:r>
      <w:r w:rsidRPr="00C903F8">
        <w:rPr>
          <w:i/>
          <w:lang w:val="en-US"/>
        </w:rPr>
        <w:t xml:space="preserve">Operating </w:t>
      </w:r>
      <w:r w:rsidR="00397B6A" w:rsidRPr="00C903F8">
        <w:rPr>
          <w:i/>
          <w:lang w:val="en-US"/>
        </w:rPr>
        <w:t>instructions</w:t>
      </w:r>
      <w:bookmarkEnd w:id="164"/>
    </w:p>
    <w:p w:rsidR="005662C0" w:rsidRPr="00C903F8" w:rsidRDefault="005662C0" w:rsidP="005662C0">
      <w:pPr>
        <w:pStyle w:val="ESgauche"/>
        <w:rPr>
          <w:lang w:val="en-US"/>
        </w:rPr>
      </w:pPr>
    </w:p>
    <w:p w:rsidR="00AE4E9D" w:rsidRPr="00C903F8" w:rsidRDefault="00AE4E9D" w:rsidP="005662C0">
      <w:pPr>
        <w:pStyle w:val="ESgauche"/>
        <w:rPr>
          <w:lang w:val="en-US"/>
        </w:rPr>
      </w:pPr>
      <w:r w:rsidRPr="00C903F8">
        <w:rPr>
          <w:lang w:val="en-US"/>
        </w:rPr>
        <w:t>An operating instruction shall be affixed on board in a suitable place. It shall contain at least the following:</w:t>
      </w:r>
    </w:p>
    <w:p w:rsidR="005662C0" w:rsidRPr="00C903F8" w:rsidRDefault="005662C0" w:rsidP="005662C0">
      <w:pPr>
        <w:pStyle w:val="ESgauche"/>
        <w:rPr>
          <w:lang w:val="en-US"/>
        </w:rPr>
      </w:pPr>
    </w:p>
    <w:p w:rsidR="00AE4E9D" w:rsidRPr="00C903F8" w:rsidRDefault="0064343D" w:rsidP="005D13EF">
      <w:pPr>
        <w:pStyle w:val="ESgauche"/>
        <w:jc w:val="center"/>
        <w:rPr>
          <w:lang w:val="en-US"/>
        </w:rPr>
      </w:pPr>
      <w:r w:rsidRPr="00C903F8">
        <w:rPr>
          <w:lang w:val="en-US"/>
        </w:rPr>
        <w:t>’</w:t>
      </w:r>
      <w:r w:rsidR="00AE4E9D" w:rsidRPr="00C903F8">
        <w:rPr>
          <w:lang w:val="en-US"/>
        </w:rPr>
        <w:t>The valves of receptacles not connected to the distribution system shall be closed, even if the receptacles are presumed empty</w:t>
      </w:r>
      <w:r w:rsidRPr="00C903F8">
        <w:rPr>
          <w:lang w:val="en-US"/>
        </w:rPr>
        <w:t>’;</w:t>
      </w:r>
    </w:p>
    <w:p w:rsidR="005662C0" w:rsidRPr="00C903F8" w:rsidRDefault="005662C0" w:rsidP="005D13EF">
      <w:pPr>
        <w:pStyle w:val="ESgauche"/>
        <w:jc w:val="center"/>
        <w:rPr>
          <w:lang w:val="en-US"/>
        </w:rPr>
      </w:pPr>
    </w:p>
    <w:p w:rsidR="00AE4E9D" w:rsidRPr="00C903F8" w:rsidRDefault="0064343D" w:rsidP="005D13EF">
      <w:pPr>
        <w:pStyle w:val="ESgauche"/>
        <w:jc w:val="center"/>
        <w:rPr>
          <w:lang w:val="en-US"/>
        </w:rPr>
      </w:pPr>
      <w:r w:rsidRPr="00C903F8">
        <w:rPr>
          <w:lang w:val="en-US"/>
        </w:rPr>
        <w:t>’</w:t>
      </w:r>
      <w:r w:rsidR="00AE4E9D" w:rsidRPr="00C903F8">
        <w:rPr>
          <w:lang w:val="en-US"/>
        </w:rPr>
        <w:t>Flexible pipes shall be replaced as soon as their condition so requires</w:t>
      </w:r>
      <w:r w:rsidRPr="00C903F8">
        <w:rPr>
          <w:lang w:val="en-US"/>
        </w:rPr>
        <w:t>’;</w:t>
      </w:r>
    </w:p>
    <w:p w:rsidR="005662C0" w:rsidRPr="00C903F8" w:rsidRDefault="005662C0" w:rsidP="005D13EF">
      <w:pPr>
        <w:pStyle w:val="ESgauche"/>
        <w:jc w:val="center"/>
        <w:rPr>
          <w:lang w:val="en-US"/>
        </w:rPr>
      </w:pPr>
    </w:p>
    <w:p w:rsidR="00AE4E9D" w:rsidRPr="00C903F8" w:rsidRDefault="0064343D" w:rsidP="005D13EF">
      <w:pPr>
        <w:pStyle w:val="ESgauche"/>
        <w:jc w:val="center"/>
        <w:rPr>
          <w:lang w:val="en-US"/>
        </w:rPr>
      </w:pPr>
      <w:r w:rsidRPr="00C903F8">
        <w:rPr>
          <w:lang w:val="en-US"/>
        </w:rPr>
        <w:t>’</w:t>
      </w:r>
      <w:r w:rsidR="00AE4E9D" w:rsidRPr="00C903F8">
        <w:rPr>
          <w:lang w:val="en-US"/>
        </w:rPr>
        <w:t>All gas-consuming appliances shall be connected or the corresponding connecting pipes shall be sealed</w:t>
      </w:r>
      <w:r w:rsidRPr="00C903F8">
        <w:rPr>
          <w:lang w:val="en-US"/>
        </w:rPr>
        <w:t>’.</w:t>
      </w:r>
    </w:p>
    <w:p w:rsidR="00AE4E9D" w:rsidRPr="00C903F8" w:rsidRDefault="00AE4E9D" w:rsidP="005662C0">
      <w:pPr>
        <w:pStyle w:val="ESch"/>
        <w:rPr>
          <w:lang w:val="en-US"/>
        </w:rPr>
      </w:pPr>
    </w:p>
    <w:p w:rsidR="005662C0" w:rsidRPr="00C903F8" w:rsidRDefault="005662C0" w:rsidP="005662C0">
      <w:pPr>
        <w:pStyle w:val="ESch"/>
        <w:rPr>
          <w:lang w:val="en-US"/>
        </w:rPr>
      </w:pPr>
    </w:p>
    <w:p w:rsidR="00AE4E9D" w:rsidRPr="00C903F8" w:rsidRDefault="00AE4E9D" w:rsidP="00AE4E9D">
      <w:pPr>
        <w:pStyle w:val="ES-Titre3"/>
        <w:rPr>
          <w:i/>
          <w:lang w:val="en-US"/>
        </w:rPr>
      </w:pPr>
      <w:bookmarkStart w:id="165" w:name="_Toc491854153"/>
      <w:r w:rsidRPr="00C903F8">
        <w:rPr>
          <w:lang w:val="en-US"/>
        </w:rPr>
        <w:t>Article 17.13</w:t>
      </w:r>
      <w:r w:rsidRPr="00C903F8">
        <w:rPr>
          <w:lang w:val="en-US"/>
        </w:rPr>
        <w:br/>
      </w:r>
      <w:r w:rsidRPr="00C903F8">
        <w:rPr>
          <w:i/>
          <w:lang w:val="en-US"/>
        </w:rPr>
        <w:t>Acceptance test</w:t>
      </w:r>
      <w:bookmarkEnd w:id="165"/>
    </w:p>
    <w:p w:rsidR="005662C0" w:rsidRPr="00C903F8" w:rsidRDefault="005662C0" w:rsidP="005662C0">
      <w:pPr>
        <w:pStyle w:val="ESch"/>
        <w:rPr>
          <w:lang w:val="en-US"/>
        </w:rPr>
      </w:pPr>
    </w:p>
    <w:p w:rsidR="00AE4E9D" w:rsidRPr="00C903F8" w:rsidRDefault="00AE4E9D" w:rsidP="005662C0">
      <w:pPr>
        <w:pStyle w:val="ESgauche"/>
        <w:rPr>
          <w:lang w:val="en-US"/>
        </w:rPr>
      </w:pPr>
      <w:r w:rsidRPr="00C903F8">
        <w:rPr>
          <w:lang w:val="en-US"/>
        </w:rPr>
        <w:t>Liquefied gas installations shall be checked by an expert, in order to verify whether the installation conforms to the requirements of this Chapter:</w:t>
      </w:r>
    </w:p>
    <w:p w:rsidR="00AE4E9D" w:rsidRPr="00C903F8" w:rsidRDefault="005C7859" w:rsidP="005662C0">
      <w:pPr>
        <w:pStyle w:val="ESletgauche"/>
        <w:rPr>
          <w:lang w:val="en-US"/>
        </w:rPr>
      </w:pPr>
      <w:r w:rsidRPr="00C903F8">
        <w:rPr>
          <w:lang w:val="en-US"/>
        </w:rPr>
        <w:t>a)</w:t>
      </w:r>
      <w:r w:rsidR="00AE4E9D" w:rsidRPr="00C903F8">
        <w:rPr>
          <w:lang w:val="en-US"/>
        </w:rPr>
        <w:tab/>
        <w:t>before being put into service for the first time</w:t>
      </w:r>
      <w:r w:rsidR="00202533" w:rsidRPr="00C903F8">
        <w:rPr>
          <w:lang w:val="en-US"/>
        </w:rPr>
        <w:t>;</w:t>
      </w:r>
    </w:p>
    <w:p w:rsidR="00AE4E9D" w:rsidRPr="00C903F8" w:rsidRDefault="005C7859" w:rsidP="005662C0">
      <w:pPr>
        <w:pStyle w:val="ESletgauche"/>
        <w:rPr>
          <w:lang w:val="en-US"/>
        </w:rPr>
      </w:pPr>
      <w:r w:rsidRPr="00C903F8">
        <w:rPr>
          <w:lang w:val="en-US"/>
        </w:rPr>
        <w:t>b)</w:t>
      </w:r>
      <w:r w:rsidR="00AE4E9D" w:rsidRPr="00C903F8">
        <w:rPr>
          <w:lang w:val="en-US"/>
        </w:rPr>
        <w:tab/>
        <w:t>before being put back into service after any major modification or repair</w:t>
      </w:r>
      <w:r w:rsidR="00202533" w:rsidRPr="00C903F8">
        <w:rPr>
          <w:lang w:val="en-US"/>
        </w:rPr>
        <w:t>;</w:t>
      </w:r>
      <w:r w:rsidR="005F6042" w:rsidRPr="00C903F8">
        <w:rPr>
          <w:lang w:val="en-US"/>
        </w:rPr>
        <w:t xml:space="preserve"> and</w:t>
      </w:r>
    </w:p>
    <w:p w:rsidR="00AE4E9D" w:rsidRPr="00C903F8" w:rsidRDefault="005C7859" w:rsidP="005662C0">
      <w:pPr>
        <w:pStyle w:val="ESletgauche"/>
        <w:rPr>
          <w:lang w:val="en-US"/>
        </w:rPr>
      </w:pPr>
      <w:r w:rsidRPr="00C903F8">
        <w:rPr>
          <w:lang w:val="en-US"/>
        </w:rPr>
        <w:t>c)</w:t>
      </w:r>
      <w:r w:rsidR="00AE4E9D" w:rsidRPr="00C903F8">
        <w:rPr>
          <w:lang w:val="en-US"/>
        </w:rPr>
        <w:tab/>
        <w:t>on every renewal of the attestation referred to in Article 17.15.</w:t>
      </w:r>
    </w:p>
    <w:p w:rsidR="00AE4E9D" w:rsidRPr="00C903F8" w:rsidRDefault="00AE4E9D" w:rsidP="005662C0">
      <w:pPr>
        <w:pStyle w:val="ESgauche"/>
        <w:rPr>
          <w:lang w:val="en-US"/>
        </w:rPr>
      </w:pPr>
    </w:p>
    <w:p w:rsidR="00AE4E9D" w:rsidRPr="00C903F8" w:rsidRDefault="00AE4E9D" w:rsidP="005662C0">
      <w:pPr>
        <w:pStyle w:val="ESgauche"/>
        <w:rPr>
          <w:lang w:val="en-US"/>
        </w:rPr>
      </w:pPr>
      <w:r w:rsidRPr="00C903F8">
        <w:rPr>
          <w:lang w:val="en-US"/>
        </w:rPr>
        <w:t xml:space="preserve">An inspection </w:t>
      </w:r>
      <w:r w:rsidR="005A3B52" w:rsidRPr="00C903F8">
        <w:rPr>
          <w:lang w:val="en-US"/>
        </w:rPr>
        <w:t xml:space="preserve">attestation </w:t>
      </w:r>
      <w:r w:rsidRPr="00C903F8">
        <w:rPr>
          <w:lang w:val="en-US"/>
        </w:rPr>
        <w:t xml:space="preserve">shall be issued, signed by the expert and showing the date of the inspection. A copy of the inspection </w:t>
      </w:r>
      <w:r w:rsidR="005A3B52" w:rsidRPr="00C903F8">
        <w:rPr>
          <w:lang w:val="en-US"/>
        </w:rPr>
        <w:t xml:space="preserve">attestation </w:t>
      </w:r>
      <w:r w:rsidRPr="00C903F8">
        <w:rPr>
          <w:lang w:val="en-US"/>
        </w:rPr>
        <w:t>shall be submitted to the inspection body.</w:t>
      </w:r>
    </w:p>
    <w:p w:rsidR="00AE4E9D" w:rsidRPr="00C903F8" w:rsidRDefault="00AE4E9D" w:rsidP="005662C0">
      <w:pPr>
        <w:pStyle w:val="ESgauche"/>
        <w:rPr>
          <w:lang w:val="en-US"/>
        </w:rPr>
      </w:pPr>
    </w:p>
    <w:p w:rsidR="005662C0" w:rsidRPr="00C903F8" w:rsidRDefault="005662C0" w:rsidP="005662C0">
      <w:pPr>
        <w:pStyle w:val="ESgauche"/>
        <w:rPr>
          <w:lang w:val="en-US"/>
        </w:rPr>
      </w:pPr>
    </w:p>
    <w:p w:rsidR="00AE4E9D" w:rsidRPr="00C903F8" w:rsidRDefault="00AE4E9D" w:rsidP="00AE4E9D">
      <w:pPr>
        <w:pStyle w:val="ES-Titre3"/>
        <w:rPr>
          <w:i/>
          <w:lang w:val="en-US"/>
        </w:rPr>
      </w:pPr>
      <w:bookmarkStart w:id="166" w:name="_Toc491854154"/>
      <w:r w:rsidRPr="00C903F8">
        <w:rPr>
          <w:lang w:val="en-US"/>
        </w:rPr>
        <w:t>Article 17.14</w:t>
      </w:r>
      <w:r w:rsidRPr="00C903F8">
        <w:rPr>
          <w:lang w:val="en-US"/>
        </w:rPr>
        <w:br/>
      </w:r>
      <w:r w:rsidRPr="00C903F8">
        <w:rPr>
          <w:i/>
          <w:lang w:val="en-US"/>
        </w:rPr>
        <w:t>Test conditions</w:t>
      </w:r>
      <w:bookmarkEnd w:id="166"/>
    </w:p>
    <w:p w:rsidR="005662C0" w:rsidRPr="00C903F8" w:rsidRDefault="005662C0" w:rsidP="005662C0">
      <w:pPr>
        <w:pStyle w:val="ESgauche"/>
        <w:rPr>
          <w:lang w:val="en-US"/>
        </w:rPr>
      </w:pPr>
    </w:p>
    <w:p w:rsidR="00AE4E9D" w:rsidRPr="00C903F8" w:rsidRDefault="00AE4E9D" w:rsidP="005662C0">
      <w:pPr>
        <w:pStyle w:val="ESgauche"/>
        <w:rPr>
          <w:lang w:val="en-US"/>
        </w:rPr>
      </w:pPr>
      <w:r w:rsidRPr="00C903F8">
        <w:rPr>
          <w:lang w:val="en-US"/>
        </w:rPr>
        <w:t>Tests on the installation shall be carried out under the following conditions:</w:t>
      </w:r>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1.</w:t>
      </w:r>
      <w:r w:rsidRPr="00C903F8">
        <w:rPr>
          <w:lang w:val="en-US"/>
        </w:rPr>
        <w:tab/>
        <w:t>Medium-pressure pipes between the closing device, referred to in Article 17.09 (4), of the first pressure regulator and the valves fitted before the final pressure regulator:</w:t>
      </w:r>
    </w:p>
    <w:p w:rsidR="00AE4E9D" w:rsidRPr="00C903F8" w:rsidRDefault="005C7859" w:rsidP="005662C0">
      <w:pPr>
        <w:pStyle w:val="ESlet"/>
        <w:rPr>
          <w:lang w:val="en-US"/>
        </w:rPr>
      </w:pPr>
      <w:r w:rsidRPr="00C903F8">
        <w:rPr>
          <w:lang w:val="en-US"/>
        </w:rPr>
        <w:t>a)</w:t>
      </w:r>
      <w:r w:rsidR="00AE4E9D" w:rsidRPr="00C903F8">
        <w:rPr>
          <w:lang w:val="en-US"/>
        </w:rPr>
        <w:tab/>
        <w:t>pressure test, carried out with air, an inert gas or a liquid at a pressure 20 bar above atmospheric pressure;</w:t>
      </w:r>
    </w:p>
    <w:p w:rsidR="00AE4E9D" w:rsidRPr="00C903F8" w:rsidRDefault="005C7859" w:rsidP="005662C0">
      <w:pPr>
        <w:pStyle w:val="ESlet"/>
        <w:rPr>
          <w:lang w:val="en-US"/>
        </w:rPr>
      </w:pPr>
      <w:r w:rsidRPr="00C903F8">
        <w:rPr>
          <w:lang w:val="en-US"/>
        </w:rPr>
        <w:t>b)</w:t>
      </w:r>
      <w:r w:rsidR="00AE4E9D" w:rsidRPr="00C903F8">
        <w:rPr>
          <w:lang w:val="en-US"/>
        </w:rPr>
        <w:tab/>
        <w:t>tightness test, carried out with air or an inert gas at a pressure 3,5 bar above atmospheric pressure.</w:t>
      </w:r>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2.</w:t>
      </w:r>
      <w:r w:rsidRPr="00C903F8">
        <w:rPr>
          <w:lang w:val="en-US"/>
        </w:rPr>
        <w:tab/>
        <w:t>Pipes at the service pressure between the closing device, referred to in Article 17.09 (4), of the only pressure regulator or the final pressure regulator and the valves fitted before the gas-consuming appliances:</w:t>
      </w:r>
    </w:p>
    <w:p w:rsidR="00AE4E9D" w:rsidRPr="00C903F8" w:rsidRDefault="00AE4E9D" w:rsidP="00572BD3">
      <w:pPr>
        <w:pStyle w:val="ESletpar"/>
        <w:rPr>
          <w:lang w:val="en-US"/>
        </w:rPr>
      </w:pPr>
      <w:r w:rsidRPr="00C903F8">
        <w:rPr>
          <w:lang w:val="en-US"/>
        </w:rPr>
        <w:t>tightness test, carried out with air or an inert gas at a pressure of 1 bar above atmospheric pressure.</w:t>
      </w:r>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3.</w:t>
      </w:r>
      <w:r w:rsidRPr="00C903F8">
        <w:rPr>
          <w:lang w:val="en-US"/>
        </w:rPr>
        <w:tab/>
        <w:t>Pipes situated between the closing device, referred to in Article 17.09 (4), of the only pressure regulator or the final pressure regulator and the controls of gas-consuming appliances:</w:t>
      </w:r>
    </w:p>
    <w:p w:rsidR="00AE4E9D" w:rsidRPr="00C903F8" w:rsidRDefault="00AE4E9D" w:rsidP="00572BD3">
      <w:pPr>
        <w:pStyle w:val="ESletpar"/>
        <w:rPr>
          <w:lang w:val="en-US"/>
        </w:rPr>
      </w:pPr>
      <w:r w:rsidRPr="00C903F8">
        <w:rPr>
          <w:lang w:val="en-US"/>
        </w:rPr>
        <w:t>tightness test at a pressure of 0,15 bar above atmospheric pressure.</w:t>
      </w:r>
    </w:p>
    <w:p w:rsidR="005662C0" w:rsidRPr="00C903F8" w:rsidRDefault="005662C0" w:rsidP="005662C0">
      <w:pPr>
        <w:pStyle w:val="ESch"/>
        <w:rPr>
          <w:lang w:val="en-US"/>
        </w:rPr>
      </w:pPr>
    </w:p>
    <w:p w:rsidR="005662C0" w:rsidRPr="00C903F8" w:rsidRDefault="005662C0" w:rsidP="005662C0">
      <w:pPr>
        <w:pStyle w:val="ESch"/>
        <w:rPr>
          <w:lang w:val="en-US"/>
        </w:rPr>
      </w:pPr>
      <w:r w:rsidRPr="00C903F8">
        <w:rPr>
          <w:lang w:val="en-US"/>
        </w:rPr>
        <w:br w:type="page"/>
      </w:r>
    </w:p>
    <w:p w:rsidR="00AE4E9D" w:rsidRPr="00C903F8" w:rsidRDefault="00AE4E9D" w:rsidP="005662C0">
      <w:pPr>
        <w:pStyle w:val="ESch"/>
        <w:rPr>
          <w:lang w:val="en-US"/>
        </w:rPr>
      </w:pPr>
      <w:r w:rsidRPr="00C903F8">
        <w:rPr>
          <w:lang w:val="en-US"/>
        </w:rPr>
        <w:lastRenderedPageBreak/>
        <w:t>4.</w:t>
      </w:r>
      <w:r w:rsidRPr="00C903F8">
        <w:rPr>
          <w:lang w:val="en-US"/>
        </w:rPr>
        <w:tab/>
        <w:t xml:space="preserve">In the tests referred to in </w:t>
      </w:r>
      <w:r w:rsidR="00FD1E75" w:rsidRPr="00C903F8">
        <w:rPr>
          <w:lang w:val="en-US"/>
        </w:rPr>
        <w:t>(</w:t>
      </w:r>
      <w:r w:rsidRPr="00C903F8">
        <w:rPr>
          <w:lang w:val="en-US"/>
        </w:rPr>
        <w:t>1</w:t>
      </w:r>
      <w:r w:rsidR="00FD1E75" w:rsidRPr="00C903F8">
        <w:rPr>
          <w:lang w:val="en-US"/>
        </w:rPr>
        <w:t>)</w:t>
      </w:r>
      <w:r w:rsidR="005C7859" w:rsidRPr="00C903F8">
        <w:rPr>
          <w:lang w:val="en-US"/>
        </w:rPr>
        <w:t>(b)</w:t>
      </w:r>
      <w:r w:rsidRPr="00C903F8">
        <w:rPr>
          <w:lang w:val="en-US"/>
        </w:rPr>
        <w:t xml:space="preserve">, </w:t>
      </w:r>
      <w:r w:rsidR="00FD1E75" w:rsidRPr="00C903F8">
        <w:rPr>
          <w:lang w:val="en-US"/>
        </w:rPr>
        <w:t>(</w:t>
      </w:r>
      <w:r w:rsidRPr="00C903F8">
        <w:rPr>
          <w:lang w:val="en-US"/>
        </w:rPr>
        <w:t>2</w:t>
      </w:r>
      <w:r w:rsidR="00FD1E75" w:rsidRPr="00C903F8">
        <w:rPr>
          <w:lang w:val="en-US"/>
        </w:rPr>
        <w:t>)</w:t>
      </w:r>
      <w:r w:rsidRPr="00C903F8">
        <w:rPr>
          <w:lang w:val="en-US"/>
        </w:rPr>
        <w:t xml:space="preserve"> and </w:t>
      </w:r>
      <w:r w:rsidR="00FD1E75" w:rsidRPr="00C903F8">
        <w:rPr>
          <w:lang w:val="en-US"/>
        </w:rPr>
        <w:t>(</w:t>
      </w:r>
      <w:r w:rsidRPr="00C903F8">
        <w:rPr>
          <w:lang w:val="en-US"/>
        </w:rPr>
        <w:t>3</w:t>
      </w:r>
      <w:r w:rsidR="00FD1E75" w:rsidRPr="00C903F8">
        <w:rPr>
          <w:lang w:val="en-US"/>
        </w:rPr>
        <w:t>)</w:t>
      </w:r>
      <w:r w:rsidRPr="00C903F8">
        <w:rPr>
          <w:lang w:val="en-US"/>
        </w:rPr>
        <w:t>, the pipes are deemed gastight if, after sufficient time to allow for equalisation with ambient temperature, no decrease in the test pressure is observed during a further 10</w:t>
      </w:r>
      <w:r w:rsidR="006B4919">
        <w:rPr>
          <w:lang w:val="en-US"/>
        </w:rPr>
        <w:t>-</w:t>
      </w:r>
      <w:r w:rsidRPr="00C903F8">
        <w:rPr>
          <w:lang w:val="en-US"/>
        </w:rPr>
        <w:t>minute test period.</w:t>
      </w:r>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5.</w:t>
      </w:r>
      <w:r w:rsidRPr="00C903F8">
        <w:rPr>
          <w:lang w:val="en-US"/>
        </w:rPr>
        <w:tab/>
        <w:t>Receptacle connectors, pipe joints and other fittings subjected to the pressure in the receptacles, and joints between pressure regulators and the distribution pipe:</w:t>
      </w:r>
    </w:p>
    <w:p w:rsidR="00AE4E9D" w:rsidRPr="00C903F8" w:rsidRDefault="00AE4E9D" w:rsidP="00572BD3">
      <w:pPr>
        <w:pStyle w:val="ESletpar"/>
        <w:rPr>
          <w:lang w:val="en-US"/>
        </w:rPr>
      </w:pPr>
      <w:r w:rsidRPr="00C903F8">
        <w:rPr>
          <w:lang w:val="en-US"/>
        </w:rPr>
        <w:t>tightness test, carried out with a foaming substance, at the service pressure.</w:t>
      </w:r>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6.</w:t>
      </w:r>
      <w:r w:rsidRPr="00C903F8">
        <w:rPr>
          <w:lang w:val="en-US"/>
        </w:rPr>
        <w:tab/>
        <w:t>All gas-consuming appliances shall be brought into service at the nominal capacity and shall be tested for satisfactory and undisturbed combustion at different capacity settings.</w:t>
      </w:r>
    </w:p>
    <w:p w:rsidR="006058B1" w:rsidRPr="00C903F8" w:rsidRDefault="006058B1" w:rsidP="005662C0">
      <w:pPr>
        <w:pStyle w:val="ESchpar"/>
        <w:rPr>
          <w:lang w:val="en-US"/>
        </w:rPr>
      </w:pPr>
    </w:p>
    <w:p w:rsidR="00AE4E9D" w:rsidRPr="00C903F8" w:rsidRDefault="00AE4E9D" w:rsidP="005662C0">
      <w:pPr>
        <w:pStyle w:val="ESchpar"/>
        <w:rPr>
          <w:lang w:val="en-US"/>
        </w:rPr>
      </w:pPr>
      <w:r w:rsidRPr="00C903F8">
        <w:rPr>
          <w:lang w:val="en-US"/>
        </w:rPr>
        <w:t>Flame failure devices shall be checked to ensure that they operate satisfactorily.</w:t>
      </w:r>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7.</w:t>
      </w:r>
      <w:r w:rsidRPr="00C903F8">
        <w:rPr>
          <w:lang w:val="en-US"/>
        </w:rPr>
        <w:tab/>
        <w:t xml:space="preserve">After the test referred to in </w:t>
      </w:r>
      <w:r w:rsidR="00FD1E75" w:rsidRPr="00C903F8">
        <w:rPr>
          <w:lang w:val="en-US"/>
        </w:rPr>
        <w:t>(</w:t>
      </w:r>
      <w:r w:rsidRPr="00C903F8">
        <w:rPr>
          <w:lang w:val="en-US"/>
        </w:rPr>
        <w:t>6</w:t>
      </w:r>
      <w:r w:rsidR="00FD1E75" w:rsidRPr="00C903F8">
        <w:rPr>
          <w:lang w:val="en-US"/>
        </w:rPr>
        <w:t>)</w:t>
      </w:r>
      <w:r w:rsidRPr="00C903F8">
        <w:rPr>
          <w:lang w:val="en-US"/>
        </w:rPr>
        <w:t>, it shall be verified for each gas-consuming appliance connected to a flue, whether, after five minutes' operation at the nominal capacity, with windows and doors closed and the ventilation devices in operation, any combustion gases are escaping into the room through the air intake.</w:t>
      </w:r>
    </w:p>
    <w:p w:rsidR="005662C0" w:rsidRPr="00C903F8" w:rsidRDefault="005662C0" w:rsidP="005662C0">
      <w:pPr>
        <w:pStyle w:val="ESch"/>
        <w:rPr>
          <w:lang w:val="en-US"/>
        </w:rPr>
      </w:pPr>
    </w:p>
    <w:p w:rsidR="00AE4E9D" w:rsidRPr="00C903F8" w:rsidRDefault="00AE4E9D" w:rsidP="005662C0">
      <w:pPr>
        <w:pStyle w:val="ESchpar"/>
        <w:rPr>
          <w:lang w:val="en-US"/>
        </w:rPr>
      </w:pPr>
      <w:r w:rsidRPr="00C903F8">
        <w:rPr>
          <w:lang w:val="en-US"/>
        </w:rPr>
        <w:t>If there is a more than momentary escape of such gases, the cause shall immediately be detected and remedied. The appliance shall not be approved for use until all defects have been eliminated.</w:t>
      </w:r>
    </w:p>
    <w:p w:rsidR="00AE4E9D" w:rsidRPr="00C903F8" w:rsidRDefault="00AE4E9D" w:rsidP="005662C0">
      <w:pPr>
        <w:pStyle w:val="ESch"/>
        <w:rPr>
          <w:lang w:val="en-US"/>
        </w:rPr>
      </w:pPr>
    </w:p>
    <w:p w:rsidR="005662C0" w:rsidRPr="00C903F8" w:rsidRDefault="005662C0" w:rsidP="005662C0">
      <w:pPr>
        <w:pStyle w:val="ESch"/>
        <w:rPr>
          <w:lang w:val="en-US"/>
        </w:rPr>
      </w:pPr>
    </w:p>
    <w:p w:rsidR="00AE4E9D" w:rsidRPr="00C903F8" w:rsidRDefault="00AE4E9D" w:rsidP="00AE4E9D">
      <w:pPr>
        <w:pStyle w:val="ES-Titre3"/>
        <w:rPr>
          <w:lang w:val="en-US"/>
        </w:rPr>
      </w:pPr>
      <w:bookmarkStart w:id="167" w:name="_Toc491854155"/>
      <w:r w:rsidRPr="00C903F8">
        <w:rPr>
          <w:lang w:val="en-US"/>
        </w:rPr>
        <w:t>Article 17.15</w:t>
      </w:r>
      <w:r w:rsidRPr="00C903F8">
        <w:rPr>
          <w:lang w:val="en-US"/>
        </w:rPr>
        <w:br/>
      </w:r>
      <w:r w:rsidRPr="00C903F8">
        <w:rPr>
          <w:i/>
          <w:lang w:val="en-US"/>
        </w:rPr>
        <w:t>Attestation</w:t>
      </w:r>
      <w:bookmarkEnd w:id="167"/>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1.</w:t>
      </w:r>
      <w:r w:rsidRPr="00C903F8">
        <w:rPr>
          <w:lang w:val="en-US"/>
        </w:rPr>
        <w:tab/>
        <w:t xml:space="preserve">The </w:t>
      </w:r>
      <w:r w:rsidR="00A938EB" w:rsidRPr="00C903F8">
        <w:rPr>
          <w:lang w:val="en-US"/>
        </w:rPr>
        <w:t>i</w:t>
      </w:r>
      <w:r w:rsidRPr="00C903F8">
        <w:rPr>
          <w:lang w:val="en-US"/>
        </w:rPr>
        <w:t>nland navigation vessel certificate shall include an attestation to the effect that all liquefied gas installations conform to the requirements of this Chapter.</w:t>
      </w:r>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2.</w:t>
      </w:r>
      <w:r w:rsidRPr="00C903F8">
        <w:rPr>
          <w:lang w:val="en-US"/>
        </w:rPr>
        <w:tab/>
        <w:t>The attestation will be issued by the inspection body following the acceptance test referred to in Article 17.13.</w:t>
      </w:r>
    </w:p>
    <w:p w:rsidR="005662C0" w:rsidRPr="00C903F8" w:rsidRDefault="005662C0" w:rsidP="005662C0">
      <w:pPr>
        <w:pStyle w:val="ESch"/>
        <w:rPr>
          <w:lang w:val="en-US"/>
        </w:rPr>
      </w:pPr>
    </w:p>
    <w:p w:rsidR="00AE4E9D" w:rsidRPr="00C903F8" w:rsidRDefault="00AE4E9D" w:rsidP="005662C0">
      <w:pPr>
        <w:pStyle w:val="ESch"/>
        <w:rPr>
          <w:lang w:val="en-US"/>
        </w:rPr>
      </w:pPr>
      <w:r w:rsidRPr="00C903F8">
        <w:rPr>
          <w:lang w:val="en-US"/>
        </w:rPr>
        <w:t>3.</w:t>
      </w:r>
      <w:r w:rsidRPr="00C903F8">
        <w:rPr>
          <w:lang w:val="en-US"/>
        </w:rPr>
        <w:tab/>
        <w:t>The attestation shall be valid for a period not exceeding three years. It may be renewed only after a further acceptance test carried out in accordance with Article 17.13.</w:t>
      </w:r>
    </w:p>
    <w:p w:rsidR="005662C0" w:rsidRPr="00C903F8" w:rsidRDefault="005662C0" w:rsidP="005662C0">
      <w:pPr>
        <w:pStyle w:val="ESch"/>
        <w:rPr>
          <w:lang w:val="en-US"/>
        </w:rPr>
      </w:pPr>
    </w:p>
    <w:p w:rsidR="00AE4E9D" w:rsidRPr="00C903F8" w:rsidRDefault="00AE4E9D" w:rsidP="005662C0">
      <w:pPr>
        <w:pStyle w:val="ESchpar"/>
        <w:rPr>
          <w:lang w:val="en-US"/>
        </w:rPr>
      </w:pPr>
      <w:r w:rsidRPr="00C903F8">
        <w:rPr>
          <w:lang w:val="en-US"/>
        </w:rPr>
        <w:t xml:space="preserve">Exceptionally, where the owner of a vessel or his representative submits a reasoned request, the inspection body may extend the validity of the attestation for not more than three months without carrying out the acceptance test referred to in Article 17.13. Such extension shall be entered in the </w:t>
      </w:r>
      <w:r w:rsidR="00A938EB" w:rsidRPr="00C903F8">
        <w:rPr>
          <w:lang w:val="en-US"/>
        </w:rPr>
        <w:t>i</w:t>
      </w:r>
      <w:r w:rsidRPr="00C903F8">
        <w:rPr>
          <w:lang w:val="en-US"/>
        </w:rPr>
        <w:t>nland navigation vessel certificate.</w:t>
      </w:r>
    </w:p>
    <w:p w:rsidR="00AE4E9D" w:rsidRPr="00C903F8" w:rsidRDefault="00AE4E9D" w:rsidP="005662C0">
      <w:pPr>
        <w:pStyle w:val="ESch"/>
        <w:rPr>
          <w:lang w:val="en-US"/>
        </w:rPr>
      </w:pPr>
    </w:p>
    <w:p w:rsidR="00973DAA" w:rsidRPr="00C903F8" w:rsidRDefault="00973DAA" w:rsidP="005662C0">
      <w:pPr>
        <w:pStyle w:val="ESch"/>
        <w:rPr>
          <w:lang w:val="en-US"/>
        </w:rPr>
      </w:pPr>
    </w:p>
    <w:p w:rsidR="00AC39F0" w:rsidRPr="00C903F8" w:rsidRDefault="00AC39F0" w:rsidP="005662C0">
      <w:pPr>
        <w:pStyle w:val="ESch"/>
        <w:rPr>
          <w:lang w:val="en-US"/>
        </w:rPr>
      </w:pPr>
    </w:p>
    <w:p w:rsidR="00AC39F0" w:rsidRPr="00C903F8" w:rsidRDefault="00AC39F0" w:rsidP="005662C0">
      <w:pPr>
        <w:pStyle w:val="ESch"/>
        <w:rPr>
          <w:lang w:val="en-US"/>
        </w:rPr>
      </w:pPr>
    </w:p>
    <w:p w:rsidR="00AC39F0" w:rsidRPr="00C903F8" w:rsidRDefault="00AC39F0" w:rsidP="00AC39F0">
      <w:pPr>
        <w:pStyle w:val="ES-Titre2"/>
        <w:rPr>
          <w:szCs w:val="24"/>
        </w:rPr>
      </w:pPr>
      <w:bookmarkStart w:id="168" w:name="_Toc491854156"/>
      <w:r w:rsidRPr="00C903F8">
        <w:lastRenderedPageBreak/>
        <w:t>Chapter 18</w:t>
      </w:r>
      <w:r w:rsidRPr="00C903F8">
        <w:br/>
      </w:r>
      <w:r w:rsidRPr="00C903F8">
        <w:rPr>
          <w:noProof/>
          <w:sz w:val="22"/>
          <w:szCs w:val="22"/>
        </w:rPr>
        <w:t>On-board sewage treatment plants</w:t>
      </w:r>
      <w:bookmarkEnd w:id="168"/>
    </w:p>
    <w:p w:rsidR="00AC39F0" w:rsidRPr="00C903F8" w:rsidRDefault="00AC39F0" w:rsidP="00917628">
      <w:pPr>
        <w:pStyle w:val="ESch"/>
        <w:rPr>
          <w:lang w:val="en-US" w:eastAsia="en-US"/>
        </w:rPr>
      </w:pPr>
    </w:p>
    <w:p w:rsidR="00F935C7" w:rsidRPr="00C903F8" w:rsidRDefault="00F935C7" w:rsidP="00F935C7">
      <w:pPr>
        <w:pStyle w:val="ES-Titre3"/>
        <w:rPr>
          <w:lang w:val="en-US"/>
        </w:rPr>
      </w:pPr>
      <w:bookmarkStart w:id="169" w:name="_Toc491854157"/>
      <w:r w:rsidRPr="00C903F8">
        <w:rPr>
          <w:noProof/>
          <w:lang w:val="en-US"/>
        </w:rPr>
        <w:t>Article 18.0</w:t>
      </w:r>
      <w:r w:rsidR="00E61447" w:rsidRPr="00C903F8">
        <w:rPr>
          <w:noProof/>
          <w:lang w:val="en-US"/>
        </w:rPr>
        <w:t>0</w:t>
      </w:r>
      <w:r w:rsidRPr="00C903F8">
        <w:rPr>
          <w:noProof/>
          <w:lang w:val="en-US"/>
        </w:rPr>
        <w:br/>
      </w:r>
      <w:r w:rsidRPr="00C903F8">
        <w:rPr>
          <w:bCs/>
          <w:i/>
          <w:noProof/>
          <w:lang w:val="en-US"/>
        </w:rPr>
        <w:t>Definitions</w:t>
      </w:r>
      <w:bookmarkEnd w:id="169"/>
    </w:p>
    <w:p w:rsidR="002A434E" w:rsidRPr="00C903F8" w:rsidRDefault="002A434E" w:rsidP="002A434E">
      <w:pPr>
        <w:rPr>
          <w:rFonts w:cs="Arial"/>
          <w:noProof/>
          <w:szCs w:val="20"/>
          <w:lang w:val="en-US"/>
        </w:rPr>
      </w:pPr>
    </w:p>
    <w:p w:rsidR="002A434E" w:rsidRPr="00C903F8" w:rsidRDefault="002A434E" w:rsidP="002A434E">
      <w:pPr>
        <w:rPr>
          <w:rFonts w:cs="Arial"/>
          <w:noProof/>
          <w:szCs w:val="20"/>
          <w:lang w:val="en-US"/>
        </w:rPr>
      </w:pPr>
      <w:r w:rsidRPr="00C903F8">
        <w:rPr>
          <w:rFonts w:cs="Arial"/>
          <w:noProof/>
          <w:szCs w:val="20"/>
          <w:lang w:val="en-US"/>
        </w:rPr>
        <w:t>In this Chapter:</w:t>
      </w:r>
    </w:p>
    <w:p w:rsidR="00F935C7" w:rsidRPr="00C903F8" w:rsidRDefault="00F935C7" w:rsidP="00E61447">
      <w:pPr>
        <w:pStyle w:val="ESch"/>
        <w:rPr>
          <w:noProof/>
          <w:lang w:val="en-US"/>
        </w:rPr>
      </w:pPr>
    </w:p>
    <w:p w:rsidR="00E61447" w:rsidRPr="00C903F8" w:rsidRDefault="00E61447" w:rsidP="00E61447">
      <w:pPr>
        <w:pStyle w:val="ESch"/>
        <w:rPr>
          <w:rFonts w:cs="Arial"/>
          <w:szCs w:val="18"/>
          <w:lang w:val="en-US"/>
        </w:rPr>
      </w:pPr>
      <w:r w:rsidRPr="00C903F8">
        <w:rPr>
          <w:noProof/>
          <w:lang w:val="en-US"/>
        </w:rPr>
        <w:t>1</w:t>
      </w:r>
      <w:r w:rsidR="00243A81">
        <w:rPr>
          <w:noProof/>
          <w:lang w:val="en-US"/>
        </w:rPr>
        <w:t>.</w:t>
      </w:r>
      <w:r w:rsidRPr="00C903F8">
        <w:rPr>
          <w:lang w:val="en-US"/>
        </w:rPr>
        <w:tab/>
      </w:r>
      <w:r w:rsidRPr="00C903F8">
        <w:rPr>
          <w:noProof/>
          <w:lang w:val="en-US"/>
        </w:rPr>
        <w:t>'on-board sewage treatment plant': a sewage treatment plant of compact design for treating the quantities of domestic waste water accruing on board;</w:t>
      </w:r>
    </w:p>
    <w:p w:rsidR="00E61447" w:rsidRPr="00C903F8" w:rsidRDefault="00E61447" w:rsidP="00E61447">
      <w:pPr>
        <w:pStyle w:val="ESch"/>
        <w:rPr>
          <w:noProof/>
          <w:lang w:val="en-US"/>
        </w:rPr>
      </w:pPr>
    </w:p>
    <w:p w:rsidR="00E61447" w:rsidRPr="00C903F8" w:rsidRDefault="00E61447" w:rsidP="00E61447">
      <w:pPr>
        <w:pStyle w:val="ESch"/>
        <w:rPr>
          <w:rFonts w:cs="Arial"/>
          <w:szCs w:val="18"/>
          <w:lang w:val="en-US"/>
        </w:rPr>
      </w:pPr>
      <w:r w:rsidRPr="00C903F8">
        <w:rPr>
          <w:noProof/>
          <w:lang w:val="en-US"/>
        </w:rPr>
        <w:t>2</w:t>
      </w:r>
      <w:r w:rsidR="00243A81">
        <w:rPr>
          <w:noProof/>
          <w:lang w:val="en-US"/>
        </w:rPr>
        <w:t>.</w:t>
      </w:r>
      <w:r w:rsidRPr="00C903F8">
        <w:rPr>
          <w:lang w:val="en-US"/>
        </w:rPr>
        <w:tab/>
      </w:r>
      <w:r w:rsidRPr="00C903F8">
        <w:rPr>
          <w:noProof/>
          <w:lang w:val="en-US"/>
        </w:rPr>
        <w:t>‘type approval': the decision whereby the competent authority confirms that an on</w:t>
      </w:r>
      <w:r w:rsidR="00433D99" w:rsidRPr="00C903F8">
        <w:rPr>
          <w:noProof/>
          <w:lang w:val="en-US"/>
        </w:rPr>
        <w:t>-</w:t>
      </w:r>
      <w:r w:rsidRPr="00C903F8">
        <w:rPr>
          <w:noProof/>
          <w:lang w:val="en-US"/>
        </w:rPr>
        <w:t>board sewage treatment plant satisfies the technical requirements of Chapter 18;</w:t>
      </w:r>
    </w:p>
    <w:p w:rsidR="00E61447" w:rsidRPr="00C903F8" w:rsidRDefault="00E61447" w:rsidP="00E61447">
      <w:pPr>
        <w:pStyle w:val="ESch"/>
        <w:rPr>
          <w:noProof/>
          <w:lang w:val="en-US"/>
        </w:rPr>
      </w:pPr>
    </w:p>
    <w:p w:rsidR="00E61447" w:rsidRPr="00C903F8" w:rsidRDefault="00E61447" w:rsidP="00E61447">
      <w:pPr>
        <w:pStyle w:val="ESch"/>
        <w:rPr>
          <w:rFonts w:cs="Arial"/>
          <w:szCs w:val="18"/>
          <w:lang w:val="en-US"/>
        </w:rPr>
      </w:pPr>
      <w:r w:rsidRPr="00C903F8">
        <w:rPr>
          <w:noProof/>
          <w:lang w:val="en-US"/>
        </w:rPr>
        <w:t>3</w:t>
      </w:r>
      <w:r w:rsidR="00243A81">
        <w:rPr>
          <w:noProof/>
          <w:lang w:val="en-US"/>
        </w:rPr>
        <w:t>.</w:t>
      </w:r>
      <w:r w:rsidRPr="00C903F8">
        <w:rPr>
          <w:lang w:val="en-US"/>
        </w:rPr>
        <w:tab/>
      </w:r>
      <w:r w:rsidRPr="00C903F8">
        <w:rPr>
          <w:noProof/>
          <w:lang w:val="en-US"/>
        </w:rPr>
        <w:t xml:space="preserve">'special test': the procedure carried in accordance with Article </w:t>
      </w:r>
      <w:r w:rsidR="002E3EAE" w:rsidRPr="00C903F8">
        <w:rPr>
          <w:noProof/>
          <w:lang w:val="en-US"/>
        </w:rPr>
        <w:t>18.</w:t>
      </w:r>
      <w:r w:rsidR="00CF5E0F" w:rsidRPr="00C903F8">
        <w:rPr>
          <w:noProof/>
          <w:lang w:val="en-US"/>
        </w:rPr>
        <w:t>09</w:t>
      </w:r>
      <w:r w:rsidRPr="00C903F8">
        <w:rPr>
          <w:noProof/>
          <w:lang w:val="en-US"/>
        </w:rPr>
        <w:t xml:space="preserve"> whereby the competent authority ensures that the on-board sewage treatment plant operated in a craft satisfies the requirements of Chapter 18;</w:t>
      </w:r>
    </w:p>
    <w:p w:rsidR="00E61447" w:rsidRPr="00C903F8" w:rsidRDefault="00E61447" w:rsidP="00E61447">
      <w:pPr>
        <w:pStyle w:val="ESch"/>
        <w:rPr>
          <w:noProof/>
          <w:lang w:val="en-US"/>
        </w:rPr>
      </w:pPr>
    </w:p>
    <w:p w:rsidR="00E61447" w:rsidRPr="00C903F8" w:rsidRDefault="00E61447" w:rsidP="00E61447">
      <w:pPr>
        <w:pStyle w:val="ESch"/>
        <w:rPr>
          <w:rFonts w:cs="Arial"/>
          <w:szCs w:val="18"/>
          <w:lang w:val="en-US"/>
        </w:rPr>
      </w:pPr>
      <w:r w:rsidRPr="00C903F8">
        <w:rPr>
          <w:noProof/>
          <w:lang w:val="en-US"/>
        </w:rPr>
        <w:t>4</w:t>
      </w:r>
      <w:r w:rsidR="00243A81">
        <w:rPr>
          <w:noProof/>
          <w:lang w:val="en-US"/>
        </w:rPr>
        <w:t>.</w:t>
      </w:r>
      <w:r w:rsidRPr="00C903F8">
        <w:rPr>
          <w:lang w:val="en-US"/>
        </w:rPr>
        <w:tab/>
      </w:r>
      <w:r w:rsidRPr="00C903F8">
        <w:rPr>
          <w:noProof/>
          <w:lang w:val="en-US"/>
        </w:rPr>
        <w:t>'manufacturer': the person or body who is responsible to the competent authority for all aspects of the type approval procedure and for ensuring conformity of production. This person or body does not have to be involved in all stages of the construction of the on</w:t>
      </w:r>
      <w:r w:rsidR="00433D99" w:rsidRPr="00C903F8">
        <w:rPr>
          <w:lang w:val="en-US"/>
        </w:rPr>
        <w:t>-</w:t>
      </w:r>
      <w:r w:rsidRPr="00C903F8">
        <w:rPr>
          <w:noProof/>
          <w:lang w:val="en-US"/>
        </w:rPr>
        <w:t>board sewage treatment plant. If the on</w:t>
      </w:r>
      <w:r w:rsidR="00433D99" w:rsidRPr="00C903F8">
        <w:rPr>
          <w:lang w:val="en-US"/>
        </w:rPr>
        <w:t>-</w:t>
      </w:r>
      <w:r w:rsidRPr="00C903F8">
        <w:rPr>
          <w:noProof/>
          <w:lang w:val="en-US"/>
        </w:rPr>
        <w:t>board sewage treatment plant is converted by modifications or retrofitting after its original manufacture for use on a craft for the purposes of the Chapter 18, the person or body having carried out the modifications or retrofitting is considered as the manufacturer;</w:t>
      </w:r>
    </w:p>
    <w:p w:rsidR="00E61447" w:rsidRPr="00C903F8" w:rsidRDefault="00E61447" w:rsidP="00E61447">
      <w:pPr>
        <w:pStyle w:val="ESch"/>
        <w:rPr>
          <w:noProof/>
          <w:lang w:val="en-US"/>
        </w:rPr>
      </w:pPr>
    </w:p>
    <w:p w:rsidR="00E61447" w:rsidRPr="00C903F8" w:rsidRDefault="00E61447" w:rsidP="00E61447">
      <w:pPr>
        <w:pStyle w:val="ESch"/>
        <w:rPr>
          <w:rFonts w:cs="Arial"/>
          <w:szCs w:val="18"/>
          <w:lang w:val="en-US"/>
        </w:rPr>
      </w:pPr>
      <w:r w:rsidRPr="00C903F8">
        <w:rPr>
          <w:noProof/>
          <w:lang w:val="en-US"/>
        </w:rPr>
        <w:t>5</w:t>
      </w:r>
      <w:r w:rsidR="00243A81">
        <w:rPr>
          <w:noProof/>
          <w:lang w:val="en-US"/>
        </w:rPr>
        <w:t>.</w:t>
      </w:r>
      <w:r w:rsidRPr="00C903F8">
        <w:rPr>
          <w:lang w:val="en-US"/>
        </w:rPr>
        <w:tab/>
      </w:r>
      <w:r w:rsidRPr="00C903F8">
        <w:rPr>
          <w:noProof/>
          <w:lang w:val="en-US"/>
        </w:rPr>
        <w:t xml:space="preserve">'information document': the document set out in Annex </w:t>
      </w:r>
      <w:r w:rsidR="002E6F15" w:rsidRPr="00C903F8">
        <w:rPr>
          <w:noProof/>
          <w:lang w:val="en-US"/>
        </w:rPr>
        <w:t>7</w:t>
      </w:r>
      <w:r w:rsidRPr="00C903F8">
        <w:rPr>
          <w:noProof/>
          <w:lang w:val="en-US"/>
        </w:rPr>
        <w:t>, Section II that lists the information to be supplied by an applicant;</w:t>
      </w:r>
    </w:p>
    <w:p w:rsidR="00E61447" w:rsidRPr="00C903F8" w:rsidRDefault="00E61447" w:rsidP="00E61447">
      <w:pPr>
        <w:pStyle w:val="ESch"/>
        <w:rPr>
          <w:noProof/>
          <w:lang w:val="en-US"/>
        </w:rPr>
      </w:pPr>
    </w:p>
    <w:p w:rsidR="00E61447" w:rsidRPr="00C903F8" w:rsidRDefault="00E61447" w:rsidP="00E61447">
      <w:pPr>
        <w:pStyle w:val="ESch"/>
        <w:rPr>
          <w:rFonts w:cs="Arial"/>
          <w:szCs w:val="18"/>
          <w:lang w:val="en-US"/>
        </w:rPr>
      </w:pPr>
      <w:r w:rsidRPr="00C903F8">
        <w:rPr>
          <w:noProof/>
          <w:lang w:val="en-US"/>
        </w:rPr>
        <w:t>6</w:t>
      </w:r>
      <w:r w:rsidR="00243A81">
        <w:rPr>
          <w:noProof/>
          <w:lang w:val="en-US"/>
        </w:rPr>
        <w:t>.</w:t>
      </w:r>
      <w:r w:rsidRPr="00C903F8">
        <w:rPr>
          <w:lang w:val="en-US"/>
        </w:rPr>
        <w:tab/>
      </w:r>
      <w:r w:rsidRPr="00C903F8">
        <w:rPr>
          <w:noProof/>
          <w:lang w:val="en-US"/>
        </w:rPr>
        <w:t>'information folder': the complete set of data, drawings, photographs or other documents supplied by the applicant to the technical service or the competent authority as prescribed in the information document;</w:t>
      </w:r>
    </w:p>
    <w:p w:rsidR="00E61447" w:rsidRPr="00C903F8" w:rsidRDefault="00E61447" w:rsidP="00E61447">
      <w:pPr>
        <w:pStyle w:val="ESch"/>
        <w:rPr>
          <w:noProof/>
          <w:lang w:val="en-US"/>
        </w:rPr>
      </w:pPr>
    </w:p>
    <w:p w:rsidR="00E61447" w:rsidRPr="00C903F8" w:rsidRDefault="00E61447" w:rsidP="00E61447">
      <w:pPr>
        <w:pStyle w:val="ESch"/>
        <w:rPr>
          <w:rFonts w:cs="Arial"/>
          <w:szCs w:val="18"/>
          <w:lang w:val="en-US"/>
        </w:rPr>
      </w:pPr>
      <w:r w:rsidRPr="00C903F8">
        <w:rPr>
          <w:noProof/>
          <w:lang w:val="en-US"/>
        </w:rPr>
        <w:t>7</w:t>
      </w:r>
      <w:r w:rsidR="00243A81">
        <w:rPr>
          <w:noProof/>
          <w:lang w:val="en-US"/>
        </w:rPr>
        <w:t>.</w:t>
      </w:r>
      <w:r w:rsidRPr="00C903F8">
        <w:rPr>
          <w:lang w:val="en-US"/>
        </w:rPr>
        <w:tab/>
      </w:r>
      <w:r w:rsidRPr="00C903F8">
        <w:rPr>
          <w:noProof/>
          <w:lang w:val="en-US"/>
        </w:rPr>
        <w:t>'information package': the information folder plus any test reports or other documents that the technical service or the competent authority have added to the information folder in the course of their duties;</w:t>
      </w:r>
    </w:p>
    <w:p w:rsidR="00E61447" w:rsidRPr="00C903F8" w:rsidRDefault="00E61447" w:rsidP="00E61447">
      <w:pPr>
        <w:pStyle w:val="ESch"/>
        <w:rPr>
          <w:noProof/>
          <w:lang w:val="en-US"/>
        </w:rPr>
      </w:pPr>
    </w:p>
    <w:p w:rsidR="00E61447" w:rsidRPr="00C903F8" w:rsidRDefault="00E61447" w:rsidP="00E61447">
      <w:pPr>
        <w:pStyle w:val="ESch"/>
        <w:rPr>
          <w:rFonts w:cs="Arial"/>
          <w:szCs w:val="18"/>
          <w:lang w:val="en-US"/>
        </w:rPr>
      </w:pPr>
      <w:r w:rsidRPr="00C903F8">
        <w:rPr>
          <w:noProof/>
          <w:lang w:val="en-US"/>
        </w:rPr>
        <w:t>8</w:t>
      </w:r>
      <w:r w:rsidR="00243A81">
        <w:rPr>
          <w:noProof/>
          <w:lang w:val="en-US"/>
        </w:rPr>
        <w:t>.</w:t>
      </w:r>
      <w:r w:rsidRPr="00C903F8">
        <w:rPr>
          <w:lang w:val="en-US"/>
        </w:rPr>
        <w:tab/>
      </w:r>
      <w:r w:rsidRPr="00C903F8">
        <w:rPr>
          <w:noProof/>
          <w:lang w:val="en-US"/>
        </w:rPr>
        <w:t xml:space="preserve">'type approval certificate' the document drawn up in accordance with Annex </w:t>
      </w:r>
      <w:r w:rsidR="002E6F15" w:rsidRPr="00C903F8">
        <w:rPr>
          <w:noProof/>
          <w:lang w:val="en-US"/>
        </w:rPr>
        <w:t>7</w:t>
      </w:r>
      <w:r w:rsidRPr="00C903F8">
        <w:rPr>
          <w:noProof/>
          <w:lang w:val="en-US"/>
        </w:rPr>
        <w:t>, Section III with which the competent authority certifies the type approval;</w:t>
      </w:r>
    </w:p>
    <w:p w:rsidR="00E61447" w:rsidRPr="00C903F8" w:rsidRDefault="00E61447" w:rsidP="00E61447">
      <w:pPr>
        <w:pStyle w:val="ESch"/>
        <w:rPr>
          <w:noProof/>
          <w:lang w:val="en-US"/>
        </w:rPr>
      </w:pPr>
    </w:p>
    <w:p w:rsidR="00E61447" w:rsidRPr="00C903F8" w:rsidRDefault="00E61447" w:rsidP="00E61447">
      <w:pPr>
        <w:pStyle w:val="ESch"/>
        <w:rPr>
          <w:rFonts w:cs="Arial"/>
          <w:szCs w:val="18"/>
          <w:lang w:val="en-US"/>
        </w:rPr>
      </w:pPr>
      <w:r w:rsidRPr="00C903F8">
        <w:rPr>
          <w:noProof/>
          <w:lang w:val="en-US"/>
        </w:rPr>
        <w:t>9</w:t>
      </w:r>
      <w:r w:rsidR="00243A81">
        <w:rPr>
          <w:noProof/>
          <w:lang w:val="en-US"/>
        </w:rPr>
        <w:t>.</w:t>
      </w:r>
      <w:r w:rsidRPr="00C903F8">
        <w:rPr>
          <w:lang w:val="en-US"/>
        </w:rPr>
        <w:tab/>
      </w:r>
      <w:r w:rsidRPr="00C903F8">
        <w:rPr>
          <w:noProof/>
          <w:lang w:val="en-US"/>
        </w:rPr>
        <w:t xml:space="preserve">'on-board sewage treatment plant parameters record': the document drawn up in accordance with Annex </w:t>
      </w:r>
      <w:r w:rsidR="002E6F15" w:rsidRPr="00C903F8">
        <w:rPr>
          <w:noProof/>
          <w:lang w:val="en-US"/>
        </w:rPr>
        <w:t>7</w:t>
      </w:r>
      <w:r w:rsidRPr="00C903F8">
        <w:rPr>
          <w:noProof/>
          <w:lang w:val="en-US"/>
        </w:rPr>
        <w:t>, Section VIII which records all parameters, including components of and adjustments to the on-board sewage treatment plant having an effect on the level of sewage treatment, including modifications thereto;</w:t>
      </w:r>
    </w:p>
    <w:p w:rsidR="00E61447" w:rsidRPr="00C903F8" w:rsidRDefault="00E61447" w:rsidP="00E61447">
      <w:pPr>
        <w:pStyle w:val="ESch"/>
        <w:rPr>
          <w:noProof/>
          <w:lang w:val="en-US"/>
        </w:rPr>
      </w:pPr>
    </w:p>
    <w:p w:rsidR="00E61447" w:rsidRPr="00C903F8" w:rsidRDefault="00E61447" w:rsidP="00E61447">
      <w:pPr>
        <w:pStyle w:val="ESch"/>
        <w:rPr>
          <w:rFonts w:cs="Arial"/>
          <w:szCs w:val="18"/>
          <w:lang w:val="en-US"/>
        </w:rPr>
      </w:pPr>
      <w:r w:rsidRPr="00C903F8">
        <w:rPr>
          <w:noProof/>
          <w:lang w:val="en-US"/>
        </w:rPr>
        <w:t>10</w:t>
      </w:r>
      <w:r w:rsidR="00243A81">
        <w:rPr>
          <w:noProof/>
          <w:lang w:val="en-US"/>
        </w:rPr>
        <w:t>.</w:t>
      </w:r>
      <w:r w:rsidRPr="00C903F8">
        <w:rPr>
          <w:lang w:val="en-US"/>
        </w:rPr>
        <w:tab/>
      </w:r>
      <w:r w:rsidRPr="00C903F8">
        <w:rPr>
          <w:noProof/>
          <w:lang w:val="en-US"/>
        </w:rPr>
        <w:t>'manufacturer's guide to checking the components and parameters relevant to sewage treatment': the document compiled in accordance with Article 18.</w:t>
      </w:r>
      <w:r w:rsidR="00CF5E0F" w:rsidRPr="00C903F8">
        <w:rPr>
          <w:noProof/>
          <w:lang w:val="en-US"/>
        </w:rPr>
        <w:t>09</w:t>
      </w:r>
      <w:r w:rsidRPr="00C903F8">
        <w:rPr>
          <w:noProof/>
          <w:lang w:val="en-US"/>
        </w:rPr>
        <w:t>(4) for the purpose of implementing the special test;</w:t>
      </w:r>
    </w:p>
    <w:p w:rsidR="00E61447" w:rsidRPr="00C903F8" w:rsidRDefault="00E61447" w:rsidP="00E61447">
      <w:pPr>
        <w:pStyle w:val="ESch"/>
        <w:rPr>
          <w:noProof/>
          <w:lang w:val="en-US"/>
        </w:rPr>
      </w:pPr>
    </w:p>
    <w:p w:rsidR="00E61447" w:rsidRPr="00C903F8" w:rsidRDefault="00E61447" w:rsidP="00E61447">
      <w:pPr>
        <w:pStyle w:val="ESch"/>
        <w:rPr>
          <w:rFonts w:cs="Arial"/>
          <w:szCs w:val="18"/>
          <w:lang w:val="en-US"/>
        </w:rPr>
      </w:pPr>
      <w:r w:rsidRPr="00C903F8">
        <w:rPr>
          <w:noProof/>
          <w:lang w:val="en-US"/>
        </w:rPr>
        <w:t>11</w:t>
      </w:r>
      <w:r w:rsidR="00243A81">
        <w:rPr>
          <w:noProof/>
          <w:lang w:val="en-US"/>
        </w:rPr>
        <w:t>.</w:t>
      </w:r>
      <w:r w:rsidRPr="00C903F8">
        <w:rPr>
          <w:lang w:val="en-US"/>
        </w:rPr>
        <w:tab/>
      </w:r>
      <w:r w:rsidRPr="00C903F8">
        <w:rPr>
          <w:noProof/>
          <w:lang w:val="en-US"/>
        </w:rPr>
        <w:t>'domestic waste water': waste water from galleys, dining rooms, washrooms and laundries and faecal water;</w:t>
      </w:r>
    </w:p>
    <w:p w:rsidR="00E61447" w:rsidRPr="00C903F8" w:rsidRDefault="00E61447" w:rsidP="00E61447">
      <w:pPr>
        <w:pStyle w:val="ESch"/>
        <w:rPr>
          <w:noProof/>
          <w:lang w:val="en-US"/>
        </w:rPr>
      </w:pPr>
    </w:p>
    <w:p w:rsidR="00E61447" w:rsidRPr="00C903F8" w:rsidRDefault="00E61447" w:rsidP="00E61447">
      <w:pPr>
        <w:pStyle w:val="ESch"/>
        <w:rPr>
          <w:rFonts w:cs="Arial"/>
          <w:szCs w:val="18"/>
          <w:lang w:val="en-US"/>
        </w:rPr>
      </w:pPr>
      <w:r w:rsidRPr="00C903F8">
        <w:rPr>
          <w:noProof/>
          <w:lang w:val="en-US"/>
        </w:rPr>
        <w:t>12</w:t>
      </w:r>
      <w:r w:rsidR="00243A81">
        <w:rPr>
          <w:noProof/>
          <w:lang w:val="en-US"/>
        </w:rPr>
        <w:t>.</w:t>
      </w:r>
      <w:r w:rsidRPr="00C903F8">
        <w:rPr>
          <w:lang w:val="en-US"/>
        </w:rPr>
        <w:tab/>
      </w:r>
      <w:r w:rsidRPr="00C903F8">
        <w:rPr>
          <w:noProof/>
          <w:lang w:val="en-US"/>
        </w:rPr>
        <w:t>'sewage sludge': residues accruing from operation of a sewage treatment plant on board a craft</w:t>
      </w:r>
      <w:r w:rsidR="00917628" w:rsidRPr="00C903F8">
        <w:rPr>
          <w:noProof/>
          <w:lang w:val="en-US"/>
        </w:rPr>
        <w:t>.</w:t>
      </w:r>
    </w:p>
    <w:p w:rsidR="00E61447" w:rsidRPr="00C903F8" w:rsidRDefault="00E61447" w:rsidP="00E61447">
      <w:pPr>
        <w:pStyle w:val="ESch"/>
        <w:rPr>
          <w:lang w:val="en-US"/>
        </w:rPr>
      </w:pPr>
    </w:p>
    <w:p w:rsidR="00E61447" w:rsidRPr="00C903F8" w:rsidRDefault="00917628" w:rsidP="00917628">
      <w:pPr>
        <w:pStyle w:val="ESch"/>
        <w:rPr>
          <w:noProof/>
          <w:lang w:val="en-US"/>
        </w:rPr>
      </w:pPr>
      <w:r w:rsidRPr="00C903F8">
        <w:rPr>
          <w:noProof/>
          <w:lang w:val="en-US"/>
        </w:rPr>
        <w:br w:type="page"/>
      </w:r>
    </w:p>
    <w:p w:rsidR="00AC39F0" w:rsidRPr="00C903F8" w:rsidRDefault="00AC39F0" w:rsidP="00AC39F0">
      <w:pPr>
        <w:pStyle w:val="ES-Titre3"/>
        <w:rPr>
          <w:lang w:val="en-US"/>
        </w:rPr>
      </w:pPr>
      <w:bookmarkStart w:id="170" w:name="_Toc491854158"/>
      <w:r w:rsidRPr="00C903F8">
        <w:rPr>
          <w:noProof/>
          <w:lang w:val="en-US"/>
        </w:rPr>
        <w:lastRenderedPageBreak/>
        <w:t>Article 18.01</w:t>
      </w:r>
      <w:r w:rsidRPr="00C903F8">
        <w:rPr>
          <w:noProof/>
          <w:lang w:val="en-US"/>
        </w:rPr>
        <w:br/>
      </w:r>
      <w:r w:rsidRPr="00C903F8">
        <w:rPr>
          <w:bCs/>
          <w:i/>
          <w:noProof/>
          <w:lang w:val="en-US"/>
        </w:rPr>
        <w:t>General provisions</w:t>
      </w:r>
      <w:bookmarkEnd w:id="170"/>
    </w:p>
    <w:p w:rsidR="00AC39F0" w:rsidRPr="00C903F8" w:rsidRDefault="00AC39F0" w:rsidP="005662C0">
      <w:pPr>
        <w:pStyle w:val="ESch"/>
        <w:rPr>
          <w:lang w:val="en-US"/>
        </w:rPr>
      </w:pPr>
    </w:p>
    <w:p w:rsidR="00AC39F0" w:rsidRPr="00C903F8" w:rsidRDefault="00AC39F0" w:rsidP="00AC39F0">
      <w:pPr>
        <w:pStyle w:val="ESch"/>
        <w:rPr>
          <w:rFonts w:cs="Arial"/>
          <w:szCs w:val="20"/>
          <w:lang w:val="en-US"/>
        </w:rPr>
      </w:pPr>
      <w:r w:rsidRPr="00C903F8">
        <w:rPr>
          <w:noProof/>
          <w:szCs w:val="20"/>
          <w:lang w:val="en-US"/>
        </w:rPr>
        <w:t>1.</w:t>
      </w:r>
      <w:r w:rsidRPr="00C903F8">
        <w:rPr>
          <w:szCs w:val="20"/>
          <w:lang w:val="en-US"/>
        </w:rPr>
        <w:tab/>
      </w:r>
      <w:r w:rsidR="00C509E3" w:rsidRPr="00C903F8">
        <w:rPr>
          <w:noProof/>
          <w:szCs w:val="20"/>
          <w:lang w:val="en-US"/>
        </w:rPr>
        <w:t>This Chapter applies to all on-board sewage treatment plants which are installed on board of craft.</w:t>
      </w:r>
    </w:p>
    <w:p w:rsidR="00AC39F0" w:rsidRPr="00C903F8" w:rsidRDefault="00AC39F0" w:rsidP="00AC39F0">
      <w:pPr>
        <w:pStyle w:val="ESch"/>
        <w:rPr>
          <w:noProof/>
          <w:szCs w:val="20"/>
          <w:lang w:val="en-US"/>
        </w:rPr>
      </w:pPr>
    </w:p>
    <w:p w:rsidR="00AC39F0" w:rsidRPr="00C903F8" w:rsidRDefault="00AC39F0" w:rsidP="00AC39F0">
      <w:pPr>
        <w:pStyle w:val="ESch"/>
        <w:tabs>
          <w:tab w:val="left" w:pos="567"/>
        </w:tabs>
        <w:ind w:left="993" w:hanging="993"/>
        <w:rPr>
          <w:rFonts w:cs="Arial"/>
          <w:szCs w:val="20"/>
          <w:lang w:val="en-US"/>
        </w:rPr>
      </w:pPr>
      <w:r w:rsidRPr="00C903F8">
        <w:rPr>
          <w:noProof/>
          <w:szCs w:val="20"/>
          <w:lang w:val="en-US"/>
        </w:rPr>
        <w:t>2.</w:t>
      </w:r>
      <w:r w:rsidRPr="00C903F8">
        <w:rPr>
          <w:szCs w:val="20"/>
          <w:lang w:val="en-US"/>
        </w:rPr>
        <w:tab/>
      </w:r>
      <w:r w:rsidR="005C7859" w:rsidRPr="00C903F8">
        <w:rPr>
          <w:noProof/>
          <w:szCs w:val="20"/>
          <w:lang w:val="en-US"/>
        </w:rPr>
        <w:t>a)</w:t>
      </w:r>
      <w:r w:rsidRPr="00C903F8">
        <w:rPr>
          <w:noProof/>
          <w:szCs w:val="20"/>
          <w:lang w:val="en-US"/>
        </w:rPr>
        <w:tab/>
        <w:t>On-board sewage treatment plants shall comply with the following limit values during the type test:</w:t>
      </w:r>
    </w:p>
    <w:p w:rsidR="00AC39F0" w:rsidRPr="00C903F8" w:rsidRDefault="00AC39F0" w:rsidP="00AC39F0">
      <w:pPr>
        <w:pStyle w:val="ESch"/>
        <w:rPr>
          <w:noProof/>
          <w:szCs w:val="20"/>
          <w:lang w:val="en-US"/>
        </w:rPr>
      </w:pPr>
    </w:p>
    <w:p w:rsidR="00AC39F0" w:rsidRPr="00C903F8" w:rsidRDefault="00AC39F0" w:rsidP="00AC39F0">
      <w:pPr>
        <w:pStyle w:val="ESletpar"/>
        <w:rPr>
          <w:rFonts w:cs="Arial"/>
          <w:lang w:val="en-US"/>
        </w:rPr>
      </w:pPr>
      <w:r w:rsidRPr="00C903F8">
        <w:rPr>
          <w:noProof/>
          <w:lang w:val="en-US"/>
        </w:rPr>
        <w:t xml:space="preserve">Table </w:t>
      </w:r>
      <w:r w:rsidR="00475311" w:rsidRPr="00C903F8">
        <w:rPr>
          <w:noProof/>
        </w:rPr>
        <w:fldChar w:fldCharType="begin"/>
      </w:r>
      <w:r w:rsidRPr="00C903F8">
        <w:rPr>
          <w:noProof/>
          <w:lang w:val="en-US"/>
        </w:rPr>
        <w:instrText xml:space="preserve"> SEQ Tabelle \* ARABIC </w:instrText>
      </w:r>
      <w:r w:rsidR="00475311" w:rsidRPr="00C903F8">
        <w:rPr>
          <w:noProof/>
        </w:rPr>
        <w:fldChar w:fldCharType="separate"/>
      </w:r>
      <w:r w:rsidR="001B3D1D">
        <w:rPr>
          <w:noProof/>
          <w:lang w:val="en-US"/>
        </w:rPr>
        <w:t>1</w:t>
      </w:r>
      <w:r w:rsidR="00475311" w:rsidRPr="00C903F8">
        <w:rPr>
          <w:noProof/>
        </w:rPr>
        <w:fldChar w:fldCharType="end"/>
      </w:r>
      <w:r w:rsidRPr="00C903F8">
        <w:rPr>
          <w:noProof/>
          <w:lang w:val="en-US"/>
        </w:rPr>
        <w:t>: Limit values to be observed in operation in the outflow of the on</w:t>
      </w:r>
      <w:r w:rsidR="00433D99" w:rsidRPr="00C903F8">
        <w:rPr>
          <w:noProof/>
          <w:lang w:val="en-US"/>
        </w:rPr>
        <w:t>-</w:t>
      </w:r>
      <w:r w:rsidRPr="00C903F8">
        <w:rPr>
          <w:noProof/>
          <w:lang w:val="en-US"/>
        </w:rPr>
        <w:t>board sewage treatment plant (test plant) during the type test</w:t>
      </w:r>
    </w:p>
    <w:p w:rsidR="00AC39F0" w:rsidRPr="00C903F8" w:rsidRDefault="00AC39F0" w:rsidP="00AC39F0">
      <w:pPr>
        <w:pStyle w:val="ESch"/>
        <w:rPr>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9"/>
        <w:gridCol w:w="1588"/>
        <w:gridCol w:w="2608"/>
      </w:tblGrid>
      <w:tr w:rsidR="000E1B99" w:rsidRPr="00C903F8" w:rsidTr="00EB78D3">
        <w:trPr>
          <w:trHeight w:val="836"/>
          <w:jc w:val="center"/>
        </w:trPr>
        <w:tc>
          <w:tcPr>
            <w:tcW w:w="3629" w:type="dxa"/>
            <w:vAlign w:val="center"/>
          </w:tcPr>
          <w:p w:rsidR="000E1B99" w:rsidRPr="00C903F8" w:rsidRDefault="000E1B99" w:rsidP="00274EE8">
            <w:pPr>
              <w:spacing w:before="60" w:after="60" w:line="240" w:lineRule="atLeast"/>
              <w:jc w:val="center"/>
              <w:rPr>
                <w:noProof/>
                <w:sz w:val="18"/>
                <w:szCs w:val="18"/>
                <w:lang w:val="de-DE"/>
              </w:rPr>
            </w:pPr>
            <w:r w:rsidRPr="00C903F8">
              <w:rPr>
                <w:noProof/>
                <w:sz w:val="18"/>
                <w:szCs w:val="18"/>
                <w:lang w:val="de-DE"/>
              </w:rPr>
              <w:t>Parameter</w:t>
            </w:r>
          </w:p>
        </w:tc>
        <w:tc>
          <w:tcPr>
            <w:tcW w:w="1588" w:type="dxa"/>
            <w:vAlign w:val="center"/>
          </w:tcPr>
          <w:p w:rsidR="000E1B99" w:rsidRPr="00C903F8" w:rsidRDefault="000E1B99" w:rsidP="00274EE8">
            <w:pPr>
              <w:spacing w:before="60" w:after="60" w:line="240" w:lineRule="atLeast"/>
              <w:ind w:left="0" w:firstLine="0"/>
              <w:jc w:val="center"/>
              <w:rPr>
                <w:noProof/>
                <w:sz w:val="18"/>
                <w:szCs w:val="18"/>
              </w:rPr>
            </w:pPr>
            <w:r w:rsidRPr="00C903F8">
              <w:rPr>
                <w:noProof/>
                <w:sz w:val="18"/>
                <w:szCs w:val="18"/>
              </w:rPr>
              <w:t>Concentration (Stage II)</w:t>
            </w:r>
          </w:p>
        </w:tc>
        <w:tc>
          <w:tcPr>
            <w:tcW w:w="2608" w:type="dxa"/>
            <w:vAlign w:val="center"/>
          </w:tcPr>
          <w:p w:rsidR="000E1B99" w:rsidRPr="00C903F8" w:rsidRDefault="000E1B99" w:rsidP="00274EE8">
            <w:pPr>
              <w:spacing w:before="60" w:after="60" w:line="240" w:lineRule="atLeast"/>
              <w:jc w:val="center"/>
              <w:rPr>
                <w:noProof/>
                <w:sz w:val="18"/>
                <w:szCs w:val="18"/>
                <w:lang w:val="de-DE"/>
              </w:rPr>
            </w:pPr>
            <w:r w:rsidRPr="00C903F8">
              <w:rPr>
                <w:noProof/>
                <w:sz w:val="18"/>
                <w:szCs w:val="18"/>
              </w:rPr>
              <w:t>Sample</w:t>
            </w:r>
          </w:p>
        </w:tc>
      </w:tr>
      <w:tr w:rsidR="000E1B99" w:rsidRPr="00C903F8" w:rsidTr="00EB78D3">
        <w:trPr>
          <w:jc w:val="center"/>
        </w:trPr>
        <w:tc>
          <w:tcPr>
            <w:tcW w:w="3629" w:type="dxa"/>
            <w:vMerge w:val="restart"/>
            <w:vAlign w:val="center"/>
          </w:tcPr>
          <w:p w:rsidR="000E1B99" w:rsidRPr="00C903F8" w:rsidRDefault="000E1B99" w:rsidP="0085414C">
            <w:pPr>
              <w:spacing w:before="60" w:after="60" w:line="240" w:lineRule="atLeast"/>
              <w:ind w:left="0" w:firstLine="0"/>
              <w:jc w:val="left"/>
              <w:rPr>
                <w:noProof/>
                <w:sz w:val="18"/>
                <w:szCs w:val="18"/>
                <w:vertAlign w:val="superscript"/>
                <w:lang w:val="en-US"/>
              </w:rPr>
            </w:pPr>
            <w:r w:rsidRPr="00C903F8">
              <w:rPr>
                <w:noProof/>
                <w:sz w:val="18"/>
                <w:szCs w:val="18"/>
                <w:lang w:val="en-US"/>
              </w:rPr>
              <w:t>Biochemical oxygen demand (</w:t>
            </w:r>
            <m:oMath>
              <m:sSub>
                <m:sSubPr>
                  <m:ctrlPr>
                    <w:rPr>
                      <w:rFonts w:ascii="Cambria Math" w:hAnsi="Cambria Math"/>
                      <w:i/>
                      <w:noProof/>
                      <w:sz w:val="18"/>
                      <w:szCs w:val="18"/>
                      <w:lang w:val="en-US" w:eastAsia="nl-NL"/>
                    </w:rPr>
                  </m:ctrlPr>
                </m:sSubPr>
                <m:e>
                  <m:r>
                    <w:rPr>
                      <w:rFonts w:ascii="Cambria Math" w:hAnsi="Cambria Math"/>
                      <w:noProof/>
                      <w:sz w:val="18"/>
                      <w:szCs w:val="18"/>
                      <w:lang w:val="en-US" w:eastAsia="nl-NL"/>
                    </w:rPr>
                    <m:t>BOD</m:t>
                  </m:r>
                </m:e>
                <m:sub>
                  <m:r>
                    <w:rPr>
                      <w:rFonts w:ascii="Cambria Math" w:hAnsi="Cambria Math"/>
                      <w:noProof/>
                      <w:sz w:val="18"/>
                      <w:szCs w:val="18"/>
                      <w:lang w:val="en-US" w:eastAsia="nl-NL"/>
                    </w:rPr>
                    <m:t>5</m:t>
                  </m:r>
                </m:sub>
              </m:sSub>
            </m:oMath>
            <w:r w:rsidR="0085414C" w:rsidRPr="00C903F8">
              <w:rPr>
                <w:noProof/>
                <w:sz w:val="18"/>
                <w:szCs w:val="18"/>
                <w:lang w:val="en-US"/>
              </w:rPr>
              <w:t>)</w:t>
            </w:r>
            <w:r w:rsidR="0085414C" w:rsidRPr="00C903F8">
              <w:rPr>
                <w:noProof/>
                <w:sz w:val="18"/>
                <w:szCs w:val="18"/>
                <w:lang w:val="en-US"/>
              </w:rPr>
              <w:br/>
              <w:t xml:space="preserve">ISO 5815-1 and 5815-2 : </w:t>
            </w:r>
            <w:r w:rsidRPr="00C903F8">
              <w:rPr>
                <w:noProof/>
                <w:sz w:val="18"/>
                <w:szCs w:val="18"/>
                <w:lang w:val="en-US"/>
              </w:rPr>
              <w:t>2003</w:t>
            </w:r>
            <w:r w:rsidRPr="00C903F8">
              <w:rPr>
                <w:noProof/>
                <w:sz w:val="18"/>
                <w:szCs w:val="18"/>
                <w:vertAlign w:val="superscript"/>
                <w:lang w:val="en-US"/>
              </w:rPr>
              <w:t>1</w:t>
            </w:r>
          </w:p>
        </w:tc>
        <w:tc>
          <w:tcPr>
            <w:tcW w:w="1588" w:type="dxa"/>
            <w:vAlign w:val="center"/>
          </w:tcPr>
          <w:p w:rsidR="000E1B99" w:rsidRPr="00C903F8" w:rsidRDefault="000E1B99" w:rsidP="00274EE8">
            <w:pPr>
              <w:spacing w:before="60" w:after="60" w:line="240" w:lineRule="atLeast"/>
              <w:ind w:left="0" w:firstLine="0"/>
              <w:jc w:val="center"/>
              <w:rPr>
                <w:noProof/>
                <w:sz w:val="18"/>
                <w:szCs w:val="18"/>
                <w:lang w:val="de-DE"/>
              </w:rPr>
            </w:pPr>
            <w:r w:rsidRPr="00C903F8">
              <w:rPr>
                <w:noProof/>
                <w:sz w:val="18"/>
                <w:szCs w:val="18"/>
                <w:lang w:val="de-DE"/>
              </w:rPr>
              <w:t>20 mg/l</w:t>
            </w:r>
          </w:p>
        </w:tc>
        <w:tc>
          <w:tcPr>
            <w:tcW w:w="2608" w:type="dxa"/>
            <w:vAlign w:val="center"/>
          </w:tcPr>
          <w:p w:rsidR="000E1B99" w:rsidRPr="00C903F8" w:rsidRDefault="000E1B99" w:rsidP="00274EE8">
            <w:pPr>
              <w:spacing w:before="60" w:after="60" w:line="240" w:lineRule="atLeast"/>
              <w:ind w:left="0" w:firstLine="0"/>
              <w:jc w:val="left"/>
              <w:rPr>
                <w:noProof/>
                <w:sz w:val="18"/>
                <w:szCs w:val="18"/>
                <w:lang w:val="de-DE"/>
              </w:rPr>
            </w:pPr>
            <w:r w:rsidRPr="00C903F8">
              <w:rPr>
                <w:noProof/>
                <w:sz w:val="18"/>
                <w:szCs w:val="18"/>
              </w:rPr>
              <w:t>24h composite sample, homogenised</w:t>
            </w:r>
          </w:p>
        </w:tc>
      </w:tr>
      <w:tr w:rsidR="000E1B99" w:rsidRPr="00C903F8" w:rsidTr="00EB78D3">
        <w:trPr>
          <w:jc w:val="center"/>
        </w:trPr>
        <w:tc>
          <w:tcPr>
            <w:tcW w:w="3629" w:type="dxa"/>
            <w:vMerge/>
            <w:vAlign w:val="center"/>
          </w:tcPr>
          <w:p w:rsidR="000E1B99" w:rsidRPr="00C903F8" w:rsidRDefault="000E1B99" w:rsidP="00274EE8">
            <w:pPr>
              <w:spacing w:before="60" w:after="60" w:line="240" w:lineRule="atLeast"/>
              <w:ind w:left="0" w:firstLine="0"/>
              <w:jc w:val="left"/>
              <w:rPr>
                <w:noProof/>
                <w:sz w:val="18"/>
                <w:szCs w:val="18"/>
                <w:lang w:val="de-DE"/>
              </w:rPr>
            </w:pPr>
          </w:p>
        </w:tc>
        <w:tc>
          <w:tcPr>
            <w:tcW w:w="1588" w:type="dxa"/>
            <w:vAlign w:val="center"/>
          </w:tcPr>
          <w:p w:rsidR="000E1B99" w:rsidRPr="00C903F8" w:rsidRDefault="000E1B99" w:rsidP="00274EE8">
            <w:pPr>
              <w:spacing w:before="60" w:after="60" w:line="240" w:lineRule="atLeast"/>
              <w:ind w:left="0" w:firstLine="0"/>
              <w:jc w:val="center"/>
              <w:rPr>
                <w:noProof/>
                <w:sz w:val="18"/>
                <w:szCs w:val="18"/>
                <w:lang w:val="de-DE"/>
              </w:rPr>
            </w:pPr>
            <w:r w:rsidRPr="00C903F8">
              <w:rPr>
                <w:noProof/>
                <w:sz w:val="18"/>
                <w:szCs w:val="18"/>
                <w:lang w:val="de-DE"/>
              </w:rPr>
              <w:t>25 mg/l</w:t>
            </w:r>
          </w:p>
        </w:tc>
        <w:tc>
          <w:tcPr>
            <w:tcW w:w="2608" w:type="dxa"/>
            <w:vAlign w:val="center"/>
          </w:tcPr>
          <w:p w:rsidR="000E1B99" w:rsidRPr="00C903F8" w:rsidRDefault="000E1B99" w:rsidP="00274EE8">
            <w:pPr>
              <w:spacing w:before="60" w:after="60" w:line="240" w:lineRule="atLeast"/>
              <w:ind w:left="0" w:firstLine="0"/>
              <w:jc w:val="left"/>
              <w:rPr>
                <w:noProof/>
                <w:sz w:val="18"/>
                <w:szCs w:val="18"/>
                <w:lang w:val="de-DE"/>
              </w:rPr>
            </w:pPr>
            <w:r w:rsidRPr="00C903F8">
              <w:rPr>
                <w:noProof/>
                <w:sz w:val="18"/>
                <w:szCs w:val="18"/>
              </w:rPr>
              <w:t>Random sample, homogenised</w:t>
            </w:r>
          </w:p>
        </w:tc>
      </w:tr>
      <w:tr w:rsidR="000E1B99" w:rsidRPr="00C903F8" w:rsidTr="00EB78D3">
        <w:trPr>
          <w:jc w:val="center"/>
        </w:trPr>
        <w:tc>
          <w:tcPr>
            <w:tcW w:w="3629" w:type="dxa"/>
            <w:vMerge w:val="restart"/>
            <w:vAlign w:val="center"/>
          </w:tcPr>
          <w:p w:rsidR="000E1B99" w:rsidRPr="00C903F8" w:rsidRDefault="000E1B99" w:rsidP="0085414C">
            <w:pPr>
              <w:spacing w:before="60" w:after="60" w:line="240" w:lineRule="atLeast"/>
              <w:ind w:left="0" w:firstLine="0"/>
              <w:jc w:val="left"/>
              <w:rPr>
                <w:noProof/>
                <w:sz w:val="18"/>
                <w:szCs w:val="18"/>
                <w:lang w:val="en-US"/>
              </w:rPr>
            </w:pPr>
            <w:r w:rsidRPr="00C903F8">
              <w:rPr>
                <w:noProof/>
                <w:sz w:val="18"/>
                <w:szCs w:val="18"/>
                <w:lang w:val="en-US"/>
              </w:rPr>
              <w:t>Chemical oxygen demand (COD)</w:t>
            </w:r>
            <w:r w:rsidRPr="00C903F8">
              <w:rPr>
                <w:noProof/>
                <w:sz w:val="18"/>
                <w:szCs w:val="18"/>
                <w:vertAlign w:val="superscript"/>
                <w:lang w:val="en-US"/>
              </w:rPr>
              <w:t>2</w:t>
            </w:r>
            <w:r w:rsidRPr="00C903F8">
              <w:rPr>
                <w:noProof/>
                <w:sz w:val="18"/>
                <w:szCs w:val="18"/>
                <w:lang w:val="en-US"/>
              </w:rPr>
              <w:t xml:space="preserve"> </w:t>
            </w:r>
            <w:r w:rsidRPr="00C903F8">
              <w:rPr>
                <w:noProof/>
                <w:sz w:val="18"/>
                <w:szCs w:val="18"/>
                <w:lang w:val="en-US"/>
              </w:rPr>
              <w:br/>
              <w:t xml:space="preserve">ISO 6060 </w:t>
            </w:r>
            <w:r w:rsidR="0085414C" w:rsidRPr="00C903F8">
              <w:rPr>
                <w:noProof/>
                <w:sz w:val="18"/>
                <w:szCs w:val="18"/>
                <w:lang w:val="en-US"/>
              </w:rPr>
              <w:t xml:space="preserve">: </w:t>
            </w:r>
            <w:r w:rsidRPr="00C903F8">
              <w:rPr>
                <w:noProof/>
                <w:sz w:val="18"/>
                <w:szCs w:val="18"/>
                <w:lang w:val="en-US"/>
              </w:rPr>
              <w:t>1989</w:t>
            </w:r>
            <w:r w:rsidRPr="00C903F8">
              <w:rPr>
                <w:noProof/>
                <w:sz w:val="18"/>
                <w:szCs w:val="18"/>
                <w:vertAlign w:val="superscript"/>
                <w:lang w:val="en-US"/>
              </w:rPr>
              <w:t>1)</w:t>
            </w:r>
          </w:p>
        </w:tc>
        <w:tc>
          <w:tcPr>
            <w:tcW w:w="1588" w:type="dxa"/>
            <w:vAlign w:val="center"/>
          </w:tcPr>
          <w:p w:rsidR="000E1B99" w:rsidRPr="00C903F8" w:rsidRDefault="000E1B99" w:rsidP="00274EE8">
            <w:pPr>
              <w:spacing w:before="60" w:after="60" w:line="240" w:lineRule="atLeast"/>
              <w:ind w:left="0" w:firstLine="0"/>
              <w:jc w:val="center"/>
              <w:rPr>
                <w:noProof/>
                <w:sz w:val="18"/>
                <w:szCs w:val="18"/>
                <w:lang w:val="de-DE"/>
              </w:rPr>
            </w:pPr>
            <w:r w:rsidRPr="00C903F8">
              <w:rPr>
                <w:noProof/>
                <w:sz w:val="18"/>
                <w:szCs w:val="18"/>
                <w:lang w:val="de-DE"/>
              </w:rPr>
              <w:t>100 mg/l</w:t>
            </w:r>
          </w:p>
        </w:tc>
        <w:tc>
          <w:tcPr>
            <w:tcW w:w="2608" w:type="dxa"/>
            <w:vAlign w:val="center"/>
          </w:tcPr>
          <w:p w:rsidR="000E1B99" w:rsidRPr="00C903F8" w:rsidRDefault="000E1B99" w:rsidP="00274EE8">
            <w:pPr>
              <w:spacing w:before="60" w:after="60" w:line="240" w:lineRule="atLeast"/>
              <w:ind w:left="0" w:firstLine="0"/>
              <w:jc w:val="left"/>
              <w:rPr>
                <w:noProof/>
                <w:sz w:val="18"/>
                <w:szCs w:val="18"/>
                <w:lang w:val="de-DE"/>
              </w:rPr>
            </w:pPr>
            <w:r w:rsidRPr="00C903F8">
              <w:rPr>
                <w:noProof/>
                <w:sz w:val="18"/>
                <w:szCs w:val="18"/>
              </w:rPr>
              <w:t>24h composite sample, homogenised</w:t>
            </w:r>
          </w:p>
        </w:tc>
      </w:tr>
      <w:tr w:rsidR="000E1B99" w:rsidRPr="00C903F8" w:rsidTr="00EB78D3">
        <w:trPr>
          <w:jc w:val="center"/>
        </w:trPr>
        <w:tc>
          <w:tcPr>
            <w:tcW w:w="3629" w:type="dxa"/>
            <w:vMerge/>
            <w:vAlign w:val="center"/>
          </w:tcPr>
          <w:p w:rsidR="000E1B99" w:rsidRPr="00C903F8" w:rsidRDefault="000E1B99" w:rsidP="00274EE8">
            <w:pPr>
              <w:spacing w:before="60" w:after="60" w:line="240" w:lineRule="atLeast"/>
              <w:ind w:left="0" w:firstLine="0"/>
              <w:jc w:val="left"/>
              <w:rPr>
                <w:noProof/>
                <w:sz w:val="18"/>
                <w:szCs w:val="18"/>
                <w:lang w:val="de-DE"/>
              </w:rPr>
            </w:pPr>
          </w:p>
        </w:tc>
        <w:tc>
          <w:tcPr>
            <w:tcW w:w="1588" w:type="dxa"/>
            <w:vAlign w:val="center"/>
          </w:tcPr>
          <w:p w:rsidR="000E1B99" w:rsidRPr="00C903F8" w:rsidRDefault="000E1B99" w:rsidP="00274EE8">
            <w:pPr>
              <w:spacing w:before="60" w:after="60" w:line="240" w:lineRule="atLeast"/>
              <w:ind w:left="0" w:firstLine="0"/>
              <w:jc w:val="center"/>
              <w:rPr>
                <w:noProof/>
                <w:sz w:val="18"/>
                <w:szCs w:val="18"/>
                <w:lang w:val="de-DE"/>
              </w:rPr>
            </w:pPr>
            <w:r w:rsidRPr="00C903F8">
              <w:rPr>
                <w:noProof/>
                <w:sz w:val="18"/>
                <w:szCs w:val="18"/>
                <w:lang w:val="de-DE"/>
              </w:rPr>
              <w:t>125 mg/l</w:t>
            </w:r>
          </w:p>
        </w:tc>
        <w:tc>
          <w:tcPr>
            <w:tcW w:w="2608" w:type="dxa"/>
            <w:vAlign w:val="center"/>
          </w:tcPr>
          <w:p w:rsidR="000E1B99" w:rsidRPr="00C903F8" w:rsidRDefault="000E1B99" w:rsidP="00274EE8">
            <w:pPr>
              <w:spacing w:before="60" w:after="60" w:line="240" w:lineRule="atLeast"/>
              <w:ind w:left="0" w:firstLine="0"/>
              <w:jc w:val="left"/>
              <w:rPr>
                <w:noProof/>
                <w:sz w:val="18"/>
                <w:szCs w:val="18"/>
                <w:lang w:val="de-DE"/>
              </w:rPr>
            </w:pPr>
            <w:r w:rsidRPr="00C903F8">
              <w:rPr>
                <w:noProof/>
                <w:sz w:val="18"/>
                <w:szCs w:val="18"/>
              </w:rPr>
              <w:t>Random sample, homogenised</w:t>
            </w:r>
          </w:p>
        </w:tc>
      </w:tr>
      <w:tr w:rsidR="000E1B99" w:rsidRPr="00C903F8" w:rsidTr="00EB78D3">
        <w:trPr>
          <w:jc w:val="center"/>
        </w:trPr>
        <w:tc>
          <w:tcPr>
            <w:tcW w:w="3629" w:type="dxa"/>
            <w:vMerge w:val="restart"/>
            <w:vAlign w:val="center"/>
          </w:tcPr>
          <w:p w:rsidR="000E1B99" w:rsidRPr="00C903F8" w:rsidRDefault="000E1B99" w:rsidP="0085414C">
            <w:pPr>
              <w:spacing w:before="60" w:after="60" w:line="240" w:lineRule="atLeast"/>
              <w:ind w:left="0" w:firstLine="0"/>
              <w:jc w:val="left"/>
              <w:rPr>
                <w:noProof/>
                <w:sz w:val="18"/>
                <w:szCs w:val="18"/>
                <w:vertAlign w:val="superscript"/>
                <w:lang w:val="de-DE"/>
              </w:rPr>
            </w:pPr>
            <w:r w:rsidRPr="00C903F8">
              <w:rPr>
                <w:noProof/>
                <w:sz w:val="18"/>
                <w:szCs w:val="18"/>
              </w:rPr>
              <w:t>Total organic carbon (TOC)</w:t>
            </w:r>
            <w:r w:rsidRPr="00C903F8">
              <w:rPr>
                <w:noProof/>
                <w:sz w:val="18"/>
                <w:szCs w:val="18"/>
                <w:lang w:val="de-DE"/>
              </w:rPr>
              <w:br/>
              <w:t xml:space="preserve">EN 1484 </w:t>
            </w:r>
            <w:r w:rsidR="0085414C" w:rsidRPr="00C903F8">
              <w:rPr>
                <w:noProof/>
                <w:sz w:val="18"/>
                <w:szCs w:val="18"/>
                <w:lang w:val="de-DE"/>
              </w:rPr>
              <w:t xml:space="preserve">: </w:t>
            </w:r>
            <w:r w:rsidRPr="00C903F8">
              <w:rPr>
                <w:noProof/>
                <w:sz w:val="18"/>
                <w:szCs w:val="18"/>
                <w:lang w:val="de-DE"/>
              </w:rPr>
              <w:t>1997</w:t>
            </w:r>
            <w:r w:rsidRPr="00C903F8">
              <w:rPr>
                <w:noProof/>
                <w:sz w:val="18"/>
                <w:szCs w:val="18"/>
                <w:vertAlign w:val="superscript"/>
                <w:lang w:val="de-DE"/>
              </w:rPr>
              <w:t>1</w:t>
            </w:r>
          </w:p>
        </w:tc>
        <w:tc>
          <w:tcPr>
            <w:tcW w:w="1588" w:type="dxa"/>
            <w:vAlign w:val="center"/>
          </w:tcPr>
          <w:p w:rsidR="000E1B99" w:rsidRPr="00C903F8" w:rsidRDefault="000E1B99" w:rsidP="00274EE8">
            <w:pPr>
              <w:spacing w:before="60" w:after="60" w:line="240" w:lineRule="atLeast"/>
              <w:ind w:left="0" w:firstLine="0"/>
              <w:jc w:val="center"/>
              <w:rPr>
                <w:noProof/>
                <w:sz w:val="18"/>
                <w:szCs w:val="18"/>
                <w:lang w:val="de-DE"/>
              </w:rPr>
            </w:pPr>
            <w:r w:rsidRPr="00C903F8">
              <w:rPr>
                <w:noProof/>
                <w:sz w:val="18"/>
                <w:szCs w:val="18"/>
                <w:lang w:val="de-DE"/>
              </w:rPr>
              <w:t>35 mg/l</w:t>
            </w:r>
          </w:p>
        </w:tc>
        <w:tc>
          <w:tcPr>
            <w:tcW w:w="2608" w:type="dxa"/>
            <w:vAlign w:val="center"/>
          </w:tcPr>
          <w:p w:rsidR="000E1B99" w:rsidRPr="00C903F8" w:rsidRDefault="000E1B99" w:rsidP="00274EE8">
            <w:pPr>
              <w:spacing w:before="60" w:after="60" w:line="240" w:lineRule="atLeast"/>
              <w:ind w:left="0" w:firstLine="0"/>
              <w:jc w:val="left"/>
              <w:rPr>
                <w:noProof/>
                <w:sz w:val="18"/>
                <w:szCs w:val="18"/>
                <w:lang w:val="de-DE"/>
              </w:rPr>
            </w:pPr>
            <w:r w:rsidRPr="00C903F8">
              <w:rPr>
                <w:noProof/>
                <w:sz w:val="18"/>
                <w:szCs w:val="18"/>
              </w:rPr>
              <w:t>24h composite sample, homogenised</w:t>
            </w:r>
          </w:p>
        </w:tc>
      </w:tr>
      <w:tr w:rsidR="000E1B99" w:rsidRPr="00C903F8" w:rsidTr="00EB78D3">
        <w:trPr>
          <w:jc w:val="center"/>
        </w:trPr>
        <w:tc>
          <w:tcPr>
            <w:tcW w:w="3629" w:type="dxa"/>
            <w:vMerge/>
            <w:vAlign w:val="center"/>
          </w:tcPr>
          <w:p w:rsidR="000E1B99" w:rsidRPr="00C903F8" w:rsidRDefault="000E1B99" w:rsidP="00274EE8">
            <w:pPr>
              <w:spacing w:before="60" w:after="60" w:line="240" w:lineRule="atLeast"/>
              <w:rPr>
                <w:noProof/>
                <w:sz w:val="18"/>
                <w:szCs w:val="18"/>
                <w:lang w:val="de-DE"/>
              </w:rPr>
            </w:pPr>
          </w:p>
        </w:tc>
        <w:tc>
          <w:tcPr>
            <w:tcW w:w="1588" w:type="dxa"/>
            <w:vAlign w:val="center"/>
          </w:tcPr>
          <w:p w:rsidR="000E1B99" w:rsidRPr="00C903F8" w:rsidRDefault="000E1B99" w:rsidP="00274EE8">
            <w:pPr>
              <w:spacing w:before="60" w:after="60" w:line="240" w:lineRule="atLeast"/>
              <w:ind w:left="0" w:firstLine="0"/>
              <w:jc w:val="center"/>
              <w:rPr>
                <w:noProof/>
                <w:sz w:val="18"/>
                <w:szCs w:val="18"/>
                <w:lang w:val="de-DE"/>
              </w:rPr>
            </w:pPr>
            <w:r w:rsidRPr="00C903F8">
              <w:rPr>
                <w:noProof/>
                <w:sz w:val="18"/>
                <w:szCs w:val="18"/>
                <w:lang w:val="de-DE"/>
              </w:rPr>
              <w:t>45 mg/l</w:t>
            </w:r>
          </w:p>
        </w:tc>
        <w:tc>
          <w:tcPr>
            <w:tcW w:w="2608" w:type="dxa"/>
            <w:vAlign w:val="center"/>
          </w:tcPr>
          <w:p w:rsidR="000E1B99" w:rsidRPr="00C903F8" w:rsidRDefault="000E1B99" w:rsidP="00274EE8">
            <w:pPr>
              <w:spacing w:before="60" w:after="60" w:line="240" w:lineRule="atLeast"/>
              <w:ind w:left="0" w:firstLine="0"/>
              <w:jc w:val="left"/>
              <w:rPr>
                <w:noProof/>
                <w:sz w:val="18"/>
                <w:szCs w:val="18"/>
                <w:lang w:val="de-DE"/>
              </w:rPr>
            </w:pPr>
            <w:r w:rsidRPr="00C903F8">
              <w:rPr>
                <w:noProof/>
                <w:sz w:val="18"/>
                <w:szCs w:val="18"/>
              </w:rPr>
              <w:t>Random sample, homogenised</w:t>
            </w:r>
          </w:p>
        </w:tc>
      </w:tr>
    </w:tbl>
    <w:p w:rsidR="00AC39F0" w:rsidRPr="00C903F8" w:rsidRDefault="00AC39F0" w:rsidP="000F3425">
      <w:pPr>
        <w:spacing w:before="60"/>
        <w:ind w:left="992"/>
        <w:rPr>
          <w:noProof/>
          <w:sz w:val="16"/>
          <w:szCs w:val="16"/>
          <w:lang w:val="en-US"/>
        </w:rPr>
      </w:pPr>
      <w:r w:rsidRPr="00C903F8">
        <w:rPr>
          <w:noProof/>
          <w:sz w:val="14"/>
          <w:szCs w:val="16"/>
          <w:lang w:val="en-US"/>
        </w:rPr>
        <w:t>1)</w:t>
      </w:r>
      <w:r w:rsidRPr="00C903F8">
        <w:rPr>
          <w:noProof/>
          <w:sz w:val="16"/>
          <w:szCs w:val="16"/>
          <w:lang w:val="en-US"/>
        </w:rPr>
        <w:tab/>
      </w:r>
      <w:r w:rsidR="003D6C19" w:rsidRPr="00C903F8">
        <w:rPr>
          <w:noProof/>
          <w:sz w:val="16"/>
          <w:szCs w:val="16"/>
          <w:lang w:val="en-US"/>
        </w:rPr>
        <w:t>Member States</w:t>
      </w:r>
      <w:r w:rsidR="008E7459" w:rsidRPr="00C903F8">
        <w:rPr>
          <w:noProof/>
          <w:sz w:val="16"/>
          <w:szCs w:val="16"/>
          <w:lang w:val="en-US"/>
        </w:rPr>
        <w:t xml:space="preserve"> </w:t>
      </w:r>
      <w:r w:rsidRPr="00C903F8">
        <w:rPr>
          <w:noProof/>
          <w:sz w:val="16"/>
          <w:szCs w:val="16"/>
          <w:lang w:val="en-US"/>
        </w:rPr>
        <w:t>may implement equivalent procedures</w:t>
      </w:r>
      <w:r w:rsidR="002828C5" w:rsidRPr="00C903F8">
        <w:rPr>
          <w:noProof/>
          <w:sz w:val="16"/>
          <w:szCs w:val="16"/>
          <w:lang w:val="en-US"/>
        </w:rPr>
        <w:t>.</w:t>
      </w:r>
    </w:p>
    <w:p w:rsidR="00AC39F0" w:rsidRPr="00C903F8" w:rsidRDefault="00AC39F0" w:rsidP="000F3425">
      <w:pPr>
        <w:ind w:left="992"/>
        <w:rPr>
          <w:noProof/>
          <w:sz w:val="16"/>
          <w:szCs w:val="16"/>
          <w:lang w:val="en-US"/>
        </w:rPr>
      </w:pPr>
      <w:r w:rsidRPr="00C903F8">
        <w:rPr>
          <w:noProof/>
          <w:sz w:val="14"/>
          <w:szCs w:val="16"/>
          <w:lang w:val="en-US"/>
        </w:rPr>
        <w:t>2)</w:t>
      </w:r>
      <w:r w:rsidRPr="00C903F8">
        <w:rPr>
          <w:noProof/>
          <w:sz w:val="16"/>
          <w:szCs w:val="16"/>
          <w:lang w:val="en-US"/>
        </w:rPr>
        <w:tab/>
        <w:t>Instead of the chemical oxygen demand (COD) the total organic carbon (TOC) may also bereferred to for the check</w:t>
      </w:r>
      <w:r w:rsidR="002828C5" w:rsidRPr="00C903F8">
        <w:rPr>
          <w:noProof/>
          <w:sz w:val="16"/>
          <w:szCs w:val="16"/>
          <w:lang w:val="en-US"/>
        </w:rPr>
        <w:t>.</w:t>
      </w:r>
    </w:p>
    <w:p w:rsidR="00AC39F0" w:rsidRPr="00C903F8" w:rsidRDefault="00AC39F0" w:rsidP="00AC39F0">
      <w:pPr>
        <w:pStyle w:val="ESch"/>
        <w:rPr>
          <w:noProof/>
          <w:szCs w:val="20"/>
          <w:lang w:val="en-US"/>
        </w:rPr>
      </w:pPr>
    </w:p>
    <w:p w:rsidR="003D0171" w:rsidRPr="00C903F8" w:rsidRDefault="003D0171" w:rsidP="00AC39F0">
      <w:pPr>
        <w:pStyle w:val="ESch"/>
        <w:rPr>
          <w:noProof/>
          <w:szCs w:val="20"/>
          <w:lang w:val="en-US"/>
        </w:rPr>
      </w:pPr>
      <w:r w:rsidRPr="00C903F8">
        <w:rPr>
          <w:noProof/>
          <w:szCs w:val="20"/>
          <w:lang w:val="en-US"/>
        </w:rPr>
        <w:br w:type="page"/>
      </w:r>
    </w:p>
    <w:p w:rsidR="00AC39F0" w:rsidRPr="00C903F8" w:rsidRDefault="005C7859" w:rsidP="00AC39F0">
      <w:pPr>
        <w:pStyle w:val="ESlet"/>
        <w:rPr>
          <w:rFonts w:cs="Arial"/>
          <w:lang w:val="en-US"/>
        </w:rPr>
      </w:pPr>
      <w:r w:rsidRPr="00C903F8">
        <w:rPr>
          <w:noProof/>
          <w:lang w:val="en-US"/>
        </w:rPr>
        <w:lastRenderedPageBreak/>
        <w:t>b)</w:t>
      </w:r>
      <w:r w:rsidR="00AC39F0" w:rsidRPr="00C903F8">
        <w:rPr>
          <w:lang w:val="en-US"/>
        </w:rPr>
        <w:tab/>
      </w:r>
      <w:r w:rsidR="00AC39F0" w:rsidRPr="00C903F8">
        <w:rPr>
          <w:noProof/>
          <w:lang w:val="en-US"/>
        </w:rPr>
        <w:t>On-board sewage treatment plants shall comply with the following control values during operation:</w:t>
      </w:r>
    </w:p>
    <w:p w:rsidR="00AC39F0" w:rsidRPr="00C903F8" w:rsidRDefault="00AC39F0" w:rsidP="00AC39F0">
      <w:pPr>
        <w:pStyle w:val="ESch"/>
        <w:rPr>
          <w:noProof/>
          <w:szCs w:val="20"/>
          <w:lang w:val="en-US"/>
        </w:rPr>
      </w:pPr>
    </w:p>
    <w:p w:rsidR="00AC39F0" w:rsidRPr="00C903F8" w:rsidRDefault="00AC39F0" w:rsidP="00AC39F0">
      <w:pPr>
        <w:pStyle w:val="ESletpar"/>
        <w:rPr>
          <w:rFonts w:cs="Arial"/>
          <w:lang w:val="en-US"/>
        </w:rPr>
      </w:pPr>
      <w:r w:rsidRPr="00C903F8">
        <w:rPr>
          <w:noProof/>
          <w:lang w:val="en-US"/>
        </w:rPr>
        <w:t>Table 2: Control values to be observed in the outflow of the on-board sewage</w:t>
      </w:r>
      <w:r w:rsidR="002828C5" w:rsidRPr="00C903F8">
        <w:rPr>
          <w:noProof/>
          <w:lang w:val="en-US"/>
        </w:rPr>
        <w:t xml:space="preserve"> </w:t>
      </w:r>
      <w:r w:rsidRPr="00C903F8">
        <w:rPr>
          <w:noProof/>
          <w:lang w:val="en-US"/>
        </w:rPr>
        <w:t>t</w:t>
      </w:r>
      <w:r w:rsidR="00C509E3" w:rsidRPr="00C903F8">
        <w:rPr>
          <w:noProof/>
          <w:lang w:val="en-US"/>
        </w:rPr>
        <w:t>reatment plant during operation</w:t>
      </w:r>
    </w:p>
    <w:p w:rsidR="00AC39F0" w:rsidRPr="00C903F8" w:rsidRDefault="00AC39F0" w:rsidP="00AC39F0">
      <w:pPr>
        <w:pStyle w:val="ESch"/>
        <w:rPr>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9"/>
        <w:gridCol w:w="1588"/>
        <w:gridCol w:w="2608"/>
      </w:tblGrid>
      <w:tr w:rsidR="000E1B99" w:rsidRPr="00C903F8" w:rsidTr="000E1B99">
        <w:trPr>
          <w:trHeight w:val="836"/>
          <w:jc w:val="center"/>
        </w:trPr>
        <w:tc>
          <w:tcPr>
            <w:tcW w:w="3629" w:type="dxa"/>
            <w:vAlign w:val="center"/>
          </w:tcPr>
          <w:p w:rsidR="000E1B99" w:rsidRPr="00C903F8" w:rsidRDefault="000E1B99" w:rsidP="00B33A41">
            <w:pPr>
              <w:spacing w:before="60" w:after="60" w:line="240" w:lineRule="atLeast"/>
              <w:jc w:val="center"/>
              <w:rPr>
                <w:noProof/>
                <w:sz w:val="18"/>
                <w:szCs w:val="18"/>
                <w:lang w:val="de-DE"/>
              </w:rPr>
            </w:pPr>
            <w:r w:rsidRPr="00C903F8">
              <w:rPr>
                <w:noProof/>
                <w:sz w:val="18"/>
                <w:szCs w:val="18"/>
                <w:lang w:val="de-DE"/>
              </w:rPr>
              <w:t>Parameter</w:t>
            </w:r>
          </w:p>
        </w:tc>
        <w:tc>
          <w:tcPr>
            <w:tcW w:w="1588" w:type="dxa"/>
            <w:vAlign w:val="center"/>
          </w:tcPr>
          <w:p w:rsidR="000E1B99" w:rsidRPr="00C903F8" w:rsidRDefault="000E1B99" w:rsidP="00B33A41">
            <w:pPr>
              <w:spacing w:before="60" w:after="60" w:line="240" w:lineRule="atLeast"/>
              <w:ind w:left="0" w:firstLine="0"/>
              <w:jc w:val="center"/>
              <w:rPr>
                <w:noProof/>
                <w:sz w:val="18"/>
                <w:szCs w:val="18"/>
              </w:rPr>
            </w:pPr>
            <w:r w:rsidRPr="00C903F8">
              <w:rPr>
                <w:noProof/>
                <w:sz w:val="18"/>
                <w:szCs w:val="18"/>
              </w:rPr>
              <w:t>Concentration (Stage II)</w:t>
            </w:r>
          </w:p>
        </w:tc>
        <w:tc>
          <w:tcPr>
            <w:tcW w:w="2608" w:type="dxa"/>
            <w:vAlign w:val="center"/>
          </w:tcPr>
          <w:p w:rsidR="000E1B99" w:rsidRPr="00C903F8" w:rsidRDefault="000E1B99" w:rsidP="00B33A41">
            <w:pPr>
              <w:spacing w:before="60" w:after="60" w:line="240" w:lineRule="atLeast"/>
              <w:jc w:val="center"/>
              <w:rPr>
                <w:noProof/>
                <w:sz w:val="18"/>
                <w:szCs w:val="18"/>
                <w:lang w:val="de-DE"/>
              </w:rPr>
            </w:pPr>
            <w:r w:rsidRPr="00C903F8">
              <w:rPr>
                <w:noProof/>
                <w:sz w:val="18"/>
                <w:szCs w:val="18"/>
              </w:rPr>
              <w:t>Sample</w:t>
            </w:r>
          </w:p>
        </w:tc>
      </w:tr>
      <w:tr w:rsidR="000E1B99" w:rsidRPr="00C903F8" w:rsidTr="000E1B99">
        <w:trPr>
          <w:trHeight w:val="1080"/>
          <w:jc w:val="center"/>
        </w:trPr>
        <w:tc>
          <w:tcPr>
            <w:tcW w:w="3629" w:type="dxa"/>
            <w:vAlign w:val="center"/>
          </w:tcPr>
          <w:p w:rsidR="000E1B99" w:rsidRPr="00C903F8" w:rsidRDefault="000E1B99" w:rsidP="00B33A41">
            <w:pPr>
              <w:spacing w:before="60" w:after="60" w:line="240" w:lineRule="atLeast"/>
              <w:ind w:left="0" w:firstLine="0"/>
              <w:jc w:val="left"/>
              <w:rPr>
                <w:noProof/>
                <w:sz w:val="18"/>
                <w:szCs w:val="18"/>
                <w:vertAlign w:val="superscript"/>
                <w:lang w:val="en-US"/>
              </w:rPr>
            </w:pPr>
            <w:r w:rsidRPr="00C903F8">
              <w:rPr>
                <w:noProof/>
                <w:sz w:val="18"/>
                <w:szCs w:val="18"/>
                <w:lang w:val="en-US"/>
              </w:rPr>
              <w:t>Biochemical oxygen demand (</w:t>
            </w:r>
            <m:oMath>
              <m:sSub>
                <m:sSubPr>
                  <m:ctrlPr>
                    <w:rPr>
                      <w:rFonts w:ascii="Cambria Math" w:hAnsi="Cambria Math"/>
                      <w:i/>
                      <w:noProof/>
                      <w:sz w:val="18"/>
                      <w:szCs w:val="18"/>
                      <w:lang w:val="en-US" w:eastAsia="nl-NL"/>
                    </w:rPr>
                  </m:ctrlPr>
                </m:sSubPr>
                <m:e>
                  <m:r>
                    <w:rPr>
                      <w:rFonts w:ascii="Cambria Math" w:hAnsi="Cambria Math"/>
                      <w:noProof/>
                      <w:sz w:val="18"/>
                      <w:szCs w:val="18"/>
                      <w:lang w:val="en-US" w:eastAsia="nl-NL"/>
                    </w:rPr>
                    <m:t>BOD</m:t>
                  </m:r>
                </m:e>
                <m:sub>
                  <m:r>
                    <w:rPr>
                      <w:rFonts w:ascii="Cambria Math" w:hAnsi="Cambria Math"/>
                      <w:noProof/>
                      <w:sz w:val="18"/>
                      <w:szCs w:val="18"/>
                      <w:lang w:val="en-US" w:eastAsia="nl-NL"/>
                    </w:rPr>
                    <m:t>5</m:t>
                  </m:r>
                </m:sub>
              </m:sSub>
            </m:oMath>
            <w:r w:rsidRPr="00C903F8">
              <w:rPr>
                <w:noProof/>
                <w:sz w:val="18"/>
                <w:szCs w:val="18"/>
                <w:lang w:val="en-US"/>
              </w:rPr>
              <w:t>)</w:t>
            </w:r>
            <w:r w:rsidRPr="00C903F8">
              <w:rPr>
                <w:noProof/>
                <w:sz w:val="18"/>
                <w:szCs w:val="18"/>
                <w:lang w:val="en-US"/>
              </w:rPr>
              <w:br/>
              <w:t>ISO 5815-1 and 5815-2 (2003)</w:t>
            </w:r>
            <w:r w:rsidRPr="00C903F8">
              <w:rPr>
                <w:noProof/>
                <w:sz w:val="18"/>
                <w:szCs w:val="18"/>
                <w:vertAlign w:val="superscript"/>
                <w:lang w:val="en-US"/>
              </w:rPr>
              <w:t>1</w:t>
            </w:r>
          </w:p>
        </w:tc>
        <w:tc>
          <w:tcPr>
            <w:tcW w:w="1588" w:type="dxa"/>
            <w:vAlign w:val="center"/>
          </w:tcPr>
          <w:p w:rsidR="000E1B99" w:rsidRPr="00C903F8" w:rsidRDefault="000E1B99" w:rsidP="00B33A41">
            <w:pPr>
              <w:suppressAutoHyphens/>
              <w:autoSpaceDE/>
              <w:autoSpaceDN/>
              <w:snapToGrid w:val="0"/>
              <w:spacing w:before="60" w:after="60" w:line="240" w:lineRule="atLeast"/>
              <w:ind w:left="0" w:firstLine="0"/>
              <w:jc w:val="center"/>
              <w:rPr>
                <w:rFonts w:cs="Arial"/>
                <w:sz w:val="18"/>
                <w:szCs w:val="18"/>
                <w:lang w:eastAsia="ar-SA"/>
              </w:rPr>
            </w:pPr>
            <w:r w:rsidRPr="00C903F8">
              <w:rPr>
                <w:rFonts w:cs="Arial"/>
                <w:sz w:val="18"/>
                <w:szCs w:val="18"/>
                <w:lang w:eastAsia="ar-SA"/>
              </w:rPr>
              <w:t>25 mg/l</w:t>
            </w:r>
          </w:p>
        </w:tc>
        <w:tc>
          <w:tcPr>
            <w:tcW w:w="2608" w:type="dxa"/>
            <w:vAlign w:val="center"/>
          </w:tcPr>
          <w:p w:rsidR="000E1B99" w:rsidRPr="00C903F8" w:rsidRDefault="000E1B99" w:rsidP="00B33A41">
            <w:pPr>
              <w:spacing w:before="60" w:after="60" w:line="240" w:lineRule="atLeast"/>
              <w:ind w:left="0" w:firstLine="0"/>
              <w:jc w:val="left"/>
              <w:rPr>
                <w:noProof/>
                <w:sz w:val="18"/>
                <w:szCs w:val="18"/>
                <w:lang w:val="de-DE"/>
              </w:rPr>
            </w:pPr>
            <w:r w:rsidRPr="00C903F8">
              <w:rPr>
                <w:noProof/>
                <w:sz w:val="18"/>
                <w:szCs w:val="18"/>
              </w:rPr>
              <w:t>Random sample, homogenised</w:t>
            </w:r>
          </w:p>
        </w:tc>
      </w:tr>
      <w:tr w:rsidR="000E1B99" w:rsidRPr="00C903F8" w:rsidTr="000E1B99">
        <w:trPr>
          <w:jc w:val="center"/>
        </w:trPr>
        <w:tc>
          <w:tcPr>
            <w:tcW w:w="3629" w:type="dxa"/>
            <w:vMerge w:val="restart"/>
            <w:vAlign w:val="center"/>
          </w:tcPr>
          <w:p w:rsidR="000E1B99" w:rsidRPr="00C903F8" w:rsidRDefault="000E1B99" w:rsidP="00B33A41">
            <w:pPr>
              <w:spacing w:before="60" w:after="60" w:line="240" w:lineRule="atLeast"/>
              <w:ind w:left="0" w:firstLine="0"/>
              <w:jc w:val="left"/>
              <w:rPr>
                <w:noProof/>
                <w:sz w:val="18"/>
                <w:szCs w:val="18"/>
                <w:lang w:val="en-US"/>
              </w:rPr>
            </w:pPr>
            <w:r w:rsidRPr="00C903F8">
              <w:rPr>
                <w:noProof/>
                <w:sz w:val="18"/>
                <w:szCs w:val="18"/>
                <w:lang w:val="en-US"/>
              </w:rPr>
              <w:t>Chemical oxygen demand (COD)</w:t>
            </w:r>
            <w:r w:rsidRPr="00C903F8">
              <w:rPr>
                <w:noProof/>
                <w:sz w:val="18"/>
                <w:szCs w:val="18"/>
                <w:vertAlign w:val="superscript"/>
                <w:lang w:val="en-US"/>
              </w:rPr>
              <w:t xml:space="preserve">2 </w:t>
            </w:r>
            <w:r w:rsidRPr="00C903F8">
              <w:rPr>
                <w:noProof/>
                <w:sz w:val="18"/>
                <w:szCs w:val="18"/>
                <w:vertAlign w:val="superscript"/>
                <w:lang w:val="en-US"/>
              </w:rPr>
              <w:br/>
            </w:r>
            <w:r w:rsidRPr="00C903F8">
              <w:rPr>
                <w:noProof/>
                <w:sz w:val="18"/>
                <w:szCs w:val="18"/>
                <w:lang w:val="en-US"/>
              </w:rPr>
              <w:t>ISO 6060 (1989)</w:t>
            </w:r>
            <w:r w:rsidRPr="00C903F8">
              <w:rPr>
                <w:noProof/>
                <w:sz w:val="18"/>
                <w:szCs w:val="18"/>
                <w:vertAlign w:val="superscript"/>
                <w:lang w:val="en-US"/>
              </w:rPr>
              <w:t>1</w:t>
            </w:r>
          </w:p>
        </w:tc>
        <w:tc>
          <w:tcPr>
            <w:tcW w:w="1588" w:type="dxa"/>
            <w:vAlign w:val="center"/>
          </w:tcPr>
          <w:p w:rsidR="000E1B99" w:rsidRPr="00C903F8" w:rsidRDefault="000E1B99" w:rsidP="00B33A41">
            <w:pPr>
              <w:suppressAutoHyphens/>
              <w:autoSpaceDE/>
              <w:autoSpaceDN/>
              <w:snapToGrid w:val="0"/>
              <w:spacing w:before="60" w:after="60" w:line="240" w:lineRule="atLeast"/>
              <w:ind w:left="0" w:firstLine="0"/>
              <w:jc w:val="center"/>
              <w:rPr>
                <w:rFonts w:cs="Arial"/>
                <w:sz w:val="18"/>
                <w:szCs w:val="18"/>
                <w:lang w:eastAsia="ar-SA"/>
              </w:rPr>
            </w:pPr>
            <w:r w:rsidRPr="00C903F8">
              <w:rPr>
                <w:rFonts w:cs="Arial"/>
                <w:sz w:val="18"/>
                <w:szCs w:val="18"/>
                <w:lang w:eastAsia="ar-SA"/>
              </w:rPr>
              <w:t>125 mg/l</w:t>
            </w:r>
          </w:p>
        </w:tc>
        <w:tc>
          <w:tcPr>
            <w:tcW w:w="2608" w:type="dxa"/>
            <w:vAlign w:val="center"/>
          </w:tcPr>
          <w:p w:rsidR="000E1B99" w:rsidRPr="00C903F8" w:rsidRDefault="000E1B99" w:rsidP="00B33A41">
            <w:pPr>
              <w:spacing w:before="60" w:after="60" w:line="240" w:lineRule="atLeast"/>
              <w:ind w:left="0" w:firstLine="0"/>
              <w:jc w:val="left"/>
              <w:rPr>
                <w:noProof/>
                <w:sz w:val="18"/>
                <w:szCs w:val="18"/>
                <w:lang w:val="de-DE"/>
              </w:rPr>
            </w:pPr>
            <w:r w:rsidRPr="00C903F8">
              <w:rPr>
                <w:noProof/>
                <w:sz w:val="18"/>
                <w:szCs w:val="18"/>
              </w:rPr>
              <w:t>Random sample, homogenised</w:t>
            </w:r>
          </w:p>
        </w:tc>
      </w:tr>
      <w:tr w:rsidR="000E1B99" w:rsidRPr="00C903F8" w:rsidTr="000E1B99">
        <w:trPr>
          <w:jc w:val="center"/>
        </w:trPr>
        <w:tc>
          <w:tcPr>
            <w:tcW w:w="3629" w:type="dxa"/>
            <w:vMerge/>
            <w:vAlign w:val="center"/>
          </w:tcPr>
          <w:p w:rsidR="000E1B99" w:rsidRPr="00C903F8" w:rsidRDefault="000E1B99" w:rsidP="00B33A41">
            <w:pPr>
              <w:spacing w:before="60" w:after="60" w:line="240" w:lineRule="atLeast"/>
              <w:ind w:left="0" w:firstLine="0"/>
              <w:jc w:val="left"/>
              <w:rPr>
                <w:noProof/>
                <w:sz w:val="18"/>
                <w:szCs w:val="18"/>
                <w:lang w:val="de-DE"/>
              </w:rPr>
            </w:pPr>
          </w:p>
        </w:tc>
        <w:tc>
          <w:tcPr>
            <w:tcW w:w="1588" w:type="dxa"/>
            <w:vAlign w:val="center"/>
          </w:tcPr>
          <w:p w:rsidR="000E1B99" w:rsidRPr="00C903F8" w:rsidRDefault="000E1B99" w:rsidP="00B33A41">
            <w:pPr>
              <w:suppressAutoHyphens/>
              <w:autoSpaceDE/>
              <w:autoSpaceDN/>
              <w:snapToGrid w:val="0"/>
              <w:spacing w:before="60" w:after="60" w:line="240" w:lineRule="atLeast"/>
              <w:ind w:left="0" w:firstLine="0"/>
              <w:jc w:val="center"/>
              <w:rPr>
                <w:rFonts w:cs="Arial"/>
                <w:sz w:val="18"/>
                <w:szCs w:val="18"/>
                <w:lang w:eastAsia="ar-SA"/>
              </w:rPr>
            </w:pPr>
            <w:r w:rsidRPr="00C903F8">
              <w:rPr>
                <w:rFonts w:cs="Arial"/>
                <w:sz w:val="18"/>
                <w:szCs w:val="18"/>
                <w:lang w:eastAsia="ar-SA"/>
              </w:rPr>
              <w:t>150 mg/l</w:t>
            </w:r>
          </w:p>
        </w:tc>
        <w:tc>
          <w:tcPr>
            <w:tcW w:w="2608" w:type="dxa"/>
            <w:vAlign w:val="center"/>
          </w:tcPr>
          <w:p w:rsidR="000E1B99" w:rsidRPr="00C903F8" w:rsidRDefault="000E1B99" w:rsidP="00B33A41">
            <w:pPr>
              <w:spacing w:before="60" w:after="60" w:line="240" w:lineRule="atLeast"/>
              <w:ind w:left="0" w:firstLine="0"/>
              <w:jc w:val="left"/>
              <w:rPr>
                <w:noProof/>
                <w:sz w:val="18"/>
                <w:szCs w:val="18"/>
                <w:lang w:val="de-DE"/>
              </w:rPr>
            </w:pPr>
            <w:r w:rsidRPr="00C903F8">
              <w:rPr>
                <w:noProof/>
                <w:sz w:val="18"/>
                <w:szCs w:val="18"/>
              </w:rPr>
              <w:t>Random sample</w:t>
            </w:r>
          </w:p>
        </w:tc>
      </w:tr>
      <w:tr w:rsidR="000E1B99" w:rsidRPr="00C903F8" w:rsidTr="000E1B99">
        <w:trPr>
          <w:trHeight w:val="730"/>
          <w:jc w:val="center"/>
        </w:trPr>
        <w:tc>
          <w:tcPr>
            <w:tcW w:w="3629" w:type="dxa"/>
            <w:vAlign w:val="center"/>
          </w:tcPr>
          <w:p w:rsidR="000E1B99" w:rsidRPr="00C903F8" w:rsidRDefault="000E1B99" w:rsidP="00B33A41">
            <w:pPr>
              <w:spacing w:before="60" w:after="60" w:line="240" w:lineRule="atLeast"/>
              <w:ind w:left="0" w:firstLine="0"/>
              <w:jc w:val="left"/>
              <w:rPr>
                <w:noProof/>
                <w:sz w:val="18"/>
                <w:szCs w:val="18"/>
                <w:vertAlign w:val="superscript"/>
                <w:lang w:val="de-DE"/>
              </w:rPr>
            </w:pPr>
            <w:r w:rsidRPr="00C903F8">
              <w:rPr>
                <w:noProof/>
                <w:sz w:val="18"/>
                <w:szCs w:val="18"/>
              </w:rPr>
              <w:t>Total organic carbon (TOC)</w:t>
            </w:r>
            <w:r w:rsidRPr="00C903F8">
              <w:rPr>
                <w:noProof/>
                <w:sz w:val="18"/>
                <w:szCs w:val="18"/>
                <w:lang w:val="de-DE"/>
              </w:rPr>
              <w:t xml:space="preserve"> </w:t>
            </w:r>
            <w:r w:rsidRPr="00C903F8">
              <w:rPr>
                <w:noProof/>
                <w:sz w:val="18"/>
                <w:szCs w:val="18"/>
                <w:lang w:val="de-DE"/>
              </w:rPr>
              <w:br/>
              <w:t>EN 1484 (1997)</w:t>
            </w:r>
            <w:r w:rsidRPr="00C903F8">
              <w:rPr>
                <w:noProof/>
                <w:sz w:val="18"/>
                <w:szCs w:val="18"/>
                <w:vertAlign w:val="superscript"/>
                <w:lang w:val="de-DE"/>
              </w:rPr>
              <w:t>1</w:t>
            </w:r>
          </w:p>
        </w:tc>
        <w:tc>
          <w:tcPr>
            <w:tcW w:w="1588" w:type="dxa"/>
            <w:vAlign w:val="center"/>
          </w:tcPr>
          <w:p w:rsidR="000E1B99" w:rsidRPr="00C903F8" w:rsidRDefault="000E1B99" w:rsidP="00B33A41">
            <w:pPr>
              <w:suppressAutoHyphens/>
              <w:autoSpaceDE/>
              <w:autoSpaceDN/>
              <w:snapToGrid w:val="0"/>
              <w:spacing w:before="60" w:after="60" w:line="240" w:lineRule="atLeast"/>
              <w:ind w:left="0" w:firstLine="0"/>
              <w:jc w:val="center"/>
              <w:rPr>
                <w:rFonts w:cs="Arial"/>
                <w:sz w:val="18"/>
                <w:szCs w:val="18"/>
                <w:lang w:eastAsia="ar-SA"/>
              </w:rPr>
            </w:pPr>
            <w:r w:rsidRPr="00C903F8">
              <w:rPr>
                <w:rFonts w:cs="Arial"/>
                <w:sz w:val="18"/>
                <w:szCs w:val="18"/>
                <w:lang w:eastAsia="ar-SA"/>
              </w:rPr>
              <w:t>45 mg/l</w:t>
            </w:r>
          </w:p>
        </w:tc>
        <w:tc>
          <w:tcPr>
            <w:tcW w:w="2608" w:type="dxa"/>
            <w:vAlign w:val="center"/>
          </w:tcPr>
          <w:p w:rsidR="000E1B99" w:rsidRPr="00C903F8" w:rsidRDefault="000E1B99" w:rsidP="00B33A41">
            <w:pPr>
              <w:spacing w:before="60" w:after="60" w:line="240" w:lineRule="atLeast"/>
              <w:ind w:left="0" w:firstLine="0"/>
              <w:jc w:val="left"/>
              <w:rPr>
                <w:noProof/>
                <w:sz w:val="18"/>
                <w:szCs w:val="18"/>
                <w:lang w:val="de-DE"/>
              </w:rPr>
            </w:pPr>
            <w:r w:rsidRPr="00C903F8">
              <w:rPr>
                <w:noProof/>
                <w:sz w:val="18"/>
                <w:szCs w:val="18"/>
              </w:rPr>
              <w:t>Random sample, homogenised</w:t>
            </w:r>
          </w:p>
        </w:tc>
      </w:tr>
    </w:tbl>
    <w:p w:rsidR="003D0171" w:rsidRPr="00C903F8" w:rsidRDefault="003D0171" w:rsidP="000E1B99">
      <w:pPr>
        <w:spacing w:before="60" w:line="240" w:lineRule="atLeast"/>
        <w:ind w:left="993" w:hanging="426"/>
        <w:rPr>
          <w:noProof/>
          <w:sz w:val="16"/>
          <w:szCs w:val="16"/>
          <w:lang w:val="en-US"/>
        </w:rPr>
      </w:pPr>
      <w:r w:rsidRPr="00C903F8">
        <w:rPr>
          <w:noProof/>
          <w:sz w:val="16"/>
          <w:szCs w:val="16"/>
          <w:lang w:val="en-US"/>
        </w:rPr>
        <w:t>1)</w:t>
      </w:r>
      <w:r w:rsidRPr="00C903F8">
        <w:rPr>
          <w:noProof/>
          <w:sz w:val="16"/>
          <w:szCs w:val="16"/>
          <w:lang w:val="en-US"/>
        </w:rPr>
        <w:tab/>
      </w:r>
      <w:r w:rsidR="000E1B99" w:rsidRPr="00C903F8">
        <w:rPr>
          <w:noProof/>
          <w:sz w:val="16"/>
          <w:szCs w:val="16"/>
          <w:lang w:val="en-US"/>
        </w:rPr>
        <w:t>Member States</w:t>
      </w:r>
      <w:r w:rsidR="008E7459" w:rsidRPr="00C903F8">
        <w:rPr>
          <w:noProof/>
          <w:sz w:val="16"/>
          <w:szCs w:val="16"/>
          <w:lang w:val="en-US"/>
        </w:rPr>
        <w:t xml:space="preserve"> </w:t>
      </w:r>
      <w:r w:rsidRPr="00C903F8">
        <w:rPr>
          <w:noProof/>
          <w:sz w:val="16"/>
          <w:szCs w:val="16"/>
          <w:lang w:val="en-US"/>
        </w:rPr>
        <w:t>may implement equivalent procedures</w:t>
      </w:r>
      <w:r w:rsidR="002828C5" w:rsidRPr="00C903F8">
        <w:rPr>
          <w:noProof/>
          <w:sz w:val="16"/>
          <w:szCs w:val="16"/>
          <w:lang w:val="en-US"/>
        </w:rPr>
        <w:t>.</w:t>
      </w:r>
    </w:p>
    <w:p w:rsidR="003D0171" w:rsidRPr="00C903F8" w:rsidRDefault="003D0171" w:rsidP="000E1B99">
      <w:pPr>
        <w:spacing w:before="60" w:line="240" w:lineRule="atLeast"/>
        <w:ind w:left="993" w:hanging="426"/>
        <w:rPr>
          <w:noProof/>
          <w:sz w:val="16"/>
          <w:szCs w:val="16"/>
          <w:lang w:val="en-US"/>
        </w:rPr>
      </w:pPr>
      <w:r w:rsidRPr="00C903F8">
        <w:rPr>
          <w:noProof/>
          <w:sz w:val="16"/>
          <w:szCs w:val="16"/>
          <w:lang w:val="en-US"/>
        </w:rPr>
        <w:t>2)</w:t>
      </w:r>
      <w:r w:rsidRPr="00C903F8">
        <w:rPr>
          <w:noProof/>
          <w:sz w:val="16"/>
          <w:szCs w:val="16"/>
          <w:lang w:val="en-US"/>
        </w:rPr>
        <w:tab/>
        <w:t>Instead of the chemical oxygen demand (COD) the total organic carbon (TOC) may also be</w:t>
      </w:r>
      <w:r w:rsidR="002828C5" w:rsidRPr="00C903F8">
        <w:rPr>
          <w:noProof/>
          <w:sz w:val="16"/>
          <w:szCs w:val="16"/>
          <w:lang w:val="en-US"/>
        </w:rPr>
        <w:t xml:space="preserve"> </w:t>
      </w:r>
      <w:r w:rsidRPr="00C903F8">
        <w:rPr>
          <w:noProof/>
          <w:sz w:val="16"/>
          <w:szCs w:val="16"/>
          <w:lang w:val="en-US"/>
        </w:rPr>
        <w:t>referred to for the check</w:t>
      </w:r>
      <w:r w:rsidR="002828C5" w:rsidRPr="00C903F8">
        <w:rPr>
          <w:noProof/>
          <w:sz w:val="16"/>
          <w:szCs w:val="16"/>
          <w:lang w:val="en-US"/>
        </w:rPr>
        <w:t>.</w:t>
      </w:r>
    </w:p>
    <w:p w:rsidR="003D0171" w:rsidRPr="00C903F8" w:rsidRDefault="003D0171" w:rsidP="00AC39F0">
      <w:pPr>
        <w:pStyle w:val="ESch"/>
        <w:rPr>
          <w:rFonts w:cs="Arial"/>
          <w:szCs w:val="20"/>
          <w:lang w:val="en-US"/>
        </w:rPr>
      </w:pPr>
    </w:p>
    <w:p w:rsidR="00AC39F0" w:rsidRPr="00C903F8" w:rsidRDefault="00AC39F0" w:rsidP="00AC39F0">
      <w:pPr>
        <w:pStyle w:val="ESch"/>
        <w:rPr>
          <w:rFonts w:cs="Arial"/>
          <w:szCs w:val="20"/>
          <w:lang w:val="en-US"/>
        </w:rPr>
      </w:pPr>
      <w:r w:rsidRPr="00C903F8">
        <w:rPr>
          <w:noProof/>
          <w:szCs w:val="20"/>
          <w:lang w:val="en-US"/>
        </w:rPr>
        <w:t>3.</w:t>
      </w:r>
      <w:r w:rsidRPr="00C903F8">
        <w:rPr>
          <w:szCs w:val="20"/>
          <w:lang w:val="en-US"/>
        </w:rPr>
        <w:tab/>
      </w:r>
      <w:r w:rsidRPr="00C903F8">
        <w:rPr>
          <w:noProof/>
          <w:szCs w:val="20"/>
          <w:lang w:val="en-US"/>
        </w:rPr>
        <w:t>Proce</w:t>
      </w:r>
      <w:r w:rsidR="002828C5" w:rsidRPr="00C903F8">
        <w:rPr>
          <w:noProof/>
          <w:szCs w:val="20"/>
          <w:lang w:val="en-US"/>
        </w:rPr>
        <w:t>sses</w:t>
      </w:r>
      <w:r w:rsidRPr="00C903F8">
        <w:rPr>
          <w:noProof/>
          <w:szCs w:val="20"/>
          <w:lang w:val="en-US"/>
        </w:rPr>
        <w:t xml:space="preserve"> using products containing chlorine are not admissible.</w:t>
      </w:r>
    </w:p>
    <w:p w:rsidR="00AC39F0" w:rsidRPr="00C903F8" w:rsidRDefault="00AC39F0" w:rsidP="00AC39F0">
      <w:pPr>
        <w:pStyle w:val="ESch"/>
        <w:rPr>
          <w:noProof/>
          <w:szCs w:val="20"/>
          <w:lang w:val="en-US"/>
        </w:rPr>
      </w:pPr>
    </w:p>
    <w:p w:rsidR="00AC39F0" w:rsidRPr="00C903F8" w:rsidRDefault="00AC39F0" w:rsidP="00AC39F0">
      <w:pPr>
        <w:pStyle w:val="ESchpar"/>
        <w:rPr>
          <w:rFonts w:cs="Arial"/>
          <w:lang w:val="en-US"/>
        </w:rPr>
      </w:pPr>
      <w:r w:rsidRPr="00C903F8">
        <w:rPr>
          <w:noProof/>
          <w:lang w:val="en-US"/>
        </w:rPr>
        <w:t>It is equally inadmissible to dilute domestic waste water so as to reduce the specific load and thereby also enable disposal</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4.</w:t>
      </w:r>
      <w:r w:rsidRPr="00C903F8">
        <w:rPr>
          <w:szCs w:val="20"/>
          <w:lang w:val="en-US"/>
        </w:rPr>
        <w:tab/>
      </w:r>
      <w:r w:rsidRPr="00C903F8">
        <w:rPr>
          <w:noProof/>
          <w:szCs w:val="20"/>
          <w:lang w:val="en-US"/>
        </w:rPr>
        <w:t>Adequate arrangements shall be made for storage, preservation (if necessary), and discharge of the sewage sludge. This shall also include a management plan for the sewage sludge.</w:t>
      </w:r>
    </w:p>
    <w:p w:rsidR="00AC39F0" w:rsidRPr="00C903F8" w:rsidRDefault="00AC39F0" w:rsidP="00AC39F0">
      <w:pPr>
        <w:pStyle w:val="ESch"/>
        <w:rPr>
          <w:noProof/>
          <w:szCs w:val="20"/>
          <w:lang w:val="en-US"/>
        </w:rPr>
      </w:pPr>
    </w:p>
    <w:p w:rsidR="00AC39F0" w:rsidRPr="00C903F8" w:rsidRDefault="00AC39F0" w:rsidP="00AC39F0">
      <w:pPr>
        <w:pStyle w:val="ESch"/>
        <w:rPr>
          <w:noProof/>
          <w:szCs w:val="20"/>
          <w:lang w:val="en-US"/>
        </w:rPr>
      </w:pPr>
      <w:r w:rsidRPr="00C903F8">
        <w:rPr>
          <w:noProof/>
          <w:szCs w:val="20"/>
          <w:lang w:val="en-US"/>
        </w:rPr>
        <w:t>5.</w:t>
      </w:r>
      <w:r w:rsidRPr="00C903F8">
        <w:rPr>
          <w:szCs w:val="20"/>
          <w:lang w:val="en-US"/>
        </w:rPr>
        <w:tab/>
      </w:r>
      <w:r w:rsidR="002828C5" w:rsidRPr="00C903F8">
        <w:rPr>
          <w:noProof/>
          <w:szCs w:val="20"/>
          <w:lang w:val="en-US"/>
        </w:rPr>
        <w:t>T</w:t>
      </w:r>
      <w:r w:rsidRPr="00C903F8">
        <w:rPr>
          <w:noProof/>
          <w:szCs w:val="20"/>
          <w:lang w:val="en-US"/>
        </w:rPr>
        <w:t xml:space="preserve">he limit values set out in Table 1 in </w:t>
      </w:r>
      <w:r w:rsidR="00FD1E75" w:rsidRPr="00C903F8">
        <w:rPr>
          <w:noProof/>
          <w:szCs w:val="20"/>
          <w:lang w:val="en-US"/>
        </w:rPr>
        <w:t>(</w:t>
      </w:r>
      <w:r w:rsidRPr="00C903F8">
        <w:rPr>
          <w:noProof/>
          <w:szCs w:val="20"/>
          <w:lang w:val="en-US"/>
        </w:rPr>
        <w:t>2</w:t>
      </w:r>
      <w:r w:rsidR="00FD1E75" w:rsidRPr="00C903F8">
        <w:rPr>
          <w:noProof/>
          <w:szCs w:val="20"/>
          <w:lang w:val="en-US"/>
        </w:rPr>
        <w:t>)</w:t>
      </w:r>
      <w:r w:rsidR="00555661" w:rsidRPr="00C903F8">
        <w:rPr>
          <w:noProof/>
          <w:szCs w:val="20"/>
          <w:lang w:val="en-US"/>
        </w:rPr>
        <w:t>(a)</w:t>
      </w:r>
      <w:r w:rsidRPr="00C903F8">
        <w:rPr>
          <w:noProof/>
          <w:szCs w:val="20"/>
          <w:lang w:val="en-US"/>
        </w:rPr>
        <w:t xml:space="preserve"> shall be confirmed by a type test and determined by a type approval. The type approval shall be certified in a type approval certificate. </w:t>
      </w:r>
      <w:r w:rsidR="00C509E3" w:rsidRPr="00C903F8">
        <w:rPr>
          <w:noProof/>
          <w:szCs w:val="20"/>
          <w:lang w:val="en-US"/>
        </w:rPr>
        <w:t>Before installing the on-board sewage treatment plant, a copy of the type approval a certificate is to be sent to the Inspection body. A copy of the type approval certificate and the on-board sewage treatment plant parameters record shall be carried on board.</w:t>
      </w:r>
    </w:p>
    <w:p w:rsidR="00C509E3" w:rsidRPr="00C903F8" w:rsidRDefault="00C509E3"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6.</w:t>
      </w:r>
      <w:r w:rsidRPr="00C903F8">
        <w:rPr>
          <w:szCs w:val="20"/>
          <w:lang w:val="en-US"/>
        </w:rPr>
        <w:tab/>
      </w:r>
      <w:r w:rsidRPr="00C903F8">
        <w:rPr>
          <w:noProof/>
          <w:szCs w:val="20"/>
          <w:lang w:val="en-US"/>
        </w:rPr>
        <w:t>After the on</w:t>
      </w:r>
      <w:r w:rsidR="00433D99" w:rsidRPr="00C903F8">
        <w:rPr>
          <w:noProof/>
          <w:szCs w:val="20"/>
          <w:lang w:val="en-US"/>
        </w:rPr>
        <w:t>-</w:t>
      </w:r>
      <w:r w:rsidRPr="00C903F8">
        <w:rPr>
          <w:noProof/>
          <w:szCs w:val="20"/>
          <w:lang w:val="en-US"/>
        </w:rPr>
        <w:t>board sewage treatment plant has been installed on board a performance test shall be carried out by the manufacturer before scheduled service begins. The on</w:t>
      </w:r>
      <w:r w:rsidRPr="00C903F8">
        <w:rPr>
          <w:szCs w:val="20"/>
          <w:lang w:val="en-US"/>
        </w:rPr>
        <w:noBreakHyphen/>
      </w:r>
      <w:r w:rsidRPr="00C903F8">
        <w:rPr>
          <w:noProof/>
          <w:szCs w:val="20"/>
          <w:lang w:val="en-US"/>
        </w:rPr>
        <w:t>board sewage treatment plant shall be entered in item 52 of the inland navigation vessel certificate with the following plant particulars:</w:t>
      </w:r>
    </w:p>
    <w:p w:rsidR="00AC39F0" w:rsidRPr="00C903F8" w:rsidRDefault="005C7859" w:rsidP="00AC39F0">
      <w:pPr>
        <w:pStyle w:val="ESlet"/>
        <w:rPr>
          <w:rFonts w:cs="Arial"/>
          <w:lang w:val="en-US"/>
        </w:rPr>
      </w:pPr>
      <w:r w:rsidRPr="00C903F8">
        <w:rPr>
          <w:noProof/>
          <w:lang w:val="en-US"/>
        </w:rPr>
        <w:t>a)</w:t>
      </w:r>
      <w:r w:rsidR="00AC39F0" w:rsidRPr="00C903F8">
        <w:rPr>
          <w:noProof/>
          <w:lang w:val="en-US"/>
        </w:rPr>
        <w:tab/>
        <w:t>name;</w:t>
      </w:r>
    </w:p>
    <w:p w:rsidR="00AC39F0" w:rsidRPr="00C903F8" w:rsidRDefault="005C7859" w:rsidP="00AC39F0">
      <w:pPr>
        <w:pStyle w:val="ESlet"/>
        <w:rPr>
          <w:lang w:val="en-US"/>
        </w:rPr>
      </w:pPr>
      <w:r w:rsidRPr="00C903F8">
        <w:rPr>
          <w:lang w:val="en-US"/>
        </w:rPr>
        <w:t>b)</w:t>
      </w:r>
      <w:r w:rsidR="00AC39F0" w:rsidRPr="00C903F8">
        <w:rPr>
          <w:lang w:val="en-US"/>
        </w:rPr>
        <w:tab/>
        <w:t>type</w:t>
      </w:r>
      <w:r w:rsidR="00433D99" w:rsidRPr="00C903F8">
        <w:rPr>
          <w:lang w:val="en-US"/>
        </w:rPr>
        <w:t>-</w:t>
      </w:r>
      <w:r w:rsidR="00AC39F0" w:rsidRPr="00C903F8">
        <w:rPr>
          <w:lang w:val="en-US"/>
        </w:rPr>
        <w:t>approval number;</w:t>
      </w:r>
    </w:p>
    <w:p w:rsidR="00AC39F0" w:rsidRPr="00C903F8" w:rsidRDefault="005C7859" w:rsidP="00AC39F0">
      <w:pPr>
        <w:pStyle w:val="ESlet"/>
        <w:rPr>
          <w:rFonts w:cs="Arial"/>
          <w:lang w:val="en-US"/>
        </w:rPr>
      </w:pPr>
      <w:r w:rsidRPr="00C903F8">
        <w:rPr>
          <w:noProof/>
          <w:lang w:val="en-US"/>
        </w:rPr>
        <w:t>c)</w:t>
      </w:r>
      <w:r w:rsidR="00AC39F0" w:rsidRPr="00C903F8">
        <w:rPr>
          <w:lang w:val="en-US"/>
        </w:rPr>
        <w:tab/>
      </w:r>
      <w:r w:rsidR="00AC39F0" w:rsidRPr="00C903F8">
        <w:rPr>
          <w:noProof/>
          <w:lang w:val="en-US"/>
        </w:rPr>
        <w:t>serial number;</w:t>
      </w:r>
    </w:p>
    <w:p w:rsidR="00AC39F0" w:rsidRPr="00C903F8" w:rsidRDefault="005C7859" w:rsidP="00AC39F0">
      <w:pPr>
        <w:pStyle w:val="ESlet"/>
        <w:rPr>
          <w:rFonts w:cs="Arial"/>
          <w:lang w:val="en-US"/>
        </w:rPr>
      </w:pPr>
      <w:r w:rsidRPr="00C903F8">
        <w:rPr>
          <w:noProof/>
          <w:lang w:val="en-US"/>
        </w:rPr>
        <w:t>d)</w:t>
      </w:r>
      <w:r w:rsidR="00AC39F0" w:rsidRPr="00C903F8">
        <w:rPr>
          <w:lang w:val="en-US"/>
        </w:rPr>
        <w:tab/>
      </w:r>
      <w:r w:rsidR="00AC39F0" w:rsidRPr="00C903F8">
        <w:rPr>
          <w:noProof/>
          <w:lang w:val="en-US"/>
        </w:rPr>
        <w:t>year of construction.</w:t>
      </w:r>
    </w:p>
    <w:p w:rsidR="00AC39F0" w:rsidRPr="00C903F8" w:rsidRDefault="00AC39F0" w:rsidP="00AC39F0">
      <w:pPr>
        <w:pStyle w:val="ESch"/>
        <w:rPr>
          <w:noProof/>
          <w:szCs w:val="20"/>
          <w:lang w:val="en-US"/>
        </w:rPr>
      </w:pPr>
    </w:p>
    <w:p w:rsidR="00B33A41" w:rsidRPr="00C903F8" w:rsidRDefault="00B33A41" w:rsidP="00AC39F0">
      <w:pPr>
        <w:pStyle w:val="ESch"/>
        <w:rPr>
          <w:noProof/>
          <w:szCs w:val="20"/>
          <w:lang w:val="en-US"/>
        </w:rPr>
      </w:pPr>
      <w:r w:rsidRPr="00C903F8">
        <w:rPr>
          <w:noProof/>
          <w:szCs w:val="20"/>
          <w:lang w:val="en-US"/>
        </w:rPr>
        <w:br w:type="page"/>
      </w:r>
    </w:p>
    <w:p w:rsidR="00AC39F0" w:rsidRPr="00C903F8" w:rsidRDefault="00AC39F0" w:rsidP="00AC39F0">
      <w:pPr>
        <w:pStyle w:val="ESch"/>
        <w:rPr>
          <w:rFonts w:cs="Arial"/>
          <w:szCs w:val="20"/>
          <w:lang w:val="en-US"/>
        </w:rPr>
      </w:pPr>
      <w:r w:rsidRPr="00C903F8">
        <w:rPr>
          <w:noProof/>
          <w:szCs w:val="20"/>
          <w:lang w:val="en-US"/>
        </w:rPr>
        <w:lastRenderedPageBreak/>
        <w:t xml:space="preserve">7. </w:t>
      </w:r>
      <w:r w:rsidRPr="00C903F8">
        <w:rPr>
          <w:szCs w:val="20"/>
          <w:lang w:val="en-US"/>
        </w:rPr>
        <w:tab/>
      </w:r>
      <w:r w:rsidRPr="00C903F8">
        <w:rPr>
          <w:noProof/>
          <w:szCs w:val="20"/>
          <w:lang w:val="en-US"/>
        </w:rPr>
        <w:t>Any significant modification to an on</w:t>
      </w:r>
      <w:r w:rsidRPr="00C903F8">
        <w:rPr>
          <w:szCs w:val="20"/>
          <w:lang w:val="en-US"/>
        </w:rPr>
        <w:noBreakHyphen/>
      </w:r>
      <w:r w:rsidRPr="00C903F8">
        <w:rPr>
          <w:noProof/>
          <w:szCs w:val="20"/>
          <w:lang w:val="en-US"/>
        </w:rPr>
        <w:t xml:space="preserve">board sewage treatment plant that has an effect on the sewage treatment shall always be followed by a special test in accordance with Article </w:t>
      </w:r>
      <w:r w:rsidR="00CF5E0F" w:rsidRPr="00C903F8">
        <w:rPr>
          <w:noProof/>
          <w:szCs w:val="20"/>
          <w:lang w:val="en-US"/>
        </w:rPr>
        <w:t>18.</w:t>
      </w:r>
      <w:r w:rsidRPr="00C903F8">
        <w:rPr>
          <w:noProof/>
          <w:szCs w:val="20"/>
          <w:lang w:val="en-US"/>
        </w:rPr>
        <w:t>0</w:t>
      </w:r>
      <w:r w:rsidR="00CF5E0F" w:rsidRPr="00C903F8">
        <w:rPr>
          <w:noProof/>
          <w:szCs w:val="20"/>
          <w:lang w:val="en-US"/>
        </w:rPr>
        <w:t>9</w:t>
      </w:r>
      <w:r w:rsidRPr="00C903F8">
        <w:rPr>
          <w:noProof/>
          <w:szCs w:val="20"/>
          <w:lang w:val="en-US"/>
        </w:rPr>
        <w:t>(3).</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8.</w:t>
      </w:r>
      <w:r w:rsidRPr="00C903F8">
        <w:rPr>
          <w:szCs w:val="20"/>
          <w:lang w:val="en-US"/>
        </w:rPr>
        <w:tab/>
        <w:t>For the purpose of discharging tasks pursuant to this Chapter, the competent authority may employ a technical service.</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 xml:space="preserve">9. </w:t>
      </w:r>
      <w:r w:rsidRPr="00C903F8">
        <w:rPr>
          <w:szCs w:val="20"/>
          <w:lang w:val="en-US"/>
        </w:rPr>
        <w:tab/>
      </w:r>
      <w:r w:rsidRPr="00C903F8">
        <w:rPr>
          <w:noProof/>
          <w:szCs w:val="20"/>
          <w:lang w:val="en-US"/>
        </w:rPr>
        <w:t>The on-board sewage treatment plant shall be regularly maintained in accordance with the manufacturer's instructions in order to ensure that it is in perfect working order. A maintenance log corroborating such maintenance shall be carried on board.</w:t>
      </w:r>
    </w:p>
    <w:p w:rsidR="00AC39F0" w:rsidRPr="00C903F8" w:rsidRDefault="00AC39F0" w:rsidP="00AC39F0">
      <w:pPr>
        <w:pStyle w:val="ESch"/>
        <w:rPr>
          <w:rFonts w:cs="Arial"/>
          <w:szCs w:val="20"/>
          <w:lang w:val="en-US"/>
        </w:rPr>
      </w:pPr>
    </w:p>
    <w:p w:rsidR="00B33A41" w:rsidRPr="00C903F8" w:rsidRDefault="00B33A41" w:rsidP="00AC39F0">
      <w:pPr>
        <w:pStyle w:val="ESch"/>
        <w:rPr>
          <w:rFonts w:cs="Arial"/>
          <w:szCs w:val="20"/>
          <w:lang w:val="en-US"/>
        </w:rPr>
      </w:pPr>
    </w:p>
    <w:p w:rsidR="00AC39F0" w:rsidRPr="00C903F8" w:rsidRDefault="00AC39F0" w:rsidP="00AC39F0">
      <w:pPr>
        <w:pStyle w:val="ES-Titre3"/>
        <w:rPr>
          <w:rFonts w:cs="Arial"/>
          <w:i/>
          <w:lang w:val="en-US"/>
        </w:rPr>
      </w:pPr>
      <w:bookmarkStart w:id="171" w:name="_Toc491854159"/>
      <w:r w:rsidRPr="00C903F8">
        <w:rPr>
          <w:noProof/>
          <w:lang w:val="en-US"/>
        </w:rPr>
        <w:t>Article 18.02</w:t>
      </w:r>
      <w:r w:rsidRPr="00C903F8">
        <w:rPr>
          <w:bCs/>
          <w:noProof/>
          <w:lang w:val="en-US"/>
        </w:rPr>
        <w:br/>
      </w:r>
      <w:r w:rsidRPr="00C903F8">
        <w:rPr>
          <w:i/>
          <w:noProof/>
          <w:lang w:val="en-US"/>
        </w:rPr>
        <w:t>Application for type approval</w:t>
      </w:r>
      <w:bookmarkEnd w:id="171"/>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1.</w:t>
      </w:r>
      <w:r w:rsidRPr="00C903F8">
        <w:rPr>
          <w:szCs w:val="20"/>
          <w:lang w:val="en-US"/>
        </w:rPr>
        <w:tab/>
      </w:r>
      <w:r w:rsidRPr="00C903F8">
        <w:rPr>
          <w:noProof/>
          <w:szCs w:val="20"/>
          <w:lang w:val="en-US"/>
        </w:rPr>
        <w:t>An application for type approval for an on</w:t>
      </w:r>
      <w:r w:rsidRPr="00C903F8">
        <w:rPr>
          <w:szCs w:val="20"/>
          <w:lang w:val="en-US"/>
        </w:rPr>
        <w:noBreakHyphen/>
      </w:r>
      <w:r w:rsidRPr="00C903F8">
        <w:rPr>
          <w:noProof/>
          <w:szCs w:val="20"/>
          <w:lang w:val="en-US"/>
        </w:rPr>
        <w:t xml:space="preserve">board sewage treatment plant type shall be submitted by the manufacturer to the competent authority. An information folder in accordance with Article </w:t>
      </w:r>
      <w:r w:rsidR="00652389" w:rsidRPr="00C903F8">
        <w:rPr>
          <w:noProof/>
          <w:szCs w:val="20"/>
          <w:lang w:val="en-US"/>
        </w:rPr>
        <w:t>18.00</w:t>
      </w:r>
      <w:r w:rsidR="00243A81">
        <w:rPr>
          <w:noProof/>
          <w:szCs w:val="20"/>
          <w:lang w:val="en-US"/>
        </w:rPr>
        <w:t>(</w:t>
      </w:r>
      <w:r w:rsidRPr="00C903F8">
        <w:rPr>
          <w:noProof/>
          <w:szCs w:val="20"/>
          <w:lang w:val="en-US"/>
        </w:rPr>
        <w:t>6) and the draft of an on</w:t>
      </w:r>
      <w:r w:rsidRPr="00C903F8">
        <w:rPr>
          <w:szCs w:val="20"/>
          <w:lang w:val="en-US"/>
        </w:rPr>
        <w:noBreakHyphen/>
      </w:r>
      <w:r w:rsidRPr="00C903F8">
        <w:rPr>
          <w:noProof/>
          <w:szCs w:val="20"/>
          <w:lang w:val="en-US"/>
        </w:rPr>
        <w:t xml:space="preserve">board sewage treatment plant parameters record in accordance with Article </w:t>
      </w:r>
      <w:r w:rsidR="00652389" w:rsidRPr="00C903F8">
        <w:rPr>
          <w:noProof/>
          <w:szCs w:val="20"/>
          <w:lang w:val="en-US"/>
        </w:rPr>
        <w:t>18.00</w:t>
      </w:r>
      <w:r w:rsidR="00243A81">
        <w:rPr>
          <w:noProof/>
          <w:szCs w:val="20"/>
          <w:lang w:val="en-US"/>
        </w:rPr>
        <w:t>(9</w:t>
      </w:r>
      <w:r w:rsidRPr="00C903F8">
        <w:rPr>
          <w:noProof/>
          <w:szCs w:val="20"/>
          <w:lang w:val="en-US"/>
        </w:rPr>
        <w:t>), as well as the draft of a manufacturer's guide to checking the components and parameters relevant to sewage treatment for that on</w:t>
      </w:r>
      <w:r w:rsidRPr="00C903F8">
        <w:rPr>
          <w:szCs w:val="20"/>
          <w:lang w:val="en-US"/>
        </w:rPr>
        <w:noBreakHyphen/>
      </w:r>
      <w:r w:rsidRPr="00C903F8">
        <w:rPr>
          <w:noProof/>
          <w:szCs w:val="20"/>
          <w:lang w:val="en-US"/>
        </w:rPr>
        <w:t xml:space="preserve">board sewage treatment plant type in accordance with Article </w:t>
      </w:r>
      <w:r w:rsidR="00652389" w:rsidRPr="00C903F8">
        <w:rPr>
          <w:noProof/>
          <w:szCs w:val="20"/>
          <w:lang w:val="en-US"/>
        </w:rPr>
        <w:t>18.00</w:t>
      </w:r>
      <w:r w:rsidR="00243A81">
        <w:rPr>
          <w:noProof/>
          <w:szCs w:val="20"/>
          <w:lang w:val="en-US"/>
        </w:rPr>
        <w:t>(</w:t>
      </w:r>
      <w:r w:rsidRPr="00C903F8">
        <w:rPr>
          <w:noProof/>
          <w:szCs w:val="20"/>
          <w:lang w:val="en-US"/>
        </w:rPr>
        <w:t>10) shall be enclosed with the application. For the type test the manufacturer shall demonstrate a prototype of the on</w:t>
      </w:r>
      <w:r w:rsidRPr="00C903F8">
        <w:rPr>
          <w:szCs w:val="20"/>
          <w:lang w:val="en-US"/>
        </w:rPr>
        <w:noBreakHyphen/>
      </w:r>
      <w:r w:rsidRPr="00C903F8">
        <w:rPr>
          <w:noProof/>
          <w:szCs w:val="20"/>
          <w:lang w:val="en-US"/>
        </w:rPr>
        <w:t>board sewage treatment plant.</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2.</w:t>
      </w:r>
      <w:r w:rsidRPr="00C903F8">
        <w:rPr>
          <w:szCs w:val="20"/>
          <w:lang w:val="en-US"/>
        </w:rPr>
        <w:tab/>
      </w:r>
      <w:r w:rsidRPr="00C903F8">
        <w:rPr>
          <w:noProof/>
          <w:szCs w:val="20"/>
          <w:lang w:val="en-US"/>
        </w:rPr>
        <w:t>If, in a particular application for type approval for an on</w:t>
      </w:r>
      <w:r w:rsidRPr="00C903F8">
        <w:rPr>
          <w:szCs w:val="20"/>
          <w:lang w:val="en-US"/>
        </w:rPr>
        <w:noBreakHyphen/>
      </w:r>
      <w:r w:rsidRPr="00C903F8">
        <w:rPr>
          <w:noProof/>
          <w:szCs w:val="20"/>
          <w:lang w:val="en-US"/>
        </w:rPr>
        <w:t>board sewage treatment plant type, the competent authority finds that the application submitted with regard to the presented plant prototype is not representative of the characteristics of this type of on</w:t>
      </w:r>
      <w:r w:rsidRPr="00C903F8">
        <w:rPr>
          <w:szCs w:val="20"/>
          <w:lang w:val="en-US"/>
        </w:rPr>
        <w:noBreakHyphen/>
      </w:r>
      <w:r w:rsidRPr="00C903F8">
        <w:rPr>
          <w:noProof/>
          <w:szCs w:val="20"/>
          <w:lang w:val="en-US"/>
        </w:rPr>
        <w:t xml:space="preserve">board sewage treatment plant as described in Annex </w:t>
      </w:r>
      <w:r w:rsidR="002E6F15" w:rsidRPr="00C903F8">
        <w:rPr>
          <w:noProof/>
          <w:szCs w:val="20"/>
          <w:lang w:val="en-US"/>
        </w:rPr>
        <w:t>7</w:t>
      </w:r>
      <w:r w:rsidRPr="00C903F8">
        <w:rPr>
          <w:noProof/>
          <w:szCs w:val="20"/>
          <w:lang w:val="en-US"/>
        </w:rPr>
        <w:t xml:space="preserve">, </w:t>
      </w:r>
      <w:r w:rsidR="00925755" w:rsidRPr="00C903F8">
        <w:rPr>
          <w:noProof/>
          <w:szCs w:val="20"/>
          <w:lang w:val="en-US"/>
        </w:rPr>
        <w:t>Section</w:t>
      </w:r>
      <w:r w:rsidRPr="00C903F8">
        <w:rPr>
          <w:noProof/>
          <w:szCs w:val="20"/>
          <w:lang w:val="en-US"/>
        </w:rPr>
        <w:t xml:space="preserve"> II, </w:t>
      </w:r>
      <w:r w:rsidR="003E3E06" w:rsidRPr="00C903F8">
        <w:rPr>
          <w:noProof/>
          <w:szCs w:val="20"/>
          <w:lang w:val="en-US"/>
        </w:rPr>
        <w:t>Appendix</w:t>
      </w:r>
      <w:r w:rsidRPr="00C903F8">
        <w:rPr>
          <w:noProof/>
          <w:szCs w:val="20"/>
          <w:lang w:val="en-US"/>
        </w:rPr>
        <w:t xml:space="preserve"> </w:t>
      </w:r>
      <w:r w:rsidR="007F01CB" w:rsidRPr="00C903F8">
        <w:rPr>
          <w:noProof/>
          <w:szCs w:val="20"/>
          <w:lang w:val="en-US"/>
        </w:rPr>
        <w:t>1</w:t>
      </w:r>
      <w:r w:rsidRPr="00C903F8">
        <w:rPr>
          <w:noProof/>
          <w:szCs w:val="20"/>
          <w:lang w:val="en-US"/>
        </w:rPr>
        <w:t xml:space="preserve"> another, if necessary additional, prototype, to be designated by the competent authority, shall be supplied for approval in accordance with</w:t>
      </w:r>
      <w:r w:rsidR="003E3E06" w:rsidRPr="00C903F8">
        <w:rPr>
          <w:noProof/>
          <w:szCs w:val="20"/>
          <w:lang w:val="en-US"/>
        </w:rPr>
        <w:t> </w:t>
      </w:r>
      <w:r w:rsidR="00FD1E75" w:rsidRPr="00C903F8">
        <w:rPr>
          <w:noProof/>
          <w:szCs w:val="20"/>
          <w:lang w:val="en-US"/>
        </w:rPr>
        <w:t>(</w:t>
      </w:r>
      <w:r w:rsidRPr="00C903F8">
        <w:rPr>
          <w:noProof/>
          <w:szCs w:val="20"/>
          <w:lang w:val="en-US"/>
        </w:rPr>
        <w:t>1</w:t>
      </w:r>
      <w:r w:rsidR="00FD1E75" w:rsidRPr="00C903F8">
        <w:rPr>
          <w:noProof/>
          <w:szCs w:val="20"/>
          <w:lang w:val="en-US"/>
        </w:rPr>
        <w:t>)</w:t>
      </w:r>
      <w:r w:rsidRPr="00C903F8">
        <w:rPr>
          <w:noProof/>
          <w:szCs w:val="20"/>
          <w:lang w:val="en-US"/>
        </w:rPr>
        <w:t>.</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3.</w:t>
      </w:r>
      <w:r w:rsidRPr="00C903F8">
        <w:rPr>
          <w:szCs w:val="20"/>
          <w:lang w:val="en-US"/>
        </w:rPr>
        <w:tab/>
      </w:r>
      <w:r w:rsidRPr="00C903F8">
        <w:rPr>
          <w:noProof/>
          <w:szCs w:val="20"/>
          <w:lang w:val="en-US"/>
        </w:rPr>
        <w:t>No application for type approval for an on</w:t>
      </w:r>
      <w:r w:rsidRPr="00C903F8">
        <w:rPr>
          <w:szCs w:val="20"/>
          <w:lang w:val="en-US"/>
        </w:rPr>
        <w:noBreakHyphen/>
      </w:r>
      <w:r w:rsidRPr="00C903F8">
        <w:rPr>
          <w:noProof/>
          <w:szCs w:val="20"/>
          <w:lang w:val="en-US"/>
        </w:rPr>
        <w:t>board sewage treatment plant type may be submitted to more than one competent authority. A separate application shall be submitted for each on</w:t>
      </w:r>
      <w:r w:rsidRPr="00C903F8">
        <w:rPr>
          <w:szCs w:val="20"/>
          <w:lang w:val="en-US"/>
        </w:rPr>
        <w:noBreakHyphen/>
      </w:r>
      <w:r w:rsidRPr="00C903F8">
        <w:rPr>
          <w:noProof/>
          <w:szCs w:val="20"/>
          <w:lang w:val="en-US"/>
        </w:rPr>
        <w:t>board sewage treatment plant type to be approved.</w:t>
      </w:r>
    </w:p>
    <w:p w:rsidR="00AC39F0" w:rsidRPr="00C903F8" w:rsidRDefault="00AC39F0" w:rsidP="00AC39F0">
      <w:pPr>
        <w:pStyle w:val="ESch"/>
        <w:rPr>
          <w:rFonts w:cs="Arial"/>
          <w:szCs w:val="20"/>
          <w:lang w:val="en-US"/>
        </w:rPr>
      </w:pPr>
    </w:p>
    <w:p w:rsidR="00AC39F0" w:rsidRPr="00C903F8" w:rsidRDefault="00AC39F0" w:rsidP="00AC39F0">
      <w:pPr>
        <w:pStyle w:val="ESch"/>
        <w:rPr>
          <w:rFonts w:cs="Arial"/>
          <w:szCs w:val="20"/>
          <w:lang w:val="en-US"/>
        </w:rPr>
      </w:pPr>
    </w:p>
    <w:p w:rsidR="00AC39F0" w:rsidRPr="00C903F8" w:rsidRDefault="00AC39F0" w:rsidP="00AC39F0">
      <w:pPr>
        <w:pStyle w:val="ES-Titre3"/>
        <w:rPr>
          <w:rFonts w:cs="Arial"/>
          <w:i/>
          <w:lang w:val="en-US"/>
        </w:rPr>
      </w:pPr>
      <w:bookmarkStart w:id="172" w:name="_Toc491854160"/>
      <w:r w:rsidRPr="00C903F8">
        <w:rPr>
          <w:noProof/>
          <w:lang w:val="en-US"/>
        </w:rPr>
        <w:t>Article 18.03</w:t>
      </w:r>
      <w:r w:rsidRPr="00C903F8">
        <w:rPr>
          <w:noProof/>
          <w:lang w:val="en-US"/>
        </w:rPr>
        <w:br/>
      </w:r>
      <w:r w:rsidRPr="00C903F8">
        <w:rPr>
          <w:i/>
          <w:noProof/>
          <w:lang w:val="en-US"/>
        </w:rPr>
        <w:t>Type approval procedure</w:t>
      </w:r>
      <w:bookmarkEnd w:id="172"/>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1.</w:t>
      </w:r>
      <w:r w:rsidRPr="00C903F8">
        <w:rPr>
          <w:szCs w:val="20"/>
          <w:lang w:val="en-US"/>
        </w:rPr>
        <w:tab/>
      </w:r>
      <w:r w:rsidRPr="00C903F8">
        <w:rPr>
          <w:noProof/>
          <w:szCs w:val="20"/>
          <w:lang w:val="en-US"/>
        </w:rPr>
        <w:t xml:space="preserve">The competent authority to which the application is submitted shall issue the type approval for the on-board sewage treatment plant type which corresponds to the descriptions in the information folder and satisfies the requirements of this Chapter. The fulfilling of these requirements will be examined in accordance with Annex </w:t>
      </w:r>
      <w:r w:rsidR="00652389" w:rsidRPr="00C903F8">
        <w:rPr>
          <w:noProof/>
          <w:szCs w:val="20"/>
          <w:lang w:val="en-US"/>
        </w:rPr>
        <w:t>7, Section IX</w:t>
      </w:r>
      <w:r w:rsidRPr="00C903F8">
        <w:rPr>
          <w:noProof/>
          <w:szCs w:val="20"/>
          <w:lang w:val="en-US"/>
        </w:rPr>
        <w:t>.</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2.</w:t>
      </w:r>
      <w:r w:rsidRPr="00C903F8">
        <w:rPr>
          <w:szCs w:val="20"/>
          <w:lang w:val="en-US"/>
        </w:rPr>
        <w:tab/>
      </w:r>
      <w:r w:rsidRPr="00C903F8">
        <w:rPr>
          <w:noProof/>
          <w:szCs w:val="20"/>
          <w:lang w:val="en-US"/>
        </w:rPr>
        <w:t>For each on</w:t>
      </w:r>
      <w:r w:rsidRPr="00C903F8">
        <w:rPr>
          <w:szCs w:val="20"/>
          <w:lang w:val="en-US"/>
        </w:rPr>
        <w:noBreakHyphen/>
      </w:r>
      <w:r w:rsidRPr="00C903F8">
        <w:rPr>
          <w:noProof/>
          <w:szCs w:val="20"/>
          <w:lang w:val="en-US"/>
        </w:rPr>
        <w:t>board sewage treatment plant type that it type</w:t>
      </w:r>
      <w:r w:rsidR="00977812" w:rsidRPr="00C903F8">
        <w:rPr>
          <w:szCs w:val="20"/>
          <w:lang w:val="en-US"/>
        </w:rPr>
        <w:t>-</w:t>
      </w:r>
      <w:r w:rsidRPr="00C903F8">
        <w:rPr>
          <w:noProof/>
          <w:szCs w:val="20"/>
          <w:lang w:val="en-US"/>
        </w:rPr>
        <w:t xml:space="preserve">approves, the competent authority shall complete all relevant parts of the type approval certificate, the model for which is to be found in Annex </w:t>
      </w:r>
      <w:r w:rsidR="00652389" w:rsidRPr="00C903F8">
        <w:rPr>
          <w:noProof/>
          <w:szCs w:val="20"/>
          <w:lang w:val="en-US"/>
        </w:rPr>
        <w:t>7</w:t>
      </w:r>
      <w:r w:rsidRPr="00C903F8">
        <w:rPr>
          <w:noProof/>
          <w:szCs w:val="20"/>
          <w:lang w:val="en-US"/>
        </w:rPr>
        <w:t xml:space="preserve">, </w:t>
      </w:r>
      <w:r w:rsidR="00925755" w:rsidRPr="00C903F8">
        <w:rPr>
          <w:noProof/>
          <w:szCs w:val="20"/>
          <w:lang w:val="en-US"/>
        </w:rPr>
        <w:t>Section</w:t>
      </w:r>
      <w:r w:rsidRPr="00C903F8">
        <w:rPr>
          <w:noProof/>
          <w:szCs w:val="20"/>
          <w:lang w:val="en-US"/>
        </w:rPr>
        <w:t xml:space="preserve"> III, and shall compile or verify the contents of the index to the information package. Type approval certificates shall be numbered in accordance with the method described in Annex </w:t>
      </w:r>
      <w:r w:rsidR="00652389" w:rsidRPr="00C903F8">
        <w:rPr>
          <w:noProof/>
          <w:szCs w:val="20"/>
          <w:lang w:val="en-US"/>
        </w:rPr>
        <w:t>7</w:t>
      </w:r>
      <w:r w:rsidRPr="00C903F8">
        <w:rPr>
          <w:noProof/>
          <w:szCs w:val="20"/>
          <w:lang w:val="en-US"/>
        </w:rPr>
        <w:t xml:space="preserve">, </w:t>
      </w:r>
      <w:r w:rsidR="00925755" w:rsidRPr="00C903F8">
        <w:rPr>
          <w:noProof/>
          <w:szCs w:val="20"/>
          <w:lang w:val="en-US"/>
        </w:rPr>
        <w:t>Section</w:t>
      </w:r>
      <w:r w:rsidRPr="00C903F8">
        <w:rPr>
          <w:noProof/>
          <w:szCs w:val="20"/>
          <w:lang w:val="en-US"/>
        </w:rPr>
        <w:t xml:space="preserve"> IV. The completed type approval certificate and its </w:t>
      </w:r>
      <w:r w:rsidR="003E3E06" w:rsidRPr="00C903F8">
        <w:rPr>
          <w:noProof/>
          <w:szCs w:val="20"/>
          <w:lang w:val="en-US"/>
        </w:rPr>
        <w:t>Annexes</w:t>
      </w:r>
      <w:r w:rsidRPr="00C903F8">
        <w:rPr>
          <w:noProof/>
          <w:szCs w:val="20"/>
          <w:lang w:val="en-US"/>
        </w:rPr>
        <w:t xml:space="preserve"> shall be delivered to the applicant.</w:t>
      </w:r>
    </w:p>
    <w:p w:rsidR="00AC39F0" w:rsidRPr="00C903F8" w:rsidRDefault="00AC39F0" w:rsidP="00AC39F0">
      <w:pPr>
        <w:pStyle w:val="ESch"/>
        <w:rPr>
          <w:noProof/>
          <w:szCs w:val="20"/>
          <w:lang w:val="en-US"/>
        </w:rPr>
      </w:pPr>
    </w:p>
    <w:p w:rsidR="00B33A41" w:rsidRPr="00C903F8" w:rsidRDefault="00B33A41" w:rsidP="00AC39F0">
      <w:pPr>
        <w:pStyle w:val="ESch"/>
        <w:rPr>
          <w:noProof/>
          <w:szCs w:val="20"/>
          <w:lang w:val="en-US"/>
        </w:rPr>
      </w:pPr>
      <w:r w:rsidRPr="00C903F8">
        <w:rPr>
          <w:noProof/>
          <w:szCs w:val="20"/>
          <w:lang w:val="en-US"/>
        </w:rPr>
        <w:br w:type="page"/>
      </w:r>
    </w:p>
    <w:p w:rsidR="00AC39F0" w:rsidRPr="00C903F8" w:rsidRDefault="00AC39F0" w:rsidP="00AC39F0">
      <w:pPr>
        <w:pStyle w:val="ESch"/>
        <w:rPr>
          <w:rFonts w:cs="Arial"/>
          <w:szCs w:val="20"/>
          <w:lang w:val="en-US"/>
        </w:rPr>
      </w:pPr>
      <w:r w:rsidRPr="00C903F8">
        <w:rPr>
          <w:noProof/>
          <w:szCs w:val="20"/>
          <w:lang w:val="en-US"/>
        </w:rPr>
        <w:lastRenderedPageBreak/>
        <w:t>3.</w:t>
      </w:r>
      <w:r w:rsidRPr="00C903F8">
        <w:rPr>
          <w:szCs w:val="20"/>
          <w:lang w:val="en-US"/>
        </w:rPr>
        <w:tab/>
      </w:r>
      <w:r w:rsidRPr="00C903F8">
        <w:rPr>
          <w:noProof/>
          <w:szCs w:val="20"/>
          <w:lang w:val="en-US"/>
        </w:rPr>
        <w:t>If the on</w:t>
      </w:r>
      <w:r w:rsidRPr="00C903F8">
        <w:rPr>
          <w:szCs w:val="20"/>
          <w:lang w:val="en-US"/>
        </w:rPr>
        <w:noBreakHyphen/>
      </w:r>
      <w:r w:rsidRPr="00C903F8">
        <w:rPr>
          <w:noProof/>
          <w:szCs w:val="20"/>
          <w:lang w:val="en-US"/>
        </w:rPr>
        <w:t>board sewage treatment plant to be approved can only fulfil its function or only has specific properties in conjunction with other components of the craft in which it is to be installed and if for this reason compliance with one or more requirements can only be checked if the on-board sewage treatment plant to be approved is operated together with other real or simulated components of the craft, the scope of the type approval for this on</w:t>
      </w:r>
      <w:r w:rsidRPr="00C903F8">
        <w:rPr>
          <w:szCs w:val="20"/>
          <w:lang w:val="en-US"/>
        </w:rPr>
        <w:noBreakHyphen/>
      </w:r>
      <w:r w:rsidRPr="00C903F8">
        <w:rPr>
          <w:noProof/>
          <w:szCs w:val="20"/>
          <w:lang w:val="en-US"/>
        </w:rPr>
        <w:t>board sewage treatment plant shall be limited accordingly. In such cases, all restrictions on use and all installation requirements shall be detailed in the type approval certificate for that plant type.</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p>
    <w:p w:rsidR="00AC39F0" w:rsidRPr="00C903F8" w:rsidRDefault="00AC39F0" w:rsidP="00AC39F0">
      <w:pPr>
        <w:pStyle w:val="ES-Titre3"/>
        <w:rPr>
          <w:rFonts w:cs="Arial"/>
          <w:i/>
          <w:lang w:val="en-US"/>
        </w:rPr>
      </w:pPr>
      <w:bookmarkStart w:id="173" w:name="_Toc491854161"/>
      <w:r w:rsidRPr="00C903F8">
        <w:rPr>
          <w:noProof/>
          <w:lang w:val="en-US"/>
        </w:rPr>
        <w:t>Article 18.04</w:t>
      </w:r>
      <w:r w:rsidRPr="00C903F8">
        <w:rPr>
          <w:noProof/>
          <w:lang w:val="en-US"/>
        </w:rPr>
        <w:br/>
      </w:r>
      <w:r w:rsidRPr="00C903F8">
        <w:rPr>
          <w:i/>
          <w:noProof/>
          <w:lang w:val="en-US"/>
        </w:rPr>
        <w:t>Amendment of type approvals</w:t>
      </w:r>
      <w:bookmarkEnd w:id="173"/>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1.</w:t>
      </w:r>
      <w:r w:rsidRPr="00C903F8">
        <w:rPr>
          <w:szCs w:val="20"/>
          <w:lang w:val="en-US"/>
        </w:rPr>
        <w:tab/>
      </w:r>
      <w:r w:rsidRPr="00C903F8">
        <w:rPr>
          <w:noProof/>
          <w:szCs w:val="20"/>
          <w:lang w:val="en-US"/>
        </w:rPr>
        <w:t>The competent authority which issued the type approval shall make the necessary arrangements to ensure that it is informed of any change in the particulars appearing in the information package.</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2.</w:t>
      </w:r>
      <w:r w:rsidRPr="00C903F8">
        <w:rPr>
          <w:szCs w:val="20"/>
          <w:lang w:val="en-US"/>
        </w:rPr>
        <w:tab/>
      </w:r>
      <w:r w:rsidRPr="00C903F8">
        <w:rPr>
          <w:noProof/>
          <w:szCs w:val="20"/>
          <w:lang w:val="en-US"/>
        </w:rPr>
        <w:t>The application for amendment or extension of a type approval shall be made exclusively to the competent authority which issued the original type approval.</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3.</w:t>
      </w:r>
      <w:r w:rsidRPr="00C903F8">
        <w:rPr>
          <w:szCs w:val="20"/>
          <w:lang w:val="en-US"/>
        </w:rPr>
        <w:tab/>
      </w:r>
      <w:r w:rsidRPr="00C903F8">
        <w:rPr>
          <w:noProof/>
          <w:szCs w:val="20"/>
          <w:lang w:val="en-US"/>
        </w:rPr>
        <w:t>Should characteristics of the on</w:t>
      </w:r>
      <w:r w:rsidRPr="00C903F8">
        <w:rPr>
          <w:szCs w:val="20"/>
          <w:lang w:val="en-US"/>
        </w:rPr>
        <w:noBreakHyphen/>
      </w:r>
      <w:r w:rsidRPr="00C903F8">
        <w:rPr>
          <w:noProof/>
          <w:szCs w:val="20"/>
          <w:lang w:val="en-US"/>
        </w:rPr>
        <w:t>board sewage treatment plant as described in the information package have been modified, the competent authority shall:</w:t>
      </w:r>
    </w:p>
    <w:p w:rsidR="00AC39F0" w:rsidRPr="00C903F8" w:rsidRDefault="005C7859" w:rsidP="00AC39F0">
      <w:pPr>
        <w:pStyle w:val="ESlet"/>
        <w:rPr>
          <w:rFonts w:cs="Arial"/>
          <w:lang w:val="en-US"/>
        </w:rPr>
      </w:pPr>
      <w:r w:rsidRPr="00C903F8">
        <w:rPr>
          <w:noProof/>
          <w:lang w:val="en-US"/>
        </w:rPr>
        <w:t>a)</w:t>
      </w:r>
      <w:r w:rsidR="00AC39F0" w:rsidRPr="00C903F8">
        <w:rPr>
          <w:lang w:val="en-US"/>
        </w:rPr>
        <w:tab/>
      </w:r>
      <w:r w:rsidR="00AC39F0" w:rsidRPr="00C903F8">
        <w:rPr>
          <w:noProof/>
          <w:lang w:val="en-US"/>
        </w:rPr>
        <w:t>issue revised pages of the information package as necessary, marking each revised page to show clearly the nature of the change and the date of re</w:t>
      </w:r>
      <w:r w:rsidR="00AC39F0" w:rsidRPr="00C903F8">
        <w:rPr>
          <w:lang w:val="en-US"/>
        </w:rPr>
        <w:noBreakHyphen/>
      </w:r>
      <w:r w:rsidR="00AC39F0" w:rsidRPr="00C903F8">
        <w:rPr>
          <w:noProof/>
          <w:lang w:val="en-US"/>
        </w:rPr>
        <w:t>issue. Whenever revised pages are issued, the index to the information package which is attached to the type approval certificate shall also be updated accordingly;</w:t>
      </w:r>
    </w:p>
    <w:p w:rsidR="00AC39F0" w:rsidRPr="00C903F8" w:rsidRDefault="005C7859" w:rsidP="00AC39F0">
      <w:pPr>
        <w:pStyle w:val="ESlet"/>
        <w:rPr>
          <w:rFonts w:cs="Arial"/>
          <w:lang w:val="en-US"/>
        </w:rPr>
      </w:pPr>
      <w:r w:rsidRPr="00C903F8">
        <w:rPr>
          <w:noProof/>
          <w:lang w:val="en-US"/>
        </w:rPr>
        <w:t>b)</w:t>
      </w:r>
      <w:r w:rsidR="00AC39F0" w:rsidRPr="00C903F8">
        <w:rPr>
          <w:lang w:val="en-US"/>
        </w:rPr>
        <w:tab/>
      </w:r>
      <w:r w:rsidR="00AC39F0" w:rsidRPr="00C903F8">
        <w:rPr>
          <w:noProof/>
          <w:lang w:val="en-US"/>
        </w:rPr>
        <w:t xml:space="preserve">issue a revised type approval certificate (with an extension number) if any information on it (excluding its annexes) has changed or if the minimum requirements of this Chapter have changed since the original approval date. The revised </w:t>
      </w:r>
      <w:r w:rsidR="002828C5" w:rsidRPr="00C903F8">
        <w:rPr>
          <w:noProof/>
          <w:lang w:val="en-US"/>
        </w:rPr>
        <w:t xml:space="preserve">type </w:t>
      </w:r>
      <w:r w:rsidR="00AC39F0" w:rsidRPr="00C903F8">
        <w:rPr>
          <w:noProof/>
          <w:lang w:val="en-US"/>
        </w:rPr>
        <w:t>approval certificate shall clearly show the reason for its modification and the date of the re-issue</w:t>
      </w:r>
    </w:p>
    <w:p w:rsidR="00AC39F0" w:rsidRPr="00C903F8" w:rsidRDefault="00AC39F0" w:rsidP="00AC39F0">
      <w:pPr>
        <w:pStyle w:val="ESletpar"/>
        <w:rPr>
          <w:rFonts w:cs="Arial"/>
          <w:lang w:val="en-US"/>
        </w:rPr>
      </w:pPr>
      <w:r w:rsidRPr="00C903F8">
        <w:rPr>
          <w:noProof/>
          <w:lang w:val="en-US"/>
        </w:rPr>
        <w:t>Should the competent authority which issued the type approval find that new trials or tests are justified owing to a modification made to the information package, it shall notify the manufacturer of this fact and issue the documents specified above only after new trials or tests have been successfully completed</w:t>
      </w:r>
    </w:p>
    <w:p w:rsidR="00AC39F0" w:rsidRPr="00C903F8" w:rsidRDefault="00AC39F0" w:rsidP="00AC39F0">
      <w:pPr>
        <w:pStyle w:val="ESch"/>
        <w:rPr>
          <w:rFonts w:cs="Arial"/>
          <w:szCs w:val="20"/>
          <w:lang w:val="en-US"/>
        </w:rPr>
      </w:pPr>
    </w:p>
    <w:p w:rsidR="00AC39F0" w:rsidRPr="00C903F8" w:rsidRDefault="00AC39F0" w:rsidP="00AC39F0">
      <w:pPr>
        <w:pStyle w:val="ESch"/>
        <w:rPr>
          <w:rFonts w:cs="Arial"/>
          <w:szCs w:val="20"/>
          <w:lang w:val="en-US"/>
        </w:rPr>
      </w:pPr>
    </w:p>
    <w:p w:rsidR="00B33A41" w:rsidRPr="00C903F8" w:rsidRDefault="00B33A41" w:rsidP="00AC39F0">
      <w:pPr>
        <w:pStyle w:val="ESch"/>
        <w:rPr>
          <w:rFonts w:cs="Arial"/>
          <w:szCs w:val="20"/>
          <w:lang w:val="en-US"/>
        </w:rPr>
      </w:pPr>
      <w:r w:rsidRPr="00C903F8">
        <w:rPr>
          <w:rFonts w:cs="Arial"/>
          <w:szCs w:val="20"/>
          <w:lang w:val="en-US"/>
        </w:rPr>
        <w:br w:type="page"/>
      </w:r>
    </w:p>
    <w:p w:rsidR="00AC39F0" w:rsidRPr="00C903F8" w:rsidRDefault="00AC39F0" w:rsidP="00AC39F0">
      <w:pPr>
        <w:pStyle w:val="ES-Titre3"/>
        <w:rPr>
          <w:rFonts w:cs="Arial"/>
          <w:lang w:val="en-US"/>
        </w:rPr>
      </w:pPr>
      <w:bookmarkStart w:id="174" w:name="_Toc491854162"/>
      <w:r w:rsidRPr="00C903F8">
        <w:rPr>
          <w:noProof/>
          <w:lang w:val="en-US"/>
        </w:rPr>
        <w:lastRenderedPageBreak/>
        <w:t>Article 18.05</w:t>
      </w:r>
      <w:r w:rsidRPr="00C903F8">
        <w:rPr>
          <w:bCs/>
          <w:noProof/>
          <w:lang w:val="en-US"/>
        </w:rPr>
        <w:br/>
      </w:r>
      <w:r w:rsidRPr="00C903F8">
        <w:rPr>
          <w:i/>
          <w:noProof/>
          <w:lang w:val="en-US"/>
        </w:rPr>
        <w:t>Conformity</w:t>
      </w:r>
      <w:r w:rsidR="00C509E3" w:rsidRPr="00C903F8">
        <w:rPr>
          <w:i/>
          <w:noProof/>
          <w:lang w:val="en-US"/>
        </w:rPr>
        <w:t xml:space="preserve"> of the type-approval</w:t>
      </w:r>
      <w:bookmarkEnd w:id="174"/>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1.</w:t>
      </w:r>
      <w:r w:rsidRPr="00C903F8">
        <w:rPr>
          <w:szCs w:val="20"/>
          <w:lang w:val="en-US"/>
        </w:rPr>
        <w:tab/>
      </w:r>
      <w:r w:rsidRPr="00C903F8">
        <w:rPr>
          <w:noProof/>
          <w:szCs w:val="20"/>
          <w:lang w:val="en-US"/>
        </w:rPr>
        <w:t>The manufacturer shall affix to each on</w:t>
      </w:r>
      <w:r w:rsidR="00433D99" w:rsidRPr="00C903F8">
        <w:rPr>
          <w:noProof/>
          <w:szCs w:val="20"/>
          <w:lang w:val="en-US"/>
        </w:rPr>
        <w:t>-</w:t>
      </w:r>
      <w:r w:rsidRPr="00C903F8">
        <w:rPr>
          <w:noProof/>
          <w:szCs w:val="20"/>
          <w:lang w:val="en-US"/>
        </w:rPr>
        <w:t xml:space="preserve">board sewage treatment plant manufactured in conformity with the type approval the markings as defined in Annex </w:t>
      </w:r>
      <w:r w:rsidR="00652389" w:rsidRPr="00C903F8">
        <w:rPr>
          <w:noProof/>
          <w:szCs w:val="20"/>
          <w:lang w:val="en-US"/>
        </w:rPr>
        <w:t>7</w:t>
      </w:r>
      <w:r w:rsidRPr="00C903F8">
        <w:rPr>
          <w:noProof/>
          <w:szCs w:val="20"/>
          <w:lang w:val="en-US"/>
        </w:rPr>
        <w:t xml:space="preserve">, </w:t>
      </w:r>
      <w:r w:rsidR="00925755" w:rsidRPr="00C903F8">
        <w:rPr>
          <w:noProof/>
          <w:szCs w:val="20"/>
          <w:lang w:val="en-US"/>
        </w:rPr>
        <w:t>Section</w:t>
      </w:r>
      <w:r w:rsidRPr="00C903F8">
        <w:rPr>
          <w:noProof/>
          <w:szCs w:val="20"/>
          <w:lang w:val="en-US"/>
        </w:rPr>
        <w:t xml:space="preserve"> I, including the type approval number.</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2.</w:t>
      </w:r>
      <w:r w:rsidRPr="00C903F8">
        <w:rPr>
          <w:szCs w:val="20"/>
          <w:lang w:val="en-US"/>
        </w:rPr>
        <w:tab/>
      </w:r>
      <w:r w:rsidRPr="00C903F8">
        <w:rPr>
          <w:noProof/>
          <w:szCs w:val="20"/>
          <w:lang w:val="en-US"/>
        </w:rPr>
        <w:t>Should the type approval contain limitations of usage in accordance with Article 18.03(3), the manufacturer shall enclose detailed information on these limitations and all installation requirements with each unit manufactured.</w:t>
      </w:r>
    </w:p>
    <w:p w:rsidR="00AC39F0" w:rsidRPr="00C903F8" w:rsidRDefault="00AC39F0" w:rsidP="00AC39F0">
      <w:pPr>
        <w:pStyle w:val="ESch"/>
        <w:rPr>
          <w:noProof/>
          <w:lang w:val="en-US"/>
        </w:rPr>
      </w:pPr>
    </w:p>
    <w:p w:rsidR="00AC39F0" w:rsidRPr="00C903F8" w:rsidRDefault="00AC39F0" w:rsidP="00AC39F0">
      <w:pPr>
        <w:pStyle w:val="ESch"/>
        <w:rPr>
          <w:rFonts w:cs="Arial"/>
          <w:lang w:val="en-US"/>
        </w:rPr>
      </w:pPr>
      <w:r w:rsidRPr="00C903F8">
        <w:rPr>
          <w:noProof/>
          <w:lang w:val="en-US"/>
        </w:rPr>
        <w:t>3.</w:t>
      </w:r>
      <w:r w:rsidRPr="00C903F8">
        <w:rPr>
          <w:lang w:val="en-US"/>
        </w:rPr>
        <w:tab/>
      </w:r>
      <w:r w:rsidRPr="00C903F8">
        <w:rPr>
          <w:noProof/>
          <w:lang w:val="en-US"/>
        </w:rPr>
        <w:t>If requested by the competent authority which issued the type approval, the manufacturer shall provide a list of the serial numbers of all on</w:t>
      </w:r>
      <w:r w:rsidR="00433D99" w:rsidRPr="00C903F8">
        <w:rPr>
          <w:noProof/>
          <w:lang w:val="en-US"/>
        </w:rPr>
        <w:t>-</w:t>
      </w:r>
      <w:r w:rsidRPr="00C903F8">
        <w:rPr>
          <w:noProof/>
          <w:lang w:val="en-US"/>
        </w:rPr>
        <w:t>board sewage treatment plants which have been manufactured in accordance with the requirements set out in this Chapter since the last report, or since the point at which these provisions first came into force, within 45 days after the end of each calendar year, and immediately after each additional date specified by the competent authority. The list shall set out the correlations between the serial numbers, the corresponding on</w:t>
      </w:r>
      <w:r w:rsidR="00433D99" w:rsidRPr="00C903F8">
        <w:rPr>
          <w:noProof/>
          <w:lang w:val="en-US"/>
        </w:rPr>
        <w:t>-</w:t>
      </w:r>
      <w:r w:rsidRPr="00C903F8">
        <w:rPr>
          <w:noProof/>
          <w:lang w:val="en-US"/>
        </w:rPr>
        <w:t>board sewage treatment plant types and the type approval numbers. Furthermore, the list shall also include particular information for those cases where the manufacturer discontinues production of a type</w:t>
      </w:r>
      <w:r w:rsidR="00433D99" w:rsidRPr="00C903F8">
        <w:rPr>
          <w:noProof/>
          <w:lang w:val="en-US"/>
        </w:rPr>
        <w:t>-</w:t>
      </w:r>
      <w:r w:rsidRPr="00C903F8">
        <w:rPr>
          <w:noProof/>
          <w:lang w:val="en-US"/>
        </w:rPr>
        <w:t>approved on</w:t>
      </w:r>
      <w:r w:rsidR="00433D99" w:rsidRPr="00C903F8">
        <w:rPr>
          <w:noProof/>
          <w:lang w:val="en-US"/>
        </w:rPr>
        <w:t>-</w:t>
      </w:r>
      <w:r w:rsidRPr="00C903F8">
        <w:rPr>
          <w:noProof/>
          <w:lang w:val="en-US"/>
        </w:rPr>
        <w:t>board sewage treatment plant type. Should the competent authority not demand the regular provision of such a list from the manufacturer, the manufacturer shall retain the data recorded for a period of at least 40 years.</w:t>
      </w:r>
    </w:p>
    <w:p w:rsidR="00AC39F0" w:rsidRPr="00C903F8" w:rsidRDefault="00AC39F0" w:rsidP="00AC39F0">
      <w:pPr>
        <w:pStyle w:val="ESch"/>
        <w:rPr>
          <w:lang w:val="en-US"/>
        </w:rPr>
      </w:pPr>
    </w:p>
    <w:p w:rsidR="00AC39F0" w:rsidRPr="00C903F8" w:rsidRDefault="00AC39F0" w:rsidP="00AC39F0">
      <w:pPr>
        <w:pStyle w:val="ESch"/>
        <w:rPr>
          <w:lang w:val="en-US"/>
        </w:rPr>
      </w:pPr>
    </w:p>
    <w:p w:rsidR="00AC39F0" w:rsidRPr="00C903F8" w:rsidRDefault="00AC39F0" w:rsidP="00AC39F0">
      <w:pPr>
        <w:pStyle w:val="ES-Titre3"/>
        <w:rPr>
          <w:rFonts w:cs="Arial"/>
          <w:i/>
          <w:lang w:val="en-US"/>
        </w:rPr>
      </w:pPr>
      <w:bookmarkStart w:id="175" w:name="_Toc491854163"/>
      <w:r w:rsidRPr="00C903F8">
        <w:rPr>
          <w:noProof/>
          <w:lang w:val="en-US"/>
        </w:rPr>
        <w:t>Article 18.0</w:t>
      </w:r>
      <w:r w:rsidR="00CF5E0F" w:rsidRPr="00C903F8">
        <w:rPr>
          <w:noProof/>
          <w:lang w:val="en-US"/>
        </w:rPr>
        <w:t>6</w:t>
      </w:r>
      <w:r w:rsidRPr="00C903F8">
        <w:rPr>
          <w:bCs/>
          <w:noProof/>
          <w:lang w:val="en-US"/>
        </w:rPr>
        <w:br/>
      </w:r>
      <w:r w:rsidRPr="00C903F8">
        <w:rPr>
          <w:i/>
          <w:noProof/>
          <w:lang w:val="en-US"/>
        </w:rPr>
        <w:t>Checking of serial numbers</w:t>
      </w:r>
      <w:bookmarkEnd w:id="175"/>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1.</w:t>
      </w:r>
      <w:r w:rsidRPr="00C903F8">
        <w:rPr>
          <w:szCs w:val="20"/>
          <w:lang w:val="en-US"/>
        </w:rPr>
        <w:tab/>
      </w:r>
      <w:r w:rsidRPr="00C903F8">
        <w:rPr>
          <w:noProof/>
          <w:szCs w:val="20"/>
          <w:lang w:val="en-US"/>
        </w:rPr>
        <w:t>The competent authority issuing a type approval shall ensure that the serial numbers of the on</w:t>
      </w:r>
      <w:r w:rsidR="00433D99" w:rsidRPr="00C903F8">
        <w:rPr>
          <w:noProof/>
          <w:szCs w:val="20"/>
          <w:lang w:val="en-US"/>
        </w:rPr>
        <w:t>-</w:t>
      </w:r>
      <w:r w:rsidRPr="00C903F8">
        <w:rPr>
          <w:noProof/>
          <w:szCs w:val="20"/>
          <w:lang w:val="en-US"/>
        </w:rPr>
        <w:t>board sewage treatment plants manufactured in conformity with the requirements of this Chapter are registered and checked.</w:t>
      </w:r>
      <w:r w:rsidR="00C509E3" w:rsidRPr="00C903F8">
        <w:rPr>
          <w:noProof/>
          <w:szCs w:val="20"/>
          <w:lang w:val="en-US"/>
        </w:rPr>
        <w:t xml:space="preserve"> It may collaborate with other authorities as defined in this Chapter and with the competent authorities of the Member States.</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2.</w:t>
      </w:r>
      <w:r w:rsidRPr="00C903F8">
        <w:rPr>
          <w:szCs w:val="20"/>
          <w:lang w:val="en-US"/>
        </w:rPr>
        <w:tab/>
      </w:r>
      <w:r w:rsidRPr="00C903F8">
        <w:rPr>
          <w:noProof/>
          <w:szCs w:val="20"/>
          <w:lang w:val="en-US"/>
        </w:rPr>
        <w:t xml:space="preserve">An additional check of the serial numbers may take place in conjunction with the check on conformity of production </w:t>
      </w:r>
      <w:r w:rsidR="009E7498" w:rsidRPr="00C903F8">
        <w:rPr>
          <w:noProof/>
          <w:szCs w:val="20"/>
          <w:lang w:val="en-US"/>
        </w:rPr>
        <w:t>with</w:t>
      </w:r>
      <w:r w:rsidR="004C2C5D" w:rsidRPr="00C903F8">
        <w:rPr>
          <w:noProof/>
          <w:szCs w:val="20"/>
          <w:lang w:val="en-US"/>
        </w:rPr>
        <w:t xml:space="preserve"> requirements</w:t>
      </w:r>
      <w:r w:rsidRPr="00C903F8">
        <w:rPr>
          <w:noProof/>
          <w:szCs w:val="20"/>
          <w:lang w:val="en-US"/>
        </w:rPr>
        <w:t xml:space="preserve"> laid down in Article 18.0</w:t>
      </w:r>
      <w:r w:rsidR="00CF5E0F" w:rsidRPr="00C903F8">
        <w:rPr>
          <w:noProof/>
          <w:szCs w:val="20"/>
          <w:lang w:val="en-US"/>
        </w:rPr>
        <w:t>7</w:t>
      </w:r>
      <w:r w:rsidRPr="00C903F8">
        <w:rPr>
          <w:noProof/>
          <w:szCs w:val="20"/>
          <w:lang w:val="en-US"/>
        </w:rPr>
        <w:t>.</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3.</w:t>
      </w:r>
      <w:r w:rsidRPr="00C903F8">
        <w:rPr>
          <w:szCs w:val="20"/>
          <w:lang w:val="en-US"/>
        </w:rPr>
        <w:tab/>
      </w:r>
      <w:r w:rsidRPr="00C903F8">
        <w:rPr>
          <w:noProof/>
          <w:szCs w:val="20"/>
          <w:lang w:val="en-US"/>
        </w:rPr>
        <w:t>In relation to the checking of the serial numbers, the manufacturer or their authorised representatives located in the Member States</w:t>
      </w:r>
      <w:r w:rsidR="008E7459" w:rsidRPr="00C903F8">
        <w:rPr>
          <w:noProof/>
          <w:szCs w:val="20"/>
          <w:lang w:val="en-US"/>
        </w:rPr>
        <w:t xml:space="preserve"> </w:t>
      </w:r>
      <w:r w:rsidRPr="00C903F8">
        <w:rPr>
          <w:noProof/>
          <w:szCs w:val="20"/>
          <w:lang w:val="en-US"/>
        </w:rPr>
        <w:t>shall, if requested, promptly supply the competent authority with all necessary information relating to their direct purchasers as well as the serial numbers of those on</w:t>
      </w:r>
      <w:r w:rsidR="00433D99" w:rsidRPr="00C903F8">
        <w:rPr>
          <w:noProof/>
          <w:szCs w:val="20"/>
          <w:lang w:val="en-US"/>
        </w:rPr>
        <w:t>-</w:t>
      </w:r>
      <w:r w:rsidRPr="00C903F8">
        <w:rPr>
          <w:noProof/>
          <w:szCs w:val="20"/>
          <w:lang w:val="en-US"/>
        </w:rPr>
        <w:t>board sewage treatment plants which have been reported as manufactured in accordance with Article 18.05(3).</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4.</w:t>
      </w:r>
      <w:r w:rsidRPr="00C903F8">
        <w:rPr>
          <w:szCs w:val="20"/>
          <w:lang w:val="en-US"/>
        </w:rPr>
        <w:tab/>
      </w:r>
      <w:r w:rsidRPr="00C903F8">
        <w:rPr>
          <w:noProof/>
          <w:szCs w:val="20"/>
          <w:lang w:val="en-US"/>
        </w:rPr>
        <w:t>Should a manufacturer be unable to comply with the require</w:t>
      </w:r>
      <w:r w:rsidRPr="00C903F8">
        <w:rPr>
          <w:szCs w:val="20"/>
          <w:lang w:val="en-US"/>
        </w:rPr>
        <w:softHyphen/>
      </w:r>
      <w:r w:rsidRPr="00C903F8">
        <w:rPr>
          <w:noProof/>
          <w:szCs w:val="20"/>
          <w:lang w:val="en-US"/>
        </w:rPr>
        <w:t>ments set out in Article 18.05 when requested to do so by the competent authority, the approval for the on</w:t>
      </w:r>
      <w:r w:rsidR="00433D99" w:rsidRPr="00C903F8">
        <w:rPr>
          <w:noProof/>
          <w:szCs w:val="20"/>
          <w:lang w:val="en-US"/>
        </w:rPr>
        <w:t>-</w:t>
      </w:r>
      <w:r w:rsidRPr="00C903F8">
        <w:rPr>
          <w:noProof/>
          <w:szCs w:val="20"/>
          <w:lang w:val="en-US"/>
        </w:rPr>
        <w:t>board sewage treatment plant type concerned may be withdrawn. In such a case the notification procedure specified in Article 18.0</w:t>
      </w:r>
      <w:r w:rsidR="00CF5E0F" w:rsidRPr="00C903F8">
        <w:rPr>
          <w:noProof/>
          <w:szCs w:val="20"/>
          <w:lang w:val="en-US"/>
        </w:rPr>
        <w:t>8</w:t>
      </w:r>
      <w:r w:rsidRPr="00C903F8">
        <w:rPr>
          <w:noProof/>
          <w:szCs w:val="20"/>
          <w:lang w:val="en-US"/>
        </w:rPr>
        <w:t>(4) shall be used.</w:t>
      </w:r>
    </w:p>
    <w:p w:rsidR="00AC39F0" w:rsidRPr="00C903F8" w:rsidRDefault="00AC39F0" w:rsidP="00AC39F0">
      <w:pPr>
        <w:pStyle w:val="ESch"/>
        <w:rPr>
          <w:rFonts w:cs="Arial"/>
          <w:szCs w:val="20"/>
          <w:lang w:val="en-US"/>
        </w:rPr>
      </w:pPr>
    </w:p>
    <w:p w:rsidR="00CF5E0F" w:rsidRPr="00C903F8" w:rsidRDefault="00CF5E0F">
      <w:pPr>
        <w:autoSpaceDE/>
        <w:autoSpaceDN/>
        <w:ind w:left="0" w:firstLine="0"/>
        <w:jc w:val="left"/>
        <w:rPr>
          <w:rFonts w:cs="Arial"/>
          <w:szCs w:val="20"/>
          <w:lang w:val="en-US"/>
        </w:rPr>
      </w:pPr>
      <w:r w:rsidRPr="00C903F8">
        <w:rPr>
          <w:rFonts w:cs="Arial"/>
          <w:szCs w:val="20"/>
          <w:lang w:val="en-US"/>
        </w:rPr>
        <w:br w:type="page"/>
      </w:r>
    </w:p>
    <w:p w:rsidR="003216FC" w:rsidRPr="00C903F8" w:rsidRDefault="003216FC" w:rsidP="00AC39F0">
      <w:pPr>
        <w:pStyle w:val="ESch"/>
        <w:rPr>
          <w:rFonts w:cs="Arial"/>
          <w:szCs w:val="20"/>
          <w:lang w:val="en-US"/>
        </w:rPr>
      </w:pPr>
    </w:p>
    <w:p w:rsidR="00AC39F0" w:rsidRPr="00C903F8" w:rsidRDefault="00AC39F0" w:rsidP="00AC39F0">
      <w:pPr>
        <w:pStyle w:val="ES-Titre3"/>
        <w:rPr>
          <w:rFonts w:cs="Arial"/>
          <w:i/>
          <w:lang w:val="en-US"/>
        </w:rPr>
      </w:pPr>
      <w:bookmarkStart w:id="176" w:name="_Toc491854164"/>
      <w:r w:rsidRPr="00C903F8">
        <w:rPr>
          <w:noProof/>
          <w:lang w:val="en-US"/>
        </w:rPr>
        <w:t>Article 18.0</w:t>
      </w:r>
      <w:r w:rsidR="00CF5E0F" w:rsidRPr="00C903F8">
        <w:rPr>
          <w:noProof/>
          <w:lang w:val="en-US"/>
        </w:rPr>
        <w:t>7</w:t>
      </w:r>
      <w:r w:rsidRPr="00C903F8">
        <w:rPr>
          <w:bCs/>
          <w:noProof/>
          <w:lang w:val="en-US"/>
        </w:rPr>
        <w:br/>
      </w:r>
      <w:r w:rsidRPr="00C903F8">
        <w:rPr>
          <w:i/>
          <w:noProof/>
          <w:lang w:val="en-US"/>
        </w:rPr>
        <w:t>Conformity of production</w:t>
      </w:r>
      <w:bookmarkEnd w:id="176"/>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1.</w:t>
      </w:r>
      <w:r w:rsidRPr="00C903F8">
        <w:rPr>
          <w:szCs w:val="20"/>
          <w:lang w:val="en-US"/>
        </w:rPr>
        <w:tab/>
      </w:r>
      <w:r w:rsidRPr="00C903F8">
        <w:rPr>
          <w:noProof/>
          <w:szCs w:val="20"/>
          <w:lang w:val="en-US"/>
        </w:rPr>
        <w:t xml:space="preserve">The competent authority issuing a type approval shall ascertain in advance that suitable arrangements have been made to ensure effective checking of conformity of production in respect of the requirements of Annex </w:t>
      </w:r>
      <w:r w:rsidR="00652389" w:rsidRPr="00C903F8">
        <w:rPr>
          <w:noProof/>
          <w:szCs w:val="20"/>
          <w:lang w:val="en-US"/>
        </w:rPr>
        <w:t>7</w:t>
      </w:r>
      <w:r w:rsidRPr="00C903F8">
        <w:rPr>
          <w:noProof/>
          <w:szCs w:val="20"/>
          <w:lang w:val="en-US"/>
        </w:rPr>
        <w:t xml:space="preserve">, </w:t>
      </w:r>
      <w:r w:rsidR="00925755" w:rsidRPr="00C903F8">
        <w:rPr>
          <w:noProof/>
          <w:szCs w:val="20"/>
          <w:lang w:val="en-US"/>
        </w:rPr>
        <w:t>Section</w:t>
      </w:r>
      <w:r w:rsidRPr="00C903F8">
        <w:rPr>
          <w:noProof/>
          <w:szCs w:val="20"/>
          <w:lang w:val="en-US"/>
        </w:rPr>
        <w:t xml:space="preserve"> I.</w:t>
      </w:r>
      <w:r w:rsidR="00C509E3" w:rsidRPr="00C903F8">
        <w:rPr>
          <w:lang w:val="en-US"/>
        </w:rPr>
        <w:t xml:space="preserve"> </w:t>
      </w:r>
      <w:r w:rsidR="00C509E3" w:rsidRPr="00C903F8">
        <w:rPr>
          <w:noProof/>
          <w:szCs w:val="20"/>
          <w:lang w:val="en-US"/>
        </w:rPr>
        <w:t>It may collaborate with other authorities as defined in this Chapter and with the competent authorities of the Member States.</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2.</w:t>
      </w:r>
      <w:r w:rsidRPr="00C903F8">
        <w:rPr>
          <w:szCs w:val="20"/>
          <w:lang w:val="en-US"/>
        </w:rPr>
        <w:tab/>
      </w:r>
      <w:r w:rsidRPr="00C903F8">
        <w:rPr>
          <w:noProof/>
          <w:szCs w:val="20"/>
          <w:lang w:val="en-US"/>
        </w:rPr>
        <w:t xml:space="preserve">The competent authority which has issued a type approval shall ascertain that the arrangements specified in </w:t>
      </w:r>
      <w:r w:rsidR="00FD1E75" w:rsidRPr="00C903F8">
        <w:rPr>
          <w:noProof/>
          <w:szCs w:val="20"/>
          <w:lang w:val="en-US"/>
        </w:rPr>
        <w:t>(</w:t>
      </w:r>
      <w:r w:rsidRPr="00C903F8">
        <w:rPr>
          <w:noProof/>
          <w:szCs w:val="20"/>
          <w:lang w:val="en-US"/>
        </w:rPr>
        <w:t>1</w:t>
      </w:r>
      <w:r w:rsidR="00FD1E75" w:rsidRPr="00C903F8">
        <w:rPr>
          <w:noProof/>
          <w:szCs w:val="20"/>
          <w:lang w:val="en-US"/>
        </w:rPr>
        <w:t>)</w:t>
      </w:r>
      <w:r w:rsidRPr="00C903F8">
        <w:rPr>
          <w:noProof/>
          <w:szCs w:val="20"/>
          <w:lang w:val="en-US"/>
        </w:rPr>
        <w:t xml:space="preserve"> in respect of the provisions of Annex</w:t>
      </w:r>
      <w:r w:rsidR="00652389" w:rsidRPr="00C903F8">
        <w:rPr>
          <w:noProof/>
          <w:szCs w:val="20"/>
          <w:lang w:val="en-US"/>
        </w:rPr>
        <w:t xml:space="preserve"> 7</w:t>
      </w:r>
      <w:r w:rsidRPr="00C903F8">
        <w:rPr>
          <w:noProof/>
          <w:szCs w:val="20"/>
          <w:lang w:val="en-US"/>
        </w:rPr>
        <w:t xml:space="preserve">, </w:t>
      </w:r>
      <w:r w:rsidR="00925755" w:rsidRPr="00C903F8">
        <w:rPr>
          <w:noProof/>
          <w:szCs w:val="20"/>
          <w:lang w:val="en-US"/>
        </w:rPr>
        <w:t>Section</w:t>
      </w:r>
      <w:r w:rsidRPr="00C903F8">
        <w:rPr>
          <w:noProof/>
          <w:szCs w:val="20"/>
          <w:lang w:val="en-US"/>
        </w:rPr>
        <w:t xml:space="preserve"> I continue to be sufficient and that every on</w:t>
      </w:r>
      <w:r w:rsidR="00433D99" w:rsidRPr="00C903F8">
        <w:rPr>
          <w:szCs w:val="20"/>
          <w:lang w:val="en-US"/>
        </w:rPr>
        <w:t>-</w:t>
      </w:r>
      <w:r w:rsidRPr="00C903F8">
        <w:rPr>
          <w:noProof/>
          <w:szCs w:val="20"/>
          <w:lang w:val="en-US"/>
        </w:rPr>
        <w:t>board sewage treatment plant provided with a type approval number in accordance with the requirements of this Chapter continues to correspond to the description in the type approval certificate and its annexes for the type</w:t>
      </w:r>
      <w:r w:rsidR="00433D99" w:rsidRPr="00C903F8">
        <w:rPr>
          <w:noProof/>
          <w:szCs w:val="20"/>
          <w:lang w:val="en-US"/>
        </w:rPr>
        <w:t>-</w:t>
      </w:r>
      <w:r w:rsidRPr="00C903F8">
        <w:rPr>
          <w:noProof/>
          <w:szCs w:val="20"/>
          <w:lang w:val="en-US"/>
        </w:rPr>
        <w:t>approved on-board sewage treatment plant type.</w:t>
      </w:r>
      <w:r w:rsidR="00C509E3" w:rsidRPr="00C903F8">
        <w:rPr>
          <w:noProof/>
          <w:szCs w:val="20"/>
          <w:lang w:val="en-US"/>
        </w:rPr>
        <w:t xml:space="preserve"> It may collaborate with other authorities as defined in this Chapter and with the competent authorities of the Member States.</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3.</w:t>
      </w:r>
      <w:r w:rsidRPr="00C903F8">
        <w:rPr>
          <w:szCs w:val="20"/>
          <w:lang w:val="en-US"/>
        </w:rPr>
        <w:tab/>
      </w:r>
      <w:r w:rsidRPr="00C903F8">
        <w:rPr>
          <w:noProof/>
          <w:szCs w:val="20"/>
          <w:lang w:val="en-US"/>
        </w:rPr>
        <w:t xml:space="preserve">The competent authority may recognise comparable tests carried out by other competent authorities as equivalent to the provisions of </w:t>
      </w:r>
      <w:r w:rsidR="00FD1E75" w:rsidRPr="00C903F8">
        <w:rPr>
          <w:noProof/>
          <w:szCs w:val="20"/>
          <w:lang w:val="en-US"/>
        </w:rPr>
        <w:t>(</w:t>
      </w:r>
      <w:r w:rsidRPr="00C903F8">
        <w:rPr>
          <w:noProof/>
          <w:szCs w:val="20"/>
          <w:lang w:val="en-US"/>
        </w:rPr>
        <w:t>1</w:t>
      </w:r>
      <w:r w:rsidR="00FD1E75" w:rsidRPr="00C903F8">
        <w:rPr>
          <w:noProof/>
          <w:szCs w:val="20"/>
          <w:lang w:val="en-US"/>
        </w:rPr>
        <w:t>)</w:t>
      </w:r>
      <w:r w:rsidRPr="00C903F8">
        <w:rPr>
          <w:noProof/>
          <w:szCs w:val="20"/>
          <w:lang w:val="en-US"/>
        </w:rPr>
        <w:t xml:space="preserve"> and </w:t>
      </w:r>
      <w:r w:rsidR="00FD1E75" w:rsidRPr="00C903F8">
        <w:rPr>
          <w:noProof/>
          <w:szCs w:val="20"/>
          <w:lang w:val="en-US"/>
        </w:rPr>
        <w:t>(</w:t>
      </w:r>
      <w:r w:rsidRPr="00C903F8">
        <w:rPr>
          <w:noProof/>
          <w:szCs w:val="20"/>
          <w:lang w:val="en-US"/>
        </w:rPr>
        <w:t>2</w:t>
      </w:r>
      <w:r w:rsidR="00FD1E75" w:rsidRPr="00C903F8">
        <w:rPr>
          <w:noProof/>
          <w:szCs w:val="20"/>
          <w:lang w:val="en-US"/>
        </w:rPr>
        <w:t>)</w:t>
      </w:r>
      <w:r w:rsidRPr="00C903F8">
        <w:rPr>
          <w:noProof/>
          <w:szCs w:val="20"/>
          <w:lang w:val="en-US"/>
        </w:rPr>
        <w:t>.</w:t>
      </w:r>
    </w:p>
    <w:p w:rsidR="00AC39F0" w:rsidRPr="00C903F8" w:rsidRDefault="00AC39F0" w:rsidP="00AC39F0">
      <w:pPr>
        <w:pStyle w:val="ESch"/>
        <w:rPr>
          <w:rFonts w:cs="Arial"/>
          <w:szCs w:val="20"/>
          <w:lang w:val="en-US"/>
        </w:rPr>
      </w:pPr>
    </w:p>
    <w:p w:rsidR="00AC39F0" w:rsidRPr="00C903F8" w:rsidRDefault="00AC39F0" w:rsidP="00AC39F0">
      <w:pPr>
        <w:pStyle w:val="ESch"/>
        <w:rPr>
          <w:rFonts w:cs="Arial"/>
          <w:szCs w:val="20"/>
          <w:lang w:val="en-US"/>
        </w:rPr>
      </w:pPr>
    </w:p>
    <w:p w:rsidR="00AC39F0" w:rsidRPr="00C903F8" w:rsidRDefault="00AC39F0" w:rsidP="00AC39F0">
      <w:pPr>
        <w:pStyle w:val="ES-Titre3"/>
        <w:rPr>
          <w:rFonts w:cs="Arial"/>
          <w:i/>
          <w:lang w:val="en-US"/>
        </w:rPr>
      </w:pPr>
      <w:bookmarkStart w:id="177" w:name="_Toc491854165"/>
      <w:r w:rsidRPr="00C903F8">
        <w:rPr>
          <w:noProof/>
          <w:lang w:val="en-US"/>
        </w:rPr>
        <w:t>Article 18.0</w:t>
      </w:r>
      <w:r w:rsidR="00CF5E0F" w:rsidRPr="00C903F8">
        <w:rPr>
          <w:noProof/>
          <w:lang w:val="en-US"/>
        </w:rPr>
        <w:t>8</w:t>
      </w:r>
      <w:r w:rsidRPr="00C903F8">
        <w:rPr>
          <w:bCs/>
          <w:noProof/>
          <w:lang w:val="en-US"/>
        </w:rPr>
        <w:br/>
      </w:r>
      <w:r w:rsidRPr="00C903F8">
        <w:rPr>
          <w:i/>
          <w:noProof/>
          <w:lang w:val="en-US"/>
        </w:rPr>
        <w:t>Non-conformity with the type</w:t>
      </w:r>
      <w:r w:rsidR="00433D99" w:rsidRPr="00C903F8">
        <w:rPr>
          <w:i/>
          <w:lang w:val="en-US"/>
        </w:rPr>
        <w:t>-</w:t>
      </w:r>
      <w:r w:rsidRPr="00C903F8">
        <w:rPr>
          <w:i/>
          <w:noProof/>
          <w:lang w:val="en-US"/>
        </w:rPr>
        <w:t>approved on-board sewage treatment plant type</w:t>
      </w:r>
      <w:bookmarkEnd w:id="177"/>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1.</w:t>
      </w:r>
      <w:r w:rsidRPr="00C903F8">
        <w:rPr>
          <w:szCs w:val="20"/>
          <w:lang w:val="en-US"/>
        </w:rPr>
        <w:tab/>
      </w:r>
      <w:r w:rsidRPr="00C903F8">
        <w:rPr>
          <w:noProof/>
          <w:szCs w:val="20"/>
          <w:lang w:val="en-US"/>
        </w:rPr>
        <w:t>Non-conformity with the type</w:t>
      </w:r>
      <w:r w:rsidR="00433D99" w:rsidRPr="00C903F8">
        <w:rPr>
          <w:szCs w:val="20"/>
          <w:lang w:val="en-US"/>
        </w:rPr>
        <w:t>-</w:t>
      </w:r>
      <w:r w:rsidRPr="00C903F8">
        <w:rPr>
          <w:noProof/>
          <w:szCs w:val="20"/>
          <w:lang w:val="en-US"/>
        </w:rPr>
        <w:t>approved on</w:t>
      </w:r>
      <w:r w:rsidR="00433D99" w:rsidRPr="00C903F8">
        <w:rPr>
          <w:szCs w:val="20"/>
          <w:lang w:val="en-US"/>
        </w:rPr>
        <w:t>-</w:t>
      </w:r>
      <w:r w:rsidRPr="00C903F8">
        <w:rPr>
          <w:noProof/>
          <w:szCs w:val="20"/>
          <w:lang w:val="en-US"/>
        </w:rPr>
        <w:t>board sewage treatment plant type shall be deemed to exist when there are deviations from the characteristics in the type approval certificate or, as the case may be, from the information package which have not been approved in accordance with Article 18.04(3) by the competent authority which issued the type approval.</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2.</w:t>
      </w:r>
      <w:r w:rsidRPr="00C903F8">
        <w:rPr>
          <w:szCs w:val="20"/>
          <w:lang w:val="en-US"/>
        </w:rPr>
        <w:tab/>
      </w:r>
      <w:r w:rsidRPr="00C903F8">
        <w:rPr>
          <w:noProof/>
          <w:szCs w:val="20"/>
          <w:lang w:val="en-US"/>
        </w:rPr>
        <w:t>Should the competent authority which has issued a type approval find that on</w:t>
      </w:r>
      <w:r w:rsidR="00433D99" w:rsidRPr="00C903F8">
        <w:rPr>
          <w:szCs w:val="20"/>
          <w:lang w:val="en-US"/>
        </w:rPr>
        <w:t>-</w:t>
      </w:r>
      <w:r w:rsidRPr="00C903F8">
        <w:rPr>
          <w:noProof/>
          <w:szCs w:val="20"/>
          <w:lang w:val="en-US"/>
        </w:rPr>
        <w:t>board sewage treatment plants do not conform with the on</w:t>
      </w:r>
      <w:r w:rsidR="00433D99" w:rsidRPr="00C903F8">
        <w:rPr>
          <w:szCs w:val="20"/>
          <w:lang w:val="en-US"/>
        </w:rPr>
        <w:t>-</w:t>
      </w:r>
      <w:r w:rsidRPr="00C903F8">
        <w:rPr>
          <w:noProof/>
          <w:szCs w:val="20"/>
          <w:lang w:val="en-US"/>
        </w:rPr>
        <w:t>board sewage treatment plant type for which it issued the approval, it shall take the necessary measures to ensure that on</w:t>
      </w:r>
      <w:r w:rsidR="00433D99" w:rsidRPr="00C903F8">
        <w:rPr>
          <w:szCs w:val="20"/>
          <w:lang w:val="en-US"/>
        </w:rPr>
        <w:t>-</w:t>
      </w:r>
      <w:r w:rsidRPr="00C903F8">
        <w:rPr>
          <w:noProof/>
          <w:szCs w:val="20"/>
          <w:lang w:val="en-US"/>
        </w:rPr>
        <w:t>board sewage treatment plants in production again conform with the type</w:t>
      </w:r>
      <w:r w:rsidR="00433D99" w:rsidRPr="00C903F8">
        <w:rPr>
          <w:szCs w:val="20"/>
          <w:lang w:val="en-US"/>
        </w:rPr>
        <w:t>-</w:t>
      </w:r>
      <w:r w:rsidRPr="00C903F8">
        <w:rPr>
          <w:noProof/>
          <w:szCs w:val="20"/>
          <w:lang w:val="en-US"/>
        </w:rPr>
        <w:t>approved on</w:t>
      </w:r>
      <w:r w:rsidR="00433D99" w:rsidRPr="00C903F8">
        <w:rPr>
          <w:szCs w:val="20"/>
          <w:lang w:val="en-US"/>
        </w:rPr>
        <w:t>-</w:t>
      </w:r>
      <w:r w:rsidRPr="00C903F8">
        <w:rPr>
          <w:noProof/>
          <w:szCs w:val="20"/>
          <w:lang w:val="en-US"/>
        </w:rPr>
        <w:t>board sewage treatment plant type. The competent authority which found the non</w:t>
      </w:r>
      <w:r w:rsidR="00433D99" w:rsidRPr="00C903F8">
        <w:rPr>
          <w:szCs w:val="20"/>
          <w:lang w:val="en-US"/>
        </w:rPr>
        <w:t>-</w:t>
      </w:r>
      <w:r w:rsidRPr="00C903F8">
        <w:rPr>
          <w:noProof/>
          <w:szCs w:val="20"/>
          <w:lang w:val="en-US"/>
        </w:rPr>
        <w:t>conformity shall inform the other competent authorities of the measures taken, which may extend to withdrawal of the type approval.</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3.</w:t>
      </w:r>
      <w:r w:rsidRPr="00C903F8">
        <w:rPr>
          <w:szCs w:val="20"/>
          <w:lang w:val="en-US"/>
        </w:rPr>
        <w:tab/>
      </w:r>
      <w:r w:rsidRPr="00C903F8">
        <w:rPr>
          <w:noProof/>
          <w:szCs w:val="20"/>
          <w:lang w:val="en-US"/>
        </w:rPr>
        <w:t>If a competent authority is able to demonstrate that on</w:t>
      </w:r>
      <w:r w:rsidR="00433D99" w:rsidRPr="00C903F8">
        <w:rPr>
          <w:szCs w:val="20"/>
          <w:lang w:val="en-US"/>
        </w:rPr>
        <w:t>-</w:t>
      </w:r>
      <w:r w:rsidRPr="00C903F8">
        <w:rPr>
          <w:noProof/>
          <w:szCs w:val="20"/>
          <w:lang w:val="en-US"/>
        </w:rPr>
        <w:t>board sewage treatment plants provided with a type approval number do not conform with the type</w:t>
      </w:r>
      <w:r w:rsidR="00433D99" w:rsidRPr="00C903F8">
        <w:rPr>
          <w:szCs w:val="20"/>
          <w:lang w:val="en-US"/>
        </w:rPr>
        <w:t>-</w:t>
      </w:r>
      <w:r w:rsidRPr="00C903F8">
        <w:rPr>
          <w:noProof/>
          <w:szCs w:val="20"/>
          <w:lang w:val="en-US"/>
        </w:rPr>
        <w:t>approved on</w:t>
      </w:r>
      <w:r w:rsidR="00433D99" w:rsidRPr="00C903F8">
        <w:rPr>
          <w:szCs w:val="20"/>
          <w:lang w:val="en-US"/>
        </w:rPr>
        <w:t>-</w:t>
      </w:r>
      <w:r w:rsidRPr="00C903F8">
        <w:rPr>
          <w:noProof/>
          <w:szCs w:val="20"/>
          <w:lang w:val="en-US"/>
        </w:rPr>
        <w:t>board sewage treatment plant type, it may require the competent authority which issued the type approval to have the on</w:t>
      </w:r>
      <w:r w:rsidR="00433D99" w:rsidRPr="00C903F8">
        <w:rPr>
          <w:szCs w:val="20"/>
          <w:lang w:val="en-US"/>
        </w:rPr>
        <w:t>-</w:t>
      </w:r>
      <w:r w:rsidRPr="00C903F8">
        <w:rPr>
          <w:noProof/>
          <w:szCs w:val="20"/>
          <w:lang w:val="en-US"/>
        </w:rPr>
        <w:t>board sewage treatment plant type that is in production checked for conformity with the type</w:t>
      </w:r>
      <w:r w:rsidR="00433D99" w:rsidRPr="00C903F8">
        <w:rPr>
          <w:szCs w:val="20"/>
          <w:lang w:val="en-US"/>
        </w:rPr>
        <w:t>­</w:t>
      </w:r>
      <w:r w:rsidRPr="00C903F8">
        <w:rPr>
          <w:noProof/>
          <w:szCs w:val="20"/>
          <w:lang w:val="en-US"/>
        </w:rPr>
        <w:t>approved on</w:t>
      </w:r>
      <w:r w:rsidR="00433D99" w:rsidRPr="00C903F8">
        <w:rPr>
          <w:szCs w:val="20"/>
          <w:lang w:val="en-US"/>
        </w:rPr>
        <w:t>-</w:t>
      </w:r>
      <w:r w:rsidRPr="00C903F8">
        <w:rPr>
          <w:noProof/>
          <w:szCs w:val="20"/>
          <w:lang w:val="en-US"/>
        </w:rPr>
        <w:t>board sewage treatment plant type. Such action shall be taken within six months of the date of the request.</w:t>
      </w:r>
    </w:p>
    <w:p w:rsidR="00AC39F0" w:rsidRPr="00C903F8" w:rsidRDefault="00AC39F0" w:rsidP="00AC39F0">
      <w:pPr>
        <w:pStyle w:val="ESch"/>
        <w:rPr>
          <w:rFonts w:cs="Arial"/>
          <w:szCs w:val="20"/>
          <w:lang w:val="en-US"/>
        </w:rPr>
      </w:pPr>
    </w:p>
    <w:p w:rsidR="00AC39F0" w:rsidRPr="00C903F8" w:rsidRDefault="00AC39F0" w:rsidP="00AC39F0">
      <w:pPr>
        <w:pStyle w:val="ESch"/>
        <w:rPr>
          <w:rFonts w:cs="Arial"/>
          <w:szCs w:val="20"/>
          <w:lang w:val="en-US"/>
        </w:rPr>
      </w:pPr>
    </w:p>
    <w:p w:rsidR="003216FC" w:rsidRPr="00C903F8" w:rsidRDefault="003216FC" w:rsidP="00AC39F0">
      <w:pPr>
        <w:pStyle w:val="ESch"/>
        <w:rPr>
          <w:rFonts w:cs="Arial"/>
          <w:szCs w:val="20"/>
          <w:lang w:val="en-US"/>
        </w:rPr>
      </w:pPr>
      <w:r w:rsidRPr="00C903F8">
        <w:rPr>
          <w:rFonts w:cs="Arial"/>
          <w:szCs w:val="20"/>
          <w:lang w:val="en-US"/>
        </w:rPr>
        <w:br w:type="page"/>
      </w:r>
    </w:p>
    <w:p w:rsidR="00AC39F0" w:rsidRPr="00C903F8" w:rsidRDefault="00AC39F0" w:rsidP="00AC39F0">
      <w:pPr>
        <w:pStyle w:val="ES-Titre3"/>
        <w:rPr>
          <w:rFonts w:cs="Arial"/>
          <w:i/>
          <w:lang w:val="en-US"/>
        </w:rPr>
      </w:pPr>
      <w:bookmarkStart w:id="178" w:name="_Toc491854166"/>
      <w:r w:rsidRPr="00C903F8">
        <w:rPr>
          <w:noProof/>
          <w:lang w:val="en-US"/>
        </w:rPr>
        <w:lastRenderedPageBreak/>
        <w:t>Article 18.</w:t>
      </w:r>
      <w:r w:rsidR="00CF5E0F" w:rsidRPr="00C903F8">
        <w:rPr>
          <w:noProof/>
          <w:lang w:val="en-US"/>
        </w:rPr>
        <w:t>09</w:t>
      </w:r>
      <w:r w:rsidRPr="00C903F8">
        <w:rPr>
          <w:bCs/>
          <w:noProof/>
          <w:lang w:val="en-US"/>
        </w:rPr>
        <w:br/>
      </w:r>
      <w:r w:rsidRPr="00C903F8">
        <w:rPr>
          <w:i/>
          <w:noProof/>
          <w:lang w:val="en-US"/>
        </w:rPr>
        <w:t>Random sample measurement / Special test</w:t>
      </w:r>
      <w:bookmarkEnd w:id="178"/>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1.</w:t>
      </w:r>
      <w:r w:rsidRPr="00C903F8">
        <w:rPr>
          <w:szCs w:val="20"/>
          <w:lang w:val="en-US"/>
        </w:rPr>
        <w:tab/>
      </w:r>
      <w:r w:rsidRPr="00C903F8">
        <w:rPr>
          <w:noProof/>
          <w:szCs w:val="20"/>
          <w:lang w:val="en-US"/>
        </w:rPr>
        <w:t xml:space="preserve">No later than three months after the commissioning of the </w:t>
      </w:r>
      <w:r w:rsidR="00C509E3" w:rsidRPr="00C903F8">
        <w:rPr>
          <w:noProof/>
          <w:szCs w:val="20"/>
          <w:lang w:val="en-US"/>
        </w:rPr>
        <w:t>craft</w:t>
      </w:r>
      <w:r w:rsidRPr="00C903F8">
        <w:rPr>
          <w:noProof/>
          <w:szCs w:val="20"/>
          <w:lang w:val="en-US"/>
        </w:rPr>
        <w:t xml:space="preserve"> or, in the case of retrofitting of the on</w:t>
      </w:r>
      <w:r w:rsidR="00433D99" w:rsidRPr="00C903F8">
        <w:rPr>
          <w:szCs w:val="20"/>
          <w:lang w:val="en-US"/>
        </w:rPr>
        <w:t>-</w:t>
      </w:r>
      <w:r w:rsidRPr="00C903F8">
        <w:rPr>
          <w:noProof/>
          <w:szCs w:val="20"/>
          <w:lang w:val="en-US"/>
        </w:rPr>
        <w:t xml:space="preserve">board sewage treatment plant, after it has been installed and the appropriate performance test has been carried out, the competent authority shall take a random sample during operation of the </w:t>
      </w:r>
      <w:r w:rsidR="00C509E3" w:rsidRPr="00C903F8">
        <w:rPr>
          <w:noProof/>
          <w:szCs w:val="20"/>
          <w:lang w:val="en-US"/>
        </w:rPr>
        <w:t>craft</w:t>
      </w:r>
      <w:r w:rsidRPr="00C903F8">
        <w:rPr>
          <w:noProof/>
          <w:szCs w:val="20"/>
          <w:lang w:val="en-US"/>
        </w:rPr>
        <w:t xml:space="preserve"> in order to check the values set out in Article 18.01(2), Table 2.</w:t>
      </w:r>
    </w:p>
    <w:p w:rsidR="00AC39F0" w:rsidRPr="00C903F8" w:rsidRDefault="00AC39F0" w:rsidP="00AC39F0">
      <w:pPr>
        <w:pStyle w:val="ESchpar"/>
        <w:rPr>
          <w:noProof/>
          <w:lang w:val="en-US"/>
        </w:rPr>
      </w:pPr>
    </w:p>
    <w:p w:rsidR="00AC39F0" w:rsidRPr="00C903F8" w:rsidRDefault="00AC39F0" w:rsidP="00AC39F0">
      <w:pPr>
        <w:pStyle w:val="ESchpar"/>
        <w:rPr>
          <w:rFonts w:cs="Arial"/>
          <w:lang w:val="en-US"/>
        </w:rPr>
      </w:pPr>
      <w:r w:rsidRPr="00C903F8">
        <w:rPr>
          <w:noProof/>
          <w:lang w:val="en-US"/>
        </w:rPr>
        <w:t>At irregular intervals the competent authority shall carry out functionality checks on the on-board sewage treatment plant by means of random sample measurements to check the values set out in Article 18.01(2), Table 2.</w:t>
      </w:r>
    </w:p>
    <w:p w:rsidR="00AC39F0" w:rsidRPr="00C903F8" w:rsidRDefault="00AC39F0" w:rsidP="00AC39F0">
      <w:pPr>
        <w:pStyle w:val="ESchpar"/>
        <w:rPr>
          <w:noProof/>
          <w:lang w:val="en-US"/>
        </w:rPr>
      </w:pPr>
    </w:p>
    <w:p w:rsidR="00AC39F0" w:rsidRPr="00C903F8" w:rsidRDefault="00AC39F0" w:rsidP="00AC39F0">
      <w:pPr>
        <w:pStyle w:val="ESchpar"/>
        <w:rPr>
          <w:rFonts w:cs="Arial"/>
          <w:lang w:val="en-US"/>
        </w:rPr>
      </w:pPr>
      <w:r w:rsidRPr="00C903F8">
        <w:rPr>
          <w:noProof/>
          <w:lang w:val="en-US"/>
        </w:rPr>
        <w:t>Should the competent authority find that the values of the random sample measurements do not conform with the values set out in Article 18.01(1), Table 2, it may demand:</w:t>
      </w:r>
    </w:p>
    <w:p w:rsidR="00AC39F0" w:rsidRPr="00C903F8" w:rsidRDefault="005C7859" w:rsidP="00AC39F0">
      <w:pPr>
        <w:pStyle w:val="ESlet"/>
        <w:rPr>
          <w:rFonts w:cs="Arial"/>
          <w:lang w:val="en-US"/>
        </w:rPr>
      </w:pPr>
      <w:r w:rsidRPr="00C903F8">
        <w:rPr>
          <w:noProof/>
          <w:lang w:val="en-US"/>
        </w:rPr>
        <w:t>a)</w:t>
      </w:r>
      <w:r w:rsidR="00AC39F0" w:rsidRPr="00C903F8">
        <w:rPr>
          <w:noProof/>
          <w:lang w:val="en-US"/>
        </w:rPr>
        <w:t xml:space="preserve"> </w:t>
      </w:r>
      <w:r w:rsidR="00AC39F0" w:rsidRPr="00C903F8">
        <w:rPr>
          <w:lang w:val="en-US"/>
        </w:rPr>
        <w:tab/>
      </w:r>
      <w:r w:rsidR="00AC39F0" w:rsidRPr="00C903F8">
        <w:rPr>
          <w:noProof/>
          <w:lang w:val="en-US"/>
        </w:rPr>
        <w:t>that the defects in the on</w:t>
      </w:r>
      <w:r w:rsidR="00433D99" w:rsidRPr="00C903F8">
        <w:rPr>
          <w:lang w:val="en-US"/>
        </w:rPr>
        <w:t>-</w:t>
      </w:r>
      <w:r w:rsidR="00AC39F0" w:rsidRPr="00C903F8">
        <w:rPr>
          <w:noProof/>
          <w:lang w:val="en-US"/>
        </w:rPr>
        <w:t>board sewage treatment plant be remedied so as to ensure that it runs properly;</w:t>
      </w:r>
    </w:p>
    <w:p w:rsidR="00AC39F0" w:rsidRPr="00C903F8" w:rsidRDefault="005C7859" w:rsidP="00AC39F0">
      <w:pPr>
        <w:pStyle w:val="ESlet"/>
        <w:rPr>
          <w:rFonts w:cs="Arial"/>
          <w:lang w:val="en-US"/>
        </w:rPr>
      </w:pPr>
      <w:r w:rsidRPr="00C903F8">
        <w:rPr>
          <w:noProof/>
          <w:lang w:val="en-US"/>
        </w:rPr>
        <w:t>b)</w:t>
      </w:r>
      <w:r w:rsidR="00AC39F0" w:rsidRPr="00C903F8">
        <w:rPr>
          <w:noProof/>
          <w:lang w:val="en-US"/>
        </w:rPr>
        <w:t xml:space="preserve"> </w:t>
      </w:r>
      <w:r w:rsidR="00AC39F0" w:rsidRPr="00C903F8">
        <w:rPr>
          <w:lang w:val="en-US"/>
        </w:rPr>
        <w:tab/>
      </w:r>
      <w:r w:rsidR="00AC39F0" w:rsidRPr="00C903F8">
        <w:rPr>
          <w:noProof/>
          <w:lang w:val="en-US"/>
        </w:rPr>
        <w:t>that the on</w:t>
      </w:r>
      <w:r w:rsidR="00433D99" w:rsidRPr="00C903F8">
        <w:rPr>
          <w:lang w:val="en-US"/>
        </w:rPr>
        <w:t>-</w:t>
      </w:r>
      <w:r w:rsidR="00AC39F0" w:rsidRPr="00C903F8">
        <w:rPr>
          <w:noProof/>
          <w:lang w:val="en-US"/>
        </w:rPr>
        <w:t>board sewage treatment plant be made to conform with the type approval again; or</w:t>
      </w:r>
    </w:p>
    <w:p w:rsidR="00AC39F0" w:rsidRDefault="005C7859" w:rsidP="00AC39F0">
      <w:pPr>
        <w:pStyle w:val="ESlet"/>
        <w:rPr>
          <w:noProof/>
          <w:lang w:val="en-US"/>
        </w:rPr>
      </w:pPr>
      <w:r w:rsidRPr="00C903F8">
        <w:rPr>
          <w:noProof/>
          <w:lang w:val="en-US"/>
        </w:rPr>
        <w:t>c)</w:t>
      </w:r>
      <w:r w:rsidR="00AC39F0" w:rsidRPr="00C903F8">
        <w:rPr>
          <w:noProof/>
          <w:lang w:val="en-US"/>
        </w:rPr>
        <w:t xml:space="preserve"> </w:t>
      </w:r>
      <w:r w:rsidR="00AC39F0" w:rsidRPr="00C903F8">
        <w:rPr>
          <w:lang w:val="en-US"/>
        </w:rPr>
        <w:tab/>
      </w:r>
      <w:r w:rsidR="00AC39F0" w:rsidRPr="00C903F8">
        <w:rPr>
          <w:noProof/>
          <w:lang w:val="en-US"/>
        </w:rPr>
        <w:t xml:space="preserve">that a special test be carried out in accordance with </w:t>
      </w:r>
      <w:r w:rsidR="00FD1E75" w:rsidRPr="00C903F8">
        <w:rPr>
          <w:noProof/>
          <w:lang w:val="en-US"/>
        </w:rPr>
        <w:t>(</w:t>
      </w:r>
      <w:r w:rsidR="00AC39F0" w:rsidRPr="00C903F8">
        <w:rPr>
          <w:noProof/>
          <w:lang w:val="en-US"/>
        </w:rPr>
        <w:t>3</w:t>
      </w:r>
      <w:r w:rsidR="00FD1E75" w:rsidRPr="00C903F8">
        <w:rPr>
          <w:noProof/>
          <w:lang w:val="en-US"/>
        </w:rPr>
        <w:t>)</w:t>
      </w:r>
      <w:r w:rsidR="00AC39F0" w:rsidRPr="00C903F8">
        <w:rPr>
          <w:noProof/>
          <w:lang w:val="en-US"/>
        </w:rPr>
        <w:t>.</w:t>
      </w:r>
    </w:p>
    <w:p w:rsidR="005714D9" w:rsidRPr="00C903F8" w:rsidRDefault="005714D9" w:rsidP="00AC39F0">
      <w:pPr>
        <w:pStyle w:val="ESlet"/>
        <w:rPr>
          <w:rFonts w:cs="Arial"/>
          <w:lang w:val="en-US"/>
        </w:rPr>
      </w:pPr>
    </w:p>
    <w:p w:rsidR="00AC39F0" w:rsidRPr="005714D9" w:rsidRDefault="00AC39F0" w:rsidP="005714D9">
      <w:pPr>
        <w:pStyle w:val="ESchpar"/>
        <w:rPr>
          <w:noProof/>
          <w:lang w:val="en-US"/>
        </w:rPr>
      </w:pPr>
      <w:r w:rsidRPr="00C903F8">
        <w:rPr>
          <w:noProof/>
          <w:lang w:val="en-US"/>
        </w:rPr>
        <w:t>Once the non-conformities have been remedied and the on</w:t>
      </w:r>
      <w:r w:rsidR="00433D99" w:rsidRPr="00C903F8">
        <w:rPr>
          <w:noProof/>
          <w:lang w:val="en-US"/>
        </w:rPr>
        <w:t>-</w:t>
      </w:r>
      <w:r w:rsidRPr="00C903F8">
        <w:rPr>
          <w:noProof/>
          <w:lang w:val="en-US"/>
        </w:rPr>
        <w:t>board sewage treatment plant has been made to conform with the type approval again, the competent authority may carry out new random sample measurements</w:t>
      </w:r>
      <w:r w:rsidR="00F548A5" w:rsidRPr="00C903F8">
        <w:rPr>
          <w:noProof/>
          <w:lang w:val="en-US"/>
        </w:rPr>
        <w:t>.</w:t>
      </w:r>
    </w:p>
    <w:p w:rsidR="00AC39F0" w:rsidRPr="005714D9" w:rsidRDefault="00AC39F0" w:rsidP="005714D9">
      <w:pPr>
        <w:pStyle w:val="ESchpar"/>
        <w:rPr>
          <w:noProof/>
          <w:lang w:val="en-US"/>
        </w:rPr>
      </w:pPr>
      <w:r w:rsidRPr="00C903F8">
        <w:rPr>
          <w:noProof/>
          <w:lang w:val="en-US"/>
        </w:rPr>
        <w:t>If the defects are not remedied or the conformity of the on</w:t>
      </w:r>
      <w:r w:rsidR="00433D99" w:rsidRPr="00C903F8">
        <w:rPr>
          <w:noProof/>
          <w:lang w:val="en-US"/>
        </w:rPr>
        <w:t>-</w:t>
      </w:r>
      <w:r w:rsidRPr="00C903F8">
        <w:rPr>
          <w:noProof/>
          <w:lang w:val="en-US"/>
        </w:rPr>
        <w:t>board sewage treatment plant with the specifications of the type approval is not restored, the competent authority shall seal the on</w:t>
      </w:r>
      <w:r w:rsidR="00433D99" w:rsidRPr="00C903F8">
        <w:rPr>
          <w:noProof/>
          <w:lang w:val="en-US"/>
        </w:rPr>
        <w:t>-</w:t>
      </w:r>
      <w:r w:rsidRPr="00C903F8">
        <w:rPr>
          <w:noProof/>
          <w:lang w:val="en-US"/>
        </w:rPr>
        <w:t>board sewage treatment plant and inform the inspection body to make an entry to that effect in item 52 of the inland navigation vessel certificate.</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2.</w:t>
      </w:r>
      <w:r w:rsidRPr="00C903F8">
        <w:rPr>
          <w:szCs w:val="20"/>
          <w:lang w:val="en-US"/>
        </w:rPr>
        <w:tab/>
      </w:r>
      <w:r w:rsidRPr="00C903F8">
        <w:rPr>
          <w:noProof/>
          <w:szCs w:val="20"/>
          <w:lang w:val="en-US"/>
        </w:rPr>
        <w:t>The random samples shall be measured in accordance with the specifications of Article Article 18.01(2), Table 2.</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3.</w:t>
      </w:r>
      <w:r w:rsidRPr="00C903F8">
        <w:rPr>
          <w:szCs w:val="20"/>
          <w:lang w:val="en-US"/>
        </w:rPr>
        <w:tab/>
      </w:r>
      <w:r w:rsidRPr="00C903F8">
        <w:rPr>
          <w:noProof/>
          <w:szCs w:val="20"/>
          <w:lang w:val="en-US"/>
        </w:rPr>
        <w:t>Should the competent authority find any discrepancies in the on</w:t>
      </w:r>
      <w:r w:rsidR="00433D99" w:rsidRPr="00C903F8">
        <w:rPr>
          <w:szCs w:val="20"/>
          <w:lang w:val="en-US"/>
        </w:rPr>
        <w:t>-</w:t>
      </w:r>
      <w:r w:rsidRPr="00C903F8">
        <w:rPr>
          <w:noProof/>
          <w:szCs w:val="20"/>
          <w:lang w:val="en-US"/>
        </w:rPr>
        <w:t>board sewage treatment plant indicating a deviation from the type approval, the competent authority shall carry out a special test to determine the present state of the on</w:t>
      </w:r>
      <w:r w:rsidR="00433D99" w:rsidRPr="00C903F8">
        <w:rPr>
          <w:szCs w:val="20"/>
          <w:lang w:val="en-US"/>
        </w:rPr>
        <w:t>-</w:t>
      </w:r>
      <w:r w:rsidRPr="00C903F8">
        <w:rPr>
          <w:noProof/>
          <w:szCs w:val="20"/>
          <w:lang w:val="en-US"/>
        </w:rPr>
        <w:t>board sewage treatment plant in relation to the components specified in the on-board sewage treatment plant parameters record, the calibration and the setting of the parameters of the on-board sewage treatment plant.</w:t>
      </w:r>
    </w:p>
    <w:p w:rsidR="00AC39F0" w:rsidRPr="00C903F8" w:rsidRDefault="00AC39F0" w:rsidP="00AC39F0">
      <w:pPr>
        <w:pStyle w:val="ESch"/>
        <w:rPr>
          <w:noProof/>
          <w:szCs w:val="20"/>
          <w:lang w:val="en-US"/>
        </w:rPr>
      </w:pPr>
    </w:p>
    <w:p w:rsidR="00AC39F0" w:rsidRPr="00C903F8" w:rsidRDefault="00AC39F0" w:rsidP="00AC39F0">
      <w:pPr>
        <w:pStyle w:val="ESchpar"/>
        <w:rPr>
          <w:rFonts w:cs="Arial"/>
          <w:lang w:val="en-US"/>
        </w:rPr>
      </w:pPr>
      <w:r w:rsidRPr="00C903F8">
        <w:rPr>
          <w:noProof/>
          <w:lang w:val="en-US"/>
        </w:rPr>
        <w:t>Should the competent authority come to the conclusion that the on</w:t>
      </w:r>
      <w:r w:rsidR="00433D99" w:rsidRPr="00C903F8">
        <w:rPr>
          <w:lang w:val="en-US"/>
        </w:rPr>
        <w:t>-</w:t>
      </w:r>
      <w:r w:rsidRPr="00C903F8">
        <w:rPr>
          <w:noProof/>
          <w:lang w:val="en-US"/>
        </w:rPr>
        <w:t>board sewage treatment plant is not in conformity with the type</w:t>
      </w:r>
      <w:r w:rsidR="00977812" w:rsidRPr="00C903F8">
        <w:rPr>
          <w:lang w:val="en-US"/>
        </w:rPr>
        <w:t>-</w:t>
      </w:r>
      <w:r w:rsidRPr="00C903F8">
        <w:rPr>
          <w:noProof/>
          <w:lang w:val="en-US"/>
        </w:rPr>
        <w:t>approved on-board sewage treatment plant type, it may take the following actions:</w:t>
      </w:r>
    </w:p>
    <w:p w:rsidR="00AC39F0" w:rsidRPr="00C903F8" w:rsidRDefault="005C7859" w:rsidP="00AC39F0">
      <w:pPr>
        <w:pStyle w:val="ESlet"/>
        <w:rPr>
          <w:rFonts w:cs="Arial"/>
          <w:lang w:val="en-US"/>
        </w:rPr>
      </w:pPr>
      <w:r w:rsidRPr="00C903F8">
        <w:rPr>
          <w:noProof/>
          <w:lang w:val="en-US"/>
        </w:rPr>
        <w:t>a)</w:t>
      </w:r>
      <w:r w:rsidR="00AC39F0" w:rsidRPr="00C903F8">
        <w:rPr>
          <w:lang w:val="en-US"/>
        </w:rPr>
        <w:tab/>
      </w:r>
      <w:r w:rsidR="00AC39F0" w:rsidRPr="00C903F8">
        <w:rPr>
          <w:noProof/>
          <w:lang w:val="en-US"/>
        </w:rPr>
        <w:t>demand that</w:t>
      </w:r>
    </w:p>
    <w:p w:rsidR="00AC39F0" w:rsidRPr="00C903F8" w:rsidRDefault="0029453D" w:rsidP="00AC39F0">
      <w:pPr>
        <w:pStyle w:val="EStiret"/>
        <w:rPr>
          <w:rFonts w:cs="Arial"/>
          <w:lang w:val="en-US"/>
        </w:rPr>
      </w:pPr>
      <w:r w:rsidRPr="00C903F8">
        <w:rPr>
          <w:lang w:val="en-US"/>
        </w:rPr>
        <w:t>aa)</w:t>
      </w:r>
      <w:r w:rsidR="00AC39F0" w:rsidRPr="00C903F8">
        <w:rPr>
          <w:lang w:val="en-US"/>
        </w:rPr>
        <w:tab/>
        <w:t>the conformity of the on-board sew</w:t>
      </w:r>
      <w:r w:rsidR="009635C7" w:rsidRPr="00C903F8">
        <w:rPr>
          <w:lang w:val="en-US"/>
        </w:rPr>
        <w:t>age treatment plant be restored</w:t>
      </w:r>
      <w:r w:rsidR="00AC39F0" w:rsidRPr="00C903F8">
        <w:rPr>
          <w:lang w:val="en-US"/>
        </w:rPr>
        <w:t>; or</w:t>
      </w:r>
    </w:p>
    <w:p w:rsidR="00AC39F0" w:rsidRPr="00C903F8" w:rsidRDefault="0029453D" w:rsidP="00AC39F0">
      <w:pPr>
        <w:pStyle w:val="EStiret"/>
        <w:rPr>
          <w:rFonts w:cs="Arial"/>
          <w:lang w:val="en-US"/>
        </w:rPr>
      </w:pPr>
      <w:r w:rsidRPr="00C903F8">
        <w:rPr>
          <w:lang w:val="en-US"/>
        </w:rPr>
        <w:t>bb)</w:t>
      </w:r>
      <w:r w:rsidR="00AC39F0" w:rsidRPr="00C903F8">
        <w:rPr>
          <w:lang w:val="en-US"/>
        </w:rPr>
        <w:tab/>
        <w:t>the type approval in accordance with Article 18.04 be amended accordingly; or</w:t>
      </w:r>
    </w:p>
    <w:p w:rsidR="00AC39F0" w:rsidRDefault="005C7859" w:rsidP="00AC39F0">
      <w:pPr>
        <w:pStyle w:val="ESlet"/>
        <w:rPr>
          <w:noProof/>
          <w:lang w:val="en-US"/>
        </w:rPr>
      </w:pPr>
      <w:r w:rsidRPr="00C903F8">
        <w:rPr>
          <w:noProof/>
          <w:lang w:val="en-US"/>
        </w:rPr>
        <w:t>b)</w:t>
      </w:r>
      <w:r w:rsidR="00AC39F0" w:rsidRPr="00C903F8">
        <w:rPr>
          <w:lang w:val="en-US"/>
        </w:rPr>
        <w:tab/>
      </w:r>
      <w:r w:rsidR="00AC39F0" w:rsidRPr="00C903F8">
        <w:rPr>
          <w:noProof/>
          <w:lang w:val="en-US"/>
        </w:rPr>
        <w:t xml:space="preserve">order measurement in accordance with the test procedure as set out in Annex </w:t>
      </w:r>
      <w:r w:rsidR="00652389" w:rsidRPr="00C903F8">
        <w:rPr>
          <w:noProof/>
          <w:lang w:val="en-US"/>
        </w:rPr>
        <w:t>7, Section</w:t>
      </w:r>
      <w:r w:rsidR="00E02548" w:rsidRPr="00C903F8">
        <w:rPr>
          <w:noProof/>
          <w:lang w:val="en-US"/>
        </w:rPr>
        <w:t> </w:t>
      </w:r>
      <w:r w:rsidR="00652389" w:rsidRPr="00C903F8">
        <w:rPr>
          <w:noProof/>
          <w:lang w:val="en-US"/>
        </w:rPr>
        <w:t>IX</w:t>
      </w:r>
      <w:r w:rsidR="00AC39F0" w:rsidRPr="00C903F8">
        <w:rPr>
          <w:noProof/>
          <w:lang w:val="en-US"/>
        </w:rPr>
        <w:t>.</w:t>
      </w:r>
    </w:p>
    <w:p w:rsidR="005714D9" w:rsidRPr="00C903F8" w:rsidRDefault="005714D9" w:rsidP="00AC39F0">
      <w:pPr>
        <w:pStyle w:val="ESlet"/>
        <w:rPr>
          <w:rFonts w:cs="Arial"/>
          <w:lang w:val="en-US"/>
        </w:rPr>
      </w:pPr>
    </w:p>
    <w:p w:rsidR="00AC39F0" w:rsidRPr="00C903F8" w:rsidRDefault="00AC39F0" w:rsidP="005A6C74">
      <w:pPr>
        <w:pStyle w:val="ESletpar"/>
        <w:ind w:left="567"/>
        <w:rPr>
          <w:rFonts w:cs="Arial"/>
          <w:lang w:val="en-US"/>
        </w:rPr>
      </w:pPr>
      <w:r w:rsidRPr="00C903F8">
        <w:rPr>
          <w:noProof/>
          <w:lang w:val="en-US"/>
        </w:rPr>
        <w:t>If conformity is not restored or the type approval is not amended accordingly, or if it becomes apparent from the measurements made in accordance with (b) that the limit values laid down in Article 18.01(2)</w:t>
      </w:r>
      <w:r w:rsidR="00EE5AAD" w:rsidRPr="00C903F8">
        <w:rPr>
          <w:noProof/>
          <w:lang w:val="en-US"/>
        </w:rPr>
        <w:t>(a)</w:t>
      </w:r>
      <w:r w:rsidRPr="00C903F8">
        <w:rPr>
          <w:noProof/>
          <w:lang w:val="en-US"/>
        </w:rPr>
        <w:t>, Table 1 are not complied with, the competent authority shall seal the on</w:t>
      </w:r>
      <w:r w:rsidR="00433D99" w:rsidRPr="00C903F8">
        <w:rPr>
          <w:lang w:val="en-US"/>
        </w:rPr>
        <w:t>-</w:t>
      </w:r>
      <w:r w:rsidRPr="00C903F8">
        <w:rPr>
          <w:noProof/>
          <w:lang w:val="en-US"/>
        </w:rPr>
        <w:t>board sewage treatment plant and inform the inspection body to make an entry to that effect in item 52 of the inland navigation vessel certificate.</w:t>
      </w:r>
    </w:p>
    <w:p w:rsidR="00AC39F0" w:rsidRPr="00C903F8" w:rsidRDefault="00AC39F0" w:rsidP="00AC39F0">
      <w:pPr>
        <w:pStyle w:val="ESch"/>
        <w:rPr>
          <w:noProof/>
          <w:szCs w:val="20"/>
          <w:lang w:val="en-US"/>
        </w:rPr>
      </w:pPr>
    </w:p>
    <w:p w:rsidR="003216FC" w:rsidRPr="00C903F8" w:rsidRDefault="003216FC" w:rsidP="00AC39F0">
      <w:pPr>
        <w:pStyle w:val="ESch"/>
        <w:rPr>
          <w:noProof/>
          <w:szCs w:val="20"/>
          <w:lang w:val="en-US"/>
        </w:rPr>
      </w:pPr>
      <w:r w:rsidRPr="00C903F8">
        <w:rPr>
          <w:noProof/>
          <w:szCs w:val="20"/>
          <w:lang w:val="en-US"/>
        </w:rPr>
        <w:br w:type="page"/>
      </w:r>
    </w:p>
    <w:p w:rsidR="00AC39F0" w:rsidRPr="00C903F8" w:rsidRDefault="00AC39F0" w:rsidP="00AC39F0">
      <w:pPr>
        <w:pStyle w:val="ESch"/>
        <w:rPr>
          <w:rFonts w:cs="Arial"/>
          <w:szCs w:val="20"/>
          <w:lang w:val="en-US"/>
        </w:rPr>
      </w:pPr>
      <w:r w:rsidRPr="00C903F8">
        <w:rPr>
          <w:noProof/>
          <w:szCs w:val="20"/>
          <w:lang w:val="en-US"/>
        </w:rPr>
        <w:lastRenderedPageBreak/>
        <w:t xml:space="preserve">4. </w:t>
      </w:r>
      <w:r w:rsidRPr="00C903F8">
        <w:rPr>
          <w:szCs w:val="20"/>
          <w:lang w:val="en-US"/>
        </w:rPr>
        <w:tab/>
      </w:r>
      <w:r w:rsidRPr="00C903F8">
        <w:rPr>
          <w:noProof/>
          <w:szCs w:val="20"/>
          <w:lang w:val="en-US"/>
        </w:rPr>
        <w:t xml:space="preserve">The tests in accordance with </w:t>
      </w:r>
      <w:r w:rsidR="00FD1E75" w:rsidRPr="00C903F8">
        <w:rPr>
          <w:noProof/>
          <w:szCs w:val="20"/>
          <w:lang w:val="en-US"/>
        </w:rPr>
        <w:t>(</w:t>
      </w:r>
      <w:r w:rsidRPr="00C903F8">
        <w:rPr>
          <w:noProof/>
          <w:szCs w:val="20"/>
          <w:lang w:val="en-US"/>
        </w:rPr>
        <w:t>3</w:t>
      </w:r>
      <w:r w:rsidR="00FD1E75" w:rsidRPr="00C903F8">
        <w:rPr>
          <w:noProof/>
          <w:szCs w:val="20"/>
          <w:lang w:val="en-US"/>
        </w:rPr>
        <w:t>)</w:t>
      </w:r>
      <w:r w:rsidRPr="00C903F8">
        <w:rPr>
          <w:noProof/>
          <w:szCs w:val="20"/>
          <w:lang w:val="en-US"/>
        </w:rPr>
        <w:t xml:space="preserve"> shall be carried out on the basis of the manufacturer's guide to checking the components and parameters of the on-board sewage treatment plant relevant to sewage treatment. This guide, which shall be compiled by the manufacturer and approved by a competent authority, shall specify the treatment</w:t>
      </w:r>
      <w:r w:rsidR="000403F6" w:rsidRPr="00C903F8">
        <w:rPr>
          <w:noProof/>
          <w:szCs w:val="20"/>
          <w:lang w:val="en-US"/>
        </w:rPr>
        <w:t>-</w:t>
      </w:r>
      <w:r w:rsidRPr="00C903F8">
        <w:rPr>
          <w:noProof/>
          <w:szCs w:val="20"/>
          <w:lang w:val="en-US"/>
        </w:rPr>
        <w:t>relevant components as well as settings, dimensioning criteria and parameters to be applied in order to ensure that the values set out in Article 18.01(2), Tables 1 and 2 are continuously maintained. It shall include at least the following information:</w:t>
      </w:r>
    </w:p>
    <w:p w:rsidR="00AC39F0" w:rsidRPr="00C903F8" w:rsidRDefault="005C7859" w:rsidP="00AC39F0">
      <w:pPr>
        <w:pStyle w:val="ESlet"/>
        <w:rPr>
          <w:rFonts w:cs="Arial"/>
          <w:lang w:val="en-US"/>
        </w:rPr>
      </w:pPr>
      <w:r w:rsidRPr="00C903F8">
        <w:rPr>
          <w:noProof/>
          <w:lang w:val="en-US"/>
        </w:rPr>
        <w:t>a)</w:t>
      </w:r>
      <w:r w:rsidR="00AC39F0" w:rsidRPr="00C903F8">
        <w:rPr>
          <w:lang w:val="en-US"/>
        </w:rPr>
        <w:tab/>
      </w:r>
      <w:r w:rsidR="00AC39F0" w:rsidRPr="00C903F8">
        <w:rPr>
          <w:noProof/>
          <w:lang w:val="en-US"/>
        </w:rPr>
        <w:t>a specification of the on</w:t>
      </w:r>
      <w:r w:rsidR="00433D99" w:rsidRPr="00C903F8">
        <w:rPr>
          <w:lang w:val="en-US"/>
        </w:rPr>
        <w:t>-</w:t>
      </w:r>
      <w:r w:rsidR="00AC39F0" w:rsidRPr="00C903F8">
        <w:rPr>
          <w:noProof/>
          <w:lang w:val="en-US"/>
        </w:rPr>
        <w:t>board sewage treatment plant type with a process description and an indication of whether waste</w:t>
      </w:r>
      <w:r w:rsidR="00433D99" w:rsidRPr="00C903F8">
        <w:rPr>
          <w:lang w:val="en-US"/>
        </w:rPr>
        <w:t>-</w:t>
      </w:r>
      <w:r w:rsidR="00AC39F0" w:rsidRPr="00C903F8">
        <w:rPr>
          <w:noProof/>
          <w:lang w:val="en-US"/>
        </w:rPr>
        <w:t>water storage tanks are to be installed upstream of the on</w:t>
      </w:r>
      <w:r w:rsidR="00433D99" w:rsidRPr="00C903F8">
        <w:rPr>
          <w:noProof/>
          <w:lang w:val="en-US"/>
        </w:rPr>
        <w:t>­</w:t>
      </w:r>
      <w:r w:rsidR="00AC39F0" w:rsidRPr="00C903F8">
        <w:rPr>
          <w:noProof/>
          <w:lang w:val="en-US"/>
        </w:rPr>
        <w:t>board sewage treatment plant;</w:t>
      </w:r>
    </w:p>
    <w:p w:rsidR="00AC39F0" w:rsidRPr="00C903F8" w:rsidRDefault="005C7859" w:rsidP="00AC39F0">
      <w:pPr>
        <w:pStyle w:val="ESlet"/>
        <w:rPr>
          <w:rFonts w:cs="Arial"/>
          <w:lang w:val="en-US"/>
        </w:rPr>
      </w:pPr>
      <w:r w:rsidRPr="00C903F8">
        <w:rPr>
          <w:noProof/>
          <w:lang w:val="en-US"/>
        </w:rPr>
        <w:t>b)</w:t>
      </w:r>
      <w:r w:rsidR="00AC39F0" w:rsidRPr="00C903F8">
        <w:rPr>
          <w:lang w:val="en-US"/>
        </w:rPr>
        <w:tab/>
      </w:r>
      <w:r w:rsidR="00AC39F0" w:rsidRPr="00C903F8">
        <w:rPr>
          <w:noProof/>
          <w:lang w:val="en-US"/>
        </w:rPr>
        <w:t>a list of the components specific to sewage treatment;</w:t>
      </w:r>
    </w:p>
    <w:p w:rsidR="00AC39F0" w:rsidRPr="00C903F8" w:rsidRDefault="005C7859" w:rsidP="00AC39F0">
      <w:pPr>
        <w:pStyle w:val="ESlet"/>
        <w:rPr>
          <w:rFonts w:cs="Arial"/>
          <w:lang w:val="en-US"/>
        </w:rPr>
      </w:pPr>
      <w:r w:rsidRPr="00C903F8">
        <w:rPr>
          <w:noProof/>
          <w:lang w:val="en-US"/>
        </w:rPr>
        <w:t>c)</w:t>
      </w:r>
      <w:r w:rsidR="00AC39F0" w:rsidRPr="00C903F8">
        <w:rPr>
          <w:lang w:val="en-US"/>
        </w:rPr>
        <w:tab/>
      </w:r>
      <w:r w:rsidR="00AC39F0" w:rsidRPr="00C903F8">
        <w:rPr>
          <w:noProof/>
          <w:lang w:val="en-US"/>
        </w:rPr>
        <w:t>the design and dimensioning criteria, dimensioning specifications and regulations applied.</w:t>
      </w:r>
    </w:p>
    <w:p w:rsidR="00AC39F0" w:rsidRPr="00C903F8" w:rsidRDefault="005C7859" w:rsidP="00AC39F0">
      <w:pPr>
        <w:pStyle w:val="ESlet"/>
        <w:rPr>
          <w:rFonts w:cs="Arial"/>
          <w:lang w:val="en-US"/>
        </w:rPr>
      </w:pPr>
      <w:r w:rsidRPr="00C903F8">
        <w:rPr>
          <w:noProof/>
          <w:lang w:val="en-US"/>
        </w:rPr>
        <w:t>d)</w:t>
      </w:r>
      <w:r w:rsidR="00AC39F0" w:rsidRPr="00C903F8">
        <w:rPr>
          <w:lang w:val="en-US"/>
        </w:rPr>
        <w:tab/>
      </w:r>
      <w:r w:rsidR="00AC39F0" w:rsidRPr="00C903F8">
        <w:rPr>
          <w:noProof/>
          <w:lang w:val="en-US"/>
        </w:rPr>
        <w:t>a schematic representation of the on-board sewage treatment plant with identifying features of the approved treatment</w:t>
      </w:r>
      <w:r w:rsidR="00433D99" w:rsidRPr="00C903F8">
        <w:rPr>
          <w:lang w:val="en-US"/>
        </w:rPr>
        <w:t>-</w:t>
      </w:r>
      <w:r w:rsidR="00AC39F0" w:rsidRPr="00C903F8">
        <w:rPr>
          <w:noProof/>
          <w:lang w:val="en-US"/>
        </w:rPr>
        <w:t>relevant components (e.g. part numbers on the components).</w:t>
      </w:r>
    </w:p>
    <w:p w:rsidR="00AC39F0" w:rsidRPr="00C903F8" w:rsidRDefault="00AC39F0" w:rsidP="00AC39F0">
      <w:pPr>
        <w:pStyle w:val="ESch"/>
        <w:rPr>
          <w:noProof/>
          <w:szCs w:val="20"/>
          <w:lang w:val="en-US"/>
        </w:rPr>
      </w:pPr>
    </w:p>
    <w:p w:rsidR="00AC39F0" w:rsidRPr="00C903F8" w:rsidRDefault="00AC39F0" w:rsidP="00AC39F0">
      <w:pPr>
        <w:pStyle w:val="ESch"/>
        <w:rPr>
          <w:rFonts w:cs="Arial"/>
          <w:szCs w:val="20"/>
          <w:lang w:val="en-US"/>
        </w:rPr>
      </w:pPr>
      <w:r w:rsidRPr="00C903F8">
        <w:rPr>
          <w:noProof/>
          <w:szCs w:val="20"/>
          <w:lang w:val="en-US"/>
        </w:rPr>
        <w:t>5.</w:t>
      </w:r>
      <w:r w:rsidRPr="00C903F8">
        <w:rPr>
          <w:szCs w:val="20"/>
          <w:lang w:val="en-US"/>
        </w:rPr>
        <w:tab/>
      </w:r>
      <w:r w:rsidRPr="00C903F8">
        <w:rPr>
          <w:noProof/>
          <w:szCs w:val="20"/>
          <w:lang w:val="en-US"/>
        </w:rPr>
        <w:t>An on</w:t>
      </w:r>
      <w:r w:rsidR="00433D99" w:rsidRPr="00C903F8">
        <w:rPr>
          <w:szCs w:val="20"/>
          <w:lang w:val="en-US"/>
        </w:rPr>
        <w:t>-</w:t>
      </w:r>
      <w:r w:rsidRPr="00C903F8">
        <w:rPr>
          <w:noProof/>
          <w:szCs w:val="20"/>
          <w:lang w:val="en-US"/>
        </w:rPr>
        <w:t xml:space="preserve">board sewage treatment plant that has been </w:t>
      </w:r>
      <w:r w:rsidR="005A6C74" w:rsidRPr="00C903F8">
        <w:rPr>
          <w:noProof/>
          <w:szCs w:val="20"/>
          <w:lang w:val="en-US"/>
        </w:rPr>
        <w:t>sealed in accordance with (3) 3rd sentence</w:t>
      </w:r>
      <w:r w:rsidRPr="00C903F8">
        <w:rPr>
          <w:noProof/>
          <w:szCs w:val="20"/>
          <w:lang w:val="en-US"/>
        </w:rPr>
        <w:t xml:space="preserve"> may be brought back into service only after a special test in accordance with </w:t>
      </w:r>
      <w:r w:rsidR="00FD1E75" w:rsidRPr="00C903F8">
        <w:rPr>
          <w:noProof/>
          <w:szCs w:val="20"/>
          <w:lang w:val="en-US"/>
        </w:rPr>
        <w:t>(</w:t>
      </w:r>
      <w:r w:rsidRPr="00C903F8">
        <w:rPr>
          <w:noProof/>
          <w:szCs w:val="20"/>
          <w:lang w:val="en-US"/>
        </w:rPr>
        <w:t>3</w:t>
      </w:r>
      <w:r w:rsidR="00FD1E75" w:rsidRPr="00C903F8">
        <w:rPr>
          <w:noProof/>
          <w:szCs w:val="20"/>
          <w:lang w:val="en-US"/>
        </w:rPr>
        <w:t>)</w:t>
      </w:r>
      <w:r w:rsidRPr="00C903F8">
        <w:rPr>
          <w:noProof/>
          <w:szCs w:val="20"/>
          <w:lang w:val="en-US"/>
        </w:rPr>
        <w:t>, first subparagraph.</w:t>
      </w:r>
    </w:p>
    <w:p w:rsidR="00AC39F0" w:rsidRPr="00C903F8" w:rsidRDefault="00AC39F0" w:rsidP="00AC39F0">
      <w:pPr>
        <w:pStyle w:val="ESch"/>
        <w:rPr>
          <w:rFonts w:cs="Arial"/>
          <w:szCs w:val="20"/>
          <w:lang w:val="en-US"/>
        </w:rPr>
      </w:pPr>
    </w:p>
    <w:p w:rsidR="00AC39F0" w:rsidRPr="00C903F8" w:rsidRDefault="00AC39F0" w:rsidP="00AC39F0">
      <w:pPr>
        <w:pStyle w:val="ESch"/>
        <w:rPr>
          <w:rFonts w:cs="Arial"/>
          <w:szCs w:val="20"/>
          <w:lang w:val="en-US"/>
        </w:rPr>
      </w:pPr>
    </w:p>
    <w:p w:rsidR="00AC39F0" w:rsidRPr="00C903F8" w:rsidRDefault="00AC39F0" w:rsidP="00AC39F0">
      <w:pPr>
        <w:pStyle w:val="ES-Titre3"/>
        <w:rPr>
          <w:rFonts w:cs="Arial"/>
          <w:i/>
          <w:lang w:val="en-US"/>
        </w:rPr>
      </w:pPr>
      <w:bookmarkStart w:id="179" w:name="_Toc491854167"/>
      <w:r w:rsidRPr="00C903F8">
        <w:rPr>
          <w:noProof/>
          <w:lang w:val="en-US"/>
        </w:rPr>
        <w:t>Article 18.1</w:t>
      </w:r>
      <w:r w:rsidR="00CF5E0F" w:rsidRPr="00C903F8">
        <w:rPr>
          <w:noProof/>
          <w:lang w:val="en-US"/>
        </w:rPr>
        <w:t>0</w:t>
      </w:r>
      <w:r w:rsidRPr="00C903F8">
        <w:rPr>
          <w:noProof/>
          <w:lang w:val="en-US"/>
        </w:rPr>
        <w:br/>
      </w:r>
      <w:r w:rsidRPr="00C903F8">
        <w:rPr>
          <w:i/>
          <w:noProof/>
          <w:lang w:val="en-US"/>
        </w:rPr>
        <w:t>Competent authorities and technical services</w:t>
      </w:r>
      <w:bookmarkEnd w:id="179"/>
    </w:p>
    <w:p w:rsidR="00AC39F0" w:rsidRPr="00C903F8" w:rsidRDefault="00AC39F0" w:rsidP="00AC39F0">
      <w:pPr>
        <w:pStyle w:val="ESgauche"/>
        <w:rPr>
          <w:lang w:val="en-US"/>
        </w:rPr>
      </w:pPr>
    </w:p>
    <w:p w:rsidR="00AC39F0" w:rsidRPr="00C903F8" w:rsidRDefault="00072882" w:rsidP="00AC39F0">
      <w:pPr>
        <w:pStyle w:val="ESgauche"/>
        <w:rPr>
          <w:rFonts w:cs="Arial"/>
          <w:lang w:val="en-US"/>
        </w:rPr>
      </w:pPr>
      <w:r w:rsidRPr="00130D2C">
        <w:rPr>
          <w:rFonts w:ascii="ArialMT" w:hAnsi="ArialMT" w:cs="ArialMT"/>
          <w:szCs w:val="20"/>
          <w:lang w:val="en-US" w:eastAsia="de-DE"/>
        </w:rPr>
        <w:t>The technical services responsible shall satisfy the European Standard EN ISO/IEC 17025 : 2005, taking the following conditions into account</w:t>
      </w:r>
      <w:r w:rsidR="00AC39F0" w:rsidRPr="00C903F8">
        <w:rPr>
          <w:lang w:val="en-US"/>
        </w:rPr>
        <w:t>:</w:t>
      </w:r>
    </w:p>
    <w:p w:rsidR="00AC39F0" w:rsidRPr="00C903F8" w:rsidRDefault="005C7859" w:rsidP="00AC39F0">
      <w:pPr>
        <w:pStyle w:val="ESletgauche"/>
        <w:rPr>
          <w:rFonts w:cs="Arial"/>
          <w:lang w:val="en-US"/>
        </w:rPr>
      </w:pPr>
      <w:r w:rsidRPr="00C903F8">
        <w:rPr>
          <w:noProof/>
          <w:lang w:val="en-US"/>
        </w:rPr>
        <w:t>a)</w:t>
      </w:r>
      <w:r w:rsidR="00AC39F0" w:rsidRPr="00C903F8">
        <w:rPr>
          <w:lang w:val="en-US"/>
        </w:rPr>
        <w:tab/>
      </w:r>
      <w:r w:rsidR="00AC39F0" w:rsidRPr="00C903F8">
        <w:rPr>
          <w:noProof/>
          <w:lang w:val="en-US"/>
        </w:rPr>
        <w:t>manufacturers of on-board sewage treatment plants cannot be recognised as technical services;</w:t>
      </w:r>
    </w:p>
    <w:p w:rsidR="00AC39F0" w:rsidRPr="00C903F8" w:rsidRDefault="005C7859" w:rsidP="00AC39F0">
      <w:pPr>
        <w:pStyle w:val="ESletgauche"/>
        <w:rPr>
          <w:rFonts w:cs="Arial"/>
          <w:lang w:val="en-US"/>
        </w:rPr>
      </w:pPr>
      <w:r w:rsidRPr="00C903F8">
        <w:rPr>
          <w:noProof/>
          <w:lang w:val="en-US"/>
        </w:rPr>
        <w:t>b)</w:t>
      </w:r>
      <w:r w:rsidR="00AC39F0" w:rsidRPr="00C903F8">
        <w:rPr>
          <w:lang w:val="en-US"/>
        </w:rPr>
        <w:tab/>
      </w:r>
      <w:r w:rsidR="00AC39F0" w:rsidRPr="00C903F8">
        <w:rPr>
          <w:noProof/>
          <w:lang w:val="en-US"/>
        </w:rPr>
        <w:t>for the purposes of this Chapter a technical service may, with the agreement of the competent authority, make use of facilities external to its own laboratory.</w:t>
      </w:r>
    </w:p>
    <w:p w:rsidR="00AC39F0" w:rsidRPr="00C903F8" w:rsidRDefault="00AC39F0" w:rsidP="00AC39F0">
      <w:pPr>
        <w:pStyle w:val="ESch"/>
        <w:rPr>
          <w:rFonts w:cs="Arial"/>
          <w:szCs w:val="20"/>
          <w:lang w:val="en-US"/>
        </w:rPr>
      </w:pPr>
    </w:p>
    <w:p w:rsidR="00AC39F0" w:rsidRPr="00C903F8" w:rsidRDefault="00AC39F0" w:rsidP="00AC39F0">
      <w:pPr>
        <w:pStyle w:val="ESch"/>
        <w:rPr>
          <w:rFonts w:cs="Arial"/>
          <w:szCs w:val="20"/>
          <w:lang w:val="en-US"/>
        </w:rPr>
      </w:pPr>
    </w:p>
    <w:p w:rsidR="00973DAA" w:rsidRPr="00C903F8" w:rsidRDefault="00973DAA" w:rsidP="005662C0">
      <w:pPr>
        <w:pStyle w:val="ESch"/>
        <w:rPr>
          <w:lang w:val="en-US"/>
        </w:rPr>
      </w:pPr>
    </w:p>
    <w:p w:rsidR="00A2046F" w:rsidRPr="00C903F8" w:rsidRDefault="00A2046F" w:rsidP="005662C0">
      <w:pPr>
        <w:pStyle w:val="ESch"/>
        <w:rPr>
          <w:lang w:val="en-US"/>
        </w:rPr>
      </w:pPr>
    </w:p>
    <w:p w:rsidR="00A2046F" w:rsidRDefault="00A2046F" w:rsidP="005662C0">
      <w:pPr>
        <w:pStyle w:val="ESch"/>
        <w:rPr>
          <w:lang w:val="en-US"/>
        </w:rPr>
      </w:pPr>
      <w:r w:rsidRPr="00C903F8">
        <w:rPr>
          <w:lang w:val="en-US"/>
        </w:rPr>
        <w:br w:type="page"/>
      </w:r>
    </w:p>
    <w:p w:rsidR="00FD5887" w:rsidRDefault="00FD5887" w:rsidP="005662C0">
      <w:pPr>
        <w:pStyle w:val="ESch"/>
        <w:rPr>
          <w:lang w:val="en-US"/>
        </w:rPr>
      </w:pPr>
    </w:p>
    <w:p w:rsidR="00FD5887" w:rsidRDefault="00FD5887" w:rsidP="005662C0">
      <w:pPr>
        <w:pStyle w:val="ESch"/>
        <w:rPr>
          <w:lang w:val="en-US"/>
        </w:rPr>
      </w:pPr>
    </w:p>
    <w:p w:rsidR="00FD5887" w:rsidRPr="00C903F8" w:rsidRDefault="00FD5887" w:rsidP="005662C0">
      <w:pPr>
        <w:pStyle w:val="ESch"/>
        <w:rPr>
          <w:lang w:val="en-US"/>
        </w:rPr>
      </w:pPr>
    </w:p>
    <w:p w:rsidR="00FD5887" w:rsidRDefault="00FD5887" w:rsidP="005662C0">
      <w:pPr>
        <w:pStyle w:val="ESch"/>
        <w:rPr>
          <w:lang w:val="en-US"/>
        </w:rPr>
        <w:sectPr w:rsidR="00FD5887" w:rsidSect="00AC5CC1">
          <w:footnotePr>
            <w:numRestart w:val="eachPage"/>
          </w:footnotePr>
          <w:pgSz w:w="11906" w:h="16838" w:code="9"/>
          <w:pgMar w:top="1418" w:right="1418" w:bottom="1418" w:left="1418" w:header="709" w:footer="709" w:gutter="0"/>
          <w:cols w:space="709"/>
          <w:titlePg/>
          <w:docGrid w:linePitch="272"/>
        </w:sectPr>
      </w:pPr>
    </w:p>
    <w:p w:rsidR="00A2046F" w:rsidRPr="00C903F8" w:rsidRDefault="00A2046F" w:rsidP="005662C0">
      <w:pPr>
        <w:pStyle w:val="ESch"/>
        <w:rPr>
          <w:lang w:val="en-US"/>
        </w:rPr>
      </w:pPr>
    </w:p>
    <w:p w:rsidR="00A2046F" w:rsidRPr="00C903F8" w:rsidRDefault="00A2046F" w:rsidP="00A2046F">
      <w:pPr>
        <w:pStyle w:val="ES-Titre1"/>
      </w:pPr>
      <w:bookmarkStart w:id="180" w:name="_Toc491854168"/>
      <w:r w:rsidRPr="00C903F8">
        <w:t>PART III</w:t>
      </w:r>
      <w:r w:rsidRPr="00C903F8">
        <w:br/>
        <w:t>SPECIAL PROVISIONS</w:t>
      </w:r>
      <w:bookmarkEnd w:id="180"/>
    </w:p>
    <w:p w:rsidR="00A2046F" w:rsidRPr="00C903F8" w:rsidRDefault="00A2046F" w:rsidP="00A2046F">
      <w:pPr>
        <w:rPr>
          <w:lang w:val="en-US" w:eastAsia="en-US"/>
        </w:rPr>
      </w:pPr>
    </w:p>
    <w:p w:rsidR="00973DAA" w:rsidRPr="00C903F8" w:rsidRDefault="00973DAA" w:rsidP="00A2046F">
      <w:pPr>
        <w:pStyle w:val="ES-Titre2"/>
        <w:pageBreakBefore w:val="0"/>
        <w:rPr>
          <w:szCs w:val="24"/>
        </w:rPr>
      </w:pPr>
      <w:bookmarkStart w:id="181" w:name="_Toc491854169"/>
      <w:r w:rsidRPr="00C903F8">
        <w:t>Chapter 19</w:t>
      </w:r>
      <w:r w:rsidRPr="00C903F8">
        <w:br/>
      </w:r>
      <w:r w:rsidRPr="00C903F8">
        <w:rPr>
          <w:noProof/>
          <w:sz w:val="22"/>
          <w:szCs w:val="22"/>
        </w:rPr>
        <w:t>Speci</w:t>
      </w:r>
      <w:r w:rsidR="00113730" w:rsidRPr="00C903F8">
        <w:rPr>
          <w:noProof/>
          <w:sz w:val="22"/>
          <w:szCs w:val="22"/>
        </w:rPr>
        <w:t>al</w:t>
      </w:r>
      <w:r w:rsidRPr="00C903F8">
        <w:rPr>
          <w:noProof/>
          <w:sz w:val="22"/>
          <w:szCs w:val="22"/>
        </w:rPr>
        <w:t xml:space="preserve"> provisions applicable to passenger vessels</w:t>
      </w:r>
      <w:bookmarkEnd w:id="181"/>
    </w:p>
    <w:p w:rsidR="00973DAA" w:rsidRPr="00C903F8" w:rsidRDefault="00973DAA" w:rsidP="00973DAA">
      <w:pPr>
        <w:rPr>
          <w:lang w:val="en-US" w:eastAsia="en-US"/>
        </w:rPr>
      </w:pPr>
    </w:p>
    <w:p w:rsidR="00973DAA" w:rsidRPr="00C903F8" w:rsidRDefault="00973DAA" w:rsidP="00973DAA">
      <w:pPr>
        <w:pStyle w:val="ES-Titre3"/>
        <w:rPr>
          <w:lang w:val="en-US"/>
        </w:rPr>
      </w:pPr>
      <w:bookmarkStart w:id="182" w:name="_Toc491854170"/>
      <w:r w:rsidRPr="00C903F8">
        <w:rPr>
          <w:noProof/>
          <w:lang w:val="en-US"/>
        </w:rPr>
        <w:t>Article 19.01</w:t>
      </w:r>
      <w:r w:rsidRPr="00C903F8">
        <w:rPr>
          <w:noProof/>
          <w:lang w:val="en-US"/>
        </w:rPr>
        <w:br/>
      </w:r>
      <w:r w:rsidRPr="00C903F8">
        <w:rPr>
          <w:bCs/>
          <w:i/>
          <w:noProof/>
          <w:lang w:val="en-US"/>
        </w:rPr>
        <w:t>General provisions</w:t>
      </w:r>
      <w:bookmarkEnd w:id="182"/>
    </w:p>
    <w:p w:rsidR="00973DAA" w:rsidRPr="00C903F8" w:rsidRDefault="00973DAA" w:rsidP="00973DAA">
      <w:pPr>
        <w:pStyle w:val="ESch"/>
        <w:rPr>
          <w:noProof/>
          <w:lang w:val="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w:t>
      </w:r>
      <w:r w:rsidRPr="00C903F8">
        <w:rPr>
          <w:rFonts w:eastAsia="Calibri"/>
          <w:noProof/>
          <w:lang w:val="en-US" w:eastAsia="en-US"/>
        </w:rPr>
        <w:tab/>
        <w:t>The following provisions shall not apply:</w:t>
      </w:r>
    </w:p>
    <w:p w:rsidR="00973DAA" w:rsidRPr="00C903F8" w:rsidRDefault="005C7859" w:rsidP="00973DAA">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Article 3.02(1)(b);</w:t>
      </w:r>
    </w:p>
    <w:p w:rsidR="00973DAA" w:rsidRPr="00C903F8" w:rsidRDefault="005C7859" w:rsidP="00973DAA">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Articles 4.01 to 4.03;</w:t>
      </w:r>
    </w:p>
    <w:p w:rsidR="00973DAA" w:rsidRPr="00C903F8" w:rsidRDefault="005C7859" w:rsidP="00973DAA">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 xml:space="preserve">Article 8.08(2), second sentence, and </w:t>
      </w:r>
      <w:r w:rsidR="00FD1E75" w:rsidRPr="00C903F8">
        <w:rPr>
          <w:rFonts w:eastAsia="Calibri"/>
          <w:noProof/>
          <w:lang w:val="en-US" w:eastAsia="en-US"/>
        </w:rPr>
        <w:t>(</w:t>
      </w:r>
      <w:r w:rsidR="00973DAA" w:rsidRPr="00C903F8">
        <w:rPr>
          <w:rFonts w:eastAsia="Calibri"/>
          <w:noProof/>
          <w:lang w:val="en-US" w:eastAsia="en-US"/>
        </w:rPr>
        <w:t>7</w:t>
      </w:r>
      <w:r w:rsidR="00FD1E75" w:rsidRPr="00C903F8">
        <w:rPr>
          <w:rFonts w:eastAsia="Calibri"/>
          <w:noProof/>
          <w:lang w:val="en-US" w:eastAsia="en-US"/>
        </w:rPr>
        <w:t>)</w:t>
      </w:r>
      <w:r w:rsidR="00973DAA" w:rsidRPr="00C903F8">
        <w:rPr>
          <w:rFonts w:eastAsia="Calibri"/>
          <w:noProof/>
          <w:lang w:val="en-US" w:eastAsia="en-US"/>
        </w:rPr>
        <w:t>;</w:t>
      </w:r>
    </w:p>
    <w:p w:rsidR="00973DAA" w:rsidRPr="00C903F8" w:rsidRDefault="005C7859" w:rsidP="00973DAA">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t>Article 10.14(3), second sentence, for rated voltages of over 50V.</w:t>
      </w:r>
    </w:p>
    <w:p w:rsidR="00973DAA" w:rsidRPr="00C903F8" w:rsidRDefault="00973DAA"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2.</w:t>
      </w:r>
      <w:r w:rsidRPr="00C903F8">
        <w:rPr>
          <w:rFonts w:eastAsia="Calibri"/>
          <w:noProof/>
          <w:lang w:val="en-US" w:eastAsia="en-US"/>
        </w:rPr>
        <w:tab/>
        <w:t>The following items of equipment are prohibited on passenger vessels:</w:t>
      </w:r>
    </w:p>
    <w:p w:rsidR="00973DAA" w:rsidRPr="00C903F8" w:rsidRDefault="005C7859" w:rsidP="00973DAA">
      <w:pPr>
        <w:pStyle w:val="ESlet"/>
        <w:rPr>
          <w:rFonts w:eastAsia="Calibri"/>
          <w:noProof/>
          <w:lang w:val="en-US" w:eastAsia="en-US"/>
        </w:rPr>
      </w:pPr>
      <w:r w:rsidRPr="00C903F8">
        <w:rPr>
          <w:rFonts w:eastAsia="Calibri"/>
          <w:noProof/>
          <w:lang w:val="en-US" w:eastAsia="en-US"/>
        </w:rPr>
        <w:t>a)</w:t>
      </w:r>
      <w:r w:rsidR="00973DAA" w:rsidRPr="00C903F8">
        <w:rPr>
          <w:rFonts w:eastAsia="Calibri"/>
          <w:noProof/>
          <w:lang w:val="en-US" w:eastAsia="en-US"/>
        </w:rPr>
        <w:tab/>
        <w:t>lamps powered by liquefied gas or liquid fuel according to Article 15.07(3) 2</w:t>
      </w:r>
      <w:r w:rsidR="00973DAA" w:rsidRPr="00C903F8">
        <w:rPr>
          <w:rFonts w:eastAsia="Calibri"/>
          <w:noProof/>
          <w:vertAlign w:val="superscript"/>
          <w:lang w:val="en-US" w:eastAsia="en-US"/>
        </w:rPr>
        <w:t>nd</w:t>
      </w:r>
      <w:r w:rsidR="00973DAA" w:rsidRPr="00C903F8">
        <w:rPr>
          <w:rFonts w:eastAsia="Calibri"/>
          <w:noProof/>
          <w:lang w:val="en-US" w:eastAsia="en-US"/>
        </w:rPr>
        <w:t xml:space="preserve"> sentence;</w:t>
      </w:r>
    </w:p>
    <w:p w:rsidR="00973DAA" w:rsidRPr="00C903F8" w:rsidRDefault="005C7859" w:rsidP="00973DAA">
      <w:pPr>
        <w:pStyle w:val="ESlet"/>
        <w:rPr>
          <w:rFonts w:eastAsia="Calibri"/>
          <w:noProof/>
          <w:lang w:val="en-US" w:eastAsia="en-US"/>
        </w:rPr>
      </w:pPr>
      <w:r w:rsidRPr="00C903F8">
        <w:rPr>
          <w:rFonts w:eastAsia="Calibri"/>
          <w:noProof/>
          <w:lang w:val="en-US" w:eastAsia="en-US"/>
        </w:rPr>
        <w:t>b)</w:t>
      </w:r>
      <w:r w:rsidR="00973DAA" w:rsidRPr="00C903F8">
        <w:rPr>
          <w:rFonts w:eastAsia="Calibri"/>
          <w:noProof/>
          <w:lang w:val="en-US" w:eastAsia="en-US"/>
        </w:rPr>
        <w:tab/>
        <w:t>devices fitted with wick burners according to Article 16.02(2) and (3),</w:t>
      </w:r>
    </w:p>
    <w:p w:rsidR="00973DAA" w:rsidRPr="00C903F8" w:rsidRDefault="005C7859" w:rsidP="00973DAA">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vaporising oil-burner stoves according to Article 16.04;</w:t>
      </w:r>
    </w:p>
    <w:p w:rsidR="00973DAA" w:rsidRPr="00C903F8" w:rsidRDefault="005C7859" w:rsidP="00973DAA">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t>solid fuel heating appliances and boilers according to 16.07;</w:t>
      </w:r>
    </w:p>
    <w:p w:rsidR="00973DAA" w:rsidRPr="00C903F8" w:rsidRDefault="0029453D" w:rsidP="00973DAA">
      <w:pPr>
        <w:pStyle w:val="ESlet"/>
        <w:rPr>
          <w:rFonts w:eastAsia="Calibri" w:cs="Arial"/>
          <w:szCs w:val="18"/>
          <w:lang w:val="en-US" w:eastAsia="en-US"/>
        </w:rPr>
      </w:pPr>
      <w:r w:rsidRPr="00C903F8">
        <w:rPr>
          <w:rFonts w:eastAsia="Calibri"/>
          <w:noProof/>
          <w:lang w:val="en-US" w:eastAsia="en-US"/>
        </w:rPr>
        <w:t>e)</w:t>
      </w:r>
      <w:r w:rsidR="00973DAA" w:rsidRPr="00C903F8">
        <w:rPr>
          <w:rFonts w:eastAsia="Calibri"/>
          <w:noProof/>
          <w:lang w:val="en-US" w:eastAsia="en-US"/>
        </w:rPr>
        <w:tab/>
        <w:t>liquefied gas devices according to Chapter 17.</w:t>
      </w:r>
    </w:p>
    <w:p w:rsidR="00973DAA" w:rsidRPr="00C903F8" w:rsidRDefault="00973DAA"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3.</w:t>
      </w:r>
      <w:r w:rsidRPr="00C903F8">
        <w:rPr>
          <w:rFonts w:eastAsia="Calibri"/>
          <w:noProof/>
          <w:lang w:val="en-US" w:eastAsia="en-US"/>
        </w:rPr>
        <w:tab/>
        <w:t>Vessels without their own power cannot be licensed for passenger transport.</w:t>
      </w:r>
    </w:p>
    <w:p w:rsidR="00573261" w:rsidRPr="00C903F8" w:rsidRDefault="00573261" w:rsidP="00973DAA">
      <w:pPr>
        <w:pStyle w:val="ESch"/>
        <w:rPr>
          <w:rFonts w:eastAsia="Calibri"/>
          <w:noProof/>
          <w:lang w:val="en-US" w:eastAsia="en-US"/>
        </w:rPr>
      </w:pPr>
    </w:p>
    <w:p w:rsidR="00573261" w:rsidRPr="00C903F8" w:rsidRDefault="00573261" w:rsidP="00973DAA">
      <w:pPr>
        <w:pStyle w:val="ESch"/>
        <w:rPr>
          <w:rFonts w:eastAsia="Calibri" w:cs="Arial"/>
          <w:szCs w:val="18"/>
          <w:lang w:val="en-US" w:eastAsia="en-US"/>
        </w:rPr>
      </w:pPr>
      <w:r w:rsidRPr="00C903F8">
        <w:rPr>
          <w:rFonts w:eastAsia="Calibri"/>
          <w:noProof/>
          <w:lang w:val="en-US" w:eastAsia="en-US"/>
        </w:rPr>
        <w:t>4.</w:t>
      </w:r>
      <w:r w:rsidRPr="00C903F8">
        <w:rPr>
          <w:rFonts w:eastAsia="Calibri"/>
          <w:noProof/>
          <w:lang w:val="en-US" w:eastAsia="en-US"/>
        </w:rPr>
        <w:tab/>
        <w:t>On passenger vessels, areas shall be provided for use by persons with reduced mobility, according to the provisions of this Chapter.</w:t>
      </w:r>
    </w:p>
    <w:p w:rsidR="00973DAA" w:rsidRPr="00C903F8" w:rsidRDefault="00973DAA" w:rsidP="00973DAA">
      <w:pPr>
        <w:pStyle w:val="ESch"/>
        <w:rPr>
          <w:rFonts w:eastAsia="Calibri"/>
          <w:szCs w:val="18"/>
          <w:lang w:val="en-US" w:eastAsia="en-US"/>
        </w:rPr>
      </w:pPr>
    </w:p>
    <w:p w:rsidR="00973DAA" w:rsidRPr="00C903F8" w:rsidRDefault="00573261" w:rsidP="00973DAA">
      <w:pPr>
        <w:pStyle w:val="ESch"/>
        <w:rPr>
          <w:rFonts w:eastAsia="Calibri"/>
          <w:szCs w:val="18"/>
          <w:lang w:val="en-US" w:eastAsia="en-US"/>
        </w:rPr>
      </w:pPr>
      <w:r w:rsidRPr="00C903F8">
        <w:rPr>
          <w:rFonts w:eastAsia="Calibri"/>
          <w:szCs w:val="18"/>
          <w:lang w:val="en-US" w:eastAsia="en-US"/>
        </w:rPr>
        <w:t>5</w:t>
      </w:r>
      <w:r w:rsidR="00973DAA" w:rsidRPr="00C903F8">
        <w:rPr>
          <w:rFonts w:eastAsia="Calibri"/>
          <w:szCs w:val="18"/>
          <w:lang w:val="en-US" w:eastAsia="en-US"/>
        </w:rPr>
        <w:t>.</w:t>
      </w:r>
      <w:r w:rsidR="00973DAA" w:rsidRPr="00C903F8">
        <w:rPr>
          <w:rFonts w:eastAsia="Calibri"/>
          <w:szCs w:val="18"/>
          <w:lang w:val="en-US" w:eastAsia="en-US"/>
        </w:rPr>
        <w:tab/>
      </w:r>
      <w:r w:rsidR="003F558E" w:rsidRPr="00C903F8">
        <w:rPr>
          <w:rFonts w:eastAsia="Calibri"/>
          <w:szCs w:val="18"/>
          <w:lang w:val="en-US" w:eastAsia="en-US"/>
        </w:rPr>
        <w:t>By way of derogation from Article 7.02(2) first sentence, the area of obstructed vision for the helmsman ahead of the vessel in an unladen state with half of its supplies but without ballast shall not exceed two vessel lengths or 250 m, whichever is less.</w:t>
      </w:r>
    </w:p>
    <w:p w:rsidR="00973DAA" w:rsidRPr="00C903F8" w:rsidRDefault="00973DAA" w:rsidP="00973DAA">
      <w:pPr>
        <w:pStyle w:val="ESch"/>
        <w:rPr>
          <w:rFonts w:eastAsia="Calibri" w:cs="Arial"/>
          <w:szCs w:val="18"/>
          <w:lang w:val="en-US" w:eastAsia="en-US"/>
        </w:rPr>
      </w:pPr>
    </w:p>
    <w:p w:rsidR="00973DAA" w:rsidRPr="00C903F8" w:rsidRDefault="00573261" w:rsidP="00973DAA">
      <w:pPr>
        <w:pStyle w:val="ESch"/>
        <w:rPr>
          <w:rFonts w:eastAsia="Calibri"/>
          <w:szCs w:val="18"/>
          <w:lang w:val="en-US" w:eastAsia="en-US"/>
        </w:rPr>
      </w:pPr>
      <w:r w:rsidRPr="00C903F8">
        <w:rPr>
          <w:rFonts w:eastAsia="Calibri"/>
          <w:szCs w:val="18"/>
          <w:lang w:val="en-US" w:eastAsia="en-US"/>
        </w:rPr>
        <w:t>6</w:t>
      </w:r>
      <w:r w:rsidR="00973DAA" w:rsidRPr="00C903F8">
        <w:rPr>
          <w:rFonts w:eastAsia="Calibri"/>
          <w:szCs w:val="18"/>
          <w:lang w:val="en-US" w:eastAsia="en-US"/>
        </w:rPr>
        <w:t>.</w:t>
      </w:r>
      <w:r w:rsidR="00973DAA" w:rsidRPr="00C903F8">
        <w:rPr>
          <w:rFonts w:eastAsia="Calibri"/>
          <w:szCs w:val="18"/>
          <w:lang w:val="en-US" w:eastAsia="en-US"/>
        </w:rPr>
        <w:tab/>
      </w:r>
      <w:r w:rsidR="00B04264" w:rsidRPr="00B04264">
        <w:rPr>
          <w:rFonts w:eastAsia="Calibri"/>
          <w:szCs w:val="18"/>
          <w:lang w:val="en-US" w:eastAsia="en-US"/>
        </w:rPr>
        <w:t xml:space="preserve">By way of derogation from article 7.02(3) third subparagraph, a passenger vessel shall be equipped with appropriate auxiliary means when no sufficiently unobstructed view is provided towards the rear. If these auxiliary means do not allow unobstructed view at night, a corresponding restriction shall be entered in item 52 of the </w:t>
      </w:r>
      <w:r w:rsidR="00B04264" w:rsidRPr="00B04264">
        <w:rPr>
          <w:rFonts w:eastAsia="Calibri"/>
          <w:szCs w:val="18"/>
          <w:lang w:val="en-GB" w:eastAsia="en-US"/>
        </w:rPr>
        <w:t>inland navigation vessel certificate.</w:t>
      </w:r>
    </w:p>
    <w:p w:rsidR="00973DAA" w:rsidRPr="00C903F8" w:rsidRDefault="00973DAA" w:rsidP="00973DAA">
      <w:pPr>
        <w:pStyle w:val="ESch"/>
        <w:rPr>
          <w:rFonts w:eastAsia="Calibri"/>
          <w:szCs w:val="18"/>
          <w:lang w:val="en-US" w:eastAsia="en-US"/>
        </w:rPr>
      </w:pPr>
    </w:p>
    <w:p w:rsidR="00973DAA" w:rsidRPr="00C903F8" w:rsidRDefault="00973DAA" w:rsidP="00973DAA">
      <w:pPr>
        <w:pStyle w:val="ESch"/>
        <w:rPr>
          <w:rFonts w:eastAsia="Calibri"/>
          <w:szCs w:val="18"/>
          <w:lang w:val="en-US" w:eastAsia="en-US"/>
        </w:rPr>
      </w:pPr>
    </w:p>
    <w:p w:rsidR="00973DAA" w:rsidRPr="00C903F8" w:rsidRDefault="00973DAA" w:rsidP="00973DAA">
      <w:pPr>
        <w:pStyle w:val="ES-Titre3"/>
        <w:rPr>
          <w:rFonts w:cs="Arial"/>
          <w:i/>
          <w:szCs w:val="18"/>
          <w:lang w:val="en-US"/>
        </w:rPr>
      </w:pPr>
      <w:bookmarkStart w:id="183" w:name="_Toc491854171"/>
      <w:r w:rsidRPr="00C903F8">
        <w:rPr>
          <w:noProof/>
          <w:lang w:val="en-US"/>
        </w:rPr>
        <w:t>Article 19.02</w:t>
      </w:r>
      <w:r w:rsidRPr="00C903F8">
        <w:rPr>
          <w:noProof/>
          <w:lang w:val="en-US"/>
        </w:rPr>
        <w:br/>
      </w:r>
      <w:r w:rsidR="006C6A9E" w:rsidRPr="00C903F8">
        <w:rPr>
          <w:bCs/>
          <w:i/>
          <w:noProof/>
          <w:lang w:val="en-US"/>
        </w:rPr>
        <w:t>H</w:t>
      </w:r>
      <w:r w:rsidRPr="00C903F8">
        <w:rPr>
          <w:bCs/>
          <w:i/>
          <w:noProof/>
          <w:lang w:val="en-US"/>
        </w:rPr>
        <w:t>ull</w:t>
      </w:r>
      <w:bookmarkEnd w:id="183"/>
    </w:p>
    <w:p w:rsidR="00973DAA" w:rsidRPr="00C903F8" w:rsidRDefault="00973DAA"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 xml:space="preserve">1 </w:t>
      </w:r>
      <w:r w:rsidRPr="00C903F8">
        <w:rPr>
          <w:rFonts w:eastAsia="Calibri"/>
          <w:noProof/>
          <w:lang w:val="en-US" w:eastAsia="en-US"/>
        </w:rPr>
        <w:tab/>
        <w:t>In the course of the periodical inspections, the thickness of the outside plating of steel passenger vessels shall be determined as follows:</w:t>
      </w:r>
    </w:p>
    <w:p w:rsidR="00973DAA" w:rsidRPr="00C903F8" w:rsidRDefault="005C7859" w:rsidP="00577ECC">
      <w:pPr>
        <w:pStyle w:val="ESlet"/>
        <w:rPr>
          <w:rFonts w:eastAsia="Calibri"/>
          <w:noProof/>
          <w:lang w:val="en-US" w:eastAsia="en-US"/>
        </w:rPr>
      </w:pPr>
      <w:r w:rsidRPr="00C903F8">
        <w:rPr>
          <w:rFonts w:eastAsia="Calibri"/>
          <w:noProof/>
          <w:lang w:val="en-US" w:eastAsia="en-US"/>
        </w:rPr>
        <w:t>a)</w:t>
      </w:r>
      <w:r w:rsidR="00973DAA" w:rsidRPr="00C903F8">
        <w:rPr>
          <w:rFonts w:eastAsia="Calibri"/>
          <w:noProof/>
          <w:lang w:val="en-US" w:eastAsia="en-US"/>
        </w:rPr>
        <w:tab/>
        <w:t xml:space="preserve">the minimum thickness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t</m:t>
            </m:r>
          </m:e>
          <m:sub>
            <m:r>
              <w:rPr>
                <w:rFonts w:ascii="Cambria Math" w:eastAsia="Calibri" w:hAnsi="Cambria Math"/>
                <w:noProof/>
                <w:lang w:val="en-US" w:eastAsia="en-US"/>
              </w:rPr>
              <m:t>min</m:t>
            </m:r>
          </m:sub>
        </m:sSub>
      </m:oMath>
      <w:r w:rsidR="002E3EAE" w:rsidRPr="00C903F8">
        <w:rPr>
          <w:rFonts w:eastAsia="Calibri"/>
          <w:noProof/>
          <w:lang w:val="en-US" w:eastAsia="en-US"/>
        </w:rPr>
        <w:t xml:space="preserve"> </w:t>
      </w:r>
      <w:r w:rsidR="00973DAA" w:rsidRPr="00C903F8">
        <w:rPr>
          <w:rFonts w:eastAsia="Calibri"/>
          <w:noProof/>
          <w:lang w:val="en-US" w:eastAsia="en-US"/>
        </w:rPr>
        <w:t>of the bottom, bilge and side plating of the outer hull of passenger vessels is determined in accordance with the larger value of the following formulae:</w:t>
      </w:r>
    </w:p>
    <w:p w:rsidR="00661999" w:rsidRPr="00C903F8" w:rsidRDefault="00F12BAF" w:rsidP="00661999">
      <w:pPr>
        <w:pStyle w:val="ESlet"/>
        <w:ind w:firstLine="1"/>
        <w:rPr>
          <w:rFonts w:eastAsia="Calibri" w:cs="Arial"/>
          <w:szCs w:val="18"/>
          <w:lang w:val="en-US" w:eastAsia="en-US"/>
        </w:rPr>
      </w:pPr>
      <m:oMathPara>
        <m:oMathParaPr>
          <m:jc m:val="left"/>
        </m:oMathParaPr>
        <m:oMath>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t</m:t>
              </m:r>
            </m:e>
            <m:sub>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1</m:t>
                  </m:r>
                </m:e>
                <m:sub>
                  <m:r>
                    <w:rPr>
                      <w:rFonts w:ascii="Cambria Math" w:eastAsia="Calibri" w:hAnsi="Cambria Math" w:cs="Arial"/>
                      <w:szCs w:val="18"/>
                      <w:lang w:val="en-US" w:eastAsia="en-US"/>
                    </w:rPr>
                    <m:t>min</m:t>
                  </m:r>
                </m:sub>
              </m:sSub>
              <m:r>
                <w:rPr>
                  <w:rFonts w:ascii="Cambria Math" w:eastAsia="Calibri" w:hAnsi="Cambria Math" w:cs="Arial"/>
                  <w:szCs w:val="18"/>
                  <w:lang w:val="en-US" w:eastAsia="en-US"/>
                </w:rPr>
                <m:t xml:space="preserve"> </m:t>
              </m:r>
            </m:sub>
          </m:sSub>
          <m:r>
            <w:rPr>
              <w:rFonts w:ascii="Cambria Math" w:eastAsia="Calibri" w:hAnsi="Cambria Math" w:cs="Arial"/>
              <w:szCs w:val="18"/>
              <w:lang w:val="en-US" w:eastAsia="en-US"/>
            </w:rPr>
            <m:t xml:space="preserve">=  0,006 ∙a ∙ </m:t>
          </m:r>
          <m:rad>
            <m:radPr>
              <m:degHide m:val="1"/>
              <m:ctrlPr>
                <w:rPr>
                  <w:rFonts w:ascii="Cambria Math" w:eastAsia="Calibri" w:hAnsi="Cambria Math" w:cs="Arial"/>
                  <w:i/>
                  <w:szCs w:val="18"/>
                  <w:lang w:val="en-US" w:eastAsia="en-US"/>
                </w:rPr>
              </m:ctrlPr>
            </m:radPr>
            <m:deg/>
            <m:e>
              <m:r>
                <w:rPr>
                  <w:rFonts w:ascii="Cambria Math" w:eastAsia="Calibri" w:hAnsi="Cambria Math" w:cs="Arial"/>
                  <w:szCs w:val="18"/>
                  <w:lang w:val="en-US" w:eastAsia="en-US"/>
                </w:rPr>
                <m:t>T</m:t>
              </m:r>
            </m:e>
          </m:rad>
          <m:r>
            <w:rPr>
              <w:rFonts w:ascii="Cambria Math" w:eastAsia="Calibri" w:hAnsi="Cambria Math" w:cs="Arial"/>
              <w:szCs w:val="18"/>
              <w:lang w:val="en-US" w:eastAsia="en-US"/>
            </w:rPr>
            <m:t xml:space="preserve"> </m:t>
          </m:r>
          <m:d>
            <m:dPr>
              <m:begChr m:val="["/>
              <m:endChr m:val="]"/>
              <m:ctrlPr>
                <w:rPr>
                  <w:rFonts w:ascii="Cambria Math" w:eastAsia="Calibri" w:hAnsi="Cambria Math" w:cs="Arial"/>
                  <w:i/>
                  <w:szCs w:val="18"/>
                  <w:lang w:val="en-US" w:eastAsia="en-US"/>
                </w:rPr>
              </m:ctrlPr>
            </m:dPr>
            <m:e>
              <m:r>
                <w:rPr>
                  <w:rFonts w:ascii="Cambria Math" w:eastAsia="Calibri" w:hAnsi="Cambria Math" w:cs="Arial"/>
                  <w:szCs w:val="18"/>
                  <w:lang w:val="en-US" w:eastAsia="en-US"/>
                </w:rPr>
                <m:t>mm</m:t>
              </m:r>
            </m:e>
          </m:d>
          <m:r>
            <w:rPr>
              <w:rFonts w:ascii="Cambria Math" w:eastAsia="Calibri" w:hAnsi="Cambria Math" w:cs="Arial"/>
              <w:szCs w:val="18"/>
              <w:lang w:val="en-US" w:eastAsia="en-US"/>
            </w:rPr>
            <m:t>;</m:t>
          </m:r>
        </m:oMath>
      </m:oMathPara>
    </w:p>
    <w:p w:rsidR="00661999" w:rsidRPr="00C903F8" w:rsidRDefault="00F12BAF" w:rsidP="00661999">
      <w:pPr>
        <w:pStyle w:val="ESlet"/>
        <w:ind w:firstLine="1"/>
        <w:rPr>
          <w:rFonts w:eastAsia="Calibri" w:cs="Arial"/>
          <w:szCs w:val="18"/>
          <w:lang w:val="en-US" w:eastAsia="en-US"/>
        </w:rPr>
      </w:pPr>
      <m:oMathPara>
        <m:oMathParaPr>
          <m:jc m:val="left"/>
        </m:oMathParaPr>
        <m:oMath>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t</m:t>
              </m:r>
            </m:e>
            <m:sub>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2</m:t>
                  </m:r>
                </m:e>
                <m:sub>
                  <m:r>
                    <w:rPr>
                      <w:rFonts w:ascii="Cambria Math" w:eastAsia="Calibri" w:hAnsi="Cambria Math" w:cs="Arial"/>
                      <w:szCs w:val="18"/>
                      <w:lang w:val="en-US" w:eastAsia="en-US"/>
                    </w:rPr>
                    <m:t>min</m:t>
                  </m:r>
                </m:sub>
              </m:sSub>
              <m:r>
                <w:rPr>
                  <w:rFonts w:ascii="Cambria Math" w:eastAsia="Calibri" w:hAnsi="Cambria Math" w:cs="Arial"/>
                  <w:szCs w:val="18"/>
                  <w:lang w:val="en-US" w:eastAsia="en-US"/>
                </w:rPr>
                <m:t xml:space="preserve"> </m:t>
              </m:r>
            </m:sub>
          </m:sSub>
          <m:r>
            <w:rPr>
              <w:rFonts w:ascii="Cambria Math" w:eastAsia="Calibri" w:hAnsi="Cambria Math" w:cs="Arial"/>
              <w:szCs w:val="18"/>
              <w:lang w:val="en-US" w:eastAsia="en-US"/>
            </w:rPr>
            <m:t xml:space="preserve">=  f ∙0,55 ∙ </m:t>
          </m:r>
          <m:rad>
            <m:radPr>
              <m:degHide m:val="1"/>
              <m:ctrlPr>
                <w:rPr>
                  <w:rFonts w:ascii="Cambria Math" w:eastAsia="Calibri" w:hAnsi="Cambria Math" w:cs="Arial"/>
                  <w:i/>
                  <w:szCs w:val="18"/>
                  <w:lang w:val="en-US" w:eastAsia="en-US"/>
                </w:rPr>
              </m:ctrlPr>
            </m:radPr>
            <m:deg/>
            <m:e>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L</m:t>
                  </m:r>
                </m:e>
                <m:sub>
                  <m:r>
                    <w:rPr>
                      <w:rFonts w:ascii="Cambria Math" w:eastAsia="Calibri" w:hAnsi="Cambria Math" w:cs="Arial"/>
                      <w:szCs w:val="18"/>
                      <w:lang w:val="en-US" w:eastAsia="en-US"/>
                    </w:rPr>
                    <m:t>F</m:t>
                  </m:r>
                </m:sub>
              </m:sSub>
            </m:e>
          </m:rad>
          <m:r>
            <w:rPr>
              <w:rFonts w:ascii="Cambria Math" w:eastAsia="Calibri" w:hAnsi="Cambria Math" w:cs="Arial"/>
              <w:szCs w:val="18"/>
              <w:lang w:val="en-US" w:eastAsia="en-US"/>
            </w:rPr>
            <m:t xml:space="preserve"> </m:t>
          </m:r>
          <m:d>
            <m:dPr>
              <m:begChr m:val="["/>
              <m:endChr m:val="]"/>
              <m:ctrlPr>
                <w:rPr>
                  <w:rFonts w:ascii="Cambria Math" w:eastAsia="Calibri" w:hAnsi="Cambria Math" w:cs="Arial"/>
                  <w:i/>
                  <w:szCs w:val="18"/>
                  <w:lang w:val="en-US" w:eastAsia="en-US"/>
                </w:rPr>
              </m:ctrlPr>
            </m:dPr>
            <m:e>
              <m:r>
                <w:rPr>
                  <w:rFonts w:ascii="Cambria Math" w:eastAsia="Calibri" w:hAnsi="Cambria Math" w:cs="Arial"/>
                  <w:szCs w:val="18"/>
                  <w:lang w:val="en-US" w:eastAsia="en-US"/>
                </w:rPr>
                <m:t>mm</m:t>
              </m:r>
            </m:e>
          </m:d>
          <m:r>
            <w:rPr>
              <w:rFonts w:ascii="Cambria Math" w:eastAsia="Calibri" w:hAnsi="Cambria Math" w:cs="Arial"/>
              <w:szCs w:val="18"/>
              <w:lang w:val="en-US" w:eastAsia="en-US"/>
            </w:rPr>
            <m:t>.</m:t>
          </m:r>
        </m:oMath>
      </m:oMathPara>
    </w:p>
    <w:p w:rsidR="004C3399" w:rsidRPr="00C903F8" w:rsidRDefault="004C3399" w:rsidP="00577ECC">
      <w:pPr>
        <w:pStyle w:val="ESletpar"/>
        <w:rPr>
          <w:rFonts w:eastAsia="Calibri"/>
          <w:noProof/>
          <w:lang w:val="en-US"/>
        </w:rPr>
      </w:pPr>
    </w:p>
    <w:p w:rsidR="00973DAA" w:rsidRPr="00C903F8" w:rsidRDefault="004C3399" w:rsidP="00577ECC">
      <w:pPr>
        <w:pStyle w:val="ESletpar"/>
        <w:rPr>
          <w:rFonts w:eastAsia="Calibri"/>
          <w:noProof/>
          <w:lang w:val="en-US"/>
        </w:rPr>
      </w:pPr>
      <w:r w:rsidRPr="00C903F8">
        <w:rPr>
          <w:rFonts w:eastAsia="Calibri"/>
          <w:noProof/>
          <w:lang w:val="en-US"/>
        </w:rPr>
        <w:br w:type="page"/>
      </w:r>
      <w:r w:rsidR="00973DAA" w:rsidRPr="00C903F8">
        <w:rPr>
          <w:rFonts w:eastAsia="Calibri"/>
          <w:noProof/>
          <w:lang w:val="en-US"/>
        </w:rPr>
        <w:lastRenderedPageBreak/>
        <w:t>In these formulae:</w:t>
      </w:r>
    </w:p>
    <w:p w:rsidR="00057037" w:rsidRPr="00C903F8" w:rsidRDefault="00057037" w:rsidP="00577ECC">
      <w:pPr>
        <w:pStyle w:val="ESletpar"/>
        <w:rPr>
          <w:rFonts w:eastAsia="Calibri" w:cs="Arial"/>
          <w:szCs w:val="18"/>
          <w:lang w:val="en-US"/>
        </w:rPr>
      </w:pPr>
      <m:oMathPara>
        <m:oMathParaPr>
          <m:jc m:val="left"/>
        </m:oMathParaPr>
        <m:oMath>
          <m:r>
            <w:rPr>
              <w:rFonts w:ascii="Cambria Math" w:eastAsia="Calibri" w:hAnsi="Cambria Math" w:cs="Arial"/>
              <w:szCs w:val="18"/>
              <w:lang w:val="en-US"/>
            </w:rPr>
            <m:t>f=1+0,0013 ∙</m:t>
          </m:r>
          <m:d>
            <m:dPr>
              <m:ctrlPr>
                <w:rPr>
                  <w:rFonts w:ascii="Cambria Math" w:eastAsia="Calibri" w:hAnsi="Cambria Math" w:cs="Arial"/>
                  <w:i/>
                  <w:szCs w:val="18"/>
                  <w:lang w:val="en-US"/>
                </w:rPr>
              </m:ctrlPr>
            </m:dPr>
            <m:e>
              <m:r>
                <w:rPr>
                  <w:rFonts w:ascii="Cambria Math" w:eastAsia="Calibri" w:hAnsi="Cambria Math" w:cs="Arial"/>
                  <w:szCs w:val="18"/>
                  <w:lang w:val="en-US"/>
                </w:rPr>
                <m:t>a-500</m:t>
              </m:r>
            </m:e>
          </m:d>
          <m:r>
            <w:rPr>
              <w:rFonts w:ascii="Cambria Math" w:eastAsia="Calibri" w:hAnsi="Cambria Math" w:cs="Arial"/>
              <w:szCs w:val="18"/>
              <w:lang w:val="en-US"/>
            </w:rPr>
            <m:t>;</m:t>
          </m:r>
        </m:oMath>
      </m:oMathPara>
    </w:p>
    <w:p w:rsidR="00973DAA" w:rsidRPr="00C903F8" w:rsidRDefault="00057037" w:rsidP="00577ECC">
      <w:pPr>
        <w:pStyle w:val="EStiret"/>
        <w:rPr>
          <w:rFonts w:eastAsia="Calibri"/>
          <w:lang w:val="en-US" w:eastAsia="en-US"/>
        </w:rPr>
      </w:pPr>
      <m:oMath>
        <m:r>
          <w:rPr>
            <w:rFonts w:ascii="Cambria Math" w:eastAsia="Calibri" w:hAnsi="Cambria Math"/>
            <w:lang w:val="en-US" w:eastAsia="en-US"/>
          </w:rPr>
          <m:t>a</m:t>
        </m:r>
      </m:oMath>
      <w:r w:rsidR="00973DAA" w:rsidRPr="00C903F8">
        <w:rPr>
          <w:rFonts w:eastAsia="Calibri"/>
          <w:lang w:val="en-US" w:eastAsia="en-US"/>
        </w:rPr>
        <w:t xml:space="preserve"> = longitudinal or transverse frame spacing (mm), and where the frame spacing is less than 400 mm,</w:t>
      </w:r>
      <w:r w:rsidR="002E3EAE" w:rsidRPr="00C903F8">
        <w:rPr>
          <w:rFonts w:eastAsia="Calibri"/>
          <w:lang w:val="en-US" w:eastAsia="en-US"/>
        </w:rPr>
        <w:t xml:space="preserve"> </w:t>
      </w:r>
      <m:oMath>
        <m:r>
          <w:rPr>
            <w:rFonts w:ascii="Cambria Math" w:eastAsia="Calibri" w:hAnsi="Cambria Math"/>
            <w:lang w:val="en-US" w:eastAsia="en-US"/>
          </w:rPr>
          <m:t>a=400 mm</m:t>
        </m:r>
      </m:oMath>
      <w:r w:rsidR="00973DAA" w:rsidRPr="00C903F8">
        <w:rPr>
          <w:rFonts w:eastAsia="Calibri"/>
          <w:lang w:val="en-US" w:eastAsia="en-US"/>
        </w:rPr>
        <w:t xml:space="preserve"> should be entered;</w:t>
      </w:r>
    </w:p>
    <w:p w:rsidR="00973DAA" w:rsidRPr="00C903F8" w:rsidRDefault="005C7859" w:rsidP="00577ECC">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 xml:space="preserve">it is permissible to fall short of the minimum value determined in accordance with </w:t>
      </w:r>
      <w:r w:rsidRPr="00C903F8">
        <w:rPr>
          <w:rFonts w:eastAsia="Calibri"/>
          <w:noProof/>
          <w:lang w:val="en-US" w:eastAsia="en-US"/>
        </w:rPr>
        <w:t>(a)</w:t>
      </w:r>
      <w:r w:rsidR="00973DAA" w:rsidRPr="00C903F8">
        <w:rPr>
          <w:rFonts w:eastAsia="Calibri"/>
          <w:noProof/>
          <w:lang w:val="en-US" w:eastAsia="en-US"/>
        </w:rPr>
        <w:t xml:space="preserve"> above for the plate thickness in cases where the permitted value has been determined and certified on the basis of a mathematical proof for the sufficient strength (longitudinal, transverse and local) of the vessel's hull;</w:t>
      </w:r>
    </w:p>
    <w:p w:rsidR="00973DAA" w:rsidRPr="00C903F8" w:rsidRDefault="005C7859" w:rsidP="00577ECC">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at no point of the outside plating shall the thickness calculated in accordance with (a) or (b) above be less than 3 mm;</w:t>
      </w:r>
    </w:p>
    <w:p w:rsidR="00973DAA" w:rsidRPr="00C903F8" w:rsidRDefault="005C7859" w:rsidP="00577ECC">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t>plate renewals shall be carried out when bottom, bilge or side plate thicknesses have fallen short of the minimum value determined in accordance with (a) or (b), in conjunction with (c) above.</w:t>
      </w:r>
    </w:p>
    <w:p w:rsidR="00577ECC" w:rsidRPr="00C903F8" w:rsidRDefault="00577ECC"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2.</w:t>
      </w:r>
      <w:r w:rsidRPr="00C903F8">
        <w:rPr>
          <w:rFonts w:eastAsia="Calibri"/>
          <w:noProof/>
          <w:lang w:val="en-US" w:eastAsia="en-US"/>
        </w:rPr>
        <w:tab/>
        <w:t>The number and position of bulkheads shall be selected such that, in the event of flooding, the vessel remains buoyant according to Article 19.03(7) to (13). Every portion of the internal structure which affects the efficiency of the subdivision of such vessels shall be watertight, and shall be of a design which will maintain the integrity of the subdivision.</w:t>
      </w:r>
    </w:p>
    <w:p w:rsidR="00577ECC" w:rsidRPr="00C903F8" w:rsidRDefault="00577ECC" w:rsidP="00973DAA">
      <w:pPr>
        <w:pStyle w:val="ESch"/>
        <w:rPr>
          <w:rFonts w:eastAsia="Calibri" w:cs="Arial"/>
          <w:szCs w:val="18"/>
          <w:lang w:val="en-US" w:eastAsia="en-US"/>
        </w:rPr>
      </w:pPr>
    </w:p>
    <w:p w:rsidR="00973DAA" w:rsidRPr="00C903F8" w:rsidRDefault="00973DAA" w:rsidP="00973DAA">
      <w:pPr>
        <w:pStyle w:val="ESch"/>
        <w:rPr>
          <w:rFonts w:eastAsia="Calibri" w:cs="Arial"/>
          <w:szCs w:val="18"/>
          <w:lang w:val="en-US" w:eastAsia="en-US"/>
        </w:rPr>
      </w:pPr>
      <w:r w:rsidRPr="00C903F8">
        <w:rPr>
          <w:rFonts w:eastAsia="Calibri" w:cs="Arial"/>
          <w:szCs w:val="18"/>
          <w:lang w:val="en-US" w:eastAsia="en-US"/>
        </w:rPr>
        <w:t>3.</w:t>
      </w:r>
      <w:r w:rsidRPr="00C903F8">
        <w:rPr>
          <w:rFonts w:eastAsia="Calibri" w:cs="Arial"/>
          <w:szCs w:val="18"/>
          <w:lang w:val="en-US" w:eastAsia="en-US"/>
        </w:rPr>
        <w:tab/>
        <w:t xml:space="preserve">For determining the positioning of the collision bulkhead and aft-peak bulkhead, the provisions of Article 3.03(1) shall apply, but the reference value to be used shall be the length of waterline </w:t>
      </w:r>
      <m:oMath>
        <m:sSub>
          <m:sSubPr>
            <m:ctrlPr>
              <w:rPr>
                <w:rFonts w:ascii="Cambria Math" w:eastAsia="Calibri" w:hAnsi="Cambria Math"/>
                <w:i/>
                <w:lang w:val="en-US" w:eastAsia="en-US"/>
              </w:rPr>
            </m:ctrlPr>
          </m:sSubPr>
          <m:e>
            <m:r>
              <w:rPr>
                <w:rFonts w:ascii="Cambria Math" w:eastAsia="Calibri" w:hAnsi="Cambria Math"/>
                <w:lang w:val="en-US" w:eastAsia="en-US"/>
              </w:rPr>
              <m:t>L</m:t>
            </m:r>
          </m:e>
          <m:sub>
            <m:r>
              <w:rPr>
                <w:rFonts w:ascii="Cambria Math" w:eastAsia="Calibri" w:hAnsi="Cambria Math"/>
                <w:lang w:val="en-US" w:eastAsia="en-US"/>
              </w:rPr>
              <m:t>WL</m:t>
            </m:r>
          </m:sub>
        </m:sSub>
      </m:oMath>
      <w:r w:rsidR="006F3490" w:rsidRPr="00C903F8">
        <w:rPr>
          <w:rFonts w:eastAsia="Calibri" w:cs="Arial"/>
          <w:szCs w:val="18"/>
          <w:lang w:val="en-US" w:eastAsia="en-US"/>
        </w:rPr>
        <w:t xml:space="preserve"> </w:t>
      </w:r>
      <w:r w:rsidRPr="00C903F8">
        <w:rPr>
          <w:rFonts w:eastAsia="Calibri" w:cs="Arial"/>
          <w:szCs w:val="18"/>
          <w:lang w:val="en-US" w:eastAsia="en-US"/>
        </w:rPr>
        <w:t>rather than the length.</w:t>
      </w:r>
    </w:p>
    <w:p w:rsidR="00577ECC" w:rsidRPr="00C903F8" w:rsidRDefault="00577ECC"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4.</w:t>
      </w:r>
      <w:r w:rsidRPr="00C903F8">
        <w:rPr>
          <w:rFonts w:eastAsia="Calibri"/>
          <w:noProof/>
          <w:lang w:val="en-US" w:eastAsia="en-US"/>
        </w:rPr>
        <w:tab/>
        <w:t xml:space="preserve">A transverse bulkhead may be fitted with a bulkhead recess, if all parts of this </w:t>
      </w:r>
      <w:r w:rsidR="006C6A9E" w:rsidRPr="00C903F8">
        <w:rPr>
          <w:rFonts w:eastAsia="Calibri"/>
          <w:noProof/>
          <w:lang w:val="en-US" w:eastAsia="en-US"/>
        </w:rPr>
        <w:t xml:space="preserve">recess </w:t>
      </w:r>
      <w:r w:rsidRPr="00C903F8">
        <w:rPr>
          <w:rFonts w:eastAsia="Calibri"/>
          <w:noProof/>
          <w:lang w:val="en-US" w:eastAsia="en-US"/>
        </w:rPr>
        <w:t>lie within the safe area.</w:t>
      </w:r>
    </w:p>
    <w:p w:rsidR="00577ECC" w:rsidRPr="00C903F8" w:rsidRDefault="00577ECC"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5.</w:t>
      </w:r>
      <w:r w:rsidRPr="00C903F8">
        <w:rPr>
          <w:rFonts w:eastAsia="Calibri"/>
          <w:noProof/>
          <w:lang w:val="en-US" w:eastAsia="en-US"/>
        </w:rPr>
        <w:tab/>
        <w:t>The bulkheads, which are taken into account in the damage stability calculation according to Article 19.03(7) to (13), shall be watertight and be installed up to the bulkhead deck. Where there is no bulkhead deck, these bulkheads shall extend to a height at least 0,20 m above the margin line.</w:t>
      </w:r>
    </w:p>
    <w:p w:rsidR="00577ECC" w:rsidRPr="00C903F8" w:rsidRDefault="00577ECC"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6.</w:t>
      </w:r>
      <w:r w:rsidRPr="00C903F8">
        <w:rPr>
          <w:rFonts w:eastAsia="Calibri"/>
          <w:noProof/>
          <w:lang w:val="en-US" w:eastAsia="en-US"/>
        </w:rPr>
        <w:tab/>
        <w:t>The number of openings in these bulkheads shall be kept as low as is consistent with the type of construction and normal operation of the vessel. Openings and penetrations shall not have a detrimental effect on the watertight function of the bulkheads.</w:t>
      </w:r>
    </w:p>
    <w:p w:rsidR="00577ECC" w:rsidRPr="00C903F8" w:rsidRDefault="00577ECC"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7.</w:t>
      </w:r>
      <w:r w:rsidRPr="00C903F8">
        <w:rPr>
          <w:rFonts w:eastAsia="Calibri"/>
          <w:noProof/>
          <w:lang w:val="en-US" w:eastAsia="en-US"/>
        </w:rPr>
        <w:tab/>
        <w:t>Collision bulkheads shall have no openings and no doors.</w:t>
      </w:r>
    </w:p>
    <w:p w:rsidR="00577ECC" w:rsidRPr="00C903F8" w:rsidRDefault="00577ECC"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8.</w:t>
      </w:r>
      <w:r w:rsidRPr="00C903F8">
        <w:rPr>
          <w:rFonts w:eastAsia="Calibri"/>
          <w:noProof/>
          <w:lang w:val="en-US" w:eastAsia="en-US"/>
        </w:rPr>
        <w:tab/>
        <w:t xml:space="preserve">Bulkheads separating the engine rooms from passenger </w:t>
      </w:r>
      <w:r w:rsidR="002723EF" w:rsidRPr="00C903F8">
        <w:rPr>
          <w:rFonts w:eastAsia="Calibri"/>
          <w:noProof/>
          <w:lang w:val="en-US" w:eastAsia="en-US"/>
        </w:rPr>
        <w:t>rooms</w:t>
      </w:r>
      <w:r w:rsidRPr="00C903F8">
        <w:rPr>
          <w:rFonts w:eastAsia="Calibri"/>
          <w:noProof/>
          <w:lang w:val="en-US" w:eastAsia="en-US"/>
        </w:rPr>
        <w:t xml:space="preserve"> or crew and shipboard personnel accommodation shall have no doors.</w:t>
      </w:r>
    </w:p>
    <w:p w:rsidR="00577ECC" w:rsidRPr="00C903F8" w:rsidRDefault="00577ECC"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9.</w:t>
      </w:r>
      <w:r w:rsidRPr="00C903F8">
        <w:rPr>
          <w:rFonts w:eastAsia="Calibri"/>
          <w:noProof/>
          <w:lang w:val="en-US" w:eastAsia="en-US"/>
        </w:rPr>
        <w:tab/>
        <w:t xml:space="preserve">Manually operated doors without remote control in bulkheads referred to in </w:t>
      </w:r>
      <w:r w:rsidR="00FD1E75" w:rsidRPr="00C903F8">
        <w:rPr>
          <w:rFonts w:eastAsia="Calibri"/>
          <w:noProof/>
          <w:lang w:val="en-US" w:eastAsia="en-US"/>
        </w:rPr>
        <w:t>(</w:t>
      </w:r>
      <w:r w:rsidRPr="00C903F8">
        <w:rPr>
          <w:rFonts w:eastAsia="Calibri"/>
          <w:noProof/>
          <w:lang w:val="en-US" w:eastAsia="en-US"/>
        </w:rPr>
        <w:t>5</w:t>
      </w:r>
      <w:r w:rsidR="00FD1E75" w:rsidRPr="00C903F8">
        <w:rPr>
          <w:rFonts w:eastAsia="Calibri"/>
          <w:noProof/>
          <w:lang w:val="en-US" w:eastAsia="en-US"/>
        </w:rPr>
        <w:t>)</w:t>
      </w:r>
      <w:r w:rsidRPr="00C903F8">
        <w:rPr>
          <w:rFonts w:eastAsia="Calibri"/>
          <w:noProof/>
          <w:lang w:val="en-US" w:eastAsia="en-US"/>
        </w:rPr>
        <w:t>, are permitted only in areas not accessible to passengers. They shall:</w:t>
      </w:r>
    </w:p>
    <w:p w:rsidR="00973DAA" w:rsidRPr="00C903F8" w:rsidRDefault="005C7859" w:rsidP="00577ECC">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remain closed at all times and be opened only temporarily to allow access;</w:t>
      </w:r>
    </w:p>
    <w:p w:rsidR="00973DAA" w:rsidRPr="00C903F8" w:rsidRDefault="005C7859" w:rsidP="00577ECC">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be fitted with suitable devices to enable them to be closed quickly and safely;</w:t>
      </w:r>
    </w:p>
    <w:p w:rsidR="00973DAA" w:rsidRPr="00C903F8" w:rsidRDefault="005C7859" w:rsidP="00577ECC">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display the following notice on both sides of the doors:</w:t>
      </w:r>
    </w:p>
    <w:p w:rsidR="00973DAA" w:rsidRPr="00C903F8" w:rsidRDefault="00973DAA" w:rsidP="00577ECC">
      <w:pPr>
        <w:pStyle w:val="ESlet"/>
        <w:jc w:val="center"/>
        <w:rPr>
          <w:rFonts w:eastAsia="Calibri" w:cs="Arial"/>
          <w:szCs w:val="18"/>
          <w:lang w:val="en-US" w:eastAsia="en-US"/>
        </w:rPr>
      </w:pPr>
      <w:r w:rsidRPr="00C903F8">
        <w:rPr>
          <w:rFonts w:eastAsia="Calibri"/>
          <w:noProof/>
          <w:lang w:val="en-US" w:eastAsia="en-US"/>
        </w:rPr>
        <w:t>‘Close door immediately after passing through’.</w:t>
      </w:r>
    </w:p>
    <w:p w:rsidR="00577ECC" w:rsidRPr="00C903F8" w:rsidRDefault="00577ECC"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10.</w:t>
      </w:r>
      <w:r w:rsidRPr="00C903F8">
        <w:rPr>
          <w:rFonts w:eastAsia="Calibri"/>
          <w:noProof/>
          <w:lang w:val="en-US" w:eastAsia="en-US"/>
        </w:rPr>
        <w:tab/>
        <w:t xml:space="preserve">Doors in bulkheads referred to in </w:t>
      </w:r>
      <w:r w:rsidR="00FD1E75" w:rsidRPr="00C903F8">
        <w:rPr>
          <w:rFonts w:eastAsia="Calibri"/>
          <w:noProof/>
          <w:lang w:val="en-US" w:eastAsia="en-US"/>
        </w:rPr>
        <w:t>(</w:t>
      </w:r>
      <w:r w:rsidRPr="00C903F8">
        <w:rPr>
          <w:rFonts w:eastAsia="Calibri"/>
          <w:noProof/>
          <w:lang w:val="en-US" w:eastAsia="en-US"/>
        </w:rPr>
        <w:t>5</w:t>
      </w:r>
      <w:r w:rsidR="00FD1E75" w:rsidRPr="00C903F8">
        <w:rPr>
          <w:rFonts w:eastAsia="Calibri"/>
          <w:noProof/>
          <w:lang w:val="en-US" w:eastAsia="en-US"/>
        </w:rPr>
        <w:t>)</w:t>
      </w:r>
      <w:r w:rsidRPr="00C903F8">
        <w:rPr>
          <w:rFonts w:eastAsia="Calibri"/>
          <w:noProof/>
          <w:lang w:val="en-US" w:eastAsia="en-US"/>
        </w:rPr>
        <w:t xml:space="preserve"> that are open for long periods shall comply with the following requirements:</w:t>
      </w:r>
    </w:p>
    <w:p w:rsidR="00973DAA" w:rsidRPr="00C903F8" w:rsidRDefault="005C7859" w:rsidP="00577ECC">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r>
      <w:r w:rsidR="005F6042" w:rsidRPr="00C903F8">
        <w:rPr>
          <w:rFonts w:eastAsia="Calibri"/>
          <w:noProof/>
          <w:lang w:val="en-US" w:eastAsia="en-US"/>
        </w:rPr>
        <w:t>t</w:t>
      </w:r>
      <w:r w:rsidR="00973DAA" w:rsidRPr="00C903F8">
        <w:rPr>
          <w:rFonts w:eastAsia="Calibri"/>
          <w:noProof/>
          <w:lang w:val="en-US" w:eastAsia="en-US"/>
        </w:rPr>
        <w:t>hey shall be capable of being closed from both sides of the bulkhead and from an easily accessible point above the bulkhead deck</w:t>
      </w:r>
      <w:r w:rsidR="005F6042" w:rsidRPr="00C903F8">
        <w:rPr>
          <w:rFonts w:eastAsia="Calibri"/>
          <w:noProof/>
          <w:lang w:val="en-US" w:eastAsia="en-US"/>
        </w:rPr>
        <w:t>;</w:t>
      </w:r>
    </w:p>
    <w:p w:rsidR="00973DAA" w:rsidRPr="00C903F8" w:rsidRDefault="004C3399" w:rsidP="00577ECC">
      <w:pPr>
        <w:pStyle w:val="ESlet"/>
        <w:rPr>
          <w:rFonts w:eastAsia="Calibri" w:cs="Arial"/>
          <w:szCs w:val="18"/>
          <w:lang w:val="en-US" w:eastAsia="en-US"/>
        </w:rPr>
      </w:pPr>
      <w:r w:rsidRPr="00C903F8">
        <w:rPr>
          <w:rFonts w:eastAsia="Calibri"/>
          <w:noProof/>
          <w:lang w:val="en-US" w:eastAsia="en-US"/>
        </w:rPr>
        <w:br w:type="page"/>
      </w:r>
      <w:r w:rsidR="005C7859" w:rsidRPr="00C903F8">
        <w:rPr>
          <w:rFonts w:eastAsia="Calibri"/>
          <w:noProof/>
          <w:lang w:val="en-US" w:eastAsia="en-US"/>
        </w:rPr>
        <w:lastRenderedPageBreak/>
        <w:t>b)</w:t>
      </w:r>
      <w:r w:rsidR="00973DAA" w:rsidRPr="00C903F8">
        <w:rPr>
          <w:rFonts w:eastAsia="Calibri"/>
          <w:noProof/>
          <w:lang w:val="en-US" w:eastAsia="en-US"/>
        </w:rPr>
        <w:tab/>
      </w:r>
      <w:r w:rsidR="005F6042" w:rsidRPr="00C903F8">
        <w:rPr>
          <w:rFonts w:eastAsia="Calibri"/>
          <w:noProof/>
          <w:lang w:val="en-US" w:eastAsia="en-US"/>
        </w:rPr>
        <w:t>a</w:t>
      </w:r>
      <w:r w:rsidR="00973DAA" w:rsidRPr="00C903F8">
        <w:rPr>
          <w:rFonts w:eastAsia="Calibri"/>
          <w:noProof/>
          <w:lang w:val="en-US" w:eastAsia="en-US"/>
        </w:rPr>
        <w:t>fter being closed by remote control the door shall be such that it can be opened again locally and closed safely. Closure shall not be impeded by carpeting, foot rails or other obstructions</w:t>
      </w:r>
      <w:r w:rsidR="005F6042" w:rsidRPr="00C903F8">
        <w:rPr>
          <w:rFonts w:eastAsia="Calibri"/>
          <w:noProof/>
          <w:lang w:val="en-US" w:eastAsia="en-US"/>
        </w:rPr>
        <w:t>;</w:t>
      </w:r>
    </w:p>
    <w:p w:rsidR="00973DAA" w:rsidRPr="00C903F8" w:rsidRDefault="005C7859" w:rsidP="00577ECC">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r>
      <w:r w:rsidR="005F6042" w:rsidRPr="00C903F8">
        <w:rPr>
          <w:rFonts w:eastAsia="Calibri"/>
          <w:noProof/>
          <w:lang w:val="en-US" w:eastAsia="en-US"/>
        </w:rPr>
        <w:t>t</w:t>
      </w:r>
      <w:r w:rsidR="00973DAA" w:rsidRPr="00C903F8">
        <w:rPr>
          <w:rFonts w:eastAsia="Calibri"/>
          <w:noProof/>
          <w:lang w:val="en-US" w:eastAsia="en-US"/>
        </w:rPr>
        <w:t>he time taken for the remote-controlled closure process shall be at least 30 seconds but not more than 60 seconds</w:t>
      </w:r>
      <w:r w:rsidR="005F6042" w:rsidRPr="00C903F8">
        <w:rPr>
          <w:rFonts w:eastAsia="Calibri"/>
          <w:noProof/>
          <w:lang w:val="en-US" w:eastAsia="en-US"/>
        </w:rPr>
        <w:t>;</w:t>
      </w:r>
    </w:p>
    <w:p w:rsidR="00973DAA" w:rsidRPr="00C903F8" w:rsidRDefault="005C7859" w:rsidP="00577ECC">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r>
      <w:r w:rsidR="005F6042" w:rsidRPr="00C903F8">
        <w:rPr>
          <w:rFonts w:eastAsia="Calibri"/>
          <w:noProof/>
          <w:lang w:val="en-US" w:eastAsia="en-US"/>
        </w:rPr>
        <w:t>d</w:t>
      </w:r>
      <w:r w:rsidR="00973DAA" w:rsidRPr="00C903F8">
        <w:rPr>
          <w:rFonts w:eastAsia="Calibri"/>
          <w:noProof/>
          <w:lang w:val="en-US" w:eastAsia="en-US"/>
        </w:rPr>
        <w:t>uring the closure procedure an automatic acoustic alarm shall sound by the door</w:t>
      </w:r>
      <w:r w:rsidR="005F6042" w:rsidRPr="00C903F8">
        <w:rPr>
          <w:rFonts w:eastAsia="Calibri"/>
          <w:noProof/>
          <w:lang w:val="en-US" w:eastAsia="en-US"/>
        </w:rPr>
        <w:t>;</w:t>
      </w:r>
    </w:p>
    <w:p w:rsidR="00973DAA" w:rsidRPr="00C903F8" w:rsidRDefault="0029453D" w:rsidP="00577ECC">
      <w:pPr>
        <w:pStyle w:val="ESlet"/>
        <w:rPr>
          <w:rFonts w:eastAsia="Calibri" w:cs="Arial"/>
          <w:szCs w:val="18"/>
          <w:lang w:val="en-US" w:eastAsia="en-US"/>
        </w:rPr>
      </w:pPr>
      <w:r w:rsidRPr="00C903F8">
        <w:rPr>
          <w:rFonts w:eastAsia="Calibri"/>
          <w:noProof/>
          <w:lang w:val="en-US" w:eastAsia="en-US"/>
        </w:rPr>
        <w:t>e)</w:t>
      </w:r>
      <w:r w:rsidR="00973DAA" w:rsidRPr="00C903F8">
        <w:rPr>
          <w:rFonts w:eastAsia="Calibri"/>
          <w:noProof/>
          <w:lang w:val="en-US" w:eastAsia="en-US"/>
        </w:rPr>
        <w:tab/>
      </w:r>
      <w:r w:rsidR="005F6042" w:rsidRPr="00C903F8">
        <w:rPr>
          <w:rFonts w:eastAsia="Calibri"/>
          <w:noProof/>
          <w:lang w:val="en-US" w:eastAsia="en-US"/>
        </w:rPr>
        <w:t>t</w:t>
      </w:r>
      <w:r w:rsidR="00973DAA" w:rsidRPr="00C903F8">
        <w:rPr>
          <w:rFonts w:eastAsia="Calibri"/>
          <w:noProof/>
          <w:lang w:val="en-US" w:eastAsia="en-US"/>
        </w:rPr>
        <w:t>he door drive and alarm shall also be capable of operating independently of the on-board power supply. There shall be a device at the location of the remote control that displays whether the door is open or closed.</w:t>
      </w:r>
    </w:p>
    <w:p w:rsidR="00577ECC" w:rsidRPr="00C903F8" w:rsidRDefault="00577ECC"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11.</w:t>
      </w:r>
      <w:r w:rsidRPr="00C903F8">
        <w:rPr>
          <w:rFonts w:eastAsia="Calibri"/>
          <w:noProof/>
          <w:lang w:val="en-US" w:eastAsia="en-US"/>
        </w:rPr>
        <w:tab/>
        <w:t xml:space="preserve">Doors in bulkheads referred to in </w:t>
      </w:r>
      <w:r w:rsidR="00FD1E75" w:rsidRPr="00C903F8">
        <w:rPr>
          <w:rFonts w:eastAsia="Calibri"/>
          <w:noProof/>
          <w:lang w:val="en-US" w:eastAsia="en-US"/>
        </w:rPr>
        <w:t>(</w:t>
      </w:r>
      <w:r w:rsidRPr="00C903F8">
        <w:rPr>
          <w:rFonts w:eastAsia="Calibri"/>
          <w:noProof/>
          <w:lang w:val="en-US" w:eastAsia="en-US"/>
        </w:rPr>
        <w:t>5</w:t>
      </w:r>
      <w:r w:rsidR="00FD1E75" w:rsidRPr="00C903F8">
        <w:rPr>
          <w:rFonts w:eastAsia="Calibri"/>
          <w:noProof/>
          <w:lang w:val="en-US" w:eastAsia="en-US"/>
        </w:rPr>
        <w:t>)</w:t>
      </w:r>
      <w:r w:rsidRPr="00C903F8">
        <w:rPr>
          <w:rFonts w:eastAsia="Calibri"/>
          <w:noProof/>
          <w:lang w:val="en-US" w:eastAsia="en-US"/>
        </w:rPr>
        <w:t>, and their actuators shall be located in the safe area.</w:t>
      </w:r>
    </w:p>
    <w:p w:rsidR="00577ECC" w:rsidRPr="00C903F8" w:rsidRDefault="00577ECC"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 xml:space="preserve">12. </w:t>
      </w:r>
      <w:r w:rsidRPr="00C903F8">
        <w:rPr>
          <w:rFonts w:eastAsia="Calibri"/>
          <w:noProof/>
          <w:lang w:val="en-US" w:eastAsia="en-US"/>
        </w:rPr>
        <w:tab/>
        <w:t xml:space="preserve">There shall be a warning system in the wheelhouse to indicate which of the doors in bulkheads referred to in </w:t>
      </w:r>
      <w:r w:rsidR="00FD1E75" w:rsidRPr="00C903F8">
        <w:rPr>
          <w:rFonts w:eastAsia="Calibri"/>
          <w:noProof/>
          <w:lang w:val="en-US" w:eastAsia="en-US"/>
        </w:rPr>
        <w:t>(</w:t>
      </w:r>
      <w:r w:rsidRPr="00C903F8">
        <w:rPr>
          <w:rFonts w:eastAsia="Calibri"/>
          <w:noProof/>
          <w:lang w:val="en-US" w:eastAsia="en-US"/>
        </w:rPr>
        <w:t>5</w:t>
      </w:r>
      <w:r w:rsidR="00FD1E75" w:rsidRPr="00C903F8">
        <w:rPr>
          <w:rFonts w:eastAsia="Calibri"/>
          <w:noProof/>
          <w:lang w:val="en-US" w:eastAsia="en-US"/>
        </w:rPr>
        <w:t>)</w:t>
      </w:r>
      <w:r w:rsidRPr="00C903F8">
        <w:rPr>
          <w:rFonts w:eastAsia="Calibri"/>
          <w:noProof/>
          <w:lang w:val="en-US" w:eastAsia="en-US"/>
        </w:rPr>
        <w:t xml:space="preserve"> are open.</w:t>
      </w:r>
    </w:p>
    <w:p w:rsidR="00577ECC" w:rsidRPr="00C903F8" w:rsidRDefault="00577ECC"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 xml:space="preserve">13. </w:t>
      </w:r>
      <w:r w:rsidRPr="00C903F8">
        <w:rPr>
          <w:rFonts w:eastAsia="Calibri"/>
          <w:noProof/>
          <w:lang w:val="en-US" w:eastAsia="en-US"/>
        </w:rPr>
        <w:tab/>
        <w:t>Open-ended piping and ventilation ducts shall be offset in such a way that, in any conceivable flooding, no additional spaces or tanks are flooded through them.</w:t>
      </w:r>
    </w:p>
    <w:p w:rsidR="00973DAA" w:rsidRPr="00C903F8" w:rsidRDefault="005C7859" w:rsidP="00577ECC">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If several compartments are openly connected by piping or ventilation ducts, such piping and ducts shall, in an appropriate place, be lead above the waterline corresponding to the worst possible flooding.</w:t>
      </w:r>
    </w:p>
    <w:p w:rsidR="00973DAA" w:rsidRPr="00C903F8" w:rsidRDefault="005C7859" w:rsidP="00577ECC">
      <w:pPr>
        <w:pStyle w:val="ESlet"/>
        <w:rPr>
          <w:rFonts w:eastAsia="Calibri"/>
          <w:noProof/>
          <w:lang w:val="en-US" w:eastAsia="en-US"/>
        </w:rPr>
      </w:pPr>
      <w:r w:rsidRPr="00C903F8">
        <w:rPr>
          <w:rFonts w:eastAsia="Calibri"/>
          <w:noProof/>
          <w:lang w:val="en-US" w:eastAsia="en-US"/>
        </w:rPr>
        <w:t>b)</w:t>
      </w:r>
      <w:r w:rsidRPr="00C903F8">
        <w:rPr>
          <w:rFonts w:eastAsia="Calibri"/>
          <w:noProof/>
          <w:lang w:val="en-US" w:eastAsia="en-US"/>
        </w:rPr>
        <w:tab/>
      </w:r>
      <w:r w:rsidR="00973DAA" w:rsidRPr="00C903F8">
        <w:rPr>
          <w:rFonts w:eastAsia="Calibri"/>
          <w:noProof/>
          <w:lang w:val="en-US" w:eastAsia="en-US"/>
        </w:rPr>
        <w:t>Piping need not meet the requirement under (a) if shut-off devices are fitted in the piping where it passes through the bulkheads and which can be remotely controlled from a point above the bulkhead deck.</w:t>
      </w:r>
    </w:p>
    <w:p w:rsidR="00973DAA" w:rsidRPr="00C903F8" w:rsidRDefault="005C7859" w:rsidP="00577ECC">
      <w:pPr>
        <w:pStyle w:val="ESlet"/>
        <w:rPr>
          <w:rFonts w:eastAsia="Calibri"/>
          <w:noProof/>
          <w:lang w:val="en-US" w:eastAsia="en-US"/>
        </w:rPr>
      </w:pPr>
      <w:r w:rsidRPr="00C903F8">
        <w:rPr>
          <w:rFonts w:eastAsia="Calibri"/>
          <w:noProof/>
          <w:lang w:val="en-US" w:eastAsia="en-US"/>
        </w:rPr>
        <w:t>c)</w:t>
      </w:r>
      <w:r w:rsidR="00973DAA" w:rsidRPr="00C903F8">
        <w:rPr>
          <w:rFonts w:eastAsia="Calibri"/>
          <w:noProof/>
          <w:lang w:val="en-US" w:eastAsia="en-US"/>
        </w:rPr>
        <w:tab/>
        <w:t>Where a pipework system has no open outlet in a compartment, the pipework shall be regarded as intact in the event of this compartment being damaged, if it runs within the safe area and is more than 0,50 m from the bottom of the vessel.</w:t>
      </w:r>
    </w:p>
    <w:p w:rsidR="00973DAA" w:rsidRPr="00C903F8" w:rsidRDefault="00973DAA"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14.</w:t>
      </w:r>
      <w:r w:rsidRPr="00C903F8">
        <w:rPr>
          <w:rFonts w:eastAsia="Calibri"/>
          <w:noProof/>
          <w:lang w:val="en-US" w:eastAsia="en-US"/>
        </w:rPr>
        <w:tab/>
        <w:t xml:space="preserve">Remote controls of bulkhead doors according to </w:t>
      </w:r>
      <w:r w:rsidR="00FD1E75" w:rsidRPr="00C903F8">
        <w:rPr>
          <w:rFonts w:eastAsia="Calibri"/>
          <w:noProof/>
          <w:lang w:val="en-US" w:eastAsia="en-US"/>
        </w:rPr>
        <w:t>(</w:t>
      </w:r>
      <w:r w:rsidRPr="00C903F8">
        <w:rPr>
          <w:rFonts w:eastAsia="Calibri"/>
          <w:noProof/>
          <w:lang w:val="en-US" w:eastAsia="en-US"/>
        </w:rPr>
        <w:t>10</w:t>
      </w:r>
      <w:r w:rsidR="00FD1E75" w:rsidRPr="00C903F8">
        <w:rPr>
          <w:rFonts w:eastAsia="Calibri"/>
          <w:noProof/>
          <w:lang w:val="en-US" w:eastAsia="en-US"/>
        </w:rPr>
        <w:t>)</w:t>
      </w:r>
      <w:r w:rsidRPr="00C903F8">
        <w:rPr>
          <w:rFonts w:eastAsia="Calibri"/>
          <w:noProof/>
          <w:lang w:val="en-US" w:eastAsia="en-US"/>
        </w:rPr>
        <w:t xml:space="preserve"> and shut-off devices according to </w:t>
      </w:r>
      <w:r w:rsidR="00FD1E75" w:rsidRPr="00C903F8">
        <w:rPr>
          <w:rFonts w:eastAsia="Calibri"/>
          <w:noProof/>
          <w:lang w:val="en-US" w:eastAsia="en-US"/>
        </w:rPr>
        <w:t>(</w:t>
      </w:r>
      <w:r w:rsidRPr="00C903F8">
        <w:rPr>
          <w:rFonts w:eastAsia="Calibri"/>
          <w:noProof/>
          <w:lang w:val="en-US" w:eastAsia="en-US"/>
        </w:rPr>
        <w:t>13</w:t>
      </w:r>
      <w:r w:rsidR="00FD1E75" w:rsidRPr="00C903F8">
        <w:rPr>
          <w:rFonts w:eastAsia="Calibri"/>
          <w:noProof/>
          <w:lang w:val="en-US" w:eastAsia="en-US"/>
        </w:rPr>
        <w:t>)</w:t>
      </w:r>
      <w:r w:rsidRPr="00C903F8">
        <w:rPr>
          <w:rFonts w:eastAsia="Calibri"/>
          <w:noProof/>
          <w:lang w:val="en-US" w:eastAsia="en-US"/>
        </w:rPr>
        <w:t>(b) above the bulkhead deck shall be clearly indicated as such.</w:t>
      </w:r>
    </w:p>
    <w:p w:rsidR="00973DAA" w:rsidRPr="00C903F8" w:rsidRDefault="00973DAA"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15.</w:t>
      </w:r>
      <w:r w:rsidRPr="00C903F8">
        <w:rPr>
          <w:rFonts w:eastAsia="Calibri"/>
          <w:noProof/>
          <w:lang w:val="en-US" w:eastAsia="en-US"/>
        </w:rPr>
        <w:tab/>
        <w:t>Where double bottoms are fitted, their height shall be at least 0,60 m, and where wing voids are fitted, their width shall be at least 0,60 m.</w:t>
      </w:r>
    </w:p>
    <w:p w:rsidR="00973DAA" w:rsidRPr="00C903F8" w:rsidRDefault="00973DAA"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16.</w:t>
      </w:r>
      <w:r w:rsidRPr="00C903F8">
        <w:rPr>
          <w:rFonts w:eastAsia="Calibri"/>
          <w:noProof/>
          <w:lang w:val="en-US" w:eastAsia="en-US"/>
        </w:rPr>
        <w:tab/>
        <w:t>Windows may be situated below the margin line if they are watertight, cannot be opened, possess sufficient strength and conform to Article 19.06(14).</w:t>
      </w:r>
    </w:p>
    <w:p w:rsidR="00973DAA" w:rsidRPr="00C903F8" w:rsidRDefault="00973DAA" w:rsidP="00973DAA">
      <w:pPr>
        <w:pStyle w:val="ESch"/>
        <w:rPr>
          <w:rFonts w:eastAsia="Calibri" w:cs="Arial"/>
          <w:szCs w:val="18"/>
          <w:lang w:val="en-US" w:eastAsia="en-US"/>
        </w:rPr>
      </w:pPr>
    </w:p>
    <w:p w:rsidR="00577ECC" w:rsidRPr="00C903F8" w:rsidRDefault="00577ECC" w:rsidP="00973DAA">
      <w:pPr>
        <w:pStyle w:val="ESch"/>
        <w:rPr>
          <w:rFonts w:eastAsia="Calibri" w:cs="Arial"/>
          <w:szCs w:val="18"/>
          <w:lang w:val="en-US" w:eastAsia="en-US"/>
        </w:rPr>
      </w:pPr>
    </w:p>
    <w:p w:rsidR="00973DAA" w:rsidRPr="00C903F8" w:rsidRDefault="00973DAA" w:rsidP="00973DAA">
      <w:pPr>
        <w:pStyle w:val="ES-Titre3"/>
        <w:rPr>
          <w:rFonts w:cs="Arial"/>
          <w:lang w:val="en-US"/>
        </w:rPr>
      </w:pPr>
      <w:bookmarkStart w:id="184" w:name="_Toc491854172"/>
      <w:r w:rsidRPr="00C903F8">
        <w:rPr>
          <w:noProof/>
          <w:lang w:val="en-US"/>
        </w:rPr>
        <w:t>Article 19.03</w:t>
      </w:r>
      <w:r w:rsidRPr="00C903F8">
        <w:rPr>
          <w:noProof/>
          <w:lang w:val="en-US"/>
        </w:rPr>
        <w:br/>
      </w:r>
      <w:r w:rsidRPr="00C903F8">
        <w:rPr>
          <w:bCs/>
          <w:i/>
          <w:noProof/>
          <w:lang w:val="en-US"/>
        </w:rPr>
        <w:t>Stability</w:t>
      </w:r>
      <w:bookmarkEnd w:id="184"/>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w:t>
      </w:r>
      <w:r w:rsidRPr="00C903F8">
        <w:rPr>
          <w:rFonts w:eastAsia="Calibri"/>
          <w:noProof/>
          <w:lang w:val="en-US" w:eastAsia="en-US"/>
        </w:rPr>
        <w:tab/>
        <w:t>The applicant shall prove by a calculation based on the results from the application of a standard for intact stability that the intact stability of the vessel is appropriate. All calculations shall be carried out free to trim and sinkage. The lightship data taken into account for the stability calculation shall be determined by means of a heeling test.</w:t>
      </w:r>
    </w:p>
    <w:p w:rsidR="00577ECC" w:rsidRPr="00C903F8" w:rsidRDefault="00577ECC" w:rsidP="00973DAA">
      <w:pPr>
        <w:pStyle w:val="ESch"/>
        <w:rPr>
          <w:rFonts w:eastAsia="Calibri"/>
          <w:noProof/>
          <w:lang w:val="en-US" w:eastAsia="en-US"/>
        </w:rPr>
      </w:pPr>
    </w:p>
    <w:p w:rsidR="004C3399" w:rsidRPr="00C903F8" w:rsidRDefault="004C3399" w:rsidP="00973DAA">
      <w:pPr>
        <w:pStyle w:val="ESch"/>
        <w:rPr>
          <w:rFonts w:eastAsia="Calibri"/>
          <w:noProof/>
          <w:lang w:val="en-US" w:eastAsia="en-US"/>
        </w:rPr>
      </w:pPr>
      <w:r w:rsidRPr="00C903F8">
        <w:rPr>
          <w:rFonts w:eastAsia="Calibri"/>
          <w:noProof/>
          <w:lang w:val="en-US" w:eastAsia="en-US"/>
        </w:rPr>
        <w:br w:type="page"/>
      </w:r>
    </w:p>
    <w:p w:rsidR="00973DAA" w:rsidRPr="00C903F8" w:rsidRDefault="00973DAA" w:rsidP="00973DAA">
      <w:pPr>
        <w:pStyle w:val="ESch"/>
        <w:rPr>
          <w:rFonts w:eastAsia="Calibri"/>
          <w:noProof/>
          <w:lang w:val="en-US" w:eastAsia="en-US"/>
        </w:rPr>
      </w:pPr>
      <w:r w:rsidRPr="00C903F8">
        <w:rPr>
          <w:rFonts w:eastAsia="Calibri"/>
          <w:noProof/>
          <w:lang w:val="en-US" w:eastAsia="en-US"/>
        </w:rPr>
        <w:lastRenderedPageBreak/>
        <w:t>2.</w:t>
      </w:r>
      <w:r w:rsidRPr="00C903F8">
        <w:rPr>
          <w:rFonts w:eastAsia="Calibri"/>
          <w:noProof/>
          <w:lang w:val="en-US" w:eastAsia="en-US"/>
        </w:rPr>
        <w:tab/>
        <w:t>The intact stability shall be proven for the following standard load</w:t>
      </w:r>
      <w:r w:rsidR="00D302B4" w:rsidRPr="00C903F8">
        <w:rPr>
          <w:rFonts w:eastAsia="Calibri"/>
          <w:noProof/>
          <w:lang w:val="en-US" w:eastAsia="en-US"/>
        </w:rPr>
        <w:t>ing</w:t>
      </w:r>
      <w:r w:rsidRPr="00C903F8">
        <w:rPr>
          <w:rFonts w:eastAsia="Calibri"/>
          <w:noProof/>
          <w:lang w:val="en-US" w:eastAsia="en-US"/>
        </w:rPr>
        <w:t xml:space="preserve"> conditions:</w:t>
      </w:r>
    </w:p>
    <w:p w:rsidR="00973DAA" w:rsidRPr="00C903F8" w:rsidRDefault="005C7859" w:rsidP="00577ECC">
      <w:pPr>
        <w:pStyle w:val="ESlet"/>
        <w:rPr>
          <w:rFonts w:eastAsia="Calibri"/>
          <w:noProof/>
          <w:lang w:val="en-US" w:eastAsia="en-US"/>
        </w:rPr>
      </w:pPr>
      <w:r w:rsidRPr="00C903F8">
        <w:rPr>
          <w:rFonts w:eastAsia="Calibri"/>
          <w:noProof/>
          <w:lang w:val="en-US" w:eastAsia="en-US"/>
        </w:rPr>
        <w:t>a)</w:t>
      </w:r>
      <w:r w:rsidR="00973DAA" w:rsidRPr="00C903F8">
        <w:rPr>
          <w:rFonts w:eastAsia="Calibri"/>
          <w:noProof/>
          <w:lang w:val="en-US" w:eastAsia="en-US"/>
        </w:rPr>
        <w:tab/>
        <w:t>at the start of the voyage:</w:t>
      </w:r>
    </w:p>
    <w:p w:rsidR="00973DAA" w:rsidRPr="00C903F8" w:rsidRDefault="00973DAA" w:rsidP="00577ECC">
      <w:pPr>
        <w:pStyle w:val="ESletpar"/>
        <w:rPr>
          <w:rFonts w:eastAsia="Calibri"/>
          <w:noProof/>
          <w:lang w:val="en-US"/>
        </w:rPr>
      </w:pPr>
      <w:r w:rsidRPr="00C903F8">
        <w:rPr>
          <w:rFonts w:eastAsia="Calibri"/>
          <w:noProof/>
          <w:lang w:val="en-US"/>
        </w:rPr>
        <w:t>100 % passengers, 98 % fuel and fresh water, 10 % waste water;</w:t>
      </w:r>
    </w:p>
    <w:p w:rsidR="00973DAA" w:rsidRPr="00C903F8" w:rsidRDefault="005C7859" w:rsidP="00577ECC">
      <w:pPr>
        <w:pStyle w:val="ESlet"/>
        <w:rPr>
          <w:rFonts w:eastAsia="Calibri"/>
          <w:noProof/>
          <w:lang w:val="en-US" w:eastAsia="en-US"/>
        </w:rPr>
      </w:pPr>
      <w:r w:rsidRPr="00C903F8">
        <w:rPr>
          <w:rFonts w:eastAsia="Calibri"/>
          <w:noProof/>
          <w:lang w:val="en-US" w:eastAsia="en-US"/>
        </w:rPr>
        <w:t>b)</w:t>
      </w:r>
      <w:r w:rsidR="00973DAA" w:rsidRPr="00C903F8">
        <w:rPr>
          <w:rFonts w:eastAsia="Calibri"/>
          <w:noProof/>
          <w:lang w:val="en-US" w:eastAsia="en-US"/>
        </w:rPr>
        <w:tab/>
        <w:t>during the voyage:</w:t>
      </w:r>
    </w:p>
    <w:p w:rsidR="00973DAA" w:rsidRPr="00C903F8" w:rsidRDefault="00973DAA" w:rsidP="00577ECC">
      <w:pPr>
        <w:pStyle w:val="ESletpar"/>
        <w:rPr>
          <w:rFonts w:eastAsia="Calibri"/>
          <w:noProof/>
          <w:lang w:val="en-US"/>
        </w:rPr>
      </w:pPr>
      <w:r w:rsidRPr="00C903F8">
        <w:rPr>
          <w:rFonts w:eastAsia="Calibri"/>
          <w:noProof/>
          <w:lang w:val="en-US"/>
        </w:rPr>
        <w:t>100 % passengers, 50 % fuel and fresh water, 50 % waste water;</w:t>
      </w:r>
    </w:p>
    <w:p w:rsidR="00973DAA" w:rsidRPr="00C903F8" w:rsidRDefault="005C7859" w:rsidP="00577ECC">
      <w:pPr>
        <w:pStyle w:val="ESlet"/>
        <w:rPr>
          <w:rFonts w:eastAsia="Calibri"/>
          <w:noProof/>
          <w:lang w:val="en-US" w:eastAsia="en-US"/>
        </w:rPr>
      </w:pPr>
      <w:r w:rsidRPr="00C903F8">
        <w:rPr>
          <w:rFonts w:eastAsia="Calibri"/>
          <w:noProof/>
          <w:lang w:val="en-US" w:eastAsia="en-US"/>
        </w:rPr>
        <w:t>c)</w:t>
      </w:r>
      <w:r w:rsidR="00973DAA" w:rsidRPr="00C903F8">
        <w:rPr>
          <w:rFonts w:eastAsia="Calibri"/>
          <w:noProof/>
          <w:lang w:val="en-US" w:eastAsia="en-US"/>
        </w:rPr>
        <w:tab/>
        <w:t>at the end of the voyage:</w:t>
      </w:r>
    </w:p>
    <w:p w:rsidR="00973DAA" w:rsidRPr="00C903F8" w:rsidRDefault="00973DAA" w:rsidP="00577ECC">
      <w:pPr>
        <w:pStyle w:val="ESletpar"/>
        <w:rPr>
          <w:rFonts w:eastAsia="Calibri"/>
          <w:noProof/>
          <w:lang w:val="en-US"/>
        </w:rPr>
      </w:pPr>
      <w:r w:rsidRPr="00C903F8">
        <w:rPr>
          <w:rFonts w:eastAsia="Calibri"/>
          <w:noProof/>
          <w:lang w:val="en-US"/>
        </w:rPr>
        <w:t>100 % passengers, 10 % fuel and fresh water, 98 % waste water;</w:t>
      </w:r>
    </w:p>
    <w:p w:rsidR="00973DAA" w:rsidRPr="00C903F8" w:rsidRDefault="005C7859" w:rsidP="00577ECC">
      <w:pPr>
        <w:pStyle w:val="ESlet"/>
        <w:rPr>
          <w:rFonts w:eastAsia="Calibri"/>
          <w:noProof/>
          <w:lang w:val="en-US" w:eastAsia="en-US"/>
        </w:rPr>
      </w:pPr>
      <w:r w:rsidRPr="00C903F8">
        <w:rPr>
          <w:rFonts w:eastAsia="Calibri"/>
          <w:noProof/>
          <w:lang w:val="en-US" w:eastAsia="en-US"/>
        </w:rPr>
        <w:t>d)</w:t>
      </w:r>
      <w:r w:rsidR="00973DAA" w:rsidRPr="00C903F8">
        <w:rPr>
          <w:rFonts w:eastAsia="Calibri"/>
          <w:noProof/>
          <w:lang w:val="en-US" w:eastAsia="en-US"/>
        </w:rPr>
        <w:tab/>
        <w:t>unladen vessel:</w:t>
      </w:r>
    </w:p>
    <w:p w:rsidR="00973DAA" w:rsidRPr="00C903F8" w:rsidRDefault="00973DAA" w:rsidP="00577ECC">
      <w:pPr>
        <w:pStyle w:val="ESletpar"/>
        <w:rPr>
          <w:rFonts w:eastAsia="Calibri"/>
          <w:noProof/>
          <w:lang w:val="en-US"/>
        </w:rPr>
      </w:pPr>
      <w:r w:rsidRPr="00C903F8">
        <w:rPr>
          <w:rFonts w:eastAsia="Calibri"/>
          <w:noProof/>
          <w:lang w:val="en-US"/>
        </w:rPr>
        <w:t>no passengers, 10 % fuel and fresh water, no waste water.</w:t>
      </w:r>
    </w:p>
    <w:p w:rsidR="00577ECC" w:rsidRPr="00C903F8" w:rsidRDefault="00577ECC" w:rsidP="00577ECC">
      <w:pPr>
        <w:pStyle w:val="ESchpar"/>
        <w:rPr>
          <w:rFonts w:eastAsia="Calibri"/>
          <w:noProof/>
          <w:lang w:val="en-US" w:eastAsia="en-US"/>
        </w:rPr>
      </w:pPr>
    </w:p>
    <w:p w:rsidR="00973DAA" w:rsidRPr="00C903F8" w:rsidRDefault="00973DAA" w:rsidP="00577ECC">
      <w:pPr>
        <w:pStyle w:val="ESchpar"/>
        <w:rPr>
          <w:rFonts w:eastAsia="Calibri" w:cs="Arial"/>
          <w:szCs w:val="18"/>
          <w:lang w:val="en-US" w:eastAsia="en-US"/>
        </w:rPr>
      </w:pPr>
      <w:r w:rsidRPr="00C903F8">
        <w:rPr>
          <w:rFonts w:eastAsia="Calibri"/>
          <w:noProof/>
          <w:lang w:val="en-US" w:eastAsia="en-US"/>
        </w:rPr>
        <w:t>For all standard load</w:t>
      </w:r>
      <w:r w:rsidR="002E3EAE" w:rsidRPr="00C903F8">
        <w:rPr>
          <w:rFonts w:eastAsia="Calibri"/>
          <w:noProof/>
          <w:lang w:val="en-US" w:eastAsia="en-US"/>
        </w:rPr>
        <w:t>ing</w:t>
      </w:r>
      <w:r w:rsidRPr="00C903F8">
        <w:rPr>
          <w:rFonts w:eastAsia="Calibri"/>
          <w:noProof/>
          <w:lang w:val="en-US" w:eastAsia="en-US"/>
        </w:rPr>
        <w:t xml:space="preserve"> conditions, the ballast tanks shall be considered as either empty or full in accordance with normal operational conditions.</w:t>
      </w:r>
    </w:p>
    <w:p w:rsidR="00577ECC" w:rsidRPr="00C903F8" w:rsidRDefault="00577ECC" w:rsidP="00577ECC">
      <w:pPr>
        <w:pStyle w:val="ESchpar"/>
        <w:rPr>
          <w:rFonts w:eastAsia="Calibri"/>
          <w:noProof/>
          <w:lang w:val="en-US" w:eastAsia="en-US"/>
        </w:rPr>
      </w:pPr>
    </w:p>
    <w:p w:rsidR="00973DAA" w:rsidRPr="00C903F8" w:rsidRDefault="00973DAA" w:rsidP="00577ECC">
      <w:pPr>
        <w:pStyle w:val="ESchpar"/>
        <w:rPr>
          <w:rFonts w:eastAsia="Calibri" w:cs="Arial"/>
          <w:szCs w:val="18"/>
          <w:lang w:val="en-US" w:eastAsia="en-US"/>
        </w:rPr>
      </w:pPr>
      <w:r w:rsidRPr="00C903F8">
        <w:rPr>
          <w:rFonts w:eastAsia="Calibri"/>
          <w:noProof/>
          <w:lang w:val="en-US" w:eastAsia="en-US"/>
        </w:rPr>
        <w:t>In addition, the requirement of section 3(d) shall be proved for the following load</w:t>
      </w:r>
      <w:r w:rsidR="00D302B4" w:rsidRPr="00C903F8">
        <w:rPr>
          <w:rFonts w:eastAsia="Calibri"/>
          <w:noProof/>
          <w:lang w:val="en-US" w:eastAsia="en-US"/>
        </w:rPr>
        <w:t>ing</w:t>
      </w:r>
      <w:r w:rsidRPr="00C903F8">
        <w:rPr>
          <w:rFonts w:eastAsia="Calibri"/>
          <w:noProof/>
          <w:lang w:val="en-US" w:eastAsia="en-US"/>
        </w:rPr>
        <w:t xml:space="preserve"> condition:</w:t>
      </w:r>
    </w:p>
    <w:p w:rsidR="00973DAA" w:rsidRPr="00C903F8" w:rsidRDefault="00973DAA" w:rsidP="00633CC5">
      <w:pPr>
        <w:pStyle w:val="ESchpar"/>
        <w:spacing w:before="60"/>
        <w:ind w:left="992"/>
        <w:rPr>
          <w:rFonts w:eastAsia="Calibri" w:cs="Arial"/>
          <w:szCs w:val="18"/>
          <w:lang w:val="en-US" w:eastAsia="en-US"/>
        </w:rPr>
      </w:pPr>
      <w:r w:rsidRPr="00C903F8">
        <w:rPr>
          <w:rFonts w:eastAsia="Calibri"/>
          <w:noProof/>
          <w:lang w:val="en-US" w:eastAsia="en-US"/>
        </w:rPr>
        <w:t>100 % passengers, 50 % fuel and fresh water, 50 % waste water, all other liquid (including ballast) tanks are considered filled to 50 %.</w:t>
      </w:r>
    </w:p>
    <w:p w:rsidR="00973DAA" w:rsidRPr="00C903F8" w:rsidRDefault="00973DAA" w:rsidP="00973DAA">
      <w:pPr>
        <w:pStyle w:val="ESch"/>
        <w:rPr>
          <w:rFonts w:eastAsia="Calibri" w:cs="Arial"/>
          <w:szCs w:val="18"/>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3.</w:t>
      </w:r>
      <w:r w:rsidRPr="00C903F8">
        <w:rPr>
          <w:rFonts w:eastAsia="Calibri"/>
          <w:noProof/>
          <w:lang w:val="en-US" w:eastAsia="en-US"/>
        </w:rPr>
        <w:tab/>
        <w:t>The proof of adequate intact stability by means of a calculation shall be produced using the following definitions for the intact stability and for the standard load</w:t>
      </w:r>
      <w:r w:rsidR="00D302B4" w:rsidRPr="00C903F8">
        <w:rPr>
          <w:rFonts w:eastAsia="Calibri"/>
          <w:noProof/>
          <w:lang w:val="en-US" w:eastAsia="en-US"/>
        </w:rPr>
        <w:t>ing</w:t>
      </w:r>
      <w:r w:rsidRPr="00C903F8">
        <w:rPr>
          <w:rFonts w:eastAsia="Calibri"/>
          <w:noProof/>
          <w:lang w:val="en-US" w:eastAsia="en-US"/>
        </w:rPr>
        <w:t xml:space="preserve"> conditions mentioned in </w:t>
      </w:r>
      <w:r w:rsidR="00FD1E75" w:rsidRPr="00C903F8">
        <w:rPr>
          <w:rFonts w:eastAsia="Calibri"/>
          <w:noProof/>
          <w:lang w:val="en-US" w:eastAsia="en-US"/>
        </w:rPr>
        <w:t>(</w:t>
      </w:r>
      <w:r w:rsidRPr="00C903F8">
        <w:rPr>
          <w:rFonts w:eastAsia="Calibri"/>
          <w:noProof/>
          <w:lang w:val="en-US" w:eastAsia="en-US"/>
        </w:rPr>
        <w:t>2</w:t>
      </w:r>
      <w:r w:rsidR="00FD1E75" w:rsidRPr="00C903F8">
        <w:rPr>
          <w:rFonts w:eastAsia="Calibri"/>
          <w:noProof/>
          <w:lang w:val="en-US" w:eastAsia="en-US"/>
        </w:rPr>
        <w:t>)</w:t>
      </w:r>
      <w:r w:rsidRPr="00C903F8">
        <w:rPr>
          <w:rFonts w:eastAsia="Calibri"/>
          <w:noProof/>
          <w:lang w:val="en-US" w:eastAsia="en-US"/>
        </w:rPr>
        <w:t>(a) to (d):</w:t>
      </w:r>
    </w:p>
    <w:p w:rsidR="00973DAA" w:rsidRPr="00C903F8" w:rsidRDefault="005C7859" w:rsidP="00577ECC">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the maximum righting lever</w:t>
      </w:r>
      <w:r w:rsidR="00A535DE" w:rsidRPr="00C903F8">
        <w:rPr>
          <w:rFonts w:eastAsia="Calibri"/>
          <w:noProof/>
          <w:lang w:val="en-US" w:eastAsia="en-US"/>
        </w:rPr>
        <w:t xml:space="preserve">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h</m:t>
            </m:r>
          </m:e>
          <m:sub>
            <m:r>
              <w:rPr>
                <w:rFonts w:ascii="Cambria Math" w:eastAsia="Calibri" w:hAnsi="Cambria Math"/>
                <w:noProof/>
                <w:lang w:val="en-US" w:eastAsia="en-US"/>
              </w:rPr>
              <m:t>max</m:t>
            </m:r>
          </m:sub>
        </m:sSub>
      </m:oMath>
      <w:r w:rsidR="00973DAA" w:rsidRPr="00C903F8">
        <w:rPr>
          <w:rFonts w:eastAsia="Calibri"/>
          <w:noProof/>
          <w:lang w:val="en-US" w:eastAsia="en-US"/>
        </w:rPr>
        <w:t xml:space="preserve"> shall occur at a heeling angle of</w:t>
      </w:r>
      <w:r w:rsidR="00A535DE" w:rsidRPr="00C903F8">
        <w:rPr>
          <w:rFonts w:eastAsia="Calibri"/>
          <w:noProof/>
          <w:lang w:val="en-US" w:eastAsia="en-US"/>
        </w:rPr>
        <w:t xml:space="preserve">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φ</m:t>
            </m:r>
          </m:e>
          <m:sub>
            <m:r>
              <w:rPr>
                <w:rFonts w:ascii="Cambria Math" w:eastAsia="Calibri" w:hAnsi="Cambria Math"/>
                <w:noProof/>
                <w:lang w:val="en-US" w:eastAsia="en-US"/>
              </w:rPr>
              <m:t>max</m:t>
            </m:r>
          </m:sub>
        </m:sSub>
        <m:r>
          <w:rPr>
            <w:rFonts w:ascii="Cambria Math" w:eastAsia="Calibri" w:hAnsi="Cambria Math"/>
            <w:noProof/>
            <w:lang w:val="en-US" w:eastAsia="en-US"/>
          </w:rPr>
          <m:t xml:space="preserve"> ≥(</m:t>
        </m:r>
        <m:sSub>
          <m:sSubPr>
            <m:ctrlPr>
              <w:rPr>
                <w:rFonts w:ascii="Cambria Math" w:eastAsia="Calibri" w:hAnsi="Cambria Math"/>
                <w:i/>
                <w:noProof/>
                <w:lang w:val="en-US" w:eastAsia="en-US"/>
              </w:rPr>
            </m:ctrlPr>
          </m:sSubPr>
          <m:e>
            <m:r>
              <w:rPr>
                <w:rFonts w:ascii="Cambria Math" w:eastAsia="Calibri" w:hAnsi="Cambria Math"/>
                <w:noProof/>
                <w:lang w:val="en-US" w:eastAsia="en-US"/>
              </w:rPr>
              <m:t>φ</m:t>
            </m:r>
          </m:e>
          <m:sub>
            <m:r>
              <w:rPr>
                <w:rFonts w:ascii="Cambria Math" w:eastAsia="Calibri" w:hAnsi="Cambria Math"/>
                <w:noProof/>
                <w:lang w:val="en-US" w:eastAsia="en-US"/>
              </w:rPr>
              <m:t>mom</m:t>
            </m:r>
          </m:sub>
        </m:sSub>
        <m:r>
          <w:rPr>
            <w:rFonts w:ascii="Cambria Math" w:eastAsia="Calibri" w:hAnsi="Cambria Math"/>
            <w:noProof/>
            <w:lang w:val="en-US" w:eastAsia="en-US"/>
          </w:rPr>
          <m:t>+3°)</m:t>
        </m:r>
      </m:oMath>
      <w:r w:rsidR="00A535DE" w:rsidRPr="00C903F8">
        <w:rPr>
          <w:rFonts w:eastAsia="Calibri"/>
          <w:noProof/>
          <w:lang w:val="en-US" w:eastAsia="en-US"/>
        </w:rPr>
        <w:t xml:space="preserve"> </w:t>
      </w:r>
      <w:r w:rsidR="00973DAA" w:rsidRPr="00C903F8">
        <w:rPr>
          <w:rFonts w:eastAsia="Calibri"/>
          <w:noProof/>
          <w:lang w:val="en-US" w:eastAsia="en-US"/>
        </w:rPr>
        <w:t xml:space="preserve">and shall not be less than 0,20 m. However, in case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φ</m:t>
            </m:r>
          </m:e>
          <m:sub>
            <m:r>
              <w:rPr>
                <w:rFonts w:ascii="Cambria Math" w:eastAsia="Calibri" w:hAnsi="Cambria Math"/>
                <w:noProof/>
                <w:lang w:val="en-US" w:eastAsia="en-US"/>
              </w:rPr>
              <m:t>f</m:t>
            </m:r>
          </m:sub>
        </m:sSub>
        <m:r>
          <w:rPr>
            <w:rFonts w:ascii="Cambria Math" w:eastAsia="Calibri" w:hAnsi="Cambria Math"/>
            <w:noProof/>
            <w:lang w:val="en-US" w:eastAsia="en-US"/>
          </w:rPr>
          <m:t>&lt;</m:t>
        </m:r>
        <m:sSub>
          <m:sSubPr>
            <m:ctrlPr>
              <w:rPr>
                <w:rFonts w:ascii="Cambria Math" w:eastAsia="Calibri" w:hAnsi="Cambria Math"/>
                <w:i/>
                <w:noProof/>
                <w:lang w:val="en-US" w:eastAsia="en-US"/>
              </w:rPr>
            </m:ctrlPr>
          </m:sSubPr>
          <m:e>
            <m:r>
              <w:rPr>
                <w:rFonts w:ascii="Cambria Math" w:eastAsia="Calibri" w:hAnsi="Cambria Math"/>
                <w:noProof/>
                <w:lang w:val="en-US" w:eastAsia="en-US"/>
              </w:rPr>
              <m:t>φ</m:t>
            </m:r>
          </m:e>
          <m:sub>
            <m:r>
              <w:rPr>
                <w:rFonts w:ascii="Cambria Math" w:eastAsia="Calibri" w:hAnsi="Cambria Math"/>
                <w:noProof/>
                <w:lang w:val="en-US" w:eastAsia="en-US"/>
              </w:rPr>
              <m:t>max</m:t>
            </m:r>
          </m:sub>
        </m:sSub>
      </m:oMath>
      <w:r w:rsidR="00A535DE" w:rsidRPr="00C903F8">
        <w:rPr>
          <w:rFonts w:eastAsia="Calibri"/>
          <w:noProof/>
          <w:lang w:val="en-US" w:eastAsia="en-US"/>
        </w:rPr>
        <w:t xml:space="preserve"> </w:t>
      </w:r>
      <w:r w:rsidR="00973DAA" w:rsidRPr="00C903F8">
        <w:rPr>
          <w:rFonts w:eastAsia="Calibri"/>
          <w:noProof/>
          <w:lang w:val="en-US" w:eastAsia="en-US"/>
        </w:rPr>
        <w:t xml:space="preserve">the righting lever at the downflooding angle </w:t>
      </w:r>
      <m:oMath>
        <m:sSub>
          <m:sSubPr>
            <m:ctrlPr>
              <w:rPr>
                <w:rFonts w:ascii="Cambria Math" w:eastAsia="Calibri" w:hAnsi="Cambria Math"/>
                <w:i/>
                <w:lang w:val="en-US" w:eastAsia="en-US"/>
              </w:rPr>
            </m:ctrlPr>
          </m:sSubPr>
          <m:e>
            <m:r>
              <w:rPr>
                <w:rFonts w:ascii="Cambria Math" w:eastAsia="Calibri" w:hAnsi="Cambria Math"/>
                <w:lang w:val="en-US" w:eastAsia="en-US"/>
              </w:rPr>
              <m:t>φ</m:t>
            </m:r>
          </m:e>
          <m:sub>
            <m:r>
              <w:rPr>
                <w:rFonts w:ascii="Cambria Math" w:eastAsia="Calibri" w:hAnsi="Cambria Math"/>
                <w:lang w:val="en-US" w:eastAsia="en-US"/>
              </w:rPr>
              <m:t>f</m:t>
            </m:r>
          </m:sub>
        </m:sSub>
      </m:oMath>
      <w:r w:rsidR="00973DAA" w:rsidRPr="00C903F8">
        <w:rPr>
          <w:rFonts w:eastAsia="Calibri"/>
          <w:noProof/>
          <w:lang w:val="en-US" w:eastAsia="en-US"/>
        </w:rPr>
        <w:t xml:space="preserve"> shall not be less than 0,20 m;</w:t>
      </w:r>
    </w:p>
    <w:p w:rsidR="00973DAA" w:rsidRPr="00C903F8" w:rsidRDefault="005C7859" w:rsidP="00577ECC">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 xml:space="preserve">the downflooding angle </w:t>
      </w:r>
      <m:oMath>
        <m:sSub>
          <m:sSubPr>
            <m:ctrlPr>
              <w:rPr>
                <w:rFonts w:ascii="Cambria Math" w:eastAsia="Calibri" w:hAnsi="Cambria Math"/>
                <w:i/>
                <w:lang w:val="en-US" w:eastAsia="en-US"/>
              </w:rPr>
            </m:ctrlPr>
          </m:sSubPr>
          <m:e>
            <m:r>
              <w:rPr>
                <w:rFonts w:ascii="Cambria Math" w:eastAsia="Calibri" w:hAnsi="Cambria Math"/>
                <w:lang w:val="en-US" w:eastAsia="en-US"/>
              </w:rPr>
              <m:t>φ</m:t>
            </m:r>
          </m:e>
          <m:sub>
            <m:r>
              <w:rPr>
                <w:rFonts w:ascii="Cambria Math" w:eastAsia="Calibri" w:hAnsi="Cambria Math"/>
                <w:lang w:val="en-US" w:eastAsia="en-US"/>
              </w:rPr>
              <m:t>f</m:t>
            </m:r>
          </m:sub>
        </m:sSub>
      </m:oMath>
      <w:r w:rsidR="00973DAA" w:rsidRPr="00C903F8">
        <w:rPr>
          <w:rFonts w:eastAsia="Calibri"/>
          <w:noProof/>
          <w:lang w:val="en-US" w:eastAsia="en-US"/>
        </w:rPr>
        <w:t xml:space="preserve"> shall not be less than </w:t>
      </w:r>
      <m:oMath>
        <m:r>
          <w:rPr>
            <w:rFonts w:ascii="Cambria Math" w:eastAsia="Calibri" w:hAnsi="Cambria Math"/>
            <w:noProof/>
            <w:lang w:val="en-US" w:eastAsia="en-US"/>
          </w:rPr>
          <m:t>(</m:t>
        </m:r>
        <m:sSub>
          <m:sSubPr>
            <m:ctrlPr>
              <w:rPr>
                <w:rFonts w:ascii="Cambria Math" w:eastAsia="Calibri" w:hAnsi="Cambria Math"/>
                <w:i/>
                <w:noProof/>
                <w:lang w:val="en-US" w:eastAsia="en-US"/>
              </w:rPr>
            </m:ctrlPr>
          </m:sSubPr>
          <m:e>
            <m:r>
              <w:rPr>
                <w:rFonts w:ascii="Cambria Math" w:eastAsia="Calibri" w:hAnsi="Cambria Math"/>
                <w:noProof/>
                <w:lang w:val="en-US" w:eastAsia="en-US"/>
              </w:rPr>
              <m:t>φ</m:t>
            </m:r>
          </m:e>
          <m:sub>
            <m:r>
              <w:rPr>
                <w:rFonts w:ascii="Cambria Math" w:eastAsia="Calibri" w:hAnsi="Cambria Math"/>
                <w:noProof/>
                <w:lang w:val="en-US" w:eastAsia="en-US"/>
              </w:rPr>
              <m:t>mom</m:t>
            </m:r>
          </m:sub>
        </m:sSub>
        <m:r>
          <w:rPr>
            <w:rFonts w:ascii="Cambria Math" w:eastAsia="Calibri" w:hAnsi="Cambria Math"/>
            <w:noProof/>
            <w:lang w:val="en-US" w:eastAsia="en-US"/>
          </w:rPr>
          <m:t>+3°)</m:t>
        </m:r>
      </m:oMath>
      <w:r w:rsidR="00973DAA" w:rsidRPr="00C903F8">
        <w:rPr>
          <w:rFonts w:eastAsia="Calibri"/>
          <w:noProof/>
          <w:lang w:val="en-US" w:eastAsia="en-US"/>
        </w:rPr>
        <w:t>;</w:t>
      </w:r>
    </w:p>
    <w:p w:rsidR="00973DAA" w:rsidRPr="00C903F8" w:rsidRDefault="005C7859" w:rsidP="00577ECC">
      <w:pPr>
        <w:pStyle w:val="ESlet"/>
        <w:rPr>
          <w:rFonts w:eastAsia="Calibri"/>
          <w:noProof/>
          <w:lang w:val="en-US" w:eastAsia="en-US"/>
        </w:rPr>
      </w:pPr>
      <w:r w:rsidRPr="00C903F8">
        <w:rPr>
          <w:rFonts w:eastAsia="Calibri"/>
          <w:noProof/>
          <w:lang w:val="en-US" w:eastAsia="en-US"/>
        </w:rPr>
        <w:t>c)</w:t>
      </w:r>
      <w:r w:rsidR="00973DAA" w:rsidRPr="00C903F8">
        <w:rPr>
          <w:rFonts w:eastAsia="Calibri"/>
          <w:noProof/>
          <w:lang w:val="en-US" w:eastAsia="en-US"/>
        </w:rPr>
        <w:tab/>
        <w:t xml:space="preserve">the area </w:t>
      </w:r>
      <m:oMath>
        <m:r>
          <w:rPr>
            <w:rFonts w:ascii="Cambria Math" w:eastAsia="Calibri" w:hAnsi="Cambria Math" w:cs="Arial"/>
            <w:szCs w:val="18"/>
            <w:lang w:val="en-US" w:eastAsia="en-US"/>
          </w:rPr>
          <m:t>A</m:t>
        </m:r>
      </m:oMath>
      <w:r w:rsidR="00973DAA" w:rsidRPr="00C903F8">
        <w:rPr>
          <w:rFonts w:eastAsia="Calibri"/>
          <w:noProof/>
          <w:lang w:val="en-US" w:eastAsia="en-US"/>
        </w:rPr>
        <w:t xml:space="preserve"> under the curve of the righting levers shall, depending on the position of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φ</m:t>
            </m:r>
          </m:e>
          <m:sub>
            <m:r>
              <w:rPr>
                <w:rFonts w:ascii="Cambria Math" w:eastAsia="Calibri" w:hAnsi="Cambria Math"/>
                <w:noProof/>
                <w:lang w:val="en-US" w:eastAsia="en-US"/>
              </w:rPr>
              <m:t>f</m:t>
            </m:r>
          </m:sub>
        </m:sSub>
      </m:oMath>
      <w:r w:rsidR="00973DAA" w:rsidRPr="00C903F8">
        <w:rPr>
          <w:rFonts w:eastAsia="Calibri"/>
          <w:noProof/>
          <w:lang w:val="en-US" w:eastAsia="en-US"/>
        </w:rPr>
        <w:t xml:space="preserve"> and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φ</m:t>
            </m:r>
          </m:e>
          <m:sub>
            <m:r>
              <w:rPr>
                <w:rFonts w:ascii="Cambria Math" w:eastAsia="Calibri" w:hAnsi="Cambria Math"/>
                <w:noProof/>
                <w:lang w:val="en-US" w:eastAsia="en-US"/>
              </w:rPr>
              <m:t>max</m:t>
            </m:r>
          </m:sub>
        </m:sSub>
      </m:oMath>
      <w:r w:rsidR="00973DAA" w:rsidRPr="00C903F8">
        <w:rPr>
          <w:rFonts w:eastAsia="Calibri"/>
          <w:noProof/>
          <w:lang w:val="en-US" w:eastAsia="en-US"/>
        </w:rPr>
        <w:t>, reach at least the following values:</w:t>
      </w:r>
    </w:p>
    <w:p w:rsidR="00577ECC" w:rsidRPr="00C903F8" w:rsidRDefault="00577ECC" w:rsidP="00577ECC">
      <w:pPr>
        <w:pStyle w:val="ESgauche"/>
        <w:rPr>
          <w:rFonts w:eastAsia="Calibri"/>
          <w:lang w:val="en-US" w:eastAsia="en-US"/>
        </w:rPr>
      </w:pPr>
    </w:p>
    <w:tbl>
      <w:tblPr>
        <w:tblW w:w="0" w:type="auto"/>
        <w:tblLayout w:type="fixed"/>
        <w:tblLook w:val="0000" w:firstRow="0" w:lastRow="0" w:firstColumn="0" w:lastColumn="0" w:noHBand="0" w:noVBand="0"/>
      </w:tblPr>
      <w:tblGrid>
        <w:gridCol w:w="680"/>
        <w:gridCol w:w="2381"/>
        <w:gridCol w:w="1393"/>
        <w:gridCol w:w="4736"/>
      </w:tblGrid>
      <w:tr w:rsidR="00505D66" w:rsidRPr="00C903F8" w:rsidTr="009F4F31">
        <w:tc>
          <w:tcPr>
            <w:tcW w:w="680" w:type="dxa"/>
            <w:tcBorders>
              <w:top w:val="single" w:sz="2" w:space="0" w:color="auto"/>
              <w:left w:val="single" w:sz="2" w:space="0" w:color="auto"/>
              <w:bottom w:val="single" w:sz="2" w:space="0" w:color="auto"/>
              <w:right w:val="single" w:sz="2" w:space="0" w:color="auto"/>
            </w:tcBorders>
          </w:tcPr>
          <w:p w:rsidR="00505D66" w:rsidRPr="00C903F8" w:rsidRDefault="00505D66" w:rsidP="00505D66">
            <w:pPr>
              <w:autoSpaceDE/>
              <w:autoSpaceDN/>
              <w:spacing w:before="60" w:after="60" w:line="240" w:lineRule="atLeast"/>
              <w:ind w:left="0" w:firstLine="0"/>
              <w:jc w:val="center"/>
              <w:rPr>
                <w:rFonts w:cs="Arial"/>
                <w:noProof/>
                <w:sz w:val="18"/>
                <w:szCs w:val="18"/>
                <w:lang w:val="en-GB" w:eastAsia="en-US"/>
              </w:rPr>
            </w:pPr>
            <w:r w:rsidRPr="00C903F8">
              <w:rPr>
                <w:rFonts w:cs="Arial"/>
                <w:noProof/>
                <w:sz w:val="18"/>
                <w:szCs w:val="18"/>
                <w:lang w:val="en-GB" w:eastAsia="en-US"/>
              </w:rPr>
              <w:t>Case</w:t>
            </w:r>
          </w:p>
        </w:tc>
        <w:tc>
          <w:tcPr>
            <w:tcW w:w="2381" w:type="dxa"/>
            <w:tcBorders>
              <w:top w:val="single" w:sz="2" w:space="0" w:color="auto"/>
              <w:left w:val="single" w:sz="2" w:space="0" w:color="auto"/>
              <w:bottom w:val="single" w:sz="2" w:space="0" w:color="auto"/>
              <w:right w:val="single" w:sz="2" w:space="0" w:color="auto"/>
            </w:tcBorders>
          </w:tcPr>
          <w:p w:rsidR="00505D66" w:rsidRPr="00C903F8" w:rsidRDefault="00505D66" w:rsidP="00505D66">
            <w:pPr>
              <w:autoSpaceDE/>
              <w:autoSpaceDN/>
              <w:spacing w:before="60" w:after="60" w:line="240" w:lineRule="atLeast"/>
              <w:ind w:left="0" w:firstLine="0"/>
              <w:jc w:val="center"/>
              <w:rPr>
                <w:rFonts w:cs="Arial"/>
                <w:noProof/>
                <w:sz w:val="18"/>
                <w:szCs w:val="18"/>
                <w:lang w:val="en-GB" w:eastAsia="en-US"/>
              </w:rPr>
            </w:pPr>
          </w:p>
        </w:tc>
        <w:tc>
          <w:tcPr>
            <w:tcW w:w="1393" w:type="dxa"/>
            <w:tcBorders>
              <w:top w:val="single" w:sz="2" w:space="0" w:color="auto"/>
              <w:left w:val="single" w:sz="2" w:space="0" w:color="auto"/>
              <w:bottom w:val="single" w:sz="2" w:space="0" w:color="auto"/>
              <w:right w:val="single" w:sz="2" w:space="0" w:color="auto"/>
            </w:tcBorders>
          </w:tcPr>
          <w:p w:rsidR="00505D66" w:rsidRPr="00C903F8" w:rsidRDefault="00505D66" w:rsidP="00505D66">
            <w:pPr>
              <w:autoSpaceDE/>
              <w:autoSpaceDN/>
              <w:spacing w:before="60" w:after="60" w:line="240" w:lineRule="atLeast"/>
              <w:ind w:left="0" w:firstLine="0"/>
              <w:jc w:val="center"/>
              <w:rPr>
                <w:rFonts w:cs="Arial"/>
                <w:noProof/>
                <w:sz w:val="18"/>
                <w:szCs w:val="18"/>
                <w:lang w:val="en-GB" w:eastAsia="en-US"/>
              </w:rPr>
            </w:pPr>
          </w:p>
        </w:tc>
        <w:tc>
          <w:tcPr>
            <w:tcW w:w="4736" w:type="dxa"/>
            <w:tcBorders>
              <w:top w:val="single" w:sz="2" w:space="0" w:color="auto"/>
              <w:left w:val="single" w:sz="2" w:space="0" w:color="auto"/>
              <w:bottom w:val="single" w:sz="2" w:space="0" w:color="auto"/>
              <w:right w:val="single" w:sz="2" w:space="0" w:color="auto"/>
            </w:tcBorders>
          </w:tcPr>
          <w:p w:rsidR="00505D66" w:rsidRPr="00C903F8" w:rsidRDefault="00505D66" w:rsidP="00505D66">
            <w:pPr>
              <w:autoSpaceDE/>
              <w:autoSpaceDN/>
              <w:spacing w:before="60" w:after="60" w:line="240" w:lineRule="atLeast"/>
              <w:ind w:left="0" w:firstLine="0"/>
              <w:jc w:val="center"/>
              <w:rPr>
                <w:rFonts w:cs="Arial"/>
                <w:noProof/>
                <w:sz w:val="18"/>
                <w:szCs w:val="18"/>
                <w:lang w:val="en-GB" w:eastAsia="en-US"/>
              </w:rPr>
            </w:pPr>
            <w:r w:rsidRPr="00C903F8">
              <w:rPr>
                <w:rFonts w:cs="Arial"/>
                <w:noProof/>
                <w:sz w:val="18"/>
                <w:szCs w:val="18"/>
                <w:lang w:val="en-GB" w:eastAsia="en-US"/>
              </w:rPr>
              <w:t>A</w:t>
            </w:r>
          </w:p>
        </w:tc>
      </w:tr>
      <w:tr w:rsidR="00505D66" w:rsidRPr="00505433" w:rsidTr="009F4F31">
        <w:tc>
          <w:tcPr>
            <w:tcW w:w="680" w:type="dxa"/>
            <w:tcBorders>
              <w:top w:val="single" w:sz="2" w:space="0" w:color="auto"/>
              <w:left w:val="single" w:sz="2" w:space="0" w:color="auto"/>
              <w:bottom w:val="single" w:sz="2" w:space="0" w:color="auto"/>
              <w:right w:val="single" w:sz="2" w:space="0" w:color="auto"/>
            </w:tcBorders>
          </w:tcPr>
          <w:p w:rsidR="00505D66" w:rsidRPr="00C903F8" w:rsidRDefault="00505D66" w:rsidP="00505D66">
            <w:pPr>
              <w:autoSpaceDE/>
              <w:autoSpaceDN/>
              <w:spacing w:before="60" w:after="60" w:line="240" w:lineRule="atLeast"/>
              <w:ind w:left="0" w:firstLine="0"/>
              <w:jc w:val="left"/>
              <w:rPr>
                <w:rFonts w:cs="Arial"/>
                <w:noProof/>
                <w:sz w:val="18"/>
                <w:szCs w:val="18"/>
                <w:lang w:val="en-GB" w:eastAsia="en-US"/>
              </w:rPr>
            </w:pPr>
            <w:r w:rsidRPr="00C903F8">
              <w:rPr>
                <w:rFonts w:cs="Arial"/>
                <w:noProof/>
                <w:sz w:val="18"/>
                <w:szCs w:val="18"/>
                <w:lang w:val="en-GB" w:eastAsia="en-US"/>
              </w:rPr>
              <w:t>1</w:t>
            </w:r>
          </w:p>
        </w:tc>
        <w:tc>
          <w:tcPr>
            <w:tcW w:w="2381" w:type="dxa"/>
            <w:tcBorders>
              <w:top w:val="single" w:sz="2" w:space="0" w:color="auto"/>
              <w:left w:val="single" w:sz="2" w:space="0" w:color="auto"/>
              <w:bottom w:val="single" w:sz="2" w:space="0" w:color="auto"/>
              <w:right w:val="single" w:sz="2" w:space="0" w:color="auto"/>
            </w:tcBorders>
          </w:tcPr>
          <w:p w:rsidR="00505D66" w:rsidRPr="00C903F8" w:rsidRDefault="00F12BAF" w:rsidP="009F4F31">
            <w:pPr>
              <w:autoSpaceDE/>
              <w:autoSpaceDN/>
              <w:spacing w:before="60" w:after="60" w:line="240" w:lineRule="atLeast"/>
              <w:ind w:left="0" w:firstLine="0"/>
              <w:jc w:val="left"/>
              <w:rPr>
                <w:rFonts w:cs="Arial"/>
                <w:noProof/>
                <w:szCs w:val="20"/>
                <w:lang w:val="en-GB" w:eastAsia="en-US"/>
              </w:rPr>
            </w:pPr>
            <m:oMath>
              <m:sSub>
                <m:sSubPr>
                  <m:ctrlPr>
                    <w:rPr>
                      <w:rFonts w:ascii="Cambria Math" w:eastAsia="Calibri" w:hAnsi="Cambria Math"/>
                      <w:i/>
                      <w:noProof/>
                      <w:szCs w:val="20"/>
                      <w:lang w:val="en-US" w:eastAsia="en-US"/>
                    </w:rPr>
                  </m:ctrlPr>
                </m:sSubPr>
                <m:e>
                  <m:r>
                    <w:rPr>
                      <w:rFonts w:ascii="Cambria Math" w:eastAsia="Calibri" w:hAnsi="Cambria Math"/>
                      <w:noProof/>
                      <w:szCs w:val="20"/>
                      <w:lang w:val="en-US" w:eastAsia="en-US"/>
                    </w:rPr>
                    <m:t>φ</m:t>
                  </m:r>
                </m:e>
                <m:sub>
                  <m:r>
                    <w:rPr>
                      <w:rFonts w:ascii="Cambria Math" w:eastAsia="Calibri" w:hAnsi="Cambria Math"/>
                      <w:noProof/>
                      <w:szCs w:val="20"/>
                      <w:lang w:val="en-US" w:eastAsia="en-US"/>
                    </w:rPr>
                    <m:t>max</m:t>
                  </m:r>
                </m:sub>
              </m:sSub>
              <m:r>
                <w:rPr>
                  <w:rFonts w:ascii="Cambria Math" w:eastAsia="Calibri" w:hAnsi="Cambria Math"/>
                  <w:noProof/>
                  <w:szCs w:val="20"/>
                  <w:lang w:val="en-US" w:eastAsia="en-US"/>
                </w:rPr>
                <m:t xml:space="preserve"> ≤15°</m:t>
              </m:r>
            </m:oMath>
            <w:r w:rsidR="009F4F31" w:rsidRPr="00C903F8">
              <w:rPr>
                <w:rFonts w:cs="Arial"/>
                <w:noProof/>
                <w:szCs w:val="20"/>
                <w:lang w:val="en-US" w:eastAsia="en-US"/>
              </w:rPr>
              <w:t xml:space="preserve"> or </w:t>
            </w:r>
            <m:oMath>
              <m:sSub>
                <m:sSubPr>
                  <m:ctrlPr>
                    <w:rPr>
                      <w:rFonts w:ascii="Cambria Math" w:eastAsia="Calibri" w:hAnsi="Cambria Math"/>
                      <w:i/>
                      <w:noProof/>
                      <w:szCs w:val="20"/>
                      <w:lang w:val="en-US" w:eastAsia="en-US"/>
                    </w:rPr>
                  </m:ctrlPr>
                </m:sSubPr>
                <m:e>
                  <m:r>
                    <w:rPr>
                      <w:rFonts w:ascii="Cambria Math" w:eastAsia="Calibri" w:hAnsi="Cambria Math"/>
                      <w:noProof/>
                      <w:szCs w:val="20"/>
                      <w:lang w:val="en-US" w:eastAsia="en-US"/>
                    </w:rPr>
                    <m:t>φ</m:t>
                  </m:r>
                </m:e>
                <m:sub>
                  <m:r>
                    <w:rPr>
                      <w:rFonts w:ascii="Cambria Math" w:eastAsia="Calibri" w:hAnsi="Cambria Math"/>
                      <w:noProof/>
                      <w:szCs w:val="20"/>
                      <w:lang w:val="en-US" w:eastAsia="en-US"/>
                    </w:rPr>
                    <m:t>f</m:t>
                  </m:r>
                </m:sub>
              </m:sSub>
              <m:r>
                <w:rPr>
                  <w:rFonts w:ascii="Cambria Math" w:eastAsia="Calibri" w:hAnsi="Cambria Math"/>
                  <w:noProof/>
                  <w:szCs w:val="20"/>
                  <w:lang w:val="en-US" w:eastAsia="en-US"/>
                </w:rPr>
                <m:t xml:space="preserve"> ≤15°</m:t>
              </m:r>
            </m:oMath>
          </w:p>
        </w:tc>
        <w:tc>
          <w:tcPr>
            <w:tcW w:w="1393" w:type="dxa"/>
            <w:tcBorders>
              <w:top w:val="single" w:sz="2" w:space="0" w:color="auto"/>
              <w:left w:val="single" w:sz="2" w:space="0" w:color="auto"/>
              <w:bottom w:val="single" w:sz="2" w:space="0" w:color="auto"/>
              <w:right w:val="single" w:sz="2" w:space="0" w:color="auto"/>
            </w:tcBorders>
          </w:tcPr>
          <w:p w:rsidR="00505D66" w:rsidRPr="00C903F8" w:rsidRDefault="00505D66" w:rsidP="00505D66">
            <w:pPr>
              <w:autoSpaceDE/>
              <w:autoSpaceDN/>
              <w:spacing w:before="60" w:after="60" w:line="240" w:lineRule="atLeast"/>
              <w:ind w:left="0" w:firstLine="0"/>
              <w:jc w:val="left"/>
              <w:rPr>
                <w:rFonts w:cs="Arial"/>
                <w:noProof/>
                <w:sz w:val="18"/>
                <w:szCs w:val="18"/>
                <w:lang w:val="en-GB" w:eastAsia="en-US"/>
              </w:rPr>
            </w:pPr>
          </w:p>
        </w:tc>
        <w:tc>
          <w:tcPr>
            <w:tcW w:w="4736" w:type="dxa"/>
            <w:tcBorders>
              <w:top w:val="single" w:sz="2" w:space="0" w:color="auto"/>
              <w:left w:val="single" w:sz="2" w:space="0" w:color="auto"/>
              <w:bottom w:val="single" w:sz="2" w:space="0" w:color="auto"/>
              <w:right w:val="single" w:sz="2" w:space="0" w:color="auto"/>
            </w:tcBorders>
          </w:tcPr>
          <w:p w:rsidR="00505D66" w:rsidRPr="00C903F8" w:rsidRDefault="00652561" w:rsidP="00652561">
            <w:pPr>
              <w:autoSpaceDE/>
              <w:autoSpaceDN/>
              <w:spacing w:before="60" w:after="60" w:line="240" w:lineRule="atLeast"/>
              <w:ind w:left="0" w:firstLine="0"/>
              <w:jc w:val="left"/>
              <w:rPr>
                <w:rFonts w:cs="Arial"/>
                <w:noProof/>
                <w:sz w:val="18"/>
                <w:szCs w:val="18"/>
                <w:lang w:val="en-GB" w:eastAsia="en-US"/>
              </w:rPr>
            </w:pPr>
            <m:oMath>
              <m:r>
                <w:rPr>
                  <w:rFonts w:ascii="Cambria Math" w:hAnsi="Cambria Math" w:cs="Arial"/>
                  <w:noProof/>
                  <w:szCs w:val="18"/>
                  <w:lang w:val="en-GB" w:eastAsia="en-US"/>
                </w:rPr>
                <m:t>0,05 m ∙rad</m:t>
              </m:r>
            </m:oMath>
            <w:r w:rsidR="00505D66" w:rsidRPr="00C903F8">
              <w:rPr>
                <w:rFonts w:cs="Arial"/>
                <w:noProof/>
                <w:sz w:val="18"/>
                <w:szCs w:val="18"/>
                <w:lang w:val="en-GB" w:eastAsia="en-US"/>
              </w:rPr>
              <w:t xml:space="preserve"> up to the smaller of the angles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φ</m:t>
                  </m:r>
                </m:e>
                <m:sub>
                  <m:r>
                    <w:rPr>
                      <w:rFonts w:ascii="Cambria Math" w:eastAsia="Calibri" w:hAnsi="Cambria Math"/>
                      <w:noProof/>
                      <w:lang w:val="en-US" w:eastAsia="en-US"/>
                    </w:rPr>
                    <m:t>max</m:t>
                  </m:r>
                </m:sub>
              </m:sSub>
            </m:oMath>
            <w:r w:rsidR="00505D66" w:rsidRPr="00C903F8">
              <w:rPr>
                <w:rFonts w:cs="Arial"/>
                <w:noProof/>
                <w:sz w:val="18"/>
                <w:szCs w:val="18"/>
                <w:lang w:val="en-GB" w:eastAsia="en-US"/>
              </w:rPr>
              <w:t xml:space="preserve"> or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φ</m:t>
                  </m:r>
                </m:e>
                <m:sub>
                  <m:r>
                    <w:rPr>
                      <w:rFonts w:ascii="Cambria Math" w:eastAsia="Calibri" w:hAnsi="Cambria Math"/>
                      <w:noProof/>
                      <w:lang w:val="en-US" w:eastAsia="en-US"/>
                    </w:rPr>
                    <m:t>f</m:t>
                  </m:r>
                </m:sub>
              </m:sSub>
            </m:oMath>
          </w:p>
        </w:tc>
      </w:tr>
      <w:tr w:rsidR="00505D66" w:rsidRPr="00505433" w:rsidTr="009F4F31">
        <w:tc>
          <w:tcPr>
            <w:tcW w:w="680" w:type="dxa"/>
            <w:tcBorders>
              <w:top w:val="single" w:sz="2" w:space="0" w:color="auto"/>
              <w:left w:val="single" w:sz="2" w:space="0" w:color="auto"/>
              <w:bottom w:val="single" w:sz="2" w:space="0" w:color="auto"/>
              <w:right w:val="single" w:sz="2" w:space="0" w:color="auto"/>
            </w:tcBorders>
          </w:tcPr>
          <w:p w:rsidR="00505D66" w:rsidRPr="00C903F8" w:rsidRDefault="00505D66" w:rsidP="00505D66">
            <w:pPr>
              <w:autoSpaceDE/>
              <w:autoSpaceDN/>
              <w:spacing w:before="60" w:after="60" w:line="240" w:lineRule="atLeast"/>
              <w:ind w:left="0" w:firstLine="0"/>
              <w:jc w:val="left"/>
              <w:rPr>
                <w:rFonts w:cs="Arial"/>
                <w:noProof/>
                <w:sz w:val="18"/>
                <w:szCs w:val="18"/>
                <w:lang w:val="en-GB" w:eastAsia="en-US"/>
              </w:rPr>
            </w:pPr>
            <w:r w:rsidRPr="00C903F8">
              <w:rPr>
                <w:rFonts w:cs="Arial"/>
                <w:noProof/>
                <w:sz w:val="18"/>
                <w:szCs w:val="18"/>
                <w:lang w:val="en-GB" w:eastAsia="en-US"/>
              </w:rPr>
              <w:t>2</w:t>
            </w:r>
          </w:p>
        </w:tc>
        <w:tc>
          <w:tcPr>
            <w:tcW w:w="2381" w:type="dxa"/>
            <w:tcBorders>
              <w:top w:val="single" w:sz="2" w:space="0" w:color="auto"/>
              <w:left w:val="single" w:sz="2" w:space="0" w:color="auto"/>
              <w:bottom w:val="single" w:sz="2" w:space="0" w:color="auto"/>
              <w:right w:val="single" w:sz="2" w:space="0" w:color="auto"/>
            </w:tcBorders>
          </w:tcPr>
          <w:p w:rsidR="00505D66" w:rsidRPr="00C903F8" w:rsidRDefault="00F12BAF" w:rsidP="009F4F31">
            <w:pPr>
              <w:autoSpaceDE/>
              <w:autoSpaceDN/>
              <w:spacing w:before="60" w:after="60" w:line="240" w:lineRule="atLeast"/>
              <w:ind w:left="0" w:firstLine="0"/>
              <w:jc w:val="left"/>
              <w:rPr>
                <w:rFonts w:cs="Arial"/>
                <w:noProof/>
                <w:szCs w:val="20"/>
                <w:lang w:val="en-GB" w:eastAsia="en-US"/>
              </w:rPr>
            </w:pPr>
            <m:oMathPara>
              <m:oMath>
                <m:sSub>
                  <m:sSubPr>
                    <m:ctrlPr>
                      <w:rPr>
                        <w:rFonts w:ascii="Cambria Math" w:eastAsia="Calibri" w:hAnsi="Cambria Math"/>
                        <w:i/>
                        <w:noProof/>
                        <w:szCs w:val="20"/>
                        <w:lang w:val="en-US" w:eastAsia="en-US"/>
                      </w:rPr>
                    </m:ctrlPr>
                  </m:sSubPr>
                  <m:e>
                    <m:r>
                      <w:rPr>
                        <w:rFonts w:ascii="Cambria Math" w:eastAsia="Calibri" w:hAnsi="Cambria Math"/>
                        <w:noProof/>
                        <w:szCs w:val="20"/>
                        <w:lang w:val="en-US" w:eastAsia="en-US"/>
                      </w:rPr>
                      <m:t>15° &lt;φ</m:t>
                    </m:r>
                  </m:e>
                  <m:sub>
                    <m:r>
                      <w:rPr>
                        <w:rFonts w:ascii="Cambria Math" w:eastAsia="Calibri" w:hAnsi="Cambria Math"/>
                        <w:noProof/>
                        <w:szCs w:val="20"/>
                        <w:lang w:val="en-US" w:eastAsia="en-US"/>
                      </w:rPr>
                      <m:t>max</m:t>
                    </m:r>
                  </m:sub>
                </m:sSub>
                <m:r>
                  <w:rPr>
                    <w:rFonts w:ascii="Cambria Math" w:eastAsia="Calibri" w:hAnsi="Cambria Math"/>
                    <w:noProof/>
                    <w:szCs w:val="20"/>
                    <w:lang w:val="en-US" w:eastAsia="en-US"/>
                  </w:rPr>
                  <m:t>&lt; 30°</m:t>
                </m:r>
              </m:oMath>
            </m:oMathPara>
          </w:p>
        </w:tc>
        <w:tc>
          <w:tcPr>
            <w:tcW w:w="1393" w:type="dxa"/>
            <w:tcBorders>
              <w:top w:val="single" w:sz="2" w:space="0" w:color="auto"/>
              <w:left w:val="single" w:sz="2" w:space="0" w:color="auto"/>
              <w:bottom w:val="single" w:sz="2" w:space="0" w:color="auto"/>
              <w:right w:val="single" w:sz="2" w:space="0" w:color="auto"/>
            </w:tcBorders>
          </w:tcPr>
          <w:p w:rsidR="00505D66" w:rsidRPr="00C903F8" w:rsidRDefault="00F12BAF" w:rsidP="00D80B34">
            <w:pPr>
              <w:autoSpaceDE/>
              <w:autoSpaceDN/>
              <w:spacing w:before="60" w:after="60" w:line="240" w:lineRule="atLeast"/>
              <w:ind w:left="0" w:firstLine="0"/>
              <w:jc w:val="left"/>
              <w:rPr>
                <w:rFonts w:cs="Arial"/>
                <w:noProof/>
                <w:sz w:val="18"/>
                <w:szCs w:val="18"/>
                <w:lang w:val="en-GB" w:eastAsia="en-US"/>
              </w:rPr>
            </w:pPr>
            <m:oMathPara>
              <m:oMath>
                <m:sSub>
                  <m:sSubPr>
                    <m:ctrlPr>
                      <w:rPr>
                        <w:rFonts w:ascii="Cambria Math" w:eastAsia="Calibri" w:hAnsi="Cambria Math"/>
                        <w:i/>
                        <w:noProof/>
                        <w:lang w:val="en-US" w:eastAsia="en-US"/>
                      </w:rPr>
                    </m:ctrlPr>
                  </m:sSubPr>
                  <m:e>
                    <m:r>
                      <w:rPr>
                        <w:rFonts w:ascii="Cambria Math" w:eastAsia="Calibri" w:hAnsi="Cambria Math"/>
                        <w:noProof/>
                        <w:lang w:val="en-US" w:eastAsia="en-US"/>
                      </w:rPr>
                      <m:t>φ</m:t>
                    </m:r>
                  </m:e>
                  <m:sub>
                    <m:r>
                      <w:rPr>
                        <w:rFonts w:ascii="Cambria Math" w:eastAsia="Calibri" w:hAnsi="Cambria Math"/>
                        <w:noProof/>
                        <w:lang w:val="en-US" w:eastAsia="en-US"/>
                      </w:rPr>
                      <m:t>max</m:t>
                    </m:r>
                  </m:sub>
                </m:sSub>
                <m:r>
                  <w:rPr>
                    <w:rFonts w:ascii="Cambria Math" w:eastAsia="Calibri" w:hAnsi="Cambria Math"/>
                    <w:noProof/>
                    <w:lang w:val="en-US" w:eastAsia="en-US"/>
                  </w:rPr>
                  <m:t xml:space="preserve"> ≤</m:t>
                </m:r>
                <m:sSub>
                  <m:sSubPr>
                    <m:ctrlPr>
                      <w:rPr>
                        <w:rFonts w:ascii="Cambria Math" w:eastAsia="Calibri" w:hAnsi="Cambria Math"/>
                        <w:i/>
                        <w:noProof/>
                        <w:lang w:val="en-US" w:eastAsia="en-US"/>
                      </w:rPr>
                    </m:ctrlPr>
                  </m:sSubPr>
                  <m:e>
                    <m:r>
                      <w:rPr>
                        <w:rFonts w:ascii="Cambria Math" w:eastAsia="Calibri" w:hAnsi="Cambria Math"/>
                        <w:noProof/>
                        <w:lang w:val="en-US" w:eastAsia="en-US"/>
                      </w:rPr>
                      <m:t>φ</m:t>
                    </m:r>
                  </m:e>
                  <m:sub>
                    <m:r>
                      <w:rPr>
                        <w:rFonts w:ascii="Cambria Math" w:eastAsia="Calibri" w:hAnsi="Cambria Math"/>
                        <w:noProof/>
                        <w:lang w:val="en-US" w:eastAsia="en-US"/>
                      </w:rPr>
                      <m:t>f</m:t>
                    </m:r>
                  </m:sub>
                </m:sSub>
              </m:oMath>
            </m:oMathPara>
          </w:p>
        </w:tc>
        <w:tc>
          <w:tcPr>
            <w:tcW w:w="4736" w:type="dxa"/>
            <w:tcBorders>
              <w:top w:val="single" w:sz="2" w:space="0" w:color="auto"/>
              <w:left w:val="single" w:sz="2" w:space="0" w:color="auto"/>
              <w:bottom w:val="single" w:sz="2" w:space="0" w:color="auto"/>
              <w:right w:val="single" w:sz="2" w:space="0" w:color="auto"/>
            </w:tcBorders>
          </w:tcPr>
          <w:p w:rsidR="00505D66" w:rsidRPr="00C903F8" w:rsidRDefault="00652561" w:rsidP="00652561">
            <w:pPr>
              <w:autoSpaceDE/>
              <w:autoSpaceDN/>
              <w:spacing w:before="60" w:after="60" w:line="240" w:lineRule="atLeast"/>
              <w:ind w:left="0" w:firstLine="0"/>
              <w:jc w:val="left"/>
              <w:rPr>
                <w:rFonts w:cs="Arial"/>
                <w:noProof/>
                <w:sz w:val="18"/>
                <w:szCs w:val="18"/>
                <w:lang w:val="en-GB" w:eastAsia="en-US"/>
              </w:rPr>
            </w:pPr>
            <m:oMath>
              <m:r>
                <w:rPr>
                  <w:rFonts w:ascii="Cambria Math" w:hAnsi="Cambria Math" w:cs="Arial"/>
                  <w:noProof/>
                  <w:szCs w:val="18"/>
                  <w:lang w:val="en-GB" w:eastAsia="en-US"/>
                </w:rPr>
                <m:t xml:space="preserve">0,035+0,001 ∙(30- </m:t>
              </m:r>
              <m:sSub>
                <m:sSubPr>
                  <m:ctrlPr>
                    <w:rPr>
                      <w:rFonts w:ascii="Cambria Math" w:hAnsi="Cambria Math" w:cs="Arial"/>
                      <w:i/>
                      <w:noProof/>
                      <w:szCs w:val="18"/>
                      <w:lang w:val="en-GB" w:eastAsia="en-US"/>
                    </w:rPr>
                  </m:ctrlPr>
                </m:sSubPr>
                <m:e>
                  <m:r>
                    <w:rPr>
                      <w:rFonts w:ascii="Cambria Math" w:hAnsi="Cambria Math" w:cs="Arial"/>
                      <w:noProof/>
                      <w:szCs w:val="18"/>
                      <w:lang w:val="en-GB" w:eastAsia="en-US"/>
                    </w:rPr>
                    <m:t>φ</m:t>
                  </m:r>
                </m:e>
                <m:sub>
                  <m:r>
                    <w:rPr>
                      <w:rFonts w:ascii="Cambria Math" w:hAnsi="Cambria Math" w:cs="Arial"/>
                      <w:noProof/>
                      <w:szCs w:val="18"/>
                      <w:lang w:val="en-GB" w:eastAsia="en-US"/>
                    </w:rPr>
                    <m:t>max</m:t>
                  </m:r>
                </m:sub>
              </m:sSub>
              <m:r>
                <w:rPr>
                  <w:rFonts w:ascii="Cambria Math" w:hAnsi="Cambria Math" w:cs="Arial"/>
                  <w:noProof/>
                  <w:szCs w:val="18"/>
                  <w:lang w:val="en-GB" w:eastAsia="en-US"/>
                </w:rPr>
                <m:t>) m ∙rad</m:t>
              </m:r>
            </m:oMath>
            <w:r w:rsidRPr="00C903F8">
              <w:rPr>
                <w:rFonts w:cs="Arial"/>
                <w:noProof/>
                <w:szCs w:val="18"/>
                <w:lang w:val="en-GB" w:eastAsia="en-US"/>
              </w:rPr>
              <w:t xml:space="preserve"> </w:t>
            </w:r>
            <w:r w:rsidR="00505D66" w:rsidRPr="00C903F8">
              <w:rPr>
                <w:rFonts w:cs="Arial"/>
                <w:noProof/>
                <w:sz w:val="18"/>
                <w:szCs w:val="18"/>
                <w:lang w:val="en-GB" w:eastAsia="en-US"/>
              </w:rPr>
              <w:t xml:space="preserve">up to the angle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φ</m:t>
                  </m:r>
                </m:e>
                <m:sub>
                  <m:r>
                    <w:rPr>
                      <w:rFonts w:ascii="Cambria Math" w:eastAsia="Calibri" w:hAnsi="Cambria Math"/>
                      <w:noProof/>
                      <w:lang w:val="en-US" w:eastAsia="en-US"/>
                    </w:rPr>
                    <m:t>max</m:t>
                  </m:r>
                </m:sub>
              </m:sSub>
            </m:oMath>
          </w:p>
        </w:tc>
      </w:tr>
      <w:tr w:rsidR="00505D66" w:rsidRPr="00505433" w:rsidTr="009F4F31">
        <w:tc>
          <w:tcPr>
            <w:tcW w:w="680" w:type="dxa"/>
            <w:tcBorders>
              <w:top w:val="single" w:sz="2" w:space="0" w:color="auto"/>
              <w:left w:val="single" w:sz="2" w:space="0" w:color="auto"/>
              <w:bottom w:val="single" w:sz="2" w:space="0" w:color="auto"/>
              <w:right w:val="single" w:sz="2" w:space="0" w:color="auto"/>
            </w:tcBorders>
          </w:tcPr>
          <w:p w:rsidR="00505D66" w:rsidRPr="00C903F8" w:rsidRDefault="00505D66" w:rsidP="00505D66">
            <w:pPr>
              <w:autoSpaceDE/>
              <w:autoSpaceDN/>
              <w:spacing w:before="60" w:after="60" w:line="240" w:lineRule="atLeast"/>
              <w:ind w:left="0" w:firstLine="0"/>
              <w:jc w:val="left"/>
              <w:rPr>
                <w:rFonts w:cs="Arial"/>
                <w:noProof/>
                <w:sz w:val="18"/>
                <w:szCs w:val="18"/>
                <w:lang w:val="en-GB" w:eastAsia="en-US"/>
              </w:rPr>
            </w:pPr>
            <w:r w:rsidRPr="00C903F8">
              <w:rPr>
                <w:rFonts w:cs="Arial"/>
                <w:noProof/>
                <w:sz w:val="18"/>
                <w:szCs w:val="18"/>
                <w:lang w:val="en-GB" w:eastAsia="en-US"/>
              </w:rPr>
              <w:t>3</w:t>
            </w:r>
          </w:p>
        </w:tc>
        <w:tc>
          <w:tcPr>
            <w:tcW w:w="2381" w:type="dxa"/>
            <w:tcBorders>
              <w:top w:val="single" w:sz="2" w:space="0" w:color="auto"/>
              <w:left w:val="single" w:sz="2" w:space="0" w:color="auto"/>
              <w:bottom w:val="single" w:sz="2" w:space="0" w:color="auto"/>
              <w:right w:val="single" w:sz="2" w:space="0" w:color="auto"/>
            </w:tcBorders>
          </w:tcPr>
          <w:p w:rsidR="00505D66" w:rsidRPr="00C903F8" w:rsidRDefault="00F12BAF" w:rsidP="00820E6F">
            <w:pPr>
              <w:autoSpaceDE/>
              <w:autoSpaceDN/>
              <w:spacing w:before="60" w:after="60" w:line="240" w:lineRule="atLeast"/>
              <w:ind w:left="0" w:firstLine="0"/>
              <w:jc w:val="left"/>
              <w:rPr>
                <w:rFonts w:cs="Arial"/>
                <w:noProof/>
                <w:szCs w:val="20"/>
                <w:lang w:val="en-GB" w:eastAsia="en-US"/>
              </w:rPr>
            </w:pPr>
            <m:oMathPara>
              <m:oMath>
                <m:sSub>
                  <m:sSubPr>
                    <m:ctrlPr>
                      <w:rPr>
                        <w:rFonts w:ascii="Cambria Math" w:eastAsia="Calibri" w:hAnsi="Cambria Math"/>
                        <w:i/>
                        <w:noProof/>
                        <w:szCs w:val="20"/>
                        <w:lang w:val="en-US" w:eastAsia="en-US"/>
                      </w:rPr>
                    </m:ctrlPr>
                  </m:sSubPr>
                  <m:e>
                    <m:r>
                      <w:rPr>
                        <w:rFonts w:ascii="Cambria Math" w:eastAsia="Calibri" w:hAnsi="Cambria Math"/>
                        <w:noProof/>
                        <w:szCs w:val="20"/>
                        <w:lang w:val="en-US" w:eastAsia="en-US"/>
                      </w:rPr>
                      <m:t>15° &lt;φ</m:t>
                    </m:r>
                  </m:e>
                  <m:sub>
                    <m:r>
                      <w:rPr>
                        <w:rFonts w:ascii="Cambria Math" w:eastAsia="Calibri" w:hAnsi="Cambria Math"/>
                        <w:noProof/>
                        <w:szCs w:val="20"/>
                        <w:lang w:val="en-US" w:eastAsia="en-US"/>
                      </w:rPr>
                      <m:t>f</m:t>
                    </m:r>
                  </m:sub>
                </m:sSub>
                <m:r>
                  <w:rPr>
                    <w:rFonts w:ascii="Cambria Math" w:eastAsia="Calibri" w:hAnsi="Cambria Math"/>
                    <w:noProof/>
                    <w:szCs w:val="20"/>
                    <w:lang w:val="en-US" w:eastAsia="en-US"/>
                  </w:rPr>
                  <m:t>&lt; 30°</m:t>
                </m:r>
              </m:oMath>
            </m:oMathPara>
          </w:p>
        </w:tc>
        <w:tc>
          <w:tcPr>
            <w:tcW w:w="1393" w:type="dxa"/>
            <w:tcBorders>
              <w:top w:val="single" w:sz="2" w:space="0" w:color="auto"/>
              <w:left w:val="single" w:sz="2" w:space="0" w:color="auto"/>
              <w:bottom w:val="single" w:sz="2" w:space="0" w:color="auto"/>
              <w:right w:val="single" w:sz="2" w:space="0" w:color="auto"/>
            </w:tcBorders>
          </w:tcPr>
          <w:p w:rsidR="00505D66" w:rsidRPr="00C903F8" w:rsidRDefault="00F12BAF" w:rsidP="00D80B34">
            <w:pPr>
              <w:autoSpaceDE/>
              <w:autoSpaceDN/>
              <w:spacing w:before="60" w:after="60" w:line="240" w:lineRule="atLeast"/>
              <w:ind w:left="0" w:firstLine="0"/>
              <w:jc w:val="left"/>
              <w:rPr>
                <w:rFonts w:cs="Arial"/>
                <w:noProof/>
                <w:sz w:val="18"/>
                <w:szCs w:val="18"/>
                <w:lang w:val="en-GB" w:eastAsia="en-US"/>
              </w:rPr>
            </w:pPr>
            <m:oMathPara>
              <m:oMath>
                <m:sSub>
                  <m:sSubPr>
                    <m:ctrlPr>
                      <w:rPr>
                        <w:rFonts w:ascii="Cambria Math" w:eastAsia="Calibri" w:hAnsi="Cambria Math"/>
                        <w:i/>
                        <w:noProof/>
                        <w:lang w:val="en-US" w:eastAsia="en-US"/>
                      </w:rPr>
                    </m:ctrlPr>
                  </m:sSubPr>
                  <m:e>
                    <m:r>
                      <w:rPr>
                        <w:rFonts w:ascii="Cambria Math" w:eastAsia="Calibri" w:hAnsi="Cambria Math"/>
                        <w:noProof/>
                        <w:lang w:val="en-US" w:eastAsia="en-US"/>
                      </w:rPr>
                      <m:t>φ</m:t>
                    </m:r>
                  </m:e>
                  <m:sub>
                    <m:r>
                      <w:rPr>
                        <w:rFonts w:ascii="Cambria Math" w:eastAsia="Calibri" w:hAnsi="Cambria Math"/>
                        <w:noProof/>
                        <w:lang w:val="en-US" w:eastAsia="en-US"/>
                      </w:rPr>
                      <m:t>max</m:t>
                    </m:r>
                  </m:sub>
                </m:sSub>
                <m:r>
                  <w:rPr>
                    <w:rFonts w:ascii="Cambria Math" w:eastAsia="Calibri" w:hAnsi="Cambria Math"/>
                    <w:noProof/>
                    <w:lang w:val="en-US" w:eastAsia="en-US"/>
                  </w:rPr>
                  <m:t>&gt;</m:t>
                </m:r>
                <m:sSub>
                  <m:sSubPr>
                    <m:ctrlPr>
                      <w:rPr>
                        <w:rFonts w:ascii="Cambria Math" w:eastAsia="Calibri" w:hAnsi="Cambria Math"/>
                        <w:i/>
                        <w:noProof/>
                        <w:lang w:val="en-US" w:eastAsia="en-US"/>
                      </w:rPr>
                    </m:ctrlPr>
                  </m:sSubPr>
                  <m:e>
                    <m:r>
                      <w:rPr>
                        <w:rFonts w:ascii="Cambria Math" w:eastAsia="Calibri" w:hAnsi="Cambria Math"/>
                        <w:noProof/>
                        <w:lang w:val="en-US" w:eastAsia="en-US"/>
                      </w:rPr>
                      <m:t>φ</m:t>
                    </m:r>
                  </m:e>
                  <m:sub>
                    <m:r>
                      <w:rPr>
                        <w:rFonts w:ascii="Cambria Math" w:eastAsia="Calibri" w:hAnsi="Cambria Math"/>
                        <w:noProof/>
                        <w:lang w:val="en-US" w:eastAsia="en-US"/>
                      </w:rPr>
                      <m:t>f</m:t>
                    </m:r>
                  </m:sub>
                </m:sSub>
              </m:oMath>
            </m:oMathPara>
          </w:p>
        </w:tc>
        <w:tc>
          <w:tcPr>
            <w:tcW w:w="4736" w:type="dxa"/>
            <w:tcBorders>
              <w:top w:val="single" w:sz="2" w:space="0" w:color="auto"/>
              <w:left w:val="single" w:sz="2" w:space="0" w:color="auto"/>
              <w:bottom w:val="single" w:sz="2" w:space="0" w:color="auto"/>
              <w:right w:val="single" w:sz="2" w:space="0" w:color="auto"/>
            </w:tcBorders>
          </w:tcPr>
          <w:p w:rsidR="00505D66" w:rsidRPr="00C903F8" w:rsidRDefault="00652561" w:rsidP="00652561">
            <w:pPr>
              <w:autoSpaceDE/>
              <w:autoSpaceDN/>
              <w:spacing w:before="60" w:after="60" w:line="240" w:lineRule="atLeast"/>
              <w:ind w:left="0" w:firstLine="0"/>
              <w:jc w:val="left"/>
              <w:rPr>
                <w:rFonts w:cs="Arial"/>
                <w:noProof/>
                <w:sz w:val="18"/>
                <w:szCs w:val="18"/>
                <w:lang w:val="en-GB" w:eastAsia="en-US"/>
              </w:rPr>
            </w:pPr>
            <m:oMath>
              <m:r>
                <w:rPr>
                  <w:rFonts w:ascii="Cambria Math" w:hAnsi="Cambria Math" w:cs="Arial"/>
                  <w:noProof/>
                  <w:szCs w:val="18"/>
                  <w:lang w:val="en-GB" w:eastAsia="en-US"/>
                </w:rPr>
                <m:t xml:space="preserve">0,035+0,001 ∙(30- </m:t>
              </m:r>
              <m:sSub>
                <m:sSubPr>
                  <m:ctrlPr>
                    <w:rPr>
                      <w:rFonts w:ascii="Cambria Math" w:hAnsi="Cambria Math" w:cs="Arial"/>
                      <w:i/>
                      <w:noProof/>
                      <w:szCs w:val="18"/>
                      <w:lang w:val="en-GB" w:eastAsia="en-US"/>
                    </w:rPr>
                  </m:ctrlPr>
                </m:sSubPr>
                <m:e>
                  <m:r>
                    <w:rPr>
                      <w:rFonts w:ascii="Cambria Math" w:hAnsi="Cambria Math" w:cs="Arial"/>
                      <w:noProof/>
                      <w:szCs w:val="18"/>
                      <w:lang w:val="en-GB" w:eastAsia="en-US"/>
                    </w:rPr>
                    <m:t>φ</m:t>
                  </m:r>
                </m:e>
                <m:sub>
                  <m:r>
                    <w:rPr>
                      <w:rFonts w:ascii="Cambria Math" w:hAnsi="Cambria Math" w:cs="Arial"/>
                      <w:noProof/>
                      <w:szCs w:val="18"/>
                      <w:lang w:val="en-GB" w:eastAsia="en-US"/>
                    </w:rPr>
                    <m:t>f</m:t>
                  </m:r>
                </m:sub>
              </m:sSub>
              <m:r>
                <w:rPr>
                  <w:rFonts w:ascii="Cambria Math" w:hAnsi="Cambria Math" w:cs="Arial"/>
                  <w:noProof/>
                  <w:szCs w:val="18"/>
                  <w:lang w:val="en-GB" w:eastAsia="en-US"/>
                </w:rPr>
                <m:t>) m ∙rad</m:t>
              </m:r>
            </m:oMath>
            <w:r w:rsidR="002D7949" w:rsidRPr="00C903F8">
              <w:rPr>
                <w:rFonts w:cs="Arial"/>
                <w:noProof/>
                <w:sz w:val="18"/>
                <w:szCs w:val="18"/>
                <w:lang w:val="en-GB" w:eastAsia="en-US"/>
              </w:rPr>
              <w:t xml:space="preserve"> </w:t>
            </w:r>
            <w:r w:rsidR="00505D66" w:rsidRPr="00C903F8">
              <w:rPr>
                <w:rFonts w:cs="Arial"/>
                <w:noProof/>
                <w:sz w:val="18"/>
                <w:szCs w:val="18"/>
                <w:lang w:val="en-GB" w:eastAsia="en-US"/>
              </w:rPr>
              <w:t xml:space="preserve">up to the angle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φ</m:t>
                  </m:r>
                </m:e>
                <m:sub>
                  <m:r>
                    <w:rPr>
                      <w:rFonts w:ascii="Cambria Math" w:eastAsia="Calibri" w:hAnsi="Cambria Math"/>
                      <w:noProof/>
                      <w:lang w:val="en-US" w:eastAsia="en-US"/>
                    </w:rPr>
                    <m:t>f</m:t>
                  </m:r>
                </m:sub>
              </m:sSub>
            </m:oMath>
          </w:p>
        </w:tc>
      </w:tr>
      <w:tr w:rsidR="00505D66" w:rsidRPr="00505433" w:rsidTr="009F4F31">
        <w:tc>
          <w:tcPr>
            <w:tcW w:w="680" w:type="dxa"/>
            <w:tcBorders>
              <w:top w:val="single" w:sz="2" w:space="0" w:color="auto"/>
              <w:left w:val="single" w:sz="2" w:space="0" w:color="auto"/>
              <w:bottom w:val="single" w:sz="2" w:space="0" w:color="auto"/>
              <w:right w:val="single" w:sz="2" w:space="0" w:color="auto"/>
            </w:tcBorders>
          </w:tcPr>
          <w:p w:rsidR="00505D66" w:rsidRPr="00C903F8" w:rsidRDefault="00505D66" w:rsidP="00505D66">
            <w:pPr>
              <w:autoSpaceDE/>
              <w:autoSpaceDN/>
              <w:spacing w:before="60" w:after="60" w:line="240" w:lineRule="atLeast"/>
              <w:ind w:left="0" w:firstLine="0"/>
              <w:jc w:val="left"/>
              <w:rPr>
                <w:rFonts w:cs="Arial"/>
                <w:noProof/>
                <w:sz w:val="18"/>
                <w:szCs w:val="18"/>
                <w:lang w:val="en-GB" w:eastAsia="en-US"/>
              </w:rPr>
            </w:pPr>
            <w:r w:rsidRPr="00C903F8">
              <w:rPr>
                <w:rFonts w:cs="Arial"/>
                <w:noProof/>
                <w:sz w:val="18"/>
                <w:szCs w:val="18"/>
                <w:lang w:val="en-GB" w:eastAsia="en-US"/>
              </w:rPr>
              <w:t>4</w:t>
            </w:r>
          </w:p>
        </w:tc>
        <w:tc>
          <w:tcPr>
            <w:tcW w:w="2381" w:type="dxa"/>
            <w:tcBorders>
              <w:top w:val="single" w:sz="2" w:space="0" w:color="auto"/>
              <w:left w:val="single" w:sz="2" w:space="0" w:color="auto"/>
              <w:bottom w:val="single" w:sz="2" w:space="0" w:color="auto"/>
              <w:right w:val="single" w:sz="2" w:space="0" w:color="auto"/>
            </w:tcBorders>
          </w:tcPr>
          <w:p w:rsidR="00505D66" w:rsidRPr="00C903F8" w:rsidRDefault="00F12BAF" w:rsidP="009F4F31">
            <w:pPr>
              <w:autoSpaceDE/>
              <w:autoSpaceDN/>
              <w:spacing w:before="60" w:after="60" w:line="240" w:lineRule="atLeast"/>
              <w:ind w:left="0" w:firstLine="0"/>
              <w:jc w:val="left"/>
              <w:rPr>
                <w:rFonts w:cs="Arial"/>
                <w:noProof/>
                <w:szCs w:val="20"/>
                <w:lang w:val="en-GB" w:eastAsia="en-US"/>
              </w:rPr>
            </w:pPr>
            <m:oMath>
              <m:sSub>
                <m:sSubPr>
                  <m:ctrlPr>
                    <w:rPr>
                      <w:rFonts w:ascii="Cambria Math" w:eastAsia="Calibri" w:hAnsi="Cambria Math"/>
                      <w:i/>
                      <w:noProof/>
                      <w:szCs w:val="20"/>
                      <w:lang w:val="en-US" w:eastAsia="en-US"/>
                    </w:rPr>
                  </m:ctrlPr>
                </m:sSubPr>
                <m:e>
                  <m:r>
                    <w:rPr>
                      <w:rFonts w:ascii="Cambria Math" w:eastAsia="Calibri" w:hAnsi="Cambria Math"/>
                      <w:noProof/>
                      <w:szCs w:val="20"/>
                      <w:lang w:val="en-US" w:eastAsia="en-US"/>
                    </w:rPr>
                    <m:t>φ</m:t>
                  </m:r>
                </m:e>
                <m:sub>
                  <m:r>
                    <w:rPr>
                      <w:rFonts w:ascii="Cambria Math" w:eastAsia="Calibri" w:hAnsi="Cambria Math"/>
                      <w:noProof/>
                      <w:szCs w:val="20"/>
                      <w:lang w:val="en-US" w:eastAsia="en-US"/>
                    </w:rPr>
                    <m:t>max</m:t>
                  </m:r>
                </m:sub>
              </m:sSub>
              <m:r>
                <w:rPr>
                  <w:rFonts w:ascii="Cambria Math" w:eastAsia="Calibri" w:hAnsi="Cambria Math"/>
                  <w:noProof/>
                  <w:szCs w:val="20"/>
                  <w:lang w:val="en-US" w:eastAsia="en-US"/>
                </w:rPr>
                <m:t xml:space="preserve"> ≥30°</m:t>
              </m:r>
            </m:oMath>
            <w:r w:rsidR="009F4F31" w:rsidRPr="00C903F8">
              <w:rPr>
                <w:rFonts w:cs="Arial"/>
                <w:noProof/>
                <w:szCs w:val="20"/>
                <w:lang w:val="en-US" w:eastAsia="en-US"/>
              </w:rPr>
              <w:t xml:space="preserve"> and </w:t>
            </w:r>
            <m:oMath>
              <m:sSub>
                <m:sSubPr>
                  <m:ctrlPr>
                    <w:rPr>
                      <w:rFonts w:ascii="Cambria Math" w:eastAsia="Calibri" w:hAnsi="Cambria Math"/>
                      <w:i/>
                      <w:noProof/>
                      <w:szCs w:val="20"/>
                      <w:lang w:val="en-US" w:eastAsia="en-US"/>
                    </w:rPr>
                  </m:ctrlPr>
                </m:sSubPr>
                <m:e>
                  <m:r>
                    <w:rPr>
                      <w:rFonts w:ascii="Cambria Math" w:eastAsia="Calibri" w:hAnsi="Cambria Math"/>
                      <w:noProof/>
                      <w:szCs w:val="20"/>
                      <w:lang w:val="en-US" w:eastAsia="en-US"/>
                    </w:rPr>
                    <m:t>φ</m:t>
                  </m:r>
                </m:e>
                <m:sub>
                  <m:r>
                    <w:rPr>
                      <w:rFonts w:ascii="Cambria Math" w:eastAsia="Calibri" w:hAnsi="Cambria Math"/>
                      <w:noProof/>
                      <w:szCs w:val="20"/>
                      <w:lang w:val="en-US" w:eastAsia="en-US"/>
                    </w:rPr>
                    <m:t>f</m:t>
                  </m:r>
                </m:sub>
              </m:sSub>
              <m:r>
                <w:rPr>
                  <w:rFonts w:ascii="Cambria Math" w:eastAsia="Calibri" w:hAnsi="Cambria Math"/>
                  <w:noProof/>
                  <w:szCs w:val="20"/>
                  <w:lang w:val="en-US" w:eastAsia="en-US"/>
                </w:rPr>
                <m:t xml:space="preserve"> ≥30°</m:t>
              </m:r>
            </m:oMath>
          </w:p>
        </w:tc>
        <w:tc>
          <w:tcPr>
            <w:tcW w:w="1393" w:type="dxa"/>
            <w:tcBorders>
              <w:top w:val="single" w:sz="2" w:space="0" w:color="auto"/>
              <w:left w:val="single" w:sz="2" w:space="0" w:color="auto"/>
              <w:bottom w:val="single" w:sz="2" w:space="0" w:color="auto"/>
              <w:right w:val="single" w:sz="2" w:space="0" w:color="auto"/>
            </w:tcBorders>
          </w:tcPr>
          <w:p w:rsidR="00505D66" w:rsidRPr="00C903F8" w:rsidRDefault="00505D66" w:rsidP="00505D66">
            <w:pPr>
              <w:autoSpaceDE/>
              <w:autoSpaceDN/>
              <w:spacing w:before="60" w:after="60" w:line="240" w:lineRule="atLeast"/>
              <w:ind w:left="0" w:firstLine="0"/>
              <w:jc w:val="left"/>
              <w:rPr>
                <w:rFonts w:cs="Arial"/>
                <w:noProof/>
                <w:sz w:val="18"/>
                <w:szCs w:val="18"/>
                <w:lang w:val="en-GB" w:eastAsia="en-US"/>
              </w:rPr>
            </w:pPr>
          </w:p>
        </w:tc>
        <w:tc>
          <w:tcPr>
            <w:tcW w:w="4736" w:type="dxa"/>
            <w:tcBorders>
              <w:top w:val="single" w:sz="2" w:space="0" w:color="auto"/>
              <w:left w:val="single" w:sz="2" w:space="0" w:color="auto"/>
              <w:bottom w:val="single" w:sz="2" w:space="0" w:color="auto"/>
              <w:right w:val="single" w:sz="2" w:space="0" w:color="auto"/>
            </w:tcBorders>
          </w:tcPr>
          <w:p w:rsidR="00505D66" w:rsidRPr="00C903F8" w:rsidRDefault="00652561" w:rsidP="00652561">
            <w:pPr>
              <w:autoSpaceDE/>
              <w:autoSpaceDN/>
              <w:spacing w:before="60" w:after="60" w:line="240" w:lineRule="atLeast"/>
              <w:ind w:left="0" w:firstLine="0"/>
              <w:jc w:val="left"/>
              <w:rPr>
                <w:rFonts w:cs="Arial"/>
                <w:noProof/>
                <w:sz w:val="18"/>
                <w:szCs w:val="18"/>
                <w:lang w:val="en-GB" w:eastAsia="en-US"/>
              </w:rPr>
            </w:pPr>
            <m:oMath>
              <m:r>
                <w:rPr>
                  <w:rFonts w:ascii="Cambria Math" w:hAnsi="Cambria Math" w:cs="Arial"/>
                  <w:noProof/>
                  <w:szCs w:val="18"/>
                  <w:lang w:val="en-GB" w:eastAsia="en-US"/>
                </w:rPr>
                <m:t>0,035 m ∙rad</m:t>
              </m:r>
            </m:oMath>
            <w:r w:rsidRPr="00C903F8">
              <w:rPr>
                <w:rFonts w:cs="Arial"/>
                <w:noProof/>
                <w:sz w:val="18"/>
                <w:szCs w:val="18"/>
                <w:lang w:val="en-GB" w:eastAsia="en-US"/>
              </w:rPr>
              <w:t xml:space="preserve"> </w:t>
            </w:r>
            <w:r w:rsidR="00505D66" w:rsidRPr="00C903F8">
              <w:rPr>
                <w:rFonts w:cs="Arial"/>
                <w:noProof/>
                <w:sz w:val="18"/>
                <w:szCs w:val="18"/>
                <w:lang w:val="en-GB" w:eastAsia="en-US"/>
              </w:rPr>
              <w:t xml:space="preserve">up to the angle </w:t>
            </w:r>
            <m:oMath>
              <m:r>
                <w:rPr>
                  <w:rFonts w:ascii="Cambria Math" w:hAnsi="Cambria Math" w:cs="Arial"/>
                  <w:noProof/>
                  <w:sz w:val="18"/>
                  <w:szCs w:val="18"/>
                  <w:lang w:val="en-GB" w:eastAsia="en-US"/>
                </w:rPr>
                <m:t>φ</m:t>
              </m:r>
              <m:r>
                <w:rPr>
                  <w:rFonts w:ascii="Cambria Math" w:eastAsia="Calibri" w:hAnsi="Cambria Math"/>
                  <w:noProof/>
                  <w:lang w:val="en-US" w:eastAsia="en-US"/>
                </w:rPr>
                <m:t>=30°</m:t>
              </m:r>
            </m:oMath>
          </w:p>
        </w:tc>
      </w:tr>
    </w:tbl>
    <w:p w:rsidR="00577ECC" w:rsidRPr="00C903F8" w:rsidRDefault="00577ECC" w:rsidP="00577ECC">
      <w:pPr>
        <w:pStyle w:val="ESgauche"/>
        <w:rPr>
          <w:rFonts w:eastAsia="Calibri"/>
          <w:lang w:val="en-GB" w:eastAsia="en-US"/>
        </w:rPr>
      </w:pPr>
    </w:p>
    <w:p w:rsidR="00973DAA" w:rsidRPr="00C903F8" w:rsidRDefault="00973DAA" w:rsidP="00222FDC">
      <w:pPr>
        <w:pStyle w:val="ESletpar"/>
        <w:ind w:left="567"/>
        <w:rPr>
          <w:rFonts w:ascii="Times New Roman" w:hAnsi="Times New Roman" w:cs="Arial"/>
          <w:szCs w:val="18"/>
          <w:lang w:val="en-US"/>
        </w:rPr>
      </w:pPr>
      <w:r w:rsidRPr="00C903F8">
        <w:rPr>
          <w:noProof/>
          <w:lang w:val="en-GB"/>
        </w:rPr>
        <w:t>Where:</w:t>
      </w:r>
    </w:p>
    <w:p w:rsidR="00973DAA" w:rsidRPr="00C903F8" w:rsidRDefault="00F12BAF" w:rsidP="00222FDC">
      <w:pPr>
        <w:pStyle w:val="EStiret"/>
        <w:ind w:left="1276" w:hanging="709"/>
        <w:rPr>
          <w:rFonts w:eastAsia="Calibri" w:cs="Arial"/>
          <w:szCs w:val="18"/>
          <w:lang w:val="en-US" w:eastAsia="en-US"/>
        </w:rPr>
      </w:pPr>
      <m:oMath>
        <m:sSub>
          <m:sSubPr>
            <m:ctrlPr>
              <w:rPr>
                <w:rFonts w:ascii="Cambria Math" w:eastAsia="Calibri" w:hAnsi="Cambria Math"/>
                <w:i/>
                <w:snapToGrid/>
                <w:color w:val="auto"/>
                <w:lang w:val="en-US" w:eastAsia="en-US" w:bidi="ar-SA"/>
              </w:rPr>
            </m:ctrlPr>
          </m:sSubPr>
          <m:e>
            <m:r>
              <w:rPr>
                <w:rFonts w:ascii="Cambria Math" w:eastAsia="Calibri" w:hAnsi="Cambria Math"/>
                <w:lang w:val="en-US" w:eastAsia="en-US"/>
              </w:rPr>
              <m:t>h</m:t>
            </m:r>
          </m:e>
          <m:sub>
            <m:r>
              <w:rPr>
                <w:rFonts w:ascii="Cambria Math" w:eastAsia="Calibri" w:hAnsi="Cambria Math"/>
                <w:lang w:val="en-US" w:eastAsia="en-US"/>
              </w:rPr>
              <m:t>max</m:t>
            </m:r>
          </m:sub>
        </m:sSub>
      </m:oMath>
      <w:r w:rsidR="00973DAA" w:rsidRPr="00C903F8">
        <w:rPr>
          <w:rFonts w:eastAsia="Calibri"/>
          <w:sz w:val="16"/>
          <w:vertAlign w:val="subscript"/>
          <w:lang w:val="en-US" w:eastAsia="en-US"/>
        </w:rPr>
        <w:tab/>
      </w:r>
      <w:r w:rsidR="00973DAA" w:rsidRPr="00C903F8">
        <w:rPr>
          <w:rFonts w:eastAsia="Calibri"/>
          <w:lang w:val="en-US" w:eastAsia="en-US"/>
        </w:rPr>
        <w:t>is the maximum lever;</w:t>
      </w:r>
    </w:p>
    <w:p w:rsidR="00973DAA" w:rsidRPr="00C903F8" w:rsidRDefault="00A535DE" w:rsidP="00222FDC">
      <w:pPr>
        <w:pStyle w:val="EStiret"/>
        <w:ind w:left="1276" w:hanging="709"/>
        <w:rPr>
          <w:rFonts w:eastAsia="Calibri" w:cs="Arial"/>
          <w:szCs w:val="18"/>
          <w:vertAlign w:val="superscript"/>
          <w:lang w:val="en-US" w:eastAsia="en-US"/>
        </w:rPr>
      </w:pPr>
      <m:oMath>
        <m:r>
          <w:rPr>
            <w:rFonts w:ascii="Cambria Math" w:eastAsia="Calibri" w:hAnsi="Cambria Math"/>
            <w:lang w:val="en-US" w:eastAsia="en-US"/>
          </w:rPr>
          <m:t>φ</m:t>
        </m:r>
      </m:oMath>
      <w:r w:rsidR="00973DAA" w:rsidRPr="00C903F8">
        <w:rPr>
          <w:rFonts w:eastAsia="Calibri" w:cs="Arial"/>
          <w:szCs w:val="18"/>
          <w:lang w:val="en-US" w:eastAsia="en-US"/>
        </w:rPr>
        <w:tab/>
      </w:r>
      <w:r w:rsidR="00973DAA" w:rsidRPr="00C903F8">
        <w:rPr>
          <w:rFonts w:eastAsia="Calibri"/>
          <w:lang w:val="en-US" w:eastAsia="en-US"/>
        </w:rPr>
        <w:t>the heeling angle;</w:t>
      </w:r>
    </w:p>
    <w:p w:rsidR="00973DAA" w:rsidRPr="00C903F8" w:rsidRDefault="00F12BAF" w:rsidP="00222FDC">
      <w:pPr>
        <w:pStyle w:val="EStiret"/>
        <w:ind w:left="1276" w:hanging="709"/>
        <w:rPr>
          <w:rFonts w:eastAsia="Calibri" w:cs="Arial"/>
          <w:szCs w:val="18"/>
          <w:vertAlign w:val="superscript"/>
          <w:lang w:val="en-US" w:eastAsia="en-US"/>
        </w:rPr>
      </w:pPr>
      <m:oMath>
        <m:sSub>
          <m:sSubPr>
            <m:ctrlPr>
              <w:rPr>
                <w:rFonts w:ascii="Cambria Math" w:eastAsia="Calibri" w:hAnsi="Cambria Math"/>
                <w:i/>
                <w:snapToGrid/>
                <w:color w:val="auto"/>
                <w:lang w:val="en-US" w:eastAsia="en-US" w:bidi="ar-SA"/>
              </w:rPr>
            </m:ctrlPr>
          </m:sSubPr>
          <m:e>
            <m:r>
              <w:rPr>
                <w:rFonts w:ascii="Cambria Math" w:eastAsia="Calibri" w:hAnsi="Cambria Math"/>
                <w:lang w:val="en-US" w:eastAsia="en-US"/>
              </w:rPr>
              <m:t>φ</m:t>
            </m:r>
          </m:e>
          <m:sub>
            <m:r>
              <w:rPr>
                <w:rFonts w:ascii="Cambria Math" w:eastAsia="Calibri" w:hAnsi="Cambria Math"/>
                <w:lang w:val="en-US" w:eastAsia="en-US"/>
              </w:rPr>
              <m:t>f</m:t>
            </m:r>
          </m:sub>
        </m:sSub>
      </m:oMath>
      <w:r w:rsidR="00973DAA" w:rsidRPr="00C903F8">
        <w:rPr>
          <w:rFonts w:eastAsia="Calibri" w:cs="Arial"/>
          <w:szCs w:val="18"/>
          <w:lang w:val="en-US" w:eastAsia="en-US"/>
        </w:rPr>
        <w:tab/>
      </w:r>
      <w:r w:rsidR="00973DAA" w:rsidRPr="00C903F8">
        <w:rPr>
          <w:rFonts w:eastAsia="Calibri"/>
          <w:lang w:val="en-US" w:eastAsia="en-US"/>
        </w:rPr>
        <w:t>the downflooding angle, that is the heeling angle, at which openings in the hull, in the superstructure or deck houses which cannot be closed so as to be watertight, submerge;</w:t>
      </w:r>
    </w:p>
    <w:p w:rsidR="00973DAA" w:rsidRPr="00C903F8" w:rsidRDefault="00F12BAF" w:rsidP="00222FDC">
      <w:pPr>
        <w:pStyle w:val="EStiret"/>
        <w:ind w:left="1276" w:hanging="709"/>
        <w:rPr>
          <w:rFonts w:eastAsia="Calibri" w:cs="Arial"/>
          <w:szCs w:val="18"/>
          <w:vertAlign w:val="superscript"/>
          <w:lang w:val="en-US" w:eastAsia="en-US"/>
        </w:rPr>
      </w:pPr>
      <m:oMath>
        <m:sSub>
          <m:sSubPr>
            <m:ctrlPr>
              <w:rPr>
                <w:rFonts w:ascii="Cambria Math" w:eastAsia="Calibri" w:hAnsi="Cambria Math"/>
                <w:i/>
                <w:snapToGrid/>
                <w:color w:val="auto"/>
                <w:lang w:val="en-US" w:eastAsia="en-US" w:bidi="ar-SA"/>
              </w:rPr>
            </m:ctrlPr>
          </m:sSubPr>
          <m:e>
            <m:r>
              <w:rPr>
                <w:rFonts w:ascii="Cambria Math" w:eastAsia="Calibri" w:hAnsi="Cambria Math"/>
                <w:lang w:val="en-US" w:eastAsia="en-US"/>
              </w:rPr>
              <m:t>φ</m:t>
            </m:r>
          </m:e>
          <m:sub>
            <m:r>
              <w:rPr>
                <w:rFonts w:ascii="Cambria Math" w:eastAsia="Calibri" w:hAnsi="Cambria Math"/>
                <w:lang w:val="en-US" w:eastAsia="en-US"/>
              </w:rPr>
              <m:t>mom</m:t>
            </m:r>
          </m:sub>
        </m:sSub>
      </m:oMath>
      <w:r w:rsidR="00973DAA" w:rsidRPr="00C903F8">
        <w:rPr>
          <w:rFonts w:eastAsia="Calibri" w:cs="Arial"/>
          <w:szCs w:val="18"/>
          <w:lang w:val="en-US" w:eastAsia="en-US"/>
        </w:rPr>
        <w:tab/>
      </w:r>
      <w:r w:rsidR="00973DAA" w:rsidRPr="00C903F8">
        <w:rPr>
          <w:rFonts w:eastAsia="Calibri" w:cs="Arial"/>
          <w:szCs w:val="16"/>
          <w:lang w:val="en-US" w:eastAsia="en-US"/>
        </w:rPr>
        <w:t>the maximum heeling angle according to (e);</w:t>
      </w:r>
    </w:p>
    <w:p w:rsidR="00973DAA" w:rsidRPr="00C903F8" w:rsidRDefault="00F12BAF" w:rsidP="00222FDC">
      <w:pPr>
        <w:pStyle w:val="EStiret"/>
        <w:ind w:left="1276" w:hanging="709"/>
        <w:rPr>
          <w:rFonts w:eastAsia="Calibri" w:cs="Arial"/>
          <w:szCs w:val="18"/>
          <w:vertAlign w:val="superscript"/>
          <w:lang w:val="en-US" w:eastAsia="en-US"/>
        </w:rPr>
      </w:pPr>
      <m:oMath>
        <m:sSub>
          <m:sSubPr>
            <m:ctrlPr>
              <w:rPr>
                <w:rFonts w:ascii="Cambria Math" w:eastAsia="Calibri" w:hAnsi="Cambria Math"/>
                <w:i/>
                <w:snapToGrid/>
                <w:color w:val="auto"/>
                <w:lang w:val="en-US" w:eastAsia="en-US" w:bidi="ar-SA"/>
              </w:rPr>
            </m:ctrlPr>
          </m:sSubPr>
          <m:e>
            <m:r>
              <w:rPr>
                <w:rFonts w:ascii="Cambria Math" w:eastAsia="Calibri" w:hAnsi="Cambria Math"/>
                <w:lang w:val="en-US" w:eastAsia="en-US"/>
              </w:rPr>
              <m:t>φ</m:t>
            </m:r>
          </m:e>
          <m:sub>
            <m:r>
              <w:rPr>
                <w:rFonts w:ascii="Cambria Math" w:eastAsia="Calibri" w:hAnsi="Cambria Math"/>
                <w:lang w:val="en-US" w:eastAsia="en-US"/>
              </w:rPr>
              <m:t>max</m:t>
            </m:r>
          </m:sub>
        </m:sSub>
      </m:oMath>
      <w:r w:rsidR="00973DAA" w:rsidRPr="00C903F8">
        <w:rPr>
          <w:rFonts w:eastAsia="Calibri" w:cs="Arial"/>
          <w:szCs w:val="18"/>
          <w:lang w:val="en-US" w:eastAsia="en-US"/>
        </w:rPr>
        <w:tab/>
      </w:r>
      <w:r w:rsidR="00973DAA" w:rsidRPr="00C903F8">
        <w:rPr>
          <w:rFonts w:eastAsia="Calibri"/>
          <w:lang w:val="en-US" w:eastAsia="en-US"/>
        </w:rPr>
        <w:t>the heeling angle at which the maximum righting lever occurs;</w:t>
      </w:r>
    </w:p>
    <w:p w:rsidR="00973DAA" w:rsidRPr="00C903F8" w:rsidRDefault="00F1380E" w:rsidP="00222FDC">
      <w:pPr>
        <w:pStyle w:val="EStiret"/>
        <w:ind w:left="1276" w:hanging="709"/>
        <w:rPr>
          <w:rFonts w:eastAsia="Calibri" w:cs="Arial"/>
          <w:szCs w:val="18"/>
          <w:vertAlign w:val="superscript"/>
          <w:lang w:val="en-US" w:eastAsia="en-US"/>
        </w:rPr>
      </w:pPr>
      <m:oMath>
        <m:r>
          <w:rPr>
            <w:rFonts w:ascii="Cambria Math" w:eastAsia="Calibri" w:hAnsi="Cambria Math" w:cs="Arial"/>
            <w:szCs w:val="18"/>
            <w:lang w:val="en-US" w:eastAsia="en-US"/>
          </w:rPr>
          <m:t>A</m:t>
        </m:r>
      </m:oMath>
      <w:r w:rsidR="00973DAA" w:rsidRPr="00C903F8">
        <w:rPr>
          <w:rFonts w:eastAsia="Calibri" w:cs="Arial"/>
          <w:szCs w:val="18"/>
          <w:lang w:val="en-US" w:eastAsia="en-US"/>
        </w:rPr>
        <w:tab/>
      </w:r>
      <w:r w:rsidR="00973DAA" w:rsidRPr="00C903F8">
        <w:rPr>
          <w:rFonts w:eastAsia="Calibri"/>
          <w:lang w:val="en-US" w:eastAsia="en-US"/>
        </w:rPr>
        <w:t>the area under the curve of the righting levers;</w:t>
      </w:r>
    </w:p>
    <w:p w:rsidR="00577ECC" w:rsidRPr="00C903F8" w:rsidRDefault="00577ECC" w:rsidP="00973DAA">
      <w:pPr>
        <w:pStyle w:val="ESch"/>
        <w:rPr>
          <w:rFonts w:eastAsia="Calibri"/>
          <w:noProof/>
          <w:lang w:val="en-US" w:eastAsia="en-US"/>
        </w:rPr>
      </w:pPr>
    </w:p>
    <w:p w:rsidR="00505D66" w:rsidRPr="00C903F8" w:rsidRDefault="00505D66" w:rsidP="00973DAA">
      <w:pPr>
        <w:pStyle w:val="ESch"/>
        <w:rPr>
          <w:rFonts w:eastAsia="Calibri"/>
          <w:noProof/>
          <w:lang w:val="en-US" w:eastAsia="en-US"/>
        </w:rPr>
      </w:pPr>
      <w:r w:rsidRPr="00C903F8">
        <w:rPr>
          <w:rFonts w:eastAsia="Calibri"/>
          <w:noProof/>
          <w:lang w:val="en-US" w:eastAsia="en-US"/>
        </w:rPr>
        <w:br w:type="page"/>
      </w:r>
    </w:p>
    <w:p w:rsidR="00973DAA" w:rsidRPr="00C903F8" w:rsidRDefault="005C7859" w:rsidP="00577ECC">
      <w:pPr>
        <w:pStyle w:val="ESlet"/>
        <w:rPr>
          <w:rFonts w:eastAsia="Calibri" w:cs="Arial"/>
          <w:szCs w:val="18"/>
          <w:lang w:val="en-US" w:eastAsia="en-US"/>
        </w:rPr>
      </w:pPr>
      <w:r w:rsidRPr="00C903F8">
        <w:rPr>
          <w:rFonts w:eastAsia="Calibri"/>
          <w:noProof/>
          <w:lang w:val="en-US" w:eastAsia="en-US"/>
        </w:rPr>
        <w:lastRenderedPageBreak/>
        <w:t>d)</w:t>
      </w:r>
      <w:r w:rsidR="00973DAA" w:rsidRPr="00C903F8">
        <w:rPr>
          <w:rFonts w:eastAsia="Calibri"/>
          <w:noProof/>
          <w:lang w:val="en-US" w:eastAsia="en-US"/>
        </w:rPr>
        <w:tab/>
      </w:r>
      <w:r w:rsidR="00072882" w:rsidRPr="00AD2848">
        <w:rPr>
          <w:rFonts w:eastAsia="Calibri"/>
          <w:noProof/>
          <w:lang w:val="en-US" w:eastAsia="en-US"/>
        </w:rPr>
        <w:t xml:space="preserve">the initial metacentric height,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GM</m:t>
            </m:r>
          </m:e>
          <m:sub>
            <m:r>
              <w:rPr>
                <w:rFonts w:ascii="Cambria Math" w:eastAsia="Calibri" w:hAnsi="Cambria Math"/>
                <w:noProof/>
                <w:lang w:val="en-US" w:eastAsia="en-US"/>
              </w:rPr>
              <m:t>o</m:t>
            </m:r>
          </m:sub>
        </m:sSub>
      </m:oMath>
      <w:r w:rsidR="00072882" w:rsidRPr="00AD2848">
        <w:rPr>
          <w:rFonts w:eastAsia="Calibri"/>
          <w:noProof/>
          <w:lang w:val="en-US" w:eastAsia="en-US"/>
        </w:rPr>
        <w:t xml:space="preserve">, corrected by the free </w:t>
      </w:r>
      <w:r w:rsidR="00072882" w:rsidRPr="002614C4">
        <w:rPr>
          <w:rFonts w:eastAsia="Calibri"/>
          <w:noProof/>
          <w:lang w:val="en-US" w:eastAsia="en-US"/>
        </w:rPr>
        <w:t>surface effect</w:t>
      </w:r>
      <w:r w:rsidR="00072882" w:rsidRPr="00AD2848">
        <w:rPr>
          <w:rFonts w:eastAsia="Calibri"/>
          <w:noProof/>
          <w:lang w:val="en-US" w:eastAsia="en-US"/>
        </w:rPr>
        <w:t xml:space="preserve"> in liquid tanks, shall not be less than 0,15 m</w:t>
      </w:r>
      <w:r w:rsidR="00973DAA" w:rsidRPr="00C903F8">
        <w:rPr>
          <w:rFonts w:eastAsia="Calibri"/>
          <w:noProof/>
          <w:lang w:val="en-US" w:eastAsia="en-US"/>
        </w:rPr>
        <w:t>;</w:t>
      </w:r>
    </w:p>
    <w:p w:rsidR="00973DAA" w:rsidRPr="00C903F8" w:rsidRDefault="0029453D" w:rsidP="00577ECC">
      <w:pPr>
        <w:pStyle w:val="ESlet"/>
        <w:rPr>
          <w:rFonts w:eastAsia="Calibri" w:cs="Arial"/>
          <w:szCs w:val="18"/>
          <w:lang w:val="en-US" w:eastAsia="en-US"/>
        </w:rPr>
      </w:pPr>
      <w:r w:rsidRPr="00C903F8">
        <w:rPr>
          <w:rFonts w:eastAsia="Calibri"/>
          <w:noProof/>
          <w:lang w:val="en-US" w:eastAsia="en-US"/>
        </w:rPr>
        <w:t>e)</w:t>
      </w:r>
      <w:r w:rsidR="00973DAA" w:rsidRPr="00C903F8">
        <w:rPr>
          <w:rFonts w:eastAsia="Calibri"/>
          <w:noProof/>
          <w:lang w:val="en-US" w:eastAsia="en-US"/>
        </w:rPr>
        <w:tab/>
        <w:t xml:space="preserve">in each of the following two cases the heeling angle </w:t>
      </w:r>
      <m:oMath>
        <m:sSub>
          <m:sSubPr>
            <m:ctrlPr>
              <w:rPr>
                <w:rFonts w:ascii="Cambria Math" w:eastAsia="Calibri" w:hAnsi="Cambria Math"/>
                <w:i/>
                <w:lang w:val="en-US" w:eastAsia="en-US"/>
              </w:rPr>
            </m:ctrlPr>
          </m:sSubPr>
          <m:e>
            <m:r>
              <w:rPr>
                <w:rFonts w:ascii="Cambria Math" w:eastAsia="Calibri" w:hAnsi="Cambria Math"/>
                <w:lang w:val="en-US" w:eastAsia="en-US"/>
              </w:rPr>
              <m:t>φ</m:t>
            </m:r>
          </m:e>
          <m:sub>
            <m:r>
              <w:rPr>
                <w:rFonts w:ascii="Cambria Math" w:eastAsia="Calibri" w:hAnsi="Cambria Math"/>
                <w:lang w:val="en-US" w:eastAsia="en-US"/>
              </w:rPr>
              <m:t>mom</m:t>
            </m:r>
          </m:sub>
        </m:sSub>
      </m:oMath>
      <w:r w:rsidR="00973DAA" w:rsidRPr="00C903F8">
        <w:rPr>
          <w:rFonts w:eastAsia="Calibri"/>
          <w:noProof/>
          <w:lang w:val="en-US" w:eastAsia="en-US"/>
        </w:rPr>
        <w:t xml:space="preserve"> shall not exceed 12</w:t>
      </w:r>
      <w:r w:rsidR="002D3A91" w:rsidRPr="00C903F8">
        <w:rPr>
          <w:rFonts w:eastAsia="Calibri"/>
          <w:noProof/>
          <w:lang w:val="en-US" w:eastAsia="en-US"/>
        </w:rPr>
        <w:t>°</w:t>
      </w:r>
      <w:r w:rsidR="00973DAA" w:rsidRPr="00C903F8">
        <w:rPr>
          <w:rFonts w:eastAsia="Calibri"/>
          <w:noProof/>
          <w:lang w:val="en-US" w:eastAsia="en-US"/>
        </w:rPr>
        <w:t>:</w:t>
      </w:r>
    </w:p>
    <w:p w:rsidR="00973DAA" w:rsidRPr="00C903F8" w:rsidRDefault="0029453D" w:rsidP="00577ECC">
      <w:pPr>
        <w:pStyle w:val="EStiret"/>
        <w:rPr>
          <w:rFonts w:eastAsia="Calibri" w:cs="Arial"/>
          <w:szCs w:val="18"/>
          <w:lang w:val="en-US" w:eastAsia="en-US"/>
        </w:rPr>
      </w:pPr>
      <w:r w:rsidRPr="00C903F8">
        <w:rPr>
          <w:rFonts w:eastAsia="Calibri"/>
          <w:lang w:val="en-US" w:eastAsia="en-US"/>
        </w:rPr>
        <w:t>aa)</w:t>
      </w:r>
      <w:r w:rsidR="00973DAA" w:rsidRPr="00C903F8">
        <w:rPr>
          <w:rFonts w:eastAsia="Calibri"/>
          <w:lang w:val="en-US" w:eastAsia="en-US"/>
        </w:rPr>
        <w:tab/>
        <w:t>in application of the heeling moment due to persons and wind according to sections 4 and 5;</w:t>
      </w:r>
    </w:p>
    <w:p w:rsidR="00973DAA" w:rsidRPr="00C903F8" w:rsidRDefault="00973DAA" w:rsidP="00577ECC">
      <w:pPr>
        <w:pStyle w:val="EStiret"/>
        <w:rPr>
          <w:rFonts w:eastAsia="Calibri" w:cs="Arial"/>
          <w:szCs w:val="18"/>
          <w:lang w:val="en-US" w:eastAsia="en-US"/>
        </w:rPr>
      </w:pPr>
      <w:r w:rsidRPr="00C903F8">
        <w:rPr>
          <w:rFonts w:eastAsia="Calibri"/>
          <w:lang w:val="en-US" w:eastAsia="en-US"/>
        </w:rPr>
        <w:t>bb)</w:t>
      </w:r>
      <w:r w:rsidRPr="00C903F8">
        <w:rPr>
          <w:rFonts w:eastAsia="Calibri"/>
          <w:lang w:val="en-US" w:eastAsia="en-US"/>
        </w:rPr>
        <w:tab/>
        <w:t>in application of the heeling moment due to persons and turning according to sections</w:t>
      </w:r>
      <w:r w:rsidR="00DA5DCE" w:rsidRPr="00C903F8">
        <w:rPr>
          <w:rFonts w:eastAsia="Calibri"/>
          <w:lang w:val="en-US" w:eastAsia="en-US"/>
        </w:rPr>
        <w:t> </w:t>
      </w:r>
      <w:r w:rsidRPr="00C903F8">
        <w:rPr>
          <w:rFonts w:eastAsia="Calibri"/>
          <w:lang w:val="en-US" w:eastAsia="en-US"/>
        </w:rPr>
        <w:t>4 and 6;</w:t>
      </w:r>
    </w:p>
    <w:p w:rsidR="00973DAA" w:rsidRPr="00C903F8" w:rsidRDefault="0029453D" w:rsidP="00577ECC">
      <w:pPr>
        <w:pStyle w:val="ESlet"/>
        <w:rPr>
          <w:rFonts w:eastAsia="Calibri" w:cs="Arial"/>
          <w:szCs w:val="18"/>
          <w:lang w:val="en-US" w:eastAsia="en-US"/>
        </w:rPr>
      </w:pPr>
      <w:r w:rsidRPr="00C903F8">
        <w:rPr>
          <w:rFonts w:eastAsia="Calibri"/>
          <w:noProof/>
          <w:lang w:val="en-US" w:eastAsia="en-US"/>
        </w:rPr>
        <w:t>f)</w:t>
      </w:r>
      <w:r w:rsidR="00973DAA" w:rsidRPr="00C903F8">
        <w:rPr>
          <w:rFonts w:eastAsia="Calibri"/>
          <w:noProof/>
          <w:lang w:val="en-US" w:eastAsia="en-US"/>
        </w:rPr>
        <w:tab/>
        <w:t xml:space="preserve">for a heeling moment resulting from moments due to persons, wind and turning according to </w:t>
      </w:r>
      <w:r w:rsidR="00FD1E75" w:rsidRPr="00C903F8">
        <w:rPr>
          <w:rFonts w:eastAsia="Calibri"/>
          <w:noProof/>
          <w:lang w:val="en-US" w:eastAsia="en-US"/>
        </w:rPr>
        <w:t>(</w:t>
      </w:r>
      <w:r w:rsidR="00973DAA" w:rsidRPr="00C903F8">
        <w:rPr>
          <w:rFonts w:eastAsia="Calibri"/>
          <w:noProof/>
          <w:lang w:val="en-US" w:eastAsia="en-US"/>
        </w:rPr>
        <w:t>4</w:t>
      </w:r>
      <w:r w:rsidR="00FD1E75" w:rsidRPr="00C903F8">
        <w:rPr>
          <w:rFonts w:eastAsia="Calibri"/>
          <w:noProof/>
          <w:lang w:val="en-US" w:eastAsia="en-US"/>
        </w:rPr>
        <w:t>)</w:t>
      </w:r>
      <w:r w:rsidR="00973DAA" w:rsidRPr="00C903F8">
        <w:rPr>
          <w:rFonts w:eastAsia="Calibri"/>
          <w:noProof/>
          <w:lang w:val="en-US" w:eastAsia="en-US"/>
        </w:rPr>
        <w:t xml:space="preserve">, </w:t>
      </w:r>
      <w:r w:rsidR="00FD1E75" w:rsidRPr="00C903F8">
        <w:rPr>
          <w:rFonts w:eastAsia="Calibri"/>
          <w:noProof/>
          <w:lang w:val="en-US" w:eastAsia="en-US"/>
        </w:rPr>
        <w:t>(</w:t>
      </w:r>
      <w:r w:rsidR="00973DAA" w:rsidRPr="00C903F8">
        <w:rPr>
          <w:rFonts w:eastAsia="Calibri"/>
          <w:noProof/>
          <w:lang w:val="en-US" w:eastAsia="en-US"/>
        </w:rPr>
        <w:t>5</w:t>
      </w:r>
      <w:r w:rsidR="00FD1E75" w:rsidRPr="00C903F8">
        <w:rPr>
          <w:rFonts w:eastAsia="Calibri"/>
          <w:noProof/>
          <w:lang w:val="en-US" w:eastAsia="en-US"/>
        </w:rPr>
        <w:t>)</w:t>
      </w:r>
      <w:r w:rsidR="00973DAA" w:rsidRPr="00C903F8">
        <w:rPr>
          <w:rFonts w:eastAsia="Calibri"/>
          <w:noProof/>
          <w:lang w:val="en-US" w:eastAsia="en-US"/>
        </w:rPr>
        <w:t xml:space="preserve"> and </w:t>
      </w:r>
      <w:r w:rsidR="00FD1E75" w:rsidRPr="00C903F8">
        <w:rPr>
          <w:rFonts w:eastAsia="Calibri"/>
          <w:noProof/>
          <w:lang w:val="en-US" w:eastAsia="en-US"/>
        </w:rPr>
        <w:t>(</w:t>
      </w:r>
      <w:r w:rsidR="00973DAA" w:rsidRPr="00C903F8">
        <w:rPr>
          <w:rFonts w:eastAsia="Calibri"/>
          <w:noProof/>
          <w:lang w:val="en-US" w:eastAsia="en-US"/>
        </w:rPr>
        <w:t>6</w:t>
      </w:r>
      <w:r w:rsidR="00FD1E75" w:rsidRPr="00C903F8">
        <w:rPr>
          <w:rFonts w:eastAsia="Calibri"/>
          <w:noProof/>
          <w:lang w:val="en-US" w:eastAsia="en-US"/>
        </w:rPr>
        <w:t>)</w:t>
      </w:r>
      <w:r w:rsidR="00973DAA" w:rsidRPr="00C903F8">
        <w:rPr>
          <w:rFonts w:eastAsia="Calibri"/>
          <w:noProof/>
          <w:lang w:val="en-US" w:eastAsia="en-US"/>
        </w:rPr>
        <w:t>, the residual freeboard shall be not less than 0,20 m;</w:t>
      </w:r>
    </w:p>
    <w:p w:rsidR="00973DAA" w:rsidRPr="00C903F8" w:rsidRDefault="0029453D" w:rsidP="00577ECC">
      <w:pPr>
        <w:pStyle w:val="ESlet"/>
        <w:rPr>
          <w:rFonts w:eastAsia="Calibri" w:cs="Arial"/>
          <w:szCs w:val="18"/>
          <w:lang w:val="en-US" w:eastAsia="en-US"/>
        </w:rPr>
      </w:pPr>
      <w:r w:rsidRPr="00C903F8">
        <w:rPr>
          <w:rFonts w:eastAsia="Calibri"/>
          <w:noProof/>
          <w:lang w:val="en-US" w:eastAsia="en-US"/>
        </w:rPr>
        <w:t>g)</w:t>
      </w:r>
      <w:r w:rsidR="00973DAA" w:rsidRPr="00C903F8">
        <w:rPr>
          <w:rFonts w:eastAsia="Calibri"/>
          <w:noProof/>
          <w:lang w:val="en-US" w:eastAsia="en-US"/>
        </w:rPr>
        <w:tab/>
        <w:t>for vessels with windows or other openings in the hull located below the bulkhead decks and not closed watertight, the residual safety clearance shall be at least 0,10 m on the application of the three heeling moments resulting from subparagraph (f).</w:t>
      </w:r>
    </w:p>
    <w:p w:rsidR="00505D66" w:rsidRPr="00C903F8" w:rsidRDefault="00505D66"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4.</w:t>
      </w:r>
      <w:r w:rsidRPr="00C903F8">
        <w:rPr>
          <w:rFonts w:eastAsia="Calibri"/>
          <w:noProof/>
          <w:lang w:val="en-US" w:eastAsia="en-US"/>
        </w:rPr>
        <w:tab/>
        <w:t xml:space="preserve">The heeling moment due to one-sided accumulation of persons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M</m:t>
            </m:r>
          </m:e>
          <m:sub>
            <m:r>
              <w:rPr>
                <w:rFonts w:ascii="Cambria Math" w:eastAsia="Calibri" w:hAnsi="Cambria Math"/>
                <w:noProof/>
                <w:lang w:val="en-US" w:eastAsia="en-US"/>
              </w:rPr>
              <m:t>p</m:t>
            </m:r>
          </m:sub>
        </m:sSub>
      </m:oMath>
      <w:r w:rsidRPr="00C903F8">
        <w:rPr>
          <w:rFonts w:eastAsia="Calibri" w:cs="Arial"/>
          <w:szCs w:val="18"/>
          <w:lang w:val="en-US" w:eastAsia="en-US"/>
        </w:rPr>
        <w:t xml:space="preserve"> </w:t>
      </w:r>
      <w:r w:rsidRPr="00C903F8">
        <w:rPr>
          <w:rFonts w:eastAsia="Calibri"/>
          <w:noProof/>
          <w:lang w:val="en-US" w:eastAsia="en-US"/>
        </w:rPr>
        <w:t>shall be calculated according to the following formula:</w:t>
      </w:r>
    </w:p>
    <w:p w:rsidR="00BB70D1" w:rsidRPr="00C903F8" w:rsidRDefault="00BB70D1" w:rsidP="00973DAA">
      <w:pPr>
        <w:pStyle w:val="ESch"/>
        <w:rPr>
          <w:rFonts w:eastAsia="Calibri"/>
          <w:noProof/>
          <w:lang w:val="en-US" w:eastAsia="en-US"/>
        </w:rPr>
      </w:pPr>
    </w:p>
    <w:p w:rsidR="00BB70D1" w:rsidRPr="00C903F8" w:rsidRDefault="00F12BAF" w:rsidP="00BB70D1">
      <w:pPr>
        <w:pStyle w:val="ESch"/>
        <w:ind w:left="0" w:firstLine="0"/>
        <w:rPr>
          <w:rFonts w:eastAsia="Calibri" w:cs="Arial"/>
          <w:szCs w:val="18"/>
          <w:lang w:val="en-US" w:eastAsia="en-US"/>
        </w:rPr>
      </w:pPr>
      <m:oMathPara>
        <m:oMath>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M</m:t>
              </m:r>
            </m:e>
            <m:sub>
              <m:r>
                <w:rPr>
                  <w:rFonts w:ascii="Cambria Math" w:eastAsia="Calibri" w:hAnsi="Cambria Math" w:cs="Arial"/>
                  <w:szCs w:val="18"/>
                  <w:lang w:val="en-US" w:eastAsia="en-US"/>
                </w:rPr>
                <m:t>p</m:t>
              </m:r>
            </m:sub>
          </m:sSub>
          <m:r>
            <w:rPr>
              <w:rFonts w:ascii="Cambria Math" w:eastAsia="Calibri" w:hAnsi="Cambria Math" w:cs="Arial"/>
              <w:szCs w:val="18"/>
              <w:lang w:val="en-US" w:eastAsia="en-US"/>
            </w:rPr>
            <m:t xml:space="preserve">=g ∙P ∙y=g ∙ </m:t>
          </m:r>
          <m:nary>
            <m:naryPr>
              <m:chr m:val="∑"/>
              <m:limLoc m:val="undOvr"/>
              <m:subHide m:val="1"/>
              <m:supHide m:val="1"/>
              <m:ctrlPr>
                <w:rPr>
                  <w:rFonts w:ascii="Cambria Math" w:eastAsia="Calibri" w:hAnsi="Cambria Math" w:cs="Arial"/>
                  <w:i/>
                  <w:szCs w:val="18"/>
                  <w:lang w:val="en-US" w:eastAsia="en-US"/>
                </w:rPr>
              </m:ctrlPr>
            </m:naryPr>
            <m:sub/>
            <m:sup/>
            <m:e>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P</m:t>
                  </m:r>
                </m:e>
                <m:sub>
                  <m:r>
                    <w:rPr>
                      <w:rFonts w:ascii="Cambria Math" w:eastAsia="Calibri" w:hAnsi="Cambria Math" w:cs="Arial"/>
                      <w:szCs w:val="18"/>
                      <w:lang w:val="en-US" w:eastAsia="en-US"/>
                    </w:rPr>
                    <m:t>i</m:t>
                  </m:r>
                </m:sub>
              </m:sSub>
              <m:r>
                <w:rPr>
                  <w:rFonts w:ascii="Cambria Math" w:eastAsia="Calibri" w:hAnsi="Cambria Math" w:cs="Arial"/>
                  <w:szCs w:val="18"/>
                  <w:lang w:val="en-US" w:eastAsia="en-US"/>
                </w:rPr>
                <m:t xml:space="preserve"> ∙</m:t>
              </m:r>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y</m:t>
                  </m:r>
                </m:e>
                <m:sub>
                  <m:r>
                    <w:rPr>
                      <w:rFonts w:ascii="Cambria Math" w:eastAsia="Calibri" w:hAnsi="Cambria Math" w:cs="Arial"/>
                      <w:szCs w:val="18"/>
                      <w:lang w:val="en-US" w:eastAsia="en-US"/>
                    </w:rPr>
                    <m:t>i</m:t>
                  </m:r>
                </m:sub>
              </m:sSub>
              <m:r>
                <w:rPr>
                  <w:rFonts w:ascii="Cambria Math" w:eastAsia="Calibri" w:hAnsi="Cambria Math" w:cs="Arial"/>
                  <w:szCs w:val="18"/>
                  <w:lang w:val="en-US" w:eastAsia="en-US"/>
                </w:rPr>
                <m:t xml:space="preserve"> [kNm]</m:t>
              </m:r>
            </m:e>
          </m:nary>
        </m:oMath>
      </m:oMathPara>
    </w:p>
    <w:p w:rsidR="00505D66" w:rsidRPr="00C903F8" w:rsidRDefault="00505D66" w:rsidP="00973DAA">
      <w:pPr>
        <w:pStyle w:val="ESch"/>
        <w:rPr>
          <w:rFonts w:eastAsia="Calibri" w:cs="Arial"/>
          <w:lang w:val="en-US" w:eastAsia="en-US"/>
        </w:rPr>
      </w:pPr>
    </w:p>
    <w:p w:rsidR="00973DAA" w:rsidRPr="00C903F8" w:rsidRDefault="00DA5DCE" w:rsidP="00505D66">
      <w:pPr>
        <w:pStyle w:val="ESlet"/>
        <w:rPr>
          <w:rFonts w:eastAsia="Calibri"/>
          <w:lang w:val="en-US" w:eastAsia="en-US"/>
        </w:rPr>
      </w:pPr>
      <m:oMath>
        <m:r>
          <w:rPr>
            <w:rFonts w:ascii="Cambria Math" w:eastAsia="Calibri" w:hAnsi="Cambria Math" w:cs="Arial"/>
            <w:szCs w:val="18"/>
            <w:lang w:val="en-US" w:eastAsia="en-US"/>
          </w:rPr>
          <m:t>P</m:t>
        </m:r>
      </m:oMath>
      <w:r w:rsidRPr="00C903F8">
        <w:rPr>
          <w:rFonts w:eastAsia="Calibri"/>
          <w:lang w:val="en-US" w:eastAsia="en-US"/>
        </w:rPr>
        <w:t xml:space="preserve"> </w:t>
      </w:r>
      <w:r w:rsidR="00973DAA" w:rsidRPr="00C903F8">
        <w:rPr>
          <w:rFonts w:eastAsia="Calibri"/>
          <w:lang w:val="en-US" w:eastAsia="en-US"/>
        </w:rPr>
        <w:t>=</w:t>
      </w:r>
      <w:r w:rsidR="00505D66" w:rsidRPr="00C903F8">
        <w:rPr>
          <w:rFonts w:eastAsia="Calibri"/>
          <w:lang w:val="en-US" w:eastAsia="en-US"/>
        </w:rPr>
        <w:tab/>
      </w:r>
      <w:r w:rsidR="00973DAA" w:rsidRPr="00C903F8">
        <w:rPr>
          <w:rFonts w:eastAsia="Calibri"/>
          <w:noProof/>
          <w:lang w:val="en-US" w:eastAsia="en-US"/>
        </w:rPr>
        <w:t>total mass of persons on board in [t], calculated by adding up the maximum permitted number of passengers and the maximum number of shipboard personnel and crew under normal operating conditions, assuming an average mass per person of 0,075 t</w:t>
      </w:r>
      <w:r w:rsidR="00B0682F" w:rsidRPr="00C903F8">
        <w:rPr>
          <w:rFonts w:eastAsia="Calibri"/>
          <w:noProof/>
          <w:lang w:val="en-US" w:eastAsia="en-US"/>
        </w:rPr>
        <w:t>;</w:t>
      </w:r>
    </w:p>
    <w:p w:rsidR="00973DAA" w:rsidRPr="00C903F8" w:rsidRDefault="00DA5DCE" w:rsidP="00505D66">
      <w:pPr>
        <w:pStyle w:val="ESlet"/>
        <w:rPr>
          <w:rFonts w:eastAsia="Calibri"/>
          <w:noProof/>
          <w:lang w:val="en-US" w:eastAsia="en-US"/>
        </w:rPr>
      </w:pPr>
      <m:oMath>
        <m:r>
          <w:rPr>
            <w:rFonts w:ascii="Cambria Math" w:eastAsia="Calibri" w:hAnsi="Cambria Math"/>
            <w:noProof/>
            <w:lang w:val="en-US" w:eastAsia="en-US"/>
          </w:rPr>
          <m:t>y</m:t>
        </m:r>
      </m:oMath>
      <w:r w:rsidRPr="00C903F8">
        <w:rPr>
          <w:rFonts w:eastAsia="Calibri"/>
          <w:noProof/>
          <w:lang w:val="en-US" w:eastAsia="en-US"/>
        </w:rPr>
        <w:t xml:space="preserve"> </w:t>
      </w:r>
      <w:r w:rsidR="00973DAA" w:rsidRPr="00C903F8">
        <w:rPr>
          <w:rFonts w:eastAsia="Calibri"/>
          <w:noProof/>
          <w:lang w:val="en-US" w:eastAsia="en-US"/>
        </w:rPr>
        <w:t>=</w:t>
      </w:r>
      <w:r w:rsidR="00505D66" w:rsidRPr="00C903F8">
        <w:rPr>
          <w:rFonts w:eastAsia="Calibri"/>
          <w:noProof/>
          <w:lang w:val="en-US" w:eastAsia="en-US"/>
        </w:rPr>
        <w:tab/>
      </w:r>
      <w:r w:rsidR="00973DAA" w:rsidRPr="00C903F8">
        <w:rPr>
          <w:rFonts w:eastAsia="Calibri"/>
          <w:noProof/>
          <w:lang w:val="en-US" w:eastAsia="en-US"/>
        </w:rPr>
        <w:t xml:space="preserve">lateral distance of centre of gravity of total mass of persons </w:t>
      </w:r>
      <m:oMath>
        <m:r>
          <w:rPr>
            <w:rFonts w:ascii="Cambria Math" w:eastAsia="Calibri" w:hAnsi="Cambria Math"/>
            <w:noProof/>
            <w:lang w:val="en-US" w:eastAsia="en-US"/>
          </w:rPr>
          <m:t>P</m:t>
        </m:r>
      </m:oMath>
      <w:r w:rsidR="00973DAA" w:rsidRPr="00C903F8">
        <w:rPr>
          <w:rFonts w:eastAsia="Calibri"/>
          <w:noProof/>
          <w:lang w:val="en-US" w:eastAsia="en-US"/>
        </w:rPr>
        <w:t xml:space="preserve"> from centre line in [m]</w:t>
      </w:r>
      <w:r w:rsidR="00B0682F" w:rsidRPr="00C903F8">
        <w:rPr>
          <w:rFonts w:eastAsia="Calibri"/>
          <w:noProof/>
          <w:lang w:val="en-US" w:eastAsia="en-US"/>
        </w:rPr>
        <w:t>;</w:t>
      </w:r>
    </w:p>
    <w:p w:rsidR="00973DAA" w:rsidRPr="00C903F8" w:rsidRDefault="00DA5DCE" w:rsidP="00505D66">
      <w:pPr>
        <w:pStyle w:val="ESlet"/>
        <w:rPr>
          <w:rFonts w:eastAsia="Calibri"/>
          <w:noProof/>
          <w:lang w:val="en-US" w:eastAsia="en-US"/>
        </w:rPr>
      </w:pPr>
      <m:oMath>
        <m:r>
          <w:rPr>
            <w:rFonts w:ascii="Cambria Math" w:eastAsia="Calibri" w:hAnsi="Cambria Math"/>
            <w:noProof/>
            <w:lang w:val="en-US" w:eastAsia="en-US"/>
          </w:rPr>
          <m:t>g</m:t>
        </m:r>
      </m:oMath>
      <w:r w:rsidR="00973DAA" w:rsidRPr="00C903F8">
        <w:rPr>
          <w:rFonts w:eastAsia="Calibri"/>
          <w:szCs w:val="18"/>
          <w:lang w:val="en-US" w:eastAsia="en-GB"/>
        </w:rPr>
        <w:t xml:space="preserve"> =</w:t>
      </w:r>
      <w:r w:rsidR="00505D66" w:rsidRPr="00C903F8">
        <w:rPr>
          <w:rFonts w:eastAsia="Calibri"/>
          <w:szCs w:val="18"/>
          <w:lang w:val="en-US" w:eastAsia="en-GB"/>
        </w:rPr>
        <w:tab/>
      </w:r>
      <w:r w:rsidR="00973DAA" w:rsidRPr="00C903F8">
        <w:rPr>
          <w:rFonts w:eastAsia="Calibri"/>
          <w:szCs w:val="18"/>
          <w:lang w:val="en-US" w:eastAsia="en-GB"/>
        </w:rPr>
        <w:t xml:space="preserve">acceleration of gravity </w:t>
      </w:r>
      <m:oMath>
        <m:r>
          <w:rPr>
            <w:rFonts w:ascii="Cambria Math" w:eastAsia="Calibri" w:hAnsi="Cambria Math"/>
            <w:szCs w:val="18"/>
            <w:lang w:val="en-US" w:eastAsia="en-GB"/>
          </w:rPr>
          <m:t>(g=9,81 m/</m:t>
        </m:r>
        <m:sSup>
          <m:sSupPr>
            <m:ctrlPr>
              <w:rPr>
                <w:rFonts w:ascii="Cambria Math" w:eastAsia="Calibri" w:hAnsi="Cambria Math"/>
                <w:i/>
                <w:szCs w:val="18"/>
                <w:lang w:val="en-US" w:eastAsia="en-GB"/>
              </w:rPr>
            </m:ctrlPr>
          </m:sSupPr>
          <m:e>
            <m:r>
              <w:rPr>
                <w:rFonts w:ascii="Cambria Math" w:eastAsia="Calibri" w:hAnsi="Cambria Math"/>
                <w:szCs w:val="18"/>
                <w:lang w:val="en-US" w:eastAsia="en-GB"/>
              </w:rPr>
              <m:t>s</m:t>
            </m:r>
          </m:e>
          <m:sup>
            <m:r>
              <w:rPr>
                <w:rFonts w:ascii="Cambria Math" w:eastAsia="Calibri" w:hAnsi="Cambria Math"/>
                <w:szCs w:val="18"/>
                <w:lang w:val="en-US" w:eastAsia="en-GB"/>
              </w:rPr>
              <m:t>2</m:t>
            </m:r>
          </m:sup>
        </m:sSup>
        <m:r>
          <w:rPr>
            <w:rFonts w:ascii="Cambria Math" w:eastAsia="Calibri" w:hAnsi="Cambria Math"/>
            <w:szCs w:val="18"/>
            <w:lang w:val="en-US" w:eastAsia="en-GB"/>
          </w:rPr>
          <m:t>)</m:t>
        </m:r>
      </m:oMath>
      <w:r w:rsidR="00B0682F" w:rsidRPr="00C903F8">
        <w:rPr>
          <w:rFonts w:eastAsia="Calibri"/>
          <w:szCs w:val="18"/>
          <w:lang w:val="en-US" w:eastAsia="en-GB"/>
        </w:rPr>
        <w:t>;</w:t>
      </w:r>
    </w:p>
    <w:p w:rsidR="00973DAA" w:rsidRPr="00C903F8" w:rsidRDefault="00F12BAF" w:rsidP="00505D66">
      <w:pPr>
        <w:pStyle w:val="ESlet"/>
        <w:rPr>
          <w:rFonts w:eastAsia="Calibri"/>
          <w:noProof/>
          <w:lang w:val="en-US" w:eastAsia="en-US"/>
        </w:rPr>
      </w:pPr>
      <m:oMath>
        <m:sSub>
          <m:sSubPr>
            <m:ctrlPr>
              <w:rPr>
                <w:rFonts w:ascii="Cambria Math" w:eastAsia="Calibri" w:hAnsi="Cambria Math"/>
                <w:i/>
                <w:szCs w:val="18"/>
                <w:lang w:val="en-US" w:eastAsia="en-US"/>
              </w:rPr>
            </m:ctrlPr>
          </m:sSubPr>
          <m:e>
            <m:r>
              <w:rPr>
                <w:rFonts w:ascii="Cambria Math" w:eastAsia="Calibri" w:hAnsi="Cambria Math"/>
                <w:szCs w:val="18"/>
                <w:lang w:val="en-US" w:eastAsia="en-US"/>
              </w:rPr>
              <m:t>P</m:t>
            </m:r>
          </m:e>
          <m:sub>
            <m:r>
              <w:rPr>
                <w:rFonts w:ascii="Cambria Math" w:eastAsia="Calibri" w:hAnsi="Cambria Math"/>
                <w:szCs w:val="18"/>
                <w:lang w:val="en-US" w:eastAsia="en-US"/>
              </w:rPr>
              <m:t>i</m:t>
            </m:r>
          </m:sub>
        </m:sSub>
      </m:oMath>
      <w:r w:rsidR="00DA5DCE" w:rsidRPr="00C903F8">
        <w:rPr>
          <w:rFonts w:eastAsia="Calibri"/>
          <w:szCs w:val="18"/>
          <w:lang w:val="en-US" w:eastAsia="en-US"/>
        </w:rPr>
        <w:t xml:space="preserve"> </w:t>
      </w:r>
      <w:r w:rsidR="00973DAA" w:rsidRPr="00C903F8">
        <w:rPr>
          <w:rFonts w:eastAsia="Calibri"/>
          <w:szCs w:val="18"/>
          <w:lang w:val="en-US" w:eastAsia="en-US"/>
        </w:rPr>
        <w:t>=</w:t>
      </w:r>
      <w:r w:rsidR="00505D66" w:rsidRPr="00C903F8">
        <w:rPr>
          <w:rFonts w:eastAsia="Calibri"/>
          <w:szCs w:val="18"/>
          <w:lang w:val="en-US" w:eastAsia="en-US"/>
        </w:rPr>
        <w:tab/>
      </w:r>
      <w:r w:rsidR="00973DAA" w:rsidRPr="00C903F8">
        <w:rPr>
          <w:rFonts w:eastAsia="Calibri"/>
          <w:noProof/>
          <w:lang w:val="en-US" w:eastAsia="en-US"/>
        </w:rPr>
        <w:t>mass of persons accumulated on area</w:t>
      </w:r>
      <w:r w:rsidR="00BB70D1" w:rsidRPr="00C903F8">
        <w:rPr>
          <w:rFonts w:eastAsia="Calibri"/>
          <w:noProof/>
          <w:lang w:val="en-US" w:eastAsia="en-US"/>
        </w:rPr>
        <w:t xml:space="preserve">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A</m:t>
            </m:r>
          </m:e>
          <m:sub>
            <m:r>
              <w:rPr>
                <w:rFonts w:ascii="Cambria Math" w:eastAsia="Calibri" w:hAnsi="Cambria Math"/>
                <w:noProof/>
                <w:lang w:val="en-US" w:eastAsia="en-US"/>
              </w:rPr>
              <m:t>i</m:t>
            </m:r>
          </m:sub>
        </m:sSub>
      </m:oMath>
      <w:r w:rsidR="00B0682F" w:rsidRPr="00C903F8">
        <w:rPr>
          <w:rFonts w:eastAsia="Calibri"/>
          <w:noProof/>
          <w:lang w:val="en-US" w:eastAsia="en-US"/>
        </w:rPr>
        <w:t>;</w:t>
      </w:r>
    </w:p>
    <w:p w:rsidR="00BB70D1" w:rsidRPr="00C903F8" w:rsidRDefault="00F12BAF" w:rsidP="00BB70D1">
      <w:pPr>
        <w:pStyle w:val="ESlet"/>
        <w:ind w:left="0" w:firstLine="0"/>
        <w:rPr>
          <w:rFonts w:eastAsia="Calibri"/>
          <w:noProof/>
          <w:lang w:val="en-US" w:eastAsia="en-US"/>
        </w:rPr>
      </w:pPr>
      <m:oMathPara>
        <m:oMath>
          <m:sSub>
            <m:sSubPr>
              <m:ctrlPr>
                <w:rPr>
                  <w:rFonts w:ascii="Cambria Math" w:eastAsia="Calibri" w:hAnsi="Cambria Math"/>
                  <w:i/>
                  <w:noProof/>
                  <w:lang w:val="en-US" w:eastAsia="en-US"/>
                </w:rPr>
              </m:ctrlPr>
            </m:sSubPr>
            <m:e>
              <m:r>
                <w:rPr>
                  <w:rFonts w:ascii="Cambria Math" w:eastAsia="Calibri" w:hAnsi="Cambria Math"/>
                  <w:noProof/>
                  <w:lang w:val="en-US" w:eastAsia="en-US"/>
                </w:rPr>
                <m:t>P</m:t>
              </m:r>
            </m:e>
            <m:sub>
              <m:r>
                <w:rPr>
                  <w:rFonts w:ascii="Cambria Math" w:eastAsia="Calibri" w:hAnsi="Cambria Math"/>
                  <w:noProof/>
                  <w:lang w:val="en-US" w:eastAsia="en-US"/>
                </w:rPr>
                <m:t>i</m:t>
              </m:r>
            </m:sub>
          </m:sSub>
          <m:r>
            <w:rPr>
              <w:rFonts w:ascii="Cambria Math" w:eastAsia="Calibri" w:hAnsi="Cambria Math"/>
              <w:noProof/>
              <w:lang w:val="en-US" w:eastAsia="en-US"/>
            </w:rPr>
            <m:t xml:space="preserve">= </m:t>
          </m:r>
          <m:sSub>
            <m:sSubPr>
              <m:ctrlPr>
                <w:rPr>
                  <w:rFonts w:ascii="Cambria Math" w:eastAsia="Calibri" w:hAnsi="Cambria Math"/>
                  <w:i/>
                  <w:noProof/>
                  <w:lang w:val="en-US" w:eastAsia="en-US"/>
                </w:rPr>
              </m:ctrlPr>
            </m:sSubPr>
            <m:e>
              <m:r>
                <w:rPr>
                  <w:rFonts w:ascii="Cambria Math" w:eastAsia="Calibri" w:hAnsi="Cambria Math"/>
                  <w:noProof/>
                  <w:lang w:val="en-US" w:eastAsia="en-US"/>
                </w:rPr>
                <m:t>n</m:t>
              </m:r>
            </m:e>
            <m:sub>
              <m:r>
                <w:rPr>
                  <w:rFonts w:ascii="Cambria Math" w:eastAsia="Calibri" w:hAnsi="Cambria Math"/>
                  <w:noProof/>
                  <w:lang w:val="en-US" w:eastAsia="en-US"/>
                </w:rPr>
                <m:t>i</m:t>
              </m:r>
            </m:sub>
          </m:sSub>
          <m:r>
            <w:rPr>
              <w:rFonts w:ascii="Cambria Math" w:eastAsia="Calibri" w:hAnsi="Cambria Math"/>
              <w:noProof/>
              <w:lang w:val="en-US" w:eastAsia="en-US"/>
            </w:rPr>
            <m:t xml:space="preserve"> ∙0,075 ∙ </m:t>
          </m:r>
          <m:sSub>
            <m:sSubPr>
              <m:ctrlPr>
                <w:rPr>
                  <w:rFonts w:ascii="Cambria Math" w:eastAsia="Calibri" w:hAnsi="Cambria Math"/>
                  <w:i/>
                  <w:noProof/>
                  <w:lang w:val="en-US" w:eastAsia="en-US"/>
                </w:rPr>
              </m:ctrlPr>
            </m:sSubPr>
            <m:e>
              <m:r>
                <w:rPr>
                  <w:rFonts w:ascii="Cambria Math" w:eastAsia="Calibri" w:hAnsi="Cambria Math"/>
                  <w:noProof/>
                  <w:lang w:val="en-US" w:eastAsia="en-US"/>
                </w:rPr>
                <m:t>A</m:t>
              </m:r>
            </m:e>
            <m:sub>
              <m:r>
                <w:rPr>
                  <w:rFonts w:ascii="Cambria Math" w:eastAsia="Calibri" w:hAnsi="Cambria Math"/>
                  <w:noProof/>
                  <w:lang w:val="en-US" w:eastAsia="en-US"/>
                </w:rPr>
                <m:t>i</m:t>
              </m:r>
            </m:sub>
          </m:sSub>
          <m:r>
            <w:rPr>
              <w:rFonts w:ascii="Cambria Math" w:eastAsia="Calibri" w:hAnsi="Cambria Math"/>
              <w:noProof/>
              <w:lang w:val="en-US" w:eastAsia="en-US"/>
            </w:rPr>
            <m:t xml:space="preserve"> [t]</m:t>
          </m:r>
        </m:oMath>
      </m:oMathPara>
    </w:p>
    <w:p w:rsidR="00973DAA" w:rsidRPr="00C903F8" w:rsidRDefault="00973DAA" w:rsidP="00505D66">
      <w:pPr>
        <w:pStyle w:val="ESchpar"/>
        <w:rPr>
          <w:rFonts w:eastAsia="Calibri"/>
          <w:noProof/>
          <w:lang w:val="en-US" w:eastAsia="en-US"/>
        </w:rPr>
      </w:pPr>
      <w:r w:rsidRPr="00C903F8">
        <w:rPr>
          <w:rFonts w:eastAsia="Calibri"/>
          <w:noProof/>
          <w:lang w:val="en-US" w:eastAsia="en-US"/>
        </w:rPr>
        <w:t>where</w:t>
      </w:r>
    </w:p>
    <w:p w:rsidR="00973DAA" w:rsidRPr="00C903F8" w:rsidRDefault="00F12BAF" w:rsidP="00505D66">
      <w:pPr>
        <w:pStyle w:val="ESlet"/>
        <w:rPr>
          <w:rFonts w:eastAsia="Calibri"/>
          <w:noProof/>
          <w:lang w:val="en-US" w:eastAsia="en-US"/>
        </w:rPr>
      </w:pP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A</m:t>
            </m:r>
          </m:e>
          <m:sub>
            <m:r>
              <w:rPr>
                <w:rFonts w:ascii="Cambria Math" w:eastAsia="Calibri" w:hAnsi="Cambria Math"/>
                <w:noProof/>
                <w:lang w:val="en-US" w:eastAsia="en-US"/>
              </w:rPr>
              <m:t>i</m:t>
            </m:r>
          </m:sub>
        </m:sSub>
      </m:oMath>
      <w:r w:rsidR="00BB70D1" w:rsidRPr="00C903F8">
        <w:rPr>
          <w:rFonts w:eastAsia="Calibri"/>
          <w:noProof/>
          <w:lang w:val="en-US" w:eastAsia="en-US"/>
        </w:rPr>
        <w:t xml:space="preserve"> </w:t>
      </w:r>
      <w:r w:rsidR="00973DAA" w:rsidRPr="00C903F8">
        <w:rPr>
          <w:rFonts w:eastAsia="Calibri"/>
          <w:noProof/>
          <w:lang w:val="en-US" w:eastAsia="en-US"/>
        </w:rPr>
        <w:t>=</w:t>
      </w:r>
      <w:r w:rsidR="00973DAA" w:rsidRPr="00C903F8">
        <w:rPr>
          <w:rFonts w:eastAsia="Calibri"/>
          <w:noProof/>
          <w:lang w:val="en-US" w:eastAsia="en-US"/>
        </w:rPr>
        <w:tab/>
        <w:t>area occupied by persons in [m</w:t>
      </w:r>
      <w:r w:rsidR="00973DAA" w:rsidRPr="00C903F8">
        <w:rPr>
          <w:rFonts w:eastAsia="Calibri"/>
          <w:noProof/>
          <w:vertAlign w:val="superscript"/>
          <w:lang w:val="en-US" w:eastAsia="en-US"/>
        </w:rPr>
        <w:t>2</w:t>
      </w:r>
      <w:r w:rsidR="00973DAA" w:rsidRPr="00C903F8">
        <w:rPr>
          <w:rFonts w:eastAsia="Calibri"/>
          <w:noProof/>
          <w:lang w:val="en-US" w:eastAsia="en-US"/>
        </w:rPr>
        <w:t>]</w:t>
      </w:r>
      <w:r w:rsidR="00B0682F" w:rsidRPr="00C903F8">
        <w:rPr>
          <w:rFonts w:eastAsia="Calibri"/>
          <w:noProof/>
          <w:lang w:val="en-US" w:eastAsia="en-US"/>
        </w:rPr>
        <w:t>;</w:t>
      </w:r>
    </w:p>
    <w:p w:rsidR="00973DAA" w:rsidRPr="00C903F8" w:rsidRDefault="00F12BAF" w:rsidP="00505D66">
      <w:pPr>
        <w:pStyle w:val="ESlet"/>
        <w:rPr>
          <w:rFonts w:eastAsia="Calibri"/>
          <w:noProof/>
          <w:lang w:val="en-US" w:eastAsia="en-US"/>
        </w:rPr>
      </w:pP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n</m:t>
            </m:r>
          </m:e>
          <m:sub>
            <m:r>
              <w:rPr>
                <w:rFonts w:ascii="Cambria Math" w:eastAsia="Calibri" w:hAnsi="Cambria Math"/>
                <w:noProof/>
                <w:lang w:val="en-US" w:eastAsia="en-US"/>
              </w:rPr>
              <m:t>i</m:t>
            </m:r>
          </m:sub>
        </m:sSub>
      </m:oMath>
      <w:r w:rsidR="00BB70D1" w:rsidRPr="00C903F8">
        <w:rPr>
          <w:rFonts w:eastAsia="Calibri"/>
          <w:noProof/>
          <w:lang w:val="en-US" w:eastAsia="en-US"/>
        </w:rPr>
        <w:t xml:space="preserve"> </w:t>
      </w:r>
      <w:r w:rsidR="00973DAA" w:rsidRPr="00C903F8">
        <w:rPr>
          <w:rFonts w:eastAsia="Calibri"/>
          <w:noProof/>
          <w:lang w:val="en-US" w:eastAsia="en-US"/>
        </w:rPr>
        <w:t>=</w:t>
      </w:r>
      <w:r w:rsidR="00973DAA" w:rsidRPr="00C903F8">
        <w:rPr>
          <w:rFonts w:eastAsia="Calibri"/>
          <w:noProof/>
          <w:lang w:val="en-US" w:eastAsia="en-US"/>
        </w:rPr>
        <w:tab/>
        <w:t>number of persons per square meter</w:t>
      </w:r>
      <w:r w:rsidR="00B0682F" w:rsidRPr="00C903F8">
        <w:rPr>
          <w:rFonts w:eastAsia="Calibri"/>
          <w:noProof/>
          <w:lang w:val="en-US" w:eastAsia="en-US"/>
        </w:rPr>
        <w:t>:</w:t>
      </w:r>
    </w:p>
    <w:p w:rsidR="00973DAA" w:rsidRPr="00C903F8" w:rsidRDefault="00F12BAF" w:rsidP="00505D66">
      <w:pPr>
        <w:pStyle w:val="EStiret"/>
        <w:rPr>
          <w:rFonts w:eastAsia="Calibri"/>
          <w:lang w:val="en-US" w:eastAsia="en-US"/>
        </w:rPr>
      </w:pPr>
      <m:oMath>
        <m:sSub>
          <m:sSubPr>
            <m:ctrlPr>
              <w:rPr>
                <w:rFonts w:ascii="Cambria Math" w:eastAsia="Calibri" w:hAnsi="Cambria Math"/>
                <w:i/>
                <w:lang w:val="en-US" w:eastAsia="en-US"/>
              </w:rPr>
            </m:ctrlPr>
          </m:sSubPr>
          <m:e>
            <m:r>
              <w:rPr>
                <w:rFonts w:ascii="Cambria Math" w:eastAsia="Calibri" w:hAnsi="Cambria Math"/>
                <w:lang w:val="en-US" w:eastAsia="en-US"/>
              </w:rPr>
              <m:t>n</m:t>
            </m:r>
          </m:e>
          <m:sub>
            <m:r>
              <w:rPr>
                <w:rFonts w:ascii="Cambria Math" w:eastAsia="Calibri" w:hAnsi="Cambria Math"/>
                <w:lang w:val="en-US" w:eastAsia="en-US"/>
              </w:rPr>
              <m:t>i</m:t>
            </m:r>
          </m:sub>
        </m:sSub>
      </m:oMath>
      <w:r w:rsidR="00973DAA" w:rsidRPr="00C903F8">
        <w:rPr>
          <w:rFonts w:eastAsia="Calibri"/>
          <w:lang w:val="en-US" w:eastAsia="en-US"/>
        </w:rPr>
        <w:t>=</w:t>
      </w:r>
      <w:r w:rsidR="00505D66" w:rsidRPr="00C903F8">
        <w:rPr>
          <w:rFonts w:eastAsia="Calibri"/>
          <w:lang w:val="en-US" w:eastAsia="en-US"/>
        </w:rPr>
        <w:tab/>
      </w:r>
      <w:r w:rsidR="00973DAA" w:rsidRPr="00C903F8">
        <w:rPr>
          <w:rFonts w:eastAsia="Calibri"/>
          <w:lang w:val="en-US" w:eastAsia="en-US"/>
        </w:rPr>
        <w:t xml:space="preserve">3,75 for free deck areas and deck areas with movable furniture; for deck areas with fixed seating furniture such as benches, </w:t>
      </w:r>
      <m:oMath>
        <m:sSub>
          <m:sSubPr>
            <m:ctrlPr>
              <w:rPr>
                <w:rFonts w:ascii="Cambria Math" w:eastAsia="Calibri" w:hAnsi="Cambria Math"/>
                <w:i/>
                <w:snapToGrid/>
                <w:color w:val="auto"/>
                <w:lang w:val="en-US" w:eastAsia="en-US" w:bidi="ar-SA"/>
              </w:rPr>
            </m:ctrlPr>
          </m:sSubPr>
          <m:e>
            <m:r>
              <w:rPr>
                <w:rFonts w:ascii="Cambria Math" w:eastAsia="Calibri" w:hAnsi="Cambria Math"/>
                <w:lang w:val="en-US" w:eastAsia="en-US"/>
              </w:rPr>
              <m:t>n</m:t>
            </m:r>
          </m:e>
          <m:sub>
            <m:r>
              <w:rPr>
                <w:rFonts w:ascii="Cambria Math" w:eastAsia="Calibri" w:hAnsi="Cambria Math"/>
                <w:lang w:val="en-US" w:eastAsia="en-US"/>
              </w:rPr>
              <m:t>i</m:t>
            </m:r>
          </m:sub>
        </m:sSub>
      </m:oMath>
      <w:r w:rsidR="00BB70D1" w:rsidRPr="00C903F8">
        <w:rPr>
          <w:rFonts w:eastAsia="Calibri"/>
          <w:lang w:val="en-US" w:eastAsia="en-US"/>
        </w:rPr>
        <w:t xml:space="preserve"> </w:t>
      </w:r>
      <w:r w:rsidR="00973DAA" w:rsidRPr="00C903F8">
        <w:rPr>
          <w:rFonts w:eastAsia="Calibri"/>
          <w:lang w:val="en-US" w:eastAsia="en-US"/>
        </w:rPr>
        <w:t>shall be calculated by assuming an area of 0,50 m in width and 0,75 m in seat depth per person</w:t>
      </w:r>
      <w:r w:rsidR="00B0682F" w:rsidRPr="00C903F8">
        <w:rPr>
          <w:rFonts w:eastAsia="Calibri"/>
          <w:lang w:val="en-US" w:eastAsia="en-US"/>
        </w:rPr>
        <w:t>;</w:t>
      </w:r>
    </w:p>
    <w:p w:rsidR="00973DAA" w:rsidRPr="00C903F8" w:rsidRDefault="00F12BAF" w:rsidP="00505D66">
      <w:pPr>
        <w:pStyle w:val="ESlet"/>
        <w:rPr>
          <w:rFonts w:eastAsia="Calibri"/>
          <w:noProof/>
          <w:lang w:val="en-US" w:eastAsia="en-US"/>
        </w:rPr>
      </w:pP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y</m:t>
            </m:r>
          </m:e>
          <m:sub>
            <m:r>
              <w:rPr>
                <w:rFonts w:ascii="Cambria Math" w:eastAsia="Calibri" w:hAnsi="Cambria Math"/>
                <w:noProof/>
                <w:lang w:val="en-US" w:eastAsia="en-US"/>
              </w:rPr>
              <m:t>i</m:t>
            </m:r>
          </m:sub>
        </m:sSub>
      </m:oMath>
      <w:r w:rsidR="00BB70D1" w:rsidRPr="00C903F8">
        <w:rPr>
          <w:rFonts w:eastAsia="Calibri"/>
          <w:noProof/>
          <w:lang w:val="en-US" w:eastAsia="en-US"/>
        </w:rPr>
        <w:t xml:space="preserve"> </w:t>
      </w:r>
      <w:r w:rsidR="00973DAA" w:rsidRPr="00C903F8">
        <w:rPr>
          <w:rFonts w:eastAsia="Calibri"/>
          <w:noProof/>
          <w:lang w:val="en-US" w:eastAsia="en-US"/>
        </w:rPr>
        <w:t>=</w:t>
      </w:r>
      <w:r w:rsidR="00505D66" w:rsidRPr="00C903F8">
        <w:rPr>
          <w:rFonts w:eastAsia="Calibri"/>
          <w:noProof/>
          <w:lang w:val="en-US" w:eastAsia="en-US"/>
        </w:rPr>
        <w:tab/>
      </w:r>
      <w:r w:rsidR="00973DAA" w:rsidRPr="00C903F8">
        <w:rPr>
          <w:rFonts w:eastAsia="Calibri"/>
          <w:noProof/>
          <w:lang w:val="en-US" w:eastAsia="en-US"/>
        </w:rPr>
        <w:t xml:space="preserve">lateral distance of geometrical centre of area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A</m:t>
            </m:r>
          </m:e>
          <m:sub>
            <m:r>
              <w:rPr>
                <w:rFonts w:ascii="Cambria Math" w:eastAsia="Calibri" w:hAnsi="Cambria Math"/>
                <w:noProof/>
                <w:lang w:val="en-US" w:eastAsia="en-US"/>
              </w:rPr>
              <m:t>i</m:t>
            </m:r>
          </m:sub>
        </m:sSub>
      </m:oMath>
      <w:r w:rsidR="00973DAA" w:rsidRPr="00C903F8">
        <w:rPr>
          <w:rFonts w:eastAsia="Calibri"/>
          <w:noProof/>
          <w:lang w:val="en-US" w:eastAsia="en-US"/>
        </w:rPr>
        <w:t xml:space="preserve"> from centre line in [m].</w:t>
      </w:r>
    </w:p>
    <w:p w:rsidR="00505D66" w:rsidRPr="00C903F8" w:rsidRDefault="00505D66" w:rsidP="00973DAA">
      <w:pPr>
        <w:pStyle w:val="ESch"/>
        <w:rPr>
          <w:rFonts w:eastAsia="Calibri"/>
          <w:noProof/>
          <w:lang w:val="en-US" w:eastAsia="en-US"/>
        </w:rPr>
      </w:pPr>
    </w:p>
    <w:p w:rsidR="00973DAA" w:rsidRPr="00C903F8" w:rsidRDefault="00973DAA" w:rsidP="00505D66">
      <w:pPr>
        <w:pStyle w:val="ESchpar"/>
        <w:rPr>
          <w:rFonts w:eastAsia="Calibri" w:cs="Arial"/>
          <w:szCs w:val="18"/>
          <w:lang w:val="en-US" w:eastAsia="en-US"/>
        </w:rPr>
      </w:pPr>
      <w:r w:rsidRPr="00C903F8">
        <w:rPr>
          <w:rFonts w:eastAsia="Calibri"/>
          <w:noProof/>
          <w:lang w:val="en-US" w:eastAsia="en-US"/>
        </w:rPr>
        <w:t>The calculation shall be carried out for an accumulation of persons both to starboard and to port.</w:t>
      </w:r>
    </w:p>
    <w:p w:rsidR="00505D66" w:rsidRPr="00C903F8" w:rsidRDefault="00505D66" w:rsidP="00505D66">
      <w:pPr>
        <w:pStyle w:val="ESchpar"/>
        <w:rPr>
          <w:rFonts w:eastAsia="Calibri"/>
          <w:noProof/>
          <w:lang w:val="en-US" w:eastAsia="en-US"/>
        </w:rPr>
      </w:pPr>
    </w:p>
    <w:p w:rsidR="00973DAA" w:rsidRPr="00C903F8" w:rsidRDefault="00973DAA" w:rsidP="00505D66">
      <w:pPr>
        <w:pStyle w:val="ESchpar"/>
        <w:rPr>
          <w:rFonts w:eastAsia="Calibri" w:cs="Arial"/>
          <w:szCs w:val="18"/>
          <w:lang w:val="en-US" w:eastAsia="en-US"/>
        </w:rPr>
      </w:pPr>
      <w:r w:rsidRPr="00C903F8">
        <w:rPr>
          <w:rFonts w:eastAsia="Calibri"/>
          <w:noProof/>
          <w:lang w:val="en-US" w:eastAsia="en-US"/>
        </w:rPr>
        <w:t>The distribution of persons shall correspond to the most unfavourable one from the point of view of stability. Cabins shall be assumed unoccupied for the calculation of the persons' moment.</w:t>
      </w:r>
    </w:p>
    <w:p w:rsidR="00505D66" w:rsidRPr="00C903F8" w:rsidRDefault="00505D66" w:rsidP="00505D66">
      <w:pPr>
        <w:pStyle w:val="ESchpar"/>
        <w:rPr>
          <w:rFonts w:eastAsia="Calibri"/>
          <w:noProof/>
          <w:lang w:val="en-US" w:eastAsia="en-US"/>
        </w:rPr>
      </w:pPr>
    </w:p>
    <w:p w:rsidR="00973DAA" w:rsidRPr="00C903F8" w:rsidRDefault="00973DAA" w:rsidP="00505D66">
      <w:pPr>
        <w:pStyle w:val="ESchpar"/>
        <w:rPr>
          <w:rFonts w:eastAsia="Calibri" w:cs="Arial"/>
          <w:szCs w:val="18"/>
          <w:lang w:val="en-US" w:eastAsia="en-US"/>
        </w:rPr>
      </w:pPr>
      <w:r w:rsidRPr="00C903F8">
        <w:rPr>
          <w:rFonts w:eastAsia="Calibri"/>
          <w:noProof/>
          <w:lang w:val="en-US" w:eastAsia="en-US"/>
        </w:rPr>
        <w:t>For the calculation of the loading cases, the centre of gravity of a person shall be taken as 1 m above the lowest point of the deck at</w:t>
      </w:r>
      <w:r w:rsidR="00BB70D1" w:rsidRPr="00C903F8">
        <w:rPr>
          <w:rFonts w:eastAsia="Calibri"/>
          <w:noProof/>
          <w:lang w:val="en-US" w:eastAsia="en-US"/>
        </w:rPr>
        <w:t xml:space="preserve"> </w:t>
      </w:r>
      <m:oMath>
        <m:r>
          <w:rPr>
            <w:rFonts w:ascii="Cambria Math" w:eastAsia="Calibri" w:hAnsi="Cambria Math"/>
            <w:noProof/>
            <w:lang w:val="en-US" w:eastAsia="en-US"/>
          </w:rPr>
          <m:t xml:space="preserve">0,5 </m:t>
        </m:r>
        <m:sSub>
          <m:sSubPr>
            <m:ctrlPr>
              <w:rPr>
                <w:rFonts w:ascii="Cambria Math" w:eastAsia="Calibri" w:hAnsi="Cambria Math"/>
                <w:i/>
                <w:noProof/>
                <w:lang w:val="en-US" w:eastAsia="en-US"/>
              </w:rPr>
            </m:ctrlPr>
          </m:sSubPr>
          <m:e>
            <m:r>
              <w:rPr>
                <w:rFonts w:ascii="Cambria Math" w:eastAsia="Calibri" w:hAnsi="Cambria Math"/>
                <w:noProof/>
                <w:lang w:val="en-US" w:eastAsia="en-US"/>
              </w:rPr>
              <m:t>L</m:t>
            </m:r>
          </m:e>
          <m:sub>
            <m:r>
              <w:rPr>
                <w:rFonts w:ascii="Cambria Math" w:eastAsia="Calibri" w:hAnsi="Cambria Math"/>
                <w:noProof/>
                <w:lang w:val="en-US" w:eastAsia="en-US"/>
              </w:rPr>
              <m:t>WL</m:t>
            </m:r>
          </m:sub>
        </m:sSub>
      </m:oMath>
      <w:r w:rsidRPr="00C903F8">
        <w:rPr>
          <w:rFonts w:eastAsia="Calibri"/>
          <w:noProof/>
          <w:lang w:val="en-US" w:eastAsia="en-US"/>
        </w:rPr>
        <w:t>, ignoring any deck curvature and assuming a mass of 0,075 t per person.</w:t>
      </w:r>
    </w:p>
    <w:p w:rsidR="00505D66" w:rsidRPr="00C903F8" w:rsidRDefault="00505D66" w:rsidP="00505D66">
      <w:pPr>
        <w:pStyle w:val="ESchpar"/>
        <w:rPr>
          <w:rFonts w:eastAsia="Calibri"/>
          <w:noProof/>
          <w:lang w:val="en-US" w:eastAsia="en-US"/>
        </w:rPr>
      </w:pPr>
    </w:p>
    <w:p w:rsidR="00505D66" w:rsidRPr="00C903F8" w:rsidRDefault="00505D66" w:rsidP="00505D66">
      <w:pPr>
        <w:pStyle w:val="ESchpar"/>
        <w:rPr>
          <w:rFonts w:eastAsia="Calibri"/>
          <w:noProof/>
          <w:lang w:val="en-US" w:eastAsia="en-US"/>
        </w:rPr>
      </w:pPr>
      <w:r w:rsidRPr="00C903F8">
        <w:rPr>
          <w:rFonts w:eastAsia="Calibri"/>
          <w:noProof/>
          <w:lang w:val="en-US" w:eastAsia="en-US"/>
        </w:rPr>
        <w:br w:type="page"/>
      </w:r>
    </w:p>
    <w:p w:rsidR="00973DAA" w:rsidRPr="00C903F8" w:rsidRDefault="00973DAA" w:rsidP="00505D66">
      <w:pPr>
        <w:pStyle w:val="ESchpar"/>
        <w:rPr>
          <w:rFonts w:eastAsia="Calibri"/>
          <w:noProof/>
          <w:lang w:val="en-US" w:eastAsia="en-US"/>
        </w:rPr>
      </w:pPr>
      <w:r w:rsidRPr="00C903F8">
        <w:rPr>
          <w:rFonts w:eastAsia="Calibri"/>
          <w:noProof/>
          <w:lang w:val="en-US" w:eastAsia="en-US"/>
        </w:rPr>
        <w:lastRenderedPageBreak/>
        <w:t>A detailed calculation of deck areas which are occupied by persons may be dispensed with if the following values are used:</w:t>
      </w:r>
    </w:p>
    <w:p w:rsidR="00497622" w:rsidRPr="00C903F8" w:rsidRDefault="00497622" w:rsidP="00505D66">
      <w:pPr>
        <w:pStyle w:val="ESchpar"/>
        <w:rPr>
          <w:rFonts w:eastAsia="Calibri"/>
          <w:noProof/>
          <w:lang w:val="en-US" w:eastAsia="en-US"/>
        </w:rPr>
      </w:pPr>
    </w:p>
    <w:p w:rsidR="00497622" w:rsidRPr="00C903F8" w:rsidRDefault="00497622" w:rsidP="00505D66">
      <w:pPr>
        <w:pStyle w:val="ESchpar"/>
        <w:rPr>
          <w:rFonts w:eastAsia="Calibri"/>
          <w:lang w:val="en-US"/>
        </w:rPr>
      </w:pPr>
      <m:oMath>
        <m:r>
          <w:rPr>
            <w:rFonts w:ascii="Cambria Math" w:eastAsia="Calibri" w:hAnsi="Cambria Math" w:cs="Arial"/>
            <w:szCs w:val="18"/>
            <w:lang w:val="en-US" w:eastAsia="en-US"/>
          </w:rPr>
          <m:t xml:space="preserve">P=1,1 ∙ </m:t>
        </m:r>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F</m:t>
            </m:r>
          </m:e>
          <m:sub>
            <m:r>
              <w:rPr>
                <w:rFonts w:ascii="Cambria Math" w:eastAsia="Calibri" w:hAnsi="Cambria Math" w:cs="Arial"/>
                <w:szCs w:val="18"/>
                <w:lang w:val="en-US" w:eastAsia="en-US"/>
              </w:rPr>
              <m:t>max</m:t>
            </m:r>
          </m:sub>
        </m:sSub>
        <m:r>
          <w:rPr>
            <w:rFonts w:ascii="Cambria Math" w:eastAsia="Calibri" w:hAnsi="Cambria Math" w:cs="Arial"/>
            <w:szCs w:val="18"/>
            <w:lang w:val="en-US" w:eastAsia="en-US"/>
          </w:rPr>
          <m:t>∙0,075</m:t>
        </m:r>
      </m:oMath>
      <w:r w:rsidRPr="00C903F8">
        <w:rPr>
          <w:rFonts w:eastAsia="Calibri" w:cs="Arial"/>
          <w:szCs w:val="18"/>
          <w:lang w:val="en-US" w:eastAsia="en-US"/>
        </w:rPr>
        <w:t xml:space="preserve"> </w:t>
      </w:r>
      <w:r w:rsidRPr="00C903F8">
        <w:rPr>
          <w:rFonts w:eastAsia="Calibri"/>
          <w:lang w:val="en-US"/>
        </w:rPr>
        <w:t>for day trip vessels</w:t>
      </w:r>
    </w:p>
    <w:p w:rsidR="00497622" w:rsidRPr="00C903F8" w:rsidRDefault="00497622" w:rsidP="00497622">
      <w:pPr>
        <w:pStyle w:val="ESchpar"/>
        <w:spacing w:before="60"/>
        <w:ind w:left="992"/>
        <w:rPr>
          <w:rFonts w:eastAsia="Calibri" w:cs="Arial"/>
          <w:szCs w:val="18"/>
          <w:lang w:val="en-US" w:eastAsia="en-US"/>
        </w:rPr>
      </w:pPr>
      <m:oMath>
        <m:r>
          <w:rPr>
            <w:rFonts w:ascii="Cambria Math" w:eastAsia="Calibri" w:hAnsi="Cambria Math" w:cs="Arial"/>
            <w:szCs w:val="18"/>
            <w:lang w:val="en-US" w:eastAsia="en-US"/>
          </w:rPr>
          <m:t xml:space="preserve">1,5 ∙ </m:t>
        </m:r>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F</m:t>
            </m:r>
          </m:e>
          <m:sub>
            <m:r>
              <w:rPr>
                <w:rFonts w:ascii="Cambria Math" w:eastAsia="Calibri" w:hAnsi="Cambria Math" w:cs="Arial"/>
                <w:szCs w:val="18"/>
                <w:lang w:val="en-US" w:eastAsia="en-US"/>
              </w:rPr>
              <m:t>max</m:t>
            </m:r>
          </m:sub>
        </m:sSub>
        <m:r>
          <w:rPr>
            <w:rFonts w:ascii="Cambria Math" w:eastAsia="Calibri" w:hAnsi="Cambria Math" w:cs="Arial"/>
            <w:szCs w:val="18"/>
            <w:lang w:val="en-US" w:eastAsia="en-US"/>
          </w:rPr>
          <m:t>∙0,075</m:t>
        </m:r>
      </m:oMath>
      <w:r w:rsidRPr="00C903F8">
        <w:rPr>
          <w:rFonts w:eastAsia="Calibri" w:cs="Arial"/>
          <w:szCs w:val="18"/>
          <w:lang w:val="en-US" w:eastAsia="en-US"/>
        </w:rPr>
        <w:t xml:space="preserve"> </w:t>
      </w:r>
      <w:r w:rsidRPr="00C903F8">
        <w:rPr>
          <w:rFonts w:eastAsia="Calibri"/>
          <w:lang w:val="en-US"/>
        </w:rPr>
        <w:t>for cabin vessels</w:t>
      </w:r>
    </w:p>
    <w:p w:rsidR="00973DAA" w:rsidRPr="00C903F8" w:rsidRDefault="00973DAA" w:rsidP="00505D66">
      <w:pPr>
        <w:pStyle w:val="ESletpar"/>
        <w:rPr>
          <w:rFonts w:eastAsia="Calibri"/>
          <w:lang w:val="en-US"/>
        </w:rPr>
      </w:pPr>
      <w:r w:rsidRPr="00C903F8">
        <w:rPr>
          <w:rFonts w:eastAsia="Calibri"/>
          <w:lang w:val="en-US"/>
        </w:rPr>
        <w:t xml:space="preserve">where </w:t>
      </w:r>
    </w:p>
    <w:p w:rsidR="00973DAA" w:rsidRPr="00C903F8" w:rsidRDefault="00F12BAF" w:rsidP="00505D66">
      <w:pPr>
        <w:pStyle w:val="EStiret"/>
        <w:ind w:left="1701" w:hanging="709"/>
        <w:rPr>
          <w:rFonts w:eastAsia="Calibri"/>
          <w:lang w:val="en-US"/>
        </w:rPr>
      </w:pPr>
      <m:oMath>
        <m:sSub>
          <m:sSubPr>
            <m:ctrlPr>
              <w:rPr>
                <w:rFonts w:ascii="Cambria Math" w:eastAsia="Calibri" w:hAnsi="Cambria Math"/>
                <w:i/>
                <w:snapToGrid/>
                <w:color w:val="auto"/>
                <w:lang w:val="en-US" w:eastAsia="en-US" w:bidi="ar-SA"/>
              </w:rPr>
            </m:ctrlPr>
          </m:sSubPr>
          <m:e>
            <m:r>
              <w:rPr>
                <w:rFonts w:ascii="Cambria Math" w:eastAsia="Calibri" w:hAnsi="Cambria Math"/>
                <w:lang w:val="en-US" w:eastAsia="en-US"/>
              </w:rPr>
              <m:t>F</m:t>
            </m:r>
          </m:e>
          <m:sub>
            <m:r>
              <w:rPr>
                <w:rFonts w:ascii="Cambria Math" w:eastAsia="Calibri" w:hAnsi="Cambria Math"/>
                <w:lang w:val="en-US" w:eastAsia="en-US"/>
              </w:rPr>
              <m:t>max</m:t>
            </m:r>
          </m:sub>
        </m:sSub>
      </m:oMath>
      <w:r w:rsidR="00497622" w:rsidRPr="00C903F8">
        <w:rPr>
          <w:rFonts w:eastAsia="Calibri"/>
          <w:lang w:val="en-US" w:eastAsia="en-US"/>
        </w:rPr>
        <w:t xml:space="preserve"> </w:t>
      </w:r>
      <w:r w:rsidR="00973DAA" w:rsidRPr="00C903F8">
        <w:rPr>
          <w:rFonts w:eastAsia="Calibri"/>
          <w:lang w:val="en-US"/>
        </w:rPr>
        <w:t>=</w:t>
      </w:r>
      <w:r w:rsidR="00505D66" w:rsidRPr="00C903F8">
        <w:rPr>
          <w:rFonts w:eastAsia="Calibri"/>
          <w:lang w:val="en-US"/>
        </w:rPr>
        <w:tab/>
      </w:r>
      <w:r w:rsidR="00973DAA" w:rsidRPr="00C903F8">
        <w:rPr>
          <w:rFonts w:eastAsia="Calibri"/>
          <w:lang w:val="en-US"/>
        </w:rPr>
        <w:t xml:space="preserve">maximum permitted number of passengers on board </w:t>
      </w:r>
    </w:p>
    <w:p w:rsidR="00973DAA" w:rsidRPr="00C903F8" w:rsidRDefault="00497622" w:rsidP="00505D66">
      <w:pPr>
        <w:pStyle w:val="ESlet"/>
        <w:rPr>
          <w:rFonts w:eastAsia="Calibri"/>
          <w:lang w:val="en-US"/>
        </w:rPr>
      </w:pPr>
      <m:oMath>
        <m:r>
          <w:rPr>
            <w:rFonts w:ascii="Cambria Math" w:eastAsia="Calibri" w:hAnsi="Cambria Math"/>
            <w:lang w:val="en-US"/>
          </w:rPr>
          <m:t>y=B/2</m:t>
        </m:r>
      </m:oMath>
      <w:r w:rsidR="00973DAA" w:rsidRPr="00C903F8">
        <w:rPr>
          <w:rFonts w:eastAsia="Calibri"/>
          <w:lang w:val="en-US"/>
        </w:rPr>
        <w:t xml:space="preserve"> in [m].</w:t>
      </w:r>
    </w:p>
    <w:p w:rsidR="00505D66" w:rsidRPr="00C903F8" w:rsidRDefault="00505D66"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5.</w:t>
      </w:r>
      <w:r w:rsidRPr="00C903F8">
        <w:rPr>
          <w:rFonts w:eastAsia="Calibri"/>
          <w:noProof/>
          <w:lang w:val="en-US" w:eastAsia="en-US"/>
        </w:rPr>
        <w:tab/>
        <w:t>The heeling moment due to wind pressure</w:t>
      </w:r>
      <w:r w:rsidR="00363895" w:rsidRPr="00C903F8">
        <w:rPr>
          <w:rFonts w:eastAsia="Calibri"/>
          <w:noProof/>
          <w:lang w:val="en-US" w:eastAsia="en-US"/>
        </w:rPr>
        <w:t xml:space="preserve">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M</m:t>
            </m:r>
          </m:e>
          <m:sub>
            <m:r>
              <w:rPr>
                <w:rFonts w:ascii="Cambria Math" w:eastAsia="Calibri" w:hAnsi="Cambria Math"/>
                <w:noProof/>
                <w:lang w:val="en-US" w:eastAsia="en-US"/>
              </w:rPr>
              <m:t>w</m:t>
            </m:r>
          </m:sub>
        </m:sSub>
      </m:oMath>
      <w:r w:rsidR="00363895" w:rsidRPr="00C903F8">
        <w:rPr>
          <w:rFonts w:eastAsia="Calibri"/>
          <w:noProof/>
          <w:lang w:val="en-US" w:eastAsia="en-US"/>
        </w:rPr>
        <w:t xml:space="preserve"> </w:t>
      </w:r>
      <w:r w:rsidRPr="00C903F8">
        <w:rPr>
          <w:rFonts w:eastAsia="Calibri"/>
          <w:noProof/>
          <w:lang w:val="en-US" w:eastAsia="en-US"/>
        </w:rPr>
        <w:t>shall be calculated as follows:</w:t>
      </w:r>
    </w:p>
    <w:p w:rsidR="00505D66" w:rsidRPr="00C903F8" w:rsidRDefault="00505D66" w:rsidP="00973DAA">
      <w:pPr>
        <w:pStyle w:val="ESch"/>
        <w:rPr>
          <w:rFonts w:eastAsia="Calibri" w:cs="Arial"/>
          <w:szCs w:val="18"/>
          <w:lang w:val="en-US" w:eastAsia="en-US"/>
        </w:rPr>
      </w:pPr>
    </w:p>
    <w:p w:rsidR="00FE79CB" w:rsidRPr="00C903F8" w:rsidRDefault="00F12BAF" w:rsidP="00FE79CB">
      <w:pPr>
        <w:pStyle w:val="ESch"/>
        <w:ind w:left="0" w:firstLine="0"/>
        <w:rPr>
          <w:rFonts w:eastAsia="Calibri" w:cs="Arial"/>
          <w:szCs w:val="18"/>
          <w:lang w:val="en-US" w:eastAsia="en-US"/>
        </w:rPr>
      </w:pPr>
      <m:oMathPara>
        <m:oMath>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M</m:t>
              </m:r>
            </m:e>
            <m:sub>
              <m:r>
                <w:rPr>
                  <w:rFonts w:ascii="Cambria Math" w:eastAsia="Calibri" w:hAnsi="Cambria Math" w:cs="Arial"/>
                  <w:szCs w:val="18"/>
                  <w:lang w:val="en-US" w:eastAsia="en-US"/>
                </w:rPr>
                <m:t>w</m:t>
              </m:r>
            </m:sub>
          </m:sSub>
          <m:r>
            <w:rPr>
              <w:rFonts w:ascii="Cambria Math" w:eastAsia="Calibri" w:hAnsi="Cambria Math" w:cs="Arial"/>
              <w:szCs w:val="18"/>
              <w:lang w:val="en-US" w:eastAsia="en-US"/>
            </w:rPr>
            <m:t xml:space="preserve">= </m:t>
          </m:r>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p</m:t>
              </m:r>
            </m:e>
            <m:sub>
              <m:r>
                <w:rPr>
                  <w:rFonts w:ascii="Cambria Math" w:eastAsia="Calibri" w:hAnsi="Cambria Math" w:cs="Arial"/>
                  <w:szCs w:val="18"/>
                  <w:lang w:val="en-US" w:eastAsia="en-US"/>
                </w:rPr>
                <m:t>w</m:t>
              </m:r>
            </m:sub>
          </m:sSub>
          <m:r>
            <w:rPr>
              <w:rFonts w:ascii="Cambria Math" w:eastAsia="Calibri" w:hAnsi="Cambria Math" w:cs="Arial"/>
              <w:szCs w:val="18"/>
              <w:lang w:val="en-US" w:eastAsia="en-US"/>
            </w:rPr>
            <m:t xml:space="preserve"> ∙ </m:t>
          </m:r>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A</m:t>
              </m:r>
            </m:e>
            <m:sub>
              <m:r>
                <w:rPr>
                  <w:rFonts w:ascii="Cambria Math" w:eastAsia="Calibri" w:hAnsi="Cambria Math" w:cs="Arial"/>
                  <w:szCs w:val="18"/>
                  <w:lang w:val="en-US" w:eastAsia="en-US"/>
                </w:rPr>
                <m:t>w</m:t>
              </m:r>
            </m:sub>
          </m:sSub>
          <m:r>
            <w:rPr>
              <w:rFonts w:ascii="Cambria Math" w:eastAsia="Calibri" w:hAnsi="Cambria Math" w:cs="Arial"/>
              <w:szCs w:val="18"/>
              <w:lang w:val="en-US" w:eastAsia="en-US"/>
            </w:rPr>
            <m:t xml:space="preserve"> ∙</m:t>
          </m:r>
          <m:d>
            <m:dPr>
              <m:ctrlPr>
                <w:rPr>
                  <w:rFonts w:ascii="Cambria Math" w:eastAsia="Calibri" w:hAnsi="Cambria Math" w:cs="Arial"/>
                  <w:i/>
                  <w:szCs w:val="18"/>
                  <w:lang w:val="en-US" w:eastAsia="en-US"/>
                </w:rPr>
              </m:ctrlPr>
            </m:dPr>
            <m:e>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L</m:t>
                  </m:r>
                </m:e>
                <m:sub>
                  <m:r>
                    <w:rPr>
                      <w:rFonts w:ascii="Cambria Math" w:eastAsia="Calibri" w:hAnsi="Cambria Math" w:cs="Arial"/>
                      <w:szCs w:val="18"/>
                      <w:lang w:val="en-US" w:eastAsia="en-US"/>
                    </w:rPr>
                    <m:t>w</m:t>
                  </m:r>
                </m:sub>
              </m:sSub>
              <m:r>
                <w:rPr>
                  <w:rFonts w:ascii="Cambria Math" w:eastAsia="Calibri" w:hAnsi="Cambria Math" w:cs="Arial"/>
                  <w:szCs w:val="18"/>
                  <w:lang w:val="en-US" w:eastAsia="en-US"/>
                </w:rPr>
                <m:t>+</m:t>
              </m:r>
              <m:f>
                <m:fPr>
                  <m:ctrlPr>
                    <w:rPr>
                      <w:rFonts w:ascii="Cambria Math" w:eastAsia="Calibri" w:hAnsi="Cambria Math" w:cs="Arial"/>
                      <w:i/>
                      <w:szCs w:val="18"/>
                      <w:lang w:val="en-US" w:eastAsia="en-US"/>
                    </w:rPr>
                  </m:ctrlPr>
                </m:fPr>
                <m:num>
                  <m:r>
                    <w:rPr>
                      <w:rFonts w:ascii="Cambria Math" w:eastAsia="Calibri" w:hAnsi="Cambria Math" w:cs="Arial"/>
                      <w:szCs w:val="18"/>
                      <w:lang w:val="en-US" w:eastAsia="en-US"/>
                    </w:rPr>
                    <m:t>T</m:t>
                  </m:r>
                </m:num>
                <m:den>
                  <m:r>
                    <w:rPr>
                      <w:rFonts w:ascii="Cambria Math" w:eastAsia="Calibri" w:hAnsi="Cambria Math" w:cs="Arial"/>
                      <w:szCs w:val="18"/>
                      <w:lang w:val="en-US" w:eastAsia="en-US"/>
                    </w:rPr>
                    <m:t>2</m:t>
                  </m:r>
                </m:den>
              </m:f>
            </m:e>
          </m:d>
          <m:r>
            <w:rPr>
              <w:rFonts w:ascii="Cambria Math" w:eastAsia="Calibri" w:hAnsi="Cambria Math" w:cs="Arial"/>
              <w:szCs w:val="18"/>
              <w:lang w:val="en-US" w:eastAsia="en-US"/>
            </w:rPr>
            <m:t xml:space="preserve"> [kNm]</m:t>
          </m:r>
        </m:oMath>
      </m:oMathPara>
    </w:p>
    <w:p w:rsidR="00FE79CB" w:rsidRPr="00C903F8" w:rsidRDefault="00FE79CB" w:rsidP="00973DAA">
      <w:pPr>
        <w:pStyle w:val="ESch"/>
        <w:rPr>
          <w:rFonts w:eastAsia="Calibri" w:cs="Arial"/>
          <w:szCs w:val="18"/>
          <w:lang w:val="en-US" w:eastAsia="en-US"/>
        </w:rPr>
      </w:pPr>
    </w:p>
    <w:p w:rsidR="00973DAA" w:rsidRPr="00C903F8" w:rsidRDefault="00973DAA" w:rsidP="00505D66">
      <w:pPr>
        <w:pStyle w:val="ESchpar"/>
        <w:rPr>
          <w:rFonts w:eastAsia="Calibri" w:cs="Arial"/>
          <w:szCs w:val="18"/>
          <w:lang w:val="en-US" w:eastAsia="en-US"/>
        </w:rPr>
      </w:pPr>
      <w:r w:rsidRPr="00C903F8">
        <w:rPr>
          <w:rFonts w:eastAsia="Calibri"/>
          <w:noProof/>
          <w:lang w:val="en-US" w:eastAsia="en-US"/>
        </w:rPr>
        <w:t>where:</w:t>
      </w:r>
    </w:p>
    <w:p w:rsidR="00973DAA" w:rsidRPr="00C903F8" w:rsidRDefault="00F12BAF" w:rsidP="00505D66">
      <w:pPr>
        <w:pStyle w:val="ESlet"/>
        <w:ind w:left="1134" w:hanging="567"/>
        <w:rPr>
          <w:rFonts w:eastAsia="Calibri" w:cs="Arial"/>
          <w:szCs w:val="18"/>
          <w:lang w:val="en-US"/>
        </w:rPr>
      </w:pPr>
      <m:oMath>
        <m:sSub>
          <m:sSubPr>
            <m:ctrlPr>
              <w:rPr>
                <w:rFonts w:ascii="Cambria Math" w:eastAsia="Calibri" w:hAnsi="Cambria Math"/>
                <w:i/>
                <w:noProof/>
                <w:lang w:val="en-US"/>
              </w:rPr>
            </m:ctrlPr>
          </m:sSubPr>
          <m:e>
            <m:r>
              <w:rPr>
                <w:rFonts w:ascii="Cambria Math" w:eastAsia="Calibri" w:hAnsi="Cambria Math"/>
                <w:noProof/>
                <w:lang w:val="en-US"/>
              </w:rPr>
              <m:t>p</m:t>
            </m:r>
          </m:e>
          <m:sub>
            <m:r>
              <w:rPr>
                <w:rFonts w:ascii="Cambria Math" w:eastAsia="Calibri" w:hAnsi="Cambria Math"/>
                <w:noProof/>
                <w:lang w:val="en-US"/>
              </w:rPr>
              <m:t>w</m:t>
            </m:r>
          </m:sub>
        </m:sSub>
      </m:oMath>
      <w:r w:rsidR="00973DAA" w:rsidRPr="00C903F8">
        <w:rPr>
          <w:rFonts w:eastAsia="Calibri"/>
          <w:noProof/>
          <w:lang w:val="en-US"/>
        </w:rPr>
        <w:t xml:space="preserve"> =</w:t>
      </w:r>
      <w:r w:rsidR="00973DAA" w:rsidRPr="00C903F8">
        <w:rPr>
          <w:rFonts w:eastAsia="Calibri"/>
          <w:noProof/>
          <w:lang w:val="en-US"/>
        </w:rPr>
        <w:tab/>
        <w:t>the specific wind pressure of 0</w:t>
      </w:r>
      <w:r w:rsidR="00986505" w:rsidRPr="00C903F8">
        <w:rPr>
          <w:rFonts w:eastAsia="Calibri"/>
          <w:noProof/>
          <w:lang w:val="en-US"/>
        </w:rPr>
        <w:t>,</w:t>
      </w:r>
      <w:r w:rsidR="00973DAA" w:rsidRPr="00C903F8">
        <w:rPr>
          <w:rFonts w:eastAsia="Calibri"/>
          <w:noProof/>
          <w:lang w:val="en-US"/>
        </w:rPr>
        <w:t>25 kN/m²;</w:t>
      </w:r>
    </w:p>
    <w:p w:rsidR="00973DAA" w:rsidRPr="00C903F8" w:rsidRDefault="00F12BAF" w:rsidP="00505D66">
      <w:pPr>
        <w:pStyle w:val="ESlet"/>
        <w:ind w:left="1134" w:hanging="567"/>
        <w:rPr>
          <w:rFonts w:eastAsia="Calibri" w:cs="Arial"/>
          <w:szCs w:val="18"/>
          <w:lang w:val="en-US"/>
        </w:rPr>
      </w:pPr>
      <m:oMath>
        <m:sSub>
          <m:sSubPr>
            <m:ctrlPr>
              <w:rPr>
                <w:rFonts w:ascii="Cambria Math" w:eastAsia="Calibri" w:hAnsi="Cambria Math"/>
                <w:i/>
                <w:noProof/>
                <w:lang w:val="en-US"/>
              </w:rPr>
            </m:ctrlPr>
          </m:sSubPr>
          <m:e>
            <m:r>
              <w:rPr>
                <w:rFonts w:ascii="Cambria Math" w:eastAsia="Calibri" w:hAnsi="Cambria Math"/>
                <w:noProof/>
                <w:lang w:val="en-US"/>
              </w:rPr>
              <m:t>A</m:t>
            </m:r>
          </m:e>
          <m:sub>
            <m:r>
              <w:rPr>
                <w:rFonts w:ascii="Cambria Math" w:eastAsia="Calibri" w:hAnsi="Cambria Math"/>
                <w:noProof/>
                <w:lang w:val="en-US"/>
              </w:rPr>
              <m:t>w</m:t>
            </m:r>
          </m:sub>
        </m:sSub>
      </m:oMath>
      <w:r w:rsidR="00FE79CB" w:rsidRPr="00C903F8">
        <w:rPr>
          <w:rFonts w:eastAsia="Calibri"/>
          <w:noProof/>
          <w:lang w:val="en-US"/>
        </w:rPr>
        <w:t xml:space="preserve"> </w:t>
      </w:r>
      <w:r w:rsidR="00973DAA" w:rsidRPr="00C903F8">
        <w:rPr>
          <w:rFonts w:eastAsia="Calibri"/>
          <w:noProof/>
          <w:lang w:val="en-US"/>
        </w:rPr>
        <w:t>=</w:t>
      </w:r>
      <w:r w:rsidR="00973DAA" w:rsidRPr="00C903F8">
        <w:rPr>
          <w:rFonts w:eastAsia="Calibri"/>
          <w:noProof/>
          <w:lang w:val="en-US"/>
        </w:rPr>
        <w:tab/>
        <w:t>lateral plane of the vessel above the plane of draught according to theconsidered loading condition in [m²];</w:t>
      </w:r>
    </w:p>
    <w:p w:rsidR="00973DAA" w:rsidRPr="00C903F8" w:rsidRDefault="00F12BAF" w:rsidP="00505D66">
      <w:pPr>
        <w:pStyle w:val="ESlet"/>
        <w:ind w:left="1134" w:hanging="567"/>
        <w:rPr>
          <w:rFonts w:eastAsia="Calibri" w:cs="Arial"/>
          <w:szCs w:val="18"/>
          <w:lang w:val="en-US"/>
        </w:rPr>
      </w:pPr>
      <m:oMath>
        <m:sSub>
          <m:sSubPr>
            <m:ctrlPr>
              <w:rPr>
                <w:rFonts w:ascii="Cambria Math" w:eastAsia="Calibri" w:hAnsi="Cambria Math"/>
                <w:i/>
                <w:noProof/>
                <w:lang w:val="en-US"/>
              </w:rPr>
            </m:ctrlPr>
          </m:sSubPr>
          <m:e>
            <m:r>
              <w:rPr>
                <w:rFonts w:ascii="Cambria Math" w:eastAsia="Calibri" w:hAnsi="Cambria Math"/>
                <w:noProof/>
                <w:lang w:val="en-US"/>
              </w:rPr>
              <m:t>l</m:t>
            </m:r>
          </m:e>
          <m:sub>
            <m:r>
              <w:rPr>
                <w:rFonts w:ascii="Cambria Math" w:eastAsia="Calibri" w:hAnsi="Cambria Math"/>
                <w:noProof/>
                <w:lang w:val="en-US"/>
              </w:rPr>
              <m:t>w</m:t>
            </m:r>
          </m:sub>
        </m:sSub>
      </m:oMath>
      <w:r w:rsidR="00FE79CB" w:rsidRPr="00C903F8">
        <w:rPr>
          <w:rFonts w:eastAsia="Calibri"/>
          <w:noProof/>
          <w:lang w:val="en-US"/>
        </w:rPr>
        <w:t xml:space="preserve"> </w:t>
      </w:r>
      <w:r w:rsidR="00973DAA" w:rsidRPr="00C903F8">
        <w:rPr>
          <w:rFonts w:eastAsia="Calibri"/>
          <w:noProof/>
          <w:lang w:val="en-US"/>
        </w:rPr>
        <w:t>=</w:t>
      </w:r>
      <w:r w:rsidR="00973DAA" w:rsidRPr="00C903F8">
        <w:rPr>
          <w:rFonts w:eastAsia="Calibri"/>
          <w:noProof/>
          <w:lang w:val="en-US"/>
        </w:rPr>
        <w:tab/>
        <w:t xml:space="preserve">distance of the centre of gravity of the lateral plane </w:t>
      </w:r>
      <m:oMath>
        <m:sSub>
          <m:sSubPr>
            <m:ctrlPr>
              <w:rPr>
                <w:rFonts w:ascii="Cambria Math" w:eastAsia="Calibri" w:hAnsi="Cambria Math"/>
                <w:i/>
                <w:noProof/>
                <w:lang w:val="en-US"/>
              </w:rPr>
            </m:ctrlPr>
          </m:sSubPr>
          <m:e>
            <m:r>
              <w:rPr>
                <w:rFonts w:ascii="Cambria Math" w:eastAsia="Calibri" w:hAnsi="Cambria Math"/>
                <w:noProof/>
                <w:lang w:val="en-US"/>
              </w:rPr>
              <m:t>A</m:t>
            </m:r>
          </m:e>
          <m:sub>
            <m:r>
              <w:rPr>
                <w:rFonts w:ascii="Cambria Math" w:eastAsia="Calibri" w:hAnsi="Cambria Math"/>
                <w:noProof/>
                <w:lang w:val="en-US"/>
              </w:rPr>
              <m:t>w</m:t>
            </m:r>
          </m:sub>
        </m:sSub>
      </m:oMath>
      <w:r w:rsidR="00FE79CB" w:rsidRPr="00C903F8">
        <w:rPr>
          <w:rFonts w:eastAsia="Calibri"/>
          <w:noProof/>
          <w:lang w:val="en-US"/>
        </w:rPr>
        <w:t xml:space="preserve"> </w:t>
      </w:r>
      <w:r w:rsidR="00973DAA" w:rsidRPr="00C903F8">
        <w:rPr>
          <w:rFonts w:eastAsia="Calibri"/>
          <w:noProof/>
          <w:lang w:val="en-US"/>
        </w:rPr>
        <w:t>from the plane of draught according to the considered loading condition in [m].</w:t>
      </w:r>
    </w:p>
    <w:p w:rsidR="00505D66" w:rsidRPr="00C903F8" w:rsidRDefault="00505D66" w:rsidP="00973DAA">
      <w:pPr>
        <w:pStyle w:val="ESch"/>
        <w:rPr>
          <w:rFonts w:eastAsia="Calibri"/>
          <w:noProof/>
          <w:lang w:val="en-US" w:eastAsia="en-US"/>
        </w:rPr>
      </w:pPr>
    </w:p>
    <w:p w:rsidR="00973DAA" w:rsidRPr="00C903F8" w:rsidRDefault="00973DAA" w:rsidP="00505D66">
      <w:pPr>
        <w:pStyle w:val="ESchpar"/>
        <w:rPr>
          <w:rFonts w:eastAsia="Calibri" w:cs="Arial"/>
          <w:szCs w:val="18"/>
          <w:lang w:val="en-US" w:eastAsia="en-US"/>
        </w:rPr>
      </w:pPr>
      <w:r w:rsidRPr="00C903F8">
        <w:rPr>
          <w:rFonts w:eastAsia="Calibri"/>
          <w:noProof/>
          <w:lang w:val="en-US" w:eastAsia="en-US"/>
        </w:rPr>
        <w:t>In calculating the lateral plane, account shall be taken of the intended enclosure of the deck by awnings and similar mobile installations.</w:t>
      </w:r>
    </w:p>
    <w:p w:rsidR="00505D66" w:rsidRPr="00C903F8" w:rsidRDefault="00505D66"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6.</w:t>
      </w:r>
      <w:r w:rsidRPr="00C903F8">
        <w:rPr>
          <w:rFonts w:eastAsia="Calibri"/>
          <w:noProof/>
          <w:lang w:val="en-US" w:eastAsia="en-US"/>
        </w:rPr>
        <w:tab/>
        <w:t>The moment due to centrifugal force</w:t>
      </w:r>
      <w:r w:rsidR="00FE79CB" w:rsidRPr="00C903F8">
        <w:rPr>
          <w:rFonts w:eastAsia="Calibri"/>
          <w:noProof/>
          <w:lang w:val="en-US" w:eastAsia="en-US"/>
        </w:rPr>
        <w:t xml:space="preserve"> </w:t>
      </w:r>
      <m:oMath>
        <m:sSub>
          <m:sSubPr>
            <m:ctrlPr>
              <w:rPr>
                <w:rFonts w:ascii="Cambria Math" w:eastAsia="Calibri" w:hAnsi="Cambria Math"/>
                <w:i/>
                <w:noProof/>
                <w:lang w:val="en-US"/>
              </w:rPr>
            </m:ctrlPr>
          </m:sSubPr>
          <m:e>
            <m:r>
              <w:rPr>
                <w:rFonts w:ascii="Cambria Math" w:eastAsia="Calibri" w:hAnsi="Cambria Math"/>
                <w:noProof/>
                <w:lang w:val="en-US"/>
              </w:rPr>
              <m:t>M</m:t>
            </m:r>
          </m:e>
          <m:sub>
            <m:r>
              <w:rPr>
                <w:rFonts w:ascii="Cambria Math" w:eastAsia="Calibri" w:hAnsi="Cambria Math"/>
                <w:noProof/>
                <w:lang w:val="en-US"/>
              </w:rPr>
              <m:t>dr</m:t>
            </m:r>
          </m:sub>
        </m:sSub>
      </m:oMath>
      <w:r w:rsidRPr="00C903F8">
        <w:rPr>
          <w:rFonts w:eastAsia="Calibri" w:cs="Arial"/>
          <w:szCs w:val="18"/>
          <w:lang w:val="en-US" w:eastAsia="en-US"/>
        </w:rPr>
        <w:t xml:space="preserve">, </w:t>
      </w:r>
      <w:r w:rsidRPr="00C903F8">
        <w:rPr>
          <w:rFonts w:eastAsia="Calibri"/>
          <w:noProof/>
          <w:lang w:val="en-US" w:eastAsia="en-US"/>
        </w:rPr>
        <w:t>caused by the turning of the vessel, shall be calculated as follows:</w:t>
      </w:r>
    </w:p>
    <w:p w:rsidR="001F199D" w:rsidRPr="00C903F8" w:rsidRDefault="001F199D" w:rsidP="00973DAA">
      <w:pPr>
        <w:pStyle w:val="ESch"/>
        <w:rPr>
          <w:rFonts w:eastAsia="Calibri" w:cs="Arial"/>
          <w:szCs w:val="18"/>
          <w:lang w:val="en-US" w:eastAsia="en-US"/>
        </w:rPr>
      </w:pPr>
    </w:p>
    <w:p w:rsidR="00F92563" w:rsidRPr="00C903F8" w:rsidRDefault="00F12BAF" w:rsidP="00F92563">
      <w:pPr>
        <w:pStyle w:val="ESch"/>
        <w:ind w:left="0" w:firstLine="0"/>
        <w:rPr>
          <w:rFonts w:eastAsia="Calibri" w:cs="Arial"/>
          <w:szCs w:val="18"/>
          <w:lang w:val="en-US" w:eastAsia="en-US"/>
        </w:rPr>
      </w:pPr>
      <m:oMathPara>
        <m:oMath>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M</m:t>
              </m:r>
            </m:e>
            <m:sub>
              <m:r>
                <w:rPr>
                  <w:rFonts w:ascii="Cambria Math" w:eastAsia="Calibri" w:hAnsi="Cambria Math" w:cs="Arial"/>
                  <w:szCs w:val="18"/>
                  <w:lang w:val="en-US" w:eastAsia="en-US"/>
                </w:rPr>
                <m:t>dr</m:t>
              </m:r>
            </m:sub>
          </m:sSub>
          <m:r>
            <w:rPr>
              <w:rFonts w:ascii="Cambria Math" w:eastAsia="Calibri" w:hAnsi="Cambria Math" w:cs="Arial"/>
              <w:szCs w:val="18"/>
              <w:lang w:val="en-US" w:eastAsia="en-US"/>
            </w:rPr>
            <m:t xml:space="preserve">= </m:t>
          </m:r>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c</m:t>
              </m:r>
            </m:e>
            <m:sub>
              <m:r>
                <w:rPr>
                  <w:rFonts w:ascii="Cambria Math" w:eastAsia="Calibri" w:hAnsi="Cambria Math" w:cs="Arial"/>
                  <w:szCs w:val="18"/>
                  <w:lang w:val="en-US" w:eastAsia="en-US"/>
                </w:rPr>
                <m:t>dr</m:t>
              </m:r>
            </m:sub>
          </m:sSub>
          <m:r>
            <w:rPr>
              <w:rFonts w:ascii="Cambria Math" w:eastAsia="Calibri" w:hAnsi="Cambria Math" w:cs="Arial"/>
              <w:szCs w:val="18"/>
              <w:lang w:val="en-US" w:eastAsia="en-US"/>
            </w:rPr>
            <m:t xml:space="preserve"> ∙ </m:t>
          </m:r>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C</m:t>
              </m:r>
            </m:e>
            <m:sub>
              <m:r>
                <w:rPr>
                  <w:rFonts w:ascii="Cambria Math" w:eastAsia="Calibri" w:hAnsi="Cambria Math" w:cs="Arial"/>
                  <w:szCs w:val="18"/>
                  <w:lang w:val="en-US" w:eastAsia="en-US"/>
                </w:rPr>
                <m:t>B</m:t>
              </m:r>
            </m:sub>
          </m:sSub>
          <m:r>
            <w:rPr>
              <w:rFonts w:ascii="Cambria Math" w:eastAsia="Calibri" w:hAnsi="Cambria Math" w:cs="Arial"/>
              <w:szCs w:val="18"/>
              <w:lang w:val="en-US" w:eastAsia="en-US"/>
            </w:rPr>
            <m:t xml:space="preserve"> ∙ </m:t>
          </m:r>
          <m:sSup>
            <m:sSupPr>
              <m:ctrlPr>
                <w:rPr>
                  <w:rFonts w:ascii="Cambria Math" w:eastAsia="Calibri" w:hAnsi="Cambria Math" w:cs="Arial"/>
                  <w:i/>
                  <w:szCs w:val="18"/>
                  <w:lang w:val="en-US" w:eastAsia="en-US"/>
                </w:rPr>
              </m:ctrlPr>
            </m:sSupPr>
            <m:e>
              <m:r>
                <w:rPr>
                  <w:rFonts w:ascii="Cambria Math" w:eastAsia="Calibri" w:hAnsi="Cambria Math" w:cs="Arial"/>
                  <w:szCs w:val="18"/>
                  <w:lang w:val="en-US" w:eastAsia="en-US"/>
                </w:rPr>
                <m:t>v</m:t>
              </m:r>
            </m:e>
            <m:sup>
              <m:r>
                <w:rPr>
                  <w:rFonts w:ascii="Cambria Math" w:eastAsia="Calibri" w:hAnsi="Cambria Math" w:cs="Arial"/>
                  <w:szCs w:val="18"/>
                  <w:lang w:val="en-US" w:eastAsia="en-US"/>
                </w:rPr>
                <m:t>2</m:t>
              </m:r>
            </m:sup>
          </m:sSup>
          <m:r>
            <w:rPr>
              <w:rFonts w:ascii="Cambria Math" w:eastAsia="Calibri" w:hAnsi="Cambria Math" w:cs="Arial"/>
              <w:szCs w:val="18"/>
              <w:lang w:val="en-US" w:eastAsia="en-US"/>
            </w:rPr>
            <m:t xml:space="preserve"> ∙</m:t>
          </m:r>
          <m:f>
            <m:fPr>
              <m:ctrlPr>
                <w:rPr>
                  <w:rFonts w:ascii="Cambria Math" w:eastAsia="Calibri" w:hAnsi="Cambria Math" w:cs="Arial"/>
                  <w:i/>
                  <w:szCs w:val="18"/>
                  <w:lang w:val="en-US" w:eastAsia="en-US"/>
                </w:rPr>
              </m:ctrlPr>
            </m:fPr>
            <m:num>
              <m:r>
                <w:rPr>
                  <w:rFonts w:ascii="Cambria Math" w:eastAsia="Calibri" w:hAnsi="Cambria Math" w:cs="Arial"/>
                  <w:szCs w:val="18"/>
                  <w:lang w:val="en-US" w:eastAsia="en-US"/>
                </w:rPr>
                <m:t>D</m:t>
              </m:r>
            </m:num>
            <m:den>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L</m:t>
                  </m:r>
                </m:e>
                <m:sub>
                  <m:r>
                    <w:rPr>
                      <w:rFonts w:ascii="Cambria Math" w:eastAsia="Calibri" w:hAnsi="Cambria Math" w:cs="Arial"/>
                      <w:szCs w:val="18"/>
                      <w:lang w:val="en-US" w:eastAsia="en-US"/>
                    </w:rPr>
                    <m:t>WL</m:t>
                  </m:r>
                </m:sub>
              </m:sSub>
            </m:den>
          </m:f>
          <m:r>
            <w:rPr>
              <w:rFonts w:ascii="Cambria Math" w:eastAsia="Calibri" w:hAnsi="Cambria Math" w:cs="Arial"/>
              <w:szCs w:val="18"/>
              <w:lang w:val="en-US" w:eastAsia="en-US"/>
            </w:rPr>
            <m:t>∙</m:t>
          </m:r>
          <m:d>
            <m:dPr>
              <m:ctrlPr>
                <w:rPr>
                  <w:rFonts w:ascii="Cambria Math" w:eastAsia="Calibri" w:hAnsi="Cambria Math" w:cs="Arial"/>
                  <w:i/>
                  <w:szCs w:val="18"/>
                  <w:lang w:val="en-US" w:eastAsia="en-US"/>
                </w:rPr>
              </m:ctrlPr>
            </m:dPr>
            <m:e>
              <m:r>
                <w:rPr>
                  <w:rFonts w:ascii="Cambria Math" w:eastAsia="Calibri" w:hAnsi="Cambria Math" w:cs="Arial"/>
                  <w:szCs w:val="18"/>
                  <w:lang w:val="en-US" w:eastAsia="en-US"/>
                </w:rPr>
                <m:t>KG-</m:t>
              </m:r>
              <m:f>
                <m:fPr>
                  <m:ctrlPr>
                    <w:rPr>
                      <w:rFonts w:ascii="Cambria Math" w:eastAsia="Calibri" w:hAnsi="Cambria Math" w:cs="Arial"/>
                      <w:i/>
                      <w:szCs w:val="18"/>
                      <w:lang w:val="en-US" w:eastAsia="en-US"/>
                    </w:rPr>
                  </m:ctrlPr>
                </m:fPr>
                <m:num>
                  <m:r>
                    <w:rPr>
                      <w:rFonts w:ascii="Cambria Math" w:eastAsia="Calibri" w:hAnsi="Cambria Math" w:cs="Arial"/>
                      <w:szCs w:val="18"/>
                      <w:lang w:val="en-US" w:eastAsia="en-US"/>
                    </w:rPr>
                    <m:t>T</m:t>
                  </m:r>
                </m:num>
                <m:den>
                  <m:r>
                    <w:rPr>
                      <w:rFonts w:ascii="Cambria Math" w:eastAsia="Calibri" w:hAnsi="Cambria Math" w:cs="Arial"/>
                      <w:szCs w:val="18"/>
                      <w:lang w:val="en-US" w:eastAsia="en-US"/>
                    </w:rPr>
                    <m:t>2</m:t>
                  </m:r>
                </m:den>
              </m:f>
            </m:e>
          </m:d>
          <m:r>
            <w:rPr>
              <w:rFonts w:ascii="Cambria Math" w:eastAsia="Calibri" w:hAnsi="Cambria Math" w:cs="Arial"/>
              <w:szCs w:val="18"/>
              <w:lang w:val="en-US" w:eastAsia="en-US"/>
            </w:rPr>
            <m:t xml:space="preserve"> [kNm]</m:t>
          </m:r>
        </m:oMath>
      </m:oMathPara>
    </w:p>
    <w:p w:rsidR="00F92563" w:rsidRPr="00C903F8" w:rsidRDefault="00F92563" w:rsidP="00973DAA">
      <w:pPr>
        <w:pStyle w:val="ESch"/>
        <w:rPr>
          <w:rFonts w:eastAsia="Calibri" w:cs="Arial"/>
          <w:szCs w:val="18"/>
          <w:lang w:val="en-US" w:eastAsia="en-US"/>
        </w:rPr>
      </w:pPr>
    </w:p>
    <w:p w:rsidR="00973DAA" w:rsidRPr="00C903F8" w:rsidRDefault="00986505" w:rsidP="001F199D">
      <w:pPr>
        <w:pStyle w:val="ESchpar"/>
        <w:rPr>
          <w:rFonts w:eastAsia="Calibri"/>
          <w:lang w:val="en-US" w:eastAsia="en-US"/>
        </w:rPr>
      </w:pPr>
      <w:r w:rsidRPr="00C903F8">
        <w:rPr>
          <w:rFonts w:eastAsia="Calibri"/>
          <w:lang w:val="en-US" w:eastAsia="en-US"/>
        </w:rPr>
        <w:t>w</w:t>
      </w:r>
      <w:r w:rsidR="00973DAA" w:rsidRPr="00C903F8">
        <w:rPr>
          <w:rFonts w:eastAsia="Calibri"/>
          <w:lang w:val="en-US" w:eastAsia="en-US"/>
        </w:rPr>
        <w:t>here</w:t>
      </w:r>
    </w:p>
    <w:p w:rsidR="00973DAA" w:rsidRPr="00C903F8" w:rsidRDefault="00F12BAF" w:rsidP="001F199D">
      <w:pPr>
        <w:pStyle w:val="ESlet"/>
        <w:ind w:left="1134" w:hanging="567"/>
        <w:rPr>
          <w:rFonts w:eastAsia="Calibri"/>
          <w:szCs w:val="20"/>
          <w:lang w:val="en-US" w:eastAsia="en-US"/>
        </w:rPr>
      </w:pPr>
      <m:oMath>
        <m:sSub>
          <m:sSubPr>
            <m:ctrlPr>
              <w:rPr>
                <w:rFonts w:ascii="Cambria Math" w:eastAsia="Calibri" w:hAnsi="Cambria Math"/>
                <w:i/>
                <w:szCs w:val="18"/>
                <w:lang w:val="en-US" w:eastAsia="en-US"/>
              </w:rPr>
            </m:ctrlPr>
          </m:sSubPr>
          <m:e>
            <m:r>
              <w:rPr>
                <w:rFonts w:ascii="Cambria Math" w:eastAsia="Calibri" w:hAnsi="Cambria Math"/>
                <w:szCs w:val="18"/>
                <w:lang w:val="en-US" w:eastAsia="en-US"/>
              </w:rPr>
              <m:t>C</m:t>
            </m:r>
          </m:e>
          <m:sub>
            <m:r>
              <w:rPr>
                <w:rFonts w:ascii="Cambria Math" w:eastAsia="Calibri" w:hAnsi="Cambria Math"/>
                <w:szCs w:val="18"/>
                <w:lang w:val="en-US" w:eastAsia="en-US"/>
              </w:rPr>
              <m:t>dr</m:t>
            </m:r>
          </m:sub>
        </m:sSub>
      </m:oMath>
      <w:r w:rsidR="00973DAA" w:rsidRPr="00C903F8">
        <w:rPr>
          <w:rFonts w:eastAsia="Calibri"/>
          <w:szCs w:val="20"/>
          <w:lang w:val="en-US" w:eastAsia="en-US"/>
        </w:rPr>
        <w:t xml:space="preserve"> =</w:t>
      </w:r>
      <w:r w:rsidR="00973DAA" w:rsidRPr="00C903F8">
        <w:rPr>
          <w:rFonts w:eastAsia="Calibri"/>
          <w:szCs w:val="20"/>
          <w:lang w:val="en-US" w:eastAsia="en-US"/>
        </w:rPr>
        <w:tab/>
        <w:t>a coefficient of 0,45</w:t>
      </w:r>
      <w:r w:rsidR="00B0682F" w:rsidRPr="00C903F8">
        <w:rPr>
          <w:rFonts w:eastAsia="Calibri"/>
          <w:szCs w:val="20"/>
          <w:lang w:val="en-US" w:eastAsia="en-US"/>
        </w:rPr>
        <w:t>;</w:t>
      </w:r>
    </w:p>
    <w:p w:rsidR="00973DAA" w:rsidRPr="00C903F8" w:rsidRDefault="00F12BAF" w:rsidP="001F199D">
      <w:pPr>
        <w:pStyle w:val="ESlet"/>
        <w:ind w:left="1134" w:hanging="567"/>
        <w:rPr>
          <w:rFonts w:eastAsia="Calibri"/>
          <w:noProof/>
          <w:szCs w:val="20"/>
          <w:lang w:val="en-US" w:eastAsia="en-US"/>
        </w:rPr>
      </w:pPr>
      <m:oMath>
        <m:sSub>
          <m:sSubPr>
            <m:ctrlPr>
              <w:rPr>
                <w:rFonts w:ascii="Cambria Math" w:eastAsia="Calibri" w:hAnsi="Cambria Math"/>
                <w:i/>
                <w:szCs w:val="18"/>
                <w:lang w:val="en-US" w:eastAsia="en-US"/>
              </w:rPr>
            </m:ctrlPr>
          </m:sSubPr>
          <m:e>
            <m:r>
              <w:rPr>
                <w:rFonts w:ascii="Cambria Math" w:eastAsia="Calibri" w:hAnsi="Cambria Math"/>
                <w:szCs w:val="18"/>
                <w:lang w:val="en-US" w:eastAsia="en-US"/>
              </w:rPr>
              <m:t>C</m:t>
            </m:r>
          </m:e>
          <m:sub>
            <m:r>
              <w:rPr>
                <w:rFonts w:ascii="Cambria Math" w:eastAsia="Calibri" w:hAnsi="Cambria Math"/>
                <w:szCs w:val="18"/>
                <w:lang w:val="en-US" w:eastAsia="en-US"/>
              </w:rPr>
              <m:t>B</m:t>
            </m:r>
          </m:sub>
        </m:sSub>
      </m:oMath>
      <w:r w:rsidR="00986505" w:rsidRPr="00C903F8">
        <w:rPr>
          <w:rFonts w:eastAsia="Calibri"/>
          <w:szCs w:val="20"/>
          <w:lang w:val="en-US" w:eastAsia="en-US"/>
        </w:rPr>
        <w:t xml:space="preserve"> </w:t>
      </w:r>
      <w:r w:rsidR="00973DAA" w:rsidRPr="00C903F8">
        <w:rPr>
          <w:rFonts w:eastAsia="Calibri"/>
          <w:szCs w:val="20"/>
          <w:lang w:val="en-US" w:eastAsia="en-US"/>
        </w:rPr>
        <w:t>=</w:t>
      </w:r>
      <w:r w:rsidR="00973DAA" w:rsidRPr="00C903F8">
        <w:rPr>
          <w:rFonts w:eastAsia="Calibri"/>
          <w:szCs w:val="20"/>
          <w:lang w:val="en-US" w:eastAsia="en-US"/>
        </w:rPr>
        <w:tab/>
      </w:r>
      <w:r w:rsidR="00973DAA" w:rsidRPr="00C903F8">
        <w:rPr>
          <w:rFonts w:eastAsia="Calibri"/>
          <w:noProof/>
          <w:szCs w:val="20"/>
          <w:lang w:val="en-US" w:eastAsia="en-US"/>
        </w:rPr>
        <w:t>block coefficient (if not known, taken as 1,0)</w:t>
      </w:r>
      <w:r w:rsidR="00B0682F" w:rsidRPr="00C903F8">
        <w:rPr>
          <w:rFonts w:eastAsia="Calibri"/>
          <w:noProof/>
          <w:szCs w:val="20"/>
          <w:lang w:val="en-US" w:eastAsia="en-US"/>
        </w:rPr>
        <w:t>;</w:t>
      </w:r>
    </w:p>
    <w:p w:rsidR="00973DAA" w:rsidRPr="00C903F8" w:rsidRDefault="00986505" w:rsidP="001F199D">
      <w:pPr>
        <w:pStyle w:val="ESlet"/>
        <w:ind w:left="1134" w:hanging="567"/>
        <w:rPr>
          <w:rFonts w:eastAsia="Calibri"/>
          <w:szCs w:val="20"/>
          <w:lang w:val="en-US" w:eastAsia="en-US"/>
        </w:rPr>
      </w:pPr>
      <m:oMath>
        <m:r>
          <w:rPr>
            <w:rFonts w:ascii="Cambria Math" w:eastAsia="Calibri" w:hAnsi="Cambria Math"/>
            <w:szCs w:val="20"/>
            <w:lang w:val="en-US" w:eastAsia="en-US"/>
          </w:rPr>
          <m:t>v</m:t>
        </m:r>
      </m:oMath>
      <w:r w:rsidR="00973DAA" w:rsidRPr="00C903F8">
        <w:rPr>
          <w:rFonts w:eastAsia="Calibri"/>
          <w:szCs w:val="20"/>
          <w:lang w:val="en-US" w:eastAsia="en-US"/>
        </w:rPr>
        <w:t xml:space="preserve"> =</w:t>
      </w:r>
      <w:r w:rsidR="00973DAA" w:rsidRPr="00C903F8">
        <w:rPr>
          <w:rFonts w:eastAsia="Calibri"/>
          <w:szCs w:val="20"/>
          <w:lang w:val="en-US" w:eastAsia="en-US"/>
        </w:rPr>
        <w:tab/>
      </w:r>
      <w:r w:rsidR="00973DAA" w:rsidRPr="00C903F8">
        <w:rPr>
          <w:rFonts w:eastAsia="Calibri"/>
          <w:noProof/>
          <w:szCs w:val="20"/>
          <w:lang w:val="en-US" w:eastAsia="en-US"/>
        </w:rPr>
        <w:t xml:space="preserve">maximum speed of the vessel in </w:t>
      </w:r>
      <w:r w:rsidR="00973DAA" w:rsidRPr="00C903F8">
        <w:rPr>
          <w:rFonts w:eastAsia="Calibri"/>
          <w:szCs w:val="20"/>
          <w:lang w:val="en-US" w:eastAsia="en-US"/>
        </w:rPr>
        <w:t>[m/s]</w:t>
      </w:r>
      <w:r w:rsidR="00B0682F" w:rsidRPr="00C903F8">
        <w:rPr>
          <w:rFonts w:eastAsia="Calibri"/>
          <w:szCs w:val="20"/>
          <w:lang w:val="en-US" w:eastAsia="en-US"/>
        </w:rPr>
        <w:t>;</w:t>
      </w:r>
    </w:p>
    <w:p w:rsidR="00973DAA" w:rsidRPr="00C903F8" w:rsidRDefault="00986505" w:rsidP="001F199D">
      <w:pPr>
        <w:pStyle w:val="ESlet"/>
        <w:ind w:left="1134" w:hanging="567"/>
        <w:rPr>
          <w:rFonts w:eastAsia="Calibri"/>
          <w:szCs w:val="20"/>
          <w:lang w:val="en-US" w:eastAsia="en-US"/>
        </w:rPr>
      </w:pPr>
      <m:oMath>
        <m:r>
          <w:rPr>
            <w:rFonts w:ascii="Cambria Math" w:eastAsia="Calibri" w:hAnsi="Cambria Math"/>
            <w:szCs w:val="20"/>
            <w:lang w:val="en-US" w:eastAsia="en-US"/>
          </w:rPr>
          <m:t>KG</m:t>
        </m:r>
      </m:oMath>
      <w:r w:rsidR="001F199D" w:rsidRPr="00C903F8">
        <w:rPr>
          <w:rFonts w:eastAsia="Calibri"/>
          <w:szCs w:val="20"/>
          <w:lang w:val="en-US" w:eastAsia="en-US"/>
        </w:rPr>
        <w:t xml:space="preserve"> =</w:t>
      </w:r>
      <w:r w:rsidR="00973DAA" w:rsidRPr="00C903F8">
        <w:rPr>
          <w:rFonts w:eastAsia="Calibri"/>
          <w:szCs w:val="20"/>
          <w:lang w:val="en-US" w:eastAsia="en-US"/>
        </w:rPr>
        <w:tab/>
      </w:r>
      <w:r w:rsidR="00973DAA" w:rsidRPr="00C903F8">
        <w:rPr>
          <w:rFonts w:eastAsia="Calibri"/>
          <w:noProof/>
          <w:szCs w:val="20"/>
          <w:lang w:val="en-US" w:eastAsia="en-US"/>
        </w:rPr>
        <w:t xml:space="preserve">distance between the centre of gravity and the keel line in </w:t>
      </w:r>
      <w:r w:rsidR="00973DAA" w:rsidRPr="00C903F8">
        <w:rPr>
          <w:rFonts w:eastAsia="Calibri"/>
          <w:szCs w:val="20"/>
          <w:lang w:val="en-US" w:eastAsia="en-US"/>
        </w:rPr>
        <w:t>[m].</w:t>
      </w:r>
    </w:p>
    <w:p w:rsidR="001F199D" w:rsidRPr="00C903F8" w:rsidRDefault="001F199D" w:rsidP="00973DAA">
      <w:pPr>
        <w:pStyle w:val="ESch"/>
        <w:rPr>
          <w:rFonts w:eastAsia="Calibri"/>
          <w:noProof/>
          <w:lang w:val="en-US" w:eastAsia="en-US"/>
        </w:rPr>
      </w:pPr>
    </w:p>
    <w:p w:rsidR="00973DAA" w:rsidRPr="00C903F8" w:rsidRDefault="00973DAA" w:rsidP="001F199D">
      <w:pPr>
        <w:pStyle w:val="ESchpar"/>
        <w:rPr>
          <w:rFonts w:eastAsia="Calibri" w:cs="Arial"/>
          <w:szCs w:val="18"/>
          <w:lang w:val="en-US" w:eastAsia="nl-NL"/>
        </w:rPr>
      </w:pPr>
      <w:r w:rsidRPr="00C903F8">
        <w:rPr>
          <w:rFonts w:eastAsia="Calibri"/>
          <w:noProof/>
          <w:lang w:val="en-US" w:eastAsia="en-US"/>
        </w:rPr>
        <w:t xml:space="preserve">For passenger vessels with propulsion systems according to Article 6.06, </w:t>
      </w:r>
      <m:oMath>
        <m:sSub>
          <m:sSubPr>
            <m:ctrlPr>
              <w:rPr>
                <w:rFonts w:ascii="Cambria Math" w:eastAsia="Calibri" w:hAnsi="Cambria Math"/>
                <w:i/>
                <w:szCs w:val="18"/>
                <w:lang w:val="en-US" w:eastAsia="en-US"/>
              </w:rPr>
            </m:ctrlPr>
          </m:sSubPr>
          <m:e>
            <m:r>
              <w:rPr>
                <w:rFonts w:ascii="Cambria Math" w:eastAsia="Calibri" w:hAnsi="Cambria Math"/>
                <w:szCs w:val="18"/>
                <w:lang w:val="en-US" w:eastAsia="en-US"/>
              </w:rPr>
              <m:t>M</m:t>
            </m:r>
          </m:e>
          <m:sub>
            <m:r>
              <w:rPr>
                <w:rFonts w:ascii="Cambria Math" w:eastAsia="Calibri" w:hAnsi="Cambria Math"/>
                <w:szCs w:val="18"/>
                <w:lang w:val="en-US" w:eastAsia="en-US"/>
              </w:rPr>
              <m:t>dr</m:t>
            </m:r>
          </m:sub>
        </m:sSub>
      </m:oMath>
      <w:r w:rsidRPr="00C903F8">
        <w:rPr>
          <w:rFonts w:eastAsia="Calibri"/>
          <w:noProof/>
          <w:lang w:val="en-US" w:eastAsia="en-US"/>
        </w:rPr>
        <w:t xml:space="preserve"> shall be derived from full-scale or model tests or else from corresponding calculations.</w:t>
      </w:r>
    </w:p>
    <w:p w:rsidR="001F199D" w:rsidRPr="00C903F8" w:rsidRDefault="001F199D" w:rsidP="00973DAA">
      <w:pPr>
        <w:pStyle w:val="ESch"/>
        <w:rPr>
          <w:rFonts w:eastAsia="Calibri" w:cs="Arial"/>
          <w:szCs w:val="18"/>
          <w:lang w:val="en-US" w:eastAsia="en-US"/>
        </w:rPr>
      </w:pPr>
    </w:p>
    <w:p w:rsidR="00973DAA" w:rsidRPr="00C903F8" w:rsidRDefault="00973DAA" w:rsidP="00973DAA">
      <w:pPr>
        <w:pStyle w:val="ESch"/>
        <w:rPr>
          <w:rFonts w:eastAsia="Calibri" w:cs="Arial"/>
          <w:szCs w:val="18"/>
          <w:lang w:val="en-US" w:eastAsia="en-US"/>
        </w:rPr>
      </w:pPr>
      <w:r w:rsidRPr="00C903F8">
        <w:rPr>
          <w:rFonts w:eastAsia="Calibri" w:cs="Arial"/>
          <w:szCs w:val="18"/>
          <w:lang w:val="en-US" w:eastAsia="en-US"/>
        </w:rPr>
        <w:t>7.</w:t>
      </w:r>
      <w:r w:rsidRPr="00C903F8">
        <w:rPr>
          <w:rFonts w:eastAsia="Calibri" w:cs="Arial"/>
          <w:szCs w:val="18"/>
          <w:lang w:val="en-US" w:eastAsia="en-US"/>
        </w:rPr>
        <w:tab/>
        <w:t>The applicant shall prove by a calculation that the damage stability of the vessel is appropriate. The calculation of the final state of flooding should be based on the method of “lost buoyancy” and the interim states of flooding should be calculated on the basis of the method of “added mass”. All calculations shall be carried out free to trim and sinkage.</w:t>
      </w:r>
    </w:p>
    <w:p w:rsidR="001F199D" w:rsidRPr="00C903F8" w:rsidRDefault="001F199D"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8.</w:t>
      </w:r>
      <w:r w:rsidRPr="00C903F8">
        <w:rPr>
          <w:rFonts w:eastAsia="Calibri"/>
          <w:noProof/>
          <w:lang w:val="en-US" w:eastAsia="en-US"/>
        </w:rPr>
        <w:tab/>
        <w:t>Buoyancy of the vessel in the event of flooding shall be proven for the standard load</w:t>
      </w:r>
      <w:r w:rsidR="002E3EAE" w:rsidRPr="00C903F8">
        <w:rPr>
          <w:rFonts w:eastAsia="Calibri"/>
          <w:noProof/>
          <w:lang w:val="en-US" w:eastAsia="en-US"/>
        </w:rPr>
        <w:t>ing</w:t>
      </w:r>
      <w:r w:rsidRPr="00C903F8">
        <w:rPr>
          <w:rFonts w:eastAsia="Calibri"/>
          <w:noProof/>
          <w:lang w:val="en-US" w:eastAsia="en-US"/>
        </w:rPr>
        <w:t xml:space="preserve"> conditions specified in </w:t>
      </w:r>
      <w:r w:rsidR="00FD1E75" w:rsidRPr="00C903F8">
        <w:rPr>
          <w:rFonts w:eastAsia="Calibri"/>
          <w:noProof/>
          <w:lang w:val="en-US" w:eastAsia="en-US"/>
        </w:rPr>
        <w:t>(</w:t>
      </w:r>
      <w:r w:rsidRPr="00C903F8">
        <w:rPr>
          <w:rFonts w:eastAsia="Calibri"/>
          <w:noProof/>
          <w:lang w:val="en-US" w:eastAsia="en-US"/>
        </w:rPr>
        <w:t>2</w:t>
      </w:r>
      <w:r w:rsidR="00FD1E75" w:rsidRPr="00C903F8">
        <w:rPr>
          <w:rFonts w:eastAsia="Calibri"/>
          <w:noProof/>
          <w:lang w:val="en-US" w:eastAsia="en-US"/>
        </w:rPr>
        <w:t>)</w:t>
      </w:r>
      <w:r w:rsidRPr="00C903F8">
        <w:rPr>
          <w:rFonts w:eastAsia="Calibri"/>
          <w:noProof/>
          <w:lang w:val="en-US" w:eastAsia="en-US"/>
        </w:rPr>
        <w:t>. Accordingly, mathematical proof of sufficient stability shall be determined for the three intermediate stages of flooding (25, 50 and 75 % of flood build-up) and for the final stage of flooding.</w:t>
      </w:r>
    </w:p>
    <w:p w:rsidR="001F199D" w:rsidRPr="00C903F8" w:rsidRDefault="001F199D" w:rsidP="00973DAA">
      <w:pPr>
        <w:pStyle w:val="ESch"/>
        <w:rPr>
          <w:rFonts w:eastAsia="Calibri"/>
          <w:noProof/>
          <w:lang w:val="en-US" w:eastAsia="en-US"/>
        </w:rPr>
      </w:pPr>
    </w:p>
    <w:p w:rsidR="001F199D" w:rsidRPr="00C903F8" w:rsidRDefault="001F199D" w:rsidP="00973DAA">
      <w:pPr>
        <w:pStyle w:val="ESch"/>
        <w:rPr>
          <w:rFonts w:eastAsia="Calibri"/>
          <w:noProof/>
          <w:lang w:val="en-US" w:eastAsia="en-US"/>
        </w:rPr>
      </w:pPr>
      <w:r w:rsidRPr="00C903F8">
        <w:rPr>
          <w:rFonts w:eastAsia="Calibri"/>
          <w:noProof/>
          <w:lang w:val="en-US" w:eastAsia="en-US"/>
        </w:rPr>
        <w:br w:type="page"/>
      </w: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lastRenderedPageBreak/>
        <w:t>9.</w:t>
      </w:r>
      <w:r w:rsidRPr="00C903F8">
        <w:rPr>
          <w:rFonts w:eastAsia="Calibri"/>
          <w:noProof/>
          <w:lang w:val="en-US" w:eastAsia="en-US"/>
        </w:rPr>
        <w:tab/>
        <w:t>Passenger vessels shall comply with the one-compartment status and the two-compartment status.</w:t>
      </w:r>
    </w:p>
    <w:p w:rsidR="001F199D" w:rsidRPr="00C903F8" w:rsidRDefault="001F199D" w:rsidP="00973DAA">
      <w:pPr>
        <w:pStyle w:val="ESch"/>
        <w:rPr>
          <w:rFonts w:eastAsia="Calibri"/>
          <w:noProof/>
          <w:lang w:val="en-US" w:eastAsia="en-US"/>
        </w:rPr>
      </w:pPr>
    </w:p>
    <w:p w:rsidR="00973DAA" w:rsidRPr="00C903F8" w:rsidRDefault="00973DAA" w:rsidP="001F199D">
      <w:pPr>
        <w:pStyle w:val="ESchpar"/>
        <w:rPr>
          <w:rFonts w:eastAsia="Calibri"/>
          <w:noProof/>
          <w:lang w:val="en-US" w:eastAsia="en-US"/>
        </w:rPr>
      </w:pPr>
      <w:r w:rsidRPr="00C903F8">
        <w:rPr>
          <w:rFonts w:eastAsia="Calibri"/>
          <w:noProof/>
          <w:lang w:val="en-US" w:eastAsia="en-US"/>
        </w:rPr>
        <w:t>The following assumptions concerning the extent of damage shall be taken into account in the event of flooding:</w:t>
      </w:r>
    </w:p>
    <w:p w:rsidR="001F199D" w:rsidRPr="00C903F8" w:rsidRDefault="001F199D" w:rsidP="001F199D">
      <w:pPr>
        <w:pStyle w:val="ESchpar"/>
        <w:rPr>
          <w:rFonts w:eastAsia="Calibri"/>
          <w:noProof/>
          <w:lang w:val="en-US" w:eastAsia="en-US"/>
        </w:rPr>
      </w:pPr>
    </w:p>
    <w:tbl>
      <w:tblPr>
        <w:tblW w:w="0" w:type="auto"/>
        <w:tblLayout w:type="fixed"/>
        <w:tblLook w:val="0000" w:firstRow="0" w:lastRow="0" w:firstColumn="0" w:lastColumn="0" w:noHBand="0" w:noVBand="0"/>
      </w:tblPr>
      <w:tblGrid>
        <w:gridCol w:w="2786"/>
        <w:gridCol w:w="3250"/>
        <w:gridCol w:w="3250"/>
      </w:tblGrid>
      <w:tr w:rsidR="001F199D" w:rsidRPr="00C903F8" w:rsidTr="000804D1">
        <w:tc>
          <w:tcPr>
            <w:tcW w:w="2786" w:type="dxa"/>
            <w:tcBorders>
              <w:top w:val="single" w:sz="2" w:space="0" w:color="auto"/>
              <w:left w:val="single" w:sz="2" w:space="0" w:color="auto"/>
              <w:bottom w:val="single" w:sz="2" w:space="0" w:color="auto"/>
              <w:right w:val="single" w:sz="2" w:space="0" w:color="auto"/>
            </w:tcBorders>
          </w:tcPr>
          <w:p w:rsidR="001F199D" w:rsidRPr="00C903F8" w:rsidRDefault="001F199D" w:rsidP="001F199D">
            <w:pPr>
              <w:autoSpaceDE/>
              <w:autoSpaceDN/>
              <w:adjustRightInd w:val="0"/>
              <w:spacing w:before="60" w:after="60" w:line="240" w:lineRule="atLeast"/>
              <w:ind w:left="0" w:firstLine="0"/>
              <w:jc w:val="left"/>
              <w:rPr>
                <w:rFonts w:cs="Arial"/>
                <w:noProof/>
                <w:sz w:val="18"/>
                <w:szCs w:val="18"/>
                <w:lang w:val="en-US" w:eastAsia="en-US"/>
              </w:rPr>
            </w:pPr>
          </w:p>
        </w:tc>
        <w:tc>
          <w:tcPr>
            <w:tcW w:w="3250" w:type="dxa"/>
            <w:tcBorders>
              <w:top w:val="single" w:sz="2" w:space="0" w:color="auto"/>
              <w:left w:val="single" w:sz="2" w:space="0" w:color="auto"/>
              <w:bottom w:val="single" w:sz="2" w:space="0" w:color="auto"/>
              <w:right w:val="single" w:sz="2" w:space="0" w:color="auto"/>
            </w:tcBorders>
          </w:tcPr>
          <w:p w:rsidR="001F199D" w:rsidRPr="00C903F8" w:rsidRDefault="001F199D" w:rsidP="001F199D">
            <w:pPr>
              <w:autoSpaceDE/>
              <w:autoSpaceDN/>
              <w:spacing w:before="60" w:after="60" w:line="240" w:lineRule="atLeast"/>
              <w:ind w:left="0" w:firstLine="0"/>
              <w:jc w:val="center"/>
              <w:rPr>
                <w:rFonts w:cs="Arial"/>
                <w:noProof/>
                <w:sz w:val="18"/>
                <w:szCs w:val="18"/>
                <w:lang w:val="en-GB" w:eastAsia="en-US"/>
              </w:rPr>
            </w:pPr>
            <w:r w:rsidRPr="00C903F8">
              <w:rPr>
                <w:rFonts w:cs="Arial"/>
                <w:noProof/>
                <w:sz w:val="18"/>
                <w:szCs w:val="18"/>
                <w:lang w:val="en-GB" w:eastAsia="en-US"/>
              </w:rPr>
              <w:t>1-compartment status</w:t>
            </w:r>
          </w:p>
        </w:tc>
        <w:tc>
          <w:tcPr>
            <w:tcW w:w="3250" w:type="dxa"/>
            <w:tcBorders>
              <w:top w:val="single" w:sz="2" w:space="0" w:color="auto"/>
              <w:left w:val="single" w:sz="2" w:space="0" w:color="auto"/>
              <w:bottom w:val="single" w:sz="2" w:space="0" w:color="auto"/>
              <w:right w:val="single" w:sz="2" w:space="0" w:color="auto"/>
            </w:tcBorders>
          </w:tcPr>
          <w:p w:rsidR="001F199D" w:rsidRPr="00C903F8" w:rsidRDefault="001F199D" w:rsidP="001F199D">
            <w:pPr>
              <w:autoSpaceDE/>
              <w:autoSpaceDN/>
              <w:spacing w:before="60" w:after="60" w:line="240" w:lineRule="atLeast"/>
              <w:ind w:left="0" w:firstLine="0"/>
              <w:jc w:val="center"/>
              <w:rPr>
                <w:rFonts w:cs="Arial"/>
                <w:noProof/>
                <w:sz w:val="18"/>
                <w:szCs w:val="18"/>
                <w:lang w:val="en-GB" w:eastAsia="en-US"/>
              </w:rPr>
            </w:pPr>
            <w:r w:rsidRPr="00C903F8">
              <w:rPr>
                <w:rFonts w:cs="Arial"/>
                <w:noProof/>
                <w:sz w:val="18"/>
                <w:szCs w:val="18"/>
                <w:lang w:val="en-GB" w:eastAsia="en-US"/>
              </w:rPr>
              <w:t>2-compartment status</w:t>
            </w:r>
          </w:p>
        </w:tc>
      </w:tr>
      <w:tr w:rsidR="001F199D" w:rsidRPr="00505433" w:rsidTr="000804D1">
        <w:tc>
          <w:tcPr>
            <w:tcW w:w="2786" w:type="dxa"/>
            <w:tcBorders>
              <w:top w:val="single" w:sz="2" w:space="0" w:color="auto"/>
              <w:left w:val="single" w:sz="2" w:space="0" w:color="auto"/>
              <w:bottom w:val="single" w:sz="2" w:space="0" w:color="auto"/>
              <w:right w:val="single" w:sz="2" w:space="0" w:color="auto"/>
            </w:tcBorders>
          </w:tcPr>
          <w:p w:rsidR="001F199D" w:rsidRPr="00C903F8" w:rsidRDefault="001F199D" w:rsidP="001F199D">
            <w:pPr>
              <w:autoSpaceDE/>
              <w:autoSpaceDN/>
              <w:spacing w:before="60" w:after="60" w:line="240" w:lineRule="atLeast"/>
              <w:ind w:left="0" w:firstLine="0"/>
              <w:jc w:val="left"/>
              <w:rPr>
                <w:rFonts w:cs="Arial"/>
                <w:noProof/>
                <w:sz w:val="18"/>
                <w:szCs w:val="18"/>
                <w:lang w:val="en-GB" w:eastAsia="en-US"/>
              </w:rPr>
            </w:pPr>
            <w:r w:rsidRPr="00C903F8">
              <w:rPr>
                <w:rFonts w:cs="Arial"/>
                <w:noProof/>
                <w:sz w:val="18"/>
                <w:szCs w:val="18"/>
                <w:lang w:val="en-GB" w:eastAsia="en-US"/>
              </w:rPr>
              <w:t>Dimension of the side damage</w:t>
            </w:r>
          </w:p>
        </w:tc>
        <w:tc>
          <w:tcPr>
            <w:tcW w:w="3250" w:type="dxa"/>
            <w:tcBorders>
              <w:top w:val="single" w:sz="2" w:space="0" w:color="auto"/>
              <w:left w:val="single" w:sz="2" w:space="0" w:color="auto"/>
              <w:bottom w:val="single" w:sz="2" w:space="0" w:color="auto"/>
              <w:right w:val="single" w:sz="2" w:space="0" w:color="auto"/>
            </w:tcBorders>
          </w:tcPr>
          <w:p w:rsidR="001F199D" w:rsidRPr="00C903F8" w:rsidRDefault="001F199D" w:rsidP="001F199D">
            <w:pPr>
              <w:autoSpaceDE/>
              <w:autoSpaceDN/>
              <w:spacing w:before="60" w:after="60" w:line="240" w:lineRule="atLeast"/>
              <w:ind w:left="0" w:firstLine="0"/>
              <w:jc w:val="center"/>
              <w:rPr>
                <w:rFonts w:cs="Arial"/>
                <w:noProof/>
                <w:sz w:val="18"/>
                <w:szCs w:val="18"/>
                <w:lang w:val="en-GB" w:eastAsia="en-US"/>
              </w:rPr>
            </w:pPr>
          </w:p>
        </w:tc>
        <w:tc>
          <w:tcPr>
            <w:tcW w:w="3250" w:type="dxa"/>
            <w:tcBorders>
              <w:top w:val="single" w:sz="2" w:space="0" w:color="auto"/>
              <w:left w:val="single" w:sz="2" w:space="0" w:color="auto"/>
              <w:bottom w:val="single" w:sz="2" w:space="0" w:color="auto"/>
              <w:right w:val="single" w:sz="2" w:space="0" w:color="auto"/>
            </w:tcBorders>
          </w:tcPr>
          <w:p w:rsidR="001F199D" w:rsidRPr="00C903F8" w:rsidRDefault="001F199D" w:rsidP="001F199D">
            <w:pPr>
              <w:autoSpaceDE/>
              <w:autoSpaceDN/>
              <w:spacing w:before="60" w:after="60" w:line="240" w:lineRule="atLeast"/>
              <w:ind w:left="0" w:firstLine="0"/>
              <w:jc w:val="center"/>
              <w:rPr>
                <w:rFonts w:cs="Arial"/>
                <w:noProof/>
                <w:sz w:val="18"/>
                <w:szCs w:val="18"/>
                <w:lang w:val="en-GB" w:eastAsia="en-US"/>
              </w:rPr>
            </w:pPr>
          </w:p>
        </w:tc>
      </w:tr>
      <w:tr w:rsidR="001F199D" w:rsidRPr="00505433" w:rsidTr="000804D1">
        <w:tc>
          <w:tcPr>
            <w:tcW w:w="2786" w:type="dxa"/>
            <w:tcBorders>
              <w:top w:val="single" w:sz="2" w:space="0" w:color="auto"/>
              <w:left w:val="single" w:sz="2" w:space="0" w:color="auto"/>
              <w:bottom w:val="single" w:sz="2" w:space="0" w:color="auto"/>
              <w:right w:val="single" w:sz="2" w:space="0" w:color="auto"/>
            </w:tcBorders>
          </w:tcPr>
          <w:p w:rsidR="001F199D" w:rsidRPr="00C903F8" w:rsidRDefault="001F199D" w:rsidP="00A22998">
            <w:pPr>
              <w:autoSpaceDE/>
              <w:autoSpaceDN/>
              <w:spacing w:before="60" w:after="60" w:line="240" w:lineRule="atLeast"/>
              <w:ind w:left="0" w:firstLine="0"/>
              <w:jc w:val="left"/>
              <w:rPr>
                <w:rFonts w:cs="Arial"/>
                <w:noProof/>
                <w:sz w:val="18"/>
                <w:szCs w:val="18"/>
                <w:lang w:val="en-GB" w:eastAsia="en-US"/>
              </w:rPr>
            </w:pPr>
            <w:r w:rsidRPr="00C903F8">
              <w:rPr>
                <w:rFonts w:cs="Arial"/>
                <w:noProof/>
                <w:sz w:val="18"/>
                <w:szCs w:val="18"/>
                <w:lang w:val="en-GB" w:eastAsia="en-US"/>
              </w:rPr>
              <w:t xml:space="preserve">longitudinal </w:t>
            </w:r>
            <m:oMath>
              <m:r>
                <w:rPr>
                  <w:rFonts w:ascii="Cambria Math" w:hAnsi="Cambria Math" w:cs="Arial"/>
                  <w:noProof/>
                  <w:sz w:val="18"/>
                  <w:szCs w:val="18"/>
                  <w:lang w:val="en-GB" w:eastAsia="en-US"/>
                </w:rPr>
                <m:t xml:space="preserve">l </m:t>
              </m:r>
            </m:oMath>
            <w:r w:rsidRPr="00C903F8">
              <w:rPr>
                <w:rFonts w:cs="Arial"/>
                <w:noProof/>
                <w:sz w:val="18"/>
                <w:szCs w:val="18"/>
                <w:lang w:val="en-GB" w:eastAsia="en-US"/>
              </w:rPr>
              <w:t>[m]</w:t>
            </w:r>
          </w:p>
        </w:tc>
        <w:tc>
          <w:tcPr>
            <w:tcW w:w="3250" w:type="dxa"/>
            <w:tcBorders>
              <w:top w:val="single" w:sz="2" w:space="0" w:color="auto"/>
              <w:left w:val="single" w:sz="2" w:space="0" w:color="auto"/>
              <w:bottom w:val="single" w:sz="2" w:space="0" w:color="auto"/>
              <w:right w:val="single" w:sz="2" w:space="0" w:color="auto"/>
            </w:tcBorders>
          </w:tcPr>
          <w:p w:rsidR="001F199D" w:rsidRPr="00C903F8" w:rsidRDefault="00A22998" w:rsidP="00A22998">
            <w:pPr>
              <w:autoSpaceDE/>
              <w:autoSpaceDN/>
              <w:spacing w:before="60" w:after="60" w:line="240" w:lineRule="atLeast"/>
              <w:ind w:left="0" w:firstLine="0"/>
              <w:jc w:val="left"/>
              <w:rPr>
                <w:rFonts w:cs="Arial"/>
                <w:noProof/>
                <w:sz w:val="18"/>
                <w:szCs w:val="18"/>
                <w:lang w:val="en-GB" w:eastAsia="en-US"/>
              </w:rPr>
            </w:pPr>
            <m:oMath>
              <m:r>
                <w:rPr>
                  <w:rFonts w:ascii="Cambria Math" w:hAnsi="Cambria Math" w:cs="Arial"/>
                  <w:noProof/>
                  <w:sz w:val="18"/>
                  <w:szCs w:val="18"/>
                  <w:lang w:val="en-GB" w:eastAsia="en-US"/>
                </w:rPr>
                <m:t xml:space="preserve">0,10 ∙ </m:t>
              </m:r>
              <m:sSub>
                <m:sSubPr>
                  <m:ctrlPr>
                    <w:rPr>
                      <w:rFonts w:ascii="Cambria Math" w:hAnsi="Cambria Math" w:cs="Arial"/>
                      <w:i/>
                      <w:noProof/>
                      <w:sz w:val="18"/>
                      <w:szCs w:val="18"/>
                      <w:lang w:val="en-GB" w:eastAsia="en-US"/>
                    </w:rPr>
                  </m:ctrlPr>
                </m:sSubPr>
                <m:e>
                  <m:r>
                    <w:rPr>
                      <w:rFonts w:ascii="Cambria Math" w:hAnsi="Cambria Math" w:cs="Arial"/>
                      <w:noProof/>
                      <w:sz w:val="18"/>
                      <w:szCs w:val="18"/>
                      <w:lang w:val="en-GB" w:eastAsia="en-US"/>
                    </w:rPr>
                    <m:t>L</m:t>
                  </m:r>
                </m:e>
                <m:sub>
                  <m:r>
                    <w:rPr>
                      <w:rFonts w:ascii="Cambria Math" w:hAnsi="Cambria Math" w:cs="Arial"/>
                      <w:noProof/>
                      <w:sz w:val="18"/>
                      <w:szCs w:val="18"/>
                      <w:lang w:val="en-GB" w:eastAsia="en-US"/>
                    </w:rPr>
                    <m:t>WL</m:t>
                  </m:r>
                </m:sub>
              </m:sSub>
            </m:oMath>
            <w:r w:rsidR="001F199D" w:rsidRPr="00C903F8">
              <w:rPr>
                <w:rFonts w:cs="Arial"/>
                <w:noProof/>
                <w:sz w:val="18"/>
                <w:szCs w:val="18"/>
                <w:lang w:val="en-GB" w:eastAsia="en-US"/>
              </w:rPr>
              <w:t>, however not less than 4,00 m</w:t>
            </w:r>
          </w:p>
        </w:tc>
        <w:tc>
          <w:tcPr>
            <w:tcW w:w="3250" w:type="dxa"/>
            <w:tcBorders>
              <w:top w:val="single" w:sz="2" w:space="0" w:color="auto"/>
              <w:left w:val="single" w:sz="2" w:space="0" w:color="auto"/>
              <w:bottom w:val="single" w:sz="2" w:space="0" w:color="auto"/>
              <w:right w:val="single" w:sz="2" w:space="0" w:color="auto"/>
            </w:tcBorders>
          </w:tcPr>
          <w:p w:rsidR="001F199D" w:rsidRPr="00C903F8" w:rsidRDefault="00A22998" w:rsidP="00A22998">
            <w:pPr>
              <w:autoSpaceDE/>
              <w:autoSpaceDN/>
              <w:spacing w:before="60" w:after="60" w:line="240" w:lineRule="atLeast"/>
              <w:ind w:left="0" w:firstLine="0"/>
              <w:jc w:val="left"/>
              <w:rPr>
                <w:rFonts w:cs="Arial"/>
                <w:noProof/>
                <w:sz w:val="18"/>
                <w:szCs w:val="18"/>
                <w:lang w:val="en-GB" w:eastAsia="en-US"/>
              </w:rPr>
            </w:pPr>
            <m:oMath>
              <m:r>
                <w:rPr>
                  <w:rFonts w:ascii="Cambria Math" w:hAnsi="Cambria Math" w:cs="Arial"/>
                  <w:noProof/>
                  <w:sz w:val="18"/>
                  <w:szCs w:val="18"/>
                  <w:lang w:val="en-GB" w:eastAsia="en-US"/>
                </w:rPr>
                <m:t xml:space="preserve">0,05 ∙ </m:t>
              </m:r>
              <m:sSub>
                <m:sSubPr>
                  <m:ctrlPr>
                    <w:rPr>
                      <w:rFonts w:ascii="Cambria Math" w:hAnsi="Cambria Math" w:cs="Arial"/>
                      <w:i/>
                      <w:noProof/>
                      <w:sz w:val="18"/>
                      <w:szCs w:val="18"/>
                      <w:lang w:val="en-GB" w:eastAsia="en-US"/>
                    </w:rPr>
                  </m:ctrlPr>
                </m:sSubPr>
                <m:e>
                  <m:r>
                    <w:rPr>
                      <w:rFonts w:ascii="Cambria Math" w:hAnsi="Cambria Math" w:cs="Arial"/>
                      <w:noProof/>
                      <w:sz w:val="18"/>
                      <w:szCs w:val="18"/>
                      <w:lang w:val="en-GB" w:eastAsia="en-US"/>
                    </w:rPr>
                    <m:t>L</m:t>
                  </m:r>
                </m:e>
                <m:sub>
                  <m:r>
                    <w:rPr>
                      <w:rFonts w:ascii="Cambria Math" w:hAnsi="Cambria Math" w:cs="Arial"/>
                      <w:noProof/>
                      <w:sz w:val="18"/>
                      <w:szCs w:val="18"/>
                      <w:lang w:val="en-GB" w:eastAsia="en-US"/>
                    </w:rPr>
                    <m:t>WL</m:t>
                  </m:r>
                </m:sub>
              </m:sSub>
            </m:oMath>
            <w:r w:rsidR="001F199D" w:rsidRPr="00C903F8">
              <w:rPr>
                <w:rFonts w:cs="Arial"/>
                <w:noProof/>
                <w:sz w:val="18"/>
                <w:szCs w:val="18"/>
                <w:lang w:val="en-GB" w:eastAsia="en-US"/>
              </w:rPr>
              <w:t>, however not less than 2,25 m</w:t>
            </w:r>
          </w:p>
        </w:tc>
      </w:tr>
      <w:tr w:rsidR="001F199D" w:rsidRPr="00C903F8" w:rsidTr="000804D1">
        <w:tc>
          <w:tcPr>
            <w:tcW w:w="2786" w:type="dxa"/>
            <w:tcBorders>
              <w:top w:val="single" w:sz="2" w:space="0" w:color="auto"/>
              <w:left w:val="single" w:sz="2" w:space="0" w:color="auto"/>
              <w:bottom w:val="single" w:sz="2" w:space="0" w:color="auto"/>
              <w:right w:val="single" w:sz="2" w:space="0" w:color="auto"/>
            </w:tcBorders>
          </w:tcPr>
          <w:p w:rsidR="001F199D" w:rsidRPr="00C903F8" w:rsidRDefault="001F199D" w:rsidP="00A22998">
            <w:pPr>
              <w:autoSpaceDE/>
              <w:autoSpaceDN/>
              <w:spacing w:before="60" w:after="60" w:line="240" w:lineRule="atLeast"/>
              <w:ind w:left="0" w:firstLine="0"/>
              <w:jc w:val="left"/>
              <w:rPr>
                <w:rFonts w:cs="Arial"/>
                <w:noProof/>
                <w:sz w:val="18"/>
                <w:szCs w:val="18"/>
                <w:lang w:val="de-DE" w:eastAsia="en-US"/>
              </w:rPr>
            </w:pPr>
            <w:r w:rsidRPr="00C903F8">
              <w:rPr>
                <w:rFonts w:cs="Arial"/>
                <w:noProof/>
                <w:sz w:val="18"/>
                <w:szCs w:val="18"/>
                <w:lang w:val="de-DE" w:eastAsia="en-US"/>
              </w:rPr>
              <w:t xml:space="preserve">transverse </w:t>
            </w:r>
            <m:oMath>
              <m:r>
                <w:rPr>
                  <w:rFonts w:ascii="Cambria Math" w:hAnsi="Cambria Math" w:cs="Arial"/>
                  <w:noProof/>
                  <w:sz w:val="18"/>
                  <w:szCs w:val="18"/>
                  <w:lang w:val="en-GB" w:eastAsia="en-US"/>
                </w:rPr>
                <m:t xml:space="preserve">b </m:t>
              </m:r>
            </m:oMath>
            <w:r w:rsidRPr="00C903F8">
              <w:rPr>
                <w:rFonts w:cs="Arial"/>
                <w:noProof/>
                <w:sz w:val="18"/>
                <w:szCs w:val="18"/>
                <w:lang w:val="de-DE" w:eastAsia="en-US"/>
              </w:rPr>
              <w:t>[m]</w:t>
            </w:r>
          </w:p>
        </w:tc>
        <w:tc>
          <w:tcPr>
            <w:tcW w:w="3250" w:type="dxa"/>
            <w:tcBorders>
              <w:top w:val="single" w:sz="2" w:space="0" w:color="auto"/>
              <w:left w:val="single" w:sz="2" w:space="0" w:color="auto"/>
              <w:bottom w:val="single" w:sz="2" w:space="0" w:color="auto"/>
              <w:right w:val="single" w:sz="2" w:space="0" w:color="auto"/>
            </w:tcBorders>
          </w:tcPr>
          <w:p w:rsidR="001F199D" w:rsidRPr="00C903F8" w:rsidRDefault="001F199D" w:rsidP="001F199D">
            <w:pPr>
              <w:autoSpaceDE/>
              <w:autoSpaceDN/>
              <w:spacing w:before="60" w:after="60" w:line="240" w:lineRule="atLeast"/>
              <w:ind w:left="0" w:firstLine="0"/>
              <w:jc w:val="center"/>
              <w:rPr>
                <w:rFonts w:cs="Arial"/>
                <w:noProof/>
                <w:sz w:val="18"/>
                <w:szCs w:val="18"/>
                <w:lang w:val="en-GB" w:eastAsia="en-US"/>
              </w:rPr>
            </w:pPr>
            <w:r w:rsidRPr="00C903F8">
              <w:rPr>
                <w:rFonts w:cs="Arial"/>
                <w:noProof/>
                <w:sz w:val="18"/>
                <w:szCs w:val="18"/>
                <w:lang w:val="en-GB" w:eastAsia="en-US"/>
              </w:rPr>
              <w:t>B/5</w:t>
            </w:r>
          </w:p>
        </w:tc>
        <w:tc>
          <w:tcPr>
            <w:tcW w:w="3250" w:type="dxa"/>
            <w:tcBorders>
              <w:top w:val="single" w:sz="2" w:space="0" w:color="auto"/>
              <w:left w:val="single" w:sz="2" w:space="0" w:color="auto"/>
              <w:bottom w:val="single" w:sz="2" w:space="0" w:color="auto"/>
              <w:right w:val="single" w:sz="2" w:space="0" w:color="auto"/>
            </w:tcBorders>
          </w:tcPr>
          <w:p w:rsidR="001F199D" w:rsidRPr="00C903F8" w:rsidRDefault="001F199D" w:rsidP="001F199D">
            <w:pPr>
              <w:autoSpaceDE/>
              <w:autoSpaceDN/>
              <w:spacing w:before="60" w:after="60" w:line="240" w:lineRule="atLeast"/>
              <w:ind w:left="0" w:firstLine="0"/>
              <w:jc w:val="center"/>
              <w:rPr>
                <w:rFonts w:cs="Arial"/>
                <w:noProof/>
                <w:sz w:val="18"/>
                <w:szCs w:val="18"/>
                <w:lang w:val="en-GB" w:eastAsia="en-US"/>
              </w:rPr>
            </w:pPr>
            <w:r w:rsidRPr="00C903F8">
              <w:rPr>
                <w:rFonts w:cs="Arial"/>
                <w:noProof/>
                <w:sz w:val="18"/>
                <w:szCs w:val="18"/>
                <w:lang w:val="en-GB" w:eastAsia="en-US"/>
              </w:rPr>
              <w:t>0,59</w:t>
            </w:r>
          </w:p>
        </w:tc>
      </w:tr>
      <w:tr w:rsidR="001F199D" w:rsidRPr="00505433" w:rsidTr="000804D1">
        <w:tc>
          <w:tcPr>
            <w:tcW w:w="2786" w:type="dxa"/>
            <w:tcBorders>
              <w:top w:val="single" w:sz="2" w:space="0" w:color="auto"/>
              <w:left w:val="single" w:sz="2" w:space="0" w:color="auto"/>
              <w:bottom w:val="single" w:sz="2" w:space="0" w:color="auto"/>
              <w:right w:val="single" w:sz="2" w:space="0" w:color="auto"/>
            </w:tcBorders>
          </w:tcPr>
          <w:p w:rsidR="001F199D" w:rsidRPr="00C903F8" w:rsidRDefault="001F199D" w:rsidP="00A22998">
            <w:pPr>
              <w:autoSpaceDE/>
              <w:autoSpaceDN/>
              <w:spacing w:before="60" w:after="60" w:line="240" w:lineRule="atLeast"/>
              <w:ind w:left="0" w:firstLine="0"/>
              <w:jc w:val="left"/>
              <w:rPr>
                <w:rFonts w:cs="Arial"/>
                <w:noProof/>
                <w:sz w:val="18"/>
                <w:szCs w:val="18"/>
                <w:lang w:val="en-GB" w:eastAsia="en-US"/>
              </w:rPr>
            </w:pPr>
            <w:r w:rsidRPr="00C903F8">
              <w:rPr>
                <w:rFonts w:cs="Arial"/>
                <w:noProof/>
                <w:sz w:val="18"/>
                <w:szCs w:val="18"/>
                <w:lang w:val="en-GB" w:eastAsia="en-US"/>
              </w:rPr>
              <w:t xml:space="preserve">vertical </w:t>
            </w:r>
            <m:oMath>
              <m:r>
                <w:rPr>
                  <w:rFonts w:ascii="Cambria Math" w:hAnsi="Cambria Math" w:cs="Arial"/>
                  <w:noProof/>
                  <w:sz w:val="18"/>
                  <w:szCs w:val="18"/>
                  <w:lang w:val="en-GB" w:eastAsia="en-US"/>
                </w:rPr>
                <m:t>h</m:t>
              </m:r>
            </m:oMath>
            <w:r w:rsidRPr="00C903F8">
              <w:rPr>
                <w:rFonts w:cs="Arial"/>
                <w:noProof/>
                <w:sz w:val="18"/>
                <w:szCs w:val="18"/>
                <w:lang w:val="en-GB" w:eastAsia="en-US"/>
              </w:rPr>
              <w:t xml:space="preserve"> [m]</w:t>
            </w:r>
          </w:p>
        </w:tc>
        <w:tc>
          <w:tcPr>
            <w:tcW w:w="6500" w:type="dxa"/>
            <w:gridSpan w:val="2"/>
            <w:tcBorders>
              <w:top w:val="single" w:sz="2" w:space="0" w:color="auto"/>
              <w:left w:val="single" w:sz="2" w:space="0" w:color="auto"/>
              <w:bottom w:val="single" w:sz="2" w:space="0" w:color="auto"/>
              <w:right w:val="single" w:sz="2" w:space="0" w:color="auto"/>
            </w:tcBorders>
          </w:tcPr>
          <w:p w:rsidR="001F199D" w:rsidRPr="00C903F8" w:rsidRDefault="001F199D" w:rsidP="001F199D">
            <w:pPr>
              <w:autoSpaceDE/>
              <w:autoSpaceDN/>
              <w:spacing w:before="60" w:after="60" w:line="240" w:lineRule="atLeast"/>
              <w:ind w:left="0" w:firstLine="0"/>
              <w:jc w:val="left"/>
              <w:rPr>
                <w:rFonts w:cs="Arial"/>
                <w:noProof/>
                <w:sz w:val="18"/>
                <w:szCs w:val="18"/>
                <w:lang w:val="en-GB" w:eastAsia="en-US"/>
              </w:rPr>
            </w:pPr>
            <w:r w:rsidRPr="00C903F8">
              <w:rPr>
                <w:rFonts w:cs="Arial"/>
                <w:noProof/>
                <w:sz w:val="18"/>
                <w:szCs w:val="18"/>
                <w:lang w:val="en-GB" w:eastAsia="en-US"/>
              </w:rPr>
              <w:t>from vessel bottom to top without delimitation</w:t>
            </w:r>
          </w:p>
        </w:tc>
      </w:tr>
      <w:tr w:rsidR="001F199D" w:rsidRPr="00505433" w:rsidTr="000804D1">
        <w:tc>
          <w:tcPr>
            <w:tcW w:w="2786" w:type="dxa"/>
            <w:tcBorders>
              <w:top w:val="single" w:sz="2" w:space="0" w:color="auto"/>
              <w:left w:val="single" w:sz="2" w:space="0" w:color="auto"/>
              <w:bottom w:val="single" w:sz="2" w:space="0" w:color="auto"/>
              <w:right w:val="single" w:sz="2" w:space="0" w:color="auto"/>
            </w:tcBorders>
          </w:tcPr>
          <w:p w:rsidR="001F199D" w:rsidRPr="00C903F8" w:rsidRDefault="001F199D" w:rsidP="001F199D">
            <w:pPr>
              <w:autoSpaceDE/>
              <w:autoSpaceDN/>
              <w:spacing w:before="60" w:after="60" w:line="240" w:lineRule="atLeast"/>
              <w:ind w:left="0" w:firstLine="0"/>
              <w:jc w:val="left"/>
              <w:rPr>
                <w:rFonts w:cs="Arial"/>
                <w:noProof/>
                <w:sz w:val="18"/>
                <w:szCs w:val="18"/>
                <w:lang w:val="en-GB" w:eastAsia="en-US"/>
              </w:rPr>
            </w:pPr>
            <w:r w:rsidRPr="00C903F8">
              <w:rPr>
                <w:rFonts w:cs="Arial"/>
                <w:noProof/>
                <w:sz w:val="18"/>
                <w:szCs w:val="18"/>
                <w:lang w:val="en-GB" w:eastAsia="en-US"/>
              </w:rPr>
              <w:t>Dimension of the bottom damage</w:t>
            </w:r>
          </w:p>
        </w:tc>
        <w:tc>
          <w:tcPr>
            <w:tcW w:w="3250" w:type="dxa"/>
            <w:tcBorders>
              <w:top w:val="single" w:sz="2" w:space="0" w:color="auto"/>
              <w:left w:val="single" w:sz="2" w:space="0" w:color="auto"/>
              <w:bottom w:val="single" w:sz="2" w:space="0" w:color="auto"/>
              <w:right w:val="single" w:sz="2" w:space="0" w:color="auto"/>
            </w:tcBorders>
          </w:tcPr>
          <w:p w:rsidR="001F199D" w:rsidRPr="00C903F8" w:rsidRDefault="001F199D" w:rsidP="001F199D">
            <w:pPr>
              <w:autoSpaceDE/>
              <w:autoSpaceDN/>
              <w:spacing w:before="60" w:after="60" w:line="240" w:lineRule="atLeast"/>
              <w:ind w:left="0" w:firstLine="0"/>
              <w:jc w:val="center"/>
              <w:rPr>
                <w:rFonts w:cs="Arial"/>
                <w:noProof/>
                <w:sz w:val="18"/>
                <w:szCs w:val="18"/>
                <w:lang w:val="en-GB" w:eastAsia="en-US"/>
              </w:rPr>
            </w:pPr>
          </w:p>
        </w:tc>
        <w:tc>
          <w:tcPr>
            <w:tcW w:w="3250" w:type="dxa"/>
            <w:tcBorders>
              <w:top w:val="single" w:sz="2" w:space="0" w:color="auto"/>
              <w:left w:val="single" w:sz="2" w:space="0" w:color="auto"/>
              <w:bottom w:val="single" w:sz="2" w:space="0" w:color="auto"/>
              <w:right w:val="single" w:sz="2" w:space="0" w:color="auto"/>
            </w:tcBorders>
          </w:tcPr>
          <w:p w:rsidR="001F199D" w:rsidRPr="00C903F8" w:rsidRDefault="001F199D" w:rsidP="001F199D">
            <w:pPr>
              <w:autoSpaceDE/>
              <w:autoSpaceDN/>
              <w:spacing w:before="60" w:after="60" w:line="240" w:lineRule="atLeast"/>
              <w:ind w:left="0" w:firstLine="0"/>
              <w:jc w:val="center"/>
              <w:rPr>
                <w:rFonts w:cs="Arial"/>
                <w:noProof/>
                <w:sz w:val="18"/>
                <w:szCs w:val="18"/>
                <w:lang w:val="en-GB" w:eastAsia="en-US"/>
              </w:rPr>
            </w:pPr>
          </w:p>
        </w:tc>
      </w:tr>
      <w:tr w:rsidR="001F199D" w:rsidRPr="00505433" w:rsidTr="000804D1">
        <w:tc>
          <w:tcPr>
            <w:tcW w:w="2786" w:type="dxa"/>
            <w:tcBorders>
              <w:top w:val="single" w:sz="2" w:space="0" w:color="auto"/>
              <w:left w:val="single" w:sz="2" w:space="0" w:color="auto"/>
              <w:bottom w:val="single" w:sz="2" w:space="0" w:color="auto"/>
              <w:right w:val="single" w:sz="2" w:space="0" w:color="auto"/>
            </w:tcBorders>
          </w:tcPr>
          <w:p w:rsidR="001F199D" w:rsidRPr="00C903F8" w:rsidRDefault="001F199D" w:rsidP="00A22998">
            <w:pPr>
              <w:autoSpaceDE/>
              <w:autoSpaceDN/>
              <w:spacing w:before="60" w:after="60" w:line="240" w:lineRule="atLeast"/>
              <w:ind w:left="0" w:firstLine="0"/>
              <w:jc w:val="left"/>
              <w:rPr>
                <w:rFonts w:cs="Arial"/>
                <w:noProof/>
                <w:sz w:val="18"/>
                <w:szCs w:val="18"/>
                <w:lang w:val="en-GB" w:eastAsia="en-US"/>
              </w:rPr>
            </w:pPr>
            <w:r w:rsidRPr="00C903F8">
              <w:rPr>
                <w:rFonts w:cs="Arial"/>
                <w:noProof/>
                <w:sz w:val="18"/>
                <w:szCs w:val="18"/>
                <w:lang w:val="en-GB" w:eastAsia="en-US"/>
              </w:rPr>
              <w:t xml:space="preserve">longitudinal </w:t>
            </w:r>
            <m:oMath>
              <m:r>
                <w:rPr>
                  <w:rFonts w:ascii="Cambria Math" w:hAnsi="Cambria Math" w:cs="Arial"/>
                  <w:noProof/>
                  <w:sz w:val="18"/>
                  <w:szCs w:val="18"/>
                  <w:lang w:val="en-GB" w:eastAsia="en-US"/>
                </w:rPr>
                <m:t>l</m:t>
              </m:r>
            </m:oMath>
            <w:r w:rsidRPr="00C903F8">
              <w:rPr>
                <w:rFonts w:cs="Arial"/>
                <w:noProof/>
                <w:sz w:val="18"/>
                <w:szCs w:val="18"/>
                <w:lang w:val="en-GB" w:eastAsia="en-US"/>
              </w:rPr>
              <w:t xml:space="preserve"> [m]</w:t>
            </w:r>
          </w:p>
        </w:tc>
        <w:tc>
          <w:tcPr>
            <w:tcW w:w="3250" w:type="dxa"/>
            <w:tcBorders>
              <w:top w:val="single" w:sz="2" w:space="0" w:color="auto"/>
              <w:left w:val="single" w:sz="2" w:space="0" w:color="auto"/>
              <w:bottom w:val="single" w:sz="2" w:space="0" w:color="auto"/>
              <w:right w:val="single" w:sz="2" w:space="0" w:color="auto"/>
            </w:tcBorders>
          </w:tcPr>
          <w:p w:rsidR="001F199D" w:rsidRPr="00C903F8" w:rsidRDefault="00A22998" w:rsidP="001F199D">
            <w:pPr>
              <w:autoSpaceDE/>
              <w:autoSpaceDN/>
              <w:spacing w:before="60" w:after="60" w:line="240" w:lineRule="atLeast"/>
              <w:ind w:left="0" w:firstLine="0"/>
              <w:jc w:val="left"/>
              <w:rPr>
                <w:rFonts w:cs="Arial"/>
                <w:noProof/>
                <w:sz w:val="18"/>
                <w:szCs w:val="18"/>
                <w:lang w:val="en-GB" w:eastAsia="en-US"/>
              </w:rPr>
            </w:pPr>
            <m:oMath>
              <m:r>
                <w:rPr>
                  <w:rFonts w:ascii="Cambria Math" w:hAnsi="Cambria Math" w:cs="Arial"/>
                  <w:noProof/>
                  <w:sz w:val="18"/>
                  <w:szCs w:val="18"/>
                  <w:lang w:val="en-GB" w:eastAsia="en-US"/>
                </w:rPr>
                <m:t xml:space="preserve">0,10 ∙ </m:t>
              </m:r>
              <m:sSub>
                <m:sSubPr>
                  <m:ctrlPr>
                    <w:rPr>
                      <w:rFonts w:ascii="Cambria Math" w:hAnsi="Cambria Math" w:cs="Arial"/>
                      <w:i/>
                      <w:noProof/>
                      <w:sz w:val="18"/>
                      <w:szCs w:val="18"/>
                      <w:lang w:val="en-GB" w:eastAsia="en-US"/>
                    </w:rPr>
                  </m:ctrlPr>
                </m:sSubPr>
                <m:e>
                  <m:r>
                    <w:rPr>
                      <w:rFonts w:ascii="Cambria Math" w:hAnsi="Cambria Math" w:cs="Arial"/>
                      <w:noProof/>
                      <w:sz w:val="18"/>
                      <w:szCs w:val="18"/>
                      <w:lang w:val="en-GB" w:eastAsia="en-US"/>
                    </w:rPr>
                    <m:t>L</m:t>
                  </m:r>
                </m:e>
                <m:sub>
                  <m:r>
                    <w:rPr>
                      <w:rFonts w:ascii="Cambria Math" w:hAnsi="Cambria Math" w:cs="Arial"/>
                      <w:noProof/>
                      <w:sz w:val="18"/>
                      <w:szCs w:val="18"/>
                      <w:lang w:val="en-GB" w:eastAsia="en-US"/>
                    </w:rPr>
                    <m:t>WL</m:t>
                  </m:r>
                </m:sub>
              </m:sSub>
            </m:oMath>
            <w:r w:rsidR="001F199D" w:rsidRPr="00C903F8">
              <w:rPr>
                <w:rFonts w:cs="Arial"/>
                <w:noProof/>
                <w:sz w:val="18"/>
                <w:szCs w:val="18"/>
                <w:lang w:val="en-GB" w:eastAsia="en-US"/>
              </w:rPr>
              <w:t>, however not less than 4,00 m</w:t>
            </w:r>
          </w:p>
        </w:tc>
        <w:tc>
          <w:tcPr>
            <w:tcW w:w="3250" w:type="dxa"/>
            <w:tcBorders>
              <w:top w:val="single" w:sz="2" w:space="0" w:color="auto"/>
              <w:left w:val="single" w:sz="2" w:space="0" w:color="auto"/>
              <w:bottom w:val="single" w:sz="2" w:space="0" w:color="auto"/>
              <w:right w:val="single" w:sz="2" w:space="0" w:color="auto"/>
            </w:tcBorders>
          </w:tcPr>
          <w:p w:rsidR="001F199D" w:rsidRPr="00C903F8" w:rsidRDefault="00A22998" w:rsidP="001F199D">
            <w:pPr>
              <w:autoSpaceDE/>
              <w:autoSpaceDN/>
              <w:spacing w:before="60" w:after="60" w:line="240" w:lineRule="atLeast"/>
              <w:ind w:left="0" w:firstLine="0"/>
              <w:jc w:val="left"/>
              <w:rPr>
                <w:rFonts w:cs="Arial"/>
                <w:noProof/>
                <w:sz w:val="18"/>
                <w:szCs w:val="18"/>
                <w:lang w:val="en-GB" w:eastAsia="en-US"/>
              </w:rPr>
            </w:pPr>
            <m:oMath>
              <m:r>
                <w:rPr>
                  <w:rFonts w:ascii="Cambria Math" w:hAnsi="Cambria Math" w:cs="Arial"/>
                  <w:noProof/>
                  <w:sz w:val="18"/>
                  <w:szCs w:val="18"/>
                  <w:lang w:val="en-GB" w:eastAsia="en-US"/>
                </w:rPr>
                <m:t xml:space="preserve">0,05 ∙ </m:t>
              </m:r>
              <m:sSub>
                <m:sSubPr>
                  <m:ctrlPr>
                    <w:rPr>
                      <w:rFonts w:ascii="Cambria Math" w:hAnsi="Cambria Math" w:cs="Arial"/>
                      <w:i/>
                      <w:noProof/>
                      <w:sz w:val="18"/>
                      <w:szCs w:val="18"/>
                      <w:lang w:val="en-GB" w:eastAsia="en-US"/>
                    </w:rPr>
                  </m:ctrlPr>
                </m:sSubPr>
                <m:e>
                  <m:r>
                    <w:rPr>
                      <w:rFonts w:ascii="Cambria Math" w:hAnsi="Cambria Math" w:cs="Arial"/>
                      <w:noProof/>
                      <w:sz w:val="18"/>
                      <w:szCs w:val="18"/>
                      <w:lang w:val="en-GB" w:eastAsia="en-US"/>
                    </w:rPr>
                    <m:t>L</m:t>
                  </m:r>
                </m:e>
                <m:sub>
                  <m:r>
                    <w:rPr>
                      <w:rFonts w:ascii="Cambria Math" w:hAnsi="Cambria Math" w:cs="Arial"/>
                      <w:noProof/>
                      <w:sz w:val="18"/>
                      <w:szCs w:val="18"/>
                      <w:lang w:val="en-GB" w:eastAsia="en-US"/>
                    </w:rPr>
                    <m:t>WL</m:t>
                  </m:r>
                </m:sub>
              </m:sSub>
            </m:oMath>
            <w:r w:rsidR="001F199D" w:rsidRPr="00C903F8">
              <w:rPr>
                <w:rFonts w:cs="Arial"/>
                <w:noProof/>
                <w:sz w:val="18"/>
                <w:szCs w:val="18"/>
                <w:lang w:val="en-GB" w:eastAsia="en-US"/>
              </w:rPr>
              <w:t>, however not less than 2,25 m</w:t>
            </w:r>
          </w:p>
        </w:tc>
      </w:tr>
      <w:tr w:rsidR="001F199D" w:rsidRPr="00C903F8" w:rsidTr="000804D1">
        <w:tc>
          <w:tcPr>
            <w:tcW w:w="2786" w:type="dxa"/>
            <w:tcBorders>
              <w:top w:val="single" w:sz="2" w:space="0" w:color="auto"/>
              <w:left w:val="single" w:sz="2" w:space="0" w:color="auto"/>
              <w:bottom w:val="single" w:sz="2" w:space="0" w:color="auto"/>
              <w:right w:val="single" w:sz="2" w:space="0" w:color="auto"/>
            </w:tcBorders>
          </w:tcPr>
          <w:p w:rsidR="001F199D" w:rsidRPr="00C903F8" w:rsidRDefault="001F199D" w:rsidP="001F199D">
            <w:pPr>
              <w:autoSpaceDE/>
              <w:autoSpaceDN/>
              <w:spacing w:before="60" w:after="60" w:line="240" w:lineRule="atLeast"/>
              <w:ind w:left="0" w:firstLine="0"/>
              <w:jc w:val="left"/>
              <w:rPr>
                <w:rFonts w:cs="Arial"/>
                <w:noProof/>
                <w:sz w:val="18"/>
                <w:szCs w:val="18"/>
                <w:lang w:val="en-GB" w:eastAsia="en-US"/>
              </w:rPr>
            </w:pPr>
            <w:r w:rsidRPr="00C903F8">
              <w:rPr>
                <w:rFonts w:cs="Arial"/>
                <w:noProof/>
                <w:sz w:val="18"/>
                <w:szCs w:val="18"/>
                <w:lang w:val="en-GB" w:eastAsia="en-US"/>
              </w:rPr>
              <w:t xml:space="preserve">transverse </w:t>
            </w:r>
            <m:oMath>
              <m:r>
                <w:rPr>
                  <w:rFonts w:ascii="Cambria Math" w:hAnsi="Cambria Math" w:cs="Arial"/>
                  <w:noProof/>
                  <w:sz w:val="18"/>
                  <w:szCs w:val="18"/>
                  <w:lang w:val="en-GB" w:eastAsia="en-US"/>
                </w:rPr>
                <m:t>b</m:t>
              </m:r>
            </m:oMath>
            <w:r w:rsidRPr="00C903F8">
              <w:rPr>
                <w:rFonts w:cs="Arial"/>
                <w:noProof/>
                <w:sz w:val="18"/>
                <w:szCs w:val="18"/>
                <w:lang w:val="en-GB" w:eastAsia="en-US"/>
              </w:rPr>
              <w:t xml:space="preserve"> [m]</w:t>
            </w:r>
          </w:p>
        </w:tc>
        <w:tc>
          <w:tcPr>
            <w:tcW w:w="6500" w:type="dxa"/>
            <w:gridSpan w:val="2"/>
            <w:tcBorders>
              <w:top w:val="single" w:sz="2" w:space="0" w:color="auto"/>
              <w:left w:val="single" w:sz="2" w:space="0" w:color="auto"/>
              <w:bottom w:val="single" w:sz="2" w:space="0" w:color="auto"/>
              <w:right w:val="single" w:sz="2" w:space="0" w:color="auto"/>
            </w:tcBorders>
          </w:tcPr>
          <w:p w:rsidR="001F199D" w:rsidRPr="00C903F8" w:rsidRDefault="001F199D" w:rsidP="001F199D">
            <w:pPr>
              <w:autoSpaceDE/>
              <w:autoSpaceDN/>
              <w:spacing w:before="60" w:after="60" w:line="240" w:lineRule="atLeast"/>
              <w:ind w:left="0" w:firstLine="0"/>
              <w:jc w:val="center"/>
              <w:rPr>
                <w:rFonts w:cs="Arial"/>
                <w:noProof/>
                <w:sz w:val="18"/>
                <w:szCs w:val="18"/>
                <w:lang w:val="en-GB" w:eastAsia="en-US"/>
              </w:rPr>
            </w:pPr>
            <w:r w:rsidRPr="00C903F8">
              <w:rPr>
                <w:rFonts w:cs="Arial"/>
                <w:noProof/>
                <w:sz w:val="18"/>
                <w:szCs w:val="18"/>
                <w:lang w:val="en-GB" w:eastAsia="en-US"/>
              </w:rPr>
              <w:t>B/5</w:t>
            </w:r>
          </w:p>
        </w:tc>
      </w:tr>
      <w:tr w:rsidR="001F199D" w:rsidRPr="00505433" w:rsidTr="000804D1">
        <w:tc>
          <w:tcPr>
            <w:tcW w:w="2786" w:type="dxa"/>
            <w:tcBorders>
              <w:top w:val="single" w:sz="2" w:space="0" w:color="auto"/>
              <w:left w:val="single" w:sz="2" w:space="0" w:color="auto"/>
              <w:bottom w:val="single" w:sz="2" w:space="0" w:color="auto"/>
              <w:right w:val="single" w:sz="2" w:space="0" w:color="auto"/>
            </w:tcBorders>
          </w:tcPr>
          <w:p w:rsidR="001F199D" w:rsidRPr="00C903F8" w:rsidRDefault="001F199D" w:rsidP="001F199D">
            <w:pPr>
              <w:autoSpaceDE/>
              <w:autoSpaceDN/>
              <w:spacing w:before="60" w:after="60" w:line="240" w:lineRule="atLeast"/>
              <w:ind w:left="0" w:firstLine="0"/>
              <w:jc w:val="left"/>
              <w:rPr>
                <w:rFonts w:cs="Arial"/>
                <w:noProof/>
                <w:sz w:val="18"/>
                <w:szCs w:val="18"/>
                <w:lang w:val="en-GB" w:eastAsia="en-US"/>
              </w:rPr>
            </w:pPr>
            <w:r w:rsidRPr="00C903F8">
              <w:rPr>
                <w:rFonts w:cs="Arial"/>
                <w:noProof/>
                <w:sz w:val="18"/>
                <w:szCs w:val="18"/>
                <w:lang w:val="en-GB" w:eastAsia="en-US"/>
              </w:rPr>
              <w:t xml:space="preserve">vertical </w:t>
            </w:r>
            <m:oMath>
              <m:r>
                <w:rPr>
                  <w:rFonts w:ascii="Cambria Math" w:hAnsi="Cambria Math" w:cs="Arial"/>
                  <w:noProof/>
                  <w:sz w:val="18"/>
                  <w:szCs w:val="18"/>
                  <w:lang w:val="en-GB" w:eastAsia="en-US"/>
                </w:rPr>
                <m:t>h</m:t>
              </m:r>
            </m:oMath>
            <w:r w:rsidRPr="00C903F8">
              <w:rPr>
                <w:rFonts w:cs="Arial"/>
                <w:noProof/>
                <w:sz w:val="18"/>
                <w:szCs w:val="18"/>
                <w:lang w:val="en-GB" w:eastAsia="en-US"/>
              </w:rPr>
              <w:t xml:space="preserve"> [m]</w:t>
            </w:r>
          </w:p>
        </w:tc>
        <w:tc>
          <w:tcPr>
            <w:tcW w:w="6500" w:type="dxa"/>
            <w:gridSpan w:val="2"/>
            <w:tcBorders>
              <w:top w:val="single" w:sz="2" w:space="0" w:color="auto"/>
              <w:left w:val="single" w:sz="2" w:space="0" w:color="auto"/>
              <w:bottom w:val="single" w:sz="2" w:space="0" w:color="auto"/>
              <w:right w:val="single" w:sz="2" w:space="0" w:color="auto"/>
            </w:tcBorders>
          </w:tcPr>
          <w:p w:rsidR="001F199D" w:rsidRPr="00C903F8" w:rsidRDefault="001F199D" w:rsidP="00D639C2">
            <w:pPr>
              <w:autoSpaceDE/>
              <w:autoSpaceDN/>
              <w:spacing w:before="60" w:after="60" w:line="240" w:lineRule="atLeast"/>
              <w:ind w:left="0" w:firstLine="0"/>
              <w:jc w:val="left"/>
              <w:rPr>
                <w:rFonts w:cs="Arial"/>
                <w:noProof/>
                <w:sz w:val="18"/>
                <w:szCs w:val="18"/>
                <w:lang w:val="en-GB" w:eastAsia="en-US"/>
              </w:rPr>
            </w:pPr>
            <w:r w:rsidRPr="00C903F8">
              <w:rPr>
                <w:rFonts w:cs="Arial"/>
                <w:noProof/>
                <w:sz w:val="18"/>
                <w:szCs w:val="18"/>
                <w:lang w:val="en-GB" w:eastAsia="en-US"/>
              </w:rPr>
              <w:t>0,59; pipework installed according to Article 1</w:t>
            </w:r>
            <w:r w:rsidR="00D639C2" w:rsidRPr="00C903F8">
              <w:rPr>
                <w:rFonts w:cs="Arial"/>
                <w:noProof/>
                <w:sz w:val="18"/>
                <w:szCs w:val="18"/>
                <w:lang w:val="en-GB" w:eastAsia="en-US"/>
              </w:rPr>
              <w:t>9</w:t>
            </w:r>
            <w:r w:rsidRPr="00C903F8">
              <w:rPr>
                <w:rFonts w:cs="Arial"/>
                <w:noProof/>
                <w:sz w:val="18"/>
                <w:szCs w:val="18"/>
                <w:lang w:val="en-GB" w:eastAsia="en-US"/>
              </w:rPr>
              <w:t>.02(13)(c), shall be deemed intact</w:t>
            </w:r>
          </w:p>
        </w:tc>
      </w:tr>
    </w:tbl>
    <w:p w:rsidR="001F199D" w:rsidRPr="00C903F8" w:rsidRDefault="001F199D" w:rsidP="001F199D">
      <w:pPr>
        <w:pStyle w:val="ESchpar"/>
        <w:rPr>
          <w:rFonts w:eastAsia="Calibri"/>
          <w:noProof/>
          <w:lang w:val="en-GB" w:eastAsia="en-US"/>
        </w:rPr>
      </w:pPr>
    </w:p>
    <w:p w:rsidR="00973DAA" w:rsidRPr="00C903F8" w:rsidRDefault="005C7859" w:rsidP="001F199D">
      <w:pPr>
        <w:pStyle w:val="ESlet"/>
        <w:rPr>
          <w:rFonts w:eastAsia="Calibri" w:cs="Arial"/>
          <w:szCs w:val="18"/>
          <w:lang w:val="en-US" w:eastAsia="en-US"/>
        </w:rPr>
      </w:pPr>
      <w:r w:rsidRPr="00C903F8">
        <w:rPr>
          <w:rFonts w:eastAsia="Calibri"/>
          <w:noProof/>
          <w:lang w:val="en-US" w:eastAsia="en-GB"/>
        </w:rPr>
        <w:t>a)</w:t>
      </w:r>
      <w:r w:rsidR="00973DAA" w:rsidRPr="00C903F8">
        <w:rPr>
          <w:rFonts w:eastAsia="Calibri"/>
          <w:noProof/>
          <w:lang w:val="en-US" w:eastAsia="en-GB"/>
        </w:rPr>
        <w:tab/>
        <w:t xml:space="preserve">For </w:t>
      </w:r>
      <w:r w:rsidR="007331B9" w:rsidRPr="00C903F8">
        <w:rPr>
          <w:rFonts w:eastAsia="Calibri"/>
          <w:noProof/>
          <w:lang w:val="en-US" w:eastAsia="en-GB"/>
        </w:rPr>
        <w:t>1</w:t>
      </w:r>
      <w:r w:rsidR="00973DAA" w:rsidRPr="00C903F8">
        <w:rPr>
          <w:rFonts w:eastAsia="Calibri"/>
          <w:noProof/>
          <w:lang w:val="en-US" w:eastAsia="en-GB"/>
        </w:rPr>
        <w:t xml:space="preserve">-compartment status the bulkheads can be assumed to be intact if the distance between two adjacent bulkheads is greater than the damage length. Longitudinal bulkheads at a distance of less than B/3 to the hull, measured perpendicular to the centre line from the shell plating at the maximum draft shall not be taken </w:t>
      </w:r>
      <w:r w:rsidR="00973DAA" w:rsidRPr="00C903F8">
        <w:rPr>
          <w:rFonts w:eastAsia="Calibri"/>
          <w:noProof/>
          <w:lang w:val="en-US" w:eastAsia="en-US"/>
        </w:rPr>
        <w:t>into</w:t>
      </w:r>
      <w:r w:rsidR="00973DAA" w:rsidRPr="00C903F8">
        <w:rPr>
          <w:rFonts w:eastAsia="Calibri"/>
          <w:noProof/>
          <w:lang w:val="en-US" w:eastAsia="en-GB"/>
        </w:rPr>
        <w:t xml:space="preserve"> account for calculation purposes. A </w:t>
      </w:r>
      <w:r w:rsidR="00973DAA" w:rsidRPr="00C903F8">
        <w:rPr>
          <w:rFonts w:eastAsia="Calibri"/>
          <w:noProof/>
          <w:lang w:val="en-US" w:eastAsia="en-US"/>
        </w:rPr>
        <w:t xml:space="preserve">bulkhead recess </w:t>
      </w:r>
      <w:r w:rsidR="00973DAA" w:rsidRPr="00C903F8">
        <w:rPr>
          <w:rFonts w:eastAsia="Calibri"/>
          <w:noProof/>
          <w:lang w:val="en-US" w:eastAsia="en-GB"/>
        </w:rPr>
        <w:t>in a transverse bulkhead that is longer than 2,50</w:t>
      </w:r>
      <w:r w:rsidR="001F199D" w:rsidRPr="00C903F8">
        <w:rPr>
          <w:rFonts w:eastAsia="Calibri"/>
          <w:noProof/>
          <w:lang w:val="en-US" w:eastAsia="en-GB"/>
        </w:rPr>
        <w:t> </w:t>
      </w:r>
      <w:r w:rsidR="00973DAA" w:rsidRPr="00C903F8">
        <w:rPr>
          <w:rFonts w:eastAsia="Calibri"/>
          <w:noProof/>
          <w:lang w:val="en-US" w:eastAsia="en-GB"/>
        </w:rPr>
        <w:t>m, is considered a longitudinal bulkhead</w:t>
      </w:r>
      <w:r w:rsidR="00973DAA" w:rsidRPr="00C903F8">
        <w:rPr>
          <w:rFonts w:eastAsia="Calibri" w:cs="Arial"/>
          <w:noProof/>
          <w:szCs w:val="18"/>
          <w:lang w:val="en-US" w:eastAsia="en-GB"/>
        </w:rPr>
        <w:t>.</w:t>
      </w:r>
    </w:p>
    <w:p w:rsidR="00973DAA" w:rsidRPr="00C903F8" w:rsidRDefault="005C7859" w:rsidP="001F199D">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 xml:space="preserve">For </w:t>
      </w:r>
      <w:r w:rsidR="007331B9" w:rsidRPr="00C903F8">
        <w:rPr>
          <w:rFonts w:eastAsia="Calibri"/>
          <w:noProof/>
          <w:lang w:val="en-US" w:eastAsia="en-US"/>
        </w:rPr>
        <w:t>2</w:t>
      </w:r>
      <w:r w:rsidR="00973DAA" w:rsidRPr="00C903F8">
        <w:rPr>
          <w:rFonts w:eastAsia="Calibri"/>
          <w:noProof/>
          <w:lang w:val="en-US" w:eastAsia="en-US"/>
        </w:rPr>
        <w:t>-compartment status each bulkhead within the extent of damage will be assumed to be damaged. This means that the position of the bulkheads shall be selected in such a way as to ensure that the passenger vessel remains buoyant after flooding of two or more adjacent compartments in the longitudinal direction.</w:t>
      </w:r>
    </w:p>
    <w:p w:rsidR="00973DAA" w:rsidRPr="00C903F8" w:rsidRDefault="005C7859" w:rsidP="001F199D">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The lowest point of every non-watertight opening (e.g. doors, windows, access hatchways) shall lie at least 0,10 m above the damaged waterline. The bulkhead deck shall not be immersed in the final stage of flooding.</w:t>
      </w:r>
    </w:p>
    <w:p w:rsidR="00973DAA" w:rsidRPr="00C903F8" w:rsidRDefault="005C7859" w:rsidP="001F199D">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t>Permeability is assumed to be 95 %. If it is proven by a calculation that the average permeability of any compartment is less than 95 %, the calculated value can be used instead.</w:t>
      </w:r>
    </w:p>
    <w:p w:rsidR="00973DAA" w:rsidRPr="00C903F8" w:rsidRDefault="00973DAA" w:rsidP="00324388">
      <w:pPr>
        <w:pStyle w:val="ESletpar"/>
        <w:rPr>
          <w:rFonts w:eastAsia="Calibri"/>
          <w:noProof/>
          <w:lang w:val="en-US"/>
        </w:rPr>
      </w:pPr>
      <w:r w:rsidRPr="00C903F8">
        <w:rPr>
          <w:rFonts w:eastAsia="Calibri"/>
          <w:noProof/>
          <w:lang w:val="en-US"/>
        </w:rPr>
        <w:t>The values to be adopted shall not be less than:</w:t>
      </w:r>
    </w:p>
    <w:tbl>
      <w:tblPr>
        <w:tblW w:w="8392"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1"/>
        <w:gridCol w:w="1531"/>
      </w:tblGrid>
      <w:tr w:rsidR="00324388" w:rsidRPr="00C903F8" w:rsidTr="00B0682F">
        <w:tc>
          <w:tcPr>
            <w:tcW w:w="6861" w:type="dxa"/>
            <w:shd w:val="clear" w:color="auto" w:fill="auto"/>
            <w:vAlign w:val="center"/>
          </w:tcPr>
          <w:p w:rsidR="00324388" w:rsidRPr="00C903F8" w:rsidRDefault="00324388" w:rsidP="000804D1">
            <w:pPr>
              <w:pStyle w:val="ESlet"/>
              <w:ind w:left="0" w:firstLine="0"/>
            </w:pPr>
            <w:r w:rsidRPr="00C903F8">
              <w:rPr>
                <w:rFonts w:eastAsia="Calibri" w:cs="Arial"/>
                <w:noProof/>
                <w:szCs w:val="18"/>
                <w:lang w:val="en-US" w:eastAsia="en-US"/>
              </w:rPr>
              <w:t>Lounges</w:t>
            </w:r>
          </w:p>
        </w:tc>
        <w:tc>
          <w:tcPr>
            <w:tcW w:w="1531" w:type="dxa"/>
            <w:shd w:val="clear" w:color="auto" w:fill="auto"/>
            <w:vAlign w:val="center"/>
          </w:tcPr>
          <w:p w:rsidR="00324388" w:rsidRPr="00C903F8" w:rsidRDefault="00324388" w:rsidP="00140690">
            <w:pPr>
              <w:pStyle w:val="ESlet"/>
              <w:ind w:left="0" w:firstLine="0"/>
              <w:jc w:val="center"/>
            </w:pPr>
            <w:r w:rsidRPr="00C903F8">
              <w:t>95 %</w:t>
            </w:r>
          </w:p>
        </w:tc>
      </w:tr>
      <w:tr w:rsidR="00324388" w:rsidRPr="00C903F8" w:rsidTr="00B0682F">
        <w:tc>
          <w:tcPr>
            <w:tcW w:w="6861" w:type="dxa"/>
            <w:shd w:val="clear" w:color="auto" w:fill="auto"/>
            <w:vAlign w:val="center"/>
          </w:tcPr>
          <w:p w:rsidR="00324388" w:rsidRPr="00C903F8" w:rsidRDefault="00324388" w:rsidP="000804D1">
            <w:pPr>
              <w:pStyle w:val="ESlet"/>
              <w:ind w:left="0" w:firstLine="0"/>
            </w:pPr>
            <w:r w:rsidRPr="00C903F8">
              <w:rPr>
                <w:rFonts w:eastAsia="Calibri" w:cs="Arial"/>
                <w:noProof/>
                <w:szCs w:val="18"/>
                <w:lang w:val="en-US" w:eastAsia="en-US"/>
              </w:rPr>
              <w:t>Engine and boiler rooms</w:t>
            </w:r>
          </w:p>
        </w:tc>
        <w:tc>
          <w:tcPr>
            <w:tcW w:w="1531" w:type="dxa"/>
            <w:shd w:val="clear" w:color="auto" w:fill="auto"/>
            <w:vAlign w:val="center"/>
          </w:tcPr>
          <w:p w:rsidR="00324388" w:rsidRPr="00C903F8" w:rsidRDefault="00324388" w:rsidP="00140690">
            <w:pPr>
              <w:pStyle w:val="ESlet"/>
              <w:ind w:left="0" w:firstLine="0"/>
              <w:jc w:val="center"/>
            </w:pPr>
            <w:r w:rsidRPr="00C903F8">
              <w:t>85 %</w:t>
            </w:r>
          </w:p>
        </w:tc>
      </w:tr>
      <w:tr w:rsidR="00324388" w:rsidRPr="00C903F8" w:rsidTr="00B0682F">
        <w:tc>
          <w:tcPr>
            <w:tcW w:w="6861" w:type="dxa"/>
            <w:shd w:val="clear" w:color="auto" w:fill="auto"/>
            <w:vAlign w:val="center"/>
          </w:tcPr>
          <w:p w:rsidR="00324388" w:rsidRPr="00C903F8" w:rsidRDefault="00324388" w:rsidP="000804D1">
            <w:pPr>
              <w:pStyle w:val="ESlet"/>
              <w:ind w:left="0" w:firstLine="0"/>
            </w:pPr>
            <w:r w:rsidRPr="00C903F8">
              <w:rPr>
                <w:rFonts w:eastAsia="Calibri" w:cs="Arial"/>
                <w:noProof/>
                <w:szCs w:val="18"/>
                <w:lang w:val="en-US" w:eastAsia="en-US"/>
              </w:rPr>
              <w:t>Luggage and store rooms</w:t>
            </w:r>
          </w:p>
        </w:tc>
        <w:tc>
          <w:tcPr>
            <w:tcW w:w="1531" w:type="dxa"/>
            <w:shd w:val="clear" w:color="auto" w:fill="auto"/>
            <w:vAlign w:val="center"/>
          </w:tcPr>
          <w:p w:rsidR="00324388" w:rsidRPr="00C903F8" w:rsidRDefault="00324388" w:rsidP="00140690">
            <w:pPr>
              <w:pStyle w:val="ESlet"/>
              <w:ind w:left="0" w:firstLine="0"/>
              <w:jc w:val="center"/>
            </w:pPr>
            <w:r w:rsidRPr="00C903F8">
              <w:t>75 %</w:t>
            </w:r>
          </w:p>
        </w:tc>
      </w:tr>
      <w:tr w:rsidR="00324388" w:rsidRPr="00C903F8" w:rsidTr="00B0682F">
        <w:tc>
          <w:tcPr>
            <w:tcW w:w="6861" w:type="dxa"/>
            <w:shd w:val="clear" w:color="auto" w:fill="auto"/>
            <w:vAlign w:val="center"/>
          </w:tcPr>
          <w:p w:rsidR="00324388" w:rsidRPr="00C903F8" w:rsidRDefault="00324388" w:rsidP="000804D1">
            <w:pPr>
              <w:pStyle w:val="ESlet"/>
              <w:ind w:left="0" w:firstLine="0"/>
              <w:rPr>
                <w:lang w:val="en-US"/>
              </w:rPr>
            </w:pPr>
            <w:r w:rsidRPr="00C903F8">
              <w:rPr>
                <w:rFonts w:eastAsia="Calibri" w:cs="Arial"/>
                <w:noProof/>
                <w:szCs w:val="18"/>
                <w:lang w:val="en-US" w:eastAsia="en-US"/>
              </w:rPr>
              <w:t>Double bottoms, fuel bunkers, ballast and other tanks, depending on whether, according to their intended purpose, they are to be assumed to be full or empty for the vessel floating at the plane of maximum draught</w:t>
            </w:r>
          </w:p>
        </w:tc>
        <w:tc>
          <w:tcPr>
            <w:tcW w:w="1531" w:type="dxa"/>
            <w:shd w:val="clear" w:color="auto" w:fill="auto"/>
            <w:vAlign w:val="center"/>
          </w:tcPr>
          <w:p w:rsidR="00324388" w:rsidRPr="00C903F8" w:rsidRDefault="00324388" w:rsidP="00140690">
            <w:pPr>
              <w:pStyle w:val="ESlet"/>
              <w:ind w:left="0" w:firstLine="0"/>
              <w:jc w:val="center"/>
            </w:pPr>
            <w:r w:rsidRPr="00C903F8">
              <w:t>0 % or 95 %</w:t>
            </w:r>
          </w:p>
        </w:tc>
      </w:tr>
    </w:tbl>
    <w:p w:rsidR="00973DAA" w:rsidRPr="00C903F8" w:rsidRDefault="0029453D" w:rsidP="001F199D">
      <w:pPr>
        <w:pStyle w:val="ESlet"/>
        <w:rPr>
          <w:rFonts w:eastAsia="Calibri" w:cs="Arial"/>
          <w:szCs w:val="18"/>
          <w:lang w:val="en-US" w:eastAsia="en-US"/>
        </w:rPr>
      </w:pPr>
      <w:r w:rsidRPr="00C903F8">
        <w:rPr>
          <w:rFonts w:eastAsia="Calibri"/>
          <w:noProof/>
          <w:lang w:val="en-US" w:eastAsia="en-US"/>
        </w:rPr>
        <w:t>e)</w:t>
      </w:r>
      <w:r w:rsidR="00973DAA" w:rsidRPr="00C903F8">
        <w:rPr>
          <w:rFonts w:eastAsia="Calibri"/>
          <w:noProof/>
          <w:lang w:val="en-US" w:eastAsia="en-US"/>
        </w:rPr>
        <w:tab/>
        <w:t>If damage of a smaller dimension than specified above produces more detrimental effects with respect to heeling or loss of metacentric height, such damage shall be taken into account for calculation purposes.</w:t>
      </w:r>
    </w:p>
    <w:p w:rsidR="004A3862" w:rsidRPr="00C903F8" w:rsidRDefault="004A3862" w:rsidP="00973DAA">
      <w:pPr>
        <w:pStyle w:val="ESch"/>
        <w:rPr>
          <w:rFonts w:eastAsia="Calibri"/>
          <w:noProof/>
          <w:lang w:val="en-US" w:eastAsia="en-US"/>
        </w:rPr>
      </w:pPr>
      <w:r w:rsidRPr="00C903F8">
        <w:rPr>
          <w:rFonts w:eastAsia="Calibri"/>
          <w:noProof/>
          <w:lang w:val="en-US" w:eastAsia="en-US"/>
        </w:rPr>
        <w:br w:type="page"/>
      </w: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lastRenderedPageBreak/>
        <w:t>10.</w:t>
      </w:r>
      <w:r w:rsidRPr="00C903F8">
        <w:rPr>
          <w:rFonts w:eastAsia="Calibri"/>
          <w:noProof/>
          <w:lang w:val="en-US" w:eastAsia="en-US"/>
        </w:rPr>
        <w:tab/>
        <w:t xml:space="preserve">For all intermediate stages of flooding referred to in </w:t>
      </w:r>
      <w:r w:rsidR="00FD1E75" w:rsidRPr="00C903F8">
        <w:rPr>
          <w:rFonts w:eastAsia="Calibri"/>
          <w:noProof/>
          <w:lang w:val="en-US" w:eastAsia="en-US"/>
        </w:rPr>
        <w:t>(</w:t>
      </w:r>
      <w:r w:rsidRPr="00C903F8">
        <w:rPr>
          <w:rFonts w:eastAsia="Calibri"/>
          <w:noProof/>
          <w:lang w:val="en-US" w:eastAsia="en-US"/>
        </w:rPr>
        <w:t>8</w:t>
      </w:r>
      <w:r w:rsidR="00FD1E75" w:rsidRPr="00C903F8">
        <w:rPr>
          <w:rFonts w:eastAsia="Calibri"/>
          <w:noProof/>
          <w:lang w:val="en-US" w:eastAsia="en-US"/>
        </w:rPr>
        <w:t>)</w:t>
      </w:r>
      <w:r w:rsidRPr="00C903F8">
        <w:rPr>
          <w:rFonts w:eastAsia="Calibri"/>
          <w:noProof/>
          <w:lang w:val="en-US" w:eastAsia="en-US"/>
        </w:rPr>
        <w:t>, the following criteria shall be met:</w:t>
      </w:r>
    </w:p>
    <w:p w:rsidR="00973DAA" w:rsidRPr="00C903F8" w:rsidRDefault="005C7859" w:rsidP="001F199D">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r>
      <w:r w:rsidR="002C3798" w:rsidRPr="00C903F8">
        <w:rPr>
          <w:rFonts w:eastAsia="Calibri"/>
          <w:noProof/>
          <w:lang w:val="en-US" w:eastAsia="en-US"/>
        </w:rPr>
        <w:t>T</w:t>
      </w:r>
      <w:r w:rsidR="00973DAA" w:rsidRPr="00C903F8">
        <w:rPr>
          <w:rFonts w:eastAsia="Calibri"/>
          <w:noProof/>
          <w:lang w:val="en-US" w:eastAsia="en-US"/>
        </w:rPr>
        <w:t xml:space="preserve">he heeling angle </w:t>
      </w:r>
      <m:oMath>
        <m:r>
          <w:rPr>
            <w:rFonts w:ascii="Cambria Math" w:eastAsia="Calibri" w:hAnsi="Cambria Math"/>
            <w:noProof/>
            <w:lang w:eastAsia="en-US"/>
          </w:rPr>
          <m:t>φ</m:t>
        </m:r>
      </m:oMath>
      <w:r w:rsidR="00973DAA" w:rsidRPr="00C903F8">
        <w:rPr>
          <w:rFonts w:eastAsia="Calibri"/>
          <w:noProof/>
          <w:lang w:val="en-US" w:eastAsia="en-US"/>
        </w:rPr>
        <w:t xml:space="preserve"> at the equilibrium position of the intermediate stage in question shall not exceed 15°</w:t>
      </w:r>
      <w:r w:rsidR="002C3798" w:rsidRPr="00C903F8">
        <w:rPr>
          <w:rFonts w:eastAsia="Calibri"/>
          <w:noProof/>
          <w:lang w:val="en-US" w:eastAsia="en-US"/>
        </w:rPr>
        <w:t>.</w:t>
      </w:r>
    </w:p>
    <w:p w:rsidR="00973DAA" w:rsidRPr="00C903F8" w:rsidRDefault="005C7859" w:rsidP="001F199D">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r>
      <w:r w:rsidR="002C3798" w:rsidRPr="00C903F8">
        <w:rPr>
          <w:rFonts w:eastAsia="Calibri"/>
          <w:noProof/>
          <w:lang w:val="en-US" w:eastAsia="en-US"/>
        </w:rPr>
        <w:t>B</w:t>
      </w:r>
      <w:r w:rsidR="00973DAA" w:rsidRPr="00C903F8">
        <w:rPr>
          <w:rFonts w:eastAsia="Calibri"/>
          <w:noProof/>
          <w:lang w:val="en-US" w:eastAsia="en-US"/>
        </w:rPr>
        <w:t xml:space="preserve">eyond the heel in the equilibrium position of the intermediate stage in question, the positive part of the righting lever curve shall display a righting lever value of </w:t>
      </w:r>
      <m:oMath>
        <m:r>
          <w:rPr>
            <w:rFonts w:ascii="Cambria Math" w:eastAsia="Calibri" w:hAnsi="Cambria Math"/>
            <w:noProof/>
            <w:lang w:val="en-US" w:eastAsia="en-US"/>
          </w:rPr>
          <m:t xml:space="preserve">GZ ≥0,02 m </m:t>
        </m:r>
      </m:oMath>
      <w:r w:rsidR="00973DAA" w:rsidRPr="00C903F8">
        <w:rPr>
          <w:rFonts w:eastAsia="Calibri"/>
          <w:noProof/>
          <w:lang w:val="en-US" w:eastAsia="en-US"/>
        </w:rPr>
        <w:t xml:space="preserve">before the first unprotected opening becomes immersed or a heeling angle </w:t>
      </w:r>
      <m:oMath>
        <m:r>
          <w:rPr>
            <w:rFonts w:ascii="Cambria Math" w:eastAsia="Calibri" w:hAnsi="Cambria Math"/>
            <w:noProof/>
            <w:lang w:eastAsia="en-US"/>
          </w:rPr>
          <m:t>φ</m:t>
        </m:r>
      </m:oMath>
      <w:r w:rsidR="00973DAA" w:rsidRPr="00C903F8">
        <w:rPr>
          <w:rFonts w:eastAsia="Calibri"/>
          <w:noProof/>
          <w:lang w:val="en-US" w:eastAsia="en-US"/>
        </w:rPr>
        <w:t xml:space="preserve"> of 25° is reached</w:t>
      </w:r>
      <w:r w:rsidR="002C3798" w:rsidRPr="00C903F8">
        <w:rPr>
          <w:rFonts w:eastAsia="Calibri"/>
          <w:noProof/>
          <w:lang w:val="en-US" w:eastAsia="en-US"/>
        </w:rPr>
        <w:t>.</w:t>
      </w:r>
    </w:p>
    <w:p w:rsidR="00973DAA" w:rsidRPr="00C903F8" w:rsidRDefault="005C7859" w:rsidP="001F199D">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r>
      <w:r w:rsidR="002C3798" w:rsidRPr="00C903F8">
        <w:rPr>
          <w:rFonts w:eastAsia="Calibri"/>
          <w:noProof/>
          <w:lang w:val="en-US" w:eastAsia="en-US"/>
        </w:rPr>
        <w:t>N</w:t>
      </w:r>
      <w:r w:rsidR="00973DAA" w:rsidRPr="00C903F8">
        <w:rPr>
          <w:rFonts w:eastAsia="Calibri"/>
          <w:noProof/>
          <w:lang w:val="en-US" w:eastAsia="en-US"/>
        </w:rPr>
        <w:t>on-watertight openings shall not be immersed before the heel in the equilibrium position of the intermediate stage in question has been reached</w:t>
      </w:r>
      <w:r w:rsidR="002C3798" w:rsidRPr="00C903F8">
        <w:rPr>
          <w:rFonts w:eastAsia="Calibri"/>
          <w:noProof/>
          <w:lang w:val="en-US" w:eastAsia="en-US"/>
        </w:rPr>
        <w:t>.</w:t>
      </w:r>
    </w:p>
    <w:p w:rsidR="00973DAA" w:rsidRPr="00C903F8" w:rsidRDefault="005C7859" w:rsidP="001F199D">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r>
      <w:r w:rsidR="002C3798" w:rsidRPr="00C903F8">
        <w:rPr>
          <w:rFonts w:eastAsia="Calibri"/>
          <w:noProof/>
          <w:lang w:val="en-US" w:eastAsia="en-US"/>
        </w:rPr>
        <w:t>T</w:t>
      </w:r>
      <w:r w:rsidR="00973DAA" w:rsidRPr="00C903F8">
        <w:rPr>
          <w:rFonts w:eastAsia="Calibri"/>
          <w:noProof/>
          <w:lang w:val="en-US" w:eastAsia="en-US"/>
        </w:rPr>
        <w:t>he calculation of the free surface effect in all intermediate stages of flooding shall be based on the gross surface area of the damaged compartments.</w:t>
      </w:r>
    </w:p>
    <w:p w:rsidR="001F199D" w:rsidRPr="00C903F8" w:rsidRDefault="001F199D"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 xml:space="preserve">11. </w:t>
      </w:r>
      <w:r w:rsidRPr="00C903F8">
        <w:rPr>
          <w:rFonts w:eastAsia="Calibri"/>
          <w:noProof/>
          <w:lang w:val="en-US" w:eastAsia="en-US"/>
        </w:rPr>
        <w:tab/>
        <w:t xml:space="preserve">During the final stage of flooding, the following criteria shall be met taking into account the heeling moment in accordance with </w:t>
      </w:r>
      <w:r w:rsidR="00FD1E75" w:rsidRPr="00C903F8">
        <w:rPr>
          <w:rFonts w:eastAsia="Calibri"/>
          <w:noProof/>
          <w:lang w:val="en-US" w:eastAsia="en-US"/>
        </w:rPr>
        <w:t>(</w:t>
      </w:r>
      <w:r w:rsidRPr="00C903F8">
        <w:rPr>
          <w:rFonts w:eastAsia="Calibri"/>
          <w:noProof/>
          <w:lang w:val="en-US" w:eastAsia="en-US"/>
        </w:rPr>
        <w:t>4</w:t>
      </w:r>
      <w:r w:rsidR="00FD1E75" w:rsidRPr="00C903F8">
        <w:rPr>
          <w:rFonts w:eastAsia="Calibri"/>
          <w:noProof/>
          <w:lang w:val="en-US" w:eastAsia="en-US"/>
        </w:rPr>
        <w:t>)</w:t>
      </w:r>
      <w:r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r>
      <w:r w:rsidR="002C3798" w:rsidRPr="00C903F8">
        <w:rPr>
          <w:rFonts w:eastAsia="Calibri"/>
          <w:noProof/>
          <w:lang w:val="en-US" w:eastAsia="en-US"/>
        </w:rPr>
        <w:t>T</w:t>
      </w:r>
      <w:r w:rsidR="00973DAA" w:rsidRPr="00C903F8">
        <w:rPr>
          <w:rFonts w:eastAsia="Calibri"/>
          <w:noProof/>
          <w:lang w:val="en-US" w:eastAsia="en-US"/>
        </w:rPr>
        <w:t xml:space="preserve">he heeling angle </w:t>
      </w:r>
      <m:oMath>
        <m:sSub>
          <m:sSubPr>
            <m:ctrlPr>
              <w:rPr>
                <w:rFonts w:ascii="Cambria Math" w:eastAsia="Calibri" w:hAnsi="Cambria Math"/>
                <w:i/>
                <w:lang w:val="en-US" w:eastAsia="en-US"/>
              </w:rPr>
            </m:ctrlPr>
          </m:sSubPr>
          <m:e>
            <m:r>
              <w:rPr>
                <w:rFonts w:ascii="Cambria Math" w:eastAsia="Calibri" w:hAnsi="Cambria Math"/>
                <w:lang w:val="en-US" w:eastAsia="en-US"/>
              </w:rPr>
              <m:t>φ</m:t>
            </m:r>
          </m:e>
          <m:sub>
            <m:r>
              <w:rPr>
                <w:rFonts w:ascii="Cambria Math" w:eastAsia="Calibri" w:hAnsi="Cambria Math"/>
                <w:lang w:val="en-US" w:eastAsia="en-US"/>
              </w:rPr>
              <m:t>E</m:t>
            </m:r>
          </m:sub>
        </m:sSub>
      </m:oMath>
      <w:r w:rsidR="00973DAA" w:rsidRPr="00C903F8">
        <w:rPr>
          <w:rFonts w:eastAsia="Calibri"/>
          <w:noProof/>
          <w:lang w:val="en-US" w:eastAsia="en-US"/>
        </w:rPr>
        <w:t xml:space="preserve"> shall not exceed 10°</w:t>
      </w:r>
      <w:r w:rsidR="002C3798"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r>
      <w:r w:rsidR="002C3798" w:rsidRPr="00C903F8">
        <w:rPr>
          <w:rFonts w:eastAsia="Calibri"/>
          <w:noProof/>
          <w:lang w:val="en-US" w:eastAsia="en-US"/>
        </w:rPr>
        <w:t>B</w:t>
      </w:r>
      <w:r w:rsidR="00973DAA" w:rsidRPr="00C903F8">
        <w:rPr>
          <w:rFonts w:eastAsia="Calibri"/>
          <w:noProof/>
          <w:lang w:val="en-US" w:eastAsia="en-US"/>
        </w:rPr>
        <w:t xml:space="preserve">eyond the equilibrium position the positive part of the righting lever curve shall display a righting lever value of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GZ</m:t>
            </m:r>
          </m:e>
          <m:sub>
            <m:r>
              <w:rPr>
                <w:rFonts w:ascii="Cambria Math" w:eastAsia="Calibri" w:hAnsi="Cambria Math"/>
                <w:noProof/>
                <w:lang w:val="en-US" w:eastAsia="en-US"/>
              </w:rPr>
              <m:t>R</m:t>
            </m:r>
          </m:sub>
        </m:sSub>
        <m:r>
          <w:rPr>
            <w:rFonts w:ascii="Cambria Math" w:eastAsia="Calibri" w:hAnsi="Cambria Math"/>
            <w:noProof/>
            <w:lang w:val="en-US" w:eastAsia="en-US"/>
          </w:rPr>
          <m:t xml:space="preserve"> ≥0,02 m </m:t>
        </m:r>
      </m:oMath>
      <w:r w:rsidR="00973DAA" w:rsidRPr="00C903F8">
        <w:rPr>
          <w:rFonts w:eastAsia="Calibri"/>
          <w:noProof/>
          <w:lang w:val="en-US" w:eastAsia="en-US"/>
        </w:rPr>
        <w:t xml:space="preserve">with an area </w:t>
      </w:r>
      <m:oMath>
        <m:r>
          <w:rPr>
            <w:rFonts w:ascii="Cambria Math" w:eastAsia="Calibri" w:hAnsi="Cambria Math"/>
            <w:noProof/>
            <w:lang w:val="en-US" w:eastAsia="en-US"/>
          </w:rPr>
          <m:t>A ≥0,0025 m ∙rad</m:t>
        </m:r>
      </m:oMath>
      <w:r w:rsidR="00973DAA" w:rsidRPr="00C903F8">
        <w:rPr>
          <w:rFonts w:eastAsia="Calibri"/>
          <w:noProof/>
          <w:lang w:val="en-US" w:eastAsia="en-US"/>
        </w:rPr>
        <w:t>. These minimum values for stability shall be met until the immersion of the first unprotected opening or in any case before reaching a heeling angle of 25°.</w:t>
      </w:r>
    </w:p>
    <w:p w:rsidR="00973DAA" w:rsidRPr="00C903F8" w:rsidRDefault="00973DAA" w:rsidP="00973DAA">
      <w:pPr>
        <w:pStyle w:val="ESch"/>
        <w:rPr>
          <w:rFonts w:eastAsia="Calibri"/>
          <w:noProof/>
          <w:lang w:val="en-US" w:eastAsia="en-US"/>
        </w:rPr>
      </w:pPr>
    </w:p>
    <w:p w:rsidR="009A4333" w:rsidRPr="00C903F8" w:rsidRDefault="009A4333" w:rsidP="009A4333">
      <w:pPr>
        <w:pStyle w:val="ESch"/>
        <w:jc w:val="center"/>
        <w:rPr>
          <w:rFonts w:eastAsia="Calibri"/>
          <w:noProof/>
          <w:lang w:val="en-US" w:eastAsia="en-US"/>
        </w:rPr>
      </w:pPr>
      <w:r w:rsidRPr="00C903F8">
        <w:rPr>
          <w:rFonts w:eastAsia="Calibri"/>
          <w:noProof/>
        </w:rPr>
        <w:drawing>
          <wp:inline distT="0" distB="0" distL="0" distR="0" wp14:anchorId="09D0BC71" wp14:editId="27D9E490">
            <wp:extent cx="5312664" cy="2831592"/>
            <wp:effectExtent l="0" t="0" r="254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ES_Trin_19_03_11b_en.jpg"/>
                    <pic:cNvPicPr/>
                  </pic:nvPicPr>
                  <pic:blipFill>
                    <a:blip r:embed="rId24">
                      <a:extLst>
                        <a:ext uri="{28A0092B-C50C-407E-A947-70E740481C1C}">
                          <a14:useLocalDpi xmlns:a14="http://schemas.microsoft.com/office/drawing/2010/main" val="0"/>
                        </a:ext>
                      </a:extLst>
                    </a:blip>
                    <a:stretch>
                      <a:fillRect/>
                    </a:stretch>
                  </pic:blipFill>
                  <pic:spPr>
                    <a:xfrm>
                      <a:off x="0" y="0"/>
                      <a:ext cx="5312664" cy="2831592"/>
                    </a:xfrm>
                    <a:prstGeom prst="rect">
                      <a:avLst/>
                    </a:prstGeom>
                  </pic:spPr>
                </pic:pic>
              </a:graphicData>
            </a:graphic>
          </wp:inline>
        </w:drawing>
      </w:r>
    </w:p>
    <w:p w:rsidR="004A3862" w:rsidRPr="00C903F8" w:rsidRDefault="004A3862" w:rsidP="004A3862">
      <w:pPr>
        <w:pStyle w:val="ESch"/>
        <w:ind w:left="0" w:firstLine="0"/>
        <w:jc w:val="center"/>
        <w:rPr>
          <w:rFonts w:eastAsia="Calibri" w:cs="Arial"/>
          <w:szCs w:val="18"/>
          <w:lang w:val="de-DE" w:eastAsia="en-US"/>
        </w:rPr>
      </w:pPr>
    </w:p>
    <w:p w:rsidR="00973DAA" w:rsidRPr="00C903F8" w:rsidRDefault="00973DAA" w:rsidP="004A3862">
      <w:pPr>
        <w:pStyle w:val="EStiret"/>
        <w:rPr>
          <w:rFonts w:eastAsia="Calibri" w:cs="Arial"/>
          <w:szCs w:val="18"/>
          <w:lang w:val="en-US" w:eastAsia="en-US"/>
        </w:rPr>
      </w:pPr>
      <w:r w:rsidRPr="00C903F8">
        <w:rPr>
          <w:rFonts w:eastAsia="Calibri"/>
          <w:lang w:val="en-US" w:eastAsia="en-US"/>
        </w:rPr>
        <w:t>Where:</w:t>
      </w:r>
    </w:p>
    <w:p w:rsidR="00973DAA" w:rsidRPr="00C903F8" w:rsidRDefault="00F12BAF" w:rsidP="00E004CF">
      <w:pPr>
        <w:pStyle w:val="EStiret"/>
        <w:ind w:left="1560" w:hanging="568"/>
        <w:rPr>
          <w:rFonts w:eastAsia="Calibri"/>
          <w:lang w:val="en-US" w:eastAsia="en-US"/>
        </w:rPr>
      </w:pPr>
      <m:oMath>
        <m:sSub>
          <m:sSubPr>
            <m:ctrlPr>
              <w:rPr>
                <w:rFonts w:ascii="Cambria Math" w:eastAsia="Calibri" w:hAnsi="Cambria Math"/>
                <w:i/>
                <w:lang w:val="en-US" w:eastAsia="en-US"/>
              </w:rPr>
            </m:ctrlPr>
          </m:sSubPr>
          <m:e>
            <m:r>
              <w:rPr>
                <w:rFonts w:ascii="Cambria Math" w:eastAsia="Calibri" w:hAnsi="Cambria Math"/>
                <w:lang w:val="en-US" w:eastAsia="en-US"/>
              </w:rPr>
              <m:t>φ</m:t>
            </m:r>
          </m:e>
          <m:sub>
            <m:r>
              <w:rPr>
                <w:rFonts w:ascii="Cambria Math" w:eastAsia="Calibri" w:hAnsi="Cambria Math"/>
                <w:lang w:val="en-US" w:eastAsia="en-US"/>
              </w:rPr>
              <m:t>E</m:t>
            </m:r>
          </m:sub>
        </m:sSub>
      </m:oMath>
      <w:r w:rsidR="00E004CF" w:rsidRPr="00C903F8">
        <w:rPr>
          <w:rFonts w:eastAsia="Calibri"/>
          <w:lang w:val="en-US" w:eastAsia="en-US"/>
        </w:rPr>
        <w:t xml:space="preserve"> </w:t>
      </w:r>
      <w:r w:rsidR="004A3862" w:rsidRPr="00C903F8">
        <w:rPr>
          <w:rFonts w:eastAsia="Calibri"/>
          <w:lang w:val="en-US" w:eastAsia="en-US"/>
        </w:rPr>
        <w:tab/>
      </w:r>
      <w:r w:rsidR="00973DAA" w:rsidRPr="00C903F8">
        <w:rPr>
          <w:rFonts w:eastAsia="Calibri"/>
          <w:lang w:val="en-US" w:eastAsia="en-US"/>
        </w:rPr>
        <w:t>is the heeling angle in the final stage of flooding taking into account the moment in accordance with section 4</w:t>
      </w:r>
      <w:r w:rsidR="002C3798" w:rsidRPr="00C903F8">
        <w:rPr>
          <w:rFonts w:eastAsia="Calibri"/>
          <w:lang w:val="en-US" w:eastAsia="en-US"/>
        </w:rPr>
        <w:t>;</w:t>
      </w:r>
    </w:p>
    <w:p w:rsidR="00973DAA" w:rsidRPr="00C903F8" w:rsidRDefault="00F12BAF" w:rsidP="00E004CF">
      <w:pPr>
        <w:pStyle w:val="EStiret"/>
        <w:ind w:left="1560" w:hanging="568"/>
        <w:rPr>
          <w:rFonts w:eastAsia="Calibri"/>
          <w:lang w:val="en-US" w:eastAsia="en-US"/>
        </w:rPr>
      </w:pPr>
      <m:oMath>
        <m:sSub>
          <m:sSubPr>
            <m:ctrlPr>
              <w:rPr>
                <w:rFonts w:ascii="Cambria Math" w:eastAsia="Calibri" w:hAnsi="Cambria Math"/>
                <w:i/>
                <w:lang w:val="en-US" w:eastAsia="en-US"/>
              </w:rPr>
            </m:ctrlPr>
          </m:sSubPr>
          <m:e>
            <m:r>
              <w:rPr>
                <w:rFonts w:ascii="Cambria Math" w:eastAsia="Calibri" w:hAnsi="Cambria Math"/>
                <w:lang w:val="en-US" w:eastAsia="en-US"/>
              </w:rPr>
              <m:t>φ</m:t>
            </m:r>
          </m:e>
          <m:sub>
            <m:r>
              <w:rPr>
                <w:rFonts w:ascii="Cambria Math" w:eastAsia="Calibri" w:hAnsi="Cambria Math"/>
                <w:lang w:val="en-US" w:eastAsia="en-US"/>
              </w:rPr>
              <m:t>m</m:t>
            </m:r>
          </m:sub>
        </m:sSub>
      </m:oMath>
      <w:r w:rsidR="004A3862" w:rsidRPr="00C903F8">
        <w:rPr>
          <w:rFonts w:eastAsia="Calibri"/>
          <w:lang w:val="en-US" w:eastAsia="en-US"/>
        </w:rPr>
        <w:tab/>
      </w:r>
      <w:r w:rsidR="00973DAA" w:rsidRPr="00C903F8">
        <w:rPr>
          <w:rFonts w:eastAsia="Calibri"/>
          <w:lang w:val="en-US" w:eastAsia="en-US"/>
        </w:rPr>
        <w:t>is the angle of vanishing stability or the angle at which the first unprotected opening immerses or 25°; whichever is less is to be used;</w:t>
      </w:r>
    </w:p>
    <w:p w:rsidR="00973DAA" w:rsidRPr="00C903F8" w:rsidRDefault="00F12BAF" w:rsidP="00E004CF">
      <w:pPr>
        <w:pStyle w:val="EStiret"/>
        <w:ind w:left="1560" w:hanging="568"/>
        <w:rPr>
          <w:rFonts w:eastAsia="Calibri"/>
          <w:lang w:val="en-US" w:eastAsia="en-US"/>
        </w:rPr>
      </w:pPr>
      <m:oMath>
        <m:sSub>
          <m:sSubPr>
            <m:ctrlPr>
              <w:rPr>
                <w:rFonts w:ascii="Cambria Math" w:eastAsia="Calibri" w:hAnsi="Cambria Math"/>
                <w:i/>
                <w:lang w:val="en-US" w:eastAsia="en-US"/>
              </w:rPr>
            </m:ctrlPr>
          </m:sSubPr>
          <m:e>
            <m:r>
              <w:rPr>
                <w:rFonts w:ascii="Cambria Math" w:eastAsia="Calibri" w:hAnsi="Cambria Math"/>
                <w:lang w:val="en-US" w:eastAsia="en-US"/>
              </w:rPr>
              <m:t>GZ</m:t>
            </m:r>
          </m:e>
          <m:sub>
            <m:r>
              <w:rPr>
                <w:rFonts w:ascii="Cambria Math" w:eastAsia="Calibri" w:hAnsi="Cambria Math"/>
                <w:lang w:val="en-US" w:eastAsia="en-US"/>
              </w:rPr>
              <m:t>R</m:t>
            </m:r>
          </m:sub>
        </m:sSub>
      </m:oMath>
      <w:r w:rsidR="00E004CF" w:rsidRPr="00C903F8">
        <w:rPr>
          <w:rFonts w:eastAsia="Calibri"/>
          <w:lang w:val="en-US" w:eastAsia="en-US"/>
        </w:rPr>
        <w:t xml:space="preserve"> </w:t>
      </w:r>
      <w:r w:rsidR="004A3862" w:rsidRPr="00C903F8">
        <w:rPr>
          <w:rFonts w:eastAsia="Calibri"/>
          <w:lang w:val="en-US" w:eastAsia="en-US"/>
        </w:rPr>
        <w:tab/>
      </w:r>
      <w:r w:rsidR="00973DAA" w:rsidRPr="00C903F8">
        <w:rPr>
          <w:rFonts w:eastAsia="Calibri"/>
          <w:lang w:val="en-US" w:eastAsia="en-US"/>
        </w:rPr>
        <w:t>is the remaining righting lever in the final stage of flooding taking into account the moment in accordance with section 4;</w:t>
      </w:r>
    </w:p>
    <w:p w:rsidR="00973DAA" w:rsidRPr="00C903F8" w:rsidRDefault="00F12BAF" w:rsidP="00E004CF">
      <w:pPr>
        <w:pStyle w:val="EStiret"/>
        <w:ind w:left="1560" w:hanging="568"/>
        <w:rPr>
          <w:rFonts w:eastAsia="Calibri"/>
          <w:lang w:val="en-US" w:eastAsia="en-US"/>
        </w:rPr>
      </w:pPr>
      <m:oMath>
        <m:sSub>
          <m:sSubPr>
            <m:ctrlPr>
              <w:rPr>
                <w:rFonts w:ascii="Cambria Math" w:eastAsia="Calibri" w:hAnsi="Cambria Math"/>
                <w:i/>
                <w:lang w:val="en-US" w:eastAsia="en-US"/>
              </w:rPr>
            </m:ctrlPr>
          </m:sSubPr>
          <m:e>
            <m:r>
              <w:rPr>
                <w:rFonts w:ascii="Cambria Math" w:eastAsia="Calibri" w:hAnsi="Cambria Math"/>
                <w:lang w:val="en-US" w:eastAsia="en-US"/>
              </w:rPr>
              <m:t>GZ</m:t>
            </m:r>
          </m:e>
          <m:sub>
            <m:r>
              <w:rPr>
                <w:rFonts w:ascii="Cambria Math" w:eastAsia="Calibri" w:hAnsi="Cambria Math"/>
                <w:lang w:val="en-US" w:eastAsia="en-US"/>
              </w:rPr>
              <m:t>K</m:t>
            </m:r>
          </m:sub>
        </m:sSub>
      </m:oMath>
      <w:r w:rsidR="004A3862" w:rsidRPr="00C903F8">
        <w:rPr>
          <w:rFonts w:eastAsia="Calibri"/>
          <w:lang w:val="en-US" w:eastAsia="en-US"/>
        </w:rPr>
        <w:tab/>
      </w:r>
      <w:r w:rsidR="00973DAA" w:rsidRPr="00C903F8">
        <w:rPr>
          <w:rFonts w:eastAsia="Calibri"/>
          <w:lang w:val="en-US" w:eastAsia="en-US"/>
        </w:rPr>
        <w:t>is the heeling lever resulting from the moment in accordance with section 4</w:t>
      </w:r>
      <w:r w:rsidR="002C3798" w:rsidRPr="00C903F8">
        <w:rPr>
          <w:rFonts w:eastAsia="Calibri"/>
          <w:lang w:val="en-US" w:eastAsia="en-US"/>
        </w:rPr>
        <w:t>.</w:t>
      </w:r>
    </w:p>
    <w:p w:rsidR="004A3862" w:rsidRPr="00C903F8" w:rsidRDefault="004A3862" w:rsidP="004A3862">
      <w:pPr>
        <w:pStyle w:val="ESlet"/>
        <w:rPr>
          <w:rFonts w:eastAsia="Calibri"/>
          <w:noProof/>
          <w:lang w:val="en-US" w:eastAsia="en-US"/>
        </w:rPr>
      </w:pPr>
      <w:r w:rsidRPr="00C903F8">
        <w:rPr>
          <w:rFonts w:eastAsia="Calibri"/>
          <w:noProof/>
          <w:lang w:val="en-US" w:eastAsia="en-US"/>
        </w:rPr>
        <w:br w:type="page"/>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lastRenderedPageBreak/>
        <w:t>c)</w:t>
      </w:r>
      <w:r w:rsidR="00973DAA" w:rsidRPr="00C903F8">
        <w:rPr>
          <w:rFonts w:eastAsia="Calibri"/>
          <w:noProof/>
          <w:lang w:val="en-US" w:eastAsia="en-US"/>
        </w:rPr>
        <w:tab/>
      </w:r>
      <w:r w:rsidR="002C3798" w:rsidRPr="00C903F8">
        <w:rPr>
          <w:rFonts w:eastAsia="Calibri"/>
          <w:noProof/>
          <w:lang w:val="en-US" w:eastAsia="en-US"/>
        </w:rPr>
        <w:t>N</w:t>
      </w:r>
      <w:r w:rsidR="00973DAA" w:rsidRPr="00C903F8">
        <w:rPr>
          <w:rFonts w:eastAsia="Calibri"/>
          <w:noProof/>
          <w:lang w:val="en-US" w:eastAsia="en-US"/>
        </w:rPr>
        <w:t>on-watertight openings shall not be immersed before the equilibrium position has been reached. If such openings are immersed before this point, the rooms affording access are deemed to be flooded for damage stability calculation purposes.</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12.</w:t>
      </w:r>
      <w:r w:rsidRPr="00C903F8">
        <w:rPr>
          <w:rFonts w:eastAsia="Calibri"/>
          <w:noProof/>
          <w:lang w:val="en-US" w:eastAsia="en-US"/>
        </w:rPr>
        <w:tab/>
        <w:t>The shut-off devices which shall be able to be closed watertight shall be marked accordingly.</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13.</w:t>
      </w:r>
      <w:r w:rsidRPr="00C903F8">
        <w:rPr>
          <w:rFonts w:eastAsia="Calibri"/>
          <w:noProof/>
          <w:lang w:val="en-US" w:eastAsia="en-US"/>
        </w:rPr>
        <w:tab/>
        <w:t>If cross-flood openings to reduce asymmetrical flooding are provided, they shall meet the following conditions:</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for the calculation of cross-flooding, IMO Resolution A.266 (VIII)</w:t>
      </w:r>
      <w:r w:rsidR="000E1F46">
        <w:rPr>
          <w:rStyle w:val="FootnoteReference"/>
          <w:rFonts w:eastAsia="Calibri"/>
          <w:noProof/>
          <w:lang w:val="en-US" w:eastAsia="en-US"/>
        </w:rPr>
        <w:footnoteReference w:id="11"/>
      </w:r>
      <w:r w:rsidR="00973DAA" w:rsidRPr="00C903F8">
        <w:rPr>
          <w:rFonts w:eastAsia="Calibri"/>
          <w:noProof/>
          <w:lang w:val="en-US" w:eastAsia="en-US"/>
        </w:rPr>
        <w:t xml:space="preserve"> shall be applied;</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they shall be self-acti</w:t>
      </w:r>
      <w:r w:rsidR="002D3A91" w:rsidRPr="00C903F8">
        <w:rPr>
          <w:rFonts w:eastAsia="Calibri"/>
          <w:noProof/>
          <w:lang w:val="en-US" w:eastAsia="en-US"/>
        </w:rPr>
        <w:t>vati</w:t>
      </w:r>
      <w:r w:rsidR="00973DAA" w:rsidRPr="00C903F8">
        <w:rPr>
          <w:rFonts w:eastAsia="Calibri"/>
          <w:noProof/>
          <w:lang w:val="en-US" w:eastAsia="en-US"/>
        </w:rPr>
        <w:t>ng;</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they shall not be equipped with shut-off devices;</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t>the total time allowed for compensation shall not exceed 15 minutes.</w:t>
      </w:r>
    </w:p>
    <w:p w:rsidR="00973DAA" w:rsidRPr="00C903F8" w:rsidRDefault="00973DAA" w:rsidP="00973DAA">
      <w:pPr>
        <w:pStyle w:val="ESch"/>
        <w:rPr>
          <w:rFonts w:eastAsia="Calibri" w:cs="Arial"/>
          <w:szCs w:val="18"/>
          <w:lang w:val="en-US" w:eastAsia="en-US"/>
        </w:rPr>
      </w:pPr>
    </w:p>
    <w:p w:rsidR="004A3862" w:rsidRPr="00C903F8" w:rsidRDefault="004A3862" w:rsidP="00973DAA">
      <w:pPr>
        <w:pStyle w:val="ESch"/>
        <w:rPr>
          <w:rFonts w:eastAsia="Calibri" w:cs="Arial"/>
          <w:szCs w:val="18"/>
          <w:lang w:val="en-US" w:eastAsia="en-US"/>
        </w:rPr>
      </w:pPr>
    </w:p>
    <w:p w:rsidR="00973DAA" w:rsidRPr="00C903F8" w:rsidRDefault="00973DAA" w:rsidP="004A3862">
      <w:pPr>
        <w:pStyle w:val="ES-Titre3"/>
        <w:rPr>
          <w:rFonts w:cs="Arial"/>
          <w:i/>
          <w:szCs w:val="18"/>
          <w:lang w:val="en-US"/>
        </w:rPr>
      </w:pPr>
      <w:bookmarkStart w:id="185" w:name="_Toc491854173"/>
      <w:r w:rsidRPr="00C903F8">
        <w:rPr>
          <w:noProof/>
          <w:lang w:val="en-GB"/>
        </w:rPr>
        <w:t>Article 19.04</w:t>
      </w:r>
      <w:r w:rsidRPr="00C903F8">
        <w:rPr>
          <w:noProof/>
          <w:lang w:val="en-GB"/>
        </w:rPr>
        <w:br/>
      </w:r>
      <w:r w:rsidRPr="00C903F8">
        <w:rPr>
          <w:i/>
          <w:noProof/>
          <w:lang w:val="en-GB"/>
        </w:rPr>
        <w:t>Safety clearance and freeboard</w:t>
      </w:r>
      <w:bookmarkEnd w:id="185"/>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w:t>
      </w:r>
      <w:r w:rsidRPr="00C903F8">
        <w:rPr>
          <w:rFonts w:eastAsia="Calibri"/>
          <w:noProof/>
          <w:lang w:val="en-US" w:eastAsia="en-US"/>
        </w:rPr>
        <w:tab/>
        <w:t>The safety clearance shall be at least equal to the sum of:</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the additional lateral immersion, which, measured on the outside plating, is</w:t>
      </w:r>
      <w:r w:rsidR="002D3A91" w:rsidRPr="00C903F8">
        <w:rPr>
          <w:rFonts w:eastAsia="Calibri"/>
          <w:noProof/>
          <w:lang w:val="en-US" w:eastAsia="en-US"/>
        </w:rPr>
        <w:t xml:space="preserve"> resulting from</w:t>
      </w:r>
      <w:r w:rsidR="00973DAA" w:rsidRPr="00C903F8">
        <w:rPr>
          <w:rFonts w:eastAsia="Calibri"/>
          <w:noProof/>
          <w:lang w:val="en-US" w:eastAsia="en-US"/>
        </w:rPr>
        <w:t xml:space="preserve"> the permissible heeling angle according to Article 19.03(3)(e)</w:t>
      </w:r>
      <w:r w:rsidR="003216FC" w:rsidRPr="00C903F8">
        <w:rPr>
          <w:rFonts w:eastAsia="Calibri"/>
          <w:noProof/>
          <w:lang w:val="en-US" w:eastAsia="en-US"/>
        </w:rPr>
        <w:t>;</w:t>
      </w:r>
      <w:r w:rsidR="00973DAA" w:rsidRPr="00C903F8">
        <w:rPr>
          <w:rFonts w:eastAsia="Calibri"/>
          <w:noProof/>
          <w:lang w:val="en-US" w:eastAsia="en-US"/>
        </w:rPr>
        <w:t xml:space="preserve"> and</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the residual safety clearance according to Article 19.03(3)(g).</w:t>
      </w:r>
    </w:p>
    <w:p w:rsidR="004A3862" w:rsidRPr="00C903F8" w:rsidRDefault="004A3862" w:rsidP="00973DAA">
      <w:pPr>
        <w:pStyle w:val="ESch"/>
        <w:rPr>
          <w:rFonts w:eastAsia="Calibri"/>
          <w:noProof/>
          <w:lang w:val="en-US" w:eastAsia="en-US"/>
        </w:rPr>
      </w:pPr>
    </w:p>
    <w:p w:rsidR="00973DAA" w:rsidRPr="00C903F8" w:rsidRDefault="00973DAA" w:rsidP="004A3862">
      <w:pPr>
        <w:pStyle w:val="ESchpar"/>
        <w:rPr>
          <w:rFonts w:eastAsia="Calibri" w:cs="Arial"/>
          <w:szCs w:val="18"/>
          <w:lang w:val="en-US" w:eastAsia="en-US"/>
        </w:rPr>
      </w:pPr>
      <w:r w:rsidRPr="00C903F8">
        <w:rPr>
          <w:rFonts w:eastAsia="Calibri"/>
          <w:noProof/>
          <w:lang w:val="en-US" w:eastAsia="en-US"/>
        </w:rPr>
        <w:t>For vessels without a bulkhead deck, the safety clearance shall be at least 0,50 m.</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2.</w:t>
      </w:r>
      <w:r w:rsidRPr="00C903F8">
        <w:rPr>
          <w:rFonts w:eastAsia="Calibri"/>
          <w:noProof/>
          <w:lang w:val="en-US" w:eastAsia="en-US"/>
        </w:rPr>
        <w:tab/>
        <w:t>The freeboard shall be at least equal to the sum of:</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 xml:space="preserve">the additional lateral immersion, which, measured on the outside plating, is </w:t>
      </w:r>
      <w:r w:rsidR="002D3A91" w:rsidRPr="00C903F8">
        <w:rPr>
          <w:rFonts w:eastAsia="Calibri"/>
          <w:noProof/>
          <w:lang w:val="en-US" w:eastAsia="en-US"/>
        </w:rPr>
        <w:t>resulting from</w:t>
      </w:r>
      <w:r w:rsidR="00973DAA" w:rsidRPr="00C903F8">
        <w:rPr>
          <w:rFonts w:eastAsia="Calibri"/>
          <w:noProof/>
          <w:lang w:val="en-US" w:eastAsia="en-US"/>
        </w:rPr>
        <w:t xml:space="preserve"> the heeling angle according to Article 19.03(3)(e)</w:t>
      </w:r>
      <w:r w:rsidR="003216FC" w:rsidRPr="00C903F8">
        <w:rPr>
          <w:rFonts w:eastAsia="Calibri"/>
          <w:noProof/>
          <w:lang w:val="en-US" w:eastAsia="en-US"/>
        </w:rPr>
        <w:t>;</w:t>
      </w:r>
      <w:r w:rsidR="00973DAA" w:rsidRPr="00C903F8">
        <w:rPr>
          <w:rFonts w:eastAsia="Calibri"/>
          <w:noProof/>
          <w:lang w:val="en-US" w:eastAsia="en-US"/>
        </w:rPr>
        <w:t xml:space="preserve"> and</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the residual freeboard according to Article 19.03(3)(f).</w:t>
      </w:r>
    </w:p>
    <w:p w:rsidR="004A3862" w:rsidRPr="00C903F8" w:rsidRDefault="004A3862" w:rsidP="004A3862">
      <w:pPr>
        <w:pStyle w:val="ESchpar"/>
        <w:rPr>
          <w:rFonts w:eastAsia="Calibri"/>
          <w:noProof/>
          <w:lang w:val="en-US" w:eastAsia="en-US"/>
        </w:rPr>
      </w:pPr>
    </w:p>
    <w:p w:rsidR="00973DAA" w:rsidRPr="00C903F8" w:rsidRDefault="00973DAA" w:rsidP="004A3862">
      <w:pPr>
        <w:pStyle w:val="ESchpar"/>
        <w:rPr>
          <w:rFonts w:eastAsia="Calibri" w:cs="Arial"/>
          <w:szCs w:val="18"/>
          <w:lang w:val="en-US" w:eastAsia="en-US"/>
        </w:rPr>
      </w:pPr>
      <w:r w:rsidRPr="00C903F8">
        <w:rPr>
          <w:rFonts w:eastAsia="Calibri"/>
          <w:noProof/>
          <w:lang w:val="en-US" w:eastAsia="en-US"/>
        </w:rPr>
        <w:t>However, the freeboard shall be at least 0,30 m.</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3.</w:t>
      </w:r>
      <w:r w:rsidRPr="00C903F8">
        <w:rPr>
          <w:rFonts w:eastAsia="Calibri"/>
          <w:noProof/>
          <w:lang w:val="en-US" w:eastAsia="en-US"/>
        </w:rPr>
        <w:tab/>
        <w:t xml:space="preserve">The plane of maximum draught is to be set so as to ensure compliance with the safety clearance according to </w:t>
      </w:r>
      <w:r w:rsidR="00FD1E75" w:rsidRPr="00C903F8">
        <w:rPr>
          <w:rFonts w:eastAsia="Calibri"/>
          <w:noProof/>
          <w:lang w:val="en-US" w:eastAsia="en-US"/>
        </w:rPr>
        <w:t>(</w:t>
      </w:r>
      <w:r w:rsidRPr="00C903F8">
        <w:rPr>
          <w:rFonts w:eastAsia="Calibri"/>
          <w:noProof/>
          <w:lang w:val="en-US" w:eastAsia="en-US"/>
        </w:rPr>
        <w:t>1</w:t>
      </w:r>
      <w:r w:rsidR="00FD1E75" w:rsidRPr="00C903F8">
        <w:rPr>
          <w:rFonts w:eastAsia="Calibri"/>
          <w:noProof/>
          <w:lang w:val="en-US" w:eastAsia="en-US"/>
        </w:rPr>
        <w:t>)</w:t>
      </w:r>
      <w:r w:rsidRPr="00C903F8">
        <w:rPr>
          <w:rFonts w:eastAsia="Calibri"/>
          <w:noProof/>
          <w:lang w:val="en-US" w:eastAsia="en-US"/>
        </w:rPr>
        <w:t xml:space="preserve">, and the freeboard according to </w:t>
      </w:r>
      <w:r w:rsidR="00FD1E75" w:rsidRPr="00C903F8">
        <w:rPr>
          <w:rFonts w:eastAsia="Calibri"/>
          <w:noProof/>
          <w:lang w:val="en-US" w:eastAsia="en-US"/>
        </w:rPr>
        <w:t>(</w:t>
      </w:r>
      <w:r w:rsidRPr="00C903F8">
        <w:rPr>
          <w:rFonts w:eastAsia="Calibri"/>
          <w:noProof/>
          <w:lang w:val="en-US" w:eastAsia="en-US"/>
        </w:rPr>
        <w:t>2</w:t>
      </w:r>
      <w:r w:rsidR="00FD1E75" w:rsidRPr="00C903F8">
        <w:rPr>
          <w:rFonts w:eastAsia="Calibri"/>
          <w:noProof/>
          <w:lang w:val="en-US" w:eastAsia="en-US"/>
        </w:rPr>
        <w:t>)</w:t>
      </w:r>
      <w:r w:rsidRPr="00C903F8">
        <w:rPr>
          <w:rFonts w:eastAsia="Calibri"/>
          <w:noProof/>
          <w:lang w:val="en-US" w:eastAsia="en-US"/>
        </w:rPr>
        <w:t xml:space="preserve"> and Articles</w:t>
      </w:r>
      <w:r w:rsidR="004A3862" w:rsidRPr="00C903F8">
        <w:rPr>
          <w:rFonts w:eastAsia="Calibri"/>
          <w:noProof/>
          <w:lang w:val="en-US" w:eastAsia="en-US"/>
        </w:rPr>
        <w:t> </w:t>
      </w:r>
      <w:r w:rsidRPr="00C903F8">
        <w:rPr>
          <w:rFonts w:eastAsia="Calibri"/>
          <w:noProof/>
          <w:lang w:val="en-US" w:eastAsia="en-US"/>
        </w:rPr>
        <w:t>19.02 and 19.03.</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4.</w:t>
      </w:r>
      <w:r w:rsidRPr="00C903F8">
        <w:rPr>
          <w:rFonts w:eastAsia="Calibri"/>
          <w:noProof/>
          <w:lang w:val="en-US" w:eastAsia="en-US"/>
        </w:rPr>
        <w:tab/>
        <w:t>For safety reasons, the inspection body may stipulate a greater safety clearance or a greater freeboard.</w:t>
      </w:r>
    </w:p>
    <w:p w:rsidR="00973DAA" w:rsidRPr="00C903F8" w:rsidRDefault="00973DAA" w:rsidP="00973DAA">
      <w:pPr>
        <w:pStyle w:val="ESch"/>
        <w:rPr>
          <w:rFonts w:eastAsia="Calibri"/>
          <w:noProof/>
          <w:lang w:val="en-US" w:eastAsia="en-US"/>
        </w:rPr>
      </w:pPr>
    </w:p>
    <w:p w:rsidR="004A3862" w:rsidRPr="00C903F8" w:rsidRDefault="004A3862" w:rsidP="00973DAA">
      <w:pPr>
        <w:pStyle w:val="ESch"/>
        <w:rPr>
          <w:rFonts w:eastAsia="Calibri"/>
          <w:noProof/>
          <w:lang w:val="en-US" w:eastAsia="en-US"/>
        </w:rPr>
      </w:pPr>
    </w:p>
    <w:p w:rsidR="00973DAA" w:rsidRPr="00C903F8" w:rsidRDefault="00973DAA" w:rsidP="004A3862">
      <w:pPr>
        <w:pStyle w:val="ES-Titre3"/>
        <w:rPr>
          <w:rFonts w:cs="Arial"/>
          <w:i/>
          <w:szCs w:val="18"/>
          <w:lang w:val="en-US"/>
        </w:rPr>
      </w:pPr>
      <w:bookmarkStart w:id="186" w:name="_Toc491854174"/>
      <w:r w:rsidRPr="00C903F8">
        <w:rPr>
          <w:noProof/>
          <w:lang w:val="en-GB"/>
        </w:rPr>
        <w:t>Article 19.05</w:t>
      </w:r>
      <w:r w:rsidRPr="00C903F8">
        <w:rPr>
          <w:noProof/>
          <w:lang w:val="en-GB"/>
        </w:rPr>
        <w:br/>
      </w:r>
      <w:r w:rsidRPr="00C903F8">
        <w:rPr>
          <w:i/>
          <w:noProof/>
          <w:lang w:val="en-GB"/>
        </w:rPr>
        <w:t>Maximum permitted number of passengers</w:t>
      </w:r>
      <w:bookmarkEnd w:id="186"/>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w:t>
      </w:r>
      <w:r w:rsidRPr="00C903F8">
        <w:rPr>
          <w:rFonts w:eastAsia="Calibri"/>
          <w:noProof/>
          <w:lang w:val="en-US" w:eastAsia="en-US"/>
        </w:rPr>
        <w:tab/>
        <w:t>The inspection body shall set the maximum permitted number of passengers and shall enter this number on the inland navigation vessel certificate.</w:t>
      </w:r>
    </w:p>
    <w:p w:rsidR="00FB0A98" w:rsidRPr="00C903F8" w:rsidRDefault="00FB0A98"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2.</w:t>
      </w:r>
      <w:r w:rsidRPr="00C903F8">
        <w:rPr>
          <w:rFonts w:eastAsia="Calibri"/>
          <w:noProof/>
          <w:lang w:val="en-US" w:eastAsia="en-US"/>
        </w:rPr>
        <w:tab/>
        <w:t>The maximum permitted number of passengers shall not exceed any of the following values:</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number of passengers for whom the existence of an evacuation area according to Article</w:t>
      </w:r>
      <w:r w:rsidR="00E004CF" w:rsidRPr="00C903F8">
        <w:rPr>
          <w:rFonts w:eastAsia="Calibri"/>
          <w:noProof/>
          <w:lang w:val="en-US" w:eastAsia="en-US"/>
        </w:rPr>
        <w:t> </w:t>
      </w:r>
      <w:r w:rsidR="00973DAA" w:rsidRPr="00C903F8">
        <w:rPr>
          <w:rFonts w:eastAsia="Calibri"/>
          <w:noProof/>
          <w:lang w:val="en-US" w:eastAsia="en-US"/>
        </w:rPr>
        <w:t>19.06(8), has been proven;</w:t>
      </w:r>
    </w:p>
    <w:p w:rsidR="004A3862" w:rsidRPr="00C903F8" w:rsidRDefault="004A3862" w:rsidP="004A3862">
      <w:pPr>
        <w:pStyle w:val="ESlet"/>
        <w:rPr>
          <w:rFonts w:eastAsia="Calibri"/>
          <w:noProof/>
          <w:lang w:val="en-US" w:eastAsia="en-US"/>
        </w:rPr>
      </w:pPr>
      <w:r w:rsidRPr="00C903F8">
        <w:rPr>
          <w:rFonts w:eastAsia="Calibri"/>
          <w:noProof/>
          <w:lang w:val="en-US" w:eastAsia="en-US"/>
        </w:rPr>
        <w:br w:type="page"/>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lastRenderedPageBreak/>
        <w:t>b)</w:t>
      </w:r>
      <w:r w:rsidR="00973DAA" w:rsidRPr="00C903F8">
        <w:rPr>
          <w:rFonts w:eastAsia="Calibri"/>
          <w:noProof/>
          <w:lang w:val="en-US" w:eastAsia="en-US"/>
        </w:rPr>
        <w:tab/>
        <w:t>number of passengers that has been taken into account for the stability calculation according to Article 19.03;</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r>
      <w:r w:rsidR="00072882" w:rsidRPr="00C903F8">
        <w:rPr>
          <w:rFonts w:eastAsia="Calibri"/>
          <w:noProof/>
          <w:lang w:val="en-US" w:eastAsia="en-US"/>
        </w:rPr>
        <w:t xml:space="preserve">number of </w:t>
      </w:r>
      <w:r w:rsidR="00072882" w:rsidRPr="002614C4">
        <w:rPr>
          <w:rFonts w:eastAsia="Calibri"/>
          <w:noProof/>
          <w:lang w:val="en-US" w:eastAsia="en-US"/>
        </w:rPr>
        <w:t>available beds for</w:t>
      </w:r>
      <w:r w:rsidR="00072882" w:rsidRPr="00C903F8">
        <w:rPr>
          <w:rFonts w:eastAsia="Calibri"/>
          <w:noProof/>
          <w:lang w:val="en-US" w:eastAsia="en-US"/>
        </w:rPr>
        <w:t xml:space="preserve"> passengers on cabin vessels used for voyages including overnight stays</w:t>
      </w:r>
      <w:r w:rsidR="00973DAA" w:rsidRPr="00C903F8">
        <w:rPr>
          <w:rFonts w:eastAsia="Calibri"/>
          <w:noProof/>
          <w:lang w:val="en-US" w:eastAsia="en-US"/>
        </w:rPr>
        <w:t>.</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3.</w:t>
      </w:r>
      <w:r w:rsidRPr="00C903F8">
        <w:rPr>
          <w:rFonts w:eastAsia="Calibri"/>
          <w:noProof/>
          <w:lang w:val="en-US" w:eastAsia="en-US"/>
        </w:rPr>
        <w:tab/>
        <w:t>For cabin vessels which are also used as day trip vessels, the number of passengers shall be calculated for use both as a day trip vessel and as a cabin vessel and entered on the inland navigation vessel certificate.</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4.</w:t>
      </w:r>
      <w:r w:rsidRPr="00C903F8">
        <w:rPr>
          <w:rFonts w:eastAsia="Calibri"/>
          <w:noProof/>
          <w:lang w:val="en-US" w:eastAsia="en-US"/>
        </w:rPr>
        <w:tab/>
        <w:t>The maximum permitted number of passengers shall be displayed on clearly legible and prominently positioned notices on board the vessel.</w:t>
      </w:r>
    </w:p>
    <w:p w:rsidR="00973DAA" w:rsidRPr="00C903F8" w:rsidRDefault="00973DAA" w:rsidP="00973DAA">
      <w:pPr>
        <w:pStyle w:val="ESch"/>
        <w:rPr>
          <w:rFonts w:eastAsia="Calibri" w:cs="Arial"/>
          <w:szCs w:val="18"/>
          <w:lang w:val="en-US" w:eastAsia="en-US"/>
        </w:rPr>
      </w:pPr>
    </w:p>
    <w:p w:rsidR="00FB0A98" w:rsidRPr="00C903F8" w:rsidRDefault="00FB0A98" w:rsidP="00973DAA">
      <w:pPr>
        <w:pStyle w:val="ESch"/>
        <w:rPr>
          <w:rFonts w:eastAsia="Calibri" w:cs="Arial"/>
          <w:szCs w:val="18"/>
          <w:lang w:val="en-US" w:eastAsia="en-US"/>
        </w:rPr>
      </w:pPr>
    </w:p>
    <w:p w:rsidR="00973DAA" w:rsidRPr="00C903F8" w:rsidRDefault="00973DAA" w:rsidP="004A3862">
      <w:pPr>
        <w:pStyle w:val="ES-Titre3"/>
        <w:rPr>
          <w:rFonts w:cs="Arial"/>
          <w:i/>
          <w:szCs w:val="18"/>
          <w:lang w:val="en-US"/>
        </w:rPr>
      </w:pPr>
      <w:bookmarkStart w:id="187" w:name="_Toc491854175"/>
      <w:r w:rsidRPr="00C903F8">
        <w:rPr>
          <w:noProof/>
          <w:lang w:val="en-US"/>
        </w:rPr>
        <w:t>Article 19.06</w:t>
      </w:r>
      <w:r w:rsidRPr="00C903F8">
        <w:rPr>
          <w:noProof/>
          <w:lang w:val="en-US"/>
        </w:rPr>
        <w:br/>
      </w:r>
      <w:r w:rsidRPr="00C903F8">
        <w:rPr>
          <w:i/>
          <w:noProof/>
          <w:lang w:val="en-US"/>
        </w:rPr>
        <w:t>Passenger rooms and areas</w:t>
      </w:r>
      <w:bookmarkEnd w:id="187"/>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w:t>
      </w:r>
      <w:r w:rsidRPr="00C903F8">
        <w:rPr>
          <w:rFonts w:eastAsia="Calibri"/>
          <w:noProof/>
          <w:lang w:val="en-US" w:eastAsia="en-US"/>
        </w:rPr>
        <w:tab/>
        <w:t>Passenger rooms shall:</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on all decks, be located aft of the level of the collision bulkhead and, if they are below the bulkhead deck, forward of the</w:t>
      </w:r>
      <w:r w:rsidR="003216FC" w:rsidRPr="00C903F8">
        <w:rPr>
          <w:rFonts w:eastAsia="Calibri"/>
          <w:noProof/>
          <w:lang w:val="en-US" w:eastAsia="en-US"/>
        </w:rPr>
        <w:t xml:space="preserve"> level of the aft-peak bulkhead; and</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be separated from the engine and boiler rooms in a gas-tight manner</w:t>
      </w:r>
      <w:r w:rsidR="003216FC" w:rsidRPr="00C903F8">
        <w:rPr>
          <w:rFonts w:eastAsia="Calibri"/>
          <w:noProof/>
          <w:lang w:val="en-US" w:eastAsia="en-US"/>
        </w:rPr>
        <w:t>.</w:t>
      </w:r>
    </w:p>
    <w:p w:rsidR="004A3862" w:rsidRPr="00C903F8" w:rsidRDefault="004A3862" w:rsidP="00973DAA">
      <w:pPr>
        <w:pStyle w:val="ESch"/>
        <w:rPr>
          <w:rFonts w:eastAsia="Calibri"/>
          <w:noProof/>
          <w:lang w:val="en-US" w:eastAsia="en-US"/>
        </w:rPr>
      </w:pPr>
    </w:p>
    <w:p w:rsidR="00973DAA" w:rsidRPr="00C903F8" w:rsidRDefault="00973DAA" w:rsidP="004A3862">
      <w:pPr>
        <w:pStyle w:val="ESchpar"/>
        <w:rPr>
          <w:rFonts w:eastAsia="Calibri" w:cs="Arial"/>
          <w:szCs w:val="18"/>
          <w:lang w:val="en-US" w:eastAsia="en-US"/>
        </w:rPr>
      </w:pPr>
      <w:r w:rsidRPr="00C903F8">
        <w:rPr>
          <w:rFonts w:eastAsia="Calibri"/>
          <w:noProof/>
          <w:lang w:val="en-US" w:eastAsia="en-US"/>
        </w:rPr>
        <w:t>Deck areas which are enclosed by awnings or similar mobile installations not only above but also fully or partially to the side must satisfy the same requirements as enclosed passenger rooms.</w:t>
      </w:r>
    </w:p>
    <w:p w:rsidR="00973DAA" w:rsidRPr="00C903F8" w:rsidRDefault="00973DAA"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2.</w:t>
      </w:r>
      <w:r w:rsidRPr="00C903F8">
        <w:rPr>
          <w:rFonts w:eastAsia="Calibri"/>
          <w:noProof/>
          <w:lang w:val="en-US" w:eastAsia="en-US"/>
        </w:rPr>
        <w:tab/>
        <w:t>Cupboards and rooms referred to in Article 14.13 and intended for the storage of flammable liquids shall be outside the passenger area.</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3.</w:t>
      </w:r>
      <w:r w:rsidRPr="00C903F8">
        <w:rPr>
          <w:rFonts w:eastAsia="Calibri"/>
          <w:noProof/>
          <w:lang w:val="en-US" w:eastAsia="en-US"/>
        </w:rPr>
        <w:tab/>
        <w:t>The number and width of the exits of passenger rooms shall comply with the following requirements:</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r>
      <w:r w:rsidR="003216FC" w:rsidRPr="00C903F8">
        <w:rPr>
          <w:rFonts w:eastAsia="Calibri"/>
          <w:noProof/>
          <w:lang w:val="en-US" w:eastAsia="en-US"/>
        </w:rPr>
        <w:t>R</w:t>
      </w:r>
      <w:r w:rsidR="00973DAA" w:rsidRPr="00C903F8">
        <w:rPr>
          <w:rFonts w:eastAsia="Calibri"/>
          <w:noProof/>
          <w:lang w:val="en-US" w:eastAsia="en-US"/>
        </w:rPr>
        <w:t>ooms or groups of rooms designed or arranged for 30 or more passengers or including berths for 12 or more passengers shall have at least two exits. On day trip vessels one of these two exits can be replaced by two emergency exits</w:t>
      </w:r>
      <w:r w:rsidR="00AE3640">
        <w:rPr>
          <w:rFonts w:eastAsia="Calibri"/>
          <w:noProof/>
          <w:lang w:val="en-US" w:eastAsia="en-US"/>
        </w:rPr>
        <w:t>.</w:t>
      </w:r>
      <w:r w:rsidR="00973DAA" w:rsidRPr="00C903F8">
        <w:rPr>
          <w:rFonts w:eastAsia="Calibri"/>
          <w:noProof/>
          <w:lang w:val="en-US" w:eastAsia="en-US"/>
        </w:rPr>
        <w:t xml:space="preserve"> </w:t>
      </w:r>
      <w:r w:rsidR="00AE3640">
        <w:rPr>
          <w:rFonts w:eastAsia="Calibri"/>
          <w:noProof/>
          <w:lang w:val="en-US" w:eastAsia="en-US"/>
        </w:rPr>
        <w:t>R</w:t>
      </w:r>
      <w:r w:rsidR="00973DAA" w:rsidRPr="00C903F8">
        <w:rPr>
          <w:rFonts w:eastAsia="Calibri"/>
          <w:noProof/>
          <w:lang w:val="en-US" w:eastAsia="en-US"/>
        </w:rPr>
        <w:t>ooms, with the exception of cabins, and groups of rooms that have only one exit, shall h</w:t>
      </w:r>
      <w:r w:rsidR="003216FC" w:rsidRPr="00C903F8">
        <w:rPr>
          <w:rFonts w:eastAsia="Calibri"/>
          <w:noProof/>
          <w:lang w:val="en-US" w:eastAsia="en-US"/>
        </w:rPr>
        <w:t>ave at least one emergency exit.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r>
      <w:r w:rsidR="003216FC" w:rsidRPr="00C903F8">
        <w:rPr>
          <w:rFonts w:eastAsia="Calibri"/>
          <w:noProof/>
          <w:lang w:val="en-US" w:eastAsia="en-US"/>
        </w:rPr>
        <w:t>I</w:t>
      </w:r>
      <w:r w:rsidR="00973DAA" w:rsidRPr="00C903F8">
        <w:rPr>
          <w:rFonts w:eastAsia="Calibri"/>
          <w:noProof/>
          <w:lang w:val="en-US" w:eastAsia="en-US"/>
        </w:rPr>
        <w:t>f rooms are located below the bulkhead deck, one of the exits can be a watertight bulkhead door, according to Article 19.02(10), leading into an adjacent compartment from which the upper deck can be reached directly. The other exit shall lead directly or, if permitted in accordance with (a), as an emergency exit into the open air, or to the bulkhead deck. This requirement does not apply to individual cabins</w:t>
      </w:r>
      <w:r w:rsidR="003216FC"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r>
      <w:r w:rsidR="003216FC" w:rsidRPr="00C903F8">
        <w:rPr>
          <w:rFonts w:eastAsia="Calibri"/>
          <w:noProof/>
          <w:lang w:val="en-US" w:eastAsia="en-US"/>
        </w:rPr>
        <w:t>E</w:t>
      </w:r>
      <w:r w:rsidR="00973DAA" w:rsidRPr="00C903F8">
        <w:rPr>
          <w:rFonts w:eastAsia="Calibri"/>
          <w:noProof/>
          <w:lang w:val="en-US" w:eastAsia="en-US"/>
        </w:rPr>
        <w:t>xits according to (a) and (b) shall be suitably arranged and shall have a clear width of at least 0,80 m and also a clear height of at least 2,00 m. For doors of passenger cabins and other small rooms, the clear width can be reduced to 0,70 m</w:t>
      </w:r>
      <w:r w:rsidR="003216FC"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r>
      <w:r w:rsidR="003216FC" w:rsidRPr="00C903F8">
        <w:rPr>
          <w:rFonts w:eastAsia="Calibri"/>
          <w:noProof/>
          <w:lang w:val="en-US" w:eastAsia="en-US"/>
        </w:rPr>
        <w:t>I</w:t>
      </w:r>
      <w:r w:rsidR="00973DAA" w:rsidRPr="00C903F8">
        <w:rPr>
          <w:rFonts w:eastAsia="Calibri"/>
          <w:noProof/>
          <w:lang w:val="en-US" w:eastAsia="en-US"/>
        </w:rPr>
        <w:t>n the case of rooms or groups of rooms intended for more than 80 passengers the sum of the widths of all exits intended for passengers and which shall be used by them in an emergency shall be at least 0,01 m per passenger</w:t>
      </w:r>
      <w:r w:rsidR="003216FC"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e)</w:t>
      </w:r>
      <w:r w:rsidR="00973DAA" w:rsidRPr="00C903F8">
        <w:rPr>
          <w:rFonts w:eastAsia="Calibri"/>
          <w:noProof/>
          <w:lang w:val="en-US" w:eastAsia="en-US"/>
        </w:rPr>
        <w:tab/>
      </w:r>
      <w:r w:rsidR="003216FC" w:rsidRPr="00C903F8">
        <w:rPr>
          <w:rFonts w:eastAsia="Calibri"/>
          <w:noProof/>
          <w:lang w:val="en-US" w:eastAsia="en-US"/>
        </w:rPr>
        <w:t>I</w:t>
      </w:r>
      <w:r w:rsidR="00973DAA" w:rsidRPr="00C903F8">
        <w:rPr>
          <w:rFonts w:eastAsia="Calibri"/>
          <w:noProof/>
          <w:lang w:val="en-US" w:eastAsia="en-US"/>
        </w:rPr>
        <w:t>f the total width of the exits is determined by the number of passengers, the width of each exit shall be at least 0,005 m per passenger</w:t>
      </w:r>
      <w:r w:rsidR="003216FC" w:rsidRPr="00C903F8">
        <w:rPr>
          <w:rFonts w:eastAsia="Calibri"/>
          <w:noProof/>
          <w:lang w:val="en-US" w:eastAsia="en-US"/>
        </w:rPr>
        <w:t>.</w:t>
      </w:r>
    </w:p>
    <w:p w:rsidR="004A3862" w:rsidRPr="00C903F8" w:rsidRDefault="004A3862" w:rsidP="004A3862">
      <w:pPr>
        <w:pStyle w:val="ESlet"/>
        <w:rPr>
          <w:rFonts w:eastAsia="Calibri"/>
          <w:noProof/>
          <w:lang w:val="en-US" w:eastAsia="en-US"/>
        </w:rPr>
      </w:pPr>
    </w:p>
    <w:p w:rsidR="004A3862" w:rsidRPr="00C903F8" w:rsidRDefault="004A3862" w:rsidP="004A3862">
      <w:pPr>
        <w:pStyle w:val="ESlet"/>
        <w:rPr>
          <w:rFonts w:eastAsia="Calibri"/>
          <w:noProof/>
          <w:lang w:val="en-US" w:eastAsia="en-US"/>
        </w:rPr>
      </w:pPr>
      <w:r w:rsidRPr="00C903F8">
        <w:rPr>
          <w:rFonts w:eastAsia="Calibri"/>
          <w:noProof/>
          <w:lang w:val="en-US" w:eastAsia="en-US"/>
        </w:rPr>
        <w:br w:type="page"/>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lastRenderedPageBreak/>
        <w:t>f)</w:t>
      </w:r>
      <w:r w:rsidR="00973DAA" w:rsidRPr="00C903F8">
        <w:rPr>
          <w:rFonts w:eastAsia="Calibri"/>
          <w:noProof/>
          <w:lang w:val="en-US" w:eastAsia="en-US"/>
        </w:rPr>
        <w:tab/>
      </w:r>
      <w:r w:rsidR="003216FC" w:rsidRPr="00C903F8">
        <w:rPr>
          <w:rFonts w:eastAsia="Calibri"/>
          <w:noProof/>
          <w:lang w:val="en-US" w:eastAsia="en-US"/>
        </w:rPr>
        <w:t>E</w:t>
      </w:r>
      <w:r w:rsidR="00973DAA" w:rsidRPr="00C903F8">
        <w:rPr>
          <w:rFonts w:eastAsia="Calibri"/>
          <w:noProof/>
          <w:lang w:val="en-US" w:eastAsia="en-US"/>
        </w:rPr>
        <w:t>mergency exits shall have a shortest side at least 0,60 m long or a minimum diameter of 0,70 m. They shall open in the direction of escape and be marked on both sides</w:t>
      </w:r>
      <w:r w:rsidR="003216FC" w:rsidRPr="00C903F8">
        <w:rPr>
          <w:rFonts w:eastAsia="Calibri"/>
          <w:noProof/>
          <w:lang w:val="en-US" w:eastAsia="en-US"/>
        </w:rPr>
        <w:t>.</w:t>
      </w:r>
    </w:p>
    <w:p w:rsidR="00973DAA" w:rsidRPr="00C903F8" w:rsidRDefault="00973DAA" w:rsidP="004A3862">
      <w:pPr>
        <w:pStyle w:val="ESlet"/>
        <w:rPr>
          <w:rFonts w:eastAsia="Calibri" w:cs="Arial"/>
          <w:szCs w:val="18"/>
          <w:lang w:val="en-US" w:eastAsia="en-US"/>
        </w:rPr>
      </w:pPr>
      <w:r w:rsidRPr="00C903F8">
        <w:rPr>
          <w:rFonts w:eastAsia="Calibri"/>
          <w:noProof/>
          <w:lang w:val="en-US" w:eastAsia="en-US"/>
        </w:rPr>
        <w:t>g)</w:t>
      </w:r>
      <w:r w:rsidRPr="00C903F8">
        <w:rPr>
          <w:rFonts w:eastAsia="Calibri"/>
          <w:noProof/>
          <w:lang w:val="en-US" w:eastAsia="en-US"/>
        </w:rPr>
        <w:tab/>
      </w:r>
      <w:r w:rsidR="00072882" w:rsidRPr="00856AD8">
        <w:rPr>
          <w:rFonts w:eastAsia="Calibri"/>
          <w:noProof/>
          <w:lang w:val="en-US" w:eastAsia="en-US"/>
        </w:rPr>
        <w:t xml:space="preserve">Exits of rooms intended for use by persons with reduced </w:t>
      </w:r>
      <w:r w:rsidR="00072882" w:rsidRPr="002614C4">
        <w:rPr>
          <w:rFonts w:eastAsia="Calibri"/>
          <w:noProof/>
          <w:lang w:val="en-US" w:eastAsia="en-US"/>
        </w:rPr>
        <w:t>mobility shall have a clear width of at least 0,90 m. Exits normally used for embarking and disembarking persons with</w:t>
      </w:r>
      <w:r w:rsidR="00072882" w:rsidRPr="00856AD8">
        <w:rPr>
          <w:rFonts w:eastAsia="Calibri"/>
          <w:noProof/>
          <w:lang w:val="en-US" w:eastAsia="en-US"/>
        </w:rPr>
        <w:t xml:space="preserve"> reduced mobility shall have a clear width of at least 1,50 m</w:t>
      </w:r>
      <w:r w:rsidRPr="00C903F8">
        <w:rPr>
          <w:rFonts w:eastAsia="Calibri"/>
          <w:noProof/>
          <w:lang w:val="en-US" w:eastAsia="en-US"/>
        </w:rPr>
        <w:t>.</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4.</w:t>
      </w:r>
      <w:r w:rsidRPr="00C903F8">
        <w:rPr>
          <w:rFonts w:eastAsia="Calibri"/>
          <w:noProof/>
          <w:lang w:val="en-US" w:eastAsia="en-US"/>
        </w:rPr>
        <w:tab/>
        <w:t>Doors of passenger rooms shall comply with the following requirements:</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r>
      <w:r w:rsidR="00F50FB5" w:rsidRPr="00C903F8">
        <w:rPr>
          <w:rFonts w:eastAsia="Calibri"/>
          <w:noProof/>
          <w:lang w:val="en-US" w:eastAsia="en-US"/>
        </w:rPr>
        <w:t>W</w:t>
      </w:r>
      <w:r w:rsidR="00973DAA" w:rsidRPr="00C903F8">
        <w:rPr>
          <w:rFonts w:eastAsia="Calibri"/>
          <w:noProof/>
          <w:lang w:val="en-US" w:eastAsia="en-US"/>
        </w:rPr>
        <w:t>ith the exception of doors leading to connecting corridors, they shall be capable of opening outwards or be constructed as sliding doors</w:t>
      </w:r>
      <w:r w:rsidR="00F50FB5"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r>
      <w:r w:rsidR="00F50FB5" w:rsidRPr="00C903F8">
        <w:rPr>
          <w:rFonts w:eastAsia="Calibri"/>
          <w:noProof/>
          <w:lang w:val="en-US" w:eastAsia="en-US"/>
        </w:rPr>
        <w:t>C</w:t>
      </w:r>
      <w:r w:rsidR="00973DAA" w:rsidRPr="00C903F8">
        <w:rPr>
          <w:rFonts w:eastAsia="Calibri"/>
          <w:noProof/>
          <w:lang w:val="en-US" w:eastAsia="en-US"/>
        </w:rPr>
        <w:t>abin doors shall be made in such a way that they can also be unlocked from the outside at any time</w:t>
      </w:r>
      <w:r w:rsidR="00F50FB5"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r>
      <w:r w:rsidR="00F50FB5" w:rsidRPr="00C903F8">
        <w:rPr>
          <w:rFonts w:eastAsia="Calibri"/>
          <w:noProof/>
          <w:lang w:val="en-US" w:eastAsia="en-US"/>
        </w:rPr>
        <w:t>P</w:t>
      </w:r>
      <w:r w:rsidR="00973DAA" w:rsidRPr="00C903F8">
        <w:rPr>
          <w:rFonts w:eastAsia="Calibri"/>
          <w:noProof/>
          <w:lang w:val="en-US" w:eastAsia="en-US"/>
        </w:rPr>
        <w:t>owered doors shall open easily in the event of failure of the power supply to this mechanism</w:t>
      </w:r>
      <w:r w:rsidR="00F50FB5"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d)</w:t>
      </w:r>
      <w:r w:rsidR="00F50FB5" w:rsidRPr="00C903F8">
        <w:rPr>
          <w:rFonts w:eastAsia="Calibri"/>
          <w:noProof/>
          <w:lang w:val="en-US" w:eastAsia="en-US"/>
        </w:rPr>
        <w:tab/>
        <w:t>F</w:t>
      </w:r>
      <w:r w:rsidR="00973DAA" w:rsidRPr="00C903F8">
        <w:rPr>
          <w:rFonts w:eastAsia="Calibri"/>
          <w:noProof/>
          <w:lang w:val="en-US" w:eastAsia="en-US"/>
        </w:rPr>
        <w:t>or doors intended for use by persons with reduced mobility, there shall be from the direction from which the door opens, a minimum clearance of 0,60 m between the inner edge of the doorframe on the lock side and an adjacent perpendicular wall.</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5.</w:t>
      </w:r>
      <w:r w:rsidRPr="00C903F8">
        <w:rPr>
          <w:rFonts w:eastAsia="Calibri"/>
          <w:noProof/>
          <w:lang w:val="en-US" w:eastAsia="en-US"/>
        </w:rPr>
        <w:tab/>
        <w:t>Connecting corridors shall comply with the following requirements:</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r>
      <w:r w:rsidR="00F50FB5" w:rsidRPr="00C903F8">
        <w:rPr>
          <w:rFonts w:eastAsia="Calibri"/>
          <w:noProof/>
          <w:lang w:val="en-US" w:eastAsia="en-US"/>
        </w:rPr>
        <w:t>T</w:t>
      </w:r>
      <w:r w:rsidR="00973DAA" w:rsidRPr="00C903F8">
        <w:rPr>
          <w:rFonts w:eastAsia="Calibri"/>
          <w:noProof/>
          <w:lang w:val="en-US" w:eastAsia="en-US"/>
        </w:rPr>
        <w:t>hey shall have a clear width of at least 0,80 m. If they lead to rooms used by more than 80</w:t>
      </w:r>
      <w:r w:rsidR="004A3862" w:rsidRPr="00C903F8">
        <w:rPr>
          <w:rFonts w:eastAsia="Calibri"/>
          <w:noProof/>
          <w:lang w:val="en-US" w:eastAsia="en-US"/>
        </w:rPr>
        <w:t> </w:t>
      </w:r>
      <w:r w:rsidR="00973DAA" w:rsidRPr="00C903F8">
        <w:rPr>
          <w:rFonts w:eastAsia="Calibri"/>
          <w:noProof/>
          <w:lang w:val="en-US" w:eastAsia="en-US"/>
        </w:rPr>
        <w:t>passengers, they shall comply with the provisions mentioned in (3)(d) and (e) regarding the width of the exits leading to connecting corridors</w:t>
      </w:r>
      <w:r w:rsidR="00F50FB5"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r>
      <w:r w:rsidR="00F50FB5" w:rsidRPr="00C903F8">
        <w:rPr>
          <w:rFonts w:eastAsia="Calibri"/>
          <w:noProof/>
          <w:lang w:val="en-US" w:eastAsia="en-US"/>
        </w:rPr>
        <w:t>T</w:t>
      </w:r>
      <w:r w:rsidR="00973DAA" w:rsidRPr="00C903F8">
        <w:rPr>
          <w:rFonts w:eastAsia="Calibri"/>
          <w:noProof/>
          <w:lang w:val="en-US" w:eastAsia="en-US"/>
        </w:rPr>
        <w:t>heir clear height shall be not less than 2,00 m</w:t>
      </w:r>
      <w:r w:rsidR="00F50FB5"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c)</w:t>
      </w:r>
      <w:r w:rsidR="00F50FB5" w:rsidRPr="00C903F8">
        <w:rPr>
          <w:rFonts w:eastAsia="Calibri"/>
          <w:noProof/>
          <w:lang w:val="en-US" w:eastAsia="en-US"/>
        </w:rPr>
        <w:tab/>
        <w:t>C</w:t>
      </w:r>
      <w:r w:rsidR="00973DAA" w:rsidRPr="00C903F8">
        <w:rPr>
          <w:rFonts w:eastAsia="Calibri"/>
          <w:noProof/>
          <w:lang w:val="en-US" w:eastAsia="en-US"/>
        </w:rPr>
        <w:t>onnecting corridors intended for use by persons with reduced mobility shall have a clear width of 1,30 m. Connecting corridors more than 1,50 m wide shall have handrails on either side</w:t>
      </w:r>
      <w:r w:rsidR="00F50FB5"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d)</w:t>
      </w:r>
      <w:r w:rsidR="00F50FB5" w:rsidRPr="00C903F8">
        <w:rPr>
          <w:rFonts w:eastAsia="Calibri"/>
          <w:noProof/>
          <w:lang w:val="en-US" w:eastAsia="en-US"/>
        </w:rPr>
        <w:tab/>
        <w:t>W</w:t>
      </w:r>
      <w:r w:rsidR="00973DAA" w:rsidRPr="00C903F8">
        <w:rPr>
          <w:rFonts w:eastAsia="Calibri"/>
          <w:noProof/>
          <w:lang w:val="en-US" w:eastAsia="en-US"/>
        </w:rPr>
        <w:t>here a part of the vessel or a room intended for passengers is served by a single connecting corridor, the clear width thereof shall be at least 1,00 m</w:t>
      </w:r>
      <w:r w:rsidR="00F50FB5"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e)</w:t>
      </w:r>
      <w:r w:rsidR="00F50FB5" w:rsidRPr="00C903F8">
        <w:rPr>
          <w:rFonts w:eastAsia="Calibri"/>
          <w:noProof/>
          <w:lang w:val="en-US" w:eastAsia="en-US"/>
        </w:rPr>
        <w:tab/>
        <w:t>C</w:t>
      </w:r>
      <w:r w:rsidR="00973DAA" w:rsidRPr="00C903F8">
        <w:rPr>
          <w:rFonts w:eastAsia="Calibri"/>
          <w:noProof/>
          <w:lang w:val="en-US" w:eastAsia="en-US"/>
        </w:rPr>
        <w:t>onnecting corridors shall be free of steps</w:t>
      </w:r>
      <w:r w:rsidR="00F50FB5"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f)</w:t>
      </w:r>
      <w:r w:rsidR="00973DAA" w:rsidRPr="00C903F8">
        <w:rPr>
          <w:rFonts w:eastAsia="Calibri"/>
          <w:noProof/>
          <w:lang w:val="en-US" w:eastAsia="en-US"/>
        </w:rPr>
        <w:tab/>
      </w:r>
      <w:r w:rsidR="00F50FB5" w:rsidRPr="00C903F8">
        <w:rPr>
          <w:rFonts w:eastAsia="Calibri"/>
          <w:noProof/>
          <w:lang w:val="en-US" w:eastAsia="en-US"/>
        </w:rPr>
        <w:t>T</w:t>
      </w:r>
      <w:r w:rsidR="00973DAA" w:rsidRPr="00C903F8">
        <w:rPr>
          <w:rFonts w:eastAsia="Calibri"/>
          <w:noProof/>
          <w:lang w:val="en-US" w:eastAsia="en-US"/>
        </w:rPr>
        <w:t>hey shall lead only to open decks, rooms or staircases</w:t>
      </w:r>
      <w:r w:rsidR="00F50FB5"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g)</w:t>
      </w:r>
      <w:r w:rsidR="00973DAA" w:rsidRPr="00C903F8">
        <w:rPr>
          <w:rFonts w:eastAsia="Calibri"/>
          <w:noProof/>
          <w:lang w:val="en-US" w:eastAsia="en-US"/>
        </w:rPr>
        <w:tab/>
      </w:r>
      <w:r w:rsidR="00F50FB5" w:rsidRPr="00C903F8">
        <w:rPr>
          <w:rFonts w:eastAsia="Calibri"/>
          <w:noProof/>
          <w:lang w:val="en-US" w:eastAsia="en-US"/>
        </w:rPr>
        <w:t>D</w:t>
      </w:r>
      <w:r w:rsidR="00973DAA" w:rsidRPr="00C903F8">
        <w:rPr>
          <w:rFonts w:eastAsia="Calibri"/>
          <w:noProof/>
          <w:lang w:val="en-US" w:eastAsia="en-US"/>
        </w:rPr>
        <w:t>ead ends in connecting corridors shall be not longer than two meters.</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6.</w:t>
      </w:r>
      <w:r w:rsidRPr="00C903F8">
        <w:rPr>
          <w:rFonts w:eastAsia="Calibri"/>
          <w:noProof/>
          <w:lang w:val="en-US" w:eastAsia="en-US"/>
        </w:rPr>
        <w:tab/>
        <w:t xml:space="preserve">In addition to the provisions of </w:t>
      </w:r>
      <w:r w:rsidR="00FD1E75" w:rsidRPr="00C903F8">
        <w:rPr>
          <w:rFonts w:eastAsia="Calibri"/>
          <w:noProof/>
          <w:lang w:val="en-US" w:eastAsia="en-US"/>
        </w:rPr>
        <w:t>(</w:t>
      </w:r>
      <w:r w:rsidRPr="00C903F8">
        <w:rPr>
          <w:rFonts w:eastAsia="Calibri"/>
          <w:noProof/>
          <w:lang w:val="en-US" w:eastAsia="en-US"/>
        </w:rPr>
        <w:t>5</w:t>
      </w:r>
      <w:r w:rsidR="00FD1E75" w:rsidRPr="00C903F8">
        <w:rPr>
          <w:rFonts w:eastAsia="Calibri"/>
          <w:noProof/>
          <w:lang w:val="en-US" w:eastAsia="en-US"/>
        </w:rPr>
        <w:t>)</w:t>
      </w:r>
      <w:r w:rsidRPr="00C903F8">
        <w:rPr>
          <w:rFonts w:eastAsia="Calibri"/>
          <w:noProof/>
          <w:lang w:val="en-US" w:eastAsia="en-US"/>
        </w:rPr>
        <w:t>, escape routes shall also comply with the following requirements:</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r>
      <w:r w:rsidR="00F50FB5" w:rsidRPr="00C903F8">
        <w:rPr>
          <w:rFonts w:eastAsia="Calibri"/>
          <w:noProof/>
          <w:lang w:val="en-US" w:eastAsia="en-US"/>
        </w:rPr>
        <w:t>S</w:t>
      </w:r>
      <w:r w:rsidR="00973DAA" w:rsidRPr="00C903F8">
        <w:rPr>
          <w:rFonts w:eastAsia="Calibri"/>
          <w:noProof/>
          <w:lang w:val="en-US" w:eastAsia="en-US"/>
        </w:rPr>
        <w:t>tairways, exits and emergency exits shall be so disposed that, in the event of a fire in any given area, the other areas may be evacuated safely</w:t>
      </w:r>
      <w:r w:rsidR="00F50FB5"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r>
      <w:r w:rsidR="00F50FB5" w:rsidRPr="00C903F8">
        <w:rPr>
          <w:rFonts w:eastAsia="Calibri"/>
          <w:noProof/>
          <w:lang w:val="en-US" w:eastAsia="en-US"/>
        </w:rPr>
        <w:t>T</w:t>
      </w:r>
      <w:r w:rsidR="00973DAA" w:rsidRPr="00C903F8">
        <w:rPr>
          <w:rFonts w:eastAsia="Calibri"/>
          <w:noProof/>
          <w:lang w:val="en-US" w:eastAsia="en-US"/>
        </w:rPr>
        <w:t xml:space="preserve">he escape routes shall lead by the shortest route to evacuation areas according to </w:t>
      </w:r>
      <w:r w:rsidR="00FD1E75" w:rsidRPr="00C903F8">
        <w:rPr>
          <w:rFonts w:eastAsia="Calibri"/>
          <w:noProof/>
          <w:lang w:val="en-US" w:eastAsia="en-US"/>
        </w:rPr>
        <w:t>(</w:t>
      </w:r>
      <w:r w:rsidR="00973DAA" w:rsidRPr="00C903F8">
        <w:rPr>
          <w:rFonts w:eastAsia="Calibri"/>
          <w:noProof/>
          <w:lang w:val="en-US" w:eastAsia="en-US"/>
        </w:rPr>
        <w:t>8</w:t>
      </w:r>
      <w:r w:rsidR="00FD1E75" w:rsidRPr="00C903F8">
        <w:rPr>
          <w:rFonts w:eastAsia="Calibri"/>
          <w:noProof/>
          <w:lang w:val="en-US" w:eastAsia="en-US"/>
        </w:rPr>
        <w:t>)</w:t>
      </w:r>
      <w:r w:rsidR="00F50FB5"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r>
      <w:r w:rsidR="00F50FB5" w:rsidRPr="00C903F8">
        <w:rPr>
          <w:rFonts w:eastAsia="Calibri"/>
          <w:noProof/>
          <w:lang w:val="en-US" w:eastAsia="en-US"/>
        </w:rPr>
        <w:t>E</w:t>
      </w:r>
      <w:r w:rsidR="00973DAA" w:rsidRPr="00C903F8">
        <w:rPr>
          <w:rFonts w:eastAsia="Calibri"/>
          <w:noProof/>
          <w:lang w:val="en-US" w:eastAsia="en-US"/>
        </w:rPr>
        <w:t>scape routes shall not lead through engine rooms or galleys</w:t>
      </w:r>
      <w:r w:rsidR="00F50FB5"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r>
      <w:r w:rsidR="00F50FB5" w:rsidRPr="00C903F8">
        <w:rPr>
          <w:rFonts w:eastAsia="Calibri"/>
          <w:noProof/>
          <w:lang w:val="en-US" w:eastAsia="en-US"/>
        </w:rPr>
        <w:t>T</w:t>
      </w:r>
      <w:r w:rsidR="00973DAA" w:rsidRPr="00C903F8">
        <w:rPr>
          <w:rFonts w:eastAsia="Calibri"/>
          <w:noProof/>
          <w:lang w:val="en-US" w:eastAsia="en-US"/>
        </w:rPr>
        <w:t>here shall be no rungs, ladders or the like installed at any point along the escape routes</w:t>
      </w:r>
      <w:r w:rsidR="00F50FB5"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e)</w:t>
      </w:r>
      <w:r w:rsidR="00973DAA" w:rsidRPr="00C903F8">
        <w:rPr>
          <w:rFonts w:eastAsia="Calibri"/>
          <w:noProof/>
          <w:lang w:val="en-US" w:eastAsia="en-US"/>
        </w:rPr>
        <w:tab/>
      </w:r>
      <w:r w:rsidR="00F50FB5" w:rsidRPr="00C903F8">
        <w:rPr>
          <w:rFonts w:eastAsia="Calibri"/>
          <w:noProof/>
          <w:lang w:val="en-US" w:eastAsia="en-US"/>
        </w:rPr>
        <w:t>D</w:t>
      </w:r>
      <w:r w:rsidR="00973DAA" w:rsidRPr="00C903F8">
        <w:rPr>
          <w:rFonts w:eastAsia="Calibri"/>
          <w:noProof/>
          <w:lang w:val="en-US" w:eastAsia="en-US"/>
        </w:rPr>
        <w:t xml:space="preserve">oors to escape routes shall be constructed in such a way as not to reduce the minimum width of the escape route referred to in </w:t>
      </w:r>
      <w:r w:rsidR="00FD1E75" w:rsidRPr="00C903F8">
        <w:rPr>
          <w:rFonts w:eastAsia="Calibri"/>
          <w:noProof/>
          <w:lang w:val="en-US" w:eastAsia="en-US"/>
        </w:rPr>
        <w:t>(</w:t>
      </w:r>
      <w:r w:rsidR="00973DAA" w:rsidRPr="00C903F8">
        <w:rPr>
          <w:rFonts w:eastAsia="Calibri"/>
          <w:noProof/>
          <w:lang w:val="en-US" w:eastAsia="en-US"/>
        </w:rPr>
        <w:t>5</w:t>
      </w:r>
      <w:r w:rsidR="00FD1E75" w:rsidRPr="00C903F8">
        <w:rPr>
          <w:rFonts w:eastAsia="Calibri"/>
          <w:noProof/>
          <w:lang w:val="en-US" w:eastAsia="en-US"/>
        </w:rPr>
        <w:t>)</w:t>
      </w:r>
      <w:r w:rsidR="00973DAA" w:rsidRPr="00C903F8">
        <w:rPr>
          <w:rFonts w:eastAsia="Calibri"/>
          <w:noProof/>
          <w:lang w:val="en-US" w:eastAsia="en-US"/>
        </w:rPr>
        <w:t xml:space="preserve">(a) or </w:t>
      </w:r>
      <w:r w:rsidR="00B165F6" w:rsidRPr="00C903F8">
        <w:rPr>
          <w:rFonts w:eastAsia="Calibri"/>
          <w:noProof/>
          <w:lang w:val="en-US" w:eastAsia="en-US"/>
        </w:rPr>
        <w:t>(</w:t>
      </w:r>
      <w:r w:rsidR="005C7859" w:rsidRPr="00C903F8">
        <w:rPr>
          <w:rFonts w:eastAsia="Calibri"/>
          <w:noProof/>
          <w:lang w:val="en-US" w:eastAsia="en-US"/>
        </w:rPr>
        <w:t>d)</w:t>
      </w:r>
      <w:r w:rsidR="00F50FB5"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f)</w:t>
      </w:r>
      <w:r w:rsidR="00973DAA" w:rsidRPr="00C903F8">
        <w:rPr>
          <w:rFonts w:eastAsia="Calibri"/>
          <w:noProof/>
          <w:lang w:val="en-US" w:eastAsia="en-US"/>
        </w:rPr>
        <w:tab/>
      </w:r>
      <w:r w:rsidR="00F50FB5" w:rsidRPr="00C903F8">
        <w:rPr>
          <w:rFonts w:eastAsia="Calibri"/>
          <w:noProof/>
          <w:lang w:val="en-US" w:eastAsia="en-US"/>
        </w:rPr>
        <w:t>E</w:t>
      </w:r>
      <w:r w:rsidR="00973DAA" w:rsidRPr="00C903F8">
        <w:rPr>
          <w:rFonts w:eastAsia="Calibri"/>
          <w:noProof/>
          <w:lang w:val="en-US" w:eastAsia="en-US"/>
        </w:rPr>
        <w:t>scape routes and emergency exits shall be clearly signed. The signs shall be lit by the emergency lighting system.</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7.</w:t>
      </w:r>
      <w:r w:rsidRPr="00C903F8">
        <w:rPr>
          <w:rFonts w:eastAsia="Calibri"/>
          <w:noProof/>
          <w:lang w:val="en-US" w:eastAsia="en-US"/>
        </w:rPr>
        <w:tab/>
        <w:t>Escape routes and emergency exits shall have a suitable safety guidance system.</w:t>
      </w:r>
    </w:p>
    <w:p w:rsidR="004A3862" w:rsidRPr="00C903F8" w:rsidRDefault="004A3862" w:rsidP="00973DAA">
      <w:pPr>
        <w:pStyle w:val="ESch"/>
        <w:rPr>
          <w:rFonts w:eastAsia="Calibri"/>
          <w:noProof/>
          <w:lang w:val="en-US" w:eastAsia="en-US"/>
        </w:rPr>
      </w:pPr>
    </w:p>
    <w:p w:rsidR="004A3862" w:rsidRPr="00C903F8" w:rsidRDefault="004A3862" w:rsidP="00973DAA">
      <w:pPr>
        <w:pStyle w:val="ESch"/>
        <w:rPr>
          <w:rFonts w:eastAsia="Calibri"/>
          <w:noProof/>
          <w:lang w:val="en-US" w:eastAsia="en-US"/>
        </w:rPr>
      </w:pPr>
      <w:r w:rsidRPr="00C903F8">
        <w:rPr>
          <w:rFonts w:eastAsia="Calibri"/>
          <w:noProof/>
          <w:lang w:val="en-US" w:eastAsia="en-US"/>
        </w:rPr>
        <w:br w:type="page"/>
      </w: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lastRenderedPageBreak/>
        <w:t>8.</w:t>
      </w:r>
      <w:r w:rsidRPr="00C903F8">
        <w:rPr>
          <w:rFonts w:eastAsia="Calibri"/>
          <w:noProof/>
          <w:lang w:val="en-US" w:eastAsia="en-US"/>
        </w:rPr>
        <w:tab/>
        <w:t>For all persons on board, there shall be muster areas available which satisfy the following requirements:</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r>
      <w:r w:rsidR="00F50FB5" w:rsidRPr="00C903F8">
        <w:rPr>
          <w:rFonts w:eastAsia="Calibri"/>
          <w:noProof/>
          <w:lang w:val="en-US" w:eastAsia="en-US"/>
        </w:rPr>
        <w:t>T</w:t>
      </w:r>
      <w:r w:rsidR="00973DAA" w:rsidRPr="00C903F8">
        <w:rPr>
          <w:rFonts w:eastAsia="Calibri"/>
          <w:noProof/>
          <w:lang w:val="en-US" w:eastAsia="en-US"/>
        </w:rPr>
        <w:t xml:space="preserve">he total area of the muster areas </w:t>
      </w:r>
      <m:oMath>
        <m:sSub>
          <m:sSubPr>
            <m:ctrlPr>
              <w:rPr>
                <w:rFonts w:ascii="Cambria Math" w:eastAsia="Calibri" w:hAnsi="Cambria Math"/>
                <w:i/>
                <w:lang w:val="en-US" w:eastAsia="en-US"/>
              </w:rPr>
            </m:ctrlPr>
          </m:sSubPr>
          <m:e>
            <m:r>
              <w:rPr>
                <w:rFonts w:ascii="Cambria Math" w:eastAsia="Calibri" w:hAnsi="Cambria Math"/>
                <w:lang w:val="en-US" w:eastAsia="en-US"/>
              </w:rPr>
              <m:t>A</m:t>
            </m:r>
          </m:e>
          <m:sub>
            <m:r>
              <w:rPr>
                <w:rFonts w:ascii="Cambria Math" w:eastAsia="Calibri" w:hAnsi="Cambria Math"/>
                <w:lang w:val="en-US" w:eastAsia="en-US"/>
              </w:rPr>
              <m:t>S</m:t>
            </m:r>
          </m:sub>
        </m:sSub>
      </m:oMath>
      <w:r w:rsidR="00973DAA" w:rsidRPr="00C903F8">
        <w:rPr>
          <w:rFonts w:eastAsia="Calibri" w:cs="Arial"/>
          <w:szCs w:val="18"/>
          <w:lang w:val="en-US" w:eastAsia="en-US"/>
        </w:rPr>
        <w:t xml:space="preserve"> </w:t>
      </w:r>
      <w:r w:rsidR="00973DAA" w:rsidRPr="00C903F8">
        <w:rPr>
          <w:rFonts w:eastAsia="Calibri"/>
          <w:noProof/>
          <w:lang w:val="en-US" w:eastAsia="en-US"/>
        </w:rPr>
        <w:t>shall correspond to at least the following value:</w:t>
      </w:r>
    </w:p>
    <w:p w:rsidR="00973DAA" w:rsidRPr="00C903F8" w:rsidRDefault="00973DAA" w:rsidP="004A3862">
      <w:pPr>
        <w:pStyle w:val="ESletpar"/>
        <w:rPr>
          <w:rFonts w:eastAsia="Calibri"/>
          <w:lang w:val="en-US"/>
        </w:rPr>
      </w:pPr>
      <w:r w:rsidRPr="00C903F8">
        <w:rPr>
          <w:rFonts w:eastAsia="Calibri"/>
          <w:noProof/>
          <w:lang w:val="en-US"/>
        </w:rPr>
        <w:t>Day trip vessels</w:t>
      </w:r>
      <w:r w:rsidRPr="00C903F8">
        <w:rPr>
          <w:rFonts w:eastAsia="Calibri"/>
          <w:lang w:val="en-US"/>
        </w:rPr>
        <w:t>:</w:t>
      </w:r>
      <w:r w:rsidRPr="00C903F8">
        <w:rPr>
          <w:rFonts w:eastAsia="Calibri"/>
          <w:lang w:val="en-US"/>
        </w:rPr>
        <w:tab/>
      </w:r>
      <m:oMath>
        <m:sSub>
          <m:sSubPr>
            <m:ctrlPr>
              <w:rPr>
                <w:rFonts w:ascii="Cambria Math" w:eastAsia="Calibri" w:hAnsi="Cambria Math"/>
                <w:i/>
                <w:lang w:val="en-US" w:eastAsia="en-US"/>
              </w:rPr>
            </m:ctrlPr>
          </m:sSubPr>
          <m:e>
            <m:r>
              <w:rPr>
                <w:rFonts w:ascii="Cambria Math" w:eastAsia="Calibri" w:hAnsi="Cambria Math"/>
                <w:lang w:val="en-US" w:eastAsia="en-US"/>
              </w:rPr>
              <m:t>A</m:t>
            </m:r>
          </m:e>
          <m:sub>
            <m:r>
              <w:rPr>
                <w:rFonts w:ascii="Cambria Math" w:eastAsia="Calibri" w:hAnsi="Cambria Math"/>
                <w:lang w:val="en-US" w:eastAsia="en-US"/>
              </w:rPr>
              <m:t>S</m:t>
            </m:r>
          </m:sub>
        </m:sSub>
        <m:r>
          <w:rPr>
            <w:rFonts w:ascii="Cambria Math" w:eastAsia="Calibri" w:hAnsi="Cambria Math"/>
            <w:lang w:val="en-US" w:eastAsia="en-US"/>
          </w:rPr>
          <m:t xml:space="preserve">=0,35 ∙ </m:t>
        </m:r>
        <m:sSub>
          <m:sSubPr>
            <m:ctrlPr>
              <w:rPr>
                <w:rFonts w:ascii="Cambria Math" w:eastAsia="Calibri" w:hAnsi="Cambria Math"/>
                <w:i/>
                <w:lang w:val="en-US" w:eastAsia="en-US"/>
              </w:rPr>
            </m:ctrlPr>
          </m:sSubPr>
          <m:e>
            <m:r>
              <w:rPr>
                <w:rFonts w:ascii="Cambria Math" w:eastAsia="Calibri" w:hAnsi="Cambria Math"/>
                <w:lang w:val="en-US" w:eastAsia="en-US"/>
              </w:rPr>
              <m:t>F</m:t>
            </m:r>
          </m:e>
          <m:sub>
            <m:r>
              <w:rPr>
                <w:rFonts w:ascii="Cambria Math" w:eastAsia="Calibri" w:hAnsi="Cambria Math"/>
                <w:lang w:val="en-US" w:eastAsia="en-US"/>
              </w:rPr>
              <m:t>max</m:t>
            </m:r>
          </m:sub>
        </m:sSub>
        <m:r>
          <w:rPr>
            <w:rFonts w:ascii="Cambria Math" w:eastAsia="Calibri" w:hAnsi="Cambria Math"/>
            <w:lang w:val="en-US" w:eastAsia="en-US"/>
          </w:rPr>
          <m:t xml:space="preserve"> </m:t>
        </m:r>
        <m:d>
          <m:dPr>
            <m:begChr m:val="["/>
            <m:endChr m:val="]"/>
            <m:ctrlPr>
              <w:rPr>
                <w:rFonts w:ascii="Cambria Math" w:eastAsia="Calibri" w:hAnsi="Cambria Math"/>
                <w:i/>
                <w:lang w:val="en-US" w:eastAsia="en-US"/>
              </w:rPr>
            </m:ctrlPr>
          </m:dPr>
          <m:e>
            <m:sSup>
              <m:sSupPr>
                <m:ctrlPr>
                  <w:rPr>
                    <w:rFonts w:ascii="Cambria Math" w:eastAsia="Calibri" w:hAnsi="Cambria Math"/>
                    <w:i/>
                    <w:lang w:val="en-US" w:eastAsia="en-US"/>
                  </w:rPr>
                </m:ctrlPr>
              </m:sSupPr>
              <m:e>
                <m:r>
                  <w:rPr>
                    <w:rFonts w:ascii="Cambria Math" w:eastAsia="Calibri" w:hAnsi="Cambria Math"/>
                    <w:lang w:val="en-US" w:eastAsia="en-US"/>
                  </w:rPr>
                  <m:t>m</m:t>
                </m:r>
              </m:e>
              <m:sup>
                <m:r>
                  <w:rPr>
                    <w:rFonts w:ascii="Cambria Math" w:eastAsia="Calibri" w:hAnsi="Cambria Math"/>
                    <w:lang w:val="en-US" w:eastAsia="en-US"/>
                  </w:rPr>
                  <m:t>2</m:t>
                </m:r>
              </m:sup>
            </m:sSup>
          </m:e>
        </m:d>
      </m:oMath>
      <w:r w:rsidR="00B70293" w:rsidRPr="00C903F8">
        <w:rPr>
          <w:rFonts w:eastAsia="Calibri"/>
          <w:vertAlign w:val="subscript"/>
          <w:lang w:val="en-US"/>
        </w:rPr>
        <w:t xml:space="preserve"> </w:t>
      </w:r>
    </w:p>
    <w:p w:rsidR="00973DAA" w:rsidRPr="00C903F8" w:rsidRDefault="00973DAA" w:rsidP="004A3862">
      <w:pPr>
        <w:pStyle w:val="ESletpar"/>
        <w:rPr>
          <w:rFonts w:eastAsia="Calibri"/>
          <w:lang w:val="en-US"/>
        </w:rPr>
      </w:pPr>
      <w:r w:rsidRPr="00C903F8">
        <w:rPr>
          <w:rFonts w:eastAsia="Calibri"/>
          <w:noProof/>
          <w:szCs w:val="16"/>
          <w:lang w:val="en-US"/>
        </w:rPr>
        <w:t>Cabin vessels</w:t>
      </w:r>
      <w:r w:rsidRPr="00C903F8">
        <w:rPr>
          <w:rFonts w:eastAsia="Calibri"/>
          <w:lang w:val="en-US"/>
        </w:rPr>
        <w:t>:</w:t>
      </w:r>
      <w:r w:rsidRPr="00C903F8">
        <w:rPr>
          <w:rFonts w:eastAsia="Calibri"/>
          <w:lang w:val="en-US"/>
        </w:rPr>
        <w:tab/>
      </w:r>
      <m:oMath>
        <m:sSub>
          <m:sSubPr>
            <m:ctrlPr>
              <w:rPr>
                <w:rFonts w:ascii="Cambria Math" w:eastAsia="Calibri" w:hAnsi="Cambria Math"/>
                <w:i/>
                <w:lang w:val="en-US" w:eastAsia="en-US"/>
              </w:rPr>
            </m:ctrlPr>
          </m:sSubPr>
          <m:e>
            <m:r>
              <w:rPr>
                <w:rFonts w:ascii="Cambria Math" w:eastAsia="Calibri" w:hAnsi="Cambria Math"/>
                <w:lang w:val="en-US" w:eastAsia="en-US"/>
              </w:rPr>
              <m:t>A</m:t>
            </m:r>
          </m:e>
          <m:sub>
            <m:r>
              <w:rPr>
                <w:rFonts w:ascii="Cambria Math" w:eastAsia="Calibri" w:hAnsi="Cambria Math"/>
                <w:lang w:val="en-US" w:eastAsia="en-US"/>
              </w:rPr>
              <m:t>S</m:t>
            </m:r>
          </m:sub>
        </m:sSub>
        <m:r>
          <w:rPr>
            <w:rFonts w:ascii="Cambria Math" w:eastAsia="Calibri" w:hAnsi="Cambria Math"/>
            <w:lang w:val="en-US" w:eastAsia="en-US"/>
          </w:rPr>
          <m:t xml:space="preserve">=0,45 ∙ </m:t>
        </m:r>
        <m:sSub>
          <m:sSubPr>
            <m:ctrlPr>
              <w:rPr>
                <w:rFonts w:ascii="Cambria Math" w:eastAsia="Calibri" w:hAnsi="Cambria Math"/>
                <w:i/>
                <w:lang w:val="en-US" w:eastAsia="en-US"/>
              </w:rPr>
            </m:ctrlPr>
          </m:sSubPr>
          <m:e>
            <m:r>
              <w:rPr>
                <w:rFonts w:ascii="Cambria Math" w:eastAsia="Calibri" w:hAnsi="Cambria Math"/>
                <w:lang w:val="en-US" w:eastAsia="en-US"/>
              </w:rPr>
              <m:t>F</m:t>
            </m:r>
          </m:e>
          <m:sub>
            <m:r>
              <w:rPr>
                <w:rFonts w:ascii="Cambria Math" w:eastAsia="Calibri" w:hAnsi="Cambria Math"/>
                <w:lang w:val="en-US" w:eastAsia="en-US"/>
              </w:rPr>
              <m:t>max</m:t>
            </m:r>
          </m:sub>
        </m:sSub>
        <m:r>
          <w:rPr>
            <w:rFonts w:ascii="Cambria Math" w:eastAsia="Calibri" w:hAnsi="Cambria Math"/>
            <w:lang w:val="en-US" w:eastAsia="en-US"/>
          </w:rPr>
          <m:t xml:space="preserve"> </m:t>
        </m:r>
        <m:d>
          <m:dPr>
            <m:begChr m:val="["/>
            <m:endChr m:val="]"/>
            <m:ctrlPr>
              <w:rPr>
                <w:rFonts w:ascii="Cambria Math" w:eastAsia="Calibri" w:hAnsi="Cambria Math"/>
                <w:i/>
                <w:lang w:val="en-US" w:eastAsia="en-US"/>
              </w:rPr>
            </m:ctrlPr>
          </m:dPr>
          <m:e>
            <m:sSup>
              <m:sSupPr>
                <m:ctrlPr>
                  <w:rPr>
                    <w:rFonts w:ascii="Cambria Math" w:eastAsia="Calibri" w:hAnsi="Cambria Math"/>
                    <w:i/>
                    <w:lang w:val="en-US" w:eastAsia="en-US"/>
                  </w:rPr>
                </m:ctrlPr>
              </m:sSupPr>
              <m:e>
                <m:r>
                  <w:rPr>
                    <w:rFonts w:ascii="Cambria Math" w:eastAsia="Calibri" w:hAnsi="Cambria Math"/>
                    <w:lang w:val="en-US" w:eastAsia="en-US"/>
                  </w:rPr>
                  <m:t>m</m:t>
                </m:r>
              </m:e>
              <m:sup>
                <m:r>
                  <w:rPr>
                    <w:rFonts w:ascii="Cambria Math" w:eastAsia="Calibri" w:hAnsi="Cambria Math"/>
                    <w:lang w:val="en-US" w:eastAsia="en-US"/>
                  </w:rPr>
                  <m:t>2</m:t>
                </m:r>
              </m:sup>
            </m:sSup>
          </m:e>
        </m:d>
      </m:oMath>
    </w:p>
    <w:p w:rsidR="00973DAA" w:rsidRPr="00C903F8" w:rsidRDefault="00973DAA" w:rsidP="004A3862">
      <w:pPr>
        <w:pStyle w:val="ESletpar"/>
        <w:rPr>
          <w:rFonts w:eastAsia="Calibri"/>
          <w:lang w:val="en-US"/>
        </w:rPr>
      </w:pPr>
      <w:r w:rsidRPr="00C903F8">
        <w:rPr>
          <w:rFonts w:eastAsia="Calibri"/>
          <w:lang w:val="en-US"/>
        </w:rPr>
        <w:t>where</w:t>
      </w:r>
    </w:p>
    <w:p w:rsidR="00973DAA" w:rsidRPr="00C903F8" w:rsidRDefault="00F12BAF" w:rsidP="004A3862">
      <w:pPr>
        <w:pStyle w:val="ESletpar"/>
        <w:tabs>
          <w:tab w:val="left" w:pos="1701"/>
        </w:tabs>
        <w:rPr>
          <w:rFonts w:eastAsia="Calibri"/>
          <w:szCs w:val="18"/>
          <w:lang w:val="en-US"/>
        </w:rPr>
      </w:pPr>
      <m:oMath>
        <m:sSub>
          <m:sSubPr>
            <m:ctrlPr>
              <w:rPr>
                <w:rFonts w:ascii="Cambria Math" w:eastAsia="Calibri" w:hAnsi="Cambria Math"/>
                <w:i/>
                <w:szCs w:val="18"/>
                <w:lang w:val="en-US" w:eastAsia="en-GB"/>
              </w:rPr>
            </m:ctrlPr>
          </m:sSubPr>
          <m:e>
            <m:r>
              <w:rPr>
                <w:rFonts w:ascii="Cambria Math" w:eastAsia="Calibri" w:hAnsi="Cambria Math"/>
                <w:szCs w:val="18"/>
                <w:lang w:val="en-US" w:eastAsia="en-GB"/>
              </w:rPr>
              <m:t>F</m:t>
            </m:r>
          </m:e>
          <m:sub>
            <m:r>
              <w:rPr>
                <w:rFonts w:ascii="Cambria Math" w:eastAsia="Calibri" w:hAnsi="Cambria Math"/>
                <w:szCs w:val="18"/>
                <w:lang w:val="en-US" w:eastAsia="en-GB"/>
              </w:rPr>
              <m:t>max</m:t>
            </m:r>
          </m:sub>
        </m:sSub>
      </m:oMath>
      <w:r w:rsidR="000F3AFD" w:rsidRPr="00C903F8">
        <w:rPr>
          <w:rFonts w:eastAsia="Calibri"/>
          <w:szCs w:val="18"/>
          <w:lang w:val="en-US" w:eastAsia="en-GB"/>
        </w:rPr>
        <w:t xml:space="preserve"> =</w:t>
      </w:r>
      <w:r w:rsidR="000F3AFD" w:rsidRPr="00C903F8">
        <w:rPr>
          <w:rFonts w:eastAsia="Calibri"/>
          <w:szCs w:val="18"/>
          <w:vertAlign w:val="subscript"/>
          <w:lang w:val="en-US" w:eastAsia="en-GB"/>
        </w:rPr>
        <w:tab/>
      </w:r>
      <w:r w:rsidR="00973DAA" w:rsidRPr="00C903F8">
        <w:rPr>
          <w:rFonts w:eastAsia="Calibri"/>
          <w:noProof/>
          <w:lang w:val="en-US"/>
        </w:rPr>
        <w:t>maximum permitte</w:t>
      </w:r>
      <w:r w:rsidR="00F50FB5" w:rsidRPr="00C903F8">
        <w:rPr>
          <w:rFonts w:eastAsia="Calibri"/>
          <w:noProof/>
          <w:lang w:val="en-US"/>
        </w:rPr>
        <w:t>d number of passengers on board.</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r>
      <w:r w:rsidR="00F50FB5" w:rsidRPr="00C903F8">
        <w:rPr>
          <w:rFonts w:eastAsia="Calibri"/>
          <w:noProof/>
          <w:lang w:val="en-US" w:eastAsia="en-US"/>
        </w:rPr>
        <w:t>E</w:t>
      </w:r>
      <w:r w:rsidR="00973DAA" w:rsidRPr="00C903F8">
        <w:rPr>
          <w:rFonts w:eastAsia="Calibri"/>
          <w:noProof/>
          <w:lang w:val="en-US" w:eastAsia="en-US"/>
        </w:rPr>
        <w:t>ach individual muster or evacuation area shall be larger than 10 m</w:t>
      </w:r>
      <w:r w:rsidR="00973DAA" w:rsidRPr="00C903F8">
        <w:rPr>
          <w:rFonts w:eastAsia="Calibri"/>
          <w:noProof/>
          <w:vertAlign w:val="superscript"/>
          <w:lang w:val="en-US" w:eastAsia="en-US"/>
        </w:rPr>
        <w:t>2</w:t>
      </w:r>
      <w:r w:rsidR="00F50FB5"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r>
      <w:r w:rsidR="00F50FB5" w:rsidRPr="00C903F8">
        <w:rPr>
          <w:rFonts w:eastAsia="Calibri"/>
          <w:noProof/>
          <w:lang w:val="en-US" w:eastAsia="en-US"/>
        </w:rPr>
        <w:t>T</w:t>
      </w:r>
      <w:r w:rsidR="00973DAA" w:rsidRPr="00C903F8">
        <w:rPr>
          <w:rFonts w:eastAsia="Calibri"/>
          <w:noProof/>
          <w:lang w:val="en-US" w:eastAsia="en-US"/>
        </w:rPr>
        <w:t>he muster areas shall be clear of furniture, whether movable or fixed</w:t>
      </w:r>
      <w:r w:rsidR="00F50FB5"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r>
      <w:r w:rsidR="00F50FB5" w:rsidRPr="00C903F8">
        <w:rPr>
          <w:rFonts w:eastAsia="Calibri"/>
          <w:noProof/>
          <w:lang w:val="en-US" w:eastAsia="en-US"/>
        </w:rPr>
        <w:t>I</w:t>
      </w:r>
      <w:r w:rsidR="00973DAA" w:rsidRPr="00C903F8">
        <w:rPr>
          <w:rFonts w:eastAsia="Calibri"/>
          <w:noProof/>
          <w:lang w:val="en-US" w:eastAsia="en-US"/>
        </w:rPr>
        <w:t>f movable furniture is located in a room in which muster areas are defined, it shall be secured appropriately to avoid slipping</w:t>
      </w:r>
      <w:r w:rsidR="00F50FB5"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e)</w:t>
      </w:r>
      <w:r w:rsidR="00973DAA" w:rsidRPr="00C903F8">
        <w:rPr>
          <w:rFonts w:eastAsia="Calibri"/>
          <w:noProof/>
          <w:lang w:val="en-US" w:eastAsia="en-US"/>
        </w:rPr>
        <w:tab/>
      </w:r>
      <w:r w:rsidR="00F50FB5" w:rsidRPr="00C903F8">
        <w:rPr>
          <w:rFonts w:eastAsia="Calibri"/>
          <w:noProof/>
          <w:lang w:val="en-US" w:eastAsia="en-US"/>
        </w:rPr>
        <w:t>I</w:t>
      </w:r>
      <w:r w:rsidR="00973DAA" w:rsidRPr="00C903F8">
        <w:rPr>
          <w:rFonts w:eastAsia="Calibri"/>
          <w:noProof/>
          <w:lang w:val="en-US" w:eastAsia="en-US"/>
        </w:rPr>
        <w:t>f fixed seats or benches are located in a room in which muster areas are defined the corresponding number of persons need not be taken into account when calculating the total area of muster areas according to (a). However, the number of persons for whom fixed seats or benches in a certain room are taken into account must not exceed the number of persons for whom muster areas are available in this room</w:t>
      </w:r>
      <w:r w:rsidR="00F50FB5"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f)</w:t>
      </w:r>
      <w:r w:rsidR="00F50FB5" w:rsidRPr="00C903F8">
        <w:rPr>
          <w:rFonts w:eastAsia="Calibri"/>
          <w:noProof/>
          <w:lang w:val="en-US" w:eastAsia="en-US"/>
        </w:rPr>
        <w:tab/>
        <w:t>L</w:t>
      </w:r>
      <w:r w:rsidR="00973DAA" w:rsidRPr="00C903F8">
        <w:rPr>
          <w:rFonts w:eastAsia="Calibri"/>
          <w:noProof/>
          <w:lang w:val="en-US" w:eastAsia="en-US"/>
        </w:rPr>
        <w:t>ife</w:t>
      </w:r>
      <w:r w:rsidR="005B2022" w:rsidRPr="00C903F8">
        <w:rPr>
          <w:rFonts w:eastAsia="Calibri"/>
          <w:noProof/>
          <w:lang w:val="en-US" w:eastAsia="en-US"/>
        </w:rPr>
        <w:t>-</w:t>
      </w:r>
      <w:r w:rsidR="00973DAA" w:rsidRPr="00C903F8">
        <w:rPr>
          <w:rFonts w:eastAsia="Calibri"/>
          <w:noProof/>
          <w:lang w:val="en-US" w:eastAsia="en-US"/>
        </w:rPr>
        <w:t>saving appliances shall be easily accessible from the evacuation areas</w:t>
      </w:r>
      <w:r w:rsidR="00F50FB5"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g)</w:t>
      </w:r>
      <w:r w:rsidR="00973DAA" w:rsidRPr="00C903F8">
        <w:rPr>
          <w:rFonts w:eastAsia="Calibri"/>
          <w:noProof/>
          <w:lang w:val="en-US" w:eastAsia="en-US"/>
        </w:rPr>
        <w:tab/>
      </w:r>
      <w:r w:rsidR="00F50FB5" w:rsidRPr="00C903F8">
        <w:rPr>
          <w:rFonts w:eastAsia="Calibri"/>
          <w:noProof/>
          <w:lang w:val="en-US" w:eastAsia="en-US"/>
        </w:rPr>
        <w:t>I</w:t>
      </w:r>
      <w:r w:rsidR="00973DAA" w:rsidRPr="00C903F8">
        <w:rPr>
          <w:rFonts w:eastAsia="Calibri"/>
          <w:noProof/>
          <w:lang w:val="en-US" w:eastAsia="en-US"/>
        </w:rPr>
        <w:t>t shall be possible to evacuate people safely from these evacuation areas, using either side of the vessel</w:t>
      </w:r>
      <w:r w:rsidR="00F50FB5"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h)</w:t>
      </w:r>
      <w:r w:rsidR="00973DAA" w:rsidRPr="00C903F8">
        <w:rPr>
          <w:rFonts w:eastAsia="Calibri"/>
          <w:noProof/>
          <w:lang w:val="en-US" w:eastAsia="en-US"/>
        </w:rPr>
        <w:tab/>
      </w:r>
      <w:r w:rsidR="00F50FB5" w:rsidRPr="00C903F8">
        <w:rPr>
          <w:rFonts w:eastAsia="Calibri"/>
          <w:noProof/>
          <w:lang w:val="en-US" w:eastAsia="en-US"/>
        </w:rPr>
        <w:t>T</w:t>
      </w:r>
      <w:r w:rsidR="00973DAA" w:rsidRPr="00C903F8">
        <w:rPr>
          <w:rFonts w:eastAsia="Calibri"/>
          <w:noProof/>
          <w:lang w:val="en-US" w:eastAsia="en-US"/>
        </w:rPr>
        <w:t>he muster areas shall lie above the margin line</w:t>
      </w:r>
      <w:r w:rsidR="00F50FB5"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i)</w:t>
      </w:r>
      <w:r w:rsidR="00973DAA" w:rsidRPr="00C903F8">
        <w:rPr>
          <w:rFonts w:eastAsia="Calibri"/>
          <w:noProof/>
          <w:lang w:val="en-US" w:eastAsia="en-US"/>
        </w:rPr>
        <w:tab/>
      </w:r>
      <w:r w:rsidR="00F50FB5" w:rsidRPr="00C903F8">
        <w:rPr>
          <w:rFonts w:eastAsia="Calibri"/>
          <w:noProof/>
          <w:lang w:val="en-US" w:eastAsia="en-US"/>
        </w:rPr>
        <w:t>T</w:t>
      </w:r>
      <w:r w:rsidR="00973DAA" w:rsidRPr="00C903F8">
        <w:rPr>
          <w:rFonts w:eastAsia="Calibri"/>
          <w:noProof/>
          <w:lang w:val="en-US" w:eastAsia="en-US"/>
        </w:rPr>
        <w:t>he muster and evacuation areas are to be shown as such in the safety plan and signposted on board the vessel</w:t>
      </w:r>
      <w:r w:rsidR="00F50FB5"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j)</w:t>
      </w:r>
      <w:r w:rsidR="00973DAA" w:rsidRPr="00C903F8">
        <w:rPr>
          <w:rFonts w:eastAsia="Calibri"/>
          <w:noProof/>
          <w:lang w:val="en-US" w:eastAsia="en-US"/>
        </w:rPr>
        <w:tab/>
      </w:r>
      <w:r w:rsidR="00F50FB5" w:rsidRPr="00C903F8">
        <w:rPr>
          <w:rFonts w:eastAsia="Calibri"/>
          <w:noProof/>
          <w:lang w:val="en-US" w:eastAsia="en-US"/>
        </w:rPr>
        <w:t>T</w:t>
      </w:r>
      <w:r w:rsidR="00973DAA" w:rsidRPr="00C903F8">
        <w:rPr>
          <w:rFonts w:eastAsia="Calibri"/>
          <w:noProof/>
          <w:lang w:val="en-US" w:eastAsia="en-US"/>
        </w:rPr>
        <w:t>he provisions of (d) and (e) shall also apply to free decks on which muster areas are defined</w:t>
      </w:r>
      <w:r w:rsidR="00F50FB5"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k)</w:t>
      </w:r>
      <w:r w:rsidR="00973DAA" w:rsidRPr="00C903F8">
        <w:rPr>
          <w:rFonts w:eastAsia="Calibri"/>
          <w:noProof/>
          <w:lang w:val="en-US" w:eastAsia="en-US"/>
        </w:rPr>
        <w:tab/>
      </w:r>
      <w:r w:rsidR="00F50FB5" w:rsidRPr="00C903F8">
        <w:rPr>
          <w:rFonts w:eastAsia="Calibri"/>
          <w:noProof/>
          <w:lang w:val="en-US" w:eastAsia="en-US"/>
        </w:rPr>
        <w:t>I</w:t>
      </w:r>
      <w:r w:rsidR="00973DAA" w:rsidRPr="00C903F8">
        <w:rPr>
          <w:rFonts w:eastAsia="Calibri"/>
          <w:noProof/>
          <w:lang w:val="en-US" w:eastAsia="en-US"/>
        </w:rPr>
        <w:t>f collective life-saving appliances complying with Article 19.09(5), are available on board, the number of persons for whom such appliances are available may be disregarded when calculating the total surface area of the muster areas referred to in (a)</w:t>
      </w:r>
      <w:r w:rsidR="00F50FB5"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l)</w:t>
      </w:r>
      <w:r w:rsidR="00973DAA" w:rsidRPr="00C903F8">
        <w:rPr>
          <w:rFonts w:eastAsia="Calibri"/>
          <w:noProof/>
          <w:lang w:val="en-US" w:eastAsia="en-US"/>
        </w:rPr>
        <w:tab/>
      </w:r>
      <w:r w:rsidR="00F50FB5" w:rsidRPr="00C903F8">
        <w:rPr>
          <w:rFonts w:eastAsia="Calibri"/>
          <w:noProof/>
          <w:lang w:val="en-US" w:eastAsia="en-US"/>
        </w:rPr>
        <w:t>H</w:t>
      </w:r>
      <w:r w:rsidR="00973DAA" w:rsidRPr="00C903F8">
        <w:rPr>
          <w:rFonts w:eastAsia="Calibri"/>
          <w:noProof/>
          <w:lang w:val="en-US" w:eastAsia="en-US"/>
        </w:rPr>
        <w:t>owever, in all cases where reductions according to (e), (j) and (k) are applied, the total area according to (a) shall be sufficient for at least 50 % of the maximum permitted number of passengers.</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9.</w:t>
      </w:r>
      <w:r w:rsidRPr="00C903F8">
        <w:rPr>
          <w:rFonts w:eastAsia="Calibri"/>
          <w:noProof/>
          <w:lang w:val="en-US" w:eastAsia="en-US"/>
        </w:rPr>
        <w:tab/>
        <w:t>Stairs and their landings in the passenger areas shall comply with the following requirements:</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r>
      <w:r w:rsidR="00F50FB5" w:rsidRPr="00C903F8">
        <w:rPr>
          <w:rFonts w:eastAsia="Calibri"/>
          <w:noProof/>
          <w:lang w:val="en-US" w:eastAsia="en-US"/>
        </w:rPr>
        <w:t>T</w:t>
      </w:r>
      <w:r w:rsidR="00973DAA" w:rsidRPr="00C903F8">
        <w:rPr>
          <w:rFonts w:eastAsia="Calibri"/>
          <w:noProof/>
          <w:lang w:val="en-US" w:eastAsia="en-US"/>
        </w:rPr>
        <w:t xml:space="preserve">hey shall be constructed in accordance with European </w:t>
      </w:r>
      <w:r w:rsidR="00837508" w:rsidRPr="00C903F8">
        <w:rPr>
          <w:rFonts w:eastAsia="Calibri"/>
          <w:noProof/>
          <w:lang w:val="en-US" w:eastAsia="en-US"/>
        </w:rPr>
        <w:t>S</w:t>
      </w:r>
      <w:r w:rsidR="00973DAA" w:rsidRPr="00C903F8">
        <w:rPr>
          <w:rFonts w:eastAsia="Calibri"/>
          <w:noProof/>
          <w:lang w:val="en-US" w:eastAsia="en-US"/>
        </w:rPr>
        <w:t>tandard EN 13056</w:t>
      </w:r>
      <w:r w:rsidR="00FB0A98" w:rsidRPr="00C903F8">
        <w:rPr>
          <w:rFonts w:eastAsia="Calibri"/>
          <w:noProof/>
          <w:lang w:val="en-US" w:eastAsia="en-US"/>
        </w:rPr>
        <w:t> </w:t>
      </w:r>
      <w:r w:rsidR="00973DAA" w:rsidRPr="00C903F8">
        <w:rPr>
          <w:rFonts w:eastAsia="Calibri"/>
          <w:noProof/>
          <w:lang w:val="en-US" w:eastAsia="en-US"/>
        </w:rPr>
        <w:t>: 2000</w:t>
      </w:r>
      <w:r w:rsidR="00F50FB5"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r>
      <w:r w:rsidR="00F50FB5" w:rsidRPr="00C903F8">
        <w:rPr>
          <w:rFonts w:eastAsia="Calibri"/>
          <w:noProof/>
          <w:lang w:val="en-US" w:eastAsia="en-US"/>
        </w:rPr>
        <w:t>T</w:t>
      </w:r>
      <w:r w:rsidR="00973DAA" w:rsidRPr="00C903F8">
        <w:rPr>
          <w:rFonts w:eastAsia="Calibri"/>
          <w:noProof/>
          <w:lang w:val="en-US" w:eastAsia="en-US"/>
        </w:rPr>
        <w:t>hey shall have a clear width of at least 0,80 m or, if they lead to connecting corridors or areas used by more than 80 passengers, at least 0,01 m per passenger</w:t>
      </w:r>
      <w:r w:rsidR="00F50FB5"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r>
      <w:r w:rsidR="00F50FB5" w:rsidRPr="00C903F8">
        <w:rPr>
          <w:rFonts w:eastAsia="Calibri"/>
          <w:noProof/>
          <w:lang w:val="en-US" w:eastAsia="en-US"/>
        </w:rPr>
        <w:t>T</w:t>
      </w:r>
      <w:r w:rsidR="00973DAA" w:rsidRPr="00C903F8">
        <w:rPr>
          <w:rFonts w:eastAsia="Calibri"/>
          <w:noProof/>
          <w:lang w:val="en-US" w:eastAsia="en-US"/>
        </w:rPr>
        <w:t>hey shall have a clear width of at least 1,00 m if they provide the only means of access to a room intended for passengers</w:t>
      </w:r>
      <w:r w:rsidR="00F50FB5"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r>
      <w:r w:rsidR="00F50FB5" w:rsidRPr="00C903F8">
        <w:rPr>
          <w:rFonts w:eastAsia="Calibri"/>
          <w:noProof/>
          <w:lang w:val="en-US" w:eastAsia="en-US"/>
        </w:rPr>
        <w:t>W</w:t>
      </w:r>
      <w:r w:rsidR="00973DAA" w:rsidRPr="00C903F8">
        <w:rPr>
          <w:rFonts w:eastAsia="Calibri"/>
          <w:noProof/>
          <w:lang w:val="en-US" w:eastAsia="en-US"/>
        </w:rPr>
        <w:t>here there is not at least one staircase on each side of the vessel in the same room, they shall lie in the safe area</w:t>
      </w:r>
      <w:r w:rsidR="00F50FB5" w:rsidRPr="00C903F8">
        <w:rPr>
          <w:rFonts w:eastAsia="Calibri"/>
          <w:noProof/>
          <w:lang w:val="en-US" w:eastAsia="en-US"/>
        </w:rPr>
        <w:t>.</w:t>
      </w:r>
    </w:p>
    <w:p w:rsidR="00973DAA" w:rsidRPr="00C903F8" w:rsidRDefault="0029453D" w:rsidP="004A3862">
      <w:pPr>
        <w:pStyle w:val="ESlet"/>
        <w:rPr>
          <w:rFonts w:eastAsia="Calibri" w:cs="Arial"/>
          <w:szCs w:val="18"/>
          <w:lang w:val="en-US" w:eastAsia="en-US"/>
        </w:rPr>
      </w:pPr>
      <w:r w:rsidRPr="00C903F8">
        <w:rPr>
          <w:rFonts w:eastAsia="Calibri"/>
          <w:noProof/>
          <w:lang w:val="en-US" w:eastAsia="en-US"/>
        </w:rPr>
        <w:t>e)</w:t>
      </w:r>
      <w:r w:rsidR="00973DAA" w:rsidRPr="00C903F8">
        <w:rPr>
          <w:rFonts w:eastAsia="Calibri"/>
          <w:noProof/>
          <w:lang w:val="en-US" w:eastAsia="en-US"/>
        </w:rPr>
        <w:tab/>
      </w:r>
      <w:r w:rsidR="00F50FB5" w:rsidRPr="00C903F8">
        <w:rPr>
          <w:rFonts w:eastAsia="Calibri"/>
          <w:noProof/>
          <w:lang w:val="en-US" w:eastAsia="en-US"/>
        </w:rPr>
        <w:t>I</w:t>
      </w:r>
      <w:r w:rsidR="00973DAA" w:rsidRPr="00C903F8">
        <w:rPr>
          <w:rFonts w:eastAsia="Calibri"/>
          <w:noProof/>
          <w:lang w:val="en-US" w:eastAsia="en-US"/>
        </w:rPr>
        <w:t>n addition, stairs intended for use by persons with reduced mobility shall comply with the following requirements:</w:t>
      </w:r>
    </w:p>
    <w:p w:rsidR="00973DAA" w:rsidRPr="00C903F8" w:rsidRDefault="0029453D" w:rsidP="004A3862">
      <w:pPr>
        <w:pStyle w:val="EStiret"/>
        <w:rPr>
          <w:rFonts w:eastAsia="Calibri" w:cs="Arial"/>
          <w:szCs w:val="18"/>
          <w:lang w:val="en-US" w:eastAsia="en-US"/>
        </w:rPr>
      </w:pPr>
      <w:r w:rsidRPr="00C903F8">
        <w:rPr>
          <w:rFonts w:eastAsia="Calibri"/>
          <w:lang w:val="en-US" w:eastAsia="en-US"/>
        </w:rPr>
        <w:t>aa)</w:t>
      </w:r>
      <w:r w:rsidR="00973DAA" w:rsidRPr="00C903F8">
        <w:rPr>
          <w:rFonts w:eastAsia="Calibri"/>
          <w:lang w:val="en-US" w:eastAsia="en-US"/>
        </w:rPr>
        <w:tab/>
      </w:r>
      <w:r w:rsidR="00F50FB5" w:rsidRPr="00C903F8">
        <w:rPr>
          <w:rFonts w:eastAsia="Calibri"/>
          <w:lang w:val="en-US" w:eastAsia="en-US"/>
        </w:rPr>
        <w:t>t</w:t>
      </w:r>
      <w:r w:rsidR="00973DAA" w:rsidRPr="00C903F8">
        <w:rPr>
          <w:rFonts w:eastAsia="Calibri"/>
          <w:lang w:val="en-US" w:eastAsia="en-US"/>
        </w:rPr>
        <w:t>he gradient of the stairs shall not exceed 38°;</w:t>
      </w:r>
    </w:p>
    <w:p w:rsidR="00973DAA" w:rsidRPr="00C903F8" w:rsidRDefault="00973DAA" w:rsidP="004A3862">
      <w:pPr>
        <w:pStyle w:val="EStiret"/>
        <w:rPr>
          <w:rFonts w:eastAsia="Calibri" w:cs="Arial"/>
          <w:szCs w:val="18"/>
          <w:lang w:val="en-US" w:eastAsia="en-US"/>
        </w:rPr>
      </w:pPr>
      <w:r w:rsidRPr="00C903F8">
        <w:rPr>
          <w:rFonts w:eastAsia="Calibri"/>
          <w:lang w:val="en-US" w:eastAsia="en-US"/>
        </w:rPr>
        <w:t>bb)</w:t>
      </w:r>
      <w:r w:rsidRPr="00C903F8">
        <w:rPr>
          <w:rFonts w:eastAsia="Calibri"/>
          <w:lang w:val="en-US" w:eastAsia="en-US"/>
        </w:rPr>
        <w:tab/>
      </w:r>
      <w:r w:rsidR="00F50FB5" w:rsidRPr="00C903F8">
        <w:rPr>
          <w:rFonts w:eastAsia="Calibri"/>
          <w:lang w:val="en-US" w:eastAsia="en-US"/>
        </w:rPr>
        <w:t>t</w:t>
      </w:r>
      <w:r w:rsidRPr="00C903F8">
        <w:rPr>
          <w:rFonts w:eastAsia="Calibri"/>
          <w:lang w:val="en-US" w:eastAsia="en-US"/>
        </w:rPr>
        <w:t>he stairs shall have a clear width of at least 0,90 m;</w:t>
      </w:r>
    </w:p>
    <w:p w:rsidR="00FB0A98" w:rsidRPr="00C903F8" w:rsidRDefault="00FB0A98" w:rsidP="004A3862">
      <w:pPr>
        <w:pStyle w:val="EStiret"/>
        <w:rPr>
          <w:rFonts w:eastAsia="Calibri"/>
          <w:lang w:val="en-US" w:eastAsia="en-US"/>
        </w:rPr>
      </w:pPr>
      <w:r w:rsidRPr="00C903F8">
        <w:rPr>
          <w:rFonts w:eastAsia="Calibri"/>
          <w:lang w:val="en-US" w:eastAsia="en-US"/>
        </w:rPr>
        <w:br w:type="page"/>
      </w:r>
    </w:p>
    <w:p w:rsidR="00973DAA" w:rsidRPr="00C903F8" w:rsidRDefault="00973DAA" w:rsidP="004A3862">
      <w:pPr>
        <w:pStyle w:val="EStiret"/>
        <w:rPr>
          <w:rFonts w:eastAsia="Calibri" w:cs="Arial"/>
          <w:szCs w:val="18"/>
          <w:lang w:val="en-US" w:eastAsia="en-US"/>
        </w:rPr>
      </w:pPr>
      <w:r w:rsidRPr="00C903F8">
        <w:rPr>
          <w:rFonts w:eastAsia="Calibri"/>
          <w:lang w:val="en-US" w:eastAsia="en-US"/>
        </w:rPr>
        <w:lastRenderedPageBreak/>
        <w:t>cc)</w:t>
      </w:r>
      <w:r w:rsidRPr="00C903F8">
        <w:rPr>
          <w:rFonts w:eastAsia="Calibri"/>
          <w:lang w:val="en-US" w:eastAsia="en-US"/>
        </w:rPr>
        <w:tab/>
      </w:r>
      <w:r w:rsidR="00F50FB5" w:rsidRPr="00C903F8">
        <w:rPr>
          <w:rFonts w:eastAsia="Calibri"/>
          <w:lang w:val="en-US" w:eastAsia="en-US"/>
        </w:rPr>
        <w:t>s</w:t>
      </w:r>
      <w:r w:rsidRPr="00C903F8">
        <w:rPr>
          <w:rFonts w:eastAsia="Calibri"/>
          <w:lang w:val="en-US" w:eastAsia="en-US"/>
        </w:rPr>
        <w:t>piral staircases are not allowed;</w:t>
      </w:r>
    </w:p>
    <w:p w:rsidR="00973DAA" w:rsidRPr="00C903F8" w:rsidRDefault="00973DAA" w:rsidP="004A3862">
      <w:pPr>
        <w:pStyle w:val="EStiret"/>
        <w:rPr>
          <w:rFonts w:eastAsia="Calibri" w:cs="Arial"/>
          <w:szCs w:val="18"/>
          <w:lang w:val="en-US" w:eastAsia="en-US"/>
        </w:rPr>
      </w:pPr>
      <w:r w:rsidRPr="00C903F8">
        <w:rPr>
          <w:rFonts w:eastAsia="Calibri"/>
          <w:lang w:val="en-US" w:eastAsia="en-US"/>
        </w:rPr>
        <w:t>dd)</w:t>
      </w:r>
      <w:r w:rsidRPr="00C903F8">
        <w:rPr>
          <w:rFonts w:eastAsia="Calibri"/>
          <w:lang w:val="en-US" w:eastAsia="en-US"/>
        </w:rPr>
        <w:tab/>
      </w:r>
      <w:r w:rsidR="00F50FB5" w:rsidRPr="00C903F8">
        <w:rPr>
          <w:rFonts w:eastAsia="Calibri"/>
          <w:lang w:val="en-US" w:eastAsia="en-US"/>
        </w:rPr>
        <w:t>t</w:t>
      </w:r>
      <w:r w:rsidRPr="00C903F8">
        <w:rPr>
          <w:rFonts w:eastAsia="Calibri"/>
          <w:lang w:val="en-US" w:eastAsia="en-US"/>
        </w:rPr>
        <w:t>he stairs shall not run in a direction transverse to the vessel;</w:t>
      </w:r>
    </w:p>
    <w:p w:rsidR="00973DAA" w:rsidRPr="00C903F8" w:rsidRDefault="00973DAA" w:rsidP="004A3862">
      <w:pPr>
        <w:pStyle w:val="EStiret"/>
        <w:rPr>
          <w:rFonts w:eastAsia="Calibri" w:cs="Arial"/>
          <w:szCs w:val="18"/>
          <w:lang w:val="en-US" w:eastAsia="en-US"/>
        </w:rPr>
      </w:pPr>
      <w:r w:rsidRPr="00C903F8">
        <w:rPr>
          <w:rFonts w:eastAsia="Calibri"/>
          <w:lang w:val="en-US" w:eastAsia="en-US"/>
        </w:rPr>
        <w:t>ee)</w:t>
      </w:r>
      <w:r w:rsidRPr="00C903F8">
        <w:rPr>
          <w:rFonts w:eastAsia="Calibri"/>
          <w:lang w:val="en-US" w:eastAsia="en-US"/>
        </w:rPr>
        <w:tab/>
      </w:r>
      <w:r w:rsidR="00F50FB5" w:rsidRPr="00C903F8">
        <w:rPr>
          <w:rFonts w:eastAsia="Calibri"/>
          <w:lang w:val="en-US" w:eastAsia="en-US"/>
        </w:rPr>
        <w:t>t</w:t>
      </w:r>
      <w:r w:rsidRPr="00C903F8">
        <w:rPr>
          <w:rFonts w:eastAsia="Calibri"/>
          <w:lang w:val="en-US" w:eastAsia="en-US"/>
        </w:rPr>
        <w:t>he handrails of the stairs shall extend approximately 0,30 m beyond the top and bottom of the stairs without restricting traffic routes;</w:t>
      </w:r>
    </w:p>
    <w:p w:rsidR="00973DAA" w:rsidRPr="00C903F8" w:rsidRDefault="00973DAA" w:rsidP="004A3862">
      <w:pPr>
        <w:pStyle w:val="EStiret"/>
        <w:rPr>
          <w:rFonts w:eastAsia="Calibri" w:cs="Arial"/>
          <w:szCs w:val="18"/>
          <w:lang w:val="en-US" w:eastAsia="en-US"/>
        </w:rPr>
      </w:pPr>
      <w:r w:rsidRPr="00C903F8">
        <w:rPr>
          <w:rFonts w:eastAsia="Calibri"/>
          <w:lang w:val="en-US" w:eastAsia="en-US"/>
        </w:rPr>
        <w:t>ff)</w:t>
      </w:r>
      <w:r w:rsidRPr="00C903F8">
        <w:rPr>
          <w:rFonts w:eastAsia="Calibri"/>
          <w:lang w:val="en-US" w:eastAsia="en-US"/>
        </w:rPr>
        <w:tab/>
      </w:r>
      <w:r w:rsidR="00F50FB5" w:rsidRPr="00C903F8">
        <w:rPr>
          <w:rFonts w:eastAsia="Calibri"/>
          <w:lang w:val="en-US" w:eastAsia="en-US"/>
        </w:rPr>
        <w:t>h</w:t>
      </w:r>
      <w:r w:rsidRPr="00C903F8">
        <w:rPr>
          <w:rFonts w:eastAsia="Calibri"/>
          <w:lang w:val="en-US" w:eastAsia="en-US"/>
        </w:rPr>
        <w:t>andrails, front sides of at least the first and the last step as well as the floor coverings at the ends of the stairs shall be colour highlighted.</w:t>
      </w:r>
    </w:p>
    <w:p w:rsidR="00973DAA" w:rsidRPr="00C903F8" w:rsidRDefault="00973DAA" w:rsidP="00F50FB5">
      <w:pPr>
        <w:pStyle w:val="ESletpar"/>
        <w:rPr>
          <w:rFonts w:eastAsia="Calibri" w:cs="Arial"/>
          <w:szCs w:val="18"/>
          <w:lang w:val="en-US"/>
        </w:rPr>
      </w:pPr>
      <w:r w:rsidRPr="00C903F8">
        <w:rPr>
          <w:rFonts w:eastAsia="Calibri"/>
          <w:noProof/>
          <w:lang w:val="en-US"/>
        </w:rPr>
        <w:t>Lifts intended for persons with reduced mobility, and lifting equipment, like stairlifts or lifting platforms, shall be constructed according to a relevant standard or a regulation of a Member State.</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10.</w:t>
      </w:r>
      <w:r w:rsidRPr="00C903F8">
        <w:rPr>
          <w:rFonts w:eastAsia="Calibri"/>
          <w:noProof/>
          <w:lang w:val="en-US" w:eastAsia="en-US"/>
        </w:rPr>
        <w:tab/>
        <w:t>Parts of the deck intended for passengers, and which are not enclosed, shall comply with the following requirements:</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r>
      <w:r w:rsidR="00072882" w:rsidRPr="00F324BD">
        <w:rPr>
          <w:rFonts w:ascii="ArialMT" w:hAnsi="ArialMT" w:cs="ArialMT"/>
          <w:szCs w:val="20"/>
          <w:lang w:val="en-US" w:eastAsia="de-DE"/>
        </w:rPr>
        <w:t xml:space="preserve">They shall be surrounded by a fixed bulwark or guard rail at least 1,00 m high or a railing according to the European Standard </w:t>
      </w:r>
      <w:r w:rsidR="00072882" w:rsidRPr="002614C4">
        <w:rPr>
          <w:rFonts w:ascii="ArialMT" w:hAnsi="ArialMT" w:cs="ArialMT"/>
          <w:szCs w:val="20"/>
          <w:lang w:val="en-US" w:eastAsia="de-DE"/>
        </w:rPr>
        <w:t>EN 711: 2016, construction</w:t>
      </w:r>
      <w:r w:rsidR="00072882" w:rsidRPr="00F324BD">
        <w:rPr>
          <w:rFonts w:ascii="ArialMT" w:hAnsi="ArialMT" w:cs="ArialMT"/>
          <w:szCs w:val="20"/>
          <w:lang w:val="en-US" w:eastAsia="de-DE"/>
        </w:rPr>
        <w:t xml:space="preserve"> type PF, PG or PZ. Bulwarks and railings of decks intended for use by persons with reduced mobility shall be at least 1,10 m high</w:t>
      </w:r>
      <w:r w:rsidR="00F50FB5"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r>
      <w:r w:rsidR="00F50FB5" w:rsidRPr="00C903F8">
        <w:rPr>
          <w:rFonts w:eastAsia="Calibri"/>
          <w:noProof/>
          <w:lang w:val="en-US" w:eastAsia="en-US"/>
        </w:rPr>
        <w:t>O</w:t>
      </w:r>
      <w:r w:rsidR="00973DAA" w:rsidRPr="00C903F8">
        <w:rPr>
          <w:rFonts w:eastAsia="Calibri"/>
          <w:noProof/>
          <w:lang w:val="en-US" w:eastAsia="en-US"/>
        </w:rPr>
        <w:t>penings and equipment for embarking or disembarking and also openings for loading or unloading shall be such that they can be secured and have a clear width of at least 1,00 m. Openings, used normally for the embarking or disembarking of persons with reduced mobility, shall have a clear width of at least 1,50 m</w:t>
      </w:r>
      <w:r w:rsidR="00F50FB5" w:rsidRPr="00C903F8">
        <w:rPr>
          <w:rFonts w:eastAsia="Calibri"/>
          <w:noProof/>
          <w:lang w:val="en-US" w:eastAsia="en-US"/>
        </w:rPr>
        <w:t>.</w:t>
      </w:r>
    </w:p>
    <w:p w:rsidR="00973DAA" w:rsidRPr="00C903F8" w:rsidRDefault="005C7859" w:rsidP="004A3862">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r>
      <w:r w:rsidR="00F50FB5" w:rsidRPr="00C903F8">
        <w:rPr>
          <w:rFonts w:eastAsia="Calibri"/>
          <w:noProof/>
          <w:lang w:val="en-US" w:eastAsia="en-US"/>
        </w:rPr>
        <w:t>I</w:t>
      </w:r>
      <w:r w:rsidR="00973DAA" w:rsidRPr="00C903F8">
        <w:rPr>
          <w:rFonts w:eastAsia="Calibri"/>
          <w:noProof/>
          <w:lang w:val="en-US" w:eastAsia="en-US"/>
        </w:rPr>
        <w:t>f the openings and equipment for embarking or disembarking cannot be observed from the wheelhouse, appropriate auxiliary means</w:t>
      </w:r>
      <w:r w:rsidR="003F558E" w:rsidRPr="00C903F8">
        <w:rPr>
          <w:rFonts w:eastAsia="Calibri"/>
          <w:noProof/>
          <w:lang w:val="en-US" w:eastAsia="en-US"/>
        </w:rPr>
        <w:t xml:space="preserve"> shall be provided.</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11.</w:t>
      </w:r>
      <w:r w:rsidRPr="00C903F8">
        <w:rPr>
          <w:rFonts w:eastAsia="Calibri"/>
          <w:noProof/>
          <w:lang w:val="en-US" w:eastAsia="en-US"/>
        </w:rPr>
        <w:tab/>
        <w:t xml:space="preserve">The parts of the vessel not intended for passengers, in particular access to the wheelhouse, to the winches and to the engine rooms, shall be such that they can be secured against unauthorised entry. At any such access, a symbol corresponding to Figure 1 in Annex </w:t>
      </w:r>
      <w:r w:rsidR="00652389" w:rsidRPr="00C903F8">
        <w:rPr>
          <w:rFonts w:eastAsia="Calibri"/>
          <w:noProof/>
          <w:lang w:val="en-US" w:eastAsia="en-US"/>
        </w:rPr>
        <w:t>4</w:t>
      </w:r>
      <w:r w:rsidRPr="00C903F8">
        <w:rPr>
          <w:rFonts w:eastAsia="Calibri"/>
          <w:noProof/>
          <w:lang w:val="en-US" w:eastAsia="en-US"/>
        </w:rPr>
        <w:t xml:space="preserve"> shall be displayed in a prominent position.</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12.</w:t>
      </w:r>
      <w:r w:rsidRPr="00C903F8">
        <w:rPr>
          <w:rFonts w:eastAsia="Calibri"/>
          <w:noProof/>
          <w:lang w:val="en-US" w:eastAsia="en-US"/>
        </w:rPr>
        <w:tab/>
        <w:t xml:space="preserve">Gangways shall be constructed in accordance with European </w:t>
      </w:r>
      <w:r w:rsidR="00837508" w:rsidRPr="00C903F8">
        <w:rPr>
          <w:rFonts w:eastAsia="Calibri"/>
          <w:noProof/>
          <w:lang w:val="en-US" w:eastAsia="en-US"/>
        </w:rPr>
        <w:t>S</w:t>
      </w:r>
      <w:r w:rsidRPr="00C903F8">
        <w:rPr>
          <w:rFonts w:eastAsia="Calibri"/>
          <w:noProof/>
          <w:lang w:val="en-US" w:eastAsia="en-US"/>
        </w:rPr>
        <w:t>tandard EN 14206</w:t>
      </w:r>
      <w:r w:rsidR="004A3862" w:rsidRPr="00C903F8">
        <w:rPr>
          <w:rFonts w:eastAsia="Calibri"/>
          <w:noProof/>
          <w:lang w:val="en-US" w:eastAsia="en-US"/>
        </w:rPr>
        <w:t> </w:t>
      </w:r>
      <w:r w:rsidRPr="00C903F8">
        <w:rPr>
          <w:rFonts w:eastAsia="Calibri"/>
          <w:noProof/>
          <w:lang w:val="en-US" w:eastAsia="en-US"/>
        </w:rPr>
        <w:t>: 2003. By way of derogation from Article 13.02(</w:t>
      </w:r>
      <w:r w:rsidR="0051525C">
        <w:rPr>
          <w:rFonts w:eastAsia="Calibri"/>
          <w:noProof/>
          <w:lang w:val="en-US" w:eastAsia="en-US"/>
        </w:rPr>
        <w:t>3</w:t>
      </w:r>
      <w:r w:rsidRPr="00C903F8">
        <w:rPr>
          <w:rFonts w:eastAsia="Calibri"/>
          <w:noProof/>
          <w:lang w:val="en-US" w:eastAsia="en-US"/>
        </w:rPr>
        <w:t>)(d), their length can be less than 4 m.</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13.</w:t>
      </w:r>
      <w:r w:rsidRPr="00C903F8">
        <w:rPr>
          <w:rFonts w:eastAsia="Calibri"/>
          <w:noProof/>
          <w:lang w:val="en-US" w:eastAsia="en-US"/>
        </w:rPr>
        <w:tab/>
      </w:r>
      <w:r w:rsidR="00CC6BC0" w:rsidRPr="00C903F8">
        <w:rPr>
          <w:rFonts w:eastAsia="Calibri"/>
          <w:noProof/>
          <w:lang w:val="en-US" w:eastAsia="en-US"/>
        </w:rPr>
        <w:t>Passageways</w:t>
      </w:r>
      <w:r w:rsidRPr="00C903F8">
        <w:rPr>
          <w:rFonts w:eastAsia="Calibri"/>
          <w:noProof/>
          <w:lang w:val="en-US" w:eastAsia="en-US"/>
        </w:rPr>
        <w:t xml:space="preserve"> intended for use by persons with reduced mobility shall have a clear width of 1,30</w:t>
      </w:r>
      <w:r w:rsidR="000F3AFD" w:rsidRPr="00C903F8">
        <w:rPr>
          <w:rFonts w:eastAsia="Calibri"/>
          <w:noProof/>
          <w:lang w:val="en-US" w:eastAsia="en-US"/>
        </w:rPr>
        <w:t> </w:t>
      </w:r>
      <w:r w:rsidRPr="00C903F8">
        <w:rPr>
          <w:rFonts w:eastAsia="Calibri"/>
          <w:noProof/>
          <w:lang w:val="en-US" w:eastAsia="en-US"/>
        </w:rPr>
        <w:t xml:space="preserve">m and be free of doorsteps and sills more than 0,025 m high. Walls in </w:t>
      </w:r>
      <w:r w:rsidR="008A4941" w:rsidRPr="00C903F8">
        <w:rPr>
          <w:rFonts w:eastAsia="Calibri"/>
          <w:noProof/>
          <w:lang w:val="en-US" w:eastAsia="en-US"/>
        </w:rPr>
        <w:t>passageways</w:t>
      </w:r>
      <w:r w:rsidRPr="00C903F8">
        <w:rPr>
          <w:rFonts w:eastAsia="Calibri"/>
          <w:noProof/>
          <w:lang w:val="en-US" w:eastAsia="en-US"/>
        </w:rPr>
        <w:t xml:space="preserve"> intended for use by persons with reduced mobility shall be equipped with handrails at a height of 0,90 m above the floor.</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14.</w:t>
      </w:r>
      <w:r w:rsidRPr="00C903F8">
        <w:rPr>
          <w:rFonts w:eastAsia="Calibri"/>
          <w:noProof/>
          <w:lang w:val="en-US" w:eastAsia="en-US"/>
        </w:rPr>
        <w:tab/>
        <w:t xml:space="preserve">Glass doors and walls in </w:t>
      </w:r>
      <w:r w:rsidR="00CC6BC0" w:rsidRPr="00C903F8">
        <w:rPr>
          <w:rFonts w:eastAsia="Calibri"/>
          <w:noProof/>
          <w:lang w:val="en-US" w:eastAsia="en-US"/>
        </w:rPr>
        <w:t>passageways</w:t>
      </w:r>
      <w:r w:rsidRPr="00C903F8">
        <w:rPr>
          <w:rFonts w:eastAsia="Calibri"/>
          <w:noProof/>
          <w:lang w:val="en-US" w:eastAsia="en-US"/>
        </w:rPr>
        <w:t xml:space="preserve"> and also window panes shall be manufactured from pre-stressed glass or laminated glass. They may also be made from a synthetic material, provided this is authorised for use in a fire-protection context.</w:t>
      </w:r>
    </w:p>
    <w:p w:rsidR="004A3862" w:rsidRPr="00C903F8" w:rsidRDefault="004A3862" w:rsidP="00973DAA">
      <w:pPr>
        <w:pStyle w:val="ESch"/>
        <w:rPr>
          <w:rFonts w:eastAsia="Calibri"/>
          <w:noProof/>
          <w:lang w:val="en-US" w:eastAsia="en-US"/>
        </w:rPr>
      </w:pPr>
    </w:p>
    <w:p w:rsidR="00973DAA" w:rsidRPr="00C903F8" w:rsidRDefault="00973DAA" w:rsidP="004A3862">
      <w:pPr>
        <w:pStyle w:val="ESchpar"/>
        <w:rPr>
          <w:rFonts w:eastAsia="Calibri" w:cs="Arial"/>
          <w:szCs w:val="18"/>
          <w:lang w:val="en-US" w:eastAsia="en-US"/>
        </w:rPr>
      </w:pPr>
      <w:r w:rsidRPr="00C903F8">
        <w:rPr>
          <w:rFonts w:eastAsia="Calibri"/>
          <w:noProof/>
          <w:lang w:val="en-US" w:eastAsia="en-US"/>
        </w:rPr>
        <w:t xml:space="preserve">Transparent doors and transparent walls extending as far as the floor in </w:t>
      </w:r>
      <w:r w:rsidR="00C14847" w:rsidRPr="00C903F8">
        <w:rPr>
          <w:rFonts w:eastAsia="Calibri"/>
          <w:noProof/>
          <w:lang w:val="en-US" w:eastAsia="en-US"/>
        </w:rPr>
        <w:t xml:space="preserve">passageways </w:t>
      </w:r>
      <w:r w:rsidRPr="00C903F8">
        <w:rPr>
          <w:rFonts w:eastAsia="Calibri"/>
          <w:noProof/>
          <w:lang w:val="en-US" w:eastAsia="en-US"/>
        </w:rPr>
        <w:t>shall be prominently marked.</w:t>
      </w:r>
    </w:p>
    <w:p w:rsidR="004A3862" w:rsidRPr="00C903F8" w:rsidRDefault="004A3862" w:rsidP="00973DAA">
      <w:pPr>
        <w:pStyle w:val="ESch"/>
        <w:rPr>
          <w:rFonts w:eastAsia="Calibri" w:cs="Arial"/>
          <w:color w:val="000000"/>
          <w:szCs w:val="20"/>
          <w:lang w:val="en-US" w:eastAsia="en-US"/>
        </w:rPr>
      </w:pPr>
    </w:p>
    <w:p w:rsidR="00B72823" w:rsidRPr="00C903F8" w:rsidRDefault="00B72823" w:rsidP="00973DAA">
      <w:pPr>
        <w:pStyle w:val="ESch"/>
        <w:rPr>
          <w:rFonts w:eastAsia="Calibri" w:cs="Arial"/>
          <w:color w:val="000000"/>
          <w:szCs w:val="20"/>
          <w:lang w:val="en-US" w:eastAsia="en-US"/>
        </w:rPr>
      </w:pPr>
      <w:r w:rsidRPr="00C903F8">
        <w:rPr>
          <w:rFonts w:eastAsia="Calibri" w:cs="Arial"/>
          <w:color w:val="000000"/>
          <w:szCs w:val="20"/>
          <w:lang w:val="en-US" w:eastAsia="en-US"/>
        </w:rPr>
        <w:br w:type="page"/>
      </w:r>
    </w:p>
    <w:p w:rsidR="00973DAA" w:rsidRPr="00C903F8" w:rsidRDefault="00973DAA" w:rsidP="00973DAA">
      <w:pPr>
        <w:pStyle w:val="ESch"/>
        <w:rPr>
          <w:rFonts w:eastAsia="Calibri" w:cs="Arial"/>
          <w:szCs w:val="18"/>
          <w:lang w:val="en-US" w:eastAsia="en-US"/>
        </w:rPr>
      </w:pPr>
      <w:r w:rsidRPr="00C903F8">
        <w:rPr>
          <w:rFonts w:eastAsia="Calibri" w:cs="Arial"/>
          <w:color w:val="000000"/>
          <w:szCs w:val="20"/>
          <w:lang w:val="en-US" w:eastAsia="en-US"/>
        </w:rPr>
        <w:lastRenderedPageBreak/>
        <w:t>15.</w:t>
      </w:r>
      <w:r w:rsidRPr="00C903F8">
        <w:rPr>
          <w:rFonts w:eastAsia="Calibri" w:cs="Arial"/>
          <w:color w:val="000000"/>
          <w:szCs w:val="20"/>
          <w:lang w:val="en-US" w:eastAsia="en-US"/>
        </w:rPr>
        <w:tab/>
        <w:t>Superstructures (or their roofs) consisting entirely of panoramic panes, shelters created by awnings, or similar mobile installations, together with their substructures, may only be constructed in such a manner that the way in which they are built and the materials employed pose no risk of injury to persons on board in the event of damage.</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16.</w:t>
      </w:r>
      <w:r w:rsidRPr="00C903F8">
        <w:rPr>
          <w:rFonts w:eastAsia="Calibri"/>
          <w:noProof/>
          <w:lang w:val="en-US" w:eastAsia="en-US"/>
        </w:rPr>
        <w:tab/>
        <w:t>Potable water systems shall, at least, comply with the requirements of Article 15.05.</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17.</w:t>
      </w:r>
      <w:r w:rsidRPr="00C903F8">
        <w:rPr>
          <w:rFonts w:eastAsia="Calibri"/>
          <w:noProof/>
          <w:lang w:val="en-US" w:eastAsia="en-US"/>
        </w:rPr>
        <w:tab/>
        <w:t>There shall be toilets available for passengers. At least one toilet shall be fitted for use by persons with reduced mobility according to a relevant standard or a regulation of a Member State</w:t>
      </w:r>
      <w:r w:rsidR="008E7459" w:rsidRPr="00C903F8">
        <w:rPr>
          <w:rFonts w:eastAsia="Calibri"/>
          <w:noProof/>
          <w:lang w:val="en-US" w:eastAsia="en-US"/>
        </w:rPr>
        <w:t xml:space="preserve"> </w:t>
      </w:r>
      <w:r w:rsidRPr="00C903F8">
        <w:rPr>
          <w:rFonts w:eastAsia="Calibri"/>
          <w:noProof/>
          <w:lang w:val="en-US" w:eastAsia="en-US"/>
        </w:rPr>
        <w:t>and shall be accessible from areas intended for use by persons with reduced mobility.</w:t>
      </w:r>
    </w:p>
    <w:p w:rsidR="004A3862" w:rsidRPr="00C903F8" w:rsidRDefault="004A3862" w:rsidP="00973DAA">
      <w:pPr>
        <w:pStyle w:val="ESch"/>
        <w:rPr>
          <w:rFonts w:eastAsia="Calibri"/>
          <w:noProof/>
          <w:lang w:val="en-US" w:eastAsia="en-US"/>
        </w:rPr>
      </w:pPr>
    </w:p>
    <w:p w:rsidR="00973DAA" w:rsidRPr="00C903F8" w:rsidRDefault="00B72823" w:rsidP="00973DAA">
      <w:pPr>
        <w:pStyle w:val="ESch"/>
        <w:rPr>
          <w:rFonts w:eastAsia="Calibri" w:cs="Arial"/>
          <w:szCs w:val="18"/>
          <w:lang w:val="en-US" w:eastAsia="en-US"/>
        </w:rPr>
      </w:pPr>
      <w:r w:rsidRPr="00C903F8">
        <w:rPr>
          <w:rFonts w:eastAsia="Calibri"/>
          <w:noProof/>
          <w:lang w:val="en-US" w:eastAsia="en-US"/>
        </w:rPr>
        <w:t>18.</w:t>
      </w:r>
      <w:r w:rsidR="00973DAA" w:rsidRPr="00C903F8">
        <w:rPr>
          <w:rFonts w:eastAsia="Calibri"/>
          <w:noProof/>
          <w:lang w:val="en-US" w:eastAsia="en-US"/>
        </w:rPr>
        <w:tab/>
        <w:t>Cabins without an opening window shall be connected to a ventilation system.</w:t>
      </w:r>
    </w:p>
    <w:p w:rsidR="004A3862" w:rsidRPr="00C903F8" w:rsidRDefault="004A3862"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19.</w:t>
      </w:r>
      <w:r w:rsidRPr="00C903F8">
        <w:rPr>
          <w:rFonts w:eastAsia="Calibri"/>
          <w:noProof/>
          <w:lang w:val="en-US" w:eastAsia="en-US"/>
        </w:rPr>
        <w:tab/>
      </w:r>
      <w:r w:rsidR="00A4153D" w:rsidRPr="00C903F8">
        <w:rPr>
          <w:rFonts w:eastAsia="Calibri"/>
          <w:i/>
          <w:noProof/>
          <w:lang w:val="en-US" w:eastAsia="en-US"/>
        </w:rPr>
        <w:t>Mutatis mutandis</w:t>
      </w:r>
      <w:r w:rsidRPr="00C903F8">
        <w:rPr>
          <w:rFonts w:eastAsia="Calibri"/>
          <w:noProof/>
          <w:lang w:val="en-US" w:eastAsia="en-US"/>
        </w:rPr>
        <w:t>, rooms in which crew members or shipboard personnel are accommodated shall comply with the provisions of this Article.</w:t>
      </w:r>
    </w:p>
    <w:p w:rsidR="00973DAA" w:rsidRPr="00C903F8" w:rsidRDefault="00973DAA" w:rsidP="00973DAA">
      <w:pPr>
        <w:pStyle w:val="ESch"/>
        <w:rPr>
          <w:rFonts w:eastAsia="Calibri" w:cs="Arial"/>
          <w:szCs w:val="18"/>
          <w:lang w:val="en-US" w:eastAsia="en-US"/>
        </w:rPr>
      </w:pPr>
    </w:p>
    <w:p w:rsidR="00B72823" w:rsidRPr="00C903F8" w:rsidRDefault="00B72823" w:rsidP="00973DAA">
      <w:pPr>
        <w:pStyle w:val="ESch"/>
        <w:rPr>
          <w:rFonts w:eastAsia="Calibri" w:cs="Arial"/>
          <w:szCs w:val="18"/>
          <w:lang w:val="en-US" w:eastAsia="en-US"/>
        </w:rPr>
      </w:pPr>
    </w:p>
    <w:p w:rsidR="00973DAA" w:rsidRPr="00C903F8" w:rsidRDefault="00973DAA" w:rsidP="00B72823">
      <w:pPr>
        <w:pStyle w:val="ES-Titre3"/>
        <w:rPr>
          <w:i/>
          <w:noProof/>
          <w:lang w:val="en-US"/>
        </w:rPr>
      </w:pPr>
      <w:bookmarkStart w:id="188" w:name="_Toc491854176"/>
      <w:r w:rsidRPr="00C903F8">
        <w:rPr>
          <w:noProof/>
          <w:lang w:val="en-GB"/>
        </w:rPr>
        <w:t>Article 19.07</w:t>
      </w:r>
      <w:r w:rsidRPr="00C903F8">
        <w:rPr>
          <w:noProof/>
          <w:lang w:val="en-GB"/>
        </w:rPr>
        <w:br/>
      </w:r>
      <w:r w:rsidRPr="00C903F8">
        <w:rPr>
          <w:i/>
          <w:noProof/>
          <w:lang w:val="en-GB"/>
        </w:rPr>
        <w:t>Propulsion system</w:t>
      </w:r>
      <w:bookmarkEnd w:id="188"/>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1.</w:t>
      </w:r>
      <w:r w:rsidRPr="00C903F8">
        <w:rPr>
          <w:rFonts w:eastAsia="Calibri"/>
          <w:noProof/>
          <w:lang w:val="en-US" w:eastAsia="en-US"/>
        </w:rPr>
        <w:tab/>
        <w:t>In addition to the main propulsion system, vessels shall be equipped with a second independent propulsion system so as to ensure that, in the event of a breakdown affecting the main propulsion system, the vessel can continue to make steerageway under its own power.</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2.</w:t>
      </w:r>
      <w:r w:rsidRPr="00C903F8">
        <w:rPr>
          <w:rFonts w:eastAsia="Calibri"/>
          <w:noProof/>
          <w:lang w:val="en-US" w:eastAsia="en-US"/>
        </w:rPr>
        <w:tab/>
        <w:t>The second independent propulsion system shall be placed in a separate engine room. If both engine rooms have common partitions, these shall be built according to Article 19.11(2).</w:t>
      </w:r>
    </w:p>
    <w:p w:rsidR="00973DAA" w:rsidRPr="00C903F8" w:rsidRDefault="00973DAA" w:rsidP="00973DAA">
      <w:pPr>
        <w:pStyle w:val="ESch"/>
        <w:rPr>
          <w:rFonts w:eastAsia="Calibri" w:cs="Arial"/>
          <w:szCs w:val="18"/>
          <w:lang w:val="en-US" w:eastAsia="en-US"/>
        </w:rPr>
      </w:pPr>
    </w:p>
    <w:p w:rsidR="00B72823" w:rsidRPr="00C903F8" w:rsidRDefault="00B72823" w:rsidP="00973DAA">
      <w:pPr>
        <w:pStyle w:val="ESch"/>
        <w:rPr>
          <w:rFonts w:eastAsia="Calibri" w:cs="Arial"/>
          <w:szCs w:val="18"/>
          <w:lang w:val="en-US" w:eastAsia="en-US"/>
        </w:rPr>
      </w:pPr>
    </w:p>
    <w:p w:rsidR="00973DAA" w:rsidRPr="00C903F8" w:rsidRDefault="00973DAA" w:rsidP="00B72823">
      <w:pPr>
        <w:pStyle w:val="ES-Titre3"/>
        <w:rPr>
          <w:rFonts w:cs="Arial"/>
          <w:i/>
          <w:szCs w:val="18"/>
          <w:lang w:val="en-US"/>
        </w:rPr>
      </w:pPr>
      <w:bookmarkStart w:id="189" w:name="_Toc491854177"/>
      <w:r w:rsidRPr="008A2D08">
        <w:rPr>
          <w:noProof/>
          <w:lang w:val="en-US"/>
        </w:rPr>
        <w:t>Article 19.08</w:t>
      </w:r>
      <w:r w:rsidRPr="00C903F8">
        <w:rPr>
          <w:noProof/>
          <w:lang w:val="en-US"/>
        </w:rPr>
        <w:br/>
      </w:r>
      <w:r w:rsidRPr="00C903F8">
        <w:rPr>
          <w:i/>
          <w:noProof/>
          <w:lang w:val="en-US"/>
        </w:rPr>
        <w:t>Safety devices and equipment</w:t>
      </w:r>
      <w:bookmarkEnd w:id="189"/>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 xml:space="preserve">1. </w:t>
      </w:r>
      <w:r w:rsidRPr="00C903F8">
        <w:rPr>
          <w:rFonts w:eastAsia="Calibri"/>
          <w:noProof/>
          <w:lang w:val="en-US" w:eastAsia="en-US"/>
        </w:rPr>
        <w:tab/>
        <w:t>All passenger vessels shall have internal communication facilities according to Article 7.08. Such facilities shall also be available in the operation rooms and, where there is no direct communication from the steering position, in the access and muster areas for passengers as referred to in Article 19.06(8).</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2.</w:t>
      </w:r>
      <w:r w:rsidRPr="00C903F8">
        <w:rPr>
          <w:rFonts w:eastAsia="Calibri"/>
          <w:noProof/>
          <w:lang w:val="en-US" w:eastAsia="en-US"/>
        </w:rPr>
        <w:tab/>
        <w:t>All passenger areas shall be reachable via a loudspeaker system. The system shall be designed in such a way as to ensure that the information transmitted can be clearly distinguished from background noise. Loudspeakers are optional where direct communication between the wheelhouse and the passenger area is possible.</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3.</w:t>
      </w:r>
      <w:r w:rsidRPr="00C903F8">
        <w:rPr>
          <w:rFonts w:eastAsia="Calibri"/>
          <w:noProof/>
          <w:lang w:val="en-US" w:eastAsia="en-US"/>
        </w:rPr>
        <w:tab/>
        <w:t>The vessel shall be equipped with an alarm system. The system shall include:</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an alarm system enabling passengers, crew members and shipboard personnel to alert the vessel's command and crew.</w:t>
      </w:r>
    </w:p>
    <w:p w:rsidR="00973DAA" w:rsidRPr="00C903F8" w:rsidRDefault="00973DAA" w:rsidP="00B72823">
      <w:pPr>
        <w:pStyle w:val="ESletpar"/>
        <w:rPr>
          <w:rFonts w:eastAsia="Calibri" w:cs="Arial"/>
          <w:szCs w:val="18"/>
          <w:lang w:val="en-US"/>
        </w:rPr>
      </w:pPr>
      <w:r w:rsidRPr="00C903F8">
        <w:rPr>
          <w:rFonts w:eastAsia="Calibri"/>
          <w:noProof/>
          <w:lang w:val="en-US"/>
        </w:rPr>
        <w:t>This alarm should be given only in areas assigned to the vessel's command and to the crew; it should only be possible for the vessel's command to stop the alarm. The alarm shall be capable of being triggered from at least the following places:</w:t>
      </w:r>
    </w:p>
    <w:p w:rsidR="00973DAA" w:rsidRPr="00C903F8" w:rsidRDefault="0029453D" w:rsidP="00B72823">
      <w:pPr>
        <w:pStyle w:val="EStiret"/>
        <w:rPr>
          <w:rFonts w:eastAsia="Calibri" w:cs="Arial"/>
          <w:szCs w:val="18"/>
          <w:lang w:val="en-US" w:eastAsia="en-US"/>
        </w:rPr>
      </w:pPr>
      <w:r w:rsidRPr="00C903F8">
        <w:rPr>
          <w:rFonts w:eastAsia="Calibri"/>
          <w:lang w:val="en-US" w:eastAsia="en-US"/>
        </w:rPr>
        <w:t>aa)</w:t>
      </w:r>
      <w:r w:rsidR="00973DAA" w:rsidRPr="00C903F8">
        <w:rPr>
          <w:rFonts w:eastAsia="Calibri"/>
          <w:lang w:val="en-US" w:eastAsia="en-US"/>
        </w:rPr>
        <w:tab/>
        <w:t>in each cabin;</w:t>
      </w:r>
    </w:p>
    <w:p w:rsidR="00B72823" w:rsidRPr="00C903F8" w:rsidRDefault="00B72823" w:rsidP="00B72823">
      <w:pPr>
        <w:pStyle w:val="EStiret"/>
        <w:rPr>
          <w:rFonts w:eastAsia="Calibri"/>
          <w:lang w:val="en-US" w:eastAsia="en-US"/>
        </w:rPr>
      </w:pPr>
    </w:p>
    <w:p w:rsidR="00B72823" w:rsidRPr="00C903F8" w:rsidRDefault="00B72823" w:rsidP="00B72823">
      <w:pPr>
        <w:pStyle w:val="EStiret"/>
        <w:rPr>
          <w:rFonts w:eastAsia="Calibri"/>
          <w:lang w:val="en-US" w:eastAsia="en-US"/>
        </w:rPr>
      </w:pPr>
      <w:r w:rsidRPr="00C903F8">
        <w:rPr>
          <w:rFonts w:eastAsia="Calibri"/>
          <w:lang w:val="en-US" w:eastAsia="en-US"/>
        </w:rPr>
        <w:br w:type="page"/>
      </w:r>
    </w:p>
    <w:p w:rsidR="00973DAA" w:rsidRPr="00C903F8" w:rsidRDefault="00973DAA" w:rsidP="00B72823">
      <w:pPr>
        <w:pStyle w:val="EStiret"/>
        <w:rPr>
          <w:rFonts w:eastAsia="Calibri" w:cs="Arial"/>
          <w:szCs w:val="18"/>
          <w:lang w:val="en-US" w:eastAsia="en-US"/>
        </w:rPr>
      </w:pPr>
      <w:r w:rsidRPr="00C903F8">
        <w:rPr>
          <w:rFonts w:eastAsia="Calibri"/>
          <w:lang w:val="en-US" w:eastAsia="en-US"/>
        </w:rPr>
        <w:lastRenderedPageBreak/>
        <w:t>bb)</w:t>
      </w:r>
      <w:r w:rsidRPr="00C903F8">
        <w:rPr>
          <w:rFonts w:eastAsia="Calibri"/>
          <w:lang w:val="en-US" w:eastAsia="en-US"/>
        </w:rPr>
        <w:tab/>
        <w:t>in the corridors, lifts and stairwells, with the distance to the nearest trigger not exceeding 10 m and with at least one trigger per watertight compartment;</w:t>
      </w:r>
    </w:p>
    <w:p w:rsidR="00973DAA" w:rsidRPr="00C903F8" w:rsidRDefault="00973DAA" w:rsidP="00B72823">
      <w:pPr>
        <w:pStyle w:val="EStiret"/>
        <w:rPr>
          <w:rFonts w:eastAsia="Calibri" w:cs="Arial"/>
          <w:szCs w:val="18"/>
          <w:lang w:val="en-US" w:eastAsia="en-US"/>
        </w:rPr>
      </w:pPr>
      <w:r w:rsidRPr="00C903F8">
        <w:rPr>
          <w:rFonts w:eastAsia="Calibri"/>
          <w:lang w:val="en-US" w:eastAsia="en-US"/>
        </w:rPr>
        <w:t>cc)</w:t>
      </w:r>
      <w:r w:rsidRPr="00C903F8">
        <w:rPr>
          <w:rFonts w:eastAsia="Calibri"/>
          <w:lang w:val="en-US" w:eastAsia="en-US"/>
        </w:rPr>
        <w:tab/>
        <w:t>in lounges, dining rooms and similar recreation rooms;</w:t>
      </w:r>
    </w:p>
    <w:p w:rsidR="00973DAA" w:rsidRPr="00C903F8" w:rsidRDefault="00973DAA" w:rsidP="00B72823">
      <w:pPr>
        <w:pStyle w:val="EStiret"/>
        <w:rPr>
          <w:rFonts w:eastAsia="Calibri" w:cs="Arial"/>
          <w:szCs w:val="18"/>
          <w:lang w:val="en-US" w:eastAsia="en-US"/>
        </w:rPr>
      </w:pPr>
      <w:r w:rsidRPr="00C903F8">
        <w:rPr>
          <w:rFonts w:eastAsia="Calibri"/>
          <w:lang w:val="en-US" w:eastAsia="en-US"/>
        </w:rPr>
        <w:t>dd)</w:t>
      </w:r>
      <w:r w:rsidRPr="00C903F8">
        <w:rPr>
          <w:rFonts w:eastAsia="Calibri"/>
          <w:lang w:val="en-US" w:eastAsia="en-US"/>
        </w:rPr>
        <w:tab/>
        <w:t>in toilets, intended for use by persons with reduced mobility;</w:t>
      </w:r>
    </w:p>
    <w:p w:rsidR="00973DAA" w:rsidRPr="00C903F8" w:rsidRDefault="00973DAA" w:rsidP="00B72823">
      <w:pPr>
        <w:pStyle w:val="EStiret"/>
        <w:rPr>
          <w:rFonts w:eastAsia="Calibri" w:cs="Arial"/>
          <w:szCs w:val="18"/>
          <w:lang w:val="en-US" w:eastAsia="en-US"/>
        </w:rPr>
      </w:pPr>
      <w:r w:rsidRPr="00C903F8">
        <w:rPr>
          <w:rFonts w:eastAsia="Calibri"/>
          <w:lang w:val="en-US" w:eastAsia="en-US"/>
        </w:rPr>
        <w:t>ee)</w:t>
      </w:r>
      <w:r w:rsidRPr="00C903F8">
        <w:rPr>
          <w:rFonts w:eastAsia="Calibri"/>
          <w:lang w:val="en-US" w:eastAsia="en-US"/>
        </w:rPr>
        <w:tab/>
        <w:t>in engine rooms, galleys and similar rooms where there is a fire risk;</w:t>
      </w:r>
    </w:p>
    <w:p w:rsidR="00973DAA" w:rsidRPr="00C903F8" w:rsidRDefault="00B72823" w:rsidP="00B72823">
      <w:pPr>
        <w:pStyle w:val="EStiret"/>
        <w:rPr>
          <w:rFonts w:eastAsia="Calibri" w:cs="Arial"/>
          <w:szCs w:val="18"/>
          <w:lang w:val="en-US" w:eastAsia="en-US"/>
        </w:rPr>
      </w:pPr>
      <w:r w:rsidRPr="00C903F8">
        <w:rPr>
          <w:rFonts w:eastAsia="Calibri"/>
          <w:lang w:val="en-US" w:eastAsia="en-US"/>
        </w:rPr>
        <w:t>ff</w:t>
      </w:r>
      <w:r w:rsidR="00973DAA" w:rsidRPr="00C903F8">
        <w:rPr>
          <w:rFonts w:eastAsia="Calibri"/>
          <w:lang w:val="en-US" w:eastAsia="en-US"/>
        </w:rPr>
        <w:t>)</w:t>
      </w:r>
      <w:r w:rsidR="00973DAA" w:rsidRPr="00C903F8">
        <w:rPr>
          <w:rFonts w:eastAsia="Calibri"/>
          <w:lang w:val="en-US" w:eastAsia="en-US"/>
        </w:rPr>
        <w:tab/>
      </w:r>
      <w:r w:rsidR="00AF4C79" w:rsidRPr="00C903F8">
        <w:rPr>
          <w:rFonts w:eastAsia="Calibri"/>
          <w:lang w:val="en-US" w:eastAsia="en-US"/>
        </w:rPr>
        <w:t>in the cold-storage rooms and other store rooms</w:t>
      </w:r>
      <w:r w:rsidR="002E24E2" w:rsidRPr="00C903F8">
        <w:rPr>
          <w:rFonts w:eastAsia="Calibri"/>
          <w:lang w:val="en-US" w:eastAsia="en-US"/>
        </w:rPr>
        <w:t>.</w:t>
      </w:r>
    </w:p>
    <w:p w:rsidR="00973DAA" w:rsidRPr="00C903F8" w:rsidRDefault="00973DAA" w:rsidP="00B72823">
      <w:pPr>
        <w:pStyle w:val="ESletpar"/>
        <w:rPr>
          <w:rFonts w:eastAsia="Calibri" w:cs="Arial"/>
          <w:szCs w:val="18"/>
          <w:lang w:val="en-US"/>
        </w:rPr>
      </w:pPr>
      <w:r w:rsidRPr="00C903F8">
        <w:rPr>
          <w:rFonts w:eastAsia="Calibri"/>
          <w:noProof/>
          <w:lang w:val="en-US"/>
        </w:rPr>
        <w:t>The alarm triggers shall be installed at a height above the floor of 0,85 m to 1,10 m;</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an alarm system enabling the vessel's command to alert passengers.</w:t>
      </w:r>
    </w:p>
    <w:p w:rsidR="00973DAA" w:rsidRPr="00C903F8" w:rsidRDefault="00973DAA" w:rsidP="00B72823">
      <w:pPr>
        <w:pStyle w:val="ESletpar"/>
        <w:rPr>
          <w:rFonts w:eastAsia="Calibri" w:cs="Arial"/>
          <w:szCs w:val="18"/>
          <w:lang w:val="en-US"/>
        </w:rPr>
      </w:pPr>
      <w:r w:rsidRPr="00C903F8">
        <w:rPr>
          <w:rFonts w:eastAsia="Calibri"/>
          <w:noProof/>
          <w:lang w:val="en-US"/>
        </w:rPr>
        <w:t>This alarm shall be clearly and unmistakably audible in all rooms accessible to passengers. It shall be capable of being triggered from the wheelhouse and from a location that is permanently staffed;</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an alarm system enabling the vessel's command to alert the crew and shipboard personnel, referred to in Article 7.09(1).</w:t>
      </w:r>
    </w:p>
    <w:p w:rsidR="00973DAA" w:rsidRPr="00C903F8" w:rsidRDefault="00973DAA" w:rsidP="00B72823">
      <w:pPr>
        <w:pStyle w:val="ESletpar"/>
        <w:rPr>
          <w:rFonts w:eastAsia="Calibri" w:cs="Arial"/>
          <w:szCs w:val="18"/>
          <w:lang w:val="en-US"/>
        </w:rPr>
      </w:pPr>
      <w:r w:rsidRPr="00C903F8">
        <w:rPr>
          <w:rFonts w:eastAsia="Calibri"/>
          <w:noProof/>
          <w:lang w:val="en-US"/>
        </w:rPr>
        <w:t>The alarm system shall also reach the recreation rooms for the shipboard personnel, the cold-storage rooms and other store rooms.</w:t>
      </w:r>
    </w:p>
    <w:p w:rsidR="00B72823" w:rsidRPr="00C903F8" w:rsidRDefault="00B72823" w:rsidP="00B72823">
      <w:pPr>
        <w:pStyle w:val="ESchpar"/>
        <w:rPr>
          <w:rFonts w:eastAsia="Calibri"/>
          <w:noProof/>
          <w:lang w:val="en-US"/>
        </w:rPr>
      </w:pPr>
    </w:p>
    <w:p w:rsidR="00973DAA" w:rsidRPr="00C903F8" w:rsidRDefault="00973DAA" w:rsidP="00B72823">
      <w:pPr>
        <w:pStyle w:val="ESchpar"/>
        <w:rPr>
          <w:rFonts w:eastAsia="Calibri" w:cs="Arial"/>
          <w:szCs w:val="18"/>
          <w:lang w:val="en-US"/>
        </w:rPr>
      </w:pPr>
      <w:r w:rsidRPr="00C903F8">
        <w:rPr>
          <w:rFonts w:eastAsia="Calibri"/>
          <w:noProof/>
          <w:lang w:val="en-US"/>
        </w:rPr>
        <w:t>Alarm triggers shall be protected against unintentional use.</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4.</w:t>
      </w:r>
      <w:r w:rsidRPr="00C903F8">
        <w:rPr>
          <w:rFonts w:eastAsia="Calibri"/>
          <w:noProof/>
          <w:lang w:val="en-US" w:eastAsia="en-US"/>
        </w:rPr>
        <w:tab/>
        <w:t>Each watertight compartment shall be fitted with a bilge level alarm.</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5.</w:t>
      </w:r>
      <w:r w:rsidRPr="00C903F8">
        <w:rPr>
          <w:rFonts w:eastAsia="Calibri"/>
          <w:noProof/>
          <w:lang w:val="en-US" w:eastAsia="en-US"/>
        </w:rPr>
        <w:tab/>
        <w:t>Two motor-driven bilge pumps shall be provided.</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6.</w:t>
      </w:r>
      <w:r w:rsidRPr="00C903F8">
        <w:rPr>
          <w:rFonts w:eastAsia="Calibri"/>
          <w:noProof/>
          <w:lang w:val="en-US" w:eastAsia="en-US"/>
        </w:rPr>
        <w:tab/>
        <w:t>A bilge pumping system with permanently installed pipe work shall be available.</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7.</w:t>
      </w:r>
      <w:r w:rsidRPr="00C903F8">
        <w:rPr>
          <w:rFonts w:eastAsia="Calibri"/>
          <w:noProof/>
          <w:lang w:val="en-US" w:eastAsia="en-US"/>
        </w:rPr>
        <w:tab/>
        <w:t>Cold-storage room doors, even when locked, shall also be capable of being opened from the inside.</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8.</w:t>
      </w:r>
      <w:r w:rsidRPr="00C903F8">
        <w:rPr>
          <w:rFonts w:eastAsia="Calibri"/>
          <w:noProof/>
          <w:lang w:val="en-US" w:eastAsia="en-US"/>
        </w:rPr>
        <w:tab/>
        <w:t>Where CO</w:t>
      </w:r>
      <w:r w:rsidRPr="00C903F8">
        <w:rPr>
          <w:rFonts w:eastAsia="Calibri"/>
          <w:noProof/>
          <w:vertAlign w:val="subscript"/>
          <w:lang w:val="en-US" w:eastAsia="en-US"/>
        </w:rPr>
        <w:t>2</w:t>
      </w:r>
      <w:r w:rsidRPr="00C903F8">
        <w:rPr>
          <w:rFonts w:eastAsia="Calibri"/>
          <w:noProof/>
          <w:lang w:val="en-US" w:eastAsia="en-US"/>
        </w:rPr>
        <w:t xml:space="preserve"> bar-systems are situated in rooms below deck these rooms shall be fitted with an automatic ventilation system which turns itself on automatically when the door or hatch to the room is opened. The ventilation ducts shall run down to 0,05 m from the floor of this room.</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9</w:t>
      </w:r>
      <w:r w:rsidR="00B72823" w:rsidRPr="00C903F8">
        <w:rPr>
          <w:rFonts w:eastAsia="Calibri"/>
          <w:noProof/>
          <w:lang w:val="en-US" w:eastAsia="en-US"/>
        </w:rPr>
        <w:t>.</w:t>
      </w:r>
      <w:r w:rsidRPr="00C903F8">
        <w:rPr>
          <w:rFonts w:eastAsia="Calibri"/>
          <w:noProof/>
          <w:lang w:val="en-US" w:eastAsia="en-US"/>
        </w:rPr>
        <w:tab/>
        <w:t>In addition to the first-aid kit according to Article 13.02(2)(f), further first-aid kits shall be provided in sufficient number. The first-aid kits and their storage shall comply with the requirements set out in Article 13.02(2)(f).</w:t>
      </w:r>
    </w:p>
    <w:p w:rsidR="00973DAA" w:rsidRPr="00C903F8" w:rsidRDefault="00973DAA" w:rsidP="00973DAA">
      <w:pPr>
        <w:pStyle w:val="ESch"/>
        <w:rPr>
          <w:rFonts w:eastAsia="Calibri" w:cs="Arial"/>
          <w:szCs w:val="18"/>
          <w:lang w:val="en-US" w:eastAsia="en-US"/>
        </w:rPr>
      </w:pPr>
    </w:p>
    <w:p w:rsidR="00B72823" w:rsidRPr="00C903F8" w:rsidRDefault="00B72823" w:rsidP="00973DAA">
      <w:pPr>
        <w:pStyle w:val="ESch"/>
        <w:rPr>
          <w:rFonts w:eastAsia="Calibri" w:cs="Arial"/>
          <w:szCs w:val="18"/>
          <w:lang w:val="en-US" w:eastAsia="en-US"/>
        </w:rPr>
      </w:pPr>
    </w:p>
    <w:p w:rsidR="00973DAA" w:rsidRPr="00C903F8" w:rsidRDefault="00973DAA" w:rsidP="00B72823">
      <w:pPr>
        <w:pStyle w:val="ES-Titre3"/>
        <w:rPr>
          <w:rFonts w:cs="Arial"/>
          <w:i/>
          <w:szCs w:val="18"/>
          <w:lang w:val="en-US"/>
        </w:rPr>
      </w:pPr>
      <w:bookmarkStart w:id="190" w:name="_Toc491854178"/>
      <w:r w:rsidRPr="00C903F8">
        <w:rPr>
          <w:noProof/>
          <w:lang w:val="en-US"/>
        </w:rPr>
        <w:t>Article 19.09</w:t>
      </w:r>
      <w:r w:rsidRPr="00C903F8">
        <w:rPr>
          <w:noProof/>
          <w:lang w:val="en-US"/>
        </w:rPr>
        <w:br/>
      </w:r>
      <w:r w:rsidRPr="00C903F8">
        <w:rPr>
          <w:i/>
          <w:noProof/>
          <w:lang w:val="en-US"/>
        </w:rPr>
        <w:t>Life-saving equipment</w:t>
      </w:r>
      <w:bookmarkEnd w:id="190"/>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w:t>
      </w:r>
      <w:r w:rsidRPr="00C903F8">
        <w:rPr>
          <w:rFonts w:eastAsia="Calibri"/>
          <w:noProof/>
          <w:lang w:val="en-US" w:eastAsia="en-US"/>
        </w:rPr>
        <w:tab/>
        <w:t>In addition to the lifebuoys specified in Article 13.0</w:t>
      </w:r>
      <w:r w:rsidR="00E852A7" w:rsidRPr="00C903F8">
        <w:rPr>
          <w:rFonts w:eastAsia="Calibri"/>
          <w:noProof/>
          <w:lang w:val="en-US" w:eastAsia="en-US"/>
        </w:rPr>
        <w:t>8</w:t>
      </w:r>
      <w:r w:rsidRPr="00C903F8">
        <w:rPr>
          <w:rFonts w:eastAsia="Calibri"/>
          <w:noProof/>
          <w:lang w:val="en-US" w:eastAsia="en-US"/>
        </w:rPr>
        <w:t>(1), all parts of the deck intended for passengers and not enclosed shall be equipped with suitable lifebuoys, which shall be positioned on both sides of the vessel not more than 20 m apart. Lifebuoys shall be considered as suitable if they comply with</w:t>
      </w:r>
    </w:p>
    <w:p w:rsidR="00973DAA" w:rsidRPr="00C903F8" w:rsidRDefault="00973DAA" w:rsidP="00B72823">
      <w:pPr>
        <w:pStyle w:val="ESlet"/>
        <w:rPr>
          <w:rFonts w:eastAsia="Calibri" w:cs="Arial"/>
          <w:szCs w:val="18"/>
          <w:lang w:val="en-US" w:eastAsia="en-US"/>
        </w:rPr>
      </w:pPr>
      <w:r w:rsidRPr="00C903F8">
        <w:rPr>
          <w:rFonts w:eastAsia="Calibri"/>
          <w:noProof/>
          <w:lang w:val="en-US" w:eastAsia="en-US"/>
        </w:rPr>
        <w:t>-</w:t>
      </w:r>
      <w:r w:rsidRPr="00C903F8">
        <w:rPr>
          <w:rFonts w:eastAsia="Calibri"/>
          <w:noProof/>
          <w:lang w:val="en-US" w:eastAsia="en-US"/>
        </w:rPr>
        <w:tab/>
        <w:t xml:space="preserve">the European </w:t>
      </w:r>
      <w:r w:rsidR="00837508" w:rsidRPr="00C903F8">
        <w:rPr>
          <w:rFonts w:eastAsia="Calibri"/>
          <w:noProof/>
          <w:lang w:val="en-US" w:eastAsia="en-US"/>
        </w:rPr>
        <w:t>S</w:t>
      </w:r>
      <w:r w:rsidRPr="00C903F8">
        <w:rPr>
          <w:rFonts w:eastAsia="Calibri"/>
          <w:noProof/>
          <w:lang w:val="en-US" w:eastAsia="en-US"/>
        </w:rPr>
        <w:t>tandard EN 14144:</w:t>
      </w:r>
      <w:r w:rsidR="00A56366" w:rsidRPr="00C903F8">
        <w:rPr>
          <w:rFonts w:eastAsia="Calibri"/>
          <w:noProof/>
          <w:lang w:val="en-US" w:eastAsia="en-US"/>
        </w:rPr>
        <w:t> </w:t>
      </w:r>
      <w:r w:rsidRPr="00C903F8">
        <w:rPr>
          <w:rFonts w:eastAsia="Calibri"/>
          <w:noProof/>
          <w:lang w:val="en-US" w:eastAsia="en-US"/>
        </w:rPr>
        <w:t>2003</w:t>
      </w:r>
      <w:r w:rsidR="00A56366" w:rsidRPr="00C903F8">
        <w:rPr>
          <w:rFonts w:eastAsia="Calibri"/>
          <w:noProof/>
          <w:lang w:val="en-US" w:eastAsia="en-US"/>
        </w:rPr>
        <w:t>;</w:t>
      </w:r>
      <w:r w:rsidRPr="00C903F8">
        <w:rPr>
          <w:rFonts w:eastAsia="Calibri"/>
          <w:noProof/>
          <w:lang w:val="en-US" w:eastAsia="en-US"/>
        </w:rPr>
        <w:t xml:space="preserve"> or</w:t>
      </w:r>
    </w:p>
    <w:p w:rsidR="00973DAA" w:rsidRPr="00C903F8" w:rsidRDefault="00973DAA" w:rsidP="00B72823">
      <w:pPr>
        <w:pStyle w:val="ESlet"/>
        <w:rPr>
          <w:rFonts w:eastAsia="Calibri"/>
          <w:noProof/>
          <w:lang w:val="en-US" w:eastAsia="en-US"/>
        </w:rPr>
      </w:pPr>
      <w:r w:rsidRPr="00C903F8">
        <w:rPr>
          <w:rFonts w:eastAsia="Calibri"/>
          <w:noProof/>
          <w:lang w:val="en-US" w:eastAsia="en-US"/>
        </w:rPr>
        <w:t>-</w:t>
      </w:r>
      <w:r w:rsidRPr="00C903F8">
        <w:rPr>
          <w:rFonts w:eastAsia="Calibri"/>
          <w:noProof/>
          <w:lang w:val="en-US" w:eastAsia="en-US"/>
        </w:rPr>
        <w:tab/>
        <w:t>the International Convention for the Safety of Life at Sea (SOLAS 1974) Chapter III R</w:t>
      </w:r>
      <w:r w:rsidR="002D1826" w:rsidRPr="00C903F8">
        <w:rPr>
          <w:rFonts w:eastAsia="Calibri"/>
          <w:noProof/>
          <w:lang w:val="en-US" w:eastAsia="en-US"/>
        </w:rPr>
        <w:t>egulation</w:t>
      </w:r>
      <w:r w:rsidR="00837508" w:rsidRPr="00C903F8">
        <w:rPr>
          <w:rFonts w:eastAsia="Calibri"/>
          <w:noProof/>
          <w:lang w:val="en-US" w:eastAsia="en-US"/>
        </w:rPr>
        <w:t> </w:t>
      </w:r>
      <w:r w:rsidRPr="00C903F8">
        <w:rPr>
          <w:rFonts w:eastAsia="Calibri"/>
          <w:noProof/>
          <w:lang w:val="en-US" w:eastAsia="en-US"/>
        </w:rPr>
        <w:t xml:space="preserve">7.1 and the International Life-Saving Appliance (LSA) Code, </w:t>
      </w:r>
      <w:r w:rsidR="00FD1E75" w:rsidRPr="00C903F8">
        <w:rPr>
          <w:rFonts w:eastAsia="Calibri"/>
          <w:noProof/>
          <w:lang w:val="en-US" w:eastAsia="en-US"/>
        </w:rPr>
        <w:t>(</w:t>
      </w:r>
      <w:r w:rsidRPr="00C903F8">
        <w:rPr>
          <w:rFonts w:eastAsia="Calibri"/>
          <w:noProof/>
          <w:lang w:val="en-US" w:eastAsia="en-US"/>
        </w:rPr>
        <w:t>2.1</w:t>
      </w:r>
      <w:r w:rsidR="00FD1E75" w:rsidRPr="00C903F8">
        <w:rPr>
          <w:rFonts w:eastAsia="Calibri"/>
          <w:noProof/>
          <w:lang w:val="en-US" w:eastAsia="en-US"/>
        </w:rPr>
        <w:t>)</w:t>
      </w:r>
      <w:r w:rsidRPr="00C903F8">
        <w:rPr>
          <w:rFonts w:eastAsia="Calibri"/>
          <w:noProof/>
          <w:lang w:val="en-US" w:eastAsia="en-US"/>
        </w:rPr>
        <w:t>.</w:t>
      </w:r>
    </w:p>
    <w:p w:rsidR="00B72823" w:rsidRPr="00C903F8" w:rsidRDefault="00B72823" w:rsidP="00B72823">
      <w:pPr>
        <w:pStyle w:val="ESch"/>
        <w:rPr>
          <w:rFonts w:eastAsia="Calibri"/>
          <w:noProof/>
          <w:lang w:val="en-US" w:eastAsia="en-US"/>
        </w:rPr>
      </w:pPr>
    </w:p>
    <w:p w:rsidR="00B72823" w:rsidRPr="00C903F8" w:rsidRDefault="00B72823" w:rsidP="00B72823">
      <w:pPr>
        <w:pStyle w:val="ESch"/>
        <w:rPr>
          <w:rFonts w:eastAsia="Calibri"/>
          <w:noProof/>
          <w:lang w:val="en-US" w:eastAsia="en-US"/>
        </w:rPr>
      </w:pPr>
    </w:p>
    <w:p w:rsidR="00B72823" w:rsidRPr="00C903F8" w:rsidRDefault="00B72823" w:rsidP="00B72823">
      <w:pPr>
        <w:pStyle w:val="ESch"/>
        <w:rPr>
          <w:rFonts w:eastAsia="Calibri" w:cs="Arial"/>
          <w:szCs w:val="18"/>
          <w:lang w:val="en-US" w:eastAsia="en-US"/>
        </w:rPr>
      </w:pPr>
    </w:p>
    <w:p w:rsidR="00B72823" w:rsidRPr="00C903F8" w:rsidRDefault="00B72823" w:rsidP="00973DAA">
      <w:pPr>
        <w:pStyle w:val="ESch"/>
        <w:rPr>
          <w:rFonts w:eastAsia="Calibri"/>
          <w:noProof/>
          <w:lang w:val="en-US" w:eastAsia="en-US"/>
        </w:rPr>
      </w:pPr>
      <w:r w:rsidRPr="00C903F8">
        <w:rPr>
          <w:rFonts w:eastAsia="Calibri"/>
          <w:noProof/>
          <w:lang w:val="en-US" w:eastAsia="en-US"/>
        </w:rPr>
        <w:br w:type="page"/>
      </w:r>
    </w:p>
    <w:p w:rsidR="00973DAA" w:rsidRPr="00C903F8" w:rsidRDefault="00973DAA" w:rsidP="00B72823">
      <w:pPr>
        <w:pStyle w:val="ESchpar"/>
        <w:rPr>
          <w:rFonts w:eastAsia="Calibri" w:cs="Arial"/>
          <w:szCs w:val="18"/>
          <w:lang w:val="en-US" w:eastAsia="en-US"/>
        </w:rPr>
      </w:pPr>
      <w:r w:rsidRPr="00C903F8">
        <w:rPr>
          <w:rFonts w:eastAsia="Calibri"/>
          <w:noProof/>
          <w:lang w:val="en-US" w:eastAsia="en-US"/>
        </w:rPr>
        <w:lastRenderedPageBreak/>
        <w:t>Half of all the prescribed lifebuoys shall be fitted with a buoyant cord at least 30 m long with a diameter of 8 to 11 mm. The other half of the prescribed lifebuoys shall be fitted with a self-igniting, battery-powered light which will not be extinguished in water.</w:t>
      </w:r>
    </w:p>
    <w:p w:rsidR="00B72823" w:rsidRPr="00C903F8" w:rsidRDefault="00B72823" w:rsidP="00973DAA">
      <w:pPr>
        <w:pStyle w:val="ESch"/>
        <w:rPr>
          <w:rFonts w:eastAsia="Calibri"/>
          <w:noProof/>
          <w:lang w:val="en-US" w:eastAsia="en-US"/>
        </w:rPr>
      </w:pPr>
    </w:p>
    <w:p w:rsidR="00973DAA" w:rsidRPr="00C903F8" w:rsidRDefault="00B72823" w:rsidP="00973DAA">
      <w:pPr>
        <w:pStyle w:val="ESch"/>
        <w:rPr>
          <w:rFonts w:eastAsia="Calibri" w:cs="Arial"/>
          <w:szCs w:val="18"/>
          <w:lang w:val="en-US" w:eastAsia="en-US"/>
        </w:rPr>
      </w:pPr>
      <w:r w:rsidRPr="00C903F8">
        <w:rPr>
          <w:rFonts w:eastAsia="Calibri"/>
          <w:noProof/>
          <w:lang w:val="en-US" w:eastAsia="en-US"/>
        </w:rPr>
        <w:t>2.</w:t>
      </w:r>
      <w:r w:rsidR="00973DAA" w:rsidRPr="00C903F8">
        <w:rPr>
          <w:rFonts w:eastAsia="Calibri"/>
          <w:noProof/>
          <w:lang w:val="en-US" w:eastAsia="en-US"/>
        </w:rPr>
        <w:tab/>
        <w:t>In addition to the lifebuoys referred to in (1), individual life-saving</w:t>
      </w:r>
      <w:r w:rsidRPr="00C903F8">
        <w:rPr>
          <w:rFonts w:eastAsia="Calibri"/>
          <w:noProof/>
          <w:lang w:val="en-US" w:eastAsia="en-US"/>
        </w:rPr>
        <w:t xml:space="preserve"> equipment according to Article </w:t>
      </w:r>
      <w:r w:rsidR="00973DAA" w:rsidRPr="00C903F8">
        <w:rPr>
          <w:rFonts w:eastAsia="Calibri"/>
          <w:noProof/>
          <w:lang w:val="en-US" w:eastAsia="en-US"/>
        </w:rPr>
        <w:t>13.0</w:t>
      </w:r>
      <w:r w:rsidR="00E852A7" w:rsidRPr="00C903F8">
        <w:rPr>
          <w:rFonts w:eastAsia="Calibri"/>
          <w:noProof/>
          <w:lang w:val="en-US" w:eastAsia="en-US"/>
        </w:rPr>
        <w:t>8</w:t>
      </w:r>
      <w:r w:rsidR="00973DAA" w:rsidRPr="00C903F8">
        <w:rPr>
          <w:rFonts w:eastAsia="Calibri"/>
          <w:noProof/>
          <w:lang w:val="en-US" w:eastAsia="en-US"/>
        </w:rPr>
        <w:t>(2) shall be within reach for all shipboard personnel. For shipboard personal not responsible for undertaking duties according to the safety rota no</w:t>
      </w:r>
      <w:r w:rsidR="002D1826" w:rsidRPr="00C903F8">
        <w:rPr>
          <w:rFonts w:eastAsia="Calibri"/>
          <w:noProof/>
          <w:lang w:val="en-US" w:eastAsia="en-US"/>
        </w:rPr>
        <w:t>n-</w:t>
      </w:r>
      <w:r w:rsidR="00973DAA" w:rsidRPr="00C903F8">
        <w:rPr>
          <w:rFonts w:eastAsia="Calibri"/>
          <w:noProof/>
          <w:lang w:val="en-US" w:eastAsia="en-US"/>
        </w:rPr>
        <w:t xml:space="preserve">inflatable or semi-automatically inflatable lifejackets according to the </w:t>
      </w:r>
      <w:r w:rsidR="00837508" w:rsidRPr="00C903F8">
        <w:rPr>
          <w:rFonts w:eastAsia="Calibri"/>
          <w:noProof/>
          <w:lang w:val="en-US" w:eastAsia="en-US"/>
        </w:rPr>
        <w:t>S</w:t>
      </w:r>
      <w:r w:rsidR="00973DAA" w:rsidRPr="00C903F8">
        <w:rPr>
          <w:rFonts w:eastAsia="Calibri"/>
          <w:noProof/>
          <w:lang w:val="en-US" w:eastAsia="en-US"/>
        </w:rPr>
        <w:t>tandards mentioned in Article 13.0</w:t>
      </w:r>
      <w:r w:rsidR="00E852A7" w:rsidRPr="00C903F8">
        <w:rPr>
          <w:rFonts w:eastAsia="Calibri"/>
          <w:noProof/>
          <w:lang w:val="en-US" w:eastAsia="en-US"/>
        </w:rPr>
        <w:t>8</w:t>
      </w:r>
      <w:r w:rsidR="00973DAA" w:rsidRPr="00C903F8">
        <w:rPr>
          <w:rFonts w:eastAsia="Calibri"/>
          <w:noProof/>
          <w:lang w:val="en-US" w:eastAsia="en-US"/>
        </w:rPr>
        <w:t>(2) are allowed.</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3.</w:t>
      </w:r>
      <w:r w:rsidRPr="00C903F8">
        <w:rPr>
          <w:rFonts w:eastAsia="Calibri"/>
          <w:noProof/>
          <w:lang w:val="en-US" w:eastAsia="en-US"/>
        </w:rPr>
        <w:tab/>
        <w:t>Passenger vessels shall have appropriate equipment to enable persons to be transferred safely to shallow water, to the bank or to another craft.</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4.</w:t>
      </w:r>
      <w:r w:rsidRPr="00C903F8">
        <w:rPr>
          <w:rFonts w:eastAsia="Calibri"/>
          <w:noProof/>
          <w:lang w:val="en-US" w:eastAsia="en-US"/>
        </w:rPr>
        <w:tab/>
        <w:t>In addition to the life-saving equipment referred to in (1) and (2), individual life-saving equipment according to Article 13.0</w:t>
      </w:r>
      <w:r w:rsidR="00E852A7" w:rsidRPr="00C903F8">
        <w:rPr>
          <w:rFonts w:eastAsia="Calibri"/>
          <w:noProof/>
          <w:lang w:val="en-US" w:eastAsia="en-US"/>
        </w:rPr>
        <w:t>8</w:t>
      </w:r>
      <w:r w:rsidRPr="00C903F8">
        <w:rPr>
          <w:rFonts w:eastAsia="Calibri"/>
          <w:noProof/>
          <w:lang w:val="en-US" w:eastAsia="en-US"/>
        </w:rPr>
        <w:t>(2), shall be available for 100 % of the maximum permitted number of passengers. No</w:t>
      </w:r>
      <w:r w:rsidR="002D1826" w:rsidRPr="00C903F8">
        <w:rPr>
          <w:rFonts w:eastAsia="Calibri"/>
          <w:noProof/>
          <w:lang w:val="en-US" w:eastAsia="en-US"/>
        </w:rPr>
        <w:t>n-</w:t>
      </w:r>
      <w:r w:rsidRPr="00C903F8">
        <w:rPr>
          <w:rFonts w:eastAsia="Calibri"/>
          <w:noProof/>
          <w:lang w:val="en-US" w:eastAsia="en-US"/>
        </w:rPr>
        <w:t xml:space="preserve">inflatable or semi-automatically inflatable lifejackets according to the </w:t>
      </w:r>
      <w:r w:rsidR="00837508" w:rsidRPr="00C903F8">
        <w:rPr>
          <w:rFonts w:eastAsia="Calibri"/>
          <w:noProof/>
          <w:lang w:val="en-US" w:eastAsia="en-US"/>
        </w:rPr>
        <w:t>S</w:t>
      </w:r>
      <w:r w:rsidRPr="00C903F8">
        <w:rPr>
          <w:rFonts w:eastAsia="Calibri"/>
          <w:noProof/>
          <w:lang w:val="en-US" w:eastAsia="en-US"/>
        </w:rPr>
        <w:t>tandards mentioned in Article 13.0</w:t>
      </w:r>
      <w:r w:rsidR="00E852A7" w:rsidRPr="00C903F8">
        <w:rPr>
          <w:rFonts w:eastAsia="Calibri"/>
          <w:noProof/>
          <w:lang w:val="en-US" w:eastAsia="en-US"/>
        </w:rPr>
        <w:t>8</w:t>
      </w:r>
      <w:r w:rsidRPr="00C903F8">
        <w:rPr>
          <w:rFonts w:eastAsia="Calibri"/>
          <w:noProof/>
          <w:lang w:val="en-US" w:eastAsia="en-US"/>
        </w:rPr>
        <w:t>(2), are also allowed.</w:t>
      </w:r>
    </w:p>
    <w:p w:rsidR="00973DAA" w:rsidRPr="00C903F8" w:rsidRDefault="00973DAA" w:rsidP="00973DAA">
      <w:pPr>
        <w:pStyle w:val="ESch"/>
        <w:rPr>
          <w:rFonts w:eastAsia="Calibri" w:cs="Arial"/>
          <w:szCs w:val="18"/>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5.</w:t>
      </w:r>
      <w:r w:rsidRPr="00C903F8">
        <w:rPr>
          <w:rFonts w:eastAsia="Calibri"/>
          <w:noProof/>
          <w:lang w:val="en-US" w:eastAsia="en-US"/>
        </w:rPr>
        <w:tab/>
        <w:t xml:space="preserve">The term ‘collective life-saving </w:t>
      </w:r>
      <w:r w:rsidR="007957F9" w:rsidRPr="00C903F8">
        <w:rPr>
          <w:rFonts w:eastAsia="Calibri"/>
          <w:noProof/>
          <w:lang w:val="en-US" w:eastAsia="en-US"/>
        </w:rPr>
        <w:t>appliances</w:t>
      </w:r>
      <w:r w:rsidRPr="00C903F8">
        <w:rPr>
          <w:rFonts w:eastAsia="Calibri"/>
          <w:noProof/>
          <w:lang w:val="en-US" w:eastAsia="en-US"/>
        </w:rPr>
        <w:t>’ covers ship's boats according to Article 13.0</w:t>
      </w:r>
      <w:r w:rsidR="00E852A7" w:rsidRPr="00C903F8">
        <w:rPr>
          <w:rFonts w:eastAsia="Calibri"/>
          <w:noProof/>
          <w:lang w:val="en-US" w:eastAsia="en-US"/>
        </w:rPr>
        <w:t>7</w:t>
      </w:r>
      <w:r w:rsidRPr="00C903F8">
        <w:rPr>
          <w:rFonts w:eastAsia="Calibri"/>
          <w:noProof/>
          <w:lang w:val="en-US" w:eastAsia="en-US"/>
        </w:rPr>
        <w:t xml:space="preserve"> and life rafts.</w:t>
      </w:r>
    </w:p>
    <w:p w:rsidR="00B72823" w:rsidRPr="00C903F8" w:rsidRDefault="00B72823" w:rsidP="00973DAA">
      <w:pPr>
        <w:pStyle w:val="ESch"/>
        <w:rPr>
          <w:rFonts w:eastAsia="Calibri"/>
          <w:noProof/>
          <w:lang w:val="en-US" w:eastAsia="en-US"/>
        </w:rPr>
      </w:pPr>
    </w:p>
    <w:p w:rsidR="00973DAA" w:rsidRPr="00C903F8" w:rsidRDefault="00973DAA" w:rsidP="00B72823">
      <w:pPr>
        <w:pStyle w:val="ESchpar"/>
        <w:rPr>
          <w:rFonts w:eastAsia="Calibri" w:cs="Arial"/>
          <w:szCs w:val="18"/>
          <w:lang w:val="en-US" w:eastAsia="en-US"/>
        </w:rPr>
      </w:pPr>
      <w:r w:rsidRPr="00C903F8">
        <w:rPr>
          <w:rFonts w:eastAsia="Calibri"/>
          <w:noProof/>
          <w:lang w:val="en-US" w:eastAsia="en-US"/>
        </w:rPr>
        <w:t>Life rafts shall:</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bear a notice indicating their purpose and the number of persons for whom they are approved;</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offer adequate seating space for the permitted number of persons;</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provide a buoyancy of at least 750 N per person in fresh water;</w:t>
      </w:r>
    </w:p>
    <w:p w:rsidR="00973DAA" w:rsidRPr="00C903F8" w:rsidRDefault="0029453D" w:rsidP="00B72823">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t>be provided with a rope linked to the passenger vessel to prevent them drifting away;</w:t>
      </w:r>
    </w:p>
    <w:p w:rsidR="00973DAA" w:rsidRPr="00C903F8" w:rsidRDefault="0029453D" w:rsidP="00B72823">
      <w:pPr>
        <w:pStyle w:val="ESlet"/>
        <w:rPr>
          <w:rFonts w:eastAsia="Calibri" w:cs="Arial"/>
          <w:szCs w:val="18"/>
          <w:lang w:val="en-US" w:eastAsia="en-US"/>
        </w:rPr>
      </w:pPr>
      <w:r w:rsidRPr="00C903F8">
        <w:rPr>
          <w:rFonts w:eastAsia="Calibri"/>
          <w:noProof/>
          <w:lang w:val="en-US" w:eastAsia="en-US"/>
        </w:rPr>
        <w:t>e)</w:t>
      </w:r>
      <w:r w:rsidR="00973DAA" w:rsidRPr="00C903F8">
        <w:rPr>
          <w:rFonts w:eastAsia="Calibri"/>
          <w:noProof/>
          <w:lang w:val="en-US" w:eastAsia="en-US"/>
        </w:rPr>
        <w:tab/>
        <w:t>be made of suitable materials and be resistant to oil, oil products and temperatures up to 50 °C;</w:t>
      </w:r>
    </w:p>
    <w:p w:rsidR="00973DAA" w:rsidRPr="00C903F8" w:rsidRDefault="0029453D" w:rsidP="00B72823">
      <w:pPr>
        <w:pStyle w:val="ESlet"/>
        <w:rPr>
          <w:rFonts w:eastAsia="Calibri" w:cs="Arial"/>
          <w:szCs w:val="18"/>
          <w:lang w:val="en-US" w:eastAsia="en-US"/>
        </w:rPr>
      </w:pPr>
      <w:r w:rsidRPr="00C903F8">
        <w:rPr>
          <w:rFonts w:eastAsia="Calibri"/>
          <w:noProof/>
          <w:lang w:val="en-US" w:eastAsia="en-US"/>
        </w:rPr>
        <w:t>f)</w:t>
      </w:r>
      <w:r w:rsidR="00973DAA" w:rsidRPr="00C903F8">
        <w:rPr>
          <w:rFonts w:eastAsia="Calibri"/>
          <w:noProof/>
          <w:lang w:val="en-US" w:eastAsia="en-US"/>
        </w:rPr>
        <w:tab/>
        <w:t>assume and maintain a stable trim and, in this respect, be fitted with appropriate devices enabling them to be grabbed by the indicated number of persons;</w:t>
      </w:r>
    </w:p>
    <w:p w:rsidR="00973DAA" w:rsidRPr="00C903F8" w:rsidRDefault="0029453D" w:rsidP="00B72823">
      <w:pPr>
        <w:pStyle w:val="ESlet"/>
        <w:rPr>
          <w:rFonts w:eastAsia="Calibri" w:cs="Arial"/>
          <w:szCs w:val="18"/>
          <w:lang w:val="en-US" w:eastAsia="en-US"/>
        </w:rPr>
      </w:pPr>
      <w:r w:rsidRPr="00C903F8">
        <w:rPr>
          <w:rFonts w:eastAsia="Calibri"/>
          <w:noProof/>
          <w:lang w:val="en-US" w:eastAsia="en-US"/>
        </w:rPr>
        <w:t>g)</w:t>
      </w:r>
      <w:r w:rsidR="00973DAA" w:rsidRPr="00C903F8">
        <w:rPr>
          <w:rFonts w:eastAsia="Calibri"/>
          <w:noProof/>
          <w:lang w:val="en-US" w:eastAsia="en-US"/>
        </w:rPr>
        <w:tab/>
        <w:t>be fluorescent orange in colour or have fluorescent surfaces, visible from all sides, of at least 100 cm</w:t>
      </w:r>
      <w:r w:rsidR="00973DAA" w:rsidRPr="00C903F8">
        <w:rPr>
          <w:rFonts w:eastAsia="Calibri"/>
          <w:noProof/>
          <w:vertAlign w:val="superscript"/>
          <w:lang w:val="en-US" w:eastAsia="en-US"/>
        </w:rPr>
        <w:t>2</w:t>
      </w:r>
      <w:r w:rsidR="00973DAA" w:rsidRPr="00C903F8">
        <w:rPr>
          <w:rFonts w:eastAsia="Calibri"/>
          <w:noProof/>
          <w:lang w:val="en-US" w:eastAsia="en-US"/>
        </w:rPr>
        <w:t>;</w:t>
      </w:r>
    </w:p>
    <w:p w:rsidR="00973DAA" w:rsidRPr="00C903F8" w:rsidRDefault="0029453D" w:rsidP="00B72823">
      <w:pPr>
        <w:pStyle w:val="ESlet"/>
        <w:rPr>
          <w:rFonts w:eastAsia="Calibri" w:cs="Arial"/>
          <w:szCs w:val="18"/>
          <w:lang w:val="en-US" w:eastAsia="en-US"/>
        </w:rPr>
      </w:pPr>
      <w:r w:rsidRPr="00C903F8">
        <w:rPr>
          <w:rFonts w:eastAsia="Calibri"/>
          <w:noProof/>
          <w:lang w:val="en-US" w:eastAsia="en-US"/>
        </w:rPr>
        <w:t>h)</w:t>
      </w:r>
      <w:r w:rsidR="00973DAA" w:rsidRPr="00C903F8">
        <w:rPr>
          <w:rFonts w:eastAsia="Calibri"/>
          <w:noProof/>
          <w:lang w:val="en-US" w:eastAsia="en-US"/>
        </w:rPr>
        <w:tab/>
        <w:t>be such that they can be released from their stowed position and put overboard quickly and safely by one person, or can float free from their stowed position;</w:t>
      </w:r>
    </w:p>
    <w:p w:rsidR="00973DAA" w:rsidRPr="00C903F8" w:rsidRDefault="0029453D" w:rsidP="00B72823">
      <w:pPr>
        <w:pStyle w:val="ESlet"/>
        <w:rPr>
          <w:rFonts w:eastAsia="Calibri" w:cs="Arial"/>
          <w:szCs w:val="18"/>
          <w:lang w:val="en-US" w:eastAsia="en-US"/>
        </w:rPr>
      </w:pPr>
      <w:r w:rsidRPr="00C903F8">
        <w:rPr>
          <w:rFonts w:eastAsia="Calibri"/>
          <w:noProof/>
          <w:lang w:val="en-US" w:eastAsia="en-US"/>
        </w:rPr>
        <w:t>i)</w:t>
      </w:r>
      <w:r w:rsidR="00973DAA" w:rsidRPr="00C903F8">
        <w:rPr>
          <w:rFonts w:eastAsia="Calibri"/>
          <w:noProof/>
          <w:lang w:val="en-US" w:eastAsia="en-US"/>
        </w:rPr>
        <w:tab/>
        <w:t>be provided with appropriate means of evacuation from the evacuation areas referred to in Article 19.06(8), onto the life rafts if the vertical distance between the deck of the evacuation areas and the plane of maximum draught is greater than 1 m.</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6.</w:t>
      </w:r>
      <w:r w:rsidRPr="00C903F8">
        <w:rPr>
          <w:rFonts w:eastAsia="Calibri"/>
          <w:noProof/>
          <w:lang w:val="en-US" w:eastAsia="en-US"/>
        </w:rPr>
        <w:tab/>
        <w:t>Additional collective life-saving appliances are items of life-saving equipment which ensure the buoyancy of several persons in the water. These shall:</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bear a notice indicating their purpose and the number of persons for whom they are approved;</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provide a buoyancy of at least 100 N per person in fresh water;</w:t>
      </w:r>
    </w:p>
    <w:p w:rsidR="00973DAA" w:rsidRPr="00C903F8" w:rsidRDefault="005C7859" w:rsidP="00B72823">
      <w:pPr>
        <w:pStyle w:val="ESlet"/>
        <w:rPr>
          <w:rFonts w:eastAsia="Calibri"/>
          <w:noProof/>
          <w:lang w:val="en-US" w:eastAsia="en-US"/>
        </w:rPr>
      </w:pPr>
      <w:r w:rsidRPr="00C903F8">
        <w:rPr>
          <w:rFonts w:eastAsia="Calibri"/>
          <w:noProof/>
          <w:lang w:val="en-US" w:eastAsia="en-US"/>
        </w:rPr>
        <w:t>c)</w:t>
      </w:r>
      <w:r w:rsidR="00973DAA" w:rsidRPr="00C903F8">
        <w:rPr>
          <w:rFonts w:eastAsia="Calibri"/>
          <w:noProof/>
          <w:lang w:val="en-US" w:eastAsia="en-US"/>
        </w:rPr>
        <w:tab/>
        <w:t>be made of suitable materials and be resistant to oil, oil products and to temperatures of up to 50 °C;</w:t>
      </w:r>
    </w:p>
    <w:p w:rsidR="00B72823" w:rsidRPr="00C903F8" w:rsidRDefault="00B72823" w:rsidP="00B72823">
      <w:pPr>
        <w:pStyle w:val="ESlet"/>
        <w:rPr>
          <w:rFonts w:eastAsia="Calibri"/>
          <w:noProof/>
          <w:lang w:val="en-US" w:eastAsia="en-US"/>
        </w:rPr>
      </w:pPr>
    </w:p>
    <w:p w:rsidR="00B72823" w:rsidRPr="00C903F8" w:rsidRDefault="00B72823" w:rsidP="00B72823">
      <w:pPr>
        <w:pStyle w:val="ESlet"/>
        <w:rPr>
          <w:rFonts w:eastAsia="Calibri" w:cs="Arial"/>
          <w:szCs w:val="18"/>
          <w:lang w:val="en-US" w:eastAsia="en-US"/>
        </w:rPr>
      </w:pPr>
    </w:p>
    <w:p w:rsidR="00B72823" w:rsidRPr="00C903F8" w:rsidRDefault="00B72823" w:rsidP="00B72823">
      <w:pPr>
        <w:pStyle w:val="ESlet"/>
        <w:rPr>
          <w:rFonts w:eastAsia="Calibri"/>
          <w:noProof/>
          <w:lang w:val="en-US" w:eastAsia="en-US"/>
        </w:rPr>
      </w:pPr>
      <w:r w:rsidRPr="00C903F8">
        <w:rPr>
          <w:rFonts w:eastAsia="Calibri"/>
          <w:noProof/>
          <w:lang w:val="en-US" w:eastAsia="en-US"/>
        </w:rPr>
        <w:br w:type="page"/>
      </w:r>
    </w:p>
    <w:p w:rsidR="00973DAA" w:rsidRPr="00C903F8" w:rsidRDefault="0029453D" w:rsidP="00B72823">
      <w:pPr>
        <w:pStyle w:val="ESlet"/>
        <w:rPr>
          <w:rFonts w:eastAsia="Calibri" w:cs="Arial"/>
          <w:szCs w:val="18"/>
          <w:lang w:val="en-US" w:eastAsia="en-US"/>
        </w:rPr>
      </w:pPr>
      <w:r w:rsidRPr="00C903F8">
        <w:rPr>
          <w:rFonts w:eastAsia="Calibri"/>
          <w:noProof/>
          <w:lang w:val="en-US" w:eastAsia="en-US"/>
        </w:rPr>
        <w:lastRenderedPageBreak/>
        <w:t>d)</w:t>
      </w:r>
      <w:r w:rsidR="00973DAA" w:rsidRPr="00C903F8">
        <w:rPr>
          <w:rFonts w:eastAsia="Calibri"/>
          <w:noProof/>
          <w:lang w:val="en-US" w:eastAsia="en-US"/>
        </w:rPr>
        <w:tab/>
        <w:t>assume and maintain a stable trim and, in this respect, be fitted with appropriate devices enabling them to be grabbed by the indicated number of persons;</w:t>
      </w:r>
    </w:p>
    <w:p w:rsidR="00973DAA" w:rsidRPr="00C903F8" w:rsidRDefault="0029453D" w:rsidP="00B72823">
      <w:pPr>
        <w:pStyle w:val="ESlet"/>
        <w:rPr>
          <w:rFonts w:eastAsia="Calibri" w:cs="Arial"/>
          <w:szCs w:val="18"/>
          <w:lang w:val="en-US" w:eastAsia="en-US"/>
        </w:rPr>
      </w:pPr>
      <w:r w:rsidRPr="00C903F8">
        <w:rPr>
          <w:rFonts w:eastAsia="Calibri"/>
          <w:noProof/>
          <w:lang w:val="en-US" w:eastAsia="en-US"/>
        </w:rPr>
        <w:t>e)</w:t>
      </w:r>
      <w:r w:rsidR="00973DAA" w:rsidRPr="00C903F8">
        <w:rPr>
          <w:rFonts w:eastAsia="Calibri"/>
          <w:noProof/>
          <w:lang w:val="en-US" w:eastAsia="en-US"/>
        </w:rPr>
        <w:tab/>
        <w:t>be fluorescent orange in colour or have fluorescent surfaces, visible from all sides, of at least 100 cm</w:t>
      </w:r>
      <w:r w:rsidR="00973DAA" w:rsidRPr="00C903F8">
        <w:rPr>
          <w:rFonts w:eastAsia="Calibri"/>
          <w:noProof/>
          <w:vertAlign w:val="superscript"/>
          <w:lang w:val="en-US" w:eastAsia="en-US"/>
        </w:rPr>
        <w:t>2</w:t>
      </w:r>
      <w:r w:rsidR="00973DAA" w:rsidRPr="00C903F8">
        <w:rPr>
          <w:rFonts w:eastAsia="Calibri"/>
          <w:noProof/>
          <w:lang w:val="en-US" w:eastAsia="en-US"/>
        </w:rPr>
        <w:t>;</w:t>
      </w:r>
    </w:p>
    <w:p w:rsidR="00973DAA" w:rsidRPr="00C903F8" w:rsidRDefault="0029453D" w:rsidP="00B72823">
      <w:pPr>
        <w:pStyle w:val="ESlet"/>
        <w:rPr>
          <w:rFonts w:eastAsia="Calibri" w:cs="Arial"/>
          <w:szCs w:val="18"/>
          <w:lang w:val="en-US" w:eastAsia="en-US"/>
        </w:rPr>
      </w:pPr>
      <w:r w:rsidRPr="00C903F8">
        <w:rPr>
          <w:rFonts w:eastAsia="Calibri"/>
          <w:noProof/>
          <w:lang w:val="en-US" w:eastAsia="en-US"/>
        </w:rPr>
        <w:t>f)</w:t>
      </w:r>
      <w:r w:rsidR="00973DAA" w:rsidRPr="00C903F8">
        <w:rPr>
          <w:rFonts w:eastAsia="Calibri"/>
          <w:noProof/>
          <w:lang w:val="en-US" w:eastAsia="en-US"/>
        </w:rPr>
        <w:tab/>
        <w:t>be such that they can be released from their stowed position and put overboard quickly and safely by one person, or can float free from their stowed position.</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7.</w:t>
      </w:r>
      <w:r w:rsidRPr="00C903F8">
        <w:rPr>
          <w:rFonts w:eastAsia="Calibri"/>
          <w:noProof/>
          <w:lang w:val="en-US" w:eastAsia="en-US"/>
        </w:rPr>
        <w:tab/>
        <w:t>Inflatable collective life-saving appliances shall in addition:</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comprise at least two separate air compartments;</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inflate automatically or by manual command when launched;</w:t>
      </w:r>
    </w:p>
    <w:p w:rsidR="00973DAA" w:rsidRPr="00C903F8" w:rsidRDefault="005C7859" w:rsidP="00B72823">
      <w:pPr>
        <w:pStyle w:val="ESlet"/>
        <w:rPr>
          <w:rFonts w:eastAsia="Calibri"/>
          <w:noProof/>
          <w:lang w:val="en-US" w:eastAsia="en-US"/>
        </w:rPr>
      </w:pPr>
      <w:r w:rsidRPr="00C903F8">
        <w:rPr>
          <w:rFonts w:eastAsia="Calibri"/>
          <w:noProof/>
          <w:lang w:val="en-US" w:eastAsia="en-US"/>
        </w:rPr>
        <w:t>c)</w:t>
      </w:r>
      <w:r w:rsidR="00973DAA" w:rsidRPr="00C903F8">
        <w:rPr>
          <w:rFonts w:eastAsia="Calibri"/>
          <w:noProof/>
          <w:lang w:val="en-US" w:eastAsia="en-US"/>
        </w:rPr>
        <w:tab/>
        <w:t>assume and maintain a stable trim irrespective of the load to be supported, even when only half the air compartments are inflated.</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8.</w:t>
      </w:r>
      <w:r w:rsidRPr="00C903F8">
        <w:rPr>
          <w:rFonts w:eastAsia="Calibri"/>
          <w:noProof/>
          <w:lang w:val="en-US" w:eastAsia="en-US"/>
        </w:rPr>
        <w:tab/>
        <w:t>The life-saving appliances shall be stowed on board in such a way that they can be reached easily and safely when required. Concealed storage places shall be clearly marked.</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9.</w:t>
      </w:r>
      <w:r w:rsidRPr="00C903F8">
        <w:rPr>
          <w:rFonts w:eastAsia="Calibri"/>
          <w:noProof/>
          <w:lang w:val="en-US" w:eastAsia="en-US"/>
        </w:rPr>
        <w:tab/>
        <w:t xml:space="preserve">Life-saving equipment shall be </w:t>
      </w:r>
      <w:r w:rsidR="00270FEE" w:rsidRPr="00C903F8">
        <w:rPr>
          <w:rFonts w:eastAsia="Calibri"/>
          <w:noProof/>
          <w:lang w:val="en-US" w:eastAsia="en-US"/>
        </w:rPr>
        <w:t xml:space="preserve">inspected </w:t>
      </w:r>
      <w:r w:rsidRPr="00C903F8">
        <w:rPr>
          <w:rFonts w:eastAsia="Calibri"/>
          <w:noProof/>
          <w:lang w:val="en-US" w:eastAsia="en-US"/>
        </w:rPr>
        <w:t>according to the manufacturer's instructions.</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10.</w:t>
      </w:r>
      <w:r w:rsidRPr="00C903F8">
        <w:rPr>
          <w:rFonts w:eastAsia="Calibri"/>
          <w:noProof/>
          <w:lang w:val="en-US" w:eastAsia="en-US"/>
        </w:rPr>
        <w:tab/>
        <w:t>The ship's boat shall be equipped with an engine and a searchlight.</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11.</w:t>
      </w:r>
      <w:r w:rsidRPr="00C903F8">
        <w:rPr>
          <w:rFonts w:eastAsia="Calibri"/>
          <w:noProof/>
          <w:lang w:val="en-US" w:eastAsia="en-US"/>
        </w:rPr>
        <w:tab/>
        <w:t>A suitable stretcher shall be available.</w:t>
      </w:r>
    </w:p>
    <w:p w:rsidR="00973DAA" w:rsidRPr="00C903F8" w:rsidRDefault="00973DAA" w:rsidP="00973DAA">
      <w:pPr>
        <w:pStyle w:val="ESch"/>
        <w:rPr>
          <w:rFonts w:eastAsia="Calibri" w:cs="Arial"/>
          <w:szCs w:val="18"/>
          <w:lang w:val="en-US" w:eastAsia="en-US"/>
        </w:rPr>
      </w:pPr>
    </w:p>
    <w:p w:rsidR="00B72823" w:rsidRPr="00C903F8" w:rsidRDefault="00B72823" w:rsidP="00973DAA">
      <w:pPr>
        <w:pStyle w:val="ESch"/>
        <w:rPr>
          <w:rFonts w:eastAsia="Calibri" w:cs="Arial"/>
          <w:szCs w:val="18"/>
          <w:lang w:val="en-US" w:eastAsia="en-US"/>
        </w:rPr>
      </w:pPr>
    </w:p>
    <w:p w:rsidR="00973DAA" w:rsidRPr="00C903F8" w:rsidRDefault="00973DAA" w:rsidP="00B72823">
      <w:pPr>
        <w:pStyle w:val="ES-Titre3"/>
        <w:rPr>
          <w:rFonts w:cs="Arial"/>
          <w:i/>
          <w:szCs w:val="18"/>
          <w:lang w:val="en-US"/>
        </w:rPr>
      </w:pPr>
      <w:bookmarkStart w:id="191" w:name="_Toc491854179"/>
      <w:r w:rsidRPr="00C903F8">
        <w:rPr>
          <w:noProof/>
          <w:lang w:val="en-US"/>
        </w:rPr>
        <w:t>Article 19.10</w:t>
      </w:r>
      <w:r w:rsidRPr="00C903F8">
        <w:rPr>
          <w:noProof/>
          <w:lang w:val="en-US"/>
        </w:rPr>
        <w:br/>
      </w:r>
      <w:r w:rsidRPr="00C903F8">
        <w:rPr>
          <w:i/>
          <w:noProof/>
          <w:lang w:val="en-US"/>
        </w:rPr>
        <w:t>Electrical Equipment</w:t>
      </w:r>
      <w:bookmarkEnd w:id="191"/>
    </w:p>
    <w:p w:rsidR="00B72823" w:rsidRPr="00C903F8" w:rsidRDefault="00B72823" w:rsidP="00973DAA">
      <w:pPr>
        <w:pStyle w:val="ESch"/>
        <w:rPr>
          <w:rFonts w:eastAsia="Calibri"/>
          <w:noProof/>
          <w:lang w:val="en-US" w:eastAsia="en-US"/>
        </w:rPr>
      </w:pPr>
    </w:p>
    <w:p w:rsidR="00973DAA" w:rsidRPr="00C903F8" w:rsidRDefault="00B72823" w:rsidP="00973DAA">
      <w:pPr>
        <w:pStyle w:val="ESch"/>
        <w:rPr>
          <w:rFonts w:eastAsia="Calibri" w:cs="Arial"/>
          <w:szCs w:val="18"/>
          <w:lang w:val="en-US" w:eastAsia="en-US"/>
        </w:rPr>
      </w:pPr>
      <w:r w:rsidRPr="00C903F8">
        <w:rPr>
          <w:rFonts w:eastAsia="Calibri"/>
          <w:noProof/>
          <w:lang w:val="en-US" w:eastAsia="en-US"/>
        </w:rPr>
        <w:t>1.</w:t>
      </w:r>
      <w:r w:rsidR="00973DAA" w:rsidRPr="00C903F8">
        <w:rPr>
          <w:rFonts w:eastAsia="Calibri"/>
          <w:noProof/>
          <w:lang w:val="en-US" w:eastAsia="en-US"/>
        </w:rPr>
        <w:tab/>
        <w:t>Only electrical equipment shall be permitted for lighting.</w:t>
      </w:r>
    </w:p>
    <w:p w:rsidR="00B72823" w:rsidRPr="00C903F8" w:rsidRDefault="00B72823" w:rsidP="00973DAA">
      <w:pPr>
        <w:pStyle w:val="ESch"/>
        <w:rPr>
          <w:rFonts w:eastAsia="Calibri"/>
          <w:noProof/>
          <w:lang w:val="en-US" w:eastAsia="en-US"/>
        </w:rPr>
      </w:pPr>
    </w:p>
    <w:p w:rsidR="00973DAA" w:rsidRPr="00C903F8" w:rsidRDefault="00B72823" w:rsidP="00973DAA">
      <w:pPr>
        <w:pStyle w:val="ESch"/>
        <w:rPr>
          <w:rFonts w:eastAsia="Calibri" w:cs="Arial"/>
          <w:szCs w:val="18"/>
          <w:lang w:val="en-US" w:eastAsia="en-US"/>
        </w:rPr>
      </w:pPr>
      <w:r w:rsidRPr="00C903F8">
        <w:rPr>
          <w:rFonts w:eastAsia="Calibri"/>
          <w:noProof/>
          <w:lang w:val="en-US" w:eastAsia="en-US"/>
        </w:rPr>
        <w:t>2.</w:t>
      </w:r>
      <w:r w:rsidR="00973DAA" w:rsidRPr="00C903F8">
        <w:rPr>
          <w:rFonts w:eastAsia="Calibri"/>
          <w:noProof/>
          <w:lang w:val="en-US" w:eastAsia="en-US"/>
        </w:rPr>
        <w:tab/>
        <w:t xml:space="preserve">Article 10.16(3), shall also apply additionally for </w:t>
      </w:r>
      <w:r w:rsidR="00270FEE" w:rsidRPr="00C903F8">
        <w:rPr>
          <w:rFonts w:eastAsia="Calibri"/>
          <w:noProof/>
          <w:lang w:val="en-US" w:eastAsia="en-US"/>
        </w:rPr>
        <w:t xml:space="preserve">passenger </w:t>
      </w:r>
      <w:r w:rsidR="002723EF" w:rsidRPr="00C903F8">
        <w:rPr>
          <w:rFonts w:eastAsia="Calibri"/>
          <w:noProof/>
          <w:lang w:val="en-US" w:eastAsia="en-US"/>
        </w:rPr>
        <w:t>rooms</w:t>
      </w:r>
      <w:r w:rsidR="00973DAA" w:rsidRPr="00C903F8">
        <w:rPr>
          <w:rFonts w:eastAsia="Calibri"/>
          <w:noProof/>
          <w:lang w:val="en-US" w:eastAsia="en-US"/>
        </w:rPr>
        <w:t>.</w:t>
      </w:r>
    </w:p>
    <w:p w:rsidR="00E04714" w:rsidRPr="00C903F8" w:rsidRDefault="00E04714"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3.</w:t>
      </w:r>
      <w:r w:rsidRPr="00C903F8">
        <w:rPr>
          <w:rFonts w:eastAsia="Calibri"/>
          <w:noProof/>
          <w:lang w:val="en-US" w:eastAsia="en-US"/>
        </w:rPr>
        <w:tab/>
        <w:t>For the following rooms and locations, adequate lighting and emergency lighting shall be provided:</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locations where life-saving equipment is stored and where such equipment is normally prepared for use;</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escape routes, access for passengers, including gangways, entrances and exits, connecting corridors, lifts and accommodation area companionways, cabin areas and accommodation areas;</w:t>
      </w:r>
    </w:p>
    <w:p w:rsidR="00973DAA" w:rsidRPr="00C903F8" w:rsidRDefault="005C7859" w:rsidP="00B72823">
      <w:pPr>
        <w:pStyle w:val="ESlet"/>
        <w:rPr>
          <w:rFonts w:eastAsia="Calibri"/>
          <w:noProof/>
          <w:lang w:val="en-US" w:eastAsia="en-US"/>
        </w:rPr>
      </w:pPr>
      <w:r w:rsidRPr="00C903F8">
        <w:rPr>
          <w:rFonts w:eastAsia="Calibri"/>
          <w:noProof/>
          <w:lang w:val="en-US" w:eastAsia="en-US"/>
        </w:rPr>
        <w:t>c)</w:t>
      </w:r>
      <w:r w:rsidR="00973DAA" w:rsidRPr="00C903F8">
        <w:rPr>
          <w:rFonts w:eastAsia="Calibri"/>
          <w:noProof/>
          <w:lang w:val="en-US" w:eastAsia="en-US"/>
        </w:rPr>
        <w:tab/>
        <w:t>markings on the escape routes and emergency exits;</w:t>
      </w:r>
    </w:p>
    <w:p w:rsidR="00973DAA" w:rsidRPr="00C903F8" w:rsidRDefault="0029453D" w:rsidP="00B72823">
      <w:pPr>
        <w:pStyle w:val="ESlet"/>
        <w:rPr>
          <w:rFonts w:eastAsia="Calibri"/>
          <w:noProof/>
          <w:lang w:val="en-US" w:eastAsia="en-US"/>
        </w:rPr>
      </w:pPr>
      <w:r w:rsidRPr="00C903F8">
        <w:rPr>
          <w:rFonts w:eastAsia="Calibri"/>
          <w:noProof/>
          <w:lang w:val="en-US" w:eastAsia="en-US"/>
        </w:rPr>
        <w:t>d)</w:t>
      </w:r>
      <w:r w:rsidR="00973DAA" w:rsidRPr="00C903F8">
        <w:rPr>
          <w:rFonts w:eastAsia="Calibri"/>
          <w:noProof/>
          <w:lang w:val="en-US" w:eastAsia="en-US"/>
        </w:rPr>
        <w:tab/>
        <w:t>in other areas intended for use by persons with reduced mobility;</w:t>
      </w:r>
    </w:p>
    <w:p w:rsidR="00973DAA" w:rsidRPr="00C903F8" w:rsidRDefault="0029453D" w:rsidP="00B72823">
      <w:pPr>
        <w:pStyle w:val="ESlet"/>
        <w:rPr>
          <w:rFonts w:eastAsia="Calibri"/>
          <w:noProof/>
          <w:lang w:val="en-US" w:eastAsia="en-US"/>
        </w:rPr>
      </w:pPr>
      <w:r w:rsidRPr="00C903F8">
        <w:rPr>
          <w:rFonts w:eastAsia="Calibri"/>
          <w:noProof/>
          <w:lang w:val="en-US" w:eastAsia="en-US"/>
        </w:rPr>
        <w:t>e)</w:t>
      </w:r>
      <w:r w:rsidR="00973DAA" w:rsidRPr="00C903F8">
        <w:rPr>
          <w:rFonts w:eastAsia="Calibri"/>
          <w:noProof/>
          <w:lang w:val="en-US" w:eastAsia="en-US"/>
        </w:rPr>
        <w:tab/>
        <w:t>operation rooms, engine rooms, steering equipment rooms and their exits;</w:t>
      </w:r>
    </w:p>
    <w:p w:rsidR="00973DAA" w:rsidRPr="00C903F8" w:rsidRDefault="0029453D" w:rsidP="00B72823">
      <w:pPr>
        <w:pStyle w:val="ESlet"/>
        <w:rPr>
          <w:rFonts w:eastAsia="Calibri"/>
          <w:noProof/>
          <w:lang w:val="en-US" w:eastAsia="en-US"/>
        </w:rPr>
      </w:pPr>
      <w:r w:rsidRPr="00C903F8">
        <w:rPr>
          <w:rFonts w:eastAsia="Calibri"/>
          <w:noProof/>
          <w:lang w:val="en-US" w:eastAsia="en-US"/>
        </w:rPr>
        <w:t>f)</w:t>
      </w:r>
      <w:r w:rsidR="00973DAA" w:rsidRPr="00C903F8">
        <w:rPr>
          <w:rFonts w:eastAsia="Calibri"/>
          <w:noProof/>
          <w:lang w:val="en-US" w:eastAsia="en-US"/>
        </w:rPr>
        <w:tab/>
        <w:t>wheelhouse;</w:t>
      </w:r>
    </w:p>
    <w:p w:rsidR="00973DAA" w:rsidRPr="002614C4" w:rsidRDefault="0029453D" w:rsidP="002614C4">
      <w:pPr>
        <w:pStyle w:val="ESlet"/>
        <w:rPr>
          <w:rFonts w:eastAsia="Calibri"/>
          <w:noProof/>
          <w:lang w:val="en-US" w:eastAsia="en-US"/>
        </w:rPr>
      </w:pPr>
      <w:r w:rsidRPr="00C903F8">
        <w:rPr>
          <w:rFonts w:eastAsia="Calibri"/>
          <w:noProof/>
          <w:lang w:val="en-US" w:eastAsia="en-US"/>
        </w:rPr>
        <w:t>g)</w:t>
      </w:r>
      <w:r w:rsidR="00973DAA" w:rsidRPr="00C903F8">
        <w:rPr>
          <w:rFonts w:eastAsia="Calibri"/>
          <w:noProof/>
          <w:lang w:val="en-US" w:eastAsia="en-US"/>
        </w:rPr>
        <w:tab/>
      </w:r>
      <w:r w:rsidR="00072882" w:rsidRPr="009942A5">
        <w:rPr>
          <w:rFonts w:eastAsia="Calibri"/>
          <w:lang w:val="en-US"/>
        </w:rPr>
        <w:t>emergency</w:t>
      </w:r>
      <w:r w:rsidR="00072882" w:rsidRPr="002614C4">
        <w:rPr>
          <w:rFonts w:eastAsia="Calibri"/>
          <w:noProof/>
          <w:lang w:val="en-US" w:eastAsia="en-US"/>
        </w:rPr>
        <w:t xml:space="preserve"> electrical power source room</w:t>
      </w:r>
      <w:r w:rsidR="00973DAA" w:rsidRPr="002614C4">
        <w:rPr>
          <w:rFonts w:eastAsia="Calibri"/>
          <w:noProof/>
          <w:lang w:val="en-US" w:eastAsia="en-US"/>
        </w:rPr>
        <w:t>;</w:t>
      </w:r>
    </w:p>
    <w:p w:rsidR="00973DAA" w:rsidRPr="00C903F8" w:rsidRDefault="0029453D" w:rsidP="00B72823">
      <w:pPr>
        <w:pStyle w:val="ESlet"/>
        <w:rPr>
          <w:rFonts w:eastAsia="Calibri"/>
          <w:noProof/>
          <w:lang w:val="en-US" w:eastAsia="en-US"/>
        </w:rPr>
      </w:pPr>
      <w:r w:rsidRPr="002614C4">
        <w:rPr>
          <w:rFonts w:eastAsia="Calibri"/>
          <w:noProof/>
          <w:lang w:val="en-US" w:eastAsia="en-US"/>
        </w:rPr>
        <w:t>h)</w:t>
      </w:r>
      <w:r w:rsidR="00973DAA" w:rsidRPr="002614C4">
        <w:rPr>
          <w:rFonts w:eastAsia="Calibri"/>
          <w:noProof/>
          <w:lang w:val="en-US" w:eastAsia="en-US"/>
        </w:rPr>
        <w:tab/>
        <w:t>points at which extinguishers and fire</w:t>
      </w:r>
      <w:r w:rsidR="00973DAA" w:rsidRPr="00C903F8">
        <w:rPr>
          <w:rFonts w:eastAsia="Calibri"/>
          <w:noProof/>
          <w:lang w:val="en-US" w:eastAsia="en-US"/>
        </w:rPr>
        <w:t xml:space="preserve"> extinguishing equipment controls are located;</w:t>
      </w:r>
    </w:p>
    <w:p w:rsidR="00973DAA" w:rsidRPr="00C903F8" w:rsidRDefault="0029453D" w:rsidP="00B72823">
      <w:pPr>
        <w:pStyle w:val="ESlet"/>
        <w:rPr>
          <w:rFonts w:eastAsia="Calibri"/>
          <w:noProof/>
          <w:lang w:val="en-US" w:eastAsia="en-US"/>
        </w:rPr>
      </w:pPr>
      <w:r w:rsidRPr="00C903F8">
        <w:rPr>
          <w:rFonts w:eastAsia="Calibri"/>
          <w:noProof/>
          <w:lang w:val="en-US" w:eastAsia="en-US"/>
        </w:rPr>
        <w:t>i)</w:t>
      </w:r>
      <w:r w:rsidR="00973DAA" w:rsidRPr="00C903F8">
        <w:rPr>
          <w:rFonts w:eastAsia="Calibri"/>
          <w:noProof/>
          <w:lang w:val="en-US" w:eastAsia="en-US"/>
        </w:rPr>
        <w:tab/>
        <w:t>areas in which passengers, shipboard personnel and crew muster in the event of danger.</w:t>
      </w:r>
    </w:p>
    <w:p w:rsidR="00B72823" w:rsidRPr="00C903F8" w:rsidRDefault="00B72823" w:rsidP="00973DAA">
      <w:pPr>
        <w:pStyle w:val="ESch"/>
        <w:rPr>
          <w:rFonts w:eastAsia="Calibri"/>
          <w:noProof/>
          <w:lang w:val="en-US" w:eastAsia="en-US"/>
        </w:rPr>
      </w:pPr>
    </w:p>
    <w:p w:rsidR="00B72823" w:rsidRPr="00C903F8" w:rsidRDefault="00B72823" w:rsidP="00973DAA">
      <w:pPr>
        <w:pStyle w:val="ESch"/>
        <w:rPr>
          <w:rFonts w:eastAsia="Calibri"/>
          <w:noProof/>
          <w:lang w:val="en-US" w:eastAsia="en-US"/>
        </w:rPr>
      </w:pPr>
      <w:r w:rsidRPr="00C903F8">
        <w:rPr>
          <w:rFonts w:eastAsia="Calibri"/>
          <w:noProof/>
          <w:lang w:val="en-US" w:eastAsia="en-US"/>
        </w:rPr>
        <w:br w:type="page"/>
      </w:r>
    </w:p>
    <w:p w:rsidR="00973DAA" w:rsidRPr="002614C4" w:rsidRDefault="00973DAA" w:rsidP="00973DAA">
      <w:pPr>
        <w:pStyle w:val="ESch"/>
        <w:rPr>
          <w:rFonts w:eastAsia="Calibri"/>
          <w:noProof/>
          <w:lang w:val="en-US" w:eastAsia="en-US"/>
        </w:rPr>
      </w:pPr>
      <w:r w:rsidRPr="00C903F8">
        <w:rPr>
          <w:rFonts w:eastAsia="Calibri"/>
          <w:noProof/>
          <w:lang w:val="en-US" w:eastAsia="en-US"/>
        </w:rPr>
        <w:lastRenderedPageBreak/>
        <w:t>4.</w:t>
      </w:r>
      <w:r w:rsidRPr="00C903F8">
        <w:rPr>
          <w:rFonts w:eastAsia="Calibri"/>
          <w:noProof/>
          <w:lang w:val="en-US" w:eastAsia="en-US"/>
        </w:rPr>
        <w:tab/>
      </w:r>
      <w:r w:rsidR="00072882" w:rsidRPr="00C903F8">
        <w:rPr>
          <w:rFonts w:eastAsia="Calibri"/>
          <w:noProof/>
          <w:lang w:val="en-US" w:eastAsia="en-US"/>
        </w:rPr>
        <w:t xml:space="preserve">There shall be an </w:t>
      </w:r>
      <w:r w:rsidR="00072882" w:rsidRPr="002614C4">
        <w:rPr>
          <w:rFonts w:eastAsia="Calibri"/>
          <w:noProof/>
          <w:lang w:val="en-US" w:eastAsia="en-US"/>
        </w:rPr>
        <w:t>emergency power plant, consisting of an emergency electrical power source and emergency switchboard, which, in the event of a failure of the supply to the following electrical equipment, can immediately take over as their replacement supply, where the equipment does not have its own electrical power source</w:t>
      </w:r>
      <w:r w:rsidRPr="002614C4">
        <w:rPr>
          <w:rFonts w:eastAsia="Calibri"/>
          <w:noProof/>
          <w:lang w:val="en-US" w:eastAsia="en-US"/>
        </w:rPr>
        <w:t>:</w:t>
      </w:r>
    </w:p>
    <w:p w:rsidR="00973DAA" w:rsidRPr="00C903F8" w:rsidRDefault="005C7859" w:rsidP="00B72823">
      <w:pPr>
        <w:pStyle w:val="ESlet"/>
        <w:rPr>
          <w:rFonts w:eastAsia="Calibri"/>
          <w:noProof/>
          <w:lang w:val="en-US" w:eastAsia="en-US"/>
        </w:rPr>
      </w:pPr>
      <w:r w:rsidRPr="002614C4">
        <w:rPr>
          <w:rFonts w:eastAsia="Calibri"/>
          <w:noProof/>
          <w:lang w:val="en-US" w:eastAsia="en-US"/>
        </w:rPr>
        <w:t>a)</w:t>
      </w:r>
      <w:r w:rsidR="00973DAA" w:rsidRPr="002614C4">
        <w:rPr>
          <w:rFonts w:eastAsia="Calibri"/>
          <w:noProof/>
          <w:lang w:val="en-US" w:eastAsia="en-US"/>
        </w:rPr>
        <w:tab/>
      </w:r>
      <w:r w:rsidR="00072882" w:rsidRPr="002614C4">
        <w:rPr>
          <w:rFonts w:eastAsia="Calibri" w:cs="Arial"/>
          <w:szCs w:val="20"/>
          <w:lang w:val="en-US"/>
        </w:rPr>
        <w:t xml:space="preserve">navigation </w:t>
      </w:r>
      <w:r w:rsidR="00973DAA" w:rsidRPr="002614C4">
        <w:rPr>
          <w:rFonts w:eastAsia="Calibri"/>
          <w:noProof/>
          <w:lang w:val="en-US" w:eastAsia="en-US"/>
        </w:rPr>
        <w:t>lights;</w:t>
      </w:r>
    </w:p>
    <w:p w:rsidR="00973DAA" w:rsidRPr="00C903F8" w:rsidRDefault="005C7859" w:rsidP="00B72823">
      <w:pPr>
        <w:pStyle w:val="ESlet"/>
        <w:rPr>
          <w:rFonts w:eastAsia="Calibri"/>
          <w:noProof/>
          <w:lang w:val="en-US" w:eastAsia="en-US"/>
        </w:rPr>
      </w:pPr>
      <w:r w:rsidRPr="00C903F8">
        <w:rPr>
          <w:rFonts w:eastAsia="Calibri"/>
          <w:noProof/>
          <w:lang w:val="en-US" w:eastAsia="en-US"/>
        </w:rPr>
        <w:t>b)</w:t>
      </w:r>
      <w:r w:rsidR="00973DAA" w:rsidRPr="00C903F8">
        <w:rPr>
          <w:rFonts w:eastAsia="Calibri"/>
          <w:noProof/>
          <w:lang w:val="en-US" w:eastAsia="en-US"/>
        </w:rPr>
        <w:tab/>
        <w:t>audible warning devices;</w:t>
      </w:r>
    </w:p>
    <w:p w:rsidR="00973DAA" w:rsidRPr="00C903F8" w:rsidRDefault="005C7859" w:rsidP="00B72823">
      <w:pPr>
        <w:pStyle w:val="ESlet"/>
        <w:rPr>
          <w:rFonts w:eastAsia="Calibri"/>
          <w:noProof/>
          <w:lang w:val="en-US" w:eastAsia="en-US"/>
        </w:rPr>
      </w:pPr>
      <w:r w:rsidRPr="00C903F8">
        <w:rPr>
          <w:rFonts w:eastAsia="Calibri"/>
          <w:noProof/>
          <w:lang w:val="en-US" w:eastAsia="en-US"/>
        </w:rPr>
        <w:t>c)</w:t>
      </w:r>
      <w:r w:rsidR="00973DAA" w:rsidRPr="00C903F8">
        <w:rPr>
          <w:rFonts w:eastAsia="Calibri"/>
          <w:noProof/>
          <w:lang w:val="en-US" w:eastAsia="en-US"/>
        </w:rPr>
        <w:tab/>
        <w:t xml:space="preserve">emergency lighting in accordance with </w:t>
      </w:r>
      <w:r w:rsidR="00FD1E75" w:rsidRPr="00C903F8">
        <w:rPr>
          <w:rFonts w:eastAsia="Calibri"/>
          <w:noProof/>
          <w:lang w:val="en-US" w:eastAsia="en-US"/>
        </w:rPr>
        <w:t>(</w:t>
      </w:r>
      <w:r w:rsidR="00973DAA" w:rsidRPr="00C903F8">
        <w:rPr>
          <w:rFonts w:eastAsia="Calibri"/>
          <w:noProof/>
          <w:lang w:val="en-US" w:eastAsia="en-US"/>
        </w:rPr>
        <w:t>3</w:t>
      </w:r>
      <w:r w:rsidR="00FD1E75" w:rsidRPr="00C903F8">
        <w:rPr>
          <w:rFonts w:eastAsia="Calibri"/>
          <w:noProof/>
          <w:lang w:val="en-US" w:eastAsia="en-US"/>
        </w:rPr>
        <w:t>)</w:t>
      </w:r>
      <w:r w:rsidR="00973DAA" w:rsidRPr="00C903F8">
        <w:rPr>
          <w:rFonts w:eastAsia="Calibri"/>
          <w:noProof/>
          <w:lang w:val="en-US" w:eastAsia="en-US"/>
        </w:rPr>
        <w:t>;</w:t>
      </w:r>
    </w:p>
    <w:p w:rsidR="00973DAA" w:rsidRPr="00C903F8" w:rsidRDefault="0029453D" w:rsidP="00B72823">
      <w:pPr>
        <w:pStyle w:val="ESlet"/>
        <w:rPr>
          <w:rFonts w:eastAsia="Calibri"/>
          <w:noProof/>
          <w:lang w:val="en-US" w:eastAsia="en-US"/>
        </w:rPr>
      </w:pPr>
      <w:r w:rsidRPr="00C903F8">
        <w:rPr>
          <w:rFonts w:eastAsia="Calibri"/>
          <w:noProof/>
          <w:lang w:val="en-US" w:eastAsia="en-US"/>
        </w:rPr>
        <w:t>d)</w:t>
      </w:r>
      <w:r w:rsidR="00973DAA" w:rsidRPr="00C903F8">
        <w:rPr>
          <w:rFonts w:eastAsia="Calibri"/>
          <w:noProof/>
          <w:lang w:val="en-US" w:eastAsia="en-US"/>
        </w:rPr>
        <w:tab/>
        <w:t>radiotelephone installations;</w:t>
      </w:r>
    </w:p>
    <w:p w:rsidR="00973DAA" w:rsidRPr="00C903F8" w:rsidRDefault="0029453D" w:rsidP="00B72823">
      <w:pPr>
        <w:pStyle w:val="ESlet"/>
        <w:rPr>
          <w:rFonts w:eastAsia="Calibri"/>
          <w:noProof/>
          <w:lang w:val="en-US" w:eastAsia="en-US"/>
        </w:rPr>
      </w:pPr>
      <w:r w:rsidRPr="00C903F8">
        <w:rPr>
          <w:rFonts w:eastAsia="Calibri"/>
          <w:noProof/>
          <w:lang w:val="en-US" w:eastAsia="en-US"/>
        </w:rPr>
        <w:t>e)</w:t>
      </w:r>
      <w:r w:rsidR="00973DAA" w:rsidRPr="00C903F8">
        <w:rPr>
          <w:rFonts w:eastAsia="Calibri"/>
          <w:noProof/>
          <w:lang w:val="en-US" w:eastAsia="en-US"/>
        </w:rPr>
        <w:tab/>
        <w:t>alarm, loudspeaker and on-board message communications systems;</w:t>
      </w:r>
    </w:p>
    <w:p w:rsidR="00973DAA" w:rsidRPr="00C903F8" w:rsidRDefault="0029453D" w:rsidP="00B72823">
      <w:pPr>
        <w:pStyle w:val="ESlet"/>
        <w:rPr>
          <w:rFonts w:eastAsia="Calibri"/>
          <w:noProof/>
          <w:lang w:val="en-US" w:eastAsia="en-US"/>
        </w:rPr>
      </w:pPr>
      <w:r w:rsidRPr="00C903F8">
        <w:rPr>
          <w:rFonts w:eastAsia="Calibri"/>
          <w:noProof/>
          <w:lang w:val="en-US" w:eastAsia="en-US"/>
        </w:rPr>
        <w:t>f)</w:t>
      </w:r>
      <w:r w:rsidR="00973DAA" w:rsidRPr="00C903F8">
        <w:rPr>
          <w:rFonts w:eastAsia="Calibri"/>
          <w:noProof/>
          <w:lang w:val="en-US" w:eastAsia="en-US"/>
        </w:rPr>
        <w:tab/>
        <w:t>searchlights according to Article 13.02(2)(i);</w:t>
      </w:r>
    </w:p>
    <w:p w:rsidR="00973DAA" w:rsidRPr="00C903F8" w:rsidRDefault="0029453D" w:rsidP="00B72823">
      <w:pPr>
        <w:pStyle w:val="ESlet"/>
        <w:rPr>
          <w:rFonts w:eastAsia="Calibri"/>
          <w:noProof/>
          <w:lang w:val="en-US" w:eastAsia="en-US"/>
        </w:rPr>
      </w:pPr>
      <w:r w:rsidRPr="00C903F8">
        <w:rPr>
          <w:rFonts w:eastAsia="Calibri"/>
          <w:noProof/>
          <w:lang w:val="en-US" w:eastAsia="en-US"/>
        </w:rPr>
        <w:t>g)</w:t>
      </w:r>
      <w:r w:rsidR="00973DAA" w:rsidRPr="00C903F8">
        <w:rPr>
          <w:rFonts w:eastAsia="Calibri"/>
          <w:noProof/>
          <w:lang w:val="en-US" w:eastAsia="en-US"/>
        </w:rPr>
        <w:tab/>
        <w:t>fire alarm system;</w:t>
      </w:r>
    </w:p>
    <w:p w:rsidR="00973DAA" w:rsidRPr="00C903F8" w:rsidRDefault="0029453D" w:rsidP="00B72823">
      <w:pPr>
        <w:pStyle w:val="ESlet"/>
        <w:rPr>
          <w:rFonts w:eastAsia="Calibri"/>
          <w:noProof/>
          <w:lang w:val="en-US" w:eastAsia="en-US"/>
        </w:rPr>
      </w:pPr>
      <w:r w:rsidRPr="00C903F8">
        <w:rPr>
          <w:rFonts w:eastAsia="Calibri"/>
          <w:noProof/>
          <w:lang w:val="en-US" w:eastAsia="en-US"/>
        </w:rPr>
        <w:t>h)</w:t>
      </w:r>
      <w:r w:rsidR="00973DAA" w:rsidRPr="00C903F8">
        <w:rPr>
          <w:rFonts w:eastAsia="Calibri"/>
          <w:noProof/>
          <w:lang w:val="en-US" w:eastAsia="en-US"/>
        </w:rPr>
        <w:tab/>
        <w:t>other safety equipment such as automatic pressurised sprinkler systems or fire extinguishing pumps;</w:t>
      </w:r>
    </w:p>
    <w:p w:rsidR="00973DAA" w:rsidRPr="00C903F8" w:rsidRDefault="0029453D" w:rsidP="00B72823">
      <w:pPr>
        <w:pStyle w:val="ESlet"/>
        <w:rPr>
          <w:rFonts w:eastAsia="Calibri"/>
          <w:noProof/>
          <w:lang w:val="en-US" w:eastAsia="en-US"/>
        </w:rPr>
      </w:pPr>
      <w:r w:rsidRPr="00C903F8">
        <w:rPr>
          <w:rFonts w:eastAsia="Calibri"/>
          <w:noProof/>
          <w:lang w:val="en-US" w:eastAsia="en-US"/>
        </w:rPr>
        <w:t>i)</w:t>
      </w:r>
      <w:r w:rsidR="00973DAA" w:rsidRPr="00C903F8">
        <w:rPr>
          <w:rFonts w:eastAsia="Calibri"/>
          <w:noProof/>
          <w:lang w:val="en-US" w:eastAsia="en-US"/>
        </w:rPr>
        <w:tab/>
        <w:t>lifts and lifting equipment within the meaning of Article 19.06(9), second sentence.</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5.</w:t>
      </w:r>
      <w:r w:rsidRPr="00C903F8">
        <w:rPr>
          <w:rFonts w:eastAsia="Calibri"/>
          <w:noProof/>
          <w:lang w:val="en-US" w:eastAsia="en-US"/>
        </w:rPr>
        <w:tab/>
        <w:t>The light fittings for the emergency lighting shall be marked as such.</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6.</w:t>
      </w:r>
      <w:r w:rsidRPr="00C903F8">
        <w:rPr>
          <w:rFonts w:eastAsia="Calibri"/>
          <w:noProof/>
          <w:lang w:val="en-US" w:eastAsia="en-US"/>
        </w:rPr>
        <w:tab/>
        <w:t>The emergency power plant shall be installed outside the main engine room, outside the rooms housing the power sources referred to in Article 10.02(1), and outside the room where the main switchboard is located; it shall be separated from these rooms by partitions according to Article</w:t>
      </w:r>
      <w:r w:rsidR="00B72823" w:rsidRPr="00C903F8">
        <w:rPr>
          <w:rFonts w:eastAsia="Calibri"/>
          <w:noProof/>
          <w:lang w:val="en-US" w:eastAsia="en-US"/>
        </w:rPr>
        <w:t> </w:t>
      </w:r>
      <w:r w:rsidRPr="00C903F8">
        <w:rPr>
          <w:rFonts w:eastAsia="Calibri"/>
          <w:noProof/>
          <w:lang w:val="en-US" w:eastAsia="en-US"/>
        </w:rPr>
        <w:t>19.11(2).</w:t>
      </w:r>
    </w:p>
    <w:p w:rsidR="00B72823" w:rsidRPr="00C903F8" w:rsidRDefault="00B72823" w:rsidP="00973DAA">
      <w:pPr>
        <w:pStyle w:val="ESch"/>
        <w:rPr>
          <w:rFonts w:eastAsia="Calibri"/>
          <w:noProof/>
          <w:lang w:val="en-US" w:eastAsia="en-US"/>
        </w:rPr>
      </w:pPr>
    </w:p>
    <w:p w:rsidR="00973DAA" w:rsidRPr="00C903F8" w:rsidRDefault="00973DAA" w:rsidP="00B72823">
      <w:pPr>
        <w:pStyle w:val="ESchpar"/>
        <w:rPr>
          <w:rFonts w:eastAsia="Calibri" w:cs="Arial"/>
          <w:szCs w:val="18"/>
          <w:lang w:val="en-US" w:eastAsia="en-US"/>
        </w:rPr>
      </w:pPr>
      <w:r w:rsidRPr="00C903F8">
        <w:rPr>
          <w:rFonts w:eastAsia="Calibri"/>
          <w:noProof/>
          <w:lang w:val="en-US" w:eastAsia="en-US"/>
        </w:rPr>
        <w:t>Cables feeding the electrical installations in the event of an emergency shall be installed and routed in such a way as to maintain the continuity of supply of these installations in the event of fire or flooding. These cables shall never be routed through the main engine room, galleys or rooms where the main power source and its connected equipment is installed, except insofar as it is necessary to provide emergency equipment in such areas.</w:t>
      </w:r>
    </w:p>
    <w:p w:rsidR="00B72823" w:rsidRPr="00C903F8" w:rsidRDefault="00B72823" w:rsidP="00B72823">
      <w:pPr>
        <w:pStyle w:val="ESchpar"/>
        <w:rPr>
          <w:rFonts w:eastAsia="Calibri"/>
          <w:noProof/>
          <w:lang w:val="en-US" w:eastAsia="en-US"/>
        </w:rPr>
      </w:pPr>
    </w:p>
    <w:p w:rsidR="00973DAA" w:rsidRPr="00C903F8" w:rsidRDefault="00973DAA" w:rsidP="00B72823">
      <w:pPr>
        <w:pStyle w:val="ESchpar"/>
        <w:rPr>
          <w:rFonts w:eastAsia="Calibri" w:cs="Arial"/>
          <w:szCs w:val="18"/>
          <w:lang w:val="en-US" w:eastAsia="en-US"/>
        </w:rPr>
      </w:pPr>
      <w:r w:rsidRPr="00C903F8">
        <w:rPr>
          <w:rFonts w:eastAsia="Calibri"/>
          <w:noProof/>
          <w:lang w:val="en-US" w:eastAsia="en-US"/>
        </w:rPr>
        <w:t>The emergency power plant shall be installed either above the margin line or as far away as possible from the power sources according to Article 10.02(1), so as to ensure that, in the event of flooding in accordance with Article 19.03(9), it is not flooded at the same time as these power sources.</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7.</w:t>
      </w:r>
      <w:r w:rsidRPr="00C903F8">
        <w:rPr>
          <w:rFonts w:eastAsia="Calibri"/>
          <w:noProof/>
          <w:lang w:val="en-US" w:eastAsia="en-US"/>
        </w:rPr>
        <w:tab/>
      </w:r>
      <w:r w:rsidR="00072882" w:rsidRPr="00C903F8">
        <w:rPr>
          <w:rFonts w:eastAsia="Calibri"/>
          <w:noProof/>
          <w:lang w:val="en-US" w:eastAsia="en-US"/>
        </w:rPr>
        <w:t xml:space="preserve">The following are admissible for use as an </w:t>
      </w:r>
      <w:r w:rsidR="00072882" w:rsidRPr="002614C4">
        <w:rPr>
          <w:rFonts w:eastAsia="Calibri"/>
          <w:noProof/>
          <w:lang w:val="en-US" w:eastAsia="en-US"/>
        </w:rPr>
        <w:t>emergency electrical power</w:t>
      </w:r>
      <w:r w:rsidR="00072882" w:rsidRPr="00C903F8">
        <w:rPr>
          <w:rFonts w:eastAsia="Calibri"/>
          <w:noProof/>
          <w:lang w:val="en-US" w:eastAsia="en-US"/>
        </w:rPr>
        <w:t xml:space="preserve"> source</w:t>
      </w:r>
      <w:r w:rsidRPr="00C903F8">
        <w:rPr>
          <w:rFonts w:eastAsia="Calibri"/>
          <w:noProof/>
          <w:lang w:val="en-US" w:eastAsia="en-US"/>
        </w:rPr>
        <w:t>:</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auxiliary generator sets with their own independent fuel supply and independent cooling system which, in the event of a power failure, turn on and take over the supply of power within 30 seconds automatically or, if they are located in the immediate vicinity of the wheelhouse or any other location permanently manned by crew members, can be turned on manually; or</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accumulator batteries, which, in the event of a power failure, turn on automatically or, if they are located in the immediate vicinity of the wheelhouse or any other location permanently manned by crew members, can be turned on manually. They shall be capable of powering the abovementioned power consumers throughout the prescribed period without recharging and without an unacceptable voltage reduction.</w:t>
      </w:r>
    </w:p>
    <w:p w:rsidR="00B72823" w:rsidRPr="00C903F8" w:rsidRDefault="00B72823" w:rsidP="00973DAA">
      <w:pPr>
        <w:pStyle w:val="ESch"/>
        <w:rPr>
          <w:rFonts w:eastAsia="Calibri"/>
          <w:noProof/>
          <w:lang w:val="en-US" w:eastAsia="en-US"/>
        </w:rPr>
      </w:pPr>
    </w:p>
    <w:p w:rsidR="00B72823" w:rsidRPr="00C903F8" w:rsidRDefault="00B72823" w:rsidP="00973DAA">
      <w:pPr>
        <w:pStyle w:val="ESch"/>
        <w:rPr>
          <w:rFonts w:eastAsia="Calibri"/>
          <w:noProof/>
          <w:lang w:val="en-US" w:eastAsia="en-US"/>
        </w:rPr>
      </w:pPr>
      <w:r w:rsidRPr="00C903F8">
        <w:rPr>
          <w:rFonts w:eastAsia="Calibri"/>
          <w:noProof/>
          <w:lang w:val="en-US" w:eastAsia="en-US"/>
        </w:rPr>
        <w:br w:type="page"/>
      </w: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lastRenderedPageBreak/>
        <w:t>8.</w:t>
      </w:r>
      <w:r w:rsidRPr="00C903F8">
        <w:rPr>
          <w:rFonts w:eastAsia="Calibri"/>
          <w:noProof/>
          <w:lang w:val="en-US" w:eastAsia="en-US"/>
        </w:rPr>
        <w:tab/>
        <w:t>The projected operating period for the emergency power supply is to be defined according to the purpose of the passenger vessel. It shall not be less than 30 minutes.</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9.</w:t>
      </w:r>
      <w:r w:rsidRPr="00C903F8">
        <w:rPr>
          <w:rFonts w:eastAsia="Calibri"/>
          <w:noProof/>
          <w:lang w:val="en-US" w:eastAsia="en-US"/>
        </w:rPr>
        <w:tab/>
        <w:t>The insulation resistances and the earthing for electrical systems shall be tested on the occasion of periodical inspections.</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10.</w:t>
      </w:r>
      <w:r w:rsidRPr="00C903F8">
        <w:rPr>
          <w:rFonts w:eastAsia="Calibri"/>
          <w:noProof/>
          <w:lang w:val="en-US" w:eastAsia="en-US"/>
        </w:rPr>
        <w:tab/>
        <w:t>The power sources according to Article 10.02(1), shall be independent of each other.</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11.</w:t>
      </w:r>
      <w:r w:rsidRPr="00C903F8">
        <w:rPr>
          <w:rFonts w:eastAsia="Calibri"/>
          <w:noProof/>
          <w:lang w:val="en-US" w:eastAsia="en-US"/>
        </w:rPr>
        <w:tab/>
        <w:t>A failure of the main or emergency power equipment shall not mutually affect the operational safety of the installations.</w:t>
      </w:r>
    </w:p>
    <w:p w:rsidR="00973DAA" w:rsidRPr="00C903F8" w:rsidRDefault="00973DAA" w:rsidP="00973DAA">
      <w:pPr>
        <w:pStyle w:val="ESch"/>
        <w:rPr>
          <w:rFonts w:eastAsia="Calibri" w:cs="Arial"/>
          <w:szCs w:val="18"/>
          <w:lang w:val="en-US" w:eastAsia="en-US"/>
        </w:rPr>
      </w:pPr>
    </w:p>
    <w:p w:rsidR="00B72823" w:rsidRPr="00C903F8" w:rsidRDefault="00B72823" w:rsidP="00973DAA">
      <w:pPr>
        <w:pStyle w:val="ESch"/>
        <w:rPr>
          <w:rFonts w:eastAsia="Calibri" w:cs="Arial"/>
          <w:szCs w:val="18"/>
          <w:lang w:val="en-US" w:eastAsia="en-US"/>
        </w:rPr>
      </w:pPr>
    </w:p>
    <w:p w:rsidR="00973DAA" w:rsidRPr="00C903F8" w:rsidRDefault="00973DAA" w:rsidP="00B72823">
      <w:pPr>
        <w:pStyle w:val="ES-Titre3"/>
        <w:rPr>
          <w:rFonts w:cs="Arial"/>
          <w:i/>
          <w:szCs w:val="18"/>
          <w:lang w:val="en-US"/>
        </w:rPr>
      </w:pPr>
      <w:bookmarkStart w:id="192" w:name="_Toc491854180"/>
      <w:r w:rsidRPr="00C903F8">
        <w:rPr>
          <w:noProof/>
          <w:lang w:val="en-US"/>
        </w:rPr>
        <w:t>Article 19.11</w:t>
      </w:r>
      <w:r w:rsidRPr="00C903F8">
        <w:rPr>
          <w:noProof/>
          <w:lang w:val="en-US"/>
        </w:rPr>
        <w:br/>
      </w:r>
      <w:r w:rsidRPr="00C903F8">
        <w:rPr>
          <w:i/>
          <w:noProof/>
          <w:lang w:val="en-US"/>
        </w:rPr>
        <w:t>Fire protection</w:t>
      </w:r>
      <w:bookmarkEnd w:id="192"/>
    </w:p>
    <w:p w:rsidR="00B72823" w:rsidRPr="00C903F8" w:rsidRDefault="00B72823" w:rsidP="00973DAA">
      <w:pPr>
        <w:pStyle w:val="ESch"/>
        <w:rPr>
          <w:rFonts w:eastAsia="Calibri"/>
          <w:noProof/>
          <w:lang w:val="en-US" w:eastAsia="en-US"/>
        </w:rPr>
      </w:pPr>
    </w:p>
    <w:p w:rsidR="00973DAA" w:rsidRPr="00C903F8" w:rsidRDefault="00B72823" w:rsidP="00973DAA">
      <w:pPr>
        <w:pStyle w:val="ESch"/>
        <w:rPr>
          <w:rFonts w:eastAsia="Calibri" w:cs="Arial"/>
          <w:szCs w:val="18"/>
          <w:lang w:val="en-US" w:eastAsia="en-US"/>
        </w:rPr>
      </w:pPr>
      <w:r w:rsidRPr="00C903F8">
        <w:rPr>
          <w:rFonts w:eastAsia="Calibri"/>
          <w:noProof/>
          <w:lang w:val="en-US" w:eastAsia="en-US"/>
        </w:rPr>
        <w:t>1.</w:t>
      </w:r>
      <w:r w:rsidR="00973DAA" w:rsidRPr="00C903F8">
        <w:rPr>
          <w:rFonts w:eastAsia="Calibri"/>
          <w:noProof/>
          <w:lang w:val="en-US" w:eastAsia="en-US"/>
        </w:rPr>
        <w:tab/>
        <w:t>The suitability for fire protection of materials and components shall be established by an accredited test institution on the basis of appropriate test methods.</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The test institution shall satisfy:</w:t>
      </w:r>
    </w:p>
    <w:p w:rsidR="00973DAA" w:rsidRPr="00C903F8" w:rsidRDefault="0029453D" w:rsidP="00B72823">
      <w:pPr>
        <w:pStyle w:val="EStiret"/>
        <w:rPr>
          <w:rFonts w:eastAsia="Calibri" w:cs="Arial"/>
          <w:szCs w:val="18"/>
          <w:lang w:val="en-US" w:eastAsia="en-US"/>
        </w:rPr>
      </w:pPr>
      <w:r w:rsidRPr="00C903F8">
        <w:rPr>
          <w:rFonts w:eastAsia="Calibri"/>
          <w:lang w:val="en-US" w:eastAsia="en-US"/>
        </w:rPr>
        <w:t>aa)</w:t>
      </w:r>
      <w:r w:rsidR="00973DAA" w:rsidRPr="00C903F8">
        <w:rPr>
          <w:rFonts w:eastAsia="Calibri"/>
          <w:lang w:val="en-US" w:eastAsia="en-US"/>
        </w:rPr>
        <w:tab/>
        <w:t>the Code for Fire Test Procedures; or</w:t>
      </w:r>
    </w:p>
    <w:p w:rsidR="00973DAA" w:rsidRPr="00C903F8" w:rsidRDefault="00973DAA" w:rsidP="00B72823">
      <w:pPr>
        <w:pStyle w:val="EStiret"/>
        <w:rPr>
          <w:rFonts w:eastAsia="Calibri" w:cs="Arial"/>
          <w:szCs w:val="18"/>
          <w:lang w:val="en-US" w:eastAsia="en-US"/>
        </w:rPr>
      </w:pPr>
      <w:r w:rsidRPr="00C903F8">
        <w:rPr>
          <w:rFonts w:eastAsia="Calibri"/>
          <w:lang w:val="en-US" w:eastAsia="en-US"/>
        </w:rPr>
        <w:t>bb)</w:t>
      </w:r>
      <w:r w:rsidRPr="00C903F8">
        <w:rPr>
          <w:rFonts w:eastAsia="Calibri"/>
          <w:lang w:val="en-US" w:eastAsia="en-US"/>
        </w:rPr>
        <w:tab/>
      </w:r>
      <w:r w:rsidR="00072882" w:rsidRPr="00054089">
        <w:rPr>
          <w:rFonts w:cs="Arial"/>
          <w:szCs w:val="20"/>
          <w:lang w:val="en-US" w:eastAsia="de-DE"/>
        </w:rPr>
        <w:t>European Standard EN ISO/IEC 17025: 2005</w:t>
      </w:r>
      <w:r w:rsidR="00072882">
        <w:rPr>
          <w:rFonts w:cs="Arial"/>
          <w:szCs w:val="20"/>
          <w:lang w:val="en-US" w:eastAsia="de-DE"/>
        </w:rPr>
        <w:t>.</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The recognised test methods for determining the non-flammability of materials are:</w:t>
      </w:r>
    </w:p>
    <w:p w:rsidR="00973DAA" w:rsidRPr="00C903F8" w:rsidRDefault="0029453D" w:rsidP="00B72823">
      <w:pPr>
        <w:pStyle w:val="EStiret"/>
        <w:rPr>
          <w:rFonts w:eastAsia="Calibri" w:cs="Arial"/>
          <w:szCs w:val="18"/>
          <w:lang w:val="en-US" w:eastAsia="en-US"/>
        </w:rPr>
      </w:pPr>
      <w:r w:rsidRPr="00C903F8">
        <w:rPr>
          <w:rFonts w:eastAsia="Calibri"/>
          <w:lang w:val="en-US" w:eastAsia="en-US"/>
        </w:rPr>
        <w:t>aa)</w:t>
      </w:r>
      <w:r w:rsidR="00973DAA" w:rsidRPr="00C903F8">
        <w:rPr>
          <w:rFonts w:eastAsia="Calibri"/>
          <w:lang w:val="en-US" w:eastAsia="en-US"/>
        </w:rPr>
        <w:tab/>
        <w:t>Annex 1, Part 1, of the Code for Fire Test Procedures; and</w:t>
      </w:r>
    </w:p>
    <w:p w:rsidR="00973DAA" w:rsidRPr="00C903F8" w:rsidRDefault="00973DAA" w:rsidP="00B72823">
      <w:pPr>
        <w:pStyle w:val="EStiret"/>
        <w:rPr>
          <w:rFonts w:eastAsia="Calibri" w:cs="Arial"/>
          <w:szCs w:val="18"/>
          <w:lang w:val="en-US" w:eastAsia="en-US"/>
        </w:rPr>
      </w:pPr>
      <w:r w:rsidRPr="00C903F8">
        <w:rPr>
          <w:rFonts w:eastAsia="Calibri"/>
          <w:lang w:val="en-US" w:eastAsia="en-US"/>
        </w:rPr>
        <w:t>bb)</w:t>
      </w:r>
      <w:r w:rsidRPr="00C903F8">
        <w:rPr>
          <w:rFonts w:eastAsia="Calibri"/>
          <w:lang w:val="en-US" w:eastAsia="en-US"/>
        </w:rPr>
        <w:tab/>
        <w:t>the equivalent regulations of one of the Member States.</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The recognised test methods for determining that a material is flame-retardant are:</w:t>
      </w:r>
    </w:p>
    <w:p w:rsidR="00973DAA" w:rsidRPr="00C903F8" w:rsidRDefault="0029453D" w:rsidP="00B72823">
      <w:pPr>
        <w:pStyle w:val="EStiret"/>
        <w:rPr>
          <w:rFonts w:eastAsia="Calibri" w:cs="Arial"/>
          <w:szCs w:val="18"/>
          <w:lang w:val="en-US" w:eastAsia="en-US"/>
        </w:rPr>
      </w:pPr>
      <w:r w:rsidRPr="00C903F8">
        <w:rPr>
          <w:rFonts w:eastAsia="Calibri"/>
          <w:lang w:val="en-US" w:eastAsia="en-US"/>
        </w:rPr>
        <w:t>aa)</w:t>
      </w:r>
      <w:r w:rsidR="00973DAA" w:rsidRPr="00C903F8">
        <w:rPr>
          <w:rFonts w:eastAsia="Calibri"/>
          <w:lang w:val="en-US" w:eastAsia="en-US"/>
        </w:rPr>
        <w:tab/>
      </w:r>
      <w:r w:rsidR="00C919D5" w:rsidRPr="002614C4">
        <w:rPr>
          <w:rFonts w:eastAsia="Calibri" w:cs="Arial"/>
          <w:lang w:val="en-US" w:eastAsia="en-US"/>
        </w:rPr>
        <w:t>the respective requirements laid down in Annex 1, Parts 5 (Test for surface flammability - Test for surface materials and primary deck coverings), 7 (Test for vertically supported textiles and films), 8 (Test for upholstered furniture) and 9 (Test for bedding components) of the Code</w:t>
      </w:r>
      <w:r w:rsidR="00C919D5" w:rsidRPr="005D4B6B">
        <w:rPr>
          <w:rFonts w:eastAsia="Calibri" w:cs="Arial"/>
          <w:lang w:val="en-US" w:eastAsia="en-US"/>
        </w:rPr>
        <w:t xml:space="preserve"> for Fire Test Procedures; and</w:t>
      </w:r>
    </w:p>
    <w:p w:rsidR="00973DAA" w:rsidRPr="00C903F8" w:rsidRDefault="00973DAA" w:rsidP="00B72823">
      <w:pPr>
        <w:pStyle w:val="EStiret"/>
        <w:rPr>
          <w:rFonts w:eastAsia="Calibri" w:cs="Arial"/>
          <w:szCs w:val="18"/>
          <w:lang w:val="en-US" w:eastAsia="en-US"/>
        </w:rPr>
      </w:pPr>
      <w:r w:rsidRPr="00C903F8">
        <w:rPr>
          <w:rFonts w:eastAsia="Calibri"/>
          <w:lang w:val="en-US" w:eastAsia="en-US"/>
        </w:rPr>
        <w:t>bb)</w:t>
      </w:r>
      <w:r w:rsidRPr="00C903F8">
        <w:rPr>
          <w:rFonts w:eastAsia="Calibri"/>
          <w:lang w:val="en-US" w:eastAsia="en-US"/>
        </w:rPr>
        <w:tab/>
        <w:t>the equivalent regulations of one of the Member States.</w:t>
      </w:r>
    </w:p>
    <w:p w:rsidR="00973DAA" w:rsidRPr="00C903F8" w:rsidRDefault="0029453D" w:rsidP="00B72823">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t>The recognised test methods for determining fire resistance are:</w:t>
      </w:r>
    </w:p>
    <w:p w:rsidR="00973DAA" w:rsidRPr="00C903F8" w:rsidRDefault="0029453D" w:rsidP="00B72823">
      <w:pPr>
        <w:pStyle w:val="EStiret"/>
        <w:rPr>
          <w:rFonts w:eastAsia="Calibri" w:cs="Arial"/>
          <w:szCs w:val="18"/>
          <w:lang w:val="en-US" w:eastAsia="en-US"/>
        </w:rPr>
      </w:pPr>
      <w:r w:rsidRPr="00C903F8">
        <w:rPr>
          <w:rFonts w:eastAsia="Calibri"/>
          <w:lang w:val="en-US" w:eastAsia="en-US"/>
        </w:rPr>
        <w:t>aa)</w:t>
      </w:r>
      <w:r w:rsidR="00973DAA" w:rsidRPr="00C903F8">
        <w:rPr>
          <w:rFonts w:eastAsia="Calibri"/>
          <w:lang w:val="en-US" w:eastAsia="en-US"/>
        </w:rPr>
        <w:tab/>
        <w:t xml:space="preserve">Annex </w:t>
      </w:r>
      <w:r w:rsidR="00652389" w:rsidRPr="00C903F8">
        <w:rPr>
          <w:rFonts w:eastAsia="Calibri"/>
          <w:lang w:val="en-US" w:eastAsia="en-US"/>
        </w:rPr>
        <w:t>1</w:t>
      </w:r>
      <w:r w:rsidR="00973DAA" w:rsidRPr="00C903F8">
        <w:rPr>
          <w:rFonts w:eastAsia="Calibri"/>
          <w:lang w:val="en-US" w:eastAsia="en-US"/>
        </w:rPr>
        <w:t xml:space="preserve">, </w:t>
      </w:r>
      <w:r w:rsidR="00652389" w:rsidRPr="00C903F8">
        <w:rPr>
          <w:rFonts w:eastAsia="Calibri"/>
          <w:lang w:val="en-US" w:eastAsia="en-US"/>
        </w:rPr>
        <w:t>P</w:t>
      </w:r>
      <w:r w:rsidR="00973DAA" w:rsidRPr="00C903F8">
        <w:rPr>
          <w:rFonts w:eastAsia="Calibri"/>
          <w:lang w:val="en-US" w:eastAsia="en-US"/>
        </w:rPr>
        <w:t>art 3, of the Code for Fire Test Procedures, and</w:t>
      </w:r>
    </w:p>
    <w:p w:rsidR="00973DAA" w:rsidRPr="00C903F8" w:rsidRDefault="00973DAA" w:rsidP="00B72823">
      <w:pPr>
        <w:pStyle w:val="EStiret"/>
        <w:rPr>
          <w:rFonts w:eastAsia="Calibri" w:cs="Arial"/>
          <w:szCs w:val="18"/>
          <w:lang w:val="en-US" w:eastAsia="en-US"/>
        </w:rPr>
      </w:pPr>
      <w:r w:rsidRPr="00C903F8">
        <w:rPr>
          <w:rFonts w:eastAsia="Calibri"/>
          <w:lang w:val="en-US" w:eastAsia="en-US"/>
        </w:rPr>
        <w:t>bb)</w:t>
      </w:r>
      <w:r w:rsidRPr="00C903F8">
        <w:rPr>
          <w:rFonts w:eastAsia="Calibri"/>
          <w:lang w:val="en-US" w:eastAsia="en-US"/>
        </w:rPr>
        <w:tab/>
        <w:t>the equivalent regulations of one of the Member States.</w:t>
      </w:r>
    </w:p>
    <w:p w:rsidR="00973DAA" w:rsidRPr="00C903F8" w:rsidRDefault="0029453D" w:rsidP="00B72823">
      <w:pPr>
        <w:pStyle w:val="ESlet"/>
        <w:rPr>
          <w:rFonts w:eastAsia="Calibri" w:cs="Arial"/>
          <w:szCs w:val="18"/>
          <w:lang w:val="en-US" w:eastAsia="en-US"/>
        </w:rPr>
      </w:pPr>
      <w:r w:rsidRPr="00C903F8">
        <w:rPr>
          <w:rFonts w:eastAsia="Calibri"/>
          <w:noProof/>
          <w:lang w:val="en-US" w:eastAsia="en-US"/>
        </w:rPr>
        <w:t>e)</w:t>
      </w:r>
      <w:r w:rsidR="00973DAA" w:rsidRPr="00C903F8">
        <w:rPr>
          <w:rFonts w:eastAsia="Calibri"/>
          <w:noProof/>
          <w:lang w:val="en-US" w:eastAsia="en-US"/>
        </w:rPr>
        <w:tab/>
        <w:t>The inspection body may, in accordance with the Code for Fire Test Procedures, prescribe a test on a sample partition in order to ensure compliance with the provisions of</w:t>
      </w:r>
      <w:r w:rsidR="002614C4">
        <w:rPr>
          <w:rFonts w:eastAsia="Calibri"/>
          <w:noProof/>
          <w:lang w:val="en-US" w:eastAsia="en-US"/>
        </w:rPr>
        <w:t xml:space="preserve"> </w:t>
      </w:r>
      <w:r w:rsidR="00FD1E75" w:rsidRPr="00C903F8">
        <w:rPr>
          <w:rFonts w:eastAsia="Calibri"/>
          <w:noProof/>
          <w:lang w:val="en-US" w:eastAsia="en-US"/>
        </w:rPr>
        <w:t>(</w:t>
      </w:r>
      <w:r w:rsidR="00973DAA" w:rsidRPr="00C903F8">
        <w:rPr>
          <w:rFonts w:eastAsia="Calibri"/>
          <w:noProof/>
          <w:lang w:val="en-US" w:eastAsia="en-US"/>
        </w:rPr>
        <w:t>2</w:t>
      </w:r>
      <w:r w:rsidR="00FD1E75" w:rsidRPr="00C903F8">
        <w:rPr>
          <w:rFonts w:eastAsia="Calibri"/>
          <w:noProof/>
          <w:lang w:val="en-US" w:eastAsia="en-US"/>
        </w:rPr>
        <w:t>)</w:t>
      </w:r>
      <w:r w:rsidR="00973DAA" w:rsidRPr="00C903F8">
        <w:rPr>
          <w:rFonts w:eastAsia="Calibri"/>
          <w:noProof/>
          <w:lang w:val="en-US" w:eastAsia="en-US"/>
        </w:rPr>
        <w:t xml:space="preserve"> on resistivity and temperature increase.</w:t>
      </w:r>
    </w:p>
    <w:p w:rsidR="00B72823" w:rsidRPr="00C903F8" w:rsidRDefault="00B72823" w:rsidP="00973DAA">
      <w:pPr>
        <w:pStyle w:val="ESch"/>
        <w:rPr>
          <w:rFonts w:eastAsia="Calibri"/>
          <w:noProof/>
          <w:lang w:val="en-US" w:eastAsia="en-US"/>
        </w:rPr>
      </w:pPr>
    </w:p>
    <w:p w:rsidR="00124738" w:rsidRPr="00C903F8" w:rsidRDefault="00124738" w:rsidP="00973DAA">
      <w:pPr>
        <w:pStyle w:val="ESch"/>
        <w:rPr>
          <w:rFonts w:eastAsia="Calibri"/>
          <w:noProof/>
          <w:lang w:val="en-US" w:eastAsia="en-US"/>
        </w:rPr>
      </w:pPr>
      <w:r w:rsidRPr="00C903F8">
        <w:rPr>
          <w:rFonts w:eastAsia="Calibri"/>
          <w:noProof/>
          <w:lang w:val="en-US" w:eastAsia="en-US"/>
        </w:rPr>
        <w:br w:type="page"/>
      </w: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lastRenderedPageBreak/>
        <w:t>2.</w:t>
      </w:r>
      <w:r w:rsidRPr="00C903F8">
        <w:rPr>
          <w:rFonts w:eastAsia="Calibri"/>
          <w:noProof/>
          <w:lang w:val="en-US" w:eastAsia="en-US"/>
        </w:rPr>
        <w:tab/>
        <w:t>Partitions</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between rooms shall be designed in accordance with the following tables:</w:t>
      </w:r>
    </w:p>
    <w:p w:rsidR="00973DAA" w:rsidRPr="00C903F8" w:rsidRDefault="00973DAA" w:rsidP="0029453D">
      <w:pPr>
        <w:pStyle w:val="ESlet"/>
        <w:ind w:left="1560" w:hanging="567"/>
        <w:rPr>
          <w:rFonts w:eastAsia="Calibri"/>
          <w:noProof/>
          <w:lang w:val="en-US" w:eastAsia="en-US"/>
        </w:rPr>
      </w:pPr>
      <w:r w:rsidRPr="00C903F8">
        <w:rPr>
          <w:rFonts w:eastAsia="Calibri"/>
          <w:noProof/>
          <w:lang w:val="en-US" w:eastAsia="en-US"/>
        </w:rPr>
        <w:t>aa)</w:t>
      </w:r>
      <w:r w:rsidRPr="00C903F8">
        <w:rPr>
          <w:rFonts w:eastAsia="Calibri"/>
          <w:noProof/>
          <w:lang w:val="en-US" w:eastAsia="en-US"/>
        </w:rPr>
        <w:tab/>
        <w:t>Table for partitions between rooms, in which no pressurised sprinkler systems according to Article 13.04 are installed</w:t>
      </w:r>
    </w:p>
    <w:p w:rsidR="00124738" w:rsidRPr="00C903F8" w:rsidRDefault="00124738" w:rsidP="00124738">
      <w:pPr>
        <w:pStyle w:val="ESch"/>
        <w:rPr>
          <w:rFonts w:eastAsia="Calibri"/>
          <w:noProof/>
          <w:lang w:val="en-US" w:eastAsia="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1843"/>
        <w:gridCol w:w="972"/>
        <w:gridCol w:w="972"/>
        <w:gridCol w:w="972"/>
        <w:gridCol w:w="972"/>
        <w:gridCol w:w="972"/>
        <w:gridCol w:w="972"/>
        <w:gridCol w:w="972"/>
      </w:tblGrid>
      <w:tr w:rsidR="00124738" w:rsidRPr="00C903F8" w:rsidTr="007A7CC3">
        <w:trPr>
          <w:jc w:val="center"/>
        </w:trPr>
        <w:tc>
          <w:tcPr>
            <w:tcW w:w="1843" w:type="dxa"/>
          </w:tcPr>
          <w:p w:rsidR="00124738" w:rsidRPr="00C903F8" w:rsidRDefault="00124738" w:rsidP="00124738">
            <w:pPr>
              <w:spacing w:before="60" w:after="60" w:line="240" w:lineRule="atLeast"/>
              <w:ind w:left="0" w:firstLine="0"/>
              <w:rPr>
                <w:rFonts w:cs="Arial"/>
                <w:noProof/>
                <w:sz w:val="18"/>
                <w:szCs w:val="18"/>
              </w:rPr>
            </w:pPr>
            <w:r w:rsidRPr="00C903F8">
              <w:rPr>
                <w:rFonts w:cs="Arial"/>
                <w:noProof/>
                <w:sz w:val="18"/>
                <w:szCs w:val="18"/>
              </w:rPr>
              <w:t>Rooms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Control centres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Stairwells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Muster areas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Lounges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Engine rooms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Galleys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Store rooms</w:t>
            </w:r>
          </w:p>
        </w:tc>
      </w:tr>
      <w:tr w:rsidR="00124738" w:rsidRPr="00C903F8" w:rsidTr="007A7CC3">
        <w:trPr>
          <w:jc w:val="center"/>
        </w:trPr>
        <w:tc>
          <w:tcPr>
            <w:tcW w:w="1843" w:type="dxa"/>
          </w:tcPr>
          <w:p w:rsidR="00124738" w:rsidRPr="00C903F8" w:rsidRDefault="00124738" w:rsidP="00124738">
            <w:pPr>
              <w:spacing w:before="60" w:after="60" w:line="240" w:lineRule="atLeast"/>
              <w:ind w:left="0" w:firstLine="0"/>
              <w:rPr>
                <w:rFonts w:cs="Arial"/>
                <w:noProof/>
                <w:sz w:val="18"/>
                <w:szCs w:val="18"/>
              </w:rPr>
            </w:pPr>
            <w:r w:rsidRPr="00C903F8">
              <w:rPr>
                <w:rFonts w:cs="Arial"/>
                <w:noProof/>
                <w:sz w:val="18"/>
                <w:szCs w:val="18"/>
              </w:rPr>
              <w:t>Control centres</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A0</w:t>
            </w:r>
          </w:p>
        </w:tc>
        <w:tc>
          <w:tcPr>
            <w:tcW w:w="972" w:type="dxa"/>
          </w:tcPr>
          <w:p w:rsidR="00124738" w:rsidRPr="00C903F8" w:rsidRDefault="00124738" w:rsidP="00275065">
            <w:pPr>
              <w:spacing w:before="60" w:after="60" w:line="240" w:lineRule="atLeast"/>
              <w:ind w:left="0" w:firstLine="0"/>
              <w:jc w:val="center"/>
              <w:rPr>
                <w:rFonts w:cs="Arial"/>
                <w:noProof/>
                <w:sz w:val="18"/>
                <w:szCs w:val="18"/>
                <w:vertAlign w:val="superscript"/>
              </w:rPr>
            </w:pPr>
            <w:r w:rsidRPr="00C903F8">
              <w:rPr>
                <w:rFonts w:cs="Arial"/>
                <w:noProof/>
                <w:sz w:val="18"/>
                <w:szCs w:val="18"/>
              </w:rPr>
              <w:t>A0/B15</w:t>
            </w:r>
            <w:r w:rsidRPr="00C903F8">
              <w:rPr>
                <w:rFonts w:cs="Arial"/>
                <w:noProof/>
                <w:sz w:val="18"/>
                <w:szCs w:val="18"/>
                <w:vertAlign w:val="superscript"/>
              </w:rPr>
              <w:t>1)</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A30</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A60</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A60</w:t>
            </w:r>
          </w:p>
        </w:tc>
        <w:tc>
          <w:tcPr>
            <w:tcW w:w="972" w:type="dxa"/>
            <w:vAlign w:val="center"/>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A30/A60</w:t>
            </w:r>
            <w:r w:rsidRPr="00C903F8">
              <w:rPr>
                <w:rFonts w:cs="Arial"/>
                <w:noProof/>
                <w:sz w:val="18"/>
                <w:szCs w:val="18"/>
                <w:vertAlign w:val="superscript"/>
              </w:rPr>
              <w:t>5)</w:t>
            </w:r>
          </w:p>
        </w:tc>
      </w:tr>
      <w:tr w:rsidR="00124738" w:rsidRPr="00C903F8" w:rsidTr="007A7CC3">
        <w:trPr>
          <w:jc w:val="center"/>
        </w:trPr>
        <w:tc>
          <w:tcPr>
            <w:tcW w:w="1843" w:type="dxa"/>
          </w:tcPr>
          <w:p w:rsidR="00124738" w:rsidRPr="00C903F8" w:rsidRDefault="00124738" w:rsidP="00124738">
            <w:pPr>
              <w:spacing w:before="60" w:after="60" w:line="240" w:lineRule="atLeast"/>
              <w:ind w:left="0" w:firstLine="0"/>
              <w:rPr>
                <w:rFonts w:cs="Arial"/>
                <w:noProof/>
                <w:sz w:val="18"/>
                <w:szCs w:val="18"/>
              </w:rPr>
            </w:pPr>
            <w:r w:rsidRPr="00C903F8">
              <w:rPr>
                <w:rFonts w:cs="Arial"/>
                <w:noProof/>
                <w:sz w:val="18"/>
                <w:szCs w:val="18"/>
              </w:rPr>
              <w:t>Stairwells</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A0</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A30</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A60</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A60</w:t>
            </w:r>
          </w:p>
        </w:tc>
        <w:tc>
          <w:tcPr>
            <w:tcW w:w="972" w:type="dxa"/>
            <w:vAlign w:val="center"/>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A30</w:t>
            </w:r>
          </w:p>
        </w:tc>
      </w:tr>
      <w:tr w:rsidR="00124738" w:rsidRPr="00C903F8" w:rsidTr="007A7CC3">
        <w:trPr>
          <w:jc w:val="center"/>
        </w:trPr>
        <w:tc>
          <w:tcPr>
            <w:tcW w:w="1843" w:type="dxa"/>
          </w:tcPr>
          <w:p w:rsidR="00124738" w:rsidRPr="00C903F8" w:rsidRDefault="00124738" w:rsidP="00124738">
            <w:pPr>
              <w:spacing w:before="60" w:after="60" w:line="240" w:lineRule="atLeast"/>
              <w:ind w:left="0" w:firstLine="0"/>
              <w:rPr>
                <w:rFonts w:cs="Arial"/>
                <w:noProof/>
                <w:sz w:val="18"/>
                <w:szCs w:val="18"/>
              </w:rPr>
            </w:pPr>
            <w:r w:rsidRPr="00C903F8">
              <w:rPr>
                <w:rFonts w:cs="Arial"/>
                <w:noProof/>
                <w:sz w:val="18"/>
                <w:szCs w:val="18"/>
              </w:rPr>
              <w:t>Muster areas</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A30/B15</w:t>
            </w:r>
            <w:r w:rsidRPr="00C903F8">
              <w:rPr>
                <w:rFonts w:cs="Arial"/>
                <w:noProof/>
                <w:sz w:val="18"/>
                <w:szCs w:val="18"/>
                <w:vertAlign w:val="superscript"/>
              </w:rPr>
              <w:t>2)</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A60</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A60</w:t>
            </w:r>
          </w:p>
        </w:tc>
        <w:tc>
          <w:tcPr>
            <w:tcW w:w="972" w:type="dxa"/>
            <w:vAlign w:val="center"/>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A30/A60</w:t>
            </w:r>
            <w:r w:rsidRPr="00C903F8">
              <w:rPr>
                <w:rFonts w:cs="Arial"/>
                <w:noProof/>
                <w:sz w:val="18"/>
                <w:szCs w:val="18"/>
                <w:vertAlign w:val="superscript"/>
              </w:rPr>
              <w:t>5)</w:t>
            </w:r>
          </w:p>
        </w:tc>
      </w:tr>
      <w:tr w:rsidR="00124738" w:rsidRPr="00C903F8" w:rsidTr="007A7CC3">
        <w:trPr>
          <w:jc w:val="center"/>
        </w:trPr>
        <w:tc>
          <w:tcPr>
            <w:tcW w:w="1843" w:type="dxa"/>
          </w:tcPr>
          <w:p w:rsidR="00124738" w:rsidRPr="00C903F8" w:rsidRDefault="00124738" w:rsidP="00124738">
            <w:pPr>
              <w:spacing w:before="60" w:after="60" w:line="240" w:lineRule="atLeast"/>
              <w:ind w:left="0" w:firstLine="0"/>
              <w:rPr>
                <w:rFonts w:cs="Arial"/>
                <w:noProof/>
                <w:sz w:val="18"/>
                <w:szCs w:val="18"/>
              </w:rPr>
            </w:pPr>
            <w:r w:rsidRPr="00C903F8">
              <w:rPr>
                <w:rFonts w:cs="Arial"/>
                <w:noProof/>
                <w:sz w:val="18"/>
                <w:szCs w:val="18"/>
              </w:rPr>
              <w:t>Lounges</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-/A0/B15</w:t>
            </w:r>
            <w:r w:rsidRPr="00C903F8">
              <w:rPr>
                <w:rFonts w:cs="Arial"/>
                <w:noProof/>
                <w:sz w:val="18"/>
                <w:szCs w:val="18"/>
                <w:vertAlign w:val="superscript"/>
              </w:rPr>
              <w:t>3)</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A60</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A60</w:t>
            </w:r>
          </w:p>
        </w:tc>
        <w:tc>
          <w:tcPr>
            <w:tcW w:w="972" w:type="dxa"/>
            <w:vAlign w:val="center"/>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A30</w:t>
            </w:r>
          </w:p>
        </w:tc>
      </w:tr>
      <w:tr w:rsidR="00124738" w:rsidRPr="00C903F8" w:rsidTr="007A7CC3">
        <w:trPr>
          <w:jc w:val="center"/>
        </w:trPr>
        <w:tc>
          <w:tcPr>
            <w:tcW w:w="1843" w:type="dxa"/>
          </w:tcPr>
          <w:p w:rsidR="00124738" w:rsidRPr="00C903F8" w:rsidRDefault="00124738" w:rsidP="00124738">
            <w:pPr>
              <w:spacing w:before="60" w:after="60" w:line="240" w:lineRule="atLeast"/>
              <w:ind w:left="0" w:firstLine="0"/>
              <w:rPr>
                <w:rFonts w:cs="Arial"/>
                <w:noProof/>
                <w:sz w:val="18"/>
                <w:szCs w:val="18"/>
              </w:rPr>
            </w:pPr>
            <w:r w:rsidRPr="00C903F8">
              <w:rPr>
                <w:rFonts w:cs="Arial"/>
                <w:noProof/>
                <w:sz w:val="18"/>
                <w:szCs w:val="18"/>
              </w:rPr>
              <w:t>Engine rooms</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vertAlign w:val="superscript"/>
              </w:rPr>
            </w:pPr>
            <w:r w:rsidRPr="00C903F8">
              <w:rPr>
                <w:rFonts w:cs="Arial"/>
                <w:noProof/>
                <w:sz w:val="18"/>
                <w:szCs w:val="18"/>
              </w:rPr>
              <w:t>A60/A0</w:t>
            </w:r>
            <w:r w:rsidRPr="00C903F8">
              <w:rPr>
                <w:rFonts w:cs="Arial"/>
                <w:noProof/>
                <w:sz w:val="18"/>
                <w:szCs w:val="18"/>
                <w:vertAlign w:val="superscript"/>
              </w:rPr>
              <w:t>4)</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A60</w:t>
            </w:r>
          </w:p>
        </w:tc>
        <w:tc>
          <w:tcPr>
            <w:tcW w:w="972" w:type="dxa"/>
            <w:vAlign w:val="center"/>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A60</w:t>
            </w:r>
          </w:p>
        </w:tc>
      </w:tr>
      <w:tr w:rsidR="00124738" w:rsidRPr="00C903F8" w:rsidTr="007A7CC3">
        <w:trPr>
          <w:jc w:val="center"/>
        </w:trPr>
        <w:tc>
          <w:tcPr>
            <w:tcW w:w="1843" w:type="dxa"/>
          </w:tcPr>
          <w:p w:rsidR="00124738" w:rsidRPr="00C903F8" w:rsidRDefault="00124738" w:rsidP="00124738">
            <w:pPr>
              <w:spacing w:before="60" w:after="60" w:line="240" w:lineRule="atLeast"/>
              <w:ind w:left="0" w:firstLine="0"/>
              <w:rPr>
                <w:rFonts w:cs="Arial"/>
                <w:noProof/>
                <w:sz w:val="18"/>
                <w:szCs w:val="18"/>
              </w:rPr>
            </w:pPr>
            <w:r w:rsidRPr="00C903F8">
              <w:rPr>
                <w:rFonts w:cs="Arial"/>
                <w:noProof/>
                <w:sz w:val="18"/>
                <w:szCs w:val="18"/>
              </w:rPr>
              <w:t>Galleys</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A0</w:t>
            </w:r>
          </w:p>
        </w:tc>
        <w:tc>
          <w:tcPr>
            <w:tcW w:w="972" w:type="dxa"/>
            <w:vAlign w:val="center"/>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A30/B15</w:t>
            </w:r>
            <w:r w:rsidRPr="00C903F8">
              <w:rPr>
                <w:rFonts w:cs="Arial"/>
                <w:noProof/>
                <w:sz w:val="18"/>
                <w:szCs w:val="18"/>
                <w:vertAlign w:val="superscript"/>
              </w:rPr>
              <w:t>6)</w:t>
            </w:r>
          </w:p>
        </w:tc>
      </w:tr>
      <w:tr w:rsidR="00124738" w:rsidRPr="00C903F8" w:rsidTr="007A7CC3">
        <w:trPr>
          <w:jc w:val="center"/>
        </w:trPr>
        <w:tc>
          <w:tcPr>
            <w:tcW w:w="1843" w:type="dxa"/>
          </w:tcPr>
          <w:p w:rsidR="00124738" w:rsidRPr="00C903F8" w:rsidRDefault="00124738" w:rsidP="00124738">
            <w:pPr>
              <w:spacing w:before="60" w:after="60" w:line="240" w:lineRule="atLeast"/>
              <w:ind w:left="0" w:firstLine="0"/>
              <w:rPr>
                <w:rFonts w:cs="Arial"/>
                <w:noProof/>
                <w:sz w:val="18"/>
                <w:szCs w:val="18"/>
              </w:rPr>
            </w:pPr>
            <w:r w:rsidRPr="00C903F8">
              <w:rPr>
                <w:rFonts w:cs="Arial"/>
                <w:noProof/>
                <w:sz w:val="18"/>
                <w:szCs w:val="18"/>
              </w:rPr>
              <w:t>Store rooms</w:t>
            </w: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p>
        </w:tc>
        <w:tc>
          <w:tcPr>
            <w:tcW w:w="972" w:type="dxa"/>
          </w:tcPr>
          <w:p w:rsidR="00124738" w:rsidRPr="00C903F8" w:rsidRDefault="00124738" w:rsidP="00275065">
            <w:pPr>
              <w:spacing w:before="60" w:after="60" w:line="240" w:lineRule="atLeast"/>
              <w:ind w:left="0" w:firstLine="0"/>
              <w:jc w:val="center"/>
              <w:rPr>
                <w:rFonts w:cs="Arial"/>
                <w:noProof/>
                <w:sz w:val="18"/>
                <w:szCs w:val="18"/>
              </w:rPr>
            </w:pPr>
            <w:r w:rsidRPr="00C903F8">
              <w:rPr>
                <w:rFonts w:cs="Arial"/>
                <w:noProof/>
                <w:sz w:val="18"/>
                <w:szCs w:val="18"/>
              </w:rPr>
              <w:t>-</w:t>
            </w:r>
          </w:p>
        </w:tc>
      </w:tr>
    </w:tbl>
    <w:p w:rsidR="00124738" w:rsidRPr="00C903F8" w:rsidRDefault="00124738" w:rsidP="00124738">
      <w:pPr>
        <w:pStyle w:val="ESch"/>
        <w:rPr>
          <w:rFonts w:eastAsia="Calibri"/>
          <w:noProof/>
          <w:lang w:val="en-US" w:eastAsia="en-US"/>
        </w:rPr>
      </w:pPr>
    </w:p>
    <w:p w:rsidR="00124738" w:rsidRPr="00C903F8" w:rsidRDefault="00124738" w:rsidP="00124738">
      <w:pPr>
        <w:pStyle w:val="ESch"/>
        <w:rPr>
          <w:rFonts w:eastAsia="Calibri" w:cs="Arial"/>
          <w:szCs w:val="18"/>
          <w:lang w:val="en-US" w:eastAsia="en-US"/>
        </w:rPr>
      </w:pPr>
    </w:p>
    <w:p w:rsidR="00973DAA" w:rsidRPr="00C903F8" w:rsidRDefault="00973DAA" w:rsidP="0029453D">
      <w:pPr>
        <w:pStyle w:val="ESlet"/>
        <w:ind w:left="1560" w:hanging="567"/>
        <w:rPr>
          <w:rFonts w:eastAsia="Calibri"/>
          <w:noProof/>
          <w:lang w:val="en-US" w:eastAsia="en-US"/>
        </w:rPr>
      </w:pPr>
      <w:r w:rsidRPr="00C903F8">
        <w:rPr>
          <w:rFonts w:eastAsia="Calibri"/>
          <w:noProof/>
          <w:lang w:val="en-US" w:eastAsia="en-US"/>
        </w:rPr>
        <w:t>bb)</w:t>
      </w:r>
      <w:r w:rsidRPr="00C903F8">
        <w:rPr>
          <w:rFonts w:eastAsia="Calibri"/>
          <w:noProof/>
          <w:lang w:val="en-US" w:eastAsia="en-US"/>
        </w:rPr>
        <w:tab/>
        <w:t>Table for partitions between rooms, in which pressurised sprinkler systems according to Article 13.04 are installed</w:t>
      </w:r>
    </w:p>
    <w:p w:rsidR="00124738" w:rsidRPr="00C903F8" w:rsidRDefault="00124738" w:rsidP="00124738">
      <w:pPr>
        <w:pStyle w:val="ESch"/>
        <w:rPr>
          <w:rFonts w:eastAsia="Calibri"/>
          <w:noProof/>
          <w:lang w:val="en-US" w:eastAsia="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1843"/>
        <w:gridCol w:w="972"/>
        <w:gridCol w:w="972"/>
        <w:gridCol w:w="972"/>
        <w:gridCol w:w="972"/>
        <w:gridCol w:w="972"/>
        <w:gridCol w:w="972"/>
        <w:gridCol w:w="972"/>
      </w:tblGrid>
      <w:tr w:rsidR="00124738" w:rsidRPr="00C903F8" w:rsidTr="007A7CC3">
        <w:trPr>
          <w:tblHeader/>
          <w:jc w:val="center"/>
        </w:trPr>
        <w:tc>
          <w:tcPr>
            <w:tcW w:w="1843" w:type="dxa"/>
          </w:tcPr>
          <w:p w:rsidR="00124738" w:rsidRPr="00C903F8" w:rsidRDefault="00124738" w:rsidP="00124738">
            <w:pPr>
              <w:spacing w:before="60" w:after="60" w:line="240" w:lineRule="atLeast"/>
              <w:ind w:left="0" w:firstLine="0"/>
              <w:jc w:val="left"/>
              <w:rPr>
                <w:rFonts w:cs="Arial"/>
                <w:noProof/>
                <w:sz w:val="18"/>
                <w:szCs w:val="18"/>
              </w:rPr>
            </w:pPr>
            <w:r w:rsidRPr="00C903F8">
              <w:rPr>
                <w:rFonts w:cs="Arial"/>
                <w:noProof/>
                <w:sz w:val="18"/>
                <w:szCs w:val="18"/>
              </w:rPr>
              <w:t>Rooms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Control centres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Stairwells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Muster areas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Lounges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Engine rooms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Galleys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 xml:space="preserve">Store rooms </w:t>
            </w:r>
          </w:p>
        </w:tc>
      </w:tr>
      <w:tr w:rsidR="00124738" w:rsidRPr="00C903F8" w:rsidTr="007A7CC3">
        <w:trPr>
          <w:jc w:val="center"/>
        </w:trPr>
        <w:tc>
          <w:tcPr>
            <w:tcW w:w="1843" w:type="dxa"/>
          </w:tcPr>
          <w:p w:rsidR="00124738" w:rsidRPr="00C903F8" w:rsidRDefault="00124738" w:rsidP="00124738">
            <w:pPr>
              <w:spacing w:before="60" w:after="60" w:line="240" w:lineRule="atLeast"/>
              <w:ind w:left="0" w:firstLine="0"/>
              <w:jc w:val="left"/>
              <w:rPr>
                <w:rFonts w:cs="Arial"/>
                <w:noProof/>
                <w:sz w:val="18"/>
                <w:szCs w:val="18"/>
              </w:rPr>
            </w:pPr>
            <w:r w:rsidRPr="00C903F8">
              <w:rPr>
                <w:rFonts w:cs="Arial"/>
                <w:noProof/>
                <w:sz w:val="18"/>
                <w:szCs w:val="18"/>
              </w:rPr>
              <w:t>Control centres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A0</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 xml:space="preserve">A0/ B15 </w:t>
            </w:r>
            <w:r w:rsidRPr="00C903F8">
              <w:rPr>
                <w:rFonts w:cs="Arial"/>
                <w:noProof/>
                <w:sz w:val="18"/>
                <w:szCs w:val="18"/>
                <w:vertAlign w:val="superscript"/>
              </w:rPr>
              <w:t>1)</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A0</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A60</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A30</w:t>
            </w:r>
          </w:p>
        </w:tc>
        <w:tc>
          <w:tcPr>
            <w:tcW w:w="972" w:type="dxa"/>
            <w:vAlign w:val="center"/>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A0/A30</w:t>
            </w:r>
            <w:r w:rsidRPr="00C903F8">
              <w:rPr>
                <w:rFonts w:cs="Arial"/>
                <w:noProof/>
                <w:sz w:val="18"/>
                <w:szCs w:val="18"/>
                <w:vertAlign w:val="superscript"/>
              </w:rPr>
              <w:t>5)</w:t>
            </w:r>
          </w:p>
        </w:tc>
      </w:tr>
      <w:tr w:rsidR="00124738" w:rsidRPr="00C903F8" w:rsidTr="007A7CC3">
        <w:trPr>
          <w:jc w:val="center"/>
        </w:trPr>
        <w:tc>
          <w:tcPr>
            <w:tcW w:w="1843" w:type="dxa"/>
          </w:tcPr>
          <w:p w:rsidR="00124738" w:rsidRPr="00C903F8" w:rsidRDefault="00124738" w:rsidP="00124738">
            <w:pPr>
              <w:spacing w:before="60" w:after="60" w:line="240" w:lineRule="atLeast"/>
              <w:ind w:left="0" w:firstLine="0"/>
              <w:jc w:val="left"/>
              <w:rPr>
                <w:rFonts w:cs="Arial"/>
                <w:noProof/>
                <w:sz w:val="18"/>
                <w:szCs w:val="18"/>
              </w:rPr>
            </w:pPr>
            <w:r w:rsidRPr="00C903F8">
              <w:rPr>
                <w:rFonts w:cs="Arial"/>
                <w:noProof/>
                <w:sz w:val="18"/>
                <w:szCs w:val="18"/>
              </w:rPr>
              <w:t>Stairwells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b/>
                <w:noProof/>
                <w:sz w:val="18"/>
                <w:szCs w:val="18"/>
              </w:rPr>
            </w:pPr>
            <w:r w:rsidRPr="00C903F8">
              <w:rPr>
                <w:rFonts w:cs="Arial"/>
                <w:b/>
                <w:noProof/>
                <w:sz w:val="18"/>
                <w:szCs w:val="18"/>
              </w:rPr>
              <w:t>-</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A0</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A0</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A60</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A30</w:t>
            </w:r>
          </w:p>
        </w:tc>
        <w:tc>
          <w:tcPr>
            <w:tcW w:w="972" w:type="dxa"/>
            <w:vAlign w:val="center"/>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A0</w:t>
            </w:r>
          </w:p>
        </w:tc>
      </w:tr>
      <w:tr w:rsidR="00124738" w:rsidRPr="00C903F8" w:rsidTr="007A7CC3">
        <w:trPr>
          <w:jc w:val="center"/>
        </w:trPr>
        <w:tc>
          <w:tcPr>
            <w:tcW w:w="1843" w:type="dxa"/>
          </w:tcPr>
          <w:p w:rsidR="00124738" w:rsidRPr="00C903F8" w:rsidRDefault="00124738" w:rsidP="00124738">
            <w:pPr>
              <w:spacing w:before="60" w:after="60" w:line="240" w:lineRule="atLeast"/>
              <w:ind w:left="0" w:firstLine="0"/>
              <w:jc w:val="left"/>
              <w:rPr>
                <w:rFonts w:cs="Arial"/>
                <w:noProof/>
                <w:sz w:val="18"/>
                <w:szCs w:val="18"/>
              </w:rPr>
            </w:pPr>
            <w:r w:rsidRPr="00C903F8">
              <w:rPr>
                <w:rFonts w:cs="Arial"/>
                <w:noProof/>
                <w:sz w:val="18"/>
                <w:szCs w:val="18"/>
              </w:rPr>
              <w:t>Muster areas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 xml:space="preserve">A30/B15 </w:t>
            </w:r>
            <w:r w:rsidRPr="00C903F8">
              <w:rPr>
                <w:rFonts w:cs="Arial"/>
                <w:noProof/>
                <w:sz w:val="18"/>
                <w:szCs w:val="18"/>
                <w:vertAlign w:val="superscript"/>
              </w:rPr>
              <w:t>2)</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A60</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A30</w:t>
            </w:r>
          </w:p>
        </w:tc>
        <w:tc>
          <w:tcPr>
            <w:tcW w:w="972" w:type="dxa"/>
            <w:vAlign w:val="center"/>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A0/A30</w:t>
            </w:r>
            <w:r w:rsidRPr="00C903F8">
              <w:rPr>
                <w:rFonts w:cs="Arial"/>
                <w:noProof/>
                <w:sz w:val="18"/>
                <w:szCs w:val="18"/>
                <w:vertAlign w:val="superscript"/>
              </w:rPr>
              <w:t>5)</w:t>
            </w:r>
          </w:p>
        </w:tc>
      </w:tr>
      <w:tr w:rsidR="00124738" w:rsidRPr="00C903F8" w:rsidTr="007A7CC3">
        <w:trPr>
          <w:jc w:val="center"/>
        </w:trPr>
        <w:tc>
          <w:tcPr>
            <w:tcW w:w="1843" w:type="dxa"/>
          </w:tcPr>
          <w:p w:rsidR="00124738" w:rsidRPr="00C903F8" w:rsidRDefault="00124738" w:rsidP="00124738">
            <w:pPr>
              <w:spacing w:before="60" w:after="60" w:line="240" w:lineRule="atLeast"/>
              <w:ind w:left="0" w:firstLine="0"/>
              <w:jc w:val="left"/>
              <w:rPr>
                <w:rFonts w:cs="Arial"/>
                <w:noProof/>
                <w:sz w:val="18"/>
                <w:szCs w:val="18"/>
              </w:rPr>
            </w:pPr>
            <w:r w:rsidRPr="00C903F8">
              <w:rPr>
                <w:rFonts w:cs="Arial"/>
                <w:noProof/>
                <w:sz w:val="18"/>
                <w:szCs w:val="18"/>
              </w:rPr>
              <w:t>Lounges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570639">
            <w:pPr>
              <w:spacing w:before="60" w:after="60" w:line="240" w:lineRule="atLeast"/>
              <w:ind w:left="0" w:firstLine="0"/>
              <w:jc w:val="center"/>
              <w:rPr>
                <w:rFonts w:cs="Arial"/>
                <w:noProof/>
                <w:sz w:val="18"/>
                <w:szCs w:val="18"/>
              </w:rPr>
            </w:pPr>
            <w:r w:rsidRPr="00C903F8">
              <w:rPr>
                <w:rFonts w:cs="Arial"/>
                <w:noProof/>
                <w:sz w:val="18"/>
                <w:szCs w:val="18"/>
              </w:rPr>
              <w:t>-/B15/B0</w:t>
            </w:r>
            <w:r w:rsidRPr="00C903F8">
              <w:rPr>
                <w:rFonts w:cs="Arial"/>
                <w:noProof/>
                <w:sz w:val="18"/>
                <w:szCs w:val="18"/>
                <w:vertAlign w:val="superscript"/>
              </w:rPr>
              <w:t>3)</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A60</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A30</w:t>
            </w:r>
          </w:p>
        </w:tc>
        <w:tc>
          <w:tcPr>
            <w:tcW w:w="972" w:type="dxa"/>
            <w:vAlign w:val="center"/>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A0</w:t>
            </w:r>
          </w:p>
        </w:tc>
      </w:tr>
      <w:tr w:rsidR="00124738" w:rsidRPr="00C903F8" w:rsidTr="007A7CC3">
        <w:trPr>
          <w:jc w:val="center"/>
        </w:trPr>
        <w:tc>
          <w:tcPr>
            <w:tcW w:w="1843" w:type="dxa"/>
          </w:tcPr>
          <w:p w:rsidR="00124738" w:rsidRPr="00C903F8" w:rsidRDefault="00124738" w:rsidP="00124738">
            <w:pPr>
              <w:spacing w:before="60" w:after="60" w:line="240" w:lineRule="atLeast"/>
              <w:ind w:left="0" w:firstLine="0"/>
              <w:jc w:val="left"/>
              <w:rPr>
                <w:rFonts w:cs="Arial"/>
                <w:noProof/>
                <w:sz w:val="18"/>
                <w:szCs w:val="18"/>
              </w:rPr>
            </w:pPr>
            <w:r w:rsidRPr="00C903F8">
              <w:rPr>
                <w:rFonts w:cs="Arial"/>
                <w:noProof/>
                <w:sz w:val="18"/>
                <w:szCs w:val="18"/>
              </w:rPr>
              <w:t>Engine rooms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b/>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 xml:space="preserve">A60/A0 </w:t>
            </w:r>
            <w:r w:rsidRPr="00C903F8">
              <w:rPr>
                <w:rFonts w:cs="Arial"/>
                <w:noProof/>
                <w:sz w:val="18"/>
                <w:szCs w:val="18"/>
                <w:vertAlign w:val="superscript"/>
              </w:rPr>
              <w:t>4)</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A60</w:t>
            </w:r>
          </w:p>
        </w:tc>
        <w:tc>
          <w:tcPr>
            <w:tcW w:w="972" w:type="dxa"/>
            <w:vAlign w:val="center"/>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A60</w:t>
            </w:r>
          </w:p>
        </w:tc>
      </w:tr>
      <w:tr w:rsidR="00124738" w:rsidRPr="00C903F8" w:rsidTr="007A7CC3">
        <w:trPr>
          <w:jc w:val="center"/>
        </w:trPr>
        <w:tc>
          <w:tcPr>
            <w:tcW w:w="1843" w:type="dxa"/>
          </w:tcPr>
          <w:p w:rsidR="00124738" w:rsidRPr="00C903F8" w:rsidRDefault="00124738" w:rsidP="00124738">
            <w:pPr>
              <w:spacing w:before="60" w:after="60" w:line="240" w:lineRule="atLeast"/>
              <w:ind w:left="0" w:firstLine="0"/>
              <w:jc w:val="left"/>
              <w:rPr>
                <w:rFonts w:cs="Arial"/>
                <w:noProof/>
                <w:sz w:val="18"/>
                <w:szCs w:val="18"/>
              </w:rPr>
            </w:pPr>
            <w:r w:rsidRPr="00C903F8">
              <w:rPr>
                <w:rFonts w:cs="Arial"/>
                <w:noProof/>
                <w:sz w:val="18"/>
                <w:szCs w:val="18"/>
              </w:rPr>
              <w:t>Galleys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b/>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b/>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b/>
                <w:noProof/>
                <w:sz w:val="18"/>
                <w:szCs w:val="18"/>
              </w:rPr>
            </w:pPr>
            <w:r w:rsidRPr="00C903F8">
              <w:rPr>
                <w:rFonts w:cs="Arial"/>
                <w:b/>
                <w:noProof/>
                <w:sz w:val="18"/>
                <w:szCs w:val="18"/>
              </w:rPr>
              <w:t>-</w:t>
            </w:r>
          </w:p>
        </w:tc>
        <w:tc>
          <w:tcPr>
            <w:tcW w:w="972" w:type="dxa"/>
            <w:vAlign w:val="center"/>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A0/B15</w:t>
            </w:r>
            <w:r w:rsidRPr="00C903F8">
              <w:rPr>
                <w:rFonts w:cs="Arial"/>
                <w:noProof/>
                <w:sz w:val="18"/>
                <w:szCs w:val="18"/>
                <w:vertAlign w:val="superscript"/>
              </w:rPr>
              <w:t xml:space="preserve">6) </w:t>
            </w:r>
          </w:p>
        </w:tc>
      </w:tr>
      <w:tr w:rsidR="00124738" w:rsidRPr="00C903F8" w:rsidTr="007A7CC3">
        <w:trPr>
          <w:jc w:val="center"/>
        </w:trPr>
        <w:tc>
          <w:tcPr>
            <w:tcW w:w="1843" w:type="dxa"/>
          </w:tcPr>
          <w:p w:rsidR="00124738" w:rsidRPr="00C903F8" w:rsidRDefault="00124738" w:rsidP="00124738">
            <w:pPr>
              <w:spacing w:before="60" w:after="60" w:line="240" w:lineRule="atLeast"/>
              <w:ind w:left="0" w:firstLine="0"/>
              <w:jc w:val="left"/>
              <w:rPr>
                <w:rFonts w:cs="Arial"/>
                <w:noProof/>
                <w:sz w:val="18"/>
                <w:szCs w:val="18"/>
              </w:rPr>
            </w:pPr>
            <w:r w:rsidRPr="00C903F8">
              <w:rPr>
                <w:rFonts w:cs="Arial"/>
                <w:noProof/>
                <w:sz w:val="18"/>
                <w:szCs w:val="18"/>
              </w:rPr>
              <w:t>Store rooms</w:t>
            </w: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p>
        </w:tc>
        <w:tc>
          <w:tcPr>
            <w:tcW w:w="972" w:type="dxa"/>
          </w:tcPr>
          <w:p w:rsidR="00124738" w:rsidRPr="00C903F8" w:rsidRDefault="00124738" w:rsidP="00124738">
            <w:pPr>
              <w:spacing w:before="60" w:after="60" w:line="240" w:lineRule="atLeast"/>
              <w:ind w:left="0" w:firstLine="0"/>
              <w:jc w:val="center"/>
              <w:rPr>
                <w:rFonts w:cs="Arial"/>
                <w:noProof/>
                <w:sz w:val="18"/>
                <w:szCs w:val="18"/>
              </w:rPr>
            </w:pPr>
            <w:r w:rsidRPr="00C903F8">
              <w:rPr>
                <w:rFonts w:cs="Arial"/>
                <w:noProof/>
                <w:sz w:val="18"/>
                <w:szCs w:val="18"/>
              </w:rPr>
              <w:t>-</w:t>
            </w:r>
          </w:p>
        </w:tc>
      </w:tr>
      <w:tr w:rsidR="00124738" w:rsidRPr="00505433" w:rsidTr="007A7CC3">
        <w:trPr>
          <w:jc w:val="center"/>
        </w:trPr>
        <w:tc>
          <w:tcPr>
            <w:tcW w:w="8647" w:type="dxa"/>
            <w:gridSpan w:val="8"/>
            <w:tcBorders>
              <w:left w:val="nil"/>
              <w:bottom w:val="nil"/>
              <w:right w:val="nil"/>
            </w:tcBorders>
          </w:tcPr>
          <w:p w:rsidR="00124738" w:rsidRPr="00C903F8" w:rsidRDefault="00124738" w:rsidP="007A7CC3">
            <w:pPr>
              <w:tabs>
                <w:tab w:val="left" w:pos="567"/>
                <w:tab w:val="left" w:pos="1134"/>
                <w:tab w:val="left" w:pos="5670"/>
              </w:tabs>
              <w:suppressAutoHyphens/>
              <w:spacing w:before="60" w:after="20"/>
              <w:ind w:left="284" w:hanging="284"/>
              <w:rPr>
                <w:noProof/>
                <w:spacing w:val="-20"/>
                <w:sz w:val="18"/>
                <w:szCs w:val="18"/>
                <w:vertAlign w:val="superscript"/>
                <w:lang w:val="en-US"/>
              </w:rPr>
            </w:pPr>
          </w:p>
          <w:p w:rsidR="00124738" w:rsidRPr="00C903F8" w:rsidRDefault="00124738" w:rsidP="007A7CC3">
            <w:pPr>
              <w:tabs>
                <w:tab w:val="left" w:pos="567"/>
                <w:tab w:val="left" w:pos="1134"/>
                <w:tab w:val="left" w:pos="5670"/>
              </w:tabs>
              <w:suppressAutoHyphens/>
              <w:spacing w:before="60" w:after="20"/>
              <w:ind w:left="284" w:hanging="284"/>
              <w:rPr>
                <w:noProof/>
                <w:spacing w:val="-20"/>
                <w:sz w:val="18"/>
                <w:szCs w:val="18"/>
                <w:lang w:val="en-US"/>
              </w:rPr>
            </w:pPr>
            <w:r w:rsidRPr="00C903F8">
              <w:rPr>
                <w:noProof/>
                <w:spacing w:val="-20"/>
                <w:sz w:val="18"/>
                <w:szCs w:val="18"/>
                <w:vertAlign w:val="superscript"/>
                <w:lang w:val="en-US"/>
              </w:rPr>
              <w:t>1)</w:t>
            </w:r>
            <w:r w:rsidRPr="00C903F8">
              <w:rPr>
                <w:noProof/>
                <w:spacing w:val="-20"/>
                <w:sz w:val="18"/>
                <w:szCs w:val="18"/>
                <w:lang w:val="en-US"/>
              </w:rPr>
              <w:tab/>
            </w:r>
            <w:r w:rsidRPr="00C903F8">
              <w:rPr>
                <w:noProof/>
                <w:sz w:val="18"/>
                <w:szCs w:val="18"/>
                <w:lang w:val="en-US"/>
              </w:rPr>
              <w:t xml:space="preserve">Partitions </w:t>
            </w:r>
            <w:r w:rsidRPr="00C903F8">
              <w:rPr>
                <w:noProof/>
                <w:sz w:val="18"/>
                <w:szCs w:val="18"/>
                <w:lang w:val="en-US" w:eastAsia="en-GB"/>
              </w:rPr>
              <w:t>between control centres and internal muster areas shall correspond to Type A0, but external muster areas only to Type</w:t>
            </w:r>
            <w:r w:rsidRPr="00C903F8">
              <w:rPr>
                <w:noProof/>
                <w:sz w:val="18"/>
                <w:szCs w:val="18"/>
                <w:lang w:val="en-US"/>
              </w:rPr>
              <w:t xml:space="preserve"> B15.</w:t>
            </w:r>
          </w:p>
        </w:tc>
      </w:tr>
      <w:tr w:rsidR="00124738" w:rsidRPr="00505433" w:rsidTr="007A7CC3">
        <w:trPr>
          <w:jc w:val="center"/>
        </w:trPr>
        <w:tc>
          <w:tcPr>
            <w:tcW w:w="8647" w:type="dxa"/>
            <w:gridSpan w:val="8"/>
            <w:tcBorders>
              <w:top w:val="nil"/>
              <w:left w:val="nil"/>
              <w:bottom w:val="nil"/>
              <w:right w:val="nil"/>
            </w:tcBorders>
          </w:tcPr>
          <w:p w:rsidR="00124738" w:rsidRPr="00C903F8" w:rsidRDefault="00124738" w:rsidP="007A7CC3">
            <w:pPr>
              <w:tabs>
                <w:tab w:val="left" w:pos="567"/>
                <w:tab w:val="left" w:pos="1134"/>
                <w:tab w:val="left" w:pos="5670"/>
              </w:tabs>
              <w:suppressAutoHyphens/>
              <w:spacing w:before="20" w:after="20"/>
              <w:ind w:left="284" w:hanging="284"/>
              <w:rPr>
                <w:noProof/>
                <w:spacing w:val="-20"/>
                <w:sz w:val="18"/>
                <w:szCs w:val="18"/>
                <w:lang w:val="en-US"/>
              </w:rPr>
            </w:pPr>
            <w:r w:rsidRPr="00C903F8">
              <w:rPr>
                <w:noProof/>
                <w:spacing w:val="-20"/>
                <w:sz w:val="18"/>
                <w:szCs w:val="18"/>
                <w:vertAlign w:val="superscript"/>
                <w:lang w:val="en-US"/>
              </w:rPr>
              <w:t>2)</w:t>
            </w:r>
            <w:r w:rsidRPr="00C903F8">
              <w:rPr>
                <w:noProof/>
                <w:spacing w:val="-20"/>
                <w:sz w:val="18"/>
                <w:szCs w:val="18"/>
                <w:lang w:val="en-US"/>
              </w:rPr>
              <w:tab/>
            </w:r>
            <w:r w:rsidRPr="00C903F8">
              <w:rPr>
                <w:noProof/>
                <w:sz w:val="18"/>
                <w:szCs w:val="18"/>
                <w:lang w:val="en-US"/>
              </w:rPr>
              <w:t xml:space="preserve">Partitions </w:t>
            </w:r>
            <w:r w:rsidRPr="00C903F8">
              <w:rPr>
                <w:noProof/>
                <w:sz w:val="18"/>
                <w:szCs w:val="18"/>
                <w:lang w:val="en-US" w:eastAsia="en-GB"/>
              </w:rPr>
              <w:t xml:space="preserve">between lounges and internal muster areas shall correspond to Type A30, but external muster areas only to Type </w:t>
            </w:r>
            <w:r w:rsidRPr="00C903F8">
              <w:rPr>
                <w:noProof/>
                <w:sz w:val="18"/>
                <w:szCs w:val="18"/>
                <w:lang w:val="en-US"/>
              </w:rPr>
              <w:t>B15.</w:t>
            </w:r>
          </w:p>
        </w:tc>
      </w:tr>
      <w:tr w:rsidR="00124738" w:rsidRPr="00505433" w:rsidTr="007A7CC3">
        <w:trPr>
          <w:jc w:val="center"/>
        </w:trPr>
        <w:tc>
          <w:tcPr>
            <w:tcW w:w="8647" w:type="dxa"/>
            <w:gridSpan w:val="8"/>
            <w:tcBorders>
              <w:top w:val="nil"/>
              <w:left w:val="nil"/>
              <w:bottom w:val="nil"/>
              <w:right w:val="nil"/>
            </w:tcBorders>
          </w:tcPr>
          <w:p w:rsidR="00124738" w:rsidRPr="00C903F8" w:rsidRDefault="00124738" w:rsidP="00380DE8">
            <w:pPr>
              <w:tabs>
                <w:tab w:val="left" w:pos="567"/>
                <w:tab w:val="left" w:pos="1134"/>
                <w:tab w:val="left" w:pos="5670"/>
              </w:tabs>
              <w:suppressAutoHyphens/>
              <w:spacing w:before="20" w:after="20"/>
              <w:ind w:left="284" w:hanging="284"/>
              <w:rPr>
                <w:noProof/>
                <w:spacing w:val="-20"/>
                <w:sz w:val="18"/>
                <w:szCs w:val="18"/>
                <w:lang w:val="en-US"/>
              </w:rPr>
            </w:pPr>
            <w:r w:rsidRPr="00C903F8">
              <w:rPr>
                <w:noProof/>
                <w:spacing w:val="-20"/>
                <w:sz w:val="18"/>
                <w:szCs w:val="18"/>
                <w:vertAlign w:val="superscript"/>
                <w:lang w:val="en-US"/>
              </w:rPr>
              <w:t>3)</w:t>
            </w:r>
            <w:r w:rsidRPr="00C903F8">
              <w:rPr>
                <w:noProof/>
                <w:spacing w:val="-20"/>
                <w:sz w:val="18"/>
                <w:szCs w:val="18"/>
                <w:lang w:val="en-US"/>
              </w:rPr>
              <w:tab/>
            </w:r>
            <w:r w:rsidRPr="00C903F8">
              <w:rPr>
                <w:noProof/>
                <w:sz w:val="18"/>
                <w:szCs w:val="18"/>
                <w:lang w:val="en-US"/>
              </w:rPr>
              <w:t xml:space="preserve">Partitions </w:t>
            </w:r>
            <w:r w:rsidRPr="00C903F8">
              <w:rPr>
                <w:noProof/>
                <w:sz w:val="18"/>
                <w:szCs w:val="18"/>
                <w:lang w:val="en-US" w:eastAsia="en-GB"/>
              </w:rPr>
              <w:t xml:space="preserve">between cabins, partitions between cabins and corridors and vertical partitions separating lounges according to </w:t>
            </w:r>
            <w:r w:rsidR="00FD1E75" w:rsidRPr="00C903F8">
              <w:rPr>
                <w:noProof/>
                <w:sz w:val="18"/>
                <w:szCs w:val="18"/>
                <w:lang w:val="en-US" w:eastAsia="en-GB"/>
              </w:rPr>
              <w:t>(</w:t>
            </w:r>
            <w:r w:rsidRPr="00C903F8">
              <w:rPr>
                <w:noProof/>
                <w:sz w:val="18"/>
                <w:szCs w:val="18"/>
                <w:lang w:val="en-US" w:eastAsia="en-GB"/>
              </w:rPr>
              <w:t>10</w:t>
            </w:r>
            <w:r w:rsidR="00FD1E75" w:rsidRPr="00C903F8">
              <w:rPr>
                <w:noProof/>
                <w:sz w:val="18"/>
                <w:szCs w:val="18"/>
                <w:lang w:val="en-US" w:eastAsia="en-GB"/>
              </w:rPr>
              <w:t>)</w:t>
            </w:r>
            <w:r w:rsidRPr="00C903F8">
              <w:rPr>
                <w:noProof/>
                <w:sz w:val="18"/>
                <w:szCs w:val="18"/>
                <w:lang w:val="en-US" w:eastAsia="en-GB"/>
              </w:rPr>
              <w:t xml:space="preserve"> shall comply with Type B15, for rooms</w:t>
            </w:r>
            <w:r w:rsidR="00380DE8" w:rsidRPr="00C903F8">
              <w:rPr>
                <w:noProof/>
                <w:sz w:val="18"/>
                <w:szCs w:val="18"/>
                <w:lang w:val="en-US" w:eastAsia="en-GB"/>
              </w:rPr>
              <w:t xml:space="preserve"> that are</w:t>
            </w:r>
            <w:r w:rsidRPr="00C903F8">
              <w:rPr>
                <w:noProof/>
                <w:sz w:val="18"/>
                <w:szCs w:val="18"/>
                <w:lang w:val="en-US" w:eastAsia="en-GB"/>
              </w:rPr>
              <w:t xml:space="preserve"> fitted with pressurised sprinkler </w:t>
            </w:r>
            <w:r w:rsidRPr="00C903F8">
              <w:rPr>
                <w:noProof/>
                <w:sz w:val="18"/>
                <w:szCs w:val="18"/>
                <w:lang w:val="en-US"/>
              </w:rPr>
              <w:t>systems</w:t>
            </w:r>
            <w:r w:rsidR="00380DE8" w:rsidRPr="00C903F8">
              <w:rPr>
                <w:noProof/>
                <w:sz w:val="18"/>
                <w:szCs w:val="18"/>
                <w:lang w:val="en-US"/>
              </w:rPr>
              <w:t>,</w:t>
            </w:r>
            <w:r w:rsidRPr="00C903F8">
              <w:rPr>
                <w:noProof/>
                <w:sz w:val="18"/>
                <w:szCs w:val="18"/>
                <w:lang w:val="en-US"/>
              </w:rPr>
              <w:t xml:space="preserve"> </w:t>
            </w:r>
            <w:r w:rsidR="00380DE8" w:rsidRPr="00C903F8">
              <w:rPr>
                <w:noProof/>
                <w:sz w:val="18"/>
                <w:szCs w:val="18"/>
                <w:lang w:val="en-US"/>
              </w:rPr>
              <w:t xml:space="preserve">they shall comply with type </w:t>
            </w:r>
            <w:r w:rsidRPr="00C903F8">
              <w:rPr>
                <w:noProof/>
                <w:sz w:val="18"/>
                <w:szCs w:val="18"/>
                <w:lang w:val="en-US"/>
              </w:rPr>
              <w:t>B0. Partitions between cabins and saunas shall comply with Type A0, for rooms</w:t>
            </w:r>
            <w:r w:rsidR="00380DE8" w:rsidRPr="00C903F8">
              <w:rPr>
                <w:noProof/>
                <w:sz w:val="18"/>
                <w:szCs w:val="18"/>
                <w:lang w:val="en-US"/>
              </w:rPr>
              <w:t xml:space="preserve"> that are</w:t>
            </w:r>
            <w:r w:rsidRPr="00C903F8">
              <w:rPr>
                <w:noProof/>
                <w:sz w:val="18"/>
                <w:szCs w:val="18"/>
                <w:lang w:val="en-US"/>
              </w:rPr>
              <w:t xml:space="preserve"> fitted with pressurised sprinkler systems</w:t>
            </w:r>
            <w:r w:rsidR="00380DE8" w:rsidRPr="00C903F8">
              <w:rPr>
                <w:noProof/>
                <w:sz w:val="18"/>
                <w:szCs w:val="18"/>
                <w:lang w:val="en-US"/>
              </w:rPr>
              <w:t>, they shall comply with type</w:t>
            </w:r>
            <w:r w:rsidRPr="00C903F8">
              <w:rPr>
                <w:noProof/>
                <w:sz w:val="18"/>
                <w:szCs w:val="18"/>
                <w:lang w:val="en-US"/>
              </w:rPr>
              <w:t xml:space="preserve"> B15.</w:t>
            </w:r>
          </w:p>
        </w:tc>
      </w:tr>
      <w:tr w:rsidR="00124738" w:rsidRPr="00505433" w:rsidTr="007A7CC3">
        <w:trPr>
          <w:jc w:val="center"/>
        </w:trPr>
        <w:tc>
          <w:tcPr>
            <w:tcW w:w="8647" w:type="dxa"/>
            <w:gridSpan w:val="8"/>
            <w:tcBorders>
              <w:top w:val="nil"/>
              <w:left w:val="nil"/>
              <w:bottom w:val="nil"/>
              <w:right w:val="nil"/>
            </w:tcBorders>
          </w:tcPr>
          <w:p w:rsidR="00124738" w:rsidRPr="00C903F8" w:rsidRDefault="00124738" w:rsidP="00570639">
            <w:pPr>
              <w:tabs>
                <w:tab w:val="left" w:pos="567"/>
                <w:tab w:val="left" w:pos="1134"/>
                <w:tab w:val="left" w:pos="5670"/>
              </w:tabs>
              <w:suppressAutoHyphens/>
              <w:spacing w:before="20" w:after="20"/>
              <w:ind w:left="284" w:hanging="284"/>
              <w:rPr>
                <w:noProof/>
                <w:spacing w:val="-20"/>
                <w:sz w:val="18"/>
                <w:szCs w:val="18"/>
                <w:lang w:val="en-US"/>
              </w:rPr>
            </w:pPr>
            <w:r w:rsidRPr="00C903F8">
              <w:rPr>
                <w:noProof/>
                <w:spacing w:val="-20"/>
                <w:sz w:val="18"/>
                <w:szCs w:val="18"/>
                <w:vertAlign w:val="superscript"/>
                <w:lang w:val="en-US"/>
              </w:rPr>
              <w:t>4)</w:t>
            </w:r>
            <w:r w:rsidRPr="00C903F8">
              <w:rPr>
                <w:noProof/>
                <w:spacing w:val="-20"/>
                <w:sz w:val="18"/>
                <w:szCs w:val="18"/>
                <w:lang w:val="en-US"/>
              </w:rPr>
              <w:tab/>
            </w:r>
            <w:r w:rsidRPr="00C903F8">
              <w:rPr>
                <w:noProof/>
                <w:sz w:val="18"/>
                <w:szCs w:val="18"/>
                <w:lang w:val="en-US"/>
              </w:rPr>
              <w:t xml:space="preserve">Partitions </w:t>
            </w:r>
            <w:r w:rsidRPr="00C903F8">
              <w:rPr>
                <w:noProof/>
                <w:sz w:val="18"/>
                <w:szCs w:val="18"/>
                <w:lang w:val="en-US" w:eastAsia="en-GB"/>
              </w:rPr>
              <w:t>between engine rooms according to Articles 1</w:t>
            </w:r>
            <w:r w:rsidR="00570639" w:rsidRPr="00C903F8">
              <w:rPr>
                <w:noProof/>
                <w:sz w:val="18"/>
                <w:szCs w:val="18"/>
                <w:lang w:val="en-US" w:eastAsia="en-GB"/>
              </w:rPr>
              <w:t>9</w:t>
            </w:r>
            <w:r w:rsidRPr="00C903F8">
              <w:rPr>
                <w:noProof/>
                <w:sz w:val="18"/>
                <w:szCs w:val="18"/>
                <w:lang w:val="en-US" w:eastAsia="en-GB"/>
              </w:rPr>
              <w:t>.07 and 1</w:t>
            </w:r>
            <w:r w:rsidR="00570639" w:rsidRPr="00C903F8">
              <w:rPr>
                <w:noProof/>
                <w:sz w:val="18"/>
                <w:szCs w:val="18"/>
                <w:lang w:val="en-US" w:eastAsia="en-GB"/>
              </w:rPr>
              <w:t>9</w:t>
            </w:r>
            <w:r w:rsidRPr="00C903F8">
              <w:rPr>
                <w:noProof/>
                <w:sz w:val="18"/>
                <w:szCs w:val="18"/>
                <w:lang w:val="en-US" w:eastAsia="en-GB"/>
              </w:rPr>
              <w:t xml:space="preserve">.10 (6) shall comply with Type A60; in other cases they shall comply with Type </w:t>
            </w:r>
            <w:r w:rsidRPr="00C903F8">
              <w:rPr>
                <w:noProof/>
                <w:sz w:val="18"/>
                <w:szCs w:val="18"/>
                <w:lang w:val="en-US"/>
              </w:rPr>
              <w:t>A0.</w:t>
            </w:r>
          </w:p>
        </w:tc>
      </w:tr>
      <w:tr w:rsidR="00124738" w:rsidRPr="00505433" w:rsidTr="007A7CC3">
        <w:trPr>
          <w:jc w:val="center"/>
        </w:trPr>
        <w:tc>
          <w:tcPr>
            <w:tcW w:w="8647" w:type="dxa"/>
            <w:gridSpan w:val="8"/>
            <w:tcBorders>
              <w:top w:val="nil"/>
              <w:left w:val="nil"/>
              <w:bottom w:val="nil"/>
              <w:right w:val="nil"/>
            </w:tcBorders>
          </w:tcPr>
          <w:p w:rsidR="00124738" w:rsidRPr="00C903F8" w:rsidRDefault="00124738" w:rsidP="007A7CC3">
            <w:pPr>
              <w:tabs>
                <w:tab w:val="left" w:pos="567"/>
                <w:tab w:val="left" w:pos="1134"/>
                <w:tab w:val="left" w:pos="5670"/>
              </w:tabs>
              <w:suppressAutoHyphens/>
              <w:spacing w:before="20" w:after="20"/>
              <w:ind w:left="284" w:hanging="284"/>
              <w:rPr>
                <w:noProof/>
                <w:spacing w:val="-20"/>
                <w:sz w:val="18"/>
                <w:szCs w:val="18"/>
                <w:lang w:val="en-US"/>
              </w:rPr>
            </w:pPr>
            <w:r w:rsidRPr="00C903F8">
              <w:rPr>
                <w:noProof/>
                <w:spacing w:val="-20"/>
                <w:sz w:val="18"/>
                <w:szCs w:val="18"/>
                <w:vertAlign w:val="superscript"/>
                <w:lang w:val="en-US"/>
              </w:rPr>
              <w:t>5)</w:t>
            </w:r>
            <w:r w:rsidRPr="00C903F8">
              <w:rPr>
                <w:noProof/>
                <w:spacing w:val="-20"/>
                <w:sz w:val="18"/>
                <w:szCs w:val="18"/>
                <w:lang w:val="en-US"/>
              </w:rPr>
              <w:tab/>
            </w:r>
            <w:r w:rsidRPr="00C903F8">
              <w:rPr>
                <w:noProof/>
                <w:sz w:val="18"/>
                <w:szCs w:val="18"/>
                <w:lang w:val="en-US"/>
              </w:rPr>
              <w:t>Partitions between store rooms for the storage of flammable liquids and control centres and muster areas shall comply with Type A60, for rooms fitted with pressurised sprinkler systems A30.</w:t>
            </w:r>
          </w:p>
        </w:tc>
      </w:tr>
      <w:tr w:rsidR="00124738" w:rsidRPr="00505433" w:rsidTr="007A7CC3">
        <w:trPr>
          <w:jc w:val="center"/>
        </w:trPr>
        <w:tc>
          <w:tcPr>
            <w:tcW w:w="8647" w:type="dxa"/>
            <w:gridSpan w:val="8"/>
            <w:tcBorders>
              <w:top w:val="nil"/>
              <w:left w:val="nil"/>
              <w:bottom w:val="nil"/>
              <w:right w:val="nil"/>
            </w:tcBorders>
          </w:tcPr>
          <w:p w:rsidR="00124738" w:rsidRPr="00C903F8" w:rsidRDefault="00124738" w:rsidP="007A7CC3">
            <w:pPr>
              <w:tabs>
                <w:tab w:val="left" w:pos="567"/>
                <w:tab w:val="left" w:pos="1134"/>
                <w:tab w:val="left" w:pos="5670"/>
              </w:tabs>
              <w:suppressAutoHyphens/>
              <w:spacing w:before="20" w:after="20"/>
              <w:ind w:left="284" w:hanging="284"/>
              <w:rPr>
                <w:noProof/>
                <w:spacing w:val="-20"/>
                <w:sz w:val="18"/>
                <w:szCs w:val="18"/>
                <w:lang w:val="en-US"/>
              </w:rPr>
            </w:pPr>
            <w:r w:rsidRPr="00C903F8">
              <w:rPr>
                <w:noProof/>
                <w:spacing w:val="-20"/>
                <w:sz w:val="18"/>
                <w:szCs w:val="18"/>
                <w:vertAlign w:val="superscript"/>
                <w:lang w:val="en-US"/>
              </w:rPr>
              <w:t>6)</w:t>
            </w:r>
            <w:r w:rsidRPr="00C903F8">
              <w:rPr>
                <w:noProof/>
                <w:spacing w:val="-20"/>
                <w:sz w:val="18"/>
                <w:szCs w:val="18"/>
                <w:lang w:val="en-US"/>
              </w:rPr>
              <w:tab/>
            </w:r>
            <w:r w:rsidRPr="00C903F8">
              <w:rPr>
                <w:noProof/>
                <w:sz w:val="18"/>
                <w:szCs w:val="18"/>
                <w:lang w:val="en-US"/>
              </w:rPr>
              <w:t xml:space="preserve">B15 </w:t>
            </w:r>
            <w:r w:rsidRPr="00C903F8">
              <w:rPr>
                <w:noProof/>
                <w:sz w:val="18"/>
                <w:szCs w:val="18"/>
                <w:lang w:val="en-US" w:eastAsia="en-GB"/>
              </w:rPr>
              <w:t>is sufficient for partitions between galleys, on the one hand, and cold-storage rooms and food store rooms, on the other</w:t>
            </w:r>
            <w:r w:rsidRPr="00C903F8">
              <w:rPr>
                <w:noProof/>
                <w:sz w:val="18"/>
                <w:szCs w:val="18"/>
                <w:lang w:val="en-US"/>
              </w:rPr>
              <w:t>.</w:t>
            </w:r>
          </w:p>
        </w:tc>
      </w:tr>
    </w:tbl>
    <w:p w:rsidR="00124738" w:rsidRPr="00C903F8" w:rsidRDefault="00124738" w:rsidP="00124738">
      <w:pPr>
        <w:pStyle w:val="ESch"/>
        <w:rPr>
          <w:rFonts w:eastAsia="Calibri" w:cs="Arial"/>
          <w:szCs w:val="18"/>
          <w:lang w:val="en-US" w:eastAsia="en-US"/>
        </w:rPr>
      </w:pPr>
    </w:p>
    <w:p w:rsidR="00124738" w:rsidRPr="00C903F8" w:rsidRDefault="00124738" w:rsidP="00124738">
      <w:pPr>
        <w:pStyle w:val="ESch"/>
        <w:rPr>
          <w:rFonts w:eastAsia="Calibri" w:cs="Arial"/>
          <w:szCs w:val="18"/>
          <w:lang w:val="en-US" w:eastAsia="en-US"/>
        </w:rPr>
      </w:pPr>
      <w:r w:rsidRPr="00C903F8">
        <w:rPr>
          <w:rFonts w:eastAsia="Calibri" w:cs="Arial"/>
          <w:szCs w:val="18"/>
          <w:lang w:val="en-US" w:eastAsia="en-US"/>
        </w:rPr>
        <w:br w:type="page"/>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lastRenderedPageBreak/>
        <w:t>b)</w:t>
      </w:r>
      <w:r w:rsidR="00973DAA" w:rsidRPr="00C903F8">
        <w:rPr>
          <w:rFonts w:eastAsia="Calibri"/>
          <w:noProof/>
          <w:lang w:val="en-US" w:eastAsia="en-US"/>
        </w:rPr>
        <w:tab/>
        <w:t>Type A partitions are bulkheads, walls and decks which satisfy the following requirements:</w:t>
      </w:r>
    </w:p>
    <w:p w:rsidR="00973DAA" w:rsidRPr="00C903F8" w:rsidRDefault="00973DAA" w:rsidP="00124738">
      <w:pPr>
        <w:pStyle w:val="EStiret"/>
        <w:rPr>
          <w:rFonts w:eastAsia="Calibri" w:cs="Arial"/>
          <w:szCs w:val="18"/>
          <w:lang w:val="en-US" w:eastAsia="en-US"/>
        </w:rPr>
      </w:pPr>
      <w:r w:rsidRPr="00C903F8">
        <w:rPr>
          <w:rFonts w:eastAsia="Calibri"/>
          <w:lang w:val="en-US" w:eastAsia="en-US"/>
        </w:rPr>
        <w:t>aa)</w:t>
      </w:r>
      <w:r w:rsidRPr="00C903F8">
        <w:rPr>
          <w:rFonts w:eastAsia="Calibri"/>
          <w:lang w:val="en-US" w:eastAsia="en-US"/>
        </w:rPr>
        <w:tab/>
        <w:t>They are made of steel or of another equivalent material;</w:t>
      </w:r>
    </w:p>
    <w:p w:rsidR="00973DAA" w:rsidRPr="00C903F8" w:rsidRDefault="00973DAA" w:rsidP="00124738">
      <w:pPr>
        <w:pStyle w:val="EStiret"/>
        <w:rPr>
          <w:rFonts w:eastAsia="Calibri" w:cs="Arial"/>
          <w:szCs w:val="18"/>
          <w:lang w:val="en-US" w:eastAsia="en-US"/>
        </w:rPr>
      </w:pPr>
      <w:r w:rsidRPr="00C903F8">
        <w:rPr>
          <w:rFonts w:eastAsia="Calibri"/>
          <w:lang w:val="en-US" w:eastAsia="en-US"/>
        </w:rPr>
        <w:t>bb)</w:t>
      </w:r>
      <w:r w:rsidRPr="00C903F8">
        <w:rPr>
          <w:rFonts w:eastAsia="Calibri"/>
          <w:lang w:val="en-US" w:eastAsia="en-US"/>
        </w:rPr>
        <w:tab/>
        <w:t>They are appropriately stiffened;</w:t>
      </w:r>
    </w:p>
    <w:p w:rsidR="00973DAA" w:rsidRPr="00C903F8" w:rsidRDefault="00973DAA" w:rsidP="00124738">
      <w:pPr>
        <w:pStyle w:val="EStiret"/>
        <w:rPr>
          <w:rFonts w:eastAsia="Calibri"/>
          <w:lang w:val="en-US" w:eastAsia="en-US"/>
        </w:rPr>
      </w:pPr>
      <w:r w:rsidRPr="00C903F8">
        <w:rPr>
          <w:rFonts w:eastAsia="Calibri"/>
          <w:lang w:val="en-US" w:eastAsia="en-US"/>
        </w:rPr>
        <w:t>cc)</w:t>
      </w:r>
      <w:r w:rsidRPr="00C903F8">
        <w:rPr>
          <w:rFonts w:eastAsia="Calibri"/>
          <w:lang w:val="en-US" w:eastAsia="en-US"/>
        </w:rPr>
        <w:tab/>
        <w:t>They are insulated with an approved non-combustible material such that the average temperature on the side facing away from the fire rises to not more than 140 °C above the initial temperature and at no point, including the gaps at the joints, does a temperature increase of more than 180 °C above the initial temperature occur within the following specified periods:</w:t>
      </w:r>
    </w:p>
    <w:p w:rsidR="00973DAA" w:rsidRPr="00C903F8" w:rsidRDefault="00973DAA" w:rsidP="00124738">
      <w:pPr>
        <w:pStyle w:val="EStiretpar"/>
        <w:tabs>
          <w:tab w:val="decimal" w:pos="2835"/>
          <w:tab w:val="left" w:pos="2977"/>
        </w:tabs>
        <w:rPr>
          <w:rFonts w:eastAsia="Calibri" w:cs="Arial"/>
          <w:szCs w:val="18"/>
          <w:lang w:val="en-US" w:eastAsia="en-US"/>
        </w:rPr>
      </w:pPr>
      <w:r w:rsidRPr="00C903F8">
        <w:rPr>
          <w:rFonts w:eastAsia="Calibri"/>
          <w:lang w:val="en-US" w:eastAsia="en-US"/>
        </w:rPr>
        <w:t xml:space="preserve">Type A60 </w:t>
      </w:r>
      <w:r w:rsidR="00124738" w:rsidRPr="00C903F8">
        <w:rPr>
          <w:rFonts w:eastAsia="Calibri"/>
          <w:lang w:val="en-US" w:eastAsia="en-US"/>
        </w:rPr>
        <w:tab/>
      </w:r>
      <w:r w:rsidRPr="00C903F8">
        <w:rPr>
          <w:rFonts w:eastAsia="Calibri"/>
          <w:lang w:val="en-US" w:eastAsia="en-US"/>
        </w:rPr>
        <w:t>60</w:t>
      </w:r>
      <w:r w:rsidR="00124738" w:rsidRPr="00C903F8">
        <w:rPr>
          <w:rFonts w:eastAsia="Calibri"/>
          <w:lang w:val="en-US" w:eastAsia="en-US"/>
        </w:rPr>
        <w:tab/>
      </w:r>
      <w:r w:rsidRPr="00C903F8">
        <w:rPr>
          <w:rFonts w:eastAsia="Calibri"/>
          <w:lang w:val="en-US" w:eastAsia="en-US"/>
        </w:rPr>
        <w:t>minutes</w:t>
      </w:r>
    </w:p>
    <w:p w:rsidR="00973DAA" w:rsidRPr="00C903F8" w:rsidRDefault="00973DAA" w:rsidP="00124738">
      <w:pPr>
        <w:pStyle w:val="EStiretpar"/>
        <w:tabs>
          <w:tab w:val="decimal" w:pos="2835"/>
          <w:tab w:val="left" w:pos="2977"/>
        </w:tabs>
        <w:rPr>
          <w:rFonts w:eastAsia="Calibri" w:cs="Arial"/>
          <w:szCs w:val="18"/>
          <w:lang w:val="en-US" w:eastAsia="en-US"/>
        </w:rPr>
      </w:pPr>
      <w:r w:rsidRPr="00C903F8">
        <w:rPr>
          <w:rFonts w:eastAsia="Calibri"/>
          <w:lang w:val="en-US" w:eastAsia="en-US"/>
        </w:rPr>
        <w:t>Type A30</w:t>
      </w:r>
      <w:r w:rsidR="00124738" w:rsidRPr="00C903F8">
        <w:rPr>
          <w:rFonts w:eastAsia="Calibri"/>
          <w:lang w:val="en-US" w:eastAsia="en-US"/>
        </w:rPr>
        <w:tab/>
      </w:r>
      <w:r w:rsidRPr="00C903F8">
        <w:rPr>
          <w:rFonts w:eastAsia="Calibri"/>
          <w:lang w:val="en-US" w:eastAsia="en-US"/>
        </w:rPr>
        <w:t>30</w:t>
      </w:r>
      <w:r w:rsidR="00124738" w:rsidRPr="00C903F8">
        <w:rPr>
          <w:rFonts w:eastAsia="Calibri"/>
          <w:lang w:val="en-US" w:eastAsia="en-US"/>
        </w:rPr>
        <w:tab/>
      </w:r>
      <w:r w:rsidRPr="00C903F8">
        <w:rPr>
          <w:rFonts w:eastAsia="Calibri"/>
          <w:lang w:val="en-US" w:eastAsia="en-US"/>
        </w:rPr>
        <w:t>minutes</w:t>
      </w:r>
    </w:p>
    <w:p w:rsidR="00973DAA" w:rsidRPr="00C903F8" w:rsidRDefault="00973DAA" w:rsidP="00124738">
      <w:pPr>
        <w:pStyle w:val="EStiretpar"/>
        <w:tabs>
          <w:tab w:val="decimal" w:pos="2835"/>
          <w:tab w:val="left" w:pos="2977"/>
        </w:tabs>
        <w:rPr>
          <w:rFonts w:eastAsia="Calibri" w:cs="Arial"/>
          <w:szCs w:val="18"/>
          <w:lang w:val="en-US" w:eastAsia="en-US"/>
        </w:rPr>
      </w:pPr>
      <w:r w:rsidRPr="00C903F8">
        <w:rPr>
          <w:rFonts w:eastAsia="Calibri"/>
          <w:lang w:val="en-US" w:eastAsia="en-US"/>
        </w:rPr>
        <w:t xml:space="preserve">Type A0 </w:t>
      </w:r>
      <w:r w:rsidR="00124738" w:rsidRPr="00C903F8">
        <w:rPr>
          <w:rFonts w:eastAsia="Calibri"/>
          <w:lang w:val="en-US" w:eastAsia="en-US"/>
        </w:rPr>
        <w:tab/>
      </w:r>
      <w:r w:rsidRPr="00C903F8">
        <w:rPr>
          <w:rFonts w:eastAsia="Calibri"/>
          <w:lang w:val="en-US" w:eastAsia="en-US"/>
        </w:rPr>
        <w:t>0</w:t>
      </w:r>
      <w:r w:rsidR="00124738" w:rsidRPr="00C903F8">
        <w:rPr>
          <w:rFonts w:eastAsia="Calibri"/>
          <w:lang w:val="en-US" w:eastAsia="en-US"/>
        </w:rPr>
        <w:tab/>
      </w:r>
      <w:r w:rsidRPr="00C903F8">
        <w:rPr>
          <w:rFonts w:eastAsia="Calibri"/>
          <w:lang w:val="en-US" w:eastAsia="en-US"/>
        </w:rPr>
        <w:t>minutes;</w:t>
      </w:r>
    </w:p>
    <w:p w:rsidR="00973DAA" w:rsidRPr="00C903F8" w:rsidRDefault="00973DAA" w:rsidP="00124738">
      <w:pPr>
        <w:pStyle w:val="EStiret"/>
        <w:rPr>
          <w:rFonts w:eastAsia="Calibri" w:cs="Arial"/>
          <w:szCs w:val="18"/>
          <w:lang w:val="en-US" w:eastAsia="en-US"/>
        </w:rPr>
      </w:pPr>
      <w:r w:rsidRPr="00C903F8">
        <w:rPr>
          <w:rFonts w:eastAsia="Calibri"/>
          <w:lang w:val="en-US" w:eastAsia="en-US"/>
        </w:rPr>
        <w:t>dd)</w:t>
      </w:r>
      <w:r w:rsidRPr="00C903F8">
        <w:rPr>
          <w:rFonts w:eastAsia="Calibri"/>
          <w:lang w:val="en-US" w:eastAsia="en-US"/>
        </w:rPr>
        <w:tab/>
        <w:t>they are constructed in such a way as to prevent the transmission of smoke and flames until the end of the one-hour standard fire test;</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Type B partitions are bulkheads, walls, decks, ceilings or facings that meet the following requirements:</w:t>
      </w:r>
    </w:p>
    <w:p w:rsidR="00973DAA" w:rsidRPr="00C903F8" w:rsidRDefault="00973DAA" w:rsidP="00124738">
      <w:pPr>
        <w:pStyle w:val="EStiret"/>
        <w:rPr>
          <w:rFonts w:eastAsia="Calibri" w:cs="Arial"/>
          <w:szCs w:val="18"/>
          <w:lang w:val="en-US" w:eastAsia="en-US"/>
        </w:rPr>
      </w:pPr>
      <w:r w:rsidRPr="00C903F8">
        <w:rPr>
          <w:rFonts w:eastAsia="Calibri"/>
          <w:lang w:val="en-US" w:eastAsia="en-US"/>
        </w:rPr>
        <w:t>aa)</w:t>
      </w:r>
      <w:r w:rsidRPr="00C903F8">
        <w:rPr>
          <w:rFonts w:eastAsia="Calibri"/>
          <w:lang w:val="en-US" w:eastAsia="en-US"/>
        </w:rPr>
        <w:tab/>
        <w:t>they are made of an approved non-combustible material. Furthermore, all materials used in the manufacture and assembly of partitions shall be non-combustible, except for the facing, which shall be at least flame retardant;</w:t>
      </w:r>
    </w:p>
    <w:p w:rsidR="00973DAA" w:rsidRPr="00C903F8" w:rsidRDefault="00973DAA" w:rsidP="00124738">
      <w:pPr>
        <w:pStyle w:val="EStiret"/>
        <w:rPr>
          <w:rFonts w:eastAsia="Calibri" w:cs="Arial"/>
          <w:szCs w:val="18"/>
          <w:lang w:val="en-US" w:eastAsia="en-US"/>
        </w:rPr>
      </w:pPr>
      <w:r w:rsidRPr="00C903F8">
        <w:rPr>
          <w:rFonts w:eastAsia="Calibri"/>
          <w:lang w:val="en-US" w:eastAsia="en-US"/>
        </w:rPr>
        <w:t>bb)</w:t>
      </w:r>
      <w:r w:rsidRPr="00C903F8">
        <w:rPr>
          <w:rFonts w:eastAsia="Calibri"/>
          <w:lang w:val="en-US" w:eastAsia="en-US"/>
        </w:rPr>
        <w:tab/>
        <w:t>they demonstrate an insulation value such that the average temperature on the side facing away from the fire rises to not more than 140 °C above the initial temperature and at no point, including the gaps at the joints, does a temperature increase of more than 225 °C above the initial temperature occur within the following specified periods:</w:t>
      </w:r>
    </w:p>
    <w:p w:rsidR="00973DAA" w:rsidRPr="00C903F8" w:rsidRDefault="00973DAA" w:rsidP="00124738">
      <w:pPr>
        <w:pStyle w:val="EStiretpar"/>
        <w:tabs>
          <w:tab w:val="decimal" w:pos="2835"/>
          <w:tab w:val="left" w:pos="2977"/>
        </w:tabs>
        <w:rPr>
          <w:rFonts w:eastAsia="Calibri" w:cs="Arial"/>
          <w:szCs w:val="18"/>
          <w:lang w:val="en-US" w:eastAsia="en-US"/>
        </w:rPr>
      </w:pPr>
      <w:r w:rsidRPr="00C903F8">
        <w:rPr>
          <w:rFonts w:eastAsia="Calibri"/>
          <w:lang w:val="en-US" w:eastAsia="en-US"/>
        </w:rPr>
        <w:t xml:space="preserve">Type B15 </w:t>
      </w:r>
      <w:r w:rsidR="00124738" w:rsidRPr="00C903F8">
        <w:rPr>
          <w:rFonts w:eastAsia="Calibri"/>
          <w:lang w:val="en-US" w:eastAsia="en-US"/>
        </w:rPr>
        <w:tab/>
      </w:r>
      <w:r w:rsidRPr="00C903F8">
        <w:rPr>
          <w:rFonts w:eastAsia="Calibri"/>
          <w:lang w:val="en-US" w:eastAsia="en-US"/>
        </w:rPr>
        <w:t>15</w:t>
      </w:r>
      <w:r w:rsidR="00124738" w:rsidRPr="00C903F8">
        <w:rPr>
          <w:rFonts w:eastAsia="Calibri"/>
          <w:lang w:val="en-US" w:eastAsia="en-US"/>
        </w:rPr>
        <w:tab/>
      </w:r>
      <w:r w:rsidRPr="00C903F8">
        <w:rPr>
          <w:rFonts w:eastAsia="Calibri"/>
          <w:lang w:val="en-US" w:eastAsia="en-US"/>
        </w:rPr>
        <w:t>minutes</w:t>
      </w:r>
    </w:p>
    <w:p w:rsidR="00973DAA" w:rsidRPr="00C903F8" w:rsidRDefault="00973DAA" w:rsidP="00124738">
      <w:pPr>
        <w:pStyle w:val="EStiretpar"/>
        <w:tabs>
          <w:tab w:val="decimal" w:pos="2835"/>
          <w:tab w:val="left" w:pos="2977"/>
        </w:tabs>
        <w:rPr>
          <w:rFonts w:eastAsia="Calibri" w:cs="Arial"/>
          <w:szCs w:val="18"/>
          <w:lang w:val="en-US" w:eastAsia="en-US"/>
        </w:rPr>
      </w:pPr>
      <w:r w:rsidRPr="00C903F8">
        <w:rPr>
          <w:rFonts w:eastAsia="Calibri"/>
          <w:lang w:val="en-US" w:eastAsia="en-US"/>
        </w:rPr>
        <w:t xml:space="preserve">Type B0 </w:t>
      </w:r>
      <w:r w:rsidR="00124738" w:rsidRPr="00C903F8">
        <w:rPr>
          <w:rFonts w:eastAsia="Calibri"/>
          <w:lang w:val="en-US" w:eastAsia="en-US"/>
        </w:rPr>
        <w:tab/>
      </w:r>
      <w:r w:rsidRPr="00C903F8">
        <w:rPr>
          <w:rFonts w:eastAsia="Calibri"/>
          <w:lang w:val="en-US" w:eastAsia="en-US"/>
        </w:rPr>
        <w:t>0</w:t>
      </w:r>
      <w:r w:rsidR="00124738" w:rsidRPr="00C903F8">
        <w:rPr>
          <w:rFonts w:eastAsia="Calibri"/>
          <w:lang w:val="en-US" w:eastAsia="en-US"/>
        </w:rPr>
        <w:tab/>
      </w:r>
      <w:r w:rsidRPr="00C903F8">
        <w:rPr>
          <w:rFonts w:eastAsia="Calibri"/>
          <w:lang w:val="en-US" w:eastAsia="en-US"/>
        </w:rPr>
        <w:t>minutes;</w:t>
      </w:r>
    </w:p>
    <w:p w:rsidR="00973DAA" w:rsidRPr="00C903F8" w:rsidRDefault="00973DAA" w:rsidP="00124738">
      <w:pPr>
        <w:pStyle w:val="EStiret"/>
        <w:rPr>
          <w:rFonts w:eastAsia="Calibri" w:cs="Arial"/>
          <w:szCs w:val="18"/>
          <w:lang w:val="en-US" w:eastAsia="en-US"/>
        </w:rPr>
      </w:pPr>
      <w:r w:rsidRPr="00C903F8">
        <w:rPr>
          <w:rFonts w:eastAsia="Calibri"/>
          <w:lang w:val="en-US" w:eastAsia="en-US"/>
        </w:rPr>
        <w:t>cc)</w:t>
      </w:r>
      <w:r w:rsidRPr="00C903F8">
        <w:rPr>
          <w:rFonts w:eastAsia="Calibri"/>
          <w:lang w:val="en-US" w:eastAsia="en-US"/>
        </w:rPr>
        <w:tab/>
        <w:t>they are constructed in such a way as to prevent the transmission of flames until the end of the first half hour of the standard fire test.</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3.</w:t>
      </w:r>
      <w:r w:rsidRPr="00C903F8">
        <w:rPr>
          <w:rFonts w:eastAsia="Calibri"/>
          <w:noProof/>
          <w:lang w:val="en-US" w:eastAsia="en-US"/>
        </w:rPr>
        <w:tab/>
        <w:t>Paints, lacquers and other surface treatment products as well as deck coverings used in rooms except engine rooms and store rooms shall be flame-retardant. Carpets, fabrics, curtains and other hanging textile materials as well as upholstered furniture and components of bedding shall be flame-retardant if the rooms in which they are located are not equipped with a pressurised sprinkler system according to Article 13.04.</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4.</w:t>
      </w:r>
      <w:r w:rsidRPr="00C903F8">
        <w:rPr>
          <w:rFonts w:eastAsia="Calibri"/>
          <w:noProof/>
          <w:lang w:val="en-US" w:eastAsia="en-US"/>
        </w:rPr>
        <w:tab/>
        <w:t>Lounge ceilings and wall claddings, including their substructures, shall, where these lounges do not have a pressurised sprinkler system in accordance with Article 13.04, be manufactured from non-combustible materials with the exception of their surfaces, which shall be at least flame-retardant. The first sentence shall not apply to saunas.</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5.</w:t>
      </w:r>
      <w:r w:rsidRPr="00C903F8">
        <w:rPr>
          <w:rFonts w:eastAsia="Calibri"/>
          <w:noProof/>
          <w:lang w:val="en-US" w:eastAsia="en-US"/>
        </w:rPr>
        <w:tab/>
        <w:t>Furniture and fittings in lounges which serve as muster areas shall, where the rooms do not have a pressurised sprinkler system according to Article 13.04, be manufactured from non-combustible materials.</w:t>
      </w:r>
    </w:p>
    <w:p w:rsidR="00B72823" w:rsidRPr="00C903F8" w:rsidRDefault="00B72823" w:rsidP="00973DAA">
      <w:pPr>
        <w:pStyle w:val="ESch"/>
        <w:rPr>
          <w:rFonts w:eastAsia="Calibri"/>
          <w:noProof/>
          <w:lang w:val="en-US" w:eastAsia="en-US"/>
        </w:rPr>
      </w:pPr>
    </w:p>
    <w:p w:rsidR="00124738" w:rsidRPr="00C903F8" w:rsidRDefault="00124738" w:rsidP="00973DAA">
      <w:pPr>
        <w:pStyle w:val="ESch"/>
        <w:rPr>
          <w:rFonts w:eastAsia="Calibri"/>
          <w:noProof/>
          <w:lang w:val="en-US" w:eastAsia="en-US"/>
        </w:rPr>
      </w:pPr>
      <w:r w:rsidRPr="00C903F8">
        <w:rPr>
          <w:rFonts w:eastAsia="Calibri"/>
          <w:noProof/>
          <w:lang w:val="en-US" w:eastAsia="en-US"/>
        </w:rPr>
        <w:br w:type="page"/>
      </w:r>
    </w:p>
    <w:p w:rsidR="00973DAA" w:rsidRPr="00C903F8" w:rsidRDefault="00973DAA" w:rsidP="00973DAA">
      <w:pPr>
        <w:pStyle w:val="ESch"/>
        <w:rPr>
          <w:rFonts w:eastAsia="Calibri"/>
          <w:noProof/>
          <w:lang w:val="en-US" w:eastAsia="en-US"/>
        </w:rPr>
      </w:pPr>
      <w:r w:rsidRPr="00C903F8">
        <w:rPr>
          <w:rFonts w:eastAsia="Calibri"/>
          <w:noProof/>
          <w:lang w:val="en-US" w:eastAsia="en-US"/>
        </w:rPr>
        <w:lastRenderedPageBreak/>
        <w:t>6.</w:t>
      </w:r>
      <w:r w:rsidRPr="00C903F8">
        <w:rPr>
          <w:rFonts w:eastAsia="Calibri"/>
          <w:noProof/>
          <w:lang w:val="en-US" w:eastAsia="en-US"/>
        </w:rPr>
        <w:tab/>
        <w:t xml:space="preserve">Paints, lacquers and other materials used on exposed internal </w:t>
      </w:r>
      <w:r w:rsidR="00CD247D" w:rsidRPr="00C903F8">
        <w:rPr>
          <w:rFonts w:eastAsia="Calibri"/>
          <w:noProof/>
          <w:lang w:val="en-US" w:eastAsia="en-US"/>
        </w:rPr>
        <w:t>surfaces</w:t>
      </w:r>
      <w:r w:rsidRPr="00C903F8">
        <w:rPr>
          <w:rFonts w:eastAsia="Calibri"/>
          <w:noProof/>
          <w:lang w:val="en-US" w:eastAsia="en-US"/>
        </w:rPr>
        <w:t xml:space="preserve"> shall not produce excessive amounts of smoke or toxic substances. This shall be proven in accordance with the Code for Fire Test Procedures.</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7.</w:t>
      </w:r>
      <w:r w:rsidRPr="00C903F8">
        <w:rPr>
          <w:rFonts w:eastAsia="Calibri"/>
          <w:noProof/>
          <w:lang w:val="en-US" w:eastAsia="en-US"/>
        </w:rPr>
        <w:tab/>
        <w:t>Insulation materials in lounges shall be non-combustible. This does not apply to insulations used on coolant-carrying pipes. The surfaces of the insulation materials used on these pipes shall be at least flame-retardant.</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8.</w:t>
      </w:r>
      <w:r w:rsidRPr="00C903F8">
        <w:rPr>
          <w:rFonts w:eastAsia="Calibri"/>
          <w:noProof/>
          <w:lang w:val="en-US" w:eastAsia="en-US"/>
        </w:rPr>
        <w:tab/>
        <w:t>Awnings and similar mobile installations with which deck areas are fully or partially enclosed and their substructures shall be at least flame-retardant.</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9.</w:t>
      </w:r>
      <w:r w:rsidRPr="00C903F8">
        <w:rPr>
          <w:rFonts w:eastAsia="Calibri"/>
          <w:noProof/>
          <w:lang w:val="en-US" w:eastAsia="en-US"/>
        </w:rPr>
        <w:tab/>
        <w:t xml:space="preserve">Doors in partitions according to </w:t>
      </w:r>
      <w:r w:rsidR="00FD1E75" w:rsidRPr="00C903F8">
        <w:rPr>
          <w:rFonts w:eastAsia="Calibri"/>
          <w:noProof/>
          <w:lang w:val="en-US" w:eastAsia="en-US"/>
        </w:rPr>
        <w:t>(</w:t>
      </w:r>
      <w:r w:rsidRPr="00C903F8">
        <w:rPr>
          <w:rFonts w:eastAsia="Calibri"/>
          <w:noProof/>
          <w:lang w:val="en-US" w:eastAsia="en-US"/>
        </w:rPr>
        <w:t>2</w:t>
      </w:r>
      <w:r w:rsidR="00FD1E75" w:rsidRPr="00C903F8">
        <w:rPr>
          <w:rFonts w:eastAsia="Calibri"/>
          <w:noProof/>
          <w:lang w:val="en-US" w:eastAsia="en-US"/>
        </w:rPr>
        <w:t>)</w:t>
      </w:r>
      <w:r w:rsidRPr="00C903F8">
        <w:rPr>
          <w:rFonts w:eastAsia="Calibri"/>
          <w:noProof/>
          <w:lang w:val="en-US" w:eastAsia="en-US"/>
        </w:rPr>
        <w:t xml:space="preserve"> shall satisfy the following requirements:</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r>
      <w:r w:rsidR="00660718">
        <w:rPr>
          <w:rFonts w:eastAsia="Calibri"/>
          <w:noProof/>
          <w:lang w:val="en-US" w:eastAsia="en-US"/>
        </w:rPr>
        <w:t>T</w:t>
      </w:r>
      <w:r w:rsidR="00973DAA" w:rsidRPr="00C903F8">
        <w:rPr>
          <w:rFonts w:eastAsia="Calibri"/>
          <w:noProof/>
          <w:lang w:val="en-US" w:eastAsia="en-US"/>
        </w:rPr>
        <w:t xml:space="preserve">hey shall satisfy the same requirements set out in </w:t>
      </w:r>
      <w:r w:rsidR="00FD1E75" w:rsidRPr="00C903F8">
        <w:rPr>
          <w:rFonts w:eastAsia="Calibri"/>
          <w:noProof/>
          <w:lang w:val="en-US" w:eastAsia="en-US"/>
        </w:rPr>
        <w:t>(</w:t>
      </w:r>
      <w:r w:rsidR="00973DAA" w:rsidRPr="00C903F8">
        <w:rPr>
          <w:rFonts w:eastAsia="Calibri"/>
          <w:noProof/>
          <w:lang w:val="en-US" w:eastAsia="en-US"/>
        </w:rPr>
        <w:t>2</w:t>
      </w:r>
      <w:r w:rsidR="00FD1E75" w:rsidRPr="00C903F8">
        <w:rPr>
          <w:rFonts w:eastAsia="Calibri"/>
          <w:noProof/>
          <w:lang w:val="en-US" w:eastAsia="en-US"/>
        </w:rPr>
        <w:t>)</w:t>
      </w:r>
      <w:r w:rsidR="00660718">
        <w:rPr>
          <w:rFonts w:eastAsia="Calibri"/>
          <w:noProof/>
          <w:lang w:val="en-US" w:eastAsia="en-US"/>
        </w:rPr>
        <w:t xml:space="preserve"> as the partitions themselves.</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r>
      <w:r w:rsidR="00660718">
        <w:rPr>
          <w:rFonts w:eastAsia="Calibri"/>
          <w:noProof/>
          <w:lang w:val="en-US" w:eastAsia="en-US"/>
        </w:rPr>
        <w:t>T</w:t>
      </w:r>
      <w:r w:rsidR="00973DAA" w:rsidRPr="00C903F8">
        <w:rPr>
          <w:rFonts w:eastAsia="Calibri"/>
          <w:noProof/>
          <w:lang w:val="en-US" w:eastAsia="en-US"/>
        </w:rPr>
        <w:t xml:space="preserve">hey shall be self-closing in the case of doors in partition walls according to </w:t>
      </w:r>
      <w:r w:rsidR="00FD1E75" w:rsidRPr="00C903F8">
        <w:rPr>
          <w:rFonts w:eastAsia="Calibri"/>
          <w:noProof/>
          <w:lang w:val="en-US" w:eastAsia="en-US"/>
        </w:rPr>
        <w:t>(</w:t>
      </w:r>
      <w:r w:rsidR="00973DAA" w:rsidRPr="00C903F8">
        <w:rPr>
          <w:rFonts w:eastAsia="Calibri"/>
          <w:noProof/>
          <w:lang w:val="en-US" w:eastAsia="en-US"/>
        </w:rPr>
        <w:t>10</w:t>
      </w:r>
      <w:r w:rsidR="00FD1E75" w:rsidRPr="00C903F8">
        <w:rPr>
          <w:rFonts w:eastAsia="Calibri"/>
          <w:noProof/>
          <w:lang w:val="en-US" w:eastAsia="en-US"/>
        </w:rPr>
        <w:t>)</w:t>
      </w:r>
      <w:r w:rsidR="00973DAA" w:rsidRPr="00C903F8">
        <w:rPr>
          <w:rFonts w:eastAsia="Calibri"/>
          <w:noProof/>
          <w:lang w:val="en-US" w:eastAsia="en-US"/>
        </w:rPr>
        <w:t xml:space="preserve"> or in the case of enclosures around engin</w:t>
      </w:r>
      <w:r w:rsidR="00660718">
        <w:rPr>
          <w:rFonts w:eastAsia="Calibri"/>
          <w:noProof/>
          <w:lang w:val="en-US" w:eastAsia="en-US"/>
        </w:rPr>
        <w:t>e rooms, galleys and stairwells.</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r>
      <w:r w:rsidR="00660718">
        <w:rPr>
          <w:rFonts w:eastAsia="Calibri"/>
          <w:noProof/>
          <w:lang w:val="en-US" w:eastAsia="en-US"/>
        </w:rPr>
        <w:t>S</w:t>
      </w:r>
      <w:r w:rsidR="00973DAA" w:rsidRPr="00C903F8">
        <w:rPr>
          <w:rFonts w:eastAsia="Calibri"/>
          <w:noProof/>
          <w:lang w:val="en-US" w:eastAsia="en-US"/>
        </w:rPr>
        <w:t xml:space="preserve">elf-closing doors which remain open in normal operation shall be such that they can be closed from a location permanently occupied by shipboard personnel or crew members; Once a door has been remotely closed, it shall be possible to reopen and close it safely </w:t>
      </w:r>
      <w:r w:rsidR="00660718">
        <w:rPr>
          <w:rFonts w:eastAsia="Calibri"/>
          <w:noProof/>
          <w:lang w:val="en-US" w:eastAsia="en-US"/>
        </w:rPr>
        <w:t>on the spot.</w:t>
      </w:r>
    </w:p>
    <w:p w:rsidR="00973DAA" w:rsidRPr="00C903F8" w:rsidRDefault="0029453D" w:rsidP="00B72823">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r>
      <w:r w:rsidR="00660718">
        <w:rPr>
          <w:rFonts w:eastAsia="Calibri"/>
          <w:noProof/>
          <w:lang w:val="en-US" w:eastAsia="en-US"/>
        </w:rPr>
        <w:t>W</w:t>
      </w:r>
      <w:r w:rsidR="00973DAA" w:rsidRPr="00C903F8">
        <w:rPr>
          <w:rFonts w:eastAsia="Calibri"/>
          <w:noProof/>
          <w:lang w:val="en-US" w:eastAsia="en-US"/>
        </w:rPr>
        <w:t>atertight doors according to Article 19.02 need not be insulated.</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 xml:space="preserve">10. </w:t>
      </w:r>
      <w:r w:rsidRPr="00C903F8">
        <w:rPr>
          <w:rFonts w:eastAsia="Calibri"/>
          <w:noProof/>
          <w:lang w:val="en-US" w:eastAsia="en-US"/>
        </w:rPr>
        <w:tab/>
        <w:t xml:space="preserve">Walls according to </w:t>
      </w:r>
      <w:r w:rsidR="00FD1E75" w:rsidRPr="00C903F8">
        <w:rPr>
          <w:rFonts w:eastAsia="Calibri"/>
          <w:noProof/>
          <w:lang w:val="en-US" w:eastAsia="en-US"/>
        </w:rPr>
        <w:t>(</w:t>
      </w:r>
      <w:r w:rsidRPr="00C903F8">
        <w:rPr>
          <w:rFonts w:eastAsia="Calibri"/>
          <w:noProof/>
          <w:lang w:val="en-US" w:eastAsia="en-US"/>
        </w:rPr>
        <w:t>2</w:t>
      </w:r>
      <w:r w:rsidR="00FD1E75" w:rsidRPr="00C903F8">
        <w:rPr>
          <w:rFonts w:eastAsia="Calibri"/>
          <w:noProof/>
          <w:lang w:val="en-US" w:eastAsia="en-US"/>
        </w:rPr>
        <w:t>)</w:t>
      </w:r>
      <w:r w:rsidRPr="00C903F8">
        <w:rPr>
          <w:rFonts w:eastAsia="Calibri"/>
          <w:noProof/>
          <w:lang w:val="en-US" w:eastAsia="en-US"/>
        </w:rPr>
        <w:t xml:space="preserve"> shall be continuous from deck to deck or end at continuous ceilings, which satisfy the same requirements as referred to in </w:t>
      </w:r>
      <w:r w:rsidR="00FD1E75" w:rsidRPr="00C903F8">
        <w:rPr>
          <w:rFonts w:eastAsia="Calibri"/>
          <w:noProof/>
          <w:lang w:val="en-US" w:eastAsia="en-US"/>
        </w:rPr>
        <w:t>(</w:t>
      </w:r>
      <w:r w:rsidRPr="00C903F8">
        <w:rPr>
          <w:rFonts w:eastAsia="Calibri"/>
          <w:noProof/>
          <w:lang w:val="en-US" w:eastAsia="en-US"/>
        </w:rPr>
        <w:t>2</w:t>
      </w:r>
      <w:r w:rsidR="00FD1E75" w:rsidRPr="00C903F8">
        <w:rPr>
          <w:rFonts w:eastAsia="Calibri"/>
          <w:noProof/>
          <w:lang w:val="en-US" w:eastAsia="en-US"/>
        </w:rPr>
        <w:t>)</w:t>
      </w:r>
      <w:r w:rsidRPr="00C903F8">
        <w:rPr>
          <w:rFonts w:eastAsia="Calibri"/>
          <w:noProof/>
          <w:lang w:val="en-US" w:eastAsia="en-US"/>
        </w:rPr>
        <w:t>.</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11.</w:t>
      </w:r>
      <w:r w:rsidRPr="00C903F8">
        <w:rPr>
          <w:rFonts w:eastAsia="Calibri"/>
          <w:noProof/>
          <w:lang w:val="en-US" w:eastAsia="en-US"/>
        </w:rPr>
        <w:tab/>
        <w:t>The following passenger areas shall be divided by vertical partitions as referred to in</w:t>
      </w:r>
      <w:r w:rsidR="00FD1E75" w:rsidRPr="00C903F8">
        <w:rPr>
          <w:rFonts w:eastAsia="Calibri"/>
          <w:noProof/>
          <w:lang w:val="en-US" w:eastAsia="en-US"/>
        </w:rPr>
        <w:t>(</w:t>
      </w:r>
      <w:r w:rsidRPr="00C903F8">
        <w:rPr>
          <w:rFonts w:eastAsia="Calibri"/>
          <w:noProof/>
          <w:lang w:val="en-US" w:eastAsia="en-US"/>
        </w:rPr>
        <w:t>2</w:t>
      </w:r>
      <w:r w:rsidR="00FD1E75" w:rsidRPr="00C903F8">
        <w:rPr>
          <w:rFonts w:eastAsia="Calibri"/>
          <w:noProof/>
          <w:lang w:val="en-US" w:eastAsia="en-US"/>
        </w:rPr>
        <w:t>)</w:t>
      </w:r>
      <w:r w:rsidRPr="00C903F8">
        <w:rPr>
          <w:rFonts w:eastAsia="Calibri"/>
          <w:noProof/>
          <w:lang w:val="en-US" w:eastAsia="en-US"/>
        </w:rPr>
        <w:t>:</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passenger areas with a total surface area of more than 800 m</w:t>
      </w:r>
      <w:r w:rsidR="00973DAA" w:rsidRPr="00C903F8">
        <w:rPr>
          <w:rFonts w:eastAsia="Calibri"/>
          <w:noProof/>
          <w:vertAlign w:val="superscript"/>
          <w:lang w:val="en-US" w:eastAsia="en-US"/>
        </w:rPr>
        <w:t>2</w:t>
      </w:r>
      <w:r w:rsidR="00973DAA" w:rsidRPr="00C903F8">
        <w:rPr>
          <w:rFonts w:eastAsia="Calibri"/>
          <w:noProof/>
          <w:lang w:val="en-US" w:eastAsia="en-US"/>
        </w:rPr>
        <w:t>;</w:t>
      </w:r>
    </w:p>
    <w:p w:rsidR="00973DAA" w:rsidRPr="00C903F8" w:rsidRDefault="005C7859" w:rsidP="00B72823">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passenger areas in which there are cabins, at intervals of not more than 40 m.</w:t>
      </w:r>
    </w:p>
    <w:p w:rsidR="00B72823" w:rsidRPr="00C903F8" w:rsidRDefault="00B72823" w:rsidP="00973DAA">
      <w:pPr>
        <w:pStyle w:val="ESch"/>
        <w:rPr>
          <w:rFonts w:eastAsia="Calibri"/>
          <w:noProof/>
          <w:lang w:val="en-US" w:eastAsia="en-US"/>
        </w:rPr>
      </w:pPr>
    </w:p>
    <w:p w:rsidR="00973DAA" w:rsidRPr="00C903F8" w:rsidRDefault="00973DAA" w:rsidP="00B72823">
      <w:pPr>
        <w:pStyle w:val="ESchpar"/>
        <w:rPr>
          <w:rFonts w:eastAsia="Calibri" w:cs="Arial"/>
          <w:szCs w:val="18"/>
          <w:lang w:val="en-US" w:eastAsia="en-US"/>
        </w:rPr>
      </w:pPr>
      <w:r w:rsidRPr="00C903F8">
        <w:rPr>
          <w:rFonts w:eastAsia="Calibri"/>
          <w:noProof/>
          <w:lang w:val="en-US" w:eastAsia="en-US"/>
        </w:rPr>
        <w:t>The vertical partitions shall be smoke-tight under normal operating conditions and shall be continuous from deck to deck.</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12.</w:t>
      </w:r>
      <w:r w:rsidRPr="00C903F8">
        <w:rPr>
          <w:rFonts w:eastAsia="Calibri"/>
          <w:noProof/>
          <w:lang w:val="en-US" w:eastAsia="en-US"/>
        </w:rPr>
        <w:tab/>
        <w:t>Hollows above ceilings, beneath floors and behind wall claddings shall be separated at intervals of not more than 14 m by non-combustible draught stops which, even in the event of fire, provide an effective fireproof seal.</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13.</w:t>
      </w:r>
      <w:r w:rsidRPr="00C903F8">
        <w:rPr>
          <w:rFonts w:eastAsia="Calibri"/>
          <w:noProof/>
          <w:lang w:val="en-US" w:eastAsia="en-US"/>
        </w:rPr>
        <w:tab/>
        <w:t>Stairs shall be made of steel or another equivalent non-combustible material.</w:t>
      </w:r>
    </w:p>
    <w:p w:rsidR="00B72823" w:rsidRPr="00C903F8" w:rsidRDefault="00B72823"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14.</w:t>
      </w:r>
      <w:r w:rsidRPr="00C903F8">
        <w:rPr>
          <w:rFonts w:eastAsia="Calibri"/>
          <w:noProof/>
          <w:lang w:val="en-US" w:eastAsia="en-US"/>
        </w:rPr>
        <w:tab/>
        <w:t xml:space="preserve">Internal stairs and lifts shall be encapsulated at all levels by walls according to </w:t>
      </w:r>
      <w:r w:rsidR="00FD1E75" w:rsidRPr="00C903F8">
        <w:rPr>
          <w:rFonts w:eastAsia="Calibri"/>
          <w:noProof/>
          <w:lang w:val="en-US" w:eastAsia="en-US"/>
        </w:rPr>
        <w:t>(</w:t>
      </w:r>
      <w:r w:rsidRPr="00C903F8">
        <w:rPr>
          <w:rFonts w:eastAsia="Calibri"/>
          <w:noProof/>
          <w:lang w:val="en-US" w:eastAsia="en-US"/>
        </w:rPr>
        <w:t>2</w:t>
      </w:r>
      <w:r w:rsidR="00FD1E75" w:rsidRPr="00C903F8">
        <w:rPr>
          <w:rFonts w:eastAsia="Calibri"/>
          <w:noProof/>
          <w:lang w:val="en-US" w:eastAsia="en-US"/>
        </w:rPr>
        <w:t>)</w:t>
      </w:r>
      <w:r w:rsidRPr="00C903F8">
        <w:rPr>
          <w:rFonts w:eastAsia="Calibri"/>
          <w:noProof/>
          <w:lang w:val="en-US" w:eastAsia="en-US"/>
        </w:rPr>
        <w:t>. The following exceptions are permissible:</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 xml:space="preserve">a staircase connecting only two decks does not need to be encapsulated, if on one of the decks the staircase is enclosed according to </w:t>
      </w:r>
      <w:r w:rsidR="00FD1E75" w:rsidRPr="00C903F8">
        <w:rPr>
          <w:rFonts w:eastAsia="Calibri"/>
          <w:noProof/>
          <w:lang w:val="en-US" w:eastAsia="en-US"/>
        </w:rPr>
        <w:t>(</w:t>
      </w:r>
      <w:r w:rsidR="00973DAA" w:rsidRPr="00C903F8">
        <w:rPr>
          <w:rFonts w:eastAsia="Calibri"/>
          <w:noProof/>
          <w:lang w:val="en-US" w:eastAsia="en-US"/>
        </w:rPr>
        <w:t>2</w:t>
      </w:r>
      <w:r w:rsidR="00FD1E75" w:rsidRPr="00C903F8">
        <w:rPr>
          <w:rFonts w:eastAsia="Calibri"/>
          <w:noProof/>
          <w:lang w:val="en-US" w:eastAsia="en-US"/>
        </w:rPr>
        <w:t>)</w:t>
      </w:r>
      <w:r w:rsidR="00973DAA" w:rsidRPr="00C903F8">
        <w:rPr>
          <w:rFonts w:eastAsia="Calibri"/>
          <w:noProof/>
          <w:lang w:val="en-US" w:eastAsia="en-US"/>
        </w:rPr>
        <w:t>;</w:t>
      </w:r>
    </w:p>
    <w:p w:rsidR="00676205" w:rsidRPr="00C903F8" w:rsidRDefault="00676205" w:rsidP="00676205">
      <w:pPr>
        <w:pStyle w:val="ESlet"/>
        <w:rPr>
          <w:rFonts w:eastAsia="Calibri"/>
          <w:noProof/>
          <w:lang w:val="en-US" w:eastAsia="en-US"/>
        </w:rPr>
      </w:pPr>
    </w:p>
    <w:p w:rsidR="00676205" w:rsidRPr="00C903F8" w:rsidRDefault="00676205" w:rsidP="00676205">
      <w:pPr>
        <w:pStyle w:val="ESlet"/>
        <w:rPr>
          <w:rFonts w:eastAsia="Calibri"/>
          <w:noProof/>
          <w:lang w:val="en-US" w:eastAsia="en-US"/>
        </w:rPr>
      </w:pPr>
      <w:r w:rsidRPr="00C903F8">
        <w:rPr>
          <w:rFonts w:eastAsia="Calibri"/>
          <w:noProof/>
          <w:lang w:val="en-US" w:eastAsia="en-US"/>
        </w:rPr>
        <w:br w:type="page"/>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lastRenderedPageBreak/>
        <w:t>b)</w:t>
      </w:r>
      <w:r w:rsidR="00973DAA" w:rsidRPr="00C903F8">
        <w:rPr>
          <w:rFonts w:eastAsia="Calibri"/>
          <w:noProof/>
          <w:lang w:val="en-US" w:eastAsia="en-US"/>
        </w:rPr>
        <w:tab/>
        <w:t>in a lounge, stairs need not be encapsulated if they are located entirely within the interior of this room, and</w:t>
      </w:r>
    </w:p>
    <w:p w:rsidR="00973DAA" w:rsidRPr="00C903F8" w:rsidRDefault="0029453D" w:rsidP="00676205">
      <w:pPr>
        <w:pStyle w:val="EStiret"/>
        <w:rPr>
          <w:rFonts w:eastAsia="Calibri" w:cs="Arial"/>
          <w:szCs w:val="18"/>
          <w:lang w:val="en-US" w:eastAsia="en-US"/>
        </w:rPr>
      </w:pPr>
      <w:r w:rsidRPr="00C903F8">
        <w:rPr>
          <w:rFonts w:eastAsia="Calibri"/>
          <w:lang w:val="en-US" w:eastAsia="en-US"/>
        </w:rPr>
        <w:t>aa)</w:t>
      </w:r>
      <w:r w:rsidR="00973DAA" w:rsidRPr="00C903F8">
        <w:rPr>
          <w:rFonts w:eastAsia="Calibri"/>
          <w:lang w:val="en-US" w:eastAsia="en-US"/>
        </w:rPr>
        <w:tab/>
        <w:t>if this room extends over only two decks, or</w:t>
      </w:r>
    </w:p>
    <w:p w:rsidR="00973DAA" w:rsidRPr="00C903F8" w:rsidRDefault="0029453D" w:rsidP="00676205">
      <w:pPr>
        <w:pStyle w:val="EStiret"/>
        <w:rPr>
          <w:rFonts w:eastAsia="Calibri" w:cs="Arial"/>
          <w:szCs w:val="18"/>
          <w:lang w:val="en-US" w:eastAsia="en-US"/>
        </w:rPr>
      </w:pPr>
      <w:r w:rsidRPr="00C903F8">
        <w:rPr>
          <w:rFonts w:eastAsia="Calibri"/>
          <w:lang w:val="en-US" w:eastAsia="en-US"/>
        </w:rPr>
        <w:t>bb)</w:t>
      </w:r>
      <w:r w:rsidR="00973DAA" w:rsidRPr="00C903F8">
        <w:rPr>
          <w:rFonts w:eastAsia="Calibri"/>
          <w:lang w:val="en-US" w:eastAsia="en-US"/>
        </w:rPr>
        <w:tab/>
        <w:t xml:space="preserve">if there is a pressurised sprinkler system according to Article 13.04 installed in this room on all decks, this room has a smoke extraction system according to </w:t>
      </w:r>
      <w:r w:rsidR="00FD1E75" w:rsidRPr="00C903F8">
        <w:rPr>
          <w:rFonts w:eastAsia="Calibri"/>
          <w:lang w:val="en-US" w:eastAsia="en-US"/>
        </w:rPr>
        <w:t>(</w:t>
      </w:r>
      <w:r w:rsidR="00973DAA" w:rsidRPr="00C903F8">
        <w:rPr>
          <w:rFonts w:eastAsia="Calibri"/>
          <w:lang w:val="en-US" w:eastAsia="en-US"/>
        </w:rPr>
        <w:t>16</w:t>
      </w:r>
      <w:r w:rsidR="00FD1E75" w:rsidRPr="00C903F8">
        <w:rPr>
          <w:rFonts w:eastAsia="Calibri"/>
          <w:lang w:val="en-US" w:eastAsia="en-US"/>
        </w:rPr>
        <w:t>)</w:t>
      </w:r>
      <w:r w:rsidR="00973DAA" w:rsidRPr="00C903F8">
        <w:rPr>
          <w:rFonts w:eastAsia="Calibri"/>
          <w:lang w:val="en-US" w:eastAsia="en-US"/>
        </w:rPr>
        <w:t xml:space="preserve"> and the room has access on all decks to a stairwell.</w:t>
      </w:r>
    </w:p>
    <w:p w:rsidR="00676205" w:rsidRPr="00C903F8" w:rsidRDefault="00676205"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15.</w:t>
      </w:r>
      <w:r w:rsidRPr="00C903F8">
        <w:rPr>
          <w:rFonts w:eastAsia="Calibri"/>
          <w:noProof/>
          <w:lang w:val="en-US" w:eastAsia="en-US"/>
        </w:rPr>
        <w:tab/>
        <w:t>Ventilation systems and air supply systems shall satisfy the following requirements:</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they shall be designed in such a way as to ensure that they themselves do not cause the spread of fire and smoke;</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openings for air intake and extraction and air supply systems shall be such that they can be closed off;</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ventilation ducts shall be made from steel or an equivalent non-combustible material and be securely connected to each other and to the superstructure of the vessel;</w:t>
      </w:r>
    </w:p>
    <w:p w:rsidR="00973DAA" w:rsidRPr="00C903F8" w:rsidRDefault="0029453D" w:rsidP="00676205">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t>when ventilation ducts with a cross-section of more than 0,02 m</w:t>
      </w:r>
      <w:r w:rsidR="00973DAA" w:rsidRPr="00C903F8">
        <w:rPr>
          <w:rFonts w:eastAsia="Calibri"/>
          <w:noProof/>
          <w:vertAlign w:val="superscript"/>
          <w:lang w:val="en-US" w:eastAsia="en-US"/>
        </w:rPr>
        <w:t>2</w:t>
      </w:r>
      <w:r w:rsidR="00973DAA" w:rsidRPr="00C903F8">
        <w:rPr>
          <w:rFonts w:eastAsia="Calibri"/>
          <w:noProof/>
          <w:lang w:val="en-US" w:eastAsia="en-US"/>
        </w:rPr>
        <w:t xml:space="preserve"> are passed through partitions according to </w:t>
      </w:r>
      <w:r w:rsidR="00FD1E75" w:rsidRPr="00C903F8">
        <w:rPr>
          <w:rFonts w:eastAsia="Calibri"/>
          <w:noProof/>
          <w:lang w:val="en-US" w:eastAsia="en-US"/>
        </w:rPr>
        <w:t>(</w:t>
      </w:r>
      <w:r w:rsidR="00973DAA" w:rsidRPr="00C903F8">
        <w:rPr>
          <w:rFonts w:eastAsia="Calibri"/>
          <w:noProof/>
          <w:lang w:val="en-US" w:eastAsia="en-US"/>
        </w:rPr>
        <w:t>2</w:t>
      </w:r>
      <w:r w:rsidR="00FD1E75" w:rsidRPr="00C903F8">
        <w:rPr>
          <w:rFonts w:eastAsia="Calibri"/>
          <w:noProof/>
          <w:lang w:val="en-US" w:eastAsia="en-US"/>
        </w:rPr>
        <w:t>)</w:t>
      </w:r>
      <w:r w:rsidR="00973DAA" w:rsidRPr="00C903F8">
        <w:rPr>
          <w:rFonts w:eastAsia="Calibri"/>
          <w:noProof/>
          <w:lang w:val="en-US" w:eastAsia="en-US"/>
        </w:rPr>
        <w:t xml:space="preserve"> of Type A or partitions according to </w:t>
      </w:r>
      <w:r w:rsidR="00FD1E75" w:rsidRPr="00C903F8">
        <w:rPr>
          <w:rFonts w:eastAsia="Calibri"/>
          <w:noProof/>
          <w:lang w:val="en-US" w:eastAsia="en-US"/>
        </w:rPr>
        <w:t>(</w:t>
      </w:r>
      <w:r w:rsidR="00973DAA" w:rsidRPr="00C903F8">
        <w:rPr>
          <w:rFonts w:eastAsia="Calibri"/>
          <w:noProof/>
          <w:lang w:val="en-US" w:eastAsia="en-US"/>
        </w:rPr>
        <w:t>10</w:t>
      </w:r>
      <w:r w:rsidR="00FD1E75" w:rsidRPr="00C903F8">
        <w:rPr>
          <w:rFonts w:eastAsia="Calibri"/>
          <w:noProof/>
          <w:lang w:val="en-US" w:eastAsia="en-US"/>
        </w:rPr>
        <w:t>)</w:t>
      </w:r>
      <w:r w:rsidR="00973DAA" w:rsidRPr="00C903F8">
        <w:rPr>
          <w:rFonts w:eastAsia="Calibri"/>
          <w:noProof/>
          <w:lang w:val="en-US" w:eastAsia="en-US"/>
        </w:rPr>
        <w:t>, they shall be fitted with automatic fire dampers which can be operated from a location permanently manned by shipboard personnel or crew members;</w:t>
      </w:r>
    </w:p>
    <w:p w:rsidR="00973DAA" w:rsidRPr="00C903F8" w:rsidRDefault="0029453D" w:rsidP="00676205">
      <w:pPr>
        <w:pStyle w:val="ESlet"/>
        <w:rPr>
          <w:rFonts w:eastAsia="Calibri" w:cs="Arial"/>
          <w:szCs w:val="18"/>
          <w:lang w:val="en-US" w:eastAsia="en-US"/>
        </w:rPr>
      </w:pPr>
      <w:r w:rsidRPr="00C903F8">
        <w:rPr>
          <w:rFonts w:eastAsia="Calibri"/>
          <w:noProof/>
          <w:lang w:val="en-US" w:eastAsia="en-US"/>
        </w:rPr>
        <w:t>e)</w:t>
      </w:r>
      <w:r w:rsidR="00973DAA" w:rsidRPr="00C903F8">
        <w:rPr>
          <w:rFonts w:eastAsia="Calibri"/>
          <w:noProof/>
          <w:lang w:val="en-US" w:eastAsia="en-US"/>
        </w:rPr>
        <w:tab/>
        <w:t>ventilation systems for galleys and engine rooms shall be separated from ventilation systems which supply other areas;</w:t>
      </w:r>
    </w:p>
    <w:p w:rsidR="00973DAA" w:rsidRPr="00C903F8" w:rsidRDefault="0029453D" w:rsidP="00676205">
      <w:pPr>
        <w:pStyle w:val="ESlet"/>
        <w:rPr>
          <w:rFonts w:eastAsia="Calibri" w:cs="Arial"/>
          <w:szCs w:val="18"/>
          <w:lang w:val="en-US" w:eastAsia="en-US"/>
        </w:rPr>
      </w:pPr>
      <w:r w:rsidRPr="00C903F8">
        <w:rPr>
          <w:rFonts w:eastAsia="Calibri"/>
          <w:noProof/>
          <w:lang w:val="en-US" w:eastAsia="en-US"/>
        </w:rPr>
        <w:t>f)</w:t>
      </w:r>
      <w:r w:rsidR="00973DAA" w:rsidRPr="00C903F8">
        <w:rPr>
          <w:rFonts w:eastAsia="Calibri"/>
          <w:noProof/>
          <w:lang w:val="en-US" w:eastAsia="en-US"/>
        </w:rPr>
        <w:tab/>
        <w:t>air extraction ducts shall be provided with lockable openings for inspection and cleaning. These openings shall be located close to the fire dampers;</w:t>
      </w:r>
    </w:p>
    <w:p w:rsidR="00973DAA" w:rsidRPr="00C903F8" w:rsidRDefault="0029453D" w:rsidP="00676205">
      <w:pPr>
        <w:pStyle w:val="ESlet"/>
        <w:rPr>
          <w:rFonts w:eastAsia="Calibri" w:cs="Arial"/>
          <w:szCs w:val="18"/>
          <w:lang w:val="en-US" w:eastAsia="en-US"/>
        </w:rPr>
      </w:pPr>
      <w:r w:rsidRPr="00C903F8">
        <w:rPr>
          <w:rFonts w:eastAsia="Calibri"/>
          <w:noProof/>
          <w:lang w:val="en-US" w:eastAsia="en-US"/>
        </w:rPr>
        <w:t>g)</w:t>
      </w:r>
      <w:r w:rsidR="00973DAA" w:rsidRPr="00C903F8">
        <w:rPr>
          <w:rFonts w:eastAsia="Calibri"/>
          <w:noProof/>
          <w:lang w:val="en-US" w:eastAsia="en-US"/>
        </w:rPr>
        <w:tab/>
        <w:t>built-in ventilators shall be such that they can be switched off from a central location outside the engine room.</w:t>
      </w:r>
    </w:p>
    <w:p w:rsidR="00676205" w:rsidRPr="00C903F8" w:rsidRDefault="00676205"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16.</w:t>
      </w:r>
      <w:r w:rsidRPr="00C903F8">
        <w:rPr>
          <w:rFonts w:eastAsia="Calibri"/>
          <w:noProof/>
          <w:lang w:val="en-US" w:eastAsia="en-US"/>
        </w:rPr>
        <w:tab/>
        <w:t xml:space="preserve">Galleys shall be fitted with ventilation systems and stoves with extractors. The air extraction ducts of the extractors shall satisfy the requirements according to </w:t>
      </w:r>
      <w:r w:rsidR="00FD1E75" w:rsidRPr="00C903F8">
        <w:rPr>
          <w:rFonts w:eastAsia="Calibri"/>
          <w:noProof/>
          <w:lang w:val="en-US" w:eastAsia="en-US"/>
        </w:rPr>
        <w:t>(</w:t>
      </w:r>
      <w:r w:rsidRPr="00C903F8">
        <w:rPr>
          <w:rFonts w:eastAsia="Calibri"/>
          <w:noProof/>
          <w:lang w:val="en-US" w:eastAsia="en-US"/>
        </w:rPr>
        <w:t>14</w:t>
      </w:r>
      <w:r w:rsidR="00FD1E75" w:rsidRPr="00C903F8">
        <w:rPr>
          <w:rFonts w:eastAsia="Calibri"/>
          <w:noProof/>
          <w:lang w:val="en-US" w:eastAsia="en-US"/>
        </w:rPr>
        <w:t>)</w:t>
      </w:r>
      <w:r w:rsidRPr="00C903F8">
        <w:rPr>
          <w:rFonts w:eastAsia="Calibri"/>
          <w:noProof/>
          <w:lang w:val="en-US" w:eastAsia="en-US"/>
        </w:rPr>
        <w:t xml:space="preserve"> and, additionally, be fitted with manually operated fire dampers at the inlet openings.</w:t>
      </w:r>
    </w:p>
    <w:p w:rsidR="00676205" w:rsidRPr="00C903F8" w:rsidRDefault="00676205"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17.</w:t>
      </w:r>
      <w:r w:rsidRPr="00C903F8">
        <w:rPr>
          <w:rFonts w:eastAsia="Calibri"/>
          <w:noProof/>
          <w:lang w:val="en-US" w:eastAsia="en-US"/>
        </w:rPr>
        <w:tab/>
        <w:t>Control centres, stairwells and internal muster areas shall be fitted with natural or mechanical smoke extraction systems. Smoke extraction systems shall satisfy the following requirements:</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they shall offer sufficient capacity and reliability;</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they shall comply with the operating conditions for passenger vessels;</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if smoke extraction systems also serve as general ventilators for the rooms, this shall not hinder their function as smoke extraction systems in the event of a fire;</w:t>
      </w:r>
    </w:p>
    <w:p w:rsidR="00973DAA" w:rsidRPr="00C903F8" w:rsidRDefault="0029453D" w:rsidP="00676205">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t>smoke extraction systems shall have a manually operated triggering device;</w:t>
      </w:r>
    </w:p>
    <w:p w:rsidR="00973DAA" w:rsidRPr="00C903F8" w:rsidRDefault="0029453D" w:rsidP="00676205">
      <w:pPr>
        <w:pStyle w:val="ESlet"/>
        <w:rPr>
          <w:rFonts w:eastAsia="Calibri" w:cs="Arial"/>
          <w:szCs w:val="18"/>
          <w:lang w:val="en-US" w:eastAsia="en-US"/>
        </w:rPr>
      </w:pPr>
      <w:r w:rsidRPr="00C903F8">
        <w:rPr>
          <w:rFonts w:eastAsia="Calibri"/>
          <w:noProof/>
          <w:lang w:val="en-US" w:eastAsia="en-US"/>
        </w:rPr>
        <w:t>e)</w:t>
      </w:r>
      <w:r w:rsidR="00973DAA" w:rsidRPr="00C903F8">
        <w:rPr>
          <w:rFonts w:eastAsia="Calibri"/>
          <w:noProof/>
          <w:lang w:val="en-US" w:eastAsia="en-US"/>
        </w:rPr>
        <w:tab/>
        <w:t>mechanical smoke extraction systems shall additionally be such that they can be operated from a location permanently occupied by shipboard personnel or crew members;</w:t>
      </w:r>
    </w:p>
    <w:p w:rsidR="00973DAA" w:rsidRPr="00C903F8" w:rsidRDefault="0029453D" w:rsidP="00676205">
      <w:pPr>
        <w:pStyle w:val="ESlet"/>
        <w:rPr>
          <w:rFonts w:eastAsia="Calibri" w:cs="Arial"/>
          <w:szCs w:val="18"/>
          <w:lang w:val="en-US" w:eastAsia="en-US"/>
        </w:rPr>
      </w:pPr>
      <w:r w:rsidRPr="00C903F8">
        <w:rPr>
          <w:rFonts w:eastAsia="Calibri"/>
          <w:noProof/>
          <w:lang w:val="en-US" w:eastAsia="en-US"/>
        </w:rPr>
        <w:t>f)</w:t>
      </w:r>
      <w:r w:rsidR="00973DAA" w:rsidRPr="00C903F8">
        <w:rPr>
          <w:rFonts w:eastAsia="Calibri"/>
          <w:noProof/>
          <w:lang w:val="en-US" w:eastAsia="en-US"/>
        </w:rPr>
        <w:tab/>
        <w:t>natural smoke extraction systems shall be fitted with an opening mechanism, operated either manually or by a power source inside the extraction system;</w:t>
      </w:r>
    </w:p>
    <w:p w:rsidR="00973DAA" w:rsidRPr="00C903F8" w:rsidRDefault="0029453D" w:rsidP="00676205">
      <w:pPr>
        <w:pStyle w:val="ESlet"/>
        <w:rPr>
          <w:rFonts w:eastAsia="Calibri" w:cs="Arial"/>
          <w:szCs w:val="18"/>
          <w:lang w:val="en-US" w:eastAsia="en-US"/>
        </w:rPr>
      </w:pPr>
      <w:r w:rsidRPr="00C903F8">
        <w:rPr>
          <w:rFonts w:eastAsia="Calibri"/>
          <w:noProof/>
          <w:lang w:val="en-US" w:eastAsia="en-US"/>
        </w:rPr>
        <w:t>g)</w:t>
      </w:r>
      <w:r w:rsidR="00973DAA" w:rsidRPr="00C903F8">
        <w:rPr>
          <w:rFonts w:eastAsia="Calibri"/>
          <w:noProof/>
          <w:lang w:val="en-US" w:eastAsia="en-US"/>
        </w:rPr>
        <w:tab/>
        <w:t>manually operated triggering devices and opening mechanisms shall be accessible from inside or outside the room being protected.</w:t>
      </w:r>
    </w:p>
    <w:p w:rsidR="00676205" w:rsidRPr="00C903F8" w:rsidRDefault="00676205" w:rsidP="00973DAA">
      <w:pPr>
        <w:pStyle w:val="ESch"/>
        <w:rPr>
          <w:rFonts w:eastAsia="Calibri"/>
          <w:noProof/>
          <w:lang w:val="en-US" w:eastAsia="en-US"/>
        </w:rPr>
      </w:pPr>
    </w:p>
    <w:p w:rsidR="00676205" w:rsidRPr="00C903F8" w:rsidRDefault="00676205" w:rsidP="00973DAA">
      <w:pPr>
        <w:pStyle w:val="ESch"/>
        <w:rPr>
          <w:rFonts w:eastAsia="Calibri"/>
          <w:noProof/>
          <w:lang w:val="en-US" w:eastAsia="en-US"/>
        </w:rPr>
      </w:pPr>
      <w:r w:rsidRPr="00C903F8">
        <w:rPr>
          <w:rFonts w:eastAsia="Calibri"/>
          <w:noProof/>
          <w:lang w:val="en-US" w:eastAsia="en-US"/>
        </w:rPr>
        <w:br w:type="page"/>
      </w: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lastRenderedPageBreak/>
        <w:t>18.</w:t>
      </w:r>
      <w:r w:rsidRPr="00C903F8">
        <w:rPr>
          <w:rFonts w:eastAsia="Calibri"/>
          <w:noProof/>
          <w:lang w:val="en-US" w:eastAsia="en-US"/>
        </w:rPr>
        <w:tab/>
        <w:t>Lounges not constantly supervised by shipboard personnel or crew members, galleys, engine rooms and other rooms presenting a fire risk shall be connected to an appropriate fire alarm system. The existence of a fire and its exact whereabouts shall be automatically displayed at a location permanently manned by shipboard personnel or crew members.</w:t>
      </w:r>
    </w:p>
    <w:p w:rsidR="00973DAA" w:rsidRPr="00C903F8" w:rsidRDefault="00973DAA" w:rsidP="00973DAA">
      <w:pPr>
        <w:pStyle w:val="ESch"/>
        <w:rPr>
          <w:rFonts w:eastAsia="Calibri" w:cs="Arial"/>
          <w:szCs w:val="18"/>
          <w:lang w:val="en-US" w:eastAsia="en-US"/>
        </w:rPr>
      </w:pPr>
    </w:p>
    <w:p w:rsidR="00676205" w:rsidRPr="00C903F8" w:rsidRDefault="00676205" w:rsidP="00973DAA">
      <w:pPr>
        <w:pStyle w:val="ESch"/>
        <w:rPr>
          <w:rFonts w:eastAsia="Calibri" w:cs="Arial"/>
          <w:szCs w:val="18"/>
          <w:lang w:val="en-US" w:eastAsia="en-US"/>
        </w:rPr>
      </w:pPr>
    </w:p>
    <w:p w:rsidR="00973DAA" w:rsidRPr="00C903F8" w:rsidRDefault="00973DAA" w:rsidP="00676205">
      <w:pPr>
        <w:pStyle w:val="ES-Titre3"/>
        <w:rPr>
          <w:rFonts w:cs="Arial"/>
          <w:i/>
          <w:szCs w:val="18"/>
          <w:lang w:val="en-US"/>
        </w:rPr>
      </w:pPr>
      <w:bookmarkStart w:id="193" w:name="_Toc491854181"/>
      <w:r w:rsidRPr="00C903F8">
        <w:rPr>
          <w:noProof/>
          <w:lang w:val="en-US"/>
        </w:rPr>
        <w:t>Article 19.12</w:t>
      </w:r>
      <w:r w:rsidRPr="00C903F8">
        <w:rPr>
          <w:noProof/>
          <w:lang w:val="en-US"/>
        </w:rPr>
        <w:br/>
      </w:r>
      <w:r w:rsidRPr="00C903F8">
        <w:rPr>
          <w:bCs/>
          <w:i/>
          <w:noProof/>
          <w:lang w:val="en-US"/>
        </w:rPr>
        <w:t>Fire-fighting</w:t>
      </w:r>
      <w:bookmarkEnd w:id="193"/>
    </w:p>
    <w:p w:rsidR="00676205" w:rsidRPr="00C903F8" w:rsidRDefault="00676205" w:rsidP="00973DAA">
      <w:pPr>
        <w:pStyle w:val="ESch"/>
        <w:rPr>
          <w:rFonts w:eastAsia="Calibri"/>
          <w:noProof/>
          <w:lang w:val="en-US" w:eastAsia="en-US"/>
        </w:rPr>
      </w:pPr>
    </w:p>
    <w:p w:rsidR="00973DAA" w:rsidRPr="00C903F8" w:rsidRDefault="00676205" w:rsidP="00973DAA">
      <w:pPr>
        <w:pStyle w:val="ESch"/>
        <w:rPr>
          <w:rFonts w:eastAsia="Calibri" w:cs="Arial"/>
          <w:szCs w:val="18"/>
          <w:lang w:val="en-US" w:eastAsia="en-US"/>
        </w:rPr>
      </w:pPr>
      <w:r w:rsidRPr="00C903F8">
        <w:rPr>
          <w:rFonts w:eastAsia="Calibri"/>
          <w:noProof/>
          <w:lang w:val="en-US" w:eastAsia="en-US"/>
        </w:rPr>
        <w:t>1.</w:t>
      </w:r>
      <w:r w:rsidR="00973DAA" w:rsidRPr="00C903F8">
        <w:rPr>
          <w:rFonts w:eastAsia="Calibri"/>
          <w:noProof/>
          <w:lang w:val="en-US" w:eastAsia="en-US"/>
        </w:rPr>
        <w:tab/>
        <w:t>In addition to the portable extinguishers according to Article 13.03, at least the following portable extinguishers shall be available on board:</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one portable extinguisher for every 120 m</w:t>
      </w:r>
      <w:r w:rsidR="00973DAA" w:rsidRPr="00C903F8">
        <w:rPr>
          <w:rFonts w:eastAsia="Calibri"/>
          <w:noProof/>
          <w:vertAlign w:val="superscript"/>
          <w:lang w:val="en-US" w:eastAsia="en-US"/>
        </w:rPr>
        <w:t>2</w:t>
      </w:r>
      <w:r w:rsidR="00973DAA" w:rsidRPr="00C903F8">
        <w:rPr>
          <w:rFonts w:eastAsia="Calibri"/>
          <w:noProof/>
          <w:lang w:val="en-US" w:eastAsia="en-US"/>
        </w:rPr>
        <w:t xml:space="preserve"> of gross floor area in passenger </w:t>
      </w:r>
      <w:r w:rsidR="002723EF" w:rsidRPr="00C903F8">
        <w:rPr>
          <w:rFonts w:eastAsia="Calibri"/>
          <w:noProof/>
          <w:lang w:val="en-US" w:eastAsia="en-US"/>
        </w:rPr>
        <w:t>rooms</w:t>
      </w:r>
      <w:r w:rsidR="00973DAA" w:rsidRPr="00C903F8">
        <w:rPr>
          <w:rFonts w:eastAsia="Calibri"/>
          <w:noProof/>
          <w:lang w:val="en-US" w:eastAsia="en-US"/>
        </w:rPr>
        <w:t>;</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one portable extinguisher per group of 10 cabins, rounded upwards;</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one portable extinguisher in each galley and in the vicinity of any room in which flammable liquids are stored or used. In galleys the extinguishing agent shall also be suitable for fighting fat fires.</w:t>
      </w:r>
    </w:p>
    <w:p w:rsidR="00676205" w:rsidRPr="00C903F8" w:rsidRDefault="00676205" w:rsidP="00973DAA">
      <w:pPr>
        <w:pStyle w:val="ESch"/>
        <w:rPr>
          <w:rFonts w:eastAsia="Calibri"/>
          <w:noProof/>
          <w:lang w:val="en-US" w:eastAsia="en-US"/>
        </w:rPr>
      </w:pPr>
    </w:p>
    <w:p w:rsidR="00973DAA" w:rsidRPr="00C903F8" w:rsidRDefault="00973DAA" w:rsidP="00676205">
      <w:pPr>
        <w:pStyle w:val="ESchpar"/>
        <w:rPr>
          <w:rFonts w:eastAsia="Calibri" w:cs="Arial"/>
          <w:szCs w:val="18"/>
          <w:lang w:val="en-US" w:eastAsia="en-US"/>
        </w:rPr>
      </w:pPr>
      <w:r w:rsidRPr="00C903F8">
        <w:rPr>
          <w:rFonts w:eastAsia="Calibri"/>
          <w:noProof/>
          <w:lang w:val="en-US" w:eastAsia="en-US"/>
        </w:rPr>
        <w:t>These additional fire extinguishers shall meet the requirements laid down in Article 13.03 (2), and be installed and distributed on the vessel so that, in the event of a fire starting at any point and at any time, a fire extinguisher can be reached immediately. In every galley and also in hairdressing salons and perfumeries, there shall be a fire blanket to hand.</w:t>
      </w:r>
    </w:p>
    <w:p w:rsidR="00676205" w:rsidRPr="00C903F8" w:rsidRDefault="00676205"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2.</w:t>
      </w:r>
      <w:r w:rsidRPr="00C903F8">
        <w:rPr>
          <w:rFonts w:eastAsia="Calibri"/>
          <w:noProof/>
          <w:lang w:val="en-US" w:eastAsia="en-US"/>
        </w:rPr>
        <w:tab/>
        <w:t>Passenger vessels shall be provided with a hydrant system consisting of:</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two motor-driven fire extinguishing pumps of sufficient capacity, at least one of which is permanently installed;</w:t>
      </w:r>
    </w:p>
    <w:p w:rsidR="00973DAA" w:rsidRPr="006B6215" w:rsidRDefault="005C7859" w:rsidP="00676205">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r>
      <w:r w:rsidR="00C919D5" w:rsidRPr="006B6215">
        <w:rPr>
          <w:rFonts w:eastAsia="Calibri"/>
          <w:noProof/>
          <w:szCs w:val="20"/>
          <w:lang w:val="en-US" w:eastAsia="en-US"/>
        </w:rPr>
        <w:t>one fire extinguisher line with a sufficient number of hydrants with permanently connected fire extinguisher hoses at least 20 m in length and fitted with a nozzle capable of producing both a mist and a jet of water and incorporating a shut-off facility</w:t>
      </w:r>
      <w:r w:rsidR="00973DAA" w:rsidRPr="006B6215">
        <w:rPr>
          <w:rFonts w:eastAsia="Calibri"/>
          <w:noProof/>
          <w:lang w:val="en-US" w:eastAsia="en-US"/>
        </w:rPr>
        <w:t>.</w:t>
      </w:r>
    </w:p>
    <w:p w:rsidR="00676205" w:rsidRPr="006B6215" w:rsidRDefault="00676205" w:rsidP="00973DAA">
      <w:pPr>
        <w:pStyle w:val="ESch"/>
        <w:rPr>
          <w:rFonts w:eastAsia="Calibri"/>
          <w:noProof/>
          <w:lang w:val="en-US" w:eastAsia="en-US"/>
        </w:rPr>
      </w:pPr>
    </w:p>
    <w:p w:rsidR="00973DAA" w:rsidRPr="006B6215" w:rsidRDefault="00973DAA" w:rsidP="00973DAA">
      <w:pPr>
        <w:pStyle w:val="ESch"/>
        <w:rPr>
          <w:rFonts w:eastAsia="Calibri" w:cs="Arial"/>
          <w:szCs w:val="18"/>
          <w:lang w:val="en-US" w:eastAsia="en-US"/>
        </w:rPr>
      </w:pPr>
      <w:r w:rsidRPr="006B6215">
        <w:rPr>
          <w:rFonts w:eastAsia="Calibri"/>
          <w:noProof/>
          <w:lang w:val="en-US" w:eastAsia="en-US"/>
        </w:rPr>
        <w:t>3.</w:t>
      </w:r>
      <w:r w:rsidR="00676205" w:rsidRPr="006B6215">
        <w:rPr>
          <w:rFonts w:eastAsia="Calibri"/>
          <w:noProof/>
          <w:lang w:val="en-US" w:eastAsia="en-US"/>
        </w:rPr>
        <w:tab/>
      </w:r>
      <w:r w:rsidRPr="006B6215">
        <w:rPr>
          <w:rFonts w:eastAsia="Calibri"/>
          <w:noProof/>
          <w:lang w:val="en-US" w:eastAsia="en-US"/>
        </w:rPr>
        <w:t>Hydrant systems shall be designed and dimensioned in such a way that:</w:t>
      </w:r>
    </w:p>
    <w:p w:rsidR="00973DAA" w:rsidRPr="006B6215" w:rsidRDefault="005C7859" w:rsidP="00676205">
      <w:pPr>
        <w:pStyle w:val="ESlet"/>
        <w:rPr>
          <w:rFonts w:eastAsia="Calibri" w:cs="Arial"/>
          <w:szCs w:val="18"/>
          <w:lang w:val="en-US" w:eastAsia="en-US"/>
        </w:rPr>
      </w:pPr>
      <w:r w:rsidRPr="006B6215">
        <w:rPr>
          <w:rFonts w:eastAsia="Calibri"/>
          <w:noProof/>
          <w:lang w:val="en-US" w:eastAsia="en-US"/>
        </w:rPr>
        <w:t>a)</w:t>
      </w:r>
      <w:r w:rsidR="00973DAA" w:rsidRPr="006B6215">
        <w:rPr>
          <w:rFonts w:eastAsia="Calibri"/>
          <w:noProof/>
          <w:lang w:val="en-US" w:eastAsia="en-US"/>
        </w:rPr>
        <w:tab/>
        <w:t>any point of the vessel can be reached from at least two hydrants in different places, each with a single hose length of not more than 20 m;</w:t>
      </w:r>
    </w:p>
    <w:p w:rsidR="00973DAA" w:rsidRPr="006B6215" w:rsidRDefault="005C7859" w:rsidP="00676205">
      <w:pPr>
        <w:pStyle w:val="ESlet"/>
        <w:rPr>
          <w:rFonts w:eastAsia="Calibri" w:cs="Arial"/>
          <w:szCs w:val="18"/>
          <w:lang w:val="en-US" w:eastAsia="en-US"/>
        </w:rPr>
      </w:pPr>
      <w:r w:rsidRPr="006B6215">
        <w:rPr>
          <w:rFonts w:eastAsia="Calibri"/>
          <w:noProof/>
          <w:lang w:val="en-US" w:eastAsia="en-US"/>
        </w:rPr>
        <w:t>b)</w:t>
      </w:r>
      <w:r w:rsidR="00973DAA" w:rsidRPr="006B6215">
        <w:rPr>
          <w:rFonts w:eastAsia="Calibri"/>
          <w:noProof/>
          <w:lang w:val="en-US" w:eastAsia="en-US"/>
        </w:rPr>
        <w:tab/>
        <w:t>the pressure at the hydrants is at least 300 kPa; and</w:t>
      </w:r>
    </w:p>
    <w:p w:rsidR="00973DAA" w:rsidRPr="006B6215" w:rsidRDefault="005C7859" w:rsidP="00676205">
      <w:pPr>
        <w:pStyle w:val="ESlet"/>
        <w:rPr>
          <w:rFonts w:eastAsia="Calibri" w:cs="Arial"/>
          <w:szCs w:val="18"/>
          <w:lang w:val="en-US" w:eastAsia="en-US"/>
        </w:rPr>
      </w:pPr>
      <w:r w:rsidRPr="006B6215">
        <w:rPr>
          <w:rFonts w:eastAsia="Calibri"/>
          <w:noProof/>
          <w:lang w:val="en-US" w:eastAsia="en-US"/>
        </w:rPr>
        <w:t>c)</w:t>
      </w:r>
      <w:r w:rsidR="00973DAA" w:rsidRPr="006B6215">
        <w:rPr>
          <w:rFonts w:eastAsia="Calibri"/>
          <w:noProof/>
          <w:lang w:val="en-US" w:eastAsia="en-US"/>
        </w:rPr>
        <w:tab/>
        <w:t>on all decks a water jet length of at least 6 m can be attained.</w:t>
      </w:r>
    </w:p>
    <w:p w:rsidR="00676205" w:rsidRPr="006B6215" w:rsidRDefault="00676205" w:rsidP="00973DAA">
      <w:pPr>
        <w:pStyle w:val="ESch"/>
        <w:rPr>
          <w:rFonts w:eastAsia="Calibri"/>
          <w:noProof/>
          <w:lang w:val="en-US" w:eastAsia="en-US"/>
        </w:rPr>
      </w:pPr>
    </w:p>
    <w:p w:rsidR="00973DAA" w:rsidRPr="006B6215" w:rsidRDefault="00973DAA" w:rsidP="00676205">
      <w:pPr>
        <w:pStyle w:val="ESchpar"/>
        <w:rPr>
          <w:rFonts w:eastAsia="Calibri" w:cs="Arial"/>
          <w:szCs w:val="18"/>
          <w:lang w:val="en-US" w:eastAsia="en-US"/>
        </w:rPr>
      </w:pPr>
      <w:r w:rsidRPr="006B6215">
        <w:rPr>
          <w:rFonts w:eastAsia="Calibri"/>
          <w:noProof/>
          <w:lang w:val="en-US" w:eastAsia="en-US"/>
        </w:rPr>
        <w:t xml:space="preserve">If a hydrant </w:t>
      </w:r>
      <w:r w:rsidR="007272E6" w:rsidRPr="006B6215">
        <w:rPr>
          <w:rFonts w:eastAsia="Calibri"/>
          <w:noProof/>
          <w:lang w:val="en-US" w:eastAsia="en-US"/>
        </w:rPr>
        <w:t>cupboard</w:t>
      </w:r>
      <w:r w:rsidRPr="006B6215">
        <w:rPr>
          <w:rFonts w:eastAsia="Calibri"/>
          <w:noProof/>
          <w:lang w:val="en-US" w:eastAsia="en-US"/>
        </w:rPr>
        <w:t xml:space="preserve"> is provided, an ‘extinguisher hose’ symbol similar to that shown in Figure</w:t>
      </w:r>
      <w:r w:rsidR="009614D4" w:rsidRPr="006B6215">
        <w:rPr>
          <w:rFonts w:eastAsia="Calibri"/>
          <w:noProof/>
          <w:lang w:val="en-US" w:eastAsia="en-US"/>
        </w:rPr>
        <w:t> </w:t>
      </w:r>
      <w:r w:rsidRPr="006B6215">
        <w:rPr>
          <w:rFonts w:eastAsia="Calibri"/>
          <w:noProof/>
          <w:lang w:val="en-US" w:eastAsia="en-US"/>
        </w:rPr>
        <w:t xml:space="preserve">5 in Annex </w:t>
      </w:r>
      <w:r w:rsidR="00652389" w:rsidRPr="006B6215">
        <w:rPr>
          <w:rFonts w:eastAsia="Calibri"/>
          <w:noProof/>
          <w:lang w:val="en-US" w:eastAsia="en-US"/>
        </w:rPr>
        <w:t>4</w:t>
      </w:r>
      <w:r w:rsidRPr="006B6215">
        <w:rPr>
          <w:rFonts w:eastAsia="Calibri"/>
          <w:noProof/>
          <w:lang w:val="en-US" w:eastAsia="en-US"/>
        </w:rPr>
        <w:t>, of at least 10 cm side length, shall be affixed to the outside of the c</w:t>
      </w:r>
      <w:r w:rsidR="007272E6" w:rsidRPr="006B6215">
        <w:rPr>
          <w:rFonts w:eastAsia="Calibri"/>
          <w:noProof/>
          <w:lang w:val="en-US" w:eastAsia="en-US"/>
        </w:rPr>
        <w:t>upboard</w:t>
      </w:r>
      <w:r w:rsidRPr="006B6215">
        <w:rPr>
          <w:rFonts w:eastAsia="Calibri"/>
          <w:noProof/>
          <w:lang w:val="en-US" w:eastAsia="en-US"/>
        </w:rPr>
        <w:t>.</w:t>
      </w:r>
    </w:p>
    <w:p w:rsidR="00676205" w:rsidRPr="006B6215" w:rsidRDefault="00676205"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6B6215">
        <w:rPr>
          <w:rFonts w:eastAsia="Calibri"/>
          <w:noProof/>
          <w:lang w:val="en-US" w:eastAsia="en-US"/>
        </w:rPr>
        <w:t>4.</w:t>
      </w:r>
      <w:r w:rsidRPr="006B6215">
        <w:rPr>
          <w:rFonts w:eastAsia="Calibri"/>
          <w:noProof/>
          <w:lang w:val="en-US" w:eastAsia="en-US"/>
        </w:rPr>
        <w:tab/>
      </w:r>
      <w:r w:rsidR="00C919D5" w:rsidRPr="006B6215">
        <w:rPr>
          <w:rFonts w:eastAsia="Calibri"/>
          <w:noProof/>
          <w:lang w:val="en-US" w:eastAsia="en-US"/>
        </w:rPr>
        <w:t xml:space="preserve">Hydrant valves with screw threads or cocks shall be such that they can be set so that each of the fire </w:t>
      </w:r>
      <w:r w:rsidR="00C919D5" w:rsidRPr="006B6215">
        <w:rPr>
          <w:rFonts w:eastAsia="Calibri"/>
          <w:noProof/>
          <w:szCs w:val="20"/>
          <w:lang w:val="en-US" w:eastAsia="en-US"/>
        </w:rPr>
        <w:t>extinguisher</w:t>
      </w:r>
      <w:r w:rsidR="00C919D5" w:rsidRPr="00C903F8">
        <w:rPr>
          <w:rFonts w:eastAsia="Calibri"/>
          <w:noProof/>
          <w:lang w:val="en-US" w:eastAsia="en-US"/>
        </w:rPr>
        <w:t xml:space="preserve"> hoses can be separated and removed during operation of the fire extinguishing pumps</w:t>
      </w:r>
      <w:r w:rsidRPr="00C903F8">
        <w:rPr>
          <w:rFonts w:eastAsia="Calibri"/>
          <w:noProof/>
          <w:lang w:val="en-US" w:eastAsia="en-US"/>
        </w:rPr>
        <w:t>.</w:t>
      </w:r>
    </w:p>
    <w:p w:rsidR="00676205" w:rsidRPr="00C903F8" w:rsidRDefault="00676205"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5.</w:t>
      </w:r>
      <w:r w:rsidRPr="00C903F8">
        <w:rPr>
          <w:rFonts w:eastAsia="Calibri"/>
          <w:noProof/>
          <w:lang w:val="en-US" w:eastAsia="en-US"/>
        </w:rPr>
        <w:tab/>
        <w:t>Fire extinguisher hoses in the internal area shall be rolled up on an axially connected reel.</w:t>
      </w:r>
    </w:p>
    <w:p w:rsidR="00676205" w:rsidRPr="00C903F8" w:rsidRDefault="00676205"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6.</w:t>
      </w:r>
      <w:r w:rsidRPr="00C903F8">
        <w:rPr>
          <w:rFonts w:eastAsia="Calibri"/>
          <w:noProof/>
          <w:lang w:val="en-US" w:eastAsia="en-US"/>
        </w:rPr>
        <w:tab/>
        <w:t>Materials for fire-fighting equipment shall either be heat-resistant or shall be suitably protected against failure to work when subjected to high temperatures.</w:t>
      </w:r>
    </w:p>
    <w:p w:rsidR="00676205" w:rsidRPr="00C903F8" w:rsidRDefault="00676205"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7.</w:t>
      </w:r>
      <w:r w:rsidRPr="00C903F8">
        <w:rPr>
          <w:rFonts w:eastAsia="Calibri"/>
          <w:noProof/>
          <w:lang w:val="en-US" w:eastAsia="en-US"/>
        </w:rPr>
        <w:tab/>
        <w:t xml:space="preserve">Pipes and hydrants shall be arranged in such a way that the </w:t>
      </w:r>
      <w:r w:rsidR="007272E6" w:rsidRPr="00C903F8">
        <w:rPr>
          <w:rFonts w:eastAsia="Calibri"/>
          <w:noProof/>
          <w:lang w:val="en-US" w:eastAsia="en-US"/>
        </w:rPr>
        <w:t xml:space="preserve">risk </w:t>
      </w:r>
      <w:r w:rsidRPr="00C903F8">
        <w:rPr>
          <w:rFonts w:eastAsia="Calibri"/>
          <w:noProof/>
          <w:lang w:val="en-US" w:eastAsia="en-US"/>
        </w:rPr>
        <w:t>of freezing is avoided.</w:t>
      </w:r>
    </w:p>
    <w:p w:rsidR="00676205" w:rsidRPr="00C903F8" w:rsidRDefault="00676205" w:rsidP="00973DAA">
      <w:pPr>
        <w:pStyle w:val="ESch"/>
        <w:rPr>
          <w:rFonts w:eastAsia="Calibri"/>
          <w:noProof/>
          <w:lang w:val="en-US" w:eastAsia="en-US"/>
        </w:rPr>
      </w:pPr>
    </w:p>
    <w:p w:rsidR="00676205" w:rsidRPr="00C903F8" w:rsidRDefault="00676205" w:rsidP="00973DAA">
      <w:pPr>
        <w:pStyle w:val="ESch"/>
        <w:rPr>
          <w:rFonts w:eastAsia="Calibri"/>
          <w:noProof/>
          <w:lang w:val="en-US" w:eastAsia="en-US"/>
        </w:rPr>
      </w:pPr>
      <w:r w:rsidRPr="00C903F8">
        <w:rPr>
          <w:rFonts w:eastAsia="Calibri"/>
          <w:noProof/>
          <w:lang w:val="en-US" w:eastAsia="en-US"/>
        </w:rPr>
        <w:br w:type="page"/>
      </w: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lastRenderedPageBreak/>
        <w:t>8.</w:t>
      </w:r>
      <w:r w:rsidRPr="00C903F8">
        <w:rPr>
          <w:rFonts w:eastAsia="Calibri"/>
          <w:noProof/>
          <w:lang w:val="en-US" w:eastAsia="en-US"/>
        </w:rPr>
        <w:tab/>
        <w:t>The fire extinguishing pumps shall:</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be installed or housed in separate rooms;</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be such that they can be operated independently of each other;</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each be capable, on all decks, of maintaining the necessary pressure at the hydrants and achieving the requisite length of water jet;</w:t>
      </w:r>
    </w:p>
    <w:p w:rsidR="00973DAA" w:rsidRPr="00C903F8" w:rsidRDefault="0029453D" w:rsidP="00676205">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r>
      <w:r w:rsidR="00973DAA" w:rsidRPr="00C903F8">
        <w:rPr>
          <w:rFonts w:eastAsia="Calibri" w:cs="Arial"/>
          <w:szCs w:val="18"/>
          <w:lang w:val="en-US" w:eastAsia="en-US"/>
        </w:rPr>
        <w:t>be installed forward of the aft-peak bulkhead.</w:t>
      </w:r>
    </w:p>
    <w:p w:rsidR="00676205" w:rsidRPr="00C903F8" w:rsidRDefault="00676205" w:rsidP="00973DAA">
      <w:pPr>
        <w:pStyle w:val="ESch"/>
        <w:rPr>
          <w:rFonts w:eastAsia="Calibri"/>
          <w:noProof/>
          <w:lang w:val="en-US" w:eastAsia="en-US"/>
        </w:rPr>
      </w:pPr>
    </w:p>
    <w:p w:rsidR="00973DAA" w:rsidRPr="00C903F8" w:rsidRDefault="00973DAA" w:rsidP="00676205">
      <w:pPr>
        <w:pStyle w:val="ESchpar"/>
        <w:rPr>
          <w:rFonts w:eastAsia="Calibri" w:cs="Arial"/>
          <w:szCs w:val="18"/>
          <w:lang w:val="en-US" w:eastAsia="en-US"/>
        </w:rPr>
      </w:pPr>
      <w:r w:rsidRPr="00C903F8">
        <w:rPr>
          <w:rFonts w:eastAsia="Calibri"/>
          <w:noProof/>
          <w:lang w:val="en-US" w:eastAsia="en-US"/>
        </w:rPr>
        <w:t>Fire extinguishing pumps may also be used for general purposes.</w:t>
      </w:r>
    </w:p>
    <w:p w:rsidR="00676205" w:rsidRPr="00C903F8" w:rsidRDefault="00676205"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9.</w:t>
      </w:r>
      <w:r w:rsidRPr="00C903F8">
        <w:rPr>
          <w:rFonts w:eastAsia="Calibri"/>
          <w:noProof/>
          <w:lang w:val="en-US" w:eastAsia="en-US"/>
        </w:rPr>
        <w:tab/>
        <w:t>Engine rooms shall be fitted with a permanently fitted fire extinguishing system according to Article 13.05.</w:t>
      </w:r>
    </w:p>
    <w:p w:rsidR="00676205" w:rsidRPr="00C903F8" w:rsidRDefault="00676205"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10.</w:t>
      </w:r>
      <w:r w:rsidRPr="00C903F8">
        <w:rPr>
          <w:rFonts w:eastAsia="Calibri"/>
          <w:noProof/>
          <w:lang w:val="en-US" w:eastAsia="en-US"/>
        </w:rPr>
        <w:tab/>
        <w:t>On cabin vessels there shall be:</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r>
      <w:r w:rsidR="00C919D5" w:rsidRPr="00696567">
        <w:rPr>
          <w:rFonts w:ascii="ArialMT" w:hAnsi="ArialMT" w:cs="ArialMT"/>
          <w:szCs w:val="20"/>
          <w:lang w:val="en-US" w:eastAsia="de-DE"/>
        </w:rPr>
        <w:t>two self-</w:t>
      </w:r>
      <w:r w:rsidR="00C919D5" w:rsidRPr="006B6215">
        <w:rPr>
          <w:rFonts w:ascii="ArialMT" w:hAnsi="ArialMT" w:cs="ArialMT"/>
          <w:szCs w:val="20"/>
          <w:lang w:val="en-US" w:eastAsia="de-DE"/>
        </w:rPr>
        <w:t>contained breathing apparatus sets corresponding to European Standard EN 137: 2006 of Type 2</w:t>
      </w:r>
      <w:r w:rsidR="00C919D5" w:rsidRPr="00696567">
        <w:rPr>
          <w:rFonts w:ascii="ArialMT" w:hAnsi="ArialMT" w:cs="ArialMT"/>
          <w:szCs w:val="20"/>
          <w:lang w:val="en-US" w:eastAsia="de-DE"/>
        </w:rPr>
        <w:t xml:space="preserve"> with full-face masks corresponding to European Standard EN 136: 1998</w:t>
      </w:r>
      <w:r w:rsidR="00973DAA" w:rsidRPr="00C903F8">
        <w:rPr>
          <w:rFonts w:eastAsia="Calibri"/>
          <w:noProof/>
          <w:lang w:val="en-US" w:eastAsia="en-US"/>
        </w:rPr>
        <w:t>;</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 xml:space="preserve">two sets of equipment consisting of at least a protective suit, helmet, boots, gloves, axe, crowbar, torch and safety-line, </w:t>
      </w:r>
    </w:p>
    <w:p w:rsidR="00973DAA" w:rsidRPr="00C903F8" w:rsidRDefault="005C7859" w:rsidP="00676205">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four smoke hoods.</w:t>
      </w:r>
    </w:p>
    <w:p w:rsidR="00973DAA" w:rsidRPr="00C903F8" w:rsidRDefault="00973DAA" w:rsidP="00973DAA">
      <w:pPr>
        <w:pStyle w:val="ESch"/>
        <w:rPr>
          <w:rFonts w:eastAsia="Calibri" w:cs="Arial"/>
          <w:szCs w:val="18"/>
          <w:lang w:val="en-US" w:eastAsia="en-US"/>
        </w:rPr>
      </w:pPr>
    </w:p>
    <w:p w:rsidR="00676205" w:rsidRPr="00C903F8" w:rsidRDefault="00676205" w:rsidP="00973DAA">
      <w:pPr>
        <w:pStyle w:val="ESch"/>
        <w:rPr>
          <w:rFonts w:eastAsia="Calibri" w:cs="Arial"/>
          <w:szCs w:val="18"/>
          <w:lang w:val="en-US" w:eastAsia="en-US"/>
        </w:rPr>
      </w:pPr>
    </w:p>
    <w:p w:rsidR="00973DAA" w:rsidRPr="00C903F8" w:rsidRDefault="00973DAA" w:rsidP="009870AF">
      <w:pPr>
        <w:pStyle w:val="ES-Titre3"/>
        <w:rPr>
          <w:rFonts w:cs="Arial"/>
          <w:i/>
          <w:szCs w:val="18"/>
          <w:lang w:val="en-US"/>
        </w:rPr>
      </w:pPr>
      <w:bookmarkStart w:id="194" w:name="_Toc491854182"/>
      <w:r w:rsidRPr="00C903F8">
        <w:rPr>
          <w:noProof/>
          <w:lang w:val="en-US"/>
        </w:rPr>
        <w:t>Article 19.13</w:t>
      </w:r>
      <w:r w:rsidRPr="00C903F8">
        <w:rPr>
          <w:noProof/>
          <w:lang w:val="en-US"/>
        </w:rPr>
        <w:br/>
      </w:r>
      <w:r w:rsidRPr="00C903F8">
        <w:rPr>
          <w:i/>
          <w:noProof/>
          <w:lang w:val="en-US"/>
        </w:rPr>
        <w:t>Safety organisation</w:t>
      </w:r>
      <w:bookmarkEnd w:id="194"/>
    </w:p>
    <w:p w:rsidR="009870AF" w:rsidRPr="00C903F8" w:rsidRDefault="009870AF"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w:t>
      </w:r>
      <w:r w:rsidRPr="00C903F8">
        <w:rPr>
          <w:rFonts w:eastAsia="Calibri"/>
          <w:noProof/>
          <w:lang w:val="en-US" w:eastAsia="en-US"/>
        </w:rPr>
        <w:tab/>
        <w:t>A safety rota shall be provided on board passenger vessels. The safety rota describes the duties of the crew and the shipboard personnel in the following eventualities:</w:t>
      </w:r>
    </w:p>
    <w:p w:rsidR="00973DAA" w:rsidRPr="00C903F8" w:rsidRDefault="005C7859" w:rsidP="009870AF">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breakdown;</w:t>
      </w:r>
    </w:p>
    <w:p w:rsidR="00973DAA" w:rsidRPr="00C903F8" w:rsidRDefault="005C7859" w:rsidP="009870AF">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fire on board;</w:t>
      </w:r>
    </w:p>
    <w:p w:rsidR="00973DAA" w:rsidRPr="00C903F8" w:rsidRDefault="005C7859" w:rsidP="009870AF">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evacuation of passengers;</w:t>
      </w:r>
    </w:p>
    <w:p w:rsidR="00973DAA" w:rsidRPr="00C903F8" w:rsidRDefault="0029453D" w:rsidP="009870AF">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t>person overboard.</w:t>
      </w:r>
    </w:p>
    <w:p w:rsidR="009870AF" w:rsidRPr="00C903F8" w:rsidRDefault="009870AF" w:rsidP="00973DAA">
      <w:pPr>
        <w:pStyle w:val="ESch"/>
        <w:rPr>
          <w:rFonts w:eastAsia="Calibri"/>
          <w:noProof/>
          <w:lang w:val="en-US" w:eastAsia="en-US"/>
        </w:rPr>
      </w:pPr>
    </w:p>
    <w:p w:rsidR="00973DAA" w:rsidRPr="00C903F8" w:rsidRDefault="00973DAA" w:rsidP="009870AF">
      <w:pPr>
        <w:pStyle w:val="ESchpar"/>
        <w:rPr>
          <w:rFonts w:eastAsia="Calibri" w:cs="Arial"/>
          <w:szCs w:val="18"/>
          <w:lang w:val="en-US" w:eastAsia="en-US"/>
        </w:rPr>
      </w:pPr>
      <w:r w:rsidRPr="00C903F8">
        <w:rPr>
          <w:rFonts w:eastAsia="Calibri"/>
          <w:noProof/>
          <w:lang w:val="en-US" w:eastAsia="en-US"/>
        </w:rPr>
        <w:t>Specific safety measures for persons with reduced mobility shall be taken into consideration.</w:t>
      </w:r>
    </w:p>
    <w:p w:rsidR="009870AF" w:rsidRPr="00C903F8" w:rsidRDefault="009870AF" w:rsidP="009870AF">
      <w:pPr>
        <w:pStyle w:val="ESchpar"/>
        <w:rPr>
          <w:rFonts w:eastAsia="Calibri"/>
          <w:noProof/>
          <w:lang w:val="en-US" w:eastAsia="en-US"/>
        </w:rPr>
      </w:pPr>
    </w:p>
    <w:p w:rsidR="00973DAA" w:rsidRPr="00C903F8" w:rsidRDefault="00973DAA" w:rsidP="009870AF">
      <w:pPr>
        <w:pStyle w:val="ESchpar"/>
        <w:rPr>
          <w:rFonts w:eastAsia="Calibri" w:cs="Arial"/>
          <w:szCs w:val="18"/>
          <w:lang w:val="en-US" w:eastAsia="en-US"/>
        </w:rPr>
      </w:pPr>
      <w:r w:rsidRPr="00C903F8">
        <w:rPr>
          <w:rFonts w:eastAsia="Calibri"/>
          <w:noProof/>
          <w:lang w:val="en-US" w:eastAsia="en-US"/>
        </w:rPr>
        <w:t>The crew members and shipboard personnel designated in the safety rota should be assigned their various duties, depending on the posts they occupy. Special instructions to the crew shall ensure that, in the event of danger, all doors and openings in the watertight bulkheads referred to in Article 19.02 will be hermetically closed immediately.</w:t>
      </w:r>
    </w:p>
    <w:p w:rsidR="009870AF" w:rsidRPr="00C903F8" w:rsidRDefault="009870AF"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2.</w:t>
      </w:r>
      <w:r w:rsidRPr="00C903F8">
        <w:rPr>
          <w:rFonts w:eastAsia="Calibri"/>
          <w:noProof/>
          <w:lang w:val="en-US" w:eastAsia="en-US"/>
        </w:rPr>
        <w:tab/>
        <w:t>The safety rota includes a safety plan, in which at least the following are clearly and precisely designated:</w:t>
      </w:r>
    </w:p>
    <w:p w:rsidR="00973DAA" w:rsidRPr="00C903F8" w:rsidRDefault="005C7859" w:rsidP="009870AF">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areas intended for use by persons with reduced mobility;</w:t>
      </w:r>
    </w:p>
    <w:p w:rsidR="00973DAA" w:rsidRPr="00C903F8" w:rsidRDefault="005C7859" w:rsidP="009870AF">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escape routes, emergency exits and muster and evacuation areas;</w:t>
      </w:r>
    </w:p>
    <w:p w:rsidR="00973DAA" w:rsidRPr="00C903F8" w:rsidRDefault="005C7859" w:rsidP="009870AF">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life-saving equipment and ship's boats;</w:t>
      </w:r>
    </w:p>
    <w:p w:rsidR="00973DAA" w:rsidRPr="00C903F8" w:rsidRDefault="0029453D" w:rsidP="009870AF">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t>fire extinguishers and fire extinguishing and pressurised sprinkler systems;</w:t>
      </w:r>
    </w:p>
    <w:p w:rsidR="00973DAA" w:rsidRPr="00C903F8" w:rsidRDefault="0029453D" w:rsidP="009870AF">
      <w:pPr>
        <w:pStyle w:val="ESlet"/>
        <w:rPr>
          <w:rFonts w:eastAsia="Calibri" w:cs="Arial"/>
          <w:szCs w:val="18"/>
          <w:lang w:val="en-US" w:eastAsia="en-US"/>
        </w:rPr>
      </w:pPr>
      <w:r w:rsidRPr="00C903F8">
        <w:rPr>
          <w:rFonts w:eastAsia="Calibri"/>
          <w:noProof/>
          <w:lang w:val="en-US" w:eastAsia="en-US"/>
        </w:rPr>
        <w:t>e)</w:t>
      </w:r>
      <w:r w:rsidR="00973DAA" w:rsidRPr="00C903F8">
        <w:rPr>
          <w:rFonts w:eastAsia="Calibri"/>
          <w:noProof/>
          <w:lang w:val="en-US" w:eastAsia="en-US"/>
        </w:rPr>
        <w:tab/>
        <w:t>other safety equipment;</w:t>
      </w:r>
    </w:p>
    <w:p w:rsidR="00973DAA" w:rsidRPr="00C903F8" w:rsidRDefault="0029453D" w:rsidP="009870AF">
      <w:pPr>
        <w:pStyle w:val="ESlet"/>
        <w:rPr>
          <w:rFonts w:eastAsia="Calibri" w:cs="Arial"/>
          <w:szCs w:val="18"/>
          <w:lang w:val="en-US" w:eastAsia="en-US"/>
        </w:rPr>
      </w:pPr>
      <w:r w:rsidRPr="00C903F8">
        <w:rPr>
          <w:rFonts w:eastAsia="Calibri"/>
          <w:noProof/>
          <w:lang w:val="en-US" w:eastAsia="en-US"/>
        </w:rPr>
        <w:t>f)</w:t>
      </w:r>
      <w:r w:rsidR="00973DAA" w:rsidRPr="00C903F8">
        <w:rPr>
          <w:rFonts w:eastAsia="Calibri"/>
          <w:noProof/>
          <w:lang w:val="en-US" w:eastAsia="en-US"/>
        </w:rPr>
        <w:tab/>
        <w:t>the alarm system referred to in Article 19.08(3)(a);</w:t>
      </w:r>
    </w:p>
    <w:p w:rsidR="009870AF" w:rsidRPr="00C903F8" w:rsidRDefault="009870AF" w:rsidP="009870AF">
      <w:pPr>
        <w:pStyle w:val="ESlet"/>
        <w:rPr>
          <w:rFonts w:eastAsia="Calibri"/>
          <w:noProof/>
          <w:lang w:val="en-US" w:eastAsia="en-US"/>
        </w:rPr>
      </w:pPr>
    </w:p>
    <w:p w:rsidR="009870AF" w:rsidRPr="00C903F8" w:rsidRDefault="009870AF" w:rsidP="009870AF">
      <w:pPr>
        <w:pStyle w:val="ESlet"/>
        <w:rPr>
          <w:rFonts w:eastAsia="Calibri"/>
          <w:noProof/>
          <w:lang w:val="en-US" w:eastAsia="en-US"/>
        </w:rPr>
      </w:pPr>
      <w:r w:rsidRPr="00C903F8">
        <w:rPr>
          <w:rFonts w:eastAsia="Calibri"/>
          <w:noProof/>
          <w:lang w:val="en-US" w:eastAsia="en-US"/>
        </w:rPr>
        <w:br w:type="page"/>
      </w:r>
    </w:p>
    <w:p w:rsidR="00973DAA" w:rsidRPr="00C903F8" w:rsidRDefault="0029453D" w:rsidP="009870AF">
      <w:pPr>
        <w:pStyle w:val="ESlet"/>
        <w:rPr>
          <w:rFonts w:eastAsia="Calibri" w:cs="Arial"/>
          <w:szCs w:val="18"/>
          <w:lang w:val="en-US" w:eastAsia="en-US"/>
        </w:rPr>
      </w:pPr>
      <w:r w:rsidRPr="00C903F8">
        <w:rPr>
          <w:rFonts w:eastAsia="Calibri"/>
          <w:noProof/>
          <w:lang w:val="en-US" w:eastAsia="en-US"/>
        </w:rPr>
        <w:lastRenderedPageBreak/>
        <w:t>g)</w:t>
      </w:r>
      <w:r w:rsidR="00973DAA" w:rsidRPr="00C903F8">
        <w:rPr>
          <w:rFonts w:eastAsia="Calibri"/>
          <w:noProof/>
          <w:lang w:val="en-US" w:eastAsia="en-US"/>
        </w:rPr>
        <w:tab/>
        <w:t>the alarm system referred to in Article 19.08(3)(b) and (c);</w:t>
      </w:r>
    </w:p>
    <w:p w:rsidR="00973DAA" w:rsidRPr="00C903F8" w:rsidRDefault="0029453D" w:rsidP="009870AF">
      <w:pPr>
        <w:pStyle w:val="ESlet"/>
        <w:rPr>
          <w:rFonts w:eastAsia="Calibri" w:cs="Arial"/>
          <w:szCs w:val="18"/>
          <w:lang w:val="en-US" w:eastAsia="en-US"/>
        </w:rPr>
      </w:pPr>
      <w:r w:rsidRPr="00C903F8">
        <w:rPr>
          <w:rFonts w:eastAsia="Calibri"/>
          <w:noProof/>
          <w:lang w:val="en-US" w:eastAsia="en-US"/>
        </w:rPr>
        <w:t>h)</w:t>
      </w:r>
      <w:r w:rsidR="00973DAA" w:rsidRPr="00C903F8">
        <w:rPr>
          <w:rFonts w:eastAsia="Calibri"/>
          <w:noProof/>
          <w:lang w:val="en-US" w:eastAsia="en-US"/>
        </w:rPr>
        <w:tab/>
        <w:t>the bulkhead doors referred to in Article 19.02(5), and the position of their controls, as well as the other openings referred to in Article 19.02(9), (10) and (13), and Article 19.03(12);</w:t>
      </w:r>
    </w:p>
    <w:p w:rsidR="00973DAA" w:rsidRPr="00C903F8" w:rsidRDefault="0029453D" w:rsidP="009870AF">
      <w:pPr>
        <w:pStyle w:val="ESlet"/>
        <w:rPr>
          <w:rFonts w:eastAsia="Calibri" w:cs="Arial"/>
          <w:szCs w:val="18"/>
          <w:lang w:val="en-US" w:eastAsia="en-US"/>
        </w:rPr>
      </w:pPr>
      <w:r w:rsidRPr="00C903F8">
        <w:rPr>
          <w:rFonts w:eastAsia="Calibri"/>
          <w:noProof/>
          <w:lang w:val="en-US" w:eastAsia="en-US"/>
        </w:rPr>
        <w:t>i)</w:t>
      </w:r>
      <w:r w:rsidR="00973DAA" w:rsidRPr="00C903F8">
        <w:rPr>
          <w:rFonts w:eastAsia="Calibri"/>
          <w:noProof/>
          <w:lang w:val="en-US" w:eastAsia="en-US"/>
        </w:rPr>
        <w:tab/>
        <w:t>doors referred to in Article 19.11(9);</w:t>
      </w:r>
    </w:p>
    <w:p w:rsidR="00973DAA" w:rsidRPr="00C903F8" w:rsidRDefault="00973DAA" w:rsidP="009870AF">
      <w:pPr>
        <w:pStyle w:val="ESlet"/>
        <w:rPr>
          <w:rFonts w:eastAsia="Calibri" w:cs="Arial"/>
          <w:szCs w:val="18"/>
          <w:lang w:val="en-US" w:eastAsia="en-US"/>
        </w:rPr>
      </w:pPr>
      <w:r w:rsidRPr="00C903F8">
        <w:rPr>
          <w:rFonts w:eastAsia="Calibri"/>
          <w:noProof/>
          <w:lang w:val="en-US" w:eastAsia="en-US"/>
        </w:rPr>
        <w:t>j)</w:t>
      </w:r>
      <w:r w:rsidRPr="00C903F8">
        <w:rPr>
          <w:rFonts w:eastAsia="Calibri"/>
          <w:noProof/>
          <w:lang w:val="en-US" w:eastAsia="en-US"/>
        </w:rPr>
        <w:tab/>
        <w:t>fire dampers;</w:t>
      </w:r>
    </w:p>
    <w:p w:rsidR="00973DAA" w:rsidRPr="00C903F8" w:rsidRDefault="0029453D" w:rsidP="009870AF">
      <w:pPr>
        <w:pStyle w:val="ESlet"/>
        <w:rPr>
          <w:rFonts w:eastAsia="Calibri" w:cs="Arial"/>
          <w:szCs w:val="18"/>
          <w:lang w:val="en-US" w:eastAsia="en-US"/>
        </w:rPr>
      </w:pPr>
      <w:r w:rsidRPr="00C903F8">
        <w:rPr>
          <w:rFonts w:eastAsia="Calibri"/>
          <w:noProof/>
          <w:lang w:val="en-US" w:eastAsia="en-US"/>
        </w:rPr>
        <w:t>k)</w:t>
      </w:r>
      <w:r w:rsidR="00973DAA" w:rsidRPr="00C903F8">
        <w:rPr>
          <w:rFonts w:eastAsia="Calibri"/>
          <w:noProof/>
          <w:lang w:val="en-US" w:eastAsia="en-US"/>
        </w:rPr>
        <w:tab/>
        <w:t>fire alarm system;</w:t>
      </w:r>
    </w:p>
    <w:p w:rsidR="00973DAA" w:rsidRPr="00C903F8" w:rsidRDefault="0029453D" w:rsidP="009870AF">
      <w:pPr>
        <w:pStyle w:val="ESlet"/>
        <w:rPr>
          <w:rFonts w:eastAsia="Calibri" w:cs="Arial"/>
          <w:szCs w:val="18"/>
          <w:lang w:val="en-US" w:eastAsia="en-US"/>
        </w:rPr>
      </w:pPr>
      <w:r w:rsidRPr="00C903F8">
        <w:rPr>
          <w:rFonts w:eastAsia="Calibri"/>
          <w:noProof/>
          <w:lang w:val="en-US" w:eastAsia="en-US"/>
        </w:rPr>
        <w:t>l)</w:t>
      </w:r>
      <w:r w:rsidR="00973DAA" w:rsidRPr="00C903F8">
        <w:rPr>
          <w:rFonts w:eastAsia="Calibri"/>
          <w:noProof/>
          <w:lang w:val="en-US" w:eastAsia="en-US"/>
        </w:rPr>
        <w:tab/>
        <w:t>emergency power plant;</w:t>
      </w:r>
    </w:p>
    <w:p w:rsidR="00973DAA" w:rsidRPr="00C903F8" w:rsidRDefault="0029453D" w:rsidP="009870AF">
      <w:pPr>
        <w:pStyle w:val="ESlet"/>
        <w:rPr>
          <w:rFonts w:eastAsia="Calibri" w:cs="Arial"/>
          <w:szCs w:val="18"/>
          <w:lang w:val="en-US" w:eastAsia="en-US"/>
        </w:rPr>
      </w:pPr>
      <w:r w:rsidRPr="00C903F8">
        <w:rPr>
          <w:rFonts w:eastAsia="Calibri"/>
          <w:noProof/>
          <w:lang w:val="en-US" w:eastAsia="en-US"/>
        </w:rPr>
        <w:t>m)</w:t>
      </w:r>
      <w:r w:rsidR="00973DAA" w:rsidRPr="00C903F8">
        <w:rPr>
          <w:rFonts w:eastAsia="Calibri"/>
          <w:noProof/>
          <w:lang w:val="en-US" w:eastAsia="en-US"/>
        </w:rPr>
        <w:tab/>
        <w:t>ventilation system control units;</w:t>
      </w:r>
    </w:p>
    <w:p w:rsidR="00973DAA" w:rsidRPr="00C903F8" w:rsidRDefault="00973DAA" w:rsidP="009870AF">
      <w:pPr>
        <w:pStyle w:val="ESlet"/>
        <w:rPr>
          <w:rFonts w:eastAsia="Calibri" w:cs="Arial"/>
          <w:szCs w:val="18"/>
          <w:lang w:val="en-US" w:eastAsia="en-US"/>
        </w:rPr>
      </w:pPr>
      <w:r w:rsidRPr="00C903F8">
        <w:rPr>
          <w:rFonts w:eastAsia="Calibri"/>
          <w:noProof/>
          <w:lang w:val="en-US" w:eastAsia="en-US"/>
        </w:rPr>
        <w:t>n)</w:t>
      </w:r>
      <w:r w:rsidRPr="00C903F8">
        <w:rPr>
          <w:rFonts w:eastAsia="Calibri"/>
          <w:noProof/>
          <w:lang w:val="en-US" w:eastAsia="en-US"/>
        </w:rPr>
        <w:tab/>
        <w:t>shore connections;</w:t>
      </w:r>
    </w:p>
    <w:p w:rsidR="00973DAA" w:rsidRPr="00C903F8" w:rsidRDefault="00973DAA" w:rsidP="009870AF">
      <w:pPr>
        <w:pStyle w:val="ESlet"/>
        <w:rPr>
          <w:rFonts w:eastAsia="Calibri" w:cs="Arial"/>
          <w:szCs w:val="18"/>
          <w:lang w:val="en-US" w:eastAsia="en-US"/>
        </w:rPr>
      </w:pPr>
      <w:r w:rsidRPr="00C903F8">
        <w:rPr>
          <w:rFonts w:eastAsia="Calibri"/>
          <w:noProof/>
          <w:lang w:val="en-US" w:eastAsia="en-US"/>
        </w:rPr>
        <w:t>o)</w:t>
      </w:r>
      <w:r w:rsidRPr="00C903F8">
        <w:rPr>
          <w:rFonts w:eastAsia="Calibri"/>
          <w:noProof/>
          <w:lang w:val="en-US" w:eastAsia="en-US"/>
        </w:rPr>
        <w:tab/>
        <w:t>fuel line shut-offs;</w:t>
      </w:r>
    </w:p>
    <w:p w:rsidR="00973DAA" w:rsidRPr="00C903F8" w:rsidRDefault="00973DAA" w:rsidP="009870AF">
      <w:pPr>
        <w:pStyle w:val="ESlet"/>
        <w:rPr>
          <w:rFonts w:eastAsia="Calibri" w:cs="Arial"/>
          <w:szCs w:val="18"/>
          <w:lang w:val="en-US" w:eastAsia="en-US"/>
        </w:rPr>
      </w:pPr>
      <w:r w:rsidRPr="00C903F8">
        <w:rPr>
          <w:rFonts w:eastAsia="Calibri"/>
          <w:noProof/>
          <w:lang w:val="en-US" w:eastAsia="en-US"/>
        </w:rPr>
        <w:t>p)</w:t>
      </w:r>
      <w:r w:rsidRPr="00C903F8">
        <w:rPr>
          <w:rFonts w:eastAsia="Calibri"/>
          <w:noProof/>
          <w:lang w:val="en-US" w:eastAsia="en-US"/>
        </w:rPr>
        <w:tab/>
        <w:t>liquefied gas installations;</w:t>
      </w:r>
    </w:p>
    <w:p w:rsidR="00973DAA" w:rsidRPr="00C903F8" w:rsidRDefault="00973DAA" w:rsidP="009870AF">
      <w:pPr>
        <w:pStyle w:val="ESlet"/>
        <w:rPr>
          <w:rFonts w:eastAsia="Calibri" w:cs="Arial"/>
          <w:szCs w:val="18"/>
          <w:lang w:val="en-US" w:eastAsia="en-US"/>
        </w:rPr>
      </w:pPr>
      <w:r w:rsidRPr="00C903F8">
        <w:rPr>
          <w:rFonts w:eastAsia="Calibri"/>
          <w:noProof/>
          <w:lang w:val="en-US" w:eastAsia="en-US"/>
        </w:rPr>
        <w:t xml:space="preserve">q) </w:t>
      </w:r>
      <w:r w:rsidRPr="00C903F8">
        <w:rPr>
          <w:rFonts w:eastAsia="Calibri"/>
          <w:noProof/>
          <w:lang w:val="en-US" w:eastAsia="en-US"/>
        </w:rPr>
        <w:tab/>
        <w:t>public address systems;</w:t>
      </w:r>
    </w:p>
    <w:p w:rsidR="00973DAA" w:rsidRPr="00C903F8" w:rsidRDefault="00973DAA" w:rsidP="009870AF">
      <w:pPr>
        <w:pStyle w:val="ESlet"/>
        <w:rPr>
          <w:rFonts w:eastAsia="Calibri" w:cs="Arial"/>
          <w:szCs w:val="18"/>
          <w:lang w:val="en-US" w:eastAsia="en-US"/>
        </w:rPr>
      </w:pPr>
      <w:r w:rsidRPr="00C903F8">
        <w:rPr>
          <w:rFonts w:eastAsia="Calibri"/>
          <w:noProof/>
          <w:lang w:val="en-US" w:eastAsia="en-US"/>
        </w:rPr>
        <w:t xml:space="preserve">r) </w:t>
      </w:r>
      <w:r w:rsidRPr="00C903F8">
        <w:rPr>
          <w:rFonts w:eastAsia="Calibri"/>
          <w:noProof/>
          <w:lang w:val="en-US" w:eastAsia="en-US"/>
        </w:rPr>
        <w:tab/>
        <w:t>radiotelephone equipment;</w:t>
      </w:r>
    </w:p>
    <w:p w:rsidR="00973DAA" w:rsidRPr="00C903F8" w:rsidRDefault="00973DAA" w:rsidP="009870AF">
      <w:pPr>
        <w:pStyle w:val="ESlet"/>
        <w:rPr>
          <w:rFonts w:eastAsia="Calibri" w:cs="Arial"/>
          <w:szCs w:val="18"/>
          <w:lang w:val="en-US" w:eastAsia="en-US"/>
        </w:rPr>
      </w:pPr>
      <w:r w:rsidRPr="00C903F8">
        <w:rPr>
          <w:rFonts w:eastAsia="Calibri"/>
          <w:noProof/>
          <w:lang w:val="en-US" w:eastAsia="en-US"/>
        </w:rPr>
        <w:t xml:space="preserve">s) </w:t>
      </w:r>
      <w:r w:rsidRPr="00C903F8">
        <w:rPr>
          <w:rFonts w:eastAsia="Calibri"/>
          <w:noProof/>
          <w:lang w:val="en-US" w:eastAsia="en-US"/>
        </w:rPr>
        <w:tab/>
        <w:t>first-aid kits.</w:t>
      </w:r>
    </w:p>
    <w:p w:rsidR="009870AF" w:rsidRPr="00C903F8" w:rsidRDefault="009870AF"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3.</w:t>
      </w:r>
      <w:r w:rsidRPr="00C903F8">
        <w:rPr>
          <w:rFonts w:eastAsia="Calibri"/>
          <w:noProof/>
          <w:lang w:val="en-US" w:eastAsia="en-US"/>
        </w:rPr>
        <w:tab/>
        <w:t xml:space="preserve">The safety rota according to </w:t>
      </w:r>
      <w:r w:rsidR="00FD1E75" w:rsidRPr="00C903F8">
        <w:rPr>
          <w:rFonts w:eastAsia="Calibri"/>
          <w:noProof/>
          <w:lang w:val="en-US" w:eastAsia="en-US"/>
        </w:rPr>
        <w:t>(</w:t>
      </w:r>
      <w:r w:rsidRPr="00C903F8">
        <w:rPr>
          <w:rFonts w:eastAsia="Calibri"/>
          <w:noProof/>
          <w:lang w:val="en-US" w:eastAsia="en-US"/>
        </w:rPr>
        <w:t>1</w:t>
      </w:r>
      <w:r w:rsidR="00FD1E75" w:rsidRPr="00C903F8">
        <w:rPr>
          <w:rFonts w:eastAsia="Calibri"/>
          <w:noProof/>
          <w:lang w:val="en-US" w:eastAsia="en-US"/>
        </w:rPr>
        <w:t>)</w:t>
      </w:r>
      <w:r w:rsidRPr="00C903F8">
        <w:rPr>
          <w:rFonts w:eastAsia="Calibri"/>
          <w:noProof/>
          <w:lang w:val="en-US" w:eastAsia="en-US"/>
        </w:rPr>
        <w:t xml:space="preserve"> and the safety plan according to </w:t>
      </w:r>
      <w:r w:rsidR="00FD1E75" w:rsidRPr="00C903F8">
        <w:rPr>
          <w:rFonts w:eastAsia="Calibri"/>
          <w:noProof/>
          <w:lang w:val="en-US" w:eastAsia="en-US"/>
        </w:rPr>
        <w:t>(</w:t>
      </w:r>
      <w:r w:rsidRPr="00C903F8">
        <w:rPr>
          <w:rFonts w:eastAsia="Calibri"/>
          <w:noProof/>
          <w:lang w:val="en-US" w:eastAsia="en-US"/>
        </w:rPr>
        <w:t>2</w:t>
      </w:r>
      <w:r w:rsidR="00FD1E75" w:rsidRPr="00C903F8">
        <w:rPr>
          <w:rFonts w:eastAsia="Calibri"/>
          <w:noProof/>
          <w:lang w:val="en-US" w:eastAsia="en-US"/>
        </w:rPr>
        <w:t>)</w:t>
      </w:r>
      <w:r w:rsidRPr="00C903F8">
        <w:rPr>
          <w:rFonts w:eastAsia="Calibri"/>
          <w:noProof/>
          <w:lang w:val="en-US" w:eastAsia="en-US"/>
        </w:rPr>
        <w:t xml:space="preserve"> shall:</w:t>
      </w:r>
    </w:p>
    <w:p w:rsidR="00973DAA" w:rsidRPr="00C903F8" w:rsidRDefault="005C7859" w:rsidP="009870AF">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be duly stamped by the inspection body, and</w:t>
      </w:r>
    </w:p>
    <w:p w:rsidR="00973DAA" w:rsidRPr="00C903F8" w:rsidRDefault="005C7859" w:rsidP="009870AF">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be prominently displayed at an appropriate point on each deck.</w:t>
      </w:r>
    </w:p>
    <w:p w:rsidR="009870AF" w:rsidRPr="00C903F8" w:rsidRDefault="009870AF"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4.</w:t>
      </w:r>
      <w:r w:rsidRPr="00C903F8">
        <w:rPr>
          <w:rFonts w:eastAsia="Calibri"/>
          <w:noProof/>
          <w:lang w:val="en-US" w:eastAsia="en-US"/>
        </w:rPr>
        <w:tab/>
        <w:t xml:space="preserve">A code of conduct for passengers shall be posted up in each cabin and also a simplified safety plan containing only the information referred to in </w:t>
      </w:r>
      <w:r w:rsidR="00FD1E75" w:rsidRPr="00C903F8">
        <w:rPr>
          <w:rFonts w:eastAsia="Calibri"/>
          <w:noProof/>
          <w:lang w:val="en-US" w:eastAsia="en-US"/>
        </w:rPr>
        <w:t>(</w:t>
      </w:r>
      <w:r w:rsidRPr="00C903F8">
        <w:rPr>
          <w:rFonts w:eastAsia="Calibri"/>
          <w:noProof/>
          <w:lang w:val="en-US" w:eastAsia="en-US"/>
        </w:rPr>
        <w:t>2</w:t>
      </w:r>
      <w:r w:rsidR="00FD1E75" w:rsidRPr="00C903F8">
        <w:rPr>
          <w:rFonts w:eastAsia="Calibri"/>
          <w:noProof/>
          <w:lang w:val="en-US" w:eastAsia="en-US"/>
        </w:rPr>
        <w:t>)</w:t>
      </w:r>
      <w:r w:rsidRPr="00C903F8">
        <w:rPr>
          <w:rFonts w:eastAsia="Calibri"/>
          <w:noProof/>
          <w:lang w:val="en-US" w:eastAsia="en-US"/>
        </w:rPr>
        <w:t>(a) to (f).</w:t>
      </w:r>
    </w:p>
    <w:p w:rsidR="009870AF" w:rsidRPr="00C903F8" w:rsidRDefault="009870AF" w:rsidP="009870AF">
      <w:pPr>
        <w:pStyle w:val="ESchpar"/>
        <w:rPr>
          <w:rFonts w:eastAsia="Calibri"/>
          <w:noProof/>
          <w:lang w:val="en-US" w:eastAsia="en-US"/>
        </w:rPr>
      </w:pPr>
    </w:p>
    <w:p w:rsidR="00973DAA" w:rsidRPr="00C903F8" w:rsidRDefault="00973DAA" w:rsidP="009870AF">
      <w:pPr>
        <w:pStyle w:val="ESchpar"/>
        <w:rPr>
          <w:rFonts w:eastAsia="Calibri" w:cs="Arial"/>
          <w:szCs w:val="18"/>
          <w:lang w:val="en-US" w:eastAsia="en-US"/>
        </w:rPr>
      </w:pPr>
      <w:r w:rsidRPr="00C903F8">
        <w:rPr>
          <w:rFonts w:eastAsia="Calibri"/>
          <w:noProof/>
          <w:lang w:val="en-US" w:eastAsia="en-US"/>
        </w:rPr>
        <w:t>This code of conduct shall include at least:</w:t>
      </w:r>
    </w:p>
    <w:p w:rsidR="00973DAA" w:rsidRPr="00C903F8" w:rsidRDefault="005C7859" w:rsidP="009870AF">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designation of emergencies</w:t>
      </w:r>
      <w:r w:rsidR="00772341" w:rsidRPr="00C903F8">
        <w:rPr>
          <w:rFonts w:eastAsia="Calibri"/>
          <w:noProof/>
          <w:lang w:val="en-US" w:eastAsia="en-US"/>
        </w:rPr>
        <w:t>:</w:t>
      </w:r>
    </w:p>
    <w:p w:rsidR="00973DAA" w:rsidRPr="00C903F8" w:rsidRDefault="00973DAA" w:rsidP="009870AF">
      <w:pPr>
        <w:pStyle w:val="ESletpar"/>
        <w:rPr>
          <w:rFonts w:eastAsia="Calibri" w:cs="Arial"/>
          <w:szCs w:val="18"/>
          <w:lang w:val="en-US"/>
        </w:rPr>
      </w:pPr>
      <w:r w:rsidRPr="00C903F8">
        <w:rPr>
          <w:rFonts w:eastAsia="Calibri"/>
          <w:noProof/>
          <w:lang w:val="en-US"/>
        </w:rPr>
        <w:t>aa)</w:t>
      </w:r>
      <w:r w:rsidRPr="00C903F8">
        <w:rPr>
          <w:rFonts w:eastAsia="Calibri"/>
          <w:noProof/>
          <w:lang w:val="en-US"/>
        </w:rPr>
        <w:tab/>
        <w:t>fire</w:t>
      </w:r>
      <w:r w:rsidR="00772341" w:rsidRPr="00C903F8">
        <w:rPr>
          <w:rFonts w:eastAsia="Calibri"/>
          <w:noProof/>
          <w:lang w:val="en-US"/>
        </w:rPr>
        <w:t>;</w:t>
      </w:r>
    </w:p>
    <w:p w:rsidR="00973DAA" w:rsidRPr="00C903F8" w:rsidRDefault="00973DAA" w:rsidP="009870AF">
      <w:pPr>
        <w:pStyle w:val="ESletpar"/>
        <w:rPr>
          <w:rFonts w:eastAsia="Calibri" w:cs="Arial"/>
          <w:szCs w:val="18"/>
          <w:lang w:val="en-US"/>
        </w:rPr>
      </w:pPr>
      <w:r w:rsidRPr="00C903F8">
        <w:rPr>
          <w:rFonts w:eastAsia="Calibri"/>
          <w:noProof/>
          <w:lang w:val="en-US"/>
        </w:rPr>
        <w:t>bb)</w:t>
      </w:r>
      <w:r w:rsidRPr="00C903F8">
        <w:rPr>
          <w:rFonts w:eastAsia="Calibri"/>
          <w:noProof/>
          <w:lang w:val="en-US"/>
        </w:rPr>
        <w:tab/>
        <w:t>flooding</w:t>
      </w:r>
      <w:r w:rsidR="00772341" w:rsidRPr="00C903F8">
        <w:rPr>
          <w:rFonts w:eastAsia="Calibri"/>
          <w:noProof/>
          <w:lang w:val="en-US"/>
        </w:rPr>
        <w:t>;</w:t>
      </w:r>
    </w:p>
    <w:p w:rsidR="00973DAA" w:rsidRPr="00C903F8" w:rsidRDefault="00973DAA" w:rsidP="009870AF">
      <w:pPr>
        <w:pStyle w:val="ESletpar"/>
        <w:rPr>
          <w:rFonts w:eastAsia="Calibri" w:cs="Arial"/>
          <w:szCs w:val="18"/>
          <w:lang w:val="en-US"/>
        </w:rPr>
      </w:pPr>
      <w:r w:rsidRPr="00C903F8">
        <w:rPr>
          <w:rFonts w:eastAsia="Calibri"/>
          <w:noProof/>
          <w:lang w:val="en-US"/>
        </w:rPr>
        <w:t>cc)</w:t>
      </w:r>
      <w:r w:rsidRPr="00C903F8">
        <w:rPr>
          <w:rFonts w:eastAsia="Calibri"/>
          <w:noProof/>
          <w:lang w:val="en-US"/>
        </w:rPr>
        <w:tab/>
        <w:t>general hazard;</w:t>
      </w:r>
    </w:p>
    <w:p w:rsidR="00973DAA" w:rsidRPr="00C903F8" w:rsidRDefault="005C7859" w:rsidP="009870AF">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description of the various alarm signals;</w:t>
      </w:r>
    </w:p>
    <w:p w:rsidR="00973DAA" w:rsidRPr="00C903F8" w:rsidRDefault="005C7859" w:rsidP="009870AF">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instructions concerning the following:</w:t>
      </w:r>
    </w:p>
    <w:p w:rsidR="00973DAA" w:rsidRPr="00C903F8" w:rsidRDefault="00973DAA" w:rsidP="009870AF">
      <w:pPr>
        <w:pStyle w:val="ESletpar"/>
        <w:rPr>
          <w:rFonts w:eastAsia="Calibri" w:cs="Arial"/>
          <w:szCs w:val="18"/>
          <w:lang w:val="en-US"/>
        </w:rPr>
      </w:pPr>
      <w:r w:rsidRPr="00C903F8">
        <w:rPr>
          <w:rFonts w:eastAsia="Calibri"/>
          <w:noProof/>
          <w:lang w:val="en-US"/>
        </w:rPr>
        <w:t>aa)</w:t>
      </w:r>
      <w:r w:rsidRPr="00C903F8">
        <w:rPr>
          <w:rFonts w:eastAsia="Calibri"/>
          <w:noProof/>
          <w:lang w:val="en-US"/>
        </w:rPr>
        <w:tab/>
        <w:t>escape routes</w:t>
      </w:r>
      <w:r w:rsidR="00772341" w:rsidRPr="00C903F8">
        <w:rPr>
          <w:rFonts w:eastAsia="Calibri"/>
          <w:noProof/>
          <w:lang w:val="en-US"/>
        </w:rPr>
        <w:t>;</w:t>
      </w:r>
    </w:p>
    <w:p w:rsidR="00973DAA" w:rsidRPr="00C903F8" w:rsidRDefault="00973DAA" w:rsidP="009870AF">
      <w:pPr>
        <w:pStyle w:val="ESletpar"/>
        <w:rPr>
          <w:rFonts w:eastAsia="Calibri" w:cs="Arial"/>
          <w:szCs w:val="18"/>
          <w:lang w:val="en-US"/>
        </w:rPr>
      </w:pPr>
      <w:r w:rsidRPr="00C903F8">
        <w:rPr>
          <w:rFonts w:eastAsia="Calibri"/>
          <w:noProof/>
          <w:lang w:val="en-US"/>
        </w:rPr>
        <w:t>bb)</w:t>
      </w:r>
      <w:r w:rsidRPr="00C903F8">
        <w:rPr>
          <w:rFonts w:eastAsia="Calibri"/>
          <w:noProof/>
          <w:lang w:val="en-US"/>
        </w:rPr>
        <w:tab/>
        <w:t>what to do</w:t>
      </w:r>
      <w:r w:rsidR="00772341" w:rsidRPr="00C903F8">
        <w:rPr>
          <w:rFonts w:eastAsia="Calibri"/>
          <w:noProof/>
          <w:lang w:val="en-US"/>
        </w:rPr>
        <w:t>;</w:t>
      </w:r>
    </w:p>
    <w:p w:rsidR="00973DAA" w:rsidRPr="00C903F8" w:rsidRDefault="00973DAA" w:rsidP="009870AF">
      <w:pPr>
        <w:pStyle w:val="ESletpar"/>
        <w:rPr>
          <w:rFonts w:eastAsia="Calibri" w:cs="Arial"/>
          <w:szCs w:val="18"/>
          <w:lang w:val="en-US"/>
        </w:rPr>
      </w:pPr>
      <w:r w:rsidRPr="00C903F8">
        <w:rPr>
          <w:rFonts w:eastAsia="Calibri"/>
          <w:noProof/>
          <w:lang w:val="en-US"/>
        </w:rPr>
        <w:t>cc)</w:t>
      </w:r>
      <w:r w:rsidRPr="00C903F8">
        <w:rPr>
          <w:rFonts w:eastAsia="Calibri"/>
          <w:noProof/>
          <w:lang w:val="en-US"/>
        </w:rPr>
        <w:tab/>
        <w:t>need to keep calm;</w:t>
      </w:r>
    </w:p>
    <w:p w:rsidR="00973DAA" w:rsidRPr="00C903F8" w:rsidRDefault="0029453D" w:rsidP="009870AF">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 xml:space="preserve"> instructions concerning the following:</w:t>
      </w:r>
    </w:p>
    <w:p w:rsidR="00973DAA" w:rsidRPr="00C903F8" w:rsidRDefault="00973DAA" w:rsidP="009870AF">
      <w:pPr>
        <w:pStyle w:val="ESletpar"/>
        <w:rPr>
          <w:rFonts w:eastAsia="Calibri" w:cs="Arial"/>
          <w:szCs w:val="18"/>
          <w:lang w:val="en-US"/>
        </w:rPr>
      </w:pPr>
      <w:r w:rsidRPr="00C903F8">
        <w:rPr>
          <w:rFonts w:eastAsia="Calibri"/>
          <w:noProof/>
          <w:lang w:val="en-US"/>
        </w:rPr>
        <w:t>aa)</w:t>
      </w:r>
      <w:r w:rsidRPr="00C903F8">
        <w:rPr>
          <w:rFonts w:eastAsia="Calibri"/>
          <w:noProof/>
          <w:lang w:val="en-US"/>
        </w:rPr>
        <w:tab/>
        <w:t>smoking</w:t>
      </w:r>
      <w:r w:rsidR="00772341" w:rsidRPr="00C903F8">
        <w:rPr>
          <w:rFonts w:eastAsia="Calibri"/>
          <w:noProof/>
          <w:lang w:val="en-US"/>
        </w:rPr>
        <w:t>;</w:t>
      </w:r>
    </w:p>
    <w:p w:rsidR="00973DAA" w:rsidRPr="00C903F8" w:rsidRDefault="00973DAA" w:rsidP="009870AF">
      <w:pPr>
        <w:pStyle w:val="ESletpar"/>
        <w:rPr>
          <w:rFonts w:eastAsia="Calibri" w:cs="Arial"/>
          <w:szCs w:val="18"/>
          <w:lang w:val="en-US"/>
        </w:rPr>
      </w:pPr>
      <w:r w:rsidRPr="00C903F8">
        <w:rPr>
          <w:rFonts w:eastAsia="Calibri"/>
          <w:noProof/>
          <w:lang w:val="en-US"/>
        </w:rPr>
        <w:t>bb)</w:t>
      </w:r>
      <w:r w:rsidRPr="00C903F8">
        <w:rPr>
          <w:rFonts w:eastAsia="Calibri"/>
          <w:noProof/>
          <w:lang w:val="en-US"/>
        </w:rPr>
        <w:tab/>
        <w:t>use of fire and naked flame</w:t>
      </w:r>
      <w:r w:rsidR="00772341" w:rsidRPr="00C903F8">
        <w:rPr>
          <w:rFonts w:eastAsia="Calibri"/>
          <w:noProof/>
          <w:lang w:val="en-US"/>
        </w:rPr>
        <w:t>;</w:t>
      </w:r>
    </w:p>
    <w:p w:rsidR="00973DAA" w:rsidRPr="00C903F8" w:rsidRDefault="00973DAA" w:rsidP="009870AF">
      <w:pPr>
        <w:pStyle w:val="ESletpar"/>
        <w:rPr>
          <w:rFonts w:eastAsia="Calibri" w:cs="Arial"/>
          <w:szCs w:val="18"/>
          <w:lang w:val="en-US"/>
        </w:rPr>
      </w:pPr>
      <w:r w:rsidRPr="00C903F8">
        <w:rPr>
          <w:rFonts w:eastAsia="Calibri"/>
          <w:noProof/>
          <w:lang w:val="en-US"/>
        </w:rPr>
        <w:t>cc)</w:t>
      </w:r>
      <w:r w:rsidRPr="00C903F8">
        <w:rPr>
          <w:rFonts w:eastAsia="Calibri"/>
          <w:noProof/>
          <w:lang w:val="en-US"/>
        </w:rPr>
        <w:tab/>
        <w:t>opening windows</w:t>
      </w:r>
      <w:r w:rsidR="00772341" w:rsidRPr="00C903F8">
        <w:rPr>
          <w:rFonts w:eastAsia="Calibri"/>
          <w:noProof/>
          <w:lang w:val="en-US"/>
        </w:rPr>
        <w:t>;</w:t>
      </w:r>
    </w:p>
    <w:p w:rsidR="00973DAA" w:rsidRPr="00C903F8" w:rsidRDefault="00973DAA" w:rsidP="009870AF">
      <w:pPr>
        <w:pStyle w:val="ESletpar"/>
        <w:rPr>
          <w:rFonts w:eastAsia="Calibri" w:cs="Arial"/>
          <w:szCs w:val="18"/>
          <w:lang w:val="en-US"/>
        </w:rPr>
      </w:pPr>
      <w:r w:rsidRPr="00C903F8">
        <w:rPr>
          <w:rFonts w:eastAsia="Calibri"/>
          <w:noProof/>
          <w:lang w:val="en-US"/>
        </w:rPr>
        <w:t>dd)</w:t>
      </w:r>
      <w:r w:rsidRPr="00C903F8">
        <w:rPr>
          <w:rFonts w:eastAsia="Calibri"/>
          <w:noProof/>
          <w:lang w:val="en-US"/>
        </w:rPr>
        <w:tab/>
        <w:t>use of certain items of equipment.</w:t>
      </w:r>
    </w:p>
    <w:p w:rsidR="009870AF" w:rsidRPr="00C903F8" w:rsidRDefault="009870AF" w:rsidP="009870AF">
      <w:pPr>
        <w:pStyle w:val="ESchpar"/>
        <w:rPr>
          <w:rFonts w:eastAsia="Calibri"/>
          <w:noProof/>
          <w:lang w:val="en-US" w:eastAsia="en-US"/>
        </w:rPr>
      </w:pPr>
    </w:p>
    <w:p w:rsidR="00973DAA" w:rsidRPr="00C903F8" w:rsidRDefault="00973DAA" w:rsidP="009870AF">
      <w:pPr>
        <w:pStyle w:val="ESchpar"/>
        <w:rPr>
          <w:rFonts w:eastAsia="Calibri" w:cs="Arial"/>
          <w:szCs w:val="18"/>
          <w:lang w:val="en-US" w:eastAsia="en-US"/>
        </w:rPr>
      </w:pPr>
      <w:r w:rsidRPr="00C903F8">
        <w:rPr>
          <w:rFonts w:eastAsia="Calibri"/>
          <w:noProof/>
          <w:lang w:val="en-US" w:eastAsia="en-US"/>
        </w:rPr>
        <w:t>These details shall be posted up in Dutch, English, French and German.</w:t>
      </w:r>
    </w:p>
    <w:p w:rsidR="00973DAA" w:rsidRPr="00C903F8" w:rsidRDefault="00973DAA" w:rsidP="00973DAA">
      <w:pPr>
        <w:pStyle w:val="ESch"/>
        <w:rPr>
          <w:rFonts w:eastAsia="Calibri" w:cs="Arial"/>
          <w:szCs w:val="18"/>
          <w:lang w:val="en-US" w:eastAsia="en-US"/>
        </w:rPr>
      </w:pPr>
    </w:p>
    <w:p w:rsidR="009870AF" w:rsidRPr="00C903F8" w:rsidRDefault="009870AF" w:rsidP="00973DAA">
      <w:pPr>
        <w:pStyle w:val="ESch"/>
        <w:rPr>
          <w:rFonts w:eastAsia="Calibri" w:cs="Arial"/>
          <w:szCs w:val="18"/>
          <w:lang w:val="en-US" w:eastAsia="en-US"/>
        </w:rPr>
      </w:pPr>
      <w:r w:rsidRPr="00C903F8">
        <w:rPr>
          <w:rFonts w:eastAsia="Calibri" w:cs="Arial"/>
          <w:szCs w:val="18"/>
          <w:lang w:val="en-US" w:eastAsia="en-US"/>
        </w:rPr>
        <w:br w:type="page"/>
      </w:r>
    </w:p>
    <w:p w:rsidR="00973DAA" w:rsidRPr="00C903F8" w:rsidRDefault="00973DAA" w:rsidP="009870AF">
      <w:pPr>
        <w:pStyle w:val="ES-Titre3"/>
        <w:rPr>
          <w:rFonts w:cs="Arial"/>
          <w:i/>
          <w:szCs w:val="18"/>
          <w:lang w:val="en-US"/>
        </w:rPr>
      </w:pPr>
      <w:bookmarkStart w:id="195" w:name="_Toc491854183"/>
      <w:r w:rsidRPr="00C903F8">
        <w:rPr>
          <w:noProof/>
          <w:lang w:val="en-US"/>
        </w:rPr>
        <w:lastRenderedPageBreak/>
        <w:t>Article 19.14</w:t>
      </w:r>
      <w:r w:rsidRPr="00C903F8">
        <w:rPr>
          <w:noProof/>
          <w:lang w:val="en-US"/>
        </w:rPr>
        <w:br/>
      </w:r>
      <w:r w:rsidRPr="00C903F8">
        <w:rPr>
          <w:i/>
          <w:noProof/>
          <w:lang w:val="en-US"/>
        </w:rPr>
        <w:t>Waste water collection and disposal facilities</w:t>
      </w:r>
      <w:bookmarkEnd w:id="195"/>
    </w:p>
    <w:p w:rsidR="000D3586" w:rsidRPr="00C903F8" w:rsidRDefault="000D3586"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w:t>
      </w:r>
      <w:r w:rsidRPr="00C903F8">
        <w:rPr>
          <w:rFonts w:eastAsia="Calibri"/>
          <w:noProof/>
          <w:lang w:val="en-US" w:eastAsia="en-US"/>
        </w:rPr>
        <w:tab/>
        <w:t xml:space="preserve">Passenger vessels shall be equipped with collection tanks for domestic waste water in accordance with </w:t>
      </w:r>
      <w:r w:rsidR="00FD1E75" w:rsidRPr="00C903F8">
        <w:rPr>
          <w:rFonts w:eastAsia="Calibri"/>
          <w:noProof/>
          <w:lang w:val="en-US" w:eastAsia="en-US"/>
        </w:rPr>
        <w:t>(</w:t>
      </w:r>
      <w:r w:rsidRPr="00C903F8">
        <w:rPr>
          <w:rFonts w:eastAsia="Calibri"/>
          <w:noProof/>
          <w:lang w:val="en-US" w:eastAsia="en-US"/>
        </w:rPr>
        <w:t>2</w:t>
      </w:r>
      <w:r w:rsidR="00FD1E75" w:rsidRPr="00C903F8">
        <w:rPr>
          <w:rFonts w:eastAsia="Calibri"/>
          <w:noProof/>
          <w:lang w:val="en-US" w:eastAsia="en-US"/>
        </w:rPr>
        <w:t>)</w:t>
      </w:r>
      <w:r w:rsidRPr="00C903F8">
        <w:rPr>
          <w:rFonts w:eastAsia="Calibri"/>
          <w:noProof/>
          <w:lang w:val="en-US" w:eastAsia="en-US"/>
        </w:rPr>
        <w:t xml:space="preserve"> of this Article or appropriate on-board sewage treatment plants in accordance with Chapter 18.</w:t>
      </w:r>
    </w:p>
    <w:p w:rsidR="000D3586" w:rsidRPr="00C903F8" w:rsidRDefault="000D3586"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2.</w:t>
      </w:r>
      <w:r w:rsidRPr="00C903F8">
        <w:rPr>
          <w:rFonts w:eastAsia="Calibri"/>
          <w:noProof/>
          <w:lang w:val="en-US" w:eastAsia="en-US"/>
        </w:rPr>
        <w:tab/>
        <w:t xml:space="preserve">Waste water collection tanks shall have sufficient capacity. Tanks shall be fitted with a device to indicate their content level. There shall be on-board pumps and pipes for emptying the tanks, whereby waste water can be passed from both sides of the vessel. It shall be possible to pass waste water from other vessels </w:t>
      </w:r>
      <w:r w:rsidR="00F71051" w:rsidRPr="00C903F8">
        <w:rPr>
          <w:rFonts w:eastAsia="Calibri"/>
          <w:noProof/>
          <w:lang w:val="en-US" w:eastAsia="en-US"/>
        </w:rPr>
        <w:t>onwards</w:t>
      </w:r>
      <w:r w:rsidRPr="00C903F8">
        <w:rPr>
          <w:rFonts w:eastAsia="Calibri"/>
          <w:noProof/>
          <w:lang w:val="en-US" w:eastAsia="en-US"/>
        </w:rPr>
        <w:t>.</w:t>
      </w:r>
    </w:p>
    <w:p w:rsidR="000D3586" w:rsidRPr="00C903F8" w:rsidRDefault="000D3586" w:rsidP="00973DAA">
      <w:pPr>
        <w:pStyle w:val="ESch"/>
        <w:rPr>
          <w:rFonts w:eastAsia="Calibri"/>
          <w:noProof/>
          <w:lang w:val="en-US" w:eastAsia="en-US"/>
        </w:rPr>
      </w:pPr>
    </w:p>
    <w:p w:rsidR="00973DAA" w:rsidRPr="00C903F8" w:rsidRDefault="00973DAA" w:rsidP="000D3586">
      <w:pPr>
        <w:pStyle w:val="ESchpar"/>
        <w:rPr>
          <w:rFonts w:eastAsia="Calibri" w:cs="Arial"/>
          <w:szCs w:val="18"/>
          <w:lang w:val="en-US" w:eastAsia="en-US"/>
        </w:rPr>
      </w:pPr>
      <w:r w:rsidRPr="00C903F8">
        <w:rPr>
          <w:rFonts w:eastAsia="Calibri"/>
          <w:noProof/>
          <w:lang w:val="en-US" w:eastAsia="en-US"/>
        </w:rPr>
        <w:t xml:space="preserve">The pipes shall be fitted with a discharge connection according to European </w:t>
      </w:r>
      <w:r w:rsidR="00837508" w:rsidRPr="00C903F8">
        <w:rPr>
          <w:rFonts w:eastAsia="Calibri"/>
          <w:noProof/>
          <w:lang w:val="en-US" w:eastAsia="en-US"/>
        </w:rPr>
        <w:t>S</w:t>
      </w:r>
      <w:r w:rsidRPr="00C903F8">
        <w:rPr>
          <w:rFonts w:eastAsia="Calibri"/>
          <w:noProof/>
          <w:lang w:val="en-US" w:eastAsia="en-US"/>
        </w:rPr>
        <w:t>tandard EN</w:t>
      </w:r>
      <w:r w:rsidR="000D3586" w:rsidRPr="00C903F8">
        <w:rPr>
          <w:rFonts w:eastAsia="Calibri"/>
          <w:noProof/>
          <w:lang w:val="en-US" w:eastAsia="en-US"/>
        </w:rPr>
        <w:t> </w:t>
      </w:r>
      <w:r w:rsidRPr="00C903F8">
        <w:rPr>
          <w:rFonts w:eastAsia="Calibri"/>
          <w:noProof/>
          <w:lang w:val="en-US" w:eastAsia="en-US"/>
        </w:rPr>
        <w:t>1306</w:t>
      </w:r>
      <w:r w:rsidR="000D3586" w:rsidRPr="00C903F8">
        <w:rPr>
          <w:rFonts w:eastAsia="Calibri"/>
          <w:noProof/>
          <w:lang w:val="en-US" w:eastAsia="en-US"/>
        </w:rPr>
        <w:t> </w:t>
      </w:r>
      <w:r w:rsidRPr="00C903F8">
        <w:rPr>
          <w:rFonts w:eastAsia="Calibri"/>
          <w:noProof/>
          <w:lang w:val="en-US" w:eastAsia="en-US"/>
        </w:rPr>
        <w:t>:</w:t>
      </w:r>
      <w:r w:rsidR="000D3586" w:rsidRPr="00C903F8">
        <w:rPr>
          <w:rFonts w:eastAsia="Calibri"/>
          <w:noProof/>
          <w:lang w:val="en-US" w:eastAsia="en-US"/>
        </w:rPr>
        <w:t> </w:t>
      </w:r>
      <w:r w:rsidRPr="00C903F8">
        <w:rPr>
          <w:rFonts w:eastAsia="Calibri"/>
          <w:noProof/>
          <w:lang w:val="en-US" w:eastAsia="en-US"/>
        </w:rPr>
        <w:t>1996.</w:t>
      </w:r>
    </w:p>
    <w:p w:rsidR="00973DAA" w:rsidRPr="00C903F8" w:rsidRDefault="00973DAA" w:rsidP="00973DAA">
      <w:pPr>
        <w:pStyle w:val="ESch"/>
        <w:rPr>
          <w:rFonts w:eastAsia="Calibri" w:cs="Arial"/>
          <w:szCs w:val="18"/>
          <w:lang w:val="en-US" w:eastAsia="en-US"/>
        </w:rPr>
      </w:pPr>
    </w:p>
    <w:p w:rsidR="000D3586" w:rsidRPr="00C903F8" w:rsidRDefault="000D3586" w:rsidP="00973DAA">
      <w:pPr>
        <w:pStyle w:val="ESch"/>
        <w:rPr>
          <w:rFonts w:eastAsia="Calibri" w:cs="Arial"/>
          <w:szCs w:val="18"/>
          <w:lang w:val="en-US" w:eastAsia="en-US"/>
        </w:rPr>
      </w:pPr>
    </w:p>
    <w:p w:rsidR="00973DAA" w:rsidRPr="00C903F8" w:rsidRDefault="00973DAA" w:rsidP="009870AF">
      <w:pPr>
        <w:pStyle w:val="ES-Titre3"/>
        <w:rPr>
          <w:rFonts w:cs="Arial"/>
          <w:i/>
          <w:szCs w:val="18"/>
        </w:rPr>
      </w:pPr>
      <w:bookmarkStart w:id="196" w:name="_Toc491854184"/>
      <w:r w:rsidRPr="00C903F8">
        <w:rPr>
          <w:noProof/>
          <w:lang w:val="fr-BE"/>
        </w:rPr>
        <w:t>Article 19.15</w:t>
      </w:r>
      <w:r w:rsidRPr="00C903F8">
        <w:rPr>
          <w:noProof/>
          <w:lang w:val="fr-BE"/>
        </w:rPr>
        <w:br/>
      </w:r>
      <w:r w:rsidRPr="00C903F8">
        <w:rPr>
          <w:i/>
          <w:noProof/>
          <w:lang w:val="fr-BE"/>
        </w:rPr>
        <w:t>Derogations for certain passenger vessels</w:t>
      </w:r>
      <w:bookmarkEnd w:id="196"/>
    </w:p>
    <w:p w:rsidR="000D3586" w:rsidRPr="00C903F8" w:rsidRDefault="000D3586" w:rsidP="00973DAA">
      <w:pPr>
        <w:pStyle w:val="ESch"/>
        <w:rPr>
          <w:rFonts w:eastAsia="Calibri"/>
          <w:noProof/>
          <w:lang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1.</w:t>
      </w:r>
      <w:r w:rsidRPr="00C903F8">
        <w:rPr>
          <w:rFonts w:eastAsia="Calibri"/>
          <w:noProof/>
          <w:lang w:val="en-US" w:eastAsia="en-US"/>
        </w:rPr>
        <w:tab/>
        <w:t xml:space="preserve">Passenger vessels authorised to carry up to a maximum of 50 passengers and with a length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L</m:t>
            </m:r>
          </m:e>
          <m:sub>
            <m:r>
              <w:rPr>
                <w:rFonts w:ascii="Cambria Math" w:hAnsi="Cambria Math" w:cs="Arial"/>
                <w:noProof/>
                <w:sz w:val="18"/>
                <w:szCs w:val="18"/>
                <w:lang w:val="en-US"/>
              </w:rPr>
              <m:t>WL</m:t>
            </m:r>
          </m:sub>
        </m:sSub>
      </m:oMath>
      <w:r w:rsidRPr="00C903F8">
        <w:rPr>
          <w:rFonts w:eastAsia="Calibri"/>
          <w:noProof/>
          <w:lang w:val="en-US" w:eastAsia="en-US"/>
        </w:rPr>
        <w:t xml:space="preserve"> of not more than 25 m shall prove adequate stability after damage according to Article</w:t>
      </w:r>
      <w:r w:rsidR="00A56366" w:rsidRPr="00C903F8">
        <w:rPr>
          <w:rFonts w:eastAsia="Calibri"/>
          <w:noProof/>
          <w:lang w:val="en-US" w:eastAsia="en-US"/>
        </w:rPr>
        <w:t> </w:t>
      </w:r>
      <w:r w:rsidRPr="00C903F8">
        <w:rPr>
          <w:rFonts w:eastAsia="Calibri"/>
          <w:noProof/>
          <w:lang w:val="en-US" w:eastAsia="en-US"/>
        </w:rPr>
        <w:t>19.03 (7 to 13) or, as an alternative, prove that they comply with the following criteria after symmetrical flooding:</w:t>
      </w:r>
    </w:p>
    <w:p w:rsidR="00973DAA" w:rsidRPr="00C903F8" w:rsidRDefault="005C7859" w:rsidP="000D3586">
      <w:pPr>
        <w:pStyle w:val="ESlet"/>
        <w:rPr>
          <w:rFonts w:eastAsia="Calibri" w:cs="Arial"/>
          <w:szCs w:val="18"/>
          <w:lang w:val="en-US" w:eastAsia="en-US"/>
        </w:rPr>
      </w:pPr>
      <w:r w:rsidRPr="00C903F8">
        <w:rPr>
          <w:rFonts w:eastAsia="Calibri"/>
          <w:noProof/>
          <w:lang w:val="en-US" w:eastAsia="en-US"/>
        </w:rPr>
        <w:t>a)</w:t>
      </w:r>
      <w:r w:rsidR="000D3586" w:rsidRPr="00C903F8">
        <w:rPr>
          <w:rFonts w:eastAsia="Calibri"/>
          <w:noProof/>
          <w:lang w:val="en-US" w:eastAsia="en-US"/>
        </w:rPr>
        <w:tab/>
      </w:r>
      <w:r w:rsidR="00973DAA" w:rsidRPr="00C903F8">
        <w:rPr>
          <w:rFonts w:eastAsia="Calibri"/>
          <w:noProof/>
          <w:lang w:val="en-US" w:eastAsia="en-US"/>
        </w:rPr>
        <w:t>the immersion of the vessel shall not exceed the margin line and</w:t>
      </w:r>
    </w:p>
    <w:p w:rsidR="00973DAA" w:rsidRPr="00C903F8" w:rsidRDefault="005C7859" w:rsidP="000D3586">
      <w:pPr>
        <w:pStyle w:val="ESlet"/>
        <w:rPr>
          <w:rFonts w:eastAsia="Calibri" w:cs="Arial"/>
          <w:szCs w:val="18"/>
          <w:lang w:val="en-US" w:eastAsia="en-US"/>
        </w:rPr>
      </w:pPr>
      <w:r w:rsidRPr="00C903F8">
        <w:rPr>
          <w:rFonts w:eastAsia="Calibri"/>
          <w:noProof/>
          <w:lang w:val="en-US" w:eastAsia="en-US"/>
        </w:rPr>
        <w:t>b)</w:t>
      </w:r>
      <w:r w:rsidR="000D3586" w:rsidRPr="00C903F8">
        <w:rPr>
          <w:rFonts w:eastAsia="Calibri"/>
          <w:noProof/>
          <w:lang w:val="en-US" w:eastAsia="en-US"/>
        </w:rPr>
        <w:tab/>
      </w:r>
      <w:r w:rsidR="00973DAA" w:rsidRPr="00C903F8">
        <w:rPr>
          <w:rFonts w:eastAsia="Calibri"/>
          <w:noProof/>
          <w:lang w:val="en-US" w:eastAsia="en-US"/>
        </w:rPr>
        <w:t xml:space="preserve">the </w:t>
      </w:r>
      <w:r w:rsidR="00F71051" w:rsidRPr="00C903F8">
        <w:rPr>
          <w:rFonts w:eastAsia="Calibri"/>
          <w:noProof/>
          <w:lang w:val="en-US" w:eastAsia="en-US"/>
        </w:rPr>
        <w:t xml:space="preserve">residual </w:t>
      </w:r>
      <w:r w:rsidR="00973DAA" w:rsidRPr="00C903F8">
        <w:rPr>
          <w:rFonts w:eastAsia="Calibri"/>
          <w:noProof/>
          <w:lang w:val="en-US" w:eastAsia="en-US"/>
        </w:rPr>
        <w:t xml:space="preserve">metacentric height </w:t>
      </w:r>
      <m:oMath>
        <m:sSub>
          <m:sSubPr>
            <m:ctrlPr>
              <w:rPr>
                <w:rFonts w:ascii="Cambria Math" w:eastAsia="Calibri" w:hAnsi="Cambria Math"/>
                <w:i/>
                <w:noProof/>
                <w:lang w:val="en-US" w:eastAsia="en-US"/>
              </w:rPr>
            </m:ctrlPr>
          </m:sSubPr>
          <m:e>
            <m:r>
              <w:rPr>
                <w:rFonts w:ascii="Cambria Math" w:eastAsia="Calibri" w:hAnsi="Cambria Math"/>
                <w:noProof/>
                <w:lang w:val="en-US" w:eastAsia="en-US"/>
              </w:rPr>
              <m:t>GM</m:t>
            </m:r>
          </m:e>
          <m:sub>
            <m:r>
              <w:rPr>
                <w:rFonts w:ascii="Cambria Math" w:eastAsia="Calibri" w:hAnsi="Cambria Math"/>
                <w:noProof/>
                <w:lang w:val="en-US" w:eastAsia="en-US"/>
              </w:rPr>
              <m:t>R</m:t>
            </m:r>
          </m:sub>
        </m:sSub>
      </m:oMath>
      <w:r w:rsidR="00973DAA" w:rsidRPr="00C903F8">
        <w:rPr>
          <w:rFonts w:eastAsia="Calibri"/>
          <w:noProof/>
          <w:lang w:val="en-US" w:eastAsia="en-US"/>
        </w:rPr>
        <w:t>shall not be less than 0,10 m.</w:t>
      </w:r>
    </w:p>
    <w:p w:rsidR="000D3586" w:rsidRPr="00C903F8" w:rsidRDefault="000D3586" w:rsidP="00973DAA">
      <w:pPr>
        <w:pStyle w:val="ESch"/>
        <w:rPr>
          <w:rFonts w:eastAsia="Calibri"/>
          <w:noProof/>
          <w:lang w:val="en-US" w:eastAsia="en-US"/>
        </w:rPr>
      </w:pPr>
    </w:p>
    <w:p w:rsidR="00973DAA" w:rsidRPr="00C903F8" w:rsidRDefault="00973DAA" w:rsidP="000D3586">
      <w:pPr>
        <w:pStyle w:val="ESchpar"/>
        <w:rPr>
          <w:rFonts w:eastAsia="Calibri" w:cs="Arial"/>
          <w:szCs w:val="18"/>
          <w:lang w:val="en-US" w:eastAsia="en-US"/>
        </w:rPr>
      </w:pPr>
      <w:r w:rsidRPr="00C903F8">
        <w:rPr>
          <w:rFonts w:eastAsia="Calibri"/>
          <w:noProof/>
          <w:lang w:val="en-US" w:eastAsia="en-US"/>
        </w:rPr>
        <w:t>The necessary residual buoyancy shall be assured through the appropriate choice of material used for the construction of the hull or by means of highly cellular foam floats, solidly attached to the hull. In the case of vessels with a length of more than 15 m, residual buoyancy can be ensured by a combination of floats and subdivision complying with the 1-compartment status according to in Article 19.03.</w:t>
      </w:r>
    </w:p>
    <w:p w:rsidR="000D3586" w:rsidRPr="00C903F8" w:rsidRDefault="000D3586"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2.</w:t>
      </w:r>
      <w:r w:rsidRPr="00C903F8">
        <w:rPr>
          <w:rFonts w:eastAsia="Calibri"/>
          <w:noProof/>
          <w:lang w:val="en-US" w:eastAsia="en-US"/>
        </w:rPr>
        <w:tab/>
        <w:t xml:space="preserve">For passenger vessels in accordance with </w:t>
      </w:r>
      <w:r w:rsidR="00FD1E75" w:rsidRPr="00C903F8">
        <w:rPr>
          <w:rFonts w:eastAsia="Calibri"/>
          <w:noProof/>
          <w:lang w:val="en-US" w:eastAsia="en-US"/>
        </w:rPr>
        <w:t>(</w:t>
      </w:r>
      <w:r w:rsidRPr="00C903F8">
        <w:rPr>
          <w:rFonts w:eastAsia="Calibri"/>
          <w:noProof/>
          <w:lang w:val="en-US" w:eastAsia="en-US"/>
        </w:rPr>
        <w:t>1</w:t>
      </w:r>
      <w:r w:rsidR="00FD1E75" w:rsidRPr="00C903F8">
        <w:rPr>
          <w:rFonts w:eastAsia="Calibri"/>
          <w:noProof/>
          <w:lang w:val="en-US" w:eastAsia="en-US"/>
        </w:rPr>
        <w:t>)</w:t>
      </w:r>
      <w:r w:rsidRPr="00C903F8">
        <w:rPr>
          <w:rFonts w:eastAsia="Calibri"/>
          <w:noProof/>
          <w:lang w:val="en-US" w:eastAsia="en-US"/>
        </w:rPr>
        <w:t xml:space="preserve"> the inspection body may permit minor derogations from the clear height required in Article 19.06(3)(c) and </w:t>
      </w:r>
      <w:r w:rsidR="00FD1E75" w:rsidRPr="00C903F8">
        <w:rPr>
          <w:rFonts w:eastAsia="Calibri"/>
          <w:noProof/>
          <w:lang w:val="en-US" w:eastAsia="en-US"/>
        </w:rPr>
        <w:t>(</w:t>
      </w:r>
      <w:r w:rsidRPr="00C903F8">
        <w:rPr>
          <w:rFonts w:eastAsia="Calibri"/>
          <w:noProof/>
          <w:lang w:val="en-US" w:eastAsia="en-US"/>
        </w:rPr>
        <w:t>5</w:t>
      </w:r>
      <w:r w:rsidR="00FD1E75" w:rsidRPr="00C903F8">
        <w:rPr>
          <w:rFonts w:eastAsia="Calibri"/>
          <w:noProof/>
          <w:lang w:val="en-US" w:eastAsia="en-US"/>
        </w:rPr>
        <w:t>)</w:t>
      </w:r>
      <w:r w:rsidRPr="00C903F8">
        <w:rPr>
          <w:rFonts w:eastAsia="Calibri"/>
          <w:noProof/>
          <w:lang w:val="en-US" w:eastAsia="en-US"/>
        </w:rPr>
        <w:t>(b). The derogation shall not be more than 5</w:t>
      </w:r>
      <w:r w:rsidR="00133F19" w:rsidRPr="00C903F8">
        <w:rPr>
          <w:rFonts w:eastAsia="Calibri"/>
          <w:noProof/>
          <w:lang w:val="en-US" w:eastAsia="en-US"/>
        </w:rPr>
        <w:t> </w:t>
      </w:r>
      <w:r w:rsidRPr="00C903F8">
        <w:rPr>
          <w:rFonts w:eastAsia="Calibri"/>
          <w:noProof/>
          <w:lang w:val="en-US" w:eastAsia="en-US"/>
        </w:rPr>
        <w:t>%. In the case of derogations the relevant parts shall be indicated by colour.</w:t>
      </w:r>
    </w:p>
    <w:p w:rsidR="000D3586" w:rsidRPr="00C903F8" w:rsidRDefault="000D3586"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3.</w:t>
      </w:r>
      <w:r w:rsidRPr="00C903F8">
        <w:rPr>
          <w:rFonts w:eastAsia="Calibri"/>
          <w:noProof/>
          <w:lang w:val="en-US" w:eastAsia="en-US"/>
        </w:rPr>
        <w:tab/>
        <w:t>By way of derogation from Article 19.03(9), passenger vessels</w:t>
      </w:r>
      <w:r w:rsidR="00F71051" w:rsidRPr="00C903F8">
        <w:rPr>
          <w:rFonts w:eastAsia="Calibri"/>
          <w:noProof/>
          <w:lang w:val="en-US" w:eastAsia="en-US"/>
        </w:rPr>
        <w:t xml:space="preserve"> with a length </w:t>
      </w:r>
      <m:oMath>
        <m:r>
          <w:rPr>
            <w:rFonts w:ascii="Cambria Math" w:eastAsia="Calibri" w:hAnsi="Cambria Math"/>
            <w:noProof/>
            <w:lang w:val="en-US" w:eastAsia="en-US"/>
          </w:rPr>
          <m:t>L</m:t>
        </m:r>
      </m:oMath>
      <w:r w:rsidR="00F71051" w:rsidRPr="00C903F8">
        <w:rPr>
          <w:rFonts w:eastAsia="Calibri"/>
          <w:noProof/>
          <w:lang w:val="en-US" w:eastAsia="en-US"/>
        </w:rPr>
        <w:t xml:space="preserve"> of not more than</w:t>
      </w:r>
      <w:r w:rsidRPr="00C903F8">
        <w:rPr>
          <w:rFonts w:eastAsia="Calibri"/>
          <w:noProof/>
          <w:lang w:val="en-US" w:eastAsia="en-US"/>
        </w:rPr>
        <w:t xml:space="preserve"> 45 m and authorised to carry up to a maximum of 250 passengers do not need to have </w:t>
      </w:r>
      <w:r w:rsidR="00F71051" w:rsidRPr="00C903F8">
        <w:rPr>
          <w:rFonts w:eastAsia="Calibri"/>
          <w:noProof/>
          <w:lang w:val="en-US" w:eastAsia="en-US"/>
        </w:rPr>
        <w:t>2</w:t>
      </w:r>
      <w:r w:rsidR="00133F19" w:rsidRPr="00C903F8">
        <w:rPr>
          <w:rFonts w:eastAsia="Calibri"/>
          <w:noProof/>
          <w:lang w:val="en-US" w:eastAsia="en-US"/>
        </w:rPr>
        <w:t>­</w:t>
      </w:r>
      <w:r w:rsidRPr="00C903F8">
        <w:rPr>
          <w:rFonts w:eastAsia="Calibri"/>
          <w:noProof/>
          <w:lang w:val="en-US" w:eastAsia="en-US"/>
        </w:rPr>
        <w:t>compartment status.</w:t>
      </w:r>
    </w:p>
    <w:p w:rsidR="00973DAA" w:rsidRPr="00C903F8" w:rsidRDefault="00973DAA" w:rsidP="00973DAA">
      <w:pPr>
        <w:pStyle w:val="ESch"/>
        <w:rPr>
          <w:rFonts w:eastAsia="Calibri" w:cs="Arial"/>
          <w:szCs w:val="18"/>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4.</w:t>
      </w:r>
      <w:r w:rsidRPr="00C903F8">
        <w:rPr>
          <w:rFonts w:eastAsia="Calibri"/>
          <w:noProof/>
          <w:lang w:val="en-US" w:eastAsia="en-US"/>
        </w:rPr>
        <w:tab/>
        <w:t>The inspection body may waive the application of Article 13.0</w:t>
      </w:r>
      <w:r w:rsidR="00E852A7" w:rsidRPr="00C903F8">
        <w:rPr>
          <w:rFonts w:eastAsia="Calibri"/>
          <w:noProof/>
          <w:lang w:val="en-US" w:eastAsia="en-US"/>
        </w:rPr>
        <w:t>7</w:t>
      </w:r>
      <w:r w:rsidRPr="00C903F8">
        <w:rPr>
          <w:rFonts w:eastAsia="Calibri"/>
          <w:noProof/>
          <w:lang w:val="en-US" w:eastAsia="en-US"/>
        </w:rPr>
        <w:t xml:space="preserve"> in the case of passenger vessels authorised to carry up to a maximum of 250 passengers and with a length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L</m:t>
            </m:r>
          </m:e>
          <m:sub>
            <m:r>
              <w:rPr>
                <w:rFonts w:ascii="Cambria Math" w:hAnsi="Cambria Math" w:cs="Arial"/>
                <w:noProof/>
                <w:sz w:val="18"/>
                <w:szCs w:val="18"/>
                <w:lang w:val="en-US"/>
              </w:rPr>
              <m:t>WL</m:t>
            </m:r>
          </m:sub>
        </m:sSub>
      </m:oMath>
      <w:r w:rsidR="001C4EBD" w:rsidRPr="00C903F8">
        <w:rPr>
          <w:rFonts w:eastAsia="Calibri"/>
          <w:noProof/>
          <w:sz w:val="18"/>
          <w:szCs w:val="18"/>
          <w:lang w:val="en-US"/>
        </w:rPr>
        <w:t xml:space="preserve"> </w:t>
      </w:r>
      <w:r w:rsidRPr="00C903F8">
        <w:rPr>
          <w:rFonts w:eastAsia="Calibri"/>
          <w:noProof/>
          <w:lang w:val="en-US" w:eastAsia="en-US"/>
        </w:rPr>
        <w:t>of not more than 25 m, provided they are equipped with a platform, accessible from each side of the vessel, directly above the line of flotation, so as to enable persons to be recovered from the water. Passenger vessels may be equipped with a comparable installation, subject to the following conditions:</w:t>
      </w:r>
    </w:p>
    <w:p w:rsidR="00973DAA" w:rsidRPr="00C903F8" w:rsidRDefault="005C7859" w:rsidP="000D3586">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one person alone shall be able to operate the installation;</w:t>
      </w:r>
    </w:p>
    <w:p w:rsidR="00973DAA" w:rsidRPr="00C903F8" w:rsidRDefault="005C7859" w:rsidP="000D3586">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mobile installations are allowed;</w:t>
      </w:r>
    </w:p>
    <w:p w:rsidR="00973DAA" w:rsidRPr="00C903F8" w:rsidRDefault="005C7859" w:rsidP="000D3586">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the installations shall be outside the danger area of the propulsion systems; and</w:t>
      </w:r>
    </w:p>
    <w:p w:rsidR="00973DAA" w:rsidRPr="00C903F8" w:rsidRDefault="00973DAA" w:rsidP="000D3586">
      <w:pPr>
        <w:pStyle w:val="ESlet"/>
        <w:rPr>
          <w:rFonts w:eastAsia="Calibri" w:cs="Arial"/>
          <w:szCs w:val="18"/>
          <w:lang w:val="en-US" w:eastAsia="en-US"/>
        </w:rPr>
      </w:pPr>
      <w:r w:rsidRPr="00C903F8">
        <w:rPr>
          <w:rFonts w:eastAsia="Calibri"/>
          <w:noProof/>
          <w:lang w:val="en-US" w:eastAsia="en-US"/>
        </w:rPr>
        <w:t>d)</w:t>
      </w:r>
      <w:r w:rsidRPr="00C903F8">
        <w:rPr>
          <w:rFonts w:eastAsia="Calibri"/>
          <w:noProof/>
          <w:lang w:val="en-US" w:eastAsia="en-US"/>
        </w:rPr>
        <w:tab/>
        <w:t>effective communication shall be possible between the boatmaster and the person in charge of the installation.</w:t>
      </w:r>
    </w:p>
    <w:p w:rsidR="000D3586" w:rsidRPr="00C903F8" w:rsidRDefault="000D3586" w:rsidP="00973DAA">
      <w:pPr>
        <w:pStyle w:val="ESch"/>
        <w:rPr>
          <w:rFonts w:eastAsia="Calibri"/>
          <w:noProof/>
          <w:lang w:val="en-US" w:eastAsia="en-US"/>
        </w:rPr>
      </w:pPr>
      <w:r w:rsidRPr="00C903F8">
        <w:rPr>
          <w:rFonts w:eastAsia="Calibri"/>
          <w:noProof/>
          <w:lang w:val="en-US" w:eastAsia="en-US"/>
        </w:rPr>
        <w:br w:type="page"/>
      </w: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lastRenderedPageBreak/>
        <w:t>5.</w:t>
      </w:r>
      <w:r w:rsidRPr="00C903F8">
        <w:rPr>
          <w:rFonts w:eastAsia="Calibri"/>
          <w:noProof/>
          <w:lang w:val="en-US" w:eastAsia="en-US"/>
        </w:rPr>
        <w:tab/>
        <w:t>The inspection body may waive the application of Article 13.0</w:t>
      </w:r>
      <w:r w:rsidR="00E852A7" w:rsidRPr="00C903F8">
        <w:rPr>
          <w:rFonts w:eastAsia="Calibri"/>
          <w:noProof/>
          <w:lang w:val="en-US" w:eastAsia="en-US"/>
        </w:rPr>
        <w:t>7</w:t>
      </w:r>
      <w:r w:rsidRPr="00C903F8">
        <w:rPr>
          <w:rFonts w:eastAsia="Calibri"/>
          <w:noProof/>
          <w:lang w:val="en-US" w:eastAsia="en-US"/>
        </w:rPr>
        <w:t xml:space="preserve"> in the case of passenger vessels authorised to carry up to a maximum of 600 passengers and with a length</w:t>
      </w:r>
      <w:r w:rsidR="00F451B9" w:rsidRPr="00C903F8">
        <w:rPr>
          <w:rFonts w:eastAsia="Calibri"/>
          <w:noProof/>
          <w:lang w:val="en-US" w:eastAsia="en-US"/>
        </w:rPr>
        <w:t xml:space="preserve"> </w:t>
      </w:r>
      <m:oMath>
        <m:r>
          <w:rPr>
            <w:rFonts w:ascii="Cambria Math" w:eastAsia="Calibri" w:hAnsi="Cambria Math"/>
            <w:noProof/>
            <w:lang w:val="en-US" w:eastAsia="en-US"/>
          </w:rPr>
          <m:t>L</m:t>
        </m:r>
      </m:oMath>
      <w:r w:rsidRPr="00C903F8">
        <w:rPr>
          <w:rFonts w:eastAsia="Calibri"/>
          <w:noProof/>
          <w:lang w:val="en-US" w:eastAsia="en-US"/>
        </w:rPr>
        <w:t xml:space="preserve"> of not more than 45</w:t>
      </w:r>
      <w:r w:rsidR="00A56366" w:rsidRPr="00C903F8">
        <w:rPr>
          <w:rFonts w:eastAsia="Calibri"/>
          <w:noProof/>
          <w:lang w:val="en-US" w:eastAsia="en-US"/>
        </w:rPr>
        <w:t> </w:t>
      </w:r>
      <w:r w:rsidRPr="00C903F8">
        <w:rPr>
          <w:rFonts w:eastAsia="Calibri"/>
          <w:noProof/>
          <w:lang w:val="en-US" w:eastAsia="en-US"/>
        </w:rPr>
        <w:t xml:space="preserve">m, provided they are equipped with a platform according to </w:t>
      </w:r>
      <w:r w:rsidR="00FD1E75" w:rsidRPr="00C903F8">
        <w:rPr>
          <w:rFonts w:eastAsia="Calibri"/>
          <w:noProof/>
          <w:lang w:val="en-US" w:eastAsia="en-US"/>
        </w:rPr>
        <w:t>(</w:t>
      </w:r>
      <w:r w:rsidR="003872C5" w:rsidRPr="00C903F8">
        <w:rPr>
          <w:rFonts w:eastAsia="Calibri"/>
          <w:noProof/>
          <w:lang w:val="en-US" w:eastAsia="en-US"/>
        </w:rPr>
        <w:t>4</w:t>
      </w:r>
      <w:r w:rsidR="00FD1E75" w:rsidRPr="00C903F8">
        <w:rPr>
          <w:rFonts w:eastAsia="Calibri"/>
          <w:noProof/>
          <w:lang w:val="en-US" w:eastAsia="en-US"/>
        </w:rPr>
        <w:t>)</w:t>
      </w:r>
      <w:r w:rsidRPr="00C903F8">
        <w:rPr>
          <w:rFonts w:eastAsia="Calibri"/>
          <w:noProof/>
          <w:lang w:val="en-US" w:eastAsia="en-US"/>
        </w:rPr>
        <w:t xml:space="preserve">, first sentence, or with an equivalent installation according to </w:t>
      </w:r>
      <w:r w:rsidR="00FD1E75" w:rsidRPr="00C903F8">
        <w:rPr>
          <w:rFonts w:eastAsia="Calibri"/>
          <w:noProof/>
          <w:lang w:val="en-US" w:eastAsia="en-US"/>
        </w:rPr>
        <w:t>(</w:t>
      </w:r>
      <w:r w:rsidR="003872C5" w:rsidRPr="00C903F8">
        <w:rPr>
          <w:rFonts w:eastAsia="Calibri"/>
          <w:noProof/>
          <w:lang w:val="en-US" w:eastAsia="en-US"/>
        </w:rPr>
        <w:t>4</w:t>
      </w:r>
      <w:r w:rsidR="00FD1E75" w:rsidRPr="00C903F8">
        <w:rPr>
          <w:rFonts w:eastAsia="Calibri"/>
          <w:noProof/>
          <w:lang w:val="en-US" w:eastAsia="en-US"/>
        </w:rPr>
        <w:t>)</w:t>
      </w:r>
      <w:r w:rsidRPr="00C903F8">
        <w:rPr>
          <w:rFonts w:eastAsia="Calibri"/>
          <w:noProof/>
          <w:lang w:val="en-US" w:eastAsia="en-US"/>
        </w:rPr>
        <w:t>, second sentence. In addition, the passenger vessel shall have:</w:t>
      </w:r>
    </w:p>
    <w:p w:rsidR="00973DAA" w:rsidRPr="00C903F8" w:rsidRDefault="005C7859" w:rsidP="000D3586">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a rudder propeller, a cycloidal propeller or a water jet as main propulsion, or</w:t>
      </w:r>
    </w:p>
    <w:p w:rsidR="00973DAA" w:rsidRPr="00C903F8" w:rsidRDefault="005C7859" w:rsidP="000D3586">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a main propulsion system with two propulsion units, or</w:t>
      </w:r>
    </w:p>
    <w:p w:rsidR="00973DAA" w:rsidRPr="00C903F8" w:rsidRDefault="005C7859" w:rsidP="000D3586">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a main propulsion system and a bow-thruster.</w:t>
      </w:r>
    </w:p>
    <w:p w:rsidR="006D32EE" w:rsidRPr="00C903F8" w:rsidRDefault="006D32EE"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6.</w:t>
      </w:r>
      <w:r w:rsidRPr="00C903F8">
        <w:rPr>
          <w:rFonts w:eastAsia="Calibri"/>
          <w:noProof/>
          <w:lang w:val="en-US" w:eastAsia="en-US"/>
        </w:rPr>
        <w:tab/>
        <w:t xml:space="preserve">By way of derogation from Article 19.02(9), passenger vessels </w:t>
      </w:r>
      <w:r w:rsidR="00FF5044" w:rsidRPr="00C903F8">
        <w:rPr>
          <w:rFonts w:eastAsia="Calibri"/>
          <w:noProof/>
          <w:lang w:val="en-US" w:eastAsia="en-US"/>
        </w:rPr>
        <w:t xml:space="preserve">with a length </w:t>
      </w:r>
      <m:oMath>
        <m:r>
          <w:rPr>
            <w:rFonts w:ascii="Cambria Math" w:eastAsia="Calibri" w:hAnsi="Cambria Math"/>
            <w:noProof/>
            <w:lang w:val="en-US" w:eastAsia="en-US"/>
          </w:rPr>
          <m:t>L</m:t>
        </m:r>
      </m:oMath>
      <w:r w:rsidR="00FF5044" w:rsidRPr="00C903F8">
        <w:rPr>
          <w:rFonts w:eastAsia="Calibri"/>
          <w:noProof/>
          <w:lang w:val="en-US" w:eastAsia="en-US"/>
        </w:rPr>
        <w:t xml:space="preserve"> of not more than </w:t>
      </w:r>
      <w:r w:rsidRPr="00C903F8">
        <w:rPr>
          <w:rFonts w:eastAsia="Calibri"/>
          <w:noProof/>
          <w:lang w:val="en-US" w:eastAsia="en-US"/>
        </w:rPr>
        <w:t>45 m and authorised to carry at most a number of passengers corresponding to the length of the vessel in metres are allowed to have on board, in the passenger area, a manually controlled bulkhead door without remote control according to Article 19.02(5), if:</w:t>
      </w:r>
    </w:p>
    <w:p w:rsidR="00973DAA" w:rsidRPr="00C903F8" w:rsidRDefault="005C7859" w:rsidP="006D32EE">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the vessel has only one deck;</w:t>
      </w:r>
    </w:p>
    <w:p w:rsidR="00973DAA" w:rsidRPr="00C903F8" w:rsidRDefault="005C7859" w:rsidP="006D32EE">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this door is accessible directly from the deck and is not more than 10 m away from the deck;</w:t>
      </w:r>
    </w:p>
    <w:p w:rsidR="00973DAA" w:rsidRPr="00C903F8" w:rsidRDefault="005C7859" w:rsidP="006D32EE">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the lower edge of the door opening lies at least 30 cm above the floor of the passenger area, and</w:t>
      </w:r>
    </w:p>
    <w:p w:rsidR="00973DAA" w:rsidRPr="00C903F8" w:rsidRDefault="0029453D" w:rsidP="006D32EE">
      <w:pPr>
        <w:pStyle w:val="ESlet"/>
        <w:rPr>
          <w:rFonts w:eastAsia="Calibri" w:cs="Arial"/>
          <w:szCs w:val="18"/>
          <w:lang w:val="en-US" w:eastAsia="en-US"/>
        </w:rPr>
      </w:pPr>
      <w:r w:rsidRPr="00C903F8">
        <w:rPr>
          <w:rFonts w:eastAsia="Calibri"/>
          <w:noProof/>
          <w:lang w:val="en-US" w:eastAsia="en-US"/>
        </w:rPr>
        <w:t>d)</w:t>
      </w:r>
      <w:r w:rsidR="00973DAA" w:rsidRPr="00C903F8">
        <w:rPr>
          <w:rFonts w:eastAsia="Calibri"/>
          <w:noProof/>
          <w:lang w:val="en-US" w:eastAsia="en-US"/>
        </w:rPr>
        <w:tab/>
        <w:t>each of the compartments divided by the door is fitted with a bilge level alarm.</w:t>
      </w:r>
    </w:p>
    <w:p w:rsidR="006D32EE" w:rsidRPr="00C903F8" w:rsidRDefault="006D32EE"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7.</w:t>
      </w:r>
      <w:r w:rsidRPr="00C903F8">
        <w:rPr>
          <w:rFonts w:eastAsia="Calibri"/>
          <w:noProof/>
          <w:lang w:val="en-US" w:eastAsia="en-US"/>
        </w:rPr>
        <w:tab/>
        <w:t xml:space="preserve">On passenger vessels in accordance with </w:t>
      </w:r>
      <w:r w:rsidR="00FD1E75" w:rsidRPr="00C903F8">
        <w:rPr>
          <w:rFonts w:eastAsia="Calibri"/>
          <w:noProof/>
          <w:lang w:val="en-US" w:eastAsia="en-US"/>
        </w:rPr>
        <w:t>(</w:t>
      </w:r>
      <w:r w:rsidR="0044624D">
        <w:rPr>
          <w:rFonts w:eastAsia="Calibri"/>
          <w:noProof/>
          <w:lang w:val="en-US" w:eastAsia="en-US"/>
        </w:rPr>
        <w:t>6</w:t>
      </w:r>
      <w:r w:rsidR="00FD1E75" w:rsidRPr="00C903F8">
        <w:rPr>
          <w:rFonts w:eastAsia="Calibri"/>
          <w:noProof/>
          <w:lang w:val="en-US" w:eastAsia="en-US"/>
        </w:rPr>
        <w:t>)</w:t>
      </w:r>
      <w:r w:rsidRPr="00C903F8">
        <w:rPr>
          <w:rFonts w:eastAsia="Calibri"/>
          <w:noProof/>
          <w:lang w:val="en-US" w:eastAsia="en-US"/>
        </w:rPr>
        <w:t>, by way of derogation from Article 19.06(6)(c), one escape route may lead through a galley, as long as there is a second escape route available.</w:t>
      </w:r>
    </w:p>
    <w:p w:rsidR="006D32EE" w:rsidRPr="00C903F8" w:rsidRDefault="006D32EE"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8.</w:t>
      </w:r>
      <w:r w:rsidRPr="00C903F8">
        <w:rPr>
          <w:rFonts w:eastAsia="Calibri"/>
          <w:noProof/>
          <w:lang w:val="en-US" w:eastAsia="en-US"/>
        </w:rPr>
        <w:tab/>
        <w:t xml:space="preserve">For passenger vessels with a length </w:t>
      </w:r>
      <m:oMath>
        <m:r>
          <w:rPr>
            <w:rFonts w:ascii="Cambria Math" w:eastAsia="Calibri" w:hAnsi="Cambria Math"/>
            <w:noProof/>
            <w:lang w:val="en-US" w:eastAsia="en-US"/>
          </w:rPr>
          <m:t>L</m:t>
        </m:r>
      </m:oMath>
      <w:r w:rsidR="00FF5044" w:rsidRPr="00C903F8">
        <w:rPr>
          <w:rFonts w:eastAsia="Calibri"/>
          <w:noProof/>
          <w:lang w:val="en-US" w:eastAsia="en-US"/>
        </w:rPr>
        <w:t xml:space="preserve"> of not more than </w:t>
      </w:r>
      <w:r w:rsidRPr="00C903F8">
        <w:rPr>
          <w:rFonts w:eastAsia="Calibri"/>
          <w:noProof/>
          <w:lang w:val="en-US" w:eastAsia="en-US"/>
        </w:rPr>
        <w:t xml:space="preserve">45 m the following shall not apply: Article 19.01(2)(e), when the liquefied gas installations are fitted with </w:t>
      </w:r>
      <w:r w:rsidR="00314706" w:rsidRPr="00C903F8">
        <w:rPr>
          <w:rFonts w:eastAsia="Calibri"/>
          <w:noProof/>
          <w:lang w:val="en-US" w:eastAsia="en-US"/>
        </w:rPr>
        <w:t>suitable gas warning equipment</w:t>
      </w:r>
      <w:r w:rsidRPr="00C903F8">
        <w:rPr>
          <w:rFonts w:eastAsia="Calibri"/>
          <w:noProof/>
          <w:lang w:val="en-US" w:eastAsia="en-US"/>
        </w:rPr>
        <w:t xml:space="preserve"> for CO concentrations posing a health risk and for potentially explosive mixtures of gas and air.</w:t>
      </w:r>
    </w:p>
    <w:p w:rsidR="006D32EE" w:rsidRPr="00C903F8" w:rsidRDefault="006D32EE" w:rsidP="00973DAA">
      <w:pPr>
        <w:pStyle w:val="ESch"/>
        <w:rPr>
          <w:rFonts w:eastAsia="Calibri"/>
          <w:noProof/>
          <w:lang w:val="en-US" w:eastAsia="en-US"/>
        </w:rPr>
      </w:pPr>
    </w:p>
    <w:p w:rsidR="00973DAA" w:rsidRPr="00C903F8" w:rsidRDefault="00973DAA" w:rsidP="00973DAA">
      <w:pPr>
        <w:pStyle w:val="ESch"/>
        <w:rPr>
          <w:rFonts w:eastAsia="Calibri" w:cs="Arial"/>
          <w:szCs w:val="18"/>
          <w:lang w:val="en-US" w:eastAsia="en-US"/>
        </w:rPr>
      </w:pPr>
      <w:r w:rsidRPr="00C903F8">
        <w:rPr>
          <w:rFonts w:eastAsia="Calibri"/>
          <w:noProof/>
          <w:lang w:val="en-US" w:eastAsia="en-US"/>
        </w:rPr>
        <w:t>9.</w:t>
      </w:r>
      <w:r w:rsidRPr="00C903F8">
        <w:rPr>
          <w:rFonts w:eastAsia="Calibri"/>
          <w:noProof/>
          <w:lang w:val="en-US" w:eastAsia="en-US"/>
        </w:rPr>
        <w:tab/>
        <w:t xml:space="preserve">The following provisions shall not apply to passenger vessels with a length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L</m:t>
            </m:r>
          </m:e>
          <m:sub>
            <m:r>
              <w:rPr>
                <w:rFonts w:ascii="Cambria Math" w:hAnsi="Cambria Math" w:cs="Arial"/>
                <w:noProof/>
                <w:sz w:val="18"/>
                <w:szCs w:val="18"/>
                <w:lang w:val="en-US"/>
              </w:rPr>
              <m:t>WL</m:t>
            </m:r>
          </m:sub>
        </m:sSub>
      </m:oMath>
      <w:r w:rsidR="001C4EBD" w:rsidRPr="00C903F8">
        <w:rPr>
          <w:rFonts w:eastAsia="Calibri"/>
          <w:noProof/>
          <w:sz w:val="18"/>
          <w:szCs w:val="18"/>
          <w:lang w:val="en-US"/>
        </w:rPr>
        <w:t xml:space="preserve"> </w:t>
      </w:r>
      <w:r w:rsidR="00FF5044" w:rsidRPr="00C903F8">
        <w:rPr>
          <w:rFonts w:eastAsia="Calibri"/>
          <w:noProof/>
          <w:lang w:val="en-US" w:eastAsia="en-US"/>
        </w:rPr>
        <w:t>of not more than</w:t>
      </w:r>
      <w:r w:rsidRPr="00C903F8">
        <w:rPr>
          <w:rFonts w:eastAsia="Calibri"/>
          <w:noProof/>
          <w:lang w:val="en-US" w:eastAsia="en-US"/>
        </w:rPr>
        <w:t xml:space="preserve"> 25 m:</w:t>
      </w:r>
    </w:p>
    <w:p w:rsidR="00973DAA" w:rsidRPr="00C903F8" w:rsidRDefault="005C7859" w:rsidP="006D32EE">
      <w:pPr>
        <w:pStyle w:val="ESlet"/>
        <w:rPr>
          <w:rFonts w:eastAsia="Calibri" w:cs="Arial"/>
          <w:szCs w:val="18"/>
          <w:lang w:val="en-US" w:eastAsia="en-US"/>
        </w:rPr>
      </w:pPr>
      <w:r w:rsidRPr="00C903F8">
        <w:rPr>
          <w:rFonts w:eastAsia="Calibri"/>
          <w:noProof/>
          <w:lang w:val="en-US" w:eastAsia="en-US"/>
        </w:rPr>
        <w:t>a)</w:t>
      </w:r>
      <w:r w:rsidR="00973DAA" w:rsidRPr="00C903F8">
        <w:rPr>
          <w:rFonts w:eastAsia="Calibri"/>
          <w:noProof/>
          <w:lang w:val="en-US" w:eastAsia="en-US"/>
        </w:rPr>
        <w:tab/>
        <w:t>Article 19.04(1), last sentence;</w:t>
      </w:r>
    </w:p>
    <w:p w:rsidR="00973DAA" w:rsidRPr="00C903F8" w:rsidRDefault="005C7859" w:rsidP="006D32EE">
      <w:pPr>
        <w:pStyle w:val="ESlet"/>
        <w:rPr>
          <w:rFonts w:eastAsia="Calibri" w:cs="Arial"/>
          <w:szCs w:val="18"/>
          <w:lang w:val="en-US" w:eastAsia="en-US"/>
        </w:rPr>
      </w:pPr>
      <w:r w:rsidRPr="00C903F8">
        <w:rPr>
          <w:rFonts w:eastAsia="Calibri"/>
          <w:noProof/>
          <w:lang w:val="en-US" w:eastAsia="en-US"/>
        </w:rPr>
        <w:t>b)</w:t>
      </w:r>
      <w:r w:rsidR="00973DAA" w:rsidRPr="00C903F8">
        <w:rPr>
          <w:rFonts w:eastAsia="Calibri"/>
          <w:noProof/>
          <w:lang w:val="en-US" w:eastAsia="en-US"/>
        </w:rPr>
        <w:tab/>
        <w:t>Article 19.06(6)(c), for the galleys, as long as a second escape route is available;</w:t>
      </w:r>
    </w:p>
    <w:p w:rsidR="00973DAA" w:rsidRPr="00C903F8" w:rsidRDefault="005C7859" w:rsidP="006D32EE">
      <w:pPr>
        <w:pStyle w:val="ESlet"/>
        <w:rPr>
          <w:rFonts w:eastAsia="Calibri" w:cs="Arial"/>
          <w:szCs w:val="18"/>
          <w:lang w:val="en-US" w:eastAsia="en-US"/>
        </w:rPr>
      </w:pPr>
      <w:r w:rsidRPr="00C903F8">
        <w:rPr>
          <w:rFonts w:eastAsia="Calibri"/>
          <w:noProof/>
          <w:lang w:val="en-US" w:eastAsia="en-US"/>
        </w:rPr>
        <w:t>c)</w:t>
      </w:r>
      <w:r w:rsidR="00973DAA" w:rsidRPr="00C903F8">
        <w:rPr>
          <w:rFonts w:eastAsia="Calibri"/>
          <w:noProof/>
          <w:lang w:val="en-US" w:eastAsia="en-US"/>
        </w:rPr>
        <w:tab/>
        <w:t>Article 19.07.</w:t>
      </w:r>
    </w:p>
    <w:p w:rsidR="006D32EE" w:rsidRPr="00C903F8" w:rsidRDefault="006D32EE" w:rsidP="00973DAA">
      <w:pPr>
        <w:pStyle w:val="ESch"/>
        <w:rPr>
          <w:rFonts w:eastAsia="Calibri"/>
          <w:noProof/>
          <w:lang w:val="en-US" w:eastAsia="en-US"/>
        </w:rPr>
      </w:pPr>
    </w:p>
    <w:p w:rsidR="00973DAA" w:rsidRPr="00C903F8" w:rsidRDefault="00973DAA" w:rsidP="00973DAA">
      <w:pPr>
        <w:pStyle w:val="ESch"/>
        <w:rPr>
          <w:rFonts w:eastAsia="Calibri"/>
          <w:noProof/>
          <w:lang w:val="en-US" w:eastAsia="en-US"/>
        </w:rPr>
      </w:pPr>
      <w:r w:rsidRPr="00C903F8">
        <w:rPr>
          <w:rFonts w:eastAsia="Calibri"/>
          <w:noProof/>
          <w:lang w:val="en-US" w:eastAsia="en-US"/>
        </w:rPr>
        <w:t>10.</w:t>
      </w:r>
      <w:r w:rsidRPr="00C903F8">
        <w:rPr>
          <w:rFonts w:eastAsia="Calibri"/>
          <w:noProof/>
          <w:lang w:val="en-US" w:eastAsia="en-US"/>
        </w:rPr>
        <w:tab/>
        <w:t xml:space="preserve">For cabin vessels </w:t>
      </w:r>
      <w:r w:rsidR="00FF5044" w:rsidRPr="00C903F8">
        <w:rPr>
          <w:rFonts w:eastAsia="Calibri"/>
          <w:noProof/>
          <w:lang w:val="en-US" w:eastAsia="en-US"/>
        </w:rPr>
        <w:t xml:space="preserve">with a length </w:t>
      </w:r>
      <m:oMath>
        <m:r>
          <w:rPr>
            <w:rFonts w:ascii="Cambria Math" w:eastAsia="Calibri" w:hAnsi="Cambria Math"/>
            <w:noProof/>
            <w:lang w:val="en-US" w:eastAsia="en-US"/>
          </w:rPr>
          <m:t>L</m:t>
        </m:r>
      </m:oMath>
      <w:r w:rsidR="00FF5044" w:rsidRPr="00C903F8">
        <w:rPr>
          <w:rFonts w:eastAsia="Calibri"/>
          <w:noProof/>
          <w:lang w:val="en-US" w:eastAsia="en-US"/>
        </w:rPr>
        <w:t xml:space="preserve"> of not more than </w:t>
      </w:r>
      <w:r w:rsidRPr="00C903F8">
        <w:rPr>
          <w:rFonts w:eastAsia="Calibri"/>
          <w:noProof/>
          <w:lang w:val="en-US" w:eastAsia="en-US"/>
        </w:rPr>
        <w:t>45 m, Article 19.12(10), shall not apply, provided smoke-hoods in a number corresponding to the number of berths are readily accessible in each cabin.</w:t>
      </w:r>
    </w:p>
    <w:p w:rsidR="00973DAA" w:rsidRPr="00C903F8" w:rsidRDefault="00973DAA" w:rsidP="00973DAA">
      <w:pPr>
        <w:pStyle w:val="ESch"/>
        <w:rPr>
          <w:lang w:val="en-US"/>
        </w:rPr>
      </w:pPr>
    </w:p>
    <w:p w:rsidR="00973DAA" w:rsidRPr="00C903F8" w:rsidRDefault="00973DAA" w:rsidP="00973DAA">
      <w:pPr>
        <w:pStyle w:val="ESch"/>
        <w:rPr>
          <w:lang w:val="en-US"/>
        </w:rPr>
      </w:pPr>
    </w:p>
    <w:p w:rsidR="003D2554" w:rsidRPr="00C903F8" w:rsidRDefault="003D2554" w:rsidP="003D2554">
      <w:pPr>
        <w:pStyle w:val="ES-Titre2"/>
        <w:rPr>
          <w:szCs w:val="24"/>
        </w:rPr>
      </w:pPr>
      <w:bookmarkStart w:id="197" w:name="_Toc491854185"/>
      <w:r w:rsidRPr="00C903F8">
        <w:lastRenderedPageBreak/>
        <w:t>Chapter 20</w:t>
      </w:r>
      <w:r w:rsidRPr="00C903F8">
        <w:br/>
      </w:r>
      <w:r w:rsidRPr="00C903F8">
        <w:rPr>
          <w:noProof/>
          <w:sz w:val="22"/>
          <w:szCs w:val="22"/>
        </w:rPr>
        <w:t>Special provisions applicable to passenger sailing vessels</w:t>
      </w:r>
      <w:r w:rsidR="00FB0DBF" w:rsidRPr="00C903F8">
        <w:rPr>
          <w:noProof/>
          <w:sz w:val="22"/>
          <w:szCs w:val="22"/>
        </w:rPr>
        <w:t xml:space="preserve"> </w:t>
      </w:r>
      <w:r w:rsidR="000536A6" w:rsidRPr="00C903F8">
        <w:rPr>
          <w:noProof/>
          <w:sz w:val="22"/>
          <w:szCs w:val="22"/>
        </w:rPr>
        <w:t>not</w:t>
      </w:r>
      <w:r w:rsidR="00725CA7" w:rsidRPr="00C903F8">
        <w:rPr>
          <w:noProof/>
          <w:sz w:val="22"/>
          <w:szCs w:val="22"/>
        </w:rPr>
        <w:t xml:space="preserve"> </w:t>
      </w:r>
      <w:r w:rsidR="00FB0DBF" w:rsidRPr="00C903F8">
        <w:t xml:space="preserve">navigating </w:t>
      </w:r>
      <w:r w:rsidR="000536A6" w:rsidRPr="00C903F8">
        <w:t>on</w:t>
      </w:r>
      <w:r w:rsidR="00FB0DBF" w:rsidRPr="00C903F8">
        <w:t xml:space="preserve"> the Rhine (Zone R)</w:t>
      </w:r>
      <w:bookmarkEnd w:id="197"/>
    </w:p>
    <w:p w:rsidR="003D2554" w:rsidRPr="00C903F8" w:rsidRDefault="003D2554" w:rsidP="003D2554">
      <w:pPr>
        <w:rPr>
          <w:lang w:val="en-US" w:eastAsia="en-US"/>
        </w:rPr>
      </w:pPr>
    </w:p>
    <w:p w:rsidR="003D2554" w:rsidRPr="00C903F8" w:rsidRDefault="003D2554" w:rsidP="003D2554">
      <w:pPr>
        <w:pStyle w:val="ES-Titre3"/>
        <w:rPr>
          <w:i/>
          <w:lang w:val="en-US"/>
        </w:rPr>
      </w:pPr>
      <w:bookmarkStart w:id="198" w:name="_Toc491854186"/>
      <w:r w:rsidRPr="00C903F8">
        <w:rPr>
          <w:noProof/>
          <w:lang w:val="en-US"/>
        </w:rPr>
        <w:t>Article 20.01</w:t>
      </w:r>
      <w:r w:rsidRPr="00C903F8">
        <w:rPr>
          <w:noProof/>
          <w:lang w:val="en-US"/>
        </w:rPr>
        <w:br/>
      </w:r>
      <w:r w:rsidRPr="00C903F8">
        <w:rPr>
          <w:i/>
          <w:lang w:val="en-US"/>
        </w:rPr>
        <w:t>Application of Parts II and III</w:t>
      </w:r>
      <w:bookmarkEnd w:id="198"/>
    </w:p>
    <w:p w:rsidR="003D2554" w:rsidRPr="00C903F8" w:rsidRDefault="003D2554" w:rsidP="00973DAA">
      <w:pPr>
        <w:pStyle w:val="ESch"/>
        <w:rPr>
          <w:lang w:val="en-US"/>
        </w:rPr>
      </w:pPr>
    </w:p>
    <w:p w:rsidR="003D2554" w:rsidRPr="00C903F8" w:rsidRDefault="003D2554" w:rsidP="003D2554">
      <w:pPr>
        <w:pStyle w:val="ESgauche"/>
        <w:rPr>
          <w:rFonts w:cs="Arial"/>
          <w:lang w:val="en-US"/>
        </w:rPr>
      </w:pPr>
      <w:r w:rsidRPr="00C903F8">
        <w:rPr>
          <w:lang w:val="en-US"/>
        </w:rPr>
        <w:t>In addition to the provisions of Parts II and III, the requirements in this Chapter shall apply to passenger sailing vessels</w:t>
      </w:r>
      <w:r w:rsidR="00725CA7" w:rsidRPr="00C903F8">
        <w:rPr>
          <w:lang w:val="en-US"/>
        </w:rPr>
        <w:t xml:space="preserve"> not</w:t>
      </w:r>
      <w:r w:rsidR="00FB0DBF" w:rsidRPr="00C903F8">
        <w:rPr>
          <w:lang w:val="en-US"/>
        </w:rPr>
        <w:t xml:space="preserve"> navigating </w:t>
      </w:r>
      <w:r w:rsidR="00725CA7" w:rsidRPr="00C903F8">
        <w:rPr>
          <w:lang w:val="en-US"/>
        </w:rPr>
        <w:t>on</w:t>
      </w:r>
      <w:r w:rsidR="00FB0DBF" w:rsidRPr="00C903F8">
        <w:rPr>
          <w:lang w:val="en-US"/>
        </w:rPr>
        <w:t xml:space="preserve"> the Rhine (Zone R)</w:t>
      </w:r>
      <w:r w:rsidRPr="00C903F8">
        <w:rPr>
          <w:lang w:val="en-US"/>
        </w:rPr>
        <w:t>.</w:t>
      </w:r>
    </w:p>
    <w:p w:rsidR="003D2554" w:rsidRPr="00C903F8" w:rsidRDefault="003D2554" w:rsidP="003D2554">
      <w:pPr>
        <w:pStyle w:val="ESch"/>
        <w:rPr>
          <w:i/>
          <w:noProof/>
          <w:szCs w:val="20"/>
          <w:lang w:val="en-US"/>
        </w:rPr>
      </w:pPr>
    </w:p>
    <w:p w:rsidR="003D2554" w:rsidRPr="00C903F8" w:rsidRDefault="003D2554" w:rsidP="003D2554">
      <w:pPr>
        <w:pStyle w:val="ESch"/>
        <w:rPr>
          <w:i/>
          <w:noProof/>
          <w:szCs w:val="20"/>
          <w:lang w:val="en-US"/>
        </w:rPr>
      </w:pPr>
    </w:p>
    <w:p w:rsidR="003D2554" w:rsidRPr="00C903F8" w:rsidRDefault="003D2554" w:rsidP="003D2554">
      <w:pPr>
        <w:pStyle w:val="ES-Titre3"/>
        <w:rPr>
          <w:rFonts w:cs="Arial"/>
          <w:i/>
          <w:lang w:val="en-US"/>
        </w:rPr>
      </w:pPr>
      <w:bookmarkStart w:id="199" w:name="_Toc491854187"/>
      <w:r w:rsidRPr="00C903F8">
        <w:rPr>
          <w:noProof/>
          <w:lang w:val="en-US"/>
        </w:rPr>
        <w:t>Article 20.02</w:t>
      </w:r>
      <w:r w:rsidRPr="00C903F8">
        <w:rPr>
          <w:noProof/>
          <w:lang w:val="en-US"/>
        </w:rPr>
        <w:br/>
      </w:r>
      <w:r w:rsidRPr="00C903F8">
        <w:rPr>
          <w:i/>
          <w:noProof/>
          <w:lang w:val="en-US"/>
        </w:rPr>
        <w:t>Exceptions for certain passenger sailing vessels</w:t>
      </w:r>
      <w:bookmarkEnd w:id="199"/>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1. </w:t>
      </w:r>
      <w:r w:rsidRPr="00C903F8">
        <w:rPr>
          <w:noProof/>
          <w:szCs w:val="20"/>
          <w:lang w:val="en-US"/>
        </w:rPr>
        <w:tab/>
        <w:t>For passenger sailing vessels having an</w:t>
      </w:r>
      <w:r w:rsidR="00F46634" w:rsidRPr="00C903F8">
        <w:rPr>
          <w:noProof/>
          <w:szCs w:val="20"/>
          <w:lang w:val="en-US"/>
        </w:rPr>
        <w:t xml:space="preserve"> </w:t>
      </w:r>
      <m:oMath>
        <m:sSub>
          <m:sSubPr>
            <m:ctrlPr>
              <w:rPr>
                <w:rFonts w:ascii="Cambria Math" w:hAnsi="Cambria Math"/>
                <w:i/>
                <w:noProof/>
                <w:szCs w:val="20"/>
                <w:lang w:val="en-US"/>
              </w:rPr>
            </m:ctrlPr>
          </m:sSubPr>
          <m:e>
            <m:r>
              <w:rPr>
                <w:rFonts w:ascii="Cambria Math" w:hAnsi="Cambria Math"/>
                <w:noProof/>
                <w:szCs w:val="20"/>
                <w:lang w:val="en-US"/>
              </w:rPr>
              <m:t>L</m:t>
            </m:r>
          </m:e>
          <m:sub>
            <m:r>
              <w:rPr>
                <w:rFonts w:ascii="Cambria Math" w:hAnsi="Cambria Math"/>
                <w:noProof/>
                <w:szCs w:val="20"/>
                <w:lang w:val="en-US"/>
              </w:rPr>
              <m:t>WL</m:t>
            </m:r>
          </m:sub>
        </m:sSub>
      </m:oMath>
      <w:r w:rsidR="00F46634" w:rsidRPr="00C903F8">
        <w:rPr>
          <w:noProof/>
          <w:szCs w:val="20"/>
          <w:lang w:val="en-US"/>
        </w:rPr>
        <w:t xml:space="preserve"> </w:t>
      </w:r>
      <w:r w:rsidRPr="00C903F8">
        <w:rPr>
          <w:noProof/>
          <w:szCs w:val="20"/>
          <w:lang w:val="en-US"/>
        </w:rPr>
        <w:t xml:space="preserve">not exceeding 45 m and a maximum permissible number of passengers not exceeding </w:t>
      </w:r>
      <m:oMath>
        <m:sSub>
          <m:sSubPr>
            <m:ctrlPr>
              <w:rPr>
                <w:rFonts w:ascii="Cambria Math" w:hAnsi="Cambria Math"/>
                <w:i/>
                <w:noProof/>
                <w:szCs w:val="20"/>
                <w:lang w:val="en-US"/>
              </w:rPr>
            </m:ctrlPr>
          </m:sSubPr>
          <m:e>
            <m:r>
              <w:rPr>
                <w:rFonts w:ascii="Cambria Math" w:hAnsi="Cambria Math"/>
                <w:noProof/>
                <w:szCs w:val="20"/>
                <w:lang w:val="en-US"/>
              </w:rPr>
              <m:t>L</m:t>
            </m:r>
          </m:e>
          <m:sub>
            <m:r>
              <w:rPr>
                <w:rFonts w:ascii="Cambria Math" w:hAnsi="Cambria Math"/>
                <w:noProof/>
                <w:szCs w:val="20"/>
                <w:lang w:val="en-US"/>
              </w:rPr>
              <m:t>WL</m:t>
            </m:r>
          </m:sub>
        </m:sSub>
      </m:oMath>
      <w:r w:rsidRPr="00C903F8">
        <w:rPr>
          <w:noProof/>
          <w:szCs w:val="20"/>
          <w:lang w:val="en-US"/>
        </w:rPr>
        <w:t xml:space="preserve"> in whole meters, the following provisions shall not apply:</w:t>
      </w:r>
    </w:p>
    <w:p w:rsidR="003D2554" w:rsidRPr="00C903F8" w:rsidRDefault="005C7859" w:rsidP="003D2554">
      <w:pPr>
        <w:pStyle w:val="ESlet"/>
        <w:rPr>
          <w:rFonts w:cs="Arial"/>
          <w:lang w:val="en-US"/>
        </w:rPr>
      </w:pPr>
      <w:r w:rsidRPr="00C903F8">
        <w:rPr>
          <w:noProof/>
          <w:lang w:val="en-US"/>
        </w:rPr>
        <w:t>a)</w:t>
      </w:r>
      <w:r w:rsidR="003D2554" w:rsidRPr="00C903F8">
        <w:rPr>
          <w:noProof/>
          <w:lang w:val="en-US"/>
        </w:rPr>
        <w:tab/>
        <w:t xml:space="preserve">Article 3.03(7), provided that anchors are not </w:t>
      </w:r>
      <w:r w:rsidR="00567453" w:rsidRPr="00C903F8">
        <w:rPr>
          <w:noProof/>
          <w:lang w:val="en-US"/>
        </w:rPr>
        <w:t>stored</w:t>
      </w:r>
      <w:r w:rsidR="003D2554" w:rsidRPr="00C903F8">
        <w:rPr>
          <w:noProof/>
          <w:lang w:val="en-US"/>
        </w:rPr>
        <w:t xml:space="preserve"> in hawse pipes;</w:t>
      </w:r>
    </w:p>
    <w:p w:rsidR="003D2554" w:rsidRPr="00C903F8" w:rsidRDefault="005C7859" w:rsidP="003D2554">
      <w:pPr>
        <w:pStyle w:val="ESlet"/>
        <w:rPr>
          <w:rFonts w:cs="Arial"/>
          <w:lang w:val="en-US"/>
        </w:rPr>
      </w:pPr>
      <w:r w:rsidRPr="00C903F8">
        <w:rPr>
          <w:noProof/>
          <w:lang w:val="en-US"/>
        </w:rPr>
        <w:t>b)</w:t>
      </w:r>
      <w:r w:rsidR="003D2554" w:rsidRPr="00C903F8">
        <w:rPr>
          <w:noProof/>
          <w:lang w:val="en-US"/>
        </w:rPr>
        <w:tab/>
        <w:t>Article 13.02(2)(d), with regard to length;</w:t>
      </w:r>
    </w:p>
    <w:p w:rsidR="003D2554" w:rsidRPr="00C903F8" w:rsidRDefault="005C7859" w:rsidP="003D2554">
      <w:pPr>
        <w:pStyle w:val="ESlet"/>
        <w:rPr>
          <w:rFonts w:cs="Arial"/>
        </w:rPr>
      </w:pPr>
      <w:r w:rsidRPr="00C903F8">
        <w:rPr>
          <w:noProof/>
        </w:rPr>
        <w:t>c)</w:t>
      </w:r>
      <w:r w:rsidR="003D2554" w:rsidRPr="00C903F8">
        <w:rPr>
          <w:noProof/>
          <w:lang w:val="fr-BE"/>
        </w:rPr>
        <w:tab/>
        <w:t>Article 19.08(3)(a);</w:t>
      </w:r>
    </w:p>
    <w:p w:rsidR="003D2554" w:rsidRPr="00C903F8" w:rsidRDefault="0029453D" w:rsidP="003D2554">
      <w:pPr>
        <w:pStyle w:val="ESlet"/>
        <w:rPr>
          <w:rFonts w:cs="Arial"/>
        </w:rPr>
      </w:pPr>
      <w:r w:rsidRPr="00C903F8">
        <w:rPr>
          <w:noProof/>
          <w:lang w:val="fr-BE"/>
        </w:rPr>
        <w:t>d)</w:t>
      </w:r>
      <w:r w:rsidR="003D2554" w:rsidRPr="00C903F8">
        <w:rPr>
          <w:noProof/>
          <w:lang w:val="fr-BE"/>
        </w:rPr>
        <w:tab/>
        <w:t>Article 19.15(8)</w:t>
      </w:r>
      <w:r w:rsidR="00C973E6">
        <w:rPr>
          <w:noProof/>
          <w:lang w:val="fr-BE"/>
        </w:rPr>
        <w:t>.</w:t>
      </w:r>
    </w:p>
    <w:p w:rsidR="003D2554" w:rsidRPr="00C903F8" w:rsidRDefault="003D2554" w:rsidP="003D2554">
      <w:pPr>
        <w:pStyle w:val="ESch"/>
        <w:rPr>
          <w:noProof/>
          <w:szCs w:val="20"/>
        </w:rPr>
      </w:pPr>
    </w:p>
    <w:p w:rsidR="003D2554" w:rsidRPr="00C903F8" w:rsidRDefault="003D2554" w:rsidP="003D2554">
      <w:pPr>
        <w:pStyle w:val="ESch"/>
        <w:rPr>
          <w:rFonts w:cs="Arial"/>
          <w:szCs w:val="20"/>
          <w:lang w:val="en-US"/>
        </w:rPr>
      </w:pPr>
      <w:r w:rsidRPr="00C903F8">
        <w:rPr>
          <w:noProof/>
          <w:szCs w:val="20"/>
          <w:lang w:val="en-US"/>
        </w:rPr>
        <w:t>2.</w:t>
      </w:r>
      <w:r w:rsidRPr="00C903F8">
        <w:rPr>
          <w:noProof/>
          <w:szCs w:val="20"/>
          <w:lang w:val="en-US"/>
        </w:rPr>
        <w:tab/>
        <w:t xml:space="preserve">By way of derogation from </w:t>
      </w:r>
      <w:r w:rsidR="00FD1E75" w:rsidRPr="00C903F8">
        <w:rPr>
          <w:noProof/>
          <w:szCs w:val="20"/>
          <w:lang w:val="en-US"/>
        </w:rPr>
        <w:t>(</w:t>
      </w:r>
      <w:r w:rsidRPr="00C903F8">
        <w:rPr>
          <w:noProof/>
          <w:szCs w:val="20"/>
          <w:lang w:val="en-US"/>
        </w:rPr>
        <w:t>1</w:t>
      </w:r>
      <w:r w:rsidR="00FD1E75" w:rsidRPr="00C903F8">
        <w:rPr>
          <w:noProof/>
          <w:szCs w:val="20"/>
          <w:lang w:val="en-US"/>
        </w:rPr>
        <w:t>)</w:t>
      </w:r>
      <w:r w:rsidRPr="00C903F8">
        <w:rPr>
          <w:noProof/>
          <w:szCs w:val="20"/>
          <w:lang w:val="en-US"/>
        </w:rPr>
        <w:t xml:space="preserve">, the number of passengers may be raised to 1,5 times the </w:t>
      </w:r>
      <m:oMath>
        <m:sSub>
          <m:sSubPr>
            <m:ctrlPr>
              <w:rPr>
                <w:rFonts w:ascii="Cambria Math" w:hAnsi="Cambria Math"/>
                <w:i/>
                <w:noProof/>
                <w:szCs w:val="20"/>
                <w:lang w:val="en-US"/>
              </w:rPr>
            </m:ctrlPr>
          </m:sSubPr>
          <m:e>
            <m:r>
              <w:rPr>
                <w:rFonts w:ascii="Cambria Math" w:hAnsi="Cambria Math"/>
                <w:noProof/>
                <w:szCs w:val="20"/>
                <w:lang w:val="en-US"/>
              </w:rPr>
              <m:t>L</m:t>
            </m:r>
          </m:e>
          <m:sub>
            <m:r>
              <w:rPr>
                <w:rFonts w:ascii="Cambria Math" w:hAnsi="Cambria Math"/>
                <w:noProof/>
                <w:szCs w:val="20"/>
                <w:lang w:val="en-US"/>
              </w:rPr>
              <m:t>WL</m:t>
            </m:r>
          </m:sub>
        </m:sSub>
      </m:oMath>
      <w:r w:rsidR="00F46634" w:rsidRPr="00C903F8">
        <w:rPr>
          <w:noProof/>
          <w:szCs w:val="20"/>
          <w:lang w:val="en-US"/>
        </w:rPr>
        <w:t xml:space="preserve"> </w:t>
      </w:r>
      <w:r w:rsidRPr="00C903F8">
        <w:rPr>
          <w:noProof/>
          <w:szCs w:val="20"/>
          <w:lang w:val="en-US"/>
        </w:rPr>
        <w:t>in whole meters, if sails, rigging and deck fittings so permit.</w:t>
      </w:r>
    </w:p>
    <w:p w:rsidR="003D2554" w:rsidRPr="00C903F8" w:rsidRDefault="003D2554" w:rsidP="003D2554">
      <w:pPr>
        <w:pStyle w:val="ESch"/>
        <w:rPr>
          <w:rFonts w:cs="Arial"/>
          <w:szCs w:val="20"/>
          <w:lang w:val="en-US"/>
        </w:rPr>
      </w:pPr>
    </w:p>
    <w:p w:rsidR="003D2554" w:rsidRPr="00C903F8" w:rsidRDefault="003D2554" w:rsidP="003D2554">
      <w:pPr>
        <w:pStyle w:val="ESch"/>
        <w:rPr>
          <w:rFonts w:cs="Arial"/>
          <w:szCs w:val="20"/>
          <w:lang w:val="en-US"/>
        </w:rPr>
      </w:pPr>
    </w:p>
    <w:p w:rsidR="003D2554" w:rsidRPr="00C903F8" w:rsidRDefault="003D2554" w:rsidP="003D2554">
      <w:pPr>
        <w:pStyle w:val="ES-Titre3"/>
        <w:rPr>
          <w:rFonts w:cs="Arial"/>
          <w:i/>
          <w:lang w:val="en-US"/>
        </w:rPr>
      </w:pPr>
      <w:bookmarkStart w:id="200" w:name="_Toc491854188"/>
      <w:r w:rsidRPr="00C903F8">
        <w:rPr>
          <w:noProof/>
          <w:lang w:val="en-US"/>
        </w:rPr>
        <w:t>Article 20.03</w:t>
      </w:r>
      <w:r w:rsidRPr="00C903F8">
        <w:rPr>
          <w:noProof/>
          <w:lang w:val="en-US"/>
        </w:rPr>
        <w:br/>
      </w:r>
      <w:r w:rsidRPr="00C903F8">
        <w:rPr>
          <w:i/>
          <w:noProof/>
          <w:lang w:val="en-US"/>
        </w:rPr>
        <w:t>Stability requirements for vessels under sail</w:t>
      </w:r>
      <w:bookmarkEnd w:id="200"/>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1. </w:t>
      </w:r>
      <w:r w:rsidRPr="00C903F8">
        <w:rPr>
          <w:noProof/>
          <w:szCs w:val="20"/>
          <w:lang w:val="en-US"/>
        </w:rPr>
        <w:tab/>
        <w:t>For the calculation of the heeling moment according to Article 19.03(3), the furled sails shall be taken into account when determining the centre of gravity of the vessel.</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2. </w:t>
      </w:r>
      <w:r w:rsidRPr="00C903F8">
        <w:rPr>
          <w:noProof/>
          <w:szCs w:val="20"/>
          <w:lang w:val="en-US"/>
        </w:rPr>
        <w:tab/>
        <w:t>Taking into consideration all load</w:t>
      </w:r>
      <w:r w:rsidR="002E3EAE" w:rsidRPr="00C903F8">
        <w:rPr>
          <w:noProof/>
          <w:szCs w:val="20"/>
          <w:lang w:val="en-US"/>
        </w:rPr>
        <w:t>ing</w:t>
      </w:r>
      <w:r w:rsidRPr="00C903F8">
        <w:rPr>
          <w:noProof/>
          <w:szCs w:val="20"/>
          <w:lang w:val="en-US"/>
        </w:rPr>
        <w:t xml:space="preserve"> conditions according to Article 19.03(2), and using a standard arrangement of sails, the heeling moment caused by wind pressure shall not be so high as to exceed a heeling angle of 20°. At the same time</w:t>
      </w:r>
    </w:p>
    <w:p w:rsidR="003D2554" w:rsidRPr="00C903F8" w:rsidRDefault="005C7859" w:rsidP="003D2554">
      <w:pPr>
        <w:pStyle w:val="ESlet"/>
        <w:rPr>
          <w:rFonts w:cs="Arial"/>
          <w:lang w:val="en-US"/>
        </w:rPr>
      </w:pPr>
      <w:r w:rsidRPr="00C903F8">
        <w:rPr>
          <w:noProof/>
          <w:lang w:val="en-US"/>
        </w:rPr>
        <w:t>a)</w:t>
      </w:r>
      <w:r w:rsidR="003D2554" w:rsidRPr="00C903F8">
        <w:rPr>
          <w:noProof/>
          <w:lang w:val="en-US"/>
        </w:rPr>
        <w:tab/>
        <w:t>a constant wind pressure of 0,07 kN/m</w:t>
      </w:r>
      <w:r w:rsidR="003D2554" w:rsidRPr="00C903F8">
        <w:rPr>
          <w:noProof/>
          <w:vertAlign w:val="superscript"/>
          <w:lang w:val="en-US"/>
        </w:rPr>
        <w:t>2</w:t>
      </w:r>
      <w:r w:rsidR="003D2554" w:rsidRPr="00C903F8">
        <w:rPr>
          <w:noProof/>
          <w:lang w:val="en-US"/>
        </w:rPr>
        <w:t xml:space="preserve"> shall be applied for the calculation</w:t>
      </w:r>
      <w:r w:rsidR="001E577F" w:rsidRPr="00C903F8">
        <w:rPr>
          <w:noProof/>
          <w:lang w:val="en-US"/>
        </w:rPr>
        <w:t>;</w:t>
      </w:r>
    </w:p>
    <w:p w:rsidR="003D2554" w:rsidRPr="00C903F8" w:rsidRDefault="005C7859" w:rsidP="003D2554">
      <w:pPr>
        <w:pStyle w:val="ESlet"/>
        <w:rPr>
          <w:rFonts w:cs="Arial"/>
          <w:lang w:val="en-US"/>
        </w:rPr>
      </w:pPr>
      <w:r w:rsidRPr="00C903F8">
        <w:rPr>
          <w:noProof/>
          <w:lang w:val="en-US"/>
        </w:rPr>
        <w:t>b)</w:t>
      </w:r>
      <w:r w:rsidR="003D2554" w:rsidRPr="00C903F8">
        <w:rPr>
          <w:noProof/>
          <w:lang w:val="en-US"/>
        </w:rPr>
        <w:tab/>
        <w:t>the residual safety clearance shall be at least 100 mm, and</w:t>
      </w:r>
    </w:p>
    <w:p w:rsidR="003D2554" w:rsidRPr="00C903F8" w:rsidRDefault="005C7859" w:rsidP="003D2554">
      <w:pPr>
        <w:pStyle w:val="ESlet"/>
        <w:rPr>
          <w:rFonts w:cs="Arial"/>
          <w:lang w:val="en-US"/>
        </w:rPr>
      </w:pPr>
      <w:r w:rsidRPr="00C903F8">
        <w:rPr>
          <w:noProof/>
          <w:lang w:val="en-US"/>
        </w:rPr>
        <w:t>c)</w:t>
      </w:r>
      <w:r w:rsidR="003D2554" w:rsidRPr="00C903F8">
        <w:rPr>
          <w:noProof/>
          <w:lang w:val="en-US"/>
        </w:rPr>
        <w:tab/>
        <w:t>the residual freeboard shall not be negative.</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3. </w:t>
      </w:r>
      <w:r w:rsidRPr="00C903F8">
        <w:rPr>
          <w:noProof/>
          <w:szCs w:val="20"/>
          <w:lang w:val="en-US"/>
        </w:rPr>
        <w:tab/>
        <w:t>The righting lever of static stability shall:</w:t>
      </w:r>
    </w:p>
    <w:p w:rsidR="003D2554" w:rsidRPr="00C903F8" w:rsidRDefault="005C7859" w:rsidP="003D2554">
      <w:pPr>
        <w:pStyle w:val="ESlet"/>
        <w:rPr>
          <w:rFonts w:cs="Arial"/>
          <w:lang w:val="en-US"/>
        </w:rPr>
      </w:pPr>
      <w:r w:rsidRPr="00C903F8">
        <w:rPr>
          <w:noProof/>
          <w:lang w:val="en-US"/>
        </w:rPr>
        <w:t>a)</w:t>
      </w:r>
      <w:r w:rsidR="003D2554" w:rsidRPr="00C903F8">
        <w:rPr>
          <w:noProof/>
          <w:lang w:val="en-US"/>
        </w:rPr>
        <w:tab/>
        <w:t>reach its maximum value</w:t>
      </w:r>
      <w:r w:rsidR="000F3AFD" w:rsidRPr="00C903F8">
        <w:rPr>
          <w:noProof/>
          <w:lang w:val="en-US"/>
        </w:rPr>
        <w:t xml:space="preserve"> </w:t>
      </w:r>
      <m:oMath>
        <m:sSub>
          <m:sSubPr>
            <m:ctrlPr>
              <w:rPr>
                <w:rFonts w:ascii="Cambria Math" w:hAnsi="Cambria Math"/>
                <w:i/>
                <w:noProof/>
                <w:szCs w:val="20"/>
                <w:lang w:val="en-US"/>
              </w:rPr>
            </m:ctrlPr>
          </m:sSubPr>
          <m:e>
            <m:r>
              <w:rPr>
                <w:rFonts w:ascii="Cambria Math" w:hAnsi="Cambria Math"/>
                <w:noProof/>
                <w:szCs w:val="20"/>
                <w:lang w:val="en-US"/>
              </w:rPr>
              <m:t>h</m:t>
            </m:r>
          </m:e>
          <m:sub>
            <m:r>
              <w:rPr>
                <w:rFonts w:ascii="Cambria Math" w:hAnsi="Cambria Math"/>
                <w:noProof/>
                <w:szCs w:val="20"/>
                <w:lang w:val="en-US"/>
              </w:rPr>
              <m:t>max</m:t>
            </m:r>
          </m:sub>
        </m:sSub>
      </m:oMath>
      <w:r w:rsidR="00F46634" w:rsidRPr="00C903F8">
        <w:rPr>
          <w:noProof/>
          <w:lang w:val="en-US"/>
        </w:rPr>
        <w:t xml:space="preserve"> </w:t>
      </w:r>
      <w:r w:rsidR="003D2554" w:rsidRPr="00C903F8">
        <w:rPr>
          <w:noProof/>
          <w:lang w:val="en-US"/>
        </w:rPr>
        <w:t>at a heeling angle</w:t>
      </w:r>
      <w:r w:rsidR="000F3AFD" w:rsidRPr="00C903F8">
        <w:rPr>
          <w:noProof/>
          <w:lang w:val="en-US"/>
        </w:rPr>
        <w:t xml:space="preserve"> </w:t>
      </w:r>
      <m:oMath>
        <m:sSub>
          <m:sSubPr>
            <m:ctrlPr>
              <w:rPr>
                <w:rFonts w:ascii="Cambria Math" w:hAnsi="Cambria Math"/>
                <w:i/>
                <w:noProof/>
                <w:lang w:val="en-US"/>
              </w:rPr>
            </m:ctrlPr>
          </m:sSubPr>
          <m:e>
            <m:r>
              <w:rPr>
                <w:rFonts w:ascii="Cambria Math" w:hAnsi="Cambria Math"/>
                <w:noProof/>
                <w:lang w:val="en-US"/>
              </w:rPr>
              <m:t>φ</m:t>
            </m:r>
          </m:e>
          <m:sub>
            <m:r>
              <w:rPr>
                <w:rFonts w:ascii="Cambria Math" w:hAnsi="Cambria Math"/>
                <w:noProof/>
                <w:lang w:val="en-US"/>
              </w:rPr>
              <m:t>max</m:t>
            </m:r>
          </m:sub>
        </m:sSub>
      </m:oMath>
      <w:r w:rsidR="003D2554" w:rsidRPr="00C903F8">
        <w:rPr>
          <w:noProof/>
          <w:lang w:val="en-US"/>
        </w:rPr>
        <w:t xml:space="preserve"> of 25° or over</w:t>
      </w:r>
      <w:r w:rsidR="001E577F" w:rsidRPr="00C903F8">
        <w:rPr>
          <w:noProof/>
          <w:lang w:val="en-US"/>
        </w:rPr>
        <w:t>;</w:t>
      </w:r>
    </w:p>
    <w:p w:rsidR="003D2554" w:rsidRPr="00C903F8" w:rsidRDefault="005C7859" w:rsidP="003D2554">
      <w:pPr>
        <w:pStyle w:val="ESlet"/>
        <w:rPr>
          <w:rFonts w:cs="Arial"/>
          <w:lang w:val="en-US"/>
        </w:rPr>
      </w:pPr>
      <w:r w:rsidRPr="00C903F8">
        <w:rPr>
          <w:noProof/>
          <w:lang w:val="en-US"/>
        </w:rPr>
        <w:t>b)</w:t>
      </w:r>
      <w:r w:rsidR="003D2554" w:rsidRPr="00C903F8">
        <w:rPr>
          <w:noProof/>
          <w:lang w:val="en-US"/>
        </w:rPr>
        <w:tab/>
        <w:t>amount to at least 0,20 m at a heeling angle of 30° or over</w:t>
      </w:r>
      <w:r w:rsidR="001E577F" w:rsidRPr="00C903F8">
        <w:rPr>
          <w:noProof/>
          <w:lang w:val="en-US"/>
        </w:rPr>
        <w:t>;</w:t>
      </w:r>
    </w:p>
    <w:p w:rsidR="003D2554" w:rsidRPr="00C903F8" w:rsidRDefault="005C7859" w:rsidP="003D2554">
      <w:pPr>
        <w:pStyle w:val="ESlet"/>
        <w:rPr>
          <w:rFonts w:cs="Arial"/>
          <w:lang w:val="en-US"/>
        </w:rPr>
      </w:pPr>
      <w:r w:rsidRPr="00C903F8">
        <w:rPr>
          <w:noProof/>
          <w:lang w:val="en-US"/>
        </w:rPr>
        <w:t>c)</w:t>
      </w:r>
      <w:r w:rsidR="003D2554" w:rsidRPr="00C903F8">
        <w:rPr>
          <w:noProof/>
          <w:lang w:val="en-US"/>
        </w:rPr>
        <w:t xml:space="preserve"> </w:t>
      </w:r>
      <w:r w:rsidR="003D2554" w:rsidRPr="00C903F8">
        <w:rPr>
          <w:noProof/>
          <w:lang w:val="en-US"/>
        </w:rPr>
        <w:tab/>
        <w:t>be positive at a heeling angle of up to 60°.</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4. </w:t>
      </w:r>
      <w:r w:rsidRPr="00C903F8">
        <w:rPr>
          <w:noProof/>
          <w:szCs w:val="20"/>
          <w:lang w:val="en-US"/>
        </w:rPr>
        <w:tab/>
        <w:t>The area A under the curve of the righting levers shall not be less than</w:t>
      </w:r>
    </w:p>
    <w:p w:rsidR="003D2554" w:rsidRPr="00C903F8" w:rsidRDefault="005C7859" w:rsidP="003D2554">
      <w:pPr>
        <w:pStyle w:val="ESlet"/>
        <w:rPr>
          <w:rFonts w:cs="Arial"/>
          <w:lang w:val="en-US"/>
        </w:rPr>
      </w:pPr>
      <w:r w:rsidRPr="00C903F8">
        <w:rPr>
          <w:noProof/>
          <w:lang w:val="en-US"/>
        </w:rPr>
        <w:t>a)</w:t>
      </w:r>
      <w:r w:rsidR="000F3AFD" w:rsidRPr="00C903F8">
        <w:rPr>
          <w:noProof/>
          <w:lang w:val="en-US"/>
        </w:rPr>
        <w:tab/>
      </w:r>
      <m:oMath>
        <m:r>
          <w:rPr>
            <w:rFonts w:ascii="Cambria Math" w:hAnsi="Cambria Math"/>
            <w:noProof/>
            <w:lang w:val="en-US"/>
          </w:rPr>
          <m:t>0,055 m ∙rad</m:t>
        </m:r>
      </m:oMath>
      <w:r w:rsidR="000F3AFD" w:rsidRPr="00C903F8">
        <w:rPr>
          <w:noProof/>
          <w:lang w:val="en-US"/>
        </w:rPr>
        <w:t xml:space="preserve"> </w:t>
      </w:r>
      <w:r w:rsidR="001E577F" w:rsidRPr="00C903F8">
        <w:rPr>
          <w:noProof/>
          <w:lang w:val="en-US"/>
        </w:rPr>
        <w:t>up to 30°;</w:t>
      </w:r>
    </w:p>
    <w:p w:rsidR="003D2554" w:rsidRPr="00C903F8" w:rsidRDefault="005C7859" w:rsidP="003D2554">
      <w:pPr>
        <w:pStyle w:val="ESlet"/>
        <w:rPr>
          <w:rFonts w:cs="Arial"/>
          <w:lang w:val="en-US"/>
        </w:rPr>
      </w:pPr>
      <w:r w:rsidRPr="00C903F8">
        <w:rPr>
          <w:noProof/>
          <w:lang w:val="en-US"/>
        </w:rPr>
        <w:t>b)</w:t>
      </w:r>
      <w:r w:rsidR="003D2554" w:rsidRPr="00C903F8">
        <w:rPr>
          <w:noProof/>
          <w:lang w:val="en-US"/>
        </w:rPr>
        <w:tab/>
      </w:r>
      <m:oMath>
        <m:r>
          <w:rPr>
            <w:rFonts w:ascii="Cambria Math" w:hAnsi="Cambria Math"/>
            <w:noProof/>
            <w:lang w:val="en-US"/>
          </w:rPr>
          <m:t>0,09 m ∙rad</m:t>
        </m:r>
      </m:oMath>
      <w:r w:rsidR="000F3AFD" w:rsidRPr="00C903F8">
        <w:rPr>
          <w:noProof/>
          <w:lang w:val="en-US"/>
        </w:rPr>
        <w:t xml:space="preserve"> </w:t>
      </w:r>
      <w:r w:rsidR="003D2554" w:rsidRPr="00C903F8">
        <w:rPr>
          <w:noProof/>
          <w:lang w:val="en-US"/>
        </w:rPr>
        <w:t xml:space="preserve">up to 40° or at the angle </w:t>
      </w:r>
      <m:oMath>
        <m:sSub>
          <m:sSubPr>
            <m:ctrlPr>
              <w:rPr>
                <w:rFonts w:ascii="Cambria Math" w:hAnsi="Cambria Math"/>
                <w:i/>
                <w:noProof/>
                <w:lang w:val="en-US"/>
              </w:rPr>
            </m:ctrlPr>
          </m:sSubPr>
          <m:e>
            <m:r>
              <w:rPr>
                <w:rFonts w:ascii="Cambria Math" w:hAnsi="Cambria Math"/>
                <w:noProof/>
                <w:lang w:val="en-US"/>
              </w:rPr>
              <m:t>φ</m:t>
            </m:r>
          </m:e>
          <m:sub>
            <m:r>
              <w:rPr>
                <w:rFonts w:ascii="Cambria Math" w:hAnsi="Cambria Math"/>
                <w:noProof/>
                <w:lang w:val="en-US"/>
              </w:rPr>
              <m:t>f</m:t>
            </m:r>
          </m:sub>
        </m:sSub>
      </m:oMath>
      <w:r w:rsidR="000F3AFD" w:rsidRPr="00C903F8">
        <w:rPr>
          <w:noProof/>
          <w:lang w:val="en-US"/>
        </w:rPr>
        <w:t xml:space="preserve"> </w:t>
      </w:r>
      <w:r w:rsidR="003D2554" w:rsidRPr="00C903F8">
        <w:rPr>
          <w:noProof/>
          <w:lang w:val="en-US"/>
        </w:rPr>
        <w:t>at which an unprotected opening reaches the water surface and which is less than 40°.</w:t>
      </w:r>
    </w:p>
    <w:p w:rsidR="000928CC" w:rsidRPr="00C903F8" w:rsidRDefault="000928CC" w:rsidP="003D2554">
      <w:pPr>
        <w:pStyle w:val="ESlet"/>
        <w:rPr>
          <w:noProof/>
          <w:lang w:val="en-US"/>
        </w:rPr>
      </w:pPr>
    </w:p>
    <w:p w:rsidR="000928CC" w:rsidRPr="00C903F8" w:rsidRDefault="000928CC">
      <w:pPr>
        <w:autoSpaceDE/>
        <w:autoSpaceDN/>
        <w:ind w:left="0" w:firstLine="0"/>
        <w:jc w:val="left"/>
        <w:rPr>
          <w:noProof/>
          <w:lang w:val="en-US"/>
        </w:rPr>
      </w:pPr>
      <w:r w:rsidRPr="00C903F8">
        <w:rPr>
          <w:noProof/>
          <w:lang w:val="en-US"/>
        </w:rPr>
        <w:br w:type="page"/>
      </w:r>
    </w:p>
    <w:p w:rsidR="000928CC" w:rsidRPr="00C903F8" w:rsidRDefault="000928CC" w:rsidP="003D2554">
      <w:pPr>
        <w:pStyle w:val="ESlet"/>
        <w:rPr>
          <w:noProof/>
          <w:lang w:val="en-US"/>
        </w:rPr>
      </w:pPr>
    </w:p>
    <w:p w:rsidR="003D2554" w:rsidRPr="00C903F8" w:rsidRDefault="003D2554" w:rsidP="003D2554">
      <w:pPr>
        <w:pStyle w:val="ESlet"/>
        <w:rPr>
          <w:rFonts w:cs="Arial"/>
          <w:lang w:val="en-US"/>
        </w:rPr>
      </w:pPr>
      <w:r w:rsidRPr="00C903F8">
        <w:rPr>
          <w:noProof/>
          <w:lang w:val="en-US"/>
        </w:rPr>
        <w:t>Between</w:t>
      </w:r>
    </w:p>
    <w:p w:rsidR="003D2554" w:rsidRPr="00C903F8" w:rsidRDefault="005C7859" w:rsidP="003D2554">
      <w:pPr>
        <w:pStyle w:val="ESlet"/>
        <w:rPr>
          <w:rFonts w:cs="Arial"/>
          <w:lang w:val="en-US"/>
        </w:rPr>
      </w:pPr>
      <w:r w:rsidRPr="00C903F8">
        <w:rPr>
          <w:noProof/>
          <w:lang w:val="en-US"/>
        </w:rPr>
        <w:t>c)</w:t>
      </w:r>
      <w:r w:rsidR="003D2554" w:rsidRPr="00C903F8">
        <w:rPr>
          <w:noProof/>
          <w:lang w:val="en-US"/>
        </w:rPr>
        <w:tab/>
        <w:t>30° and 40°, or</w:t>
      </w:r>
    </w:p>
    <w:p w:rsidR="003D2554" w:rsidRPr="00C903F8" w:rsidRDefault="0029453D" w:rsidP="003D2554">
      <w:pPr>
        <w:pStyle w:val="ESlet"/>
        <w:rPr>
          <w:rFonts w:cs="Arial"/>
          <w:lang w:val="en-US"/>
        </w:rPr>
      </w:pPr>
      <w:r w:rsidRPr="00C903F8">
        <w:rPr>
          <w:noProof/>
          <w:lang w:val="en-US"/>
        </w:rPr>
        <w:t>d)</w:t>
      </w:r>
      <w:r w:rsidR="003D2554" w:rsidRPr="00C903F8">
        <w:rPr>
          <w:noProof/>
          <w:lang w:val="en-US"/>
        </w:rPr>
        <w:tab/>
        <w:t xml:space="preserve">30° and the angle </w:t>
      </w:r>
      <m:oMath>
        <m:sSub>
          <m:sSubPr>
            <m:ctrlPr>
              <w:rPr>
                <w:rFonts w:ascii="Cambria Math" w:hAnsi="Cambria Math"/>
                <w:i/>
                <w:noProof/>
                <w:lang w:val="en-US"/>
              </w:rPr>
            </m:ctrlPr>
          </m:sSubPr>
          <m:e>
            <m:r>
              <w:rPr>
                <w:rFonts w:ascii="Cambria Math" w:hAnsi="Cambria Math"/>
                <w:noProof/>
                <w:lang w:val="en-US"/>
              </w:rPr>
              <m:t>φ</m:t>
            </m:r>
          </m:e>
          <m:sub>
            <m:r>
              <w:rPr>
                <w:rFonts w:ascii="Cambria Math" w:hAnsi="Cambria Math"/>
                <w:noProof/>
                <w:lang w:val="en-US"/>
              </w:rPr>
              <m:t>f</m:t>
            </m:r>
          </m:sub>
        </m:sSub>
      </m:oMath>
      <w:r w:rsidR="003D2554" w:rsidRPr="00C903F8">
        <w:rPr>
          <w:noProof/>
          <w:lang w:val="en-US"/>
        </w:rPr>
        <w:t xml:space="preserve"> at which an unprotected opening reaches the water surface and which is less than 40°,</w:t>
      </w:r>
    </w:p>
    <w:p w:rsidR="003D2554" w:rsidRPr="00C903F8" w:rsidRDefault="00772341" w:rsidP="003D2554">
      <w:pPr>
        <w:pStyle w:val="Esletgauchepar"/>
        <w:rPr>
          <w:rFonts w:cs="Arial"/>
          <w:lang w:val="en-US"/>
        </w:rPr>
      </w:pPr>
      <w:r w:rsidRPr="00C903F8">
        <w:rPr>
          <w:noProof/>
          <w:lang w:val="en-US"/>
        </w:rPr>
        <w:t>t</w:t>
      </w:r>
      <w:r w:rsidR="003D2554" w:rsidRPr="00C903F8">
        <w:rPr>
          <w:noProof/>
          <w:lang w:val="en-US"/>
        </w:rPr>
        <w:t xml:space="preserve">his area shall not be less than </w:t>
      </w:r>
      <m:oMath>
        <m:r>
          <w:rPr>
            <w:rFonts w:ascii="Cambria Math" w:hAnsi="Cambria Math"/>
            <w:noProof/>
            <w:lang w:val="en-US"/>
          </w:rPr>
          <m:t>0,03 m ∙rad</m:t>
        </m:r>
      </m:oMath>
      <w:r w:rsidR="003D2554" w:rsidRPr="00C903F8">
        <w:rPr>
          <w:rFonts w:cs="Arial"/>
          <w:lang w:val="en-US"/>
        </w:rPr>
        <w:t>.</w:t>
      </w:r>
    </w:p>
    <w:p w:rsidR="003D2554" w:rsidRPr="00C903F8" w:rsidRDefault="003D2554" w:rsidP="003D2554">
      <w:pPr>
        <w:pStyle w:val="ESch"/>
        <w:rPr>
          <w:rFonts w:cs="Arial"/>
          <w:szCs w:val="20"/>
          <w:lang w:val="en-US"/>
        </w:rPr>
      </w:pPr>
    </w:p>
    <w:p w:rsidR="000928CC" w:rsidRPr="00C903F8" w:rsidRDefault="000928CC" w:rsidP="003D2554">
      <w:pPr>
        <w:pStyle w:val="ESch"/>
        <w:rPr>
          <w:rFonts w:cs="Arial"/>
          <w:szCs w:val="20"/>
          <w:lang w:val="en-US"/>
        </w:rPr>
      </w:pPr>
    </w:p>
    <w:p w:rsidR="003D2554" w:rsidRPr="00C903F8" w:rsidRDefault="003D2554" w:rsidP="003D2554">
      <w:pPr>
        <w:pStyle w:val="ES-Titre3"/>
        <w:rPr>
          <w:rFonts w:cs="Arial"/>
          <w:i/>
          <w:lang w:val="en-US"/>
        </w:rPr>
      </w:pPr>
      <w:bookmarkStart w:id="201" w:name="_Toc491854189"/>
      <w:r w:rsidRPr="00C903F8">
        <w:rPr>
          <w:noProof/>
          <w:lang w:val="en-US"/>
        </w:rPr>
        <w:t>Article 20.04</w:t>
      </w:r>
      <w:r w:rsidRPr="00C903F8">
        <w:rPr>
          <w:noProof/>
          <w:lang w:val="en-US"/>
        </w:rPr>
        <w:br/>
      </w:r>
      <w:r w:rsidRPr="00C903F8">
        <w:rPr>
          <w:i/>
          <w:noProof/>
          <w:lang w:val="en-US"/>
        </w:rPr>
        <w:t>Shipbuilding and mechanical requirements</w:t>
      </w:r>
      <w:bookmarkEnd w:id="201"/>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1. </w:t>
      </w:r>
      <w:r w:rsidRPr="00C903F8">
        <w:rPr>
          <w:noProof/>
          <w:szCs w:val="20"/>
          <w:lang w:val="en-US"/>
        </w:rPr>
        <w:tab/>
        <w:t>By way of derogation from Article 6.01(3), and Article 10.01(3), the equipment must be designed for permanent lists of up to 20°.</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2.</w:t>
      </w:r>
      <w:r w:rsidRPr="00C903F8">
        <w:rPr>
          <w:noProof/>
          <w:szCs w:val="20"/>
          <w:lang w:val="en-US"/>
        </w:rPr>
        <w:tab/>
        <w:t>By way of derogation from Article 19.06(5)(a) and Article 19.06(9)(b), the inspection body may, in the case of passenger sailing vessels not more than 25 m long, authorise a clear width of less than 0,80 m for connecting corridors and companionways. However, the clear width shall be at least 0,60 m.</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3.</w:t>
      </w:r>
      <w:r w:rsidRPr="00C903F8">
        <w:rPr>
          <w:noProof/>
          <w:szCs w:val="20"/>
          <w:lang w:val="en-US"/>
        </w:rPr>
        <w:tab/>
        <w:t>By way of derogation from Article 19.06(10)(a), the inspection body may, in specific cases, authorise the use of removable guard rails in areas where this is necessary for controlling the sails.</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4.</w:t>
      </w:r>
      <w:r w:rsidRPr="00C903F8">
        <w:rPr>
          <w:noProof/>
          <w:szCs w:val="20"/>
          <w:lang w:val="en-US"/>
        </w:rPr>
        <w:tab/>
        <w:t>Within the meaning of Article 19.07, sails rank as a main propulsion system.</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5.</w:t>
      </w:r>
      <w:r w:rsidRPr="00C903F8">
        <w:rPr>
          <w:noProof/>
          <w:szCs w:val="20"/>
          <w:lang w:val="en-US"/>
        </w:rPr>
        <w:tab/>
        <w:t>By way of derogation from Article 19.15(6)(c), the height of the lower edge of the door opening may be reduced to 0,20 m above the floor of the passenger area. Once opened, the door shall close and lock automatically.</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6.</w:t>
      </w:r>
      <w:r w:rsidRPr="00C903F8">
        <w:rPr>
          <w:noProof/>
          <w:szCs w:val="20"/>
          <w:lang w:val="en-US"/>
        </w:rPr>
        <w:tab/>
        <w:t>If there is a possibility of the propeller idling while the vessel is under sail, any endangered parts of the propulsion system shall be protected against potential damage.</w:t>
      </w:r>
    </w:p>
    <w:p w:rsidR="003D2554" w:rsidRPr="00C903F8" w:rsidRDefault="003D2554" w:rsidP="003D2554">
      <w:pPr>
        <w:pStyle w:val="ESch"/>
        <w:rPr>
          <w:rFonts w:cs="Arial"/>
          <w:szCs w:val="20"/>
          <w:lang w:val="en-US"/>
        </w:rPr>
      </w:pPr>
    </w:p>
    <w:p w:rsidR="003D2554" w:rsidRPr="00C903F8" w:rsidRDefault="003D2554" w:rsidP="003D2554">
      <w:pPr>
        <w:pStyle w:val="ESch"/>
        <w:rPr>
          <w:rFonts w:cs="Arial"/>
          <w:szCs w:val="20"/>
          <w:lang w:val="en-US"/>
        </w:rPr>
      </w:pPr>
    </w:p>
    <w:p w:rsidR="003D2554" w:rsidRPr="00C903F8" w:rsidRDefault="003D2554" w:rsidP="003D2554">
      <w:pPr>
        <w:pStyle w:val="ES-Titre3"/>
        <w:rPr>
          <w:rFonts w:cs="Arial"/>
          <w:i/>
          <w:lang w:val="en-US"/>
        </w:rPr>
      </w:pPr>
      <w:bookmarkStart w:id="202" w:name="_Toc491854190"/>
      <w:r w:rsidRPr="00C903F8">
        <w:rPr>
          <w:noProof/>
          <w:lang w:val="en-US"/>
        </w:rPr>
        <w:t>Article 20.05</w:t>
      </w:r>
      <w:r w:rsidRPr="00C903F8">
        <w:rPr>
          <w:noProof/>
          <w:lang w:val="en-US"/>
        </w:rPr>
        <w:br/>
      </w:r>
      <w:r w:rsidRPr="00C903F8">
        <w:rPr>
          <w:i/>
          <w:noProof/>
          <w:lang w:val="en-US"/>
        </w:rPr>
        <w:t>Rigging in general</w:t>
      </w:r>
      <w:bookmarkEnd w:id="202"/>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1.</w:t>
      </w:r>
      <w:r w:rsidRPr="00C903F8">
        <w:rPr>
          <w:noProof/>
          <w:szCs w:val="20"/>
          <w:lang w:val="en-US"/>
        </w:rPr>
        <w:tab/>
        <w:t>The parts of the rigging shall be arranged in such a way as to prevent unacceptable chafing.</w:t>
      </w:r>
    </w:p>
    <w:p w:rsidR="003D2554" w:rsidRPr="00C903F8" w:rsidRDefault="003D2554" w:rsidP="003D2554">
      <w:pPr>
        <w:pStyle w:val="ESch"/>
        <w:rPr>
          <w:noProof/>
          <w:szCs w:val="20"/>
          <w:lang w:val="en-US"/>
        </w:rPr>
      </w:pPr>
    </w:p>
    <w:p w:rsidR="003D2554" w:rsidRPr="00C903F8" w:rsidRDefault="003D2554" w:rsidP="003D2554">
      <w:pPr>
        <w:pStyle w:val="ESch"/>
        <w:rPr>
          <w:noProof/>
          <w:szCs w:val="20"/>
          <w:lang w:val="en-US"/>
        </w:rPr>
      </w:pPr>
      <w:r w:rsidRPr="00C903F8">
        <w:rPr>
          <w:noProof/>
          <w:szCs w:val="20"/>
          <w:lang w:val="en-US"/>
        </w:rPr>
        <w:t>2.</w:t>
      </w:r>
      <w:r w:rsidRPr="00C903F8">
        <w:rPr>
          <w:noProof/>
          <w:szCs w:val="20"/>
          <w:lang w:val="en-US"/>
        </w:rPr>
        <w:tab/>
        <w:t xml:space="preserve">If a material other than wood is used or if special types of rigging are used, such a design shall guarantee equivalent levels of safety with the dimensions and strength values laid down in this Chapter. </w:t>
      </w:r>
    </w:p>
    <w:p w:rsidR="003D2554" w:rsidRPr="00C903F8" w:rsidRDefault="003D2554" w:rsidP="003D2554">
      <w:pPr>
        <w:pStyle w:val="ESchpar"/>
        <w:rPr>
          <w:noProof/>
          <w:lang w:val="en-US"/>
        </w:rPr>
      </w:pPr>
    </w:p>
    <w:p w:rsidR="003D2554" w:rsidRPr="00C903F8" w:rsidRDefault="003D2554" w:rsidP="003D2554">
      <w:pPr>
        <w:pStyle w:val="ESchpar"/>
        <w:rPr>
          <w:rFonts w:cs="Arial"/>
          <w:lang w:val="en-US"/>
        </w:rPr>
      </w:pPr>
      <w:r w:rsidRPr="00C903F8">
        <w:rPr>
          <w:noProof/>
          <w:lang w:val="en-US"/>
        </w:rPr>
        <w:t>As proof of sufficient strength:</w:t>
      </w:r>
    </w:p>
    <w:p w:rsidR="003D2554" w:rsidRPr="00C903F8" w:rsidRDefault="005C7859" w:rsidP="003D2554">
      <w:pPr>
        <w:pStyle w:val="ESlet"/>
        <w:rPr>
          <w:rFonts w:cs="Arial"/>
          <w:lang w:val="en-US"/>
        </w:rPr>
      </w:pPr>
      <w:r w:rsidRPr="00C903F8">
        <w:rPr>
          <w:noProof/>
          <w:lang w:val="en-US"/>
        </w:rPr>
        <w:t>a)</w:t>
      </w:r>
      <w:r w:rsidR="003D2554" w:rsidRPr="00C903F8">
        <w:rPr>
          <w:noProof/>
          <w:lang w:val="en-US"/>
        </w:rPr>
        <w:tab/>
        <w:t xml:space="preserve">a </w:t>
      </w:r>
      <w:r w:rsidR="008F1AD2" w:rsidRPr="00C903F8">
        <w:rPr>
          <w:noProof/>
          <w:lang w:val="en-US"/>
        </w:rPr>
        <w:t>streng</w:t>
      </w:r>
      <w:r w:rsidR="00A610BD" w:rsidRPr="00C903F8">
        <w:rPr>
          <w:noProof/>
          <w:lang w:val="en-US"/>
        </w:rPr>
        <w:t>t</w:t>
      </w:r>
      <w:r w:rsidR="008F1AD2" w:rsidRPr="00C903F8">
        <w:rPr>
          <w:noProof/>
          <w:lang w:val="en-US"/>
        </w:rPr>
        <w:t xml:space="preserve">h </w:t>
      </w:r>
      <w:r w:rsidR="003D2554" w:rsidRPr="00C903F8">
        <w:rPr>
          <w:noProof/>
          <w:lang w:val="en-US"/>
        </w:rPr>
        <w:t>calculation shall be carried out</w:t>
      </w:r>
      <w:r w:rsidR="00A56366" w:rsidRPr="00C903F8">
        <w:rPr>
          <w:noProof/>
          <w:lang w:val="en-US"/>
        </w:rPr>
        <w:t>;</w:t>
      </w:r>
      <w:r w:rsidR="003D2554" w:rsidRPr="00C903F8">
        <w:rPr>
          <w:noProof/>
          <w:lang w:val="en-US"/>
        </w:rPr>
        <w:t xml:space="preserve"> or</w:t>
      </w:r>
    </w:p>
    <w:p w:rsidR="003D2554" w:rsidRPr="00C903F8" w:rsidRDefault="005C7859" w:rsidP="003D2554">
      <w:pPr>
        <w:pStyle w:val="ESlet"/>
        <w:rPr>
          <w:rFonts w:cs="Arial"/>
          <w:lang w:val="en-US"/>
        </w:rPr>
      </w:pPr>
      <w:r w:rsidRPr="00C903F8">
        <w:rPr>
          <w:noProof/>
          <w:lang w:val="en-US"/>
        </w:rPr>
        <w:t>b)</w:t>
      </w:r>
      <w:r w:rsidR="003D2554" w:rsidRPr="00C903F8">
        <w:rPr>
          <w:noProof/>
          <w:lang w:val="en-US"/>
        </w:rPr>
        <w:tab/>
        <w:t>a certificate ha</w:t>
      </w:r>
      <w:r w:rsidR="00263BAB" w:rsidRPr="00C903F8">
        <w:rPr>
          <w:noProof/>
          <w:lang w:val="en-US"/>
        </w:rPr>
        <w:t>s</w:t>
      </w:r>
      <w:r w:rsidR="003D2554" w:rsidRPr="00C903F8">
        <w:rPr>
          <w:noProof/>
          <w:lang w:val="en-US"/>
        </w:rPr>
        <w:t xml:space="preserve"> been obtained from a </w:t>
      </w:r>
      <w:r w:rsidR="004E1AD0" w:rsidRPr="00C903F8">
        <w:rPr>
          <w:rFonts w:cs="Arial"/>
          <w:szCs w:val="20"/>
          <w:lang w:val="en-US"/>
        </w:rPr>
        <w:t>recognised</w:t>
      </w:r>
      <w:r w:rsidR="00263BAB" w:rsidRPr="00C903F8">
        <w:rPr>
          <w:noProof/>
          <w:lang w:val="en-US"/>
        </w:rPr>
        <w:t xml:space="preserve"> </w:t>
      </w:r>
      <w:r w:rsidR="003D2554" w:rsidRPr="00C903F8">
        <w:rPr>
          <w:noProof/>
          <w:lang w:val="en-US"/>
        </w:rPr>
        <w:t>classification society</w:t>
      </w:r>
      <w:r w:rsidR="00A56366" w:rsidRPr="00C903F8">
        <w:rPr>
          <w:noProof/>
          <w:lang w:val="en-US"/>
        </w:rPr>
        <w:t>;</w:t>
      </w:r>
      <w:r w:rsidR="003D2554" w:rsidRPr="00C903F8">
        <w:rPr>
          <w:noProof/>
          <w:lang w:val="en-US"/>
        </w:rPr>
        <w:t xml:space="preserve"> or</w:t>
      </w:r>
    </w:p>
    <w:p w:rsidR="003D2554" w:rsidRPr="00C903F8" w:rsidRDefault="005C7859" w:rsidP="003D2554">
      <w:pPr>
        <w:pStyle w:val="ESlet"/>
        <w:rPr>
          <w:rFonts w:cs="Arial"/>
          <w:lang w:val="en-US"/>
        </w:rPr>
      </w:pPr>
      <w:r w:rsidRPr="00C903F8">
        <w:rPr>
          <w:noProof/>
          <w:lang w:val="en-US"/>
        </w:rPr>
        <w:t>c)</w:t>
      </w:r>
      <w:r w:rsidR="003D2554" w:rsidRPr="00C903F8">
        <w:rPr>
          <w:noProof/>
          <w:lang w:val="en-US"/>
        </w:rPr>
        <w:tab/>
        <w:t>dimensioning shall be based on the procedures set out in a recognised regulatory frame</w:t>
      </w:r>
      <w:r w:rsidR="003D2554" w:rsidRPr="00C903F8">
        <w:rPr>
          <w:noProof/>
          <w:lang w:val="en-US"/>
        </w:rPr>
        <w:softHyphen/>
        <w:t>work (e.g. Middendorf, Kusk-Jensen).</w:t>
      </w:r>
    </w:p>
    <w:p w:rsidR="003D2554" w:rsidRPr="00C903F8" w:rsidRDefault="003D2554" w:rsidP="003D2554">
      <w:pPr>
        <w:pStyle w:val="ESch"/>
        <w:rPr>
          <w:noProof/>
          <w:szCs w:val="20"/>
          <w:lang w:val="en-US"/>
        </w:rPr>
      </w:pPr>
    </w:p>
    <w:p w:rsidR="003D2554" w:rsidRPr="00C903F8" w:rsidRDefault="003D2554" w:rsidP="003D2554">
      <w:pPr>
        <w:pStyle w:val="ESchpar"/>
        <w:rPr>
          <w:noProof/>
          <w:lang w:val="en-US"/>
        </w:rPr>
      </w:pPr>
      <w:r w:rsidRPr="00C903F8">
        <w:rPr>
          <w:noProof/>
          <w:lang w:val="en-US"/>
        </w:rPr>
        <w:t>The proof shall be presented to the inspection body.</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p>
    <w:p w:rsidR="000928CC" w:rsidRPr="00C903F8" w:rsidRDefault="000928CC">
      <w:pPr>
        <w:autoSpaceDE/>
        <w:autoSpaceDN/>
        <w:ind w:left="0" w:firstLine="0"/>
        <w:jc w:val="left"/>
        <w:rPr>
          <w:rFonts w:cs="Arial"/>
          <w:szCs w:val="20"/>
          <w:lang w:val="en-US"/>
        </w:rPr>
      </w:pPr>
      <w:r w:rsidRPr="00C903F8">
        <w:rPr>
          <w:rFonts w:cs="Arial"/>
          <w:szCs w:val="20"/>
          <w:lang w:val="en-US"/>
        </w:rPr>
        <w:br w:type="page"/>
      </w:r>
    </w:p>
    <w:p w:rsidR="003D2554" w:rsidRPr="00C903F8" w:rsidRDefault="003D2554" w:rsidP="003D2554">
      <w:pPr>
        <w:pStyle w:val="ES-Titre3"/>
        <w:rPr>
          <w:rFonts w:cs="Arial"/>
          <w:i/>
          <w:lang w:val="en-US"/>
        </w:rPr>
      </w:pPr>
      <w:bookmarkStart w:id="203" w:name="_Toc491854191"/>
      <w:r w:rsidRPr="00C903F8">
        <w:rPr>
          <w:noProof/>
          <w:lang w:val="en-US"/>
        </w:rPr>
        <w:lastRenderedPageBreak/>
        <w:t>Article 20.06</w:t>
      </w:r>
      <w:r w:rsidRPr="00C903F8">
        <w:rPr>
          <w:noProof/>
          <w:lang w:val="en-US"/>
        </w:rPr>
        <w:br/>
      </w:r>
      <w:r w:rsidRPr="00C903F8">
        <w:rPr>
          <w:i/>
          <w:noProof/>
          <w:lang w:val="en-US"/>
        </w:rPr>
        <w:t>Masts and spars in general</w:t>
      </w:r>
      <w:bookmarkEnd w:id="203"/>
    </w:p>
    <w:p w:rsidR="003D2554" w:rsidRPr="00C903F8" w:rsidRDefault="003D2554" w:rsidP="003D2554">
      <w:pPr>
        <w:pStyle w:val="ESch"/>
        <w:rPr>
          <w:i/>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1. </w:t>
      </w:r>
      <w:r w:rsidRPr="00C903F8">
        <w:rPr>
          <w:noProof/>
          <w:szCs w:val="20"/>
          <w:lang w:val="en-US"/>
        </w:rPr>
        <w:tab/>
        <w:t>All spars shall be made of high-quality material.</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2. </w:t>
      </w:r>
      <w:r w:rsidRPr="00C903F8">
        <w:rPr>
          <w:noProof/>
          <w:szCs w:val="20"/>
          <w:lang w:val="en-US"/>
        </w:rPr>
        <w:tab/>
        <w:t>Wood for masts shall:</w:t>
      </w:r>
    </w:p>
    <w:p w:rsidR="003D2554" w:rsidRPr="00C903F8" w:rsidRDefault="005C7859" w:rsidP="003D2554">
      <w:pPr>
        <w:pStyle w:val="ESlet"/>
        <w:rPr>
          <w:rFonts w:cs="Arial"/>
          <w:lang w:val="en-US"/>
        </w:rPr>
      </w:pPr>
      <w:r w:rsidRPr="00C903F8">
        <w:rPr>
          <w:noProof/>
          <w:lang w:val="en-US"/>
        </w:rPr>
        <w:t>a)</w:t>
      </w:r>
      <w:r w:rsidR="003D2554" w:rsidRPr="00C903F8">
        <w:rPr>
          <w:noProof/>
          <w:lang w:val="en-US"/>
        </w:rPr>
        <w:tab/>
        <w:t>be free of knot concentrations;</w:t>
      </w:r>
    </w:p>
    <w:p w:rsidR="003D2554" w:rsidRPr="00C903F8" w:rsidRDefault="005C7859" w:rsidP="003D2554">
      <w:pPr>
        <w:pStyle w:val="ESlet"/>
        <w:rPr>
          <w:rFonts w:cs="Arial"/>
          <w:lang w:val="en-US"/>
        </w:rPr>
      </w:pPr>
      <w:r w:rsidRPr="00C903F8">
        <w:rPr>
          <w:noProof/>
          <w:lang w:val="en-US"/>
        </w:rPr>
        <w:t>b)</w:t>
      </w:r>
      <w:r w:rsidR="003D2554" w:rsidRPr="00C903F8">
        <w:rPr>
          <w:noProof/>
          <w:lang w:val="en-US"/>
        </w:rPr>
        <w:tab/>
        <w:t>be free of sapwood within the required dimensions;</w:t>
      </w:r>
    </w:p>
    <w:p w:rsidR="003D2554" w:rsidRPr="00C903F8" w:rsidRDefault="003D2554" w:rsidP="003D2554">
      <w:pPr>
        <w:pStyle w:val="ESlet"/>
        <w:rPr>
          <w:rFonts w:cs="Arial"/>
          <w:lang w:val="en-US"/>
        </w:rPr>
      </w:pPr>
      <w:r w:rsidRPr="00C903F8">
        <w:rPr>
          <w:noProof/>
          <w:lang w:val="en-US"/>
        </w:rPr>
        <w:t xml:space="preserve">c) </w:t>
      </w:r>
      <w:r w:rsidRPr="00C903F8">
        <w:rPr>
          <w:noProof/>
          <w:lang w:val="en-US"/>
        </w:rPr>
        <w:tab/>
        <w:t>as far as possible be straight-grained;</w:t>
      </w:r>
    </w:p>
    <w:p w:rsidR="003D2554" w:rsidRPr="00C903F8" w:rsidRDefault="003D2554" w:rsidP="003D2554">
      <w:pPr>
        <w:pStyle w:val="ESlet"/>
        <w:rPr>
          <w:rFonts w:cs="Arial"/>
          <w:lang w:val="en-US"/>
        </w:rPr>
      </w:pPr>
      <w:r w:rsidRPr="00C903F8">
        <w:rPr>
          <w:noProof/>
          <w:lang w:val="en-US"/>
        </w:rPr>
        <w:t>d)</w:t>
      </w:r>
      <w:r w:rsidRPr="00C903F8">
        <w:rPr>
          <w:noProof/>
          <w:lang w:val="en-US"/>
        </w:rPr>
        <w:tab/>
        <w:t>contain as little as possible twisted growth.</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3.</w:t>
      </w:r>
      <w:r w:rsidRPr="00C903F8">
        <w:rPr>
          <w:noProof/>
          <w:szCs w:val="20"/>
          <w:lang w:val="en-US"/>
        </w:rPr>
        <w:tab/>
        <w:t>If the chosen timber is either pitch pine or Oregon pine of quality level ‘clear and better’, the diameters in the tables reproduced in Articles 20.07 to 20.12 can be reduced by 5 %.</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4.</w:t>
      </w:r>
      <w:r w:rsidRPr="00C903F8">
        <w:rPr>
          <w:noProof/>
          <w:szCs w:val="20"/>
          <w:lang w:val="en-US"/>
        </w:rPr>
        <w:tab/>
        <w:t>If the timbers used for masts, topmasts, yardarms, booms and bowsprits are not round in cross-section, such timbers must be of equivalent strength.</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5.</w:t>
      </w:r>
      <w:r w:rsidRPr="00C903F8">
        <w:rPr>
          <w:noProof/>
          <w:szCs w:val="20"/>
          <w:lang w:val="en-US"/>
        </w:rPr>
        <w:tab/>
        <w:t>Mast pedestals, mast trunks and fastenings on deck, on floor-plates and on stem or stern shall be constructed in such a way that they can either absorb the forces they are subjected to or transfer them to other connected parts of the structure.</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6. </w:t>
      </w:r>
      <w:r w:rsidRPr="00C903F8">
        <w:rPr>
          <w:noProof/>
          <w:szCs w:val="20"/>
          <w:lang w:val="en-US"/>
        </w:rPr>
        <w:tab/>
        <w:t>Depending on the stability of the vessel and the external forces it is subjected to and also the distribution of the available sail area, the inspection body may, on the basis of the dimensions laid down in Articles 20.07 to 20.12, allow reductions in the cross-sections of the spars and, where appropriate, of the rigging. Proof shall be submitted in accordance with Article 20.05(2).</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7.</w:t>
      </w:r>
      <w:r w:rsidRPr="00C903F8">
        <w:rPr>
          <w:noProof/>
          <w:szCs w:val="20"/>
          <w:lang w:val="en-US"/>
        </w:rPr>
        <w:tab/>
        <w:t>If the vessel’s period of oscillation/period of roll, in seconds, is less than three quarters of its breadth, in metres, the dimensions set out in Articles 20.07 to 20.12 shall be increased. Proof shall be submitted in accordance with Article 20.05(2).</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8. </w:t>
      </w:r>
      <w:r w:rsidRPr="00C903F8">
        <w:rPr>
          <w:noProof/>
          <w:szCs w:val="20"/>
          <w:lang w:val="en-US"/>
        </w:rPr>
        <w:tab/>
        <w:t>In the tables reproduced in Articles 20.07 to 20.12 and 20.14, possible intermediate values shall be interpolated.</w:t>
      </w:r>
    </w:p>
    <w:p w:rsidR="003D2554" w:rsidRPr="00C903F8" w:rsidRDefault="003D2554" w:rsidP="000E2CDC">
      <w:pPr>
        <w:pStyle w:val="ESch"/>
        <w:rPr>
          <w:rFonts w:cs="Arial"/>
          <w:szCs w:val="20"/>
          <w:lang w:val="en-US"/>
        </w:rPr>
      </w:pPr>
    </w:p>
    <w:p w:rsidR="003D2554" w:rsidRPr="00C903F8" w:rsidRDefault="003D2554" w:rsidP="000E2CDC">
      <w:pPr>
        <w:pStyle w:val="ESch"/>
        <w:rPr>
          <w:rFonts w:cs="Arial"/>
          <w:szCs w:val="20"/>
          <w:lang w:val="en-US"/>
        </w:rPr>
      </w:pPr>
    </w:p>
    <w:p w:rsidR="003D2554" w:rsidRPr="00C903F8" w:rsidRDefault="003D2554" w:rsidP="003D2554">
      <w:pPr>
        <w:pStyle w:val="ES-Titre3"/>
        <w:rPr>
          <w:rFonts w:cs="Arial"/>
          <w:i/>
          <w:lang w:val="en-US"/>
        </w:rPr>
      </w:pPr>
      <w:bookmarkStart w:id="204" w:name="_Toc491854192"/>
      <w:r w:rsidRPr="00C903F8">
        <w:rPr>
          <w:noProof/>
          <w:lang w:val="en-US"/>
        </w:rPr>
        <w:t>Article 20.07</w:t>
      </w:r>
      <w:r w:rsidRPr="00C903F8">
        <w:rPr>
          <w:noProof/>
          <w:lang w:val="en-US"/>
        </w:rPr>
        <w:br/>
      </w:r>
      <w:r w:rsidRPr="00C903F8">
        <w:rPr>
          <w:i/>
          <w:noProof/>
          <w:lang w:val="en-US"/>
        </w:rPr>
        <w:t>Special provisions for masts</w:t>
      </w:r>
      <w:bookmarkEnd w:id="204"/>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1. </w:t>
      </w:r>
      <w:r w:rsidRPr="00C903F8">
        <w:rPr>
          <w:noProof/>
          <w:szCs w:val="20"/>
          <w:lang w:val="en-US"/>
        </w:rPr>
        <w:tab/>
        <w:t>Wooden masts shall meet the following minimum requirements:</w:t>
      </w:r>
    </w:p>
    <w:p w:rsidR="003D2554" w:rsidRPr="00C903F8" w:rsidRDefault="003D2554" w:rsidP="003D2554">
      <w:pPr>
        <w:pStyle w:val="ESch"/>
        <w:rPr>
          <w:szCs w:val="20"/>
          <w:lang w:val="en-US"/>
        </w:rPr>
      </w:pPr>
    </w:p>
    <w:tbl>
      <w:tblPr>
        <w:tblW w:w="0" w:type="auto"/>
        <w:jc w:val="center"/>
        <w:tblLayout w:type="fixed"/>
        <w:tblLook w:val="0000" w:firstRow="0" w:lastRow="0" w:firstColumn="0" w:lastColumn="0" w:noHBand="0" w:noVBand="0"/>
      </w:tblPr>
      <w:tblGrid>
        <w:gridCol w:w="1871"/>
        <w:gridCol w:w="1871"/>
        <w:gridCol w:w="1871"/>
        <w:gridCol w:w="1871"/>
      </w:tblGrid>
      <w:tr w:rsidR="003D2554" w:rsidRPr="00505433" w:rsidTr="003D2554">
        <w:trPr>
          <w:cantSplit/>
          <w:tblHeader/>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Centered"/>
              <w:spacing w:before="20" w:after="20" w:line="240" w:lineRule="atLeast"/>
              <w:ind w:left="0" w:firstLine="0"/>
              <w:rPr>
                <w:rFonts w:cs="Arial"/>
                <w:noProof/>
                <w:sz w:val="18"/>
                <w:szCs w:val="18"/>
              </w:rPr>
            </w:pPr>
            <w:r w:rsidRPr="00C903F8">
              <w:rPr>
                <w:rFonts w:cs="Arial"/>
                <w:noProof/>
                <w:sz w:val="18"/>
                <w:szCs w:val="18"/>
              </w:rPr>
              <w:t>Length</w:t>
            </w:r>
            <w:r w:rsidRPr="00C903F8">
              <w:rPr>
                <w:rStyle w:val="FootnoteReference"/>
                <w:rFonts w:cs="Arial"/>
                <w:noProof/>
                <w:sz w:val="18"/>
                <w:szCs w:val="18"/>
              </w:rPr>
              <w:footnoteReference w:id="12"/>
            </w:r>
            <w:r w:rsidRPr="00C903F8">
              <w:rPr>
                <w:rFonts w:cs="Arial"/>
                <w:noProof/>
                <w:sz w:val="18"/>
                <w:szCs w:val="18"/>
              </w:rPr>
              <w:br/>
            </w:r>
            <w:r w:rsidR="00790FAC" w:rsidRPr="00C903F8">
              <w:rPr>
                <w:noProof/>
                <w:sz w:val="18"/>
                <w:szCs w:val="18"/>
                <w:lang w:bidi="fr-FR"/>
              </w:rPr>
              <w:t>[m]</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94498">
            <w:pPr>
              <w:pStyle w:val="NormalCentered"/>
              <w:spacing w:before="20" w:after="20" w:line="240" w:lineRule="atLeast"/>
              <w:ind w:left="0" w:firstLine="0"/>
              <w:rPr>
                <w:rFonts w:cs="Arial"/>
                <w:noProof/>
                <w:sz w:val="18"/>
                <w:szCs w:val="18"/>
              </w:rPr>
            </w:pPr>
            <w:r w:rsidRPr="00C903F8">
              <w:rPr>
                <w:rFonts w:cs="Arial"/>
                <w:noProof/>
                <w:sz w:val="18"/>
                <w:szCs w:val="18"/>
              </w:rPr>
              <w:t>Diameter on deck</w:t>
            </w:r>
            <w:r w:rsidRPr="00C903F8">
              <w:rPr>
                <w:rFonts w:cs="Arial"/>
                <w:noProof/>
                <w:sz w:val="18"/>
                <w:szCs w:val="18"/>
              </w:rPr>
              <w:br/>
            </w:r>
            <w:r w:rsidR="00194498" w:rsidRPr="00C903F8">
              <w:rPr>
                <w:rFonts w:cs="Arial"/>
                <w:noProof/>
                <w:sz w:val="18"/>
                <w:szCs w:val="18"/>
              </w:rPr>
              <w:t>[</w:t>
            </w:r>
            <w:r w:rsidRPr="00C903F8">
              <w:rPr>
                <w:rFonts w:cs="Arial"/>
                <w:noProof/>
                <w:sz w:val="18"/>
                <w:szCs w:val="18"/>
              </w:rPr>
              <w:t>cm</w:t>
            </w:r>
            <w:r w:rsidR="00194498" w:rsidRPr="00C903F8">
              <w:rPr>
                <w:rFonts w:cs="Arial"/>
                <w:noProof/>
                <w:sz w:val="18"/>
                <w:szCs w:val="18"/>
              </w:rPr>
              <w:t>]</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94498">
            <w:pPr>
              <w:pStyle w:val="NormalCentered"/>
              <w:spacing w:before="20" w:after="20" w:line="240" w:lineRule="atLeast"/>
              <w:ind w:left="0" w:firstLine="0"/>
              <w:rPr>
                <w:rFonts w:cs="Arial"/>
                <w:noProof/>
                <w:sz w:val="18"/>
                <w:szCs w:val="18"/>
                <w:lang w:val="en-US"/>
              </w:rPr>
            </w:pPr>
            <w:r w:rsidRPr="00C903F8">
              <w:rPr>
                <w:rFonts w:cs="Arial"/>
                <w:noProof/>
                <w:sz w:val="18"/>
                <w:szCs w:val="18"/>
                <w:lang w:val="en-US"/>
              </w:rPr>
              <w:t>Diameter on the cross-tree</w:t>
            </w:r>
            <w:r w:rsidRPr="00C903F8">
              <w:rPr>
                <w:rFonts w:cs="Arial"/>
                <w:noProof/>
                <w:sz w:val="18"/>
                <w:szCs w:val="18"/>
                <w:lang w:val="en-US"/>
              </w:rPr>
              <w:br/>
            </w:r>
            <w:r w:rsidR="00194498" w:rsidRPr="00C903F8">
              <w:rPr>
                <w:rFonts w:cs="Arial"/>
                <w:noProof/>
                <w:sz w:val="18"/>
                <w:szCs w:val="18"/>
                <w:lang w:val="en-US"/>
              </w:rPr>
              <w:t>[</w:t>
            </w:r>
            <w:r w:rsidRPr="00C903F8">
              <w:rPr>
                <w:rFonts w:cs="Arial"/>
                <w:noProof/>
                <w:sz w:val="18"/>
                <w:szCs w:val="18"/>
                <w:lang w:val="en-US"/>
              </w:rPr>
              <w:t>cm</w:t>
            </w:r>
            <w:r w:rsidR="00194498" w:rsidRPr="00C903F8">
              <w:rPr>
                <w:rFonts w:cs="Arial"/>
                <w:noProof/>
                <w:sz w:val="18"/>
                <w:szCs w:val="18"/>
                <w:lang w:val="en-US"/>
              </w:rPr>
              <w:t>]</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94498">
            <w:pPr>
              <w:pStyle w:val="NormalCentered"/>
              <w:spacing w:before="20" w:after="20" w:line="240" w:lineRule="atLeast"/>
              <w:ind w:left="0" w:firstLine="0"/>
              <w:rPr>
                <w:rFonts w:cs="Arial"/>
                <w:noProof/>
                <w:sz w:val="18"/>
                <w:szCs w:val="18"/>
                <w:lang w:val="en-US"/>
              </w:rPr>
            </w:pPr>
            <w:r w:rsidRPr="00C903F8">
              <w:rPr>
                <w:rFonts w:cs="Arial"/>
                <w:noProof/>
                <w:sz w:val="18"/>
                <w:szCs w:val="18"/>
                <w:lang w:val="en-US"/>
              </w:rPr>
              <w:t>Diameter on the mast cap</w:t>
            </w:r>
            <w:r w:rsidRPr="00C903F8">
              <w:rPr>
                <w:rFonts w:cs="Arial"/>
                <w:noProof/>
                <w:sz w:val="18"/>
                <w:szCs w:val="18"/>
                <w:lang w:val="en-US"/>
              </w:rPr>
              <w:br/>
            </w:r>
            <w:r w:rsidR="00194498" w:rsidRPr="00C903F8">
              <w:rPr>
                <w:rFonts w:cs="Arial"/>
                <w:noProof/>
                <w:sz w:val="18"/>
                <w:szCs w:val="18"/>
                <w:lang w:val="en-US"/>
              </w:rPr>
              <w:t>[</w:t>
            </w:r>
            <w:r w:rsidRPr="00C903F8">
              <w:rPr>
                <w:rFonts w:cs="Arial"/>
                <w:noProof/>
                <w:sz w:val="18"/>
                <w:szCs w:val="18"/>
                <w:lang w:val="en-US"/>
              </w:rPr>
              <w:t>cm</w:t>
            </w:r>
            <w:r w:rsidR="00194498" w:rsidRPr="00C903F8">
              <w:rPr>
                <w:rFonts w:cs="Arial"/>
                <w:noProof/>
                <w:sz w:val="18"/>
                <w:szCs w:val="18"/>
                <w:lang w:val="en-US"/>
              </w:rPr>
              <w:t>]</w:t>
            </w:r>
          </w:p>
        </w:tc>
      </w:tr>
      <w:tr w:rsidR="003D2554" w:rsidRPr="00C903F8" w:rsidTr="003D255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10</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20</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17</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15</w:t>
            </w:r>
          </w:p>
        </w:tc>
      </w:tr>
      <w:tr w:rsidR="003D2554" w:rsidRPr="00C903F8" w:rsidTr="003D255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11</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22</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17</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15</w:t>
            </w:r>
          </w:p>
        </w:tc>
      </w:tr>
      <w:tr w:rsidR="003D2554" w:rsidRPr="00C903F8" w:rsidTr="003D255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12</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24</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19</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17</w:t>
            </w:r>
          </w:p>
        </w:tc>
      </w:tr>
      <w:tr w:rsidR="003D2554" w:rsidRPr="00C903F8" w:rsidTr="003D255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13</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26</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21</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18</w:t>
            </w:r>
          </w:p>
        </w:tc>
      </w:tr>
      <w:tr w:rsidR="003D2554" w:rsidRPr="00C903F8" w:rsidTr="003D255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14</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28</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23</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19</w:t>
            </w:r>
          </w:p>
        </w:tc>
      </w:tr>
      <w:tr w:rsidR="003D2554" w:rsidRPr="00C903F8" w:rsidTr="003D255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15</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30</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25</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21</w:t>
            </w:r>
          </w:p>
        </w:tc>
      </w:tr>
      <w:tr w:rsidR="003D2554" w:rsidRPr="00C903F8" w:rsidTr="003D255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16</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32</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26</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E2CDC">
            <w:pPr>
              <w:pStyle w:val="NormalLeft"/>
              <w:spacing w:before="40" w:after="20" w:line="240" w:lineRule="atLeast"/>
              <w:ind w:left="0" w:firstLine="0"/>
              <w:jc w:val="center"/>
              <w:rPr>
                <w:rFonts w:cs="Arial"/>
                <w:noProof/>
                <w:sz w:val="18"/>
                <w:szCs w:val="18"/>
              </w:rPr>
            </w:pPr>
            <w:r w:rsidRPr="00C903F8">
              <w:rPr>
                <w:rFonts w:cs="Arial"/>
                <w:noProof/>
                <w:sz w:val="18"/>
                <w:szCs w:val="18"/>
              </w:rPr>
              <w:t>22</w:t>
            </w:r>
          </w:p>
        </w:tc>
      </w:tr>
      <w:tr w:rsidR="003D2554" w:rsidRPr="00C903F8" w:rsidTr="003D255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17</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34</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28</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23</w:t>
            </w:r>
          </w:p>
        </w:tc>
      </w:tr>
      <w:tr w:rsidR="003D2554" w:rsidRPr="00C903F8" w:rsidTr="003D255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18</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36</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29</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24</w:t>
            </w:r>
          </w:p>
        </w:tc>
      </w:tr>
      <w:tr w:rsidR="003D2554" w:rsidRPr="00C903F8" w:rsidTr="003D255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19</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39</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31</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25</w:t>
            </w:r>
          </w:p>
        </w:tc>
      </w:tr>
      <w:tr w:rsidR="003D2554" w:rsidRPr="00C903F8" w:rsidTr="003D255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lastRenderedPageBreak/>
              <w:t>20</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41</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33</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26</w:t>
            </w:r>
          </w:p>
        </w:tc>
      </w:tr>
      <w:tr w:rsidR="003D2554" w:rsidRPr="00C903F8" w:rsidTr="003D255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21</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43</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34</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28</w:t>
            </w:r>
          </w:p>
        </w:tc>
      </w:tr>
      <w:tr w:rsidR="003D2554" w:rsidRPr="00C903F8" w:rsidTr="003D255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22</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44</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35</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29</w:t>
            </w:r>
          </w:p>
        </w:tc>
      </w:tr>
      <w:tr w:rsidR="003D2554" w:rsidRPr="00C903F8" w:rsidTr="003D255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23</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46</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37</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30</w:t>
            </w:r>
          </w:p>
        </w:tc>
      </w:tr>
      <w:tr w:rsidR="003D2554" w:rsidRPr="00C903F8" w:rsidTr="003D255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24</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49</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39</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32</w:t>
            </w:r>
          </w:p>
        </w:tc>
      </w:tr>
      <w:tr w:rsidR="003D2554" w:rsidRPr="00C903F8" w:rsidTr="003D255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25</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51</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41</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147283">
            <w:pPr>
              <w:pStyle w:val="NormalLeft"/>
              <w:spacing w:before="20" w:after="20" w:line="240" w:lineRule="atLeast"/>
              <w:ind w:left="0" w:firstLine="0"/>
              <w:jc w:val="center"/>
              <w:rPr>
                <w:rFonts w:cs="Arial"/>
                <w:noProof/>
                <w:sz w:val="18"/>
                <w:szCs w:val="18"/>
              </w:rPr>
            </w:pPr>
            <w:r w:rsidRPr="00C903F8">
              <w:rPr>
                <w:rFonts w:cs="Arial"/>
                <w:noProof/>
                <w:sz w:val="18"/>
                <w:szCs w:val="18"/>
              </w:rPr>
              <w:t>33</w:t>
            </w:r>
          </w:p>
        </w:tc>
      </w:tr>
    </w:tbl>
    <w:p w:rsidR="00147283" w:rsidRPr="00C903F8" w:rsidRDefault="00147283" w:rsidP="003D2554">
      <w:pPr>
        <w:pStyle w:val="ESchpar"/>
        <w:rPr>
          <w:noProof/>
          <w:lang w:val="en-US"/>
        </w:rPr>
      </w:pPr>
    </w:p>
    <w:p w:rsidR="003D2554" w:rsidRPr="00C903F8" w:rsidRDefault="003D2554" w:rsidP="003D2554">
      <w:pPr>
        <w:pStyle w:val="ESchpar"/>
        <w:rPr>
          <w:rFonts w:cs="Arial"/>
          <w:lang w:val="en-US"/>
        </w:rPr>
      </w:pPr>
      <w:r w:rsidRPr="00C903F8">
        <w:rPr>
          <w:noProof/>
          <w:lang w:val="en-US"/>
        </w:rPr>
        <w:t>If a mast has two yards, the diameters shall be increased by at least 10 %.</w:t>
      </w:r>
    </w:p>
    <w:p w:rsidR="003D2554" w:rsidRPr="00C903F8" w:rsidRDefault="003D2554" w:rsidP="003D2554">
      <w:pPr>
        <w:pStyle w:val="ESchpar"/>
        <w:rPr>
          <w:noProof/>
          <w:lang w:val="en-US"/>
        </w:rPr>
      </w:pPr>
    </w:p>
    <w:p w:rsidR="003D2554" w:rsidRPr="00C903F8" w:rsidRDefault="003D2554" w:rsidP="003D2554">
      <w:pPr>
        <w:pStyle w:val="ESchpar"/>
        <w:rPr>
          <w:rFonts w:cs="Arial"/>
          <w:lang w:val="en-US"/>
        </w:rPr>
      </w:pPr>
      <w:r w:rsidRPr="00C903F8">
        <w:rPr>
          <w:noProof/>
          <w:lang w:val="en-US"/>
        </w:rPr>
        <w:t>If a mast has more than two yards, the diameters shall be increased by at least 15 %.</w:t>
      </w:r>
    </w:p>
    <w:p w:rsidR="003D2554" w:rsidRPr="00C903F8" w:rsidRDefault="003D2554" w:rsidP="003D2554">
      <w:pPr>
        <w:pStyle w:val="ESchpar"/>
        <w:rPr>
          <w:noProof/>
          <w:lang w:val="en-US"/>
        </w:rPr>
      </w:pPr>
    </w:p>
    <w:p w:rsidR="003D2554" w:rsidRPr="00C903F8" w:rsidRDefault="003D2554" w:rsidP="003D2554">
      <w:pPr>
        <w:pStyle w:val="ESchpar"/>
        <w:rPr>
          <w:rFonts w:cs="Arial"/>
          <w:lang w:val="en-US"/>
        </w:rPr>
      </w:pPr>
      <w:r w:rsidRPr="00C903F8">
        <w:rPr>
          <w:noProof/>
          <w:lang w:val="en-US"/>
        </w:rPr>
        <w:t>In the case of masts fitted through the deck, the diameter at the mast foot shall be at least 75 % of the diameter of the mast at deck level.</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2. </w:t>
      </w:r>
      <w:r w:rsidRPr="00C903F8">
        <w:rPr>
          <w:noProof/>
          <w:szCs w:val="20"/>
          <w:lang w:val="en-US"/>
        </w:rPr>
        <w:tab/>
        <w:t>Mast fittings, mast bands, cross-trees and mast caps shall be sufficiently strongly dimensioned and attached.</w:t>
      </w:r>
    </w:p>
    <w:p w:rsidR="003D2554" w:rsidRPr="00C903F8" w:rsidRDefault="003D2554" w:rsidP="003D2554">
      <w:pPr>
        <w:pStyle w:val="ESch"/>
        <w:rPr>
          <w:rFonts w:cs="Arial"/>
          <w:szCs w:val="20"/>
          <w:lang w:val="en-US"/>
        </w:rPr>
      </w:pPr>
    </w:p>
    <w:p w:rsidR="003D2554" w:rsidRPr="00C903F8" w:rsidRDefault="003D2554" w:rsidP="003D2554">
      <w:pPr>
        <w:pStyle w:val="ESch"/>
        <w:rPr>
          <w:rFonts w:cs="Arial"/>
          <w:szCs w:val="20"/>
          <w:lang w:val="en-US"/>
        </w:rPr>
      </w:pPr>
    </w:p>
    <w:p w:rsidR="003D2554" w:rsidRPr="00C903F8" w:rsidRDefault="003D2554" w:rsidP="003D2554">
      <w:pPr>
        <w:pStyle w:val="ES-Titre3"/>
        <w:rPr>
          <w:rFonts w:cs="Arial"/>
          <w:i/>
          <w:lang w:val="en-US"/>
        </w:rPr>
      </w:pPr>
      <w:bookmarkStart w:id="205" w:name="_Toc491854193"/>
      <w:r w:rsidRPr="00C903F8">
        <w:rPr>
          <w:noProof/>
          <w:lang w:val="en-US"/>
        </w:rPr>
        <w:t>Article 20.08</w:t>
      </w:r>
      <w:r w:rsidRPr="00C903F8">
        <w:rPr>
          <w:noProof/>
          <w:lang w:val="en-US"/>
        </w:rPr>
        <w:br/>
      </w:r>
      <w:r w:rsidRPr="00C903F8">
        <w:rPr>
          <w:i/>
          <w:noProof/>
          <w:lang w:val="en-US"/>
        </w:rPr>
        <w:t>Special provisions for topmasts</w:t>
      </w:r>
      <w:bookmarkEnd w:id="205"/>
    </w:p>
    <w:p w:rsidR="003D2554" w:rsidRPr="00C903F8" w:rsidRDefault="003D2554" w:rsidP="003D2554">
      <w:pPr>
        <w:pStyle w:val="ESch"/>
        <w:rPr>
          <w:noProof/>
          <w:szCs w:val="20"/>
          <w:lang w:val="en-US"/>
        </w:rPr>
      </w:pPr>
    </w:p>
    <w:p w:rsidR="003D2554" w:rsidRPr="00C903F8" w:rsidRDefault="003D2554" w:rsidP="003D2554">
      <w:pPr>
        <w:pStyle w:val="ESch"/>
        <w:rPr>
          <w:noProof/>
          <w:szCs w:val="20"/>
          <w:lang w:val="en-US"/>
        </w:rPr>
      </w:pPr>
      <w:r w:rsidRPr="00C903F8">
        <w:rPr>
          <w:noProof/>
          <w:szCs w:val="20"/>
          <w:lang w:val="en-US"/>
        </w:rPr>
        <w:t>1.</w:t>
      </w:r>
      <w:r w:rsidRPr="00C903F8">
        <w:rPr>
          <w:noProof/>
          <w:szCs w:val="20"/>
          <w:lang w:val="en-US"/>
        </w:rPr>
        <w:tab/>
        <w:t>Wooden topmasts shall meet the following minimum requirements:</w:t>
      </w:r>
    </w:p>
    <w:p w:rsidR="003D2554" w:rsidRPr="00C903F8" w:rsidRDefault="003D2554" w:rsidP="003D2554">
      <w:pPr>
        <w:pStyle w:val="ESch"/>
        <w:rPr>
          <w:rFonts w:cs="Arial"/>
          <w:szCs w:val="20"/>
          <w:lang w:val="en-US"/>
        </w:rPr>
      </w:pPr>
    </w:p>
    <w:tbl>
      <w:tblPr>
        <w:tblW w:w="0" w:type="auto"/>
        <w:jc w:val="center"/>
        <w:tblLayout w:type="fixed"/>
        <w:tblLook w:val="0000" w:firstRow="0" w:lastRow="0" w:firstColumn="0" w:lastColumn="0" w:noHBand="0" w:noVBand="0"/>
      </w:tblPr>
      <w:tblGrid>
        <w:gridCol w:w="1871"/>
        <w:gridCol w:w="1871"/>
        <w:gridCol w:w="1871"/>
        <w:gridCol w:w="1871"/>
      </w:tblGrid>
      <w:tr w:rsidR="003D2554" w:rsidRPr="00C903F8" w:rsidTr="00AB2265">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0323C7">
            <w:pPr>
              <w:pStyle w:val="NormalCentered"/>
              <w:spacing w:before="60" w:after="60" w:line="240" w:lineRule="atLeast"/>
              <w:ind w:left="0" w:firstLine="0"/>
              <w:rPr>
                <w:rFonts w:cs="Arial"/>
                <w:noProof/>
                <w:sz w:val="18"/>
                <w:szCs w:val="18"/>
              </w:rPr>
            </w:pPr>
            <w:r w:rsidRPr="00C903F8">
              <w:rPr>
                <w:rFonts w:cs="Arial"/>
                <w:noProof/>
                <w:sz w:val="18"/>
                <w:szCs w:val="18"/>
              </w:rPr>
              <w:t>Length</w:t>
            </w:r>
            <w:r w:rsidR="000323C7" w:rsidRPr="00C903F8">
              <w:rPr>
                <w:rStyle w:val="FootnoteReference"/>
                <w:rFonts w:cs="Arial"/>
                <w:noProof/>
                <w:sz w:val="18"/>
                <w:szCs w:val="18"/>
              </w:rPr>
              <w:footnoteReference w:id="13"/>
            </w:r>
            <w:r w:rsidRPr="00C903F8">
              <w:rPr>
                <w:rFonts w:cs="Arial"/>
                <w:noProof/>
                <w:sz w:val="18"/>
                <w:szCs w:val="18"/>
              </w:rPr>
              <w:br/>
            </w:r>
            <w:r w:rsidR="00790FAC" w:rsidRPr="00C903F8">
              <w:rPr>
                <w:noProof/>
                <w:sz w:val="18"/>
                <w:szCs w:val="18"/>
                <w:lang w:bidi="fr-FR"/>
              </w:rPr>
              <w:t>[m]</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Centered"/>
              <w:spacing w:before="60" w:after="60" w:line="240" w:lineRule="atLeast"/>
              <w:ind w:left="0" w:firstLine="0"/>
              <w:rPr>
                <w:rFonts w:cs="Arial"/>
                <w:noProof/>
                <w:sz w:val="18"/>
                <w:szCs w:val="18"/>
                <w:lang w:val="en-US"/>
              </w:rPr>
            </w:pPr>
            <w:r w:rsidRPr="00C903F8">
              <w:rPr>
                <w:rFonts w:cs="Arial"/>
                <w:noProof/>
                <w:sz w:val="18"/>
                <w:szCs w:val="18"/>
                <w:lang w:val="en-US"/>
              </w:rPr>
              <w:t>Diameter at the foot</w:t>
            </w:r>
            <w:r w:rsidRPr="00C903F8">
              <w:rPr>
                <w:rFonts w:cs="Arial"/>
                <w:noProof/>
                <w:sz w:val="18"/>
                <w:szCs w:val="18"/>
                <w:lang w:val="en-US"/>
              </w:rPr>
              <w:br/>
            </w:r>
            <w:r w:rsidR="00790FAC" w:rsidRPr="00C903F8">
              <w:rPr>
                <w:rFonts w:cs="Arial"/>
                <w:noProof/>
                <w:sz w:val="18"/>
                <w:szCs w:val="18"/>
                <w:lang w:val="en-US" w:bidi="fr-FR"/>
              </w:rPr>
              <w:t>[cm]</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Centered"/>
              <w:spacing w:before="60" w:after="60" w:line="240" w:lineRule="atLeast"/>
              <w:ind w:left="0" w:firstLine="0"/>
              <w:rPr>
                <w:rFonts w:cs="Arial"/>
                <w:noProof/>
                <w:sz w:val="18"/>
                <w:szCs w:val="18"/>
              </w:rPr>
            </w:pPr>
            <w:r w:rsidRPr="00C903F8">
              <w:rPr>
                <w:rFonts w:cs="Arial"/>
                <w:noProof/>
                <w:sz w:val="18"/>
                <w:szCs w:val="18"/>
              </w:rPr>
              <w:t>Half-length diameter</w:t>
            </w:r>
            <w:r w:rsidRPr="00C903F8">
              <w:rPr>
                <w:rFonts w:cs="Arial"/>
                <w:noProof/>
                <w:sz w:val="18"/>
                <w:szCs w:val="18"/>
              </w:rPr>
              <w:br/>
            </w:r>
            <w:r w:rsidR="00790FAC" w:rsidRPr="00C903F8">
              <w:rPr>
                <w:rFonts w:cs="Arial"/>
                <w:noProof/>
                <w:sz w:val="18"/>
                <w:szCs w:val="18"/>
                <w:lang w:bidi="fr-FR"/>
              </w:rPr>
              <w:t>[cm]</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Centered"/>
              <w:spacing w:before="60" w:after="60" w:line="240" w:lineRule="atLeast"/>
              <w:ind w:left="0" w:firstLine="0"/>
              <w:rPr>
                <w:rFonts w:cs="Arial"/>
                <w:noProof/>
                <w:sz w:val="18"/>
                <w:szCs w:val="18"/>
              </w:rPr>
            </w:pPr>
            <w:r w:rsidRPr="00C903F8">
              <w:rPr>
                <w:rFonts w:cs="Arial"/>
                <w:noProof/>
                <w:sz w:val="18"/>
                <w:szCs w:val="18"/>
              </w:rPr>
              <w:t>Diameter at fitting</w:t>
            </w:r>
            <w:r w:rsidRPr="00C903F8">
              <w:rPr>
                <w:rStyle w:val="FootnoteReference"/>
                <w:rFonts w:cs="Arial"/>
                <w:noProof/>
                <w:sz w:val="18"/>
                <w:szCs w:val="18"/>
              </w:rPr>
              <w:footnoteReference w:id="14"/>
            </w:r>
            <w:r w:rsidRPr="00C903F8">
              <w:rPr>
                <w:rFonts w:cs="Arial"/>
                <w:noProof/>
                <w:sz w:val="18"/>
                <w:szCs w:val="18"/>
              </w:rPr>
              <w:br/>
            </w:r>
            <w:r w:rsidR="00790FAC" w:rsidRPr="00C903F8">
              <w:rPr>
                <w:rFonts w:cs="Arial"/>
                <w:noProof/>
                <w:sz w:val="18"/>
                <w:szCs w:val="18"/>
                <w:lang w:bidi="fr-FR"/>
              </w:rPr>
              <w:t>[cm]</w:t>
            </w:r>
          </w:p>
        </w:tc>
      </w:tr>
      <w:tr w:rsidR="003D2554" w:rsidRPr="00C903F8" w:rsidTr="00AB2265">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4</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8</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7</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6</w:t>
            </w:r>
          </w:p>
        </w:tc>
      </w:tr>
      <w:tr w:rsidR="003D2554" w:rsidRPr="00C903F8" w:rsidTr="00AB2265">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5</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10</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9</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7</w:t>
            </w:r>
          </w:p>
        </w:tc>
      </w:tr>
      <w:tr w:rsidR="003D2554" w:rsidRPr="00C903F8" w:rsidTr="00AB2265">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6</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13</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11</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8</w:t>
            </w:r>
          </w:p>
        </w:tc>
      </w:tr>
      <w:tr w:rsidR="003D2554" w:rsidRPr="00C903F8" w:rsidTr="00AB2265">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7</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14</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13</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10</w:t>
            </w:r>
          </w:p>
        </w:tc>
      </w:tr>
      <w:tr w:rsidR="003D2554" w:rsidRPr="00C903F8" w:rsidTr="00AB2265">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8</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16</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15</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11</w:t>
            </w:r>
          </w:p>
        </w:tc>
      </w:tr>
      <w:tr w:rsidR="003D2554" w:rsidRPr="00C903F8" w:rsidTr="00AB2265">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9</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18</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16</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13</w:t>
            </w:r>
          </w:p>
        </w:tc>
      </w:tr>
      <w:tr w:rsidR="003D2554" w:rsidRPr="00C903F8" w:rsidTr="00AB2265">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10</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20</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18</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15</w:t>
            </w:r>
          </w:p>
        </w:tc>
      </w:tr>
      <w:tr w:rsidR="003D2554" w:rsidRPr="00C903F8" w:rsidTr="00AB2265">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11</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23</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20</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16</w:t>
            </w:r>
          </w:p>
        </w:tc>
      </w:tr>
      <w:tr w:rsidR="003D2554" w:rsidRPr="00C903F8" w:rsidTr="00AB2265">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12</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25</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22</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17</w:t>
            </w:r>
          </w:p>
        </w:tc>
      </w:tr>
      <w:tr w:rsidR="003D2554" w:rsidRPr="00C903F8" w:rsidTr="00AB2265">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13</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26</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24</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18</w:t>
            </w:r>
          </w:p>
        </w:tc>
      </w:tr>
      <w:tr w:rsidR="003D2554" w:rsidRPr="00C903F8" w:rsidTr="00AB2265">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14</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28</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25</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20</w:t>
            </w:r>
          </w:p>
        </w:tc>
      </w:tr>
      <w:tr w:rsidR="003D2554" w:rsidRPr="00C903F8" w:rsidTr="00AB2265">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15</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31</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27</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B2265">
            <w:pPr>
              <w:pStyle w:val="NormalLeft"/>
              <w:spacing w:before="60" w:after="60" w:line="240" w:lineRule="atLeast"/>
              <w:ind w:left="0" w:firstLine="0"/>
              <w:jc w:val="center"/>
              <w:rPr>
                <w:rFonts w:cs="Arial"/>
                <w:noProof/>
                <w:sz w:val="18"/>
                <w:szCs w:val="18"/>
              </w:rPr>
            </w:pPr>
            <w:r w:rsidRPr="00C903F8">
              <w:rPr>
                <w:rFonts w:cs="Arial"/>
                <w:noProof/>
                <w:sz w:val="18"/>
                <w:szCs w:val="18"/>
              </w:rPr>
              <w:t>21</w:t>
            </w:r>
          </w:p>
        </w:tc>
      </w:tr>
    </w:tbl>
    <w:p w:rsidR="003D2554" w:rsidRPr="00C903F8" w:rsidRDefault="003D2554" w:rsidP="003D2554">
      <w:pPr>
        <w:pStyle w:val="ESch"/>
        <w:rPr>
          <w:noProof/>
          <w:szCs w:val="20"/>
          <w:lang w:val="en-US"/>
        </w:rPr>
      </w:pPr>
    </w:p>
    <w:p w:rsidR="003D2554" w:rsidRPr="00C903F8" w:rsidRDefault="003D2554" w:rsidP="003D2554">
      <w:pPr>
        <w:pStyle w:val="ESchpar"/>
        <w:rPr>
          <w:rFonts w:cs="Arial"/>
          <w:lang w:val="en-US"/>
        </w:rPr>
      </w:pPr>
      <w:r w:rsidRPr="00C903F8">
        <w:rPr>
          <w:noProof/>
          <w:lang w:val="en-US"/>
        </w:rPr>
        <w:t>If square sails are attached to a topmast, the dimensions set out in the table shall be increased by 10 %.</w:t>
      </w:r>
    </w:p>
    <w:p w:rsidR="003D2554" w:rsidRPr="00C903F8" w:rsidRDefault="003D2554" w:rsidP="003D2554">
      <w:pPr>
        <w:pStyle w:val="ESch"/>
        <w:rPr>
          <w:noProof/>
          <w:szCs w:val="20"/>
          <w:lang w:val="en-US"/>
        </w:rPr>
      </w:pPr>
    </w:p>
    <w:p w:rsidR="000E2CDC" w:rsidRPr="00C903F8" w:rsidRDefault="000E2CDC">
      <w:pPr>
        <w:autoSpaceDE/>
        <w:autoSpaceDN/>
        <w:ind w:left="0" w:firstLine="0"/>
        <w:jc w:val="left"/>
        <w:rPr>
          <w:noProof/>
          <w:szCs w:val="20"/>
          <w:lang w:val="en-US"/>
        </w:rPr>
      </w:pPr>
      <w:r w:rsidRPr="00C903F8">
        <w:rPr>
          <w:noProof/>
          <w:szCs w:val="20"/>
          <w:lang w:val="en-US"/>
        </w:rPr>
        <w:br w:type="page"/>
      </w:r>
    </w:p>
    <w:p w:rsidR="003D2554" w:rsidRPr="00C903F8" w:rsidRDefault="000E2CDC" w:rsidP="003D2554">
      <w:pPr>
        <w:pStyle w:val="ESch"/>
        <w:rPr>
          <w:rFonts w:cs="Arial"/>
          <w:szCs w:val="20"/>
          <w:lang w:val="en-US"/>
        </w:rPr>
      </w:pPr>
      <w:r w:rsidRPr="00C903F8">
        <w:rPr>
          <w:noProof/>
          <w:szCs w:val="20"/>
          <w:lang w:val="en-US"/>
        </w:rPr>
        <w:lastRenderedPageBreak/>
        <w:t>2.</w:t>
      </w:r>
      <w:r w:rsidR="003D2554" w:rsidRPr="00C903F8">
        <w:rPr>
          <w:noProof/>
          <w:szCs w:val="20"/>
          <w:lang w:val="en-US"/>
        </w:rPr>
        <w:tab/>
        <w:t>The overlap between the topmast and the mast shall be at least 10 times the required foot diameter of the topmast.</w:t>
      </w:r>
    </w:p>
    <w:p w:rsidR="003D2554" w:rsidRPr="00C903F8" w:rsidRDefault="003D2554" w:rsidP="003D2554">
      <w:pPr>
        <w:pStyle w:val="ESch"/>
        <w:rPr>
          <w:rFonts w:cs="Arial"/>
          <w:szCs w:val="20"/>
          <w:lang w:val="en-US"/>
        </w:rPr>
      </w:pPr>
    </w:p>
    <w:p w:rsidR="00147283" w:rsidRPr="00C903F8" w:rsidRDefault="00147283" w:rsidP="003D2554">
      <w:pPr>
        <w:pStyle w:val="ESch"/>
        <w:rPr>
          <w:rFonts w:cs="Arial"/>
          <w:szCs w:val="20"/>
          <w:lang w:val="en-US"/>
        </w:rPr>
      </w:pPr>
    </w:p>
    <w:p w:rsidR="003D2554" w:rsidRPr="00C903F8" w:rsidRDefault="003D2554" w:rsidP="003D2554">
      <w:pPr>
        <w:pStyle w:val="ES-Titre3"/>
        <w:rPr>
          <w:rFonts w:cs="Arial"/>
          <w:i/>
          <w:lang w:val="en-US"/>
        </w:rPr>
      </w:pPr>
      <w:bookmarkStart w:id="206" w:name="_Toc491854194"/>
      <w:r w:rsidRPr="00C903F8">
        <w:rPr>
          <w:noProof/>
          <w:lang w:val="en-US"/>
        </w:rPr>
        <w:t>Article 20.09</w:t>
      </w:r>
      <w:r w:rsidRPr="00C903F8">
        <w:rPr>
          <w:noProof/>
          <w:lang w:val="en-US"/>
        </w:rPr>
        <w:br/>
      </w:r>
      <w:r w:rsidRPr="00C903F8">
        <w:rPr>
          <w:i/>
          <w:noProof/>
          <w:lang w:val="en-US"/>
        </w:rPr>
        <w:t>Special provisions for bowsprits</w:t>
      </w:r>
      <w:bookmarkEnd w:id="206"/>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1. </w:t>
      </w:r>
      <w:r w:rsidRPr="00C903F8">
        <w:rPr>
          <w:noProof/>
          <w:szCs w:val="20"/>
          <w:lang w:val="en-US"/>
        </w:rPr>
        <w:tab/>
        <w:t>Wooden bowsprits shall meet the following minimum requirements:</w:t>
      </w:r>
    </w:p>
    <w:p w:rsidR="003D2554" w:rsidRPr="00C903F8" w:rsidRDefault="003D2554" w:rsidP="003D2554">
      <w:pPr>
        <w:pStyle w:val="ESch"/>
        <w:rPr>
          <w:szCs w:val="20"/>
          <w:lang w:val="en-US"/>
        </w:rPr>
      </w:pPr>
    </w:p>
    <w:tbl>
      <w:tblPr>
        <w:tblW w:w="0" w:type="auto"/>
        <w:jc w:val="center"/>
        <w:tblLayout w:type="fixed"/>
        <w:tblLook w:val="0000" w:firstRow="0" w:lastRow="0" w:firstColumn="0" w:lastColumn="0" w:noHBand="0" w:noVBand="0"/>
      </w:tblPr>
      <w:tblGrid>
        <w:gridCol w:w="1871"/>
        <w:gridCol w:w="1871"/>
        <w:gridCol w:w="1871"/>
      </w:tblGrid>
      <w:tr w:rsidR="003D2554" w:rsidRPr="00C903F8" w:rsidTr="00A90B6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Centered"/>
              <w:spacing w:before="60" w:after="60" w:line="240" w:lineRule="atLeast"/>
              <w:ind w:left="0" w:firstLine="0"/>
              <w:rPr>
                <w:rFonts w:cs="Arial"/>
                <w:noProof/>
                <w:sz w:val="18"/>
                <w:szCs w:val="18"/>
              </w:rPr>
            </w:pPr>
            <w:r w:rsidRPr="00C903F8">
              <w:rPr>
                <w:rFonts w:cs="Arial"/>
                <w:noProof/>
                <w:sz w:val="18"/>
                <w:szCs w:val="18"/>
              </w:rPr>
              <w:t>Length</w:t>
            </w:r>
            <w:r w:rsidRPr="00C903F8">
              <w:rPr>
                <w:rStyle w:val="FootnoteReference"/>
                <w:rFonts w:cs="Arial"/>
                <w:noProof/>
                <w:sz w:val="18"/>
                <w:szCs w:val="18"/>
              </w:rPr>
              <w:footnoteReference w:id="15"/>
            </w:r>
            <w:r w:rsidR="00A90B64" w:rsidRPr="00C903F8">
              <w:rPr>
                <w:rFonts w:cs="Arial"/>
                <w:noProof/>
                <w:sz w:val="18"/>
                <w:szCs w:val="18"/>
              </w:rPr>
              <w:br/>
            </w:r>
            <w:r w:rsidR="00790FAC" w:rsidRPr="00C903F8">
              <w:rPr>
                <w:noProof/>
                <w:sz w:val="18"/>
                <w:szCs w:val="18"/>
                <w:lang w:bidi="fr-FR"/>
              </w:rPr>
              <w:t>[m]</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772341">
            <w:pPr>
              <w:pStyle w:val="NormalCentered"/>
              <w:spacing w:before="60" w:after="60" w:line="240" w:lineRule="atLeast"/>
              <w:ind w:left="0" w:firstLine="0"/>
              <w:rPr>
                <w:rFonts w:cs="Arial"/>
                <w:noProof/>
                <w:sz w:val="18"/>
                <w:szCs w:val="18"/>
                <w:lang w:val="en-US"/>
              </w:rPr>
            </w:pPr>
            <w:r w:rsidRPr="00C903F8">
              <w:rPr>
                <w:rFonts w:cs="Arial"/>
                <w:noProof/>
                <w:sz w:val="18"/>
                <w:szCs w:val="18"/>
                <w:lang w:val="en-US"/>
              </w:rPr>
              <w:t>Diameter at stem</w:t>
            </w:r>
            <w:r w:rsidR="00A90B64" w:rsidRPr="00C903F8">
              <w:rPr>
                <w:rFonts w:cs="Arial"/>
                <w:noProof/>
                <w:sz w:val="18"/>
                <w:szCs w:val="18"/>
                <w:lang w:val="en-US"/>
              </w:rPr>
              <w:br/>
            </w:r>
            <w:r w:rsidR="00772341" w:rsidRPr="00C903F8">
              <w:rPr>
                <w:rFonts w:cs="Arial"/>
                <w:noProof/>
                <w:sz w:val="18"/>
                <w:szCs w:val="18"/>
                <w:lang w:val="en-US"/>
              </w:rPr>
              <w:t>[</w:t>
            </w:r>
            <w:r w:rsidRPr="00C903F8">
              <w:rPr>
                <w:rFonts w:cs="Arial"/>
                <w:noProof/>
                <w:sz w:val="18"/>
                <w:szCs w:val="18"/>
                <w:lang w:val="en-US"/>
              </w:rPr>
              <w:t>cm</w:t>
            </w:r>
            <w:r w:rsidR="00772341" w:rsidRPr="00C903F8">
              <w:rPr>
                <w:rFonts w:cs="Arial"/>
                <w:noProof/>
                <w:sz w:val="18"/>
                <w:szCs w:val="18"/>
                <w:lang w:val="en-US"/>
              </w:rPr>
              <w:t>]</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772341">
            <w:pPr>
              <w:pStyle w:val="NormalCentered"/>
              <w:spacing w:before="60" w:after="60" w:line="240" w:lineRule="atLeast"/>
              <w:ind w:left="0" w:firstLine="0"/>
              <w:rPr>
                <w:rFonts w:cs="Arial"/>
                <w:noProof/>
                <w:sz w:val="18"/>
                <w:szCs w:val="18"/>
                <w:lang w:val="en-US"/>
              </w:rPr>
            </w:pPr>
            <w:r w:rsidRPr="00C903F8">
              <w:rPr>
                <w:rFonts w:cs="Arial"/>
                <w:noProof/>
                <w:sz w:val="18"/>
                <w:szCs w:val="18"/>
                <w:lang w:val="en-US"/>
              </w:rPr>
              <w:t>Half-length diameter</w:t>
            </w:r>
            <w:r w:rsidR="00A90B64" w:rsidRPr="00C903F8">
              <w:rPr>
                <w:rFonts w:cs="Arial"/>
                <w:noProof/>
                <w:sz w:val="18"/>
                <w:szCs w:val="18"/>
                <w:lang w:val="en-US"/>
              </w:rPr>
              <w:br/>
            </w:r>
            <w:r w:rsidR="00772341" w:rsidRPr="00C903F8">
              <w:rPr>
                <w:rFonts w:cs="Arial"/>
                <w:noProof/>
                <w:sz w:val="18"/>
                <w:szCs w:val="18"/>
                <w:lang w:val="en-US"/>
              </w:rPr>
              <w:t>[</w:t>
            </w:r>
            <w:r w:rsidRPr="00C903F8">
              <w:rPr>
                <w:rFonts w:cs="Arial"/>
                <w:noProof/>
                <w:sz w:val="18"/>
                <w:szCs w:val="18"/>
                <w:lang w:val="en-US"/>
              </w:rPr>
              <w:t>cm</w:t>
            </w:r>
            <w:r w:rsidR="00772341" w:rsidRPr="00C903F8">
              <w:rPr>
                <w:rFonts w:cs="Arial"/>
                <w:noProof/>
                <w:sz w:val="18"/>
                <w:szCs w:val="18"/>
                <w:lang w:val="en-US"/>
              </w:rPr>
              <w:t>]</w:t>
            </w:r>
          </w:p>
        </w:tc>
      </w:tr>
      <w:tr w:rsidR="003D2554" w:rsidRPr="00C903F8" w:rsidTr="00A90B6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4</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14,5</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12,5</w:t>
            </w:r>
          </w:p>
        </w:tc>
      </w:tr>
      <w:tr w:rsidR="003D2554" w:rsidRPr="00C903F8" w:rsidTr="00A90B6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5</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18</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16</w:t>
            </w:r>
          </w:p>
        </w:tc>
      </w:tr>
      <w:tr w:rsidR="003D2554" w:rsidRPr="00C903F8" w:rsidTr="00A90B6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6</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22</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19</w:t>
            </w:r>
          </w:p>
        </w:tc>
      </w:tr>
      <w:tr w:rsidR="003D2554" w:rsidRPr="00C903F8" w:rsidTr="00A90B6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7</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25</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23</w:t>
            </w:r>
          </w:p>
        </w:tc>
      </w:tr>
      <w:tr w:rsidR="003D2554" w:rsidRPr="00C903F8" w:rsidTr="00A90B6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8</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29</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25</w:t>
            </w:r>
          </w:p>
        </w:tc>
      </w:tr>
      <w:tr w:rsidR="003D2554" w:rsidRPr="00C903F8" w:rsidTr="00A90B6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9</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32</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29</w:t>
            </w:r>
          </w:p>
        </w:tc>
      </w:tr>
      <w:tr w:rsidR="003D2554" w:rsidRPr="00C903F8" w:rsidTr="00A90B6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10</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36</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32</w:t>
            </w:r>
          </w:p>
        </w:tc>
      </w:tr>
      <w:tr w:rsidR="003D2554" w:rsidRPr="00C903F8" w:rsidTr="00A90B6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11</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39</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35</w:t>
            </w:r>
          </w:p>
        </w:tc>
      </w:tr>
      <w:tr w:rsidR="003D2554" w:rsidRPr="00C903F8" w:rsidTr="00A90B64">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12</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43</w:t>
            </w:r>
          </w:p>
        </w:tc>
        <w:tc>
          <w:tcPr>
            <w:tcW w:w="1871"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lang w:val="en-US"/>
              </w:rPr>
            </w:pPr>
            <w:r w:rsidRPr="00C903F8">
              <w:rPr>
                <w:rFonts w:cs="Arial"/>
                <w:noProof/>
                <w:sz w:val="18"/>
                <w:szCs w:val="18"/>
                <w:lang w:val="en-US"/>
              </w:rPr>
              <w:t>39</w:t>
            </w:r>
          </w:p>
        </w:tc>
      </w:tr>
    </w:tbl>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2. </w:t>
      </w:r>
      <w:r w:rsidRPr="00C903F8">
        <w:rPr>
          <w:noProof/>
          <w:szCs w:val="20"/>
          <w:lang w:val="en-US"/>
        </w:rPr>
        <w:tab/>
        <w:t>The inboard section of the bowsprit shall have a length of at least four times the diameter of the bowsprit at the stem.</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3. </w:t>
      </w:r>
      <w:r w:rsidRPr="00C903F8">
        <w:rPr>
          <w:noProof/>
          <w:szCs w:val="20"/>
          <w:lang w:val="en-US"/>
        </w:rPr>
        <w:tab/>
        <w:t>The diameter of the bowsprit at its head shall be at least 60 % of the diameter of the bowsprit at the stem.</w:t>
      </w:r>
    </w:p>
    <w:p w:rsidR="003D2554" w:rsidRDefault="003D2554" w:rsidP="003D2554">
      <w:pPr>
        <w:pStyle w:val="ESch"/>
        <w:rPr>
          <w:rFonts w:cs="Arial"/>
          <w:szCs w:val="20"/>
          <w:lang w:val="en-US"/>
        </w:rPr>
      </w:pPr>
    </w:p>
    <w:p w:rsidR="00277E12" w:rsidRPr="00C903F8" w:rsidRDefault="00277E12" w:rsidP="003D2554">
      <w:pPr>
        <w:pStyle w:val="ESch"/>
        <w:rPr>
          <w:rFonts w:cs="Arial"/>
          <w:szCs w:val="20"/>
          <w:lang w:val="en-US"/>
        </w:rPr>
      </w:pPr>
    </w:p>
    <w:p w:rsidR="003D2554" w:rsidRPr="00C903F8" w:rsidRDefault="003D2554" w:rsidP="003D2554">
      <w:pPr>
        <w:pStyle w:val="ES-Titre3"/>
        <w:rPr>
          <w:rFonts w:cs="Arial"/>
          <w:i/>
          <w:lang w:val="en-US"/>
        </w:rPr>
      </w:pPr>
      <w:bookmarkStart w:id="207" w:name="_Toc491854195"/>
      <w:r w:rsidRPr="00C903F8">
        <w:rPr>
          <w:noProof/>
          <w:lang w:val="en-US"/>
        </w:rPr>
        <w:t>Article 20.10</w:t>
      </w:r>
      <w:r w:rsidRPr="00C903F8">
        <w:rPr>
          <w:noProof/>
          <w:lang w:val="en-US"/>
        </w:rPr>
        <w:br/>
      </w:r>
      <w:r w:rsidRPr="00C903F8">
        <w:rPr>
          <w:i/>
          <w:noProof/>
          <w:lang w:val="en-US"/>
        </w:rPr>
        <w:t>Special provisions for jib-booms</w:t>
      </w:r>
      <w:bookmarkEnd w:id="207"/>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1. </w:t>
      </w:r>
      <w:r w:rsidRPr="00C903F8">
        <w:rPr>
          <w:noProof/>
          <w:szCs w:val="20"/>
          <w:lang w:val="en-US"/>
        </w:rPr>
        <w:tab/>
        <w:t>Wooden jib-booms shall meet the following minimum requirements:</w:t>
      </w:r>
    </w:p>
    <w:p w:rsidR="003D2554" w:rsidRPr="00C903F8" w:rsidRDefault="003D2554" w:rsidP="003D2554">
      <w:pPr>
        <w:pStyle w:val="ESch"/>
        <w:rPr>
          <w:szCs w:val="20"/>
          <w:lang w:val="en-US"/>
        </w:rPr>
      </w:pPr>
    </w:p>
    <w:tbl>
      <w:tblPr>
        <w:tblW w:w="0" w:type="auto"/>
        <w:jc w:val="center"/>
        <w:tblLayout w:type="fixed"/>
        <w:tblLook w:val="0000" w:firstRow="0" w:lastRow="0" w:firstColumn="0" w:lastColumn="0" w:noHBand="0" w:noVBand="0"/>
      </w:tblPr>
      <w:tblGrid>
        <w:gridCol w:w="2835"/>
        <w:gridCol w:w="510"/>
        <w:gridCol w:w="510"/>
        <w:gridCol w:w="510"/>
        <w:gridCol w:w="510"/>
        <w:gridCol w:w="510"/>
        <w:gridCol w:w="510"/>
        <w:gridCol w:w="510"/>
        <w:gridCol w:w="510"/>
        <w:gridCol w:w="510"/>
      </w:tblGrid>
      <w:tr w:rsidR="003D2554" w:rsidRPr="00C903F8" w:rsidTr="00A90B64">
        <w:trPr>
          <w:cantSplit/>
          <w:jc w:val="center"/>
        </w:trPr>
        <w:tc>
          <w:tcPr>
            <w:tcW w:w="2835"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Length</w:t>
            </w:r>
            <w:r w:rsidRPr="00C903F8">
              <w:rPr>
                <w:rStyle w:val="FootnoteReference"/>
                <w:rFonts w:cs="Arial"/>
                <w:noProof/>
                <w:sz w:val="18"/>
                <w:szCs w:val="18"/>
              </w:rPr>
              <w:footnoteReference w:id="16"/>
            </w:r>
            <w:r w:rsidRPr="00C903F8">
              <w:rPr>
                <w:rFonts w:cs="Arial"/>
                <w:noProof/>
                <w:sz w:val="18"/>
                <w:szCs w:val="18"/>
              </w:rPr>
              <w:t xml:space="preserve"> </w:t>
            </w:r>
            <w:r w:rsidR="00790FAC" w:rsidRPr="00C903F8">
              <w:rPr>
                <w:noProof/>
                <w:sz w:val="18"/>
                <w:szCs w:val="18"/>
                <w:lang w:bidi="fr-FR"/>
              </w:rPr>
              <w:t>[m]</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3</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4</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5</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6</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7</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8</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9</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10</w:t>
            </w:r>
          </w:p>
        </w:tc>
      </w:tr>
      <w:tr w:rsidR="003D2554" w:rsidRPr="00C903F8" w:rsidTr="00A90B64">
        <w:trPr>
          <w:cantSplit/>
          <w:jc w:val="center"/>
        </w:trPr>
        <w:tc>
          <w:tcPr>
            <w:tcW w:w="2835"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lang w:val="en-US"/>
              </w:rPr>
            </w:pPr>
            <w:r w:rsidRPr="00C903F8">
              <w:rPr>
                <w:rFonts w:cs="Arial"/>
                <w:noProof/>
                <w:sz w:val="18"/>
                <w:szCs w:val="18"/>
                <w:lang w:val="en-US"/>
              </w:rPr>
              <w:t xml:space="preserve">Diameter at the stem </w:t>
            </w:r>
            <w:r w:rsidR="00790FAC" w:rsidRPr="00C903F8">
              <w:rPr>
                <w:rFonts w:cs="Arial"/>
                <w:noProof/>
                <w:sz w:val="18"/>
                <w:szCs w:val="18"/>
                <w:lang w:val="en-US" w:bidi="fr-FR"/>
              </w:rPr>
              <w:t>[cm]</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7</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10</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14</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17</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21</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24</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28</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31</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35</w:t>
            </w:r>
          </w:p>
        </w:tc>
      </w:tr>
    </w:tbl>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2.</w:t>
      </w:r>
      <w:r w:rsidRPr="00C903F8">
        <w:rPr>
          <w:noProof/>
          <w:szCs w:val="20"/>
          <w:lang w:val="en-US"/>
        </w:rPr>
        <w:tab/>
        <w:t>The diameter of the jib-boom at its head shall be at least 60 % of the diameter at the stem.</w:t>
      </w:r>
    </w:p>
    <w:p w:rsidR="003D2554" w:rsidRPr="00C903F8" w:rsidRDefault="003D2554" w:rsidP="003D2554">
      <w:pPr>
        <w:pStyle w:val="ESch"/>
        <w:rPr>
          <w:rFonts w:cs="Arial"/>
          <w:szCs w:val="20"/>
          <w:lang w:val="en-US"/>
        </w:rPr>
      </w:pPr>
    </w:p>
    <w:p w:rsidR="003D2554" w:rsidRPr="00C903F8" w:rsidRDefault="003D2554" w:rsidP="003D2554">
      <w:pPr>
        <w:pStyle w:val="ESch"/>
        <w:rPr>
          <w:rFonts w:cs="Arial"/>
          <w:szCs w:val="20"/>
          <w:lang w:val="en-US"/>
        </w:rPr>
      </w:pPr>
    </w:p>
    <w:p w:rsidR="00A90B64" w:rsidRPr="00C903F8" w:rsidRDefault="00A90B64" w:rsidP="003D2554">
      <w:pPr>
        <w:pStyle w:val="ESch"/>
        <w:rPr>
          <w:rFonts w:cs="Arial"/>
          <w:szCs w:val="20"/>
          <w:lang w:val="en-US"/>
        </w:rPr>
      </w:pPr>
      <w:r w:rsidRPr="00C903F8">
        <w:rPr>
          <w:rFonts w:cs="Arial"/>
          <w:szCs w:val="20"/>
          <w:lang w:val="en-US"/>
        </w:rPr>
        <w:br w:type="page"/>
      </w:r>
    </w:p>
    <w:p w:rsidR="003D2554" w:rsidRPr="00C903F8" w:rsidRDefault="003D2554" w:rsidP="003D2554">
      <w:pPr>
        <w:pStyle w:val="ES-Titre3"/>
        <w:rPr>
          <w:rFonts w:cs="Arial"/>
          <w:i/>
          <w:lang w:val="en-US"/>
        </w:rPr>
      </w:pPr>
      <w:bookmarkStart w:id="208" w:name="_Toc491854196"/>
      <w:r w:rsidRPr="00C903F8">
        <w:rPr>
          <w:noProof/>
          <w:lang w:val="en-US"/>
        </w:rPr>
        <w:lastRenderedPageBreak/>
        <w:t>Article 20.11</w:t>
      </w:r>
      <w:r w:rsidRPr="00C903F8">
        <w:rPr>
          <w:noProof/>
          <w:lang w:val="en-US"/>
        </w:rPr>
        <w:br/>
      </w:r>
      <w:r w:rsidRPr="00C903F8">
        <w:rPr>
          <w:i/>
          <w:noProof/>
          <w:lang w:val="en-US"/>
        </w:rPr>
        <w:t>Special provisions for main booms</w:t>
      </w:r>
      <w:bookmarkEnd w:id="208"/>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1. </w:t>
      </w:r>
      <w:r w:rsidRPr="00C903F8">
        <w:rPr>
          <w:noProof/>
          <w:szCs w:val="20"/>
          <w:lang w:val="en-US"/>
        </w:rPr>
        <w:tab/>
        <w:t>Wooden main booms shall meet the following minimum requirements:</w:t>
      </w:r>
    </w:p>
    <w:p w:rsidR="003D2554" w:rsidRPr="00C903F8" w:rsidRDefault="003D2554" w:rsidP="003D2554">
      <w:pPr>
        <w:pStyle w:val="ESch"/>
        <w:rPr>
          <w:szCs w:val="20"/>
          <w:lang w:val="en-US"/>
        </w:rPr>
      </w:pPr>
    </w:p>
    <w:tbl>
      <w:tblPr>
        <w:tblW w:w="0" w:type="auto"/>
        <w:jc w:val="center"/>
        <w:tblLayout w:type="fixed"/>
        <w:tblLook w:val="0000" w:firstRow="0" w:lastRow="0" w:firstColumn="0" w:lastColumn="0" w:noHBand="0" w:noVBand="0"/>
      </w:tblPr>
      <w:tblGrid>
        <w:gridCol w:w="1985"/>
        <w:gridCol w:w="510"/>
        <w:gridCol w:w="510"/>
        <w:gridCol w:w="510"/>
        <w:gridCol w:w="510"/>
        <w:gridCol w:w="510"/>
        <w:gridCol w:w="510"/>
        <w:gridCol w:w="510"/>
        <w:gridCol w:w="510"/>
        <w:gridCol w:w="510"/>
        <w:gridCol w:w="510"/>
        <w:gridCol w:w="510"/>
        <w:gridCol w:w="510"/>
      </w:tblGrid>
      <w:tr w:rsidR="003D2554" w:rsidRPr="00C903F8" w:rsidTr="00A90B64">
        <w:trPr>
          <w:cantSplit/>
          <w:jc w:val="center"/>
        </w:trPr>
        <w:tc>
          <w:tcPr>
            <w:tcW w:w="1985"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Length</w:t>
            </w:r>
            <w:r w:rsidRPr="00C903F8">
              <w:rPr>
                <w:rStyle w:val="FootnoteReference"/>
                <w:rFonts w:cs="Arial"/>
                <w:noProof/>
                <w:sz w:val="18"/>
                <w:szCs w:val="18"/>
              </w:rPr>
              <w:footnoteReference w:id="17"/>
            </w:r>
            <w:r w:rsidRPr="00C903F8">
              <w:rPr>
                <w:rFonts w:cs="Arial"/>
                <w:noProof/>
                <w:sz w:val="18"/>
                <w:szCs w:val="18"/>
              </w:rPr>
              <w:t xml:space="preserve"> </w:t>
            </w:r>
            <w:r w:rsidR="00790FAC" w:rsidRPr="00C903F8">
              <w:rPr>
                <w:noProof/>
                <w:sz w:val="18"/>
                <w:szCs w:val="18"/>
                <w:lang w:bidi="fr-FR"/>
              </w:rPr>
              <w:t>[m]</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5</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6</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7</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8</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9</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10</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11</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12</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13</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14</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15</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16</w:t>
            </w:r>
          </w:p>
        </w:tc>
      </w:tr>
      <w:tr w:rsidR="003D2554" w:rsidRPr="00C903F8" w:rsidTr="00A90B64">
        <w:trPr>
          <w:cantSplit/>
          <w:jc w:val="center"/>
        </w:trPr>
        <w:tc>
          <w:tcPr>
            <w:tcW w:w="1985"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 xml:space="preserve">Diameter </w:t>
            </w:r>
            <w:r w:rsidR="00790FAC" w:rsidRPr="00C903F8">
              <w:rPr>
                <w:rFonts w:cs="Arial"/>
                <w:noProof/>
                <w:sz w:val="18"/>
                <w:szCs w:val="18"/>
                <w:lang w:bidi="fr-FR"/>
              </w:rPr>
              <w:t>[cm]</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14</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15</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16</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17</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18</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20</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21</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23</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24</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25</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26</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27</w:t>
            </w:r>
          </w:p>
        </w:tc>
      </w:tr>
    </w:tbl>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2.</w:t>
      </w:r>
      <w:r w:rsidRPr="00C903F8">
        <w:rPr>
          <w:noProof/>
          <w:szCs w:val="20"/>
          <w:lang w:val="en-US"/>
        </w:rPr>
        <w:tab/>
        <w:t>The diameter at the swivel pin shall be at least 72 % of the diameter specified in the table.</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3.</w:t>
      </w:r>
      <w:r w:rsidRPr="00C903F8">
        <w:rPr>
          <w:noProof/>
          <w:szCs w:val="20"/>
          <w:lang w:val="en-US"/>
        </w:rPr>
        <w:tab/>
        <w:t>The diameter at the clew shall be at least 85 % of the diameter specified in the table.</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4.</w:t>
      </w:r>
      <w:r w:rsidRPr="00C903F8">
        <w:rPr>
          <w:noProof/>
          <w:szCs w:val="20"/>
          <w:lang w:val="en-US"/>
        </w:rPr>
        <w:tab/>
        <w:t>Measured from the mast, the greatest diameter shall be at two thirds of the length.</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5.</w:t>
      </w:r>
      <w:r w:rsidRPr="00C903F8">
        <w:rPr>
          <w:noProof/>
          <w:szCs w:val="20"/>
          <w:lang w:val="en-US"/>
        </w:rPr>
        <w:tab/>
        <w:t>Where:</w:t>
      </w:r>
    </w:p>
    <w:p w:rsidR="003D2554" w:rsidRPr="00C903F8" w:rsidRDefault="005C7859" w:rsidP="003D2554">
      <w:pPr>
        <w:pStyle w:val="ESlet"/>
        <w:rPr>
          <w:rFonts w:cs="Arial"/>
          <w:lang w:val="en-US"/>
        </w:rPr>
      </w:pPr>
      <w:r w:rsidRPr="00C903F8">
        <w:rPr>
          <w:noProof/>
          <w:lang w:val="en-US"/>
        </w:rPr>
        <w:t>a)</w:t>
      </w:r>
      <w:r w:rsidR="003D2554" w:rsidRPr="00C903F8">
        <w:rPr>
          <w:noProof/>
          <w:lang w:val="en-US"/>
        </w:rPr>
        <w:tab/>
        <w:t>there is an angle of less than 65° between the main boom and the after leech and the main sheet is attached to the end of the boom, or</w:t>
      </w:r>
    </w:p>
    <w:p w:rsidR="003D2554" w:rsidRPr="00C903F8" w:rsidRDefault="005C7859" w:rsidP="003D2554">
      <w:pPr>
        <w:pStyle w:val="ESlet"/>
        <w:rPr>
          <w:rFonts w:cs="Arial"/>
          <w:lang w:val="en-US"/>
        </w:rPr>
      </w:pPr>
      <w:r w:rsidRPr="00C903F8">
        <w:rPr>
          <w:noProof/>
          <w:lang w:val="en-US"/>
        </w:rPr>
        <w:t>b)</w:t>
      </w:r>
      <w:r w:rsidR="003D2554" w:rsidRPr="00C903F8">
        <w:rPr>
          <w:noProof/>
          <w:lang w:val="en-US"/>
        </w:rPr>
        <w:tab/>
        <w:t>the attachment point of the sheet is not abreast of the clew,</w:t>
      </w:r>
    </w:p>
    <w:p w:rsidR="003D2554" w:rsidRPr="00C903F8" w:rsidRDefault="003D2554" w:rsidP="003D2554">
      <w:pPr>
        <w:pStyle w:val="ESch"/>
        <w:rPr>
          <w:noProof/>
          <w:szCs w:val="20"/>
          <w:lang w:val="en-US"/>
        </w:rPr>
      </w:pPr>
    </w:p>
    <w:p w:rsidR="003D2554" w:rsidRPr="00C903F8" w:rsidRDefault="003D2554" w:rsidP="003D2554">
      <w:pPr>
        <w:pStyle w:val="ESchpar"/>
        <w:rPr>
          <w:rFonts w:cs="Arial"/>
          <w:lang w:val="en-US"/>
        </w:rPr>
      </w:pPr>
      <w:r w:rsidRPr="00C903F8">
        <w:rPr>
          <w:noProof/>
          <w:lang w:val="en-US"/>
        </w:rPr>
        <w:t>The inspection body may, according to Article 20.05(2), require a greater diameter.</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6.</w:t>
      </w:r>
      <w:r w:rsidRPr="00C903F8">
        <w:rPr>
          <w:noProof/>
          <w:szCs w:val="20"/>
          <w:lang w:val="en-US"/>
        </w:rPr>
        <w:tab/>
        <w:t>For sail areas of less than 50 m</w:t>
      </w:r>
      <w:r w:rsidRPr="00C903F8">
        <w:rPr>
          <w:noProof/>
          <w:szCs w:val="20"/>
          <w:vertAlign w:val="superscript"/>
          <w:lang w:val="en-US"/>
        </w:rPr>
        <w:t>2</w:t>
      </w:r>
      <w:r w:rsidRPr="00C903F8">
        <w:rPr>
          <w:noProof/>
          <w:szCs w:val="20"/>
          <w:lang w:val="en-US"/>
        </w:rPr>
        <w:t>, the inspection body may authorise reductions in the dimen</w:t>
      </w:r>
      <w:r w:rsidRPr="00C903F8">
        <w:rPr>
          <w:noProof/>
          <w:szCs w:val="20"/>
          <w:lang w:val="en-US"/>
        </w:rPr>
        <w:softHyphen/>
        <w:t>sions set out in the table.</w:t>
      </w:r>
    </w:p>
    <w:p w:rsidR="003D2554" w:rsidRPr="00C903F8" w:rsidRDefault="003D2554" w:rsidP="003D2554">
      <w:pPr>
        <w:pStyle w:val="ESch"/>
        <w:rPr>
          <w:rFonts w:cs="Arial"/>
          <w:szCs w:val="20"/>
          <w:lang w:val="en-US"/>
        </w:rPr>
      </w:pPr>
    </w:p>
    <w:p w:rsidR="003D2554" w:rsidRPr="00C903F8" w:rsidRDefault="003D2554" w:rsidP="003D2554">
      <w:pPr>
        <w:pStyle w:val="ESch"/>
        <w:rPr>
          <w:rFonts w:cs="Arial"/>
          <w:szCs w:val="20"/>
          <w:lang w:val="en-US"/>
        </w:rPr>
      </w:pPr>
    </w:p>
    <w:p w:rsidR="003D2554" w:rsidRPr="00C903F8" w:rsidRDefault="003D2554" w:rsidP="003D2554">
      <w:pPr>
        <w:pStyle w:val="ES-Titre3"/>
        <w:rPr>
          <w:rFonts w:cs="Arial"/>
          <w:i/>
          <w:lang w:val="en-US"/>
        </w:rPr>
      </w:pPr>
      <w:bookmarkStart w:id="209" w:name="_Toc491854197"/>
      <w:r w:rsidRPr="00C903F8">
        <w:rPr>
          <w:noProof/>
          <w:lang w:val="en-US"/>
        </w:rPr>
        <w:t>Article 20.12</w:t>
      </w:r>
      <w:r w:rsidRPr="00C903F8">
        <w:rPr>
          <w:noProof/>
          <w:lang w:val="en-US"/>
        </w:rPr>
        <w:br/>
      </w:r>
      <w:r w:rsidRPr="00C903F8">
        <w:rPr>
          <w:i/>
          <w:noProof/>
          <w:lang w:val="en-US"/>
        </w:rPr>
        <w:t>Special provisions for gaffs</w:t>
      </w:r>
      <w:bookmarkEnd w:id="209"/>
    </w:p>
    <w:p w:rsidR="003D2554" w:rsidRPr="00C903F8" w:rsidRDefault="003D2554" w:rsidP="003D2554">
      <w:pPr>
        <w:pStyle w:val="ESch"/>
        <w:rPr>
          <w:noProof/>
          <w:szCs w:val="20"/>
          <w:lang w:val="en-US"/>
        </w:rPr>
      </w:pPr>
    </w:p>
    <w:p w:rsidR="003D2554" w:rsidRPr="00C903F8" w:rsidRDefault="00B92309" w:rsidP="003D2554">
      <w:pPr>
        <w:pStyle w:val="ESch"/>
        <w:rPr>
          <w:rFonts w:cs="Arial"/>
          <w:szCs w:val="20"/>
          <w:lang w:val="en-US"/>
        </w:rPr>
      </w:pPr>
      <w:r w:rsidRPr="00C903F8">
        <w:rPr>
          <w:noProof/>
          <w:szCs w:val="20"/>
          <w:lang w:val="en-US"/>
        </w:rPr>
        <w:t>1.</w:t>
      </w:r>
      <w:r w:rsidR="003D2554" w:rsidRPr="00C903F8">
        <w:rPr>
          <w:noProof/>
          <w:szCs w:val="20"/>
          <w:lang w:val="en-US"/>
        </w:rPr>
        <w:tab/>
        <w:t>Wooden gaffs shall meet the following minimum requirements:</w:t>
      </w:r>
    </w:p>
    <w:p w:rsidR="003D2554" w:rsidRPr="00C903F8" w:rsidRDefault="003D2554" w:rsidP="003D2554">
      <w:pPr>
        <w:pStyle w:val="ESch"/>
        <w:rPr>
          <w:szCs w:val="20"/>
          <w:lang w:val="en-US"/>
        </w:rPr>
      </w:pPr>
    </w:p>
    <w:tbl>
      <w:tblPr>
        <w:tblW w:w="0" w:type="auto"/>
        <w:jc w:val="center"/>
        <w:tblLayout w:type="fixed"/>
        <w:tblLook w:val="0000" w:firstRow="0" w:lastRow="0" w:firstColumn="0" w:lastColumn="0" w:noHBand="0" w:noVBand="0"/>
      </w:tblPr>
      <w:tblGrid>
        <w:gridCol w:w="1985"/>
        <w:gridCol w:w="510"/>
        <w:gridCol w:w="510"/>
        <w:gridCol w:w="510"/>
        <w:gridCol w:w="510"/>
        <w:gridCol w:w="510"/>
        <w:gridCol w:w="510"/>
        <w:gridCol w:w="510"/>
      </w:tblGrid>
      <w:tr w:rsidR="003D2554" w:rsidRPr="00C903F8" w:rsidTr="00A90B64">
        <w:trPr>
          <w:cantSplit/>
          <w:jc w:val="center"/>
        </w:trPr>
        <w:tc>
          <w:tcPr>
            <w:tcW w:w="1985"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Length</w:t>
            </w:r>
            <w:r w:rsidRPr="00C903F8">
              <w:rPr>
                <w:rStyle w:val="FootnoteReference"/>
                <w:rFonts w:cs="Arial"/>
                <w:noProof/>
                <w:sz w:val="18"/>
                <w:szCs w:val="18"/>
              </w:rPr>
              <w:footnoteReference w:id="18"/>
            </w:r>
            <w:r w:rsidRPr="00C903F8">
              <w:rPr>
                <w:rFonts w:cs="Arial"/>
                <w:noProof/>
                <w:sz w:val="18"/>
                <w:szCs w:val="18"/>
              </w:rPr>
              <w:t xml:space="preserve"> </w:t>
            </w:r>
            <w:r w:rsidR="00790FAC" w:rsidRPr="00C903F8">
              <w:rPr>
                <w:noProof/>
                <w:sz w:val="18"/>
                <w:szCs w:val="18"/>
                <w:lang w:bidi="fr-FR"/>
              </w:rPr>
              <w:t>[m]</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4</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5</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6</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7</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8</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9</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10</w:t>
            </w:r>
          </w:p>
        </w:tc>
      </w:tr>
      <w:tr w:rsidR="003D2554" w:rsidRPr="00C903F8" w:rsidTr="00A90B64">
        <w:trPr>
          <w:cantSplit/>
          <w:jc w:val="center"/>
        </w:trPr>
        <w:tc>
          <w:tcPr>
            <w:tcW w:w="1985"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 xml:space="preserve">Diameter </w:t>
            </w:r>
            <w:r w:rsidR="00790FAC" w:rsidRPr="00C903F8">
              <w:rPr>
                <w:rFonts w:cs="Arial"/>
                <w:noProof/>
                <w:sz w:val="18"/>
                <w:szCs w:val="18"/>
                <w:lang w:bidi="fr-FR"/>
              </w:rPr>
              <w:t>[cm]</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10</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12</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14</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16</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17</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18</w:t>
            </w:r>
          </w:p>
        </w:tc>
        <w:tc>
          <w:tcPr>
            <w:tcW w:w="51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20</w:t>
            </w:r>
          </w:p>
        </w:tc>
      </w:tr>
    </w:tbl>
    <w:p w:rsidR="003D2554" w:rsidRPr="00C903F8" w:rsidRDefault="003D2554" w:rsidP="003D2554">
      <w:pPr>
        <w:pStyle w:val="ESch"/>
        <w:rPr>
          <w:rFonts w:cs="Arial"/>
          <w:szCs w:val="20"/>
          <w:lang w:val="en-US"/>
        </w:rPr>
      </w:pPr>
    </w:p>
    <w:p w:rsidR="003D2554" w:rsidRPr="00C903F8" w:rsidRDefault="003D2554" w:rsidP="003D2554">
      <w:pPr>
        <w:pStyle w:val="ESch"/>
        <w:rPr>
          <w:rFonts w:cs="Arial"/>
          <w:szCs w:val="20"/>
          <w:lang w:val="en-US"/>
        </w:rPr>
      </w:pPr>
      <w:r w:rsidRPr="00C903F8">
        <w:rPr>
          <w:noProof/>
          <w:szCs w:val="20"/>
          <w:lang w:val="en-US"/>
        </w:rPr>
        <w:t>2.</w:t>
      </w:r>
      <w:r w:rsidRPr="00C903F8">
        <w:rPr>
          <w:noProof/>
          <w:szCs w:val="20"/>
          <w:lang w:val="en-US"/>
        </w:rPr>
        <w:tab/>
        <w:t>The unsupported length of the gaff shall be not more than 75 %.</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3.</w:t>
      </w:r>
      <w:r w:rsidRPr="00C903F8">
        <w:rPr>
          <w:noProof/>
          <w:szCs w:val="20"/>
          <w:lang w:val="en-US"/>
        </w:rPr>
        <w:tab/>
        <w:t>The breaking strength of the crowfoot shall be at least equal to 1,2 times the breaking strength of the peak halyard.</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4.</w:t>
      </w:r>
      <w:r w:rsidRPr="00C903F8">
        <w:rPr>
          <w:noProof/>
          <w:szCs w:val="20"/>
          <w:lang w:val="en-US"/>
        </w:rPr>
        <w:tab/>
        <w:t>The top angle of the crowfoot shall be a maximum of 60°.</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5.</w:t>
      </w:r>
      <w:r w:rsidRPr="00C903F8">
        <w:rPr>
          <w:noProof/>
          <w:szCs w:val="20"/>
          <w:lang w:val="en-US"/>
        </w:rPr>
        <w:tab/>
        <w:t xml:space="preserve">If, by way of derogation from </w:t>
      </w:r>
      <w:r w:rsidR="00FD1E75" w:rsidRPr="00C903F8">
        <w:rPr>
          <w:noProof/>
          <w:szCs w:val="20"/>
          <w:lang w:val="en-US"/>
        </w:rPr>
        <w:t>(</w:t>
      </w:r>
      <w:r w:rsidRPr="00C903F8">
        <w:rPr>
          <w:noProof/>
          <w:szCs w:val="20"/>
          <w:lang w:val="en-US"/>
        </w:rPr>
        <w:t>4</w:t>
      </w:r>
      <w:r w:rsidR="00FD1E75" w:rsidRPr="00C903F8">
        <w:rPr>
          <w:noProof/>
          <w:szCs w:val="20"/>
          <w:lang w:val="en-US"/>
        </w:rPr>
        <w:t>)</w:t>
      </w:r>
      <w:r w:rsidRPr="00C903F8">
        <w:rPr>
          <w:noProof/>
          <w:szCs w:val="20"/>
          <w:lang w:val="en-US"/>
        </w:rPr>
        <w:t>, the top angle of the crowfoot is greater than 60°, the tensile strength shall be adjusted to accommodate the forces that will then occur.</w:t>
      </w:r>
    </w:p>
    <w:p w:rsidR="003D2554" w:rsidRPr="00C903F8" w:rsidRDefault="003D2554" w:rsidP="003D2554">
      <w:pPr>
        <w:pStyle w:val="ESch"/>
        <w:rPr>
          <w:noProof/>
          <w:szCs w:val="20"/>
          <w:lang w:val="en-US"/>
        </w:rPr>
      </w:pPr>
    </w:p>
    <w:p w:rsidR="003D2554" w:rsidRPr="00C903F8" w:rsidRDefault="00B92309" w:rsidP="003D2554">
      <w:pPr>
        <w:pStyle w:val="ESch"/>
        <w:rPr>
          <w:rFonts w:cs="Arial"/>
          <w:szCs w:val="20"/>
          <w:lang w:val="en-US"/>
        </w:rPr>
      </w:pPr>
      <w:r w:rsidRPr="00C903F8">
        <w:rPr>
          <w:noProof/>
          <w:szCs w:val="20"/>
          <w:lang w:val="en-US"/>
        </w:rPr>
        <w:t>6.</w:t>
      </w:r>
      <w:r w:rsidR="003D2554" w:rsidRPr="00C903F8">
        <w:rPr>
          <w:noProof/>
          <w:szCs w:val="20"/>
          <w:lang w:val="en-US"/>
        </w:rPr>
        <w:tab/>
        <w:t>For sail areas of less than 50 m</w:t>
      </w:r>
      <w:r w:rsidR="003D2554" w:rsidRPr="00C903F8">
        <w:rPr>
          <w:noProof/>
          <w:szCs w:val="20"/>
          <w:vertAlign w:val="superscript"/>
          <w:lang w:val="en-US"/>
        </w:rPr>
        <w:t>2</w:t>
      </w:r>
      <w:r w:rsidR="003D2554" w:rsidRPr="00C903F8">
        <w:rPr>
          <w:noProof/>
          <w:szCs w:val="20"/>
          <w:lang w:val="en-US"/>
        </w:rPr>
        <w:t>, the inspection body may authorise reductions in the dimensions set out in the table.</w:t>
      </w:r>
    </w:p>
    <w:p w:rsidR="003D2554" w:rsidRPr="00C903F8" w:rsidRDefault="003D2554" w:rsidP="003D2554">
      <w:pPr>
        <w:pStyle w:val="ESch"/>
        <w:rPr>
          <w:rFonts w:cs="Arial"/>
          <w:szCs w:val="20"/>
          <w:lang w:val="en-US"/>
        </w:rPr>
      </w:pPr>
    </w:p>
    <w:p w:rsidR="003D2554" w:rsidRPr="00C903F8" w:rsidRDefault="00A90B64" w:rsidP="003D2554">
      <w:pPr>
        <w:pStyle w:val="ESch"/>
        <w:rPr>
          <w:rFonts w:cs="Arial"/>
          <w:szCs w:val="20"/>
          <w:lang w:val="en-US"/>
        </w:rPr>
      </w:pPr>
      <w:r w:rsidRPr="00C903F8">
        <w:rPr>
          <w:rFonts w:cs="Arial"/>
          <w:szCs w:val="20"/>
          <w:lang w:val="en-US"/>
        </w:rPr>
        <w:br w:type="page"/>
      </w:r>
    </w:p>
    <w:p w:rsidR="003D2554" w:rsidRPr="00C903F8" w:rsidRDefault="003D2554" w:rsidP="003D2554">
      <w:pPr>
        <w:pStyle w:val="ES-Titre3"/>
        <w:rPr>
          <w:rFonts w:cs="Arial"/>
          <w:i/>
          <w:lang w:val="en-US"/>
        </w:rPr>
      </w:pPr>
      <w:bookmarkStart w:id="210" w:name="_Toc491854198"/>
      <w:r w:rsidRPr="00C903F8">
        <w:rPr>
          <w:noProof/>
          <w:lang w:val="en-US"/>
        </w:rPr>
        <w:lastRenderedPageBreak/>
        <w:t>Article 20.13</w:t>
      </w:r>
      <w:r w:rsidRPr="00C903F8">
        <w:rPr>
          <w:noProof/>
          <w:lang w:val="en-US"/>
        </w:rPr>
        <w:br/>
      </w:r>
      <w:r w:rsidRPr="00C903F8">
        <w:rPr>
          <w:i/>
          <w:noProof/>
          <w:lang w:val="en-US"/>
        </w:rPr>
        <w:t>General provisions for standing and running rigging</w:t>
      </w:r>
      <w:bookmarkEnd w:id="210"/>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1. </w:t>
      </w:r>
      <w:r w:rsidRPr="00C903F8">
        <w:rPr>
          <w:noProof/>
          <w:szCs w:val="20"/>
          <w:lang w:val="en-US"/>
        </w:rPr>
        <w:tab/>
        <w:t>Standing and running rigging shall comply with the strength requirements set out in Articles 20.14 and 20.15.</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2. </w:t>
      </w:r>
      <w:r w:rsidRPr="00C903F8">
        <w:rPr>
          <w:noProof/>
          <w:szCs w:val="20"/>
          <w:lang w:val="en-US"/>
        </w:rPr>
        <w:tab/>
        <w:t>Wire cable connections may take the form of:</w:t>
      </w:r>
    </w:p>
    <w:p w:rsidR="003D2554" w:rsidRPr="00C903F8" w:rsidRDefault="005C7859" w:rsidP="003D2554">
      <w:pPr>
        <w:pStyle w:val="ESlet"/>
        <w:rPr>
          <w:rFonts w:cs="Arial"/>
          <w:lang w:val="en-US"/>
        </w:rPr>
      </w:pPr>
      <w:r w:rsidRPr="00C903F8">
        <w:rPr>
          <w:noProof/>
          <w:lang w:val="en-US"/>
        </w:rPr>
        <w:t>a)</w:t>
      </w:r>
      <w:r w:rsidR="00A90B64" w:rsidRPr="00C903F8">
        <w:rPr>
          <w:noProof/>
          <w:lang w:val="en-US"/>
        </w:rPr>
        <w:tab/>
      </w:r>
      <w:r w:rsidR="003D2554" w:rsidRPr="00C903F8">
        <w:rPr>
          <w:noProof/>
          <w:lang w:val="en-US"/>
        </w:rPr>
        <w:t>splicings,</w:t>
      </w:r>
    </w:p>
    <w:p w:rsidR="003D2554" w:rsidRPr="00C903F8" w:rsidRDefault="005C7859" w:rsidP="003D2554">
      <w:pPr>
        <w:pStyle w:val="ESlet"/>
        <w:rPr>
          <w:rFonts w:cs="Arial"/>
          <w:lang w:val="en-US"/>
        </w:rPr>
      </w:pPr>
      <w:r w:rsidRPr="00C903F8">
        <w:rPr>
          <w:noProof/>
          <w:lang w:val="en-US"/>
        </w:rPr>
        <w:t>b)</w:t>
      </w:r>
      <w:r w:rsidR="00A90B64" w:rsidRPr="00C903F8">
        <w:rPr>
          <w:noProof/>
          <w:lang w:val="en-US"/>
        </w:rPr>
        <w:tab/>
      </w:r>
      <w:r w:rsidR="003D2554" w:rsidRPr="00C903F8">
        <w:rPr>
          <w:noProof/>
          <w:lang w:val="en-US"/>
        </w:rPr>
        <w:t>compression sleeves, or</w:t>
      </w:r>
    </w:p>
    <w:p w:rsidR="003D2554" w:rsidRPr="00C903F8" w:rsidRDefault="005C7859" w:rsidP="003D2554">
      <w:pPr>
        <w:pStyle w:val="ESlet"/>
        <w:rPr>
          <w:rFonts w:cs="Arial"/>
          <w:lang w:val="en-US"/>
        </w:rPr>
      </w:pPr>
      <w:r w:rsidRPr="00C903F8">
        <w:rPr>
          <w:noProof/>
          <w:lang w:val="en-US"/>
        </w:rPr>
        <w:t>c)</w:t>
      </w:r>
      <w:r w:rsidR="003D2554" w:rsidRPr="00C903F8">
        <w:rPr>
          <w:noProof/>
          <w:lang w:val="en-US"/>
        </w:rPr>
        <w:tab/>
        <w:t>sealing sleeves.</w:t>
      </w:r>
    </w:p>
    <w:p w:rsidR="003D2554" w:rsidRPr="00C903F8" w:rsidRDefault="003D2554" w:rsidP="003D2554">
      <w:pPr>
        <w:pStyle w:val="ESlet"/>
        <w:rPr>
          <w:rFonts w:cs="Arial"/>
          <w:lang w:val="en-US"/>
        </w:rPr>
      </w:pPr>
      <w:r w:rsidRPr="00C903F8">
        <w:rPr>
          <w:noProof/>
          <w:lang w:val="en-US"/>
        </w:rPr>
        <w:t>Splicings shall be marled and ends shall be whipped.</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3.</w:t>
      </w:r>
      <w:r w:rsidRPr="00C903F8">
        <w:rPr>
          <w:noProof/>
          <w:szCs w:val="20"/>
          <w:lang w:val="en-US"/>
        </w:rPr>
        <w:tab/>
        <w:t>Eye splices shall be provided with thimbles.</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4.</w:t>
      </w:r>
      <w:r w:rsidRPr="00C903F8">
        <w:rPr>
          <w:noProof/>
          <w:szCs w:val="20"/>
          <w:lang w:val="en-US"/>
        </w:rPr>
        <w:tab/>
        <w:t>Ropes shall be routed in such a way as not to obstruct entrances and companionways.</w:t>
      </w:r>
    </w:p>
    <w:p w:rsidR="003D2554" w:rsidRPr="00C903F8" w:rsidRDefault="003D2554" w:rsidP="003D2554">
      <w:pPr>
        <w:pStyle w:val="ESch"/>
        <w:rPr>
          <w:rFonts w:cs="Arial"/>
          <w:szCs w:val="20"/>
          <w:lang w:val="en-US"/>
        </w:rPr>
      </w:pPr>
    </w:p>
    <w:p w:rsidR="003D2554" w:rsidRPr="00C903F8" w:rsidRDefault="003D2554" w:rsidP="003D2554">
      <w:pPr>
        <w:pStyle w:val="ESch"/>
        <w:rPr>
          <w:rFonts w:cs="Arial"/>
          <w:szCs w:val="20"/>
          <w:lang w:val="en-US"/>
        </w:rPr>
      </w:pPr>
    </w:p>
    <w:p w:rsidR="003D2554" w:rsidRPr="00C903F8" w:rsidRDefault="003D2554" w:rsidP="003D2554">
      <w:pPr>
        <w:pStyle w:val="ES-Titre3"/>
        <w:rPr>
          <w:rFonts w:cs="Arial"/>
          <w:i/>
          <w:lang w:val="en-US"/>
        </w:rPr>
      </w:pPr>
      <w:bookmarkStart w:id="211" w:name="_Toc491854199"/>
      <w:r w:rsidRPr="00C903F8">
        <w:rPr>
          <w:noProof/>
          <w:lang w:val="en-US"/>
        </w:rPr>
        <w:t>Article 20.14</w:t>
      </w:r>
      <w:r w:rsidRPr="00C903F8">
        <w:rPr>
          <w:noProof/>
          <w:lang w:val="en-US"/>
        </w:rPr>
        <w:br/>
      </w:r>
      <w:r w:rsidRPr="00C903F8">
        <w:rPr>
          <w:i/>
          <w:noProof/>
          <w:lang w:val="en-US"/>
        </w:rPr>
        <w:t>Special provisions for standing rigging</w:t>
      </w:r>
      <w:bookmarkEnd w:id="211"/>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1.</w:t>
      </w:r>
      <w:r w:rsidRPr="00C903F8">
        <w:rPr>
          <w:noProof/>
          <w:szCs w:val="20"/>
          <w:lang w:val="en-US"/>
        </w:rPr>
        <w:tab/>
        <w:t>Forestays and shrouds shall meet the following minimum requirements:</w:t>
      </w:r>
    </w:p>
    <w:p w:rsidR="003D2554" w:rsidRPr="00C903F8" w:rsidRDefault="003D2554" w:rsidP="003D2554">
      <w:pPr>
        <w:pStyle w:val="ESch"/>
        <w:rPr>
          <w:szCs w:val="20"/>
          <w:lang w:val="en-US"/>
        </w:rPr>
      </w:pPr>
    </w:p>
    <w:tbl>
      <w:tblPr>
        <w:tblW w:w="0" w:type="auto"/>
        <w:jc w:val="center"/>
        <w:tblLayout w:type="fixed"/>
        <w:tblLook w:val="0000" w:firstRow="0" w:lastRow="0" w:firstColumn="0" w:lastColumn="0" w:noHBand="0" w:noVBand="0"/>
      </w:tblPr>
      <w:tblGrid>
        <w:gridCol w:w="3343"/>
        <w:gridCol w:w="567"/>
        <w:gridCol w:w="567"/>
        <w:gridCol w:w="567"/>
        <w:gridCol w:w="567"/>
        <w:gridCol w:w="567"/>
        <w:gridCol w:w="567"/>
        <w:gridCol w:w="567"/>
        <w:gridCol w:w="567"/>
      </w:tblGrid>
      <w:tr w:rsidR="003D2554" w:rsidRPr="00C903F8" w:rsidTr="00A90B64">
        <w:trPr>
          <w:cantSplit/>
          <w:jc w:val="center"/>
        </w:trPr>
        <w:tc>
          <w:tcPr>
            <w:tcW w:w="3343"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Mast length</w:t>
            </w:r>
            <w:r w:rsidRPr="00C903F8">
              <w:rPr>
                <w:rStyle w:val="FootnoteReference"/>
                <w:rFonts w:cs="Arial"/>
                <w:noProof/>
                <w:sz w:val="18"/>
                <w:szCs w:val="18"/>
              </w:rPr>
              <w:footnoteReference w:id="19"/>
            </w:r>
            <w:r w:rsidRPr="00C903F8">
              <w:rPr>
                <w:rFonts w:cs="Arial"/>
                <w:noProof/>
                <w:sz w:val="18"/>
                <w:szCs w:val="18"/>
              </w:rPr>
              <w:t xml:space="preserve"> </w:t>
            </w:r>
            <w:r w:rsidR="00790FAC" w:rsidRPr="00C903F8">
              <w:rPr>
                <w:noProof/>
                <w:sz w:val="18"/>
                <w:szCs w:val="18"/>
                <w:lang w:bidi="fr-FR"/>
              </w:rPr>
              <w:t>[m]</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11</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12</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13</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14</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15</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16</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17</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18</w:t>
            </w:r>
          </w:p>
        </w:tc>
      </w:tr>
      <w:tr w:rsidR="003D2554" w:rsidRPr="00C903F8" w:rsidTr="00A90B64">
        <w:trPr>
          <w:cantSplit/>
          <w:jc w:val="center"/>
        </w:trPr>
        <w:tc>
          <w:tcPr>
            <w:tcW w:w="3343"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610BD">
            <w:pPr>
              <w:pStyle w:val="NormalLeft"/>
              <w:spacing w:before="60" w:after="60" w:line="240" w:lineRule="atLeast"/>
              <w:ind w:left="0" w:firstLine="0"/>
              <w:rPr>
                <w:rFonts w:cs="Arial"/>
                <w:noProof/>
                <w:sz w:val="18"/>
                <w:szCs w:val="18"/>
                <w:lang w:val="en-US"/>
              </w:rPr>
            </w:pPr>
            <w:r w:rsidRPr="00C903F8">
              <w:rPr>
                <w:rFonts w:cs="Arial"/>
                <w:noProof/>
                <w:sz w:val="18"/>
                <w:szCs w:val="18"/>
                <w:lang w:val="en-US"/>
              </w:rPr>
              <w:t>Te</w:t>
            </w:r>
            <w:r w:rsidR="00790FAC" w:rsidRPr="00C903F8">
              <w:rPr>
                <w:rFonts w:cs="Arial"/>
                <w:noProof/>
                <w:sz w:val="18"/>
                <w:szCs w:val="18"/>
                <w:lang w:val="en-US"/>
              </w:rPr>
              <w:t xml:space="preserve">nsile strength of the forestay </w:t>
            </w:r>
            <w:r w:rsidR="00790FAC" w:rsidRPr="00C903F8">
              <w:rPr>
                <w:noProof/>
                <w:sz w:val="18"/>
                <w:szCs w:val="18"/>
                <w:lang w:val="en-US" w:bidi="fr-FR"/>
              </w:rPr>
              <w:t>[kN]</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160</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172</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185</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200</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220</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244</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269</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294</w:t>
            </w:r>
          </w:p>
        </w:tc>
      </w:tr>
      <w:tr w:rsidR="003D2554" w:rsidRPr="00C903F8" w:rsidTr="00A90B64">
        <w:trPr>
          <w:cantSplit/>
          <w:jc w:val="center"/>
        </w:trPr>
        <w:tc>
          <w:tcPr>
            <w:tcW w:w="3343"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lang w:val="en-US"/>
              </w:rPr>
            </w:pPr>
            <w:r w:rsidRPr="00C903F8">
              <w:rPr>
                <w:rFonts w:cs="Arial"/>
                <w:noProof/>
                <w:sz w:val="18"/>
                <w:szCs w:val="18"/>
                <w:lang w:val="en-US"/>
              </w:rPr>
              <w:t xml:space="preserve">Tensile strength of the shrouds </w:t>
            </w:r>
            <w:r w:rsidR="00790FAC" w:rsidRPr="00C903F8">
              <w:rPr>
                <w:noProof/>
                <w:sz w:val="18"/>
                <w:szCs w:val="18"/>
                <w:lang w:val="en-US" w:bidi="fr-FR"/>
              </w:rPr>
              <w:t>[kN]</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355</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415</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450</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485</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525</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540</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630</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720</w:t>
            </w:r>
          </w:p>
        </w:tc>
      </w:tr>
      <w:tr w:rsidR="003D2554" w:rsidRPr="00C903F8" w:rsidTr="00A90B64">
        <w:trPr>
          <w:cantSplit/>
          <w:jc w:val="center"/>
        </w:trPr>
        <w:tc>
          <w:tcPr>
            <w:tcW w:w="3343"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lang w:val="en-US"/>
              </w:rPr>
            </w:pPr>
            <w:r w:rsidRPr="00C903F8">
              <w:rPr>
                <w:rFonts w:cs="Arial"/>
                <w:noProof/>
                <w:sz w:val="18"/>
                <w:szCs w:val="18"/>
                <w:lang w:val="en-US"/>
              </w:rPr>
              <w:t>Number of shroud cables and ropes per side</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4</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4</w:t>
            </w:r>
          </w:p>
        </w:tc>
      </w:tr>
    </w:tbl>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2.</w:t>
      </w:r>
      <w:r w:rsidRPr="00C903F8">
        <w:rPr>
          <w:noProof/>
          <w:szCs w:val="20"/>
          <w:lang w:val="en-US"/>
        </w:rPr>
        <w:tab/>
        <w:t>Backstays, topmasts, flying jib-stays, jib-booms and bowsprit shrouds shall meet the following minimum requirements:</w:t>
      </w:r>
    </w:p>
    <w:p w:rsidR="003D2554" w:rsidRPr="00C903F8" w:rsidRDefault="003D2554" w:rsidP="003D2554">
      <w:pPr>
        <w:pStyle w:val="ESch"/>
        <w:rPr>
          <w:szCs w:val="20"/>
          <w:lang w:val="en-US"/>
        </w:rPr>
      </w:pPr>
    </w:p>
    <w:tbl>
      <w:tblPr>
        <w:tblW w:w="0" w:type="auto"/>
        <w:jc w:val="center"/>
        <w:tblLayout w:type="fixed"/>
        <w:tblLook w:val="0000" w:firstRow="0" w:lastRow="0" w:firstColumn="0" w:lastColumn="0" w:noHBand="0" w:noVBand="0"/>
      </w:tblPr>
      <w:tblGrid>
        <w:gridCol w:w="4736"/>
        <w:gridCol w:w="737"/>
        <w:gridCol w:w="737"/>
        <w:gridCol w:w="737"/>
      </w:tblGrid>
      <w:tr w:rsidR="003D2554" w:rsidRPr="00C903F8" w:rsidTr="00A90B64">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Mast length</w:t>
            </w:r>
            <w:r w:rsidRPr="00C903F8">
              <w:rPr>
                <w:rStyle w:val="FootnoteReference"/>
                <w:rFonts w:cs="Arial"/>
                <w:noProof/>
                <w:sz w:val="18"/>
                <w:szCs w:val="18"/>
              </w:rPr>
              <w:footnoteReference w:id="20"/>
            </w:r>
            <w:r w:rsidRPr="00C903F8">
              <w:rPr>
                <w:rFonts w:cs="Arial"/>
                <w:noProof/>
                <w:sz w:val="18"/>
                <w:szCs w:val="18"/>
              </w:rPr>
              <w:t xml:space="preserve"> </w:t>
            </w:r>
            <w:r w:rsidR="00790FAC" w:rsidRPr="00C903F8">
              <w:rPr>
                <w:noProof/>
                <w:sz w:val="18"/>
                <w:szCs w:val="18"/>
                <w:lang w:bidi="fr-FR"/>
              </w:rPr>
              <w:t>[m]</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&lt;13</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rPr>
            </w:pPr>
            <w:r w:rsidRPr="00C903F8">
              <w:rPr>
                <w:rFonts w:cs="Arial"/>
                <w:noProof/>
                <w:sz w:val="18"/>
                <w:szCs w:val="18"/>
              </w:rPr>
              <w:t>13-18</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&gt;18</w:t>
            </w:r>
          </w:p>
        </w:tc>
      </w:tr>
      <w:tr w:rsidR="003D2554" w:rsidRPr="00C903F8" w:rsidTr="00A90B64">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lang w:val="en-US"/>
              </w:rPr>
            </w:pPr>
            <w:r w:rsidRPr="00C903F8">
              <w:rPr>
                <w:rFonts w:cs="Arial"/>
                <w:noProof/>
                <w:sz w:val="18"/>
                <w:szCs w:val="18"/>
                <w:lang w:val="en-US"/>
              </w:rPr>
              <w:t xml:space="preserve">Tensile strength of the backstay </w:t>
            </w:r>
            <w:r w:rsidR="00790FAC" w:rsidRPr="00C903F8">
              <w:rPr>
                <w:noProof/>
                <w:sz w:val="18"/>
                <w:szCs w:val="18"/>
                <w:lang w:val="en-US" w:bidi="fr-FR"/>
              </w:rPr>
              <w:t>[kN]</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89</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119</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159</w:t>
            </w:r>
          </w:p>
        </w:tc>
      </w:tr>
      <w:tr w:rsidR="003D2554" w:rsidRPr="00C903F8" w:rsidTr="00A90B64">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lang w:val="en-US"/>
              </w:rPr>
            </w:pPr>
            <w:r w:rsidRPr="00C903F8">
              <w:rPr>
                <w:rFonts w:cs="Arial"/>
                <w:noProof/>
                <w:sz w:val="18"/>
                <w:szCs w:val="18"/>
                <w:lang w:val="en-US"/>
              </w:rPr>
              <w:t xml:space="preserve">Tensile strength of the topmast </w:t>
            </w:r>
            <w:r w:rsidR="00790FAC" w:rsidRPr="00C903F8">
              <w:rPr>
                <w:noProof/>
                <w:sz w:val="18"/>
                <w:szCs w:val="18"/>
                <w:lang w:val="en-US" w:bidi="fr-FR"/>
              </w:rPr>
              <w:t>[kN]</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89</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119</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159</w:t>
            </w:r>
          </w:p>
        </w:tc>
      </w:tr>
      <w:tr w:rsidR="003D2554" w:rsidRPr="00C903F8" w:rsidTr="00A90B64">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 xml:space="preserve">Length of topmast </w:t>
            </w:r>
            <w:r w:rsidR="00790FAC" w:rsidRPr="00C903F8">
              <w:rPr>
                <w:noProof/>
                <w:sz w:val="18"/>
                <w:szCs w:val="18"/>
                <w:lang w:bidi="fr-FR"/>
              </w:rPr>
              <w:t>[m]</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&lt;6</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rPr>
            </w:pPr>
            <w:r w:rsidRPr="00C903F8">
              <w:rPr>
                <w:rFonts w:cs="Arial"/>
                <w:noProof/>
                <w:sz w:val="18"/>
                <w:szCs w:val="18"/>
              </w:rPr>
              <w:t>6-8</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&gt;8</w:t>
            </w:r>
          </w:p>
        </w:tc>
      </w:tr>
      <w:tr w:rsidR="003D2554" w:rsidRPr="00C903F8" w:rsidTr="00A90B64">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610BD">
            <w:pPr>
              <w:pStyle w:val="NormalLeft"/>
              <w:spacing w:before="60" w:after="60" w:line="240" w:lineRule="atLeast"/>
              <w:ind w:left="0" w:firstLine="0"/>
              <w:rPr>
                <w:rFonts w:cs="Arial"/>
                <w:noProof/>
                <w:sz w:val="18"/>
                <w:szCs w:val="18"/>
                <w:lang w:val="en-US"/>
              </w:rPr>
            </w:pPr>
            <w:r w:rsidRPr="00C903F8">
              <w:rPr>
                <w:rFonts w:cs="Arial"/>
                <w:noProof/>
                <w:sz w:val="18"/>
                <w:szCs w:val="18"/>
                <w:lang w:val="en-US"/>
              </w:rPr>
              <w:t xml:space="preserve">Tensile strength of the flying jib-stay </w:t>
            </w:r>
            <w:r w:rsidR="00790FAC" w:rsidRPr="00C903F8">
              <w:rPr>
                <w:noProof/>
                <w:sz w:val="18"/>
                <w:szCs w:val="18"/>
                <w:lang w:val="en-US" w:bidi="fr-FR"/>
              </w:rPr>
              <w:t>[kN]</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58</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89</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119</w:t>
            </w:r>
          </w:p>
        </w:tc>
      </w:tr>
      <w:tr w:rsidR="003D2554" w:rsidRPr="00C903F8" w:rsidTr="00A90B64">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lang w:val="en-US"/>
              </w:rPr>
            </w:pPr>
            <w:r w:rsidRPr="00C903F8">
              <w:rPr>
                <w:rFonts w:cs="Arial"/>
                <w:noProof/>
                <w:sz w:val="18"/>
                <w:szCs w:val="18"/>
                <w:lang w:val="en-US"/>
              </w:rPr>
              <w:t xml:space="preserve">Length of jib-boom </w:t>
            </w:r>
            <w:r w:rsidR="00790FAC" w:rsidRPr="00C903F8">
              <w:rPr>
                <w:noProof/>
                <w:sz w:val="18"/>
                <w:szCs w:val="18"/>
                <w:lang w:val="en-US" w:bidi="fr-FR"/>
              </w:rPr>
              <w:t>[m]</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&lt;5</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rPr>
            </w:pPr>
            <w:r w:rsidRPr="00C903F8">
              <w:rPr>
                <w:rFonts w:cs="Arial"/>
                <w:noProof/>
                <w:sz w:val="18"/>
                <w:szCs w:val="18"/>
              </w:rPr>
              <w:t>5-7</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&gt;7</w:t>
            </w:r>
          </w:p>
        </w:tc>
      </w:tr>
      <w:tr w:rsidR="003D2554" w:rsidRPr="00C903F8" w:rsidTr="00A90B64">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610BD">
            <w:pPr>
              <w:pStyle w:val="NormalLeft"/>
              <w:spacing w:before="60" w:after="60" w:line="240" w:lineRule="atLeast"/>
              <w:ind w:left="0" w:firstLine="0"/>
              <w:rPr>
                <w:rFonts w:cs="Arial"/>
                <w:noProof/>
                <w:sz w:val="18"/>
                <w:szCs w:val="18"/>
                <w:lang w:val="en-US"/>
              </w:rPr>
            </w:pPr>
            <w:r w:rsidRPr="00C903F8">
              <w:rPr>
                <w:rFonts w:cs="Arial"/>
                <w:noProof/>
                <w:sz w:val="18"/>
                <w:szCs w:val="18"/>
                <w:lang w:val="en-US"/>
              </w:rPr>
              <w:t xml:space="preserve">Tensile strength of the bow sprit shrouds </w:t>
            </w:r>
            <w:r w:rsidR="00790FAC" w:rsidRPr="00C903F8">
              <w:rPr>
                <w:noProof/>
                <w:sz w:val="18"/>
                <w:szCs w:val="18"/>
                <w:lang w:val="en-US" w:bidi="fr-FR"/>
              </w:rPr>
              <w:t>[kN]</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58</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89</w:t>
            </w:r>
          </w:p>
        </w:tc>
        <w:tc>
          <w:tcPr>
            <w:tcW w:w="73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tabs>
                <w:tab w:val="decimal" w:pos="332"/>
              </w:tabs>
              <w:spacing w:before="60" w:after="60" w:line="240" w:lineRule="atLeast"/>
              <w:ind w:left="0" w:firstLine="0"/>
              <w:rPr>
                <w:rFonts w:cs="Arial"/>
                <w:noProof/>
                <w:sz w:val="18"/>
                <w:szCs w:val="18"/>
              </w:rPr>
            </w:pPr>
            <w:r w:rsidRPr="00C903F8">
              <w:rPr>
                <w:rFonts w:cs="Arial"/>
                <w:noProof/>
                <w:sz w:val="18"/>
                <w:szCs w:val="18"/>
              </w:rPr>
              <w:t>119</w:t>
            </w:r>
          </w:p>
        </w:tc>
      </w:tr>
    </w:tbl>
    <w:p w:rsidR="003D2554" w:rsidRPr="00C903F8" w:rsidRDefault="003D2554" w:rsidP="003D2554">
      <w:pPr>
        <w:pStyle w:val="ESch"/>
        <w:rPr>
          <w:noProof/>
          <w:szCs w:val="20"/>
          <w:lang w:val="en-US"/>
        </w:rPr>
      </w:pPr>
    </w:p>
    <w:p w:rsidR="00A90B64" w:rsidRPr="00C903F8" w:rsidRDefault="00A90B64" w:rsidP="003D2554">
      <w:pPr>
        <w:pStyle w:val="ESch"/>
        <w:rPr>
          <w:noProof/>
          <w:szCs w:val="20"/>
          <w:lang w:val="en-US"/>
        </w:rPr>
      </w:pPr>
      <w:r w:rsidRPr="00C903F8">
        <w:rPr>
          <w:noProof/>
          <w:szCs w:val="20"/>
          <w:lang w:val="en-US"/>
        </w:rPr>
        <w:br w:type="page"/>
      </w:r>
    </w:p>
    <w:p w:rsidR="003D2554" w:rsidRPr="00C903F8" w:rsidRDefault="003D2554" w:rsidP="003D2554">
      <w:pPr>
        <w:pStyle w:val="ESch"/>
        <w:rPr>
          <w:rFonts w:cs="Arial"/>
          <w:szCs w:val="20"/>
          <w:lang w:val="en-US"/>
        </w:rPr>
      </w:pPr>
      <w:r w:rsidRPr="00C903F8">
        <w:rPr>
          <w:noProof/>
          <w:szCs w:val="20"/>
          <w:lang w:val="en-US"/>
        </w:rPr>
        <w:lastRenderedPageBreak/>
        <w:t>3.</w:t>
      </w:r>
      <w:r w:rsidRPr="00C903F8">
        <w:rPr>
          <w:noProof/>
          <w:szCs w:val="20"/>
          <w:lang w:val="en-US"/>
        </w:rPr>
        <w:tab/>
        <w:t>The preferred rope design shall be based on Rope Construction Method 6 × 7 FE in the strength class 1550 N/mm</w:t>
      </w:r>
      <w:r w:rsidRPr="00C903F8">
        <w:rPr>
          <w:noProof/>
          <w:szCs w:val="20"/>
          <w:vertAlign w:val="superscript"/>
          <w:lang w:val="en-US"/>
        </w:rPr>
        <w:t>2</w:t>
      </w:r>
      <w:r w:rsidRPr="00C903F8">
        <w:rPr>
          <w:noProof/>
          <w:szCs w:val="20"/>
          <w:lang w:val="en-US"/>
        </w:rPr>
        <w:t>. Alternatively, at the same strength class, Construction Method 6</w:t>
      </w:r>
      <w:r w:rsidR="000F3AFD" w:rsidRPr="00C903F8">
        <w:rPr>
          <w:noProof/>
          <w:szCs w:val="20"/>
          <w:lang w:val="en-US"/>
        </w:rPr>
        <w:t> </w:t>
      </w:r>
      <w:r w:rsidRPr="00C903F8">
        <w:rPr>
          <w:noProof/>
          <w:szCs w:val="20"/>
          <w:lang w:val="en-US"/>
        </w:rPr>
        <w:t>×</w:t>
      </w:r>
      <w:r w:rsidR="000F3AFD" w:rsidRPr="00C903F8">
        <w:rPr>
          <w:noProof/>
          <w:szCs w:val="20"/>
          <w:lang w:val="en-US"/>
        </w:rPr>
        <w:t> </w:t>
      </w:r>
      <w:r w:rsidRPr="00C903F8">
        <w:rPr>
          <w:noProof/>
          <w:szCs w:val="20"/>
          <w:lang w:val="en-US"/>
        </w:rPr>
        <w:t>36 SE or 6 × 19 FE may be used. Because of the higher elasticity of Construction Method 6</w:t>
      </w:r>
      <w:r w:rsidR="000F3AFD" w:rsidRPr="00C903F8">
        <w:rPr>
          <w:noProof/>
          <w:szCs w:val="20"/>
          <w:lang w:val="en-US"/>
        </w:rPr>
        <w:t> </w:t>
      </w:r>
      <w:r w:rsidRPr="00C903F8">
        <w:rPr>
          <w:noProof/>
          <w:szCs w:val="20"/>
          <w:lang w:val="en-US"/>
        </w:rPr>
        <w:t>× 19, the tensile strengths given in the table shall be increased by 10 %. Use of a different rope design shall be permitted provided it has comparable properties.</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4.</w:t>
      </w:r>
      <w:r w:rsidRPr="00C903F8">
        <w:rPr>
          <w:noProof/>
          <w:szCs w:val="20"/>
          <w:lang w:val="en-US"/>
        </w:rPr>
        <w:tab/>
        <w:t>If rigid rigging is used, the tensile strengths shown in the table shall be increased by 30 %.</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5.</w:t>
      </w:r>
      <w:r w:rsidRPr="00C903F8">
        <w:rPr>
          <w:noProof/>
          <w:szCs w:val="20"/>
          <w:lang w:val="en-US"/>
        </w:rPr>
        <w:tab/>
        <w:t>For rigging, only approved forks, round eyes and bolts may be used.</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6.</w:t>
      </w:r>
      <w:r w:rsidRPr="00C903F8">
        <w:rPr>
          <w:noProof/>
          <w:szCs w:val="20"/>
          <w:lang w:val="en-US"/>
        </w:rPr>
        <w:tab/>
        <w:t>Bolts, forks, round eyes and turnbuckles shall be capable of being properly secured.</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7.</w:t>
      </w:r>
      <w:r w:rsidRPr="00C903F8">
        <w:rPr>
          <w:noProof/>
          <w:szCs w:val="20"/>
          <w:lang w:val="en-US"/>
        </w:rPr>
        <w:tab/>
        <w:t>The tensile strength of the bobstay shall be at least 1,2 times the tensile strength of the respective jib-stay and flying jib-stay.</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8.</w:t>
      </w:r>
      <w:r w:rsidRPr="00C903F8">
        <w:rPr>
          <w:noProof/>
          <w:szCs w:val="20"/>
          <w:lang w:val="en-US"/>
        </w:rPr>
        <w:tab/>
        <w:t>For vessels with less than 30 m</w:t>
      </w:r>
      <w:r w:rsidRPr="00C903F8">
        <w:rPr>
          <w:noProof/>
          <w:szCs w:val="20"/>
          <w:vertAlign w:val="superscript"/>
          <w:lang w:val="en-US"/>
        </w:rPr>
        <w:t>3</w:t>
      </w:r>
      <w:r w:rsidRPr="00C903F8">
        <w:rPr>
          <w:noProof/>
          <w:szCs w:val="20"/>
          <w:lang w:val="en-US"/>
        </w:rPr>
        <w:t xml:space="preserve"> water displacement, the inspection body may permit the reductions in tensile strengths shown in the table set out below:</w:t>
      </w:r>
    </w:p>
    <w:p w:rsidR="003D2554" w:rsidRPr="00C903F8" w:rsidRDefault="003D2554" w:rsidP="003D2554">
      <w:pPr>
        <w:pStyle w:val="ESch"/>
        <w:rPr>
          <w:rFonts w:cs="Arial"/>
          <w:szCs w:val="20"/>
          <w:lang w:val="en-US"/>
        </w:rPr>
      </w:pPr>
    </w:p>
    <w:tbl>
      <w:tblPr>
        <w:tblW w:w="0" w:type="auto"/>
        <w:jc w:val="center"/>
        <w:tblLayout w:type="fixed"/>
        <w:tblLook w:val="0000" w:firstRow="0" w:lastRow="0" w:firstColumn="0" w:lastColumn="0" w:noHBand="0" w:noVBand="0"/>
      </w:tblPr>
      <w:tblGrid>
        <w:gridCol w:w="5863"/>
        <w:gridCol w:w="1752"/>
      </w:tblGrid>
      <w:tr w:rsidR="003D2554" w:rsidRPr="00C903F8" w:rsidTr="003D2554">
        <w:trPr>
          <w:cantSplit/>
          <w:jc w:val="center"/>
        </w:trPr>
        <w:tc>
          <w:tcPr>
            <w:tcW w:w="5863"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Centered"/>
              <w:spacing w:before="60" w:after="60" w:line="240" w:lineRule="atLeast"/>
              <w:ind w:left="0" w:firstLine="0"/>
              <w:rPr>
                <w:rFonts w:cs="Arial"/>
                <w:noProof/>
                <w:sz w:val="18"/>
                <w:szCs w:val="18"/>
                <w:lang w:val="en-US"/>
              </w:rPr>
            </w:pPr>
            <w:r w:rsidRPr="00C903F8">
              <w:rPr>
                <w:rFonts w:cs="Arial"/>
                <w:noProof/>
                <w:sz w:val="18"/>
                <w:szCs w:val="18"/>
                <w:lang w:val="en-US"/>
              </w:rPr>
              <w:t xml:space="preserve">Water displacement divided by the number of masts </w:t>
            </w:r>
            <w:r w:rsidR="00790FAC" w:rsidRPr="00C903F8">
              <w:rPr>
                <w:rFonts w:cs="Arial"/>
                <w:noProof/>
                <w:color w:val="000000"/>
                <w:sz w:val="18"/>
                <w:szCs w:val="18"/>
                <w:lang w:val="en-US"/>
              </w:rPr>
              <w:t>[m</w:t>
            </w:r>
            <w:r w:rsidR="00790FAC" w:rsidRPr="00C903F8">
              <w:rPr>
                <w:rFonts w:cs="Arial"/>
                <w:noProof/>
                <w:color w:val="000000"/>
                <w:sz w:val="18"/>
                <w:szCs w:val="18"/>
                <w:vertAlign w:val="superscript"/>
                <w:lang w:val="en-US"/>
              </w:rPr>
              <w:t>3</w:t>
            </w:r>
            <w:r w:rsidR="00790FAC" w:rsidRPr="00C903F8">
              <w:rPr>
                <w:rFonts w:cs="Arial"/>
                <w:noProof/>
                <w:color w:val="000000"/>
                <w:sz w:val="18"/>
                <w:szCs w:val="18"/>
                <w:lang w:val="en-US"/>
              </w:rPr>
              <w:t>]</w:t>
            </w:r>
          </w:p>
        </w:tc>
        <w:tc>
          <w:tcPr>
            <w:tcW w:w="1752" w:type="dxa"/>
            <w:tcBorders>
              <w:top w:val="single" w:sz="2" w:space="0" w:color="auto"/>
              <w:left w:val="single" w:sz="2" w:space="0" w:color="auto"/>
              <w:bottom w:val="single" w:sz="2" w:space="0" w:color="auto"/>
              <w:right w:val="single" w:sz="2" w:space="0" w:color="auto"/>
            </w:tcBorders>
            <w:vAlign w:val="center"/>
          </w:tcPr>
          <w:p w:rsidR="003D2554" w:rsidRPr="00C903F8" w:rsidRDefault="00790FAC" w:rsidP="00790FAC">
            <w:pPr>
              <w:pStyle w:val="NormalCentered"/>
              <w:spacing w:before="60" w:after="60" w:line="240" w:lineRule="atLeast"/>
              <w:ind w:left="0" w:firstLine="0"/>
              <w:rPr>
                <w:rFonts w:cs="Arial"/>
                <w:noProof/>
                <w:sz w:val="18"/>
                <w:szCs w:val="18"/>
              </w:rPr>
            </w:pPr>
            <w:r w:rsidRPr="00C903F8">
              <w:rPr>
                <w:rFonts w:cs="Arial"/>
                <w:noProof/>
                <w:sz w:val="18"/>
                <w:szCs w:val="18"/>
              </w:rPr>
              <w:t>Reduction [%]</w:t>
            </w:r>
          </w:p>
        </w:tc>
      </w:tr>
      <w:tr w:rsidR="003D2554" w:rsidRPr="00C903F8" w:rsidTr="003D2554">
        <w:trPr>
          <w:cantSplit/>
          <w:jc w:val="center"/>
        </w:trPr>
        <w:tc>
          <w:tcPr>
            <w:tcW w:w="5863"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60" w:after="60" w:line="240" w:lineRule="atLeast"/>
              <w:ind w:left="0" w:firstLine="0"/>
              <w:jc w:val="center"/>
              <w:rPr>
                <w:rFonts w:cs="Arial"/>
                <w:noProof/>
                <w:sz w:val="18"/>
                <w:szCs w:val="18"/>
              </w:rPr>
            </w:pPr>
            <w:r w:rsidRPr="00C903F8">
              <w:rPr>
                <w:rFonts w:cs="Arial"/>
                <w:noProof/>
                <w:sz w:val="18"/>
                <w:szCs w:val="18"/>
              </w:rPr>
              <w:t>&gt;20 to 30</w:t>
            </w:r>
          </w:p>
        </w:tc>
        <w:tc>
          <w:tcPr>
            <w:tcW w:w="1752"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790FAC">
            <w:pPr>
              <w:pStyle w:val="NormalLeft"/>
              <w:spacing w:before="60" w:after="60" w:line="240" w:lineRule="atLeast"/>
              <w:ind w:left="0" w:firstLine="0"/>
              <w:jc w:val="center"/>
              <w:rPr>
                <w:rFonts w:cs="Arial"/>
                <w:noProof/>
                <w:sz w:val="18"/>
                <w:szCs w:val="18"/>
              </w:rPr>
            </w:pPr>
            <w:r w:rsidRPr="00C903F8">
              <w:rPr>
                <w:rFonts w:cs="Arial"/>
                <w:noProof/>
                <w:sz w:val="18"/>
                <w:szCs w:val="18"/>
              </w:rPr>
              <w:t>20</w:t>
            </w:r>
          </w:p>
        </w:tc>
      </w:tr>
      <w:tr w:rsidR="003D2554" w:rsidRPr="00C903F8" w:rsidTr="003D2554">
        <w:trPr>
          <w:cantSplit/>
          <w:jc w:val="center"/>
        </w:trPr>
        <w:tc>
          <w:tcPr>
            <w:tcW w:w="5863"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60" w:after="60" w:line="240" w:lineRule="atLeast"/>
              <w:ind w:left="0" w:firstLine="0"/>
              <w:jc w:val="center"/>
              <w:rPr>
                <w:rFonts w:cs="Arial"/>
                <w:noProof/>
                <w:sz w:val="18"/>
                <w:szCs w:val="18"/>
              </w:rPr>
            </w:pPr>
            <w:r w:rsidRPr="00C903F8">
              <w:rPr>
                <w:rFonts w:cs="Arial"/>
                <w:noProof/>
                <w:sz w:val="18"/>
                <w:szCs w:val="18"/>
              </w:rPr>
              <w:t>10 to 20</w:t>
            </w:r>
          </w:p>
        </w:tc>
        <w:tc>
          <w:tcPr>
            <w:tcW w:w="1752"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790FAC">
            <w:pPr>
              <w:pStyle w:val="NormalLeft"/>
              <w:spacing w:before="60" w:after="60" w:line="240" w:lineRule="atLeast"/>
              <w:ind w:left="0" w:firstLine="0"/>
              <w:jc w:val="center"/>
              <w:rPr>
                <w:rFonts w:cs="Arial"/>
                <w:noProof/>
                <w:sz w:val="18"/>
                <w:szCs w:val="18"/>
              </w:rPr>
            </w:pPr>
            <w:r w:rsidRPr="00C903F8">
              <w:rPr>
                <w:rFonts w:cs="Arial"/>
                <w:noProof/>
                <w:sz w:val="18"/>
                <w:szCs w:val="18"/>
              </w:rPr>
              <w:t>35</w:t>
            </w:r>
          </w:p>
        </w:tc>
      </w:tr>
      <w:tr w:rsidR="003D2554" w:rsidRPr="00C903F8" w:rsidTr="003D2554">
        <w:trPr>
          <w:cantSplit/>
          <w:jc w:val="center"/>
        </w:trPr>
        <w:tc>
          <w:tcPr>
            <w:tcW w:w="5863"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60" w:after="60" w:line="240" w:lineRule="atLeast"/>
              <w:ind w:left="0" w:firstLine="0"/>
              <w:jc w:val="center"/>
              <w:rPr>
                <w:rFonts w:cs="Arial"/>
                <w:noProof/>
                <w:sz w:val="18"/>
                <w:szCs w:val="18"/>
              </w:rPr>
            </w:pPr>
            <w:r w:rsidRPr="00C903F8">
              <w:rPr>
                <w:rFonts w:cs="Arial"/>
                <w:noProof/>
                <w:sz w:val="18"/>
                <w:szCs w:val="18"/>
              </w:rPr>
              <w:t>&lt; 10</w:t>
            </w:r>
          </w:p>
        </w:tc>
        <w:tc>
          <w:tcPr>
            <w:tcW w:w="1752"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790FAC">
            <w:pPr>
              <w:pStyle w:val="NormalLeft"/>
              <w:spacing w:before="60" w:after="60" w:line="240" w:lineRule="atLeast"/>
              <w:ind w:left="0" w:firstLine="0"/>
              <w:jc w:val="center"/>
              <w:rPr>
                <w:rFonts w:cs="Arial"/>
                <w:noProof/>
                <w:sz w:val="18"/>
                <w:szCs w:val="18"/>
              </w:rPr>
            </w:pPr>
            <w:r w:rsidRPr="00C903F8">
              <w:rPr>
                <w:rFonts w:cs="Arial"/>
                <w:noProof/>
                <w:sz w:val="18"/>
                <w:szCs w:val="18"/>
              </w:rPr>
              <w:t>60</w:t>
            </w:r>
          </w:p>
        </w:tc>
      </w:tr>
    </w:tbl>
    <w:p w:rsidR="003D2554" w:rsidRPr="00C903F8" w:rsidRDefault="003D2554" w:rsidP="003D2554">
      <w:pPr>
        <w:pStyle w:val="ESch"/>
        <w:rPr>
          <w:rFonts w:cs="Arial"/>
          <w:szCs w:val="20"/>
          <w:lang w:val="en-US"/>
        </w:rPr>
      </w:pPr>
    </w:p>
    <w:p w:rsidR="003D2554" w:rsidRPr="00C903F8" w:rsidRDefault="003D2554" w:rsidP="003D2554">
      <w:pPr>
        <w:pStyle w:val="ESch"/>
        <w:rPr>
          <w:rFonts w:cs="Arial"/>
          <w:szCs w:val="20"/>
          <w:lang w:val="en-US"/>
        </w:rPr>
      </w:pPr>
    </w:p>
    <w:p w:rsidR="003D2554" w:rsidRPr="00C903F8" w:rsidRDefault="003D2554" w:rsidP="003D2554">
      <w:pPr>
        <w:pStyle w:val="ES-Titre3"/>
        <w:rPr>
          <w:rFonts w:cs="Arial"/>
          <w:i/>
          <w:lang w:val="en-US"/>
        </w:rPr>
      </w:pPr>
      <w:bookmarkStart w:id="212" w:name="_Toc491854200"/>
      <w:r w:rsidRPr="00C903F8">
        <w:rPr>
          <w:noProof/>
          <w:lang w:val="en-US"/>
        </w:rPr>
        <w:t>Article 20.15</w:t>
      </w:r>
      <w:r w:rsidRPr="00C903F8">
        <w:rPr>
          <w:noProof/>
          <w:lang w:val="en-US"/>
        </w:rPr>
        <w:br/>
      </w:r>
      <w:r w:rsidRPr="00C903F8">
        <w:rPr>
          <w:i/>
          <w:noProof/>
          <w:lang w:val="en-US"/>
        </w:rPr>
        <w:t>Special provisions for running rigging</w:t>
      </w:r>
      <w:bookmarkEnd w:id="212"/>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1.</w:t>
      </w:r>
      <w:r w:rsidRPr="00C903F8">
        <w:rPr>
          <w:noProof/>
          <w:szCs w:val="20"/>
          <w:lang w:val="en-US"/>
        </w:rPr>
        <w:tab/>
        <w:t>For running rigging, fibre ropes or steel wire ropes shall be used. The minimum tensile strength and the diameter for running rigging shall, in relation to the sail area, meet the following minimum requirements:</w:t>
      </w:r>
    </w:p>
    <w:p w:rsidR="003D2554" w:rsidRPr="00C903F8" w:rsidRDefault="003D2554" w:rsidP="003D2554">
      <w:pPr>
        <w:pStyle w:val="ESch"/>
        <w:rPr>
          <w:noProof/>
          <w:szCs w:val="20"/>
          <w:lang w:val="en-US"/>
        </w:rPr>
      </w:pPr>
    </w:p>
    <w:tbl>
      <w:tblPr>
        <w:tblW w:w="0" w:type="auto"/>
        <w:jc w:val="center"/>
        <w:tblLayout w:type="fixed"/>
        <w:tblLook w:val="0000" w:firstRow="0" w:lastRow="0" w:firstColumn="0" w:lastColumn="0" w:noHBand="0" w:noVBand="0"/>
      </w:tblPr>
      <w:tblGrid>
        <w:gridCol w:w="2229"/>
        <w:gridCol w:w="1393"/>
        <w:gridCol w:w="1578"/>
        <w:gridCol w:w="2136"/>
        <w:gridCol w:w="1950"/>
      </w:tblGrid>
      <w:tr w:rsidR="003D2554" w:rsidRPr="00C903F8" w:rsidTr="00A90B64">
        <w:trPr>
          <w:cantSplit/>
          <w:tblHeader/>
          <w:jc w:val="center"/>
        </w:trPr>
        <w:tc>
          <w:tcPr>
            <w:tcW w:w="2229"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Centered"/>
              <w:spacing w:before="60" w:after="60" w:line="240" w:lineRule="atLeast"/>
              <w:ind w:left="0" w:firstLine="0"/>
              <w:rPr>
                <w:rFonts w:cs="Arial"/>
                <w:noProof/>
                <w:sz w:val="18"/>
                <w:szCs w:val="18"/>
              </w:rPr>
            </w:pPr>
            <w:r w:rsidRPr="00C903F8">
              <w:rPr>
                <w:rFonts w:cs="Arial"/>
                <w:noProof/>
                <w:sz w:val="18"/>
                <w:szCs w:val="18"/>
              </w:rPr>
              <w:t>Type of running rigging</w:t>
            </w:r>
          </w:p>
        </w:tc>
        <w:tc>
          <w:tcPr>
            <w:tcW w:w="1393"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Centered"/>
              <w:spacing w:before="60" w:after="60" w:line="240" w:lineRule="atLeast"/>
              <w:ind w:left="0" w:firstLine="0"/>
              <w:rPr>
                <w:rFonts w:cs="Arial"/>
                <w:noProof/>
                <w:sz w:val="18"/>
                <w:szCs w:val="18"/>
              </w:rPr>
            </w:pPr>
            <w:r w:rsidRPr="00C903F8">
              <w:rPr>
                <w:rFonts w:cs="Arial"/>
                <w:noProof/>
                <w:sz w:val="18"/>
                <w:szCs w:val="18"/>
              </w:rPr>
              <w:t>Rope material</w:t>
            </w:r>
          </w:p>
        </w:tc>
        <w:tc>
          <w:tcPr>
            <w:tcW w:w="1578"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Centered"/>
              <w:spacing w:before="60" w:after="60" w:line="240" w:lineRule="atLeast"/>
              <w:ind w:left="0" w:firstLine="0"/>
              <w:rPr>
                <w:rFonts w:cs="Arial"/>
                <w:noProof/>
                <w:sz w:val="18"/>
                <w:szCs w:val="18"/>
              </w:rPr>
            </w:pPr>
            <w:r w:rsidRPr="00C903F8">
              <w:rPr>
                <w:rFonts w:cs="Arial"/>
                <w:noProof/>
                <w:sz w:val="18"/>
                <w:szCs w:val="18"/>
              </w:rPr>
              <w:t xml:space="preserve">Sail area </w:t>
            </w:r>
            <w:r w:rsidR="00790FAC" w:rsidRPr="00C903F8">
              <w:rPr>
                <w:rFonts w:cs="Arial"/>
                <w:noProof/>
                <w:color w:val="000000"/>
                <w:sz w:val="18"/>
                <w:szCs w:val="18"/>
              </w:rPr>
              <w:t>[m</w:t>
            </w:r>
            <w:r w:rsidR="00790FAC" w:rsidRPr="00C903F8">
              <w:rPr>
                <w:rFonts w:cs="Arial"/>
                <w:noProof/>
                <w:color w:val="000000"/>
                <w:sz w:val="18"/>
                <w:szCs w:val="18"/>
                <w:vertAlign w:val="superscript"/>
              </w:rPr>
              <w:t>2</w:t>
            </w:r>
            <w:r w:rsidR="00790FAC" w:rsidRPr="00C903F8">
              <w:rPr>
                <w:rFonts w:cs="Arial"/>
                <w:noProof/>
                <w:color w:val="000000"/>
                <w:sz w:val="18"/>
                <w:szCs w:val="18"/>
              </w:rPr>
              <w:t>]</w:t>
            </w:r>
          </w:p>
        </w:tc>
        <w:tc>
          <w:tcPr>
            <w:tcW w:w="21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610BD">
            <w:pPr>
              <w:pStyle w:val="NormalCentered"/>
              <w:spacing w:before="60" w:after="60" w:line="240" w:lineRule="atLeast"/>
              <w:ind w:left="0" w:firstLine="0"/>
              <w:rPr>
                <w:rFonts w:cs="Arial"/>
                <w:noProof/>
                <w:sz w:val="18"/>
                <w:szCs w:val="18"/>
                <w:lang w:val="en-GB"/>
              </w:rPr>
            </w:pPr>
            <w:r w:rsidRPr="00C903F8">
              <w:rPr>
                <w:rFonts w:cs="Arial"/>
                <w:noProof/>
                <w:sz w:val="18"/>
                <w:szCs w:val="18"/>
                <w:lang w:val="en-GB"/>
              </w:rPr>
              <w:t xml:space="preserve">Minimum tensile strength </w:t>
            </w:r>
            <w:r w:rsidR="00790FAC" w:rsidRPr="00C903F8">
              <w:rPr>
                <w:noProof/>
                <w:sz w:val="18"/>
                <w:szCs w:val="18"/>
                <w:lang w:val="en-GB" w:bidi="fr-FR"/>
              </w:rPr>
              <w:t>[kN]</w:t>
            </w:r>
          </w:p>
        </w:tc>
        <w:tc>
          <w:tcPr>
            <w:tcW w:w="195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Centered"/>
              <w:spacing w:before="60" w:after="60" w:line="240" w:lineRule="atLeast"/>
              <w:ind w:left="0" w:firstLine="0"/>
              <w:rPr>
                <w:rFonts w:cs="Arial"/>
                <w:noProof/>
                <w:sz w:val="18"/>
                <w:szCs w:val="18"/>
              </w:rPr>
            </w:pPr>
            <w:r w:rsidRPr="00C903F8">
              <w:rPr>
                <w:rFonts w:cs="Arial"/>
                <w:noProof/>
                <w:sz w:val="18"/>
                <w:szCs w:val="18"/>
              </w:rPr>
              <w:t xml:space="preserve">Diameter of rope </w:t>
            </w:r>
            <w:r w:rsidR="00790FAC" w:rsidRPr="00C903F8">
              <w:rPr>
                <w:noProof/>
                <w:sz w:val="18"/>
                <w:szCs w:val="18"/>
                <w:lang w:bidi="fr-FR"/>
              </w:rPr>
              <w:t>[mm]</w:t>
            </w:r>
          </w:p>
        </w:tc>
      </w:tr>
      <w:tr w:rsidR="003D2554" w:rsidRPr="00C903F8" w:rsidTr="003D2554">
        <w:trPr>
          <w:cantSplit/>
          <w:jc w:val="center"/>
        </w:trPr>
        <w:tc>
          <w:tcPr>
            <w:tcW w:w="2229" w:type="dxa"/>
            <w:vMerge w:val="restart"/>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60" w:line="240" w:lineRule="atLeast"/>
              <w:ind w:left="0" w:firstLine="0"/>
              <w:rPr>
                <w:rFonts w:cs="Arial"/>
                <w:noProof/>
                <w:sz w:val="18"/>
                <w:szCs w:val="18"/>
              </w:rPr>
            </w:pPr>
            <w:r w:rsidRPr="00C903F8">
              <w:rPr>
                <w:rFonts w:cs="Arial"/>
                <w:noProof/>
                <w:sz w:val="18"/>
                <w:szCs w:val="18"/>
              </w:rPr>
              <w:t>Staysail halyards</w:t>
            </w:r>
          </w:p>
        </w:tc>
        <w:tc>
          <w:tcPr>
            <w:tcW w:w="1393" w:type="dxa"/>
            <w:vMerge w:val="restart"/>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60" w:line="240" w:lineRule="atLeast"/>
              <w:ind w:left="0" w:firstLine="0"/>
              <w:rPr>
                <w:rFonts w:cs="Arial"/>
                <w:noProof/>
                <w:sz w:val="18"/>
                <w:szCs w:val="18"/>
              </w:rPr>
            </w:pPr>
            <w:r w:rsidRPr="00C903F8">
              <w:rPr>
                <w:rFonts w:cs="Arial"/>
                <w:noProof/>
                <w:sz w:val="18"/>
                <w:szCs w:val="18"/>
              </w:rPr>
              <w:t>Steel wire</w:t>
            </w:r>
          </w:p>
        </w:tc>
        <w:tc>
          <w:tcPr>
            <w:tcW w:w="1578"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60" w:line="240" w:lineRule="atLeast"/>
              <w:ind w:left="0" w:firstLine="0"/>
              <w:jc w:val="center"/>
              <w:rPr>
                <w:rFonts w:cs="Arial"/>
                <w:noProof/>
                <w:sz w:val="18"/>
                <w:szCs w:val="18"/>
              </w:rPr>
            </w:pPr>
            <w:r w:rsidRPr="00C903F8">
              <w:rPr>
                <w:rFonts w:cs="Arial"/>
                <w:noProof/>
                <w:sz w:val="18"/>
                <w:szCs w:val="18"/>
              </w:rPr>
              <w:t>up to 35</w:t>
            </w:r>
          </w:p>
        </w:tc>
        <w:tc>
          <w:tcPr>
            <w:tcW w:w="21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60" w:line="240" w:lineRule="atLeast"/>
              <w:ind w:left="0" w:firstLine="0"/>
              <w:jc w:val="center"/>
              <w:rPr>
                <w:rFonts w:cs="Arial"/>
                <w:noProof/>
                <w:sz w:val="18"/>
                <w:szCs w:val="18"/>
              </w:rPr>
            </w:pPr>
            <w:r w:rsidRPr="00C903F8">
              <w:rPr>
                <w:rFonts w:cs="Arial"/>
                <w:noProof/>
                <w:sz w:val="18"/>
                <w:szCs w:val="18"/>
              </w:rPr>
              <w:t>20</w:t>
            </w:r>
          </w:p>
        </w:tc>
        <w:tc>
          <w:tcPr>
            <w:tcW w:w="195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60" w:line="240" w:lineRule="atLeast"/>
              <w:ind w:left="0" w:firstLine="0"/>
              <w:jc w:val="center"/>
              <w:rPr>
                <w:rFonts w:cs="Arial"/>
                <w:noProof/>
                <w:sz w:val="18"/>
                <w:szCs w:val="18"/>
              </w:rPr>
            </w:pPr>
            <w:r w:rsidRPr="00C903F8">
              <w:rPr>
                <w:rFonts w:cs="Arial"/>
                <w:noProof/>
                <w:sz w:val="18"/>
                <w:szCs w:val="18"/>
              </w:rPr>
              <w:t>6</w:t>
            </w:r>
          </w:p>
        </w:tc>
      </w:tr>
      <w:tr w:rsidR="003D2554" w:rsidRPr="00C903F8" w:rsidTr="003D2554">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adjustRightInd w:val="0"/>
              <w:spacing w:before="160" w:after="160" w:line="240" w:lineRule="atLeast"/>
              <w:ind w:left="0" w:firstLine="0"/>
              <w:jc w:val="left"/>
              <w:rPr>
                <w:rFonts w:cs="Arial"/>
                <w:noProof/>
                <w:sz w:val="18"/>
                <w:szCs w:val="18"/>
                <w:lang w:val="en-US"/>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adjustRightInd w:val="0"/>
              <w:spacing w:before="160" w:after="160" w:line="240" w:lineRule="atLeast"/>
              <w:ind w:left="0" w:firstLine="0"/>
              <w:jc w:val="left"/>
              <w:rPr>
                <w:rFonts w:cs="Arial"/>
                <w:noProof/>
                <w:sz w:val="18"/>
                <w:szCs w:val="18"/>
                <w:lang w:val="en-US"/>
              </w:rPr>
            </w:pPr>
          </w:p>
        </w:tc>
        <w:tc>
          <w:tcPr>
            <w:tcW w:w="1578"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60" w:line="240" w:lineRule="atLeast"/>
              <w:ind w:left="0" w:firstLine="0"/>
              <w:jc w:val="center"/>
              <w:rPr>
                <w:rFonts w:cs="Arial"/>
                <w:noProof/>
                <w:sz w:val="18"/>
                <w:szCs w:val="18"/>
              </w:rPr>
            </w:pPr>
            <w:r w:rsidRPr="00C903F8">
              <w:rPr>
                <w:rFonts w:cs="Arial"/>
                <w:noProof/>
                <w:sz w:val="18"/>
                <w:szCs w:val="18"/>
              </w:rPr>
              <w:t>&gt; 35</w:t>
            </w:r>
          </w:p>
        </w:tc>
        <w:tc>
          <w:tcPr>
            <w:tcW w:w="21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60" w:line="240" w:lineRule="atLeast"/>
              <w:ind w:left="0" w:firstLine="0"/>
              <w:jc w:val="center"/>
              <w:rPr>
                <w:rFonts w:cs="Arial"/>
                <w:noProof/>
                <w:sz w:val="18"/>
                <w:szCs w:val="18"/>
              </w:rPr>
            </w:pPr>
            <w:r w:rsidRPr="00C903F8">
              <w:rPr>
                <w:rFonts w:cs="Arial"/>
                <w:noProof/>
                <w:sz w:val="18"/>
                <w:szCs w:val="18"/>
              </w:rPr>
              <w:t>38</w:t>
            </w:r>
          </w:p>
        </w:tc>
        <w:tc>
          <w:tcPr>
            <w:tcW w:w="195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60" w:line="240" w:lineRule="atLeast"/>
              <w:ind w:left="0" w:firstLine="0"/>
              <w:jc w:val="center"/>
              <w:rPr>
                <w:rFonts w:cs="Arial"/>
                <w:noProof/>
                <w:sz w:val="18"/>
                <w:szCs w:val="18"/>
              </w:rPr>
            </w:pPr>
            <w:r w:rsidRPr="00C903F8">
              <w:rPr>
                <w:rFonts w:cs="Arial"/>
                <w:noProof/>
                <w:sz w:val="18"/>
                <w:szCs w:val="18"/>
              </w:rPr>
              <w:t>8</w:t>
            </w:r>
          </w:p>
        </w:tc>
      </w:tr>
      <w:tr w:rsidR="003D2554" w:rsidRPr="00505433" w:rsidTr="003D2554">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adjustRightInd w:val="0"/>
              <w:spacing w:before="160" w:after="160" w:line="240" w:lineRule="atLeast"/>
              <w:ind w:left="0" w:firstLine="0"/>
              <w:jc w:val="left"/>
              <w:rPr>
                <w:rFonts w:cs="Arial"/>
                <w:noProof/>
                <w:sz w:val="18"/>
                <w:szCs w:val="18"/>
                <w:lang w:val="en-US"/>
              </w:rPr>
            </w:pPr>
          </w:p>
        </w:tc>
        <w:tc>
          <w:tcPr>
            <w:tcW w:w="1393"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60" w:line="240" w:lineRule="atLeast"/>
              <w:ind w:left="0" w:firstLine="0"/>
              <w:rPr>
                <w:rFonts w:cs="Arial"/>
                <w:noProof/>
                <w:sz w:val="18"/>
                <w:szCs w:val="18"/>
              </w:rPr>
            </w:pPr>
            <w:r w:rsidRPr="00C903F8">
              <w:rPr>
                <w:rFonts w:cs="Arial"/>
                <w:noProof/>
                <w:sz w:val="18"/>
                <w:szCs w:val="18"/>
              </w:rPr>
              <w:t>Fibre (poly</w:t>
            </w:r>
            <w:r w:rsidR="00A90B64" w:rsidRPr="00C903F8">
              <w:rPr>
                <w:rFonts w:cs="Arial"/>
                <w:noProof/>
                <w:sz w:val="18"/>
                <w:szCs w:val="18"/>
              </w:rPr>
              <w:softHyphen/>
            </w:r>
            <w:r w:rsidRPr="00C903F8">
              <w:rPr>
                <w:rFonts w:cs="Arial"/>
                <w:noProof/>
                <w:sz w:val="18"/>
                <w:szCs w:val="18"/>
              </w:rPr>
              <w:t>propylene</w:t>
            </w:r>
            <w:r w:rsidR="00A90B64" w:rsidRPr="00C903F8">
              <w:rPr>
                <w:rFonts w:cs="Arial"/>
                <w:noProof/>
                <w:sz w:val="18"/>
                <w:szCs w:val="18"/>
              </w:rPr>
              <w:t xml:space="preserve"> </w:t>
            </w:r>
            <w:r w:rsidRPr="00C903F8">
              <w:rPr>
                <w:rFonts w:cs="Arial"/>
                <w:noProof/>
                <w:sz w:val="18"/>
                <w:szCs w:val="18"/>
              </w:rPr>
              <w:t>-</w:t>
            </w:r>
            <w:r w:rsidR="00A90B64" w:rsidRPr="00C903F8">
              <w:rPr>
                <w:rFonts w:cs="Arial"/>
                <w:noProof/>
                <w:sz w:val="18"/>
                <w:szCs w:val="18"/>
              </w:rPr>
              <w:t xml:space="preserve"> </w:t>
            </w:r>
            <w:r w:rsidRPr="00C903F8">
              <w:rPr>
                <w:rFonts w:cs="Arial"/>
                <w:noProof/>
                <w:sz w:val="18"/>
                <w:szCs w:val="18"/>
              </w:rPr>
              <w:t>PP)</w:t>
            </w:r>
          </w:p>
        </w:tc>
        <w:tc>
          <w:tcPr>
            <w:tcW w:w="5664" w:type="dxa"/>
            <w:gridSpan w:val="3"/>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60" w:line="240" w:lineRule="atLeast"/>
              <w:ind w:left="0" w:firstLine="0"/>
              <w:jc w:val="both"/>
              <w:rPr>
                <w:rFonts w:cs="Arial"/>
                <w:noProof/>
                <w:sz w:val="18"/>
                <w:szCs w:val="18"/>
                <w:lang w:val="en-US"/>
              </w:rPr>
            </w:pPr>
            <w:r w:rsidRPr="00C903F8">
              <w:rPr>
                <w:rFonts w:cs="Arial"/>
                <w:noProof/>
                <w:sz w:val="18"/>
                <w:szCs w:val="18"/>
                <w:lang w:val="en-US"/>
              </w:rPr>
              <w:t>Rope diameter of at least 14 mm and one rope sheave for every 25</w:t>
            </w:r>
            <w:r w:rsidR="00A90B64" w:rsidRPr="00C903F8">
              <w:rPr>
                <w:rFonts w:cs="Arial"/>
                <w:noProof/>
                <w:sz w:val="18"/>
                <w:szCs w:val="18"/>
                <w:lang w:val="en-US"/>
              </w:rPr>
              <w:t> </w:t>
            </w:r>
            <w:r w:rsidRPr="00C903F8">
              <w:rPr>
                <w:rFonts w:cs="Arial"/>
                <w:noProof/>
                <w:sz w:val="18"/>
                <w:szCs w:val="18"/>
                <w:lang w:val="en-US"/>
              </w:rPr>
              <w:t>m</w:t>
            </w:r>
            <w:r w:rsidRPr="00C903F8">
              <w:rPr>
                <w:rFonts w:cs="Arial"/>
                <w:noProof/>
                <w:sz w:val="18"/>
                <w:szCs w:val="18"/>
                <w:vertAlign w:val="superscript"/>
                <w:lang w:val="en-US"/>
              </w:rPr>
              <w:t>2</w:t>
            </w:r>
            <w:r w:rsidRPr="00C903F8">
              <w:rPr>
                <w:rFonts w:cs="Arial"/>
                <w:noProof/>
                <w:sz w:val="18"/>
                <w:szCs w:val="18"/>
                <w:lang w:val="en-US"/>
              </w:rPr>
              <w:t xml:space="preserve"> or part thereof</w:t>
            </w:r>
          </w:p>
        </w:tc>
      </w:tr>
      <w:tr w:rsidR="003D2554" w:rsidRPr="00C903F8" w:rsidTr="003D2554">
        <w:trPr>
          <w:cantSplit/>
          <w:jc w:val="center"/>
        </w:trPr>
        <w:tc>
          <w:tcPr>
            <w:tcW w:w="2229" w:type="dxa"/>
            <w:vMerge w:val="restart"/>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40" w:line="240" w:lineRule="atLeast"/>
              <w:ind w:left="0" w:firstLine="0"/>
              <w:rPr>
                <w:rFonts w:cs="Arial"/>
                <w:noProof/>
                <w:sz w:val="18"/>
                <w:szCs w:val="18"/>
                <w:lang w:val="en-US"/>
              </w:rPr>
            </w:pPr>
            <w:r w:rsidRPr="00C903F8">
              <w:rPr>
                <w:rFonts w:cs="Arial"/>
                <w:noProof/>
                <w:sz w:val="18"/>
                <w:szCs w:val="18"/>
                <w:lang w:val="en-US"/>
              </w:rPr>
              <w:t>Gaff sail halyards</w:t>
            </w:r>
            <w:r w:rsidR="00A90B64" w:rsidRPr="00C903F8">
              <w:rPr>
                <w:rFonts w:cs="Arial"/>
                <w:noProof/>
                <w:sz w:val="18"/>
                <w:szCs w:val="18"/>
                <w:lang w:val="en-US"/>
              </w:rPr>
              <w:br/>
            </w:r>
            <w:r w:rsidRPr="00C903F8">
              <w:rPr>
                <w:rFonts w:cs="Arial"/>
                <w:noProof/>
                <w:sz w:val="18"/>
                <w:szCs w:val="18"/>
                <w:lang w:val="en-US"/>
              </w:rPr>
              <w:t>Top sail halyards</w:t>
            </w:r>
          </w:p>
        </w:tc>
        <w:tc>
          <w:tcPr>
            <w:tcW w:w="1393" w:type="dxa"/>
            <w:vMerge w:val="restart"/>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40" w:line="240" w:lineRule="atLeast"/>
              <w:ind w:left="0" w:firstLine="0"/>
              <w:rPr>
                <w:rFonts w:cs="Arial"/>
                <w:noProof/>
                <w:sz w:val="18"/>
                <w:szCs w:val="18"/>
              </w:rPr>
            </w:pPr>
            <w:r w:rsidRPr="00C903F8">
              <w:rPr>
                <w:rFonts w:cs="Arial"/>
                <w:noProof/>
                <w:sz w:val="18"/>
                <w:szCs w:val="18"/>
              </w:rPr>
              <w:t>Steel wire</w:t>
            </w:r>
          </w:p>
        </w:tc>
        <w:tc>
          <w:tcPr>
            <w:tcW w:w="1578"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40" w:line="240" w:lineRule="atLeast"/>
              <w:ind w:left="0" w:firstLine="0"/>
              <w:jc w:val="center"/>
              <w:rPr>
                <w:rFonts w:cs="Arial"/>
                <w:noProof/>
                <w:sz w:val="18"/>
                <w:szCs w:val="18"/>
              </w:rPr>
            </w:pPr>
            <w:r w:rsidRPr="00C903F8">
              <w:rPr>
                <w:rFonts w:cs="Arial"/>
                <w:noProof/>
                <w:sz w:val="18"/>
                <w:szCs w:val="18"/>
              </w:rPr>
              <w:t>up to 50</w:t>
            </w:r>
          </w:p>
        </w:tc>
        <w:tc>
          <w:tcPr>
            <w:tcW w:w="21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40" w:line="240" w:lineRule="atLeast"/>
              <w:ind w:left="0" w:firstLine="0"/>
              <w:jc w:val="center"/>
              <w:rPr>
                <w:rFonts w:cs="Arial"/>
                <w:noProof/>
                <w:sz w:val="18"/>
                <w:szCs w:val="18"/>
              </w:rPr>
            </w:pPr>
            <w:r w:rsidRPr="00C903F8">
              <w:rPr>
                <w:rFonts w:cs="Arial"/>
                <w:noProof/>
                <w:sz w:val="18"/>
                <w:szCs w:val="18"/>
              </w:rPr>
              <w:t>20</w:t>
            </w:r>
          </w:p>
        </w:tc>
        <w:tc>
          <w:tcPr>
            <w:tcW w:w="195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40" w:line="240" w:lineRule="atLeast"/>
              <w:ind w:left="0" w:firstLine="0"/>
              <w:jc w:val="center"/>
              <w:rPr>
                <w:rFonts w:cs="Arial"/>
                <w:noProof/>
                <w:sz w:val="18"/>
                <w:szCs w:val="18"/>
              </w:rPr>
            </w:pPr>
            <w:r w:rsidRPr="00C903F8">
              <w:rPr>
                <w:rFonts w:cs="Arial"/>
                <w:noProof/>
                <w:sz w:val="18"/>
                <w:szCs w:val="18"/>
              </w:rPr>
              <w:t>6</w:t>
            </w:r>
          </w:p>
        </w:tc>
      </w:tr>
      <w:tr w:rsidR="003D2554" w:rsidRPr="00C903F8" w:rsidTr="003D2554">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adjustRightInd w:val="0"/>
              <w:spacing w:before="160" w:after="140" w:line="240" w:lineRule="atLeast"/>
              <w:ind w:left="0" w:firstLine="0"/>
              <w:jc w:val="left"/>
              <w:rPr>
                <w:rFonts w:cs="Arial"/>
                <w:noProof/>
                <w:sz w:val="18"/>
                <w:szCs w:val="18"/>
                <w:lang w:val="en-US"/>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adjustRightInd w:val="0"/>
              <w:spacing w:before="160" w:after="140" w:line="240" w:lineRule="atLeast"/>
              <w:ind w:left="0" w:firstLine="0"/>
              <w:jc w:val="left"/>
              <w:rPr>
                <w:rFonts w:cs="Arial"/>
                <w:noProof/>
                <w:sz w:val="18"/>
                <w:szCs w:val="18"/>
                <w:lang w:val="en-US"/>
              </w:rPr>
            </w:pPr>
          </w:p>
        </w:tc>
        <w:tc>
          <w:tcPr>
            <w:tcW w:w="1578"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40" w:line="240" w:lineRule="atLeast"/>
              <w:ind w:left="0" w:firstLine="0"/>
              <w:jc w:val="center"/>
              <w:rPr>
                <w:rFonts w:cs="Arial"/>
                <w:noProof/>
                <w:sz w:val="18"/>
                <w:szCs w:val="18"/>
              </w:rPr>
            </w:pPr>
            <w:r w:rsidRPr="00C903F8">
              <w:rPr>
                <w:rFonts w:cs="Arial"/>
                <w:noProof/>
                <w:sz w:val="18"/>
                <w:szCs w:val="18"/>
              </w:rPr>
              <w:t>&gt; 50 to 80</w:t>
            </w:r>
          </w:p>
        </w:tc>
        <w:tc>
          <w:tcPr>
            <w:tcW w:w="21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40" w:line="240" w:lineRule="atLeast"/>
              <w:ind w:left="0" w:firstLine="0"/>
              <w:jc w:val="center"/>
              <w:rPr>
                <w:rFonts w:cs="Arial"/>
                <w:noProof/>
                <w:sz w:val="18"/>
                <w:szCs w:val="18"/>
              </w:rPr>
            </w:pPr>
            <w:r w:rsidRPr="00C903F8">
              <w:rPr>
                <w:rFonts w:cs="Arial"/>
                <w:noProof/>
                <w:sz w:val="18"/>
                <w:szCs w:val="18"/>
              </w:rPr>
              <w:t>30</w:t>
            </w:r>
          </w:p>
        </w:tc>
        <w:tc>
          <w:tcPr>
            <w:tcW w:w="195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40" w:line="240" w:lineRule="atLeast"/>
              <w:ind w:left="0" w:firstLine="0"/>
              <w:jc w:val="center"/>
              <w:rPr>
                <w:rFonts w:cs="Arial"/>
                <w:noProof/>
                <w:sz w:val="18"/>
                <w:szCs w:val="18"/>
              </w:rPr>
            </w:pPr>
            <w:r w:rsidRPr="00C903F8">
              <w:rPr>
                <w:rFonts w:cs="Arial"/>
                <w:noProof/>
                <w:sz w:val="18"/>
                <w:szCs w:val="18"/>
              </w:rPr>
              <w:t>8</w:t>
            </w:r>
          </w:p>
        </w:tc>
      </w:tr>
      <w:tr w:rsidR="003D2554" w:rsidRPr="00C903F8" w:rsidTr="003D2554">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adjustRightInd w:val="0"/>
              <w:spacing w:before="160" w:after="140" w:line="240" w:lineRule="atLeast"/>
              <w:ind w:left="0" w:firstLine="0"/>
              <w:jc w:val="left"/>
              <w:rPr>
                <w:rFonts w:cs="Arial"/>
                <w:noProof/>
                <w:sz w:val="18"/>
                <w:szCs w:val="18"/>
                <w:lang w:val="en-US"/>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adjustRightInd w:val="0"/>
              <w:spacing w:before="160" w:after="140" w:line="240" w:lineRule="atLeast"/>
              <w:ind w:left="0" w:firstLine="0"/>
              <w:jc w:val="left"/>
              <w:rPr>
                <w:rFonts w:cs="Arial"/>
                <w:noProof/>
                <w:sz w:val="18"/>
                <w:szCs w:val="18"/>
                <w:lang w:val="en-US"/>
              </w:rPr>
            </w:pPr>
          </w:p>
        </w:tc>
        <w:tc>
          <w:tcPr>
            <w:tcW w:w="1578"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40" w:line="240" w:lineRule="atLeast"/>
              <w:ind w:left="0" w:firstLine="0"/>
              <w:jc w:val="center"/>
              <w:rPr>
                <w:rFonts w:cs="Arial"/>
                <w:noProof/>
                <w:sz w:val="18"/>
                <w:szCs w:val="18"/>
              </w:rPr>
            </w:pPr>
            <w:r w:rsidRPr="00C903F8">
              <w:rPr>
                <w:rFonts w:cs="Arial"/>
                <w:noProof/>
                <w:sz w:val="18"/>
                <w:szCs w:val="18"/>
              </w:rPr>
              <w:t>&gt; 80 to 120</w:t>
            </w:r>
          </w:p>
        </w:tc>
        <w:tc>
          <w:tcPr>
            <w:tcW w:w="21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40" w:line="240" w:lineRule="atLeast"/>
              <w:ind w:left="0" w:firstLine="0"/>
              <w:jc w:val="center"/>
              <w:rPr>
                <w:rFonts w:cs="Arial"/>
                <w:noProof/>
                <w:sz w:val="18"/>
                <w:szCs w:val="18"/>
              </w:rPr>
            </w:pPr>
            <w:r w:rsidRPr="00C903F8">
              <w:rPr>
                <w:rFonts w:cs="Arial"/>
                <w:noProof/>
                <w:sz w:val="18"/>
                <w:szCs w:val="18"/>
              </w:rPr>
              <w:t>60</w:t>
            </w:r>
          </w:p>
        </w:tc>
        <w:tc>
          <w:tcPr>
            <w:tcW w:w="195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40" w:line="240" w:lineRule="atLeast"/>
              <w:ind w:left="0" w:firstLine="0"/>
              <w:jc w:val="center"/>
              <w:rPr>
                <w:rFonts w:cs="Arial"/>
                <w:noProof/>
                <w:sz w:val="18"/>
                <w:szCs w:val="18"/>
              </w:rPr>
            </w:pPr>
            <w:r w:rsidRPr="00C903F8">
              <w:rPr>
                <w:rFonts w:cs="Arial"/>
                <w:noProof/>
                <w:sz w:val="18"/>
                <w:szCs w:val="18"/>
              </w:rPr>
              <w:t>10</w:t>
            </w:r>
          </w:p>
        </w:tc>
      </w:tr>
      <w:tr w:rsidR="003D2554" w:rsidRPr="00C903F8" w:rsidTr="003D2554">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adjustRightInd w:val="0"/>
              <w:spacing w:before="160" w:after="140" w:line="240" w:lineRule="atLeast"/>
              <w:ind w:left="0" w:firstLine="0"/>
              <w:jc w:val="left"/>
              <w:rPr>
                <w:rFonts w:cs="Arial"/>
                <w:noProof/>
                <w:sz w:val="18"/>
                <w:szCs w:val="18"/>
                <w:lang w:val="en-US"/>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adjustRightInd w:val="0"/>
              <w:spacing w:before="160" w:after="140" w:line="240" w:lineRule="atLeast"/>
              <w:ind w:left="0" w:firstLine="0"/>
              <w:jc w:val="left"/>
              <w:rPr>
                <w:rFonts w:cs="Arial"/>
                <w:noProof/>
                <w:sz w:val="18"/>
                <w:szCs w:val="18"/>
                <w:lang w:val="en-US"/>
              </w:rPr>
            </w:pPr>
          </w:p>
        </w:tc>
        <w:tc>
          <w:tcPr>
            <w:tcW w:w="1578"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40" w:line="240" w:lineRule="atLeast"/>
              <w:ind w:left="0" w:firstLine="0"/>
              <w:jc w:val="center"/>
              <w:rPr>
                <w:rFonts w:cs="Arial"/>
                <w:noProof/>
                <w:sz w:val="18"/>
                <w:szCs w:val="18"/>
              </w:rPr>
            </w:pPr>
            <w:r w:rsidRPr="00C903F8">
              <w:rPr>
                <w:rFonts w:cs="Arial"/>
                <w:noProof/>
                <w:sz w:val="18"/>
                <w:szCs w:val="18"/>
              </w:rPr>
              <w:t>&gt;120 to 160</w:t>
            </w:r>
          </w:p>
        </w:tc>
        <w:tc>
          <w:tcPr>
            <w:tcW w:w="21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40" w:line="240" w:lineRule="atLeast"/>
              <w:ind w:left="0" w:firstLine="0"/>
              <w:jc w:val="center"/>
              <w:rPr>
                <w:rFonts w:cs="Arial"/>
                <w:noProof/>
                <w:sz w:val="18"/>
                <w:szCs w:val="18"/>
              </w:rPr>
            </w:pPr>
            <w:r w:rsidRPr="00C903F8">
              <w:rPr>
                <w:rFonts w:cs="Arial"/>
                <w:noProof/>
                <w:sz w:val="18"/>
                <w:szCs w:val="18"/>
              </w:rPr>
              <w:t>80</w:t>
            </w:r>
          </w:p>
        </w:tc>
        <w:tc>
          <w:tcPr>
            <w:tcW w:w="195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40" w:line="240" w:lineRule="atLeast"/>
              <w:ind w:left="0" w:firstLine="0"/>
              <w:jc w:val="center"/>
              <w:rPr>
                <w:rFonts w:cs="Arial"/>
                <w:noProof/>
                <w:sz w:val="18"/>
                <w:szCs w:val="18"/>
              </w:rPr>
            </w:pPr>
            <w:r w:rsidRPr="00C903F8">
              <w:rPr>
                <w:rFonts w:cs="Arial"/>
                <w:noProof/>
                <w:sz w:val="18"/>
                <w:szCs w:val="18"/>
              </w:rPr>
              <w:t>12</w:t>
            </w:r>
          </w:p>
        </w:tc>
      </w:tr>
      <w:tr w:rsidR="003D2554" w:rsidRPr="00505433" w:rsidTr="003D2554">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adjustRightInd w:val="0"/>
              <w:spacing w:before="160" w:after="140" w:line="240" w:lineRule="atLeast"/>
              <w:ind w:left="0" w:firstLine="0"/>
              <w:jc w:val="left"/>
              <w:rPr>
                <w:rFonts w:cs="Arial"/>
                <w:noProof/>
                <w:sz w:val="18"/>
                <w:szCs w:val="18"/>
                <w:lang w:val="en-US"/>
              </w:rPr>
            </w:pPr>
          </w:p>
        </w:tc>
        <w:tc>
          <w:tcPr>
            <w:tcW w:w="1393"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40" w:line="240" w:lineRule="atLeast"/>
              <w:ind w:left="0" w:firstLine="0"/>
              <w:rPr>
                <w:rFonts w:cs="Arial"/>
                <w:noProof/>
                <w:sz w:val="18"/>
                <w:szCs w:val="18"/>
              </w:rPr>
            </w:pPr>
            <w:r w:rsidRPr="00C903F8">
              <w:rPr>
                <w:rFonts w:cs="Arial"/>
                <w:noProof/>
                <w:sz w:val="18"/>
                <w:szCs w:val="18"/>
              </w:rPr>
              <w:t>Fibre (PP)</w:t>
            </w:r>
          </w:p>
        </w:tc>
        <w:tc>
          <w:tcPr>
            <w:tcW w:w="5664" w:type="dxa"/>
            <w:gridSpan w:val="3"/>
            <w:tcBorders>
              <w:top w:val="single" w:sz="2" w:space="0" w:color="auto"/>
              <w:left w:val="single" w:sz="2" w:space="0" w:color="auto"/>
              <w:bottom w:val="single" w:sz="2" w:space="0" w:color="auto"/>
              <w:right w:val="single" w:sz="2" w:space="0" w:color="auto"/>
            </w:tcBorders>
            <w:vAlign w:val="center"/>
          </w:tcPr>
          <w:p w:rsidR="003D2554" w:rsidRPr="00C903F8" w:rsidRDefault="003D2554" w:rsidP="0042206B">
            <w:pPr>
              <w:pStyle w:val="NormalLeft"/>
              <w:spacing w:before="160" w:after="140" w:line="240" w:lineRule="atLeast"/>
              <w:ind w:left="0" w:firstLine="0"/>
              <w:jc w:val="both"/>
              <w:rPr>
                <w:rFonts w:cs="Arial"/>
                <w:noProof/>
                <w:sz w:val="18"/>
                <w:szCs w:val="18"/>
                <w:lang w:val="en-US"/>
              </w:rPr>
            </w:pPr>
            <w:r w:rsidRPr="00C903F8">
              <w:rPr>
                <w:rFonts w:cs="Arial"/>
                <w:noProof/>
                <w:sz w:val="18"/>
                <w:szCs w:val="18"/>
                <w:lang w:val="en-US"/>
              </w:rPr>
              <w:t>Rope diameter of at least 18 mm and one rope sheave for every 30</w:t>
            </w:r>
            <w:r w:rsidR="00A90B64" w:rsidRPr="00C903F8">
              <w:rPr>
                <w:rFonts w:cs="Arial"/>
                <w:noProof/>
                <w:sz w:val="18"/>
                <w:szCs w:val="18"/>
                <w:lang w:val="en-US"/>
              </w:rPr>
              <w:t> </w:t>
            </w:r>
            <w:r w:rsidRPr="00C903F8">
              <w:rPr>
                <w:rFonts w:cs="Arial"/>
                <w:noProof/>
                <w:sz w:val="18"/>
                <w:szCs w:val="18"/>
                <w:lang w:val="en-US"/>
              </w:rPr>
              <w:t>m</w:t>
            </w:r>
            <w:r w:rsidRPr="00C903F8">
              <w:rPr>
                <w:rFonts w:cs="Arial"/>
                <w:noProof/>
                <w:sz w:val="18"/>
                <w:szCs w:val="18"/>
                <w:vertAlign w:val="superscript"/>
                <w:lang w:val="en-US"/>
              </w:rPr>
              <w:t>2</w:t>
            </w:r>
            <w:r w:rsidRPr="00C903F8">
              <w:rPr>
                <w:rFonts w:cs="Arial"/>
                <w:noProof/>
                <w:sz w:val="18"/>
                <w:szCs w:val="18"/>
                <w:lang w:val="en-US"/>
              </w:rPr>
              <w:t xml:space="preserve"> or part thereof</w:t>
            </w:r>
          </w:p>
        </w:tc>
      </w:tr>
      <w:tr w:rsidR="003D2554" w:rsidRPr="00C903F8" w:rsidTr="003D2554">
        <w:trPr>
          <w:cantSplit/>
          <w:jc w:val="center"/>
        </w:trPr>
        <w:tc>
          <w:tcPr>
            <w:tcW w:w="2229" w:type="dxa"/>
            <w:vMerge w:val="restart"/>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lastRenderedPageBreak/>
              <w:t>Staysail sheets</w:t>
            </w:r>
          </w:p>
        </w:tc>
        <w:tc>
          <w:tcPr>
            <w:tcW w:w="1393" w:type="dxa"/>
            <w:vMerge w:val="restart"/>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Fibre (PP)</w:t>
            </w:r>
          </w:p>
        </w:tc>
        <w:tc>
          <w:tcPr>
            <w:tcW w:w="1578"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rPr>
            </w:pPr>
            <w:r w:rsidRPr="00C903F8">
              <w:rPr>
                <w:rFonts w:cs="Arial"/>
                <w:noProof/>
                <w:sz w:val="18"/>
                <w:szCs w:val="18"/>
              </w:rPr>
              <w:t>up to 40</w:t>
            </w:r>
          </w:p>
        </w:tc>
        <w:tc>
          <w:tcPr>
            <w:tcW w:w="21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rPr>
            </w:pPr>
            <w:r w:rsidRPr="00C903F8">
              <w:rPr>
                <w:rFonts w:cs="Arial"/>
                <w:noProof/>
                <w:sz w:val="18"/>
                <w:szCs w:val="18"/>
              </w:rPr>
              <w:t>14</w:t>
            </w:r>
          </w:p>
        </w:tc>
        <w:tc>
          <w:tcPr>
            <w:tcW w:w="195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rPr>
            </w:pPr>
          </w:p>
        </w:tc>
      </w:tr>
      <w:tr w:rsidR="003D2554" w:rsidRPr="00C903F8" w:rsidTr="003D2554">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adjustRightInd w:val="0"/>
              <w:spacing w:before="60" w:after="60" w:line="240" w:lineRule="atLeast"/>
              <w:ind w:left="0" w:firstLine="0"/>
              <w:jc w:val="left"/>
              <w:rPr>
                <w:rFonts w:cs="Arial"/>
                <w:noProof/>
                <w:sz w:val="18"/>
                <w:szCs w:val="18"/>
                <w:lang w:val="en-US"/>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adjustRightInd w:val="0"/>
              <w:spacing w:before="60" w:after="60" w:line="240" w:lineRule="atLeast"/>
              <w:ind w:left="0" w:firstLine="0"/>
              <w:jc w:val="left"/>
              <w:rPr>
                <w:rFonts w:cs="Arial"/>
                <w:noProof/>
                <w:sz w:val="18"/>
                <w:szCs w:val="18"/>
                <w:lang w:val="en-US"/>
              </w:rPr>
            </w:pPr>
          </w:p>
        </w:tc>
        <w:tc>
          <w:tcPr>
            <w:tcW w:w="1578"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rPr>
            </w:pPr>
            <w:r w:rsidRPr="00C903F8">
              <w:rPr>
                <w:rFonts w:cs="Arial"/>
                <w:noProof/>
                <w:sz w:val="18"/>
                <w:szCs w:val="18"/>
              </w:rPr>
              <w:t>&gt; 40</w:t>
            </w:r>
          </w:p>
        </w:tc>
        <w:tc>
          <w:tcPr>
            <w:tcW w:w="21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rPr>
            </w:pPr>
            <w:r w:rsidRPr="00C903F8">
              <w:rPr>
                <w:rFonts w:cs="Arial"/>
                <w:noProof/>
                <w:sz w:val="18"/>
                <w:szCs w:val="18"/>
              </w:rPr>
              <w:t>18</w:t>
            </w:r>
          </w:p>
        </w:tc>
        <w:tc>
          <w:tcPr>
            <w:tcW w:w="195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center"/>
              <w:rPr>
                <w:rFonts w:cs="Arial"/>
                <w:noProof/>
                <w:sz w:val="18"/>
                <w:szCs w:val="18"/>
              </w:rPr>
            </w:pPr>
          </w:p>
        </w:tc>
      </w:tr>
      <w:tr w:rsidR="003D2554" w:rsidRPr="00505433" w:rsidTr="003D2554">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adjustRightInd w:val="0"/>
              <w:spacing w:before="60" w:after="60" w:line="240" w:lineRule="atLeast"/>
              <w:ind w:left="0" w:firstLine="0"/>
              <w:jc w:val="left"/>
              <w:rPr>
                <w:rFonts w:cs="Arial"/>
                <w:noProof/>
                <w:sz w:val="18"/>
                <w:szCs w:val="18"/>
                <w:lang w:val="en-US"/>
              </w:rPr>
            </w:pPr>
          </w:p>
        </w:tc>
        <w:tc>
          <w:tcPr>
            <w:tcW w:w="7057" w:type="dxa"/>
            <w:gridSpan w:val="4"/>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both"/>
              <w:rPr>
                <w:rFonts w:cs="Arial"/>
                <w:noProof/>
                <w:sz w:val="18"/>
                <w:szCs w:val="18"/>
                <w:lang w:val="en-US"/>
              </w:rPr>
            </w:pPr>
            <w:r w:rsidRPr="00C903F8">
              <w:rPr>
                <w:rFonts w:cs="Arial"/>
                <w:noProof/>
                <w:sz w:val="18"/>
                <w:szCs w:val="18"/>
                <w:lang w:val="en-US"/>
              </w:rPr>
              <w:t>For sail areas of more than 30 m</w:t>
            </w:r>
            <w:r w:rsidRPr="00C903F8">
              <w:rPr>
                <w:rFonts w:cs="Arial"/>
                <w:noProof/>
                <w:sz w:val="18"/>
                <w:szCs w:val="18"/>
                <w:vertAlign w:val="superscript"/>
                <w:lang w:val="en-US"/>
              </w:rPr>
              <w:t>2</w:t>
            </w:r>
            <w:r w:rsidRPr="00C903F8">
              <w:rPr>
                <w:rFonts w:cs="Arial"/>
                <w:noProof/>
                <w:sz w:val="18"/>
                <w:szCs w:val="18"/>
                <w:lang w:val="en-US"/>
              </w:rPr>
              <w:t>, the sheet shall take the form of a tackle or shall be capable of being operated by a winch</w:t>
            </w:r>
          </w:p>
        </w:tc>
      </w:tr>
      <w:tr w:rsidR="003D2554" w:rsidRPr="00C903F8" w:rsidTr="003D2554">
        <w:trPr>
          <w:cantSplit/>
          <w:jc w:val="center"/>
        </w:trPr>
        <w:tc>
          <w:tcPr>
            <w:tcW w:w="2229" w:type="dxa"/>
            <w:vMerge w:val="restart"/>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Gaff-/Top-sail sheets</w:t>
            </w:r>
          </w:p>
        </w:tc>
        <w:tc>
          <w:tcPr>
            <w:tcW w:w="1393" w:type="dxa"/>
            <w:vMerge w:val="restart"/>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Steel wire</w:t>
            </w:r>
          </w:p>
        </w:tc>
        <w:tc>
          <w:tcPr>
            <w:tcW w:w="1578"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&lt; 100</w:t>
            </w:r>
          </w:p>
        </w:tc>
        <w:tc>
          <w:tcPr>
            <w:tcW w:w="21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60</w:t>
            </w:r>
          </w:p>
        </w:tc>
        <w:tc>
          <w:tcPr>
            <w:tcW w:w="195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10</w:t>
            </w:r>
          </w:p>
        </w:tc>
      </w:tr>
      <w:tr w:rsidR="003D2554" w:rsidRPr="00C903F8" w:rsidTr="003D2554">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adjustRightInd w:val="0"/>
              <w:spacing w:before="60" w:after="60" w:line="240" w:lineRule="atLeast"/>
              <w:ind w:left="0" w:firstLine="0"/>
              <w:jc w:val="left"/>
              <w:rPr>
                <w:rFonts w:cs="Arial"/>
                <w:noProof/>
                <w:sz w:val="18"/>
                <w:szCs w:val="18"/>
                <w:lang w:val="en-US"/>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adjustRightInd w:val="0"/>
              <w:spacing w:before="60" w:after="60" w:line="240" w:lineRule="atLeast"/>
              <w:ind w:left="0" w:firstLine="0"/>
              <w:jc w:val="left"/>
              <w:rPr>
                <w:rFonts w:cs="Arial"/>
                <w:noProof/>
                <w:sz w:val="18"/>
                <w:szCs w:val="18"/>
                <w:lang w:val="en-US"/>
              </w:rPr>
            </w:pPr>
          </w:p>
        </w:tc>
        <w:tc>
          <w:tcPr>
            <w:tcW w:w="1578"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100 to 150</w:t>
            </w:r>
          </w:p>
        </w:tc>
        <w:tc>
          <w:tcPr>
            <w:tcW w:w="21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85</w:t>
            </w:r>
          </w:p>
        </w:tc>
        <w:tc>
          <w:tcPr>
            <w:tcW w:w="195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12</w:t>
            </w:r>
          </w:p>
        </w:tc>
      </w:tr>
      <w:tr w:rsidR="003D2554" w:rsidRPr="00C903F8" w:rsidTr="003D2554">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adjustRightInd w:val="0"/>
              <w:spacing w:before="60" w:after="60" w:line="240" w:lineRule="atLeast"/>
              <w:ind w:left="0" w:firstLine="0"/>
              <w:jc w:val="left"/>
              <w:rPr>
                <w:rFonts w:cs="Arial"/>
                <w:noProof/>
                <w:sz w:val="18"/>
                <w:szCs w:val="18"/>
                <w:lang w:val="en-US"/>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adjustRightInd w:val="0"/>
              <w:spacing w:before="60" w:after="60" w:line="240" w:lineRule="atLeast"/>
              <w:ind w:left="0" w:firstLine="0"/>
              <w:jc w:val="left"/>
              <w:rPr>
                <w:rFonts w:cs="Arial"/>
                <w:noProof/>
                <w:sz w:val="18"/>
                <w:szCs w:val="18"/>
                <w:lang w:val="en-US"/>
              </w:rPr>
            </w:pPr>
          </w:p>
        </w:tc>
        <w:tc>
          <w:tcPr>
            <w:tcW w:w="1578"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&gt; 150</w:t>
            </w:r>
          </w:p>
        </w:tc>
        <w:tc>
          <w:tcPr>
            <w:tcW w:w="2136"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116</w:t>
            </w:r>
          </w:p>
        </w:tc>
        <w:tc>
          <w:tcPr>
            <w:tcW w:w="1950"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14</w:t>
            </w:r>
          </w:p>
        </w:tc>
      </w:tr>
      <w:tr w:rsidR="003D2554" w:rsidRPr="00505433" w:rsidTr="003D2554">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adjustRightInd w:val="0"/>
              <w:spacing w:before="60" w:after="60" w:line="240" w:lineRule="atLeast"/>
              <w:ind w:left="0" w:firstLine="0"/>
              <w:jc w:val="left"/>
              <w:rPr>
                <w:rFonts w:cs="Arial"/>
                <w:noProof/>
                <w:sz w:val="18"/>
                <w:szCs w:val="18"/>
                <w:lang w:val="en-US"/>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adjustRightInd w:val="0"/>
              <w:spacing w:before="60" w:after="60" w:line="240" w:lineRule="atLeast"/>
              <w:ind w:left="0" w:firstLine="0"/>
              <w:jc w:val="left"/>
              <w:rPr>
                <w:rFonts w:cs="Arial"/>
                <w:noProof/>
                <w:sz w:val="18"/>
                <w:szCs w:val="18"/>
                <w:lang w:val="en-US"/>
              </w:rPr>
            </w:pPr>
          </w:p>
        </w:tc>
        <w:tc>
          <w:tcPr>
            <w:tcW w:w="5664" w:type="dxa"/>
            <w:gridSpan w:val="3"/>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both"/>
              <w:rPr>
                <w:rFonts w:cs="Arial"/>
                <w:noProof/>
                <w:sz w:val="18"/>
                <w:szCs w:val="18"/>
                <w:lang w:val="en-US"/>
              </w:rPr>
            </w:pPr>
            <w:r w:rsidRPr="00C903F8">
              <w:rPr>
                <w:rFonts w:cs="Arial"/>
                <w:noProof/>
                <w:sz w:val="18"/>
                <w:szCs w:val="18"/>
                <w:lang w:val="en-US"/>
              </w:rPr>
              <w:t>For top sail sheets, elastic connection elements (fore runners) are necessary.</w:t>
            </w:r>
          </w:p>
        </w:tc>
      </w:tr>
      <w:tr w:rsidR="003D2554" w:rsidRPr="00505433" w:rsidTr="003D2554">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adjustRightInd w:val="0"/>
              <w:spacing w:before="60" w:after="60" w:line="240" w:lineRule="atLeast"/>
              <w:ind w:left="0" w:firstLine="0"/>
              <w:jc w:val="left"/>
              <w:rPr>
                <w:rFonts w:cs="Arial"/>
                <w:noProof/>
                <w:sz w:val="18"/>
                <w:szCs w:val="18"/>
                <w:lang w:val="en-US"/>
              </w:rPr>
            </w:pPr>
          </w:p>
        </w:tc>
        <w:tc>
          <w:tcPr>
            <w:tcW w:w="1393"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Fibre (PP)</w:t>
            </w:r>
          </w:p>
        </w:tc>
        <w:tc>
          <w:tcPr>
            <w:tcW w:w="5664" w:type="dxa"/>
            <w:gridSpan w:val="3"/>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both"/>
              <w:rPr>
                <w:rFonts w:cs="Arial"/>
                <w:noProof/>
                <w:sz w:val="18"/>
                <w:szCs w:val="18"/>
                <w:lang w:val="en-US"/>
              </w:rPr>
            </w:pPr>
            <w:r w:rsidRPr="00C903F8">
              <w:rPr>
                <w:rFonts w:cs="Arial"/>
                <w:noProof/>
                <w:sz w:val="18"/>
                <w:szCs w:val="18"/>
                <w:lang w:val="en-US"/>
              </w:rPr>
              <w:t>Rope diameter of at least 18 mm and at least three rope sheaves. Where the sail area is greater than 60 m</w:t>
            </w:r>
            <w:r w:rsidRPr="00C903F8">
              <w:rPr>
                <w:rFonts w:cs="Arial"/>
                <w:noProof/>
                <w:sz w:val="18"/>
                <w:szCs w:val="18"/>
                <w:vertAlign w:val="superscript"/>
                <w:lang w:val="en-US"/>
              </w:rPr>
              <w:t>2</w:t>
            </w:r>
            <w:r w:rsidRPr="00C903F8">
              <w:rPr>
                <w:rFonts w:cs="Arial"/>
                <w:noProof/>
                <w:sz w:val="18"/>
                <w:szCs w:val="18"/>
                <w:lang w:val="en-US"/>
              </w:rPr>
              <w:t>, one rope sheave per 20</w:t>
            </w:r>
            <w:r w:rsidR="00A90B64" w:rsidRPr="00C903F8">
              <w:rPr>
                <w:rFonts w:cs="Arial"/>
                <w:noProof/>
                <w:sz w:val="18"/>
                <w:szCs w:val="18"/>
                <w:lang w:val="en-US"/>
              </w:rPr>
              <w:t> </w:t>
            </w:r>
            <w:r w:rsidRPr="00C903F8">
              <w:rPr>
                <w:rFonts w:cs="Arial"/>
                <w:noProof/>
                <w:sz w:val="18"/>
                <w:szCs w:val="18"/>
                <w:lang w:val="en-US"/>
              </w:rPr>
              <w:t>m</w:t>
            </w:r>
            <w:r w:rsidRPr="00C903F8">
              <w:rPr>
                <w:rFonts w:cs="Arial"/>
                <w:noProof/>
                <w:sz w:val="18"/>
                <w:szCs w:val="18"/>
                <w:vertAlign w:val="superscript"/>
                <w:lang w:val="en-US"/>
              </w:rPr>
              <w:t>2</w:t>
            </w:r>
          </w:p>
        </w:tc>
      </w:tr>
    </w:tbl>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2.</w:t>
      </w:r>
      <w:r w:rsidRPr="00C903F8">
        <w:rPr>
          <w:noProof/>
          <w:szCs w:val="20"/>
          <w:lang w:val="en-US"/>
        </w:rPr>
        <w:tab/>
        <w:t>Running rigging forming part of the staying shall have a tensile strength which corresponds to that of the respective stay or shrouds.</w:t>
      </w:r>
    </w:p>
    <w:p w:rsidR="003D2554" w:rsidRPr="00C903F8" w:rsidRDefault="003D2554" w:rsidP="003D2554">
      <w:pPr>
        <w:pStyle w:val="ESch"/>
        <w:rPr>
          <w:noProof/>
          <w:szCs w:val="20"/>
          <w:lang w:val="en-US"/>
        </w:rPr>
      </w:pPr>
    </w:p>
    <w:p w:rsidR="003D2554" w:rsidRPr="00C903F8" w:rsidRDefault="00B92309" w:rsidP="003D2554">
      <w:pPr>
        <w:pStyle w:val="ESch"/>
        <w:rPr>
          <w:rFonts w:cs="Arial"/>
          <w:szCs w:val="20"/>
          <w:lang w:val="en-US"/>
        </w:rPr>
      </w:pPr>
      <w:r w:rsidRPr="00C903F8">
        <w:rPr>
          <w:noProof/>
          <w:szCs w:val="20"/>
          <w:lang w:val="en-US"/>
        </w:rPr>
        <w:t>3.</w:t>
      </w:r>
      <w:r w:rsidR="003D2554" w:rsidRPr="00C903F8">
        <w:rPr>
          <w:noProof/>
          <w:szCs w:val="20"/>
          <w:lang w:val="en-US"/>
        </w:rPr>
        <w:tab/>
        <w:t xml:space="preserve">If materials other than those stated in </w:t>
      </w:r>
      <w:r w:rsidR="00FD1E75" w:rsidRPr="00C903F8">
        <w:rPr>
          <w:noProof/>
          <w:szCs w:val="20"/>
          <w:lang w:val="en-US"/>
        </w:rPr>
        <w:t>(</w:t>
      </w:r>
      <w:r w:rsidR="003D2554" w:rsidRPr="00C903F8">
        <w:rPr>
          <w:noProof/>
          <w:szCs w:val="20"/>
          <w:lang w:val="en-US"/>
        </w:rPr>
        <w:t>1</w:t>
      </w:r>
      <w:r w:rsidR="00FD1E75" w:rsidRPr="00C903F8">
        <w:rPr>
          <w:noProof/>
          <w:szCs w:val="20"/>
          <w:lang w:val="en-US"/>
        </w:rPr>
        <w:t>)</w:t>
      </w:r>
      <w:r w:rsidR="003D2554" w:rsidRPr="00C903F8">
        <w:rPr>
          <w:noProof/>
          <w:szCs w:val="20"/>
          <w:lang w:val="en-US"/>
        </w:rPr>
        <w:t xml:space="preserve"> are used, the strength values given in the table in </w:t>
      </w:r>
      <w:r w:rsidR="00FD1E75" w:rsidRPr="00C903F8">
        <w:rPr>
          <w:noProof/>
          <w:szCs w:val="20"/>
          <w:lang w:val="en-US"/>
        </w:rPr>
        <w:t>(</w:t>
      </w:r>
      <w:r w:rsidR="003D2554" w:rsidRPr="00C903F8">
        <w:rPr>
          <w:noProof/>
          <w:szCs w:val="20"/>
          <w:lang w:val="en-US"/>
        </w:rPr>
        <w:t>1</w:t>
      </w:r>
      <w:r w:rsidR="00FD1E75" w:rsidRPr="00C903F8">
        <w:rPr>
          <w:noProof/>
          <w:szCs w:val="20"/>
          <w:lang w:val="en-US"/>
        </w:rPr>
        <w:t>)</w:t>
      </w:r>
      <w:r w:rsidR="003D2554" w:rsidRPr="00C903F8">
        <w:rPr>
          <w:noProof/>
          <w:szCs w:val="20"/>
          <w:lang w:val="en-US"/>
        </w:rPr>
        <w:t xml:space="preserve"> shall be complied with.</w:t>
      </w:r>
    </w:p>
    <w:p w:rsidR="003D2554" w:rsidRPr="00C903F8" w:rsidRDefault="003D2554" w:rsidP="003D2554">
      <w:pPr>
        <w:pStyle w:val="ESch"/>
        <w:rPr>
          <w:noProof/>
          <w:szCs w:val="20"/>
          <w:lang w:val="en-US"/>
        </w:rPr>
      </w:pPr>
    </w:p>
    <w:p w:rsidR="003D2554" w:rsidRPr="00C903F8" w:rsidRDefault="003D2554" w:rsidP="003D2554">
      <w:pPr>
        <w:pStyle w:val="ESchpar"/>
        <w:rPr>
          <w:rFonts w:cs="Arial"/>
          <w:lang w:val="en-US"/>
        </w:rPr>
      </w:pPr>
      <w:r w:rsidRPr="00C903F8">
        <w:rPr>
          <w:noProof/>
          <w:lang w:val="en-US"/>
        </w:rPr>
        <w:t>Fibre ropes of polyethylene shall not be used</w:t>
      </w:r>
      <w:r w:rsidR="00F46634" w:rsidRPr="00C903F8">
        <w:rPr>
          <w:noProof/>
          <w:lang w:val="en-US"/>
        </w:rPr>
        <w:t>.</w:t>
      </w:r>
    </w:p>
    <w:p w:rsidR="003D2554" w:rsidRPr="00C903F8" w:rsidRDefault="003D2554" w:rsidP="003D2554">
      <w:pPr>
        <w:pStyle w:val="ESch"/>
        <w:rPr>
          <w:rFonts w:cs="Arial"/>
          <w:szCs w:val="20"/>
          <w:lang w:val="en-US"/>
        </w:rPr>
      </w:pPr>
    </w:p>
    <w:p w:rsidR="003D2554" w:rsidRPr="00C903F8" w:rsidRDefault="003D2554" w:rsidP="003D2554">
      <w:pPr>
        <w:pStyle w:val="ESch"/>
        <w:rPr>
          <w:rFonts w:cs="Arial"/>
          <w:szCs w:val="20"/>
          <w:lang w:val="en-US"/>
        </w:rPr>
      </w:pPr>
    </w:p>
    <w:p w:rsidR="003D2554" w:rsidRPr="00C903F8" w:rsidRDefault="003D2554" w:rsidP="003D2554">
      <w:pPr>
        <w:pStyle w:val="ES-Titre3"/>
        <w:rPr>
          <w:rFonts w:cs="Arial"/>
          <w:i/>
          <w:lang w:val="en-US"/>
        </w:rPr>
      </w:pPr>
      <w:bookmarkStart w:id="213" w:name="_Toc491854201"/>
      <w:r w:rsidRPr="00C903F8">
        <w:rPr>
          <w:noProof/>
          <w:lang w:val="en-US"/>
        </w:rPr>
        <w:t>Article 20.16</w:t>
      </w:r>
      <w:r w:rsidRPr="00C903F8">
        <w:rPr>
          <w:noProof/>
          <w:lang w:val="en-US"/>
        </w:rPr>
        <w:br/>
      </w:r>
      <w:r w:rsidRPr="00C903F8">
        <w:rPr>
          <w:i/>
          <w:noProof/>
          <w:lang w:val="en-US"/>
        </w:rPr>
        <w:t>Fittings and parts of the rigging</w:t>
      </w:r>
      <w:bookmarkEnd w:id="213"/>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1.</w:t>
      </w:r>
      <w:r w:rsidRPr="00C903F8">
        <w:rPr>
          <w:noProof/>
          <w:szCs w:val="20"/>
          <w:lang w:val="en-US"/>
        </w:rPr>
        <w:tab/>
        <w:t>If steel wire ropes or fibre ropes are used, the diameters of the rope sheaves (measured from centre of rope to centre of rope) shall meet the following minimum requirements:</w:t>
      </w:r>
    </w:p>
    <w:p w:rsidR="003D2554" w:rsidRPr="00C903F8" w:rsidRDefault="003D2554" w:rsidP="003D2554">
      <w:pPr>
        <w:pStyle w:val="ESch"/>
        <w:rPr>
          <w:noProof/>
          <w:szCs w:val="20"/>
          <w:lang w:val="en-US"/>
        </w:rPr>
      </w:pPr>
    </w:p>
    <w:tbl>
      <w:tblPr>
        <w:tblW w:w="0" w:type="auto"/>
        <w:jc w:val="center"/>
        <w:tblLayout w:type="fixed"/>
        <w:tblLook w:val="0000" w:firstRow="0" w:lastRow="0" w:firstColumn="0" w:lastColumn="0" w:noHBand="0" w:noVBand="0"/>
      </w:tblPr>
      <w:tblGrid>
        <w:gridCol w:w="2268"/>
        <w:gridCol w:w="567"/>
        <w:gridCol w:w="567"/>
        <w:gridCol w:w="567"/>
        <w:gridCol w:w="567"/>
        <w:gridCol w:w="567"/>
        <w:gridCol w:w="567"/>
        <w:gridCol w:w="567"/>
      </w:tblGrid>
      <w:tr w:rsidR="003D2554" w:rsidRPr="00C903F8" w:rsidTr="00A90B64">
        <w:trPr>
          <w:cantSplit/>
          <w:jc w:val="center"/>
        </w:trPr>
        <w:tc>
          <w:tcPr>
            <w:tcW w:w="2268"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 xml:space="preserve">Steel wire </w:t>
            </w:r>
            <w:r w:rsidR="00790FAC" w:rsidRPr="00C903F8">
              <w:rPr>
                <w:noProof/>
                <w:sz w:val="18"/>
                <w:szCs w:val="18"/>
                <w:lang w:bidi="fr-FR"/>
              </w:rPr>
              <w:t>[mm]</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6</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7</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8</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9</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10</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11</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12</w:t>
            </w:r>
          </w:p>
        </w:tc>
      </w:tr>
      <w:tr w:rsidR="003D2554" w:rsidRPr="00C903F8" w:rsidTr="00A90B64">
        <w:trPr>
          <w:cantSplit/>
          <w:jc w:val="center"/>
        </w:trPr>
        <w:tc>
          <w:tcPr>
            <w:tcW w:w="2268"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3D2554">
            <w:pPr>
              <w:pStyle w:val="NormalLeft"/>
              <w:spacing w:before="60" w:after="60" w:line="240" w:lineRule="atLeast"/>
              <w:ind w:left="0" w:firstLine="0"/>
              <w:rPr>
                <w:rFonts w:cs="Arial"/>
                <w:noProof/>
                <w:sz w:val="18"/>
                <w:szCs w:val="18"/>
              </w:rPr>
            </w:pPr>
            <w:r w:rsidRPr="00C903F8">
              <w:rPr>
                <w:rFonts w:cs="Arial"/>
                <w:noProof/>
                <w:sz w:val="18"/>
                <w:szCs w:val="18"/>
              </w:rPr>
              <w:t xml:space="preserve">Fibre </w:t>
            </w:r>
            <w:r w:rsidR="00790FAC" w:rsidRPr="00C903F8">
              <w:rPr>
                <w:noProof/>
                <w:sz w:val="18"/>
                <w:szCs w:val="18"/>
                <w:lang w:bidi="fr-FR"/>
              </w:rPr>
              <w:t>[mm]</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16</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18</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20</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22</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24</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26</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28</w:t>
            </w:r>
          </w:p>
        </w:tc>
      </w:tr>
      <w:tr w:rsidR="003D2554" w:rsidRPr="00C903F8" w:rsidTr="00A90B64">
        <w:trPr>
          <w:cantSplit/>
          <w:jc w:val="center"/>
        </w:trPr>
        <w:tc>
          <w:tcPr>
            <w:tcW w:w="2268" w:type="dxa"/>
            <w:tcBorders>
              <w:top w:val="single" w:sz="2" w:space="0" w:color="auto"/>
              <w:left w:val="single" w:sz="2" w:space="0" w:color="auto"/>
              <w:bottom w:val="single" w:sz="2" w:space="0" w:color="auto"/>
              <w:right w:val="single" w:sz="2" w:space="0" w:color="auto"/>
            </w:tcBorders>
            <w:vAlign w:val="center"/>
          </w:tcPr>
          <w:p w:rsidR="003D2554" w:rsidRPr="00C903F8" w:rsidRDefault="00790FAC" w:rsidP="003D2554">
            <w:pPr>
              <w:pStyle w:val="NormalLeft"/>
              <w:spacing w:before="60" w:after="60" w:line="240" w:lineRule="atLeast"/>
              <w:ind w:left="0" w:firstLine="0"/>
              <w:rPr>
                <w:rFonts w:cs="Arial"/>
                <w:noProof/>
                <w:sz w:val="18"/>
                <w:szCs w:val="18"/>
              </w:rPr>
            </w:pPr>
            <w:r w:rsidRPr="00C903F8">
              <w:rPr>
                <w:rFonts w:cs="Arial"/>
                <w:noProof/>
                <w:sz w:val="18"/>
                <w:szCs w:val="18"/>
              </w:rPr>
              <w:t xml:space="preserve">Rope sheave </w:t>
            </w:r>
            <w:r w:rsidRPr="00C903F8">
              <w:rPr>
                <w:noProof/>
                <w:sz w:val="18"/>
                <w:szCs w:val="18"/>
                <w:lang w:bidi="fr-FR"/>
              </w:rPr>
              <w:t>[mm]</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100</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110</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120</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130</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145</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155</w:t>
            </w:r>
          </w:p>
        </w:tc>
        <w:tc>
          <w:tcPr>
            <w:tcW w:w="567" w:type="dxa"/>
            <w:tcBorders>
              <w:top w:val="single" w:sz="2" w:space="0" w:color="auto"/>
              <w:left w:val="single" w:sz="2" w:space="0" w:color="auto"/>
              <w:bottom w:val="single" w:sz="2" w:space="0" w:color="auto"/>
              <w:right w:val="single" w:sz="2" w:space="0" w:color="auto"/>
            </w:tcBorders>
            <w:vAlign w:val="center"/>
          </w:tcPr>
          <w:p w:rsidR="003D2554" w:rsidRPr="00C903F8" w:rsidRDefault="003D2554" w:rsidP="00A90B64">
            <w:pPr>
              <w:pStyle w:val="NormalLeft"/>
              <w:spacing w:before="60" w:after="60" w:line="240" w:lineRule="atLeast"/>
              <w:ind w:left="0" w:firstLine="0"/>
              <w:jc w:val="right"/>
              <w:rPr>
                <w:rFonts w:cs="Arial"/>
                <w:noProof/>
                <w:sz w:val="18"/>
                <w:szCs w:val="18"/>
              </w:rPr>
            </w:pPr>
            <w:r w:rsidRPr="00C903F8">
              <w:rPr>
                <w:rFonts w:cs="Arial"/>
                <w:noProof/>
                <w:sz w:val="18"/>
                <w:szCs w:val="18"/>
              </w:rPr>
              <w:t>165</w:t>
            </w:r>
          </w:p>
        </w:tc>
      </w:tr>
    </w:tbl>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2.</w:t>
      </w:r>
      <w:r w:rsidRPr="00C903F8">
        <w:rPr>
          <w:noProof/>
          <w:szCs w:val="20"/>
          <w:lang w:val="en-US"/>
        </w:rPr>
        <w:tab/>
        <w:t xml:space="preserve">By way of derogation from </w:t>
      </w:r>
      <w:r w:rsidR="007E1D94" w:rsidRPr="00C903F8">
        <w:rPr>
          <w:noProof/>
          <w:szCs w:val="20"/>
          <w:lang w:val="en-US"/>
        </w:rPr>
        <w:t>(</w:t>
      </w:r>
      <w:r w:rsidRPr="00C903F8">
        <w:rPr>
          <w:noProof/>
          <w:szCs w:val="20"/>
          <w:lang w:val="en-US"/>
        </w:rPr>
        <w:t>1</w:t>
      </w:r>
      <w:r w:rsidR="007E1D94" w:rsidRPr="00C903F8">
        <w:rPr>
          <w:noProof/>
          <w:szCs w:val="20"/>
          <w:lang w:val="en-US"/>
        </w:rPr>
        <w:t>)</w:t>
      </w:r>
      <w:r w:rsidRPr="00C903F8">
        <w:rPr>
          <w:noProof/>
          <w:szCs w:val="20"/>
          <w:lang w:val="en-US"/>
        </w:rPr>
        <w:t>, the diameter of the rope sheaves may be equal to six times the diameter of the steel wire, provided that the steel wire does not constantly run over sheaves.</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3. </w:t>
      </w:r>
      <w:r w:rsidRPr="00C903F8">
        <w:rPr>
          <w:noProof/>
          <w:szCs w:val="20"/>
          <w:lang w:val="en-US"/>
        </w:rPr>
        <w:tab/>
        <w:t>The tensile strength of the fittings (e.g. forks, round eyes, turnbuckles, eye-plates, bolts, rings and shackles) shall be compatible with the tensile strength of the standing or running rigging that is attached to them.</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4.</w:t>
      </w:r>
      <w:r w:rsidRPr="00C903F8">
        <w:rPr>
          <w:noProof/>
          <w:szCs w:val="20"/>
          <w:lang w:val="en-US"/>
        </w:rPr>
        <w:tab/>
        <w:t>The fastenings of stay and shroud futtocks shall be designed to take up the forces they are subjected to.</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5.</w:t>
      </w:r>
      <w:r w:rsidRPr="00C903F8">
        <w:rPr>
          <w:noProof/>
          <w:szCs w:val="20"/>
          <w:lang w:val="en-US"/>
        </w:rPr>
        <w:tab/>
        <w:t>Only one shackle, along with the relevant stay or shroud, may be attached to each eye.</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6.</w:t>
      </w:r>
      <w:r w:rsidRPr="00C903F8">
        <w:rPr>
          <w:noProof/>
          <w:szCs w:val="20"/>
          <w:lang w:val="en-US"/>
        </w:rPr>
        <w:tab/>
        <w:t>Blocks of halyards and topping lifts shall be securely fastened to the mast, and the revolving crowfeet used for this purpose shall be in good condition.</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7.</w:t>
      </w:r>
      <w:r w:rsidRPr="00C903F8">
        <w:rPr>
          <w:noProof/>
          <w:szCs w:val="20"/>
          <w:lang w:val="en-US"/>
        </w:rPr>
        <w:tab/>
        <w:t>Attachments of eye-bolts, cleats, belaying pins and fife-rails shall be designed to cope with the forces they are subjected to.</w:t>
      </w:r>
    </w:p>
    <w:p w:rsidR="003D2554" w:rsidRPr="00C903F8" w:rsidRDefault="00A90B64" w:rsidP="003D2554">
      <w:pPr>
        <w:pStyle w:val="ESch"/>
        <w:rPr>
          <w:rFonts w:cs="Arial"/>
          <w:szCs w:val="20"/>
          <w:lang w:val="en-US"/>
        </w:rPr>
      </w:pPr>
      <w:r w:rsidRPr="00C903F8">
        <w:rPr>
          <w:rFonts w:cs="Arial"/>
          <w:szCs w:val="20"/>
          <w:lang w:val="en-US"/>
        </w:rPr>
        <w:br w:type="page"/>
      </w:r>
    </w:p>
    <w:p w:rsidR="003D2554" w:rsidRPr="00C903F8" w:rsidRDefault="003D2554" w:rsidP="003D2554">
      <w:pPr>
        <w:pStyle w:val="ES-Titre3"/>
        <w:rPr>
          <w:rFonts w:cs="Arial"/>
          <w:i/>
          <w:lang w:val="en-US"/>
        </w:rPr>
      </w:pPr>
      <w:bookmarkStart w:id="214" w:name="_Toc491854202"/>
      <w:r w:rsidRPr="00C903F8">
        <w:rPr>
          <w:noProof/>
          <w:lang w:val="en-US"/>
        </w:rPr>
        <w:lastRenderedPageBreak/>
        <w:t>Article 20.17</w:t>
      </w:r>
      <w:r w:rsidRPr="00C903F8">
        <w:rPr>
          <w:noProof/>
          <w:lang w:val="en-US"/>
        </w:rPr>
        <w:br/>
      </w:r>
      <w:r w:rsidRPr="00C903F8">
        <w:rPr>
          <w:bCs/>
          <w:i/>
          <w:noProof/>
          <w:lang w:val="en-US"/>
        </w:rPr>
        <w:t>Sails</w:t>
      </w:r>
      <w:bookmarkEnd w:id="214"/>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1.</w:t>
      </w:r>
      <w:r w:rsidRPr="00C903F8">
        <w:rPr>
          <w:noProof/>
          <w:szCs w:val="20"/>
          <w:lang w:val="en-US"/>
        </w:rPr>
        <w:tab/>
        <w:t>It shall be ensured that sails can be taken in simply, swiftly and safely.</w:t>
      </w:r>
    </w:p>
    <w:p w:rsidR="00001079" w:rsidRPr="00C903F8" w:rsidRDefault="00001079"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2.</w:t>
      </w:r>
      <w:r w:rsidRPr="00C903F8">
        <w:rPr>
          <w:noProof/>
          <w:szCs w:val="20"/>
          <w:lang w:val="en-US"/>
        </w:rPr>
        <w:tab/>
        <w:t>The sail area shall be appropriate for the type of vessel and the water displacement.</w:t>
      </w:r>
    </w:p>
    <w:p w:rsidR="003D2554" w:rsidRPr="00C903F8" w:rsidRDefault="003D2554" w:rsidP="003D2554">
      <w:pPr>
        <w:pStyle w:val="ESch"/>
        <w:rPr>
          <w:rFonts w:cs="Arial"/>
          <w:szCs w:val="20"/>
          <w:lang w:val="en-US"/>
        </w:rPr>
      </w:pPr>
    </w:p>
    <w:p w:rsidR="003D2554" w:rsidRPr="00C903F8" w:rsidRDefault="003D2554" w:rsidP="003D2554">
      <w:pPr>
        <w:pStyle w:val="ESch"/>
        <w:rPr>
          <w:rFonts w:cs="Arial"/>
          <w:szCs w:val="20"/>
          <w:lang w:val="en-US"/>
        </w:rPr>
      </w:pPr>
    </w:p>
    <w:p w:rsidR="003D2554" w:rsidRPr="00C903F8" w:rsidRDefault="003D2554" w:rsidP="003D2554">
      <w:pPr>
        <w:pStyle w:val="ES-Titre3"/>
        <w:rPr>
          <w:rFonts w:cs="Arial"/>
          <w:i/>
          <w:lang w:val="en-US"/>
        </w:rPr>
      </w:pPr>
      <w:bookmarkStart w:id="215" w:name="_Toc491854203"/>
      <w:r w:rsidRPr="00C903F8">
        <w:rPr>
          <w:noProof/>
          <w:lang w:val="en-US"/>
        </w:rPr>
        <w:t>Article 20.18</w:t>
      </w:r>
      <w:r w:rsidRPr="00C903F8">
        <w:rPr>
          <w:noProof/>
          <w:lang w:val="en-US"/>
        </w:rPr>
        <w:br/>
      </w:r>
      <w:r w:rsidRPr="00C903F8">
        <w:rPr>
          <w:bCs/>
          <w:i/>
          <w:noProof/>
          <w:lang w:val="en-US"/>
        </w:rPr>
        <w:t>Equipment</w:t>
      </w:r>
      <w:bookmarkEnd w:id="215"/>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 xml:space="preserve">1. </w:t>
      </w:r>
      <w:r w:rsidRPr="00C903F8">
        <w:rPr>
          <w:noProof/>
          <w:szCs w:val="20"/>
          <w:lang w:val="en-US"/>
        </w:rPr>
        <w:tab/>
        <w:t>Vessels that are fitted with a jib-boom or a bowsprit shall have a jib-net and an adequate number of appropriate holding and tensioning devices.</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2.</w:t>
      </w:r>
      <w:r w:rsidRPr="00C903F8">
        <w:rPr>
          <w:noProof/>
          <w:szCs w:val="20"/>
          <w:lang w:val="en-US"/>
        </w:rPr>
        <w:tab/>
        <w:t xml:space="preserve">The equipment according to </w:t>
      </w:r>
      <w:r w:rsidR="007E1D94" w:rsidRPr="00C903F8">
        <w:rPr>
          <w:noProof/>
          <w:szCs w:val="20"/>
          <w:lang w:val="en-US"/>
        </w:rPr>
        <w:t>(</w:t>
      </w:r>
      <w:r w:rsidRPr="00C903F8">
        <w:rPr>
          <w:noProof/>
          <w:szCs w:val="20"/>
          <w:lang w:val="en-US"/>
        </w:rPr>
        <w:t>1</w:t>
      </w:r>
      <w:r w:rsidR="007E1D94" w:rsidRPr="00C903F8">
        <w:rPr>
          <w:noProof/>
          <w:szCs w:val="20"/>
          <w:lang w:val="en-US"/>
        </w:rPr>
        <w:t>)</w:t>
      </w:r>
      <w:r w:rsidRPr="00C903F8">
        <w:rPr>
          <w:noProof/>
          <w:szCs w:val="20"/>
          <w:lang w:val="en-US"/>
        </w:rPr>
        <w:t xml:space="preserve"> may be dispensed with if the jib-boom or bowsprit is equipped with a hand becket and a foot rope adequately dimensioned to allow for the attachment of a safety harness to be carried on board.</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3.</w:t>
      </w:r>
      <w:r w:rsidRPr="00C903F8">
        <w:rPr>
          <w:noProof/>
          <w:szCs w:val="20"/>
          <w:lang w:val="en-US"/>
        </w:rPr>
        <w:tab/>
        <w:t>For work on the rigging, a boatswain’s chair shall be provided.</w:t>
      </w:r>
    </w:p>
    <w:p w:rsidR="003D2554" w:rsidRPr="00C903F8" w:rsidRDefault="003D2554" w:rsidP="003D2554">
      <w:pPr>
        <w:pStyle w:val="ESch"/>
        <w:rPr>
          <w:rFonts w:cs="Arial"/>
          <w:szCs w:val="20"/>
          <w:lang w:val="en-US"/>
        </w:rPr>
      </w:pPr>
    </w:p>
    <w:p w:rsidR="003D2554" w:rsidRPr="00C903F8" w:rsidRDefault="003D2554" w:rsidP="003D2554">
      <w:pPr>
        <w:pStyle w:val="ESch"/>
        <w:rPr>
          <w:rFonts w:cs="Arial"/>
          <w:szCs w:val="20"/>
          <w:lang w:val="en-US"/>
        </w:rPr>
      </w:pPr>
    </w:p>
    <w:p w:rsidR="003D2554" w:rsidRPr="00C903F8" w:rsidRDefault="003D2554" w:rsidP="003D2554">
      <w:pPr>
        <w:pStyle w:val="ES-Titre3"/>
        <w:rPr>
          <w:rFonts w:cs="Arial"/>
          <w:i/>
          <w:lang w:val="en-US"/>
        </w:rPr>
      </w:pPr>
      <w:bookmarkStart w:id="216" w:name="_Toc491854204"/>
      <w:r w:rsidRPr="00C903F8">
        <w:rPr>
          <w:noProof/>
          <w:lang w:val="en-US"/>
        </w:rPr>
        <w:t>Article 20.19</w:t>
      </w:r>
      <w:r w:rsidRPr="00C903F8">
        <w:rPr>
          <w:noProof/>
          <w:lang w:val="en-US"/>
        </w:rPr>
        <w:br/>
      </w:r>
      <w:r w:rsidRPr="00C903F8">
        <w:rPr>
          <w:bCs/>
          <w:i/>
          <w:noProof/>
          <w:lang w:val="en-US"/>
        </w:rPr>
        <w:t>Testing</w:t>
      </w:r>
      <w:bookmarkEnd w:id="216"/>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1.</w:t>
      </w:r>
      <w:r w:rsidRPr="00C903F8">
        <w:rPr>
          <w:noProof/>
          <w:szCs w:val="20"/>
          <w:lang w:val="en-US"/>
        </w:rPr>
        <w:tab/>
        <w:t>The rigging shall be tested by the inspection body every 2,5 years. As a minimum, the test shall cover the following:</w:t>
      </w:r>
    </w:p>
    <w:p w:rsidR="003D2554" w:rsidRPr="00C903F8" w:rsidRDefault="005C7859" w:rsidP="003D2554">
      <w:pPr>
        <w:pStyle w:val="ESlet"/>
        <w:rPr>
          <w:rFonts w:cs="Arial"/>
          <w:lang w:val="en-US"/>
        </w:rPr>
      </w:pPr>
      <w:r w:rsidRPr="00C903F8">
        <w:rPr>
          <w:noProof/>
          <w:lang w:val="en-US"/>
        </w:rPr>
        <w:t>a)</w:t>
      </w:r>
      <w:r w:rsidR="003D2554" w:rsidRPr="00C903F8">
        <w:rPr>
          <w:noProof/>
          <w:lang w:val="en-US"/>
        </w:rPr>
        <w:tab/>
        <w:t>the sails, including leeches, clews and reef eyes;</w:t>
      </w:r>
    </w:p>
    <w:p w:rsidR="003D2554" w:rsidRPr="00C903F8" w:rsidRDefault="005C7859" w:rsidP="003D2554">
      <w:pPr>
        <w:pStyle w:val="ESlet"/>
        <w:rPr>
          <w:rFonts w:cs="Arial"/>
          <w:lang w:val="en-US"/>
        </w:rPr>
      </w:pPr>
      <w:r w:rsidRPr="00C903F8">
        <w:rPr>
          <w:noProof/>
          <w:lang w:val="en-US"/>
        </w:rPr>
        <w:t>b)</w:t>
      </w:r>
      <w:r w:rsidR="003D2554" w:rsidRPr="00C903F8">
        <w:rPr>
          <w:noProof/>
          <w:lang w:val="en-US"/>
        </w:rPr>
        <w:tab/>
        <w:t>the state of the masts and spars;</w:t>
      </w:r>
    </w:p>
    <w:p w:rsidR="003D2554" w:rsidRPr="00C903F8" w:rsidRDefault="005C7859" w:rsidP="003D2554">
      <w:pPr>
        <w:pStyle w:val="ESlet"/>
        <w:rPr>
          <w:rFonts w:cs="Arial"/>
          <w:lang w:val="en-US"/>
        </w:rPr>
      </w:pPr>
      <w:r w:rsidRPr="00C903F8">
        <w:rPr>
          <w:noProof/>
          <w:lang w:val="en-US"/>
        </w:rPr>
        <w:t>c)</w:t>
      </w:r>
      <w:r w:rsidR="003D2554" w:rsidRPr="00C903F8">
        <w:rPr>
          <w:noProof/>
          <w:lang w:val="en-US"/>
        </w:rPr>
        <w:tab/>
        <w:t>the state of the standing and running rigging together with cable wire connections;</w:t>
      </w:r>
    </w:p>
    <w:p w:rsidR="003D2554" w:rsidRPr="00C903F8" w:rsidRDefault="0029453D" w:rsidP="003D2554">
      <w:pPr>
        <w:pStyle w:val="ESlet"/>
        <w:rPr>
          <w:rFonts w:cs="Arial"/>
          <w:lang w:val="en-US"/>
        </w:rPr>
      </w:pPr>
      <w:r w:rsidRPr="00C903F8">
        <w:rPr>
          <w:noProof/>
          <w:lang w:val="en-US"/>
        </w:rPr>
        <w:t>d)</w:t>
      </w:r>
      <w:r w:rsidR="003D2554" w:rsidRPr="00C903F8">
        <w:rPr>
          <w:noProof/>
          <w:lang w:val="en-US"/>
        </w:rPr>
        <w:tab/>
        <w:t>facilities for taking in the sail swiftly and safely;</w:t>
      </w:r>
    </w:p>
    <w:p w:rsidR="003D2554" w:rsidRPr="00C903F8" w:rsidRDefault="0029453D" w:rsidP="003D2554">
      <w:pPr>
        <w:pStyle w:val="ESlet"/>
        <w:rPr>
          <w:rFonts w:cs="Arial"/>
          <w:lang w:val="en-US"/>
        </w:rPr>
      </w:pPr>
      <w:r w:rsidRPr="00C903F8">
        <w:rPr>
          <w:noProof/>
          <w:lang w:val="en-US"/>
        </w:rPr>
        <w:t>e)</w:t>
      </w:r>
      <w:r w:rsidR="003D2554" w:rsidRPr="00C903F8">
        <w:rPr>
          <w:noProof/>
          <w:lang w:val="en-US"/>
        </w:rPr>
        <w:tab/>
        <w:t>the secure fastening of blocks of halyards and topping lifts;</w:t>
      </w:r>
    </w:p>
    <w:p w:rsidR="003D2554" w:rsidRPr="00C903F8" w:rsidRDefault="0029453D" w:rsidP="003D2554">
      <w:pPr>
        <w:pStyle w:val="ESlet"/>
        <w:rPr>
          <w:rFonts w:cs="Arial"/>
          <w:lang w:val="en-US"/>
        </w:rPr>
      </w:pPr>
      <w:r w:rsidRPr="00C903F8">
        <w:rPr>
          <w:noProof/>
          <w:lang w:val="en-US"/>
        </w:rPr>
        <w:t>f)</w:t>
      </w:r>
      <w:r w:rsidR="003D2554" w:rsidRPr="00C903F8">
        <w:rPr>
          <w:noProof/>
          <w:lang w:val="en-US"/>
        </w:rPr>
        <w:tab/>
        <w:t>the fastening of mast trunks and other fastening points for standing and running rigging that are attached to the vessel;</w:t>
      </w:r>
    </w:p>
    <w:p w:rsidR="003D2554" w:rsidRPr="00C903F8" w:rsidRDefault="0029453D" w:rsidP="003D2554">
      <w:pPr>
        <w:pStyle w:val="ESlet"/>
        <w:rPr>
          <w:rFonts w:cs="Arial"/>
          <w:lang w:val="en-US"/>
        </w:rPr>
      </w:pPr>
      <w:r w:rsidRPr="00C903F8">
        <w:rPr>
          <w:noProof/>
          <w:lang w:val="en-US"/>
        </w:rPr>
        <w:t>g)</w:t>
      </w:r>
      <w:r w:rsidR="003D2554" w:rsidRPr="00C903F8">
        <w:rPr>
          <w:noProof/>
          <w:lang w:val="en-US"/>
        </w:rPr>
        <w:tab/>
        <w:t>the winches for operating the sails;</w:t>
      </w:r>
    </w:p>
    <w:p w:rsidR="003D2554" w:rsidRPr="00C903F8" w:rsidRDefault="0029453D" w:rsidP="003D2554">
      <w:pPr>
        <w:pStyle w:val="ESlet"/>
        <w:rPr>
          <w:rFonts w:cs="Arial"/>
          <w:lang w:val="en-US"/>
        </w:rPr>
      </w:pPr>
      <w:r w:rsidRPr="00C903F8">
        <w:rPr>
          <w:noProof/>
          <w:lang w:val="en-US"/>
        </w:rPr>
        <w:t>h)</w:t>
      </w:r>
      <w:r w:rsidR="003D2554" w:rsidRPr="00C903F8">
        <w:rPr>
          <w:noProof/>
          <w:lang w:val="en-US"/>
        </w:rPr>
        <w:tab/>
        <w:t>other facilities fitted for the purposes of sailing, such as lee-boards and the fittings for operating them;</w:t>
      </w:r>
    </w:p>
    <w:p w:rsidR="003D2554" w:rsidRPr="00C903F8" w:rsidRDefault="0029453D" w:rsidP="003D2554">
      <w:pPr>
        <w:pStyle w:val="ESlet"/>
        <w:rPr>
          <w:rFonts w:cs="Arial"/>
          <w:lang w:val="en-US"/>
        </w:rPr>
      </w:pPr>
      <w:r w:rsidRPr="00C903F8">
        <w:rPr>
          <w:noProof/>
          <w:lang w:val="en-US"/>
        </w:rPr>
        <w:t>i)</w:t>
      </w:r>
      <w:r w:rsidR="003D2554" w:rsidRPr="00C903F8">
        <w:rPr>
          <w:noProof/>
          <w:lang w:val="en-US"/>
        </w:rPr>
        <w:tab/>
        <w:t>the measures taken to prevent the chafing of the spars, the running and standing rigging and the sails;</w:t>
      </w:r>
    </w:p>
    <w:p w:rsidR="003D2554" w:rsidRPr="00C903F8" w:rsidRDefault="005B0BB8" w:rsidP="003D2554">
      <w:pPr>
        <w:pStyle w:val="ESlet"/>
        <w:rPr>
          <w:rFonts w:cs="Arial"/>
          <w:lang w:val="en-US"/>
        </w:rPr>
      </w:pPr>
      <w:r w:rsidRPr="00C903F8">
        <w:rPr>
          <w:noProof/>
          <w:lang w:val="en-US"/>
        </w:rPr>
        <w:t>(</w:t>
      </w:r>
      <w:r w:rsidR="003D2554" w:rsidRPr="00C903F8">
        <w:rPr>
          <w:noProof/>
          <w:lang w:val="en-US"/>
        </w:rPr>
        <w:t>j)</w:t>
      </w:r>
      <w:r w:rsidR="003D2554" w:rsidRPr="00C903F8">
        <w:rPr>
          <w:noProof/>
          <w:lang w:val="en-US"/>
        </w:rPr>
        <w:tab/>
        <w:t>the equipment according to Article 20.18.</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2.</w:t>
      </w:r>
      <w:r w:rsidRPr="00C903F8">
        <w:rPr>
          <w:noProof/>
          <w:szCs w:val="20"/>
          <w:lang w:val="en-US"/>
        </w:rPr>
        <w:tab/>
        <w:t>That part of the wooden mast passing through the deck and located below the deck shall be re-examined at intervals to be determined by the inspection body, but at the very least on the occasion of each periodical inspection. The mast shall be extracted for this purpose.</w:t>
      </w:r>
    </w:p>
    <w:p w:rsidR="003D2554" w:rsidRPr="00C903F8" w:rsidRDefault="003D2554" w:rsidP="003D2554">
      <w:pPr>
        <w:pStyle w:val="ESch"/>
        <w:rPr>
          <w:noProof/>
          <w:szCs w:val="20"/>
          <w:lang w:val="en-US"/>
        </w:rPr>
      </w:pPr>
    </w:p>
    <w:p w:rsidR="003D2554" w:rsidRPr="00C903F8" w:rsidRDefault="003D2554" w:rsidP="003D2554">
      <w:pPr>
        <w:pStyle w:val="ESch"/>
        <w:rPr>
          <w:rFonts w:cs="Arial"/>
          <w:szCs w:val="20"/>
          <w:lang w:val="en-US"/>
        </w:rPr>
      </w:pPr>
      <w:r w:rsidRPr="00C903F8">
        <w:rPr>
          <w:noProof/>
          <w:szCs w:val="20"/>
          <w:lang w:val="en-US"/>
        </w:rPr>
        <w:t>3.</w:t>
      </w:r>
      <w:r w:rsidRPr="00C903F8">
        <w:rPr>
          <w:noProof/>
          <w:szCs w:val="20"/>
          <w:lang w:val="en-US"/>
        </w:rPr>
        <w:tab/>
        <w:t xml:space="preserve">A certificate of the last inspection carried out in accordance with </w:t>
      </w:r>
      <w:r w:rsidR="007E1D94" w:rsidRPr="00C903F8">
        <w:rPr>
          <w:noProof/>
          <w:szCs w:val="20"/>
          <w:lang w:val="en-US"/>
        </w:rPr>
        <w:t>(</w:t>
      </w:r>
      <w:r w:rsidRPr="00C903F8">
        <w:rPr>
          <w:noProof/>
          <w:szCs w:val="20"/>
          <w:lang w:val="en-US"/>
        </w:rPr>
        <w:t>1</w:t>
      </w:r>
      <w:r w:rsidR="007E1D94" w:rsidRPr="00C903F8">
        <w:rPr>
          <w:noProof/>
          <w:szCs w:val="20"/>
          <w:lang w:val="en-US"/>
        </w:rPr>
        <w:t>)</w:t>
      </w:r>
      <w:r w:rsidRPr="00C903F8">
        <w:rPr>
          <w:noProof/>
          <w:szCs w:val="20"/>
          <w:lang w:val="en-US"/>
        </w:rPr>
        <w:t xml:space="preserve"> and issued, dated and signed by the inspection body, shall be carried on board.</w:t>
      </w:r>
    </w:p>
    <w:p w:rsidR="003D2554" w:rsidRPr="00C903F8" w:rsidRDefault="003D2554" w:rsidP="00973DAA">
      <w:pPr>
        <w:pStyle w:val="ESch"/>
        <w:rPr>
          <w:lang w:val="en-US"/>
        </w:rPr>
      </w:pPr>
    </w:p>
    <w:p w:rsidR="006E0BD7" w:rsidRPr="00C903F8" w:rsidRDefault="006E0BD7" w:rsidP="00973DAA">
      <w:pPr>
        <w:pStyle w:val="ESch"/>
        <w:rPr>
          <w:lang w:val="en-US"/>
        </w:rPr>
      </w:pPr>
    </w:p>
    <w:p w:rsidR="006E0BD7" w:rsidRPr="00C903F8" w:rsidRDefault="006E0BD7" w:rsidP="006E0BD7">
      <w:pPr>
        <w:pStyle w:val="ES-Titre2"/>
        <w:rPr>
          <w:szCs w:val="24"/>
        </w:rPr>
      </w:pPr>
      <w:bookmarkStart w:id="217" w:name="_Toc491854205"/>
      <w:r w:rsidRPr="00C903F8">
        <w:lastRenderedPageBreak/>
        <w:t>Chapter 21</w:t>
      </w:r>
      <w:r w:rsidRPr="00C903F8">
        <w:br/>
      </w:r>
      <w:r w:rsidRPr="00C903F8">
        <w:rPr>
          <w:noProof/>
          <w:sz w:val="22"/>
          <w:szCs w:val="22"/>
        </w:rPr>
        <w:t>Special provisions applicable to craft intended to form part of a pushed or towed convoy or of a side-by-side formation</w:t>
      </w:r>
      <w:bookmarkEnd w:id="217"/>
    </w:p>
    <w:p w:rsidR="006E0BD7" w:rsidRPr="00C903F8" w:rsidRDefault="006E0BD7" w:rsidP="006E0BD7">
      <w:pPr>
        <w:rPr>
          <w:lang w:val="en-US" w:eastAsia="en-US"/>
        </w:rPr>
      </w:pPr>
    </w:p>
    <w:p w:rsidR="006E0BD7" w:rsidRPr="00C903F8" w:rsidRDefault="006E0BD7" w:rsidP="006E0BD7">
      <w:pPr>
        <w:pStyle w:val="ES-Titre3"/>
        <w:rPr>
          <w:lang w:val="en-US"/>
        </w:rPr>
      </w:pPr>
      <w:bookmarkStart w:id="218" w:name="_Toc491854206"/>
      <w:r w:rsidRPr="00C903F8">
        <w:rPr>
          <w:noProof/>
          <w:lang w:val="en-US"/>
        </w:rPr>
        <w:t>Article 21.01</w:t>
      </w:r>
      <w:r w:rsidRPr="00C903F8">
        <w:rPr>
          <w:noProof/>
          <w:lang w:val="en-US"/>
        </w:rPr>
        <w:br/>
      </w:r>
      <w:r w:rsidRPr="00C903F8">
        <w:rPr>
          <w:bCs/>
          <w:i/>
          <w:noProof/>
          <w:lang w:val="en-US"/>
        </w:rPr>
        <w:t>Craft suitable for pushing</w:t>
      </w:r>
      <w:bookmarkEnd w:id="218"/>
    </w:p>
    <w:p w:rsidR="006E0BD7" w:rsidRPr="00C903F8" w:rsidRDefault="006E0BD7" w:rsidP="006E0BD7">
      <w:pPr>
        <w:pStyle w:val="ESch"/>
        <w:rPr>
          <w:noProof/>
          <w:lang w:val="en-US"/>
        </w:rPr>
      </w:pPr>
    </w:p>
    <w:p w:rsidR="006E0BD7" w:rsidRPr="00C903F8" w:rsidRDefault="006E0BD7" w:rsidP="006E0BD7">
      <w:pPr>
        <w:pStyle w:val="ESch"/>
        <w:rPr>
          <w:rFonts w:eastAsia="Calibri" w:cs="Arial"/>
          <w:szCs w:val="18"/>
          <w:lang w:val="en-US" w:eastAsia="en-US"/>
        </w:rPr>
      </w:pPr>
      <w:r w:rsidRPr="00C903F8">
        <w:rPr>
          <w:rFonts w:eastAsia="Calibri"/>
          <w:noProof/>
          <w:lang w:val="en-US" w:eastAsia="en-US"/>
        </w:rPr>
        <w:t xml:space="preserve">1. </w:t>
      </w:r>
      <w:r w:rsidRPr="00C903F8">
        <w:rPr>
          <w:rFonts w:eastAsia="Calibri"/>
          <w:noProof/>
          <w:lang w:val="en-US" w:eastAsia="en-US"/>
        </w:rPr>
        <w:tab/>
        <w:t>Craft which are to be used for pushing purposes shall incorporate a suitable pushing device. They shall be designed and equipped in such a way as to:</w:t>
      </w:r>
    </w:p>
    <w:p w:rsidR="006E0BD7" w:rsidRPr="00C903F8" w:rsidRDefault="005C7859" w:rsidP="006E0BD7">
      <w:pPr>
        <w:pStyle w:val="ESlet"/>
        <w:rPr>
          <w:rFonts w:eastAsia="Calibri" w:cs="Arial"/>
          <w:szCs w:val="18"/>
          <w:lang w:val="en-US" w:eastAsia="en-US"/>
        </w:rPr>
      </w:pPr>
      <w:r w:rsidRPr="00C903F8">
        <w:rPr>
          <w:rFonts w:eastAsia="Calibri"/>
          <w:noProof/>
          <w:lang w:val="en-US" w:eastAsia="en-US"/>
        </w:rPr>
        <w:t>a)</w:t>
      </w:r>
      <w:r w:rsidR="006E0BD7" w:rsidRPr="00C903F8">
        <w:rPr>
          <w:rFonts w:eastAsia="Calibri"/>
          <w:noProof/>
          <w:lang w:val="en-US" w:eastAsia="en-US"/>
        </w:rPr>
        <w:tab/>
        <w:t>enable crews easily and safely to cross over to the pushed craft with the coupling devices connected;</w:t>
      </w:r>
    </w:p>
    <w:p w:rsidR="006E0BD7" w:rsidRPr="00C903F8" w:rsidRDefault="005C7859" w:rsidP="006E0BD7">
      <w:pPr>
        <w:pStyle w:val="ESlet"/>
        <w:rPr>
          <w:rFonts w:eastAsia="Calibri" w:cs="Arial"/>
          <w:szCs w:val="18"/>
          <w:lang w:val="en-US" w:eastAsia="en-US"/>
        </w:rPr>
      </w:pPr>
      <w:r w:rsidRPr="00C903F8">
        <w:rPr>
          <w:rFonts w:eastAsia="Calibri"/>
          <w:noProof/>
          <w:lang w:val="en-US" w:eastAsia="en-US"/>
        </w:rPr>
        <w:t>b)</w:t>
      </w:r>
      <w:r w:rsidR="006E0BD7" w:rsidRPr="00C903F8">
        <w:rPr>
          <w:rFonts w:eastAsia="Calibri"/>
          <w:noProof/>
          <w:lang w:val="en-US" w:eastAsia="en-US"/>
        </w:rPr>
        <w:tab/>
        <w:t>enable them to occupy a fixed position i</w:t>
      </w:r>
      <w:r w:rsidR="00F11EA9" w:rsidRPr="00C903F8">
        <w:rPr>
          <w:rFonts w:eastAsia="Calibri"/>
          <w:noProof/>
          <w:lang w:val="en-US" w:eastAsia="en-US"/>
        </w:rPr>
        <w:t>n relation to the coupled craft and</w:t>
      </w:r>
    </w:p>
    <w:p w:rsidR="006E0BD7" w:rsidRPr="00C903F8" w:rsidRDefault="005C7859" w:rsidP="006E0BD7">
      <w:pPr>
        <w:pStyle w:val="ESlet"/>
        <w:rPr>
          <w:rFonts w:eastAsia="Calibri" w:cs="Arial"/>
          <w:szCs w:val="18"/>
          <w:lang w:val="en-US" w:eastAsia="en-US"/>
        </w:rPr>
      </w:pPr>
      <w:r w:rsidRPr="00C903F8">
        <w:rPr>
          <w:rFonts w:eastAsia="Calibri"/>
          <w:noProof/>
          <w:lang w:val="en-US" w:eastAsia="en-US"/>
        </w:rPr>
        <w:t>c)</w:t>
      </w:r>
      <w:r w:rsidR="006E0BD7" w:rsidRPr="00C903F8">
        <w:rPr>
          <w:rFonts w:eastAsia="Calibri"/>
          <w:noProof/>
          <w:lang w:val="en-US" w:eastAsia="en-US"/>
        </w:rPr>
        <w:tab/>
        <w:t>prevent relative movement between the craft themselves.</w:t>
      </w:r>
    </w:p>
    <w:p w:rsidR="006E0BD7" w:rsidRPr="00C903F8" w:rsidRDefault="006E0BD7" w:rsidP="006E0BD7">
      <w:pPr>
        <w:pStyle w:val="ESch"/>
        <w:rPr>
          <w:rFonts w:eastAsia="Calibri"/>
          <w:noProof/>
          <w:lang w:val="en-US" w:eastAsia="en-US"/>
        </w:rPr>
      </w:pPr>
    </w:p>
    <w:p w:rsidR="006E0BD7" w:rsidRPr="00C903F8" w:rsidRDefault="006E0BD7" w:rsidP="006E0BD7">
      <w:pPr>
        <w:pStyle w:val="ESch"/>
        <w:rPr>
          <w:rFonts w:eastAsia="Calibri" w:cs="Arial"/>
          <w:szCs w:val="18"/>
          <w:lang w:val="en-US" w:eastAsia="en-US"/>
        </w:rPr>
      </w:pPr>
      <w:r w:rsidRPr="00C903F8">
        <w:rPr>
          <w:rFonts w:eastAsia="Calibri"/>
          <w:noProof/>
          <w:lang w:val="en-US" w:eastAsia="en-US"/>
        </w:rPr>
        <w:t>2.</w:t>
      </w:r>
      <w:r w:rsidRPr="00C903F8">
        <w:rPr>
          <w:rFonts w:eastAsia="Calibri"/>
          <w:noProof/>
          <w:lang w:val="en-US" w:eastAsia="en-US"/>
        </w:rPr>
        <w:tab/>
        <w:t>If the craft are joined together with cables the pusher craft shall be equipped with at least two special winches or equivalent coupling devices for tensioning the cables.</w:t>
      </w:r>
    </w:p>
    <w:p w:rsidR="006E0BD7" w:rsidRPr="00C903F8" w:rsidRDefault="006E0BD7" w:rsidP="006E0BD7">
      <w:pPr>
        <w:pStyle w:val="ESch"/>
        <w:rPr>
          <w:rFonts w:eastAsia="Calibri"/>
          <w:noProof/>
          <w:lang w:val="en-US" w:eastAsia="en-US"/>
        </w:rPr>
      </w:pPr>
    </w:p>
    <w:p w:rsidR="006E0BD7" w:rsidRPr="00C903F8" w:rsidRDefault="006E0BD7" w:rsidP="006E0BD7">
      <w:pPr>
        <w:pStyle w:val="ESch"/>
        <w:rPr>
          <w:rFonts w:eastAsia="Calibri" w:cs="Arial"/>
          <w:szCs w:val="18"/>
          <w:lang w:val="en-US" w:eastAsia="en-US"/>
        </w:rPr>
      </w:pPr>
      <w:r w:rsidRPr="00C903F8">
        <w:rPr>
          <w:rFonts w:eastAsia="Calibri"/>
          <w:noProof/>
          <w:lang w:val="en-US" w:eastAsia="en-US"/>
        </w:rPr>
        <w:t xml:space="preserve">3. </w:t>
      </w:r>
      <w:r w:rsidRPr="00C903F8">
        <w:rPr>
          <w:rFonts w:eastAsia="Calibri"/>
          <w:noProof/>
          <w:lang w:val="en-US" w:eastAsia="en-US"/>
        </w:rPr>
        <w:tab/>
        <w:t>The coupling devices shall enable a rigid assembly to be formed with the pushed craft.</w:t>
      </w:r>
    </w:p>
    <w:p w:rsidR="006E0BD7" w:rsidRPr="00C903F8" w:rsidRDefault="006E0BD7" w:rsidP="006E0BD7">
      <w:pPr>
        <w:pStyle w:val="ESch"/>
        <w:rPr>
          <w:rFonts w:eastAsia="Calibri"/>
          <w:noProof/>
          <w:lang w:val="en-US" w:eastAsia="en-US"/>
        </w:rPr>
      </w:pPr>
    </w:p>
    <w:p w:rsidR="006E0BD7" w:rsidRPr="00C903F8" w:rsidRDefault="006E0BD7" w:rsidP="006E0BD7">
      <w:pPr>
        <w:pStyle w:val="ESchpar"/>
        <w:rPr>
          <w:rFonts w:eastAsia="Calibri" w:cs="Arial"/>
          <w:szCs w:val="18"/>
          <w:lang w:val="en-US" w:eastAsia="en-US"/>
        </w:rPr>
      </w:pPr>
      <w:r w:rsidRPr="00C903F8">
        <w:rPr>
          <w:rFonts w:eastAsia="Calibri"/>
          <w:noProof/>
          <w:lang w:val="en-US" w:eastAsia="en-US"/>
        </w:rPr>
        <w:t xml:space="preserve">Where convoys consist of a pusher craft and a single pushed craft the coupling devices may permit controlled articulation. The necessary drive units shall easily absorb the forces to be transmitted and shall be capable of being controlled easily and safely. Articles 6.02 to 6.04 shall apply </w:t>
      </w:r>
      <w:r w:rsidRPr="00C903F8">
        <w:rPr>
          <w:rFonts w:eastAsia="Calibri"/>
          <w:i/>
          <w:iCs/>
          <w:noProof/>
          <w:lang w:val="en-US" w:eastAsia="en-US"/>
        </w:rPr>
        <w:t>mutatis mutandis</w:t>
      </w:r>
      <w:r w:rsidRPr="00C903F8">
        <w:rPr>
          <w:rFonts w:eastAsia="Calibri"/>
          <w:noProof/>
          <w:lang w:val="en-US" w:eastAsia="en-US"/>
        </w:rPr>
        <w:t xml:space="preserve"> to such drive units.</w:t>
      </w:r>
    </w:p>
    <w:p w:rsidR="006E0BD7" w:rsidRPr="00C903F8" w:rsidRDefault="006E0BD7" w:rsidP="006E0BD7">
      <w:pPr>
        <w:pStyle w:val="ESch"/>
        <w:rPr>
          <w:rFonts w:eastAsia="Calibri"/>
          <w:noProof/>
          <w:lang w:val="en-US" w:eastAsia="en-US"/>
        </w:rPr>
      </w:pPr>
    </w:p>
    <w:p w:rsidR="006E0BD7" w:rsidRPr="00C903F8" w:rsidRDefault="006E0BD7" w:rsidP="006E0BD7">
      <w:pPr>
        <w:pStyle w:val="ESch"/>
        <w:rPr>
          <w:rFonts w:eastAsia="Calibri" w:cs="Arial"/>
          <w:szCs w:val="18"/>
          <w:lang w:val="en-US" w:eastAsia="en-US"/>
        </w:rPr>
      </w:pPr>
      <w:r w:rsidRPr="00C903F8">
        <w:rPr>
          <w:rFonts w:eastAsia="Calibri"/>
          <w:noProof/>
          <w:lang w:val="en-US" w:eastAsia="en-US"/>
        </w:rPr>
        <w:t xml:space="preserve">4. </w:t>
      </w:r>
      <w:r w:rsidRPr="00C903F8">
        <w:rPr>
          <w:rFonts w:eastAsia="Calibri"/>
          <w:noProof/>
          <w:lang w:val="en-US" w:eastAsia="en-US"/>
        </w:rPr>
        <w:tab/>
        <w:t>The collision bulkhead referred to in Article 3.03(1)(a), can be dispensed with for pushers.</w:t>
      </w:r>
    </w:p>
    <w:p w:rsidR="006E0BD7" w:rsidRPr="00C903F8" w:rsidRDefault="006E0BD7" w:rsidP="006E0BD7">
      <w:pPr>
        <w:pStyle w:val="ESch"/>
        <w:rPr>
          <w:rFonts w:eastAsia="Calibri" w:cs="Arial"/>
          <w:szCs w:val="18"/>
          <w:lang w:val="en-US" w:eastAsia="en-US"/>
        </w:rPr>
      </w:pPr>
    </w:p>
    <w:p w:rsidR="006E0BD7" w:rsidRPr="00C903F8" w:rsidRDefault="006E0BD7" w:rsidP="006E0BD7">
      <w:pPr>
        <w:pStyle w:val="ESch"/>
        <w:rPr>
          <w:rFonts w:eastAsia="Calibri" w:cs="Arial"/>
          <w:szCs w:val="18"/>
          <w:lang w:val="en-US" w:eastAsia="en-US"/>
        </w:rPr>
      </w:pPr>
    </w:p>
    <w:p w:rsidR="006E0BD7" w:rsidRPr="00C903F8" w:rsidRDefault="006E0BD7" w:rsidP="006E0BD7">
      <w:pPr>
        <w:pStyle w:val="ES-Titre3"/>
        <w:rPr>
          <w:rFonts w:cs="Arial"/>
          <w:i/>
          <w:szCs w:val="18"/>
          <w:lang w:val="en-US"/>
        </w:rPr>
      </w:pPr>
      <w:bookmarkStart w:id="219" w:name="_Toc491854207"/>
      <w:r w:rsidRPr="00C903F8">
        <w:rPr>
          <w:noProof/>
          <w:lang w:val="en-US"/>
        </w:rPr>
        <w:t>Article 21.02</w:t>
      </w:r>
      <w:r w:rsidRPr="00C903F8">
        <w:rPr>
          <w:noProof/>
          <w:lang w:val="en-US"/>
        </w:rPr>
        <w:br/>
      </w:r>
      <w:r w:rsidRPr="00C903F8">
        <w:rPr>
          <w:i/>
          <w:noProof/>
          <w:lang w:val="en-US"/>
        </w:rPr>
        <w:t>Craft suitable for being pushed</w:t>
      </w:r>
      <w:bookmarkEnd w:id="219"/>
    </w:p>
    <w:p w:rsidR="006E0BD7" w:rsidRPr="00C903F8" w:rsidRDefault="006E0BD7" w:rsidP="006E0BD7">
      <w:pPr>
        <w:pStyle w:val="ESch"/>
        <w:rPr>
          <w:rFonts w:eastAsia="Calibri"/>
          <w:noProof/>
          <w:lang w:val="en-US" w:eastAsia="en-US"/>
        </w:rPr>
      </w:pPr>
    </w:p>
    <w:p w:rsidR="006E0BD7" w:rsidRPr="00C903F8" w:rsidRDefault="006E0BD7" w:rsidP="006E0BD7">
      <w:pPr>
        <w:pStyle w:val="ESch"/>
        <w:rPr>
          <w:rFonts w:eastAsia="Calibri" w:cs="Arial"/>
          <w:szCs w:val="18"/>
          <w:lang w:val="en-US" w:eastAsia="en-US"/>
        </w:rPr>
      </w:pPr>
      <w:r w:rsidRPr="00C903F8">
        <w:rPr>
          <w:rFonts w:eastAsia="Calibri"/>
          <w:noProof/>
          <w:lang w:val="en-US" w:eastAsia="en-US"/>
        </w:rPr>
        <w:t xml:space="preserve">1. </w:t>
      </w:r>
      <w:r w:rsidRPr="00C903F8">
        <w:rPr>
          <w:rFonts w:eastAsia="Calibri"/>
          <w:noProof/>
          <w:lang w:val="en-US" w:eastAsia="en-US"/>
        </w:rPr>
        <w:tab/>
        <w:t>The following shall not apply to lighters without steering system, accommodation, engine or boiler rooms:</w:t>
      </w:r>
    </w:p>
    <w:p w:rsidR="006E0BD7" w:rsidRPr="00C903F8" w:rsidRDefault="005C7859" w:rsidP="0034719E">
      <w:pPr>
        <w:pStyle w:val="ESlet"/>
        <w:rPr>
          <w:rFonts w:eastAsia="Calibri" w:cs="Arial"/>
          <w:szCs w:val="18"/>
          <w:lang w:val="en-US" w:eastAsia="en-US"/>
        </w:rPr>
      </w:pPr>
      <w:r w:rsidRPr="00C903F8">
        <w:rPr>
          <w:rFonts w:eastAsia="Calibri"/>
          <w:noProof/>
          <w:lang w:val="en-US" w:eastAsia="en-US"/>
        </w:rPr>
        <w:t>a)</w:t>
      </w:r>
      <w:r w:rsidR="0034719E" w:rsidRPr="00C903F8">
        <w:rPr>
          <w:rFonts w:eastAsia="Calibri"/>
          <w:noProof/>
          <w:lang w:val="en-US" w:eastAsia="en-US"/>
        </w:rPr>
        <w:tab/>
      </w:r>
      <w:r w:rsidR="006E0BD7" w:rsidRPr="00C903F8">
        <w:rPr>
          <w:rFonts w:eastAsia="Calibri"/>
          <w:noProof/>
          <w:lang w:val="en-US" w:eastAsia="en-US"/>
        </w:rPr>
        <w:t>Chapters 5 to 7 and 15;</w:t>
      </w:r>
    </w:p>
    <w:p w:rsidR="006E0BD7" w:rsidRPr="00C903F8" w:rsidRDefault="005C7859" w:rsidP="0034719E">
      <w:pPr>
        <w:pStyle w:val="ESlet"/>
        <w:rPr>
          <w:rFonts w:eastAsia="Calibri" w:cs="Arial"/>
          <w:szCs w:val="18"/>
          <w:lang w:val="en-US" w:eastAsia="en-US"/>
        </w:rPr>
      </w:pPr>
      <w:r w:rsidRPr="00C903F8">
        <w:rPr>
          <w:rFonts w:eastAsia="Calibri"/>
          <w:noProof/>
          <w:lang w:val="en-US" w:eastAsia="en-US"/>
        </w:rPr>
        <w:t>b)</w:t>
      </w:r>
      <w:r w:rsidR="0034719E" w:rsidRPr="00C903F8">
        <w:rPr>
          <w:rFonts w:eastAsia="Calibri"/>
          <w:noProof/>
          <w:lang w:val="en-US" w:eastAsia="en-US"/>
        </w:rPr>
        <w:tab/>
      </w:r>
      <w:r w:rsidR="006E0BD7" w:rsidRPr="00C903F8">
        <w:rPr>
          <w:rFonts w:eastAsia="Calibri"/>
          <w:noProof/>
          <w:lang w:val="en-US" w:eastAsia="en-US"/>
        </w:rPr>
        <w:t>Article 8.08(2) to (8), Article 13.02 and Article 13.0</w:t>
      </w:r>
      <w:r w:rsidR="00E852A7" w:rsidRPr="00C903F8">
        <w:rPr>
          <w:rFonts w:eastAsia="Calibri"/>
          <w:noProof/>
          <w:lang w:val="en-US" w:eastAsia="en-US"/>
        </w:rPr>
        <w:t>8</w:t>
      </w:r>
      <w:r w:rsidR="006E0BD7" w:rsidRPr="00C903F8">
        <w:rPr>
          <w:rFonts w:eastAsia="Calibri"/>
          <w:noProof/>
          <w:lang w:val="en-US" w:eastAsia="en-US"/>
        </w:rPr>
        <w:t>(1).</w:t>
      </w:r>
    </w:p>
    <w:p w:rsidR="006E0BD7" w:rsidRPr="00C903F8" w:rsidRDefault="006E0BD7" w:rsidP="006E0BD7">
      <w:pPr>
        <w:pStyle w:val="ESch"/>
        <w:rPr>
          <w:rFonts w:eastAsia="Calibri"/>
          <w:noProof/>
          <w:lang w:val="en-US" w:eastAsia="en-US"/>
        </w:rPr>
      </w:pPr>
    </w:p>
    <w:p w:rsidR="006E0BD7" w:rsidRPr="00C903F8" w:rsidRDefault="006E0BD7" w:rsidP="006E0BD7">
      <w:pPr>
        <w:pStyle w:val="ESchpar"/>
        <w:rPr>
          <w:rFonts w:eastAsia="Calibri" w:cs="Arial"/>
          <w:szCs w:val="18"/>
          <w:lang w:val="en-US" w:eastAsia="en-US"/>
        </w:rPr>
      </w:pPr>
      <w:r w:rsidRPr="00C903F8">
        <w:rPr>
          <w:rFonts w:eastAsia="Calibri"/>
          <w:noProof/>
          <w:lang w:val="en-US" w:eastAsia="en-US"/>
        </w:rPr>
        <w:t>If steering systems, accommodation, engine or boiler rooms are present the relevant requirements of this Standard shall apply to them.</w:t>
      </w:r>
    </w:p>
    <w:p w:rsidR="006E0BD7" w:rsidRPr="00C903F8" w:rsidRDefault="006E0BD7" w:rsidP="006E0BD7">
      <w:pPr>
        <w:pStyle w:val="ESch"/>
        <w:rPr>
          <w:rFonts w:eastAsia="Calibri"/>
          <w:noProof/>
          <w:lang w:val="en-US" w:eastAsia="en-US"/>
        </w:rPr>
      </w:pPr>
    </w:p>
    <w:p w:rsidR="006E0BD7" w:rsidRPr="00C903F8" w:rsidRDefault="006E0BD7" w:rsidP="006E0BD7">
      <w:pPr>
        <w:pStyle w:val="ESch"/>
        <w:rPr>
          <w:rFonts w:eastAsia="Calibri" w:cs="Arial"/>
          <w:szCs w:val="18"/>
          <w:lang w:val="en-US" w:eastAsia="en-US"/>
        </w:rPr>
      </w:pPr>
      <w:r w:rsidRPr="00C903F8">
        <w:rPr>
          <w:rFonts w:eastAsia="Calibri"/>
          <w:noProof/>
          <w:lang w:val="en-US" w:eastAsia="en-US"/>
        </w:rPr>
        <w:t>2.</w:t>
      </w:r>
      <w:r w:rsidRPr="00C903F8">
        <w:rPr>
          <w:rFonts w:eastAsia="Calibri"/>
          <w:noProof/>
          <w:lang w:val="en-US" w:eastAsia="en-US"/>
        </w:rPr>
        <w:tab/>
        <w:t xml:space="preserve">In addition, ship-borne lighters whose length </w:t>
      </w:r>
      <m:oMath>
        <m:r>
          <w:rPr>
            <w:rFonts w:ascii="Cambria Math" w:eastAsia="Calibri" w:hAnsi="Cambria Math"/>
            <w:noProof/>
            <w:lang w:val="en-US" w:eastAsia="en-US"/>
          </w:rPr>
          <m:t>L</m:t>
        </m:r>
      </m:oMath>
      <w:r w:rsidRPr="00C903F8">
        <w:rPr>
          <w:rFonts w:eastAsia="Calibri"/>
          <w:noProof/>
          <w:lang w:val="en-US" w:eastAsia="en-US"/>
        </w:rPr>
        <w:t xml:space="preserve"> does not exceed 40 m shall meet the following requirements:</w:t>
      </w:r>
    </w:p>
    <w:p w:rsidR="006E0BD7" w:rsidRPr="00C903F8" w:rsidRDefault="005C7859" w:rsidP="0034719E">
      <w:pPr>
        <w:pStyle w:val="ESlet"/>
        <w:rPr>
          <w:rFonts w:eastAsia="Calibri" w:cs="Arial"/>
          <w:szCs w:val="18"/>
          <w:lang w:val="en-US" w:eastAsia="en-US"/>
        </w:rPr>
      </w:pPr>
      <w:r w:rsidRPr="00C903F8">
        <w:rPr>
          <w:rFonts w:eastAsia="Calibri"/>
          <w:noProof/>
          <w:lang w:val="en-US" w:eastAsia="en-US"/>
        </w:rPr>
        <w:t>a)</w:t>
      </w:r>
      <w:r w:rsidR="006E0BD7" w:rsidRPr="00C903F8">
        <w:rPr>
          <w:rFonts w:eastAsia="Calibri"/>
          <w:noProof/>
          <w:lang w:val="en-US" w:eastAsia="en-US"/>
        </w:rPr>
        <w:tab/>
        <w:t xml:space="preserve">collision bulkheads referred to in Article 3.03(1), can be dispensed with if their front faces are able to bear a load at least 2,5 times that set for the collision bulkheads on inland waterway vessels with the same draught and built in accordance with the requirements of a </w:t>
      </w:r>
      <w:r w:rsidR="004E1AD0" w:rsidRPr="00C903F8">
        <w:rPr>
          <w:rFonts w:cs="Arial"/>
          <w:szCs w:val="20"/>
          <w:lang w:val="en-US"/>
        </w:rPr>
        <w:t>recognised</w:t>
      </w:r>
      <w:r w:rsidR="006E0BD7" w:rsidRPr="00C903F8">
        <w:rPr>
          <w:rFonts w:eastAsia="Calibri"/>
          <w:noProof/>
          <w:lang w:val="en-US" w:eastAsia="en-US"/>
        </w:rPr>
        <w:t xml:space="preserve"> classification society;</w:t>
      </w:r>
    </w:p>
    <w:p w:rsidR="006E0BD7" w:rsidRPr="00C903F8" w:rsidRDefault="005C7859" w:rsidP="0034719E">
      <w:pPr>
        <w:pStyle w:val="ESlet"/>
        <w:rPr>
          <w:rFonts w:eastAsia="Calibri" w:cs="Arial"/>
          <w:szCs w:val="18"/>
          <w:lang w:val="en-US" w:eastAsia="en-US"/>
        </w:rPr>
      </w:pPr>
      <w:r w:rsidRPr="00C903F8">
        <w:rPr>
          <w:rFonts w:eastAsia="Calibri"/>
          <w:noProof/>
          <w:lang w:val="en-US" w:eastAsia="en-US"/>
        </w:rPr>
        <w:t>b)</w:t>
      </w:r>
      <w:r w:rsidR="006E0BD7" w:rsidRPr="00C903F8">
        <w:rPr>
          <w:rFonts w:eastAsia="Calibri"/>
          <w:noProof/>
          <w:lang w:val="en-US" w:eastAsia="en-US"/>
        </w:rPr>
        <w:tab/>
        <w:t>by way of derogation from Article 8.08(1), compartments of the double bottom to which access is difficult do not have to be drainable unless their volume exceeds 5 % of the water displacement of the ship-borne lighter at the maximum authorised loaded draught.</w:t>
      </w:r>
    </w:p>
    <w:p w:rsidR="006E0BD7" w:rsidRPr="00C903F8" w:rsidRDefault="006E0BD7" w:rsidP="006E0BD7">
      <w:pPr>
        <w:pStyle w:val="ESch"/>
        <w:rPr>
          <w:rFonts w:eastAsia="Calibri"/>
          <w:noProof/>
          <w:lang w:val="en-US" w:eastAsia="en-US"/>
        </w:rPr>
      </w:pPr>
    </w:p>
    <w:p w:rsidR="006E0BD7" w:rsidRPr="00C903F8" w:rsidRDefault="006E0BD7" w:rsidP="006E0BD7">
      <w:pPr>
        <w:pStyle w:val="ESch"/>
        <w:rPr>
          <w:rFonts w:eastAsia="Calibri" w:cs="Arial"/>
          <w:szCs w:val="18"/>
          <w:lang w:val="en-US" w:eastAsia="en-US"/>
        </w:rPr>
      </w:pPr>
      <w:r w:rsidRPr="00C903F8">
        <w:rPr>
          <w:rFonts w:eastAsia="Calibri"/>
          <w:noProof/>
          <w:lang w:val="en-US" w:eastAsia="en-US"/>
        </w:rPr>
        <w:t xml:space="preserve">3. </w:t>
      </w:r>
      <w:r w:rsidRPr="00C903F8">
        <w:rPr>
          <w:rFonts w:eastAsia="Calibri"/>
          <w:noProof/>
          <w:lang w:val="en-US" w:eastAsia="en-US"/>
        </w:rPr>
        <w:tab/>
        <w:t>Craft intended for being pushed shall be fitted with coupling devices ensuring a safe connection to other craft.</w:t>
      </w:r>
    </w:p>
    <w:p w:rsidR="006E0BD7" w:rsidRPr="00C903F8" w:rsidRDefault="006E0BD7" w:rsidP="006E0BD7">
      <w:pPr>
        <w:pStyle w:val="ESch"/>
        <w:rPr>
          <w:rFonts w:eastAsia="Calibri" w:cs="Arial"/>
          <w:szCs w:val="18"/>
          <w:lang w:val="en-US" w:eastAsia="en-US"/>
        </w:rPr>
      </w:pPr>
    </w:p>
    <w:p w:rsidR="00D66948" w:rsidRDefault="00D66948" w:rsidP="006E0BD7">
      <w:pPr>
        <w:pStyle w:val="ESch"/>
        <w:rPr>
          <w:rFonts w:eastAsia="Calibri" w:cs="Arial"/>
          <w:szCs w:val="18"/>
          <w:lang w:val="en-US" w:eastAsia="en-US"/>
        </w:rPr>
      </w:pPr>
    </w:p>
    <w:p w:rsidR="00561878" w:rsidRDefault="00561878">
      <w:pPr>
        <w:autoSpaceDE/>
        <w:autoSpaceDN/>
        <w:ind w:left="0" w:firstLine="0"/>
        <w:jc w:val="left"/>
        <w:rPr>
          <w:rFonts w:eastAsia="Calibri" w:cs="Arial"/>
          <w:szCs w:val="18"/>
          <w:lang w:val="en-US" w:eastAsia="en-US"/>
        </w:rPr>
      </w:pPr>
      <w:r>
        <w:rPr>
          <w:rFonts w:eastAsia="Calibri" w:cs="Arial"/>
          <w:szCs w:val="18"/>
          <w:lang w:val="en-US" w:eastAsia="en-US"/>
        </w:rPr>
        <w:br w:type="page"/>
      </w:r>
    </w:p>
    <w:p w:rsidR="006E0BD7" w:rsidRPr="00C903F8" w:rsidRDefault="006E0BD7" w:rsidP="006E0BD7">
      <w:pPr>
        <w:pStyle w:val="ES-Titre3"/>
        <w:rPr>
          <w:rFonts w:cs="Arial"/>
          <w:i/>
          <w:szCs w:val="18"/>
          <w:lang w:val="en-US"/>
        </w:rPr>
      </w:pPr>
      <w:bookmarkStart w:id="220" w:name="_Toc491854208"/>
      <w:r w:rsidRPr="00C903F8">
        <w:rPr>
          <w:noProof/>
          <w:lang w:val="en-US"/>
        </w:rPr>
        <w:lastRenderedPageBreak/>
        <w:t>Article 21.03</w:t>
      </w:r>
      <w:r w:rsidRPr="00C903F8">
        <w:rPr>
          <w:noProof/>
          <w:lang w:val="en-US"/>
        </w:rPr>
        <w:br/>
      </w:r>
      <w:r w:rsidRPr="00C903F8">
        <w:rPr>
          <w:i/>
          <w:noProof/>
          <w:lang w:val="en-US"/>
        </w:rPr>
        <w:t>Craft suitable for propelling side-by-side formations</w:t>
      </w:r>
      <w:bookmarkEnd w:id="220"/>
    </w:p>
    <w:p w:rsidR="006E0BD7" w:rsidRPr="00C903F8" w:rsidRDefault="006E0BD7" w:rsidP="006E0BD7">
      <w:pPr>
        <w:pStyle w:val="ESch"/>
        <w:rPr>
          <w:rFonts w:eastAsia="Calibri"/>
          <w:noProof/>
          <w:lang w:val="en-US" w:eastAsia="en-US"/>
        </w:rPr>
      </w:pPr>
    </w:p>
    <w:p w:rsidR="006E0BD7" w:rsidRPr="00C903F8" w:rsidRDefault="006E0BD7" w:rsidP="006E0BD7">
      <w:pPr>
        <w:pStyle w:val="ESgauche"/>
        <w:rPr>
          <w:rFonts w:eastAsia="Calibri" w:cs="Arial"/>
          <w:szCs w:val="18"/>
          <w:lang w:val="en-US" w:eastAsia="en-US"/>
        </w:rPr>
      </w:pPr>
      <w:r w:rsidRPr="00C903F8">
        <w:rPr>
          <w:rFonts w:eastAsia="Calibri"/>
          <w:lang w:val="en-US" w:eastAsia="en-US"/>
        </w:rPr>
        <w:t>Craft intended to propel side-by-side formations shall be equipped with bollards or equivalent devices which, as a result of their number and arrangement, enable the formation to be coupled in a safe manner.</w:t>
      </w:r>
    </w:p>
    <w:p w:rsidR="006E0BD7" w:rsidRPr="00C903F8" w:rsidRDefault="006E0BD7" w:rsidP="006E0BD7">
      <w:pPr>
        <w:pStyle w:val="ESch"/>
        <w:rPr>
          <w:rFonts w:eastAsia="Calibri" w:cs="Arial"/>
          <w:szCs w:val="18"/>
          <w:lang w:val="en-US" w:eastAsia="en-US"/>
        </w:rPr>
      </w:pPr>
    </w:p>
    <w:p w:rsidR="006E0BD7" w:rsidRPr="00C903F8" w:rsidRDefault="006E0BD7" w:rsidP="006E0BD7">
      <w:pPr>
        <w:pStyle w:val="ESch"/>
        <w:rPr>
          <w:rFonts w:eastAsia="Calibri" w:cs="Arial"/>
          <w:szCs w:val="18"/>
          <w:lang w:val="en-US" w:eastAsia="en-US"/>
        </w:rPr>
      </w:pPr>
    </w:p>
    <w:p w:rsidR="006E0BD7" w:rsidRPr="00C903F8" w:rsidRDefault="006E0BD7" w:rsidP="006E0BD7">
      <w:pPr>
        <w:pStyle w:val="ES-Titre3"/>
        <w:rPr>
          <w:rFonts w:cs="Arial"/>
          <w:i/>
          <w:szCs w:val="18"/>
          <w:lang w:val="en-US"/>
        </w:rPr>
      </w:pPr>
      <w:bookmarkStart w:id="221" w:name="_Toc491854209"/>
      <w:r w:rsidRPr="00C903F8">
        <w:rPr>
          <w:noProof/>
          <w:lang w:val="en-US"/>
        </w:rPr>
        <w:t>Article 21.04</w:t>
      </w:r>
      <w:r w:rsidRPr="00C903F8">
        <w:rPr>
          <w:noProof/>
          <w:lang w:val="en-US"/>
        </w:rPr>
        <w:br/>
      </w:r>
      <w:r w:rsidRPr="00C903F8">
        <w:rPr>
          <w:i/>
          <w:noProof/>
          <w:lang w:val="en-US"/>
        </w:rPr>
        <w:t>Craft suitable for being propelled in convoys</w:t>
      </w:r>
      <w:bookmarkEnd w:id="221"/>
    </w:p>
    <w:p w:rsidR="006E0BD7" w:rsidRPr="00C903F8" w:rsidRDefault="006E0BD7" w:rsidP="006E0BD7">
      <w:pPr>
        <w:pStyle w:val="ESch"/>
        <w:rPr>
          <w:rFonts w:eastAsia="Calibri"/>
          <w:noProof/>
          <w:lang w:val="en-US" w:eastAsia="en-US"/>
        </w:rPr>
      </w:pPr>
    </w:p>
    <w:p w:rsidR="006E0BD7" w:rsidRPr="00C903F8" w:rsidRDefault="006E0BD7" w:rsidP="006E0BD7">
      <w:pPr>
        <w:pStyle w:val="ESgauche"/>
        <w:rPr>
          <w:rFonts w:eastAsia="Calibri" w:cs="Arial"/>
          <w:szCs w:val="18"/>
          <w:lang w:val="en-US" w:eastAsia="en-US"/>
        </w:rPr>
      </w:pPr>
      <w:r w:rsidRPr="00C903F8">
        <w:rPr>
          <w:rFonts w:eastAsia="Calibri"/>
          <w:lang w:val="en-US" w:eastAsia="en-US"/>
        </w:rPr>
        <w:t>Craft intended to be propelled in convoys shall be equipped with coupling devices, bollards or equivalent devices which, as a result of their number and arrangement, ensure a safe connection to other craft in the convoy.</w:t>
      </w:r>
    </w:p>
    <w:p w:rsidR="006E0BD7" w:rsidRPr="00C903F8" w:rsidRDefault="006E0BD7" w:rsidP="006E0BD7">
      <w:pPr>
        <w:pStyle w:val="ESch"/>
        <w:rPr>
          <w:rFonts w:eastAsia="Calibri" w:cs="Arial"/>
          <w:szCs w:val="18"/>
          <w:lang w:val="en-US" w:eastAsia="en-US"/>
        </w:rPr>
      </w:pPr>
    </w:p>
    <w:p w:rsidR="006E0BD7" w:rsidRPr="00C903F8" w:rsidRDefault="006E0BD7" w:rsidP="006E0BD7">
      <w:pPr>
        <w:pStyle w:val="ESch"/>
        <w:rPr>
          <w:rFonts w:eastAsia="Calibri" w:cs="Arial"/>
          <w:szCs w:val="18"/>
          <w:lang w:val="en-US" w:eastAsia="en-US"/>
        </w:rPr>
      </w:pPr>
    </w:p>
    <w:p w:rsidR="006E0BD7" w:rsidRPr="00C903F8" w:rsidRDefault="006E0BD7" w:rsidP="006E0BD7">
      <w:pPr>
        <w:pStyle w:val="ES-Titre3"/>
        <w:rPr>
          <w:rFonts w:cs="Arial"/>
          <w:i/>
          <w:szCs w:val="18"/>
          <w:lang w:val="en-US"/>
        </w:rPr>
      </w:pPr>
      <w:bookmarkStart w:id="222" w:name="_Toc491854210"/>
      <w:r w:rsidRPr="00C903F8">
        <w:rPr>
          <w:noProof/>
          <w:lang w:val="en-US"/>
        </w:rPr>
        <w:t>Article 21.05</w:t>
      </w:r>
      <w:r w:rsidRPr="00C903F8">
        <w:rPr>
          <w:noProof/>
          <w:lang w:val="en-US"/>
        </w:rPr>
        <w:br/>
      </w:r>
      <w:r w:rsidRPr="00C903F8">
        <w:rPr>
          <w:i/>
          <w:noProof/>
          <w:lang w:val="en-US"/>
        </w:rPr>
        <w:t>Craft suitable for towing</w:t>
      </w:r>
      <w:bookmarkEnd w:id="222"/>
    </w:p>
    <w:p w:rsidR="006E0BD7" w:rsidRPr="00C903F8" w:rsidRDefault="006E0BD7" w:rsidP="006E0BD7">
      <w:pPr>
        <w:pStyle w:val="ESch"/>
        <w:rPr>
          <w:rFonts w:eastAsia="Calibri"/>
          <w:noProof/>
          <w:lang w:val="en-US" w:eastAsia="en-US"/>
        </w:rPr>
      </w:pPr>
    </w:p>
    <w:p w:rsidR="006E0BD7" w:rsidRPr="00C903F8" w:rsidRDefault="008E7AC7" w:rsidP="006E0BD7">
      <w:pPr>
        <w:pStyle w:val="ESch"/>
        <w:rPr>
          <w:rFonts w:eastAsia="Calibri" w:cs="Arial"/>
          <w:szCs w:val="18"/>
          <w:lang w:val="en-US" w:eastAsia="en-US"/>
        </w:rPr>
      </w:pPr>
      <w:r w:rsidRPr="00C903F8">
        <w:rPr>
          <w:rFonts w:eastAsia="Calibri"/>
          <w:noProof/>
          <w:lang w:val="en-US" w:eastAsia="en-US"/>
        </w:rPr>
        <w:t>1.</w:t>
      </w:r>
      <w:r w:rsidR="006E0BD7" w:rsidRPr="00C903F8">
        <w:rPr>
          <w:rFonts w:eastAsia="Calibri"/>
          <w:noProof/>
          <w:lang w:val="en-US" w:eastAsia="en-US"/>
        </w:rPr>
        <w:tab/>
        <w:t>Craft intended for towing shall meet the following requirements:</w:t>
      </w:r>
    </w:p>
    <w:p w:rsidR="006E0BD7" w:rsidRPr="00C903F8" w:rsidRDefault="005C7859" w:rsidP="0034719E">
      <w:pPr>
        <w:pStyle w:val="ESlet"/>
        <w:rPr>
          <w:rFonts w:eastAsia="Calibri" w:cs="Arial"/>
          <w:szCs w:val="18"/>
          <w:lang w:val="en-US" w:eastAsia="en-US"/>
        </w:rPr>
      </w:pPr>
      <w:r w:rsidRPr="00C903F8">
        <w:rPr>
          <w:rFonts w:eastAsia="Calibri"/>
          <w:noProof/>
          <w:lang w:val="en-US" w:eastAsia="en-US"/>
        </w:rPr>
        <w:t>a)</w:t>
      </w:r>
      <w:r w:rsidR="006E0BD7" w:rsidRPr="00C903F8">
        <w:rPr>
          <w:rFonts w:eastAsia="Calibri"/>
          <w:noProof/>
          <w:lang w:val="en-US" w:eastAsia="en-US"/>
        </w:rPr>
        <w:tab/>
      </w:r>
      <w:r w:rsidR="00772341" w:rsidRPr="00C903F8">
        <w:rPr>
          <w:rFonts w:eastAsia="Calibri"/>
          <w:noProof/>
          <w:lang w:val="en-US" w:eastAsia="en-US"/>
        </w:rPr>
        <w:t>T</w:t>
      </w:r>
      <w:r w:rsidR="006E0BD7" w:rsidRPr="00C903F8">
        <w:rPr>
          <w:rFonts w:eastAsia="Calibri"/>
          <w:noProof/>
          <w:lang w:val="en-US" w:eastAsia="en-US"/>
        </w:rPr>
        <w:t>he towing devices shall be arranged in such a way that their use does not compromise the safety of the craft, crew or cargo</w:t>
      </w:r>
      <w:r w:rsidR="00772341" w:rsidRPr="00C903F8">
        <w:rPr>
          <w:rFonts w:eastAsia="Calibri"/>
          <w:noProof/>
          <w:lang w:val="en-US" w:eastAsia="en-US"/>
        </w:rPr>
        <w:t>.</w:t>
      </w:r>
    </w:p>
    <w:p w:rsidR="006E0BD7" w:rsidRPr="00C903F8" w:rsidRDefault="005C7859" w:rsidP="0034719E">
      <w:pPr>
        <w:pStyle w:val="ESlet"/>
        <w:rPr>
          <w:rFonts w:eastAsia="Calibri" w:cs="Arial"/>
          <w:szCs w:val="18"/>
          <w:lang w:val="en-US" w:eastAsia="en-US"/>
        </w:rPr>
      </w:pPr>
      <w:r w:rsidRPr="00C903F8">
        <w:rPr>
          <w:rFonts w:eastAsia="Calibri"/>
          <w:noProof/>
          <w:lang w:val="en-US" w:eastAsia="en-US"/>
        </w:rPr>
        <w:t>b)</w:t>
      </w:r>
      <w:r w:rsidR="006E0BD7" w:rsidRPr="00C903F8">
        <w:rPr>
          <w:rFonts w:eastAsia="Calibri"/>
          <w:noProof/>
          <w:lang w:val="en-US" w:eastAsia="en-US"/>
        </w:rPr>
        <w:tab/>
      </w:r>
      <w:r w:rsidR="00772341" w:rsidRPr="00C903F8">
        <w:rPr>
          <w:rFonts w:eastAsia="Calibri"/>
          <w:noProof/>
          <w:lang w:val="en-US" w:eastAsia="en-US"/>
        </w:rPr>
        <w:t>T</w:t>
      </w:r>
      <w:r w:rsidR="006E0BD7" w:rsidRPr="00C903F8">
        <w:rPr>
          <w:rFonts w:eastAsia="Calibri"/>
          <w:noProof/>
          <w:lang w:val="en-US" w:eastAsia="en-US"/>
        </w:rPr>
        <w:t>ugging and towing craft shall be fitted with a tow hook which shall be capable of being released safely from the wheelhouse; this shall not apply if the design or other fittings prevent capsizing</w:t>
      </w:r>
      <w:r w:rsidR="00772341" w:rsidRPr="00C903F8">
        <w:rPr>
          <w:rFonts w:eastAsia="Calibri"/>
          <w:noProof/>
          <w:lang w:val="en-US" w:eastAsia="en-US"/>
        </w:rPr>
        <w:t>.</w:t>
      </w:r>
    </w:p>
    <w:p w:rsidR="006E0BD7" w:rsidRPr="00C903F8" w:rsidRDefault="005C7859" w:rsidP="0034719E">
      <w:pPr>
        <w:pStyle w:val="ESlet"/>
        <w:rPr>
          <w:rFonts w:eastAsia="Calibri" w:cs="Arial"/>
          <w:szCs w:val="18"/>
          <w:lang w:val="en-US" w:eastAsia="en-US"/>
        </w:rPr>
      </w:pPr>
      <w:r w:rsidRPr="00C903F8">
        <w:rPr>
          <w:rFonts w:eastAsia="Calibri"/>
          <w:noProof/>
          <w:lang w:val="en-US" w:eastAsia="en-US"/>
        </w:rPr>
        <w:t>c)</w:t>
      </w:r>
      <w:r w:rsidR="006E0BD7" w:rsidRPr="00C903F8">
        <w:rPr>
          <w:rFonts w:eastAsia="Calibri"/>
          <w:noProof/>
          <w:lang w:val="en-US" w:eastAsia="en-US"/>
        </w:rPr>
        <w:tab/>
      </w:r>
      <w:r w:rsidR="00772341" w:rsidRPr="00C903F8">
        <w:rPr>
          <w:rFonts w:eastAsia="Calibri"/>
          <w:noProof/>
          <w:lang w:val="en-US" w:eastAsia="en-US"/>
        </w:rPr>
        <w:t>T</w:t>
      </w:r>
      <w:r w:rsidR="006E0BD7" w:rsidRPr="00C903F8">
        <w:rPr>
          <w:rFonts w:eastAsia="Calibri"/>
          <w:noProof/>
          <w:lang w:val="en-US" w:eastAsia="en-US"/>
        </w:rPr>
        <w:t>owing devices shall consist of winches or a tow hook. The towing devices shall be located ahead of the propeller plane. This requirement shall not apply to craft that are steered by their propulsion units such as rudder propellers or cycloidal propellers</w:t>
      </w:r>
      <w:r w:rsidR="00772341" w:rsidRPr="00C903F8">
        <w:rPr>
          <w:rFonts w:eastAsia="Calibri"/>
          <w:noProof/>
          <w:lang w:val="en-US" w:eastAsia="en-US"/>
        </w:rPr>
        <w:t>.</w:t>
      </w:r>
    </w:p>
    <w:p w:rsidR="006E0BD7" w:rsidRPr="00C903F8" w:rsidRDefault="0029453D" w:rsidP="0034719E">
      <w:pPr>
        <w:pStyle w:val="ESlet"/>
        <w:rPr>
          <w:rFonts w:eastAsia="Calibri" w:cs="Arial"/>
          <w:szCs w:val="18"/>
          <w:lang w:val="en-US" w:eastAsia="en-US"/>
        </w:rPr>
      </w:pPr>
      <w:r w:rsidRPr="00C903F8">
        <w:rPr>
          <w:rFonts w:eastAsia="Calibri"/>
          <w:noProof/>
          <w:lang w:val="en-US" w:eastAsia="en-US"/>
        </w:rPr>
        <w:t>d)</w:t>
      </w:r>
      <w:r w:rsidR="006E0BD7" w:rsidRPr="00C903F8">
        <w:rPr>
          <w:rFonts w:eastAsia="Calibri"/>
          <w:noProof/>
          <w:lang w:val="en-US" w:eastAsia="en-US"/>
        </w:rPr>
        <w:tab/>
      </w:r>
      <w:r w:rsidR="00772341" w:rsidRPr="00C903F8">
        <w:rPr>
          <w:rFonts w:eastAsia="Calibri"/>
          <w:noProof/>
          <w:lang w:val="en-US" w:eastAsia="en-US"/>
        </w:rPr>
        <w:t>B</w:t>
      </w:r>
      <w:r w:rsidR="006E0BD7" w:rsidRPr="00C903F8">
        <w:rPr>
          <w:rFonts w:eastAsia="Calibri"/>
          <w:noProof/>
          <w:lang w:val="en-US" w:eastAsia="en-US"/>
        </w:rPr>
        <w:t xml:space="preserve">y way of derogation from the requirements of (c), for craft solely giving — in accordance with </w:t>
      </w:r>
      <w:r w:rsidR="00963DA5" w:rsidRPr="00C903F8">
        <w:rPr>
          <w:rFonts w:eastAsia="Calibri"/>
          <w:noProof/>
          <w:lang w:val="en-US" w:eastAsia="en-US"/>
        </w:rPr>
        <w:t xml:space="preserve">the </w:t>
      </w:r>
      <w:r w:rsidR="006E0BD7" w:rsidRPr="00C903F8">
        <w:rPr>
          <w:rFonts w:eastAsia="Calibri"/>
          <w:noProof/>
          <w:lang w:val="en-US" w:eastAsia="en-US"/>
        </w:rPr>
        <w:t xml:space="preserve">applicable navigational authority regulations of the Member States — towing assistance to motorised craft, a towing device such as a bollard or an equivalent device shall suffice. (b) shall apply </w:t>
      </w:r>
      <w:r w:rsidR="006E0BD7" w:rsidRPr="00C903F8">
        <w:rPr>
          <w:rFonts w:eastAsia="Calibri"/>
          <w:i/>
          <w:iCs/>
          <w:noProof/>
          <w:lang w:val="en-US" w:eastAsia="en-US"/>
        </w:rPr>
        <w:t>mutatis mutandis</w:t>
      </w:r>
      <w:r w:rsidR="00772341" w:rsidRPr="00C903F8">
        <w:rPr>
          <w:rFonts w:eastAsia="Calibri"/>
          <w:i/>
          <w:noProof/>
          <w:lang w:val="en-US" w:eastAsia="en-US"/>
        </w:rPr>
        <w:t>.</w:t>
      </w:r>
    </w:p>
    <w:p w:rsidR="006E0BD7" w:rsidRPr="00C903F8" w:rsidRDefault="0029453D" w:rsidP="0034719E">
      <w:pPr>
        <w:pStyle w:val="ESlet"/>
        <w:rPr>
          <w:rFonts w:eastAsia="Calibri" w:cs="Arial"/>
          <w:szCs w:val="18"/>
          <w:lang w:val="en-US" w:eastAsia="en-US"/>
        </w:rPr>
      </w:pPr>
      <w:r w:rsidRPr="00C903F8">
        <w:rPr>
          <w:rFonts w:eastAsia="Calibri"/>
          <w:noProof/>
          <w:lang w:val="en-US" w:eastAsia="en-US"/>
        </w:rPr>
        <w:t>e)</w:t>
      </w:r>
      <w:r w:rsidR="006E0BD7" w:rsidRPr="00C903F8">
        <w:rPr>
          <w:rFonts w:eastAsia="Calibri"/>
          <w:noProof/>
          <w:lang w:val="en-US" w:eastAsia="en-US"/>
        </w:rPr>
        <w:tab/>
      </w:r>
      <w:r w:rsidR="00772341" w:rsidRPr="00C903F8">
        <w:rPr>
          <w:rFonts w:eastAsia="Calibri"/>
          <w:noProof/>
          <w:lang w:val="en-US" w:eastAsia="en-US"/>
        </w:rPr>
        <w:t>W</w:t>
      </w:r>
      <w:r w:rsidR="006E0BD7" w:rsidRPr="00C903F8">
        <w:rPr>
          <w:rFonts w:eastAsia="Calibri"/>
          <w:noProof/>
          <w:lang w:val="en-US" w:eastAsia="en-US"/>
        </w:rPr>
        <w:t>here the towing cables could snag on the stern of the vessel, deflector hoops with cable catchers shall be provided.</w:t>
      </w:r>
    </w:p>
    <w:p w:rsidR="006E0BD7" w:rsidRPr="00C903F8" w:rsidRDefault="006E0BD7" w:rsidP="006E0BD7">
      <w:pPr>
        <w:pStyle w:val="ESch"/>
        <w:rPr>
          <w:rFonts w:eastAsia="Calibri"/>
          <w:noProof/>
          <w:lang w:val="en-US" w:eastAsia="en-US"/>
        </w:rPr>
      </w:pPr>
    </w:p>
    <w:p w:rsidR="006E0BD7" w:rsidRPr="00C903F8" w:rsidRDefault="008E7AC7" w:rsidP="006E0BD7">
      <w:pPr>
        <w:pStyle w:val="ESch"/>
        <w:rPr>
          <w:rFonts w:eastAsia="Calibri" w:cs="Arial"/>
          <w:szCs w:val="18"/>
          <w:lang w:val="en-US" w:eastAsia="en-US"/>
        </w:rPr>
      </w:pPr>
      <w:r w:rsidRPr="00C903F8">
        <w:rPr>
          <w:rFonts w:eastAsia="Calibri"/>
          <w:noProof/>
          <w:lang w:val="en-US" w:eastAsia="en-US"/>
        </w:rPr>
        <w:t>2.</w:t>
      </w:r>
      <w:r w:rsidR="006E0BD7" w:rsidRPr="00C903F8">
        <w:rPr>
          <w:rFonts w:eastAsia="Calibri"/>
          <w:noProof/>
          <w:lang w:val="en-US" w:eastAsia="en-US"/>
        </w:rPr>
        <w:tab/>
        <w:t xml:space="preserve">Craft of length </w:t>
      </w:r>
      <m:oMath>
        <m:r>
          <w:rPr>
            <w:rFonts w:ascii="Cambria Math" w:eastAsia="Calibri" w:hAnsi="Cambria Math"/>
            <w:noProof/>
            <w:lang w:val="en-US" w:eastAsia="en-US"/>
          </w:rPr>
          <m:t>L</m:t>
        </m:r>
      </m:oMath>
      <w:r w:rsidR="006E0BD7" w:rsidRPr="00C903F8">
        <w:rPr>
          <w:rFonts w:eastAsia="Calibri"/>
          <w:noProof/>
          <w:lang w:val="en-US" w:eastAsia="en-US"/>
        </w:rPr>
        <w:t xml:space="preserve"> exceeding 86 m shall not be authorised for towing downstream.</w:t>
      </w:r>
    </w:p>
    <w:p w:rsidR="006E0BD7" w:rsidRPr="00C903F8" w:rsidRDefault="006E0BD7" w:rsidP="006E0BD7">
      <w:pPr>
        <w:pStyle w:val="ESch"/>
        <w:rPr>
          <w:rFonts w:eastAsia="Calibri" w:cs="Arial"/>
          <w:szCs w:val="18"/>
          <w:lang w:val="en-US" w:eastAsia="en-US"/>
        </w:rPr>
      </w:pPr>
    </w:p>
    <w:p w:rsidR="006E0BD7" w:rsidRPr="00C903F8" w:rsidRDefault="006E0BD7" w:rsidP="006E0BD7">
      <w:pPr>
        <w:pStyle w:val="ESch"/>
        <w:rPr>
          <w:rFonts w:eastAsia="Calibri" w:cs="Arial"/>
          <w:szCs w:val="18"/>
          <w:lang w:val="en-US" w:eastAsia="en-US"/>
        </w:rPr>
      </w:pPr>
    </w:p>
    <w:p w:rsidR="006E0BD7" w:rsidRPr="00C903F8" w:rsidRDefault="006E0BD7" w:rsidP="006E0BD7">
      <w:pPr>
        <w:pStyle w:val="ES-Titre3"/>
        <w:rPr>
          <w:rFonts w:cs="Arial"/>
          <w:i/>
          <w:szCs w:val="18"/>
          <w:lang w:val="en-US"/>
        </w:rPr>
      </w:pPr>
      <w:bookmarkStart w:id="223" w:name="_Toc491854211"/>
      <w:r w:rsidRPr="00C903F8">
        <w:rPr>
          <w:noProof/>
          <w:lang w:val="en-GB"/>
        </w:rPr>
        <w:t>Article 21.06</w:t>
      </w:r>
      <w:r w:rsidRPr="00C903F8">
        <w:rPr>
          <w:noProof/>
          <w:lang w:val="en-GB"/>
        </w:rPr>
        <w:br/>
      </w:r>
      <w:r w:rsidRPr="00C903F8">
        <w:rPr>
          <w:i/>
          <w:noProof/>
          <w:lang w:val="en-GB"/>
        </w:rPr>
        <w:t>Navigation tests on convoys</w:t>
      </w:r>
      <w:bookmarkEnd w:id="223"/>
    </w:p>
    <w:p w:rsidR="006E0BD7" w:rsidRPr="00C903F8" w:rsidRDefault="006E0BD7" w:rsidP="006E0BD7">
      <w:pPr>
        <w:pStyle w:val="ESch"/>
        <w:rPr>
          <w:rFonts w:eastAsia="Calibri"/>
          <w:noProof/>
          <w:lang w:val="en-US" w:eastAsia="en-US"/>
        </w:rPr>
      </w:pPr>
    </w:p>
    <w:p w:rsidR="006E0BD7" w:rsidRPr="00C903F8" w:rsidRDefault="006E0BD7" w:rsidP="006E0BD7">
      <w:pPr>
        <w:pStyle w:val="ESch"/>
        <w:rPr>
          <w:rFonts w:eastAsia="Calibri" w:cs="Arial"/>
          <w:szCs w:val="18"/>
          <w:lang w:val="en-US" w:eastAsia="en-US"/>
        </w:rPr>
      </w:pPr>
      <w:r w:rsidRPr="00C903F8">
        <w:rPr>
          <w:rFonts w:eastAsia="Calibri"/>
          <w:noProof/>
          <w:lang w:val="en-US" w:eastAsia="en-US"/>
        </w:rPr>
        <w:t>1</w:t>
      </w:r>
      <w:r w:rsidRPr="00C903F8">
        <w:rPr>
          <w:rFonts w:eastAsia="Calibri"/>
          <w:noProof/>
          <w:lang w:val="en-US" w:eastAsia="en-US"/>
        </w:rPr>
        <w:tab/>
        <w:t>In order to authorise a pusher or motor vessel to propel a rigid convoy, and to enter this on the inland navigation vessel certificate, the inspection body shall decide which formations are to be presented and shall conduct the navigation tests referred to in Article 5.02 with the convoy in the formation(s) applied for, which the inspection body regards to be the least favourable one(s). The requirements set out in Articles 5.02 to 5.10 shall be met by this convoy.</w:t>
      </w:r>
    </w:p>
    <w:p w:rsidR="006E0BD7" w:rsidRPr="00C903F8" w:rsidRDefault="006E0BD7" w:rsidP="006E0BD7">
      <w:pPr>
        <w:pStyle w:val="ESch"/>
        <w:rPr>
          <w:rFonts w:eastAsia="Calibri"/>
          <w:noProof/>
          <w:lang w:val="en-US" w:eastAsia="en-US"/>
        </w:rPr>
      </w:pPr>
    </w:p>
    <w:p w:rsidR="006E0BD7" w:rsidRPr="00C903F8" w:rsidRDefault="006E0BD7" w:rsidP="006E0BD7">
      <w:pPr>
        <w:pStyle w:val="ESchpar"/>
        <w:rPr>
          <w:rFonts w:eastAsia="Calibri" w:cs="Arial"/>
          <w:szCs w:val="18"/>
          <w:lang w:val="en-US" w:eastAsia="en-US"/>
        </w:rPr>
      </w:pPr>
      <w:r w:rsidRPr="00C903F8">
        <w:rPr>
          <w:rFonts w:eastAsia="Calibri"/>
          <w:noProof/>
          <w:lang w:val="en-US" w:eastAsia="en-US"/>
        </w:rPr>
        <w:t>The inspection body shall check that the rigid connection of all craft in the convoy is maintained during the manoeuvres required by Chapter 5.</w:t>
      </w:r>
    </w:p>
    <w:p w:rsidR="006E0BD7" w:rsidRPr="00C903F8" w:rsidRDefault="006E0BD7" w:rsidP="006E0BD7">
      <w:pPr>
        <w:pStyle w:val="ESch"/>
        <w:rPr>
          <w:rFonts w:eastAsia="Calibri"/>
          <w:noProof/>
          <w:lang w:val="en-US" w:eastAsia="en-US"/>
        </w:rPr>
      </w:pPr>
    </w:p>
    <w:p w:rsidR="00D66948" w:rsidRDefault="00D66948">
      <w:pPr>
        <w:autoSpaceDE/>
        <w:autoSpaceDN/>
        <w:ind w:left="0" w:firstLine="0"/>
        <w:jc w:val="left"/>
        <w:rPr>
          <w:rFonts w:eastAsia="Calibri"/>
          <w:noProof/>
          <w:lang w:val="en-US" w:eastAsia="en-US"/>
        </w:rPr>
      </w:pPr>
      <w:r>
        <w:rPr>
          <w:rFonts w:eastAsia="Calibri"/>
          <w:noProof/>
          <w:lang w:val="en-US" w:eastAsia="en-US"/>
        </w:rPr>
        <w:br w:type="page"/>
      </w:r>
    </w:p>
    <w:p w:rsidR="006E0BD7" w:rsidRPr="00C903F8" w:rsidRDefault="006E0BD7" w:rsidP="006E0BD7">
      <w:pPr>
        <w:pStyle w:val="ESch"/>
        <w:rPr>
          <w:rFonts w:eastAsia="Calibri" w:cs="Arial"/>
          <w:szCs w:val="18"/>
          <w:lang w:val="en-US" w:eastAsia="en-US"/>
        </w:rPr>
      </w:pPr>
      <w:r w:rsidRPr="00C903F8">
        <w:rPr>
          <w:rFonts w:eastAsia="Calibri"/>
          <w:noProof/>
          <w:lang w:val="en-US" w:eastAsia="en-US"/>
        </w:rPr>
        <w:lastRenderedPageBreak/>
        <w:t xml:space="preserve">2 </w:t>
      </w:r>
      <w:r w:rsidRPr="00C903F8">
        <w:rPr>
          <w:rFonts w:eastAsia="Calibri"/>
          <w:noProof/>
          <w:lang w:val="en-US" w:eastAsia="en-US"/>
        </w:rPr>
        <w:tab/>
        <w:t xml:space="preserve">If during the navigation tests referred to in </w:t>
      </w:r>
      <w:r w:rsidR="007E1D94" w:rsidRPr="00C903F8">
        <w:rPr>
          <w:rFonts w:eastAsia="Calibri"/>
          <w:noProof/>
          <w:lang w:val="en-US" w:eastAsia="en-US"/>
        </w:rPr>
        <w:t>(</w:t>
      </w:r>
      <w:r w:rsidRPr="00C903F8">
        <w:rPr>
          <w:rFonts w:eastAsia="Calibri"/>
          <w:noProof/>
          <w:lang w:val="en-US" w:eastAsia="en-US"/>
        </w:rPr>
        <w:t>1</w:t>
      </w:r>
      <w:r w:rsidR="007E1D94" w:rsidRPr="00C903F8">
        <w:rPr>
          <w:rFonts w:eastAsia="Calibri"/>
          <w:noProof/>
          <w:lang w:val="en-US" w:eastAsia="en-US"/>
        </w:rPr>
        <w:t>)</w:t>
      </w:r>
      <w:r w:rsidRPr="00C903F8">
        <w:rPr>
          <w:rFonts w:eastAsia="Calibri"/>
          <w:noProof/>
          <w:lang w:val="en-US" w:eastAsia="en-US"/>
        </w:rPr>
        <w:t xml:space="preserve"> there are specific installations on board the craft that are being either pushed or propelled side-by-side, such as the steering system, propulsion units or manoeuvring equipment, or articulated couplings in order to meet the requirements set out in Articles 5.02 to 5.10, the following shall be entered on the inland navigation vessel certificate for the craft propelling the convoy: formation, position, name and </w:t>
      </w:r>
      <w:r w:rsidR="00FD13C1" w:rsidRPr="00C903F8">
        <w:rPr>
          <w:rFonts w:eastAsia="Calibri"/>
          <w:noProof/>
          <w:lang w:val="en-US" w:eastAsia="en-US"/>
        </w:rPr>
        <w:t xml:space="preserve">unique </w:t>
      </w:r>
      <w:r w:rsidRPr="00C903F8">
        <w:rPr>
          <w:rFonts w:eastAsia="Calibri"/>
          <w:noProof/>
          <w:lang w:val="en-US" w:eastAsia="en-US"/>
        </w:rPr>
        <w:t xml:space="preserve">European </w:t>
      </w:r>
      <w:r w:rsidR="00FD13C1" w:rsidRPr="00C903F8">
        <w:rPr>
          <w:rFonts w:eastAsia="Calibri"/>
          <w:noProof/>
          <w:lang w:val="en-US" w:eastAsia="en-US"/>
        </w:rPr>
        <w:t>v</w:t>
      </w:r>
      <w:r w:rsidRPr="00C903F8">
        <w:rPr>
          <w:rFonts w:eastAsia="Calibri"/>
          <w:noProof/>
          <w:lang w:val="en-US" w:eastAsia="en-US"/>
        </w:rPr>
        <w:t xml:space="preserve">essel </w:t>
      </w:r>
      <w:r w:rsidR="00FD13C1" w:rsidRPr="00C903F8">
        <w:rPr>
          <w:rFonts w:eastAsia="Calibri"/>
          <w:noProof/>
          <w:lang w:val="en-US" w:eastAsia="en-US"/>
        </w:rPr>
        <w:t>i</w:t>
      </w:r>
      <w:r w:rsidRPr="00C903F8">
        <w:rPr>
          <w:rFonts w:eastAsia="Calibri"/>
          <w:noProof/>
          <w:lang w:val="en-US" w:eastAsia="en-US"/>
        </w:rPr>
        <w:t xml:space="preserve">dentification </w:t>
      </w:r>
      <w:r w:rsidR="00FD13C1" w:rsidRPr="00C903F8">
        <w:rPr>
          <w:rFonts w:eastAsia="Calibri"/>
          <w:noProof/>
          <w:lang w:val="en-US" w:eastAsia="en-US"/>
        </w:rPr>
        <w:t>n</w:t>
      </w:r>
      <w:r w:rsidRPr="00C903F8">
        <w:rPr>
          <w:rFonts w:eastAsia="Calibri"/>
          <w:noProof/>
          <w:lang w:val="en-US" w:eastAsia="en-US"/>
        </w:rPr>
        <w:t>umber of those craft which are fitted with the specific installations used.</w:t>
      </w:r>
    </w:p>
    <w:p w:rsidR="006E0BD7" w:rsidRPr="00C903F8" w:rsidRDefault="006E0BD7" w:rsidP="006E0BD7">
      <w:pPr>
        <w:pStyle w:val="ESch"/>
        <w:rPr>
          <w:rFonts w:eastAsia="Calibri" w:cs="Arial"/>
          <w:szCs w:val="18"/>
          <w:lang w:val="en-US" w:eastAsia="en-US"/>
        </w:rPr>
      </w:pPr>
    </w:p>
    <w:p w:rsidR="006E0BD7" w:rsidRPr="00C903F8" w:rsidRDefault="006E0BD7" w:rsidP="006E0BD7">
      <w:pPr>
        <w:pStyle w:val="ESch"/>
        <w:rPr>
          <w:rFonts w:eastAsia="Calibri" w:cs="Arial"/>
          <w:szCs w:val="18"/>
          <w:lang w:val="en-US" w:eastAsia="en-US"/>
        </w:rPr>
      </w:pPr>
    </w:p>
    <w:p w:rsidR="006E0BD7" w:rsidRPr="00C903F8" w:rsidRDefault="006E0BD7" w:rsidP="006E0BD7">
      <w:pPr>
        <w:pStyle w:val="ES-Titre3"/>
        <w:rPr>
          <w:rFonts w:cs="Arial"/>
          <w:i/>
          <w:szCs w:val="18"/>
          <w:lang w:val="en-US"/>
        </w:rPr>
      </w:pPr>
      <w:bookmarkStart w:id="224" w:name="_Toc491854212"/>
      <w:r w:rsidRPr="00C903F8">
        <w:rPr>
          <w:noProof/>
          <w:lang w:val="en-US"/>
        </w:rPr>
        <w:t>Article 21.07</w:t>
      </w:r>
      <w:r w:rsidRPr="00C903F8">
        <w:rPr>
          <w:noProof/>
          <w:lang w:val="en-US"/>
        </w:rPr>
        <w:br/>
      </w:r>
      <w:r w:rsidRPr="00C903F8">
        <w:rPr>
          <w:i/>
          <w:noProof/>
          <w:lang w:val="en-US"/>
        </w:rPr>
        <w:t>Entries on the inland navigation vessel certificate</w:t>
      </w:r>
      <w:bookmarkEnd w:id="224"/>
    </w:p>
    <w:p w:rsidR="006E0BD7" w:rsidRPr="00C903F8" w:rsidRDefault="006E0BD7" w:rsidP="006E0BD7">
      <w:pPr>
        <w:pStyle w:val="ESch"/>
        <w:rPr>
          <w:rFonts w:eastAsia="Calibri"/>
          <w:noProof/>
          <w:lang w:val="en-US" w:eastAsia="en-US"/>
        </w:rPr>
      </w:pPr>
    </w:p>
    <w:p w:rsidR="006E0BD7" w:rsidRPr="00C903F8" w:rsidRDefault="006E0BD7" w:rsidP="006E0BD7">
      <w:pPr>
        <w:pStyle w:val="ESch"/>
        <w:rPr>
          <w:rFonts w:eastAsia="Calibri" w:cs="Arial"/>
          <w:szCs w:val="18"/>
          <w:lang w:val="en-US" w:eastAsia="en-US"/>
        </w:rPr>
      </w:pPr>
      <w:r w:rsidRPr="00C903F8">
        <w:rPr>
          <w:rFonts w:eastAsia="Calibri"/>
          <w:noProof/>
          <w:lang w:val="en-US" w:eastAsia="en-US"/>
        </w:rPr>
        <w:t xml:space="preserve">1 </w:t>
      </w:r>
      <w:r w:rsidRPr="00C903F8">
        <w:rPr>
          <w:rFonts w:eastAsia="Calibri"/>
          <w:noProof/>
          <w:lang w:val="en-US" w:eastAsia="en-US"/>
        </w:rPr>
        <w:tab/>
        <w:t>If a craft is intended to propel a convoy, or be propelled in a convoy, its compliance with the relevant requirements as set out in Articles 21.01 to 21.06 shall be entered on the inland navigation vessel certificate.</w:t>
      </w:r>
    </w:p>
    <w:p w:rsidR="006E0BD7" w:rsidRPr="00C903F8" w:rsidRDefault="006E0BD7" w:rsidP="006E0BD7">
      <w:pPr>
        <w:pStyle w:val="ESch"/>
        <w:rPr>
          <w:rFonts w:eastAsia="Calibri"/>
          <w:noProof/>
          <w:lang w:val="en-US" w:eastAsia="en-US"/>
        </w:rPr>
      </w:pPr>
    </w:p>
    <w:p w:rsidR="006E0BD7" w:rsidRPr="00C903F8" w:rsidRDefault="006E0BD7" w:rsidP="006E0BD7">
      <w:pPr>
        <w:pStyle w:val="ESch"/>
        <w:rPr>
          <w:rFonts w:eastAsia="Calibri" w:cs="Arial"/>
          <w:szCs w:val="18"/>
          <w:lang w:val="en-US" w:eastAsia="en-US"/>
        </w:rPr>
      </w:pPr>
      <w:r w:rsidRPr="00C903F8">
        <w:rPr>
          <w:rFonts w:eastAsia="Calibri"/>
          <w:noProof/>
          <w:lang w:val="en-US" w:eastAsia="en-US"/>
        </w:rPr>
        <w:t xml:space="preserve">2 </w:t>
      </w:r>
      <w:r w:rsidRPr="00C903F8">
        <w:rPr>
          <w:rFonts w:eastAsia="Calibri"/>
          <w:noProof/>
          <w:lang w:val="en-US" w:eastAsia="en-US"/>
        </w:rPr>
        <w:tab/>
        <w:t>The following information shall be entered on the inland navigation vessel certificate for the propelling craft:</w:t>
      </w:r>
    </w:p>
    <w:p w:rsidR="006E0BD7" w:rsidRPr="00C903F8" w:rsidRDefault="005C7859" w:rsidP="006E0BD7">
      <w:pPr>
        <w:pStyle w:val="ESlet"/>
        <w:rPr>
          <w:rFonts w:eastAsia="Calibri" w:cs="Arial"/>
          <w:szCs w:val="18"/>
          <w:lang w:val="en-US" w:eastAsia="en-US"/>
        </w:rPr>
      </w:pPr>
      <w:r w:rsidRPr="00C903F8">
        <w:rPr>
          <w:rFonts w:eastAsia="Calibri"/>
          <w:noProof/>
          <w:lang w:val="en-US" w:eastAsia="en-US"/>
        </w:rPr>
        <w:t>a)</w:t>
      </w:r>
      <w:r w:rsidR="006E0BD7" w:rsidRPr="00C903F8">
        <w:rPr>
          <w:rFonts w:eastAsia="Calibri"/>
          <w:noProof/>
          <w:lang w:val="en-US" w:eastAsia="en-US"/>
        </w:rPr>
        <w:tab/>
        <w:t>the convoys and formations that have been accepted;</w:t>
      </w:r>
    </w:p>
    <w:p w:rsidR="006E0BD7" w:rsidRPr="00C903F8" w:rsidRDefault="005C7859" w:rsidP="006E0BD7">
      <w:pPr>
        <w:pStyle w:val="ESlet"/>
        <w:rPr>
          <w:rFonts w:eastAsia="Calibri" w:cs="Arial"/>
          <w:szCs w:val="18"/>
          <w:lang w:val="en-US" w:eastAsia="en-US"/>
        </w:rPr>
      </w:pPr>
      <w:r w:rsidRPr="00C903F8">
        <w:rPr>
          <w:rFonts w:eastAsia="Calibri"/>
          <w:noProof/>
          <w:lang w:val="en-US" w:eastAsia="en-US"/>
        </w:rPr>
        <w:t>b)</w:t>
      </w:r>
      <w:r w:rsidR="006E0BD7" w:rsidRPr="00C903F8">
        <w:rPr>
          <w:rFonts w:eastAsia="Calibri"/>
          <w:noProof/>
          <w:lang w:val="en-US" w:eastAsia="en-US"/>
        </w:rPr>
        <w:tab/>
        <w:t>the types of coupling;</w:t>
      </w:r>
    </w:p>
    <w:p w:rsidR="006E0BD7" w:rsidRPr="00C903F8" w:rsidRDefault="005C7859" w:rsidP="006E0BD7">
      <w:pPr>
        <w:pStyle w:val="ESlet"/>
        <w:rPr>
          <w:rFonts w:eastAsia="Calibri" w:cs="Arial"/>
          <w:szCs w:val="18"/>
          <w:lang w:val="en-US" w:eastAsia="en-US"/>
        </w:rPr>
      </w:pPr>
      <w:r w:rsidRPr="00C903F8">
        <w:rPr>
          <w:rFonts w:eastAsia="Calibri"/>
          <w:noProof/>
          <w:lang w:val="en-US" w:eastAsia="en-US"/>
        </w:rPr>
        <w:t>c)</w:t>
      </w:r>
      <w:r w:rsidR="006E0BD7" w:rsidRPr="00C903F8">
        <w:rPr>
          <w:rFonts w:eastAsia="Calibri"/>
          <w:noProof/>
          <w:lang w:val="en-US" w:eastAsia="en-US"/>
        </w:rPr>
        <w:tab/>
        <w:t>the maximum coupling forces determined, and</w:t>
      </w:r>
    </w:p>
    <w:p w:rsidR="006E0BD7" w:rsidRPr="00C903F8" w:rsidRDefault="0029453D" w:rsidP="006E0BD7">
      <w:pPr>
        <w:pStyle w:val="ESlet"/>
        <w:rPr>
          <w:rFonts w:eastAsia="Calibri" w:cs="Arial"/>
          <w:szCs w:val="18"/>
          <w:lang w:val="en-US" w:eastAsia="en-US"/>
        </w:rPr>
      </w:pPr>
      <w:r w:rsidRPr="00C903F8">
        <w:rPr>
          <w:rFonts w:eastAsia="Calibri"/>
          <w:noProof/>
          <w:lang w:val="en-US" w:eastAsia="en-US"/>
        </w:rPr>
        <w:t>d)</w:t>
      </w:r>
      <w:r w:rsidR="006E0BD7" w:rsidRPr="00C903F8">
        <w:rPr>
          <w:rFonts w:eastAsia="Calibri"/>
          <w:noProof/>
          <w:lang w:val="en-US" w:eastAsia="en-US"/>
        </w:rPr>
        <w:tab/>
        <w:t xml:space="preserve">where appropriate, the minimum </w:t>
      </w:r>
      <w:r w:rsidR="00A610BD" w:rsidRPr="00C903F8">
        <w:rPr>
          <w:rFonts w:eastAsia="Calibri"/>
          <w:noProof/>
          <w:lang w:val="en-US" w:eastAsia="en-US"/>
        </w:rPr>
        <w:t>breaking load</w:t>
      </w:r>
      <w:r w:rsidR="006E0BD7" w:rsidRPr="00C903F8">
        <w:rPr>
          <w:rFonts w:eastAsia="Calibri"/>
          <w:noProof/>
          <w:lang w:val="en-US" w:eastAsia="en-US"/>
        </w:rPr>
        <w:t xml:space="preserve"> of the coupling cables for the longitudinal connection and also the number of cable windings.</w:t>
      </w:r>
    </w:p>
    <w:p w:rsidR="006E0BD7" w:rsidRPr="00C903F8" w:rsidRDefault="006E0BD7" w:rsidP="00973DAA">
      <w:pPr>
        <w:pStyle w:val="ESch"/>
        <w:rPr>
          <w:lang w:val="en-US"/>
        </w:rPr>
      </w:pPr>
    </w:p>
    <w:p w:rsidR="00716655" w:rsidRPr="00C903F8" w:rsidRDefault="00716655" w:rsidP="00973DAA">
      <w:pPr>
        <w:pStyle w:val="ESch"/>
        <w:rPr>
          <w:lang w:val="en-US"/>
        </w:rPr>
      </w:pPr>
    </w:p>
    <w:p w:rsidR="00377B97" w:rsidRPr="00C903F8" w:rsidRDefault="00377B97" w:rsidP="00973DAA">
      <w:pPr>
        <w:pStyle w:val="ESch"/>
        <w:rPr>
          <w:lang w:val="en-US"/>
        </w:rPr>
      </w:pPr>
    </w:p>
    <w:p w:rsidR="00A71FF0" w:rsidRPr="00C903F8" w:rsidRDefault="00A71FF0" w:rsidP="00973DAA">
      <w:pPr>
        <w:pStyle w:val="ESch"/>
        <w:rPr>
          <w:lang w:val="en-US"/>
        </w:rPr>
      </w:pPr>
      <w:r w:rsidRPr="00C903F8">
        <w:rPr>
          <w:lang w:val="en-US"/>
        </w:rPr>
        <w:br w:type="page"/>
      </w:r>
    </w:p>
    <w:p w:rsidR="00377B97" w:rsidRPr="00C903F8" w:rsidRDefault="00377B97" w:rsidP="00973DAA">
      <w:pPr>
        <w:pStyle w:val="ESch"/>
        <w:rPr>
          <w:lang w:val="en-US"/>
        </w:rPr>
      </w:pPr>
    </w:p>
    <w:p w:rsidR="00377B97" w:rsidRPr="00C903F8" w:rsidRDefault="00377B97" w:rsidP="00377B97">
      <w:pPr>
        <w:pStyle w:val="ES-Titre2"/>
        <w:rPr>
          <w:szCs w:val="24"/>
        </w:rPr>
      </w:pPr>
      <w:bookmarkStart w:id="225" w:name="_Toc491854213"/>
      <w:r w:rsidRPr="00C903F8">
        <w:lastRenderedPageBreak/>
        <w:t>Chapter 22</w:t>
      </w:r>
      <w:r w:rsidRPr="00C903F8">
        <w:br/>
      </w:r>
      <w:r w:rsidRPr="00C903F8">
        <w:rPr>
          <w:noProof/>
          <w:sz w:val="22"/>
          <w:szCs w:val="22"/>
        </w:rPr>
        <w:t>Special provisions applicable to floating equipment</w:t>
      </w:r>
      <w:bookmarkEnd w:id="225"/>
    </w:p>
    <w:p w:rsidR="00377B97" w:rsidRPr="00C903F8" w:rsidRDefault="00377B97" w:rsidP="00377B97">
      <w:pPr>
        <w:rPr>
          <w:lang w:val="en-US" w:eastAsia="en-US"/>
        </w:rPr>
      </w:pPr>
    </w:p>
    <w:p w:rsidR="00377B97" w:rsidRPr="00C903F8" w:rsidRDefault="00377B97" w:rsidP="00377B97">
      <w:pPr>
        <w:pStyle w:val="ES-Titre3"/>
        <w:rPr>
          <w:lang w:val="en-US"/>
        </w:rPr>
      </w:pPr>
      <w:bookmarkStart w:id="226" w:name="_Toc491854214"/>
      <w:r w:rsidRPr="00C903F8">
        <w:rPr>
          <w:noProof/>
          <w:lang w:val="en-US"/>
        </w:rPr>
        <w:t>Article 22.01</w:t>
      </w:r>
      <w:r w:rsidRPr="00C903F8">
        <w:rPr>
          <w:noProof/>
          <w:lang w:val="en-US"/>
        </w:rPr>
        <w:br/>
      </w:r>
      <w:r w:rsidRPr="00C903F8">
        <w:rPr>
          <w:bCs/>
          <w:i/>
          <w:noProof/>
          <w:lang w:val="en-US"/>
        </w:rPr>
        <w:t>General</w:t>
      </w:r>
      <w:bookmarkEnd w:id="226"/>
    </w:p>
    <w:p w:rsidR="00377B97" w:rsidRPr="00C903F8" w:rsidRDefault="00377B97" w:rsidP="00377B97">
      <w:pPr>
        <w:pStyle w:val="ESch"/>
        <w:rPr>
          <w:noProof/>
          <w:lang w:val="en-US"/>
        </w:rPr>
      </w:pPr>
    </w:p>
    <w:p w:rsidR="00377B97" w:rsidRPr="00C903F8" w:rsidRDefault="00377B97" w:rsidP="00377B97">
      <w:pPr>
        <w:pStyle w:val="ESgauche"/>
        <w:rPr>
          <w:rFonts w:cs="Arial"/>
          <w:szCs w:val="18"/>
          <w:lang w:val="en-US"/>
        </w:rPr>
      </w:pPr>
      <w:r w:rsidRPr="00C903F8">
        <w:rPr>
          <w:lang w:val="en-US"/>
        </w:rPr>
        <w:t>For construction and equipment of floating equipment Chapters 3, 7 to 17 and 21 shall apply. Floating equipment with its own means of propulsion shall also meet the requirements of Chapters 5 and 6. Propulsion units permitting only short-haul operation shall not constitute own means of propulsion.</w:t>
      </w:r>
    </w:p>
    <w:p w:rsidR="00377B97" w:rsidRPr="00C903F8" w:rsidRDefault="00377B97" w:rsidP="00377B97">
      <w:pPr>
        <w:pStyle w:val="ESch"/>
        <w:rPr>
          <w:rFonts w:cs="Arial"/>
          <w:szCs w:val="18"/>
          <w:lang w:val="en-US"/>
        </w:rPr>
      </w:pPr>
    </w:p>
    <w:p w:rsidR="00377B97" w:rsidRPr="00C903F8" w:rsidRDefault="00377B97" w:rsidP="00377B97">
      <w:pPr>
        <w:pStyle w:val="ESch"/>
        <w:rPr>
          <w:rFonts w:cs="Arial"/>
          <w:szCs w:val="18"/>
          <w:lang w:val="en-US"/>
        </w:rPr>
      </w:pPr>
    </w:p>
    <w:p w:rsidR="00377B97" w:rsidRPr="00C903F8" w:rsidRDefault="00377B97" w:rsidP="00377B97">
      <w:pPr>
        <w:pStyle w:val="ES-Titre3"/>
        <w:rPr>
          <w:rFonts w:cs="Arial"/>
          <w:i/>
          <w:szCs w:val="18"/>
          <w:lang w:val="en-US"/>
        </w:rPr>
      </w:pPr>
      <w:bookmarkStart w:id="227" w:name="_Toc491854215"/>
      <w:r w:rsidRPr="00C903F8">
        <w:rPr>
          <w:noProof/>
          <w:lang w:val="en-US"/>
        </w:rPr>
        <w:t>Article 22.02</w:t>
      </w:r>
      <w:r w:rsidRPr="00C903F8">
        <w:rPr>
          <w:noProof/>
          <w:lang w:val="en-US"/>
        </w:rPr>
        <w:br/>
      </w:r>
      <w:r w:rsidRPr="00C903F8">
        <w:rPr>
          <w:bCs/>
          <w:i/>
          <w:noProof/>
          <w:lang w:val="en-US"/>
        </w:rPr>
        <w:t>Derogations</w:t>
      </w:r>
      <w:bookmarkEnd w:id="227"/>
    </w:p>
    <w:p w:rsidR="00377B97" w:rsidRPr="00C903F8" w:rsidRDefault="00377B97" w:rsidP="00377B97">
      <w:pPr>
        <w:pStyle w:val="ESch"/>
        <w:rPr>
          <w:noProof/>
          <w:lang w:val="en-US"/>
        </w:rPr>
      </w:pPr>
    </w:p>
    <w:p w:rsidR="00377B97" w:rsidRPr="00C903F8" w:rsidRDefault="00377B97" w:rsidP="00505433">
      <w:pPr>
        <w:pStyle w:val="Eschlettre"/>
        <w:rPr>
          <w:rFonts w:cs="Arial"/>
          <w:szCs w:val="18"/>
        </w:rPr>
      </w:pPr>
      <w:r w:rsidRPr="00C903F8">
        <w:t xml:space="preserve">1. </w:t>
      </w:r>
      <w:r w:rsidRPr="00C903F8">
        <w:tab/>
      </w:r>
      <w:r w:rsidR="005C7859" w:rsidRPr="00C903F8">
        <w:t>a)</w:t>
      </w:r>
      <w:r w:rsidRPr="00C903F8">
        <w:tab/>
        <w:t xml:space="preserve">Article 3.03(1) and (2), shall apply </w:t>
      </w:r>
      <w:r w:rsidRPr="00C903F8">
        <w:rPr>
          <w:i/>
          <w:iCs/>
        </w:rPr>
        <w:t>mutatis mutandis</w:t>
      </w:r>
      <w:r w:rsidRPr="00C903F8">
        <w:t>;</w:t>
      </w:r>
    </w:p>
    <w:p w:rsidR="00377B97" w:rsidRPr="00C903F8" w:rsidRDefault="005C7859" w:rsidP="00377B97">
      <w:pPr>
        <w:pStyle w:val="ESlet"/>
        <w:rPr>
          <w:rFonts w:cs="Arial"/>
          <w:szCs w:val="18"/>
          <w:lang w:val="en-US"/>
        </w:rPr>
      </w:pPr>
      <w:r w:rsidRPr="00C903F8">
        <w:rPr>
          <w:noProof/>
          <w:lang w:val="en-US"/>
        </w:rPr>
        <w:t>b)</w:t>
      </w:r>
      <w:r w:rsidR="00377B97" w:rsidRPr="00C903F8">
        <w:rPr>
          <w:noProof/>
          <w:lang w:val="en-US"/>
        </w:rPr>
        <w:tab/>
        <w:t xml:space="preserve">Article 7.02 shall apply </w:t>
      </w:r>
      <w:r w:rsidR="00377B97" w:rsidRPr="00C903F8">
        <w:rPr>
          <w:i/>
          <w:iCs/>
          <w:noProof/>
          <w:lang w:val="en-US"/>
        </w:rPr>
        <w:t>mutatis mutandis</w:t>
      </w:r>
      <w:r w:rsidR="00377B97" w:rsidRPr="00C903F8">
        <w:rPr>
          <w:noProof/>
          <w:lang w:val="en-US"/>
        </w:rPr>
        <w:t>;</w:t>
      </w:r>
    </w:p>
    <w:p w:rsidR="00377B97" w:rsidRPr="00C903F8" w:rsidRDefault="005C7859" w:rsidP="00377B97">
      <w:pPr>
        <w:pStyle w:val="ESlet"/>
        <w:rPr>
          <w:rFonts w:cs="Arial"/>
          <w:szCs w:val="18"/>
          <w:lang w:val="en-US"/>
        </w:rPr>
      </w:pPr>
      <w:r w:rsidRPr="00C903F8">
        <w:rPr>
          <w:noProof/>
          <w:lang w:val="en-US"/>
        </w:rPr>
        <w:t>c)</w:t>
      </w:r>
      <w:r w:rsidR="00377B97" w:rsidRPr="00C903F8">
        <w:rPr>
          <w:noProof/>
          <w:lang w:val="en-US"/>
        </w:rPr>
        <w:tab/>
        <w:t>the maximum sound pressure levels prescribed by Article 15.02(5), second sentence, may be exceeded while the floating equipment's working gear is operating, provided that, during service, nobody sleeps on board at night;</w:t>
      </w:r>
    </w:p>
    <w:p w:rsidR="00377B97" w:rsidRPr="00C903F8" w:rsidRDefault="0029453D" w:rsidP="006136F0">
      <w:pPr>
        <w:pStyle w:val="ESlet"/>
        <w:rPr>
          <w:rFonts w:cs="Arial"/>
          <w:szCs w:val="18"/>
          <w:lang w:val="en-US"/>
        </w:rPr>
      </w:pPr>
      <w:r w:rsidRPr="00C903F8">
        <w:rPr>
          <w:noProof/>
          <w:lang w:val="en-US"/>
        </w:rPr>
        <w:t>d)</w:t>
      </w:r>
      <w:r w:rsidR="00377B97" w:rsidRPr="00C903F8">
        <w:rPr>
          <w:noProof/>
          <w:lang w:val="en-US"/>
        </w:rPr>
        <w:tab/>
      </w:r>
      <w:r w:rsidR="00EA03BA" w:rsidRPr="00C903F8">
        <w:rPr>
          <w:noProof/>
          <w:lang w:val="en-US"/>
        </w:rPr>
        <w:t>the inspection body may grant exceptions to the other requirements concerning shipbuil</w:t>
      </w:r>
      <w:r w:rsidR="006136F0" w:rsidRPr="00C903F8">
        <w:rPr>
          <w:noProof/>
          <w:lang w:val="en-US"/>
        </w:rPr>
        <w:t>d</w:t>
      </w:r>
      <w:r w:rsidR="00EA03BA" w:rsidRPr="00C903F8">
        <w:rPr>
          <w:noProof/>
          <w:lang w:val="en-US"/>
        </w:rPr>
        <w:t>ing, fitting out and equipment provided that equivalent safety is proven in every case.</w:t>
      </w:r>
    </w:p>
    <w:p w:rsidR="00377B97" w:rsidRPr="00C903F8" w:rsidRDefault="00377B97" w:rsidP="00377B97">
      <w:pPr>
        <w:pStyle w:val="ESch"/>
        <w:rPr>
          <w:noProof/>
          <w:lang w:val="en-US"/>
        </w:rPr>
      </w:pPr>
    </w:p>
    <w:p w:rsidR="00377B97" w:rsidRPr="00C903F8" w:rsidRDefault="00377B97" w:rsidP="00377B97">
      <w:pPr>
        <w:pStyle w:val="ESch"/>
        <w:rPr>
          <w:rFonts w:cs="Arial"/>
          <w:szCs w:val="18"/>
          <w:lang w:val="en-US"/>
        </w:rPr>
      </w:pPr>
      <w:r w:rsidRPr="00C903F8">
        <w:rPr>
          <w:noProof/>
          <w:lang w:val="en-US"/>
        </w:rPr>
        <w:t>2.</w:t>
      </w:r>
      <w:r w:rsidRPr="00C903F8">
        <w:rPr>
          <w:noProof/>
          <w:lang w:val="en-US"/>
        </w:rPr>
        <w:tab/>
        <w:t>The inspection body may dispense with the application of the following requirements:</w:t>
      </w:r>
    </w:p>
    <w:p w:rsidR="00377B97" w:rsidRPr="00C903F8" w:rsidRDefault="005C7859" w:rsidP="00377B97">
      <w:pPr>
        <w:pStyle w:val="ESlet"/>
        <w:rPr>
          <w:rFonts w:cs="Arial"/>
          <w:szCs w:val="18"/>
          <w:lang w:val="en-US"/>
        </w:rPr>
      </w:pPr>
      <w:r w:rsidRPr="00C903F8">
        <w:rPr>
          <w:noProof/>
          <w:lang w:val="en-US"/>
        </w:rPr>
        <w:t>a)</w:t>
      </w:r>
      <w:r w:rsidR="00377B97" w:rsidRPr="00C903F8">
        <w:rPr>
          <w:noProof/>
          <w:lang w:val="en-US"/>
        </w:rPr>
        <w:tab/>
        <w:t>Article 13.01(1), shall not apply if during operation of floating equipment that equipment can be securely anchored by means of a working anchor or piles. However, floating equipment with its own means of propulsion shall have at least one anchor meeting the requirements in Article 13.01(1), where an empirical coefficient</w:t>
      </w:r>
      <w:r w:rsidR="00F46634" w:rsidRPr="00C903F8">
        <w:rPr>
          <w:noProof/>
          <w:lang w:val="en-US"/>
        </w:rPr>
        <w:t xml:space="preserve"> </w:t>
      </w:r>
      <m:oMath>
        <m:r>
          <w:rPr>
            <w:rFonts w:ascii="Cambria Math" w:hAnsi="Cambria Math"/>
            <w:noProof/>
            <w:lang w:val="en-US"/>
          </w:rPr>
          <m:t>k</m:t>
        </m:r>
      </m:oMath>
      <w:r w:rsidR="00F46634" w:rsidRPr="00C903F8">
        <w:rPr>
          <w:noProof/>
          <w:lang w:val="en-US"/>
        </w:rPr>
        <w:t xml:space="preserve"> </w:t>
      </w:r>
      <w:r w:rsidR="00377B97" w:rsidRPr="00C903F8">
        <w:rPr>
          <w:noProof/>
          <w:lang w:val="en-US"/>
        </w:rPr>
        <w:t>is taken to be equal to 45, and</w:t>
      </w:r>
      <w:r w:rsidR="00F46634" w:rsidRPr="00C903F8">
        <w:rPr>
          <w:noProof/>
          <w:lang w:val="en-US"/>
        </w:rPr>
        <w:t xml:space="preserve"> </w:t>
      </w:r>
      <m:oMath>
        <m:r>
          <w:rPr>
            <w:rFonts w:ascii="Cambria Math" w:hAnsi="Cambria Math"/>
            <w:noProof/>
            <w:lang w:val="en-US"/>
          </w:rPr>
          <m:t>T</m:t>
        </m:r>
      </m:oMath>
      <w:r w:rsidR="00F46634" w:rsidRPr="00C903F8">
        <w:rPr>
          <w:noProof/>
          <w:lang w:val="en-US"/>
        </w:rPr>
        <w:t xml:space="preserve"> </w:t>
      </w:r>
      <w:r w:rsidR="00377B97" w:rsidRPr="00C903F8">
        <w:rPr>
          <w:noProof/>
          <w:lang w:val="en-US"/>
        </w:rPr>
        <w:t xml:space="preserve">is taken to be equal to the height </w:t>
      </w:r>
      <m:oMath>
        <m:r>
          <w:rPr>
            <w:rFonts w:ascii="Cambria Math" w:hAnsi="Cambria Math"/>
            <w:noProof/>
            <w:lang w:val="en-US"/>
          </w:rPr>
          <m:t>H</m:t>
        </m:r>
      </m:oMath>
      <w:r w:rsidR="00377B97" w:rsidRPr="00C903F8">
        <w:rPr>
          <w:noProof/>
          <w:lang w:val="en-US"/>
        </w:rPr>
        <w:t>;</w:t>
      </w:r>
    </w:p>
    <w:p w:rsidR="00377B97" w:rsidRPr="00C903F8" w:rsidRDefault="005C7859" w:rsidP="00377B97">
      <w:pPr>
        <w:pStyle w:val="ESlet"/>
        <w:rPr>
          <w:rFonts w:cs="Arial"/>
          <w:szCs w:val="18"/>
          <w:lang w:val="en-US"/>
        </w:rPr>
      </w:pPr>
      <w:r w:rsidRPr="00C903F8">
        <w:rPr>
          <w:noProof/>
          <w:lang w:val="en-US"/>
        </w:rPr>
        <w:t>b)</w:t>
      </w:r>
      <w:r w:rsidR="00377B97" w:rsidRPr="00C903F8">
        <w:rPr>
          <w:noProof/>
          <w:lang w:val="en-US"/>
        </w:rPr>
        <w:tab/>
        <w:t>Article 15.02(1), second part of sentence, if the accommodation can be adequately lit by means of electricity.</w:t>
      </w:r>
    </w:p>
    <w:p w:rsidR="00377B97" w:rsidRPr="00C903F8" w:rsidRDefault="00377B97" w:rsidP="00377B97">
      <w:pPr>
        <w:pStyle w:val="ESch"/>
        <w:rPr>
          <w:noProof/>
          <w:lang w:val="en-US"/>
        </w:rPr>
      </w:pPr>
    </w:p>
    <w:p w:rsidR="00377B97" w:rsidRPr="00C903F8" w:rsidRDefault="00377B97" w:rsidP="00377B97">
      <w:pPr>
        <w:pStyle w:val="ESch"/>
        <w:rPr>
          <w:rFonts w:cs="Arial"/>
          <w:szCs w:val="18"/>
          <w:lang w:val="en-US"/>
        </w:rPr>
      </w:pPr>
      <w:r w:rsidRPr="00C903F8">
        <w:rPr>
          <w:noProof/>
          <w:lang w:val="en-US"/>
        </w:rPr>
        <w:t>3.</w:t>
      </w:r>
      <w:r w:rsidRPr="00C903F8">
        <w:rPr>
          <w:noProof/>
          <w:lang w:val="en-US"/>
        </w:rPr>
        <w:tab/>
        <w:t>In addition, the following shall apply:</w:t>
      </w:r>
    </w:p>
    <w:p w:rsidR="00377B97" w:rsidRPr="00C903F8" w:rsidRDefault="005C7859" w:rsidP="00377B97">
      <w:pPr>
        <w:pStyle w:val="ESlet"/>
        <w:rPr>
          <w:rFonts w:cs="Arial"/>
          <w:szCs w:val="18"/>
          <w:lang w:val="en-US"/>
        </w:rPr>
      </w:pPr>
      <w:r w:rsidRPr="00C903F8">
        <w:rPr>
          <w:noProof/>
          <w:lang w:val="en-US"/>
        </w:rPr>
        <w:t>a)</w:t>
      </w:r>
      <w:r w:rsidR="00377B97" w:rsidRPr="00C903F8">
        <w:rPr>
          <w:noProof/>
          <w:lang w:val="en-US"/>
        </w:rPr>
        <w:tab/>
        <w:t>for Article 8.08(2), second sentence, the bilge pump shall be motor driven;</w:t>
      </w:r>
    </w:p>
    <w:p w:rsidR="00377B97" w:rsidRPr="00C903F8" w:rsidRDefault="005C7859" w:rsidP="00377B97">
      <w:pPr>
        <w:pStyle w:val="ESlet"/>
        <w:rPr>
          <w:rFonts w:cs="Arial"/>
          <w:szCs w:val="18"/>
          <w:lang w:val="en-US"/>
        </w:rPr>
      </w:pPr>
      <w:r w:rsidRPr="00C903F8">
        <w:rPr>
          <w:noProof/>
          <w:lang w:val="en-US"/>
        </w:rPr>
        <w:t>b)</w:t>
      </w:r>
      <w:r w:rsidR="00377B97" w:rsidRPr="00C903F8">
        <w:rPr>
          <w:noProof/>
          <w:lang w:val="en-US"/>
        </w:rPr>
        <w:tab/>
        <w:t>for Article 8.10(3), the noise may exceed 65 dB(A) at a lateral distance of 25 m from the ship's side of any stationary floating equipment while its working gear is operating;</w:t>
      </w:r>
    </w:p>
    <w:p w:rsidR="00377B97" w:rsidRPr="00C903F8" w:rsidRDefault="005C7859" w:rsidP="00377B97">
      <w:pPr>
        <w:pStyle w:val="ESlet"/>
        <w:rPr>
          <w:rFonts w:cs="Arial"/>
          <w:szCs w:val="18"/>
          <w:lang w:val="en-US"/>
        </w:rPr>
      </w:pPr>
      <w:r w:rsidRPr="00C903F8">
        <w:rPr>
          <w:noProof/>
          <w:lang w:val="en-US"/>
        </w:rPr>
        <w:t>c)</w:t>
      </w:r>
      <w:r w:rsidR="00377B97" w:rsidRPr="00C903F8">
        <w:rPr>
          <w:noProof/>
          <w:lang w:val="en-US"/>
        </w:rPr>
        <w:tab/>
        <w:t>for Article 13.03(1), at least one further portable extinguisher is required if working gear not permanently attached to the craft is placed on the deck;</w:t>
      </w:r>
    </w:p>
    <w:p w:rsidR="00377B97" w:rsidRPr="00C903F8" w:rsidRDefault="0029453D" w:rsidP="00377B97">
      <w:pPr>
        <w:pStyle w:val="ESlet"/>
        <w:rPr>
          <w:rFonts w:cs="Arial"/>
          <w:szCs w:val="18"/>
          <w:lang w:val="en-US"/>
        </w:rPr>
      </w:pPr>
      <w:r w:rsidRPr="00C903F8">
        <w:rPr>
          <w:noProof/>
          <w:lang w:val="en-US"/>
        </w:rPr>
        <w:t>d)</w:t>
      </w:r>
      <w:r w:rsidR="00377B97" w:rsidRPr="00C903F8">
        <w:rPr>
          <w:noProof/>
          <w:lang w:val="en-US"/>
        </w:rPr>
        <w:tab/>
        <w:t>for Article 17.02(2), in addition to the liquefied-gas equipment for domestic use, there may also be other liquefied-gas facilities. Those facilities and their accessories shall meet the requirements of one of the Member States.</w:t>
      </w:r>
    </w:p>
    <w:p w:rsidR="00377B97" w:rsidRPr="00C903F8" w:rsidRDefault="00377B97" w:rsidP="00377B97">
      <w:pPr>
        <w:pStyle w:val="ESch"/>
        <w:rPr>
          <w:rFonts w:cs="Arial"/>
          <w:szCs w:val="18"/>
          <w:lang w:val="en-US"/>
        </w:rPr>
      </w:pPr>
    </w:p>
    <w:p w:rsidR="003D6C36" w:rsidRPr="00C903F8" w:rsidRDefault="003D6C36" w:rsidP="00377B97">
      <w:pPr>
        <w:pStyle w:val="ESch"/>
        <w:rPr>
          <w:rFonts w:cs="Arial"/>
          <w:szCs w:val="18"/>
          <w:lang w:val="en-US"/>
        </w:rPr>
      </w:pPr>
      <w:r w:rsidRPr="00C903F8">
        <w:rPr>
          <w:rFonts w:cs="Arial"/>
          <w:szCs w:val="18"/>
          <w:lang w:val="en-US"/>
        </w:rPr>
        <w:br w:type="page"/>
      </w:r>
    </w:p>
    <w:p w:rsidR="00377B97" w:rsidRPr="00C903F8" w:rsidRDefault="00377B97" w:rsidP="00377B97">
      <w:pPr>
        <w:pStyle w:val="ES-Titre3"/>
        <w:rPr>
          <w:rFonts w:cs="Arial"/>
          <w:i/>
          <w:szCs w:val="18"/>
          <w:lang w:val="en-US"/>
        </w:rPr>
      </w:pPr>
      <w:bookmarkStart w:id="228" w:name="_Toc491854216"/>
      <w:r w:rsidRPr="00C903F8">
        <w:rPr>
          <w:noProof/>
          <w:lang w:val="en-US"/>
        </w:rPr>
        <w:lastRenderedPageBreak/>
        <w:t>Article 22.03</w:t>
      </w:r>
      <w:r w:rsidRPr="00C903F8">
        <w:rPr>
          <w:noProof/>
          <w:lang w:val="en-US"/>
        </w:rPr>
        <w:br/>
      </w:r>
      <w:r w:rsidRPr="00C903F8">
        <w:rPr>
          <w:i/>
          <w:noProof/>
          <w:lang w:val="en-US"/>
        </w:rPr>
        <w:t>Additional requirements</w:t>
      </w:r>
      <w:bookmarkEnd w:id="228"/>
    </w:p>
    <w:p w:rsidR="00377B97" w:rsidRPr="00C903F8" w:rsidRDefault="00377B97" w:rsidP="00377B97">
      <w:pPr>
        <w:pStyle w:val="ESch"/>
        <w:rPr>
          <w:noProof/>
          <w:lang w:val="en-US"/>
        </w:rPr>
      </w:pPr>
    </w:p>
    <w:p w:rsidR="00377B97" w:rsidRPr="00C903F8" w:rsidRDefault="00377B97" w:rsidP="00377B97">
      <w:pPr>
        <w:pStyle w:val="ESch"/>
        <w:rPr>
          <w:rFonts w:cs="Arial"/>
          <w:szCs w:val="18"/>
          <w:lang w:val="en-US"/>
        </w:rPr>
      </w:pPr>
      <w:r w:rsidRPr="00C903F8">
        <w:rPr>
          <w:noProof/>
          <w:lang w:val="en-US"/>
        </w:rPr>
        <w:t>1.</w:t>
      </w:r>
      <w:r w:rsidRPr="00C903F8">
        <w:rPr>
          <w:noProof/>
          <w:lang w:val="en-US"/>
        </w:rPr>
        <w:tab/>
        <w:t>Floating equipment on which persons are present during operation shall be fitted with a general alarm system. The alarm signal shall be clearly distinguishable from other signals and, within accommodation and at all work stations, shall produce a sound pressure level that is at least 5</w:t>
      </w:r>
      <w:r w:rsidR="00D96486" w:rsidRPr="00C903F8">
        <w:rPr>
          <w:noProof/>
          <w:lang w:val="en-US"/>
        </w:rPr>
        <w:t> </w:t>
      </w:r>
      <w:r w:rsidRPr="00C903F8">
        <w:rPr>
          <w:noProof/>
          <w:lang w:val="en-US"/>
        </w:rPr>
        <w:t xml:space="preserve">dB(A) higher than the maximum local sound pressure level. It shall be possible to actuate the alarm system from the wheelhouse and the main </w:t>
      </w:r>
      <w:r w:rsidR="004D3A30" w:rsidRPr="00C903F8">
        <w:rPr>
          <w:noProof/>
          <w:lang w:val="en-US"/>
        </w:rPr>
        <w:t>operating</w:t>
      </w:r>
      <w:r w:rsidRPr="00C903F8">
        <w:rPr>
          <w:noProof/>
          <w:lang w:val="en-US"/>
        </w:rPr>
        <w:t xml:space="preserve"> stations.</w:t>
      </w:r>
    </w:p>
    <w:p w:rsidR="00377B97" w:rsidRPr="00C903F8" w:rsidRDefault="00377B97" w:rsidP="00377B97">
      <w:pPr>
        <w:pStyle w:val="ESch"/>
        <w:rPr>
          <w:noProof/>
          <w:lang w:val="en-US"/>
        </w:rPr>
      </w:pPr>
    </w:p>
    <w:p w:rsidR="00377B97" w:rsidRPr="00C903F8" w:rsidRDefault="00377B97" w:rsidP="00377B97">
      <w:pPr>
        <w:pStyle w:val="ESch"/>
        <w:rPr>
          <w:rFonts w:cs="Arial"/>
          <w:szCs w:val="18"/>
          <w:lang w:val="en-US"/>
        </w:rPr>
      </w:pPr>
      <w:r w:rsidRPr="00C903F8">
        <w:rPr>
          <w:noProof/>
          <w:lang w:val="en-US"/>
        </w:rPr>
        <w:t>2.</w:t>
      </w:r>
      <w:r w:rsidRPr="00C903F8">
        <w:rPr>
          <w:noProof/>
          <w:lang w:val="en-US"/>
        </w:rPr>
        <w:tab/>
      </w:r>
      <w:r w:rsidR="00C919D5" w:rsidRPr="006B6215">
        <w:rPr>
          <w:noProof/>
          <w:lang w:val="en-US"/>
        </w:rPr>
        <w:t>Working equipment shall have sufficient strength to withstand the loads it is subjected to and shall meet the requirements of one of the Member States of the CCNR or of Directive 2006/42/EC</w:t>
      </w:r>
      <w:r w:rsidR="00C919D5" w:rsidRPr="006B6215">
        <w:rPr>
          <w:rStyle w:val="FootnoteReference"/>
          <w:noProof/>
          <w:lang w:val="en-US"/>
        </w:rPr>
        <w:footnoteReference w:id="21"/>
      </w:r>
      <w:r w:rsidR="00C919D5" w:rsidRPr="006B6215">
        <w:rPr>
          <w:noProof/>
          <w:lang w:val="en-US"/>
        </w:rPr>
        <w:t>, as amended.</w:t>
      </w:r>
    </w:p>
    <w:p w:rsidR="00377B97" w:rsidRPr="00C903F8" w:rsidRDefault="00377B97" w:rsidP="00377B97">
      <w:pPr>
        <w:pStyle w:val="ESch"/>
        <w:rPr>
          <w:noProof/>
          <w:lang w:val="en-US"/>
        </w:rPr>
      </w:pPr>
    </w:p>
    <w:p w:rsidR="00377B97" w:rsidRPr="00C903F8" w:rsidRDefault="00377B97" w:rsidP="00377B97">
      <w:pPr>
        <w:pStyle w:val="ESch"/>
        <w:rPr>
          <w:rFonts w:cs="Arial"/>
          <w:szCs w:val="18"/>
          <w:lang w:val="en-US"/>
        </w:rPr>
      </w:pPr>
      <w:r w:rsidRPr="00C903F8">
        <w:rPr>
          <w:noProof/>
          <w:lang w:val="en-US"/>
        </w:rPr>
        <w:t>3.</w:t>
      </w:r>
      <w:r w:rsidRPr="00C903F8">
        <w:rPr>
          <w:noProof/>
          <w:lang w:val="en-US"/>
        </w:rPr>
        <w:tab/>
        <w:t>The stability and strength of working equipment and, where appropriate, its attachments, shall be sufficient to withstand the forces resulting from the expected heel, trim and movement of the floating equipment.</w:t>
      </w:r>
    </w:p>
    <w:p w:rsidR="00377B97" w:rsidRPr="00C903F8" w:rsidRDefault="00377B97" w:rsidP="00377B97">
      <w:pPr>
        <w:pStyle w:val="ESch"/>
        <w:rPr>
          <w:rFonts w:cs="Arial"/>
          <w:szCs w:val="18"/>
          <w:lang w:val="en-US"/>
        </w:rPr>
      </w:pPr>
    </w:p>
    <w:p w:rsidR="00377B97" w:rsidRPr="00C903F8" w:rsidRDefault="00377B97" w:rsidP="00377B97">
      <w:pPr>
        <w:pStyle w:val="ESch"/>
        <w:rPr>
          <w:rFonts w:cs="Arial"/>
          <w:szCs w:val="18"/>
          <w:lang w:val="en-US"/>
        </w:rPr>
      </w:pPr>
      <w:r w:rsidRPr="00C903F8">
        <w:rPr>
          <w:noProof/>
          <w:lang w:val="en-US"/>
        </w:rPr>
        <w:t>4.</w:t>
      </w:r>
      <w:r w:rsidRPr="00C903F8">
        <w:rPr>
          <w:noProof/>
          <w:lang w:val="en-US"/>
        </w:rPr>
        <w:tab/>
        <w:t xml:space="preserve">If loads are lifted by means of hoists the maximum authorised load deriving from stability and strength shall be prominently displayed on panels on deck and at the </w:t>
      </w:r>
      <w:r w:rsidR="004D3A30" w:rsidRPr="00C903F8">
        <w:rPr>
          <w:noProof/>
          <w:lang w:val="en-US"/>
        </w:rPr>
        <w:t xml:space="preserve">operating </w:t>
      </w:r>
      <w:r w:rsidRPr="00C903F8">
        <w:rPr>
          <w:noProof/>
          <w:lang w:val="en-US"/>
        </w:rPr>
        <w:t>stations. If the lifting capacity can be increased by connecting additional floats the values authorised both with and without these additional floats shall be clearly stated.</w:t>
      </w:r>
    </w:p>
    <w:p w:rsidR="00377B97" w:rsidRPr="00C903F8" w:rsidRDefault="00377B97" w:rsidP="00377B97">
      <w:pPr>
        <w:pStyle w:val="ESch"/>
        <w:rPr>
          <w:rFonts w:cs="Arial"/>
          <w:szCs w:val="18"/>
          <w:lang w:val="en-US"/>
        </w:rPr>
      </w:pPr>
    </w:p>
    <w:p w:rsidR="00377B97" w:rsidRPr="00C903F8" w:rsidRDefault="00377B97" w:rsidP="00377B97">
      <w:pPr>
        <w:pStyle w:val="ESch"/>
        <w:rPr>
          <w:rFonts w:cs="Arial"/>
          <w:szCs w:val="18"/>
          <w:lang w:val="en-US"/>
        </w:rPr>
      </w:pPr>
    </w:p>
    <w:p w:rsidR="00377B97" w:rsidRPr="00C903F8" w:rsidRDefault="00377B97" w:rsidP="00377B97">
      <w:pPr>
        <w:pStyle w:val="ES-Titre3"/>
        <w:rPr>
          <w:rFonts w:cs="Arial"/>
          <w:i/>
          <w:szCs w:val="18"/>
          <w:lang w:val="en-US"/>
        </w:rPr>
      </w:pPr>
      <w:bookmarkStart w:id="229" w:name="_Toc491854217"/>
      <w:r w:rsidRPr="00C903F8">
        <w:rPr>
          <w:noProof/>
          <w:lang w:val="en-US"/>
        </w:rPr>
        <w:t>Article 22.04</w:t>
      </w:r>
      <w:r w:rsidRPr="00C903F8">
        <w:rPr>
          <w:noProof/>
          <w:lang w:val="en-US"/>
        </w:rPr>
        <w:br/>
      </w:r>
      <w:r w:rsidRPr="00C903F8">
        <w:rPr>
          <w:i/>
          <w:noProof/>
          <w:lang w:val="en-US"/>
        </w:rPr>
        <w:t>Residual safety clearance</w:t>
      </w:r>
      <w:bookmarkEnd w:id="229"/>
    </w:p>
    <w:p w:rsidR="00377B97" w:rsidRPr="00C903F8" w:rsidRDefault="00377B97" w:rsidP="00377B97">
      <w:pPr>
        <w:pStyle w:val="ESch"/>
        <w:rPr>
          <w:noProof/>
          <w:lang w:val="en-US"/>
        </w:rPr>
      </w:pPr>
    </w:p>
    <w:p w:rsidR="00377B97" w:rsidRPr="00C903F8" w:rsidRDefault="00377B97" w:rsidP="00377B97">
      <w:pPr>
        <w:pStyle w:val="ESch"/>
        <w:rPr>
          <w:rFonts w:cs="Arial"/>
          <w:szCs w:val="18"/>
          <w:lang w:val="en-US"/>
        </w:rPr>
      </w:pPr>
      <w:r w:rsidRPr="00C903F8">
        <w:rPr>
          <w:noProof/>
          <w:lang w:val="en-US"/>
        </w:rPr>
        <w:t>1.</w:t>
      </w:r>
      <w:r w:rsidRPr="00C903F8">
        <w:rPr>
          <w:noProof/>
          <w:lang w:val="en-US"/>
        </w:rPr>
        <w:tab/>
        <w:t>For the purposes of this Chapter and by way of derogation from Article 1.01, residual safety clearance means the shortest vertical distance between surface of the water and the lowest part of the floating equipment beyond which it is no longer watertight, taking into account trim and heel resulting from the moments referred to in Article 22.07(4) to (9).</w:t>
      </w:r>
    </w:p>
    <w:p w:rsidR="00377B97" w:rsidRPr="00C903F8" w:rsidRDefault="00377B97" w:rsidP="00377B97">
      <w:pPr>
        <w:pStyle w:val="ESch"/>
        <w:rPr>
          <w:noProof/>
          <w:lang w:val="en-US"/>
        </w:rPr>
      </w:pPr>
    </w:p>
    <w:p w:rsidR="00377B97" w:rsidRPr="00C903F8" w:rsidRDefault="00377B97" w:rsidP="00377B97">
      <w:pPr>
        <w:pStyle w:val="ESch"/>
        <w:rPr>
          <w:rFonts w:cs="Arial"/>
          <w:szCs w:val="18"/>
          <w:lang w:val="en-US"/>
        </w:rPr>
      </w:pPr>
      <w:r w:rsidRPr="00C903F8">
        <w:rPr>
          <w:noProof/>
          <w:lang w:val="en-US"/>
        </w:rPr>
        <w:t>2.</w:t>
      </w:r>
      <w:r w:rsidRPr="00C903F8">
        <w:rPr>
          <w:noProof/>
          <w:lang w:val="en-US"/>
        </w:rPr>
        <w:tab/>
        <w:t>The residual safety clearance is sufficient according to Article 22.07(1), for any spray-proof and weathertight aperture if it is at least 300 mm.</w:t>
      </w:r>
    </w:p>
    <w:p w:rsidR="00377B97" w:rsidRPr="00C903F8" w:rsidRDefault="00377B97" w:rsidP="00377B97">
      <w:pPr>
        <w:pStyle w:val="ESch"/>
        <w:rPr>
          <w:noProof/>
          <w:lang w:val="en-US"/>
        </w:rPr>
      </w:pPr>
    </w:p>
    <w:p w:rsidR="00377B97" w:rsidRPr="00C903F8" w:rsidRDefault="00377B97" w:rsidP="00377B97">
      <w:pPr>
        <w:pStyle w:val="ESch"/>
        <w:rPr>
          <w:rFonts w:cs="Arial"/>
          <w:szCs w:val="18"/>
          <w:lang w:val="en-US"/>
        </w:rPr>
      </w:pPr>
      <w:r w:rsidRPr="00C903F8">
        <w:rPr>
          <w:noProof/>
          <w:lang w:val="en-US"/>
        </w:rPr>
        <w:t>3.</w:t>
      </w:r>
      <w:r w:rsidRPr="00C903F8">
        <w:rPr>
          <w:noProof/>
          <w:lang w:val="en-US"/>
        </w:rPr>
        <w:tab/>
        <w:t>At an aperture that is not spray-proof and weathertight the residual safety clearance shall be at least 400 mm.</w:t>
      </w:r>
    </w:p>
    <w:p w:rsidR="00377B97" w:rsidRPr="00C903F8" w:rsidRDefault="00377B97" w:rsidP="00377B97">
      <w:pPr>
        <w:pStyle w:val="ESch"/>
        <w:rPr>
          <w:rFonts w:cs="Arial"/>
          <w:szCs w:val="18"/>
          <w:lang w:val="en-US"/>
        </w:rPr>
      </w:pPr>
    </w:p>
    <w:p w:rsidR="00377B97" w:rsidRPr="00C903F8" w:rsidRDefault="00377B97" w:rsidP="00377B97">
      <w:pPr>
        <w:pStyle w:val="ESch"/>
        <w:rPr>
          <w:rFonts w:cs="Arial"/>
          <w:szCs w:val="18"/>
          <w:lang w:val="en-US"/>
        </w:rPr>
      </w:pPr>
    </w:p>
    <w:p w:rsidR="00377B97" w:rsidRPr="00C903F8" w:rsidRDefault="00377B97" w:rsidP="00377B97">
      <w:pPr>
        <w:pStyle w:val="ES-Titre3"/>
        <w:rPr>
          <w:i/>
          <w:noProof/>
          <w:lang w:val="en-US"/>
        </w:rPr>
      </w:pPr>
      <w:bookmarkStart w:id="230" w:name="_Toc491854218"/>
      <w:r w:rsidRPr="00C903F8">
        <w:rPr>
          <w:noProof/>
          <w:lang w:val="en-US"/>
        </w:rPr>
        <w:t>Article 22.05</w:t>
      </w:r>
      <w:r w:rsidRPr="00C903F8">
        <w:rPr>
          <w:noProof/>
          <w:lang w:val="en-US"/>
        </w:rPr>
        <w:br/>
      </w:r>
      <w:r w:rsidRPr="00C903F8">
        <w:rPr>
          <w:i/>
          <w:noProof/>
          <w:lang w:val="en-US"/>
        </w:rPr>
        <w:t>Residual freeboard</w:t>
      </w:r>
      <w:bookmarkEnd w:id="230"/>
    </w:p>
    <w:p w:rsidR="00377B97" w:rsidRPr="00C903F8" w:rsidRDefault="00377B97" w:rsidP="00377B97">
      <w:pPr>
        <w:pStyle w:val="ESch"/>
        <w:rPr>
          <w:noProof/>
          <w:lang w:val="en-US"/>
        </w:rPr>
      </w:pPr>
    </w:p>
    <w:p w:rsidR="00377B97" w:rsidRPr="00C903F8" w:rsidRDefault="00377B97" w:rsidP="00377B97">
      <w:pPr>
        <w:pStyle w:val="ESch"/>
        <w:rPr>
          <w:noProof/>
          <w:lang w:val="en-US"/>
        </w:rPr>
      </w:pPr>
      <w:r w:rsidRPr="00C903F8">
        <w:rPr>
          <w:noProof/>
          <w:lang w:val="en-US"/>
        </w:rPr>
        <w:t>1.</w:t>
      </w:r>
      <w:r w:rsidRPr="00C903F8">
        <w:rPr>
          <w:noProof/>
          <w:lang w:val="en-US"/>
        </w:rPr>
        <w:tab/>
        <w:t>For the purposes of this Chapter and by way of derogation from Article 1.01, residual freeboard means the smallest vertical distance between the surface of the water and the upper surface of the deck at its edge taking into account trim and heel resulting from the moments referred to in Article 22.07(4) to (9).</w:t>
      </w:r>
    </w:p>
    <w:p w:rsidR="00377B97" w:rsidRPr="00C903F8" w:rsidRDefault="00377B97" w:rsidP="00377B97">
      <w:pPr>
        <w:pStyle w:val="ESch"/>
        <w:rPr>
          <w:noProof/>
          <w:lang w:val="en-US"/>
        </w:rPr>
      </w:pPr>
    </w:p>
    <w:p w:rsidR="00377B97" w:rsidRPr="00C903F8" w:rsidRDefault="00377B97" w:rsidP="00377B97">
      <w:pPr>
        <w:pStyle w:val="ESch"/>
        <w:rPr>
          <w:noProof/>
          <w:lang w:val="en-US"/>
        </w:rPr>
      </w:pPr>
      <w:r w:rsidRPr="00C903F8">
        <w:rPr>
          <w:noProof/>
          <w:lang w:val="en-US"/>
        </w:rPr>
        <w:t>2.</w:t>
      </w:r>
      <w:r w:rsidRPr="00C903F8">
        <w:rPr>
          <w:noProof/>
          <w:lang w:val="en-US"/>
        </w:rPr>
        <w:tab/>
        <w:t>The residual freeboard is sufficient according to Article 22.07(1), if it is at least 300 mm.</w:t>
      </w:r>
    </w:p>
    <w:p w:rsidR="00377B97" w:rsidRPr="00C903F8" w:rsidRDefault="00377B97" w:rsidP="00377B97">
      <w:pPr>
        <w:pStyle w:val="ESch"/>
        <w:rPr>
          <w:noProof/>
          <w:lang w:val="en-US"/>
        </w:rPr>
      </w:pPr>
    </w:p>
    <w:p w:rsidR="00377B97" w:rsidRPr="00C903F8" w:rsidRDefault="00377B97" w:rsidP="00377B97">
      <w:pPr>
        <w:pStyle w:val="ESch"/>
        <w:rPr>
          <w:noProof/>
          <w:lang w:val="en-US"/>
        </w:rPr>
      </w:pPr>
      <w:r w:rsidRPr="00C903F8">
        <w:rPr>
          <w:noProof/>
          <w:lang w:val="en-US"/>
        </w:rPr>
        <w:t>3.</w:t>
      </w:r>
      <w:r w:rsidRPr="00C903F8">
        <w:rPr>
          <w:noProof/>
          <w:lang w:val="en-US"/>
        </w:rPr>
        <w:tab/>
        <w:t>The residual freeboard may be reduced if it is proven that the requirements of Article 22.08 have been met.</w:t>
      </w:r>
    </w:p>
    <w:p w:rsidR="00377B97" w:rsidRPr="00C903F8" w:rsidRDefault="00377B97" w:rsidP="00377B97">
      <w:pPr>
        <w:pStyle w:val="ESch"/>
        <w:rPr>
          <w:noProof/>
          <w:lang w:val="en-US"/>
        </w:rPr>
      </w:pPr>
    </w:p>
    <w:p w:rsidR="003D6C36" w:rsidRPr="00C903F8" w:rsidRDefault="003D6C36" w:rsidP="00377B97">
      <w:pPr>
        <w:pStyle w:val="ESch"/>
        <w:rPr>
          <w:noProof/>
          <w:lang w:val="en-US"/>
        </w:rPr>
      </w:pPr>
      <w:r w:rsidRPr="00C903F8">
        <w:rPr>
          <w:noProof/>
          <w:lang w:val="en-US"/>
        </w:rPr>
        <w:br w:type="page"/>
      </w:r>
    </w:p>
    <w:p w:rsidR="00377B97" w:rsidRPr="00C903F8" w:rsidRDefault="00377B97" w:rsidP="00377B97">
      <w:pPr>
        <w:pStyle w:val="ESch"/>
        <w:rPr>
          <w:noProof/>
          <w:lang w:val="en-US"/>
        </w:rPr>
      </w:pPr>
      <w:r w:rsidRPr="00C903F8">
        <w:rPr>
          <w:noProof/>
          <w:lang w:val="en-US"/>
        </w:rPr>
        <w:lastRenderedPageBreak/>
        <w:t>4.</w:t>
      </w:r>
      <w:r w:rsidRPr="00C903F8">
        <w:rPr>
          <w:noProof/>
          <w:lang w:val="en-US"/>
        </w:rPr>
        <w:tab/>
        <w:t>Where the shape of a floating object differs perceptibly from that of a pontoon, as in the case of a cylindrical floating object, or where the cross-section of a floating object has more than four sides, the inspection body may require or authorise a residual freeboard that differs from (2). This shall also apply to floating equipment consisting of several floating objects.</w:t>
      </w:r>
    </w:p>
    <w:p w:rsidR="00377B97" w:rsidRPr="00C903F8" w:rsidRDefault="00377B97" w:rsidP="00377B97">
      <w:pPr>
        <w:pStyle w:val="ESch"/>
        <w:rPr>
          <w:rFonts w:cs="Arial"/>
          <w:szCs w:val="18"/>
          <w:lang w:val="en-US"/>
        </w:rPr>
      </w:pPr>
    </w:p>
    <w:p w:rsidR="00377B97" w:rsidRPr="00C903F8" w:rsidRDefault="00377B97" w:rsidP="00377B97">
      <w:pPr>
        <w:pStyle w:val="ESch"/>
        <w:rPr>
          <w:rFonts w:cs="Arial"/>
          <w:szCs w:val="18"/>
          <w:lang w:val="en-US"/>
        </w:rPr>
      </w:pPr>
    </w:p>
    <w:p w:rsidR="00377B97" w:rsidRPr="00C903F8" w:rsidRDefault="00377B97" w:rsidP="00377B97">
      <w:pPr>
        <w:pStyle w:val="ES-Titre3"/>
        <w:rPr>
          <w:rFonts w:cs="Arial"/>
          <w:i/>
          <w:szCs w:val="18"/>
          <w:lang w:val="en-US"/>
        </w:rPr>
      </w:pPr>
      <w:bookmarkStart w:id="231" w:name="_Toc491854219"/>
      <w:r w:rsidRPr="00C903F8">
        <w:rPr>
          <w:noProof/>
          <w:lang w:val="en-US"/>
        </w:rPr>
        <w:t>Article 22.06</w:t>
      </w:r>
      <w:r w:rsidRPr="00C903F8">
        <w:rPr>
          <w:noProof/>
          <w:lang w:val="en-US"/>
        </w:rPr>
        <w:br/>
      </w:r>
      <w:r w:rsidRPr="00C903F8">
        <w:rPr>
          <w:bCs/>
          <w:i/>
          <w:noProof/>
          <w:lang w:val="en-US"/>
        </w:rPr>
        <w:t>Heeling test</w:t>
      </w:r>
      <w:bookmarkEnd w:id="231"/>
    </w:p>
    <w:p w:rsidR="00377B97" w:rsidRPr="00C903F8" w:rsidRDefault="00377B97" w:rsidP="00377B97">
      <w:pPr>
        <w:pStyle w:val="ESch"/>
        <w:rPr>
          <w:noProof/>
          <w:lang w:val="en-US"/>
        </w:rPr>
      </w:pPr>
    </w:p>
    <w:p w:rsidR="00377B97" w:rsidRPr="00C903F8" w:rsidRDefault="00377B97" w:rsidP="00377B97">
      <w:pPr>
        <w:pStyle w:val="ESch"/>
        <w:rPr>
          <w:rFonts w:cs="Arial"/>
          <w:szCs w:val="18"/>
          <w:lang w:val="en-US"/>
        </w:rPr>
      </w:pPr>
      <w:r w:rsidRPr="00C903F8">
        <w:rPr>
          <w:noProof/>
          <w:lang w:val="en-US"/>
        </w:rPr>
        <w:t>1.</w:t>
      </w:r>
      <w:r w:rsidRPr="00C903F8">
        <w:rPr>
          <w:noProof/>
          <w:lang w:val="en-US"/>
        </w:rPr>
        <w:tab/>
        <w:t>The proof of stability according to Articles 22.07 and 22.08 shall be based on a heeling test that has been carried out in a proper manner.</w:t>
      </w:r>
    </w:p>
    <w:p w:rsidR="00377B97" w:rsidRPr="00C903F8" w:rsidRDefault="00377B97" w:rsidP="00377B97">
      <w:pPr>
        <w:pStyle w:val="ESch"/>
        <w:rPr>
          <w:noProof/>
          <w:lang w:val="en-US"/>
        </w:rPr>
      </w:pPr>
    </w:p>
    <w:p w:rsidR="00377B97" w:rsidRPr="00C903F8" w:rsidRDefault="00377B97" w:rsidP="00377B97">
      <w:pPr>
        <w:pStyle w:val="ESch"/>
        <w:rPr>
          <w:rFonts w:cs="Arial"/>
          <w:szCs w:val="18"/>
          <w:lang w:val="en-US"/>
        </w:rPr>
      </w:pPr>
      <w:r w:rsidRPr="00C903F8">
        <w:rPr>
          <w:noProof/>
          <w:lang w:val="en-US"/>
        </w:rPr>
        <w:t>2.</w:t>
      </w:r>
      <w:r w:rsidRPr="00C903F8">
        <w:rPr>
          <w:noProof/>
          <w:lang w:val="en-US"/>
        </w:rPr>
        <w:tab/>
        <w:t>If during a heeling test it is not possible to achieve adequate heeling angles, or if the heeling test causes unreasonable technical difficulties, this may be replaced by a calculation of the craft's centre of gravity and weight. The result of the weight calculation shall be checked by measuring the draught, and the difference shall not exceed ± 5 %.</w:t>
      </w:r>
    </w:p>
    <w:p w:rsidR="00377B97" w:rsidRPr="00C903F8" w:rsidRDefault="00377B97" w:rsidP="00377B97">
      <w:pPr>
        <w:pStyle w:val="ESch"/>
        <w:rPr>
          <w:rFonts w:cs="Arial"/>
          <w:szCs w:val="18"/>
          <w:lang w:val="en-US"/>
        </w:rPr>
      </w:pPr>
    </w:p>
    <w:p w:rsidR="00377B97" w:rsidRPr="00C903F8" w:rsidRDefault="00377B97" w:rsidP="00377B97">
      <w:pPr>
        <w:pStyle w:val="ESch"/>
        <w:rPr>
          <w:rFonts w:cs="Arial"/>
          <w:szCs w:val="18"/>
          <w:lang w:val="en-US"/>
        </w:rPr>
      </w:pPr>
    </w:p>
    <w:p w:rsidR="00377B97" w:rsidRPr="00C903F8" w:rsidRDefault="00377B97" w:rsidP="00377B97">
      <w:pPr>
        <w:pStyle w:val="ES-Titre3"/>
        <w:rPr>
          <w:rFonts w:cs="Arial"/>
          <w:i/>
          <w:szCs w:val="18"/>
          <w:lang w:val="en-US"/>
        </w:rPr>
      </w:pPr>
      <w:bookmarkStart w:id="232" w:name="_Toc491854220"/>
      <w:r w:rsidRPr="00C903F8">
        <w:rPr>
          <w:noProof/>
          <w:lang w:val="en-US"/>
        </w:rPr>
        <w:t>Article 22.07</w:t>
      </w:r>
      <w:r w:rsidRPr="00C903F8">
        <w:rPr>
          <w:noProof/>
          <w:lang w:val="en-US"/>
        </w:rPr>
        <w:br/>
      </w:r>
      <w:r w:rsidRPr="00C903F8">
        <w:rPr>
          <w:i/>
          <w:noProof/>
          <w:lang w:val="en-US"/>
        </w:rPr>
        <w:t>Proof of stability</w:t>
      </w:r>
      <w:bookmarkEnd w:id="232"/>
    </w:p>
    <w:p w:rsidR="00377B97" w:rsidRPr="00C903F8" w:rsidRDefault="00377B97" w:rsidP="00377B97">
      <w:pPr>
        <w:pStyle w:val="ESch"/>
        <w:rPr>
          <w:noProof/>
          <w:lang w:val="en-US"/>
        </w:rPr>
      </w:pPr>
    </w:p>
    <w:p w:rsidR="00377B97" w:rsidRPr="00C903F8" w:rsidRDefault="00377B97" w:rsidP="00377B97">
      <w:pPr>
        <w:pStyle w:val="ESch"/>
        <w:rPr>
          <w:rFonts w:cs="Arial"/>
          <w:szCs w:val="18"/>
          <w:lang w:val="en-US"/>
        </w:rPr>
      </w:pPr>
      <w:r w:rsidRPr="00C903F8">
        <w:rPr>
          <w:noProof/>
          <w:lang w:val="en-US"/>
        </w:rPr>
        <w:t xml:space="preserve">1. </w:t>
      </w:r>
      <w:r w:rsidRPr="00C903F8">
        <w:rPr>
          <w:noProof/>
          <w:lang w:val="en-US"/>
        </w:rPr>
        <w:tab/>
        <w:t>It shall be confirmed that, when taking into account the loads applied during operation of the working gear and whilst under way, the residual freeboard and the residual safety clearance are sufficient. For that purpose the sum of the trim and heeling angles shall not exceed 10° and the bottom of the float shall not emerge.</w:t>
      </w:r>
    </w:p>
    <w:p w:rsidR="00377B97" w:rsidRPr="00C903F8" w:rsidRDefault="00377B97" w:rsidP="00377B97">
      <w:pPr>
        <w:pStyle w:val="ESch"/>
        <w:rPr>
          <w:noProof/>
          <w:lang w:val="en-US"/>
        </w:rPr>
      </w:pPr>
    </w:p>
    <w:p w:rsidR="00377B97" w:rsidRPr="00C903F8" w:rsidRDefault="00377B97" w:rsidP="00377B97">
      <w:pPr>
        <w:pStyle w:val="ESch"/>
        <w:rPr>
          <w:rFonts w:cs="Arial"/>
          <w:szCs w:val="18"/>
          <w:lang w:val="en-US"/>
        </w:rPr>
      </w:pPr>
      <w:r w:rsidRPr="00C903F8">
        <w:rPr>
          <w:noProof/>
          <w:lang w:val="en-US"/>
        </w:rPr>
        <w:t>2.</w:t>
      </w:r>
      <w:r w:rsidRPr="00C903F8">
        <w:rPr>
          <w:noProof/>
          <w:lang w:val="en-US"/>
        </w:rPr>
        <w:tab/>
        <w:t>The proof of stability shall include the following data and documents:</w:t>
      </w:r>
    </w:p>
    <w:p w:rsidR="00377B97" w:rsidRPr="00C903F8" w:rsidRDefault="005C7859" w:rsidP="003D6C36">
      <w:pPr>
        <w:pStyle w:val="ESlet"/>
        <w:rPr>
          <w:noProof/>
          <w:lang w:val="en-US"/>
        </w:rPr>
      </w:pPr>
      <w:r w:rsidRPr="00C903F8">
        <w:rPr>
          <w:noProof/>
          <w:lang w:val="en-US"/>
        </w:rPr>
        <w:t>a)</w:t>
      </w:r>
      <w:r w:rsidR="00377B97" w:rsidRPr="00C903F8">
        <w:rPr>
          <w:noProof/>
          <w:lang w:val="en-US"/>
        </w:rPr>
        <w:tab/>
        <w:t>scale drawings of floating objects and working gear and the detailed data relating to these that are needed to</w:t>
      </w:r>
      <w:r w:rsidR="004D3A30" w:rsidRPr="00C903F8">
        <w:rPr>
          <w:noProof/>
          <w:lang w:val="en-US"/>
        </w:rPr>
        <w:t xml:space="preserve"> provide</w:t>
      </w:r>
      <w:r w:rsidR="00377B97" w:rsidRPr="00C903F8">
        <w:rPr>
          <w:noProof/>
          <w:lang w:val="en-US"/>
        </w:rPr>
        <w:t xml:space="preserve"> proof</w:t>
      </w:r>
      <w:r w:rsidR="004D3A30" w:rsidRPr="00C903F8">
        <w:rPr>
          <w:noProof/>
          <w:lang w:val="en-US"/>
        </w:rPr>
        <w:t xml:space="preserve"> of</w:t>
      </w:r>
      <w:r w:rsidR="00377B97" w:rsidRPr="00C903F8">
        <w:rPr>
          <w:noProof/>
          <w:lang w:val="en-US"/>
        </w:rPr>
        <w:t xml:space="preserve"> stability, such as content of the tanks, openings providing access to the inside of the vessel;</w:t>
      </w:r>
    </w:p>
    <w:p w:rsidR="00377B97" w:rsidRPr="00C903F8" w:rsidRDefault="005C7859" w:rsidP="003D6C36">
      <w:pPr>
        <w:pStyle w:val="ESlet"/>
        <w:rPr>
          <w:noProof/>
          <w:lang w:val="en-US"/>
        </w:rPr>
      </w:pPr>
      <w:r w:rsidRPr="00C903F8">
        <w:rPr>
          <w:noProof/>
          <w:lang w:val="en-US"/>
        </w:rPr>
        <w:t>b)</w:t>
      </w:r>
      <w:r w:rsidR="00377B97" w:rsidRPr="00C903F8">
        <w:rPr>
          <w:noProof/>
          <w:lang w:val="en-US"/>
        </w:rPr>
        <w:tab/>
        <w:t>hydrostatic data or curves;</w:t>
      </w:r>
    </w:p>
    <w:p w:rsidR="00377B97" w:rsidRPr="00C903F8" w:rsidRDefault="005C7859" w:rsidP="003D6C36">
      <w:pPr>
        <w:pStyle w:val="ESlet"/>
        <w:rPr>
          <w:noProof/>
          <w:lang w:val="en-US"/>
        </w:rPr>
      </w:pPr>
      <w:r w:rsidRPr="00C903F8">
        <w:rPr>
          <w:noProof/>
          <w:lang w:val="en-US"/>
        </w:rPr>
        <w:t>c)</w:t>
      </w:r>
      <w:r w:rsidR="00377B97" w:rsidRPr="00C903F8">
        <w:rPr>
          <w:noProof/>
          <w:lang w:val="en-US"/>
        </w:rPr>
        <w:tab/>
        <w:t>righting lever curves for static-stability to the extent required in accordance with (5) below or Article 22.08;</w:t>
      </w:r>
    </w:p>
    <w:p w:rsidR="00377B97" w:rsidRPr="00C903F8" w:rsidRDefault="0029453D" w:rsidP="003D6C36">
      <w:pPr>
        <w:pStyle w:val="ESlet"/>
        <w:rPr>
          <w:noProof/>
          <w:lang w:val="en-US"/>
        </w:rPr>
      </w:pPr>
      <w:r w:rsidRPr="00C903F8">
        <w:rPr>
          <w:noProof/>
          <w:lang w:val="en-US"/>
        </w:rPr>
        <w:t>d)</w:t>
      </w:r>
      <w:r w:rsidR="00377B97" w:rsidRPr="00C903F8">
        <w:rPr>
          <w:noProof/>
          <w:lang w:val="en-US"/>
        </w:rPr>
        <w:tab/>
        <w:t>description of the operating conditions together with the corresponding data concerning weight and centre of gravity, including its unladen state and the equipment situation as regards transport;</w:t>
      </w:r>
    </w:p>
    <w:p w:rsidR="00377B97" w:rsidRPr="00C903F8" w:rsidRDefault="0029453D" w:rsidP="003D6C36">
      <w:pPr>
        <w:pStyle w:val="ESlet"/>
        <w:rPr>
          <w:noProof/>
          <w:lang w:val="en-US"/>
        </w:rPr>
      </w:pPr>
      <w:r w:rsidRPr="00C903F8">
        <w:rPr>
          <w:noProof/>
          <w:lang w:val="en-US"/>
        </w:rPr>
        <w:t>e)</w:t>
      </w:r>
      <w:r w:rsidR="00377B97" w:rsidRPr="00C903F8">
        <w:rPr>
          <w:noProof/>
          <w:lang w:val="en-US"/>
        </w:rPr>
        <w:tab/>
        <w:t>calculation of the heeling, trimming and righting moments, with a specification of the trim and heeling angles and the corresponding residual freeboard and residual safety clearances;</w:t>
      </w:r>
    </w:p>
    <w:p w:rsidR="00377B97" w:rsidRPr="00C903F8" w:rsidRDefault="0029453D" w:rsidP="003D6C36">
      <w:pPr>
        <w:pStyle w:val="ESlet"/>
        <w:rPr>
          <w:noProof/>
          <w:lang w:val="en-US"/>
        </w:rPr>
      </w:pPr>
      <w:r w:rsidRPr="00C903F8">
        <w:rPr>
          <w:noProof/>
          <w:lang w:val="en-US"/>
        </w:rPr>
        <w:t>f)</w:t>
      </w:r>
      <w:r w:rsidR="00377B97" w:rsidRPr="00C903F8">
        <w:rPr>
          <w:noProof/>
          <w:lang w:val="en-US"/>
        </w:rPr>
        <w:tab/>
        <w:t>a compilation of the results of the calculation with a specification of the limits for operation and the maximum loads.</w:t>
      </w:r>
    </w:p>
    <w:p w:rsidR="00377B97" w:rsidRPr="00C903F8" w:rsidRDefault="00377B97" w:rsidP="00377B97">
      <w:pPr>
        <w:pStyle w:val="ESch"/>
        <w:rPr>
          <w:noProof/>
          <w:lang w:val="en-US"/>
        </w:rPr>
      </w:pPr>
    </w:p>
    <w:p w:rsidR="00377B97" w:rsidRPr="00C903F8" w:rsidRDefault="00377B97" w:rsidP="00377B97">
      <w:pPr>
        <w:pStyle w:val="ESch"/>
        <w:rPr>
          <w:noProof/>
          <w:lang w:val="en-US"/>
        </w:rPr>
      </w:pPr>
      <w:r w:rsidRPr="00C903F8">
        <w:rPr>
          <w:noProof/>
          <w:lang w:val="en-US"/>
        </w:rPr>
        <w:t>3.</w:t>
      </w:r>
      <w:r w:rsidRPr="00C903F8">
        <w:rPr>
          <w:noProof/>
          <w:lang w:val="en-US"/>
        </w:rPr>
        <w:tab/>
        <w:t>The proof of stability shall be based on at least the following load assumptions:</w:t>
      </w:r>
    </w:p>
    <w:p w:rsidR="00377B97" w:rsidRPr="00C903F8" w:rsidRDefault="005C7859" w:rsidP="003D6C36">
      <w:pPr>
        <w:pStyle w:val="ESlet"/>
        <w:rPr>
          <w:rFonts w:cs="Arial"/>
          <w:szCs w:val="18"/>
          <w:lang w:val="en-US"/>
        </w:rPr>
      </w:pPr>
      <w:r w:rsidRPr="00C903F8">
        <w:rPr>
          <w:noProof/>
          <w:lang w:val="en-US"/>
        </w:rPr>
        <w:t>a)</w:t>
      </w:r>
      <w:r w:rsidR="00377B97" w:rsidRPr="00C903F8">
        <w:rPr>
          <w:noProof/>
          <w:lang w:val="en-US"/>
        </w:rPr>
        <w:tab/>
        <w:t>specific mass of the dredging products for dredgers:</w:t>
      </w:r>
    </w:p>
    <w:p w:rsidR="00377B97" w:rsidRPr="00C903F8" w:rsidRDefault="00377B97" w:rsidP="003D6C36">
      <w:pPr>
        <w:pStyle w:val="ESletpar"/>
        <w:rPr>
          <w:rFonts w:cs="Arial"/>
          <w:szCs w:val="18"/>
          <w:lang w:val="en-US"/>
        </w:rPr>
      </w:pPr>
      <w:r w:rsidRPr="00C903F8">
        <w:rPr>
          <w:noProof/>
          <w:lang w:val="en-US"/>
        </w:rPr>
        <w:t>sands and gravels: 1,5 t/m</w:t>
      </w:r>
      <w:r w:rsidRPr="00C903F8">
        <w:rPr>
          <w:noProof/>
          <w:vertAlign w:val="superscript"/>
          <w:lang w:val="en-US"/>
        </w:rPr>
        <w:t>3</w:t>
      </w:r>
      <w:r w:rsidRPr="00C903F8">
        <w:rPr>
          <w:noProof/>
          <w:lang w:val="en-US"/>
        </w:rPr>
        <w:t>,</w:t>
      </w:r>
    </w:p>
    <w:p w:rsidR="00377B97" w:rsidRPr="00C903F8" w:rsidRDefault="004D3A30" w:rsidP="003D6C36">
      <w:pPr>
        <w:pStyle w:val="ESletpar"/>
        <w:rPr>
          <w:rFonts w:cs="Arial"/>
          <w:szCs w:val="18"/>
          <w:lang w:val="en-US"/>
        </w:rPr>
      </w:pPr>
      <w:r w:rsidRPr="00C903F8">
        <w:rPr>
          <w:noProof/>
          <w:lang w:val="en-US"/>
        </w:rPr>
        <w:t>very wet sands</w:t>
      </w:r>
      <w:r w:rsidR="00377B97" w:rsidRPr="00C903F8">
        <w:rPr>
          <w:noProof/>
          <w:lang w:val="en-US"/>
        </w:rPr>
        <w:t xml:space="preserve">: </w:t>
      </w:r>
      <w:r w:rsidRPr="00C903F8">
        <w:rPr>
          <w:noProof/>
          <w:lang w:val="en-US"/>
        </w:rPr>
        <w:t>2,0</w:t>
      </w:r>
      <w:r w:rsidR="00377B97" w:rsidRPr="00C903F8">
        <w:rPr>
          <w:noProof/>
          <w:lang w:val="en-US"/>
        </w:rPr>
        <w:t xml:space="preserve"> t/m</w:t>
      </w:r>
      <w:r w:rsidR="00377B97" w:rsidRPr="00C903F8">
        <w:rPr>
          <w:noProof/>
          <w:vertAlign w:val="superscript"/>
          <w:lang w:val="en-US"/>
        </w:rPr>
        <w:t>3</w:t>
      </w:r>
      <w:r w:rsidR="00377B97" w:rsidRPr="00C903F8">
        <w:rPr>
          <w:noProof/>
          <w:lang w:val="en-US"/>
        </w:rPr>
        <w:t>,</w:t>
      </w:r>
    </w:p>
    <w:p w:rsidR="00377B97" w:rsidRPr="00C903F8" w:rsidRDefault="00377B97" w:rsidP="003D6C36">
      <w:pPr>
        <w:pStyle w:val="ESletpar"/>
        <w:rPr>
          <w:rFonts w:cs="Arial"/>
          <w:szCs w:val="18"/>
        </w:rPr>
      </w:pPr>
      <w:r w:rsidRPr="00C903F8">
        <w:rPr>
          <w:noProof/>
          <w:lang w:val="fr-BE"/>
        </w:rPr>
        <w:t>soil, on average: 1,8 t/m</w:t>
      </w:r>
      <w:r w:rsidRPr="00C903F8">
        <w:rPr>
          <w:noProof/>
          <w:vertAlign w:val="superscript"/>
          <w:lang w:val="fr-BE"/>
        </w:rPr>
        <w:t>3</w:t>
      </w:r>
      <w:r w:rsidRPr="00C903F8">
        <w:rPr>
          <w:noProof/>
          <w:lang w:val="fr-BE"/>
        </w:rPr>
        <w:t>,</w:t>
      </w:r>
    </w:p>
    <w:p w:rsidR="00377B97" w:rsidRPr="00C903F8" w:rsidRDefault="00377B97" w:rsidP="003D6C36">
      <w:pPr>
        <w:pStyle w:val="ESletpar"/>
        <w:rPr>
          <w:rFonts w:cs="Arial"/>
          <w:szCs w:val="18"/>
          <w:lang w:val="en-US"/>
        </w:rPr>
      </w:pPr>
      <w:r w:rsidRPr="00C903F8">
        <w:rPr>
          <w:noProof/>
          <w:lang w:val="en-US"/>
        </w:rPr>
        <w:t>mixture of sand and water in the ducts: 1,3 t/m</w:t>
      </w:r>
      <w:r w:rsidRPr="00C903F8">
        <w:rPr>
          <w:noProof/>
          <w:vertAlign w:val="superscript"/>
          <w:lang w:val="en-US"/>
        </w:rPr>
        <w:t>3</w:t>
      </w:r>
      <w:r w:rsidRPr="00C903F8">
        <w:rPr>
          <w:noProof/>
          <w:lang w:val="en-US"/>
        </w:rPr>
        <w:t>;</w:t>
      </w:r>
    </w:p>
    <w:p w:rsidR="008E7AC7" w:rsidRPr="00C903F8" w:rsidRDefault="008E7AC7" w:rsidP="003D6C36">
      <w:pPr>
        <w:pStyle w:val="ESlet"/>
        <w:rPr>
          <w:noProof/>
          <w:lang w:val="en-US"/>
        </w:rPr>
      </w:pPr>
      <w:r w:rsidRPr="00C903F8">
        <w:rPr>
          <w:noProof/>
          <w:lang w:val="en-US"/>
        </w:rPr>
        <w:br w:type="page"/>
      </w:r>
    </w:p>
    <w:p w:rsidR="00377B97" w:rsidRPr="00C903F8" w:rsidRDefault="005C7859" w:rsidP="003D6C36">
      <w:pPr>
        <w:pStyle w:val="ESlet"/>
        <w:rPr>
          <w:noProof/>
          <w:lang w:val="en-US"/>
        </w:rPr>
      </w:pPr>
      <w:r w:rsidRPr="00C903F8">
        <w:rPr>
          <w:noProof/>
          <w:lang w:val="en-US"/>
        </w:rPr>
        <w:lastRenderedPageBreak/>
        <w:t>b)</w:t>
      </w:r>
      <w:r w:rsidR="00377B97" w:rsidRPr="00C903F8">
        <w:rPr>
          <w:noProof/>
          <w:lang w:val="en-US"/>
        </w:rPr>
        <w:tab/>
        <w:t>for clamshell dredgers, the values given under (a) shall be increased by 15 %;</w:t>
      </w:r>
    </w:p>
    <w:p w:rsidR="00377B97" w:rsidRPr="00C903F8" w:rsidRDefault="005C7859" w:rsidP="003D6C36">
      <w:pPr>
        <w:pStyle w:val="ESlet"/>
        <w:rPr>
          <w:noProof/>
          <w:lang w:val="en-US"/>
        </w:rPr>
      </w:pPr>
      <w:r w:rsidRPr="00C903F8">
        <w:rPr>
          <w:noProof/>
          <w:lang w:val="en-US"/>
        </w:rPr>
        <w:t>c)</w:t>
      </w:r>
      <w:r w:rsidR="00377B97" w:rsidRPr="00C903F8">
        <w:rPr>
          <w:noProof/>
          <w:lang w:val="en-US"/>
        </w:rPr>
        <w:tab/>
        <w:t>for hydraulic dredgers the maximum lifting power shall be considered.</w:t>
      </w:r>
    </w:p>
    <w:p w:rsidR="003D6C36" w:rsidRPr="00C903F8" w:rsidRDefault="003D6C36" w:rsidP="00377B97">
      <w:pPr>
        <w:pStyle w:val="ESch"/>
        <w:rPr>
          <w:noProof/>
          <w:lang w:val="en-US"/>
        </w:rPr>
      </w:pPr>
    </w:p>
    <w:p w:rsidR="00377B97" w:rsidRPr="00C903F8" w:rsidRDefault="00377B97" w:rsidP="00377B97">
      <w:pPr>
        <w:pStyle w:val="ESch"/>
        <w:rPr>
          <w:noProof/>
          <w:lang w:val="en-US"/>
        </w:rPr>
      </w:pPr>
      <w:r w:rsidRPr="00C903F8">
        <w:rPr>
          <w:noProof/>
          <w:lang w:val="en-US"/>
        </w:rPr>
        <w:t>4.</w:t>
      </w:r>
      <w:r w:rsidRPr="00C903F8">
        <w:rPr>
          <w:noProof/>
          <w:lang w:val="en-US"/>
        </w:rPr>
        <w:tab/>
        <w:t>The proof of stability shall take account of the moments resulting from:</w:t>
      </w:r>
    </w:p>
    <w:p w:rsidR="00377B97" w:rsidRPr="00C903F8" w:rsidRDefault="005C7859" w:rsidP="00377B97">
      <w:pPr>
        <w:pStyle w:val="ESlet"/>
        <w:rPr>
          <w:noProof/>
          <w:lang w:val="en-US"/>
        </w:rPr>
      </w:pPr>
      <w:r w:rsidRPr="00C903F8">
        <w:rPr>
          <w:noProof/>
          <w:lang w:val="en-US"/>
        </w:rPr>
        <w:t>a)</w:t>
      </w:r>
      <w:r w:rsidR="00377B97" w:rsidRPr="00C903F8">
        <w:rPr>
          <w:noProof/>
          <w:lang w:val="en-US"/>
        </w:rPr>
        <w:tab/>
        <w:t>load;</w:t>
      </w:r>
    </w:p>
    <w:p w:rsidR="00377B97" w:rsidRPr="00C903F8" w:rsidRDefault="005C7859" w:rsidP="00377B97">
      <w:pPr>
        <w:pStyle w:val="ESlet"/>
        <w:rPr>
          <w:noProof/>
          <w:lang w:val="en-US"/>
        </w:rPr>
      </w:pPr>
      <w:r w:rsidRPr="00C903F8">
        <w:rPr>
          <w:noProof/>
          <w:lang w:val="en-US"/>
        </w:rPr>
        <w:t>b)</w:t>
      </w:r>
      <w:r w:rsidR="00377B97" w:rsidRPr="00C903F8">
        <w:rPr>
          <w:noProof/>
          <w:lang w:val="en-US"/>
        </w:rPr>
        <w:tab/>
        <w:t>asymmetric structure;</w:t>
      </w:r>
    </w:p>
    <w:p w:rsidR="00377B97" w:rsidRPr="00C903F8" w:rsidRDefault="005C7859" w:rsidP="00377B97">
      <w:pPr>
        <w:pStyle w:val="ESlet"/>
        <w:rPr>
          <w:noProof/>
          <w:lang w:val="en-US"/>
        </w:rPr>
      </w:pPr>
      <w:r w:rsidRPr="00C903F8">
        <w:rPr>
          <w:noProof/>
          <w:lang w:val="en-US"/>
        </w:rPr>
        <w:t>c)</w:t>
      </w:r>
      <w:r w:rsidR="00377B97" w:rsidRPr="00C903F8">
        <w:rPr>
          <w:noProof/>
          <w:lang w:val="en-US"/>
        </w:rPr>
        <w:tab/>
        <w:t>wind pressure;</w:t>
      </w:r>
    </w:p>
    <w:p w:rsidR="00377B97" w:rsidRPr="00C903F8" w:rsidRDefault="0029453D" w:rsidP="00377B97">
      <w:pPr>
        <w:pStyle w:val="ESlet"/>
        <w:rPr>
          <w:noProof/>
          <w:lang w:val="en-US"/>
        </w:rPr>
      </w:pPr>
      <w:r w:rsidRPr="00C903F8">
        <w:rPr>
          <w:noProof/>
          <w:lang w:val="en-US"/>
        </w:rPr>
        <w:t>d)</w:t>
      </w:r>
      <w:r w:rsidR="00377B97" w:rsidRPr="00C903F8">
        <w:rPr>
          <w:noProof/>
          <w:lang w:val="en-US"/>
        </w:rPr>
        <w:tab/>
        <w:t>turning whilst under way of self-propelled floating equipment;</w:t>
      </w:r>
    </w:p>
    <w:p w:rsidR="00377B97" w:rsidRPr="00C903F8" w:rsidRDefault="0029453D" w:rsidP="00377B97">
      <w:pPr>
        <w:pStyle w:val="ESlet"/>
        <w:rPr>
          <w:noProof/>
          <w:lang w:val="en-US"/>
        </w:rPr>
      </w:pPr>
      <w:r w:rsidRPr="00C903F8">
        <w:rPr>
          <w:noProof/>
          <w:lang w:val="en-US"/>
        </w:rPr>
        <w:t>e)</w:t>
      </w:r>
      <w:r w:rsidR="00377B97" w:rsidRPr="00C903F8">
        <w:rPr>
          <w:noProof/>
          <w:lang w:val="en-US"/>
        </w:rPr>
        <w:tab/>
        <w:t>cross current, if necessary;</w:t>
      </w:r>
    </w:p>
    <w:p w:rsidR="00377B97" w:rsidRPr="00C903F8" w:rsidRDefault="0029453D" w:rsidP="00377B97">
      <w:pPr>
        <w:pStyle w:val="ESlet"/>
        <w:rPr>
          <w:noProof/>
          <w:lang w:val="en-US"/>
        </w:rPr>
      </w:pPr>
      <w:r w:rsidRPr="00C903F8">
        <w:rPr>
          <w:noProof/>
          <w:lang w:val="en-US"/>
        </w:rPr>
        <w:t>f)</w:t>
      </w:r>
      <w:r w:rsidR="00377B97" w:rsidRPr="00C903F8">
        <w:rPr>
          <w:noProof/>
          <w:lang w:val="en-US"/>
        </w:rPr>
        <w:tab/>
        <w:t>ballast and provisions;</w:t>
      </w:r>
    </w:p>
    <w:p w:rsidR="00377B97" w:rsidRPr="00C903F8" w:rsidRDefault="0029453D" w:rsidP="00377B97">
      <w:pPr>
        <w:pStyle w:val="ESlet"/>
        <w:rPr>
          <w:noProof/>
          <w:lang w:val="en-US"/>
        </w:rPr>
      </w:pPr>
      <w:r w:rsidRPr="00C903F8">
        <w:rPr>
          <w:noProof/>
          <w:lang w:val="en-US"/>
        </w:rPr>
        <w:t>g)</w:t>
      </w:r>
      <w:r w:rsidR="00377B97" w:rsidRPr="00C903F8">
        <w:rPr>
          <w:noProof/>
          <w:lang w:val="en-US"/>
        </w:rPr>
        <w:tab/>
        <w:t>deck loads and, where appropriate, cargo;</w:t>
      </w:r>
    </w:p>
    <w:p w:rsidR="00377B97" w:rsidRPr="00C903F8" w:rsidRDefault="0029453D" w:rsidP="00377B97">
      <w:pPr>
        <w:pStyle w:val="ESlet"/>
        <w:rPr>
          <w:rFonts w:cs="Arial"/>
          <w:szCs w:val="18"/>
          <w:lang w:val="en-US"/>
        </w:rPr>
      </w:pPr>
      <w:r w:rsidRPr="00C903F8">
        <w:rPr>
          <w:noProof/>
          <w:lang w:val="en-US"/>
        </w:rPr>
        <w:t>h)</w:t>
      </w:r>
      <w:r w:rsidR="00377B97" w:rsidRPr="00C903F8">
        <w:rPr>
          <w:noProof/>
          <w:lang w:val="en-US"/>
        </w:rPr>
        <w:tab/>
        <w:t>free surfaces of liquids;</w:t>
      </w:r>
    </w:p>
    <w:p w:rsidR="00377B97" w:rsidRPr="00C903F8" w:rsidRDefault="0029453D" w:rsidP="00377B97">
      <w:pPr>
        <w:pStyle w:val="ESlet"/>
        <w:rPr>
          <w:rFonts w:cs="Arial"/>
          <w:szCs w:val="18"/>
          <w:lang w:val="en-US"/>
        </w:rPr>
      </w:pPr>
      <w:r w:rsidRPr="00C903F8">
        <w:rPr>
          <w:noProof/>
          <w:lang w:val="en-US"/>
        </w:rPr>
        <w:t>i)</w:t>
      </w:r>
      <w:r w:rsidR="00377B97" w:rsidRPr="00C903F8">
        <w:rPr>
          <w:noProof/>
          <w:lang w:val="en-US"/>
        </w:rPr>
        <w:tab/>
        <w:t>inertia forces;</w:t>
      </w:r>
    </w:p>
    <w:p w:rsidR="00377B97" w:rsidRPr="00C903F8" w:rsidRDefault="00377B97" w:rsidP="00377B97">
      <w:pPr>
        <w:pStyle w:val="ESlet"/>
        <w:rPr>
          <w:rFonts w:cs="Arial"/>
          <w:szCs w:val="18"/>
          <w:lang w:val="en-US"/>
        </w:rPr>
      </w:pPr>
      <w:r w:rsidRPr="00C903F8">
        <w:rPr>
          <w:noProof/>
          <w:lang w:val="en-US"/>
        </w:rPr>
        <w:t>j)</w:t>
      </w:r>
      <w:r w:rsidRPr="00C903F8">
        <w:rPr>
          <w:noProof/>
          <w:lang w:val="en-US"/>
        </w:rPr>
        <w:tab/>
        <w:t>other mechanical equipment.</w:t>
      </w:r>
    </w:p>
    <w:p w:rsidR="003D6C36" w:rsidRPr="00C903F8" w:rsidRDefault="003D6C36" w:rsidP="00377B97">
      <w:pPr>
        <w:pStyle w:val="ESch"/>
        <w:rPr>
          <w:noProof/>
          <w:lang w:val="en-US"/>
        </w:rPr>
      </w:pPr>
    </w:p>
    <w:p w:rsidR="00377B97" w:rsidRPr="00C903F8" w:rsidRDefault="00377B97" w:rsidP="003D6C36">
      <w:pPr>
        <w:pStyle w:val="ESchpar"/>
        <w:rPr>
          <w:rFonts w:cs="Arial"/>
          <w:szCs w:val="18"/>
          <w:lang w:val="en-US"/>
        </w:rPr>
      </w:pPr>
      <w:r w:rsidRPr="00C903F8">
        <w:rPr>
          <w:noProof/>
          <w:lang w:val="en-US"/>
        </w:rPr>
        <w:t>The moments which may act simultaneously shall be added up.</w:t>
      </w:r>
    </w:p>
    <w:p w:rsidR="00377B97" w:rsidRPr="00C903F8" w:rsidRDefault="00377B97" w:rsidP="00377B97">
      <w:pPr>
        <w:pStyle w:val="ESch"/>
        <w:rPr>
          <w:lang w:val="en-US"/>
        </w:rPr>
      </w:pPr>
    </w:p>
    <w:p w:rsidR="00377B97" w:rsidRPr="00C903F8" w:rsidRDefault="00377B97" w:rsidP="00377B97">
      <w:pPr>
        <w:pStyle w:val="ESch"/>
        <w:rPr>
          <w:lang w:val="en-US"/>
        </w:rPr>
      </w:pPr>
      <w:r w:rsidRPr="00C903F8">
        <w:rPr>
          <w:lang w:val="en-US"/>
        </w:rPr>
        <w:t>5.</w:t>
      </w:r>
      <w:r w:rsidRPr="00C903F8">
        <w:rPr>
          <w:lang w:val="en-US"/>
        </w:rPr>
        <w:tab/>
        <w:t>The moment caused by the wind pressure shall be calculated in accordance with the following formula:</w:t>
      </w:r>
    </w:p>
    <w:p w:rsidR="003D6C36" w:rsidRPr="00C903F8" w:rsidRDefault="003D6C36" w:rsidP="00377B97">
      <w:pPr>
        <w:pStyle w:val="ESch"/>
        <w:rPr>
          <w:lang w:val="en-US"/>
        </w:rPr>
      </w:pPr>
    </w:p>
    <w:p w:rsidR="000C41E0" w:rsidRPr="00C903F8" w:rsidRDefault="00F12BAF" w:rsidP="00377B97">
      <w:pPr>
        <w:pStyle w:val="ESch"/>
        <w:rPr>
          <w:lang w:val="en-US"/>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W</m:t>
              </m:r>
            </m:sub>
          </m:sSub>
          <m:r>
            <w:rPr>
              <w:rFonts w:ascii="Cambria Math" w:hAnsi="Cambria Math"/>
              <w:lang w:val="en-US"/>
            </w:rPr>
            <m:t xml:space="preserve">=c ∙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W</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w</m:t>
              </m:r>
            </m:sub>
          </m:sSub>
          <m:r>
            <w:rPr>
              <w:rFonts w:ascii="Cambria Math" w:hAnsi="Cambria Math"/>
              <w:lang w:val="en-US"/>
            </w:rPr>
            <m:t xml:space="preserve"> ∙</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W</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T</m:t>
                  </m:r>
                </m:num>
                <m:den>
                  <m:r>
                    <w:rPr>
                      <w:rFonts w:ascii="Cambria Math" w:hAnsi="Cambria Math"/>
                      <w:lang w:val="en-US"/>
                    </w:rPr>
                    <m:t>2</m:t>
                  </m:r>
                </m:den>
              </m:f>
            </m:e>
          </m:d>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kNm</m:t>
              </m:r>
            </m:e>
          </m:d>
        </m:oMath>
      </m:oMathPara>
    </w:p>
    <w:p w:rsidR="000C41E0" w:rsidRPr="00C903F8" w:rsidRDefault="000C41E0" w:rsidP="00377B97">
      <w:pPr>
        <w:pStyle w:val="ESch"/>
        <w:rPr>
          <w:lang w:val="en-US"/>
        </w:rPr>
      </w:pPr>
    </w:p>
    <w:p w:rsidR="00377B97" w:rsidRPr="00C903F8" w:rsidRDefault="00377B97" w:rsidP="003D6C36">
      <w:pPr>
        <w:pStyle w:val="ESlet"/>
        <w:rPr>
          <w:lang w:val="en-US"/>
        </w:rPr>
      </w:pPr>
      <w:r w:rsidRPr="00C903F8">
        <w:rPr>
          <w:lang w:val="en-US"/>
        </w:rPr>
        <w:t>where:</w:t>
      </w:r>
    </w:p>
    <w:p w:rsidR="00377B97" w:rsidRPr="00C903F8" w:rsidRDefault="000C41E0" w:rsidP="003D6C36">
      <w:pPr>
        <w:pStyle w:val="ESlet"/>
        <w:rPr>
          <w:lang w:val="en-US"/>
        </w:rPr>
      </w:pPr>
      <m:oMath>
        <m:r>
          <w:rPr>
            <w:rFonts w:ascii="Cambria Math" w:hAnsi="Cambria Math"/>
            <w:lang w:val="en-US"/>
          </w:rPr>
          <m:t>c</m:t>
        </m:r>
      </m:oMath>
      <w:r w:rsidR="003D6C36" w:rsidRPr="00C903F8">
        <w:rPr>
          <w:lang w:val="en-US"/>
        </w:rPr>
        <w:tab/>
      </w:r>
      <w:r w:rsidR="00377B97" w:rsidRPr="00C903F8">
        <w:rPr>
          <w:lang w:val="en-US"/>
        </w:rPr>
        <w:t xml:space="preserve"> =</w:t>
      </w:r>
      <w:r w:rsidR="003D6C36" w:rsidRPr="00C903F8">
        <w:rPr>
          <w:lang w:val="en-US"/>
        </w:rPr>
        <w:tab/>
      </w:r>
      <w:r w:rsidR="00377B97" w:rsidRPr="00C903F8">
        <w:rPr>
          <w:lang w:val="en-US"/>
        </w:rPr>
        <w:t>shape-dependent coefficient of resistance</w:t>
      </w:r>
    </w:p>
    <w:p w:rsidR="00377B97" w:rsidRPr="00C903F8" w:rsidRDefault="00377B97" w:rsidP="003D6C36">
      <w:pPr>
        <w:pStyle w:val="EStiretpar"/>
        <w:rPr>
          <w:lang w:val="en-US"/>
        </w:rPr>
      </w:pPr>
      <w:r w:rsidRPr="00C903F8">
        <w:rPr>
          <w:lang w:val="en-US"/>
        </w:rPr>
        <w:t>For frameworks</w:t>
      </w:r>
      <w:r w:rsidR="000C41E0" w:rsidRPr="00C903F8">
        <w:rPr>
          <w:lang w:val="en-US"/>
        </w:rPr>
        <w:t xml:space="preserve"> </w:t>
      </w:r>
      <m:oMath>
        <m:r>
          <w:rPr>
            <w:rFonts w:ascii="Cambria Math" w:hAnsi="Cambria Math"/>
            <w:lang w:val="en-US"/>
          </w:rPr>
          <m:t>c=1,2</m:t>
        </m:r>
      </m:oMath>
      <w:r w:rsidR="000C41E0" w:rsidRPr="00C903F8">
        <w:rPr>
          <w:lang w:val="en-US"/>
        </w:rPr>
        <w:t xml:space="preserve"> </w:t>
      </w:r>
      <w:r w:rsidRPr="00C903F8">
        <w:rPr>
          <w:lang w:val="en-US"/>
        </w:rPr>
        <w:t xml:space="preserve">and for solid-section beams </w:t>
      </w:r>
      <m:oMath>
        <m:r>
          <w:rPr>
            <w:rFonts w:ascii="Cambria Math" w:hAnsi="Cambria Math"/>
            <w:lang w:val="en-US"/>
          </w:rPr>
          <m:t>c=1,6</m:t>
        </m:r>
      </m:oMath>
      <w:r w:rsidRPr="00C903F8">
        <w:rPr>
          <w:lang w:val="en-US"/>
        </w:rPr>
        <w:t>. Both values take account of gusts of wind.</w:t>
      </w:r>
    </w:p>
    <w:p w:rsidR="00377B97" w:rsidRPr="00C903F8" w:rsidRDefault="00377B97" w:rsidP="003D6C36">
      <w:pPr>
        <w:pStyle w:val="EStiretpar"/>
        <w:rPr>
          <w:lang w:val="en-US"/>
        </w:rPr>
      </w:pPr>
      <w:r w:rsidRPr="00C903F8">
        <w:rPr>
          <w:lang w:val="en-US"/>
        </w:rPr>
        <w:t>The whole area encompassed by the contour line of the framework shall be taken to be the surface area exposed to the wind.</w:t>
      </w:r>
    </w:p>
    <w:p w:rsidR="00377B97" w:rsidRPr="00C903F8" w:rsidRDefault="00F12BAF" w:rsidP="003D6C36">
      <w:pPr>
        <w:pStyle w:val="ESlet"/>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W</m:t>
            </m:r>
          </m:sub>
        </m:sSub>
      </m:oMath>
      <w:r w:rsidR="003D6C36" w:rsidRPr="00C903F8">
        <w:rPr>
          <w:lang w:val="en-US"/>
        </w:rPr>
        <w:tab/>
      </w:r>
      <w:r w:rsidR="00377B97" w:rsidRPr="00C903F8">
        <w:rPr>
          <w:lang w:val="en-US"/>
        </w:rPr>
        <w:t>=</w:t>
      </w:r>
      <w:r w:rsidR="003D6C36" w:rsidRPr="00C903F8">
        <w:rPr>
          <w:lang w:val="en-US"/>
        </w:rPr>
        <w:tab/>
      </w:r>
      <w:r w:rsidR="00377B97" w:rsidRPr="00C903F8">
        <w:rPr>
          <w:lang w:val="en-US"/>
        </w:rPr>
        <w:t>specific wind pressure; this shall uniformly be taken to be 0,25 kN/m</w:t>
      </w:r>
      <w:r w:rsidR="00377B97" w:rsidRPr="00C903F8">
        <w:rPr>
          <w:vertAlign w:val="superscript"/>
          <w:lang w:val="en-US"/>
        </w:rPr>
        <w:t>2</w:t>
      </w:r>
      <w:r w:rsidR="00377B97" w:rsidRPr="00C903F8">
        <w:rPr>
          <w:lang w:val="en-US"/>
        </w:rPr>
        <w:t>;</w:t>
      </w:r>
    </w:p>
    <w:p w:rsidR="00377B97" w:rsidRPr="00C903F8" w:rsidRDefault="00F12BAF" w:rsidP="003D6C36">
      <w:pPr>
        <w:pStyle w:val="ESlet"/>
        <w:tabs>
          <w:tab w:val="left" w:pos="993"/>
        </w:tabs>
        <w:ind w:left="1418" w:hanging="851"/>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W</m:t>
            </m:r>
          </m:sub>
        </m:sSub>
      </m:oMath>
      <w:r w:rsidR="003D6C36" w:rsidRPr="00C903F8">
        <w:rPr>
          <w:lang w:val="en-US"/>
        </w:rPr>
        <w:tab/>
      </w:r>
      <w:r w:rsidR="00377B97" w:rsidRPr="00C903F8">
        <w:rPr>
          <w:lang w:val="en-US"/>
        </w:rPr>
        <w:t>=</w:t>
      </w:r>
      <w:r w:rsidR="00377B97" w:rsidRPr="00C903F8">
        <w:rPr>
          <w:lang w:val="en-US"/>
        </w:rPr>
        <w:tab/>
        <w:t>lateral plane of the vessel above the plane of draught according to the</w:t>
      </w:r>
      <w:r w:rsidR="00191DB0" w:rsidRPr="00C903F8">
        <w:rPr>
          <w:lang w:val="en-US"/>
        </w:rPr>
        <w:t xml:space="preserve"> </w:t>
      </w:r>
      <w:r w:rsidR="00377B97" w:rsidRPr="00C903F8">
        <w:rPr>
          <w:lang w:val="en-US"/>
        </w:rPr>
        <w:t>considered loading condition in [m²];</w:t>
      </w:r>
    </w:p>
    <w:p w:rsidR="00377B97" w:rsidRPr="00C903F8" w:rsidRDefault="00F12BAF" w:rsidP="003D6C36">
      <w:pPr>
        <w:pStyle w:val="ESlet"/>
        <w:tabs>
          <w:tab w:val="left" w:pos="993"/>
        </w:tabs>
        <w:ind w:left="1418" w:hanging="851"/>
        <w:rPr>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W</m:t>
            </m:r>
          </m:sub>
        </m:sSub>
      </m:oMath>
      <w:r w:rsidR="00377B97" w:rsidRPr="00C903F8">
        <w:rPr>
          <w:lang w:val="en-US"/>
        </w:rPr>
        <w:t xml:space="preserve"> </w:t>
      </w:r>
      <w:r w:rsidR="003D6C36" w:rsidRPr="00C903F8">
        <w:rPr>
          <w:lang w:val="en-US"/>
        </w:rPr>
        <w:tab/>
      </w:r>
      <w:r w:rsidR="00377B97" w:rsidRPr="00C903F8">
        <w:rPr>
          <w:lang w:val="en-US"/>
        </w:rPr>
        <w:t>=</w:t>
      </w:r>
      <w:r w:rsidR="00377B97" w:rsidRPr="00C903F8">
        <w:rPr>
          <w:lang w:val="en-US"/>
        </w:rPr>
        <w:tab/>
        <w:t>distance of the centre o</w:t>
      </w:r>
      <w:r w:rsidR="000C41E0" w:rsidRPr="00C903F8">
        <w:rPr>
          <w:lang w:val="en-US"/>
        </w:rPr>
        <w:t xml:space="preserve">f gravity of the lateral plane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W</m:t>
            </m:r>
          </m:sub>
        </m:sSub>
      </m:oMath>
      <w:r w:rsidR="00377B97" w:rsidRPr="00C903F8">
        <w:rPr>
          <w:lang w:val="en-US"/>
        </w:rPr>
        <w:t xml:space="preserve"> from the plane of draught according to the considered loading condition in [m].</w:t>
      </w:r>
    </w:p>
    <w:p w:rsidR="00377B97" w:rsidRPr="00C903F8" w:rsidRDefault="00377B97" w:rsidP="00377B97">
      <w:pPr>
        <w:pStyle w:val="ESch"/>
        <w:rPr>
          <w:lang w:val="en-US"/>
        </w:rPr>
      </w:pPr>
    </w:p>
    <w:p w:rsidR="00377B97" w:rsidRPr="00C903F8" w:rsidRDefault="00377B97" w:rsidP="00377B97">
      <w:pPr>
        <w:pStyle w:val="ESch"/>
        <w:rPr>
          <w:lang w:val="en-US"/>
        </w:rPr>
      </w:pPr>
      <w:r w:rsidRPr="00C903F8">
        <w:rPr>
          <w:lang w:val="en-US"/>
        </w:rPr>
        <w:t>6.</w:t>
      </w:r>
      <w:r w:rsidRPr="00C903F8">
        <w:rPr>
          <w:lang w:val="en-US"/>
        </w:rPr>
        <w:tab/>
        <w:t xml:space="preserve">In order to determine the moments due to turning whilst under way according to </w:t>
      </w:r>
      <w:r w:rsidR="007E1D94" w:rsidRPr="00C903F8">
        <w:rPr>
          <w:lang w:val="en-US"/>
        </w:rPr>
        <w:t>(</w:t>
      </w:r>
      <w:r w:rsidRPr="00C903F8">
        <w:rPr>
          <w:lang w:val="en-US"/>
        </w:rPr>
        <w:t>4</w:t>
      </w:r>
      <w:r w:rsidR="007E1D94" w:rsidRPr="00C903F8">
        <w:rPr>
          <w:lang w:val="en-US"/>
        </w:rPr>
        <w:t>)</w:t>
      </w:r>
      <w:r w:rsidRPr="00C903F8">
        <w:rPr>
          <w:lang w:val="en-US"/>
        </w:rPr>
        <w:t>(d) for self-propelled floating equipment, the formula set out in Article 19.03(6) shall be used.</w:t>
      </w:r>
    </w:p>
    <w:p w:rsidR="00377B97" w:rsidRPr="00C903F8" w:rsidRDefault="00377B97" w:rsidP="00377B97">
      <w:pPr>
        <w:pStyle w:val="ESch"/>
        <w:rPr>
          <w:lang w:val="en-US"/>
        </w:rPr>
      </w:pPr>
    </w:p>
    <w:p w:rsidR="00377B97" w:rsidRPr="00C903F8" w:rsidRDefault="00377B97" w:rsidP="00377B97">
      <w:pPr>
        <w:pStyle w:val="ESch"/>
        <w:rPr>
          <w:lang w:val="en-US"/>
        </w:rPr>
      </w:pPr>
      <w:r w:rsidRPr="00C903F8">
        <w:rPr>
          <w:lang w:val="en-US"/>
        </w:rPr>
        <w:t>7.</w:t>
      </w:r>
      <w:r w:rsidRPr="00C903F8">
        <w:rPr>
          <w:lang w:val="en-US"/>
        </w:rPr>
        <w:tab/>
        <w:t xml:space="preserve">The moment resulting from cross current according to </w:t>
      </w:r>
      <w:r w:rsidR="007E1D94" w:rsidRPr="00C903F8">
        <w:rPr>
          <w:lang w:val="en-US"/>
        </w:rPr>
        <w:t>(</w:t>
      </w:r>
      <w:r w:rsidRPr="00C903F8">
        <w:rPr>
          <w:lang w:val="en-US"/>
        </w:rPr>
        <w:t>4</w:t>
      </w:r>
      <w:r w:rsidR="007E1D94" w:rsidRPr="00C903F8">
        <w:rPr>
          <w:lang w:val="en-US"/>
        </w:rPr>
        <w:t>)</w:t>
      </w:r>
      <w:r w:rsidRPr="00C903F8">
        <w:rPr>
          <w:lang w:val="en-US"/>
        </w:rPr>
        <w:t>(e) shall be taken into account only for floating equipment which is anchored or moored across the current while operating.</w:t>
      </w:r>
    </w:p>
    <w:p w:rsidR="00377B97" w:rsidRPr="00C903F8" w:rsidRDefault="00377B97" w:rsidP="00377B97">
      <w:pPr>
        <w:pStyle w:val="ESch"/>
        <w:rPr>
          <w:lang w:val="en-US"/>
        </w:rPr>
      </w:pPr>
    </w:p>
    <w:p w:rsidR="00377B97" w:rsidRPr="00C903F8" w:rsidRDefault="00377B97" w:rsidP="00377B97">
      <w:pPr>
        <w:pStyle w:val="ESch"/>
        <w:rPr>
          <w:lang w:val="en-US"/>
        </w:rPr>
      </w:pPr>
      <w:r w:rsidRPr="00C903F8">
        <w:rPr>
          <w:lang w:val="en-US"/>
        </w:rPr>
        <w:t>8.</w:t>
      </w:r>
      <w:r w:rsidRPr="00C903F8">
        <w:rPr>
          <w:lang w:val="en-US"/>
        </w:rPr>
        <w:tab/>
        <w:t>The least favourable extent of tank filling from the point of view of stability shal</w:t>
      </w:r>
      <w:r w:rsidR="00C40483" w:rsidRPr="00C903F8">
        <w:rPr>
          <w:lang w:val="en-US"/>
        </w:rPr>
        <w:t>l be determined and the corresponding moment intro</w:t>
      </w:r>
      <w:r w:rsidRPr="00C903F8">
        <w:rPr>
          <w:lang w:val="en-US"/>
        </w:rPr>
        <w:t xml:space="preserve">duced into the calculation when calculating the moments resulting from liquid ballast and liquid provisions according to </w:t>
      </w:r>
      <w:r w:rsidR="007E1D94" w:rsidRPr="00C903F8">
        <w:rPr>
          <w:lang w:val="en-US"/>
        </w:rPr>
        <w:t>(</w:t>
      </w:r>
      <w:r w:rsidRPr="00C903F8">
        <w:rPr>
          <w:lang w:val="en-US"/>
        </w:rPr>
        <w:t>4</w:t>
      </w:r>
      <w:r w:rsidR="007E1D94" w:rsidRPr="00C903F8">
        <w:rPr>
          <w:lang w:val="en-US"/>
        </w:rPr>
        <w:t>)</w:t>
      </w:r>
      <w:r w:rsidRPr="00C903F8">
        <w:rPr>
          <w:lang w:val="en-US"/>
        </w:rPr>
        <w:t>(f).</w:t>
      </w:r>
    </w:p>
    <w:p w:rsidR="00377B97" w:rsidRPr="00C903F8" w:rsidRDefault="00377B97" w:rsidP="00377B97">
      <w:pPr>
        <w:pStyle w:val="ESch"/>
        <w:rPr>
          <w:lang w:val="en-US"/>
        </w:rPr>
      </w:pPr>
    </w:p>
    <w:p w:rsidR="00377B97" w:rsidRPr="00C903F8" w:rsidRDefault="00377B97" w:rsidP="00377B97">
      <w:pPr>
        <w:pStyle w:val="ESch"/>
        <w:rPr>
          <w:lang w:val="en-US"/>
        </w:rPr>
      </w:pPr>
      <w:r w:rsidRPr="00C903F8">
        <w:rPr>
          <w:lang w:val="en-US"/>
        </w:rPr>
        <w:t>9.</w:t>
      </w:r>
      <w:r w:rsidR="00C40483" w:rsidRPr="00C903F8">
        <w:rPr>
          <w:lang w:val="en-US"/>
        </w:rPr>
        <w:tab/>
        <w:t>The moment resul</w:t>
      </w:r>
      <w:r w:rsidRPr="00C903F8">
        <w:rPr>
          <w:lang w:val="en-US"/>
        </w:rPr>
        <w:t xml:space="preserve">ting from inertia forces according to </w:t>
      </w:r>
      <w:r w:rsidR="007E1D94" w:rsidRPr="00C903F8">
        <w:rPr>
          <w:lang w:val="en-US"/>
        </w:rPr>
        <w:t>(</w:t>
      </w:r>
      <w:r w:rsidRPr="00C903F8">
        <w:rPr>
          <w:lang w:val="en-US"/>
        </w:rPr>
        <w:t>4</w:t>
      </w:r>
      <w:r w:rsidR="007E1D94" w:rsidRPr="00C903F8">
        <w:rPr>
          <w:lang w:val="en-US"/>
        </w:rPr>
        <w:t>)</w:t>
      </w:r>
      <w:r w:rsidRPr="00C903F8">
        <w:rPr>
          <w:lang w:val="en-US"/>
        </w:rPr>
        <w:t>(i) shall be given due consideration if the movements of the load and the working gear are likely to affect stability.</w:t>
      </w:r>
    </w:p>
    <w:p w:rsidR="00377B97" w:rsidRPr="00C903F8" w:rsidRDefault="00377B97" w:rsidP="00377B97">
      <w:pPr>
        <w:pStyle w:val="ESch"/>
        <w:rPr>
          <w:lang w:val="en-US"/>
        </w:rPr>
      </w:pPr>
    </w:p>
    <w:p w:rsidR="003D6C36" w:rsidRPr="00C903F8" w:rsidRDefault="003D6C36" w:rsidP="00377B97">
      <w:pPr>
        <w:pStyle w:val="ESch"/>
        <w:rPr>
          <w:lang w:val="en-US"/>
        </w:rPr>
      </w:pPr>
      <w:r w:rsidRPr="00C903F8">
        <w:rPr>
          <w:lang w:val="en-US"/>
        </w:rPr>
        <w:br w:type="page"/>
      </w:r>
    </w:p>
    <w:p w:rsidR="00377B97" w:rsidRPr="00C903F8" w:rsidRDefault="00377B97" w:rsidP="00377B97">
      <w:pPr>
        <w:pStyle w:val="ESch"/>
        <w:rPr>
          <w:lang w:val="en-US"/>
        </w:rPr>
      </w:pPr>
      <w:r w:rsidRPr="00C903F8">
        <w:rPr>
          <w:lang w:val="en-US"/>
        </w:rPr>
        <w:lastRenderedPageBreak/>
        <w:t>10.</w:t>
      </w:r>
      <w:r w:rsidRPr="00C903F8">
        <w:rPr>
          <w:lang w:val="en-US"/>
        </w:rPr>
        <w:tab/>
        <w:t>The righting moments for floating objects with vertical side walls may be calculated using the following formula</w:t>
      </w:r>
    </w:p>
    <w:p w:rsidR="003D6C36" w:rsidRPr="00C903F8" w:rsidRDefault="003D6C36" w:rsidP="00377B97">
      <w:pPr>
        <w:pStyle w:val="ESch"/>
        <w:rPr>
          <w:lang w:val="en-US"/>
        </w:rPr>
      </w:pPr>
    </w:p>
    <w:p w:rsidR="000C41E0" w:rsidRPr="00C903F8" w:rsidRDefault="00F12BAF" w:rsidP="00377B97">
      <w:pPr>
        <w:pStyle w:val="ESch"/>
        <w:rPr>
          <w:lang w:val="en-US"/>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R</m:t>
              </m:r>
            </m:sub>
          </m:sSub>
          <m:r>
            <w:rPr>
              <w:rFonts w:ascii="Cambria Math" w:hAnsi="Cambria Math"/>
              <w:lang w:val="en-US"/>
            </w:rPr>
            <m:t xml:space="preserve">=10 ∙D ∙ </m:t>
          </m:r>
          <m:acc>
            <m:accPr>
              <m:chr m:val="̅"/>
              <m:ctrlPr>
                <w:rPr>
                  <w:rFonts w:ascii="Cambria Math" w:hAnsi="Cambria Math"/>
                  <w:i/>
                  <w:lang w:val="en-US"/>
                </w:rPr>
              </m:ctrlPr>
            </m:accPr>
            <m:e>
              <m:r>
                <w:rPr>
                  <w:rFonts w:ascii="Cambria Math" w:hAnsi="Cambria Math"/>
                  <w:lang w:val="en-US"/>
                </w:rPr>
                <m:t>MG</m:t>
              </m:r>
            </m:e>
          </m:acc>
          <m:r>
            <w:rPr>
              <w:rFonts w:ascii="Cambria Math" w:hAnsi="Cambria Math"/>
              <w:lang w:val="en-US"/>
            </w:rPr>
            <m:t xml:space="preserve"> ∙ </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φ</m:t>
              </m:r>
            </m:e>
          </m:func>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kNm</m:t>
              </m:r>
            </m:e>
          </m:d>
        </m:oMath>
      </m:oMathPara>
    </w:p>
    <w:p w:rsidR="003D6C36" w:rsidRPr="00C903F8" w:rsidRDefault="003D6C36" w:rsidP="00377B97">
      <w:pPr>
        <w:pStyle w:val="ESch"/>
        <w:rPr>
          <w:noProof/>
          <w:lang w:val="en-US"/>
        </w:rPr>
      </w:pPr>
    </w:p>
    <w:p w:rsidR="00377B97" w:rsidRPr="00C903F8" w:rsidRDefault="00377B97" w:rsidP="003D6C36">
      <w:pPr>
        <w:pStyle w:val="ESchpar"/>
        <w:rPr>
          <w:rFonts w:cs="Arial"/>
          <w:szCs w:val="18"/>
          <w:lang w:val="en-US"/>
        </w:rPr>
      </w:pPr>
      <w:r w:rsidRPr="00C903F8">
        <w:rPr>
          <w:noProof/>
          <w:lang w:val="en-US"/>
        </w:rPr>
        <w:t>where:</w:t>
      </w:r>
    </w:p>
    <w:p w:rsidR="00377B97" w:rsidRPr="00C903F8" w:rsidRDefault="00F12BAF" w:rsidP="003D6C36">
      <w:pPr>
        <w:pStyle w:val="ESlet"/>
        <w:tabs>
          <w:tab w:val="left" w:pos="1134"/>
        </w:tabs>
        <w:ind w:left="1560" w:hanging="993"/>
        <w:rPr>
          <w:lang w:val="en-US"/>
        </w:rPr>
      </w:pPr>
      <m:oMath>
        <m:acc>
          <m:accPr>
            <m:chr m:val="̅"/>
            <m:ctrlPr>
              <w:rPr>
                <w:rFonts w:ascii="Cambria Math" w:hAnsi="Cambria Math"/>
                <w:i/>
                <w:lang w:val="en-US"/>
              </w:rPr>
            </m:ctrlPr>
          </m:accPr>
          <m:e>
            <m:r>
              <w:rPr>
                <w:rFonts w:ascii="Cambria Math" w:hAnsi="Cambria Math"/>
                <w:lang w:val="en-US"/>
              </w:rPr>
              <m:t>MG</m:t>
            </m:r>
          </m:e>
        </m:acc>
      </m:oMath>
      <w:r w:rsidR="00377B97" w:rsidRPr="00C903F8">
        <w:rPr>
          <w:lang w:val="en-US"/>
        </w:rPr>
        <w:tab/>
      </w:r>
      <w:r w:rsidR="00377B97" w:rsidRPr="00C903F8">
        <w:rPr>
          <w:noProof/>
          <w:vertAlign w:val="superscript"/>
          <w:lang w:val="en-US"/>
        </w:rPr>
        <w:t xml:space="preserve"> </w:t>
      </w:r>
      <w:r w:rsidR="00377B97" w:rsidRPr="00C903F8">
        <w:rPr>
          <w:noProof/>
          <w:lang w:val="en-US"/>
        </w:rPr>
        <w:t>=</w:t>
      </w:r>
      <w:r w:rsidR="003D6C36" w:rsidRPr="00C903F8">
        <w:rPr>
          <w:noProof/>
          <w:lang w:val="en-US"/>
        </w:rPr>
        <w:tab/>
      </w:r>
      <w:r w:rsidR="00377B97" w:rsidRPr="00C903F8">
        <w:rPr>
          <w:noProof/>
          <w:lang w:val="en-US"/>
        </w:rPr>
        <w:t>metacentric height, in m;</w:t>
      </w:r>
    </w:p>
    <w:p w:rsidR="00377B97" w:rsidRPr="00C903F8" w:rsidRDefault="00377B97" w:rsidP="003D6C36">
      <w:pPr>
        <w:pStyle w:val="ESlet"/>
        <w:tabs>
          <w:tab w:val="left" w:pos="1134"/>
        </w:tabs>
        <w:ind w:left="1560" w:hanging="993"/>
        <w:rPr>
          <w:lang w:val="en-US"/>
        </w:rPr>
      </w:pPr>
      <m:oMath>
        <m:r>
          <w:rPr>
            <w:rFonts w:ascii="Cambria Math" w:hAnsi="Cambria Math"/>
            <w:i/>
          </w:rPr>
          <w:sym w:font="Symbol" w:char="F06A"/>
        </m:r>
      </m:oMath>
      <w:r w:rsidRPr="00C903F8">
        <w:rPr>
          <w:lang w:val="en-US"/>
        </w:rPr>
        <w:tab/>
      </w:r>
      <w:r w:rsidRPr="00C903F8">
        <w:rPr>
          <w:noProof/>
          <w:lang w:val="en-US"/>
        </w:rPr>
        <w:t>=</w:t>
      </w:r>
      <w:r w:rsidR="003D6C36" w:rsidRPr="00C903F8">
        <w:rPr>
          <w:noProof/>
          <w:lang w:val="en-US"/>
        </w:rPr>
        <w:tab/>
      </w:r>
      <w:r w:rsidRPr="00C903F8">
        <w:rPr>
          <w:noProof/>
          <w:lang w:val="en-US"/>
        </w:rPr>
        <w:t>heeling angle in degrees.</w:t>
      </w:r>
    </w:p>
    <w:p w:rsidR="003D6C36" w:rsidRPr="00C903F8" w:rsidRDefault="003D6C36" w:rsidP="003D6C36">
      <w:pPr>
        <w:pStyle w:val="ESchpar"/>
        <w:rPr>
          <w:noProof/>
          <w:lang w:val="en-US"/>
        </w:rPr>
      </w:pPr>
    </w:p>
    <w:p w:rsidR="00377B97" w:rsidRPr="00C903F8" w:rsidRDefault="00377B97" w:rsidP="003D6C36">
      <w:pPr>
        <w:pStyle w:val="ESchpar"/>
        <w:rPr>
          <w:rFonts w:cs="Arial"/>
          <w:szCs w:val="18"/>
          <w:lang w:val="en-US"/>
        </w:rPr>
      </w:pPr>
      <w:r w:rsidRPr="00C903F8">
        <w:rPr>
          <w:noProof/>
          <w:lang w:val="en-US"/>
        </w:rPr>
        <w:t>That formula shall apply up to heeling angles of 10° or up to a heeling angle corresponding to immersion of the edge of the deck or emergence of the edge of the bottom; the smallest angle shall be decisive. The formula may be applied to slanting side walls up to heeling angles of 5°; the limit conditions set out in (3) to (9) shall also apply.</w:t>
      </w:r>
    </w:p>
    <w:p w:rsidR="003D6C36" w:rsidRPr="00C903F8" w:rsidRDefault="003D6C36" w:rsidP="003D6C36">
      <w:pPr>
        <w:pStyle w:val="ESchpar"/>
        <w:rPr>
          <w:noProof/>
          <w:lang w:val="en-US"/>
        </w:rPr>
      </w:pPr>
    </w:p>
    <w:p w:rsidR="00377B97" w:rsidRPr="00C903F8" w:rsidRDefault="00377B97" w:rsidP="003D6C36">
      <w:pPr>
        <w:pStyle w:val="ESchpar"/>
        <w:rPr>
          <w:rFonts w:cs="Arial"/>
          <w:szCs w:val="18"/>
          <w:lang w:val="en-US"/>
        </w:rPr>
      </w:pPr>
      <w:r w:rsidRPr="00C903F8">
        <w:rPr>
          <w:noProof/>
          <w:lang w:val="en-US"/>
        </w:rPr>
        <w:t xml:space="preserve">If the particular shape of the floating object(s) does not permit such simplification the righting lever curves according to </w:t>
      </w:r>
      <w:r w:rsidR="007E1D94" w:rsidRPr="00C903F8">
        <w:rPr>
          <w:noProof/>
          <w:lang w:val="en-US"/>
        </w:rPr>
        <w:t>(</w:t>
      </w:r>
      <w:r w:rsidRPr="00C903F8">
        <w:rPr>
          <w:noProof/>
          <w:lang w:val="en-US"/>
        </w:rPr>
        <w:t>2</w:t>
      </w:r>
      <w:r w:rsidR="007E1D94" w:rsidRPr="00C903F8">
        <w:rPr>
          <w:noProof/>
          <w:lang w:val="en-US"/>
        </w:rPr>
        <w:t>)</w:t>
      </w:r>
      <w:r w:rsidRPr="00C903F8">
        <w:rPr>
          <w:noProof/>
          <w:lang w:val="en-US"/>
        </w:rPr>
        <w:t>(c) shall be required.</w:t>
      </w:r>
    </w:p>
    <w:p w:rsidR="00377B97" w:rsidRPr="00C903F8" w:rsidRDefault="00377B97" w:rsidP="008E7AC7">
      <w:pPr>
        <w:pStyle w:val="ESch"/>
        <w:rPr>
          <w:lang w:val="en-US"/>
        </w:rPr>
      </w:pPr>
    </w:p>
    <w:p w:rsidR="00377B97" w:rsidRPr="00C903F8" w:rsidRDefault="00377B97" w:rsidP="008E7AC7">
      <w:pPr>
        <w:pStyle w:val="ESch"/>
        <w:rPr>
          <w:lang w:val="en-US"/>
        </w:rPr>
      </w:pPr>
    </w:p>
    <w:p w:rsidR="00377B97" w:rsidRPr="00C903F8" w:rsidRDefault="00377B97" w:rsidP="00377B97">
      <w:pPr>
        <w:pStyle w:val="ES-Titre3"/>
        <w:rPr>
          <w:rFonts w:cs="Arial"/>
          <w:i/>
          <w:szCs w:val="18"/>
          <w:lang w:val="en-US"/>
        </w:rPr>
      </w:pPr>
      <w:bookmarkStart w:id="233" w:name="_Toc491854221"/>
      <w:r w:rsidRPr="00C903F8">
        <w:rPr>
          <w:noProof/>
          <w:lang w:val="en-US"/>
        </w:rPr>
        <w:t>Article 22.08</w:t>
      </w:r>
      <w:r w:rsidRPr="00C903F8">
        <w:rPr>
          <w:noProof/>
          <w:lang w:val="en-US"/>
        </w:rPr>
        <w:br/>
      </w:r>
      <w:r w:rsidRPr="00C903F8">
        <w:rPr>
          <w:i/>
          <w:noProof/>
          <w:lang w:val="en-US"/>
        </w:rPr>
        <w:t>Proof of stability in the case of reduced residual freeboard</w:t>
      </w:r>
      <w:bookmarkEnd w:id="233"/>
    </w:p>
    <w:p w:rsidR="00377B97" w:rsidRPr="00C903F8" w:rsidRDefault="00377B97" w:rsidP="00377B97">
      <w:pPr>
        <w:pStyle w:val="ESch"/>
        <w:rPr>
          <w:noProof/>
          <w:lang w:val="en-US"/>
        </w:rPr>
      </w:pPr>
    </w:p>
    <w:p w:rsidR="00377B97" w:rsidRPr="00C903F8" w:rsidRDefault="00377B97" w:rsidP="00377B97">
      <w:pPr>
        <w:pStyle w:val="ESgauche"/>
        <w:rPr>
          <w:rFonts w:cs="Arial"/>
          <w:szCs w:val="18"/>
          <w:lang w:val="en-US"/>
        </w:rPr>
      </w:pPr>
      <w:r w:rsidRPr="00C903F8">
        <w:rPr>
          <w:lang w:val="en-US"/>
        </w:rPr>
        <w:t>If a reduced residual freeboard according to Article 22.05(3), is used, it shall be proven for all operating conditions that:</w:t>
      </w:r>
    </w:p>
    <w:p w:rsidR="00377B97" w:rsidRPr="00C903F8" w:rsidRDefault="005C7859" w:rsidP="003D6C36">
      <w:pPr>
        <w:pStyle w:val="ESletgauche"/>
        <w:rPr>
          <w:rFonts w:cs="Arial"/>
          <w:szCs w:val="18"/>
          <w:lang w:val="en-US"/>
        </w:rPr>
      </w:pPr>
      <w:r w:rsidRPr="00C903F8">
        <w:rPr>
          <w:noProof/>
          <w:lang w:val="en-US"/>
        </w:rPr>
        <w:t>a)</w:t>
      </w:r>
      <w:r w:rsidR="00377B97" w:rsidRPr="00C903F8">
        <w:rPr>
          <w:noProof/>
          <w:lang w:val="en-US"/>
        </w:rPr>
        <w:tab/>
        <w:t>after correction for the free surfaces of liquids, the metacentric height is not less than 0,15 m;</w:t>
      </w:r>
    </w:p>
    <w:p w:rsidR="00377B97" w:rsidRPr="00C903F8" w:rsidRDefault="005C7859" w:rsidP="003D6C36">
      <w:pPr>
        <w:pStyle w:val="ESletgauche"/>
        <w:rPr>
          <w:noProof/>
          <w:lang w:val="en-US"/>
        </w:rPr>
      </w:pPr>
      <w:r w:rsidRPr="00C903F8">
        <w:rPr>
          <w:noProof/>
          <w:lang w:val="en-US"/>
        </w:rPr>
        <w:t>b)</w:t>
      </w:r>
      <w:r w:rsidR="00377B97" w:rsidRPr="00C903F8">
        <w:rPr>
          <w:noProof/>
          <w:lang w:val="en-US"/>
        </w:rPr>
        <w:tab/>
        <w:t>for heeling angles between 0</w:t>
      </w:r>
      <w:r w:rsidR="00CD1CE4" w:rsidRPr="00C903F8">
        <w:rPr>
          <w:noProof/>
          <w:lang w:val="en-US"/>
        </w:rPr>
        <w:t>°</w:t>
      </w:r>
      <w:r w:rsidR="00377B97" w:rsidRPr="00C903F8">
        <w:rPr>
          <w:noProof/>
          <w:lang w:val="en-US"/>
        </w:rPr>
        <w:t xml:space="preserve"> and 30°, there is a righting lever of at least</w:t>
      </w:r>
    </w:p>
    <w:p w:rsidR="000A105C" w:rsidRPr="00C903F8" w:rsidRDefault="000A105C" w:rsidP="003D6C36">
      <w:pPr>
        <w:pStyle w:val="ESletgauche"/>
        <w:rPr>
          <w:rFonts w:cs="Arial"/>
          <w:szCs w:val="18"/>
          <w:lang w:val="en-US"/>
        </w:rPr>
      </w:pPr>
      <m:oMathPara>
        <m:oMath>
          <m:r>
            <w:rPr>
              <w:rFonts w:ascii="Cambria Math" w:hAnsi="Cambria Math" w:cs="Arial"/>
              <w:szCs w:val="18"/>
              <w:lang w:val="en-US"/>
            </w:rPr>
            <m:t>h=</m:t>
          </m:r>
          <m:r>
            <w:rPr>
              <w:rFonts w:ascii="Cambria Math" w:hAnsi="Cambria Math" w:cs="Arial"/>
              <w:szCs w:val="18"/>
              <w:lang w:val="en-US"/>
            </w:rPr>
            <m:t xml:space="preserve">0,30-0,28 ∙ </m:t>
          </m:r>
          <m:sSub>
            <m:sSubPr>
              <m:ctrlPr>
                <w:rPr>
                  <w:rFonts w:ascii="Cambria Math" w:hAnsi="Cambria Math" w:cs="Arial"/>
                  <w:i/>
                  <w:szCs w:val="18"/>
                  <w:lang w:val="en-US"/>
                </w:rPr>
              </m:ctrlPr>
            </m:sSubPr>
            <m:e>
              <m:r>
                <w:rPr>
                  <w:rFonts w:ascii="Cambria Math" w:hAnsi="Cambria Math" w:cs="Arial"/>
                  <w:szCs w:val="18"/>
                  <w:lang w:val="en-US"/>
                </w:rPr>
                <m:t>φ</m:t>
              </m:r>
            </m:e>
            <m:sub>
              <m:r>
                <w:rPr>
                  <w:rFonts w:ascii="Cambria Math" w:hAnsi="Cambria Math" w:cs="Arial"/>
                  <w:szCs w:val="18"/>
                  <w:lang w:val="en-US"/>
                </w:rPr>
                <m:t>n</m:t>
              </m:r>
            </m:sub>
          </m:sSub>
          <m:r>
            <w:rPr>
              <w:rFonts w:ascii="Cambria Math" w:hAnsi="Cambria Math" w:cs="Arial"/>
              <w:szCs w:val="18"/>
              <w:lang w:val="en-US"/>
            </w:rPr>
            <m:t xml:space="preserve"> </m:t>
          </m:r>
          <m:d>
            <m:dPr>
              <m:begChr m:val="["/>
              <m:endChr m:val="]"/>
              <m:ctrlPr>
                <w:rPr>
                  <w:rFonts w:ascii="Cambria Math" w:hAnsi="Cambria Math" w:cs="Arial"/>
                  <w:i/>
                  <w:szCs w:val="18"/>
                  <w:lang w:val="en-US"/>
                </w:rPr>
              </m:ctrlPr>
            </m:dPr>
            <m:e>
              <m:r>
                <w:rPr>
                  <w:rFonts w:ascii="Cambria Math" w:hAnsi="Cambria Math" w:cs="Arial"/>
                  <w:szCs w:val="18"/>
                  <w:lang w:val="en-US"/>
                </w:rPr>
                <m:t>m</m:t>
              </m:r>
            </m:e>
          </m:d>
        </m:oMath>
      </m:oMathPara>
    </w:p>
    <w:p w:rsidR="00377B97" w:rsidRPr="00C903F8" w:rsidRDefault="00F12BAF" w:rsidP="003D6C36">
      <w:pPr>
        <w:pStyle w:val="ESletgauche"/>
        <w:ind w:left="993" w:hanging="426"/>
        <w:rPr>
          <w:rFonts w:cs="Arial"/>
          <w:szCs w:val="18"/>
          <w:lang w:val="en-US"/>
        </w:rPr>
      </w:pPr>
      <m:oMath>
        <m:sSub>
          <m:sSubPr>
            <m:ctrlPr>
              <w:rPr>
                <w:rFonts w:ascii="Cambria Math" w:hAnsi="Cambria Math"/>
                <w:i/>
                <w:noProof/>
                <w:lang w:val="en-US"/>
              </w:rPr>
            </m:ctrlPr>
          </m:sSubPr>
          <m:e>
            <m:r>
              <w:rPr>
                <w:rFonts w:ascii="Cambria Math" w:hAnsi="Cambria Math"/>
                <w:noProof/>
                <w:lang w:val="en-US"/>
              </w:rPr>
              <m:t>φ</m:t>
            </m:r>
          </m:e>
          <m:sub>
            <m:r>
              <w:rPr>
                <w:rFonts w:ascii="Cambria Math" w:hAnsi="Cambria Math"/>
                <w:noProof/>
                <w:lang w:val="en-US"/>
              </w:rPr>
              <m:t>n</m:t>
            </m:r>
          </m:sub>
        </m:sSub>
      </m:oMath>
      <w:r w:rsidR="003D6C36" w:rsidRPr="00C903F8">
        <w:rPr>
          <w:rFonts w:cs="Arial"/>
          <w:position w:val="-6"/>
          <w:szCs w:val="18"/>
          <w:lang w:val="en-US"/>
        </w:rPr>
        <w:tab/>
      </w:r>
      <w:r w:rsidR="00377B97" w:rsidRPr="00C903F8">
        <w:rPr>
          <w:noProof/>
          <w:lang w:val="en-US"/>
        </w:rPr>
        <w:t>being the heeling angle from which the righting lever curve displays negative values (range of stability); it shall not be less than 20° or 0,35 rad and shall not be introduced into the formula for more than 30° or 0,52 rad, taking the radian (rad) (1° = 0,01745 rad) for the unit of</w:t>
      </w:r>
      <w:r w:rsidR="000A105C" w:rsidRPr="00C903F8">
        <w:rPr>
          <w:noProof/>
          <w:lang w:val="en-US"/>
        </w:rPr>
        <w:t xml:space="preserve"> </w:t>
      </w:r>
      <m:oMath>
        <m:sSub>
          <m:sSubPr>
            <m:ctrlPr>
              <w:rPr>
                <w:rFonts w:ascii="Cambria Math" w:hAnsi="Cambria Math"/>
                <w:i/>
                <w:noProof/>
                <w:lang w:val="en-US"/>
              </w:rPr>
            </m:ctrlPr>
          </m:sSubPr>
          <m:e>
            <m:r>
              <w:rPr>
                <w:rFonts w:ascii="Cambria Math" w:hAnsi="Cambria Math"/>
                <w:noProof/>
                <w:lang w:val="en-US"/>
              </w:rPr>
              <m:t>φ</m:t>
            </m:r>
          </m:e>
          <m:sub>
            <m:r>
              <w:rPr>
                <w:rFonts w:ascii="Cambria Math" w:hAnsi="Cambria Math"/>
                <w:noProof/>
                <w:lang w:val="en-US"/>
              </w:rPr>
              <m:t>n</m:t>
            </m:r>
          </m:sub>
        </m:sSub>
      </m:oMath>
      <w:r w:rsidR="00377B97" w:rsidRPr="00C903F8">
        <w:rPr>
          <w:noProof/>
          <w:lang w:val="en-US"/>
        </w:rPr>
        <w:t>;</w:t>
      </w:r>
    </w:p>
    <w:p w:rsidR="00377B97" w:rsidRPr="00C903F8" w:rsidRDefault="005C7859" w:rsidP="003D6C36">
      <w:pPr>
        <w:pStyle w:val="ESletgauche"/>
        <w:rPr>
          <w:rFonts w:cs="Arial"/>
          <w:szCs w:val="18"/>
          <w:lang w:val="en-US"/>
        </w:rPr>
      </w:pPr>
      <w:r w:rsidRPr="00C903F8">
        <w:rPr>
          <w:noProof/>
          <w:lang w:val="en-US"/>
        </w:rPr>
        <w:t>c)</w:t>
      </w:r>
      <w:r w:rsidR="00377B97" w:rsidRPr="00C903F8">
        <w:rPr>
          <w:noProof/>
          <w:lang w:val="en-US"/>
        </w:rPr>
        <w:tab/>
        <w:t>the sum of the trim and heeling angles does not exceed 10°;</w:t>
      </w:r>
    </w:p>
    <w:p w:rsidR="00377B97" w:rsidRPr="00C903F8" w:rsidRDefault="0029453D" w:rsidP="003D6C36">
      <w:pPr>
        <w:pStyle w:val="ESletgauche"/>
        <w:rPr>
          <w:rFonts w:cs="Arial"/>
          <w:szCs w:val="18"/>
          <w:lang w:val="en-US"/>
        </w:rPr>
      </w:pPr>
      <w:r w:rsidRPr="00C903F8">
        <w:rPr>
          <w:noProof/>
          <w:lang w:val="en-US"/>
        </w:rPr>
        <w:t>d)</w:t>
      </w:r>
      <w:r w:rsidR="00377B97" w:rsidRPr="00C903F8">
        <w:rPr>
          <w:noProof/>
          <w:lang w:val="en-US"/>
        </w:rPr>
        <w:tab/>
        <w:t>a residual safety clearance meeting the requirements in Article 22.04 remains;</w:t>
      </w:r>
    </w:p>
    <w:p w:rsidR="00377B97" w:rsidRPr="00C903F8" w:rsidRDefault="0029453D" w:rsidP="003D6C36">
      <w:pPr>
        <w:pStyle w:val="ESletgauche"/>
        <w:rPr>
          <w:rFonts w:cs="Arial"/>
          <w:szCs w:val="18"/>
          <w:lang w:val="en-US"/>
        </w:rPr>
      </w:pPr>
      <w:r w:rsidRPr="00C903F8">
        <w:rPr>
          <w:noProof/>
          <w:lang w:val="en-US"/>
        </w:rPr>
        <w:t>e)</w:t>
      </w:r>
      <w:r w:rsidR="00377B97" w:rsidRPr="00C903F8">
        <w:rPr>
          <w:noProof/>
          <w:lang w:val="en-US"/>
        </w:rPr>
        <w:tab/>
        <w:t>a residual freeboard of at least 0,05 m remains;</w:t>
      </w:r>
    </w:p>
    <w:p w:rsidR="00377B97" w:rsidRPr="00C903F8" w:rsidRDefault="0029453D" w:rsidP="003D6C36">
      <w:pPr>
        <w:pStyle w:val="ESletgauche"/>
        <w:rPr>
          <w:noProof/>
          <w:lang w:val="en-US"/>
        </w:rPr>
      </w:pPr>
      <w:r w:rsidRPr="00C903F8">
        <w:rPr>
          <w:noProof/>
          <w:lang w:val="en-US"/>
        </w:rPr>
        <w:t>f)</w:t>
      </w:r>
      <w:r w:rsidR="00377B97" w:rsidRPr="00C903F8">
        <w:rPr>
          <w:noProof/>
          <w:lang w:val="en-US"/>
        </w:rPr>
        <w:tab/>
        <w:t>for heeling angles between 0</w:t>
      </w:r>
      <w:r w:rsidR="00340F35" w:rsidRPr="00C903F8">
        <w:rPr>
          <w:noProof/>
          <w:lang w:val="en-US"/>
        </w:rPr>
        <w:t>°</w:t>
      </w:r>
      <w:r w:rsidR="00377B97" w:rsidRPr="00C903F8">
        <w:rPr>
          <w:noProof/>
          <w:lang w:val="en-US"/>
        </w:rPr>
        <w:t xml:space="preserve"> and 30°, a residual righting lever of at least</w:t>
      </w:r>
    </w:p>
    <w:p w:rsidR="000A105C" w:rsidRPr="00C903F8" w:rsidRDefault="000A105C" w:rsidP="000A105C">
      <w:pPr>
        <w:pStyle w:val="ESletgauche"/>
        <w:rPr>
          <w:rFonts w:cs="Arial"/>
          <w:szCs w:val="18"/>
          <w:lang w:val="en-US"/>
        </w:rPr>
      </w:pPr>
      <m:oMathPara>
        <m:oMath>
          <m:r>
            <w:rPr>
              <w:rFonts w:ascii="Cambria Math" w:hAnsi="Cambria Math" w:cs="Arial"/>
              <w:szCs w:val="18"/>
              <w:lang w:val="en-US"/>
            </w:rPr>
            <m:t>h=</m:t>
          </m:r>
          <m:r>
            <w:rPr>
              <w:rFonts w:ascii="Cambria Math" w:hAnsi="Cambria Math" w:cs="Arial"/>
              <w:szCs w:val="18"/>
              <w:lang w:val="en-US"/>
            </w:rPr>
            <m:t xml:space="preserve">0,20-0,23 ∙ </m:t>
          </m:r>
          <m:sSub>
            <m:sSubPr>
              <m:ctrlPr>
                <w:rPr>
                  <w:rFonts w:ascii="Cambria Math" w:hAnsi="Cambria Math" w:cs="Arial"/>
                  <w:i/>
                  <w:szCs w:val="18"/>
                  <w:lang w:val="en-US"/>
                </w:rPr>
              </m:ctrlPr>
            </m:sSubPr>
            <m:e>
              <m:r>
                <w:rPr>
                  <w:rFonts w:ascii="Cambria Math" w:hAnsi="Cambria Math" w:cs="Arial"/>
                  <w:szCs w:val="18"/>
                  <w:lang w:val="en-US"/>
                </w:rPr>
                <m:t>φ</m:t>
              </m:r>
            </m:e>
            <m:sub>
              <m:r>
                <w:rPr>
                  <w:rFonts w:ascii="Cambria Math" w:hAnsi="Cambria Math" w:cs="Arial"/>
                  <w:szCs w:val="18"/>
                  <w:lang w:val="en-US"/>
                </w:rPr>
                <m:t>n</m:t>
              </m:r>
            </m:sub>
          </m:sSub>
          <m:r>
            <w:rPr>
              <w:rFonts w:ascii="Cambria Math" w:hAnsi="Cambria Math" w:cs="Arial"/>
              <w:szCs w:val="18"/>
              <w:lang w:val="en-US"/>
            </w:rPr>
            <m:t xml:space="preserve"> </m:t>
          </m:r>
          <m:d>
            <m:dPr>
              <m:begChr m:val="["/>
              <m:endChr m:val="]"/>
              <m:ctrlPr>
                <w:rPr>
                  <w:rFonts w:ascii="Cambria Math" w:hAnsi="Cambria Math" w:cs="Arial"/>
                  <w:i/>
                  <w:szCs w:val="18"/>
                  <w:lang w:val="en-US"/>
                </w:rPr>
              </m:ctrlPr>
            </m:dPr>
            <m:e>
              <m:r>
                <w:rPr>
                  <w:rFonts w:ascii="Cambria Math" w:hAnsi="Cambria Math" w:cs="Arial"/>
                  <w:szCs w:val="18"/>
                  <w:lang w:val="en-US"/>
                </w:rPr>
                <m:t>m</m:t>
              </m:r>
            </m:e>
          </m:d>
        </m:oMath>
      </m:oMathPara>
    </w:p>
    <w:p w:rsidR="00377B97" w:rsidRPr="00C903F8" w:rsidRDefault="00377B97" w:rsidP="009615E1">
      <w:pPr>
        <w:pStyle w:val="ESlet"/>
        <w:ind w:left="567" w:firstLine="0"/>
        <w:rPr>
          <w:szCs w:val="18"/>
          <w:lang w:val="en-US"/>
        </w:rPr>
      </w:pPr>
      <w:r w:rsidRPr="00C903F8">
        <w:rPr>
          <w:noProof/>
          <w:lang w:val="en-US"/>
        </w:rPr>
        <w:t xml:space="preserve">remains, where </w:t>
      </w:r>
      <m:oMath>
        <m:sSub>
          <m:sSubPr>
            <m:ctrlPr>
              <w:rPr>
                <w:rFonts w:ascii="Cambria Math" w:hAnsi="Cambria Math"/>
                <w:i/>
                <w:noProof/>
                <w:lang w:val="en-US"/>
              </w:rPr>
            </m:ctrlPr>
          </m:sSubPr>
          <m:e>
            <m:r>
              <w:rPr>
                <w:rFonts w:ascii="Cambria Math" w:hAnsi="Cambria Math"/>
                <w:noProof/>
                <w:lang w:val="en-US"/>
              </w:rPr>
              <m:t>φ</m:t>
            </m:r>
          </m:e>
          <m:sub>
            <m:r>
              <w:rPr>
                <w:rFonts w:ascii="Cambria Math" w:hAnsi="Cambria Math"/>
                <w:noProof/>
                <w:lang w:val="en-US"/>
              </w:rPr>
              <m:t>n</m:t>
            </m:r>
          </m:sub>
        </m:sSub>
      </m:oMath>
      <w:r w:rsidRPr="00C903F8">
        <w:rPr>
          <w:szCs w:val="18"/>
          <w:lang w:val="en-US"/>
        </w:rPr>
        <w:t xml:space="preserve"> </w:t>
      </w:r>
      <w:r w:rsidRPr="00C903F8">
        <w:rPr>
          <w:noProof/>
          <w:lang w:val="en-US"/>
        </w:rPr>
        <w:t>is the heeling angle from which the righting lever curve displays negative values; it shall not be introduced into the formula for more than 30° or 0,52 rad.</w:t>
      </w:r>
    </w:p>
    <w:p w:rsidR="00C26EBD" w:rsidRPr="00C903F8" w:rsidRDefault="00C26EBD" w:rsidP="00C26EBD">
      <w:pPr>
        <w:pStyle w:val="ESgauche"/>
        <w:rPr>
          <w:lang w:val="en-US"/>
        </w:rPr>
      </w:pPr>
    </w:p>
    <w:p w:rsidR="00377B97" w:rsidRPr="00C903F8" w:rsidRDefault="00377B97" w:rsidP="00C26EBD">
      <w:pPr>
        <w:pStyle w:val="Esletgauchepar"/>
        <w:rPr>
          <w:szCs w:val="18"/>
          <w:lang w:val="en-US"/>
        </w:rPr>
      </w:pPr>
      <w:r w:rsidRPr="00C903F8">
        <w:rPr>
          <w:noProof/>
          <w:lang w:val="en-US"/>
        </w:rPr>
        <w:t>Residual righting lever means the maximum difference existing between 0° and 30° of heel between the righting lever curve and the heeling lever curve. If an opening towards the inside of the vessel is reached by the water at a heeling angle less than that corresponding to the maximum difference between the lever curves, the lever corresponding to that heeling angle shall be taken into account.</w:t>
      </w:r>
    </w:p>
    <w:p w:rsidR="00377B97" w:rsidRPr="00C903F8" w:rsidRDefault="00377B97" w:rsidP="00377B97">
      <w:pPr>
        <w:pStyle w:val="ESch"/>
        <w:rPr>
          <w:rFonts w:cs="Arial"/>
          <w:szCs w:val="18"/>
          <w:lang w:val="en-US"/>
        </w:rPr>
      </w:pPr>
    </w:p>
    <w:p w:rsidR="009615E1" w:rsidRPr="00C903F8" w:rsidRDefault="009615E1" w:rsidP="00377B97">
      <w:pPr>
        <w:pStyle w:val="ESch"/>
        <w:rPr>
          <w:rFonts w:cs="Arial"/>
          <w:szCs w:val="18"/>
          <w:lang w:val="en-US"/>
        </w:rPr>
      </w:pPr>
      <w:r w:rsidRPr="00C903F8">
        <w:rPr>
          <w:rFonts w:cs="Arial"/>
          <w:szCs w:val="18"/>
          <w:lang w:val="en-US"/>
        </w:rPr>
        <w:br w:type="page"/>
      </w:r>
    </w:p>
    <w:p w:rsidR="00377B97" w:rsidRPr="00C903F8" w:rsidRDefault="00377B97" w:rsidP="00377B97">
      <w:pPr>
        <w:pStyle w:val="ES-Titre3"/>
        <w:rPr>
          <w:rFonts w:cs="Arial"/>
          <w:i/>
          <w:szCs w:val="18"/>
          <w:lang w:val="en-US"/>
        </w:rPr>
      </w:pPr>
      <w:bookmarkStart w:id="234" w:name="_Toc491854222"/>
      <w:r w:rsidRPr="00C903F8">
        <w:rPr>
          <w:noProof/>
          <w:lang w:val="en-US"/>
        </w:rPr>
        <w:lastRenderedPageBreak/>
        <w:t>Article 22.09</w:t>
      </w:r>
      <w:r w:rsidRPr="00C903F8">
        <w:rPr>
          <w:noProof/>
          <w:lang w:val="en-US"/>
        </w:rPr>
        <w:br/>
      </w:r>
      <w:r w:rsidRPr="00C903F8">
        <w:rPr>
          <w:i/>
          <w:noProof/>
          <w:lang w:val="en-US"/>
        </w:rPr>
        <w:t>Draught marks and draught scales</w:t>
      </w:r>
      <w:bookmarkEnd w:id="234"/>
    </w:p>
    <w:p w:rsidR="00377B97" w:rsidRPr="00C903F8" w:rsidRDefault="00377B97" w:rsidP="00377B97">
      <w:pPr>
        <w:pStyle w:val="ESch"/>
        <w:rPr>
          <w:noProof/>
          <w:lang w:val="en-US"/>
        </w:rPr>
      </w:pPr>
    </w:p>
    <w:p w:rsidR="00377B97" w:rsidRPr="00C903F8" w:rsidRDefault="00377B97" w:rsidP="00377B97">
      <w:pPr>
        <w:pStyle w:val="ESgauche"/>
        <w:rPr>
          <w:rFonts w:cs="Arial"/>
          <w:szCs w:val="18"/>
          <w:lang w:val="en-US"/>
        </w:rPr>
      </w:pPr>
      <w:r w:rsidRPr="00C903F8">
        <w:rPr>
          <w:lang w:val="en-US"/>
        </w:rPr>
        <w:t>Draught marks and draught scales shall be affixed in accordance with Articles 4.04 and 4.06.</w:t>
      </w:r>
    </w:p>
    <w:p w:rsidR="00377B97" w:rsidRPr="00C903F8" w:rsidRDefault="00377B97" w:rsidP="00377B97">
      <w:pPr>
        <w:pStyle w:val="ESch"/>
        <w:rPr>
          <w:rFonts w:cs="Arial"/>
          <w:szCs w:val="18"/>
          <w:lang w:val="en-US"/>
        </w:rPr>
      </w:pPr>
    </w:p>
    <w:p w:rsidR="00377B97" w:rsidRPr="00C903F8" w:rsidRDefault="00377B97" w:rsidP="00377B97">
      <w:pPr>
        <w:pStyle w:val="ESch"/>
        <w:rPr>
          <w:rFonts w:cs="Arial"/>
          <w:szCs w:val="18"/>
          <w:lang w:val="en-US"/>
        </w:rPr>
      </w:pPr>
    </w:p>
    <w:p w:rsidR="00377B97" w:rsidRPr="00C903F8" w:rsidRDefault="00377B97" w:rsidP="00377B97">
      <w:pPr>
        <w:pStyle w:val="ES-Titre3"/>
        <w:rPr>
          <w:rFonts w:cs="Arial"/>
          <w:i/>
          <w:szCs w:val="18"/>
          <w:lang w:val="en-US"/>
        </w:rPr>
      </w:pPr>
      <w:bookmarkStart w:id="235" w:name="_Toc491854223"/>
      <w:r w:rsidRPr="00C903F8">
        <w:rPr>
          <w:noProof/>
          <w:lang w:val="en-US"/>
        </w:rPr>
        <w:t>Article 22.10</w:t>
      </w:r>
      <w:r w:rsidRPr="00C903F8">
        <w:rPr>
          <w:noProof/>
          <w:lang w:val="en-US"/>
        </w:rPr>
        <w:br/>
      </w:r>
      <w:r w:rsidRPr="00C903F8">
        <w:rPr>
          <w:i/>
          <w:noProof/>
          <w:lang w:val="en-US"/>
        </w:rPr>
        <w:t>Floating equipment without proof of stability</w:t>
      </w:r>
      <w:bookmarkEnd w:id="235"/>
    </w:p>
    <w:p w:rsidR="00377B97" w:rsidRPr="00C903F8" w:rsidRDefault="00377B97" w:rsidP="00377B97">
      <w:pPr>
        <w:pStyle w:val="ESch"/>
        <w:rPr>
          <w:noProof/>
          <w:lang w:val="en-US"/>
        </w:rPr>
      </w:pPr>
    </w:p>
    <w:p w:rsidR="00377B97" w:rsidRPr="00C903F8" w:rsidRDefault="00377B97" w:rsidP="00377B97">
      <w:pPr>
        <w:pStyle w:val="ESch"/>
        <w:rPr>
          <w:rFonts w:cs="Arial"/>
          <w:szCs w:val="18"/>
          <w:lang w:val="en-US"/>
        </w:rPr>
      </w:pPr>
      <w:r w:rsidRPr="00C903F8">
        <w:rPr>
          <w:noProof/>
          <w:lang w:val="en-US"/>
        </w:rPr>
        <w:t>1.</w:t>
      </w:r>
      <w:r w:rsidRPr="00C903F8">
        <w:rPr>
          <w:noProof/>
          <w:lang w:val="en-US"/>
        </w:rPr>
        <w:tab/>
        <w:t>The application of Articles 22.04 to 22.08 may be dispensed with for floating equipment:</w:t>
      </w:r>
    </w:p>
    <w:p w:rsidR="00377B97" w:rsidRPr="00C903F8" w:rsidRDefault="005C7859" w:rsidP="00377B97">
      <w:pPr>
        <w:pStyle w:val="ESlet"/>
        <w:rPr>
          <w:rFonts w:cs="Arial"/>
          <w:szCs w:val="18"/>
          <w:lang w:val="en-US"/>
        </w:rPr>
      </w:pPr>
      <w:r w:rsidRPr="00C903F8">
        <w:rPr>
          <w:noProof/>
          <w:lang w:val="en-US"/>
        </w:rPr>
        <w:t>a)</w:t>
      </w:r>
      <w:r w:rsidR="00377B97" w:rsidRPr="00C903F8">
        <w:rPr>
          <w:noProof/>
          <w:lang w:val="en-US"/>
        </w:rPr>
        <w:tab/>
        <w:t>whose working gear can in no way alter their heeling or trim, and</w:t>
      </w:r>
    </w:p>
    <w:p w:rsidR="00377B97" w:rsidRPr="00C903F8" w:rsidRDefault="005C7859" w:rsidP="00377B97">
      <w:pPr>
        <w:pStyle w:val="ESlet"/>
        <w:rPr>
          <w:rFonts w:cs="Arial"/>
          <w:szCs w:val="18"/>
          <w:lang w:val="en-US"/>
        </w:rPr>
      </w:pPr>
      <w:r w:rsidRPr="00C903F8">
        <w:rPr>
          <w:noProof/>
          <w:lang w:val="en-US"/>
        </w:rPr>
        <w:t>b)</w:t>
      </w:r>
      <w:r w:rsidR="00377B97" w:rsidRPr="00C903F8">
        <w:rPr>
          <w:noProof/>
          <w:lang w:val="en-US"/>
        </w:rPr>
        <w:tab/>
        <w:t>where any displacement of the centre of gravity can be absolut</w:t>
      </w:r>
      <w:r w:rsidR="00E0050D" w:rsidRPr="00C903F8">
        <w:rPr>
          <w:noProof/>
          <w:lang w:val="en-US"/>
        </w:rPr>
        <w:t>e</w:t>
      </w:r>
      <w:r w:rsidR="00377B97" w:rsidRPr="00C903F8">
        <w:rPr>
          <w:noProof/>
          <w:lang w:val="en-US"/>
        </w:rPr>
        <w:t>ly excluded.</w:t>
      </w:r>
    </w:p>
    <w:p w:rsidR="00377B97" w:rsidRPr="00C903F8" w:rsidRDefault="00377B97" w:rsidP="00377B97">
      <w:pPr>
        <w:pStyle w:val="ESch"/>
        <w:rPr>
          <w:noProof/>
          <w:lang w:val="en-US"/>
        </w:rPr>
      </w:pPr>
    </w:p>
    <w:p w:rsidR="00377B97" w:rsidRPr="00C903F8" w:rsidRDefault="00377B97" w:rsidP="00377B97">
      <w:pPr>
        <w:pStyle w:val="ESch"/>
        <w:rPr>
          <w:noProof/>
          <w:lang w:val="en-US"/>
        </w:rPr>
      </w:pPr>
      <w:r w:rsidRPr="00C903F8">
        <w:rPr>
          <w:noProof/>
          <w:lang w:val="en-US"/>
        </w:rPr>
        <w:t>2.</w:t>
      </w:r>
      <w:r w:rsidRPr="00C903F8">
        <w:rPr>
          <w:noProof/>
          <w:lang w:val="en-US"/>
        </w:rPr>
        <w:tab/>
        <w:t>However,</w:t>
      </w:r>
    </w:p>
    <w:p w:rsidR="00377B97" w:rsidRPr="00C903F8" w:rsidRDefault="005C7859" w:rsidP="00377B97">
      <w:pPr>
        <w:pStyle w:val="ESlet"/>
        <w:rPr>
          <w:noProof/>
          <w:lang w:val="en-US"/>
        </w:rPr>
      </w:pPr>
      <w:r w:rsidRPr="00C903F8">
        <w:rPr>
          <w:noProof/>
          <w:lang w:val="en-US"/>
        </w:rPr>
        <w:t>a)</w:t>
      </w:r>
      <w:r w:rsidR="00377B97" w:rsidRPr="00C903F8">
        <w:rPr>
          <w:noProof/>
          <w:lang w:val="en-US"/>
        </w:rPr>
        <w:tab/>
        <w:t>at maximum load the safety clearance shall be at least 300 mm and the freeboard at least 150 mm;</w:t>
      </w:r>
      <w:r w:rsidR="00340F35" w:rsidRPr="00C903F8">
        <w:rPr>
          <w:noProof/>
          <w:lang w:val="en-US"/>
        </w:rPr>
        <w:t xml:space="preserve"> and</w:t>
      </w:r>
    </w:p>
    <w:p w:rsidR="00377B97" w:rsidRPr="00C903F8" w:rsidRDefault="005C7859" w:rsidP="00377B97">
      <w:pPr>
        <w:pStyle w:val="ESlet"/>
        <w:rPr>
          <w:noProof/>
          <w:lang w:val="en-US"/>
        </w:rPr>
      </w:pPr>
      <w:r w:rsidRPr="00C903F8">
        <w:rPr>
          <w:noProof/>
          <w:lang w:val="en-US"/>
        </w:rPr>
        <w:t>b)</w:t>
      </w:r>
      <w:r w:rsidR="00377B97" w:rsidRPr="00C903F8">
        <w:rPr>
          <w:noProof/>
          <w:lang w:val="en-US"/>
        </w:rPr>
        <w:tab/>
        <w:t>for apertures which cannot be closed spray-proof and weathertight the safety clearance shall be at least 500 mm.</w:t>
      </w:r>
    </w:p>
    <w:p w:rsidR="00377B97" w:rsidRPr="00C903F8" w:rsidRDefault="00377B97" w:rsidP="00973DAA">
      <w:pPr>
        <w:pStyle w:val="ESch"/>
        <w:rPr>
          <w:lang w:val="en-US"/>
        </w:rPr>
      </w:pPr>
    </w:p>
    <w:p w:rsidR="00377B97" w:rsidRPr="00C903F8" w:rsidRDefault="00377B97" w:rsidP="00973DAA">
      <w:pPr>
        <w:pStyle w:val="ESch"/>
        <w:rPr>
          <w:lang w:val="en-US"/>
        </w:rPr>
      </w:pPr>
    </w:p>
    <w:p w:rsidR="00377B97" w:rsidRPr="00C903F8" w:rsidRDefault="00377B97" w:rsidP="00973DAA">
      <w:pPr>
        <w:pStyle w:val="ESch"/>
        <w:rPr>
          <w:lang w:val="en-US"/>
        </w:rPr>
      </w:pPr>
    </w:p>
    <w:p w:rsidR="00377B97" w:rsidRPr="00C903F8" w:rsidRDefault="00377B97" w:rsidP="00973DAA">
      <w:pPr>
        <w:pStyle w:val="ESch"/>
        <w:rPr>
          <w:lang w:val="en-US"/>
        </w:rPr>
      </w:pPr>
    </w:p>
    <w:p w:rsidR="00716655" w:rsidRPr="00C903F8" w:rsidRDefault="00716655" w:rsidP="00716655">
      <w:pPr>
        <w:pStyle w:val="ES-Titre2"/>
        <w:rPr>
          <w:szCs w:val="24"/>
        </w:rPr>
      </w:pPr>
      <w:bookmarkStart w:id="236" w:name="_Toc491854224"/>
      <w:r w:rsidRPr="00C903F8">
        <w:lastRenderedPageBreak/>
        <w:t>Chapter 23</w:t>
      </w:r>
      <w:r w:rsidRPr="00C903F8">
        <w:br/>
      </w:r>
      <w:r w:rsidRPr="00C903F8">
        <w:rPr>
          <w:noProof/>
          <w:sz w:val="22"/>
          <w:szCs w:val="22"/>
        </w:rPr>
        <w:t>Special provisions applicable to worksite craft</w:t>
      </w:r>
      <w:bookmarkEnd w:id="236"/>
    </w:p>
    <w:p w:rsidR="00716655" w:rsidRPr="00C903F8" w:rsidRDefault="00716655" w:rsidP="00716655">
      <w:pPr>
        <w:rPr>
          <w:lang w:val="en-US" w:eastAsia="en-US"/>
        </w:rPr>
      </w:pPr>
    </w:p>
    <w:p w:rsidR="00716655" w:rsidRPr="00C903F8" w:rsidRDefault="00716655" w:rsidP="00716655">
      <w:pPr>
        <w:pStyle w:val="ES-Titre3"/>
        <w:rPr>
          <w:lang w:val="en-US"/>
        </w:rPr>
      </w:pPr>
      <w:bookmarkStart w:id="237" w:name="_Toc491854225"/>
      <w:r w:rsidRPr="00C903F8">
        <w:rPr>
          <w:noProof/>
          <w:lang w:val="en-US"/>
        </w:rPr>
        <w:t>Article 23.01</w:t>
      </w:r>
      <w:r w:rsidRPr="00C903F8">
        <w:rPr>
          <w:noProof/>
          <w:lang w:val="en-US"/>
        </w:rPr>
        <w:br/>
      </w:r>
      <w:r w:rsidRPr="00C903F8">
        <w:rPr>
          <w:bCs/>
          <w:i/>
          <w:noProof/>
          <w:lang w:val="en-US"/>
        </w:rPr>
        <w:t>Operating conditions</w:t>
      </w:r>
      <w:bookmarkEnd w:id="237"/>
    </w:p>
    <w:p w:rsidR="00716655" w:rsidRPr="00C903F8" w:rsidRDefault="00716655" w:rsidP="00716655">
      <w:pPr>
        <w:pStyle w:val="ESch"/>
        <w:rPr>
          <w:noProof/>
          <w:lang w:val="en-US"/>
        </w:rPr>
      </w:pPr>
    </w:p>
    <w:p w:rsidR="00716655" w:rsidRPr="00C903F8" w:rsidRDefault="00716655" w:rsidP="00716655">
      <w:pPr>
        <w:pStyle w:val="ESgauche"/>
        <w:rPr>
          <w:lang w:val="en-US"/>
        </w:rPr>
      </w:pPr>
      <w:r w:rsidRPr="00C903F8">
        <w:rPr>
          <w:lang w:val="en-US"/>
        </w:rPr>
        <w:t>Worksite craft designated as such in the inland navigation vessel certificate may navigate outside worksites only when unladen. That restriction shall be entered on the inland navigation vessel certificate.</w:t>
      </w:r>
    </w:p>
    <w:p w:rsidR="00716655" w:rsidRPr="00C903F8" w:rsidRDefault="00716655" w:rsidP="00716655">
      <w:pPr>
        <w:pStyle w:val="ESgauche"/>
        <w:rPr>
          <w:lang w:val="en-US"/>
        </w:rPr>
      </w:pPr>
    </w:p>
    <w:p w:rsidR="00716655" w:rsidRPr="00C903F8" w:rsidRDefault="00716655" w:rsidP="00716655">
      <w:pPr>
        <w:pStyle w:val="ESgauche"/>
        <w:rPr>
          <w:lang w:val="en-US"/>
        </w:rPr>
      </w:pPr>
      <w:r w:rsidRPr="00C903F8">
        <w:rPr>
          <w:lang w:val="en-US"/>
        </w:rPr>
        <w:t>For this purpose worksite craft shall have a</w:t>
      </w:r>
      <w:r w:rsidR="00830FC3" w:rsidRPr="00C903F8">
        <w:rPr>
          <w:lang w:val="en-US"/>
        </w:rPr>
        <w:t>n attestation</w:t>
      </w:r>
      <w:r w:rsidRPr="00C903F8">
        <w:rPr>
          <w:lang w:val="en-US"/>
        </w:rPr>
        <w:t xml:space="preserve"> issued by the competent authority indicating the duration of works and the geographical boundaries of the worksite in which the craft may be operated.</w:t>
      </w:r>
    </w:p>
    <w:p w:rsidR="00716655" w:rsidRPr="00C903F8" w:rsidRDefault="00716655" w:rsidP="00716655">
      <w:pPr>
        <w:pStyle w:val="ESch"/>
        <w:rPr>
          <w:lang w:val="en-US"/>
        </w:rPr>
      </w:pPr>
    </w:p>
    <w:p w:rsidR="00716655" w:rsidRPr="00C903F8" w:rsidRDefault="00716655" w:rsidP="00716655">
      <w:pPr>
        <w:pStyle w:val="ESch"/>
        <w:rPr>
          <w:lang w:val="en-US"/>
        </w:rPr>
      </w:pPr>
    </w:p>
    <w:p w:rsidR="00716655" w:rsidRPr="00C903F8" w:rsidRDefault="00716655" w:rsidP="00716655">
      <w:pPr>
        <w:pStyle w:val="ES-Titre3"/>
        <w:rPr>
          <w:i/>
          <w:lang w:val="en-US"/>
        </w:rPr>
      </w:pPr>
      <w:bookmarkStart w:id="238" w:name="_Toc491854226"/>
      <w:r w:rsidRPr="00C903F8">
        <w:rPr>
          <w:noProof/>
          <w:lang w:val="en-US"/>
        </w:rPr>
        <w:t>Article 23.02</w:t>
      </w:r>
      <w:r w:rsidRPr="00C903F8">
        <w:rPr>
          <w:noProof/>
          <w:lang w:val="en-US"/>
        </w:rPr>
        <w:br/>
      </w:r>
      <w:r w:rsidRPr="00C903F8">
        <w:rPr>
          <w:i/>
          <w:noProof/>
          <w:lang w:val="en-US"/>
        </w:rPr>
        <w:t>Application of Part II</w:t>
      </w:r>
      <w:bookmarkEnd w:id="238"/>
    </w:p>
    <w:p w:rsidR="00716655" w:rsidRPr="00C903F8" w:rsidRDefault="00716655" w:rsidP="00716655">
      <w:pPr>
        <w:pStyle w:val="ESgauche"/>
        <w:rPr>
          <w:lang w:val="en-US"/>
        </w:rPr>
      </w:pPr>
    </w:p>
    <w:p w:rsidR="00716655" w:rsidRPr="00C903F8" w:rsidRDefault="00716655" w:rsidP="00716655">
      <w:pPr>
        <w:pStyle w:val="ESgauche"/>
        <w:rPr>
          <w:lang w:val="en-US"/>
        </w:rPr>
      </w:pPr>
      <w:r w:rsidRPr="00C903F8">
        <w:rPr>
          <w:lang w:val="en-US"/>
        </w:rPr>
        <w:t>Unless otherwise specified in this Chapter</w:t>
      </w:r>
      <w:r w:rsidR="00830FC3" w:rsidRPr="00C903F8">
        <w:rPr>
          <w:lang w:val="en-US"/>
        </w:rPr>
        <w:t>,</w:t>
      </w:r>
      <w:r w:rsidRPr="00C903F8">
        <w:rPr>
          <w:lang w:val="en-US"/>
        </w:rPr>
        <w:t xml:space="preserve"> the construction and equipment of worksite craft shall be in line with Chapters 3 to 17 of Part II.</w:t>
      </w:r>
    </w:p>
    <w:p w:rsidR="00716655" w:rsidRPr="00C903F8" w:rsidRDefault="00716655" w:rsidP="00716655">
      <w:pPr>
        <w:pStyle w:val="ESch"/>
        <w:rPr>
          <w:lang w:val="en-US"/>
        </w:rPr>
      </w:pPr>
    </w:p>
    <w:p w:rsidR="00716655" w:rsidRPr="00C903F8" w:rsidRDefault="00716655" w:rsidP="00716655">
      <w:pPr>
        <w:pStyle w:val="ESch"/>
        <w:rPr>
          <w:lang w:val="en-US"/>
        </w:rPr>
      </w:pPr>
    </w:p>
    <w:p w:rsidR="00716655" w:rsidRPr="00C903F8" w:rsidRDefault="00716655" w:rsidP="00716655">
      <w:pPr>
        <w:pStyle w:val="ES-Titre3"/>
        <w:rPr>
          <w:lang w:val="en-US"/>
        </w:rPr>
      </w:pPr>
      <w:bookmarkStart w:id="239" w:name="_Toc491854227"/>
      <w:r w:rsidRPr="00C903F8">
        <w:rPr>
          <w:noProof/>
          <w:lang w:val="en-US"/>
        </w:rPr>
        <w:t>Article 23.03</w:t>
      </w:r>
      <w:r w:rsidRPr="00C903F8">
        <w:rPr>
          <w:noProof/>
          <w:lang w:val="en-US"/>
        </w:rPr>
        <w:br/>
      </w:r>
      <w:r w:rsidRPr="00C903F8">
        <w:rPr>
          <w:bCs/>
          <w:i/>
          <w:noProof/>
          <w:lang w:val="en-US"/>
        </w:rPr>
        <w:t>Derogations</w:t>
      </w:r>
      <w:bookmarkEnd w:id="239"/>
    </w:p>
    <w:p w:rsidR="00716655" w:rsidRPr="00C903F8" w:rsidRDefault="00716655" w:rsidP="00716655">
      <w:pPr>
        <w:pStyle w:val="ESch"/>
        <w:rPr>
          <w:noProof/>
          <w:lang w:val="en-US"/>
        </w:rPr>
      </w:pPr>
    </w:p>
    <w:p w:rsidR="00716655" w:rsidRPr="00C903F8" w:rsidRDefault="00716655" w:rsidP="00716655">
      <w:pPr>
        <w:pStyle w:val="ESch"/>
        <w:tabs>
          <w:tab w:val="left" w:pos="567"/>
        </w:tabs>
        <w:ind w:left="993" w:hanging="993"/>
        <w:rPr>
          <w:lang w:val="en-US"/>
        </w:rPr>
      </w:pPr>
      <w:r w:rsidRPr="00C903F8">
        <w:rPr>
          <w:noProof/>
          <w:lang w:val="en-US"/>
        </w:rPr>
        <w:t>1.</w:t>
      </w:r>
      <w:r w:rsidRPr="00C903F8">
        <w:rPr>
          <w:noProof/>
          <w:lang w:val="en-US"/>
        </w:rPr>
        <w:tab/>
      </w:r>
      <w:r w:rsidR="005C7859" w:rsidRPr="00C903F8">
        <w:rPr>
          <w:noProof/>
          <w:lang w:val="en-US"/>
        </w:rPr>
        <w:t>a)</w:t>
      </w:r>
      <w:r w:rsidRPr="00C903F8">
        <w:rPr>
          <w:noProof/>
          <w:lang w:val="en-US"/>
        </w:rPr>
        <w:tab/>
        <w:t xml:space="preserve">Article 3.03(1), shall apply </w:t>
      </w:r>
      <w:r w:rsidRPr="00C903F8">
        <w:rPr>
          <w:i/>
          <w:noProof/>
          <w:lang w:val="en-US"/>
        </w:rPr>
        <w:t>mutatis mutandis</w:t>
      </w:r>
      <w:r w:rsidRPr="00C903F8">
        <w:rPr>
          <w:noProof/>
          <w:lang w:val="en-US"/>
        </w:rPr>
        <w:t>;</w:t>
      </w:r>
    </w:p>
    <w:p w:rsidR="00716655" w:rsidRPr="00C903F8" w:rsidRDefault="005C7859" w:rsidP="00716655">
      <w:pPr>
        <w:pStyle w:val="ESlet"/>
        <w:rPr>
          <w:lang w:val="en-US"/>
        </w:rPr>
      </w:pPr>
      <w:r w:rsidRPr="00C903F8">
        <w:rPr>
          <w:noProof/>
          <w:lang w:val="en-US"/>
        </w:rPr>
        <w:t>b)</w:t>
      </w:r>
      <w:r w:rsidR="00716655" w:rsidRPr="00C903F8">
        <w:rPr>
          <w:noProof/>
          <w:lang w:val="en-US"/>
        </w:rPr>
        <w:tab/>
        <w:t xml:space="preserve">Chapters 5 and 6 shall apply </w:t>
      </w:r>
      <w:r w:rsidR="00716655" w:rsidRPr="00C903F8">
        <w:rPr>
          <w:i/>
          <w:iCs/>
          <w:noProof/>
          <w:lang w:val="en-US"/>
        </w:rPr>
        <w:t>mutatis mutandis</w:t>
      </w:r>
      <w:r w:rsidR="00716655" w:rsidRPr="00C903F8">
        <w:rPr>
          <w:noProof/>
          <w:lang w:val="en-US"/>
        </w:rPr>
        <w:t xml:space="preserve"> where the craft is self-propelled;</w:t>
      </w:r>
    </w:p>
    <w:p w:rsidR="00716655" w:rsidRPr="00C903F8" w:rsidRDefault="005C7859" w:rsidP="00716655">
      <w:pPr>
        <w:pStyle w:val="ESlet"/>
        <w:rPr>
          <w:lang w:val="en-US"/>
        </w:rPr>
      </w:pPr>
      <w:r w:rsidRPr="00C903F8">
        <w:rPr>
          <w:noProof/>
          <w:lang w:val="en-US"/>
        </w:rPr>
        <w:t>c)</w:t>
      </w:r>
      <w:r w:rsidR="00716655" w:rsidRPr="00C903F8">
        <w:rPr>
          <w:noProof/>
          <w:lang w:val="en-US"/>
        </w:rPr>
        <w:tab/>
        <w:t xml:space="preserve">Article 13.02(2)(a) and (b), shall apply </w:t>
      </w:r>
      <w:r w:rsidR="00716655" w:rsidRPr="00C903F8">
        <w:rPr>
          <w:i/>
          <w:iCs/>
          <w:noProof/>
          <w:lang w:val="en-US"/>
        </w:rPr>
        <w:t>mutatis mutandis</w:t>
      </w:r>
      <w:r w:rsidR="00716655" w:rsidRPr="00C903F8">
        <w:rPr>
          <w:noProof/>
          <w:lang w:val="en-US"/>
        </w:rPr>
        <w:t>;</w:t>
      </w:r>
    </w:p>
    <w:p w:rsidR="00EA03BA" w:rsidRPr="00C903F8" w:rsidRDefault="0029453D" w:rsidP="00EA03BA">
      <w:pPr>
        <w:pStyle w:val="ESlet"/>
        <w:rPr>
          <w:rFonts w:cs="Arial"/>
          <w:szCs w:val="18"/>
          <w:lang w:val="en-US"/>
        </w:rPr>
      </w:pPr>
      <w:r w:rsidRPr="00C903F8">
        <w:rPr>
          <w:noProof/>
          <w:lang w:val="en-US"/>
        </w:rPr>
        <w:t>d)</w:t>
      </w:r>
      <w:r w:rsidR="00716655" w:rsidRPr="00C903F8">
        <w:rPr>
          <w:noProof/>
          <w:lang w:val="en-US"/>
        </w:rPr>
        <w:tab/>
        <w:t xml:space="preserve">the inspection body may grant exceptions to the other requirements concerning </w:t>
      </w:r>
      <w:r w:rsidR="00EA03BA" w:rsidRPr="00C903F8">
        <w:rPr>
          <w:noProof/>
          <w:lang w:val="en-US"/>
        </w:rPr>
        <w:t>shipbuiling, fitting out</w:t>
      </w:r>
      <w:r w:rsidR="00716655" w:rsidRPr="00C903F8">
        <w:rPr>
          <w:noProof/>
          <w:lang w:val="en-US"/>
        </w:rPr>
        <w:t xml:space="preserve"> and equipment provided that equivalent safety is proven in every case.</w:t>
      </w:r>
    </w:p>
    <w:p w:rsidR="00716655" w:rsidRPr="00C903F8" w:rsidRDefault="00716655" w:rsidP="00716655">
      <w:pPr>
        <w:pStyle w:val="ESch"/>
        <w:rPr>
          <w:noProof/>
          <w:lang w:val="en-US"/>
        </w:rPr>
      </w:pPr>
    </w:p>
    <w:p w:rsidR="00716655" w:rsidRPr="00C903F8" w:rsidRDefault="00716655" w:rsidP="00716655">
      <w:pPr>
        <w:pStyle w:val="ESch"/>
        <w:rPr>
          <w:b/>
          <w:lang w:val="en-US"/>
        </w:rPr>
      </w:pPr>
      <w:r w:rsidRPr="00C903F8">
        <w:rPr>
          <w:noProof/>
          <w:lang w:val="en-US"/>
        </w:rPr>
        <w:t>2.</w:t>
      </w:r>
      <w:r w:rsidRPr="00C903F8">
        <w:rPr>
          <w:noProof/>
          <w:lang w:val="en-US"/>
        </w:rPr>
        <w:tab/>
        <w:t>The inspection body may dispense with the following provisions:</w:t>
      </w:r>
    </w:p>
    <w:p w:rsidR="00716655" w:rsidRPr="00C903F8" w:rsidRDefault="005C7859" w:rsidP="00716655">
      <w:pPr>
        <w:pStyle w:val="ESlet"/>
        <w:rPr>
          <w:b/>
          <w:lang w:val="en-US"/>
        </w:rPr>
      </w:pPr>
      <w:r w:rsidRPr="00C903F8">
        <w:rPr>
          <w:noProof/>
          <w:lang w:val="en-US"/>
        </w:rPr>
        <w:t>a)</w:t>
      </w:r>
      <w:r w:rsidR="00716655" w:rsidRPr="00C903F8">
        <w:rPr>
          <w:noProof/>
          <w:lang w:val="en-US"/>
        </w:rPr>
        <w:tab/>
        <w:t>Article 8.08(2) to (8), if no crew is required;</w:t>
      </w:r>
    </w:p>
    <w:p w:rsidR="00716655" w:rsidRPr="00C903F8" w:rsidRDefault="005C7859" w:rsidP="00716655">
      <w:pPr>
        <w:pStyle w:val="ESlet"/>
        <w:rPr>
          <w:lang w:val="en-US"/>
        </w:rPr>
      </w:pPr>
      <w:r w:rsidRPr="00C903F8">
        <w:rPr>
          <w:noProof/>
          <w:lang w:val="en-US"/>
        </w:rPr>
        <w:t>b)</w:t>
      </w:r>
      <w:r w:rsidR="00716655" w:rsidRPr="00C903F8">
        <w:rPr>
          <w:noProof/>
          <w:lang w:val="en-US"/>
        </w:rPr>
        <w:tab/>
        <w:t xml:space="preserve">Article 13.01(1) and (3), if the worksite craft can be securely anchored by means of working anchors or piles. However, self-propelled worksite craft shall be equipped with at least one anchor meeting the requirements set out in Article 13.01(1), where an empirical coefficient </w:t>
      </w:r>
      <m:oMath>
        <m:r>
          <w:rPr>
            <w:rFonts w:ascii="Cambria Math" w:hAnsi="Cambria Math"/>
            <w:noProof/>
            <w:lang w:val="en-US"/>
          </w:rPr>
          <m:t>k</m:t>
        </m:r>
      </m:oMath>
      <w:r w:rsidR="00716655" w:rsidRPr="00C903F8">
        <w:rPr>
          <w:noProof/>
          <w:lang w:val="en-US"/>
        </w:rPr>
        <w:t xml:space="preserve"> is taken to be equal to 45, and </w:t>
      </w:r>
      <m:oMath>
        <m:r>
          <w:rPr>
            <w:rFonts w:ascii="Cambria Math" w:hAnsi="Cambria Math"/>
            <w:noProof/>
            <w:lang w:val="en-US"/>
          </w:rPr>
          <m:t>T</m:t>
        </m:r>
      </m:oMath>
      <w:r w:rsidR="00716655" w:rsidRPr="00C903F8">
        <w:rPr>
          <w:noProof/>
          <w:lang w:val="en-US"/>
        </w:rPr>
        <w:t xml:space="preserve"> is taken to be equal to the height </w:t>
      </w:r>
      <m:oMath>
        <m:r>
          <w:rPr>
            <w:rFonts w:ascii="Cambria Math" w:hAnsi="Cambria Math"/>
            <w:noProof/>
            <w:lang w:val="en-US"/>
          </w:rPr>
          <m:t>H</m:t>
        </m:r>
      </m:oMath>
      <w:r w:rsidR="00716655" w:rsidRPr="00C903F8">
        <w:rPr>
          <w:noProof/>
          <w:lang w:val="en-US"/>
        </w:rPr>
        <w:t>;</w:t>
      </w:r>
    </w:p>
    <w:p w:rsidR="00716655" w:rsidRPr="00C903F8" w:rsidRDefault="005C7859" w:rsidP="00716655">
      <w:pPr>
        <w:pStyle w:val="ESlet"/>
        <w:rPr>
          <w:lang w:val="en-US"/>
        </w:rPr>
      </w:pPr>
      <w:r w:rsidRPr="00C903F8">
        <w:rPr>
          <w:noProof/>
          <w:lang w:val="en-US"/>
        </w:rPr>
        <w:t>c)</w:t>
      </w:r>
      <w:r w:rsidR="00716655" w:rsidRPr="00C903F8">
        <w:rPr>
          <w:noProof/>
          <w:lang w:val="en-US"/>
        </w:rPr>
        <w:tab/>
        <w:t>Article 13.02(1)(c), if the worksite craft is not self-propelled.</w:t>
      </w:r>
    </w:p>
    <w:p w:rsidR="00716655" w:rsidRPr="00C903F8" w:rsidRDefault="00716655" w:rsidP="00716655">
      <w:pPr>
        <w:pStyle w:val="ESch"/>
        <w:rPr>
          <w:lang w:val="en-US"/>
        </w:rPr>
      </w:pPr>
    </w:p>
    <w:p w:rsidR="00716655" w:rsidRPr="00C903F8" w:rsidRDefault="00716655" w:rsidP="00716655">
      <w:pPr>
        <w:pStyle w:val="ESch"/>
        <w:rPr>
          <w:lang w:val="en-US"/>
        </w:rPr>
      </w:pPr>
    </w:p>
    <w:p w:rsidR="00716655" w:rsidRPr="00C903F8" w:rsidRDefault="00716655" w:rsidP="00716655">
      <w:pPr>
        <w:pStyle w:val="ESch"/>
        <w:rPr>
          <w:lang w:val="en-US"/>
        </w:rPr>
      </w:pPr>
      <w:r w:rsidRPr="00C903F8">
        <w:rPr>
          <w:lang w:val="en-US"/>
        </w:rPr>
        <w:br w:type="page"/>
      </w:r>
    </w:p>
    <w:p w:rsidR="00716655" w:rsidRPr="00C903F8" w:rsidRDefault="00716655" w:rsidP="00716655">
      <w:pPr>
        <w:pStyle w:val="ES-Titre3"/>
        <w:rPr>
          <w:i/>
          <w:lang w:val="en-US"/>
        </w:rPr>
      </w:pPr>
      <w:bookmarkStart w:id="240" w:name="_Toc491854228"/>
      <w:r w:rsidRPr="00C903F8">
        <w:rPr>
          <w:noProof/>
          <w:lang w:val="en-US"/>
        </w:rPr>
        <w:lastRenderedPageBreak/>
        <w:t>Article 23.04</w:t>
      </w:r>
      <w:r w:rsidRPr="00C903F8">
        <w:rPr>
          <w:noProof/>
          <w:lang w:val="en-US"/>
        </w:rPr>
        <w:br/>
      </w:r>
      <w:r w:rsidRPr="00C903F8">
        <w:rPr>
          <w:i/>
          <w:noProof/>
          <w:lang w:val="en-US"/>
        </w:rPr>
        <w:t>Safety clearance and freeboard</w:t>
      </w:r>
      <w:bookmarkEnd w:id="240"/>
    </w:p>
    <w:p w:rsidR="00716655" w:rsidRPr="00C903F8" w:rsidRDefault="00716655" w:rsidP="00716655">
      <w:pPr>
        <w:pStyle w:val="ESch"/>
        <w:rPr>
          <w:noProof/>
          <w:lang w:val="en-US"/>
        </w:rPr>
      </w:pPr>
    </w:p>
    <w:p w:rsidR="00716655" w:rsidRPr="00C903F8" w:rsidRDefault="00716655" w:rsidP="00716655">
      <w:pPr>
        <w:pStyle w:val="ESch"/>
        <w:rPr>
          <w:lang w:val="en-US"/>
        </w:rPr>
      </w:pPr>
      <w:r w:rsidRPr="00C903F8">
        <w:rPr>
          <w:noProof/>
          <w:lang w:val="en-US"/>
        </w:rPr>
        <w:t>1.</w:t>
      </w:r>
      <w:r w:rsidRPr="00C903F8">
        <w:rPr>
          <w:noProof/>
          <w:lang w:val="en-US"/>
        </w:rPr>
        <w:tab/>
        <w:t>If a worksite craft is used as a reclamation barge or a hopper barge the safety clearance outside the hold area shall be at least 300 mm and the freeboard at least 150 mm. The inspection body may permit a smaller freeboard if proof by calculation is provided that stability is sufficient for a cargo having a specific mass of 1,5 t/m</w:t>
      </w:r>
      <w:r w:rsidRPr="00C903F8">
        <w:rPr>
          <w:noProof/>
          <w:vertAlign w:val="superscript"/>
          <w:lang w:val="en-US"/>
        </w:rPr>
        <w:t>3</w:t>
      </w:r>
      <w:r w:rsidRPr="00C903F8">
        <w:rPr>
          <w:noProof/>
          <w:lang w:val="en-US"/>
        </w:rPr>
        <w:t xml:space="preserve"> and that no side of the deck reaches the water. The effect of liquefied cargo shall be taken into account.</w:t>
      </w:r>
    </w:p>
    <w:p w:rsidR="00716655" w:rsidRPr="00C903F8" w:rsidRDefault="00716655" w:rsidP="00716655">
      <w:pPr>
        <w:pStyle w:val="ESch"/>
        <w:rPr>
          <w:noProof/>
          <w:lang w:val="en-US"/>
        </w:rPr>
      </w:pPr>
    </w:p>
    <w:p w:rsidR="00716655" w:rsidRPr="00C903F8" w:rsidRDefault="00716655" w:rsidP="00716655">
      <w:pPr>
        <w:pStyle w:val="ESch"/>
        <w:rPr>
          <w:lang w:val="en-US"/>
        </w:rPr>
      </w:pPr>
      <w:r w:rsidRPr="00C903F8">
        <w:rPr>
          <w:noProof/>
          <w:lang w:val="en-US"/>
        </w:rPr>
        <w:t>2.</w:t>
      </w:r>
      <w:r w:rsidRPr="00C903F8">
        <w:rPr>
          <w:noProof/>
          <w:lang w:val="en-US"/>
        </w:rPr>
        <w:tab/>
        <w:t xml:space="preserve">The provisions of Articles 4.01 and 4.02 shall apply </w:t>
      </w:r>
      <w:r w:rsidRPr="00C903F8">
        <w:rPr>
          <w:i/>
          <w:noProof/>
          <w:lang w:val="en-US"/>
        </w:rPr>
        <w:t>mutatis mutandis</w:t>
      </w:r>
      <w:r w:rsidRPr="00C903F8">
        <w:rPr>
          <w:noProof/>
          <w:lang w:val="en-US"/>
        </w:rPr>
        <w:t xml:space="preserve"> to worksite craft not covered by </w:t>
      </w:r>
      <w:r w:rsidR="007E1D94" w:rsidRPr="00C903F8">
        <w:rPr>
          <w:noProof/>
          <w:lang w:val="en-US"/>
        </w:rPr>
        <w:t>(</w:t>
      </w:r>
      <w:r w:rsidRPr="00C903F8">
        <w:rPr>
          <w:noProof/>
          <w:lang w:val="en-US"/>
        </w:rPr>
        <w:t>1</w:t>
      </w:r>
      <w:r w:rsidR="007E1D94" w:rsidRPr="00C903F8">
        <w:rPr>
          <w:noProof/>
          <w:lang w:val="en-US"/>
        </w:rPr>
        <w:t>)</w:t>
      </w:r>
      <w:r w:rsidRPr="00C903F8">
        <w:rPr>
          <w:noProof/>
          <w:lang w:val="en-US"/>
        </w:rPr>
        <w:t>. The inspection body may determine values departing from the above for safety clearance and freeboard.</w:t>
      </w:r>
    </w:p>
    <w:p w:rsidR="00716655" w:rsidRPr="00C903F8" w:rsidRDefault="00716655" w:rsidP="00716655">
      <w:pPr>
        <w:pStyle w:val="ESch"/>
        <w:rPr>
          <w:lang w:val="en-US"/>
        </w:rPr>
      </w:pPr>
    </w:p>
    <w:p w:rsidR="00716655" w:rsidRPr="00C903F8" w:rsidRDefault="00716655" w:rsidP="00716655">
      <w:pPr>
        <w:pStyle w:val="ESch"/>
        <w:rPr>
          <w:lang w:val="en-US"/>
        </w:rPr>
      </w:pPr>
    </w:p>
    <w:p w:rsidR="00716655" w:rsidRPr="00C903F8" w:rsidRDefault="00716655" w:rsidP="00716655">
      <w:pPr>
        <w:pStyle w:val="ES-Titre3"/>
        <w:rPr>
          <w:lang w:val="en-US"/>
        </w:rPr>
      </w:pPr>
      <w:bookmarkStart w:id="241" w:name="_Toc491854229"/>
      <w:r w:rsidRPr="00C903F8">
        <w:rPr>
          <w:noProof/>
          <w:lang w:val="en-US"/>
        </w:rPr>
        <w:t>Article 23.05</w:t>
      </w:r>
      <w:r w:rsidRPr="00C903F8">
        <w:rPr>
          <w:noProof/>
          <w:lang w:val="en-US"/>
        </w:rPr>
        <w:br/>
      </w:r>
      <w:r w:rsidRPr="00C903F8">
        <w:rPr>
          <w:bCs/>
          <w:i/>
          <w:noProof/>
          <w:lang w:val="en-US"/>
        </w:rPr>
        <w:t>Ship's boats</w:t>
      </w:r>
      <w:bookmarkEnd w:id="241"/>
    </w:p>
    <w:p w:rsidR="00716655" w:rsidRPr="00C903F8" w:rsidRDefault="00716655" w:rsidP="00716655">
      <w:pPr>
        <w:pStyle w:val="ESch"/>
        <w:rPr>
          <w:noProof/>
          <w:lang w:val="en-US"/>
        </w:rPr>
      </w:pPr>
    </w:p>
    <w:p w:rsidR="00716655" w:rsidRPr="00C903F8" w:rsidRDefault="00716655" w:rsidP="00716655">
      <w:pPr>
        <w:pStyle w:val="ESgauche"/>
        <w:rPr>
          <w:lang w:val="en-US"/>
        </w:rPr>
      </w:pPr>
      <w:r w:rsidRPr="00C903F8">
        <w:rPr>
          <w:lang w:val="en-US"/>
        </w:rPr>
        <w:t>Worksite craft shall not be required to have a ship's boat where:</w:t>
      </w:r>
    </w:p>
    <w:p w:rsidR="00716655" w:rsidRPr="00C903F8" w:rsidRDefault="005C7859" w:rsidP="00716655">
      <w:pPr>
        <w:pStyle w:val="ESletgauche"/>
        <w:rPr>
          <w:lang w:val="en-US"/>
        </w:rPr>
      </w:pPr>
      <w:r w:rsidRPr="00C903F8">
        <w:rPr>
          <w:noProof/>
          <w:lang w:val="en-US"/>
        </w:rPr>
        <w:t>a)</w:t>
      </w:r>
      <w:r w:rsidR="00716655" w:rsidRPr="00C903F8">
        <w:rPr>
          <w:noProof/>
          <w:lang w:val="en-US"/>
        </w:rPr>
        <w:tab/>
        <w:t>they are not self-propelled or</w:t>
      </w:r>
    </w:p>
    <w:p w:rsidR="00716655" w:rsidRPr="00C903F8" w:rsidRDefault="005C7859" w:rsidP="00716655">
      <w:pPr>
        <w:pStyle w:val="ESletgauche"/>
        <w:rPr>
          <w:lang w:val="en-US"/>
        </w:rPr>
      </w:pPr>
      <w:r w:rsidRPr="00C903F8">
        <w:rPr>
          <w:noProof/>
          <w:lang w:val="en-US"/>
        </w:rPr>
        <w:t>b)</w:t>
      </w:r>
      <w:r w:rsidR="00716655" w:rsidRPr="00C903F8">
        <w:rPr>
          <w:noProof/>
          <w:lang w:val="en-US"/>
        </w:rPr>
        <w:tab/>
        <w:t>a ship's boat is available elsewhere on the worksite.</w:t>
      </w:r>
    </w:p>
    <w:p w:rsidR="00716655" w:rsidRPr="00C903F8" w:rsidRDefault="00716655" w:rsidP="00716655">
      <w:pPr>
        <w:pStyle w:val="ESch"/>
        <w:rPr>
          <w:noProof/>
          <w:lang w:val="en-US"/>
        </w:rPr>
      </w:pPr>
    </w:p>
    <w:p w:rsidR="00716655" w:rsidRPr="00C903F8" w:rsidRDefault="00716655" w:rsidP="00716655">
      <w:pPr>
        <w:pStyle w:val="ESgauche"/>
        <w:rPr>
          <w:lang w:val="en-US"/>
        </w:rPr>
      </w:pPr>
      <w:r w:rsidRPr="00C903F8">
        <w:rPr>
          <w:lang w:val="en-US"/>
        </w:rPr>
        <w:t>That derogation shall be entered on the inland navigation vessel certificate.</w:t>
      </w:r>
    </w:p>
    <w:p w:rsidR="00716655" w:rsidRPr="00C903F8" w:rsidRDefault="00716655" w:rsidP="00973DAA">
      <w:pPr>
        <w:pStyle w:val="ESch"/>
        <w:rPr>
          <w:lang w:val="en-US"/>
        </w:rPr>
      </w:pPr>
    </w:p>
    <w:p w:rsidR="00AE3F86" w:rsidRPr="00C903F8" w:rsidRDefault="00AE3F86" w:rsidP="00973DAA">
      <w:pPr>
        <w:pStyle w:val="ESch"/>
        <w:rPr>
          <w:lang w:val="en-US"/>
        </w:rPr>
      </w:pPr>
    </w:p>
    <w:p w:rsidR="00AE3F86" w:rsidRPr="00C903F8" w:rsidRDefault="00AE3F86" w:rsidP="00973DAA">
      <w:pPr>
        <w:pStyle w:val="ESch"/>
        <w:rPr>
          <w:lang w:val="en-US"/>
        </w:rPr>
      </w:pPr>
    </w:p>
    <w:p w:rsidR="00AE3F86" w:rsidRPr="00C903F8" w:rsidRDefault="00AE3F86" w:rsidP="00973DAA">
      <w:pPr>
        <w:pStyle w:val="ESch"/>
        <w:rPr>
          <w:lang w:val="en-US"/>
        </w:rPr>
      </w:pPr>
    </w:p>
    <w:p w:rsidR="00716655" w:rsidRPr="00C903F8" w:rsidRDefault="00716655" w:rsidP="00973DAA">
      <w:pPr>
        <w:pStyle w:val="ESch"/>
        <w:rPr>
          <w:lang w:val="en-US"/>
        </w:rPr>
      </w:pPr>
    </w:p>
    <w:p w:rsidR="00AE3F86" w:rsidRPr="00C903F8" w:rsidRDefault="00AE3F86" w:rsidP="00AE3F86">
      <w:pPr>
        <w:pStyle w:val="ES-Titre2"/>
        <w:rPr>
          <w:szCs w:val="24"/>
        </w:rPr>
      </w:pPr>
      <w:bookmarkStart w:id="242" w:name="_Toc491854230"/>
      <w:r w:rsidRPr="00C903F8">
        <w:lastRenderedPageBreak/>
        <w:t>Chapter 24</w:t>
      </w:r>
      <w:r w:rsidRPr="00C903F8">
        <w:br/>
      </w:r>
      <w:r w:rsidRPr="00C903F8">
        <w:rPr>
          <w:noProof/>
          <w:sz w:val="22"/>
          <w:szCs w:val="22"/>
        </w:rPr>
        <w:t>Special provisions applicable to traditional craft</w:t>
      </w:r>
      <w:bookmarkEnd w:id="242"/>
    </w:p>
    <w:p w:rsidR="00AE3F86" w:rsidRPr="00C903F8" w:rsidRDefault="00AE3F86" w:rsidP="00973DAA">
      <w:pPr>
        <w:pStyle w:val="ESch"/>
        <w:rPr>
          <w:lang w:val="en-US"/>
        </w:rPr>
      </w:pPr>
    </w:p>
    <w:p w:rsidR="00221291" w:rsidRPr="006B6215" w:rsidRDefault="00221291" w:rsidP="006B6215">
      <w:pPr>
        <w:pStyle w:val="ES-Titre3"/>
        <w:rPr>
          <w:rFonts w:cs="Arial"/>
          <w:i/>
          <w:lang w:val="en-US"/>
        </w:rPr>
      </w:pPr>
      <w:bookmarkStart w:id="243" w:name="_Toc491854231"/>
      <w:r w:rsidRPr="006B6215">
        <w:rPr>
          <w:lang w:val="en-US"/>
        </w:rPr>
        <w:t>Article 24.01</w:t>
      </w:r>
      <w:r w:rsidR="00FB64C5">
        <w:rPr>
          <w:lang w:val="en-US"/>
        </w:rPr>
        <w:br/>
      </w:r>
      <w:r w:rsidRPr="006B6215">
        <w:rPr>
          <w:i/>
          <w:lang w:val="en-US"/>
        </w:rPr>
        <w:t>Application of Parts II and III</w:t>
      </w:r>
      <w:bookmarkEnd w:id="243"/>
      <w:r w:rsidRPr="006B6215">
        <w:rPr>
          <w:i/>
          <w:lang w:val="en-US"/>
        </w:rPr>
        <w:t xml:space="preserve"> </w:t>
      </w:r>
    </w:p>
    <w:p w:rsidR="00221291" w:rsidRPr="006B6215" w:rsidRDefault="00221291" w:rsidP="006B6215">
      <w:pPr>
        <w:pStyle w:val="ESch"/>
        <w:rPr>
          <w:lang w:val="en-US"/>
        </w:rPr>
      </w:pPr>
    </w:p>
    <w:p w:rsidR="00221291" w:rsidRPr="006B6215" w:rsidRDefault="00221291" w:rsidP="006B6215">
      <w:pPr>
        <w:pStyle w:val="ESch"/>
        <w:rPr>
          <w:lang w:val="en-GB"/>
        </w:rPr>
      </w:pPr>
      <w:r w:rsidRPr="006B6215">
        <w:rPr>
          <w:lang w:val="en-GB"/>
        </w:rPr>
        <w:t>1.</w:t>
      </w:r>
      <w:r w:rsidRPr="006B6215">
        <w:rPr>
          <w:lang w:val="en-GB"/>
        </w:rPr>
        <w:tab/>
        <w:t>Traditional craft shall be built according to good shipbuilding practice in compliance with the technical conditions of the chosen historical period.</w:t>
      </w:r>
    </w:p>
    <w:p w:rsidR="00221291" w:rsidRPr="006B6215" w:rsidRDefault="00221291" w:rsidP="006B6215">
      <w:pPr>
        <w:pStyle w:val="ESch"/>
        <w:rPr>
          <w:lang w:val="en-US"/>
        </w:rPr>
      </w:pPr>
    </w:p>
    <w:p w:rsidR="00221291" w:rsidRPr="006B6215" w:rsidRDefault="00221291" w:rsidP="006B6215">
      <w:pPr>
        <w:pStyle w:val="ESchpar"/>
        <w:rPr>
          <w:lang w:val="en-GB"/>
        </w:rPr>
      </w:pPr>
      <w:r w:rsidRPr="006B6215">
        <w:rPr>
          <w:lang w:val="en-GB"/>
        </w:rPr>
        <w:t>The state of the shipbuilding, fitting out and equipment of the traditional craft shall be at least in accordance with the national regulations of the Member State in which the traditional craft was originally operated at the historical date chosen.</w:t>
      </w:r>
    </w:p>
    <w:p w:rsidR="00221291" w:rsidRPr="006B6215" w:rsidRDefault="00221291" w:rsidP="006B6215">
      <w:pPr>
        <w:pStyle w:val="ESch"/>
        <w:rPr>
          <w:lang w:val="en-GB"/>
        </w:rPr>
      </w:pPr>
    </w:p>
    <w:p w:rsidR="00221291" w:rsidRPr="006B6215" w:rsidRDefault="00221291" w:rsidP="006B6215">
      <w:pPr>
        <w:pStyle w:val="ESch"/>
        <w:rPr>
          <w:lang w:val="en-GB"/>
        </w:rPr>
      </w:pPr>
      <w:r w:rsidRPr="006B6215">
        <w:rPr>
          <w:lang w:val="en-GB"/>
        </w:rPr>
        <w:t>2.</w:t>
      </w:r>
      <w:r w:rsidRPr="006B6215">
        <w:rPr>
          <w:lang w:val="en-GB"/>
        </w:rPr>
        <w:tab/>
        <w:t>All component parts, fitting out and equipment not included in the state of the shipbuilding, fitting out and equipment of the chosen time period shall meet all applicable provisions of Parts II and III of this Standard.</w:t>
      </w:r>
    </w:p>
    <w:p w:rsidR="00221291" w:rsidRPr="006B6215" w:rsidRDefault="00221291" w:rsidP="006B6215">
      <w:pPr>
        <w:pStyle w:val="ESch"/>
        <w:rPr>
          <w:lang w:val="en-GB"/>
        </w:rPr>
      </w:pPr>
    </w:p>
    <w:p w:rsidR="00221291" w:rsidRPr="006B6215" w:rsidRDefault="00221291" w:rsidP="006B6215">
      <w:pPr>
        <w:pStyle w:val="ESch"/>
        <w:rPr>
          <w:lang w:val="en-GB"/>
        </w:rPr>
      </w:pPr>
      <w:r w:rsidRPr="006B6215">
        <w:rPr>
          <w:lang w:val="en-GB"/>
        </w:rPr>
        <w:t>3.</w:t>
      </w:r>
      <w:r w:rsidRPr="006B6215">
        <w:rPr>
          <w:lang w:val="en-GB"/>
        </w:rPr>
        <w:tab/>
        <w:t>In the event of deviations from the currently applicable provisions of this Standard, the inspection body shall establish, as a balancing compensation, an equivalent level of safety in consideration of the traditional craft’s technical functioning and also its visual impression. These deviations are only permissible where they are necessary due to the need to preserve the craft’s historic character.</w:t>
      </w:r>
    </w:p>
    <w:p w:rsidR="00221291" w:rsidRPr="006B6215" w:rsidRDefault="00221291" w:rsidP="006B6215">
      <w:pPr>
        <w:pStyle w:val="ESch"/>
        <w:rPr>
          <w:rFonts w:cs="Arial"/>
          <w:szCs w:val="20"/>
          <w:lang w:val="en-US"/>
        </w:rPr>
      </w:pPr>
    </w:p>
    <w:p w:rsidR="00221291" w:rsidRPr="006B6215" w:rsidRDefault="00221291" w:rsidP="00221291">
      <w:pPr>
        <w:autoSpaceDE/>
        <w:autoSpaceDN/>
        <w:ind w:left="0" w:firstLine="0"/>
        <w:jc w:val="left"/>
        <w:rPr>
          <w:rFonts w:cs="Arial"/>
          <w:color w:val="000000"/>
          <w:szCs w:val="20"/>
          <w:lang w:val="en-US"/>
        </w:rPr>
      </w:pPr>
    </w:p>
    <w:p w:rsidR="00221291" w:rsidRPr="006B6215" w:rsidRDefault="00221291" w:rsidP="006B6215">
      <w:pPr>
        <w:pStyle w:val="ES-Titre3"/>
        <w:rPr>
          <w:rFonts w:cs="Arial"/>
          <w:i/>
          <w:lang w:val="en-US"/>
        </w:rPr>
      </w:pPr>
      <w:bookmarkStart w:id="244" w:name="_Toc491854232"/>
      <w:r w:rsidRPr="006B6215">
        <w:rPr>
          <w:lang w:val="en-US"/>
        </w:rPr>
        <w:t>Article 24.02</w:t>
      </w:r>
      <w:r w:rsidR="00FB64C5">
        <w:rPr>
          <w:lang w:val="en-US"/>
        </w:rPr>
        <w:br/>
      </w:r>
      <w:r w:rsidRPr="006B6215">
        <w:rPr>
          <w:i/>
          <w:lang w:val="en-US"/>
        </w:rPr>
        <w:t xml:space="preserve">Recognition and entry in the </w:t>
      </w:r>
      <w:r w:rsidRPr="006B6215">
        <w:rPr>
          <w:rFonts w:cs="Arial"/>
          <w:i/>
          <w:lang w:val="en-US"/>
        </w:rPr>
        <w:t>inland navigation vessel certificate</w:t>
      </w:r>
      <w:bookmarkEnd w:id="244"/>
    </w:p>
    <w:p w:rsidR="00221291" w:rsidRPr="006B6215" w:rsidRDefault="00221291" w:rsidP="00221291">
      <w:pPr>
        <w:widowControl w:val="0"/>
        <w:autoSpaceDE/>
        <w:autoSpaceDN/>
        <w:spacing w:line="240" w:lineRule="exact"/>
        <w:ind w:left="0" w:firstLine="0"/>
        <w:jc w:val="center"/>
        <w:rPr>
          <w:rFonts w:cs="Arial"/>
          <w:color w:val="000000"/>
          <w:szCs w:val="20"/>
          <w:lang w:val="en-US"/>
        </w:rPr>
      </w:pPr>
    </w:p>
    <w:p w:rsidR="00221291" w:rsidRPr="00221291" w:rsidRDefault="00221291" w:rsidP="00221291">
      <w:pPr>
        <w:pStyle w:val="ESch"/>
        <w:rPr>
          <w:highlight w:val="lightGray"/>
          <w:lang w:val="en-US"/>
        </w:rPr>
      </w:pPr>
      <w:r w:rsidRPr="000E732C">
        <w:rPr>
          <w:lang w:val="en-GB"/>
        </w:rPr>
        <w:t>1.</w:t>
      </w:r>
      <w:r w:rsidRPr="000E732C">
        <w:rPr>
          <w:lang w:val="en-GB"/>
        </w:rPr>
        <w:tab/>
        <w:t>The recognition of a craft as a traditional craft requires</w:t>
      </w:r>
    </w:p>
    <w:p w:rsidR="00221291" w:rsidRPr="000E732C" w:rsidRDefault="00221291" w:rsidP="00221291">
      <w:pPr>
        <w:pStyle w:val="ESlet"/>
        <w:rPr>
          <w:lang w:val="en-GB"/>
        </w:rPr>
      </w:pPr>
      <w:r w:rsidRPr="000E732C">
        <w:rPr>
          <w:lang w:val="en-GB"/>
        </w:rPr>
        <w:t xml:space="preserve">a) </w:t>
      </w:r>
      <w:r w:rsidRPr="000E732C">
        <w:rPr>
          <w:lang w:val="en-GB"/>
        </w:rPr>
        <w:tab/>
        <w:t xml:space="preserve">an initial inspection before an inland navigation vessel certificate is first issued or </w:t>
      </w:r>
    </w:p>
    <w:p w:rsidR="00221291" w:rsidRPr="00221291" w:rsidRDefault="00221291" w:rsidP="00221291">
      <w:pPr>
        <w:pStyle w:val="ESlet"/>
        <w:rPr>
          <w:lang w:val="en-GB"/>
        </w:rPr>
      </w:pPr>
      <w:r w:rsidRPr="00221291">
        <w:rPr>
          <w:lang w:val="en-GB"/>
        </w:rPr>
        <w:t xml:space="preserve">b) </w:t>
      </w:r>
      <w:r w:rsidRPr="00221291">
        <w:rPr>
          <w:lang w:val="en-GB"/>
        </w:rPr>
        <w:tab/>
        <w:t>a special inspection before issuing an amended inland vessel certificate following the conversion or the change of intended purpose of a craft to a traditional craft.</w:t>
      </w:r>
    </w:p>
    <w:p w:rsidR="00221291" w:rsidRPr="00221291" w:rsidRDefault="00221291" w:rsidP="00221291">
      <w:pPr>
        <w:spacing w:line="240" w:lineRule="atLeast"/>
        <w:ind w:left="567" w:hanging="567"/>
        <w:rPr>
          <w:highlight w:val="lightGray"/>
          <w:lang w:val="en-US"/>
        </w:rPr>
      </w:pPr>
    </w:p>
    <w:p w:rsidR="00221291" w:rsidRPr="000E732C" w:rsidRDefault="00221291" w:rsidP="00221291">
      <w:pPr>
        <w:pStyle w:val="ESch"/>
        <w:rPr>
          <w:lang w:val="en-GB"/>
        </w:rPr>
      </w:pPr>
      <w:r w:rsidRPr="000E732C">
        <w:rPr>
          <w:lang w:val="en-GB"/>
        </w:rPr>
        <w:t>2.</w:t>
      </w:r>
      <w:r w:rsidRPr="000E732C">
        <w:rPr>
          <w:lang w:val="en-GB"/>
        </w:rPr>
        <w:tab/>
        <w:t>In addition to the regulatory documents required, the following documents shall be submitted to the inspection body with the application for inspection:</w:t>
      </w:r>
    </w:p>
    <w:p w:rsidR="00221291" w:rsidRPr="000E732C" w:rsidRDefault="00221291" w:rsidP="00221291">
      <w:pPr>
        <w:pStyle w:val="ESlet"/>
        <w:rPr>
          <w:lang w:val="en-GB"/>
        </w:rPr>
      </w:pPr>
      <w:r w:rsidRPr="000E732C">
        <w:rPr>
          <w:lang w:val="en-GB"/>
        </w:rPr>
        <w:t>a)</w:t>
      </w:r>
      <w:r w:rsidRPr="000E732C">
        <w:rPr>
          <w:lang w:val="en-GB"/>
        </w:rPr>
        <w:tab/>
        <w:t>the expert report by an expert of a heritage conservation authority with corresponding expertise in the field, or by a traditional craft expert, issued in response to an inspection, which has been carried out not more than three months before the time of the application, certifying that the requirements of Article 24.01(1) are met, that suitability for a use pursuant to Article 1.01(1.29) is assumed and that the craft is correspondingly worthy of being preserved;</w:t>
      </w:r>
    </w:p>
    <w:p w:rsidR="00221291" w:rsidRPr="000E732C" w:rsidRDefault="00221291" w:rsidP="00221291">
      <w:pPr>
        <w:pStyle w:val="ESlet"/>
        <w:rPr>
          <w:lang w:val="en-GB"/>
        </w:rPr>
      </w:pPr>
      <w:r w:rsidRPr="000E732C">
        <w:rPr>
          <w:lang w:val="en-GB"/>
        </w:rPr>
        <w:t>b)</w:t>
      </w:r>
      <w:r w:rsidRPr="000E732C">
        <w:rPr>
          <w:lang w:val="en-GB"/>
        </w:rPr>
        <w:tab/>
        <w:t>the operations concept;</w:t>
      </w:r>
    </w:p>
    <w:p w:rsidR="00221291" w:rsidRPr="000E732C" w:rsidRDefault="00221291" w:rsidP="00221291">
      <w:pPr>
        <w:pStyle w:val="ESlet"/>
        <w:rPr>
          <w:lang w:val="en-GB"/>
        </w:rPr>
      </w:pPr>
      <w:r w:rsidRPr="000E732C">
        <w:rPr>
          <w:lang w:val="en-GB"/>
        </w:rPr>
        <w:t>c)</w:t>
      </w:r>
      <w:r w:rsidRPr="000E732C">
        <w:rPr>
          <w:lang w:val="en-GB"/>
        </w:rPr>
        <w:tab/>
        <w:t>a safety concept based on the operations concept pursuant to (b);</w:t>
      </w:r>
    </w:p>
    <w:p w:rsidR="00221291" w:rsidRPr="000E732C" w:rsidRDefault="00221291" w:rsidP="00221291">
      <w:pPr>
        <w:pStyle w:val="ESlet"/>
        <w:rPr>
          <w:lang w:val="en-GB"/>
        </w:rPr>
      </w:pPr>
      <w:r w:rsidRPr="000E732C">
        <w:rPr>
          <w:lang w:val="en-GB"/>
        </w:rPr>
        <w:t>d)</w:t>
      </w:r>
      <w:r w:rsidRPr="000E732C">
        <w:rPr>
          <w:lang w:val="en-GB"/>
        </w:rPr>
        <w:tab/>
        <w:t>the traditional craft’s documentation, consisting of the following parts:</w:t>
      </w:r>
    </w:p>
    <w:p w:rsidR="00221291" w:rsidRPr="000E732C" w:rsidRDefault="00221291" w:rsidP="00221291">
      <w:pPr>
        <w:pStyle w:val="EStiret"/>
        <w:rPr>
          <w:lang w:val="en-GB"/>
        </w:rPr>
      </w:pPr>
      <w:r w:rsidRPr="000E732C">
        <w:rPr>
          <w:lang w:val="en-GB"/>
        </w:rPr>
        <w:t>aa)</w:t>
      </w:r>
      <w:r w:rsidRPr="000E732C">
        <w:rPr>
          <w:lang w:val="en-GB"/>
        </w:rPr>
        <w:tab/>
        <w:t>details of the state of shipbuilding, fitting out and equipment of the craft presented for inspection, by means of relevant descriptions, drawings, photographs and other documentation;</w:t>
      </w:r>
    </w:p>
    <w:p w:rsidR="00221291" w:rsidRPr="000E732C" w:rsidRDefault="00221291" w:rsidP="00221291">
      <w:pPr>
        <w:pStyle w:val="EStiret"/>
        <w:rPr>
          <w:lang w:val="en-GB"/>
        </w:rPr>
      </w:pPr>
      <w:r w:rsidRPr="000E732C">
        <w:rPr>
          <w:lang w:val="en-GB"/>
        </w:rPr>
        <w:t>bb)</w:t>
      </w:r>
      <w:r w:rsidRPr="000E732C">
        <w:rPr>
          <w:lang w:val="en-GB"/>
        </w:rPr>
        <w:tab/>
        <w:t>list of the requirements applicable at the chosen historical date and copies thereof as far as these are necessary for justification of deviations from the requirements of parts II and III of this Standard;</w:t>
      </w:r>
    </w:p>
    <w:p w:rsidR="00221291" w:rsidRPr="000E732C" w:rsidRDefault="00221291">
      <w:pPr>
        <w:autoSpaceDE/>
        <w:autoSpaceDN/>
        <w:ind w:left="0" w:firstLine="0"/>
        <w:jc w:val="left"/>
        <w:rPr>
          <w:noProof/>
          <w:snapToGrid w:val="0"/>
          <w:color w:val="000000"/>
          <w:lang w:val="en-GB" w:bidi="fr-FR"/>
        </w:rPr>
      </w:pPr>
      <w:r w:rsidRPr="000E732C">
        <w:rPr>
          <w:lang w:val="en-GB"/>
        </w:rPr>
        <w:br w:type="page"/>
      </w:r>
    </w:p>
    <w:p w:rsidR="00221291" w:rsidRPr="00221291" w:rsidRDefault="00221291" w:rsidP="00221291">
      <w:pPr>
        <w:pStyle w:val="EStiret"/>
        <w:rPr>
          <w:lang w:val="en-GB"/>
        </w:rPr>
      </w:pPr>
      <w:r w:rsidRPr="00221291">
        <w:rPr>
          <w:lang w:val="en-GB"/>
        </w:rPr>
        <w:lastRenderedPageBreak/>
        <w:t>cc)</w:t>
      </w:r>
      <w:r w:rsidRPr="00221291">
        <w:rPr>
          <w:lang w:val="en-GB"/>
        </w:rPr>
        <w:tab/>
        <w:t>proof that the state of shipbuilding, fitting out and equipment is appropriate to operate the craft as a traditional craft;</w:t>
      </w:r>
    </w:p>
    <w:p w:rsidR="00221291" w:rsidRPr="000E732C" w:rsidRDefault="00221291" w:rsidP="00221291">
      <w:pPr>
        <w:pStyle w:val="EStiret"/>
        <w:rPr>
          <w:lang w:val="en-GB"/>
        </w:rPr>
      </w:pPr>
      <w:r w:rsidRPr="000E732C">
        <w:rPr>
          <w:lang w:val="en-GB"/>
        </w:rPr>
        <w:t>dd)</w:t>
      </w:r>
      <w:r w:rsidRPr="000E732C">
        <w:rPr>
          <w:lang w:val="en-GB"/>
        </w:rPr>
        <w:tab/>
        <w:t>drawings, plans, calculations and evidence pursuant to this Standard. These have to comply with the state applicable of the craft at the time of the submission of the application;</w:t>
      </w:r>
    </w:p>
    <w:p w:rsidR="00221291" w:rsidRPr="000E732C" w:rsidRDefault="00221291" w:rsidP="00221291">
      <w:pPr>
        <w:pStyle w:val="EStiret"/>
        <w:rPr>
          <w:lang w:val="en-GB"/>
        </w:rPr>
      </w:pPr>
      <w:r w:rsidRPr="000E732C">
        <w:rPr>
          <w:lang w:val="en-GB"/>
        </w:rPr>
        <w:t>ee)</w:t>
      </w:r>
      <w:r w:rsidRPr="000E732C">
        <w:rPr>
          <w:lang w:val="en-GB"/>
        </w:rPr>
        <w:tab/>
        <w:t>list of deviations in the state of shipbuilding, fitting out and equipment pursuant to the details in (aa) from the requirements of this Standard applicable at the time of the submission of the application;</w:t>
      </w:r>
    </w:p>
    <w:p w:rsidR="00221291" w:rsidRPr="000E732C" w:rsidRDefault="00221291" w:rsidP="00221291">
      <w:pPr>
        <w:pStyle w:val="EStiret"/>
        <w:rPr>
          <w:lang w:val="en-GB"/>
        </w:rPr>
      </w:pPr>
      <w:r w:rsidRPr="000E732C">
        <w:rPr>
          <w:lang w:val="en-GB"/>
        </w:rPr>
        <w:t>ff)</w:t>
      </w:r>
      <w:r w:rsidRPr="000E732C">
        <w:rPr>
          <w:lang w:val="en-GB"/>
        </w:rPr>
        <w:tab/>
        <w:t>data on the traditional craft’s crew at the chosen historic time period.</w:t>
      </w:r>
    </w:p>
    <w:p w:rsidR="00221291" w:rsidRPr="00221291" w:rsidRDefault="00221291" w:rsidP="00221291">
      <w:pPr>
        <w:spacing w:line="240" w:lineRule="atLeast"/>
        <w:ind w:left="567" w:hanging="567"/>
        <w:rPr>
          <w:highlight w:val="lightGray"/>
          <w:lang w:val="en-US"/>
        </w:rPr>
      </w:pPr>
    </w:p>
    <w:p w:rsidR="00221291" w:rsidRPr="000E732C" w:rsidRDefault="00221291" w:rsidP="00221291">
      <w:pPr>
        <w:pStyle w:val="ESch"/>
        <w:rPr>
          <w:lang w:val="en-GB"/>
        </w:rPr>
      </w:pPr>
      <w:r w:rsidRPr="000E732C">
        <w:rPr>
          <w:lang w:val="en-GB"/>
        </w:rPr>
        <w:t>3.</w:t>
      </w:r>
      <w:r w:rsidRPr="000E732C">
        <w:rPr>
          <w:lang w:val="en-GB"/>
        </w:rPr>
        <w:tab/>
        <w:t>The applicant applies for the historical date for the traditional craft; this date must not be chosen before the date when the craft was first put into service. In the case of a replica of a traditional craft, the historical date can be seen from the expert report in accordance with (2)(a).</w:t>
      </w:r>
    </w:p>
    <w:p w:rsidR="00221291" w:rsidRPr="000E732C" w:rsidRDefault="00221291" w:rsidP="00221291">
      <w:pPr>
        <w:pStyle w:val="ESch"/>
        <w:rPr>
          <w:lang w:val="en-GB"/>
        </w:rPr>
      </w:pPr>
    </w:p>
    <w:p w:rsidR="00221291" w:rsidRPr="000E732C" w:rsidRDefault="00221291" w:rsidP="00221291">
      <w:pPr>
        <w:pStyle w:val="ESch"/>
        <w:rPr>
          <w:lang w:val="en-GB"/>
        </w:rPr>
      </w:pPr>
      <w:r w:rsidRPr="000E732C">
        <w:rPr>
          <w:lang w:val="en-GB"/>
        </w:rPr>
        <w:t>4.</w:t>
      </w:r>
      <w:r w:rsidRPr="000E732C">
        <w:rPr>
          <w:lang w:val="en-GB"/>
        </w:rPr>
        <w:tab/>
        <w:t xml:space="preserve">On the basis of the above documentation and the inspection in accordance with (1), the inspection body assess conformity in accordance with Article 1.01(1.29) and Article 24.01 and the recognition as “traditional craft” is entered in item 2 of the inland navigation vessel certificate. </w:t>
      </w:r>
    </w:p>
    <w:p w:rsidR="00221291" w:rsidRPr="000E732C" w:rsidRDefault="00221291" w:rsidP="00221291">
      <w:pPr>
        <w:pStyle w:val="ESch"/>
        <w:rPr>
          <w:lang w:val="en-GB"/>
        </w:rPr>
      </w:pPr>
    </w:p>
    <w:p w:rsidR="00221291" w:rsidRPr="00221291" w:rsidRDefault="00221291" w:rsidP="00221291">
      <w:pPr>
        <w:pStyle w:val="ESch"/>
        <w:ind w:firstLine="0"/>
        <w:rPr>
          <w:lang w:val="en-GB"/>
        </w:rPr>
      </w:pPr>
      <w:r w:rsidRPr="00221291">
        <w:rPr>
          <w:lang w:val="en-GB"/>
        </w:rPr>
        <w:t>The assessment of conformity may not take place against the judgement of the traditional craft expert and against the expert report pursuant to (2)(a).</w:t>
      </w:r>
    </w:p>
    <w:p w:rsidR="00221291" w:rsidRPr="00221291" w:rsidRDefault="00221291" w:rsidP="00221291">
      <w:pPr>
        <w:pStyle w:val="ESch"/>
        <w:rPr>
          <w:lang w:val="en-GB"/>
        </w:rPr>
      </w:pPr>
    </w:p>
    <w:p w:rsidR="00221291" w:rsidRPr="000E732C" w:rsidRDefault="00221291" w:rsidP="00221291">
      <w:pPr>
        <w:pStyle w:val="ESch"/>
        <w:rPr>
          <w:lang w:val="en-GB"/>
        </w:rPr>
      </w:pPr>
      <w:r w:rsidRPr="000E732C">
        <w:rPr>
          <w:lang w:val="en-GB"/>
        </w:rPr>
        <w:t>5.</w:t>
      </w:r>
      <w:r w:rsidRPr="000E732C">
        <w:rPr>
          <w:lang w:val="en-GB"/>
        </w:rPr>
        <w:tab/>
        <w:t>In addition to the entry ‘traditional craft’, the ‘traditional craft’ Annex shall be issued pursuant to the model of Annex 3, Section V. The following entry shall be entered in item 52 of the inland navigation vessel certificate:</w:t>
      </w:r>
    </w:p>
    <w:p w:rsidR="00221291" w:rsidRPr="00221291" w:rsidRDefault="00221291" w:rsidP="00221291">
      <w:pPr>
        <w:spacing w:line="240" w:lineRule="atLeast"/>
        <w:ind w:left="0" w:firstLine="0"/>
        <w:rPr>
          <w:highlight w:val="lightGray"/>
          <w:lang w:val="en-US"/>
        </w:rPr>
      </w:pPr>
    </w:p>
    <w:p w:rsidR="00221291" w:rsidRPr="006B6215" w:rsidRDefault="00221291" w:rsidP="006B6215">
      <w:pPr>
        <w:pStyle w:val="ESch"/>
        <w:jc w:val="center"/>
        <w:rPr>
          <w:lang w:val="en-US"/>
        </w:rPr>
      </w:pPr>
      <w:r w:rsidRPr="006B6215">
        <w:rPr>
          <w:lang w:val="en-US"/>
        </w:rPr>
        <w:t xml:space="preserve">‘See Traditional </w:t>
      </w:r>
      <w:r w:rsidRPr="006B6215">
        <w:rPr>
          <w:rFonts w:eastAsia="Batang"/>
          <w:snapToGrid w:val="0"/>
          <w:lang w:val="en-GB" w:eastAsia="de-DE"/>
        </w:rPr>
        <w:t>Craft</w:t>
      </w:r>
      <w:r w:rsidRPr="006B6215">
        <w:rPr>
          <w:lang w:val="en-US"/>
        </w:rPr>
        <w:t xml:space="preserve"> Annex.’</w:t>
      </w:r>
    </w:p>
    <w:p w:rsidR="00221291" w:rsidRPr="00221291" w:rsidRDefault="00221291" w:rsidP="00221291">
      <w:pPr>
        <w:autoSpaceDE/>
        <w:autoSpaceDN/>
        <w:ind w:left="0" w:firstLine="0"/>
        <w:jc w:val="left"/>
        <w:rPr>
          <w:highlight w:val="lightGray"/>
          <w:lang w:val="en-US"/>
        </w:rPr>
      </w:pPr>
    </w:p>
    <w:p w:rsidR="00221291" w:rsidRPr="000E732C" w:rsidRDefault="00221291" w:rsidP="00221291">
      <w:pPr>
        <w:pStyle w:val="ESch"/>
        <w:rPr>
          <w:lang w:val="en-GB"/>
        </w:rPr>
      </w:pPr>
      <w:r w:rsidRPr="000E732C">
        <w:rPr>
          <w:lang w:val="en-GB"/>
        </w:rPr>
        <w:t>6.</w:t>
      </w:r>
      <w:r w:rsidRPr="000E732C">
        <w:rPr>
          <w:lang w:val="en-GB"/>
        </w:rPr>
        <w:tab/>
        <w:t>If non-conformities to the version of this Standard applicable at the time of submission of the application are detected in the documentation referred to in (2)(d)(ee), or during the inspection referred to in (1), then</w:t>
      </w:r>
    </w:p>
    <w:p w:rsidR="00221291" w:rsidRPr="000E732C" w:rsidRDefault="00221291" w:rsidP="00221291">
      <w:pPr>
        <w:pStyle w:val="ESlet"/>
        <w:rPr>
          <w:lang w:val="en-GB"/>
        </w:rPr>
      </w:pPr>
      <w:r w:rsidRPr="000E732C">
        <w:rPr>
          <w:lang w:val="en-GB"/>
        </w:rPr>
        <w:t>a)</w:t>
      </w:r>
      <w:r w:rsidRPr="000E732C">
        <w:rPr>
          <w:lang w:val="en-GB"/>
        </w:rPr>
        <w:tab/>
        <w:t>only the crew or persons who are on official business on board can remain on the craft while under way, and</w:t>
      </w:r>
    </w:p>
    <w:p w:rsidR="00221291" w:rsidRPr="000E732C" w:rsidRDefault="00221291" w:rsidP="00221291">
      <w:pPr>
        <w:pStyle w:val="ESlet"/>
        <w:rPr>
          <w:lang w:val="en-GB"/>
        </w:rPr>
      </w:pPr>
      <w:r w:rsidRPr="000E732C">
        <w:rPr>
          <w:lang w:val="en-GB"/>
        </w:rPr>
        <w:t>b)</w:t>
      </w:r>
      <w:r w:rsidRPr="000E732C">
        <w:rPr>
          <w:lang w:val="en-GB"/>
        </w:rPr>
        <w:tab/>
        <w:t>operation of machines or mechanically-driven equipment on board which are be easily accessible is permitted only if no one is on board, except the crew or persons who are on official business on board.</w:t>
      </w:r>
    </w:p>
    <w:p w:rsidR="00221291" w:rsidRPr="00221291" w:rsidRDefault="00221291" w:rsidP="00221291">
      <w:pPr>
        <w:autoSpaceDE/>
        <w:autoSpaceDN/>
        <w:ind w:left="0" w:firstLine="0"/>
        <w:jc w:val="left"/>
        <w:rPr>
          <w:highlight w:val="lightGray"/>
          <w:lang w:val="en-US"/>
        </w:rPr>
      </w:pPr>
    </w:p>
    <w:p w:rsidR="00221291" w:rsidRPr="006B6215" w:rsidRDefault="00221291" w:rsidP="006B6215">
      <w:pPr>
        <w:pStyle w:val="ESchpar"/>
        <w:rPr>
          <w:lang w:val="en-US"/>
        </w:rPr>
      </w:pPr>
      <w:r w:rsidRPr="006B6215">
        <w:rPr>
          <w:lang w:val="en-US"/>
        </w:rPr>
        <w:t xml:space="preserve">The following entry shall be entered in item 52 </w:t>
      </w:r>
      <w:r w:rsidRPr="006B6215">
        <w:rPr>
          <w:lang w:val="en-GB"/>
        </w:rPr>
        <w:t>of the inland navigation vessel certificate.</w:t>
      </w:r>
    </w:p>
    <w:p w:rsidR="00221291" w:rsidRPr="006B6215" w:rsidRDefault="00221291" w:rsidP="006B6215">
      <w:pPr>
        <w:pStyle w:val="ESchpar"/>
        <w:rPr>
          <w:lang w:val="en-US"/>
        </w:rPr>
      </w:pPr>
    </w:p>
    <w:p w:rsidR="00221291" w:rsidRPr="006B6215" w:rsidRDefault="00221291" w:rsidP="006B6215">
      <w:pPr>
        <w:pStyle w:val="ESchpar"/>
        <w:rPr>
          <w:lang w:val="en-US"/>
        </w:rPr>
      </w:pPr>
      <w:r w:rsidRPr="006B6215">
        <w:rPr>
          <w:lang w:val="en-US"/>
        </w:rPr>
        <w:t xml:space="preserve">‘Persons other than the crew or persons who are on official business on board may only stay on board when the </w:t>
      </w:r>
      <w:r w:rsidRPr="006B6215">
        <w:rPr>
          <w:rFonts w:eastAsia="Batang"/>
          <w:snapToGrid w:val="0"/>
          <w:lang w:val="en-GB" w:eastAsia="de-DE"/>
        </w:rPr>
        <w:t>craft</w:t>
      </w:r>
      <w:r w:rsidRPr="006B6215">
        <w:rPr>
          <w:lang w:val="en-US"/>
        </w:rPr>
        <w:t xml:space="preserve"> is securely moored and freely-accessible machines and mechanically-driven equipment are not in operation’.</w:t>
      </w:r>
    </w:p>
    <w:p w:rsidR="00221291" w:rsidRPr="006B6215" w:rsidRDefault="00221291" w:rsidP="006B6215">
      <w:pPr>
        <w:pStyle w:val="ESchpar"/>
        <w:rPr>
          <w:lang w:val="en-US"/>
        </w:rPr>
      </w:pPr>
    </w:p>
    <w:p w:rsidR="00221291" w:rsidRPr="006B6215" w:rsidRDefault="00221291" w:rsidP="006B6215">
      <w:pPr>
        <w:pStyle w:val="ESchpar"/>
        <w:rPr>
          <w:rFonts w:cs="Arial"/>
          <w:color w:val="000000"/>
          <w:szCs w:val="20"/>
          <w:lang w:val="en-US"/>
        </w:rPr>
      </w:pPr>
    </w:p>
    <w:p w:rsidR="00221291" w:rsidRPr="006B6215" w:rsidRDefault="00221291">
      <w:pPr>
        <w:autoSpaceDE/>
        <w:autoSpaceDN/>
        <w:ind w:left="0" w:firstLine="0"/>
        <w:jc w:val="left"/>
        <w:rPr>
          <w:rFonts w:cs="Arial"/>
          <w:b/>
          <w:color w:val="000000"/>
          <w:sz w:val="22"/>
          <w:szCs w:val="22"/>
          <w:lang w:val="en-US"/>
        </w:rPr>
      </w:pPr>
      <w:r w:rsidRPr="006B6215">
        <w:rPr>
          <w:rFonts w:cs="Arial"/>
          <w:b/>
          <w:color w:val="000000"/>
          <w:sz w:val="22"/>
          <w:szCs w:val="22"/>
          <w:lang w:val="en-US"/>
        </w:rPr>
        <w:br w:type="page"/>
      </w:r>
    </w:p>
    <w:p w:rsidR="00221291" w:rsidRDefault="00221291" w:rsidP="006B6215">
      <w:pPr>
        <w:pStyle w:val="ESch"/>
        <w:rPr>
          <w:highlight w:val="lightGray"/>
          <w:lang w:val="en-US"/>
        </w:rPr>
      </w:pPr>
    </w:p>
    <w:p w:rsidR="00221291" w:rsidRPr="006B6215" w:rsidRDefault="00221291" w:rsidP="006B6215">
      <w:pPr>
        <w:pStyle w:val="ES-Titre3"/>
        <w:rPr>
          <w:szCs w:val="20"/>
          <w:lang w:val="en-US"/>
        </w:rPr>
      </w:pPr>
      <w:bookmarkStart w:id="245" w:name="_Toc491854233"/>
      <w:r w:rsidRPr="006B6215">
        <w:rPr>
          <w:lang w:val="en-US"/>
        </w:rPr>
        <w:t>Article 24.03</w:t>
      </w:r>
      <w:r w:rsidR="00FB64C5">
        <w:rPr>
          <w:lang w:val="en-US"/>
        </w:rPr>
        <w:br/>
      </w:r>
      <w:r w:rsidRPr="006B6215">
        <w:rPr>
          <w:i/>
          <w:lang w:val="en-US"/>
        </w:rPr>
        <w:t>Other provisions and requirements</w:t>
      </w:r>
      <w:bookmarkEnd w:id="245"/>
    </w:p>
    <w:p w:rsidR="00221291" w:rsidRPr="006B6215" w:rsidRDefault="00221291" w:rsidP="00221291">
      <w:pPr>
        <w:widowControl w:val="0"/>
        <w:autoSpaceDE/>
        <w:autoSpaceDN/>
        <w:ind w:left="0" w:firstLine="0"/>
        <w:outlineLvl w:val="0"/>
        <w:rPr>
          <w:rFonts w:cs="Arial"/>
          <w:color w:val="000000"/>
          <w:szCs w:val="20"/>
          <w:lang w:val="en-US"/>
        </w:rPr>
      </w:pPr>
    </w:p>
    <w:p w:rsidR="00221291" w:rsidRPr="006B6215" w:rsidRDefault="00221291" w:rsidP="00221291">
      <w:pPr>
        <w:pStyle w:val="ESch"/>
        <w:rPr>
          <w:lang w:val="en-GB" w:eastAsia="de-DE"/>
        </w:rPr>
      </w:pPr>
      <w:r w:rsidRPr="006B6215">
        <w:rPr>
          <w:szCs w:val="20"/>
          <w:lang w:val="en-GB"/>
        </w:rPr>
        <w:t>1.</w:t>
      </w:r>
      <w:r w:rsidRPr="006B6215">
        <w:rPr>
          <w:szCs w:val="20"/>
          <w:lang w:val="en-GB"/>
        </w:rPr>
        <w:tab/>
        <w:t xml:space="preserve">The inspection body shall determine, in accordance with the operations and safety concepts </w:t>
      </w:r>
      <w:r w:rsidRPr="006B6215">
        <w:rPr>
          <w:lang w:val="en-GB" w:eastAsia="de-DE"/>
        </w:rPr>
        <w:t>in accordance with Article 24.02(2)(b) and (c), as well as the state of the shipbuilding, fitting out and equipment of the traditional craft:</w:t>
      </w:r>
    </w:p>
    <w:p w:rsidR="00221291" w:rsidRPr="006B6215" w:rsidRDefault="00221291" w:rsidP="00221291">
      <w:pPr>
        <w:pStyle w:val="ESlet"/>
        <w:rPr>
          <w:lang w:val="en-GB" w:eastAsia="de-DE"/>
        </w:rPr>
      </w:pPr>
      <w:r w:rsidRPr="006B6215">
        <w:rPr>
          <w:lang w:val="en-GB" w:eastAsia="de-DE"/>
        </w:rPr>
        <w:t>a)</w:t>
      </w:r>
      <w:r w:rsidRPr="006B6215">
        <w:rPr>
          <w:lang w:val="en-GB" w:eastAsia="de-DE"/>
        </w:rPr>
        <w:tab/>
        <w:t>the minimum manning level and the crew’s qualifications;</w:t>
      </w:r>
    </w:p>
    <w:p w:rsidR="00221291" w:rsidRPr="006B6215" w:rsidRDefault="00221291" w:rsidP="00221291">
      <w:pPr>
        <w:pStyle w:val="ESlet"/>
        <w:rPr>
          <w:lang w:val="en-GB" w:eastAsia="de-DE"/>
        </w:rPr>
      </w:pPr>
      <w:r w:rsidRPr="006B6215">
        <w:rPr>
          <w:lang w:val="en-GB" w:eastAsia="de-DE"/>
        </w:rPr>
        <w:t>b)</w:t>
      </w:r>
      <w:r w:rsidRPr="006B6215">
        <w:rPr>
          <w:lang w:val="en-GB" w:eastAsia="de-DE"/>
        </w:rPr>
        <w:tab/>
        <w:t>the permissible number of persons which may be reduced to the minimum manning level;</w:t>
      </w:r>
    </w:p>
    <w:p w:rsidR="00221291" w:rsidRPr="006B6215" w:rsidRDefault="00221291" w:rsidP="00221291">
      <w:pPr>
        <w:pStyle w:val="ESlet"/>
        <w:rPr>
          <w:lang w:val="en-GB" w:eastAsia="de-DE"/>
        </w:rPr>
      </w:pPr>
      <w:r w:rsidRPr="006B6215">
        <w:rPr>
          <w:lang w:val="en-GB" w:eastAsia="de-DE"/>
        </w:rPr>
        <w:t>c)</w:t>
      </w:r>
      <w:r w:rsidRPr="006B6215">
        <w:rPr>
          <w:lang w:val="en-GB" w:eastAsia="de-DE"/>
        </w:rPr>
        <w:tab/>
        <w:t>restrictive conditions for the stay of persons other than crew members on board;</w:t>
      </w:r>
    </w:p>
    <w:p w:rsidR="00221291" w:rsidRPr="006B6215" w:rsidRDefault="00221291" w:rsidP="00221291">
      <w:pPr>
        <w:pStyle w:val="ESlet"/>
        <w:rPr>
          <w:lang w:val="en-GB" w:eastAsia="de-DE"/>
        </w:rPr>
      </w:pPr>
      <w:r w:rsidRPr="006B6215">
        <w:rPr>
          <w:lang w:val="en-GB" w:eastAsia="de-DE"/>
        </w:rPr>
        <w:t>d)</w:t>
      </w:r>
      <w:r w:rsidRPr="006B6215">
        <w:rPr>
          <w:lang w:val="en-GB" w:eastAsia="de-DE"/>
        </w:rPr>
        <w:tab/>
        <w:t>the permissible load which may be reduced to ‘zero’;</w:t>
      </w:r>
    </w:p>
    <w:p w:rsidR="00221291" w:rsidRPr="006B6215" w:rsidRDefault="00221291" w:rsidP="00221291">
      <w:pPr>
        <w:pStyle w:val="ESlet"/>
        <w:rPr>
          <w:lang w:val="en-GB" w:eastAsia="de-DE"/>
        </w:rPr>
      </w:pPr>
      <w:r w:rsidRPr="006B6215">
        <w:rPr>
          <w:lang w:val="en-GB" w:eastAsia="de-DE"/>
        </w:rPr>
        <w:t>e)</w:t>
      </w:r>
      <w:r w:rsidRPr="006B6215">
        <w:rPr>
          <w:lang w:val="en-GB" w:eastAsia="de-DE"/>
        </w:rPr>
        <w:tab/>
        <w:t>the permissible area of operation;</w:t>
      </w:r>
    </w:p>
    <w:p w:rsidR="00221291" w:rsidRPr="006B6215" w:rsidRDefault="00221291" w:rsidP="00221291">
      <w:pPr>
        <w:pStyle w:val="ESlet"/>
        <w:rPr>
          <w:lang w:val="en-GB" w:eastAsia="de-DE"/>
        </w:rPr>
      </w:pPr>
      <w:r w:rsidRPr="006B6215">
        <w:rPr>
          <w:lang w:val="en-GB" w:eastAsia="de-DE"/>
        </w:rPr>
        <w:t>f)</w:t>
      </w:r>
      <w:r w:rsidRPr="006B6215">
        <w:rPr>
          <w:lang w:val="en-GB" w:eastAsia="de-DE"/>
        </w:rPr>
        <w:tab/>
        <w:t>the meteorological restrictions;</w:t>
      </w:r>
    </w:p>
    <w:p w:rsidR="00221291" w:rsidRPr="006B6215" w:rsidRDefault="00221291" w:rsidP="00221291">
      <w:pPr>
        <w:pStyle w:val="ESlet"/>
        <w:rPr>
          <w:lang w:val="en-GB" w:eastAsia="de-DE"/>
        </w:rPr>
      </w:pPr>
      <w:r w:rsidRPr="006B6215">
        <w:rPr>
          <w:lang w:val="en-GB" w:eastAsia="de-DE"/>
        </w:rPr>
        <w:t>g)</w:t>
      </w:r>
      <w:r w:rsidRPr="006B6215">
        <w:rPr>
          <w:lang w:val="en-GB" w:eastAsia="de-DE"/>
        </w:rPr>
        <w:tab/>
        <w:t>the nautical restrictions;</w:t>
      </w:r>
    </w:p>
    <w:p w:rsidR="00221291" w:rsidRPr="006B6215" w:rsidRDefault="00221291" w:rsidP="00221291">
      <w:pPr>
        <w:pStyle w:val="ESlet"/>
        <w:rPr>
          <w:lang w:val="en-GB" w:eastAsia="de-DE"/>
        </w:rPr>
      </w:pPr>
      <w:r w:rsidRPr="006B6215">
        <w:rPr>
          <w:lang w:val="en-GB" w:eastAsia="de-DE"/>
        </w:rPr>
        <w:t>h)</w:t>
      </w:r>
      <w:r w:rsidRPr="006B6215">
        <w:rPr>
          <w:lang w:val="en-GB" w:eastAsia="de-DE"/>
        </w:rPr>
        <w:tab/>
        <w:t>further restrictive conditions.</w:t>
      </w:r>
    </w:p>
    <w:p w:rsidR="00221291" w:rsidRPr="006B6215" w:rsidRDefault="00221291" w:rsidP="00221291">
      <w:pPr>
        <w:widowControl w:val="0"/>
        <w:tabs>
          <w:tab w:val="left" w:pos="1440"/>
        </w:tabs>
        <w:autoSpaceDE/>
        <w:autoSpaceDN/>
        <w:spacing w:line="240" w:lineRule="atLeast"/>
        <w:ind w:left="900" w:firstLine="0"/>
        <w:rPr>
          <w:rFonts w:ascii="Times New Roman" w:hAnsi="Times New Roman"/>
          <w:szCs w:val="20"/>
          <w:lang w:val="en-GB"/>
        </w:rPr>
      </w:pPr>
    </w:p>
    <w:p w:rsidR="00AE3F86" w:rsidRPr="006B6215" w:rsidRDefault="00221291" w:rsidP="006B6215">
      <w:pPr>
        <w:pStyle w:val="ESch"/>
        <w:rPr>
          <w:lang w:val="en-GB"/>
        </w:rPr>
      </w:pPr>
      <w:r w:rsidRPr="006B6215">
        <w:rPr>
          <w:lang w:val="en-GB"/>
        </w:rPr>
        <w:t>2.</w:t>
      </w:r>
      <w:r w:rsidRPr="006B6215">
        <w:rPr>
          <w:lang w:val="en-GB"/>
        </w:rPr>
        <w:tab/>
        <w:t xml:space="preserve">In the case </w:t>
      </w:r>
      <w:r w:rsidRPr="009942A5">
        <w:rPr>
          <w:lang w:val="en-US"/>
        </w:rPr>
        <w:t>of</w:t>
      </w:r>
      <w:r w:rsidRPr="006B6215">
        <w:rPr>
          <w:lang w:val="en-GB"/>
        </w:rPr>
        <w:t xml:space="preserve"> periodic inspections, the inspection body may modify the conditions in accordance with Article 24.03(1) and Article 24.01(3) on the basis of the further development of the technical regulations of this Standard. These modifications shall be entered in the traditional craft annex of the inland navigation vessel certificate.</w:t>
      </w:r>
    </w:p>
    <w:p w:rsidR="00BF049A" w:rsidRPr="00C903F8" w:rsidRDefault="00BF049A" w:rsidP="00973DAA">
      <w:pPr>
        <w:pStyle w:val="ESch"/>
        <w:rPr>
          <w:lang w:val="en-US"/>
        </w:rPr>
      </w:pPr>
    </w:p>
    <w:p w:rsidR="00AE3F86" w:rsidRPr="00C903F8" w:rsidRDefault="00AE3F86" w:rsidP="00973DAA">
      <w:pPr>
        <w:pStyle w:val="ESch"/>
        <w:rPr>
          <w:lang w:val="en-US"/>
        </w:rPr>
      </w:pPr>
    </w:p>
    <w:p w:rsidR="00A71FF0" w:rsidRPr="00C903F8" w:rsidRDefault="00A71FF0" w:rsidP="00973DAA">
      <w:pPr>
        <w:pStyle w:val="ESch"/>
        <w:rPr>
          <w:lang w:val="en-US"/>
        </w:rPr>
      </w:pPr>
      <w:r w:rsidRPr="00C903F8">
        <w:rPr>
          <w:lang w:val="en-US"/>
        </w:rPr>
        <w:br w:type="page"/>
      </w:r>
    </w:p>
    <w:p w:rsidR="00AE3F86" w:rsidRPr="00C903F8" w:rsidRDefault="00AE3F86" w:rsidP="00973DAA">
      <w:pPr>
        <w:pStyle w:val="ESch"/>
        <w:rPr>
          <w:lang w:val="en-US"/>
        </w:rPr>
      </w:pPr>
    </w:p>
    <w:p w:rsidR="00AE3F86" w:rsidRPr="00C903F8" w:rsidRDefault="00AE3F86" w:rsidP="00973DAA">
      <w:pPr>
        <w:pStyle w:val="ESch"/>
        <w:rPr>
          <w:lang w:val="en-US"/>
        </w:rPr>
      </w:pPr>
    </w:p>
    <w:p w:rsidR="00AE3F86" w:rsidRPr="00C903F8" w:rsidRDefault="00AE3F86" w:rsidP="00973DAA">
      <w:pPr>
        <w:pStyle w:val="ESch"/>
        <w:rPr>
          <w:lang w:val="en-US"/>
        </w:rPr>
      </w:pPr>
    </w:p>
    <w:p w:rsidR="00BF049A" w:rsidRPr="00C903F8" w:rsidRDefault="00BF049A" w:rsidP="00BF049A">
      <w:pPr>
        <w:pStyle w:val="ES-Titre2"/>
        <w:rPr>
          <w:szCs w:val="24"/>
        </w:rPr>
      </w:pPr>
      <w:bookmarkStart w:id="246" w:name="_Toc491854234"/>
      <w:r w:rsidRPr="00C903F8">
        <w:lastRenderedPageBreak/>
        <w:t>Chapter 25</w:t>
      </w:r>
      <w:r w:rsidRPr="00C903F8">
        <w:br/>
      </w:r>
      <w:r w:rsidRPr="00C903F8">
        <w:rPr>
          <w:noProof/>
          <w:sz w:val="22"/>
          <w:szCs w:val="22"/>
        </w:rPr>
        <w:t>Special provisions applicable to sea-going vessels</w:t>
      </w:r>
      <w:bookmarkEnd w:id="246"/>
    </w:p>
    <w:p w:rsidR="00BF049A" w:rsidRPr="00C903F8" w:rsidRDefault="00BF049A" w:rsidP="00BF049A">
      <w:pPr>
        <w:rPr>
          <w:lang w:val="en-US" w:eastAsia="en-US"/>
        </w:rPr>
      </w:pPr>
    </w:p>
    <w:p w:rsidR="00BF049A" w:rsidRPr="00C903F8" w:rsidRDefault="00BF049A" w:rsidP="00BF049A">
      <w:pPr>
        <w:pStyle w:val="ES-Titre3"/>
        <w:rPr>
          <w:lang w:val="en-US"/>
        </w:rPr>
      </w:pPr>
      <w:bookmarkStart w:id="247" w:name="_Toc491854235"/>
      <w:r w:rsidRPr="00C903F8">
        <w:rPr>
          <w:noProof/>
          <w:lang w:val="en-US"/>
        </w:rPr>
        <w:t>Article 25.01</w:t>
      </w:r>
      <w:r w:rsidRPr="00C903F8">
        <w:rPr>
          <w:noProof/>
          <w:lang w:val="en-US"/>
        </w:rPr>
        <w:br/>
      </w:r>
      <w:r w:rsidRPr="00C903F8">
        <w:rPr>
          <w:bCs/>
          <w:i/>
          <w:noProof/>
          <w:lang w:val="en-US"/>
        </w:rPr>
        <w:t xml:space="preserve">Provisions for </w:t>
      </w:r>
      <w:r w:rsidR="008B32A7" w:rsidRPr="00C903F8">
        <w:rPr>
          <w:bCs/>
          <w:i/>
          <w:noProof/>
          <w:lang w:val="en-US"/>
        </w:rPr>
        <w:t xml:space="preserve">the </w:t>
      </w:r>
      <w:r w:rsidR="000228A4" w:rsidRPr="00C903F8">
        <w:rPr>
          <w:bCs/>
          <w:i/>
          <w:noProof/>
          <w:lang w:val="en-US"/>
        </w:rPr>
        <w:t>Rhine (</w:t>
      </w:r>
      <w:r w:rsidRPr="00C903F8">
        <w:rPr>
          <w:bCs/>
          <w:i/>
          <w:noProof/>
          <w:lang w:val="en-US"/>
        </w:rPr>
        <w:t>Zone R</w:t>
      </w:r>
      <w:r w:rsidR="000228A4" w:rsidRPr="00C903F8">
        <w:rPr>
          <w:bCs/>
          <w:i/>
          <w:noProof/>
          <w:lang w:val="en-US"/>
        </w:rPr>
        <w:t>)</w:t>
      </w:r>
      <w:bookmarkEnd w:id="247"/>
    </w:p>
    <w:p w:rsidR="00BF049A" w:rsidRPr="00C903F8" w:rsidRDefault="00BF049A" w:rsidP="00BF049A">
      <w:pPr>
        <w:pStyle w:val="ESch"/>
        <w:rPr>
          <w:noProof/>
          <w:lang w:val="en-US"/>
        </w:rPr>
      </w:pPr>
    </w:p>
    <w:p w:rsidR="00237080" w:rsidRPr="00C903F8" w:rsidRDefault="00237080" w:rsidP="00237080">
      <w:pPr>
        <w:pStyle w:val="ESch"/>
        <w:rPr>
          <w:lang w:val="en-US"/>
        </w:rPr>
      </w:pPr>
      <w:r w:rsidRPr="00C903F8">
        <w:rPr>
          <w:noProof/>
          <w:lang w:val="en-US"/>
        </w:rPr>
        <w:t xml:space="preserve">1. </w:t>
      </w:r>
      <w:r w:rsidR="00703EC3" w:rsidRPr="00C903F8">
        <w:rPr>
          <w:noProof/>
          <w:lang w:val="en-US"/>
        </w:rPr>
        <w:tab/>
      </w:r>
      <w:r w:rsidRPr="00C903F8">
        <w:rPr>
          <w:noProof/>
          <w:lang w:val="en-US"/>
        </w:rPr>
        <w:t>Seagoing vessels</w:t>
      </w:r>
      <w:r w:rsidR="00FC52C1">
        <w:rPr>
          <w:noProof/>
          <w:lang w:val="en-US"/>
        </w:rPr>
        <w:t xml:space="preserve"> </w:t>
      </w:r>
      <w:r w:rsidR="00FC52C1" w:rsidRPr="00FC52C1">
        <w:rPr>
          <w:lang w:val="en-US"/>
        </w:rPr>
        <w:t>navigating on the Rhine</w:t>
      </w:r>
      <w:r w:rsidR="00FC52C1">
        <w:rPr>
          <w:lang w:val="en-US"/>
        </w:rPr>
        <w:t xml:space="preserve"> </w:t>
      </w:r>
      <w:r w:rsidRPr="00C903F8">
        <w:rPr>
          <w:noProof/>
          <w:lang w:val="en-US"/>
        </w:rPr>
        <w:t>shall comply with the relevant national and international provisions concerning technical requirements as regards construction, equipment and the seagoing vessels' environment and must be able to corroborate this by means of the necessary certificates.</w:t>
      </w:r>
      <w:r w:rsidRPr="00C903F8">
        <w:rPr>
          <w:lang w:val="en-US"/>
        </w:rPr>
        <w:t xml:space="preserve"> </w:t>
      </w:r>
    </w:p>
    <w:p w:rsidR="00237080" w:rsidRPr="00C903F8" w:rsidRDefault="00237080" w:rsidP="00237080">
      <w:pPr>
        <w:pStyle w:val="ESch"/>
        <w:rPr>
          <w:noProof/>
          <w:lang w:val="en-US"/>
        </w:rPr>
      </w:pPr>
    </w:p>
    <w:p w:rsidR="00237080" w:rsidRPr="00C903F8" w:rsidRDefault="00237080" w:rsidP="00237080">
      <w:pPr>
        <w:pStyle w:val="ESch"/>
        <w:rPr>
          <w:noProof/>
          <w:lang w:val="en-US"/>
        </w:rPr>
      </w:pPr>
      <w:r w:rsidRPr="00C903F8">
        <w:rPr>
          <w:noProof/>
          <w:lang w:val="en-US"/>
        </w:rPr>
        <w:t>2.</w:t>
      </w:r>
      <w:r w:rsidRPr="00C903F8">
        <w:rPr>
          <w:noProof/>
          <w:lang w:val="en-US"/>
        </w:rPr>
        <w:tab/>
        <w:t>Seagoing vessels shall comply with the th</w:t>
      </w:r>
      <w:r w:rsidR="009A42BD" w:rsidRPr="00C903F8">
        <w:rPr>
          <w:noProof/>
          <w:lang w:val="en-US"/>
        </w:rPr>
        <w:t>e following provisions of this S</w:t>
      </w:r>
      <w:r w:rsidRPr="00C903F8">
        <w:rPr>
          <w:noProof/>
          <w:lang w:val="en-US"/>
        </w:rPr>
        <w:t>tandard in addition to the requirements specified in (1):</w:t>
      </w:r>
    </w:p>
    <w:p w:rsidR="00BF049A" w:rsidRPr="00C903F8" w:rsidRDefault="005C7859" w:rsidP="00BF049A">
      <w:pPr>
        <w:pStyle w:val="ESletgauche"/>
        <w:rPr>
          <w:rFonts w:cs="Arial"/>
          <w:szCs w:val="20"/>
          <w:lang w:val="en-US"/>
        </w:rPr>
      </w:pPr>
      <w:r w:rsidRPr="00C903F8">
        <w:rPr>
          <w:szCs w:val="20"/>
          <w:lang w:val="en-US"/>
        </w:rPr>
        <w:t>a)</w:t>
      </w:r>
      <w:r w:rsidR="00BF049A" w:rsidRPr="00C903F8">
        <w:rPr>
          <w:szCs w:val="20"/>
          <w:lang w:val="en-US"/>
        </w:rPr>
        <w:tab/>
      </w:r>
      <w:r w:rsidR="00ED0C30" w:rsidRPr="00C903F8">
        <w:rPr>
          <w:szCs w:val="20"/>
          <w:lang w:val="en-US"/>
        </w:rPr>
        <w:t>Chapter</w:t>
      </w:r>
      <w:r w:rsidR="00BF049A" w:rsidRPr="00C903F8">
        <w:rPr>
          <w:szCs w:val="20"/>
          <w:lang w:val="en-US"/>
        </w:rPr>
        <w:t xml:space="preserve"> 5;</w:t>
      </w:r>
    </w:p>
    <w:p w:rsidR="00BF049A" w:rsidRPr="00C903F8" w:rsidRDefault="005C7859" w:rsidP="00BF049A">
      <w:pPr>
        <w:pStyle w:val="ESletgauche"/>
        <w:rPr>
          <w:rFonts w:cs="Arial"/>
          <w:szCs w:val="20"/>
          <w:lang w:val="en-US"/>
        </w:rPr>
      </w:pPr>
      <w:r w:rsidRPr="00C903F8">
        <w:rPr>
          <w:szCs w:val="20"/>
          <w:lang w:val="en-US"/>
        </w:rPr>
        <w:t>b)</w:t>
      </w:r>
      <w:r w:rsidR="00BF049A" w:rsidRPr="00C903F8">
        <w:rPr>
          <w:szCs w:val="20"/>
          <w:lang w:val="en-US"/>
        </w:rPr>
        <w:tab/>
        <w:t xml:space="preserve">to </w:t>
      </w:r>
      <w:r w:rsidR="00ED0C30" w:rsidRPr="00C903F8">
        <w:rPr>
          <w:szCs w:val="20"/>
          <w:lang w:val="en-US"/>
        </w:rPr>
        <w:t>Chapter</w:t>
      </w:r>
      <w:r w:rsidR="00BF049A" w:rsidRPr="00C903F8">
        <w:rPr>
          <w:szCs w:val="20"/>
          <w:lang w:val="en-US"/>
        </w:rPr>
        <w:t xml:space="preserve"> 6:</w:t>
      </w:r>
    </w:p>
    <w:p w:rsidR="00BF049A" w:rsidRPr="00C903F8" w:rsidRDefault="00ED0C30" w:rsidP="00BF049A">
      <w:pPr>
        <w:pStyle w:val="Esletgauchepar"/>
        <w:rPr>
          <w:rFonts w:cs="Arial"/>
          <w:szCs w:val="20"/>
          <w:lang w:val="en-US"/>
        </w:rPr>
      </w:pPr>
      <w:r w:rsidRPr="00C903F8">
        <w:rPr>
          <w:szCs w:val="20"/>
          <w:lang w:val="en-US"/>
        </w:rPr>
        <w:t>A</w:t>
      </w:r>
      <w:r w:rsidR="00BF049A" w:rsidRPr="00C903F8">
        <w:rPr>
          <w:szCs w:val="20"/>
          <w:lang w:val="en-US"/>
        </w:rPr>
        <w:t>rticle 6.</w:t>
      </w:r>
      <w:r w:rsidR="00BF049A" w:rsidRPr="00C903F8">
        <w:rPr>
          <w:lang w:val="en-US"/>
        </w:rPr>
        <w:t>01</w:t>
      </w:r>
      <w:r w:rsidR="00BF049A" w:rsidRPr="00C903F8">
        <w:rPr>
          <w:szCs w:val="20"/>
          <w:lang w:val="en-US"/>
        </w:rPr>
        <w:t xml:space="preserve">(1) and </w:t>
      </w:r>
      <w:r w:rsidRPr="00C903F8">
        <w:rPr>
          <w:szCs w:val="20"/>
          <w:lang w:val="en-US"/>
        </w:rPr>
        <w:t>A</w:t>
      </w:r>
      <w:r w:rsidR="00BF049A" w:rsidRPr="00C903F8">
        <w:rPr>
          <w:szCs w:val="20"/>
          <w:lang w:val="en-US"/>
        </w:rPr>
        <w:t>rticle 6.02(1) and (2);</w:t>
      </w:r>
    </w:p>
    <w:p w:rsidR="00BF049A" w:rsidRPr="00C903F8" w:rsidRDefault="005C7859" w:rsidP="00BF049A">
      <w:pPr>
        <w:pStyle w:val="ESletgauche"/>
        <w:rPr>
          <w:rFonts w:cs="Arial"/>
          <w:szCs w:val="20"/>
          <w:lang w:val="en-US"/>
        </w:rPr>
      </w:pPr>
      <w:r w:rsidRPr="00C903F8">
        <w:rPr>
          <w:szCs w:val="20"/>
          <w:lang w:val="en-US"/>
        </w:rPr>
        <w:t>c)</w:t>
      </w:r>
      <w:r w:rsidR="00BF049A" w:rsidRPr="00C903F8">
        <w:rPr>
          <w:szCs w:val="20"/>
          <w:lang w:val="en-US"/>
        </w:rPr>
        <w:tab/>
        <w:t xml:space="preserve">to </w:t>
      </w:r>
      <w:r w:rsidR="00ED0C30" w:rsidRPr="00C903F8">
        <w:rPr>
          <w:szCs w:val="20"/>
          <w:lang w:val="en-US"/>
        </w:rPr>
        <w:t>Chapter</w:t>
      </w:r>
      <w:r w:rsidR="00BF049A" w:rsidRPr="00C903F8">
        <w:rPr>
          <w:szCs w:val="20"/>
          <w:lang w:val="en-US"/>
        </w:rPr>
        <w:t xml:space="preserve"> 7:</w:t>
      </w:r>
    </w:p>
    <w:p w:rsidR="00BF049A" w:rsidRPr="00C903F8" w:rsidRDefault="00ED0C30" w:rsidP="00BF049A">
      <w:pPr>
        <w:pStyle w:val="Esletgauchepar"/>
        <w:rPr>
          <w:rFonts w:cs="Arial"/>
          <w:lang w:val="en-US"/>
        </w:rPr>
      </w:pPr>
      <w:r w:rsidRPr="00C903F8">
        <w:rPr>
          <w:szCs w:val="20"/>
          <w:lang w:val="en-US"/>
        </w:rPr>
        <w:t>Article</w:t>
      </w:r>
      <w:r w:rsidR="00BF049A" w:rsidRPr="00C903F8">
        <w:rPr>
          <w:szCs w:val="20"/>
          <w:lang w:val="en-US"/>
        </w:rPr>
        <w:t xml:space="preserve"> 7.01(2), </w:t>
      </w:r>
      <w:r w:rsidRPr="00C903F8">
        <w:rPr>
          <w:szCs w:val="20"/>
          <w:lang w:val="en-US"/>
        </w:rPr>
        <w:t>Article</w:t>
      </w:r>
      <w:r w:rsidR="00BF049A" w:rsidRPr="00C903F8">
        <w:rPr>
          <w:szCs w:val="20"/>
          <w:lang w:val="en-US"/>
        </w:rPr>
        <w:t xml:space="preserve"> 7.02(1) and (3), </w:t>
      </w:r>
      <w:r w:rsidR="007E1D94" w:rsidRPr="00C903F8">
        <w:rPr>
          <w:szCs w:val="20"/>
          <w:lang w:val="en-US"/>
        </w:rPr>
        <w:t>(</w:t>
      </w:r>
      <w:r w:rsidR="00BF049A" w:rsidRPr="00C903F8">
        <w:rPr>
          <w:szCs w:val="20"/>
          <w:lang w:val="en-US"/>
        </w:rPr>
        <w:t>1</w:t>
      </w:r>
      <w:r w:rsidR="007E1D94" w:rsidRPr="00C903F8">
        <w:rPr>
          <w:szCs w:val="20"/>
          <w:lang w:val="en-US"/>
        </w:rPr>
        <w:t>)</w:t>
      </w:r>
      <w:r w:rsidR="00BF049A" w:rsidRPr="00C903F8">
        <w:rPr>
          <w:szCs w:val="20"/>
          <w:lang w:val="en-US"/>
        </w:rPr>
        <w:t xml:space="preserve"> and </w:t>
      </w:r>
      <w:r w:rsidR="007E1D94" w:rsidRPr="00C903F8">
        <w:rPr>
          <w:szCs w:val="20"/>
          <w:lang w:val="en-US"/>
        </w:rPr>
        <w:t>(</w:t>
      </w:r>
      <w:r w:rsidR="00BF049A" w:rsidRPr="00C903F8">
        <w:rPr>
          <w:szCs w:val="20"/>
          <w:lang w:val="en-US"/>
        </w:rPr>
        <w:t>3</w:t>
      </w:r>
      <w:r w:rsidR="007E1D94" w:rsidRPr="00C903F8">
        <w:rPr>
          <w:szCs w:val="20"/>
          <w:lang w:val="en-US"/>
        </w:rPr>
        <w:t>)</w:t>
      </w:r>
      <w:r w:rsidR="00BF049A" w:rsidRPr="00C903F8">
        <w:rPr>
          <w:szCs w:val="20"/>
          <w:lang w:val="en-US"/>
        </w:rPr>
        <w:t xml:space="preserve">, </w:t>
      </w:r>
      <w:r w:rsidRPr="00C903F8">
        <w:rPr>
          <w:szCs w:val="20"/>
          <w:lang w:val="en-US"/>
        </w:rPr>
        <w:t>Article</w:t>
      </w:r>
      <w:r w:rsidR="00BF049A" w:rsidRPr="00C903F8">
        <w:rPr>
          <w:szCs w:val="20"/>
          <w:lang w:val="en-US"/>
        </w:rPr>
        <w:t xml:space="preserve"> 7.05(2)</w:t>
      </w:r>
      <w:r w:rsidR="00C26EBD" w:rsidRPr="00C903F8">
        <w:rPr>
          <w:szCs w:val="20"/>
          <w:lang w:val="en-US"/>
        </w:rPr>
        <w:t>,</w:t>
      </w:r>
    </w:p>
    <w:p w:rsidR="00BF049A" w:rsidRPr="00C903F8" w:rsidRDefault="00ED0C30" w:rsidP="00BF049A">
      <w:pPr>
        <w:pStyle w:val="Esletgauchepar"/>
        <w:rPr>
          <w:rFonts w:cs="Arial"/>
          <w:lang w:val="en-US"/>
        </w:rPr>
      </w:pPr>
      <w:r w:rsidRPr="00C903F8">
        <w:rPr>
          <w:szCs w:val="20"/>
          <w:lang w:val="en-US"/>
        </w:rPr>
        <w:t>Article</w:t>
      </w:r>
      <w:r w:rsidR="00BF049A" w:rsidRPr="00C903F8">
        <w:rPr>
          <w:szCs w:val="20"/>
          <w:lang w:val="en-US"/>
        </w:rPr>
        <w:t xml:space="preserve"> 7.13 for sea-going vessels designed for radar navigation by one person;</w:t>
      </w:r>
    </w:p>
    <w:p w:rsidR="00BF049A" w:rsidRPr="00C903F8" w:rsidRDefault="0029453D" w:rsidP="00BF049A">
      <w:pPr>
        <w:pStyle w:val="ESletgauche"/>
        <w:rPr>
          <w:rFonts w:cs="Arial"/>
          <w:szCs w:val="20"/>
          <w:lang w:val="en-US"/>
        </w:rPr>
      </w:pPr>
      <w:r w:rsidRPr="00C903F8">
        <w:rPr>
          <w:szCs w:val="20"/>
          <w:lang w:val="en-US"/>
        </w:rPr>
        <w:t>d)</w:t>
      </w:r>
      <w:r w:rsidR="00BF049A" w:rsidRPr="00C903F8">
        <w:rPr>
          <w:szCs w:val="20"/>
          <w:lang w:val="en-US"/>
        </w:rPr>
        <w:tab/>
        <w:t xml:space="preserve">to </w:t>
      </w:r>
      <w:r w:rsidR="00ED0C30" w:rsidRPr="00C903F8">
        <w:rPr>
          <w:szCs w:val="20"/>
          <w:lang w:val="en-US"/>
        </w:rPr>
        <w:t>Chapter</w:t>
      </w:r>
      <w:r w:rsidR="00BF049A" w:rsidRPr="00C903F8">
        <w:rPr>
          <w:szCs w:val="20"/>
          <w:lang w:val="en-US"/>
        </w:rPr>
        <w:t xml:space="preserve"> 8</w:t>
      </w:r>
    </w:p>
    <w:p w:rsidR="00BF049A" w:rsidRPr="00C903F8" w:rsidRDefault="00ED0C30" w:rsidP="00BF049A">
      <w:pPr>
        <w:pStyle w:val="Esletgauchepar"/>
        <w:rPr>
          <w:rFonts w:cs="Arial"/>
          <w:lang w:val="en-US"/>
        </w:rPr>
      </w:pPr>
      <w:r w:rsidRPr="00C903F8">
        <w:rPr>
          <w:szCs w:val="20"/>
          <w:lang w:val="en-US"/>
        </w:rPr>
        <w:t>Article</w:t>
      </w:r>
      <w:r w:rsidR="00BF049A" w:rsidRPr="00C903F8">
        <w:rPr>
          <w:szCs w:val="20"/>
          <w:lang w:val="en-US"/>
        </w:rPr>
        <w:t xml:space="preserve"> 8.03(3) for sea-going vessels when an automatic shut-off device can be switched off from the </w:t>
      </w:r>
      <w:r w:rsidR="009E183E" w:rsidRPr="00C903F8">
        <w:rPr>
          <w:szCs w:val="20"/>
          <w:lang w:val="en-US"/>
        </w:rPr>
        <w:t>steering position</w:t>
      </w:r>
      <w:r w:rsidR="00BF049A" w:rsidRPr="00C903F8">
        <w:rPr>
          <w:szCs w:val="20"/>
          <w:lang w:val="en-US"/>
        </w:rPr>
        <w:t xml:space="preserve">; </w:t>
      </w:r>
      <w:r w:rsidRPr="00C903F8">
        <w:rPr>
          <w:szCs w:val="20"/>
          <w:lang w:val="en-US"/>
        </w:rPr>
        <w:t>Article</w:t>
      </w:r>
      <w:r w:rsidR="00BF049A" w:rsidRPr="00C903F8">
        <w:rPr>
          <w:szCs w:val="20"/>
          <w:lang w:val="en-US"/>
        </w:rPr>
        <w:t xml:space="preserve"> 8.05(13), </w:t>
      </w:r>
      <w:r w:rsidRPr="00C903F8">
        <w:rPr>
          <w:szCs w:val="20"/>
          <w:lang w:val="en-US"/>
        </w:rPr>
        <w:t>Article</w:t>
      </w:r>
      <w:r w:rsidR="00BF049A" w:rsidRPr="00C903F8">
        <w:rPr>
          <w:szCs w:val="20"/>
          <w:lang w:val="en-US"/>
        </w:rPr>
        <w:t xml:space="preserve"> 8.08(10), </w:t>
      </w:r>
      <w:r w:rsidRPr="00C903F8">
        <w:rPr>
          <w:szCs w:val="20"/>
          <w:lang w:val="en-US"/>
        </w:rPr>
        <w:t>Article</w:t>
      </w:r>
      <w:r w:rsidR="00BF049A" w:rsidRPr="00C903F8">
        <w:rPr>
          <w:szCs w:val="20"/>
          <w:lang w:val="en-US"/>
        </w:rPr>
        <w:t xml:space="preserve"> 8.09(1) and (2) and </w:t>
      </w:r>
      <w:r w:rsidRPr="00C903F8">
        <w:rPr>
          <w:szCs w:val="20"/>
          <w:lang w:val="en-US"/>
        </w:rPr>
        <w:t>Article</w:t>
      </w:r>
      <w:r w:rsidR="001B3D1D">
        <w:rPr>
          <w:szCs w:val="20"/>
          <w:lang w:val="en-US"/>
        </w:rPr>
        <w:t> </w:t>
      </w:r>
      <w:r w:rsidR="00BF049A" w:rsidRPr="00C903F8">
        <w:rPr>
          <w:szCs w:val="20"/>
          <w:lang w:val="en-US"/>
        </w:rPr>
        <w:t>8.10.</w:t>
      </w:r>
    </w:p>
    <w:p w:rsidR="00BF049A" w:rsidRPr="00C903F8" w:rsidRDefault="00BF049A" w:rsidP="00BF049A">
      <w:pPr>
        <w:pStyle w:val="Esletgauchepar"/>
        <w:rPr>
          <w:rFonts w:cs="Arial"/>
          <w:lang w:val="en-US"/>
        </w:rPr>
      </w:pPr>
      <w:r w:rsidRPr="00C903F8">
        <w:rPr>
          <w:szCs w:val="20"/>
          <w:lang w:val="en-US"/>
        </w:rPr>
        <w:t xml:space="preserve">Locking the closures in position prescribed in </w:t>
      </w:r>
      <w:r w:rsidR="00ED0C30" w:rsidRPr="00C903F8">
        <w:rPr>
          <w:szCs w:val="20"/>
          <w:lang w:val="en-US"/>
        </w:rPr>
        <w:t>Article</w:t>
      </w:r>
      <w:r w:rsidRPr="00C903F8">
        <w:rPr>
          <w:szCs w:val="20"/>
          <w:lang w:val="en-US"/>
        </w:rPr>
        <w:t xml:space="preserve"> 8.08(10) shall be regarded as equivalent to sealing the closures of the bilge system through which the oily water can be pumped out of the vessel. The required key or keys must be kept in a central location </w:t>
      </w:r>
      <w:r w:rsidR="009E183E" w:rsidRPr="00C903F8">
        <w:rPr>
          <w:szCs w:val="20"/>
          <w:lang w:val="en-US"/>
        </w:rPr>
        <w:t xml:space="preserve">which shall be </w:t>
      </w:r>
      <w:r w:rsidRPr="00C903F8">
        <w:rPr>
          <w:szCs w:val="20"/>
          <w:lang w:val="en-US"/>
        </w:rPr>
        <w:t>marked accordingly.</w:t>
      </w:r>
    </w:p>
    <w:p w:rsidR="00BF049A" w:rsidRPr="00C903F8" w:rsidRDefault="00BF049A" w:rsidP="00BF049A">
      <w:pPr>
        <w:pStyle w:val="Esletgauchepar"/>
        <w:rPr>
          <w:rFonts w:cs="Arial"/>
          <w:lang w:val="en-US"/>
        </w:rPr>
      </w:pPr>
      <w:r w:rsidRPr="00C903F8">
        <w:rPr>
          <w:szCs w:val="20"/>
          <w:lang w:val="en-US"/>
        </w:rPr>
        <w:t>An oil discharge monitoring and control system complying with R</w:t>
      </w:r>
      <w:r w:rsidR="009E183E" w:rsidRPr="00C903F8">
        <w:rPr>
          <w:szCs w:val="20"/>
          <w:lang w:val="en-US"/>
        </w:rPr>
        <w:t>egulation</w:t>
      </w:r>
      <w:r w:rsidRPr="00C903F8">
        <w:rPr>
          <w:szCs w:val="20"/>
          <w:lang w:val="en-US"/>
        </w:rPr>
        <w:t xml:space="preserve"> 16 of MARPOL 73</w:t>
      </w:r>
      <w:r w:rsidR="009E183E" w:rsidRPr="00C903F8">
        <w:rPr>
          <w:szCs w:val="20"/>
          <w:lang w:val="en-US"/>
        </w:rPr>
        <w:t>/78</w:t>
      </w:r>
      <w:r w:rsidRPr="00C903F8">
        <w:rPr>
          <w:szCs w:val="20"/>
          <w:lang w:val="en-US"/>
        </w:rPr>
        <w:t xml:space="preserve"> shall be deemed equivalent to locking the closures in position prescribed in </w:t>
      </w:r>
      <w:r w:rsidR="00ED0C30" w:rsidRPr="00C903F8">
        <w:rPr>
          <w:szCs w:val="20"/>
          <w:lang w:val="en-US"/>
        </w:rPr>
        <w:t>Article</w:t>
      </w:r>
      <w:r w:rsidRPr="00C903F8">
        <w:rPr>
          <w:szCs w:val="20"/>
          <w:lang w:val="en-US"/>
        </w:rPr>
        <w:t xml:space="preserve"> 8.08(10). The existence of the monitoring and control system must be attested by an international oil pollution prevention (IOPP) certificate that complies with MARPOL 73</w:t>
      </w:r>
      <w:r w:rsidR="009E183E" w:rsidRPr="00C903F8">
        <w:rPr>
          <w:szCs w:val="20"/>
          <w:lang w:val="en-US"/>
        </w:rPr>
        <w:t>/78</w:t>
      </w:r>
      <w:r w:rsidRPr="00C903F8">
        <w:rPr>
          <w:szCs w:val="20"/>
          <w:lang w:val="en-US"/>
        </w:rPr>
        <w:t>.</w:t>
      </w:r>
    </w:p>
    <w:p w:rsidR="00BF049A" w:rsidRPr="00C903F8" w:rsidRDefault="00BF049A" w:rsidP="00BF049A">
      <w:pPr>
        <w:pStyle w:val="Esletgauchepar"/>
        <w:rPr>
          <w:rFonts w:cs="Arial"/>
          <w:lang w:val="en-US"/>
        </w:rPr>
      </w:pPr>
      <w:r w:rsidRPr="00C903F8">
        <w:rPr>
          <w:szCs w:val="20"/>
          <w:lang w:val="en-US"/>
        </w:rPr>
        <w:t xml:space="preserve">If the IOPP attestation reveals that the vessel is equipped with collecting tanks enabling all the oily water and oily residues to be retained on board, </w:t>
      </w:r>
      <w:r w:rsidR="00ED0C30" w:rsidRPr="00C903F8">
        <w:rPr>
          <w:szCs w:val="20"/>
          <w:lang w:val="en-US"/>
        </w:rPr>
        <w:t>Article</w:t>
      </w:r>
      <w:r w:rsidRPr="00C903F8">
        <w:rPr>
          <w:szCs w:val="20"/>
          <w:lang w:val="en-US"/>
        </w:rPr>
        <w:t xml:space="preserve"> 8.09(2) must be deemed to have been complied with;</w:t>
      </w:r>
    </w:p>
    <w:p w:rsidR="00BF049A" w:rsidRPr="00C903F8" w:rsidRDefault="0029453D" w:rsidP="00BF049A">
      <w:pPr>
        <w:pStyle w:val="ESletgauche"/>
        <w:rPr>
          <w:rFonts w:cs="Arial"/>
          <w:szCs w:val="20"/>
          <w:lang w:val="en-US"/>
        </w:rPr>
      </w:pPr>
      <w:r w:rsidRPr="00C903F8">
        <w:rPr>
          <w:szCs w:val="20"/>
          <w:lang w:val="en-US"/>
        </w:rPr>
        <w:t>e)</w:t>
      </w:r>
      <w:r w:rsidR="00BF049A" w:rsidRPr="00C903F8">
        <w:rPr>
          <w:szCs w:val="20"/>
          <w:lang w:val="en-US"/>
        </w:rPr>
        <w:tab/>
        <w:t xml:space="preserve">to </w:t>
      </w:r>
      <w:r w:rsidR="00ED0C30" w:rsidRPr="00C903F8">
        <w:rPr>
          <w:szCs w:val="20"/>
          <w:lang w:val="en-US"/>
        </w:rPr>
        <w:t>Chapter</w:t>
      </w:r>
      <w:r w:rsidR="00BF049A" w:rsidRPr="00C903F8">
        <w:rPr>
          <w:szCs w:val="20"/>
          <w:lang w:val="en-US"/>
        </w:rPr>
        <w:t xml:space="preserve"> 10:</w:t>
      </w:r>
    </w:p>
    <w:p w:rsidR="00BF049A" w:rsidRPr="00C903F8" w:rsidRDefault="00ED0C30" w:rsidP="00BF049A">
      <w:pPr>
        <w:pStyle w:val="Esletgauchepar"/>
        <w:rPr>
          <w:rFonts w:cs="Arial"/>
          <w:lang w:val="en-US"/>
        </w:rPr>
      </w:pPr>
      <w:r w:rsidRPr="00C903F8">
        <w:rPr>
          <w:szCs w:val="20"/>
          <w:lang w:val="en-US"/>
        </w:rPr>
        <w:t>Article</w:t>
      </w:r>
      <w:r w:rsidR="00BF049A" w:rsidRPr="00C903F8">
        <w:rPr>
          <w:szCs w:val="20"/>
          <w:lang w:val="en-US"/>
        </w:rPr>
        <w:t xml:space="preserve"> 10.17;</w:t>
      </w:r>
    </w:p>
    <w:p w:rsidR="00BF049A" w:rsidRPr="00C903F8" w:rsidRDefault="0029453D" w:rsidP="00BF049A">
      <w:pPr>
        <w:pStyle w:val="ESletgauche"/>
        <w:rPr>
          <w:rFonts w:cs="Arial"/>
          <w:szCs w:val="20"/>
          <w:lang w:val="en-US"/>
        </w:rPr>
      </w:pPr>
      <w:r w:rsidRPr="00C903F8">
        <w:rPr>
          <w:szCs w:val="20"/>
          <w:lang w:val="en-US"/>
        </w:rPr>
        <w:t>f)</w:t>
      </w:r>
      <w:r w:rsidR="00BF049A" w:rsidRPr="00C903F8">
        <w:rPr>
          <w:szCs w:val="20"/>
          <w:lang w:val="en-US"/>
        </w:rPr>
        <w:tab/>
        <w:t xml:space="preserve">to </w:t>
      </w:r>
      <w:r w:rsidR="00ED0C30" w:rsidRPr="00C903F8">
        <w:rPr>
          <w:szCs w:val="20"/>
          <w:lang w:val="en-US"/>
        </w:rPr>
        <w:t>Chapter</w:t>
      </w:r>
      <w:r w:rsidR="00BF049A" w:rsidRPr="00C903F8">
        <w:rPr>
          <w:szCs w:val="20"/>
          <w:lang w:val="en-US"/>
        </w:rPr>
        <w:t xml:space="preserve"> 13:</w:t>
      </w:r>
    </w:p>
    <w:p w:rsidR="00BF049A" w:rsidRPr="00C903F8" w:rsidRDefault="00ED0C30" w:rsidP="00BF049A">
      <w:pPr>
        <w:pStyle w:val="Esletgauchepar"/>
        <w:rPr>
          <w:rFonts w:cs="Arial"/>
          <w:lang w:val="en-US"/>
        </w:rPr>
      </w:pPr>
      <w:r w:rsidRPr="00C903F8">
        <w:rPr>
          <w:szCs w:val="20"/>
          <w:lang w:val="en-US"/>
        </w:rPr>
        <w:t>Article</w:t>
      </w:r>
      <w:r w:rsidR="00BF049A" w:rsidRPr="00C903F8">
        <w:rPr>
          <w:szCs w:val="20"/>
          <w:lang w:val="en-US"/>
        </w:rPr>
        <w:t>s 13.01 and 13.02(1);</w:t>
      </w:r>
    </w:p>
    <w:p w:rsidR="00BF049A" w:rsidRPr="00C903F8" w:rsidRDefault="0029453D" w:rsidP="00BF049A">
      <w:pPr>
        <w:pStyle w:val="ESletgauche"/>
        <w:rPr>
          <w:rFonts w:cs="Arial"/>
          <w:szCs w:val="20"/>
          <w:lang w:val="en-US"/>
        </w:rPr>
      </w:pPr>
      <w:r w:rsidRPr="00C903F8">
        <w:rPr>
          <w:szCs w:val="20"/>
          <w:lang w:val="en-US"/>
        </w:rPr>
        <w:t>g)</w:t>
      </w:r>
      <w:r w:rsidR="00BF049A" w:rsidRPr="00C903F8">
        <w:rPr>
          <w:szCs w:val="20"/>
          <w:lang w:val="en-US"/>
        </w:rPr>
        <w:tab/>
      </w:r>
      <w:r w:rsidR="00ED0C30" w:rsidRPr="00C903F8">
        <w:rPr>
          <w:szCs w:val="20"/>
          <w:lang w:val="en-US"/>
        </w:rPr>
        <w:t>Chapter</w:t>
      </w:r>
      <w:r w:rsidR="00BF049A" w:rsidRPr="00C903F8">
        <w:rPr>
          <w:szCs w:val="20"/>
          <w:lang w:val="en-US"/>
        </w:rPr>
        <w:t xml:space="preserve"> 21,</w:t>
      </w:r>
    </w:p>
    <w:p w:rsidR="00BF049A" w:rsidRPr="00C903F8" w:rsidRDefault="00BF049A" w:rsidP="00BF049A">
      <w:pPr>
        <w:pStyle w:val="Esletgauchepar"/>
        <w:rPr>
          <w:rFonts w:cs="Arial"/>
          <w:lang w:val="en-US"/>
        </w:rPr>
      </w:pPr>
      <w:r w:rsidRPr="00C903F8">
        <w:rPr>
          <w:szCs w:val="20"/>
          <w:lang w:val="en-US"/>
        </w:rPr>
        <w:t>for sea-going vessels permitted to form part of a convoy</w:t>
      </w:r>
      <w:r w:rsidR="00C26EBD" w:rsidRPr="00C903F8">
        <w:rPr>
          <w:szCs w:val="20"/>
          <w:lang w:val="en-US"/>
        </w:rPr>
        <w:t>;</w:t>
      </w:r>
    </w:p>
    <w:p w:rsidR="00BF049A" w:rsidRPr="00C903F8" w:rsidRDefault="0029453D" w:rsidP="00BF049A">
      <w:pPr>
        <w:pStyle w:val="ESletgauche"/>
        <w:rPr>
          <w:rFonts w:cs="Arial"/>
          <w:szCs w:val="20"/>
          <w:lang w:val="en-US"/>
        </w:rPr>
      </w:pPr>
      <w:r w:rsidRPr="00C903F8">
        <w:rPr>
          <w:szCs w:val="20"/>
          <w:lang w:val="en-US"/>
        </w:rPr>
        <w:t>h)</w:t>
      </w:r>
      <w:r w:rsidR="00BF049A" w:rsidRPr="00C903F8">
        <w:rPr>
          <w:szCs w:val="20"/>
          <w:lang w:val="en-US"/>
        </w:rPr>
        <w:tab/>
      </w:r>
      <w:r w:rsidR="00ED0C30" w:rsidRPr="00C903F8">
        <w:rPr>
          <w:szCs w:val="20"/>
          <w:lang w:val="en-US"/>
        </w:rPr>
        <w:t>Chapter</w:t>
      </w:r>
      <w:r w:rsidR="00BF049A" w:rsidRPr="00C903F8">
        <w:rPr>
          <w:szCs w:val="20"/>
          <w:lang w:val="en-US"/>
        </w:rPr>
        <w:t xml:space="preserve"> 27</w:t>
      </w:r>
      <w:r w:rsidR="00C26EBD" w:rsidRPr="00C903F8">
        <w:rPr>
          <w:szCs w:val="20"/>
          <w:lang w:val="en-US"/>
        </w:rPr>
        <w:t>:</w:t>
      </w:r>
    </w:p>
    <w:p w:rsidR="00BF049A" w:rsidRPr="00C903F8" w:rsidRDefault="00BF049A" w:rsidP="00BF049A">
      <w:pPr>
        <w:pStyle w:val="Esletgauchepar"/>
        <w:rPr>
          <w:rFonts w:cs="Arial"/>
          <w:lang w:val="en-US"/>
        </w:rPr>
      </w:pPr>
      <w:r w:rsidRPr="00C903F8">
        <w:rPr>
          <w:szCs w:val="20"/>
          <w:lang w:val="en-US"/>
        </w:rPr>
        <w:t>Chapter 27 shall be deemed to have been complied with when stability complies with current IMO Resolutions, the corresponding stability-related documents have been endorsed by the competent authority and the containers are secured in the customary maritime navigation manner.</w:t>
      </w:r>
    </w:p>
    <w:p w:rsidR="00BF049A" w:rsidRPr="00C903F8" w:rsidRDefault="00BF049A" w:rsidP="00BF049A">
      <w:pPr>
        <w:pStyle w:val="Esletgauchepar"/>
        <w:rPr>
          <w:lang w:val="en-US"/>
        </w:rPr>
      </w:pPr>
    </w:p>
    <w:p w:rsidR="00D96486" w:rsidRPr="00C903F8" w:rsidRDefault="00D96486" w:rsidP="00973DAA">
      <w:pPr>
        <w:pStyle w:val="ESch"/>
        <w:rPr>
          <w:lang w:val="en-US"/>
        </w:rPr>
      </w:pPr>
    </w:p>
    <w:p w:rsidR="00A71FF0" w:rsidRPr="00C903F8" w:rsidRDefault="00A71FF0" w:rsidP="00973DAA">
      <w:pPr>
        <w:pStyle w:val="ESch"/>
        <w:rPr>
          <w:lang w:val="en-US"/>
        </w:rPr>
      </w:pPr>
      <w:r w:rsidRPr="00C903F8">
        <w:rPr>
          <w:lang w:val="en-US"/>
        </w:rPr>
        <w:br w:type="page"/>
      </w:r>
    </w:p>
    <w:p w:rsidR="00A71FF0" w:rsidRPr="00C903F8" w:rsidRDefault="00A71FF0" w:rsidP="00973DAA">
      <w:pPr>
        <w:pStyle w:val="ESch"/>
        <w:rPr>
          <w:lang w:val="en-US"/>
        </w:rPr>
      </w:pPr>
    </w:p>
    <w:p w:rsidR="00A71FF0" w:rsidRPr="00C903F8" w:rsidRDefault="00A71FF0" w:rsidP="00973DAA">
      <w:pPr>
        <w:pStyle w:val="ESch"/>
        <w:rPr>
          <w:lang w:val="en-US"/>
        </w:rPr>
      </w:pPr>
    </w:p>
    <w:p w:rsidR="00D96486" w:rsidRPr="00C903F8" w:rsidRDefault="00D96486" w:rsidP="00973DAA">
      <w:pPr>
        <w:pStyle w:val="ESch"/>
        <w:rPr>
          <w:lang w:val="en-US"/>
        </w:rPr>
      </w:pPr>
    </w:p>
    <w:p w:rsidR="00BF049A" w:rsidRPr="00C903F8" w:rsidRDefault="00BF049A" w:rsidP="00BF049A">
      <w:pPr>
        <w:pStyle w:val="ES-Titre2"/>
        <w:rPr>
          <w:szCs w:val="24"/>
        </w:rPr>
      </w:pPr>
      <w:bookmarkStart w:id="248" w:name="_Toc491854236"/>
      <w:r w:rsidRPr="00C903F8">
        <w:lastRenderedPageBreak/>
        <w:t>Chapter 26</w:t>
      </w:r>
      <w:r w:rsidRPr="00C903F8">
        <w:br/>
      </w:r>
      <w:r w:rsidR="00A56366" w:rsidRPr="00C903F8">
        <w:rPr>
          <w:noProof/>
          <w:sz w:val="22"/>
          <w:szCs w:val="22"/>
        </w:rPr>
        <w:t>S</w:t>
      </w:r>
      <w:r w:rsidRPr="00C903F8">
        <w:rPr>
          <w:noProof/>
          <w:sz w:val="22"/>
          <w:szCs w:val="22"/>
        </w:rPr>
        <w:t>peci</w:t>
      </w:r>
      <w:r w:rsidR="00A56366" w:rsidRPr="00C903F8">
        <w:rPr>
          <w:noProof/>
          <w:sz w:val="22"/>
          <w:szCs w:val="22"/>
        </w:rPr>
        <w:t>al</w:t>
      </w:r>
      <w:r w:rsidRPr="00C903F8">
        <w:rPr>
          <w:noProof/>
          <w:sz w:val="22"/>
          <w:szCs w:val="22"/>
        </w:rPr>
        <w:t xml:space="preserve"> provisions applicable to recreational craft</w:t>
      </w:r>
      <w:bookmarkEnd w:id="248"/>
    </w:p>
    <w:p w:rsidR="00BF049A" w:rsidRDefault="00BF049A" w:rsidP="00BF049A">
      <w:pPr>
        <w:rPr>
          <w:lang w:val="en-US" w:eastAsia="en-US"/>
        </w:rPr>
      </w:pPr>
    </w:p>
    <w:p w:rsidR="00BF049A" w:rsidRPr="00C903F8" w:rsidRDefault="00BF049A" w:rsidP="00BF049A">
      <w:pPr>
        <w:pStyle w:val="ES-Titre3"/>
        <w:rPr>
          <w:rFonts w:cs="Arial"/>
          <w:i/>
          <w:szCs w:val="18"/>
          <w:lang w:val="en-US"/>
        </w:rPr>
      </w:pPr>
      <w:bookmarkStart w:id="249" w:name="_Toc491854237"/>
      <w:r w:rsidRPr="00C903F8">
        <w:rPr>
          <w:noProof/>
          <w:lang w:val="en-US"/>
        </w:rPr>
        <w:t>Article 26.0</w:t>
      </w:r>
      <w:r w:rsidR="00620783" w:rsidRPr="00C903F8">
        <w:rPr>
          <w:noProof/>
          <w:lang w:val="en-US"/>
        </w:rPr>
        <w:t>1</w:t>
      </w:r>
      <w:r w:rsidRPr="00C903F8">
        <w:rPr>
          <w:noProof/>
          <w:lang w:val="en-US"/>
        </w:rPr>
        <w:br/>
      </w:r>
      <w:r w:rsidRPr="00C903F8">
        <w:rPr>
          <w:i/>
          <w:noProof/>
          <w:lang w:val="en-US"/>
        </w:rPr>
        <w:t>Application of Part II</w:t>
      </w:r>
      <w:bookmarkEnd w:id="249"/>
    </w:p>
    <w:p w:rsidR="00BF049A" w:rsidRPr="00C903F8" w:rsidRDefault="00BF049A" w:rsidP="00BF049A">
      <w:pPr>
        <w:pStyle w:val="ESch"/>
        <w:rPr>
          <w:rFonts w:eastAsia="Calibri"/>
          <w:noProof/>
          <w:lang w:val="en-US" w:eastAsia="en-US"/>
        </w:rPr>
      </w:pPr>
    </w:p>
    <w:p w:rsidR="00DE2419" w:rsidRPr="004B606C" w:rsidRDefault="00DE2419" w:rsidP="00DE2419">
      <w:pPr>
        <w:pStyle w:val="ESch"/>
        <w:rPr>
          <w:rFonts w:eastAsia="Calibri" w:cs="Arial"/>
          <w:szCs w:val="18"/>
          <w:lang w:val="en-US" w:eastAsia="en-US"/>
        </w:rPr>
      </w:pPr>
      <w:r w:rsidRPr="004B606C">
        <w:rPr>
          <w:rFonts w:eastAsia="Calibri"/>
          <w:noProof/>
          <w:lang w:val="en-US" w:eastAsia="en-US"/>
        </w:rPr>
        <w:t xml:space="preserve">1. </w:t>
      </w:r>
      <w:r w:rsidRPr="004B606C">
        <w:rPr>
          <w:rFonts w:eastAsia="Calibri"/>
          <w:noProof/>
          <w:lang w:val="en-US" w:eastAsia="en-US"/>
        </w:rPr>
        <w:tab/>
        <w:t>Recreational craft shall meet the following requirements:</w:t>
      </w:r>
    </w:p>
    <w:p w:rsidR="00DE2419" w:rsidRPr="004B606C" w:rsidRDefault="00DE2419" w:rsidP="00DE2419">
      <w:pPr>
        <w:pStyle w:val="ESlet"/>
        <w:rPr>
          <w:rFonts w:eastAsia="Calibri" w:cs="Arial"/>
          <w:szCs w:val="18"/>
          <w:lang w:val="en-US" w:eastAsia="en-US"/>
        </w:rPr>
      </w:pPr>
      <w:r w:rsidRPr="004B606C">
        <w:rPr>
          <w:rFonts w:eastAsia="Calibri"/>
          <w:noProof/>
          <w:lang w:val="en-US" w:eastAsia="en-US"/>
        </w:rPr>
        <w:t>a)</w:t>
      </w:r>
      <w:r w:rsidRPr="004B606C">
        <w:rPr>
          <w:rFonts w:eastAsia="Calibri"/>
          <w:noProof/>
          <w:lang w:val="en-US" w:eastAsia="en-US"/>
        </w:rPr>
        <w:tab/>
        <w:t>from Chapter 3:</w:t>
      </w:r>
    </w:p>
    <w:p w:rsidR="00DE2419" w:rsidRPr="004B606C" w:rsidRDefault="00DE2419" w:rsidP="00DE2419">
      <w:pPr>
        <w:pStyle w:val="ESletpar"/>
        <w:rPr>
          <w:rFonts w:eastAsia="Calibri" w:cs="Arial"/>
          <w:szCs w:val="18"/>
          <w:lang w:val="en-US"/>
        </w:rPr>
      </w:pPr>
      <w:r w:rsidRPr="004B606C">
        <w:rPr>
          <w:rFonts w:eastAsia="Calibri"/>
          <w:noProof/>
          <w:lang w:val="en-US"/>
        </w:rPr>
        <w:t>Article 3.01, Article 3.02(1)(a) and (2), Article 3.03(1)(a) and (6), and Article 3.04(1);</w:t>
      </w:r>
    </w:p>
    <w:p w:rsidR="00DE2419" w:rsidRPr="004B606C" w:rsidRDefault="00DE2419" w:rsidP="00DE2419">
      <w:pPr>
        <w:pStyle w:val="ESlet"/>
        <w:rPr>
          <w:rFonts w:eastAsia="Calibri" w:cs="Arial"/>
          <w:szCs w:val="18"/>
          <w:lang w:val="en-US" w:eastAsia="en-US"/>
        </w:rPr>
      </w:pPr>
      <w:r w:rsidRPr="004B606C">
        <w:rPr>
          <w:rFonts w:eastAsia="Calibri"/>
          <w:noProof/>
          <w:lang w:val="en-US" w:eastAsia="en-US"/>
        </w:rPr>
        <w:t>b)</w:t>
      </w:r>
      <w:r w:rsidRPr="004B606C">
        <w:rPr>
          <w:rFonts w:eastAsia="Calibri"/>
          <w:noProof/>
          <w:lang w:val="en-US" w:eastAsia="en-US"/>
        </w:rPr>
        <w:tab/>
        <w:t>Chapter 5;</w:t>
      </w:r>
    </w:p>
    <w:p w:rsidR="00DE2419" w:rsidRPr="004B606C" w:rsidRDefault="00DE2419" w:rsidP="00DE2419">
      <w:pPr>
        <w:pStyle w:val="ESlet"/>
        <w:rPr>
          <w:rFonts w:eastAsia="Calibri" w:cs="Arial"/>
          <w:szCs w:val="18"/>
          <w:lang w:val="en-US" w:eastAsia="en-US"/>
        </w:rPr>
      </w:pPr>
      <w:r w:rsidRPr="004B606C">
        <w:rPr>
          <w:rFonts w:eastAsia="Calibri"/>
          <w:noProof/>
          <w:lang w:val="en-US" w:eastAsia="en-US"/>
        </w:rPr>
        <w:t>c)</w:t>
      </w:r>
      <w:r w:rsidRPr="004B606C">
        <w:rPr>
          <w:rFonts w:eastAsia="Calibri"/>
          <w:noProof/>
          <w:lang w:val="en-US" w:eastAsia="en-US"/>
        </w:rPr>
        <w:tab/>
        <w:t>from Chapter 6:</w:t>
      </w:r>
    </w:p>
    <w:p w:rsidR="00DE2419" w:rsidRPr="004B606C" w:rsidRDefault="00DE2419" w:rsidP="00DE2419">
      <w:pPr>
        <w:pStyle w:val="ESletpar"/>
        <w:rPr>
          <w:rFonts w:eastAsia="Calibri" w:cs="Arial"/>
          <w:szCs w:val="18"/>
          <w:lang w:val="en-US"/>
        </w:rPr>
      </w:pPr>
      <w:r w:rsidRPr="004B606C">
        <w:rPr>
          <w:rFonts w:eastAsia="Calibri"/>
          <w:noProof/>
          <w:lang w:val="en-US"/>
        </w:rPr>
        <w:t>Article 6.01(1), and Article 6.08;</w:t>
      </w:r>
    </w:p>
    <w:p w:rsidR="00DE2419" w:rsidRPr="004B606C" w:rsidRDefault="00DE2419" w:rsidP="00DE2419">
      <w:pPr>
        <w:pStyle w:val="ESlet"/>
        <w:rPr>
          <w:rFonts w:eastAsia="Calibri" w:cs="Arial"/>
          <w:szCs w:val="18"/>
          <w:lang w:val="en-US" w:eastAsia="en-US"/>
        </w:rPr>
      </w:pPr>
      <w:r w:rsidRPr="004B606C">
        <w:rPr>
          <w:rFonts w:eastAsia="Calibri"/>
          <w:noProof/>
          <w:lang w:val="en-US" w:eastAsia="en-US"/>
        </w:rPr>
        <w:t>d)</w:t>
      </w:r>
      <w:r w:rsidRPr="004B606C">
        <w:rPr>
          <w:rFonts w:eastAsia="Calibri"/>
          <w:noProof/>
          <w:lang w:val="en-US" w:eastAsia="en-US"/>
        </w:rPr>
        <w:tab/>
        <w:t>from Chapter 7:</w:t>
      </w:r>
    </w:p>
    <w:p w:rsidR="00DE2419" w:rsidRPr="004B606C" w:rsidRDefault="00DE2419" w:rsidP="00DE2419">
      <w:pPr>
        <w:pStyle w:val="ESletpar"/>
        <w:rPr>
          <w:rFonts w:eastAsia="Calibri"/>
          <w:noProof/>
          <w:lang w:val="en-US"/>
        </w:rPr>
      </w:pPr>
      <w:r w:rsidRPr="004B606C">
        <w:rPr>
          <w:rFonts w:eastAsia="Calibri"/>
          <w:noProof/>
          <w:lang w:val="en-US"/>
        </w:rPr>
        <w:t xml:space="preserve">Article 7.01(1) and (2), Article 7.02, Article 7.03(1) and (2), Article 7.04(1), Article 7.05(2), </w:t>
      </w:r>
    </w:p>
    <w:p w:rsidR="00DE2419" w:rsidRPr="004B606C" w:rsidRDefault="00DE2419" w:rsidP="00DE2419">
      <w:pPr>
        <w:pStyle w:val="ESletpar"/>
        <w:rPr>
          <w:rFonts w:eastAsia="Calibri" w:cs="Arial"/>
          <w:szCs w:val="18"/>
          <w:lang w:val="en-US"/>
        </w:rPr>
      </w:pPr>
      <w:r w:rsidRPr="004B606C">
        <w:rPr>
          <w:rFonts w:eastAsia="Calibri"/>
          <w:noProof/>
          <w:lang w:val="en-US"/>
        </w:rPr>
        <w:t>Article 7.13 if there is a wheelhouse designed for radar navigation by one person;</w:t>
      </w:r>
    </w:p>
    <w:p w:rsidR="00DE2419" w:rsidRPr="004B606C" w:rsidRDefault="00DE2419" w:rsidP="00DE2419">
      <w:pPr>
        <w:pStyle w:val="ESlet"/>
        <w:rPr>
          <w:rFonts w:eastAsia="Calibri" w:cs="Arial"/>
          <w:szCs w:val="18"/>
          <w:lang w:val="en-US" w:eastAsia="en-US"/>
        </w:rPr>
      </w:pPr>
      <w:r w:rsidRPr="004B606C">
        <w:rPr>
          <w:rFonts w:eastAsia="Calibri"/>
          <w:noProof/>
          <w:lang w:val="en-US" w:eastAsia="en-US"/>
        </w:rPr>
        <w:t>e)</w:t>
      </w:r>
      <w:r w:rsidRPr="004B606C">
        <w:rPr>
          <w:rFonts w:eastAsia="Calibri"/>
          <w:noProof/>
          <w:lang w:val="en-US" w:eastAsia="en-US"/>
        </w:rPr>
        <w:tab/>
        <w:t>from Chapter 8:</w:t>
      </w:r>
    </w:p>
    <w:p w:rsidR="00DE2419" w:rsidRPr="004B606C" w:rsidRDefault="00DE2419" w:rsidP="00DE2419">
      <w:pPr>
        <w:pStyle w:val="ESletpar"/>
        <w:rPr>
          <w:rFonts w:eastAsia="Calibri"/>
          <w:noProof/>
          <w:lang w:val="en-US"/>
        </w:rPr>
      </w:pPr>
      <w:r w:rsidRPr="004B606C">
        <w:rPr>
          <w:rFonts w:eastAsia="Calibri"/>
          <w:noProof/>
          <w:lang w:val="en-US"/>
        </w:rPr>
        <w:t>Article 8.01(1) and (2), Article 8.02(1) and (2), Article 8.03(1) and (3), Article 8.04, Article</w:t>
      </w:r>
      <w:r w:rsidR="00293D2C">
        <w:rPr>
          <w:rFonts w:eastAsia="Calibri"/>
          <w:noProof/>
          <w:lang w:val="en-US"/>
        </w:rPr>
        <w:t> </w:t>
      </w:r>
      <w:r w:rsidRPr="004B606C">
        <w:rPr>
          <w:rFonts w:eastAsia="Calibri"/>
          <w:noProof/>
          <w:lang w:val="en-US"/>
        </w:rPr>
        <w:t>8.05(1) to (10) and (13), Article 8.06, Article 8.07, Article 8.08(1), (2), (5), (7) and (10), Article 8.09(1), and Article 8.10;</w:t>
      </w:r>
    </w:p>
    <w:p w:rsidR="00DE2419" w:rsidRPr="00DE2419" w:rsidRDefault="00DE2419" w:rsidP="00DE2419">
      <w:pPr>
        <w:pStyle w:val="ESlet"/>
        <w:rPr>
          <w:rFonts w:eastAsia="Calibri" w:cs="Arial"/>
          <w:szCs w:val="18"/>
          <w:lang w:val="en-US"/>
        </w:rPr>
      </w:pPr>
      <w:r w:rsidRPr="00DE2419">
        <w:rPr>
          <w:rFonts w:eastAsia="Calibri"/>
          <w:noProof/>
          <w:lang w:val="en-US" w:eastAsia="en-US"/>
        </w:rPr>
        <w:t>f)</w:t>
      </w:r>
      <w:r w:rsidRPr="00DE2419">
        <w:rPr>
          <w:rFonts w:eastAsia="Calibri"/>
          <w:noProof/>
          <w:lang w:val="en-US" w:eastAsia="en-US"/>
        </w:rPr>
        <w:tab/>
        <w:t>Chapter 9;</w:t>
      </w:r>
    </w:p>
    <w:p w:rsidR="00DE2419" w:rsidRPr="004B606C" w:rsidRDefault="00DE2419" w:rsidP="00DE2419">
      <w:pPr>
        <w:pStyle w:val="ESlet"/>
        <w:rPr>
          <w:rFonts w:eastAsia="Calibri" w:cs="Arial"/>
          <w:szCs w:val="18"/>
          <w:lang w:val="en-US" w:eastAsia="en-US"/>
        </w:rPr>
      </w:pPr>
      <w:r w:rsidRPr="004B606C">
        <w:rPr>
          <w:rFonts w:eastAsia="Calibri"/>
          <w:noProof/>
          <w:lang w:val="en-US" w:eastAsia="en-US"/>
        </w:rPr>
        <w:t>g)</w:t>
      </w:r>
      <w:r w:rsidRPr="004B606C">
        <w:rPr>
          <w:rFonts w:eastAsia="Calibri"/>
          <w:noProof/>
          <w:lang w:val="en-US" w:eastAsia="en-US"/>
        </w:rPr>
        <w:tab/>
        <w:t>from Chapter 10:</w:t>
      </w:r>
    </w:p>
    <w:p w:rsidR="00DE2419" w:rsidRPr="004B606C" w:rsidRDefault="00DE2419" w:rsidP="00DE2419">
      <w:pPr>
        <w:pStyle w:val="ESletpar"/>
        <w:rPr>
          <w:rFonts w:eastAsia="Calibri" w:cs="Arial"/>
          <w:szCs w:val="18"/>
        </w:rPr>
      </w:pPr>
      <w:r w:rsidRPr="004B606C">
        <w:rPr>
          <w:rFonts w:eastAsia="Calibri"/>
          <w:noProof/>
          <w:lang w:val="fr-BE"/>
        </w:rPr>
        <w:t xml:space="preserve">Article 10.01(1), </w:t>
      </w:r>
      <w:r w:rsidRPr="004B606C">
        <w:rPr>
          <w:rFonts w:eastAsia="Calibri"/>
          <w:i/>
          <w:noProof/>
          <w:lang w:val="fr-BE"/>
        </w:rPr>
        <w:t>mutatis mutandis</w:t>
      </w:r>
      <w:r w:rsidRPr="004B606C">
        <w:rPr>
          <w:rFonts w:eastAsia="Calibri"/>
          <w:noProof/>
          <w:lang w:val="fr-BE"/>
        </w:rPr>
        <w:t>;</w:t>
      </w:r>
    </w:p>
    <w:p w:rsidR="00DE2419" w:rsidRPr="004B606C" w:rsidRDefault="00DE2419" w:rsidP="00DE2419">
      <w:pPr>
        <w:pStyle w:val="ESlet"/>
        <w:rPr>
          <w:rFonts w:eastAsia="Calibri" w:cs="Arial"/>
          <w:szCs w:val="18"/>
          <w:lang w:eastAsia="en-US"/>
        </w:rPr>
      </w:pPr>
      <w:r w:rsidRPr="004B606C">
        <w:rPr>
          <w:rFonts w:eastAsia="Calibri"/>
          <w:noProof/>
          <w:lang w:eastAsia="en-US"/>
        </w:rPr>
        <w:t>h)</w:t>
      </w:r>
      <w:r w:rsidRPr="004B606C">
        <w:rPr>
          <w:rFonts w:eastAsia="Calibri"/>
          <w:noProof/>
          <w:lang w:eastAsia="en-US"/>
        </w:rPr>
        <w:tab/>
        <w:t>from Chapter 13:</w:t>
      </w:r>
    </w:p>
    <w:p w:rsidR="00DE2419" w:rsidRPr="004B606C" w:rsidRDefault="00DE2419" w:rsidP="00DE2419">
      <w:pPr>
        <w:pStyle w:val="ESletpar"/>
        <w:rPr>
          <w:rFonts w:eastAsia="Calibri" w:cs="Arial"/>
          <w:szCs w:val="18"/>
          <w:lang w:val="en-US"/>
        </w:rPr>
      </w:pPr>
      <w:r w:rsidRPr="004B606C">
        <w:rPr>
          <w:rFonts w:eastAsia="Calibri"/>
          <w:noProof/>
          <w:lang w:val="en-US"/>
        </w:rPr>
        <w:t xml:space="preserve">Article 13.01(2), (3) and (5) to (14), Article 13.02(1)(a) to (c), and (3)(a) and (e) to </w:t>
      </w:r>
      <w:r w:rsidR="00293D2C">
        <w:rPr>
          <w:rFonts w:eastAsia="Calibri"/>
          <w:noProof/>
          <w:lang w:val="en-US"/>
        </w:rPr>
        <w:t>(</w:t>
      </w:r>
      <w:r w:rsidRPr="004B606C">
        <w:rPr>
          <w:rFonts w:eastAsia="Calibri"/>
          <w:noProof/>
          <w:lang w:val="en-US"/>
        </w:rPr>
        <w:t>h), Article 13.03(1)(a), (b) and (d): however, there shall be at least two fire extinguishers on board; Article 13.03(2) to (6), Article 13.04, Articles 13.05, 13.07, and 13.08;</w:t>
      </w:r>
    </w:p>
    <w:p w:rsidR="00DE2419" w:rsidRPr="004B606C" w:rsidRDefault="00DE2419" w:rsidP="00DE2419">
      <w:pPr>
        <w:pStyle w:val="ESlet"/>
        <w:rPr>
          <w:rFonts w:eastAsia="Calibri" w:cs="Arial"/>
          <w:szCs w:val="18"/>
          <w:lang w:val="en-US" w:eastAsia="en-US"/>
        </w:rPr>
      </w:pPr>
      <w:r w:rsidRPr="004B606C">
        <w:rPr>
          <w:rFonts w:eastAsia="Calibri"/>
          <w:noProof/>
          <w:lang w:val="en-US" w:eastAsia="en-US"/>
        </w:rPr>
        <w:t>i)</w:t>
      </w:r>
      <w:r w:rsidRPr="004B606C">
        <w:rPr>
          <w:rFonts w:eastAsia="Calibri"/>
          <w:noProof/>
          <w:lang w:val="en-US" w:eastAsia="en-US"/>
        </w:rPr>
        <w:tab/>
        <w:t>Chapter 16;</w:t>
      </w:r>
    </w:p>
    <w:p w:rsidR="00DE2419" w:rsidRPr="004B606C" w:rsidRDefault="00DE2419" w:rsidP="00DE2419">
      <w:pPr>
        <w:pStyle w:val="ESlet"/>
        <w:rPr>
          <w:rFonts w:eastAsia="Calibri" w:cs="Arial"/>
          <w:szCs w:val="18"/>
          <w:lang w:val="en-US" w:eastAsia="en-US"/>
        </w:rPr>
      </w:pPr>
      <w:r w:rsidRPr="004B606C">
        <w:rPr>
          <w:rFonts w:eastAsia="Calibri"/>
          <w:noProof/>
          <w:lang w:val="en-US" w:eastAsia="en-US"/>
        </w:rPr>
        <w:t>j)</w:t>
      </w:r>
      <w:r w:rsidRPr="004B606C">
        <w:rPr>
          <w:rFonts w:eastAsia="Calibri"/>
          <w:noProof/>
          <w:lang w:val="en-US" w:eastAsia="en-US"/>
        </w:rPr>
        <w:tab/>
        <w:t>Chapter 17.</w:t>
      </w:r>
    </w:p>
    <w:p w:rsidR="00BF049A" w:rsidRPr="00C903F8" w:rsidRDefault="00BF049A" w:rsidP="00BF049A">
      <w:pPr>
        <w:pStyle w:val="ESch"/>
        <w:rPr>
          <w:rFonts w:eastAsia="Calibri"/>
          <w:noProof/>
          <w:lang w:val="en-US" w:eastAsia="en-US"/>
        </w:rPr>
      </w:pPr>
    </w:p>
    <w:p w:rsidR="00BF049A" w:rsidRPr="00C903F8" w:rsidRDefault="00BF049A" w:rsidP="00BF049A">
      <w:pPr>
        <w:pStyle w:val="ESch"/>
        <w:rPr>
          <w:rFonts w:eastAsia="Calibri" w:cs="Arial"/>
          <w:szCs w:val="18"/>
          <w:lang w:val="en-US" w:eastAsia="en-US"/>
        </w:rPr>
      </w:pPr>
      <w:r w:rsidRPr="00C903F8">
        <w:rPr>
          <w:rFonts w:eastAsia="Calibri"/>
          <w:noProof/>
          <w:lang w:val="en-US" w:eastAsia="en-US"/>
        </w:rPr>
        <w:t>2.</w:t>
      </w:r>
      <w:r w:rsidRPr="00C903F8">
        <w:rPr>
          <w:rFonts w:eastAsia="Calibri"/>
          <w:noProof/>
          <w:lang w:val="en-US" w:eastAsia="en-US"/>
        </w:rPr>
        <w:tab/>
        <w:t>For recreational craft</w:t>
      </w:r>
      <w:r w:rsidR="00086CF5">
        <w:rPr>
          <w:rFonts w:eastAsia="Calibri"/>
          <w:noProof/>
          <w:lang w:val="en-US" w:eastAsia="en-US"/>
        </w:rPr>
        <w:t xml:space="preserve"> subject to Directive 2013/53/EU</w:t>
      </w:r>
      <w:r w:rsidR="00A867CE" w:rsidRPr="00C903F8">
        <w:rPr>
          <w:rStyle w:val="FootnoteReference"/>
          <w:rFonts w:eastAsia="Calibri"/>
          <w:noProof/>
          <w:lang w:val="en-US" w:eastAsia="en-US"/>
        </w:rPr>
        <w:footnoteReference w:id="22"/>
      </w:r>
      <w:r w:rsidRPr="00C903F8">
        <w:rPr>
          <w:rFonts w:eastAsia="Calibri"/>
          <w:noProof/>
          <w:lang w:val="en-US" w:eastAsia="en-US"/>
        </w:rPr>
        <w:t>, initial inspection and periodical inspections only extend to:</w:t>
      </w:r>
    </w:p>
    <w:p w:rsidR="00BF049A" w:rsidRPr="00C903F8" w:rsidRDefault="005C7859" w:rsidP="00BF049A">
      <w:pPr>
        <w:pStyle w:val="ESlet"/>
        <w:rPr>
          <w:rFonts w:eastAsia="Calibri" w:cs="Arial"/>
          <w:szCs w:val="18"/>
          <w:lang w:val="en-US" w:eastAsia="en-US"/>
        </w:rPr>
      </w:pPr>
      <w:r w:rsidRPr="00C903F8">
        <w:rPr>
          <w:rFonts w:eastAsia="Calibri"/>
          <w:noProof/>
          <w:lang w:val="en-US" w:eastAsia="en-US"/>
        </w:rPr>
        <w:t>a)</w:t>
      </w:r>
      <w:r w:rsidR="00BF049A" w:rsidRPr="00C903F8">
        <w:rPr>
          <w:rFonts w:eastAsia="Calibri"/>
          <w:noProof/>
          <w:lang w:val="en-US" w:eastAsia="en-US"/>
        </w:rPr>
        <w:tab/>
        <w:t xml:space="preserve">Article 6.08, if there is a rate-of-turn </w:t>
      </w:r>
      <w:r w:rsidR="005739AB" w:rsidRPr="00C903F8">
        <w:rPr>
          <w:rFonts w:eastAsia="Calibri"/>
          <w:noProof/>
          <w:lang w:val="en-US" w:eastAsia="en-US"/>
        </w:rPr>
        <w:t>regulator</w:t>
      </w:r>
      <w:r w:rsidR="00BF049A" w:rsidRPr="00C903F8">
        <w:rPr>
          <w:rFonts w:eastAsia="Calibri"/>
          <w:noProof/>
          <w:lang w:val="en-US" w:eastAsia="en-US"/>
        </w:rPr>
        <w:t>;</w:t>
      </w:r>
    </w:p>
    <w:p w:rsidR="00BF049A" w:rsidRPr="00C903F8" w:rsidRDefault="005C7859" w:rsidP="00BF049A">
      <w:pPr>
        <w:pStyle w:val="ESlet"/>
        <w:rPr>
          <w:rFonts w:eastAsia="Calibri" w:cs="Arial"/>
          <w:szCs w:val="18"/>
          <w:lang w:val="en-US" w:eastAsia="en-US"/>
        </w:rPr>
      </w:pPr>
      <w:r w:rsidRPr="00C903F8">
        <w:rPr>
          <w:rFonts w:eastAsia="Calibri"/>
          <w:noProof/>
          <w:lang w:val="en-US" w:eastAsia="en-US"/>
        </w:rPr>
        <w:t>b)</w:t>
      </w:r>
      <w:r w:rsidR="00BF049A" w:rsidRPr="00C903F8">
        <w:rPr>
          <w:rFonts w:eastAsia="Calibri"/>
          <w:noProof/>
          <w:lang w:val="en-US" w:eastAsia="en-US"/>
        </w:rPr>
        <w:tab/>
        <w:t>Article 7.01(2), Article 7.02, Article 7.03(1), and Article 7.13, if there is a wheelhouse designed for radar navigation by one person;</w:t>
      </w:r>
    </w:p>
    <w:p w:rsidR="00BF049A" w:rsidRPr="00C903F8" w:rsidRDefault="005C7859" w:rsidP="00BF049A">
      <w:pPr>
        <w:pStyle w:val="ESlet"/>
        <w:rPr>
          <w:rFonts w:eastAsia="Calibri" w:cs="Arial"/>
          <w:szCs w:val="18"/>
          <w:lang w:eastAsia="en-US"/>
        </w:rPr>
      </w:pPr>
      <w:r w:rsidRPr="00C903F8">
        <w:rPr>
          <w:rFonts w:eastAsia="Calibri"/>
          <w:noProof/>
          <w:lang w:val="fr-BE" w:eastAsia="en-US"/>
        </w:rPr>
        <w:t>c)</w:t>
      </w:r>
      <w:r w:rsidR="00BF049A" w:rsidRPr="00C903F8">
        <w:rPr>
          <w:rFonts w:eastAsia="Calibri"/>
          <w:noProof/>
          <w:lang w:val="fr-BE" w:eastAsia="en-US"/>
        </w:rPr>
        <w:tab/>
        <w:t>Article 8.01(2), Article 8.02(1), Article 8.03(3), Article 8.05(5), Article 8.08(2), and Article 8.10;</w:t>
      </w:r>
    </w:p>
    <w:p w:rsidR="00BF049A" w:rsidRPr="00C903F8" w:rsidRDefault="00BF049A" w:rsidP="00BF049A">
      <w:pPr>
        <w:pStyle w:val="ESlet"/>
        <w:rPr>
          <w:rFonts w:eastAsia="Calibri"/>
          <w:noProof/>
          <w:lang w:eastAsia="en-US"/>
        </w:rPr>
      </w:pPr>
    </w:p>
    <w:p w:rsidR="00BF049A" w:rsidRPr="00C903F8" w:rsidRDefault="00BF049A" w:rsidP="00BF049A">
      <w:pPr>
        <w:pStyle w:val="ESlet"/>
        <w:rPr>
          <w:rFonts w:eastAsia="Calibri"/>
          <w:noProof/>
          <w:lang w:eastAsia="en-US"/>
        </w:rPr>
      </w:pPr>
      <w:r w:rsidRPr="00C903F8">
        <w:rPr>
          <w:rFonts w:eastAsia="Calibri"/>
          <w:noProof/>
          <w:lang w:eastAsia="en-US"/>
        </w:rPr>
        <w:br w:type="page"/>
      </w:r>
    </w:p>
    <w:p w:rsidR="00BF049A" w:rsidRPr="00C903F8" w:rsidRDefault="0029453D" w:rsidP="00BF049A">
      <w:pPr>
        <w:pStyle w:val="ESlet"/>
        <w:rPr>
          <w:rFonts w:eastAsia="Calibri" w:cs="Arial"/>
          <w:szCs w:val="18"/>
          <w:lang w:val="en-US" w:eastAsia="en-US"/>
        </w:rPr>
      </w:pPr>
      <w:r w:rsidRPr="00C903F8">
        <w:rPr>
          <w:rFonts w:eastAsia="Calibri"/>
          <w:noProof/>
          <w:lang w:val="en-US" w:eastAsia="en-US"/>
        </w:rPr>
        <w:lastRenderedPageBreak/>
        <w:t>d)</w:t>
      </w:r>
      <w:r w:rsidR="00BF049A" w:rsidRPr="00C903F8">
        <w:rPr>
          <w:rFonts w:eastAsia="Calibri"/>
          <w:noProof/>
          <w:lang w:val="en-US" w:eastAsia="en-US"/>
        </w:rPr>
        <w:tab/>
        <w:t xml:space="preserve">Article 13.01(2), (3), (6) and (14), Article 13.02(1)(b) and (c), (3)(a) and (e) to </w:t>
      </w:r>
      <w:r w:rsidR="005A3B52" w:rsidRPr="00C903F8">
        <w:rPr>
          <w:rFonts w:eastAsia="Calibri"/>
          <w:noProof/>
          <w:lang w:val="en-US" w:eastAsia="en-US"/>
        </w:rPr>
        <w:t>(</w:t>
      </w:r>
      <w:r w:rsidRPr="00C903F8">
        <w:rPr>
          <w:rFonts w:eastAsia="Calibri"/>
          <w:noProof/>
          <w:lang w:val="en-US" w:eastAsia="en-US"/>
        </w:rPr>
        <w:t>h)</w:t>
      </w:r>
      <w:r w:rsidR="00BF049A" w:rsidRPr="00C903F8">
        <w:rPr>
          <w:rFonts w:eastAsia="Calibri"/>
          <w:noProof/>
          <w:lang w:val="en-US" w:eastAsia="en-US"/>
        </w:rPr>
        <w:t>, Article</w:t>
      </w:r>
      <w:r w:rsidR="001B3D1D">
        <w:rPr>
          <w:rFonts w:eastAsia="Calibri"/>
          <w:noProof/>
          <w:lang w:val="en-US" w:eastAsia="en-US"/>
        </w:rPr>
        <w:t> </w:t>
      </w:r>
      <w:r w:rsidR="00BF049A" w:rsidRPr="00C903F8">
        <w:rPr>
          <w:rFonts w:eastAsia="Calibri"/>
          <w:noProof/>
          <w:lang w:val="en-US" w:eastAsia="en-US"/>
        </w:rPr>
        <w:t>13.03(1)(b) and (d) and (2) to (6), and Article 13.0</w:t>
      </w:r>
      <w:r w:rsidR="00E852A7" w:rsidRPr="00C903F8">
        <w:rPr>
          <w:rFonts w:eastAsia="Calibri"/>
          <w:noProof/>
          <w:lang w:val="en-US" w:eastAsia="en-US"/>
        </w:rPr>
        <w:t>8</w:t>
      </w:r>
      <w:r w:rsidR="00BF049A" w:rsidRPr="00C903F8">
        <w:rPr>
          <w:rFonts w:eastAsia="Calibri"/>
          <w:noProof/>
          <w:lang w:val="en-US" w:eastAsia="en-US"/>
        </w:rPr>
        <w:t>;</w:t>
      </w:r>
    </w:p>
    <w:p w:rsidR="00BF049A" w:rsidRPr="00C903F8" w:rsidRDefault="0029453D" w:rsidP="00BF049A">
      <w:pPr>
        <w:pStyle w:val="ESlet"/>
        <w:rPr>
          <w:rFonts w:eastAsia="Calibri" w:cs="Arial"/>
          <w:szCs w:val="18"/>
          <w:lang w:val="en-US" w:eastAsia="en-US"/>
        </w:rPr>
      </w:pPr>
      <w:r w:rsidRPr="00C903F8">
        <w:rPr>
          <w:rFonts w:eastAsia="Calibri"/>
          <w:noProof/>
          <w:lang w:val="en-US" w:eastAsia="en-US"/>
        </w:rPr>
        <w:t>e)</w:t>
      </w:r>
      <w:r w:rsidR="00BF049A" w:rsidRPr="00C903F8">
        <w:rPr>
          <w:rFonts w:eastAsia="Calibri"/>
          <w:noProof/>
          <w:lang w:val="en-US" w:eastAsia="en-US"/>
        </w:rPr>
        <w:tab/>
        <w:t>Chapter 16;</w:t>
      </w:r>
    </w:p>
    <w:p w:rsidR="00BF049A" w:rsidRPr="00C903F8" w:rsidRDefault="0029453D" w:rsidP="00BF049A">
      <w:pPr>
        <w:pStyle w:val="ESlet"/>
        <w:rPr>
          <w:rFonts w:eastAsia="Calibri" w:cs="Arial"/>
          <w:szCs w:val="18"/>
          <w:lang w:val="en-US" w:eastAsia="en-US"/>
        </w:rPr>
      </w:pPr>
      <w:r w:rsidRPr="00C903F8">
        <w:rPr>
          <w:rFonts w:eastAsia="Calibri"/>
          <w:noProof/>
          <w:lang w:val="en-US" w:eastAsia="en-US"/>
        </w:rPr>
        <w:t>f)</w:t>
      </w:r>
      <w:r w:rsidR="00BF049A" w:rsidRPr="00C903F8">
        <w:rPr>
          <w:rFonts w:eastAsia="Calibri"/>
          <w:noProof/>
          <w:lang w:val="en-US" w:eastAsia="en-US"/>
        </w:rPr>
        <w:tab/>
        <w:t>from Chapter 17:</w:t>
      </w:r>
    </w:p>
    <w:p w:rsidR="00BF049A" w:rsidRPr="00C903F8" w:rsidRDefault="0029453D" w:rsidP="00BF049A">
      <w:pPr>
        <w:pStyle w:val="EStiret"/>
        <w:rPr>
          <w:rFonts w:eastAsia="Calibri" w:cs="Arial"/>
          <w:szCs w:val="18"/>
          <w:lang w:val="en-US" w:eastAsia="en-US"/>
        </w:rPr>
      </w:pPr>
      <w:r w:rsidRPr="00C903F8">
        <w:rPr>
          <w:rFonts w:eastAsia="Calibri"/>
          <w:lang w:val="en-US" w:eastAsia="en-US"/>
        </w:rPr>
        <w:t>aa)</w:t>
      </w:r>
      <w:r w:rsidR="00BF049A" w:rsidRPr="00C903F8">
        <w:rPr>
          <w:rFonts w:eastAsia="Calibri"/>
          <w:lang w:val="en-US" w:eastAsia="en-US"/>
        </w:rPr>
        <w:tab/>
        <w:t>Article 17.12;</w:t>
      </w:r>
    </w:p>
    <w:p w:rsidR="00BF049A" w:rsidRPr="00C903F8" w:rsidRDefault="0029453D" w:rsidP="00BF049A">
      <w:pPr>
        <w:pStyle w:val="EStiret"/>
        <w:rPr>
          <w:rFonts w:eastAsia="Calibri" w:cs="Arial"/>
          <w:szCs w:val="18"/>
          <w:lang w:val="en-US" w:eastAsia="en-US"/>
        </w:rPr>
      </w:pPr>
      <w:r w:rsidRPr="00C903F8">
        <w:rPr>
          <w:rFonts w:eastAsia="Calibri"/>
          <w:lang w:val="en-US" w:eastAsia="en-US"/>
        </w:rPr>
        <w:t>bb)</w:t>
      </w:r>
      <w:r w:rsidR="00BF049A" w:rsidRPr="00C903F8">
        <w:rPr>
          <w:rFonts w:eastAsia="Calibri"/>
          <w:lang w:val="en-US" w:eastAsia="en-US"/>
        </w:rPr>
        <w:tab/>
        <w:t>Article 17.13; the acceptance test after putting into service of the liquefied gas installation shall be carried out in accordance with the requ</w:t>
      </w:r>
      <w:r w:rsidR="00086CF5">
        <w:rPr>
          <w:rFonts w:eastAsia="Calibri"/>
          <w:lang w:val="en-US" w:eastAsia="en-US"/>
        </w:rPr>
        <w:t>irements of Directive 2013/53/EU</w:t>
      </w:r>
      <w:r w:rsidR="00BF049A" w:rsidRPr="00C903F8">
        <w:rPr>
          <w:rFonts w:eastAsia="Calibri"/>
          <w:lang w:val="en-US" w:eastAsia="en-US"/>
        </w:rPr>
        <w:t xml:space="preserve">, and an </w:t>
      </w:r>
      <w:r w:rsidR="005A3B52" w:rsidRPr="00C903F8">
        <w:rPr>
          <w:rFonts w:eastAsia="Calibri"/>
          <w:lang w:val="en-US" w:eastAsia="en-US"/>
        </w:rPr>
        <w:t>inspection attestation</w:t>
      </w:r>
      <w:r w:rsidR="00BF049A" w:rsidRPr="00C903F8">
        <w:rPr>
          <w:rFonts w:eastAsia="Calibri"/>
          <w:lang w:val="en-US" w:eastAsia="en-US"/>
        </w:rPr>
        <w:t xml:space="preserve"> shall be submitted to the inspection body;</w:t>
      </w:r>
    </w:p>
    <w:p w:rsidR="00BF049A" w:rsidRPr="00C903F8" w:rsidRDefault="0029453D" w:rsidP="00BF049A">
      <w:pPr>
        <w:pStyle w:val="EStiret"/>
        <w:rPr>
          <w:rFonts w:eastAsia="Calibri" w:cs="Arial"/>
          <w:szCs w:val="18"/>
          <w:lang w:val="en-US" w:eastAsia="en-US"/>
        </w:rPr>
      </w:pPr>
      <w:r w:rsidRPr="00C903F8">
        <w:rPr>
          <w:rFonts w:eastAsia="Calibri"/>
          <w:lang w:val="en-US" w:eastAsia="en-US"/>
        </w:rPr>
        <w:t>cc)</w:t>
      </w:r>
      <w:r w:rsidR="00BF049A" w:rsidRPr="00C903F8">
        <w:rPr>
          <w:rFonts w:eastAsia="Calibri"/>
          <w:lang w:val="en-US" w:eastAsia="en-US"/>
        </w:rPr>
        <w:tab/>
        <w:t>Articles 17.14 and 17.15; the liquefied gas installation shall be in accordance with the requ</w:t>
      </w:r>
      <w:r w:rsidR="00086CF5">
        <w:rPr>
          <w:rFonts w:eastAsia="Calibri"/>
          <w:lang w:val="en-US" w:eastAsia="en-US"/>
        </w:rPr>
        <w:t>irements of Directive 2013/53/EU</w:t>
      </w:r>
      <w:r w:rsidR="00BF049A" w:rsidRPr="00C903F8">
        <w:rPr>
          <w:rFonts w:eastAsia="Calibri"/>
          <w:lang w:val="en-US" w:eastAsia="en-US"/>
        </w:rPr>
        <w:t>;</w:t>
      </w:r>
    </w:p>
    <w:p w:rsidR="00BF049A" w:rsidRPr="00C903F8" w:rsidRDefault="00BF049A" w:rsidP="00BF049A">
      <w:pPr>
        <w:pStyle w:val="EStiret"/>
        <w:rPr>
          <w:rFonts w:eastAsia="Calibri" w:cs="Arial"/>
          <w:szCs w:val="18"/>
          <w:lang w:val="en-US" w:eastAsia="en-US"/>
        </w:rPr>
      </w:pPr>
      <w:r w:rsidRPr="00C903F8">
        <w:rPr>
          <w:rFonts w:eastAsia="Calibri"/>
          <w:lang w:val="en-US" w:eastAsia="en-US"/>
        </w:rPr>
        <w:t>dd)</w:t>
      </w:r>
      <w:r w:rsidRPr="00C903F8">
        <w:rPr>
          <w:rFonts w:eastAsia="Calibri"/>
          <w:lang w:val="en-US" w:eastAsia="en-US"/>
        </w:rPr>
        <w:tab/>
        <w:t>Chapter 17 entirely, if the liquefied gas installation is fitted after placing on the market of the recreational craft.</w:t>
      </w:r>
    </w:p>
    <w:p w:rsidR="00BF049A" w:rsidRPr="00C903F8" w:rsidRDefault="00BF049A" w:rsidP="00BF049A">
      <w:pPr>
        <w:pStyle w:val="EStiret"/>
        <w:rPr>
          <w:rFonts w:eastAsia="Calibri" w:cs="Arial"/>
          <w:szCs w:val="18"/>
          <w:lang w:val="en-US" w:eastAsia="en-US"/>
        </w:rPr>
      </w:pPr>
    </w:p>
    <w:p w:rsidR="00BF049A" w:rsidRPr="00C903F8" w:rsidRDefault="00BF049A" w:rsidP="00973DAA">
      <w:pPr>
        <w:pStyle w:val="ESch"/>
        <w:rPr>
          <w:lang w:val="en-US"/>
        </w:rPr>
      </w:pPr>
    </w:p>
    <w:p w:rsidR="00BF049A" w:rsidRPr="00C903F8" w:rsidRDefault="00BF049A" w:rsidP="00973DAA">
      <w:pPr>
        <w:pStyle w:val="ESch"/>
        <w:rPr>
          <w:lang w:val="en-US"/>
        </w:rPr>
      </w:pPr>
    </w:p>
    <w:p w:rsidR="00BF049A" w:rsidRPr="00C903F8" w:rsidRDefault="00BF049A" w:rsidP="00BF049A">
      <w:pPr>
        <w:pStyle w:val="ES-Titre2"/>
        <w:rPr>
          <w:szCs w:val="24"/>
        </w:rPr>
      </w:pPr>
      <w:bookmarkStart w:id="250" w:name="_Toc491854238"/>
      <w:r w:rsidRPr="00C903F8">
        <w:lastRenderedPageBreak/>
        <w:t>Chapter 27</w:t>
      </w:r>
      <w:r w:rsidRPr="00C903F8">
        <w:br/>
      </w:r>
      <w:r w:rsidR="00A56366" w:rsidRPr="00C903F8">
        <w:rPr>
          <w:noProof/>
          <w:sz w:val="22"/>
          <w:szCs w:val="22"/>
        </w:rPr>
        <w:t>S</w:t>
      </w:r>
      <w:r w:rsidRPr="00C903F8">
        <w:rPr>
          <w:noProof/>
          <w:sz w:val="22"/>
          <w:szCs w:val="22"/>
        </w:rPr>
        <w:t>pecial provisions applicable to vessels carrying containers</w:t>
      </w:r>
      <w:bookmarkEnd w:id="250"/>
    </w:p>
    <w:p w:rsidR="00BF049A" w:rsidRPr="00C903F8" w:rsidRDefault="00BF049A" w:rsidP="00BF049A">
      <w:pPr>
        <w:rPr>
          <w:lang w:val="en-US" w:eastAsia="en-US"/>
        </w:rPr>
      </w:pPr>
    </w:p>
    <w:p w:rsidR="00BF049A" w:rsidRPr="00C903F8" w:rsidRDefault="00BF049A" w:rsidP="00BF049A">
      <w:pPr>
        <w:pStyle w:val="ES-Titre3"/>
        <w:rPr>
          <w:lang w:val="en-US"/>
        </w:rPr>
      </w:pPr>
      <w:bookmarkStart w:id="251" w:name="_Toc491854239"/>
      <w:r w:rsidRPr="00C903F8">
        <w:rPr>
          <w:noProof/>
          <w:lang w:val="en-US"/>
        </w:rPr>
        <w:t>Article 27.01</w:t>
      </w:r>
      <w:r w:rsidRPr="00C903F8">
        <w:rPr>
          <w:noProof/>
          <w:lang w:val="en-US"/>
        </w:rPr>
        <w:br/>
      </w:r>
      <w:r w:rsidRPr="00C903F8">
        <w:rPr>
          <w:bCs/>
          <w:i/>
          <w:noProof/>
          <w:lang w:val="en-US"/>
        </w:rPr>
        <w:t>General</w:t>
      </w:r>
      <w:bookmarkEnd w:id="251"/>
    </w:p>
    <w:p w:rsidR="00BF049A" w:rsidRPr="00C903F8" w:rsidRDefault="00BF049A" w:rsidP="00BF049A">
      <w:pPr>
        <w:pStyle w:val="ESch"/>
        <w:rPr>
          <w:noProof/>
          <w:lang w:val="en-US"/>
        </w:rPr>
      </w:pPr>
    </w:p>
    <w:p w:rsidR="00BF049A" w:rsidRPr="00C903F8" w:rsidRDefault="00BF049A" w:rsidP="00BF049A">
      <w:pPr>
        <w:pStyle w:val="ESch"/>
        <w:rPr>
          <w:rFonts w:cs="Arial"/>
          <w:szCs w:val="18"/>
          <w:lang w:val="en-US" w:eastAsia="en-US"/>
        </w:rPr>
      </w:pPr>
      <w:r w:rsidRPr="00C903F8">
        <w:rPr>
          <w:noProof/>
          <w:lang w:val="en-GB" w:eastAsia="en-US"/>
        </w:rPr>
        <w:t xml:space="preserve">1. </w:t>
      </w:r>
      <w:r w:rsidRPr="00C903F8">
        <w:rPr>
          <w:noProof/>
          <w:lang w:val="en-GB" w:eastAsia="en-US"/>
        </w:rPr>
        <w:tab/>
        <w:t xml:space="preserve">The provisions of this Chapter shall apply to vessels carrying containers where stability documents are required </w:t>
      </w:r>
      <w:r w:rsidR="00305C85" w:rsidRPr="00C903F8">
        <w:rPr>
          <w:lang w:val="en-US" w:eastAsia="en-US"/>
        </w:rPr>
        <w:t>in accordance with applicable navigational authority regulations of the Member States</w:t>
      </w:r>
    </w:p>
    <w:p w:rsidR="00BF049A" w:rsidRPr="00C903F8" w:rsidRDefault="00BF049A" w:rsidP="00BF049A">
      <w:pPr>
        <w:pStyle w:val="ESch"/>
        <w:rPr>
          <w:noProof/>
          <w:lang w:val="en-GB" w:eastAsia="en-US"/>
        </w:rPr>
      </w:pPr>
    </w:p>
    <w:p w:rsidR="00BF049A" w:rsidRPr="00C903F8" w:rsidRDefault="00BF049A" w:rsidP="00BF049A">
      <w:pPr>
        <w:pStyle w:val="ESchpar"/>
        <w:rPr>
          <w:rFonts w:cs="Arial"/>
          <w:szCs w:val="18"/>
          <w:lang w:val="en-US" w:eastAsia="en-US"/>
        </w:rPr>
      </w:pPr>
      <w:r w:rsidRPr="00C903F8">
        <w:rPr>
          <w:noProof/>
          <w:lang w:val="en-GB" w:eastAsia="en-US"/>
        </w:rPr>
        <w:t>Stability documents shall be checked, or submitted elsewhere for checking, and duly stamped by an inspection body.</w:t>
      </w:r>
    </w:p>
    <w:p w:rsidR="00BF049A" w:rsidRPr="00C903F8" w:rsidRDefault="00BF049A" w:rsidP="00BF049A">
      <w:pPr>
        <w:pStyle w:val="ESch"/>
        <w:rPr>
          <w:noProof/>
          <w:lang w:val="en-GB" w:eastAsia="en-US"/>
        </w:rPr>
      </w:pPr>
    </w:p>
    <w:p w:rsidR="00BF049A" w:rsidRPr="00C903F8" w:rsidRDefault="00BF049A" w:rsidP="00BF049A">
      <w:pPr>
        <w:pStyle w:val="ESch"/>
        <w:rPr>
          <w:rFonts w:cs="Arial"/>
          <w:szCs w:val="18"/>
          <w:lang w:val="en-US" w:eastAsia="en-US"/>
        </w:rPr>
      </w:pPr>
      <w:r w:rsidRPr="00C903F8">
        <w:rPr>
          <w:noProof/>
          <w:lang w:val="en-GB" w:eastAsia="en-US"/>
        </w:rPr>
        <w:t xml:space="preserve">2. </w:t>
      </w:r>
      <w:r w:rsidRPr="00C903F8">
        <w:rPr>
          <w:noProof/>
          <w:lang w:val="en-GB" w:eastAsia="en-US"/>
        </w:rPr>
        <w:tab/>
        <w:t>Stability documents shall provide the boatmaster with comprehensible information on vessel stability for each loading condition.</w:t>
      </w:r>
    </w:p>
    <w:p w:rsidR="00BF049A" w:rsidRPr="00C903F8" w:rsidRDefault="00BF049A" w:rsidP="00BF049A">
      <w:pPr>
        <w:pStyle w:val="ESch"/>
        <w:rPr>
          <w:noProof/>
          <w:lang w:val="en-GB" w:eastAsia="en-US"/>
        </w:rPr>
      </w:pPr>
    </w:p>
    <w:p w:rsidR="00BF049A" w:rsidRPr="00C903F8" w:rsidRDefault="00BF049A" w:rsidP="00BF049A">
      <w:pPr>
        <w:pStyle w:val="ESchpar"/>
        <w:rPr>
          <w:rFonts w:cs="Arial"/>
          <w:szCs w:val="18"/>
          <w:lang w:val="en-US" w:eastAsia="en-US"/>
        </w:rPr>
      </w:pPr>
      <w:r w:rsidRPr="00C903F8">
        <w:rPr>
          <w:noProof/>
          <w:lang w:val="en-GB" w:eastAsia="en-US"/>
        </w:rPr>
        <w:t>Stability documents shall include at least the following:</w:t>
      </w:r>
    </w:p>
    <w:p w:rsidR="00BF049A" w:rsidRPr="00C903F8" w:rsidRDefault="005C7859" w:rsidP="00E370BE">
      <w:pPr>
        <w:pStyle w:val="ESlet"/>
        <w:rPr>
          <w:rFonts w:cs="Arial"/>
          <w:szCs w:val="18"/>
          <w:lang w:val="en-US" w:eastAsia="en-US"/>
        </w:rPr>
      </w:pPr>
      <w:r w:rsidRPr="00C903F8">
        <w:rPr>
          <w:noProof/>
          <w:lang w:val="en-GB" w:eastAsia="en-US"/>
        </w:rPr>
        <w:t>a)</w:t>
      </w:r>
      <w:r w:rsidR="00BF049A" w:rsidRPr="00C903F8">
        <w:rPr>
          <w:noProof/>
          <w:lang w:val="en-GB" w:eastAsia="en-US"/>
        </w:rPr>
        <w:tab/>
        <w:t>information on the permissible stability coefficients, the permissible</w:t>
      </w:r>
      <w:r w:rsidR="005833A6" w:rsidRPr="00C903F8">
        <w:rPr>
          <w:noProof/>
          <w:lang w:val="en-GB" w:eastAsia="en-US"/>
        </w:rPr>
        <w:t xml:space="preserve"> </w:t>
      </w:r>
      <m:oMath>
        <m:acc>
          <m:accPr>
            <m:chr m:val="̅"/>
            <m:ctrlPr>
              <w:rPr>
                <w:rFonts w:ascii="Cambria Math" w:hAnsi="Cambria Math"/>
                <w:i/>
                <w:noProof/>
                <w:lang w:val="en-GB" w:eastAsia="en-US"/>
              </w:rPr>
            </m:ctrlPr>
          </m:accPr>
          <m:e>
            <m:r>
              <w:rPr>
                <w:rFonts w:ascii="Cambria Math" w:hAnsi="Cambria Math"/>
                <w:noProof/>
                <w:lang w:val="en-GB" w:eastAsia="en-US"/>
              </w:rPr>
              <m:t>KG</m:t>
            </m:r>
          </m:e>
        </m:acc>
      </m:oMath>
      <w:r w:rsidR="00BF049A" w:rsidRPr="00C903F8">
        <w:rPr>
          <w:noProof/>
          <w:lang w:val="en-GB" w:eastAsia="en-US"/>
        </w:rPr>
        <w:t xml:space="preserve"> - values or the permissible heights for the centre of gravity of the cargo;</w:t>
      </w:r>
    </w:p>
    <w:p w:rsidR="00BF049A" w:rsidRPr="00C903F8" w:rsidRDefault="005C7859" w:rsidP="00E370BE">
      <w:pPr>
        <w:pStyle w:val="ESlet"/>
        <w:rPr>
          <w:rFonts w:cs="Arial"/>
          <w:szCs w:val="18"/>
          <w:lang w:val="en-US" w:eastAsia="en-US"/>
        </w:rPr>
      </w:pPr>
      <w:r w:rsidRPr="00C903F8">
        <w:rPr>
          <w:noProof/>
          <w:lang w:val="en-US" w:eastAsia="en-US"/>
        </w:rPr>
        <w:t>b)</w:t>
      </w:r>
      <w:r w:rsidR="00BF049A" w:rsidRPr="00C903F8">
        <w:rPr>
          <w:noProof/>
          <w:lang w:val="en-GB" w:eastAsia="en-US"/>
        </w:rPr>
        <w:tab/>
        <w:t>data concerning spaces that can be filled with ballast water;</w:t>
      </w:r>
    </w:p>
    <w:p w:rsidR="00BF049A" w:rsidRPr="00C903F8" w:rsidRDefault="005C7859" w:rsidP="00E370BE">
      <w:pPr>
        <w:pStyle w:val="ESlet"/>
        <w:rPr>
          <w:rFonts w:cs="Arial"/>
          <w:szCs w:val="18"/>
          <w:lang w:val="en-US" w:eastAsia="en-US"/>
        </w:rPr>
      </w:pPr>
      <w:r w:rsidRPr="00C903F8">
        <w:rPr>
          <w:noProof/>
          <w:lang w:val="en-US" w:eastAsia="en-US"/>
        </w:rPr>
        <w:t>c)</w:t>
      </w:r>
      <w:r w:rsidR="00BF049A" w:rsidRPr="00C903F8">
        <w:rPr>
          <w:noProof/>
          <w:lang w:val="en-GB" w:eastAsia="en-US"/>
        </w:rPr>
        <w:tab/>
        <w:t>forms for checking stability;</w:t>
      </w:r>
    </w:p>
    <w:p w:rsidR="00BF049A" w:rsidRPr="00C903F8" w:rsidRDefault="0029453D" w:rsidP="00E370BE">
      <w:pPr>
        <w:pStyle w:val="ESlet"/>
        <w:rPr>
          <w:rFonts w:cs="Arial"/>
          <w:szCs w:val="18"/>
          <w:lang w:val="en-US" w:eastAsia="en-US"/>
        </w:rPr>
      </w:pPr>
      <w:r w:rsidRPr="00C903F8">
        <w:rPr>
          <w:noProof/>
          <w:lang w:val="en-US" w:eastAsia="en-US"/>
        </w:rPr>
        <w:t>d)</w:t>
      </w:r>
      <w:r w:rsidR="00BF049A" w:rsidRPr="00C903F8">
        <w:rPr>
          <w:noProof/>
          <w:lang w:val="en-GB" w:eastAsia="en-US"/>
        </w:rPr>
        <w:tab/>
        <w:t>instructions for use or an example of a calculation for use by the boatmaster.</w:t>
      </w:r>
    </w:p>
    <w:p w:rsidR="00BF049A" w:rsidRPr="00C903F8" w:rsidRDefault="00BF049A" w:rsidP="00BF049A">
      <w:pPr>
        <w:pStyle w:val="ESch"/>
        <w:rPr>
          <w:noProof/>
          <w:lang w:val="en-GB" w:eastAsia="en-US"/>
        </w:rPr>
      </w:pPr>
    </w:p>
    <w:p w:rsidR="00BF049A" w:rsidRPr="00C903F8" w:rsidRDefault="00BF049A" w:rsidP="00BF049A">
      <w:pPr>
        <w:pStyle w:val="ESch"/>
        <w:rPr>
          <w:rFonts w:cs="Arial"/>
          <w:szCs w:val="18"/>
          <w:lang w:val="en-US" w:eastAsia="en-US"/>
        </w:rPr>
      </w:pPr>
      <w:r w:rsidRPr="00C903F8">
        <w:rPr>
          <w:noProof/>
          <w:lang w:val="en-GB" w:eastAsia="en-US"/>
        </w:rPr>
        <w:t xml:space="preserve">3. </w:t>
      </w:r>
      <w:r w:rsidRPr="00C903F8">
        <w:rPr>
          <w:noProof/>
          <w:lang w:val="en-GB" w:eastAsia="en-US"/>
        </w:rPr>
        <w:tab/>
        <w:t xml:space="preserve">For vessels where it is optional whether containers are carried non-secured or secured, separate calculation methods shall be </w:t>
      </w:r>
      <w:r w:rsidR="00305C85" w:rsidRPr="00C903F8">
        <w:rPr>
          <w:noProof/>
          <w:lang w:val="en-GB" w:eastAsia="en-US"/>
        </w:rPr>
        <w:t xml:space="preserve">applied </w:t>
      </w:r>
      <w:r w:rsidRPr="00C903F8">
        <w:rPr>
          <w:noProof/>
          <w:lang w:val="en-GB" w:eastAsia="en-US"/>
        </w:rPr>
        <w:t>for proof of stability both for transport of non-secured and secured cargoes of containers.</w:t>
      </w:r>
    </w:p>
    <w:p w:rsidR="00BF049A" w:rsidRPr="00C903F8" w:rsidRDefault="00BF049A" w:rsidP="00BF049A">
      <w:pPr>
        <w:pStyle w:val="ESch"/>
        <w:rPr>
          <w:noProof/>
          <w:lang w:val="en-GB" w:eastAsia="en-US"/>
        </w:rPr>
      </w:pPr>
    </w:p>
    <w:p w:rsidR="00BF049A" w:rsidRPr="00C903F8" w:rsidRDefault="00BF049A" w:rsidP="00BF049A">
      <w:pPr>
        <w:pStyle w:val="ESch"/>
        <w:rPr>
          <w:rFonts w:cs="Arial"/>
          <w:szCs w:val="18"/>
          <w:lang w:val="en-US" w:eastAsia="en-US"/>
        </w:rPr>
      </w:pPr>
      <w:r w:rsidRPr="00C903F8">
        <w:rPr>
          <w:noProof/>
          <w:lang w:val="en-GB" w:eastAsia="en-US"/>
        </w:rPr>
        <w:t>4.</w:t>
      </w:r>
      <w:r w:rsidRPr="00C903F8">
        <w:rPr>
          <w:noProof/>
          <w:lang w:val="en-GB" w:eastAsia="en-US"/>
        </w:rPr>
        <w:tab/>
        <w:t>A cargo of containers shall only be considered to be secured if each individual container is firmly attached to the hull of the vessel by means of container guides or securing equipment and its position cannot alter during the voyage.</w:t>
      </w:r>
    </w:p>
    <w:p w:rsidR="00BF049A" w:rsidRPr="00C903F8" w:rsidRDefault="00BF049A" w:rsidP="00BF049A">
      <w:pPr>
        <w:pStyle w:val="ESch"/>
        <w:rPr>
          <w:rFonts w:eastAsia="Calibri" w:cs="Arial"/>
          <w:szCs w:val="18"/>
          <w:lang w:val="en-US" w:eastAsia="en-US"/>
        </w:rPr>
      </w:pPr>
    </w:p>
    <w:p w:rsidR="00BF049A" w:rsidRPr="00C903F8" w:rsidRDefault="00BF049A" w:rsidP="00BF049A">
      <w:pPr>
        <w:pStyle w:val="ESch"/>
        <w:rPr>
          <w:rFonts w:eastAsia="Calibri" w:cs="Arial"/>
          <w:szCs w:val="18"/>
          <w:lang w:val="en-US" w:eastAsia="en-US"/>
        </w:rPr>
      </w:pPr>
    </w:p>
    <w:p w:rsidR="00BF049A" w:rsidRPr="00C903F8" w:rsidRDefault="00BF049A" w:rsidP="00BF049A">
      <w:pPr>
        <w:pStyle w:val="ES-Titre3"/>
        <w:rPr>
          <w:rFonts w:cs="Arial"/>
          <w:i/>
          <w:szCs w:val="18"/>
          <w:lang w:val="en-US"/>
        </w:rPr>
      </w:pPr>
      <w:bookmarkStart w:id="252" w:name="_Toc491854240"/>
      <w:r w:rsidRPr="00C903F8">
        <w:rPr>
          <w:rStyle w:val="ES-Titre3Car"/>
          <w:b/>
          <w:lang w:val="en-US"/>
        </w:rPr>
        <w:t>Article 27.02</w:t>
      </w:r>
      <w:r w:rsidRPr="00C903F8">
        <w:rPr>
          <w:rStyle w:val="ES-Titre3Car"/>
          <w:b/>
          <w:lang w:val="en-US"/>
        </w:rPr>
        <w:br/>
      </w:r>
      <w:r w:rsidRPr="00C903F8">
        <w:rPr>
          <w:rStyle w:val="ES-Titre3Car"/>
          <w:b/>
          <w:i/>
          <w:lang w:val="en-US"/>
        </w:rPr>
        <w:t>Limit conditions and method of cal</w:t>
      </w:r>
      <w:r w:rsidR="002722AA">
        <w:rPr>
          <w:rStyle w:val="ES-Titre3Car"/>
          <w:b/>
          <w:i/>
          <w:lang w:val="en-US"/>
        </w:rPr>
        <w:t>culation for proof of stability</w:t>
      </w:r>
      <w:r w:rsidRPr="00C903F8">
        <w:rPr>
          <w:rStyle w:val="ES-Titre3Car"/>
          <w:b/>
          <w:i/>
          <w:lang w:val="en-US"/>
        </w:rPr>
        <w:br/>
      </w:r>
      <w:r w:rsidRPr="00C903F8">
        <w:rPr>
          <w:bCs/>
          <w:i/>
          <w:noProof/>
          <w:lang w:val="en-GB"/>
        </w:rPr>
        <w:t>for the transport of non-secured containers</w:t>
      </w:r>
      <w:bookmarkEnd w:id="252"/>
    </w:p>
    <w:p w:rsidR="00BF049A" w:rsidRPr="00C903F8" w:rsidRDefault="00BF049A" w:rsidP="00BF049A">
      <w:pPr>
        <w:pStyle w:val="ESch"/>
        <w:rPr>
          <w:noProof/>
          <w:lang w:val="en-GB" w:eastAsia="en-US"/>
        </w:rPr>
      </w:pPr>
    </w:p>
    <w:p w:rsidR="00BF049A" w:rsidRPr="00C903F8" w:rsidRDefault="00BF049A" w:rsidP="00BF049A">
      <w:pPr>
        <w:pStyle w:val="ESch"/>
        <w:rPr>
          <w:rFonts w:cs="Arial"/>
          <w:szCs w:val="18"/>
          <w:lang w:val="en-US" w:eastAsia="en-US"/>
        </w:rPr>
      </w:pPr>
      <w:r w:rsidRPr="00C903F8">
        <w:rPr>
          <w:noProof/>
          <w:lang w:val="en-GB" w:eastAsia="en-US"/>
        </w:rPr>
        <w:t xml:space="preserve">1. </w:t>
      </w:r>
      <w:r w:rsidRPr="00C903F8">
        <w:rPr>
          <w:noProof/>
          <w:lang w:val="en-GB" w:eastAsia="en-US"/>
        </w:rPr>
        <w:tab/>
        <w:t>All methods of calculating vessel stability in the case of non-secured containers shall meet the following limit conditions:</w:t>
      </w:r>
    </w:p>
    <w:p w:rsidR="00BF049A" w:rsidRPr="00C903F8" w:rsidRDefault="005C7859" w:rsidP="00E370BE">
      <w:pPr>
        <w:pStyle w:val="ESlet"/>
        <w:rPr>
          <w:rFonts w:cs="Arial"/>
          <w:szCs w:val="18"/>
          <w:lang w:val="en-US" w:eastAsia="en-US"/>
        </w:rPr>
      </w:pPr>
      <w:r w:rsidRPr="00C903F8">
        <w:rPr>
          <w:noProof/>
          <w:lang w:val="en-GB" w:eastAsia="en-US"/>
        </w:rPr>
        <w:t>a)</w:t>
      </w:r>
      <w:r w:rsidR="00BF049A" w:rsidRPr="00C903F8">
        <w:rPr>
          <w:noProof/>
          <w:lang w:val="en-GB" w:eastAsia="en-US"/>
        </w:rPr>
        <w:tab/>
        <w:t xml:space="preserve">Metacentric height </w:t>
      </w:r>
      <m:oMath>
        <m:acc>
          <m:accPr>
            <m:chr m:val="̅"/>
            <m:ctrlPr>
              <w:rPr>
                <w:rFonts w:ascii="Cambria Math" w:hAnsi="Cambria Math"/>
                <w:i/>
                <w:noProof/>
                <w:lang w:val="en-GB" w:eastAsia="en-US"/>
              </w:rPr>
            </m:ctrlPr>
          </m:accPr>
          <m:e>
            <m:r>
              <w:rPr>
                <w:rFonts w:ascii="Cambria Math" w:hAnsi="Cambria Math"/>
                <w:noProof/>
                <w:lang w:val="en-GB" w:eastAsia="en-US"/>
              </w:rPr>
              <m:t>MG</m:t>
            </m:r>
          </m:e>
        </m:acc>
      </m:oMath>
      <w:r w:rsidR="00BF049A" w:rsidRPr="00C903F8">
        <w:rPr>
          <w:noProof/>
          <w:lang w:val="en-GB" w:eastAsia="en-US"/>
        </w:rPr>
        <w:t xml:space="preserve"> shall be not less than 1,00 m.</w:t>
      </w:r>
    </w:p>
    <w:p w:rsidR="00BF049A" w:rsidRPr="00C903F8" w:rsidRDefault="005C7859" w:rsidP="00E370BE">
      <w:pPr>
        <w:pStyle w:val="ESlet"/>
        <w:rPr>
          <w:rFonts w:cs="Arial"/>
          <w:szCs w:val="18"/>
          <w:lang w:val="en-US" w:eastAsia="en-US"/>
        </w:rPr>
      </w:pPr>
      <w:r w:rsidRPr="00C903F8">
        <w:rPr>
          <w:noProof/>
          <w:lang w:val="en-US" w:eastAsia="en-US"/>
        </w:rPr>
        <w:t>b)</w:t>
      </w:r>
      <w:r w:rsidR="00BF049A" w:rsidRPr="00C903F8">
        <w:rPr>
          <w:noProof/>
          <w:lang w:val="en-GB" w:eastAsia="en-US"/>
        </w:rPr>
        <w:tab/>
        <w:t>Under the joint action of the centrifugal force resulting from the vessel's turning, wind pressure and the free surfaces of liquids, the heeling angle shall not exceed 5° and the edge of the deck shall not be immersed.</w:t>
      </w:r>
    </w:p>
    <w:p w:rsidR="00BF049A" w:rsidRPr="00C903F8" w:rsidRDefault="005C7859" w:rsidP="00E370BE">
      <w:pPr>
        <w:pStyle w:val="ESlet"/>
        <w:rPr>
          <w:rFonts w:cs="Arial"/>
          <w:szCs w:val="18"/>
          <w:lang w:val="en-US" w:eastAsia="en-US"/>
        </w:rPr>
      </w:pPr>
      <w:r w:rsidRPr="00C903F8">
        <w:rPr>
          <w:noProof/>
          <w:lang w:val="en-GB" w:eastAsia="en-US"/>
        </w:rPr>
        <w:t>c)</w:t>
      </w:r>
      <w:r w:rsidR="00BF049A" w:rsidRPr="00C903F8">
        <w:rPr>
          <w:noProof/>
          <w:lang w:val="en-GB" w:eastAsia="en-US"/>
        </w:rPr>
        <w:tab/>
        <w:t>The heeling lever resulting from the centrifugal force caused by the vessel's turning shall be determined in accordance with the following formula:</w:t>
      </w:r>
    </w:p>
    <w:p w:rsidR="00BF049A" w:rsidRPr="00C903F8" w:rsidRDefault="00F12BAF" w:rsidP="005833A6">
      <w:pPr>
        <w:pStyle w:val="ESlet"/>
        <w:ind w:left="0" w:firstLine="0"/>
        <w:rPr>
          <w:rFonts w:eastAsia="Calibri" w:cs="Arial"/>
          <w:szCs w:val="18"/>
          <w:lang w:val="en-US" w:eastAsia="en-US"/>
        </w:rPr>
      </w:pPr>
      <m:oMathPara>
        <m:oMath>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h</m:t>
              </m:r>
            </m:e>
            <m:sub>
              <m:r>
                <w:rPr>
                  <w:rFonts w:ascii="Cambria Math" w:eastAsia="Calibri" w:hAnsi="Cambria Math" w:cs="Arial"/>
                  <w:szCs w:val="18"/>
                  <w:lang w:val="en-US" w:eastAsia="en-US"/>
                </w:rPr>
                <m:t>KZ</m:t>
              </m:r>
            </m:sub>
          </m:sSub>
          <m:r>
            <w:rPr>
              <w:rFonts w:ascii="Cambria Math" w:eastAsia="Calibri" w:hAnsi="Cambria Math" w:cs="Arial"/>
              <w:szCs w:val="18"/>
              <w:lang w:val="en-US" w:eastAsia="en-US"/>
            </w:rPr>
            <m:t xml:space="preserve">= </m:t>
          </m:r>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c</m:t>
              </m:r>
            </m:e>
            <m:sub>
              <m:r>
                <w:rPr>
                  <w:rFonts w:ascii="Cambria Math" w:eastAsia="Calibri" w:hAnsi="Cambria Math" w:cs="Arial"/>
                  <w:szCs w:val="18"/>
                  <w:lang w:val="en-US" w:eastAsia="en-US"/>
                </w:rPr>
                <m:t>KZ</m:t>
              </m:r>
            </m:sub>
          </m:sSub>
          <m:r>
            <w:rPr>
              <w:rFonts w:ascii="Cambria Math" w:eastAsia="Calibri" w:hAnsi="Cambria Math" w:cs="Arial"/>
              <w:szCs w:val="18"/>
              <w:lang w:val="en-US" w:eastAsia="en-US"/>
            </w:rPr>
            <m:t xml:space="preserve"> ∙ </m:t>
          </m:r>
          <m:f>
            <m:fPr>
              <m:ctrlPr>
                <w:rPr>
                  <w:rFonts w:ascii="Cambria Math" w:eastAsia="Calibri" w:hAnsi="Cambria Math" w:cs="Arial"/>
                  <w:i/>
                  <w:szCs w:val="18"/>
                  <w:lang w:val="en-US" w:eastAsia="en-US"/>
                </w:rPr>
              </m:ctrlPr>
            </m:fPr>
            <m:num>
              <m:sSup>
                <m:sSupPr>
                  <m:ctrlPr>
                    <w:rPr>
                      <w:rFonts w:ascii="Cambria Math" w:eastAsia="Calibri" w:hAnsi="Cambria Math" w:cs="Arial"/>
                      <w:i/>
                      <w:szCs w:val="18"/>
                      <w:lang w:val="en-US" w:eastAsia="en-US"/>
                    </w:rPr>
                  </m:ctrlPr>
                </m:sSupPr>
                <m:e>
                  <m:r>
                    <w:rPr>
                      <w:rFonts w:ascii="Cambria Math" w:eastAsia="Calibri" w:hAnsi="Cambria Math" w:cs="Arial"/>
                      <w:szCs w:val="18"/>
                      <w:lang w:val="en-US" w:eastAsia="en-US"/>
                    </w:rPr>
                    <m:t>v</m:t>
                  </m:r>
                </m:e>
                <m:sup>
                  <m:r>
                    <w:rPr>
                      <w:rFonts w:ascii="Cambria Math" w:eastAsia="Calibri" w:hAnsi="Cambria Math" w:cs="Arial"/>
                      <w:szCs w:val="18"/>
                      <w:lang w:val="en-US" w:eastAsia="en-US"/>
                    </w:rPr>
                    <m:t>2</m:t>
                  </m:r>
                </m:sup>
              </m:sSup>
            </m:num>
            <m:den>
              <m:sSub>
                <m:sSubPr>
                  <m:ctrlPr>
                    <w:rPr>
                      <w:rFonts w:ascii="Cambria Math" w:eastAsia="Calibri" w:hAnsi="Cambria Math" w:cs="Arial"/>
                      <w:i/>
                      <w:szCs w:val="18"/>
                      <w:lang w:val="en-US" w:eastAsia="en-US"/>
                    </w:rPr>
                  </m:ctrlPr>
                </m:sSubPr>
                <m:e>
                  <m:r>
                    <w:rPr>
                      <w:rFonts w:ascii="Cambria Math" w:eastAsia="Calibri" w:hAnsi="Cambria Math" w:cs="Arial"/>
                      <w:szCs w:val="18"/>
                      <w:lang w:val="en-US" w:eastAsia="en-US"/>
                    </w:rPr>
                    <m:t>L</m:t>
                  </m:r>
                </m:e>
                <m:sub>
                  <m:r>
                    <w:rPr>
                      <w:rFonts w:ascii="Cambria Math" w:eastAsia="Calibri" w:hAnsi="Cambria Math" w:cs="Arial"/>
                      <w:szCs w:val="18"/>
                      <w:lang w:val="en-US" w:eastAsia="en-US"/>
                    </w:rPr>
                    <m:t>WL</m:t>
                  </m:r>
                </m:sub>
              </m:sSub>
            </m:den>
          </m:f>
          <m:r>
            <w:rPr>
              <w:rFonts w:ascii="Cambria Math" w:eastAsia="Calibri" w:hAnsi="Cambria Math" w:cs="Arial"/>
              <w:szCs w:val="18"/>
              <w:lang w:val="en-US" w:eastAsia="en-US"/>
            </w:rPr>
            <m:t xml:space="preserve"> ∙ </m:t>
          </m:r>
          <m:d>
            <m:dPr>
              <m:ctrlPr>
                <w:rPr>
                  <w:rFonts w:ascii="Cambria Math" w:eastAsia="Calibri" w:hAnsi="Cambria Math" w:cs="Arial"/>
                  <w:i/>
                  <w:szCs w:val="18"/>
                  <w:lang w:val="en-US" w:eastAsia="en-US"/>
                </w:rPr>
              </m:ctrlPr>
            </m:dPr>
            <m:e>
              <m:acc>
                <m:accPr>
                  <m:chr m:val="̅"/>
                  <m:ctrlPr>
                    <w:rPr>
                      <w:rFonts w:ascii="Cambria Math" w:eastAsia="Calibri" w:hAnsi="Cambria Math" w:cs="Arial"/>
                      <w:i/>
                      <w:szCs w:val="18"/>
                      <w:lang w:val="en-US" w:eastAsia="en-US"/>
                    </w:rPr>
                  </m:ctrlPr>
                </m:accPr>
                <m:e>
                  <m:r>
                    <w:rPr>
                      <w:rFonts w:ascii="Cambria Math" w:eastAsia="Calibri" w:hAnsi="Cambria Math" w:cs="Arial"/>
                      <w:szCs w:val="18"/>
                      <w:lang w:val="en-US" w:eastAsia="en-US"/>
                    </w:rPr>
                    <m:t>KG</m:t>
                  </m:r>
                </m:e>
              </m:acc>
              <m:r>
                <w:rPr>
                  <w:rFonts w:ascii="Cambria Math" w:eastAsia="Calibri" w:hAnsi="Cambria Math" w:cs="Arial"/>
                  <w:szCs w:val="18"/>
                  <w:lang w:val="en-US" w:eastAsia="en-US"/>
                </w:rPr>
                <m:t xml:space="preserve">- </m:t>
              </m:r>
              <m:f>
                <m:fPr>
                  <m:ctrlPr>
                    <w:rPr>
                      <w:rFonts w:ascii="Cambria Math" w:eastAsia="Calibri" w:hAnsi="Cambria Math" w:cs="Arial"/>
                      <w:i/>
                      <w:szCs w:val="18"/>
                      <w:lang w:val="en-US" w:eastAsia="en-US"/>
                    </w:rPr>
                  </m:ctrlPr>
                </m:fPr>
                <m:num>
                  <m:sSup>
                    <m:sSupPr>
                      <m:ctrlPr>
                        <w:rPr>
                          <w:rFonts w:ascii="Cambria Math" w:eastAsia="Calibri" w:hAnsi="Cambria Math" w:cs="Arial"/>
                          <w:i/>
                          <w:szCs w:val="18"/>
                          <w:lang w:val="en-US" w:eastAsia="en-US"/>
                        </w:rPr>
                      </m:ctrlPr>
                    </m:sSupPr>
                    <m:e>
                      <m:r>
                        <w:rPr>
                          <w:rFonts w:ascii="Cambria Math" w:eastAsia="Calibri" w:hAnsi="Cambria Math" w:cs="Arial"/>
                          <w:szCs w:val="18"/>
                          <w:lang w:val="en-US" w:eastAsia="en-US"/>
                        </w:rPr>
                        <m:t>T</m:t>
                      </m:r>
                    </m:e>
                    <m:sup>
                      <m:r>
                        <w:rPr>
                          <w:rFonts w:ascii="Cambria Math" w:eastAsia="Calibri" w:hAnsi="Cambria Math" w:cs="Arial"/>
                          <w:szCs w:val="18"/>
                          <w:lang w:val="en-US" w:eastAsia="en-US"/>
                        </w:rPr>
                        <m:t>'</m:t>
                      </m:r>
                    </m:sup>
                  </m:sSup>
                </m:num>
                <m:den>
                  <m:r>
                    <w:rPr>
                      <w:rFonts w:ascii="Cambria Math" w:eastAsia="Calibri" w:hAnsi="Cambria Math" w:cs="Arial"/>
                      <w:szCs w:val="18"/>
                      <w:lang w:val="en-US" w:eastAsia="en-US"/>
                    </w:rPr>
                    <m:t>2</m:t>
                  </m:r>
                </m:den>
              </m:f>
            </m:e>
          </m:d>
          <m:r>
            <w:rPr>
              <w:rFonts w:ascii="Cambria Math" w:eastAsia="Calibri" w:hAnsi="Cambria Math" w:cs="Arial"/>
              <w:szCs w:val="18"/>
              <w:lang w:val="en-US" w:eastAsia="en-US"/>
            </w:rPr>
            <m:t xml:space="preserve"> </m:t>
          </m:r>
          <m:d>
            <m:dPr>
              <m:begChr m:val="["/>
              <m:endChr m:val="]"/>
              <m:ctrlPr>
                <w:rPr>
                  <w:rFonts w:ascii="Cambria Math" w:eastAsia="Calibri" w:hAnsi="Cambria Math" w:cs="Arial"/>
                  <w:i/>
                  <w:szCs w:val="18"/>
                  <w:lang w:val="en-US" w:eastAsia="en-US"/>
                </w:rPr>
              </m:ctrlPr>
            </m:dPr>
            <m:e>
              <m:r>
                <w:rPr>
                  <w:rFonts w:ascii="Cambria Math" w:eastAsia="Calibri" w:hAnsi="Cambria Math" w:cs="Arial"/>
                  <w:szCs w:val="18"/>
                  <w:lang w:val="en-US" w:eastAsia="en-US"/>
                </w:rPr>
                <m:t>m</m:t>
              </m:r>
            </m:e>
          </m:d>
        </m:oMath>
      </m:oMathPara>
    </w:p>
    <w:p w:rsidR="00AB4321" w:rsidRPr="00C903F8" w:rsidRDefault="00AB4321" w:rsidP="00AB4321">
      <w:pPr>
        <w:pStyle w:val="EStiret"/>
        <w:rPr>
          <w:lang w:val="en-GB" w:eastAsia="en-US"/>
        </w:rPr>
      </w:pPr>
    </w:p>
    <w:p w:rsidR="00AB4321" w:rsidRPr="00C903F8" w:rsidRDefault="00AB4321" w:rsidP="00AB4321">
      <w:pPr>
        <w:pStyle w:val="EStiret"/>
        <w:rPr>
          <w:lang w:val="en-GB" w:eastAsia="en-US"/>
        </w:rPr>
      </w:pPr>
      <w:r w:rsidRPr="00C903F8">
        <w:rPr>
          <w:lang w:val="en-GB" w:eastAsia="en-US"/>
        </w:rPr>
        <w:br w:type="page"/>
      </w:r>
    </w:p>
    <w:p w:rsidR="00BF049A" w:rsidRPr="00C903F8" w:rsidRDefault="00BF049A" w:rsidP="00AB4321">
      <w:pPr>
        <w:pStyle w:val="EStiret"/>
        <w:rPr>
          <w:rFonts w:cs="Arial"/>
          <w:szCs w:val="18"/>
          <w:lang w:val="en-US" w:eastAsia="en-US"/>
        </w:rPr>
      </w:pPr>
      <w:r w:rsidRPr="00C903F8">
        <w:rPr>
          <w:lang w:val="en-GB" w:eastAsia="en-US"/>
        </w:rPr>
        <w:lastRenderedPageBreak/>
        <w:t>where:</w:t>
      </w:r>
    </w:p>
    <w:p w:rsidR="00BF049A" w:rsidRPr="00C903F8" w:rsidRDefault="00F12BAF" w:rsidP="000153B3">
      <w:pPr>
        <w:pStyle w:val="EStiret"/>
        <w:ind w:left="1701" w:hanging="709"/>
        <w:rPr>
          <w:rFonts w:eastAsia="Calibri"/>
          <w:lang w:val="en-US" w:eastAsia="en-US"/>
        </w:rPr>
      </w:pPr>
      <m:oMath>
        <m:sSub>
          <m:sSubPr>
            <m:ctrlPr>
              <w:rPr>
                <w:rFonts w:ascii="Cambria Math" w:eastAsia="Calibri" w:hAnsi="Cambria Math"/>
                <w:i/>
                <w:lang w:val="en-US" w:eastAsia="en-US"/>
              </w:rPr>
            </m:ctrlPr>
          </m:sSubPr>
          <m:e>
            <m:r>
              <w:rPr>
                <w:rFonts w:ascii="Cambria Math" w:eastAsia="Calibri" w:hAnsi="Cambria Math"/>
                <w:lang w:val="en-US" w:eastAsia="en-US"/>
              </w:rPr>
              <m:t>c</m:t>
            </m:r>
          </m:e>
          <m:sub>
            <m:r>
              <w:rPr>
                <w:rFonts w:ascii="Cambria Math" w:eastAsia="Calibri" w:hAnsi="Cambria Math"/>
                <w:lang w:val="en-US" w:eastAsia="en-US"/>
              </w:rPr>
              <m:t>KZ</m:t>
            </m:r>
          </m:sub>
        </m:sSub>
      </m:oMath>
      <w:r w:rsidR="00BF049A" w:rsidRPr="00C903F8">
        <w:rPr>
          <w:rFonts w:eastAsia="Calibri"/>
          <w:lang w:val="en-US" w:eastAsia="en-US"/>
        </w:rPr>
        <w:tab/>
      </w:r>
      <w:r w:rsidR="00BF049A" w:rsidRPr="00C903F8">
        <w:rPr>
          <w:rFonts w:eastAsia="Calibri"/>
          <w:szCs w:val="16"/>
          <w:lang w:val="en-US" w:eastAsia="en-US"/>
        </w:rPr>
        <w:t xml:space="preserve">parameter </w:t>
      </w:r>
      <m:oMath>
        <m:d>
          <m:dPr>
            <m:ctrlPr>
              <w:rPr>
                <w:rFonts w:ascii="Cambria Math" w:eastAsia="Calibri" w:hAnsi="Cambria Math"/>
                <w:i/>
                <w:szCs w:val="16"/>
                <w:lang w:val="en-US" w:eastAsia="en-US"/>
              </w:rPr>
            </m:ctrlPr>
          </m:dPr>
          <m:e>
            <m:sSub>
              <m:sSubPr>
                <m:ctrlPr>
                  <w:rPr>
                    <w:rFonts w:ascii="Cambria Math" w:eastAsia="Calibri" w:hAnsi="Cambria Math"/>
                    <w:i/>
                    <w:szCs w:val="16"/>
                    <w:lang w:val="en-US" w:eastAsia="en-US"/>
                  </w:rPr>
                </m:ctrlPr>
              </m:sSubPr>
              <m:e>
                <m:r>
                  <w:rPr>
                    <w:rFonts w:ascii="Cambria Math" w:eastAsia="Calibri" w:hAnsi="Cambria Math"/>
                    <w:szCs w:val="16"/>
                    <w:lang w:val="en-US" w:eastAsia="en-US"/>
                  </w:rPr>
                  <m:t>c</m:t>
                </m:r>
              </m:e>
              <m:sub>
                <m:r>
                  <w:rPr>
                    <w:rFonts w:ascii="Cambria Math" w:eastAsia="Calibri" w:hAnsi="Cambria Math"/>
                    <w:szCs w:val="16"/>
                    <w:lang w:val="en-US" w:eastAsia="en-US"/>
                  </w:rPr>
                  <m:t>KZ</m:t>
                </m:r>
              </m:sub>
            </m:sSub>
            <m:r>
              <w:rPr>
                <w:rFonts w:ascii="Cambria Math" w:eastAsia="Calibri" w:hAnsi="Cambria Math"/>
                <w:szCs w:val="16"/>
                <w:lang w:val="en-US" w:eastAsia="en-US"/>
              </w:rPr>
              <m:t>=0,04</m:t>
            </m:r>
          </m:e>
        </m:d>
      </m:oMath>
      <w:r w:rsidR="00333A30" w:rsidRPr="00C903F8">
        <w:rPr>
          <w:rFonts w:eastAsia="Calibri"/>
          <w:lang w:val="en-US" w:eastAsia="en-US"/>
        </w:rPr>
        <w:t xml:space="preserve"> [</w:t>
      </w:r>
      <w:r w:rsidR="00333A30" w:rsidRPr="00C903F8">
        <w:rPr>
          <w:rFonts w:eastAsia="Calibri"/>
          <w:szCs w:val="20"/>
          <w:lang w:val="en-US" w:eastAsia="en-US"/>
        </w:rPr>
        <w:t>s</w:t>
      </w:r>
      <w:r w:rsidR="00333A30" w:rsidRPr="00C903F8">
        <w:rPr>
          <w:rFonts w:eastAsia="Calibri"/>
          <w:szCs w:val="20"/>
          <w:vertAlign w:val="superscript"/>
          <w:lang w:val="en-US" w:eastAsia="en-US"/>
        </w:rPr>
        <w:t>2</w:t>
      </w:r>
      <w:r w:rsidR="00333A30" w:rsidRPr="00C903F8">
        <w:rPr>
          <w:rFonts w:eastAsia="Calibri"/>
          <w:szCs w:val="20"/>
          <w:lang w:val="en-US" w:eastAsia="en-US"/>
        </w:rPr>
        <w:t>/m];</w:t>
      </w:r>
    </w:p>
    <w:p w:rsidR="00BF049A" w:rsidRPr="00C903F8" w:rsidRDefault="005833A6" w:rsidP="000153B3">
      <w:pPr>
        <w:pStyle w:val="EStiret"/>
        <w:ind w:left="1701" w:hanging="709"/>
        <w:rPr>
          <w:rFonts w:eastAsia="Calibri"/>
          <w:lang w:val="en-US" w:eastAsia="en-US"/>
        </w:rPr>
      </w:pPr>
      <m:oMath>
        <m:r>
          <w:rPr>
            <w:rFonts w:ascii="Cambria Math" w:eastAsia="Calibri" w:hAnsi="Cambria Math"/>
            <w:lang w:val="en-US" w:eastAsia="en-US"/>
          </w:rPr>
          <m:t>v</m:t>
        </m:r>
      </m:oMath>
      <w:r w:rsidR="00BF049A" w:rsidRPr="00C903F8">
        <w:rPr>
          <w:rFonts w:eastAsia="Calibri"/>
          <w:lang w:val="en-US" w:eastAsia="en-US"/>
        </w:rPr>
        <w:tab/>
      </w:r>
      <w:r w:rsidR="00BF049A" w:rsidRPr="00C903F8">
        <w:rPr>
          <w:rFonts w:eastAsia="Calibri"/>
          <w:szCs w:val="16"/>
          <w:lang w:val="en-US" w:eastAsia="en-US"/>
        </w:rPr>
        <w:t>the maximum speed of the vessel in relation to the water [m/s];</w:t>
      </w:r>
    </w:p>
    <w:p w:rsidR="00BF049A" w:rsidRPr="00C903F8" w:rsidRDefault="00F12BAF" w:rsidP="000153B3">
      <w:pPr>
        <w:pStyle w:val="EStiret"/>
        <w:ind w:left="1701" w:hanging="709"/>
        <w:rPr>
          <w:rFonts w:eastAsia="Calibri"/>
          <w:lang w:val="en-US" w:eastAsia="en-US"/>
        </w:rPr>
      </w:pPr>
      <m:oMath>
        <m:acc>
          <m:accPr>
            <m:chr m:val="̅"/>
            <m:ctrlPr>
              <w:rPr>
                <w:rFonts w:ascii="Cambria Math" w:eastAsia="Calibri" w:hAnsi="Cambria Math"/>
                <w:i/>
                <w:lang w:val="en-US" w:eastAsia="en-US"/>
              </w:rPr>
            </m:ctrlPr>
          </m:accPr>
          <m:e>
            <m:r>
              <w:rPr>
                <w:rFonts w:ascii="Cambria Math" w:eastAsia="Calibri" w:hAnsi="Cambria Math"/>
                <w:lang w:val="en-US" w:eastAsia="en-US"/>
              </w:rPr>
              <m:t>KG</m:t>
            </m:r>
          </m:e>
        </m:acc>
      </m:oMath>
      <w:r w:rsidR="00BF049A" w:rsidRPr="00C903F8">
        <w:rPr>
          <w:rFonts w:eastAsia="Calibri"/>
          <w:lang w:val="en-US" w:eastAsia="en-US"/>
        </w:rPr>
        <w:tab/>
      </w:r>
      <w:r w:rsidR="00BF049A" w:rsidRPr="00C903F8">
        <w:rPr>
          <w:rFonts w:eastAsia="Calibri"/>
          <w:szCs w:val="16"/>
          <w:lang w:val="en-US" w:eastAsia="en-US"/>
        </w:rPr>
        <w:t>height of centre of gravity of the laden vessel above its base [m];</w:t>
      </w:r>
    </w:p>
    <w:p w:rsidR="00BF049A" w:rsidRPr="00C903F8" w:rsidRDefault="00333A30" w:rsidP="000153B3">
      <w:pPr>
        <w:pStyle w:val="EStiret"/>
        <w:ind w:left="1701" w:hanging="709"/>
        <w:rPr>
          <w:rFonts w:eastAsia="Calibri"/>
          <w:lang w:val="en-US" w:eastAsia="en-US"/>
        </w:rPr>
      </w:pPr>
      <m:oMath>
        <m:r>
          <w:rPr>
            <w:rFonts w:ascii="Cambria Math" w:eastAsia="Calibri" w:hAnsi="Cambria Math"/>
            <w:lang w:val="en-US" w:eastAsia="en-US"/>
          </w:rPr>
          <m:t>T'</m:t>
        </m:r>
      </m:oMath>
      <w:r w:rsidR="00BF049A" w:rsidRPr="00C903F8">
        <w:rPr>
          <w:rFonts w:eastAsia="Calibri"/>
          <w:lang w:val="en-US" w:eastAsia="en-US"/>
        </w:rPr>
        <w:tab/>
      </w:r>
      <w:r w:rsidR="00BF049A" w:rsidRPr="00C903F8">
        <w:rPr>
          <w:rFonts w:eastAsia="Calibri"/>
          <w:szCs w:val="16"/>
          <w:lang w:val="en-US" w:eastAsia="en-US"/>
        </w:rPr>
        <w:t>draught of the laden vessel [m].</w:t>
      </w:r>
    </w:p>
    <w:p w:rsidR="00AB4321" w:rsidRPr="00C903F8" w:rsidRDefault="00AB4321" w:rsidP="00E370BE">
      <w:pPr>
        <w:pStyle w:val="ESlet"/>
        <w:rPr>
          <w:noProof/>
          <w:lang w:val="en-GB" w:eastAsia="en-US"/>
        </w:rPr>
      </w:pPr>
    </w:p>
    <w:p w:rsidR="00BF049A" w:rsidRPr="00C903F8" w:rsidRDefault="0029453D" w:rsidP="00E370BE">
      <w:pPr>
        <w:pStyle w:val="ESlet"/>
        <w:rPr>
          <w:noProof/>
          <w:lang w:val="en-GB" w:eastAsia="en-US"/>
        </w:rPr>
      </w:pPr>
      <w:r w:rsidRPr="00C903F8">
        <w:rPr>
          <w:noProof/>
          <w:lang w:val="en-GB" w:eastAsia="en-US"/>
        </w:rPr>
        <w:t>d)</w:t>
      </w:r>
      <w:r w:rsidR="00BF049A" w:rsidRPr="00C903F8">
        <w:rPr>
          <w:noProof/>
          <w:lang w:val="en-GB" w:eastAsia="en-US"/>
        </w:rPr>
        <w:tab/>
        <w:t>The heeling lever resulting from the wind pressure shall be determined in accordance with the following formula:</w:t>
      </w:r>
    </w:p>
    <w:p w:rsidR="00333A30" w:rsidRPr="00C903F8" w:rsidRDefault="00F12BAF" w:rsidP="00333A30">
      <w:pPr>
        <w:pStyle w:val="ESlet"/>
        <w:ind w:left="0" w:firstLine="0"/>
        <w:rPr>
          <w:rFonts w:cs="Arial"/>
          <w:szCs w:val="18"/>
          <w:lang w:val="en-US" w:eastAsia="en-US"/>
        </w:rPr>
      </w:pPr>
      <m:oMathPara>
        <m:oMath>
          <m:sSub>
            <m:sSubPr>
              <m:ctrlPr>
                <w:rPr>
                  <w:rFonts w:ascii="Cambria Math" w:hAnsi="Cambria Math" w:cs="Arial"/>
                  <w:i/>
                  <w:szCs w:val="18"/>
                  <w:lang w:val="en-US" w:eastAsia="en-US"/>
                </w:rPr>
              </m:ctrlPr>
            </m:sSubPr>
            <m:e>
              <m:r>
                <w:rPr>
                  <w:rFonts w:ascii="Cambria Math" w:hAnsi="Cambria Math" w:cs="Arial"/>
                  <w:szCs w:val="18"/>
                  <w:lang w:val="en-US" w:eastAsia="en-US"/>
                </w:rPr>
                <m:t>h</m:t>
              </m:r>
            </m:e>
            <m:sub>
              <m:r>
                <w:rPr>
                  <w:rFonts w:ascii="Cambria Math" w:hAnsi="Cambria Math" w:cs="Arial"/>
                  <w:szCs w:val="18"/>
                  <w:lang w:val="en-US" w:eastAsia="en-US"/>
                </w:rPr>
                <m:t>KW</m:t>
              </m:r>
            </m:sub>
          </m:sSub>
          <m:r>
            <w:rPr>
              <w:rFonts w:ascii="Cambria Math" w:hAnsi="Cambria Math" w:cs="Arial"/>
              <w:szCs w:val="18"/>
              <w:lang w:val="en-US" w:eastAsia="en-US"/>
            </w:rPr>
            <m:t xml:space="preserve">= </m:t>
          </m:r>
          <m:sSub>
            <m:sSubPr>
              <m:ctrlPr>
                <w:rPr>
                  <w:rFonts w:ascii="Cambria Math" w:hAnsi="Cambria Math" w:cs="Arial"/>
                  <w:i/>
                  <w:szCs w:val="18"/>
                  <w:lang w:val="en-US" w:eastAsia="en-US"/>
                </w:rPr>
              </m:ctrlPr>
            </m:sSubPr>
            <m:e>
              <m:r>
                <w:rPr>
                  <w:rFonts w:ascii="Cambria Math" w:hAnsi="Cambria Math" w:cs="Arial"/>
                  <w:szCs w:val="18"/>
                  <w:lang w:val="en-US" w:eastAsia="en-US"/>
                </w:rPr>
                <m:t>c</m:t>
              </m:r>
            </m:e>
            <m:sub>
              <m:r>
                <w:rPr>
                  <w:rFonts w:ascii="Cambria Math" w:hAnsi="Cambria Math" w:cs="Arial"/>
                  <w:szCs w:val="18"/>
                  <w:lang w:val="en-US" w:eastAsia="en-US"/>
                </w:rPr>
                <m:t>KW</m:t>
              </m:r>
            </m:sub>
          </m:sSub>
          <m:r>
            <w:rPr>
              <w:rFonts w:ascii="Cambria Math" w:hAnsi="Cambria Math" w:cs="Arial"/>
              <w:szCs w:val="18"/>
              <w:lang w:val="en-US" w:eastAsia="en-US"/>
            </w:rPr>
            <m:t xml:space="preserve"> ∙ </m:t>
          </m:r>
          <m:f>
            <m:fPr>
              <m:ctrlPr>
                <w:rPr>
                  <w:rFonts w:ascii="Cambria Math" w:hAnsi="Cambria Math" w:cs="Arial"/>
                  <w:i/>
                  <w:szCs w:val="18"/>
                  <w:lang w:val="en-US" w:eastAsia="en-US"/>
                </w:rPr>
              </m:ctrlPr>
            </m:fPr>
            <m:num>
              <m:sSup>
                <m:sSupPr>
                  <m:ctrlPr>
                    <w:rPr>
                      <w:rFonts w:ascii="Cambria Math" w:hAnsi="Cambria Math" w:cs="Arial"/>
                      <w:i/>
                      <w:szCs w:val="18"/>
                      <w:lang w:val="en-US" w:eastAsia="en-US"/>
                    </w:rPr>
                  </m:ctrlPr>
                </m:sSupPr>
                <m:e>
                  <m:r>
                    <w:rPr>
                      <w:rFonts w:ascii="Cambria Math" w:hAnsi="Cambria Math" w:cs="Arial"/>
                      <w:szCs w:val="18"/>
                      <w:lang w:val="en-US" w:eastAsia="en-US"/>
                    </w:rPr>
                    <m:t>A</m:t>
                  </m:r>
                </m:e>
                <m:sup>
                  <m:r>
                    <w:rPr>
                      <w:rFonts w:ascii="Cambria Math" w:hAnsi="Cambria Math" w:cs="Arial"/>
                      <w:szCs w:val="18"/>
                      <w:lang w:val="en-US" w:eastAsia="en-US"/>
                    </w:rPr>
                    <m:t>'</m:t>
                  </m:r>
                </m:sup>
              </m:sSup>
            </m:num>
            <m:den>
              <m:sSup>
                <m:sSupPr>
                  <m:ctrlPr>
                    <w:rPr>
                      <w:rFonts w:ascii="Cambria Math" w:hAnsi="Cambria Math" w:cs="Arial"/>
                      <w:i/>
                      <w:szCs w:val="18"/>
                      <w:lang w:val="en-US" w:eastAsia="en-US"/>
                    </w:rPr>
                  </m:ctrlPr>
                </m:sSupPr>
                <m:e>
                  <m:r>
                    <w:rPr>
                      <w:rFonts w:ascii="Cambria Math" w:hAnsi="Cambria Math" w:cs="Arial"/>
                      <w:szCs w:val="18"/>
                      <w:lang w:val="en-US" w:eastAsia="en-US"/>
                    </w:rPr>
                    <m:t>D</m:t>
                  </m:r>
                </m:e>
                <m:sup>
                  <m:r>
                    <w:rPr>
                      <w:rFonts w:ascii="Cambria Math" w:hAnsi="Cambria Math" w:cs="Arial"/>
                      <w:szCs w:val="18"/>
                      <w:lang w:val="en-US" w:eastAsia="en-US"/>
                    </w:rPr>
                    <m:t>'</m:t>
                  </m:r>
                </m:sup>
              </m:sSup>
            </m:den>
          </m:f>
          <m:r>
            <w:rPr>
              <w:rFonts w:ascii="Cambria Math" w:hAnsi="Cambria Math" w:cs="Arial"/>
              <w:szCs w:val="18"/>
              <w:lang w:val="en-US" w:eastAsia="en-US"/>
            </w:rPr>
            <m:t xml:space="preserve"> ∙ </m:t>
          </m:r>
          <m:d>
            <m:dPr>
              <m:ctrlPr>
                <w:rPr>
                  <w:rFonts w:ascii="Cambria Math" w:hAnsi="Cambria Math" w:cs="Arial"/>
                  <w:i/>
                  <w:szCs w:val="18"/>
                  <w:lang w:val="en-US" w:eastAsia="en-US"/>
                </w:rPr>
              </m:ctrlPr>
            </m:dPr>
            <m:e>
              <m:sSub>
                <m:sSubPr>
                  <m:ctrlPr>
                    <w:rPr>
                      <w:rFonts w:ascii="Cambria Math" w:hAnsi="Cambria Math" w:cs="Arial"/>
                      <w:i/>
                      <w:szCs w:val="18"/>
                      <w:lang w:val="en-US" w:eastAsia="en-US"/>
                    </w:rPr>
                  </m:ctrlPr>
                </m:sSubPr>
                <m:e>
                  <m:r>
                    <w:rPr>
                      <w:rFonts w:ascii="Cambria Math" w:hAnsi="Cambria Math" w:cs="Arial"/>
                      <w:szCs w:val="18"/>
                      <w:lang w:val="en-US" w:eastAsia="en-US"/>
                    </w:rPr>
                    <m:t>l</m:t>
                  </m:r>
                </m:e>
                <m:sub>
                  <m:r>
                    <w:rPr>
                      <w:rFonts w:ascii="Cambria Math" w:hAnsi="Cambria Math" w:cs="Arial"/>
                      <w:szCs w:val="18"/>
                      <w:lang w:val="en-US" w:eastAsia="en-US"/>
                    </w:rPr>
                    <m:t>W</m:t>
                  </m:r>
                </m:sub>
              </m:sSub>
              <m:r>
                <w:rPr>
                  <w:rFonts w:ascii="Cambria Math" w:hAnsi="Cambria Math" w:cs="Arial"/>
                  <w:szCs w:val="18"/>
                  <w:lang w:val="en-US" w:eastAsia="en-US"/>
                </w:rPr>
                <m:t xml:space="preserve">+ </m:t>
              </m:r>
              <m:f>
                <m:fPr>
                  <m:ctrlPr>
                    <w:rPr>
                      <w:rFonts w:ascii="Cambria Math" w:hAnsi="Cambria Math" w:cs="Arial"/>
                      <w:i/>
                      <w:szCs w:val="18"/>
                      <w:lang w:val="en-US" w:eastAsia="en-US"/>
                    </w:rPr>
                  </m:ctrlPr>
                </m:fPr>
                <m:num>
                  <m:sSup>
                    <m:sSupPr>
                      <m:ctrlPr>
                        <w:rPr>
                          <w:rFonts w:ascii="Cambria Math" w:hAnsi="Cambria Math" w:cs="Arial"/>
                          <w:i/>
                          <w:szCs w:val="18"/>
                          <w:lang w:val="en-US" w:eastAsia="en-US"/>
                        </w:rPr>
                      </m:ctrlPr>
                    </m:sSupPr>
                    <m:e>
                      <m:r>
                        <w:rPr>
                          <w:rFonts w:ascii="Cambria Math" w:hAnsi="Cambria Math" w:cs="Arial"/>
                          <w:szCs w:val="18"/>
                          <w:lang w:val="en-US" w:eastAsia="en-US"/>
                        </w:rPr>
                        <m:t>T</m:t>
                      </m:r>
                    </m:e>
                    <m:sup>
                      <m:r>
                        <w:rPr>
                          <w:rFonts w:ascii="Cambria Math" w:hAnsi="Cambria Math" w:cs="Arial"/>
                          <w:szCs w:val="18"/>
                          <w:lang w:val="en-US" w:eastAsia="en-US"/>
                        </w:rPr>
                        <m:t>'</m:t>
                      </m:r>
                    </m:sup>
                  </m:sSup>
                </m:num>
                <m:den>
                  <m:r>
                    <w:rPr>
                      <w:rFonts w:ascii="Cambria Math" w:hAnsi="Cambria Math" w:cs="Arial"/>
                      <w:szCs w:val="18"/>
                      <w:lang w:val="en-US" w:eastAsia="en-US"/>
                    </w:rPr>
                    <m:t>2</m:t>
                  </m:r>
                </m:den>
              </m:f>
            </m:e>
          </m:d>
          <m:r>
            <w:rPr>
              <w:rFonts w:ascii="Cambria Math" w:hAnsi="Cambria Math" w:cs="Arial"/>
              <w:szCs w:val="18"/>
              <w:lang w:val="en-US" w:eastAsia="en-US"/>
            </w:rPr>
            <m:t xml:space="preserve"> </m:t>
          </m:r>
          <m:d>
            <m:dPr>
              <m:begChr m:val="["/>
              <m:endChr m:val="]"/>
              <m:ctrlPr>
                <w:rPr>
                  <w:rFonts w:ascii="Cambria Math" w:hAnsi="Cambria Math" w:cs="Arial"/>
                  <w:i/>
                  <w:szCs w:val="18"/>
                  <w:lang w:val="en-US" w:eastAsia="en-US"/>
                </w:rPr>
              </m:ctrlPr>
            </m:dPr>
            <m:e>
              <m:r>
                <w:rPr>
                  <w:rFonts w:ascii="Cambria Math" w:hAnsi="Cambria Math" w:cs="Arial"/>
                  <w:szCs w:val="18"/>
                  <w:lang w:val="en-US" w:eastAsia="en-US"/>
                </w:rPr>
                <m:t>m</m:t>
              </m:r>
            </m:e>
          </m:d>
        </m:oMath>
      </m:oMathPara>
    </w:p>
    <w:p w:rsidR="00BF049A" w:rsidRPr="00C903F8" w:rsidRDefault="00BF049A" w:rsidP="00AB4321">
      <w:pPr>
        <w:pStyle w:val="EStiret"/>
        <w:rPr>
          <w:rFonts w:eastAsia="Calibri"/>
          <w:szCs w:val="20"/>
          <w:lang w:val="en-US" w:eastAsia="en-US"/>
        </w:rPr>
      </w:pPr>
      <w:r w:rsidRPr="00C903F8">
        <w:rPr>
          <w:rFonts w:eastAsia="Calibri"/>
          <w:szCs w:val="20"/>
          <w:lang w:val="en-US" w:eastAsia="en-US"/>
        </w:rPr>
        <w:t>where:</w:t>
      </w:r>
    </w:p>
    <w:p w:rsidR="00BF049A" w:rsidRPr="00C903F8" w:rsidRDefault="00F12BAF" w:rsidP="000153B3">
      <w:pPr>
        <w:pStyle w:val="EStiret"/>
        <w:ind w:left="1701" w:hanging="709"/>
        <w:rPr>
          <w:rFonts w:eastAsia="Calibri"/>
          <w:szCs w:val="20"/>
          <w:lang w:val="en-US" w:eastAsia="en-US"/>
        </w:rPr>
      </w:pPr>
      <m:oMath>
        <m:sSub>
          <m:sSubPr>
            <m:ctrlPr>
              <w:rPr>
                <w:rFonts w:ascii="Cambria Math" w:eastAsia="Calibri" w:hAnsi="Cambria Math"/>
                <w:i/>
                <w:lang w:val="en-US" w:eastAsia="en-US"/>
              </w:rPr>
            </m:ctrlPr>
          </m:sSubPr>
          <m:e>
            <m:r>
              <w:rPr>
                <w:rFonts w:ascii="Cambria Math" w:eastAsia="Calibri" w:hAnsi="Cambria Math"/>
                <w:lang w:val="en-US" w:eastAsia="en-US"/>
              </w:rPr>
              <m:t>c</m:t>
            </m:r>
          </m:e>
          <m:sub>
            <m:r>
              <w:rPr>
                <w:rFonts w:ascii="Cambria Math" w:eastAsia="Calibri" w:hAnsi="Cambria Math"/>
                <w:lang w:val="en-US" w:eastAsia="en-US"/>
              </w:rPr>
              <m:t>KW</m:t>
            </m:r>
          </m:sub>
        </m:sSub>
      </m:oMath>
      <w:r w:rsidR="00BF049A" w:rsidRPr="00C903F8">
        <w:rPr>
          <w:rFonts w:eastAsia="Calibri"/>
          <w:szCs w:val="20"/>
          <w:lang w:val="en-US" w:eastAsia="en-US"/>
        </w:rPr>
        <w:tab/>
        <w:t xml:space="preserve">parameter </w:t>
      </w:r>
      <m:oMath>
        <m:d>
          <m:dPr>
            <m:ctrlPr>
              <w:rPr>
                <w:rFonts w:ascii="Cambria Math" w:eastAsia="Calibri" w:hAnsi="Cambria Math"/>
                <w:i/>
                <w:szCs w:val="16"/>
                <w:lang w:val="en-US" w:eastAsia="en-US"/>
              </w:rPr>
            </m:ctrlPr>
          </m:dPr>
          <m:e>
            <m:sSub>
              <m:sSubPr>
                <m:ctrlPr>
                  <w:rPr>
                    <w:rFonts w:ascii="Cambria Math" w:eastAsia="Calibri" w:hAnsi="Cambria Math"/>
                    <w:i/>
                    <w:szCs w:val="16"/>
                    <w:lang w:val="en-US" w:eastAsia="en-US"/>
                  </w:rPr>
                </m:ctrlPr>
              </m:sSubPr>
              <m:e>
                <m:r>
                  <w:rPr>
                    <w:rFonts w:ascii="Cambria Math" w:eastAsia="Calibri" w:hAnsi="Cambria Math"/>
                    <w:szCs w:val="16"/>
                    <w:lang w:val="en-US" w:eastAsia="en-US"/>
                  </w:rPr>
                  <m:t>c</m:t>
                </m:r>
              </m:e>
              <m:sub>
                <m:r>
                  <w:rPr>
                    <w:rFonts w:ascii="Cambria Math" w:eastAsia="Calibri" w:hAnsi="Cambria Math"/>
                    <w:szCs w:val="16"/>
                    <w:lang w:val="en-US" w:eastAsia="en-US"/>
                  </w:rPr>
                  <m:t>KW</m:t>
                </m:r>
              </m:sub>
            </m:sSub>
            <m:r>
              <w:rPr>
                <w:rFonts w:ascii="Cambria Math" w:eastAsia="Calibri" w:hAnsi="Cambria Math"/>
                <w:szCs w:val="16"/>
                <w:lang w:val="en-US" w:eastAsia="en-US"/>
              </w:rPr>
              <m:t>=0,025</m:t>
            </m:r>
          </m:e>
        </m:d>
      </m:oMath>
      <w:r w:rsidR="00333A30" w:rsidRPr="00C903F8">
        <w:rPr>
          <w:rFonts w:eastAsia="Calibri"/>
          <w:lang w:val="en-US" w:eastAsia="en-US"/>
        </w:rPr>
        <w:t xml:space="preserve"> </w:t>
      </w:r>
      <w:r w:rsidR="00BF049A" w:rsidRPr="00C903F8">
        <w:rPr>
          <w:rFonts w:eastAsia="Calibri"/>
          <w:szCs w:val="20"/>
          <w:lang w:val="en-US" w:eastAsia="en-US"/>
        </w:rPr>
        <w:t>[t/m</w:t>
      </w:r>
      <w:r w:rsidR="00BF049A" w:rsidRPr="00C903F8">
        <w:rPr>
          <w:rFonts w:eastAsia="Calibri"/>
          <w:position w:val="6"/>
          <w:sz w:val="16"/>
          <w:szCs w:val="20"/>
          <w:lang w:val="en-US" w:eastAsia="en-US"/>
        </w:rPr>
        <w:t>2</w:t>
      </w:r>
      <w:r w:rsidR="00DA4114" w:rsidRPr="00C903F8">
        <w:rPr>
          <w:rFonts w:eastAsia="Calibri"/>
          <w:szCs w:val="20"/>
          <w:lang w:val="en-US" w:eastAsia="en-US"/>
        </w:rPr>
        <w:t>]</w:t>
      </w:r>
      <w:r w:rsidR="00BF049A" w:rsidRPr="00C903F8">
        <w:rPr>
          <w:rFonts w:eastAsia="Calibri"/>
          <w:szCs w:val="20"/>
          <w:lang w:val="en-US" w:eastAsia="en-US"/>
        </w:rPr>
        <w:t>;</w:t>
      </w:r>
    </w:p>
    <w:p w:rsidR="00BF049A" w:rsidRPr="00C903F8" w:rsidRDefault="00333A30" w:rsidP="000153B3">
      <w:pPr>
        <w:pStyle w:val="EStiret"/>
        <w:ind w:left="1701" w:hanging="709"/>
        <w:rPr>
          <w:rFonts w:eastAsia="Calibri"/>
          <w:szCs w:val="20"/>
          <w:lang w:val="en-US" w:eastAsia="en-US"/>
        </w:rPr>
      </w:pPr>
      <m:oMath>
        <m:r>
          <w:rPr>
            <w:rFonts w:ascii="Cambria Math" w:eastAsia="Calibri" w:hAnsi="Cambria Math"/>
            <w:szCs w:val="20"/>
            <w:lang w:val="en-US" w:eastAsia="en-US"/>
          </w:rPr>
          <m:t>A'</m:t>
        </m:r>
      </m:oMath>
      <w:r w:rsidR="00BF049A" w:rsidRPr="00C903F8">
        <w:rPr>
          <w:rFonts w:eastAsia="Calibri"/>
          <w:szCs w:val="20"/>
          <w:lang w:val="en-US" w:eastAsia="en-US"/>
        </w:rPr>
        <w:tab/>
        <w:t>lateral plane above water</w:t>
      </w:r>
      <w:r w:rsidRPr="00C903F8">
        <w:rPr>
          <w:rFonts w:eastAsia="Calibri"/>
          <w:szCs w:val="20"/>
          <w:lang w:val="en-US" w:eastAsia="en-US"/>
        </w:rPr>
        <w:t xml:space="preserve"> with the vessel laden [</w:t>
      </w:r>
      <w:r w:rsidR="00BF049A" w:rsidRPr="00C903F8">
        <w:rPr>
          <w:rFonts w:eastAsia="Calibri"/>
          <w:szCs w:val="20"/>
          <w:lang w:val="en-US" w:eastAsia="en-US"/>
        </w:rPr>
        <w:t>m</w:t>
      </w:r>
      <w:r w:rsidR="00BF049A" w:rsidRPr="00C903F8">
        <w:rPr>
          <w:rFonts w:eastAsia="Calibri"/>
          <w:szCs w:val="20"/>
          <w:vertAlign w:val="superscript"/>
          <w:lang w:val="en-US" w:eastAsia="en-US"/>
        </w:rPr>
        <w:t>2</w:t>
      </w:r>
      <w:r w:rsidRPr="00C903F8">
        <w:rPr>
          <w:rFonts w:eastAsia="Calibri"/>
          <w:szCs w:val="20"/>
          <w:lang w:val="en-US" w:eastAsia="en-US"/>
        </w:rPr>
        <w:t xml:space="preserve">]; </w:t>
      </w:r>
    </w:p>
    <w:p w:rsidR="00BF049A" w:rsidRPr="00C903F8" w:rsidRDefault="00333A30" w:rsidP="000153B3">
      <w:pPr>
        <w:pStyle w:val="EStiret"/>
        <w:ind w:left="1701" w:hanging="709"/>
        <w:rPr>
          <w:rFonts w:eastAsia="Calibri"/>
          <w:szCs w:val="20"/>
          <w:lang w:val="en-US" w:eastAsia="en-US"/>
        </w:rPr>
      </w:pPr>
      <m:oMath>
        <m:r>
          <w:rPr>
            <w:rFonts w:ascii="Cambria Math" w:eastAsia="Calibri" w:hAnsi="Cambria Math"/>
            <w:szCs w:val="20"/>
            <w:lang w:val="en-US" w:eastAsia="en-US"/>
          </w:rPr>
          <m:t>D'</m:t>
        </m:r>
      </m:oMath>
      <w:r w:rsidR="00BF049A" w:rsidRPr="00C903F8">
        <w:rPr>
          <w:rFonts w:eastAsia="Calibri"/>
          <w:szCs w:val="20"/>
          <w:lang w:val="en-US" w:eastAsia="en-US"/>
        </w:rPr>
        <w:tab/>
        <w:t>displacement of the lad</w:t>
      </w:r>
      <w:r w:rsidR="00DA4114" w:rsidRPr="00C903F8">
        <w:rPr>
          <w:rFonts w:eastAsia="Calibri"/>
          <w:szCs w:val="20"/>
          <w:lang w:val="en-US" w:eastAsia="en-US"/>
        </w:rPr>
        <w:t>en vessel [t]</w:t>
      </w:r>
      <w:r w:rsidR="00BF049A" w:rsidRPr="00C903F8">
        <w:rPr>
          <w:rFonts w:eastAsia="Calibri"/>
          <w:szCs w:val="20"/>
          <w:lang w:val="en-US" w:eastAsia="en-US"/>
        </w:rPr>
        <w:t>;</w:t>
      </w:r>
    </w:p>
    <w:p w:rsidR="00BF049A" w:rsidRPr="00C903F8" w:rsidRDefault="00F12BAF" w:rsidP="000153B3">
      <w:pPr>
        <w:pStyle w:val="EStiret"/>
        <w:ind w:left="1701" w:hanging="709"/>
        <w:rPr>
          <w:rFonts w:eastAsia="Calibri"/>
          <w:szCs w:val="20"/>
          <w:lang w:val="en-US" w:eastAsia="en-US"/>
        </w:rPr>
      </w:pPr>
      <m:oMath>
        <m:sSub>
          <m:sSubPr>
            <m:ctrlPr>
              <w:rPr>
                <w:rFonts w:ascii="Cambria Math" w:eastAsia="Calibri" w:hAnsi="Cambria Math"/>
                <w:i/>
                <w:szCs w:val="20"/>
                <w:lang w:val="en-US" w:eastAsia="en-US"/>
              </w:rPr>
            </m:ctrlPr>
          </m:sSubPr>
          <m:e>
            <m:r>
              <w:rPr>
                <w:rFonts w:ascii="Cambria Math" w:eastAsia="Calibri" w:hAnsi="Cambria Math"/>
                <w:szCs w:val="20"/>
                <w:lang w:val="en-US" w:eastAsia="en-US"/>
              </w:rPr>
              <m:t>l</m:t>
            </m:r>
          </m:e>
          <m:sub>
            <m:r>
              <w:rPr>
                <w:rFonts w:ascii="Cambria Math" w:eastAsia="Calibri" w:hAnsi="Cambria Math"/>
                <w:szCs w:val="20"/>
                <w:lang w:val="en-US" w:eastAsia="en-US"/>
              </w:rPr>
              <m:t>W</m:t>
            </m:r>
          </m:sub>
        </m:sSub>
      </m:oMath>
      <w:r w:rsidR="00BF049A" w:rsidRPr="00C903F8">
        <w:rPr>
          <w:rFonts w:eastAsia="Calibri"/>
          <w:szCs w:val="20"/>
          <w:lang w:val="en-US" w:eastAsia="en-US"/>
        </w:rPr>
        <w:tab/>
        <w:t>height of the centre of gravity of the lateral plane A' above the respective waterline [m];</w:t>
      </w:r>
    </w:p>
    <w:p w:rsidR="00BF049A" w:rsidRPr="00C903F8" w:rsidRDefault="007C7C40" w:rsidP="000153B3">
      <w:pPr>
        <w:pStyle w:val="EStiret"/>
        <w:ind w:left="1701" w:hanging="709"/>
        <w:rPr>
          <w:rFonts w:eastAsia="Calibri"/>
          <w:szCs w:val="20"/>
          <w:lang w:val="en-US" w:eastAsia="en-US"/>
        </w:rPr>
      </w:pPr>
      <m:oMath>
        <m:r>
          <w:rPr>
            <w:rFonts w:ascii="Cambria Math" w:eastAsia="Calibri" w:hAnsi="Cambria Math"/>
            <w:szCs w:val="20"/>
            <w:lang w:val="en-US" w:eastAsia="en-US"/>
          </w:rPr>
          <m:t>T'</m:t>
        </m:r>
      </m:oMath>
      <w:r w:rsidR="000153B3" w:rsidRPr="00C903F8">
        <w:rPr>
          <w:rFonts w:eastAsia="Calibri"/>
          <w:szCs w:val="20"/>
          <w:lang w:val="en-US" w:eastAsia="en-US"/>
        </w:rPr>
        <w:tab/>
      </w:r>
      <w:r w:rsidR="00BF049A" w:rsidRPr="00C903F8">
        <w:rPr>
          <w:rFonts w:eastAsia="Calibri"/>
          <w:szCs w:val="20"/>
          <w:lang w:val="en-US" w:eastAsia="en-US"/>
        </w:rPr>
        <w:t>draught of the laden vessel [m].</w:t>
      </w:r>
    </w:p>
    <w:p w:rsidR="00AB4321" w:rsidRPr="00C903F8" w:rsidRDefault="00AB4321" w:rsidP="00BF049A">
      <w:pPr>
        <w:pStyle w:val="ESch"/>
        <w:rPr>
          <w:noProof/>
          <w:lang w:val="en-GB" w:eastAsia="en-US"/>
        </w:rPr>
      </w:pPr>
    </w:p>
    <w:p w:rsidR="00BF049A" w:rsidRPr="00C903F8" w:rsidRDefault="00BF049A" w:rsidP="00AB4321">
      <w:pPr>
        <w:pStyle w:val="ESlet"/>
        <w:rPr>
          <w:noProof/>
          <w:lang w:val="en-GB" w:eastAsia="en-US"/>
        </w:rPr>
      </w:pPr>
      <w:r w:rsidRPr="00C903F8">
        <w:rPr>
          <w:noProof/>
          <w:lang w:val="en-GB" w:eastAsia="en-US"/>
        </w:rPr>
        <w:t>e)</w:t>
      </w:r>
      <w:r w:rsidRPr="00C903F8">
        <w:rPr>
          <w:noProof/>
          <w:lang w:val="en-GB" w:eastAsia="en-US"/>
        </w:rPr>
        <w:tab/>
        <w:t>The heeling lever resulting from the free surfaces of rainwater and residual water within the hold or the double bottom shall be determined in accordance with the following formula:</w:t>
      </w:r>
    </w:p>
    <w:p w:rsidR="008F61C4" w:rsidRPr="00C903F8" w:rsidRDefault="00F12BAF" w:rsidP="008F61C4">
      <w:pPr>
        <w:pStyle w:val="ESlet"/>
        <w:ind w:left="0" w:firstLine="0"/>
        <w:rPr>
          <w:rFonts w:cs="Arial"/>
          <w:szCs w:val="18"/>
          <w:lang w:val="en-US" w:eastAsia="en-US"/>
        </w:rPr>
      </w:pPr>
      <m:oMathPara>
        <m:oMath>
          <m:sSub>
            <m:sSubPr>
              <m:ctrlPr>
                <w:rPr>
                  <w:rFonts w:ascii="Cambria Math" w:hAnsi="Cambria Math" w:cs="Arial"/>
                  <w:i/>
                  <w:szCs w:val="18"/>
                  <w:lang w:val="en-US" w:eastAsia="en-US"/>
                </w:rPr>
              </m:ctrlPr>
            </m:sSubPr>
            <m:e>
              <m:r>
                <w:rPr>
                  <w:rFonts w:ascii="Cambria Math" w:hAnsi="Cambria Math" w:cs="Arial"/>
                  <w:szCs w:val="18"/>
                  <w:lang w:val="en-US" w:eastAsia="en-US"/>
                </w:rPr>
                <m:t>h</m:t>
              </m:r>
            </m:e>
            <m:sub>
              <m:r>
                <w:rPr>
                  <w:rFonts w:ascii="Cambria Math" w:hAnsi="Cambria Math" w:cs="Arial"/>
                  <w:szCs w:val="18"/>
                  <w:lang w:val="en-US" w:eastAsia="en-US"/>
                </w:rPr>
                <m:t>KfO</m:t>
              </m:r>
            </m:sub>
          </m:sSub>
          <m:r>
            <w:rPr>
              <w:rFonts w:ascii="Cambria Math" w:hAnsi="Cambria Math" w:cs="Arial"/>
              <w:szCs w:val="18"/>
              <w:lang w:val="en-US" w:eastAsia="en-US"/>
            </w:rPr>
            <m:t xml:space="preserve">= </m:t>
          </m:r>
          <m:f>
            <m:fPr>
              <m:ctrlPr>
                <w:rPr>
                  <w:rFonts w:ascii="Cambria Math" w:hAnsi="Cambria Math" w:cs="Arial"/>
                  <w:i/>
                  <w:szCs w:val="18"/>
                  <w:lang w:val="en-US" w:eastAsia="en-US"/>
                </w:rPr>
              </m:ctrlPr>
            </m:fPr>
            <m:num>
              <m:sSub>
                <m:sSubPr>
                  <m:ctrlPr>
                    <w:rPr>
                      <w:rFonts w:ascii="Cambria Math" w:hAnsi="Cambria Math" w:cs="Arial"/>
                      <w:i/>
                      <w:szCs w:val="18"/>
                      <w:lang w:val="en-US" w:eastAsia="en-US"/>
                    </w:rPr>
                  </m:ctrlPr>
                </m:sSubPr>
                <m:e>
                  <m:r>
                    <w:rPr>
                      <w:rFonts w:ascii="Cambria Math" w:hAnsi="Cambria Math" w:cs="Arial"/>
                      <w:szCs w:val="18"/>
                      <w:lang w:val="en-US" w:eastAsia="en-US"/>
                    </w:rPr>
                    <m:t>c</m:t>
                  </m:r>
                </m:e>
                <m:sub>
                  <m:r>
                    <w:rPr>
                      <w:rFonts w:ascii="Cambria Math" w:hAnsi="Cambria Math" w:cs="Arial"/>
                      <w:szCs w:val="18"/>
                      <w:lang w:val="en-US" w:eastAsia="en-US"/>
                    </w:rPr>
                    <m:t>KfO</m:t>
                  </m:r>
                </m:sub>
              </m:sSub>
            </m:num>
            <m:den>
              <m:r>
                <w:rPr>
                  <w:rFonts w:ascii="Cambria Math" w:hAnsi="Cambria Math" w:cs="Arial"/>
                  <w:szCs w:val="18"/>
                  <w:lang w:val="en-US" w:eastAsia="en-US"/>
                </w:rPr>
                <m:t>D'</m:t>
              </m:r>
            </m:den>
          </m:f>
          <m:r>
            <w:rPr>
              <w:rFonts w:ascii="Cambria Math" w:hAnsi="Cambria Math" w:cs="Arial"/>
              <w:szCs w:val="18"/>
              <w:lang w:val="en-US" w:eastAsia="en-US"/>
            </w:rPr>
            <m:t xml:space="preserve"> ∙ </m:t>
          </m:r>
          <m:nary>
            <m:naryPr>
              <m:chr m:val="∑"/>
              <m:limLoc m:val="undOvr"/>
              <m:subHide m:val="1"/>
              <m:supHide m:val="1"/>
              <m:ctrlPr>
                <w:rPr>
                  <w:rFonts w:ascii="Cambria Math" w:hAnsi="Cambria Math" w:cs="Arial"/>
                  <w:i/>
                  <w:szCs w:val="18"/>
                  <w:lang w:val="en-US" w:eastAsia="en-US"/>
                </w:rPr>
              </m:ctrlPr>
            </m:naryPr>
            <m:sub/>
            <m:sup/>
            <m:e>
              <m:d>
                <m:dPr>
                  <m:ctrlPr>
                    <w:rPr>
                      <w:rFonts w:ascii="Cambria Math" w:hAnsi="Cambria Math" w:cs="Arial"/>
                      <w:i/>
                      <w:szCs w:val="18"/>
                      <w:lang w:val="en-US" w:eastAsia="en-US"/>
                    </w:rPr>
                  </m:ctrlPr>
                </m:dPr>
                <m:e>
                  <m:r>
                    <w:rPr>
                      <w:rFonts w:ascii="Cambria Math" w:hAnsi="Cambria Math" w:cs="Arial"/>
                      <w:szCs w:val="18"/>
                      <w:lang w:val="en-US" w:eastAsia="en-US"/>
                    </w:rPr>
                    <m:t xml:space="preserve">b ∙l ∙ </m:t>
                  </m:r>
                  <m:d>
                    <m:dPr>
                      <m:ctrlPr>
                        <w:rPr>
                          <w:rFonts w:ascii="Cambria Math" w:hAnsi="Cambria Math" w:cs="Arial"/>
                          <w:i/>
                          <w:szCs w:val="18"/>
                          <w:lang w:val="en-US" w:eastAsia="en-US"/>
                        </w:rPr>
                      </m:ctrlPr>
                    </m:dPr>
                    <m:e>
                      <m:r>
                        <w:rPr>
                          <w:rFonts w:ascii="Cambria Math" w:hAnsi="Cambria Math" w:cs="Arial"/>
                          <w:szCs w:val="18"/>
                          <w:lang w:val="en-US" w:eastAsia="en-US"/>
                        </w:rPr>
                        <m:t xml:space="preserve">b-0,55 </m:t>
                      </m:r>
                      <m:rad>
                        <m:radPr>
                          <m:degHide m:val="1"/>
                          <m:ctrlPr>
                            <w:rPr>
                              <w:rFonts w:ascii="Cambria Math" w:hAnsi="Cambria Math" w:cs="Arial"/>
                              <w:i/>
                              <w:szCs w:val="18"/>
                              <w:lang w:val="en-US" w:eastAsia="en-US"/>
                            </w:rPr>
                          </m:ctrlPr>
                        </m:radPr>
                        <m:deg/>
                        <m:e>
                          <m:r>
                            <w:rPr>
                              <w:rFonts w:ascii="Cambria Math" w:hAnsi="Cambria Math" w:cs="Arial"/>
                              <w:szCs w:val="18"/>
                              <w:lang w:val="en-US" w:eastAsia="en-US"/>
                            </w:rPr>
                            <m:t>b</m:t>
                          </m:r>
                        </m:e>
                      </m:rad>
                    </m:e>
                  </m:d>
                </m:e>
              </m:d>
              <m:r>
                <w:rPr>
                  <w:rFonts w:ascii="Cambria Math" w:hAnsi="Cambria Math" w:cs="Arial"/>
                  <w:szCs w:val="18"/>
                  <w:lang w:val="en-US" w:eastAsia="en-US"/>
                </w:rPr>
                <m:t xml:space="preserve"> </m:t>
              </m:r>
              <m:d>
                <m:dPr>
                  <m:begChr m:val="["/>
                  <m:endChr m:val="]"/>
                  <m:ctrlPr>
                    <w:rPr>
                      <w:rFonts w:ascii="Cambria Math" w:hAnsi="Cambria Math" w:cs="Arial"/>
                      <w:i/>
                      <w:szCs w:val="18"/>
                      <w:lang w:val="en-US" w:eastAsia="en-US"/>
                    </w:rPr>
                  </m:ctrlPr>
                </m:dPr>
                <m:e>
                  <m:r>
                    <w:rPr>
                      <w:rFonts w:ascii="Cambria Math" w:hAnsi="Cambria Math" w:cs="Arial"/>
                      <w:szCs w:val="18"/>
                      <w:lang w:val="en-US" w:eastAsia="en-US"/>
                    </w:rPr>
                    <m:t>m</m:t>
                  </m:r>
                </m:e>
              </m:d>
            </m:e>
          </m:nary>
        </m:oMath>
      </m:oMathPara>
    </w:p>
    <w:p w:rsidR="00BF049A" w:rsidRPr="00C903F8" w:rsidRDefault="00BF049A" w:rsidP="00AB4321">
      <w:pPr>
        <w:pStyle w:val="EStiret"/>
        <w:rPr>
          <w:rFonts w:cs="Arial"/>
          <w:szCs w:val="20"/>
          <w:lang w:val="en-US" w:eastAsia="en-US"/>
        </w:rPr>
      </w:pPr>
      <w:r w:rsidRPr="00C903F8">
        <w:rPr>
          <w:szCs w:val="20"/>
          <w:lang w:val="en-GB" w:eastAsia="en-US"/>
        </w:rPr>
        <w:t>where:</w:t>
      </w:r>
    </w:p>
    <w:p w:rsidR="00BF049A" w:rsidRPr="00C903F8" w:rsidRDefault="00F12BAF" w:rsidP="000153B3">
      <w:pPr>
        <w:pStyle w:val="EStiret"/>
        <w:ind w:left="1701" w:hanging="709"/>
        <w:rPr>
          <w:rFonts w:eastAsia="Calibri" w:cs="Arial"/>
          <w:szCs w:val="20"/>
          <w:lang w:val="en-US" w:eastAsia="en-US"/>
        </w:rPr>
      </w:pPr>
      <m:oMath>
        <m:sSub>
          <m:sSubPr>
            <m:ctrlPr>
              <w:rPr>
                <w:rFonts w:ascii="Cambria Math" w:eastAsia="Calibri" w:hAnsi="Cambria Math"/>
                <w:i/>
                <w:lang w:val="en-US" w:eastAsia="en-US"/>
              </w:rPr>
            </m:ctrlPr>
          </m:sSubPr>
          <m:e>
            <m:r>
              <w:rPr>
                <w:rFonts w:ascii="Cambria Math" w:eastAsia="Calibri" w:hAnsi="Cambria Math"/>
                <w:lang w:val="en-US" w:eastAsia="en-US"/>
              </w:rPr>
              <m:t>c</m:t>
            </m:r>
          </m:e>
          <m:sub>
            <m:r>
              <w:rPr>
                <w:rFonts w:ascii="Cambria Math" w:eastAsia="Calibri" w:hAnsi="Cambria Math"/>
                <w:lang w:val="en-US" w:eastAsia="en-US"/>
              </w:rPr>
              <m:t>KfO</m:t>
            </m:r>
          </m:sub>
        </m:sSub>
      </m:oMath>
      <w:r w:rsidR="000153B3" w:rsidRPr="00C903F8">
        <w:rPr>
          <w:rFonts w:eastAsia="Calibri" w:cs="Arial"/>
          <w:szCs w:val="20"/>
          <w:lang w:val="en-US" w:eastAsia="en-US"/>
        </w:rPr>
        <w:tab/>
      </w:r>
      <w:r w:rsidR="00BF049A" w:rsidRPr="00C903F8">
        <w:rPr>
          <w:rFonts w:eastAsia="Calibri" w:cs="Arial"/>
          <w:szCs w:val="20"/>
          <w:lang w:val="en-US" w:eastAsia="en-US"/>
        </w:rPr>
        <w:t>param</w:t>
      </w:r>
      <w:r w:rsidR="00A56366" w:rsidRPr="00C903F8">
        <w:rPr>
          <w:rFonts w:eastAsia="Calibri" w:cs="Arial"/>
          <w:szCs w:val="20"/>
          <w:lang w:val="en-US" w:eastAsia="en-US"/>
        </w:rPr>
        <w:t>ete</w:t>
      </w:r>
      <w:r w:rsidR="00BF049A" w:rsidRPr="00C903F8">
        <w:rPr>
          <w:rFonts w:eastAsia="Calibri" w:cs="Arial"/>
          <w:szCs w:val="20"/>
          <w:lang w:val="en-US" w:eastAsia="en-US"/>
        </w:rPr>
        <w:t>r</w:t>
      </w:r>
      <w:r w:rsidR="007C7C40" w:rsidRPr="00C903F8">
        <w:rPr>
          <w:rFonts w:eastAsia="Calibri" w:cs="Arial"/>
          <w:szCs w:val="20"/>
          <w:lang w:val="en-US" w:eastAsia="en-US"/>
        </w:rPr>
        <w:t xml:space="preserve"> </w:t>
      </w:r>
      <m:oMath>
        <m:d>
          <m:dPr>
            <m:ctrlPr>
              <w:rPr>
                <w:rFonts w:ascii="Cambria Math" w:eastAsia="Calibri" w:hAnsi="Cambria Math"/>
                <w:i/>
                <w:szCs w:val="16"/>
                <w:lang w:val="en-US" w:eastAsia="en-US"/>
              </w:rPr>
            </m:ctrlPr>
          </m:dPr>
          <m:e>
            <m:sSub>
              <m:sSubPr>
                <m:ctrlPr>
                  <w:rPr>
                    <w:rFonts w:ascii="Cambria Math" w:eastAsia="Calibri" w:hAnsi="Cambria Math"/>
                    <w:i/>
                    <w:szCs w:val="16"/>
                    <w:lang w:val="en-US" w:eastAsia="en-US"/>
                  </w:rPr>
                </m:ctrlPr>
              </m:sSubPr>
              <m:e>
                <m:r>
                  <w:rPr>
                    <w:rFonts w:ascii="Cambria Math" w:eastAsia="Calibri" w:hAnsi="Cambria Math"/>
                    <w:szCs w:val="16"/>
                    <w:lang w:val="en-US" w:eastAsia="en-US"/>
                  </w:rPr>
                  <m:t>c</m:t>
                </m:r>
              </m:e>
              <m:sub>
                <m:r>
                  <w:rPr>
                    <w:rFonts w:ascii="Cambria Math" w:eastAsia="Calibri" w:hAnsi="Cambria Math"/>
                    <w:szCs w:val="16"/>
                    <w:lang w:val="en-US" w:eastAsia="en-US"/>
                  </w:rPr>
                  <m:t>KfO</m:t>
                </m:r>
              </m:sub>
            </m:sSub>
            <m:r>
              <w:rPr>
                <w:rFonts w:ascii="Cambria Math" w:eastAsia="Calibri" w:hAnsi="Cambria Math"/>
                <w:szCs w:val="16"/>
                <w:lang w:val="en-US" w:eastAsia="en-US"/>
              </w:rPr>
              <m:t>=0,015</m:t>
            </m:r>
          </m:e>
        </m:d>
      </m:oMath>
      <w:r w:rsidR="00BF049A" w:rsidRPr="00C903F8">
        <w:rPr>
          <w:rFonts w:eastAsia="Calibri" w:cs="Arial"/>
          <w:szCs w:val="20"/>
          <w:lang w:val="en-US" w:eastAsia="en-US"/>
        </w:rPr>
        <w:t xml:space="preserve"> [t/m</w:t>
      </w:r>
      <w:r w:rsidR="00BF049A" w:rsidRPr="00C903F8">
        <w:rPr>
          <w:rFonts w:eastAsia="Calibri" w:cs="Arial"/>
          <w:position w:val="6"/>
          <w:sz w:val="16"/>
          <w:szCs w:val="20"/>
          <w:lang w:val="en-US" w:eastAsia="en-US"/>
        </w:rPr>
        <w:t>2</w:t>
      </w:r>
      <w:r w:rsidR="00DA4114" w:rsidRPr="00C903F8">
        <w:rPr>
          <w:rFonts w:eastAsia="Calibri" w:cs="Arial"/>
          <w:szCs w:val="20"/>
          <w:lang w:val="en-US" w:eastAsia="en-US"/>
        </w:rPr>
        <w:t>]</w:t>
      </w:r>
      <w:r w:rsidR="00BF049A" w:rsidRPr="00C903F8">
        <w:rPr>
          <w:rFonts w:eastAsia="Calibri" w:cs="Arial"/>
          <w:szCs w:val="20"/>
          <w:lang w:val="en-US" w:eastAsia="en-US"/>
        </w:rPr>
        <w:t>;</w:t>
      </w:r>
    </w:p>
    <w:p w:rsidR="00BF049A" w:rsidRPr="00C903F8" w:rsidRDefault="007C7C40" w:rsidP="000153B3">
      <w:pPr>
        <w:pStyle w:val="EStiret"/>
        <w:ind w:left="1701" w:hanging="709"/>
        <w:rPr>
          <w:rFonts w:eastAsia="Calibri" w:cs="Arial"/>
          <w:szCs w:val="20"/>
          <w:lang w:val="en-US" w:eastAsia="en-US"/>
        </w:rPr>
      </w:pPr>
      <m:oMath>
        <m:r>
          <w:rPr>
            <w:rFonts w:ascii="Cambria Math" w:eastAsia="Calibri" w:hAnsi="Cambria Math" w:cs="Arial"/>
            <w:szCs w:val="20"/>
            <w:lang w:val="en-US" w:eastAsia="en-US"/>
          </w:rPr>
          <m:t>b</m:t>
        </m:r>
      </m:oMath>
      <w:r w:rsidR="00BF049A" w:rsidRPr="00C903F8">
        <w:rPr>
          <w:rFonts w:eastAsia="Calibri" w:cs="Arial"/>
          <w:szCs w:val="20"/>
          <w:lang w:val="en-US" w:eastAsia="en-US"/>
        </w:rPr>
        <w:tab/>
        <w:t>width of hold or sect</w:t>
      </w:r>
      <w:r w:rsidR="00ED0C30" w:rsidRPr="00C903F8">
        <w:rPr>
          <w:rFonts w:eastAsia="Calibri" w:cs="Arial"/>
          <w:szCs w:val="20"/>
          <w:lang w:val="en-US" w:eastAsia="en-US"/>
        </w:rPr>
        <w:t>ion of the hold in question [m]</w:t>
      </w:r>
      <w:r w:rsidR="00BF049A" w:rsidRPr="00C903F8">
        <w:rPr>
          <w:rFonts w:eastAsia="Calibri" w:cs="Arial"/>
          <w:szCs w:val="20"/>
          <w:lang w:val="en-US" w:eastAsia="en-US"/>
        </w:rPr>
        <w:t>;</w:t>
      </w:r>
      <w:r w:rsidR="0007393A" w:rsidRPr="00C903F8">
        <w:rPr>
          <w:rStyle w:val="FootnoteReference"/>
          <w:rFonts w:eastAsia="Calibri" w:cs="Arial"/>
          <w:szCs w:val="20"/>
          <w:lang w:val="en-US" w:eastAsia="en-US"/>
        </w:rPr>
        <w:footnoteReference w:customMarkFollows="1" w:id="23"/>
        <w:t>*</w:t>
      </w:r>
    </w:p>
    <w:p w:rsidR="00BF049A" w:rsidRPr="00C903F8" w:rsidRDefault="007C7C40" w:rsidP="000153B3">
      <w:pPr>
        <w:pStyle w:val="EStiret"/>
        <w:ind w:left="1701" w:hanging="709"/>
        <w:rPr>
          <w:rFonts w:eastAsia="Calibri" w:cs="Arial"/>
          <w:szCs w:val="20"/>
          <w:vertAlign w:val="superscript"/>
          <w:lang w:val="en-US" w:eastAsia="en-US"/>
        </w:rPr>
      </w:pPr>
      <m:oMath>
        <m:r>
          <w:rPr>
            <w:rFonts w:ascii="Cambria Math" w:eastAsia="Calibri" w:hAnsi="Cambria Math" w:cs="Arial"/>
            <w:szCs w:val="20"/>
            <w:lang w:val="en-US" w:eastAsia="en-US"/>
          </w:rPr>
          <m:t>l</m:t>
        </m:r>
      </m:oMath>
      <w:r w:rsidR="00BF049A" w:rsidRPr="00C903F8">
        <w:rPr>
          <w:rFonts w:eastAsia="Calibri" w:cs="Arial"/>
          <w:szCs w:val="20"/>
          <w:lang w:val="en-US" w:eastAsia="en-US"/>
        </w:rPr>
        <w:tab/>
        <w:t>length of hold or section of the hold in que</w:t>
      </w:r>
      <w:r w:rsidR="00ED0C30" w:rsidRPr="00C903F8">
        <w:rPr>
          <w:rFonts w:eastAsia="Calibri" w:cs="Arial"/>
          <w:szCs w:val="20"/>
          <w:lang w:val="en-US" w:eastAsia="en-US"/>
        </w:rPr>
        <w:t>stion [m]</w:t>
      </w:r>
      <w:r w:rsidR="00BF049A" w:rsidRPr="00C903F8">
        <w:rPr>
          <w:rFonts w:eastAsia="Calibri" w:cs="Arial"/>
          <w:szCs w:val="20"/>
          <w:lang w:val="en-US" w:eastAsia="en-US"/>
        </w:rPr>
        <w:t>;</w:t>
      </w:r>
      <w:r w:rsidR="0007393A" w:rsidRPr="00C903F8">
        <w:rPr>
          <w:rFonts w:eastAsia="Calibri" w:cs="Arial"/>
          <w:szCs w:val="20"/>
          <w:vertAlign w:val="superscript"/>
          <w:lang w:val="en-US" w:eastAsia="en-US"/>
        </w:rPr>
        <w:t>*</w:t>
      </w:r>
    </w:p>
    <w:p w:rsidR="00BF049A" w:rsidRPr="00C903F8" w:rsidRDefault="007C7C40" w:rsidP="000153B3">
      <w:pPr>
        <w:pStyle w:val="EStiret"/>
        <w:ind w:left="1701" w:hanging="709"/>
        <w:rPr>
          <w:rFonts w:eastAsia="Calibri" w:cs="Arial"/>
          <w:szCs w:val="20"/>
          <w:lang w:val="en-US" w:eastAsia="en-US"/>
        </w:rPr>
      </w:pPr>
      <m:oMath>
        <m:r>
          <w:rPr>
            <w:rFonts w:ascii="Cambria Math" w:eastAsia="Calibri" w:hAnsi="Cambria Math" w:cs="Arial"/>
            <w:szCs w:val="20"/>
            <w:lang w:val="en-US" w:eastAsia="en-US"/>
          </w:rPr>
          <m:t>D'</m:t>
        </m:r>
      </m:oMath>
      <w:r w:rsidR="000153B3" w:rsidRPr="00C903F8">
        <w:rPr>
          <w:rFonts w:eastAsia="Calibri" w:cs="Arial"/>
          <w:szCs w:val="20"/>
          <w:lang w:val="en-US" w:eastAsia="en-US"/>
        </w:rPr>
        <w:tab/>
      </w:r>
      <w:r w:rsidR="00BF049A" w:rsidRPr="00C903F8">
        <w:rPr>
          <w:rFonts w:eastAsia="Calibri" w:cs="Arial"/>
          <w:szCs w:val="20"/>
          <w:lang w:val="en-US" w:eastAsia="en-US"/>
        </w:rPr>
        <w:t>displacement of the laden vessel [t]</w:t>
      </w:r>
      <w:r w:rsidR="00A56366" w:rsidRPr="00C903F8">
        <w:rPr>
          <w:rFonts w:eastAsia="Calibri" w:cs="Arial"/>
          <w:szCs w:val="20"/>
          <w:lang w:val="en-US" w:eastAsia="en-US"/>
        </w:rPr>
        <w:t>.</w:t>
      </w:r>
    </w:p>
    <w:p w:rsidR="00AB4321" w:rsidRPr="00C903F8" w:rsidRDefault="00AB4321" w:rsidP="00BF049A">
      <w:pPr>
        <w:pStyle w:val="ESch"/>
        <w:rPr>
          <w:noProof/>
          <w:lang w:val="en-GB" w:eastAsia="en-US"/>
        </w:rPr>
      </w:pPr>
    </w:p>
    <w:p w:rsidR="00BF049A" w:rsidRPr="00C903F8" w:rsidRDefault="00BF049A" w:rsidP="00AB4321">
      <w:pPr>
        <w:pStyle w:val="ESlet"/>
        <w:rPr>
          <w:rFonts w:cs="Arial"/>
          <w:szCs w:val="18"/>
          <w:lang w:val="en-US" w:eastAsia="en-US"/>
        </w:rPr>
      </w:pPr>
      <w:r w:rsidRPr="00C903F8">
        <w:rPr>
          <w:noProof/>
          <w:lang w:val="en-GB" w:eastAsia="en-US"/>
        </w:rPr>
        <w:t>f)</w:t>
      </w:r>
      <w:r w:rsidRPr="00C903F8">
        <w:rPr>
          <w:noProof/>
          <w:lang w:val="en-GB" w:eastAsia="en-US"/>
        </w:rPr>
        <w:tab/>
        <w:t>Half of the fuel and fresh water supply shall be taken into account for each load</w:t>
      </w:r>
      <w:r w:rsidR="002E3EAE" w:rsidRPr="00C903F8">
        <w:rPr>
          <w:noProof/>
          <w:lang w:val="en-GB" w:eastAsia="en-US"/>
        </w:rPr>
        <w:t>ing</w:t>
      </w:r>
      <w:r w:rsidRPr="00C903F8">
        <w:rPr>
          <w:noProof/>
          <w:lang w:val="en-GB" w:eastAsia="en-US"/>
        </w:rPr>
        <w:t xml:space="preserve"> condition.</w:t>
      </w:r>
    </w:p>
    <w:p w:rsidR="00AB4321" w:rsidRPr="00C903F8" w:rsidRDefault="00AB4321" w:rsidP="00BF049A">
      <w:pPr>
        <w:pStyle w:val="ESch"/>
        <w:rPr>
          <w:noProof/>
          <w:lang w:val="en-GB" w:eastAsia="en-US"/>
        </w:rPr>
      </w:pPr>
    </w:p>
    <w:p w:rsidR="00BF049A" w:rsidRPr="00C903F8" w:rsidRDefault="00BF049A" w:rsidP="00BF049A">
      <w:pPr>
        <w:pStyle w:val="ESch"/>
        <w:rPr>
          <w:noProof/>
          <w:lang w:val="en-GB" w:eastAsia="en-US"/>
        </w:rPr>
      </w:pPr>
      <w:r w:rsidRPr="00C903F8">
        <w:rPr>
          <w:noProof/>
          <w:lang w:val="en-GB" w:eastAsia="en-US"/>
        </w:rPr>
        <w:t>2.</w:t>
      </w:r>
      <w:r w:rsidRPr="00C903F8">
        <w:rPr>
          <w:noProof/>
          <w:lang w:val="en-GB" w:eastAsia="en-US"/>
        </w:rPr>
        <w:tab/>
        <w:t>The stability of a vessel carrying non-secured containers shall be considered to be sufficient if the effective</w:t>
      </w:r>
      <w:r w:rsidR="007C7C40" w:rsidRPr="00C903F8">
        <w:rPr>
          <w:noProof/>
          <w:lang w:val="en-GB" w:eastAsia="en-US"/>
        </w:rPr>
        <w:t xml:space="preserve"> </w:t>
      </w:r>
      <m:oMath>
        <m:acc>
          <m:accPr>
            <m:chr m:val="̅"/>
            <m:ctrlPr>
              <w:rPr>
                <w:rFonts w:ascii="Cambria Math" w:hAnsi="Cambria Math"/>
                <w:i/>
                <w:noProof/>
                <w:lang w:val="en-GB" w:eastAsia="en-US"/>
              </w:rPr>
            </m:ctrlPr>
          </m:accPr>
          <m:e>
            <m:r>
              <w:rPr>
                <w:rFonts w:ascii="Cambria Math" w:hAnsi="Cambria Math"/>
                <w:noProof/>
                <w:lang w:val="en-GB" w:eastAsia="en-US"/>
              </w:rPr>
              <m:t>KG</m:t>
            </m:r>
          </m:e>
        </m:acc>
      </m:oMath>
      <w:r w:rsidRPr="00C903F8">
        <w:rPr>
          <w:noProof/>
          <w:lang w:val="en-GB" w:eastAsia="en-US"/>
        </w:rPr>
        <w:t xml:space="preserve"> does not exceed the</w:t>
      </w:r>
      <w:r w:rsidR="007C7C40" w:rsidRPr="00C903F8">
        <w:rPr>
          <w:noProof/>
          <w:lang w:val="en-GB" w:eastAsia="en-US"/>
        </w:rPr>
        <w:t xml:space="preserve"> </w:t>
      </w:r>
      <m:oMath>
        <m:sSub>
          <m:sSubPr>
            <m:ctrlPr>
              <w:rPr>
                <w:rFonts w:ascii="Cambria Math" w:hAnsi="Cambria Math"/>
                <w:i/>
                <w:noProof/>
                <w:lang w:val="en-GB" w:eastAsia="en-US"/>
              </w:rPr>
            </m:ctrlPr>
          </m:sSubPr>
          <m:e>
            <m:acc>
              <m:accPr>
                <m:chr m:val="̅"/>
                <m:ctrlPr>
                  <w:rPr>
                    <w:rFonts w:ascii="Cambria Math" w:hAnsi="Cambria Math"/>
                    <w:i/>
                    <w:noProof/>
                    <w:lang w:val="en-GB" w:eastAsia="en-US"/>
                  </w:rPr>
                </m:ctrlPr>
              </m:accPr>
              <m:e>
                <m:r>
                  <w:rPr>
                    <w:rFonts w:ascii="Cambria Math" w:hAnsi="Cambria Math"/>
                    <w:noProof/>
                    <w:lang w:val="en-GB" w:eastAsia="en-US"/>
                  </w:rPr>
                  <m:t>KG</m:t>
                </m:r>
              </m:e>
            </m:acc>
          </m:e>
          <m:sub>
            <m:r>
              <w:rPr>
                <w:rFonts w:ascii="Cambria Math" w:hAnsi="Cambria Math"/>
                <w:noProof/>
                <w:lang w:val="en-GB" w:eastAsia="en-US"/>
              </w:rPr>
              <m:t>zul</m:t>
            </m:r>
          </m:sub>
        </m:sSub>
      </m:oMath>
      <w:r w:rsidR="007C7C40" w:rsidRPr="00C903F8">
        <w:rPr>
          <w:noProof/>
          <w:lang w:val="en-GB" w:eastAsia="en-US"/>
        </w:rPr>
        <w:t xml:space="preserve"> </w:t>
      </w:r>
      <w:r w:rsidRPr="00C903F8">
        <w:rPr>
          <w:noProof/>
          <w:lang w:val="en-GB" w:eastAsia="en-US"/>
        </w:rPr>
        <w:t xml:space="preserve">resulting from the following formulae. The </w:t>
      </w:r>
      <m:oMath>
        <m:sSub>
          <m:sSubPr>
            <m:ctrlPr>
              <w:rPr>
                <w:rFonts w:ascii="Cambria Math" w:hAnsi="Cambria Math"/>
                <w:i/>
                <w:noProof/>
                <w:lang w:val="en-GB" w:eastAsia="en-US"/>
              </w:rPr>
            </m:ctrlPr>
          </m:sSubPr>
          <m:e>
            <m:acc>
              <m:accPr>
                <m:chr m:val="̅"/>
                <m:ctrlPr>
                  <w:rPr>
                    <w:rFonts w:ascii="Cambria Math" w:hAnsi="Cambria Math"/>
                    <w:i/>
                    <w:noProof/>
                    <w:lang w:val="en-GB" w:eastAsia="en-US"/>
                  </w:rPr>
                </m:ctrlPr>
              </m:accPr>
              <m:e>
                <m:r>
                  <w:rPr>
                    <w:rFonts w:ascii="Cambria Math" w:hAnsi="Cambria Math"/>
                    <w:noProof/>
                    <w:lang w:val="en-GB" w:eastAsia="en-US"/>
                  </w:rPr>
                  <m:t>KG</m:t>
                </m:r>
              </m:e>
            </m:acc>
          </m:e>
          <m:sub>
            <m:r>
              <w:rPr>
                <w:rFonts w:ascii="Cambria Math" w:hAnsi="Cambria Math"/>
                <w:noProof/>
                <w:lang w:val="en-GB" w:eastAsia="en-US"/>
              </w:rPr>
              <m:t>zul</m:t>
            </m:r>
          </m:sub>
        </m:sSub>
      </m:oMath>
      <w:r w:rsidR="00BD3403" w:rsidRPr="00C903F8">
        <w:rPr>
          <w:lang w:val="en-US"/>
        </w:rPr>
        <w:t xml:space="preserve"> </w:t>
      </w:r>
      <w:r w:rsidRPr="00C903F8">
        <w:rPr>
          <w:noProof/>
          <w:lang w:val="en-GB" w:eastAsia="en-US"/>
        </w:rPr>
        <w:t>shall be calculated for various displacements covering the entire range of draughts</w:t>
      </w:r>
      <w:r w:rsidR="00441E77" w:rsidRPr="00C903F8">
        <w:rPr>
          <w:noProof/>
          <w:lang w:val="en-GB" w:eastAsia="en-US"/>
        </w:rPr>
        <w:t>:</w:t>
      </w:r>
    </w:p>
    <w:p w:rsidR="00487BDA" w:rsidRPr="00C903F8" w:rsidRDefault="00487BDA" w:rsidP="00BF049A">
      <w:pPr>
        <w:pStyle w:val="ESch"/>
        <w:rPr>
          <w:noProof/>
          <w:lang w:val="en-GB" w:eastAsia="en-US"/>
        </w:rPr>
      </w:pPr>
    </w:p>
    <w:p w:rsidR="00487BDA" w:rsidRPr="00C903F8" w:rsidRDefault="00487BDA" w:rsidP="00BF049A">
      <w:pPr>
        <w:pStyle w:val="ESch"/>
        <w:rPr>
          <w:rFonts w:cs="Arial"/>
          <w:szCs w:val="18"/>
          <w:lang w:val="en-US" w:eastAsia="en-US"/>
        </w:rPr>
      </w:pPr>
      <w:r w:rsidRPr="00C903F8">
        <w:rPr>
          <w:noProof/>
          <w:lang w:val="en-GB" w:eastAsia="en-US"/>
        </w:rPr>
        <w:br w:type="page"/>
      </w:r>
    </w:p>
    <w:p w:rsidR="00487BDA" w:rsidRPr="00C903F8" w:rsidRDefault="005C7859" w:rsidP="00487BDA">
      <w:pPr>
        <w:pStyle w:val="ESlet"/>
        <w:rPr>
          <w:rFonts w:eastAsia="Calibri"/>
          <w:noProof/>
          <w:lang w:val="en-US" w:eastAsia="en-US"/>
        </w:rPr>
      </w:pPr>
      <w:r w:rsidRPr="00C903F8">
        <w:rPr>
          <w:rFonts w:eastAsia="Calibri"/>
          <w:noProof/>
          <w:lang w:val="en-US" w:eastAsia="en-US"/>
        </w:rPr>
        <w:lastRenderedPageBreak/>
        <w:t>a)</w:t>
      </w:r>
    </w:p>
    <w:p w:rsidR="001C29FD" w:rsidRPr="00C903F8" w:rsidRDefault="00F12BAF" w:rsidP="001C29FD">
      <w:pPr>
        <w:pStyle w:val="ESlet"/>
        <w:ind w:left="0" w:firstLine="0"/>
        <w:rPr>
          <w:rFonts w:eastAsia="Calibri"/>
          <w:lang w:val="en-US" w:eastAsia="en-US"/>
        </w:rPr>
      </w:pPr>
      <m:oMathPara>
        <m:oMath>
          <m:sSub>
            <m:sSubPr>
              <m:ctrlPr>
                <w:rPr>
                  <w:rFonts w:ascii="Cambria Math" w:eastAsia="Calibri" w:hAnsi="Cambria Math"/>
                  <w:i/>
                  <w:lang w:val="en-US" w:eastAsia="en-US"/>
                </w:rPr>
              </m:ctrlPr>
            </m:sSubPr>
            <m:e>
              <m:acc>
                <m:accPr>
                  <m:chr m:val="̅"/>
                  <m:ctrlPr>
                    <w:rPr>
                      <w:rFonts w:ascii="Cambria Math" w:eastAsia="Calibri" w:hAnsi="Cambria Math"/>
                      <w:i/>
                      <w:lang w:val="en-US" w:eastAsia="en-US"/>
                    </w:rPr>
                  </m:ctrlPr>
                </m:accPr>
                <m:e>
                  <m:r>
                    <w:rPr>
                      <w:rFonts w:ascii="Cambria Math" w:eastAsia="Calibri" w:hAnsi="Cambria Math"/>
                      <w:lang w:val="en-US" w:eastAsia="en-US"/>
                    </w:rPr>
                    <m:t>KG</m:t>
                  </m:r>
                </m:e>
              </m:acc>
            </m:e>
            <m:sub>
              <m:r>
                <w:rPr>
                  <w:rFonts w:ascii="Cambria Math" w:eastAsia="Calibri" w:hAnsi="Cambria Math"/>
                  <w:lang w:val="en-US" w:eastAsia="en-US"/>
                </w:rPr>
                <m:t>zul</m:t>
              </m:r>
            </m:sub>
          </m:sSub>
          <m:r>
            <w:rPr>
              <w:rFonts w:ascii="Cambria Math" w:eastAsia="Calibri" w:hAnsi="Cambria Math"/>
              <w:lang w:val="en-US" w:eastAsia="en-US"/>
            </w:rPr>
            <m:t xml:space="preserve">= </m:t>
          </m:r>
          <m:f>
            <m:fPr>
              <m:ctrlPr>
                <w:rPr>
                  <w:rFonts w:ascii="Cambria Math" w:eastAsia="Calibri" w:hAnsi="Cambria Math"/>
                  <w:i/>
                  <w:lang w:val="en-US" w:eastAsia="en-US"/>
                </w:rPr>
              </m:ctrlPr>
            </m:fPr>
            <m:num>
              <m:acc>
                <m:accPr>
                  <m:chr m:val="̅"/>
                  <m:ctrlPr>
                    <w:rPr>
                      <w:rFonts w:ascii="Cambria Math" w:eastAsia="Calibri" w:hAnsi="Cambria Math"/>
                      <w:i/>
                      <w:lang w:val="en-US" w:eastAsia="en-US"/>
                    </w:rPr>
                  </m:ctrlPr>
                </m:accPr>
                <m:e>
                  <m:r>
                    <w:rPr>
                      <w:rFonts w:ascii="Cambria Math" w:eastAsia="Calibri" w:hAnsi="Cambria Math"/>
                      <w:lang w:val="en-US" w:eastAsia="en-US"/>
                    </w:rPr>
                    <m:t>KM</m:t>
                  </m:r>
                </m:e>
              </m:acc>
              <m:r>
                <w:rPr>
                  <w:rFonts w:ascii="Cambria Math" w:eastAsia="Calibri" w:hAnsi="Cambria Math"/>
                  <w:lang w:val="en-US" w:eastAsia="en-US"/>
                </w:rPr>
                <m:t xml:space="preserve">+ </m:t>
              </m:r>
              <m:f>
                <m:fPr>
                  <m:ctrlPr>
                    <w:rPr>
                      <w:rFonts w:ascii="Cambria Math" w:eastAsia="Calibri" w:hAnsi="Cambria Math"/>
                      <w:i/>
                      <w:lang w:val="en-US" w:eastAsia="en-US"/>
                    </w:rPr>
                  </m:ctrlPr>
                </m:fPr>
                <m:num>
                  <m:sSub>
                    <m:sSubPr>
                      <m:ctrlPr>
                        <w:rPr>
                          <w:rFonts w:ascii="Cambria Math" w:eastAsia="Calibri" w:hAnsi="Cambria Math"/>
                          <w:i/>
                          <w:lang w:val="en-US" w:eastAsia="en-US"/>
                        </w:rPr>
                      </m:ctrlPr>
                    </m:sSubPr>
                    <m:e>
                      <m:r>
                        <w:rPr>
                          <w:rFonts w:ascii="Cambria Math" w:eastAsia="Calibri" w:hAnsi="Cambria Math"/>
                          <w:lang w:val="en-US" w:eastAsia="en-US"/>
                        </w:rPr>
                        <m:t>B</m:t>
                      </m:r>
                    </m:e>
                    <m:sub>
                      <m:r>
                        <w:rPr>
                          <w:rFonts w:ascii="Cambria Math" w:eastAsia="Calibri" w:hAnsi="Cambria Math"/>
                          <w:lang w:val="en-US" w:eastAsia="en-US"/>
                        </w:rPr>
                        <m:t>WL</m:t>
                      </m:r>
                    </m:sub>
                  </m:sSub>
                </m:num>
                <m:den>
                  <m:r>
                    <w:rPr>
                      <w:rFonts w:ascii="Cambria Math" w:eastAsia="Calibri" w:hAnsi="Cambria Math"/>
                      <w:lang w:val="en-US" w:eastAsia="en-US"/>
                    </w:rPr>
                    <m:t>2F</m:t>
                  </m:r>
                </m:den>
              </m:f>
              <m:r>
                <w:rPr>
                  <w:rFonts w:ascii="Cambria Math" w:eastAsia="Calibri" w:hAnsi="Cambria Math"/>
                  <w:lang w:val="en-US" w:eastAsia="en-US"/>
                </w:rPr>
                <m:t xml:space="preserve"> ∙ </m:t>
              </m:r>
              <m:d>
                <m:dPr>
                  <m:ctrlPr>
                    <w:rPr>
                      <w:rFonts w:ascii="Cambria Math" w:eastAsia="Calibri" w:hAnsi="Cambria Math"/>
                      <w:i/>
                      <w:lang w:val="en-US" w:eastAsia="en-US"/>
                    </w:rPr>
                  </m:ctrlPr>
                </m:dPr>
                <m:e>
                  <m:r>
                    <w:rPr>
                      <w:rFonts w:ascii="Cambria Math" w:eastAsia="Calibri" w:hAnsi="Cambria Math"/>
                      <w:lang w:val="en-US" w:eastAsia="en-US"/>
                    </w:rPr>
                    <m:t xml:space="preserve">Z ∙ </m:t>
                  </m:r>
                  <m:f>
                    <m:fPr>
                      <m:ctrlPr>
                        <w:rPr>
                          <w:rFonts w:ascii="Cambria Math" w:eastAsia="Calibri" w:hAnsi="Cambria Math"/>
                          <w:i/>
                          <w:lang w:val="en-US" w:eastAsia="en-US"/>
                        </w:rPr>
                      </m:ctrlPr>
                    </m:fPr>
                    <m:num>
                      <m:sSub>
                        <m:sSubPr>
                          <m:ctrlPr>
                            <w:rPr>
                              <w:rFonts w:ascii="Cambria Math" w:eastAsia="Calibri" w:hAnsi="Cambria Math"/>
                              <w:i/>
                              <w:lang w:val="en-US" w:eastAsia="en-US"/>
                            </w:rPr>
                          </m:ctrlPr>
                        </m:sSubPr>
                        <m:e>
                          <m:r>
                            <w:rPr>
                              <w:rFonts w:ascii="Cambria Math" w:eastAsia="Calibri" w:hAnsi="Cambria Math"/>
                              <w:lang w:val="en-US" w:eastAsia="en-US"/>
                            </w:rPr>
                            <m:t>T</m:t>
                          </m:r>
                        </m:e>
                        <m:sub>
                          <m:r>
                            <w:rPr>
                              <w:rFonts w:ascii="Cambria Math" w:eastAsia="Calibri" w:hAnsi="Cambria Math"/>
                              <w:lang w:val="en-US" w:eastAsia="en-US"/>
                            </w:rPr>
                            <m:t>m</m:t>
                          </m:r>
                        </m:sub>
                      </m:sSub>
                    </m:num>
                    <m:den>
                      <m:r>
                        <w:rPr>
                          <w:rFonts w:ascii="Cambria Math" w:eastAsia="Calibri" w:hAnsi="Cambria Math"/>
                          <w:lang w:val="en-US" w:eastAsia="en-US"/>
                        </w:rPr>
                        <m:t>2</m:t>
                      </m:r>
                    </m:den>
                  </m:f>
                  <m:r>
                    <w:rPr>
                      <w:rFonts w:ascii="Cambria Math" w:eastAsia="Calibri" w:hAnsi="Cambria Math"/>
                      <w:lang w:val="en-US" w:eastAsia="en-US"/>
                    </w:rPr>
                    <m:t xml:space="preserve">- </m:t>
                  </m:r>
                  <m:sSub>
                    <m:sSubPr>
                      <m:ctrlPr>
                        <w:rPr>
                          <w:rFonts w:ascii="Cambria Math" w:eastAsia="Calibri" w:hAnsi="Cambria Math"/>
                          <w:i/>
                          <w:lang w:val="en-US" w:eastAsia="en-US"/>
                        </w:rPr>
                      </m:ctrlPr>
                    </m:sSubPr>
                    <m:e>
                      <m:r>
                        <w:rPr>
                          <w:rFonts w:ascii="Cambria Math" w:eastAsia="Calibri" w:hAnsi="Cambria Math"/>
                          <w:lang w:val="en-US" w:eastAsia="en-US"/>
                        </w:rPr>
                        <m:t>h</m:t>
                      </m:r>
                    </m:e>
                    <m:sub>
                      <m:r>
                        <w:rPr>
                          <w:rFonts w:ascii="Cambria Math" w:eastAsia="Calibri" w:hAnsi="Cambria Math"/>
                          <w:lang w:val="en-US" w:eastAsia="en-US"/>
                        </w:rPr>
                        <m:t>KW</m:t>
                      </m:r>
                    </m:sub>
                  </m:sSub>
                  <m:r>
                    <w:rPr>
                      <w:rFonts w:ascii="Cambria Math" w:eastAsia="Calibri" w:hAnsi="Cambria Math"/>
                      <w:lang w:val="en-US" w:eastAsia="en-US"/>
                    </w:rPr>
                    <m:t xml:space="preserve">- </m:t>
                  </m:r>
                  <m:sSub>
                    <m:sSubPr>
                      <m:ctrlPr>
                        <w:rPr>
                          <w:rFonts w:ascii="Cambria Math" w:eastAsia="Calibri" w:hAnsi="Cambria Math"/>
                          <w:i/>
                          <w:lang w:val="en-US" w:eastAsia="en-US"/>
                        </w:rPr>
                      </m:ctrlPr>
                    </m:sSubPr>
                    <m:e>
                      <m:r>
                        <w:rPr>
                          <w:rFonts w:ascii="Cambria Math" w:eastAsia="Calibri" w:hAnsi="Cambria Math"/>
                          <w:lang w:val="en-US" w:eastAsia="en-US"/>
                        </w:rPr>
                        <m:t>h</m:t>
                      </m:r>
                    </m:e>
                    <m:sub>
                      <m:r>
                        <w:rPr>
                          <w:rFonts w:ascii="Cambria Math" w:eastAsia="Calibri" w:hAnsi="Cambria Math"/>
                          <w:lang w:val="en-US" w:eastAsia="en-US"/>
                        </w:rPr>
                        <m:t>kFO</m:t>
                      </m:r>
                    </m:sub>
                  </m:sSub>
                </m:e>
              </m:d>
            </m:num>
            <m:den>
              <m:f>
                <m:fPr>
                  <m:ctrlPr>
                    <w:rPr>
                      <w:rFonts w:ascii="Cambria Math" w:eastAsia="Calibri" w:hAnsi="Cambria Math"/>
                      <w:i/>
                      <w:lang w:val="en-US" w:eastAsia="en-US"/>
                    </w:rPr>
                  </m:ctrlPr>
                </m:fPr>
                <m:num>
                  <m:sSub>
                    <m:sSubPr>
                      <m:ctrlPr>
                        <w:rPr>
                          <w:rFonts w:ascii="Cambria Math" w:eastAsia="Calibri" w:hAnsi="Cambria Math"/>
                          <w:i/>
                          <w:lang w:val="en-US" w:eastAsia="en-US"/>
                        </w:rPr>
                      </m:ctrlPr>
                    </m:sSubPr>
                    <m:e>
                      <m:r>
                        <w:rPr>
                          <w:rFonts w:ascii="Cambria Math" w:eastAsia="Calibri" w:hAnsi="Cambria Math"/>
                          <w:lang w:val="en-US" w:eastAsia="en-US"/>
                        </w:rPr>
                        <m:t>B</m:t>
                      </m:r>
                    </m:e>
                    <m:sub>
                      <m:r>
                        <w:rPr>
                          <w:rFonts w:ascii="Cambria Math" w:eastAsia="Calibri" w:hAnsi="Cambria Math"/>
                          <w:lang w:val="en-US" w:eastAsia="en-US"/>
                        </w:rPr>
                        <m:t>WL</m:t>
                      </m:r>
                    </m:sub>
                  </m:sSub>
                </m:num>
                <m:den>
                  <m:r>
                    <w:rPr>
                      <w:rFonts w:ascii="Cambria Math" w:eastAsia="Calibri" w:hAnsi="Cambria Math"/>
                      <w:lang w:val="en-US" w:eastAsia="en-US"/>
                    </w:rPr>
                    <m:t>2F</m:t>
                  </m:r>
                </m:den>
              </m:f>
              <m:r>
                <w:rPr>
                  <w:rFonts w:ascii="Cambria Math" w:eastAsia="Calibri" w:hAnsi="Cambria Math"/>
                  <w:lang w:val="en-US" w:eastAsia="en-US"/>
                </w:rPr>
                <m:t xml:space="preserve"> ∙Z+1</m:t>
              </m:r>
            </m:den>
          </m:f>
          <m:r>
            <w:rPr>
              <w:rFonts w:ascii="Cambria Math" w:eastAsia="Calibri" w:hAnsi="Cambria Math"/>
              <w:lang w:val="en-US" w:eastAsia="en-US"/>
            </w:rPr>
            <m:t xml:space="preserve"> </m:t>
          </m:r>
          <m:d>
            <m:dPr>
              <m:begChr m:val="["/>
              <m:endChr m:val="]"/>
              <m:ctrlPr>
                <w:rPr>
                  <w:rFonts w:ascii="Cambria Math" w:eastAsia="Calibri" w:hAnsi="Cambria Math"/>
                  <w:i/>
                  <w:lang w:val="en-US" w:eastAsia="en-US"/>
                </w:rPr>
              </m:ctrlPr>
            </m:dPr>
            <m:e>
              <m:r>
                <w:rPr>
                  <w:rFonts w:ascii="Cambria Math" w:eastAsia="Calibri" w:hAnsi="Cambria Math"/>
                  <w:lang w:val="en-US" w:eastAsia="en-US"/>
                </w:rPr>
                <m:t>m</m:t>
              </m:r>
            </m:e>
          </m:d>
        </m:oMath>
      </m:oMathPara>
    </w:p>
    <w:p w:rsidR="00BF049A" w:rsidRPr="00C903F8" w:rsidRDefault="00BF049A" w:rsidP="00487BDA">
      <w:pPr>
        <w:pStyle w:val="ESletpar"/>
        <w:rPr>
          <w:rFonts w:cs="Arial"/>
          <w:szCs w:val="18"/>
          <w:lang w:val="en-US"/>
        </w:rPr>
      </w:pPr>
      <w:r w:rsidRPr="00C903F8">
        <w:rPr>
          <w:noProof/>
          <w:lang w:val="en-GB"/>
        </w:rPr>
        <w:t>No value less than 11,5 (11,5 = 1/tan5°) shall be taken for</w:t>
      </w:r>
      <w:r w:rsidR="001C29FD" w:rsidRPr="00C903F8">
        <w:rPr>
          <w:noProof/>
          <w:lang w:val="en-GB"/>
        </w:rPr>
        <w:t xml:space="preserve"> </w:t>
      </w:r>
      <m:oMath>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B</m:t>
                </m:r>
              </m:e>
              <m:sub>
                <m:r>
                  <w:rPr>
                    <w:rFonts w:ascii="Cambria Math" w:hAnsi="Cambria Math"/>
                    <w:noProof/>
                    <w:lang w:val="en-GB"/>
                  </w:rPr>
                  <m:t>WL</m:t>
                </m:r>
              </m:sub>
            </m:sSub>
          </m:num>
          <m:den>
            <m:r>
              <w:rPr>
                <w:rFonts w:ascii="Cambria Math" w:hAnsi="Cambria Math"/>
                <w:noProof/>
                <w:lang w:val="en-GB"/>
              </w:rPr>
              <m:t>2F</m:t>
            </m:r>
          </m:den>
        </m:f>
      </m:oMath>
      <w:r w:rsidR="001C29FD" w:rsidRPr="00C903F8">
        <w:rPr>
          <w:noProof/>
          <w:lang w:val="en-GB"/>
        </w:rPr>
        <w:t xml:space="preserve"> </w:t>
      </w:r>
    </w:p>
    <w:p w:rsidR="00BF049A" w:rsidRPr="00C903F8" w:rsidRDefault="005C7859" w:rsidP="00487BDA">
      <w:pPr>
        <w:pStyle w:val="ESlet"/>
        <w:rPr>
          <w:rFonts w:cs="Arial"/>
          <w:szCs w:val="18"/>
          <w:lang w:val="en-US" w:eastAsia="en-US"/>
        </w:rPr>
      </w:pPr>
      <w:r w:rsidRPr="00C903F8">
        <w:rPr>
          <w:noProof/>
          <w:lang w:val="en-GB" w:eastAsia="en-US"/>
        </w:rPr>
        <w:t>b)</w:t>
      </w:r>
      <w:r w:rsidR="00BF049A" w:rsidRPr="00C903F8">
        <w:rPr>
          <w:noProof/>
          <w:lang w:val="en-GB" w:eastAsia="en-US"/>
        </w:rPr>
        <w:tab/>
      </w:r>
      <m:oMath>
        <m:sSub>
          <m:sSubPr>
            <m:ctrlPr>
              <w:rPr>
                <w:rFonts w:ascii="Cambria Math" w:hAnsi="Cambria Math"/>
                <w:i/>
                <w:noProof/>
                <w:lang w:val="en-GB" w:eastAsia="en-US"/>
              </w:rPr>
            </m:ctrlPr>
          </m:sSubPr>
          <m:e>
            <m:acc>
              <m:accPr>
                <m:chr m:val="̅"/>
                <m:ctrlPr>
                  <w:rPr>
                    <w:rFonts w:ascii="Cambria Math" w:hAnsi="Cambria Math"/>
                    <w:i/>
                    <w:noProof/>
                    <w:lang w:val="en-GB" w:eastAsia="en-US"/>
                  </w:rPr>
                </m:ctrlPr>
              </m:accPr>
              <m:e>
                <m:r>
                  <w:rPr>
                    <w:rFonts w:ascii="Cambria Math" w:hAnsi="Cambria Math"/>
                    <w:noProof/>
                    <w:lang w:val="en-GB" w:eastAsia="en-US"/>
                  </w:rPr>
                  <m:t>KG</m:t>
                </m:r>
              </m:e>
            </m:acc>
          </m:e>
          <m:sub>
            <m:r>
              <w:rPr>
                <w:rFonts w:ascii="Cambria Math" w:hAnsi="Cambria Math"/>
                <w:noProof/>
                <w:lang w:val="en-GB" w:eastAsia="en-US"/>
              </w:rPr>
              <m:t>zul</m:t>
            </m:r>
          </m:sub>
        </m:sSub>
        <m:r>
          <w:rPr>
            <w:rFonts w:ascii="Cambria Math" w:hAnsi="Cambria Math"/>
            <w:noProof/>
            <w:lang w:val="en-GB" w:eastAsia="en-US"/>
          </w:rPr>
          <m:t xml:space="preserve">= </m:t>
        </m:r>
        <m:acc>
          <m:accPr>
            <m:chr m:val="̅"/>
            <m:ctrlPr>
              <w:rPr>
                <w:rFonts w:ascii="Cambria Math" w:hAnsi="Cambria Math"/>
                <w:i/>
                <w:noProof/>
                <w:lang w:val="en-GB" w:eastAsia="en-US"/>
              </w:rPr>
            </m:ctrlPr>
          </m:accPr>
          <m:e>
            <m:r>
              <w:rPr>
                <w:rFonts w:ascii="Cambria Math" w:hAnsi="Cambria Math"/>
                <w:noProof/>
                <w:lang w:val="en-GB" w:eastAsia="en-US"/>
              </w:rPr>
              <m:t>KM</m:t>
            </m:r>
          </m:e>
        </m:acc>
        <m:r>
          <w:rPr>
            <w:rFonts w:ascii="Cambria Math" w:hAnsi="Cambria Math"/>
            <w:noProof/>
            <w:lang w:val="en-GB" w:eastAsia="en-US"/>
          </w:rPr>
          <m:t xml:space="preserve">-1,00 </m:t>
        </m:r>
        <m:d>
          <m:dPr>
            <m:begChr m:val="["/>
            <m:endChr m:val="]"/>
            <m:ctrlPr>
              <w:rPr>
                <w:rFonts w:ascii="Cambria Math" w:hAnsi="Cambria Math"/>
                <w:i/>
                <w:noProof/>
                <w:lang w:val="en-GB" w:eastAsia="en-US"/>
              </w:rPr>
            </m:ctrlPr>
          </m:dPr>
          <m:e>
            <m:r>
              <w:rPr>
                <w:rFonts w:ascii="Cambria Math" w:hAnsi="Cambria Math"/>
                <w:noProof/>
                <w:lang w:val="en-GB" w:eastAsia="en-US"/>
              </w:rPr>
              <m:t>m</m:t>
            </m:r>
          </m:e>
        </m:d>
      </m:oMath>
    </w:p>
    <w:p w:rsidR="00BF049A" w:rsidRPr="00C903F8" w:rsidRDefault="00BF049A" w:rsidP="00487BDA">
      <w:pPr>
        <w:pStyle w:val="ESletpar"/>
        <w:rPr>
          <w:rFonts w:cs="Arial"/>
          <w:szCs w:val="18"/>
          <w:lang w:val="en-US"/>
        </w:rPr>
      </w:pPr>
      <w:r w:rsidRPr="00C903F8">
        <w:rPr>
          <w:noProof/>
          <w:lang w:val="en-GB"/>
        </w:rPr>
        <w:t>The lowest value of</w:t>
      </w:r>
      <w:r w:rsidR="001C29FD" w:rsidRPr="00C903F8">
        <w:rPr>
          <w:noProof/>
          <w:lang w:val="en-GB"/>
        </w:rPr>
        <w:t xml:space="preserve"> </w:t>
      </w:r>
      <m:oMath>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KG</m:t>
                </m:r>
              </m:e>
            </m:acc>
          </m:e>
          <m:sub>
            <m:r>
              <w:rPr>
                <w:rFonts w:ascii="Cambria Math" w:hAnsi="Cambria Math"/>
                <w:noProof/>
                <w:lang w:val="en-GB"/>
              </w:rPr>
              <m:t>zul</m:t>
            </m:r>
          </m:sub>
        </m:sSub>
      </m:oMath>
      <w:r w:rsidR="001C29FD" w:rsidRPr="00C903F8">
        <w:rPr>
          <w:noProof/>
          <w:lang w:val="en-GB"/>
        </w:rPr>
        <w:t xml:space="preserve"> </w:t>
      </w:r>
      <w:r w:rsidRPr="00C903F8">
        <w:rPr>
          <w:noProof/>
          <w:lang w:val="en-GB"/>
        </w:rPr>
        <w:t>in accordance with formula (a) or (b) shall be decisive.</w:t>
      </w:r>
    </w:p>
    <w:p w:rsidR="00BF049A" w:rsidRPr="00C903F8" w:rsidRDefault="00BF049A" w:rsidP="00487BDA">
      <w:pPr>
        <w:pStyle w:val="ESletpar"/>
        <w:rPr>
          <w:rFonts w:cs="Arial"/>
          <w:szCs w:val="18"/>
          <w:lang w:val="en-US"/>
        </w:rPr>
      </w:pPr>
      <w:r w:rsidRPr="00C903F8">
        <w:rPr>
          <w:noProof/>
          <w:lang w:val="en-GB"/>
        </w:rPr>
        <w:t>Within the formulae:</w:t>
      </w:r>
    </w:p>
    <w:p w:rsidR="00487BDA" w:rsidRPr="00C903F8" w:rsidRDefault="00F12BAF" w:rsidP="00487BDA">
      <w:pPr>
        <w:pStyle w:val="EStiret"/>
        <w:ind w:left="1701" w:hanging="709"/>
        <w:rPr>
          <w:rFonts w:eastAsia="Calibri"/>
          <w:lang w:val="en-US" w:eastAsia="en-US"/>
        </w:rPr>
      </w:pPr>
      <m:oMath>
        <m:sSub>
          <m:sSubPr>
            <m:ctrlPr>
              <w:rPr>
                <w:rFonts w:ascii="Cambria Math" w:hAnsi="Cambria Math"/>
                <w:i/>
                <w:snapToGrid/>
                <w:color w:val="auto"/>
                <w:lang w:val="en-GB" w:eastAsia="de-DE" w:bidi="ar-SA"/>
              </w:rPr>
            </m:ctrlPr>
          </m:sSubPr>
          <m:e>
            <m:acc>
              <m:accPr>
                <m:chr m:val="̅"/>
                <m:ctrlPr>
                  <w:rPr>
                    <w:rFonts w:ascii="Cambria Math" w:hAnsi="Cambria Math"/>
                    <w:i/>
                    <w:snapToGrid/>
                    <w:color w:val="auto"/>
                    <w:lang w:val="en-GB" w:eastAsia="de-DE" w:bidi="ar-SA"/>
                  </w:rPr>
                </m:ctrlPr>
              </m:accPr>
              <m:e>
                <m:r>
                  <w:rPr>
                    <w:rFonts w:ascii="Cambria Math" w:hAnsi="Cambria Math"/>
                    <w:lang w:val="en-GB"/>
                  </w:rPr>
                  <m:t>KG</m:t>
                </m:r>
              </m:e>
            </m:acc>
          </m:e>
          <m:sub>
            <m:r>
              <w:rPr>
                <w:rFonts w:ascii="Cambria Math" w:hAnsi="Cambria Math"/>
                <w:lang w:val="en-GB"/>
              </w:rPr>
              <m:t>zul</m:t>
            </m:r>
          </m:sub>
        </m:sSub>
      </m:oMath>
      <w:r w:rsidR="00BF049A" w:rsidRPr="00C903F8">
        <w:rPr>
          <w:rFonts w:eastAsia="Calibri"/>
          <w:lang w:val="en-US" w:eastAsia="en-US"/>
        </w:rPr>
        <w:tab/>
        <w:t>maximum permissible height of the laden vessel's centre of gravity above its base [m];</w:t>
      </w:r>
    </w:p>
    <w:p w:rsidR="00BF049A" w:rsidRPr="00C903F8" w:rsidRDefault="00F12BAF" w:rsidP="00487BDA">
      <w:pPr>
        <w:pStyle w:val="EStiret"/>
        <w:ind w:left="1701" w:hanging="709"/>
        <w:rPr>
          <w:rFonts w:eastAsia="Calibri"/>
          <w:lang w:val="en-US" w:eastAsia="en-US"/>
        </w:rPr>
      </w:pPr>
      <m:oMath>
        <m:acc>
          <m:accPr>
            <m:chr m:val="̅"/>
            <m:ctrlPr>
              <w:rPr>
                <w:rFonts w:ascii="Cambria Math" w:eastAsia="Calibri" w:hAnsi="Cambria Math"/>
                <w:i/>
                <w:lang w:val="en-US" w:eastAsia="en-US"/>
              </w:rPr>
            </m:ctrlPr>
          </m:accPr>
          <m:e>
            <m:r>
              <w:rPr>
                <w:rFonts w:ascii="Cambria Math" w:eastAsia="Calibri" w:hAnsi="Cambria Math"/>
                <w:lang w:val="en-US" w:eastAsia="en-US"/>
              </w:rPr>
              <m:t>KM</m:t>
            </m:r>
          </m:e>
        </m:acc>
      </m:oMath>
      <w:r w:rsidR="00BF049A" w:rsidRPr="00C903F8">
        <w:rPr>
          <w:rFonts w:eastAsia="Calibri"/>
          <w:lang w:val="en-US" w:eastAsia="en-US"/>
        </w:rPr>
        <w:tab/>
        <w:t xml:space="preserve">height of the metacentre above the base [m] in accordance with the approximation formula in </w:t>
      </w:r>
      <w:r w:rsidR="007E1D94" w:rsidRPr="00C903F8">
        <w:rPr>
          <w:rFonts w:eastAsia="Calibri"/>
          <w:lang w:val="en-US" w:eastAsia="en-US"/>
        </w:rPr>
        <w:t>(</w:t>
      </w:r>
      <w:r w:rsidR="00BF049A" w:rsidRPr="00C903F8">
        <w:rPr>
          <w:rFonts w:eastAsia="Calibri"/>
          <w:lang w:val="en-US" w:eastAsia="en-US"/>
        </w:rPr>
        <w:t>3</w:t>
      </w:r>
      <w:r w:rsidR="007E1D94" w:rsidRPr="00C903F8">
        <w:rPr>
          <w:rFonts w:eastAsia="Calibri"/>
          <w:lang w:val="en-US" w:eastAsia="en-US"/>
        </w:rPr>
        <w:t>)</w:t>
      </w:r>
      <w:r w:rsidR="00BF049A" w:rsidRPr="00C903F8">
        <w:rPr>
          <w:rFonts w:eastAsia="Calibri"/>
          <w:lang w:val="en-US" w:eastAsia="en-US"/>
        </w:rPr>
        <w:t>;</w:t>
      </w:r>
    </w:p>
    <w:p w:rsidR="00BF049A" w:rsidRPr="00C903F8" w:rsidRDefault="00056313" w:rsidP="00487BDA">
      <w:pPr>
        <w:pStyle w:val="EStiret"/>
        <w:ind w:left="1701" w:hanging="709"/>
        <w:rPr>
          <w:rFonts w:eastAsia="Calibri"/>
          <w:lang w:val="en-US" w:eastAsia="en-US"/>
        </w:rPr>
      </w:pPr>
      <m:oMath>
        <m:r>
          <w:rPr>
            <w:rFonts w:ascii="Cambria Math" w:eastAsia="Calibri" w:hAnsi="Cambria Math"/>
            <w:lang w:val="en-US" w:eastAsia="en-US"/>
          </w:rPr>
          <m:t>F</m:t>
        </m:r>
      </m:oMath>
      <w:r w:rsidR="00BF049A" w:rsidRPr="00C903F8">
        <w:rPr>
          <w:rFonts w:eastAsia="Calibri"/>
          <w:lang w:val="en-US" w:eastAsia="en-US"/>
        </w:rPr>
        <w:tab/>
        <w:t>respective effective freeboard at</w:t>
      </w:r>
      <w:r w:rsidR="00EE69C0" w:rsidRPr="00C903F8">
        <w:rPr>
          <w:rFonts w:eastAsia="Calibri"/>
          <w:lang w:val="en-US" w:eastAsia="en-US"/>
        </w:rPr>
        <w:t xml:space="preserve"> </w:t>
      </w:r>
      <m:oMath>
        <m:f>
          <m:fPr>
            <m:ctrlPr>
              <w:rPr>
                <w:rFonts w:ascii="Cambria Math" w:eastAsia="Calibri" w:hAnsi="Cambria Math"/>
                <w:i/>
                <w:lang w:val="en-US" w:eastAsia="en-US"/>
              </w:rPr>
            </m:ctrlPr>
          </m:fPr>
          <m:num>
            <m:r>
              <w:rPr>
                <w:rFonts w:ascii="Cambria Math" w:eastAsia="Calibri" w:hAnsi="Cambria Math"/>
                <w:lang w:val="en-US" w:eastAsia="en-US"/>
              </w:rPr>
              <m:t>1</m:t>
            </m:r>
          </m:num>
          <m:den>
            <m:r>
              <w:rPr>
                <w:rFonts w:ascii="Cambria Math" w:eastAsia="Calibri" w:hAnsi="Cambria Math"/>
                <w:lang w:val="en-US" w:eastAsia="en-US"/>
              </w:rPr>
              <m:t>2</m:t>
            </m:r>
          </m:den>
        </m:f>
        <m:r>
          <w:rPr>
            <w:rFonts w:ascii="Cambria Math" w:eastAsia="Calibri" w:hAnsi="Cambria Math"/>
            <w:lang w:val="en-US" w:eastAsia="en-US"/>
          </w:rPr>
          <m:t xml:space="preserve"> L</m:t>
        </m:r>
      </m:oMath>
      <w:r w:rsidR="004B5897" w:rsidRPr="00C903F8">
        <w:rPr>
          <w:rFonts w:eastAsia="Calibri"/>
          <w:lang w:val="en-US" w:eastAsia="en-US"/>
        </w:rPr>
        <w:t xml:space="preserve"> </w:t>
      </w:r>
      <w:r w:rsidR="00BF049A" w:rsidRPr="00C903F8">
        <w:rPr>
          <w:rFonts w:eastAsia="Calibri"/>
          <w:lang w:val="en-US" w:eastAsia="en-US"/>
        </w:rPr>
        <w:t>[m];</w:t>
      </w:r>
    </w:p>
    <w:p w:rsidR="00BF049A" w:rsidRPr="00C903F8" w:rsidRDefault="00056313" w:rsidP="00487BDA">
      <w:pPr>
        <w:pStyle w:val="EStiret"/>
        <w:ind w:left="1701" w:hanging="709"/>
        <w:rPr>
          <w:lang w:val="en-GB" w:eastAsia="en-US"/>
        </w:rPr>
      </w:pPr>
      <m:oMath>
        <m:r>
          <w:rPr>
            <w:rFonts w:ascii="Cambria Math" w:hAnsi="Cambria Math"/>
            <w:lang w:val="en-GB" w:eastAsia="en-US"/>
          </w:rPr>
          <m:t>Z</m:t>
        </m:r>
      </m:oMath>
      <w:r w:rsidR="00487BDA" w:rsidRPr="00C903F8">
        <w:rPr>
          <w:lang w:val="en-GB" w:eastAsia="en-US"/>
        </w:rPr>
        <w:tab/>
      </w:r>
      <w:r w:rsidR="00BF049A" w:rsidRPr="00C903F8">
        <w:rPr>
          <w:lang w:val="en-GB" w:eastAsia="en-US"/>
        </w:rPr>
        <w:t>parameter for the centrifugal force resulting from turning</w:t>
      </w:r>
    </w:p>
    <w:p w:rsidR="004B5897" w:rsidRPr="00C903F8" w:rsidRDefault="004B5897" w:rsidP="00F670A2">
      <w:pPr>
        <w:pStyle w:val="ESch"/>
        <w:spacing w:before="60"/>
        <w:ind w:left="0" w:firstLine="0"/>
        <w:rPr>
          <w:rFonts w:eastAsia="Calibri" w:cs="Arial"/>
          <w:szCs w:val="18"/>
          <w:lang w:val="en-GB" w:eastAsia="en-US"/>
        </w:rPr>
      </w:pPr>
      <m:oMathPara>
        <m:oMath>
          <m:r>
            <w:rPr>
              <w:rFonts w:ascii="Cambria Math" w:eastAsia="Calibri" w:hAnsi="Cambria Math" w:cs="Arial"/>
              <w:szCs w:val="18"/>
              <w:lang w:val="en-GB" w:eastAsia="en-US"/>
            </w:rPr>
            <m:t xml:space="preserve">Z= </m:t>
          </m:r>
          <m:f>
            <m:fPr>
              <m:ctrlPr>
                <w:rPr>
                  <w:rFonts w:ascii="Cambria Math" w:eastAsia="Calibri" w:hAnsi="Cambria Math" w:cs="Arial"/>
                  <w:i/>
                  <w:szCs w:val="18"/>
                  <w:lang w:val="en-GB" w:eastAsia="en-US"/>
                </w:rPr>
              </m:ctrlPr>
            </m:fPr>
            <m:num>
              <m:sSup>
                <m:sSupPr>
                  <m:ctrlPr>
                    <w:rPr>
                      <w:rFonts w:ascii="Cambria Math" w:eastAsia="Calibri" w:hAnsi="Cambria Math" w:cs="Arial"/>
                      <w:i/>
                      <w:szCs w:val="18"/>
                      <w:lang w:val="en-GB" w:eastAsia="en-US"/>
                    </w:rPr>
                  </m:ctrlPr>
                </m:sSupPr>
                <m:e>
                  <m:d>
                    <m:dPr>
                      <m:ctrlPr>
                        <w:rPr>
                          <w:rFonts w:ascii="Cambria Math" w:eastAsia="Calibri" w:hAnsi="Cambria Math" w:cs="Arial"/>
                          <w:i/>
                          <w:szCs w:val="18"/>
                          <w:lang w:val="en-GB" w:eastAsia="en-US"/>
                        </w:rPr>
                      </m:ctrlPr>
                    </m:dPr>
                    <m:e>
                      <m:r>
                        <w:rPr>
                          <w:rFonts w:ascii="Cambria Math" w:eastAsia="Calibri" w:hAnsi="Cambria Math" w:cs="Arial"/>
                          <w:szCs w:val="18"/>
                          <w:lang w:val="en-GB" w:eastAsia="en-US"/>
                        </w:rPr>
                        <m:t>0,7 ∙v</m:t>
                      </m:r>
                    </m:e>
                  </m:d>
                </m:e>
                <m:sup>
                  <m:r>
                    <w:rPr>
                      <w:rFonts w:ascii="Cambria Math" w:eastAsia="Calibri" w:hAnsi="Cambria Math" w:cs="Arial"/>
                      <w:szCs w:val="18"/>
                      <w:lang w:val="en-GB" w:eastAsia="en-US"/>
                    </w:rPr>
                    <m:t>2</m:t>
                  </m:r>
                </m:sup>
              </m:sSup>
            </m:num>
            <m:den>
              <m:r>
                <w:rPr>
                  <w:rFonts w:ascii="Cambria Math" w:eastAsia="Calibri" w:hAnsi="Cambria Math" w:cs="Arial"/>
                  <w:szCs w:val="18"/>
                  <w:lang w:val="en-GB" w:eastAsia="en-US"/>
                </w:rPr>
                <m:t xml:space="preserve">9,81 ∙1,25 </m:t>
              </m:r>
              <m:sSub>
                <m:sSubPr>
                  <m:ctrlPr>
                    <w:rPr>
                      <w:rFonts w:ascii="Cambria Math" w:eastAsia="Calibri" w:hAnsi="Cambria Math" w:cs="Arial"/>
                      <w:i/>
                      <w:szCs w:val="18"/>
                      <w:lang w:val="en-GB" w:eastAsia="en-US"/>
                    </w:rPr>
                  </m:ctrlPr>
                </m:sSubPr>
                <m:e>
                  <m:r>
                    <w:rPr>
                      <w:rFonts w:ascii="Cambria Math" w:eastAsia="Calibri" w:hAnsi="Cambria Math" w:cs="Arial"/>
                      <w:szCs w:val="18"/>
                      <w:lang w:val="en-GB" w:eastAsia="en-US"/>
                    </w:rPr>
                    <m:t>L</m:t>
                  </m:r>
                </m:e>
                <m:sub>
                  <m:r>
                    <w:rPr>
                      <w:rFonts w:ascii="Cambria Math" w:eastAsia="Calibri" w:hAnsi="Cambria Math" w:cs="Arial"/>
                      <w:szCs w:val="18"/>
                      <w:lang w:val="en-GB" w:eastAsia="en-US"/>
                    </w:rPr>
                    <m:t>WL</m:t>
                  </m:r>
                </m:sub>
              </m:sSub>
            </m:den>
          </m:f>
          <m:r>
            <w:rPr>
              <w:rFonts w:ascii="Cambria Math" w:eastAsia="Calibri" w:hAnsi="Cambria Math" w:cs="Arial"/>
              <w:szCs w:val="18"/>
              <w:lang w:val="en-GB" w:eastAsia="en-US"/>
            </w:rPr>
            <m:t xml:space="preserve">=0,04 ∙ </m:t>
          </m:r>
          <m:f>
            <m:fPr>
              <m:ctrlPr>
                <w:rPr>
                  <w:rFonts w:ascii="Cambria Math" w:eastAsia="Calibri" w:hAnsi="Cambria Math" w:cs="Arial"/>
                  <w:i/>
                  <w:szCs w:val="18"/>
                  <w:lang w:val="en-GB" w:eastAsia="en-US"/>
                </w:rPr>
              </m:ctrlPr>
            </m:fPr>
            <m:num>
              <m:sSup>
                <m:sSupPr>
                  <m:ctrlPr>
                    <w:rPr>
                      <w:rFonts w:ascii="Cambria Math" w:eastAsia="Calibri" w:hAnsi="Cambria Math" w:cs="Arial"/>
                      <w:i/>
                      <w:szCs w:val="18"/>
                      <w:lang w:val="en-GB" w:eastAsia="en-US"/>
                    </w:rPr>
                  </m:ctrlPr>
                </m:sSupPr>
                <m:e>
                  <m:r>
                    <w:rPr>
                      <w:rFonts w:ascii="Cambria Math" w:eastAsia="Calibri" w:hAnsi="Cambria Math" w:cs="Arial"/>
                      <w:szCs w:val="18"/>
                      <w:lang w:val="en-GB" w:eastAsia="en-US"/>
                    </w:rPr>
                    <m:t>v</m:t>
                  </m:r>
                </m:e>
                <m:sup>
                  <m:r>
                    <w:rPr>
                      <w:rFonts w:ascii="Cambria Math" w:eastAsia="Calibri" w:hAnsi="Cambria Math" w:cs="Arial"/>
                      <w:szCs w:val="18"/>
                      <w:lang w:val="en-GB" w:eastAsia="en-US"/>
                    </w:rPr>
                    <m:t>2</m:t>
                  </m:r>
                </m:sup>
              </m:sSup>
            </m:num>
            <m:den>
              <m:sSub>
                <m:sSubPr>
                  <m:ctrlPr>
                    <w:rPr>
                      <w:rFonts w:ascii="Cambria Math" w:eastAsia="Calibri" w:hAnsi="Cambria Math" w:cs="Arial"/>
                      <w:i/>
                      <w:szCs w:val="18"/>
                      <w:lang w:val="en-GB" w:eastAsia="en-US"/>
                    </w:rPr>
                  </m:ctrlPr>
                </m:sSubPr>
                <m:e>
                  <m:r>
                    <w:rPr>
                      <w:rFonts w:ascii="Cambria Math" w:eastAsia="Calibri" w:hAnsi="Cambria Math" w:cs="Arial"/>
                      <w:szCs w:val="18"/>
                      <w:lang w:val="en-GB" w:eastAsia="en-US"/>
                    </w:rPr>
                    <m:t>L</m:t>
                  </m:r>
                </m:e>
                <m:sub>
                  <m:r>
                    <w:rPr>
                      <w:rFonts w:ascii="Cambria Math" w:eastAsia="Calibri" w:hAnsi="Cambria Math" w:cs="Arial"/>
                      <w:szCs w:val="18"/>
                      <w:lang w:val="en-GB" w:eastAsia="en-US"/>
                    </w:rPr>
                    <m:t>WL</m:t>
                  </m:r>
                </m:sub>
              </m:sSub>
            </m:den>
          </m:f>
        </m:oMath>
      </m:oMathPara>
    </w:p>
    <w:p w:rsidR="00487BDA" w:rsidRPr="00C903F8" w:rsidRDefault="00487BDA" w:rsidP="00BF049A">
      <w:pPr>
        <w:pStyle w:val="ESch"/>
        <w:rPr>
          <w:rFonts w:eastAsia="Calibri" w:cs="Arial"/>
          <w:szCs w:val="18"/>
          <w:lang w:val="de-DE" w:eastAsia="en-US"/>
        </w:rPr>
      </w:pPr>
    </w:p>
    <w:p w:rsidR="00BF049A" w:rsidRPr="00C903F8" w:rsidRDefault="00056313" w:rsidP="00487BDA">
      <w:pPr>
        <w:pStyle w:val="EStiret"/>
        <w:ind w:left="1701" w:hanging="709"/>
        <w:rPr>
          <w:rFonts w:cs="Arial"/>
          <w:lang w:val="en-GB" w:eastAsia="en-US"/>
        </w:rPr>
      </w:pPr>
      <m:oMath>
        <m:r>
          <w:rPr>
            <w:rFonts w:ascii="Cambria Math" w:hAnsi="Cambria Math" w:cs="Arial"/>
            <w:lang w:val="en-GB" w:eastAsia="en-US"/>
          </w:rPr>
          <m:t>v</m:t>
        </m:r>
      </m:oMath>
      <w:r w:rsidR="00487BDA" w:rsidRPr="00C903F8">
        <w:rPr>
          <w:rFonts w:cs="Arial"/>
          <w:lang w:val="en-GB" w:eastAsia="en-US"/>
        </w:rPr>
        <w:tab/>
      </w:r>
      <w:r w:rsidR="00BF049A" w:rsidRPr="00C903F8">
        <w:rPr>
          <w:rFonts w:cs="Arial"/>
          <w:lang w:val="en-GB" w:eastAsia="en-US"/>
        </w:rPr>
        <w:t>maximum speed of the vessel in relation to the water [m/s];</w:t>
      </w:r>
    </w:p>
    <w:p w:rsidR="00BF049A" w:rsidRPr="00C903F8" w:rsidRDefault="00F12BAF" w:rsidP="00487BDA">
      <w:pPr>
        <w:pStyle w:val="EStiret"/>
        <w:ind w:left="1701" w:hanging="709"/>
        <w:rPr>
          <w:rFonts w:cs="Arial"/>
          <w:lang w:val="en-GB" w:eastAsia="en-US"/>
        </w:rPr>
      </w:pPr>
      <m:oMath>
        <m:sSub>
          <m:sSubPr>
            <m:ctrlPr>
              <w:rPr>
                <w:rFonts w:ascii="Cambria Math" w:hAnsi="Cambria Math" w:cs="Arial"/>
                <w:i/>
                <w:lang w:val="en-GB" w:eastAsia="en-US"/>
              </w:rPr>
            </m:ctrlPr>
          </m:sSubPr>
          <m:e>
            <m:r>
              <w:rPr>
                <w:rFonts w:ascii="Cambria Math" w:hAnsi="Cambria Math" w:cs="Arial"/>
                <w:lang w:val="en-GB" w:eastAsia="en-US"/>
              </w:rPr>
              <m:t>T</m:t>
            </m:r>
          </m:e>
          <m:sub>
            <m:r>
              <w:rPr>
                <w:rFonts w:ascii="Cambria Math" w:hAnsi="Cambria Math" w:cs="Arial"/>
                <w:lang w:val="en-GB" w:eastAsia="en-US"/>
              </w:rPr>
              <m:t>m</m:t>
            </m:r>
          </m:sub>
        </m:sSub>
      </m:oMath>
      <w:r w:rsidR="00BF049A" w:rsidRPr="00C903F8">
        <w:rPr>
          <w:rFonts w:cs="Arial"/>
          <w:lang w:val="en-GB" w:eastAsia="en-US"/>
        </w:rPr>
        <w:t xml:space="preserve"> </w:t>
      </w:r>
      <w:r w:rsidR="00487BDA" w:rsidRPr="00C903F8">
        <w:rPr>
          <w:rFonts w:cs="Arial"/>
          <w:lang w:val="en-GB" w:eastAsia="en-US"/>
        </w:rPr>
        <w:tab/>
      </w:r>
      <w:r w:rsidR="00BF049A" w:rsidRPr="00C903F8">
        <w:rPr>
          <w:rFonts w:cs="Arial"/>
          <w:lang w:val="en-GB" w:eastAsia="en-US"/>
        </w:rPr>
        <w:t>respective average draught [m];</w:t>
      </w:r>
    </w:p>
    <w:p w:rsidR="00BF049A" w:rsidRPr="00C903F8" w:rsidRDefault="00F12BAF" w:rsidP="00487BDA">
      <w:pPr>
        <w:pStyle w:val="EStiret"/>
        <w:ind w:left="1701" w:hanging="709"/>
        <w:rPr>
          <w:rFonts w:cs="Arial"/>
          <w:lang w:val="en-GB" w:eastAsia="en-US"/>
        </w:rPr>
      </w:pPr>
      <m:oMath>
        <m:sSub>
          <m:sSubPr>
            <m:ctrlPr>
              <w:rPr>
                <w:rFonts w:ascii="Cambria Math" w:hAnsi="Cambria Math" w:cs="Arial"/>
                <w:i/>
                <w:lang w:val="en-GB" w:eastAsia="en-US"/>
              </w:rPr>
            </m:ctrlPr>
          </m:sSubPr>
          <m:e>
            <m:r>
              <w:rPr>
                <w:rFonts w:ascii="Cambria Math" w:hAnsi="Cambria Math" w:cs="Arial"/>
                <w:lang w:val="en-GB" w:eastAsia="en-US"/>
              </w:rPr>
              <m:t>h</m:t>
            </m:r>
          </m:e>
          <m:sub>
            <m:r>
              <w:rPr>
                <w:rFonts w:ascii="Cambria Math" w:hAnsi="Cambria Math" w:cs="Arial"/>
                <w:lang w:val="en-GB" w:eastAsia="en-US"/>
              </w:rPr>
              <m:t>KW</m:t>
            </m:r>
          </m:sub>
        </m:sSub>
      </m:oMath>
      <w:r w:rsidR="00BF049A" w:rsidRPr="00C903F8">
        <w:rPr>
          <w:rFonts w:cs="Arial"/>
          <w:lang w:val="en-GB" w:eastAsia="en-US"/>
        </w:rPr>
        <w:tab/>
        <w:t xml:space="preserve">heeling lever resulting from lateral wind pressure according to </w:t>
      </w:r>
      <w:r w:rsidR="007E1D94" w:rsidRPr="00C903F8">
        <w:rPr>
          <w:rFonts w:cs="Arial"/>
          <w:lang w:val="en-GB" w:eastAsia="en-US"/>
        </w:rPr>
        <w:t>(</w:t>
      </w:r>
      <w:r w:rsidR="00BF049A" w:rsidRPr="00C903F8">
        <w:rPr>
          <w:rFonts w:cs="Arial"/>
          <w:lang w:val="en-GB" w:eastAsia="en-US"/>
        </w:rPr>
        <w:t>1</w:t>
      </w:r>
      <w:r w:rsidR="007E1D94" w:rsidRPr="00C903F8">
        <w:rPr>
          <w:rFonts w:cs="Arial"/>
          <w:lang w:val="en-GB" w:eastAsia="en-US"/>
        </w:rPr>
        <w:t>)</w:t>
      </w:r>
      <w:r w:rsidR="00BF049A" w:rsidRPr="00C903F8">
        <w:rPr>
          <w:rFonts w:cs="Arial"/>
          <w:lang w:val="en-GB" w:eastAsia="en-US"/>
        </w:rPr>
        <w:t>(d) [m];</w:t>
      </w:r>
    </w:p>
    <w:p w:rsidR="00BF049A" w:rsidRPr="00C903F8" w:rsidRDefault="00F12BAF" w:rsidP="00056313">
      <w:pPr>
        <w:pStyle w:val="EStiret"/>
        <w:ind w:left="1701" w:hanging="709"/>
        <w:rPr>
          <w:rFonts w:cs="Arial"/>
          <w:lang w:val="en-GB" w:eastAsia="en-US"/>
        </w:rPr>
      </w:pPr>
      <m:oMath>
        <m:sSub>
          <m:sSubPr>
            <m:ctrlPr>
              <w:rPr>
                <w:rFonts w:ascii="Cambria Math" w:hAnsi="Cambria Math" w:cs="Arial"/>
                <w:i/>
                <w:lang w:val="en-GB" w:eastAsia="en-US"/>
              </w:rPr>
            </m:ctrlPr>
          </m:sSubPr>
          <m:e>
            <m:r>
              <w:rPr>
                <w:rFonts w:ascii="Cambria Math" w:hAnsi="Cambria Math" w:cs="Arial"/>
                <w:lang w:val="en-GB" w:eastAsia="en-US"/>
              </w:rPr>
              <m:t>h</m:t>
            </m:r>
          </m:e>
          <m:sub>
            <m:r>
              <w:rPr>
                <w:rFonts w:ascii="Cambria Math" w:hAnsi="Cambria Math" w:cs="Arial"/>
                <w:lang w:val="en-GB" w:eastAsia="en-US"/>
              </w:rPr>
              <m:t>KfO</m:t>
            </m:r>
          </m:sub>
        </m:sSub>
      </m:oMath>
      <w:r w:rsidR="00056313" w:rsidRPr="00C903F8">
        <w:rPr>
          <w:rFonts w:cs="Arial"/>
          <w:lang w:val="en-GB" w:eastAsia="en-US"/>
        </w:rPr>
        <w:tab/>
      </w:r>
      <w:r w:rsidR="00BF049A" w:rsidRPr="00C903F8">
        <w:rPr>
          <w:rFonts w:cs="Arial"/>
          <w:lang w:val="en-GB" w:eastAsia="en-US"/>
        </w:rPr>
        <w:t xml:space="preserve">sum of the heeling levers resulting from the free surfaces of liquids according to </w:t>
      </w:r>
      <w:r w:rsidR="007E1D94" w:rsidRPr="00C903F8">
        <w:rPr>
          <w:rFonts w:cs="Arial"/>
          <w:lang w:val="en-GB" w:eastAsia="en-US"/>
        </w:rPr>
        <w:t>(</w:t>
      </w:r>
      <w:r w:rsidR="00BF049A" w:rsidRPr="00C903F8">
        <w:rPr>
          <w:rFonts w:cs="Arial"/>
          <w:lang w:val="en-GB" w:eastAsia="en-US"/>
        </w:rPr>
        <w:t>1</w:t>
      </w:r>
      <w:r w:rsidR="007E1D94" w:rsidRPr="00C903F8">
        <w:rPr>
          <w:rFonts w:cs="Arial"/>
          <w:lang w:val="en-GB" w:eastAsia="en-US"/>
        </w:rPr>
        <w:t>)</w:t>
      </w:r>
      <w:r w:rsidR="00BF049A" w:rsidRPr="00C903F8">
        <w:rPr>
          <w:rFonts w:cs="Arial"/>
          <w:lang w:val="en-GB" w:eastAsia="en-US"/>
        </w:rPr>
        <w:t xml:space="preserve">(e) </w:t>
      </w:r>
      <w:r w:rsidR="00DA4114" w:rsidRPr="00C903F8">
        <w:rPr>
          <w:rFonts w:cs="Arial"/>
          <w:lang w:val="en-GB" w:eastAsia="en-US"/>
        </w:rPr>
        <w:t>[</w:t>
      </w:r>
      <w:r w:rsidR="00BF049A" w:rsidRPr="00C903F8">
        <w:rPr>
          <w:rFonts w:cs="Arial"/>
          <w:lang w:val="en-GB" w:eastAsia="en-US"/>
        </w:rPr>
        <w:t>m</w:t>
      </w:r>
      <w:r w:rsidR="00DA4114" w:rsidRPr="00C903F8">
        <w:rPr>
          <w:rFonts w:cs="Arial"/>
          <w:lang w:val="en-GB" w:eastAsia="en-US"/>
        </w:rPr>
        <w:t>]</w:t>
      </w:r>
      <w:r w:rsidR="00BF049A" w:rsidRPr="00C903F8">
        <w:rPr>
          <w:rFonts w:cs="Arial"/>
          <w:lang w:val="en-GB" w:eastAsia="en-US"/>
        </w:rPr>
        <w:t>.</w:t>
      </w:r>
    </w:p>
    <w:p w:rsidR="00BF049A" w:rsidRPr="00C903F8" w:rsidRDefault="00BF049A" w:rsidP="00BF049A">
      <w:pPr>
        <w:pStyle w:val="ESch"/>
        <w:rPr>
          <w:noProof/>
          <w:szCs w:val="18"/>
          <w:lang w:val="en-GB" w:eastAsia="en-US"/>
        </w:rPr>
      </w:pPr>
    </w:p>
    <w:p w:rsidR="00BF049A" w:rsidRPr="00C903F8" w:rsidRDefault="00BF049A" w:rsidP="00BF049A">
      <w:pPr>
        <w:pStyle w:val="ESch"/>
        <w:rPr>
          <w:rFonts w:cs="Arial"/>
          <w:szCs w:val="18"/>
          <w:lang w:val="en-US" w:eastAsia="en-US"/>
        </w:rPr>
      </w:pPr>
      <w:r w:rsidRPr="00C903F8">
        <w:rPr>
          <w:noProof/>
          <w:szCs w:val="18"/>
          <w:lang w:val="en-GB" w:eastAsia="en-US"/>
        </w:rPr>
        <w:t>3.</w:t>
      </w:r>
      <w:r w:rsidRPr="00C903F8">
        <w:rPr>
          <w:noProof/>
          <w:szCs w:val="18"/>
          <w:lang w:val="en-GB" w:eastAsia="en-US"/>
        </w:rPr>
        <w:tab/>
        <w:t>Approximation formula for</w:t>
      </w:r>
      <w:r w:rsidR="00056313" w:rsidRPr="00C903F8">
        <w:rPr>
          <w:noProof/>
          <w:szCs w:val="18"/>
          <w:lang w:val="en-GB" w:eastAsia="en-US"/>
        </w:rPr>
        <w:t xml:space="preserve"> </w:t>
      </w:r>
      <m:oMath>
        <m:acc>
          <m:accPr>
            <m:chr m:val="̅"/>
            <m:ctrlPr>
              <w:rPr>
                <w:rFonts w:ascii="Cambria Math" w:eastAsia="Calibri" w:hAnsi="Cambria Math"/>
                <w:i/>
                <w:noProof/>
                <w:snapToGrid w:val="0"/>
                <w:color w:val="000000"/>
                <w:lang w:val="en-US" w:eastAsia="en-US" w:bidi="fr-FR"/>
              </w:rPr>
            </m:ctrlPr>
          </m:accPr>
          <m:e>
            <m:r>
              <w:rPr>
                <w:rFonts w:ascii="Cambria Math" w:eastAsia="Calibri" w:hAnsi="Cambria Math"/>
                <w:lang w:val="en-US" w:eastAsia="en-US"/>
              </w:rPr>
              <m:t>KM</m:t>
            </m:r>
          </m:e>
        </m:acc>
      </m:oMath>
      <w:r w:rsidRPr="00C903F8">
        <w:rPr>
          <w:noProof/>
          <w:szCs w:val="18"/>
          <w:lang w:val="en-GB" w:eastAsia="en-US"/>
        </w:rPr>
        <w:t>:</w:t>
      </w:r>
    </w:p>
    <w:p w:rsidR="003F1CB4" w:rsidRPr="00C903F8" w:rsidRDefault="003F1CB4" w:rsidP="003F1CB4">
      <w:pPr>
        <w:pStyle w:val="ESchpar"/>
        <w:rPr>
          <w:noProof/>
          <w:lang w:val="en-GB" w:eastAsia="en-US"/>
        </w:rPr>
      </w:pPr>
    </w:p>
    <w:p w:rsidR="00BF049A" w:rsidRPr="00C903F8" w:rsidRDefault="00BF049A" w:rsidP="003F1CB4">
      <w:pPr>
        <w:pStyle w:val="ESchpar"/>
        <w:rPr>
          <w:rFonts w:cs="Arial"/>
          <w:szCs w:val="18"/>
          <w:lang w:val="en-US" w:eastAsia="en-US"/>
        </w:rPr>
      </w:pPr>
      <w:r w:rsidRPr="00C903F8">
        <w:rPr>
          <w:noProof/>
          <w:lang w:val="en-GB" w:eastAsia="en-US"/>
        </w:rPr>
        <w:t xml:space="preserve">Where no sheet of hydrostatic curves is available the value </w:t>
      </w:r>
      <m:oMath>
        <m:acc>
          <m:accPr>
            <m:chr m:val="̅"/>
            <m:ctrlPr>
              <w:rPr>
                <w:rFonts w:ascii="Cambria Math" w:eastAsia="Calibri" w:hAnsi="Cambria Math"/>
                <w:i/>
                <w:noProof/>
                <w:snapToGrid w:val="0"/>
                <w:color w:val="000000"/>
                <w:lang w:val="en-US" w:eastAsia="en-US" w:bidi="fr-FR"/>
              </w:rPr>
            </m:ctrlPr>
          </m:accPr>
          <m:e>
            <m:r>
              <w:rPr>
                <w:rFonts w:ascii="Cambria Math" w:eastAsia="Calibri" w:hAnsi="Cambria Math"/>
                <w:lang w:val="en-US" w:eastAsia="en-US"/>
              </w:rPr>
              <m:t>KM</m:t>
            </m:r>
          </m:e>
        </m:acc>
      </m:oMath>
      <w:r w:rsidRPr="00C903F8">
        <w:rPr>
          <w:noProof/>
          <w:lang w:val="en-GB" w:eastAsia="en-US"/>
        </w:rPr>
        <w:t xml:space="preserve"> for the calculation in accordance with (2) and Article 27.03 (2), may be determined by the following approximation formulae:</w:t>
      </w:r>
    </w:p>
    <w:p w:rsidR="00BF049A" w:rsidRPr="00C903F8" w:rsidRDefault="005C7859" w:rsidP="003F1CB4">
      <w:pPr>
        <w:pStyle w:val="ESlet"/>
        <w:rPr>
          <w:noProof/>
          <w:lang w:val="en-GB" w:eastAsia="en-US"/>
        </w:rPr>
      </w:pPr>
      <w:r w:rsidRPr="00C903F8">
        <w:rPr>
          <w:noProof/>
          <w:lang w:val="en-GB" w:eastAsia="en-US"/>
        </w:rPr>
        <w:t>a)</w:t>
      </w:r>
      <w:r w:rsidR="003F1CB4" w:rsidRPr="00C903F8">
        <w:rPr>
          <w:noProof/>
          <w:lang w:val="en-GB" w:eastAsia="en-US"/>
        </w:rPr>
        <w:tab/>
      </w:r>
      <w:r w:rsidR="00BF049A" w:rsidRPr="00C903F8">
        <w:rPr>
          <w:noProof/>
          <w:lang w:val="en-GB" w:eastAsia="en-US"/>
        </w:rPr>
        <w:t>for vessels in the shape of a pontoon</w:t>
      </w:r>
    </w:p>
    <w:p w:rsidR="00EE69C0" w:rsidRPr="00C903F8" w:rsidRDefault="00F12BAF" w:rsidP="006B5BE0">
      <w:pPr>
        <w:pStyle w:val="ESlet"/>
        <w:ind w:left="0" w:firstLine="0"/>
        <w:rPr>
          <w:rFonts w:cs="Arial"/>
          <w:szCs w:val="18"/>
          <w:lang w:val="en-US" w:eastAsia="en-US"/>
        </w:rPr>
      </w:pPr>
      <m:oMathPara>
        <m:oMath>
          <m:acc>
            <m:accPr>
              <m:chr m:val="̅"/>
              <m:ctrlPr>
                <w:rPr>
                  <w:rFonts w:ascii="Cambria Math" w:hAnsi="Cambria Math" w:cs="Arial"/>
                  <w:i/>
                  <w:szCs w:val="18"/>
                  <w:lang w:val="en-US" w:eastAsia="en-US"/>
                </w:rPr>
              </m:ctrlPr>
            </m:accPr>
            <m:e>
              <m:r>
                <w:rPr>
                  <w:rFonts w:ascii="Cambria Math" w:hAnsi="Cambria Math" w:cs="Arial"/>
                  <w:szCs w:val="18"/>
                  <w:lang w:val="en-US" w:eastAsia="en-US"/>
                </w:rPr>
                <m:t>KM</m:t>
              </m:r>
            </m:e>
          </m:acc>
          <m:r>
            <w:rPr>
              <w:rFonts w:ascii="Cambria Math" w:hAnsi="Cambria Math" w:cs="Arial"/>
              <w:szCs w:val="18"/>
              <w:lang w:val="en-US" w:eastAsia="en-US"/>
            </w:rPr>
            <m:t xml:space="preserve">= </m:t>
          </m:r>
          <m:f>
            <m:fPr>
              <m:ctrlPr>
                <w:rPr>
                  <w:rFonts w:ascii="Cambria Math" w:hAnsi="Cambria Math" w:cs="Arial"/>
                  <w:i/>
                  <w:szCs w:val="18"/>
                  <w:lang w:val="en-US" w:eastAsia="en-US"/>
                </w:rPr>
              </m:ctrlPr>
            </m:fPr>
            <m:num>
              <m:sSub>
                <m:sSubPr>
                  <m:ctrlPr>
                    <w:rPr>
                      <w:rFonts w:ascii="Cambria Math" w:hAnsi="Cambria Math" w:cs="Arial"/>
                      <w:i/>
                      <w:szCs w:val="18"/>
                      <w:lang w:val="en-US" w:eastAsia="en-US"/>
                    </w:rPr>
                  </m:ctrlPr>
                </m:sSubPr>
                <m:e>
                  <m:sSup>
                    <m:sSupPr>
                      <m:ctrlPr>
                        <w:rPr>
                          <w:rFonts w:ascii="Cambria Math" w:hAnsi="Cambria Math" w:cs="Arial"/>
                          <w:i/>
                          <w:szCs w:val="18"/>
                          <w:lang w:val="en-US" w:eastAsia="en-US"/>
                        </w:rPr>
                      </m:ctrlPr>
                    </m:sSupPr>
                    <m:e>
                      <m:r>
                        <w:rPr>
                          <w:rFonts w:ascii="Cambria Math" w:hAnsi="Cambria Math" w:cs="Arial"/>
                          <w:szCs w:val="18"/>
                          <w:lang w:val="en-US" w:eastAsia="en-US"/>
                        </w:rPr>
                        <m:t>B</m:t>
                      </m:r>
                    </m:e>
                    <m:sup>
                      <m:r>
                        <w:rPr>
                          <w:rFonts w:ascii="Cambria Math" w:hAnsi="Cambria Math" w:cs="Arial"/>
                          <w:szCs w:val="18"/>
                          <w:lang w:val="en-US" w:eastAsia="en-US"/>
                        </w:rPr>
                        <m:t>2</m:t>
                      </m:r>
                    </m:sup>
                  </m:sSup>
                </m:e>
                <m:sub>
                  <m:r>
                    <w:rPr>
                      <w:rFonts w:ascii="Cambria Math" w:hAnsi="Cambria Math" w:cs="Arial"/>
                      <w:szCs w:val="18"/>
                      <w:lang w:val="en-US" w:eastAsia="en-US"/>
                    </w:rPr>
                    <m:t>WL</m:t>
                  </m:r>
                </m:sub>
              </m:sSub>
            </m:num>
            <m:den>
              <m:d>
                <m:dPr>
                  <m:ctrlPr>
                    <w:rPr>
                      <w:rFonts w:ascii="Cambria Math" w:hAnsi="Cambria Math" w:cs="Arial"/>
                      <w:i/>
                      <w:szCs w:val="18"/>
                      <w:lang w:val="en-US" w:eastAsia="en-US"/>
                    </w:rPr>
                  </m:ctrlPr>
                </m:dPr>
                <m:e>
                  <m:r>
                    <w:rPr>
                      <w:rFonts w:ascii="Cambria Math" w:hAnsi="Cambria Math" w:cs="Arial"/>
                      <w:szCs w:val="18"/>
                      <w:lang w:val="en-US" w:eastAsia="en-US"/>
                    </w:rPr>
                    <m:t xml:space="preserve">12,5- </m:t>
                  </m:r>
                  <m:f>
                    <m:fPr>
                      <m:ctrlPr>
                        <w:rPr>
                          <w:rFonts w:ascii="Cambria Math" w:hAnsi="Cambria Math" w:cs="Arial"/>
                          <w:i/>
                          <w:szCs w:val="18"/>
                          <w:lang w:val="en-US" w:eastAsia="en-US"/>
                        </w:rPr>
                      </m:ctrlPr>
                    </m:fPr>
                    <m:num>
                      <m:sSub>
                        <m:sSubPr>
                          <m:ctrlPr>
                            <w:rPr>
                              <w:rFonts w:ascii="Cambria Math" w:hAnsi="Cambria Math" w:cs="Arial"/>
                              <w:i/>
                              <w:szCs w:val="18"/>
                              <w:lang w:val="en-US" w:eastAsia="en-US"/>
                            </w:rPr>
                          </m:ctrlPr>
                        </m:sSubPr>
                        <m:e>
                          <m:r>
                            <w:rPr>
                              <w:rFonts w:ascii="Cambria Math" w:hAnsi="Cambria Math" w:cs="Arial"/>
                              <w:szCs w:val="18"/>
                              <w:lang w:val="en-US" w:eastAsia="en-US"/>
                            </w:rPr>
                            <m:t>T</m:t>
                          </m:r>
                        </m:e>
                        <m:sub>
                          <m:r>
                            <w:rPr>
                              <w:rFonts w:ascii="Cambria Math" w:hAnsi="Cambria Math" w:cs="Arial"/>
                              <w:szCs w:val="18"/>
                              <w:lang w:val="en-US" w:eastAsia="en-US"/>
                            </w:rPr>
                            <m:t>m</m:t>
                          </m:r>
                        </m:sub>
                      </m:sSub>
                    </m:num>
                    <m:den>
                      <m:r>
                        <w:rPr>
                          <w:rFonts w:ascii="Cambria Math" w:hAnsi="Cambria Math" w:cs="Arial"/>
                          <w:szCs w:val="18"/>
                          <w:lang w:val="en-US" w:eastAsia="en-US"/>
                        </w:rPr>
                        <m:t>H</m:t>
                      </m:r>
                    </m:den>
                  </m:f>
                </m:e>
              </m:d>
              <m:r>
                <w:rPr>
                  <w:rFonts w:ascii="Cambria Math" w:hAnsi="Cambria Math" w:cs="Arial"/>
                  <w:szCs w:val="18"/>
                  <w:lang w:val="en-US" w:eastAsia="en-US"/>
                </w:rPr>
                <m:t xml:space="preserve"> ∙ </m:t>
              </m:r>
              <m:sSub>
                <m:sSubPr>
                  <m:ctrlPr>
                    <w:rPr>
                      <w:rFonts w:ascii="Cambria Math" w:hAnsi="Cambria Math" w:cs="Arial"/>
                      <w:i/>
                      <w:szCs w:val="18"/>
                      <w:lang w:val="en-US" w:eastAsia="en-US"/>
                    </w:rPr>
                  </m:ctrlPr>
                </m:sSubPr>
                <m:e>
                  <m:r>
                    <w:rPr>
                      <w:rFonts w:ascii="Cambria Math" w:hAnsi="Cambria Math" w:cs="Arial"/>
                      <w:szCs w:val="18"/>
                      <w:lang w:val="en-US" w:eastAsia="en-US"/>
                    </w:rPr>
                    <m:t>T</m:t>
                  </m:r>
                </m:e>
                <m:sub>
                  <m:r>
                    <w:rPr>
                      <w:rFonts w:ascii="Cambria Math" w:hAnsi="Cambria Math" w:cs="Arial"/>
                      <w:szCs w:val="18"/>
                      <w:lang w:val="en-US" w:eastAsia="en-US"/>
                    </w:rPr>
                    <m:t>m</m:t>
                  </m:r>
                </m:sub>
              </m:sSub>
            </m:den>
          </m:f>
          <m:r>
            <w:rPr>
              <w:rFonts w:ascii="Cambria Math" w:hAnsi="Cambria Math" w:cs="Arial"/>
              <w:szCs w:val="18"/>
              <w:lang w:val="en-US" w:eastAsia="en-US"/>
            </w:rPr>
            <m:t xml:space="preserve">+ </m:t>
          </m:r>
          <m:f>
            <m:fPr>
              <m:ctrlPr>
                <w:rPr>
                  <w:rFonts w:ascii="Cambria Math" w:hAnsi="Cambria Math" w:cs="Arial"/>
                  <w:i/>
                  <w:szCs w:val="18"/>
                  <w:lang w:val="en-US" w:eastAsia="en-US"/>
                </w:rPr>
              </m:ctrlPr>
            </m:fPr>
            <m:num>
              <m:sSub>
                <m:sSubPr>
                  <m:ctrlPr>
                    <w:rPr>
                      <w:rFonts w:ascii="Cambria Math" w:hAnsi="Cambria Math" w:cs="Arial"/>
                      <w:i/>
                      <w:szCs w:val="18"/>
                      <w:lang w:val="en-US" w:eastAsia="en-US"/>
                    </w:rPr>
                  </m:ctrlPr>
                </m:sSubPr>
                <m:e>
                  <m:r>
                    <w:rPr>
                      <w:rFonts w:ascii="Cambria Math" w:hAnsi="Cambria Math" w:cs="Arial"/>
                      <w:szCs w:val="18"/>
                      <w:lang w:val="en-US" w:eastAsia="en-US"/>
                    </w:rPr>
                    <m:t>T</m:t>
                  </m:r>
                </m:e>
                <m:sub>
                  <m:r>
                    <w:rPr>
                      <w:rFonts w:ascii="Cambria Math" w:hAnsi="Cambria Math" w:cs="Arial"/>
                      <w:szCs w:val="18"/>
                      <w:lang w:val="en-US" w:eastAsia="en-US"/>
                    </w:rPr>
                    <m:t>m</m:t>
                  </m:r>
                </m:sub>
              </m:sSub>
            </m:num>
            <m:den>
              <m:r>
                <w:rPr>
                  <w:rFonts w:ascii="Cambria Math" w:hAnsi="Cambria Math" w:cs="Arial"/>
                  <w:szCs w:val="18"/>
                  <w:lang w:val="en-US" w:eastAsia="en-US"/>
                </w:rPr>
                <m:t>2</m:t>
              </m:r>
            </m:den>
          </m:f>
          <m:r>
            <w:rPr>
              <w:rFonts w:ascii="Cambria Math" w:hAnsi="Cambria Math" w:cs="Arial"/>
              <w:szCs w:val="18"/>
              <w:lang w:val="en-US" w:eastAsia="en-US"/>
            </w:rPr>
            <m:t xml:space="preserve"> </m:t>
          </m:r>
          <m:d>
            <m:dPr>
              <m:begChr m:val="["/>
              <m:endChr m:val="]"/>
              <m:ctrlPr>
                <w:rPr>
                  <w:rFonts w:ascii="Cambria Math" w:hAnsi="Cambria Math" w:cs="Arial"/>
                  <w:i/>
                  <w:szCs w:val="18"/>
                  <w:lang w:val="en-US" w:eastAsia="en-US"/>
                </w:rPr>
              </m:ctrlPr>
            </m:dPr>
            <m:e>
              <m:r>
                <w:rPr>
                  <w:rFonts w:ascii="Cambria Math" w:hAnsi="Cambria Math" w:cs="Arial"/>
                  <w:szCs w:val="18"/>
                  <w:lang w:val="en-US" w:eastAsia="en-US"/>
                </w:rPr>
                <m:t>m</m:t>
              </m:r>
            </m:e>
          </m:d>
        </m:oMath>
      </m:oMathPara>
    </w:p>
    <w:p w:rsidR="00EE69C0" w:rsidRPr="00C903F8" w:rsidRDefault="00EE69C0" w:rsidP="00EE69C0">
      <w:pPr>
        <w:pStyle w:val="ESlet"/>
        <w:ind w:left="0" w:firstLine="0"/>
        <w:rPr>
          <w:rFonts w:cs="Arial"/>
          <w:szCs w:val="18"/>
          <w:lang w:val="en-US" w:eastAsia="en-US"/>
        </w:rPr>
      </w:pPr>
    </w:p>
    <w:p w:rsidR="00BF049A" w:rsidRPr="00C903F8" w:rsidRDefault="005C7859" w:rsidP="003F1CB4">
      <w:pPr>
        <w:pStyle w:val="ESlet"/>
        <w:rPr>
          <w:noProof/>
          <w:lang w:val="en-GB" w:eastAsia="en-US"/>
        </w:rPr>
      </w:pPr>
      <w:r w:rsidRPr="00C903F8">
        <w:rPr>
          <w:noProof/>
          <w:lang w:val="en-GB" w:eastAsia="en-US"/>
        </w:rPr>
        <w:t>b)</w:t>
      </w:r>
      <w:r w:rsidR="003F1CB4" w:rsidRPr="00C903F8">
        <w:rPr>
          <w:noProof/>
          <w:lang w:val="en-GB" w:eastAsia="en-US"/>
        </w:rPr>
        <w:tab/>
      </w:r>
      <w:r w:rsidR="00BF049A" w:rsidRPr="00C903F8">
        <w:rPr>
          <w:noProof/>
          <w:lang w:val="en-GB" w:eastAsia="en-US"/>
        </w:rPr>
        <w:t>for other vessels</w:t>
      </w:r>
    </w:p>
    <w:p w:rsidR="006B5BE0" w:rsidRPr="00C903F8" w:rsidRDefault="00F12BAF" w:rsidP="006B5BE0">
      <w:pPr>
        <w:pStyle w:val="ESlet"/>
        <w:ind w:left="0" w:firstLine="0"/>
        <w:rPr>
          <w:rFonts w:cs="Arial"/>
          <w:szCs w:val="18"/>
          <w:lang w:val="en-US" w:eastAsia="en-US"/>
        </w:rPr>
      </w:pPr>
      <m:oMathPara>
        <m:oMath>
          <m:acc>
            <m:accPr>
              <m:chr m:val="̅"/>
              <m:ctrlPr>
                <w:rPr>
                  <w:rFonts w:ascii="Cambria Math" w:hAnsi="Cambria Math" w:cs="Arial"/>
                  <w:i/>
                  <w:szCs w:val="18"/>
                  <w:lang w:val="en-US" w:eastAsia="en-US"/>
                </w:rPr>
              </m:ctrlPr>
            </m:accPr>
            <m:e>
              <m:r>
                <w:rPr>
                  <w:rFonts w:ascii="Cambria Math" w:hAnsi="Cambria Math" w:cs="Arial"/>
                  <w:szCs w:val="18"/>
                  <w:lang w:val="en-US" w:eastAsia="en-US"/>
                </w:rPr>
                <m:t>KM</m:t>
              </m:r>
            </m:e>
          </m:acc>
          <m:r>
            <w:rPr>
              <w:rFonts w:ascii="Cambria Math" w:hAnsi="Cambria Math" w:cs="Arial"/>
              <w:szCs w:val="18"/>
              <w:lang w:val="en-US" w:eastAsia="en-US"/>
            </w:rPr>
            <m:t xml:space="preserve">= </m:t>
          </m:r>
          <m:f>
            <m:fPr>
              <m:ctrlPr>
                <w:rPr>
                  <w:rFonts w:ascii="Cambria Math" w:hAnsi="Cambria Math" w:cs="Arial"/>
                  <w:i/>
                  <w:szCs w:val="18"/>
                  <w:lang w:val="en-US" w:eastAsia="en-US"/>
                </w:rPr>
              </m:ctrlPr>
            </m:fPr>
            <m:num>
              <m:sSub>
                <m:sSubPr>
                  <m:ctrlPr>
                    <w:rPr>
                      <w:rFonts w:ascii="Cambria Math" w:hAnsi="Cambria Math" w:cs="Arial"/>
                      <w:i/>
                      <w:szCs w:val="18"/>
                      <w:lang w:val="en-US" w:eastAsia="en-US"/>
                    </w:rPr>
                  </m:ctrlPr>
                </m:sSubPr>
                <m:e>
                  <m:sSup>
                    <m:sSupPr>
                      <m:ctrlPr>
                        <w:rPr>
                          <w:rFonts w:ascii="Cambria Math" w:hAnsi="Cambria Math" w:cs="Arial"/>
                          <w:i/>
                          <w:szCs w:val="18"/>
                          <w:lang w:val="en-US" w:eastAsia="en-US"/>
                        </w:rPr>
                      </m:ctrlPr>
                    </m:sSupPr>
                    <m:e>
                      <m:r>
                        <w:rPr>
                          <w:rFonts w:ascii="Cambria Math" w:hAnsi="Cambria Math" w:cs="Arial"/>
                          <w:szCs w:val="18"/>
                          <w:lang w:val="en-US" w:eastAsia="en-US"/>
                        </w:rPr>
                        <m:t>B</m:t>
                      </m:r>
                    </m:e>
                    <m:sup>
                      <m:r>
                        <w:rPr>
                          <w:rFonts w:ascii="Cambria Math" w:hAnsi="Cambria Math" w:cs="Arial"/>
                          <w:szCs w:val="18"/>
                          <w:lang w:val="en-US" w:eastAsia="en-US"/>
                        </w:rPr>
                        <m:t>2</m:t>
                      </m:r>
                    </m:sup>
                  </m:sSup>
                </m:e>
                <m:sub>
                  <m:r>
                    <w:rPr>
                      <w:rFonts w:ascii="Cambria Math" w:hAnsi="Cambria Math" w:cs="Arial"/>
                      <w:szCs w:val="18"/>
                      <w:lang w:val="en-US" w:eastAsia="en-US"/>
                    </w:rPr>
                    <m:t>WL</m:t>
                  </m:r>
                </m:sub>
              </m:sSub>
            </m:num>
            <m:den>
              <m:d>
                <m:dPr>
                  <m:ctrlPr>
                    <w:rPr>
                      <w:rFonts w:ascii="Cambria Math" w:hAnsi="Cambria Math" w:cs="Arial"/>
                      <w:i/>
                      <w:szCs w:val="18"/>
                      <w:lang w:val="en-US" w:eastAsia="en-US"/>
                    </w:rPr>
                  </m:ctrlPr>
                </m:dPr>
                <m:e>
                  <m:r>
                    <w:rPr>
                      <w:rFonts w:ascii="Cambria Math" w:hAnsi="Cambria Math" w:cs="Arial"/>
                      <w:szCs w:val="18"/>
                      <w:lang w:val="en-US" w:eastAsia="en-US"/>
                    </w:rPr>
                    <m:t xml:space="preserve">12,7-1,2 ∙ </m:t>
                  </m:r>
                  <m:f>
                    <m:fPr>
                      <m:ctrlPr>
                        <w:rPr>
                          <w:rFonts w:ascii="Cambria Math" w:hAnsi="Cambria Math" w:cs="Arial"/>
                          <w:i/>
                          <w:szCs w:val="18"/>
                          <w:lang w:val="en-US" w:eastAsia="en-US"/>
                        </w:rPr>
                      </m:ctrlPr>
                    </m:fPr>
                    <m:num>
                      <m:sSub>
                        <m:sSubPr>
                          <m:ctrlPr>
                            <w:rPr>
                              <w:rFonts w:ascii="Cambria Math" w:hAnsi="Cambria Math" w:cs="Arial"/>
                              <w:i/>
                              <w:szCs w:val="18"/>
                              <w:lang w:val="en-US" w:eastAsia="en-US"/>
                            </w:rPr>
                          </m:ctrlPr>
                        </m:sSubPr>
                        <m:e>
                          <m:r>
                            <w:rPr>
                              <w:rFonts w:ascii="Cambria Math" w:hAnsi="Cambria Math" w:cs="Arial"/>
                              <w:szCs w:val="18"/>
                              <w:lang w:val="en-US" w:eastAsia="en-US"/>
                            </w:rPr>
                            <m:t>T</m:t>
                          </m:r>
                        </m:e>
                        <m:sub>
                          <m:r>
                            <w:rPr>
                              <w:rFonts w:ascii="Cambria Math" w:hAnsi="Cambria Math" w:cs="Arial"/>
                              <w:szCs w:val="18"/>
                              <w:lang w:val="en-US" w:eastAsia="en-US"/>
                            </w:rPr>
                            <m:t>m</m:t>
                          </m:r>
                        </m:sub>
                      </m:sSub>
                    </m:num>
                    <m:den>
                      <m:r>
                        <w:rPr>
                          <w:rFonts w:ascii="Cambria Math" w:hAnsi="Cambria Math" w:cs="Arial"/>
                          <w:szCs w:val="18"/>
                          <w:lang w:val="en-US" w:eastAsia="en-US"/>
                        </w:rPr>
                        <m:t>H</m:t>
                      </m:r>
                    </m:den>
                  </m:f>
                </m:e>
              </m:d>
              <m:r>
                <w:rPr>
                  <w:rFonts w:ascii="Cambria Math" w:hAnsi="Cambria Math" w:cs="Arial"/>
                  <w:szCs w:val="18"/>
                  <w:lang w:val="en-US" w:eastAsia="en-US"/>
                </w:rPr>
                <m:t xml:space="preserve"> ∙ </m:t>
              </m:r>
              <m:sSub>
                <m:sSubPr>
                  <m:ctrlPr>
                    <w:rPr>
                      <w:rFonts w:ascii="Cambria Math" w:hAnsi="Cambria Math" w:cs="Arial"/>
                      <w:i/>
                      <w:szCs w:val="18"/>
                      <w:lang w:val="en-US" w:eastAsia="en-US"/>
                    </w:rPr>
                  </m:ctrlPr>
                </m:sSubPr>
                <m:e>
                  <m:r>
                    <w:rPr>
                      <w:rFonts w:ascii="Cambria Math" w:hAnsi="Cambria Math" w:cs="Arial"/>
                      <w:szCs w:val="18"/>
                      <w:lang w:val="en-US" w:eastAsia="en-US"/>
                    </w:rPr>
                    <m:t>T</m:t>
                  </m:r>
                </m:e>
                <m:sub>
                  <m:r>
                    <w:rPr>
                      <w:rFonts w:ascii="Cambria Math" w:hAnsi="Cambria Math" w:cs="Arial"/>
                      <w:szCs w:val="18"/>
                      <w:lang w:val="en-US" w:eastAsia="en-US"/>
                    </w:rPr>
                    <m:t>m</m:t>
                  </m:r>
                </m:sub>
              </m:sSub>
            </m:den>
          </m:f>
          <m:r>
            <w:rPr>
              <w:rFonts w:ascii="Cambria Math" w:hAnsi="Cambria Math" w:cs="Arial"/>
              <w:szCs w:val="18"/>
              <w:lang w:val="en-US" w:eastAsia="en-US"/>
            </w:rPr>
            <m:t xml:space="preserve">+ </m:t>
          </m:r>
          <m:f>
            <m:fPr>
              <m:ctrlPr>
                <w:rPr>
                  <w:rFonts w:ascii="Cambria Math" w:hAnsi="Cambria Math" w:cs="Arial"/>
                  <w:i/>
                  <w:szCs w:val="18"/>
                  <w:lang w:val="en-US" w:eastAsia="en-US"/>
                </w:rPr>
              </m:ctrlPr>
            </m:fPr>
            <m:num>
              <m:sSub>
                <m:sSubPr>
                  <m:ctrlPr>
                    <w:rPr>
                      <w:rFonts w:ascii="Cambria Math" w:hAnsi="Cambria Math" w:cs="Arial"/>
                      <w:i/>
                      <w:szCs w:val="18"/>
                      <w:lang w:val="en-US" w:eastAsia="en-US"/>
                    </w:rPr>
                  </m:ctrlPr>
                </m:sSubPr>
                <m:e>
                  <m:r>
                    <w:rPr>
                      <w:rFonts w:ascii="Cambria Math" w:hAnsi="Cambria Math" w:cs="Arial"/>
                      <w:szCs w:val="18"/>
                      <w:lang w:val="en-US" w:eastAsia="en-US"/>
                    </w:rPr>
                    <m:t>T</m:t>
                  </m:r>
                </m:e>
                <m:sub>
                  <m:r>
                    <w:rPr>
                      <w:rFonts w:ascii="Cambria Math" w:hAnsi="Cambria Math" w:cs="Arial"/>
                      <w:szCs w:val="18"/>
                      <w:lang w:val="en-US" w:eastAsia="en-US"/>
                    </w:rPr>
                    <m:t>m</m:t>
                  </m:r>
                </m:sub>
              </m:sSub>
            </m:num>
            <m:den>
              <m:r>
                <w:rPr>
                  <w:rFonts w:ascii="Cambria Math" w:hAnsi="Cambria Math" w:cs="Arial"/>
                  <w:szCs w:val="18"/>
                  <w:lang w:val="en-US" w:eastAsia="en-US"/>
                </w:rPr>
                <m:t>2</m:t>
              </m:r>
            </m:den>
          </m:f>
          <m:r>
            <w:rPr>
              <w:rFonts w:ascii="Cambria Math" w:hAnsi="Cambria Math" w:cs="Arial"/>
              <w:szCs w:val="18"/>
              <w:lang w:val="en-US" w:eastAsia="en-US"/>
            </w:rPr>
            <m:t xml:space="preserve"> </m:t>
          </m:r>
          <m:d>
            <m:dPr>
              <m:begChr m:val="["/>
              <m:endChr m:val="]"/>
              <m:ctrlPr>
                <w:rPr>
                  <w:rFonts w:ascii="Cambria Math" w:hAnsi="Cambria Math" w:cs="Arial"/>
                  <w:i/>
                  <w:szCs w:val="18"/>
                  <w:lang w:val="en-US" w:eastAsia="en-US"/>
                </w:rPr>
              </m:ctrlPr>
            </m:dPr>
            <m:e>
              <m:r>
                <w:rPr>
                  <w:rFonts w:ascii="Cambria Math" w:hAnsi="Cambria Math" w:cs="Arial"/>
                  <w:szCs w:val="18"/>
                  <w:lang w:val="en-US" w:eastAsia="en-US"/>
                </w:rPr>
                <m:t>m</m:t>
              </m:r>
            </m:e>
          </m:d>
        </m:oMath>
      </m:oMathPara>
    </w:p>
    <w:p w:rsidR="006B5BE0" w:rsidRPr="00C903F8" w:rsidRDefault="006B5BE0" w:rsidP="006B5BE0">
      <w:pPr>
        <w:pStyle w:val="ESlet"/>
        <w:ind w:left="0" w:firstLine="0"/>
        <w:rPr>
          <w:rFonts w:cs="Arial"/>
          <w:szCs w:val="18"/>
          <w:lang w:val="en-US" w:eastAsia="en-US"/>
        </w:rPr>
      </w:pPr>
    </w:p>
    <w:p w:rsidR="00487BDA" w:rsidRPr="00C903F8" w:rsidRDefault="00487BDA" w:rsidP="00BF049A">
      <w:pPr>
        <w:pStyle w:val="ESch"/>
        <w:rPr>
          <w:rFonts w:eastAsia="Calibri" w:cs="Arial"/>
          <w:szCs w:val="18"/>
          <w:lang w:val="en-US" w:eastAsia="en-US"/>
        </w:rPr>
      </w:pPr>
      <w:r w:rsidRPr="00C903F8">
        <w:rPr>
          <w:rFonts w:eastAsia="Calibri" w:cs="Arial"/>
          <w:szCs w:val="18"/>
          <w:lang w:val="en-US" w:eastAsia="en-US"/>
        </w:rPr>
        <w:br w:type="page"/>
      </w:r>
    </w:p>
    <w:p w:rsidR="00BF049A" w:rsidRPr="00C903F8" w:rsidRDefault="00BF049A" w:rsidP="003F1CB4">
      <w:pPr>
        <w:pStyle w:val="ES-Titre3"/>
        <w:rPr>
          <w:rFonts w:cs="Arial"/>
          <w:i/>
          <w:szCs w:val="18"/>
          <w:lang w:val="en-US"/>
        </w:rPr>
      </w:pPr>
      <w:bookmarkStart w:id="253" w:name="_Toc491854241"/>
      <w:r w:rsidRPr="00C903F8">
        <w:rPr>
          <w:noProof/>
          <w:lang w:val="en-GB"/>
        </w:rPr>
        <w:lastRenderedPageBreak/>
        <w:t>Article 27.03</w:t>
      </w:r>
      <w:r w:rsidRPr="00C903F8">
        <w:rPr>
          <w:noProof/>
          <w:lang w:val="en-GB"/>
        </w:rPr>
        <w:br/>
      </w:r>
      <w:r w:rsidRPr="00C903F8">
        <w:rPr>
          <w:i/>
          <w:noProof/>
          <w:lang w:val="en-GB"/>
        </w:rPr>
        <w:t>Limit conditions and method of cal</w:t>
      </w:r>
      <w:r w:rsidR="002722AA">
        <w:rPr>
          <w:i/>
          <w:noProof/>
          <w:lang w:val="en-GB"/>
        </w:rPr>
        <w:t>culation for proof of stability</w:t>
      </w:r>
      <w:r w:rsidRPr="00C903F8">
        <w:rPr>
          <w:i/>
          <w:noProof/>
          <w:lang w:val="en-GB"/>
        </w:rPr>
        <w:br/>
        <w:t>for the transport of secured containers</w:t>
      </w:r>
      <w:bookmarkEnd w:id="253"/>
    </w:p>
    <w:p w:rsidR="003F1CB4" w:rsidRPr="00C903F8" w:rsidRDefault="003F1CB4" w:rsidP="00BF049A">
      <w:pPr>
        <w:pStyle w:val="ESch"/>
        <w:rPr>
          <w:noProof/>
          <w:lang w:val="en-GB" w:eastAsia="en-US"/>
        </w:rPr>
      </w:pPr>
    </w:p>
    <w:p w:rsidR="00BF049A" w:rsidRPr="00C903F8" w:rsidRDefault="00BF049A" w:rsidP="00BF049A">
      <w:pPr>
        <w:pStyle w:val="ESch"/>
        <w:rPr>
          <w:rFonts w:cs="Arial"/>
          <w:szCs w:val="18"/>
          <w:lang w:val="en-US" w:eastAsia="en-US"/>
        </w:rPr>
      </w:pPr>
      <w:r w:rsidRPr="00C903F8">
        <w:rPr>
          <w:noProof/>
          <w:lang w:val="en-GB" w:eastAsia="en-US"/>
        </w:rPr>
        <w:t>1.</w:t>
      </w:r>
      <w:r w:rsidRPr="00C903F8">
        <w:rPr>
          <w:noProof/>
          <w:lang w:val="en-GB" w:eastAsia="en-US"/>
        </w:rPr>
        <w:tab/>
        <w:t>All methods of calculating vessel stability in the case of secured containers shall meet the following limit conditions:</w:t>
      </w:r>
    </w:p>
    <w:p w:rsidR="00BF049A" w:rsidRPr="00C903F8" w:rsidRDefault="005C7859" w:rsidP="00F6695F">
      <w:pPr>
        <w:pStyle w:val="ESlet"/>
        <w:rPr>
          <w:rFonts w:cs="Arial"/>
          <w:szCs w:val="18"/>
          <w:lang w:val="en-US" w:eastAsia="en-US"/>
        </w:rPr>
      </w:pPr>
      <w:r w:rsidRPr="00C903F8">
        <w:rPr>
          <w:noProof/>
          <w:lang w:val="en-GB" w:eastAsia="en-US"/>
        </w:rPr>
        <w:t>a)</w:t>
      </w:r>
      <w:r w:rsidR="00BF049A" w:rsidRPr="00C903F8">
        <w:rPr>
          <w:noProof/>
          <w:lang w:val="en-GB" w:eastAsia="en-US"/>
        </w:rPr>
        <w:tab/>
      </w:r>
      <w:r w:rsidR="009E470B" w:rsidRPr="00C903F8">
        <w:rPr>
          <w:noProof/>
          <w:lang w:val="en-GB" w:eastAsia="en-US"/>
        </w:rPr>
        <w:t>M</w:t>
      </w:r>
      <w:r w:rsidR="00BF049A" w:rsidRPr="00C903F8">
        <w:rPr>
          <w:noProof/>
          <w:lang w:val="en-GB" w:eastAsia="en-US"/>
        </w:rPr>
        <w:t xml:space="preserve">etacentric height </w:t>
      </w:r>
      <m:oMath>
        <m:acc>
          <m:accPr>
            <m:chr m:val="̅"/>
            <m:ctrlPr>
              <w:rPr>
                <w:rFonts w:ascii="Cambria Math" w:hAnsi="Cambria Math"/>
                <w:i/>
                <w:noProof/>
                <w:lang w:val="en-GB" w:eastAsia="en-US"/>
              </w:rPr>
            </m:ctrlPr>
          </m:accPr>
          <m:e>
            <m:r>
              <w:rPr>
                <w:rFonts w:ascii="Cambria Math" w:hAnsi="Cambria Math"/>
                <w:noProof/>
                <w:lang w:val="en-GB" w:eastAsia="en-US"/>
              </w:rPr>
              <m:t>MG</m:t>
            </m:r>
          </m:e>
        </m:acc>
      </m:oMath>
      <w:r w:rsidR="00BF049A" w:rsidRPr="00C903F8">
        <w:rPr>
          <w:noProof/>
          <w:lang w:val="en-GB" w:eastAsia="en-US"/>
        </w:rPr>
        <w:t xml:space="preserve"> shall be not less than 0,50 m</w:t>
      </w:r>
      <w:r w:rsidR="009E470B" w:rsidRPr="00C903F8">
        <w:rPr>
          <w:noProof/>
          <w:lang w:val="en-GB" w:eastAsia="en-US"/>
        </w:rPr>
        <w:t>.</w:t>
      </w:r>
    </w:p>
    <w:p w:rsidR="00BF049A" w:rsidRPr="00C903F8" w:rsidRDefault="005C7859" w:rsidP="00F6695F">
      <w:pPr>
        <w:pStyle w:val="ESlet"/>
        <w:rPr>
          <w:rFonts w:cs="Arial"/>
          <w:szCs w:val="18"/>
          <w:lang w:val="en-US" w:eastAsia="en-US"/>
        </w:rPr>
      </w:pPr>
      <w:r w:rsidRPr="00C903F8">
        <w:rPr>
          <w:noProof/>
          <w:lang w:val="en-US" w:eastAsia="en-US"/>
        </w:rPr>
        <w:t>b)</w:t>
      </w:r>
      <w:r w:rsidR="00BF049A" w:rsidRPr="00C903F8">
        <w:rPr>
          <w:noProof/>
          <w:lang w:val="en-GB" w:eastAsia="en-US"/>
        </w:rPr>
        <w:tab/>
        <w:t>Under the joint action of the centrifugal force resulting from the vessel's turning, wind pressure and the free surfaces of liquids, no hull opening shall be immersed</w:t>
      </w:r>
      <w:r w:rsidR="009E470B" w:rsidRPr="00C903F8">
        <w:rPr>
          <w:noProof/>
          <w:lang w:val="en-GB" w:eastAsia="en-US"/>
        </w:rPr>
        <w:t>.</w:t>
      </w:r>
    </w:p>
    <w:p w:rsidR="00BF049A" w:rsidRPr="00C903F8" w:rsidRDefault="005C7859" w:rsidP="00F6695F">
      <w:pPr>
        <w:pStyle w:val="ESlet"/>
        <w:rPr>
          <w:rFonts w:cs="Arial"/>
          <w:szCs w:val="18"/>
          <w:lang w:val="en-US" w:eastAsia="en-US"/>
        </w:rPr>
      </w:pPr>
      <w:r w:rsidRPr="00C903F8">
        <w:rPr>
          <w:noProof/>
          <w:lang w:val="en-US" w:eastAsia="en-US"/>
        </w:rPr>
        <w:t>c)</w:t>
      </w:r>
      <w:r w:rsidR="00BF049A" w:rsidRPr="00C903F8">
        <w:rPr>
          <w:noProof/>
          <w:lang w:val="en-GB" w:eastAsia="en-US"/>
        </w:rPr>
        <w:tab/>
      </w:r>
      <w:r w:rsidR="009E470B" w:rsidRPr="00C903F8">
        <w:rPr>
          <w:noProof/>
          <w:lang w:val="en-GB" w:eastAsia="en-US"/>
        </w:rPr>
        <w:t>T</w:t>
      </w:r>
      <w:r w:rsidR="00BF049A" w:rsidRPr="00C903F8">
        <w:rPr>
          <w:noProof/>
          <w:lang w:val="en-GB" w:eastAsia="en-US"/>
        </w:rPr>
        <w:t>he heeling levers resulting from the centrifugal force due to the vessel's turning, the wind pressure and the free surfaces of liquids shall be determined in accordance with the formulae referred to in Article 27.02(1)(c) to (e)</w:t>
      </w:r>
      <w:r w:rsidR="009E470B" w:rsidRPr="00C903F8">
        <w:rPr>
          <w:noProof/>
          <w:lang w:val="en-GB" w:eastAsia="en-US"/>
        </w:rPr>
        <w:t>.</w:t>
      </w:r>
    </w:p>
    <w:p w:rsidR="00BF049A" w:rsidRPr="00C903F8" w:rsidRDefault="0029453D" w:rsidP="00F6695F">
      <w:pPr>
        <w:pStyle w:val="ESlet"/>
        <w:rPr>
          <w:rFonts w:cs="Arial"/>
          <w:szCs w:val="18"/>
          <w:lang w:val="en-US" w:eastAsia="en-US"/>
        </w:rPr>
      </w:pPr>
      <w:r w:rsidRPr="00C903F8">
        <w:rPr>
          <w:noProof/>
          <w:lang w:val="en-US" w:eastAsia="en-US"/>
        </w:rPr>
        <w:t>d)</w:t>
      </w:r>
      <w:r w:rsidR="00BF049A" w:rsidRPr="00C903F8">
        <w:rPr>
          <w:noProof/>
          <w:lang w:val="en-GB" w:eastAsia="en-US"/>
        </w:rPr>
        <w:tab/>
      </w:r>
      <w:r w:rsidR="009E470B" w:rsidRPr="00C903F8">
        <w:rPr>
          <w:noProof/>
          <w:lang w:val="en-GB" w:eastAsia="en-US"/>
        </w:rPr>
        <w:t>H</w:t>
      </w:r>
      <w:r w:rsidR="00BF049A" w:rsidRPr="00C903F8">
        <w:rPr>
          <w:noProof/>
          <w:lang w:val="en-GB" w:eastAsia="en-US"/>
        </w:rPr>
        <w:t>alf of the fuel and fresh water supply shall be taken into account for each load</w:t>
      </w:r>
      <w:r w:rsidR="002E3EAE" w:rsidRPr="00C903F8">
        <w:rPr>
          <w:noProof/>
          <w:lang w:val="en-GB" w:eastAsia="en-US"/>
        </w:rPr>
        <w:t>ing</w:t>
      </w:r>
      <w:r w:rsidR="00BF049A" w:rsidRPr="00C903F8">
        <w:rPr>
          <w:noProof/>
          <w:lang w:val="en-GB" w:eastAsia="en-US"/>
        </w:rPr>
        <w:t xml:space="preserve"> condition.</w:t>
      </w:r>
    </w:p>
    <w:p w:rsidR="003F1CB4" w:rsidRPr="00C903F8" w:rsidRDefault="003F1CB4" w:rsidP="00BF049A">
      <w:pPr>
        <w:pStyle w:val="ESch"/>
        <w:rPr>
          <w:noProof/>
          <w:lang w:val="en-GB" w:eastAsia="en-US"/>
        </w:rPr>
      </w:pPr>
    </w:p>
    <w:p w:rsidR="00BF049A" w:rsidRPr="00C903F8" w:rsidRDefault="00BF049A" w:rsidP="00BF049A">
      <w:pPr>
        <w:pStyle w:val="ESch"/>
        <w:rPr>
          <w:noProof/>
          <w:lang w:val="en-GB" w:eastAsia="en-US"/>
        </w:rPr>
      </w:pPr>
      <w:r w:rsidRPr="00C903F8">
        <w:rPr>
          <w:noProof/>
          <w:lang w:val="en-GB" w:eastAsia="en-US"/>
        </w:rPr>
        <w:t>2.</w:t>
      </w:r>
      <w:r w:rsidRPr="00C903F8">
        <w:rPr>
          <w:noProof/>
          <w:lang w:val="en-GB" w:eastAsia="en-US"/>
        </w:rPr>
        <w:tab/>
        <w:t xml:space="preserve">The stability of a vessel carrying secured containers shall be considered to be sufficient if the effective </w:t>
      </w:r>
      <m:oMath>
        <m:acc>
          <m:accPr>
            <m:chr m:val="̅"/>
            <m:ctrlPr>
              <w:rPr>
                <w:rFonts w:ascii="Cambria Math" w:eastAsia="Calibri" w:hAnsi="Cambria Math"/>
                <w:i/>
                <w:lang w:val="en-US" w:eastAsia="en-US"/>
              </w:rPr>
            </m:ctrlPr>
          </m:accPr>
          <m:e>
            <m:r>
              <w:rPr>
                <w:rFonts w:ascii="Cambria Math" w:eastAsia="Calibri" w:hAnsi="Cambria Math"/>
                <w:lang w:val="en-US" w:eastAsia="en-US"/>
              </w:rPr>
              <m:t>KG</m:t>
            </m:r>
          </m:e>
        </m:acc>
      </m:oMath>
      <w:r w:rsidRPr="00C903F8">
        <w:rPr>
          <w:noProof/>
          <w:lang w:val="en-GB" w:eastAsia="en-US"/>
        </w:rPr>
        <w:t xml:space="preserve"> does not exceed </w:t>
      </w:r>
      <m:oMath>
        <m:sSub>
          <m:sSubPr>
            <m:ctrlPr>
              <w:rPr>
                <w:rFonts w:ascii="Cambria Math" w:hAnsi="Cambria Math"/>
                <w:i/>
                <w:noProof/>
                <w:lang w:val="en-GB" w:eastAsia="en-US"/>
              </w:rPr>
            </m:ctrlPr>
          </m:sSubPr>
          <m:e>
            <m:acc>
              <m:accPr>
                <m:chr m:val="̅"/>
                <m:ctrlPr>
                  <w:rPr>
                    <w:rFonts w:ascii="Cambria Math" w:hAnsi="Cambria Math"/>
                    <w:i/>
                    <w:noProof/>
                    <w:lang w:val="en-GB" w:eastAsia="en-US"/>
                  </w:rPr>
                </m:ctrlPr>
              </m:accPr>
              <m:e>
                <m:r>
                  <w:rPr>
                    <w:rFonts w:ascii="Cambria Math" w:hAnsi="Cambria Math"/>
                    <w:noProof/>
                    <w:lang w:val="en-GB" w:eastAsia="en-US"/>
                  </w:rPr>
                  <m:t>KG</m:t>
                </m:r>
              </m:e>
            </m:acc>
          </m:e>
          <m:sub>
            <m:r>
              <w:rPr>
                <w:rFonts w:ascii="Cambria Math" w:hAnsi="Cambria Math"/>
                <w:noProof/>
                <w:lang w:val="en-GB" w:eastAsia="en-US"/>
              </w:rPr>
              <m:t>zul</m:t>
            </m:r>
          </m:sub>
        </m:sSub>
      </m:oMath>
      <w:r w:rsidRPr="00C903F8">
        <w:rPr>
          <w:noProof/>
          <w:lang w:val="en-GB" w:eastAsia="en-US"/>
        </w:rPr>
        <w:t xml:space="preserve"> resulting from the following formulae that has been calculated for various displacements covering the entire range of draughts.</w:t>
      </w:r>
    </w:p>
    <w:p w:rsidR="000526B5" w:rsidRPr="00C903F8" w:rsidRDefault="000526B5" w:rsidP="00BF049A">
      <w:pPr>
        <w:pStyle w:val="ESch"/>
        <w:rPr>
          <w:rFonts w:cs="Arial"/>
          <w:szCs w:val="18"/>
          <w:lang w:val="en-US" w:eastAsia="en-US"/>
        </w:rPr>
      </w:pPr>
    </w:p>
    <w:p w:rsidR="000525EE" w:rsidRPr="00C903F8" w:rsidRDefault="005C7859" w:rsidP="000526B5">
      <w:pPr>
        <w:pStyle w:val="ESlet"/>
        <w:rPr>
          <w:rFonts w:eastAsia="Calibri"/>
          <w:lang w:val="en-US" w:eastAsia="en-US"/>
        </w:rPr>
      </w:pPr>
      <w:r w:rsidRPr="00C903F8">
        <w:rPr>
          <w:rFonts w:eastAsia="Calibri"/>
          <w:kern w:val="1"/>
          <w:lang w:val="en-US" w:eastAsia="nl-NL"/>
        </w:rPr>
        <w:t>a)</w:t>
      </w:r>
      <w:r w:rsidR="000525EE" w:rsidRPr="00C903F8">
        <w:rPr>
          <w:rFonts w:eastAsia="Calibri"/>
          <w:lang w:val="en-US" w:eastAsia="en-US"/>
        </w:rPr>
        <w:tab/>
      </w:r>
      <m:oMath>
        <m:sSub>
          <m:sSubPr>
            <m:ctrlPr>
              <w:rPr>
                <w:rFonts w:ascii="Cambria Math" w:eastAsia="Calibri" w:hAnsi="Cambria Math"/>
                <w:i/>
                <w:sz w:val="22"/>
                <w:lang w:val="en-US" w:eastAsia="en-US"/>
              </w:rPr>
            </m:ctrlPr>
          </m:sSubPr>
          <m:e>
            <m:acc>
              <m:accPr>
                <m:chr m:val="̅"/>
                <m:ctrlPr>
                  <w:rPr>
                    <w:rFonts w:ascii="Cambria Math" w:eastAsia="Calibri" w:hAnsi="Cambria Math"/>
                    <w:i/>
                    <w:sz w:val="22"/>
                    <w:lang w:val="en-US" w:eastAsia="en-US"/>
                  </w:rPr>
                </m:ctrlPr>
              </m:accPr>
              <m:e>
                <m:r>
                  <w:rPr>
                    <w:rFonts w:ascii="Cambria Math" w:eastAsia="Calibri" w:hAnsi="Cambria Math"/>
                    <w:sz w:val="24"/>
                    <w:lang w:val="en-US" w:eastAsia="en-US"/>
                  </w:rPr>
                  <m:t>KG</m:t>
                </m:r>
              </m:e>
            </m:acc>
          </m:e>
          <m:sub>
            <m:r>
              <w:rPr>
                <w:rFonts w:ascii="Cambria Math" w:eastAsia="Calibri" w:hAnsi="Cambria Math"/>
                <w:sz w:val="22"/>
                <w:lang w:val="en-US" w:eastAsia="en-US"/>
              </w:rPr>
              <m:t>zul</m:t>
            </m:r>
          </m:sub>
        </m:sSub>
        <m:r>
          <w:rPr>
            <w:rFonts w:ascii="Cambria Math" w:eastAsia="Calibri" w:hAnsi="Cambria Math"/>
            <w:sz w:val="22"/>
            <w:lang w:val="en-US" w:eastAsia="en-US"/>
          </w:rPr>
          <m:t xml:space="preserve">= </m:t>
        </m:r>
        <m:f>
          <m:fPr>
            <m:ctrlPr>
              <w:rPr>
                <w:rFonts w:ascii="Cambria Math" w:eastAsia="Calibri" w:hAnsi="Cambria Math"/>
                <w:i/>
                <w:sz w:val="22"/>
                <w:lang w:val="en-US" w:eastAsia="en-US"/>
              </w:rPr>
            </m:ctrlPr>
          </m:fPr>
          <m:num>
            <m:acc>
              <m:accPr>
                <m:chr m:val="̅"/>
                <m:ctrlPr>
                  <w:rPr>
                    <w:rFonts w:ascii="Cambria Math" w:eastAsia="Calibri" w:hAnsi="Cambria Math"/>
                    <w:i/>
                    <w:sz w:val="22"/>
                    <w:lang w:val="en-US" w:eastAsia="en-US"/>
                  </w:rPr>
                </m:ctrlPr>
              </m:accPr>
              <m:e>
                <m:r>
                  <w:rPr>
                    <w:rFonts w:ascii="Cambria Math" w:eastAsia="Calibri" w:hAnsi="Cambria Math"/>
                    <w:sz w:val="22"/>
                    <w:lang w:val="en-US" w:eastAsia="en-US"/>
                  </w:rPr>
                  <m:t>KM</m:t>
                </m:r>
              </m:e>
            </m:acc>
            <m:r>
              <w:rPr>
                <w:rFonts w:ascii="Cambria Math" w:eastAsia="Calibri" w:hAnsi="Cambria Math"/>
                <w:sz w:val="22"/>
                <w:lang w:val="en-US" w:eastAsia="en-US"/>
              </w:rPr>
              <m:t xml:space="preserve">- </m:t>
            </m:r>
            <m:f>
              <m:fPr>
                <m:ctrlPr>
                  <w:rPr>
                    <w:rFonts w:ascii="Cambria Math" w:eastAsia="Calibri" w:hAnsi="Cambria Math"/>
                    <w:i/>
                    <w:sz w:val="22"/>
                    <w:lang w:val="en-US" w:eastAsia="en-US"/>
                  </w:rPr>
                </m:ctrlPr>
              </m:fPr>
              <m:num>
                <m:r>
                  <w:rPr>
                    <w:rFonts w:ascii="Cambria Math" w:eastAsia="Calibri" w:hAnsi="Cambria Math"/>
                    <w:sz w:val="22"/>
                    <w:lang w:val="en-US" w:eastAsia="en-US"/>
                  </w:rPr>
                  <m:t>I-i</m:t>
                </m:r>
              </m:num>
              <m:den>
                <m:r>
                  <w:rPr>
                    <w:rFonts w:ascii="Cambria Math" w:eastAsia="Calibri" w:hAnsi="Cambria Math"/>
                    <w:sz w:val="22"/>
                    <w:lang w:val="en-US" w:eastAsia="en-US"/>
                  </w:rPr>
                  <m:t>2 ∀</m:t>
                </m:r>
              </m:den>
            </m:f>
            <m:r>
              <w:rPr>
                <w:rFonts w:ascii="Cambria Math" w:eastAsia="Calibri" w:hAnsi="Cambria Math"/>
                <w:sz w:val="22"/>
                <w:lang w:val="en-US" w:eastAsia="en-US"/>
              </w:rPr>
              <m:t xml:space="preserve"> </m:t>
            </m:r>
            <m:d>
              <m:dPr>
                <m:ctrlPr>
                  <w:rPr>
                    <w:rFonts w:ascii="Cambria Math" w:eastAsia="Calibri" w:hAnsi="Cambria Math"/>
                    <w:i/>
                    <w:sz w:val="22"/>
                    <w:lang w:val="en-US" w:eastAsia="en-US"/>
                  </w:rPr>
                </m:ctrlPr>
              </m:dPr>
              <m:e>
                <m:r>
                  <w:rPr>
                    <w:rFonts w:ascii="Cambria Math" w:eastAsia="Calibri" w:hAnsi="Cambria Math"/>
                    <w:sz w:val="22"/>
                    <w:lang w:val="en-US" w:eastAsia="en-US"/>
                  </w:rPr>
                  <m:t xml:space="preserve">1-1,5 </m:t>
                </m:r>
                <m:f>
                  <m:fPr>
                    <m:ctrlPr>
                      <w:rPr>
                        <w:rFonts w:ascii="Cambria Math" w:eastAsia="Calibri" w:hAnsi="Cambria Math"/>
                        <w:i/>
                        <w:sz w:val="22"/>
                        <w:lang w:val="en-US" w:eastAsia="en-US"/>
                      </w:rPr>
                    </m:ctrlPr>
                  </m:fPr>
                  <m:num>
                    <m:r>
                      <w:rPr>
                        <w:rFonts w:ascii="Cambria Math" w:eastAsia="Calibri" w:hAnsi="Cambria Math"/>
                        <w:sz w:val="22"/>
                        <w:lang w:val="en-US" w:eastAsia="en-US"/>
                      </w:rPr>
                      <m:t>F</m:t>
                    </m:r>
                  </m:num>
                  <m:den>
                    <m:sSup>
                      <m:sSupPr>
                        <m:ctrlPr>
                          <w:rPr>
                            <w:rFonts w:ascii="Cambria Math" w:eastAsia="Calibri" w:hAnsi="Cambria Math"/>
                            <w:i/>
                            <w:sz w:val="22"/>
                            <w:lang w:val="en-US" w:eastAsia="en-US"/>
                          </w:rPr>
                        </m:ctrlPr>
                      </m:sSupPr>
                      <m:e>
                        <m:r>
                          <w:rPr>
                            <w:rFonts w:ascii="Cambria Math" w:eastAsia="Calibri" w:hAnsi="Cambria Math"/>
                            <w:sz w:val="22"/>
                            <w:lang w:val="en-US" w:eastAsia="en-US"/>
                          </w:rPr>
                          <m:t>F</m:t>
                        </m:r>
                      </m:e>
                      <m:sup>
                        <m:r>
                          <w:rPr>
                            <w:rFonts w:ascii="Cambria Math" w:eastAsia="Calibri" w:hAnsi="Cambria Math"/>
                            <w:sz w:val="22"/>
                            <w:lang w:val="en-US" w:eastAsia="en-US"/>
                          </w:rPr>
                          <m:t>'</m:t>
                        </m:r>
                      </m:sup>
                    </m:sSup>
                  </m:den>
                </m:f>
              </m:e>
            </m:d>
            <m:r>
              <w:rPr>
                <w:rFonts w:ascii="Cambria Math" w:eastAsia="Calibri" w:hAnsi="Cambria Math"/>
                <w:sz w:val="22"/>
                <w:lang w:val="en-US" w:eastAsia="en-US"/>
              </w:rPr>
              <m:t xml:space="preserve">+0,75 </m:t>
            </m:r>
            <m:f>
              <m:fPr>
                <m:ctrlPr>
                  <w:rPr>
                    <w:rFonts w:ascii="Cambria Math" w:eastAsia="Calibri" w:hAnsi="Cambria Math"/>
                    <w:i/>
                    <w:sz w:val="22"/>
                    <w:lang w:val="en-US" w:eastAsia="en-US"/>
                  </w:rPr>
                </m:ctrlPr>
              </m:fPr>
              <m:num>
                <m:sSub>
                  <m:sSubPr>
                    <m:ctrlPr>
                      <w:rPr>
                        <w:rFonts w:ascii="Cambria Math" w:eastAsia="Calibri" w:hAnsi="Cambria Math"/>
                        <w:i/>
                        <w:sz w:val="22"/>
                        <w:lang w:val="en-US" w:eastAsia="en-US"/>
                      </w:rPr>
                    </m:ctrlPr>
                  </m:sSubPr>
                  <m:e>
                    <m:r>
                      <w:rPr>
                        <w:rFonts w:ascii="Cambria Math" w:eastAsia="Calibri" w:hAnsi="Cambria Math"/>
                        <w:sz w:val="22"/>
                        <w:lang w:val="en-US" w:eastAsia="en-US"/>
                      </w:rPr>
                      <m:t>B</m:t>
                    </m:r>
                  </m:e>
                  <m:sub>
                    <m:r>
                      <w:rPr>
                        <w:rFonts w:ascii="Cambria Math" w:eastAsia="Calibri" w:hAnsi="Cambria Math"/>
                        <w:sz w:val="22"/>
                        <w:lang w:val="en-US" w:eastAsia="en-US"/>
                      </w:rPr>
                      <m:t>WL</m:t>
                    </m:r>
                  </m:sub>
                </m:sSub>
              </m:num>
              <m:den>
                <m:sSup>
                  <m:sSupPr>
                    <m:ctrlPr>
                      <w:rPr>
                        <w:rFonts w:ascii="Cambria Math" w:eastAsia="Calibri" w:hAnsi="Cambria Math"/>
                        <w:i/>
                        <w:sz w:val="22"/>
                        <w:lang w:val="en-US" w:eastAsia="en-US"/>
                      </w:rPr>
                    </m:ctrlPr>
                  </m:sSupPr>
                  <m:e>
                    <m:r>
                      <w:rPr>
                        <w:rFonts w:ascii="Cambria Math" w:eastAsia="Calibri" w:hAnsi="Cambria Math"/>
                        <w:sz w:val="22"/>
                        <w:lang w:val="en-US" w:eastAsia="en-US"/>
                      </w:rPr>
                      <m:t>F</m:t>
                    </m:r>
                  </m:e>
                  <m:sup>
                    <m:r>
                      <w:rPr>
                        <w:rFonts w:ascii="Cambria Math" w:eastAsia="Calibri" w:hAnsi="Cambria Math"/>
                        <w:sz w:val="22"/>
                        <w:lang w:val="en-US" w:eastAsia="en-US"/>
                      </w:rPr>
                      <m:t>'</m:t>
                    </m:r>
                  </m:sup>
                </m:sSup>
              </m:den>
            </m:f>
            <m:r>
              <w:rPr>
                <w:rFonts w:ascii="Cambria Math" w:eastAsia="Calibri" w:hAnsi="Cambria Math"/>
                <w:sz w:val="22"/>
                <w:lang w:val="en-US" w:eastAsia="en-US"/>
              </w:rPr>
              <m:t xml:space="preserve"> </m:t>
            </m:r>
            <m:d>
              <m:dPr>
                <m:ctrlPr>
                  <w:rPr>
                    <w:rFonts w:ascii="Cambria Math" w:eastAsia="Calibri" w:hAnsi="Cambria Math"/>
                    <w:i/>
                    <w:sz w:val="22"/>
                    <w:lang w:val="en-US" w:eastAsia="en-US"/>
                  </w:rPr>
                </m:ctrlPr>
              </m:dPr>
              <m:e>
                <m:r>
                  <w:rPr>
                    <w:rFonts w:ascii="Cambria Math" w:eastAsia="Calibri" w:hAnsi="Cambria Math"/>
                    <w:sz w:val="22"/>
                    <w:lang w:val="en-US" w:eastAsia="en-US"/>
                  </w:rPr>
                  <m:t xml:space="preserve">Z ∙ </m:t>
                </m:r>
                <m:f>
                  <m:fPr>
                    <m:ctrlPr>
                      <w:rPr>
                        <w:rFonts w:ascii="Cambria Math" w:eastAsia="Calibri" w:hAnsi="Cambria Math"/>
                        <w:i/>
                        <w:sz w:val="22"/>
                        <w:lang w:val="en-US" w:eastAsia="en-US"/>
                      </w:rPr>
                    </m:ctrlPr>
                  </m:fPr>
                  <m:num>
                    <m:sSub>
                      <m:sSubPr>
                        <m:ctrlPr>
                          <w:rPr>
                            <w:rFonts w:ascii="Cambria Math" w:eastAsia="Calibri" w:hAnsi="Cambria Math"/>
                            <w:i/>
                            <w:sz w:val="22"/>
                            <w:lang w:val="en-US" w:eastAsia="en-US"/>
                          </w:rPr>
                        </m:ctrlPr>
                      </m:sSubPr>
                      <m:e>
                        <m:r>
                          <w:rPr>
                            <w:rFonts w:ascii="Cambria Math" w:eastAsia="Calibri" w:hAnsi="Cambria Math"/>
                            <w:sz w:val="22"/>
                            <w:lang w:val="en-US" w:eastAsia="en-US"/>
                          </w:rPr>
                          <m:t>T</m:t>
                        </m:r>
                      </m:e>
                      <m:sub>
                        <m:r>
                          <w:rPr>
                            <w:rFonts w:ascii="Cambria Math" w:eastAsia="Calibri" w:hAnsi="Cambria Math"/>
                            <w:sz w:val="22"/>
                            <w:lang w:val="en-US" w:eastAsia="en-US"/>
                          </w:rPr>
                          <m:t>m</m:t>
                        </m:r>
                      </m:sub>
                    </m:sSub>
                  </m:num>
                  <m:den>
                    <m:r>
                      <w:rPr>
                        <w:rFonts w:ascii="Cambria Math" w:eastAsia="Calibri" w:hAnsi="Cambria Math"/>
                        <w:sz w:val="22"/>
                        <w:lang w:val="en-US" w:eastAsia="en-US"/>
                      </w:rPr>
                      <m:t>2</m:t>
                    </m:r>
                  </m:den>
                </m:f>
                <m:r>
                  <w:rPr>
                    <w:rFonts w:ascii="Cambria Math" w:eastAsia="Calibri" w:hAnsi="Cambria Math"/>
                    <w:sz w:val="22"/>
                    <w:lang w:val="en-US" w:eastAsia="en-US"/>
                  </w:rPr>
                  <m:t xml:space="preserve">- </m:t>
                </m:r>
                <m:sSub>
                  <m:sSubPr>
                    <m:ctrlPr>
                      <w:rPr>
                        <w:rFonts w:ascii="Cambria Math" w:eastAsia="Calibri" w:hAnsi="Cambria Math"/>
                        <w:i/>
                        <w:sz w:val="22"/>
                        <w:lang w:val="en-US" w:eastAsia="en-US"/>
                      </w:rPr>
                    </m:ctrlPr>
                  </m:sSubPr>
                  <m:e>
                    <m:r>
                      <w:rPr>
                        <w:rFonts w:ascii="Cambria Math" w:eastAsia="Calibri" w:hAnsi="Cambria Math"/>
                        <w:sz w:val="22"/>
                        <w:lang w:val="en-US" w:eastAsia="en-US"/>
                      </w:rPr>
                      <m:t>h</m:t>
                    </m:r>
                  </m:e>
                  <m:sub>
                    <m:r>
                      <w:rPr>
                        <w:rFonts w:ascii="Cambria Math" w:eastAsia="Calibri" w:hAnsi="Cambria Math"/>
                        <w:sz w:val="22"/>
                        <w:lang w:val="en-US" w:eastAsia="en-US"/>
                      </w:rPr>
                      <m:t>KW</m:t>
                    </m:r>
                  </m:sub>
                </m:sSub>
                <m:r>
                  <w:rPr>
                    <w:rFonts w:ascii="Cambria Math" w:eastAsia="Calibri" w:hAnsi="Cambria Math"/>
                    <w:sz w:val="22"/>
                    <w:lang w:val="en-US" w:eastAsia="en-US"/>
                  </w:rPr>
                  <m:t xml:space="preserve">- </m:t>
                </m:r>
                <m:sSub>
                  <m:sSubPr>
                    <m:ctrlPr>
                      <w:rPr>
                        <w:rFonts w:ascii="Cambria Math" w:eastAsia="Calibri" w:hAnsi="Cambria Math"/>
                        <w:i/>
                        <w:sz w:val="22"/>
                        <w:lang w:val="en-US" w:eastAsia="en-US"/>
                      </w:rPr>
                    </m:ctrlPr>
                  </m:sSubPr>
                  <m:e>
                    <m:r>
                      <w:rPr>
                        <w:rFonts w:ascii="Cambria Math" w:eastAsia="Calibri" w:hAnsi="Cambria Math"/>
                        <w:sz w:val="22"/>
                        <w:lang w:val="en-US" w:eastAsia="en-US"/>
                      </w:rPr>
                      <m:t>h</m:t>
                    </m:r>
                  </m:e>
                  <m:sub>
                    <m:r>
                      <w:rPr>
                        <w:rFonts w:ascii="Cambria Math" w:eastAsia="Calibri" w:hAnsi="Cambria Math"/>
                        <w:sz w:val="22"/>
                        <w:lang w:val="en-US" w:eastAsia="en-US"/>
                      </w:rPr>
                      <m:t>KfO</m:t>
                    </m:r>
                  </m:sub>
                </m:sSub>
              </m:e>
            </m:d>
          </m:num>
          <m:den>
            <m:r>
              <w:rPr>
                <w:rFonts w:ascii="Cambria Math" w:eastAsia="Calibri" w:hAnsi="Cambria Math"/>
                <w:sz w:val="22"/>
                <w:lang w:val="en-US" w:eastAsia="en-US"/>
              </w:rPr>
              <m:t xml:space="preserve">0,75 ∙ </m:t>
            </m:r>
            <m:f>
              <m:fPr>
                <m:ctrlPr>
                  <w:rPr>
                    <w:rFonts w:ascii="Cambria Math" w:eastAsia="Calibri" w:hAnsi="Cambria Math"/>
                    <w:i/>
                    <w:sz w:val="22"/>
                    <w:lang w:val="en-US" w:eastAsia="en-US"/>
                  </w:rPr>
                </m:ctrlPr>
              </m:fPr>
              <m:num>
                <m:sSub>
                  <m:sSubPr>
                    <m:ctrlPr>
                      <w:rPr>
                        <w:rFonts w:ascii="Cambria Math" w:eastAsia="Calibri" w:hAnsi="Cambria Math"/>
                        <w:i/>
                        <w:sz w:val="22"/>
                        <w:lang w:val="en-US" w:eastAsia="en-US"/>
                      </w:rPr>
                    </m:ctrlPr>
                  </m:sSubPr>
                  <m:e>
                    <m:r>
                      <w:rPr>
                        <w:rFonts w:ascii="Cambria Math" w:eastAsia="Calibri" w:hAnsi="Cambria Math"/>
                        <w:sz w:val="22"/>
                        <w:lang w:val="en-US" w:eastAsia="en-US"/>
                      </w:rPr>
                      <m:t>B</m:t>
                    </m:r>
                  </m:e>
                  <m:sub>
                    <m:r>
                      <w:rPr>
                        <w:rFonts w:ascii="Cambria Math" w:eastAsia="Calibri" w:hAnsi="Cambria Math"/>
                        <w:sz w:val="22"/>
                        <w:lang w:val="en-US" w:eastAsia="en-US"/>
                      </w:rPr>
                      <m:t>WL</m:t>
                    </m:r>
                  </m:sub>
                </m:sSub>
              </m:num>
              <m:den>
                <m:sSup>
                  <m:sSupPr>
                    <m:ctrlPr>
                      <w:rPr>
                        <w:rFonts w:ascii="Cambria Math" w:eastAsia="Calibri" w:hAnsi="Cambria Math"/>
                        <w:i/>
                        <w:sz w:val="22"/>
                        <w:lang w:val="en-US" w:eastAsia="en-US"/>
                      </w:rPr>
                    </m:ctrlPr>
                  </m:sSupPr>
                  <m:e>
                    <m:r>
                      <w:rPr>
                        <w:rFonts w:ascii="Cambria Math" w:eastAsia="Calibri" w:hAnsi="Cambria Math"/>
                        <w:sz w:val="22"/>
                        <w:lang w:val="en-US" w:eastAsia="en-US"/>
                      </w:rPr>
                      <m:t>F</m:t>
                    </m:r>
                  </m:e>
                  <m:sup>
                    <m:r>
                      <w:rPr>
                        <w:rFonts w:ascii="Cambria Math" w:eastAsia="Calibri" w:hAnsi="Cambria Math"/>
                        <w:sz w:val="22"/>
                        <w:lang w:val="en-US" w:eastAsia="en-US"/>
                      </w:rPr>
                      <m:t>'</m:t>
                    </m:r>
                  </m:sup>
                </m:sSup>
              </m:den>
            </m:f>
            <m:r>
              <w:rPr>
                <w:rFonts w:ascii="Cambria Math" w:eastAsia="Calibri" w:hAnsi="Cambria Math"/>
                <w:sz w:val="22"/>
                <w:lang w:val="en-US" w:eastAsia="en-US"/>
              </w:rPr>
              <m:t xml:space="preserve"> ∙  Z+1</m:t>
            </m:r>
          </m:den>
        </m:f>
        <m:r>
          <w:rPr>
            <w:rFonts w:ascii="Cambria Math" w:eastAsia="Calibri" w:hAnsi="Cambria Math"/>
            <w:sz w:val="22"/>
            <w:lang w:val="en-US" w:eastAsia="en-US"/>
          </w:rPr>
          <m:t xml:space="preserve"> </m:t>
        </m:r>
        <m:d>
          <m:dPr>
            <m:begChr m:val="["/>
            <m:endChr m:val="]"/>
            <m:ctrlPr>
              <w:rPr>
                <w:rFonts w:ascii="Cambria Math" w:eastAsia="Calibri" w:hAnsi="Cambria Math"/>
                <w:i/>
                <w:sz w:val="22"/>
                <w:lang w:val="en-US" w:eastAsia="en-US"/>
              </w:rPr>
            </m:ctrlPr>
          </m:dPr>
          <m:e>
            <m:r>
              <w:rPr>
                <w:rFonts w:ascii="Cambria Math" w:eastAsia="Calibri" w:hAnsi="Cambria Math"/>
                <w:sz w:val="22"/>
                <w:lang w:val="en-US" w:eastAsia="en-US"/>
              </w:rPr>
              <m:t>m</m:t>
            </m:r>
          </m:e>
        </m:d>
      </m:oMath>
    </w:p>
    <w:p w:rsidR="000525EE" w:rsidRPr="00C903F8" w:rsidRDefault="000525EE" w:rsidP="000526B5">
      <w:pPr>
        <w:pStyle w:val="ESlet"/>
        <w:rPr>
          <w:rFonts w:eastAsia="Calibri"/>
          <w:lang w:val="en-US" w:eastAsia="en-US"/>
        </w:rPr>
      </w:pPr>
    </w:p>
    <w:p w:rsidR="00BF049A" w:rsidRPr="00C903F8" w:rsidRDefault="00BF049A" w:rsidP="000526B5">
      <w:pPr>
        <w:pStyle w:val="ESletpar"/>
        <w:rPr>
          <w:rFonts w:cs="Arial"/>
          <w:szCs w:val="18"/>
          <w:lang w:val="en-US"/>
        </w:rPr>
      </w:pPr>
      <w:r w:rsidRPr="00C903F8">
        <w:rPr>
          <w:noProof/>
          <w:lang w:val="en-GB"/>
        </w:rPr>
        <w:t>No value less than 6,6 shall be taken for</w:t>
      </w:r>
      <w:r w:rsidR="005F2D46">
        <w:rPr>
          <w:noProof/>
          <w:lang w:val="en-GB"/>
        </w:rPr>
        <w:t xml:space="preserve"> </w:t>
      </w:r>
      <w:r w:rsidR="006C0C6B" w:rsidRPr="00C903F8">
        <w:rPr>
          <w:noProof/>
          <w:lang w:val="en-GB"/>
        </w:rPr>
        <w:t xml:space="preserve"> </w:t>
      </w:r>
      <m:oMath>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B</m:t>
                </m:r>
              </m:e>
              <m:sub>
                <m:r>
                  <w:rPr>
                    <w:rFonts w:ascii="Cambria Math" w:hAnsi="Cambria Math"/>
                    <w:noProof/>
                    <w:lang w:val="en-GB"/>
                  </w:rPr>
                  <m:t>WL</m:t>
                </m:r>
              </m:sub>
            </m:sSub>
          </m:num>
          <m:den>
            <m:r>
              <w:rPr>
                <w:rFonts w:ascii="Cambria Math" w:hAnsi="Cambria Math"/>
                <w:noProof/>
                <w:lang w:val="en-GB"/>
              </w:rPr>
              <m:t>F'</m:t>
            </m:r>
          </m:den>
        </m:f>
      </m:oMath>
      <w:r w:rsidRPr="00C903F8">
        <w:rPr>
          <w:noProof/>
          <w:lang w:val="en-GB"/>
        </w:rPr>
        <w:t xml:space="preserve"> and</w:t>
      </w:r>
    </w:p>
    <w:p w:rsidR="00BF049A" w:rsidRPr="00C903F8" w:rsidRDefault="00BF049A" w:rsidP="000526B5">
      <w:pPr>
        <w:pStyle w:val="ESletpar"/>
        <w:rPr>
          <w:rFonts w:cs="Arial"/>
          <w:szCs w:val="18"/>
          <w:lang w:val="en-US"/>
        </w:rPr>
      </w:pPr>
      <w:r w:rsidRPr="00C903F8">
        <w:rPr>
          <w:noProof/>
          <w:lang w:val="en-GB"/>
        </w:rPr>
        <w:t>no value less than 0 for</w:t>
      </w:r>
      <w:r w:rsidR="009805F2" w:rsidRPr="00C903F8">
        <w:rPr>
          <w:noProof/>
          <w:lang w:val="en-GB"/>
        </w:rPr>
        <w:t xml:space="preserve">  </w:t>
      </w:r>
      <m:oMath>
        <m:f>
          <m:fPr>
            <m:ctrlPr>
              <w:rPr>
                <w:rFonts w:ascii="Cambria Math" w:hAnsi="Cambria Math"/>
                <w:i/>
                <w:noProof/>
                <w:lang w:val="en-GB"/>
              </w:rPr>
            </m:ctrlPr>
          </m:fPr>
          <m:num>
            <m:r>
              <w:rPr>
                <w:rFonts w:ascii="Cambria Math" w:hAnsi="Cambria Math"/>
                <w:noProof/>
                <w:lang w:val="en-GB"/>
              </w:rPr>
              <m:t>I-i</m:t>
            </m:r>
          </m:num>
          <m:den>
            <m:r>
              <w:rPr>
                <w:rFonts w:ascii="Cambria Math" w:hAnsi="Cambria Math"/>
                <w:noProof/>
                <w:lang w:val="en-GB"/>
              </w:rPr>
              <m:t>2 ∀</m:t>
            </m:r>
          </m:den>
        </m:f>
        <m:r>
          <w:rPr>
            <w:rFonts w:ascii="Cambria Math" w:hAnsi="Cambria Math"/>
            <w:noProof/>
            <w:lang w:val="en-GB"/>
          </w:rPr>
          <m:t xml:space="preserve"> ∙ </m:t>
        </m:r>
        <m:d>
          <m:dPr>
            <m:ctrlPr>
              <w:rPr>
                <w:rFonts w:ascii="Cambria Math" w:hAnsi="Cambria Math"/>
                <w:i/>
                <w:noProof/>
                <w:lang w:val="en-GB"/>
              </w:rPr>
            </m:ctrlPr>
          </m:dPr>
          <m:e>
            <m:r>
              <w:rPr>
                <w:rFonts w:ascii="Cambria Math" w:hAnsi="Cambria Math"/>
                <w:noProof/>
                <w:lang w:val="en-GB"/>
              </w:rPr>
              <m:t xml:space="preserve">1-1,5 </m:t>
            </m:r>
            <m:f>
              <m:fPr>
                <m:ctrlPr>
                  <w:rPr>
                    <w:rFonts w:ascii="Cambria Math" w:hAnsi="Cambria Math"/>
                    <w:i/>
                    <w:noProof/>
                    <w:lang w:val="en-GB"/>
                  </w:rPr>
                </m:ctrlPr>
              </m:fPr>
              <m:num>
                <m:r>
                  <w:rPr>
                    <w:rFonts w:ascii="Cambria Math" w:hAnsi="Cambria Math"/>
                    <w:noProof/>
                    <w:lang w:val="en-GB"/>
                  </w:rPr>
                  <m:t>F</m:t>
                </m:r>
              </m:num>
              <m:den>
                <m:r>
                  <w:rPr>
                    <w:rFonts w:ascii="Cambria Math" w:hAnsi="Cambria Math"/>
                    <w:noProof/>
                    <w:lang w:val="en-GB"/>
                  </w:rPr>
                  <m:t>F'</m:t>
                </m:r>
              </m:den>
            </m:f>
          </m:e>
        </m:d>
      </m:oMath>
    </w:p>
    <w:p w:rsidR="00BF049A" w:rsidRPr="00C903F8" w:rsidRDefault="005C7859" w:rsidP="000526B5">
      <w:pPr>
        <w:pStyle w:val="ESlet"/>
        <w:rPr>
          <w:rFonts w:cs="Arial"/>
          <w:szCs w:val="18"/>
          <w:lang w:val="en-US" w:eastAsia="en-US"/>
        </w:rPr>
      </w:pPr>
      <w:r w:rsidRPr="00C903F8">
        <w:rPr>
          <w:noProof/>
          <w:lang w:val="en-GB" w:eastAsia="en-US"/>
        </w:rPr>
        <w:t>b)</w:t>
      </w:r>
      <w:r w:rsidR="00BF049A" w:rsidRPr="00C903F8">
        <w:rPr>
          <w:noProof/>
          <w:lang w:val="en-GB" w:eastAsia="en-US"/>
        </w:rPr>
        <w:tab/>
      </w:r>
      <m:oMath>
        <m:sSub>
          <m:sSubPr>
            <m:ctrlPr>
              <w:rPr>
                <w:rFonts w:ascii="Cambria Math" w:hAnsi="Cambria Math"/>
                <w:i/>
                <w:noProof/>
                <w:lang w:val="en-GB" w:eastAsia="en-US"/>
              </w:rPr>
            </m:ctrlPr>
          </m:sSubPr>
          <m:e>
            <m:acc>
              <m:accPr>
                <m:chr m:val="̅"/>
                <m:ctrlPr>
                  <w:rPr>
                    <w:rFonts w:ascii="Cambria Math" w:hAnsi="Cambria Math"/>
                    <w:i/>
                    <w:noProof/>
                    <w:lang w:val="en-GB" w:eastAsia="en-US"/>
                  </w:rPr>
                </m:ctrlPr>
              </m:accPr>
              <m:e>
                <m:r>
                  <w:rPr>
                    <w:rFonts w:ascii="Cambria Math" w:hAnsi="Cambria Math"/>
                    <w:noProof/>
                    <w:lang w:val="en-GB" w:eastAsia="en-US"/>
                  </w:rPr>
                  <m:t>KG</m:t>
                </m:r>
              </m:e>
            </m:acc>
          </m:e>
          <m:sub>
            <m:r>
              <w:rPr>
                <w:rFonts w:ascii="Cambria Math" w:hAnsi="Cambria Math"/>
                <w:noProof/>
                <w:lang w:val="en-GB" w:eastAsia="en-US"/>
              </w:rPr>
              <m:t>zul</m:t>
            </m:r>
          </m:sub>
        </m:sSub>
        <m:r>
          <w:rPr>
            <w:rFonts w:ascii="Cambria Math" w:hAnsi="Cambria Math"/>
            <w:noProof/>
            <w:lang w:val="en-GB" w:eastAsia="en-US"/>
          </w:rPr>
          <m:t xml:space="preserve">= </m:t>
        </m:r>
        <m:acc>
          <m:accPr>
            <m:chr m:val="̅"/>
            <m:ctrlPr>
              <w:rPr>
                <w:rFonts w:ascii="Cambria Math" w:hAnsi="Cambria Math"/>
                <w:i/>
                <w:noProof/>
                <w:lang w:val="en-GB" w:eastAsia="en-US"/>
              </w:rPr>
            </m:ctrlPr>
          </m:accPr>
          <m:e>
            <m:r>
              <w:rPr>
                <w:rFonts w:ascii="Cambria Math" w:hAnsi="Cambria Math"/>
                <w:noProof/>
                <w:lang w:val="en-GB" w:eastAsia="en-US"/>
              </w:rPr>
              <m:t>KM</m:t>
            </m:r>
          </m:e>
        </m:acc>
        <m:r>
          <w:rPr>
            <w:rFonts w:ascii="Cambria Math" w:hAnsi="Cambria Math"/>
            <w:noProof/>
            <w:lang w:val="en-GB" w:eastAsia="en-US"/>
          </w:rPr>
          <m:t xml:space="preserve">-0,50 </m:t>
        </m:r>
        <m:d>
          <m:dPr>
            <m:begChr m:val="["/>
            <m:endChr m:val="]"/>
            <m:ctrlPr>
              <w:rPr>
                <w:rFonts w:ascii="Cambria Math" w:hAnsi="Cambria Math"/>
                <w:i/>
                <w:noProof/>
                <w:lang w:val="en-GB" w:eastAsia="en-US"/>
              </w:rPr>
            </m:ctrlPr>
          </m:dPr>
          <m:e>
            <m:r>
              <w:rPr>
                <w:rFonts w:ascii="Cambria Math" w:hAnsi="Cambria Math"/>
                <w:noProof/>
                <w:lang w:val="en-GB" w:eastAsia="en-US"/>
              </w:rPr>
              <m:t>m</m:t>
            </m:r>
          </m:e>
        </m:d>
      </m:oMath>
    </w:p>
    <w:p w:rsidR="00BF049A" w:rsidRPr="00C903F8" w:rsidRDefault="00BF049A" w:rsidP="000526B5">
      <w:pPr>
        <w:pStyle w:val="ESletpar"/>
        <w:rPr>
          <w:rFonts w:cs="Arial"/>
          <w:szCs w:val="18"/>
          <w:lang w:val="en-US"/>
        </w:rPr>
      </w:pPr>
      <w:r w:rsidRPr="00C903F8">
        <w:rPr>
          <w:noProof/>
          <w:lang w:val="en-GB"/>
        </w:rPr>
        <w:t xml:space="preserve">The lowest value for </w:t>
      </w:r>
      <m:oMath>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KG</m:t>
                </m:r>
              </m:e>
            </m:acc>
          </m:e>
          <m:sub>
            <m:r>
              <w:rPr>
                <w:rFonts w:ascii="Cambria Math" w:hAnsi="Cambria Math"/>
                <w:noProof/>
                <w:lang w:val="en-GB"/>
              </w:rPr>
              <m:t>zul</m:t>
            </m:r>
          </m:sub>
        </m:sSub>
      </m:oMath>
      <w:r w:rsidR="009805F2" w:rsidRPr="00C903F8">
        <w:rPr>
          <w:noProof/>
          <w:lang w:val="en-GB"/>
        </w:rPr>
        <w:t xml:space="preserve"> </w:t>
      </w:r>
      <w:r w:rsidRPr="00C903F8">
        <w:rPr>
          <w:noProof/>
          <w:lang w:val="en-GB"/>
        </w:rPr>
        <w:t>in accordance with formula (a) or (b) shall be decisive.</w:t>
      </w:r>
    </w:p>
    <w:p w:rsidR="00BF049A" w:rsidRPr="00C903F8" w:rsidRDefault="00BF049A" w:rsidP="000526B5">
      <w:pPr>
        <w:pStyle w:val="ESletpar"/>
        <w:rPr>
          <w:rFonts w:cs="Arial"/>
          <w:szCs w:val="18"/>
          <w:lang w:val="en-US"/>
        </w:rPr>
      </w:pPr>
      <w:r w:rsidRPr="00C903F8">
        <w:rPr>
          <w:noProof/>
          <w:lang w:val="en-GB"/>
        </w:rPr>
        <w:t>Within these formulae, apart from the terms defined previously:</w:t>
      </w:r>
    </w:p>
    <w:p w:rsidR="00BF049A" w:rsidRPr="00C903F8" w:rsidRDefault="00851A17" w:rsidP="000526B5">
      <w:pPr>
        <w:pStyle w:val="EStiret"/>
        <w:rPr>
          <w:rFonts w:eastAsia="Calibri"/>
          <w:lang w:val="en-US"/>
        </w:rPr>
      </w:pPr>
      <m:oMath>
        <m:r>
          <w:rPr>
            <w:rFonts w:ascii="Cambria Math" w:eastAsia="Calibri" w:hAnsi="Cambria Math"/>
            <w:lang w:val="en-US"/>
          </w:rPr>
          <m:t>I</m:t>
        </m:r>
      </m:oMath>
      <w:r w:rsidR="000526B5" w:rsidRPr="00C903F8">
        <w:rPr>
          <w:rFonts w:eastAsia="Calibri"/>
          <w:lang w:val="en-US"/>
        </w:rPr>
        <w:tab/>
      </w:r>
      <w:r w:rsidR="00BF049A" w:rsidRPr="00C903F8">
        <w:rPr>
          <w:rFonts w:eastAsia="Calibri"/>
          <w:lang w:val="en-US"/>
        </w:rPr>
        <w:t>transverse moment of inertia of water line area at</w:t>
      </w:r>
      <w:r w:rsidR="009805F2" w:rsidRPr="00C903F8">
        <w:rPr>
          <w:rFonts w:eastAsia="Calibri"/>
          <w:lang w:val="en-US"/>
        </w:rPr>
        <w:t xml:space="preserve"> </w:t>
      </w:r>
      <m:oMath>
        <m:sSub>
          <m:sSubPr>
            <m:ctrlPr>
              <w:rPr>
                <w:rFonts w:ascii="Cambria Math" w:eastAsia="Calibri" w:hAnsi="Cambria Math"/>
                <w:i/>
                <w:lang w:val="en-US"/>
              </w:rPr>
            </m:ctrlPr>
          </m:sSubPr>
          <m:e>
            <m:r>
              <w:rPr>
                <w:rFonts w:ascii="Cambria Math" w:eastAsia="Calibri" w:hAnsi="Cambria Math"/>
                <w:lang w:val="en-US"/>
              </w:rPr>
              <m:t>T</m:t>
            </m:r>
          </m:e>
          <m:sub>
            <m:r>
              <w:rPr>
                <w:rFonts w:ascii="Cambria Math" w:eastAsia="Calibri" w:hAnsi="Cambria Math"/>
                <w:lang w:val="en-US"/>
              </w:rPr>
              <m:t>m</m:t>
            </m:r>
          </m:sub>
        </m:sSub>
      </m:oMath>
      <w:r w:rsidR="009805F2" w:rsidRPr="00C903F8">
        <w:rPr>
          <w:rFonts w:eastAsia="Calibri"/>
          <w:lang w:val="en-US"/>
        </w:rPr>
        <w:t xml:space="preserve"> </w:t>
      </w:r>
      <w:r w:rsidR="00BF049A" w:rsidRPr="00C903F8">
        <w:rPr>
          <w:rFonts w:eastAsia="Calibri"/>
          <w:lang w:val="en-US"/>
        </w:rPr>
        <w:t>[m</w:t>
      </w:r>
      <w:r w:rsidR="00BF049A" w:rsidRPr="00C903F8">
        <w:rPr>
          <w:rFonts w:eastAsia="Calibri"/>
          <w:vertAlign w:val="superscript"/>
          <w:lang w:val="en-US"/>
        </w:rPr>
        <w:t>4</w:t>
      </w:r>
      <w:r w:rsidR="00BF049A" w:rsidRPr="00C903F8">
        <w:rPr>
          <w:rFonts w:eastAsia="Calibri"/>
          <w:lang w:val="en-US"/>
        </w:rPr>
        <w:t xml:space="preserve">] (for the approximation formula see </w:t>
      </w:r>
      <w:r w:rsidR="007E1D94" w:rsidRPr="00C903F8">
        <w:rPr>
          <w:rFonts w:eastAsia="Calibri"/>
          <w:lang w:val="en-US"/>
        </w:rPr>
        <w:t>(</w:t>
      </w:r>
      <w:r w:rsidR="00BF049A" w:rsidRPr="00C903F8">
        <w:rPr>
          <w:rFonts w:eastAsia="Calibri"/>
          <w:lang w:val="en-US"/>
        </w:rPr>
        <w:t>3</w:t>
      </w:r>
      <w:r w:rsidR="007E1D94" w:rsidRPr="00C903F8">
        <w:rPr>
          <w:rFonts w:eastAsia="Calibri"/>
          <w:lang w:val="en-US"/>
        </w:rPr>
        <w:t>)</w:t>
      </w:r>
      <w:r w:rsidR="00BF049A" w:rsidRPr="00C903F8">
        <w:rPr>
          <w:rFonts w:eastAsia="Calibri"/>
          <w:lang w:val="en-US"/>
        </w:rPr>
        <w:t>);</w:t>
      </w:r>
    </w:p>
    <w:p w:rsidR="00851A17" w:rsidRPr="00C903F8" w:rsidRDefault="00851A17" w:rsidP="000526B5">
      <w:pPr>
        <w:pStyle w:val="EStiret"/>
        <w:rPr>
          <w:rFonts w:eastAsia="Calibri"/>
          <w:lang w:val="en-US"/>
        </w:rPr>
      </w:pPr>
      <m:oMath>
        <m:r>
          <w:rPr>
            <w:rFonts w:ascii="Cambria Math" w:eastAsia="Calibri" w:hAnsi="Cambria Math"/>
            <w:lang w:val="en-US"/>
          </w:rPr>
          <m:t>i</m:t>
        </m:r>
      </m:oMath>
      <w:r w:rsidR="000526B5" w:rsidRPr="00C903F8">
        <w:rPr>
          <w:rFonts w:eastAsia="Calibri"/>
          <w:lang w:val="en-US"/>
        </w:rPr>
        <w:tab/>
      </w:r>
      <w:r w:rsidR="00BF049A" w:rsidRPr="00C903F8">
        <w:rPr>
          <w:rFonts w:eastAsia="Calibri"/>
          <w:lang w:val="en-US"/>
        </w:rPr>
        <w:t>transverse moment of inertia of the water line area parallel to the base, at height</w:t>
      </w:r>
    </w:p>
    <w:p w:rsidR="00851A17" w:rsidRPr="00C903F8" w:rsidRDefault="00F12BAF" w:rsidP="00851A17">
      <w:pPr>
        <w:pStyle w:val="EStiret"/>
        <w:ind w:left="0" w:firstLine="0"/>
        <w:rPr>
          <w:rFonts w:eastAsia="Calibri"/>
          <w:lang w:val="en-US"/>
        </w:rPr>
      </w:pPr>
      <m:oMathPara>
        <m:oMath>
          <m:sSub>
            <m:sSubPr>
              <m:ctrlPr>
                <w:rPr>
                  <w:rFonts w:ascii="Cambria Math" w:eastAsia="Calibri" w:hAnsi="Cambria Math"/>
                  <w:i/>
                  <w:lang w:val="en-US"/>
                </w:rPr>
              </m:ctrlPr>
            </m:sSubPr>
            <m:e>
              <m:r>
                <w:rPr>
                  <w:rFonts w:ascii="Cambria Math" w:eastAsia="Calibri" w:hAnsi="Cambria Math"/>
                  <w:lang w:val="en-US"/>
                </w:rPr>
                <m:t>T</m:t>
              </m:r>
            </m:e>
            <m:sub>
              <m:r>
                <w:rPr>
                  <w:rFonts w:ascii="Cambria Math" w:eastAsia="Calibri" w:hAnsi="Cambria Math"/>
                  <w:lang w:val="en-US"/>
                </w:rPr>
                <m:t>m</m:t>
              </m:r>
            </m:sub>
          </m:sSub>
          <m:r>
            <w:rPr>
              <w:rFonts w:ascii="Cambria Math" w:eastAsia="Calibri" w:hAnsi="Cambria Math"/>
              <w:lang w:val="en-US"/>
            </w:rPr>
            <m:t xml:space="preserve">+ </m:t>
          </m:r>
          <m:f>
            <m:fPr>
              <m:ctrlPr>
                <w:rPr>
                  <w:rFonts w:ascii="Cambria Math" w:eastAsia="Calibri" w:hAnsi="Cambria Math"/>
                  <w:i/>
                  <w:lang w:val="en-US"/>
                </w:rPr>
              </m:ctrlPr>
            </m:fPr>
            <m:num>
              <m:r>
                <w:rPr>
                  <w:rFonts w:ascii="Cambria Math" w:eastAsia="Calibri" w:hAnsi="Cambria Math"/>
                  <w:lang w:val="en-US"/>
                </w:rPr>
                <m:t>2</m:t>
              </m:r>
            </m:num>
            <m:den>
              <m:r>
                <w:rPr>
                  <w:rFonts w:ascii="Cambria Math" w:eastAsia="Calibri" w:hAnsi="Cambria Math"/>
                  <w:lang w:val="en-US"/>
                </w:rPr>
                <m:t>3</m:t>
              </m:r>
            </m:den>
          </m:f>
          <m:r>
            <w:rPr>
              <w:rFonts w:ascii="Cambria Math" w:eastAsia="Calibri" w:hAnsi="Cambria Math"/>
              <w:lang w:val="en-US"/>
            </w:rPr>
            <m:t xml:space="preserve"> </m:t>
          </m:r>
          <m:sSup>
            <m:sSupPr>
              <m:ctrlPr>
                <w:rPr>
                  <w:rFonts w:ascii="Cambria Math" w:eastAsia="Calibri" w:hAnsi="Cambria Math"/>
                  <w:i/>
                  <w:lang w:val="en-US"/>
                </w:rPr>
              </m:ctrlPr>
            </m:sSupPr>
            <m:e>
              <m:r>
                <w:rPr>
                  <w:rFonts w:ascii="Cambria Math" w:eastAsia="Calibri" w:hAnsi="Cambria Math"/>
                  <w:lang w:val="en-US"/>
                </w:rPr>
                <m:t>F</m:t>
              </m:r>
            </m:e>
            <m:sup>
              <m:r>
                <w:rPr>
                  <w:rFonts w:ascii="Cambria Math" w:eastAsia="Calibri" w:hAnsi="Cambria Math"/>
                  <w:lang w:val="en-US"/>
                </w:rPr>
                <m:t>'</m:t>
              </m:r>
            </m:sup>
          </m:sSup>
          <m:d>
            <m:dPr>
              <m:begChr m:val="["/>
              <m:endChr m:val="]"/>
              <m:ctrlPr>
                <w:rPr>
                  <w:rFonts w:ascii="Cambria Math" w:eastAsia="Calibri" w:hAnsi="Cambria Math"/>
                  <w:i/>
                  <w:lang w:val="en-US"/>
                </w:rPr>
              </m:ctrlPr>
            </m:dPr>
            <m:e>
              <m:sSup>
                <m:sSupPr>
                  <m:ctrlPr>
                    <w:rPr>
                      <w:rFonts w:ascii="Cambria Math" w:eastAsia="Calibri" w:hAnsi="Cambria Math"/>
                      <w:i/>
                      <w:lang w:val="en-US"/>
                    </w:rPr>
                  </m:ctrlPr>
                </m:sSupPr>
                <m:e>
                  <m:r>
                    <w:rPr>
                      <w:rFonts w:ascii="Cambria Math" w:eastAsia="Calibri" w:hAnsi="Cambria Math"/>
                      <w:lang w:val="en-US"/>
                    </w:rPr>
                    <m:t>m</m:t>
                  </m:r>
                </m:e>
                <m:sup>
                  <m:r>
                    <w:rPr>
                      <w:rFonts w:ascii="Cambria Math" w:eastAsia="Calibri" w:hAnsi="Cambria Math"/>
                      <w:lang w:val="en-US"/>
                    </w:rPr>
                    <m:t>4</m:t>
                  </m:r>
                </m:sup>
              </m:sSup>
            </m:e>
          </m:d>
        </m:oMath>
      </m:oMathPara>
    </w:p>
    <w:p w:rsidR="00BF049A" w:rsidRPr="00C903F8" w:rsidRDefault="00851A17" w:rsidP="000526B5">
      <w:pPr>
        <w:pStyle w:val="EStiret"/>
        <w:rPr>
          <w:rFonts w:eastAsia="Calibri"/>
          <w:lang w:val="en-US"/>
        </w:rPr>
      </w:pPr>
      <m:oMath>
        <m:r>
          <w:rPr>
            <w:rFonts w:ascii="Cambria Math" w:eastAsia="Calibri" w:hAnsi="Cambria Math"/>
            <w:lang w:val="en-US"/>
          </w:rPr>
          <m:t>∀</m:t>
        </m:r>
      </m:oMath>
      <w:r w:rsidR="00BF049A" w:rsidRPr="00C903F8">
        <w:rPr>
          <w:rFonts w:eastAsia="Calibri"/>
          <w:lang w:val="en-US"/>
        </w:rPr>
        <w:tab/>
        <w:t xml:space="preserve">water displacement of the vessel at </w:t>
      </w:r>
      <m:oMath>
        <m:sSub>
          <m:sSubPr>
            <m:ctrlPr>
              <w:rPr>
                <w:rFonts w:ascii="Cambria Math" w:eastAsia="Calibri" w:hAnsi="Cambria Math"/>
                <w:i/>
                <w:lang w:val="en-US"/>
              </w:rPr>
            </m:ctrlPr>
          </m:sSubPr>
          <m:e>
            <m:r>
              <w:rPr>
                <w:rFonts w:ascii="Cambria Math" w:eastAsia="Calibri" w:hAnsi="Cambria Math"/>
                <w:lang w:val="en-US"/>
              </w:rPr>
              <m:t>T</m:t>
            </m:r>
          </m:e>
          <m:sub>
            <m:r>
              <w:rPr>
                <w:rFonts w:ascii="Cambria Math" w:eastAsia="Calibri" w:hAnsi="Cambria Math"/>
                <w:lang w:val="en-US"/>
              </w:rPr>
              <m:t>m</m:t>
            </m:r>
          </m:sub>
        </m:sSub>
      </m:oMath>
      <w:r w:rsidR="00BF049A" w:rsidRPr="00C903F8">
        <w:rPr>
          <w:rFonts w:eastAsia="Calibri"/>
          <w:lang w:val="en-US"/>
        </w:rPr>
        <w:t xml:space="preserve"> </w:t>
      </w:r>
      <w:r w:rsidR="00725CFD" w:rsidRPr="00C903F8">
        <w:rPr>
          <w:rFonts w:eastAsia="Calibri"/>
          <w:lang w:val="en-US"/>
        </w:rPr>
        <w:t>[</w:t>
      </w:r>
      <w:r w:rsidR="00BF049A" w:rsidRPr="00C903F8">
        <w:rPr>
          <w:rFonts w:eastAsia="Calibri"/>
          <w:lang w:val="en-US"/>
        </w:rPr>
        <w:t>m</w:t>
      </w:r>
      <w:r w:rsidR="00BF049A" w:rsidRPr="00C903F8">
        <w:rPr>
          <w:rFonts w:eastAsia="Calibri"/>
          <w:vertAlign w:val="superscript"/>
          <w:lang w:val="en-US"/>
        </w:rPr>
        <w:t>3</w:t>
      </w:r>
      <w:r w:rsidR="00725CFD" w:rsidRPr="00C903F8">
        <w:rPr>
          <w:rFonts w:eastAsia="Calibri"/>
          <w:lang w:val="en-US"/>
        </w:rPr>
        <w:t>]</w:t>
      </w:r>
      <w:r w:rsidR="00BF049A" w:rsidRPr="00C903F8">
        <w:rPr>
          <w:rFonts w:eastAsia="Calibri"/>
          <w:lang w:val="en-US"/>
        </w:rPr>
        <w:t>;</w:t>
      </w:r>
    </w:p>
    <w:p w:rsidR="0067550D" w:rsidRPr="00C903F8" w:rsidRDefault="00851A17" w:rsidP="000526B5">
      <w:pPr>
        <w:pStyle w:val="EStiret"/>
        <w:rPr>
          <w:rFonts w:eastAsia="Calibri"/>
          <w:lang w:val="en-US"/>
        </w:rPr>
      </w:pPr>
      <m:oMath>
        <m:r>
          <w:rPr>
            <w:rFonts w:ascii="Cambria Math" w:eastAsia="Calibri" w:hAnsi="Cambria Math"/>
            <w:lang w:val="en-US"/>
          </w:rPr>
          <m:t>F'</m:t>
        </m:r>
      </m:oMath>
      <w:r w:rsidR="000526B5" w:rsidRPr="00C903F8">
        <w:rPr>
          <w:rFonts w:eastAsia="Calibri"/>
          <w:lang w:val="en-US"/>
        </w:rPr>
        <w:tab/>
      </w:r>
      <w:r w:rsidR="00BF049A" w:rsidRPr="00C903F8">
        <w:rPr>
          <w:rFonts w:eastAsia="Calibri"/>
          <w:lang w:val="en-US"/>
        </w:rPr>
        <w:t xml:space="preserve">ideal freeboard </w:t>
      </w:r>
    </w:p>
    <w:p w:rsidR="00BF049A" w:rsidRPr="00C903F8" w:rsidRDefault="00F12BAF" w:rsidP="0067550D">
      <w:pPr>
        <w:pStyle w:val="EStiret"/>
        <w:ind w:firstLine="1"/>
        <w:rPr>
          <w:rFonts w:eastAsia="Calibri"/>
          <w:lang w:val="en-US"/>
        </w:rPr>
      </w:pPr>
      <m:oMath>
        <m:sSup>
          <m:sSupPr>
            <m:ctrlPr>
              <w:rPr>
                <w:rFonts w:ascii="Cambria Math" w:eastAsia="Calibri" w:hAnsi="Cambria Math"/>
                <w:i/>
                <w:lang w:val="en-US"/>
              </w:rPr>
            </m:ctrlPr>
          </m:sSupPr>
          <m:e>
            <m:r>
              <w:rPr>
                <w:rFonts w:ascii="Cambria Math" w:eastAsia="Calibri" w:hAnsi="Cambria Math"/>
                <w:lang w:val="en-US"/>
              </w:rPr>
              <m:t>F</m:t>
            </m:r>
          </m:e>
          <m:sup>
            <m:r>
              <w:rPr>
                <w:rFonts w:ascii="Cambria Math" w:eastAsia="Calibri" w:hAnsi="Cambria Math"/>
                <w:lang w:val="en-US"/>
              </w:rPr>
              <m:t>'</m:t>
            </m:r>
          </m:sup>
        </m:sSup>
        <m:r>
          <w:rPr>
            <w:rFonts w:ascii="Cambria Math" w:eastAsia="Calibri" w:hAnsi="Cambria Math"/>
            <w:lang w:val="en-US"/>
          </w:rPr>
          <m:t>=</m:t>
        </m:r>
        <m:sSup>
          <m:sSupPr>
            <m:ctrlPr>
              <w:rPr>
                <w:rFonts w:ascii="Cambria Math" w:eastAsia="Calibri" w:hAnsi="Cambria Math"/>
                <w:i/>
                <w:lang w:val="en-US"/>
              </w:rPr>
            </m:ctrlPr>
          </m:sSupPr>
          <m:e>
            <m:r>
              <w:rPr>
                <w:rFonts w:ascii="Cambria Math" w:eastAsia="Calibri" w:hAnsi="Cambria Math"/>
                <w:lang w:val="en-US"/>
              </w:rPr>
              <m:t>H</m:t>
            </m:r>
          </m:e>
          <m:sup>
            <m:r>
              <w:rPr>
                <w:rFonts w:ascii="Cambria Math" w:eastAsia="Calibri" w:hAnsi="Cambria Math"/>
                <w:lang w:val="en-US"/>
              </w:rPr>
              <m:t>'</m:t>
            </m:r>
          </m:sup>
        </m:sSup>
        <m:r>
          <w:rPr>
            <w:rFonts w:ascii="Cambria Math" w:eastAsia="Calibri" w:hAnsi="Cambria Math"/>
            <w:lang w:val="en-US"/>
          </w:rPr>
          <m:t xml:space="preserve">- </m:t>
        </m:r>
        <m:sSub>
          <m:sSubPr>
            <m:ctrlPr>
              <w:rPr>
                <w:rFonts w:ascii="Cambria Math" w:eastAsia="Calibri" w:hAnsi="Cambria Math"/>
                <w:i/>
                <w:lang w:val="en-US"/>
              </w:rPr>
            </m:ctrlPr>
          </m:sSubPr>
          <m:e>
            <m:r>
              <w:rPr>
                <w:rFonts w:ascii="Cambria Math" w:eastAsia="Calibri" w:hAnsi="Cambria Math"/>
                <w:lang w:val="en-US"/>
              </w:rPr>
              <m:t>T</m:t>
            </m:r>
          </m:e>
          <m:sub>
            <m:r>
              <w:rPr>
                <w:rFonts w:ascii="Cambria Math" w:eastAsia="Calibri" w:hAnsi="Cambria Math"/>
                <w:lang w:val="en-US"/>
              </w:rPr>
              <m:t>m</m:t>
            </m:r>
          </m:sub>
        </m:sSub>
        <m:r>
          <w:rPr>
            <w:rFonts w:ascii="Cambria Math" w:eastAsia="Calibri" w:hAnsi="Cambria Math"/>
            <w:lang w:val="en-US"/>
          </w:rPr>
          <m:t xml:space="preserve"> </m:t>
        </m:r>
        <m:d>
          <m:dPr>
            <m:begChr m:val="["/>
            <m:endChr m:val="]"/>
            <m:ctrlPr>
              <w:rPr>
                <w:rFonts w:ascii="Cambria Math" w:eastAsia="Calibri" w:hAnsi="Cambria Math"/>
                <w:i/>
                <w:lang w:val="en-US"/>
              </w:rPr>
            </m:ctrlPr>
          </m:dPr>
          <m:e>
            <m:r>
              <w:rPr>
                <w:rFonts w:ascii="Cambria Math" w:eastAsia="Calibri" w:hAnsi="Cambria Math"/>
                <w:lang w:val="en-US"/>
              </w:rPr>
              <m:t>m</m:t>
            </m:r>
          </m:e>
        </m:d>
      </m:oMath>
      <w:r w:rsidR="0067550D" w:rsidRPr="00C903F8">
        <w:rPr>
          <w:rFonts w:eastAsia="Calibri"/>
          <w:lang w:val="en-US"/>
        </w:rPr>
        <w:t xml:space="preserve"> or</w:t>
      </w:r>
      <w:r w:rsidR="004F13FC" w:rsidRPr="00C903F8">
        <w:rPr>
          <w:rFonts w:eastAsia="Calibri"/>
          <w:lang w:val="en-US"/>
        </w:rPr>
        <w:t xml:space="preserve"> </w:t>
      </w:r>
      <m:oMath>
        <m:sSup>
          <m:sSupPr>
            <m:ctrlPr>
              <w:rPr>
                <w:rFonts w:ascii="Cambria Math" w:eastAsia="Calibri" w:hAnsi="Cambria Math"/>
                <w:i/>
                <w:lang w:val="en-US"/>
              </w:rPr>
            </m:ctrlPr>
          </m:sSupPr>
          <m:e>
            <m:r>
              <w:rPr>
                <w:rFonts w:ascii="Cambria Math" w:eastAsia="Calibri" w:hAnsi="Cambria Math"/>
                <w:lang w:val="en-US"/>
              </w:rPr>
              <m:t>F</m:t>
            </m:r>
          </m:e>
          <m:sup>
            <m:r>
              <w:rPr>
                <w:rFonts w:ascii="Cambria Math" w:eastAsia="Calibri" w:hAnsi="Cambria Math"/>
                <w:lang w:val="en-US"/>
              </w:rPr>
              <m:t>'</m:t>
            </m:r>
          </m:sup>
        </m:sSup>
        <m:r>
          <w:rPr>
            <w:rFonts w:ascii="Cambria Math" w:eastAsia="Calibri" w:hAnsi="Cambria Math"/>
            <w:lang w:val="en-US"/>
          </w:rPr>
          <m:t xml:space="preserve">= </m:t>
        </m:r>
        <m:f>
          <m:fPr>
            <m:ctrlPr>
              <w:rPr>
                <w:rFonts w:ascii="Cambria Math" w:eastAsia="Calibri" w:hAnsi="Cambria Math"/>
                <w:i/>
                <w:lang w:val="en-US"/>
              </w:rPr>
            </m:ctrlPr>
          </m:fPr>
          <m:num>
            <m:r>
              <w:rPr>
                <w:rFonts w:ascii="Cambria Math" w:eastAsia="Calibri" w:hAnsi="Cambria Math"/>
                <w:lang w:val="en-US"/>
              </w:rPr>
              <m:t xml:space="preserve">a ∙ </m:t>
            </m:r>
            <m:sSub>
              <m:sSubPr>
                <m:ctrlPr>
                  <w:rPr>
                    <w:rFonts w:ascii="Cambria Math" w:eastAsia="Calibri" w:hAnsi="Cambria Math"/>
                    <w:i/>
                    <w:lang w:val="en-US"/>
                  </w:rPr>
                </m:ctrlPr>
              </m:sSubPr>
              <m:e>
                <m:r>
                  <w:rPr>
                    <w:rFonts w:ascii="Cambria Math" w:eastAsia="Calibri" w:hAnsi="Cambria Math"/>
                    <w:lang w:val="en-US"/>
                  </w:rPr>
                  <m:t>B</m:t>
                </m:r>
              </m:e>
              <m:sub>
                <m:r>
                  <w:rPr>
                    <w:rFonts w:ascii="Cambria Math" w:eastAsia="Calibri" w:hAnsi="Cambria Math"/>
                    <w:lang w:val="en-US"/>
                  </w:rPr>
                  <m:t>WL</m:t>
                </m:r>
              </m:sub>
            </m:sSub>
          </m:num>
          <m:den>
            <m:r>
              <w:rPr>
                <w:rFonts w:ascii="Cambria Math" w:eastAsia="Calibri" w:hAnsi="Cambria Math"/>
                <w:lang w:val="en-US"/>
              </w:rPr>
              <m:t>2 ∙b</m:t>
            </m:r>
          </m:den>
        </m:f>
        <m:r>
          <w:rPr>
            <w:rFonts w:ascii="Cambria Math" w:eastAsia="Calibri" w:hAnsi="Cambria Math"/>
            <w:lang w:val="en-US"/>
          </w:rPr>
          <m:t xml:space="preserve"> </m:t>
        </m:r>
        <m:d>
          <m:dPr>
            <m:begChr m:val="["/>
            <m:endChr m:val="]"/>
            <m:ctrlPr>
              <w:rPr>
                <w:rFonts w:ascii="Cambria Math" w:eastAsia="Calibri" w:hAnsi="Cambria Math"/>
                <w:i/>
                <w:lang w:val="en-US"/>
              </w:rPr>
            </m:ctrlPr>
          </m:dPr>
          <m:e>
            <m:r>
              <w:rPr>
                <w:rFonts w:ascii="Cambria Math" w:eastAsia="Calibri" w:hAnsi="Cambria Math"/>
                <w:lang w:val="en-US"/>
              </w:rPr>
              <m:t>m</m:t>
            </m:r>
          </m:e>
        </m:d>
      </m:oMath>
      <w:r w:rsidR="00BF049A" w:rsidRPr="00C903F8">
        <w:rPr>
          <w:rFonts w:eastAsia="Calibri"/>
          <w:lang w:val="en-US"/>
        </w:rPr>
        <w:t>, the lowest value shall be decisive;</w:t>
      </w:r>
    </w:p>
    <w:p w:rsidR="000526B5" w:rsidRPr="00C903F8" w:rsidRDefault="000526B5" w:rsidP="000526B5">
      <w:pPr>
        <w:pStyle w:val="EStiret"/>
        <w:rPr>
          <w:rFonts w:eastAsia="Calibri"/>
          <w:lang w:val="en-US"/>
        </w:rPr>
      </w:pPr>
    </w:p>
    <w:p w:rsidR="000526B5" w:rsidRPr="00C903F8" w:rsidRDefault="000526B5" w:rsidP="000526B5">
      <w:pPr>
        <w:pStyle w:val="EStiret"/>
        <w:rPr>
          <w:rFonts w:eastAsia="Calibri"/>
          <w:lang w:val="en-US"/>
        </w:rPr>
      </w:pPr>
      <w:r w:rsidRPr="00C903F8">
        <w:rPr>
          <w:rFonts w:eastAsia="Calibri"/>
          <w:lang w:val="en-US"/>
        </w:rPr>
        <w:br w:type="page"/>
      </w:r>
    </w:p>
    <w:p w:rsidR="00BF049A" w:rsidRPr="00C903F8" w:rsidRDefault="004F13FC" w:rsidP="000526B5">
      <w:pPr>
        <w:pStyle w:val="EStiret"/>
        <w:rPr>
          <w:rFonts w:eastAsia="Calibri"/>
          <w:lang w:val="en-US"/>
        </w:rPr>
      </w:pPr>
      <m:oMath>
        <m:r>
          <w:rPr>
            <w:rFonts w:ascii="Cambria Math" w:eastAsia="Calibri" w:hAnsi="Cambria Math"/>
            <w:lang w:val="en-US"/>
          </w:rPr>
          <w:lastRenderedPageBreak/>
          <m:t>a</m:t>
        </m:r>
      </m:oMath>
      <w:r w:rsidRPr="00C903F8">
        <w:rPr>
          <w:rFonts w:eastAsia="Calibri"/>
          <w:lang w:val="en-US"/>
        </w:rPr>
        <w:tab/>
      </w:r>
      <w:r w:rsidR="00BF049A" w:rsidRPr="00C903F8">
        <w:rPr>
          <w:rFonts w:eastAsia="Calibri"/>
          <w:lang w:val="en-US"/>
        </w:rPr>
        <w:t>the vertical distance between the lower edge of the opening that is first immersed in the event of heeling and the water line in the vessel's upright position [m];</w:t>
      </w:r>
    </w:p>
    <w:p w:rsidR="00BF049A" w:rsidRPr="00C903F8" w:rsidRDefault="004F13FC" w:rsidP="000526B5">
      <w:pPr>
        <w:pStyle w:val="EStiret"/>
        <w:rPr>
          <w:rFonts w:eastAsia="Calibri"/>
          <w:lang w:val="en-US"/>
        </w:rPr>
      </w:pPr>
      <m:oMath>
        <m:r>
          <w:rPr>
            <w:rFonts w:ascii="Cambria Math" w:eastAsia="Calibri" w:hAnsi="Cambria Math"/>
            <w:lang w:val="en-US"/>
          </w:rPr>
          <m:t>b</m:t>
        </m:r>
      </m:oMath>
      <w:r w:rsidR="000526B5" w:rsidRPr="00C903F8">
        <w:rPr>
          <w:rFonts w:eastAsia="Calibri"/>
          <w:lang w:val="en-US"/>
        </w:rPr>
        <w:tab/>
      </w:r>
      <w:r w:rsidR="00BF049A" w:rsidRPr="00C903F8">
        <w:rPr>
          <w:rFonts w:eastAsia="Calibri"/>
          <w:lang w:val="en-US"/>
        </w:rPr>
        <w:t>distance from that same opening from the centre of the vessel [m];</w:t>
      </w:r>
    </w:p>
    <w:p w:rsidR="00BF049A" w:rsidRPr="00C903F8" w:rsidRDefault="004F13FC" w:rsidP="000526B5">
      <w:pPr>
        <w:pStyle w:val="EStiret"/>
        <w:rPr>
          <w:rFonts w:eastAsia="Calibri"/>
          <w:lang w:val="en-US"/>
        </w:rPr>
      </w:pPr>
      <m:oMath>
        <m:r>
          <w:rPr>
            <w:rFonts w:ascii="Cambria Math" w:eastAsia="Calibri" w:hAnsi="Cambria Math"/>
            <w:lang w:val="en-US"/>
          </w:rPr>
          <m:t>H'</m:t>
        </m:r>
      </m:oMath>
      <w:r w:rsidR="000526B5" w:rsidRPr="00C903F8">
        <w:rPr>
          <w:rFonts w:eastAsia="Calibri"/>
          <w:lang w:val="en-US"/>
        </w:rPr>
        <w:tab/>
      </w:r>
      <w:r w:rsidR="00BF049A" w:rsidRPr="00C903F8">
        <w:rPr>
          <w:rFonts w:eastAsia="Calibri"/>
          <w:lang w:val="en-US"/>
        </w:rPr>
        <w:t xml:space="preserve">ideal side height </w:t>
      </w:r>
      <m:oMath>
        <m:sSup>
          <m:sSupPr>
            <m:ctrlPr>
              <w:rPr>
                <w:rFonts w:ascii="Cambria Math" w:eastAsia="Calibri" w:hAnsi="Cambria Math"/>
                <w:i/>
                <w:lang w:val="en-US"/>
              </w:rPr>
            </m:ctrlPr>
          </m:sSupPr>
          <m:e>
            <m:r>
              <w:rPr>
                <w:rFonts w:ascii="Cambria Math" w:eastAsia="Calibri" w:hAnsi="Cambria Math"/>
                <w:lang w:val="en-US"/>
              </w:rPr>
              <m:t>H</m:t>
            </m:r>
          </m:e>
          <m:sup>
            <m:r>
              <w:rPr>
                <w:rFonts w:ascii="Cambria Math" w:eastAsia="Calibri" w:hAnsi="Cambria Math"/>
                <w:lang w:val="en-US"/>
              </w:rPr>
              <m:t>'</m:t>
            </m:r>
          </m:sup>
        </m:sSup>
        <m:r>
          <w:rPr>
            <w:rFonts w:ascii="Cambria Math" w:eastAsia="Calibri" w:hAnsi="Cambria Math"/>
            <w:lang w:val="en-US"/>
          </w:rPr>
          <m:t xml:space="preserve">=H+ </m:t>
        </m:r>
        <m:f>
          <m:fPr>
            <m:ctrlPr>
              <w:rPr>
                <w:rFonts w:ascii="Cambria Math" w:eastAsia="Calibri" w:hAnsi="Cambria Math"/>
                <w:i/>
                <w:lang w:val="en-US"/>
              </w:rPr>
            </m:ctrlPr>
          </m:fPr>
          <m:num>
            <m:r>
              <w:rPr>
                <w:rFonts w:ascii="Cambria Math" w:eastAsia="Calibri" w:hAnsi="Cambria Math"/>
                <w:lang w:val="en-US"/>
              </w:rPr>
              <m:t>q</m:t>
            </m:r>
          </m:num>
          <m:den>
            <m:r>
              <w:rPr>
                <w:rFonts w:ascii="Cambria Math" w:eastAsia="Calibri" w:hAnsi="Cambria Math"/>
                <w:lang w:val="en-US"/>
              </w:rPr>
              <m:t xml:space="preserve">0,9 ∙L ∙ </m:t>
            </m:r>
            <m:sSub>
              <m:sSubPr>
                <m:ctrlPr>
                  <w:rPr>
                    <w:rFonts w:ascii="Cambria Math" w:eastAsia="Calibri" w:hAnsi="Cambria Math"/>
                    <w:i/>
                    <w:lang w:val="en-US"/>
                  </w:rPr>
                </m:ctrlPr>
              </m:sSubPr>
              <m:e>
                <m:r>
                  <w:rPr>
                    <w:rFonts w:ascii="Cambria Math" w:eastAsia="Calibri" w:hAnsi="Cambria Math"/>
                    <w:lang w:val="en-US"/>
                  </w:rPr>
                  <m:t>B</m:t>
                </m:r>
              </m:e>
              <m:sub>
                <m:r>
                  <w:rPr>
                    <w:rFonts w:ascii="Cambria Math" w:eastAsia="Calibri" w:hAnsi="Cambria Math"/>
                    <w:lang w:val="en-US"/>
                  </w:rPr>
                  <m:t>WL</m:t>
                </m:r>
              </m:sub>
            </m:sSub>
          </m:den>
        </m:f>
        <m:r>
          <w:rPr>
            <w:rFonts w:ascii="Cambria Math" w:eastAsia="Calibri" w:hAnsi="Cambria Math"/>
            <w:lang w:val="en-US"/>
          </w:rPr>
          <m:t xml:space="preserve"> </m:t>
        </m:r>
        <m:d>
          <m:dPr>
            <m:begChr m:val="["/>
            <m:endChr m:val="]"/>
            <m:ctrlPr>
              <w:rPr>
                <w:rFonts w:ascii="Cambria Math" w:eastAsia="Calibri" w:hAnsi="Cambria Math"/>
                <w:i/>
                <w:lang w:val="en-US"/>
              </w:rPr>
            </m:ctrlPr>
          </m:dPr>
          <m:e>
            <m:r>
              <w:rPr>
                <w:rFonts w:ascii="Cambria Math" w:eastAsia="Calibri" w:hAnsi="Cambria Math"/>
                <w:lang w:val="en-US"/>
              </w:rPr>
              <m:t>m</m:t>
            </m:r>
          </m:e>
        </m:d>
        <m:r>
          <w:rPr>
            <w:rFonts w:ascii="Cambria Math" w:eastAsia="Calibri" w:hAnsi="Cambria Math"/>
            <w:lang w:val="en-US"/>
          </w:rPr>
          <m:t>;</m:t>
        </m:r>
      </m:oMath>
    </w:p>
    <w:p w:rsidR="00BF049A" w:rsidRPr="00C903F8" w:rsidRDefault="004F13FC" w:rsidP="000526B5">
      <w:pPr>
        <w:pStyle w:val="EStiret"/>
        <w:rPr>
          <w:rFonts w:eastAsia="Calibri"/>
          <w:lang w:val="en-US"/>
        </w:rPr>
      </w:pPr>
      <m:oMath>
        <m:r>
          <w:rPr>
            <w:rFonts w:ascii="Cambria Math" w:eastAsia="Calibri" w:hAnsi="Cambria Math"/>
            <w:szCs w:val="16"/>
            <w:lang w:val="en-US"/>
          </w:rPr>
          <m:t>q</m:t>
        </m:r>
      </m:oMath>
      <w:r w:rsidR="000526B5" w:rsidRPr="00C903F8">
        <w:rPr>
          <w:rFonts w:eastAsia="Calibri"/>
          <w:szCs w:val="16"/>
          <w:lang w:val="en-US"/>
        </w:rPr>
        <w:tab/>
      </w:r>
      <w:r w:rsidR="00BF049A" w:rsidRPr="00C903F8">
        <w:rPr>
          <w:rFonts w:eastAsia="Calibri"/>
          <w:szCs w:val="16"/>
          <w:lang w:val="en-US"/>
        </w:rPr>
        <w:t xml:space="preserve">sum of the volumes of the deckhouses, hatches, trunk decks and other superstructures up to a maximum height of 1,0 m above </w:t>
      </w:r>
      <m:oMath>
        <m:r>
          <w:rPr>
            <w:rFonts w:ascii="Cambria Math" w:eastAsia="Calibri" w:hAnsi="Cambria Math"/>
            <w:szCs w:val="16"/>
            <w:lang w:val="en-US"/>
          </w:rPr>
          <m:t>H</m:t>
        </m:r>
      </m:oMath>
      <w:r w:rsidRPr="00C903F8">
        <w:rPr>
          <w:rFonts w:eastAsia="Calibri"/>
          <w:szCs w:val="16"/>
          <w:lang w:val="en-US"/>
        </w:rPr>
        <w:t xml:space="preserve"> </w:t>
      </w:r>
      <w:r w:rsidR="00BF049A" w:rsidRPr="00C903F8">
        <w:rPr>
          <w:rFonts w:eastAsia="Calibri"/>
          <w:szCs w:val="16"/>
          <w:lang w:val="en-US"/>
        </w:rPr>
        <w:t xml:space="preserve">or up to the lowest aperture in the volume under consideration, the lowest value being decisive. Parts of volumes located within a range of </w:t>
      </w:r>
      <m:oMath>
        <m:r>
          <w:rPr>
            <w:rFonts w:ascii="Cambria Math" w:eastAsia="Calibri" w:hAnsi="Cambria Math"/>
            <w:szCs w:val="16"/>
            <w:lang w:val="en-US"/>
          </w:rPr>
          <m:t>0,05 L</m:t>
        </m:r>
      </m:oMath>
      <w:r w:rsidRPr="00C903F8">
        <w:rPr>
          <w:rFonts w:eastAsia="Calibri"/>
          <w:szCs w:val="16"/>
          <w:lang w:val="en-US"/>
        </w:rPr>
        <w:t xml:space="preserve"> </w:t>
      </w:r>
      <w:r w:rsidR="00BF049A" w:rsidRPr="00C903F8">
        <w:rPr>
          <w:rFonts w:eastAsia="Calibri"/>
          <w:szCs w:val="16"/>
          <w:lang w:val="en-US"/>
        </w:rPr>
        <w:t>from the extremities of the vessel s</w:t>
      </w:r>
      <w:r w:rsidRPr="00C903F8">
        <w:rPr>
          <w:rFonts w:eastAsia="Calibri"/>
          <w:szCs w:val="16"/>
          <w:lang w:val="en-US"/>
        </w:rPr>
        <w:t>hall not be taken into account [</w:t>
      </w:r>
      <w:r w:rsidR="00BF049A" w:rsidRPr="00C903F8">
        <w:rPr>
          <w:rFonts w:eastAsia="Calibri"/>
          <w:szCs w:val="16"/>
          <w:lang w:val="en-US"/>
        </w:rPr>
        <w:t>m</w:t>
      </w:r>
      <w:r w:rsidR="00BF049A" w:rsidRPr="00C903F8">
        <w:rPr>
          <w:rFonts w:eastAsia="Calibri"/>
          <w:szCs w:val="16"/>
          <w:vertAlign w:val="superscript"/>
          <w:lang w:val="en-US"/>
        </w:rPr>
        <w:t>3</w:t>
      </w:r>
      <w:r w:rsidRPr="00C903F8">
        <w:rPr>
          <w:rFonts w:eastAsia="Calibri"/>
          <w:szCs w:val="16"/>
          <w:lang w:val="en-US"/>
        </w:rPr>
        <w:t>]</w:t>
      </w:r>
      <w:r w:rsidR="00BF049A" w:rsidRPr="00C903F8">
        <w:rPr>
          <w:rFonts w:eastAsia="Calibri"/>
          <w:szCs w:val="16"/>
          <w:lang w:val="en-US"/>
        </w:rPr>
        <w:t>.</w:t>
      </w:r>
    </w:p>
    <w:p w:rsidR="00BD3403" w:rsidRPr="00C903F8" w:rsidRDefault="00BD3403" w:rsidP="00BF049A">
      <w:pPr>
        <w:pStyle w:val="ESch"/>
        <w:rPr>
          <w:rFonts w:eastAsia="Calibri" w:cs="Arial"/>
          <w:szCs w:val="18"/>
          <w:lang w:val="en-US" w:eastAsia="en-US"/>
        </w:rPr>
      </w:pPr>
    </w:p>
    <w:p w:rsidR="00BF049A" w:rsidRPr="00C903F8" w:rsidRDefault="00BD3403" w:rsidP="00BF049A">
      <w:pPr>
        <w:pStyle w:val="ESch"/>
        <w:rPr>
          <w:rFonts w:eastAsia="Calibri" w:cs="Arial"/>
          <w:szCs w:val="18"/>
          <w:lang w:val="en-US" w:eastAsia="en-US"/>
        </w:rPr>
      </w:pPr>
      <w:r w:rsidRPr="00C903F8">
        <w:rPr>
          <w:rFonts w:eastAsia="Calibri" w:cs="Arial"/>
          <w:szCs w:val="18"/>
          <w:lang w:val="en-US" w:eastAsia="en-US"/>
        </w:rPr>
        <w:t>3.</w:t>
      </w:r>
      <w:r w:rsidR="00BF049A" w:rsidRPr="00C903F8">
        <w:rPr>
          <w:rFonts w:eastAsia="Calibri" w:cs="Arial"/>
          <w:szCs w:val="18"/>
          <w:lang w:val="en-US" w:eastAsia="en-US"/>
        </w:rPr>
        <w:tab/>
        <w:t>Approximation formula for I</w:t>
      </w:r>
    </w:p>
    <w:p w:rsidR="003F1CB4" w:rsidRPr="00C903F8" w:rsidRDefault="003F1CB4" w:rsidP="003F1CB4">
      <w:pPr>
        <w:pStyle w:val="ESchpar"/>
        <w:rPr>
          <w:noProof/>
          <w:lang w:val="en-GB" w:eastAsia="en-US"/>
        </w:rPr>
      </w:pPr>
    </w:p>
    <w:p w:rsidR="00BF049A" w:rsidRPr="00C903F8" w:rsidRDefault="00BF049A" w:rsidP="003F1CB4">
      <w:pPr>
        <w:pStyle w:val="ESchpar"/>
        <w:rPr>
          <w:rFonts w:cs="Arial"/>
          <w:szCs w:val="18"/>
          <w:lang w:val="en-US" w:eastAsia="en-US"/>
        </w:rPr>
      </w:pPr>
      <w:r w:rsidRPr="00C903F8">
        <w:rPr>
          <w:noProof/>
          <w:lang w:val="en-GB" w:eastAsia="en-US"/>
        </w:rPr>
        <w:t>Where there is no sheet of hydrostatic curves available the value for the transverse moment of inertia I of the water line area may be calculated by the following approximation formulae:</w:t>
      </w:r>
    </w:p>
    <w:p w:rsidR="00BF049A" w:rsidRPr="00C903F8" w:rsidRDefault="005C7859" w:rsidP="003F1CB4">
      <w:pPr>
        <w:pStyle w:val="ESlet"/>
        <w:rPr>
          <w:noProof/>
          <w:lang w:val="en-GB" w:eastAsia="en-US"/>
        </w:rPr>
      </w:pPr>
      <w:r w:rsidRPr="00C903F8">
        <w:rPr>
          <w:noProof/>
          <w:lang w:val="en-GB" w:eastAsia="en-US"/>
        </w:rPr>
        <w:t>a)</w:t>
      </w:r>
      <w:r w:rsidR="00BF049A" w:rsidRPr="00C903F8">
        <w:rPr>
          <w:noProof/>
          <w:lang w:val="en-GB" w:eastAsia="en-US"/>
        </w:rPr>
        <w:tab/>
        <w:t>for vessels in the shape of a pontoon</w:t>
      </w:r>
    </w:p>
    <w:p w:rsidR="003F1CB4" w:rsidRPr="00C903F8" w:rsidRDefault="003F1CB4" w:rsidP="003F1CB4">
      <w:pPr>
        <w:pStyle w:val="ESlet"/>
        <w:rPr>
          <w:rFonts w:cs="Arial"/>
          <w:szCs w:val="18"/>
          <w:lang w:val="en-US" w:eastAsia="en-US"/>
        </w:rPr>
      </w:pPr>
    </w:p>
    <w:p w:rsidR="004F13FC" w:rsidRPr="00C903F8" w:rsidRDefault="004F13FC" w:rsidP="004F13FC">
      <w:pPr>
        <w:pStyle w:val="ESlet"/>
        <w:ind w:left="0" w:firstLine="0"/>
        <w:rPr>
          <w:rFonts w:cs="Arial"/>
          <w:szCs w:val="18"/>
          <w:lang w:val="en-US" w:eastAsia="en-US"/>
        </w:rPr>
      </w:pPr>
      <m:oMathPara>
        <m:oMath>
          <m:r>
            <w:rPr>
              <w:rFonts w:ascii="Cambria Math" w:hAnsi="Cambria Math" w:cs="Arial"/>
              <w:szCs w:val="18"/>
              <w:lang w:val="en-US" w:eastAsia="en-US"/>
            </w:rPr>
            <m:t xml:space="preserve">I= </m:t>
          </m:r>
          <m:f>
            <m:fPr>
              <m:ctrlPr>
                <w:rPr>
                  <w:rFonts w:ascii="Cambria Math" w:hAnsi="Cambria Math" w:cs="Arial"/>
                  <w:i/>
                  <w:szCs w:val="18"/>
                  <w:lang w:val="en-US" w:eastAsia="en-US"/>
                </w:rPr>
              </m:ctrlPr>
            </m:fPr>
            <m:num>
              <m:sSub>
                <m:sSubPr>
                  <m:ctrlPr>
                    <w:rPr>
                      <w:rFonts w:ascii="Cambria Math" w:hAnsi="Cambria Math" w:cs="Arial"/>
                      <w:i/>
                      <w:szCs w:val="18"/>
                      <w:lang w:val="en-US" w:eastAsia="en-US"/>
                    </w:rPr>
                  </m:ctrlPr>
                </m:sSubPr>
                <m:e>
                  <m:sSup>
                    <m:sSupPr>
                      <m:ctrlPr>
                        <w:rPr>
                          <w:rFonts w:ascii="Cambria Math" w:hAnsi="Cambria Math" w:cs="Arial"/>
                          <w:i/>
                          <w:szCs w:val="18"/>
                          <w:lang w:val="en-US" w:eastAsia="en-US"/>
                        </w:rPr>
                      </m:ctrlPr>
                    </m:sSupPr>
                    <m:e>
                      <m:r>
                        <w:rPr>
                          <w:rFonts w:ascii="Cambria Math" w:hAnsi="Cambria Math" w:cs="Arial"/>
                          <w:szCs w:val="18"/>
                          <w:lang w:val="en-US" w:eastAsia="en-US"/>
                        </w:rPr>
                        <m:t>B</m:t>
                      </m:r>
                    </m:e>
                    <m:sup>
                      <m:r>
                        <w:rPr>
                          <w:rFonts w:ascii="Cambria Math" w:hAnsi="Cambria Math" w:cs="Arial"/>
                          <w:szCs w:val="18"/>
                          <w:lang w:val="en-US" w:eastAsia="en-US"/>
                        </w:rPr>
                        <m:t>2</m:t>
                      </m:r>
                    </m:sup>
                  </m:sSup>
                </m:e>
                <m:sub>
                  <m:r>
                    <w:rPr>
                      <w:rFonts w:ascii="Cambria Math" w:hAnsi="Cambria Math" w:cs="Arial"/>
                      <w:szCs w:val="18"/>
                      <w:lang w:val="en-US" w:eastAsia="en-US"/>
                    </w:rPr>
                    <m:t>WL</m:t>
                  </m:r>
                </m:sub>
              </m:sSub>
              <m:r>
                <w:rPr>
                  <w:rFonts w:ascii="Cambria Math" w:hAnsi="Cambria Math" w:cs="Arial"/>
                  <w:szCs w:val="18"/>
                  <w:lang w:val="en-US" w:eastAsia="en-US"/>
                </w:rPr>
                <m:t xml:space="preserve"> ∙ ∀</m:t>
              </m:r>
            </m:num>
            <m:den>
              <m:d>
                <m:dPr>
                  <m:ctrlPr>
                    <w:rPr>
                      <w:rFonts w:ascii="Cambria Math" w:hAnsi="Cambria Math" w:cs="Arial"/>
                      <w:i/>
                      <w:szCs w:val="18"/>
                      <w:lang w:val="en-US" w:eastAsia="en-US"/>
                    </w:rPr>
                  </m:ctrlPr>
                </m:dPr>
                <m:e>
                  <m:r>
                    <w:rPr>
                      <w:rFonts w:ascii="Cambria Math" w:hAnsi="Cambria Math" w:cs="Arial"/>
                      <w:szCs w:val="18"/>
                      <w:lang w:val="en-US" w:eastAsia="en-US"/>
                    </w:rPr>
                    <m:t xml:space="preserve">12,5- </m:t>
                  </m:r>
                  <m:f>
                    <m:fPr>
                      <m:ctrlPr>
                        <w:rPr>
                          <w:rFonts w:ascii="Cambria Math" w:hAnsi="Cambria Math" w:cs="Arial"/>
                          <w:i/>
                          <w:szCs w:val="18"/>
                          <w:lang w:val="en-US" w:eastAsia="en-US"/>
                        </w:rPr>
                      </m:ctrlPr>
                    </m:fPr>
                    <m:num>
                      <m:sSub>
                        <m:sSubPr>
                          <m:ctrlPr>
                            <w:rPr>
                              <w:rFonts w:ascii="Cambria Math" w:hAnsi="Cambria Math" w:cs="Arial"/>
                              <w:i/>
                              <w:szCs w:val="18"/>
                              <w:lang w:val="en-US" w:eastAsia="en-US"/>
                            </w:rPr>
                          </m:ctrlPr>
                        </m:sSubPr>
                        <m:e>
                          <m:r>
                            <w:rPr>
                              <w:rFonts w:ascii="Cambria Math" w:hAnsi="Cambria Math" w:cs="Arial"/>
                              <w:szCs w:val="18"/>
                              <w:lang w:val="en-US" w:eastAsia="en-US"/>
                            </w:rPr>
                            <m:t>T</m:t>
                          </m:r>
                        </m:e>
                        <m:sub>
                          <m:r>
                            <w:rPr>
                              <w:rFonts w:ascii="Cambria Math" w:hAnsi="Cambria Math" w:cs="Arial"/>
                              <w:szCs w:val="18"/>
                              <w:lang w:val="en-US" w:eastAsia="en-US"/>
                            </w:rPr>
                            <m:t>m</m:t>
                          </m:r>
                        </m:sub>
                      </m:sSub>
                    </m:num>
                    <m:den>
                      <m:r>
                        <w:rPr>
                          <w:rFonts w:ascii="Cambria Math" w:hAnsi="Cambria Math" w:cs="Arial"/>
                          <w:szCs w:val="18"/>
                          <w:lang w:val="en-US" w:eastAsia="en-US"/>
                        </w:rPr>
                        <m:t>H</m:t>
                      </m:r>
                    </m:den>
                  </m:f>
                </m:e>
              </m:d>
              <m:r>
                <w:rPr>
                  <w:rFonts w:ascii="Cambria Math" w:hAnsi="Cambria Math" w:cs="Arial"/>
                  <w:szCs w:val="18"/>
                  <w:lang w:val="en-US" w:eastAsia="en-US"/>
                </w:rPr>
                <m:t xml:space="preserve"> ∙ </m:t>
              </m:r>
              <m:sSub>
                <m:sSubPr>
                  <m:ctrlPr>
                    <w:rPr>
                      <w:rFonts w:ascii="Cambria Math" w:hAnsi="Cambria Math" w:cs="Arial"/>
                      <w:i/>
                      <w:szCs w:val="18"/>
                      <w:lang w:val="en-US" w:eastAsia="en-US"/>
                    </w:rPr>
                  </m:ctrlPr>
                </m:sSubPr>
                <m:e>
                  <m:r>
                    <w:rPr>
                      <w:rFonts w:ascii="Cambria Math" w:hAnsi="Cambria Math" w:cs="Arial"/>
                      <w:szCs w:val="18"/>
                      <w:lang w:val="en-US" w:eastAsia="en-US"/>
                    </w:rPr>
                    <m:t>T</m:t>
                  </m:r>
                </m:e>
                <m:sub>
                  <m:r>
                    <w:rPr>
                      <w:rFonts w:ascii="Cambria Math" w:hAnsi="Cambria Math" w:cs="Arial"/>
                      <w:szCs w:val="18"/>
                      <w:lang w:val="en-US" w:eastAsia="en-US"/>
                    </w:rPr>
                    <m:t>m</m:t>
                  </m:r>
                </m:sub>
              </m:sSub>
            </m:den>
          </m:f>
          <m:r>
            <w:rPr>
              <w:rFonts w:ascii="Cambria Math" w:hAnsi="Cambria Math" w:cs="Arial"/>
              <w:szCs w:val="18"/>
              <w:lang w:val="en-US" w:eastAsia="en-US"/>
            </w:rPr>
            <m:t xml:space="preserve"> </m:t>
          </m:r>
          <m:d>
            <m:dPr>
              <m:begChr m:val="["/>
              <m:endChr m:val="]"/>
              <m:ctrlPr>
                <w:rPr>
                  <w:rFonts w:ascii="Cambria Math" w:hAnsi="Cambria Math" w:cs="Arial"/>
                  <w:i/>
                  <w:szCs w:val="18"/>
                  <w:lang w:val="en-US" w:eastAsia="en-US"/>
                </w:rPr>
              </m:ctrlPr>
            </m:dPr>
            <m:e>
              <m:sSup>
                <m:sSupPr>
                  <m:ctrlPr>
                    <w:rPr>
                      <w:rFonts w:ascii="Cambria Math" w:hAnsi="Cambria Math" w:cs="Arial"/>
                      <w:i/>
                      <w:szCs w:val="18"/>
                      <w:lang w:val="en-US" w:eastAsia="en-US"/>
                    </w:rPr>
                  </m:ctrlPr>
                </m:sSupPr>
                <m:e>
                  <m:r>
                    <w:rPr>
                      <w:rFonts w:ascii="Cambria Math" w:hAnsi="Cambria Math" w:cs="Arial"/>
                      <w:szCs w:val="18"/>
                      <w:lang w:val="en-US" w:eastAsia="en-US"/>
                    </w:rPr>
                    <m:t>m</m:t>
                  </m:r>
                </m:e>
                <m:sup>
                  <m:r>
                    <w:rPr>
                      <w:rFonts w:ascii="Cambria Math" w:hAnsi="Cambria Math" w:cs="Arial"/>
                      <w:szCs w:val="18"/>
                      <w:lang w:val="en-US" w:eastAsia="en-US"/>
                    </w:rPr>
                    <m:t>4</m:t>
                  </m:r>
                </m:sup>
              </m:sSup>
            </m:e>
          </m:d>
        </m:oMath>
      </m:oMathPara>
    </w:p>
    <w:p w:rsidR="003F1CB4" w:rsidRPr="00C903F8" w:rsidRDefault="003F1CB4" w:rsidP="003F1CB4">
      <w:pPr>
        <w:pStyle w:val="ESlet"/>
        <w:rPr>
          <w:rFonts w:eastAsia="Calibri"/>
          <w:lang w:val="en-US" w:eastAsia="nl-NL"/>
        </w:rPr>
      </w:pPr>
    </w:p>
    <w:p w:rsidR="00BF049A" w:rsidRPr="00C903F8" w:rsidRDefault="005C7859" w:rsidP="003F1CB4">
      <w:pPr>
        <w:pStyle w:val="ESlet"/>
        <w:rPr>
          <w:rFonts w:eastAsia="Calibri"/>
          <w:lang w:val="en-US" w:eastAsia="nl-NL"/>
        </w:rPr>
      </w:pPr>
      <w:r w:rsidRPr="00C903F8">
        <w:rPr>
          <w:rFonts w:eastAsia="Calibri"/>
          <w:lang w:val="en-US" w:eastAsia="nl-NL"/>
        </w:rPr>
        <w:t>b)</w:t>
      </w:r>
      <w:r w:rsidR="003F1CB4" w:rsidRPr="00C903F8">
        <w:rPr>
          <w:rFonts w:eastAsia="Calibri"/>
          <w:lang w:val="en-US" w:eastAsia="nl-NL"/>
        </w:rPr>
        <w:tab/>
      </w:r>
      <w:r w:rsidR="00BF049A" w:rsidRPr="00C903F8">
        <w:rPr>
          <w:rFonts w:eastAsia="Calibri"/>
          <w:lang w:val="en-US" w:eastAsia="nl-NL"/>
        </w:rPr>
        <w:t>for other vessels</w:t>
      </w:r>
    </w:p>
    <w:p w:rsidR="003F1CB4" w:rsidRPr="00C903F8" w:rsidRDefault="003F1CB4" w:rsidP="003F1CB4">
      <w:pPr>
        <w:pStyle w:val="ESlet"/>
        <w:rPr>
          <w:rFonts w:eastAsia="Calibri"/>
          <w:lang w:val="en-US" w:eastAsia="en-US"/>
        </w:rPr>
      </w:pPr>
    </w:p>
    <w:p w:rsidR="001179E7" w:rsidRPr="00C903F8" w:rsidRDefault="001179E7" w:rsidP="001179E7">
      <w:pPr>
        <w:pStyle w:val="ESlet"/>
        <w:ind w:left="0" w:firstLine="0"/>
        <w:rPr>
          <w:rFonts w:cs="Arial"/>
          <w:szCs w:val="18"/>
          <w:lang w:val="en-US" w:eastAsia="en-US"/>
        </w:rPr>
      </w:pPr>
      <m:oMathPara>
        <m:oMath>
          <m:r>
            <w:rPr>
              <w:rFonts w:ascii="Cambria Math" w:hAnsi="Cambria Math" w:cs="Arial"/>
              <w:szCs w:val="18"/>
              <w:lang w:val="en-US" w:eastAsia="en-US"/>
            </w:rPr>
            <m:t xml:space="preserve">I= </m:t>
          </m:r>
          <m:f>
            <m:fPr>
              <m:ctrlPr>
                <w:rPr>
                  <w:rFonts w:ascii="Cambria Math" w:hAnsi="Cambria Math" w:cs="Arial"/>
                  <w:i/>
                  <w:szCs w:val="18"/>
                  <w:lang w:val="en-US" w:eastAsia="en-US"/>
                </w:rPr>
              </m:ctrlPr>
            </m:fPr>
            <m:num>
              <m:sSub>
                <m:sSubPr>
                  <m:ctrlPr>
                    <w:rPr>
                      <w:rFonts w:ascii="Cambria Math" w:hAnsi="Cambria Math" w:cs="Arial"/>
                      <w:i/>
                      <w:szCs w:val="18"/>
                      <w:lang w:val="en-US" w:eastAsia="en-US"/>
                    </w:rPr>
                  </m:ctrlPr>
                </m:sSubPr>
                <m:e>
                  <m:sSup>
                    <m:sSupPr>
                      <m:ctrlPr>
                        <w:rPr>
                          <w:rFonts w:ascii="Cambria Math" w:hAnsi="Cambria Math" w:cs="Arial"/>
                          <w:i/>
                          <w:szCs w:val="18"/>
                          <w:lang w:val="en-US" w:eastAsia="en-US"/>
                        </w:rPr>
                      </m:ctrlPr>
                    </m:sSupPr>
                    <m:e>
                      <m:r>
                        <w:rPr>
                          <w:rFonts w:ascii="Cambria Math" w:hAnsi="Cambria Math" w:cs="Arial"/>
                          <w:szCs w:val="18"/>
                          <w:lang w:val="en-US" w:eastAsia="en-US"/>
                        </w:rPr>
                        <m:t>B</m:t>
                      </m:r>
                    </m:e>
                    <m:sup>
                      <m:r>
                        <w:rPr>
                          <w:rFonts w:ascii="Cambria Math" w:hAnsi="Cambria Math" w:cs="Arial"/>
                          <w:szCs w:val="18"/>
                          <w:lang w:val="en-US" w:eastAsia="en-US"/>
                        </w:rPr>
                        <m:t>2</m:t>
                      </m:r>
                    </m:sup>
                  </m:sSup>
                </m:e>
                <m:sub>
                  <m:r>
                    <w:rPr>
                      <w:rFonts w:ascii="Cambria Math" w:hAnsi="Cambria Math" w:cs="Arial"/>
                      <w:szCs w:val="18"/>
                      <w:lang w:val="en-US" w:eastAsia="en-US"/>
                    </w:rPr>
                    <m:t>WL</m:t>
                  </m:r>
                </m:sub>
              </m:sSub>
              <m:r>
                <w:rPr>
                  <w:rFonts w:ascii="Cambria Math" w:hAnsi="Cambria Math" w:cs="Arial"/>
                  <w:szCs w:val="18"/>
                  <w:lang w:val="en-US" w:eastAsia="en-US"/>
                </w:rPr>
                <m:t xml:space="preserve"> ∙ ∀</m:t>
              </m:r>
            </m:num>
            <m:den>
              <m:d>
                <m:dPr>
                  <m:ctrlPr>
                    <w:rPr>
                      <w:rFonts w:ascii="Cambria Math" w:hAnsi="Cambria Math" w:cs="Arial"/>
                      <w:i/>
                      <w:szCs w:val="18"/>
                      <w:lang w:val="en-US" w:eastAsia="en-US"/>
                    </w:rPr>
                  </m:ctrlPr>
                </m:dPr>
                <m:e>
                  <m:r>
                    <w:rPr>
                      <w:rFonts w:ascii="Cambria Math" w:hAnsi="Cambria Math" w:cs="Arial"/>
                      <w:szCs w:val="18"/>
                      <w:lang w:val="en-US" w:eastAsia="en-US"/>
                    </w:rPr>
                    <m:t xml:space="preserve">12,7-1,2 ∙ </m:t>
                  </m:r>
                  <m:f>
                    <m:fPr>
                      <m:ctrlPr>
                        <w:rPr>
                          <w:rFonts w:ascii="Cambria Math" w:hAnsi="Cambria Math" w:cs="Arial"/>
                          <w:i/>
                          <w:szCs w:val="18"/>
                          <w:lang w:val="en-US" w:eastAsia="en-US"/>
                        </w:rPr>
                      </m:ctrlPr>
                    </m:fPr>
                    <m:num>
                      <m:sSub>
                        <m:sSubPr>
                          <m:ctrlPr>
                            <w:rPr>
                              <w:rFonts w:ascii="Cambria Math" w:hAnsi="Cambria Math" w:cs="Arial"/>
                              <w:i/>
                              <w:szCs w:val="18"/>
                              <w:lang w:val="en-US" w:eastAsia="en-US"/>
                            </w:rPr>
                          </m:ctrlPr>
                        </m:sSubPr>
                        <m:e>
                          <m:r>
                            <w:rPr>
                              <w:rFonts w:ascii="Cambria Math" w:hAnsi="Cambria Math" w:cs="Arial"/>
                              <w:szCs w:val="18"/>
                              <w:lang w:val="en-US" w:eastAsia="en-US"/>
                            </w:rPr>
                            <m:t>T</m:t>
                          </m:r>
                        </m:e>
                        <m:sub>
                          <m:r>
                            <w:rPr>
                              <w:rFonts w:ascii="Cambria Math" w:hAnsi="Cambria Math" w:cs="Arial"/>
                              <w:szCs w:val="18"/>
                              <w:lang w:val="en-US" w:eastAsia="en-US"/>
                            </w:rPr>
                            <m:t>m</m:t>
                          </m:r>
                        </m:sub>
                      </m:sSub>
                    </m:num>
                    <m:den>
                      <m:r>
                        <w:rPr>
                          <w:rFonts w:ascii="Cambria Math" w:hAnsi="Cambria Math" w:cs="Arial"/>
                          <w:szCs w:val="18"/>
                          <w:lang w:val="en-US" w:eastAsia="en-US"/>
                        </w:rPr>
                        <m:t>H</m:t>
                      </m:r>
                    </m:den>
                  </m:f>
                </m:e>
              </m:d>
              <m:r>
                <w:rPr>
                  <w:rFonts w:ascii="Cambria Math" w:hAnsi="Cambria Math" w:cs="Arial"/>
                  <w:szCs w:val="18"/>
                  <w:lang w:val="en-US" w:eastAsia="en-US"/>
                </w:rPr>
                <m:t xml:space="preserve"> ∙ </m:t>
              </m:r>
              <m:sSub>
                <m:sSubPr>
                  <m:ctrlPr>
                    <w:rPr>
                      <w:rFonts w:ascii="Cambria Math" w:hAnsi="Cambria Math" w:cs="Arial"/>
                      <w:i/>
                      <w:szCs w:val="18"/>
                      <w:lang w:val="en-US" w:eastAsia="en-US"/>
                    </w:rPr>
                  </m:ctrlPr>
                </m:sSubPr>
                <m:e>
                  <m:r>
                    <w:rPr>
                      <w:rFonts w:ascii="Cambria Math" w:hAnsi="Cambria Math" w:cs="Arial"/>
                      <w:szCs w:val="18"/>
                      <w:lang w:val="en-US" w:eastAsia="en-US"/>
                    </w:rPr>
                    <m:t>T</m:t>
                  </m:r>
                </m:e>
                <m:sub>
                  <m:r>
                    <w:rPr>
                      <w:rFonts w:ascii="Cambria Math" w:hAnsi="Cambria Math" w:cs="Arial"/>
                      <w:szCs w:val="18"/>
                      <w:lang w:val="en-US" w:eastAsia="en-US"/>
                    </w:rPr>
                    <m:t>m</m:t>
                  </m:r>
                </m:sub>
              </m:sSub>
            </m:den>
          </m:f>
          <m:r>
            <w:rPr>
              <w:rFonts w:ascii="Cambria Math" w:hAnsi="Cambria Math" w:cs="Arial"/>
              <w:szCs w:val="18"/>
              <w:lang w:val="en-US" w:eastAsia="en-US"/>
            </w:rPr>
            <m:t xml:space="preserve"> </m:t>
          </m:r>
          <m:d>
            <m:dPr>
              <m:begChr m:val="["/>
              <m:endChr m:val="]"/>
              <m:ctrlPr>
                <w:rPr>
                  <w:rFonts w:ascii="Cambria Math" w:hAnsi="Cambria Math" w:cs="Arial"/>
                  <w:i/>
                  <w:szCs w:val="18"/>
                  <w:lang w:val="en-US" w:eastAsia="en-US"/>
                </w:rPr>
              </m:ctrlPr>
            </m:dPr>
            <m:e>
              <m:sSup>
                <m:sSupPr>
                  <m:ctrlPr>
                    <w:rPr>
                      <w:rFonts w:ascii="Cambria Math" w:hAnsi="Cambria Math" w:cs="Arial"/>
                      <w:i/>
                      <w:szCs w:val="18"/>
                      <w:lang w:val="en-US" w:eastAsia="en-US"/>
                    </w:rPr>
                  </m:ctrlPr>
                </m:sSupPr>
                <m:e>
                  <m:r>
                    <w:rPr>
                      <w:rFonts w:ascii="Cambria Math" w:hAnsi="Cambria Math" w:cs="Arial"/>
                      <w:szCs w:val="18"/>
                      <w:lang w:val="en-US" w:eastAsia="en-US"/>
                    </w:rPr>
                    <m:t>m</m:t>
                  </m:r>
                </m:e>
                <m:sup>
                  <m:r>
                    <w:rPr>
                      <w:rFonts w:ascii="Cambria Math" w:hAnsi="Cambria Math" w:cs="Arial"/>
                      <w:szCs w:val="18"/>
                      <w:lang w:val="en-US" w:eastAsia="en-US"/>
                    </w:rPr>
                    <m:t>4</m:t>
                  </m:r>
                </m:sup>
              </m:sSup>
            </m:e>
          </m:d>
        </m:oMath>
      </m:oMathPara>
    </w:p>
    <w:p w:rsidR="00BF049A" w:rsidRPr="00C903F8" w:rsidRDefault="00BF049A" w:rsidP="00BF049A">
      <w:pPr>
        <w:pStyle w:val="ESch"/>
        <w:rPr>
          <w:rFonts w:eastAsia="Calibri" w:cs="Arial"/>
          <w:szCs w:val="18"/>
          <w:lang w:val="en-US" w:eastAsia="en-US"/>
        </w:rPr>
      </w:pPr>
    </w:p>
    <w:p w:rsidR="00BD3403" w:rsidRPr="00C903F8" w:rsidRDefault="00BD3403" w:rsidP="00BF049A">
      <w:pPr>
        <w:pStyle w:val="ESch"/>
        <w:rPr>
          <w:rFonts w:eastAsia="Calibri" w:cs="Arial"/>
          <w:szCs w:val="18"/>
          <w:lang w:val="en-US" w:eastAsia="en-US"/>
        </w:rPr>
      </w:pPr>
    </w:p>
    <w:p w:rsidR="00BF049A" w:rsidRPr="00C903F8" w:rsidRDefault="00BF049A" w:rsidP="00BD3403">
      <w:pPr>
        <w:pStyle w:val="ES-Titre3"/>
        <w:rPr>
          <w:rFonts w:cs="Arial"/>
          <w:i/>
          <w:szCs w:val="18"/>
          <w:lang w:val="en-US"/>
        </w:rPr>
      </w:pPr>
      <w:bookmarkStart w:id="254" w:name="_Toc491854242"/>
      <w:r w:rsidRPr="00C903F8">
        <w:rPr>
          <w:noProof/>
          <w:lang w:val="en-GB"/>
        </w:rPr>
        <w:t>Article 27.04</w:t>
      </w:r>
      <w:r w:rsidRPr="00C903F8">
        <w:rPr>
          <w:noProof/>
          <w:lang w:val="en-GB"/>
        </w:rPr>
        <w:br/>
      </w:r>
      <w:r w:rsidRPr="00C903F8">
        <w:rPr>
          <w:i/>
          <w:noProof/>
          <w:lang w:val="en-GB"/>
        </w:rPr>
        <w:t>Procedure for assessing stability on board</w:t>
      </w:r>
      <w:bookmarkEnd w:id="254"/>
    </w:p>
    <w:p w:rsidR="00BD3403" w:rsidRPr="00C903F8" w:rsidRDefault="00BD3403" w:rsidP="00BF049A">
      <w:pPr>
        <w:pStyle w:val="ESch"/>
        <w:rPr>
          <w:noProof/>
          <w:lang w:val="en-GB" w:eastAsia="en-US"/>
        </w:rPr>
      </w:pPr>
    </w:p>
    <w:p w:rsidR="00BF049A" w:rsidRPr="00C903F8" w:rsidRDefault="00BF049A" w:rsidP="00BD3403">
      <w:pPr>
        <w:pStyle w:val="ESgauche"/>
        <w:rPr>
          <w:rFonts w:cs="Arial"/>
          <w:szCs w:val="18"/>
          <w:lang w:val="en-US" w:eastAsia="en-US"/>
        </w:rPr>
      </w:pPr>
      <w:r w:rsidRPr="00C903F8">
        <w:rPr>
          <w:lang w:val="en-GB" w:eastAsia="en-US"/>
        </w:rPr>
        <w:t>The procedure for assessing stability may be determined by the documents referred to in Article</w:t>
      </w:r>
      <w:r w:rsidR="00BD3403" w:rsidRPr="00C903F8">
        <w:rPr>
          <w:lang w:val="en-GB" w:eastAsia="en-US"/>
        </w:rPr>
        <w:t> </w:t>
      </w:r>
      <w:r w:rsidRPr="00C903F8">
        <w:rPr>
          <w:lang w:val="en-GB" w:eastAsia="en-US"/>
        </w:rPr>
        <w:t>27.01(2).</w:t>
      </w:r>
    </w:p>
    <w:p w:rsidR="00BF049A" w:rsidRPr="00C903F8" w:rsidRDefault="00BF049A" w:rsidP="00973DAA">
      <w:pPr>
        <w:pStyle w:val="ESch"/>
        <w:rPr>
          <w:lang w:val="en-US"/>
        </w:rPr>
      </w:pPr>
    </w:p>
    <w:p w:rsidR="000526B5" w:rsidRPr="00C903F8" w:rsidRDefault="000526B5" w:rsidP="00973DAA">
      <w:pPr>
        <w:pStyle w:val="ESch"/>
        <w:rPr>
          <w:lang w:val="en-US"/>
        </w:rPr>
      </w:pPr>
    </w:p>
    <w:p w:rsidR="00A71FF0" w:rsidRPr="00C903F8" w:rsidRDefault="00A71FF0" w:rsidP="00973DAA">
      <w:pPr>
        <w:pStyle w:val="ESch"/>
        <w:rPr>
          <w:lang w:val="en-US"/>
        </w:rPr>
      </w:pPr>
      <w:r w:rsidRPr="00C903F8">
        <w:rPr>
          <w:lang w:val="en-US"/>
        </w:rPr>
        <w:br w:type="page"/>
      </w:r>
    </w:p>
    <w:p w:rsidR="00A71FF0" w:rsidRPr="00C903F8" w:rsidRDefault="00A71FF0" w:rsidP="00973DAA">
      <w:pPr>
        <w:pStyle w:val="ESch"/>
        <w:rPr>
          <w:lang w:val="en-US"/>
        </w:rPr>
      </w:pPr>
    </w:p>
    <w:p w:rsidR="00A71FF0" w:rsidRPr="00C903F8" w:rsidRDefault="00A71FF0" w:rsidP="00973DAA">
      <w:pPr>
        <w:pStyle w:val="ESch"/>
        <w:rPr>
          <w:lang w:val="en-US"/>
        </w:rPr>
      </w:pPr>
    </w:p>
    <w:p w:rsidR="005B2F7E" w:rsidRPr="00C903F8" w:rsidRDefault="005B2F7E" w:rsidP="00973DAA">
      <w:pPr>
        <w:pStyle w:val="ESch"/>
        <w:rPr>
          <w:lang w:val="en-US"/>
        </w:rPr>
      </w:pPr>
    </w:p>
    <w:p w:rsidR="005B2F7E" w:rsidRPr="00C903F8" w:rsidRDefault="005B2F7E" w:rsidP="005B2F7E">
      <w:pPr>
        <w:pStyle w:val="ES-Titre2"/>
        <w:rPr>
          <w:szCs w:val="24"/>
        </w:rPr>
      </w:pPr>
      <w:bookmarkStart w:id="255" w:name="_Toc491854243"/>
      <w:r w:rsidRPr="00C903F8">
        <w:lastRenderedPageBreak/>
        <w:t>Chapter 28</w:t>
      </w:r>
      <w:r w:rsidRPr="00C903F8">
        <w:br/>
      </w:r>
      <w:r w:rsidRPr="00C903F8">
        <w:rPr>
          <w:noProof/>
          <w:sz w:val="22"/>
          <w:szCs w:val="22"/>
        </w:rPr>
        <w:t>Speci</w:t>
      </w:r>
      <w:r w:rsidR="00684D07" w:rsidRPr="00C903F8">
        <w:rPr>
          <w:noProof/>
          <w:sz w:val="22"/>
          <w:szCs w:val="22"/>
        </w:rPr>
        <w:t>al</w:t>
      </w:r>
      <w:r w:rsidRPr="00C903F8">
        <w:rPr>
          <w:noProof/>
          <w:sz w:val="22"/>
          <w:szCs w:val="22"/>
        </w:rPr>
        <w:t xml:space="preserve"> provisions applicable to craft longer than 110 m</w:t>
      </w:r>
      <w:bookmarkEnd w:id="255"/>
    </w:p>
    <w:p w:rsidR="005B2F7E" w:rsidRPr="00C903F8" w:rsidRDefault="005B2F7E" w:rsidP="005B2F7E">
      <w:pPr>
        <w:rPr>
          <w:lang w:val="en-US" w:eastAsia="en-US"/>
        </w:rPr>
      </w:pPr>
    </w:p>
    <w:p w:rsidR="005B2F7E" w:rsidRPr="00C903F8" w:rsidRDefault="005B2F7E" w:rsidP="005B2F7E">
      <w:pPr>
        <w:pStyle w:val="ES-Titre3"/>
        <w:rPr>
          <w:lang w:val="en-US"/>
        </w:rPr>
      </w:pPr>
      <w:bookmarkStart w:id="256" w:name="_Toc491854244"/>
      <w:r w:rsidRPr="00C903F8">
        <w:rPr>
          <w:noProof/>
          <w:lang w:val="en-US"/>
        </w:rPr>
        <w:t>Article 28.01</w:t>
      </w:r>
      <w:r w:rsidRPr="00C903F8">
        <w:rPr>
          <w:noProof/>
          <w:lang w:val="en-US"/>
        </w:rPr>
        <w:br/>
      </w:r>
      <w:r w:rsidRPr="00C903F8">
        <w:rPr>
          <w:bCs/>
          <w:i/>
          <w:noProof/>
          <w:lang w:val="en-US"/>
        </w:rPr>
        <w:t>Application of Part II</w:t>
      </w:r>
      <w:bookmarkEnd w:id="256"/>
    </w:p>
    <w:p w:rsidR="005B2F7E" w:rsidRPr="00C903F8" w:rsidRDefault="005B2F7E" w:rsidP="005B2F7E">
      <w:pPr>
        <w:pStyle w:val="ESch"/>
        <w:rPr>
          <w:noProof/>
          <w:lang w:val="en-US"/>
        </w:rPr>
      </w:pPr>
    </w:p>
    <w:p w:rsidR="0090753B" w:rsidRPr="00C903F8" w:rsidRDefault="0090753B" w:rsidP="0090753B">
      <w:pPr>
        <w:pStyle w:val="ESgauche"/>
        <w:rPr>
          <w:lang w:val="en-US"/>
        </w:rPr>
      </w:pPr>
      <w:r w:rsidRPr="00C903F8">
        <w:rPr>
          <w:lang w:val="en-US"/>
        </w:rPr>
        <w:t xml:space="preserve">In addition to Part II and III, Articles 28.02 to 28.04 shall apply to craft whose length </w:t>
      </w:r>
      <m:oMath>
        <m:r>
          <w:rPr>
            <w:rFonts w:ascii="Cambria Math" w:hAnsi="Cambria Math"/>
            <w:lang w:val="en-US"/>
          </w:rPr>
          <m:t>L</m:t>
        </m:r>
      </m:oMath>
      <w:r w:rsidRPr="00C903F8">
        <w:rPr>
          <w:lang w:val="en-US"/>
        </w:rPr>
        <w:t xml:space="preserve"> exceeds 110 m.</w:t>
      </w:r>
    </w:p>
    <w:p w:rsidR="0090753B" w:rsidRPr="00C903F8" w:rsidRDefault="0090753B" w:rsidP="0090753B">
      <w:pPr>
        <w:pStyle w:val="ESch"/>
        <w:rPr>
          <w:noProof/>
          <w:szCs w:val="20"/>
          <w:lang w:val="en-US"/>
        </w:rPr>
      </w:pPr>
    </w:p>
    <w:p w:rsidR="0090753B" w:rsidRPr="00C903F8" w:rsidRDefault="0090753B" w:rsidP="0090753B">
      <w:pPr>
        <w:pStyle w:val="ESch"/>
        <w:rPr>
          <w:noProof/>
          <w:szCs w:val="20"/>
          <w:lang w:val="en-US"/>
        </w:rPr>
      </w:pPr>
    </w:p>
    <w:p w:rsidR="0090753B" w:rsidRPr="00C903F8" w:rsidRDefault="0090753B" w:rsidP="0090753B">
      <w:pPr>
        <w:pStyle w:val="ES-Titre3"/>
        <w:rPr>
          <w:i/>
          <w:noProof/>
          <w:lang w:val="en-US"/>
        </w:rPr>
      </w:pPr>
      <w:bookmarkStart w:id="257" w:name="_Toc491854245"/>
      <w:r w:rsidRPr="00C903F8">
        <w:rPr>
          <w:noProof/>
          <w:lang w:val="en-US"/>
        </w:rPr>
        <w:t>Article 28.02</w:t>
      </w:r>
      <w:r w:rsidRPr="00C903F8">
        <w:rPr>
          <w:noProof/>
          <w:lang w:val="en-US"/>
        </w:rPr>
        <w:br/>
      </w:r>
      <w:r w:rsidRPr="00C903F8">
        <w:rPr>
          <w:bCs/>
          <w:i/>
          <w:noProof/>
          <w:lang w:val="en-US"/>
        </w:rPr>
        <w:t>Strength</w:t>
      </w:r>
      <w:bookmarkEnd w:id="257"/>
    </w:p>
    <w:p w:rsidR="0090753B" w:rsidRPr="00C903F8" w:rsidRDefault="0090753B" w:rsidP="0090753B">
      <w:pPr>
        <w:pStyle w:val="ESgauche"/>
        <w:rPr>
          <w:lang w:val="en-US"/>
        </w:rPr>
      </w:pPr>
    </w:p>
    <w:p w:rsidR="0090753B" w:rsidRPr="00C903F8" w:rsidRDefault="0090753B" w:rsidP="0090753B">
      <w:pPr>
        <w:pStyle w:val="ESgauche"/>
        <w:rPr>
          <w:lang w:val="en-US"/>
        </w:rPr>
      </w:pPr>
      <w:r w:rsidRPr="00C903F8">
        <w:rPr>
          <w:lang w:val="en-US"/>
        </w:rPr>
        <w:t xml:space="preserve">Sufficient hull strength in accordance with Article 3.02(1)(a) (longitudinal, lateral and local strength) shall be verified by a </w:t>
      </w:r>
      <w:r w:rsidR="00441E77" w:rsidRPr="00C903F8">
        <w:rPr>
          <w:lang w:val="en-US"/>
        </w:rPr>
        <w:t xml:space="preserve">attestation </w:t>
      </w:r>
      <w:r w:rsidRPr="00C903F8">
        <w:rPr>
          <w:lang w:val="en-US"/>
        </w:rPr>
        <w:t xml:space="preserve">issued by a </w:t>
      </w:r>
      <w:r w:rsidR="00441E77" w:rsidRPr="00C903F8">
        <w:rPr>
          <w:lang w:val="en-US"/>
        </w:rPr>
        <w:t>recogni</w:t>
      </w:r>
      <w:r w:rsidR="00197723" w:rsidRPr="00C903F8">
        <w:rPr>
          <w:lang w:val="en-US"/>
        </w:rPr>
        <w:t>s</w:t>
      </w:r>
      <w:r w:rsidR="00441E77" w:rsidRPr="00C903F8">
        <w:rPr>
          <w:lang w:val="en-US"/>
        </w:rPr>
        <w:t>ed</w:t>
      </w:r>
      <w:r w:rsidRPr="00C903F8">
        <w:rPr>
          <w:lang w:val="en-US"/>
        </w:rPr>
        <w:t xml:space="preserve"> classification society.</w:t>
      </w:r>
    </w:p>
    <w:p w:rsidR="0090753B" w:rsidRPr="00C903F8" w:rsidRDefault="0090753B" w:rsidP="0090753B">
      <w:pPr>
        <w:pStyle w:val="ESch"/>
        <w:rPr>
          <w:rFonts w:cs="Arial"/>
          <w:szCs w:val="20"/>
          <w:lang w:val="en-US"/>
        </w:rPr>
      </w:pPr>
    </w:p>
    <w:p w:rsidR="0090753B" w:rsidRPr="00C903F8" w:rsidRDefault="0090753B" w:rsidP="0090753B">
      <w:pPr>
        <w:pStyle w:val="ESch"/>
        <w:rPr>
          <w:rFonts w:cs="Arial"/>
          <w:szCs w:val="20"/>
          <w:lang w:val="en-US"/>
        </w:rPr>
      </w:pPr>
    </w:p>
    <w:p w:rsidR="0090753B" w:rsidRPr="00C903F8" w:rsidRDefault="0090753B" w:rsidP="0090753B">
      <w:pPr>
        <w:pStyle w:val="ES-Titre3"/>
        <w:rPr>
          <w:i/>
          <w:noProof/>
          <w:lang w:val="en-US"/>
        </w:rPr>
      </w:pPr>
      <w:bookmarkStart w:id="258" w:name="_Toc491854246"/>
      <w:r w:rsidRPr="00C903F8">
        <w:rPr>
          <w:i/>
          <w:noProof/>
          <w:lang w:val="en-US"/>
        </w:rPr>
        <w:t>Article 28.03</w:t>
      </w:r>
      <w:r w:rsidRPr="00C903F8">
        <w:rPr>
          <w:noProof/>
          <w:lang w:val="en-US"/>
        </w:rPr>
        <w:br/>
      </w:r>
      <w:r w:rsidRPr="00C903F8">
        <w:rPr>
          <w:i/>
          <w:noProof/>
          <w:lang w:val="en-US"/>
        </w:rPr>
        <w:t>Buoyancy and stability</w:t>
      </w:r>
      <w:bookmarkEnd w:id="258"/>
    </w:p>
    <w:p w:rsidR="0090753B" w:rsidRPr="00C903F8" w:rsidRDefault="0090753B" w:rsidP="0090753B">
      <w:pPr>
        <w:pStyle w:val="ESch"/>
        <w:rPr>
          <w:noProof/>
          <w:szCs w:val="20"/>
          <w:lang w:val="en-US"/>
        </w:rPr>
      </w:pPr>
    </w:p>
    <w:p w:rsidR="0090753B" w:rsidRPr="00C903F8" w:rsidRDefault="0090753B" w:rsidP="0090753B">
      <w:pPr>
        <w:pStyle w:val="ESch"/>
        <w:rPr>
          <w:noProof/>
          <w:szCs w:val="20"/>
          <w:lang w:val="en-US"/>
        </w:rPr>
      </w:pPr>
      <w:r w:rsidRPr="00C903F8">
        <w:rPr>
          <w:noProof/>
          <w:szCs w:val="20"/>
          <w:lang w:val="en-US"/>
        </w:rPr>
        <w:t>1.</w:t>
      </w:r>
      <w:r w:rsidRPr="00C903F8">
        <w:rPr>
          <w:noProof/>
          <w:szCs w:val="20"/>
          <w:lang w:val="en-US"/>
        </w:rPr>
        <w:tab/>
      </w:r>
      <w:r w:rsidR="007E1D94" w:rsidRPr="00C903F8">
        <w:rPr>
          <w:noProof/>
          <w:szCs w:val="20"/>
          <w:lang w:val="en-US"/>
        </w:rPr>
        <w:t>(</w:t>
      </w:r>
      <w:r w:rsidRPr="00C903F8">
        <w:rPr>
          <w:noProof/>
          <w:szCs w:val="20"/>
          <w:lang w:val="en-US"/>
        </w:rPr>
        <w:t>2</w:t>
      </w:r>
      <w:r w:rsidR="007E1D94" w:rsidRPr="00C903F8">
        <w:rPr>
          <w:noProof/>
          <w:szCs w:val="20"/>
          <w:lang w:val="en-US"/>
        </w:rPr>
        <w:t>)</w:t>
      </w:r>
      <w:r w:rsidRPr="00C903F8">
        <w:rPr>
          <w:noProof/>
          <w:szCs w:val="20"/>
          <w:lang w:val="en-US"/>
        </w:rPr>
        <w:t xml:space="preserve"> to </w:t>
      </w:r>
      <w:r w:rsidR="007E1D94" w:rsidRPr="00C903F8">
        <w:rPr>
          <w:noProof/>
          <w:szCs w:val="20"/>
          <w:lang w:val="en-US"/>
        </w:rPr>
        <w:t>(</w:t>
      </w:r>
      <w:r w:rsidRPr="00C903F8">
        <w:rPr>
          <w:noProof/>
          <w:szCs w:val="20"/>
          <w:lang w:val="en-US"/>
        </w:rPr>
        <w:t>10</w:t>
      </w:r>
      <w:r w:rsidR="007E1D94" w:rsidRPr="00C903F8">
        <w:rPr>
          <w:noProof/>
          <w:szCs w:val="20"/>
          <w:lang w:val="en-US"/>
        </w:rPr>
        <w:t>)</w:t>
      </w:r>
      <w:r w:rsidRPr="00C903F8">
        <w:rPr>
          <w:noProof/>
          <w:szCs w:val="20"/>
          <w:lang w:val="en-US"/>
        </w:rPr>
        <w:t xml:space="preserve"> shall apply to craft whose leng</w:t>
      </w:r>
      <w:r w:rsidR="00DE66D2">
        <w:rPr>
          <w:noProof/>
          <w:szCs w:val="20"/>
          <w:lang w:val="en-US"/>
        </w:rPr>
        <w:t>t</w:t>
      </w:r>
      <w:r w:rsidRPr="00C903F8">
        <w:rPr>
          <w:noProof/>
          <w:szCs w:val="20"/>
          <w:lang w:val="en-US"/>
        </w:rPr>
        <w:t xml:space="preserve">h </w:t>
      </w:r>
      <m:oMath>
        <m:r>
          <w:rPr>
            <w:rFonts w:ascii="Cambria Math" w:hAnsi="Cambria Math"/>
            <w:noProof/>
            <w:szCs w:val="20"/>
            <w:lang w:val="en-US"/>
          </w:rPr>
          <m:t>L</m:t>
        </m:r>
      </m:oMath>
      <w:r w:rsidRPr="00C903F8">
        <w:rPr>
          <w:noProof/>
          <w:szCs w:val="20"/>
          <w:lang w:val="en-US"/>
        </w:rPr>
        <w:t xml:space="preserve"> exceeds 110 m, with the exception of passenger vessels.</w:t>
      </w:r>
    </w:p>
    <w:p w:rsidR="0090753B" w:rsidRPr="00C903F8" w:rsidRDefault="0090753B" w:rsidP="0090753B">
      <w:pPr>
        <w:pStyle w:val="ESch"/>
        <w:rPr>
          <w:noProof/>
          <w:szCs w:val="20"/>
          <w:lang w:val="en-US"/>
        </w:rPr>
      </w:pPr>
    </w:p>
    <w:p w:rsidR="0090753B" w:rsidRPr="00C903F8" w:rsidRDefault="0090753B" w:rsidP="0090753B">
      <w:pPr>
        <w:pStyle w:val="ESch"/>
        <w:rPr>
          <w:noProof/>
          <w:szCs w:val="20"/>
          <w:lang w:val="en-US"/>
        </w:rPr>
      </w:pPr>
      <w:r w:rsidRPr="00C903F8">
        <w:rPr>
          <w:noProof/>
          <w:szCs w:val="20"/>
          <w:lang w:val="en-US"/>
        </w:rPr>
        <w:t>2.</w:t>
      </w:r>
      <w:r w:rsidRPr="00C903F8">
        <w:rPr>
          <w:noProof/>
          <w:szCs w:val="20"/>
          <w:lang w:val="en-US"/>
        </w:rPr>
        <w:tab/>
        <w:t xml:space="preserve">The basic values for the stability calculation, the vessel's lightweight and the location of the centre of gravity, shall be determined by means of a heeling test carried out in accordance with Annex </w:t>
      </w:r>
      <w:r w:rsidR="006A6DF3" w:rsidRPr="00C903F8">
        <w:rPr>
          <w:noProof/>
          <w:szCs w:val="20"/>
          <w:lang w:val="en-US"/>
        </w:rPr>
        <w:t>1</w:t>
      </w:r>
      <w:r w:rsidRPr="00C903F8">
        <w:rPr>
          <w:noProof/>
          <w:szCs w:val="20"/>
          <w:lang w:val="en-US"/>
        </w:rPr>
        <w:t xml:space="preserve"> to IMO Resolution MSC</w:t>
      </w:r>
      <w:r w:rsidR="00C34F3E" w:rsidRPr="00C903F8">
        <w:rPr>
          <w:noProof/>
          <w:szCs w:val="20"/>
          <w:lang w:val="en-US"/>
        </w:rPr>
        <w:t>.</w:t>
      </w:r>
      <w:r w:rsidRPr="00C903F8">
        <w:rPr>
          <w:noProof/>
          <w:szCs w:val="20"/>
          <w:lang w:val="en-US"/>
        </w:rPr>
        <w:t>267(85)</w:t>
      </w:r>
      <w:r w:rsidR="000E1F46">
        <w:rPr>
          <w:rStyle w:val="FootnoteReference"/>
          <w:noProof/>
          <w:szCs w:val="20"/>
          <w:lang w:val="en-US"/>
        </w:rPr>
        <w:footnoteReference w:id="24"/>
      </w:r>
      <w:r w:rsidRPr="00C903F8">
        <w:rPr>
          <w:noProof/>
          <w:szCs w:val="20"/>
          <w:lang w:val="en-US"/>
        </w:rPr>
        <w:t>.</w:t>
      </w:r>
    </w:p>
    <w:p w:rsidR="0090753B" w:rsidRPr="00C903F8" w:rsidRDefault="0090753B" w:rsidP="0090753B">
      <w:pPr>
        <w:pStyle w:val="ESch"/>
        <w:rPr>
          <w:szCs w:val="20"/>
          <w:lang w:val="en-GB"/>
        </w:rPr>
      </w:pPr>
    </w:p>
    <w:p w:rsidR="0090753B" w:rsidRPr="00C903F8" w:rsidRDefault="0090753B" w:rsidP="0090753B">
      <w:pPr>
        <w:pStyle w:val="ESch"/>
        <w:rPr>
          <w:rFonts w:cs="Arial"/>
          <w:szCs w:val="20"/>
          <w:lang w:val="en-US"/>
        </w:rPr>
      </w:pPr>
      <w:r w:rsidRPr="00C903F8">
        <w:rPr>
          <w:szCs w:val="20"/>
          <w:lang w:val="en-GB"/>
        </w:rPr>
        <w:t>3.</w:t>
      </w:r>
      <w:r w:rsidRPr="00C903F8">
        <w:rPr>
          <w:szCs w:val="20"/>
          <w:lang w:val="en-GB"/>
        </w:rPr>
        <w:tab/>
        <w:t xml:space="preserve">The applicant shall prove by a calculation that the damage stability of the vessel is appropriate. The calculation of the final state of flooding should be based on the method of </w:t>
      </w:r>
      <w:r w:rsidR="0064343D" w:rsidRPr="00C903F8">
        <w:rPr>
          <w:szCs w:val="20"/>
          <w:lang w:val="en-GB"/>
        </w:rPr>
        <w:t>’</w:t>
      </w:r>
      <w:r w:rsidRPr="00C903F8">
        <w:rPr>
          <w:szCs w:val="20"/>
          <w:lang w:val="en-GB"/>
        </w:rPr>
        <w:t>lost buoyancy</w:t>
      </w:r>
      <w:r w:rsidR="0064343D" w:rsidRPr="00C903F8">
        <w:rPr>
          <w:szCs w:val="20"/>
          <w:lang w:val="en-GB"/>
        </w:rPr>
        <w:t xml:space="preserve">‘ </w:t>
      </w:r>
      <w:r w:rsidRPr="00C903F8">
        <w:rPr>
          <w:szCs w:val="20"/>
          <w:lang w:val="en-GB"/>
        </w:rPr>
        <w:t xml:space="preserve">and the intermediate states of flooding should be calculated on the basis of the method of </w:t>
      </w:r>
      <w:r w:rsidR="00B41586">
        <w:rPr>
          <w:szCs w:val="20"/>
          <w:lang w:val="en-GB"/>
        </w:rPr>
        <w:t>‘</w:t>
      </w:r>
      <w:r w:rsidRPr="00C903F8">
        <w:rPr>
          <w:szCs w:val="20"/>
          <w:lang w:val="en-GB"/>
        </w:rPr>
        <w:t>added mass</w:t>
      </w:r>
      <w:r w:rsidR="00B41586">
        <w:rPr>
          <w:szCs w:val="20"/>
          <w:lang w:val="en-GB"/>
        </w:rPr>
        <w:t>’</w:t>
      </w:r>
      <w:r w:rsidRPr="00C903F8">
        <w:rPr>
          <w:szCs w:val="20"/>
          <w:lang w:val="en-GB"/>
        </w:rPr>
        <w:t>. All calculations shall be carried out free</w:t>
      </w:r>
      <w:r w:rsidRPr="00C903F8">
        <w:rPr>
          <w:noProof/>
          <w:szCs w:val="20"/>
          <w:lang w:val="en-US"/>
        </w:rPr>
        <w:t xml:space="preserve"> to</w:t>
      </w:r>
      <w:r w:rsidRPr="00C903F8">
        <w:rPr>
          <w:szCs w:val="20"/>
          <w:lang w:val="en-GB"/>
        </w:rPr>
        <w:t xml:space="preserve"> trim and sinkage.</w:t>
      </w:r>
    </w:p>
    <w:p w:rsidR="0090753B" w:rsidRPr="00C903F8" w:rsidRDefault="0090753B" w:rsidP="0090753B">
      <w:pPr>
        <w:pStyle w:val="ESchpar"/>
        <w:rPr>
          <w:noProof/>
          <w:lang w:val="en-US"/>
        </w:rPr>
      </w:pPr>
    </w:p>
    <w:p w:rsidR="0090753B" w:rsidRPr="00C903F8" w:rsidRDefault="0090753B" w:rsidP="0090753B">
      <w:pPr>
        <w:pStyle w:val="ESchpar"/>
        <w:rPr>
          <w:noProof/>
          <w:lang w:val="en-US"/>
        </w:rPr>
      </w:pPr>
      <w:r w:rsidRPr="00C903F8">
        <w:rPr>
          <w:noProof/>
          <w:lang w:val="en-US"/>
        </w:rPr>
        <w:t>Sufficient buoyancy and stability of the vessel in the event of flooding shall be proven with a cargo corresponding to its maximum draught and evenly distributed among all the holds and with maximum supplies and fully fuelled.</w:t>
      </w:r>
    </w:p>
    <w:p w:rsidR="0090753B" w:rsidRPr="00C903F8" w:rsidRDefault="0090753B" w:rsidP="0090753B">
      <w:pPr>
        <w:pStyle w:val="ESchpar"/>
        <w:rPr>
          <w:noProof/>
          <w:lang w:val="en-US"/>
        </w:rPr>
      </w:pPr>
    </w:p>
    <w:p w:rsidR="0090753B" w:rsidRPr="00C903F8" w:rsidRDefault="0090753B" w:rsidP="0090753B">
      <w:pPr>
        <w:pStyle w:val="ESchpar"/>
        <w:rPr>
          <w:noProof/>
          <w:lang w:val="en-US"/>
        </w:rPr>
      </w:pPr>
      <w:r w:rsidRPr="00C903F8">
        <w:rPr>
          <w:noProof/>
          <w:lang w:val="en-US"/>
        </w:rPr>
        <w:t>For diversified cargo, the stability calculation shall be performed for the most unfavourable loading condition. This stability calculation shall be carried on board.</w:t>
      </w:r>
    </w:p>
    <w:p w:rsidR="0090753B" w:rsidRPr="00C903F8" w:rsidRDefault="0090753B" w:rsidP="0090753B">
      <w:pPr>
        <w:pStyle w:val="ESchpar"/>
        <w:rPr>
          <w:noProof/>
          <w:lang w:val="en-US"/>
        </w:rPr>
      </w:pPr>
    </w:p>
    <w:p w:rsidR="0090753B" w:rsidRPr="00C903F8" w:rsidRDefault="0090753B" w:rsidP="0090753B">
      <w:pPr>
        <w:pStyle w:val="ESchpar"/>
        <w:rPr>
          <w:noProof/>
          <w:lang w:val="en-US"/>
        </w:rPr>
      </w:pPr>
      <w:r w:rsidRPr="00C903F8">
        <w:rPr>
          <w:noProof/>
          <w:lang w:val="en-US"/>
        </w:rPr>
        <w:t>For this purpose, mathematical proof of sufficient stability shall be determined for the intermediate stages of flooding (25</w:t>
      </w:r>
      <w:r w:rsidR="00133F19" w:rsidRPr="00C903F8">
        <w:rPr>
          <w:noProof/>
          <w:lang w:val="en-US"/>
        </w:rPr>
        <w:t> </w:t>
      </w:r>
      <w:r w:rsidRPr="00C903F8">
        <w:rPr>
          <w:noProof/>
          <w:lang w:val="en-US"/>
        </w:rPr>
        <w:t>%, 50</w:t>
      </w:r>
      <w:r w:rsidR="00133F19" w:rsidRPr="00C903F8">
        <w:rPr>
          <w:noProof/>
          <w:lang w:val="en-US"/>
        </w:rPr>
        <w:t> </w:t>
      </w:r>
      <w:r w:rsidRPr="00C903F8">
        <w:rPr>
          <w:noProof/>
          <w:lang w:val="en-US"/>
        </w:rPr>
        <w:t>% and 75</w:t>
      </w:r>
      <w:r w:rsidR="00133F19" w:rsidRPr="00C903F8">
        <w:rPr>
          <w:noProof/>
          <w:lang w:val="en-US"/>
        </w:rPr>
        <w:t> </w:t>
      </w:r>
      <w:r w:rsidRPr="00C903F8">
        <w:rPr>
          <w:noProof/>
          <w:lang w:val="en-US"/>
        </w:rPr>
        <w:t>% of final stage of flooding, and, where appropriate, for the stage immediately prior to transverse equilibrium) and for the final stage of flooding, in the loading conditions specified above.</w:t>
      </w:r>
    </w:p>
    <w:p w:rsidR="00894C4D" w:rsidRPr="00C903F8" w:rsidRDefault="00894C4D" w:rsidP="0090753B">
      <w:pPr>
        <w:pStyle w:val="ESch"/>
        <w:rPr>
          <w:noProof/>
          <w:szCs w:val="20"/>
          <w:lang w:val="en-US"/>
        </w:rPr>
      </w:pPr>
    </w:p>
    <w:p w:rsidR="0090753B" w:rsidRPr="00C903F8" w:rsidRDefault="0090753B" w:rsidP="0090753B">
      <w:pPr>
        <w:pStyle w:val="ESch"/>
        <w:rPr>
          <w:noProof/>
          <w:szCs w:val="20"/>
          <w:lang w:val="en-US"/>
        </w:rPr>
      </w:pPr>
      <w:r w:rsidRPr="00C903F8">
        <w:rPr>
          <w:noProof/>
          <w:szCs w:val="20"/>
          <w:lang w:val="en-US"/>
        </w:rPr>
        <w:t>4.</w:t>
      </w:r>
      <w:r w:rsidRPr="00C903F8">
        <w:rPr>
          <w:noProof/>
          <w:szCs w:val="20"/>
          <w:lang w:val="en-US"/>
        </w:rPr>
        <w:tab/>
        <w:t>The following assumptions shall be taken into consideration for the damaged condition:</w:t>
      </w:r>
    </w:p>
    <w:p w:rsidR="0090753B" w:rsidRPr="00C903F8" w:rsidRDefault="005C7859" w:rsidP="00894C4D">
      <w:pPr>
        <w:pStyle w:val="ESlet"/>
        <w:rPr>
          <w:noProof/>
          <w:lang w:val="en-US"/>
        </w:rPr>
      </w:pPr>
      <w:r w:rsidRPr="00C903F8">
        <w:rPr>
          <w:noProof/>
          <w:lang w:val="en-US"/>
        </w:rPr>
        <w:t>a)</w:t>
      </w:r>
      <w:r w:rsidR="0090753B" w:rsidRPr="00C903F8">
        <w:rPr>
          <w:noProof/>
          <w:lang w:val="en-US"/>
        </w:rPr>
        <w:tab/>
        <w:t>Extent of side damage:</w:t>
      </w:r>
    </w:p>
    <w:p w:rsidR="0090753B" w:rsidRPr="00C903F8" w:rsidRDefault="00894C4D" w:rsidP="00894C4D">
      <w:pPr>
        <w:pStyle w:val="ESletpar"/>
        <w:rPr>
          <w:noProof/>
          <w:lang w:val="en-US"/>
        </w:rPr>
      </w:pPr>
      <w:r w:rsidRPr="00C903F8">
        <w:rPr>
          <w:noProof/>
          <w:lang w:val="en-US"/>
        </w:rPr>
        <w:t>longitudinal extent</w:t>
      </w:r>
      <w:r w:rsidR="0090753B" w:rsidRPr="00C903F8">
        <w:rPr>
          <w:noProof/>
          <w:lang w:val="en-US"/>
        </w:rPr>
        <w:t>:</w:t>
      </w:r>
      <w:r w:rsidR="0090753B" w:rsidRPr="00C903F8">
        <w:rPr>
          <w:noProof/>
          <w:lang w:val="en-US"/>
        </w:rPr>
        <w:tab/>
        <w:t>at least</w:t>
      </w:r>
      <w:r w:rsidR="005E4B2A" w:rsidRPr="00C903F8">
        <w:rPr>
          <w:noProof/>
          <w:lang w:val="en-US"/>
        </w:rPr>
        <w:t xml:space="preserve"> 0,10</w:t>
      </w:r>
      <w:r w:rsidR="008F4ECC" w:rsidRPr="00C903F8">
        <w:rPr>
          <w:noProof/>
          <w:lang w:val="en-US"/>
        </w:rPr>
        <w:t xml:space="preserve"> </w:t>
      </w:r>
      <m:oMath>
        <m:r>
          <w:rPr>
            <w:rFonts w:ascii="Cambria Math" w:hAnsi="Cambria Math"/>
            <w:noProof/>
            <w:lang w:val="en-US"/>
          </w:rPr>
          <m:t xml:space="preserve">L </m:t>
        </m:r>
      </m:oMath>
      <w:r w:rsidR="0090753B" w:rsidRPr="00C903F8">
        <w:rPr>
          <w:noProof/>
          <w:lang w:val="en-US"/>
        </w:rPr>
        <w:t>,</w:t>
      </w:r>
    </w:p>
    <w:p w:rsidR="0090753B" w:rsidRPr="00C903F8" w:rsidRDefault="00894C4D" w:rsidP="00894C4D">
      <w:pPr>
        <w:pStyle w:val="ESletpar"/>
        <w:rPr>
          <w:noProof/>
          <w:lang w:val="en-US"/>
        </w:rPr>
      </w:pPr>
      <w:r w:rsidRPr="00C903F8">
        <w:rPr>
          <w:noProof/>
          <w:lang w:val="en-US"/>
        </w:rPr>
        <w:t>transverse extent</w:t>
      </w:r>
      <w:r w:rsidR="0090753B" w:rsidRPr="00C903F8">
        <w:rPr>
          <w:noProof/>
          <w:lang w:val="en-US"/>
        </w:rPr>
        <w:t>:</w:t>
      </w:r>
      <w:r w:rsidR="0090753B" w:rsidRPr="00C903F8">
        <w:rPr>
          <w:noProof/>
          <w:lang w:val="en-US"/>
        </w:rPr>
        <w:tab/>
      </w:r>
      <w:r w:rsidR="008F4ECC" w:rsidRPr="00C903F8">
        <w:rPr>
          <w:noProof/>
          <w:lang w:val="en-US"/>
        </w:rPr>
        <w:t>0,59 m</w:t>
      </w:r>
      <w:r w:rsidR="0090753B" w:rsidRPr="00C903F8">
        <w:rPr>
          <w:noProof/>
          <w:lang w:val="en-US"/>
        </w:rPr>
        <w:t>,</w:t>
      </w:r>
    </w:p>
    <w:p w:rsidR="0090753B" w:rsidRPr="00C903F8" w:rsidRDefault="00894C4D" w:rsidP="00894C4D">
      <w:pPr>
        <w:pStyle w:val="ESletpar"/>
        <w:rPr>
          <w:noProof/>
          <w:lang w:val="en-US"/>
        </w:rPr>
      </w:pPr>
      <w:r w:rsidRPr="00C903F8">
        <w:rPr>
          <w:noProof/>
          <w:lang w:val="en-US"/>
        </w:rPr>
        <w:t>vertical extent</w:t>
      </w:r>
      <w:r w:rsidR="0090753B" w:rsidRPr="00C903F8">
        <w:rPr>
          <w:noProof/>
          <w:lang w:val="en-US"/>
        </w:rPr>
        <w:t>:</w:t>
      </w:r>
      <w:r w:rsidR="0090753B" w:rsidRPr="00C903F8">
        <w:rPr>
          <w:noProof/>
          <w:lang w:val="en-US"/>
        </w:rPr>
        <w:tab/>
        <w:t>from the bottom upwards without limit.</w:t>
      </w:r>
    </w:p>
    <w:p w:rsidR="00894C4D" w:rsidRPr="00C903F8" w:rsidRDefault="00894C4D" w:rsidP="00894C4D">
      <w:pPr>
        <w:pStyle w:val="ESlet"/>
        <w:rPr>
          <w:noProof/>
          <w:lang w:val="en-US"/>
        </w:rPr>
      </w:pPr>
    </w:p>
    <w:p w:rsidR="00894C4D" w:rsidRPr="00C903F8" w:rsidRDefault="00894C4D" w:rsidP="00894C4D">
      <w:pPr>
        <w:pStyle w:val="ESlet"/>
        <w:rPr>
          <w:noProof/>
          <w:lang w:val="en-US"/>
        </w:rPr>
      </w:pPr>
      <w:r w:rsidRPr="00C903F8">
        <w:rPr>
          <w:noProof/>
          <w:lang w:val="en-US"/>
        </w:rPr>
        <w:br w:type="page"/>
      </w:r>
    </w:p>
    <w:p w:rsidR="0090753B" w:rsidRPr="00C903F8" w:rsidRDefault="005C7859" w:rsidP="00894C4D">
      <w:pPr>
        <w:pStyle w:val="ESlet"/>
        <w:rPr>
          <w:noProof/>
          <w:lang w:val="en-US"/>
        </w:rPr>
      </w:pPr>
      <w:r w:rsidRPr="00C903F8">
        <w:rPr>
          <w:noProof/>
          <w:lang w:val="en-US"/>
        </w:rPr>
        <w:lastRenderedPageBreak/>
        <w:t>b)</w:t>
      </w:r>
      <w:r w:rsidR="0090753B" w:rsidRPr="00C903F8">
        <w:rPr>
          <w:noProof/>
          <w:lang w:val="en-US"/>
        </w:rPr>
        <w:tab/>
        <w:t>Extent of bottom damage:</w:t>
      </w:r>
    </w:p>
    <w:p w:rsidR="0090753B" w:rsidRPr="00C903F8" w:rsidRDefault="00894C4D" w:rsidP="00894C4D">
      <w:pPr>
        <w:pStyle w:val="ESletpar"/>
        <w:rPr>
          <w:noProof/>
          <w:lang w:val="en-US"/>
        </w:rPr>
      </w:pPr>
      <w:r w:rsidRPr="00C903F8">
        <w:rPr>
          <w:noProof/>
          <w:lang w:val="en-US"/>
        </w:rPr>
        <w:t>longitudinal extent</w:t>
      </w:r>
      <w:r w:rsidR="0090753B" w:rsidRPr="00C903F8">
        <w:rPr>
          <w:noProof/>
          <w:lang w:val="en-US"/>
        </w:rPr>
        <w:t>:</w:t>
      </w:r>
      <w:r w:rsidR="0090753B" w:rsidRPr="00C903F8">
        <w:rPr>
          <w:noProof/>
          <w:lang w:val="en-US"/>
        </w:rPr>
        <w:tab/>
        <w:t>at least</w:t>
      </w:r>
      <w:r w:rsidR="008F4ECC" w:rsidRPr="00C903F8">
        <w:rPr>
          <w:noProof/>
          <w:lang w:val="en-US"/>
        </w:rPr>
        <w:t xml:space="preserve"> </w:t>
      </w:r>
      <m:oMath>
        <m:r>
          <w:rPr>
            <w:rFonts w:ascii="Cambria Math" w:hAnsi="Cambria Math"/>
            <w:noProof/>
            <w:lang w:val="en-US"/>
          </w:rPr>
          <m:t>0,10 L</m:t>
        </m:r>
      </m:oMath>
      <w:r w:rsidR="0090753B" w:rsidRPr="00C903F8">
        <w:rPr>
          <w:noProof/>
          <w:lang w:val="en-US"/>
        </w:rPr>
        <w:t>,</w:t>
      </w:r>
    </w:p>
    <w:p w:rsidR="0090753B" w:rsidRPr="00C903F8" w:rsidRDefault="00894C4D" w:rsidP="00894C4D">
      <w:pPr>
        <w:pStyle w:val="ESletpar"/>
        <w:rPr>
          <w:noProof/>
          <w:lang w:val="en-US"/>
        </w:rPr>
      </w:pPr>
      <w:r w:rsidRPr="00C903F8">
        <w:rPr>
          <w:noProof/>
          <w:lang w:val="en-US"/>
        </w:rPr>
        <w:t>transverse extent</w:t>
      </w:r>
      <w:r w:rsidR="0090753B" w:rsidRPr="00C903F8">
        <w:rPr>
          <w:noProof/>
          <w:lang w:val="en-US"/>
        </w:rPr>
        <w:t>:</w:t>
      </w:r>
      <w:r w:rsidR="0090753B" w:rsidRPr="00C903F8">
        <w:rPr>
          <w:noProof/>
          <w:lang w:val="en-US"/>
        </w:rPr>
        <w:tab/>
        <w:t>3</w:t>
      </w:r>
      <w:r w:rsidR="008F4ECC" w:rsidRPr="00C903F8">
        <w:rPr>
          <w:noProof/>
          <w:lang w:val="en-US"/>
        </w:rPr>
        <w:t>,</w:t>
      </w:r>
      <w:r w:rsidR="0090753B" w:rsidRPr="00C903F8">
        <w:rPr>
          <w:noProof/>
          <w:lang w:val="en-US"/>
        </w:rPr>
        <w:t>00 m,</w:t>
      </w:r>
    </w:p>
    <w:p w:rsidR="0090753B" w:rsidRPr="00C903F8" w:rsidRDefault="00894C4D" w:rsidP="00894C4D">
      <w:pPr>
        <w:pStyle w:val="ESletpar"/>
        <w:rPr>
          <w:noProof/>
          <w:lang w:val="en-US"/>
        </w:rPr>
      </w:pPr>
      <w:r w:rsidRPr="00C903F8">
        <w:rPr>
          <w:noProof/>
          <w:lang w:val="en-US"/>
        </w:rPr>
        <w:t>vertical extent</w:t>
      </w:r>
      <w:r w:rsidR="0090753B" w:rsidRPr="00C903F8">
        <w:rPr>
          <w:noProof/>
          <w:lang w:val="en-US"/>
        </w:rPr>
        <w:t>:</w:t>
      </w:r>
      <w:r w:rsidR="0090753B" w:rsidRPr="00C903F8">
        <w:rPr>
          <w:noProof/>
          <w:lang w:val="en-US"/>
        </w:rPr>
        <w:tab/>
        <w:t>from the base 0</w:t>
      </w:r>
      <w:r w:rsidR="008F4ECC" w:rsidRPr="00C903F8">
        <w:rPr>
          <w:noProof/>
          <w:lang w:val="en-US"/>
        </w:rPr>
        <w:t>,</w:t>
      </w:r>
      <w:r w:rsidR="0090753B" w:rsidRPr="00C903F8">
        <w:rPr>
          <w:noProof/>
          <w:lang w:val="en-US"/>
        </w:rPr>
        <w:t>39 m upwards, the sump excepted.</w:t>
      </w:r>
    </w:p>
    <w:p w:rsidR="0090753B" w:rsidRPr="00C903F8" w:rsidRDefault="005C7859" w:rsidP="00894C4D">
      <w:pPr>
        <w:pStyle w:val="ESlet"/>
        <w:rPr>
          <w:noProof/>
          <w:lang w:val="en-US"/>
        </w:rPr>
      </w:pPr>
      <w:r w:rsidRPr="00C903F8">
        <w:rPr>
          <w:noProof/>
          <w:lang w:val="en-US"/>
        </w:rPr>
        <w:t>c)</w:t>
      </w:r>
      <w:r w:rsidR="0090753B" w:rsidRPr="00C903F8">
        <w:rPr>
          <w:noProof/>
          <w:lang w:val="en-US"/>
        </w:rPr>
        <w:tab/>
        <w:t>Any bulkheads within the damaged area shall be assumed damaged, which means that the subdivision shall be chosen so that the vessel remains afloat after the flooding of two or more adjacent compartments in the longitudinal direction. For the main engine room only the one compartment standard need be taken into account, i.e. the end bulkheads of the engine room shall be assumed as not damaged.</w:t>
      </w:r>
    </w:p>
    <w:p w:rsidR="0090753B" w:rsidRPr="00C903F8" w:rsidRDefault="0090753B" w:rsidP="00894C4D">
      <w:pPr>
        <w:pStyle w:val="ESletpar"/>
        <w:rPr>
          <w:rFonts w:cs="Arial"/>
          <w:lang w:val="en-US"/>
        </w:rPr>
      </w:pPr>
      <w:r w:rsidRPr="00C903F8">
        <w:rPr>
          <w:noProof/>
          <w:lang w:val="en-US"/>
        </w:rPr>
        <w:t>For bottom damage, adjacent athwart ship compartments shall also be assumed as flooded.</w:t>
      </w:r>
    </w:p>
    <w:p w:rsidR="0090753B" w:rsidRPr="00C903F8" w:rsidRDefault="0029453D" w:rsidP="00894C4D">
      <w:pPr>
        <w:pStyle w:val="ESlet"/>
        <w:rPr>
          <w:noProof/>
          <w:lang w:val="en-US"/>
        </w:rPr>
      </w:pPr>
      <w:r w:rsidRPr="00C903F8">
        <w:rPr>
          <w:noProof/>
          <w:lang w:val="en-US"/>
        </w:rPr>
        <w:t>d)</w:t>
      </w:r>
      <w:r w:rsidR="0090753B" w:rsidRPr="00C903F8">
        <w:rPr>
          <w:noProof/>
          <w:lang w:val="en-US"/>
        </w:rPr>
        <w:tab/>
        <w:t>Permeability</w:t>
      </w:r>
    </w:p>
    <w:p w:rsidR="0090753B" w:rsidRPr="00C903F8" w:rsidRDefault="0090753B" w:rsidP="00894C4D">
      <w:pPr>
        <w:pStyle w:val="ESletpar"/>
        <w:rPr>
          <w:noProof/>
          <w:lang w:val="en-US"/>
        </w:rPr>
      </w:pPr>
      <w:r w:rsidRPr="00C903F8">
        <w:rPr>
          <w:noProof/>
          <w:lang w:val="en-US"/>
        </w:rPr>
        <w:t>Permeability shall be assumed to be 95</w:t>
      </w:r>
      <w:r w:rsidR="00133F19" w:rsidRPr="00C903F8">
        <w:rPr>
          <w:noProof/>
          <w:lang w:val="en-US"/>
        </w:rPr>
        <w:t> </w:t>
      </w:r>
      <w:r w:rsidRPr="00C903F8">
        <w:rPr>
          <w:noProof/>
          <w:lang w:val="en-US"/>
        </w:rPr>
        <w:t>%.</w:t>
      </w:r>
    </w:p>
    <w:p w:rsidR="0090753B" w:rsidRPr="00C903F8" w:rsidRDefault="0090753B" w:rsidP="00894C4D">
      <w:pPr>
        <w:pStyle w:val="ESletpar"/>
        <w:rPr>
          <w:noProof/>
          <w:lang w:val="en-US"/>
        </w:rPr>
      </w:pPr>
      <w:r w:rsidRPr="00C903F8">
        <w:rPr>
          <w:noProof/>
          <w:lang w:val="en-US"/>
        </w:rPr>
        <w:t>If a calculation proves that the average permeability of a compartment is less than 95</w:t>
      </w:r>
      <w:r w:rsidR="00133F19" w:rsidRPr="00C903F8">
        <w:rPr>
          <w:noProof/>
          <w:lang w:val="en-US"/>
        </w:rPr>
        <w:t> </w:t>
      </w:r>
      <w:r w:rsidRPr="00C903F8">
        <w:rPr>
          <w:noProof/>
          <w:lang w:val="en-US"/>
        </w:rPr>
        <w:t>%, the calculated value may be used instead.</w:t>
      </w:r>
    </w:p>
    <w:p w:rsidR="0090753B" w:rsidRPr="00C903F8" w:rsidRDefault="0090753B" w:rsidP="00894C4D">
      <w:pPr>
        <w:pStyle w:val="ESletpar"/>
        <w:rPr>
          <w:noProof/>
          <w:lang w:val="en-US"/>
        </w:rPr>
      </w:pPr>
      <w:r w:rsidRPr="00C903F8">
        <w:rPr>
          <w:noProof/>
          <w:lang w:val="en-US"/>
        </w:rPr>
        <w:t>The values used shall not be less than:</w:t>
      </w:r>
    </w:p>
    <w:p w:rsidR="00241CDC" w:rsidRPr="00C903F8" w:rsidRDefault="00241CDC" w:rsidP="00241CDC">
      <w:pPr>
        <w:pStyle w:val="ESch"/>
        <w:rPr>
          <w:noProof/>
          <w:lang w:val="en-US"/>
        </w:rPr>
      </w:pP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7"/>
        <w:gridCol w:w="1418"/>
      </w:tblGrid>
      <w:tr w:rsidR="00241CDC" w:rsidRPr="00C903F8" w:rsidTr="00DB6EC2">
        <w:tc>
          <w:tcPr>
            <w:tcW w:w="6747" w:type="dxa"/>
            <w:shd w:val="clear" w:color="auto" w:fill="auto"/>
            <w:vAlign w:val="center"/>
          </w:tcPr>
          <w:p w:rsidR="00241CDC" w:rsidRPr="00C903F8" w:rsidRDefault="00241CDC" w:rsidP="00DB6EC2">
            <w:pPr>
              <w:pStyle w:val="ESletpar"/>
              <w:spacing w:after="60"/>
              <w:ind w:left="0"/>
              <w:rPr>
                <w:rFonts w:eastAsia="Batang"/>
              </w:rPr>
            </w:pPr>
            <w:r w:rsidRPr="00C903F8">
              <w:rPr>
                <w:lang w:val="en-US"/>
              </w:rPr>
              <w:t>Engine and operation rooms</w:t>
            </w:r>
          </w:p>
        </w:tc>
        <w:tc>
          <w:tcPr>
            <w:tcW w:w="1418" w:type="dxa"/>
            <w:shd w:val="clear" w:color="auto" w:fill="auto"/>
            <w:vAlign w:val="center"/>
          </w:tcPr>
          <w:p w:rsidR="00241CDC" w:rsidRPr="00C903F8" w:rsidRDefault="00241CDC" w:rsidP="00DA4114">
            <w:pPr>
              <w:pStyle w:val="ESletpar"/>
              <w:spacing w:after="60"/>
              <w:ind w:left="0"/>
              <w:jc w:val="center"/>
              <w:rPr>
                <w:rFonts w:eastAsia="Batang"/>
                <w:lang w:val="de-DE"/>
              </w:rPr>
            </w:pPr>
            <w:r w:rsidRPr="00C903F8">
              <w:rPr>
                <w:rFonts w:eastAsia="Batang"/>
                <w:lang w:val="de-DE"/>
              </w:rPr>
              <w:t>85</w:t>
            </w:r>
            <w:r w:rsidR="00133F19" w:rsidRPr="00C903F8">
              <w:rPr>
                <w:rFonts w:eastAsia="Batang"/>
                <w:lang w:val="de-DE"/>
              </w:rPr>
              <w:t> </w:t>
            </w:r>
            <w:r w:rsidRPr="00C903F8">
              <w:rPr>
                <w:rFonts w:eastAsia="Batang"/>
                <w:lang w:val="de-DE"/>
              </w:rPr>
              <w:t>%</w:t>
            </w:r>
          </w:p>
        </w:tc>
      </w:tr>
      <w:tr w:rsidR="00241CDC" w:rsidRPr="00C903F8" w:rsidTr="00DB6EC2">
        <w:tc>
          <w:tcPr>
            <w:tcW w:w="6747" w:type="dxa"/>
            <w:shd w:val="clear" w:color="auto" w:fill="auto"/>
            <w:vAlign w:val="center"/>
          </w:tcPr>
          <w:p w:rsidR="00241CDC" w:rsidRPr="00C903F8" w:rsidRDefault="00241CDC" w:rsidP="00DB6EC2">
            <w:pPr>
              <w:pStyle w:val="ESletpar"/>
              <w:spacing w:after="60"/>
              <w:ind w:left="0"/>
              <w:rPr>
                <w:rFonts w:eastAsia="Batang"/>
                <w:lang w:val="de-DE"/>
              </w:rPr>
            </w:pPr>
            <w:r w:rsidRPr="00C903F8">
              <w:rPr>
                <w:lang w:val="en-US"/>
              </w:rPr>
              <w:t>Cargo holds</w:t>
            </w:r>
          </w:p>
        </w:tc>
        <w:tc>
          <w:tcPr>
            <w:tcW w:w="1418" w:type="dxa"/>
            <w:shd w:val="clear" w:color="auto" w:fill="auto"/>
            <w:vAlign w:val="center"/>
          </w:tcPr>
          <w:p w:rsidR="00241CDC" w:rsidRPr="00C903F8" w:rsidRDefault="00241CDC" w:rsidP="00DA4114">
            <w:pPr>
              <w:pStyle w:val="ESletpar"/>
              <w:spacing w:after="60"/>
              <w:ind w:left="0"/>
              <w:jc w:val="center"/>
              <w:rPr>
                <w:rFonts w:eastAsia="Batang"/>
                <w:lang w:val="de-DE"/>
              </w:rPr>
            </w:pPr>
            <w:r w:rsidRPr="00C903F8">
              <w:rPr>
                <w:rFonts w:eastAsia="Batang"/>
                <w:lang w:val="de-DE"/>
              </w:rPr>
              <w:t>70</w:t>
            </w:r>
            <w:r w:rsidR="00133F19" w:rsidRPr="00C903F8">
              <w:rPr>
                <w:rFonts w:eastAsia="Batang"/>
                <w:lang w:val="de-DE"/>
              </w:rPr>
              <w:t> </w:t>
            </w:r>
            <w:r w:rsidRPr="00C903F8">
              <w:rPr>
                <w:rFonts w:eastAsia="Batang"/>
                <w:lang w:val="de-DE"/>
              </w:rPr>
              <w:t>%</w:t>
            </w:r>
          </w:p>
        </w:tc>
      </w:tr>
      <w:tr w:rsidR="00241CDC" w:rsidRPr="00C903F8" w:rsidTr="00DB6EC2">
        <w:tc>
          <w:tcPr>
            <w:tcW w:w="6747" w:type="dxa"/>
            <w:shd w:val="clear" w:color="auto" w:fill="auto"/>
            <w:vAlign w:val="center"/>
          </w:tcPr>
          <w:p w:rsidR="00241CDC" w:rsidRPr="00C903F8" w:rsidRDefault="00241CDC" w:rsidP="00DB6EC2">
            <w:pPr>
              <w:pStyle w:val="ESletpar"/>
              <w:spacing w:after="60"/>
              <w:ind w:left="0"/>
              <w:rPr>
                <w:rFonts w:eastAsia="Batang"/>
                <w:lang w:val="en-US"/>
              </w:rPr>
            </w:pPr>
            <w:r w:rsidRPr="00C903F8">
              <w:rPr>
                <w:lang w:val="en-US"/>
              </w:rPr>
              <w:t>Double bottoms, fuel tanks, ballast tanks, etc. depending on whether, according to their function, they have to be assumed as full or empty for the vessel floating at the maximum permissible draught</w:t>
            </w:r>
          </w:p>
        </w:tc>
        <w:tc>
          <w:tcPr>
            <w:tcW w:w="1418" w:type="dxa"/>
            <w:shd w:val="clear" w:color="auto" w:fill="auto"/>
            <w:vAlign w:val="center"/>
          </w:tcPr>
          <w:p w:rsidR="00241CDC" w:rsidRPr="00C903F8" w:rsidRDefault="00241CDC" w:rsidP="00DA4114">
            <w:pPr>
              <w:pStyle w:val="ESletpar"/>
              <w:spacing w:after="60"/>
              <w:ind w:left="0"/>
              <w:jc w:val="center"/>
              <w:rPr>
                <w:rFonts w:eastAsia="Batang"/>
                <w:lang w:val="de-DE"/>
              </w:rPr>
            </w:pPr>
            <w:r w:rsidRPr="00C903F8">
              <w:rPr>
                <w:lang w:val="de-DE"/>
              </w:rPr>
              <w:t>0 or 95</w:t>
            </w:r>
            <w:r w:rsidR="00133F19" w:rsidRPr="00C903F8">
              <w:rPr>
                <w:lang w:val="de-DE"/>
              </w:rPr>
              <w:t> </w:t>
            </w:r>
            <w:r w:rsidRPr="00C903F8">
              <w:rPr>
                <w:lang w:val="de-DE"/>
              </w:rPr>
              <w:t>%.</w:t>
            </w:r>
          </w:p>
        </w:tc>
      </w:tr>
    </w:tbl>
    <w:p w:rsidR="00241CDC" w:rsidRPr="00C903F8" w:rsidRDefault="00241CDC" w:rsidP="00241CDC">
      <w:pPr>
        <w:pStyle w:val="ESch"/>
        <w:rPr>
          <w:noProof/>
          <w:lang w:val="en-US"/>
        </w:rPr>
      </w:pPr>
    </w:p>
    <w:p w:rsidR="0090753B" w:rsidRPr="00C903F8" w:rsidRDefault="0029453D" w:rsidP="00894C4D">
      <w:pPr>
        <w:pStyle w:val="ESlet"/>
        <w:rPr>
          <w:rFonts w:cs="Arial"/>
          <w:lang w:val="en-US"/>
        </w:rPr>
      </w:pPr>
      <w:r w:rsidRPr="00C903F8">
        <w:rPr>
          <w:noProof/>
          <w:lang w:val="en-US"/>
        </w:rPr>
        <w:t>e)</w:t>
      </w:r>
      <w:r w:rsidR="0090753B" w:rsidRPr="00C903F8">
        <w:rPr>
          <w:noProof/>
          <w:lang w:val="en-US"/>
        </w:rPr>
        <w:tab/>
        <w:t>The calculation of free surface</w:t>
      </w:r>
      <w:r w:rsidR="000B68E7">
        <w:rPr>
          <w:noProof/>
          <w:lang w:val="en-US"/>
        </w:rPr>
        <w:t>s</w:t>
      </w:r>
      <w:r w:rsidR="0090753B" w:rsidRPr="00C903F8">
        <w:rPr>
          <w:noProof/>
          <w:lang w:val="en-US"/>
        </w:rPr>
        <w:t xml:space="preserve"> effect in intermediate stages of flooding shall be based on the gross surface area of the damaged compartments.</w:t>
      </w:r>
    </w:p>
    <w:p w:rsidR="00894C4D" w:rsidRPr="00C903F8" w:rsidRDefault="00894C4D" w:rsidP="0090753B">
      <w:pPr>
        <w:pStyle w:val="ESch"/>
        <w:rPr>
          <w:noProof/>
          <w:szCs w:val="20"/>
          <w:lang w:val="en-US"/>
        </w:rPr>
      </w:pPr>
    </w:p>
    <w:p w:rsidR="0090753B" w:rsidRPr="00C903F8" w:rsidRDefault="0090753B" w:rsidP="0090753B">
      <w:pPr>
        <w:pStyle w:val="ESch"/>
        <w:rPr>
          <w:noProof/>
          <w:szCs w:val="20"/>
          <w:lang w:val="en-US"/>
        </w:rPr>
      </w:pPr>
      <w:r w:rsidRPr="00C903F8">
        <w:rPr>
          <w:noProof/>
          <w:szCs w:val="20"/>
          <w:lang w:val="en-US"/>
        </w:rPr>
        <w:t>5.</w:t>
      </w:r>
      <w:r w:rsidRPr="00C903F8">
        <w:rPr>
          <w:noProof/>
          <w:szCs w:val="20"/>
          <w:lang w:val="en-US"/>
        </w:rPr>
        <w:tab/>
        <w:t xml:space="preserve">For all intermediate stages of flooding referred to in </w:t>
      </w:r>
      <w:r w:rsidR="007E1D94" w:rsidRPr="00C903F8">
        <w:rPr>
          <w:noProof/>
          <w:szCs w:val="20"/>
          <w:lang w:val="en-US"/>
        </w:rPr>
        <w:t>(</w:t>
      </w:r>
      <w:r w:rsidRPr="00C903F8">
        <w:rPr>
          <w:noProof/>
          <w:szCs w:val="20"/>
          <w:lang w:val="en-US"/>
        </w:rPr>
        <w:t>3</w:t>
      </w:r>
      <w:r w:rsidR="007E1D94" w:rsidRPr="00C903F8">
        <w:rPr>
          <w:noProof/>
          <w:szCs w:val="20"/>
          <w:lang w:val="en-US"/>
        </w:rPr>
        <w:t>)</w:t>
      </w:r>
      <w:r w:rsidRPr="00C903F8">
        <w:rPr>
          <w:noProof/>
          <w:szCs w:val="20"/>
          <w:lang w:val="en-US"/>
        </w:rPr>
        <w:t>, the following criteria shall be met:</w:t>
      </w:r>
    </w:p>
    <w:p w:rsidR="0090753B" w:rsidRPr="00C903F8" w:rsidRDefault="005C7859" w:rsidP="00894C4D">
      <w:pPr>
        <w:pStyle w:val="ESlet"/>
        <w:rPr>
          <w:noProof/>
          <w:lang w:val="en-US"/>
        </w:rPr>
      </w:pPr>
      <w:r w:rsidRPr="00C903F8">
        <w:rPr>
          <w:noProof/>
          <w:lang w:val="en-US"/>
        </w:rPr>
        <w:t>a)</w:t>
      </w:r>
      <w:r w:rsidR="0090753B" w:rsidRPr="00C903F8">
        <w:rPr>
          <w:noProof/>
          <w:lang w:val="en-US"/>
        </w:rPr>
        <w:tab/>
      </w:r>
      <w:r w:rsidR="003D2D08" w:rsidRPr="00C903F8">
        <w:rPr>
          <w:noProof/>
          <w:lang w:val="en-US"/>
        </w:rPr>
        <w:t>T</w:t>
      </w:r>
      <w:r w:rsidR="0090753B" w:rsidRPr="00C903F8">
        <w:rPr>
          <w:noProof/>
          <w:lang w:val="en-US"/>
        </w:rPr>
        <w:t xml:space="preserve">he heeling angle </w:t>
      </w:r>
      <m:oMath>
        <m:r>
          <w:rPr>
            <w:rFonts w:ascii="Cambria Math" w:hAnsi="Cambria Math"/>
            <w:noProof/>
            <w:lang w:val="en-US"/>
          </w:rPr>
          <m:t>φ</m:t>
        </m:r>
      </m:oMath>
      <w:r w:rsidR="008F4ECC" w:rsidRPr="00C903F8">
        <w:rPr>
          <w:noProof/>
          <w:lang w:val="en-US"/>
        </w:rPr>
        <w:t xml:space="preserve"> </w:t>
      </w:r>
      <w:r w:rsidR="0090753B" w:rsidRPr="00C903F8">
        <w:rPr>
          <w:noProof/>
          <w:lang w:val="en-US"/>
        </w:rPr>
        <w:t>at the equilibrium position of the intermediate stage in question shall not exceed 15° (5° where containers are not secured)</w:t>
      </w:r>
      <w:r w:rsidR="003D2D08" w:rsidRPr="00C903F8">
        <w:rPr>
          <w:noProof/>
          <w:lang w:val="en-US"/>
        </w:rPr>
        <w:t>.</w:t>
      </w:r>
    </w:p>
    <w:p w:rsidR="0090753B" w:rsidRPr="00C903F8" w:rsidRDefault="005C7859" w:rsidP="00894C4D">
      <w:pPr>
        <w:pStyle w:val="ESlet"/>
        <w:rPr>
          <w:rFonts w:cs="Arial"/>
          <w:lang w:val="en-US"/>
        </w:rPr>
      </w:pPr>
      <w:r w:rsidRPr="00C903F8">
        <w:rPr>
          <w:noProof/>
          <w:lang w:val="en-US"/>
        </w:rPr>
        <w:t>b)</w:t>
      </w:r>
      <w:r w:rsidR="0090753B" w:rsidRPr="00C903F8">
        <w:rPr>
          <w:noProof/>
          <w:lang w:val="en-US"/>
        </w:rPr>
        <w:tab/>
      </w:r>
      <w:r w:rsidR="003D2D08" w:rsidRPr="00C903F8">
        <w:rPr>
          <w:noProof/>
          <w:lang w:val="en-US"/>
        </w:rPr>
        <w:t>B</w:t>
      </w:r>
      <w:r w:rsidR="0090753B" w:rsidRPr="00C903F8">
        <w:rPr>
          <w:noProof/>
          <w:lang w:val="en-US"/>
        </w:rPr>
        <w:t>eyond the heel in the equilibrium position of the intermediate stage in question, the positive part of the righting lever curve shall display a righting lever value of</w:t>
      </w:r>
      <w:r w:rsidR="008F4ECC" w:rsidRPr="00C903F8">
        <w:rPr>
          <w:noProof/>
          <w:lang w:val="en-US"/>
        </w:rPr>
        <w:t xml:space="preserve"> </w:t>
      </w:r>
      <m:oMath>
        <m:r>
          <w:rPr>
            <w:rFonts w:ascii="Cambria Math" w:hAnsi="Cambria Math"/>
            <w:noProof/>
            <w:lang w:val="en-US"/>
          </w:rPr>
          <m:t>GZ ≥0,02 m</m:t>
        </m:r>
      </m:oMath>
      <w:r w:rsidR="008F4ECC" w:rsidRPr="00C903F8">
        <w:rPr>
          <w:noProof/>
          <w:lang w:val="en-US"/>
        </w:rPr>
        <w:t xml:space="preserve"> </w:t>
      </w:r>
      <w:r w:rsidR="0090753B" w:rsidRPr="00C903F8">
        <w:rPr>
          <w:noProof/>
          <w:lang w:val="en-US"/>
        </w:rPr>
        <w:t>(0</w:t>
      </w:r>
      <w:r w:rsidR="00451B55" w:rsidRPr="00C903F8">
        <w:rPr>
          <w:noProof/>
          <w:lang w:val="en-US"/>
        </w:rPr>
        <w:t>,</w:t>
      </w:r>
      <w:r w:rsidR="0090753B" w:rsidRPr="00C903F8">
        <w:rPr>
          <w:noProof/>
          <w:lang w:val="en-US"/>
        </w:rPr>
        <w:t xml:space="preserve">03 m where containers are not secured) before the first unprotected opening becomes immersed or a heeling angle </w:t>
      </w:r>
      <m:oMath>
        <m:r>
          <w:rPr>
            <w:rFonts w:ascii="Cambria Math" w:hAnsi="Cambria Math"/>
            <w:noProof/>
            <w:lang w:val="en-US"/>
          </w:rPr>
          <m:t>φ</m:t>
        </m:r>
      </m:oMath>
      <w:r w:rsidR="0090753B" w:rsidRPr="00C903F8">
        <w:rPr>
          <w:noProof/>
          <w:lang w:val="en-US"/>
        </w:rPr>
        <w:t xml:space="preserve"> of 27° is reached (15° where containers are not secured)</w:t>
      </w:r>
      <w:r w:rsidR="003D2D08" w:rsidRPr="00C903F8">
        <w:rPr>
          <w:noProof/>
          <w:lang w:val="en-US"/>
        </w:rPr>
        <w:t>.</w:t>
      </w:r>
    </w:p>
    <w:p w:rsidR="0090753B" w:rsidRPr="00C903F8" w:rsidRDefault="005C7859" w:rsidP="00894C4D">
      <w:pPr>
        <w:pStyle w:val="ESlet"/>
        <w:rPr>
          <w:noProof/>
          <w:lang w:val="en-US"/>
        </w:rPr>
      </w:pPr>
      <w:r w:rsidRPr="00C903F8">
        <w:rPr>
          <w:noProof/>
          <w:lang w:val="en-US"/>
        </w:rPr>
        <w:t>c)</w:t>
      </w:r>
      <w:r w:rsidR="0090753B" w:rsidRPr="00C903F8">
        <w:rPr>
          <w:noProof/>
          <w:lang w:val="en-US"/>
        </w:rPr>
        <w:tab/>
      </w:r>
      <w:r w:rsidR="003D2D08" w:rsidRPr="00C903F8">
        <w:rPr>
          <w:noProof/>
          <w:lang w:val="en-US"/>
        </w:rPr>
        <w:t>N</w:t>
      </w:r>
      <w:r w:rsidR="0090753B" w:rsidRPr="00C903F8">
        <w:rPr>
          <w:noProof/>
          <w:lang w:val="en-US"/>
        </w:rPr>
        <w:t>on-watertight openings shall not be immersed before the heel in the equilibrium position of the intermediate stage in question has been reached.</w:t>
      </w:r>
    </w:p>
    <w:p w:rsidR="00894C4D" w:rsidRPr="00C903F8" w:rsidRDefault="00894C4D" w:rsidP="0090753B">
      <w:pPr>
        <w:pStyle w:val="ESch"/>
        <w:rPr>
          <w:noProof/>
          <w:szCs w:val="20"/>
          <w:lang w:val="en-US"/>
        </w:rPr>
      </w:pPr>
    </w:p>
    <w:p w:rsidR="0090753B" w:rsidRPr="00C903F8" w:rsidRDefault="0090753B" w:rsidP="0090753B">
      <w:pPr>
        <w:pStyle w:val="ESch"/>
        <w:rPr>
          <w:noProof/>
          <w:szCs w:val="20"/>
          <w:lang w:val="en-US"/>
        </w:rPr>
      </w:pPr>
      <w:r w:rsidRPr="00C903F8">
        <w:rPr>
          <w:noProof/>
          <w:szCs w:val="20"/>
          <w:lang w:val="en-US"/>
        </w:rPr>
        <w:t>6.</w:t>
      </w:r>
      <w:r w:rsidRPr="00C903F8">
        <w:rPr>
          <w:noProof/>
          <w:szCs w:val="20"/>
          <w:lang w:val="en-US"/>
        </w:rPr>
        <w:tab/>
        <w:t>During the final stage of flooding, the following criteria shall be met:</w:t>
      </w:r>
    </w:p>
    <w:p w:rsidR="0090753B" w:rsidRPr="00C903F8" w:rsidRDefault="005C7859" w:rsidP="00894C4D">
      <w:pPr>
        <w:pStyle w:val="ESlet"/>
        <w:rPr>
          <w:noProof/>
          <w:lang w:val="en-US"/>
        </w:rPr>
      </w:pPr>
      <w:r w:rsidRPr="00C903F8">
        <w:rPr>
          <w:noProof/>
          <w:lang w:val="en-US"/>
        </w:rPr>
        <w:t>a)</w:t>
      </w:r>
      <w:r w:rsidR="0090753B" w:rsidRPr="00C903F8">
        <w:rPr>
          <w:noProof/>
          <w:lang w:val="en-US"/>
        </w:rPr>
        <w:tab/>
      </w:r>
      <w:r w:rsidR="003D2D08" w:rsidRPr="00C903F8">
        <w:rPr>
          <w:noProof/>
          <w:lang w:val="en-US"/>
        </w:rPr>
        <w:t>T</w:t>
      </w:r>
      <w:r w:rsidR="0090753B" w:rsidRPr="00C903F8">
        <w:rPr>
          <w:noProof/>
          <w:lang w:val="en-US"/>
        </w:rPr>
        <w:t>he lower edge of non-watertight openings (e.g., doors, windows, access hatches) shall be not less than 0,10 m above the damaged waterline</w:t>
      </w:r>
      <w:r w:rsidR="003D2D08" w:rsidRPr="00C903F8">
        <w:rPr>
          <w:noProof/>
          <w:lang w:val="en-US"/>
        </w:rPr>
        <w:t>.</w:t>
      </w:r>
    </w:p>
    <w:p w:rsidR="0090753B" w:rsidRPr="00C903F8" w:rsidRDefault="005C7859" w:rsidP="00894C4D">
      <w:pPr>
        <w:pStyle w:val="ESlet"/>
        <w:rPr>
          <w:noProof/>
          <w:lang w:val="en-US"/>
        </w:rPr>
      </w:pPr>
      <w:r w:rsidRPr="00C903F8">
        <w:rPr>
          <w:noProof/>
          <w:lang w:val="en-US"/>
        </w:rPr>
        <w:t>b)</w:t>
      </w:r>
      <w:r w:rsidR="0090753B" w:rsidRPr="00C903F8">
        <w:rPr>
          <w:noProof/>
          <w:lang w:val="en-US"/>
        </w:rPr>
        <w:tab/>
      </w:r>
      <w:r w:rsidR="003D2D08" w:rsidRPr="00C903F8">
        <w:rPr>
          <w:noProof/>
          <w:lang w:val="en-US"/>
        </w:rPr>
        <w:t>T</w:t>
      </w:r>
      <w:r w:rsidR="0090753B" w:rsidRPr="00C903F8">
        <w:rPr>
          <w:noProof/>
          <w:lang w:val="en-US"/>
        </w:rPr>
        <w:t xml:space="preserve">he heeling angle </w:t>
      </w:r>
      <m:oMath>
        <m:r>
          <w:rPr>
            <w:rFonts w:ascii="Cambria Math" w:hAnsi="Cambria Math"/>
            <w:noProof/>
            <w:lang w:val="en-US"/>
          </w:rPr>
          <m:t>φ</m:t>
        </m:r>
      </m:oMath>
      <w:r w:rsidR="0090753B" w:rsidRPr="00C903F8">
        <w:rPr>
          <w:noProof/>
          <w:lang w:val="en-US"/>
        </w:rPr>
        <w:t xml:space="preserve"> at the equilibrium position shall not exceed 12° (5° where containers are not secured)</w:t>
      </w:r>
      <w:r w:rsidR="003D2D08" w:rsidRPr="00C903F8">
        <w:rPr>
          <w:noProof/>
          <w:lang w:val="en-US"/>
        </w:rPr>
        <w:t>.</w:t>
      </w:r>
    </w:p>
    <w:p w:rsidR="00894C4D" w:rsidRPr="00C903F8" w:rsidRDefault="00894C4D" w:rsidP="00894C4D">
      <w:pPr>
        <w:pStyle w:val="ESlet"/>
        <w:rPr>
          <w:noProof/>
          <w:lang w:val="en-US"/>
        </w:rPr>
      </w:pPr>
    </w:p>
    <w:p w:rsidR="00894C4D" w:rsidRPr="00C903F8" w:rsidRDefault="00894C4D" w:rsidP="00894C4D">
      <w:pPr>
        <w:pStyle w:val="ESlet"/>
        <w:rPr>
          <w:noProof/>
          <w:lang w:val="en-US"/>
        </w:rPr>
      </w:pPr>
      <w:r w:rsidRPr="00C903F8">
        <w:rPr>
          <w:noProof/>
          <w:lang w:val="en-US"/>
        </w:rPr>
        <w:br w:type="page"/>
      </w:r>
    </w:p>
    <w:p w:rsidR="0090753B" w:rsidRPr="00C903F8" w:rsidRDefault="005C7859" w:rsidP="00894C4D">
      <w:pPr>
        <w:pStyle w:val="ESlet"/>
        <w:rPr>
          <w:noProof/>
          <w:lang w:val="en-US"/>
        </w:rPr>
      </w:pPr>
      <w:r w:rsidRPr="00C903F8">
        <w:rPr>
          <w:noProof/>
          <w:lang w:val="en-US"/>
        </w:rPr>
        <w:lastRenderedPageBreak/>
        <w:t>c)</w:t>
      </w:r>
      <w:r w:rsidR="0090753B" w:rsidRPr="00C903F8">
        <w:rPr>
          <w:noProof/>
          <w:lang w:val="en-US"/>
        </w:rPr>
        <w:tab/>
      </w:r>
      <w:r w:rsidR="003D2D08" w:rsidRPr="00C903F8">
        <w:rPr>
          <w:noProof/>
          <w:lang w:val="en-US"/>
        </w:rPr>
        <w:t>B</w:t>
      </w:r>
      <w:r w:rsidR="0090753B" w:rsidRPr="00C903F8">
        <w:rPr>
          <w:noProof/>
          <w:lang w:val="en-US"/>
        </w:rPr>
        <w:t>eyond the heel in the equilibrium position of the intermediate stage in question, the positive part of the righting lever curve shall display a righting lever value of</w:t>
      </w:r>
      <w:r w:rsidR="008F4ECC" w:rsidRPr="00C903F8">
        <w:rPr>
          <w:noProof/>
          <w:lang w:val="en-US"/>
        </w:rPr>
        <w:t xml:space="preserve"> </w:t>
      </w:r>
      <m:oMath>
        <m:sSub>
          <m:sSubPr>
            <m:ctrlPr>
              <w:rPr>
                <w:rFonts w:ascii="Cambria Math" w:hAnsi="Cambria Math"/>
                <w:i/>
                <w:noProof/>
                <w:lang w:val="en-US"/>
              </w:rPr>
            </m:ctrlPr>
          </m:sSubPr>
          <m:e>
            <m:r>
              <w:rPr>
                <w:rFonts w:ascii="Cambria Math" w:hAnsi="Cambria Math"/>
                <w:noProof/>
                <w:lang w:val="en-US"/>
              </w:rPr>
              <m:t>GZ</m:t>
            </m:r>
          </m:e>
          <m:sub>
            <m:r>
              <w:rPr>
                <w:rFonts w:ascii="Cambria Math" w:hAnsi="Cambria Math"/>
                <w:noProof/>
                <w:lang w:val="en-US"/>
              </w:rPr>
              <m:t>R</m:t>
            </m:r>
          </m:sub>
        </m:sSub>
        <m:r>
          <w:rPr>
            <w:rFonts w:ascii="Cambria Math" w:hAnsi="Cambria Math"/>
            <w:noProof/>
            <w:lang w:val="en-US"/>
          </w:rPr>
          <m:t xml:space="preserve"> ≥0,05 m</m:t>
        </m:r>
      </m:oMath>
      <w:r w:rsidR="0090753B" w:rsidRPr="00C903F8">
        <w:rPr>
          <w:noProof/>
          <w:lang w:val="en-US"/>
        </w:rPr>
        <w:t xml:space="preserve"> and the area under the curve shall reach at least</w:t>
      </w:r>
      <w:r w:rsidR="008F4ECC" w:rsidRPr="00C903F8">
        <w:rPr>
          <w:noProof/>
          <w:lang w:val="en-US"/>
        </w:rPr>
        <w:t xml:space="preserve"> </w:t>
      </w:r>
      <m:oMath>
        <m:r>
          <w:rPr>
            <w:rFonts w:ascii="Cambria Math" w:hAnsi="Cambria Math"/>
            <w:noProof/>
            <w:lang w:val="en-US"/>
          </w:rPr>
          <m:t>0,0065 m ∙rad</m:t>
        </m:r>
      </m:oMath>
      <w:r w:rsidR="0090753B" w:rsidRPr="00C903F8">
        <w:rPr>
          <w:noProof/>
          <w:lang w:val="en-US"/>
        </w:rPr>
        <w:t xml:space="preserve"> before the first unprotected opening becomes immersed or a heeling angle </w:t>
      </w:r>
      <m:oMath>
        <m:r>
          <w:rPr>
            <w:rFonts w:ascii="Cambria Math" w:hAnsi="Cambria Math"/>
            <w:noProof/>
            <w:lang w:val="en-US"/>
          </w:rPr>
          <m:t>φ</m:t>
        </m:r>
      </m:oMath>
      <w:r w:rsidR="0090753B" w:rsidRPr="00C903F8">
        <w:rPr>
          <w:noProof/>
          <w:lang w:val="en-US"/>
        </w:rPr>
        <w:t xml:space="preserve"> of 27° (10° where containers are not secured) is reached</w:t>
      </w:r>
      <w:r w:rsidR="003D2D08" w:rsidRPr="00C903F8">
        <w:rPr>
          <w:noProof/>
          <w:lang w:val="en-US"/>
        </w:rPr>
        <w:t>.</w:t>
      </w:r>
    </w:p>
    <w:p w:rsidR="004A75F7" w:rsidRPr="00C903F8" w:rsidRDefault="004A75F7" w:rsidP="001E7C77">
      <w:pPr>
        <w:pStyle w:val="ESch"/>
        <w:rPr>
          <w:noProof/>
          <w:szCs w:val="20"/>
          <w:lang w:val="en-US"/>
        </w:rPr>
      </w:pPr>
    </w:p>
    <w:p w:rsidR="001E7C77" w:rsidRPr="00C903F8" w:rsidRDefault="006A4701" w:rsidP="006A4701">
      <w:pPr>
        <w:pStyle w:val="ESch"/>
        <w:ind w:firstLine="0"/>
        <w:jc w:val="center"/>
        <w:rPr>
          <w:noProof/>
          <w:szCs w:val="20"/>
          <w:lang w:val="en-US"/>
        </w:rPr>
      </w:pPr>
      <w:r w:rsidRPr="00C903F8">
        <w:rPr>
          <w:noProof/>
          <w:szCs w:val="20"/>
        </w:rPr>
        <w:drawing>
          <wp:inline distT="0" distB="0" distL="0" distR="0" wp14:anchorId="6D2233EA" wp14:editId="542E7C69">
            <wp:extent cx="4782312" cy="2740152"/>
            <wp:effectExtent l="0" t="0" r="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ES_Trin_courbe_28_03_6c_en.jpg"/>
                    <pic:cNvPicPr/>
                  </pic:nvPicPr>
                  <pic:blipFill>
                    <a:blip r:embed="rId25">
                      <a:extLst>
                        <a:ext uri="{28A0092B-C50C-407E-A947-70E740481C1C}">
                          <a14:useLocalDpi xmlns:a14="http://schemas.microsoft.com/office/drawing/2010/main" val="0"/>
                        </a:ext>
                      </a:extLst>
                    </a:blip>
                    <a:stretch>
                      <a:fillRect/>
                    </a:stretch>
                  </pic:blipFill>
                  <pic:spPr>
                    <a:xfrm>
                      <a:off x="0" y="0"/>
                      <a:ext cx="4782312" cy="2740152"/>
                    </a:xfrm>
                    <a:prstGeom prst="rect">
                      <a:avLst/>
                    </a:prstGeom>
                  </pic:spPr>
                </pic:pic>
              </a:graphicData>
            </a:graphic>
          </wp:inline>
        </w:drawing>
      </w:r>
    </w:p>
    <w:p w:rsidR="00001079" w:rsidRPr="00C903F8" w:rsidRDefault="00001079" w:rsidP="00894C4D">
      <w:pPr>
        <w:pStyle w:val="ESlet"/>
        <w:rPr>
          <w:noProof/>
          <w:lang w:val="en-US"/>
        </w:rPr>
      </w:pPr>
    </w:p>
    <w:p w:rsidR="0090753B" w:rsidRPr="00C903F8" w:rsidRDefault="0029453D" w:rsidP="00894C4D">
      <w:pPr>
        <w:pStyle w:val="ESlet"/>
        <w:rPr>
          <w:noProof/>
          <w:lang w:val="en-US"/>
        </w:rPr>
      </w:pPr>
      <w:r w:rsidRPr="00C903F8">
        <w:rPr>
          <w:noProof/>
          <w:lang w:val="en-US"/>
        </w:rPr>
        <w:t>d)</w:t>
      </w:r>
      <w:r w:rsidR="0090753B" w:rsidRPr="00C903F8">
        <w:rPr>
          <w:noProof/>
          <w:lang w:val="en-US"/>
        </w:rPr>
        <w:tab/>
      </w:r>
      <w:r w:rsidR="003D2D08" w:rsidRPr="00C903F8">
        <w:rPr>
          <w:noProof/>
          <w:lang w:val="en-US"/>
        </w:rPr>
        <w:t>I</w:t>
      </w:r>
      <w:r w:rsidR="0090753B" w:rsidRPr="00C903F8">
        <w:rPr>
          <w:noProof/>
          <w:lang w:val="en-US"/>
        </w:rPr>
        <w:t>f non-watertight openings are immersed before the equilibrium position is reached, the rooms affording access shall be deemed flooded for the purposes of the damage stability calculation.</w:t>
      </w:r>
    </w:p>
    <w:p w:rsidR="00310312" w:rsidRPr="00C903F8" w:rsidRDefault="00310312" w:rsidP="0090753B">
      <w:pPr>
        <w:pStyle w:val="ESch"/>
        <w:rPr>
          <w:noProof/>
          <w:szCs w:val="20"/>
          <w:lang w:val="en-US"/>
        </w:rPr>
      </w:pPr>
    </w:p>
    <w:p w:rsidR="0090753B" w:rsidRPr="00C903F8" w:rsidRDefault="0090753B" w:rsidP="0090753B">
      <w:pPr>
        <w:pStyle w:val="ESch"/>
        <w:rPr>
          <w:noProof/>
          <w:szCs w:val="20"/>
          <w:lang w:val="en-US"/>
        </w:rPr>
      </w:pPr>
      <w:r w:rsidRPr="00C903F8">
        <w:rPr>
          <w:noProof/>
          <w:szCs w:val="20"/>
          <w:lang w:val="en-US"/>
        </w:rPr>
        <w:t>7.</w:t>
      </w:r>
      <w:r w:rsidRPr="00C903F8">
        <w:rPr>
          <w:noProof/>
          <w:szCs w:val="20"/>
          <w:lang w:val="en-US"/>
        </w:rPr>
        <w:tab/>
        <w:t>If cross-flood openings to reduce asymmetrical flooding are provided, the following conditions shall be met:</w:t>
      </w:r>
    </w:p>
    <w:p w:rsidR="0090753B" w:rsidRPr="00C903F8" w:rsidRDefault="005C7859" w:rsidP="00310312">
      <w:pPr>
        <w:pStyle w:val="ESlet"/>
        <w:rPr>
          <w:noProof/>
          <w:lang w:val="en-US"/>
        </w:rPr>
      </w:pPr>
      <w:r w:rsidRPr="00C903F8">
        <w:rPr>
          <w:noProof/>
          <w:lang w:val="en-US"/>
        </w:rPr>
        <w:t>a)</w:t>
      </w:r>
      <w:r w:rsidR="0090753B" w:rsidRPr="00C903F8">
        <w:rPr>
          <w:noProof/>
          <w:lang w:val="en-US"/>
        </w:rPr>
        <w:tab/>
        <w:t>for the calculation of cross-flooding, IMO Resolution A.266 (VIII) shall be applied;</w:t>
      </w:r>
    </w:p>
    <w:p w:rsidR="0090753B" w:rsidRPr="00C903F8" w:rsidRDefault="005C7859" w:rsidP="00310312">
      <w:pPr>
        <w:pStyle w:val="ESlet"/>
        <w:rPr>
          <w:noProof/>
          <w:lang w:val="en-US"/>
        </w:rPr>
      </w:pPr>
      <w:r w:rsidRPr="00C903F8">
        <w:rPr>
          <w:noProof/>
          <w:lang w:val="en-US"/>
        </w:rPr>
        <w:t>b)</w:t>
      </w:r>
      <w:r w:rsidR="0090753B" w:rsidRPr="00C903F8">
        <w:rPr>
          <w:noProof/>
          <w:lang w:val="en-US"/>
        </w:rPr>
        <w:tab/>
        <w:t>they shall be self-acting;</w:t>
      </w:r>
    </w:p>
    <w:p w:rsidR="0090753B" w:rsidRPr="00C903F8" w:rsidRDefault="005C7859" w:rsidP="00310312">
      <w:pPr>
        <w:pStyle w:val="ESlet"/>
        <w:rPr>
          <w:noProof/>
          <w:lang w:val="en-US"/>
        </w:rPr>
      </w:pPr>
      <w:r w:rsidRPr="00C903F8">
        <w:rPr>
          <w:noProof/>
          <w:lang w:val="en-US"/>
        </w:rPr>
        <w:t>c)</w:t>
      </w:r>
      <w:r w:rsidR="0090753B" w:rsidRPr="00C903F8">
        <w:rPr>
          <w:noProof/>
          <w:lang w:val="en-US"/>
        </w:rPr>
        <w:tab/>
        <w:t>they shall not be equipped with shut-off devices;</w:t>
      </w:r>
    </w:p>
    <w:p w:rsidR="0090753B" w:rsidRPr="00C903F8" w:rsidRDefault="0029453D" w:rsidP="00310312">
      <w:pPr>
        <w:pStyle w:val="ESlet"/>
        <w:rPr>
          <w:noProof/>
          <w:lang w:val="en-US"/>
        </w:rPr>
      </w:pPr>
      <w:r w:rsidRPr="00C903F8">
        <w:rPr>
          <w:noProof/>
          <w:lang w:val="en-US"/>
        </w:rPr>
        <w:t>d)</w:t>
      </w:r>
      <w:r w:rsidR="0090753B" w:rsidRPr="00C903F8">
        <w:rPr>
          <w:noProof/>
          <w:lang w:val="en-US"/>
        </w:rPr>
        <w:tab/>
      </w:r>
      <w:r w:rsidR="00911CA4" w:rsidRPr="00C903F8">
        <w:rPr>
          <w:noProof/>
          <w:lang w:val="en-US"/>
        </w:rPr>
        <w:t>t</w:t>
      </w:r>
      <w:r w:rsidR="0090753B" w:rsidRPr="00C903F8">
        <w:rPr>
          <w:noProof/>
          <w:lang w:val="en-US"/>
        </w:rPr>
        <w:t>he total time allowed for equalisation shall not exceed 15 minutes.</w:t>
      </w:r>
    </w:p>
    <w:p w:rsidR="00310312" w:rsidRPr="00C903F8" w:rsidRDefault="00310312" w:rsidP="0090753B">
      <w:pPr>
        <w:pStyle w:val="ESch"/>
        <w:rPr>
          <w:noProof/>
          <w:szCs w:val="20"/>
          <w:lang w:val="en-US"/>
        </w:rPr>
      </w:pPr>
    </w:p>
    <w:p w:rsidR="0090753B" w:rsidRPr="00C903F8" w:rsidRDefault="0090753B" w:rsidP="0090753B">
      <w:pPr>
        <w:pStyle w:val="ESch"/>
        <w:rPr>
          <w:noProof/>
          <w:szCs w:val="20"/>
          <w:lang w:val="en-US"/>
        </w:rPr>
      </w:pPr>
      <w:r w:rsidRPr="00C903F8">
        <w:rPr>
          <w:noProof/>
          <w:szCs w:val="20"/>
          <w:lang w:val="en-US"/>
        </w:rPr>
        <w:t>8.</w:t>
      </w:r>
      <w:r w:rsidRPr="00C903F8">
        <w:rPr>
          <w:noProof/>
          <w:szCs w:val="20"/>
          <w:lang w:val="en-US"/>
        </w:rPr>
        <w:tab/>
        <w:t>If openings through which undamaged compartments may additionally become flooded are capable of being closed watertight, the shut-off devices shall bear the following readily legible instruction on both sides:</w:t>
      </w:r>
    </w:p>
    <w:p w:rsidR="0090753B" w:rsidRPr="00C903F8" w:rsidRDefault="007E1D94" w:rsidP="00B006DB">
      <w:pPr>
        <w:pStyle w:val="ESlet"/>
        <w:jc w:val="center"/>
        <w:rPr>
          <w:noProof/>
          <w:lang w:val="en-US"/>
        </w:rPr>
      </w:pPr>
      <w:r w:rsidRPr="00C903F8">
        <w:rPr>
          <w:noProof/>
          <w:lang w:val="en-US"/>
        </w:rPr>
        <w:t>’</w:t>
      </w:r>
      <w:r w:rsidR="0090753B" w:rsidRPr="00C903F8">
        <w:rPr>
          <w:noProof/>
          <w:lang w:val="en-US"/>
        </w:rPr>
        <w:t>Close immediately after passage</w:t>
      </w:r>
      <w:r w:rsidRPr="00C903F8">
        <w:rPr>
          <w:noProof/>
          <w:lang w:val="en-US"/>
        </w:rPr>
        <w:t>’</w:t>
      </w:r>
      <w:r w:rsidR="0090753B" w:rsidRPr="00C903F8">
        <w:rPr>
          <w:noProof/>
          <w:lang w:val="en-US"/>
        </w:rPr>
        <w:t>.</w:t>
      </w:r>
    </w:p>
    <w:p w:rsidR="00310312" w:rsidRPr="00C903F8" w:rsidRDefault="00310312" w:rsidP="0090753B">
      <w:pPr>
        <w:pStyle w:val="ESch"/>
        <w:rPr>
          <w:noProof/>
          <w:szCs w:val="20"/>
          <w:lang w:val="en-US"/>
        </w:rPr>
      </w:pPr>
    </w:p>
    <w:p w:rsidR="0090753B" w:rsidRPr="00C903F8" w:rsidRDefault="0090753B" w:rsidP="0090753B">
      <w:pPr>
        <w:pStyle w:val="ESch"/>
        <w:rPr>
          <w:noProof/>
          <w:szCs w:val="20"/>
          <w:lang w:val="en-US"/>
        </w:rPr>
      </w:pPr>
      <w:r w:rsidRPr="00C903F8">
        <w:rPr>
          <w:noProof/>
          <w:szCs w:val="20"/>
          <w:lang w:val="en-US"/>
        </w:rPr>
        <w:t>9.</w:t>
      </w:r>
      <w:r w:rsidRPr="00C903F8">
        <w:rPr>
          <w:noProof/>
          <w:szCs w:val="20"/>
          <w:lang w:val="en-US"/>
        </w:rPr>
        <w:tab/>
        <w:t xml:space="preserve">The proof by calculation in accordance with </w:t>
      </w:r>
      <w:r w:rsidR="007E1D94" w:rsidRPr="00C903F8">
        <w:rPr>
          <w:noProof/>
          <w:szCs w:val="20"/>
          <w:lang w:val="en-US"/>
        </w:rPr>
        <w:t>(</w:t>
      </w:r>
      <w:r w:rsidRPr="00C903F8">
        <w:rPr>
          <w:noProof/>
          <w:szCs w:val="20"/>
          <w:lang w:val="en-US"/>
        </w:rPr>
        <w:t>3</w:t>
      </w:r>
      <w:r w:rsidR="007E1D94" w:rsidRPr="00C903F8">
        <w:rPr>
          <w:noProof/>
          <w:szCs w:val="20"/>
          <w:lang w:val="en-US"/>
        </w:rPr>
        <w:t>)</w:t>
      </w:r>
      <w:r w:rsidRPr="00C903F8">
        <w:rPr>
          <w:noProof/>
          <w:szCs w:val="20"/>
          <w:lang w:val="en-US"/>
        </w:rPr>
        <w:t xml:space="preserve"> to </w:t>
      </w:r>
      <w:r w:rsidR="007E1D94" w:rsidRPr="00C903F8">
        <w:rPr>
          <w:noProof/>
          <w:szCs w:val="20"/>
          <w:lang w:val="en-US"/>
        </w:rPr>
        <w:t>(</w:t>
      </w:r>
      <w:r w:rsidRPr="00C903F8">
        <w:rPr>
          <w:noProof/>
          <w:szCs w:val="20"/>
          <w:lang w:val="en-US"/>
        </w:rPr>
        <w:t>7</w:t>
      </w:r>
      <w:r w:rsidR="007E1D94" w:rsidRPr="00C903F8">
        <w:rPr>
          <w:noProof/>
          <w:szCs w:val="20"/>
          <w:lang w:val="en-US"/>
        </w:rPr>
        <w:t>)</w:t>
      </w:r>
      <w:r w:rsidRPr="00C903F8">
        <w:rPr>
          <w:noProof/>
          <w:szCs w:val="20"/>
          <w:lang w:val="en-US"/>
        </w:rPr>
        <w:t xml:space="preserve"> shall be considered to have been provided if damage stability calculations in accordance with Part 9 of the ADN are produced with a positive result.</w:t>
      </w:r>
    </w:p>
    <w:p w:rsidR="00310312" w:rsidRPr="00C903F8" w:rsidRDefault="00310312" w:rsidP="0090753B">
      <w:pPr>
        <w:pStyle w:val="ESch"/>
        <w:rPr>
          <w:noProof/>
          <w:szCs w:val="20"/>
          <w:lang w:val="en-US"/>
        </w:rPr>
      </w:pPr>
    </w:p>
    <w:p w:rsidR="0090753B" w:rsidRPr="00C903F8" w:rsidRDefault="0090753B" w:rsidP="0090753B">
      <w:pPr>
        <w:pStyle w:val="ESch"/>
        <w:rPr>
          <w:noProof/>
          <w:szCs w:val="20"/>
          <w:lang w:val="en-US"/>
        </w:rPr>
      </w:pPr>
      <w:r w:rsidRPr="00C903F8">
        <w:rPr>
          <w:noProof/>
          <w:szCs w:val="20"/>
          <w:lang w:val="en-US"/>
        </w:rPr>
        <w:t>10.</w:t>
      </w:r>
      <w:r w:rsidRPr="00C903F8">
        <w:rPr>
          <w:noProof/>
          <w:szCs w:val="20"/>
          <w:lang w:val="en-US"/>
        </w:rPr>
        <w:tab/>
        <w:t xml:space="preserve">Where necessary in order to meet the requirements in </w:t>
      </w:r>
      <w:r w:rsidR="007E1D94" w:rsidRPr="00C903F8">
        <w:rPr>
          <w:noProof/>
          <w:szCs w:val="20"/>
          <w:lang w:val="en-US"/>
        </w:rPr>
        <w:t>(</w:t>
      </w:r>
      <w:r w:rsidRPr="00C903F8">
        <w:rPr>
          <w:noProof/>
          <w:szCs w:val="20"/>
          <w:lang w:val="en-US"/>
        </w:rPr>
        <w:t>3</w:t>
      </w:r>
      <w:r w:rsidR="007E1D94" w:rsidRPr="00C903F8">
        <w:rPr>
          <w:noProof/>
          <w:szCs w:val="20"/>
          <w:lang w:val="en-US"/>
        </w:rPr>
        <w:t>)</w:t>
      </w:r>
      <w:r w:rsidRPr="00C903F8">
        <w:rPr>
          <w:noProof/>
          <w:szCs w:val="20"/>
          <w:lang w:val="en-US"/>
        </w:rPr>
        <w:t>, the plane of maximum draught shall be re-established.</w:t>
      </w:r>
    </w:p>
    <w:p w:rsidR="0090753B" w:rsidRPr="00C903F8" w:rsidRDefault="0090753B" w:rsidP="0090753B">
      <w:pPr>
        <w:pStyle w:val="ESch"/>
        <w:rPr>
          <w:rFonts w:cs="Arial"/>
          <w:szCs w:val="20"/>
          <w:lang w:val="en-US"/>
        </w:rPr>
      </w:pPr>
    </w:p>
    <w:p w:rsidR="00310312" w:rsidRPr="00C903F8" w:rsidRDefault="00310312" w:rsidP="0090753B">
      <w:pPr>
        <w:pStyle w:val="ESch"/>
        <w:rPr>
          <w:rFonts w:cs="Arial"/>
          <w:szCs w:val="20"/>
          <w:lang w:val="en-US"/>
        </w:rPr>
      </w:pPr>
    </w:p>
    <w:p w:rsidR="00310312" w:rsidRPr="00C903F8" w:rsidRDefault="00310312" w:rsidP="0090753B">
      <w:pPr>
        <w:pStyle w:val="ESch"/>
        <w:rPr>
          <w:rFonts w:cs="Arial"/>
          <w:szCs w:val="20"/>
          <w:lang w:val="en-US"/>
        </w:rPr>
      </w:pPr>
      <w:r w:rsidRPr="00C903F8">
        <w:rPr>
          <w:rFonts w:cs="Arial"/>
          <w:szCs w:val="20"/>
          <w:lang w:val="en-US"/>
        </w:rPr>
        <w:br w:type="page"/>
      </w:r>
    </w:p>
    <w:p w:rsidR="0090753B" w:rsidRPr="00C903F8" w:rsidRDefault="0090753B" w:rsidP="00310312">
      <w:pPr>
        <w:pStyle w:val="ES-Titre3"/>
        <w:rPr>
          <w:i/>
          <w:noProof/>
          <w:lang w:val="en-US"/>
        </w:rPr>
      </w:pPr>
      <w:bookmarkStart w:id="259" w:name="_Toc491854247"/>
      <w:r w:rsidRPr="00C903F8">
        <w:rPr>
          <w:noProof/>
          <w:lang w:val="en-US"/>
        </w:rPr>
        <w:lastRenderedPageBreak/>
        <w:t>Article 28.04</w:t>
      </w:r>
      <w:r w:rsidRPr="00C903F8">
        <w:rPr>
          <w:noProof/>
          <w:lang w:val="en-US"/>
        </w:rPr>
        <w:br/>
      </w:r>
      <w:r w:rsidRPr="00C903F8">
        <w:rPr>
          <w:i/>
          <w:noProof/>
          <w:lang w:val="en-US"/>
        </w:rPr>
        <w:t>Additional requirements</w:t>
      </w:r>
      <w:bookmarkEnd w:id="259"/>
    </w:p>
    <w:p w:rsidR="00310312" w:rsidRPr="00C903F8" w:rsidRDefault="00310312" w:rsidP="0090753B">
      <w:pPr>
        <w:pStyle w:val="ESch"/>
        <w:rPr>
          <w:b/>
          <w:noProof/>
          <w:szCs w:val="20"/>
          <w:lang w:val="en-US"/>
        </w:rPr>
      </w:pPr>
    </w:p>
    <w:p w:rsidR="0090753B" w:rsidRPr="00C903F8" w:rsidRDefault="0090753B" w:rsidP="0090753B">
      <w:pPr>
        <w:pStyle w:val="ESch"/>
        <w:rPr>
          <w:noProof/>
          <w:szCs w:val="20"/>
          <w:lang w:val="en-US"/>
        </w:rPr>
      </w:pPr>
      <w:r w:rsidRPr="00C903F8">
        <w:rPr>
          <w:noProof/>
          <w:szCs w:val="20"/>
          <w:lang w:val="en-US"/>
        </w:rPr>
        <w:t>1.</w:t>
      </w:r>
      <w:r w:rsidRPr="00C903F8">
        <w:rPr>
          <w:noProof/>
          <w:szCs w:val="20"/>
          <w:lang w:val="en-US"/>
        </w:rPr>
        <w:tab/>
        <w:t xml:space="preserve">Craft whose length </w:t>
      </w:r>
      <m:oMath>
        <m:r>
          <w:rPr>
            <w:rFonts w:ascii="Cambria Math" w:hAnsi="Cambria Math"/>
            <w:noProof/>
            <w:szCs w:val="20"/>
            <w:lang w:val="en-US"/>
          </w:rPr>
          <m:t>L</m:t>
        </m:r>
      </m:oMath>
      <w:r w:rsidRPr="00C903F8">
        <w:rPr>
          <w:noProof/>
          <w:szCs w:val="20"/>
          <w:lang w:val="en-US"/>
        </w:rPr>
        <w:t xml:space="preserve"> exceeds 110 m shall:</w:t>
      </w:r>
    </w:p>
    <w:p w:rsidR="00AD176C" w:rsidRPr="00C903F8" w:rsidRDefault="005C7859" w:rsidP="00310312">
      <w:pPr>
        <w:pStyle w:val="ESlet"/>
        <w:rPr>
          <w:noProof/>
          <w:lang w:val="en-US"/>
        </w:rPr>
      </w:pPr>
      <w:r w:rsidRPr="00C903F8">
        <w:rPr>
          <w:noProof/>
          <w:lang w:val="en-US"/>
        </w:rPr>
        <w:t>a)</w:t>
      </w:r>
      <w:r w:rsidR="0090753B" w:rsidRPr="00C903F8">
        <w:rPr>
          <w:noProof/>
          <w:lang w:val="en-US"/>
        </w:rPr>
        <w:tab/>
        <w:t xml:space="preserve">be fitted with a multi-propeller propulsion system, with at least two independent engines of equal power and a bow thruster that is controlled from the wheelhouse and is also effective when the craft is in an unladen state; </w:t>
      </w:r>
    </w:p>
    <w:p w:rsidR="0090753B" w:rsidRPr="00C903F8" w:rsidRDefault="0090753B" w:rsidP="00AD176C">
      <w:pPr>
        <w:pStyle w:val="ESletpar"/>
        <w:rPr>
          <w:noProof/>
          <w:lang w:val="en-US"/>
        </w:rPr>
      </w:pPr>
      <w:r w:rsidRPr="00C903F8">
        <w:rPr>
          <w:noProof/>
          <w:lang w:val="en-US"/>
        </w:rPr>
        <w:t>or</w:t>
      </w:r>
    </w:p>
    <w:p w:rsidR="0090753B" w:rsidRPr="00C903F8" w:rsidRDefault="0090753B" w:rsidP="00310312">
      <w:pPr>
        <w:pStyle w:val="ESletpar"/>
        <w:rPr>
          <w:noProof/>
          <w:lang w:val="en-US"/>
        </w:rPr>
      </w:pPr>
      <w:r w:rsidRPr="00C903F8">
        <w:rPr>
          <w:noProof/>
          <w:lang w:val="en-US"/>
        </w:rPr>
        <w:t>have a single-propeller propulsion system and a bow thruster that is controlled from the wheelhouse with its own power supply and which is also effective when the craft is in an unladen state and makes it possible for the craft to proceed under its own power in the event of a breakdown of the main propulsion system;</w:t>
      </w:r>
    </w:p>
    <w:p w:rsidR="0090753B" w:rsidRPr="00C903F8" w:rsidRDefault="005C7859" w:rsidP="00310312">
      <w:pPr>
        <w:pStyle w:val="ESlet"/>
        <w:rPr>
          <w:noProof/>
          <w:lang w:val="en-US"/>
        </w:rPr>
      </w:pPr>
      <w:r w:rsidRPr="00C903F8">
        <w:rPr>
          <w:noProof/>
          <w:lang w:val="en-US"/>
        </w:rPr>
        <w:t>b)</w:t>
      </w:r>
      <w:r w:rsidR="0090753B" w:rsidRPr="00C903F8">
        <w:rPr>
          <w:noProof/>
          <w:lang w:val="en-US"/>
        </w:rPr>
        <w:tab/>
        <w:t xml:space="preserve">be fitted with a </w:t>
      </w:r>
      <w:r w:rsidR="005E325D" w:rsidRPr="00C903F8">
        <w:rPr>
          <w:noProof/>
          <w:lang w:val="en-US"/>
        </w:rPr>
        <w:t xml:space="preserve">navigational </w:t>
      </w:r>
      <w:r w:rsidR="0090753B" w:rsidRPr="00C903F8">
        <w:rPr>
          <w:noProof/>
          <w:lang w:val="en-US"/>
        </w:rPr>
        <w:t xml:space="preserve">radar </w:t>
      </w:r>
      <w:r w:rsidR="005E325D" w:rsidRPr="00C903F8">
        <w:rPr>
          <w:noProof/>
          <w:lang w:val="en-US"/>
        </w:rPr>
        <w:t>installation</w:t>
      </w:r>
      <w:r w:rsidR="0090753B" w:rsidRPr="00C903F8">
        <w:rPr>
          <w:noProof/>
          <w:lang w:val="en-US"/>
        </w:rPr>
        <w:t>, together with a rate-of-turn indicator in accordance with Article 7.06(1);</w:t>
      </w:r>
    </w:p>
    <w:p w:rsidR="0090753B" w:rsidRPr="00C903F8" w:rsidRDefault="005C7859" w:rsidP="00310312">
      <w:pPr>
        <w:pStyle w:val="ESlet"/>
        <w:rPr>
          <w:noProof/>
          <w:lang w:val="en-US"/>
        </w:rPr>
      </w:pPr>
      <w:r w:rsidRPr="00C903F8">
        <w:rPr>
          <w:noProof/>
          <w:lang w:val="en-US"/>
        </w:rPr>
        <w:t>c)</w:t>
      </w:r>
      <w:r w:rsidR="0090753B" w:rsidRPr="00C903F8">
        <w:rPr>
          <w:noProof/>
          <w:lang w:val="en-US"/>
        </w:rPr>
        <w:tab/>
        <w:t>have a permanently-installed bilge pumping system in accordance with Article 8.08;</w:t>
      </w:r>
    </w:p>
    <w:p w:rsidR="0090753B" w:rsidRPr="00C903F8" w:rsidRDefault="0029453D" w:rsidP="00310312">
      <w:pPr>
        <w:pStyle w:val="ESlet"/>
        <w:rPr>
          <w:noProof/>
          <w:lang w:val="en-US"/>
        </w:rPr>
      </w:pPr>
      <w:r w:rsidRPr="00C903F8">
        <w:rPr>
          <w:noProof/>
          <w:lang w:val="en-US"/>
        </w:rPr>
        <w:t>d)</w:t>
      </w:r>
      <w:r w:rsidR="0090753B" w:rsidRPr="00C903F8">
        <w:rPr>
          <w:noProof/>
          <w:lang w:val="en-US"/>
        </w:rPr>
        <w:tab/>
        <w:t>meet the requirements of Article 31.09(1</w:t>
      </w:r>
      <w:r w:rsidR="00A04850" w:rsidRPr="00C903F8">
        <w:rPr>
          <w:noProof/>
          <w:lang w:val="en-US"/>
        </w:rPr>
        <w:t>.</w:t>
      </w:r>
      <w:r w:rsidR="0090753B" w:rsidRPr="00C903F8">
        <w:rPr>
          <w:noProof/>
          <w:lang w:val="en-US"/>
        </w:rPr>
        <w:t>1).</w:t>
      </w:r>
    </w:p>
    <w:p w:rsidR="00310312" w:rsidRPr="00C903F8" w:rsidRDefault="00310312" w:rsidP="0090753B">
      <w:pPr>
        <w:pStyle w:val="ESch"/>
        <w:rPr>
          <w:noProof/>
          <w:szCs w:val="20"/>
          <w:lang w:val="en-US"/>
        </w:rPr>
      </w:pPr>
    </w:p>
    <w:p w:rsidR="0090753B" w:rsidRPr="00C903F8" w:rsidRDefault="0090753B" w:rsidP="0090753B">
      <w:pPr>
        <w:pStyle w:val="ESch"/>
        <w:rPr>
          <w:noProof/>
          <w:szCs w:val="20"/>
          <w:lang w:val="en-US"/>
        </w:rPr>
      </w:pPr>
      <w:r w:rsidRPr="00C903F8">
        <w:rPr>
          <w:noProof/>
          <w:szCs w:val="20"/>
          <w:lang w:val="en-US"/>
        </w:rPr>
        <w:t>2.</w:t>
      </w:r>
      <w:r w:rsidRPr="00C903F8">
        <w:rPr>
          <w:noProof/>
          <w:szCs w:val="20"/>
          <w:lang w:val="en-US"/>
        </w:rPr>
        <w:tab/>
      </w:r>
      <w:r w:rsidR="00FC5FF6">
        <w:rPr>
          <w:noProof/>
          <w:szCs w:val="20"/>
          <w:lang w:val="en-US"/>
        </w:rPr>
        <w:t>B</w:t>
      </w:r>
      <w:r w:rsidR="00FC5FF6" w:rsidRPr="000C65B1">
        <w:rPr>
          <w:noProof/>
          <w:szCs w:val="20"/>
          <w:lang w:val="en-US"/>
        </w:rPr>
        <w:t>y way of derogation from (</w:t>
      </w:r>
      <w:r w:rsidR="00FC5FF6">
        <w:rPr>
          <w:noProof/>
          <w:szCs w:val="20"/>
          <w:lang w:val="en-US"/>
        </w:rPr>
        <w:t>1</w:t>
      </w:r>
      <w:r w:rsidR="00FC5FF6" w:rsidRPr="000C65B1">
        <w:rPr>
          <w:noProof/>
          <w:szCs w:val="20"/>
          <w:lang w:val="en-US"/>
        </w:rPr>
        <w:t xml:space="preserve">) and having </w:t>
      </w:r>
      <w:r w:rsidR="00FC5FF6" w:rsidRPr="00475DD2">
        <w:rPr>
          <w:noProof/>
          <w:szCs w:val="20"/>
          <w:lang w:val="en-US"/>
        </w:rPr>
        <w:t xml:space="preserve">regard to the </w:t>
      </w:r>
      <w:r w:rsidR="00FC5FF6" w:rsidRPr="00475DD2">
        <w:rPr>
          <w:szCs w:val="20"/>
          <w:lang w:val="en-US"/>
        </w:rPr>
        <w:t>applicable navigational authority regulations for certain areas of navigation</w:t>
      </w:r>
      <w:r w:rsidR="00FC5FF6" w:rsidRPr="00475DD2">
        <w:rPr>
          <w:noProof/>
          <w:szCs w:val="20"/>
          <w:lang w:val="en-US"/>
        </w:rPr>
        <w:t xml:space="preserve"> in the Member States, for craft, except passenger vessels, with a length </w:t>
      </w:r>
      <m:oMath>
        <m:r>
          <w:rPr>
            <w:rFonts w:ascii="Cambria Math" w:hAnsi="Cambria Math"/>
            <w:noProof/>
            <w:szCs w:val="20"/>
            <w:lang w:val="en-US"/>
          </w:rPr>
          <m:t>L</m:t>
        </m:r>
      </m:oMath>
      <w:r w:rsidR="00FC5FF6" w:rsidRPr="00475DD2">
        <w:rPr>
          <w:noProof/>
          <w:szCs w:val="20"/>
          <w:lang w:val="en-US"/>
        </w:rPr>
        <w:t xml:space="preserve"> of more than 110 m, which:</w:t>
      </w:r>
    </w:p>
    <w:p w:rsidR="00FC5FF6" w:rsidRDefault="005C7859" w:rsidP="00310312">
      <w:pPr>
        <w:pStyle w:val="ESlet"/>
        <w:rPr>
          <w:noProof/>
          <w:lang w:val="en-US"/>
        </w:rPr>
      </w:pPr>
      <w:r w:rsidRPr="00C903F8">
        <w:rPr>
          <w:noProof/>
          <w:lang w:val="en-US"/>
        </w:rPr>
        <w:t>a)</w:t>
      </w:r>
      <w:r w:rsidR="00FC5FF6">
        <w:rPr>
          <w:noProof/>
          <w:lang w:val="en-US"/>
        </w:rPr>
        <w:tab/>
      </w:r>
      <w:r w:rsidR="00FC5FF6" w:rsidRPr="00475DD2">
        <w:rPr>
          <w:noProof/>
          <w:lang w:val="en-US"/>
        </w:rPr>
        <w:t>comply with (1)(a) to (d);</w:t>
      </w:r>
    </w:p>
    <w:p w:rsidR="0090753B" w:rsidRPr="00C903F8" w:rsidRDefault="00FC5FF6" w:rsidP="00310312">
      <w:pPr>
        <w:pStyle w:val="ESlet"/>
        <w:rPr>
          <w:noProof/>
          <w:lang w:val="en-US"/>
        </w:rPr>
      </w:pPr>
      <w:r>
        <w:rPr>
          <w:noProof/>
          <w:lang w:val="en-US"/>
        </w:rPr>
        <w:t>b)</w:t>
      </w:r>
      <w:r w:rsidR="0090753B" w:rsidRPr="00C903F8">
        <w:rPr>
          <w:noProof/>
          <w:lang w:val="en-US"/>
        </w:rPr>
        <w:tab/>
        <w:t>are capable of being separated, in the event of an accident, in the middle third of the craft without the use of heavy salvage equipment while the separated parts of the craft shall remain afloat after separation;</w:t>
      </w:r>
    </w:p>
    <w:p w:rsidR="0090753B" w:rsidRPr="00C903F8" w:rsidRDefault="00E56841" w:rsidP="00310312">
      <w:pPr>
        <w:pStyle w:val="ESlet"/>
        <w:rPr>
          <w:noProof/>
          <w:lang w:val="en-US"/>
        </w:rPr>
      </w:pPr>
      <w:r>
        <w:rPr>
          <w:noProof/>
          <w:lang w:val="en-US"/>
        </w:rPr>
        <w:t>c</w:t>
      </w:r>
      <w:r w:rsidR="005C7859" w:rsidRPr="00C903F8">
        <w:rPr>
          <w:noProof/>
          <w:lang w:val="en-US"/>
        </w:rPr>
        <w:t>)</w:t>
      </w:r>
      <w:r w:rsidR="0090753B" w:rsidRPr="00C903F8">
        <w:rPr>
          <w:noProof/>
          <w:lang w:val="en-US"/>
        </w:rPr>
        <w:tab/>
        <w:t xml:space="preserve">are </w:t>
      </w:r>
      <w:r w:rsidR="00221291" w:rsidRPr="00533168">
        <w:rPr>
          <w:rFonts w:cs="Arial"/>
          <w:iCs/>
          <w:szCs w:val="20"/>
          <w:lang w:val="en-US"/>
        </w:rPr>
        <w:t xml:space="preserve">provided </w:t>
      </w:r>
      <w:r w:rsidR="00221291" w:rsidRPr="006B6215">
        <w:rPr>
          <w:rFonts w:cs="Arial"/>
          <w:iCs/>
          <w:szCs w:val="20"/>
          <w:lang w:val="en-US"/>
        </w:rPr>
        <w:t>with a proof that</w:t>
      </w:r>
      <w:r w:rsidR="00221291" w:rsidRPr="00533168">
        <w:rPr>
          <w:rFonts w:cs="Arial"/>
          <w:iCs/>
          <w:szCs w:val="20"/>
          <w:lang w:val="en-US"/>
        </w:rPr>
        <w:t xml:space="preserve"> shall be carried on board and which is issued by a recognised classification society regarding the buoyancy, trim position and stability of the separate parts of the craft, indicating the degree of loading above which buoyancy of the two parts is no longer ensured</w:t>
      </w:r>
      <w:r w:rsidR="0090753B" w:rsidRPr="00C903F8">
        <w:rPr>
          <w:noProof/>
          <w:lang w:val="en-US"/>
        </w:rPr>
        <w:t>;</w:t>
      </w:r>
    </w:p>
    <w:p w:rsidR="0090753B" w:rsidRPr="00C903F8" w:rsidRDefault="00E56841" w:rsidP="00310312">
      <w:pPr>
        <w:pStyle w:val="ESlet"/>
        <w:rPr>
          <w:rFonts w:cs="Arial"/>
          <w:lang w:val="en-US"/>
        </w:rPr>
      </w:pPr>
      <w:r>
        <w:rPr>
          <w:noProof/>
          <w:lang w:val="en-US"/>
        </w:rPr>
        <w:t>d</w:t>
      </w:r>
      <w:r w:rsidR="005C7859" w:rsidRPr="00C903F8">
        <w:rPr>
          <w:noProof/>
          <w:lang w:val="en-US"/>
        </w:rPr>
        <w:t>)</w:t>
      </w:r>
      <w:r w:rsidR="0090753B" w:rsidRPr="00C903F8">
        <w:rPr>
          <w:noProof/>
          <w:lang w:val="en-US"/>
        </w:rPr>
        <w:tab/>
        <w:t>are built as double-hull vessels in accordance with the ADN, where for motor vessels sections 9.1.0.91 to 9.1.0.95, and for motor tankers paragraph 9.3.2.11.7 and sections 9.3.2.13 to 9.3.2.15 of Part 9 of the ADN shall apply;</w:t>
      </w:r>
    </w:p>
    <w:p w:rsidR="0090753B" w:rsidRPr="00C903F8" w:rsidRDefault="00E56841" w:rsidP="00310312">
      <w:pPr>
        <w:pStyle w:val="ESlet"/>
        <w:rPr>
          <w:rFonts w:cs="Arial"/>
          <w:lang w:val="en-US"/>
        </w:rPr>
      </w:pPr>
      <w:r>
        <w:rPr>
          <w:noProof/>
          <w:lang w:val="en-US"/>
        </w:rPr>
        <w:t>e)</w:t>
      </w:r>
      <w:r w:rsidR="0090753B" w:rsidRPr="00C903F8">
        <w:rPr>
          <w:noProof/>
          <w:lang w:val="en-US"/>
        </w:rPr>
        <w:tab/>
        <w:t xml:space="preserve">are fitted with a multi-propeller propulsion system in accordance with </w:t>
      </w:r>
      <w:r w:rsidR="007E1D94" w:rsidRPr="00C903F8">
        <w:rPr>
          <w:noProof/>
          <w:lang w:val="en-US"/>
        </w:rPr>
        <w:t>(</w:t>
      </w:r>
      <w:r w:rsidR="0090753B" w:rsidRPr="00C903F8">
        <w:rPr>
          <w:noProof/>
          <w:lang w:val="en-US"/>
        </w:rPr>
        <w:t>1</w:t>
      </w:r>
      <w:r w:rsidR="007E1D94" w:rsidRPr="00C903F8">
        <w:rPr>
          <w:noProof/>
          <w:lang w:val="en-US"/>
        </w:rPr>
        <w:t>)</w:t>
      </w:r>
      <w:r w:rsidR="0090753B" w:rsidRPr="00C903F8">
        <w:rPr>
          <w:noProof/>
          <w:lang w:val="en-US"/>
        </w:rPr>
        <w:t>(a), first half sentence;</w:t>
      </w:r>
    </w:p>
    <w:p w:rsidR="00447377" w:rsidRDefault="00447377" w:rsidP="00447377">
      <w:pPr>
        <w:pStyle w:val="ESchpar"/>
        <w:rPr>
          <w:noProof/>
          <w:lang w:val="en-US"/>
        </w:rPr>
      </w:pPr>
    </w:p>
    <w:p w:rsidR="0090753B" w:rsidRPr="00C903F8" w:rsidRDefault="0090753B" w:rsidP="00447377">
      <w:pPr>
        <w:pStyle w:val="ESchpar"/>
        <w:rPr>
          <w:rFonts w:cs="Arial"/>
          <w:lang w:val="en-US"/>
        </w:rPr>
      </w:pPr>
      <w:r w:rsidRPr="00C903F8">
        <w:rPr>
          <w:noProof/>
          <w:lang w:val="en-US"/>
        </w:rPr>
        <w:t>it shall be entered in item 52 of the inland navigation vessel certificate that they comply with all the requirements of (a) to (</w:t>
      </w:r>
      <w:r w:rsidR="00FC5FF6">
        <w:rPr>
          <w:noProof/>
          <w:lang w:val="en-US"/>
        </w:rPr>
        <w:t>e</w:t>
      </w:r>
      <w:r w:rsidRPr="00C903F8">
        <w:rPr>
          <w:noProof/>
          <w:lang w:val="en-US"/>
        </w:rPr>
        <w:t>).</w:t>
      </w:r>
    </w:p>
    <w:p w:rsidR="00310312" w:rsidRPr="00C903F8" w:rsidRDefault="00310312" w:rsidP="0090753B">
      <w:pPr>
        <w:pStyle w:val="ESch"/>
        <w:rPr>
          <w:noProof/>
          <w:szCs w:val="20"/>
          <w:lang w:val="en-US"/>
        </w:rPr>
      </w:pPr>
    </w:p>
    <w:p w:rsidR="0090753B" w:rsidRPr="00C903F8" w:rsidRDefault="0090753B" w:rsidP="0090753B">
      <w:pPr>
        <w:pStyle w:val="ESch"/>
        <w:rPr>
          <w:rFonts w:cs="Arial"/>
          <w:szCs w:val="20"/>
          <w:lang w:val="en-US"/>
        </w:rPr>
      </w:pPr>
      <w:r w:rsidRPr="00C903F8">
        <w:rPr>
          <w:noProof/>
          <w:szCs w:val="20"/>
          <w:lang w:val="en-US"/>
        </w:rPr>
        <w:t>3.</w:t>
      </w:r>
      <w:r w:rsidR="00310312" w:rsidRPr="00C903F8">
        <w:rPr>
          <w:noProof/>
          <w:szCs w:val="20"/>
          <w:lang w:val="en-US"/>
        </w:rPr>
        <w:tab/>
      </w:r>
      <w:r w:rsidR="00FC5FF6" w:rsidRPr="00475DD2">
        <w:rPr>
          <w:noProof/>
          <w:szCs w:val="20"/>
          <w:lang w:val="en-US"/>
        </w:rPr>
        <w:t xml:space="preserve">By way of derogation from (1) and having regard to the </w:t>
      </w:r>
      <w:r w:rsidR="00FC5FF6" w:rsidRPr="00475DD2">
        <w:rPr>
          <w:szCs w:val="20"/>
          <w:lang w:val="en-US"/>
        </w:rPr>
        <w:t>applicable navigational authority regulations for certain areas of navigation</w:t>
      </w:r>
      <w:r w:rsidR="00FC5FF6" w:rsidRPr="00475DD2">
        <w:rPr>
          <w:noProof/>
          <w:szCs w:val="20"/>
          <w:lang w:val="en-US"/>
        </w:rPr>
        <w:t xml:space="preserve"> in the Member States, for passenger vessels with a length </w:t>
      </w:r>
      <m:oMath>
        <m:r>
          <w:rPr>
            <w:rFonts w:ascii="Cambria Math" w:hAnsi="Cambria Math"/>
            <w:noProof/>
            <w:szCs w:val="20"/>
            <w:lang w:val="en-US"/>
          </w:rPr>
          <m:t>L</m:t>
        </m:r>
      </m:oMath>
      <w:r w:rsidR="00FC5FF6" w:rsidRPr="00475DD2">
        <w:rPr>
          <w:noProof/>
          <w:szCs w:val="20"/>
          <w:lang w:val="en-US"/>
        </w:rPr>
        <w:t xml:space="preserve"> of more than 110 m which:</w:t>
      </w:r>
    </w:p>
    <w:p w:rsidR="00FC5FF6" w:rsidRDefault="00FC5FF6" w:rsidP="00310312">
      <w:pPr>
        <w:pStyle w:val="ESlet"/>
        <w:rPr>
          <w:noProof/>
          <w:lang w:val="en-US"/>
        </w:rPr>
      </w:pPr>
      <w:r>
        <w:rPr>
          <w:noProof/>
          <w:lang w:val="en-US"/>
        </w:rPr>
        <w:t>a)</w:t>
      </w:r>
      <w:r>
        <w:rPr>
          <w:noProof/>
          <w:lang w:val="en-US"/>
        </w:rPr>
        <w:tab/>
        <w:t>comply with (1)(a) to (d);</w:t>
      </w:r>
    </w:p>
    <w:p w:rsidR="0090753B" w:rsidRPr="00C903F8" w:rsidRDefault="00FC5FF6" w:rsidP="00310312">
      <w:pPr>
        <w:pStyle w:val="ESlet"/>
        <w:rPr>
          <w:rFonts w:cs="Arial"/>
          <w:lang w:val="en-US"/>
        </w:rPr>
      </w:pPr>
      <w:r>
        <w:rPr>
          <w:noProof/>
          <w:lang w:val="en-US"/>
        </w:rPr>
        <w:t>b</w:t>
      </w:r>
      <w:r w:rsidR="005C7859" w:rsidRPr="00C903F8">
        <w:rPr>
          <w:noProof/>
          <w:lang w:val="en-US"/>
        </w:rPr>
        <w:t>)</w:t>
      </w:r>
      <w:r w:rsidR="0090753B" w:rsidRPr="00C903F8">
        <w:rPr>
          <w:noProof/>
          <w:lang w:val="en-US"/>
        </w:rPr>
        <w:tab/>
        <w:t xml:space="preserve">are built or converted for their highest class under the supervision of a </w:t>
      </w:r>
      <w:r w:rsidR="004E1AD0" w:rsidRPr="00C903F8">
        <w:rPr>
          <w:noProof/>
          <w:lang w:val="en-US"/>
        </w:rPr>
        <w:t>recognis</w:t>
      </w:r>
      <w:r w:rsidR="00911CA4" w:rsidRPr="00C903F8">
        <w:rPr>
          <w:noProof/>
          <w:lang w:val="en-US"/>
        </w:rPr>
        <w:t xml:space="preserve">ed </w:t>
      </w:r>
      <w:r w:rsidR="0090753B" w:rsidRPr="00C903F8">
        <w:rPr>
          <w:noProof/>
          <w:lang w:val="en-US"/>
        </w:rPr>
        <w:t xml:space="preserve">classification society, in which case compliance shall be confirmed by means of a </w:t>
      </w:r>
      <w:r w:rsidR="00911CA4" w:rsidRPr="00C903F8">
        <w:rPr>
          <w:noProof/>
          <w:lang w:val="en-US"/>
        </w:rPr>
        <w:t xml:space="preserve">attestation </w:t>
      </w:r>
      <w:r w:rsidR="0090753B" w:rsidRPr="00C903F8">
        <w:rPr>
          <w:noProof/>
          <w:lang w:val="en-US"/>
        </w:rPr>
        <w:t>issued by the classification society. Maintaining class is not necessary;</w:t>
      </w:r>
    </w:p>
    <w:p w:rsidR="00310312" w:rsidRPr="00C903F8" w:rsidRDefault="00310312" w:rsidP="00310312">
      <w:pPr>
        <w:pStyle w:val="ESlet"/>
        <w:rPr>
          <w:noProof/>
          <w:lang w:val="en-US"/>
        </w:rPr>
      </w:pPr>
      <w:r w:rsidRPr="00C903F8">
        <w:rPr>
          <w:noProof/>
          <w:lang w:val="en-US"/>
        </w:rPr>
        <w:br w:type="page"/>
      </w:r>
    </w:p>
    <w:p w:rsidR="00FC5FF6" w:rsidRPr="00C903F8" w:rsidRDefault="00FC5FF6" w:rsidP="00FC5FF6">
      <w:pPr>
        <w:pStyle w:val="ESlet"/>
        <w:rPr>
          <w:noProof/>
          <w:lang w:val="en-US"/>
        </w:rPr>
      </w:pPr>
      <w:r>
        <w:rPr>
          <w:noProof/>
          <w:lang w:val="en-US"/>
        </w:rPr>
        <w:lastRenderedPageBreak/>
        <w:t>c</w:t>
      </w:r>
      <w:r w:rsidRPr="00C903F8">
        <w:rPr>
          <w:noProof/>
          <w:lang w:val="en-US"/>
        </w:rPr>
        <w:t>)</w:t>
      </w:r>
      <w:r w:rsidRPr="00C903F8">
        <w:rPr>
          <w:noProof/>
          <w:lang w:val="en-US"/>
        </w:rPr>
        <w:tab/>
        <w:t>have a double bottom with a height of at least 600 mm and subdivision to ensure that, in the event of flooding of any two adjacent watertight compartments, the vessel does not immerse lower than the margin line and a residual safety clearance of 100 mm remains,</w:t>
      </w:r>
    </w:p>
    <w:p w:rsidR="00FC5FF6" w:rsidRPr="00C903F8" w:rsidRDefault="00FC5FF6" w:rsidP="00FC5FF6">
      <w:pPr>
        <w:pStyle w:val="ESletpar"/>
        <w:rPr>
          <w:noProof/>
          <w:lang w:val="en-US"/>
        </w:rPr>
      </w:pPr>
      <w:r w:rsidRPr="00C903F8">
        <w:rPr>
          <w:noProof/>
          <w:lang w:val="en-US"/>
        </w:rPr>
        <w:t>or</w:t>
      </w:r>
    </w:p>
    <w:p w:rsidR="00FC5FF6" w:rsidRPr="00C903F8" w:rsidRDefault="00FC5FF6" w:rsidP="00FC5FF6">
      <w:pPr>
        <w:pStyle w:val="ESletpar"/>
        <w:rPr>
          <w:noProof/>
          <w:lang w:val="en-US"/>
        </w:rPr>
      </w:pPr>
      <w:r w:rsidRPr="00C903F8">
        <w:rPr>
          <w:noProof/>
          <w:lang w:val="en-US"/>
        </w:rPr>
        <w:t>have a double bottom with a height of at least 600 mm and a double hull with a distance of at least 800 mm between the side wall of the vessel and the longitudinal bulkhead;</w:t>
      </w:r>
    </w:p>
    <w:p w:rsidR="0090753B" w:rsidRPr="00C903F8" w:rsidRDefault="00FC5FF6" w:rsidP="00310312">
      <w:pPr>
        <w:pStyle w:val="ESlet"/>
        <w:rPr>
          <w:noProof/>
          <w:lang w:val="en-US"/>
        </w:rPr>
      </w:pPr>
      <w:r>
        <w:rPr>
          <w:noProof/>
          <w:lang w:val="en-US"/>
        </w:rPr>
        <w:t>d</w:t>
      </w:r>
      <w:r w:rsidR="005C7859" w:rsidRPr="00C903F8">
        <w:rPr>
          <w:noProof/>
          <w:lang w:val="en-US"/>
        </w:rPr>
        <w:t>)</w:t>
      </w:r>
      <w:r w:rsidR="0090753B" w:rsidRPr="00C903F8">
        <w:rPr>
          <w:noProof/>
          <w:lang w:val="en-US"/>
        </w:rPr>
        <w:tab/>
        <w:t>be fitted with a multi-propeller propulsion system with at least two independent engines of equal power and a bow thruster system which can be operated from the wheelhouse and which operates longitudinally as well as transversely;</w:t>
      </w:r>
    </w:p>
    <w:p w:rsidR="0090753B" w:rsidRPr="00C903F8" w:rsidRDefault="00FC5FF6" w:rsidP="00310312">
      <w:pPr>
        <w:pStyle w:val="ESlet"/>
        <w:rPr>
          <w:noProof/>
          <w:lang w:val="en-US"/>
        </w:rPr>
      </w:pPr>
      <w:r>
        <w:rPr>
          <w:noProof/>
          <w:lang w:val="en-US"/>
        </w:rPr>
        <w:t>e</w:t>
      </w:r>
      <w:r w:rsidR="0029453D" w:rsidRPr="00C903F8">
        <w:rPr>
          <w:noProof/>
          <w:lang w:val="en-US"/>
        </w:rPr>
        <w:t>)</w:t>
      </w:r>
      <w:r w:rsidR="0090753B" w:rsidRPr="00C903F8">
        <w:rPr>
          <w:noProof/>
          <w:lang w:val="en-US"/>
        </w:rPr>
        <w:tab/>
        <w:t>allow the stern anchors to be operated directly from the wheelhouse;</w:t>
      </w:r>
    </w:p>
    <w:p w:rsidR="00447377" w:rsidRDefault="00447377" w:rsidP="00447377">
      <w:pPr>
        <w:pStyle w:val="ESchpar"/>
        <w:rPr>
          <w:noProof/>
          <w:lang w:val="en-US"/>
        </w:rPr>
      </w:pPr>
    </w:p>
    <w:p w:rsidR="0090753B" w:rsidRPr="00C903F8" w:rsidRDefault="0090753B" w:rsidP="00447377">
      <w:pPr>
        <w:pStyle w:val="ESchpar"/>
        <w:rPr>
          <w:noProof/>
          <w:lang w:val="en-US"/>
        </w:rPr>
      </w:pPr>
      <w:r w:rsidRPr="00C903F8">
        <w:rPr>
          <w:noProof/>
          <w:lang w:val="en-US"/>
        </w:rPr>
        <w:t>it shall be entered in item 52 of the inland navigation vessel certificate that they comply with all the requirements of (a) to (</w:t>
      </w:r>
      <w:r w:rsidR="00FC5FF6">
        <w:rPr>
          <w:noProof/>
          <w:lang w:val="en-US"/>
        </w:rPr>
        <w:t>e</w:t>
      </w:r>
      <w:r w:rsidRPr="00C903F8">
        <w:rPr>
          <w:noProof/>
          <w:lang w:val="en-US"/>
        </w:rPr>
        <w:t>).</w:t>
      </w:r>
    </w:p>
    <w:p w:rsidR="0090753B" w:rsidRPr="00C903F8" w:rsidRDefault="0090753B" w:rsidP="0090753B">
      <w:pPr>
        <w:pStyle w:val="ESch"/>
        <w:rPr>
          <w:rFonts w:eastAsia="Arial" w:cs="Arial"/>
          <w:noProof/>
          <w:snapToGrid w:val="0"/>
          <w:color w:val="000000"/>
          <w:szCs w:val="20"/>
          <w:lang w:val="en-US"/>
        </w:rPr>
      </w:pPr>
    </w:p>
    <w:p w:rsidR="0090753B" w:rsidRPr="00C903F8" w:rsidRDefault="0090753B" w:rsidP="0090753B">
      <w:pPr>
        <w:pStyle w:val="ESch"/>
        <w:rPr>
          <w:rFonts w:cs="Arial"/>
          <w:szCs w:val="20"/>
          <w:lang w:val="en-US"/>
        </w:rPr>
      </w:pPr>
    </w:p>
    <w:p w:rsidR="00451B55" w:rsidRPr="00C903F8" w:rsidRDefault="00451B55" w:rsidP="0090753B">
      <w:pPr>
        <w:pStyle w:val="ESch"/>
        <w:rPr>
          <w:rFonts w:cs="Arial"/>
          <w:szCs w:val="20"/>
          <w:lang w:val="en-US"/>
        </w:rPr>
      </w:pPr>
      <w:r w:rsidRPr="00C903F8">
        <w:rPr>
          <w:rFonts w:cs="Arial"/>
          <w:szCs w:val="20"/>
          <w:lang w:val="en-US"/>
        </w:rPr>
        <w:br w:type="page"/>
      </w:r>
    </w:p>
    <w:p w:rsidR="0090753B" w:rsidRPr="00C903F8" w:rsidRDefault="0090753B" w:rsidP="0090753B">
      <w:pPr>
        <w:pStyle w:val="ESch"/>
        <w:rPr>
          <w:rFonts w:cs="Arial"/>
          <w:szCs w:val="20"/>
          <w:lang w:val="en-US"/>
        </w:rPr>
      </w:pPr>
    </w:p>
    <w:p w:rsidR="0035236A" w:rsidRPr="00C903F8" w:rsidRDefault="0035236A" w:rsidP="0035236A">
      <w:pPr>
        <w:pStyle w:val="ES-Titre2"/>
        <w:rPr>
          <w:szCs w:val="24"/>
        </w:rPr>
      </w:pPr>
      <w:bookmarkStart w:id="260" w:name="_Toc491854248"/>
      <w:r w:rsidRPr="00C903F8">
        <w:lastRenderedPageBreak/>
        <w:t>Chapter 29</w:t>
      </w:r>
      <w:r w:rsidRPr="00C903F8">
        <w:br/>
      </w:r>
      <w:r w:rsidR="00125490" w:rsidRPr="00C903F8">
        <w:rPr>
          <w:noProof/>
          <w:sz w:val="22"/>
          <w:szCs w:val="22"/>
        </w:rPr>
        <w:t>Special provisions applicable to high-speed vessels</w:t>
      </w:r>
      <w:bookmarkEnd w:id="260"/>
    </w:p>
    <w:p w:rsidR="0035236A" w:rsidRPr="00C903F8" w:rsidRDefault="0035236A" w:rsidP="007407E1">
      <w:pPr>
        <w:pStyle w:val="ESgauche"/>
        <w:rPr>
          <w:lang w:val="en-US" w:eastAsia="en-US"/>
        </w:rPr>
      </w:pPr>
    </w:p>
    <w:p w:rsidR="0035236A" w:rsidRPr="00C903F8" w:rsidRDefault="0035236A" w:rsidP="0035236A">
      <w:pPr>
        <w:pStyle w:val="ES-Titre3"/>
        <w:rPr>
          <w:lang w:val="en-US"/>
        </w:rPr>
      </w:pPr>
      <w:bookmarkStart w:id="261" w:name="_Toc491854249"/>
      <w:r w:rsidRPr="00C903F8">
        <w:rPr>
          <w:noProof/>
          <w:lang w:val="en-US"/>
        </w:rPr>
        <w:t>Article 29.01</w:t>
      </w:r>
      <w:r w:rsidRPr="00C903F8">
        <w:rPr>
          <w:noProof/>
          <w:lang w:val="en-US"/>
        </w:rPr>
        <w:br/>
      </w:r>
      <w:r w:rsidR="00125490" w:rsidRPr="00C903F8">
        <w:rPr>
          <w:bCs/>
          <w:i/>
          <w:noProof/>
          <w:lang w:val="en-US"/>
        </w:rPr>
        <w:t>General</w:t>
      </w:r>
      <w:bookmarkEnd w:id="261"/>
    </w:p>
    <w:p w:rsidR="0035236A" w:rsidRPr="00C903F8" w:rsidRDefault="0035236A" w:rsidP="0035236A">
      <w:pPr>
        <w:pStyle w:val="ESch"/>
        <w:rPr>
          <w:noProof/>
          <w:lang w:val="en-US"/>
        </w:rPr>
      </w:pPr>
    </w:p>
    <w:p w:rsidR="00125490" w:rsidRPr="00C903F8" w:rsidRDefault="00125490" w:rsidP="00125490">
      <w:pPr>
        <w:pStyle w:val="ESch"/>
        <w:rPr>
          <w:noProof/>
          <w:lang w:val="en-US"/>
        </w:rPr>
      </w:pPr>
      <w:r w:rsidRPr="00C903F8">
        <w:rPr>
          <w:noProof/>
          <w:lang w:val="en-US"/>
        </w:rPr>
        <w:t>1.</w:t>
      </w:r>
      <w:r w:rsidRPr="00C903F8">
        <w:rPr>
          <w:noProof/>
          <w:lang w:val="en-US"/>
        </w:rPr>
        <w:tab/>
        <w:t>High-speed vessels shall not be constructed as cabin vessels.</w:t>
      </w:r>
    </w:p>
    <w:p w:rsidR="00125490" w:rsidRPr="00C903F8" w:rsidRDefault="00125490" w:rsidP="00125490">
      <w:pPr>
        <w:pStyle w:val="ESch"/>
        <w:rPr>
          <w:noProof/>
          <w:lang w:val="en-US"/>
        </w:rPr>
      </w:pPr>
    </w:p>
    <w:p w:rsidR="00125490" w:rsidRPr="00C903F8" w:rsidRDefault="00125490" w:rsidP="00125490">
      <w:pPr>
        <w:pStyle w:val="ESch"/>
        <w:rPr>
          <w:noProof/>
          <w:lang w:val="en-US"/>
        </w:rPr>
      </w:pPr>
      <w:r w:rsidRPr="00C903F8">
        <w:rPr>
          <w:noProof/>
          <w:lang w:val="en-US"/>
        </w:rPr>
        <w:t>2.</w:t>
      </w:r>
      <w:r w:rsidRPr="00C903F8">
        <w:rPr>
          <w:noProof/>
          <w:lang w:val="en-US"/>
        </w:rPr>
        <w:tab/>
        <w:t>The following installations are prohibited on board high-speed vessels:</w:t>
      </w:r>
    </w:p>
    <w:p w:rsidR="00125490" w:rsidRPr="00C903F8" w:rsidRDefault="005C7859" w:rsidP="00125490">
      <w:pPr>
        <w:pStyle w:val="ESlet"/>
        <w:rPr>
          <w:noProof/>
          <w:lang w:val="en-US"/>
        </w:rPr>
      </w:pPr>
      <w:r w:rsidRPr="00C903F8">
        <w:rPr>
          <w:noProof/>
          <w:lang w:val="en-US"/>
        </w:rPr>
        <w:t>a)</w:t>
      </w:r>
      <w:r w:rsidR="00125490" w:rsidRPr="00C903F8">
        <w:rPr>
          <w:noProof/>
          <w:lang w:val="en-US"/>
        </w:rPr>
        <w:tab/>
        <w:t>appliances fitted with wick burners according to Article 16.02;</w:t>
      </w:r>
    </w:p>
    <w:p w:rsidR="00125490" w:rsidRPr="00C903F8" w:rsidRDefault="005C7859" w:rsidP="00125490">
      <w:pPr>
        <w:pStyle w:val="ESlet"/>
        <w:rPr>
          <w:noProof/>
          <w:lang w:val="en-US"/>
        </w:rPr>
      </w:pPr>
      <w:r w:rsidRPr="00C903F8">
        <w:rPr>
          <w:noProof/>
          <w:lang w:val="en-US"/>
        </w:rPr>
        <w:t>b)</w:t>
      </w:r>
      <w:r w:rsidR="00125490" w:rsidRPr="00C903F8">
        <w:rPr>
          <w:noProof/>
          <w:lang w:val="en-US"/>
        </w:rPr>
        <w:tab/>
        <w:t>vaporising oil burner stoves according to Articles 16.03 and 16.04;</w:t>
      </w:r>
    </w:p>
    <w:p w:rsidR="00125490" w:rsidRPr="00C903F8" w:rsidRDefault="005C7859" w:rsidP="00125490">
      <w:pPr>
        <w:pStyle w:val="ESlet"/>
        <w:rPr>
          <w:noProof/>
          <w:lang w:val="en-US"/>
        </w:rPr>
      </w:pPr>
      <w:r w:rsidRPr="00C903F8">
        <w:rPr>
          <w:noProof/>
          <w:lang w:val="en-US"/>
        </w:rPr>
        <w:t>c)</w:t>
      </w:r>
      <w:r w:rsidR="00125490" w:rsidRPr="00C903F8">
        <w:rPr>
          <w:noProof/>
          <w:lang w:val="en-US"/>
        </w:rPr>
        <w:tab/>
        <w:t>solid-fuel heating appliances according Article 16.07;</w:t>
      </w:r>
    </w:p>
    <w:p w:rsidR="00125490" w:rsidRPr="00C903F8" w:rsidRDefault="0029453D" w:rsidP="00125490">
      <w:pPr>
        <w:pStyle w:val="ESlet"/>
        <w:rPr>
          <w:noProof/>
          <w:lang w:val="en-US"/>
        </w:rPr>
      </w:pPr>
      <w:r w:rsidRPr="00C903F8">
        <w:rPr>
          <w:noProof/>
          <w:lang w:val="en-US"/>
        </w:rPr>
        <w:t>d)</w:t>
      </w:r>
      <w:r w:rsidR="00125490" w:rsidRPr="00C903F8">
        <w:rPr>
          <w:noProof/>
          <w:lang w:val="en-US"/>
        </w:rPr>
        <w:tab/>
        <w:t>liquefied gas installations according to Chapter 17.</w:t>
      </w:r>
    </w:p>
    <w:p w:rsidR="00125490" w:rsidRPr="00C903F8" w:rsidRDefault="00125490" w:rsidP="00125490">
      <w:pPr>
        <w:pStyle w:val="ESch"/>
        <w:rPr>
          <w:rFonts w:cs="Arial"/>
          <w:szCs w:val="20"/>
          <w:lang w:val="en-US"/>
        </w:rPr>
      </w:pPr>
    </w:p>
    <w:p w:rsidR="00125490" w:rsidRPr="00C903F8" w:rsidRDefault="00F33F55" w:rsidP="00125490">
      <w:pPr>
        <w:pStyle w:val="ESch"/>
        <w:rPr>
          <w:noProof/>
          <w:szCs w:val="20"/>
          <w:lang w:val="en-US"/>
        </w:rPr>
      </w:pPr>
      <w:r w:rsidRPr="00C903F8">
        <w:rPr>
          <w:noProof/>
          <w:szCs w:val="20"/>
          <w:lang w:val="en-US"/>
        </w:rPr>
        <w:t>3</w:t>
      </w:r>
      <w:r w:rsidR="00125490" w:rsidRPr="00C903F8">
        <w:rPr>
          <w:noProof/>
          <w:szCs w:val="20"/>
          <w:lang w:val="en-US"/>
        </w:rPr>
        <w:t>.</w:t>
      </w:r>
      <w:r w:rsidR="00125490" w:rsidRPr="00C903F8">
        <w:rPr>
          <w:noProof/>
          <w:szCs w:val="20"/>
          <w:lang w:val="en-US"/>
        </w:rPr>
        <w:tab/>
        <w:t xml:space="preserve">High-speed vessels shall be constructed and classified under the supervision and in accordance with the applicable rules of a </w:t>
      </w:r>
      <w:r w:rsidR="004E1AD0" w:rsidRPr="00C903F8">
        <w:rPr>
          <w:rFonts w:cs="Arial"/>
          <w:szCs w:val="20"/>
          <w:lang w:val="en-US"/>
        </w:rPr>
        <w:t>recognised</w:t>
      </w:r>
      <w:r w:rsidR="00125490" w:rsidRPr="00C903F8">
        <w:rPr>
          <w:noProof/>
          <w:szCs w:val="20"/>
          <w:lang w:val="en-US"/>
        </w:rPr>
        <w:t xml:space="preserve"> classification society which has special rules for high-speed vessels. The class shall be maintained.</w:t>
      </w:r>
    </w:p>
    <w:p w:rsidR="00125490" w:rsidRPr="00C903F8" w:rsidRDefault="00125490" w:rsidP="00125490">
      <w:pPr>
        <w:pStyle w:val="ESch"/>
        <w:rPr>
          <w:noProof/>
          <w:szCs w:val="20"/>
          <w:lang w:val="en-US"/>
        </w:rPr>
      </w:pPr>
    </w:p>
    <w:p w:rsidR="00125490" w:rsidRPr="00C903F8" w:rsidRDefault="00125490" w:rsidP="00125490">
      <w:pPr>
        <w:pStyle w:val="ESch"/>
        <w:rPr>
          <w:noProof/>
          <w:szCs w:val="20"/>
          <w:lang w:val="en-US"/>
        </w:rPr>
      </w:pPr>
    </w:p>
    <w:p w:rsidR="00125490" w:rsidRPr="00C903F8" w:rsidRDefault="00125490" w:rsidP="00125490">
      <w:pPr>
        <w:pStyle w:val="ES-Titre3"/>
        <w:rPr>
          <w:i/>
          <w:noProof/>
          <w:lang w:val="en-US"/>
        </w:rPr>
      </w:pPr>
      <w:bookmarkStart w:id="262" w:name="_Toc491854250"/>
      <w:r w:rsidRPr="00C903F8">
        <w:rPr>
          <w:noProof/>
          <w:lang w:val="en-US"/>
        </w:rPr>
        <w:t>Article 29.0</w:t>
      </w:r>
      <w:r w:rsidR="00CF42AA" w:rsidRPr="00C903F8">
        <w:rPr>
          <w:noProof/>
          <w:lang w:val="en-US"/>
        </w:rPr>
        <w:t>2</w:t>
      </w:r>
      <w:r w:rsidRPr="00C903F8">
        <w:rPr>
          <w:noProof/>
          <w:lang w:val="en-US"/>
        </w:rPr>
        <w:br/>
      </w:r>
      <w:r w:rsidRPr="00C903F8">
        <w:rPr>
          <w:i/>
          <w:noProof/>
          <w:lang w:val="en-US"/>
        </w:rPr>
        <w:t>Application of Parts II and III</w:t>
      </w:r>
      <w:bookmarkEnd w:id="262"/>
    </w:p>
    <w:p w:rsidR="00125490" w:rsidRPr="00C903F8" w:rsidRDefault="00125490" w:rsidP="00125490">
      <w:pPr>
        <w:pStyle w:val="ESch"/>
        <w:rPr>
          <w:noProof/>
          <w:szCs w:val="20"/>
          <w:lang w:val="en-US"/>
        </w:rPr>
      </w:pPr>
    </w:p>
    <w:p w:rsidR="00125490" w:rsidRPr="00C903F8" w:rsidRDefault="00125490" w:rsidP="00125490">
      <w:pPr>
        <w:pStyle w:val="ESch"/>
        <w:rPr>
          <w:noProof/>
          <w:szCs w:val="20"/>
          <w:lang w:val="en-US"/>
        </w:rPr>
      </w:pPr>
      <w:r w:rsidRPr="00C903F8">
        <w:rPr>
          <w:noProof/>
          <w:szCs w:val="20"/>
          <w:lang w:val="en-US"/>
        </w:rPr>
        <w:t>1.</w:t>
      </w:r>
      <w:r w:rsidRPr="00C903F8">
        <w:rPr>
          <w:noProof/>
          <w:szCs w:val="20"/>
          <w:lang w:val="en-US"/>
        </w:rPr>
        <w:tab/>
        <w:t xml:space="preserve">Notwithstanding </w:t>
      </w:r>
      <w:r w:rsidR="007E1D94" w:rsidRPr="00C903F8">
        <w:rPr>
          <w:noProof/>
          <w:szCs w:val="20"/>
          <w:lang w:val="en-US"/>
        </w:rPr>
        <w:t>(</w:t>
      </w:r>
      <w:r w:rsidRPr="00C903F8">
        <w:rPr>
          <w:noProof/>
          <w:szCs w:val="20"/>
          <w:lang w:val="en-US"/>
        </w:rPr>
        <w:t>2</w:t>
      </w:r>
      <w:r w:rsidR="007E1D94" w:rsidRPr="00C903F8">
        <w:rPr>
          <w:noProof/>
          <w:szCs w:val="20"/>
          <w:lang w:val="en-US"/>
        </w:rPr>
        <w:t>)</w:t>
      </w:r>
      <w:r w:rsidRPr="00C903F8">
        <w:rPr>
          <w:noProof/>
          <w:szCs w:val="20"/>
          <w:lang w:val="en-US"/>
        </w:rPr>
        <w:t>, Chapters 3 to 19 shall apply to high-speed vessels, with the exception of the following provisions:</w:t>
      </w:r>
    </w:p>
    <w:p w:rsidR="00125490" w:rsidRPr="00C903F8" w:rsidRDefault="005C7859" w:rsidP="00125490">
      <w:pPr>
        <w:pStyle w:val="ESlet"/>
        <w:rPr>
          <w:noProof/>
        </w:rPr>
      </w:pPr>
      <w:r w:rsidRPr="00C903F8">
        <w:rPr>
          <w:noProof/>
          <w:lang w:val="fr-BE"/>
        </w:rPr>
        <w:t>a)</w:t>
      </w:r>
      <w:r w:rsidR="00125490" w:rsidRPr="00C903F8">
        <w:rPr>
          <w:noProof/>
          <w:lang w:val="fr-BE"/>
        </w:rPr>
        <w:tab/>
        <w:t>Article 3.04(6), second subparagraph;</w:t>
      </w:r>
    </w:p>
    <w:p w:rsidR="00125490" w:rsidRPr="00C903F8" w:rsidRDefault="005C7859" w:rsidP="00125490">
      <w:pPr>
        <w:pStyle w:val="ESlet"/>
        <w:rPr>
          <w:noProof/>
        </w:rPr>
      </w:pPr>
      <w:r w:rsidRPr="00C903F8">
        <w:rPr>
          <w:noProof/>
          <w:lang w:val="fr-BE"/>
        </w:rPr>
        <w:t>b)</w:t>
      </w:r>
      <w:r w:rsidR="00125490" w:rsidRPr="00C903F8">
        <w:rPr>
          <w:noProof/>
          <w:lang w:val="fr-BE"/>
        </w:rPr>
        <w:tab/>
        <w:t>Article 8.08(2), second sentence;</w:t>
      </w:r>
    </w:p>
    <w:p w:rsidR="00125490" w:rsidRPr="00C903F8" w:rsidRDefault="005C7859" w:rsidP="00125490">
      <w:pPr>
        <w:pStyle w:val="ESlet"/>
        <w:rPr>
          <w:noProof/>
          <w:lang w:val="en-US"/>
        </w:rPr>
      </w:pPr>
      <w:r w:rsidRPr="00C903F8">
        <w:rPr>
          <w:noProof/>
          <w:lang w:val="en-US"/>
        </w:rPr>
        <w:t>c)</w:t>
      </w:r>
      <w:r w:rsidR="00125490" w:rsidRPr="00C903F8">
        <w:rPr>
          <w:noProof/>
          <w:lang w:val="en-US"/>
        </w:rPr>
        <w:tab/>
        <w:t>Article 14.02(4), second and third sentences;</w:t>
      </w:r>
    </w:p>
    <w:p w:rsidR="00125490" w:rsidRPr="00C903F8" w:rsidRDefault="0029453D" w:rsidP="00125490">
      <w:pPr>
        <w:pStyle w:val="ESlet"/>
        <w:rPr>
          <w:noProof/>
        </w:rPr>
      </w:pPr>
      <w:r w:rsidRPr="00C903F8">
        <w:rPr>
          <w:noProof/>
        </w:rPr>
        <w:t>d)</w:t>
      </w:r>
      <w:r w:rsidR="00125490" w:rsidRPr="00C903F8">
        <w:rPr>
          <w:noProof/>
          <w:lang w:val="fr-BE"/>
        </w:rPr>
        <w:tab/>
        <w:t>Article 15.02(4), second sentence;</w:t>
      </w:r>
    </w:p>
    <w:p w:rsidR="00125490" w:rsidRPr="00C903F8" w:rsidRDefault="0029453D" w:rsidP="00125490">
      <w:pPr>
        <w:pStyle w:val="ESlet"/>
        <w:rPr>
          <w:noProof/>
          <w:lang w:val="fr-BE"/>
        </w:rPr>
      </w:pPr>
      <w:r w:rsidRPr="00C903F8">
        <w:rPr>
          <w:noProof/>
          <w:lang w:val="fr-BE"/>
        </w:rPr>
        <w:t>e)</w:t>
      </w:r>
      <w:r w:rsidR="00125490" w:rsidRPr="00C903F8">
        <w:rPr>
          <w:noProof/>
          <w:lang w:val="fr-BE"/>
        </w:rPr>
        <w:tab/>
        <w:t>Article 19.06(3)(a), second sentence.</w:t>
      </w:r>
    </w:p>
    <w:p w:rsidR="00125490" w:rsidRPr="00C903F8" w:rsidRDefault="00125490" w:rsidP="00125490">
      <w:pPr>
        <w:pStyle w:val="ESch"/>
        <w:rPr>
          <w:noProof/>
          <w:szCs w:val="20"/>
        </w:rPr>
      </w:pPr>
    </w:p>
    <w:p w:rsidR="00125490" w:rsidRPr="00C903F8" w:rsidRDefault="00125490" w:rsidP="00125490">
      <w:pPr>
        <w:pStyle w:val="ESch"/>
        <w:rPr>
          <w:noProof/>
          <w:szCs w:val="20"/>
          <w:lang w:val="en-US"/>
        </w:rPr>
      </w:pPr>
      <w:r w:rsidRPr="00C903F8">
        <w:rPr>
          <w:noProof/>
          <w:szCs w:val="20"/>
          <w:lang w:val="en-US"/>
        </w:rPr>
        <w:t>2.</w:t>
      </w:r>
      <w:r w:rsidRPr="00C903F8">
        <w:rPr>
          <w:noProof/>
          <w:szCs w:val="20"/>
          <w:lang w:val="en-US"/>
        </w:rPr>
        <w:tab/>
        <w:t>By way of derogation from Article 19.02(9), and Article 19.15(7), all doors in watertight bulkheads shall be capable of being remote</w:t>
      </w:r>
      <w:r w:rsidR="000544E4" w:rsidRPr="00C903F8">
        <w:rPr>
          <w:noProof/>
          <w:szCs w:val="20"/>
          <w:lang w:val="en-US"/>
        </w:rPr>
        <w:t>ly</w:t>
      </w:r>
      <w:r w:rsidRPr="00C903F8">
        <w:rPr>
          <w:noProof/>
          <w:szCs w:val="20"/>
          <w:lang w:val="en-US"/>
        </w:rPr>
        <w:t xml:space="preserve"> controlled.</w:t>
      </w:r>
    </w:p>
    <w:p w:rsidR="00125490" w:rsidRPr="00C903F8" w:rsidRDefault="00125490" w:rsidP="00125490">
      <w:pPr>
        <w:pStyle w:val="ESch"/>
        <w:rPr>
          <w:noProof/>
          <w:szCs w:val="20"/>
          <w:lang w:val="en-US"/>
        </w:rPr>
      </w:pPr>
    </w:p>
    <w:p w:rsidR="00125490" w:rsidRPr="00C903F8" w:rsidRDefault="00125490" w:rsidP="00125490">
      <w:pPr>
        <w:pStyle w:val="ESch"/>
        <w:rPr>
          <w:noProof/>
          <w:szCs w:val="20"/>
          <w:lang w:val="en-US"/>
        </w:rPr>
      </w:pPr>
      <w:r w:rsidRPr="00C903F8">
        <w:rPr>
          <w:noProof/>
          <w:szCs w:val="20"/>
          <w:lang w:val="en-US"/>
        </w:rPr>
        <w:t>3.</w:t>
      </w:r>
      <w:r w:rsidRPr="00C903F8">
        <w:rPr>
          <w:noProof/>
          <w:szCs w:val="20"/>
          <w:lang w:val="en-US"/>
        </w:rPr>
        <w:tab/>
        <w:t>By way of derogation from Article 6.02(1), in case of failure or malfunctioning of the steering apparatus drive unit a second independent steering apparatus drive unit or a manually operated drive unit shall come into operation without time delay.</w:t>
      </w:r>
    </w:p>
    <w:p w:rsidR="00125490" w:rsidRPr="00C903F8" w:rsidRDefault="00125490" w:rsidP="00125490">
      <w:pPr>
        <w:pStyle w:val="ESch"/>
        <w:rPr>
          <w:noProof/>
          <w:szCs w:val="20"/>
          <w:lang w:val="en-US"/>
        </w:rPr>
      </w:pPr>
    </w:p>
    <w:p w:rsidR="00125490" w:rsidRPr="00C903F8" w:rsidRDefault="00125490" w:rsidP="00125490">
      <w:pPr>
        <w:pStyle w:val="ESch"/>
        <w:rPr>
          <w:noProof/>
          <w:szCs w:val="20"/>
          <w:lang w:val="en-US"/>
        </w:rPr>
      </w:pPr>
      <w:r w:rsidRPr="00C903F8">
        <w:rPr>
          <w:noProof/>
          <w:szCs w:val="20"/>
          <w:lang w:val="en-US"/>
        </w:rPr>
        <w:t>4.</w:t>
      </w:r>
      <w:r w:rsidRPr="00C903F8">
        <w:rPr>
          <w:noProof/>
          <w:szCs w:val="20"/>
          <w:lang w:val="en-US"/>
        </w:rPr>
        <w:tab/>
        <w:t xml:space="preserve">In addition to the requirements of </w:t>
      </w:r>
      <w:r w:rsidR="007E1D94" w:rsidRPr="00C903F8">
        <w:rPr>
          <w:noProof/>
          <w:szCs w:val="20"/>
          <w:lang w:val="en-US"/>
        </w:rPr>
        <w:t>(</w:t>
      </w:r>
      <w:r w:rsidRPr="00C903F8">
        <w:rPr>
          <w:noProof/>
          <w:szCs w:val="20"/>
          <w:lang w:val="en-US"/>
        </w:rPr>
        <w:t>1</w:t>
      </w:r>
      <w:r w:rsidR="007E1D94" w:rsidRPr="00C903F8">
        <w:rPr>
          <w:noProof/>
          <w:szCs w:val="20"/>
          <w:lang w:val="en-US"/>
        </w:rPr>
        <w:t>)</w:t>
      </w:r>
      <w:r w:rsidRPr="00C903F8">
        <w:rPr>
          <w:noProof/>
          <w:szCs w:val="20"/>
          <w:lang w:val="en-US"/>
        </w:rPr>
        <w:t xml:space="preserve"> to </w:t>
      </w:r>
      <w:r w:rsidR="007E1D94" w:rsidRPr="00C903F8">
        <w:rPr>
          <w:noProof/>
          <w:szCs w:val="20"/>
          <w:lang w:val="en-US"/>
        </w:rPr>
        <w:t>(</w:t>
      </w:r>
      <w:r w:rsidRPr="00C903F8">
        <w:rPr>
          <w:noProof/>
          <w:szCs w:val="20"/>
          <w:lang w:val="en-US"/>
        </w:rPr>
        <w:t>3</w:t>
      </w:r>
      <w:r w:rsidR="007E1D94" w:rsidRPr="00C903F8">
        <w:rPr>
          <w:noProof/>
          <w:szCs w:val="20"/>
          <w:lang w:val="en-US"/>
        </w:rPr>
        <w:t>)</w:t>
      </w:r>
      <w:r w:rsidRPr="00C903F8">
        <w:rPr>
          <w:noProof/>
          <w:szCs w:val="20"/>
          <w:lang w:val="en-US"/>
        </w:rPr>
        <w:t>, high-speed vessels shall meet the requirements of Articles 29.0</w:t>
      </w:r>
      <w:r w:rsidR="00CF42AA" w:rsidRPr="00C903F8">
        <w:rPr>
          <w:noProof/>
          <w:szCs w:val="20"/>
          <w:lang w:val="en-US"/>
        </w:rPr>
        <w:t>3</w:t>
      </w:r>
      <w:r w:rsidRPr="00C903F8">
        <w:rPr>
          <w:noProof/>
          <w:szCs w:val="20"/>
          <w:lang w:val="en-US"/>
        </w:rPr>
        <w:t xml:space="preserve"> to 29.1</w:t>
      </w:r>
      <w:r w:rsidR="00CF42AA" w:rsidRPr="00C903F8">
        <w:rPr>
          <w:noProof/>
          <w:szCs w:val="20"/>
          <w:lang w:val="en-US"/>
        </w:rPr>
        <w:t>0</w:t>
      </w:r>
      <w:r w:rsidRPr="00C903F8">
        <w:rPr>
          <w:noProof/>
          <w:szCs w:val="20"/>
          <w:lang w:val="en-US"/>
        </w:rPr>
        <w:t>.</w:t>
      </w:r>
    </w:p>
    <w:p w:rsidR="00125490" w:rsidRPr="00C903F8" w:rsidRDefault="00125490" w:rsidP="00125490">
      <w:pPr>
        <w:pStyle w:val="ESch"/>
        <w:rPr>
          <w:rFonts w:cs="Arial"/>
          <w:szCs w:val="20"/>
          <w:lang w:val="en-US"/>
        </w:rPr>
      </w:pPr>
    </w:p>
    <w:p w:rsidR="00125490" w:rsidRPr="00C903F8" w:rsidRDefault="00125490" w:rsidP="00125490">
      <w:pPr>
        <w:pStyle w:val="ESch"/>
        <w:rPr>
          <w:rFonts w:cs="Arial"/>
          <w:szCs w:val="20"/>
          <w:lang w:val="en-US"/>
        </w:rPr>
      </w:pPr>
      <w:r w:rsidRPr="00C903F8">
        <w:rPr>
          <w:rFonts w:cs="Arial"/>
          <w:szCs w:val="20"/>
          <w:lang w:val="en-US"/>
        </w:rPr>
        <w:br w:type="page"/>
      </w:r>
    </w:p>
    <w:p w:rsidR="00125490" w:rsidRPr="00C903F8" w:rsidRDefault="00125490" w:rsidP="00125490">
      <w:pPr>
        <w:pStyle w:val="ES-Titre3"/>
        <w:rPr>
          <w:i/>
          <w:noProof/>
          <w:lang w:val="en-US"/>
        </w:rPr>
      </w:pPr>
      <w:bookmarkStart w:id="263" w:name="_Toc491854251"/>
      <w:r w:rsidRPr="00C903F8">
        <w:rPr>
          <w:noProof/>
          <w:lang w:val="en-US"/>
        </w:rPr>
        <w:lastRenderedPageBreak/>
        <w:t>Article 29.0</w:t>
      </w:r>
      <w:r w:rsidR="00CF42AA" w:rsidRPr="00C903F8">
        <w:rPr>
          <w:noProof/>
          <w:lang w:val="en-US"/>
        </w:rPr>
        <w:t>3</w:t>
      </w:r>
      <w:r w:rsidRPr="00C903F8">
        <w:rPr>
          <w:noProof/>
          <w:lang w:val="en-US"/>
        </w:rPr>
        <w:br/>
      </w:r>
      <w:r w:rsidRPr="00C903F8">
        <w:rPr>
          <w:i/>
          <w:noProof/>
          <w:lang w:val="en-US"/>
        </w:rPr>
        <w:t>Seats and safety belts</w:t>
      </w:r>
      <w:bookmarkEnd w:id="263"/>
    </w:p>
    <w:p w:rsidR="00125490" w:rsidRPr="00C903F8" w:rsidRDefault="00125490" w:rsidP="00125490">
      <w:pPr>
        <w:pStyle w:val="ESch"/>
        <w:rPr>
          <w:noProof/>
          <w:szCs w:val="20"/>
          <w:lang w:val="en-US"/>
        </w:rPr>
      </w:pPr>
    </w:p>
    <w:p w:rsidR="00125490" w:rsidRPr="00C903F8" w:rsidRDefault="00125490" w:rsidP="009B3495">
      <w:pPr>
        <w:pStyle w:val="ESgauche"/>
        <w:rPr>
          <w:lang w:val="en-US"/>
        </w:rPr>
      </w:pPr>
      <w:r w:rsidRPr="00C903F8">
        <w:rPr>
          <w:lang w:val="en-US"/>
        </w:rPr>
        <w:t>Seats shall be available for the maximum number of passengers permitted on board. Seats shall be fitted with safety belts. Safety belts may be dispensed with where suitable impact protection is provided or where they are not required under Chapter 4, part 6, of the HSC Code 2000.</w:t>
      </w:r>
    </w:p>
    <w:p w:rsidR="00125490" w:rsidRPr="00C903F8" w:rsidRDefault="00125490" w:rsidP="00125490">
      <w:pPr>
        <w:pStyle w:val="ESch"/>
        <w:rPr>
          <w:rFonts w:cs="Arial"/>
          <w:szCs w:val="20"/>
          <w:lang w:val="en-US"/>
        </w:rPr>
      </w:pPr>
    </w:p>
    <w:p w:rsidR="009B3495" w:rsidRPr="00C903F8" w:rsidRDefault="009B3495" w:rsidP="00125490">
      <w:pPr>
        <w:pStyle w:val="ESch"/>
        <w:rPr>
          <w:rFonts w:cs="Arial"/>
          <w:szCs w:val="20"/>
          <w:lang w:val="en-US"/>
        </w:rPr>
      </w:pPr>
    </w:p>
    <w:p w:rsidR="00125490" w:rsidRPr="00C903F8" w:rsidRDefault="00125490" w:rsidP="00125490">
      <w:pPr>
        <w:pStyle w:val="ES-Titre3"/>
        <w:rPr>
          <w:i/>
          <w:noProof/>
          <w:lang w:val="en-US"/>
        </w:rPr>
      </w:pPr>
      <w:bookmarkStart w:id="264" w:name="_Toc491854252"/>
      <w:r w:rsidRPr="00C903F8">
        <w:rPr>
          <w:noProof/>
          <w:lang w:val="en-US"/>
        </w:rPr>
        <w:t>Article 29.0</w:t>
      </w:r>
      <w:r w:rsidR="00CF42AA" w:rsidRPr="00C903F8">
        <w:rPr>
          <w:noProof/>
          <w:lang w:val="en-US"/>
        </w:rPr>
        <w:t>4</w:t>
      </w:r>
      <w:r w:rsidRPr="00C903F8">
        <w:rPr>
          <w:noProof/>
          <w:lang w:val="en-US"/>
        </w:rPr>
        <w:br/>
      </w:r>
      <w:r w:rsidRPr="00C903F8">
        <w:rPr>
          <w:bCs/>
          <w:i/>
          <w:noProof/>
          <w:lang w:val="en-US"/>
        </w:rPr>
        <w:t>Freeboard</w:t>
      </w:r>
      <w:bookmarkEnd w:id="264"/>
    </w:p>
    <w:p w:rsidR="009B3495" w:rsidRPr="00C903F8" w:rsidRDefault="009B3495" w:rsidP="00125490">
      <w:pPr>
        <w:pStyle w:val="ESch"/>
        <w:rPr>
          <w:noProof/>
          <w:szCs w:val="20"/>
          <w:lang w:val="en-US"/>
        </w:rPr>
      </w:pPr>
    </w:p>
    <w:p w:rsidR="00125490" w:rsidRPr="00C903F8" w:rsidRDefault="00125490" w:rsidP="009B3495">
      <w:pPr>
        <w:pStyle w:val="ESgauche"/>
        <w:rPr>
          <w:lang w:val="en-US"/>
        </w:rPr>
      </w:pPr>
      <w:r w:rsidRPr="00C903F8">
        <w:rPr>
          <w:lang w:val="en-US"/>
        </w:rPr>
        <w:t>By way of derogation from Articles 4.02 and 4.03, the freeboard shall be at least 500 mm.</w:t>
      </w:r>
    </w:p>
    <w:p w:rsidR="00125490" w:rsidRPr="00C903F8" w:rsidRDefault="00125490" w:rsidP="00125490">
      <w:pPr>
        <w:pStyle w:val="ESch"/>
        <w:rPr>
          <w:rFonts w:cs="Arial"/>
          <w:szCs w:val="20"/>
          <w:lang w:val="en-US"/>
        </w:rPr>
      </w:pPr>
    </w:p>
    <w:p w:rsidR="009B3495" w:rsidRPr="00C903F8" w:rsidRDefault="009B3495" w:rsidP="00125490">
      <w:pPr>
        <w:pStyle w:val="ESch"/>
        <w:rPr>
          <w:rFonts w:cs="Arial"/>
          <w:szCs w:val="20"/>
          <w:lang w:val="en-US"/>
        </w:rPr>
      </w:pPr>
    </w:p>
    <w:p w:rsidR="00125490" w:rsidRPr="00C903F8" w:rsidRDefault="00125490" w:rsidP="00125490">
      <w:pPr>
        <w:pStyle w:val="ES-Titre3"/>
        <w:rPr>
          <w:i/>
          <w:noProof/>
          <w:lang w:val="en-US"/>
        </w:rPr>
      </w:pPr>
      <w:bookmarkStart w:id="265" w:name="_Toc491854253"/>
      <w:r w:rsidRPr="00C903F8">
        <w:rPr>
          <w:noProof/>
          <w:lang w:val="en-US"/>
        </w:rPr>
        <w:t>Article 29.0</w:t>
      </w:r>
      <w:r w:rsidR="00CF42AA" w:rsidRPr="00C903F8">
        <w:rPr>
          <w:noProof/>
          <w:lang w:val="en-US"/>
        </w:rPr>
        <w:t>5</w:t>
      </w:r>
      <w:r w:rsidRPr="00C903F8">
        <w:rPr>
          <w:noProof/>
          <w:lang w:val="en-US"/>
        </w:rPr>
        <w:br/>
      </w:r>
      <w:r w:rsidRPr="00C903F8">
        <w:rPr>
          <w:i/>
          <w:noProof/>
          <w:lang w:val="en-US"/>
        </w:rPr>
        <w:t>Buoyancy, stability and subdivision</w:t>
      </w:r>
      <w:bookmarkEnd w:id="265"/>
    </w:p>
    <w:p w:rsidR="009B3495" w:rsidRPr="00C903F8" w:rsidRDefault="009B3495" w:rsidP="00125490">
      <w:pPr>
        <w:pStyle w:val="ESch"/>
        <w:rPr>
          <w:noProof/>
          <w:szCs w:val="20"/>
          <w:lang w:val="en-US"/>
        </w:rPr>
      </w:pPr>
    </w:p>
    <w:p w:rsidR="00125490" w:rsidRPr="00C903F8" w:rsidRDefault="00125490" w:rsidP="009B3495">
      <w:pPr>
        <w:pStyle w:val="ESgauche"/>
        <w:rPr>
          <w:lang w:val="en-US"/>
        </w:rPr>
      </w:pPr>
      <w:r w:rsidRPr="00C903F8">
        <w:rPr>
          <w:lang w:val="en-US"/>
        </w:rPr>
        <w:t>For high-speed vessels, sufficient proof shall be provided for:</w:t>
      </w:r>
    </w:p>
    <w:p w:rsidR="00125490" w:rsidRPr="00C903F8" w:rsidRDefault="005C7859" w:rsidP="009B3495">
      <w:pPr>
        <w:pStyle w:val="ESletgauche"/>
        <w:rPr>
          <w:noProof/>
          <w:lang w:val="en-US"/>
        </w:rPr>
      </w:pPr>
      <w:r w:rsidRPr="00C903F8">
        <w:rPr>
          <w:noProof/>
          <w:lang w:val="en-US"/>
        </w:rPr>
        <w:t>a)</w:t>
      </w:r>
      <w:r w:rsidR="00125490" w:rsidRPr="00C903F8">
        <w:rPr>
          <w:noProof/>
          <w:lang w:val="en-US"/>
        </w:rPr>
        <w:tab/>
        <w:t>buoyancy and stability characteristics adequate for safety where the craft is operated in the displacement mode, both when intact and when damaged;</w:t>
      </w:r>
    </w:p>
    <w:p w:rsidR="00125490" w:rsidRPr="00C903F8" w:rsidRDefault="005C7859" w:rsidP="009B3495">
      <w:pPr>
        <w:pStyle w:val="ESletgauche"/>
        <w:rPr>
          <w:noProof/>
          <w:lang w:val="en-US"/>
        </w:rPr>
      </w:pPr>
      <w:r w:rsidRPr="00C903F8">
        <w:rPr>
          <w:noProof/>
          <w:lang w:val="en-US"/>
        </w:rPr>
        <w:t>b)</w:t>
      </w:r>
      <w:r w:rsidR="00125490" w:rsidRPr="00C903F8">
        <w:rPr>
          <w:noProof/>
          <w:lang w:val="en-US"/>
        </w:rPr>
        <w:tab/>
        <w:t>stability characteristics and stabilising systems adequate for safety where the craft is operated in the dynamic buoyancy phase and the transition phase;</w:t>
      </w:r>
    </w:p>
    <w:p w:rsidR="00125490" w:rsidRPr="00C903F8" w:rsidRDefault="005C7859" w:rsidP="009B3495">
      <w:pPr>
        <w:pStyle w:val="ESletgauche"/>
        <w:rPr>
          <w:noProof/>
          <w:lang w:val="en-US"/>
        </w:rPr>
      </w:pPr>
      <w:r w:rsidRPr="00C903F8">
        <w:rPr>
          <w:noProof/>
          <w:lang w:val="en-US"/>
        </w:rPr>
        <w:t>c)</w:t>
      </w:r>
      <w:r w:rsidR="00125490" w:rsidRPr="00C903F8">
        <w:rPr>
          <w:noProof/>
          <w:lang w:val="en-US"/>
        </w:rPr>
        <w:tab/>
        <w:t xml:space="preserve">stability characteristics adequate for safety where the craft is operated in the dynamic buoyancy phase and the transitional phase, </w:t>
      </w:r>
      <w:r w:rsidR="008D2F29" w:rsidRPr="00C903F8">
        <w:rPr>
          <w:noProof/>
          <w:lang w:val="en-US"/>
        </w:rPr>
        <w:t xml:space="preserve">and </w:t>
      </w:r>
      <w:r w:rsidR="00125490" w:rsidRPr="00C903F8">
        <w:rPr>
          <w:noProof/>
          <w:lang w:val="en-US"/>
        </w:rPr>
        <w:t>allow to transfer the craft safely to displacement mode in case of any system malfunction.</w:t>
      </w:r>
    </w:p>
    <w:p w:rsidR="00125490" w:rsidRPr="00C903F8" w:rsidRDefault="00125490" w:rsidP="00125490">
      <w:pPr>
        <w:pStyle w:val="ESch"/>
        <w:rPr>
          <w:rFonts w:cs="Arial"/>
          <w:szCs w:val="20"/>
          <w:lang w:val="en-US"/>
        </w:rPr>
      </w:pPr>
    </w:p>
    <w:p w:rsidR="009B3495" w:rsidRPr="00C903F8" w:rsidRDefault="009B3495" w:rsidP="00125490">
      <w:pPr>
        <w:pStyle w:val="ESch"/>
        <w:rPr>
          <w:rFonts w:cs="Arial"/>
          <w:szCs w:val="20"/>
          <w:lang w:val="en-US"/>
        </w:rPr>
      </w:pPr>
    </w:p>
    <w:p w:rsidR="00125490" w:rsidRPr="00C903F8" w:rsidRDefault="00125490" w:rsidP="00125490">
      <w:pPr>
        <w:pStyle w:val="ES-Titre3"/>
        <w:rPr>
          <w:i/>
          <w:noProof/>
          <w:lang w:val="en-US"/>
        </w:rPr>
      </w:pPr>
      <w:bookmarkStart w:id="266" w:name="_Toc491854254"/>
      <w:r w:rsidRPr="00C903F8">
        <w:rPr>
          <w:noProof/>
          <w:lang w:val="en-US"/>
        </w:rPr>
        <w:t>Article 29.0</w:t>
      </w:r>
      <w:r w:rsidR="00CF42AA" w:rsidRPr="00C903F8">
        <w:rPr>
          <w:noProof/>
          <w:lang w:val="en-US"/>
        </w:rPr>
        <w:t>6</w:t>
      </w:r>
      <w:r w:rsidRPr="00C903F8">
        <w:rPr>
          <w:noProof/>
          <w:lang w:val="en-US"/>
        </w:rPr>
        <w:br/>
      </w:r>
      <w:r w:rsidRPr="00C903F8">
        <w:rPr>
          <w:bCs/>
          <w:i/>
          <w:noProof/>
          <w:lang w:val="en-US"/>
        </w:rPr>
        <w:t>Wheelhouse</w:t>
      </w:r>
      <w:bookmarkEnd w:id="266"/>
    </w:p>
    <w:p w:rsidR="00125490" w:rsidRPr="00C903F8" w:rsidRDefault="00125490" w:rsidP="00125490">
      <w:pPr>
        <w:pStyle w:val="ESch"/>
        <w:rPr>
          <w:noProof/>
          <w:szCs w:val="20"/>
          <w:lang w:val="en-US"/>
        </w:rPr>
      </w:pPr>
      <w:r w:rsidRPr="00C903F8">
        <w:rPr>
          <w:noProof/>
          <w:szCs w:val="20"/>
          <w:lang w:val="en-US"/>
        </w:rPr>
        <w:t>1.</w:t>
      </w:r>
      <w:r w:rsidRPr="00C903F8">
        <w:rPr>
          <w:noProof/>
          <w:szCs w:val="20"/>
          <w:lang w:val="en-US"/>
        </w:rPr>
        <w:tab/>
        <w:t>Arrangement</w:t>
      </w:r>
    </w:p>
    <w:p w:rsidR="00125490" w:rsidRPr="00C903F8" w:rsidRDefault="005C7859" w:rsidP="009B3495">
      <w:pPr>
        <w:pStyle w:val="ESlet"/>
        <w:rPr>
          <w:rFonts w:cs="Arial"/>
          <w:lang w:val="en-US"/>
        </w:rPr>
      </w:pPr>
      <w:r w:rsidRPr="00C903F8">
        <w:rPr>
          <w:noProof/>
          <w:lang w:val="en-US"/>
        </w:rPr>
        <w:t>a)</w:t>
      </w:r>
      <w:r w:rsidR="00125490" w:rsidRPr="00C903F8">
        <w:rPr>
          <w:noProof/>
          <w:lang w:val="en-US"/>
        </w:rPr>
        <w:tab/>
        <w:t>By way of derogation from Article 7.01(1), wheelhouses shall be arranged in such a way that the helmsman and a second member of the crew may at all times perform their tasks while the vessel is under way.</w:t>
      </w:r>
    </w:p>
    <w:p w:rsidR="00125490" w:rsidRPr="00C903F8" w:rsidRDefault="005C7859" w:rsidP="009B3495">
      <w:pPr>
        <w:pStyle w:val="ESlet"/>
        <w:rPr>
          <w:noProof/>
          <w:lang w:val="en-US"/>
        </w:rPr>
      </w:pPr>
      <w:r w:rsidRPr="00C903F8">
        <w:rPr>
          <w:noProof/>
          <w:lang w:val="en-US"/>
        </w:rPr>
        <w:t>b)</w:t>
      </w:r>
      <w:r w:rsidR="00125490" w:rsidRPr="00C903F8">
        <w:rPr>
          <w:noProof/>
          <w:lang w:val="en-US"/>
        </w:rPr>
        <w:tab/>
        <w:t>The steering position shall be arranged so as to accommodate work</w:t>
      </w:r>
      <w:r w:rsidR="00841719" w:rsidRPr="00C903F8">
        <w:rPr>
          <w:noProof/>
          <w:lang w:val="en-US"/>
        </w:rPr>
        <w:t xml:space="preserve"> </w:t>
      </w:r>
      <w:r w:rsidR="00125490" w:rsidRPr="00C903F8">
        <w:rPr>
          <w:noProof/>
          <w:lang w:val="en-US"/>
        </w:rPr>
        <w:t>stations for the persons mentioned in (a). The instruments for navigation, manoeuvring, monitoring and communication and other important operating controls shall be sufficiently close together to allow a second member of the crew as well as the helmsman to obtain the necessary information and to operate the controls and installations as necessary while seated. The following requirements shall apply in all cases:</w:t>
      </w:r>
    </w:p>
    <w:p w:rsidR="00125490" w:rsidRPr="00C903F8" w:rsidRDefault="0029453D" w:rsidP="009B3495">
      <w:pPr>
        <w:pStyle w:val="EStiret"/>
        <w:rPr>
          <w:lang w:val="en-US"/>
        </w:rPr>
      </w:pPr>
      <w:r w:rsidRPr="00C903F8">
        <w:rPr>
          <w:lang w:val="en-US"/>
        </w:rPr>
        <w:t>aa)</w:t>
      </w:r>
      <w:r w:rsidR="00125490" w:rsidRPr="00C903F8">
        <w:rPr>
          <w:lang w:val="en-US"/>
        </w:rPr>
        <w:tab/>
        <w:t>the steering position for the helmsman shall be arranged so as to allow radar navigation by one person</w:t>
      </w:r>
      <w:r w:rsidR="00AD176C" w:rsidRPr="00C903F8">
        <w:rPr>
          <w:lang w:val="en-US"/>
        </w:rPr>
        <w:t>;</w:t>
      </w:r>
    </w:p>
    <w:p w:rsidR="00125490" w:rsidRPr="00C903F8" w:rsidRDefault="0029453D" w:rsidP="009B3495">
      <w:pPr>
        <w:pStyle w:val="EStiret"/>
        <w:rPr>
          <w:lang w:val="en-US"/>
        </w:rPr>
      </w:pPr>
      <w:r w:rsidRPr="00C903F8">
        <w:rPr>
          <w:lang w:val="en-US"/>
        </w:rPr>
        <w:t>bb)</w:t>
      </w:r>
      <w:r w:rsidR="00125490" w:rsidRPr="00C903F8">
        <w:rPr>
          <w:lang w:val="en-US"/>
        </w:rPr>
        <w:tab/>
        <w:t>the second member of the crew shall have his own radar screen (slave) at his work station and shall be able to intervene from his work station to transmit information and control the propulsion of the vessel.</w:t>
      </w:r>
    </w:p>
    <w:p w:rsidR="00125490" w:rsidRPr="00C903F8" w:rsidRDefault="005C7859" w:rsidP="009B3495">
      <w:pPr>
        <w:pStyle w:val="ESlet"/>
        <w:rPr>
          <w:noProof/>
          <w:lang w:val="en-US"/>
        </w:rPr>
      </w:pPr>
      <w:r w:rsidRPr="00C903F8">
        <w:rPr>
          <w:noProof/>
          <w:lang w:val="en-US"/>
        </w:rPr>
        <w:t>c)</w:t>
      </w:r>
      <w:r w:rsidR="00125490" w:rsidRPr="00C903F8">
        <w:rPr>
          <w:noProof/>
          <w:lang w:val="en-US"/>
        </w:rPr>
        <w:tab/>
        <w:t>The persons mentioned in (a) shall be able to operate the installations mentioned in (b) without any hindrance, including when safety belts are properly worn.</w:t>
      </w:r>
    </w:p>
    <w:p w:rsidR="00125490" w:rsidRPr="00C903F8" w:rsidRDefault="00125490" w:rsidP="00125490">
      <w:pPr>
        <w:pStyle w:val="ESch"/>
        <w:rPr>
          <w:rFonts w:cs="Arial"/>
          <w:szCs w:val="20"/>
          <w:lang w:val="en-US"/>
        </w:rPr>
      </w:pPr>
    </w:p>
    <w:p w:rsidR="009B3495" w:rsidRPr="00C903F8" w:rsidRDefault="009B3495" w:rsidP="00125490">
      <w:pPr>
        <w:pStyle w:val="ESch"/>
        <w:rPr>
          <w:rFonts w:cs="Arial"/>
          <w:szCs w:val="20"/>
          <w:lang w:val="en-US"/>
        </w:rPr>
      </w:pPr>
      <w:r w:rsidRPr="00C903F8">
        <w:rPr>
          <w:rFonts w:cs="Arial"/>
          <w:szCs w:val="20"/>
          <w:lang w:val="en-US"/>
        </w:rPr>
        <w:br w:type="page"/>
      </w:r>
    </w:p>
    <w:p w:rsidR="00125490" w:rsidRPr="00C903F8" w:rsidRDefault="00125490" w:rsidP="00125490">
      <w:pPr>
        <w:pStyle w:val="ESch"/>
        <w:rPr>
          <w:noProof/>
          <w:szCs w:val="20"/>
          <w:lang w:val="en-US"/>
        </w:rPr>
      </w:pPr>
      <w:r w:rsidRPr="00C903F8">
        <w:rPr>
          <w:noProof/>
          <w:szCs w:val="20"/>
          <w:lang w:val="en-US"/>
        </w:rPr>
        <w:lastRenderedPageBreak/>
        <w:t>2.</w:t>
      </w:r>
      <w:r w:rsidRPr="00C903F8">
        <w:rPr>
          <w:noProof/>
          <w:szCs w:val="20"/>
          <w:lang w:val="en-US"/>
        </w:rPr>
        <w:tab/>
        <w:t>Unobstructed view</w:t>
      </w:r>
    </w:p>
    <w:p w:rsidR="00125490" w:rsidRPr="00C903F8" w:rsidRDefault="005C7859" w:rsidP="009B3495">
      <w:pPr>
        <w:pStyle w:val="ESlet"/>
        <w:rPr>
          <w:noProof/>
          <w:lang w:val="en-US"/>
        </w:rPr>
      </w:pPr>
      <w:r w:rsidRPr="00C903F8">
        <w:rPr>
          <w:noProof/>
          <w:lang w:val="en-US"/>
        </w:rPr>
        <w:t>a)</w:t>
      </w:r>
      <w:r w:rsidR="00125490" w:rsidRPr="00C903F8">
        <w:rPr>
          <w:noProof/>
          <w:lang w:val="en-US"/>
        </w:rPr>
        <w:tab/>
        <w:t xml:space="preserve">By way of derogation from Article 7.02(2), the area of </w:t>
      </w:r>
      <w:r w:rsidR="00125490" w:rsidRPr="00C903F8">
        <w:rPr>
          <w:szCs w:val="20"/>
          <w:lang w:val="en-US"/>
        </w:rPr>
        <w:t>obstructed vision for the helmsman in a seated position ahead of the vessel</w:t>
      </w:r>
      <w:r w:rsidR="00125490" w:rsidRPr="00C903F8">
        <w:rPr>
          <w:noProof/>
          <w:lang w:val="en-US"/>
        </w:rPr>
        <w:t xml:space="preserve"> shall not exceed one vessel length, irrespective of the </w:t>
      </w:r>
      <w:r w:rsidR="008D2F29" w:rsidRPr="00C903F8">
        <w:rPr>
          <w:noProof/>
          <w:lang w:val="en-US"/>
        </w:rPr>
        <w:t>loading conditions</w:t>
      </w:r>
      <w:r w:rsidR="00125490" w:rsidRPr="00C903F8">
        <w:rPr>
          <w:noProof/>
          <w:lang w:val="en-US"/>
        </w:rPr>
        <w:t>.</w:t>
      </w:r>
    </w:p>
    <w:p w:rsidR="00125490" w:rsidRPr="00C903F8" w:rsidRDefault="005C7859" w:rsidP="009B3495">
      <w:pPr>
        <w:pStyle w:val="ESlet"/>
        <w:rPr>
          <w:noProof/>
          <w:lang w:val="en-US"/>
        </w:rPr>
      </w:pPr>
      <w:r w:rsidRPr="00C903F8">
        <w:rPr>
          <w:noProof/>
          <w:lang w:val="en-US"/>
        </w:rPr>
        <w:t>b)</w:t>
      </w:r>
      <w:r w:rsidR="00125490" w:rsidRPr="00C903F8">
        <w:rPr>
          <w:noProof/>
          <w:lang w:val="en-US"/>
        </w:rPr>
        <w:tab/>
        <w:t>By way of derogation from Article 7.02(3), the sum of the blind sector arcs from dead ahead to 22,5° abaft the beam, on either side, shall not exceed 20°. Each individual blind sector shall not exceed 5°. The sector of visibility between two blind sectors shall not be less than 10°.</w:t>
      </w:r>
    </w:p>
    <w:p w:rsidR="009B3495" w:rsidRPr="00C903F8" w:rsidRDefault="009B3495" w:rsidP="00125490">
      <w:pPr>
        <w:pStyle w:val="ESch"/>
        <w:rPr>
          <w:noProof/>
          <w:szCs w:val="20"/>
          <w:lang w:val="en-US"/>
        </w:rPr>
      </w:pPr>
    </w:p>
    <w:p w:rsidR="00125490" w:rsidRPr="00C903F8" w:rsidRDefault="00125490" w:rsidP="00125490">
      <w:pPr>
        <w:pStyle w:val="ESch"/>
        <w:rPr>
          <w:noProof/>
          <w:szCs w:val="20"/>
          <w:lang w:val="en-US"/>
        </w:rPr>
      </w:pPr>
      <w:r w:rsidRPr="00C903F8">
        <w:rPr>
          <w:noProof/>
          <w:szCs w:val="20"/>
          <w:lang w:val="en-US"/>
        </w:rPr>
        <w:t>3.</w:t>
      </w:r>
      <w:r w:rsidRPr="00C903F8">
        <w:rPr>
          <w:noProof/>
          <w:szCs w:val="20"/>
          <w:lang w:val="en-US"/>
        </w:rPr>
        <w:tab/>
        <w:t>Instruments</w:t>
      </w:r>
    </w:p>
    <w:p w:rsidR="009B3495" w:rsidRPr="00C903F8" w:rsidRDefault="009B3495" w:rsidP="009B3495">
      <w:pPr>
        <w:pStyle w:val="ESchpar"/>
        <w:rPr>
          <w:noProof/>
          <w:lang w:val="en-US"/>
        </w:rPr>
      </w:pPr>
    </w:p>
    <w:p w:rsidR="00125490" w:rsidRPr="00C903F8" w:rsidRDefault="00125490" w:rsidP="009B3495">
      <w:pPr>
        <w:pStyle w:val="ESchpar"/>
        <w:rPr>
          <w:noProof/>
          <w:lang w:val="en-US"/>
        </w:rPr>
      </w:pPr>
      <w:r w:rsidRPr="00C903F8">
        <w:rPr>
          <w:noProof/>
          <w:lang w:val="en-US"/>
        </w:rPr>
        <w:t>Panels of control and monitoring instruments for the installations mentioned in Article 29.1</w:t>
      </w:r>
      <w:r w:rsidR="00CF42AA" w:rsidRPr="00C903F8">
        <w:rPr>
          <w:noProof/>
          <w:lang w:val="en-US"/>
        </w:rPr>
        <w:t>0</w:t>
      </w:r>
      <w:r w:rsidRPr="00C903F8">
        <w:rPr>
          <w:noProof/>
          <w:lang w:val="en-US"/>
        </w:rPr>
        <w:t xml:space="preserve"> shall be in separate and clearly marked positions in the wheelhouse. This shall also apply, where appropriate, to controls for launching collective life</w:t>
      </w:r>
      <w:r w:rsidR="009732A1" w:rsidRPr="00C903F8">
        <w:rPr>
          <w:noProof/>
          <w:lang w:val="en-US"/>
        </w:rPr>
        <w:t>-</w:t>
      </w:r>
      <w:r w:rsidRPr="00C903F8">
        <w:rPr>
          <w:noProof/>
          <w:lang w:val="en-US"/>
        </w:rPr>
        <w:t>saving equipment.</w:t>
      </w:r>
    </w:p>
    <w:p w:rsidR="009B3495" w:rsidRPr="00C903F8" w:rsidRDefault="009B3495" w:rsidP="00125490">
      <w:pPr>
        <w:pStyle w:val="ESch"/>
        <w:rPr>
          <w:noProof/>
          <w:szCs w:val="20"/>
          <w:lang w:val="en-US"/>
        </w:rPr>
      </w:pPr>
    </w:p>
    <w:p w:rsidR="00125490" w:rsidRPr="00C903F8" w:rsidRDefault="00125490" w:rsidP="00125490">
      <w:pPr>
        <w:pStyle w:val="ESch"/>
        <w:rPr>
          <w:noProof/>
          <w:szCs w:val="20"/>
          <w:lang w:val="en-US"/>
        </w:rPr>
      </w:pPr>
      <w:r w:rsidRPr="00C903F8">
        <w:rPr>
          <w:noProof/>
          <w:szCs w:val="20"/>
          <w:lang w:val="en-US"/>
        </w:rPr>
        <w:t>4.</w:t>
      </w:r>
      <w:r w:rsidRPr="00C903F8">
        <w:rPr>
          <w:noProof/>
          <w:szCs w:val="20"/>
          <w:lang w:val="en-US"/>
        </w:rPr>
        <w:tab/>
        <w:t>Lighting</w:t>
      </w:r>
    </w:p>
    <w:p w:rsidR="009B3495" w:rsidRPr="00C903F8" w:rsidRDefault="009B3495" w:rsidP="009B3495">
      <w:pPr>
        <w:pStyle w:val="ESchpar"/>
        <w:rPr>
          <w:noProof/>
          <w:lang w:val="en-US"/>
        </w:rPr>
      </w:pPr>
    </w:p>
    <w:p w:rsidR="00125490" w:rsidRPr="00C903F8" w:rsidRDefault="00125490" w:rsidP="009B3495">
      <w:pPr>
        <w:pStyle w:val="ESchpar"/>
        <w:rPr>
          <w:noProof/>
          <w:lang w:val="en-US"/>
        </w:rPr>
      </w:pPr>
      <w:r w:rsidRPr="00C903F8">
        <w:rPr>
          <w:noProof/>
          <w:lang w:val="en-US"/>
        </w:rPr>
        <w:t>Red light shall be used for areas or pieces of equipment which shall be lit during use.</w:t>
      </w:r>
    </w:p>
    <w:p w:rsidR="009B3495" w:rsidRPr="00C903F8" w:rsidRDefault="009B3495" w:rsidP="00125490">
      <w:pPr>
        <w:pStyle w:val="ESch"/>
        <w:rPr>
          <w:noProof/>
          <w:szCs w:val="20"/>
          <w:lang w:val="en-US"/>
        </w:rPr>
      </w:pPr>
    </w:p>
    <w:p w:rsidR="00125490" w:rsidRPr="00C903F8" w:rsidRDefault="00125490" w:rsidP="00125490">
      <w:pPr>
        <w:pStyle w:val="ESch"/>
        <w:rPr>
          <w:noProof/>
          <w:szCs w:val="20"/>
          <w:lang w:val="en-US"/>
        </w:rPr>
      </w:pPr>
      <w:r w:rsidRPr="00C903F8">
        <w:rPr>
          <w:noProof/>
          <w:szCs w:val="20"/>
          <w:lang w:val="en-US"/>
        </w:rPr>
        <w:t>5.</w:t>
      </w:r>
      <w:r w:rsidRPr="00C903F8">
        <w:rPr>
          <w:noProof/>
          <w:szCs w:val="20"/>
          <w:lang w:val="en-US"/>
        </w:rPr>
        <w:tab/>
        <w:t>Windows</w:t>
      </w:r>
    </w:p>
    <w:p w:rsidR="009B3495" w:rsidRPr="00C903F8" w:rsidRDefault="009B3495" w:rsidP="009B3495">
      <w:pPr>
        <w:pStyle w:val="ESchpar"/>
        <w:rPr>
          <w:noProof/>
          <w:lang w:val="en-US"/>
        </w:rPr>
      </w:pPr>
    </w:p>
    <w:p w:rsidR="00125490" w:rsidRPr="00C903F8" w:rsidRDefault="00125490" w:rsidP="009B3495">
      <w:pPr>
        <w:pStyle w:val="ESchpar"/>
        <w:rPr>
          <w:noProof/>
          <w:lang w:val="en-US"/>
        </w:rPr>
      </w:pPr>
      <w:r w:rsidRPr="00C903F8">
        <w:rPr>
          <w:noProof/>
          <w:lang w:val="en-US"/>
        </w:rPr>
        <w:t>Reflections shall be avoided. A means for avoiding dazzle by sunlight shall be provided.</w:t>
      </w:r>
    </w:p>
    <w:p w:rsidR="009B3495" w:rsidRPr="00C903F8" w:rsidRDefault="009B3495" w:rsidP="00125490">
      <w:pPr>
        <w:pStyle w:val="ESch"/>
        <w:rPr>
          <w:noProof/>
          <w:szCs w:val="20"/>
          <w:lang w:val="en-US"/>
        </w:rPr>
      </w:pPr>
    </w:p>
    <w:p w:rsidR="00125490" w:rsidRPr="00C903F8" w:rsidRDefault="00125490" w:rsidP="00125490">
      <w:pPr>
        <w:pStyle w:val="ESch"/>
        <w:rPr>
          <w:noProof/>
          <w:szCs w:val="20"/>
          <w:lang w:val="en-US"/>
        </w:rPr>
      </w:pPr>
      <w:r w:rsidRPr="00C903F8">
        <w:rPr>
          <w:noProof/>
          <w:szCs w:val="20"/>
          <w:lang w:val="en-US"/>
        </w:rPr>
        <w:t>6.</w:t>
      </w:r>
      <w:r w:rsidRPr="00C903F8">
        <w:rPr>
          <w:noProof/>
          <w:szCs w:val="20"/>
          <w:lang w:val="en-US"/>
        </w:rPr>
        <w:tab/>
        <w:t>Surface materials</w:t>
      </w:r>
    </w:p>
    <w:p w:rsidR="009B3495" w:rsidRPr="00C903F8" w:rsidRDefault="009B3495" w:rsidP="009B3495">
      <w:pPr>
        <w:pStyle w:val="ESchpar"/>
        <w:rPr>
          <w:noProof/>
          <w:lang w:val="en-US"/>
        </w:rPr>
      </w:pPr>
    </w:p>
    <w:p w:rsidR="00125490" w:rsidRPr="00C903F8" w:rsidRDefault="00125490" w:rsidP="009B3495">
      <w:pPr>
        <w:pStyle w:val="ESchpar"/>
        <w:rPr>
          <w:noProof/>
          <w:lang w:val="en-US"/>
        </w:rPr>
      </w:pPr>
      <w:r w:rsidRPr="00C903F8">
        <w:rPr>
          <w:noProof/>
          <w:lang w:val="en-US"/>
        </w:rPr>
        <w:t>The use of reflective surface materials in the wheelhouse shall be avoided.</w:t>
      </w:r>
    </w:p>
    <w:p w:rsidR="00125490" w:rsidRPr="00C903F8" w:rsidRDefault="00125490" w:rsidP="00125490">
      <w:pPr>
        <w:pStyle w:val="ESch"/>
        <w:rPr>
          <w:rFonts w:cs="Arial"/>
          <w:szCs w:val="20"/>
          <w:lang w:val="en-US"/>
        </w:rPr>
      </w:pPr>
    </w:p>
    <w:p w:rsidR="00125490" w:rsidRPr="00C903F8" w:rsidRDefault="00125490" w:rsidP="00125490">
      <w:pPr>
        <w:pStyle w:val="ESch"/>
        <w:rPr>
          <w:rFonts w:cs="Arial"/>
          <w:szCs w:val="20"/>
          <w:lang w:val="en-US"/>
        </w:rPr>
      </w:pPr>
    </w:p>
    <w:p w:rsidR="00125490" w:rsidRPr="00C903F8" w:rsidRDefault="00125490" w:rsidP="00125490">
      <w:pPr>
        <w:pStyle w:val="ES-Titre3"/>
        <w:rPr>
          <w:rFonts w:cs="Arial"/>
          <w:i/>
          <w:lang w:val="en-US"/>
        </w:rPr>
      </w:pPr>
      <w:bookmarkStart w:id="267" w:name="_Toc491854255"/>
      <w:r w:rsidRPr="00C903F8">
        <w:rPr>
          <w:noProof/>
          <w:lang w:val="en-US"/>
        </w:rPr>
        <w:t>Article 29.0</w:t>
      </w:r>
      <w:r w:rsidR="00CF42AA" w:rsidRPr="00C903F8">
        <w:rPr>
          <w:noProof/>
          <w:lang w:val="en-US"/>
        </w:rPr>
        <w:t>7</w:t>
      </w:r>
      <w:r w:rsidRPr="00C903F8">
        <w:rPr>
          <w:noProof/>
          <w:lang w:val="en-US"/>
        </w:rPr>
        <w:br/>
      </w:r>
      <w:r w:rsidRPr="00C903F8">
        <w:rPr>
          <w:i/>
          <w:noProof/>
          <w:lang w:val="en-US"/>
        </w:rPr>
        <w:t>Additional equipment</w:t>
      </w:r>
      <w:bookmarkEnd w:id="267"/>
    </w:p>
    <w:p w:rsidR="00125490" w:rsidRPr="00C903F8" w:rsidRDefault="00125490" w:rsidP="00125490">
      <w:pPr>
        <w:pStyle w:val="ESch"/>
        <w:rPr>
          <w:rFonts w:cs="Arial"/>
          <w:szCs w:val="20"/>
          <w:lang w:val="en-US"/>
        </w:rPr>
      </w:pPr>
    </w:p>
    <w:p w:rsidR="00125490" w:rsidRPr="00C903F8" w:rsidRDefault="00125490" w:rsidP="00125490">
      <w:pPr>
        <w:pStyle w:val="ESgauche"/>
        <w:rPr>
          <w:lang w:val="en-US"/>
        </w:rPr>
      </w:pPr>
      <w:r w:rsidRPr="00C903F8">
        <w:rPr>
          <w:lang w:val="en-US"/>
        </w:rPr>
        <w:t>High-speed craft shall have the following equipment:</w:t>
      </w:r>
    </w:p>
    <w:p w:rsidR="00125490" w:rsidRPr="00C903F8" w:rsidRDefault="005C7859" w:rsidP="00125490">
      <w:pPr>
        <w:pStyle w:val="ESletgauche"/>
        <w:rPr>
          <w:lang w:val="en-US"/>
        </w:rPr>
      </w:pPr>
      <w:r w:rsidRPr="00C903F8">
        <w:rPr>
          <w:lang w:val="en-US"/>
        </w:rPr>
        <w:t>a)</w:t>
      </w:r>
      <w:r w:rsidR="00125490" w:rsidRPr="00C903F8">
        <w:rPr>
          <w:lang w:val="en-US"/>
        </w:rPr>
        <w:tab/>
        <w:t xml:space="preserve">a </w:t>
      </w:r>
      <w:r w:rsidR="005E325D" w:rsidRPr="00C903F8">
        <w:rPr>
          <w:lang w:val="en-US"/>
        </w:rPr>
        <w:t xml:space="preserve">navigational </w:t>
      </w:r>
      <w:r w:rsidR="00125490" w:rsidRPr="00C903F8">
        <w:rPr>
          <w:lang w:val="en-US"/>
        </w:rPr>
        <w:t xml:space="preserve">radar </w:t>
      </w:r>
      <w:r w:rsidR="005E325D" w:rsidRPr="00C903F8">
        <w:rPr>
          <w:lang w:val="en-US"/>
        </w:rPr>
        <w:t>installation</w:t>
      </w:r>
      <w:r w:rsidR="00125490" w:rsidRPr="00C903F8">
        <w:rPr>
          <w:lang w:val="en-US"/>
        </w:rPr>
        <w:t xml:space="preserve"> and rate-of-turn indicator according to Article 7.06(1)</w:t>
      </w:r>
      <w:r w:rsidR="008D2F29" w:rsidRPr="00C903F8">
        <w:rPr>
          <w:lang w:val="en-US"/>
        </w:rPr>
        <w:t>; and</w:t>
      </w:r>
    </w:p>
    <w:p w:rsidR="00125490" w:rsidRPr="00C903F8" w:rsidRDefault="005C7859" w:rsidP="00125490">
      <w:pPr>
        <w:pStyle w:val="ESletgauche"/>
        <w:rPr>
          <w:lang w:val="en-US"/>
        </w:rPr>
      </w:pPr>
      <w:r w:rsidRPr="00C903F8">
        <w:rPr>
          <w:lang w:val="en-US"/>
        </w:rPr>
        <w:t>b)</w:t>
      </w:r>
      <w:r w:rsidR="00125490" w:rsidRPr="00C903F8">
        <w:rPr>
          <w:lang w:val="en-US"/>
        </w:rPr>
        <w:tab/>
        <w:t>readily accessible individual life</w:t>
      </w:r>
      <w:r w:rsidR="009732A1" w:rsidRPr="00C903F8">
        <w:rPr>
          <w:lang w:val="en-US"/>
        </w:rPr>
        <w:t>-</w:t>
      </w:r>
      <w:r w:rsidR="00125490" w:rsidRPr="00C903F8">
        <w:rPr>
          <w:lang w:val="en-US"/>
        </w:rPr>
        <w:t xml:space="preserve">saving equipment installed conforming to </w:t>
      </w:r>
      <w:r w:rsidR="00ED0C30" w:rsidRPr="00C903F8">
        <w:rPr>
          <w:lang w:val="en-US"/>
        </w:rPr>
        <w:t>Article</w:t>
      </w:r>
      <w:r w:rsidR="00125490" w:rsidRPr="00C903F8">
        <w:rPr>
          <w:lang w:val="en-US"/>
        </w:rPr>
        <w:t xml:space="preserve"> 19.09(4).</w:t>
      </w:r>
    </w:p>
    <w:p w:rsidR="00125490" w:rsidRPr="00C903F8" w:rsidRDefault="00125490" w:rsidP="00125490">
      <w:pPr>
        <w:pStyle w:val="ESch"/>
        <w:rPr>
          <w:rFonts w:cs="Arial"/>
          <w:szCs w:val="20"/>
          <w:lang w:val="en-US"/>
        </w:rPr>
      </w:pPr>
    </w:p>
    <w:p w:rsidR="00125490" w:rsidRPr="00C903F8" w:rsidRDefault="00125490" w:rsidP="00125490">
      <w:pPr>
        <w:pStyle w:val="ESch"/>
        <w:rPr>
          <w:rFonts w:cs="Arial"/>
          <w:szCs w:val="20"/>
          <w:lang w:val="en-US"/>
        </w:rPr>
      </w:pPr>
    </w:p>
    <w:p w:rsidR="00125490" w:rsidRPr="00C903F8" w:rsidRDefault="00125490" w:rsidP="00125490">
      <w:pPr>
        <w:pStyle w:val="ES-Titre3"/>
        <w:rPr>
          <w:i/>
          <w:noProof/>
          <w:lang w:val="en-US"/>
        </w:rPr>
      </w:pPr>
      <w:bookmarkStart w:id="268" w:name="_Toc491854256"/>
      <w:r w:rsidRPr="00C903F8">
        <w:rPr>
          <w:noProof/>
          <w:lang w:val="en-US"/>
        </w:rPr>
        <w:t>Article 29.0</w:t>
      </w:r>
      <w:r w:rsidR="00CF42AA" w:rsidRPr="00C903F8">
        <w:rPr>
          <w:noProof/>
          <w:lang w:val="en-US"/>
        </w:rPr>
        <w:t>8</w:t>
      </w:r>
      <w:r w:rsidRPr="00C903F8">
        <w:rPr>
          <w:noProof/>
          <w:lang w:val="en-US"/>
        </w:rPr>
        <w:br/>
      </w:r>
      <w:r w:rsidRPr="00C903F8">
        <w:rPr>
          <w:bCs/>
          <w:i/>
          <w:noProof/>
          <w:lang w:val="en-US"/>
        </w:rPr>
        <w:t>Enclosed areas</w:t>
      </w:r>
      <w:bookmarkEnd w:id="268"/>
    </w:p>
    <w:p w:rsidR="00125490" w:rsidRPr="00C903F8" w:rsidRDefault="00125490" w:rsidP="00125490">
      <w:pPr>
        <w:pStyle w:val="ESch"/>
        <w:rPr>
          <w:noProof/>
          <w:szCs w:val="20"/>
          <w:lang w:val="en-US"/>
        </w:rPr>
      </w:pPr>
    </w:p>
    <w:p w:rsidR="00125490" w:rsidRPr="00C903F8" w:rsidRDefault="00125490" w:rsidP="00125490">
      <w:pPr>
        <w:pStyle w:val="ESch"/>
        <w:rPr>
          <w:noProof/>
          <w:szCs w:val="20"/>
          <w:lang w:val="en-US"/>
        </w:rPr>
      </w:pPr>
      <w:r w:rsidRPr="00C903F8">
        <w:rPr>
          <w:noProof/>
          <w:szCs w:val="20"/>
          <w:lang w:val="en-US"/>
        </w:rPr>
        <w:t>1.</w:t>
      </w:r>
      <w:r w:rsidRPr="00C903F8">
        <w:rPr>
          <w:noProof/>
          <w:szCs w:val="20"/>
          <w:lang w:val="en-US"/>
        </w:rPr>
        <w:tab/>
        <w:t>General</w:t>
      </w:r>
    </w:p>
    <w:p w:rsidR="00125490" w:rsidRPr="00C903F8" w:rsidRDefault="00125490" w:rsidP="00125490">
      <w:pPr>
        <w:pStyle w:val="ESchpar"/>
        <w:rPr>
          <w:noProof/>
          <w:lang w:val="en-US"/>
        </w:rPr>
      </w:pPr>
    </w:p>
    <w:p w:rsidR="00125490" w:rsidRPr="00C903F8" w:rsidRDefault="00125490" w:rsidP="00125490">
      <w:pPr>
        <w:pStyle w:val="ESchpar"/>
        <w:rPr>
          <w:noProof/>
          <w:lang w:val="en-US"/>
        </w:rPr>
      </w:pPr>
      <w:r w:rsidRPr="00C903F8">
        <w:rPr>
          <w:noProof/>
          <w:lang w:val="en-US"/>
        </w:rPr>
        <w:t>Public rooms and accommodation and the equipment they contain shall be designed so that any person making proper use of those facilities will not suffer injury during a normal and emergency start or stop, or during manoeuvring in normal cruise and in failure or malfunction conditions.</w:t>
      </w:r>
    </w:p>
    <w:p w:rsidR="00125490" w:rsidRPr="00C903F8" w:rsidRDefault="00125490" w:rsidP="00125490">
      <w:pPr>
        <w:pStyle w:val="ESch"/>
        <w:rPr>
          <w:noProof/>
          <w:szCs w:val="20"/>
          <w:lang w:val="en-US"/>
        </w:rPr>
      </w:pPr>
    </w:p>
    <w:p w:rsidR="009B3495" w:rsidRPr="00C903F8" w:rsidRDefault="009B3495" w:rsidP="00125490">
      <w:pPr>
        <w:pStyle w:val="ESch"/>
        <w:rPr>
          <w:noProof/>
          <w:szCs w:val="20"/>
          <w:lang w:val="en-US"/>
        </w:rPr>
      </w:pPr>
      <w:r w:rsidRPr="00C903F8">
        <w:rPr>
          <w:noProof/>
          <w:szCs w:val="20"/>
          <w:lang w:val="en-US"/>
        </w:rPr>
        <w:br w:type="page"/>
      </w:r>
    </w:p>
    <w:p w:rsidR="00125490" w:rsidRPr="00C903F8" w:rsidRDefault="00125490" w:rsidP="00125490">
      <w:pPr>
        <w:pStyle w:val="ESch"/>
        <w:rPr>
          <w:noProof/>
          <w:szCs w:val="20"/>
          <w:lang w:val="en-US"/>
        </w:rPr>
      </w:pPr>
      <w:r w:rsidRPr="00C903F8">
        <w:rPr>
          <w:noProof/>
          <w:szCs w:val="20"/>
          <w:lang w:val="en-US"/>
        </w:rPr>
        <w:lastRenderedPageBreak/>
        <w:t>2.</w:t>
      </w:r>
      <w:r w:rsidRPr="00C903F8">
        <w:rPr>
          <w:noProof/>
          <w:szCs w:val="20"/>
          <w:lang w:val="en-US"/>
        </w:rPr>
        <w:tab/>
        <w:t>Communication</w:t>
      </w:r>
    </w:p>
    <w:p w:rsidR="00125490" w:rsidRPr="00C903F8" w:rsidRDefault="005C7859" w:rsidP="00125490">
      <w:pPr>
        <w:pStyle w:val="ESlet"/>
        <w:rPr>
          <w:noProof/>
          <w:lang w:val="en-US"/>
        </w:rPr>
      </w:pPr>
      <w:r w:rsidRPr="00C903F8">
        <w:rPr>
          <w:noProof/>
          <w:lang w:val="en-US"/>
        </w:rPr>
        <w:t>a)</w:t>
      </w:r>
      <w:r w:rsidR="00125490" w:rsidRPr="00C903F8">
        <w:rPr>
          <w:noProof/>
          <w:lang w:val="en-US"/>
        </w:rPr>
        <w:tab/>
        <w:t>For the purpose of informing passengers of safety measures, all passenger vessels shall be fitted with optic and acoustic installations visible and audible to everyone on board.</w:t>
      </w:r>
    </w:p>
    <w:p w:rsidR="00125490" w:rsidRPr="00C903F8" w:rsidRDefault="005C7859" w:rsidP="00125490">
      <w:pPr>
        <w:pStyle w:val="ESlet"/>
        <w:rPr>
          <w:noProof/>
          <w:lang w:val="en-US"/>
        </w:rPr>
      </w:pPr>
      <w:r w:rsidRPr="00C903F8">
        <w:rPr>
          <w:noProof/>
          <w:lang w:val="en-US"/>
        </w:rPr>
        <w:t>b)</w:t>
      </w:r>
      <w:r w:rsidR="00125490" w:rsidRPr="00C903F8">
        <w:rPr>
          <w:noProof/>
          <w:lang w:val="en-US"/>
        </w:rPr>
        <w:tab/>
        <w:t>The installations described under (a) shall enable the boatmaster to give instructions to passengers.</w:t>
      </w:r>
    </w:p>
    <w:p w:rsidR="00125490" w:rsidRPr="00C903F8" w:rsidRDefault="005C7859" w:rsidP="00125490">
      <w:pPr>
        <w:pStyle w:val="ESlet"/>
        <w:rPr>
          <w:noProof/>
          <w:lang w:val="en-US"/>
        </w:rPr>
      </w:pPr>
      <w:r w:rsidRPr="00C903F8">
        <w:rPr>
          <w:noProof/>
          <w:lang w:val="en-US"/>
        </w:rPr>
        <w:t>c)</w:t>
      </w:r>
      <w:r w:rsidR="00125490" w:rsidRPr="00C903F8">
        <w:rPr>
          <w:noProof/>
          <w:lang w:val="en-US"/>
        </w:rPr>
        <w:tab/>
        <w:t>Every passenger shall have access to instructions for emergency situations close to their seat, including a plan of the vessel showing all exits, escape routes, emergency equipment, life</w:t>
      </w:r>
      <w:r w:rsidR="009732A1" w:rsidRPr="00C903F8">
        <w:rPr>
          <w:noProof/>
          <w:lang w:val="en-US"/>
        </w:rPr>
        <w:t>-</w:t>
      </w:r>
      <w:r w:rsidR="00125490" w:rsidRPr="00C903F8">
        <w:rPr>
          <w:noProof/>
          <w:lang w:val="en-US"/>
        </w:rPr>
        <w:t>saving equipment and instructions for the use of lifejackets.</w:t>
      </w:r>
    </w:p>
    <w:p w:rsidR="00125490" w:rsidRPr="00C903F8" w:rsidRDefault="00125490" w:rsidP="00125490">
      <w:pPr>
        <w:pStyle w:val="ESch"/>
        <w:rPr>
          <w:noProof/>
          <w:szCs w:val="20"/>
          <w:lang w:val="en-US"/>
        </w:rPr>
      </w:pPr>
    </w:p>
    <w:p w:rsidR="00125490" w:rsidRPr="00C903F8" w:rsidRDefault="00125490" w:rsidP="00125490">
      <w:pPr>
        <w:pStyle w:val="ESch"/>
        <w:rPr>
          <w:noProof/>
          <w:szCs w:val="20"/>
          <w:lang w:val="en-US"/>
        </w:rPr>
      </w:pPr>
    </w:p>
    <w:p w:rsidR="00125490" w:rsidRPr="00C903F8" w:rsidRDefault="00125490" w:rsidP="00125490">
      <w:pPr>
        <w:pStyle w:val="ES-Titre3"/>
        <w:rPr>
          <w:i/>
          <w:noProof/>
          <w:lang w:val="en-US"/>
        </w:rPr>
      </w:pPr>
      <w:bookmarkStart w:id="269" w:name="_Toc491854257"/>
      <w:r w:rsidRPr="00C903F8">
        <w:rPr>
          <w:noProof/>
          <w:lang w:val="en-US"/>
        </w:rPr>
        <w:t>Article 29.</w:t>
      </w:r>
      <w:r w:rsidR="00CF42AA" w:rsidRPr="00C903F8">
        <w:rPr>
          <w:noProof/>
          <w:lang w:val="en-US"/>
        </w:rPr>
        <w:t>09</w:t>
      </w:r>
      <w:r w:rsidRPr="00C903F8">
        <w:rPr>
          <w:noProof/>
          <w:lang w:val="en-US"/>
        </w:rPr>
        <w:br/>
      </w:r>
      <w:r w:rsidRPr="00C903F8">
        <w:rPr>
          <w:i/>
          <w:noProof/>
          <w:lang w:val="en-US"/>
        </w:rPr>
        <w:t>Exits and escape routes</w:t>
      </w:r>
      <w:bookmarkEnd w:id="269"/>
    </w:p>
    <w:p w:rsidR="00125490" w:rsidRPr="00C903F8" w:rsidRDefault="00125490" w:rsidP="00125490">
      <w:pPr>
        <w:pStyle w:val="ESch"/>
        <w:rPr>
          <w:noProof/>
          <w:szCs w:val="20"/>
          <w:lang w:val="en-US"/>
        </w:rPr>
      </w:pPr>
    </w:p>
    <w:p w:rsidR="00125490" w:rsidRPr="00C903F8" w:rsidRDefault="00125490" w:rsidP="00125490">
      <w:pPr>
        <w:pStyle w:val="ESgauche"/>
        <w:rPr>
          <w:lang w:val="en-US"/>
        </w:rPr>
      </w:pPr>
      <w:r w:rsidRPr="00C903F8">
        <w:rPr>
          <w:lang w:val="en-US"/>
        </w:rPr>
        <w:t>Exits and escape routes shall satisfy the following requirements:</w:t>
      </w:r>
    </w:p>
    <w:p w:rsidR="00125490" w:rsidRPr="00C903F8" w:rsidRDefault="005C7859" w:rsidP="00125490">
      <w:pPr>
        <w:pStyle w:val="ESletgauche"/>
        <w:rPr>
          <w:noProof/>
          <w:lang w:val="en-US"/>
        </w:rPr>
      </w:pPr>
      <w:r w:rsidRPr="00C903F8">
        <w:rPr>
          <w:noProof/>
          <w:lang w:val="en-US"/>
        </w:rPr>
        <w:t>a)</w:t>
      </w:r>
      <w:r w:rsidR="00125490" w:rsidRPr="00C903F8">
        <w:rPr>
          <w:noProof/>
          <w:lang w:val="en-US"/>
        </w:rPr>
        <w:tab/>
      </w:r>
      <w:r w:rsidR="00AD176C" w:rsidRPr="00C903F8">
        <w:rPr>
          <w:noProof/>
          <w:lang w:val="en-US"/>
        </w:rPr>
        <w:t>T</w:t>
      </w:r>
      <w:r w:rsidR="00125490" w:rsidRPr="00C903F8">
        <w:rPr>
          <w:noProof/>
          <w:lang w:val="en-US"/>
        </w:rPr>
        <w:t>here shall be easy, safe and quick access from the steering position to rooms and accommodation accessible to the public</w:t>
      </w:r>
      <w:r w:rsidR="00AD176C" w:rsidRPr="00C903F8">
        <w:rPr>
          <w:noProof/>
          <w:lang w:val="en-US"/>
        </w:rPr>
        <w:t>.</w:t>
      </w:r>
    </w:p>
    <w:p w:rsidR="00125490" w:rsidRPr="00C903F8" w:rsidRDefault="005C7859" w:rsidP="00125490">
      <w:pPr>
        <w:pStyle w:val="ESletgauche"/>
        <w:rPr>
          <w:noProof/>
          <w:lang w:val="en-US"/>
        </w:rPr>
      </w:pPr>
      <w:r w:rsidRPr="00C903F8">
        <w:rPr>
          <w:noProof/>
          <w:lang w:val="en-US"/>
        </w:rPr>
        <w:t>b)</w:t>
      </w:r>
      <w:r w:rsidR="00125490" w:rsidRPr="00C903F8">
        <w:rPr>
          <w:noProof/>
          <w:lang w:val="en-US"/>
        </w:rPr>
        <w:tab/>
      </w:r>
      <w:r w:rsidR="00AD176C" w:rsidRPr="00C903F8">
        <w:rPr>
          <w:noProof/>
          <w:lang w:val="en-US"/>
        </w:rPr>
        <w:t>E</w:t>
      </w:r>
      <w:r w:rsidR="00125490" w:rsidRPr="00C903F8">
        <w:rPr>
          <w:noProof/>
          <w:lang w:val="en-US"/>
        </w:rPr>
        <w:t>scape routes leading to emergency exits shall be clearly and permanently marked</w:t>
      </w:r>
      <w:r w:rsidR="00AD176C" w:rsidRPr="00C903F8">
        <w:rPr>
          <w:noProof/>
          <w:lang w:val="en-US"/>
        </w:rPr>
        <w:t>.</w:t>
      </w:r>
    </w:p>
    <w:p w:rsidR="00125490" w:rsidRPr="00C903F8" w:rsidRDefault="005C7859" w:rsidP="00125490">
      <w:pPr>
        <w:pStyle w:val="ESletgauche"/>
        <w:rPr>
          <w:noProof/>
          <w:lang w:val="en-US"/>
        </w:rPr>
      </w:pPr>
      <w:r w:rsidRPr="00C903F8">
        <w:rPr>
          <w:noProof/>
          <w:lang w:val="en-US"/>
        </w:rPr>
        <w:t>c)</w:t>
      </w:r>
      <w:r w:rsidR="00125490" w:rsidRPr="00C903F8">
        <w:rPr>
          <w:noProof/>
          <w:lang w:val="en-US"/>
        </w:rPr>
        <w:tab/>
      </w:r>
      <w:r w:rsidR="00AD176C" w:rsidRPr="00C903F8">
        <w:rPr>
          <w:noProof/>
          <w:lang w:val="en-US"/>
        </w:rPr>
        <w:t>A</w:t>
      </w:r>
      <w:r w:rsidR="00125490" w:rsidRPr="00C903F8">
        <w:rPr>
          <w:noProof/>
          <w:lang w:val="en-US"/>
        </w:rPr>
        <w:t>ll exits shall be properly marked. The operation of the opening mechanism shall be obvious from the outside and the inside</w:t>
      </w:r>
      <w:r w:rsidR="00AD176C" w:rsidRPr="00C903F8">
        <w:rPr>
          <w:noProof/>
          <w:lang w:val="en-US"/>
        </w:rPr>
        <w:t>.</w:t>
      </w:r>
    </w:p>
    <w:p w:rsidR="00125490" w:rsidRPr="00C903F8" w:rsidRDefault="0029453D" w:rsidP="00125490">
      <w:pPr>
        <w:pStyle w:val="ESletgauche"/>
        <w:rPr>
          <w:noProof/>
          <w:lang w:val="en-US"/>
        </w:rPr>
      </w:pPr>
      <w:r w:rsidRPr="00C903F8">
        <w:rPr>
          <w:noProof/>
          <w:lang w:val="en-US"/>
        </w:rPr>
        <w:t>d)</w:t>
      </w:r>
      <w:r w:rsidR="00125490" w:rsidRPr="00C903F8">
        <w:rPr>
          <w:noProof/>
          <w:lang w:val="en-US"/>
        </w:rPr>
        <w:tab/>
      </w:r>
      <w:r w:rsidR="00AD176C" w:rsidRPr="00C903F8">
        <w:rPr>
          <w:noProof/>
          <w:lang w:val="en-US"/>
        </w:rPr>
        <w:t>T</w:t>
      </w:r>
      <w:r w:rsidR="00125490" w:rsidRPr="00C903F8">
        <w:rPr>
          <w:noProof/>
          <w:lang w:val="en-US"/>
        </w:rPr>
        <w:t>he escape routes and emergency exits shall have a suitable safety guidance system</w:t>
      </w:r>
      <w:r w:rsidR="00AD176C" w:rsidRPr="00C903F8">
        <w:rPr>
          <w:noProof/>
          <w:lang w:val="en-US"/>
        </w:rPr>
        <w:t>.</w:t>
      </w:r>
    </w:p>
    <w:p w:rsidR="00125490" w:rsidRPr="00C903F8" w:rsidRDefault="0029453D" w:rsidP="00125490">
      <w:pPr>
        <w:pStyle w:val="ESletgauche"/>
        <w:rPr>
          <w:noProof/>
          <w:lang w:val="en-US"/>
        </w:rPr>
      </w:pPr>
      <w:r w:rsidRPr="00C903F8">
        <w:rPr>
          <w:noProof/>
          <w:lang w:val="en-US"/>
        </w:rPr>
        <w:t>e)</w:t>
      </w:r>
      <w:r w:rsidR="00125490" w:rsidRPr="00C903F8">
        <w:rPr>
          <w:noProof/>
          <w:lang w:val="en-US"/>
        </w:rPr>
        <w:tab/>
      </w:r>
      <w:r w:rsidR="00AD176C" w:rsidRPr="00C903F8">
        <w:rPr>
          <w:noProof/>
          <w:lang w:val="en-US"/>
        </w:rPr>
        <w:t>S</w:t>
      </w:r>
      <w:r w:rsidR="00125490" w:rsidRPr="00C903F8">
        <w:rPr>
          <w:noProof/>
          <w:lang w:val="en-US"/>
        </w:rPr>
        <w:t>ufficient space for a member of the crew shall be left next to exits.</w:t>
      </w:r>
    </w:p>
    <w:p w:rsidR="00125490" w:rsidRPr="00C903F8" w:rsidRDefault="00125490" w:rsidP="00125490">
      <w:pPr>
        <w:pStyle w:val="ESch"/>
        <w:rPr>
          <w:rFonts w:cs="Arial"/>
          <w:szCs w:val="20"/>
          <w:lang w:val="en-US"/>
        </w:rPr>
      </w:pPr>
    </w:p>
    <w:p w:rsidR="00125490" w:rsidRPr="00C903F8" w:rsidRDefault="00125490" w:rsidP="00125490">
      <w:pPr>
        <w:pStyle w:val="ESch"/>
        <w:rPr>
          <w:rFonts w:cs="Arial"/>
          <w:szCs w:val="20"/>
          <w:lang w:val="en-US"/>
        </w:rPr>
      </w:pPr>
    </w:p>
    <w:p w:rsidR="00125490" w:rsidRPr="00C903F8" w:rsidRDefault="00125490" w:rsidP="00125490">
      <w:pPr>
        <w:pStyle w:val="ES-Titre3"/>
        <w:rPr>
          <w:i/>
          <w:noProof/>
          <w:lang w:val="en-US"/>
        </w:rPr>
      </w:pPr>
      <w:bookmarkStart w:id="270" w:name="_Toc491854258"/>
      <w:r w:rsidRPr="00C903F8">
        <w:rPr>
          <w:noProof/>
          <w:lang w:val="en-US"/>
        </w:rPr>
        <w:t>Article 29.</w:t>
      </w:r>
      <w:r w:rsidR="00CF42AA" w:rsidRPr="00C903F8">
        <w:rPr>
          <w:noProof/>
          <w:lang w:val="en-US"/>
        </w:rPr>
        <w:t>10</w:t>
      </w:r>
      <w:r w:rsidRPr="00C903F8">
        <w:rPr>
          <w:noProof/>
          <w:lang w:val="en-US"/>
        </w:rPr>
        <w:br/>
      </w:r>
      <w:r w:rsidRPr="00C903F8">
        <w:rPr>
          <w:i/>
          <w:noProof/>
          <w:lang w:val="en-US"/>
        </w:rPr>
        <w:t>Fire protection and fire-fighting</w:t>
      </w:r>
      <w:bookmarkEnd w:id="270"/>
    </w:p>
    <w:p w:rsidR="00125490" w:rsidRPr="00C903F8" w:rsidRDefault="00125490" w:rsidP="00125490">
      <w:pPr>
        <w:pStyle w:val="ESch"/>
        <w:rPr>
          <w:noProof/>
          <w:szCs w:val="20"/>
          <w:lang w:val="en-US"/>
        </w:rPr>
      </w:pPr>
    </w:p>
    <w:p w:rsidR="00125490" w:rsidRPr="00C903F8" w:rsidRDefault="00125490" w:rsidP="00125490">
      <w:pPr>
        <w:pStyle w:val="ESch"/>
        <w:rPr>
          <w:noProof/>
          <w:szCs w:val="20"/>
          <w:lang w:val="en-US"/>
        </w:rPr>
      </w:pPr>
      <w:r w:rsidRPr="00C903F8">
        <w:rPr>
          <w:noProof/>
          <w:szCs w:val="20"/>
          <w:lang w:val="en-US"/>
        </w:rPr>
        <w:t>1.</w:t>
      </w:r>
      <w:r w:rsidRPr="00C903F8">
        <w:rPr>
          <w:noProof/>
          <w:szCs w:val="20"/>
          <w:lang w:val="en-US"/>
        </w:rPr>
        <w:tab/>
        <w:t>Corridors, rooms and accommodation accessible to the public and also galleys and engine rooms shall be connected to an appropriate fire alarm system. Any fire and its location shall be indicated automatically in a place permanently manned by shipboard personnel or crew members.</w:t>
      </w:r>
    </w:p>
    <w:p w:rsidR="00125490" w:rsidRPr="00C903F8" w:rsidRDefault="00125490" w:rsidP="00125490">
      <w:pPr>
        <w:pStyle w:val="ESch"/>
        <w:rPr>
          <w:noProof/>
          <w:szCs w:val="20"/>
          <w:lang w:val="en-US"/>
        </w:rPr>
      </w:pPr>
    </w:p>
    <w:p w:rsidR="00125490" w:rsidRPr="00C903F8" w:rsidRDefault="00125490" w:rsidP="00125490">
      <w:pPr>
        <w:pStyle w:val="ESch"/>
        <w:rPr>
          <w:noProof/>
          <w:szCs w:val="20"/>
          <w:lang w:val="en-US"/>
        </w:rPr>
      </w:pPr>
      <w:r w:rsidRPr="00C903F8">
        <w:rPr>
          <w:noProof/>
          <w:szCs w:val="20"/>
          <w:lang w:val="en-US"/>
        </w:rPr>
        <w:t>2.</w:t>
      </w:r>
      <w:r w:rsidRPr="00C903F8">
        <w:rPr>
          <w:noProof/>
          <w:szCs w:val="20"/>
          <w:lang w:val="en-US"/>
        </w:rPr>
        <w:tab/>
        <w:t>Engine rooms shall be equipped with a permanently installed fire-fighting system according to Article 13.05.</w:t>
      </w:r>
    </w:p>
    <w:p w:rsidR="00125490" w:rsidRPr="00C903F8" w:rsidRDefault="00125490" w:rsidP="00125490">
      <w:pPr>
        <w:pStyle w:val="ESch"/>
        <w:rPr>
          <w:noProof/>
          <w:szCs w:val="20"/>
          <w:lang w:val="en-US"/>
        </w:rPr>
      </w:pPr>
    </w:p>
    <w:p w:rsidR="00125490" w:rsidRPr="00C903F8" w:rsidRDefault="00125490" w:rsidP="00125490">
      <w:pPr>
        <w:pStyle w:val="ESch"/>
        <w:rPr>
          <w:rFonts w:cs="Arial"/>
          <w:szCs w:val="20"/>
          <w:lang w:val="en-US"/>
        </w:rPr>
      </w:pPr>
      <w:r w:rsidRPr="00C903F8">
        <w:rPr>
          <w:noProof/>
          <w:szCs w:val="20"/>
          <w:lang w:val="en-US"/>
        </w:rPr>
        <w:t>3.</w:t>
      </w:r>
      <w:r w:rsidRPr="00C903F8">
        <w:rPr>
          <w:noProof/>
          <w:szCs w:val="20"/>
          <w:lang w:val="en-US"/>
        </w:rPr>
        <w:tab/>
        <w:t>Rooms and accommodation accessible to the public and their escape routes shall be equipped with a pressurised water sprinkler system according to Article 13.04. It shall be possible to drain the used water rapidly and directly to the outside.</w:t>
      </w:r>
    </w:p>
    <w:p w:rsidR="00125490" w:rsidRPr="00C903F8" w:rsidRDefault="00125490" w:rsidP="00125490">
      <w:pPr>
        <w:pStyle w:val="ESch"/>
        <w:rPr>
          <w:rFonts w:cs="Arial"/>
          <w:szCs w:val="20"/>
          <w:lang w:val="en-US"/>
        </w:rPr>
      </w:pPr>
    </w:p>
    <w:p w:rsidR="007407E1" w:rsidRPr="00C903F8" w:rsidRDefault="007407E1" w:rsidP="00125490">
      <w:pPr>
        <w:pStyle w:val="ESch"/>
        <w:rPr>
          <w:rFonts w:cs="Arial"/>
          <w:szCs w:val="20"/>
          <w:lang w:val="en-US"/>
        </w:rPr>
      </w:pPr>
    </w:p>
    <w:p w:rsidR="007407E1" w:rsidRPr="00C903F8" w:rsidRDefault="007407E1" w:rsidP="007407E1">
      <w:pPr>
        <w:pStyle w:val="ES-Titre2"/>
        <w:rPr>
          <w:szCs w:val="24"/>
        </w:rPr>
      </w:pPr>
      <w:bookmarkStart w:id="271" w:name="_Toc491854259"/>
      <w:r w:rsidRPr="00C903F8">
        <w:lastRenderedPageBreak/>
        <w:t>Chapter 30</w:t>
      </w:r>
      <w:r w:rsidRPr="00C903F8">
        <w:br/>
      </w:r>
      <w:r w:rsidR="007957F9" w:rsidRPr="00C903F8">
        <w:rPr>
          <w:szCs w:val="24"/>
        </w:rPr>
        <w:t>Special provisions applicable to</w:t>
      </w:r>
      <w:r w:rsidR="00DF2560">
        <w:rPr>
          <w:szCs w:val="24"/>
        </w:rPr>
        <w:t xml:space="preserve"> craft</w:t>
      </w:r>
      <w:r w:rsidR="007957F9" w:rsidRPr="00C903F8">
        <w:rPr>
          <w:szCs w:val="24"/>
        </w:rPr>
        <w:t xml:space="preserve"> equipped with propulsion or auxiliary systems operating on fuels with a flashpoint equal to or lower than 55 °C</w:t>
      </w:r>
      <w:bookmarkEnd w:id="271"/>
    </w:p>
    <w:p w:rsidR="007407E1" w:rsidRPr="00C903F8" w:rsidRDefault="007407E1" w:rsidP="007407E1">
      <w:pPr>
        <w:pStyle w:val="ESgauche"/>
        <w:rPr>
          <w:lang w:val="en-US" w:eastAsia="en-US"/>
        </w:rPr>
      </w:pPr>
    </w:p>
    <w:p w:rsidR="007E5FD5" w:rsidRPr="00C903F8" w:rsidRDefault="007E5FD5" w:rsidP="007E5FD5">
      <w:pPr>
        <w:pStyle w:val="ES-Titre3"/>
        <w:rPr>
          <w:i/>
          <w:lang w:val="en-US"/>
        </w:rPr>
      </w:pPr>
      <w:bookmarkStart w:id="272" w:name="_Toc491854260"/>
      <w:r w:rsidRPr="00C903F8">
        <w:rPr>
          <w:lang w:val="en-US"/>
        </w:rPr>
        <w:t xml:space="preserve">Article </w:t>
      </w:r>
      <w:r w:rsidR="009F3E19" w:rsidRPr="00C903F8">
        <w:rPr>
          <w:lang w:val="en-GB"/>
        </w:rPr>
        <w:t>30</w:t>
      </w:r>
      <w:r w:rsidRPr="00C903F8">
        <w:rPr>
          <w:lang w:val="en-US"/>
        </w:rPr>
        <w:t>.01</w:t>
      </w:r>
      <w:r w:rsidR="00511351">
        <w:rPr>
          <w:lang w:val="en-US"/>
        </w:rPr>
        <w:br/>
      </w:r>
      <w:r w:rsidRPr="00C903F8">
        <w:rPr>
          <w:i/>
          <w:lang w:val="en-US"/>
        </w:rPr>
        <w:t>General</w:t>
      </w:r>
      <w:bookmarkEnd w:id="272"/>
    </w:p>
    <w:p w:rsidR="007E5FD5" w:rsidRPr="00C903F8" w:rsidRDefault="007E5FD5" w:rsidP="007E5FD5">
      <w:pPr>
        <w:autoSpaceDE/>
        <w:autoSpaceDN/>
        <w:spacing w:line="240" w:lineRule="atLeast"/>
        <w:ind w:left="0" w:firstLine="0"/>
        <w:rPr>
          <w:rFonts w:cs="Arial"/>
          <w:color w:val="000000"/>
          <w:szCs w:val="20"/>
          <w:lang w:val="en-US"/>
        </w:rPr>
      </w:pPr>
    </w:p>
    <w:p w:rsidR="007E5FD5" w:rsidRPr="00C903F8" w:rsidRDefault="007E5FD5" w:rsidP="007E5FD5">
      <w:pPr>
        <w:pStyle w:val="ESch"/>
        <w:rPr>
          <w:lang w:val="en-US"/>
        </w:rPr>
      </w:pPr>
      <w:r w:rsidRPr="00C903F8">
        <w:rPr>
          <w:lang w:val="en-US"/>
        </w:rPr>
        <w:t>1.</w:t>
      </w:r>
      <w:r w:rsidRPr="00C903F8">
        <w:rPr>
          <w:lang w:val="en-US"/>
        </w:rPr>
        <w:tab/>
        <w:t>For the purpose of this chapter “propulsion and auxiliary systems” means any system using fuel, including:</w:t>
      </w:r>
    </w:p>
    <w:p w:rsidR="007E5FD5" w:rsidRPr="00C903F8" w:rsidRDefault="007E5FD5" w:rsidP="007E5FD5">
      <w:pPr>
        <w:pStyle w:val="ESlet"/>
        <w:rPr>
          <w:lang w:val="en-GB"/>
        </w:rPr>
      </w:pPr>
      <w:r w:rsidRPr="00C903F8">
        <w:rPr>
          <w:lang w:val="en-GB"/>
        </w:rPr>
        <w:t>a)</w:t>
      </w:r>
      <w:r w:rsidRPr="00C903F8">
        <w:rPr>
          <w:lang w:val="en-GB"/>
        </w:rPr>
        <w:tab/>
        <w:t>fuel tanks, and tank connections,</w:t>
      </w:r>
    </w:p>
    <w:p w:rsidR="007E5FD5" w:rsidRPr="00C903F8" w:rsidRDefault="007E5FD5" w:rsidP="007E5FD5">
      <w:pPr>
        <w:pStyle w:val="ESlet"/>
        <w:rPr>
          <w:lang w:val="en-GB"/>
        </w:rPr>
      </w:pPr>
      <w:r w:rsidRPr="00C903F8">
        <w:rPr>
          <w:lang w:val="en-GB"/>
        </w:rPr>
        <w:t>b)</w:t>
      </w:r>
      <w:r w:rsidRPr="00C903F8">
        <w:rPr>
          <w:lang w:val="en-GB"/>
        </w:rPr>
        <w:tab/>
        <w:t>gas preparation systems,</w:t>
      </w:r>
    </w:p>
    <w:p w:rsidR="007E5FD5" w:rsidRPr="00C903F8" w:rsidRDefault="007E5FD5" w:rsidP="007E5FD5">
      <w:pPr>
        <w:pStyle w:val="ESlet"/>
        <w:rPr>
          <w:lang w:val="en-GB"/>
        </w:rPr>
      </w:pPr>
      <w:r w:rsidRPr="00C903F8">
        <w:rPr>
          <w:lang w:val="en-GB"/>
        </w:rPr>
        <w:t>c)</w:t>
      </w:r>
      <w:r w:rsidRPr="00C903F8">
        <w:rPr>
          <w:lang w:val="en-GB"/>
        </w:rPr>
        <w:tab/>
        <w:t>piping and valves,</w:t>
      </w:r>
    </w:p>
    <w:p w:rsidR="007E5FD5" w:rsidRPr="00C903F8" w:rsidRDefault="007E5FD5" w:rsidP="007E5FD5">
      <w:pPr>
        <w:pStyle w:val="ESlet"/>
        <w:rPr>
          <w:lang w:val="en-GB"/>
        </w:rPr>
      </w:pPr>
      <w:r w:rsidRPr="00C903F8">
        <w:rPr>
          <w:lang w:val="en-GB"/>
        </w:rPr>
        <w:t>d)</w:t>
      </w:r>
      <w:r w:rsidRPr="00C903F8">
        <w:rPr>
          <w:lang w:val="en-GB"/>
        </w:rPr>
        <w:tab/>
        <w:t>engines and turbines,</w:t>
      </w:r>
    </w:p>
    <w:p w:rsidR="007E5FD5" w:rsidRPr="00C903F8" w:rsidRDefault="007E5FD5" w:rsidP="007E5FD5">
      <w:pPr>
        <w:pStyle w:val="ESlet"/>
        <w:rPr>
          <w:lang w:val="en-GB"/>
        </w:rPr>
      </w:pPr>
      <w:r w:rsidRPr="00C903F8">
        <w:rPr>
          <w:lang w:val="en-GB"/>
        </w:rPr>
        <w:t>e)</w:t>
      </w:r>
      <w:r w:rsidRPr="00C903F8">
        <w:rPr>
          <w:lang w:val="en-GB"/>
        </w:rPr>
        <w:tab/>
        <w:t>control, monitoring and safety systems.</w:t>
      </w:r>
    </w:p>
    <w:p w:rsidR="007E5FD5" w:rsidRPr="00C903F8" w:rsidRDefault="007E5FD5" w:rsidP="007E5FD5">
      <w:pPr>
        <w:pStyle w:val="ESch"/>
        <w:rPr>
          <w:lang w:val="en-GB"/>
        </w:rPr>
      </w:pPr>
    </w:p>
    <w:p w:rsidR="007E5FD5" w:rsidRPr="00C903F8" w:rsidRDefault="007E5FD5" w:rsidP="007E5FD5">
      <w:pPr>
        <w:pStyle w:val="ESch"/>
        <w:rPr>
          <w:lang w:val="en-US"/>
        </w:rPr>
      </w:pPr>
      <w:r w:rsidRPr="00C903F8">
        <w:rPr>
          <w:lang w:val="en-US"/>
        </w:rPr>
        <w:t xml:space="preserve">2. </w:t>
      </w:r>
      <w:r w:rsidRPr="00C903F8">
        <w:rPr>
          <w:lang w:val="en-US"/>
        </w:rPr>
        <w:tab/>
        <w:t xml:space="preserve">By way of derogation from Article 8.01(3) and Article 8.05(1), (6), (9), (11) and (12) and the provisions of chapter </w:t>
      </w:r>
      <w:r w:rsidR="009F3E19" w:rsidRPr="00C903F8">
        <w:rPr>
          <w:lang w:val="en-US"/>
        </w:rPr>
        <w:t>9</w:t>
      </w:r>
      <w:r w:rsidRPr="00C903F8">
        <w:rPr>
          <w:lang w:val="en-US"/>
        </w:rPr>
        <w:t xml:space="preserve"> propulsion and auxiliary systems operating on fuels with a flashpoint equal to or lower than 55 °C may be installed on </w:t>
      </w:r>
      <w:r w:rsidR="000A13AD">
        <w:rPr>
          <w:lang w:val="en-US"/>
        </w:rPr>
        <w:t>craft</w:t>
      </w:r>
      <w:r w:rsidRPr="00C903F8">
        <w:rPr>
          <w:lang w:val="en-US"/>
        </w:rPr>
        <w:t xml:space="preserve"> provided that the requirements for these fuels laid down in this Chapter and Annex </w:t>
      </w:r>
      <w:r w:rsidR="009F3E19" w:rsidRPr="00C903F8">
        <w:rPr>
          <w:lang w:val="en-US"/>
        </w:rPr>
        <w:t>8</w:t>
      </w:r>
      <w:r w:rsidRPr="00C903F8">
        <w:rPr>
          <w:lang w:val="en-US"/>
        </w:rPr>
        <w:t xml:space="preserve"> have been complied with. </w:t>
      </w:r>
    </w:p>
    <w:p w:rsidR="007E5FD5" w:rsidRPr="00C903F8" w:rsidRDefault="007E5FD5" w:rsidP="007E5FD5">
      <w:pPr>
        <w:pStyle w:val="ESch"/>
        <w:rPr>
          <w:lang w:val="en-GB"/>
        </w:rPr>
      </w:pPr>
    </w:p>
    <w:p w:rsidR="007E5FD5" w:rsidRPr="00C903F8" w:rsidRDefault="007E5FD5" w:rsidP="007E5FD5">
      <w:pPr>
        <w:pStyle w:val="ESch"/>
        <w:rPr>
          <w:lang w:val="en-GB"/>
        </w:rPr>
      </w:pPr>
      <w:r w:rsidRPr="00C903F8">
        <w:rPr>
          <w:lang w:val="en-GB"/>
        </w:rPr>
        <w:t>3.</w:t>
      </w:r>
      <w:r w:rsidRPr="00C903F8">
        <w:rPr>
          <w:lang w:val="en-GB"/>
        </w:rPr>
        <w:tab/>
      </w:r>
      <w:r w:rsidRPr="00C903F8">
        <w:rPr>
          <w:snapToGrid w:val="0"/>
          <w:lang w:val="en-GB" w:eastAsia="de-DE"/>
        </w:rPr>
        <w:t xml:space="preserve">Propulsion and auxiliary systems according to </w:t>
      </w:r>
      <w:r w:rsidR="009413B2" w:rsidRPr="00C903F8">
        <w:rPr>
          <w:snapToGrid w:val="0"/>
          <w:lang w:val="en-GB" w:eastAsia="de-DE"/>
        </w:rPr>
        <w:t>(</w:t>
      </w:r>
      <w:r w:rsidRPr="00C903F8">
        <w:rPr>
          <w:snapToGrid w:val="0"/>
          <w:lang w:val="en-GB" w:eastAsia="de-DE"/>
        </w:rPr>
        <w:t>2</w:t>
      </w:r>
      <w:r w:rsidR="009413B2" w:rsidRPr="00C903F8">
        <w:rPr>
          <w:snapToGrid w:val="0"/>
          <w:lang w:val="en-GB" w:eastAsia="de-DE"/>
        </w:rPr>
        <w:t>)</w:t>
      </w:r>
      <w:r w:rsidRPr="00C903F8">
        <w:rPr>
          <w:lang w:val="en-GB"/>
        </w:rPr>
        <w:t xml:space="preserve"> shall be constructed and installed under the supervision of the inspection body. </w:t>
      </w:r>
    </w:p>
    <w:p w:rsidR="007E5FD5" w:rsidRPr="00C903F8" w:rsidRDefault="007E5FD5" w:rsidP="007E5FD5">
      <w:pPr>
        <w:pStyle w:val="ESch"/>
        <w:rPr>
          <w:lang w:val="en-GB"/>
        </w:rPr>
      </w:pPr>
    </w:p>
    <w:p w:rsidR="007E5FD5" w:rsidRPr="00C903F8" w:rsidRDefault="007E5FD5" w:rsidP="007E5FD5">
      <w:pPr>
        <w:pStyle w:val="ESch"/>
        <w:rPr>
          <w:lang w:val="en-GB"/>
        </w:rPr>
      </w:pPr>
      <w:r w:rsidRPr="00C903F8">
        <w:rPr>
          <w:lang w:val="en-GB"/>
        </w:rPr>
        <w:t>4.</w:t>
      </w:r>
      <w:r w:rsidRPr="00C903F8">
        <w:rPr>
          <w:lang w:val="en-GB"/>
        </w:rPr>
        <w:tab/>
        <w:t xml:space="preserve">For the purpose of discharging tasks pursuant to this chapter, the inspection body may employ a technical service in accordance with Article </w:t>
      </w:r>
      <w:r w:rsidR="009F3E19" w:rsidRPr="00C903F8">
        <w:rPr>
          <w:lang w:val="en-GB"/>
        </w:rPr>
        <w:t>30</w:t>
      </w:r>
      <w:r w:rsidRPr="00C903F8">
        <w:rPr>
          <w:lang w:val="en-GB"/>
        </w:rPr>
        <w:t xml:space="preserve">.07. </w:t>
      </w:r>
    </w:p>
    <w:p w:rsidR="007E5FD5" w:rsidRPr="00C903F8" w:rsidRDefault="007E5FD5" w:rsidP="007E5FD5">
      <w:pPr>
        <w:pStyle w:val="ESch"/>
        <w:rPr>
          <w:lang w:val="en-GB"/>
        </w:rPr>
      </w:pPr>
    </w:p>
    <w:p w:rsidR="007E5FD5" w:rsidRPr="00C903F8" w:rsidRDefault="007E5FD5" w:rsidP="007E5FD5">
      <w:pPr>
        <w:pStyle w:val="ESch"/>
        <w:rPr>
          <w:lang w:val="en-GB"/>
        </w:rPr>
      </w:pPr>
      <w:r w:rsidRPr="00C903F8">
        <w:rPr>
          <w:lang w:val="en-GB"/>
        </w:rPr>
        <w:t>5.</w:t>
      </w:r>
      <w:r w:rsidRPr="00C903F8">
        <w:rPr>
          <w:lang w:val="en-GB"/>
        </w:rPr>
        <w:tab/>
        <w:t xml:space="preserve">Before commissioning of a </w:t>
      </w:r>
      <w:r w:rsidRPr="00C903F8">
        <w:rPr>
          <w:snapToGrid w:val="0"/>
          <w:lang w:val="en-GB" w:eastAsia="de-DE"/>
        </w:rPr>
        <w:t xml:space="preserve">propulsion or auxiliary system according to </w:t>
      </w:r>
      <w:r w:rsidR="009413B2" w:rsidRPr="00C903F8">
        <w:rPr>
          <w:snapToGrid w:val="0"/>
          <w:lang w:val="en-GB" w:eastAsia="de-DE"/>
        </w:rPr>
        <w:t>(</w:t>
      </w:r>
      <w:r w:rsidRPr="00C903F8">
        <w:rPr>
          <w:snapToGrid w:val="0"/>
          <w:lang w:val="en-GB" w:eastAsia="de-DE"/>
        </w:rPr>
        <w:t>2</w:t>
      </w:r>
      <w:r w:rsidR="009413B2" w:rsidRPr="00C903F8">
        <w:rPr>
          <w:snapToGrid w:val="0"/>
          <w:lang w:val="en-GB" w:eastAsia="de-DE"/>
        </w:rPr>
        <w:t>)</w:t>
      </w:r>
      <w:r w:rsidRPr="00C903F8">
        <w:rPr>
          <w:lang w:val="en-GB"/>
        </w:rPr>
        <w:t>, the following documents shall be submitted to the inspection body:</w:t>
      </w:r>
    </w:p>
    <w:p w:rsidR="007E5FD5" w:rsidRPr="00C903F8" w:rsidRDefault="007E5FD5" w:rsidP="007E5FD5">
      <w:pPr>
        <w:pStyle w:val="ESlet"/>
        <w:rPr>
          <w:lang w:val="en-GB"/>
        </w:rPr>
      </w:pPr>
      <w:r w:rsidRPr="00C903F8">
        <w:rPr>
          <w:lang w:val="en-GB"/>
        </w:rPr>
        <w:t>a)</w:t>
      </w:r>
      <w:r w:rsidRPr="00C903F8">
        <w:rPr>
          <w:lang w:val="en-GB"/>
        </w:rPr>
        <w:tab/>
        <w:t xml:space="preserve">a risk assessment according to Annex </w:t>
      </w:r>
      <w:r w:rsidR="009F3E19" w:rsidRPr="00C903F8">
        <w:rPr>
          <w:lang w:val="en-GB"/>
        </w:rPr>
        <w:t>8</w:t>
      </w:r>
      <w:r w:rsidRPr="00C903F8">
        <w:rPr>
          <w:lang w:val="en-GB"/>
        </w:rPr>
        <w:t>,</w:t>
      </w:r>
    </w:p>
    <w:p w:rsidR="007E5FD5" w:rsidRPr="00C903F8" w:rsidRDefault="007E5FD5" w:rsidP="007E5FD5">
      <w:pPr>
        <w:pStyle w:val="ESlet"/>
        <w:rPr>
          <w:lang w:val="en-GB"/>
        </w:rPr>
      </w:pPr>
      <w:r w:rsidRPr="00C903F8">
        <w:rPr>
          <w:lang w:val="en-GB"/>
        </w:rPr>
        <w:t>b)</w:t>
      </w:r>
      <w:r w:rsidRPr="00C903F8">
        <w:rPr>
          <w:lang w:val="en-GB"/>
        </w:rPr>
        <w:tab/>
        <w:t xml:space="preserve">a description of the </w:t>
      </w:r>
      <w:r w:rsidRPr="00C903F8">
        <w:rPr>
          <w:snapToGrid w:val="0"/>
          <w:lang w:val="en-GB" w:eastAsia="de-DE"/>
        </w:rPr>
        <w:t>propulsion or auxiliary system</w:t>
      </w:r>
      <w:r w:rsidRPr="00C903F8">
        <w:rPr>
          <w:lang w:val="en-GB"/>
        </w:rPr>
        <w:t>,</w:t>
      </w:r>
    </w:p>
    <w:p w:rsidR="007E5FD5" w:rsidRPr="00C903F8" w:rsidRDefault="007E5FD5" w:rsidP="007E5FD5">
      <w:pPr>
        <w:pStyle w:val="ESlet"/>
        <w:rPr>
          <w:lang w:val="en-GB"/>
        </w:rPr>
      </w:pPr>
      <w:r w:rsidRPr="00C903F8">
        <w:rPr>
          <w:lang w:val="en-GB"/>
        </w:rPr>
        <w:t>c)</w:t>
      </w:r>
      <w:r w:rsidRPr="00C903F8">
        <w:rPr>
          <w:lang w:val="en-GB"/>
        </w:rPr>
        <w:tab/>
        <w:t xml:space="preserve">drawings of the </w:t>
      </w:r>
      <w:r w:rsidRPr="00C903F8">
        <w:rPr>
          <w:snapToGrid w:val="0"/>
          <w:lang w:val="en-GB" w:eastAsia="de-DE"/>
        </w:rPr>
        <w:t>propulsion or auxiliary system</w:t>
      </w:r>
      <w:r w:rsidRPr="00C903F8">
        <w:rPr>
          <w:lang w:val="en-GB"/>
        </w:rPr>
        <w:t>,</w:t>
      </w:r>
    </w:p>
    <w:p w:rsidR="007E5FD5" w:rsidRPr="00C903F8" w:rsidRDefault="007E5FD5" w:rsidP="007E5FD5">
      <w:pPr>
        <w:pStyle w:val="ESlet"/>
        <w:rPr>
          <w:lang w:val="en-GB"/>
        </w:rPr>
      </w:pPr>
      <w:r w:rsidRPr="00C903F8">
        <w:rPr>
          <w:lang w:val="en-GB"/>
        </w:rPr>
        <w:t>d)</w:t>
      </w:r>
      <w:r w:rsidRPr="00C903F8">
        <w:rPr>
          <w:lang w:val="en-GB"/>
        </w:rPr>
        <w:tab/>
        <w:t>a diagram of the pressure and temperature within the system,</w:t>
      </w:r>
    </w:p>
    <w:p w:rsidR="007E5FD5" w:rsidRPr="00C903F8" w:rsidRDefault="007E5FD5" w:rsidP="007E5FD5">
      <w:pPr>
        <w:pStyle w:val="ESlet"/>
        <w:rPr>
          <w:lang w:val="en-GB"/>
        </w:rPr>
      </w:pPr>
      <w:r w:rsidRPr="00C903F8">
        <w:rPr>
          <w:lang w:val="en-GB"/>
        </w:rPr>
        <w:t>e)</w:t>
      </w:r>
      <w:r w:rsidRPr="00C903F8">
        <w:rPr>
          <w:lang w:val="en-GB"/>
        </w:rPr>
        <w:tab/>
        <w:t>an operating manual containing all applicable procedures, intended for practical use of the system,</w:t>
      </w:r>
    </w:p>
    <w:p w:rsidR="007E5FD5" w:rsidRPr="00C903F8" w:rsidRDefault="007E5FD5" w:rsidP="007E5FD5">
      <w:pPr>
        <w:pStyle w:val="ESlet"/>
        <w:rPr>
          <w:lang w:val="en-GB"/>
        </w:rPr>
      </w:pPr>
      <w:r w:rsidRPr="00C903F8">
        <w:rPr>
          <w:lang w:val="en-GB"/>
        </w:rPr>
        <w:t>f)</w:t>
      </w:r>
      <w:r w:rsidRPr="00C903F8">
        <w:rPr>
          <w:lang w:val="en-GB"/>
        </w:rPr>
        <w:tab/>
        <w:t xml:space="preserve">a safety rota according to Article </w:t>
      </w:r>
      <w:r w:rsidR="009F3E19" w:rsidRPr="00C903F8">
        <w:rPr>
          <w:lang w:val="en-GB"/>
        </w:rPr>
        <w:t>30</w:t>
      </w:r>
      <w:r w:rsidRPr="00C903F8">
        <w:rPr>
          <w:lang w:val="en-GB"/>
        </w:rPr>
        <w:t>.03,</w:t>
      </w:r>
    </w:p>
    <w:p w:rsidR="007E5FD5" w:rsidRPr="00C903F8" w:rsidRDefault="007E5FD5" w:rsidP="007E5FD5">
      <w:pPr>
        <w:pStyle w:val="ESlet"/>
        <w:rPr>
          <w:lang w:val="en-GB"/>
        </w:rPr>
      </w:pPr>
      <w:r w:rsidRPr="00C903F8">
        <w:rPr>
          <w:lang w:val="en-GB"/>
        </w:rPr>
        <w:t>g)</w:t>
      </w:r>
      <w:r w:rsidRPr="00C903F8">
        <w:rPr>
          <w:lang w:val="en-GB"/>
        </w:rPr>
        <w:tab/>
        <w:t xml:space="preserve">a copy of the inspection certificate referred to in article </w:t>
      </w:r>
      <w:r w:rsidR="009F3E19" w:rsidRPr="00C903F8">
        <w:rPr>
          <w:lang w:val="en-GB"/>
        </w:rPr>
        <w:t>30</w:t>
      </w:r>
      <w:r w:rsidR="0084166A">
        <w:rPr>
          <w:lang w:val="en-GB"/>
        </w:rPr>
        <w:t>.02(4</w:t>
      </w:r>
      <w:r w:rsidRPr="00C903F8">
        <w:rPr>
          <w:lang w:val="en-GB"/>
        </w:rPr>
        <w:t>).</w:t>
      </w:r>
    </w:p>
    <w:p w:rsidR="007E5FD5" w:rsidRPr="00C903F8" w:rsidRDefault="007E5FD5" w:rsidP="007E5FD5">
      <w:pPr>
        <w:pStyle w:val="ESch"/>
        <w:rPr>
          <w:lang w:val="en-GB"/>
        </w:rPr>
      </w:pPr>
    </w:p>
    <w:p w:rsidR="007E5FD5" w:rsidRPr="00C903F8" w:rsidRDefault="007E5FD5" w:rsidP="007E5FD5">
      <w:pPr>
        <w:pStyle w:val="ESch"/>
        <w:rPr>
          <w:lang w:val="en-GB"/>
        </w:rPr>
      </w:pPr>
      <w:r w:rsidRPr="00C903F8">
        <w:rPr>
          <w:lang w:val="en-GB"/>
        </w:rPr>
        <w:t>6.</w:t>
      </w:r>
      <w:r w:rsidRPr="00C903F8">
        <w:rPr>
          <w:lang w:val="en-GB"/>
        </w:rPr>
        <w:tab/>
        <w:t xml:space="preserve">A copy of the documents mentioned in </w:t>
      </w:r>
      <w:r w:rsidR="009413B2" w:rsidRPr="00C903F8">
        <w:rPr>
          <w:lang w:val="en-GB"/>
        </w:rPr>
        <w:t>(</w:t>
      </w:r>
      <w:r w:rsidRPr="00C903F8">
        <w:rPr>
          <w:lang w:val="en-GB"/>
        </w:rPr>
        <w:t>5</w:t>
      </w:r>
      <w:r w:rsidR="009413B2" w:rsidRPr="00C903F8">
        <w:rPr>
          <w:lang w:val="en-GB"/>
        </w:rPr>
        <w:t>)</w:t>
      </w:r>
      <w:r w:rsidRPr="00C903F8">
        <w:rPr>
          <w:lang w:val="en-GB"/>
        </w:rPr>
        <w:t xml:space="preserve"> shall be carried on board.</w:t>
      </w:r>
    </w:p>
    <w:p w:rsidR="007E5FD5" w:rsidRPr="00C903F8" w:rsidRDefault="007E5FD5" w:rsidP="007E5FD5">
      <w:pPr>
        <w:pStyle w:val="ESch"/>
        <w:rPr>
          <w:b/>
          <w:lang w:val="en-GB"/>
        </w:rPr>
      </w:pPr>
      <w:r w:rsidRPr="00C903F8">
        <w:rPr>
          <w:b/>
          <w:lang w:val="en-GB"/>
        </w:rPr>
        <w:br w:type="page"/>
      </w:r>
    </w:p>
    <w:p w:rsidR="007E5FD5" w:rsidRPr="00C903F8" w:rsidRDefault="009F3E19" w:rsidP="007E5FD5">
      <w:pPr>
        <w:pStyle w:val="ES-Titre3"/>
        <w:rPr>
          <w:i/>
          <w:lang w:val="en-GB"/>
        </w:rPr>
      </w:pPr>
      <w:bookmarkStart w:id="273" w:name="_Toc491854261"/>
      <w:r w:rsidRPr="00C903F8">
        <w:rPr>
          <w:lang w:val="en-GB"/>
        </w:rPr>
        <w:lastRenderedPageBreak/>
        <w:t>Article 30</w:t>
      </w:r>
      <w:r w:rsidR="007E5FD5" w:rsidRPr="00C903F8">
        <w:rPr>
          <w:lang w:val="en-GB"/>
        </w:rPr>
        <w:t>.02</w:t>
      </w:r>
      <w:r w:rsidR="00511351">
        <w:rPr>
          <w:lang w:val="en-GB"/>
        </w:rPr>
        <w:br/>
      </w:r>
      <w:r w:rsidR="007E5FD5" w:rsidRPr="00C903F8">
        <w:rPr>
          <w:i/>
          <w:lang w:val="en-GB"/>
        </w:rPr>
        <w:t>Testing</w:t>
      </w:r>
      <w:bookmarkEnd w:id="273"/>
    </w:p>
    <w:p w:rsidR="007E5FD5" w:rsidRPr="00C903F8" w:rsidRDefault="007E5FD5" w:rsidP="007E5FD5">
      <w:pPr>
        <w:pStyle w:val="ESch"/>
        <w:rPr>
          <w:lang w:val="en-GB"/>
        </w:rPr>
      </w:pPr>
    </w:p>
    <w:p w:rsidR="007E5FD5" w:rsidRPr="00C903F8" w:rsidRDefault="007E5FD5" w:rsidP="007E5FD5">
      <w:pPr>
        <w:pStyle w:val="ESch"/>
        <w:rPr>
          <w:lang w:val="en-GB"/>
        </w:rPr>
      </w:pPr>
      <w:r w:rsidRPr="00C903F8">
        <w:rPr>
          <w:lang w:val="en-GB"/>
        </w:rPr>
        <w:t>1.</w:t>
      </w:r>
      <w:r w:rsidRPr="00C903F8">
        <w:rPr>
          <w:lang w:val="en-GB"/>
        </w:rPr>
        <w:tab/>
      </w:r>
      <w:r w:rsidRPr="00C903F8">
        <w:rPr>
          <w:snapToGrid w:val="0"/>
          <w:lang w:val="en-GB" w:eastAsia="de-DE"/>
        </w:rPr>
        <w:t>Propulsion and auxiliary systems operating on</w:t>
      </w:r>
      <w:r w:rsidRPr="00C903F8">
        <w:rPr>
          <w:lang w:val="en-US"/>
        </w:rPr>
        <w:t xml:space="preserve"> fuels with a flashpoint equal to or lower than 55 °C</w:t>
      </w:r>
      <w:r w:rsidRPr="00C903F8">
        <w:rPr>
          <w:snapToGrid w:val="0"/>
          <w:lang w:val="en-GB" w:eastAsia="de-DE"/>
        </w:rPr>
        <w:t xml:space="preserve"> </w:t>
      </w:r>
      <w:r w:rsidRPr="00C903F8">
        <w:rPr>
          <w:lang w:val="en-GB"/>
        </w:rPr>
        <w:t>shall be inspected by a</w:t>
      </w:r>
      <w:r w:rsidR="00984930" w:rsidRPr="00C903F8">
        <w:rPr>
          <w:lang w:val="en-GB"/>
        </w:rPr>
        <w:t>n</w:t>
      </w:r>
      <w:r w:rsidRPr="00C903F8">
        <w:rPr>
          <w:lang w:val="en-GB"/>
        </w:rPr>
        <w:t xml:space="preserve"> inspection body: </w:t>
      </w:r>
    </w:p>
    <w:p w:rsidR="007E5FD5" w:rsidRPr="00C903F8" w:rsidRDefault="007E5FD5" w:rsidP="007E5FD5">
      <w:pPr>
        <w:pStyle w:val="ESlet"/>
        <w:rPr>
          <w:lang w:val="en-GB"/>
        </w:rPr>
      </w:pPr>
      <w:r w:rsidRPr="00C903F8">
        <w:rPr>
          <w:lang w:val="en-GB"/>
        </w:rPr>
        <w:t>a)</w:t>
      </w:r>
      <w:r w:rsidRPr="00C903F8">
        <w:rPr>
          <w:lang w:val="en-GB"/>
        </w:rPr>
        <w:tab/>
        <w:t>before commissioning,</w:t>
      </w:r>
    </w:p>
    <w:p w:rsidR="007E5FD5" w:rsidRPr="00C903F8" w:rsidRDefault="007E5FD5" w:rsidP="007E5FD5">
      <w:pPr>
        <w:pStyle w:val="ESlet"/>
        <w:rPr>
          <w:lang w:val="en-GB"/>
        </w:rPr>
      </w:pPr>
      <w:r w:rsidRPr="00C903F8">
        <w:rPr>
          <w:lang w:val="en-GB"/>
        </w:rPr>
        <w:t>b)</w:t>
      </w:r>
      <w:r w:rsidRPr="00C903F8">
        <w:rPr>
          <w:lang w:val="en-GB"/>
        </w:rPr>
        <w:tab/>
        <w:t>after any modification or repair,</w:t>
      </w:r>
    </w:p>
    <w:p w:rsidR="007E5FD5" w:rsidRPr="00C903F8" w:rsidRDefault="007E5FD5" w:rsidP="007E5FD5">
      <w:pPr>
        <w:pStyle w:val="ESlet"/>
        <w:rPr>
          <w:lang w:val="en-GB"/>
        </w:rPr>
      </w:pPr>
      <w:r w:rsidRPr="00C903F8">
        <w:rPr>
          <w:lang w:val="en-GB"/>
        </w:rPr>
        <w:t>c)</w:t>
      </w:r>
      <w:r w:rsidRPr="00C903F8">
        <w:rPr>
          <w:lang w:val="en-GB"/>
        </w:rPr>
        <w:tab/>
        <w:t>regularly, at least once a year.</w:t>
      </w:r>
    </w:p>
    <w:p w:rsidR="007E5FD5" w:rsidRPr="00C903F8" w:rsidRDefault="007E5FD5" w:rsidP="007E5FD5">
      <w:pPr>
        <w:pStyle w:val="ESchpar"/>
        <w:rPr>
          <w:lang w:val="en-GB"/>
        </w:rPr>
      </w:pPr>
    </w:p>
    <w:p w:rsidR="007E5FD5" w:rsidRPr="00C903F8" w:rsidRDefault="007E5FD5" w:rsidP="007E5FD5">
      <w:pPr>
        <w:pStyle w:val="ESchpar"/>
        <w:rPr>
          <w:lang w:val="en-GB"/>
        </w:rPr>
      </w:pPr>
      <w:r w:rsidRPr="00C903F8">
        <w:rPr>
          <w:lang w:val="en-GB"/>
        </w:rPr>
        <w:t>The relevant instructions of the manufacturers shall be taken into account in the process.</w:t>
      </w:r>
    </w:p>
    <w:p w:rsidR="007E5FD5" w:rsidRPr="00C903F8" w:rsidRDefault="007E5FD5" w:rsidP="007E5FD5">
      <w:pPr>
        <w:pStyle w:val="ESchpar"/>
        <w:rPr>
          <w:lang w:val="en-GB"/>
        </w:rPr>
      </w:pPr>
    </w:p>
    <w:p w:rsidR="007E5FD5" w:rsidRPr="00C903F8" w:rsidRDefault="007E5FD5" w:rsidP="007E5FD5">
      <w:pPr>
        <w:pStyle w:val="ESch"/>
        <w:rPr>
          <w:lang w:val="en-GB"/>
        </w:rPr>
      </w:pPr>
      <w:r w:rsidRPr="00C903F8">
        <w:rPr>
          <w:lang w:val="en-GB"/>
        </w:rPr>
        <w:t>2.</w:t>
      </w:r>
      <w:r w:rsidRPr="00C903F8">
        <w:rPr>
          <w:lang w:val="en-GB"/>
        </w:rPr>
        <w:tab/>
        <w:t xml:space="preserve">The inspections referred to in </w:t>
      </w:r>
      <w:r w:rsidR="009413B2" w:rsidRPr="00C903F8">
        <w:rPr>
          <w:lang w:val="en-GB"/>
        </w:rPr>
        <w:t>(</w:t>
      </w:r>
      <w:r w:rsidRPr="00C903F8">
        <w:rPr>
          <w:lang w:val="en-GB"/>
        </w:rPr>
        <w:t>1</w:t>
      </w:r>
      <w:r w:rsidR="009413B2" w:rsidRPr="00C903F8">
        <w:rPr>
          <w:lang w:val="en-GB"/>
        </w:rPr>
        <w:t>)</w:t>
      </w:r>
      <w:r w:rsidRPr="00C903F8">
        <w:rPr>
          <w:lang w:val="en-GB"/>
        </w:rPr>
        <w:t>(a) and (c), have to cover at least:</w:t>
      </w:r>
    </w:p>
    <w:p w:rsidR="007E5FD5" w:rsidRPr="00C903F8" w:rsidRDefault="007E5FD5" w:rsidP="007E5FD5">
      <w:pPr>
        <w:pStyle w:val="ESlet"/>
        <w:rPr>
          <w:lang w:val="en-GB"/>
        </w:rPr>
      </w:pPr>
      <w:r w:rsidRPr="00C903F8">
        <w:rPr>
          <w:lang w:val="en-GB"/>
        </w:rPr>
        <w:t>a)</w:t>
      </w:r>
      <w:r w:rsidRPr="00C903F8">
        <w:rPr>
          <w:lang w:val="en-GB"/>
        </w:rPr>
        <w:tab/>
        <w:t xml:space="preserve">a check of conformity of the </w:t>
      </w:r>
      <w:r w:rsidRPr="00C903F8">
        <w:rPr>
          <w:snapToGrid w:val="0"/>
          <w:lang w:val="en-GB" w:eastAsia="de-DE"/>
        </w:rPr>
        <w:t>propulsion and auxiliary systems</w:t>
      </w:r>
      <w:r w:rsidRPr="00C903F8">
        <w:rPr>
          <w:lang w:val="en-GB"/>
        </w:rPr>
        <w:t xml:space="preserve"> with the approved drawings and in the case of subsequent checks, whether alterations in the </w:t>
      </w:r>
      <w:r w:rsidRPr="00C903F8">
        <w:rPr>
          <w:snapToGrid w:val="0"/>
          <w:lang w:val="en-GB" w:eastAsia="de-DE"/>
        </w:rPr>
        <w:t>propulsion or auxiliary system</w:t>
      </w:r>
      <w:r w:rsidRPr="00C903F8">
        <w:rPr>
          <w:lang w:val="en-GB"/>
        </w:rPr>
        <w:t xml:space="preserve"> were made,</w:t>
      </w:r>
    </w:p>
    <w:p w:rsidR="007E5FD5" w:rsidRPr="00C903F8" w:rsidRDefault="007E5FD5" w:rsidP="007E5FD5">
      <w:pPr>
        <w:pStyle w:val="ESlet"/>
        <w:rPr>
          <w:lang w:val="en-GB"/>
        </w:rPr>
      </w:pPr>
      <w:r w:rsidRPr="00C903F8">
        <w:rPr>
          <w:lang w:val="en-GB"/>
        </w:rPr>
        <w:t>b)</w:t>
      </w:r>
      <w:r w:rsidRPr="00C903F8">
        <w:rPr>
          <w:lang w:val="en-GB"/>
        </w:rPr>
        <w:tab/>
        <w:t xml:space="preserve">if necessary a functional test of the </w:t>
      </w:r>
      <w:r w:rsidRPr="00C903F8">
        <w:rPr>
          <w:snapToGrid w:val="0"/>
          <w:lang w:val="en-GB" w:eastAsia="de-DE"/>
        </w:rPr>
        <w:t>propulsion and auxiliary systems</w:t>
      </w:r>
      <w:r w:rsidRPr="00C903F8">
        <w:rPr>
          <w:lang w:val="en-GB"/>
        </w:rPr>
        <w:t xml:space="preserve"> for all operational possibilities,</w:t>
      </w:r>
    </w:p>
    <w:p w:rsidR="007E5FD5" w:rsidRPr="00C903F8" w:rsidRDefault="007E5FD5" w:rsidP="007E5FD5">
      <w:pPr>
        <w:pStyle w:val="ESlet"/>
        <w:rPr>
          <w:lang w:val="en-GB"/>
        </w:rPr>
      </w:pPr>
      <w:r w:rsidRPr="00C903F8">
        <w:rPr>
          <w:lang w:val="en-GB"/>
        </w:rPr>
        <w:t>c)</w:t>
      </w:r>
      <w:r w:rsidRPr="00C903F8">
        <w:rPr>
          <w:lang w:val="en-GB"/>
        </w:rPr>
        <w:tab/>
        <w:t>a visual check and a tightness check of all system components, in particular valves, pipelines, hoses, pistons, pumps and filters,</w:t>
      </w:r>
    </w:p>
    <w:p w:rsidR="007E5FD5" w:rsidRPr="00C903F8" w:rsidRDefault="007E5FD5" w:rsidP="007E5FD5">
      <w:pPr>
        <w:pStyle w:val="ESlet"/>
        <w:rPr>
          <w:lang w:val="en-GB"/>
        </w:rPr>
      </w:pPr>
      <w:r w:rsidRPr="00C903F8">
        <w:rPr>
          <w:lang w:val="en-GB"/>
        </w:rPr>
        <w:t>d)</w:t>
      </w:r>
      <w:r w:rsidRPr="00C903F8">
        <w:rPr>
          <w:lang w:val="en-GB"/>
        </w:rPr>
        <w:tab/>
        <w:t>a visual check of the electrical and electronic appliances of the installation,</w:t>
      </w:r>
    </w:p>
    <w:p w:rsidR="007E5FD5" w:rsidRPr="00C903F8" w:rsidRDefault="007E5FD5" w:rsidP="007E5FD5">
      <w:pPr>
        <w:pStyle w:val="ESlet"/>
        <w:rPr>
          <w:lang w:val="en-GB"/>
        </w:rPr>
      </w:pPr>
      <w:r w:rsidRPr="00C903F8">
        <w:rPr>
          <w:lang w:val="en-GB"/>
        </w:rPr>
        <w:t>e)</w:t>
      </w:r>
      <w:r w:rsidRPr="00C903F8">
        <w:rPr>
          <w:lang w:val="en-GB"/>
        </w:rPr>
        <w:tab/>
        <w:t>a check of the control, monitoring, and safety systems.</w:t>
      </w:r>
    </w:p>
    <w:p w:rsidR="007E5FD5" w:rsidRPr="00C903F8" w:rsidRDefault="007E5FD5" w:rsidP="007E5FD5">
      <w:pPr>
        <w:pStyle w:val="ESch"/>
        <w:rPr>
          <w:lang w:val="en-GB"/>
        </w:rPr>
      </w:pPr>
    </w:p>
    <w:p w:rsidR="007E5FD5" w:rsidRPr="00C903F8" w:rsidRDefault="007E5FD5" w:rsidP="007E5FD5">
      <w:pPr>
        <w:pStyle w:val="ESch"/>
        <w:rPr>
          <w:spacing w:val="-2"/>
          <w:lang w:val="en-GB"/>
        </w:rPr>
      </w:pPr>
      <w:r w:rsidRPr="00C903F8">
        <w:rPr>
          <w:spacing w:val="-2"/>
          <w:lang w:val="en-GB"/>
        </w:rPr>
        <w:t>3.</w:t>
      </w:r>
      <w:r w:rsidRPr="00C903F8">
        <w:rPr>
          <w:spacing w:val="-2"/>
          <w:lang w:val="en-GB"/>
        </w:rPr>
        <w:tab/>
        <w:t xml:space="preserve">The inspections referred to in </w:t>
      </w:r>
      <w:r w:rsidR="009413B2" w:rsidRPr="00C903F8">
        <w:rPr>
          <w:spacing w:val="-2"/>
          <w:lang w:val="en-GB"/>
        </w:rPr>
        <w:t>(1)</w:t>
      </w:r>
      <w:r w:rsidRPr="00C903F8">
        <w:rPr>
          <w:spacing w:val="-2"/>
          <w:lang w:val="en-GB"/>
        </w:rPr>
        <w:t xml:space="preserve">(b) shall include the concerned parts of </w:t>
      </w:r>
      <w:r w:rsidR="009413B2" w:rsidRPr="00C903F8">
        <w:rPr>
          <w:spacing w:val="-2"/>
          <w:lang w:val="en-GB"/>
        </w:rPr>
        <w:t>(</w:t>
      </w:r>
      <w:r w:rsidRPr="00C903F8">
        <w:rPr>
          <w:spacing w:val="-2"/>
          <w:lang w:val="en-GB"/>
        </w:rPr>
        <w:t>2</w:t>
      </w:r>
      <w:r w:rsidR="009413B2" w:rsidRPr="00C903F8">
        <w:rPr>
          <w:spacing w:val="-2"/>
          <w:lang w:val="en-GB"/>
        </w:rPr>
        <w:t>)</w:t>
      </w:r>
      <w:r w:rsidRPr="00C903F8">
        <w:rPr>
          <w:spacing w:val="-2"/>
          <w:lang w:val="en-GB"/>
        </w:rPr>
        <w:t>.</w:t>
      </w:r>
    </w:p>
    <w:p w:rsidR="007E5FD5" w:rsidRPr="00C903F8" w:rsidRDefault="007E5FD5" w:rsidP="007E5FD5">
      <w:pPr>
        <w:pStyle w:val="ESch"/>
        <w:rPr>
          <w:lang w:val="en-GB"/>
        </w:rPr>
      </w:pPr>
    </w:p>
    <w:p w:rsidR="007E5FD5" w:rsidRPr="00C903F8" w:rsidRDefault="007E5FD5" w:rsidP="007E5FD5">
      <w:pPr>
        <w:pStyle w:val="ESch"/>
        <w:rPr>
          <w:lang w:val="en-GB"/>
        </w:rPr>
      </w:pPr>
      <w:r w:rsidRPr="00C903F8">
        <w:rPr>
          <w:lang w:val="en-GB"/>
        </w:rPr>
        <w:t>4.</w:t>
      </w:r>
      <w:r w:rsidRPr="00C903F8">
        <w:rPr>
          <w:lang w:val="en-GB"/>
        </w:rPr>
        <w:tab/>
        <w:t xml:space="preserve">For each inspection according to </w:t>
      </w:r>
      <w:r w:rsidR="009413B2" w:rsidRPr="00C903F8">
        <w:rPr>
          <w:lang w:val="en-GB"/>
        </w:rPr>
        <w:t>(</w:t>
      </w:r>
      <w:r w:rsidRPr="00C903F8">
        <w:rPr>
          <w:lang w:val="en-GB"/>
        </w:rPr>
        <w:t>1</w:t>
      </w:r>
      <w:r w:rsidR="009413B2" w:rsidRPr="00C903F8">
        <w:rPr>
          <w:lang w:val="en-GB"/>
        </w:rPr>
        <w:t>)</w:t>
      </w:r>
      <w:r w:rsidRPr="00C903F8">
        <w:rPr>
          <w:lang w:val="en-GB"/>
        </w:rPr>
        <w:t>, an inspection attestation shall be issued showing the date of inspection.</w:t>
      </w:r>
    </w:p>
    <w:p w:rsidR="007E5FD5" w:rsidRPr="00C903F8" w:rsidRDefault="007E5FD5" w:rsidP="007E5FD5">
      <w:pPr>
        <w:pStyle w:val="ESch"/>
        <w:rPr>
          <w:lang w:val="en-GB"/>
        </w:rPr>
      </w:pPr>
    </w:p>
    <w:p w:rsidR="007E5FD5" w:rsidRPr="00C903F8" w:rsidRDefault="007E5FD5" w:rsidP="007E5FD5">
      <w:pPr>
        <w:pStyle w:val="ESch"/>
        <w:rPr>
          <w:lang w:val="en-GB"/>
        </w:rPr>
      </w:pPr>
    </w:p>
    <w:p w:rsidR="007E5FD5" w:rsidRPr="00C903F8" w:rsidRDefault="007E5FD5" w:rsidP="007E5FD5">
      <w:pPr>
        <w:pStyle w:val="ES-Titre3"/>
        <w:rPr>
          <w:i/>
          <w:lang w:val="en-GB"/>
        </w:rPr>
      </w:pPr>
      <w:bookmarkStart w:id="274" w:name="_Toc491854262"/>
      <w:r w:rsidRPr="00C903F8">
        <w:rPr>
          <w:lang w:val="en-GB"/>
        </w:rPr>
        <w:t xml:space="preserve">Article </w:t>
      </w:r>
      <w:r w:rsidR="009F3E19" w:rsidRPr="00C903F8">
        <w:rPr>
          <w:lang w:val="en-GB"/>
        </w:rPr>
        <w:t>30</w:t>
      </w:r>
      <w:r w:rsidRPr="00C903F8">
        <w:rPr>
          <w:lang w:val="en-GB"/>
        </w:rPr>
        <w:t>.03</w:t>
      </w:r>
      <w:r w:rsidR="00511351">
        <w:rPr>
          <w:lang w:val="en-GB"/>
        </w:rPr>
        <w:br/>
      </w:r>
      <w:r w:rsidRPr="00C903F8">
        <w:rPr>
          <w:i/>
          <w:lang w:val="en-GB"/>
        </w:rPr>
        <w:t>Safety organisation</w:t>
      </w:r>
      <w:bookmarkEnd w:id="274"/>
    </w:p>
    <w:p w:rsidR="007E5FD5" w:rsidRPr="00C903F8" w:rsidRDefault="007E5FD5" w:rsidP="007E5FD5">
      <w:pPr>
        <w:pStyle w:val="ESch"/>
        <w:rPr>
          <w:lang w:val="en-GB" w:eastAsia="en-US"/>
        </w:rPr>
      </w:pPr>
    </w:p>
    <w:p w:rsidR="007E5FD5" w:rsidRPr="00C903F8" w:rsidRDefault="007E5FD5" w:rsidP="007E5FD5">
      <w:pPr>
        <w:pStyle w:val="ESch"/>
        <w:rPr>
          <w:color w:val="000000"/>
          <w:lang w:val="en-GB"/>
        </w:rPr>
      </w:pPr>
      <w:r w:rsidRPr="00C903F8">
        <w:rPr>
          <w:color w:val="000000"/>
          <w:lang w:val="en-GB"/>
        </w:rPr>
        <w:t>1.</w:t>
      </w:r>
      <w:r w:rsidRPr="00C903F8">
        <w:rPr>
          <w:color w:val="000000"/>
          <w:lang w:val="en-GB"/>
        </w:rPr>
        <w:tab/>
      </w:r>
      <w:r w:rsidR="0084166A" w:rsidRPr="0084166A">
        <w:rPr>
          <w:color w:val="000000"/>
          <w:lang w:val="en-GB"/>
        </w:rPr>
        <w:t>A safety rota shall be provided on board craft</w:t>
      </w:r>
      <w:r w:rsidR="00BC63D4">
        <w:rPr>
          <w:color w:val="000000"/>
          <w:lang w:val="en-GB"/>
        </w:rPr>
        <w:t xml:space="preserve"> </w:t>
      </w:r>
      <w:r w:rsidR="00BC63D4" w:rsidRPr="00BC63D4">
        <w:rPr>
          <w:color w:val="000000"/>
          <w:lang w:val="en-GB"/>
        </w:rPr>
        <w:t xml:space="preserve">equipped with propulsion or auxiliary systems </w:t>
      </w:r>
      <w:r w:rsidR="0084166A" w:rsidRPr="0084166A">
        <w:rPr>
          <w:color w:val="000000"/>
          <w:lang w:val="en-GB"/>
        </w:rPr>
        <w:t>operating on fuel with a flashpoint equal to or lower than 55 °C. The safety rota shall include safety instructions according to (2) and a safety plan according to (3) of the craft.</w:t>
      </w:r>
    </w:p>
    <w:p w:rsidR="007E5FD5" w:rsidRPr="00C903F8" w:rsidRDefault="007E5FD5" w:rsidP="007E5FD5">
      <w:pPr>
        <w:pStyle w:val="ESch"/>
        <w:rPr>
          <w:color w:val="000000"/>
          <w:lang w:val="en-GB"/>
        </w:rPr>
      </w:pPr>
    </w:p>
    <w:p w:rsidR="007E5FD5" w:rsidRPr="00C903F8" w:rsidRDefault="007E5FD5" w:rsidP="007E5FD5">
      <w:pPr>
        <w:pStyle w:val="ESch"/>
        <w:rPr>
          <w:lang w:val="en-GB"/>
        </w:rPr>
      </w:pPr>
      <w:r w:rsidRPr="00C903F8">
        <w:rPr>
          <w:color w:val="000000"/>
          <w:lang w:val="en-GB"/>
        </w:rPr>
        <w:t>2.</w:t>
      </w:r>
      <w:r w:rsidRPr="00C903F8">
        <w:rPr>
          <w:color w:val="000000"/>
          <w:lang w:val="en-GB"/>
        </w:rPr>
        <w:tab/>
      </w:r>
      <w:r w:rsidRPr="00C903F8">
        <w:rPr>
          <w:lang w:val="en-GB"/>
        </w:rPr>
        <w:t>These safety instructions shall include at least the following information:</w:t>
      </w:r>
    </w:p>
    <w:p w:rsidR="007E5FD5" w:rsidRPr="00C903F8" w:rsidRDefault="007E5FD5" w:rsidP="007E5FD5">
      <w:pPr>
        <w:pStyle w:val="ESlet"/>
        <w:rPr>
          <w:lang w:val="en-GB"/>
        </w:rPr>
      </w:pPr>
      <w:r w:rsidRPr="00C903F8">
        <w:rPr>
          <w:lang w:val="en-GB"/>
        </w:rPr>
        <w:t>a)</w:t>
      </w:r>
      <w:r w:rsidRPr="00C903F8">
        <w:rPr>
          <w:lang w:val="en-GB"/>
        </w:rPr>
        <w:tab/>
      </w:r>
      <w:r w:rsidR="00E36B0E" w:rsidRPr="00C903F8">
        <w:rPr>
          <w:lang w:val="en-GB"/>
        </w:rPr>
        <w:t>emergency shutdown of the system</w:t>
      </w:r>
      <w:r w:rsidRPr="00C903F8">
        <w:rPr>
          <w:lang w:val="en-GB"/>
        </w:rPr>
        <w:t xml:space="preserve">, </w:t>
      </w:r>
    </w:p>
    <w:p w:rsidR="007E5FD5" w:rsidRPr="00C903F8" w:rsidRDefault="007E5FD5" w:rsidP="007E5FD5">
      <w:pPr>
        <w:pStyle w:val="ESlet"/>
        <w:rPr>
          <w:lang w:val="en-GB"/>
        </w:rPr>
      </w:pPr>
      <w:r w:rsidRPr="00C903F8">
        <w:rPr>
          <w:lang w:val="en-GB"/>
        </w:rPr>
        <w:t>b)</w:t>
      </w:r>
      <w:r w:rsidRPr="00C903F8">
        <w:rPr>
          <w:lang w:val="en-GB"/>
        </w:rPr>
        <w:tab/>
        <w:t xml:space="preserve">measures to be taken in the event of accidental release of liquid or gaseous fuel, for instance during bunkering, </w:t>
      </w:r>
    </w:p>
    <w:p w:rsidR="007E5FD5" w:rsidRPr="00C903F8" w:rsidRDefault="007E5FD5" w:rsidP="007E5FD5">
      <w:pPr>
        <w:pStyle w:val="ESlet"/>
        <w:rPr>
          <w:lang w:val="en-GB"/>
        </w:rPr>
      </w:pPr>
      <w:r w:rsidRPr="00C903F8">
        <w:rPr>
          <w:lang w:val="en-GB"/>
        </w:rPr>
        <w:t>c)</w:t>
      </w:r>
      <w:r w:rsidRPr="00C903F8">
        <w:rPr>
          <w:lang w:val="en-GB"/>
        </w:rPr>
        <w:tab/>
        <w:t>measures to be taken in the event of fire or other incidents on board,</w:t>
      </w:r>
    </w:p>
    <w:p w:rsidR="007E5FD5" w:rsidRPr="00C903F8" w:rsidRDefault="007E5FD5" w:rsidP="007E5FD5">
      <w:pPr>
        <w:pStyle w:val="ESlet"/>
        <w:rPr>
          <w:lang w:val="en-GB"/>
        </w:rPr>
      </w:pPr>
      <w:r w:rsidRPr="00C903F8">
        <w:rPr>
          <w:lang w:val="en-GB"/>
        </w:rPr>
        <w:t>d)</w:t>
      </w:r>
      <w:r w:rsidRPr="00C903F8">
        <w:rPr>
          <w:lang w:val="en-GB"/>
        </w:rPr>
        <w:tab/>
        <w:t>measures to be taken in the event of collision,</w:t>
      </w:r>
    </w:p>
    <w:p w:rsidR="007E5FD5" w:rsidRPr="00C903F8" w:rsidRDefault="007E5FD5" w:rsidP="007E5FD5">
      <w:pPr>
        <w:pStyle w:val="ESlet"/>
        <w:rPr>
          <w:lang w:val="en-GB"/>
        </w:rPr>
      </w:pPr>
      <w:r w:rsidRPr="00C903F8">
        <w:rPr>
          <w:lang w:val="en-GB"/>
        </w:rPr>
        <w:t>e)</w:t>
      </w:r>
      <w:r w:rsidRPr="00C903F8">
        <w:rPr>
          <w:lang w:val="en-GB"/>
        </w:rPr>
        <w:tab/>
        <w:t>use of safety equipment,</w:t>
      </w:r>
    </w:p>
    <w:p w:rsidR="007E5FD5" w:rsidRPr="00C903F8" w:rsidRDefault="007E5FD5" w:rsidP="007E5FD5">
      <w:pPr>
        <w:pStyle w:val="ESlet"/>
        <w:rPr>
          <w:lang w:val="en-GB"/>
        </w:rPr>
      </w:pPr>
      <w:r w:rsidRPr="00C903F8">
        <w:rPr>
          <w:lang w:val="en-GB"/>
        </w:rPr>
        <w:t>f)</w:t>
      </w:r>
      <w:r w:rsidRPr="00C903F8">
        <w:rPr>
          <w:lang w:val="en-GB"/>
        </w:rPr>
        <w:tab/>
        <w:t>raising the alert,</w:t>
      </w:r>
    </w:p>
    <w:p w:rsidR="007E5FD5" w:rsidRPr="00C903F8" w:rsidRDefault="007E5FD5" w:rsidP="007E5FD5">
      <w:pPr>
        <w:pStyle w:val="ESlet"/>
        <w:rPr>
          <w:lang w:val="en-GB"/>
        </w:rPr>
      </w:pPr>
      <w:r w:rsidRPr="00C903F8">
        <w:rPr>
          <w:lang w:val="en-GB"/>
        </w:rPr>
        <w:t>g)</w:t>
      </w:r>
      <w:r w:rsidRPr="00C903F8">
        <w:rPr>
          <w:lang w:val="en-GB"/>
        </w:rPr>
        <w:tab/>
        <w:t>evacuation procedures.</w:t>
      </w:r>
    </w:p>
    <w:p w:rsidR="007E5FD5" w:rsidRPr="00C903F8" w:rsidRDefault="007E5FD5" w:rsidP="007E5FD5">
      <w:pPr>
        <w:pStyle w:val="ESch"/>
        <w:rPr>
          <w:lang w:val="en-GB" w:eastAsia="en-US"/>
        </w:rPr>
      </w:pPr>
    </w:p>
    <w:p w:rsidR="009F3E19" w:rsidRPr="00C903F8" w:rsidRDefault="009F3E19">
      <w:pPr>
        <w:autoSpaceDE/>
        <w:autoSpaceDN/>
        <w:ind w:left="0" w:firstLine="0"/>
        <w:jc w:val="left"/>
        <w:rPr>
          <w:lang w:val="en-GB" w:eastAsia="en-US"/>
        </w:rPr>
      </w:pPr>
      <w:r w:rsidRPr="00C903F8">
        <w:rPr>
          <w:lang w:val="en-GB" w:eastAsia="en-US"/>
        </w:rPr>
        <w:br w:type="page"/>
      </w:r>
    </w:p>
    <w:p w:rsidR="009F3E19" w:rsidRPr="00C903F8" w:rsidRDefault="009F3E19" w:rsidP="007E5FD5">
      <w:pPr>
        <w:pStyle w:val="ESch"/>
        <w:rPr>
          <w:lang w:val="en-GB" w:eastAsia="en-US"/>
        </w:rPr>
      </w:pPr>
    </w:p>
    <w:p w:rsidR="007E5FD5" w:rsidRPr="00C903F8" w:rsidRDefault="007E5FD5" w:rsidP="007E5FD5">
      <w:pPr>
        <w:pStyle w:val="ESch"/>
        <w:rPr>
          <w:color w:val="000000"/>
          <w:lang w:val="en-GB"/>
        </w:rPr>
      </w:pPr>
      <w:r w:rsidRPr="00C903F8">
        <w:rPr>
          <w:color w:val="000000"/>
          <w:lang w:val="en-GB"/>
        </w:rPr>
        <w:t>3.</w:t>
      </w:r>
      <w:r w:rsidRPr="00C903F8">
        <w:rPr>
          <w:color w:val="000000"/>
          <w:lang w:val="en-GB"/>
        </w:rPr>
        <w:tab/>
      </w:r>
      <w:r w:rsidRPr="00C903F8">
        <w:rPr>
          <w:lang w:val="en-GB"/>
        </w:rPr>
        <w:t>The safety plan shall include at least the following information</w:t>
      </w:r>
      <w:r w:rsidRPr="00C903F8">
        <w:rPr>
          <w:color w:val="000000"/>
          <w:lang w:val="en-GB"/>
        </w:rPr>
        <w:t>:</w:t>
      </w:r>
    </w:p>
    <w:p w:rsidR="007E5FD5" w:rsidRPr="00C903F8" w:rsidRDefault="007E5FD5" w:rsidP="007E5FD5">
      <w:pPr>
        <w:pStyle w:val="ESlet"/>
        <w:rPr>
          <w:lang w:val="en-GB"/>
        </w:rPr>
      </w:pPr>
      <w:r w:rsidRPr="00C903F8">
        <w:rPr>
          <w:lang w:val="en-GB"/>
        </w:rPr>
        <w:t>a)</w:t>
      </w:r>
      <w:r w:rsidRPr="00C903F8">
        <w:rPr>
          <w:lang w:val="en-GB"/>
        </w:rPr>
        <w:tab/>
        <w:t>hazardous areas,</w:t>
      </w:r>
    </w:p>
    <w:p w:rsidR="007E5FD5" w:rsidRPr="00C903F8" w:rsidRDefault="007E5FD5" w:rsidP="007E5FD5">
      <w:pPr>
        <w:pStyle w:val="ESlet"/>
        <w:rPr>
          <w:lang w:val="en-GB"/>
        </w:rPr>
      </w:pPr>
      <w:r w:rsidRPr="00C903F8">
        <w:rPr>
          <w:lang w:val="en-GB"/>
        </w:rPr>
        <w:t>b)</w:t>
      </w:r>
      <w:r w:rsidRPr="00C903F8">
        <w:rPr>
          <w:lang w:val="en-GB"/>
        </w:rPr>
        <w:tab/>
        <w:t>escape routes, emergency exits and gastight rooms,</w:t>
      </w:r>
    </w:p>
    <w:p w:rsidR="007E5FD5" w:rsidRPr="00C903F8" w:rsidRDefault="007E5FD5" w:rsidP="007E5FD5">
      <w:pPr>
        <w:pStyle w:val="ESlet"/>
        <w:rPr>
          <w:lang w:val="en-GB"/>
        </w:rPr>
      </w:pPr>
      <w:r w:rsidRPr="00C903F8">
        <w:rPr>
          <w:lang w:val="en-GB"/>
        </w:rPr>
        <w:t>c)</w:t>
      </w:r>
      <w:r w:rsidRPr="00C903F8">
        <w:rPr>
          <w:lang w:val="en-GB"/>
        </w:rPr>
        <w:tab/>
        <w:t>life-saving equipment and ship’s boats,</w:t>
      </w:r>
    </w:p>
    <w:p w:rsidR="007E5FD5" w:rsidRPr="00C903F8" w:rsidRDefault="007E5FD5" w:rsidP="007E5FD5">
      <w:pPr>
        <w:pStyle w:val="ESlet"/>
        <w:rPr>
          <w:lang w:val="en-GB"/>
        </w:rPr>
      </w:pPr>
      <w:r w:rsidRPr="00C903F8">
        <w:rPr>
          <w:lang w:val="en-GB"/>
        </w:rPr>
        <w:t>d)</w:t>
      </w:r>
      <w:r w:rsidRPr="00C903F8">
        <w:rPr>
          <w:lang w:val="en-GB"/>
        </w:rPr>
        <w:tab/>
        <w:t>fire extinguishers, fire-fighting systems and sprinkler systems,</w:t>
      </w:r>
    </w:p>
    <w:p w:rsidR="007E5FD5" w:rsidRPr="00C903F8" w:rsidRDefault="007E5FD5" w:rsidP="007E5FD5">
      <w:pPr>
        <w:pStyle w:val="ESlet"/>
        <w:rPr>
          <w:lang w:val="en-GB"/>
        </w:rPr>
      </w:pPr>
      <w:r w:rsidRPr="00C903F8">
        <w:rPr>
          <w:lang w:val="en-GB"/>
        </w:rPr>
        <w:t>e)</w:t>
      </w:r>
      <w:r w:rsidRPr="00C903F8">
        <w:rPr>
          <w:lang w:val="en-GB"/>
        </w:rPr>
        <w:tab/>
        <w:t>alarm systems,</w:t>
      </w:r>
    </w:p>
    <w:p w:rsidR="007E5FD5" w:rsidRPr="00C903F8" w:rsidRDefault="00F87682" w:rsidP="007E5FD5">
      <w:pPr>
        <w:pStyle w:val="ESlet"/>
        <w:rPr>
          <w:lang w:val="en-GB"/>
        </w:rPr>
      </w:pPr>
      <w:r>
        <w:rPr>
          <w:lang w:val="en-GB"/>
        </w:rPr>
        <w:t>f)</w:t>
      </w:r>
      <w:r>
        <w:rPr>
          <w:lang w:val="en-GB"/>
        </w:rPr>
        <w:tab/>
        <w:t>emergency circuit-</w:t>
      </w:r>
      <w:r w:rsidR="007E5FD5" w:rsidRPr="00C903F8">
        <w:rPr>
          <w:lang w:val="en-GB"/>
        </w:rPr>
        <w:t>breakers’ controls,</w:t>
      </w:r>
    </w:p>
    <w:p w:rsidR="007E5FD5" w:rsidRPr="00C903F8" w:rsidRDefault="007E5FD5" w:rsidP="007E5FD5">
      <w:pPr>
        <w:pStyle w:val="ESlet"/>
        <w:rPr>
          <w:lang w:val="en-GB"/>
        </w:rPr>
      </w:pPr>
      <w:r w:rsidRPr="00C903F8">
        <w:rPr>
          <w:lang w:val="en-GB"/>
        </w:rPr>
        <w:t>g)</w:t>
      </w:r>
      <w:r w:rsidRPr="00C903F8">
        <w:rPr>
          <w:lang w:val="en-GB"/>
        </w:rPr>
        <w:tab/>
        <w:t>fire dampers,</w:t>
      </w:r>
    </w:p>
    <w:p w:rsidR="007E5FD5" w:rsidRPr="00C903F8" w:rsidRDefault="007E5FD5" w:rsidP="007E5FD5">
      <w:pPr>
        <w:pStyle w:val="ESlet"/>
        <w:rPr>
          <w:lang w:val="en-GB"/>
        </w:rPr>
      </w:pPr>
      <w:r w:rsidRPr="00C903F8">
        <w:rPr>
          <w:lang w:val="en-GB"/>
        </w:rPr>
        <w:t>h)</w:t>
      </w:r>
      <w:r w:rsidRPr="00C903F8">
        <w:rPr>
          <w:lang w:val="en-GB"/>
        </w:rPr>
        <w:tab/>
        <w:t>emergency power sources,</w:t>
      </w:r>
    </w:p>
    <w:p w:rsidR="007E5FD5" w:rsidRPr="00C903F8" w:rsidRDefault="007E5FD5" w:rsidP="007E5FD5">
      <w:pPr>
        <w:pStyle w:val="ESlet"/>
        <w:rPr>
          <w:lang w:val="en-GB"/>
        </w:rPr>
      </w:pPr>
      <w:r w:rsidRPr="00C903F8">
        <w:rPr>
          <w:lang w:val="en-GB"/>
        </w:rPr>
        <w:t>i)</w:t>
      </w:r>
      <w:r w:rsidRPr="00C903F8">
        <w:rPr>
          <w:lang w:val="en-GB"/>
        </w:rPr>
        <w:tab/>
        <w:t>ventilation system controls,</w:t>
      </w:r>
    </w:p>
    <w:p w:rsidR="007E5FD5" w:rsidRPr="00C903F8" w:rsidRDefault="007E5FD5" w:rsidP="007E5FD5">
      <w:pPr>
        <w:pStyle w:val="ESlet"/>
        <w:rPr>
          <w:lang w:val="en-GB"/>
        </w:rPr>
      </w:pPr>
      <w:r w:rsidRPr="00C903F8">
        <w:rPr>
          <w:lang w:val="en-GB"/>
        </w:rPr>
        <w:t>j)</w:t>
      </w:r>
      <w:r w:rsidRPr="00C903F8">
        <w:rPr>
          <w:lang w:val="en-GB"/>
        </w:rPr>
        <w:tab/>
        <w:t>controls for fuel supply lines,</w:t>
      </w:r>
    </w:p>
    <w:p w:rsidR="007E5FD5" w:rsidRPr="00C903F8" w:rsidRDefault="007E5FD5" w:rsidP="007E5FD5">
      <w:pPr>
        <w:pStyle w:val="ESlet"/>
        <w:rPr>
          <w:lang w:val="en-GB"/>
        </w:rPr>
      </w:pPr>
      <w:r w:rsidRPr="00C903F8">
        <w:rPr>
          <w:lang w:val="en-GB"/>
        </w:rPr>
        <w:t>k)</w:t>
      </w:r>
      <w:r w:rsidRPr="00C903F8">
        <w:rPr>
          <w:lang w:val="en-GB"/>
        </w:rPr>
        <w:tab/>
        <w:t>safety equipment.</w:t>
      </w:r>
    </w:p>
    <w:p w:rsidR="007E5FD5" w:rsidRPr="00C903F8" w:rsidRDefault="007E5FD5" w:rsidP="007E5FD5">
      <w:pPr>
        <w:pStyle w:val="ESch"/>
        <w:rPr>
          <w:lang w:val="en-GB" w:eastAsia="en-US"/>
        </w:rPr>
      </w:pPr>
    </w:p>
    <w:p w:rsidR="007E5FD5" w:rsidRPr="00C903F8" w:rsidRDefault="007E5FD5" w:rsidP="007E5FD5">
      <w:pPr>
        <w:pStyle w:val="ESch"/>
        <w:rPr>
          <w:lang w:val="en-GB"/>
        </w:rPr>
      </w:pPr>
      <w:r w:rsidRPr="00C903F8">
        <w:rPr>
          <w:lang w:val="en-GB" w:eastAsia="de-DE"/>
        </w:rPr>
        <w:t>4.</w:t>
      </w:r>
      <w:r w:rsidRPr="00C903F8">
        <w:rPr>
          <w:lang w:val="en-GB" w:eastAsia="de-DE"/>
        </w:rPr>
        <w:tab/>
      </w:r>
      <w:r w:rsidRPr="00C903F8">
        <w:rPr>
          <w:lang w:val="en-GB"/>
        </w:rPr>
        <w:t>The safety rota shall:</w:t>
      </w:r>
    </w:p>
    <w:p w:rsidR="007E5FD5" w:rsidRPr="00C903F8" w:rsidRDefault="007E5FD5" w:rsidP="007E5FD5">
      <w:pPr>
        <w:pStyle w:val="ESlet"/>
        <w:rPr>
          <w:lang w:val="en-GB"/>
        </w:rPr>
      </w:pPr>
      <w:r w:rsidRPr="00C903F8">
        <w:rPr>
          <w:lang w:val="en-GB"/>
        </w:rPr>
        <w:t>a)</w:t>
      </w:r>
      <w:r w:rsidRPr="00C903F8">
        <w:rPr>
          <w:lang w:val="en-GB"/>
        </w:rPr>
        <w:tab/>
        <w:t xml:space="preserve">be duly stamped by the </w:t>
      </w:r>
      <w:r w:rsidR="00984930" w:rsidRPr="00C903F8">
        <w:rPr>
          <w:lang w:val="en-GB"/>
        </w:rPr>
        <w:t>inspection body</w:t>
      </w:r>
      <w:r w:rsidRPr="00C903F8">
        <w:rPr>
          <w:lang w:val="en-GB"/>
        </w:rPr>
        <w:t xml:space="preserve">, and </w:t>
      </w:r>
    </w:p>
    <w:p w:rsidR="007E5FD5" w:rsidRPr="00C903F8" w:rsidRDefault="007E5FD5" w:rsidP="007E5FD5">
      <w:pPr>
        <w:pStyle w:val="ESlet"/>
        <w:rPr>
          <w:lang w:val="en-GB" w:eastAsia="de-DE"/>
        </w:rPr>
      </w:pPr>
      <w:r w:rsidRPr="00C903F8">
        <w:rPr>
          <w:lang w:val="en-GB"/>
        </w:rPr>
        <w:t>b)</w:t>
      </w:r>
      <w:r w:rsidRPr="00C903F8">
        <w:rPr>
          <w:lang w:val="en-GB"/>
        </w:rPr>
        <w:tab/>
      </w:r>
      <w:r w:rsidRPr="00C903F8">
        <w:rPr>
          <w:lang w:val="en-GB" w:eastAsia="nl-NL"/>
        </w:rPr>
        <w:t>be prominently displayed at one or more appropriate points on board</w:t>
      </w:r>
      <w:r w:rsidRPr="00C903F8">
        <w:rPr>
          <w:lang w:val="en-GB"/>
        </w:rPr>
        <w:t>.</w:t>
      </w:r>
    </w:p>
    <w:p w:rsidR="007E5FD5" w:rsidRPr="00C903F8" w:rsidRDefault="007E5FD5" w:rsidP="007E5FD5">
      <w:pPr>
        <w:pStyle w:val="ESch"/>
        <w:rPr>
          <w:lang w:val="en-GB"/>
        </w:rPr>
      </w:pPr>
    </w:p>
    <w:p w:rsidR="007E5FD5" w:rsidRDefault="007E5FD5" w:rsidP="007E5FD5">
      <w:pPr>
        <w:pStyle w:val="ESch"/>
        <w:rPr>
          <w:lang w:val="en-GB"/>
        </w:rPr>
      </w:pPr>
    </w:p>
    <w:p w:rsidR="00745362" w:rsidRPr="00C903F8" w:rsidRDefault="00745362" w:rsidP="00745362">
      <w:pPr>
        <w:pStyle w:val="ES-Titre3"/>
        <w:rPr>
          <w:i/>
          <w:lang w:val="en-GB"/>
        </w:rPr>
      </w:pPr>
      <w:bookmarkStart w:id="275" w:name="_Toc491854263"/>
      <w:r w:rsidRPr="00C903F8">
        <w:rPr>
          <w:lang w:val="en-GB"/>
        </w:rPr>
        <w:t>Article 30.04</w:t>
      </w:r>
      <w:r w:rsidR="00CE138A">
        <w:rPr>
          <w:lang w:val="en-GB"/>
        </w:rPr>
        <w:br/>
      </w:r>
      <w:r w:rsidR="00CE138A" w:rsidRPr="00CE138A">
        <w:rPr>
          <w:i/>
          <w:lang w:val="en-GB"/>
        </w:rPr>
        <w:t>(left void)</w:t>
      </w:r>
      <w:bookmarkEnd w:id="275"/>
    </w:p>
    <w:p w:rsidR="00745362" w:rsidRDefault="00745362" w:rsidP="007E5FD5">
      <w:pPr>
        <w:pStyle w:val="ESch"/>
        <w:rPr>
          <w:lang w:val="en-GB"/>
        </w:rPr>
      </w:pPr>
    </w:p>
    <w:p w:rsidR="00745362" w:rsidRPr="00C903F8" w:rsidRDefault="00745362" w:rsidP="007E5FD5">
      <w:pPr>
        <w:pStyle w:val="ESch"/>
        <w:rPr>
          <w:lang w:val="en-GB"/>
        </w:rPr>
      </w:pPr>
    </w:p>
    <w:p w:rsidR="007E5FD5" w:rsidRPr="00C903F8" w:rsidRDefault="007E5FD5" w:rsidP="007E5FD5">
      <w:pPr>
        <w:pStyle w:val="ES-Titre3"/>
        <w:rPr>
          <w:i/>
          <w:lang w:val="en-GB"/>
        </w:rPr>
      </w:pPr>
      <w:bookmarkStart w:id="276" w:name="_Toc491854264"/>
      <w:r w:rsidRPr="00C903F8">
        <w:rPr>
          <w:lang w:val="en-GB"/>
        </w:rPr>
        <w:t xml:space="preserve">Article </w:t>
      </w:r>
      <w:r w:rsidR="009F3E19" w:rsidRPr="00C903F8">
        <w:rPr>
          <w:lang w:val="en-GB"/>
        </w:rPr>
        <w:t>30</w:t>
      </w:r>
      <w:r w:rsidRPr="00C903F8">
        <w:rPr>
          <w:lang w:val="en-GB"/>
        </w:rPr>
        <w:t>.0</w:t>
      </w:r>
      <w:r w:rsidR="00745362">
        <w:rPr>
          <w:lang w:val="en-GB"/>
        </w:rPr>
        <w:t>5</w:t>
      </w:r>
      <w:r w:rsidR="00537DD3">
        <w:rPr>
          <w:lang w:val="en-GB"/>
        </w:rPr>
        <w:br/>
      </w:r>
      <w:r w:rsidRPr="00C903F8">
        <w:rPr>
          <w:i/>
          <w:lang w:val="en-GB"/>
        </w:rPr>
        <w:t>Marking</w:t>
      </w:r>
      <w:bookmarkEnd w:id="276"/>
    </w:p>
    <w:p w:rsidR="007E5FD5" w:rsidRPr="00C903F8" w:rsidRDefault="007E5FD5" w:rsidP="007E5FD5">
      <w:pPr>
        <w:pStyle w:val="ESgauche"/>
        <w:rPr>
          <w:lang w:val="en-GB"/>
        </w:rPr>
      </w:pPr>
    </w:p>
    <w:p w:rsidR="007E5FD5" w:rsidRPr="00C903F8" w:rsidRDefault="007E5FD5" w:rsidP="007E5FD5">
      <w:pPr>
        <w:pStyle w:val="ESgauche"/>
        <w:rPr>
          <w:lang w:val="en-GB"/>
        </w:rPr>
      </w:pPr>
      <w:r w:rsidRPr="00C903F8">
        <w:rPr>
          <w:lang w:val="en-GB"/>
        </w:rPr>
        <w:t>Operation rooms and system components shall be appropriately marked so that it is clear for what fuels they are being used.</w:t>
      </w:r>
    </w:p>
    <w:p w:rsidR="007E5FD5" w:rsidRPr="00C903F8" w:rsidRDefault="007E5FD5" w:rsidP="007E5FD5">
      <w:pPr>
        <w:pStyle w:val="ESgauche"/>
        <w:rPr>
          <w:lang w:val="en-GB"/>
        </w:rPr>
      </w:pPr>
    </w:p>
    <w:p w:rsidR="007E5FD5" w:rsidRPr="00C903F8" w:rsidRDefault="007E5FD5" w:rsidP="007E5FD5">
      <w:pPr>
        <w:pStyle w:val="ESgauche"/>
        <w:rPr>
          <w:lang w:val="en-GB"/>
        </w:rPr>
      </w:pPr>
    </w:p>
    <w:p w:rsidR="007E5FD5" w:rsidRPr="00C903F8" w:rsidRDefault="009F3E19" w:rsidP="007E5FD5">
      <w:pPr>
        <w:pStyle w:val="ES-Titre3"/>
        <w:rPr>
          <w:i/>
          <w:lang w:val="en-GB"/>
        </w:rPr>
      </w:pPr>
      <w:bookmarkStart w:id="277" w:name="_Toc491854265"/>
      <w:r w:rsidRPr="00C903F8">
        <w:rPr>
          <w:lang w:val="en-GB"/>
        </w:rPr>
        <w:t>Article 30</w:t>
      </w:r>
      <w:r w:rsidR="007E5FD5" w:rsidRPr="00C903F8">
        <w:rPr>
          <w:lang w:val="en-GB"/>
        </w:rPr>
        <w:t>.0</w:t>
      </w:r>
      <w:r w:rsidR="00745362">
        <w:rPr>
          <w:lang w:val="en-GB"/>
        </w:rPr>
        <w:t>6</w:t>
      </w:r>
      <w:r w:rsidR="00537DD3">
        <w:rPr>
          <w:lang w:val="en-GB"/>
        </w:rPr>
        <w:br/>
      </w:r>
      <w:r w:rsidR="007E5FD5" w:rsidRPr="00C903F8">
        <w:rPr>
          <w:i/>
          <w:lang w:val="en-GB"/>
        </w:rPr>
        <w:t>Independent propulsion</w:t>
      </w:r>
      <w:bookmarkEnd w:id="277"/>
    </w:p>
    <w:p w:rsidR="007E5FD5" w:rsidRPr="00C903F8" w:rsidRDefault="007E5FD5" w:rsidP="007E5FD5">
      <w:pPr>
        <w:pStyle w:val="ESgauche"/>
        <w:rPr>
          <w:lang w:val="en-GB"/>
        </w:rPr>
      </w:pPr>
    </w:p>
    <w:p w:rsidR="007E5FD5" w:rsidRPr="00C903F8" w:rsidRDefault="007E5FD5" w:rsidP="007E5FD5">
      <w:pPr>
        <w:pStyle w:val="ESgauche"/>
        <w:rPr>
          <w:rFonts w:eastAsia="Calibri"/>
          <w:lang w:val="en-US" w:eastAsia="en-US"/>
        </w:rPr>
      </w:pPr>
      <w:r w:rsidRPr="00C903F8">
        <w:rPr>
          <w:rFonts w:eastAsia="Calibri"/>
          <w:iCs/>
          <w:lang w:val="en-GB" w:eastAsia="en-US"/>
        </w:rPr>
        <w:t xml:space="preserve">In the event of an automatic shutdown of the propulsion system or parts of the propulsion system, the </w:t>
      </w:r>
      <w:r w:rsidR="000A13AD">
        <w:rPr>
          <w:color w:val="000000"/>
          <w:lang w:val="en-GB"/>
        </w:rPr>
        <w:t>craft</w:t>
      </w:r>
      <w:r w:rsidRPr="00C903F8">
        <w:rPr>
          <w:rFonts w:eastAsia="Calibri"/>
          <w:iCs/>
          <w:lang w:val="en-GB" w:eastAsia="en-US"/>
        </w:rPr>
        <w:t xml:space="preserve"> shall be able to make steerageway under its own power.</w:t>
      </w:r>
      <w:r w:rsidRPr="00C903F8">
        <w:rPr>
          <w:rFonts w:eastAsia="Calibri"/>
          <w:lang w:val="en-US" w:eastAsia="en-US"/>
        </w:rPr>
        <w:t xml:space="preserve"> </w:t>
      </w:r>
    </w:p>
    <w:p w:rsidR="007E5FD5" w:rsidRPr="00C903F8" w:rsidRDefault="007E5FD5" w:rsidP="007E5FD5">
      <w:pPr>
        <w:pStyle w:val="ESgauche"/>
        <w:rPr>
          <w:rFonts w:eastAsia="Calibri"/>
          <w:iCs/>
          <w:lang w:val="en-GB" w:eastAsia="en-US"/>
        </w:rPr>
      </w:pPr>
    </w:p>
    <w:p w:rsidR="007E5FD5" w:rsidRPr="00C903F8" w:rsidRDefault="007E5FD5" w:rsidP="007E5FD5">
      <w:pPr>
        <w:pStyle w:val="ESgauche"/>
        <w:rPr>
          <w:rFonts w:eastAsia="Calibri"/>
          <w:iCs/>
          <w:lang w:val="en-GB" w:eastAsia="en-US"/>
        </w:rPr>
      </w:pPr>
    </w:p>
    <w:p w:rsidR="007E5FD5" w:rsidRPr="00C903F8" w:rsidRDefault="007E5FD5" w:rsidP="007E5FD5">
      <w:pPr>
        <w:pStyle w:val="ES-Titre3"/>
        <w:rPr>
          <w:i/>
          <w:lang w:val="en-GB"/>
        </w:rPr>
      </w:pPr>
      <w:bookmarkStart w:id="278" w:name="_Toc491854266"/>
      <w:r w:rsidRPr="00C903F8">
        <w:rPr>
          <w:lang w:val="en-GB"/>
        </w:rPr>
        <w:t xml:space="preserve">Article </w:t>
      </w:r>
      <w:r w:rsidR="009F3E19" w:rsidRPr="00C903F8">
        <w:rPr>
          <w:lang w:val="en-GB"/>
        </w:rPr>
        <w:t>30</w:t>
      </w:r>
      <w:r w:rsidRPr="00C903F8">
        <w:rPr>
          <w:lang w:val="en-GB"/>
        </w:rPr>
        <w:t>.07</w:t>
      </w:r>
      <w:r w:rsidR="00537DD3">
        <w:rPr>
          <w:lang w:val="en-GB"/>
        </w:rPr>
        <w:br/>
      </w:r>
      <w:r w:rsidRPr="00C903F8">
        <w:rPr>
          <w:i/>
          <w:lang w:val="en-GB"/>
        </w:rPr>
        <w:t>Technical services</w:t>
      </w:r>
      <w:bookmarkEnd w:id="278"/>
    </w:p>
    <w:p w:rsidR="007E5FD5" w:rsidRPr="00C903F8" w:rsidRDefault="007E5FD5" w:rsidP="007E5FD5">
      <w:pPr>
        <w:pStyle w:val="ESch"/>
        <w:rPr>
          <w:rFonts w:eastAsia="Calibri"/>
          <w:lang w:val="en-GB" w:eastAsia="en-US"/>
        </w:rPr>
      </w:pPr>
    </w:p>
    <w:p w:rsidR="007E5FD5" w:rsidRPr="00C903F8" w:rsidRDefault="007E5FD5" w:rsidP="007E5FD5">
      <w:pPr>
        <w:pStyle w:val="ESch"/>
        <w:rPr>
          <w:rFonts w:eastAsia="Calibri"/>
          <w:lang w:val="en-GB" w:eastAsia="en-US"/>
        </w:rPr>
      </w:pPr>
      <w:r w:rsidRPr="00C903F8">
        <w:rPr>
          <w:rFonts w:eastAsia="Calibri"/>
          <w:lang w:val="en-GB" w:eastAsia="en-US"/>
        </w:rPr>
        <w:t>1.</w:t>
      </w:r>
      <w:r w:rsidRPr="00C903F8">
        <w:rPr>
          <w:rFonts w:eastAsia="Calibri"/>
          <w:lang w:val="en-GB" w:eastAsia="en-US"/>
        </w:rPr>
        <w:tab/>
        <w:t>The technical services shall satisfy the European Standard EN ISO 17020: 2012.</w:t>
      </w:r>
    </w:p>
    <w:p w:rsidR="007E5FD5" w:rsidRPr="00C903F8" w:rsidRDefault="007E5FD5" w:rsidP="007E5FD5">
      <w:pPr>
        <w:pStyle w:val="ESch"/>
        <w:rPr>
          <w:rFonts w:eastAsia="Calibri"/>
          <w:lang w:val="en-GB" w:eastAsia="en-US"/>
        </w:rPr>
      </w:pPr>
    </w:p>
    <w:p w:rsidR="007E5FD5" w:rsidRPr="00C903F8" w:rsidRDefault="007E5FD5" w:rsidP="007E5FD5">
      <w:pPr>
        <w:pStyle w:val="ESch"/>
        <w:rPr>
          <w:rFonts w:eastAsia="Calibri"/>
          <w:lang w:val="en-GB" w:eastAsia="en-US"/>
        </w:rPr>
      </w:pPr>
      <w:r w:rsidRPr="00C903F8">
        <w:rPr>
          <w:rFonts w:eastAsia="Calibri"/>
          <w:lang w:val="en-GB" w:eastAsia="en-US"/>
        </w:rPr>
        <w:t>2.</w:t>
      </w:r>
      <w:r w:rsidRPr="00C903F8">
        <w:rPr>
          <w:rFonts w:eastAsia="Calibri"/>
          <w:lang w:val="en-GB" w:eastAsia="en-US"/>
        </w:rPr>
        <w:tab/>
        <w:t>Manufacturers and distributors of propulsion or auxiliary systems, or parts of these systems, cannot be recognised as technical services.</w:t>
      </w:r>
    </w:p>
    <w:p w:rsidR="007E5FD5" w:rsidRPr="00C903F8" w:rsidRDefault="007E5FD5" w:rsidP="007E5FD5">
      <w:pPr>
        <w:pStyle w:val="ESch"/>
        <w:rPr>
          <w:rFonts w:eastAsia="Calibri"/>
          <w:lang w:val="en-GB" w:eastAsia="en-US"/>
        </w:rPr>
      </w:pPr>
    </w:p>
    <w:p w:rsidR="007E5FD5" w:rsidRPr="00C903F8" w:rsidRDefault="007E5FD5" w:rsidP="007E5FD5">
      <w:pPr>
        <w:pStyle w:val="ESch"/>
        <w:rPr>
          <w:rFonts w:eastAsia="Calibri"/>
          <w:lang w:val="en-GB" w:eastAsia="en-US"/>
        </w:rPr>
      </w:pPr>
      <w:r w:rsidRPr="00C903F8">
        <w:rPr>
          <w:rFonts w:eastAsia="Calibri"/>
          <w:lang w:val="en-GB" w:eastAsia="en-US"/>
        </w:rPr>
        <w:t>3.</w:t>
      </w:r>
      <w:r w:rsidRPr="00C903F8">
        <w:rPr>
          <w:rFonts w:eastAsia="Calibri"/>
          <w:lang w:val="en-GB" w:eastAsia="en-US"/>
        </w:rPr>
        <w:tab/>
        <w:t xml:space="preserve">The technical service's expertise must comply with the relevant requirements from Annex </w:t>
      </w:r>
      <w:r w:rsidR="009F3E19" w:rsidRPr="00C903F8">
        <w:rPr>
          <w:rFonts w:eastAsia="Calibri"/>
          <w:lang w:val="en-GB" w:eastAsia="en-US"/>
        </w:rPr>
        <w:t>8</w:t>
      </w:r>
      <w:r w:rsidRPr="00C903F8">
        <w:rPr>
          <w:rFonts w:eastAsia="Calibri"/>
          <w:lang w:val="en-GB" w:eastAsia="en-US"/>
        </w:rPr>
        <w:t>.</w:t>
      </w:r>
    </w:p>
    <w:p w:rsidR="007E5FD5" w:rsidRPr="00C903F8" w:rsidRDefault="007E5FD5" w:rsidP="007E5FD5">
      <w:pPr>
        <w:pStyle w:val="ESch"/>
        <w:rPr>
          <w:rFonts w:eastAsia="Calibri"/>
          <w:lang w:val="en-GB" w:eastAsia="en-US"/>
        </w:rPr>
      </w:pPr>
    </w:p>
    <w:p w:rsidR="007E5FD5" w:rsidRPr="00C903F8" w:rsidRDefault="007E5FD5" w:rsidP="007E5FD5">
      <w:pPr>
        <w:pStyle w:val="ESch"/>
        <w:rPr>
          <w:rFonts w:eastAsia="Calibri"/>
          <w:lang w:val="en-GB" w:eastAsia="en-US"/>
        </w:rPr>
      </w:pPr>
      <w:r w:rsidRPr="00C903F8">
        <w:rPr>
          <w:rFonts w:eastAsia="Calibri"/>
          <w:lang w:val="en-GB" w:eastAsia="en-US"/>
        </w:rPr>
        <w:t>4.</w:t>
      </w:r>
      <w:r w:rsidRPr="00C903F8">
        <w:rPr>
          <w:rFonts w:eastAsia="Calibri"/>
          <w:lang w:val="en-GB" w:eastAsia="en-US"/>
        </w:rPr>
        <w:tab/>
        <w:t xml:space="preserve">The monitoring and testing according to Articles </w:t>
      </w:r>
      <w:r w:rsidR="009F3E19" w:rsidRPr="00C903F8">
        <w:rPr>
          <w:rFonts w:eastAsia="Calibri"/>
          <w:lang w:val="en-GB" w:eastAsia="en-US"/>
        </w:rPr>
        <w:t>30</w:t>
      </w:r>
      <w:r w:rsidRPr="00C903F8">
        <w:rPr>
          <w:rFonts w:eastAsia="Calibri"/>
          <w:lang w:val="en-GB" w:eastAsia="en-US"/>
        </w:rPr>
        <w:t xml:space="preserve">.01 and </w:t>
      </w:r>
      <w:r w:rsidR="009F3E19" w:rsidRPr="00C903F8">
        <w:rPr>
          <w:rFonts w:eastAsia="Calibri"/>
          <w:lang w:val="en-GB" w:eastAsia="en-US"/>
        </w:rPr>
        <w:t>30</w:t>
      </w:r>
      <w:r w:rsidRPr="00C903F8">
        <w:rPr>
          <w:rFonts w:eastAsia="Calibri"/>
          <w:lang w:val="en-GB" w:eastAsia="en-US"/>
        </w:rPr>
        <w:t xml:space="preserve">.02 may be performed by different technical services provided that all the expertise described in </w:t>
      </w:r>
      <w:r w:rsidR="009413B2" w:rsidRPr="00C903F8">
        <w:rPr>
          <w:rFonts w:eastAsia="Calibri"/>
          <w:lang w:val="en-GB" w:eastAsia="en-US"/>
        </w:rPr>
        <w:t>(</w:t>
      </w:r>
      <w:r w:rsidRPr="00C903F8">
        <w:rPr>
          <w:rFonts w:eastAsia="Calibri"/>
          <w:lang w:val="en-GB" w:eastAsia="en-US"/>
        </w:rPr>
        <w:t>3</w:t>
      </w:r>
      <w:r w:rsidR="009413B2" w:rsidRPr="00C903F8">
        <w:rPr>
          <w:rFonts w:eastAsia="Calibri"/>
          <w:lang w:val="en-GB" w:eastAsia="en-US"/>
        </w:rPr>
        <w:t>)</w:t>
      </w:r>
      <w:r w:rsidRPr="00C903F8">
        <w:rPr>
          <w:rFonts w:eastAsia="Calibri"/>
          <w:lang w:val="en-GB" w:eastAsia="en-US"/>
        </w:rPr>
        <w:t xml:space="preserve"> is taken into account in the process. </w:t>
      </w:r>
    </w:p>
    <w:p w:rsidR="007E5FD5" w:rsidRDefault="007E5FD5" w:rsidP="007E5FD5">
      <w:pPr>
        <w:pStyle w:val="ESch"/>
        <w:rPr>
          <w:rFonts w:eastAsia="Calibri"/>
          <w:lang w:val="en-GB" w:eastAsia="en-US"/>
        </w:rPr>
      </w:pPr>
    </w:p>
    <w:p w:rsidR="005B594A" w:rsidRDefault="005B594A">
      <w:pPr>
        <w:autoSpaceDE/>
        <w:autoSpaceDN/>
        <w:ind w:left="0" w:firstLine="0"/>
        <w:jc w:val="left"/>
        <w:rPr>
          <w:rFonts w:eastAsia="Calibri"/>
          <w:lang w:val="en-GB" w:eastAsia="en-US"/>
        </w:rPr>
      </w:pPr>
      <w:r>
        <w:rPr>
          <w:rFonts w:eastAsia="Calibri"/>
          <w:lang w:val="en-GB" w:eastAsia="en-US"/>
        </w:rPr>
        <w:br w:type="page"/>
      </w:r>
    </w:p>
    <w:p w:rsidR="005B594A" w:rsidRPr="00C903F8" w:rsidRDefault="005B594A" w:rsidP="007E5FD5">
      <w:pPr>
        <w:pStyle w:val="ESch"/>
        <w:rPr>
          <w:rFonts w:eastAsia="Calibri"/>
          <w:lang w:val="en-GB" w:eastAsia="en-US"/>
        </w:rPr>
      </w:pPr>
    </w:p>
    <w:p w:rsidR="00451B55" w:rsidRPr="00C903F8" w:rsidRDefault="00451B55" w:rsidP="00125490">
      <w:pPr>
        <w:pStyle w:val="ESch"/>
        <w:rPr>
          <w:rFonts w:cs="Arial"/>
          <w:szCs w:val="20"/>
          <w:lang w:val="en-US"/>
        </w:rPr>
      </w:pPr>
    </w:p>
    <w:p w:rsidR="000D44AE" w:rsidRPr="00C903F8" w:rsidRDefault="000D44AE" w:rsidP="000D44AE">
      <w:pPr>
        <w:pStyle w:val="ES-Titre2"/>
        <w:rPr>
          <w:szCs w:val="24"/>
        </w:rPr>
      </w:pPr>
      <w:bookmarkStart w:id="279" w:name="_Toc491854267"/>
      <w:r w:rsidRPr="00C903F8">
        <w:lastRenderedPageBreak/>
        <w:t>Chapter 31</w:t>
      </w:r>
      <w:r w:rsidRPr="00C903F8">
        <w:br/>
      </w:r>
      <w:r w:rsidR="00031119" w:rsidRPr="00C903F8">
        <w:rPr>
          <w:noProof/>
          <w:sz w:val="22"/>
          <w:szCs w:val="22"/>
        </w:rPr>
        <w:t>Special provisions applicable to vessels sailing with minimum crew</w:t>
      </w:r>
      <w:bookmarkEnd w:id="279"/>
    </w:p>
    <w:p w:rsidR="000D44AE" w:rsidRPr="00C903F8" w:rsidRDefault="000D44AE" w:rsidP="000D44AE">
      <w:pPr>
        <w:rPr>
          <w:lang w:val="en-US" w:eastAsia="en-US"/>
        </w:rPr>
      </w:pPr>
    </w:p>
    <w:p w:rsidR="000D44AE" w:rsidRPr="00C903F8" w:rsidRDefault="000D44AE" w:rsidP="000D44AE">
      <w:pPr>
        <w:pStyle w:val="ES-Titre3"/>
        <w:rPr>
          <w:lang w:val="en-US"/>
        </w:rPr>
      </w:pPr>
      <w:bookmarkStart w:id="280" w:name="_Toc491854268"/>
      <w:r w:rsidRPr="00C903F8">
        <w:rPr>
          <w:noProof/>
          <w:lang w:val="en-US"/>
        </w:rPr>
        <w:t>Article 31.01</w:t>
      </w:r>
      <w:r w:rsidRPr="00C903F8">
        <w:rPr>
          <w:noProof/>
          <w:lang w:val="en-US"/>
        </w:rPr>
        <w:br/>
      </w:r>
      <w:r w:rsidR="00031119" w:rsidRPr="00C903F8">
        <w:rPr>
          <w:bCs/>
          <w:i/>
          <w:noProof/>
          <w:lang w:val="en-US"/>
        </w:rPr>
        <w:t>Vessels' equipment</w:t>
      </w:r>
      <w:bookmarkEnd w:id="280"/>
    </w:p>
    <w:p w:rsidR="00125490" w:rsidRPr="00C903F8" w:rsidRDefault="00125490" w:rsidP="00125490">
      <w:pPr>
        <w:pStyle w:val="ESch"/>
        <w:rPr>
          <w:rFonts w:cs="Arial"/>
          <w:szCs w:val="20"/>
          <w:lang w:val="en-US"/>
        </w:rPr>
      </w:pPr>
    </w:p>
    <w:p w:rsidR="00031119" w:rsidRPr="00C903F8" w:rsidRDefault="00031119" w:rsidP="00031119">
      <w:pPr>
        <w:pStyle w:val="ESgauche"/>
        <w:rPr>
          <w:szCs w:val="18"/>
          <w:lang w:val="en-US"/>
        </w:rPr>
      </w:pPr>
      <w:r w:rsidRPr="00C903F8">
        <w:rPr>
          <w:lang w:val="en-US"/>
        </w:rPr>
        <w:t>For motor vessels, pushers, pushed convoys and passenger vessels, compliance with, or failure to comply with, the provisions of Article 31.02 or Article 31.03 shall be entered in item 47 of the inland navigation vessel certificate by the inspection body.</w:t>
      </w:r>
    </w:p>
    <w:p w:rsidR="00031119" w:rsidRPr="00C903F8" w:rsidRDefault="00031119" w:rsidP="00031119">
      <w:pPr>
        <w:pStyle w:val="ESch"/>
        <w:rPr>
          <w:lang w:val="en-US"/>
        </w:rPr>
      </w:pPr>
    </w:p>
    <w:p w:rsidR="00031119" w:rsidRPr="00C903F8" w:rsidRDefault="00031119" w:rsidP="00031119">
      <w:pPr>
        <w:pStyle w:val="ESch"/>
        <w:rPr>
          <w:lang w:val="en-US"/>
        </w:rPr>
      </w:pPr>
    </w:p>
    <w:p w:rsidR="00031119" w:rsidRPr="00C903F8" w:rsidRDefault="00031119" w:rsidP="00031119">
      <w:pPr>
        <w:pStyle w:val="ES-Titre3"/>
        <w:rPr>
          <w:rFonts w:cs="Arial"/>
          <w:szCs w:val="18"/>
          <w:lang w:val="en-US"/>
        </w:rPr>
      </w:pPr>
      <w:bookmarkStart w:id="281" w:name="_Toc491854269"/>
      <w:r w:rsidRPr="00C903F8">
        <w:rPr>
          <w:lang w:val="en-US"/>
        </w:rPr>
        <w:t>Article 31.02</w:t>
      </w:r>
      <w:r w:rsidRPr="00C903F8">
        <w:rPr>
          <w:lang w:val="en-US"/>
        </w:rPr>
        <w:br/>
      </w:r>
      <w:r w:rsidRPr="00C903F8">
        <w:rPr>
          <w:rFonts w:cs="Arial"/>
          <w:i/>
          <w:noProof/>
          <w:szCs w:val="18"/>
          <w:lang w:val="en-US" w:bidi="fr-FR"/>
        </w:rPr>
        <w:t>Standard S1</w:t>
      </w:r>
      <w:bookmarkEnd w:id="281"/>
    </w:p>
    <w:p w:rsidR="00031119" w:rsidRPr="00C903F8" w:rsidRDefault="00031119" w:rsidP="00031119">
      <w:pPr>
        <w:pStyle w:val="ESch"/>
        <w:rPr>
          <w:noProof/>
          <w:lang w:val="en-US"/>
        </w:rPr>
      </w:pPr>
    </w:p>
    <w:p w:rsidR="00031119" w:rsidRPr="00C903F8" w:rsidRDefault="00031119" w:rsidP="00031119">
      <w:pPr>
        <w:pStyle w:val="ESch"/>
        <w:rPr>
          <w:noProof/>
          <w:szCs w:val="18"/>
          <w:lang w:val="en-US"/>
        </w:rPr>
      </w:pPr>
      <w:r w:rsidRPr="00C903F8">
        <w:rPr>
          <w:noProof/>
          <w:lang w:val="en-US"/>
        </w:rPr>
        <w:t>1.</w:t>
      </w:r>
      <w:r w:rsidRPr="00C903F8">
        <w:rPr>
          <w:noProof/>
          <w:lang w:val="en-US"/>
        </w:rPr>
        <w:tab/>
        <w:t>The propulsion systems shall be arranged in such a way that speed can be changed and the direction of the propeller thrust reversed from the steering position.</w:t>
      </w:r>
    </w:p>
    <w:p w:rsidR="00031119" w:rsidRPr="00C903F8" w:rsidRDefault="00031119" w:rsidP="00031119">
      <w:pPr>
        <w:pStyle w:val="ESch"/>
        <w:rPr>
          <w:noProof/>
          <w:lang w:val="en-US"/>
        </w:rPr>
      </w:pPr>
    </w:p>
    <w:p w:rsidR="00031119" w:rsidRPr="00C903F8" w:rsidRDefault="00031119" w:rsidP="00031119">
      <w:pPr>
        <w:pStyle w:val="ESchpar"/>
        <w:rPr>
          <w:noProof/>
          <w:szCs w:val="18"/>
          <w:lang w:val="en-US"/>
        </w:rPr>
      </w:pPr>
      <w:r w:rsidRPr="00C903F8">
        <w:rPr>
          <w:noProof/>
          <w:lang w:val="en-US"/>
        </w:rPr>
        <w:t>It shall be possible for the auxiliary engines needed for operational purposes to be switched on or off from the steering position, unless this is done automatically or the engines run continuously during each voyage.</w:t>
      </w:r>
    </w:p>
    <w:p w:rsidR="00031119" w:rsidRPr="00C903F8" w:rsidRDefault="00031119" w:rsidP="00031119">
      <w:pPr>
        <w:pStyle w:val="ESch"/>
        <w:rPr>
          <w:noProof/>
          <w:lang w:val="en-US"/>
        </w:rPr>
      </w:pPr>
    </w:p>
    <w:p w:rsidR="00031119" w:rsidRPr="00C903F8" w:rsidRDefault="00031119" w:rsidP="00031119">
      <w:pPr>
        <w:pStyle w:val="ESch"/>
        <w:rPr>
          <w:noProof/>
          <w:szCs w:val="18"/>
          <w:lang w:val="en-US"/>
        </w:rPr>
      </w:pPr>
      <w:r w:rsidRPr="00C903F8">
        <w:rPr>
          <w:noProof/>
          <w:lang w:val="en-US"/>
        </w:rPr>
        <w:t>2.</w:t>
      </w:r>
      <w:r w:rsidRPr="00C903F8">
        <w:rPr>
          <w:noProof/>
          <w:lang w:val="en-US"/>
        </w:rPr>
        <w:tab/>
      </w:r>
      <w:r w:rsidR="00FC3759" w:rsidRPr="00C903F8">
        <w:rPr>
          <w:noProof/>
          <w:lang w:val="en-US"/>
        </w:rPr>
        <w:t xml:space="preserve">In the critical </w:t>
      </w:r>
      <w:r w:rsidRPr="00C903F8">
        <w:rPr>
          <w:noProof/>
          <w:lang w:val="en-US"/>
        </w:rPr>
        <w:t>areas of,</w:t>
      </w:r>
    </w:p>
    <w:p w:rsidR="00031119" w:rsidRPr="00C903F8" w:rsidRDefault="00031119" w:rsidP="00031119">
      <w:pPr>
        <w:pStyle w:val="ESlet"/>
        <w:rPr>
          <w:noProof/>
          <w:szCs w:val="18"/>
          <w:lang w:val="en-US"/>
        </w:rPr>
      </w:pPr>
      <w:r w:rsidRPr="00C903F8">
        <w:rPr>
          <w:noProof/>
          <w:lang w:val="en-US"/>
        </w:rPr>
        <w:t>-</w:t>
      </w:r>
      <w:r w:rsidRPr="00C903F8">
        <w:rPr>
          <w:noProof/>
          <w:lang w:val="en-US"/>
        </w:rPr>
        <w:tab/>
        <w:t>the temperature of the main-engine cooling water,</w:t>
      </w:r>
    </w:p>
    <w:p w:rsidR="00031119" w:rsidRPr="00C903F8" w:rsidRDefault="00031119" w:rsidP="00031119">
      <w:pPr>
        <w:pStyle w:val="ESlet"/>
        <w:rPr>
          <w:noProof/>
          <w:szCs w:val="18"/>
          <w:lang w:val="en-US"/>
        </w:rPr>
      </w:pPr>
      <w:r w:rsidRPr="00C903F8">
        <w:rPr>
          <w:noProof/>
          <w:lang w:val="en-US"/>
        </w:rPr>
        <w:t>-</w:t>
      </w:r>
      <w:r w:rsidRPr="00C903F8">
        <w:rPr>
          <w:noProof/>
          <w:lang w:val="en-US"/>
        </w:rPr>
        <w:tab/>
        <w:t>the lubricating-oil pressure for the main engines and transmissions,</w:t>
      </w:r>
    </w:p>
    <w:p w:rsidR="00031119" w:rsidRPr="00C903F8" w:rsidRDefault="00031119" w:rsidP="00031119">
      <w:pPr>
        <w:pStyle w:val="ESlet"/>
        <w:rPr>
          <w:noProof/>
          <w:szCs w:val="18"/>
          <w:lang w:val="en-US"/>
        </w:rPr>
      </w:pPr>
      <w:r w:rsidRPr="00C903F8">
        <w:rPr>
          <w:noProof/>
          <w:lang w:val="en-US"/>
        </w:rPr>
        <w:t>-</w:t>
      </w:r>
      <w:r w:rsidRPr="00C903F8">
        <w:rPr>
          <w:noProof/>
          <w:lang w:val="en-US"/>
        </w:rPr>
        <w:tab/>
        <w:t>the oil and air pressure of the main-engine reversing units, reversible transmissions or propellers,</w:t>
      </w:r>
    </w:p>
    <w:p w:rsidR="00031119" w:rsidRPr="00C903F8" w:rsidRDefault="00031119" w:rsidP="00031119">
      <w:pPr>
        <w:pStyle w:val="ESlet"/>
        <w:rPr>
          <w:noProof/>
          <w:szCs w:val="18"/>
          <w:lang w:val="en-US"/>
        </w:rPr>
      </w:pPr>
      <w:r w:rsidRPr="00C903F8">
        <w:rPr>
          <w:noProof/>
          <w:lang w:val="en-US"/>
        </w:rPr>
        <w:t>-</w:t>
      </w:r>
      <w:r w:rsidRPr="00C903F8">
        <w:rPr>
          <w:noProof/>
          <w:lang w:val="en-US"/>
        </w:rPr>
        <w:tab/>
        <w:t>the bilge levels in the main engine room,</w:t>
      </w:r>
    </w:p>
    <w:p w:rsidR="00031119" w:rsidRPr="00C903F8" w:rsidRDefault="00031119" w:rsidP="000F7006">
      <w:pPr>
        <w:pStyle w:val="ESchpar"/>
        <w:spacing w:before="60"/>
        <w:rPr>
          <w:noProof/>
          <w:szCs w:val="18"/>
          <w:lang w:val="en-US"/>
        </w:rPr>
      </w:pPr>
      <w:r w:rsidRPr="00C903F8">
        <w:rPr>
          <w:noProof/>
          <w:lang w:val="en-US"/>
        </w:rPr>
        <w:t>there shall be monitoring by means of instruments which set off optical and acoustic signals in the wheelhouse in the event of malfunction. The acoustic alarm signals may be combined in one audible warning device. They may be switched off as soon as the malfunction has been acknowledged. The visual alarm signals may only be switched off when the malfunctions which set them off have been corrected.</w:t>
      </w:r>
    </w:p>
    <w:p w:rsidR="00031119" w:rsidRPr="00C903F8" w:rsidRDefault="00031119" w:rsidP="00031119">
      <w:pPr>
        <w:pStyle w:val="ESch"/>
        <w:rPr>
          <w:noProof/>
          <w:lang w:val="en-US"/>
        </w:rPr>
      </w:pPr>
    </w:p>
    <w:p w:rsidR="00031119" w:rsidRPr="00C903F8" w:rsidRDefault="00031119" w:rsidP="00031119">
      <w:pPr>
        <w:pStyle w:val="ESch"/>
        <w:rPr>
          <w:noProof/>
          <w:szCs w:val="18"/>
          <w:lang w:val="en-US"/>
        </w:rPr>
      </w:pPr>
      <w:r w:rsidRPr="00C903F8">
        <w:rPr>
          <w:noProof/>
          <w:lang w:val="en-US"/>
        </w:rPr>
        <w:t>3.</w:t>
      </w:r>
      <w:r w:rsidRPr="00C903F8">
        <w:rPr>
          <w:noProof/>
          <w:lang w:val="en-US"/>
        </w:rPr>
        <w:tab/>
        <w:t>The fuel shall be supplied and main engines cooled automatically.</w:t>
      </w:r>
    </w:p>
    <w:p w:rsidR="00031119" w:rsidRPr="00C903F8" w:rsidRDefault="00031119" w:rsidP="00031119">
      <w:pPr>
        <w:pStyle w:val="ESch"/>
        <w:rPr>
          <w:noProof/>
          <w:lang w:val="en-US"/>
        </w:rPr>
      </w:pPr>
    </w:p>
    <w:p w:rsidR="00031119" w:rsidRPr="00C903F8" w:rsidRDefault="00031119" w:rsidP="00031119">
      <w:pPr>
        <w:pStyle w:val="ESch"/>
        <w:rPr>
          <w:noProof/>
          <w:szCs w:val="18"/>
          <w:lang w:val="en-US"/>
        </w:rPr>
      </w:pPr>
      <w:r w:rsidRPr="00C903F8">
        <w:rPr>
          <w:noProof/>
          <w:lang w:val="en-US"/>
        </w:rPr>
        <w:t>4.</w:t>
      </w:r>
      <w:r w:rsidRPr="00C903F8">
        <w:rPr>
          <w:noProof/>
          <w:lang w:val="en-US"/>
        </w:rPr>
        <w:tab/>
        <w:t>The steering system shall be able to be operated by one person, even in maximum draught, without requiring particular force.</w:t>
      </w:r>
    </w:p>
    <w:p w:rsidR="00031119" w:rsidRPr="00C903F8" w:rsidRDefault="00031119" w:rsidP="00031119">
      <w:pPr>
        <w:pStyle w:val="ESch"/>
        <w:rPr>
          <w:noProof/>
          <w:lang w:val="en-US"/>
        </w:rPr>
      </w:pPr>
    </w:p>
    <w:p w:rsidR="00031119" w:rsidRPr="00C903F8" w:rsidRDefault="00031119" w:rsidP="00031119">
      <w:pPr>
        <w:pStyle w:val="ESch"/>
        <w:rPr>
          <w:noProof/>
          <w:szCs w:val="18"/>
          <w:lang w:val="en-US"/>
        </w:rPr>
      </w:pPr>
      <w:r w:rsidRPr="00C903F8">
        <w:rPr>
          <w:noProof/>
          <w:lang w:val="en-US"/>
        </w:rPr>
        <w:t>5.</w:t>
      </w:r>
      <w:r w:rsidRPr="00C903F8">
        <w:rPr>
          <w:noProof/>
          <w:lang w:val="en-US"/>
        </w:rPr>
        <w:tab/>
        <w:t xml:space="preserve">It shall be possible to give the optical and acoustic signals </w:t>
      </w:r>
      <w:r w:rsidR="006B0963" w:rsidRPr="00C903F8">
        <w:rPr>
          <w:noProof/>
          <w:lang w:val="en-US"/>
        </w:rPr>
        <w:t>in accordance with the</w:t>
      </w:r>
      <w:r w:rsidR="001243C3" w:rsidRPr="00C903F8">
        <w:rPr>
          <w:noProof/>
          <w:lang w:val="en-US"/>
        </w:rPr>
        <w:t xml:space="preserve"> applicable</w:t>
      </w:r>
      <w:r w:rsidR="006B0963" w:rsidRPr="00C903F8">
        <w:rPr>
          <w:noProof/>
          <w:lang w:val="en-US"/>
        </w:rPr>
        <w:t xml:space="preserve"> </w:t>
      </w:r>
      <w:r w:rsidR="006B0963" w:rsidRPr="00C903F8">
        <w:rPr>
          <w:szCs w:val="20"/>
          <w:lang w:val="en-US"/>
        </w:rPr>
        <w:t>navigational authority regulations of the Member States</w:t>
      </w:r>
      <w:r w:rsidRPr="00C903F8">
        <w:rPr>
          <w:noProof/>
          <w:lang w:val="en-US"/>
        </w:rPr>
        <w:t>, as appropriate, from the steering position</w:t>
      </w:r>
      <w:r w:rsidR="00891292" w:rsidRPr="00C903F8">
        <w:rPr>
          <w:noProof/>
          <w:lang w:val="en-US"/>
        </w:rPr>
        <w:t xml:space="preserve"> of vessels under way</w:t>
      </w:r>
      <w:r w:rsidRPr="00C903F8">
        <w:rPr>
          <w:noProof/>
          <w:lang w:val="en-US"/>
        </w:rPr>
        <w:t>.</w:t>
      </w:r>
    </w:p>
    <w:p w:rsidR="00031119" w:rsidRPr="00C903F8" w:rsidRDefault="00031119" w:rsidP="00031119">
      <w:pPr>
        <w:pStyle w:val="ESch"/>
        <w:rPr>
          <w:noProof/>
          <w:lang w:val="en-US"/>
        </w:rPr>
      </w:pPr>
    </w:p>
    <w:p w:rsidR="00031119" w:rsidRPr="00C903F8" w:rsidRDefault="00031119" w:rsidP="00031119">
      <w:pPr>
        <w:pStyle w:val="ESch"/>
        <w:rPr>
          <w:noProof/>
          <w:szCs w:val="18"/>
          <w:lang w:val="en-US"/>
        </w:rPr>
      </w:pPr>
      <w:r w:rsidRPr="00C903F8">
        <w:rPr>
          <w:noProof/>
          <w:lang w:val="en-US"/>
        </w:rPr>
        <w:t>6.</w:t>
      </w:r>
      <w:r w:rsidRPr="00C903F8">
        <w:rPr>
          <w:noProof/>
          <w:lang w:val="en-US"/>
        </w:rPr>
        <w:tab/>
        <w:t>Where there is no direct communication between the steering position and the fore</w:t>
      </w:r>
      <w:r w:rsidR="009827B2" w:rsidRPr="00C903F8">
        <w:rPr>
          <w:noProof/>
          <w:lang w:val="en-US"/>
        </w:rPr>
        <w:t>-</w:t>
      </w:r>
      <w:r w:rsidRPr="00C903F8">
        <w:rPr>
          <w:noProof/>
          <w:lang w:val="en-US"/>
        </w:rPr>
        <w:t>section, the aft, the accommodation and the engine rooms, a voice communication system shall be provided. For communication with the engine rooms, this may be in the form of an optical or acoustic signal.</w:t>
      </w:r>
    </w:p>
    <w:p w:rsidR="00031119" w:rsidRPr="00C903F8" w:rsidRDefault="00031119" w:rsidP="00031119">
      <w:pPr>
        <w:pStyle w:val="ESch"/>
        <w:rPr>
          <w:noProof/>
          <w:lang w:val="en-US"/>
        </w:rPr>
      </w:pPr>
    </w:p>
    <w:p w:rsidR="00031119" w:rsidRPr="00C903F8" w:rsidRDefault="00031119" w:rsidP="00031119">
      <w:pPr>
        <w:pStyle w:val="ESch"/>
        <w:rPr>
          <w:rFonts w:cs="Arial"/>
          <w:szCs w:val="18"/>
          <w:lang w:val="en-US"/>
        </w:rPr>
      </w:pPr>
      <w:r w:rsidRPr="00C903F8">
        <w:rPr>
          <w:noProof/>
          <w:lang w:val="en-US"/>
        </w:rPr>
        <w:t>7.</w:t>
      </w:r>
      <w:r w:rsidRPr="00C903F8">
        <w:rPr>
          <w:noProof/>
          <w:lang w:val="en-US"/>
        </w:rPr>
        <w:tab/>
        <w:t>The operation of cranks and similar revolving parts of lifting devices shall not require a force of more than 160 N.</w:t>
      </w:r>
    </w:p>
    <w:p w:rsidR="00031119" w:rsidRPr="00C903F8" w:rsidRDefault="00031119" w:rsidP="00031119">
      <w:pPr>
        <w:pStyle w:val="ESch"/>
        <w:rPr>
          <w:noProof/>
          <w:lang w:val="en-US"/>
        </w:rPr>
      </w:pPr>
    </w:p>
    <w:p w:rsidR="00031119" w:rsidRPr="00C903F8" w:rsidRDefault="00031119" w:rsidP="00031119">
      <w:pPr>
        <w:pStyle w:val="ESch"/>
        <w:rPr>
          <w:noProof/>
          <w:lang w:val="en-US"/>
        </w:rPr>
      </w:pPr>
      <w:r w:rsidRPr="00C903F8">
        <w:rPr>
          <w:noProof/>
          <w:lang w:val="en-US"/>
        </w:rPr>
        <w:br w:type="page"/>
      </w:r>
    </w:p>
    <w:p w:rsidR="00031119" w:rsidRPr="00C903F8" w:rsidRDefault="00031119" w:rsidP="00031119">
      <w:pPr>
        <w:pStyle w:val="ESch"/>
        <w:rPr>
          <w:noProof/>
          <w:szCs w:val="18"/>
          <w:lang w:val="en-US"/>
        </w:rPr>
      </w:pPr>
      <w:r w:rsidRPr="00C903F8">
        <w:rPr>
          <w:noProof/>
          <w:lang w:val="en-US"/>
        </w:rPr>
        <w:lastRenderedPageBreak/>
        <w:t>8.</w:t>
      </w:r>
      <w:r w:rsidRPr="00C903F8">
        <w:rPr>
          <w:noProof/>
          <w:lang w:val="en-US"/>
        </w:rPr>
        <w:tab/>
        <w:t>The towing winches entered in the inland navigation vessel certificate shall be motorised.</w:t>
      </w:r>
    </w:p>
    <w:p w:rsidR="00031119" w:rsidRPr="00C903F8" w:rsidRDefault="00031119" w:rsidP="00031119">
      <w:pPr>
        <w:pStyle w:val="ESch"/>
        <w:rPr>
          <w:noProof/>
          <w:lang w:val="en-US"/>
        </w:rPr>
      </w:pPr>
    </w:p>
    <w:p w:rsidR="00031119" w:rsidRPr="00C903F8" w:rsidRDefault="00031119" w:rsidP="00031119">
      <w:pPr>
        <w:pStyle w:val="ESch"/>
        <w:rPr>
          <w:noProof/>
          <w:szCs w:val="18"/>
          <w:lang w:val="en-US"/>
        </w:rPr>
      </w:pPr>
      <w:r w:rsidRPr="00C903F8">
        <w:rPr>
          <w:noProof/>
          <w:lang w:val="en-US"/>
        </w:rPr>
        <w:t>9.</w:t>
      </w:r>
      <w:r w:rsidRPr="00C903F8">
        <w:rPr>
          <w:noProof/>
          <w:lang w:val="en-US"/>
        </w:rPr>
        <w:tab/>
        <w:t>The bilge and deck-wash pumps shall be motorised.</w:t>
      </w:r>
    </w:p>
    <w:p w:rsidR="00031119" w:rsidRPr="00C903F8" w:rsidRDefault="00031119" w:rsidP="00031119">
      <w:pPr>
        <w:pStyle w:val="ESch"/>
        <w:rPr>
          <w:noProof/>
          <w:lang w:val="en-US"/>
        </w:rPr>
      </w:pPr>
    </w:p>
    <w:p w:rsidR="00031119" w:rsidRPr="00C903F8" w:rsidRDefault="00031119" w:rsidP="00031119">
      <w:pPr>
        <w:pStyle w:val="ESch"/>
        <w:rPr>
          <w:noProof/>
          <w:szCs w:val="18"/>
          <w:lang w:val="en-US"/>
        </w:rPr>
      </w:pPr>
      <w:r w:rsidRPr="00C903F8">
        <w:rPr>
          <w:noProof/>
          <w:lang w:val="en-US"/>
        </w:rPr>
        <w:t>10.</w:t>
      </w:r>
      <w:r w:rsidRPr="00C903F8">
        <w:rPr>
          <w:noProof/>
          <w:lang w:val="en-US"/>
        </w:rPr>
        <w:tab/>
        <w:t>The principal control units and monitoring instruments shall be ergonomically arranged.</w:t>
      </w:r>
    </w:p>
    <w:p w:rsidR="00031119" w:rsidRPr="00C903F8" w:rsidRDefault="00031119" w:rsidP="00031119">
      <w:pPr>
        <w:pStyle w:val="ESch"/>
        <w:rPr>
          <w:noProof/>
          <w:lang w:val="en-US"/>
        </w:rPr>
      </w:pPr>
    </w:p>
    <w:p w:rsidR="00031119" w:rsidRPr="00C903F8" w:rsidRDefault="00031119" w:rsidP="00031119">
      <w:pPr>
        <w:pStyle w:val="ESch"/>
        <w:rPr>
          <w:noProof/>
          <w:lang w:val="en-US"/>
        </w:rPr>
      </w:pPr>
      <w:r w:rsidRPr="00C903F8">
        <w:rPr>
          <w:noProof/>
          <w:lang w:val="en-US"/>
        </w:rPr>
        <w:t>11.</w:t>
      </w:r>
      <w:r w:rsidRPr="00C903F8">
        <w:rPr>
          <w:noProof/>
          <w:lang w:val="en-US"/>
        </w:rPr>
        <w:tab/>
        <w:t>The equipment required under Article 6.01(1), shall be capable of being remotely operated from the steering position.</w:t>
      </w:r>
    </w:p>
    <w:p w:rsidR="00031119" w:rsidRPr="00C903F8" w:rsidRDefault="00031119" w:rsidP="00031119">
      <w:pPr>
        <w:pStyle w:val="ESch"/>
        <w:rPr>
          <w:noProof/>
          <w:lang w:val="en-US"/>
        </w:rPr>
      </w:pPr>
    </w:p>
    <w:p w:rsidR="00031119" w:rsidRPr="00C903F8" w:rsidRDefault="00031119" w:rsidP="00031119">
      <w:pPr>
        <w:pStyle w:val="ESch"/>
        <w:rPr>
          <w:noProof/>
          <w:szCs w:val="18"/>
          <w:lang w:val="en-US"/>
        </w:rPr>
      </w:pPr>
    </w:p>
    <w:p w:rsidR="00031119" w:rsidRPr="00C903F8" w:rsidRDefault="00031119" w:rsidP="00031119">
      <w:pPr>
        <w:pStyle w:val="ES-Titre3"/>
        <w:rPr>
          <w:rFonts w:cs="Arial"/>
          <w:szCs w:val="18"/>
          <w:lang w:val="en-US"/>
        </w:rPr>
      </w:pPr>
      <w:bookmarkStart w:id="282" w:name="_Toc491854270"/>
      <w:r w:rsidRPr="00C903F8">
        <w:rPr>
          <w:lang w:val="en-US"/>
        </w:rPr>
        <w:t>Article 31.03</w:t>
      </w:r>
      <w:r w:rsidRPr="00C903F8">
        <w:rPr>
          <w:lang w:val="en-US"/>
        </w:rPr>
        <w:br/>
      </w:r>
      <w:r w:rsidRPr="00C903F8">
        <w:rPr>
          <w:rFonts w:cs="Arial"/>
          <w:i/>
          <w:noProof/>
          <w:szCs w:val="18"/>
          <w:lang w:val="en-US" w:bidi="fr-FR"/>
        </w:rPr>
        <w:t>Standard S2</w:t>
      </w:r>
      <w:bookmarkEnd w:id="282"/>
    </w:p>
    <w:p w:rsidR="00031119" w:rsidRPr="00C903F8" w:rsidRDefault="00031119" w:rsidP="00031119">
      <w:pPr>
        <w:pStyle w:val="ESch"/>
        <w:rPr>
          <w:noProof/>
          <w:lang w:val="en-US"/>
        </w:rPr>
      </w:pPr>
    </w:p>
    <w:p w:rsidR="00320EDC" w:rsidRPr="00C903F8" w:rsidRDefault="00320EDC" w:rsidP="00031119">
      <w:pPr>
        <w:pStyle w:val="ESch"/>
        <w:rPr>
          <w:noProof/>
          <w:lang w:val="en-US"/>
        </w:rPr>
      </w:pPr>
      <w:r w:rsidRPr="00C903F8">
        <w:rPr>
          <w:noProof/>
          <w:lang w:val="en-US"/>
        </w:rPr>
        <w:t>Standard S1 and additionally equipped with:</w:t>
      </w:r>
    </w:p>
    <w:p w:rsidR="00320EDC" w:rsidRPr="00C903F8" w:rsidRDefault="00320EDC" w:rsidP="00031119">
      <w:pPr>
        <w:pStyle w:val="ESch"/>
        <w:rPr>
          <w:noProof/>
          <w:lang w:val="en-US"/>
        </w:rPr>
      </w:pPr>
    </w:p>
    <w:p w:rsidR="00031119" w:rsidRPr="00C903F8" w:rsidRDefault="00031119" w:rsidP="00031119">
      <w:pPr>
        <w:pStyle w:val="ESch"/>
        <w:rPr>
          <w:noProof/>
          <w:szCs w:val="18"/>
          <w:lang w:val="en-US"/>
        </w:rPr>
      </w:pPr>
      <w:r w:rsidRPr="00C903F8">
        <w:rPr>
          <w:noProof/>
          <w:lang w:val="en-US"/>
        </w:rPr>
        <w:t>1.</w:t>
      </w:r>
      <w:r w:rsidRPr="00C903F8">
        <w:rPr>
          <w:noProof/>
          <w:lang w:val="en-US"/>
        </w:rPr>
        <w:tab/>
        <w:t>For motor vessels operating seperately:</w:t>
      </w:r>
    </w:p>
    <w:p w:rsidR="00031119" w:rsidRPr="00C903F8" w:rsidRDefault="00031119" w:rsidP="00031119">
      <w:pPr>
        <w:pStyle w:val="ESch"/>
        <w:rPr>
          <w:noProof/>
          <w:lang w:val="en-US"/>
        </w:rPr>
      </w:pPr>
    </w:p>
    <w:p w:rsidR="00031119" w:rsidRPr="00C903F8" w:rsidRDefault="00031119" w:rsidP="00031119">
      <w:pPr>
        <w:pStyle w:val="ESchpar"/>
        <w:rPr>
          <w:noProof/>
          <w:szCs w:val="18"/>
          <w:lang w:val="en-US"/>
        </w:rPr>
      </w:pPr>
      <w:r w:rsidRPr="00C903F8">
        <w:rPr>
          <w:noProof/>
          <w:lang w:val="en-US"/>
        </w:rPr>
        <w:t>a bow thruster which can be operated from the steering position;</w:t>
      </w:r>
    </w:p>
    <w:p w:rsidR="00031119" w:rsidRPr="00C903F8" w:rsidRDefault="00031119" w:rsidP="00031119">
      <w:pPr>
        <w:pStyle w:val="ESch"/>
        <w:rPr>
          <w:noProof/>
          <w:lang w:val="en-US"/>
        </w:rPr>
      </w:pPr>
    </w:p>
    <w:p w:rsidR="00031119" w:rsidRPr="00C903F8" w:rsidRDefault="00031119" w:rsidP="00031119">
      <w:pPr>
        <w:pStyle w:val="ESch"/>
        <w:rPr>
          <w:noProof/>
          <w:szCs w:val="18"/>
          <w:lang w:val="en-US"/>
        </w:rPr>
      </w:pPr>
      <w:r w:rsidRPr="00C903F8">
        <w:rPr>
          <w:noProof/>
          <w:lang w:val="en-US"/>
        </w:rPr>
        <w:t>2.</w:t>
      </w:r>
      <w:r w:rsidRPr="00C903F8">
        <w:rPr>
          <w:noProof/>
          <w:lang w:val="en-US"/>
        </w:rPr>
        <w:tab/>
        <w:t>For motor vessels propelling in side-by-side formation:</w:t>
      </w:r>
    </w:p>
    <w:p w:rsidR="00031119" w:rsidRPr="00C903F8" w:rsidRDefault="00031119" w:rsidP="00031119">
      <w:pPr>
        <w:pStyle w:val="ESch"/>
        <w:rPr>
          <w:noProof/>
          <w:lang w:val="en-US"/>
        </w:rPr>
      </w:pPr>
    </w:p>
    <w:p w:rsidR="00031119" w:rsidRPr="00C903F8" w:rsidRDefault="00031119" w:rsidP="00031119">
      <w:pPr>
        <w:pStyle w:val="ESchpar"/>
        <w:rPr>
          <w:noProof/>
          <w:szCs w:val="18"/>
          <w:lang w:val="en-US"/>
        </w:rPr>
      </w:pPr>
      <w:r w:rsidRPr="00C903F8">
        <w:rPr>
          <w:noProof/>
          <w:lang w:val="en-US"/>
        </w:rPr>
        <w:t>a bow thruster which can be operated from the steering position;</w:t>
      </w:r>
    </w:p>
    <w:p w:rsidR="00031119" w:rsidRPr="00C903F8" w:rsidRDefault="00031119" w:rsidP="00031119">
      <w:pPr>
        <w:pStyle w:val="ESch"/>
        <w:rPr>
          <w:noProof/>
          <w:lang w:val="en-US"/>
        </w:rPr>
      </w:pPr>
    </w:p>
    <w:p w:rsidR="00031119" w:rsidRPr="00C903F8" w:rsidRDefault="00031119" w:rsidP="00031119">
      <w:pPr>
        <w:pStyle w:val="ESch"/>
        <w:rPr>
          <w:noProof/>
          <w:szCs w:val="18"/>
          <w:lang w:val="en-US"/>
        </w:rPr>
      </w:pPr>
      <w:r w:rsidRPr="00C903F8">
        <w:rPr>
          <w:noProof/>
          <w:lang w:val="en-US"/>
        </w:rPr>
        <w:t>3.</w:t>
      </w:r>
      <w:r w:rsidRPr="00C903F8">
        <w:rPr>
          <w:noProof/>
          <w:lang w:val="en-US"/>
        </w:rPr>
        <w:tab/>
        <w:t>For motor vessels propelling pushed convoys made up of the motor vessel itself and a craft in front:</w:t>
      </w:r>
    </w:p>
    <w:p w:rsidR="00031119" w:rsidRPr="00C903F8" w:rsidRDefault="00031119" w:rsidP="00031119">
      <w:pPr>
        <w:pStyle w:val="ESch"/>
        <w:rPr>
          <w:noProof/>
          <w:lang w:val="en-US"/>
        </w:rPr>
      </w:pPr>
    </w:p>
    <w:p w:rsidR="00031119" w:rsidRPr="00C903F8" w:rsidRDefault="00031119" w:rsidP="00031119">
      <w:pPr>
        <w:pStyle w:val="ESchpar"/>
        <w:rPr>
          <w:noProof/>
          <w:szCs w:val="18"/>
          <w:lang w:val="en-US"/>
        </w:rPr>
      </w:pPr>
      <w:r w:rsidRPr="00C903F8">
        <w:rPr>
          <w:noProof/>
          <w:lang w:val="en-US"/>
        </w:rPr>
        <w:t>hydraulic or electrically operated coupling winches. This equipment is, however, not required if the foremost vehicle in the pushed convoy is equipped with a bow thruster which can be operated from the steering position of the pushing motor vessel;</w:t>
      </w:r>
    </w:p>
    <w:p w:rsidR="00031119" w:rsidRPr="00C903F8" w:rsidRDefault="00031119" w:rsidP="00031119">
      <w:pPr>
        <w:pStyle w:val="ESch"/>
        <w:rPr>
          <w:noProof/>
          <w:lang w:val="en-US"/>
        </w:rPr>
      </w:pPr>
    </w:p>
    <w:p w:rsidR="00031119" w:rsidRPr="00C903F8" w:rsidRDefault="00031119" w:rsidP="00031119">
      <w:pPr>
        <w:pStyle w:val="ESch"/>
        <w:rPr>
          <w:noProof/>
          <w:szCs w:val="18"/>
          <w:lang w:val="en-US"/>
        </w:rPr>
      </w:pPr>
      <w:r w:rsidRPr="00C903F8">
        <w:rPr>
          <w:noProof/>
          <w:lang w:val="en-US"/>
        </w:rPr>
        <w:t>4.</w:t>
      </w:r>
      <w:r w:rsidRPr="00C903F8">
        <w:rPr>
          <w:noProof/>
          <w:lang w:val="en-US"/>
        </w:rPr>
        <w:tab/>
        <w:t>For pushers propelling a pushed convoy:</w:t>
      </w:r>
    </w:p>
    <w:p w:rsidR="00031119" w:rsidRPr="00C903F8" w:rsidRDefault="00031119" w:rsidP="00031119">
      <w:pPr>
        <w:pStyle w:val="ESch"/>
        <w:rPr>
          <w:noProof/>
          <w:lang w:val="en-US"/>
        </w:rPr>
      </w:pPr>
    </w:p>
    <w:p w:rsidR="00031119" w:rsidRPr="00C903F8" w:rsidRDefault="00031119" w:rsidP="00031119">
      <w:pPr>
        <w:pStyle w:val="ESchpar"/>
        <w:rPr>
          <w:noProof/>
          <w:szCs w:val="18"/>
          <w:lang w:val="en-US"/>
        </w:rPr>
      </w:pPr>
      <w:r w:rsidRPr="00C903F8">
        <w:rPr>
          <w:noProof/>
          <w:lang w:val="en-US"/>
        </w:rPr>
        <w:t>hydraulic or electric coupling winches. This equipment is, however, not required if the foremost craft in the pushed convoy is equipped with a bow thruster which can be operated from the steering position of the pusher;</w:t>
      </w:r>
    </w:p>
    <w:p w:rsidR="00031119" w:rsidRPr="00C903F8" w:rsidRDefault="00031119" w:rsidP="00031119">
      <w:pPr>
        <w:pStyle w:val="ESchpar"/>
        <w:rPr>
          <w:noProof/>
          <w:lang w:val="en-US"/>
        </w:rPr>
      </w:pPr>
    </w:p>
    <w:p w:rsidR="00031119" w:rsidRPr="00C903F8" w:rsidRDefault="00031119" w:rsidP="00031119">
      <w:pPr>
        <w:pStyle w:val="ESch"/>
        <w:rPr>
          <w:noProof/>
          <w:szCs w:val="18"/>
          <w:lang w:val="en-US"/>
        </w:rPr>
      </w:pPr>
      <w:r w:rsidRPr="00C903F8">
        <w:rPr>
          <w:noProof/>
          <w:lang w:val="en-US"/>
        </w:rPr>
        <w:t>5.</w:t>
      </w:r>
      <w:r w:rsidRPr="00C903F8">
        <w:rPr>
          <w:noProof/>
          <w:lang w:val="en-US"/>
        </w:rPr>
        <w:tab/>
        <w:t>For passenger vessels:</w:t>
      </w:r>
    </w:p>
    <w:p w:rsidR="00031119" w:rsidRPr="00C903F8" w:rsidRDefault="00031119" w:rsidP="00031119">
      <w:pPr>
        <w:pStyle w:val="ESch"/>
        <w:rPr>
          <w:noProof/>
          <w:lang w:val="en-US"/>
        </w:rPr>
      </w:pPr>
    </w:p>
    <w:p w:rsidR="00031119" w:rsidRPr="00C903F8" w:rsidRDefault="00031119" w:rsidP="00031119">
      <w:pPr>
        <w:pStyle w:val="ESchpar"/>
        <w:rPr>
          <w:noProof/>
          <w:lang w:val="en-US"/>
        </w:rPr>
      </w:pPr>
      <w:r w:rsidRPr="00C903F8">
        <w:rPr>
          <w:noProof/>
          <w:lang w:val="en-US"/>
        </w:rPr>
        <w:t>a bow thruster which can be operated from the steering position. This equipment is, however, not required if the propulsion system and steering system of the passenger vessel guarantee equal manoeuvrability.</w:t>
      </w:r>
    </w:p>
    <w:p w:rsidR="00AB18EA" w:rsidRDefault="00AB18EA" w:rsidP="00031119">
      <w:pPr>
        <w:pStyle w:val="ESchpar"/>
        <w:rPr>
          <w:noProof/>
          <w:lang w:val="en-US"/>
        </w:rPr>
      </w:pPr>
    </w:p>
    <w:p w:rsidR="008F13FA" w:rsidRDefault="008F13FA" w:rsidP="00031119">
      <w:pPr>
        <w:pStyle w:val="ESchpar"/>
        <w:rPr>
          <w:noProof/>
          <w:lang w:val="en-US"/>
        </w:rPr>
      </w:pPr>
    </w:p>
    <w:p w:rsidR="008F13FA" w:rsidRDefault="008F13FA" w:rsidP="00031119">
      <w:pPr>
        <w:pStyle w:val="ESchpar"/>
        <w:rPr>
          <w:noProof/>
          <w:lang w:val="en-US"/>
        </w:rPr>
      </w:pPr>
    </w:p>
    <w:p w:rsidR="008F13FA" w:rsidRPr="00C903F8" w:rsidRDefault="008F13FA" w:rsidP="00031119">
      <w:pPr>
        <w:pStyle w:val="ESchpar"/>
        <w:rPr>
          <w:noProof/>
          <w:lang w:val="en-US"/>
        </w:rPr>
      </w:pPr>
    </w:p>
    <w:p w:rsidR="00125490" w:rsidRPr="00C903F8" w:rsidRDefault="00125490" w:rsidP="00125490">
      <w:pPr>
        <w:pStyle w:val="ESch"/>
        <w:rPr>
          <w:rFonts w:cs="Arial"/>
          <w:szCs w:val="20"/>
          <w:lang w:val="en-US"/>
        </w:rPr>
      </w:pPr>
    </w:p>
    <w:p w:rsidR="00AB18EA" w:rsidRPr="00C903F8" w:rsidRDefault="00AB18EA" w:rsidP="00125490">
      <w:pPr>
        <w:pStyle w:val="ESch"/>
        <w:rPr>
          <w:lang w:val="en-US"/>
        </w:rPr>
        <w:sectPr w:rsidR="00AB18EA" w:rsidRPr="00C903F8" w:rsidSect="00AC5CC1">
          <w:footnotePr>
            <w:numRestart w:val="eachPage"/>
          </w:footnotePr>
          <w:pgSz w:w="11906" w:h="16838" w:code="9"/>
          <w:pgMar w:top="1418" w:right="1418" w:bottom="1418" w:left="1418" w:header="709" w:footer="709" w:gutter="0"/>
          <w:cols w:space="709"/>
          <w:titlePg/>
          <w:docGrid w:linePitch="272"/>
        </w:sectPr>
      </w:pPr>
    </w:p>
    <w:p w:rsidR="00AB18EA" w:rsidRPr="00C903F8" w:rsidRDefault="00AB18EA" w:rsidP="00AB18EA">
      <w:pPr>
        <w:pStyle w:val="ES-Titre1"/>
      </w:pPr>
      <w:bookmarkStart w:id="283" w:name="_Toc491854271"/>
      <w:r w:rsidRPr="00C903F8">
        <w:lastRenderedPageBreak/>
        <w:t>PART IV</w:t>
      </w:r>
      <w:r w:rsidRPr="00C903F8">
        <w:br/>
        <w:t>TRANSITIONAL PROVISIONS</w:t>
      </w:r>
      <w:bookmarkEnd w:id="283"/>
    </w:p>
    <w:p w:rsidR="00AB18EA" w:rsidRPr="00C903F8" w:rsidRDefault="00AB18EA" w:rsidP="00AB18EA">
      <w:pPr>
        <w:rPr>
          <w:lang w:val="en-US" w:eastAsia="en-US"/>
        </w:rPr>
      </w:pPr>
    </w:p>
    <w:p w:rsidR="001E2331" w:rsidRPr="00C903F8" w:rsidRDefault="001E2331" w:rsidP="00986EBC">
      <w:pPr>
        <w:pStyle w:val="ES-Titre2"/>
        <w:pageBreakBefore w:val="0"/>
      </w:pPr>
      <w:bookmarkStart w:id="284" w:name="_Toc491854272"/>
      <w:r w:rsidRPr="00C903F8">
        <w:t>Chapter 32</w:t>
      </w:r>
      <w:r w:rsidRPr="00C903F8">
        <w:br/>
        <w:t xml:space="preserve">Transitional provisions for craft navigating on </w:t>
      </w:r>
      <w:r w:rsidR="00176095" w:rsidRPr="00C903F8">
        <w:t>the Rhine (</w:t>
      </w:r>
      <w:r w:rsidR="00C20E00" w:rsidRPr="00C903F8">
        <w:t>Z</w:t>
      </w:r>
      <w:r w:rsidRPr="00C903F8">
        <w:t>one R</w:t>
      </w:r>
      <w:r w:rsidR="00176095" w:rsidRPr="00C903F8">
        <w:t>)</w:t>
      </w:r>
      <w:bookmarkEnd w:id="284"/>
    </w:p>
    <w:p w:rsidR="001E2331" w:rsidRPr="00C903F8" w:rsidRDefault="001E2331" w:rsidP="001E2331">
      <w:pPr>
        <w:overflowPunct w:val="0"/>
        <w:adjustRightInd w:val="0"/>
        <w:spacing w:line="240" w:lineRule="exact"/>
        <w:ind w:left="0" w:firstLine="0"/>
        <w:jc w:val="center"/>
        <w:textAlignment w:val="baseline"/>
        <w:rPr>
          <w:rFonts w:eastAsia="Calibri"/>
          <w:b/>
          <w:sz w:val="22"/>
          <w:szCs w:val="22"/>
          <w:lang w:val="en-US" w:eastAsia="en-US"/>
        </w:rPr>
      </w:pPr>
    </w:p>
    <w:p w:rsidR="001E2331" w:rsidRPr="00C903F8" w:rsidRDefault="001E2331" w:rsidP="00A455C7">
      <w:pPr>
        <w:pStyle w:val="ES-Titre3prchap32"/>
        <w:rPr>
          <w:lang w:val="en-US"/>
        </w:rPr>
      </w:pPr>
      <w:bookmarkStart w:id="285" w:name="_Toc491854273"/>
      <w:r w:rsidRPr="00C903F8">
        <w:rPr>
          <w:lang w:val="en-US"/>
        </w:rPr>
        <w:t>Article 32.01</w:t>
      </w:r>
      <w:bookmarkEnd w:id="285"/>
    </w:p>
    <w:p w:rsidR="001E2331" w:rsidRPr="00C903F8" w:rsidRDefault="00C903F8" w:rsidP="00A455C7">
      <w:pPr>
        <w:pStyle w:val="ES-Titre3a"/>
        <w:rPr>
          <w:lang w:val="en-US"/>
        </w:rPr>
      </w:pPr>
      <w:bookmarkStart w:id="286" w:name="_Toc421775883"/>
      <w:bookmarkStart w:id="287" w:name="_Toc491854274"/>
      <w:r w:rsidRPr="00C903F8">
        <w:rPr>
          <w:lang w:val="en-US"/>
        </w:rPr>
        <w:t>Applicability of transitional provisions to craft which are already in service</w:t>
      </w:r>
      <w:bookmarkEnd w:id="286"/>
      <w:bookmarkEnd w:id="287"/>
    </w:p>
    <w:p w:rsidR="001E2331" w:rsidRPr="00C903F8" w:rsidRDefault="001E2331" w:rsidP="001E2331">
      <w:pPr>
        <w:spacing w:line="240" w:lineRule="atLeast"/>
        <w:ind w:left="567" w:hanging="567"/>
        <w:rPr>
          <w:lang w:val="en-US"/>
        </w:rPr>
      </w:pPr>
    </w:p>
    <w:p w:rsidR="00320EDC" w:rsidRPr="00C903F8" w:rsidRDefault="001E2331" w:rsidP="001E2331">
      <w:pPr>
        <w:spacing w:line="240" w:lineRule="atLeast"/>
        <w:ind w:left="567" w:hanging="567"/>
        <w:rPr>
          <w:lang w:val="en-US"/>
        </w:rPr>
      </w:pPr>
      <w:r w:rsidRPr="00C903F8">
        <w:rPr>
          <w:lang w:val="en-US" w:bidi="fr-FR"/>
        </w:rPr>
        <w:t>1.</w:t>
      </w:r>
      <w:r w:rsidRPr="00C903F8">
        <w:rPr>
          <w:lang w:val="en-US"/>
        </w:rPr>
        <w:tab/>
      </w:r>
      <w:r w:rsidR="00C903F8" w:rsidRPr="00C903F8">
        <w:rPr>
          <w:lang w:val="en-US"/>
        </w:rPr>
        <w:t>The provisions of Articles 32.02 to 32.04 apply only to craft in possession of a valid Rhine vessel inspection certificate:</w:t>
      </w:r>
    </w:p>
    <w:p w:rsidR="00C903F8" w:rsidRPr="009C40EF" w:rsidRDefault="00C903F8" w:rsidP="00C903F8">
      <w:pPr>
        <w:spacing w:before="60" w:line="240" w:lineRule="atLeast"/>
        <w:ind w:left="992"/>
        <w:rPr>
          <w:lang w:val="en-US"/>
        </w:rPr>
      </w:pPr>
      <w:r w:rsidRPr="00C903F8">
        <w:rPr>
          <w:lang w:val="en-US"/>
        </w:rPr>
        <w:t>a)</w:t>
      </w:r>
      <w:r w:rsidRPr="00C903F8">
        <w:rPr>
          <w:lang w:val="en-US"/>
        </w:rPr>
        <w:tab/>
        <w:t xml:space="preserve">first issued according to the Rhine Vessel Inspection </w:t>
      </w:r>
      <w:r w:rsidRPr="009C40EF">
        <w:rPr>
          <w:lang w:val="en-US"/>
        </w:rPr>
        <w:t xml:space="preserve">Regulations in force on 31 December 1994, or </w:t>
      </w:r>
    </w:p>
    <w:p w:rsidR="00C903F8" w:rsidRPr="009C40EF" w:rsidRDefault="00C903F8" w:rsidP="00C903F8">
      <w:pPr>
        <w:spacing w:before="60" w:line="240" w:lineRule="atLeast"/>
        <w:ind w:left="992"/>
        <w:rPr>
          <w:lang w:val="en-US"/>
        </w:rPr>
      </w:pPr>
      <w:r w:rsidRPr="009C40EF">
        <w:rPr>
          <w:lang w:val="en-US"/>
        </w:rPr>
        <w:t>b)</w:t>
      </w:r>
      <w:r w:rsidRPr="009C40EF">
        <w:rPr>
          <w:lang w:val="en-US"/>
        </w:rPr>
        <w:tab/>
        <w:t>renewed at least once before the 31 December 1994, or</w:t>
      </w:r>
    </w:p>
    <w:p w:rsidR="00C903F8" w:rsidRPr="009C40EF" w:rsidRDefault="00C903F8" w:rsidP="00C903F8">
      <w:pPr>
        <w:spacing w:before="60" w:line="240" w:lineRule="atLeast"/>
        <w:ind w:left="992"/>
        <w:rPr>
          <w:lang w:val="en-US"/>
        </w:rPr>
      </w:pPr>
      <w:r w:rsidRPr="009C40EF">
        <w:rPr>
          <w:lang w:val="en-US"/>
        </w:rPr>
        <w:t>c)</w:t>
      </w:r>
      <w:r w:rsidRPr="009C40EF">
        <w:rPr>
          <w:lang w:val="en-US"/>
        </w:rPr>
        <w:tab/>
        <w:t>which were under construction or undergoing conversion on 31 December 1994.</w:t>
      </w:r>
    </w:p>
    <w:p w:rsidR="001E2331" w:rsidRPr="009C40EF" w:rsidRDefault="001E2331" w:rsidP="001E2331">
      <w:pPr>
        <w:spacing w:line="240" w:lineRule="atLeast"/>
        <w:ind w:left="567" w:firstLine="0"/>
        <w:rPr>
          <w:lang w:val="en-US"/>
        </w:rPr>
      </w:pPr>
    </w:p>
    <w:p w:rsidR="001E2331" w:rsidRPr="009C40EF" w:rsidRDefault="001E2331" w:rsidP="001E2331">
      <w:pPr>
        <w:spacing w:line="240" w:lineRule="atLeast"/>
        <w:ind w:left="567" w:hanging="567"/>
        <w:rPr>
          <w:lang w:val="en-US"/>
        </w:rPr>
      </w:pPr>
      <w:r w:rsidRPr="009C40EF">
        <w:rPr>
          <w:lang w:val="en-US"/>
        </w:rPr>
        <w:t>2.</w:t>
      </w:r>
      <w:r w:rsidRPr="009C40EF">
        <w:rPr>
          <w:lang w:val="en-US"/>
        </w:rPr>
        <w:tab/>
      </w:r>
      <w:r w:rsidR="00C903F8" w:rsidRPr="009C40EF">
        <w:rPr>
          <w:lang w:val="en-US"/>
        </w:rPr>
        <w:t>For craft not covered by (1), the provisions of Article 32.05 apply.</w:t>
      </w:r>
    </w:p>
    <w:p w:rsidR="001E2331" w:rsidRPr="009C40EF" w:rsidRDefault="001E2331" w:rsidP="001E2331">
      <w:pPr>
        <w:spacing w:line="240" w:lineRule="atLeast"/>
        <w:ind w:left="567" w:hanging="567"/>
        <w:rPr>
          <w:lang w:val="en-US"/>
        </w:rPr>
      </w:pPr>
    </w:p>
    <w:p w:rsidR="001E2331" w:rsidRPr="009C40EF" w:rsidRDefault="001E2331" w:rsidP="001E2331">
      <w:pPr>
        <w:spacing w:line="240" w:lineRule="atLeast"/>
        <w:ind w:left="567" w:hanging="567"/>
        <w:rPr>
          <w:lang w:val="en-US"/>
        </w:rPr>
      </w:pPr>
    </w:p>
    <w:p w:rsidR="001E2331" w:rsidRPr="009C40EF" w:rsidRDefault="001E2331" w:rsidP="00A455C7">
      <w:pPr>
        <w:pStyle w:val="ES-Titre3"/>
        <w:rPr>
          <w:lang w:val="en-US"/>
        </w:rPr>
      </w:pPr>
      <w:bookmarkStart w:id="288" w:name="_Toc491854275"/>
      <w:r w:rsidRPr="009C40EF">
        <w:rPr>
          <w:lang w:val="en-US"/>
        </w:rPr>
        <w:t>Article 32.02</w:t>
      </w:r>
      <w:bookmarkEnd w:id="288"/>
    </w:p>
    <w:p w:rsidR="001E2331" w:rsidRPr="009C40EF" w:rsidRDefault="00C903F8" w:rsidP="00A455C7">
      <w:pPr>
        <w:pStyle w:val="ES-Titre3a"/>
        <w:rPr>
          <w:lang w:val="en-US"/>
        </w:rPr>
      </w:pPr>
      <w:bookmarkStart w:id="289" w:name="_Toc421775885"/>
      <w:bookmarkStart w:id="290" w:name="_Toc491854276"/>
      <w:r w:rsidRPr="009C40EF">
        <w:rPr>
          <w:lang w:val="en-US"/>
        </w:rPr>
        <w:t>Transitional provisions for craft which are already in service</w:t>
      </w:r>
      <w:bookmarkEnd w:id="289"/>
      <w:bookmarkEnd w:id="290"/>
    </w:p>
    <w:p w:rsidR="001E2331" w:rsidRPr="009C40EF" w:rsidRDefault="001E2331" w:rsidP="001E2331">
      <w:pPr>
        <w:spacing w:line="240" w:lineRule="atLeast"/>
        <w:ind w:left="567" w:hanging="567"/>
        <w:rPr>
          <w:lang w:val="en-US"/>
        </w:rPr>
      </w:pPr>
    </w:p>
    <w:p w:rsidR="00C903F8" w:rsidRPr="009C40EF" w:rsidRDefault="00C903F8" w:rsidP="00C903F8">
      <w:pPr>
        <w:spacing w:line="240" w:lineRule="atLeast"/>
        <w:ind w:left="567" w:hanging="567"/>
        <w:rPr>
          <w:b/>
          <w:lang w:val="en-US"/>
        </w:rPr>
      </w:pPr>
      <w:r w:rsidRPr="009C40EF">
        <w:rPr>
          <w:lang w:val="en-US"/>
        </w:rPr>
        <w:t>1.</w:t>
      </w:r>
      <w:r w:rsidRPr="009C40EF">
        <w:rPr>
          <w:lang w:val="en-US"/>
        </w:rPr>
        <w:tab/>
        <w:t>Craft that do not fully comply with the requirements of this Standard shall:</w:t>
      </w:r>
    </w:p>
    <w:p w:rsidR="00C903F8" w:rsidRPr="00C903F8" w:rsidRDefault="00C903F8" w:rsidP="00C903F8">
      <w:pPr>
        <w:spacing w:before="60" w:line="240" w:lineRule="atLeast"/>
        <w:ind w:left="992"/>
        <w:rPr>
          <w:lang w:val="en-US"/>
        </w:rPr>
      </w:pPr>
      <w:r w:rsidRPr="009C40EF">
        <w:rPr>
          <w:lang w:val="en-US"/>
        </w:rPr>
        <w:t>a)</w:t>
      </w:r>
      <w:r w:rsidRPr="009C40EF">
        <w:rPr>
          <w:lang w:val="en-US"/>
        </w:rPr>
        <w:tab/>
        <w:t>be adapted to comply with those provisions in accordance with the transitional</w:t>
      </w:r>
      <w:r w:rsidRPr="00C903F8">
        <w:rPr>
          <w:lang w:val="en-US"/>
        </w:rPr>
        <w:t xml:space="preserve"> provisions listed in the table below, and</w:t>
      </w:r>
    </w:p>
    <w:p w:rsidR="00C903F8" w:rsidRPr="00C903F8" w:rsidRDefault="00C903F8" w:rsidP="00C903F8">
      <w:pPr>
        <w:spacing w:before="60" w:line="240" w:lineRule="atLeast"/>
        <w:ind w:left="992"/>
        <w:rPr>
          <w:lang w:val="en-US"/>
        </w:rPr>
      </w:pPr>
      <w:r w:rsidRPr="00C903F8">
        <w:rPr>
          <w:lang w:val="en-US"/>
        </w:rPr>
        <w:t>b)</w:t>
      </w:r>
      <w:r w:rsidRPr="00C903F8">
        <w:rPr>
          <w:lang w:val="en-US"/>
        </w:rPr>
        <w:tab/>
        <w:t>until their adaptation, comply with the Rhine Vessel Inspection Regulations in force on 31 December 1994.</w:t>
      </w:r>
    </w:p>
    <w:p w:rsidR="00550E01" w:rsidRPr="00C903F8" w:rsidRDefault="00550E01" w:rsidP="001E2331">
      <w:pPr>
        <w:spacing w:line="240" w:lineRule="atLeast"/>
        <w:ind w:left="567" w:hanging="567"/>
        <w:rPr>
          <w:rFonts w:cs="Arial"/>
          <w:sz w:val="18"/>
          <w:szCs w:val="18"/>
          <w:lang w:val="en-US"/>
        </w:rPr>
      </w:pPr>
    </w:p>
    <w:p w:rsidR="00C903F8" w:rsidRPr="00C903F8" w:rsidRDefault="00C903F8" w:rsidP="00C903F8">
      <w:pPr>
        <w:spacing w:before="60" w:line="240" w:lineRule="atLeast"/>
        <w:ind w:left="567" w:firstLine="0"/>
        <w:rPr>
          <w:lang w:val="en-US"/>
        </w:rPr>
      </w:pPr>
      <w:r w:rsidRPr="00C903F8">
        <w:rPr>
          <w:lang w:val="en-US"/>
        </w:rPr>
        <w:t>In the event of a new inland navigation vessel certificate being issued to a craft as defined in Article 32.01(1), the Rhine vessel inspection certificate shall be submitted as corroboration, the Rhine vessel inspection certificate shall be withdrawn and the date the Rhine vessel inspection certificate was issued according to the Rhine Vessel Inspection Regulations in force on 31 December 1994 shall be entered in item 52 of the new inland navigation vessel certificate as follows:</w:t>
      </w:r>
    </w:p>
    <w:p w:rsidR="00C903F8" w:rsidRPr="00C903F8" w:rsidRDefault="00C903F8" w:rsidP="00C903F8">
      <w:pPr>
        <w:spacing w:before="60" w:line="240" w:lineRule="atLeast"/>
        <w:ind w:left="567" w:firstLine="0"/>
        <w:rPr>
          <w:lang w:val="en-US"/>
        </w:rPr>
      </w:pPr>
      <w:r w:rsidRPr="00C903F8">
        <w:rPr>
          <w:lang w:val="en-US"/>
        </w:rPr>
        <w:t>“A Rhine vessel inspection certificate according to the Rhine Vessel Inspection Regulations in force on 31 December 1994 was issued on: …”</w:t>
      </w:r>
    </w:p>
    <w:p w:rsidR="00C903F8" w:rsidRPr="00C903F8" w:rsidRDefault="00C903F8" w:rsidP="00C903F8">
      <w:pPr>
        <w:spacing w:line="240" w:lineRule="atLeast"/>
        <w:ind w:left="567" w:hanging="567"/>
        <w:rPr>
          <w:lang w:val="en-US"/>
        </w:rPr>
      </w:pPr>
    </w:p>
    <w:p w:rsidR="009068C8" w:rsidRDefault="009068C8">
      <w:pPr>
        <w:autoSpaceDE/>
        <w:autoSpaceDN/>
        <w:ind w:left="0" w:firstLine="0"/>
        <w:jc w:val="left"/>
        <w:rPr>
          <w:lang w:val="en-US"/>
        </w:rPr>
      </w:pPr>
      <w:r>
        <w:rPr>
          <w:lang w:val="en-US"/>
        </w:rPr>
        <w:br w:type="page"/>
      </w:r>
    </w:p>
    <w:p w:rsidR="00C903F8" w:rsidRPr="00C903F8" w:rsidRDefault="00C903F8" w:rsidP="00C903F8">
      <w:pPr>
        <w:spacing w:line="240" w:lineRule="atLeast"/>
        <w:ind w:left="567" w:hanging="567"/>
        <w:rPr>
          <w:lang w:val="en-US"/>
        </w:rPr>
      </w:pPr>
      <w:r w:rsidRPr="00C903F8">
        <w:rPr>
          <w:lang w:val="en-US"/>
        </w:rPr>
        <w:lastRenderedPageBreak/>
        <w:t>2.</w:t>
      </w:r>
      <w:r w:rsidRPr="00C903F8">
        <w:rPr>
          <w:lang w:val="en-US"/>
        </w:rPr>
        <w:tab/>
        <w:t>The following definitions apply in the table below:</w:t>
      </w:r>
    </w:p>
    <w:p w:rsidR="00C903F8" w:rsidRPr="00C903F8" w:rsidRDefault="00C903F8" w:rsidP="00C903F8">
      <w:pPr>
        <w:spacing w:line="240" w:lineRule="atLeast"/>
        <w:ind w:left="567" w:hanging="567"/>
        <w:rPr>
          <w:lang w:val="en-US"/>
        </w:rPr>
      </w:pPr>
    </w:p>
    <w:p w:rsidR="00C903F8" w:rsidRPr="00C903F8" w:rsidRDefault="00C903F8" w:rsidP="00C903F8">
      <w:pPr>
        <w:spacing w:line="240" w:lineRule="atLeast"/>
        <w:ind w:left="567" w:firstLine="0"/>
        <w:rPr>
          <w:lang w:val="en-US"/>
        </w:rPr>
      </w:pPr>
      <w:r w:rsidRPr="00C903F8">
        <w:rPr>
          <w:lang w:val="en-US"/>
        </w:rPr>
        <w:t>‘</w:t>
      </w:r>
      <w:r w:rsidR="008761D9">
        <w:rPr>
          <w:lang w:val="en-US"/>
        </w:rPr>
        <w:t>N.R.C.</w:t>
      </w:r>
      <w:r w:rsidRPr="00C903F8">
        <w:rPr>
          <w:lang w:val="en-US"/>
        </w:rPr>
        <w:t xml:space="preserve">’: the provision does not apply to craft which are already operating, unless the parts concerned are replaced or converted, i.e. the provision applies only to </w:t>
      </w:r>
      <w:r w:rsidRPr="00C903F8">
        <w:rPr>
          <w:u w:val="single"/>
          <w:lang w:val="en-US"/>
        </w:rPr>
        <w:t>N</w:t>
      </w:r>
      <w:r w:rsidRPr="00C903F8">
        <w:rPr>
          <w:lang w:val="en-US"/>
        </w:rPr>
        <w:t xml:space="preserve">ewly-built craft and to the </w:t>
      </w:r>
      <w:r w:rsidRPr="00C903F8">
        <w:rPr>
          <w:u w:val="single"/>
          <w:lang w:val="en-US"/>
        </w:rPr>
        <w:t>R</w:t>
      </w:r>
      <w:r w:rsidRPr="00C903F8">
        <w:rPr>
          <w:lang w:val="en-US"/>
        </w:rPr>
        <w:t xml:space="preserve">eplacement or </w:t>
      </w:r>
      <w:r w:rsidRPr="00C903F8">
        <w:rPr>
          <w:u w:val="single"/>
          <w:lang w:val="en-US"/>
        </w:rPr>
        <w:t>C</w:t>
      </w:r>
      <w:r w:rsidRPr="00C903F8">
        <w:rPr>
          <w:lang w:val="en-US"/>
        </w:rPr>
        <w:t xml:space="preserve">onversion of the parts or areas concerned. If existing parts are replaced by replacement parts using the same technology and of the same type, this does not constitute replacement ‘R’ within the meaning of the transitional provisions. </w:t>
      </w:r>
    </w:p>
    <w:p w:rsidR="00C903F8" w:rsidRPr="00C903F8" w:rsidRDefault="00C903F8" w:rsidP="00C903F8">
      <w:pPr>
        <w:spacing w:line="240" w:lineRule="atLeast"/>
        <w:ind w:left="567" w:firstLine="0"/>
        <w:rPr>
          <w:lang w:val="en-US"/>
        </w:rPr>
      </w:pPr>
    </w:p>
    <w:p w:rsidR="00C903F8" w:rsidRPr="00C903F8" w:rsidRDefault="00C903F8" w:rsidP="00C903F8">
      <w:pPr>
        <w:tabs>
          <w:tab w:val="left" w:pos="4678"/>
        </w:tabs>
        <w:spacing w:line="240" w:lineRule="atLeast"/>
        <w:ind w:left="567" w:firstLine="0"/>
        <w:rPr>
          <w:lang w:val="en-US"/>
        </w:rPr>
      </w:pPr>
      <w:r w:rsidRPr="00C903F8">
        <w:rPr>
          <w:spacing w:val="-4"/>
          <w:lang w:val="en-US"/>
        </w:rPr>
        <w:t xml:space="preserve">‘Issue or </w:t>
      </w:r>
      <w:r w:rsidRPr="00C903F8">
        <w:rPr>
          <w:lang w:val="en-US"/>
        </w:rPr>
        <w:t>renewal of the inland navigation vessel certificate’: the provision must be complied with the time of the next issue or renewal of the inland navigation vessel certificate after the date indicated.</w:t>
      </w:r>
    </w:p>
    <w:p w:rsidR="00740370" w:rsidRPr="00C903F8" w:rsidRDefault="00740370" w:rsidP="001E2331">
      <w:pPr>
        <w:spacing w:line="240" w:lineRule="atLeast"/>
        <w:ind w:left="567" w:firstLine="0"/>
        <w:rPr>
          <w:lang w:val="en-US"/>
        </w:rPr>
      </w:pPr>
    </w:p>
    <w:p w:rsidR="001E2331" w:rsidRPr="00C903F8" w:rsidRDefault="001E2331" w:rsidP="001E2331">
      <w:pPr>
        <w:spacing w:line="240" w:lineRule="atLeast"/>
        <w:ind w:left="567" w:firstLine="0"/>
        <w:rPr>
          <w:lang w:val="en-US"/>
        </w:rPr>
      </w:pPr>
    </w:p>
    <w:p w:rsidR="00740370" w:rsidRPr="00C903F8" w:rsidRDefault="00740370" w:rsidP="00196FBC">
      <w:pPr>
        <w:spacing w:line="240" w:lineRule="atLeast"/>
        <w:ind w:left="567" w:firstLine="0"/>
        <w:rPr>
          <w:lang w:val="en-US"/>
        </w:rPr>
        <w:sectPr w:rsidR="00740370" w:rsidRPr="00C903F8" w:rsidSect="001E2331">
          <w:headerReference w:type="default" r:id="rId26"/>
          <w:footerReference w:type="default" r:id="rId27"/>
          <w:headerReference w:type="first" r:id="rId28"/>
          <w:footerReference w:type="first" r:id="rId29"/>
          <w:footnotePr>
            <w:numRestart w:val="eachPage"/>
          </w:footnotePr>
          <w:pgSz w:w="16838" w:h="11906" w:orient="landscape" w:code="9"/>
          <w:pgMar w:top="1418" w:right="1418" w:bottom="1418" w:left="1418" w:header="709" w:footer="709" w:gutter="0"/>
          <w:cols w:space="709"/>
          <w:titlePg/>
          <w:docGrid w:linePitch="272"/>
        </w:sectPr>
      </w:pPr>
    </w:p>
    <w:p w:rsidR="00A455C7" w:rsidRPr="00C903F8" w:rsidRDefault="00A455C7" w:rsidP="00196FBC">
      <w:pPr>
        <w:spacing w:line="240" w:lineRule="atLeast"/>
        <w:ind w:left="567" w:firstLine="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6521"/>
        <w:gridCol w:w="1276"/>
      </w:tblGrid>
      <w:tr w:rsidR="00196FBC" w:rsidRPr="00C903F8" w:rsidTr="00F46772">
        <w:trPr>
          <w:cantSplit/>
          <w:tblHeader/>
          <w:jc w:val="center"/>
        </w:trPr>
        <w:tc>
          <w:tcPr>
            <w:tcW w:w="2800" w:type="dxa"/>
            <w:gridSpan w:val="2"/>
            <w:shd w:val="clear" w:color="auto" w:fill="auto"/>
          </w:tcPr>
          <w:p w:rsidR="00196FBC" w:rsidRPr="00C903F8" w:rsidRDefault="00196FBC" w:rsidP="00196FBC">
            <w:pPr>
              <w:spacing w:before="120" w:after="120" w:line="240" w:lineRule="atLeast"/>
              <w:ind w:left="0" w:firstLine="0"/>
              <w:jc w:val="center"/>
              <w:rPr>
                <w:rFonts w:cs="Arial"/>
                <w:sz w:val="18"/>
                <w:szCs w:val="18"/>
              </w:rPr>
            </w:pPr>
            <w:r w:rsidRPr="00C903F8">
              <w:rPr>
                <w:rFonts w:cs="Arial"/>
                <w:i/>
                <w:sz w:val="18"/>
                <w:szCs w:val="18"/>
              </w:rPr>
              <w:t>Article and paragraph</w:t>
            </w:r>
          </w:p>
        </w:tc>
        <w:tc>
          <w:tcPr>
            <w:tcW w:w="3296" w:type="dxa"/>
            <w:shd w:val="clear" w:color="auto" w:fill="auto"/>
          </w:tcPr>
          <w:p w:rsidR="00196FBC" w:rsidRPr="00C903F8" w:rsidRDefault="00196FBC" w:rsidP="00196FBC">
            <w:pPr>
              <w:spacing w:before="120" w:after="120" w:line="240" w:lineRule="atLeast"/>
              <w:ind w:left="0" w:firstLine="0"/>
              <w:jc w:val="center"/>
              <w:rPr>
                <w:rFonts w:cs="Arial"/>
                <w:sz w:val="18"/>
                <w:szCs w:val="18"/>
              </w:rPr>
            </w:pPr>
            <w:r w:rsidRPr="00C903F8">
              <w:rPr>
                <w:rFonts w:cs="Arial"/>
                <w:i/>
                <w:sz w:val="18"/>
                <w:szCs w:val="18"/>
              </w:rPr>
              <w:t>Content</w:t>
            </w:r>
          </w:p>
        </w:tc>
        <w:tc>
          <w:tcPr>
            <w:tcW w:w="7797" w:type="dxa"/>
            <w:gridSpan w:val="2"/>
            <w:shd w:val="clear" w:color="auto" w:fill="auto"/>
          </w:tcPr>
          <w:p w:rsidR="00196FBC" w:rsidRPr="00C903F8" w:rsidRDefault="00196FBC" w:rsidP="00196FBC">
            <w:pPr>
              <w:spacing w:before="120" w:after="120" w:line="240" w:lineRule="atLeast"/>
              <w:ind w:left="0" w:firstLine="0"/>
              <w:jc w:val="center"/>
              <w:rPr>
                <w:rFonts w:cs="Arial"/>
                <w:sz w:val="18"/>
                <w:szCs w:val="18"/>
              </w:rPr>
            </w:pPr>
            <w:r w:rsidRPr="00C903F8">
              <w:rPr>
                <w:rFonts w:cs="Arial"/>
                <w:i/>
                <w:sz w:val="18"/>
                <w:szCs w:val="18"/>
              </w:rPr>
              <w:t>Deadline and comments</w:t>
            </w:r>
          </w:p>
        </w:tc>
      </w:tr>
      <w:tr w:rsidR="00196FBC" w:rsidRPr="00C903F8" w:rsidTr="00196FBC">
        <w:trPr>
          <w:cantSplit/>
          <w:jc w:val="center"/>
        </w:trPr>
        <w:tc>
          <w:tcPr>
            <w:tcW w:w="6096" w:type="dxa"/>
            <w:gridSpan w:val="3"/>
            <w:shd w:val="clear" w:color="auto" w:fill="auto"/>
          </w:tcPr>
          <w:p w:rsidR="00196FBC" w:rsidRPr="00C903F8" w:rsidRDefault="00196FBC" w:rsidP="006D6CF0">
            <w:pPr>
              <w:spacing w:before="60" w:after="60" w:line="240" w:lineRule="atLeast"/>
              <w:ind w:left="0" w:firstLine="0"/>
              <w:jc w:val="center"/>
              <w:rPr>
                <w:rFonts w:cs="Arial"/>
                <w:b/>
                <w:sz w:val="18"/>
                <w:szCs w:val="18"/>
              </w:rPr>
            </w:pPr>
            <w:r w:rsidRPr="00C903F8">
              <w:rPr>
                <w:rFonts w:cs="Arial"/>
                <w:b/>
                <w:sz w:val="18"/>
                <w:szCs w:val="18"/>
              </w:rPr>
              <w:t>CHAPTER 3</w:t>
            </w:r>
          </w:p>
        </w:tc>
        <w:tc>
          <w:tcPr>
            <w:tcW w:w="6521" w:type="dxa"/>
            <w:shd w:val="clear" w:color="auto" w:fill="auto"/>
          </w:tcPr>
          <w:p w:rsidR="00196FBC" w:rsidRPr="00C903F8" w:rsidRDefault="00196FBC" w:rsidP="006D6CF0">
            <w:pPr>
              <w:spacing w:before="60" w:after="60" w:line="240" w:lineRule="atLeast"/>
              <w:ind w:left="0" w:firstLine="0"/>
              <w:jc w:val="center"/>
              <w:rPr>
                <w:rFonts w:cs="Arial"/>
                <w:sz w:val="18"/>
                <w:szCs w:val="18"/>
              </w:rPr>
            </w:pPr>
          </w:p>
        </w:tc>
        <w:tc>
          <w:tcPr>
            <w:tcW w:w="1276" w:type="dxa"/>
            <w:shd w:val="clear" w:color="auto" w:fill="auto"/>
          </w:tcPr>
          <w:p w:rsidR="00196FBC" w:rsidRPr="00C903F8" w:rsidRDefault="00196FBC" w:rsidP="006D6CF0">
            <w:pPr>
              <w:spacing w:before="60" w:after="60" w:line="240" w:lineRule="atLeast"/>
              <w:ind w:left="0" w:firstLine="0"/>
              <w:jc w:val="center"/>
              <w:rPr>
                <w:rFonts w:cs="Arial"/>
                <w:sz w:val="18"/>
                <w:szCs w:val="18"/>
              </w:rPr>
            </w:pPr>
          </w:p>
        </w:tc>
      </w:tr>
      <w:tr w:rsidR="00196FBC" w:rsidRPr="00C903F8" w:rsidTr="00196FBC">
        <w:trPr>
          <w:cantSplit/>
          <w:jc w:val="center"/>
        </w:trPr>
        <w:tc>
          <w:tcPr>
            <w:tcW w:w="1342" w:type="dxa"/>
            <w:vMerge w:val="restart"/>
            <w:shd w:val="clear" w:color="auto" w:fill="auto"/>
          </w:tcPr>
          <w:p w:rsidR="00196FBC" w:rsidRPr="00C903F8" w:rsidRDefault="00196FBC" w:rsidP="006D6CF0">
            <w:pPr>
              <w:spacing w:before="60" w:after="60" w:line="240" w:lineRule="atLeast"/>
              <w:ind w:left="0" w:firstLine="0"/>
              <w:jc w:val="left"/>
              <w:rPr>
                <w:rFonts w:cs="Arial"/>
                <w:sz w:val="18"/>
                <w:szCs w:val="18"/>
              </w:rPr>
            </w:pPr>
            <w:r w:rsidRPr="00C903F8">
              <w:rPr>
                <w:rFonts w:cs="Arial"/>
                <w:sz w:val="18"/>
                <w:szCs w:val="18"/>
              </w:rPr>
              <w:t>3.03</w:t>
            </w:r>
          </w:p>
        </w:tc>
        <w:tc>
          <w:tcPr>
            <w:tcW w:w="1458" w:type="dxa"/>
            <w:shd w:val="clear" w:color="auto" w:fill="auto"/>
          </w:tcPr>
          <w:p w:rsidR="00196FBC" w:rsidRPr="00C903F8" w:rsidRDefault="00196FBC" w:rsidP="006D6CF0">
            <w:pPr>
              <w:spacing w:before="60" w:after="60" w:line="240" w:lineRule="atLeast"/>
              <w:ind w:left="0" w:firstLine="0"/>
              <w:rPr>
                <w:rFonts w:cs="Arial"/>
                <w:sz w:val="18"/>
                <w:szCs w:val="18"/>
              </w:rPr>
            </w:pPr>
            <w:r w:rsidRPr="00C903F8">
              <w:rPr>
                <w:rFonts w:cs="Arial"/>
                <w:sz w:val="18"/>
                <w:szCs w:val="18"/>
              </w:rPr>
              <w:t>(1)</w:t>
            </w:r>
            <w:r w:rsidR="009C40EF">
              <w:rPr>
                <w:rFonts w:cs="Arial"/>
                <w:sz w:val="18"/>
                <w:szCs w:val="18"/>
              </w:rPr>
              <w:t>(</w:t>
            </w:r>
            <w:r w:rsidR="005C7859" w:rsidRPr="00C903F8">
              <w:rPr>
                <w:rFonts w:cs="Arial"/>
                <w:sz w:val="18"/>
                <w:szCs w:val="18"/>
              </w:rPr>
              <w:t>a)</w:t>
            </w:r>
          </w:p>
        </w:tc>
        <w:tc>
          <w:tcPr>
            <w:tcW w:w="3296" w:type="dxa"/>
            <w:shd w:val="clear" w:color="auto" w:fill="auto"/>
          </w:tcPr>
          <w:p w:rsidR="00196FBC" w:rsidRPr="00C903F8" w:rsidRDefault="00196FBC" w:rsidP="006D6CF0">
            <w:pPr>
              <w:spacing w:before="60" w:after="60" w:line="240" w:lineRule="atLeast"/>
              <w:ind w:left="0" w:firstLine="0"/>
              <w:rPr>
                <w:rFonts w:cs="Arial"/>
                <w:sz w:val="18"/>
                <w:szCs w:val="18"/>
              </w:rPr>
            </w:pPr>
            <w:r w:rsidRPr="00C903F8">
              <w:rPr>
                <w:rFonts w:cs="Arial"/>
                <w:sz w:val="18"/>
                <w:szCs w:val="18"/>
              </w:rPr>
              <w:t>Situation of collision bulkhead</w:t>
            </w:r>
          </w:p>
        </w:tc>
        <w:tc>
          <w:tcPr>
            <w:tcW w:w="6521" w:type="dxa"/>
            <w:shd w:val="clear" w:color="auto" w:fill="auto"/>
          </w:tcPr>
          <w:p w:rsidR="00196FBC" w:rsidRPr="00C903F8" w:rsidRDefault="008761D9" w:rsidP="006D6CF0">
            <w:pPr>
              <w:spacing w:before="60" w:after="60" w:line="240" w:lineRule="atLeast"/>
              <w:ind w:left="0" w:firstLine="0"/>
              <w:rPr>
                <w:rFonts w:cs="Arial"/>
                <w:sz w:val="18"/>
                <w:szCs w:val="18"/>
                <w:lang w:val="en-US"/>
              </w:rPr>
            </w:pPr>
            <w:r>
              <w:rPr>
                <w:rFonts w:cs="Arial"/>
                <w:sz w:val="18"/>
                <w:szCs w:val="18"/>
                <w:lang w:val="en-US"/>
              </w:rPr>
              <w:t>N.R.C.</w:t>
            </w:r>
            <w:r w:rsidR="00C62508" w:rsidRPr="00C903F8">
              <w:rPr>
                <w:rFonts w:cs="Arial"/>
                <w:sz w:val="18"/>
                <w:szCs w:val="18"/>
                <w:lang w:val="en-US"/>
              </w:rPr>
              <w:t xml:space="preserve">, at the latest on </w:t>
            </w:r>
            <w:r w:rsidR="00196FBC" w:rsidRPr="00C903F8">
              <w:rPr>
                <w:rFonts w:cs="Arial"/>
                <w:sz w:val="18"/>
                <w:szCs w:val="18"/>
                <w:lang w:val="en-US"/>
              </w:rPr>
              <w:t>renewal of the inland navigation vessel certificate after</w:t>
            </w:r>
          </w:p>
        </w:tc>
        <w:tc>
          <w:tcPr>
            <w:tcW w:w="1276" w:type="dxa"/>
            <w:shd w:val="clear" w:color="auto" w:fill="auto"/>
          </w:tcPr>
          <w:p w:rsidR="00196FBC" w:rsidRPr="00C903F8" w:rsidRDefault="00196FBC" w:rsidP="006D6CF0">
            <w:pPr>
              <w:spacing w:before="60" w:after="60" w:line="240" w:lineRule="atLeast"/>
              <w:ind w:left="0" w:firstLine="0"/>
              <w:rPr>
                <w:rFonts w:cs="Arial"/>
                <w:sz w:val="18"/>
                <w:szCs w:val="18"/>
              </w:rPr>
            </w:pPr>
            <w:r w:rsidRPr="00C903F8">
              <w:rPr>
                <w:rFonts w:cs="Arial"/>
                <w:sz w:val="18"/>
                <w:szCs w:val="18"/>
              </w:rPr>
              <w:t>1.1.2035</w:t>
            </w:r>
          </w:p>
        </w:tc>
      </w:tr>
      <w:tr w:rsidR="00196FBC" w:rsidRPr="00C903F8" w:rsidTr="00196FBC">
        <w:trPr>
          <w:cantSplit/>
          <w:jc w:val="center"/>
        </w:trPr>
        <w:tc>
          <w:tcPr>
            <w:tcW w:w="1342" w:type="dxa"/>
            <w:vMerge/>
            <w:shd w:val="clear" w:color="auto" w:fill="auto"/>
          </w:tcPr>
          <w:p w:rsidR="00196FBC" w:rsidRPr="00C903F8" w:rsidRDefault="00196FBC" w:rsidP="006D6CF0">
            <w:pPr>
              <w:spacing w:before="60" w:after="60" w:line="240" w:lineRule="atLeast"/>
              <w:ind w:left="0" w:firstLine="0"/>
              <w:jc w:val="left"/>
              <w:rPr>
                <w:rFonts w:cs="Arial"/>
                <w:b/>
                <w:sz w:val="18"/>
                <w:szCs w:val="18"/>
              </w:rPr>
            </w:pPr>
          </w:p>
        </w:tc>
        <w:tc>
          <w:tcPr>
            <w:tcW w:w="1458" w:type="dxa"/>
            <w:shd w:val="clear" w:color="auto" w:fill="auto"/>
          </w:tcPr>
          <w:p w:rsidR="00196FBC" w:rsidRPr="00C903F8" w:rsidRDefault="00196FBC" w:rsidP="006D6CF0">
            <w:pPr>
              <w:spacing w:before="60" w:after="60" w:line="240" w:lineRule="atLeast"/>
              <w:ind w:left="0" w:firstLine="0"/>
              <w:jc w:val="left"/>
              <w:rPr>
                <w:rFonts w:cs="Arial"/>
                <w:sz w:val="18"/>
                <w:szCs w:val="18"/>
              </w:rPr>
            </w:pPr>
            <w:r w:rsidRPr="00C903F8">
              <w:rPr>
                <w:rFonts w:cs="Arial"/>
                <w:sz w:val="18"/>
                <w:szCs w:val="18"/>
              </w:rPr>
              <w:t>(1)</w:t>
            </w:r>
            <w:r w:rsidR="009C40EF">
              <w:rPr>
                <w:rFonts w:cs="Arial"/>
                <w:sz w:val="18"/>
                <w:szCs w:val="18"/>
              </w:rPr>
              <w:t>(</w:t>
            </w:r>
            <w:r w:rsidR="005C7859" w:rsidRPr="00C903F8">
              <w:rPr>
                <w:rFonts w:cs="Arial"/>
                <w:sz w:val="18"/>
                <w:szCs w:val="18"/>
              </w:rPr>
              <w:t>b)</w:t>
            </w:r>
          </w:p>
        </w:tc>
        <w:tc>
          <w:tcPr>
            <w:tcW w:w="3296" w:type="dxa"/>
            <w:shd w:val="clear" w:color="auto" w:fill="auto"/>
          </w:tcPr>
          <w:p w:rsidR="00196FBC" w:rsidRPr="00C903F8" w:rsidRDefault="00196FBC" w:rsidP="006D6CF0">
            <w:pPr>
              <w:spacing w:before="60" w:after="60" w:line="240" w:lineRule="atLeast"/>
              <w:ind w:left="0" w:firstLine="0"/>
              <w:rPr>
                <w:rFonts w:cs="Arial"/>
                <w:sz w:val="18"/>
                <w:szCs w:val="18"/>
                <w:lang w:val="en-US"/>
              </w:rPr>
            </w:pPr>
            <w:r w:rsidRPr="00C903F8">
              <w:rPr>
                <w:rFonts w:cs="Arial"/>
                <w:sz w:val="18"/>
                <w:szCs w:val="18"/>
                <w:lang w:val="en-US"/>
              </w:rPr>
              <w:t>Situation of aft-peak bulkhead</w:t>
            </w:r>
          </w:p>
        </w:tc>
        <w:tc>
          <w:tcPr>
            <w:tcW w:w="6521" w:type="dxa"/>
            <w:shd w:val="clear" w:color="auto" w:fill="auto"/>
          </w:tcPr>
          <w:p w:rsidR="00196FBC" w:rsidRPr="00C903F8" w:rsidRDefault="008761D9" w:rsidP="006D6CF0">
            <w:pPr>
              <w:spacing w:before="60" w:after="60" w:line="240" w:lineRule="atLeast"/>
              <w:ind w:left="0" w:firstLine="0"/>
              <w:rPr>
                <w:rFonts w:cs="Arial"/>
                <w:sz w:val="18"/>
                <w:szCs w:val="18"/>
                <w:lang w:val="en-US"/>
              </w:rPr>
            </w:pPr>
            <w:r>
              <w:rPr>
                <w:rFonts w:cs="Arial"/>
                <w:sz w:val="18"/>
                <w:szCs w:val="18"/>
                <w:lang w:val="en-US"/>
              </w:rPr>
              <w:t>N.R.C.</w:t>
            </w:r>
            <w:r w:rsidR="00196FBC" w:rsidRPr="00C903F8">
              <w:rPr>
                <w:rFonts w:cs="Arial"/>
                <w:sz w:val="18"/>
                <w:szCs w:val="18"/>
                <w:lang w:val="en-US"/>
              </w:rPr>
              <w:t>, at the latest on renewal of the inland navigation vessel certificate after</w:t>
            </w:r>
          </w:p>
        </w:tc>
        <w:tc>
          <w:tcPr>
            <w:tcW w:w="1276" w:type="dxa"/>
            <w:shd w:val="clear" w:color="auto" w:fill="auto"/>
          </w:tcPr>
          <w:p w:rsidR="00196FBC" w:rsidRPr="00C903F8" w:rsidRDefault="00196FBC" w:rsidP="006D6CF0">
            <w:pPr>
              <w:spacing w:before="60" w:after="6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vMerge/>
            <w:shd w:val="clear" w:color="auto" w:fill="auto"/>
          </w:tcPr>
          <w:p w:rsidR="00F075FB" w:rsidRPr="00C903F8" w:rsidRDefault="00F075FB" w:rsidP="006D6CF0">
            <w:pPr>
              <w:spacing w:before="60" w:after="60" w:line="240" w:lineRule="atLeast"/>
              <w:ind w:left="0" w:firstLine="0"/>
              <w:jc w:val="left"/>
              <w:rPr>
                <w:rFonts w:cs="Arial"/>
                <w:b/>
                <w:sz w:val="18"/>
                <w:szCs w:val="18"/>
                <w:lang w:val="en-US"/>
              </w:rPr>
            </w:pPr>
          </w:p>
        </w:tc>
        <w:tc>
          <w:tcPr>
            <w:tcW w:w="1458" w:type="dxa"/>
            <w:vMerge w:val="restart"/>
            <w:shd w:val="clear" w:color="auto" w:fill="auto"/>
          </w:tcPr>
          <w:p w:rsidR="00F075FB" w:rsidRPr="00C903F8" w:rsidRDefault="00F075FB" w:rsidP="006D6CF0">
            <w:pPr>
              <w:spacing w:before="60" w:after="60" w:line="240" w:lineRule="atLeast"/>
              <w:ind w:left="0" w:firstLine="0"/>
              <w:rPr>
                <w:rFonts w:cs="Arial"/>
                <w:sz w:val="18"/>
                <w:szCs w:val="18"/>
              </w:rPr>
            </w:pPr>
            <w:r w:rsidRPr="00C903F8">
              <w:rPr>
                <w:rFonts w:cs="Arial"/>
                <w:sz w:val="18"/>
                <w:szCs w:val="18"/>
              </w:rPr>
              <w:t>(2)</w:t>
            </w:r>
          </w:p>
        </w:tc>
        <w:tc>
          <w:tcPr>
            <w:tcW w:w="3296" w:type="dxa"/>
            <w:shd w:val="clear" w:color="auto" w:fill="auto"/>
          </w:tcPr>
          <w:p w:rsidR="00F075FB" w:rsidRPr="00C903F8" w:rsidRDefault="00F075FB" w:rsidP="006D6CF0">
            <w:pPr>
              <w:spacing w:before="60" w:after="60" w:line="240" w:lineRule="atLeast"/>
              <w:ind w:left="0" w:firstLine="0"/>
              <w:rPr>
                <w:rFonts w:cs="Arial"/>
                <w:sz w:val="18"/>
                <w:szCs w:val="18"/>
                <w:lang w:val="en-US"/>
              </w:rPr>
            </w:pPr>
            <w:r w:rsidRPr="00C903F8">
              <w:rPr>
                <w:rFonts w:cs="Arial"/>
                <w:sz w:val="18"/>
                <w:szCs w:val="18"/>
                <w:lang w:val="en-US"/>
              </w:rPr>
              <w:t>Accommodation forward of the collision bulkhead</w:t>
            </w:r>
          </w:p>
        </w:tc>
        <w:tc>
          <w:tcPr>
            <w:tcW w:w="6521" w:type="dxa"/>
            <w:shd w:val="clear" w:color="auto" w:fill="auto"/>
          </w:tcPr>
          <w:p w:rsidR="00F075FB" w:rsidRPr="00C903F8" w:rsidRDefault="00F075FB" w:rsidP="006D6CF0">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6D6CF0">
            <w:pPr>
              <w:spacing w:before="60" w:after="6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vMerge/>
            <w:shd w:val="clear" w:color="auto" w:fill="auto"/>
          </w:tcPr>
          <w:p w:rsidR="00F075FB" w:rsidRPr="00C903F8" w:rsidRDefault="00F075FB" w:rsidP="006D6CF0">
            <w:pPr>
              <w:spacing w:before="60" w:after="60" w:line="240" w:lineRule="atLeast"/>
              <w:ind w:left="0" w:firstLine="0"/>
              <w:jc w:val="left"/>
              <w:rPr>
                <w:rFonts w:cs="Arial"/>
                <w:b/>
                <w:sz w:val="18"/>
                <w:szCs w:val="18"/>
                <w:lang w:val="en-US"/>
              </w:rPr>
            </w:pPr>
          </w:p>
        </w:tc>
        <w:tc>
          <w:tcPr>
            <w:tcW w:w="1458" w:type="dxa"/>
            <w:vMerge/>
            <w:shd w:val="clear" w:color="auto" w:fill="auto"/>
          </w:tcPr>
          <w:p w:rsidR="00F075FB" w:rsidRPr="00C903F8" w:rsidRDefault="00F075FB" w:rsidP="006D6CF0">
            <w:pPr>
              <w:spacing w:before="60" w:after="60" w:line="240" w:lineRule="atLeast"/>
              <w:ind w:left="0" w:firstLine="0"/>
              <w:rPr>
                <w:rFonts w:cs="Arial"/>
                <w:sz w:val="18"/>
                <w:szCs w:val="18"/>
                <w:lang w:val="en-US"/>
              </w:rPr>
            </w:pPr>
          </w:p>
        </w:tc>
        <w:tc>
          <w:tcPr>
            <w:tcW w:w="3296" w:type="dxa"/>
            <w:shd w:val="clear" w:color="auto" w:fill="auto"/>
          </w:tcPr>
          <w:p w:rsidR="00F075FB" w:rsidRPr="00C903F8" w:rsidRDefault="00F075FB" w:rsidP="00400D33">
            <w:pPr>
              <w:tabs>
                <w:tab w:val="left" w:pos="2790"/>
              </w:tabs>
              <w:spacing w:before="60" w:after="60" w:line="240" w:lineRule="atLeast"/>
              <w:ind w:left="0" w:firstLine="0"/>
              <w:rPr>
                <w:rFonts w:cs="Arial"/>
                <w:sz w:val="18"/>
                <w:szCs w:val="18"/>
                <w:lang w:val="en-US"/>
              </w:rPr>
            </w:pPr>
            <w:r w:rsidRPr="00C903F8">
              <w:rPr>
                <w:rFonts w:cs="Arial"/>
                <w:sz w:val="18"/>
                <w:szCs w:val="18"/>
                <w:lang w:val="en-US"/>
              </w:rPr>
              <w:t>Accommodation aft of the aft-peak bulkhead</w:t>
            </w:r>
          </w:p>
        </w:tc>
        <w:tc>
          <w:tcPr>
            <w:tcW w:w="6521" w:type="dxa"/>
            <w:shd w:val="clear" w:color="auto" w:fill="auto"/>
          </w:tcPr>
          <w:p w:rsidR="00F075FB" w:rsidRPr="00C903F8" w:rsidRDefault="00F075FB" w:rsidP="006D6CF0">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6D6CF0">
            <w:pPr>
              <w:spacing w:before="60" w:after="60" w:line="240" w:lineRule="atLeast"/>
              <w:ind w:left="0" w:firstLine="0"/>
              <w:rPr>
                <w:rFonts w:cs="Arial"/>
                <w:sz w:val="18"/>
                <w:szCs w:val="18"/>
              </w:rPr>
            </w:pPr>
            <w:r w:rsidRPr="00C903F8">
              <w:rPr>
                <w:rFonts w:cs="Arial"/>
                <w:sz w:val="18"/>
                <w:szCs w:val="18"/>
              </w:rPr>
              <w:t>1.1.2045</w:t>
            </w:r>
          </w:p>
        </w:tc>
      </w:tr>
      <w:tr w:rsidR="00F075FB" w:rsidRPr="00C903F8" w:rsidTr="00A5358D">
        <w:trPr>
          <w:cantSplit/>
          <w:trHeight w:val="675"/>
          <w:jc w:val="center"/>
        </w:trPr>
        <w:tc>
          <w:tcPr>
            <w:tcW w:w="1342" w:type="dxa"/>
            <w:vMerge/>
            <w:shd w:val="clear" w:color="auto" w:fill="auto"/>
          </w:tcPr>
          <w:p w:rsidR="00F075FB" w:rsidRPr="00C903F8" w:rsidRDefault="00F075FB" w:rsidP="006D6CF0">
            <w:pPr>
              <w:spacing w:before="60" w:after="60" w:line="240" w:lineRule="atLeast"/>
              <w:ind w:left="0" w:firstLine="0"/>
              <w:jc w:val="left"/>
              <w:rPr>
                <w:rFonts w:cs="Arial"/>
                <w:b/>
                <w:sz w:val="18"/>
                <w:szCs w:val="18"/>
                <w:lang w:val="en-US"/>
              </w:rPr>
            </w:pPr>
          </w:p>
        </w:tc>
        <w:tc>
          <w:tcPr>
            <w:tcW w:w="1458" w:type="dxa"/>
            <w:vMerge/>
            <w:shd w:val="clear" w:color="auto" w:fill="auto"/>
          </w:tcPr>
          <w:p w:rsidR="00F075FB" w:rsidRPr="00C903F8" w:rsidRDefault="00F075FB" w:rsidP="006D6CF0">
            <w:pPr>
              <w:spacing w:before="60" w:after="60" w:line="240" w:lineRule="atLeast"/>
              <w:ind w:left="0" w:firstLine="0"/>
              <w:rPr>
                <w:rFonts w:cs="Arial"/>
                <w:sz w:val="18"/>
                <w:szCs w:val="18"/>
                <w:lang w:val="en-US"/>
              </w:rPr>
            </w:pPr>
          </w:p>
        </w:tc>
        <w:tc>
          <w:tcPr>
            <w:tcW w:w="3296" w:type="dxa"/>
            <w:shd w:val="clear" w:color="auto" w:fill="auto"/>
          </w:tcPr>
          <w:p w:rsidR="00F075FB" w:rsidRPr="00F075FB" w:rsidRDefault="00F075FB" w:rsidP="006D6CF0">
            <w:pPr>
              <w:spacing w:before="60" w:after="60" w:line="240" w:lineRule="atLeast"/>
              <w:ind w:left="0" w:firstLine="0"/>
              <w:rPr>
                <w:rFonts w:cs="Arial"/>
                <w:sz w:val="18"/>
                <w:szCs w:val="18"/>
                <w:lang w:val="en-GB"/>
              </w:rPr>
            </w:pPr>
            <w:r w:rsidRPr="00F075FB">
              <w:rPr>
                <w:rFonts w:cs="Arial"/>
                <w:sz w:val="18"/>
                <w:szCs w:val="18"/>
                <w:lang w:val="en-GB"/>
              </w:rPr>
              <w:t>Safety equipment forward of the collision bulkhead</w:t>
            </w:r>
          </w:p>
        </w:tc>
        <w:tc>
          <w:tcPr>
            <w:tcW w:w="6521" w:type="dxa"/>
            <w:shd w:val="clear" w:color="auto" w:fill="auto"/>
          </w:tcPr>
          <w:p w:rsidR="00F075FB" w:rsidRPr="00C903F8" w:rsidRDefault="00F075FB" w:rsidP="006D6CF0">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6D6CF0">
            <w:pPr>
              <w:spacing w:before="60" w:after="60" w:line="240" w:lineRule="atLeast"/>
              <w:ind w:left="0" w:firstLine="0"/>
              <w:rPr>
                <w:rFonts w:cs="Arial"/>
                <w:sz w:val="18"/>
                <w:szCs w:val="18"/>
              </w:rPr>
            </w:pPr>
            <w:r w:rsidRPr="00C903F8">
              <w:rPr>
                <w:rFonts w:cs="Arial"/>
                <w:sz w:val="18"/>
                <w:szCs w:val="18"/>
              </w:rPr>
              <w:t>1.1.2015</w:t>
            </w:r>
          </w:p>
        </w:tc>
      </w:tr>
      <w:tr w:rsidR="00F075FB" w:rsidRPr="00C903F8" w:rsidTr="00A5358D">
        <w:trPr>
          <w:cantSplit/>
          <w:trHeight w:val="675"/>
          <w:jc w:val="center"/>
        </w:trPr>
        <w:tc>
          <w:tcPr>
            <w:tcW w:w="1342" w:type="dxa"/>
            <w:vMerge/>
            <w:shd w:val="clear" w:color="auto" w:fill="auto"/>
          </w:tcPr>
          <w:p w:rsidR="00F075FB" w:rsidRPr="00C903F8" w:rsidRDefault="00F075FB" w:rsidP="009C40EF">
            <w:pPr>
              <w:spacing w:before="120" w:after="120" w:line="240" w:lineRule="atLeast"/>
              <w:ind w:left="0" w:firstLine="0"/>
              <w:jc w:val="left"/>
              <w:rPr>
                <w:rFonts w:cs="Arial"/>
                <w:b/>
                <w:sz w:val="18"/>
                <w:szCs w:val="18"/>
                <w:lang w:val="en-US"/>
              </w:rPr>
            </w:pPr>
          </w:p>
        </w:tc>
        <w:tc>
          <w:tcPr>
            <w:tcW w:w="1458" w:type="dxa"/>
            <w:vMerge/>
            <w:shd w:val="clear" w:color="auto" w:fill="auto"/>
          </w:tcPr>
          <w:p w:rsidR="00F075FB" w:rsidRPr="00C903F8" w:rsidRDefault="00F075FB" w:rsidP="001E2331">
            <w:pPr>
              <w:spacing w:before="120" w:after="120" w:line="240" w:lineRule="atLeast"/>
              <w:ind w:left="0" w:firstLine="0"/>
              <w:rPr>
                <w:rFonts w:cs="Arial"/>
                <w:sz w:val="18"/>
                <w:szCs w:val="18"/>
                <w:lang w:val="en-US"/>
              </w:rPr>
            </w:pPr>
          </w:p>
        </w:tc>
        <w:tc>
          <w:tcPr>
            <w:tcW w:w="3296" w:type="dxa"/>
            <w:shd w:val="clear" w:color="auto" w:fill="auto"/>
          </w:tcPr>
          <w:p w:rsidR="00F075FB" w:rsidRPr="00F075FB" w:rsidRDefault="00F075FB" w:rsidP="00400D33">
            <w:pPr>
              <w:spacing w:before="100" w:after="100" w:line="240" w:lineRule="atLeast"/>
              <w:ind w:left="0" w:firstLine="0"/>
              <w:rPr>
                <w:sz w:val="18"/>
                <w:szCs w:val="18"/>
                <w:lang w:val="en-GB"/>
              </w:rPr>
            </w:pPr>
            <w:r w:rsidRPr="00F075FB">
              <w:rPr>
                <w:rFonts w:cs="Arial"/>
                <w:sz w:val="18"/>
                <w:szCs w:val="18"/>
                <w:lang w:val="en-GB"/>
              </w:rPr>
              <w:t>Safety equipment</w:t>
            </w:r>
            <w:r w:rsidRPr="00F075FB">
              <w:rPr>
                <w:sz w:val="18"/>
                <w:szCs w:val="18"/>
                <w:lang w:val="en-GB"/>
              </w:rPr>
              <w:t xml:space="preserve"> aft of the aft-peak bulkhead</w:t>
            </w:r>
          </w:p>
        </w:tc>
        <w:tc>
          <w:tcPr>
            <w:tcW w:w="6521" w:type="dxa"/>
            <w:shd w:val="clear" w:color="auto" w:fill="auto"/>
          </w:tcPr>
          <w:p w:rsidR="00F075FB" w:rsidRPr="00F075FB" w:rsidRDefault="00F075FB" w:rsidP="008C77AD">
            <w:pPr>
              <w:spacing w:before="100" w:after="100" w:line="240" w:lineRule="atLeast"/>
              <w:ind w:left="0" w:firstLine="0"/>
              <w:rPr>
                <w:sz w:val="18"/>
                <w:szCs w:val="18"/>
                <w:lang w:val="en-GB"/>
              </w:rPr>
            </w:pPr>
            <w:r w:rsidRPr="00F075FB">
              <w:rPr>
                <w:sz w:val="18"/>
                <w:szCs w:val="18"/>
                <w:lang w:val="en-GB"/>
              </w:rPr>
              <w:t>N.R.C., at the latest on renewal of the inland navigation vessel certificate after</w:t>
            </w:r>
          </w:p>
        </w:tc>
        <w:tc>
          <w:tcPr>
            <w:tcW w:w="1276" w:type="dxa"/>
            <w:shd w:val="clear" w:color="auto" w:fill="auto"/>
          </w:tcPr>
          <w:p w:rsidR="00F075FB" w:rsidRPr="00F075FB" w:rsidRDefault="00F075FB" w:rsidP="008C77AD">
            <w:pPr>
              <w:spacing w:before="100" w:after="100" w:line="240" w:lineRule="atLeast"/>
              <w:ind w:left="0" w:firstLine="0"/>
              <w:rPr>
                <w:sz w:val="18"/>
                <w:szCs w:val="18"/>
              </w:rPr>
            </w:pPr>
            <w:r w:rsidRPr="00F075FB">
              <w:rPr>
                <w:sz w:val="18"/>
                <w:szCs w:val="18"/>
              </w:rPr>
              <w:t>1.1.2035</w:t>
            </w:r>
          </w:p>
        </w:tc>
      </w:tr>
      <w:tr w:rsidR="00F075FB" w:rsidRPr="00C903F8" w:rsidTr="00196FBC">
        <w:trPr>
          <w:cantSplit/>
          <w:jc w:val="center"/>
        </w:trPr>
        <w:tc>
          <w:tcPr>
            <w:tcW w:w="1342" w:type="dxa"/>
            <w:vMerge/>
            <w:shd w:val="clear" w:color="auto" w:fill="auto"/>
          </w:tcPr>
          <w:p w:rsidR="00F075FB" w:rsidRPr="00C903F8" w:rsidRDefault="00F075FB" w:rsidP="009C40EF">
            <w:pPr>
              <w:spacing w:before="80" w:after="80" w:line="240" w:lineRule="atLeast"/>
              <w:ind w:left="0" w:firstLine="0"/>
              <w:jc w:val="left"/>
              <w:rPr>
                <w:rFonts w:cs="Arial"/>
                <w:b/>
                <w:sz w:val="18"/>
                <w:szCs w:val="18"/>
              </w:rPr>
            </w:pPr>
          </w:p>
        </w:tc>
        <w:tc>
          <w:tcPr>
            <w:tcW w:w="1458" w:type="dxa"/>
            <w:shd w:val="clear" w:color="auto" w:fill="auto"/>
          </w:tcPr>
          <w:p w:rsidR="00F075FB" w:rsidRPr="00C903F8" w:rsidRDefault="00F075FB" w:rsidP="00BB7B04">
            <w:pPr>
              <w:spacing w:before="80" w:after="80" w:line="240" w:lineRule="atLeast"/>
              <w:ind w:left="0" w:firstLine="0"/>
              <w:rPr>
                <w:rFonts w:cs="Arial"/>
                <w:sz w:val="18"/>
                <w:szCs w:val="18"/>
              </w:rPr>
            </w:pPr>
            <w:r w:rsidRPr="00C903F8">
              <w:rPr>
                <w:rFonts w:cs="Arial"/>
                <w:sz w:val="18"/>
                <w:szCs w:val="18"/>
              </w:rPr>
              <w:t>(4)</w:t>
            </w:r>
          </w:p>
        </w:tc>
        <w:tc>
          <w:tcPr>
            <w:tcW w:w="3296" w:type="dxa"/>
            <w:shd w:val="clear" w:color="auto" w:fill="auto"/>
          </w:tcPr>
          <w:p w:rsidR="00F075FB" w:rsidRPr="00C903F8" w:rsidRDefault="00F075FB" w:rsidP="00BB7B04">
            <w:pPr>
              <w:spacing w:before="80" w:after="80" w:line="240" w:lineRule="atLeast"/>
              <w:ind w:left="0" w:firstLine="0"/>
              <w:rPr>
                <w:rFonts w:cs="Arial"/>
                <w:sz w:val="18"/>
                <w:szCs w:val="18"/>
                <w:lang w:val="en-US"/>
              </w:rPr>
            </w:pPr>
            <w:r w:rsidRPr="00C903F8">
              <w:rPr>
                <w:rFonts w:cs="Arial"/>
                <w:sz w:val="18"/>
                <w:szCs w:val="18"/>
                <w:lang w:val="en-US"/>
              </w:rPr>
              <w:t>Gastight separation of accommodations from engine rooms, boiler rooms and holds</w:t>
            </w:r>
          </w:p>
        </w:tc>
        <w:tc>
          <w:tcPr>
            <w:tcW w:w="6521" w:type="dxa"/>
            <w:shd w:val="clear" w:color="auto" w:fill="auto"/>
          </w:tcPr>
          <w:p w:rsidR="00F075FB" w:rsidRPr="00C903F8" w:rsidRDefault="00F075FB" w:rsidP="00BB7B04">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B7B04">
            <w:pPr>
              <w:spacing w:before="80" w:after="8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vMerge/>
            <w:shd w:val="clear" w:color="auto" w:fill="auto"/>
          </w:tcPr>
          <w:p w:rsidR="00F075FB" w:rsidRPr="00C903F8" w:rsidRDefault="00F075FB" w:rsidP="009C40EF">
            <w:pPr>
              <w:spacing w:before="80" w:after="80" w:line="240" w:lineRule="atLeast"/>
              <w:ind w:left="0" w:firstLine="0"/>
              <w:jc w:val="left"/>
              <w:rPr>
                <w:rFonts w:cs="Arial"/>
                <w:b/>
                <w:sz w:val="18"/>
                <w:szCs w:val="18"/>
              </w:rPr>
            </w:pPr>
          </w:p>
        </w:tc>
        <w:tc>
          <w:tcPr>
            <w:tcW w:w="1458" w:type="dxa"/>
            <w:shd w:val="clear" w:color="auto" w:fill="auto"/>
          </w:tcPr>
          <w:p w:rsidR="00F075FB" w:rsidRPr="00C903F8" w:rsidRDefault="00F075FB" w:rsidP="00BB7B04">
            <w:pPr>
              <w:spacing w:before="80" w:after="80" w:line="240" w:lineRule="atLeast"/>
              <w:ind w:left="0" w:firstLine="0"/>
              <w:jc w:val="left"/>
              <w:rPr>
                <w:rFonts w:cs="Arial"/>
                <w:sz w:val="18"/>
                <w:szCs w:val="18"/>
              </w:rPr>
            </w:pPr>
            <w:r w:rsidRPr="00C903F8">
              <w:rPr>
                <w:rFonts w:cs="Arial"/>
                <w:sz w:val="18"/>
                <w:szCs w:val="18"/>
              </w:rPr>
              <w:t>(5), 2</w:t>
            </w:r>
            <w:r w:rsidRPr="00C903F8">
              <w:rPr>
                <w:rFonts w:cs="Arial"/>
                <w:sz w:val="18"/>
                <w:szCs w:val="18"/>
                <w:vertAlign w:val="superscript"/>
              </w:rPr>
              <w:t>nd</w:t>
            </w:r>
            <w:r w:rsidRPr="00C903F8">
              <w:rPr>
                <w:rFonts w:cs="Arial"/>
                <w:sz w:val="18"/>
                <w:szCs w:val="18"/>
              </w:rPr>
              <w:t xml:space="preserve"> subparagraph</w:t>
            </w:r>
          </w:p>
        </w:tc>
        <w:tc>
          <w:tcPr>
            <w:tcW w:w="3296" w:type="dxa"/>
            <w:shd w:val="clear" w:color="auto" w:fill="auto"/>
          </w:tcPr>
          <w:p w:rsidR="00F075FB" w:rsidRPr="00C903F8" w:rsidRDefault="00F075FB" w:rsidP="00BB7B04">
            <w:pPr>
              <w:tabs>
                <w:tab w:val="left" w:pos="1260"/>
              </w:tabs>
              <w:spacing w:before="80" w:after="80" w:line="240" w:lineRule="atLeast"/>
              <w:ind w:left="0" w:firstLine="0"/>
              <w:rPr>
                <w:rFonts w:cs="Arial"/>
                <w:sz w:val="18"/>
                <w:szCs w:val="18"/>
                <w:lang w:val="en-US"/>
              </w:rPr>
            </w:pPr>
            <w:r w:rsidRPr="00C903F8">
              <w:rPr>
                <w:rFonts w:cs="Arial"/>
                <w:sz w:val="18"/>
                <w:szCs w:val="18"/>
                <w:lang w:val="en-US"/>
              </w:rPr>
              <w:t>Monitoring of doors in aft-peak bulkhead</w:t>
            </w:r>
          </w:p>
        </w:tc>
        <w:tc>
          <w:tcPr>
            <w:tcW w:w="6521" w:type="dxa"/>
            <w:shd w:val="clear" w:color="auto" w:fill="auto"/>
          </w:tcPr>
          <w:p w:rsidR="00F075FB" w:rsidRPr="00C903F8" w:rsidRDefault="00F075FB" w:rsidP="00BB7B04">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B7B04">
            <w:pPr>
              <w:spacing w:before="80" w:after="8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vMerge/>
            <w:shd w:val="clear" w:color="auto" w:fill="auto"/>
          </w:tcPr>
          <w:p w:rsidR="00F075FB" w:rsidRPr="00C903F8" w:rsidRDefault="00F075FB" w:rsidP="009C40EF">
            <w:pPr>
              <w:spacing w:before="80" w:after="80" w:line="240" w:lineRule="atLeast"/>
              <w:ind w:left="0" w:firstLine="0"/>
              <w:jc w:val="left"/>
              <w:rPr>
                <w:rFonts w:cs="Arial"/>
                <w:b/>
                <w:sz w:val="18"/>
                <w:szCs w:val="18"/>
                <w:lang w:val="en-US"/>
              </w:rPr>
            </w:pPr>
          </w:p>
        </w:tc>
        <w:tc>
          <w:tcPr>
            <w:tcW w:w="1458" w:type="dxa"/>
            <w:shd w:val="clear" w:color="auto" w:fill="auto"/>
          </w:tcPr>
          <w:p w:rsidR="00F075FB" w:rsidRPr="00C903F8" w:rsidRDefault="00F075FB" w:rsidP="00BB7B04">
            <w:pPr>
              <w:spacing w:before="80" w:after="80" w:line="240" w:lineRule="atLeast"/>
              <w:ind w:left="0" w:firstLine="0"/>
              <w:rPr>
                <w:rFonts w:cs="Arial"/>
                <w:sz w:val="18"/>
                <w:szCs w:val="18"/>
              </w:rPr>
            </w:pPr>
            <w:r w:rsidRPr="00C903F8">
              <w:rPr>
                <w:rFonts w:cs="Arial"/>
                <w:sz w:val="18"/>
                <w:szCs w:val="18"/>
              </w:rPr>
              <w:t>(7)</w:t>
            </w:r>
          </w:p>
        </w:tc>
        <w:tc>
          <w:tcPr>
            <w:tcW w:w="3296" w:type="dxa"/>
            <w:shd w:val="clear" w:color="auto" w:fill="auto"/>
          </w:tcPr>
          <w:p w:rsidR="00F075FB" w:rsidRPr="00C903F8" w:rsidRDefault="00F075FB" w:rsidP="00CE1CF7">
            <w:pPr>
              <w:spacing w:before="80" w:after="80" w:line="240" w:lineRule="atLeast"/>
              <w:ind w:left="0" w:firstLine="0"/>
              <w:rPr>
                <w:rFonts w:cs="Arial"/>
                <w:sz w:val="18"/>
                <w:szCs w:val="18"/>
                <w:lang w:val="en-US"/>
              </w:rPr>
            </w:pPr>
            <w:r w:rsidRPr="00C903F8">
              <w:rPr>
                <w:rFonts w:cs="Arial"/>
                <w:sz w:val="18"/>
                <w:szCs w:val="18"/>
                <w:lang w:val="en-US"/>
              </w:rPr>
              <w:t>Anchors not protruding in fore­sections of vessels</w:t>
            </w:r>
          </w:p>
        </w:tc>
        <w:tc>
          <w:tcPr>
            <w:tcW w:w="6521" w:type="dxa"/>
            <w:shd w:val="clear" w:color="auto" w:fill="auto"/>
          </w:tcPr>
          <w:p w:rsidR="00F075FB" w:rsidRPr="00C903F8" w:rsidRDefault="00F075FB" w:rsidP="00BB7B04">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B7B04">
            <w:pPr>
              <w:spacing w:before="80" w:after="80" w:line="240" w:lineRule="atLeast"/>
              <w:ind w:left="0" w:firstLine="0"/>
              <w:rPr>
                <w:rFonts w:cs="Arial"/>
                <w:sz w:val="18"/>
                <w:szCs w:val="18"/>
              </w:rPr>
            </w:pPr>
            <w:r w:rsidRPr="00C903F8">
              <w:rPr>
                <w:rFonts w:cs="Arial"/>
                <w:sz w:val="18"/>
                <w:szCs w:val="18"/>
              </w:rPr>
              <w:t>1.1.2041</w:t>
            </w:r>
          </w:p>
        </w:tc>
      </w:tr>
      <w:tr w:rsidR="00F075FB" w:rsidRPr="00C903F8" w:rsidTr="00196FBC">
        <w:trPr>
          <w:cantSplit/>
          <w:jc w:val="center"/>
        </w:trPr>
        <w:tc>
          <w:tcPr>
            <w:tcW w:w="1342" w:type="dxa"/>
            <w:shd w:val="clear" w:color="auto" w:fill="auto"/>
          </w:tcPr>
          <w:p w:rsidR="00F075FB" w:rsidRPr="00C903F8" w:rsidRDefault="00F075FB" w:rsidP="009C40EF">
            <w:pPr>
              <w:spacing w:before="80" w:after="80" w:line="240" w:lineRule="atLeast"/>
              <w:ind w:left="0" w:firstLine="0"/>
              <w:jc w:val="left"/>
              <w:rPr>
                <w:rFonts w:cs="Arial"/>
                <w:sz w:val="18"/>
                <w:szCs w:val="18"/>
              </w:rPr>
            </w:pPr>
            <w:r w:rsidRPr="00C903F8">
              <w:rPr>
                <w:rFonts w:cs="Arial"/>
                <w:sz w:val="18"/>
                <w:szCs w:val="18"/>
              </w:rPr>
              <w:t>3.04</w:t>
            </w:r>
          </w:p>
        </w:tc>
        <w:tc>
          <w:tcPr>
            <w:tcW w:w="1458" w:type="dxa"/>
            <w:shd w:val="clear" w:color="auto" w:fill="auto"/>
          </w:tcPr>
          <w:p w:rsidR="00F075FB" w:rsidRPr="00C903F8" w:rsidRDefault="00F075FB" w:rsidP="00BB7B04">
            <w:pPr>
              <w:spacing w:before="80" w:after="80" w:line="240" w:lineRule="atLeast"/>
              <w:ind w:left="0" w:firstLine="0"/>
              <w:rPr>
                <w:rFonts w:cs="Arial"/>
                <w:sz w:val="18"/>
                <w:szCs w:val="18"/>
              </w:rPr>
            </w:pPr>
            <w:r w:rsidRPr="00C903F8">
              <w:rPr>
                <w:rFonts w:cs="Arial"/>
                <w:sz w:val="18"/>
                <w:szCs w:val="18"/>
              </w:rPr>
              <w:t>(6)</w:t>
            </w:r>
          </w:p>
        </w:tc>
        <w:tc>
          <w:tcPr>
            <w:tcW w:w="3296" w:type="dxa"/>
            <w:shd w:val="clear" w:color="auto" w:fill="auto"/>
          </w:tcPr>
          <w:p w:rsidR="00F075FB" w:rsidRPr="00C903F8" w:rsidRDefault="00F075FB" w:rsidP="00BB7B04">
            <w:pPr>
              <w:spacing w:before="80" w:after="80" w:line="240" w:lineRule="atLeast"/>
              <w:ind w:left="0" w:firstLine="0"/>
              <w:rPr>
                <w:rFonts w:cs="Arial"/>
                <w:sz w:val="18"/>
                <w:szCs w:val="18"/>
              </w:rPr>
            </w:pPr>
            <w:r w:rsidRPr="00C903F8">
              <w:rPr>
                <w:rFonts w:cs="Arial"/>
                <w:sz w:val="18"/>
                <w:szCs w:val="18"/>
              </w:rPr>
              <w:t>Exits of engine rooms</w:t>
            </w:r>
          </w:p>
        </w:tc>
        <w:tc>
          <w:tcPr>
            <w:tcW w:w="6521" w:type="dxa"/>
            <w:shd w:val="clear" w:color="auto" w:fill="auto"/>
          </w:tcPr>
          <w:p w:rsidR="00F075FB" w:rsidRPr="00C903F8" w:rsidRDefault="00F075FB" w:rsidP="00BB7B04">
            <w:pPr>
              <w:spacing w:before="80" w:after="80" w:line="240" w:lineRule="atLeast"/>
              <w:ind w:left="0" w:firstLine="0"/>
              <w:rPr>
                <w:rFonts w:cs="Arial"/>
                <w:sz w:val="18"/>
                <w:szCs w:val="18"/>
                <w:lang w:val="en-US"/>
              </w:rPr>
            </w:pPr>
            <w:r w:rsidRPr="00C903F8">
              <w:rPr>
                <w:rFonts w:cs="Arial"/>
                <w:sz w:val="18"/>
                <w:szCs w:val="18"/>
                <w:lang w:val="en-US"/>
              </w:rPr>
              <w:t xml:space="preserve">Engine rooms which were not considered as engine rooms according to Article 1.01 before 1995 must be equipped with a second exit at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B7B04">
            <w:pPr>
              <w:spacing w:before="80" w:after="8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6096" w:type="dxa"/>
            <w:gridSpan w:val="3"/>
            <w:shd w:val="clear" w:color="auto" w:fill="auto"/>
          </w:tcPr>
          <w:p w:rsidR="00F075FB" w:rsidRPr="00C903F8" w:rsidRDefault="00F075FB" w:rsidP="00740370">
            <w:pPr>
              <w:spacing w:before="140" w:after="140" w:line="240" w:lineRule="atLeast"/>
              <w:ind w:left="0" w:firstLine="0"/>
              <w:jc w:val="center"/>
              <w:rPr>
                <w:rFonts w:cs="Arial"/>
                <w:sz w:val="18"/>
                <w:szCs w:val="18"/>
              </w:rPr>
            </w:pPr>
            <w:r w:rsidRPr="00C903F8">
              <w:rPr>
                <w:rFonts w:cs="Arial"/>
                <w:b/>
                <w:sz w:val="18"/>
                <w:szCs w:val="18"/>
              </w:rPr>
              <w:t>CHAPTER 5</w:t>
            </w:r>
          </w:p>
        </w:tc>
        <w:tc>
          <w:tcPr>
            <w:tcW w:w="6521" w:type="dxa"/>
            <w:shd w:val="clear" w:color="auto" w:fill="auto"/>
          </w:tcPr>
          <w:p w:rsidR="00F075FB" w:rsidRPr="00C903F8" w:rsidRDefault="00F075FB" w:rsidP="00740370">
            <w:pPr>
              <w:spacing w:before="140" w:after="140" w:line="240" w:lineRule="atLeast"/>
              <w:ind w:left="0" w:firstLine="0"/>
              <w:jc w:val="center"/>
              <w:rPr>
                <w:rFonts w:cs="Arial"/>
                <w:b/>
                <w:sz w:val="18"/>
                <w:szCs w:val="18"/>
              </w:rPr>
            </w:pPr>
          </w:p>
        </w:tc>
        <w:tc>
          <w:tcPr>
            <w:tcW w:w="1276" w:type="dxa"/>
            <w:shd w:val="clear" w:color="auto" w:fill="auto"/>
          </w:tcPr>
          <w:p w:rsidR="00F075FB" w:rsidRPr="00C903F8" w:rsidRDefault="00F075FB" w:rsidP="00740370">
            <w:pPr>
              <w:spacing w:before="140" w:after="140" w:line="240" w:lineRule="atLeast"/>
              <w:ind w:left="0" w:firstLine="0"/>
              <w:jc w:val="center"/>
              <w:rPr>
                <w:rFonts w:cs="Arial"/>
                <w:sz w:val="18"/>
                <w:szCs w:val="18"/>
              </w:rPr>
            </w:pPr>
          </w:p>
        </w:tc>
      </w:tr>
      <w:tr w:rsidR="00F075FB" w:rsidRPr="00C903F8" w:rsidTr="00A5358D">
        <w:trPr>
          <w:cantSplit/>
          <w:trHeight w:val="832"/>
          <w:jc w:val="center"/>
        </w:trPr>
        <w:tc>
          <w:tcPr>
            <w:tcW w:w="1342" w:type="dxa"/>
            <w:shd w:val="clear" w:color="auto" w:fill="auto"/>
          </w:tcPr>
          <w:p w:rsidR="00F075FB" w:rsidRPr="00C903F8" w:rsidRDefault="00F075FB" w:rsidP="009C40EF">
            <w:pPr>
              <w:spacing w:before="120" w:after="120" w:line="240" w:lineRule="atLeast"/>
              <w:ind w:left="0" w:firstLine="0"/>
              <w:jc w:val="left"/>
              <w:rPr>
                <w:rFonts w:cs="Arial"/>
                <w:sz w:val="18"/>
                <w:szCs w:val="18"/>
              </w:rPr>
            </w:pPr>
            <w:r w:rsidRPr="00C903F8">
              <w:rPr>
                <w:rFonts w:cs="Arial"/>
                <w:sz w:val="18"/>
                <w:szCs w:val="18"/>
              </w:rPr>
              <w:t>5.06</w:t>
            </w:r>
          </w:p>
        </w:tc>
        <w:tc>
          <w:tcPr>
            <w:tcW w:w="1458" w:type="dxa"/>
            <w:shd w:val="clear" w:color="auto" w:fill="auto"/>
          </w:tcPr>
          <w:p w:rsidR="00F075FB" w:rsidRPr="00C903F8" w:rsidRDefault="00F075FB" w:rsidP="00740370">
            <w:pPr>
              <w:spacing w:before="120" w:after="120" w:line="240" w:lineRule="atLeast"/>
              <w:ind w:left="0" w:firstLine="0"/>
              <w:jc w:val="left"/>
              <w:rPr>
                <w:rFonts w:cs="Arial"/>
                <w:sz w:val="18"/>
                <w:szCs w:val="18"/>
              </w:rPr>
            </w:pPr>
            <w:r w:rsidRPr="00C903F8">
              <w:rPr>
                <w:rFonts w:cs="Arial"/>
                <w:sz w:val="18"/>
                <w:szCs w:val="18"/>
              </w:rPr>
              <w:t>(1) 1st sentence</w:t>
            </w:r>
          </w:p>
        </w:tc>
        <w:tc>
          <w:tcPr>
            <w:tcW w:w="3296" w:type="dxa"/>
            <w:shd w:val="clear" w:color="auto" w:fill="auto"/>
          </w:tcPr>
          <w:p w:rsidR="00F075FB" w:rsidRPr="00C903F8" w:rsidRDefault="00F075FB" w:rsidP="00740370">
            <w:pPr>
              <w:spacing w:before="120" w:after="120" w:line="240" w:lineRule="atLeast"/>
              <w:ind w:left="0" w:firstLine="0"/>
              <w:rPr>
                <w:rFonts w:cs="Arial"/>
                <w:sz w:val="18"/>
                <w:szCs w:val="18"/>
              </w:rPr>
            </w:pPr>
            <w:r w:rsidRPr="00C903F8">
              <w:rPr>
                <w:rFonts w:cs="Arial"/>
                <w:noProof/>
                <w:sz w:val="18"/>
                <w:szCs w:val="18"/>
              </w:rPr>
              <w:t>Minimum speed</w:t>
            </w:r>
          </w:p>
        </w:tc>
        <w:tc>
          <w:tcPr>
            <w:tcW w:w="6521" w:type="dxa"/>
            <w:shd w:val="clear" w:color="auto" w:fill="auto"/>
          </w:tcPr>
          <w:p w:rsidR="00F075FB" w:rsidRPr="00C903F8" w:rsidRDefault="00F075FB" w:rsidP="0074037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40370">
            <w:pPr>
              <w:spacing w:before="120" w:after="12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6096" w:type="dxa"/>
            <w:gridSpan w:val="3"/>
            <w:shd w:val="clear" w:color="auto" w:fill="auto"/>
          </w:tcPr>
          <w:p w:rsidR="00F075FB" w:rsidRPr="00C903F8" w:rsidRDefault="00F075FB" w:rsidP="00BB7B04">
            <w:pPr>
              <w:spacing w:before="80" w:after="80" w:line="240" w:lineRule="atLeast"/>
              <w:ind w:left="0" w:firstLine="0"/>
              <w:jc w:val="center"/>
              <w:rPr>
                <w:rFonts w:cs="Arial"/>
                <w:sz w:val="18"/>
                <w:szCs w:val="18"/>
              </w:rPr>
            </w:pPr>
            <w:r w:rsidRPr="00C903F8">
              <w:rPr>
                <w:rFonts w:cs="Arial"/>
                <w:b/>
                <w:sz w:val="18"/>
                <w:szCs w:val="18"/>
              </w:rPr>
              <w:lastRenderedPageBreak/>
              <w:t>CHAPTER 6</w:t>
            </w:r>
          </w:p>
        </w:tc>
        <w:tc>
          <w:tcPr>
            <w:tcW w:w="6521" w:type="dxa"/>
            <w:shd w:val="clear" w:color="auto" w:fill="auto"/>
          </w:tcPr>
          <w:p w:rsidR="00F075FB" w:rsidRPr="00C903F8" w:rsidRDefault="00F075FB" w:rsidP="00BB7B04">
            <w:pPr>
              <w:spacing w:before="80" w:after="80" w:line="240" w:lineRule="atLeast"/>
              <w:ind w:left="0" w:firstLine="0"/>
              <w:jc w:val="center"/>
              <w:rPr>
                <w:rFonts w:cs="Arial"/>
                <w:sz w:val="18"/>
                <w:szCs w:val="18"/>
              </w:rPr>
            </w:pPr>
          </w:p>
        </w:tc>
        <w:tc>
          <w:tcPr>
            <w:tcW w:w="1276" w:type="dxa"/>
            <w:shd w:val="clear" w:color="auto" w:fill="auto"/>
          </w:tcPr>
          <w:p w:rsidR="00F075FB" w:rsidRPr="00C903F8" w:rsidRDefault="00F075FB" w:rsidP="00BB7B04">
            <w:pPr>
              <w:spacing w:before="80" w:after="80" w:line="240" w:lineRule="atLeast"/>
              <w:ind w:left="0" w:firstLine="0"/>
              <w:jc w:val="center"/>
              <w:rPr>
                <w:rFonts w:cs="Arial"/>
                <w:sz w:val="18"/>
                <w:szCs w:val="18"/>
              </w:rPr>
            </w:pPr>
          </w:p>
        </w:tc>
      </w:tr>
      <w:tr w:rsidR="00F075FB" w:rsidRPr="00C903F8" w:rsidTr="00196FBC">
        <w:trPr>
          <w:cantSplit/>
          <w:jc w:val="center"/>
        </w:trPr>
        <w:tc>
          <w:tcPr>
            <w:tcW w:w="1342" w:type="dxa"/>
            <w:vMerge w:val="restart"/>
            <w:shd w:val="clear" w:color="auto" w:fill="auto"/>
          </w:tcPr>
          <w:p w:rsidR="00F075FB" w:rsidRPr="00C903F8" w:rsidRDefault="00F075FB" w:rsidP="009C40EF">
            <w:pPr>
              <w:spacing w:before="140" w:after="140" w:line="240" w:lineRule="atLeast"/>
              <w:ind w:left="0" w:firstLine="0"/>
              <w:jc w:val="left"/>
              <w:rPr>
                <w:rFonts w:cs="Arial"/>
                <w:sz w:val="18"/>
                <w:szCs w:val="18"/>
              </w:rPr>
            </w:pPr>
            <w:r w:rsidRPr="00C903F8">
              <w:rPr>
                <w:rFonts w:cs="Arial"/>
                <w:sz w:val="18"/>
                <w:szCs w:val="18"/>
              </w:rPr>
              <w:t>6.01</w:t>
            </w:r>
          </w:p>
        </w:tc>
        <w:tc>
          <w:tcPr>
            <w:tcW w:w="1458" w:type="dxa"/>
            <w:shd w:val="clear" w:color="auto" w:fill="auto"/>
          </w:tcPr>
          <w:p w:rsidR="00F075FB" w:rsidRPr="00C903F8" w:rsidRDefault="00F075FB" w:rsidP="00BB7B04">
            <w:pPr>
              <w:spacing w:before="140" w:after="140" w:line="240" w:lineRule="atLeast"/>
              <w:ind w:left="0" w:firstLine="0"/>
              <w:rPr>
                <w:rFonts w:cs="Arial"/>
                <w:sz w:val="18"/>
                <w:szCs w:val="18"/>
              </w:rPr>
            </w:pPr>
            <w:r w:rsidRPr="00C903F8">
              <w:rPr>
                <w:rFonts w:cs="Arial"/>
                <w:sz w:val="18"/>
                <w:szCs w:val="18"/>
              </w:rPr>
              <w:t>(1)</w:t>
            </w:r>
          </w:p>
        </w:tc>
        <w:tc>
          <w:tcPr>
            <w:tcW w:w="3296" w:type="dxa"/>
            <w:shd w:val="clear" w:color="auto" w:fill="auto"/>
          </w:tcPr>
          <w:p w:rsidR="00F075FB" w:rsidRPr="00C903F8" w:rsidRDefault="00F075FB" w:rsidP="00BB7B04">
            <w:pPr>
              <w:spacing w:before="140" w:after="140"/>
              <w:ind w:left="0" w:firstLine="0"/>
              <w:rPr>
                <w:rFonts w:cs="Arial"/>
                <w:sz w:val="18"/>
                <w:szCs w:val="18"/>
              </w:rPr>
            </w:pPr>
            <w:r w:rsidRPr="00C903F8">
              <w:rPr>
                <w:rFonts w:cs="Arial"/>
                <w:sz w:val="18"/>
                <w:szCs w:val="18"/>
              </w:rPr>
              <w:t>Manoeuvrability required by Chapter 5</w:t>
            </w:r>
          </w:p>
        </w:tc>
        <w:tc>
          <w:tcPr>
            <w:tcW w:w="6521" w:type="dxa"/>
            <w:shd w:val="clear" w:color="auto" w:fill="auto"/>
          </w:tcPr>
          <w:p w:rsidR="00F075FB" w:rsidRPr="00C903F8" w:rsidRDefault="00F075FB" w:rsidP="00BB7B04">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B7B04">
            <w:pPr>
              <w:spacing w:before="140" w:after="14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vMerge/>
            <w:shd w:val="clear" w:color="auto" w:fill="auto"/>
          </w:tcPr>
          <w:p w:rsidR="00F075FB" w:rsidRPr="00C903F8" w:rsidRDefault="00F075FB" w:rsidP="009C40EF">
            <w:pPr>
              <w:spacing w:before="140" w:after="140" w:line="240" w:lineRule="atLeast"/>
              <w:ind w:left="0" w:firstLine="0"/>
              <w:jc w:val="left"/>
              <w:rPr>
                <w:rFonts w:cs="Arial"/>
                <w:sz w:val="18"/>
                <w:szCs w:val="18"/>
              </w:rPr>
            </w:pPr>
          </w:p>
        </w:tc>
        <w:tc>
          <w:tcPr>
            <w:tcW w:w="1458" w:type="dxa"/>
            <w:shd w:val="clear" w:color="auto" w:fill="auto"/>
          </w:tcPr>
          <w:p w:rsidR="00F075FB" w:rsidRPr="00C903F8" w:rsidRDefault="00F075FB" w:rsidP="00BB7B04">
            <w:pPr>
              <w:spacing w:before="140" w:after="140" w:line="240" w:lineRule="atLeast"/>
              <w:ind w:left="0" w:firstLine="0"/>
              <w:rPr>
                <w:rFonts w:cs="Arial"/>
                <w:sz w:val="18"/>
                <w:szCs w:val="18"/>
              </w:rPr>
            </w:pPr>
            <w:r w:rsidRPr="00C903F8">
              <w:rPr>
                <w:rFonts w:cs="Arial"/>
                <w:sz w:val="18"/>
                <w:szCs w:val="18"/>
              </w:rPr>
              <w:t>(3)</w:t>
            </w:r>
          </w:p>
        </w:tc>
        <w:tc>
          <w:tcPr>
            <w:tcW w:w="3296" w:type="dxa"/>
            <w:shd w:val="clear" w:color="auto" w:fill="auto"/>
          </w:tcPr>
          <w:p w:rsidR="00F075FB" w:rsidRPr="00C903F8" w:rsidRDefault="00F075FB" w:rsidP="00BB7B04">
            <w:pPr>
              <w:spacing w:before="140" w:after="140"/>
              <w:ind w:left="0" w:firstLine="0"/>
              <w:rPr>
                <w:rFonts w:cs="Arial"/>
                <w:sz w:val="18"/>
                <w:szCs w:val="18"/>
              </w:rPr>
            </w:pPr>
            <w:r w:rsidRPr="00C903F8">
              <w:rPr>
                <w:rFonts w:cs="Arial"/>
                <w:sz w:val="18"/>
                <w:szCs w:val="18"/>
              </w:rPr>
              <w:t>Permanent lists and ambient temperatures</w:t>
            </w:r>
          </w:p>
        </w:tc>
        <w:tc>
          <w:tcPr>
            <w:tcW w:w="6521" w:type="dxa"/>
            <w:shd w:val="clear" w:color="auto" w:fill="auto"/>
          </w:tcPr>
          <w:p w:rsidR="00F075FB" w:rsidRPr="00C903F8" w:rsidRDefault="00F075FB" w:rsidP="00BB7B04">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B7B04">
            <w:pPr>
              <w:spacing w:before="140" w:after="14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vMerge/>
            <w:shd w:val="clear" w:color="auto" w:fill="auto"/>
          </w:tcPr>
          <w:p w:rsidR="00F075FB" w:rsidRPr="00C903F8" w:rsidRDefault="00F075FB" w:rsidP="009C40EF">
            <w:pPr>
              <w:spacing w:before="140" w:after="140" w:line="240" w:lineRule="atLeast"/>
              <w:ind w:left="0" w:firstLine="0"/>
              <w:jc w:val="left"/>
              <w:rPr>
                <w:rFonts w:cs="Arial"/>
                <w:sz w:val="18"/>
                <w:szCs w:val="18"/>
              </w:rPr>
            </w:pPr>
          </w:p>
        </w:tc>
        <w:tc>
          <w:tcPr>
            <w:tcW w:w="1458" w:type="dxa"/>
            <w:shd w:val="clear" w:color="auto" w:fill="auto"/>
          </w:tcPr>
          <w:p w:rsidR="00F075FB" w:rsidRPr="00C903F8" w:rsidRDefault="00F075FB" w:rsidP="00BB7B04">
            <w:pPr>
              <w:spacing w:before="140" w:after="140" w:line="240" w:lineRule="atLeast"/>
              <w:ind w:left="0" w:firstLine="0"/>
              <w:rPr>
                <w:rFonts w:cs="Arial"/>
                <w:sz w:val="18"/>
                <w:szCs w:val="18"/>
              </w:rPr>
            </w:pPr>
            <w:r w:rsidRPr="00C903F8">
              <w:rPr>
                <w:rFonts w:cs="Arial"/>
                <w:sz w:val="18"/>
                <w:szCs w:val="18"/>
              </w:rPr>
              <w:t>(7)</w:t>
            </w:r>
          </w:p>
        </w:tc>
        <w:tc>
          <w:tcPr>
            <w:tcW w:w="3296" w:type="dxa"/>
            <w:shd w:val="clear" w:color="auto" w:fill="auto"/>
          </w:tcPr>
          <w:p w:rsidR="00F075FB" w:rsidRPr="00C903F8" w:rsidRDefault="00F075FB" w:rsidP="00BB7B04">
            <w:pPr>
              <w:spacing w:before="140" w:after="140"/>
              <w:ind w:left="0" w:firstLine="0"/>
              <w:rPr>
                <w:rFonts w:cs="Arial"/>
                <w:sz w:val="18"/>
                <w:szCs w:val="18"/>
              </w:rPr>
            </w:pPr>
            <w:r w:rsidRPr="00C903F8">
              <w:rPr>
                <w:rFonts w:cs="Arial"/>
                <w:sz w:val="18"/>
                <w:szCs w:val="18"/>
              </w:rPr>
              <w:t>Design of rudder stocks</w:t>
            </w:r>
          </w:p>
        </w:tc>
        <w:tc>
          <w:tcPr>
            <w:tcW w:w="6521" w:type="dxa"/>
            <w:shd w:val="clear" w:color="auto" w:fill="auto"/>
          </w:tcPr>
          <w:p w:rsidR="00F075FB" w:rsidRPr="00C903F8" w:rsidRDefault="00F075FB" w:rsidP="00BB7B04">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B7B04">
            <w:pPr>
              <w:spacing w:before="140" w:after="14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1342" w:type="dxa"/>
            <w:vMerge w:val="restart"/>
            <w:shd w:val="clear" w:color="auto" w:fill="auto"/>
          </w:tcPr>
          <w:p w:rsidR="00F075FB" w:rsidRPr="00C903F8" w:rsidRDefault="00F075FB" w:rsidP="009C40EF">
            <w:pPr>
              <w:spacing w:before="120" w:after="120" w:line="240" w:lineRule="atLeast"/>
              <w:ind w:left="0" w:firstLine="0"/>
              <w:jc w:val="left"/>
              <w:rPr>
                <w:rFonts w:cs="Arial"/>
                <w:sz w:val="18"/>
                <w:szCs w:val="18"/>
              </w:rPr>
            </w:pPr>
            <w:r w:rsidRPr="00C903F8">
              <w:rPr>
                <w:rFonts w:cs="Arial"/>
                <w:sz w:val="18"/>
                <w:szCs w:val="18"/>
              </w:rPr>
              <w:t>6.02</w:t>
            </w:r>
          </w:p>
        </w:tc>
        <w:tc>
          <w:tcPr>
            <w:tcW w:w="1458" w:type="dxa"/>
            <w:vMerge w:val="restart"/>
            <w:shd w:val="clear" w:color="auto" w:fill="auto"/>
          </w:tcPr>
          <w:p w:rsidR="00F075FB" w:rsidRPr="00C903F8" w:rsidRDefault="00F075FB" w:rsidP="00740370">
            <w:pPr>
              <w:spacing w:before="120" w:after="120" w:line="240" w:lineRule="atLeast"/>
              <w:ind w:left="0" w:firstLine="0"/>
              <w:rPr>
                <w:rFonts w:cs="Arial"/>
                <w:sz w:val="18"/>
                <w:szCs w:val="18"/>
              </w:rPr>
            </w:pPr>
            <w:r w:rsidRPr="00C903F8">
              <w:rPr>
                <w:rFonts w:cs="Arial"/>
                <w:sz w:val="18"/>
                <w:szCs w:val="18"/>
              </w:rPr>
              <w:t>(1)</w:t>
            </w:r>
          </w:p>
        </w:tc>
        <w:tc>
          <w:tcPr>
            <w:tcW w:w="3296" w:type="dxa"/>
            <w:shd w:val="clear" w:color="auto" w:fill="auto"/>
          </w:tcPr>
          <w:p w:rsidR="00F075FB" w:rsidRPr="00C903F8" w:rsidRDefault="00F075FB" w:rsidP="00740370">
            <w:pPr>
              <w:spacing w:before="120" w:after="120"/>
              <w:ind w:left="0" w:firstLine="0"/>
              <w:rPr>
                <w:rFonts w:cs="Arial"/>
                <w:sz w:val="18"/>
                <w:szCs w:val="18"/>
                <w:lang w:val="en-US"/>
              </w:rPr>
            </w:pPr>
            <w:r w:rsidRPr="00C903F8">
              <w:rPr>
                <w:rFonts w:cs="Arial"/>
                <w:sz w:val="18"/>
                <w:szCs w:val="18"/>
                <w:lang w:val="en-US"/>
              </w:rPr>
              <w:t xml:space="preserve">Presence of separate hydraulic tanks </w:t>
            </w:r>
          </w:p>
        </w:tc>
        <w:tc>
          <w:tcPr>
            <w:tcW w:w="6521" w:type="dxa"/>
            <w:shd w:val="clear" w:color="auto" w:fill="auto"/>
          </w:tcPr>
          <w:p w:rsidR="00F075FB" w:rsidRPr="00C903F8" w:rsidRDefault="00F075FB" w:rsidP="0074037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40370">
            <w:pPr>
              <w:spacing w:before="120" w:after="12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vMerge/>
            <w:shd w:val="clear" w:color="auto" w:fill="auto"/>
          </w:tcPr>
          <w:p w:rsidR="00F075FB" w:rsidRPr="00C903F8" w:rsidRDefault="00F075FB" w:rsidP="009C40EF">
            <w:pPr>
              <w:spacing w:before="120" w:after="120" w:line="240" w:lineRule="atLeast"/>
              <w:ind w:left="0" w:firstLine="0"/>
              <w:jc w:val="left"/>
              <w:rPr>
                <w:rFonts w:cs="Arial"/>
                <w:sz w:val="18"/>
                <w:szCs w:val="18"/>
              </w:rPr>
            </w:pPr>
          </w:p>
        </w:tc>
        <w:tc>
          <w:tcPr>
            <w:tcW w:w="1458" w:type="dxa"/>
            <w:vMerge/>
            <w:shd w:val="clear" w:color="auto" w:fill="auto"/>
          </w:tcPr>
          <w:p w:rsidR="00F075FB" w:rsidRPr="00C903F8" w:rsidRDefault="00F075FB" w:rsidP="00740370">
            <w:pPr>
              <w:spacing w:before="120" w:after="120" w:line="240" w:lineRule="atLeast"/>
              <w:ind w:left="0" w:firstLine="0"/>
              <w:rPr>
                <w:rFonts w:cs="Arial"/>
                <w:sz w:val="18"/>
                <w:szCs w:val="18"/>
              </w:rPr>
            </w:pPr>
          </w:p>
        </w:tc>
        <w:tc>
          <w:tcPr>
            <w:tcW w:w="3296" w:type="dxa"/>
            <w:shd w:val="clear" w:color="auto" w:fill="auto"/>
          </w:tcPr>
          <w:p w:rsidR="00F075FB" w:rsidRPr="00C903F8" w:rsidRDefault="00F075FB" w:rsidP="00740370">
            <w:pPr>
              <w:spacing w:before="120" w:after="120" w:line="240" w:lineRule="atLeast"/>
              <w:ind w:left="0" w:firstLine="0"/>
              <w:rPr>
                <w:rFonts w:cs="Arial"/>
                <w:sz w:val="18"/>
                <w:szCs w:val="18"/>
                <w:lang w:val="en-US"/>
              </w:rPr>
            </w:pPr>
            <w:r w:rsidRPr="00C903F8">
              <w:rPr>
                <w:rFonts w:cs="Arial"/>
                <w:sz w:val="18"/>
                <w:szCs w:val="18"/>
                <w:lang w:val="en-US"/>
              </w:rPr>
              <w:t>Duplicated pilot valves in case of hydraulic drive units</w:t>
            </w:r>
          </w:p>
        </w:tc>
        <w:tc>
          <w:tcPr>
            <w:tcW w:w="6521" w:type="dxa"/>
            <w:shd w:val="clear" w:color="auto" w:fill="auto"/>
          </w:tcPr>
          <w:p w:rsidR="00F075FB" w:rsidRPr="00C903F8" w:rsidRDefault="00F075FB" w:rsidP="0074037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40370">
            <w:pPr>
              <w:spacing w:before="120" w:after="120" w:line="240" w:lineRule="atLeast"/>
              <w:ind w:left="0" w:firstLine="0"/>
              <w:rPr>
                <w:rFonts w:cs="Arial"/>
                <w:sz w:val="18"/>
                <w:szCs w:val="18"/>
              </w:rPr>
            </w:pPr>
            <w:r w:rsidRPr="00C903F8">
              <w:rPr>
                <w:rFonts w:cs="Arial"/>
                <w:sz w:val="18"/>
                <w:szCs w:val="18"/>
              </w:rPr>
              <w:t>1.1.2020</w:t>
            </w:r>
          </w:p>
        </w:tc>
      </w:tr>
      <w:tr w:rsidR="00F075FB" w:rsidRPr="00C903F8" w:rsidTr="00196FBC">
        <w:trPr>
          <w:cantSplit/>
          <w:jc w:val="center"/>
        </w:trPr>
        <w:tc>
          <w:tcPr>
            <w:tcW w:w="1342" w:type="dxa"/>
            <w:vMerge/>
            <w:shd w:val="clear" w:color="auto" w:fill="auto"/>
          </w:tcPr>
          <w:p w:rsidR="00F075FB" w:rsidRPr="00C903F8" w:rsidRDefault="00F075FB" w:rsidP="009C40EF">
            <w:pPr>
              <w:spacing w:before="120" w:after="120" w:line="240" w:lineRule="atLeast"/>
              <w:ind w:left="0" w:firstLine="0"/>
              <w:jc w:val="left"/>
              <w:rPr>
                <w:rFonts w:cs="Arial"/>
                <w:sz w:val="18"/>
                <w:szCs w:val="18"/>
              </w:rPr>
            </w:pPr>
          </w:p>
        </w:tc>
        <w:tc>
          <w:tcPr>
            <w:tcW w:w="1458" w:type="dxa"/>
            <w:vMerge/>
            <w:shd w:val="clear" w:color="auto" w:fill="auto"/>
          </w:tcPr>
          <w:p w:rsidR="00F075FB" w:rsidRPr="00C903F8" w:rsidRDefault="00F075FB" w:rsidP="00740370">
            <w:pPr>
              <w:spacing w:before="120" w:after="120" w:line="240" w:lineRule="atLeast"/>
              <w:ind w:left="0" w:firstLine="0"/>
              <w:rPr>
                <w:rFonts w:cs="Arial"/>
                <w:sz w:val="18"/>
                <w:szCs w:val="18"/>
              </w:rPr>
            </w:pPr>
          </w:p>
        </w:tc>
        <w:tc>
          <w:tcPr>
            <w:tcW w:w="3296" w:type="dxa"/>
            <w:shd w:val="clear" w:color="auto" w:fill="auto"/>
          </w:tcPr>
          <w:p w:rsidR="00F075FB" w:rsidRPr="00C903F8" w:rsidRDefault="00F075FB" w:rsidP="00740370">
            <w:pPr>
              <w:tabs>
                <w:tab w:val="left" w:pos="1125"/>
              </w:tabs>
              <w:spacing w:before="120" w:after="120" w:line="240" w:lineRule="atLeast"/>
              <w:ind w:left="0" w:firstLine="0"/>
              <w:rPr>
                <w:rFonts w:cs="Arial"/>
                <w:sz w:val="18"/>
                <w:szCs w:val="18"/>
                <w:lang w:val="en-US"/>
              </w:rPr>
            </w:pPr>
            <w:r w:rsidRPr="00C903F8">
              <w:rPr>
                <w:rFonts w:cs="Arial"/>
                <w:sz w:val="18"/>
                <w:szCs w:val="18"/>
                <w:lang w:val="en-US"/>
              </w:rPr>
              <w:t>Separated pipework for the second drive unit in case of hydraulic drive units</w:t>
            </w:r>
          </w:p>
        </w:tc>
        <w:tc>
          <w:tcPr>
            <w:tcW w:w="6521" w:type="dxa"/>
            <w:shd w:val="clear" w:color="auto" w:fill="auto"/>
          </w:tcPr>
          <w:p w:rsidR="00F075FB" w:rsidRPr="00C903F8" w:rsidRDefault="00F075FB" w:rsidP="0074037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40370">
            <w:pPr>
              <w:spacing w:before="120" w:after="120" w:line="240" w:lineRule="atLeast"/>
              <w:ind w:left="0" w:firstLine="0"/>
              <w:rPr>
                <w:rFonts w:cs="Arial"/>
                <w:sz w:val="18"/>
                <w:szCs w:val="18"/>
              </w:rPr>
            </w:pPr>
            <w:r w:rsidRPr="00C903F8">
              <w:rPr>
                <w:rFonts w:cs="Arial"/>
                <w:sz w:val="18"/>
                <w:szCs w:val="18"/>
              </w:rPr>
              <w:t>1.1.2020</w:t>
            </w:r>
          </w:p>
        </w:tc>
      </w:tr>
      <w:tr w:rsidR="00F075FB" w:rsidRPr="00C903F8" w:rsidTr="00196FBC">
        <w:trPr>
          <w:cantSplit/>
          <w:jc w:val="center"/>
        </w:trPr>
        <w:tc>
          <w:tcPr>
            <w:tcW w:w="1342" w:type="dxa"/>
            <w:vMerge/>
            <w:shd w:val="clear" w:color="auto" w:fill="auto"/>
          </w:tcPr>
          <w:p w:rsidR="00F075FB" w:rsidRPr="00C903F8" w:rsidRDefault="00F075FB" w:rsidP="009C40EF">
            <w:pPr>
              <w:spacing w:before="120" w:after="120" w:line="240" w:lineRule="atLeast"/>
              <w:ind w:left="0" w:firstLine="0"/>
              <w:jc w:val="left"/>
              <w:rPr>
                <w:rFonts w:cs="Arial"/>
                <w:sz w:val="18"/>
                <w:szCs w:val="18"/>
              </w:rPr>
            </w:pPr>
          </w:p>
        </w:tc>
        <w:tc>
          <w:tcPr>
            <w:tcW w:w="1458" w:type="dxa"/>
            <w:shd w:val="clear" w:color="auto" w:fill="auto"/>
          </w:tcPr>
          <w:p w:rsidR="00F075FB" w:rsidRPr="00C903F8" w:rsidRDefault="00F075FB" w:rsidP="00740370">
            <w:pPr>
              <w:spacing w:before="120" w:after="120" w:line="240" w:lineRule="atLeast"/>
              <w:ind w:left="0" w:firstLine="0"/>
              <w:rPr>
                <w:rFonts w:cs="Arial"/>
                <w:sz w:val="18"/>
                <w:szCs w:val="18"/>
              </w:rPr>
            </w:pPr>
            <w:r w:rsidRPr="00C903F8">
              <w:rPr>
                <w:rFonts w:cs="Arial"/>
                <w:sz w:val="18"/>
                <w:szCs w:val="18"/>
              </w:rPr>
              <w:t>(2)</w:t>
            </w:r>
          </w:p>
        </w:tc>
        <w:tc>
          <w:tcPr>
            <w:tcW w:w="3296" w:type="dxa"/>
            <w:shd w:val="clear" w:color="auto" w:fill="auto"/>
          </w:tcPr>
          <w:p w:rsidR="00F075FB" w:rsidRPr="00C903F8" w:rsidRDefault="00F075FB" w:rsidP="00740370">
            <w:pPr>
              <w:spacing w:before="120" w:after="120" w:line="240" w:lineRule="atLeast"/>
              <w:ind w:left="0" w:firstLine="0"/>
              <w:rPr>
                <w:rFonts w:cs="Arial"/>
                <w:sz w:val="18"/>
                <w:szCs w:val="18"/>
                <w:lang w:val="en-US"/>
              </w:rPr>
            </w:pPr>
            <w:r w:rsidRPr="00C903F8">
              <w:rPr>
                <w:rFonts w:cs="Arial"/>
                <w:sz w:val="18"/>
                <w:szCs w:val="18"/>
                <w:lang w:val="en-US"/>
              </w:rPr>
              <w:t>Separated pipework for the second drive unit in case of hydraulic drive units</w:t>
            </w:r>
          </w:p>
        </w:tc>
        <w:tc>
          <w:tcPr>
            <w:tcW w:w="6521" w:type="dxa"/>
            <w:shd w:val="clear" w:color="auto" w:fill="auto"/>
          </w:tcPr>
          <w:p w:rsidR="00F075FB" w:rsidRPr="00C903F8" w:rsidRDefault="00F075FB" w:rsidP="0074037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40370">
            <w:pPr>
              <w:spacing w:before="120" w:after="12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vMerge/>
            <w:shd w:val="clear" w:color="auto" w:fill="auto"/>
          </w:tcPr>
          <w:p w:rsidR="00F075FB" w:rsidRPr="00C903F8" w:rsidRDefault="00F075FB" w:rsidP="009C40EF">
            <w:pPr>
              <w:spacing w:before="120" w:after="120" w:line="240" w:lineRule="atLeast"/>
              <w:ind w:left="0" w:firstLine="0"/>
              <w:jc w:val="left"/>
              <w:rPr>
                <w:rFonts w:cs="Arial"/>
                <w:sz w:val="18"/>
                <w:szCs w:val="18"/>
              </w:rPr>
            </w:pPr>
          </w:p>
        </w:tc>
        <w:tc>
          <w:tcPr>
            <w:tcW w:w="1458" w:type="dxa"/>
            <w:shd w:val="clear" w:color="auto" w:fill="auto"/>
          </w:tcPr>
          <w:p w:rsidR="00F075FB" w:rsidRPr="00C903F8" w:rsidRDefault="00F075FB" w:rsidP="00740370">
            <w:pPr>
              <w:spacing w:before="120" w:after="120" w:line="240" w:lineRule="atLeast"/>
              <w:ind w:left="0" w:firstLine="0"/>
              <w:rPr>
                <w:rFonts w:cs="Arial"/>
                <w:sz w:val="18"/>
                <w:szCs w:val="18"/>
              </w:rPr>
            </w:pPr>
            <w:r w:rsidRPr="00C903F8">
              <w:rPr>
                <w:rFonts w:cs="Arial"/>
                <w:sz w:val="18"/>
                <w:szCs w:val="18"/>
              </w:rPr>
              <w:t>(3)</w:t>
            </w:r>
          </w:p>
        </w:tc>
        <w:tc>
          <w:tcPr>
            <w:tcW w:w="3296" w:type="dxa"/>
            <w:shd w:val="clear" w:color="auto" w:fill="auto"/>
          </w:tcPr>
          <w:p w:rsidR="00F075FB" w:rsidRPr="00C903F8" w:rsidRDefault="00F075FB" w:rsidP="00740370">
            <w:pPr>
              <w:spacing w:before="120" w:after="120" w:line="240" w:lineRule="atLeast"/>
              <w:ind w:left="0" w:firstLine="0"/>
              <w:rPr>
                <w:rFonts w:cs="Arial"/>
                <w:sz w:val="18"/>
                <w:szCs w:val="18"/>
                <w:lang w:val="en-US"/>
              </w:rPr>
            </w:pPr>
            <w:r w:rsidRPr="00C903F8">
              <w:rPr>
                <w:rFonts w:cs="Arial"/>
                <w:sz w:val="18"/>
                <w:szCs w:val="18"/>
                <w:lang w:val="en-US"/>
              </w:rPr>
              <w:t>Manoeuvrability required by Chapter 5 ensured by second drive unit or manual drive</w:t>
            </w:r>
          </w:p>
        </w:tc>
        <w:tc>
          <w:tcPr>
            <w:tcW w:w="6521" w:type="dxa"/>
            <w:shd w:val="clear" w:color="auto" w:fill="auto"/>
          </w:tcPr>
          <w:p w:rsidR="00F075FB" w:rsidRPr="00C903F8" w:rsidRDefault="00F075FB" w:rsidP="0074037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40370">
            <w:pPr>
              <w:spacing w:before="120" w:after="12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shd w:val="clear" w:color="auto" w:fill="auto"/>
          </w:tcPr>
          <w:p w:rsidR="00F075FB" w:rsidRPr="00C903F8" w:rsidRDefault="00F075FB" w:rsidP="009C40EF">
            <w:pPr>
              <w:spacing w:before="120" w:after="120" w:line="240" w:lineRule="atLeast"/>
              <w:ind w:left="0" w:firstLine="0"/>
              <w:jc w:val="left"/>
              <w:rPr>
                <w:rFonts w:cs="Arial"/>
                <w:sz w:val="18"/>
                <w:szCs w:val="18"/>
              </w:rPr>
            </w:pPr>
            <w:r w:rsidRPr="00C903F8">
              <w:rPr>
                <w:rFonts w:cs="Arial"/>
                <w:sz w:val="18"/>
                <w:szCs w:val="18"/>
              </w:rPr>
              <w:t>6.03</w:t>
            </w:r>
          </w:p>
        </w:tc>
        <w:tc>
          <w:tcPr>
            <w:tcW w:w="1458" w:type="dxa"/>
            <w:shd w:val="clear" w:color="auto" w:fill="auto"/>
          </w:tcPr>
          <w:p w:rsidR="00F075FB" w:rsidRPr="00C903F8" w:rsidRDefault="00F075FB" w:rsidP="00740370">
            <w:pPr>
              <w:spacing w:before="120" w:after="120" w:line="240" w:lineRule="atLeast"/>
              <w:ind w:left="0" w:firstLine="0"/>
              <w:rPr>
                <w:rFonts w:cs="Arial"/>
                <w:sz w:val="18"/>
                <w:szCs w:val="18"/>
              </w:rPr>
            </w:pPr>
            <w:r w:rsidRPr="00C903F8">
              <w:rPr>
                <w:rFonts w:cs="Arial"/>
                <w:sz w:val="18"/>
                <w:szCs w:val="18"/>
              </w:rPr>
              <w:t>(1)</w:t>
            </w:r>
          </w:p>
        </w:tc>
        <w:tc>
          <w:tcPr>
            <w:tcW w:w="3296" w:type="dxa"/>
            <w:shd w:val="clear" w:color="auto" w:fill="auto"/>
          </w:tcPr>
          <w:p w:rsidR="00F075FB" w:rsidRPr="00C903F8" w:rsidRDefault="00F075FB" w:rsidP="00740370">
            <w:pPr>
              <w:spacing w:before="120" w:after="120" w:line="240" w:lineRule="atLeast"/>
              <w:ind w:left="0" w:firstLine="0"/>
              <w:rPr>
                <w:rFonts w:cs="Arial"/>
                <w:sz w:val="18"/>
                <w:szCs w:val="18"/>
                <w:lang w:val="en-US"/>
              </w:rPr>
            </w:pPr>
            <w:r w:rsidRPr="00C903F8">
              <w:rPr>
                <w:rFonts w:cs="Arial"/>
                <w:sz w:val="18"/>
                <w:szCs w:val="18"/>
                <w:lang w:val="en-US"/>
              </w:rPr>
              <w:t>Connection of other consumers to hydraulic steering apparatus drive unit.</w:t>
            </w:r>
          </w:p>
        </w:tc>
        <w:tc>
          <w:tcPr>
            <w:tcW w:w="6521" w:type="dxa"/>
            <w:shd w:val="clear" w:color="auto" w:fill="auto"/>
          </w:tcPr>
          <w:p w:rsidR="00F075FB" w:rsidRPr="00C903F8" w:rsidRDefault="00F075FB" w:rsidP="0074037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40370">
            <w:pPr>
              <w:spacing w:before="120" w:after="12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shd w:val="clear" w:color="auto" w:fill="auto"/>
          </w:tcPr>
          <w:p w:rsidR="00F075FB" w:rsidRPr="00C903F8" w:rsidRDefault="00F075FB" w:rsidP="009C40EF">
            <w:pPr>
              <w:spacing w:before="120" w:after="120" w:line="240" w:lineRule="atLeast"/>
              <w:ind w:left="0" w:firstLine="0"/>
              <w:jc w:val="left"/>
              <w:rPr>
                <w:rFonts w:cs="Arial"/>
                <w:sz w:val="18"/>
                <w:szCs w:val="18"/>
              </w:rPr>
            </w:pPr>
            <w:r w:rsidRPr="00C903F8">
              <w:rPr>
                <w:rFonts w:cs="Arial"/>
                <w:sz w:val="18"/>
                <w:szCs w:val="18"/>
              </w:rPr>
              <w:t>6.05</w:t>
            </w:r>
          </w:p>
        </w:tc>
        <w:tc>
          <w:tcPr>
            <w:tcW w:w="1458" w:type="dxa"/>
            <w:shd w:val="clear" w:color="auto" w:fill="auto"/>
          </w:tcPr>
          <w:p w:rsidR="00F075FB" w:rsidRPr="00C903F8" w:rsidRDefault="00F075FB" w:rsidP="00740370">
            <w:pPr>
              <w:spacing w:before="120" w:after="120" w:line="240" w:lineRule="atLeast"/>
              <w:ind w:left="0" w:firstLine="0"/>
              <w:rPr>
                <w:rFonts w:cs="Arial"/>
                <w:sz w:val="18"/>
                <w:szCs w:val="18"/>
              </w:rPr>
            </w:pPr>
            <w:r w:rsidRPr="00C903F8">
              <w:rPr>
                <w:rFonts w:cs="Arial"/>
                <w:sz w:val="18"/>
                <w:szCs w:val="18"/>
              </w:rPr>
              <w:t>(1)</w:t>
            </w:r>
          </w:p>
        </w:tc>
        <w:tc>
          <w:tcPr>
            <w:tcW w:w="3296" w:type="dxa"/>
            <w:shd w:val="clear" w:color="auto" w:fill="auto"/>
          </w:tcPr>
          <w:p w:rsidR="00F075FB" w:rsidRPr="00C903F8" w:rsidRDefault="00F075FB" w:rsidP="00740370">
            <w:pPr>
              <w:spacing w:before="120" w:after="120" w:line="240" w:lineRule="atLeast"/>
              <w:ind w:left="0" w:firstLine="0"/>
              <w:rPr>
                <w:rFonts w:cs="Arial"/>
                <w:sz w:val="18"/>
                <w:szCs w:val="18"/>
                <w:lang w:val="en-US"/>
              </w:rPr>
            </w:pPr>
            <w:r w:rsidRPr="00C903F8">
              <w:rPr>
                <w:rFonts w:cs="Arial"/>
                <w:sz w:val="18"/>
                <w:szCs w:val="18"/>
                <w:lang w:val="en-US"/>
              </w:rPr>
              <w:t>Wheel of manual drive not driven by powered drive unit</w:t>
            </w:r>
          </w:p>
        </w:tc>
        <w:tc>
          <w:tcPr>
            <w:tcW w:w="6521" w:type="dxa"/>
            <w:shd w:val="clear" w:color="auto" w:fill="auto"/>
          </w:tcPr>
          <w:p w:rsidR="00F075FB" w:rsidRPr="00C903F8" w:rsidRDefault="00F075FB" w:rsidP="0074037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40370">
            <w:pPr>
              <w:spacing w:before="120" w:after="12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shd w:val="clear" w:color="auto" w:fill="auto"/>
          </w:tcPr>
          <w:p w:rsidR="00F075FB" w:rsidRPr="00C903F8" w:rsidRDefault="00F075FB" w:rsidP="009C40EF">
            <w:pPr>
              <w:spacing w:before="140" w:after="140" w:line="240" w:lineRule="atLeast"/>
              <w:ind w:left="0" w:firstLine="0"/>
              <w:jc w:val="left"/>
              <w:rPr>
                <w:rFonts w:cs="Arial"/>
                <w:sz w:val="18"/>
                <w:szCs w:val="18"/>
              </w:rPr>
            </w:pPr>
            <w:r w:rsidRPr="00C903F8">
              <w:rPr>
                <w:rFonts w:cs="Arial"/>
                <w:sz w:val="18"/>
                <w:szCs w:val="18"/>
              </w:rPr>
              <w:t>6.06</w:t>
            </w:r>
          </w:p>
        </w:tc>
        <w:tc>
          <w:tcPr>
            <w:tcW w:w="1458" w:type="dxa"/>
            <w:shd w:val="clear" w:color="auto" w:fill="auto"/>
          </w:tcPr>
          <w:p w:rsidR="00F075FB" w:rsidRPr="00C903F8" w:rsidRDefault="00F075FB" w:rsidP="00BB7B04">
            <w:pPr>
              <w:spacing w:before="140" w:after="140" w:line="240" w:lineRule="atLeast"/>
              <w:ind w:left="0" w:firstLine="0"/>
              <w:rPr>
                <w:rFonts w:cs="Arial"/>
                <w:sz w:val="18"/>
                <w:szCs w:val="18"/>
              </w:rPr>
            </w:pPr>
            <w:r w:rsidRPr="00C903F8">
              <w:rPr>
                <w:rFonts w:cs="Arial"/>
                <w:sz w:val="18"/>
                <w:szCs w:val="18"/>
              </w:rPr>
              <w:t>(1)</w:t>
            </w:r>
          </w:p>
        </w:tc>
        <w:tc>
          <w:tcPr>
            <w:tcW w:w="3296" w:type="dxa"/>
            <w:shd w:val="clear" w:color="auto" w:fill="auto"/>
          </w:tcPr>
          <w:p w:rsidR="00F075FB" w:rsidRPr="00C903F8" w:rsidRDefault="00F075FB" w:rsidP="00BB7B04">
            <w:pPr>
              <w:spacing w:before="140" w:after="140" w:line="240" w:lineRule="atLeast"/>
              <w:ind w:left="0" w:firstLine="0"/>
              <w:rPr>
                <w:rFonts w:cs="Arial"/>
                <w:sz w:val="18"/>
                <w:szCs w:val="18"/>
              </w:rPr>
            </w:pPr>
            <w:r w:rsidRPr="00C903F8">
              <w:rPr>
                <w:rFonts w:cs="Arial"/>
                <w:noProof/>
                <w:sz w:val="18"/>
                <w:szCs w:val="18"/>
              </w:rPr>
              <w:t>Two independent steering controls</w:t>
            </w:r>
          </w:p>
        </w:tc>
        <w:tc>
          <w:tcPr>
            <w:tcW w:w="6521" w:type="dxa"/>
            <w:shd w:val="clear" w:color="auto" w:fill="auto"/>
          </w:tcPr>
          <w:p w:rsidR="00F075FB" w:rsidRPr="00C903F8" w:rsidRDefault="00F075FB" w:rsidP="00BB7B04">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B7B04">
            <w:pPr>
              <w:spacing w:before="140" w:after="14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1342" w:type="dxa"/>
            <w:shd w:val="clear" w:color="auto" w:fill="auto"/>
          </w:tcPr>
          <w:p w:rsidR="00F075FB" w:rsidRPr="00C903F8" w:rsidRDefault="00F075FB" w:rsidP="009C40EF">
            <w:pPr>
              <w:spacing w:before="120" w:after="120" w:line="240" w:lineRule="atLeast"/>
              <w:ind w:left="0" w:firstLine="0"/>
              <w:jc w:val="left"/>
              <w:rPr>
                <w:rFonts w:cs="Arial"/>
                <w:sz w:val="18"/>
                <w:szCs w:val="18"/>
              </w:rPr>
            </w:pPr>
            <w:r w:rsidRPr="00C903F8">
              <w:rPr>
                <w:rFonts w:cs="Arial"/>
                <w:sz w:val="18"/>
                <w:szCs w:val="18"/>
              </w:rPr>
              <w:lastRenderedPageBreak/>
              <w:t>6.07</w:t>
            </w:r>
          </w:p>
        </w:tc>
        <w:tc>
          <w:tcPr>
            <w:tcW w:w="1458" w:type="dxa"/>
            <w:shd w:val="clear" w:color="auto" w:fill="auto"/>
          </w:tcPr>
          <w:p w:rsidR="00F075FB" w:rsidRPr="00C903F8" w:rsidRDefault="00F075FB" w:rsidP="00BB7B04">
            <w:pPr>
              <w:spacing w:before="120" w:after="120" w:line="240" w:lineRule="atLeast"/>
              <w:ind w:left="0" w:firstLine="0"/>
              <w:rPr>
                <w:rFonts w:cs="Arial"/>
                <w:sz w:val="18"/>
                <w:szCs w:val="18"/>
              </w:rPr>
            </w:pPr>
            <w:r>
              <w:rPr>
                <w:rFonts w:cs="Arial"/>
                <w:sz w:val="18"/>
                <w:szCs w:val="18"/>
              </w:rPr>
              <w:t>(2)(</w:t>
            </w:r>
            <w:r w:rsidRPr="00C903F8">
              <w:rPr>
                <w:rFonts w:cs="Arial"/>
                <w:sz w:val="18"/>
                <w:szCs w:val="18"/>
              </w:rPr>
              <w:t>a)</w:t>
            </w:r>
          </w:p>
        </w:tc>
        <w:tc>
          <w:tcPr>
            <w:tcW w:w="3296" w:type="dxa"/>
            <w:shd w:val="clear" w:color="auto" w:fill="auto"/>
          </w:tcPr>
          <w:p w:rsidR="00F075FB" w:rsidRPr="00C903F8" w:rsidRDefault="00F075FB" w:rsidP="00BB7B04">
            <w:pPr>
              <w:tabs>
                <w:tab w:val="left" w:pos="1080"/>
              </w:tabs>
              <w:spacing w:before="120" w:after="120" w:line="240" w:lineRule="atLeast"/>
              <w:ind w:left="0" w:firstLine="0"/>
              <w:rPr>
                <w:rFonts w:cs="Arial"/>
                <w:sz w:val="18"/>
                <w:szCs w:val="18"/>
                <w:lang w:val="en-US"/>
              </w:rPr>
            </w:pPr>
            <w:r w:rsidRPr="00C903F8">
              <w:rPr>
                <w:rFonts w:cs="Arial"/>
                <w:sz w:val="18"/>
                <w:szCs w:val="18"/>
                <w:lang w:val="en-US"/>
              </w:rPr>
              <w:t>Level alarm of the hydraulic tanks and alarm of the service pressure</w:t>
            </w:r>
          </w:p>
        </w:tc>
        <w:tc>
          <w:tcPr>
            <w:tcW w:w="6521" w:type="dxa"/>
            <w:shd w:val="clear" w:color="auto" w:fill="auto"/>
          </w:tcPr>
          <w:p w:rsidR="00F075FB" w:rsidRPr="00C903F8" w:rsidRDefault="00F075FB" w:rsidP="00BB7B0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B7B04">
            <w:pPr>
              <w:spacing w:before="120" w:after="12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shd w:val="clear" w:color="auto" w:fill="auto"/>
          </w:tcPr>
          <w:p w:rsidR="00F075FB" w:rsidRPr="00C903F8" w:rsidRDefault="00F075FB" w:rsidP="009C40EF">
            <w:pPr>
              <w:spacing w:before="120" w:after="120" w:line="240" w:lineRule="atLeast"/>
              <w:ind w:left="0" w:firstLine="0"/>
              <w:jc w:val="left"/>
              <w:rPr>
                <w:rFonts w:cs="Arial"/>
                <w:sz w:val="18"/>
                <w:szCs w:val="18"/>
              </w:rPr>
            </w:pPr>
            <w:r w:rsidRPr="00C903F8">
              <w:rPr>
                <w:rFonts w:cs="Arial"/>
                <w:sz w:val="18"/>
                <w:szCs w:val="18"/>
              </w:rPr>
              <w:t>6.08</w:t>
            </w:r>
          </w:p>
        </w:tc>
        <w:tc>
          <w:tcPr>
            <w:tcW w:w="1458" w:type="dxa"/>
            <w:shd w:val="clear" w:color="auto" w:fill="auto"/>
          </w:tcPr>
          <w:p w:rsidR="00F075FB" w:rsidRPr="00C903F8" w:rsidRDefault="00F075FB" w:rsidP="00BB7B04">
            <w:pPr>
              <w:spacing w:before="120" w:after="120" w:line="240" w:lineRule="atLeast"/>
              <w:ind w:left="0" w:firstLine="0"/>
              <w:rPr>
                <w:rFonts w:cs="Arial"/>
                <w:sz w:val="18"/>
                <w:szCs w:val="18"/>
              </w:rPr>
            </w:pPr>
            <w:r w:rsidRPr="00C903F8">
              <w:rPr>
                <w:rFonts w:cs="Arial"/>
                <w:sz w:val="18"/>
                <w:szCs w:val="18"/>
              </w:rPr>
              <w:t>(1)</w:t>
            </w:r>
          </w:p>
        </w:tc>
        <w:tc>
          <w:tcPr>
            <w:tcW w:w="3296" w:type="dxa"/>
            <w:shd w:val="clear" w:color="auto" w:fill="auto"/>
          </w:tcPr>
          <w:p w:rsidR="00F075FB" w:rsidRPr="00C903F8" w:rsidRDefault="00F075FB" w:rsidP="00BB7B04">
            <w:pPr>
              <w:spacing w:before="120" w:after="120" w:line="240" w:lineRule="atLeast"/>
              <w:ind w:left="0" w:firstLine="0"/>
              <w:rPr>
                <w:rFonts w:cs="Arial"/>
                <w:sz w:val="18"/>
                <w:szCs w:val="18"/>
                <w:lang w:val="en-US"/>
              </w:rPr>
            </w:pPr>
            <w:r w:rsidRPr="00C903F8">
              <w:rPr>
                <w:rFonts w:cs="Arial"/>
                <w:sz w:val="18"/>
                <w:szCs w:val="18"/>
                <w:lang w:val="en-US"/>
              </w:rPr>
              <w:t xml:space="preserve">Requirements for electrical </w:t>
            </w:r>
            <w:r>
              <w:rPr>
                <w:rFonts w:cs="Arial"/>
                <w:sz w:val="18"/>
                <w:szCs w:val="18"/>
                <w:lang w:val="en-US"/>
              </w:rPr>
              <w:t>equipment according to Article 10.20</w:t>
            </w:r>
          </w:p>
        </w:tc>
        <w:tc>
          <w:tcPr>
            <w:tcW w:w="6521" w:type="dxa"/>
            <w:shd w:val="clear" w:color="auto" w:fill="auto"/>
          </w:tcPr>
          <w:p w:rsidR="00F075FB" w:rsidRPr="00C903F8" w:rsidRDefault="00F075FB" w:rsidP="00BB7B0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B7B04">
            <w:pPr>
              <w:spacing w:before="120" w:after="12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6096" w:type="dxa"/>
            <w:gridSpan w:val="3"/>
            <w:shd w:val="clear" w:color="auto" w:fill="auto"/>
          </w:tcPr>
          <w:p w:rsidR="00F075FB" w:rsidRPr="00C903F8" w:rsidRDefault="00F075FB" w:rsidP="00BB7B04">
            <w:pPr>
              <w:spacing w:before="120" w:after="120" w:line="240" w:lineRule="atLeast"/>
              <w:ind w:left="0" w:firstLine="0"/>
              <w:jc w:val="center"/>
              <w:rPr>
                <w:rFonts w:cs="Arial"/>
                <w:sz w:val="18"/>
                <w:szCs w:val="18"/>
              </w:rPr>
            </w:pPr>
            <w:r w:rsidRPr="00C903F8">
              <w:rPr>
                <w:rFonts w:cs="Arial"/>
                <w:b/>
                <w:sz w:val="18"/>
                <w:szCs w:val="18"/>
              </w:rPr>
              <w:t>CHAPTER 7</w:t>
            </w:r>
          </w:p>
        </w:tc>
        <w:tc>
          <w:tcPr>
            <w:tcW w:w="6521" w:type="dxa"/>
            <w:shd w:val="clear" w:color="auto" w:fill="auto"/>
          </w:tcPr>
          <w:p w:rsidR="00F075FB" w:rsidRPr="00C903F8" w:rsidRDefault="00F075FB" w:rsidP="00BB7B04">
            <w:pPr>
              <w:spacing w:before="120" w:after="120" w:line="240" w:lineRule="atLeast"/>
              <w:ind w:left="0" w:firstLine="0"/>
              <w:rPr>
                <w:rFonts w:cs="Arial"/>
                <w:sz w:val="18"/>
                <w:szCs w:val="18"/>
              </w:rPr>
            </w:pPr>
          </w:p>
        </w:tc>
        <w:tc>
          <w:tcPr>
            <w:tcW w:w="1276" w:type="dxa"/>
            <w:shd w:val="clear" w:color="auto" w:fill="auto"/>
          </w:tcPr>
          <w:p w:rsidR="00F075FB" w:rsidRPr="00C903F8" w:rsidRDefault="00F075FB" w:rsidP="00BB7B04">
            <w:pPr>
              <w:spacing w:before="120" w:after="120" w:line="240" w:lineRule="atLeast"/>
              <w:ind w:left="0" w:firstLine="0"/>
              <w:rPr>
                <w:rFonts w:cs="Arial"/>
                <w:sz w:val="18"/>
                <w:szCs w:val="18"/>
              </w:rPr>
            </w:pPr>
          </w:p>
        </w:tc>
      </w:tr>
      <w:tr w:rsidR="00F075FB" w:rsidRPr="00C903F8" w:rsidTr="00196FBC">
        <w:trPr>
          <w:cantSplit/>
          <w:jc w:val="center"/>
        </w:trPr>
        <w:tc>
          <w:tcPr>
            <w:tcW w:w="1342" w:type="dxa"/>
            <w:vMerge w:val="restart"/>
            <w:shd w:val="clear" w:color="auto" w:fill="auto"/>
          </w:tcPr>
          <w:p w:rsidR="00F075FB" w:rsidRPr="00C903F8" w:rsidRDefault="00F075FB" w:rsidP="009C40EF">
            <w:pPr>
              <w:spacing w:before="120" w:after="120" w:line="240" w:lineRule="atLeast"/>
              <w:ind w:left="0" w:firstLine="0"/>
              <w:jc w:val="left"/>
              <w:rPr>
                <w:rFonts w:cs="Arial"/>
                <w:sz w:val="18"/>
                <w:szCs w:val="18"/>
              </w:rPr>
            </w:pPr>
            <w:r w:rsidRPr="00C903F8">
              <w:rPr>
                <w:rFonts w:cs="Arial"/>
                <w:sz w:val="18"/>
                <w:szCs w:val="18"/>
              </w:rPr>
              <w:t>7.02</w:t>
            </w:r>
          </w:p>
        </w:tc>
        <w:tc>
          <w:tcPr>
            <w:tcW w:w="1458" w:type="dxa"/>
            <w:shd w:val="clear" w:color="auto" w:fill="auto"/>
          </w:tcPr>
          <w:p w:rsidR="00F075FB" w:rsidRPr="00C903F8" w:rsidRDefault="00F075FB" w:rsidP="00D321F1">
            <w:pPr>
              <w:spacing w:before="120" w:after="120" w:line="240" w:lineRule="atLeast"/>
              <w:ind w:left="0" w:firstLine="0"/>
              <w:jc w:val="left"/>
              <w:rPr>
                <w:rFonts w:cs="Arial"/>
                <w:sz w:val="18"/>
                <w:szCs w:val="18"/>
              </w:rPr>
            </w:pPr>
            <w:r w:rsidRPr="00C903F8">
              <w:rPr>
                <w:rFonts w:cs="Arial"/>
                <w:sz w:val="18"/>
                <w:szCs w:val="18"/>
              </w:rPr>
              <w:t>(3) 2</w:t>
            </w:r>
            <w:r w:rsidRPr="00C903F8">
              <w:rPr>
                <w:rFonts w:cs="Arial"/>
                <w:sz w:val="18"/>
                <w:szCs w:val="18"/>
                <w:vertAlign w:val="superscript"/>
              </w:rPr>
              <w:t>nd</w:t>
            </w:r>
            <w:r w:rsidRPr="00C903F8">
              <w:rPr>
                <w:rFonts w:cs="Arial"/>
                <w:sz w:val="18"/>
                <w:szCs w:val="18"/>
              </w:rPr>
              <w:t xml:space="preserve"> subparagraph</w:t>
            </w:r>
          </w:p>
        </w:tc>
        <w:tc>
          <w:tcPr>
            <w:tcW w:w="3296" w:type="dxa"/>
            <w:shd w:val="clear" w:color="auto" w:fill="auto"/>
          </w:tcPr>
          <w:p w:rsidR="00F075FB" w:rsidRPr="00C903F8" w:rsidRDefault="00F075FB" w:rsidP="001E2331">
            <w:pPr>
              <w:spacing w:before="120" w:after="120" w:line="240" w:lineRule="atLeast"/>
              <w:ind w:left="0" w:firstLine="0"/>
              <w:rPr>
                <w:rFonts w:cs="Arial"/>
                <w:sz w:val="18"/>
                <w:szCs w:val="18"/>
                <w:lang w:val="en-US"/>
              </w:rPr>
            </w:pPr>
            <w:r w:rsidRPr="00C903F8">
              <w:rPr>
                <w:rFonts w:cs="Arial"/>
                <w:color w:val="000000"/>
                <w:sz w:val="18"/>
                <w:szCs w:val="18"/>
                <w:lang w:val="en-US"/>
              </w:rPr>
              <w:t>Unobstructed view in the helmsman's usual axis of vision</w:t>
            </w:r>
          </w:p>
        </w:tc>
        <w:tc>
          <w:tcPr>
            <w:tcW w:w="6521" w:type="dxa"/>
            <w:shd w:val="clear" w:color="auto" w:fill="auto"/>
          </w:tcPr>
          <w:p w:rsidR="00F075FB" w:rsidRPr="00C903F8" w:rsidRDefault="00F075FB" w:rsidP="001E2331">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1E2331">
            <w:pPr>
              <w:spacing w:before="120" w:after="12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1342" w:type="dxa"/>
            <w:vMerge/>
            <w:shd w:val="clear" w:color="auto" w:fill="auto"/>
          </w:tcPr>
          <w:p w:rsidR="00F075FB" w:rsidRPr="00C903F8" w:rsidRDefault="00F075FB" w:rsidP="009C40EF">
            <w:pPr>
              <w:spacing w:before="120" w:after="120" w:line="240" w:lineRule="atLeast"/>
              <w:ind w:left="0" w:firstLine="0"/>
              <w:jc w:val="left"/>
              <w:rPr>
                <w:rFonts w:cs="Arial"/>
                <w:sz w:val="18"/>
                <w:szCs w:val="18"/>
                <w:lang w:val="en-US"/>
              </w:rPr>
            </w:pPr>
          </w:p>
        </w:tc>
        <w:tc>
          <w:tcPr>
            <w:tcW w:w="1458" w:type="dxa"/>
            <w:vMerge w:val="restart"/>
            <w:shd w:val="clear" w:color="auto" w:fill="auto"/>
          </w:tcPr>
          <w:p w:rsidR="00F075FB" w:rsidRPr="00C903F8" w:rsidRDefault="00F075FB" w:rsidP="001E2331">
            <w:pPr>
              <w:spacing w:before="120" w:after="120" w:line="240" w:lineRule="atLeast"/>
              <w:ind w:left="0" w:firstLine="0"/>
              <w:rPr>
                <w:rFonts w:cs="Arial"/>
                <w:sz w:val="18"/>
                <w:szCs w:val="18"/>
                <w:lang w:val="en-US"/>
              </w:rPr>
            </w:pPr>
            <w:r w:rsidRPr="00C903F8">
              <w:rPr>
                <w:rFonts w:cs="Arial"/>
                <w:sz w:val="18"/>
                <w:szCs w:val="18"/>
                <w:lang w:val="en-US"/>
              </w:rPr>
              <w:t>(6)</w:t>
            </w:r>
          </w:p>
        </w:tc>
        <w:tc>
          <w:tcPr>
            <w:tcW w:w="3296" w:type="dxa"/>
            <w:vMerge w:val="restart"/>
            <w:shd w:val="clear" w:color="auto" w:fill="auto"/>
          </w:tcPr>
          <w:p w:rsidR="00F075FB" w:rsidRPr="00C903F8" w:rsidRDefault="00F075FB" w:rsidP="001E2331">
            <w:pPr>
              <w:spacing w:before="120" w:after="120" w:line="240" w:lineRule="atLeast"/>
              <w:ind w:left="0" w:firstLine="0"/>
              <w:rPr>
                <w:rFonts w:cs="Arial"/>
                <w:sz w:val="18"/>
                <w:szCs w:val="18"/>
                <w:lang w:val="en-US"/>
              </w:rPr>
            </w:pPr>
            <w:r w:rsidRPr="00C903F8">
              <w:rPr>
                <w:rFonts w:cs="Arial"/>
                <w:sz w:val="18"/>
                <w:szCs w:val="18"/>
                <w:lang w:val="en-US"/>
              </w:rPr>
              <w:t>Minimal light transmission</w:t>
            </w:r>
          </w:p>
        </w:tc>
        <w:tc>
          <w:tcPr>
            <w:tcW w:w="6521" w:type="dxa"/>
            <w:shd w:val="clear" w:color="auto" w:fill="auto"/>
          </w:tcPr>
          <w:p w:rsidR="00F075FB" w:rsidRPr="00C903F8" w:rsidRDefault="00F075FB" w:rsidP="001E2331">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1E2331">
            <w:pPr>
              <w:spacing w:before="120" w:after="120" w:line="240" w:lineRule="atLeast"/>
              <w:ind w:left="0" w:firstLine="0"/>
              <w:rPr>
                <w:rFonts w:cs="Arial"/>
                <w:sz w:val="18"/>
                <w:szCs w:val="18"/>
                <w:lang w:val="en-US"/>
              </w:rPr>
            </w:pPr>
            <w:r w:rsidRPr="00C903F8">
              <w:rPr>
                <w:rFonts w:cs="Arial"/>
                <w:sz w:val="18"/>
                <w:szCs w:val="18"/>
                <w:lang w:val="en-US"/>
              </w:rPr>
              <w:t>1.1.2010</w:t>
            </w:r>
          </w:p>
        </w:tc>
      </w:tr>
      <w:tr w:rsidR="00F075FB" w:rsidRPr="00296858" w:rsidTr="00196FBC">
        <w:trPr>
          <w:cantSplit/>
          <w:jc w:val="center"/>
        </w:trPr>
        <w:tc>
          <w:tcPr>
            <w:tcW w:w="1342" w:type="dxa"/>
            <w:vMerge/>
            <w:shd w:val="clear" w:color="auto" w:fill="auto"/>
          </w:tcPr>
          <w:p w:rsidR="00F075FB" w:rsidRPr="00C903F8" w:rsidRDefault="00F075FB" w:rsidP="009C40EF">
            <w:pPr>
              <w:spacing w:before="120" w:after="120" w:line="240" w:lineRule="atLeast"/>
              <w:ind w:left="0" w:firstLine="0"/>
              <w:jc w:val="left"/>
              <w:rPr>
                <w:rFonts w:cs="Arial"/>
                <w:sz w:val="18"/>
                <w:szCs w:val="18"/>
                <w:lang w:val="en-US"/>
              </w:rPr>
            </w:pPr>
          </w:p>
        </w:tc>
        <w:tc>
          <w:tcPr>
            <w:tcW w:w="1458" w:type="dxa"/>
            <w:vMerge/>
            <w:shd w:val="clear" w:color="auto" w:fill="auto"/>
          </w:tcPr>
          <w:p w:rsidR="00F075FB" w:rsidRPr="00C903F8" w:rsidRDefault="00F075FB" w:rsidP="001E2331">
            <w:pPr>
              <w:spacing w:before="120" w:after="120" w:line="240" w:lineRule="atLeast"/>
              <w:ind w:left="0" w:firstLine="0"/>
              <w:rPr>
                <w:rFonts w:cs="Arial"/>
                <w:sz w:val="18"/>
                <w:szCs w:val="18"/>
                <w:lang w:val="en-US"/>
              </w:rPr>
            </w:pPr>
          </w:p>
        </w:tc>
        <w:tc>
          <w:tcPr>
            <w:tcW w:w="3296" w:type="dxa"/>
            <w:vMerge/>
            <w:shd w:val="clear" w:color="auto" w:fill="auto"/>
          </w:tcPr>
          <w:p w:rsidR="00F075FB" w:rsidRPr="00C903F8" w:rsidRDefault="00F075FB" w:rsidP="001E2331">
            <w:pPr>
              <w:spacing w:before="120" w:after="120" w:line="240" w:lineRule="atLeast"/>
              <w:ind w:left="0" w:firstLine="0"/>
              <w:rPr>
                <w:rFonts w:cs="Arial"/>
                <w:sz w:val="18"/>
                <w:szCs w:val="18"/>
                <w:lang w:val="en-US"/>
              </w:rPr>
            </w:pPr>
          </w:p>
        </w:tc>
        <w:tc>
          <w:tcPr>
            <w:tcW w:w="6521" w:type="dxa"/>
            <w:shd w:val="clear" w:color="auto" w:fill="auto"/>
          </w:tcPr>
          <w:p w:rsidR="00F075FB" w:rsidRPr="00C903F8" w:rsidRDefault="00F075FB" w:rsidP="001E2331">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for vessels with tinted windows satisfying the following conditions:</w:t>
            </w:r>
          </w:p>
          <w:p w:rsidR="00F075FB" w:rsidRPr="00C903F8" w:rsidRDefault="00F075FB" w:rsidP="001E2331">
            <w:pPr>
              <w:spacing w:before="120" w:after="120" w:line="240" w:lineRule="atLeast"/>
              <w:ind w:left="262" w:hanging="262"/>
              <w:rPr>
                <w:rFonts w:cs="Arial"/>
                <w:sz w:val="18"/>
                <w:szCs w:val="18"/>
                <w:lang w:val="en-US"/>
              </w:rPr>
            </w:pPr>
            <w:r w:rsidRPr="00C903F8">
              <w:rPr>
                <w:rFonts w:cs="Arial"/>
                <w:sz w:val="18"/>
                <w:szCs w:val="18"/>
                <w:lang w:val="en-US"/>
              </w:rPr>
              <w:t>-</w:t>
            </w:r>
            <w:r w:rsidRPr="00C903F8">
              <w:rPr>
                <w:rFonts w:cs="Arial"/>
                <w:sz w:val="18"/>
                <w:szCs w:val="18"/>
                <w:lang w:val="en-US"/>
              </w:rPr>
              <w:tab/>
              <w:t>The windows are tinted green and exhibit a minimum light transmission of 60 %,</w:t>
            </w:r>
          </w:p>
          <w:p w:rsidR="00F075FB" w:rsidRPr="00C903F8" w:rsidRDefault="00F075FB" w:rsidP="001E2331">
            <w:pPr>
              <w:spacing w:before="120" w:after="120" w:line="240" w:lineRule="atLeast"/>
              <w:ind w:left="262" w:hanging="262"/>
              <w:rPr>
                <w:rFonts w:cs="Arial"/>
                <w:sz w:val="18"/>
                <w:szCs w:val="18"/>
                <w:lang w:val="en-US"/>
              </w:rPr>
            </w:pPr>
            <w:r w:rsidRPr="00C903F8">
              <w:rPr>
                <w:rFonts w:cs="Arial"/>
                <w:sz w:val="18"/>
                <w:szCs w:val="18"/>
                <w:lang w:val="en-US"/>
              </w:rPr>
              <w:t>-</w:t>
            </w:r>
            <w:r w:rsidRPr="00C903F8">
              <w:rPr>
                <w:rFonts w:cs="Arial"/>
                <w:sz w:val="18"/>
                <w:szCs w:val="18"/>
                <w:lang w:val="en-US"/>
              </w:rPr>
              <w:tab/>
              <w:t>The wheelhouse ceiling is so designed as to preclude reflections on the windows,</w:t>
            </w:r>
          </w:p>
          <w:p w:rsidR="00F075FB" w:rsidRPr="00C903F8" w:rsidRDefault="00F075FB" w:rsidP="001E2331">
            <w:pPr>
              <w:spacing w:before="120" w:after="120" w:line="240" w:lineRule="atLeast"/>
              <w:ind w:left="262" w:hanging="262"/>
              <w:rPr>
                <w:rFonts w:cs="Arial"/>
                <w:sz w:val="18"/>
                <w:szCs w:val="18"/>
                <w:lang w:val="en-US"/>
              </w:rPr>
            </w:pPr>
            <w:r w:rsidRPr="00C903F8">
              <w:rPr>
                <w:rFonts w:cs="Arial"/>
                <w:sz w:val="18"/>
                <w:szCs w:val="18"/>
                <w:lang w:val="en-US"/>
              </w:rPr>
              <w:t>-</w:t>
            </w:r>
            <w:r w:rsidRPr="00C903F8">
              <w:rPr>
                <w:rFonts w:cs="Arial"/>
                <w:sz w:val="18"/>
                <w:szCs w:val="18"/>
                <w:lang w:val="en-US"/>
              </w:rPr>
              <w:tab/>
              <w:t>Light sources in the wheelhouse must be steplessly dimmable or capable of being switched off,</w:t>
            </w:r>
          </w:p>
          <w:p w:rsidR="00F075FB" w:rsidRPr="00C903F8" w:rsidRDefault="00F075FB" w:rsidP="001E2331">
            <w:pPr>
              <w:spacing w:before="120" w:after="120" w:line="240" w:lineRule="atLeast"/>
              <w:ind w:left="262" w:hanging="262"/>
              <w:rPr>
                <w:rFonts w:cs="Arial"/>
                <w:sz w:val="18"/>
                <w:szCs w:val="18"/>
                <w:lang w:val="en-US"/>
              </w:rPr>
            </w:pPr>
            <w:r w:rsidRPr="00C903F8">
              <w:rPr>
                <w:rFonts w:cs="Arial"/>
                <w:sz w:val="18"/>
                <w:szCs w:val="18"/>
                <w:lang w:val="en-US"/>
              </w:rPr>
              <w:t>-</w:t>
            </w:r>
            <w:r w:rsidRPr="00C903F8">
              <w:rPr>
                <w:rFonts w:cs="Arial"/>
                <w:sz w:val="18"/>
                <w:szCs w:val="18"/>
                <w:lang w:val="en-US"/>
              </w:rPr>
              <w:tab/>
              <w:t>All reasonable measures to avoid other reflections have been taken.</w:t>
            </w:r>
          </w:p>
        </w:tc>
        <w:tc>
          <w:tcPr>
            <w:tcW w:w="1276" w:type="dxa"/>
            <w:shd w:val="clear" w:color="auto" w:fill="auto"/>
          </w:tcPr>
          <w:p w:rsidR="00F075FB" w:rsidRPr="00C903F8" w:rsidRDefault="00F075FB" w:rsidP="001E2331">
            <w:pPr>
              <w:spacing w:before="120" w:after="120" w:line="240" w:lineRule="atLeast"/>
              <w:ind w:left="0" w:firstLine="0"/>
              <w:rPr>
                <w:rFonts w:cs="Arial"/>
                <w:sz w:val="18"/>
                <w:szCs w:val="18"/>
                <w:lang w:val="en-US"/>
              </w:rPr>
            </w:pPr>
          </w:p>
        </w:tc>
      </w:tr>
      <w:tr w:rsidR="00F075FB" w:rsidRPr="00C903F8" w:rsidTr="00196FBC">
        <w:trPr>
          <w:cantSplit/>
          <w:jc w:val="center"/>
        </w:trPr>
        <w:tc>
          <w:tcPr>
            <w:tcW w:w="1342" w:type="dxa"/>
            <w:vMerge/>
            <w:shd w:val="clear" w:color="auto" w:fill="auto"/>
          </w:tcPr>
          <w:p w:rsidR="00F075FB" w:rsidRPr="00C903F8" w:rsidRDefault="00F075FB" w:rsidP="009C40EF">
            <w:pPr>
              <w:spacing w:before="120" w:after="120" w:line="240" w:lineRule="atLeast"/>
              <w:ind w:left="0" w:firstLine="0"/>
              <w:jc w:val="left"/>
              <w:rPr>
                <w:rFonts w:cs="Arial"/>
                <w:sz w:val="18"/>
                <w:szCs w:val="18"/>
                <w:lang w:val="en-US"/>
              </w:rPr>
            </w:pPr>
          </w:p>
        </w:tc>
        <w:tc>
          <w:tcPr>
            <w:tcW w:w="1458" w:type="dxa"/>
            <w:shd w:val="clear" w:color="auto" w:fill="auto"/>
          </w:tcPr>
          <w:p w:rsidR="00F075FB" w:rsidRPr="00C903F8" w:rsidRDefault="00F075FB" w:rsidP="001E2331">
            <w:pPr>
              <w:spacing w:before="120" w:after="120"/>
              <w:rPr>
                <w:rFonts w:cs="Arial"/>
                <w:sz w:val="18"/>
                <w:szCs w:val="18"/>
              </w:rPr>
            </w:pPr>
            <w:r w:rsidRPr="00C903F8">
              <w:rPr>
                <w:rFonts w:cs="Arial"/>
                <w:sz w:val="18"/>
                <w:szCs w:val="18"/>
              </w:rPr>
              <w:t>(6)</w:t>
            </w:r>
          </w:p>
        </w:tc>
        <w:tc>
          <w:tcPr>
            <w:tcW w:w="3296" w:type="dxa"/>
            <w:shd w:val="clear" w:color="auto" w:fill="auto"/>
          </w:tcPr>
          <w:p w:rsidR="00F075FB" w:rsidRPr="00C903F8" w:rsidRDefault="00F075FB" w:rsidP="001E2331">
            <w:pPr>
              <w:spacing w:before="120" w:after="120"/>
              <w:rPr>
                <w:rFonts w:cs="Arial"/>
                <w:sz w:val="18"/>
                <w:szCs w:val="18"/>
              </w:rPr>
            </w:pPr>
            <w:r w:rsidRPr="00C903F8">
              <w:rPr>
                <w:rFonts w:cs="Arial"/>
                <w:sz w:val="18"/>
                <w:szCs w:val="18"/>
              </w:rPr>
              <w:t>Safety glass design</w:t>
            </w:r>
          </w:p>
        </w:tc>
        <w:tc>
          <w:tcPr>
            <w:tcW w:w="6521" w:type="dxa"/>
            <w:shd w:val="clear" w:color="auto" w:fill="auto"/>
          </w:tcPr>
          <w:p w:rsidR="00F075FB" w:rsidRPr="00C903F8" w:rsidRDefault="00F075FB" w:rsidP="001E2331">
            <w:pPr>
              <w:spacing w:before="120" w:after="120"/>
              <w:rPr>
                <w:rFonts w:cs="Arial"/>
                <w:sz w:val="18"/>
                <w:szCs w:val="18"/>
              </w:rPr>
            </w:pPr>
            <w:r>
              <w:rPr>
                <w:rFonts w:cs="Arial"/>
                <w:sz w:val="18"/>
                <w:szCs w:val="18"/>
              </w:rPr>
              <w:t>N.R.C.</w:t>
            </w:r>
          </w:p>
        </w:tc>
        <w:tc>
          <w:tcPr>
            <w:tcW w:w="1276" w:type="dxa"/>
            <w:shd w:val="clear" w:color="auto" w:fill="auto"/>
          </w:tcPr>
          <w:p w:rsidR="00F075FB" w:rsidRPr="00C903F8" w:rsidRDefault="00F075FB" w:rsidP="001E2331">
            <w:pPr>
              <w:spacing w:before="120" w:after="120" w:line="240" w:lineRule="atLeast"/>
              <w:ind w:left="0" w:firstLine="0"/>
              <w:rPr>
                <w:rFonts w:cs="Arial"/>
                <w:sz w:val="18"/>
                <w:szCs w:val="18"/>
              </w:rPr>
            </w:pPr>
          </w:p>
        </w:tc>
      </w:tr>
      <w:tr w:rsidR="00F075FB" w:rsidRPr="00296858" w:rsidTr="00196FBC">
        <w:trPr>
          <w:cantSplit/>
          <w:jc w:val="center"/>
        </w:trPr>
        <w:tc>
          <w:tcPr>
            <w:tcW w:w="1342" w:type="dxa"/>
            <w:vMerge w:val="restart"/>
            <w:shd w:val="clear" w:color="auto" w:fill="auto"/>
          </w:tcPr>
          <w:p w:rsidR="00F075FB" w:rsidRPr="00C903F8" w:rsidRDefault="00F075FB" w:rsidP="009C40EF">
            <w:pPr>
              <w:spacing w:before="120" w:after="120" w:line="240" w:lineRule="atLeast"/>
              <w:ind w:left="0" w:firstLine="0"/>
              <w:jc w:val="left"/>
              <w:rPr>
                <w:rFonts w:cs="Arial"/>
                <w:sz w:val="18"/>
                <w:szCs w:val="18"/>
              </w:rPr>
            </w:pPr>
            <w:r w:rsidRPr="00C903F8">
              <w:rPr>
                <w:rFonts w:cs="Arial"/>
                <w:sz w:val="18"/>
                <w:szCs w:val="18"/>
              </w:rPr>
              <w:t>7.03</w:t>
            </w:r>
          </w:p>
        </w:tc>
        <w:tc>
          <w:tcPr>
            <w:tcW w:w="1458" w:type="dxa"/>
            <w:shd w:val="clear" w:color="auto" w:fill="auto"/>
          </w:tcPr>
          <w:p w:rsidR="00F075FB" w:rsidRPr="00C903F8" w:rsidRDefault="00F075FB" w:rsidP="001E2331">
            <w:pPr>
              <w:spacing w:before="120" w:after="120" w:line="240" w:lineRule="atLeast"/>
              <w:ind w:left="0" w:firstLine="0"/>
              <w:rPr>
                <w:rFonts w:cs="Arial"/>
                <w:sz w:val="18"/>
                <w:szCs w:val="18"/>
              </w:rPr>
            </w:pPr>
            <w:r w:rsidRPr="00C903F8">
              <w:rPr>
                <w:rFonts w:cs="Arial"/>
                <w:sz w:val="18"/>
                <w:szCs w:val="18"/>
              </w:rPr>
              <w:t>(7)</w:t>
            </w:r>
          </w:p>
        </w:tc>
        <w:tc>
          <w:tcPr>
            <w:tcW w:w="3296" w:type="dxa"/>
            <w:shd w:val="clear" w:color="auto" w:fill="auto"/>
          </w:tcPr>
          <w:p w:rsidR="00F075FB" w:rsidRPr="00C903F8" w:rsidRDefault="00F075FB" w:rsidP="001E2331">
            <w:pPr>
              <w:spacing w:before="120" w:after="120" w:line="240" w:lineRule="atLeast"/>
              <w:ind w:left="0" w:firstLine="0"/>
              <w:rPr>
                <w:rFonts w:cs="Arial"/>
                <w:sz w:val="18"/>
                <w:szCs w:val="18"/>
              </w:rPr>
            </w:pPr>
            <w:r w:rsidRPr="00C903F8">
              <w:rPr>
                <w:rFonts w:cs="Arial"/>
                <w:sz w:val="18"/>
                <w:szCs w:val="18"/>
              </w:rPr>
              <w:t>Shutdown of alarms</w:t>
            </w:r>
          </w:p>
        </w:tc>
        <w:tc>
          <w:tcPr>
            <w:tcW w:w="6521" w:type="dxa"/>
            <w:shd w:val="clear" w:color="auto" w:fill="auto"/>
          </w:tcPr>
          <w:p w:rsidR="00F075FB" w:rsidRPr="00C903F8" w:rsidRDefault="00F075FB" w:rsidP="001E2331">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w:t>
            </w:r>
            <w:r w:rsidRPr="00C903F8">
              <w:rPr>
                <w:rFonts w:cs="Arial"/>
                <w:noProof/>
                <w:sz w:val="18"/>
                <w:szCs w:val="18"/>
                <w:lang w:val="en-US"/>
              </w:rPr>
              <w:t>unless the wheelhouse has been designed for radar navigation by one person</w:t>
            </w:r>
            <w:r>
              <w:rPr>
                <w:rFonts w:cs="Arial"/>
                <w:noProof/>
                <w:sz w:val="18"/>
                <w:szCs w:val="18"/>
                <w:lang w:val="en-US"/>
              </w:rPr>
              <w:t>.</w:t>
            </w:r>
          </w:p>
        </w:tc>
        <w:tc>
          <w:tcPr>
            <w:tcW w:w="1276" w:type="dxa"/>
            <w:shd w:val="clear" w:color="auto" w:fill="auto"/>
          </w:tcPr>
          <w:p w:rsidR="00F075FB" w:rsidRPr="00C903F8" w:rsidRDefault="00F075FB" w:rsidP="001E2331">
            <w:pPr>
              <w:spacing w:before="120" w:after="120" w:line="240" w:lineRule="atLeast"/>
              <w:ind w:left="0" w:firstLine="0"/>
              <w:rPr>
                <w:rFonts w:cs="Arial"/>
                <w:sz w:val="18"/>
                <w:szCs w:val="18"/>
                <w:lang w:val="en-US"/>
              </w:rPr>
            </w:pPr>
          </w:p>
        </w:tc>
      </w:tr>
      <w:tr w:rsidR="00F075FB" w:rsidRPr="00C903F8" w:rsidTr="00196FBC">
        <w:trPr>
          <w:cantSplit/>
          <w:jc w:val="center"/>
        </w:trPr>
        <w:tc>
          <w:tcPr>
            <w:tcW w:w="1342" w:type="dxa"/>
            <w:vMerge/>
            <w:shd w:val="clear" w:color="auto" w:fill="auto"/>
          </w:tcPr>
          <w:p w:rsidR="00F075FB" w:rsidRPr="00C903F8" w:rsidRDefault="00F075FB" w:rsidP="001E2331">
            <w:pPr>
              <w:spacing w:before="120" w:after="120" w:line="240" w:lineRule="atLeast"/>
              <w:ind w:left="0" w:firstLine="0"/>
              <w:rPr>
                <w:rFonts w:cs="Arial"/>
                <w:sz w:val="18"/>
                <w:szCs w:val="18"/>
                <w:lang w:val="en-US"/>
              </w:rPr>
            </w:pPr>
          </w:p>
        </w:tc>
        <w:tc>
          <w:tcPr>
            <w:tcW w:w="1458" w:type="dxa"/>
            <w:shd w:val="clear" w:color="auto" w:fill="auto"/>
          </w:tcPr>
          <w:p w:rsidR="00F075FB" w:rsidRPr="00C903F8" w:rsidRDefault="00F075FB" w:rsidP="001E2331">
            <w:pPr>
              <w:spacing w:before="120" w:after="120" w:line="240" w:lineRule="atLeast"/>
              <w:ind w:left="0" w:firstLine="0"/>
              <w:rPr>
                <w:rFonts w:cs="Arial"/>
                <w:sz w:val="18"/>
                <w:szCs w:val="18"/>
              </w:rPr>
            </w:pPr>
            <w:r w:rsidRPr="00C903F8">
              <w:rPr>
                <w:rFonts w:cs="Arial"/>
                <w:sz w:val="18"/>
                <w:szCs w:val="18"/>
              </w:rPr>
              <w:t>(8)</w:t>
            </w:r>
          </w:p>
        </w:tc>
        <w:tc>
          <w:tcPr>
            <w:tcW w:w="3296" w:type="dxa"/>
            <w:shd w:val="clear" w:color="auto" w:fill="auto"/>
          </w:tcPr>
          <w:p w:rsidR="00F075FB" w:rsidRPr="009942A5" w:rsidRDefault="00F075FB" w:rsidP="001E2331">
            <w:pPr>
              <w:spacing w:before="120" w:after="120" w:line="240" w:lineRule="atLeast"/>
              <w:ind w:left="0" w:firstLine="0"/>
              <w:rPr>
                <w:rFonts w:cs="Arial"/>
                <w:sz w:val="18"/>
                <w:szCs w:val="18"/>
                <w:lang w:val="en-US"/>
              </w:rPr>
            </w:pPr>
            <w:r w:rsidRPr="009942A5">
              <w:rPr>
                <w:rFonts w:cs="Arial"/>
                <w:sz w:val="18"/>
                <w:szCs w:val="18"/>
                <w:lang w:val="en-US"/>
              </w:rPr>
              <w:t>Automatic switch to another power source</w:t>
            </w:r>
          </w:p>
        </w:tc>
        <w:tc>
          <w:tcPr>
            <w:tcW w:w="6521" w:type="dxa"/>
            <w:shd w:val="clear" w:color="auto" w:fill="auto"/>
          </w:tcPr>
          <w:p w:rsidR="00F075FB" w:rsidRPr="00C903F8" w:rsidRDefault="00F075FB" w:rsidP="001E2331">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1E2331">
            <w:pPr>
              <w:spacing w:before="120" w:after="120" w:line="240" w:lineRule="atLeast"/>
              <w:ind w:left="0" w:firstLine="0"/>
              <w:rPr>
                <w:rFonts w:cs="Arial"/>
                <w:sz w:val="18"/>
                <w:szCs w:val="18"/>
              </w:rPr>
            </w:pPr>
            <w:r w:rsidRPr="00C903F8">
              <w:rPr>
                <w:rFonts w:cs="Arial"/>
                <w:sz w:val="18"/>
                <w:szCs w:val="18"/>
              </w:rPr>
              <w:t>1.1.2010</w:t>
            </w:r>
          </w:p>
        </w:tc>
      </w:tr>
      <w:tr w:rsidR="00F075FB" w:rsidRPr="00296858" w:rsidTr="00196FBC">
        <w:trPr>
          <w:cantSplit/>
          <w:jc w:val="center"/>
        </w:trPr>
        <w:tc>
          <w:tcPr>
            <w:tcW w:w="1342" w:type="dxa"/>
            <w:vMerge w:val="restart"/>
            <w:shd w:val="clear" w:color="auto" w:fill="auto"/>
          </w:tcPr>
          <w:p w:rsidR="00F075FB" w:rsidRPr="00C903F8" w:rsidRDefault="00F075FB" w:rsidP="009C40EF">
            <w:pPr>
              <w:spacing w:before="80" w:after="80" w:line="240" w:lineRule="atLeast"/>
              <w:ind w:left="0" w:firstLine="0"/>
              <w:jc w:val="left"/>
              <w:rPr>
                <w:rFonts w:cs="Arial"/>
                <w:sz w:val="18"/>
                <w:szCs w:val="18"/>
              </w:rPr>
            </w:pPr>
            <w:r w:rsidRPr="00C903F8">
              <w:rPr>
                <w:rFonts w:cs="Arial"/>
                <w:sz w:val="18"/>
                <w:szCs w:val="18"/>
              </w:rPr>
              <w:lastRenderedPageBreak/>
              <w:t>7.04</w:t>
            </w:r>
          </w:p>
        </w:tc>
        <w:tc>
          <w:tcPr>
            <w:tcW w:w="1458" w:type="dxa"/>
            <w:shd w:val="clear" w:color="auto" w:fill="auto"/>
          </w:tcPr>
          <w:p w:rsidR="00F075FB" w:rsidRPr="00C903F8" w:rsidRDefault="00F075FB" w:rsidP="00740370">
            <w:pPr>
              <w:spacing w:before="80" w:after="80" w:line="240" w:lineRule="atLeast"/>
              <w:ind w:left="0" w:firstLine="0"/>
              <w:rPr>
                <w:rFonts w:cs="Arial"/>
                <w:sz w:val="18"/>
                <w:szCs w:val="18"/>
              </w:rPr>
            </w:pPr>
            <w:r w:rsidRPr="00C903F8">
              <w:rPr>
                <w:rFonts w:cs="Arial"/>
                <w:sz w:val="18"/>
                <w:szCs w:val="18"/>
              </w:rPr>
              <w:t>(2)</w:t>
            </w:r>
          </w:p>
        </w:tc>
        <w:tc>
          <w:tcPr>
            <w:tcW w:w="3296" w:type="dxa"/>
            <w:shd w:val="clear" w:color="auto" w:fill="auto"/>
          </w:tcPr>
          <w:p w:rsidR="00F075FB" w:rsidRPr="00C903F8" w:rsidRDefault="00F075FB" w:rsidP="00740370">
            <w:pPr>
              <w:spacing w:before="80" w:after="80" w:line="240" w:lineRule="atLeast"/>
              <w:ind w:left="0" w:firstLine="0"/>
              <w:rPr>
                <w:rFonts w:cs="Arial"/>
                <w:sz w:val="18"/>
                <w:szCs w:val="18"/>
                <w:lang w:val="en-US"/>
              </w:rPr>
            </w:pPr>
            <w:r w:rsidRPr="00C903F8">
              <w:rPr>
                <w:rFonts w:cs="Arial"/>
                <w:noProof/>
                <w:sz w:val="18"/>
                <w:szCs w:val="18"/>
                <w:lang w:val="en-US"/>
              </w:rPr>
              <w:t>Control of each main engine</w:t>
            </w:r>
          </w:p>
        </w:tc>
        <w:tc>
          <w:tcPr>
            <w:tcW w:w="6521" w:type="dxa"/>
            <w:shd w:val="clear" w:color="auto" w:fill="auto"/>
          </w:tcPr>
          <w:p w:rsidR="00F075FB" w:rsidRPr="00C903F8" w:rsidRDefault="00F075FB" w:rsidP="00740370">
            <w:pPr>
              <w:spacing w:before="80" w:after="80" w:line="240" w:lineRule="atLeast"/>
              <w:ind w:left="0" w:firstLine="0"/>
              <w:rPr>
                <w:rFonts w:cs="Arial"/>
                <w:sz w:val="18"/>
                <w:szCs w:val="18"/>
                <w:lang w:val="en-US"/>
              </w:rPr>
            </w:pPr>
            <w:r w:rsidRPr="00C903F8">
              <w:rPr>
                <w:rFonts w:cs="Arial"/>
                <w:noProof/>
                <w:sz w:val="18"/>
                <w:szCs w:val="18"/>
                <w:lang w:val="en-US"/>
              </w:rPr>
              <w:t xml:space="preserve">Unless wheelhouses have been designed for radar navigation by one person: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40370">
            <w:pPr>
              <w:spacing w:before="80" w:after="80" w:line="240" w:lineRule="atLeast"/>
              <w:ind w:left="0" w:firstLine="0"/>
              <w:rPr>
                <w:rFonts w:cs="Arial"/>
                <w:sz w:val="18"/>
                <w:szCs w:val="18"/>
                <w:lang w:val="en-US"/>
              </w:rPr>
            </w:pPr>
            <w:r w:rsidRPr="00C903F8">
              <w:rPr>
                <w:rFonts w:cs="Arial"/>
                <w:sz w:val="18"/>
                <w:szCs w:val="18"/>
                <w:lang w:val="en-US"/>
              </w:rPr>
              <w:t xml:space="preserve">1.1.2035 </w:t>
            </w:r>
            <w:r w:rsidRPr="00C903F8">
              <w:rPr>
                <w:rFonts w:cs="Arial"/>
                <w:sz w:val="18"/>
                <w:szCs w:val="18"/>
                <w:lang w:val="en-US"/>
              </w:rPr>
              <w:br/>
            </w:r>
            <w:r w:rsidRPr="00C903F8">
              <w:rPr>
                <w:rFonts w:cs="Arial"/>
                <w:noProof/>
                <w:sz w:val="18"/>
                <w:szCs w:val="18"/>
                <w:lang w:val="en-US"/>
              </w:rPr>
              <w:t>if the direction of motion can be achieved directly</w:t>
            </w:r>
            <w:r w:rsidRPr="00C903F8">
              <w:rPr>
                <w:rFonts w:cs="Arial"/>
                <w:noProof/>
                <w:sz w:val="18"/>
                <w:szCs w:val="18"/>
                <w:lang w:val="en-US"/>
              </w:rPr>
              <w:br/>
            </w:r>
            <w:r w:rsidRPr="00C903F8">
              <w:rPr>
                <w:rFonts w:cs="Arial"/>
                <w:sz w:val="18"/>
                <w:szCs w:val="18"/>
                <w:lang w:val="en-US"/>
              </w:rPr>
              <w:t xml:space="preserve">1.1.2010 </w:t>
            </w:r>
            <w:r w:rsidRPr="00C903F8">
              <w:rPr>
                <w:rFonts w:cs="Arial"/>
                <w:sz w:val="18"/>
                <w:szCs w:val="18"/>
                <w:lang w:val="en-US"/>
              </w:rPr>
              <w:br/>
            </w:r>
            <w:r w:rsidRPr="00C903F8">
              <w:rPr>
                <w:rFonts w:cs="Arial"/>
                <w:noProof/>
                <w:sz w:val="18"/>
                <w:szCs w:val="18"/>
                <w:lang w:val="en-US"/>
              </w:rPr>
              <w:t>for other engines</w:t>
            </w:r>
          </w:p>
        </w:tc>
      </w:tr>
      <w:tr w:rsidR="00F075FB" w:rsidRPr="00C903F8" w:rsidTr="00196FBC">
        <w:trPr>
          <w:cantSplit/>
          <w:jc w:val="center"/>
        </w:trPr>
        <w:tc>
          <w:tcPr>
            <w:tcW w:w="1342" w:type="dxa"/>
            <w:vMerge/>
            <w:shd w:val="clear" w:color="auto" w:fill="auto"/>
          </w:tcPr>
          <w:p w:rsidR="00F075FB" w:rsidRPr="00C903F8" w:rsidRDefault="00F075FB" w:rsidP="009C40EF">
            <w:pPr>
              <w:spacing w:before="80" w:after="80" w:line="240" w:lineRule="atLeast"/>
              <w:ind w:left="0" w:firstLine="0"/>
              <w:jc w:val="left"/>
              <w:rPr>
                <w:rFonts w:cs="Arial"/>
                <w:sz w:val="18"/>
                <w:szCs w:val="18"/>
                <w:lang w:val="en-US"/>
              </w:rPr>
            </w:pPr>
          </w:p>
        </w:tc>
        <w:tc>
          <w:tcPr>
            <w:tcW w:w="1458" w:type="dxa"/>
            <w:shd w:val="clear" w:color="auto" w:fill="auto"/>
          </w:tcPr>
          <w:p w:rsidR="00F075FB" w:rsidRPr="00C903F8" w:rsidRDefault="00F075FB" w:rsidP="00740370">
            <w:pPr>
              <w:spacing w:before="80" w:after="80" w:line="240" w:lineRule="atLeast"/>
              <w:ind w:left="0" w:firstLine="0"/>
              <w:rPr>
                <w:rFonts w:cs="Arial"/>
                <w:sz w:val="18"/>
                <w:szCs w:val="18"/>
              </w:rPr>
            </w:pPr>
            <w:r w:rsidRPr="00C903F8">
              <w:rPr>
                <w:rFonts w:cs="Arial"/>
                <w:sz w:val="18"/>
                <w:szCs w:val="18"/>
              </w:rPr>
              <w:t>(3)</w:t>
            </w:r>
          </w:p>
        </w:tc>
        <w:tc>
          <w:tcPr>
            <w:tcW w:w="3296" w:type="dxa"/>
            <w:shd w:val="clear" w:color="auto" w:fill="auto"/>
          </w:tcPr>
          <w:p w:rsidR="00F075FB" w:rsidRPr="00C903F8" w:rsidRDefault="00F075FB" w:rsidP="00740370">
            <w:pPr>
              <w:spacing w:before="80" w:after="80" w:line="240" w:lineRule="atLeast"/>
              <w:ind w:left="0" w:firstLine="0"/>
              <w:rPr>
                <w:rFonts w:cs="Arial"/>
                <w:sz w:val="18"/>
                <w:szCs w:val="18"/>
              </w:rPr>
            </w:pPr>
            <w:r w:rsidRPr="00C903F8">
              <w:rPr>
                <w:rFonts w:cs="Arial"/>
                <w:noProof/>
                <w:sz w:val="18"/>
                <w:szCs w:val="18"/>
              </w:rPr>
              <w:t>Display</w:t>
            </w:r>
          </w:p>
        </w:tc>
        <w:tc>
          <w:tcPr>
            <w:tcW w:w="6521" w:type="dxa"/>
            <w:shd w:val="clear" w:color="auto" w:fill="auto"/>
          </w:tcPr>
          <w:p w:rsidR="00F075FB" w:rsidRPr="00C903F8" w:rsidRDefault="00F075FB" w:rsidP="00740370">
            <w:pPr>
              <w:spacing w:before="80" w:after="80" w:line="240" w:lineRule="atLeast"/>
              <w:ind w:left="0" w:firstLine="0"/>
              <w:rPr>
                <w:rFonts w:cs="Arial"/>
                <w:sz w:val="18"/>
                <w:szCs w:val="18"/>
                <w:lang w:val="en-US"/>
              </w:rPr>
            </w:pPr>
            <w:r w:rsidRPr="00C903F8">
              <w:rPr>
                <w:rFonts w:cs="Arial"/>
                <w:noProof/>
                <w:sz w:val="18"/>
                <w:szCs w:val="18"/>
                <w:lang w:val="en-US"/>
              </w:rPr>
              <w:t xml:space="preserve">Unless wheelhouses have been designed for radar navigation by one person: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40370">
            <w:pPr>
              <w:spacing w:before="80" w:after="8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vMerge/>
            <w:shd w:val="clear" w:color="auto" w:fill="auto"/>
          </w:tcPr>
          <w:p w:rsidR="00F075FB" w:rsidRPr="00C903F8" w:rsidRDefault="00F075FB" w:rsidP="009C40EF">
            <w:pPr>
              <w:spacing w:before="80" w:after="80" w:line="240" w:lineRule="atLeast"/>
              <w:ind w:left="0" w:firstLine="0"/>
              <w:jc w:val="left"/>
              <w:rPr>
                <w:rFonts w:cs="Arial"/>
                <w:sz w:val="18"/>
                <w:szCs w:val="18"/>
              </w:rPr>
            </w:pPr>
          </w:p>
        </w:tc>
        <w:tc>
          <w:tcPr>
            <w:tcW w:w="1458" w:type="dxa"/>
            <w:shd w:val="clear" w:color="auto" w:fill="auto"/>
          </w:tcPr>
          <w:p w:rsidR="00F075FB" w:rsidRPr="00C903F8" w:rsidRDefault="00F075FB" w:rsidP="00740370">
            <w:pPr>
              <w:spacing w:before="80" w:after="80" w:line="240" w:lineRule="atLeast"/>
              <w:ind w:left="0" w:firstLine="0"/>
              <w:jc w:val="left"/>
              <w:rPr>
                <w:rFonts w:cs="Arial"/>
                <w:sz w:val="18"/>
                <w:szCs w:val="18"/>
              </w:rPr>
            </w:pPr>
            <w:r w:rsidRPr="00C903F8">
              <w:rPr>
                <w:rFonts w:cs="Arial"/>
                <w:sz w:val="18"/>
                <w:szCs w:val="18"/>
              </w:rPr>
              <w:t>(9) 3rd sentence</w:t>
            </w:r>
          </w:p>
        </w:tc>
        <w:tc>
          <w:tcPr>
            <w:tcW w:w="3296" w:type="dxa"/>
            <w:shd w:val="clear" w:color="auto" w:fill="auto"/>
          </w:tcPr>
          <w:p w:rsidR="00F075FB" w:rsidRPr="00C903F8" w:rsidRDefault="00F075FB" w:rsidP="00740370">
            <w:pPr>
              <w:spacing w:before="80" w:after="80" w:line="240" w:lineRule="atLeast"/>
              <w:ind w:left="0" w:firstLine="0"/>
              <w:rPr>
                <w:rFonts w:cs="Arial"/>
                <w:sz w:val="18"/>
                <w:szCs w:val="18"/>
              </w:rPr>
            </w:pPr>
            <w:r w:rsidRPr="00C903F8">
              <w:rPr>
                <w:rFonts w:cs="Arial"/>
                <w:noProof/>
                <w:sz w:val="18"/>
                <w:szCs w:val="18"/>
              </w:rPr>
              <w:t>Control by a lever</w:t>
            </w:r>
          </w:p>
        </w:tc>
        <w:tc>
          <w:tcPr>
            <w:tcW w:w="6521" w:type="dxa"/>
            <w:shd w:val="clear" w:color="auto" w:fill="auto"/>
          </w:tcPr>
          <w:p w:rsidR="00F075FB" w:rsidRPr="00C903F8" w:rsidRDefault="00F075FB" w:rsidP="00740370">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40370">
            <w:pPr>
              <w:spacing w:before="80" w:after="8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vMerge/>
            <w:shd w:val="clear" w:color="auto" w:fill="auto"/>
          </w:tcPr>
          <w:p w:rsidR="00F075FB" w:rsidRPr="00C903F8" w:rsidRDefault="00F075FB" w:rsidP="009C40EF">
            <w:pPr>
              <w:spacing w:before="80" w:after="80" w:line="240" w:lineRule="atLeast"/>
              <w:ind w:left="0" w:firstLine="0"/>
              <w:jc w:val="left"/>
              <w:rPr>
                <w:rFonts w:cs="Arial"/>
                <w:sz w:val="18"/>
                <w:szCs w:val="18"/>
              </w:rPr>
            </w:pPr>
          </w:p>
        </w:tc>
        <w:tc>
          <w:tcPr>
            <w:tcW w:w="1458" w:type="dxa"/>
            <w:shd w:val="clear" w:color="auto" w:fill="auto"/>
          </w:tcPr>
          <w:p w:rsidR="00F075FB" w:rsidRPr="00C903F8" w:rsidRDefault="00F075FB" w:rsidP="00694E6B">
            <w:pPr>
              <w:spacing w:before="80" w:after="80" w:line="240" w:lineRule="atLeast"/>
              <w:ind w:left="0" w:firstLine="0"/>
              <w:jc w:val="left"/>
              <w:rPr>
                <w:rFonts w:cs="Arial"/>
                <w:sz w:val="18"/>
                <w:szCs w:val="18"/>
              </w:rPr>
            </w:pPr>
            <w:r w:rsidRPr="00C903F8">
              <w:rPr>
                <w:rFonts w:cs="Arial"/>
                <w:sz w:val="18"/>
                <w:szCs w:val="18"/>
              </w:rPr>
              <w:t>(</w:t>
            </w:r>
            <w:r>
              <w:rPr>
                <w:rFonts w:cs="Arial"/>
                <w:sz w:val="18"/>
                <w:szCs w:val="18"/>
              </w:rPr>
              <w:t>9</w:t>
            </w:r>
            <w:r w:rsidRPr="00C903F8">
              <w:rPr>
                <w:rFonts w:cs="Arial"/>
                <w:sz w:val="18"/>
                <w:szCs w:val="18"/>
              </w:rPr>
              <w:t>) 4th sentence</w:t>
            </w:r>
          </w:p>
        </w:tc>
        <w:tc>
          <w:tcPr>
            <w:tcW w:w="3296" w:type="dxa"/>
            <w:shd w:val="clear" w:color="auto" w:fill="auto"/>
          </w:tcPr>
          <w:p w:rsidR="00F075FB" w:rsidRPr="00C903F8" w:rsidRDefault="00F075FB" w:rsidP="00740370">
            <w:pPr>
              <w:spacing w:before="80" w:after="80" w:line="240" w:lineRule="atLeast"/>
              <w:ind w:left="0" w:firstLine="0"/>
              <w:rPr>
                <w:rFonts w:cs="Arial"/>
                <w:sz w:val="18"/>
                <w:szCs w:val="18"/>
                <w:lang w:val="en-US"/>
              </w:rPr>
            </w:pPr>
            <w:r w:rsidRPr="00C903F8">
              <w:rPr>
                <w:rFonts w:cs="Arial"/>
                <w:noProof/>
                <w:sz w:val="18"/>
                <w:szCs w:val="18"/>
                <w:lang w:val="en-US"/>
              </w:rPr>
              <w:t>Clearly show the direction of the thrust</w:t>
            </w:r>
          </w:p>
        </w:tc>
        <w:tc>
          <w:tcPr>
            <w:tcW w:w="6521" w:type="dxa"/>
            <w:shd w:val="clear" w:color="auto" w:fill="auto"/>
          </w:tcPr>
          <w:p w:rsidR="00F075FB" w:rsidRPr="00C903F8" w:rsidRDefault="00F075FB" w:rsidP="00740370">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40370">
            <w:pPr>
              <w:spacing w:before="80" w:after="80" w:line="240" w:lineRule="atLeast"/>
              <w:ind w:left="0" w:firstLine="0"/>
              <w:rPr>
                <w:rFonts w:cs="Arial"/>
                <w:sz w:val="18"/>
                <w:szCs w:val="18"/>
              </w:rPr>
            </w:pPr>
            <w:r w:rsidRPr="00C903F8">
              <w:rPr>
                <w:rFonts w:cs="Arial"/>
                <w:sz w:val="18"/>
                <w:szCs w:val="18"/>
              </w:rPr>
              <w:t>1.1.2010</w:t>
            </w:r>
          </w:p>
        </w:tc>
      </w:tr>
      <w:tr w:rsidR="00F075FB" w:rsidRPr="00296858" w:rsidTr="00C50120">
        <w:trPr>
          <w:cantSplit/>
          <w:jc w:val="center"/>
        </w:trPr>
        <w:tc>
          <w:tcPr>
            <w:tcW w:w="1342" w:type="dxa"/>
            <w:tcBorders>
              <w:bottom w:val="single" w:sz="4" w:space="0" w:color="auto"/>
            </w:tcBorders>
            <w:shd w:val="clear" w:color="auto" w:fill="auto"/>
          </w:tcPr>
          <w:p w:rsidR="00F075FB" w:rsidRPr="00337011" w:rsidRDefault="00F075FB" w:rsidP="00B90A00">
            <w:pPr>
              <w:spacing w:before="60" w:after="60" w:line="240" w:lineRule="atLeast"/>
              <w:rPr>
                <w:rFonts w:cs="Arial"/>
                <w:sz w:val="18"/>
                <w:szCs w:val="18"/>
              </w:rPr>
            </w:pPr>
            <w:r w:rsidRPr="00337011">
              <w:rPr>
                <w:rFonts w:cs="Arial"/>
                <w:sz w:val="18"/>
                <w:szCs w:val="18"/>
              </w:rPr>
              <w:t>7.05</w:t>
            </w:r>
          </w:p>
        </w:tc>
        <w:tc>
          <w:tcPr>
            <w:tcW w:w="1458" w:type="dxa"/>
            <w:tcBorders>
              <w:bottom w:val="single" w:sz="4" w:space="0" w:color="auto"/>
            </w:tcBorders>
            <w:shd w:val="clear" w:color="auto" w:fill="auto"/>
          </w:tcPr>
          <w:p w:rsidR="00F075FB" w:rsidRPr="00643C51" w:rsidRDefault="00F075FB" w:rsidP="00643C51">
            <w:pPr>
              <w:spacing w:before="80" w:after="80" w:line="240" w:lineRule="atLeast"/>
              <w:ind w:left="0" w:firstLine="0"/>
              <w:rPr>
                <w:rFonts w:cs="Arial"/>
                <w:sz w:val="18"/>
                <w:szCs w:val="18"/>
                <w:lang w:val="en-US"/>
              </w:rPr>
            </w:pPr>
            <w:r w:rsidRPr="00643C51">
              <w:rPr>
                <w:rFonts w:cs="Arial"/>
                <w:sz w:val="18"/>
                <w:szCs w:val="18"/>
                <w:lang w:val="en-US"/>
              </w:rPr>
              <w:t>(1)</w:t>
            </w:r>
          </w:p>
        </w:tc>
        <w:tc>
          <w:tcPr>
            <w:tcW w:w="3296" w:type="dxa"/>
            <w:shd w:val="clear" w:color="auto" w:fill="auto"/>
          </w:tcPr>
          <w:p w:rsidR="00F075FB" w:rsidRPr="00643C51" w:rsidRDefault="00F075FB" w:rsidP="00643C51">
            <w:pPr>
              <w:spacing w:before="80" w:after="80" w:line="240" w:lineRule="atLeast"/>
              <w:ind w:left="0" w:firstLine="0"/>
              <w:rPr>
                <w:rFonts w:cs="Arial"/>
                <w:sz w:val="18"/>
                <w:szCs w:val="18"/>
                <w:lang w:val="en-US"/>
              </w:rPr>
            </w:pPr>
            <w:r w:rsidRPr="00337011">
              <w:rPr>
                <w:rFonts w:cs="Arial"/>
                <w:sz w:val="18"/>
                <w:szCs w:val="18"/>
                <w:lang w:val="en-US"/>
              </w:rPr>
              <w:t>Navigation lights, their casings, accessories and light sources</w:t>
            </w:r>
          </w:p>
        </w:tc>
        <w:tc>
          <w:tcPr>
            <w:tcW w:w="6521" w:type="dxa"/>
            <w:shd w:val="clear" w:color="auto" w:fill="auto"/>
          </w:tcPr>
          <w:p w:rsidR="00F075FB" w:rsidRPr="00643C51" w:rsidRDefault="00F075FB" w:rsidP="00643C51">
            <w:pPr>
              <w:spacing w:before="80" w:after="80" w:line="240" w:lineRule="atLeast"/>
              <w:ind w:left="0" w:firstLine="0"/>
              <w:rPr>
                <w:rFonts w:cs="Arial"/>
                <w:sz w:val="18"/>
                <w:szCs w:val="18"/>
                <w:lang w:val="en-GB"/>
              </w:rPr>
            </w:pPr>
            <w:r w:rsidRPr="00337011">
              <w:rPr>
                <w:rFonts w:cs="Arial"/>
                <w:sz w:val="18"/>
                <w:szCs w:val="18"/>
                <w:lang w:val="en-US"/>
              </w:rPr>
              <w:t>Navigation lights, their casings, accessories, and light sources that fulfill the requirements for colo</w:t>
            </w:r>
            <w:r>
              <w:rPr>
                <w:rFonts w:cs="Arial"/>
                <w:sz w:val="18"/>
                <w:szCs w:val="18"/>
                <w:lang w:val="en-US"/>
              </w:rPr>
              <w:t>u</w:t>
            </w:r>
            <w:r w:rsidRPr="00337011">
              <w:rPr>
                <w:rFonts w:cs="Arial"/>
                <w:sz w:val="18"/>
                <w:szCs w:val="18"/>
                <w:lang w:val="en-US"/>
              </w:rPr>
              <w:t>r and light intensity of lights</w:t>
            </w:r>
            <w:r>
              <w:rPr>
                <w:rFonts w:cs="Arial"/>
                <w:sz w:val="18"/>
                <w:szCs w:val="18"/>
                <w:lang w:val="en-US"/>
              </w:rPr>
              <w:t xml:space="preserve"> on board</w:t>
            </w:r>
            <w:r w:rsidRPr="00337011">
              <w:rPr>
                <w:rFonts w:cs="Arial"/>
                <w:sz w:val="18"/>
                <w:szCs w:val="18"/>
                <w:lang w:val="en-US"/>
              </w:rPr>
              <w:t xml:space="preserve">, and for the admission of </w:t>
            </w:r>
            <w:r>
              <w:rPr>
                <w:rFonts w:cs="Arial"/>
                <w:sz w:val="18"/>
                <w:szCs w:val="18"/>
                <w:lang w:val="en-US"/>
              </w:rPr>
              <w:t>navigation</w:t>
            </w:r>
            <w:r w:rsidRPr="00337011">
              <w:rPr>
                <w:rFonts w:cs="Arial"/>
                <w:sz w:val="18"/>
                <w:szCs w:val="18"/>
                <w:lang w:val="en-US"/>
              </w:rPr>
              <w:t xml:space="preserve"> lights for navigation on the Rhine, as of 30 November 2009 may still be used</w:t>
            </w:r>
            <w:r>
              <w:rPr>
                <w:rFonts w:cs="Arial"/>
                <w:sz w:val="18"/>
                <w:szCs w:val="18"/>
                <w:lang w:val="en-US"/>
              </w:rPr>
              <w:t>.</w:t>
            </w:r>
          </w:p>
        </w:tc>
        <w:tc>
          <w:tcPr>
            <w:tcW w:w="1276" w:type="dxa"/>
            <w:shd w:val="clear" w:color="auto" w:fill="auto"/>
          </w:tcPr>
          <w:p w:rsidR="00F075FB" w:rsidRPr="00643C51" w:rsidRDefault="00F075FB" w:rsidP="00B90A00">
            <w:pPr>
              <w:spacing w:before="60" w:after="60" w:line="240" w:lineRule="atLeast"/>
              <w:rPr>
                <w:rFonts w:cs="Arial"/>
                <w:sz w:val="18"/>
                <w:szCs w:val="18"/>
                <w:lang w:val="en-GB"/>
              </w:rPr>
            </w:pPr>
          </w:p>
        </w:tc>
      </w:tr>
      <w:tr w:rsidR="00F075FB" w:rsidRPr="00296858" w:rsidTr="00C50120">
        <w:trPr>
          <w:cantSplit/>
          <w:jc w:val="center"/>
        </w:trPr>
        <w:tc>
          <w:tcPr>
            <w:tcW w:w="1342" w:type="dxa"/>
            <w:vMerge w:val="restart"/>
            <w:tcBorders>
              <w:bottom w:val="nil"/>
            </w:tcBorders>
            <w:shd w:val="clear" w:color="auto" w:fill="auto"/>
          </w:tcPr>
          <w:p w:rsidR="00F075FB" w:rsidRPr="00643C51" w:rsidRDefault="00F075FB" w:rsidP="00B90A00">
            <w:pPr>
              <w:spacing w:before="60" w:after="60" w:line="240" w:lineRule="atLeast"/>
              <w:rPr>
                <w:rFonts w:cs="Arial"/>
                <w:sz w:val="18"/>
                <w:szCs w:val="18"/>
              </w:rPr>
            </w:pPr>
            <w:r w:rsidRPr="00643C51">
              <w:rPr>
                <w:rFonts w:cs="Arial"/>
                <w:sz w:val="18"/>
                <w:szCs w:val="18"/>
              </w:rPr>
              <w:t>7.06</w:t>
            </w:r>
          </w:p>
        </w:tc>
        <w:tc>
          <w:tcPr>
            <w:tcW w:w="1458" w:type="dxa"/>
            <w:tcBorders>
              <w:bottom w:val="nil"/>
            </w:tcBorders>
            <w:shd w:val="clear" w:color="auto" w:fill="auto"/>
          </w:tcPr>
          <w:p w:rsidR="00F075FB" w:rsidRPr="00643C51" w:rsidRDefault="00F075FB" w:rsidP="00B90A00">
            <w:pPr>
              <w:spacing w:before="60" w:after="60" w:line="240" w:lineRule="atLeast"/>
              <w:rPr>
                <w:rFonts w:cs="Arial"/>
                <w:sz w:val="18"/>
                <w:szCs w:val="18"/>
              </w:rPr>
            </w:pPr>
            <w:r w:rsidRPr="00643C51">
              <w:rPr>
                <w:rFonts w:cs="Arial"/>
                <w:sz w:val="18"/>
                <w:szCs w:val="18"/>
              </w:rPr>
              <w:t>(1)</w:t>
            </w:r>
          </w:p>
        </w:tc>
        <w:tc>
          <w:tcPr>
            <w:tcW w:w="3296" w:type="dxa"/>
            <w:shd w:val="clear" w:color="auto" w:fill="auto"/>
          </w:tcPr>
          <w:p w:rsidR="00F075FB" w:rsidRPr="00643C51" w:rsidRDefault="00F075FB" w:rsidP="008373D8">
            <w:pPr>
              <w:spacing w:before="60" w:after="60" w:line="240" w:lineRule="atLeast"/>
              <w:ind w:left="0" w:firstLine="0"/>
              <w:rPr>
                <w:rFonts w:cs="Arial"/>
                <w:sz w:val="18"/>
                <w:szCs w:val="18"/>
                <w:lang w:val="en-GB"/>
              </w:rPr>
            </w:pPr>
            <w:r w:rsidRPr="00643C51">
              <w:rPr>
                <w:rFonts w:cs="Arial"/>
                <w:noProof/>
                <w:sz w:val="18"/>
                <w:szCs w:val="18"/>
                <w:lang w:val="en-US"/>
              </w:rPr>
              <w:t>Rate-of-turn indicators, which have received an approval before 1</w:t>
            </w:r>
            <w:r w:rsidRPr="00643C51">
              <w:rPr>
                <w:rFonts w:cs="Arial"/>
                <w:noProof/>
                <w:sz w:val="18"/>
                <w:szCs w:val="18"/>
                <w:vertAlign w:val="superscript"/>
                <w:lang w:val="en-US"/>
              </w:rPr>
              <w:t>st</w:t>
            </w:r>
            <w:r w:rsidRPr="00643C51">
              <w:rPr>
                <w:rFonts w:cs="Arial"/>
                <w:noProof/>
                <w:sz w:val="18"/>
                <w:szCs w:val="18"/>
                <w:lang w:val="en-US"/>
              </w:rPr>
              <w:t xml:space="preserve"> January 1990</w:t>
            </w:r>
          </w:p>
        </w:tc>
        <w:tc>
          <w:tcPr>
            <w:tcW w:w="6521" w:type="dxa"/>
            <w:shd w:val="clear" w:color="auto" w:fill="auto"/>
          </w:tcPr>
          <w:p w:rsidR="00F075FB" w:rsidRPr="00643C51" w:rsidRDefault="00F075FB" w:rsidP="008E24ED">
            <w:pPr>
              <w:spacing w:before="60" w:after="60" w:line="240" w:lineRule="atLeast"/>
              <w:ind w:left="0" w:firstLine="0"/>
              <w:rPr>
                <w:rFonts w:cs="Arial"/>
                <w:sz w:val="18"/>
                <w:szCs w:val="18"/>
                <w:lang w:val="en-GB"/>
              </w:rPr>
            </w:pPr>
            <w:r w:rsidRPr="00643C51">
              <w:rPr>
                <w:rFonts w:cs="Arial"/>
                <w:sz w:val="18"/>
                <w:szCs w:val="18"/>
                <w:lang w:val="en-US"/>
              </w:rPr>
              <w:t>Rate-of-turn indicators, which have received an approval before 1</w:t>
            </w:r>
            <w:r w:rsidRPr="00643C51">
              <w:rPr>
                <w:rFonts w:cs="Arial"/>
                <w:sz w:val="18"/>
                <w:szCs w:val="18"/>
                <w:vertAlign w:val="superscript"/>
                <w:lang w:val="en-US"/>
              </w:rPr>
              <w:t>st</w:t>
            </w:r>
            <w:r w:rsidRPr="00643C51">
              <w:rPr>
                <w:rFonts w:cs="Arial"/>
                <w:sz w:val="18"/>
                <w:szCs w:val="18"/>
                <w:lang w:val="en-US"/>
              </w:rPr>
              <w:t xml:space="preserve"> January 1990 and have been installed before 1</w:t>
            </w:r>
            <w:r w:rsidRPr="00643C51">
              <w:rPr>
                <w:rFonts w:cs="Arial"/>
                <w:sz w:val="18"/>
                <w:szCs w:val="18"/>
                <w:vertAlign w:val="superscript"/>
                <w:lang w:val="en-US"/>
              </w:rPr>
              <w:t>st</w:t>
            </w:r>
            <w:r w:rsidRPr="00643C51">
              <w:rPr>
                <w:rFonts w:cs="Arial"/>
                <w:sz w:val="18"/>
                <w:szCs w:val="18"/>
                <w:lang w:val="en-US"/>
              </w:rPr>
              <w:t xml:space="preserve"> January 2000, may be maintained and used until renewal of the inland navigation vessel certificate after 1</w:t>
            </w:r>
            <w:r w:rsidRPr="00643C51">
              <w:rPr>
                <w:rFonts w:cs="Arial"/>
                <w:sz w:val="18"/>
                <w:szCs w:val="18"/>
                <w:vertAlign w:val="superscript"/>
                <w:lang w:val="en-US"/>
              </w:rPr>
              <w:t>st</w:t>
            </w:r>
            <w:r w:rsidRPr="00643C51">
              <w:rPr>
                <w:rFonts w:cs="Arial"/>
                <w:sz w:val="18"/>
                <w:szCs w:val="18"/>
                <w:lang w:val="en-US"/>
              </w:rPr>
              <w:t xml:space="preserve"> January 2015, if there is a valid installation certificate pursuant to Directive 2006/87/EC</w:t>
            </w:r>
            <w:r w:rsidRPr="00643C51">
              <w:rPr>
                <w:rStyle w:val="FootnoteReference"/>
                <w:rFonts w:cs="Arial"/>
                <w:sz w:val="18"/>
                <w:szCs w:val="18"/>
                <w:lang w:val="en-US"/>
              </w:rPr>
              <w:footnoteReference w:id="25"/>
            </w:r>
            <w:r w:rsidRPr="00643C51">
              <w:rPr>
                <w:rFonts w:cs="Arial"/>
                <w:sz w:val="18"/>
                <w:szCs w:val="18"/>
                <w:lang w:val="en-US"/>
              </w:rPr>
              <w:t xml:space="preserve"> or Resolution CCNR 1989-II-35.</w:t>
            </w:r>
          </w:p>
        </w:tc>
        <w:tc>
          <w:tcPr>
            <w:tcW w:w="1276" w:type="dxa"/>
            <w:shd w:val="clear" w:color="auto" w:fill="auto"/>
          </w:tcPr>
          <w:p w:rsidR="00F075FB" w:rsidRPr="00643C51" w:rsidRDefault="00F075FB" w:rsidP="00B90A00">
            <w:pPr>
              <w:spacing w:before="60" w:after="60" w:line="240" w:lineRule="atLeast"/>
              <w:rPr>
                <w:rFonts w:cs="Arial"/>
                <w:sz w:val="18"/>
                <w:szCs w:val="18"/>
                <w:lang w:val="en-GB"/>
              </w:rPr>
            </w:pPr>
          </w:p>
        </w:tc>
      </w:tr>
      <w:tr w:rsidR="00F075FB" w:rsidRPr="00296858" w:rsidTr="00C50120">
        <w:trPr>
          <w:cantSplit/>
          <w:jc w:val="center"/>
        </w:trPr>
        <w:tc>
          <w:tcPr>
            <w:tcW w:w="1342" w:type="dxa"/>
            <w:vMerge/>
            <w:tcBorders>
              <w:top w:val="nil"/>
            </w:tcBorders>
            <w:shd w:val="clear" w:color="auto" w:fill="auto"/>
          </w:tcPr>
          <w:p w:rsidR="00F075FB" w:rsidRPr="00643C51" w:rsidRDefault="00F075FB" w:rsidP="000D7607">
            <w:pPr>
              <w:spacing w:before="40" w:after="40" w:line="240" w:lineRule="atLeast"/>
              <w:ind w:left="0" w:firstLine="0"/>
              <w:rPr>
                <w:rFonts w:cs="Arial"/>
                <w:sz w:val="18"/>
                <w:szCs w:val="18"/>
                <w:lang w:val="en-US"/>
              </w:rPr>
            </w:pPr>
          </w:p>
        </w:tc>
        <w:tc>
          <w:tcPr>
            <w:tcW w:w="1458" w:type="dxa"/>
            <w:vMerge w:val="restart"/>
            <w:tcBorders>
              <w:top w:val="nil"/>
            </w:tcBorders>
            <w:shd w:val="clear" w:color="auto" w:fill="auto"/>
          </w:tcPr>
          <w:p w:rsidR="00F075FB" w:rsidRPr="00643C51" w:rsidRDefault="00F075FB" w:rsidP="000D7607">
            <w:pPr>
              <w:spacing w:before="40" w:after="40" w:line="240" w:lineRule="atLeast"/>
              <w:ind w:left="0" w:firstLine="0"/>
              <w:rPr>
                <w:rFonts w:cs="Arial"/>
                <w:sz w:val="18"/>
                <w:szCs w:val="18"/>
              </w:rPr>
            </w:pPr>
            <w:r w:rsidRPr="00643C51">
              <w:rPr>
                <w:rFonts w:cs="Arial"/>
                <w:sz w:val="18"/>
                <w:szCs w:val="18"/>
              </w:rPr>
              <w:t>(1)</w:t>
            </w:r>
          </w:p>
        </w:tc>
        <w:tc>
          <w:tcPr>
            <w:tcW w:w="3296" w:type="dxa"/>
            <w:shd w:val="clear" w:color="auto" w:fill="auto"/>
          </w:tcPr>
          <w:p w:rsidR="00F075FB" w:rsidRPr="00643C51" w:rsidRDefault="00F075FB" w:rsidP="00F91AFF">
            <w:pPr>
              <w:spacing w:before="40" w:after="40" w:line="240" w:lineRule="atLeast"/>
              <w:ind w:left="0" w:firstLine="0"/>
              <w:rPr>
                <w:rFonts w:cs="Arial"/>
                <w:sz w:val="18"/>
                <w:szCs w:val="18"/>
                <w:lang w:val="en-US"/>
              </w:rPr>
            </w:pPr>
            <w:r w:rsidRPr="00643C51">
              <w:rPr>
                <w:rFonts w:cs="Arial"/>
                <w:noProof/>
                <w:sz w:val="18"/>
                <w:szCs w:val="18"/>
                <w:lang w:val="en-US"/>
              </w:rPr>
              <w:t>Radar navigation installations and rate-of-turn indicators which have received an approval after 1</w:t>
            </w:r>
            <w:r w:rsidRPr="00643C51">
              <w:rPr>
                <w:rFonts w:cs="Arial"/>
                <w:noProof/>
                <w:sz w:val="18"/>
                <w:szCs w:val="18"/>
                <w:vertAlign w:val="superscript"/>
                <w:lang w:val="en-US"/>
              </w:rPr>
              <w:t>st</w:t>
            </w:r>
            <w:r>
              <w:rPr>
                <w:rFonts w:cs="Arial"/>
                <w:noProof/>
                <w:sz w:val="18"/>
                <w:szCs w:val="18"/>
                <w:lang w:val="en-US"/>
              </w:rPr>
              <w:t> </w:t>
            </w:r>
            <w:r w:rsidRPr="00643C51">
              <w:rPr>
                <w:rFonts w:cs="Arial"/>
                <w:noProof/>
                <w:sz w:val="18"/>
                <w:szCs w:val="18"/>
                <w:lang w:val="en-US"/>
              </w:rPr>
              <w:t>January</w:t>
            </w:r>
            <w:r>
              <w:rPr>
                <w:rFonts w:cs="Arial"/>
                <w:noProof/>
                <w:sz w:val="18"/>
                <w:szCs w:val="18"/>
                <w:lang w:val="en-US"/>
              </w:rPr>
              <w:t> </w:t>
            </w:r>
            <w:r w:rsidRPr="00643C51">
              <w:rPr>
                <w:rFonts w:cs="Arial"/>
                <w:noProof/>
                <w:sz w:val="18"/>
                <w:szCs w:val="18"/>
                <w:lang w:val="en-US"/>
              </w:rPr>
              <w:t>1990</w:t>
            </w:r>
          </w:p>
        </w:tc>
        <w:tc>
          <w:tcPr>
            <w:tcW w:w="6521" w:type="dxa"/>
            <w:shd w:val="clear" w:color="auto" w:fill="auto"/>
          </w:tcPr>
          <w:p w:rsidR="00F075FB" w:rsidRPr="00643C51" w:rsidRDefault="00F075FB" w:rsidP="000D7607">
            <w:pPr>
              <w:spacing w:before="40" w:after="40" w:line="240" w:lineRule="atLeast"/>
              <w:ind w:left="0" w:firstLine="0"/>
              <w:rPr>
                <w:rFonts w:cs="Arial"/>
                <w:sz w:val="18"/>
                <w:szCs w:val="18"/>
                <w:lang w:val="en-US"/>
              </w:rPr>
            </w:pPr>
            <w:r w:rsidRPr="00643C51">
              <w:rPr>
                <w:rFonts w:cs="Arial"/>
                <w:sz w:val="18"/>
                <w:szCs w:val="18"/>
                <w:lang w:val="en-US"/>
              </w:rPr>
              <w:t>Radar navigation installations and rate-of-turn indicators which have received an approval on or after 1</w:t>
            </w:r>
            <w:r w:rsidRPr="00643C51">
              <w:rPr>
                <w:rFonts w:cs="Arial"/>
                <w:sz w:val="18"/>
                <w:szCs w:val="18"/>
                <w:vertAlign w:val="superscript"/>
                <w:lang w:val="en-US"/>
              </w:rPr>
              <w:t>st</w:t>
            </w:r>
            <w:r w:rsidRPr="00643C51">
              <w:rPr>
                <w:rFonts w:cs="Arial"/>
                <w:sz w:val="18"/>
                <w:szCs w:val="18"/>
                <w:lang w:val="en-US"/>
              </w:rPr>
              <w:t xml:space="preserve"> January 1990, pursuant to the minimum requirements and test conditions for radar installations used for navigation on the Rhine, as well as the minimum requirements and test conditions for rate-of-turn indicators used for navigation on the Rhine, may continue to be installed and used if there is a valid installation certificate pursuant to this Standard, Directive 2006/87/EC or Resolution CCNR 1989-II-35.</w:t>
            </w:r>
          </w:p>
        </w:tc>
        <w:tc>
          <w:tcPr>
            <w:tcW w:w="1276" w:type="dxa"/>
            <w:shd w:val="clear" w:color="auto" w:fill="auto"/>
          </w:tcPr>
          <w:p w:rsidR="00F075FB" w:rsidRPr="00643C51" w:rsidRDefault="00F075FB" w:rsidP="000D7607">
            <w:pPr>
              <w:spacing w:before="40" w:after="40" w:line="240" w:lineRule="atLeast"/>
              <w:ind w:left="0" w:firstLine="0"/>
              <w:rPr>
                <w:rFonts w:cs="Arial"/>
                <w:sz w:val="18"/>
                <w:szCs w:val="18"/>
                <w:lang w:val="en-US"/>
              </w:rPr>
            </w:pPr>
          </w:p>
        </w:tc>
      </w:tr>
      <w:tr w:rsidR="00F075FB" w:rsidRPr="00296858" w:rsidTr="00196FBC">
        <w:trPr>
          <w:cantSplit/>
          <w:jc w:val="center"/>
        </w:trPr>
        <w:tc>
          <w:tcPr>
            <w:tcW w:w="1342" w:type="dxa"/>
            <w:vMerge/>
            <w:shd w:val="clear" w:color="auto" w:fill="auto"/>
          </w:tcPr>
          <w:p w:rsidR="00F075FB" w:rsidRPr="00643C51" w:rsidRDefault="00F075FB" w:rsidP="000D7607">
            <w:pPr>
              <w:spacing w:before="40" w:after="40" w:line="240" w:lineRule="atLeast"/>
              <w:ind w:left="0" w:firstLine="0"/>
              <w:rPr>
                <w:rFonts w:cs="Arial"/>
                <w:sz w:val="18"/>
                <w:szCs w:val="18"/>
                <w:lang w:val="en-US"/>
              </w:rPr>
            </w:pPr>
          </w:p>
        </w:tc>
        <w:tc>
          <w:tcPr>
            <w:tcW w:w="1458" w:type="dxa"/>
            <w:vMerge/>
            <w:shd w:val="clear" w:color="auto" w:fill="auto"/>
          </w:tcPr>
          <w:p w:rsidR="00F075FB" w:rsidRPr="00643C51" w:rsidRDefault="00F075FB" w:rsidP="000D7607">
            <w:pPr>
              <w:spacing w:before="40" w:after="40" w:line="240" w:lineRule="atLeast"/>
              <w:ind w:left="0" w:firstLine="0"/>
              <w:rPr>
                <w:rFonts w:cs="Arial"/>
                <w:sz w:val="18"/>
                <w:szCs w:val="18"/>
                <w:lang w:val="en-GB"/>
              </w:rPr>
            </w:pPr>
          </w:p>
        </w:tc>
        <w:tc>
          <w:tcPr>
            <w:tcW w:w="3296" w:type="dxa"/>
            <w:shd w:val="clear" w:color="auto" w:fill="auto"/>
          </w:tcPr>
          <w:p w:rsidR="00F075FB" w:rsidRPr="00643C51" w:rsidRDefault="00F075FB" w:rsidP="000D7607">
            <w:pPr>
              <w:spacing w:before="40" w:after="40" w:line="240" w:lineRule="atLeast"/>
              <w:ind w:left="0" w:firstLine="0"/>
              <w:rPr>
                <w:rFonts w:cs="Arial"/>
                <w:noProof/>
                <w:sz w:val="18"/>
                <w:szCs w:val="18"/>
                <w:lang w:val="en-US"/>
              </w:rPr>
            </w:pPr>
            <w:r w:rsidRPr="00643C51">
              <w:rPr>
                <w:rFonts w:cs="Arial"/>
                <w:noProof/>
                <w:sz w:val="18"/>
                <w:szCs w:val="18"/>
                <w:lang w:val="en-US"/>
              </w:rPr>
              <w:t>Radar navigation installations and rate-of-turn indicators which have received an approval after 31</w:t>
            </w:r>
            <w:r w:rsidRPr="00643C51">
              <w:rPr>
                <w:rFonts w:cs="Arial"/>
                <w:noProof/>
                <w:sz w:val="18"/>
                <w:szCs w:val="18"/>
                <w:vertAlign w:val="superscript"/>
                <w:lang w:val="en-US"/>
              </w:rPr>
              <w:t>st</w:t>
            </w:r>
            <w:r>
              <w:rPr>
                <w:rFonts w:cs="Arial"/>
                <w:noProof/>
                <w:sz w:val="18"/>
                <w:szCs w:val="18"/>
                <w:lang w:val="en-US"/>
              </w:rPr>
              <w:t> </w:t>
            </w:r>
            <w:r w:rsidRPr="00643C51">
              <w:rPr>
                <w:rFonts w:cs="Arial"/>
                <w:noProof/>
                <w:sz w:val="18"/>
                <w:szCs w:val="18"/>
                <w:lang w:val="en-US"/>
              </w:rPr>
              <w:t>December 2006</w:t>
            </w:r>
          </w:p>
        </w:tc>
        <w:tc>
          <w:tcPr>
            <w:tcW w:w="6521" w:type="dxa"/>
            <w:shd w:val="clear" w:color="auto" w:fill="auto"/>
          </w:tcPr>
          <w:p w:rsidR="00F075FB" w:rsidRPr="00643C51" w:rsidRDefault="00F075FB" w:rsidP="000D7607">
            <w:pPr>
              <w:spacing w:before="40" w:after="40" w:line="240" w:lineRule="atLeast"/>
              <w:ind w:left="0" w:firstLine="0"/>
              <w:rPr>
                <w:rFonts w:cs="Arial"/>
                <w:sz w:val="18"/>
                <w:szCs w:val="18"/>
                <w:lang w:val="en-US"/>
              </w:rPr>
            </w:pPr>
            <w:r w:rsidRPr="00643C51">
              <w:rPr>
                <w:rFonts w:cs="Arial"/>
                <w:sz w:val="18"/>
                <w:szCs w:val="18"/>
                <w:lang w:val="en-US"/>
              </w:rPr>
              <w:t>Radar navigation installations and rate-of-turn indicators which have received an approval on or after 31</w:t>
            </w:r>
            <w:r w:rsidRPr="00643C51">
              <w:rPr>
                <w:rFonts w:cs="Arial"/>
                <w:sz w:val="18"/>
                <w:szCs w:val="18"/>
                <w:vertAlign w:val="superscript"/>
                <w:lang w:val="en-US"/>
              </w:rPr>
              <w:t>st</w:t>
            </w:r>
            <w:r w:rsidRPr="00643C51">
              <w:rPr>
                <w:rFonts w:cs="Arial"/>
                <w:sz w:val="18"/>
                <w:szCs w:val="18"/>
                <w:lang w:val="en-US"/>
              </w:rPr>
              <w:t xml:space="preserve"> December 2006, pursuant to the minimum requirements and test conditions of the Directive 2006/87/EC, may continue to be installed and used if there is a valid installation certificate pursuant to this Standard or Directive 2006/87/EC.</w:t>
            </w:r>
          </w:p>
        </w:tc>
        <w:tc>
          <w:tcPr>
            <w:tcW w:w="1276" w:type="dxa"/>
            <w:shd w:val="clear" w:color="auto" w:fill="auto"/>
          </w:tcPr>
          <w:p w:rsidR="00F075FB" w:rsidRPr="00643C51" w:rsidRDefault="00F075FB" w:rsidP="000D7607">
            <w:pPr>
              <w:spacing w:before="40" w:after="40" w:line="240" w:lineRule="atLeast"/>
              <w:ind w:left="0" w:firstLine="0"/>
              <w:rPr>
                <w:rFonts w:cs="Arial"/>
                <w:sz w:val="18"/>
                <w:szCs w:val="18"/>
                <w:lang w:val="en-US"/>
              </w:rPr>
            </w:pPr>
          </w:p>
        </w:tc>
      </w:tr>
      <w:tr w:rsidR="00F075FB" w:rsidRPr="00296858" w:rsidTr="00F76D36">
        <w:trPr>
          <w:cantSplit/>
          <w:jc w:val="center"/>
        </w:trPr>
        <w:tc>
          <w:tcPr>
            <w:tcW w:w="1342" w:type="dxa"/>
            <w:vMerge/>
            <w:tcBorders>
              <w:bottom w:val="nil"/>
            </w:tcBorders>
            <w:shd w:val="clear" w:color="auto" w:fill="auto"/>
          </w:tcPr>
          <w:p w:rsidR="00F075FB" w:rsidRPr="00643C51" w:rsidRDefault="00F075FB" w:rsidP="000D7607">
            <w:pPr>
              <w:spacing w:before="40" w:after="40" w:line="240" w:lineRule="atLeast"/>
              <w:ind w:left="0" w:firstLine="0"/>
              <w:rPr>
                <w:rFonts w:cs="Arial"/>
                <w:sz w:val="18"/>
                <w:szCs w:val="18"/>
                <w:lang w:val="en-US"/>
              </w:rPr>
            </w:pPr>
          </w:p>
        </w:tc>
        <w:tc>
          <w:tcPr>
            <w:tcW w:w="1458" w:type="dxa"/>
            <w:vMerge/>
            <w:tcBorders>
              <w:bottom w:val="nil"/>
            </w:tcBorders>
            <w:shd w:val="clear" w:color="auto" w:fill="auto"/>
          </w:tcPr>
          <w:p w:rsidR="00F075FB" w:rsidRPr="00643C51" w:rsidRDefault="00F075FB" w:rsidP="000D7607">
            <w:pPr>
              <w:spacing w:before="40" w:after="40" w:line="240" w:lineRule="atLeast"/>
              <w:ind w:left="0" w:firstLine="0"/>
              <w:rPr>
                <w:rFonts w:cs="Arial"/>
                <w:sz w:val="18"/>
                <w:szCs w:val="18"/>
                <w:lang w:val="en-GB"/>
              </w:rPr>
            </w:pPr>
          </w:p>
        </w:tc>
        <w:tc>
          <w:tcPr>
            <w:tcW w:w="3296" w:type="dxa"/>
            <w:tcBorders>
              <w:bottom w:val="single" w:sz="4" w:space="0" w:color="auto"/>
            </w:tcBorders>
            <w:shd w:val="clear" w:color="auto" w:fill="auto"/>
          </w:tcPr>
          <w:p w:rsidR="00F075FB" w:rsidRPr="00643C51" w:rsidRDefault="00F075FB" w:rsidP="000D7607">
            <w:pPr>
              <w:spacing w:before="40" w:after="40" w:line="240" w:lineRule="atLeast"/>
              <w:ind w:left="0" w:firstLine="0"/>
              <w:rPr>
                <w:rFonts w:cs="Arial"/>
                <w:noProof/>
                <w:sz w:val="18"/>
                <w:szCs w:val="18"/>
                <w:lang w:val="en-US"/>
              </w:rPr>
            </w:pPr>
            <w:r w:rsidRPr="00643C51">
              <w:rPr>
                <w:rFonts w:cs="Arial"/>
                <w:noProof/>
                <w:sz w:val="18"/>
                <w:szCs w:val="18"/>
                <w:lang w:val="en-US"/>
              </w:rPr>
              <w:t>Radar navigation installations and rate-of-turn indicators which have received an approval after 1</w:t>
            </w:r>
            <w:r w:rsidRPr="00643C51">
              <w:rPr>
                <w:rFonts w:cs="Arial"/>
                <w:noProof/>
                <w:sz w:val="18"/>
                <w:szCs w:val="18"/>
                <w:vertAlign w:val="superscript"/>
                <w:lang w:val="en-US"/>
              </w:rPr>
              <w:t>st</w:t>
            </w:r>
            <w:r w:rsidRPr="00643C51">
              <w:rPr>
                <w:rFonts w:cs="Arial"/>
                <w:noProof/>
                <w:sz w:val="18"/>
                <w:szCs w:val="18"/>
                <w:lang w:val="en-US"/>
              </w:rPr>
              <w:t xml:space="preserve"> December 2009</w:t>
            </w:r>
          </w:p>
        </w:tc>
        <w:tc>
          <w:tcPr>
            <w:tcW w:w="6521" w:type="dxa"/>
            <w:shd w:val="clear" w:color="auto" w:fill="auto"/>
          </w:tcPr>
          <w:p w:rsidR="00F075FB" w:rsidRPr="00643C51" w:rsidRDefault="00F075FB" w:rsidP="000D7607">
            <w:pPr>
              <w:spacing w:before="40" w:after="40" w:line="240" w:lineRule="atLeast"/>
              <w:ind w:left="0" w:firstLine="0"/>
              <w:rPr>
                <w:rFonts w:cs="Arial"/>
                <w:sz w:val="18"/>
                <w:szCs w:val="18"/>
                <w:lang w:val="en-US"/>
              </w:rPr>
            </w:pPr>
            <w:r w:rsidRPr="00643C51">
              <w:rPr>
                <w:rFonts w:cs="Arial"/>
                <w:sz w:val="18"/>
                <w:szCs w:val="18"/>
                <w:lang w:val="en-US"/>
              </w:rPr>
              <w:t>Radar navigation installations and rate-of-turn indicators which have received an approval on or after 1</w:t>
            </w:r>
            <w:r w:rsidRPr="00643C51">
              <w:rPr>
                <w:rFonts w:cs="Arial"/>
                <w:sz w:val="18"/>
                <w:szCs w:val="18"/>
                <w:vertAlign w:val="superscript"/>
                <w:lang w:val="en-US"/>
              </w:rPr>
              <w:t>st</w:t>
            </w:r>
            <w:r w:rsidRPr="00643C51">
              <w:rPr>
                <w:rFonts w:cs="Arial"/>
                <w:sz w:val="18"/>
                <w:szCs w:val="18"/>
                <w:lang w:val="en-US"/>
              </w:rPr>
              <w:t xml:space="preserve"> December 2009, pursuant to the minimum requirements and test conditions of the Resolution CCNR 2008-II-11 may continue to be installed and used if there is a valid installation certificate pursuant to this Standard or Resolution CCNR 2008-II-11.</w:t>
            </w:r>
          </w:p>
        </w:tc>
        <w:tc>
          <w:tcPr>
            <w:tcW w:w="1276" w:type="dxa"/>
            <w:shd w:val="clear" w:color="auto" w:fill="auto"/>
          </w:tcPr>
          <w:p w:rsidR="00F075FB" w:rsidRPr="00643C51" w:rsidRDefault="00F075FB" w:rsidP="000D7607">
            <w:pPr>
              <w:spacing w:before="40" w:after="40" w:line="240" w:lineRule="atLeast"/>
              <w:ind w:left="0" w:firstLine="0"/>
              <w:rPr>
                <w:rFonts w:cs="Arial"/>
                <w:sz w:val="18"/>
                <w:szCs w:val="18"/>
                <w:lang w:val="en-US"/>
              </w:rPr>
            </w:pPr>
          </w:p>
        </w:tc>
      </w:tr>
      <w:tr w:rsidR="00F075FB" w:rsidRPr="00296858" w:rsidTr="00F76D36">
        <w:trPr>
          <w:cantSplit/>
          <w:jc w:val="center"/>
        </w:trPr>
        <w:tc>
          <w:tcPr>
            <w:tcW w:w="1342" w:type="dxa"/>
            <w:tcBorders>
              <w:top w:val="nil"/>
              <w:bottom w:val="nil"/>
            </w:tcBorders>
            <w:shd w:val="clear" w:color="auto" w:fill="auto"/>
          </w:tcPr>
          <w:p w:rsidR="00F075FB" w:rsidRPr="00C903F8" w:rsidRDefault="00F075FB" w:rsidP="004F5E7B">
            <w:pPr>
              <w:spacing w:before="120" w:after="120" w:line="240" w:lineRule="atLeast"/>
              <w:ind w:left="0" w:firstLine="0"/>
              <w:rPr>
                <w:rFonts w:cs="Arial"/>
                <w:sz w:val="18"/>
                <w:szCs w:val="18"/>
                <w:lang w:val="en-US"/>
              </w:rPr>
            </w:pPr>
          </w:p>
        </w:tc>
        <w:tc>
          <w:tcPr>
            <w:tcW w:w="1458" w:type="dxa"/>
            <w:tcBorders>
              <w:top w:val="nil"/>
              <w:bottom w:val="nil"/>
            </w:tcBorders>
            <w:shd w:val="clear" w:color="auto" w:fill="auto"/>
          </w:tcPr>
          <w:p w:rsidR="00F075FB" w:rsidRPr="00020C43" w:rsidRDefault="00F075FB" w:rsidP="00B90A00">
            <w:pPr>
              <w:spacing w:before="60" w:after="60" w:line="240" w:lineRule="atLeast"/>
              <w:rPr>
                <w:rFonts w:cs="Arial"/>
                <w:sz w:val="18"/>
                <w:szCs w:val="18"/>
              </w:rPr>
            </w:pPr>
            <w:r w:rsidRPr="00020C43">
              <w:rPr>
                <w:rFonts w:cs="Arial"/>
                <w:sz w:val="18"/>
                <w:szCs w:val="18"/>
              </w:rPr>
              <w:t>(3)</w:t>
            </w:r>
          </w:p>
        </w:tc>
        <w:tc>
          <w:tcPr>
            <w:tcW w:w="3296" w:type="dxa"/>
            <w:tcBorders>
              <w:bottom w:val="nil"/>
            </w:tcBorders>
            <w:shd w:val="clear" w:color="auto" w:fill="auto"/>
          </w:tcPr>
          <w:p w:rsidR="00F075FB" w:rsidRPr="00020C43" w:rsidRDefault="00F075FB" w:rsidP="00B90A00">
            <w:pPr>
              <w:spacing w:before="60" w:after="60" w:line="240" w:lineRule="atLeast"/>
              <w:rPr>
                <w:rFonts w:cs="Arial"/>
                <w:sz w:val="18"/>
                <w:szCs w:val="18"/>
              </w:rPr>
            </w:pPr>
            <w:r w:rsidRPr="00020C43">
              <w:rPr>
                <w:rFonts w:cs="Arial"/>
                <w:sz w:val="18"/>
                <w:szCs w:val="18"/>
              </w:rPr>
              <w:t>Inland AIS equipment</w:t>
            </w:r>
          </w:p>
        </w:tc>
        <w:tc>
          <w:tcPr>
            <w:tcW w:w="6521" w:type="dxa"/>
            <w:shd w:val="clear" w:color="auto" w:fill="auto"/>
          </w:tcPr>
          <w:p w:rsidR="00F075FB" w:rsidRPr="00643C51" w:rsidRDefault="00F075FB" w:rsidP="00643C51">
            <w:pPr>
              <w:spacing w:before="40" w:after="40" w:line="240" w:lineRule="atLeast"/>
              <w:ind w:left="0" w:firstLine="0"/>
              <w:rPr>
                <w:rFonts w:cs="Arial"/>
                <w:sz w:val="18"/>
                <w:szCs w:val="18"/>
                <w:lang w:val="en-US"/>
              </w:rPr>
            </w:pPr>
            <w:r w:rsidRPr="00020C43">
              <w:rPr>
                <w:rFonts w:cs="Arial"/>
                <w:sz w:val="18"/>
                <w:szCs w:val="18"/>
                <w:lang w:val="en-US"/>
              </w:rPr>
              <w:t>Inland AIS equipment with a type approval according to Edition 1.0 and 1.01 of the Test Standard</w:t>
            </w:r>
            <w:r>
              <w:rPr>
                <w:rFonts w:cs="Arial"/>
                <w:sz w:val="18"/>
                <w:szCs w:val="18"/>
                <w:lang w:val="en-US"/>
              </w:rPr>
              <w:t xml:space="preserve"> for Inland AIS and installed before the 1</w:t>
            </w:r>
            <w:r w:rsidRPr="0083128C">
              <w:rPr>
                <w:rFonts w:cs="Arial"/>
                <w:sz w:val="18"/>
                <w:szCs w:val="18"/>
                <w:vertAlign w:val="superscript"/>
                <w:lang w:val="en-US"/>
              </w:rPr>
              <w:t>st</w:t>
            </w:r>
            <w:r>
              <w:rPr>
                <w:rFonts w:cs="Arial"/>
                <w:sz w:val="18"/>
                <w:szCs w:val="18"/>
                <w:lang w:val="en-US"/>
              </w:rPr>
              <w:t xml:space="preserve"> December 2015</w:t>
            </w:r>
            <w:r w:rsidRPr="00020C43">
              <w:rPr>
                <w:rFonts w:cs="Arial"/>
                <w:sz w:val="18"/>
                <w:szCs w:val="18"/>
                <w:lang w:val="en-US"/>
              </w:rPr>
              <w:t xml:space="preserve"> may continue to</w:t>
            </w:r>
            <w:r>
              <w:rPr>
                <w:rFonts w:cs="Arial"/>
                <w:sz w:val="18"/>
                <w:szCs w:val="18"/>
                <w:lang w:val="en-US"/>
              </w:rPr>
              <w:t xml:space="preserve"> be used.</w:t>
            </w:r>
          </w:p>
        </w:tc>
        <w:tc>
          <w:tcPr>
            <w:tcW w:w="1276" w:type="dxa"/>
            <w:shd w:val="clear" w:color="auto" w:fill="auto"/>
          </w:tcPr>
          <w:p w:rsidR="00F075FB" w:rsidRPr="00C903F8" w:rsidRDefault="00F075FB" w:rsidP="004F5E7B">
            <w:pPr>
              <w:spacing w:before="120" w:after="120" w:line="240" w:lineRule="atLeast"/>
              <w:ind w:left="0" w:firstLine="0"/>
              <w:rPr>
                <w:rFonts w:cs="Arial"/>
                <w:sz w:val="18"/>
                <w:szCs w:val="18"/>
                <w:lang w:val="en-US"/>
              </w:rPr>
            </w:pPr>
          </w:p>
        </w:tc>
      </w:tr>
      <w:tr w:rsidR="00F075FB" w:rsidRPr="00296858" w:rsidTr="00F76D36">
        <w:trPr>
          <w:cantSplit/>
          <w:jc w:val="center"/>
        </w:trPr>
        <w:tc>
          <w:tcPr>
            <w:tcW w:w="1342" w:type="dxa"/>
            <w:tcBorders>
              <w:top w:val="nil"/>
            </w:tcBorders>
            <w:shd w:val="clear" w:color="auto" w:fill="auto"/>
          </w:tcPr>
          <w:p w:rsidR="00F075FB" w:rsidRPr="00C903F8" w:rsidRDefault="00F075FB" w:rsidP="004F5E7B">
            <w:pPr>
              <w:spacing w:before="120" w:after="120" w:line="240" w:lineRule="atLeast"/>
              <w:ind w:left="0" w:firstLine="0"/>
              <w:rPr>
                <w:rFonts w:cs="Arial"/>
                <w:sz w:val="18"/>
                <w:szCs w:val="18"/>
                <w:lang w:val="en-US"/>
              </w:rPr>
            </w:pPr>
          </w:p>
        </w:tc>
        <w:tc>
          <w:tcPr>
            <w:tcW w:w="1458" w:type="dxa"/>
            <w:tcBorders>
              <w:top w:val="nil"/>
            </w:tcBorders>
            <w:shd w:val="clear" w:color="auto" w:fill="auto"/>
          </w:tcPr>
          <w:p w:rsidR="00F075FB" w:rsidRPr="00EB50AB" w:rsidRDefault="00F075FB" w:rsidP="00B90A00">
            <w:pPr>
              <w:spacing w:before="60" w:after="60" w:line="240" w:lineRule="atLeast"/>
              <w:rPr>
                <w:rFonts w:cs="Arial"/>
                <w:sz w:val="18"/>
                <w:szCs w:val="18"/>
                <w:lang w:val="en-US"/>
              </w:rPr>
            </w:pPr>
          </w:p>
        </w:tc>
        <w:tc>
          <w:tcPr>
            <w:tcW w:w="3296" w:type="dxa"/>
            <w:tcBorders>
              <w:top w:val="nil"/>
            </w:tcBorders>
            <w:shd w:val="clear" w:color="auto" w:fill="auto"/>
          </w:tcPr>
          <w:p w:rsidR="00F075FB" w:rsidRPr="00EB50AB" w:rsidRDefault="00F075FB" w:rsidP="00B90A00">
            <w:pPr>
              <w:spacing w:before="60" w:after="60" w:line="240" w:lineRule="atLeast"/>
              <w:rPr>
                <w:rFonts w:cs="Arial"/>
                <w:sz w:val="18"/>
                <w:szCs w:val="18"/>
                <w:lang w:val="en-US"/>
              </w:rPr>
            </w:pPr>
          </w:p>
        </w:tc>
        <w:tc>
          <w:tcPr>
            <w:tcW w:w="6521" w:type="dxa"/>
            <w:shd w:val="clear" w:color="auto" w:fill="auto"/>
          </w:tcPr>
          <w:p w:rsidR="00F075FB" w:rsidRPr="00020C43" w:rsidRDefault="00F075FB" w:rsidP="007A3786">
            <w:pPr>
              <w:spacing w:before="40" w:after="40" w:line="240" w:lineRule="atLeast"/>
              <w:ind w:left="0" w:firstLine="0"/>
              <w:rPr>
                <w:rFonts w:cs="Arial"/>
                <w:sz w:val="18"/>
                <w:szCs w:val="18"/>
                <w:lang w:val="en-US"/>
              </w:rPr>
            </w:pPr>
            <w:r w:rsidRPr="00F76D36">
              <w:rPr>
                <w:rFonts w:cs="Arial"/>
                <w:sz w:val="18"/>
                <w:szCs w:val="18"/>
                <w:lang w:val="en-US"/>
              </w:rPr>
              <w:t>Inland AIS equipment which has received an approval on or after 19</w:t>
            </w:r>
            <w:r>
              <w:rPr>
                <w:rFonts w:cs="Arial"/>
                <w:sz w:val="18"/>
                <w:szCs w:val="18"/>
                <w:lang w:val="en-US"/>
              </w:rPr>
              <w:t> </w:t>
            </w:r>
            <w:r w:rsidRPr="00F76D36">
              <w:rPr>
                <w:rFonts w:cs="Arial"/>
                <w:sz w:val="18"/>
                <w:szCs w:val="18"/>
                <w:lang w:val="en-US"/>
              </w:rPr>
              <w:t>October</w:t>
            </w:r>
            <w:r>
              <w:rPr>
                <w:rFonts w:cs="Arial"/>
                <w:sz w:val="18"/>
                <w:szCs w:val="18"/>
                <w:lang w:val="en-US"/>
              </w:rPr>
              <w:t> </w:t>
            </w:r>
            <w:r w:rsidRPr="00F76D36">
              <w:rPr>
                <w:rFonts w:cs="Arial"/>
                <w:sz w:val="18"/>
                <w:szCs w:val="18"/>
                <w:lang w:val="en-US"/>
              </w:rPr>
              <w:t xml:space="preserve">2012, pursuant to the requirements of the Test Standard for Inland AIS, Edition 2.0, </w:t>
            </w:r>
            <w:r>
              <w:rPr>
                <w:rFonts w:cs="Arial"/>
                <w:sz w:val="18"/>
                <w:szCs w:val="18"/>
                <w:lang w:val="en-US"/>
              </w:rPr>
              <w:t>adopted by</w:t>
            </w:r>
            <w:r w:rsidRPr="00F76D36">
              <w:rPr>
                <w:rFonts w:cs="Arial"/>
                <w:sz w:val="18"/>
                <w:szCs w:val="18"/>
                <w:lang w:val="en-US"/>
              </w:rPr>
              <w:t xml:space="preserve"> Resolution CCNR 2012-II-20 may continue to be installed and used.</w:t>
            </w:r>
          </w:p>
        </w:tc>
        <w:tc>
          <w:tcPr>
            <w:tcW w:w="1276" w:type="dxa"/>
            <w:shd w:val="clear" w:color="auto" w:fill="auto"/>
          </w:tcPr>
          <w:p w:rsidR="00F075FB" w:rsidRPr="00C903F8" w:rsidRDefault="00F075FB" w:rsidP="004F5E7B">
            <w:pPr>
              <w:spacing w:before="120" w:after="120" w:line="240" w:lineRule="atLeast"/>
              <w:ind w:left="0" w:firstLine="0"/>
              <w:rPr>
                <w:rFonts w:cs="Arial"/>
                <w:sz w:val="18"/>
                <w:szCs w:val="18"/>
                <w:lang w:val="en-US"/>
              </w:rPr>
            </w:pPr>
          </w:p>
        </w:tc>
      </w:tr>
      <w:tr w:rsidR="00F075FB" w:rsidRPr="00C903F8" w:rsidTr="00196FBC">
        <w:trPr>
          <w:cantSplit/>
          <w:jc w:val="center"/>
        </w:trPr>
        <w:tc>
          <w:tcPr>
            <w:tcW w:w="1342" w:type="dxa"/>
            <w:shd w:val="clear" w:color="auto" w:fill="auto"/>
          </w:tcPr>
          <w:p w:rsidR="00F075FB" w:rsidRPr="00C903F8" w:rsidRDefault="00F075FB" w:rsidP="008D121C">
            <w:pPr>
              <w:spacing w:before="240" w:after="240" w:line="240" w:lineRule="atLeast"/>
              <w:ind w:left="0" w:firstLine="0"/>
              <w:jc w:val="left"/>
              <w:rPr>
                <w:rFonts w:cs="Arial"/>
                <w:sz w:val="18"/>
                <w:szCs w:val="18"/>
              </w:rPr>
            </w:pPr>
            <w:r w:rsidRPr="00C903F8">
              <w:rPr>
                <w:rFonts w:cs="Arial"/>
                <w:sz w:val="18"/>
                <w:szCs w:val="18"/>
              </w:rPr>
              <w:t>7.09</w:t>
            </w:r>
          </w:p>
        </w:tc>
        <w:tc>
          <w:tcPr>
            <w:tcW w:w="1458" w:type="dxa"/>
            <w:tcBorders>
              <w:bottom w:val="single" w:sz="4" w:space="0" w:color="auto"/>
            </w:tcBorders>
            <w:shd w:val="clear" w:color="auto" w:fill="auto"/>
          </w:tcPr>
          <w:p w:rsidR="00F075FB" w:rsidRPr="00C903F8" w:rsidRDefault="00F075FB" w:rsidP="008D121C">
            <w:pPr>
              <w:spacing w:before="240" w:after="240" w:line="240" w:lineRule="atLeast"/>
              <w:ind w:left="0" w:firstLine="0"/>
              <w:rPr>
                <w:rFonts w:cs="Arial"/>
                <w:sz w:val="18"/>
                <w:szCs w:val="18"/>
              </w:rPr>
            </w:pPr>
          </w:p>
        </w:tc>
        <w:tc>
          <w:tcPr>
            <w:tcW w:w="3296" w:type="dxa"/>
            <w:tcBorders>
              <w:bottom w:val="single" w:sz="4" w:space="0" w:color="auto"/>
            </w:tcBorders>
            <w:shd w:val="clear" w:color="auto" w:fill="auto"/>
          </w:tcPr>
          <w:p w:rsidR="00F075FB" w:rsidRPr="00C903F8" w:rsidRDefault="00F075FB" w:rsidP="008D121C">
            <w:pPr>
              <w:spacing w:before="240" w:after="240" w:line="240" w:lineRule="atLeast"/>
              <w:ind w:left="0" w:firstLine="0"/>
              <w:rPr>
                <w:rFonts w:cs="Arial"/>
                <w:sz w:val="18"/>
                <w:szCs w:val="18"/>
              </w:rPr>
            </w:pPr>
            <w:r w:rsidRPr="00C903F8">
              <w:rPr>
                <w:rFonts w:cs="Arial"/>
                <w:noProof/>
                <w:sz w:val="18"/>
                <w:szCs w:val="18"/>
              </w:rPr>
              <w:t>Alarm system</w:t>
            </w:r>
          </w:p>
        </w:tc>
        <w:tc>
          <w:tcPr>
            <w:tcW w:w="6521" w:type="dxa"/>
            <w:shd w:val="clear" w:color="auto" w:fill="auto"/>
          </w:tcPr>
          <w:p w:rsidR="00F075FB" w:rsidRPr="00C903F8" w:rsidRDefault="00F075FB" w:rsidP="008D121C">
            <w:pPr>
              <w:spacing w:before="240" w:after="2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8D121C">
            <w:pPr>
              <w:spacing w:before="240" w:after="240" w:line="240" w:lineRule="atLeast"/>
              <w:ind w:left="0" w:firstLine="0"/>
              <w:rPr>
                <w:rFonts w:cs="Arial"/>
                <w:sz w:val="18"/>
                <w:szCs w:val="18"/>
              </w:rPr>
            </w:pPr>
            <w:r w:rsidRPr="00C903F8">
              <w:rPr>
                <w:rFonts w:cs="Arial"/>
                <w:sz w:val="18"/>
                <w:szCs w:val="18"/>
              </w:rPr>
              <w:t>1.1.2010</w:t>
            </w:r>
          </w:p>
        </w:tc>
      </w:tr>
      <w:tr w:rsidR="00F075FB" w:rsidRPr="00296858" w:rsidTr="00F14E8B">
        <w:trPr>
          <w:cantSplit/>
          <w:jc w:val="center"/>
        </w:trPr>
        <w:tc>
          <w:tcPr>
            <w:tcW w:w="1342" w:type="dxa"/>
            <w:vMerge w:val="restart"/>
            <w:shd w:val="clear" w:color="auto" w:fill="auto"/>
          </w:tcPr>
          <w:p w:rsidR="00F075FB" w:rsidRPr="00C903F8" w:rsidRDefault="00F075FB" w:rsidP="007406CD">
            <w:pPr>
              <w:spacing w:before="120" w:after="120" w:line="240" w:lineRule="atLeast"/>
              <w:ind w:left="0" w:firstLine="0"/>
              <w:jc w:val="left"/>
              <w:rPr>
                <w:rFonts w:cs="Arial"/>
                <w:sz w:val="18"/>
                <w:szCs w:val="18"/>
              </w:rPr>
            </w:pPr>
            <w:r w:rsidRPr="00C903F8">
              <w:rPr>
                <w:rFonts w:cs="Arial"/>
                <w:sz w:val="18"/>
                <w:szCs w:val="18"/>
              </w:rPr>
              <w:t>7.12</w:t>
            </w:r>
          </w:p>
        </w:tc>
        <w:tc>
          <w:tcPr>
            <w:tcW w:w="1458" w:type="dxa"/>
            <w:shd w:val="clear" w:color="auto" w:fill="auto"/>
          </w:tcPr>
          <w:p w:rsidR="00F075FB" w:rsidRPr="009942A5" w:rsidRDefault="00F075FB" w:rsidP="007406CD">
            <w:pPr>
              <w:widowControl w:val="0"/>
              <w:spacing w:before="60" w:after="60" w:line="240" w:lineRule="atLeast"/>
              <w:ind w:left="0" w:firstLine="0"/>
              <w:jc w:val="left"/>
              <w:rPr>
                <w:rFonts w:cs="Arial"/>
                <w:sz w:val="18"/>
                <w:szCs w:val="18"/>
                <w:lang w:val="en-GB"/>
              </w:rPr>
            </w:pPr>
            <w:r w:rsidRPr="009942A5">
              <w:rPr>
                <w:rFonts w:cs="Arial"/>
                <w:sz w:val="18"/>
                <w:szCs w:val="18"/>
                <w:lang w:val="en-GB"/>
              </w:rPr>
              <w:t xml:space="preserve">(4) </w:t>
            </w:r>
            <w:r w:rsidRPr="009942A5">
              <w:rPr>
                <w:rFonts w:cs="Arial"/>
                <w:sz w:val="18"/>
                <w:szCs w:val="18"/>
                <w:lang w:val="en-GB"/>
              </w:rPr>
              <w:br/>
              <w:t>2nd sentence</w:t>
            </w:r>
          </w:p>
        </w:tc>
        <w:tc>
          <w:tcPr>
            <w:tcW w:w="3296" w:type="dxa"/>
            <w:shd w:val="clear" w:color="auto" w:fill="auto"/>
          </w:tcPr>
          <w:p w:rsidR="00F075FB" w:rsidRPr="009942A5" w:rsidRDefault="00F075FB" w:rsidP="000E732C">
            <w:pPr>
              <w:widowControl w:val="0"/>
              <w:spacing w:before="60" w:after="60" w:line="240" w:lineRule="atLeast"/>
              <w:rPr>
                <w:rFonts w:cs="Arial"/>
                <w:sz w:val="18"/>
                <w:szCs w:val="18"/>
                <w:lang w:val="en-GB"/>
              </w:rPr>
            </w:pPr>
            <w:r w:rsidRPr="009942A5">
              <w:rPr>
                <w:rFonts w:cs="Arial"/>
                <w:sz w:val="18"/>
                <w:szCs w:val="18"/>
                <w:lang w:val="en-GB"/>
              </w:rPr>
              <w:t>Indications</w:t>
            </w:r>
          </w:p>
        </w:tc>
        <w:tc>
          <w:tcPr>
            <w:tcW w:w="6521" w:type="dxa"/>
            <w:shd w:val="clear" w:color="auto" w:fill="auto"/>
          </w:tcPr>
          <w:p w:rsidR="00F075FB" w:rsidRPr="009942A5" w:rsidRDefault="00F075FB" w:rsidP="009942A5">
            <w:pPr>
              <w:widowControl w:val="0"/>
              <w:spacing w:before="60" w:after="60" w:line="240" w:lineRule="atLeast"/>
              <w:ind w:left="0" w:firstLine="0"/>
              <w:rPr>
                <w:rFonts w:cs="Arial"/>
                <w:sz w:val="18"/>
                <w:szCs w:val="18"/>
                <w:lang w:val="en-GB"/>
              </w:rPr>
            </w:pPr>
            <w:r>
              <w:rPr>
                <w:rFonts w:cs="Arial"/>
                <w:sz w:val="18"/>
                <w:szCs w:val="18"/>
                <w:lang w:val="en-GB"/>
              </w:rPr>
              <w:t>N.R.C.</w:t>
            </w:r>
            <w:r w:rsidRPr="009942A5">
              <w:rPr>
                <w:rFonts w:cs="Arial"/>
                <w:sz w:val="18"/>
                <w:szCs w:val="18"/>
                <w:lang w:val="en-GB"/>
              </w:rPr>
              <w:t>, at the latest on renewal of the inland navigation vessel certificate.</w:t>
            </w:r>
          </w:p>
        </w:tc>
        <w:tc>
          <w:tcPr>
            <w:tcW w:w="1276" w:type="dxa"/>
            <w:shd w:val="clear" w:color="auto" w:fill="auto"/>
          </w:tcPr>
          <w:p w:rsidR="00F075FB" w:rsidRPr="009942A5" w:rsidRDefault="00F075FB" w:rsidP="000E732C">
            <w:pPr>
              <w:widowControl w:val="0"/>
              <w:spacing w:before="60" w:after="60" w:line="240" w:lineRule="atLeast"/>
              <w:rPr>
                <w:rFonts w:cs="Arial"/>
                <w:sz w:val="18"/>
                <w:szCs w:val="18"/>
                <w:lang w:val="en-GB"/>
              </w:rPr>
            </w:pPr>
          </w:p>
        </w:tc>
      </w:tr>
      <w:tr w:rsidR="00F075FB" w:rsidRPr="0092687B" w:rsidTr="007406CD">
        <w:trPr>
          <w:cantSplit/>
          <w:trHeight w:val="517"/>
          <w:jc w:val="center"/>
        </w:trPr>
        <w:tc>
          <w:tcPr>
            <w:tcW w:w="1342" w:type="dxa"/>
            <w:vMerge/>
            <w:shd w:val="clear" w:color="auto" w:fill="auto"/>
          </w:tcPr>
          <w:p w:rsidR="00F075FB" w:rsidRPr="007406CD" w:rsidRDefault="00F075FB" w:rsidP="009C40EF">
            <w:pPr>
              <w:spacing w:before="120" w:after="120" w:line="240" w:lineRule="atLeast"/>
              <w:ind w:left="0"/>
              <w:jc w:val="left"/>
              <w:rPr>
                <w:rFonts w:cs="Arial"/>
                <w:sz w:val="18"/>
                <w:szCs w:val="18"/>
                <w:lang w:val="en-GB"/>
              </w:rPr>
            </w:pPr>
          </w:p>
        </w:tc>
        <w:tc>
          <w:tcPr>
            <w:tcW w:w="1458" w:type="dxa"/>
            <w:shd w:val="clear" w:color="auto" w:fill="auto"/>
          </w:tcPr>
          <w:p w:rsidR="00F075FB" w:rsidRPr="009942A5" w:rsidRDefault="00F075FB" w:rsidP="007406CD">
            <w:pPr>
              <w:widowControl w:val="0"/>
              <w:spacing w:before="60" w:after="60" w:line="240" w:lineRule="atLeast"/>
              <w:ind w:left="0" w:firstLine="0"/>
              <w:jc w:val="left"/>
              <w:rPr>
                <w:rFonts w:cs="Arial"/>
                <w:sz w:val="18"/>
                <w:szCs w:val="18"/>
                <w:lang w:val="en-GB"/>
              </w:rPr>
            </w:pPr>
            <w:r w:rsidRPr="009942A5">
              <w:rPr>
                <w:rFonts w:cs="Arial"/>
                <w:sz w:val="18"/>
                <w:szCs w:val="18"/>
                <w:lang w:val="en-GB"/>
              </w:rPr>
              <w:t>(5)</w:t>
            </w:r>
          </w:p>
        </w:tc>
        <w:tc>
          <w:tcPr>
            <w:tcW w:w="3296" w:type="dxa"/>
            <w:shd w:val="clear" w:color="auto" w:fill="auto"/>
          </w:tcPr>
          <w:p w:rsidR="00F075FB" w:rsidRPr="009942A5" w:rsidRDefault="00F075FB" w:rsidP="000E732C">
            <w:pPr>
              <w:widowControl w:val="0"/>
              <w:spacing w:before="60" w:after="60" w:line="240" w:lineRule="atLeast"/>
              <w:rPr>
                <w:rFonts w:cs="Arial"/>
                <w:sz w:val="18"/>
                <w:szCs w:val="18"/>
                <w:lang w:val="en-GB"/>
              </w:rPr>
            </w:pPr>
            <w:r w:rsidRPr="009942A5">
              <w:rPr>
                <w:rFonts w:cs="Arial"/>
                <w:sz w:val="18"/>
                <w:szCs w:val="18"/>
                <w:lang w:val="en-GB"/>
              </w:rPr>
              <w:t>Stopping and locking</w:t>
            </w:r>
          </w:p>
        </w:tc>
        <w:tc>
          <w:tcPr>
            <w:tcW w:w="6521" w:type="dxa"/>
            <w:shd w:val="clear" w:color="auto" w:fill="auto"/>
          </w:tcPr>
          <w:p w:rsidR="00F075FB" w:rsidRPr="009942A5" w:rsidRDefault="00F075FB" w:rsidP="009942A5">
            <w:pPr>
              <w:widowControl w:val="0"/>
              <w:spacing w:before="60" w:after="60" w:line="240" w:lineRule="atLeast"/>
              <w:ind w:left="0" w:firstLine="0"/>
              <w:rPr>
                <w:rFonts w:cs="Arial"/>
                <w:sz w:val="18"/>
                <w:szCs w:val="18"/>
                <w:lang w:val="en-GB"/>
              </w:rPr>
            </w:pPr>
            <w:r>
              <w:rPr>
                <w:rFonts w:cs="Arial"/>
                <w:sz w:val="18"/>
                <w:szCs w:val="18"/>
                <w:lang w:val="en-GB"/>
              </w:rPr>
              <w:t>N.R.C.</w:t>
            </w:r>
            <w:r w:rsidRPr="009942A5">
              <w:rPr>
                <w:rFonts w:cs="Arial"/>
                <w:sz w:val="18"/>
                <w:szCs w:val="18"/>
                <w:lang w:val="en-GB"/>
              </w:rPr>
              <w:t xml:space="preserve">, at the latest on renewal of the inland navigation vessel certificate after </w:t>
            </w:r>
          </w:p>
        </w:tc>
        <w:tc>
          <w:tcPr>
            <w:tcW w:w="1276" w:type="dxa"/>
            <w:shd w:val="clear" w:color="auto" w:fill="auto"/>
          </w:tcPr>
          <w:p w:rsidR="00F075FB" w:rsidRPr="009942A5" w:rsidRDefault="00F075FB" w:rsidP="000E732C">
            <w:pPr>
              <w:widowControl w:val="0"/>
              <w:spacing w:before="60" w:after="60" w:line="240" w:lineRule="atLeast"/>
              <w:rPr>
                <w:rFonts w:cs="Arial"/>
                <w:sz w:val="18"/>
                <w:szCs w:val="18"/>
                <w:lang w:val="en-GB"/>
              </w:rPr>
            </w:pPr>
            <w:r w:rsidRPr="009942A5">
              <w:rPr>
                <w:rFonts w:cs="Arial"/>
                <w:sz w:val="18"/>
                <w:szCs w:val="18"/>
                <w:lang w:val="en-GB"/>
              </w:rPr>
              <w:t>1.1.2025</w:t>
            </w:r>
          </w:p>
        </w:tc>
      </w:tr>
      <w:tr w:rsidR="00F075FB" w:rsidRPr="0092687B" w:rsidTr="007406CD">
        <w:trPr>
          <w:cantSplit/>
          <w:trHeight w:val="553"/>
          <w:jc w:val="center"/>
        </w:trPr>
        <w:tc>
          <w:tcPr>
            <w:tcW w:w="1342" w:type="dxa"/>
            <w:vMerge/>
            <w:shd w:val="clear" w:color="auto" w:fill="auto"/>
          </w:tcPr>
          <w:p w:rsidR="00F075FB" w:rsidRPr="007406CD" w:rsidRDefault="00F075FB" w:rsidP="009C40EF">
            <w:pPr>
              <w:spacing w:before="120" w:after="120" w:line="240" w:lineRule="atLeast"/>
              <w:ind w:left="0"/>
              <w:jc w:val="left"/>
              <w:rPr>
                <w:rFonts w:cs="Arial"/>
                <w:sz w:val="18"/>
                <w:szCs w:val="18"/>
                <w:lang w:val="en-GB"/>
              </w:rPr>
            </w:pPr>
          </w:p>
        </w:tc>
        <w:tc>
          <w:tcPr>
            <w:tcW w:w="1458" w:type="dxa"/>
            <w:shd w:val="clear" w:color="auto" w:fill="auto"/>
          </w:tcPr>
          <w:p w:rsidR="00F075FB" w:rsidRPr="009942A5" w:rsidRDefault="00F075FB" w:rsidP="007406CD">
            <w:pPr>
              <w:widowControl w:val="0"/>
              <w:spacing w:before="60" w:after="60" w:line="240" w:lineRule="atLeast"/>
              <w:ind w:left="0" w:firstLine="0"/>
              <w:jc w:val="left"/>
              <w:rPr>
                <w:rFonts w:cs="Arial"/>
                <w:sz w:val="18"/>
                <w:szCs w:val="18"/>
                <w:lang w:val="en-GB"/>
              </w:rPr>
            </w:pPr>
            <w:r w:rsidRPr="009942A5">
              <w:rPr>
                <w:rFonts w:cs="Arial"/>
                <w:sz w:val="18"/>
                <w:szCs w:val="18"/>
                <w:lang w:val="en-GB"/>
              </w:rPr>
              <w:t>(6)</w:t>
            </w:r>
          </w:p>
        </w:tc>
        <w:tc>
          <w:tcPr>
            <w:tcW w:w="3296" w:type="dxa"/>
            <w:shd w:val="clear" w:color="auto" w:fill="auto"/>
          </w:tcPr>
          <w:p w:rsidR="00F075FB" w:rsidRPr="009942A5" w:rsidRDefault="00F075FB" w:rsidP="000E732C">
            <w:pPr>
              <w:widowControl w:val="0"/>
              <w:spacing w:before="60" w:after="60" w:line="240" w:lineRule="atLeast"/>
              <w:rPr>
                <w:rFonts w:cs="Arial"/>
                <w:sz w:val="18"/>
                <w:szCs w:val="18"/>
                <w:lang w:val="en-GB"/>
              </w:rPr>
            </w:pPr>
            <w:r w:rsidRPr="009942A5">
              <w:rPr>
                <w:rFonts w:cs="Arial"/>
                <w:sz w:val="18"/>
                <w:szCs w:val="18"/>
                <w:lang w:val="en-GB"/>
              </w:rPr>
              <w:t>Automatic deactivation</w:t>
            </w:r>
          </w:p>
        </w:tc>
        <w:tc>
          <w:tcPr>
            <w:tcW w:w="6521" w:type="dxa"/>
            <w:shd w:val="clear" w:color="auto" w:fill="auto"/>
          </w:tcPr>
          <w:p w:rsidR="00F075FB" w:rsidRPr="009942A5" w:rsidRDefault="00F075FB" w:rsidP="009942A5">
            <w:pPr>
              <w:widowControl w:val="0"/>
              <w:spacing w:before="60" w:after="60" w:line="240" w:lineRule="atLeast"/>
              <w:ind w:left="0" w:firstLine="0"/>
              <w:rPr>
                <w:rFonts w:cs="Arial"/>
                <w:sz w:val="18"/>
                <w:szCs w:val="18"/>
                <w:lang w:val="en-GB"/>
              </w:rPr>
            </w:pPr>
            <w:r>
              <w:rPr>
                <w:rFonts w:cs="Arial"/>
                <w:sz w:val="18"/>
                <w:szCs w:val="18"/>
                <w:lang w:val="en-GB"/>
              </w:rPr>
              <w:t>N.R.C.</w:t>
            </w:r>
            <w:r w:rsidRPr="009942A5">
              <w:rPr>
                <w:rFonts w:cs="Arial"/>
                <w:sz w:val="18"/>
                <w:szCs w:val="18"/>
                <w:lang w:val="en-GB"/>
              </w:rPr>
              <w:t xml:space="preserve">, at the latest on renewal of the inland navigation vessel certificate after </w:t>
            </w:r>
          </w:p>
        </w:tc>
        <w:tc>
          <w:tcPr>
            <w:tcW w:w="1276" w:type="dxa"/>
            <w:shd w:val="clear" w:color="auto" w:fill="auto"/>
          </w:tcPr>
          <w:p w:rsidR="00F075FB" w:rsidRPr="009942A5" w:rsidRDefault="00F075FB" w:rsidP="000E732C">
            <w:pPr>
              <w:widowControl w:val="0"/>
              <w:spacing w:before="60" w:after="60" w:line="240" w:lineRule="atLeast"/>
              <w:rPr>
                <w:rFonts w:cs="Arial"/>
                <w:sz w:val="18"/>
                <w:szCs w:val="18"/>
                <w:lang w:val="en-GB"/>
              </w:rPr>
            </w:pPr>
            <w:r w:rsidRPr="009942A5">
              <w:rPr>
                <w:rFonts w:cs="Arial"/>
                <w:sz w:val="18"/>
                <w:szCs w:val="18"/>
                <w:lang w:val="en-GB"/>
              </w:rPr>
              <w:t>1.1.2025</w:t>
            </w:r>
          </w:p>
        </w:tc>
      </w:tr>
      <w:tr w:rsidR="00F075FB" w:rsidRPr="0092687B" w:rsidTr="00F14E8B">
        <w:trPr>
          <w:cantSplit/>
          <w:jc w:val="center"/>
        </w:trPr>
        <w:tc>
          <w:tcPr>
            <w:tcW w:w="1342" w:type="dxa"/>
            <w:vMerge/>
            <w:shd w:val="clear" w:color="auto" w:fill="auto"/>
          </w:tcPr>
          <w:p w:rsidR="00F075FB" w:rsidRPr="007406CD" w:rsidRDefault="00F075FB" w:rsidP="009C40EF">
            <w:pPr>
              <w:spacing w:before="120" w:after="120" w:line="240" w:lineRule="atLeast"/>
              <w:ind w:left="0"/>
              <w:jc w:val="left"/>
              <w:rPr>
                <w:rFonts w:cs="Arial"/>
                <w:sz w:val="18"/>
                <w:szCs w:val="18"/>
                <w:lang w:val="en-GB"/>
              </w:rPr>
            </w:pPr>
          </w:p>
        </w:tc>
        <w:tc>
          <w:tcPr>
            <w:tcW w:w="1458" w:type="dxa"/>
            <w:shd w:val="clear" w:color="auto" w:fill="auto"/>
          </w:tcPr>
          <w:p w:rsidR="00F075FB" w:rsidRPr="009942A5" w:rsidRDefault="00F075FB" w:rsidP="007406CD">
            <w:pPr>
              <w:widowControl w:val="0"/>
              <w:spacing w:before="60" w:after="60" w:line="240" w:lineRule="atLeast"/>
              <w:ind w:left="0" w:firstLine="0"/>
              <w:jc w:val="left"/>
              <w:rPr>
                <w:rFonts w:cs="Arial"/>
                <w:sz w:val="18"/>
                <w:szCs w:val="18"/>
                <w:lang w:val="en-GB"/>
              </w:rPr>
            </w:pPr>
            <w:r w:rsidRPr="009942A5">
              <w:rPr>
                <w:rFonts w:cs="Arial"/>
                <w:sz w:val="18"/>
                <w:szCs w:val="18"/>
                <w:lang w:val="en-GB"/>
              </w:rPr>
              <w:t xml:space="preserve">(7) </w:t>
            </w:r>
            <w:r w:rsidRPr="009942A5">
              <w:rPr>
                <w:rFonts w:cs="Arial"/>
                <w:sz w:val="18"/>
                <w:szCs w:val="18"/>
                <w:lang w:val="en-GB"/>
              </w:rPr>
              <w:br/>
              <w:t>1st and 2nd sentences</w:t>
            </w:r>
          </w:p>
        </w:tc>
        <w:tc>
          <w:tcPr>
            <w:tcW w:w="3296" w:type="dxa"/>
            <w:shd w:val="clear" w:color="auto" w:fill="auto"/>
          </w:tcPr>
          <w:p w:rsidR="00F075FB" w:rsidRPr="009942A5" w:rsidRDefault="00F075FB" w:rsidP="000E732C">
            <w:pPr>
              <w:widowControl w:val="0"/>
              <w:spacing w:before="60" w:after="60" w:line="240" w:lineRule="atLeast"/>
              <w:rPr>
                <w:rFonts w:cs="Arial"/>
                <w:sz w:val="18"/>
                <w:szCs w:val="18"/>
                <w:lang w:val="en-GB"/>
              </w:rPr>
            </w:pPr>
            <w:r w:rsidRPr="009942A5">
              <w:rPr>
                <w:rFonts w:cs="Arial"/>
                <w:sz w:val="18"/>
                <w:szCs w:val="18"/>
                <w:lang w:val="en-GB"/>
              </w:rPr>
              <w:t>Arrangements and protection features</w:t>
            </w:r>
          </w:p>
        </w:tc>
        <w:tc>
          <w:tcPr>
            <w:tcW w:w="6521" w:type="dxa"/>
            <w:shd w:val="clear" w:color="auto" w:fill="auto"/>
          </w:tcPr>
          <w:p w:rsidR="00F075FB" w:rsidRPr="009942A5" w:rsidRDefault="00F075FB" w:rsidP="009942A5">
            <w:pPr>
              <w:widowControl w:val="0"/>
              <w:spacing w:before="60" w:after="60" w:line="240" w:lineRule="atLeast"/>
              <w:ind w:left="0" w:firstLine="0"/>
              <w:rPr>
                <w:rFonts w:cs="Arial"/>
                <w:sz w:val="18"/>
                <w:szCs w:val="18"/>
                <w:lang w:val="en-GB"/>
              </w:rPr>
            </w:pPr>
            <w:r>
              <w:rPr>
                <w:rFonts w:cs="Arial"/>
                <w:sz w:val="18"/>
                <w:szCs w:val="18"/>
                <w:lang w:val="en-GB"/>
              </w:rPr>
              <w:t>N.R.C.</w:t>
            </w:r>
            <w:r w:rsidRPr="009942A5">
              <w:rPr>
                <w:rFonts w:cs="Arial"/>
                <w:sz w:val="18"/>
                <w:szCs w:val="18"/>
                <w:lang w:val="en-GB"/>
              </w:rPr>
              <w:t xml:space="preserve">, at the latest on renewal of the inland navigation vessel certificate after </w:t>
            </w:r>
          </w:p>
        </w:tc>
        <w:tc>
          <w:tcPr>
            <w:tcW w:w="1276" w:type="dxa"/>
            <w:shd w:val="clear" w:color="auto" w:fill="auto"/>
          </w:tcPr>
          <w:p w:rsidR="00F075FB" w:rsidRPr="009942A5" w:rsidRDefault="00F075FB" w:rsidP="000E732C">
            <w:pPr>
              <w:widowControl w:val="0"/>
              <w:spacing w:before="60" w:after="60" w:line="240" w:lineRule="atLeast"/>
              <w:rPr>
                <w:rFonts w:cs="Arial"/>
                <w:sz w:val="18"/>
                <w:szCs w:val="18"/>
                <w:lang w:val="en-GB"/>
              </w:rPr>
            </w:pPr>
            <w:r w:rsidRPr="009942A5">
              <w:rPr>
                <w:rFonts w:cs="Arial"/>
                <w:sz w:val="18"/>
                <w:szCs w:val="18"/>
                <w:lang w:val="en-GB"/>
              </w:rPr>
              <w:t>1.1.2025</w:t>
            </w:r>
          </w:p>
        </w:tc>
      </w:tr>
      <w:tr w:rsidR="00F075FB" w:rsidRPr="00296858" w:rsidTr="00F14E8B">
        <w:trPr>
          <w:cantSplit/>
          <w:jc w:val="center"/>
        </w:trPr>
        <w:tc>
          <w:tcPr>
            <w:tcW w:w="1342" w:type="dxa"/>
            <w:vMerge/>
            <w:shd w:val="clear" w:color="auto" w:fill="auto"/>
          </w:tcPr>
          <w:p w:rsidR="00F075FB" w:rsidRPr="007406CD" w:rsidRDefault="00F075FB" w:rsidP="009C40EF">
            <w:pPr>
              <w:spacing w:before="120" w:after="120" w:line="240" w:lineRule="atLeast"/>
              <w:ind w:left="0"/>
              <w:jc w:val="left"/>
              <w:rPr>
                <w:rFonts w:cs="Arial"/>
                <w:sz w:val="18"/>
                <w:szCs w:val="18"/>
                <w:lang w:val="en-GB"/>
              </w:rPr>
            </w:pPr>
          </w:p>
        </w:tc>
        <w:tc>
          <w:tcPr>
            <w:tcW w:w="1458" w:type="dxa"/>
            <w:shd w:val="clear" w:color="auto" w:fill="auto"/>
          </w:tcPr>
          <w:p w:rsidR="00F075FB" w:rsidRPr="009942A5" w:rsidRDefault="00F075FB" w:rsidP="007406CD">
            <w:pPr>
              <w:widowControl w:val="0"/>
              <w:spacing w:before="60" w:after="60" w:line="240" w:lineRule="atLeast"/>
              <w:ind w:left="0" w:firstLine="0"/>
              <w:jc w:val="left"/>
              <w:rPr>
                <w:rFonts w:cs="Arial"/>
                <w:sz w:val="18"/>
                <w:szCs w:val="18"/>
                <w:lang w:val="en-GB"/>
              </w:rPr>
            </w:pPr>
            <w:r w:rsidRPr="009942A5">
              <w:rPr>
                <w:rFonts w:cs="Arial"/>
                <w:sz w:val="18"/>
                <w:szCs w:val="18"/>
                <w:lang w:val="en-GB"/>
              </w:rPr>
              <w:t xml:space="preserve">(7) </w:t>
            </w:r>
            <w:r w:rsidRPr="009942A5">
              <w:rPr>
                <w:rFonts w:cs="Arial"/>
                <w:sz w:val="18"/>
                <w:szCs w:val="18"/>
                <w:lang w:val="en-GB"/>
              </w:rPr>
              <w:br/>
              <w:t>3rd sentence</w:t>
            </w:r>
          </w:p>
        </w:tc>
        <w:tc>
          <w:tcPr>
            <w:tcW w:w="3296" w:type="dxa"/>
            <w:shd w:val="clear" w:color="auto" w:fill="auto"/>
          </w:tcPr>
          <w:p w:rsidR="00F075FB" w:rsidRPr="009942A5" w:rsidRDefault="00F075FB" w:rsidP="000E732C">
            <w:pPr>
              <w:widowControl w:val="0"/>
              <w:spacing w:before="60" w:after="60" w:line="240" w:lineRule="atLeast"/>
              <w:rPr>
                <w:rFonts w:cs="Arial"/>
                <w:sz w:val="18"/>
                <w:szCs w:val="18"/>
                <w:lang w:val="en-GB"/>
              </w:rPr>
            </w:pPr>
            <w:r w:rsidRPr="009942A5">
              <w:rPr>
                <w:rFonts w:cs="Arial"/>
                <w:sz w:val="18"/>
                <w:szCs w:val="18"/>
                <w:lang w:val="en-GB"/>
              </w:rPr>
              <w:t>Optical signal</w:t>
            </w:r>
          </w:p>
        </w:tc>
        <w:tc>
          <w:tcPr>
            <w:tcW w:w="6521" w:type="dxa"/>
            <w:shd w:val="clear" w:color="auto" w:fill="auto"/>
          </w:tcPr>
          <w:p w:rsidR="00F075FB" w:rsidRPr="009942A5" w:rsidRDefault="00F075FB" w:rsidP="009942A5">
            <w:pPr>
              <w:widowControl w:val="0"/>
              <w:spacing w:before="60" w:after="60" w:line="240" w:lineRule="atLeast"/>
              <w:ind w:left="0" w:firstLine="0"/>
              <w:rPr>
                <w:rFonts w:cs="Arial"/>
                <w:sz w:val="18"/>
                <w:szCs w:val="18"/>
                <w:lang w:val="en-GB"/>
              </w:rPr>
            </w:pPr>
            <w:r>
              <w:rPr>
                <w:rFonts w:cs="Arial"/>
                <w:sz w:val="18"/>
                <w:szCs w:val="18"/>
                <w:lang w:val="en-GB"/>
              </w:rPr>
              <w:t>N.R.C.</w:t>
            </w:r>
            <w:r w:rsidRPr="009942A5">
              <w:rPr>
                <w:rFonts w:cs="Arial"/>
                <w:sz w:val="18"/>
                <w:szCs w:val="18"/>
                <w:lang w:val="en-GB"/>
              </w:rPr>
              <w:t>, at the latest on renewal of the inland navigation vessel certificate.</w:t>
            </w:r>
          </w:p>
        </w:tc>
        <w:tc>
          <w:tcPr>
            <w:tcW w:w="1276" w:type="dxa"/>
            <w:shd w:val="clear" w:color="auto" w:fill="auto"/>
          </w:tcPr>
          <w:p w:rsidR="00F075FB" w:rsidRPr="009942A5" w:rsidRDefault="00F075FB" w:rsidP="000E732C">
            <w:pPr>
              <w:widowControl w:val="0"/>
              <w:spacing w:before="60" w:after="60" w:line="240" w:lineRule="atLeast"/>
              <w:rPr>
                <w:rFonts w:cs="Arial"/>
                <w:sz w:val="18"/>
                <w:szCs w:val="18"/>
                <w:lang w:val="en-GB"/>
              </w:rPr>
            </w:pPr>
          </w:p>
        </w:tc>
      </w:tr>
      <w:tr w:rsidR="00F075FB" w:rsidRPr="0092687B" w:rsidTr="00F14E8B">
        <w:trPr>
          <w:cantSplit/>
          <w:jc w:val="center"/>
        </w:trPr>
        <w:tc>
          <w:tcPr>
            <w:tcW w:w="1342" w:type="dxa"/>
            <w:vMerge/>
            <w:shd w:val="clear" w:color="auto" w:fill="auto"/>
          </w:tcPr>
          <w:p w:rsidR="00F075FB" w:rsidRPr="007406CD" w:rsidRDefault="00F075FB" w:rsidP="009C40EF">
            <w:pPr>
              <w:spacing w:before="120" w:after="120" w:line="240" w:lineRule="atLeast"/>
              <w:ind w:left="0"/>
              <w:jc w:val="left"/>
              <w:rPr>
                <w:rFonts w:cs="Arial"/>
                <w:sz w:val="18"/>
                <w:szCs w:val="18"/>
                <w:lang w:val="en-GB"/>
              </w:rPr>
            </w:pPr>
          </w:p>
        </w:tc>
        <w:tc>
          <w:tcPr>
            <w:tcW w:w="1458" w:type="dxa"/>
            <w:shd w:val="clear" w:color="auto" w:fill="auto"/>
          </w:tcPr>
          <w:p w:rsidR="00F075FB" w:rsidRPr="009942A5" w:rsidRDefault="00F075FB" w:rsidP="007406CD">
            <w:pPr>
              <w:widowControl w:val="0"/>
              <w:spacing w:before="60" w:after="60" w:line="240" w:lineRule="atLeast"/>
              <w:ind w:left="0" w:firstLine="0"/>
              <w:jc w:val="left"/>
              <w:rPr>
                <w:rFonts w:cs="Arial"/>
                <w:sz w:val="18"/>
                <w:szCs w:val="18"/>
                <w:lang w:val="en-GB"/>
              </w:rPr>
            </w:pPr>
            <w:r w:rsidRPr="009942A5">
              <w:rPr>
                <w:rFonts w:cs="Arial"/>
                <w:sz w:val="18"/>
                <w:szCs w:val="18"/>
                <w:lang w:val="en-GB"/>
              </w:rPr>
              <w:t>(8)</w:t>
            </w:r>
          </w:p>
        </w:tc>
        <w:tc>
          <w:tcPr>
            <w:tcW w:w="3296" w:type="dxa"/>
            <w:shd w:val="clear" w:color="auto" w:fill="auto"/>
          </w:tcPr>
          <w:p w:rsidR="00F075FB" w:rsidRPr="009942A5" w:rsidRDefault="00F075FB" w:rsidP="000E732C">
            <w:pPr>
              <w:widowControl w:val="0"/>
              <w:tabs>
                <w:tab w:val="left" w:pos="1260"/>
              </w:tabs>
              <w:adjustRightInd w:val="0"/>
              <w:spacing w:before="60" w:after="60" w:line="240" w:lineRule="atLeast"/>
              <w:rPr>
                <w:rFonts w:cs="Arial"/>
                <w:sz w:val="18"/>
                <w:szCs w:val="18"/>
                <w:lang w:val="en-GB"/>
              </w:rPr>
            </w:pPr>
            <w:r w:rsidRPr="009942A5">
              <w:rPr>
                <w:rFonts w:cs="Arial"/>
                <w:sz w:val="18"/>
                <w:szCs w:val="18"/>
                <w:lang w:val="en-GB"/>
              </w:rPr>
              <w:t>Emergency lowering system</w:t>
            </w:r>
          </w:p>
        </w:tc>
        <w:tc>
          <w:tcPr>
            <w:tcW w:w="6521" w:type="dxa"/>
            <w:shd w:val="clear" w:color="auto" w:fill="auto"/>
          </w:tcPr>
          <w:p w:rsidR="00F075FB" w:rsidRPr="009942A5" w:rsidRDefault="00F075FB" w:rsidP="009942A5">
            <w:pPr>
              <w:widowControl w:val="0"/>
              <w:spacing w:before="60" w:after="60" w:line="240" w:lineRule="atLeast"/>
              <w:ind w:left="0" w:firstLine="0"/>
              <w:rPr>
                <w:rFonts w:cs="Arial"/>
                <w:sz w:val="18"/>
                <w:szCs w:val="18"/>
                <w:lang w:val="en-GB"/>
              </w:rPr>
            </w:pPr>
            <w:r w:rsidRPr="009942A5">
              <w:rPr>
                <w:rFonts w:cs="Arial"/>
                <w:sz w:val="18"/>
                <w:szCs w:val="18"/>
                <w:lang w:val="en-GB"/>
              </w:rPr>
              <w:t xml:space="preserve">If hydraulic lowering is not possible: </w:t>
            </w:r>
            <w:r>
              <w:rPr>
                <w:rFonts w:cs="Arial"/>
                <w:sz w:val="18"/>
                <w:szCs w:val="18"/>
                <w:lang w:val="en-GB"/>
              </w:rPr>
              <w:t>N.R.C.</w:t>
            </w:r>
            <w:r w:rsidRPr="009942A5">
              <w:rPr>
                <w:rFonts w:cs="Arial"/>
                <w:sz w:val="18"/>
                <w:szCs w:val="18"/>
                <w:lang w:val="en-GB"/>
              </w:rPr>
              <w:t xml:space="preserve">, at the latest on renewal of the inland navigation vessel certificate after </w:t>
            </w:r>
          </w:p>
        </w:tc>
        <w:tc>
          <w:tcPr>
            <w:tcW w:w="1276" w:type="dxa"/>
            <w:shd w:val="clear" w:color="auto" w:fill="auto"/>
          </w:tcPr>
          <w:p w:rsidR="00F075FB" w:rsidRPr="009942A5" w:rsidRDefault="00F075FB" w:rsidP="000E732C">
            <w:pPr>
              <w:widowControl w:val="0"/>
              <w:spacing w:before="60" w:after="60" w:line="240" w:lineRule="atLeast"/>
              <w:rPr>
                <w:rFonts w:cs="Arial"/>
                <w:sz w:val="18"/>
                <w:szCs w:val="18"/>
                <w:lang w:val="en-GB"/>
              </w:rPr>
            </w:pPr>
            <w:r w:rsidRPr="009942A5">
              <w:rPr>
                <w:rFonts w:cs="Arial"/>
                <w:sz w:val="18"/>
                <w:szCs w:val="18"/>
                <w:lang w:val="en-GB"/>
              </w:rPr>
              <w:t>1.1.2040</w:t>
            </w:r>
          </w:p>
        </w:tc>
      </w:tr>
      <w:tr w:rsidR="00F075FB" w:rsidRPr="00296858" w:rsidTr="00F14E8B">
        <w:trPr>
          <w:cantSplit/>
          <w:jc w:val="center"/>
        </w:trPr>
        <w:tc>
          <w:tcPr>
            <w:tcW w:w="1342" w:type="dxa"/>
            <w:vMerge/>
            <w:shd w:val="clear" w:color="auto" w:fill="auto"/>
          </w:tcPr>
          <w:p w:rsidR="00F075FB" w:rsidRPr="007406CD" w:rsidRDefault="00F075FB" w:rsidP="009C40EF">
            <w:pPr>
              <w:spacing w:before="120" w:after="120" w:line="240" w:lineRule="atLeast"/>
              <w:ind w:left="0" w:firstLine="0"/>
              <w:jc w:val="left"/>
              <w:rPr>
                <w:rFonts w:cs="Arial"/>
                <w:sz w:val="18"/>
                <w:szCs w:val="18"/>
                <w:lang w:val="en-GB"/>
              </w:rPr>
            </w:pPr>
          </w:p>
        </w:tc>
        <w:tc>
          <w:tcPr>
            <w:tcW w:w="1458" w:type="dxa"/>
            <w:vMerge w:val="restart"/>
            <w:shd w:val="clear" w:color="auto" w:fill="auto"/>
          </w:tcPr>
          <w:p w:rsidR="00F075FB" w:rsidRPr="009942A5" w:rsidDel="00F12D85" w:rsidRDefault="00F075FB" w:rsidP="007406CD">
            <w:pPr>
              <w:widowControl w:val="0"/>
              <w:spacing w:before="60" w:after="60" w:line="240" w:lineRule="atLeast"/>
              <w:ind w:left="0" w:firstLine="0"/>
              <w:jc w:val="left"/>
              <w:rPr>
                <w:rFonts w:cs="Arial"/>
                <w:sz w:val="18"/>
                <w:szCs w:val="18"/>
                <w:lang w:val="en-GB"/>
              </w:rPr>
            </w:pPr>
            <w:r w:rsidRPr="009942A5">
              <w:rPr>
                <w:rFonts w:cs="Arial"/>
                <w:sz w:val="18"/>
                <w:szCs w:val="18"/>
                <w:lang w:val="en-GB"/>
              </w:rPr>
              <w:t>(12)(c)</w:t>
            </w:r>
          </w:p>
        </w:tc>
        <w:tc>
          <w:tcPr>
            <w:tcW w:w="3296" w:type="dxa"/>
            <w:vMerge w:val="restart"/>
            <w:shd w:val="clear" w:color="auto" w:fill="auto"/>
          </w:tcPr>
          <w:p w:rsidR="00F075FB" w:rsidRPr="009942A5" w:rsidRDefault="00F075FB" w:rsidP="000E732C">
            <w:pPr>
              <w:widowControl w:val="0"/>
              <w:tabs>
                <w:tab w:val="left" w:pos="1260"/>
              </w:tabs>
              <w:adjustRightInd w:val="0"/>
              <w:spacing w:before="60" w:after="60" w:line="240" w:lineRule="atLeast"/>
              <w:rPr>
                <w:rFonts w:cs="Arial"/>
                <w:sz w:val="18"/>
                <w:szCs w:val="18"/>
                <w:lang w:val="en-GB"/>
              </w:rPr>
            </w:pPr>
            <w:r w:rsidRPr="009942A5">
              <w:rPr>
                <w:rFonts w:cs="Arial"/>
                <w:sz w:val="18"/>
                <w:szCs w:val="18"/>
                <w:lang w:val="en-GB"/>
              </w:rPr>
              <w:t>Testing</w:t>
            </w:r>
          </w:p>
        </w:tc>
        <w:tc>
          <w:tcPr>
            <w:tcW w:w="6521" w:type="dxa"/>
            <w:shd w:val="clear" w:color="auto" w:fill="auto"/>
          </w:tcPr>
          <w:p w:rsidR="00F075FB" w:rsidRPr="009942A5" w:rsidRDefault="00F075FB" w:rsidP="009942A5">
            <w:pPr>
              <w:widowControl w:val="0"/>
              <w:spacing w:before="60" w:after="60" w:line="240" w:lineRule="atLeast"/>
              <w:ind w:left="0" w:firstLine="0"/>
              <w:rPr>
                <w:rFonts w:cs="Arial"/>
                <w:sz w:val="18"/>
                <w:szCs w:val="18"/>
                <w:lang w:val="en-GB"/>
              </w:rPr>
            </w:pPr>
            <w:r>
              <w:rPr>
                <w:rFonts w:cs="Arial"/>
                <w:sz w:val="18"/>
                <w:szCs w:val="18"/>
                <w:lang w:val="en-GB"/>
              </w:rPr>
              <w:t>N.R.C.</w:t>
            </w:r>
            <w:r w:rsidRPr="009942A5">
              <w:rPr>
                <w:rFonts w:cs="Arial"/>
                <w:sz w:val="18"/>
                <w:szCs w:val="18"/>
                <w:lang w:val="en-GB"/>
              </w:rPr>
              <w:t>, at the latest on renewal of the inland navigation vessel certificate.</w:t>
            </w:r>
          </w:p>
        </w:tc>
        <w:tc>
          <w:tcPr>
            <w:tcW w:w="1276" w:type="dxa"/>
            <w:vMerge w:val="restart"/>
            <w:shd w:val="clear" w:color="auto" w:fill="auto"/>
          </w:tcPr>
          <w:p w:rsidR="00F075FB" w:rsidRPr="009942A5" w:rsidRDefault="00F075FB" w:rsidP="000E732C">
            <w:pPr>
              <w:widowControl w:val="0"/>
              <w:spacing w:before="60" w:after="60" w:line="240" w:lineRule="atLeast"/>
              <w:rPr>
                <w:rFonts w:cs="Arial"/>
                <w:sz w:val="18"/>
                <w:szCs w:val="18"/>
                <w:lang w:val="en-GB"/>
              </w:rPr>
            </w:pPr>
          </w:p>
        </w:tc>
      </w:tr>
      <w:tr w:rsidR="00F075FB" w:rsidRPr="00296858" w:rsidTr="00F14E8B">
        <w:trPr>
          <w:cantSplit/>
          <w:jc w:val="center"/>
        </w:trPr>
        <w:tc>
          <w:tcPr>
            <w:tcW w:w="1342" w:type="dxa"/>
            <w:vMerge/>
            <w:shd w:val="clear" w:color="auto" w:fill="auto"/>
          </w:tcPr>
          <w:p w:rsidR="00F075FB" w:rsidRPr="00C903F8" w:rsidRDefault="00F075FB" w:rsidP="00740370">
            <w:pPr>
              <w:spacing w:before="120" w:after="120" w:line="240" w:lineRule="atLeast"/>
              <w:ind w:left="0" w:firstLine="0"/>
              <w:rPr>
                <w:rFonts w:cs="Arial"/>
                <w:sz w:val="18"/>
                <w:szCs w:val="18"/>
                <w:lang w:val="en-US"/>
              </w:rPr>
            </w:pPr>
          </w:p>
        </w:tc>
        <w:tc>
          <w:tcPr>
            <w:tcW w:w="1458" w:type="dxa"/>
            <w:vMerge/>
            <w:shd w:val="clear" w:color="auto" w:fill="auto"/>
          </w:tcPr>
          <w:p w:rsidR="00F075FB" w:rsidRPr="00C903F8" w:rsidRDefault="00F075FB" w:rsidP="00740370">
            <w:pPr>
              <w:spacing w:before="120" w:after="120" w:line="240" w:lineRule="atLeast"/>
              <w:ind w:left="0" w:firstLine="0"/>
              <w:rPr>
                <w:rFonts w:cs="Arial"/>
                <w:sz w:val="18"/>
                <w:szCs w:val="18"/>
                <w:lang w:val="en-US"/>
              </w:rPr>
            </w:pPr>
          </w:p>
        </w:tc>
        <w:tc>
          <w:tcPr>
            <w:tcW w:w="3296" w:type="dxa"/>
            <w:vMerge/>
            <w:shd w:val="clear" w:color="auto" w:fill="auto"/>
          </w:tcPr>
          <w:p w:rsidR="00F075FB" w:rsidRPr="00C903F8" w:rsidRDefault="00F075FB" w:rsidP="00740370">
            <w:pPr>
              <w:spacing w:before="120" w:after="120" w:line="240" w:lineRule="atLeast"/>
              <w:ind w:left="0" w:firstLine="0"/>
              <w:rPr>
                <w:rFonts w:cs="Arial"/>
                <w:sz w:val="18"/>
                <w:szCs w:val="18"/>
                <w:lang w:val="en-US"/>
              </w:rPr>
            </w:pPr>
          </w:p>
        </w:tc>
        <w:tc>
          <w:tcPr>
            <w:tcW w:w="6521" w:type="dxa"/>
            <w:shd w:val="clear" w:color="auto" w:fill="auto"/>
          </w:tcPr>
          <w:p w:rsidR="00F075FB" w:rsidRPr="009942A5" w:rsidRDefault="00F075FB" w:rsidP="009942A5">
            <w:pPr>
              <w:widowControl w:val="0"/>
              <w:spacing w:before="60" w:after="60" w:line="240" w:lineRule="atLeast"/>
              <w:ind w:left="0" w:firstLine="0"/>
              <w:rPr>
                <w:rFonts w:cs="Arial"/>
                <w:sz w:val="18"/>
                <w:szCs w:val="18"/>
                <w:lang w:val="en-GB"/>
              </w:rPr>
            </w:pPr>
            <w:r w:rsidRPr="009942A5">
              <w:rPr>
                <w:rFonts w:cs="Arial"/>
                <w:sz w:val="18"/>
                <w:szCs w:val="18"/>
                <w:lang w:val="en-GB"/>
              </w:rPr>
              <w:t>If mathematical proof cannot be provided, the inspection body may recognise other suitable proof as equivalent.</w:t>
            </w:r>
          </w:p>
        </w:tc>
        <w:tc>
          <w:tcPr>
            <w:tcW w:w="1276" w:type="dxa"/>
            <w:vMerge/>
            <w:shd w:val="clear" w:color="auto" w:fill="auto"/>
          </w:tcPr>
          <w:p w:rsidR="00F075FB" w:rsidRPr="00E83191" w:rsidRDefault="00F075FB" w:rsidP="000E732C">
            <w:pPr>
              <w:widowControl w:val="0"/>
              <w:spacing w:before="60" w:after="60" w:line="240" w:lineRule="atLeast"/>
              <w:rPr>
                <w:rFonts w:cs="Arial"/>
                <w:sz w:val="18"/>
                <w:szCs w:val="18"/>
                <w:highlight w:val="lightGray"/>
                <w:lang w:val="en-GB"/>
              </w:rPr>
            </w:pPr>
          </w:p>
        </w:tc>
      </w:tr>
      <w:tr w:rsidR="00F075FB" w:rsidRPr="00C903F8" w:rsidTr="00196FBC">
        <w:trPr>
          <w:cantSplit/>
          <w:jc w:val="center"/>
        </w:trPr>
        <w:tc>
          <w:tcPr>
            <w:tcW w:w="6096" w:type="dxa"/>
            <w:gridSpan w:val="3"/>
            <w:shd w:val="clear" w:color="auto" w:fill="auto"/>
          </w:tcPr>
          <w:p w:rsidR="00F075FB" w:rsidRPr="00C903F8" w:rsidRDefault="00F075FB" w:rsidP="00BB7B04">
            <w:pPr>
              <w:spacing w:before="60" w:after="60" w:line="240" w:lineRule="atLeast"/>
              <w:ind w:left="0" w:firstLine="0"/>
              <w:jc w:val="center"/>
              <w:rPr>
                <w:rFonts w:cs="Arial"/>
                <w:sz w:val="18"/>
                <w:szCs w:val="18"/>
              </w:rPr>
            </w:pPr>
            <w:r w:rsidRPr="00C903F8">
              <w:rPr>
                <w:rFonts w:cs="Arial"/>
                <w:b/>
                <w:sz w:val="18"/>
                <w:szCs w:val="18"/>
              </w:rPr>
              <w:t>CHAPTER 8</w:t>
            </w:r>
          </w:p>
        </w:tc>
        <w:tc>
          <w:tcPr>
            <w:tcW w:w="6521" w:type="dxa"/>
            <w:shd w:val="clear" w:color="auto" w:fill="auto"/>
          </w:tcPr>
          <w:p w:rsidR="00F075FB" w:rsidRPr="00C903F8" w:rsidRDefault="00F075FB" w:rsidP="00BB7B04">
            <w:pPr>
              <w:spacing w:before="60" w:after="60" w:line="240" w:lineRule="atLeast"/>
              <w:ind w:left="0" w:firstLine="0"/>
              <w:rPr>
                <w:rFonts w:cs="Arial"/>
                <w:sz w:val="18"/>
                <w:szCs w:val="18"/>
              </w:rPr>
            </w:pPr>
          </w:p>
        </w:tc>
        <w:tc>
          <w:tcPr>
            <w:tcW w:w="1276" w:type="dxa"/>
            <w:shd w:val="clear" w:color="auto" w:fill="auto"/>
          </w:tcPr>
          <w:p w:rsidR="00F075FB" w:rsidRPr="00C903F8" w:rsidRDefault="00F075FB" w:rsidP="00BB7B04">
            <w:pPr>
              <w:spacing w:before="60" w:after="60" w:line="240" w:lineRule="atLeast"/>
              <w:ind w:left="0" w:firstLine="0"/>
              <w:rPr>
                <w:rFonts w:cs="Arial"/>
                <w:sz w:val="18"/>
                <w:szCs w:val="18"/>
              </w:rPr>
            </w:pPr>
          </w:p>
        </w:tc>
      </w:tr>
      <w:tr w:rsidR="00F075FB" w:rsidRPr="00C903F8" w:rsidTr="00196FBC">
        <w:trPr>
          <w:cantSplit/>
          <w:jc w:val="center"/>
        </w:trPr>
        <w:tc>
          <w:tcPr>
            <w:tcW w:w="1342" w:type="dxa"/>
            <w:tcBorders>
              <w:bottom w:val="single" w:sz="4" w:space="0" w:color="auto"/>
            </w:tcBorders>
            <w:shd w:val="clear" w:color="auto" w:fill="auto"/>
          </w:tcPr>
          <w:p w:rsidR="00F075FB" w:rsidRPr="00C903F8" w:rsidRDefault="00F075FB" w:rsidP="00BB7B04">
            <w:pPr>
              <w:spacing w:before="80" w:after="80" w:line="240" w:lineRule="atLeast"/>
              <w:ind w:left="0" w:firstLine="0"/>
              <w:rPr>
                <w:rFonts w:cs="Arial"/>
                <w:sz w:val="18"/>
                <w:szCs w:val="18"/>
              </w:rPr>
            </w:pPr>
            <w:r w:rsidRPr="00C903F8">
              <w:rPr>
                <w:rFonts w:cs="Arial"/>
                <w:sz w:val="18"/>
                <w:szCs w:val="18"/>
              </w:rPr>
              <w:t>8.01</w:t>
            </w:r>
          </w:p>
        </w:tc>
        <w:tc>
          <w:tcPr>
            <w:tcW w:w="1458" w:type="dxa"/>
            <w:shd w:val="clear" w:color="auto" w:fill="auto"/>
          </w:tcPr>
          <w:p w:rsidR="00F075FB" w:rsidRPr="00C903F8" w:rsidRDefault="00F075FB" w:rsidP="00A5358D">
            <w:pPr>
              <w:spacing w:before="120" w:after="120" w:line="240" w:lineRule="atLeast"/>
              <w:ind w:left="0" w:firstLine="0"/>
              <w:rPr>
                <w:rFonts w:cs="Arial"/>
                <w:sz w:val="18"/>
                <w:szCs w:val="18"/>
              </w:rPr>
            </w:pPr>
            <w:r w:rsidRPr="00C903F8">
              <w:rPr>
                <w:rFonts w:cs="Arial"/>
                <w:sz w:val="18"/>
                <w:szCs w:val="18"/>
              </w:rPr>
              <w:t>(3)</w:t>
            </w:r>
          </w:p>
        </w:tc>
        <w:tc>
          <w:tcPr>
            <w:tcW w:w="3296" w:type="dxa"/>
            <w:shd w:val="clear" w:color="auto" w:fill="auto"/>
          </w:tcPr>
          <w:p w:rsidR="00F075FB" w:rsidRPr="00C903F8" w:rsidRDefault="00F075FB" w:rsidP="00A5358D">
            <w:pPr>
              <w:spacing w:before="120" w:after="120" w:line="240" w:lineRule="atLeast"/>
              <w:ind w:left="0" w:firstLine="0"/>
              <w:rPr>
                <w:rFonts w:cs="Arial"/>
                <w:sz w:val="18"/>
                <w:szCs w:val="18"/>
                <w:lang w:val="en-US"/>
              </w:rPr>
            </w:pPr>
            <w:r w:rsidRPr="00C903F8">
              <w:rPr>
                <w:rFonts w:cs="Arial"/>
                <w:noProof/>
                <w:sz w:val="18"/>
                <w:szCs w:val="18"/>
                <w:lang w:val="en-US"/>
              </w:rPr>
              <w:t>Only internal-combustion engines burning fuels having a flashpoint of more than 55 °C</w:t>
            </w:r>
          </w:p>
        </w:tc>
        <w:tc>
          <w:tcPr>
            <w:tcW w:w="6521" w:type="dxa"/>
            <w:shd w:val="clear" w:color="auto" w:fill="auto"/>
          </w:tcPr>
          <w:p w:rsidR="00F075FB" w:rsidRPr="00C903F8" w:rsidRDefault="00F075FB" w:rsidP="00A5358D">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B7B04">
            <w:pPr>
              <w:spacing w:before="80" w:after="80" w:line="240" w:lineRule="atLeast"/>
              <w:ind w:left="0" w:firstLine="0"/>
              <w:rPr>
                <w:rFonts w:cs="Arial"/>
                <w:sz w:val="18"/>
                <w:szCs w:val="18"/>
              </w:rPr>
            </w:pPr>
            <w:r w:rsidRPr="00C903F8">
              <w:rPr>
                <w:rFonts w:cs="Arial"/>
                <w:sz w:val="18"/>
                <w:szCs w:val="18"/>
              </w:rPr>
              <w:t>1.1.2015</w:t>
            </w:r>
          </w:p>
        </w:tc>
      </w:tr>
      <w:tr w:rsidR="00F075FB" w:rsidRPr="00C903F8" w:rsidTr="009068C8">
        <w:trPr>
          <w:cantSplit/>
          <w:jc w:val="center"/>
        </w:trPr>
        <w:tc>
          <w:tcPr>
            <w:tcW w:w="1342" w:type="dxa"/>
            <w:tcBorders>
              <w:bottom w:val="nil"/>
            </w:tcBorders>
            <w:shd w:val="clear" w:color="auto" w:fill="auto"/>
          </w:tcPr>
          <w:p w:rsidR="00F075FB" w:rsidRPr="00C903F8" w:rsidRDefault="00F075FB" w:rsidP="00740370">
            <w:pPr>
              <w:spacing w:before="120" w:after="120" w:line="240" w:lineRule="atLeast"/>
              <w:ind w:left="0" w:firstLine="0"/>
              <w:rPr>
                <w:rFonts w:cs="Arial"/>
                <w:sz w:val="18"/>
                <w:szCs w:val="18"/>
              </w:rPr>
            </w:pPr>
            <w:r w:rsidRPr="00C903F8">
              <w:rPr>
                <w:rFonts w:cs="Arial"/>
                <w:sz w:val="18"/>
                <w:szCs w:val="18"/>
              </w:rPr>
              <w:t>8.02</w:t>
            </w:r>
          </w:p>
        </w:tc>
        <w:tc>
          <w:tcPr>
            <w:tcW w:w="1458" w:type="dxa"/>
            <w:shd w:val="clear" w:color="auto" w:fill="auto"/>
          </w:tcPr>
          <w:p w:rsidR="00F075FB" w:rsidRPr="00C903F8" w:rsidRDefault="00F075FB" w:rsidP="00A5358D">
            <w:pPr>
              <w:spacing w:before="120" w:after="120" w:line="240" w:lineRule="atLeast"/>
              <w:ind w:left="0" w:firstLine="0"/>
              <w:rPr>
                <w:rFonts w:cs="Arial"/>
                <w:sz w:val="18"/>
                <w:szCs w:val="18"/>
              </w:rPr>
            </w:pPr>
            <w:r w:rsidRPr="00C903F8">
              <w:rPr>
                <w:rFonts w:cs="Arial"/>
                <w:sz w:val="18"/>
                <w:szCs w:val="18"/>
              </w:rPr>
              <w:t>(1)</w:t>
            </w:r>
          </w:p>
        </w:tc>
        <w:tc>
          <w:tcPr>
            <w:tcW w:w="3296" w:type="dxa"/>
            <w:shd w:val="clear" w:color="auto" w:fill="auto"/>
          </w:tcPr>
          <w:p w:rsidR="00F075FB" w:rsidRPr="00C903F8" w:rsidRDefault="00F075FB" w:rsidP="00A5358D">
            <w:pPr>
              <w:spacing w:before="120" w:after="120" w:line="240" w:lineRule="atLeast"/>
              <w:ind w:left="0" w:firstLine="0"/>
              <w:rPr>
                <w:rFonts w:cs="Arial"/>
                <w:sz w:val="18"/>
                <w:szCs w:val="18"/>
                <w:lang w:val="en-US"/>
              </w:rPr>
            </w:pPr>
            <w:r w:rsidRPr="00C903F8">
              <w:rPr>
                <w:rFonts w:cs="Arial"/>
                <w:noProof/>
                <w:sz w:val="18"/>
                <w:szCs w:val="18"/>
                <w:lang w:val="en-US"/>
              </w:rPr>
              <w:t>Securing of engines against unintentional starting</w:t>
            </w:r>
          </w:p>
        </w:tc>
        <w:tc>
          <w:tcPr>
            <w:tcW w:w="6521" w:type="dxa"/>
            <w:shd w:val="clear" w:color="auto" w:fill="auto"/>
          </w:tcPr>
          <w:p w:rsidR="00F075FB" w:rsidRPr="00C903F8" w:rsidRDefault="00F075FB" w:rsidP="00A5358D">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40370">
            <w:pPr>
              <w:spacing w:before="120" w:after="120" w:line="240" w:lineRule="atLeast"/>
              <w:ind w:left="0" w:firstLine="0"/>
              <w:rPr>
                <w:rFonts w:cs="Arial"/>
                <w:sz w:val="18"/>
                <w:szCs w:val="18"/>
              </w:rPr>
            </w:pPr>
            <w:r w:rsidRPr="00C903F8">
              <w:rPr>
                <w:rFonts w:cs="Arial"/>
                <w:sz w:val="18"/>
                <w:szCs w:val="18"/>
              </w:rPr>
              <w:t>1.1.2010</w:t>
            </w:r>
          </w:p>
        </w:tc>
      </w:tr>
      <w:tr w:rsidR="00F075FB" w:rsidRPr="00C903F8" w:rsidTr="00E113D0">
        <w:trPr>
          <w:cantSplit/>
          <w:trHeight w:val="203"/>
          <w:jc w:val="center"/>
        </w:trPr>
        <w:tc>
          <w:tcPr>
            <w:tcW w:w="1342" w:type="dxa"/>
            <w:tcBorders>
              <w:top w:val="nil"/>
              <w:bottom w:val="single" w:sz="4" w:space="0" w:color="auto"/>
            </w:tcBorders>
            <w:shd w:val="clear" w:color="auto" w:fill="auto"/>
          </w:tcPr>
          <w:p w:rsidR="00F075FB" w:rsidRPr="00C903F8" w:rsidRDefault="00F075FB" w:rsidP="00E113D0">
            <w:pPr>
              <w:spacing w:before="240" w:after="240" w:line="240" w:lineRule="atLeast"/>
              <w:ind w:left="0" w:firstLine="0"/>
              <w:rPr>
                <w:rFonts w:cs="Arial"/>
                <w:sz w:val="18"/>
                <w:szCs w:val="18"/>
              </w:rPr>
            </w:pPr>
          </w:p>
        </w:tc>
        <w:tc>
          <w:tcPr>
            <w:tcW w:w="1458" w:type="dxa"/>
            <w:tcBorders>
              <w:bottom w:val="single" w:sz="4" w:space="0" w:color="auto"/>
            </w:tcBorders>
            <w:shd w:val="clear" w:color="auto" w:fill="auto"/>
          </w:tcPr>
          <w:p w:rsidR="00F075FB" w:rsidRPr="00E113D0" w:rsidRDefault="00F075FB" w:rsidP="00A5358D">
            <w:pPr>
              <w:spacing w:before="120" w:after="120" w:line="240" w:lineRule="atLeast"/>
              <w:ind w:left="0" w:firstLine="0"/>
              <w:rPr>
                <w:rFonts w:cs="Arial"/>
                <w:sz w:val="18"/>
                <w:szCs w:val="18"/>
              </w:rPr>
            </w:pPr>
            <w:r w:rsidRPr="00C903F8">
              <w:rPr>
                <w:rFonts w:cs="Arial"/>
                <w:sz w:val="18"/>
                <w:szCs w:val="18"/>
              </w:rPr>
              <w:t>(4)</w:t>
            </w:r>
          </w:p>
        </w:tc>
        <w:tc>
          <w:tcPr>
            <w:tcW w:w="3296" w:type="dxa"/>
            <w:tcBorders>
              <w:bottom w:val="single" w:sz="4" w:space="0" w:color="auto"/>
            </w:tcBorders>
            <w:shd w:val="clear" w:color="auto" w:fill="auto"/>
          </w:tcPr>
          <w:p w:rsidR="00F075FB" w:rsidRPr="00E113D0" w:rsidRDefault="00F075FB" w:rsidP="00A5358D">
            <w:pPr>
              <w:spacing w:before="120" w:after="120" w:line="240" w:lineRule="atLeast"/>
              <w:ind w:left="0" w:firstLine="0"/>
              <w:rPr>
                <w:rFonts w:cs="Arial"/>
                <w:noProof/>
                <w:sz w:val="18"/>
                <w:szCs w:val="18"/>
              </w:rPr>
            </w:pPr>
            <w:r w:rsidRPr="00C903F8">
              <w:rPr>
                <w:rFonts w:cs="Arial"/>
                <w:noProof/>
                <w:sz w:val="18"/>
                <w:szCs w:val="18"/>
              </w:rPr>
              <w:t>Screening of pipe</w:t>
            </w:r>
          </w:p>
        </w:tc>
        <w:tc>
          <w:tcPr>
            <w:tcW w:w="6521" w:type="dxa"/>
            <w:tcBorders>
              <w:bottom w:val="single" w:sz="4" w:space="0" w:color="auto"/>
            </w:tcBorders>
            <w:shd w:val="clear" w:color="auto" w:fill="auto"/>
          </w:tcPr>
          <w:p w:rsidR="00F075FB" w:rsidRPr="000E732C" w:rsidRDefault="00F075FB" w:rsidP="00A5358D">
            <w:pPr>
              <w:spacing w:before="120" w:after="120" w:line="240" w:lineRule="atLeast"/>
              <w:ind w:left="0" w:firstLine="0"/>
              <w:rPr>
                <w:rFonts w:cs="Arial"/>
                <w:noProof/>
                <w:sz w:val="18"/>
                <w:szCs w:val="18"/>
                <w:lang w:val="en-GB"/>
              </w:rPr>
            </w:pPr>
            <w:r>
              <w:rPr>
                <w:rFonts w:cs="Arial"/>
                <w:noProof/>
                <w:sz w:val="18"/>
                <w:szCs w:val="18"/>
                <w:lang w:val="en-GB"/>
              </w:rPr>
              <w:t>N.R.C.</w:t>
            </w:r>
            <w:r w:rsidRPr="000E732C">
              <w:rPr>
                <w:rFonts w:cs="Arial"/>
                <w:noProof/>
                <w:sz w:val="18"/>
                <w:szCs w:val="18"/>
                <w:lang w:val="en-GB"/>
              </w:rPr>
              <w:t>, at the latest on renewal of the inland navigation vessel certificate after</w:t>
            </w:r>
          </w:p>
        </w:tc>
        <w:tc>
          <w:tcPr>
            <w:tcW w:w="1276" w:type="dxa"/>
            <w:tcBorders>
              <w:bottom w:val="single" w:sz="4" w:space="0" w:color="auto"/>
            </w:tcBorders>
            <w:shd w:val="clear" w:color="auto" w:fill="auto"/>
          </w:tcPr>
          <w:p w:rsidR="00F075FB" w:rsidRPr="00C903F8" w:rsidRDefault="00F075FB" w:rsidP="008D121C">
            <w:pPr>
              <w:spacing w:before="240" w:after="240" w:line="240" w:lineRule="atLeast"/>
              <w:ind w:left="0" w:firstLine="0"/>
              <w:rPr>
                <w:rFonts w:cs="Arial"/>
                <w:sz w:val="18"/>
                <w:szCs w:val="18"/>
              </w:rPr>
            </w:pPr>
            <w:r w:rsidRPr="00C903F8">
              <w:rPr>
                <w:rFonts w:cs="Arial"/>
                <w:sz w:val="18"/>
                <w:szCs w:val="18"/>
              </w:rPr>
              <w:t>1.1.2025</w:t>
            </w:r>
          </w:p>
        </w:tc>
      </w:tr>
      <w:tr w:rsidR="00F075FB" w:rsidRPr="00C903F8" w:rsidTr="009068C8">
        <w:trPr>
          <w:cantSplit/>
          <w:jc w:val="center"/>
        </w:trPr>
        <w:tc>
          <w:tcPr>
            <w:tcW w:w="1342" w:type="dxa"/>
            <w:tcBorders>
              <w:top w:val="single" w:sz="4" w:space="0" w:color="auto"/>
              <w:bottom w:val="nil"/>
            </w:tcBorders>
            <w:shd w:val="clear" w:color="auto" w:fill="auto"/>
          </w:tcPr>
          <w:p w:rsidR="00F075FB" w:rsidRPr="00C903F8" w:rsidRDefault="00F075FB" w:rsidP="000D7607">
            <w:pPr>
              <w:spacing w:before="120" w:after="120" w:line="240" w:lineRule="atLeast"/>
              <w:ind w:left="0" w:firstLine="0"/>
              <w:rPr>
                <w:rFonts w:cs="Arial"/>
                <w:sz w:val="18"/>
                <w:szCs w:val="18"/>
              </w:rPr>
            </w:pPr>
            <w:r w:rsidRPr="00C903F8">
              <w:rPr>
                <w:rFonts w:cs="Arial"/>
                <w:sz w:val="18"/>
                <w:szCs w:val="18"/>
              </w:rPr>
              <w:t>8.03</w:t>
            </w:r>
          </w:p>
        </w:tc>
        <w:tc>
          <w:tcPr>
            <w:tcW w:w="1458" w:type="dxa"/>
            <w:tcBorders>
              <w:top w:val="single" w:sz="4" w:space="0" w:color="auto"/>
            </w:tcBorders>
            <w:shd w:val="clear" w:color="auto" w:fill="auto"/>
          </w:tcPr>
          <w:p w:rsidR="00F075FB" w:rsidRPr="00C903F8" w:rsidRDefault="00F075FB" w:rsidP="00A5358D">
            <w:pPr>
              <w:spacing w:before="120" w:after="120" w:line="240" w:lineRule="atLeast"/>
              <w:ind w:left="0" w:firstLine="0"/>
              <w:rPr>
                <w:rFonts w:cs="Arial"/>
                <w:sz w:val="18"/>
                <w:szCs w:val="18"/>
              </w:rPr>
            </w:pPr>
            <w:r w:rsidRPr="00C903F8">
              <w:rPr>
                <w:rFonts w:cs="Arial"/>
                <w:sz w:val="18"/>
                <w:szCs w:val="18"/>
              </w:rPr>
              <w:t>(2)</w:t>
            </w:r>
          </w:p>
        </w:tc>
        <w:tc>
          <w:tcPr>
            <w:tcW w:w="3296" w:type="dxa"/>
            <w:tcBorders>
              <w:top w:val="single" w:sz="4" w:space="0" w:color="auto"/>
            </w:tcBorders>
            <w:shd w:val="clear" w:color="auto" w:fill="auto"/>
          </w:tcPr>
          <w:p w:rsidR="00F075FB" w:rsidRPr="00C903F8" w:rsidRDefault="00F075FB" w:rsidP="00A5358D">
            <w:pPr>
              <w:spacing w:before="120" w:after="120" w:line="240" w:lineRule="atLeast"/>
              <w:ind w:left="0" w:firstLine="0"/>
              <w:rPr>
                <w:rFonts w:cs="Arial"/>
                <w:sz w:val="18"/>
                <w:szCs w:val="18"/>
              </w:rPr>
            </w:pPr>
            <w:r w:rsidRPr="00C903F8">
              <w:rPr>
                <w:rFonts w:cs="Arial"/>
                <w:noProof/>
                <w:sz w:val="18"/>
                <w:szCs w:val="18"/>
              </w:rPr>
              <w:t>Monitoring devices</w:t>
            </w:r>
          </w:p>
        </w:tc>
        <w:tc>
          <w:tcPr>
            <w:tcW w:w="6521" w:type="dxa"/>
            <w:tcBorders>
              <w:top w:val="single" w:sz="4" w:space="0" w:color="auto"/>
            </w:tcBorders>
            <w:shd w:val="clear" w:color="auto" w:fill="auto"/>
          </w:tcPr>
          <w:p w:rsidR="00F075FB" w:rsidRPr="00C903F8" w:rsidRDefault="00F075FB" w:rsidP="00A5358D">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tcBorders>
              <w:top w:val="single" w:sz="4" w:space="0" w:color="auto"/>
            </w:tcBorders>
            <w:shd w:val="clear" w:color="auto" w:fill="auto"/>
          </w:tcPr>
          <w:p w:rsidR="00F075FB" w:rsidRPr="00C903F8" w:rsidRDefault="00F075FB" w:rsidP="000D7607">
            <w:pPr>
              <w:spacing w:before="120" w:after="12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0D7607">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A5358D">
            <w:pPr>
              <w:spacing w:before="120" w:after="120" w:line="240" w:lineRule="atLeast"/>
              <w:ind w:left="0" w:firstLine="0"/>
              <w:rPr>
                <w:rFonts w:cs="Arial"/>
                <w:sz w:val="18"/>
                <w:szCs w:val="18"/>
              </w:rPr>
            </w:pPr>
            <w:r w:rsidRPr="00C903F8">
              <w:rPr>
                <w:rFonts w:cs="Arial"/>
                <w:sz w:val="18"/>
                <w:szCs w:val="18"/>
              </w:rPr>
              <w:t>(4)</w:t>
            </w:r>
          </w:p>
        </w:tc>
        <w:tc>
          <w:tcPr>
            <w:tcW w:w="3296" w:type="dxa"/>
            <w:shd w:val="clear" w:color="auto" w:fill="auto"/>
          </w:tcPr>
          <w:p w:rsidR="00F075FB" w:rsidRPr="00C903F8" w:rsidRDefault="00F075FB" w:rsidP="00A5358D">
            <w:pPr>
              <w:spacing w:before="120" w:after="120" w:line="240" w:lineRule="atLeast"/>
              <w:ind w:left="0" w:firstLine="0"/>
              <w:rPr>
                <w:rFonts w:cs="Arial"/>
                <w:sz w:val="18"/>
                <w:szCs w:val="18"/>
                <w:lang w:val="en-US"/>
              </w:rPr>
            </w:pPr>
            <w:r w:rsidRPr="00C903F8">
              <w:rPr>
                <w:rFonts w:cs="Arial"/>
                <w:noProof/>
                <w:sz w:val="18"/>
                <w:szCs w:val="18"/>
                <w:lang w:val="en-US"/>
              </w:rPr>
              <w:t>Automatic protection against overspeed display and switch off</w:t>
            </w:r>
          </w:p>
        </w:tc>
        <w:tc>
          <w:tcPr>
            <w:tcW w:w="6521" w:type="dxa"/>
            <w:shd w:val="clear" w:color="auto" w:fill="auto"/>
          </w:tcPr>
          <w:p w:rsidR="00F075FB" w:rsidRPr="00C903F8" w:rsidRDefault="00F075FB" w:rsidP="00A5358D">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0D7607">
            <w:pPr>
              <w:spacing w:before="120" w:after="120" w:line="240" w:lineRule="atLeast"/>
              <w:ind w:left="0" w:firstLine="0"/>
              <w:rPr>
                <w:rFonts w:cs="Arial"/>
                <w:sz w:val="18"/>
                <w:szCs w:val="18"/>
              </w:rPr>
            </w:pPr>
            <w:r w:rsidRPr="00C903F8">
              <w:rPr>
                <w:rFonts w:cs="Arial"/>
                <w:sz w:val="18"/>
                <w:szCs w:val="18"/>
              </w:rPr>
              <w:t>1.1.2010</w:t>
            </w:r>
          </w:p>
        </w:tc>
      </w:tr>
      <w:tr w:rsidR="00F075FB" w:rsidRPr="00C903F8" w:rsidTr="00E113D0">
        <w:trPr>
          <w:cantSplit/>
          <w:trHeight w:val="387"/>
          <w:jc w:val="center"/>
        </w:trPr>
        <w:tc>
          <w:tcPr>
            <w:tcW w:w="1342" w:type="dxa"/>
            <w:tcBorders>
              <w:top w:val="nil"/>
              <w:bottom w:val="single" w:sz="4" w:space="0" w:color="auto"/>
            </w:tcBorders>
            <w:shd w:val="clear" w:color="auto" w:fill="auto"/>
          </w:tcPr>
          <w:p w:rsidR="00F075FB" w:rsidRPr="00C903F8" w:rsidRDefault="00F075FB" w:rsidP="006435E7">
            <w:pPr>
              <w:spacing w:before="240" w:after="240" w:line="240" w:lineRule="atLeast"/>
              <w:ind w:left="0" w:firstLine="0"/>
              <w:rPr>
                <w:rFonts w:cs="Arial"/>
                <w:sz w:val="18"/>
                <w:szCs w:val="18"/>
              </w:rPr>
            </w:pPr>
          </w:p>
        </w:tc>
        <w:tc>
          <w:tcPr>
            <w:tcW w:w="1458" w:type="dxa"/>
            <w:shd w:val="clear" w:color="auto" w:fill="auto"/>
          </w:tcPr>
          <w:p w:rsidR="00F075FB" w:rsidRPr="00C903F8" w:rsidRDefault="00F075FB" w:rsidP="00A5358D">
            <w:pPr>
              <w:spacing w:before="120" w:after="120" w:line="240" w:lineRule="atLeast"/>
              <w:ind w:left="0" w:firstLine="0"/>
              <w:rPr>
                <w:rFonts w:cs="Arial"/>
                <w:sz w:val="18"/>
                <w:szCs w:val="18"/>
              </w:rPr>
            </w:pPr>
            <w:r w:rsidRPr="00C903F8">
              <w:rPr>
                <w:rFonts w:cs="Arial"/>
                <w:sz w:val="18"/>
                <w:szCs w:val="18"/>
              </w:rPr>
              <w:t>(5)</w:t>
            </w:r>
          </w:p>
        </w:tc>
        <w:tc>
          <w:tcPr>
            <w:tcW w:w="3296" w:type="dxa"/>
            <w:shd w:val="clear" w:color="auto" w:fill="auto"/>
          </w:tcPr>
          <w:p w:rsidR="00F075FB" w:rsidRPr="00E113D0" w:rsidRDefault="00F075FB" w:rsidP="00A5358D">
            <w:pPr>
              <w:spacing w:before="120" w:after="120" w:line="240" w:lineRule="atLeast"/>
              <w:ind w:left="0" w:firstLine="0"/>
              <w:rPr>
                <w:rFonts w:cs="Arial"/>
                <w:sz w:val="18"/>
                <w:szCs w:val="18"/>
              </w:rPr>
            </w:pPr>
            <w:r>
              <w:rPr>
                <w:rFonts w:cs="Arial"/>
                <w:noProof/>
                <w:sz w:val="18"/>
                <w:szCs w:val="18"/>
              </w:rPr>
              <w:t>Design of shaft bushing</w:t>
            </w:r>
          </w:p>
        </w:tc>
        <w:tc>
          <w:tcPr>
            <w:tcW w:w="6521" w:type="dxa"/>
            <w:shd w:val="clear" w:color="auto" w:fill="auto"/>
          </w:tcPr>
          <w:p w:rsidR="00F075FB" w:rsidRPr="00C903F8" w:rsidRDefault="00F075FB" w:rsidP="00A5358D">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6435E7">
            <w:pPr>
              <w:spacing w:before="240" w:after="240" w:line="240" w:lineRule="atLeast"/>
              <w:ind w:left="0" w:firstLine="0"/>
              <w:rPr>
                <w:rFonts w:cs="Arial"/>
                <w:sz w:val="18"/>
                <w:szCs w:val="18"/>
              </w:rPr>
            </w:pPr>
            <w:r w:rsidRPr="00C903F8">
              <w:rPr>
                <w:rFonts w:cs="Arial"/>
                <w:sz w:val="18"/>
                <w:szCs w:val="18"/>
              </w:rPr>
              <w:t>1.1.2015</w:t>
            </w:r>
          </w:p>
        </w:tc>
      </w:tr>
      <w:tr w:rsidR="00F075FB" w:rsidRPr="00C903F8" w:rsidTr="00E113D0">
        <w:trPr>
          <w:cantSplit/>
          <w:trHeight w:val="355"/>
          <w:jc w:val="center"/>
        </w:trPr>
        <w:tc>
          <w:tcPr>
            <w:tcW w:w="1342" w:type="dxa"/>
            <w:tcBorders>
              <w:bottom w:val="nil"/>
            </w:tcBorders>
            <w:shd w:val="clear" w:color="auto" w:fill="auto"/>
          </w:tcPr>
          <w:p w:rsidR="00F075FB" w:rsidRPr="00C903F8" w:rsidRDefault="00F075FB" w:rsidP="00F91AFF">
            <w:pPr>
              <w:spacing w:before="120" w:after="240" w:line="240" w:lineRule="atLeast"/>
              <w:ind w:left="0" w:firstLine="0"/>
              <w:rPr>
                <w:rFonts w:cs="Arial"/>
                <w:sz w:val="18"/>
                <w:szCs w:val="18"/>
              </w:rPr>
            </w:pPr>
            <w:r w:rsidRPr="00C903F8">
              <w:rPr>
                <w:rFonts w:cs="Arial"/>
                <w:sz w:val="18"/>
                <w:szCs w:val="18"/>
              </w:rPr>
              <w:lastRenderedPageBreak/>
              <w:t>8.05</w:t>
            </w:r>
          </w:p>
        </w:tc>
        <w:tc>
          <w:tcPr>
            <w:tcW w:w="1458" w:type="dxa"/>
            <w:shd w:val="clear" w:color="auto" w:fill="auto"/>
          </w:tcPr>
          <w:p w:rsidR="00F075FB" w:rsidRPr="00C903F8" w:rsidRDefault="00F075FB" w:rsidP="00A5358D">
            <w:pPr>
              <w:spacing w:before="120" w:after="120" w:line="240" w:lineRule="atLeast"/>
              <w:ind w:left="0" w:firstLine="0"/>
              <w:rPr>
                <w:rFonts w:cs="Arial"/>
                <w:sz w:val="18"/>
                <w:szCs w:val="18"/>
              </w:rPr>
            </w:pPr>
            <w:r w:rsidRPr="00C903F8">
              <w:rPr>
                <w:rFonts w:cs="Arial"/>
                <w:sz w:val="18"/>
                <w:szCs w:val="18"/>
              </w:rPr>
              <w:t>(1)</w:t>
            </w:r>
          </w:p>
        </w:tc>
        <w:tc>
          <w:tcPr>
            <w:tcW w:w="3296" w:type="dxa"/>
            <w:shd w:val="clear" w:color="auto" w:fill="auto"/>
          </w:tcPr>
          <w:p w:rsidR="00F075FB" w:rsidRPr="00C903F8" w:rsidRDefault="00F075FB" w:rsidP="00A5358D">
            <w:pPr>
              <w:spacing w:before="120" w:after="120" w:line="240" w:lineRule="atLeast"/>
              <w:ind w:left="0" w:firstLine="0"/>
              <w:rPr>
                <w:rFonts w:cs="Arial"/>
                <w:sz w:val="18"/>
                <w:szCs w:val="18"/>
                <w:lang w:val="en-US"/>
              </w:rPr>
            </w:pPr>
            <w:r w:rsidRPr="00C903F8">
              <w:rPr>
                <w:rFonts w:cs="Arial"/>
                <w:noProof/>
                <w:sz w:val="18"/>
                <w:szCs w:val="18"/>
                <w:lang w:val="en-US"/>
              </w:rPr>
              <w:t>Steel tanks for liquid fuels</w:t>
            </w:r>
          </w:p>
        </w:tc>
        <w:tc>
          <w:tcPr>
            <w:tcW w:w="6521" w:type="dxa"/>
            <w:shd w:val="clear" w:color="auto" w:fill="auto"/>
          </w:tcPr>
          <w:p w:rsidR="00F075FB" w:rsidRPr="00C903F8" w:rsidRDefault="00F075FB" w:rsidP="00A5358D">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6435E7">
            <w:pPr>
              <w:spacing w:before="240" w:after="240" w:line="240" w:lineRule="atLeast"/>
              <w:ind w:left="0" w:firstLine="0"/>
              <w:rPr>
                <w:rFonts w:cs="Arial"/>
                <w:sz w:val="18"/>
                <w:szCs w:val="18"/>
              </w:rPr>
            </w:pPr>
            <w:r w:rsidRPr="00C903F8">
              <w:rPr>
                <w:rFonts w:cs="Arial"/>
                <w:sz w:val="18"/>
                <w:szCs w:val="18"/>
              </w:rPr>
              <w:t>1.1.2015</w:t>
            </w:r>
          </w:p>
        </w:tc>
      </w:tr>
      <w:tr w:rsidR="00F075FB" w:rsidRPr="00C903F8" w:rsidTr="00F14E8B">
        <w:trPr>
          <w:cantSplit/>
          <w:jc w:val="center"/>
        </w:trPr>
        <w:tc>
          <w:tcPr>
            <w:tcW w:w="1342" w:type="dxa"/>
            <w:vMerge w:val="restart"/>
            <w:tcBorders>
              <w:top w:val="nil"/>
            </w:tcBorders>
            <w:shd w:val="clear" w:color="auto" w:fill="auto"/>
          </w:tcPr>
          <w:p w:rsidR="00F075FB" w:rsidRPr="00C903F8" w:rsidRDefault="00F075FB" w:rsidP="000D7607">
            <w:pPr>
              <w:spacing w:before="120" w:after="120" w:line="240" w:lineRule="atLeast"/>
              <w:ind w:left="0" w:firstLine="0"/>
              <w:rPr>
                <w:rFonts w:cs="Arial"/>
                <w:sz w:val="18"/>
                <w:szCs w:val="18"/>
                <w:lang w:val="en-US"/>
              </w:rPr>
            </w:pPr>
          </w:p>
        </w:tc>
        <w:tc>
          <w:tcPr>
            <w:tcW w:w="1458" w:type="dxa"/>
            <w:vMerge w:val="restart"/>
            <w:shd w:val="clear" w:color="auto" w:fill="auto"/>
          </w:tcPr>
          <w:p w:rsidR="00F075FB" w:rsidRPr="00C903F8" w:rsidRDefault="00F075FB" w:rsidP="00A5358D">
            <w:pPr>
              <w:spacing w:before="120" w:after="120" w:line="240" w:lineRule="atLeast"/>
              <w:ind w:left="0" w:firstLine="0"/>
              <w:rPr>
                <w:rFonts w:cs="Arial"/>
                <w:sz w:val="18"/>
                <w:szCs w:val="18"/>
              </w:rPr>
            </w:pPr>
            <w:r w:rsidRPr="00C903F8">
              <w:rPr>
                <w:rFonts w:cs="Arial"/>
                <w:sz w:val="18"/>
                <w:szCs w:val="18"/>
              </w:rPr>
              <w:t>(3)</w:t>
            </w:r>
          </w:p>
        </w:tc>
        <w:tc>
          <w:tcPr>
            <w:tcW w:w="3296" w:type="dxa"/>
            <w:shd w:val="clear" w:color="auto" w:fill="auto"/>
          </w:tcPr>
          <w:p w:rsidR="00F075FB" w:rsidRPr="00C903F8" w:rsidRDefault="00F075FB" w:rsidP="00A5358D">
            <w:pPr>
              <w:tabs>
                <w:tab w:val="left" w:pos="1170"/>
              </w:tabs>
              <w:spacing w:before="120" w:after="120" w:line="240" w:lineRule="atLeast"/>
              <w:ind w:left="0" w:firstLine="0"/>
              <w:rPr>
                <w:rFonts w:cs="Arial"/>
                <w:sz w:val="18"/>
                <w:szCs w:val="18"/>
                <w:lang w:val="en-US"/>
              </w:rPr>
            </w:pPr>
            <w:r w:rsidRPr="00C903F8">
              <w:rPr>
                <w:rFonts w:cs="Arial"/>
                <w:noProof/>
                <w:sz w:val="18"/>
                <w:szCs w:val="18"/>
                <w:lang w:val="en-US"/>
              </w:rPr>
              <w:t>No fuel tanks located forward of the collision bulkhead</w:t>
            </w:r>
          </w:p>
        </w:tc>
        <w:tc>
          <w:tcPr>
            <w:tcW w:w="6521" w:type="dxa"/>
            <w:shd w:val="clear" w:color="auto" w:fill="auto"/>
          </w:tcPr>
          <w:p w:rsidR="00F075FB" w:rsidRPr="00C903F8" w:rsidRDefault="00F075FB" w:rsidP="00A5358D">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0D7607">
            <w:pPr>
              <w:spacing w:before="120" w:after="120" w:line="240" w:lineRule="atLeast"/>
              <w:ind w:left="0" w:firstLine="0"/>
              <w:rPr>
                <w:rFonts w:cs="Arial"/>
                <w:sz w:val="18"/>
                <w:szCs w:val="18"/>
              </w:rPr>
            </w:pPr>
            <w:r w:rsidRPr="00C903F8">
              <w:rPr>
                <w:rFonts w:cs="Arial"/>
                <w:sz w:val="18"/>
                <w:szCs w:val="18"/>
              </w:rPr>
              <w:t>1.1.2010</w:t>
            </w:r>
          </w:p>
        </w:tc>
      </w:tr>
      <w:tr w:rsidR="00F075FB" w:rsidRPr="00C903F8" w:rsidTr="00E113D0">
        <w:trPr>
          <w:cantSplit/>
          <w:trHeight w:val="585"/>
          <w:jc w:val="center"/>
        </w:trPr>
        <w:tc>
          <w:tcPr>
            <w:tcW w:w="1342" w:type="dxa"/>
            <w:vMerge/>
            <w:tcBorders>
              <w:bottom w:val="nil"/>
            </w:tcBorders>
            <w:shd w:val="clear" w:color="auto" w:fill="auto"/>
          </w:tcPr>
          <w:p w:rsidR="00F075FB" w:rsidRPr="00C903F8" w:rsidRDefault="00F075FB" w:rsidP="000D7607">
            <w:pPr>
              <w:spacing w:before="120" w:after="120" w:line="240" w:lineRule="atLeast"/>
              <w:ind w:left="0" w:firstLine="0"/>
              <w:rPr>
                <w:rFonts w:cs="Arial"/>
                <w:sz w:val="18"/>
                <w:szCs w:val="18"/>
              </w:rPr>
            </w:pPr>
          </w:p>
        </w:tc>
        <w:tc>
          <w:tcPr>
            <w:tcW w:w="1458" w:type="dxa"/>
            <w:vMerge/>
            <w:tcBorders>
              <w:bottom w:val="single" w:sz="4" w:space="0" w:color="auto"/>
            </w:tcBorders>
            <w:shd w:val="clear" w:color="auto" w:fill="auto"/>
          </w:tcPr>
          <w:p w:rsidR="00F075FB" w:rsidRPr="00C903F8" w:rsidRDefault="00F075FB" w:rsidP="00A5358D">
            <w:pPr>
              <w:spacing w:before="120" w:after="120" w:line="240" w:lineRule="atLeast"/>
              <w:ind w:left="0" w:firstLine="0"/>
              <w:rPr>
                <w:rFonts w:cs="Arial"/>
                <w:sz w:val="18"/>
                <w:szCs w:val="18"/>
              </w:rPr>
            </w:pPr>
          </w:p>
        </w:tc>
        <w:tc>
          <w:tcPr>
            <w:tcW w:w="3296" w:type="dxa"/>
            <w:tcBorders>
              <w:bottom w:val="single" w:sz="4" w:space="0" w:color="auto"/>
            </w:tcBorders>
            <w:shd w:val="clear" w:color="auto" w:fill="auto"/>
          </w:tcPr>
          <w:p w:rsidR="00F075FB" w:rsidRPr="00C903F8" w:rsidRDefault="00F075FB" w:rsidP="00A5358D">
            <w:pPr>
              <w:spacing w:before="120" w:after="120" w:line="240" w:lineRule="atLeast"/>
              <w:ind w:left="0" w:firstLine="0"/>
              <w:rPr>
                <w:rFonts w:cs="Arial"/>
                <w:sz w:val="18"/>
                <w:szCs w:val="18"/>
                <w:lang w:val="en-US"/>
              </w:rPr>
            </w:pPr>
            <w:r w:rsidRPr="00C903F8">
              <w:rPr>
                <w:rFonts w:cs="Arial"/>
                <w:sz w:val="18"/>
                <w:szCs w:val="18"/>
                <w:lang w:val="en-US"/>
              </w:rPr>
              <w:t>No fuel tanks aft of the aft-peak bulkhead</w:t>
            </w:r>
          </w:p>
        </w:tc>
        <w:tc>
          <w:tcPr>
            <w:tcW w:w="6521" w:type="dxa"/>
            <w:shd w:val="clear" w:color="auto" w:fill="auto"/>
          </w:tcPr>
          <w:p w:rsidR="00F075FB" w:rsidRPr="00C903F8" w:rsidRDefault="00F075FB" w:rsidP="00A5358D">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0D7607">
            <w:pPr>
              <w:spacing w:before="120" w:after="120" w:line="240" w:lineRule="atLeast"/>
              <w:ind w:left="0" w:firstLine="0"/>
              <w:rPr>
                <w:rFonts w:cs="Arial"/>
                <w:sz w:val="18"/>
                <w:szCs w:val="18"/>
              </w:rPr>
            </w:pPr>
            <w:r w:rsidRPr="00C903F8">
              <w:rPr>
                <w:rFonts w:cs="Arial"/>
                <w:sz w:val="18"/>
                <w:szCs w:val="18"/>
              </w:rPr>
              <w:t>1.1.2035</w:t>
            </w:r>
          </w:p>
        </w:tc>
      </w:tr>
      <w:tr w:rsidR="00F075FB" w:rsidRPr="00C903F8" w:rsidTr="00F14E8B">
        <w:trPr>
          <w:cantSplit/>
          <w:jc w:val="center"/>
        </w:trPr>
        <w:tc>
          <w:tcPr>
            <w:tcW w:w="1342" w:type="dxa"/>
            <w:vMerge w:val="restart"/>
            <w:tcBorders>
              <w:top w:val="nil"/>
            </w:tcBorders>
            <w:shd w:val="clear" w:color="auto" w:fill="auto"/>
          </w:tcPr>
          <w:p w:rsidR="00F075FB" w:rsidRPr="00C903F8" w:rsidRDefault="00F075FB" w:rsidP="000D7607">
            <w:pPr>
              <w:spacing w:before="120" w:after="120" w:line="240" w:lineRule="atLeast"/>
              <w:ind w:left="0" w:firstLine="0"/>
              <w:rPr>
                <w:rFonts w:cs="Arial"/>
                <w:sz w:val="18"/>
                <w:szCs w:val="18"/>
                <w:lang w:val="en-US"/>
              </w:rPr>
            </w:pPr>
          </w:p>
        </w:tc>
        <w:tc>
          <w:tcPr>
            <w:tcW w:w="1458" w:type="dxa"/>
            <w:vMerge w:val="restart"/>
            <w:shd w:val="clear" w:color="auto" w:fill="auto"/>
          </w:tcPr>
          <w:p w:rsidR="00F075FB" w:rsidRPr="00C903F8" w:rsidRDefault="00F075FB" w:rsidP="00A5358D">
            <w:pPr>
              <w:spacing w:before="120" w:after="120" w:line="240" w:lineRule="atLeast"/>
              <w:ind w:left="0" w:firstLine="0"/>
              <w:rPr>
                <w:rFonts w:cs="Arial"/>
                <w:sz w:val="18"/>
                <w:szCs w:val="18"/>
              </w:rPr>
            </w:pPr>
            <w:r w:rsidRPr="00C903F8">
              <w:rPr>
                <w:rFonts w:cs="Arial"/>
                <w:sz w:val="18"/>
                <w:szCs w:val="18"/>
              </w:rPr>
              <w:t>(4)</w:t>
            </w:r>
          </w:p>
        </w:tc>
        <w:tc>
          <w:tcPr>
            <w:tcW w:w="3296" w:type="dxa"/>
            <w:vMerge w:val="restart"/>
            <w:shd w:val="clear" w:color="auto" w:fill="auto"/>
          </w:tcPr>
          <w:p w:rsidR="00F075FB" w:rsidRPr="00C903F8" w:rsidRDefault="00F075FB" w:rsidP="00A5358D">
            <w:pPr>
              <w:spacing w:before="120" w:after="120" w:line="240" w:lineRule="atLeast"/>
              <w:ind w:left="0" w:firstLine="0"/>
              <w:rPr>
                <w:rFonts w:cs="Arial"/>
                <w:sz w:val="18"/>
                <w:szCs w:val="18"/>
                <w:lang w:val="en-US"/>
              </w:rPr>
            </w:pPr>
            <w:r w:rsidRPr="00C903F8">
              <w:rPr>
                <w:rFonts w:cs="Arial"/>
                <w:noProof/>
                <w:sz w:val="18"/>
                <w:szCs w:val="18"/>
                <w:lang w:val="en-US"/>
              </w:rPr>
              <w:t>No fuel tanks and their fittings above engines or exhaust pipes</w:t>
            </w:r>
          </w:p>
        </w:tc>
        <w:tc>
          <w:tcPr>
            <w:tcW w:w="6521" w:type="dxa"/>
            <w:shd w:val="clear" w:color="auto" w:fill="auto"/>
          </w:tcPr>
          <w:p w:rsidR="00F075FB" w:rsidRPr="00C903F8" w:rsidRDefault="00F075FB" w:rsidP="00A5358D">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0D7607">
            <w:pPr>
              <w:spacing w:before="120" w:after="120" w:line="240" w:lineRule="atLeast"/>
              <w:ind w:left="0" w:firstLine="0"/>
              <w:rPr>
                <w:rFonts w:cs="Arial"/>
                <w:sz w:val="18"/>
                <w:szCs w:val="18"/>
              </w:rPr>
            </w:pPr>
            <w:r w:rsidRPr="00C903F8">
              <w:rPr>
                <w:rFonts w:cs="Arial"/>
                <w:sz w:val="18"/>
                <w:szCs w:val="18"/>
              </w:rPr>
              <w:t>1.1.2010</w:t>
            </w:r>
          </w:p>
        </w:tc>
      </w:tr>
      <w:tr w:rsidR="00F075FB" w:rsidRPr="00296858" w:rsidTr="00F14E8B">
        <w:trPr>
          <w:cantSplit/>
          <w:jc w:val="center"/>
        </w:trPr>
        <w:tc>
          <w:tcPr>
            <w:tcW w:w="1342" w:type="dxa"/>
            <w:vMerge/>
            <w:tcBorders>
              <w:bottom w:val="nil"/>
            </w:tcBorders>
            <w:shd w:val="clear" w:color="auto" w:fill="auto"/>
          </w:tcPr>
          <w:p w:rsidR="00F075FB" w:rsidRPr="00C903F8" w:rsidRDefault="00F075FB" w:rsidP="006435E7">
            <w:pPr>
              <w:spacing w:before="240" w:after="240" w:line="240" w:lineRule="atLeast"/>
              <w:ind w:left="0" w:firstLine="0"/>
              <w:rPr>
                <w:rFonts w:cs="Arial"/>
                <w:sz w:val="18"/>
                <w:szCs w:val="18"/>
              </w:rPr>
            </w:pPr>
          </w:p>
        </w:tc>
        <w:tc>
          <w:tcPr>
            <w:tcW w:w="1458" w:type="dxa"/>
            <w:vMerge/>
            <w:shd w:val="clear" w:color="auto" w:fill="auto"/>
          </w:tcPr>
          <w:p w:rsidR="00F075FB" w:rsidRPr="00C903F8" w:rsidRDefault="00F075FB" w:rsidP="00A5358D">
            <w:pPr>
              <w:spacing w:before="120" w:after="120" w:line="240" w:lineRule="atLeast"/>
              <w:ind w:left="0" w:firstLine="0"/>
              <w:rPr>
                <w:rFonts w:cs="Arial"/>
                <w:sz w:val="18"/>
                <w:szCs w:val="18"/>
              </w:rPr>
            </w:pPr>
          </w:p>
        </w:tc>
        <w:tc>
          <w:tcPr>
            <w:tcW w:w="3296" w:type="dxa"/>
            <w:vMerge/>
            <w:shd w:val="clear" w:color="auto" w:fill="auto"/>
          </w:tcPr>
          <w:p w:rsidR="00F075FB" w:rsidRPr="00C903F8" w:rsidRDefault="00F075FB" w:rsidP="00A5358D">
            <w:pPr>
              <w:spacing w:before="120" w:after="120" w:line="240" w:lineRule="atLeast"/>
              <w:ind w:left="0" w:firstLine="0"/>
              <w:rPr>
                <w:rFonts w:cs="Arial"/>
                <w:sz w:val="18"/>
                <w:szCs w:val="18"/>
              </w:rPr>
            </w:pPr>
          </w:p>
        </w:tc>
        <w:tc>
          <w:tcPr>
            <w:tcW w:w="6521" w:type="dxa"/>
            <w:shd w:val="clear" w:color="auto" w:fill="auto"/>
          </w:tcPr>
          <w:p w:rsidR="00F075FB" w:rsidRPr="00C903F8" w:rsidRDefault="00F075FB" w:rsidP="00A5358D">
            <w:pPr>
              <w:spacing w:before="120" w:after="120" w:line="240" w:lineRule="atLeast"/>
              <w:ind w:left="0" w:firstLine="0"/>
              <w:rPr>
                <w:rFonts w:cs="Arial"/>
                <w:sz w:val="18"/>
                <w:szCs w:val="18"/>
                <w:lang w:val="en-US"/>
              </w:rPr>
            </w:pPr>
            <w:r w:rsidRPr="00C903F8">
              <w:rPr>
                <w:rFonts w:cs="Arial"/>
                <w:sz w:val="18"/>
                <w:szCs w:val="18"/>
                <w:lang w:val="en-US"/>
              </w:rPr>
              <w:t>Until then, appropriate devices must ensure the safe evacuation of fuels.</w:t>
            </w:r>
          </w:p>
        </w:tc>
        <w:tc>
          <w:tcPr>
            <w:tcW w:w="1276" w:type="dxa"/>
            <w:shd w:val="clear" w:color="auto" w:fill="auto"/>
          </w:tcPr>
          <w:p w:rsidR="00F075FB" w:rsidRPr="00C903F8" w:rsidRDefault="00F075FB" w:rsidP="006435E7">
            <w:pPr>
              <w:spacing w:before="240" w:after="240" w:line="240" w:lineRule="atLeast"/>
              <w:ind w:left="0" w:firstLine="0"/>
              <w:rPr>
                <w:rFonts w:cs="Arial"/>
                <w:sz w:val="18"/>
                <w:szCs w:val="18"/>
                <w:lang w:val="en-US"/>
              </w:rPr>
            </w:pP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6435E7">
            <w:pPr>
              <w:spacing w:before="240" w:after="240" w:line="240" w:lineRule="atLeast"/>
              <w:ind w:left="0" w:firstLine="0"/>
              <w:rPr>
                <w:rFonts w:cs="Arial"/>
                <w:sz w:val="18"/>
                <w:szCs w:val="18"/>
                <w:lang w:val="en-US"/>
              </w:rPr>
            </w:pPr>
          </w:p>
        </w:tc>
        <w:tc>
          <w:tcPr>
            <w:tcW w:w="1458" w:type="dxa"/>
            <w:shd w:val="clear" w:color="auto" w:fill="auto"/>
          </w:tcPr>
          <w:p w:rsidR="00F075FB" w:rsidRPr="00C903F8" w:rsidRDefault="00F075FB" w:rsidP="00E113D0">
            <w:pPr>
              <w:spacing w:before="120" w:after="120" w:line="240" w:lineRule="atLeast"/>
              <w:ind w:left="0" w:firstLine="0"/>
              <w:rPr>
                <w:rFonts w:cs="Arial"/>
                <w:sz w:val="18"/>
                <w:szCs w:val="18"/>
              </w:rPr>
            </w:pPr>
            <w:r w:rsidRPr="00C903F8">
              <w:rPr>
                <w:rFonts w:cs="Arial"/>
                <w:sz w:val="18"/>
                <w:szCs w:val="18"/>
              </w:rPr>
              <w:t>(6), 3</w:t>
            </w:r>
            <w:r w:rsidRPr="00C903F8">
              <w:rPr>
                <w:rFonts w:cs="Arial"/>
                <w:sz w:val="18"/>
                <w:szCs w:val="18"/>
                <w:vertAlign w:val="superscript"/>
              </w:rPr>
              <w:t>rd</w:t>
            </w:r>
            <w:r w:rsidRPr="00C903F8">
              <w:rPr>
                <w:rFonts w:cs="Arial"/>
                <w:sz w:val="18"/>
                <w:szCs w:val="18"/>
              </w:rPr>
              <w:t xml:space="preserve"> to 5</w:t>
            </w:r>
            <w:r w:rsidRPr="00C903F8">
              <w:rPr>
                <w:rFonts w:cs="Arial"/>
                <w:sz w:val="18"/>
                <w:szCs w:val="18"/>
                <w:vertAlign w:val="superscript"/>
              </w:rPr>
              <w:t>th</w:t>
            </w:r>
            <w:r w:rsidRPr="00C903F8">
              <w:rPr>
                <w:rFonts w:cs="Arial"/>
                <w:sz w:val="18"/>
                <w:szCs w:val="18"/>
              </w:rPr>
              <w:t xml:space="preserve"> sentences</w:t>
            </w:r>
          </w:p>
        </w:tc>
        <w:tc>
          <w:tcPr>
            <w:tcW w:w="3296" w:type="dxa"/>
            <w:shd w:val="clear" w:color="auto" w:fill="auto"/>
          </w:tcPr>
          <w:p w:rsidR="00F075FB" w:rsidRPr="00C903F8" w:rsidRDefault="00F075FB" w:rsidP="00E113D0">
            <w:pPr>
              <w:spacing w:before="120" w:after="120" w:line="240" w:lineRule="atLeast"/>
              <w:ind w:left="0" w:firstLine="0"/>
              <w:rPr>
                <w:rFonts w:cs="Arial"/>
                <w:sz w:val="18"/>
                <w:szCs w:val="18"/>
                <w:lang w:val="en-US"/>
              </w:rPr>
            </w:pPr>
            <w:r w:rsidRPr="00C903F8">
              <w:rPr>
                <w:rFonts w:cs="Arial"/>
                <w:noProof/>
                <w:sz w:val="18"/>
                <w:szCs w:val="18"/>
                <w:lang w:val="en-US"/>
              </w:rPr>
              <w:t>Installation and measurements of breather pipes and connection pipes</w:t>
            </w:r>
          </w:p>
        </w:tc>
        <w:tc>
          <w:tcPr>
            <w:tcW w:w="6521" w:type="dxa"/>
            <w:shd w:val="clear" w:color="auto" w:fill="auto"/>
          </w:tcPr>
          <w:p w:rsidR="00F075FB" w:rsidRPr="00C903F8" w:rsidRDefault="00F075FB" w:rsidP="00E113D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9942A5">
            <w:pPr>
              <w:spacing w:before="120" w:after="240" w:line="240" w:lineRule="atLeast"/>
              <w:ind w:left="0" w:firstLine="0"/>
              <w:rPr>
                <w:rFonts w:cs="Arial"/>
                <w:sz w:val="18"/>
                <w:szCs w:val="18"/>
              </w:rPr>
            </w:pPr>
            <w:r w:rsidRPr="00C903F8">
              <w:rPr>
                <w:rFonts w:cs="Arial"/>
                <w:sz w:val="18"/>
                <w:szCs w:val="18"/>
              </w:rPr>
              <w:t>1.1.2020</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1E2331">
            <w:pPr>
              <w:spacing w:before="240" w:after="160" w:line="240" w:lineRule="atLeast"/>
              <w:ind w:left="0" w:firstLine="0"/>
              <w:rPr>
                <w:rFonts w:cs="Arial"/>
                <w:sz w:val="18"/>
                <w:szCs w:val="18"/>
              </w:rPr>
            </w:pPr>
          </w:p>
        </w:tc>
        <w:tc>
          <w:tcPr>
            <w:tcW w:w="1458" w:type="dxa"/>
            <w:shd w:val="clear" w:color="auto" w:fill="auto"/>
          </w:tcPr>
          <w:p w:rsidR="00F075FB" w:rsidRPr="00C903F8" w:rsidRDefault="00F075FB" w:rsidP="00E113D0">
            <w:pPr>
              <w:spacing w:before="120" w:after="120" w:line="240" w:lineRule="atLeast"/>
              <w:ind w:left="0" w:firstLine="0"/>
              <w:jc w:val="left"/>
              <w:rPr>
                <w:rFonts w:cs="Arial"/>
                <w:sz w:val="18"/>
                <w:szCs w:val="18"/>
                <w:lang w:val="en-US"/>
              </w:rPr>
            </w:pPr>
            <w:r w:rsidRPr="00C903F8">
              <w:rPr>
                <w:rFonts w:cs="Arial"/>
                <w:sz w:val="18"/>
                <w:szCs w:val="18"/>
                <w:lang w:val="en-US"/>
              </w:rPr>
              <w:t>(7), 1</w:t>
            </w:r>
            <w:r w:rsidRPr="00C903F8">
              <w:rPr>
                <w:rFonts w:cs="Arial"/>
                <w:sz w:val="18"/>
                <w:szCs w:val="18"/>
                <w:vertAlign w:val="superscript"/>
                <w:lang w:val="en-US"/>
              </w:rPr>
              <w:t>st</w:t>
            </w:r>
            <w:r w:rsidRPr="00C903F8">
              <w:rPr>
                <w:rFonts w:cs="Arial"/>
                <w:sz w:val="18"/>
                <w:szCs w:val="18"/>
                <w:lang w:val="en-US"/>
              </w:rPr>
              <w:t xml:space="preserve"> sentence</w:t>
            </w:r>
          </w:p>
        </w:tc>
        <w:tc>
          <w:tcPr>
            <w:tcW w:w="3296" w:type="dxa"/>
            <w:shd w:val="clear" w:color="auto" w:fill="auto"/>
          </w:tcPr>
          <w:p w:rsidR="00F075FB" w:rsidRPr="00C903F8" w:rsidRDefault="00F075FB" w:rsidP="00E113D0">
            <w:pPr>
              <w:spacing w:before="120" w:after="120" w:line="240" w:lineRule="atLeast"/>
              <w:ind w:left="0" w:firstLine="0"/>
              <w:rPr>
                <w:rFonts w:cs="Arial"/>
                <w:sz w:val="18"/>
                <w:szCs w:val="18"/>
                <w:lang w:val="en-US"/>
              </w:rPr>
            </w:pPr>
            <w:r w:rsidRPr="00C903F8">
              <w:rPr>
                <w:rFonts w:cs="Arial"/>
                <w:sz w:val="18"/>
                <w:szCs w:val="18"/>
                <w:lang w:val="en-US"/>
              </w:rPr>
              <w:t>Quick-closing valve on the tank operated from deck, even when the rooms in question are closed</w:t>
            </w:r>
          </w:p>
        </w:tc>
        <w:tc>
          <w:tcPr>
            <w:tcW w:w="6521" w:type="dxa"/>
            <w:shd w:val="clear" w:color="auto" w:fill="auto"/>
          </w:tcPr>
          <w:p w:rsidR="00F075FB" w:rsidRPr="00C903F8" w:rsidRDefault="00F075FB" w:rsidP="00E113D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9942A5">
            <w:pPr>
              <w:spacing w:before="120" w:after="16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6435E7">
            <w:pPr>
              <w:spacing w:before="240" w:after="240" w:line="240" w:lineRule="atLeast"/>
              <w:ind w:left="0" w:firstLine="0"/>
              <w:rPr>
                <w:rFonts w:cs="Arial"/>
                <w:sz w:val="18"/>
                <w:szCs w:val="18"/>
              </w:rPr>
            </w:pPr>
          </w:p>
        </w:tc>
        <w:tc>
          <w:tcPr>
            <w:tcW w:w="1458" w:type="dxa"/>
            <w:shd w:val="clear" w:color="auto" w:fill="auto"/>
          </w:tcPr>
          <w:p w:rsidR="00F075FB" w:rsidRPr="00C903F8" w:rsidRDefault="00F075FB" w:rsidP="00E113D0">
            <w:pPr>
              <w:spacing w:before="120" w:after="120" w:line="240" w:lineRule="atLeast"/>
              <w:ind w:left="0" w:firstLine="0"/>
              <w:jc w:val="left"/>
              <w:rPr>
                <w:rFonts w:cs="Arial"/>
                <w:sz w:val="18"/>
                <w:szCs w:val="18"/>
                <w:lang w:val="en-US"/>
              </w:rPr>
            </w:pPr>
            <w:r w:rsidRPr="00C903F8">
              <w:rPr>
                <w:rFonts w:cs="Arial"/>
                <w:sz w:val="18"/>
                <w:szCs w:val="18"/>
                <w:lang w:val="en-US"/>
              </w:rPr>
              <w:t>(9), 2</w:t>
            </w:r>
            <w:r w:rsidRPr="00C903F8">
              <w:rPr>
                <w:rFonts w:cs="Arial"/>
                <w:sz w:val="18"/>
                <w:szCs w:val="18"/>
                <w:vertAlign w:val="superscript"/>
                <w:lang w:val="en-US"/>
              </w:rPr>
              <w:t>nd </w:t>
            </w:r>
            <w:r w:rsidRPr="00C903F8">
              <w:rPr>
                <w:rFonts w:cs="Arial"/>
                <w:sz w:val="18"/>
                <w:szCs w:val="18"/>
                <w:lang w:val="en-US"/>
              </w:rPr>
              <w:t>sentence</w:t>
            </w:r>
          </w:p>
        </w:tc>
        <w:tc>
          <w:tcPr>
            <w:tcW w:w="3296" w:type="dxa"/>
            <w:shd w:val="clear" w:color="auto" w:fill="auto"/>
          </w:tcPr>
          <w:p w:rsidR="00F075FB" w:rsidRPr="00C903F8" w:rsidRDefault="00F075FB" w:rsidP="00E113D0">
            <w:pPr>
              <w:spacing w:before="120" w:after="120" w:line="240" w:lineRule="atLeast"/>
              <w:ind w:left="0" w:firstLine="0"/>
              <w:rPr>
                <w:rFonts w:cs="Arial"/>
                <w:sz w:val="18"/>
                <w:szCs w:val="18"/>
                <w:lang w:val="en-US"/>
              </w:rPr>
            </w:pPr>
            <w:r w:rsidRPr="00C903F8">
              <w:rPr>
                <w:rFonts w:cs="Arial"/>
                <w:noProof/>
                <w:sz w:val="18"/>
                <w:szCs w:val="18"/>
                <w:lang w:val="en-US"/>
              </w:rPr>
              <w:t>Capacity-gauging devices to be legible up to maximum filling level</w:t>
            </w:r>
          </w:p>
        </w:tc>
        <w:tc>
          <w:tcPr>
            <w:tcW w:w="6521" w:type="dxa"/>
            <w:shd w:val="clear" w:color="auto" w:fill="auto"/>
          </w:tcPr>
          <w:p w:rsidR="00F075FB" w:rsidRPr="00C903F8" w:rsidRDefault="00F075FB" w:rsidP="00E113D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9942A5">
            <w:pPr>
              <w:spacing w:before="120" w:after="24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tcBorders>
              <w:top w:val="nil"/>
            </w:tcBorders>
            <w:shd w:val="clear" w:color="auto" w:fill="auto"/>
          </w:tcPr>
          <w:p w:rsidR="00F075FB" w:rsidRPr="00C903F8" w:rsidRDefault="00F075FB" w:rsidP="001E2331">
            <w:pPr>
              <w:spacing w:before="240" w:after="160" w:line="240" w:lineRule="atLeast"/>
              <w:ind w:left="0" w:firstLine="0"/>
              <w:rPr>
                <w:rFonts w:cs="Arial"/>
                <w:sz w:val="18"/>
                <w:szCs w:val="18"/>
              </w:rPr>
            </w:pPr>
          </w:p>
        </w:tc>
        <w:tc>
          <w:tcPr>
            <w:tcW w:w="1458" w:type="dxa"/>
            <w:shd w:val="clear" w:color="auto" w:fill="auto"/>
          </w:tcPr>
          <w:p w:rsidR="00F075FB" w:rsidRPr="00C903F8" w:rsidRDefault="00F075FB" w:rsidP="00E113D0">
            <w:pPr>
              <w:spacing w:before="120" w:after="120" w:line="240" w:lineRule="atLeast"/>
              <w:ind w:left="0" w:firstLine="0"/>
              <w:rPr>
                <w:rFonts w:cs="Arial"/>
                <w:sz w:val="18"/>
                <w:szCs w:val="18"/>
              </w:rPr>
            </w:pPr>
            <w:r w:rsidRPr="00C903F8">
              <w:rPr>
                <w:rFonts w:cs="Arial"/>
                <w:sz w:val="18"/>
                <w:szCs w:val="18"/>
              </w:rPr>
              <w:t>(13)</w:t>
            </w:r>
          </w:p>
        </w:tc>
        <w:tc>
          <w:tcPr>
            <w:tcW w:w="3296" w:type="dxa"/>
            <w:shd w:val="clear" w:color="auto" w:fill="auto"/>
          </w:tcPr>
          <w:p w:rsidR="00F075FB" w:rsidRPr="00C903F8" w:rsidRDefault="00F075FB" w:rsidP="00E113D0">
            <w:pPr>
              <w:spacing w:before="120" w:after="120" w:line="240" w:lineRule="atLeast"/>
              <w:ind w:left="0" w:firstLine="0"/>
              <w:rPr>
                <w:rFonts w:cs="Arial"/>
                <w:sz w:val="18"/>
                <w:szCs w:val="18"/>
                <w:lang w:val="en-US"/>
              </w:rPr>
            </w:pPr>
            <w:r w:rsidRPr="00C903F8">
              <w:rPr>
                <w:rFonts w:cs="Arial"/>
                <w:noProof/>
                <w:sz w:val="18"/>
                <w:szCs w:val="18"/>
                <w:lang w:val="en-US"/>
              </w:rPr>
              <w:t>Filling level control not only for main engines but also other engines needed for safe operation of the vessel</w:t>
            </w:r>
          </w:p>
        </w:tc>
        <w:tc>
          <w:tcPr>
            <w:tcW w:w="6521" w:type="dxa"/>
            <w:shd w:val="clear" w:color="auto" w:fill="auto"/>
          </w:tcPr>
          <w:p w:rsidR="00F075FB" w:rsidRPr="00C903F8" w:rsidRDefault="00F075FB" w:rsidP="00E113D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9942A5">
            <w:pPr>
              <w:spacing w:before="120" w:after="16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1342" w:type="dxa"/>
            <w:shd w:val="clear" w:color="auto" w:fill="auto"/>
          </w:tcPr>
          <w:p w:rsidR="00F075FB" w:rsidRPr="00C903F8" w:rsidRDefault="00F075FB" w:rsidP="00F91AFF">
            <w:pPr>
              <w:spacing w:before="120" w:after="160" w:line="240" w:lineRule="atLeast"/>
              <w:ind w:left="0" w:firstLine="0"/>
              <w:rPr>
                <w:rFonts w:cs="Arial"/>
                <w:sz w:val="18"/>
                <w:szCs w:val="18"/>
              </w:rPr>
            </w:pPr>
            <w:r w:rsidRPr="00C903F8">
              <w:rPr>
                <w:rFonts w:cs="Arial"/>
                <w:sz w:val="18"/>
                <w:szCs w:val="18"/>
              </w:rPr>
              <w:t>8.06</w:t>
            </w:r>
          </w:p>
        </w:tc>
        <w:tc>
          <w:tcPr>
            <w:tcW w:w="1458" w:type="dxa"/>
            <w:shd w:val="clear" w:color="auto" w:fill="auto"/>
          </w:tcPr>
          <w:p w:rsidR="00F075FB" w:rsidRPr="00C903F8" w:rsidRDefault="00F075FB" w:rsidP="00E113D0">
            <w:pPr>
              <w:spacing w:before="120" w:after="120" w:line="240" w:lineRule="atLeast"/>
              <w:ind w:left="0" w:firstLine="0"/>
              <w:rPr>
                <w:rFonts w:cs="Arial"/>
                <w:sz w:val="18"/>
                <w:szCs w:val="18"/>
              </w:rPr>
            </w:pPr>
          </w:p>
        </w:tc>
        <w:tc>
          <w:tcPr>
            <w:tcW w:w="3296" w:type="dxa"/>
            <w:shd w:val="clear" w:color="auto" w:fill="auto"/>
          </w:tcPr>
          <w:p w:rsidR="00F075FB" w:rsidRPr="00C903F8" w:rsidRDefault="00F075FB" w:rsidP="00E113D0">
            <w:pPr>
              <w:spacing w:before="120" w:after="120" w:line="240" w:lineRule="atLeast"/>
              <w:ind w:left="0" w:firstLine="0"/>
              <w:rPr>
                <w:rFonts w:cs="Arial"/>
                <w:sz w:val="18"/>
                <w:szCs w:val="18"/>
                <w:lang w:val="en-US"/>
              </w:rPr>
            </w:pPr>
            <w:r w:rsidRPr="00C903F8">
              <w:rPr>
                <w:rFonts w:cs="Arial"/>
                <w:noProof/>
                <w:sz w:val="18"/>
                <w:szCs w:val="18"/>
                <w:lang w:val="en-US"/>
              </w:rPr>
              <w:t>Tanks for lubricating oil, pipes and accessories</w:t>
            </w:r>
          </w:p>
        </w:tc>
        <w:tc>
          <w:tcPr>
            <w:tcW w:w="6521" w:type="dxa"/>
            <w:shd w:val="clear" w:color="auto" w:fill="auto"/>
          </w:tcPr>
          <w:p w:rsidR="00F075FB" w:rsidRPr="00C903F8" w:rsidRDefault="00F075FB" w:rsidP="00E113D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9942A5">
            <w:pPr>
              <w:spacing w:before="120" w:after="16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bottom w:val="single" w:sz="4" w:space="0" w:color="auto"/>
            </w:tcBorders>
            <w:shd w:val="clear" w:color="auto" w:fill="auto"/>
          </w:tcPr>
          <w:p w:rsidR="00F075FB" w:rsidRPr="00C903F8" w:rsidRDefault="00F075FB" w:rsidP="00C01A94">
            <w:pPr>
              <w:spacing w:before="80" w:after="100" w:line="240" w:lineRule="atLeast"/>
              <w:ind w:left="0" w:firstLine="0"/>
              <w:rPr>
                <w:rFonts w:cs="Arial"/>
                <w:sz w:val="18"/>
                <w:szCs w:val="18"/>
              </w:rPr>
            </w:pPr>
            <w:r w:rsidRPr="00C903F8">
              <w:rPr>
                <w:rFonts w:cs="Arial"/>
                <w:sz w:val="18"/>
                <w:szCs w:val="18"/>
              </w:rPr>
              <w:lastRenderedPageBreak/>
              <w:t>8.07</w:t>
            </w:r>
          </w:p>
        </w:tc>
        <w:tc>
          <w:tcPr>
            <w:tcW w:w="1458" w:type="dxa"/>
            <w:shd w:val="clear" w:color="auto" w:fill="auto"/>
          </w:tcPr>
          <w:p w:rsidR="00F075FB" w:rsidRPr="00C903F8" w:rsidRDefault="00F075FB" w:rsidP="00C01A94">
            <w:pPr>
              <w:spacing w:before="80" w:after="100" w:line="240" w:lineRule="atLeast"/>
              <w:ind w:left="0" w:firstLine="0"/>
              <w:rPr>
                <w:rFonts w:cs="Arial"/>
                <w:sz w:val="18"/>
                <w:szCs w:val="18"/>
              </w:rPr>
            </w:pPr>
          </w:p>
        </w:tc>
        <w:tc>
          <w:tcPr>
            <w:tcW w:w="3296" w:type="dxa"/>
            <w:shd w:val="clear" w:color="auto" w:fill="auto"/>
          </w:tcPr>
          <w:p w:rsidR="00F075FB" w:rsidRPr="00C903F8" w:rsidRDefault="00F075FB" w:rsidP="00C01A94">
            <w:pPr>
              <w:spacing w:before="80" w:after="100" w:line="240" w:lineRule="atLeast"/>
              <w:ind w:left="0" w:firstLine="0"/>
              <w:rPr>
                <w:rFonts w:cs="Arial"/>
                <w:sz w:val="18"/>
                <w:szCs w:val="18"/>
                <w:lang w:val="en-US"/>
              </w:rPr>
            </w:pPr>
            <w:r w:rsidRPr="00C903F8">
              <w:rPr>
                <w:rFonts w:cs="Arial"/>
                <w:noProof/>
                <w:sz w:val="18"/>
                <w:szCs w:val="18"/>
                <w:lang w:val="en-US"/>
              </w:rPr>
              <w:t>Tanks for oils in power transmission systems, control and activating systems and heating systems, pipes and accessories</w:t>
            </w:r>
          </w:p>
        </w:tc>
        <w:tc>
          <w:tcPr>
            <w:tcW w:w="6521" w:type="dxa"/>
            <w:shd w:val="clear" w:color="auto" w:fill="auto"/>
          </w:tcPr>
          <w:p w:rsidR="00F075FB" w:rsidRPr="00C903F8" w:rsidRDefault="00F075FB" w:rsidP="00C01A94">
            <w:pPr>
              <w:spacing w:before="8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80" w:after="100" w:line="240" w:lineRule="atLeast"/>
              <w:ind w:left="0" w:firstLine="0"/>
              <w:rPr>
                <w:rFonts w:cs="Arial"/>
                <w:sz w:val="18"/>
                <w:szCs w:val="18"/>
              </w:rPr>
            </w:pPr>
            <w:r w:rsidRPr="00C903F8">
              <w:rPr>
                <w:rFonts w:cs="Arial"/>
                <w:sz w:val="18"/>
                <w:szCs w:val="18"/>
              </w:rPr>
              <w:t>1.1.2045</w:t>
            </w:r>
          </w:p>
        </w:tc>
      </w:tr>
      <w:tr w:rsidR="00F075FB" w:rsidRPr="00C903F8" w:rsidTr="00E113D0">
        <w:trPr>
          <w:cantSplit/>
          <w:trHeight w:val="1431"/>
          <w:jc w:val="center"/>
        </w:trPr>
        <w:tc>
          <w:tcPr>
            <w:tcW w:w="1342" w:type="dxa"/>
            <w:tcBorders>
              <w:bottom w:val="nil"/>
            </w:tcBorders>
            <w:shd w:val="clear" w:color="auto" w:fill="auto"/>
          </w:tcPr>
          <w:p w:rsidR="00F075FB" w:rsidRPr="00C903F8" w:rsidRDefault="00F075FB" w:rsidP="00C01A94">
            <w:pPr>
              <w:spacing w:before="80" w:after="100" w:line="240" w:lineRule="atLeast"/>
              <w:ind w:left="0" w:firstLine="0"/>
              <w:rPr>
                <w:rFonts w:cs="Arial"/>
                <w:sz w:val="18"/>
                <w:szCs w:val="18"/>
              </w:rPr>
            </w:pPr>
            <w:r w:rsidRPr="00C903F8">
              <w:rPr>
                <w:rFonts w:cs="Arial"/>
                <w:sz w:val="18"/>
                <w:szCs w:val="18"/>
              </w:rPr>
              <w:t>8.08</w:t>
            </w:r>
          </w:p>
        </w:tc>
        <w:tc>
          <w:tcPr>
            <w:tcW w:w="1458" w:type="dxa"/>
            <w:shd w:val="clear" w:color="auto" w:fill="auto"/>
          </w:tcPr>
          <w:p w:rsidR="00F075FB" w:rsidRPr="00C903F8" w:rsidRDefault="00F075FB" w:rsidP="00C01A94">
            <w:pPr>
              <w:spacing w:before="80" w:after="100" w:line="240" w:lineRule="atLeast"/>
              <w:ind w:left="0" w:firstLine="0"/>
              <w:rPr>
                <w:rFonts w:cs="Arial"/>
                <w:sz w:val="18"/>
                <w:szCs w:val="18"/>
              </w:rPr>
            </w:pPr>
            <w:r w:rsidRPr="00C903F8">
              <w:rPr>
                <w:rFonts w:cs="Arial"/>
                <w:sz w:val="18"/>
                <w:szCs w:val="18"/>
              </w:rPr>
              <w:t>(8)</w:t>
            </w:r>
          </w:p>
        </w:tc>
        <w:tc>
          <w:tcPr>
            <w:tcW w:w="3296" w:type="dxa"/>
            <w:shd w:val="clear" w:color="auto" w:fill="auto"/>
          </w:tcPr>
          <w:p w:rsidR="00F075FB" w:rsidRPr="00C903F8" w:rsidRDefault="00F075FB" w:rsidP="00C01A94">
            <w:pPr>
              <w:spacing w:before="80" w:after="100" w:line="240" w:lineRule="atLeast"/>
              <w:ind w:left="0" w:firstLine="0"/>
              <w:rPr>
                <w:rFonts w:cs="Arial"/>
                <w:sz w:val="18"/>
                <w:szCs w:val="18"/>
                <w:lang w:val="en-US"/>
              </w:rPr>
            </w:pPr>
            <w:r w:rsidRPr="00C903F8">
              <w:rPr>
                <w:rFonts w:cs="Arial"/>
                <w:noProof/>
                <w:sz w:val="18"/>
                <w:szCs w:val="18"/>
                <w:lang w:val="en-US"/>
              </w:rPr>
              <w:t>Simple closing device not sufficient for connection of ballast spaces to drainage pipes for holds capable of carrying ballast</w:t>
            </w:r>
          </w:p>
        </w:tc>
        <w:tc>
          <w:tcPr>
            <w:tcW w:w="6521" w:type="dxa"/>
            <w:shd w:val="clear" w:color="auto" w:fill="auto"/>
          </w:tcPr>
          <w:p w:rsidR="00F075FB" w:rsidRPr="00C903F8" w:rsidRDefault="00F075FB" w:rsidP="00C01A94">
            <w:pPr>
              <w:spacing w:before="8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80" w:after="10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tcBorders>
              <w:top w:val="nil"/>
            </w:tcBorders>
            <w:shd w:val="clear" w:color="auto" w:fill="auto"/>
          </w:tcPr>
          <w:p w:rsidR="00F075FB" w:rsidRPr="00C903F8" w:rsidRDefault="00F075FB" w:rsidP="00C01A94">
            <w:pPr>
              <w:spacing w:before="80" w:after="10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80" w:after="100" w:line="240" w:lineRule="atLeast"/>
              <w:ind w:left="0" w:firstLine="0"/>
              <w:rPr>
                <w:rFonts w:cs="Arial"/>
                <w:sz w:val="18"/>
                <w:szCs w:val="18"/>
              </w:rPr>
            </w:pPr>
            <w:r w:rsidRPr="00C903F8">
              <w:rPr>
                <w:rFonts w:cs="Arial"/>
                <w:sz w:val="18"/>
                <w:szCs w:val="18"/>
              </w:rPr>
              <w:t>(9)</w:t>
            </w:r>
          </w:p>
        </w:tc>
        <w:tc>
          <w:tcPr>
            <w:tcW w:w="3296" w:type="dxa"/>
            <w:shd w:val="clear" w:color="auto" w:fill="auto"/>
          </w:tcPr>
          <w:p w:rsidR="00F075FB" w:rsidRPr="00C903F8" w:rsidRDefault="00F075FB" w:rsidP="00C01A94">
            <w:pPr>
              <w:spacing w:before="80" w:after="100" w:line="240" w:lineRule="atLeast"/>
              <w:ind w:left="0" w:firstLine="0"/>
              <w:rPr>
                <w:rFonts w:cs="Arial"/>
                <w:sz w:val="18"/>
                <w:szCs w:val="18"/>
                <w:lang w:val="en-US"/>
              </w:rPr>
            </w:pPr>
            <w:r w:rsidRPr="00C903F8">
              <w:rPr>
                <w:rFonts w:cs="Arial"/>
                <w:noProof/>
                <w:sz w:val="18"/>
                <w:szCs w:val="18"/>
                <w:lang w:val="en-US"/>
              </w:rPr>
              <w:t>Gauging devices in hold bilges</w:t>
            </w:r>
          </w:p>
        </w:tc>
        <w:tc>
          <w:tcPr>
            <w:tcW w:w="6521" w:type="dxa"/>
            <w:shd w:val="clear" w:color="auto" w:fill="auto"/>
          </w:tcPr>
          <w:p w:rsidR="00F075FB" w:rsidRPr="00C903F8" w:rsidRDefault="00F075FB" w:rsidP="00C01A94">
            <w:pPr>
              <w:spacing w:before="8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80" w:after="10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shd w:val="clear" w:color="auto" w:fill="auto"/>
          </w:tcPr>
          <w:p w:rsidR="00F075FB" w:rsidRPr="00C903F8" w:rsidRDefault="00F075FB" w:rsidP="00C01A94">
            <w:pPr>
              <w:spacing w:before="80" w:after="100" w:line="240" w:lineRule="atLeast"/>
              <w:ind w:left="0" w:firstLine="0"/>
              <w:rPr>
                <w:rFonts w:cs="Arial"/>
                <w:sz w:val="18"/>
                <w:szCs w:val="18"/>
              </w:rPr>
            </w:pPr>
            <w:r w:rsidRPr="00C903F8">
              <w:rPr>
                <w:rFonts w:cs="Arial"/>
                <w:sz w:val="18"/>
                <w:szCs w:val="18"/>
              </w:rPr>
              <w:t>8.09</w:t>
            </w:r>
          </w:p>
        </w:tc>
        <w:tc>
          <w:tcPr>
            <w:tcW w:w="1458" w:type="dxa"/>
            <w:shd w:val="clear" w:color="auto" w:fill="auto"/>
          </w:tcPr>
          <w:p w:rsidR="00F075FB" w:rsidRPr="00C903F8" w:rsidRDefault="00F075FB" w:rsidP="00C01A94">
            <w:pPr>
              <w:spacing w:before="80" w:after="1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F075FB" w:rsidRPr="00C903F8" w:rsidRDefault="00F075FB" w:rsidP="00C01A94">
            <w:pPr>
              <w:spacing w:before="80" w:after="100" w:line="240" w:lineRule="atLeast"/>
              <w:ind w:left="0" w:firstLine="0"/>
              <w:rPr>
                <w:rFonts w:cs="Arial"/>
                <w:sz w:val="18"/>
                <w:szCs w:val="18"/>
                <w:lang w:val="en-US"/>
              </w:rPr>
            </w:pPr>
            <w:r w:rsidRPr="00C903F8">
              <w:rPr>
                <w:rFonts w:cs="Arial"/>
                <w:noProof/>
                <w:sz w:val="18"/>
                <w:szCs w:val="18"/>
                <w:lang w:val="en-US"/>
              </w:rPr>
              <w:t>Installations for the collection of oily water and used oil stores</w:t>
            </w:r>
          </w:p>
        </w:tc>
        <w:tc>
          <w:tcPr>
            <w:tcW w:w="6521" w:type="dxa"/>
            <w:shd w:val="clear" w:color="auto" w:fill="auto"/>
          </w:tcPr>
          <w:p w:rsidR="00F075FB" w:rsidRPr="00C903F8" w:rsidRDefault="00F075FB" w:rsidP="00C01A94">
            <w:pPr>
              <w:spacing w:before="8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80" w:after="100" w:line="240" w:lineRule="atLeast"/>
              <w:ind w:left="0" w:firstLine="0"/>
              <w:rPr>
                <w:rFonts w:cs="Arial"/>
                <w:sz w:val="18"/>
                <w:szCs w:val="18"/>
              </w:rPr>
            </w:pPr>
            <w:r w:rsidRPr="00C903F8">
              <w:rPr>
                <w:rFonts w:cs="Arial"/>
                <w:sz w:val="18"/>
                <w:szCs w:val="18"/>
              </w:rPr>
              <w:t>1.1.2010</w:t>
            </w:r>
          </w:p>
        </w:tc>
      </w:tr>
      <w:tr w:rsidR="00F075FB" w:rsidRPr="00C903F8" w:rsidTr="00C01A94">
        <w:trPr>
          <w:cantSplit/>
          <w:jc w:val="center"/>
        </w:trPr>
        <w:tc>
          <w:tcPr>
            <w:tcW w:w="1342" w:type="dxa"/>
            <w:shd w:val="clear" w:color="auto" w:fill="auto"/>
          </w:tcPr>
          <w:p w:rsidR="00F075FB" w:rsidRPr="00C903F8" w:rsidRDefault="00F075FB" w:rsidP="00C01A94">
            <w:pPr>
              <w:spacing w:before="80" w:after="100" w:line="240" w:lineRule="atLeast"/>
              <w:ind w:left="0" w:firstLine="0"/>
              <w:rPr>
                <w:rFonts w:cs="Arial"/>
                <w:sz w:val="18"/>
                <w:szCs w:val="18"/>
              </w:rPr>
            </w:pPr>
            <w:r w:rsidRPr="00C903F8">
              <w:rPr>
                <w:rFonts w:cs="Arial"/>
                <w:sz w:val="18"/>
                <w:szCs w:val="18"/>
              </w:rPr>
              <w:t>8.10</w:t>
            </w:r>
          </w:p>
        </w:tc>
        <w:tc>
          <w:tcPr>
            <w:tcW w:w="1458" w:type="dxa"/>
            <w:shd w:val="clear" w:color="auto" w:fill="auto"/>
          </w:tcPr>
          <w:p w:rsidR="00F075FB" w:rsidRPr="00C903F8" w:rsidRDefault="00F075FB" w:rsidP="00C01A94">
            <w:pPr>
              <w:spacing w:before="80" w:after="100" w:line="240" w:lineRule="atLeast"/>
              <w:ind w:left="0" w:firstLine="0"/>
              <w:rPr>
                <w:rFonts w:cs="Arial"/>
                <w:sz w:val="18"/>
                <w:szCs w:val="18"/>
              </w:rPr>
            </w:pPr>
            <w:r w:rsidRPr="00C903F8">
              <w:rPr>
                <w:rFonts w:cs="Arial"/>
                <w:sz w:val="18"/>
                <w:szCs w:val="18"/>
              </w:rPr>
              <w:t>(3)</w:t>
            </w:r>
            <w:r w:rsidRPr="00B60926">
              <w:rPr>
                <w:rFonts w:cs="Arial"/>
                <w:color w:val="000000"/>
                <w:sz w:val="18"/>
                <w:vertAlign w:val="superscript"/>
                <w:lang w:val="en-GB" w:eastAsia="en-GB" w:bidi="en-GB"/>
              </w:rPr>
              <w:footnoteReference w:id="26"/>
            </w:r>
          </w:p>
        </w:tc>
        <w:tc>
          <w:tcPr>
            <w:tcW w:w="3296" w:type="dxa"/>
            <w:shd w:val="clear" w:color="auto" w:fill="auto"/>
          </w:tcPr>
          <w:p w:rsidR="00F075FB" w:rsidRPr="00C903F8" w:rsidRDefault="00F075FB" w:rsidP="00C01A94">
            <w:pPr>
              <w:spacing w:before="80" w:after="100" w:line="240" w:lineRule="atLeast"/>
              <w:ind w:left="0" w:firstLine="0"/>
              <w:rPr>
                <w:rFonts w:cs="Arial"/>
                <w:sz w:val="18"/>
                <w:szCs w:val="18"/>
                <w:lang w:val="en-US"/>
              </w:rPr>
            </w:pPr>
            <w:r w:rsidRPr="00C903F8">
              <w:rPr>
                <w:rFonts w:cs="Arial"/>
                <w:noProof/>
                <w:sz w:val="18"/>
                <w:szCs w:val="18"/>
                <w:lang w:val="en-US"/>
              </w:rPr>
              <w:t>Emission limit of 65 dB(A) for stationary vessels</w:t>
            </w:r>
          </w:p>
        </w:tc>
        <w:tc>
          <w:tcPr>
            <w:tcW w:w="6521" w:type="dxa"/>
            <w:shd w:val="clear" w:color="auto" w:fill="auto"/>
          </w:tcPr>
          <w:p w:rsidR="00F075FB" w:rsidRPr="00C903F8" w:rsidRDefault="00F075FB" w:rsidP="00C01A94">
            <w:pPr>
              <w:spacing w:before="8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tcBorders>
              <w:bottom w:val="single" w:sz="4" w:space="0" w:color="auto"/>
            </w:tcBorders>
            <w:shd w:val="clear" w:color="auto" w:fill="auto"/>
          </w:tcPr>
          <w:p w:rsidR="00F075FB" w:rsidRPr="00C903F8" w:rsidRDefault="00F075FB" w:rsidP="00C01A94">
            <w:pPr>
              <w:spacing w:before="80" w:after="100" w:line="240" w:lineRule="atLeast"/>
              <w:ind w:left="0" w:firstLine="0"/>
              <w:rPr>
                <w:rFonts w:cs="Arial"/>
                <w:sz w:val="18"/>
                <w:szCs w:val="18"/>
              </w:rPr>
            </w:pPr>
            <w:r w:rsidRPr="00C903F8">
              <w:rPr>
                <w:rFonts w:cs="Arial"/>
                <w:sz w:val="18"/>
                <w:szCs w:val="18"/>
              </w:rPr>
              <w:t>1.1.2020</w:t>
            </w:r>
          </w:p>
        </w:tc>
      </w:tr>
      <w:tr w:rsidR="00F075FB" w:rsidRPr="00296858" w:rsidTr="00C01A94">
        <w:trPr>
          <w:cantSplit/>
          <w:jc w:val="center"/>
        </w:trPr>
        <w:tc>
          <w:tcPr>
            <w:tcW w:w="6096" w:type="dxa"/>
            <w:gridSpan w:val="3"/>
            <w:shd w:val="clear" w:color="auto" w:fill="auto"/>
          </w:tcPr>
          <w:p w:rsidR="00F075FB" w:rsidRPr="00C903F8" w:rsidRDefault="00F075FB" w:rsidP="00C01A94">
            <w:pPr>
              <w:spacing w:before="80" w:after="100" w:line="240" w:lineRule="atLeast"/>
              <w:ind w:left="0" w:firstLine="0"/>
              <w:jc w:val="center"/>
              <w:rPr>
                <w:rFonts w:cs="Arial"/>
                <w:sz w:val="18"/>
                <w:szCs w:val="18"/>
              </w:rPr>
            </w:pPr>
            <w:r w:rsidRPr="00C903F8">
              <w:rPr>
                <w:rFonts w:cs="Arial"/>
                <w:b/>
                <w:sz w:val="18"/>
                <w:szCs w:val="18"/>
              </w:rPr>
              <w:t>CHAPTER 9</w:t>
            </w:r>
          </w:p>
        </w:tc>
        <w:tc>
          <w:tcPr>
            <w:tcW w:w="6521" w:type="dxa"/>
            <w:tcBorders>
              <w:bottom w:val="single" w:sz="4" w:space="0" w:color="auto"/>
            </w:tcBorders>
            <w:shd w:val="clear" w:color="auto" w:fill="auto"/>
          </w:tcPr>
          <w:p w:rsidR="00F075FB" w:rsidRPr="00C01A94" w:rsidRDefault="00F075FB" w:rsidP="00C01A94">
            <w:pPr>
              <w:spacing w:before="80" w:after="100" w:line="240" w:lineRule="atLeast"/>
              <w:ind w:left="0" w:firstLine="0"/>
              <w:rPr>
                <w:rFonts w:cs="Arial"/>
                <w:sz w:val="18"/>
                <w:szCs w:val="18"/>
                <w:lang w:val="en-US"/>
              </w:rPr>
            </w:pPr>
            <w:r w:rsidRPr="004B606C">
              <w:rPr>
                <w:rFonts w:eastAsia="Calibri" w:cs="Arial"/>
                <w:sz w:val="18"/>
                <w:szCs w:val="18"/>
                <w:lang w:val="en-US"/>
              </w:rPr>
              <w:t>For engines which are already installed onboard and non type-approved, only Article 9.02 applies.</w:t>
            </w:r>
          </w:p>
        </w:tc>
        <w:tc>
          <w:tcPr>
            <w:tcW w:w="1276" w:type="dxa"/>
            <w:tcBorders>
              <w:bottom w:val="nil"/>
            </w:tcBorders>
            <w:shd w:val="clear" w:color="auto" w:fill="auto"/>
          </w:tcPr>
          <w:p w:rsidR="00F075FB" w:rsidRPr="00C01A94" w:rsidRDefault="00F075FB" w:rsidP="00C01A94">
            <w:pPr>
              <w:spacing w:before="80" w:after="100" w:line="240" w:lineRule="atLeast"/>
              <w:ind w:left="0" w:firstLine="0"/>
              <w:rPr>
                <w:rFonts w:cs="Arial"/>
                <w:sz w:val="18"/>
                <w:szCs w:val="18"/>
                <w:lang w:val="en-US"/>
              </w:rPr>
            </w:pPr>
          </w:p>
        </w:tc>
      </w:tr>
      <w:tr w:rsidR="00F075FB" w:rsidRPr="00296858" w:rsidTr="00C01A94">
        <w:trPr>
          <w:cantSplit/>
          <w:jc w:val="center"/>
        </w:trPr>
        <w:tc>
          <w:tcPr>
            <w:tcW w:w="1342" w:type="dxa"/>
            <w:tcBorders>
              <w:bottom w:val="single" w:sz="4" w:space="0" w:color="auto"/>
            </w:tcBorders>
            <w:shd w:val="clear" w:color="auto" w:fill="auto"/>
          </w:tcPr>
          <w:p w:rsidR="00F075FB" w:rsidRPr="004B606C" w:rsidRDefault="00F075FB" w:rsidP="00C01A94">
            <w:pPr>
              <w:spacing w:before="80" w:after="100" w:line="240" w:lineRule="atLeast"/>
              <w:rPr>
                <w:rFonts w:eastAsia="Calibri" w:cs="Arial"/>
                <w:sz w:val="18"/>
                <w:szCs w:val="18"/>
              </w:rPr>
            </w:pPr>
            <w:r w:rsidRPr="004B606C">
              <w:rPr>
                <w:sz w:val="18"/>
                <w:szCs w:val="18"/>
              </w:rPr>
              <w:t>9.01</w:t>
            </w:r>
          </w:p>
        </w:tc>
        <w:tc>
          <w:tcPr>
            <w:tcW w:w="1458" w:type="dxa"/>
            <w:tcBorders>
              <w:bottom w:val="single" w:sz="4" w:space="0" w:color="auto"/>
            </w:tcBorders>
            <w:shd w:val="clear" w:color="auto" w:fill="auto"/>
          </w:tcPr>
          <w:p w:rsidR="00F075FB" w:rsidRPr="004B606C" w:rsidRDefault="00F075FB" w:rsidP="00C01A94">
            <w:pPr>
              <w:spacing w:before="80" w:after="100" w:line="240" w:lineRule="atLeast"/>
              <w:rPr>
                <w:sz w:val="18"/>
                <w:szCs w:val="18"/>
              </w:rPr>
            </w:pPr>
            <w:r w:rsidRPr="004B606C">
              <w:rPr>
                <w:sz w:val="18"/>
                <w:szCs w:val="18"/>
              </w:rPr>
              <w:t>(1) to (4)</w:t>
            </w:r>
          </w:p>
        </w:tc>
        <w:tc>
          <w:tcPr>
            <w:tcW w:w="3296" w:type="dxa"/>
            <w:shd w:val="clear" w:color="auto" w:fill="auto"/>
          </w:tcPr>
          <w:p w:rsidR="00F075FB" w:rsidRPr="004B606C" w:rsidRDefault="00F075FB" w:rsidP="00C01A94">
            <w:pPr>
              <w:spacing w:before="80" w:after="100" w:line="240" w:lineRule="atLeast"/>
              <w:rPr>
                <w:rFonts w:eastAsia="Calibri" w:cs="Arial"/>
                <w:sz w:val="18"/>
                <w:szCs w:val="18"/>
              </w:rPr>
            </w:pPr>
            <w:r w:rsidRPr="004B606C">
              <w:rPr>
                <w:sz w:val="18"/>
                <w:szCs w:val="18"/>
              </w:rPr>
              <w:t>General provisions</w:t>
            </w:r>
          </w:p>
        </w:tc>
        <w:tc>
          <w:tcPr>
            <w:tcW w:w="6521" w:type="dxa"/>
            <w:vMerge w:val="restart"/>
            <w:tcBorders>
              <w:right w:val="single" w:sz="4" w:space="0" w:color="auto"/>
            </w:tcBorders>
            <w:shd w:val="clear" w:color="auto" w:fill="auto"/>
            <w:vAlign w:val="center"/>
          </w:tcPr>
          <w:p w:rsidR="00F075FB" w:rsidRPr="00C903F8" w:rsidRDefault="00F075FB" w:rsidP="00C01A94">
            <w:pPr>
              <w:spacing w:before="80" w:after="100" w:line="240" w:lineRule="atLeast"/>
              <w:ind w:left="404" w:hanging="404"/>
              <w:rPr>
                <w:rFonts w:cs="Arial"/>
                <w:sz w:val="18"/>
                <w:szCs w:val="18"/>
                <w:lang w:val="en-US"/>
              </w:rPr>
            </w:pPr>
            <w:r w:rsidRPr="004B606C">
              <w:rPr>
                <w:sz w:val="18"/>
                <w:szCs w:val="18"/>
                <w:lang w:val="en-US"/>
              </w:rPr>
              <w:t>For engines complying with the type-approval and installation provisions in force at the date of installation: N.R.</w:t>
            </w:r>
          </w:p>
        </w:tc>
        <w:tc>
          <w:tcPr>
            <w:tcW w:w="1276" w:type="dxa"/>
            <w:tcBorders>
              <w:top w:val="nil"/>
              <w:left w:val="single" w:sz="4" w:space="0" w:color="auto"/>
              <w:bottom w:val="nil"/>
            </w:tcBorders>
            <w:shd w:val="clear" w:color="auto" w:fill="auto"/>
          </w:tcPr>
          <w:p w:rsidR="00F075FB" w:rsidRPr="00C903F8" w:rsidRDefault="00F075FB" w:rsidP="00C01A94">
            <w:pPr>
              <w:spacing w:before="80" w:after="100" w:line="240" w:lineRule="atLeast"/>
              <w:ind w:left="0" w:firstLine="0"/>
              <w:rPr>
                <w:rFonts w:cs="Arial"/>
                <w:sz w:val="18"/>
                <w:szCs w:val="18"/>
                <w:lang w:val="en-US"/>
              </w:rPr>
            </w:pPr>
          </w:p>
        </w:tc>
      </w:tr>
      <w:tr w:rsidR="00F075FB" w:rsidRPr="00276993" w:rsidTr="00C01A94">
        <w:trPr>
          <w:cantSplit/>
          <w:jc w:val="center"/>
        </w:trPr>
        <w:tc>
          <w:tcPr>
            <w:tcW w:w="1342" w:type="dxa"/>
            <w:tcBorders>
              <w:top w:val="single" w:sz="4" w:space="0" w:color="auto"/>
              <w:bottom w:val="single" w:sz="4" w:space="0" w:color="auto"/>
            </w:tcBorders>
            <w:shd w:val="clear" w:color="auto" w:fill="auto"/>
          </w:tcPr>
          <w:p w:rsidR="00F075FB" w:rsidRPr="004B606C" w:rsidRDefault="00F075FB" w:rsidP="00C01A94">
            <w:pPr>
              <w:spacing w:before="80" w:after="100" w:line="240" w:lineRule="atLeast"/>
              <w:rPr>
                <w:sz w:val="18"/>
                <w:szCs w:val="18"/>
              </w:rPr>
            </w:pPr>
            <w:r w:rsidRPr="004B606C">
              <w:rPr>
                <w:sz w:val="18"/>
                <w:szCs w:val="18"/>
              </w:rPr>
              <w:t>9.06</w:t>
            </w:r>
          </w:p>
        </w:tc>
        <w:tc>
          <w:tcPr>
            <w:tcW w:w="1458" w:type="dxa"/>
            <w:tcBorders>
              <w:top w:val="single" w:sz="4" w:space="0" w:color="auto"/>
              <w:bottom w:val="single" w:sz="4" w:space="0" w:color="auto"/>
            </w:tcBorders>
            <w:shd w:val="clear" w:color="auto" w:fill="auto"/>
          </w:tcPr>
          <w:p w:rsidR="00F075FB" w:rsidRPr="004B606C" w:rsidRDefault="00F075FB" w:rsidP="00C01A94">
            <w:pPr>
              <w:spacing w:before="80" w:after="100" w:line="240" w:lineRule="atLeast"/>
              <w:rPr>
                <w:sz w:val="18"/>
                <w:szCs w:val="18"/>
              </w:rPr>
            </w:pPr>
          </w:p>
        </w:tc>
        <w:tc>
          <w:tcPr>
            <w:tcW w:w="3296" w:type="dxa"/>
            <w:shd w:val="clear" w:color="auto" w:fill="auto"/>
          </w:tcPr>
          <w:p w:rsidR="00F075FB" w:rsidRPr="004B606C" w:rsidRDefault="00F075FB" w:rsidP="00C01A94">
            <w:pPr>
              <w:spacing w:before="80" w:after="100" w:line="240" w:lineRule="atLeast"/>
              <w:rPr>
                <w:sz w:val="18"/>
                <w:szCs w:val="18"/>
                <w:lang w:val="en-US"/>
              </w:rPr>
            </w:pPr>
            <w:r w:rsidRPr="004B606C">
              <w:rPr>
                <w:sz w:val="18"/>
                <w:szCs w:val="18"/>
                <w:lang w:val="en-US"/>
              </w:rPr>
              <w:t>Installation test</w:t>
            </w:r>
          </w:p>
        </w:tc>
        <w:tc>
          <w:tcPr>
            <w:tcW w:w="6521" w:type="dxa"/>
            <w:vMerge/>
            <w:tcBorders>
              <w:right w:val="single" w:sz="4" w:space="0" w:color="auto"/>
            </w:tcBorders>
            <w:shd w:val="clear" w:color="auto" w:fill="auto"/>
          </w:tcPr>
          <w:p w:rsidR="00F075FB" w:rsidRPr="00C903F8" w:rsidRDefault="00F075FB" w:rsidP="00C01A94">
            <w:pPr>
              <w:spacing w:before="80" w:after="100" w:line="240" w:lineRule="atLeast"/>
              <w:rPr>
                <w:rFonts w:cs="Arial"/>
                <w:sz w:val="18"/>
                <w:szCs w:val="18"/>
                <w:lang w:val="en-US"/>
              </w:rPr>
            </w:pPr>
          </w:p>
        </w:tc>
        <w:tc>
          <w:tcPr>
            <w:tcW w:w="1276" w:type="dxa"/>
            <w:tcBorders>
              <w:top w:val="nil"/>
              <w:left w:val="single" w:sz="4" w:space="0" w:color="auto"/>
            </w:tcBorders>
            <w:shd w:val="clear" w:color="auto" w:fill="auto"/>
          </w:tcPr>
          <w:p w:rsidR="00F075FB" w:rsidRPr="00C903F8" w:rsidRDefault="00F075FB" w:rsidP="00C01A94">
            <w:pPr>
              <w:spacing w:before="80" w:after="100" w:line="240" w:lineRule="atLeast"/>
              <w:ind w:left="0" w:firstLine="0"/>
              <w:rPr>
                <w:rFonts w:cs="Arial"/>
                <w:sz w:val="18"/>
                <w:szCs w:val="18"/>
                <w:lang w:val="en-US"/>
              </w:rPr>
            </w:pPr>
          </w:p>
        </w:tc>
      </w:tr>
      <w:tr w:rsidR="00F075FB" w:rsidRPr="00C903F8" w:rsidTr="00196FBC">
        <w:trPr>
          <w:cantSplit/>
          <w:jc w:val="center"/>
        </w:trPr>
        <w:tc>
          <w:tcPr>
            <w:tcW w:w="6096" w:type="dxa"/>
            <w:gridSpan w:val="3"/>
            <w:shd w:val="clear" w:color="auto" w:fill="auto"/>
          </w:tcPr>
          <w:p w:rsidR="00F075FB" w:rsidRPr="00852DB3" w:rsidRDefault="00F075FB" w:rsidP="00C01A94">
            <w:pPr>
              <w:spacing w:before="80" w:after="100" w:line="240" w:lineRule="atLeast"/>
              <w:jc w:val="center"/>
              <w:rPr>
                <w:rFonts w:cs="Arial"/>
                <w:b/>
                <w:sz w:val="18"/>
                <w:szCs w:val="18"/>
              </w:rPr>
            </w:pPr>
            <w:r>
              <w:rPr>
                <w:rFonts w:cs="Arial"/>
                <w:b/>
                <w:sz w:val="18"/>
                <w:szCs w:val="18"/>
              </w:rPr>
              <w:t>CHAPTER 10</w:t>
            </w:r>
          </w:p>
        </w:tc>
        <w:tc>
          <w:tcPr>
            <w:tcW w:w="6521" w:type="dxa"/>
            <w:shd w:val="clear" w:color="auto" w:fill="auto"/>
          </w:tcPr>
          <w:p w:rsidR="00F075FB" w:rsidRPr="00852DB3" w:rsidRDefault="00F075FB" w:rsidP="00C01A94">
            <w:pPr>
              <w:spacing w:before="80" w:after="100" w:line="240" w:lineRule="atLeast"/>
              <w:jc w:val="center"/>
              <w:rPr>
                <w:rFonts w:cs="Arial"/>
                <w:sz w:val="18"/>
                <w:szCs w:val="18"/>
              </w:rPr>
            </w:pPr>
          </w:p>
        </w:tc>
        <w:tc>
          <w:tcPr>
            <w:tcW w:w="1276" w:type="dxa"/>
            <w:shd w:val="clear" w:color="auto" w:fill="auto"/>
          </w:tcPr>
          <w:p w:rsidR="00F075FB" w:rsidRPr="00C903F8" w:rsidRDefault="00F075FB" w:rsidP="00C01A94">
            <w:pPr>
              <w:spacing w:before="80" w:after="100" w:line="240" w:lineRule="atLeast"/>
              <w:ind w:left="0" w:firstLine="0"/>
              <w:rPr>
                <w:rFonts w:cs="Arial"/>
                <w:sz w:val="18"/>
                <w:szCs w:val="18"/>
              </w:rPr>
            </w:pPr>
          </w:p>
        </w:tc>
      </w:tr>
      <w:tr w:rsidR="00F075FB" w:rsidRPr="00C903F8" w:rsidTr="00196FBC">
        <w:trPr>
          <w:cantSplit/>
          <w:jc w:val="center"/>
        </w:trPr>
        <w:tc>
          <w:tcPr>
            <w:tcW w:w="1342" w:type="dxa"/>
            <w:tcBorders>
              <w:bottom w:val="nil"/>
            </w:tcBorders>
            <w:shd w:val="clear" w:color="auto" w:fill="auto"/>
          </w:tcPr>
          <w:p w:rsidR="00F075FB" w:rsidRPr="00C903F8" w:rsidRDefault="00F075FB" w:rsidP="00C01A94">
            <w:pPr>
              <w:spacing w:before="80" w:after="100" w:line="240" w:lineRule="atLeast"/>
              <w:ind w:left="0" w:firstLine="0"/>
              <w:rPr>
                <w:rFonts w:cs="Arial"/>
                <w:sz w:val="18"/>
                <w:szCs w:val="18"/>
              </w:rPr>
            </w:pPr>
            <w:r w:rsidRPr="00C903F8">
              <w:rPr>
                <w:rFonts w:cs="Arial"/>
                <w:sz w:val="18"/>
                <w:szCs w:val="18"/>
              </w:rPr>
              <w:t>10.01</w:t>
            </w:r>
          </w:p>
        </w:tc>
        <w:tc>
          <w:tcPr>
            <w:tcW w:w="1458" w:type="dxa"/>
            <w:shd w:val="clear" w:color="auto" w:fill="auto"/>
          </w:tcPr>
          <w:p w:rsidR="00F075FB" w:rsidRPr="00852DB3" w:rsidRDefault="00F075FB" w:rsidP="00C01A94">
            <w:pPr>
              <w:spacing w:before="80" w:after="100" w:line="240" w:lineRule="atLeast"/>
              <w:ind w:left="0" w:firstLine="0"/>
              <w:jc w:val="left"/>
              <w:rPr>
                <w:rFonts w:cs="Arial"/>
                <w:sz w:val="18"/>
                <w:szCs w:val="18"/>
              </w:rPr>
            </w:pPr>
            <w:r w:rsidRPr="004B4203">
              <w:rPr>
                <w:rFonts w:cs="Arial"/>
                <w:sz w:val="18"/>
                <w:szCs w:val="18"/>
              </w:rPr>
              <w:t>(1) second sentence</w:t>
            </w:r>
          </w:p>
        </w:tc>
        <w:tc>
          <w:tcPr>
            <w:tcW w:w="3296" w:type="dxa"/>
            <w:shd w:val="clear" w:color="auto" w:fill="auto"/>
          </w:tcPr>
          <w:p w:rsidR="00F075FB" w:rsidRPr="003F5E4D" w:rsidRDefault="00F075FB" w:rsidP="00C01A94">
            <w:pPr>
              <w:spacing w:before="80" w:after="100" w:line="240" w:lineRule="atLeast"/>
              <w:ind w:left="0" w:firstLine="0"/>
              <w:rPr>
                <w:rFonts w:cs="Arial"/>
                <w:noProof/>
                <w:sz w:val="18"/>
                <w:szCs w:val="18"/>
                <w:lang w:val="en-GB"/>
              </w:rPr>
            </w:pPr>
            <w:r w:rsidRPr="003F5E4D">
              <w:rPr>
                <w:rFonts w:cs="Arial"/>
                <w:noProof/>
                <w:sz w:val="18"/>
                <w:szCs w:val="18"/>
                <w:lang w:val="en-GB"/>
              </w:rPr>
              <w:t>Required documents must be submitted to the Inspection body</w:t>
            </w:r>
          </w:p>
        </w:tc>
        <w:tc>
          <w:tcPr>
            <w:tcW w:w="6521" w:type="dxa"/>
            <w:shd w:val="clear" w:color="auto" w:fill="auto"/>
          </w:tcPr>
          <w:p w:rsidR="00F075FB" w:rsidRPr="00852DB3" w:rsidRDefault="00F075FB" w:rsidP="00C01A94">
            <w:pPr>
              <w:spacing w:before="80" w:after="10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F075FB" w:rsidRPr="00852DB3" w:rsidRDefault="00F075FB" w:rsidP="00C01A94">
            <w:pPr>
              <w:spacing w:before="80" w:after="100" w:line="240" w:lineRule="atLeast"/>
              <w:jc w:val="center"/>
              <w:rPr>
                <w:rFonts w:cs="Arial"/>
                <w:sz w:val="18"/>
                <w:szCs w:val="18"/>
              </w:rPr>
            </w:pPr>
            <w:r w:rsidRPr="004B4203">
              <w:rPr>
                <w:rFonts w:cs="Arial"/>
                <w:sz w:val="18"/>
                <w:szCs w:val="18"/>
              </w:rPr>
              <w:t>1.1.2035</w:t>
            </w:r>
          </w:p>
        </w:tc>
      </w:tr>
      <w:tr w:rsidR="00F075FB" w:rsidRPr="00C903F8" w:rsidTr="00C07595">
        <w:trPr>
          <w:cantSplit/>
          <w:jc w:val="center"/>
        </w:trPr>
        <w:tc>
          <w:tcPr>
            <w:tcW w:w="1342" w:type="dxa"/>
            <w:vMerge w:val="restart"/>
            <w:tcBorders>
              <w:top w:val="nil"/>
            </w:tcBorders>
            <w:shd w:val="clear" w:color="auto" w:fill="auto"/>
          </w:tcPr>
          <w:p w:rsidR="00F075FB" w:rsidRPr="00C903F8" w:rsidRDefault="00F075FB" w:rsidP="00C01A94">
            <w:pPr>
              <w:spacing w:before="120" w:after="100" w:line="240" w:lineRule="atLeast"/>
              <w:ind w:left="0" w:firstLine="0"/>
              <w:rPr>
                <w:rFonts w:cs="Arial"/>
                <w:sz w:val="18"/>
                <w:szCs w:val="18"/>
              </w:rPr>
            </w:pPr>
          </w:p>
        </w:tc>
        <w:tc>
          <w:tcPr>
            <w:tcW w:w="1458" w:type="dxa"/>
            <w:shd w:val="clear" w:color="auto" w:fill="auto"/>
          </w:tcPr>
          <w:p w:rsidR="00F075FB" w:rsidRPr="00852DB3" w:rsidRDefault="00F075FB" w:rsidP="00C01A94">
            <w:pPr>
              <w:spacing w:before="120" w:after="100" w:line="240" w:lineRule="atLeast"/>
              <w:rPr>
                <w:rFonts w:cs="Arial"/>
                <w:sz w:val="18"/>
                <w:szCs w:val="18"/>
              </w:rPr>
            </w:pPr>
            <w:r w:rsidRPr="004B4203">
              <w:rPr>
                <w:rFonts w:cs="Arial"/>
                <w:sz w:val="18"/>
                <w:szCs w:val="18"/>
              </w:rPr>
              <w:t>(2)(b)</w:t>
            </w:r>
          </w:p>
        </w:tc>
        <w:tc>
          <w:tcPr>
            <w:tcW w:w="3296" w:type="dxa"/>
            <w:shd w:val="clear" w:color="auto" w:fill="auto"/>
          </w:tcPr>
          <w:p w:rsidR="00F075FB" w:rsidRPr="003F5E4D" w:rsidRDefault="00F075FB" w:rsidP="00C01A94">
            <w:pPr>
              <w:spacing w:before="120" w:after="100" w:line="240" w:lineRule="atLeast"/>
              <w:ind w:left="0" w:firstLine="0"/>
              <w:rPr>
                <w:rFonts w:cs="Arial"/>
                <w:noProof/>
                <w:sz w:val="18"/>
                <w:szCs w:val="18"/>
                <w:lang w:val="en-GB"/>
              </w:rPr>
            </w:pPr>
            <w:r w:rsidRPr="003F5E4D">
              <w:rPr>
                <w:rFonts w:cs="Arial"/>
                <w:noProof/>
                <w:sz w:val="18"/>
                <w:szCs w:val="18"/>
                <w:lang w:val="en-GB"/>
              </w:rPr>
              <w:t>Plans of main, emergency and distribution switchboards must be on board</w:t>
            </w:r>
          </w:p>
        </w:tc>
        <w:tc>
          <w:tcPr>
            <w:tcW w:w="6521" w:type="dxa"/>
            <w:shd w:val="clear" w:color="auto" w:fill="auto"/>
          </w:tcPr>
          <w:p w:rsidR="00F075FB" w:rsidRPr="00852DB3" w:rsidRDefault="00F075FB" w:rsidP="00C01A94">
            <w:pPr>
              <w:spacing w:before="120" w:after="10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F075FB" w:rsidRPr="00852DB3" w:rsidRDefault="00F075FB" w:rsidP="00C01A94">
            <w:pPr>
              <w:spacing w:before="120" w:after="100" w:line="240" w:lineRule="atLeast"/>
              <w:jc w:val="center"/>
              <w:rPr>
                <w:rFonts w:cs="Arial"/>
                <w:sz w:val="18"/>
                <w:szCs w:val="18"/>
              </w:rPr>
            </w:pPr>
            <w:r w:rsidRPr="004B4203">
              <w:rPr>
                <w:rFonts w:cs="Arial"/>
                <w:sz w:val="18"/>
                <w:szCs w:val="18"/>
              </w:rPr>
              <w:t>1.1.2010</w:t>
            </w:r>
          </w:p>
        </w:tc>
      </w:tr>
      <w:tr w:rsidR="00F075FB" w:rsidRPr="00C903F8" w:rsidTr="00C07595">
        <w:trPr>
          <w:cantSplit/>
          <w:jc w:val="center"/>
        </w:trPr>
        <w:tc>
          <w:tcPr>
            <w:tcW w:w="1342" w:type="dxa"/>
            <w:vMerge/>
            <w:shd w:val="clear" w:color="auto" w:fill="auto"/>
          </w:tcPr>
          <w:p w:rsidR="00F075FB" w:rsidRPr="00C903F8" w:rsidRDefault="00F075FB" w:rsidP="00C01A94">
            <w:pPr>
              <w:spacing w:before="120" w:after="100" w:line="240" w:lineRule="atLeast"/>
              <w:ind w:left="0" w:firstLine="0"/>
              <w:rPr>
                <w:rFonts w:cs="Arial"/>
                <w:sz w:val="18"/>
                <w:szCs w:val="18"/>
              </w:rPr>
            </w:pPr>
          </w:p>
        </w:tc>
        <w:tc>
          <w:tcPr>
            <w:tcW w:w="1458" w:type="dxa"/>
            <w:shd w:val="clear" w:color="auto" w:fill="auto"/>
          </w:tcPr>
          <w:p w:rsidR="00F075FB" w:rsidRPr="00852DB3" w:rsidRDefault="00F075FB" w:rsidP="00AA3519">
            <w:pPr>
              <w:spacing w:before="120" w:after="100" w:line="240" w:lineRule="atLeast"/>
              <w:rPr>
                <w:rFonts w:cs="Arial"/>
                <w:sz w:val="18"/>
                <w:szCs w:val="18"/>
              </w:rPr>
            </w:pPr>
            <w:r w:rsidRPr="004B4203">
              <w:rPr>
                <w:rFonts w:cs="Arial"/>
                <w:sz w:val="18"/>
                <w:szCs w:val="18"/>
              </w:rPr>
              <w:t>(2)(e)</w:t>
            </w:r>
          </w:p>
        </w:tc>
        <w:tc>
          <w:tcPr>
            <w:tcW w:w="3296" w:type="dxa"/>
            <w:shd w:val="clear" w:color="auto" w:fill="auto"/>
          </w:tcPr>
          <w:p w:rsidR="00F075FB" w:rsidRPr="003F5E4D" w:rsidRDefault="00F075FB" w:rsidP="00C01A94">
            <w:pPr>
              <w:spacing w:before="120" w:after="100" w:line="240" w:lineRule="atLeast"/>
              <w:ind w:left="0" w:firstLine="0"/>
              <w:rPr>
                <w:rFonts w:cs="Arial"/>
                <w:noProof/>
                <w:sz w:val="18"/>
                <w:szCs w:val="18"/>
                <w:lang w:val="en-GB"/>
              </w:rPr>
            </w:pPr>
            <w:r w:rsidRPr="003F5E4D">
              <w:rPr>
                <w:rFonts w:cs="Arial"/>
                <w:noProof/>
                <w:sz w:val="18"/>
                <w:szCs w:val="18"/>
                <w:lang w:val="en-GB"/>
              </w:rPr>
              <w:t>Switchboard plans as well as electric propulsion engine documentation</w:t>
            </w:r>
          </w:p>
        </w:tc>
        <w:tc>
          <w:tcPr>
            <w:tcW w:w="6521" w:type="dxa"/>
            <w:shd w:val="clear" w:color="auto" w:fill="auto"/>
          </w:tcPr>
          <w:p w:rsidR="00F075FB" w:rsidRPr="00852DB3" w:rsidRDefault="00F075FB" w:rsidP="00C01A94">
            <w:pPr>
              <w:spacing w:before="120" w:after="10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F075FB" w:rsidRPr="00852DB3" w:rsidRDefault="00F075FB" w:rsidP="00C01A94">
            <w:pPr>
              <w:spacing w:before="120" w:after="100" w:line="240" w:lineRule="atLeast"/>
              <w:jc w:val="center"/>
              <w:rPr>
                <w:rFonts w:cs="Arial"/>
                <w:sz w:val="18"/>
                <w:szCs w:val="18"/>
              </w:rPr>
            </w:pPr>
          </w:p>
        </w:tc>
      </w:tr>
      <w:tr w:rsidR="00F075FB" w:rsidRPr="00C903F8" w:rsidTr="00C07595">
        <w:trPr>
          <w:cantSplit/>
          <w:jc w:val="center"/>
        </w:trPr>
        <w:tc>
          <w:tcPr>
            <w:tcW w:w="1342" w:type="dxa"/>
            <w:vMerge/>
            <w:shd w:val="clear" w:color="auto" w:fill="auto"/>
          </w:tcPr>
          <w:p w:rsidR="00F075FB" w:rsidRPr="00C903F8" w:rsidRDefault="00F075FB" w:rsidP="00C01A94">
            <w:pPr>
              <w:spacing w:before="120" w:after="100" w:line="240" w:lineRule="atLeast"/>
              <w:ind w:left="0" w:firstLine="0"/>
              <w:rPr>
                <w:rFonts w:cs="Arial"/>
                <w:sz w:val="18"/>
                <w:szCs w:val="18"/>
              </w:rPr>
            </w:pPr>
          </w:p>
        </w:tc>
        <w:tc>
          <w:tcPr>
            <w:tcW w:w="1458" w:type="dxa"/>
            <w:shd w:val="clear" w:color="auto" w:fill="auto"/>
          </w:tcPr>
          <w:p w:rsidR="00F075FB" w:rsidRPr="00852DB3" w:rsidRDefault="00F075FB" w:rsidP="00AA3519">
            <w:pPr>
              <w:spacing w:before="120" w:after="100" w:line="240" w:lineRule="atLeast"/>
              <w:rPr>
                <w:rFonts w:cs="Arial"/>
                <w:sz w:val="18"/>
                <w:szCs w:val="18"/>
              </w:rPr>
            </w:pPr>
            <w:r w:rsidRPr="004B4203">
              <w:rPr>
                <w:rFonts w:cs="Arial"/>
                <w:sz w:val="18"/>
                <w:szCs w:val="18"/>
              </w:rPr>
              <w:t>(2)(f)</w:t>
            </w:r>
          </w:p>
        </w:tc>
        <w:tc>
          <w:tcPr>
            <w:tcW w:w="3296" w:type="dxa"/>
            <w:shd w:val="clear" w:color="auto" w:fill="auto"/>
          </w:tcPr>
          <w:p w:rsidR="00F075FB" w:rsidRPr="00852DB3" w:rsidRDefault="00F075FB" w:rsidP="00C01A94">
            <w:pPr>
              <w:spacing w:before="120" w:after="100" w:line="240" w:lineRule="atLeast"/>
              <w:ind w:left="0" w:firstLine="0"/>
              <w:rPr>
                <w:rFonts w:cs="Arial"/>
                <w:noProof/>
                <w:sz w:val="18"/>
                <w:szCs w:val="18"/>
              </w:rPr>
            </w:pPr>
            <w:r w:rsidRPr="004B4203">
              <w:rPr>
                <w:rFonts w:cs="Arial"/>
                <w:noProof/>
                <w:sz w:val="18"/>
                <w:szCs w:val="18"/>
              </w:rPr>
              <w:t>Plans for electronic systems</w:t>
            </w:r>
          </w:p>
        </w:tc>
        <w:tc>
          <w:tcPr>
            <w:tcW w:w="6521" w:type="dxa"/>
            <w:shd w:val="clear" w:color="auto" w:fill="auto"/>
          </w:tcPr>
          <w:p w:rsidR="00F075FB" w:rsidRPr="00852DB3" w:rsidRDefault="00F075FB" w:rsidP="00C01A94">
            <w:pPr>
              <w:spacing w:before="120" w:after="10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F075FB" w:rsidRPr="00852DB3" w:rsidRDefault="00F075FB" w:rsidP="00C01A94">
            <w:pPr>
              <w:spacing w:before="120" w:after="100" w:line="240" w:lineRule="atLeast"/>
              <w:jc w:val="center"/>
              <w:rPr>
                <w:rFonts w:cs="Arial"/>
                <w:sz w:val="18"/>
                <w:szCs w:val="18"/>
              </w:rPr>
            </w:pPr>
          </w:p>
        </w:tc>
      </w:tr>
      <w:tr w:rsidR="00F075FB" w:rsidRPr="00C903F8" w:rsidTr="00C07595">
        <w:trPr>
          <w:cantSplit/>
          <w:jc w:val="center"/>
        </w:trPr>
        <w:tc>
          <w:tcPr>
            <w:tcW w:w="1342" w:type="dxa"/>
            <w:vMerge/>
            <w:shd w:val="clear" w:color="auto" w:fill="auto"/>
          </w:tcPr>
          <w:p w:rsidR="00F075FB" w:rsidRPr="00C903F8" w:rsidRDefault="00F075FB" w:rsidP="00C01A94">
            <w:pPr>
              <w:spacing w:before="120" w:after="100" w:line="240" w:lineRule="atLeast"/>
              <w:ind w:left="0" w:firstLine="0"/>
              <w:rPr>
                <w:rFonts w:cs="Arial"/>
                <w:sz w:val="18"/>
                <w:szCs w:val="18"/>
              </w:rPr>
            </w:pPr>
          </w:p>
        </w:tc>
        <w:tc>
          <w:tcPr>
            <w:tcW w:w="1458" w:type="dxa"/>
            <w:shd w:val="clear" w:color="auto" w:fill="auto"/>
          </w:tcPr>
          <w:p w:rsidR="00F075FB" w:rsidRPr="00852DB3" w:rsidRDefault="00F075FB" w:rsidP="00AA3519">
            <w:pPr>
              <w:spacing w:before="120" w:after="100" w:line="240" w:lineRule="atLeast"/>
              <w:rPr>
                <w:rFonts w:cs="Arial"/>
                <w:sz w:val="18"/>
                <w:szCs w:val="18"/>
              </w:rPr>
            </w:pPr>
            <w:r w:rsidRPr="004B4203">
              <w:rPr>
                <w:rFonts w:cs="Arial"/>
                <w:sz w:val="18"/>
                <w:szCs w:val="18"/>
              </w:rPr>
              <w:t>(2)(g)</w:t>
            </w:r>
          </w:p>
        </w:tc>
        <w:tc>
          <w:tcPr>
            <w:tcW w:w="3296" w:type="dxa"/>
            <w:shd w:val="clear" w:color="auto" w:fill="auto"/>
          </w:tcPr>
          <w:p w:rsidR="00F075FB" w:rsidRPr="00852DB3" w:rsidRDefault="00F075FB" w:rsidP="00C01A94">
            <w:pPr>
              <w:spacing w:before="120" w:after="100" w:line="240" w:lineRule="atLeast"/>
              <w:ind w:left="0" w:firstLine="0"/>
              <w:rPr>
                <w:rFonts w:cs="Arial"/>
                <w:noProof/>
                <w:sz w:val="18"/>
                <w:szCs w:val="18"/>
              </w:rPr>
            </w:pPr>
            <w:r>
              <w:rPr>
                <w:rFonts w:cs="Arial"/>
                <w:noProof/>
                <w:sz w:val="18"/>
                <w:szCs w:val="18"/>
              </w:rPr>
              <w:t>C</w:t>
            </w:r>
            <w:r w:rsidRPr="004B4203">
              <w:rPr>
                <w:rFonts w:cs="Arial"/>
                <w:noProof/>
                <w:sz w:val="18"/>
                <w:szCs w:val="18"/>
              </w:rPr>
              <w:t>ontrol circuit plans</w:t>
            </w:r>
          </w:p>
        </w:tc>
        <w:tc>
          <w:tcPr>
            <w:tcW w:w="6521" w:type="dxa"/>
            <w:shd w:val="clear" w:color="auto" w:fill="auto"/>
          </w:tcPr>
          <w:p w:rsidR="00F075FB" w:rsidRPr="00852DB3" w:rsidRDefault="00F075FB" w:rsidP="00C01A94">
            <w:pPr>
              <w:spacing w:before="120" w:after="10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F075FB" w:rsidRPr="00852DB3" w:rsidRDefault="00F075FB" w:rsidP="00C01A94">
            <w:pPr>
              <w:spacing w:before="120" w:after="100" w:line="240" w:lineRule="atLeast"/>
              <w:jc w:val="center"/>
              <w:rPr>
                <w:rFonts w:cs="Arial"/>
                <w:sz w:val="18"/>
                <w:szCs w:val="18"/>
              </w:rPr>
            </w:pPr>
          </w:p>
        </w:tc>
      </w:tr>
      <w:tr w:rsidR="00F075FB" w:rsidRPr="00C903F8" w:rsidTr="00C07595">
        <w:trPr>
          <w:cantSplit/>
          <w:jc w:val="center"/>
        </w:trPr>
        <w:tc>
          <w:tcPr>
            <w:tcW w:w="1342" w:type="dxa"/>
            <w:vMerge/>
            <w:shd w:val="clear" w:color="auto" w:fill="auto"/>
          </w:tcPr>
          <w:p w:rsidR="00F075FB" w:rsidRPr="00C903F8" w:rsidRDefault="00F075FB" w:rsidP="00C01A94">
            <w:pPr>
              <w:spacing w:before="120" w:after="100" w:line="240" w:lineRule="atLeast"/>
              <w:ind w:left="0" w:firstLine="0"/>
              <w:rPr>
                <w:rFonts w:cs="Arial"/>
                <w:sz w:val="18"/>
                <w:szCs w:val="18"/>
              </w:rPr>
            </w:pPr>
          </w:p>
        </w:tc>
        <w:tc>
          <w:tcPr>
            <w:tcW w:w="1458" w:type="dxa"/>
            <w:shd w:val="clear" w:color="auto" w:fill="auto"/>
          </w:tcPr>
          <w:p w:rsidR="00F075FB" w:rsidRPr="00852DB3" w:rsidRDefault="00F075FB" w:rsidP="00C01A94">
            <w:pPr>
              <w:spacing w:before="120" w:after="100" w:line="240" w:lineRule="atLeast"/>
              <w:rPr>
                <w:rFonts w:cs="Arial"/>
                <w:sz w:val="18"/>
                <w:szCs w:val="18"/>
              </w:rPr>
            </w:pPr>
            <w:r w:rsidRPr="004B4203">
              <w:rPr>
                <w:rFonts w:cs="Arial"/>
                <w:sz w:val="18"/>
                <w:szCs w:val="18"/>
              </w:rPr>
              <w:t>(3)</w:t>
            </w:r>
          </w:p>
        </w:tc>
        <w:tc>
          <w:tcPr>
            <w:tcW w:w="3296" w:type="dxa"/>
            <w:shd w:val="clear" w:color="auto" w:fill="auto"/>
          </w:tcPr>
          <w:p w:rsidR="00F075FB" w:rsidRPr="00852DB3" w:rsidRDefault="00F075FB" w:rsidP="00C01A94">
            <w:pPr>
              <w:spacing w:before="120" w:after="100" w:line="240" w:lineRule="atLeast"/>
              <w:ind w:left="0" w:firstLine="0"/>
              <w:rPr>
                <w:rFonts w:cs="Arial"/>
                <w:noProof/>
                <w:sz w:val="18"/>
                <w:szCs w:val="18"/>
              </w:rPr>
            </w:pPr>
            <w:r w:rsidRPr="004B4203">
              <w:rPr>
                <w:rFonts w:cs="Arial"/>
                <w:noProof/>
                <w:sz w:val="18"/>
                <w:szCs w:val="18"/>
              </w:rPr>
              <w:t>Ambient temperatures inside and on deck</w:t>
            </w:r>
          </w:p>
        </w:tc>
        <w:tc>
          <w:tcPr>
            <w:tcW w:w="6521" w:type="dxa"/>
            <w:shd w:val="clear" w:color="auto" w:fill="auto"/>
          </w:tcPr>
          <w:p w:rsidR="00F075FB" w:rsidRPr="00852DB3" w:rsidRDefault="00F075FB" w:rsidP="00C01A94">
            <w:pPr>
              <w:spacing w:before="120" w:after="10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F075FB" w:rsidRPr="00852DB3" w:rsidRDefault="00F075FB" w:rsidP="00C01A94">
            <w:pPr>
              <w:spacing w:before="120" w:after="100" w:line="240" w:lineRule="atLeast"/>
              <w:jc w:val="center"/>
              <w:rPr>
                <w:rFonts w:cs="Arial"/>
                <w:sz w:val="18"/>
                <w:szCs w:val="18"/>
              </w:rPr>
            </w:pPr>
            <w:r w:rsidRPr="004B4203">
              <w:rPr>
                <w:rFonts w:cs="Arial"/>
                <w:sz w:val="18"/>
                <w:szCs w:val="18"/>
              </w:rPr>
              <w:t>1.1.2010</w:t>
            </w:r>
          </w:p>
        </w:tc>
      </w:tr>
      <w:tr w:rsidR="00F075FB" w:rsidRPr="00C903F8" w:rsidTr="00196FBC">
        <w:trPr>
          <w:cantSplit/>
          <w:jc w:val="center"/>
        </w:trPr>
        <w:tc>
          <w:tcPr>
            <w:tcW w:w="1342" w:type="dxa"/>
            <w:shd w:val="clear" w:color="auto" w:fill="auto"/>
          </w:tcPr>
          <w:p w:rsidR="00F075FB" w:rsidRPr="004B4203" w:rsidRDefault="00F075FB" w:rsidP="00C01A94">
            <w:pPr>
              <w:spacing w:before="120" w:after="100" w:line="240" w:lineRule="atLeast"/>
              <w:rPr>
                <w:rFonts w:cs="Arial"/>
                <w:sz w:val="18"/>
                <w:szCs w:val="18"/>
                <w:lang w:val="en-GB" w:eastAsia="de-DE"/>
              </w:rPr>
            </w:pPr>
            <w:r w:rsidRPr="008F6ABB">
              <w:rPr>
                <w:rFonts w:cs="Arial"/>
                <w:sz w:val="18"/>
                <w:szCs w:val="18"/>
                <w:lang w:val="en-GB" w:eastAsia="de-DE"/>
              </w:rPr>
              <w:t>10.02</w:t>
            </w:r>
          </w:p>
        </w:tc>
        <w:tc>
          <w:tcPr>
            <w:tcW w:w="1458" w:type="dxa"/>
            <w:shd w:val="clear" w:color="auto" w:fill="auto"/>
          </w:tcPr>
          <w:p w:rsidR="00F075FB" w:rsidRPr="00852DB3" w:rsidRDefault="00F075FB" w:rsidP="00C01A94">
            <w:pPr>
              <w:spacing w:before="120" w:after="100" w:line="240" w:lineRule="atLeast"/>
              <w:rPr>
                <w:rFonts w:cs="Arial"/>
                <w:sz w:val="18"/>
                <w:szCs w:val="18"/>
              </w:rPr>
            </w:pPr>
          </w:p>
        </w:tc>
        <w:tc>
          <w:tcPr>
            <w:tcW w:w="3296" w:type="dxa"/>
            <w:shd w:val="clear" w:color="auto" w:fill="auto"/>
          </w:tcPr>
          <w:p w:rsidR="00F075FB" w:rsidRPr="00852DB3" w:rsidRDefault="00F075FB" w:rsidP="00C01A94">
            <w:pPr>
              <w:spacing w:before="120" w:after="100" w:line="240" w:lineRule="atLeast"/>
              <w:ind w:left="0" w:firstLine="0"/>
              <w:rPr>
                <w:rFonts w:cs="Arial"/>
                <w:noProof/>
                <w:sz w:val="18"/>
                <w:szCs w:val="18"/>
              </w:rPr>
            </w:pPr>
            <w:r w:rsidRPr="004B4203">
              <w:rPr>
                <w:rFonts w:cs="Arial"/>
                <w:noProof/>
                <w:sz w:val="18"/>
                <w:szCs w:val="18"/>
              </w:rPr>
              <w:t>Power supply systems</w:t>
            </w:r>
          </w:p>
        </w:tc>
        <w:tc>
          <w:tcPr>
            <w:tcW w:w="6521" w:type="dxa"/>
            <w:shd w:val="clear" w:color="auto" w:fill="auto"/>
          </w:tcPr>
          <w:p w:rsidR="00F075FB" w:rsidRPr="00852DB3" w:rsidRDefault="00F075FB" w:rsidP="00C01A94">
            <w:pPr>
              <w:spacing w:before="120" w:after="10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F075FB" w:rsidRPr="00852DB3" w:rsidRDefault="00F075FB" w:rsidP="00C01A94">
            <w:pPr>
              <w:spacing w:before="120" w:after="100" w:line="240" w:lineRule="atLeast"/>
              <w:jc w:val="center"/>
              <w:rPr>
                <w:rFonts w:cs="Arial"/>
                <w:sz w:val="18"/>
                <w:szCs w:val="18"/>
              </w:rPr>
            </w:pPr>
            <w:r w:rsidRPr="004B4203">
              <w:rPr>
                <w:rFonts w:cs="Arial"/>
                <w:sz w:val="18"/>
                <w:szCs w:val="18"/>
              </w:rPr>
              <w:t>1.1.2010</w:t>
            </w:r>
          </w:p>
        </w:tc>
      </w:tr>
      <w:tr w:rsidR="00F075FB" w:rsidRPr="00C903F8" w:rsidTr="00196FBC">
        <w:trPr>
          <w:cantSplit/>
          <w:jc w:val="center"/>
        </w:trPr>
        <w:tc>
          <w:tcPr>
            <w:tcW w:w="1342" w:type="dxa"/>
            <w:shd w:val="clear" w:color="auto" w:fill="auto"/>
          </w:tcPr>
          <w:p w:rsidR="00F075FB" w:rsidRPr="004B4203" w:rsidRDefault="00F075FB" w:rsidP="00C01A94">
            <w:pPr>
              <w:spacing w:before="120" w:after="100" w:line="240" w:lineRule="atLeast"/>
              <w:rPr>
                <w:rFonts w:cs="Arial"/>
                <w:sz w:val="18"/>
                <w:szCs w:val="18"/>
                <w:lang w:val="en-GB" w:eastAsia="de-DE"/>
              </w:rPr>
            </w:pPr>
            <w:r w:rsidRPr="008F6ABB">
              <w:rPr>
                <w:rFonts w:cs="Arial"/>
                <w:sz w:val="18"/>
                <w:szCs w:val="18"/>
                <w:lang w:val="en-GB" w:eastAsia="de-DE"/>
              </w:rPr>
              <w:t>10.03</w:t>
            </w:r>
          </w:p>
        </w:tc>
        <w:tc>
          <w:tcPr>
            <w:tcW w:w="1458" w:type="dxa"/>
            <w:shd w:val="clear" w:color="auto" w:fill="auto"/>
          </w:tcPr>
          <w:p w:rsidR="00F075FB" w:rsidRPr="00852DB3" w:rsidRDefault="00F075FB" w:rsidP="00C01A94">
            <w:pPr>
              <w:spacing w:before="120" w:after="100" w:line="240" w:lineRule="atLeast"/>
              <w:rPr>
                <w:rFonts w:cs="Arial"/>
                <w:sz w:val="18"/>
                <w:szCs w:val="18"/>
              </w:rPr>
            </w:pPr>
          </w:p>
        </w:tc>
        <w:tc>
          <w:tcPr>
            <w:tcW w:w="3296" w:type="dxa"/>
            <w:shd w:val="clear" w:color="auto" w:fill="auto"/>
          </w:tcPr>
          <w:p w:rsidR="00F075FB" w:rsidRPr="003F5E4D" w:rsidRDefault="00F075FB" w:rsidP="00C01A94">
            <w:pPr>
              <w:spacing w:before="120" w:after="100" w:line="240" w:lineRule="atLeast"/>
              <w:ind w:left="0" w:firstLine="0"/>
              <w:rPr>
                <w:rFonts w:cs="Arial"/>
                <w:noProof/>
                <w:sz w:val="18"/>
                <w:szCs w:val="18"/>
                <w:lang w:val="en-GB"/>
              </w:rPr>
            </w:pPr>
            <w:r w:rsidRPr="003F5E4D">
              <w:rPr>
                <w:rFonts w:cs="Arial"/>
                <w:noProof/>
                <w:sz w:val="18"/>
                <w:szCs w:val="18"/>
                <w:lang w:val="en-GB"/>
              </w:rPr>
              <w:t>Type of protection according to installation location</w:t>
            </w:r>
          </w:p>
        </w:tc>
        <w:tc>
          <w:tcPr>
            <w:tcW w:w="6521" w:type="dxa"/>
            <w:shd w:val="clear" w:color="auto" w:fill="auto"/>
          </w:tcPr>
          <w:p w:rsidR="00F075FB" w:rsidRPr="00852DB3" w:rsidRDefault="00F075FB" w:rsidP="00C01A94">
            <w:pPr>
              <w:spacing w:before="120" w:after="10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F075FB" w:rsidRPr="00852DB3" w:rsidRDefault="00F075FB" w:rsidP="00C01A94">
            <w:pPr>
              <w:spacing w:before="120" w:after="100" w:line="240" w:lineRule="atLeast"/>
              <w:jc w:val="center"/>
              <w:rPr>
                <w:rFonts w:cs="Arial"/>
                <w:sz w:val="18"/>
                <w:szCs w:val="18"/>
              </w:rPr>
            </w:pPr>
          </w:p>
        </w:tc>
      </w:tr>
      <w:tr w:rsidR="00F075FB" w:rsidRPr="00C903F8" w:rsidTr="00196FBC">
        <w:trPr>
          <w:cantSplit/>
          <w:jc w:val="center"/>
        </w:trPr>
        <w:tc>
          <w:tcPr>
            <w:tcW w:w="1342" w:type="dxa"/>
            <w:shd w:val="clear" w:color="auto" w:fill="auto"/>
          </w:tcPr>
          <w:p w:rsidR="00F075FB" w:rsidRPr="004B4203" w:rsidRDefault="00F075FB" w:rsidP="00C01A94">
            <w:pPr>
              <w:spacing w:before="120" w:after="100" w:line="240" w:lineRule="atLeast"/>
              <w:rPr>
                <w:rFonts w:cs="Arial"/>
                <w:sz w:val="18"/>
                <w:szCs w:val="18"/>
                <w:lang w:val="en-GB" w:eastAsia="de-DE"/>
              </w:rPr>
            </w:pPr>
            <w:r w:rsidRPr="008F6ABB">
              <w:rPr>
                <w:rFonts w:cs="Arial"/>
                <w:sz w:val="18"/>
                <w:szCs w:val="18"/>
                <w:lang w:val="en-GB" w:eastAsia="de-DE"/>
              </w:rPr>
              <w:t>10.04</w:t>
            </w:r>
          </w:p>
        </w:tc>
        <w:tc>
          <w:tcPr>
            <w:tcW w:w="1458" w:type="dxa"/>
            <w:shd w:val="clear" w:color="auto" w:fill="auto"/>
          </w:tcPr>
          <w:p w:rsidR="00F075FB" w:rsidRPr="00852DB3" w:rsidRDefault="00F075FB" w:rsidP="00C01A94">
            <w:pPr>
              <w:spacing w:before="120" w:after="100" w:line="240" w:lineRule="atLeast"/>
              <w:rPr>
                <w:rFonts w:cs="Arial"/>
                <w:sz w:val="18"/>
                <w:szCs w:val="18"/>
              </w:rPr>
            </w:pPr>
          </w:p>
        </w:tc>
        <w:tc>
          <w:tcPr>
            <w:tcW w:w="3296" w:type="dxa"/>
            <w:shd w:val="clear" w:color="auto" w:fill="auto"/>
          </w:tcPr>
          <w:p w:rsidR="00F075FB" w:rsidRPr="00852DB3" w:rsidRDefault="00F075FB" w:rsidP="00C01A94">
            <w:pPr>
              <w:spacing w:before="120" w:after="100" w:line="240" w:lineRule="atLeast"/>
              <w:ind w:left="0" w:firstLine="0"/>
              <w:rPr>
                <w:rFonts w:cs="Arial"/>
                <w:noProof/>
                <w:sz w:val="18"/>
                <w:szCs w:val="18"/>
              </w:rPr>
            </w:pPr>
            <w:r w:rsidRPr="004B4203">
              <w:rPr>
                <w:rFonts w:cs="Arial"/>
                <w:noProof/>
                <w:sz w:val="18"/>
                <w:szCs w:val="18"/>
              </w:rPr>
              <w:t>Protection from explosion</w:t>
            </w:r>
          </w:p>
        </w:tc>
        <w:tc>
          <w:tcPr>
            <w:tcW w:w="6521" w:type="dxa"/>
            <w:shd w:val="clear" w:color="auto" w:fill="auto"/>
          </w:tcPr>
          <w:p w:rsidR="00F075FB" w:rsidRPr="00852DB3" w:rsidRDefault="00F075FB" w:rsidP="00C01A94">
            <w:pPr>
              <w:spacing w:before="120" w:after="10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F075FB" w:rsidRPr="00852DB3" w:rsidRDefault="00F075FB" w:rsidP="00C01A94">
            <w:pPr>
              <w:spacing w:before="120" w:after="100" w:line="240" w:lineRule="atLeast"/>
              <w:jc w:val="center"/>
              <w:rPr>
                <w:rFonts w:cs="Arial"/>
                <w:sz w:val="18"/>
                <w:szCs w:val="18"/>
              </w:rPr>
            </w:pPr>
          </w:p>
        </w:tc>
      </w:tr>
      <w:tr w:rsidR="00F075FB" w:rsidRPr="00C903F8" w:rsidTr="00196FBC">
        <w:trPr>
          <w:cantSplit/>
          <w:jc w:val="center"/>
        </w:trPr>
        <w:tc>
          <w:tcPr>
            <w:tcW w:w="1342" w:type="dxa"/>
            <w:shd w:val="clear" w:color="auto" w:fill="auto"/>
          </w:tcPr>
          <w:p w:rsidR="00F075FB" w:rsidRPr="004B4203" w:rsidRDefault="00F075FB" w:rsidP="00F91AFF">
            <w:pPr>
              <w:spacing w:before="60" w:after="60" w:line="240" w:lineRule="atLeast"/>
              <w:rPr>
                <w:rFonts w:cs="Arial"/>
                <w:sz w:val="18"/>
                <w:szCs w:val="18"/>
                <w:lang w:val="en-GB" w:eastAsia="de-DE"/>
              </w:rPr>
            </w:pPr>
            <w:r w:rsidRPr="008F6ABB">
              <w:rPr>
                <w:rFonts w:cs="Arial"/>
                <w:sz w:val="18"/>
                <w:szCs w:val="18"/>
                <w:lang w:val="en-GB" w:eastAsia="de-DE"/>
              </w:rPr>
              <w:t>10.05</w:t>
            </w:r>
          </w:p>
        </w:tc>
        <w:tc>
          <w:tcPr>
            <w:tcW w:w="1458" w:type="dxa"/>
            <w:shd w:val="clear" w:color="auto" w:fill="auto"/>
          </w:tcPr>
          <w:p w:rsidR="00F075FB" w:rsidRPr="00852DB3" w:rsidRDefault="00F075FB" w:rsidP="00F91AFF">
            <w:pPr>
              <w:spacing w:before="60" w:after="60" w:line="240" w:lineRule="atLeast"/>
              <w:rPr>
                <w:rFonts w:cs="Arial"/>
                <w:sz w:val="18"/>
                <w:szCs w:val="18"/>
              </w:rPr>
            </w:pPr>
            <w:r w:rsidRPr="004B4203">
              <w:rPr>
                <w:rFonts w:cs="Arial"/>
                <w:sz w:val="18"/>
                <w:szCs w:val="18"/>
              </w:rPr>
              <w:t>(4)</w:t>
            </w:r>
          </w:p>
        </w:tc>
        <w:tc>
          <w:tcPr>
            <w:tcW w:w="3296" w:type="dxa"/>
            <w:shd w:val="clear" w:color="auto" w:fill="auto"/>
          </w:tcPr>
          <w:p w:rsidR="00F075FB" w:rsidRPr="001717EA" w:rsidRDefault="00F075FB" w:rsidP="00F91AFF">
            <w:pPr>
              <w:spacing w:before="60" w:after="60" w:line="240" w:lineRule="atLeast"/>
              <w:rPr>
                <w:rFonts w:cs="Arial"/>
                <w:sz w:val="18"/>
                <w:szCs w:val="18"/>
                <w:lang w:val="en-GB"/>
              </w:rPr>
            </w:pPr>
            <w:r w:rsidRPr="001717EA">
              <w:rPr>
                <w:rFonts w:cs="Arial"/>
                <w:sz w:val="18"/>
                <w:szCs w:val="18"/>
                <w:lang w:val="en-GB"/>
              </w:rPr>
              <w:t>Cross-section of earth</w:t>
            </w:r>
            <w:r>
              <w:rPr>
                <w:rFonts w:cs="Arial"/>
                <w:sz w:val="18"/>
                <w:szCs w:val="18"/>
                <w:lang w:val="en-GB"/>
              </w:rPr>
              <w:t>ing conductors</w:t>
            </w:r>
          </w:p>
        </w:tc>
        <w:tc>
          <w:tcPr>
            <w:tcW w:w="6521" w:type="dxa"/>
            <w:shd w:val="clear" w:color="auto" w:fill="auto"/>
          </w:tcPr>
          <w:p w:rsidR="00F075FB" w:rsidRPr="00852DB3" w:rsidRDefault="00F075FB" w:rsidP="00F91AFF">
            <w:pPr>
              <w:spacing w:before="60" w:after="6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F075FB" w:rsidRPr="00852DB3" w:rsidRDefault="00F075FB" w:rsidP="00F91AFF">
            <w:pPr>
              <w:spacing w:before="60" w:after="60" w:line="240" w:lineRule="atLeast"/>
              <w:jc w:val="center"/>
              <w:rPr>
                <w:rFonts w:cs="Arial"/>
                <w:sz w:val="18"/>
                <w:szCs w:val="18"/>
              </w:rPr>
            </w:pPr>
            <w:r w:rsidRPr="004B4203">
              <w:rPr>
                <w:rFonts w:cs="Arial"/>
                <w:sz w:val="18"/>
                <w:szCs w:val="18"/>
              </w:rPr>
              <w:t>1.1.2015</w:t>
            </w:r>
          </w:p>
        </w:tc>
      </w:tr>
      <w:tr w:rsidR="00F075FB" w:rsidRPr="00C903F8" w:rsidTr="00196FBC">
        <w:trPr>
          <w:cantSplit/>
          <w:jc w:val="center"/>
        </w:trPr>
        <w:tc>
          <w:tcPr>
            <w:tcW w:w="1342" w:type="dxa"/>
            <w:shd w:val="clear" w:color="auto" w:fill="auto"/>
          </w:tcPr>
          <w:p w:rsidR="00F075FB" w:rsidRPr="004B4203" w:rsidRDefault="00F075FB" w:rsidP="00F91AFF">
            <w:pPr>
              <w:spacing w:before="60" w:after="60" w:line="240" w:lineRule="atLeast"/>
              <w:rPr>
                <w:rFonts w:cs="Arial"/>
                <w:sz w:val="18"/>
                <w:szCs w:val="18"/>
                <w:lang w:val="en-GB" w:eastAsia="de-DE"/>
              </w:rPr>
            </w:pPr>
            <w:r w:rsidRPr="008F6ABB">
              <w:rPr>
                <w:rFonts w:cs="Arial"/>
                <w:sz w:val="18"/>
                <w:szCs w:val="18"/>
                <w:lang w:val="en-GB" w:eastAsia="de-DE"/>
              </w:rPr>
              <w:t xml:space="preserve">10.06 </w:t>
            </w:r>
          </w:p>
        </w:tc>
        <w:tc>
          <w:tcPr>
            <w:tcW w:w="1458" w:type="dxa"/>
            <w:shd w:val="clear" w:color="auto" w:fill="auto"/>
          </w:tcPr>
          <w:p w:rsidR="00F075FB" w:rsidRPr="00852DB3" w:rsidRDefault="00F075FB" w:rsidP="00F91AFF">
            <w:pPr>
              <w:spacing w:before="60" w:after="60" w:line="240" w:lineRule="atLeast"/>
              <w:rPr>
                <w:rFonts w:cs="Arial"/>
                <w:sz w:val="18"/>
                <w:szCs w:val="18"/>
              </w:rPr>
            </w:pPr>
            <w:r w:rsidRPr="004B4203">
              <w:rPr>
                <w:rFonts w:cs="Arial"/>
                <w:sz w:val="18"/>
                <w:szCs w:val="18"/>
              </w:rPr>
              <w:t>(1) table</w:t>
            </w:r>
          </w:p>
        </w:tc>
        <w:tc>
          <w:tcPr>
            <w:tcW w:w="3296" w:type="dxa"/>
            <w:shd w:val="clear" w:color="auto" w:fill="auto"/>
          </w:tcPr>
          <w:p w:rsidR="00F075FB" w:rsidRPr="00852DB3" w:rsidRDefault="00F075FB" w:rsidP="00F91AFF">
            <w:pPr>
              <w:spacing w:before="60" w:after="60" w:line="240" w:lineRule="atLeast"/>
              <w:rPr>
                <w:rFonts w:cs="Arial"/>
                <w:sz w:val="18"/>
                <w:szCs w:val="18"/>
              </w:rPr>
            </w:pPr>
            <w:r w:rsidRPr="004B4203">
              <w:rPr>
                <w:rFonts w:cs="Arial"/>
                <w:sz w:val="18"/>
                <w:szCs w:val="18"/>
              </w:rPr>
              <w:t>Three-phase alternating current</w:t>
            </w:r>
          </w:p>
        </w:tc>
        <w:tc>
          <w:tcPr>
            <w:tcW w:w="6521" w:type="dxa"/>
            <w:shd w:val="clear" w:color="auto" w:fill="auto"/>
          </w:tcPr>
          <w:p w:rsidR="00F075FB" w:rsidRPr="00852DB3" w:rsidRDefault="00F075FB" w:rsidP="00F91AFF">
            <w:pPr>
              <w:spacing w:before="60" w:after="6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F075FB" w:rsidRPr="00852DB3" w:rsidRDefault="00F075FB" w:rsidP="00F91AFF">
            <w:pPr>
              <w:spacing w:before="60" w:after="60" w:line="240" w:lineRule="atLeast"/>
              <w:jc w:val="center"/>
              <w:rPr>
                <w:rFonts w:cs="Arial"/>
                <w:sz w:val="18"/>
                <w:szCs w:val="18"/>
              </w:rPr>
            </w:pPr>
          </w:p>
        </w:tc>
      </w:tr>
      <w:tr w:rsidR="00F075FB" w:rsidRPr="00C903F8" w:rsidTr="00016542">
        <w:trPr>
          <w:cantSplit/>
          <w:jc w:val="center"/>
        </w:trPr>
        <w:tc>
          <w:tcPr>
            <w:tcW w:w="1342" w:type="dxa"/>
            <w:tcBorders>
              <w:bottom w:val="single" w:sz="4" w:space="0" w:color="auto"/>
            </w:tcBorders>
            <w:shd w:val="clear" w:color="auto" w:fill="auto"/>
          </w:tcPr>
          <w:p w:rsidR="00F075FB" w:rsidRPr="004B4203" w:rsidRDefault="00F075FB" w:rsidP="00F91AFF">
            <w:pPr>
              <w:spacing w:before="60" w:after="60" w:line="240" w:lineRule="atLeast"/>
              <w:rPr>
                <w:rFonts w:cs="Arial"/>
                <w:sz w:val="18"/>
                <w:szCs w:val="18"/>
                <w:lang w:val="en-GB" w:eastAsia="de-DE"/>
              </w:rPr>
            </w:pPr>
            <w:r w:rsidRPr="008F6ABB">
              <w:rPr>
                <w:rFonts w:cs="Arial"/>
                <w:sz w:val="18"/>
                <w:szCs w:val="18"/>
                <w:lang w:val="en-GB" w:eastAsia="de-DE"/>
              </w:rPr>
              <w:t>10.08</w:t>
            </w:r>
          </w:p>
        </w:tc>
        <w:tc>
          <w:tcPr>
            <w:tcW w:w="1458" w:type="dxa"/>
            <w:shd w:val="clear" w:color="auto" w:fill="auto"/>
          </w:tcPr>
          <w:p w:rsidR="00F075FB" w:rsidRPr="00852DB3" w:rsidRDefault="00F075FB" w:rsidP="00F91AFF">
            <w:pPr>
              <w:spacing w:before="60" w:after="60" w:line="240" w:lineRule="atLeast"/>
              <w:rPr>
                <w:rFonts w:cs="Arial"/>
                <w:sz w:val="18"/>
                <w:szCs w:val="18"/>
              </w:rPr>
            </w:pPr>
            <w:r w:rsidRPr="004B4203">
              <w:rPr>
                <w:rFonts w:cs="Arial"/>
                <w:sz w:val="18"/>
                <w:szCs w:val="18"/>
              </w:rPr>
              <w:t>(1)</w:t>
            </w:r>
          </w:p>
        </w:tc>
        <w:tc>
          <w:tcPr>
            <w:tcW w:w="3296" w:type="dxa"/>
            <w:shd w:val="clear" w:color="auto" w:fill="auto"/>
          </w:tcPr>
          <w:p w:rsidR="00F075FB" w:rsidRPr="00852DB3" w:rsidRDefault="00F075FB" w:rsidP="00F91AFF">
            <w:pPr>
              <w:spacing w:before="60" w:after="60" w:line="240" w:lineRule="atLeast"/>
              <w:ind w:left="15" w:hanging="15"/>
              <w:rPr>
                <w:rFonts w:cs="Arial"/>
                <w:sz w:val="18"/>
                <w:szCs w:val="18"/>
              </w:rPr>
            </w:pPr>
            <w:r w:rsidRPr="004B4203">
              <w:rPr>
                <w:rFonts w:cs="Arial"/>
                <w:sz w:val="18"/>
                <w:szCs w:val="18"/>
              </w:rPr>
              <w:t xml:space="preserve">Compliance with </w:t>
            </w:r>
            <w:r>
              <w:rPr>
                <w:rFonts w:cs="Arial"/>
                <w:sz w:val="18"/>
                <w:szCs w:val="18"/>
              </w:rPr>
              <w:t xml:space="preserve">European </w:t>
            </w:r>
            <w:r w:rsidRPr="004B4203">
              <w:rPr>
                <w:rFonts w:cs="Arial"/>
                <w:sz w:val="18"/>
                <w:szCs w:val="18"/>
              </w:rPr>
              <w:t>Standards EN 15869-1, EN 15869­3 and EN 16840</w:t>
            </w:r>
          </w:p>
        </w:tc>
        <w:tc>
          <w:tcPr>
            <w:tcW w:w="6521" w:type="dxa"/>
            <w:shd w:val="clear" w:color="auto" w:fill="auto"/>
          </w:tcPr>
          <w:p w:rsidR="00F075FB" w:rsidRPr="00852DB3" w:rsidRDefault="00F075FB" w:rsidP="00F91AFF">
            <w:pPr>
              <w:spacing w:before="60" w:after="6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F075FB" w:rsidRPr="00852DB3" w:rsidRDefault="00F075FB" w:rsidP="00F91AFF">
            <w:pPr>
              <w:spacing w:before="60" w:after="60" w:line="240" w:lineRule="atLeast"/>
              <w:jc w:val="center"/>
              <w:rPr>
                <w:rFonts w:cs="Arial"/>
                <w:sz w:val="18"/>
                <w:szCs w:val="18"/>
              </w:rPr>
            </w:pPr>
          </w:p>
        </w:tc>
      </w:tr>
      <w:tr w:rsidR="00F075FB" w:rsidRPr="00C903F8" w:rsidTr="00C07595">
        <w:trPr>
          <w:cantSplit/>
          <w:jc w:val="center"/>
        </w:trPr>
        <w:tc>
          <w:tcPr>
            <w:tcW w:w="1342" w:type="dxa"/>
            <w:vMerge w:val="restart"/>
            <w:shd w:val="clear" w:color="auto" w:fill="auto"/>
          </w:tcPr>
          <w:p w:rsidR="00F075FB" w:rsidRPr="004B4203" w:rsidRDefault="00F075FB" w:rsidP="00F91AFF">
            <w:pPr>
              <w:spacing w:before="60" w:after="60" w:line="240" w:lineRule="atLeast"/>
              <w:rPr>
                <w:rFonts w:cs="Arial"/>
                <w:sz w:val="18"/>
                <w:szCs w:val="18"/>
                <w:lang w:val="en-GB" w:eastAsia="de-DE"/>
              </w:rPr>
            </w:pPr>
            <w:r w:rsidRPr="008F6ABB">
              <w:rPr>
                <w:rFonts w:cs="Arial"/>
                <w:sz w:val="18"/>
                <w:szCs w:val="18"/>
                <w:lang w:val="en-GB" w:eastAsia="de-DE"/>
              </w:rPr>
              <w:t xml:space="preserve">10.10 </w:t>
            </w:r>
          </w:p>
        </w:tc>
        <w:tc>
          <w:tcPr>
            <w:tcW w:w="1458" w:type="dxa"/>
            <w:shd w:val="clear" w:color="auto" w:fill="auto"/>
          </w:tcPr>
          <w:p w:rsidR="00F075FB" w:rsidRPr="00852DB3" w:rsidRDefault="00F075FB" w:rsidP="00F91AFF">
            <w:pPr>
              <w:spacing w:before="60" w:after="60" w:line="240" w:lineRule="atLeast"/>
              <w:rPr>
                <w:rFonts w:cs="Arial"/>
                <w:sz w:val="18"/>
                <w:szCs w:val="18"/>
              </w:rPr>
            </w:pPr>
            <w:r w:rsidRPr="004B4203">
              <w:rPr>
                <w:rFonts w:cs="Arial"/>
                <w:sz w:val="18"/>
                <w:szCs w:val="18"/>
              </w:rPr>
              <w:t>(2)</w:t>
            </w:r>
          </w:p>
        </w:tc>
        <w:tc>
          <w:tcPr>
            <w:tcW w:w="3296" w:type="dxa"/>
            <w:shd w:val="clear" w:color="auto" w:fill="auto"/>
          </w:tcPr>
          <w:p w:rsidR="00F075FB" w:rsidRPr="00852DB3" w:rsidRDefault="00F075FB" w:rsidP="00F91AFF">
            <w:pPr>
              <w:spacing w:before="60" w:after="60" w:line="240" w:lineRule="atLeast"/>
              <w:rPr>
                <w:rFonts w:cs="Arial"/>
                <w:sz w:val="18"/>
                <w:szCs w:val="18"/>
              </w:rPr>
            </w:pPr>
            <w:r w:rsidRPr="004B4203">
              <w:rPr>
                <w:rFonts w:cs="Arial"/>
                <w:sz w:val="18"/>
                <w:szCs w:val="18"/>
              </w:rPr>
              <w:t>Installation of transformers</w:t>
            </w:r>
          </w:p>
        </w:tc>
        <w:tc>
          <w:tcPr>
            <w:tcW w:w="6521" w:type="dxa"/>
            <w:shd w:val="clear" w:color="auto" w:fill="auto"/>
          </w:tcPr>
          <w:p w:rsidR="00F075FB" w:rsidRPr="00852DB3" w:rsidRDefault="00F075FB" w:rsidP="00F91AFF">
            <w:pPr>
              <w:spacing w:before="60" w:after="6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F075FB" w:rsidRPr="00852DB3" w:rsidRDefault="00F075FB" w:rsidP="00F91AFF">
            <w:pPr>
              <w:spacing w:before="60" w:after="60" w:line="240" w:lineRule="atLeast"/>
              <w:jc w:val="center"/>
              <w:rPr>
                <w:rFonts w:cs="Arial"/>
                <w:sz w:val="18"/>
                <w:szCs w:val="18"/>
              </w:rPr>
            </w:pPr>
          </w:p>
        </w:tc>
      </w:tr>
      <w:tr w:rsidR="00F075FB" w:rsidRPr="00C903F8" w:rsidTr="00C07595">
        <w:trPr>
          <w:cantSplit/>
          <w:jc w:val="center"/>
        </w:trPr>
        <w:tc>
          <w:tcPr>
            <w:tcW w:w="1342" w:type="dxa"/>
            <w:vMerge/>
            <w:shd w:val="clear" w:color="auto" w:fill="auto"/>
          </w:tcPr>
          <w:p w:rsidR="00F075FB" w:rsidRPr="00C903F8" w:rsidRDefault="00F075FB" w:rsidP="00F91AFF">
            <w:pPr>
              <w:spacing w:before="60" w:after="60" w:line="240" w:lineRule="atLeast"/>
              <w:ind w:left="0" w:firstLine="0"/>
              <w:rPr>
                <w:rFonts w:cs="Arial"/>
                <w:sz w:val="18"/>
                <w:szCs w:val="18"/>
                <w:lang w:val="en-US"/>
              </w:rPr>
            </w:pPr>
          </w:p>
        </w:tc>
        <w:tc>
          <w:tcPr>
            <w:tcW w:w="1458" w:type="dxa"/>
            <w:shd w:val="clear" w:color="auto" w:fill="auto"/>
          </w:tcPr>
          <w:p w:rsidR="00F075FB" w:rsidRPr="00C903F8" w:rsidRDefault="00F075FB" w:rsidP="00F91AFF">
            <w:pPr>
              <w:spacing w:before="60" w:after="60" w:line="240" w:lineRule="atLeast"/>
              <w:ind w:left="0" w:firstLine="0"/>
              <w:rPr>
                <w:rFonts w:cs="Arial"/>
                <w:sz w:val="18"/>
                <w:szCs w:val="18"/>
                <w:lang w:val="en-US"/>
              </w:rPr>
            </w:pPr>
            <w:r w:rsidRPr="004B4203">
              <w:rPr>
                <w:rFonts w:cs="Arial"/>
                <w:sz w:val="18"/>
                <w:szCs w:val="18"/>
              </w:rPr>
              <w:t>(3)</w:t>
            </w:r>
          </w:p>
        </w:tc>
        <w:tc>
          <w:tcPr>
            <w:tcW w:w="3296" w:type="dxa"/>
            <w:shd w:val="clear" w:color="auto" w:fill="auto"/>
          </w:tcPr>
          <w:p w:rsidR="00F075FB" w:rsidRPr="00C903F8" w:rsidRDefault="00F075FB" w:rsidP="00F91AFF">
            <w:pPr>
              <w:adjustRightInd w:val="0"/>
              <w:spacing w:before="60" w:after="60" w:line="240" w:lineRule="atLeast"/>
              <w:ind w:left="0" w:firstLine="0"/>
              <w:jc w:val="left"/>
              <w:rPr>
                <w:rFonts w:cs="Arial"/>
                <w:sz w:val="18"/>
                <w:szCs w:val="18"/>
                <w:lang w:val="en-US"/>
              </w:rPr>
            </w:pPr>
            <w:r w:rsidRPr="001717EA">
              <w:rPr>
                <w:rFonts w:cs="Arial"/>
                <w:sz w:val="18"/>
                <w:szCs w:val="18"/>
                <w:lang w:val="en-GB"/>
              </w:rPr>
              <w:t>Separate primary and secondary windings of transformers</w:t>
            </w:r>
          </w:p>
        </w:tc>
        <w:tc>
          <w:tcPr>
            <w:tcW w:w="6521" w:type="dxa"/>
            <w:shd w:val="clear" w:color="auto" w:fill="auto"/>
          </w:tcPr>
          <w:p w:rsidR="00F075FB" w:rsidRDefault="00F075FB" w:rsidP="00F91AFF">
            <w:pPr>
              <w:spacing w:before="60" w:after="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C903F8" w:rsidRDefault="00F075FB" w:rsidP="00F91AFF">
            <w:pPr>
              <w:spacing w:before="60" w:after="60" w:line="240" w:lineRule="atLeast"/>
              <w:ind w:left="0" w:firstLine="0"/>
              <w:jc w:val="center"/>
              <w:rPr>
                <w:rFonts w:cs="Arial"/>
                <w:sz w:val="18"/>
                <w:szCs w:val="18"/>
              </w:rPr>
            </w:pPr>
          </w:p>
        </w:tc>
      </w:tr>
      <w:tr w:rsidR="00F075FB" w:rsidRPr="00C903F8" w:rsidTr="00C07595">
        <w:trPr>
          <w:cantSplit/>
          <w:jc w:val="center"/>
        </w:trPr>
        <w:tc>
          <w:tcPr>
            <w:tcW w:w="1342" w:type="dxa"/>
            <w:vMerge/>
            <w:shd w:val="clear" w:color="auto" w:fill="auto"/>
          </w:tcPr>
          <w:p w:rsidR="00F075FB" w:rsidRPr="00C903F8" w:rsidRDefault="00F075FB" w:rsidP="00C01A94">
            <w:pPr>
              <w:spacing w:before="160" w:after="160" w:line="240" w:lineRule="atLeast"/>
              <w:ind w:left="0" w:firstLine="0"/>
              <w:rPr>
                <w:rFonts w:cs="Arial"/>
                <w:sz w:val="18"/>
                <w:szCs w:val="18"/>
                <w:lang w:val="en-US"/>
              </w:rPr>
            </w:pPr>
          </w:p>
        </w:tc>
        <w:tc>
          <w:tcPr>
            <w:tcW w:w="1458"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sidRPr="004B4203">
              <w:rPr>
                <w:rFonts w:cs="Arial"/>
                <w:sz w:val="18"/>
                <w:szCs w:val="18"/>
              </w:rPr>
              <w:t>(4)</w:t>
            </w:r>
          </w:p>
        </w:tc>
        <w:tc>
          <w:tcPr>
            <w:tcW w:w="3296" w:type="dxa"/>
            <w:shd w:val="clear" w:color="auto" w:fill="auto"/>
          </w:tcPr>
          <w:p w:rsidR="00F075FB" w:rsidRPr="00C903F8" w:rsidRDefault="00F075FB" w:rsidP="00C01A94">
            <w:pPr>
              <w:adjustRightInd w:val="0"/>
              <w:spacing w:before="160" w:after="160" w:line="240" w:lineRule="atLeast"/>
              <w:ind w:left="0" w:firstLine="0"/>
              <w:jc w:val="left"/>
              <w:rPr>
                <w:rFonts w:cs="Arial"/>
                <w:sz w:val="18"/>
                <w:szCs w:val="18"/>
                <w:lang w:val="en-US"/>
              </w:rPr>
            </w:pPr>
            <w:r w:rsidRPr="001717EA">
              <w:rPr>
                <w:rFonts w:cs="Arial"/>
                <w:sz w:val="18"/>
                <w:szCs w:val="18"/>
                <w:lang w:val="en-GB"/>
              </w:rPr>
              <w:t>Tappings on the secondary windings of transformers</w:t>
            </w:r>
          </w:p>
        </w:tc>
        <w:tc>
          <w:tcPr>
            <w:tcW w:w="6521" w:type="dxa"/>
            <w:shd w:val="clear" w:color="auto" w:fill="auto"/>
          </w:tcPr>
          <w:p w:rsidR="00F075FB" w:rsidRDefault="00F075FB" w:rsidP="00C01A94">
            <w:pPr>
              <w:spacing w:before="160" w:after="1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C903F8" w:rsidRDefault="00F075FB" w:rsidP="00C01A94">
            <w:pPr>
              <w:spacing w:before="160" w:after="160" w:line="240" w:lineRule="atLeast"/>
              <w:ind w:left="0" w:firstLine="0"/>
              <w:jc w:val="center"/>
              <w:rPr>
                <w:rFonts w:cs="Arial"/>
                <w:sz w:val="18"/>
                <w:szCs w:val="18"/>
              </w:rPr>
            </w:pPr>
          </w:p>
        </w:tc>
      </w:tr>
      <w:tr w:rsidR="00F075FB" w:rsidRPr="00C903F8" w:rsidTr="00016542">
        <w:trPr>
          <w:cantSplit/>
          <w:jc w:val="center"/>
        </w:trPr>
        <w:tc>
          <w:tcPr>
            <w:tcW w:w="1342" w:type="dxa"/>
            <w:vMerge/>
            <w:tcBorders>
              <w:bottom w:val="single" w:sz="4" w:space="0" w:color="auto"/>
            </w:tcBorders>
            <w:shd w:val="clear" w:color="auto" w:fill="auto"/>
          </w:tcPr>
          <w:p w:rsidR="00F075FB" w:rsidRPr="00C903F8" w:rsidRDefault="00F075FB" w:rsidP="00C01A94">
            <w:pPr>
              <w:spacing w:before="160" w:after="160" w:line="240" w:lineRule="atLeast"/>
              <w:ind w:left="0" w:firstLine="0"/>
              <w:rPr>
                <w:rFonts w:cs="Arial"/>
                <w:sz w:val="18"/>
                <w:szCs w:val="18"/>
                <w:lang w:val="en-US"/>
              </w:rPr>
            </w:pPr>
          </w:p>
        </w:tc>
        <w:tc>
          <w:tcPr>
            <w:tcW w:w="1458"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sidRPr="004B4203">
              <w:rPr>
                <w:rFonts w:cs="Arial"/>
                <w:sz w:val="18"/>
                <w:szCs w:val="18"/>
              </w:rPr>
              <w:t>(5)</w:t>
            </w:r>
          </w:p>
        </w:tc>
        <w:tc>
          <w:tcPr>
            <w:tcW w:w="3296" w:type="dxa"/>
            <w:shd w:val="clear" w:color="auto" w:fill="auto"/>
          </w:tcPr>
          <w:p w:rsidR="00F075FB" w:rsidRPr="00C903F8" w:rsidRDefault="00F075FB" w:rsidP="00C01A94">
            <w:pPr>
              <w:adjustRightInd w:val="0"/>
              <w:spacing w:before="160" w:after="160" w:line="240" w:lineRule="atLeast"/>
              <w:ind w:left="0" w:firstLine="0"/>
              <w:jc w:val="left"/>
              <w:rPr>
                <w:rFonts w:cs="Arial"/>
                <w:sz w:val="18"/>
                <w:szCs w:val="18"/>
                <w:lang w:val="en-US"/>
              </w:rPr>
            </w:pPr>
            <w:r>
              <w:rPr>
                <w:rFonts w:cs="Arial"/>
                <w:sz w:val="18"/>
                <w:szCs w:val="18"/>
                <w:lang w:val="en-GB"/>
              </w:rPr>
              <w:t>P</w:t>
            </w:r>
            <w:r w:rsidRPr="001717EA">
              <w:rPr>
                <w:rFonts w:cs="Arial"/>
                <w:sz w:val="18"/>
                <w:szCs w:val="18"/>
                <w:lang w:val="en-GB"/>
              </w:rPr>
              <w:t>late</w:t>
            </w:r>
            <w:r>
              <w:rPr>
                <w:rFonts w:cs="Arial"/>
                <w:sz w:val="18"/>
                <w:szCs w:val="18"/>
                <w:lang w:val="en-GB"/>
              </w:rPr>
              <w:t xml:space="preserve"> with manufacturer and power</w:t>
            </w:r>
            <w:r w:rsidRPr="001717EA">
              <w:rPr>
                <w:rFonts w:cs="Arial"/>
                <w:sz w:val="18"/>
                <w:szCs w:val="18"/>
                <w:lang w:val="en-GB"/>
              </w:rPr>
              <w:t xml:space="preserve"> of engines, generators, transformers</w:t>
            </w:r>
          </w:p>
        </w:tc>
        <w:tc>
          <w:tcPr>
            <w:tcW w:w="6521" w:type="dxa"/>
            <w:shd w:val="clear" w:color="auto" w:fill="auto"/>
          </w:tcPr>
          <w:p w:rsidR="00F075FB" w:rsidRDefault="00F075FB" w:rsidP="00C01A94">
            <w:pPr>
              <w:spacing w:before="160" w:after="1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C903F8" w:rsidRDefault="00F075FB" w:rsidP="00C01A94">
            <w:pPr>
              <w:spacing w:before="160" w:after="160" w:line="240" w:lineRule="atLeast"/>
              <w:ind w:left="0" w:firstLine="0"/>
              <w:jc w:val="center"/>
              <w:rPr>
                <w:rFonts w:cs="Arial"/>
                <w:sz w:val="18"/>
                <w:szCs w:val="18"/>
              </w:rPr>
            </w:pPr>
          </w:p>
        </w:tc>
      </w:tr>
      <w:tr w:rsidR="00F075FB" w:rsidRPr="00C903F8" w:rsidTr="00016542">
        <w:trPr>
          <w:cantSplit/>
          <w:jc w:val="center"/>
        </w:trPr>
        <w:tc>
          <w:tcPr>
            <w:tcW w:w="1342" w:type="dxa"/>
            <w:vMerge w:val="restart"/>
            <w:tcBorders>
              <w:top w:val="single" w:sz="4" w:space="0" w:color="auto"/>
              <w:left w:val="single" w:sz="6" w:space="0" w:color="auto"/>
              <w:bottom w:val="single" w:sz="6" w:space="0" w:color="auto"/>
              <w:right w:val="single" w:sz="6" w:space="0" w:color="auto"/>
            </w:tcBorders>
            <w:shd w:val="clear" w:color="auto" w:fill="auto"/>
          </w:tcPr>
          <w:p w:rsidR="00F075FB" w:rsidRPr="004B4203" w:rsidRDefault="00F075FB" w:rsidP="00C01A94">
            <w:pPr>
              <w:spacing w:before="160" w:after="160" w:line="240" w:lineRule="atLeast"/>
              <w:rPr>
                <w:rFonts w:cs="Arial"/>
                <w:sz w:val="18"/>
                <w:szCs w:val="18"/>
                <w:lang w:val="en-GB" w:eastAsia="de-DE"/>
              </w:rPr>
            </w:pPr>
            <w:r w:rsidRPr="008F6ABB">
              <w:rPr>
                <w:rFonts w:cs="Arial"/>
                <w:sz w:val="18"/>
                <w:szCs w:val="18"/>
                <w:lang w:val="en-GB" w:eastAsia="de-DE"/>
              </w:rPr>
              <w:t xml:space="preserve">10.11 </w:t>
            </w:r>
          </w:p>
        </w:tc>
        <w:tc>
          <w:tcPr>
            <w:tcW w:w="1458" w:type="dxa"/>
            <w:tcBorders>
              <w:left w:val="single" w:sz="6" w:space="0" w:color="auto"/>
            </w:tcBorders>
            <w:shd w:val="clear" w:color="auto" w:fill="auto"/>
          </w:tcPr>
          <w:p w:rsidR="00F075FB" w:rsidRPr="00852DB3" w:rsidRDefault="00F075FB" w:rsidP="00C01A94">
            <w:pPr>
              <w:spacing w:before="160" w:after="160" w:line="240" w:lineRule="atLeast"/>
              <w:rPr>
                <w:rFonts w:cs="Arial"/>
                <w:sz w:val="18"/>
                <w:szCs w:val="18"/>
              </w:rPr>
            </w:pPr>
            <w:r w:rsidRPr="004B4203">
              <w:rPr>
                <w:rFonts w:cs="Arial"/>
                <w:sz w:val="18"/>
                <w:szCs w:val="18"/>
              </w:rPr>
              <w:t>(3)</w:t>
            </w:r>
          </w:p>
        </w:tc>
        <w:tc>
          <w:tcPr>
            <w:tcW w:w="3296" w:type="dxa"/>
            <w:shd w:val="clear" w:color="auto" w:fill="auto"/>
          </w:tcPr>
          <w:p w:rsidR="00F075FB" w:rsidRPr="001717EA" w:rsidRDefault="00F075FB" w:rsidP="00C01A94">
            <w:pPr>
              <w:adjustRightInd w:val="0"/>
              <w:spacing w:before="160" w:after="160" w:line="240" w:lineRule="atLeast"/>
              <w:ind w:left="0" w:firstLine="0"/>
              <w:jc w:val="left"/>
              <w:rPr>
                <w:rFonts w:cs="Arial"/>
                <w:sz w:val="18"/>
                <w:szCs w:val="18"/>
                <w:lang w:val="en-GB"/>
              </w:rPr>
            </w:pPr>
            <w:r w:rsidRPr="001717EA">
              <w:rPr>
                <w:rFonts w:cs="Arial"/>
                <w:sz w:val="18"/>
                <w:szCs w:val="18"/>
                <w:lang w:val="en-GB"/>
              </w:rPr>
              <w:t>Ventilation of service rooms and cupboard to the open deck</w:t>
            </w:r>
          </w:p>
        </w:tc>
        <w:tc>
          <w:tcPr>
            <w:tcW w:w="6521" w:type="dxa"/>
            <w:shd w:val="clear" w:color="auto" w:fill="auto"/>
          </w:tcPr>
          <w:p w:rsidR="00F075FB" w:rsidRPr="00852DB3" w:rsidRDefault="00F075FB" w:rsidP="00C01A94">
            <w:pPr>
              <w:spacing w:before="160" w:after="16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F075FB" w:rsidRPr="00852DB3" w:rsidRDefault="00F075FB" w:rsidP="00C01A94">
            <w:pPr>
              <w:spacing w:before="160" w:after="160" w:line="240" w:lineRule="atLeast"/>
              <w:jc w:val="center"/>
              <w:rPr>
                <w:rFonts w:cs="Arial"/>
                <w:sz w:val="18"/>
                <w:szCs w:val="18"/>
              </w:rPr>
            </w:pPr>
          </w:p>
        </w:tc>
      </w:tr>
      <w:tr w:rsidR="00F075FB" w:rsidRPr="00296858" w:rsidTr="000C0B7A">
        <w:trPr>
          <w:cantSplit/>
          <w:jc w:val="center"/>
        </w:trPr>
        <w:tc>
          <w:tcPr>
            <w:tcW w:w="1342" w:type="dxa"/>
            <w:vMerge/>
            <w:tcBorders>
              <w:left w:val="single" w:sz="6" w:space="0" w:color="auto"/>
              <w:bottom w:val="single" w:sz="6" w:space="0" w:color="auto"/>
              <w:right w:val="single" w:sz="6" w:space="0" w:color="auto"/>
            </w:tcBorders>
            <w:shd w:val="clear" w:color="auto" w:fill="auto"/>
          </w:tcPr>
          <w:p w:rsidR="00F075FB" w:rsidRPr="00C903F8" w:rsidRDefault="00F075FB" w:rsidP="00C01A94">
            <w:pPr>
              <w:spacing w:before="160" w:after="160" w:line="240" w:lineRule="atLeast"/>
              <w:ind w:left="0" w:firstLine="0"/>
              <w:rPr>
                <w:rFonts w:cs="Arial"/>
                <w:sz w:val="18"/>
                <w:szCs w:val="18"/>
                <w:lang w:val="en-US"/>
              </w:rPr>
            </w:pPr>
          </w:p>
        </w:tc>
        <w:tc>
          <w:tcPr>
            <w:tcW w:w="1458" w:type="dxa"/>
            <w:tcBorders>
              <w:left w:val="single" w:sz="6" w:space="0" w:color="auto"/>
            </w:tcBorders>
            <w:shd w:val="clear" w:color="auto" w:fill="auto"/>
          </w:tcPr>
          <w:p w:rsidR="00F075FB" w:rsidRPr="004B4203" w:rsidRDefault="00F075FB" w:rsidP="001610C7">
            <w:pPr>
              <w:spacing w:before="160" w:after="160" w:line="240" w:lineRule="atLeast"/>
              <w:ind w:left="0" w:firstLine="0"/>
              <w:rPr>
                <w:rFonts w:cs="Arial"/>
                <w:sz w:val="18"/>
                <w:szCs w:val="18"/>
              </w:rPr>
            </w:pPr>
            <w:r w:rsidRPr="004B4203">
              <w:rPr>
                <w:rFonts w:cs="Arial"/>
                <w:sz w:val="18"/>
                <w:szCs w:val="18"/>
              </w:rPr>
              <w:t>(</w:t>
            </w:r>
            <w:r>
              <w:rPr>
                <w:rFonts w:cs="Arial"/>
                <w:sz w:val="18"/>
                <w:szCs w:val="18"/>
              </w:rPr>
              <w:t>7</w:t>
            </w:r>
            <w:r w:rsidRPr="004B4203">
              <w:rPr>
                <w:rFonts w:cs="Arial"/>
                <w:sz w:val="18"/>
                <w:szCs w:val="18"/>
              </w:rPr>
              <w:t>)</w:t>
            </w:r>
          </w:p>
        </w:tc>
        <w:tc>
          <w:tcPr>
            <w:tcW w:w="3296" w:type="dxa"/>
            <w:shd w:val="clear" w:color="auto" w:fill="auto"/>
          </w:tcPr>
          <w:p w:rsidR="00F075FB" w:rsidRPr="001717EA" w:rsidRDefault="00F075FB" w:rsidP="00C01A94">
            <w:pPr>
              <w:adjustRightInd w:val="0"/>
              <w:spacing w:before="160" w:after="160" w:line="240" w:lineRule="atLeast"/>
              <w:ind w:left="0" w:firstLine="0"/>
              <w:jc w:val="left"/>
              <w:rPr>
                <w:rFonts w:cs="Arial"/>
                <w:sz w:val="18"/>
                <w:szCs w:val="18"/>
                <w:lang w:val="en-GB"/>
              </w:rPr>
            </w:pPr>
            <w:r w:rsidRPr="001717EA">
              <w:rPr>
                <w:rFonts w:cs="Arial"/>
                <w:sz w:val="18"/>
                <w:szCs w:val="18"/>
                <w:lang w:val="en-GB"/>
              </w:rPr>
              <w:t>Ventilation of enclosed rooms, cupboard or chest, in which accumulators are installed</w:t>
            </w:r>
          </w:p>
        </w:tc>
        <w:tc>
          <w:tcPr>
            <w:tcW w:w="6521" w:type="dxa"/>
            <w:shd w:val="clear" w:color="auto" w:fill="auto"/>
          </w:tcPr>
          <w:p w:rsidR="00F075FB" w:rsidRPr="004B4203" w:rsidRDefault="00F075FB" w:rsidP="00C01A94">
            <w:pPr>
              <w:spacing w:before="160" w:after="160" w:line="240" w:lineRule="atLeast"/>
              <w:ind w:left="0" w:firstLine="0"/>
              <w:rPr>
                <w:rFonts w:cs="Arial"/>
                <w:sz w:val="18"/>
                <w:szCs w:val="18"/>
                <w:lang w:val="en-US"/>
              </w:rPr>
            </w:pPr>
            <w:r w:rsidRPr="004B4203">
              <w:rPr>
                <w:rFonts w:cs="Arial"/>
                <w:sz w:val="18"/>
                <w:szCs w:val="18"/>
                <w:lang w:val="en-US"/>
              </w:rPr>
              <w:t>N.R.C., at the latest on renewal of the inland navigation vessel certificate.</w:t>
            </w:r>
          </w:p>
        </w:tc>
        <w:tc>
          <w:tcPr>
            <w:tcW w:w="1276" w:type="dxa"/>
            <w:shd w:val="clear" w:color="auto" w:fill="auto"/>
          </w:tcPr>
          <w:p w:rsidR="00F075FB" w:rsidRPr="000C0B7A" w:rsidRDefault="00F075FB" w:rsidP="00C01A94">
            <w:pPr>
              <w:spacing w:before="160" w:after="160" w:line="240" w:lineRule="atLeast"/>
              <w:ind w:left="0" w:firstLine="0"/>
              <w:jc w:val="center"/>
              <w:rPr>
                <w:rFonts w:cs="Arial"/>
                <w:sz w:val="18"/>
                <w:szCs w:val="18"/>
                <w:lang w:val="en-GB"/>
              </w:rPr>
            </w:pPr>
          </w:p>
        </w:tc>
      </w:tr>
      <w:tr w:rsidR="00F075FB" w:rsidRPr="00C903F8" w:rsidTr="000C0B7A">
        <w:trPr>
          <w:cantSplit/>
          <w:jc w:val="center"/>
        </w:trPr>
        <w:tc>
          <w:tcPr>
            <w:tcW w:w="1342" w:type="dxa"/>
            <w:vMerge/>
            <w:tcBorders>
              <w:left w:val="single" w:sz="6" w:space="0" w:color="auto"/>
              <w:bottom w:val="single" w:sz="6" w:space="0" w:color="auto"/>
              <w:right w:val="single" w:sz="6" w:space="0" w:color="auto"/>
            </w:tcBorders>
            <w:shd w:val="clear" w:color="auto" w:fill="auto"/>
          </w:tcPr>
          <w:p w:rsidR="00F075FB" w:rsidRPr="00C903F8" w:rsidRDefault="00F075FB" w:rsidP="00C01A94">
            <w:pPr>
              <w:spacing w:before="160" w:after="160" w:line="240" w:lineRule="atLeast"/>
              <w:ind w:left="0" w:firstLine="0"/>
              <w:rPr>
                <w:rFonts w:cs="Arial"/>
                <w:sz w:val="18"/>
                <w:szCs w:val="18"/>
                <w:lang w:val="en-US"/>
              </w:rPr>
            </w:pPr>
          </w:p>
        </w:tc>
        <w:tc>
          <w:tcPr>
            <w:tcW w:w="1458" w:type="dxa"/>
            <w:tcBorders>
              <w:left w:val="single" w:sz="6" w:space="0" w:color="auto"/>
            </w:tcBorders>
            <w:shd w:val="clear" w:color="auto" w:fill="auto"/>
          </w:tcPr>
          <w:p w:rsidR="00F075FB" w:rsidRPr="004B4203" w:rsidRDefault="00F075FB" w:rsidP="00C01A94">
            <w:pPr>
              <w:spacing w:before="160" w:after="160" w:line="240" w:lineRule="atLeast"/>
              <w:ind w:left="0" w:firstLine="0"/>
              <w:rPr>
                <w:rFonts w:cs="Arial"/>
                <w:sz w:val="18"/>
                <w:szCs w:val="18"/>
              </w:rPr>
            </w:pPr>
            <w:r w:rsidRPr="004B4203">
              <w:rPr>
                <w:rFonts w:cs="Arial"/>
                <w:sz w:val="18"/>
                <w:szCs w:val="18"/>
              </w:rPr>
              <w:t>(</w:t>
            </w:r>
            <w:r>
              <w:rPr>
                <w:rFonts w:cs="Arial"/>
                <w:sz w:val="18"/>
                <w:szCs w:val="18"/>
              </w:rPr>
              <w:t>12)</w:t>
            </w:r>
          </w:p>
        </w:tc>
        <w:tc>
          <w:tcPr>
            <w:tcW w:w="3296" w:type="dxa"/>
            <w:shd w:val="clear" w:color="auto" w:fill="auto"/>
          </w:tcPr>
          <w:p w:rsidR="00F075FB" w:rsidRPr="001717EA" w:rsidRDefault="00F075FB" w:rsidP="00C01A94">
            <w:pPr>
              <w:adjustRightInd w:val="0"/>
              <w:spacing w:before="160" w:after="160" w:line="240" w:lineRule="atLeast"/>
              <w:ind w:left="0" w:firstLine="0"/>
              <w:jc w:val="left"/>
              <w:rPr>
                <w:rFonts w:cs="Arial"/>
                <w:sz w:val="18"/>
                <w:szCs w:val="18"/>
                <w:lang w:val="en-GB"/>
              </w:rPr>
            </w:pPr>
            <w:r w:rsidRPr="004B4203">
              <w:rPr>
                <w:rFonts w:cs="Arial"/>
                <w:sz w:val="18"/>
                <w:szCs w:val="18"/>
              </w:rPr>
              <w:t>Measurement of charging devices</w:t>
            </w:r>
          </w:p>
        </w:tc>
        <w:tc>
          <w:tcPr>
            <w:tcW w:w="6521" w:type="dxa"/>
            <w:shd w:val="clear" w:color="auto" w:fill="auto"/>
          </w:tcPr>
          <w:p w:rsidR="00F075FB" w:rsidRPr="004B4203" w:rsidRDefault="00F075FB" w:rsidP="00C01A94">
            <w:pPr>
              <w:spacing w:before="160" w:after="1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4B4203" w:rsidRDefault="00F075FB" w:rsidP="00C01A94">
            <w:pPr>
              <w:spacing w:before="160" w:after="160" w:line="240" w:lineRule="atLeast"/>
              <w:ind w:left="0" w:firstLine="0"/>
              <w:jc w:val="center"/>
              <w:rPr>
                <w:rFonts w:cs="Arial"/>
                <w:sz w:val="18"/>
                <w:szCs w:val="18"/>
              </w:rPr>
            </w:pPr>
          </w:p>
        </w:tc>
      </w:tr>
      <w:tr w:rsidR="00F075FB" w:rsidRPr="00C903F8" w:rsidTr="000C0B7A">
        <w:trPr>
          <w:cantSplit/>
          <w:jc w:val="center"/>
        </w:trPr>
        <w:tc>
          <w:tcPr>
            <w:tcW w:w="1342" w:type="dxa"/>
            <w:vMerge/>
            <w:tcBorders>
              <w:left w:val="single" w:sz="6" w:space="0" w:color="auto"/>
              <w:bottom w:val="single" w:sz="6" w:space="0" w:color="auto"/>
              <w:right w:val="single" w:sz="6" w:space="0" w:color="auto"/>
            </w:tcBorders>
            <w:shd w:val="clear" w:color="auto" w:fill="auto"/>
          </w:tcPr>
          <w:p w:rsidR="00F075FB" w:rsidRPr="00C903F8" w:rsidRDefault="00F075FB" w:rsidP="00C01A94">
            <w:pPr>
              <w:spacing w:before="160" w:after="160" w:line="240" w:lineRule="atLeast"/>
              <w:ind w:left="0" w:firstLine="0"/>
              <w:rPr>
                <w:rFonts w:cs="Arial"/>
                <w:sz w:val="18"/>
                <w:szCs w:val="18"/>
                <w:lang w:val="en-US"/>
              </w:rPr>
            </w:pPr>
          </w:p>
        </w:tc>
        <w:tc>
          <w:tcPr>
            <w:tcW w:w="1458" w:type="dxa"/>
            <w:tcBorders>
              <w:left w:val="single" w:sz="6" w:space="0" w:color="auto"/>
            </w:tcBorders>
            <w:shd w:val="clear" w:color="auto" w:fill="auto"/>
          </w:tcPr>
          <w:p w:rsidR="00F075FB" w:rsidRPr="004B4203" w:rsidRDefault="00F075FB" w:rsidP="00C01A94">
            <w:pPr>
              <w:spacing w:before="160" w:after="160" w:line="240" w:lineRule="atLeast"/>
              <w:ind w:left="0" w:firstLine="0"/>
              <w:rPr>
                <w:rFonts w:cs="Arial"/>
                <w:sz w:val="18"/>
                <w:szCs w:val="18"/>
              </w:rPr>
            </w:pPr>
            <w:r w:rsidRPr="004B4203">
              <w:rPr>
                <w:rFonts w:cs="Arial"/>
                <w:sz w:val="18"/>
                <w:szCs w:val="18"/>
              </w:rPr>
              <w:t>(</w:t>
            </w:r>
            <w:r>
              <w:rPr>
                <w:rFonts w:cs="Arial"/>
                <w:sz w:val="18"/>
                <w:szCs w:val="18"/>
              </w:rPr>
              <w:t>13</w:t>
            </w:r>
            <w:r w:rsidRPr="004B4203">
              <w:rPr>
                <w:rFonts w:cs="Arial"/>
                <w:sz w:val="18"/>
                <w:szCs w:val="18"/>
              </w:rPr>
              <w:t>)</w:t>
            </w:r>
          </w:p>
        </w:tc>
        <w:tc>
          <w:tcPr>
            <w:tcW w:w="3296" w:type="dxa"/>
            <w:shd w:val="clear" w:color="auto" w:fill="auto"/>
          </w:tcPr>
          <w:p w:rsidR="00F075FB" w:rsidRPr="001717EA" w:rsidRDefault="00F075FB" w:rsidP="00C01A94">
            <w:pPr>
              <w:adjustRightInd w:val="0"/>
              <w:spacing w:before="160" w:after="160" w:line="240" w:lineRule="atLeast"/>
              <w:ind w:left="0" w:firstLine="0"/>
              <w:jc w:val="left"/>
              <w:rPr>
                <w:rFonts w:cs="Arial"/>
                <w:sz w:val="18"/>
                <w:szCs w:val="18"/>
                <w:lang w:val="en-GB"/>
              </w:rPr>
            </w:pPr>
            <w:r w:rsidRPr="004B4203">
              <w:rPr>
                <w:rFonts w:cs="Arial"/>
                <w:sz w:val="18"/>
                <w:szCs w:val="18"/>
              </w:rPr>
              <w:t>Automatic chargers</w:t>
            </w:r>
          </w:p>
        </w:tc>
        <w:tc>
          <w:tcPr>
            <w:tcW w:w="6521" w:type="dxa"/>
            <w:shd w:val="clear" w:color="auto" w:fill="auto"/>
          </w:tcPr>
          <w:p w:rsidR="00F075FB" w:rsidRPr="004B4203" w:rsidRDefault="00F075FB" w:rsidP="00C01A94">
            <w:pPr>
              <w:spacing w:before="160" w:after="1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4B4203" w:rsidRDefault="00F075FB" w:rsidP="00C01A94">
            <w:pPr>
              <w:spacing w:before="160" w:after="160" w:line="240" w:lineRule="atLeast"/>
              <w:ind w:left="0" w:firstLine="0"/>
              <w:jc w:val="center"/>
              <w:rPr>
                <w:rFonts w:cs="Arial"/>
                <w:sz w:val="18"/>
                <w:szCs w:val="18"/>
              </w:rPr>
            </w:pPr>
          </w:p>
        </w:tc>
      </w:tr>
      <w:tr w:rsidR="00F075FB" w:rsidRPr="00C903F8" w:rsidTr="000C0B7A">
        <w:trPr>
          <w:cantSplit/>
          <w:jc w:val="center"/>
        </w:trPr>
        <w:tc>
          <w:tcPr>
            <w:tcW w:w="1342" w:type="dxa"/>
            <w:vMerge/>
            <w:tcBorders>
              <w:left w:val="single" w:sz="6" w:space="0" w:color="auto"/>
              <w:bottom w:val="single" w:sz="6" w:space="0" w:color="auto"/>
              <w:right w:val="single" w:sz="6" w:space="0" w:color="auto"/>
            </w:tcBorders>
            <w:shd w:val="clear" w:color="auto" w:fill="auto"/>
          </w:tcPr>
          <w:p w:rsidR="00F075FB" w:rsidRPr="00C903F8" w:rsidRDefault="00F075FB" w:rsidP="00C01A94">
            <w:pPr>
              <w:spacing w:before="160" w:after="160" w:line="240" w:lineRule="atLeast"/>
              <w:ind w:left="0" w:firstLine="0"/>
              <w:rPr>
                <w:rFonts w:cs="Arial"/>
                <w:sz w:val="18"/>
                <w:szCs w:val="18"/>
                <w:lang w:val="en-US"/>
              </w:rPr>
            </w:pPr>
          </w:p>
        </w:tc>
        <w:tc>
          <w:tcPr>
            <w:tcW w:w="1458" w:type="dxa"/>
            <w:tcBorders>
              <w:left w:val="single" w:sz="6" w:space="0" w:color="auto"/>
            </w:tcBorders>
            <w:shd w:val="clear" w:color="auto" w:fill="auto"/>
          </w:tcPr>
          <w:p w:rsidR="00F075FB" w:rsidRPr="004B4203" w:rsidRDefault="00F075FB" w:rsidP="00C01A94">
            <w:pPr>
              <w:spacing w:before="160" w:after="160" w:line="240" w:lineRule="atLeast"/>
              <w:ind w:left="0" w:firstLine="0"/>
              <w:rPr>
                <w:rFonts w:cs="Arial"/>
                <w:sz w:val="18"/>
                <w:szCs w:val="18"/>
              </w:rPr>
            </w:pPr>
            <w:r w:rsidRPr="004B4203">
              <w:rPr>
                <w:rFonts w:cs="Arial"/>
                <w:sz w:val="18"/>
                <w:szCs w:val="18"/>
              </w:rPr>
              <w:t>(</w:t>
            </w:r>
            <w:r>
              <w:rPr>
                <w:rFonts w:cs="Arial"/>
                <w:sz w:val="18"/>
                <w:szCs w:val="18"/>
              </w:rPr>
              <w:t>14</w:t>
            </w:r>
            <w:r w:rsidRPr="004B4203">
              <w:rPr>
                <w:rFonts w:cs="Arial"/>
                <w:sz w:val="18"/>
                <w:szCs w:val="18"/>
              </w:rPr>
              <w:t>)</w:t>
            </w:r>
          </w:p>
        </w:tc>
        <w:tc>
          <w:tcPr>
            <w:tcW w:w="3296" w:type="dxa"/>
            <w:shd w:val="clear" w:color="auto" w:fill="auto"/>
          </w:tcPr>
          <w:p w:rsidR="00F075FB" w:rsidRPr="001717EA" w:rsidRDefault="00F075FB" w:rsidP="00C01A94">
            <w:pPr>
              <w:adjustRightInd w:val="0"/>
              <w:spacing w:before="160" w:after="160" w:line="240" w:lineRule="atLeast"/>
              <w:ind w:left="0" w:firstLine="0"/>
              <w:jc w:val="left"/>
              <w:rPr>
                <w:rFonts w:cs="Arial"/>
                <w:sz w:val="18"/>
                <w:szCs w:val="18"/>
                <w:lang w:val="en-GB"/>
              </w:rPr>
            </w:pPr>
            <w:r w:rsidRPr="004B4203">
              <w:rPr>
                <w:rFonts w:cs="Arial"/>
                <w:sz w:val="18"/>
                <w:szCs w:val="18"/>
              </w:rPr>
              <w:t>Maximum charging voltage</w:t>
            </w:r>
          </w:p>
        </w:tc>
        <w:tc>
          <w:tcPr>
            <w:tcW w:w="6521" w:type="dxa"/>
            <w:shd w:val="clear" w:color="auto" w:fill="auto"/>
          </w:tcPr>
          <w:p w:rsidR="00F075FB" w:rsidRPr="004B4203" w:rsidRDefault="00F075FB" w:rsidP="00C01A94">
            <w:pPr>
              <w:spacing w:before="160" w:after="1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4B4203" w:rsidRDefault="00F075FB" w:rsidP="00C01A94">
            <w:pPr>
              <w:spacing w:before="160" w:after="160" w:line="240" w:lineRule="atLeast"/>
              <w:ind w:left="0" w:firstLine="0"/>
              <w:jc w:val="center"/>
              <w:rPr>
                <w:rFonts w:cs="Arial"/>
                <w:sz w:val="18"/>
                <w:szCs w:val="18"/>
              </w:rPr>
            </w:pPr>
          </w:p>
        </w:tc>
      </w:tr>
      <w:tr w:rsidR="00F075FB" w:rsidRPr="00C903F8" w:rsidTr="000C0B7A">
        <w:trPr>
          <w:cantSplit/>
          <w:jc w:val="center"/>
        </w:trPr>
        <w:tc>
          <w:tcPr>
            <w:tcW w:w="1342" w:type="dxa"/>
            <w:vMerge/>
            <w:tcBorders>
              <w:left w:val="single" w:sz="6" w:space="0" w:color="auto"/>
              <w:bottom w:val="single" w:sz="6" w:space="0" w:color="auto"/>
              <w:right w:val="single" w:sz="6" w:space="0" w:color="auto"/>
            </w:tcBorders>
            <w:shd w:val="clear" w:color="auto" w:fill="auto"/>
          </w:tcPr>
          <w:p w:rsidR="00F075FB" w:rsidRPr="00C903F8" w:rsidRDefault="00F075FB" w:rsidP="00C01A94">
            <w:pPr>
              <w:spacing w:before="160" w:after="160" w:line="240" w:lineRule="atLeast"/>
              <w:ind w:left="0" w:firstLine="0"/>
              <w:rPr>
                <w:rFonts w:cs="Arial"/>
                <w:sz w:val="18"/>
                <w:szCs w:val="18"/>
                <w:lang w:val="en-US"/>
              </w:rPr>
            </w:pPr>
          </w:p>
        </w:tc>
        <w:tc>
          <w:tcPr>
            <w:tcW w:w="1458" w:type="dxa"/>
            <w:tcBorders>
              <w:left w:val="single" w:sz="6" w:space="0" w:color="auto"/>
            </w:tcBorders>
            <w:shd w:val="clear" w:color="auto" w:fill="auto"/>
          </w:tcPr>
          <w:p w:rsidR="00F075FB" w:rsidRPr="004B4203" w:rsidRDefault="00F075FB" w:rsidP="00C01A94">
            <w:pPr>
              <w:spacing w:before="160" w:after="160" w:line="240" w:lineRule="atLeast"/>
              <w:ind w:left="0" w:firstLine="0"/>
              <w:rPr>
                <w:rFonts w:cs="Arial"/>
                <w:sz w:val="18"/>
                <w:szCs w:val="18"/>
              </w:rPr>
            </w:pPr>
            <w:r w:rsidRPr="004B4203">
              <w:rPr>
                <w:rFonts w:cs="Arial"/>
                <w:sz w:val="18"/>
                <w:szCs w:val="18"/>
              </w:rPr>
              <w:t>(</w:t>
            </w:r>
            <w:r>
              <w:rPr>
                <w:rFonts w:cs="Arial"/>
                <w:sz w:val="18"/>
                <w:szCs w:val="18"/>
              </w:rPr>
              <w:t>15</w:t>
            </w:r>
            <w:r w:rsidRPr="004B4203">
              <w:rPr>
                <w:rFonts w:cs="Arial"/>
                <w:sz w:val="18"/>
                <w:szCs w:val="18"/>
              </w:rPr>
              <w:t>)</w:t>
            </w:r>
          </w:p>
        </w:tc>
        <w:tc>
          <w:tcPr>
            <w:tcW w:w="3296" w:type="dxa"/>
            <w:shd w:val="clear" w:color="auto" w:fill="auto"/>
          </w:tcPr>
          <w:p w:rsidR="00F075FB" w:rsidRPr="001717EA" w:rsidRDefault="00F075FB" w:rsidP="00C01A94">
            <w:pPr>
              <w:adjustRightInd w:val="0"/>
              <w:spacing w:before="160" w:after="160" w:line="240" w:lineRule="atLeast"/>
              <w:ind w:left="0" w:firstLine="0"/>
              <w:jc w:val="left"/>
              <w:rPr>
                <w:rFonts w:cs="Arial"/>
                <w:sz w:val="18"/>
                <w:szCs w:val="18"/>
                <w:lang w:val="en-GB"/>
              </w:rPr>
            </w:pPr>
            <w:r w:rsidRPr="004B4203">
              <w:rPr>
                <w:rFonts w:cs="Arial"/>
                <w:sz w:val="18"/>
                <w:szCs w:val="18"/>
              </w:rPr>
              <w:t>Standards EN 62619</w:t>
            </w:r>
            <w:r>
              <w:rPr>
                <w:rFonts w:cs="Arial"/>
                <w:sz w:val="18"/>
                <w:szCs w:val="18"/>
              </w:rPr>
              <w:t xml:space="preserve"> and</w:t>
            </w:r>
            <w:r w:rsidRPr="004B4203">
              <w:rPr>
                <w:rFonts w:cs="Arial"/>
                <w:sz w:val="18"/>
                <w:szCs w:val="18"/>
              </w:rPr>
              <w:t xml:space="preserve"> EN 62620 for lithium-ion accumulators</w:t>
            </w:r>
          </w:p>
        </w:tc>
        <w:tc>
          <w:tcPr>
            <w:tcW w:w="6521" w:type="dxa"/>
            <w:shd w:val="clear" w:color="auto" w:fill="auto"/>
          </w:tcPr>
          <w:p w:rsidR="00F075FB" w:rsidRPr="004B4203" w:rsidRDefault="00F075FB" w:rsidP="00C01A94">
            <w:pPr>
              <w:spacing w:before="160" w:after="1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4B4203" w:rsidRDefault="00F075FB" w:rsidP="00C01A94">
            <w:pPr>
              <w:spacing w:before="160" w:after="160" w:line="240" w:lineRule="atLeast"/>
              <w:ind w:left="0" w:firstLine="0"/>
              <w:jc w:val="center"/>
              <w:rPr>
                <w:rFonts w:cs="Arial"/>
                <w:sz w:val="18"/>
                <w:szCs w:val="18"/>
              </w:rPr>
            </w:pPr>
          </w:p>
        </w:tc>
      </w:tr>
      <w:tr w:rsidR="00F075FB" w:rsidRPr="00C903F8" w:rsidTr="000C0B7A">
        <w:trPr>
          <w:cantSplit/>
          <w:jc w:val="center"/>
        </w:trPr>
        <w:tc>
          <w:tcPr>
            <w:tcW w:w="1342" w:type="dxa"/>
            <w:vMerge/>
            <w:tcBorders>
              <w:left w:val="single" w:sz="6" w:space="0" w:color="auto"/>
              <w:bottom w:val="single" w:sz="6" w:space="0" w:color="auto"/>
              <w:right w:val="single" w:sz="6" w:space="0" w:color="auto"/>
            </w:tcBorders>
            <w:shd w:val="clear" w:color="auto" w:fill="auto"/>
            <w:vAlign w:val="center"/>
          </w:tcPr>
          <w:p w:rsidR="00F075FB" w:rsidRPr="00C903F8" w:rsidRDefault="00F075FB" w:rsidP="00C01A94">
            <w:pPr>
              <w:spacing w:before="160" w:after="160" w:line="240" w:lineRule="atLeast"/>
              <w:ind w:left="0" w:firstLine="0"/>
              <w:rPr>
                <w:rFonts w:cs="Arial"/>
                <w:sz w:val="18"/>
                <w:szCs w:val="18"/>
                <w:lang w:val="en-US"/>
              </w:rPr>
            </w:pPr>
          </w:p>
        </w:tc>
        <w:tc>
          <w:tcPr>
            <w:tcW w:w="1458" w:type="dxa"/>
            <w:tcBorders>
              <w:left w:val="single" w:sz="6" w:space="0" w:color="auto"/>
            </w:tcBorders>
            <w:shd w:val="clear" w:color="auto" w:fill="auto"/>
            <w:vAlign w:val="center"/>
          </w:tcPr>
          <w:p w:rsidR="00F075FB" w:rsidRPr="00C903F8" w:rsidRDefault="00F075FB" w:rsidP="00C01A94">
            <w:pPr>
              <w:spacing w:before="160" w:after="160" w:line="240" w:lineRule="atLeast"/>
              <w:ind w:left="0" w:firstLine="0"/>
              <w:rPr>
                <w:rFonts w:cs="Arial"/>
                <w:sz w:val="18"/>
                <w:szCs w:val="18"/>
                <w:lang w:val="en-US"/>
              </w:rPr>
            </w:pPr>
            <w:r w:rsidRPr="004B4203">
              <w:rPr>
                <w:rFonts w:cs="Arial"/>
                <w:sz w:val="18"/>
                <w:szCs w:val="18"/>
              </w:rPr>
              <w:t>(</w:t>
            </w:r>
            <w:r>
              <w:rPr>
                <w:rFonts w:cs="Arial"/>
                <w:sz w:val="18"/>
                <w:szCs w:val="18"/>
              </w:rPr>
              <w:t>16</w:t>
            </w:r>
            <w:r w:rsidRPr="004B4203">
              <w:rPr>
                <w:rFonts w:cs="Arial"/>
                <w:sz w:val="18"/>
                <w:szCs w:val="18"/>
              </w:rPr>
              <w:t>)</w:t>
            </w:r>
          </w:p>
        </w:tc>
        <w:tc>
          <w:tcPr>
            <w:tcW w:w="3296" w:type="dxa"/>
            <w:shd w:val="clear" w:color="auto" w:fill="auto"/>
          </w:tcPr>
          <w:p w:rsidR="00F075FB" w:rsidRPr="00C903F8" w:rsidRDefault="00F075FB" w:rsidP="00C01A94">
            <w:pPr>
              <w:adjustRightInd w:val="0"/>
              <w:spacing w:before="160" w:after="160" w:line="240" w:lineRule="atLeast"/>
              <w:ind w:left="0" w:firstLine="0"/>
              <w:jc w:val="left"/>
              <w:rPr>
                <w:rFonts w:cs="Arial"/>
                <w:sz w:val="18"/>
                <w:szCs w:val="18"/>
                <w:lang w:val="en-US"/>
              </w:rPr>
            </w:pPr>
            <w:r>
              <w:rPr>
                <w:rFonts w:cs="Arial"/>
                <w:sz w:val="18"/>
                <w:szCs w:val="18"/>
              </w:rPr>
              <w:t>Accumulator</w:t>
            </w:r>
            <w:r w:rsidRPr="004B4203">
              <w:rPr>
                <w:rFonts w:cs="Arial"/>
                <w:sz w:val="18"/>
                <w:szCs w:val="18"/>
              </w:rPr>
              <w:t xml:space="preserve"> management system</w:t>
            </w:r>
          </w:p>
        </w:tc>
        <w:tc>
          <w:tcPr>
            <w:tcW w:w="6521" w:type="dxa"/>
            <w:shd w:val="clear" w:color="auto" w:fill="auto"/>
          </w:tcPr>
          <w:p w:rsidR="00F075FB" w:rsidRDefault="00F075FB" w:rsidP="00C01A94">
            <w:pPr>
              <w:spacing w:before="160" w:after="1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C903F8" w:rsidRDefault="00F075FB" w:rsidP="00C01A94">
            <w:pPr>
              <w:spacing w:before="160" w:after="160" w:line="240" w:lineRule="atLeast"/>
              <w:ind w:left="0" w:firstLine="0"/>
              <w:jc w:val="center"/>
              <w:rPr>
                <w:rFonts w:cs="Arial"/>
                <w:sz w:val="18"/>
                <w:szCs w:val="18"/>
              </w:rPr>
            </w:pPr>
          </w:p>
        </w:tc>
      </w:tr>
      <w:tr w:rsidR="00F075FB" w:rsidRPr="00C903F8" w:rsidTr="00DB5653">
        <w:trPr>
          <w:cantSplit/>
          <w:jc w:val="center"/>
        </w:trPr>
        <w:tc>
          <w:tcPr>
            <w:tcW w:w="1342" w:type="dxa"/>
            <w:vMerge w:val="restart"/>
            <w:tcBorders>
              <w:top w:val="single" w:sz="6" w:space="0" w:color="auto"/>
            </w:tcBorders>
            <w:shd w:val="clear" w:color="auto" w:fill="auto"/>
          </w:tcPr>
          <w:p w:rsidR="00F075FB" w:rsidRPr="004B4203" w:rsidRDefault="00F075FB" w:rsidP="00F91AFF">
            <w:pPr>
              <w:spacing w:before="60" w:after="60" w:line="240" w:lineRule="atLeast"/>
              <w:rPr>
                <w:rFonts w:cs="Arial"/>
                <w:sz w:val="18"/>
                <w:szCs w:val="18"/>
                <w:lang w:val="en-GB" w:eastAsia="de-DE"/>
              </w:rPr>
            </w:pPr>
            <w:r w:rsidRPr="008F6ABB">
              <w:rPr>
                <w:rFonts w:cs="Arial"/>
                <w:sz w:val="18"/>
                <w:szCs w:val="18"/>
                <w:lang w:val="en-GB" w:eastAsia="de-DE"/>
              </w:rPr>
              <w:t xml:space="preserve">10.12 </w:t>
            </w:r>
          </w:p>
        </w:tc>
        <w:tc>
          <w:tcPr>
            <w:tcW w:w="1458" w:type="dxa"/>
            <w:shd w:val="clear" w:color="auto" w:fill="auto"/>
          </w:tcPr>
          <w:p w:rsidR="00F075FB" w:rsidRPr="00852DB3" w:rsidRDefault="00F075FB" w:rsidP="00F91AFF">
            <w:pPr>
              <w:spacing w:before="60" w:after="60" w:line="240" w:lineRule="atLeast"/>
              <w:rPr>
                <w:rFonts w:cs="Arial"/>
                <w:sz w:val="18"/>
                <w:szCs w:val="18"/>
              </w:rPr>
            </w:pPr>
            <w:r w:rsidRPr="004B4203">
              <w:rPr>
                <w:rFonts w:cs="Arial"/>
                <w:sz w:val="18"/>
                <w:szCs w:val="18"/>
              </w:rPr>
              <w:t>(2)(d)</w:t>
            </w:r>
          </w:p>
        </w:tc>
        <w:tc>
          <w:tcPr>
            <w:tcW w:w="3296" w:type="dxa"/>
            <w:shd w:val="clear" w:color="auto" w:fill="auto"/>
          </w:tcPr>
          <w:p w:rsidR="00F075FB" w:rsidRPr="003F5E4D" w:rsidRDefault="00F075FB" w:rsidP="00F91AFF">
            <w:pPr>
              <w:adjustRightInd w:val="0"/>
              <w:spacing w:before="60" w:after="60" w:line="240" w:lineRule="atLeast"/>
              <w:ind w:left="0" w:firstLine="0"/>
              <w:jc w:val="left"/>
              <w:rPr>
                <w:rFonts w:cs="Arial"/>
                <w:sz w:val="18"/>
                <w:szCs w:val="18"/>
                <w:lang w:val="en-GB"/>
              </w:rPr>
            </w:pPr>
            <w:r w:rsidRPr="003F5E4D">
              <w:rPr>
                <w:rFonts w:cs="Arial"/>
                <w:sz w:val="18"/>
                <w:szCs w:val="18"/>
                <w:lang w:val="en-GB"/>
              </w:rPr>
              <w:t>Direct power supply for consumer equipment for vessel propulsion system and manoeuvring</w:t>
            </w:r>
          </w:p>
        </w:tc>
        <w:tc>
          <w:tcPr>
            <w:tcW w:w="6521" w:type="dxa"/>
            <w:shd w:val="clear" w:color="auto" w:fill="auto"/>
          </w:tcPr>
          <w:p w:rsidR="00F075FB" w:rsidRPr="00852DB3" w:rsidRDefault="00F075FB" w:rsidP="00F91AFF">
            <w:pPr>
              <w:spacing w:before="60" w:after="6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F075FB" w:rsidRPr="00852DB3" w:rsidRDefault="00F075FB" w:rsidP="00F91AFF">
            <w:pPr>
              <w:spacing w:before="60" w:after="60" w:line="240" w:lineRule="atLeast"/>
              <w:jc w:val="center"/>
              <w:rPr>
                <w:rFonts w:cs="Arial"/>
                <w:sz w:val="18"/>
                <w:szCs w:val="18"/>
              </w:rPr>
            </w:pPr>
            <w:r w:rsidRPr="004B4203">
              <w:rPr>
                <w:rFonts w:cs="Arial"/>
                <w:sz w:val="18"/>
                <w:szCs w:val="18"/>
              </w:rPr>
              <w:t>1.1.2015</w:t>
            </w:r>
          </w:p>
        </w:tc>
      </w:tr>
      <w:tr w:rsidR="00F075FB" w:rsidRPr="00C903F8" w:rsidTr="00DB5653">
        <w:trPr>
          <w:cantSplit/>
          <w:jc w:val="center"/>
        </w:trPr>
        <w:tc>
          <w:tcPr>
            <w:tcW w:w="1342" w:type="dxa"/>
            <w:vMerge/>
            <w:shd w:val="clear" w:color="auto" w:fill="auto"/>
          </w:tcPr>
          <w:p w:rsidR="00F075FB" w:rsidRPr="004B4203" w:rsidRDefault="00F075FB" w:rsidP="00F91AFF">
            <w:pPr>
              <w:spacing w:before="60" w:after="60" w:line="240" w:lineRule="atLeast"/>
              <w:rPr>
                <w:rFonts w:cs="Arial"/>
                <w:sz w:val="18"/>
                <w:szCs w:val="18"/>
                <w:lang w:val="en-GB" w:eastAsia="de-DE"/>
              </w:rPr>
            </w:pPr>
          </w:p>
        </w:tc>
        <w:tc>
          <w:tcPr>
            <w:tcW w:w="1458" w:type="dxa"/>
            <w:shd w:val="clear" w:color="auto" w:fill="auto"/>
          </w:tcPr>
          <w:p w:rsidR="00F075FB" w:rsidRPr="00852DB3" w:rsidRDefault="00F075FB" w:rsidP="00F91AFF">
            <w:pPr>
              <w:spacing w:before="60" w:after="60" w:line="240" w:lineRule="atLeast"/>
              <w:rPr>
                <w:rFonts w:cs="Arial"/>
                <w:sz w:val="18"/>
                <w:szCs w:val="18"/>
              </w:rPr>
            </w:pPr>
            <w:r w:rsidRPr="004B4203">
              <w:rPr>
                <w:rFonts w:cs="Arial"/>
                <w:sz w:val="18"/>
                <w:szCs w:val="18"/>
              </w:rPr>
              <w:t>(3)(b)</w:t>
            </w:r>
          </w:p>
        </w:tc>
        <w:tc>
          <w:tcPr>
            <w:tcW w:w="3296" w:type="dxa"/>
            <w:shd w:val="clear" w:color="auto" w:fill="auto"/>
          </w:tcPr>
          <w:p w:rsidR="00F075FB" w:rsidRPr="00852DB3" w:rsidRDefault="00F075FB" w:rsidP="00F91AFF">
            <w:pPr>
              <w:adjustRightInd w:val="0"/>
              <w:spacing w:before="60" w:after="60" w:line="240" w:lineRule="atLeast"/>
              <w:ind w:left="0" w:firstLine="0"/>
              <w:jc w:val="left"/>
              <w:rPr>
                <w:rFonts w:cs="Arial"/>
                <w:sz w:val="18"/>
                <w:szCs w:val="18"/>
              </w:rPr>
            </w:pPr>
            <w:r>
              <w:rPr>
                <w:rFonts w:cs="Arial"/>
                <w:sz w:val="18"/>
                <w:szCs w:val="18"/>
              </w:rPr>
              <w:t>D</w:t>
            </w:r>
            <w:r w:rsidRPr="005F4D2D">
              <w:rPr>
                <w:rFonts w:cs="Arial"/>
                <w:sz w:val="18"/>
                <w:szCs w:val="18"/>
              </w:rPr>
              <w:t>evice for monitoring insulation</w:t>
            </w:r>
          </w:p>
        </w:tc>
        <w:tc>
          <w:tcPr>
            <w:tcW w:w="6521" w:type="dxa"/>
            <w:shd w:val="clear" w:color="auto" w:fill="auto"/>
          </w:tcPr>
          <w:p w:rsidR="00F075FB" w:rsidRPr="00852DB3" w:rsidRDefault="00F075FB" w:rsidP="00F91AFF">
            <w:pPr>
              <w:spacing w:before="60" w:after="6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F075FB" w:rsidRPr="00852DB3" w:rsidRDefault="00F075FB" w:rsidP="00F91AFF">
            <w:pPr>
              <w:spacing w:before="60" w:after="60" w:line="240" w:lineRule="atLeast"/>
              <w:jc w:val="center"/>
              <w:rPr>
                <w:rFonts w:cs="Arial"/>
                <w:sz w:val="18"/>
                <w:szCs w:val="18"/>
              </w:rPr>
            </w:pPr>
            <w:r w:rsidRPr="004B4203">
              <w:rPr>
                <w:rFonts w:cs="Arial"/>
                <w:sz w:val="18"/>
                <w:szCs w:val="18"/>
              </w:rPr>
              <w:t>1.1.2010</w:t>
            </w:r>
          </w:p>
        </w:tc>
      </w:tr>
      <w:tr w:rsidR="00F075FB" w:rsidRPr="00C903F8" w:rsidTr="00EB50AB">
        <w:trPr>
          <w:cantSplit/>
          <w:jc w:val="center"/>
        </w:trPr>
        <w:tc>
          <w:tcPr>
            <w:tcW w:w="1342" w:type="dxa"/>
            <w:tcBorders>
              <w:bottom w:val="single" w:sz="4" w:space="0" w:color="auto"/>
            </w:tcBorders>
            <w:shd w:val="clear" w:color="auto" w:fill="auto"/>
          </w:tcPr>
          <w:p w:rsidR="00F075FB" w:rsidRPr="004B4203" w:rsidRDefault="00F075FB" w:rsidP="00F91AFF">
            <w:pPr>
              <w:spacing w:before="60" w:after="60" w:line="240" w:lineRule="atLeast"/>
              <w:rPr>
                <w:rFonts w:cs="Arial"/>
                <w:sz w:val="18"/>
                <w:szCs w:val="18"/>
                <w:lang w:val="en-GB" w:eastAsia="de-DE"/>
              </w:rPr>
            </w:pPr>
            <w:r w:rsidRPr="008F6ABB">
              <w:rPr>
                <w:rFonts w:cs="Arial"/>
                <w:sz w:val="18"/>
                <w:szCs w:val="18"/>
                <w:lang w:val="en-GB" w:eastAsia="de-DE"/>
              </w:rPr>
              <w:t>10.13</w:t>
            </w:r>
          </w:p>
        </w:tc>
        <w:tc>
          <w:tcPr>
            <w:tcW w:w="1458" w:type="dxa"/>
            <w:shd w:val="clear" w:color="auto" w:fill="auto"/>
          </w:tcPr>
          <w:p w:rsidR="00F075FB" w:rsidRPr="00852DB3" w:rsidRDefault="00F075FB" w:rsidP="00F91AFF">
            <w:pPr>
              <w:spacing w:before="60" w:after="60" w:line="240" w:lineRule="atLeast"/>
              <w:rPr>
                <w:rFonts w:cs="Arial"/>
                <w:sz w:val="18"/>
                <w:szCs w:val="18"/>
              </w:rPr>
            </w:pPr>
          </w:p>
        </w:tc>
        <w:tc>
          <w:tcPr>
            <w:tcW w:w="3296" w:type="dxa"/>
            <w:shd w:val="clear" w:color="auto" w:fill="auto"/>
          </w:tcPr>
          <w:p w:rsidR="00F075FB" w:rsidRPr="00852DB3" w:rsidRDefault="00F075FB" w:rsidP="00F91AFF">
            <w:pPr>
              <w:adjustRightInd w:val="0"/>
              <w:spacing w:before="60" w:after="60" w:line="240" w:lineRule="atLeast"/>
              <w:ind w:left="0" w:firstLine="0"/>
              <w:jc w:val="left"/>
              <w:rPr>
                <w:rFonts w:cs="Arial"/>
                <w:sz w:val="18"/>
                <w:szCs w:val="18"/>
              </w:rPr>
            </w:pPr>
            <w:r>
              <w:rPr>
                <w:rFonts w:cs="Arial"/>
                <w:sz w:val="18"/>
                <w:szCs w:val="18"/>
              </w:rPr>
              <w:t>Emergency circuit-breaker devices</w:t>
            </w:r>
          </w:p>
        </w:tc>
        <w:tc>
          <w:tcPr>
            <w:tcW w:w="6521" w:type="dxa"/>
            <w:shd w:val="clear" w:color="auto" w:fill="auto"/>
          </w:tcPr>
          <w:p w:rsidR="00F075FB" w:rsidRPr="00852DB3" w:rsidRDefault="00F075FB" w:rsidP="00F91AFF">
            <w:pPr>
              <w:spacing w:before="60" w:after="6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F075FB" w:rsidRPr="00852DB3" w:rsidRDefault="00F075FB" w:rsidP="00F91AFF">
            <w:pPr>
              <w:spacing w:before="60" w:after="60" w:line="240" w:lineRule="atLeast"/>
              <w:jc w:val="center"/>
              <w:rPr>
                <w:rFonts w:cs="Arial"/>
                <w:sz w:val="18"/>
                <w:szCs w:val="18"/>
              </w:rPr>
            </w:pPr>
            <w:r w:rsidRPr="004B4203">
              <w:rPr>
                <w:rFonts w:cs="Arial"/>
                <w:sz w:val="18"/>
                <w:szCs w:val="18"/>
              </w:rPr>
              <w:t>1.1.2010</w:t>
            </w:r>
          </w:p>
        </w:tc>
      </w:tr>
      <w:tr w:rsidR="00F075FB" w:rsidRPr="00C903F8" w:rsidTr="00EB50AB">
        <w:trPr>
          <w:cantSplit/>
          <w:jc w:val="center"/>
        </w:trPr>
        <w:tc>
          <w:tcPr>
            <w:tcW w:w="1342" w:type="dxa"/>
            <w:tcBorders>
              <w:bottom w:val="nil"/>
            </w:tcBorders>
            <w:shd w:val="clear" w:color="auto" w:fill="auto"/>
          </w:tcPr>
          <w:p w:rsidR="00F075FB" w:rsidRPr="004B4203" w:rsidRDefault="00F075FB" w:rsidP="00F91AFF">
            <w:pPr>
              <w:spacing w:before="60" w:after="60" w:line="240" w:lineRule="atLeast"/>
              <w:rPr>
                <w:rFonts w:cs="Arial"/>
                <w:sz w:val="18"/>
                <w:szCs w:val="18"/>
                <w:lang w:val="en-GB" w:eastAsia="de-DE"/>
              </w:rPr>
            </w:pPr>
            <w:r w:rsidRPr="008F6ABB">
              <w:rPr>
                <w:rFonts w:cs="Arial"/>
                <w:sz w:val="18"/>
                <w:szCs w:val="18"/>
                <w:lang w:val="en-GB" w:eastAsia="de-DE"/>
              </w:rPr>
              <w:t xml:space="preserve">10.14 </w:t>
            </w:r>
          </w:p>
        </w:tc>
        <w:tc>
          <w:tcPr>
            <w:tcW w:w="1458" w:type="dxa"/>
            <w:shd w:val="clear" w:color="auto" w:fill="auto"/>
          </w:tcPr>
          <w:p w:rsidR="00F075FB" w:rsidRPr="000C0B7A" w:rsidRDefault="00F075FB" w:rsidP="00F91AFF">
            <w:pPr>
              <w:spacing w:before="60" w:after="60" w:line="240" w:lineRule="atLeast"/>
              <w:ind w:left="0" w:firstLine="0"/>
              <w:jc w:val="left"/>
              <w:rPr>
                <w:rFonts w:cs="Arial"/>
                <w:sz w:val="18"/>
                <w:szCs w:val="18"/>
                <w:lang w:val="en-GB"/>
              </w:rPr>
            </w:pPr>
            <w:r w:rsidRPr="000C0B7A">
              <w:rPr>
                <w:rFonts w:cs="Arial"/>
                <w:sz w:val="18"/>
                <w:szCs w:val="18"/>
                <w:lang w:val="en-GB"/>
              </w:rPr>
              <w:t>(3), second sentence</w:t>
            </w:r>
          </w:p>
        </w:tc>
        <w:tc>
          <w:tcPr>
            <w:tcW w:w="3296" w:type="dxa"/>
            <w:shd w:val="clear" w:color="auto" w:fill="auto"/>
          </w:tcPr>
          <w:p w:rsidR="00F075FB" w:rsidRPr="000C0B7A" w:rsidRDefault="00F075FB" w:rsidP="00F91AFF">
            <w:pPr>
              <w:adjustRightInd w:val="0"/>
              <w:spacing w:before="60" w:after="60" w:line="240" w:lineRule="atLeast"/>
              <w:ind w:left="0" w:firstLine="0"/>
              <w:jc w:val="left"/>
              <w:rPr>
                <w:rFonts w:cs="Arial"/>
                <w:sz w:val="18"/>
                <w:szCs w:val="18"/>
                <w:lang w:val="en-GB"/>
              </w:rPr>
            </w:pPr>
            <w:r w:rsidRPr="000C0B7A">
              <w:rPr>
                <w:rFonts w:cs="Arial"/>
                <w:sz w:val="18"/>
                <w:szCs w:val="18"/>
                <w:lang w:val="en-GB"/>
              </w:rPr>
              <w:t>Prohibition of sing</w:t>
            </w:r>
            <w:r>
              <w:rPr>
                <w:rFonts w:cs="Arial"/>
                <w:sz w:val="18"/>
                <w:szCs w:val="18"/>
                <w:lang w:val="en-GB"/>
              </w:rPr>
              <w:t xml:space="preserve">le pole switches in washrooms, </w:t>
            </w:r>
            <w:r w:rsidRPr="000C0B7A">
              <w:rPr>
                <w:rFonts w:cs="Arial"/>
                <w:sz w:val="18"/>
                <w:szCs w:val="18"/>
                <w:lang w:val="en-GB"/>
              </w:rPr>
              <w:t>bathrooms and other wet rooms</w:t>
            </w:r>
          </w:p>
        </w:tc>
        <w:tc>
          <w:tcPr>
            <w:tcW w:w="6521" w:type="dxa"/>
            <w:shd w:val="clear" w:color="auto" w:fill="auto"/>
          </w:tcPr>
          <w:p w:rsidR="00F075FB" w:rsidRPr="00852DB3" w:rsidRDefault="00F075FB" w:rsidP="00F91AFF">
            <w:pPr>
              <w:spacing w:before="60" w:after="6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F075FB" w:rsidRPr="00852DB3" w:rsidRDefault="00F075FB" w:rsidP="00F91AFF">
            <w:pPr>
              <w:spacing w:before="60" w:after="60" w:line="240" w:lineRule="atLeast"/>
              <w:jc w:val="center"/>
              <w:rPr>
                <w:rFonts w:cs="Arial"/>
                <w:sz w:val="18"/>
                <w:szCs w:val="18"/>
              </w:rPr>
            </w:pPr>
            <w:r w:rsidRPr="004B4203">
              <w:rPr>
                <w:rFonts w:cs="Arial"/>
                <w:sz w:val="18"/>
                <w:szCs w:val="18"/>
              </w:rPr>
              <w:t>1.1.2010</w:t>
            </w:r>
          </w:p>
        </w:tc>
      </w:tr>
      <w:tr w:rsidR="00F075FB" w:rsidRPr="00296858" w:rsidTr="00DB5653">
        <w:trPr>
          <w:cantSplit/>
          <w:jc w:val="center"/>
        </w:trPr>
        <w:tc>
          <w:tcPr>
            <w:tcW w:w="1342" w:type="dxa"/>
            <w:vMerge w:val="restart"/>
            <w:shd w:val="clear" w:color="auto" w:fill="auto"/>
          </w:tcPr>
          <w:p w:rsidR="00F075FB" w:rsidRPr="00C903F8" w:rsidRDefault="00F075FB" w:rsidP="000B4982">
            <w:pPr>
              <w:spacing w:before="80" w:after="80" w:line="240" w:lineRule="atLeast"/>
              <w:ind w:left="0" w:firstLine="0"/>
              <w:rPr>
                <w:rFonts w:cs="Arial"/>
                <w:sz w:val="18"/>
                <w:szCs w:val="18"/>
              </w:rPr>
            </w:pPr>
            <w:r w:rsidRPr="00C903F8">
              <w:rPr>
                <w:rFonts w:cs="Arial"/>
                <w:sz w:val="18"/>
                <w:szCs w:val="18"/>
              </w:rPr>
              <w:lastRenderedPageBreak/>
              <w:t>10.15</w:t>
            </w:r>
          </w:p>
        </w:tc>
        <w:tc>
          <w:tcPr>
            <w:tcW w:w="1458" w:type="dxa"/>
            <w:shd w:val="clear" w:color="auto" w:fill="auto"/>
          </w:tcPr>
          <w:p w:rsidR="00F075FB" w:rsidRPr="00852DB3" w:rsidRDefault="00F075FB" w:rsidP="000B4982">
            <w:pPr>
              <w:spacing w:before="80" w:after="80" w:line="240" w:lineRule="atLeast"/>
              <w:rPr>
                <w:rFonts w:cs="Arial"/>
                <w:sz w:val="18"/>
                <w:szCs w:val="18"/>
              </w:rPr>
            </w:pPr>
            <w:r w:rsidRPr="004B4203">
              <w:rPr>
                <w:rFonts w:cs="Arial"/>
                <w:sz w:val="18"/>
                <w:szCs w:val="18"/>
              </w:rPr>
              <w:t>(2)</w:t>
            </w:r>
          </w:p>
        </w:tc>
        <w:tc>
          <w:tcPr>
            <w:tcW w:w="3296" w:type="dxa"/>
            <w:shd w:val="clear" w:color="auto" w:fill="auto"/>
          </w:tcPr>
          <w:p w:rsidR="00F075FB" w:rsidRPr="003F5E4D" w:rsidRDefault="00F075FB" w:rsidP="000B4982">
            <w:pPr>
              <w:adjustRightInd w:val="0"/>
              <w:spacing w:before="80" w:after="80" w:line="240" w:lineRule="atLeast"/>
              <w:ind w:left="0" w:firstLine="0"/>
              <w:jc w:val="left"/>
              <w:rPr>
                <w:rFonts w:cs="Arial"/>
                <w:sz w:val="18"/>
                <w:szCs w:val="18"/>
                <w:lang w:val="en-GB"/>
              </w:rPr>
            </w:pPr>
            <w:r w:rsidRPr="003F5E4D">
              <w:rPr>
                <w:rFonts w:cs="Arial"/>
                <w:sz w:val="18"/>
                <w:szCs w:val="18"/>
                <w:lang w:val="en-GB"/>
              </w:rPr>
              <w:t>Minimum cross-section per conductor of 1.5 mm</w:t>
            </w:r>
            <w:r w:rsidRPr="00D86408">
              <w:rPr>
                <w:rFonts w:cs="Arial"/>
                <w:sz w:val="18"/>
                <w:szCs w:val="18"/>
                <w:vertAlign w:val="superscript"/>
                <w:lang w:val="en-GB"/>
              </w:rPr>
              <w:t>2</w:t>
            </w:r>
          </w:p>
        </w:tc>
        <w:tc>
          <w:tcPr>
            <w:tcW w:w="6521" w:type="dxa"/>
            <w:shd w:val="clear" w:color="auto" w:fill="auto"/>
          </w:tcPr>
          <w:p w:rsidR="00F075FB" w:rsidRPr="00852DB3" w:rsidRDefault="00F075FB" w:rsidP="000B4982">
            <w:pPr>
              <w:spacing w:before="80" w:after="80" w:line="240" w:lineRule="atLeast"/>
              <w:rPr>
                <w:rFonts w:cs="Arial"/>
                <w:sz w:val="18"/>
                <w:szCs w:val="18"/>
                <w:lang w:val="en-US"/>
              </w:rPr>
            </w:pPr>
            <w:r w:rsidRPr="004B4203">
              <w:rPr>
                <w:rFonts w:cs="Arial"/>
                <w:sz w:val="18"/>
                <w:szCs w:val="18"/>
                <w:lang w:val="en-US"/>
              </w:rPr>
              <w:t>N.R.C., at the latest on renewal of the inlan</w:t>
            </w:r>
            <w:r>
              <w:rPr>
                <w:rFonts w:cs="Arial"/>
                <w:sz w:val="18"/>
                <w:szCs w:val="18"/>
                <w:lang w:val="en-US"/>
              </w:rPr>
              <w:t>d navigation vessel certificate.</w:t>
            </w:r>
          </w:p>
        </w:tc>
        <w:tc>
          <w:tcPr>
            <w:tcW w:w="1276" w:type="dxa"/>
            <w:shd w:val="clear" w:color="auto" w:fill="auto"/>
          </w:tcPr>
          <w:p w:rsidR="00F075FB" w:rsidRPr="00AD76BF" w:rsidRDefault="00F075FB" w:rsidP="000B4982">
            <w:pPr>
              <w:spacing w:before="80" w:after="80" w:line="240" w:lineRule="atLeast"/>
              <w:jc w:val="center"/>
              <w:rPr>
                <w:rFonts w:cs="Arial"/>
                <w:sz w:val="18"/>
                <w:szCs w:val="18"/>
                <w:lang w:val="en-US"/>
              </w:rPr>
            </w:pPr>
          </w:p>
        </w:tc>
      </w:tr>
      <w:tr w:rsidR="00F075FB" w:rsidRPr="00296858" w:rsidTr="00DB5653">
        <w:trPr>
          <w:cantSplit/>
          <w:jc w:val="center"/>
        </w:trPr>
        <w:tc>
          <w:tcPr>
            <w:tcW w:w="1342" w:type="dxa"/>
            <w:vMerge/>
            <w:shd w:val="clear" w:color="auto" w:fill="auto"/>
          </w:tcPr>
          <w:p w:rsidR="00F075FB" w:rsidRPr="00AD76BF" w:rsidRDefault="00F075FB" w:rsidP="000B4982">
            <w:pPr>
              <w:spacing w:before="80" w:after="80" w:line="240" w:lineRule="atLeast"/>
              <w:ind w:left="0" w:firstLine="0"/>
              <w:rPr>
                <w:rFonts w:cs="Arial"/>
                <w:sz w:val="18"/>
                <w:szCs w:val="18"/>
                <w:lang w:val="en-US"/>
              </w:rPr>
            </w:pPr>
          </w:p>
        </w:tc>
        <w:tc>
          <w:tcPr>
            <w:tcW w:w="1458" w:type="dxa"/>
            <w:shd w:val="clear" w:color="auto" w:fill="auto"/>
          </w:tcPr>
          <w:p w:rsidR="00F075FB" w:rsidRPr="00852DB3" w:rsidRDefault="00F075FB" w:rsidP="000B4982">
            <w:pPr>
              <w:spacing w:before="80" w:after="80" w:line="240" w:lineRule="atLeast"/>
              <w:rPr>
                <w:rFonts w:cs="Arial"/>
                <w:sz w:val="18"/>
                <w:szCs w:val="18"/>
              </w:rPr>
            </w:pPr>
            <w:r w:rsidRPr="004B4203">
              <w:rPr>
                <w:rFonts w:cs="Arial"/>
                <w:sz w:val="18"/>
                <w:szCs w:val="18"/>
              </w:rPr>
              <w:t>(10)</w:t>
            </w:r>
          </w:p>
        </w:tc>
        <w:tc>
          <w:tcPr>
            <w:tcW w:w="3296" w:type="dxa"/>
            <w:shd w:val="clear" w:color="auto" w:fill="auto"/>
          </w:tcPr>
          <w:p w:rsidR="00F075FB" w:rsidRPr="003F5E4D" w:rsidRDefault="00F075FB" w:rsidP="000B4982">
            <w:pPr>
              <w:adjustRightInd w:val="0"/>
              <w:spacing w:before="80" w:after="80" w:line="240" w:lineRule="atLeast"/>
              <w:ind w:left="0" w:firstLine="0"/>
              <w:jc w:val="left"/>
              <w:rPr>
                <w:rFonts w:cs="Arial"/>
                <w:sz w:val="18"/>
                <w:szCs w:val="18"/>
                <w:lang w:val="en-GB"/>
              </w:rPr>
            </w:pPr>
            <w:r w:rsidRPr="003F5E4D">
              <w:rPr>
                <w:rFonts w:cs="Arial"/>
                <w:sz w:val="18"/>
                <w:szCs w:val="18"/>
                <w:lang w:val="en-GB"/>
              </w:rPr>
              <w:t>Cables connected to elevating wheelhouses</w:t>
            </w:r>
          </w:p>
        </w:tc>
        <w:tc>
          <w:tcPr>
            <w:tcW w:w="6521" w:type="dxa"/>
            <w:shd w:val="clear" w:color="auto" w:fill="auto"/>
          </w:tcPr>
          <w:p w:rsidR="00F075FB" w:rsidRPr="00852DB3" w:rsidRDefault="00F075FB" w:rsidP="000B4982">
            <w:pPr>
              <w:spacing w:before="80" w:after="80" w:line="240" w:lineRule="atLeast"/>
              <w:rPr>
                <w:rFonts w:cs="Arial"/>
                <w:sz w:val="18"/>
                <w:szCs w:val="18"/>
                <w:lang w:val="en-US"/>
              </w:rPr>
            </w:pPr>
            <w:r w:rsidRPr="004B4203">
              <w:rPr>
                <w:rFonts w:cs="Arial"/>
                <w:sz w:val="18"/>
                <w:szCs w:val="18"/>
                <w:lang w:val="en-US"/>
              </w:rPr>
              <w:t>N.R.C., at the latest on renewal of the inlan</w:t>
            </w:r>
            <w:r>
              <w:rPr>
                <w:rFonts w:cs="Arial"/>
                <w:sz w:val="18"/>
                <w:szCs w:val="18"/>
                <w:lang w:val="en-US"/>
              </w:rPr>
              <w:t>d navigation vessel certificate.</w:t>
            </w:r>
            <w:r w:rsidRPr="004B4203">
              <w:rPr>
                <w:rFonts w:cs="Arial"/>
                <w:sz w:val="18"/>
                <w:szCs w:val="18"/>
                <w:lang w:val="en-US"/>
              </w:rPr>
              <w:t xml:space="preserve"> </w:t>
            </w:r>
          </w:p>
        </w:tc>
        <w:tc>
          <w:tcPr>
            <w:tcW w:w="1276" w:type="dxa"/>
            <w:shd w:val="clear" w:color="auto" w:fill="auto"/>
          </w:tcPr>
          <w:p w:rsidR="00F075FB" w:rsidRPr="00F91AFF" w:rsidRDefault="00F075FB" w:rsidP="000B4982">
            <w:pPr>
              <w:spacing w:before="80" w:after="80" w:line="240" w:lineRule="atLeast"/>
              <w:jc w:val="center"/>
              <w:rPr>
                <w:rFonts w:cs="Arial"/>
                <w:sz w:val="18"/>
                <w:szCs w:val="18"/>
                <w:lang w:val="en-US"/>
              </w:rPr>
            </w:pPr>
          </w:p>
        </w:tc>
      </w:tr>
      <w:tr w:rsidR="00F075FB" w:rsidRPr="00C903F8" w:rsidTr="00DB5653">
        <w:trPr>
          <w:cantSplit/>
          <w:jc w:val="center"/>
        </w:trPr>
        <w:tc>
          <w:tcPr>
            <w:tcW w:w="1342" w:type="dxa"/>
            <w:vMerge/>
            <w:shd w:val="clear" w:color="auto" w:fill="auto"/>
          </w:tcPr>
          <w:p w:rsidR="00F075FB" w:rsidRPr="00F91AFF" w:rsidRDefault="00F075FB" w:rsidP="000B4982">
            <w:pPr>
              <w:spacing w:before="80" w:after="80" w:line="240" w:lineRule="atLeast"/>
              <w:ind w:left="0" w:firstLine="0"/>
              <w:rPr>
                <w:rFonts w:cs="Arial"/>
                <w:sz w:val="18"/>
                <w:szCs w:val="18"/>
                <w:lang w:val="en-US"/>
              </w:rPr>
            </w:pPr>
          </w:p>
        </w:tc>
        <w:tc>
          <w:tcPr>
            <w:tcW w:w="1458" w:type="dxa"/>
            <w:shd w:val="clear" w:color="auto" w:fill="auto"/>
          </w:tcPr>
          <w:p w:rsidR="00F075FB" w:rsidRPr="00F91AFF" w:rsidRDefault="00F075FB" w:rsidP="000B4982">
            <w:pPr>
              <w:spacing w:before="80" w:after="80" w:line="240" w:lineRule="atLeast"/>
              <w:rPr>
                <w:rFonts w:cs="Arial"/>
                <w:sz w:val="18"/>
                <w:szCs w:val="18"/>
                <w:lang w:val="en-US"/>
              </w:rPr>
            </w:pPr>
            <w:r w:rsidRPr="00F91AFF">
              <w:rPr>
                <w:rFonts w:cs="Arial"/>
                <w:sz w:val="18"/>
                <w:szCs w:val="18"/>
                <w:lang w:val="en-US"/>
              </w:rPr>
              <w:t>(11)</w:t>
            </w:r>
          </w:p>
        </w:tc>
        <w:tc>
          <w:tcPr>
            <w:tcW w:w="3296" w:type="dxa"/>
            <w:shd w:val="clear" w:color="auto" w:fill="auto"/>
          </w:tcPr>
          <w:p w:rsidR="00F075FB" w:rsidRPr="00F91AFF" w:rsidRDefault="00F075FB" w:rsidP="000B4982">
            <w:pPr>
              <w:adjustRightInd w:val="0"/>
              <w:spacing w:before="80" w:after="80" w:line="240" w:lineRule="atLeast"/>
              <w:ind w:left="0" w:firstLine="0"/>
              <w:jc w:val="left"/>
              <w:rPr>
                <w:rFonts w:cs="Arial"/>
                <w:sz w:val="18"/>
                <w:szCs w:val="18"/>
                <w:lang w:val="en-US"/>
              </w:rPr>
            </w:pPr>
            <w:r w:rsidRPr="00F91AFF">
              <w:rPr>
                <w:rFonts w:cs="Arial"/>
                <w:sz w:val="18"/>
                <w:szCs w:val="18"/>
                <w:lang w:val="en-US"/>
              </w:rPr>
              <w:t>Cable harness penetrations</w:t>
            </w:r>
          </w:p>
        </w:tc>
        <w:tc>
          <w:tcPr>
            <w:tcW w:w="6521" w:type="dxa"/>
            <w:shd w:val="clear" w:color="auto" w:fill="auto"/>
          </w:tcPr>
          <w:p w:rsidR="00F075FB" w:rsidRPr="00852DB3" w:rsidRDefault="00F075FB" w:rsidP="000B4982">
            <w:pPr>
              <w:spacing w:before="80" w:after="8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F075FB" w:rsidRPr="00852DB3" w:rsidRDefault="00F075FB" w:rsidP="000B4982">
            <w:pPr>
              <w:spacing w:before="80" w:after="80" w:line="240" w:lineRule="atLeast"/>
              <w:jc w:val="center"/>
              <w:rPr>
                <w:rFonts w:cs="Arial"/>
                <w:sz w:val="18"/>
                <w:szCs w:val="18"/>
              </w:rPr>
            </w:pPr>
          </w:p>
        </w:tc>
      </w:tr>
      <w:tr w:rsidR="00F075FB" w:rsidRPr="00C903F8" w:rsidTr="00DB5653">
        <w:trPr>
          <w:cantSplit/>
          <w:jc w:val="center"/>
        </w:trPr>
        <w:tc>
          <w:tcPr>
            <w:tcW w:w="1342" w:type="dxa"/>
            <w:vMerge/>
            <w:shd w:val="clear" w:color="auto" w:fill="auto"/>
          </w:tcPr>
          <w:p w:rsidR="00F075FB" w:rsidRPr="00C903F8" w:rsidRDefault="00F075FB" w:rsidP="000B4982">
            <w:pPr>
              <w:spacing w:before="80" w:after="80" w:line="240" w:lineRule="atLeast"/>
              <w:ind w:left="0" w:firstLine="0"/>
              <w:rPr>
                <w:rFonts w:cs="Arial"/>
                <w:sz w:val="18"/>
                <w:szCs w:val="18"/>
              </w:rPr>
            </w:pPr>
          </w:p>
        </w:tc>
        <w:tc>
          <w:tcPr>
            <w:tcW w:w="1458" w:type="dxa"/>
            <w:shd w:val="clear" w:color="auto" w:fill="auto"/>
          </w:tcPr>
          <w:p w:rsidR="00F075FB" w:rsidRPr="00852DB3" w:rsidRDefault="00F075FB" w:rsidP="000B4982">
            <w:pPr>
              <w:spacing w:before="80" w:after="80" w:line="240" w:lineRule="atLeast"/>
              <w:rPr>
                <w:rFonts w:cs="Arial"/>
                <w:sz w:val="18"/>
                <w:szCs w:val="18"/>
              </w:rPr>
            </w:pPr>
            <w:r w:rsidRPr="004B4203">
              <w:rPr>
                <w:rFonts w:cs="Arial"/>
                <w:sz w:val="18"/>
                <w:szCs w:val="18"/>
              </w:rPr>
              <w:t>(12)</w:t>
            </w:r>
          </w:p>
        </w:tc>
        <w:tc>
          <w:tcPr>
            <w:tcW w:w="3296" w:type="dxa"/>
            <w:shd w:val="clear" w:color="auto" w:fill="auto"/>
          </w:tcPr>
          <w:p w:rsidR="00F075FB" w:rsidRPr="003F5E4D" w:rsidRDefault="00F075FB" w:rsidP="000B4982">
            <w:pPr>
              <w:adjustRightInd w:val="0"/>
              <w:spacing w:before="80" w:after="80" w:line="240" w:lineRule="atLeast"/>
              <w:ind w:left="0" w:firstLine="0"/>
              <w:jc w:val="left"/>
              <w:rPr>
                <w:rFonts w:cs="Arial"/>
                <w:sz w:val="18"/>
                <w:szCs w:val="18"/>
                <w:lang w:val="en-GB"/>
              </w:rPr>
            </w:pPr>
            <w:r w:rsidRPr="003F5E4D">
              <w:rPr>
                <w:rFonts w:cs="Arial"/>
                <w:sz w:val="18"/>
                <w:szCs w:val="18"/>
                <w:lang w:val="en-GB"/>
              </w:rPr>
              <w:t>Cables from an emergency electrical power source to consumer equipment</w:t>
            </w:r>
          </w:p>
        </w:tc>
        <w:tc>
          <w:tcPr>
            <w:tcW w:w="6521" w:type="dxa"/>
            <w:shd w:val="clear" w:color="auto" w:fill="auto"/>
          </w:tcPr>
          <w:p w:rsidR="00F075FB" w:rsidRPr="00852DB3" w:rsidRDefault="00F075FB" w:rsidP="000B4982">
            <w:pPr>
              <w:spacing w:before="80" w:after="8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F075FB" w:rsidRPr="00852DB3" w:rsidRDefault="00F075FB" w:rsidP="000B4982">
            <w:pPr>
              <w:spacing w:before="80" w:after="80" w:line="240" w:lineRule="atLeast"/>
              <w:jc w:val="center"/>
              <w:rPr>
                <w:rFonts w:cs="Arial"/>
                <w:sz w:val="18"/>
                <w:szCs w:val="18"/>
              </w:rPr>
            </w:pPr>
          </w:p>
        </w:tc>
      </w:tr>
      <w:tr w:rsidR="00F075FB" w:rsidRPr="00C903F8" w:rsidTr="00DB5653">
        <w:trPr>
          <w:cantSplit/>
          <w:jc w:val="center"/>
        </w:trPr>
        <w:tc>
          <w:tcPr>
            <w:tcW w:w="1342" w:type="dxa"/>
            <w:vMerge/>
            <w:shd w:val="clear" w:color="auto" w:fill="auto"/>
          </w:tcPr>
          <w:p w:rsidR="00F075FB" w:rsidRPr="00C903F8" w:rsidRDefault="00F075FB" w:rsidP="000B4982">
            <w:pPr>
              <w:spacing w:before="80" w:after="80" w:line="240" w:lineRule="atLeast"/>
              <w:ind w:left="0" w:firstLine="0"/>
              <w:rPr>
                <w:rFonts w:cs="Arial"/>
                <w:sz w:val="18"/>
                <w:szCs w:val="18"/>
              </w:rPr>
            </w:pPr>
          </w:p>
        </w:tc>
        <w:tc>
          <w:tcPr>
            <w:tcW w:w="1458" w:type="dxa"/>
            <w:shd w:val="clear" w:color="auto" w:fill="auto"/>
          </w:tcPr>
          <w:p w:rsidR="00F075FB" w:rsidRPr="00852DB3" w:rsidRDefault="00F075FB" w:rsidP="000B4982">
            <w:pPr>
              <w:spacing w:before="80" w:after="80" w:line="240" w:lineRule="atLeast"/>
              <w:rPr>
                <w:rFonts w:cs="Arial"/>
                <w:sz w:val="18"/>
                <w:szCs w:val="18"/>
              </w:rPr>
            </w:pPr>
            <w:r w:rsidRPr="004B4203">
              <w:rPr>
                <w:rFonts w:cs="Arial"/>
                <w:sz w:val="18"/>
                <w:szCs w:val="18"/>
              </w:rPr>
              <w:t>(13)</w:t>
            </w:r>
          </w:p>
        </w:tc>
        <w:tc>
          <w:tcPr>
            <w:tcW w:w="3296" w:type="dxa"/>
            <w:shd w:val="clear" w:color="auto" w:fill="auto"/>
          </w:tcPr>
          <w:p w:rsidR="00F075FB" w:rsidRPr="003F5E4D" w:rsidRDefault="00F075FB" w:rsidP="000B4982">
            <w:pPr>
              <w:adjustRightInd w:val="0"/>
              <w:spacing w:before="80" w:after="80" w:line="240" w:lineRule="atLeast"/>
              <w:ind w:left="0" w:firstLine="0"/>
              <w:jc w:val="left"/>
              <w:rPr>
                <w:rFonts w:cs="Arial"/>
                <w:sz w:val="18"/>
                <w:szCs w:val="18"/>
                <w:lang w:val="en-GB"/>
              </w:rPr>
            </w:pPr>
            <w:r w:rsidRPr="003F5E4D">
              <w:rPr>
                <w:rFonts w:cs="Arial"/>
                <w:sz w:val="18"/>
                <w:szCs w:val="18"/>
                <w:lang w:val="en-GB"/>
              </w:rPr>
              <w:t>Cable in areas with high ambient temperatures</w:t>
            </w:r>
          </w:p>
        </w:tc>
        <w:tc>
          <w:tcPr>
            <w:tcW w:w="6521" w:type="dxa"/>
            <w:shd w:val="clear" w:color="auto" w:fill="auto"/>
          </w:tcPr>
          <w:p w:rsidR="00F075FB" w:rsidRPr="00852DB3" w:rsidRDefault="00F075FB" w:rsidP="000B4982">
            <w:pPr>
              <w:spacing w:before="80" w:after="8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F075FB" w:rsidRPr="00852DB3" w:rsidRDefault="00F075FB" w:rsidP="000B4982">
            <w:pPr>
              <w:spacing w:before="80" w:after="80" w:line="240" w:lineRule="atLeast"/>
              <w:jc w:val="center"/>
              <w:rPr>
                <w:rFonts w:cs="Arial"/>
                <w:sz w:val="18"/>
                <w:szCs w:val="18"/>
              </w:rPr>
            </w:pPr>
          </w:p>
        </w:tc>
      </w:tr>
      <w:tr w:rsidR="00F075FB" w:rsidRPr="00C903F8" w:rsidTr="00DB5653">
        <w:trPr>
          <w:cantSplit/>
          <w:jc w:val="center"/>
        </w:trPr>
        <w:tc>
          <w:tcPr>
            <w:tcW w:w="1342" w:type="dxa"/>
            <w:vMerge/>
            <w:shd w:val="clear" w:color="auto" w:fill="auto"/>
          </w:tcPr>
          <w:p w:rsidR="00F075FB" w:rsidRPr="00C903F8" w:rsidRDefault="00F075FB" w:rsidP="000B4982">
            <w:pPr>
              <w:spacing w:before="80" w:after="80" w:line="240" w:lineRule="atLeast"/>
              <w:ind w:left="0" w:firstLine="0"/>
              <w:rPr>
                <w:rFonts w:cs="Arial"/>
                <w:sz w:val="18"/>
                <w:szCs w:val="18"/>
              </w:rPr>
            </w:pPr>
          </w:p>
        </w:tc>
        <w:tc>
          <w:tcPr>
            <w:tcW w:w="1458" w:type="dxa"/>
            <w:shd w:val="clear" w:color="auto" w:fill="auto"/>
          </w:tcPr>
          <w:p w:rsidR="00F075FB" w:rsidRPr="00852DB3" w:rsidRDefault="00F075FB" w:rsidP="000B4982">
            <w:pPr>
              <w:spacing w:before="80" w:after="80" w:line="240" w:lineRule="atLeast"/>
              <w:rPr>
                <w:rFonts w:cs="Arial"/>
                <w:sz w:val="18"/>
                <w:szCs w:val="18"/>
              </w:rPr>
            </w:pPr>
            <w:r w:rsidRPr="004B4203">
              <w:rPr>
                <w:rFonts w:cs="Arial"/>
                <w:sz w:val="18"/>
                <w:szCs w:val="18"/>
              </w:rPr>
              <w:t>(14)</w:t>
            </w:r>
          </w:p>
        </w:tc>
        <w:tc>
          <w:tcPr>
            <w:tcW w:w="3296" w:type="dxa"/>
            <w:shd w:val="clear" w:color="auto" w:fill="auto"/>
          </w:tcPr>
          <w:p w:rsidR="00F075FB" w:rsidRPr="003F5E4D" w:rsidRDefault="00F075FB" w:rsidP="000B4982">
            <w:pPr>
              <w:adjustRightInd w:val="0"/>
              <w:spacing w:before="80" w:after="80" w:line="240" w:lineRule="atLeast"/>
              <w:ind w:left="0" w:firstLine="0"/>
              <w:jc w:val="left"/>
              <w:rPr>
                <w:rFonts w:cs="Arial"/>
                <w:sz w:val="18"/>
                <w:szCs w:val="18"/>
                <w:lang w:val="en-GB"/>
              </w:rPr>
            </w:pPr>
            <w:r w:rsidRPr="003F5E4D">
              <w:rPr>
                <w:rFonts w:cs="Arial"/>
                <w:sz w:val="18"/>
                <w:szCs w:val="18"/>
                <w:lang w:val="en-GB"/>
              </w:rPr>
              <w:t>Installation of main and emergency power supply cables</w:t>
            </w:r>
          </w:p>
        </w:tc>
        <w:tc>
          <w:tcPr>
            <w:tcW w:w="6521" w:type="dxa"/>
            <w:shd w:val="clear" w:color="auto" w:fill="auto"/>
          </w:tcPr>
          <w:p w:rsidR="00F075FB" w:rsidRPr="00852DB3" w:rsidRDefault="00F075FB" w:rsidP="000B4982">
            <w:pPr>
              <w:spacing w:before="80" w:after="8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F075FB" w:rsidRPr="00852DB3" w:rsidRDefault="00F075FB" w:rsidP="000B4982">
            <w:pPr>
              <w:spacing w:before="80" w:after="80" w:line="240" w:lineRule="atLeast"/>
              <w:jc w:val="center"/>
              <w:rPr>
                <w:rFonts w:cs="Arial"/>
                <w:sz w:val="18"/>
                <w:szCs w:val="18"/>
              </w:rPr>
            </w:pPr>
          </w:p>
        </w:tc>
      </w:tr>
      <w:tr w:rsidR="00F075FB" w:rsidRPr="00C903F8" w:rsidTr="00196FBC">
        <w:trPr>
          <w:cantSplit/>
          <w:jc w:val="center"/>
        </w:trPr>
        <w:tc>
          <w:tcPr>
            <w:tcW w:w="1342" w:type="dxa"/>
            <w:shd w:val="clear" w:color="auto" w:fill="auto"/>
          </w:tcPr>
          <w:p w:rsidR="00F075FB" w:rsidRPr="004B4203" w:rsidRDefault="00F075FB" w:rsidP="000B4982">
            <w:pPr>
              <w:spacing w:before="80" w:after="80" w:line="240" w:lineRule="atLeast"/>
              <w:rPr>
                <w:rFonts w:cs="Arial"/>
                <w:sz w:val="18"/>
                <w:szCs w:val="18"/>
                <w:lang w:val="en-GB" w:eastAsia="de-DE"/>
              </w:rPr>
            </w:pPr>
            <w:r w:rsidRPr="008F6ABB">
              <w:rPr>
                <w:rFonts w:cs="Arial"/>
                <w:sz w:val="18"/>
                <w:szCs w:val="18"/>
                <w:lang w:val="en-GB" w:eastAsia="de-DE"/>
              </w:rPr>
              <w:t xml:space="preserve">10.16 </w:t>
            </w:r>
          </w:p>
        </w:tc>
        <w:tc>
          <w:tcPr>
            <w:tcW w:w="1458" w:type="dxa"/>
            <w:shd w:val="clear" w:color="auto" w:fill="auto"/>
          </w:tcPr>
          <w:p w:rsidR="00F075FB" w:rsidRPr="00852DB3" w:rsidRDefault="00F075FB" w:rsidP="000B4982">
            <w:pPr>
              <w:spacing w:before="80" w:after="80" w:line="240" w:lineRule="atLeast"/>
              <w:ind w:left="0" w:firstLine="0"/>
              <w:jc w:val="left"/>
              <w:rPr>
                <w:rFonts w:cs="Arial"/>
                <w:sz w:val="18"/>
                <w:szCs w:val="18"/>
              </w:rPr>
            </w:pPr>
            <w:r w:rsidRPr="004B4203">
              <w:rPr>
                <w:rFonts w:cs="Arial"/>
                <w:sz w:val="18"/>
                <w:szCs w:val="18"/>
              </w:rPr>
              <w:t>(3) second sentence</w:t>
            </w:r>
          </w:p>
        </w:tc>
        <w:tc>
          <w:tcPr>
            <w:tcW w:w="3296" w:type="dxa"/>
            <w:shd w:val="clear" w:color="auto" w:fill="auto"/>
          </w:tcPr>
          <w:p w:rsidR="00F075FB" w:rsidRPr="00852DB3" w:rsidRDefault="00F075FB" w:rsidP="000B4982">
            <w:pPr>
              <w:spacing w:before="80" w:after="80" w:line="240" w:lineRule="atLeast"/>
              <w:rPr>
                <w:rFonts w:cs="Arial"/>
                <w:sz w:val="18"/>
                <w:szCs w:val="18"/>
              </w:rPr>
            </w:pPr>
            <w:r w:rsidRPr="004B4203">
              <w:rPr>
                <w:rFonts w:cs="Arial"/>
                <w:sz w:val="18"/>
                <w:szCs w:val="18"/>
              </w:rPr>
              <w:t>Second circuit</w:t>
            </w:r>
          </w:p>
        </w:tc>
        <w:tc>
          <w:tcPr>
            <w:tcW w:w="6521" w:type="dxa"/>
            <w:shd w:val="clear" w:color="auto" w:fill="auto"/>
          </w:tcPr>
          <w:p w:rsidR="00F075FB" w:rsidRPr="00852DB3" w:rsidRDefault="00F075FB" w:rsidP="000B4982">
            <w:pPr>
              <w:spacing w:before="80" w:after="8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F075FB" w:rsidRPr="00852DB3" w:rsidRDefault="00F075FB" w:rsidP="000B4982">
            <w:pPr>
              <w:spacing w:before="80" w:after="80" w:line="240" w:lineRule="atLeast"/>
              <w:jc w:val="center"/>
              <w:rPr>
                <w:rFonts w:cs="Arial"/>
                <w:sz w:val="18"/>
                <w:szCs w:val="18"/>
              </w:rPr>
            </w:pPr>
            <w:r w:rsidRPr="004B4203">
              <w:rPr>
                <w:rFonts w:cs="Arial"/>
                <w:sz w:val="18"/>
                <w:szCs w:val="18"/>
              </w:rPr>
              <w:t>1.1.2015</w:t>
            </w:r>
          </w:p>
        </w:tc>
      </w:tr>
      <w:tr w:rsidR="00F075FB" w:rsidRPr="00C903F8" w:rsidTr="00196FBC">
        <w:trPr>
          <w:cantSplit/>
          <w:jc w:val="center"/>
        </w:trPr>
        <w:tc>
          <w:tcPr>
            <w:tcW w:w="1342" w:type="dxa"/>
            <w:vMerge w:val="restart"/>
            <w:shd w:val="clear" w:color="auto" w:fill="auto"/>
          </w:tcPr>
          <w:p w:rsidR="00F075FB" w:rsidRPr="004B4203" w:rsidRDefault="00F075FB" w:rsidP="000B4982">
            <w:pPr>
              <w:spacing w:before="60" w:after="60" w:line="240" w:lineRule="atLeast"/>
              <w:rPr>
                <w:rFonts w:cs="Arial"/>
                <w:sz w:val="18"/>
                <w:szCs w:val="18"/>
                <w:lang w:val="en-GB" w:eastAsia="de-DE"/>
              </w:rPr>
            </w:pPr>
            <w:r w:rsidRPr="008F6ABB">
              <w:rPr>
                <w:rFonts w:cs="Arial"/>
                <w:sz w:val="18"/>
                <w:szCs w:val="18"/>
                <w:lang w:val="en-GB" w:eastAsia="de-DE"/>
              </w:rPr>
              <w:t xml:space="preserve">10.18 </w:t>
            </w:r>
          </w:p>
        </w:tc>
        <w:tc>
          <w:tcPr>
            <w:tcW w:w="1458" w:type="dxa"/>
            <w:shd w:val="clear" w:color="auto" w:fill="auto"/>
          </w:tcPr>
          <w:p w:rsidR="00F075FB" w:rsidRPr="00852DB3" w:rsidRDefault="00F075FB" w:rsidP="000B4982">
            <w:pPr>
              <w:spacing w:before="60" w:after="60" w:line="240" w:lineRule="atLeast"/>
              <w:rPr>
                <w:rFonts w:cs="Arial"/>
                <w:sz w:val="18"/>
                <w:szCs w:val="18"/>
              </w:rPr>
            </w:pPr>
            <w:r w:rsidRPr="004B4203">
              <w:rPr>
                <w:rFonts w:cs="Arial"/>
                <w:sz w:val="18"/>
                <w:szCs w:val="18"/>
              </w:rPr>
              <w:t>(1)</w:t>
            </w:r>
          </w:p>
        </w:tc>
        <w:tc>
          <w:tcPr>
            <w:tcW w:w="3296" w:type="dxa"/>
            <w:shd w:val="clear" w:color="auto" w:fill="auto"/>
          </w:tcPr>
          <w:p w:rsidR="00F075FB" w:rsidRPr="003F5E4D" w:rsidRDefault="00F075FB" w:rsidP="000B4982">
            <w:pPr>
              <w:adjustRightInd w:val="0"/>
              <w:spacing w:before="60" w:after="60" w:line="240" w:lineRule="atLeast"/>
              <w:ind w:left="0" w:firstLine="0"/>
              <w:jc w:val="left"/>
              <w:rPr>
                <w:rFonts w:cs="Arial"/>
                <w:sz w:val="18"/>
                <w:szCs w:val="18"/>
                <w:lang w:val="en-GB"/>
              </w:rPr>
            </w:pPr>
            <w:r w:rsidRPr="003F5E4D">
              <w:rPr>
                <w:rFonts w:cs="Arial"/>
                <w:sz w:val="18"/>
                <w:szCs w:val="18"/>
                <w:lang w:val="en-GB"/>
              </w:rPr>
              <w:t>Device for disconnecting from the mains</w:t>
            </w:r>
          </w:p>
        </w:tc>
        <w:tc>
          <w:tcPr>
            <w:tcW w:w="6521" w:type="dxa"/>
            <w:shd w:val="clear" w:color="auto" w:fill="auto"/>
          </w:tcPr>
          <w:p w:rsidR="00F075FB" w:rsidRPr="00852DB3" w:rsidRDefault="00F075FB" w:rsidP="000B4982">
            <w:pPr>
              <w:spacing w:before="60" w:after="6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F075FB" w:rsidRPr="00852DB3" w:rsidRDefault="00F075FB" w:rsidP="000B4982">
            <w:pPr>
              <w:spacing w:before="60" w:after="60" w:line="240" w:lineRule="atLeast"/>
              <w:jc w:val="center"/>
              <w:rPr>
                <w:rFonts w:cs="Arial"/>
                <w:sz w:val="18"/>
                <w:szCs w:val="18"/>
              </w:rPr>
            </w:pPr>
          </w:p>
        </w:tc>
      </w:tr>
      <w:tr w:rsidR="00F075FB" w:rsidRPr="00C903F8" w:rsidTr="00196FBC">
        <w:trPr>
          <w:cantSplit/>
          <w:jc w:val="center"/>
        </w:trPr>
        <w:tc>
          <w:tcPr>
            <w:tcW w:w="1342" w:type="dxa"/>
            <w:vMerge/>
            <w:shd w:val="clear" w:color="auto" w:fill="auto"/>
          </w:tcPr>
          <w:p w:rsidR="00F075FB" w:rsidRPr="00C903F8" w:rsidRDefault="00F075FB" w:rsidP="000B4982">
            <w:pPr>
              <w:spacing w:before="60" w:after="60" w:line="240" w:lineRule="atLeast"/>
              <w:ind w:left="0" w:firstLine="0"/>
              <w:rPr>
                <w:rFonts w:cs="Arial"/>
                <w:sz w:val="18"/>
                <w:szCs w:val="18"/>
              </w:rPr>
            </w:pPr>
          </w:p>
        </w:tc>
        <w:tc>
          <w:tcPr>
            <w:tcW w:w="1458" w:type="dxa"/>
            <w:shd w:val="clear" w:color="auto" w:fill="auto"/>
          </w:tcPr>
          <w:p w:rsidR="00F075FB" w:rsidRPr="00C903F8" w:rsidRDefault="00F075FB" w:rsidP="000B4982">
            <w:pPr>
              <w:spacing w:before="60" w:after="60" w:line="240" w:lineRule="atLeast"/>
              <w:ind w:left="0" w:firstLine="0"/>
              <w:rPr>
                <w:rFonts w:cs="Arial"/>
                <w:sz w:val="18"/>
                <w:szCs w:val="18"/>
              </w:rPr>
            </w:pPr>
            <w:r w:rsidRPr="004B4203">
              <w:rPr>
                <w:rFonts w:cs="Arial"/>
                <w:sz w:val="18"/>
                <w:szCs w:val="18"/>
              </w:rPr>
              <w:t>(2)</w:t>
            </w:r>
          </w:p>
        </w:tc>
        <w:tc>
          <w:tcPr>
            <w:tcW w:w="3296" w:type="dxa"/>
            <w:shd w:val="clear" w:color="auto" w:fill="auto"/>
          </w:tcPr>
          <w:p w:rsidR="00F075FB" w:rsidRPr="000C0B7A" w:rsidRDefault="00F075FB" w:rsidP="000B4982">
            <w:pPr>
              <w:adjustRightInd w:val="0"/>
              <w:spacing w:before="60" w:after="60" w:line="240" w:lineRule="atLeast"/>
              <w:ind w:left="0" w:firstLine="0"/>
              <w:jc w:val="left"/>
              <w:rPr>
                <w:rFonts w:cs="Arial"/>
                <w:sz w:val="18"/>
                <w:szCs w:val="18"/>
              </w:rPr>
            </w:pPr>
            <w:r w:rsidRPr="004B4203">
              <w:rPr>
                <w:rFonts w:cs="Arial"/>
                <w:sz w:val="18"/>
                <w:szCs w:val="18"/>
              </w:rPr>
              <w:t>Accessibility</w:t>
            </w:r>
          </w:p>
        </w:tc>
        <w:tc>
          <w:tcPr>
            <w:tcW w:w="6521" w:type="dxa"/>
            <w:shd w:val="clear" w:color="auto" w:fill="auto"/>
          </w:tcPr>
          <w:p w:rsidR="00F075FB" w:rsidRDefault="00F075FB" w:rsidP="000B4982">
            <w:pPr>
              <w:spacing w:before="60" w:after="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C903F8" w:rsidRDefault="00F075FB" w:rsidP="000B4982">
            <w:pPr>
              <w:spacing w:before="60" w:after="60" w:line="240" w:lineRule="atLeast"/>
              <w:ind w:left="0" w:firstLine="0"/>
              <w:jc w:val="center"/>
              <w:rPr>
                <w:rFonts w:cs="Arial"/>
                <w:sz w:val="18"/>
                <w:szCs w:val="18"/>
              </w:rPr>
            </w:pPr>
          </w:p>
        </w:tc>
      </w:tr>
      <w:tr w:rsidR="00F075FB" w:rsidRPr="00C903F8" w:rsidTr="00196FBC">
        <w:trPr>
          <w:cantSplit/>
          <w:jc w:val="center"/>
        </w:trPr>
        <w:tc>
          <w:tcPr>
            <w:tcW w:w="1342" w:type="dxa"/>
            <w:vMerge/>
            <w:shd w:val="clear" w:color="auto" w:fill="auto"/>
          </w:tcPr>
          <w:p w:rsidR="00F075FB" w:rsidRPr="00C903F8" w:rsidRDefault="00F075FB" w:rsidP="000B4982">
            <w:pPr>
              <w:spacing w:before="60" w:after="60" w:line="240" w:lineRule="atLeast"/>
              <w:ind w:left="0" w:firstLine="0"/>
              <w:rPr>
                <w:rFonts w:cs="Arial"/>
                <w:sz w:val="18"/>
                <w:szCs w:val="18"/>
              </w:rPr>
            </w:pPr>
          </w:p>
        </w:tc>
        <w:tc>
          <w:tcPr>
            <w:tcW w:w="1458" w:type="dxa"/>
            <w:shd w:val="clear" w:color="auto" w:fill="auto"/>
          </w:tcPr>
          <w:p w:rsidR="00F075FB" w:rsidRPr="00C903F8" w:rsidRDefault="00F075FB" w:rsidP="000B4982">
            <w:pPr>
              <w:spacing w:before="60" w:after="60" w:line="240" w:lineRule="atLeast"/>
              <w:ind w:left="0" w:firstLine="0"/>
              <w:rPr>
                <w:rFonts w:cs="Arial"/>
                <w:sz w:val="18"/>
                <w:szCs w:val="18"/>
              </w:rPr>
            </w:pPr>
            <w:r w:rsidRPr="004B4203">
              <w:rPr>
                <w:rFonts w:cs="Arial"/>
                <w:sz w:val="18"/>
                <w:szCs w:val="18"/>
              </w:rPr>
              <w:t>(3)</w:t>
            </w:r>
          </w:p>
        </w:tc>
        <w:tc>
          <w:tcPr>
            <w:tcW w:w="3296" w:type="dxa"/>
            <w:shd w:val="clear" w:color="auto" w:fill="auto"/>
          </w:tcPr>
          <w:p w:rsidR="00F075FB" w:rsidRPr="003F5E4D" w:rsidRDefault="00F075FB" w:rsidP="000B4982">
            <w:pPr>
              <w:adjustRightInd w:val="0"/>
              <w:spacing w:before="60" w:after="60" w:line="240" w:lineRule="atLeast"/>
              <w:ind w:left="0" w:firstLine="0"/>
              <w:jc w:val="left"/>
              <w:rPr>
                <w:rFonts w:cs="Arial"/>
                <w:sz w:val="18"/>
                <w:szCs w:val="18"/>
                <w:lang w:val="en-GB"/>
              </w:rPr>
            </w:pPr>
            <w:r w:rsidRPr="003F5E4D">
              <w:rPr>
                <w:rFonts w:cs="Arial"/>
                <w:sz w:val="18"/>
                <w:szCs w:val="18"/>
                <w:lang w:val="en-GB"/>
              </w:rPr>
              <w:t>Galvanic separation of control and power circuits</w:t>
            </w:r>
          </w:p>
        </w:tc>
        <w:tc>
          <w:tcPr>
            <w:tcW w:w="6521" w:type="dxa"/>
            <w:shd w:val="clear" w:color="auto" w:fill="auto"/>
          </w:tcPr>
          <w:p w:rsidR="00F075FB" w:rsidRDefault="00F075FB" w:rsidP="000B4982">
            <w:pPr>
              <w:spacing w:before="60" w:after="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C903F8" w:rsidRDefault="00F075FB" w:rsidP="000B4982">
            <w:pPr>
              <w:spacing w:before="60" w:after="60" w:line="240" w:lineRule="atLeast"/>
              <w:ind w:left="0" w:firstLine="0"/>
              <w:jc w:val="center"/>
              <w:rPr>
                <w:rFonts w:cs="Arial"/>
                <w:sz w:val="18"/>
                <w:szCs w:val="18"/>
              </w:rPr>
            </w:pPr>
          </w:p>
        </w:tc>
      </w:tr>
      <w:tr w:rsidR="00F075FB" w:rsidRPr="00C903F8" w:rsidTr="00196FBC">
        <w:trPr>
          <w:cantSplit/>
          <w:jc w:val="center"/>
        </w:trPr>
        <w:tc>
          <w:tcPr>
            <w:tcW w:w="1342" w:type="dxa"/>
            <w:vMerge/>
            <w:shd w:val="clear" w:color="auto" w:fill="auto"/>
          </w:tcPr>
          <w:p w:rsidR="00F075FB" w:rsidRPr="00C903F8" w:rsidRDefault="00F075FB" w:rsidP="000B4982">
            <w:pPr>
              <w:spacing w:before="60" w:after="60" w:line="240" w:lineRule="atLeast"/>
              <w:ind w:left="0" w:firstLine="0"/>
              <w:rPr>
                <w:rFonts w:cs="Arial"/>
                <w:sz w:val="18"/>
                <w:szCs w:val="18"/>
              </w:rPr>
            </w:pPr>
          </w:p>
        </w:tc>
        <w:tc>
          <w:tcPr>
            <w:tcW w:w="1458" w:type="dxa"/>
            <w:shd w:val="clear" w:color="auto" w:fill="auto"/>
          </w:tcPr>
          <w:p w:rsidR="00F075FB" w:rsidRPr="00C903F8" w:rsidRDefault="00F075FB" w:rsidP="000B4982">
            <w:pPr>
              <w:spacing w:before="60" w:after="60" w:line="240" w:lineRule="atLeast"/>
              <w:ind w:left="0" w:firstLine="0"/>
              <w:rPr>
                <w:rFonts w:cs="Arial"/>
                <w:sz w:val="18"/>
                <w:szCs w:val="18"/>
              </w:rPr>
            </w:pPr>
            <w:r w:rsidRPr="004B4203">
              <w:rPr>
                <w:rFonts w:cs="Arial"/>
                <w:sz w:val="18"/>
                <w:szCs w:val="18"/>
              </w:rPr>
              <w:t>(4)</w:t>
            </w:r>
          </w:p>
        </w:tc>
        <w:tc>
          <w:tcPr>
            <w:tcW w:w="3296" w:type="dxa"/>
            <w:shd w:val="clear" w:color="auto" w:fill="auto"/>
          </w:tcPr>
          <w:p w:rsidR="00F075FB" w:rsidRPr="003F5E4D" w:rsidRDefault="00F075FB" w:rsidP="000B4982">
            <w:pPr>
              <w:adjustRightInd w:val="0"/>
              <w:spacing w:before="60" w:after="60" w:line="240" w:lineRule="atLeast"/>
              <w:ind w:left="0" w:firstLine="0"/>
              <w:jc w:val="left"/>
              <w:rPr>
                <w:rFonts w:cs="Arial"/>
                <w:sz w:val="18"/>
                <w:szCs w:val="18"/>
                <w:lang w:val="en-GB"/>
              </w:rPr>
            </w:pPr>
            <w:r w:rsidRPr="003F5E4D">
              <w:rPr>
                <w:rFonts w:cs="Arial"/>
                <w:sz w:val="18"/>
                <w:szCs w:val="18"/>
                <w:lang w:val="en-GB"/>
              </w:rPr>
              <w:t>Operating with voltage and frequency variations</w:t>
            </w:r>
          </w:p>
        </w:tc>
        <w:tc>
          <w:tcPr>
            <w:tcW w:w="6521" w:type="dxa"/>
            <w:shd w:val="clear" w:color="auto" w:fill="auto"/>
          </w:tcPr>
          <w:p w:rsidR="00F075FB" w:rsidRDefault="00F075FB" w:rsidP="000B4982">
            <w:pPr>
              <w:spacing w:before="60" w:after="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C903F8" w:rsidRDefault="00F075FB" w:rsidP="000B4982">
            <w:pPr>
              <w:spacing w:before="60" w:after="60" w:line="240" w:lineRule="atLeast"/>
              <w:ind w:left="0" w:firstLine="0"/>
              <w:jc w:val="center"/>
              <w:rPr>
                <w:rFonts w:cs="Arial"/>
                <w:sz w:val="18"/>
                <w:szCs w:val="18"/>
              </w:rPr>
            </w:pPr>
          </w:p>
        </w:tc>
      </w:tr>
      <w:tr w:rsidR="00F075FB" w:rsidRPr="003971A3" w:rsidTr="00196FBC">
        <w:trPr>
          <w:cantSplit/>
          <w:jc w:val="center"/>
        </w:trPr>
        <w:tc>
          <w:tcPr>
            <w:tcW w:w="1342" w:type="dxa"/>
            <w:vMerge/>
            <w:shd w:val="clear" w:color="auto" w:fill="auto"/>
          </w:tcPr>
          <w:p w:rsidR="00F075FB" w:rsidRPr="00C903F8" w:rsidRDefault="00F075FB" w:rsidP="000B4982">
            <w:pPr>
              <w:spacing w:before="60" w:after="60" w:line="240" w:lineRule="atLeast"/>
              <w:ind w:left="0" w:firstLine="0"/>
              <w:rPr>
                <w:rFonts w:cs="Arial"/>
                <w:sz w:val="18"/>
                <w:szCs w:val="18"/>
              </w:rPr>
            </w:pPr>
          </w:p>
        </w:tc>
        <w:tc>
          <w:tcPr>
            <w:tcW w:w="1458" w:type="dxa"/>
            <w:shd w:val="clear" w:color="auto" w:fill="auto"/>
          </w:tcPr>
          <w:p w:rsidR="00F075FB" w:rsidRPr="00C903F8" w:rsidRDefault="00F075FB" w:rsidP="000B4982">
            <w:pPr>
              <w:spacing w:before="60" w:after="60" w:line="240" w:lineRule="atLeast"/>
              <w:ind w:left="0" w:firstLine="0"/>
              <w:rPr>
                <w:rFonts w:cs="Arial"/>
                <w:sz w:val="18"/>
                <w:szCs w:val="18"/>
              </w:rPr>
            </w:pPr>
            <w:r w:rsidRPr="004B4203">
              <w:rPr>
                <w:rFonts w:cs="Arial"/>
                <w:sz w:val="18"/>
                <w:szCs w:val="18"/>
              </w:rPr>
              <w:t>(5)</w:t>
            </w:r>
          </w:p>
        </w:tc>
        <w:tc>
          <w:tcPr>
            <w:tcW w:w="3296" w:type="dxa"/>
            <w:shd w:val="clear" w:color="auto" w:fill="auto"/>
          </w:tcPr>
          <w:p w:rsidR="00F075FB" w:rsidRPr="003F5E4D" w:rsidRDefault="00F075FB" w:rsidP="000B4982">
            <w:pPr>
              <w:adjustRightInd w:val="0"/>
              <w:spacing w:before="60" w:after="60" w:line="240" w:lineRule="atLeast"/>
              <w:ind w:left="0" w:firstLine="0"/>
              <w:jc w:val="left"/>
              <w:rPr>
                <w:rFonts w:cs="Arial"/>
                <w:sz w:val="18"/>
                <w:szCs w:val="18"/>
                <w:lang w:val="en-GB"/>
              </w:rPr>
            </w:pPr>
            <w:r w:rsidRPr="003F5E4D">
              <w:rPr>
                <w:rFonts w:cs="Arial"/>
                <w:sz w:val="18"/>
                <w:szCs w:val="18"/>
                <w:lang w:val="en-GB"/>
              </w:rPr>
              <w:t>Discharge time when disconnected from mains</w:t>
            </w:r>
          </w:p>
        </w:tc>
        <w:tc>
          <w:tcPr>
            <w:tcW w:w="6521" w:type="dxa"/>
            <w:shd w:val="clear" w:color="auto" w:fill="auto"/>
          </w:tcPr>
          <w:p w:rsidR="00F075FB" w:rsidRDefault="00F075FB" w:rsidP="000B4982">
            <w:pPr>
              <w:spacing w:before="60" w:after="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0C0B7A" w:rsidRDefault="00F075FB" w:rsidP="000B4982">
            <w:pPr>
              <w:spacing w:before="60" w:after="60" w:line="240" w:lineRule="atLeast"/>
              <w:ind w:left="0" w:firstLine="0"/>
              <w:jc w:val="center"/>
              <w:rPr>
                <w:rFonts w:cs="Arial"/>
                <w:sz w:val="18"/>
                <w:szCs w:val="18"/>
                <w:lang w:val="en-GB"/>
              </w:rPr>
            </w:pPr>
          </w:p>
        </w:tc>
      </w:tr>
      <w:tr w:rsidR="00F075FB" w:rsidRPr="00C903F8" w:rsidTr="00196FBC">
        <w:trPr>
          <w:cantSplit/>
          <w:jc w:val="center"/>
        </w:trPr>
        <w:tc>
          <w:tcPr>
            <w:tcW w:w="1342" w:type="dxa"/>
            <w:vMerge/>
            <w:shd w:val="clear" w:color="auto" w:fill="auto"/>
          </w:tcPr>
          <w:p w:rsidR="00F075FB" w:rsidRPr="000C0B7A" w:rsidRDefault="00F075FB" w:rsidP="000B4982">
            <w:pPr>
              <w:spacing w:before="60" w:after="60" w:line="240" w:lineRule="atLeast"/>
              <w:ind w:left="0" w:firstLine="0"/>
              <w:rPr>
                <w:rFonts w:cs="Arial"/>
                <w:sz w:val="18"/>
                <w:szCs w:val="18"/>
                <w:lang w:val="en-GB"/>
              </w:rPr>
            </w:pPr>
          </w:p>
        </w:tc>
        <w:tc>
          <w:tcPr>
            <w:tcW w:w="1458" w:type="dxa"/>
            <w:shd w:val="clear" w:color="auto" w:fill="auto"/>
          </w:tcPr>
          <w:p w:rsidR="00F075FB" w:rsidRPr="00C903F8" w:rsidRDefault="00F075FB" w:rsidP="000B4982">
            <w:pPr>
              <w:spacing w:before="60" w:after="60" w:line="240" w:lineRule="atLeast"/>
              <w:ind w:left="0" w:firstLine="0"/>
              <w:rPr>
                <w:rFonts w:cs="Arial"/>
                <w:sz w:val="18"/>
                <w:szCs w:val="18"/>
              </w:rPr>
            </w:pPr>
            <w:r w:rsidRPr="004B4203">
              <w:rPr>
                <w:rFonts w:cs="Arial"/>
                <w:sz w:val="18"/>
                <w:szCs w:val="18"/>
              </w:rPr>
              <w:t>(6)</w:t>
            </w:r>
          </w:p>
        </w:tc>
        <w:tc>
          <w:tcPr>
            <w:tcW w:w="3296" w:type="dxa"/>
            <w:shd w:val="clear" w:color="auto" w:fill="auto"/>
          </w:tcPr>
          <w:p w:rsidR="00F075FB" w:rsidRPr="003F5E4D" w:rsidRDefault="00F075FB" w:rsidP="000B4982">
            <w:pPr>
              <w:adjustRightInd w:val="0"/>
              <w:spacing w:before="60" w:after="60" w:line="240" w:lineRule="atLeast"/>
              <w:ind w:left="0" w:firstLine="0"/>
              <w:jc w:val="left"/>
              <w:rPr>
                <w:rFonts w:cs="Arial"/>
                <w:sz w:val="18"/>
                <w:szCs w:val="18"/>
                <w:lang w:val="en-GB"/>
              </w:rPr>
            </w:pPr>
            <w:r w:rsidRPr="003F5E4D">
              <w:rPr>
                <w:rFonts w:cs="Arial"/>
                <w:sz w:val="18"/>
                <w:szCs w:val="18"/>
                <w:lang w:val="en-GB"/>
              </w:rPr>
              <w:t>Response upon failure of external control signals</w:t>
            </w:r>
          </w:p>
        </w:tc>
        <w:tc>
          <w:tcPr>
            <w:tcW w:w="6521" w:type="dxa"/>
            <w:shd w:val="clear" w:color="auto" w:fill="auto"/>
          </w:tcPr>
          <w:p w:rsidR="00F075FB" w:rsidRDefault="00F075FB" w:rsidP="000B4982">
            <w:pPr>
              <w:spacing w:before="60" w:after="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C903F8" w:rsidRDefault="00F075FB" w:rsidP="000B4982">
            <w:pPr>
              <w:spacing w:before="60" w:after="60" w:line="240" w:lineRule="atLeast"/>
              <w:ind w:left="0" w:firstLine="0"/>
              <w:jc w:val="center"/>
              <w:rPr>
                <w:rFonts w:cs="Arial"/>
                <w:sz w:val="18"/>
                <w:szCs w:val="18"/>
              </w:rPr>
            </w:pPr>
          </w:p>
        </w:tc>
      </w:tr>
      <w:tr w:rsidR="00F075FB" w:rsidRPr="00C903F8" w:rsidTr="00196FBC">
        <w:trPr>
          <w:cantSplit/>
          <w:jc w:val="center"/>
        </w:trPr>
        <w:tc>
          <w:tcPr>
            <w:tcW w:w="1342" w:type="dxa"/>
            <w:vMerge/>
            <w:shd w:val="clear" w:color="auto" w:fill="auto"/>
          </w:tcPr>
          <w:p w:rsidR="00F075FB" w:rsidRPr="00C903F8" w:rsidRDefault="00F075FB" w:rsidP="00C01A94">
            <w:pPr>
              <w:spacing w:before="100" w:after="10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00" w:after="100" w:line="240" w:lineRule="atLeast"/>
              <w:ind w:left="0" w:firstLine="0"/>
              <w:rPr>
                <w:rFonts w:cs="Arial"/>
                <w:sz w:val="18"/>
                <w:szCs w:val="18"/>
              </w:rPr>
            </w:pPr>
            <w:r w:rsidRPr="004B4203">
              <w:rPr>
                <w:rFonts w:cs="Arial"/>
                <w:sz w:val="18"/>
                <w:szCs w:val="18"/>
              </w:rPr>
              <w:t>(7)</w:t>
            </w:r>
          </w:p>
        </w:tc>
        <w:tc>
          <w:tcPr>
            <w:tcW w:w="3296" w:type="dxa"/>
            <w:shd w:val="clear" w:color="auto" w:fill="auto"/>
          </w:tcPr>
          <w:p w:rsidR="00F075FB" w:rsidRPr="003F5E4D" w:rsidRDefault="00F075FB" w:rsidP="00C01A94">
            <w:pPr>
              <w:adjustRightInd w:val="0"/>
              <w:spacing w:before="100" w:after="100" w:line="240" w:lineRule="atLeast"/>
              <w:ind w:left="0" w:firstLine="0"/>
              <w:jc w:val="left"/>
              <w:rPr>
                <w:rFonts w:cs="Arial"/>
                <w:sz w:val="18"/>
                <w:szCs w:val="18"/>
                <w:lang w:val="en-GB"/>
              </w:rPr>
            </w:pPr>
            <w:r w:rsidRPr="003F5E4D">
              <w:rPr>
                <w:rFonts w:cs="Arial"/>
                <w:sz w:val="18"/>
                <w:szCs w:val="18"/>
                <w:lang w:val="en-GB"/>
              </w:rPr>
              <w:t>Response upon failure of control voltages</w:t>
            </w:r>
          </w:p>
        </w:tc>
        <w:tc>
          <w:tcPr>
            <w:tcW w:w="6521" w:type="dxa"/>
            <w:shd w:val="clear" w:color="auto" w:fill="auto"/>
          </w:tcPr>
          <w:p w:rsidR="00F075FB" w:rsidRDefault="00F075FB" w:rsidP="00C01A94">
            <w:pPr>
              <w:spacing w:before="100" w:after="10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C903F8" w:rsidRDefault="00F075FB" w:rsidP="00C01A94">
            <w:pPr>
              <w:spacing w:before="100" w:after="100" w:line="240" w:lineRule="atLeast"/>
              <w:ind w:left="0" w:firstLine="0"/>
              <w:jc w:val="center"/>
              <w:rPr>
                <w:rFonts w:cs="Arial"/>
                <w:sz w:val="18"/>
                <w:szCs w:val="18"/>
              </w:rPr>
            </w:pPr>
          </w:p>
        </w:tc>
      </w:tr>
      <w:tr w:rsidR="00F075FB" w:rsidRPr="00C903F8" w:rsidTr="00196FBC">
        <w:trPr>
          <w:cantSplit/>
          <w:jc w:val="center"/>
        </w:trPr>
        <w:tc>
          <w:tcPr>
            <w:tcW w:w="1342" w:type="dxa"/>
            <w:vMerge/>
            <w:shd w:val="clear" w:color="auto" w:fill="auto"/>
          </w:tcPr>
          <w:p w:rsidR="00F075FB" w:rsidRPr="00C903F8" w:rsidRDefault="00F075FB" w:rsidP="00C01A94">
            <w:pPr>
              <w:spacing w:before="100" w:after="10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00" w:after="100" w:line="240" w:lineRule="atLeast"/>
              <w:ind w:left="0" w:firstLine="0"/>
              <w:rPr>
                <w:rFonts w:cs="Arial"/>
                <w:sz w:val="18"/>
                <w:szCs w:val="18"/>
              </w:rPr>
            </w:pPr>
            <w:r w:rsidRPr="004B4203">
              <w:rPr>
                <w:rFonts w:cs="Arial"/>
                <w:sz w:val="18"/>
                <w:szCs w:val="18"/>
              </w:rPr>
              <w:t>(8)</w:t>
            </w:r>
          </w:p>
        </w:tc>
        <w:tc>
          <w:tcPr>
            <w:tcW w:w="3296" w:type="dxa"/>
            <w:shd w:val="clear" w:color="auto" w:fill="auto"/>
          </w:tcPr>
          <w:p w:rsidR="00F075FB" w:rsidRPr="003F5E4D" w:rsidRDefault="00F075FB" w:rsidP="00C01A94">
            <w:pPr>
              <w:adjustRightInd w:val="0"/>
              <w:spacing w:before="100" w:after="100" w:line="240" w:lineRule="atLeast"/>
              <w:ind w:left="0" w:firstLine="0"/>
              <w:jc w:val="left"/>
              <w:rPr>
                <w:rFonts w:cs="Arial"/>
                <w:sz w:val="18"/>
                <w:szCs w:val="18"/>
                <w:lang w:val="en-GB"/>
              </w:rPr>
            </w:pPr>
            <w:r w:rsidRPr="003F5E4D">
              <w:rPr>
                <w:rFonts w:cs="Arial"/>
                <w:sz w:val="18"/>
                <w:szCs w:val="18"/>
                <w:lang w:val="en-GB"/>
              </w:rPr>
              <w:t>Error detection and prevention of undetected errors</w:t>
            </w:r>
          </w:p>
        </w:tc>
        <w:tc>
          <w:tcPr>
            <w:tcW w:w="6521" w:type="dxa"/>
            <w:shd w:val="clear" w:color="auto" w:fill="auto"/>
          </w:tcPr>
          <w:p w:rsidR="00F075FB" w:rsidRDefault="00F075FB" w:rsidP="00C01A94">
            <w:pPr>
              <w:spacing w:before="100" w:after="10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C903F8" w:rsidRDefault="00F075FB" w:rsidP="00C01A94">
            <w:pPr>
              <w:spacing w:before="100" w:after="100" w:line="240" w:lineRule="atLeast"/>
              <w:ind w:left="0" w:firstLine="0"/>
              <w:jc w:val="center"/>
              <w:rPr>
                <w:rFonts w:cs="Arial"/>
                <w:sz w:val="18"/>
                <w:szCs w:val="18"/>
              </w:rPr>
            </w:pPr>
          </w:p>
        </w:tc>
      </w:tr>
      <w:tr w:rsidR="00F075FB" w:rsidRPr="00C903F8" w:rsidTr="00196FBC">
        <w:trPr>
          <w:cantSplit/>
          <w:jc w:val="center"/>
        </w:trPr>
        <w:tc>
          <w:tcPr>
            <w:tcW w:w="1342" w:type="dxa"/>
            <w:vMerge/>
            <w:shd w:val="clear" w:color="auto" w:fill="auto"/>
          </w:tcPr>
          <w:p w:rsidR="00F075FB" w:rsidRPr="00C903F8" w:rsidRDefault="00F075FB" w:rsidP="00C01A94">
            <w:pPr>
              <w:spacing w:before="100" w:after="10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00" w:after="100" w:line="240" w:lineRule="atLeast"/>
              <w:ind w:left="0" w:firstLine="0"/>
              <w:rPr>
                <w:rFonts w:cs="Arial"/>
                <w:sz w:val="18"/>
                <w:szCs w:val="18"/>
              </w:rPr>
            </w:pPr>
            <w:r w:rsidRPr="004B4203">
              <w:rPr>
                <w:rFonts w:cs="Arial"/>
                <w:sz w:val="18"/>
                <w:szCs w:val="18"/>
              </w:rPr>
              <w:t>(9)</w:t>
            </w:r>
          </w:p>
        </w:tc>
        <w:tc>
          <w:tcPr>
            <w:tcW w:w="3296" w:type="dxa"/>
            <w:shd w:val="clear" w:color="auto" w:fill="auto"/>
          </w:tcPr>
          <w:p w:rsidR="00F075FB" w:rsidRPr="000C0B7A" w:rsidRDefault="00F075FB" w:rsidP="00C01A94">
            <w:pPr>
              <w:adjustRightInd w:val="0"/>
              <w:spacing w:before="100" w:after="100" w:line="240" w:lineRule="atLeast"/>
              <w:ind w:left="0" w:firstLine="0"/>
              <w:jc w:val="left"/>
              <w:rPr>
                <w:rFonts w:cs="Arial"/>
                <w:sz w:val="18"/>
                <w:szCs w:val="18"/>
              </w:rPr>
            </w:pPr>
            <w:r w:rsidRPr="004B4203">
              <w:rPr>
                <w:rFonts w:cs="Arial"/>
                <w:sz w:val="18"/>
                <w:szCs w:val="18"/>
              </w:rPr>
              <w:t>Monitoring</w:t>
            </w:r>
          </w:p>
        </w:tc>
        <w:tc>
          <w:tcPr>
            <w:tcW w:w="6521" w:type="dxa"/>
            <w:shd w:val="clear" w:color="auto" w:fill="auto"/>
          </w:tcPr>
          <w:p w:rsidR="00F075FB" w:rsidRDefault="00F075FB" w:rsidP="00C01A94">
            <w:pPr>
              <w:spacing w:before="100" w:after="10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C903F8" w:rsidRDefault="00F075FB" w:rsidP="00C01A94">
            <w:pPr>
              <w:spacing w:before="100" w:after="100" w:line="240" w:lineRule="atLeast"/>
              <w:ind w:left="0" w:firstLine="0"/>
              <w:jc w:val="center"/>
              <w:rPr>
                <w:rFonts w:cs="Arial"/>
                <w:sz w:val="18"/>
                <w:szCs w:val="18"/>
              </w:rPr>
            </w:pPr>
          </w:p>
        </w:tc>
      </w:tr>
      <w:tr w:rsidR="00F075FB" w:rsidRPr="00C903F8" w:rsidTr="00196FBC">
        <w:trPr>
          <w:cantSplit/>
          <w:jc w:val="center"/>
        </w:trPr>
        <w:tc>
          <w:tcPr>
            <w:tcW w:w="1342" w:type="dxa"/>
            <w:vMerge/>
            <w:shd w:val="clear" w:color="auto" w:fill="auto"/>
          </w:tcPr>
          <w:p w:rsidR="00F075FB" w:rsidRPr="00C903F8" w:rsidRDefault="00F075FB" w:rsidP="00C01A94">
            <w:pPr>
              <w:spacing w:before="100" w:after="10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00" w:after="100" w:line="240" w:lineRule="atLeast"/>
              <w:ind w:left="0" w:firstLine="0"/>
              <w:rPr>
                <w:rFonts w:cs="Arial"/>
                <w:sz w:val="18"/>
                <w:szCs w:val="18"/>
              </w:rPr>
            </w:pPr>
            <w:r w:rsidRPr="004B4203">
              <w:rPr>
                <w:rFonts w:cs="Arial"/>
                <w:sz w:val="18"/>
                <w:szCs w:val="18"/>
              </w:rPr>
              <w:t>(10)</w:t>
            </w:r>
          </w:p>
        </w:tc>
        <w:tc>
          <w:tcPr>
            <w:tcW w:w="3296" w:type="dxa"/>
            <w:shd w:val="clear" w:color="auto" w:fill="auto"/>
          </w:tcPr>
          <w:p w:rsidR="00F075FB" w:rsidRPr="000C0B7A" w:rsidRDefault="00F075FB" w:rsidP="00C01A94">
            <w:pPr>
              <w:adjustRightInd w:val="0"/>
              <w:spacing w:before="100" w:after="100" w:line="240" w:lineRule="atLeast"/>
              <w:ind w:left="0" w:firstLine="0"/>
              <w:jc w:val="left"/>
              <w:rPr>
                <w:rFonts w:cs="Arial"/>
                <w:sz w:val="18"/>
                <w:szCs w:val="18"/>
              </w:rPr>
            </w:pPr>
            <w:r w:rsidRPr="004B4203">
              <w:rPr>
                <w:rFonts w:cs="Arial"/>
                <w:sz w:val="18"/>
                <w:szCs w:val="18"/>
              </w:rPr>
              <w:t>Type examination</w:t>
            </w:r>
          </w:p>
        </w:tc>
        <w:tc>
          <w:tcPr>
            <w:tcW w:w="6521" w:type="dxa"/>
            <w:shd w:val="clear" w:color="auto" w:fill="auto"/>
          </w:tcPr>
          <w:p w:rsidR="00F075FB" w:rsidRDefault="00F075FB" w:rsidP="00C01A94">
            <w:pPr>
              <w:spacing w:before="100" w:after="10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F075FB" w:rsidRPr="00C903F8" w:rsidRDefault="00F075FB" w:rsidP="00C01A94">
            <w:pPr>
              <w:spacing w:before="100" w:after="100" w:line="240" w:lineRule="atLeast"/>
              <w:ind w:left="0" w:firstLine="0"/>
              <w:jc w:val="center"/>
              <w:rPr>
                <w:rFonts w:cs="Arial"/>
                <w:sz w:val="18"/>
                <w:szCs w:val="18"/>
              </w:rPr>
            </w:pPr>
          </w:p>
        </w:tc>
      </w:tr>
      <w:tr w:rsidR="00F075FB" w:rsidRPr="00C903F8" w:rsidTr="00196FBC">
        <w:trPr>
          <w:cantSplit/>
          <w:jc w:val="center"/>
        </w:trPr>
        <w:tc>
          <w:tcPr>
            <w:tcW w:w="1342" w:type="dxa"/>
            <w:shd w:val="clear" w:color="auto" w:fill="auto"/>
          </w:tcPr>
          <w:p w:rsidR="00F075FB" w:rsidRPr="004B4203" w:rsidRDefault="00F075FB" w:rsidP="00B74390">
            <w:pPr>
              <w:spacing w:before="60" w:after="60" w:line="240" w:lineRule="atLeast"/>
              <w:rPr>
                <w:rFonts w:cs="Arial"/>
                <w:sz w:val="18"/>
                <w:szCs w:val="18"/>
                <w:lang w:val="en-GB" w:eastAsia="de-DE"/>
              </w:rPr>
            </w:pPr>
            <w:r w:rsidRPr="008F6ABB">
              <w:rPr>
                <w:rFonts w:cs="Arial"/>
                <w:sz w:val="18"/>
                <w:szCs w:val="18"/>
                <w:lang w:val="en-GB" w:eastAsia="de-DE"/>
              </w:rPr>
              <w:t>10.19</w:t>
            </w:r>
          </w:p>
        </w:tc>
        <w:tc>
          <w:tcPr>
            <w:tcW w:w="1458" w:type="dxa"/>
            <w:shd w:val="clear" w:color="auto" w:fill="auto"/>
          </w:tcPr>
          <w:p w:rsidR="00F075FB" w:rsidRPr="00852DB3" w:rsidRDefault="00F075FB" w:rsidP="00B74390">
            <w:pPr>
              <w:spacing w:before="60" w:after="60" w:line="240" w:lineRule="atLeast"/>
              <w:rPr>
                <w:rFonts w:cs="Arial"/>
                <w:sz w:val="18"/>
                <w:szCs w:val="18"/>
              </w:rPr>
            </w:pPr>
          </w:p>
        </w:tc>
        <w:tc>
          <w:tcPr>
            <w:tcW w:w="3296" w:type="dxa"/>
            <w:shd w:val="clear" w:color="auto" w:fill="auto"/>
          </w:tcPr>
          <w:p w:rsidR="00F075FB" w:rsidRPr="003F5E4D" w:rsidRDefault="00F075FB" w:rsidP="00B74390">
            <w:pPr>
              <w:adjustRightInd w:val="0"/>
              <w:spacing w:before="60" w:after="60" w:line="240" w:lineRule="atLeast"/>
              <w:ind w:left="0" w:firstLine="0"/>
              <w:jc w:val="left"/>
              <w:rPr>
                <w:rFonts w:cs="Arial"/>
                <w:sz w:val="18"/>
                <w:szCs w:val="18"/>
                <w:lang w:val="en-GB"/>
              </w:rPr>
            </w:pPr>
            <w:r w:rsidRPr="003F5E4D">
              <w:rPr>
                <w:rFonts w:cs="Arial"/>
                <w:sz w:val="18"/>
                <w:szCs w:val="18"/>
                <w:lang w:val="en-GB"/>
              </w:rPr>
              <w:t xml:space="preserve">Alarm and safety systems for mechanical installations </w:t>
            </w:r>
          </w:p>
        </w:tc>
        <w:tc>
          <w:tcPr>
            <w:tcW w:w="6521" w:type="dxa"/>
            <w:shd w:val="clear" w:color="auto" w:fill="auto"/>
          </w:tcPr>
          <w:p w:rsidR="00F075FB" w:rsidRPr="00852DB3" w:rsidRDefault="00F075FB" w:rsidP="00B74390">
            <w:pPr>
              <w:spacing w:before="60" w:after="6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F075FB" w:rsidRPr="00852DB3" w:rsidRDefault="00F075FB" w:rsidP="00B74390">
            <w:pPr>
              <w:spacing w:before="60" w:after="60" w:line="240" w:lineRule="atLeast"/>
              <w:jc w:val="center"/>
              <w:rPr>
                <w:rFonts w:cs="Arial"/>
                <w:sz w:val="18"/>
                <w:szCs w:val="18"/>
              </w:rPr>
            </w:pPr>
            <w:r w:rsidRPr="004B4203">
              <w:rPr>
                <w:rFonts w:cs="Arial"/>
                <w:sz w:val="18"/>
                <w:szCs w:val="18"/>
              </w:rPr>
              <w:t>1.1.2015</w:t>
            </w:r>
          </w:p>
        </w:tc>
      </w:tr>
      <w:tr w:rsidR="00F075FB" w:rsidRPr="00C903F8" w:rsidTr="00196FBC">
        <w:trPr>
          <w:cantSplit/>
          <w:jc w:val="center"/>
        </w:trPr>
        <w:tc>
          <w:tcPr>
            <w:tcW w:w="1342" w:type="dxa"/>
            <w:shd w:val="clear" w:color="auto" w:fill="auto"/>
          </w:tcPr>
          <w:p w:rsidR="00F075FB" w:rsidRPr="004B4203" w:rsidRDefault="00F075FB" w:rsidP="00B74390">
            <w:pPr>
              <w:spacing w:before="60" w:after="60" w:line="240" w:lineRule="atLeast"/>
              <w:rPr>
                <w:rFonts w:cs="Arial"/>
                <w:sz w:val="18"/>
                <w:szCs w:val="18"/>
                <w:lang w:val="en-GB" w:eastAsia="de-DE"/>
              </w:rPr>
            </w:pPr>
            <w:r w:rsidRPr="008F6ABB">
              <w:rPr>
                <w:rFonts w:cs="Arial"/>
                <w:sz w:val="18"/>
                <w:szCs w:val="18"/>
                <w:lang w:val="en-GB" w:eastAsia="de-DE"/>
              </w:rPr>
              <w:t>10.20</w:t>
            </w:r>
          </w:p>
        </w:tc>
        <w:tc>
          <w:tcPr>
            <w:tcW w:w="1458" w:type="dxa"/>
            <w:shd w:val="clear" w:color="auto" w:fill="auto"/>
          </w:tcPr>
          <w:p w:rsidR="00F075FB" w:rsidRPr="00852DB3" w:rsidRDefault="00F075FB" w:rsidP="00B74390">
            <w:pPr>
              <w:spacing w:before="60" w:after="60" w:line="240" w:lineRule="atLeast"/>
              <w:rPr>
                <w:rFonts w:cs="Arial"/>
                <w:sz w:val="18"/>
                <w:szCs w:val="18"/>
              </w:rPr>
            </w:pPr>
          </w:p>
        </w:tc>
        <w:tc>
          <w:tcPr>
            <w:tcW w:w="3296" w:type="dxa"/>
            <w:shd w:val="clear" w:color="auto" w:fill="auto"/>
          </w:tcPr>
          <w:p w:rsidR="00F075FB" w:rsidRPr="003F5E4D" w:rsidRDefault="00F075FB" w:rsidP="00B74390">
            <w:pPr>
              <w:adjustRightInd w:val="0"/>
              <w:spacing w:before="60" w:after="60" w:line="240" w:lineRule="atLeast"/>
              <w:ind w:left="0" w:firstLine="0"/>
              <w:jc w:val="left"/>
              <w:rPr>
                <w:rFonts w:cs="Arial"/>
                <w:sz w:val="18"/>
                <w:szCs w:val="18"/>
                <w:lang w:val="en-GB"/>
              </w:rPr>
            </w:pPr>
            <w:r w:rsidRPr="003F5E4D">
              <w:rPr>
                <w:rFonts w:cs="Arial"/>
                <w:sz w:val="18"/>
                <w:szCs w:val="18"/>
                <w:lang w:val="en-GB"/>
              </w:rPr>
              <w:t>Test conditions for electronic installations</w:t>
            </w:r>
          </w:p>
        </w:tc>
        <w:tc>
          <w:tcPr>
            <w:tcW w:w="6521" w:type="dxa"/>
            <w:shd w:val="clear" w:color="auto" w:fill="auto"/>
          </w:tcPr>
          <w:p w:rsidR="00F075FB" w:rsidRPr="00852DB3" w:rsidRDefault="00F075FB" w:rsidP="00B74390">
            <w:pPr>
              <w:spacing w:before="60" w:after="6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F075FB" w:rsidRPr="00852DB3" w:rsidRDefault="00F075FB" w:rsidP="00B74390">
            <w:pPr>
              <w:spacing w:before="60" w:after="60" w:line="240" w:lineRule="atLeast"/>
              <w:jc w:val="center"/>
              <w:rPr>
                <w:rFonts w:cs="Arial"/>
                <w:sz w:val="18"/>
                <w:szCs w:val="18"/>
              </w:rPr>
            </w:pPr>
            <w:r w:rsidRPr="004B4203">
              <w:rPr>
                <w:rFonts w:cs="Arial"/>
                <w:sz w:val="18"/>
                <w:szCs w:val="18"/>
              </w:rPr>
              <w:t>1.1.2035</w:t>
            </w:r>
          </w:p>
        </w:tc>
      </w:tr>
      <w:tr w:rsidR="00F075FB" w:rsidRPr="00C903F8" w:rsidTr="00196FBC">
        <w:trPr>
          <w:cantSplit/>
          <w:jc w:val="center"/>
        </w:trPr>
        <w:tc>
          <w:tcPr>
            <w:tcW w:w="1342" w:type="dxa"/>
            <w:shd w:val="clear" w:color="auto" w:fill="auto"/>
          </w:tcPr>
          <w:p w:rsidR="00F075FB" w:rsidRPr="004B4203" w:rsidRDefault="00F075FB" w:rsidP="00B74390">
            <w:pPr>
              <w:spacing w:before="60" w:after="60" w:line="240" w:lineRule="atLeast"/>
              <w:rPr>
                <w:rFonts w:cs="Arial"/>
                <w:sz w:val="18"/>
                <w:szCs w:val="18"/>
                <w:lang w:val="en-GB" w:eastAsia="de-DE"/>
              </w:rPr>
            </w:pPr>
            <w:r w:rsidRPr="008F6ABB">
              <w:rPr>
                <w:rFonts w:cs="Arial"/>
                <w:sz w:val="18"/>
                <w:szCs w:val="18"/>
                <w:lang w:val="en-GB" w:eastAsia="de-DE"/>
              </w:rPr>
              <w:t>10.21</w:t>
            </w:r>
          </w:p>
        </w:tc>
        <w:tc>
          <w:tcPr>
            <w:tcW w:w="1458" w:type="dxa"/>
            <w:shd w:val="clear" w:color="auto" w:fill="auto"/>
          </w:tcPr>
          <w:p w:rsidR="00F075FB" w:rsidRPr="00852DB3" w:rsidRDefault="00F075FB" w:rsidP="00B74390">
            <w:pPr>
              <w:spacing w:before="60" w:after="60" w:line="240" w:lineRule="atLeast"/>
              <w:rPr>
                <w:rFonts w:cs="Arial"/>
                <w:sz w:val="18"/>
                <w:szCs w:val="18"/>
              </w:rPr>
            </w:pPr>
          </w:p>
        </w:tc>
        <w:tc>
          <w:tcPr>
            <w:tcW w:w="3296" w:type="dxa"/>
            <w:shd w:val="clear" w:color="auto" w:fill="auto"/>
          </w:tcPr>
          <w:p w:rsidR="00F075FB" w:rsidRPr="00852DB3" w:rsidRDefault="00F075FB" w:rsidP="00B74390">
            <w:pPr>
              <w:adjustRightInd w:val="0"/>
              <w:spacing w:before="60" w:after="60" w:line="240" w:lineRule="atLeast"/>
              <w:ind w:left="0" w:firstLine="0"/>
              <w:jc w:val="left"/>
              <w:rPr>
                <w:rFonts w:cs="Arial"/>
                <w:sz w:val="18"/>
                <w:szCs w:val="18"/>
              </w:rPr>
            </w:pPr>
            <w:r w:rsidRPr="004B4203">
              <w:rPr>
                <w:rFonts w:cs="Arial"/>
                <w:sz w:val="18"/>
                <w:szCs w:val="18"/>
              </w:rPr>
              <w:t>Electromagnetic compatibility</w:t>
            </w:r>
          </w:p>
        </w:tc>
        <w:tc>
          <w:tcPr>
            <w:tcW w:w="6521" w:type="dxa"/>
            <w:shd w:val="clear" w:color="auto" w:fill="auto"/>
          </w:tcPr>
          <w:p w:rsidR="00F075FB" w:rsidRPr="00852DB3" w:rsidRDefault="00F075FB" w:rsidP="00B74390">
            <w:pPr>
              <w:spacing w:before="60" w:after="60" w:line="240" w:lineRule="atLeast"/>
              <w:rPr>
                <w:rFonts w:cs="Arial"/>
                <w:sz w:val="18"/>
                <w:szCs w:val="18"/>
                <w:lang w:val="en-US"/>
              </w:rPr>
            </w:pPr>
            <w:r w:rsidRPr="004B4203">
              <w:rPr>
                <w:rFonts w:cs="Arial"/>
                <w:sz w:val="18"/>
                <w:szCs w:val="18"/>
                <w:lang w:val="en-US"/>
              </w:rPr>
              <w:t>N.R.C., at the latest on renewal of the inland navigation vessel certificate after</w:t>
            </w:r>
          </w:p>
        </w:tc>
        <w:tc>
          <w:tcPr>
            <w:tcW w:w="1276" w:type="dxa"/>
            <w:shd w:val="clear" w:color="auto" w:fill="auto"/>
          </w:tcPr>
          <w:p w:rsidR="00F075FB" w:rsidRPr="00852DB3" w:rsidRDefault="00F075FB" w:rsidP="00B74390">
            <w:pPr>
              <w:spacing w:before="60" w:after="60" w:line="240" w:lineRule="atLeast"/>
              <w:jc w:val="center"/>
              <w:rPr>
                <w:rFonts w:cs="Arial"/>
                <w:sz w:val="18"/>
                <w:szCs w:val="18"/>
              </w:rPr>
            </w:pPr>
            <w:r w:rsidRPr="004B4203">
              <w:rPr>
                <w:rFonts w:cs="Arial"/>
                <w:sz w:val="18"/>
                <w:szCs w:val="18"/>
              </w:rPr>
              <w:t>1.1.2035</w:t>
            </w:r>
          </w:p>
        </w:tc>
      </w:tr>
      <w:tr w:rsidR="00F075FB" w:rsidRPr="00C903F8" w:rsidTr="00196FBC">
        <w:trPr>
          <w:cantSplit/>
          <w:jc w:val="center"/>
        </w:trPr>
        <w:tc>
          <w:tcPr>
            <w:tcW w:w="6096" w:type="dxa"/>
            <w:gridSpan w:val="3"/>
            <w:shd w:val="clear" w:color="auto" w:fill="auto"/>
          </w:tcPr>
          <w:p w:rsidR="00F075FB" w:rsidRPr="00C903F8" w:rsidRDefault="00F075FB" w:rsidP="00B74390">
            <w:pPr>
              <w:spacing w:before="60" w:after="60" w:line="240" w:lineRule="atLeast"/>
              <w:ind w:left="0" w:firstLine="0"/>
              <w:jc w:val="center"/>
              <w:rPr>
                <w:rFonts w:cs="Arial"/>
                <w:sz w:val="18"/>
                <w:szCs w:val="18"/>
              </w:rPr>
            </w:pPr>
            <w:r w:rsidRPr="00C903F8">
              <w:rPr>
                <w:rFonts w:cs="Arial"/>
                <w:b/>
                <w:sz w:val="18"/>
                <w:szCs w:val="18"/>
              </w:rPr>
              <w:t>CHAPTER 13</w:t>
            </w:r>
          </w:p>
        </w:tc>
        <w:tc>
          <w:tcPr>
            <w:tcW w:w="6521" w:type="dxa"/>
            <w:shd w:val="clear" w:color="auto" w:fill="auto"/>
          </w:tcPr>
          <w:p w:rsidR="00F075FB" w:rsidRPr="00C903F8" w:rsidRDefault="00F075FB" w:rsidP="00B74390">
            <w:pPr>
              <w:spacing w:before="60" w:after="60" w:line="240" w:lineRule="atLeast"/>
              <w:ind w:left="0" w:firstLine="0"/>
              <w:rPr>
                <w:rFonts w:cs="Arial"/>
                <w:sz w:val="18"/>
                <w:szCs w:val="18"/>
              </w:rPr>
            </w:pPr>
          </w:p>
        </w:tc>
        <w:tc>
          <w:tcPr>
            <w:tcW w:w="1276" w:type="dxa"/>
            <w:shd w:val="clear" w:color="auto" w:fill="auto"/>
          </w:tcPr>
          <w:p w:rsidR="00F075FB" w:rsidRPr="00C903F8" w:rsidRDefault="00F075FB" w:rsidP="00B74390">
            <w:pPr>
              <w:spacing w:before="60" w:after="60" w:line="240" w:lineRule="atLeast"/>
              <w:ind w:left="0" w:firstLine="0"/>
              <w:rPr>
                <w:rFonts w:cs="Arial"/>
                <w:sz w:val="18"/>
                <w:szCs w:val="18"/>
              </w:rPr>
            </w:pPr>
          </w:p>
        </w:tc>
      </w:tr>
      <w:tr w:rsidR="00F075FB" w:rsidRPr="00C903F8" w:rsidTr="00196FBC">
        <w:trPr>
          <w:cantSplit/>
          <w:jc w:val="center"/>
        </w:trPr>
        <w:tc>
          <w:tcPr>
            <w:tcW w:w="1342" w:type="dxa"/>
            <w:tcBorders>
              <w:bottom w:val="single" w:sz="4" w:space="0" w:color="auto"/>
            </w:tcBorders>
            <w:shd w:val="clear" w:color="auto" w:fill="auto"/>
          </w:tcPr>
          <w:p w:rsidR="00F075FB" w:rsidRPr="00C903F8" w:rsidRDefault="00F075FB" w:rsidP="00B74390">
            <w:pPr>
              <w:spacing w:before="60" w:after="60" w:line="240" w:lineRule="atLeast"/>
              <w:ind w:left="0" w:firstLine="0"/>
              <w:rPr>
                <w:rFonts w:cs="Arial"/>
                <w:sz w:val="18"/>
                <w:szCs w:val="18"/>
              </w:rPr>
            </w:pPr>
            <w:r w:rsidRPr="00C903F8">
              <w:rPr>
                <w:rFonts w:cs="Arial"/>
                <w:sz w:val="18"/>
                <w:szCs w:val="18"/>
              </w:rPr>
              <w:t>13.01</w:t>
            </w:r>
          </w:p>
        </w:tc>
        <w:tc>
          <w:tcPr>
            <w:tcW w:w="1458" w:type="dxa"/>
            <w:shd w:val="clear" w:color="auto" w:fill="auto"/>
          </w:tcPr>
          <w:p w:rsidR="00F075FB" w:rsidRPr="00C903F8" w:rsidRDefault="00F075FB" w:rsidP="00B74390">
            <w:pPr>
              <w:spacing w:before="60" w:after="60" w:line="240" w:lineRule="atLeast"/>
              <w:ind w:left="0" w:firstLine="0"/>
              <w:rPr>
                <w:rFonts w:cs="Arial"/>
                <w:sz w:val="18"/>
                <w:szCs w:val="18"/>
              </w:rPr>
            </w:pPr>
          </w:p>
        </w:tc>
        <w:tc>
          <w:tcPr>
            <w:tcW w:w="3296" w:type="dxa"/>
            <w:shd w:val="clear" w:color="auto" w:fill="auto"/>
          </w:tcPr>
          <w:p w:rsidR="00F075FB" w:rsidRPr="00C903F8" w:rsidRDefault="00F075FB" w:rsidP="00B74390">
            <w:pPr>
              <w:spacing w:before="60" w:after="60" w:line="240" w:lineRule="atLeast"/>
              <w:ind w:left="0" w:firstLine="0"/>
              <w:rPr>
                <w:rFonts w:cs="Arial"/>
                <w:sz w:val="18"/>
                <w:szCs w:val="18"/>
              </w:rPr>
            </w:pPr>
            <w:r w:rsidRPr="00C903F8">
              <w:rPr>
                <w:rFonts w:cs="Arial"/>
                <w:noProof/>
                <w:sz w:val="18"/>
                <w:szCs w:val="18"/>
              </w:rPr>
              <w:t>Anchor equipment</w:t>
            </w:r>
          </w:p>
        </w:tc>
        <w:tc>
          <w:tcPr>
            <w:tcW w:w="6521" w:type="dxa"/>
            <w:shd w:val="clear" w:color="auto" w:fill="auto"/>
          </w:tcPr>
          <w:p w:rsidR="00F075FB" w:rsidRPr="00C903F8" w:rsidRDefault="00F075FB" w:rsidP="00B74390">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60" w:after="60" w:line="240" w:lineRule="atLeast"/>
              <w:ind w:left="0" w:firstLine="0"/>
              <w:rPr>
                <w:rFonts w:cs="Arial"/>
                <w:sz w:val="18"/>
                <w:szCs w:val="18"/>
              </w:rPr>
            </w:pPr>
            <w:r w:rsidRPr="00C903F8">
              <w:rPr>
                <w:rFonts w:cs="Arial"/>
                <w:sz w:val="18"/>
                <w:szCs w:val="18"/>
              </w:rPr>
              <w:t>1.1.2010</w:t>
            </w:r>
          </w:p>
        </w:tc>
      </w:tr>
      <w:tr w:rsidR="00F075FB" w:rsidRPr="00296858" w:rsidTr="0063563D">
        <w:trPr>
          <w:cantSplit/>
          <w:jc w:val="center"/>
        </w:trPr>
        <w:tc>
          <w:tcPr>
            <w:tcW w:w="1342" w:type="dxa"/>
            <w:tcBorders>
              <w:bottom w:val="nil"/>
            </w:tcBorders>
            <w:shd w:val="clear" w:color="auto" w:fill="auto"/>
          </w:tcPr>
          <w:p w:rsidR="00F075FB" w:rsidRPr="00C903F8" w:rsidRDefault="00F075FB" w:rsidP="00B74390">
            <w:pPr>
              <w:spacing w:before="60" w:after="60" w:line="240" w:lineRule="atLeast"/>
              <w:ind w:left="0" w:firstLine="0"/>
              <w:rPr>
                <w:rFonts w:cs="Arial"/>
                <w:sz w:val="18"/>
                <w:szCs w:val="18"/>
              </w:rPr>
            </w:pPr>
            <w:r w:rsidRPr="00C903F8">
              <w:rPr>
                <w:rFonts w:cs="Arial"/>
                <w:sz w:val="18"/>
                <w:szCs w:val="18"/>
              </w:rPr>
              <w:t>13.02</w:t>
            </w:r>
          </w:p>
        </w:tc>
        <w:tc>
          <w:tcPr>
            <w:tcW w:w="1458" w:type="dxa"/>
            <w:tcBorders>
              <w:bottom w:val="single" w:sz="4" w:space="0" w:color="auto"/>
            </w:tcBorders>
            <w:shd w:val="clear" w:color="auto" w:fill="auto"/>
          </w:tcPr>
          <w:p w:rsidR="00F075FB" w:rsidRPr="00C903F8" w:rsidRDefault="00F075FB" w:rsidP="00B74390">
            <w:pPr>
              <w:spacing w:before="60" w:after="60" w:line="240" w:lineRule="atLeast"/>
              <w:ind w:left="0" w:firstLine="0"/>
              <w:rPr>
                <w:rFonts w:cs="Arial"/>
                <w:sz w:val="18"/>
                <w:szCs w:val="18"/>
              </w:rPr>
            </w:pPr>
            <w:r w:rsidRPr="00C903F8">
              <w:rPr>
                <w:rFonts w:cs="Arial"/>
                <w:sz w:val="18"/>
                <w:szCs w:val="18"/>
              </w:rPr>
              <w:t>(2)</w:t>
            </w:r>
            <w:r>
              <w:rPr>
                <w:rFonts w:cs="Arial"/>
                <w:sz w:val="18"/>
                <w:szCs w:val="18"/>
              </w:rPr>
              <w:t>(</w:t>
            </w:r>
            <w:r w:rsidRPr="00C903F8">
              <w:rPr>
                <w:rFonts w:cs="Arial"/>
                <w:sz w:val="18"/>
                <w:szCs w:val="18"/>
              </w:rPr>
              <w:t>b)</w:t>
            </w:r>
          </w:p>
        </w:tc>
        <w:tc>
          <w:tcPr>
            <w:tcW w:w="3296" w:type="dxa"/>
            <w:tcBorders>
              <w:bottom w:val="single" w:sz="4" w:space="0" w:color="auto"/>
            </w:tcBorders>
            <w:shd w:val="clear" w:color="auto" w:fill="auto"/>
          </w:tcPr>
          <w:p w:rsidR="00F075FB" w:rsidRPr="00C903F8" w:rsidRDefault="00F075FB" w:rsidP="00B74390">
            <w:pPr>
              <w:spacing w:before="60" w:after="60" w:line="240" w:lineRule="atLeast"/>
              <w:ind w:left="0" w:firstLine="0"/>
              <w:rPr>
                <w:rFonts w:cs="Arial"/>
                <w:sz w:val="18"/>
                <w:szCs w:val="18"/>
                <w:lang w:val="en-US"/>
              </w:rPr>
            </w:pPr>
            <w:r w:rsidRPr="00C903F8">
              <w:rPr>
                <w:rFonts w:cs="Arial"/>
                <w:noProof/>
                <w:sz w:val="18"/>
                <w:szCs w:val="18"/>
                <w:lang w:val="en-US"/>
              </w:rPr>
              <w:t>Receptacles made of steel or another sturdy, non-flammable material and holding at least 10 litres</w:t>
            </w:r>
          </w:p>
        </w:tc>
        <w:tc>
          <w:tcPr>
            <w:tcW w:w="6521" w:type="dxa"/>
            <w:shd w:val="clear" w:color="auto" w:fill="auto"/>
          </w:tcPr>
          <w:p w:rsidR="00F075FB" w:rsidRPr="00C903F8" w:rsidRDefault="00F075FB" w:rsidP="00B74390">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w:t>
            </w:r>
          </w:p>
        </w:tc>
        <w:tc>
          <w:tcPr>
            <w:tcW w:w="1276" w:type="dxa"/>
            <w:shd w:val="clear" w:color="auto" w:fill="auto"/>
          </w:tcPr>
          <w:p w:rsidR="00F075FB" w:rsidRPr="00C903F8" w:rsidRDefault="00F075FB" w:rsidP="00B74390">
            <w:pPr>
              <w:spacing w:before="60" w:after="60" w:line="240" w:lineRule="atLeast"/>
              <w:ind w:left="0" w:firstLine="0"/>
              <w:rPr>
                <w:rFonts w:cs="Arial"/>
                <w:sz w:val="18"/>
                <w:szCs w:val="18"/>
                <w:lang w:val="en-US"/>
              </w:rPr>
            </w:pPr>
          </w:p>
        </w:tc>
      </w:tr>
      <w:tr w:rsidR="00F075FB" w:rsidRPr="00C903F8" w:rsidTr="00196FBC">
        <w:trPr>
          <w:cantSplit/>
          <w:jc w:val="center"/>
        </w:trPr>
        <w:tc>
          <w:tcPr>
            <w:tcW w:w="1342" w:type="dxa"/>
            <w:tcBorders>
              <w:bottom w:val="nil"/>
            </w:tcBorders>
            <w:shd w:val="clear" w:color="auto" w:fill="auto"/>
          </w:tcPr>
          <w:p w:rsidR="00F075FB" w:rsidRPr="00C903F8" w:rsidRDefault="00F075FB" w:rsidP="00B74390">
            <w:pPr>
              <w:spacing w:before="60" w:after="60" w:line="240" w:lineRule="atLeast"/>
              <w:ind w:left="0" w:firstLine="0"/>
              <w:rPr>
                <w:rFonts w:cs="Arial"/>
                <w:sz w:val="18"/>
                <w:szCs w:val="18"/>
              </w:rPr>
            </w:pPr>
            <w:r w:rsidRPr="00C903F8">
              <w:rPr>
                <w:rFonts w:cs="Arial"/>
                <w:sz w:val="18"/>
                <w:szCs w:val="18"/>
              </w:rPr>
              <w:t>13.03</w:t>
            </w:r>
          </w:p>
        </w:tc>
        <w:tc>
          <w:tcPr>
            <w:tcW w:w="1458" w:type="dxa"/>
            <w:shd w:val="clear" w:color="auto" w:fill="auto"/>
          </w:tcPr>
          <w:p w:rsidR="00F075FB" w:rsidRPr="00C903F8" w:rsidRDefault="00F075FB" w:rsidP="00B74390">
            <w:pPr>
              <w:spacing w:before="60" w:after="60" w:line="240" w:lineRule="atLeast"/>
              <w:ind w:left="0" w:firstLine="0"/>
              <w:rPr>
                <w:rFonts w:cs="Arial"/>
                <w:sz w:val="18"/>
                <w:szCs w:val="18"/>
              </w:rPr>
            </w:pPr>
            <w:r w:rsidRPr="00C903F8">
              <w:rPr>
                <w:rFonts w:cs="Arial"/>
                <w:sz w:val="18"/>
                <w:szCs w:val="18"/>
              </w:rPr>
              <w:t>(1)</w:t>
            </w:r>
          </w:p>
        </w:tc>
        <w:tc>
          <w:tcPr>
            <w:tcW w:w="3296" w:type="dxa"/>
            <w:shd w:val="clear" w:color="auto" w:fill="auto"/>
          </w:tcPr>
          <w:p w:rsidR="00F075FB" w:rsidRPr="00C903F8" w:rsidRDefault="00F075FB" w:rsidP="00B74390">
            <w:pPr>
              <w:spacing w:before="60" w:after="60" w:line="240" w:lineRule="atLeast"/>
              <w:ind w:left="0" w:firstLine="0"/>
              <w:rPr>
                <w:rFonts w:cs="Arial"/>
                <w:sz w:val="18"/>
                <w:szCs w:val="18"/>
              </w:rPr>
            </w:pPr>
            <w:r w:rsidRPr="00C903F8">
              <w:rPr>
                <w:rFonts w:cs="Arial"/>
                <w:noProof/>
                <w:sz w:val="18"/>
                <w:szCs w:val="18"/>
              </w:rPr>
              <w:t>European Standard</w:t>
            </w:r>
          </w:p>
        </w:tc>
        <w:tc>
          <w:tcPr>
            <w:tcW w:w="6521" w:type="dxa"/>
            <w:shd w:val="clear" w:color="auto" w:fill="auto"/>
          </w:tcPr>
          <w:p w:rsidR="00F075FB" w:rsidRPr="00C903F8" w:rsidRDefault="00F075FB" w:rsidP="00B74390">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60" w:after="6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60" w:after="6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60" w:after="60" w:line="240" w:lineRule="atLeast"/>
              <w:ind w:left="0" w:firstLine="0"/>
              <w:rPr>
                <w:rFonts w:cs="Arial"/>
                <w:sz w:val="18"/>
                <w:szCs w:val="18"/>
              </w:rPr>
            </w:pPr>
            <w:r w:rsidRPr="00C903F8">
              <w:rPr>
                <w:rFonts w:cs="Arial"/>
                <w:sz w:val="18"/>
                <w:szCs w:val="18"/>
              </w:rPr>
              <w:t>(2)</w:t>
            </w:r>
          </w:p>
        </w:tc>
        <w:tc>
          <w:tcPr>
            <w:tcW w:w="3296" w:type="dxa"/>
            <w:shd w:val="clear" w:color="auto" w:fill="auto"/>
          </w:tcPr>
          <w:p w:rsidR="00F075FB" w:rsidRPr="00C903F8" w:rsidRDefault="00F075FB" w:rsidP="00B74390">
            <w:pPr>
              <w:spacing w:before="60" w:after="60" w:line="240" w:lineRule="atLeast"/>
              <w:ind w:left="0" w:firstLine="0"/>
              <w:rPr>
                <w:rFonts w:cs="Arial"/>
                <w:sz w:val="18"/>
                <w:szCs w:val="18"/>
                <w:lang w:val="en-US"/>
              </w:rPr>
            </w:pPr>
            <w:r w:rsidRPr="00C903F8">
              <w:rPr>
                <w:rFonts w:cs="Arial"/>
                <w:noProof/>
                <w:sz w:val="18"/>
                <w:szCs w:val="18"/>
                <w:lang w:val="en-US"/>
              </w:rPr>
              <w:t>Suitability for Class A, B and C fires</w:t>
            </w:r>
          </w:p>
        </w:tc>
        <w:tc>
          <w:tcPr>
            <w:tcW w:w="6521" w:type="dxa"/>
            <w:shd w:val="clear" w:color="auto" w:fill="auto"/>
          </w:tcPr>
          <w:p w:rsidR="00F075FB" w:rsidRPr="00C903F8" w:rsidRDefault="00F075FB" w:rsidP="00B74390">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60" w:after="6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tcBorders>
              <w:top w:val="nil"/>
            </w:tcBorders>
            <w:shd w:val="clear" w:color="auto" w:fill="auto"/>
          </w:tcPr>
          <w:p w:rsidR="00F075FB" w:rsidRPr="00C903F8" w:rsidRDefault="00F075FB" w:rsidP="00B74390">
            <w:pPr>
              <w:spacing w:before="60" w:after="6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60" w:after="60" w:line="240" w:lineRule="atLeast"/>
              <w:ind w:left="0" w:firstLine="0"/>
              <w:rPr>
                <w:rFonts w:cs="Arial"/>
                <w:sz w:val="18"/>
                <w:szCs w:val="18"/>
              </w:rPr>
            </w:pPr>
            <w:r w:rsidRPr="00C903F8">
              <w:rPr>
                <w:rFonts w:cs="Arial"/>
                <w:sz w:val="18"/>
                <w:szCs w:val="18"/>
              </w:rPr>
              <w:t>(4)</w:t>
            </w:r>
          </w:p>
        </w:tc>
        <w:tc>
          <w:tcPr>
            <w:tcW w:w="3296" w:type="dxa"/>
            <w:shd w:val="clear" w:color="auto" w:fill="auto"/>
          </w:tcPr>
          <w:p w:rsidR="00F075FB" w:rsidRPr="00C903F8" w:rsidRDefault="00F075FB" w:rsidP="00B74390">
            <w:pPr>
              <w:spacing w:before="60" w:after="60" w:line="240" w:lineRule="atLeast"/>
              <w:ind w:left="0" w:firstLine="0"/>
              <w:rPr>
                <w:rFonts w:cs="Arial"/>
                <w:sz w:val="18"/>
                <w:szCs w:val="18"/>
                <w:lang w:val="en-US"/>
              </w:rPr>
            </w:pPr>
            <w:r w:rsidRPr="00C903F8">
              <w:rPr>
                <w:rFonts w:cs="Arial"/>
                <w:noProof/>
                <w:sz w:val="18"/>
                <w:szCs w:val="18"/>
                <w:lang w:val="en-US"/>
              </w:rPr>
              <w:t>Relation of CO</w:t>
            </w:r>
            <w:r w:rsidRPr="00C903F8">
              <w:rPr>
                <w:rFonts w:cs="Arial"/>
                <w:noProof/>
                <w:sz w:val="18"/>
                <w:szCs w:val="18"/>
                <w:vertAlign w:val="subscript"/>
                <w:lang w:val="en-US"/>
              </w:rPr>
              <w:t>2</w:t>
            </w:r>
            <w:r w:rsidRPr="00C903F8">
              <w:rPr>
                <w:rFonts w:cs="Arial"/>
                <w:noProof/>
                <w:sz w:val="18"/>
                <w:szCs w:val="18"/>
                <w:lang w:val="en-US"/>
              </w:rPr>
              <w:t xml:space="preserve"> content and size of room</w:t>
            </w:r>
          </w:p>
        </w:tc>
        <w:tc>
          <w:tcPr>
            <w:tcW w:w="6521" w:type="dxa"/>
            <w:shd w:val="clear" w:color="auto" w:fill="auto"/>
          </w:tcPr>
          <w:p w:rsidR="00F075FB" w:rsidRPr="00C903F8" w:rsidRDefault="00F075FB" w:rsidP="00B74390">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60" w:after="6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13.04</w:t>
            </w:r>
          </w:p>
        </w:tc>
        <w:tc>
          <w:tcPr>
            <w:tcW w:w="1458" w:type="dxa"/>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3296"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sidRPr="00C903F8">
              <w:rPr>
                <w:rFonts w:cs="Arial"/>
                <w:noProof/>
                <w:sz w:val="18"/>
                <w:szCs w:val="18"/>
                <w:lang w:val="en-US"/>
              </w:rPr>
              <w:t>Permanently installed fire-fighting systems in accommodation spaces, wheelhouses and passenger rooms</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1.1.2035</w:t>
            </w:r>
          </w:p>
        </w:tc>
      </w:tr>
      <w:tr w:rsidR="00F075FB" w:rsidRPr="00296858" w:rsidTr="00196FBC">
        <w:trPr>
          <w:cantSplit/>
          <w:jc w:val="center"/>
        </w:trPr>
        <w:tc>
          <w:tcPr>
            <w:tcW w:w="1342" w:type="dxa"/>
            <w:shd w:val="clear" w:color="auto" w:fill="auto"/>
          </w:tcPr>
          <w:p w:rsidR="00F075FB" w:rsidRPr="00C903F8" w:rsidRDefault="00F075FB" w:rsidP="00B74390">
            <w:pPr>
              <w:spacing w:before="160" w:after="160" w:line="240" w:lineRule="atLeast"/>
              <w:ind w:left="0" w:firstLine="0"/>
              <w:rPr>
                <w:rFonts w:cs="Arial"/>
                <w:sz w:val="18"/>
                <w:szCs w:val="18"/>
              </w:rPr>
            </w:pPr>
            <w:r w:rsidRPr="00C903F8">
              <w:rPr>
                <w:rFonts w:cs="Arial"/>
                <w:sz w:val="18"/>
                <w:szCs w:val="18"/>
              </w:rPr>
              <w:lastRenderedPageBreak/>
              <w:t>13.05</w:t>
            </w:r>
          </w:p>
        </w:tc>
        <w:tc>
          <w:tcPr>
            <w:tcW w:w="1458" w:type="dxa"/>
            <w:shd w:val="clear" w:color="auto" w:fill="auto"/>
          </w:tcPr>
          <w:p w:rsidR="00F075FB" w:rsidRPr="00C903F8" w:rsidRDefault="00F075FB" w:rsidP="00B74390">
            <w:pPr>
              <w:spacing w:before="160" w:after="160" w:line="240" w:lineRule="atLeast"/>
              <w:ind w:left="0" w:firstLine="0"/>
              <w:rPr>
                <w:rFonts w:cs="Arial"/>
                <w:sz w:val="18"/>
                <w:szCs w:val="18"/>
              </w:rPr>
            </w:pPr>
          </w:p>
        </w:tc>
        <w:tc>
          <w:tcPr>
            <w:tcW w:w="3296" w:type="dxa"/>
            <w:shd w:val="clear" w:color="auto" w:fill="auto"/>
          </w:tcPr>
          <w:p w:rsidR="00F075FB" w:rsidRPr="00C903F8" w:rsidRDefault="00F075FB" w:rsidP="00B74390">
            <w:pPr>
              <w:spacing w:before="160" w:after="160" w:line="240" w:lineRule="atLeast"/>
              <w:ind w:left="0" w:firstLine="0"/>
              <w:rPr>
                <w:rFonts w:cs="Arial"/>
                <w:sz w:val="18"/>
                <w:szCs w:val="18"/>
                <w:lang w:val="en-US"/>
              </w:rPr>
            </w:pPr>
            <w:r w:rsidRPr="00C903F8">
              <w:rPr>
                <w:rFonts w:cs="Arial"/>
                <w:noProof/>
                <w:sz w:val="18"/>
                <w:szCs w:val="18"/>
                <w:lang w:val="en-US"/>
              </w:rPr>
              <w:t>Permanently installed fire-fighting systems in engine rooms, boiler rooms and pump rooms</w:t>
            </w:r>
          </w:p>
        </w:tc>
        <w:tc>
          <w:tcPr>
            <w:tcW w:w="6521" w:type="dxa"/>
            <w:shd w:val="clear" w:color="auto" w:fill="auto"/>
          </w:tcPr>
          <w:p w:rsidR="00F075FB" w:rsidRPr="00330D4B" w:rsidRDefault="00F075FB" w:rsidP="00B74390">
            <w:pPr>
              <w:shd w:val="clear" w:color="auto" w:fill="FFFFFF"/>
              <w:tabs>
                <w:tab w:val="left" w:pos="263"/>
              </w:tabs>
              <w:spacing w:before="160" w:after="160" w:line="240" w:lineRule="atLeast"/>
              <w:ind w:left="263" w:hanging="263"/>
              <w:rPr>
                <w:rFonts w:cs="Arial"/>
                <w:sz w:val="18"/>
                <w:szCs w:val="18"/>
                <w:lang w:val="en-US"/>
              </w:rPr>
            </w:pPr>
            <w:r w:rsidRPr="00330D4B">
              <w:rPr>
                <w:rFonts w:cs="Arial"/>
                <w:sz w:val="18"/>
                <w:szCs w:val="18"/>
                <w:lang w:val="en-US"/>
              </w:rPr>
              <w:t>a)</w:t>
            </w:r>
            <w:r w:rsidRPr="00330D4B">
              <w:rPr>
                <w:rFonts w:cs="Arial"/>
                <w:sz w:val="18"/>
                <w:szCs w:val="18"/>
                <w:lang w:val="en-US"/>
              </w:rPr>
              <w:tab/>
              <w:t>Permanent CO</w:t>
            </w:r>
            <w:r w:rsidRPr="00330D4B">
              <w:rPr>
                <w:rFonts w:cs="Arial"/>
                <w:sz w:val="18"/>
                <w:szCs w:val="18"/>
                <w:vertAlign w:val="subscript"/>
                <w:lang w:val="en-US"/>
              </w:rPr>
              <w:t>2</w:t>
            </w:r>
            <w:r w:rsidRPr="00330D4B">
              <w:rPr>
                <w:rFonts w:cs="Arial"/>
                <w:sz w:val="18"/>
                <w:szCs w:val="18"/>
                <w:lang w:val="en-US"/>
              </w:rPr>
              <w:t xml:space="preserve"> fire-fighting systems installed before 1 October 1980 may remain in use until the renewal of the inland navigation certificate after 1.1.2035, if they comply with the requirements of Article 7.03(5) of the Rhine Vessel Inspection Regulations in force on 1 April 1976 (Protocol CCNR</w:t>
            </w:r>
            <w:r w:rsidRPr="00330D4B">
              <w:rPr>
                <w:rFonts w:cs="Arial"/>
                <w:noProof/>
                <w:sz w:val="18"/>
                <w:szCs w:val="18"/>
                <w:lang w:val="en-US"/>
              </w:rPr>
              <w:t xml:space="preserve"> 1975-I-23).</w:t>
            </w:r>
          </w:p>
          <w:p w:rsidR="00F075FB" w:rsidRPr="00330D4B" w:rsidRDefault="00F075FB" w:rsidP="00B74390">
            <w:pPr>
              <w:pStyle w:val="BodyTextIndent"/>
              <w:shd w:val="clear" w:color="auto" w:fill="FFFFFF"/>
              <w:tabs>
                <w:tab w:val="left" w:pos="263"/>
              </w:tabs>
              <w:spacing w:before="160" w:after="160" w:line="240" w:lineRule="atLeast"/>
              <w:ind w:left="263" w:hanging="263"/>
              <w:rPr>
                <w:rFonts w:cs="Arial"/>
                <w:sz w:val="18"/>
                <w:szCs w:val="18"/>
                <w:lang w:val="en-US"/>
              </w:rPr>
            </w:pPr>
            <w:r w:rsidRPr="00330D4B">
              <w:rPr>
                <w:rFonts w:cs="Arial"/>
                <w:sz w:val="18"/>
                <w:szCs w:val="18"/>
                <w:lang w:val="en-US"/>
              </w:rPr>
              <w:t>b)</w:t>
            </w:r>
            <w:r w:rsidRPr="00330D4B">
              <w:rPr>
                <w:rFonts w:cs="Arial"/>
                <w:sz w:val="18"/>
                <w:szCs w:val="18"/>
                <w:lang w:val="en-US"/>
              </w:rPr>
              <w:tab/>
              <w:t>Permanent CO</w:t>
            </w:r>
            <w:r w:rsidRPr="00330D4B">
              <w:rPr>
                <w:rFonts w:cs="Arial"/>
                <w:sz w:val="18"/>
                <w:szCs w:val="18"/>
                <w:vertAlign w:val="subscript"/>
                <w:lang w:val="en-US"/>
              </w:rPr>
              <w:t>2</w:t>
            </w:r>
            <w:r w:rsidRPr="00330D4B">
              <w:rPr>
                <w:rFonts w:cs="Arial"/>
                <w:sz w:val="18"/>
                <w:szCs w:val="18"/>
                <w:lang w:val="en-US"/>
              </w:rPr>
              <w:t xml:space="preserve"> fire-fighting systems installed between 1 April 1992 and 31 December 1994 may remain in use until the renewal of the inland navigation certificate vessel after 1.1.2035, if they comply with the requirements of Article 7.03(5) of the Rhine Vessel Inspection Regulations in force on 31 December 1994.</w:t>
            </w:r>
          </w:p>
          <w:p w:rsidR="00F075FB" w:rsidRPr="00330D4B" w:rsidRDefault="00F075FB" w:rsidP="00B74390">
            <w:pPr>
              <w:pStyle w:val="FootnoteText"/>
              <w:tabs>
                <w:tab w:val="left" w:pos="263"/>
              </w:tabs>
              <w:spacing w:before="160" w:after="160" w:line="240" w:lineRule="atLeast"/>
              <w:ind w:left="263" w:hanging="263"/>
              <w:rPr>
                <w:rFonts w:cs="Arial"/>
                <w:sz w:val="18"/>
                <w:szCs w:val="18"/>
                <w:lang w:val="en-US"/>
              </w:rPr>
            </w:pPr>
            <w:r w:rsidRPr="00330D4B">
              <w:rPr>
                <w:rFonts w:cs="Arial"/>
                <w:sz w:val="18"/>
                <w:szCs w:val="18"/>
                <w:lang w:val="en-US"/>
              </w:rPr>
              <w:t>c)</w:t>
            </w:r>
            <w:r w:rsidRPr="00330D4B">
              <w:rPr>
                <w:rFonts w:cs="Arial"/>
                <w:sz w:val="18"/>
                <w:szCs w:val="18"/>
                <w:lang w:val="en-US"/>
              </w:rPr>
              <w:tab/>
              <w:t>Recommendations of the CCNR issued between 1 April 1992 and 31 December 1994 with regard to Article 7.03(5) of the Rhine Vessel Inspection Regulations in force on 31 December 1994 remain valid until renewal of the inland navigation vessel certificate after after 1.1.2035.</w:t>
            </w:r>
          </w:p>
          <w:p w:rsidR="00F075FB" w:rsidRPr="00C903F8" w:rsidRDefault="00F075FB" w:rsidP="00B74390">
            <w:pPr>
              <w:pStyle w:val="FootnoteText"/>
              <w:shd w:val="clear" w:color="auto" w:fill="FFFFFF"/>
              <w:tabs>
                <w:tab w:val="left" w:pos="263"/>
              </w:tabs>
              <w:spacing w:before="160" w:after="160" w:line="240" w:lineRule="atLeast"/>
              <w:ind w:left="263" w:hanging="263"/>
              <w:rPr>
                <w:rFonts w:cs="Arial"/>
                <w:sz w:val="18"/>
                <w:szCs w:val="18"/>
                <w:lang w:val="en-US"/>
              </w:rPr>
            </w:pPr>
            <w:r w:rsidRPr="00330D4B">
              <w:rPr>
                <w:rFonts w:cs="Arial"/>
                <w:sz w:val="18"/>
                <w:szCs w:val="18"/>
                <w:lang w:val="en-US"/>
              </w:rPr>
              <w:t>d)</w:t>
            </w:r>
            <w:r w:rsidRPr="00330D4B">
              <w:rPr>
                <w:rFonts w:cs="Arial"/>
                <w:sz w:val="18"/>
                <w:szCs w:val="18"/>
                <w:lang w:val="en-US"/>
              </w:rPr>
              <w:tab/>
              <w:t>Article 13.05(2)(a) is only applicable until the renewal of the inland navigation vessel certificate after 1.1.2035 if those installations have been installed in vessels laid down after 1 October 1992.</w:t>
            </w:r>
          </w:p>
        </w:tc>
        <w:tc>
          <w:tcPr>
            <w:tcW w:w="1276" w:type="dxa"/>
            <w:shd w:val="clear" w:color="auto" w:fill="auto"/>
          </w:tcPr>
          <w:p w:rsidR="00F075FB" w:rsidRPr="00A21D74" w:rsidRDefault="00F075FB" w:rsidP="00B74390">
            <w:pPr>
              <w:spacing w:before="160" w:after="160" w:line="240" w:lineRule="atLeast"/>
              <w:ind w:left="0" w:firstLine="0"/>
              <w:rPr>
                <w:rFonts w:cs="Arial"/>
                <w:sz w:val="18"/>
                <w:szCs w:val="18"/>
                <w:lang w:val="en-US"/>
              </w:rPr>
            </w:pPr>
          </w:p>
        </w:tc>
      </w:tr>
      <w:tr w:rsidR="00F075FB" w:rsidRPr="00C903F8" w:rsidTr="00C01A94">
        <w:trPr>
          <w:cantSplit/>
          <w:jc w:val="center"/>
        </w:trPr>
        <w:tc>
          <w:tcPr>
            <w:tcW w:w="1342" w:type="dxa"/>
            <w:tcBorders>
              <w:bottom w:val="single" w:sz="4" w:space="0" w:color="auto"/>
            </w:tcBorders>
            <w:shd w:val="clear" w:color="auto" w:fill="auto"/>
          </w:tcPr>
          <w:p w:rsidR="00F075FB" w:rsidRPr="00C903F8" w:rsidRDefault="00F075FB" w:rsidP="00B74390">
            <w:pPr>
              <w:spacing w:before="240" w:after="240" w:line="240" w:lineRule="atLeast"/>
              <w:ind w:left="0" w:firstLine="0"/>
              <w:rPr>
                <w:rFonts w:cs="Arial"/>
                <w:sz w:val="18"/>
                <w:szCs w:val="18"/>
              </w:rPr>
            </w:pPr>
            <w:r w:rsidRPr="00C903F8">
              <w:rPr>
                <w:rFonts w:cs="Arial"/>
                <w:sz w:val="18"/>
                <w:szCs w:val="18"/>
              </w:rPr>
              <w:t>13.07</w:t>
            </w:r>
            <w:r w:rsidRPr="00B60926">
              <w:rPr>
                <w:rFonts w:cs="Arial"/>
                <w:color w:val="000000"/>
                <w:sz w:val="18"/>
                <w:vertAlign w:val="superscript"/>
                <w:lang w:val="en-GB" w:eastAsia="en-GB" w:bidi="en-GB"/>
              </w:rPr>
              <w:footnoteReference w:id="27"/>
            </w:r>
          </w:p>
        </w:tc>
        <w:tc>
          <w:tcPr>
            <w:tcW w:w="1458" w:type="dxa"/>
            <w:tcBorders>
              <w:bottom w:val="single" w:sz="4" w:space="0" w:color="auto"/>
            </w:tcBorders>
            <w:shd w:val="clear" w:color="auto" w:fill="auto"/>
          </w:tcPr>
          <w:p w:rsidR="00F075FB" w:rsidRPr="00C903F8" w:rsidRDefault="00F075FB" w:rsidP="00B74390">
            <w:pPr>
              <w:spacing w:before="240" w:after="240" w:line="240" w:lineRule="atLeast"/>
              <w:ind w:left="0" w:firstLine="0"/>
              <w:rPr>
                <w:rFonts w:cs="Arial"/>
                <w:sz w:val="18"/>
                <w:szCs w:val="18"/>
              </w:rPr>
            </w:pPr>
          </w:p>
        </w:tc>
        <w:tc>
          <w:tcPr>
            <w:tcW w:w="3296" w:type="dxa"/>
            <w:tcBorders>
              <w:bottom w:val="single" w:sz="4" w:space="0" w:color="auto"/>
            </w:tcBorders>
            <w:shd w:val="clear" w:color="auto" w:fill="auto"/>
          </w:tcPr>
          <w:p w:rsidR="00F075FB" w:rsidRPr="00C903F8" w:rsidRDefault="00F075FB" w:rsidP="00B74390">
            <w:pPr>
              <w:spacing w:before="240" w:after="240" w:line="240" w:lineRule="atLeast"/>
              <w:ind w:left="0" w:firstLine="0"/>
              <w:rPr>
                <w:rFonts w:cs="Arial"/>
                <w:sz w:val="18"/>
                <w:szCs w:val="18"/>
                <w:lang w:val="en-US"/>
              </w:rPr>
            </w:pPr>
            <w:r w:rsidRPr="00275FCF">
              <w:rPr>
                <w:rFonts w:cs="Arial"/>
                <w:noProof/>
                <w:sz w:val="18"/>
                <w:szCs w:val="18"/>
                <w:lang w:val="en-US"/>
              </w:rPr>
              <w:t>Application of the European Standard to ship’s boat</w:t>
            </w:r>
          </w:p>
        </w:tc>
        <w:tc>
          <w:tcPr>
            <w:tcW w:w="6521" w:type="dxa"/>
            <w:shd w:val="clear" w:color="auto" w:fill="auto"/>
          </w:tcPr>
          <w:p w:rsidR="00F075FB" w:rsidRPr="00C903F8" w:rsidRDefault="00F075FB" w:rsidP="00B74390">
            <w:pPr>
              <w:spacing w:before="240" w:after="2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240" w:after="240" w:line="240" w:lineRule="atLeast"/>
              <w:ind w:left="0" w:firstLine="0"/>
              <w:rPr>
                <w:rFonts w:cs="Arial"/>
                <w:sz w:val="18"/>
                <w:szCs w:val="18"/>
              </w:rPr>
            </w:pPr>
            <w:r w:rsidRPr="00C903F8">
              <w:rPr>
                <w:rFonts w:cs="Arial"/>
                <w:sz w:val="18"/>
                <w:szCs w:val="18"/>
              </w:rPr>
              <w:t>1.1.2020</w:t>
            </w:r>
          </w:p>
        </w:tc>
      </w:tr>
      <w:tr w:rsidR="00F075FB" w:rsidRPr="00C903F8" w:rsidTr="00C01A94">
        <w:trPr>
          <w:cantSplit/>
          <w:jc w:val="center"/>
        </w:trPr>
        <w:tc>
          <w:tcPr>
            <w:tcW w:w="1342" w:type="dxa"/>
            <w:tcBorders>
              <w:bottom w:val="nil"/>
            </w:tcBorders>
            <w:shd w:val="clear" w:color="auto" w:fill="auto"/>
          </w:tcPr>
          <w:p w:rsidR="00F075FB" w:rsidRPr="00C903F8" w:rsidRDefault="00F075FB" w:rsidP="00B74390">
            <w:pPr>
              <w:spacing w:before="240" w:after="240" w:line="240" w:lineRule="atLeast"/>
              <w:ind w:left="0" w:firstLine="0"/>
              <w:rPr>
                <w:rFonts w:cs="Arial"/>
                <w:sz w:val="18"/>
                <w:szCs w:val="18"/>
              </w:rPr>
            </w:pPr>
            <w:r w:rsidRPr="00C903F8">
              <w:rPr>
                <w:rFonts w:cs="Arial"/>
                <w:sz w:val="18"/>
                <w:szCs w:val="18"/>
              </w:rPr>
              <w:t>13.08</w:t>
            </w:r>
          </w:p>
        </w:tc>
        <w:tc>
          <w:tcPr>
            <w:tcW w:w="1458" w:type="dxa"/>
            <w:vMerge w:val="restart"/>
            <w:shd w:val="clear" w:color="auto" w:fill="auto"/>
          </w:tcPr>
          <w:p w:rsidR="00F075FB" w:rsidRPr="00C903F8" w:rsidRDefault="00F075FB" w:rsidP="00B74390">
            <w:pPr>
              <w:spacing w:before="240" w:after="240" w:line="240" w:lineRule="atLeast"/>
              <w:ind w:left="0" w:firstLine="0"/>
              <w:rPr>
                <w:rFonts w:cs="Arial"/>
                <w:sz w:val="18"/>
                <w:szCs w:val="18"/>
              </w:rPr>
            </w:pPr>
            <w:r w:rsidRPr="00C903F8">
              <w:rPr>
                <w:rFonts w:cs="Arial"/>
                <w:sz w:val="18"/>
                <w:szCs w:val="18"/>
              </w:rPr>
              <w:t>(2)</w:t>
            </w:r>
          </w:p>
        </w:tc>
        <w:tc>
          <w:tcPr>
            <w:tcW w:w="3296" w:type="dxa"/>
            <w:vMerge w:val="restart"/>
            <w:shd w:val="clear" w:color="auto" w:fill="auto"/>
          </w:tcPr>
          <w:p w:rsidR="00F075FB" w:rsidRPr="00C903F8" w:rsidRDefault="00F075FB" w:rsidP="00B74390">
            <w:pPr>
              <w:spacing w:before="240" w:after="240" w:line="240" w:lineRule="atLeast"/>
              <w:ind w:left="0" w:firstLine="0"/>
              <w:rPr>
                <w:rFonts w:cs="Arial"/>
                <w:sz w:val="18"/>
                <w:szCs w:val="18"/>
              </w:rPr>
            </w:pPr>
            <w:r w:rsidRPr="00C903F8">
              <w:rPr>
                <w:rFonts w:cs="Arial"/>
                <w:noProof/>
                <w:sz w:val="18"/>
                <w:szCs w:val="18"/>
              </w:rPr>
              <w:t>Inflatable life jackets</w:t>
            </w:r>
          </w:p>
        </w:tc>
        <w:tc>
          <w:tcPr>
            <w:tcW w:w="6521" w:type="dxa"/>
            <w:shd w:val="clear" w:color="auto" w:fill="auto"/>
          </w:tcPr>
          <w:p w:rsidR="00F075FB" w:rsidRPr="00C903F8" w:rsidRDefault="00F075FB" w:rsidP="00B74390">
            <w:pPr>
              <w:spacing w:before="240" w:after="2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240" w:after="240" w:line="240" w:lineRule="atLeast"/>
              <w:ind w:left="0" w:firstLine="0"/>
              <w:rPr>
                <w:rFonts w:cs="Arial"/>
                <w:sz w:val="18"/>
                <w:szCs w:val="18"/>
              </w:rPr>
            </w:pPr>
            <w:r w:rsidRPr="00C903F8">
              <w:rPr>
                <w:rFonts w:cs="Arial"/>
                <w:sz w:val="18"/>
                <w:szCs w:val="18"/>
              </w:rPr>
              <w:t>1.1.2010</w:t>
            </w:r>
          </w:p>
        </w:tc>
      </w:tr>
      <w:tr w:rsidR="00F075FB" w:rsidRPr="00C903F8" w:rsidTr="00C01A94">
        <w:trPr>
          <w:cantSplit/>
          <w:jc w:val="center"/>
        </w:trPr>
        <w:tc>
          <w:tcPr>
            <w:tcW w:w="1342" w:type="dxa"/>
            <w:tcBorders>
              <w:top w:val="nil"/>
            </w:tcBorders>
            <w:shd w:val="clear" w:color="auto" w:fill="auto"/>
          </w:tcPr>
          <w:p w:rsidR="00F075FB" w:rsidRPr="00C903F8" w:rsidRDefault="00F075FB" w:rsidP="00B74390">
            <w:pPr>
              <w:spacing w:before="240" w:after="240" w:line="240" w:lineRule="atLeast"/>
              <w:ind w:left="0" w:firstLine="0"/>
              <w:rPr>
                <w:rFonts w:cs="Arial"/>
                <w:sz w:val="18"/>
                <w:szCs w:val="18"/>
              </w:rPr>
            </w:pPr>
          </w:p>
        </w:tc>
        <w:tc>
          <w:tcPr>
            <w:tcW w:w="1458" w:type="dxa"/>
            <w:vMerge/>
            <w:shd w:val="clear" w:color="auto" w:fill="auto"/>
          </w:tcPr>
          <w:p w:rsidR="00F075FB" w:rsidRPr="00C903F8" w:rsidRDefault="00F075FB" w:rsidP="00B74390">
            <w:pPr>
              <w:spacing w:before="240" w:after="240" w:line="240" w:lineRule="atLeast"/>
              <w:ind w:left="0" w:firstLine="0"/>
              <w:rPr>
                <w:rFonts w:cs="Arial"/>
                <w:sz w:val="18"/>
                <w:szCs w:val="18"/>
              </w:rPr>
            </w:pPr>
          </w:p>
        </w:tc>
        <w:tc>
          <w:tcPr>
            <w:tcW w:w="3296" w:type="dxa"/>
            <w:vMerge/>
            <w:shd w:val="clear" w:color="auto" w:fill="auto"/>
          </w:tcPr>
          <w:p w:rsidR="00F075FB" w:rsidRPr="00C903F8" w:rsidRDefault="00F075FB" w:rsidP="00B74390">
            <w:pPr>
              <w:spacing w:before="240" w:after="240" w:line="240" w:lineRule="atLeast"/>
              <w:ind w:left="0" w:firstLine="0"/>
              <w:rPr>
                <w:rFonts w:cs="Arial"/>
                <w:sz w:val="18"/>
                <w:szCs w:val="18"/>
              </w:rPr>
            </w:pPr>
          </w:p>
        </w:tc>
        <w:tc>
          <w:tcPr>
            <w:tcW w:w="6521" w:type="dxa"/>
            <w:shd w:val="clear" w:color="auto" w:fill="auto"/>
          </w:tcPr>
          <w:p w:rsidR="00F075FB" w:rsidRPr="00C903F8" w:rsidRDefault="00F075FB" w:rsidP="00B74390">
            <w:pPr>
              <w:spacing w:before="240" w:after="240" w:line="240" w:lineRule="atLeast"/>
              <w:ind w:left="0" w:firstLine="0"/>
              <w:rPr>
                <w:rFonts w:cs="Arial"/>
                <w:sz w:val="18"/>
                <w:szCs w:val="18"/>
                <w:lang w:val="en-US"/>
              </w:rPr>
            </w:pPr>
            <w:r w:rsidRPr="00C903F8">
              <w:rPr>
                <w:rFonts w:cs="Arial"/>
                <w:sz w:val="18"/>
                <w:szCs w:val="18"/>
                <w:lang w:val="en-US"/>
              </w:rPr>
              <w:t xml:space="preserve">Life jackets which have been on board on 30.9.2003 may be used until the renewal of the inland navigation vessel certificate after </w:t>
            </w:r>
          </w:p>
        </w:tc>
        <w:tc>
          <w:tcPr>
            <w:tcW w:w="1276" w:type="dxa"/>
            <w:shd w:val="clear" w:color="auto" w:fill="auto"/>
          </w:tcPr>
          <w:p w:rsidR="00F075FB" w:rsidRPr="00C903F8" w:rsidRDefault="00F075FB" w:rsidP="00B74390">
            <w:pPr>
              <w:spacing w:before="240" w:after="240" w:line="240" w:lineRule="atLeast"/>
              <w:ind w:left="0" w:firstLine="0"/>
              <w:rPr>
                <w:rFonts w:cs="Arial"/>
                <w:sz w:val="18"/>
                <w:szCs w:val="18"/>
              </w:rPr>
            </w:pPr>
            <w:r w:rsidRPr="00C903F8">
              <w:rPr>
                <w:rFonts w:cs="Arial"/>
                <w:sz w:val="18"/>
                <w:szCs w:val="18"/>
              </w:rPr>
              <w:t>1.1.2010</w:t>
            </w:r>
          </w:p>
        </w:tc>
      </w:tr>
      <w:tr w:rsidR="00F075FB" w:rsidRPr="00C903F8" w:rsidTr="00E113D0">
        <w:trPr>
          <w:cantSplit/>
          <w:trHeight w:val="64"/>
          <w:jc w:val="center"/>
        </w:trPr>
        <w:tc>
          <w:tcPr>
            <w:tcW w:w="6096" w:type="dxa"/>
            <w:gridSpan w:val="3"/>
            <w:shd w:val="clear" w:color="auto" w:fill="auto"/>
          </w:tcPr>
          <w:p w:rsidR="00F075FB" w:rsidRPr="00C903F8" w:rsidRDefault="00F075FB" w:rsidP="00B74390">
            <w:pPr>
              <w:spacing w:before="100" w:after="100" w:line="240" w:lineRule="atLeast"/>
              <w:ind w:left="0" w:firstLine="0"/>
              <w:jc w:val="center"/>
              <w:rPr>
                <w:rFonts w:cs="Arial"/>
                <w:sz w:val="18"/>
                <w:szCs w:val="18"/>
              </w:rPr>
            </w:pPr>
            <w:r w:rsidRPr="00C903F8">
              <w:rPr>
                <w:rFonts w:cs="Arial"/>
                <w:b/>
                <w:sz w:val="18"/>
                <w:szCs w:val="18"/>
              </w:rPr>
              <w:lastRenderedPageBreak/>
              <w:t>CHAPTER 14</w:t>
            </w:r>
          </w:p>
        </w:tc>
        <w:tc>
          <w:tcPr>
            <w:tcW w:w="6521" w:type="dxa"/>
            <w:shd w:val="clear" w:color="auto" w:fill="auto"/>
          </w:tcPr>
          <w:p w:rsidR="00F075FB" w:rsidRPr="00C903F8" w:rsidRDefault="00F075FB" w:rsidP="00B74390">
            <w:pPr>
              <w:spacing w:before="100" w:after="100" w:line="240" w:lineRule="atLeast"/>
              <w:ind w:left="0" w:firstLine="0"/>
              <w:rPr>
                <w:rFonts w:cs="Arial"/>
                <w:sz w:val="18"/>
                <w:szCs w:val="18"/>
              </w:rPr>
            </w:pPr>
          </w:p>
        </w:tc>
        <w:tc>
          <w:tcPr>
            <w:tcW w:w="1276" w:type="dxa"/>
            <w:shd w:val="clear" w:color="auto" w:fill="auto"/>
          </w:tcPr>
          <w:p w:rsidR="00F075FB" w:rsidRPr="00C903F8" w:rsidRDefault="00F075FB" w:rsidP="00B74390">
            <w:pPr>
              <w:spacing w:before="100" w:after="100" w:line="240" w:lineRule="atLeast"/>
              <w:ind w:left="0" w:firstLine="0"/>
              <w:rPr>
                <w:rFonts w:cs="Arial"/>
                <w:sz w:val="18"/>
                <w:szCs w:val="18"/>
              </w:rPr>
            </w:pPr>
          </w:p>
        </w:tc>
      </w:tr>
      <w:tr w:rsidR="00F075FB" w:rsidRPr="00C903F8" w:rsidTr="00196FBC">
        <w:trPr>
          <w:cantSplit/>
          <w:jc w:val="center"/>
        </w:trPr>
        <w:tc>
          <w:tcPr>
            <w:tcW w:w="1342" w:type="dxa"/>
            <w:tcBorders>
              <w:bottom w:val="nil"/>
            </w:tcBorders>
            <w:shd w:val="clear" w:color="auto" w:fill="auto"/>
          </w:tcPr>
          <w:p w:rsidR="00F075FB" w:rsidRPr="00C903F8" w:rsidRDefault="00F075FB" w:rsidP="00B74390">
            <w:pPr>
              <w:spacing w:before="100" w:after="100" w:line="240" w:lineRule="atLeast"/>
              <w:ind w:left="0" w:firstLine="0"/>
              <w:rPr>
                <w:rFonts w:cs="Arial"/>
                <w:sz w:val="18"/>
                <w:szCs w:val="18"/>
              </w:rPr>
            </w:pPr>
            <w:r w:rsidRPr="00C903F8">
              <w:rPr>
                <w:rFonts w:cs="Arial"/>
                <w:sz w:val="18"/>
                <w:szCs w:val="18"/>
              </w:rPr>
              <w:t>14.02</w:t>
            </w:r>
          </w:p>
        </w:tc>
        <w:tc>
          <w:tcPr>
            <w:tcW w:w="1458" w:type="dxa"/>
            <w:tcBorders>
              <w:bottom w:val="nil"/>
            </w:tcBorders>
            <w:shd w:val="clear" w:color="auto" w:fill="auto"/>
          </w:tcPr>
          <w:p w:rsidR="00F075FB" w:rsidRPr="00C903F8" w:rsidRDefault="00F075FB" w:rsidP="00B74390">
            <w:pPr>
              <w:spacing w:before="100" w:after="100" w:line="240" w:lineRule="atLeast"/>
              <w:ind w:left="0" w:firstLine="0"/>
              <w:rPr>
                <w:rFonts w:cs="Arial"/>
                <w:sz w:val="18"/>
                <w:szCs w:val="18"/>
              </w:rPr>
            </w:pPr>
            <w:r w:rsidRPr="00C903F8">
              <w:rPr>
                <w:rFonts w:cs="Arial"/>
                <w:sz w:val="18"/>
                <w:szCs w:val="18"/>
              </w:rPr>
              <w:t>(4)</w:t>
            </w:r>
          </w:p>
        </w:tc>
        <w:tc>
          <w:tcPr>
            <w:tcW w:w="3296" w:type="dxa"/>
            <w:shd w:val="clear" w:color="auto" w:fill="auto"/>
          </w:tcPr>
          <w:p w:rsidR="00F075FB" w:rsidRPr="00C903F8" w:rsidRDefault="00F075FB" w:rsidP="00B74390">
            <w:pPr>
              <w:spacing w:before="100" w:after="100" w:line="240" w:lineRule="atLeast"/>
              <w:ind w:left="0" w:firstLine="0"/>
              <w:rPr>
                <w:rFonts w:cs="Arial"/>
                <w:sz w:val="18"/>
                <w:szCs w:val="18"/>
                <w:lang w:val="en-US"/>
              </w:rPr>
            </w:pPr>
            <w:r w:rsidRPr="00C903F8">
              <w:rPr>
                <w:rFonts w:cs="Arial"/>
                <w:noProof/>
                <w:sz w:val="18"/>
                <w:szCs w:val="18"/>
                <w:lang w:val="en-US"/>
              </w:rPr>
              <w:t>Equipping of the outer edges of decks, side decks and other work stations</w:t>
            </w:r>
          </w:p>
        </w:tc>
        <w:tc>
          <w:tcPr>
            <w:tcW w:w="6521" w:type="dxa"/>
            <w:shd w:val="clear" w:color="auto" w:fill="auto"/>
          </w:tcPr>
          <w:p w:rsidR="00F075FB" w:rsidRPr="00C903F8" w:rsidRDefault="00F075FB" w:rsidP="00B74390">
            <w:pPr>
              <w:spacing w:before="100" w:after="100" w:line="240" w:lineRule="atLeast"/>
              <w:ind w:left="0" w:firstLine="0"/>
              <w:rPr>
                <w:rFonts w:cs="Arial"/>
                <w:sz w:val="18"/>
                <w:szCs w:val="18"/>
                <w:lang w:val="en-US"/>
              </w:rPr>
            </w:pPr>
            <w:r>
              <w:rPr>
                <w:rFonts w:cs="Arial"/>
                <w:sz w:val="18"/>
                <w:szCs w:val="18"/>
                <w:lang w:val="en-US"/>
              </w:rPr>
              <w:t>N.R.C.</w:t>
            </w:r>
            <w:r w:rsidRPr="00C903F8">
              <w:rPr>
                <w:rStyle w:val="FootnoteReference"/>
                <w:sz w:val="18"/>
              </w:rPr>
              <w:footnoteReference w:id="28"/>
            </w:r>
          </w:p>
        </w:tc>
        <w:tc>
          <w:tcPr>
            <w:tcW w:w="1276" w:type="dxa"/>
            <w:shd w:val="clear" w:color="auto" w:fill="auto"/>
          </w:tcPr>
          <w:p w:rsidR="00F075FB" w:rsidRPr="00C903F8" w:rsidRDefault="00F075FB" w:rsidP="00B74390">
            <w:pPr>
              <w:spacing w:before="100" w:after="100" w:line="240" w:lineRule="atLeast"/>
              <w:ind w:left="0" w:firstLine="0"/>
              <w:rPr>
                <w:rFonts w:cs="Arial"/>
                <w:sz w:val="18"/>
                <w:szCs w:val="18"/>
              </w:rPr>
            </w:pPr>
          </w:p>
        </w:tc>
      </w:tr>
      <w:tr w:rsidR="00F075FB" w:rsidRPr="00C903F8" w:rsidTr="00196FBC">
        <w:trPr>
          <w:cantSplit/>
          <w:jc w:val="center"/>
        </w:trPr>
        <w:tc>
          <w:tcPr>
            <w:tcW w:w="1342" w:type="dxa"/>
            <w:tcBorders>
              <w:bottom w:val="nil"/>
            </w:tcBorders>
            <w:shd w:val="clear" w:color="auto" w:fill="auto"/>
          </w:tcPr>
          <w:p w:rsidR="00F075FB" w:rsidRPr="00C903F8" w:rsidRDefault="00F075FB" w:rsidP="00B74390">
            <w:pPr>
              <w:spacing w:before="100" w:after="100" w:line="240" w:lineRule="atLeast"/>
              <w:ind w:left="0" w:firstLine="0"/>
              <w:rPr>
                <w:rFonts w:cs="Arial"/>
                <w:sz w:val="18"/>
                <w:szCs w:val="18"/>
              </w:rPr>
            </w:pPr>
            <w:r w:rsidRPr="00C903F8">
              <w:rPr>
                <w:rFonts w:cs="Arial"/>
                <w:sz w:val="18"/>
                <w:szCs w:val="18"/>
              </w:rPr>
              <w:t>14.04</w:t>
            </w:r>
          </w:p>
        </w:tc>
        <w:tc>
          <w:tcPr>
            <w:tcW w:w="1458" w:type="dxa"/>
            <w:shd w:val="clear" w:color="auto" w:fill="auto"/>
          </w:tcPr>
          <w:p w:rsidR="00F075FB" w:rsidRPr="00C903F8" w:rsidRDefault="00F075FB" w:rsidP="00B74390">
            <w:pPr>
              <w:spacing w:before="100" w:after="100" w:line="240" w:lineRule="atLeast"/>
              <w:ind w:left="0" w:firstLine="0"/>
              <w:rPr>
                <w:rFonts w:cs="Arial"/>
                <w:sz w:val="18"/>
                <w:szCs w:val="18"/>
              </w:rPr>
            </w:pPr>
            <w:r w:rsidRPr="00C903F8">
              <w:rPr>
                <w:rFonts w:cs="Arial"/>
                <w:sz w:val="18"/>
                <w:szCs w:val="18"/>
              </w:rPr>
              <w:t>(1)</w:t>
            </w:r>
          </w:p>
        </w:tc>
        <w:tc>
          <w:tcPr>
            <w:tcW w:w="3296" w:type="dxa"/>
            <w:shd w:val="clear" w:color="auto" w:fill="auto"/>
          </w:tcPr>
          <w:p w:rsidR="00F075FB" w:rsidRPr="00C903F8" w:rsidRDefault="00F075FB" w:rsidP="00B74390">
            <w:pPr>
              <w:spacing w:before="100" w:after="100" w:line="240" w:lineRule="atLeast"/>
              <w:ind w:left="0" w:firstLine="0"/>
              <w:rPr>
                <w:rFonts w:cs="Arial"/>
                <w:sz w:val="18"/>
                <w:szCs w:val="18"/>
                <w:lang w:val="en-US"/>
              </w:rPr>
            </w:pPr>
            <w:r w:rsidRPr="00C903F8">
              <w:rPr>
                <w:rFonts w:cs="Arial"/>
                <w:noProof/>
                <w:sz w:val="18"/>
                <w:szCs w:val="18"/>
                <w:lang w:val="en-US"/>
              </w:rPr>
              <w:t>Clear width of side deck</w:t>
            </w:r>
            <w:r>
              <w:rPr>
                <w:rFonts w:cs="Arial"/>
                <w:noProof/>
                <w:sz w:val="18"/>
                <w:szCs w:val="18"/>
                <w:lang w:val="en-US"/>
              </w:rPr>
              <w:t>s</w:t>
            </w:r>
          </w:p>
        </w:tc>
        <w:tc>
          <w:tcPr>
            <w:tcW w:w="6521" w:type="dxa"/>
            <w:shd w:val="clear" w:color="auto" w:fill="auto"/>
          </w:tcPr>
          <w:p w:rsidR="00F075FB" w:rsidRPr="00C903F8" w:rsidRDefault="00F075FB" w:rsidP="00B74390">
            <w:pPr>
              <w:spacing w:before="100" w:after="100" w:line="240" w:lineRule="atLeast"/>
              <w:ind w:left="0" w:firstLine="0"/>
              <w:rPr>
                <w:rFonts w:cs="Arial"/>
                <w:sz w:val="18"/>
                <w:szCs w:val="18"/>
                <w:lang w:val="en-US"/>
              </w:rPr>
            </w:pPr>
            <w:r w:rsidRPr="00C903F8">
              <w:rPr>
                <w:rFonts w:cs="Arial"/>
                <w:sz w:val="18"/>
                <w:szCs w:val="18"/>
                <w:lang w:val="en-US"/>
              </w:rPr>
              <w:t xml:space="preserve">For vessels of </w:t>
            </w:r>
            <m:oMath>
              <m:r>
                <w:rPr>
                  <w:rFonts w:ascii="Cambria Math" w:hAnsi="Cambria Math" w:cs="Arial"/>
                  <w:sz w:val="18"/>
                  <w:szCs w:val="18"/>
                  <w:lang w:val="en-US"/>
                </w:rPr>
                <m:t>B &gt; 7,30 m</m:t>
              </m:r>
            </m:oMath>
            <w:r w:rsidRPr="00C903F8">
              <w:rPr>
                <w:rFonts w:cs="Arial"/>
                <w:sz w:val="18"/>
                <w:szCs w:val="18"/>
                <w:lang w:val="en-US"/>
              </w:rPr>
              <w:t xml:space="preserve">,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00" w:after="100" w:line="240" w:lineRule="atLeast"/>
              <w:ind w:left="0" w:firstLine="0"/>
              <w:rPr>
                <w:rFonts w:cs="Arial"/>
                <w:sz w:val="18"/>
                <w:szCs w:val="18"/>
              </w:rPr>
            </w:pPr>
            <w:r w:rsidRPr="00C903F8">
              <w:rPr>
                <w:rFonts w:cs="Arial"/>
                <w:sz w:val="18"/>
                <w:szCs w:val="18"/>
              </w:rPr>
              <w:t>1.1.2035</w:t>
            </w:r>
            <w:r w:rsidRPr="00C903F8">
              <w:rPr>
                <w:rFonts w:cs="Arial"/>
                <w:sz w:val="18"/>
                <w:szCs w:val="18"/>
                <w:vertAlign w:val="superscript"/>
              </w:rPr>
              <w:footnoteReference w:id="29"/>
            </w:r>
          </w:p>
        </w:tc>
      </w:tr>
      <w:tr w:rsidR="00F075FB" w:rsidRPr="00C903F8" w:rsidTr="00196FBC">
        <w:trPr>
          <w:cantSplit/>
          <w:jc w:val="center"/>
        </w:trPr>
        <w:tc>
          <w:tcPr>
            <w:tcW w:w="1342" w:type="dxa"/>
            <w:tcBorders>
              <w:top w:val="nil"/>
              <w:bottom w:val="single" w:sz="4" w:space="0" w:color="auto"/>
            </w:tcBorders>
            <w:shd w:val="clear" w:color="auto" w:fill="auto"/>
          </w:tcPr>
          <w:p w:rsidR="00F075FB" w:rsidRPr="00C903F8" w:rsidRDefault="00F075FB" w:rsidP="00B74390">
            <w:pPr>
              <w:spacing w:before="100" w:after="100" w:line="240" w:lineRule="atLeast"/>
              <w:ind w:left="0" w:firstLine="0"/>
              <w:rPr>
                <w:rFonts w:cs="Arial"/>
                <w:sz w:val="18"/>
                <w:szCs w:val="18"/>
                <w:lang w:val="en-US"/>
              </w:rPr>
            </w:pPr>
          </w:p>
        </w:tc>
        <w:tc>
          <w:tcPr>
            <w:tcW w:w="1458" w:type="dxa"/>
            <w:shd w:val="clear" w:color="auto" w:fill="auto"/>
          </w:tcPr>
          <w:p w:rsidR="00F075FB" w:rsidRPr="00C903F8" w:rsidRDefault="00F075FB" w:rsidP="00B74390">
            <w:pPr>
              <w:spacing w:before="100" w:after="1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F075FB" w:rsidRPr="00C903F8" w:rsidRDefault="00F075FB" w:rsidP="00B74390">
            <w:pPr>
              <w:spacing w:before="100" w:after="100" w:line="240" w:lineRule="atLeast"/>
              <w:ind w:left="0" w:firstLine="0"/>
              <w:rPr>
                <w:rFonts w:cs="Arial"/>
                <w:sz w:val="18"/>
                <w:szCs w:val="18"/>
                <w:lang w:val="en-US"/>
              </w:rPr>
            </w:pPr>
            <w:r w:rsidRPr="00C903F8">
              <w:rPr>
                <w:rFonts w:cs="Arial"/>
                <w:noProof/>
                <w:sz w:val="18"/>
                <w:szCs w:val="18"/>
                <w:lang w:val="en-US"/>
              </w:rPr>
              <w:t>Side deck guardrails</w:t>
            </w:r>
          </w:p>
        </w:tc>
        <w:tc>
          <w:tcPr>
            <w:tcW w:w="6521" w:type="dxa"/>
            <w:shd w:val="clear" w:color="auto" w:fill="auto"/>
          </w:tcPr>
          <w:p w:rsidR="00F075FB" w:rsidRPr="00C903F8" w:rsidRDefault="00F075FB" w:rsidP="00B74390">
            <w:pPr>
              <w:spacing w:before="100" w:after="100" w:line="240" w:lineRule="atLeast"/>
              <w:ind w:left="0" w:firstLine="0"/>
              <w:rPr>
                <w:rFonts w:cs="Arial"/>
                <w:sz w:val="18"/>
                <w:szCs w:val="18"/>
                <w:lang w:val="en-US"/>
              </w:rPr>
            </w:pPr>
            <w:r>
              <w:rPr>
                <w:rFonts w:cs="Arial"/>
                <w:sz w:val="18"/>
                <w:szCs w:val="18"/>
                <w:lang w:val="en-US"/>
              </w:rPr>
              <w:t>N.R.C.</w:t>
            </w:r>
          </w:p>
        </w:tc>
        <w:tc>
          <w:tcPr>
            <w:tcW w:w="1276" w:type="dxa"/>
            <w:shd w:val="clear" w:color="auto" w:fill="auto"/>
          </w:tcPr>
          <w:p w:rsidR="00F075FB" w:rsidRPr="00C903F8" w:rsidRDefault="00F075FB" w:rsidP="00B74390">
            <w:pPr>
              <w:spacing w:before="100" w:after="100" w:line="240" w:lineRule="atLeast"/>
              <w:ind w:left="0" w:firstLine="0"/>
              <w:rPr>
                <w:rFonts w:cs="Arial"/>
                <w:sz w:val="18"/>
                <w:szCs w:val="18"/>
              </w:rPr>
            </w:pPr>
          </w:p>
        </w:tc>
      </w:tr>
      <w:tr w:rsidR="00F075FB" w:rsidRPr="00C903F8" w:rsidTr="00196FBC">
        <w:trPr>
          <w:cantSplit/>
          <w:jc w:val="center"/>
        </w:trPr>
        <w:tc>
          <w:tcPr>
            <w:tcW w:w="1342" w:type="dxa"/>
            <w:tcBorders>
              <w:bottom w:val="nil"/>
            </w:tcBorders>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14.05</w:t>
            </w:r>
          </w:p>
        </w:tc>
        <w:tc>
          <w:tcPr>
            <w:tcW w:w="1458"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w:t>
            </w:r>
          </w:p>
        </w:tc>
        <w:tc>
          <w:tcPr>
            <w:tcW w:w="3296"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noProof/>
                <w:sz w:val="18"/>
                <w:szCs w:val="18"/>
              </w:rPr>
              <w:t>Access to work stations</w:t>
            </w:r>
          </w:p>
        </w:tc>
        <w:tc>
          <w:tcPr>
            <w:tcW w:w="6521"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tcBorders>
              <w:top w:val="nil"/>
            </w:tcBorders>
            <w:shd w:val="clear" w:color="auto" w:fill="auto"/>
          </w:tcPr>
          <w:p w:rsidR="00F075FB" w:rsidRPr="00C903F8" w:rsidRDefault="00F075FB" w:rsidP="00C01A94">
            <w:pPr>
              <w:spacing w:before="160" w:after="160" w:line="240" w:lineRule="atLeast"/>
              <w:ind w:left="0" w:firstLine="0"/>
              <w:rPr>
                <w:rFonts w:cs="Arial"/>
                <w:sz w:val="18"/>
                <w:szCs w:val="18"/>
                <w:lang w:val="en-US"/>
              </w:rPr>
            </w:pPr>
          </w:p>
        </w:tc>
        <w:tc>
          <w:tcPr>
            <w:tcW w:w="1458"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(4)</w:t>
            </w:r>
          </w:p>
        </w:tc>
        <w:tc>
          <w:tcPr>
            <w:tcW w:w="3296"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sidRPr="00C903F8">
              <w:rPr>
                <w:rFonts w:cs="Arial"/>
                <w:noProof/>
                <w:sz w:val="18"/>
                <w:szCs w:val="18"/>
                <w:lang w:val="en-US"/>
              </w:rPr>
              <w:t>Stairs in work stations which are manned continuously</w:t>
            </w:r>
          </w:p>
        </w:tc>
        <w:tc>
          <w:tcPr>
            <w:tcW w:w="6521"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tcBorders>
              <w:bottom w:val="single" w:sz="4" w:space="0" w:color="auto"/>
            </w:tcBorders>
            <w:shd w:val="clear" w:color="auto" w:fill="auto"/>
          </w:tcPr>
          <w:p w:rsidR="00F075FB" w:rsidRPr="00C903F8" w:rsidRDefault="00F075FB" w:rsidP="00C01A94">
            <w:pPr>
              <w:spacing w:before="100" w:after="100" w:line="240" w:lineRule="atLeast"/>
              <w:ind w:left="0" w:firstLine="0"/>
              <w:rPr>
                <w:rFonts w:cs="Arial"/>
                <w:sz w:val="18"/>
                <w:szCs w:val="18"/>
              </w:rPr>
            </w:pPr>
            <w:r w:rsidRPr="00C903F8">
              <w:rPr>
                <w:rFonts w:cs="Arial"/>
                <w:sz w:val="18"/>
                <w:szCs w:val="18"/>
              </w:rPr>
              <w:t>14.06</w:t>
            </w:r>
          </w:p>
        </w:tc>
        <w:tc>
          <w:tcPr>
            <w:tcW w:w="1458" w:type="dxa"/>
            <w:shd w:val="clear" w:color="auto" w:fill="auto"/>
          </w:tcPr>
          <w:p w:rsidR="00F075FB" w:rsidRPr="00C903F8" w:rsidRDefault="00F075FB" w:rsidP="00C01A94">
            <w:pPr>
              <w:spacing w:before="100" w:after="1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F075FB" w:rsidRPr="00C903F8" w:rsidRDefault="00F075FB" w:rsidP="00C01A94">
            <w:pPr>
              <w:spacing w:before="100" w:after="100" w:line="240" w:lineRule="atLeast"/>
              <w:ind w:left="0" w:firstLine="0"/>
              <w:rPr>
                <w:rFonts w:cs="Arial"/>
                <w:sz w:val="18"/>
                <w:szCs w:val="18"/>
              </w:rPr>
            </w:pPr>
            <w:r w:rsidRPr="00C903F8">
              <w:rPr>
                <w:rFonts w:cs="Arial"/>
                <w:noProof/>
                <w:sz w:val="18"/>
                <w:szCs w:val="18"/>
              </w:rPr>
              <w:t>Exits and emergency exits</w:t>
            </w:r>
          </w:p>
        </w:tc>
        <w:tc>
          <w:tcPr>
            <w:tcW w:w="6521" w:type="dxa"/>
            <w:shd w:val="clear" w:color="auto" w:fill="auto"/>
          </w:tcPr>
          <w:p w:rsidR="00F075FB" w:rsidRPr="00C903F8" w:rsidRDefault="00F075FB" w:rsidP="00C01A94">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00" w:after="10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tcBorders>
              <w:bottom w:val="nil"/>
            </w:tcBorders>
            <w:shd w:val="clear" w:color="auto" w:fill="auto"/>
          </w:tcPr>
          <w:p w:rsidR="00F075FB" w:rsidRPr="00C903F8" w:rsidRDefault="00F075FB" w:rsidP="00C01A94">
            <w:pPr>
              <w:spacing w:before="100" w:after="100" w:line="240" w:lineRule="atLeast"/>
              <w:ind w:left="0" w:firstLine="0"/>
              <w:rPr>
                <w:rFonts w:cs="Arial"/>
                <w:sz w:val="18"/>
                <w:szCs w:val="18"/>
              </w:rPr>
            </w:pPr>
            <w:r w:rsidRPr="00C903F8">
              <w:rPr>
                <w:rFonts w:cs="Arial"/>
                <w:sz w:val="18"/>
                <w:szCs w:val="18"/>
              </w:rPr>
              <w:t>14.07</w:t>
            </w:r>
          </w:p>
        </w:tc>
        <w:tc>
          <w:tcPr>
            <w:tcW w:w="1458" w:type="dxa"/>
            <w:shd w:val="clear" w:color="auto" w:fill="auto"/>
          </w:tcPr>
          <w:p w:rsidR="00F075FB" w:rsidRPr="00C903F8" w:rsidRDefault="00F075FB" w:rsidP="00C01A94">
            <w:pPr>
              <w:spacing w:before="100" w:after="100" w:line="240" w:lineRule="atLeast"/>
              <w:ind w:left="0" w:firstLine="0"/>
              <w:jc w:val="left"/>
              <w:rPr>
                <w:rFonts w:cs="Arial"/>
                <w:sz w:val="18"/>
                <w:szCs w:val="18"/>
              </w:rPr>
            </w:pPr>
            <w:r w:rsidRPr="00C903F8">
              <w:rPr>
                <w:rFonts w:cs="Arial"/>
                <w:sz w:val="18"/>
                <w:szCs w:val="18"/>
              </w:rPr>
              <w:t>(1) 2</w:t>
            </w:r>
            <w:r w:rsidRPr="00C903F8">
              <w:rPr>
                <w:rFonts w:cs="Arial"/>
                <w:sz w:val="18"/>
                <w:szCs w:val="18"/>
                <w:vertAlign w:val="superscript"/>
              </w:rPr>
              <w:t>nd </w:t>
            </w:r>
            <w:r w:rsidRPr="00C903F8">
              <w:rPr>
                <w:rFonts w:cs="Arial"/>
                <w:sz w:val="18"/>
                <w:szCs w:val="18"/>
              </w:rPr>
              <w:t>sentence</w:t>
            </w:r>
          </w:p>
        </w:tc>
        <w:tc>
          <w:tcPr>
            <w:tcW w:w="3296" w:type="dxa"/>
            <w:shd w:val="clear" w:color="auto" w:fill="auto"/>
          </w:tcPr>
          <w:p w:rsidR="00F075FB" w:rsidRPr="00C903F8" w:rsidRDefault="00F075FB" w:rsidP="00C01A94">
            <w:pPr>
              <w:spacing w:before="100" w:after="100" w:line="240" w:lineRule="atLeast"/>
              <w:ind w:left="0" w:firstLine="0"/>
              <w:rPr>
                <w:rFonts w:cs="Arial"/>
                <w:sz w:val="18"/>
                <w:szCs w:val="18"/>
                <w:lang w:val="en-US"/>
              </w:rPr>
            </w:pPr>
            <w:r w:rsidRPr="00C903F8">
              <w:rPr>
                <w:rFonts w:cs="Arial"/>
                <w:noProof/>
                <w:sz w:val="18"/>
                <w:szCs w:val="18"/>
                <w:lang w:val="en-US"/>
              </w:rPr>
              <w:t>Ladders, steps and similar devices</w:t>
            </w:r>
          </w:p>
        </w:tc>
        <w:tc>
          <w:tcPr>
            <w:tcW w:w="6521" w:type="dxa"/>
            <w:shd w:val="clear" w:color="auto" w:fill="auto"/>
          </w:tcPr>
          <w:p w:rsidR="00F075FB" w:rsidRPr="00C903F8" w:rsidRDefault="00F075FB" w:rsidP="00C01A94">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00" w:after="10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shd w:val="clear" w:color="auto" w:fill="auto"/>
          </w:tcPr>
          <w:p w:rsidR="00F075FB" w:rsidRPr="00C903F8" w:rsidRDefault="00F075FB" w:rsidP="00C01A94">
            <w:pPr>
              <w:spacing w:before="100" w:after="100" w:line="240" w:lineRule="atLeast"/>
              <w:ind w:left="0" w:firstLine="0"/>
              <w:rPr>
                <w:rFonts w:cs="Arial"/>
                <w:sz w:val="18"/>
                <w:szCs w:val="18"/>
              </w:rPr>
            </w:pPr>
            <w:r w:rsidRPr="00C903F8">
              <w:rPr>
                <w:rFonts w:cs="Arial"/>
                <w:sz w:val="18"/>
                <w:szCs w:val="18"/>
              </w:rPr>
              <w:t>14.10</w:t>
            </w:r>
          </w:p>
        </w:tc>
        <w:tc>
          <w:tcPr>
            <w:tcW w:w="1458" w:type="dxa"/>
            <w:shd w:val="clear" w:color="auto" w:fill="auto"/>
          </w:tcPr>
          <w:p w:rsidR="00F075FB" w:rsidRPr="00C903F8" w:rsidRDefault="00F075FB" w:rsidP="00C01A94">
            <w:pPr>
              <w:spacing w:before="100" w:after="100" w:line="240" w:lineRule="atLeast"/>
              <w:ind w:left="0" w:firstLine="0"/>
              <w:rPr>
                <w:rFonts w:cs="Arial"/>
                <w:sz w:val="18"/>
                <w:szCs w:val="18"/>
              </w:rPr>
            </w:pPr>
          </w:p>
        </w:tc>
        <w:tc>
          <w:tcPr>
            <w:tcW w:w="3296" w:type="dxa"/>
            <w:shd w:val="clear" w:color="auto" w:fill="auto"/>
          </w:tcPr>
          <w:p w:rsidR="00F075FB" w:rsidRPr="00C903F8" w:rsidRDefault="00F075FB" w:rsidP="00C01A94">
            <w:pPr>
              <w:spacing w:before="100" w:after="100" w:line="240" w:lineRule="atLeast"/>
              <w:ind w:left="0" w:firstLine="0"/>
              <w:rPr>
                <w:rFonts w:cs="Arial"/>
                <w:sz w:val="18"/>
                <w:szCs w:val="18"/>
              </w:rPr>
            </w:pPr>
            <w:r w:rsidRPr="00C903F8">
              <w:rPr>
                <w:rFonts w:cs="Arial"/>
                <w:noProof/>
                <w:sz w:val="18"/>
                <w:szCs w:val="18"/>
              </w:rPr>
              <w:t>Hatch covers</w:t>
            </w:r>
          </w:p>
        </w:tc>
        <w:tc>
          <w:tcPr>
            <w:tcW w:w="6521" w:type="dxa"/>
            <w:shd w:val="clear" w:color="auto" w:fill="auto"/>
          </w:tcPr>
          <w:p w:rsidR="00F075FB" w:rsidRPr="00C903F8" w:rsidRDefault="00F075FB" w:rsidP="00C01A94">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00" w:after="10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shd w:val="clear" w:color="auto" w:fill="auto"/>
          </w:tcPr>
          <w:p w:rsidR="00F075FB" w:rsidRPr="00C903F8" w:rsidRDefault="00F075FB" w:rsidP="00C01A94">
            <w:pPr>
              <w:spacing w:before="100" w:after="100" w:line="240" w:lineRule="atLeast"/>
              <w:ind w:left="0" w:firstLine="0"/>
              <w:rPr>
                <w:rFonts w:cs="Arial"/>
                <w:sz w:val="18"/>
                <w:szCs w:val="18"/>
              </w:rPr>
            </w:pPr>
            <w:r w:rsidRPr="00C903F8">
              <w:rPr>
                <w:rFonts w:cs="Arial"/>
                <w:sz w:val="18"/>
                <w:szCs w:val="18"/>
              </w:rPr>
              <w:t>14.11</w:t>
            </w:r>
          </w:p>
        </w:tc>
        <w:tc>
          <w:tcPr>
            <w:tcW w:w="1458" w:type="dxa"/>
            <w:shd w:val="clear" w:color="auto" w:fill="auto"/>
          </w:tcPr>
          <w:p w:rsidR="00F075FB" w:rsidRPr="00C903F8" w:rsidRDefault="00F075FB" w:rsidP="00C01A94">
            <w:pPr>
              <w:spacing w:before="100" w:after="100" w:line="240" w:lineRule="atLeast"/>
              <w:ind w:left="0" w:firstLine="0"/>
              <w:rPr>
                <w:rFonts w:cs="Arial"/>
                <w:sz w:val="18"/>
                <w:szCs w:val="18"/>
              </w:rPr>
            </w:pPr>
          </w:p>
        </w:tc>
        <w:tc>
          <w:tcPr>
            <w:tcW w:w="3296" w:type="dxa"/>
            <w:shd w:val="clear" w:color="auto" w:fill="auto"/>
          </w:tcPr>
          <w:p w:rsidR="00F075FB" w:rsidRPr="00C903F8" w:rsidRDefault="00F075FB" w:rsidP="00C01A94">
            <w:pPr>
              <w:spacing w:before="100" w:after="100" w:line="240" w:lineRule="atLeast"/>
              <w:ind w:left="0" w:firstLine="0"/>
              <w:rPr>
                <w:rFonts w:cs="Arial"/>
                <w:sz w:val="18"/>
                <w:szCs w:val="18"/>
              </w:rPr>
            </w:pPr>
            <w:r w:rsidRPr="00C903F8">
              <w:rPr>
                <w:rFonts w:cs="Arial"/>
                <w:noProof/>
                <w:sz w:val="18"/>
                <w:szCs w:val="18"/>
              </w:rPr>
              <w:t>Winches</w:t>
            </w:r>
          </w:p>
        </w:tc>
        <w:tc>
          <w:tcPr>
            <w:tcW w:w="6521" w:type="dxa"/>
            <w:shd w:val="clear" w:color="auto" w:fill="auto"/>
          </w:tcPr>
          <w:p w:rsidR="00F075FB" w:rsidRPr="00C903F8" w:rsidRDefault="00F075FB" w:rsidP="00C01A94">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00" w:after="10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1342" w:type="dxa"/>
            <w:vMerge w:val="restart"/>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lastRenderedPageBreak/>
              <w:t>14.12</w:t>
            </w:r>
          </w:p>
        </w:tc>
        <w:tc>
          <w:tcPr>
            <w:tcW w:w="1458" w:type="dxa"/>
            <w:shd w:val="clear" w:color="auto" w:fill="auto"/>
          </w:tcPr>
          <w:p w:rsidR="00F075FB" w:rsidRPr="00F7713D" w:rsidRDefault="00F075FB" w:rsidP="00B74390">
            <w:pPr>
              <w:spacing w:before="80" w:after="80" w:line="240" w:lineRule="atLeast"/>
              <w:ind w:left="0" w:firstLine="0"/>
              <w:jc w:val="left"/>
              <w:rPr>
                <w:sz w:val="18"/>
                <w:szCs w:val="18"/>
                <w:lang w:val="de-DE"/>
              </w:rPr>
            </w:pPr>
            <w:r w:rsidRPr="00F7713D">
              <w:rPr>
                <w:sz w:val="18"/>
                <w:szCs w:val="18"/>
                <w:lang w:val="de-DE"/>
              </w:rPr>
              <w:t>(2)</w:t>
            </w:r>
          </w:p>
        </w:tc>
        <w:tc>
          <w:tcPr>
            <w:tcW w:w="3296" w:type="dxa"/>
            <w:shd w:val="clear" w:color="auto" w:fill="auto"/>
          </w:tcPr>
          <w:p w:rsidR="00F075FB" w:rsidRPr="00F7713D" w:rsidRDefault="00F075FB" w:rsidP="00B74390">
            <w:pPr>
              <w:spacing w:before="80" w:after="80" w:line="240" w:lineRule="atLeast"/>
              <w:rPr>
                <w:sz w:val="18"/>
                <w:szCs w:val="18"/>
              </w:rPr>
            </w:pPr>
            <w:r w:rsidRPr="00F7713D">
              <w:rPr>
                <w:sz w:val="18"/>
                <w:szCs w:val="18"/>
              </w:rPr>
              <w:t>Manufacturer's plate</w:t>
            </w:r>
          </w:p>
        </w:tc>
        <w:tc>
          <w:tcPr>
            <w:tcW w:w="6521" w:type="dxa"/>
            <w:shd w:val="clear" w:color="auto" w:fill="auto"/>
          </w:tcPr>
          <w:p w:rsidR="00F075FB" w:rsidRPr="00F7713D" w:rsidRDefault="00F075FB" w:rsidP="00B74390">
            <w:pPr>
              <w:spacing w:before="80" w:after="80" w:line="240" w:lineRule="atLeast"/>
              <w:ind w:left="0" w:firstLine="0"/>
              <w:rPr>
                <w:rFonts w:cs="Arial"/>
                <w:sz w:val="18"/>
                <w:szCs w:val="18"/>
              </w:rPr>
            </w:pPr>
            <w:r>
              <w:rPr>
                <w:rFonts w:cs="Arial"/>
                <w:sz w:val="18"/>
                <w:szCs w:val="18"/>
              </w:rPr>
              <w:t>N.R.C.</w:t>
            </w:r>
          </w:p>
        </w:tc>
        <w:tc>
          <w:tcPr>
            <w:tcW w:w="1276" w:type="dxa"/>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1.1.2020</w:t>
            </w:r>
          </w:p>
        </w:tc>
      </w:tr>
      <w:tr w:rsidR="00F075FB" w:rsidRPr="0029395D" w:rsidTr="00196FBC">
        <w:trPr>
          <w:cantSplit/>
          <w:jc w:val="center"/>
        </w:trPr>
        <w:tc>
          <w:tcPr>
            <w:tcW w:w="1342" w:type="dxa"/>
            <w:vMerge/>
            <w:shd w:val="clear" w:color="auto" w:fill="auto"/>
          </w:tcPr>
          <w:p w:rsidR="00F075FB" w:rsidRPr="00C903F8" w:rsidRDefault="00F075FB" w:rsidP="00B74390">
            <w:pPr>
              <w:spacing w:before="80" w:after="80" w:line="240" w:lineRule="atLeast"/>
              <w:ind w:left="0" w:firstLine="0"/>
              <w:rPr>
                <w:rFonts w:cs="Arial"/>
                <w:sz w:val="18"/>
                <w:szCs w:val="18"/>
              </w:rPr>
            </w:pPr>
          </w:p>
        </w:tc>
        <w:tc>
          <w:tcPr>
            <w:tcW w:w="1458" w:type="dxa"/>
            <w:shd w:val="clear" w:color="auto" w:fill="auto"/>
          </w:tcPr>
          <w:p w:rsidR="00F075FB" w:rsidRPr="00F7713D" w:rsidRDefault="00F075FB" w:rsidP="00B74390">
            <w:pPr>
              <w:tabs>
                <w:tab w:val="left" w:pos="360"/>
              </w:tabs>
              <w:spacing w:before="80" w:after="80" w:line="240" w:lineRule="atLeast"/>
              <w:ind w:left="0" w:firstLine="0"/>
              <w:jc w:val="left"/>
              <w:rPr>
                <w:rFonts w:cs="Arial"/>
                <w:sz w:val="18"/>
                <w:szCs w:val="18"/>
                <w:lang w:val="en-GB"/>
              </w:rPr>
            </w:pPr>
            <w:r w:rsidRPr="00F7713D">
              <w:rPr>
                <w:rFonts w:cs="Arial"/>
                <w:sz w:val="18"/>
                <w:szCs w:val="18"/>
                <w:lang w:val="en-GB"/>
              </w:rPr>
              <w:t>(4)</w:t>
            </w:r>
            <w:r w:rsidRPr="00F7713D">
              <w:rPr>
                <w:lang w:val="en-GB"/>
              </w:rPr>
              <w:t xml:space="preserve"> </w:t>
            </w:r>
            <w:r w:rsidRPr="00F7713D">
              <w:rPr>
                <w:lang w:val="en-GB"/>
              </w:rPr>
              <w:br/>
            </w:r>
            <w:r w:rsidRPr="00F7713D">
              <w:rPr>
                <w:sz w:val="18"/>
                <w:szCs w:val="18"/>
                <w:lang w:val="en-GB"/>
              </w:rPr>
              <w:t>first sentence</w:t>
            </w:r>
          </w:p>
        </w:tc>
        <w:tc>
          <w:tcPr>
            <w:tcW w:w="3296" w:type="dxa"/>
            <w:shd w:val="clear" w:color="auto" w:fill="auto"/>
          </w:tcPr>
          <w:p w:rsidR="00F075FB" w:rsidRPr="00F7713D" w:rsidRDefault="00F075FB" w:rsidP="00B74390">
            <w:pPr>
              <w:spacing w:before="80" w:after="80" w:line="240" w:lineRule="atLeast"/>
              <w:rPr>
                <w:sz w:val="18"/>
                <w:szCs w:val="18"/>
              </w:rPr>
            </w:pPr>
            <w:r w:rsidRPr="00F7713D">
              <w:rPr>
                <w:sz w:val="18"/>
                <w:szCs w:val="18"/>
              </w:rPr>
              <w:t>Safety devices</w:t>
            </w:r>
          </w:p>
        </w:tc>
        <w:tc>
          <w:tcPr>
            <w:tcW w:w="6521" w:type="dxa"/>
            <w:shd w:val="clear" w:color="auto" w:fill="auto"/>
          </w:tcPr>
          <w:p w:rsidR="00F075FB" w:rsidRPr="00F7713D" w:rsidRDefault="00F075FB" w:rsidP="00B74390">
            <w:pPr>
              <w:spacing w:before="80" w:after="80" w:line="240" w:lineRule="atLeast"/>
              <w:ind w:left="0" w:firstLine="0"/>
              <w:rPr>
                <w:rFonts w:cs="Arial"/>
                <w:sz w:val="18"/>
                <w:szCs w:val="18"/>
                <w:lang w:val="en-US"/>
              </w:rPr>
            </w:pPr>
            <w:r>
              <w:rPr>
                <w:rFonts w:cs="Arial"/>
                <w:sz w:val="18"/>
                <w:szCs w:val="18"/>
                <w:lang w:val="en-US"/>
              </w:rPr>
              <w:t>N.R.C.</w:t>
            </w:r>
            <w:r w:rsidRPr="00F7713D">
              <w:rPr>
                <w:rFonts w:cs="Arial"/>
                <w:sz w:val="18"/>
                <w:szCs w:val="18"/>
                <w:lang w:val="en-US"/>
              </w:rPr>
              <w:t xml:space="preserve"> no later than after the first renewal of the inland navigation vessel certificate after </w:t>
            </w:r>
          </w:p>
        </w:tc>
        <w:tc>
          <w:tcPr>
            <w:tcW w:w="1276" w:type="dxa"/>
            <w:shd w:val="clear" w:color="auto" w:fill="auto"/>
          </w:tcPr>
          <w:p w:rsidR="00F075FB" w:rsidRPr="00F7713D" w:rsidRDefault="00F075FB" w:rsidP="00B74390">
            <w:pPr>
              <w:spacing w:before="80" w:after="80" w:line="240" w:lineRule="atLeast"/>
              <w:ind w:left="0" w:firstLine="0"/>
              <w:rPr>
                <w:rFonts w:cs="Arial"/>
                <w:sz w:val="18"/>
                <w:szCs w:val="18"/>
                <w:lang w:val="en-GB"/>
              </w:rPr>
            </w:pPr>
            <w:r w:rsidRPr="00F7713D">
              <w:rPr>
                <w:rFonts w:cs="Arial"/>
                <w:sz w:val="18"/>
                <w:szCs w:val="18"/>
                <w:lang w:val="de-DE"/>
              </w:rPr>
              <w:t>1.1.2020</w:t>
            </w:r>
          </w:p>
        </w:tc>
      </w:tr>
      <w:tr w:rsidR="00F075FB" w:rsidRPr="0029395D" w:rsidTr="0029395D">
        <w:trPr>
          <w:cantSplit/>
          <w:trHeight w:val="252"/>
          <w:jc w:val="center"/>
        </w:trPr>
        <w:tc>
          <w:tcPr>
            <w:tcW w:w="1342" w:type="dxa"/>
            <w:vMerge/>
            <w:shd w:val="clear" w:color="auto" w:fill="auto"/>
          </w:tcPr>
          <w:p w:rsidR="00F075FB" w:rsidRPr="0029395D" w:rsidRDefault="00F075FB" w:rsidP="00B74390">
            <w:pPr>
              <w:spacing w:before="80" w:after="80" w:line="240" w:lineRule="atLeast"/>
              <w:ind w:left="0" w:firstLine="0"/>
              <w:rPr>
                <w:rFonts w:cs="Arial"/>
                <w:sz w:val="18"/>
                <w:szCs w:val="18"/>
                <w:lang w:val="en-GB"/>
              </w:rPr>
            </w:pPr>
          </w:p>
        </w:tc>
        <w:tc>
          <w:tcPr>
            <w:tcW w:w="1458" w:type="dxa"/>
            <w:vMerge w:val="restart"/>
            <w:shd w:val="clear" w:color="auto" w:fill="auto"/>
          </w:tcPr>
          <w:p w:rsidR="00F075FB" w:rsidRPr="00F7713D" w:rsidRDefault="00F075FB" w:rsidP="00B74390">
            <w:pPr>
              <w:tabs>
                <w:tab w:val="left" w:pos="0"/>
              </w:tabs>
              <w:spacing w:before="80" w:after="80" w:line="240" w:lineRule="atLeast"/>
              <w:ind w:left="0" w:right="-231" w:firstLine="0"/>
              <w:jc w:val="left"/>
              <w:rPr>
                <w:rFonts w:cs="Arial"/>
                <w:sz w:val="18"/>
                <w:szCs w:val="18"/>
                <w:lang w:val="en-GB"/>
              </w:rPr>
            </w:pPr>
            <w:r w:rsidRPr="00F7713D">
              <w:rPr>
                <w:rFonts w:cs="Arial"/>
                <w:sz w:val="18"/>
                <w:szCs w:val="18"/>
                <w:lang w:val="en-GB"/>
              </w:rPr>
              <w:t xml:space="preserve">(4) </w:t>
            </w:r>
            <w:r w:rsidRPr="00F7713D">
              <w:rPr>
                <w:rFonts w:cs="Arial"/>
                <w:sz w:val="18"/>
                <w:szCs w:val="18"/>
                <w:lang w:val="en-GB"/>
              </w:rPr>
              <w:br/>
            </w:r>
            <w:r w:rsidRPr="00F7713D">
              <w:rPr>
                <w:rFonts w:cs="Arial"/>
                <w:spacing w:val="-4"/>
                <w:sz w:val="18"/>
                <w:szCs w:val="18"/>
                <w:lang w:val="en-GB"/>
              </w:rPr>
              <w:t>second sentence</w:t>
            </w:r>
          </w:p>
        </w:tc>
        <w:tc>
          <w:tcPr>
            <w:tcW w:w="3296" w:type="dxa"/>
            <w:vMerge w:val="restart"/>
            <w:shd w:val="clear" w:color="auto" w:fill="auto"/>
          </w:tcPr>
          <w:p w:rsidR="00F075FB" w:rsidRPr="00F7713D" w:rsidRDefault="00F075FB" w:rsidP="00B74390">
            <w:pPr>
              <w:spacing w:before="80" w:after="80" w:line="240" w:lineRule="atLeast"/>
              <w:rPr>
                <w:sz w:val="18"/>
                <w:szCs w:val="18"/>
                <w:lang w:val="en-US"/>
              </w:rPr>
            </w:pPr>
            <w:r w:rsidRPr="00F7713D">
              <w:rPr>
                <w:sz w:val="18"/>
                <w:szCs w:val="18"/>
              </w:rPr>
              <w:t>Safety clearance</w:t>
            </w:r>
          </w:p>
        </w:tc>
        <w:tc>
          <w:tcPr>
            <w:tcW w:w="6521" w:type="dxa"/>
            <w:shd w:val="clear" w:color="auto" w:fill="auto"/>
          </w:tcPr>
          <w:p w:rsidR="00F075FB" w:rsidRPr="00F7713D" w:rsidRDefault="00F075FB" w:rsidP="00B74390">
            <w:pPr>
              <w:spacing w:before="80" w:after="80" w:line="240" w:lineRule="atLeast"/>
              <w:ind w:left="0" w:firstLine="0"/>
              <w:rPr>
                <w:rFonts w:cs="Arial"/>
                <w:sz w:val="18"/>
                <w:szCs w:val="18"/>
                <w:lang w:val="en-US"/>
              </w:rPr>
            </w:pPr>
            <w:r>
              <w:rPr>
                <w:rFonts w:cs="Arial"/>
                <w:sz w:val="18"/>
                <w:szCs w:val="18"/>
                <w:lang w:val="en-US"/>
              </w:rPr>
              <w:t>N.R.C.</w:t>
            </w:r>
            <w:r w:rsidRPr="00F7713D">
              <w:rPr>
                <w:rFonts w:cs="Arial"/>
                <w:sz w:val="18"/>
                <w:szCs w:val="18"/>
                <w:lang w:val="en-US"/>
              </w:rPr>
              <w:t xml:space="preserve"> at the latest on renewal of the inland navigation vessel certificate after </w:t>
            </w:r>
          </w:p>
        </w:tc>
        <w:tc>
          <w:tcPr>
            <w:tcW w:w="1276" w:type="dxa"/>
            <w:vMerge w:val="restart"/>
            <w:shd w:val="clear" w:color="auto" w:fill="auto"/>
          </w:tcPr>
          <w:p w:rsidR="00F075FB" w:rsidRPr="00F7713D" w:rsidRDefault="00F075FB" w:rsidP="00B74390">
            <w:pPr>
              <w:spacing w:before="80" w:after="80" w:line="240" w:lineRule="atLeast"/>
              <w:ind w:left="0" w:firstLine="0"/>
              <w:rPr>
                <w:rFonts w:cs="Arial"/>
                <w:sz w:val="18"/>
                <w:szCs w:val="18"/>
                <w:lang w:val="en-GB"/>
              </w:rPr>
            </w:pPr>
            <w:r w:rsidRPr="00F7713D">
              <w:rPr>
                <w:rFonts w:cs="Arial"/>
                <w:sz w:val="18"/>
                <w:szCs w:val="18"/>
                <w:lang w:val="de-DE"/>
              </w:rPr>
              <w:t>1.1.2020</w:t>
            </w:r>
          </w:p>
        </w:tc>
      </w:tr>
      <w:tr w:rsidR="00F075FB" w:rsidRPr="00296858" w:rsidTr="00196FBC">
        <w:trPr>
          <w:cantSplit/>
          <w:trHeight w:val="251"/>
          <w:jc w:val="center"/>
        </w:trPr>
        <w:tc>
          <w:tcPr>
            <w:tcW w:w="1342" w:type="dxa"/>
            <w:vMerge/>
            <w:shd w:val="clear" w:color="auto" w:fill="auto"/>
          </w:tcPr>
          <w:p w:rsidR="00F075FB" w:rsidRPr="0029395D" w:rsidRDefault="00F075FB" w:rsidP="00B74390">
            <w:pPr>
              <w:spacing w:before="80" w:after="80" w:line="240" w:lineRule="atLeast"/>
              <w:ind w:left="0" w:firstLine="0"/>
              <w:rPr>
                <w:rFonts w:cs="Arial"/>
                <w:sz w:val="18"/>
                <w:szCs w:val="18"/>
                <w:lang w:val="en-GB"/>
              </w:rPr>
            </w:pPr>
          </w:p>
        </w:tc>
        <w:tc>
          <w:tcPr>
            <w:tcW w:w="1458" w:type="dxa"/>
            <w:vMerge/>
            <w:shd w:val="clear" w:color="auto" w:fill="auto"/>
          </w:tcPr>
          <w:p w:rsidR="00F075FB" w:rsidRPr="00F7713D" w:rsidRDefault="00F075FB" w:rsidP="00B74390">
            <w:pPr>
              <w:tabs>
                <w:tab w:val="left" w:pos="0"/>
              </w:tabs>
              <w:spacing w:before="80" w:after="80" w:line="240" w:lineRule="atLeast"/>
              <w:ind w:left="0" w:right="-231" w:firstLine="0"/>
              <w:jc w:val="left"/>
              <w:rPr>
                <w:rFonts w:cs="Arial"/>
                <w:sz w:val="18"/>
                <w:szCs w:val="18"/>
                <w:lang w:val="en-GB"/>
              </w:rPr>
            </w:pPr>
          </w:p>
        </w:tc>
        <w:tc>
          <w:tcPr>
            <w:tcW w:w="3296" w:type="dxa"/>
            <w:vMerge/>
            <w:shd w:val="clear" w:color="auto" w:fill="auto"/>
          </w:tcPr>
          <w:p w:rsidR="00F075FB" w:rsidRPr="00F7713D" w:rsidRDefault="00F075FB" w:rsidP="00B74390">
            <w:pPr>
              <w:spacing w:before="80" w:after="80" w:line="240" w:lineRule="atLeast"/>
              <w:rPr>
                <w:sz w:val="18"/>
                <w:szCs w:val="18"/>
                <w:lang w:val="en-GB"/>
              </w:rPr>
            </w:pPr>
          </w:p>
        </w:tc>
        <w:tc>
          <w:tcPr>
            <w:tcW w:w="6521" w:type="dxa"/>
            <w:shd w:val="clear" w:color="auto" w:fill="auto"/>
          </w:tcPr>
          <w:p w:rsidR="00F075FB" w:rsidRPr="00F7713D" w:rsidRDefault="00F075FB" w:rsidP="00B74390">
            <w:pPr>
              <w:spacing w:before="80" w:after="80" w:line="240" w:lineRule="atLeast"/>
              <w:ind w:left="0" w:firstLine="0"/>
              <w:rPr>
                <w:rFonts w:cs="Arial"/>
                <w:sz w:val="18"/>
                <w:szCs w:val="18"/>
                <w:lang w:val="en-US"/>
              </w:rPr>
            </w:pPr>
            <w:r w:rsidRPr="00F7713D">
              <w:rPr>
                <w:rFonts w:cs="Arial"/>
                <w:sz w:val="18"/>
                <w:szCs w:val="18"/>
                <w:lang w:val="en-US"/>
              </w:rPr>
              <w:t>Should this provision not be achievable in practice after this date has expired, locations within workstations and passageways where the safety clearance is less than 0,50 m must be clearly marked as such.</w:t>
            </w:r>
          </w:p>
        </w:tc>
        <w:tc>
          <w:tcPr>
            <w:tcW w:w="1276" w:type="dxa"/>
            <w:vMerge/>
            <w:shd w:val="clear" w:color="auto" w:fill="auto"/>
          </w:tcPr>
          <w:p w:rsidR="00F075FB" w:rsidRPr="00F7713D" w:rsidRDefault="00F075FB" w:rsidP="00B74390">
            <w:pPr>
              <w:spacing w:before="80" w:after="80" w:line="240" w:lineRule="atLeast"/>
              <w:ind w:left="0" w:firstLine="0"/>
              <w:rPr>
                <w:rFonts w:cs="Arial"/>
                <w:sz w:val="18"/>
                <w:szCs w:val="18"/>
                <w:lang w:val="en-GB"/>
              </w:rPr>
            </w:pPr>
          </w:p>
        </w:tc>
      </w:tr>
      <w:tr w:rsidR="00F075FB" w:rsidRPr="0029395D" w:rsidTr="00196FBC">
        <w:trPr>
          <w:cantSplit/>
          <w:jc w:val="center"/>
        </w:trPr>
        <w:tc>
          <w:tcPr>
            <w:tcW w:w="1342" w:type="dxa"/>
            <w:vMerge/>
            <w:shd w:val="clear" w:color="auto" w:fill="auto"/>
          </w:tcPr>
          <w:p w:rsidR="00F075FB" w:rsidRPr="0029395D" w:rsidRDefault="00F075FB" w:rsidP="00B74390">
            <w:pPr>
              <w:spacing w:before="80" w:after="80" w:line="240" w:lineRule="atLeast"/>
              <w:ind w:left="0" w:firstLine="0"/>
              <w:rPr>
                <w:rFonts w:cs="Arial"/>
                <w:sz w:val="18"/>
                <w:szCs w:val="18"/>
                <w:lang w:val="en-GB"/>
              </w:rPr>
            </w:pPr>
          </w:p>
        </w:tc>
        <w:tc>
          <w:tcPr>
            <w:tcW w:w="1458" w:type="dxa"/>
            <w:shd w:val="clear" w:color="auto" w:fill="auto"/>
          </w:tcPr>
          <w:p w:rsidR="00F075FB" w:rsidRPr="00F7713D" w:rsidRDefault="00F075FB" w:rsidP="00B74390">
            <w:pPr>
              <w:tabs>
                <w:tab w:val="left" w:pos="180"/>
              </w:tabs>
              <w:spacing w:before="80" w:after="80" w:line="240" w:lineRule="atLeast"/>
              <w:ind w:left="0" w:firstLine="0"/>
              <w:rPr>
                <w:rFonts w:cs="Arial"/>
                <w:sz w:val="18"/>
                <w:szCs w:val="18"/>
              </w:rPr>
            </w:pPr>
            <w:r w:rsidRPr="00F7713D">
              <w:rPr>
                <w:rFonts w:cs="Arial"/>
                <w:sz w:val="18"/>
                <w:szCs w:val="18"/>
              </w:rPr>
              <w:t>(5)</w:t>
            </w:r>
          </w:p>
        </w:tc>
        <w:tc>
          <w:tcPr>
            <w:tcW w:w="3296" w:type="dxa"/>
            <w:shd w:val="clear" w:color="auto" w:fill="auto"/>
          </w:tcPr>
          <w:p w:rsidR="00F075FB" w:rsidRPr="00F7713D" w:rsidRDefault="00F075FB" w:rsidP="00B74390">
            <w:pPr>
              <w:spacing w:before="80" w:after="80" w:line="240" w:lineRule="atLeast"/>
              <w:rPr>
                <w:rFonts w:cs="Arial"/>
                <w:sz w:val="18"/>
                <w:szCs w:val="18"/>
              </w:rPr>
            </w:pPr>
            <w:r w:rsidRPr="00F7713D">
              <w:rPr>
                <w:rFonts w:cs="Arial"/>
                <w:sz w:val="18"/>
                <w:szCs w:val="18"/>
              </w:rPr>
              <w:t>Safety in operation</w:t>
            </w:r>
          </w:p>
        </w:tc>
        <w:tc>
          <w:tcPr>
            <w:tcW w:w="6521" w:type="dxa"/>
            <w:shd w:val="clear" w:color="auto" w:fill="auto"/>
          </w:tcPr>
          <w:p w:rsidR="00F075FB" w:rsidRPr="00F7713D" w:rsidRDefault="00F075FB" w:rsidP="00B74390">
            <w:pPr>
              <w:spacing w:before="80" w:after="80" w:line="240" w:lineRule="atLeast"/>
              <w:ind w:left="0" w:firstLine="0"/>
              <w:rPr>
                <w:rFonts w:cs="Arial"/>
                <w:sz w:val="18"/>
                <w:szCs w:val="18"/>
                <w:lang w:val="en-US"/>
              </w:rPr>
            </w:pPr>
            <w:r>
              <w:rPr>
                <w:rFonts w:cs="Arial"/>
                <w:sz w:val="18"/>
                <w:szCs w:val="18"/>
                <w:lang w:val="en-US"/>
              </w:rPr>
              <w:t>N.R.C.</w:t>
            </w:r>
            <w:r w:rsidRPr="00F7713D">
              <w:rPr>
                <w:rFonts w:cs="Arial"/>
                <w:sz w:val="18"/>
                <w:szCs w:val="18"/>
                <w:lang w:val="en-US"/>
              </w:rPr>
              <w:t xml:space="preserve"> no later than after the first renewal of the inland navigation vessel certificate after</w:t>
            </w:r>
          </w:p>
        </w:tc>
        <w:tc>
          <w:tcPr>
            <w:tcW w:w="1276" w:type="dxa"/>
            <w:shd w:val="clear" w:color="auto" w:fill="auto"/>
          </w:tcPr>
          <w:p w:rsidR="00F075FB" w:rsidRPr="00F7713D" w:rsidRDefault="00F075FB" w:rsidP="00B74390">
            <w:pPr>
              <w:spacing w:before="80" w:after="80" w:line="240" w:lineRule="atLeast"/>
              <w:ind w:left="0" w:firstLine="0"/>
              <w:rPr>
                <w:rFonts w:cs="Arial"/>
                <w:sz w:val="18"/>
                <w:szCs w:val="18"/>
                <w:lang w:val="en-GB"/>
              </w:rPr>
            </w:pPr>
            <w:r w:rsidRPr="00F7713D">
              <w:rPr>
                <w:rFonts w:cs="Arial"/>
                <w:sz w:val="18"/>
                <w:szCs w:val="18"/>
                <w:lang w:val="de-DE"/>
              </w:rPr>
              <w:t>1.1.2020</w:t>
            </w:r>
          </w:p>
        </w:tc>
      </w:tr>
      <w:tr w:rsidR="00F075FB" w:rsidRPr="0029395D" w:rsidTr="0029395D">
        <w:trPr>
          <w:cantSplit/>
          <w:trHeight w:val="197"/>
          <w:jc w:val="center"/>
        </w:trPr>
        <w:tc>
          <w:tcPr>
            <w:tcW w:w="1342" w:type="dxa"/>
            <w:vMerge/>
            <w:shd w:val="clear" w:color="auto" w:fill="auto"/>
          </w:tcPr>
          <w:p w:rsidR="00F075FB" w:rsidRPr="0029395D" w:rsidRDefault="00F075FB" w:rsidP="00B74390">
            <w:pPr>
              <w:spacing w:before="80" w:after="80" w:line="240" w:lineRule="atLeast"/>
              <w:ind w:left="0" w:firstLine="0"/>
              <w:rPr>
                <w:rFonts w:cs="Arial"/>
                <w:sz w:val="18"/>
                <w:szCs w:val="18"/>
                <w:lang w:val="en-GB"/>
              </w:rPr>
            </w:pPr>
          </w:p>
        </w:tc>
        <w:tc>
          <w:tcPr>
            <w:tcW w:w="1458" w:type="dxa"/>
            <w:vMerge w:val="restart"/>
            <w:shd w:val="clear" w:color="auto" w:fill="auto"/>
          </w:tcPr>
          <w:p w:rsidR="00F075FB" w:rsidRPr="00F7713D" w:rsidRDefault="00F075FB" w:rsidP="00B74390">
            <w:pPr>
              <w:tabs>
                <w:tab w:val="left" w:pos="720"/>
              </w:tabs>
              <w:spacing w:before="80" w:after="80" w:line="240" w:lineRule="atLeast"/>
              <w:ind w:left="0" w:firstLine="0"/>
              <w:rPr>
                <w:rFonts w:cs="Arial"/>
                <w:sz w:val="18"/>
                <w:szCs w:val="18"/>
                <w:lang w:val="nl-NL"/>
              </w:rPr>
            </w:pPr>
            <w:r w:rsidRPr="00F7713D">
              <w:rPr>
                <w:rFonts w:cs="Arial"/>
                <w:sz w:val="18"/>
                <w:szCs w:val="18"/>
                <w:lang w:val="nl-NL"/>
              </w:rPr>
              <w:t>(9)</w:t>
            </w:r>
          </w:p>
        </w:tc>
        <w:tc>
          <w:tcPr>
            <w:tcW w:w="3296" w:type="dxa"/>
            <w:vMerge w:val="restart"/>
            <w:shd w:val="clear" w:color="auto" w:fill="auto"/>
          </w:tcPr>
          <w:p w:rsidR="00F075FB" w:rsidRPr="00F7713D" w:rsidRDefault="00F075FB" w:rsidP="00B74390">
            <w:pPr>
              <w:spacing w:before="80" w:after="80" w:line="240" w:lineRule="atLeast"/>
              <w:rPr>
                <w:rFonts w:cs="Arial"/>
                <w:sz w:val="18"/>
                <w:szCs w:val="18"/>
                <w:lang w:val="nl-NL"/>
              </w:rPr>
            </w:pPr>
            <w:r w:rsidRPr="00F7713D">
              <w:rPr>
                <w:rFonts w:cs="Arial"/>
                <w:sz w:val="18"/>
                <w:szCs w:val="18"/>
              </w:rPr>
              <w:t>Operating instructions</w:t>
            </w:r>
          </w:p>
        </w:tc>
        <w:tc>
          <w:tcPr>
            <w:tcW w:w="6521" w:type="dxa"/>
            <w:shd w:val="clear" w:color="auto" w:fill="auto"/>
          </w:tcPr>
          <w:p w:rsidR="00F075FB" w:rsidRPr="00F7713D" w:rsidRDefault="00F075FB" w:rsidP="00B74390">
            <w:pPr>
              <w:spacing w:before="80" w:after="80" w:line="240" w:lineRule="atLeast"/>
              <w:ind w:left="0" w:firstLine="0"/>
              <w:rPr>
                <w:rFonts w:cs="Arial"/>
                <w:sz w:val="18"/>
                <w:szCs w:val="18"/>
                <w:lang w:val="en-US"/>
              </w:rPr>
            </w:pPr>
            <w:r>
              <w:rPr>
                <w:rFonts w:cs="Arial"/>
                <w:sz w:val="18"/>
                <w:szCs w:val="18"/>
                <w:lang w:val="en-US"/>
              </w:rPr>
              <w:t>N.R.C.</w:t>
            </w:r>
            <w:r w:rsidRPr="00F7713D">
              <w:rPr>
                <w:rFonts w:cs="Arial"/>
                <w:sz w:val="18"/>
                <w:szCs w:val="18"/>
                <w:lang w:val="en-US"/>
              </w:rPr>
              <w:t xml:space="preserve"> no later than after the first renewal of the inland navigation vessel certificate after</w:t>
            </w:r>
          </w:p>
        </w:tc>
        <w:tc>
          <w:tcPr>
            <w:tcW w:w="1276" w:type="dxa"/>
            <w:vMerge w:val="restart"/>
            <w:shd w:val="clear" w:color="auto" w:fill="auto"/>
          </w:tcPr>
          <w:p w:rsidR="00F075FB" w:rsidRPr="00F7713D" w:rsidRDefault="00F075FB" w:rsidP="00B74390">
            <w:pPr>
              <w:spacing w:before="80" w:after="80" w:line="240" w:lineRule="atLeast"/>
              <w:ind w:left="0" w:firstLine="0"/>
              <w:rPr>
                <w:rFonts w:cs="Arial"/>
                <w:sz w:val="18"/>
                <w:szCs w:val="18"/>
                <w:lang w:val="en-GB"/>
              </w:rPr>
            </w:pPr>
            <w:r w:rsidRPr="00F7713D">
              <w:rPr>
                <w:rFonts w:cs="Arial"/>
                <w:sz w:val="18"/>
                <w:szCs w:val="18"/>
                <w:lang w:val="de-DE"/>
              </w:rPr>
              <w:t>1.1.2020</w:t>
            </w:r>
          </w:p>
        </w:tc>
      </w:tr>
      <w:tr w:rsidR="00F075FB" w:rsidRPr="00296858" w:rsidTr="00196FBC">
        <w:trPr>
          <w:cantSplit/>
          <w:trHeight w:val="197"/>
          <w:jc w:val="center"/>
        </w:trPr>
        <w:tc>
          <w:tcPr>
            <w:tcW w:w="1342" w:type="dxa"/>
            <w:vMerge/>
            <w:shd w:val="clear" w:color="auto" w:fill="auto"/>
          </w:tcPr>
          <w:p w:rsidR="00F075FB" w:rsidRPr="0029395D" w:rsidRDefault="00F075FB" w:rsidP="00B74390">
            <w:pPr>
              <w:spacing w:before="80" w:after="80" w:line="240" w:lineRule="atLeast"/>
              <w:ind w:left="0" w:firstLine="0"/>
              <w:rPr>
                <w:rFonts w:cs="Arial"/>
                <w:sz w:val="18"/>
                <w:szCs w:val="18"/>
                <w:lang w:val="en-GB"/>
              </w:rPr>
            </w:pPr>
          </w:p>
        </w:tc>
        <w:tc>
          <w:tcPr>
            <w:tcW w:w="1458" w:type="dxa"/>
            <w:vMerge/>
            <w:shd w:val="clear" w:color="auto" w:fill="auto"/>
          </w:tcPr>
          <w:p w:rsidR="00F075FB" w:rsidRPr="0029395D" w:rsidRDefault="00F075FB" w:rsidP="00B74390">
            <w:pPr>
              <w:tabs>
                <w:tab w:val="left" w:pos="720"/>
              </w:tabs>
              <w:spacing w:before="80" w:after="80" w:line="240" w:lineRule="atLeast"/>
              <w:ind w:left="0" w:firstLine="0"/>
              <w:rPr>
                <w:rFonts w:cs="Arial"/>
                <w:sz w:val="18"/>
                <w:szCs w:val="18"/>
                <w:highlight w:val="lightGray"/>
                <w:lang w:val="en-GB"/>
              </w:rPr>
            </w:pPr>
          </w:p>
        </w:tc>
        <w:tc>
          <w:tcPr>
            <w:tcW w:w="3296" w:type="dxa"/>
            <w:vMerge/>
            <w:shd w:val="clear" w:color="auto" w:fill="auto"/>
          </w:tcPr>
          <w:p w:rsidR="00F075FB" w:rsidRPr="0029395D" w:rsidRDefault="00F075FB" w:rsidP="00B74390">
            <w:pPr>
              <w:spacing w:before="80" w:after="80" w:line="240" w:lineRule="atLeast"/>
              <w:rPr>
                <w:rFonts w:cs="Arial"/>
                <w:sz w:val="18"/>
                <w:szCs w:val="18"/>
                <w:highlight w:val="lightGray"/>
                <w:lang w:val="en-GB"/>
              </w:rPr>
            </w:pPr>
          </w:p>
        </w:tc>
        <w:tc>
          <w:tcPr>
            <w:tcW w:w="6521" w:type="dxa"/>
            <w:shd w:val="clear" w:color="auto" w:fill="auto"/>
          </w:tcPr>
          <w:p w:rsidR="00F075FB" w:rsidRPr="00F7713D" w:rsidRDefault="00F075FB" w:rsidP="00B74390">
            <w:pPr>
              <w:spacing w:before="80" w:after="80" w:line="240" w:lineRule="atLeast"/>
              <w:ind w:left="0" w:firstLine="0"/>
              <w:rPr>
                <w:rFonts w:cs="Arial"/>
                <w:sz w:val="18"/>
                <w:szCs w:val="18"/>
                <w:lang w:val="en-US"/>
              </w:rPr>
            </w:pPr>
            <w:r w:rsidRPr="00F7713D">
              <w:rPr>
                <w:rFonts w:cs="Arial"/>
                <w:sz w:val="18"/>
                <w:szCs w:val="18"/>
                <w:lang w:val="en-US"/>
              </w:rPr>
              <w:t>If, after this date, operating instructions can no longer be obtained from the manufacturer, they will be written by a specialist. Thereafter, as of the first test in accordance with Article 14.12(6)(c), these operating instructions will be approved by the expert conducting this test.</w:t>
            </w:r>
          </w:p>
        </w:tc>
        <w:tc>
          <w:tcPr>
            <w:tcW w:w="1276" w:type="dxa"/>
            <w:vMerge/>
            <w:shd w:val="clear" w:color="auto" w:fill="auto"/>
          </w:tcPr>
          <w:p w:rsidR="00F075FB" w:rsidRPr="0029395D" w:rsidRDefault="00F075FB" w:rsidP="00B74390">
            <w:pPr>
              <w:spacing w:before="80" w:after="80" w:line="240" w:lineRule="atLeast"/>
              <w:ind w:left="0" w:firstLine="0"/>
              <w:rPr>
                <w:rFonts w:cs="Arial"/>
                <w:sz w:val="18"/>
                <w:szCs w:val="18"/>
                <w:lang w:val="en-GB"/>
              </w:rPr>
            </w:pPr>
          </w:p>
        </w:tc>
      </w:tr>
      <w:tr w:rsidR="00F075FB" w:rsidRPr="00C903F8" w:rsidTr="00196FBC">
        <w:trPr>
          <w:cantSplit/>
          <w:jc w:val="center"/>
        </w:trPr>
        <w:tc>
          <w:tcPr>
            <w:tcW w:w="6096" w:type="dxa"/>
            <w:gridSpan w:val="3"/>
            <w:shd w:val="clear" w:color="auto" w:fill="auto"/>
          </w:tcPr>
          <w:p w:rsidR="00F075FB" w:rsidRPr="00C903F8" w:rsidRDefault="00F075FB" w:rsidP="00C01A94">
            <w:pPr>
              <w:spacing w:before="100" w:after="100" w:line="240" w:lineRule="atLeast"/>
              <w:ind w:left="0" w:firstLine="0"/>
              <w:jc w:val="center"/>
              <w:rPr>
                <w:rFonts w:cs="Arial"/>
                <w:sz w:val="18"/>
                <w:szCs w:val="18"/>
              </w:rPr>
            </w:pPr>
            <w:r w:rsidRPr="00C903F8">
              <w:rPr>
                <w:rFonts w:cs="Arial"/>
                <w:b/>
                <w:sz w:val="18"/>
                <w:szCs w:val="18"/>
              </w:rPr>
              <w:t>CHAPTER 15</w:t>
            </w:r>
          </w:p>
        </w:tc>
        <w:tc>
          <w:tcPr>
            <w:tcW w:w="6521" w:type="dxa"/>
            <w:shd w:val="clear" w:color="auto" w:fill="auto"/>
          </w:tcPr>
          <w:p w:rsidR="00F075FB" w:rsidRPr="00C903F8" w:rsidRDefault="00F075FB" w:rsidP="00C01A94">
            <w:pPr>
              <w:spacing w:before="100" w:after="100" w:line="240" w:lineRule="atLeast"/>
              <w:ind w:left="0" w:firstLine="0"/>
              <w:rPr>
                <w:rFonts w:cs="Arial"/>
                <w:sz w:val="18"/>
                <w:szCs w:val="18"/>
              </w:rPr>
            </w:pPr>
          </w:p>
        </w:tc>
        <w:tc>
          <w:tcPr>
            <w:tcW w:w="1276" w:type="dxa"/>
            <w:shd w:val="clear" w:color="auto" w:fill="auto"/>
          </w:tcPr>
          <w:p w:rsidR="00F075FB" w:rsidRPr="00C903F8" w:rsidRDefault="00F075FB" w:rsidP="00C01A94">
            <w:pPr>
              <w:spacing w:before="100" w:after="100" w:line="240" w:lineRule="atLeast"/>
              <w:ind w:left="0" w:firstLine="0"/>
              <w:rPr>
                <w:rFonts w:cs="Arial"/>
                <w:sz w:val="18"/>
                <w:szCs w:val="18"/>
              </w:rPr>
            </w:pPr>
          </w:p>
        </w:tc>
      </w:tr>
      <w:tr w:rsidR="00F075FB" w:rsidRPr="00C903F8" w:rsidTr="00196FBC">
        <w:trPr>
          <w:cantSplit/>
          <w:jc w:val="center"/>
        </w:trPr>
        <w:tc>
          <w:tcPr>
            <w:tcW w:w="1342" w:type="dxa"/>
            <w:tcBorders>
              <w:bottom w:val="single" w:sz="4" w:space="0" w:color="auto"/>
            </w:tcBorders>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15.01</w:t>
            </w:r>
          </w:p>
        </w:tc>
        <w:tc>
          <w:tcPr>
            <w:tcW w:w="1458" w:type="dxa"/>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(1)</w:t>
            </w:r>
          </w:p>
        </w:tc>
        <w:tc>
          <w:tcPr>
            <w:tcW w:w="3296" w:type="dxa"/>
            <w:shd w:val="clear" w:color="auto" w:fill="auto"/>
          </w:tcPr>
          <w:p w:rsidR="00F075FB" w:rsidRPr="00C903F8" w:rsidRDefault="00F075FB" w:rsidP="00B74390">
            <w:pPr>
              <w:spacing w:before="80" w:after="80" w:line="240" w:lineRule="atLeast"/>
              <w:ind w:left="0" w:firstLine="0"/>
              <w:rPr>
                <w:rFonts w:cs="Arial"/>
                <w:sz w:val="18"/>
                <w:szCs w:val="18"/>
                <w:lang w:val="en-US"/>
              </w:rPr>
            </w:pPr>
            <w:r w:rsidRPr="00C903F8">
              <w:rPr>
                <w:rFonts w:cs="Arial"/>
                <w:noProof/>
                <w:sz w:val="18"/>
                <w:szCs w:val="18"/>
                <w:lang w:val="en-US"/>
              </w:rPr>
              <w:t>Accommodation for the persons lodging habitually on board</w:t>
            </w:r>
          </w:p>
        </w:tc>
        <w:tc>
          <w:tcPr>
            <w:tcW w:w="6521" w:type="dxa"/>
            <w:shd w:val="clear" w:color="auto" w:fill="auto"/>
          </w:tcPr>
          <w:p w:rsidR="00F075FB" w:rsidRPr="00C903F8" w:rsidRDefault="00F075FB" w:rsidP="00B74390">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tcBorders>
              <w:bottom w:val="nil"/>
            </w:tcBorders>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15.02</w:t>
            </w:r>
          </w:p>
        </w:tc>
        <w:tc>
          <w:tcPr>
            <w:tcW w:w="1458" w:type="dxa"/>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(3)</w:t>
            </w:r>
          </w:p>
        </w:tc>
        <w:tc>
          <w:tcPr>
            <w:tcW w:w="3296" w:type="dxa"/>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noProof/>
                <w:sz w:val="18"/>
                <w:szCs w:val="18"/>
              </w:rPr>
              <w:t>Situation of floors</w:t>
            </w:r>
          </w:p>
        </w:tc>
        <w:tc>
          <w:tcPr>
            <w:tcW w:w="6521" w:type="dxa"/>
            <w:shd w:val="clear" w:color="auto" w:fill="auto"/>
          </w:tcPr>
          <w:p w:rsidR="00F075FB" w:rsidRPr="00C903F8" w:rsidRDefault="00F075FB" w:rsidP="00B74390">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80" w:after="80" w:line="240" w:lineRule="atLeast"/>
              <w:ind w:left="0" w:firstLine="0"/>
              <w:rPr>
                <w:rFonts w:cs="Arial"/>
                <w:sz w:val="18"/>
                <w:szCs w:val="18"/>
              </w:rPr>
            </w:pPr>
            <w:r>
              <w:rPr>
                <w:rFonts w:cs="Arial"/>
                <w:sz w:val="18"/>
                <w:szCs w:val="18"/>
              </w:rPr>
              <w:t>1.1.2035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80" w:after="8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(4)</w:t>
            </w:r>
          </w:p>
        </w:tc>
        <w:tc>
          <w:tcPr>
            <w:tcW w:w="3296" w:type="dxa"/>
            <w:shd w:val="clear" w:color="auto" w:fill="auto"/>
          </w:tcPr>
          <w:p w:rsidR="00F075FB" w:rsidRPr="00C903F8" w:rsidRDefault="00F075FB" w:rsidP="00B74390">
            <w:pPr>
              <w:spacing w:before="80" w:after="80" w:line="240" w:lineRule="atLeast"/>
              <w:ind w:left="0" w:firstLine="0"/>
              <w:rPr>
                <w:rFonts w:cs="Arial"/>
                <w:sz w:val="18"/>
                <w:szCs w:val="18"/>
                <w:lang w:val="en-US"/>
              </w:rPr>
            </w:pPr>
            <w:r w:rsidRPr="00C903F8">
              <w:rPr>
                <w:rFonts w:cs="Arial"/>
                <w:sz w:val="18"/>
                <w:szCs w:val="18"/>
                <w:lang w:val="en-US"/>
              </w:rPr>
              <w:t>Communal living quarters and sleeping cabins</w:t>
            </w:r>
          </w:p>
        </w:tc>
        <w:tc>
          <w:tcPr>
            <w:tcW w:w="6521" w:type="dxa"/>
            <w:shd w:val="clear" w:color="auto" w:fill="auto"/>
          </w:tcPr>
          <w:p w:rsidR="00F075FB" w:rsidRPr="00C903F8" w:rsidRDefault="00F075FB" w:rsidP="00B74390">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80" w:after="8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(6)</w:t>
            </w:r>
          </w:p>
        </w:tc>
        <w:tc>
          <w:tcPr>
            <w:tcW w:w="3296" w:type="dxa"/>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noProof/>
                <w:sz w:val="18"/>
                <w:szCs w:val="18"/>
              </w:rPr>
              <w:t>Headroom in the accommodation</w:t>
            </w:r>
          </w:p>
        </w:tc>
        <w:tc>
          <w:tcPr>
            <w:tcW w:w="6521" w:type="dxa"/>
            <w:shd w:val="clear" w:color="auto" w:fill="auto"/>
          </w:tcPr>
          <w:p w:rsidR="00F075FB" w:rsidRPr="00C903F8" w:rsidRDefault="00F075FB" w:rsidP="00B74390">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60" w:after="16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(8)</w:t>
            </w:r>
          </w:p>
        </w:tc>
        <w:tc>
          <w:tcPr>
            <w:tcW w:w="3296"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sidRPr="00C903F8">
              <w:rPr>
                <w:rFonts w:cs="Arial"/>
                <w:noProof/>
                <w:sz w:val="18"/>
                <w:szCs w:val="18"/>
                <w:lang w:val="en-US"/>
              </w:rPr>
              <w:t>Free floor area of communal living quarters</w:t>
            </w:r>
          </w:p>
        </w:tc>
        <w:tc>
          <w:tcPr>
            <w:tcW w:w="6521"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60" w:after="16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(9)</w:t>
            </w:r>
          </w:p>
        </w:tc>
        <w:tc>
          <w:tcPr>
            <w:tcW w:w="3296"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noProof/>
                <w:sz w:val="18"/>
                <w:szCs w:val="18"/>
              </w:rPr>
              <w:t>Cubic capacity of rooms</w:t>
            </w:r>
          </w:p>
        </w:tc>
        <w:tc>
          <w:tcPr>
            <w:tcW w:w="6521"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60" w:after="16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(10)</w:t>
            </w:r>
          </w:p>
        </w:tc>
        <w:tc>
          <w:tcPr>
            <w:tcW w:w="3296"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sidRPr="00C903F8">
              <w:rPr>
                <w:rFonts w:cs="Arial"/>
                <w:noProof/>
                <w:sz w:val="18"/>
                <w:szCs w:val="18"/>
                <w:lang w:val="en-US"/>
              </w:rPr>
              <w:t>Volume of airspace per person</w:t>
            </w:r>
          </w:p>
        </w:tc>
        <w:tc>
          <w:tcPr>
            <w:tcW w:w="6521"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60" w:after="16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(11)</w:t>
            </w:r>
          </w:p>
        </w:tc>
        <w:tc>
          <w:tcPr>
            <w:tcW w:w="3296" w:type="dxa"/>
            <w:shd w:val="clear" w:color="auto" w:fill="auto"/>
          </w:tcPr>
          <w:p w:rsidR="00F075FB" w:rsidRPr="00C903F8" w:rsidRDefault="00F075FB" w:rsidP="00C01A94">
            <w:pPr>
              <w:spacing w:before="160" w:after="160" w:line="240" w:lineRule="atLeast"/>
              <w:jc w:val="left"/>
              <w:rPr>
                <w:rFonts w:cs="Arial"/>
                <w:noProof/>
                <w:sz w:val="18"/>
                <w:szCs w:val="18"/>
              </w:rPr>
            </w:pPr>
            <w:r w:rsidRPr="00C903F8">
              <w:rPr>
                <w:rFonts w:cs="Arial"/>
                <w:noProof/>
                <w:sz w:val="18"/>
                <w:szCs w:val="18"/>
              </w:rPr>
              <w:t>Size of doors</w:t>
            </w:r>
          </w:p>
        </w:tc>
        <w:tc>
          <w:tcPr>
            <w:tcW w:w="6521"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60" w:after="16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(12)</w:t>
            </w:r>
            <w:r>
              <w:rPr>
                <w:rFonts w:cs="Arial"/>
                <w:sz w:val="18"/>
                <w:szCs w:val="18"/>
              </w:rPr>
              <w:t>(</w:t>
            </w:r>
            <w:r w:rsidRPr="00C903F8">
              <w:rPr>
                <w:rFonts w:cs="Arial"/>
                <w:sz w:val="18"/>
                <w:szCs w:val="18"/>
              </w:rPr>
              <w:t xml:space="preserve">a) and </w:t>
            </w:r>
            <w:r>
              <w:rPr>
                <w:rFonts w:cs="Arial"/>
                <w:sz w:val="18"/>
                <w:szCs w:val="18"/>
              </w:rPr>
              <w:t>(</w:t>
            </w:r>
            <w:r w:rsidRPr="00C903F8">
              <w:rPr>
                <w:rFonts w:cs="Arial"/>
                <w:sz w:val="18"/>
                <w:szCs w:val="18"/>
              </w:rPr>
              <w:t>b)</w:t>
            </w:r>
          </w:p>
        </w:tc>
        <w:tc>
          <w:tcPr>
            <w:tcW w:w="3296" w:type="dxa"/>
            <w:shd w:val="clear" w:color="auto" w:fill="auto"/>
          </w:tcPr>
          <w:p w:rsidR="00F075FB" w:rsidRPr="00C903F8" w:rsidRDefault="00F075FB" w:rsidP="00C01A94">
            <w:pPr>
              <w:spacing w:before="160" w:after="160" w:line="240" w:lineRule="atLeast"/>
              <w:jc w:val="left"/>
              <w:rPr>
                <w:rFonts w:cs="Arial"/>
                <w:noProof/>
                <w:sz w:val="18"/>
                <w:szCs w:val="18"/>
              </w:rPr>
            </w:pPr>
            <w:r w:rsidRPr="00C903F8">
              <w:rPr>
                <w:rFonts w:cs="Arial"/>
                <w:noProof/>
                <w:sz w:val="18"/>
                <w:szCs w:val="18"/>
              </w:rPr>
              <w:t>Situation of stairs</w:t>
            </w:r>
          </w:p>
        </w:tc>
        <w:tc>
          <w:tcPr>
            <w:tcW w:w="6521"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tcBorders>
              <w:top w:val="nil"/>
            </w:tcBorders>
            <w:shd w:val="clear" w:color="auto" w:fill="auto"/>
          </w:tcPr>
          <w:p w:rsidR="00F075FB" w:rsidRPr="00C903F8" w:rsidRDefault="00F075FB" w:rsidP="00C01A94">
            <w:pPr>
              <w:spacing w:before="160" w:after="16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(13)</w:t>
            </w:r>
          </w:p>
        </w:tc>
        <w:tc>
          <w:tcPr>
            <w:tcW w:w="3296" w:type="dxa"/>
            <w:shd w:val="clear" w:color="auto" w:fill="auto"/>
          </w:tcPr>
          <w:p w:rsidR="00F075FB" w:rsidRPr="00C903F8" w:rsidRDefault="00F075FB" w:rsidP="00C01A94">
            <w:pPr>
              <w:spacing w:before="160" w:after="160" w:line="240" w:lineRule="atLeast"/>
              <w:ind w:left="0" w:firstLine="0"/>
              <w:jc w:val="left"/>
              <w:rPr>
                <w:rFonts w:cs="Arial"/>
                <w:noProof/>
                <w:sz w:val="18"/>
                <w:szCs w:val="18"/>
                <w:lang w:val="en-US"/>
              </w:rPr>
            </w:pPr>
            <w:r w:rsidRPr="00C903F8">
              <w:rPr>
                <w:rFonts w:cs="Arial"/>
                <w:noProof/>
                <w:sz w:val="18"/>
                <w:szCs w:val="18"/>
                <w:lang w:val="en-US"/>
              </w:rPr>
              <w:t>Pipes carrying dangerous gases or liquids</w:t>
            </w:r>
          </w:p>
        </w:tc>
        <w:tc>
          <w:tcPr>
            <w:tcW w:w="6521"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15.03</w:t>
            </w:r>
          </w:p>
        </w:tc>
        <w:tc>
          <w:tcPr>
            <w:tcW w:w="1458" w:type="dxa"/>
            <w:shd w:val="clear" w:color="auto" w:fill="auto"/>
          </w:tcPr>
          <w:p w:rsidR="00F075FB" w:rsidRPr="00C903F8" w:rsidRDefault="00F075FB" w:rsidP="00C01A94">
            <w:pPr>
              <w:spacing w:before="160" w:after="160" w:line="240" w:lineRule="atLeast"/>
              <w:ind w:left="0" w:firstLine="0"/>
              <w:rPr>
                <w:rFonts w:cs="Arial"/>
                <w:sz w:val="18"/>
                <w:szCs w:val="18"/>
              </w:rPr>
            </w:pPr>
          </w:p>
        </w:tc>
        <w:tc>
          <w:tcPr>
            <w:tcW w:w="3296" w:type="dxa"/>
            <w:shd w:val="clear" w:color="auto" w:fill="auto"/>
          </w:tcPr>
          <w:p w:rsidR="00F075FB" w:rsidRPr="00C903F8" w:rsidRDefault="00F075FB" w:rsidP="00C01A94">
            <w:pPr>
              <w:spacing w:before="160" w:after="160" w:line="240" w:lineRule="atLeast"/>
              <w:jc w:val="left"/>
              <w:rPr>
                <w:rFonts w:cs="Arial"/>
                <w:noProof/>
                <w:sz w:val="18"/>
                <w:szCs w:val="18"/>
              </w:rPr>
            </w:pPr>
            <w:r w:rsidRPr="00C903F8">
              <w:rPr>
                <w:rFonts w:cs="Arial"/>
                <w:noProof/>
                <w:sz w:val="18"/>
                <w:szCs w:val="18"/>
              </w:rPr>
              <w:t>Sanitary installations</w:t>
            </w:r>
          </w:p>
        </w:tc>
        <w:tc>
          <w:tcPr>
            <w:tcW w:w="6521"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15.04</w:t>
            </w:r>
          </w:p>
        </w:tc>
        <w:tc>
          <w:tcPr>
            <w:tcW w:w="1458" w:type="dxa"/>
            <w:shd w:val="clear" w:color="auto" w:fill="auto"/>
          </w:tcPr>
          <w:p w:rsidR="00F075FB" w:rsidRPr="00C903F8" w:rsidRDefault="00F075FB" w:rsidP="00C01A94">
            <w:pPr>
              <w:spacing w:before="160" w:after="160" w:line="240" w:lineRule="atLeast"/>
              <w:ind w:left="0" w:firstLine="0"/>
              <w:rPr>
                <w:rFonts w:cs="Arial"/>
                <w:sz w:val="18"/>
                <w:szCs w:val="18"/>
              </w:rPr>
            </w:pPr>
          </w:p>
        </w:tc>
        <w:tc>
          <w:tcPr>
            <w:tcW w:w="3296" w:type="dxa"/>
            <w:shd w:val="clear" w:color="auto" w:fill="auto"/>
          </w:tcPr>
          <w:p w:rsidR="00F075FB" w:rsidRPr="00C903F8" w:rsidRDefault="00F075FB" w:rsidP="00C01A94">
            <w:pPr>
              <w:spacing w:before="160" w:after="160" w:line="240" w:lineRule="atLeast"/>
              <w:jc w:val="left"/>
              <w:rPr>
                <w:rFonts w:cs="Arial"/>
                <w:noProof/>
                <w:sz w:val="18"/>
                <w:szCs w:val="18"/>
              </w:rPr>
            </w:pPr>
            <w:r w:rsidRPr="00C903F8">
              <w:rPr>
                <w:rFonts w:cs="Arial"/>
                <w:noProof/>
                <w:sz w:val="18"/>
                <w:szCs w:val="18"/>
              </w:rPr>
              <w:t>Galleys</w:t>
            </w:r>
          </w:p>
        </w:tc>
        <w:tc>
          <w:tcPr>
            <w:tcW w:w="6521"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15.06</w:t>
            </w:r>
          </w:p>
        </w:tc>
        <w:tc>
          <w:tcPr>
            <w:tcW w:w="1458" w:type="dxa"/>
            <w:shd w:val="clear" w:color="auto" w:fill="auto"/>
          </w:tcPr>
          <w:p w:rsidR="00F075FB" w:rsidRPr="00C903F8" w:rsidRDefault="00F075FB" w:rsidP="00C01A94">
            <w:pPr>
              <w:spacing w:before="160" w:after="160" w:line="240" w:lineRule="atLeast"/>
              <w:ind w:left="0" w:firstLine="0"/>
              <w:rPr>
                <w:rFonts w:cs="Arial"/>
                <w:sz w:val="18"/>
                <w:szCs w:val="18"/>
              </w:rPr>
            </w:pPr>
          </w:p>
        </w:tc>
        <w:tc>
          <w:tcPr>
            <w:tcW w:w="3296" w:type="dxa"/>
            <w:shd w:val="clear" w:color="auto" w:fill="auto"/>
          </w:tcPr>
          <w:p w:rsidR="00F075FB" w:rsidRPr="00C903F8" w:rsidRDefault="00F075FB" w:rsidP="00C01A94">
            <w:pPr>
              <w:spacing w:before="160" w:after="160" w:line="240" w:lineRule="atLeast"/>
              <w:rPr>
                <w:rFonts w:cs="Arial"/>
                <w:color w:val="000000"/>
                <w:sz w:val="18"/>
                <w:szCs w:val="18"/>
              </w:rPr>
            </w:pPr>
            <w:r w:rsidRPr="00C903F8">
              <w:rPr>
                <w:rFonts w:cs="Arial"/>
                <w:noProof/>
                <w:sz w:val="18"/>
                <w:szCs w:val="18"/>
              </w:rPr>
              <w:t>Heating and ventilation</w:t>
            </w:r>
          </w:p>
        </w:tc>
        <w:tc>
          <w:tcPr>
            <w:tcW w:w="6521"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15.07</w:t>
            </w:r>
          </w:p>
        </w:tc>
        <w:tc>
          <w:tcPr>
            <w:tcW w:w="1458" w:type="dxa"/>
            <w:shd w:val="clear" w:color="auto" w:fill="auto"/>
          </w:tcPr>
          <w:p w:rsidR="00F075FB" w:rsidRPr="00C903F8" w:rsidRDefault="00F075FB" w:rsidP="00C01A94">
            <w:pPr>
              <w:spacing w:before="160" w:after="160" w:line="240" w:lineRule="atLeast"/>
              <w:ind w:left="0" w:firstLine="0"/>
              <w:jc w:val="left"/>
              <w:rPr>
                <w:rFonts w:cs="Arial"/>
                <w:sz w:val="18"/>
                <w:szCs w:val="18"/>
              </w:rPr>
            </w:pPr>
            <w:r w:rsidRPr="00C903F8">
              <w:rPr>
                <w:rFonts w:cs="Arial"/>
                <w:sz w:val="18"/>
                <w:szCs w:val="18"/>
              </w:rPr>
              <w:t>(1) 2nd</w:t>
            </w:r>
            <w:r w:rsidRPr="00C903F8">
              <w:rPr>
                <w:rFonts w:cs="Arial"/>
                <w:sz w:val="18"/>
                <w:szCs w:val="18"/>
                <w:vertAlign w:val="superscript"/>
              </w:rPr>
              <w:t> </w:t>
            </w:r>
            <w:r w:rsidRPr="00C903F8">
              <w:rPr>
                <w:rFonts w:cs="Arial"/>
                <w:sz w:val="18"/>
                <w:szCs w:val="18"/>
              </w:rPr>
              <w:t>sentence</w:t>
            </w:r>
          </w:p>
        </w:tc>
        <w:tc>
          <w:tcPr>
            <w:tcW w:w="3296" w:type="dxa"/>
            <w:shd w:val="clear" w:color="auto" w:fill="auto"/>
          </w:tcPr>
          <w:p w:rsidR="00F075FB" w:rsidRPr="00C903F8" w:rsidRDefault="00F075FB" w:rsidP="00C01A94">
            <w:pPr>
              <w:spacing w:before="160" w:after="160" w:line="240" w:lineRule="atLeast"/>
              <w:rPr>
                <w:rFonts w:cs="Arial"/>
                <w:color w:val="000000"/>
                <w:sz w:val="18"/>
                <w:szCs w:val="18"/>
              </w:rPr>
            </w:pPr>
            <w:r w:rsidRPr="00C903F8">
              <w:rPr>
                <w:rFonts w:cs="Arial"/>
                <w:noProof/>
                <w:sz w:val="18"/>
                <w:szCs w:val="18"/>
              </w:rPr>
              <w:t>Other accommodation installations</w:t>
            </w:r>
          </w:p>
        </w:tc>
        <w:tc>
          <w:tcPr>
            <w:tcW w:w="6521" w:type="dxa"/>
            <w:shd w:val="clear" w:color="auto" w:fill="auto"/>
          </w:tcPr>
          <w:p w:rsidR="00F075FB" w:rsidRPr="00C903F8" w:rsidRDefault="00F075FB"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60" w:after="160" w:line="240" w:lineRule="atLeast"/>
              <w:ind w:left="0" w:firstLine="0"/>
              <w:rPr>
                <w:rFonts w:cs="Arial"/>
                <w:sz w:val="18"/>
                <w:szCs w:val="18"/>
              </w:rPr>
            </w:pPr>
            <w:r w:rsidRPr="00C903F8">
              <w:rPr>
                <w:rFonts w:cs="Arial"/>
                <w:sz w:val="18"/>
                <w:szCs w:val="18"/>
              </w:rPr>
              <w:t>1.1.2035</w:t>
            </w:r>
          </w:p>
        </w:tc>
      </w:tr>
      <w:tr w:rsidR="00F075FB" w:rsidRPr="00C903F8" w:rsidTr="00196FBC">
        <w:trPr>
          <w:cantSplit/>
          <w:trHeight w:val="70"/>
          <w:jc w:val="center"/>
        </w:trPr>
        <w:tc>
          <w:tcPr>
            <w:tcW w:w="6096" w:type="dxa"/>
            <w:gridSpan w:val="3"/>
            <w:shd w:val="clear" w:color="auto" w:fill="auto"/>
          </w:tcPr>
          <w:p w:rsidR="00F075FB" w:rsidRPr="00C903F8" w:rsidRDefault="00F075FB" w:rsidP="00C01A94">
            <w:pPr>
              <w:spacing w:before="60" w:after="60" w:line="240" w:lineRule="atLeast"/>
              <w:ind w:left="0" w:firstLine="0"/>
              <w:jc w:val="center"/>
              <w:rPr>
                <w:rFonts w:cs="Arial"/>
                <w:b/>
                <w:sz w:val="18"/>
                <w:szCs w:val="18"/>
              </w:rPr>
            </w:pPr>
            <w:r w:rsidRPr="00C903F8">
              <w:rPr>
                <w:rFonts w:cs="Arial"/>
                <w:b/>
                <w:sz w:val="18"/>
                <w:szCs w:val="18"/>
              </w:rPr>
              <w:t>CHAPTER 18</w:t>
            </w:r>
          </w:p>
        </w:tc>
        <w:tc>
          <w:tcPr>
            <w:tcW w:w="6521" w:type="dxa"/>
            <w:shd w:val="clear" w:color="auto" w:fill="auto"/>
          </w:tcPr>
          <w:p w:rsidR="00F075FB" w:rsidRPr="00C903F8" w:rsidRDefault="00F075FB" w:rsidP="00C01A94">
            <w:pPr>
              <w:spacing w:before="60" w:after="60" w:line="240" w:lineRule="atLeast"/>
              <w:ind w:left="0" w:firstLine="0"/>
              <w:rPr>
                <w:rFonts w:cs="Arial"/>
                <w:sz w:val="18"/>
                <w:szCs w:val="18"/>
              </w:rPr>
            </w:pPr>
          </w:p>
        </w:tc>
        <w:tc>
          <w:tcPr>
            <w:tcW w:w="1276" w:type="dxa"/>
            <w:shd w:val="clear" w:color="auto" w:fill="auto"/>
          </w:tcPr>
          <w:p w:rsidR="00F075FB" w:rsidRPr="00C903F8" w:rsidRDefault="00F075FB" w:rsidP="00C01A94">
            <w:pPr>
              <w:spacing w:before="60" w:after="60" w:line="240" w:lineRule="atLeast"/>
              <w:ind w:left="0" w:firstLine="0"/>
              <w:rPr>
                <w:rFonts w:cs="Arial"/>
                <w:sz w:val="18"/>
                <w:szCs w:val="18"/>
              </w:rPr>
            </w:pPr>
          </w:p>
        </w:tc>
      </w:tr>
      <w:tr w:rsidR="00F075FB" w:rsidRPr="00296858" w:rsidTr="00196FBC">
        <w:trPr>
          <w:cantSplit/>
          <w:jc w:val="center"/>
        </w:trPr>
        <w:tc>
          <w:tcPr>
            <w:tcW w:w="1342" w:type="dxa"/>
            <w:vMerge w:val="restart"/>
            <w:shd w:val="clear" w:color="auto" w:fill="auto"/>
          </w:tcPr>
          <w:p w:rsidR="00F075FB" w:rsidRPr="0021540A" w:rsidRDefault="00F075FB" w:rsidP="00C01A94">
            <w:pPr>
              <w:spacing w:before="80" w:after="80" w:line="240" w:lineRule="atLeast"/>
              <w:rPr>
                <w:rFonts w:cs="Arial"/>
                <w:sz w:val="18"/>
                <w:szCs w:val="18"/>
              </w:rPr>
            </w:pPr>
            <w:r w:rsidRPr="0021540A">
              <w:rPr>
                <w:rFonts w:cs="Arial"/>
                <w:sz w:val="18"/>
                <w:szCs w:val="18"/>
              </w:rPr>
              <w:t>18.01</w:t>
            </w:r>
          </w:p>
        </w:tc>
        <w:tc>
          <w:tcPr>
            <w:tcW w:w="1458" w:type="dxa"/>
            <w:vMerge w:val="restart"/>
            <w:shd w:val="clear" w:color="auto" w:fill="auto"/>
          </w:tcPr>
          <w:p w:rsidR="00F075FB" w:rsidRPr="0021540A" w:rsidRDefault="00F075FB" w:rsidP="004D2B3E">
            <w:pPr>
              <w:spacing w:before="80" w:after="80" w:line="240" w:lineRule="atLeast"/>
              <w:ind w:left="0" w:firstLine="0"/>
              <w:rPr>
                <w:rFonts w:cs="Arial"/>
                <w:sz w:val="18"/>
                <w:szCs w:val="18"/>
              </w:rPr>
            </w:pPr>
            <w:r w:rsidRPr="0021540A">
              <w:rPr>
                <w:rFonts w:cs="Arial"/>
                <w:sz w:val="18"/>
                <w:szCs w:val="18"/>
              </w:rPr>
              <w:t>(2)</w:t>
            </w:r>
            <w:r>
              <w:rPr>
                <w:rFonts w:cs="Arial"/>
                <w:sz w:val="18"/>
                <w:szCs w:val="18"/>
              </w:rPr>
              <w:t>,</w:t>
            </w:r>
            <w:r w:rsidRPr="0021540A">
              <w:rPr>
                <w:rFonts w:cs="Arial"/>
                <w:sz w:val="18"/>
                <w:szCs w:val="18"/>
              </w:rPr>
              <w:t xml:space="preserve"> </w:t>
            </w:r>
            <w:r>
              <w:rPr>
                <w:rFonts w:cs="Arial"/>
                <w:sz w:val="18"/>
                <w:szCs w:val="18"/>
              </w:rPr>
              <w:t>T</w:t>
            </w:r>
            <w:r w:rsidRPr="0021540A">
              <w:rPr>
                <w:rFonts w:cs="Arial"/>
                <w:sz w:val="18"/>
                <w:szCs w:val="18"/>
              </w:rPr>
              <w:t>ables 1 and 2</w:t>
            </w:r>
            <w:r>
              <w:rPr>
                <w:rFonts w:cs="Arial"/>
                <w:sz w:val="18"/>
                <w:szCs w:val="18"/>
              </w:rPr>
              <w:t>,</w:t>
            </w:r>
            <w:r w:rsidRPr="0021540A">
              <w:rPr>
                <w:rFonts w:cs="Arial"/>
                <w:sz w:val="18"/>
                <w:szCs w:val="18"/>
              </w:rPr>
              <w:t xml:space="preserve"> and (5)</w:t>
            </w:r>
          </w:p>
        </w:tc>
        <w:tc>
          <w:tcPr>
            <w:tcW w:w="3296" w:type="dxa"/>
            <w:vMerge w:val="restart"/>
            <w:shd w:val="clear" w:color="auto" w:fill="auto"/>
          </w:tcPr>
          <w:p w:rsidR="00F075FB" w:rsidRPr="0021540A" w:rsidRDefault="00F075FB" w:rsidP="00C01A94">
            <w:pPr>
              <w:adjustRightInd w:val="0"/>
              <w:spacing w:before="80" w:after="80" w:line="240" w:lineRule="atLeast"/>
              <w:ind w:left="0" w:firstLine="0"/>
              <w:rPr>
                <w:rFonts w:cs="Arial"/>
                <w:sz w:val="18"/>
                <w:szCs w:val="18"/>
                <w:lang w:val="en-GB"/>
              </w:rPr>
            </w:pPr>
            <w:r w:rsidRPr="0021540A">
              <w:rPr>
                <w:rFonts w:cs="Arial"/>
                <w:noProof/>
                <w:sz w:val="18"/>
                <w:szCs w:val="18"/>
                <w:lang w:val="en-US"/>
              </w:rPr>
              <w:t>Limit/control values and type approvals</w:t>
            </w:r>
          </w:p>
        </w:tc>
        <w:tc>
          <w:tcPr>
            <w:tcW w:w="6521" w:type="dxa"/>
            <w:shd w:val="clear" w:color="auto" w:fill="auto"/>
          </w:tcPr>
          <w:p w:rsidR="00F075FB" w:rsidRPr="0021540A" w:rsidRDefault="00F075FB" w:rsidP="00C01A94">
            <w:pPr>
              <w:spacing w:before="80" w:after="80" w:line="240" w:lineRule="atLeast"/>
              <w:rPr>
                <w:rFonts w:cs="Arial"/>
                <w:sz w:val="18"/>
                <w:szCs w:val="18"/>
                <w:lang w:val="en-US"/>
              </w:rPr>
            </w:pPr>
            <w:r w:rsidRPr="0021540A">
              <w:rPr>
                <w:rFonts w:cs="Arial"/>
                <w:sz w:val="18"/>
                <w:szCs w:val="18"/>
                <w:lang w:val="en-US"/>
              </w:rPr>
              <w:t>N.R.C., as long as</w:t>
            </w:r>
          </w:p>
          <w:p w:rsidR="00F075FB" w:rsidRPr="0021540A" w:rsidRDefault="00F075FB" w:rsidP="00C01A94">
            <w:pPr>
              <w:spacing w:before="80" w:after="80" w:line="240" w:lineRule="atLeast"/>
              <w:ind w:left="317" w:hanging="317"/>
              <w:rPr>
                <w:rFonts w:cs="Arial"/>
                <w:sz w:val="18"/>
                <w:szCs w:val="18"/>
                <w:lang w:val="en-US"/>
              </w:rPr>
            </w:pPr>
            <w:r w:rsidRPr="0021540A">
              <w:rPr>
                <w:rFonts w:cs="Arial"/>
                <w:sz w:val="18"/>
                <w:szCs w:val="18"/>
                <w:lang w:val="en-US"/>
              </w:rPr>
              <w:t>a)</w:t>
            </w:r>
            <w:r w:rsidRPr="0021540A">
              <w:rPr>
                <w:rFonts w:cs="Arial"/>
                <w:sz w:val="18"/>
                <w:szCs w:val="18"/>
                <w:lang w:val="en-US"/>
              </w:rPr>
              <w:tab/>
              <w:t>the limit and control values do not exceed the values according to values of step II by more than the factor 2,</w:t>
            </w:r>
          </w:p>
          <w:p w:rsidR="00F075FB" w:rsidRPr="0021540A" w:rsidRDefault="00F075FB" w:rsidP="00C01A94">
            <w:pPr>
              <w:spacing w:before="80" w:after="80" w:line="240" w:lineRule="atLeast"/>
              <w:ind w:left="317" w:hanging="317"/>
              <w:rPr>
                <w:rFonts w:cs="Arial"/>
                <w:sz w:val="18"/>
                <w:szCs w:val="18"/>
                <w:lang w:val="en-US"/>
              </w:rPr>
            </w:pPr>
            <w:r w:rsidRPr="0021540A">
              <w:rPr>
                <w:rFonts w:cs="Arial"/>
                <w:sz w:val="18"/>
                <w:szCs w:val="18"/>
                <w:lang w:val="en-US"/>
              </w:rPr>
              <w:t>b)</w:t>
            </w:r>
            <w:r w:rsidRPr="0021540A">
              <w:rPr>
                <w:rFonts w:cs="Arial"/>
                <w:sz w:val="18"/>
                <w:szCs w:val="18"/>
                <w:lang w:val="en-US"/>
              </w:rPr>
              <w:tab/>
              <w:t>t</w:t>
            </w:r>
            <w:r w:rsidRPr="0021540A">
              <w:rPr>
                <w:rFonts w:cs="Arial"/>
                <w:noProof/>
                <w:sz w:val="18"/>
                <w:szCs w:val="18"/>
                <w:lang w:val="en-US"/>
              </w:rPr>
              <w:t>he on-board sewage treatment plant has a manufacturer's or expert's certificate confirming that it can cope with the typical loading patterns on board the craft and</w:t>
            </w:r>
          </w:p>
          <w:p w:rsidR="00F075FB" w:rsidRPr="0021540A" w:rsidRDefault="00F075FB" w:rsidP="00C01A94">
            <w:pPr>
              <w:adjustRightInd w:val="0"/>
              <w:spacing w:before="80" w:after="80" w:line="240" w:lineRule="atLeast"/>
              <w:ind w:left="317" w:hanging="317"/>
              <w:rPr>
                <w:rFonts w:cs="Arial"/>
                <w:sz w:val="18"/>
                <w:szCs w:val="18"/>
                <w:lang w:val="en-GB"/>
              </w:rPr>
            </w:pPr>
            <w:r w:rsidRPr="0021540A">
              <w:rPr>
                <w:rFonts w:cs="Arial"/>
                <w:sz w:val="18"/>
                <w:szCs w:val="18"/>
                <w:lang w:val="en-US"/>
              </w:rPr>
              <w:t>c)</w:t>
            </w:r>
            <w:r w:rsidRPr="0021540A">
              <w:rPr>
                <w:rFonts w:cs="Arial"/>
                <w:sz w:val="18"/>
                <w:szCs w:val="18"/>
                <w:lang w:val="en-US"/>
              </w:rPr>
              <w:tab/>
            </w:r>
            <w:r w:rsidRPr="0021540A">
              <w:rPr>
                <w:rFonts w:cs="Arial"/>
                <w:noProof/>
                <w:sz w:val="18"/>
                <w:szCs w:val="18"/>
                <w:lang w:val="en-US"/>
              </w:rPr>
              <w:t>a system of sewage sludge management is in place for it which is appropriate to the conditions of operating a sewage treatment plant aboard a passenger vessel</w:t>
            </w:r>
            <w:r w:rsidRPr="0021540A">
              <w:rPr>
                <w:rFonts w:cs="Arial"/>
                <w:sz w:val="18"/>
                <w:szCs w:val="18"/>
                <w:lang w:val="en-US"/>
              </w:rPr>
              <w:t>.</w:t>
            </w:r>
          </w:p>
        </w:tc>
        <w:tc>
          <w:tcPr>
            <w:tcW w:w="1276" w:type="dxa"/>
            <w:shd w:val="clear" w:color="auto" w:fill="auto"/>
          </w:tcPr>
          <w:p w:rsidR="00F075FB" w:rsidRPr="0021540A" w:rsidRDefault="00F075FB" w:rsidP="00C01A94">
            <w:pPr>
              <w:spacing w:before="80" w:after="80" w:line="240" w:lineRule="atLeast"/>
              <w:rPr>
                <w:rFonts w:cs="Arial"/>
                <w:sz w:val="18"/>
                <w:szCs w:val="18"/>
                <w:lang w:val="en-GB"/>
              </w:rPr>
            </w:pPr>
          </w:p>
        </w:tc>
      </w:tr>
      <w:tr w:rsidR="00F075FB" w:rsidRPr="00296858" w:rsidTr="00196FBC">
        <w:trPr>
          <w:cantSplit/>
          <w:jc w:val="center"/>
        </w:trPr>
        <w:tc>
          <w:tcPr>
            <w:tcW w:w="1342" w:type="dxa"/>
            <w:vMerge/>
            <w:shd w:val="clear" w:color="auto" w:fill="auto"/>
          </w:tcPr>
          <w:p w:rsidR="00F075FB" w:rsidRPr="0021540A" w:rsidRDefault="00F075FB" w:rsidP="00C01A94">
            <w:pPr>
              <w:spacing w:before="80" w:after="80" w:line="240" w:lineRule="atLeast"/>
              <w:ind w:left="0" w:firstLine="0"/>
              <w:rPr>
                <w:rFonts w:cs="Arial"/>
                <w:sz w:val="18"/>
                <w:szCs w:val="18"/>
                <w:lang w:val="en-GB"/>
              </w:rPr>
            </w:pPr>
          </w:p>
        </w:tc>
        <w:tc>
          <w:tcPr>
            <w:tcW w:w="1458" w:type="dxa"/>
            <w:vMerge/>
            <w:shd w:val="clear" w:color="auto" w:fill="auto"/>
          </w:tcPr>
          <w:p w:rsidR="00F075FB" w:rsidRPr="0021540A" w:rsidRDefault="00F075FB" w:rsidP="00C01A94">
            <w:pPr>
              <w:spacing w:before="80" w:after="80" w:line="240" w:lineRule="atLeast"/>
              <w:ind w:left="0" w:firstLine="0"/>
              <w:rPr>
                <w:rFonts w:cs="Arial"/>
                <w:sz w:val="18"/>
                <w:szCs w:val="18"/>
                <w:lang w:val="en-GB"/>
              </w:rPr>
            </w:pPr>
          </w:p>
        </w:tc>
        <w:tc>
          <w:tcPr>
            <w:tcW w:w="3296" w:type="dxa"/>
            <w:vMerge/>
            <w:shd w:val="clear" w:color="auto" w:fill="auto"/>
          </w:tcPr>
          <w:p w:rsidR="00F075FB" w:rsidRPr="0021540A" w:rsidRDefault="00F075FB" w:rsidP="00C01A94">
            <w:pPr>
              <w:tabs>
                <w:tab w:val="left" w:pos="1080"/>
              </w:tabs>
              <w:spacing w:before="80" w:after="80" w:line="240" w:lineRule="atLeast"/>
              <w:ind w:left="0" w:firstLine="0"/>
              <w:rPr>
                <w:rFonts w:cs="Arial"/>
                <w:noProof/>
                <w:sz w:val="18"/>
                <w:szCs w:val="18"/>
                <w:lang w:val="en-US"/>
              </w:rPr>
            </w:pPr>
          </w:p>
        </w:tc>
        <w:tc>
          <w:tcPr>
            <w:tcW w:w="6521" w:type="dxa"/>
            <w:shd w:val="clear" w:color="auto" w:fill="auto"/>
          </w:tcPr>
          <w:p w:rsidR="00F075FB" w:rsidRPr="0021540A" w:rsidRDefault="00F075FB" w:rsidP="00C01A94">
            <w:pPr>
              <w:spacing w:before="80" w:after="80" w:line="240" w:lineRule="atLeast"/>
              <w:ind w:left="0" w:firstLine="0"/>
              <w:rPr>
                <w:rFonts w:cs="Arial"/>
                <w:sz w:val="18"/>
                <w:szCs w:val="18"/>
                <w:lang w:val="en-US"/>
              </w:rPr>
            </w:pPr>
            <w:r w:rsidRPr="0021540A">
              <w:rPr>
                <w:rFonts w:cs="Arial"/>
                <w:sz w:val="18"/>
                <w:szCs w:val="18"/>
                <w:lang w:val="en-GB"/>
              </w:rPr>
              <w:t xml:space="preserve">On-board sewage treatment plants </w:t>
            </w:r>
            <w:r w:rsidRPr="0021540A">
              <w:rPr>
                <w:rFonts w:cs="Arial"/>
                <w:sz w:val="18"/>
                <w:szCs w:val="18"/>
                <w:lang w:val="en-US"/>
              </w:rPr>
              <w:t>which have received an approval on or after 1</w:t>
            </w:r>
            <w:r w:rsidRPr="0021540A">
              <w:rPr>
                <w:rFonts w:cs="Arial"/>
                <w:sz w:val="18"/>
                <w:szCs w:val="18"/>
                <w:vertAlign w:val="superscript"/>
                <w:lang w:val="en-US"/>
              </w:rPr>
              <w:t>st </w:t>
            </w:r>
            <w:r w:rsidRPr="0021540A">
              <w:rPr>
                <w:rFonts w:cs="Arial"/>
                <w:sz w:val="18"/>
                <w:szCs w:val="18"/>
                <w:lang w:val="en-US"/>
              </w:rPr>
              <w:t>December 2011, pursuant to requirements of the Resolution CCNR 2010-II-27 (Step II), may continue to be installed and used.</w:t>
            </w:r>
          </w:p>
        </w:tc>
        <w:tc>
          <w:tcPr>
            <w:tcW w:w="1276" w:type="dxa"/>
            <w:shd w:val="clear" w:color="auto" w:fill="auto"/>
          </w:tcPr>
          <w:p w:rsidR="00F075FB" w:rsidRPr="0021540A" w:rsidRDefault="00F075FB" w:rsidP="00C01A94">
            <w:pPr>
              <w:spacing w:before="80" w:after="80" w:line="240" w:lineRule="atLeast"/>
              <w:ind w:left="0" w:firstLine="0"/>
              <w:rPr>
                <w:rFonts w:cs="Arial"/>
                <w:sz w:val="18"/>
                <w:szCs w:val="18"/>
                <w:lang w:val="en-US"/>
              </w:rPr>
            </w:pPr>
          </w:p>
        </w:tc>
      </w:tr>
      <w:tr w:rsidR="00F075FB" w:rsidRPr="00296858" w:rsidTr="00196FBC">
        <w:trPr>
          <w:cantSplit/>
          <w:jc w:val="center"/>
        </w:trPr>
        <w:tc>
          <w:tcPr>
            <w:tcW w:w="1342" w:type="dxa"/>
            <w:vMerge/>
            <w:shd w:val="clear" w:color="auto" w:fill="auto"/>
          </w:tcPr>
          <w:p w:rsidR="00F075FB" w:rsidRPr="0021540A" w:rsidRDefault="00F075FB" w:rsidP="00C01A94">
            <w:pPr>
              <w:spacing w:before="80" w:after="80" w:line="240" w:lineRule="atLeast"/>
              <w:ind w:left="0" w:firstLine="0"/>
              <w:rPr>
                <w:rFonts w:cs="Arial"/>
                <w:sz w:val="18"/>
                <w:szCs w:val="18"/>
                <w:lang w:val="en-GB"/>
              </w:rPr>
            </w:pPr>
          </w:p>
        </w:tc>
        <w:tc>
          <w:tcPr>
            <w:tcW w:w="1458" w:type="dxa"/>
            <w:vMerge/>
            <w:shd w:val="clear" w:color="auto" w:fill="auto"/>
          </w:tcPr>
          <w:p w:rsidR="00F075FB" w:rsidRPr="0021540A" w:rsidRDefault="00F075FB" w:rsidP="00C01A94">
            <w:pPr>
              <w:spacing w:before="80" w:after="80" w:line="240" w:lineRule="atLeast"/>
              <w:ind w:left="0" w:firstLine="0"/>
              <w:rPr>
                <w:rFonts w:cs="Arial"/>
                <w:sz w:val="18"/>
                <w:szCs w:val="18"/>
                <w:lang w:val="en-GB"/>
              </w:rPr>
            </w:pPr>
          </w:p>
        </w:tc>
        <w:tc>
          <w:tcPr>
            <w:tcW w:w="3296" w:type="dxa"/>
            <w:vMerge/>
            <w:shd w:val="clear" w:color="auto" w:fill="auto"/>
          </w:tcPr>
          <w:p w:rsidR="00F075FB" w:rsidRPr="0021540A" w:rsidRDefault="00F075FB" w:rsidP="00C01A94">
            <w:pPr>
              <w:tabs>
                <w:tab w:val="left" w:pos="1080"/>
              </w:tabs>
              <w:spacing w:before="80" w:after="80" w:line="240" w:lineRule="atLeast"/>
              <w:ind w:left="0" w:firstLine="0"/>
              <w:rPr>
                <w:rFonts w:cs="Arial"/>
                <w:noProof/>
                <w:sz w:val="18"/>
                <w:szCs w:val="18"/>
                <w:lang w:val="en-US"/>
              </w:rPr>
            </w:pPr>
          </w:p>
        </w:tc>
        <w:tc>
          <w:tcPr>
            <w:tcW w:w="6521" w:type="dxa"/>
            <w:shd w:val="clear" w:color="auto" w:fill="auto"/>
          </w:tcPr>
          <w:p w:rsidR="00F075FB" w:rsidRPr="0021540A" w:rsidRDefault="00F075FB" w:rsidP="00C01A94">
            <w:pPr>
              <w:spacing w:before="80" w:after="80" w:line="240" w:lineRule="atLeast"/>
              <w:ind w:left="0" w:firstLine="0"/>
              <w:rPr>
                <w:rFonts w:cs="Arial"/>
                <w:sz w:val="18"/>
                <w:szCs w:val="18"/>
                <w:lang w:val="en-US"/>
              </w:rPr>
            </w:pPr>
            <w:r w:rsidRPr="0021540A">
              <w:rPr>
                <w:rFonts w:cs="Arial"/>
                <w:sz w:val="18"/>
                <w:szCs w:val="18"/>
                <w:lang w:val="en-GB"/>
              </w:rPr>
              <w:t xml:space="preserve">On-board sewage treatment plants </w:t>
            </w:r>
            <w:r w:rsidRPr="0021540A">
              <w:rPr>
                <w:rFonts w:cs="Arial"/>
                <w:sz w:val="18"/>
                <w:szCs w:val="18"/>
                <w:lang w:val="en-US"/>
              </w:rPr>
              <w:t>which have received an approval on or after 10 January 2013, pursuant to requirements of the Directive 2012/49/EU (Step II), may continue to be installed and used.</w:t>
            </w:r>
          </w:p>
        </w:tc>
        <w:tc>
          <w:tcPr>
            <w:tcW w:w="1276" w:type="dxa"/>
            <w:shd w:val="clear" w:color="auto" w:fill="auto"/>
          </w:tcPr>
          <w:p w:rsidR="00F075FB" w:rsidRPr="0021540A" w:rsidRDefault="00F075FB" w:rsidP="00C01A94">
            <w:pPr>
              <w:spacing w:before="80" w:after="80" w:line="240" w:lineRule="atLeast"/>
              <w:ind w:left="0" w:firstLine="0"/>
              <w:rPr>
                <w:rFonts w:cs="Arial"/>
                <w:sz w:val="18"/>
                <w:szCs w:val="18"/>
                <w:lang w:val="en-US"/>
              </w:rPr>
            </w:pPr>
          </w:p>
        </w:tc>
      </w:tr>
      <w:tr w:rsidR="00F075FB" w:rsidRPr="00C903F8" w:rsidTr="00196FBC">
        <w:trPr>
          <w:cantSplit/>
          <w:jc w:val="center"/>
        </w:trPr>
        <w:tc>
          <w:tcPr>
            <w:tcW w:w="6096" w:type="dxa"/>
            <w:gridSpan w:val="3"/>
            <w:shd w:val="clear" w:color="auto" w:fill="auto"/>
          </w:tcPr>
          <w:p w:rsidR="00F075FB" w:rsidRPr="00C903F8" w:rsidRDefault="00F075FB" w:rsidP="00C01A94">
            <w:pPr>
              <w:tabs>
                <w:tab w:val="left" w:pos="1080"/>
              </w:tabs>
              <w:spacing w:before="80" w:after="80" w:line="240" w:lineRule="atLeast"/>
              <w:ind w:left="0" w:firstLine="0"/>
              <w:jc w:val="center"/>
              <w:rPr>
                <w:rFonts w:cs="Arial"/>
                <w:sz w:val="18"/>
                <w:szCs w:val="18"/>
              </w:rPr>
            </w:pPr>
            <w:r w:rsidRPr="00C903F8">
              <w:rPr>
                <w:rFonts w:cs="Arial"/>
                <w:b/>
                <w:sz w:val="18"/>
                <w:szCs w:val="18"/>
              </w:rPr>
              <w:t>CHAPTER 19</w:t>
            </w:r>
          </w:p>
        </w:tc>
        <w:tc>
          <w:tcPr>
            <w:tcW w:w="6521" w:type="dxa"/>
            <w:shd w:val="clear" w:color="auto" w:fill="auto"/>
          </w:tcPr>
          <w:p w:rsidR="00F075FB" w:rsidRPr="00C903F8" w:rsidRDefault="00F075FB" w:rsidP="00C01A94">
            <w:pPr>
              <w:spacing w:before="80" w:after="80" w:line="240" w:lineRule="atLeast"/>
              <w:ind w:left="0" w:firstLine="0"/>
              <w:rPr>
                <w:rFonts w:cs="Arial"/>
                <w:sz w:val="18"/>
                <w:szCs w:val="18"/>
              </w:rPr>
            </w:pPr>
          </w:p>
        </w:tc>
        <w:tc>
          <w:tcPr>
            <w:tcW w:w="1276" w:type="dxa"/>
            <w:shd w:val="clear" w:color="auto" w:fill="auto"/>
          </w:tcPr>
          <w:p w:rsidR="00F075FB" w:rsidRPr="00C903F8" w:rsidRDefault="00F075FB" w:rsidP="00C01A94">
            <w:pPr>
              <w:spacing w:before="80" w:after="80" w:line="240" w:lineRule="atLeast"/>
              <w:ind w:left="0" w:firstLine="0"/>
              <w:rPr>
                <w:rFonts w:cs="Arial"/>
                <w:sz w:val="18"/>
                <w:szCs w:val="18"/>
              </w:rPr>
            </w:pPr>
          </w:p>
        </w:tc>
      </w:tr>
      <w:tr w:rsidR="00F075FB" w:rsidRPr="00296858" w:rsidTr="00330D4B">
        <w:trPr>
          <w:cantSplit/>
          <w:trHeight w:val="1050"/>
          <w:jc w:val="center"/>
        </w:trPr>
        <w:tc>
          <w:tcPr>
            <w:tcW w:w="1342" w:type="dxa"/>
            <w:tcBorders>
              <w:top w:val="nil"/>
              <w:bottom w:val="nil"/>
            </w:tcBorders>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19.01</w:t>
            </w:r>
          </w:p>
        </w:tc>
        <w:tc>
          <w:tcPr>
            <w:tcW w:w="1458"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(2)</w:t>
            </w:r>
            <w:r>
              <w:rPr>
                <w:rFonts w:cs="Arial"/>
                <w:sz w:val="18"/>
                <w:szCs w:val="18"/>
              </w:rPr>
              <w:t>(</w:t>
            </w:r>
            <w:r w:rsidRPr="00C903F8">
              <w:rPr>
                <w:rFonts w:cs="Arial"/>
                <w:sz w:val="18"/>
                <w:szCs w:val="18"/>
              </w:rPr>
              <w:t>d)</w:t>
            </w:r>
          </w:p>
        </w:tc>
        <w:tc>
          <w:tcPr>
            <w:tcW w:w="3296" w:type="dxa"/>
            <w:shd w:val="clear" w:color="auto" w:fill="auto"/>
          </w:tcPr>
          <w:p w:rsidR="00F075FB" w:rsidRPr="00C903F8" w:rsidRDefault="00F075FB" w:rsidP="00B74390">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Prohibition of solid fuel heaters according to Article 16.07</w:t>
            </w:r>
          </w:p>
        </w:tc>
        <w:tc>
          <w:tcPr>
            <w:tcW w:w="6521"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r w:rsidRPr="00C903F8">
              <w:rPr>
                <w:rFonts w:cs="Arial"/>
                <w:noProof/>
                <w:sz w:val="18"/>
                <w:szCs w:val="18"/>
                <w:lang w:val="en-US"/>
              </w:rPr>
              <w:t>The provision does not apply to craft with solid fuel engines (steam engines).</w:t>
            </w:r>
          </w:p>
        </w:tc>
        <w:tc>
          <w:tcPr>
            <w:tcW w:w="1276" w:type="dxa"/>
            <w:shd w:val="clear" w:color="auto" w:fill="auto"/>
          </w:tcPr>
          <w:p w:rsidR="00F075FB" w:rsidRPr="00330D4B" w:rsidRDefault="00F075FB" w:rsidP="00B74390">
            <w:pPr>
              <w:spacing w:before="120" w:after="120" w:line="240" w:lineRule="atLeast"/>
              <w:ind w:left="0" w:firstLine="0"/>
              <w:rPr>
                <w:rFonts w:cs="Arial"/>
                <w:sz w:val="18"/>
                <w:szCs w:val="18"/>
                <w:lang w:val="en-US"/>
              </w:rPr>
            </w:pPr>
          </w:p>
        </w:tc>
      </w:tr>
      <w:tr w:rsidR="00F075FB" w:rsidRPr="00C903F8" w:rsidTr="00330D4B">
        <w:trPr>
          <w:cantSplit/>
          <w:jc w:val="center"/>
        </w:trPr>
        <w:tc>
          <w:tcPr>
            <w:tcW w:w="1342" w:type="dxa"/>
            <w:tcBorders>
              <w:top w:val="nil"/>
              <w:bottom w:val="nil"/>
            </w:tcBorders>
            <w:shd w:val="clear" w:color="auto" w:fill="auto"/>
          </w:tcPr>
          <w:p w:rsidR="00F075FB" w:rsidRPr="00C903F8" w:rsidRDefault="00F075FB" w:rsidP="00B74390">
            <w:pPr>
              <w:spacing w:before="120" w:after="120" w:line="240" w:lineRule="atLeast"/>
              <w:ind w:left="0" w:firstLine="0"/>
              <w:rPr>
                <w:rFonts w:cs="Arial"/>
                <w:sz w:val="18"/>
                <w:szCs w:val="18"/>
                <w:lang w:val="en-US"/>
              </w:rPr>
            </w:pPr>
          </w:p>
        </w:tc>
        <w:tc>
          <w:tcPr>
            <w:tcW w:w="1458" w:type="dxa"/>
            <w:vMerge w:val="restart"/>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(2)</w:t>
            </w:r>
            <w:r>
              <w:rPr>
                <w:rFonts w:cs="Arial"/>
                <w:sz w:val="18"/>
                <w:szCs w:val="18"/>
              </w:rPr>
              <w:t>(</w:t>
            </w:r>
            <w:r w:rsidRPr="00C903F8">
              <w:rPr>
                <w:rFonts w:cs="Arial"/>
                <w:sz w:val="18"/>
                <w:szCs w:val="18"/>
              </w:rPr>
              <w:t>e)</w:t>
            </w:r>
          </w:p>
        </w:tc>
        <w:tc>
          <w:tcPr>
            <w:tcW w:w="3296" w:type="dxa"/>
            <w:vMerge w:val="restart"/>
            <w:shd w:val="clear" w:color="auto" w:fill="auto"/>
          </w:tcPr>
          <w:p w:rsidR="00F075FB" w:rsidRPr="00C903F8" w:rsidRDefault="00F075FB" w:rsidP="00B74390">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Prohibition of liquefied gas installations according to Chapter 17</w:t>
            </w:r>
          </w:p>
        </w:tc>
        <w:tc>
          <w:tcPr>
            <w:tcW w:w="6521"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1.1.2045</w:t>
            </w:r>
          </w:p>
        </w:tc>
      </w:tr>
      <w:tr w:rsidR="00F075FB" w:rsidRPr="00296858" w:rsidTr="00F14E8B">
        <w:trPr>
          <w:cantSplit/>
          <w:jc w:val="center"/>
        </w:trPr>
        <w:tc>
          <w:tcPr>
            <w:tcW w:w="1342" w:type="dxa"/>
            <w:tcBorders>
              <w:top w:val="nil"/>
              <w:bottom w:val="nil"/>
            </w:tcBorders>
            <w:shd w:val="clear" w:color="auto" w:fill="auto"/>
          </w:tcPr>
          <w:p w:rsidR="00F075FB" w:rsidRPr="00C903F8" w:rsidRDefault="00F075FB" w:rsidP="00B74390">
            <w:pPr>
              <w:spacing w:before="120" w:after="120" w:line="240" w:lineRule="atLeast"/>
              <w:ind w:left="0" w:firstLine="0"/>
              <w:rPr>
                <w:rFonts w:cs="Arial"/>
                <w:sz w:val="18"/>
                <w:szCs w:val="18"/>
              </w:rPr>
            </w:pPr>
          </w:p>
        </w:tc>
        <w:tc>
          <w:tcPr>
            <w:tcW w:w="1458" w:type="dxa"/>
            <w:vMerge/>
            <w:shd w:val="clear" w:color="auto" w:fill="auto"/>
          </w:tcPr>
          <w:p w:rsidR="00F075FB" w:rsidRPr="00C903F8" w:rsidRDefault="00F075FB" w:rsidP="00B74390">
            <w:pPr>
              <w:spacing w:before="120" w:after="120" w:line="240" w:lineRule="atLeast"/>
              <w:ind w:left="0" w:firstLine="0"/>
              <w:rPr>
                <w:rFonts w:cs="Arial"/>
                <w:sz w:val="18"/>
                <w:szCs w:val="18"/>
              </w:rPr>
            </w:pPr>
          </w:p>
        </w:tc>
        <w:tc>
          <w:tcPr>
            <w:tcW w:w="3296" w:type="dxa"/>
            <w:vMerge/>
            <w:shd w:val="clear" w:color="auto" w:fill="auto"/>
          </w:tcPr>
          <w:p w:rsidR="00F075FB" w:rsidRPr="00C903F8" w:rsidRDefault="00F075FB" w:rsidP="00B74390">
            <w:pPr>
              <w:tabs>
                <w:tab w:val="left" w:pos="1080"/>
              </w:tabs>
              <w:spacing w:before="120" w:after="120" w:line="240" w:lineRule="atLeast"/>
              <w:ind w:left="0" w:firstLine="0"/>
              <w:rPr>
                <w:rFonts w:cs="Arial"/>
                <w:sz w:val="18"/>
                <w:szCs w:val="18"/>
              </w:rPr>
            </w:pPr>
          </w:p>
        </w:tc>
        <w:tc>
          <w:tcPr>
            <w:tcW w:w="6521"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r w:rsidRPr="00C903F8">
              <w:rPr>
                <w:rFonts w:cs="Arial"/>
                <w:noProof/>
                <w:sz w:val="18"/>
                <w:szCs w:val="18"/>
                <w:lang w:val="en-US"/>
              </w:rPr>
              <w:t>The transitional provision applies only if alarm systems are fitted in accordance with Article 19.15(8).</w:t>
            </w:r>
          </w:p>
        </w:tc>
        <w:tc>
          <w:tcPr>
            <w:tcW w:w="1276"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p>
        </w:tc>
      </w:tr>
      <w:tr w:rsidR="00F075FB" w:rsidRPr="00C903F8" w:rsidTr="00196FBC">
        <w:trPr>
          <w:cantSplit/>
          <w:jc w:val="center"/>
        </w:trPr>
        <w:tc>
          <w:tcPr>
            <w:tcW w:w="1342" w:type="dxa"/>
            <w:tcBorders>
              <w:top w:val="nil"/>
              <w:bottom w:val="single" w:sz="4" w:space="0" w:color="auto"/>
            </w:tcBorders>
            <w:shd w:val="clear" w:color="auto" w:fill="auto"/>
          </w:tcPr>
          <w:p w:rsidR="00F075FB" w:rsidRPr="00C903F8" w:rsidRDefault="00F075FB" w:rsidP="00B74390">
            <w:pPr>
              <w:spacing w:before="120" w:after="120" w:line="240" w:lineRule="atLeast"/>
              <w:ind w:left="0" w:firstLine="0"/>
              <w:rPr>
                <w:rFonts w:cs="Arial"/>
                <w:sz w:val="18"/>
                <w:szCs w:val="18"/>
                <w:lang w:val="en-US"/>
              </w:rPr>
            </w:pPr>
          </w:p>
        </w:tc>
        <w:tc>
          <w:tcPr>
            <w:tcW w:w="1458"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(5) and (6)</w:t>
            </w:r>
          </w:p>
        </w:tc>
        <w:tc>
          <w:tcPr>
            <w:tcW w:w="3296" w:type="dxa"/>
            <w:shd w:val="clear" w:color="auto" w:fill="auto"/>
          </w:tcPr>
          <w:p w:rsidR="00F075FB" w:rsidRPr="00C903F8" w:rsidRDefault="00F075FB" w:rsidP="00B74390">
            <w:pPr>
              <w:tabs>
                <w:tab w:val="right" w:pos="3856"/>
                <w:tab w:val="center" w:pos="4536"/>
                <w:tab w:val="left" w:pos="6521"/>
                <w:tab w:val="right" w:pos="9072"/>
              </w:tabs>
              <w:spacing w:before="120" w:after="120" w:line="240" w:lineRule="atLeast"/>
              <w:ind w:left="0" w:firstLine="0"/>
              <w:rPr>
                <w:rFonts w:cs="Arial"/>
                <w:sz w:val="18"/>
                <w:szCs w:val="18"/>
                <w:lang w:val="en-US"/>
              </w:rPr>
            </w:pPr>
            <w:r w:rsidRPr="00C903F8">
              <w:rPr>
                <w:rFonts w:cs="Arial"/>
                <w:color w:val="000000"/>
                <w:sz w:val="18"/>
                <w:szCs w:val="18"/>
                <w:lang w:val="en-US"/>
              </w:rPr>
              <w:t xml:space="preserve">Obstructed vision ahead of the vessel 2 vessel lengths if less than 250 m </w:t>
            </w:r>
            <w:r w:rsidRPr="00C903F8">
              <w:rPr>
                <w:rFonts w:cs="Arial"/>
                <w:color w:val="000000"/>
                <w:sz w:val="18"/>
                <w:szCs w:val="18"/>
                <w:lang w:val="en-US"/>
              </w:rPr>
              <w:br/>
            </w:r>
            <w:r w:rsidRPr="00C903F8">
              <w:rPr>
                <w:rFonts w:cs="Arial"/>
                <w:sz w:val="18"/>
                <w:szCs w:val="18"/>
                <w:lang w:val="en-US"/>
              </w:rPr>
              <w:t>Sufficient view astern</w:t>
            </w:r>
          </w:p>
        </w:tc>
        <w:tc>
          <w:tcPr>
            <w:tcW w:w="6521"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w:t>
            </w:r>
          </w:p>
        </w:tc>
        <w:tc>
          <w:tcPr>
            <w:tcW w:w="1276"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r w:rsidRPr="00C903F8">
              <w:rPr>
                <w:rFonts w:cs="Arial"/>
                <w:sz w:val="18"/>
                <w:szCs w:val="18"/>
                <w:lang w:val="en-US"/>
              </w:rPr>
              <w:t>1.1.2045</w:t>
            </w:r>
          </w:p>
        </w:tc>
      </w:tr>
      <w:tr w:rsidR="00F075FB" w:rsidRPr="00C903F8" w:rsidTr="00A66FB3">
        <w:trPr>
          <w:cantSplit/>
          <w:jc w:val="center"/>
        </w:trPr>
        <w:tc>
          <w:tcPr>
            <w:tcW w:w="1342" w:type="dxa"/>
            <w:tcBorders>
              <w:bottom w:val="nil"/>
            </w:tcBorders>
            <w:shd w:val="clear" w:color="auto" w:fill="auto"/>
          </w:tcPr>
          <w:p w:rsidR="00F075FB" w:rsidRPr="00C903F8" w:rsidRDefault="00F075FB" w:rsidP="00B74390">
            <w:pPr>
              <w:spacing w:before="120" w:after="120" w:line="240" w:lineRule="atLeast"/>
              <w:ind w:left="0" w:firstLine="0"/>
              <w:rPr>
                <w:rFonts w:cs="Arial"/>
                <w:sz w:val="18"/>
                <w:szCs w:val="18"/>
                <w:lang w:val="en-US"/>
              </w:rPr>
            </w:pPr>
            <w:r w:rsidRPr="00C903F8">
              <w:rPr>
                <w:rFonts w:cs="Arial"/>
                <w:sz w:val="18"/>
                <w:szCs w:val="18"/>
                <w:lang w:val="en-US"/>
              </w:rPr>
              <w:t>19.02</w:t>
            </w:r>
          </w:p>
        </w:tc>
        <w:tc>
          <w:tcPr>
            <w:tcW w:w="1458" w:type="dxa"/>
            <w:tcBorders>
              <w:bottom w:val="single" w:sz="4" w:space="0" w:color="auto"/>
            </w:tcBorders>
            <w:shd w:val="clear" w:color="auto" w:fill="auto"/>
          </w:tcPr>
          <w:p w:rsidR="00F075FB" w:rsidRPr="00C903F8" w:rsidRDefault="00F075FB" w:rsidP="00B74390">
            <w:pPr>
              <w:spacing w:before="120" w:after="120" w:line="240" w:lineRule="atLeast"/>
              <w:ind w:left="0" w:firstLine="0"/>
              <w:rPr>
                <w:rFonts w:cs="Arial"/>
                <w:sz w:val="18"/>
                <w:szCs w:val="18"/>
                <w:lang w:val="en-US"/>
              </w:rPr>
            </w:pPr>
            <w:r w:rsidRPr="00C903F8">
              <w:rPr>
                <w:rFonts w:cs="Arial"/>
                <w:sz w:val="18"/>
                <w:szCs w:val="18"/>
                <w:lang w:val="en-US"/>
              </w:rPr>
              <w:t>(2)</w:t>
            </w:r>
          </w:p>
        </w:tc>
        <w:tc>
          <w:tcPr>
            <w:tcW w:w="3296" w:type="dxa"/>
            <w:tcBorders>
              <w:bottom w:val="single" w:sz="4" w:space="0" w:color="auto"/>
            </w:tcBorders>
            <w:shd w:val="clear" w:color="auto" w:fill="auto"/>
          </w:tcPr>
          <w:p w:rsidR="00F075FB" w:rsidRPr="00C903F8" w:rsidRDefault="00F075FB" w:rsidP="00B74390">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Number and position of bulkheads</w:t>
            </w:r>
          </w:p>
        </w:tc>
        <w:tc>
          <w:tcPr>
            <w:tcW w:w="6521"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F14E8B">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vMerge w:val="restart"/>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(3)</w:t>
            </w:r>
          </w:p>
        </w:tc>
        <w:tc>
          <w:tcPr>
            <w:tcW w:w="3296" w:type="dxa"/>
            <w:vMerge w:val="restart"/>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lang w:val="en-US"/>
              </w:rPr>
            </w:pPr>
            <w:r w:rsidRPr="00C903F8">
              <w:rPr>
                <w:rFonts w:cs="Arial"/>
                <w:sz w:val="18"/>
                <w:szCs w:val="18"/>
                <w:lang w:val="en-US"/>
              </w:rPr>
              <w:t>Situation of aft-peak bulkhead</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1.1.2035</w:t>
            </w:r>
          </w:p>
        </w:tc>
      </w:tr>
      <w:tr w:rsidR="00F075FB" w:rsidRPr="00296858" w:rsidTr="00F14E8B">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lang w:val="en-US"/>
              </w:rPr>
            </w:pPr>
          </w:p>
        </w:tc>
        <w:tc>
          <w:tcPr>
            <w:tcW w:w="1458" w:type="dxa"/>
            <w:vMerge/>
            <w:shd w:val="clear" w:color="auto" w:fill="auto"/>
          </w:tcPr>
          <w:p w:rsidR="00F075FB" w:rsidRPr="00C903F8" w:rsidRDefault="00F075FB" w:rsidP="00C01A94">
            <w:pPr>
              <w:spacing w:before="120" w:after="120" w:line="240" w:lineRule="atLeast"/>
              <w:ind w:left="0" w:firstLine="0"/>
              <w:rPr>
                <w:rFonts w:cs="Arial"/>
                <w:sz w:val="18"/>
                <w:szCs w:val="18"/>
                <w:lang w:val="en-US"/>
              </w:rPr>
            </w:pPr>
          </w:p>
        </w:tc>
        <w:tc>
          <w:tcPr>
            <w:tcW w:w="3296" w:type="dxa"/>
            <w:vMerge/>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lang w:val="en-US"/>
              </w:rPr>
            </w:pP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sidRPr="00C903F8">
              <w:rPr>
                <w:rFonts w:cs="Arial"/>
                <w:sz w:val="18"/>
                <w:szCs w:val="18"/>
                <w:lang w:val="en-US"/>
              </w:rPr>
              <w:t>This requirement does not apply to passenger vessels that due to the compliance with the basic requirements for the two-compartment status set out in article 19.03(9) or comply with the requirements of article 19.07 achieve an equivalent level of safety and manoeuvrability.</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lang w:val="en-US"/>
              </w:rPr>
            </w:pPr>
          </w:p>
        </w:tc>
        <w:tc>
          <w:tcPr>
            <w:tcW w:w="1458" w:type="dxa"/>
            <w:shd w:val="clear" w:color="auto" w:fill="auto"/>
          </w:tcPr>
          <w:p w:rsidR="00F075FB" w:rsidRPr="00C903F8" w:rsidRDefault="00F075FB" w:rsidP="00C01A94">
            <w:pPr>
              <w:spacing w:before="120" w:after="120" w:line="240" w:lineRule="atLeast"/>
              <w:ind w:left="0" w:firstLine="0"/>
              <w:jc w:val="left"/>
              <w:rPr>
                <w:rFonts w:cs="Arial"/>
                <w:sz w:val="18"/>
                <w:szCs w:val="18"/>
              </w:rPr>
            </w:pPr>
            <w:r w:rsidRPr="00C903F8">
              <w:rPr>
                <w:rFonts w:cs="Arial"/>
                <w:sz w:val="18"/>
                <w:szCs w:val="18"/>
              </w:rPr>
              <w:t>(5) 2</w:t>
            </w:r>
            <w:r w:rsidRPr="00C903F8">
              <w:rPr>
                <w:rFonts w:cs="Arial"/>
                <w:sz w:val="18"/>
                <w:szCs w:val="18"/>
                <w:vertAlign w:val="superscript"/>
              </w:rPr>
              <w:t>nd </w:t>
            </w:r>
            <w:r w:rsidRPr="00C903F8">
              <w:rPr>
                <w:rFonts w:cs="Arial"/>
                <w:sz w:val="18"/>
                <w:szCs w:val="18"/>
              </w:rPr>
              <w:t>sentence</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Margin line if no bulkhead deck</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sidRPr="00C903F8">
              <w:rPr>
                <w:rFonts w:cs="Arial"/>
                <w:noProof/>
                <w:sz w:val="18"/>
                <w:szCs w:val="18"/>
                <w:lang w:val="en-US"/>
              </w:rPr>
              <w:t>For passenger vessels which have been laid down before 1.1.1996</w:t>
            </w:r>
            <w:r w:rsidRPr="00C903F8">
              <w:rPr>
                <w:rFonts w:cs="Arial"/>
                <w:sz w:val="18"/>
                <w:szCs w:val="18"/>
                <w:lang w:val="en-US"/>
              </w:rPr>
              <w:t xml:space="preserve">,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jc w:val="center"/>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(10)</w:t>
            </w:r>
            <w:r>
              <w:rPr>
                <w:rFonts w:cs="Arial"/>
                <w:sz w:val="18"/>
                <w:szCs w:val="18"/>
              </w:rPr>
              <w:t>(</w:t>
            </w:r>
            <w:r w:rsidRPr="00C903F8">
              <w:rPr>
                <w:rFonts w:cs="Arial"/>
                <w:sz w:val="18"/>
                <w:szCs w:val="18"/>
              </w:rPr>
              <w:t>c)</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rPr>
            </w:pPr>
            <w:r w:rsidRPr="00C903F8">
              <w:rPr>
                <w:rFonts w:cs="Arial"/>
                <w:noProof/>
                <w:sz w:val="18"/>
                <w:szCs w:val="18"/>
              </w:rPr>
              <w:t>Time for closure process</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jc w:val="center"/>
              <w:rPr>
                <w:rFonts w:cs="Arial"/>
                <w:sz w:val="18"/>
                <w:szCs w:val="18"/>
              </w:rPr>
            </w:pPr>
            <w:r>
              <w:rPr>
                <w:rFonts w:cs="Arial"/>
                <w:sz w:val="18"/>
                <w:szCs w:val="18"/>
              </w:rPr>
              <w:t>1.1.2015</w:t>
            </w:r>
          </w:p>
        </w:tc>
      </w:tr>
      <w:tr w:rsidR="00F075FB" w:rsidRPr="00C903F8" w:rsidTr="00196FBC">
        <w:trPr>
          <w:cantSplit/>
          <w:jc w:val="center"/>
        </w:trPr>
        <w:tc>
          <w:tcPr>
            <w:tcW w:w="1342" w:type="dxa"/>
            <w:tcBorders>
              <w:top w:val="nil"/>
              <w:bottom w:val="single" w:sz="4" w:space="0" w:color="auto"/>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(15)</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Minimum height of double bottoms, width of wing voids</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jc w:val="center"/>
              <w:rPr>
                <w:rFonts w:cs="Arial"/>
                <w:sz w:val="18"/>
                <w:szCs w:val="18"/>
              </w:rPr>
            </w:pPr>
            <w:r w:rsidRPr="00C903F8">
              <w:rPr>
                <w:rFonts w:cs="Arial"/>
                <w:sz w:val="18"/>
                <w:szCs w:val="18"/>
              </w:rPr>
              <w:t>1.1.2045</w:t>
            </w:r>
          </w:p>
        </w:tc>
      </w:tr>
      <w:tr w:rsidR="00F075FB" w:rsidRPr="00C903F8" w:rsidTr="00291A42">
        <w:trPr>
          <w:cantSplit/>
          <w:jc w:val="center"/>
        </w:trPr>
        <w:tc>
          <w:tcPr>
            <w:tcW w:w="1342" w:type="dxa"/>
            <w:tcBorders>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19.03</w:t>
            </w:r>
          </w:p>
        </w:tc>
        <w:tc>
          <w:tcPr>
            <w:tcW w:w="1458"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 to (6)</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rPr>
            </w:pPr>
            <w:r w:rsidRPr="00C903F8">
              <w:rPr>
                <w:rFonts w:cs="Arial"/>
                <w:noProof/>
                <w:sz w:val="18"/>
                <w:szCs w:val="18"/>
              </w:rPr>
              <w:t>Intact stability</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noProof/>
                <w:sz w:val="18"/>
                <w:szCs w:val="18"/>
                <w:lang w:val="en-US"/>
              </w:rPr>
              <w:t>N.R.C.</w:t>
            </w:r>
            <w:r w:rsidRPr="00C903F8">
              <w:rPr>
                <w:rFonts w:cs="Arial"/>
                <w:noProof/>
                <w:sz w:val="18"/>
                <w:szCs w:val="18"/>
                <w:lang w:val="en-US"/>
              </w:rPr>
              <w:t xml:space="preserve">, and when the maximum number of passengers is raised, </w:t>
            </w:r>
            <w:r w:rsidRPr="00C903F8">
              <w:rPr>
                <w:rFonts w:cs="Arial"/>
                <w:sz w:val="18"/>
                <w:szCs w:val="18"/>
                <w:lang w:val="en-US"/>
              </w:rPr>
              <w:t>at the latest on renewal of the inland navigation vessel certificate afte</w:t>
            </w:r>
            <w:r w:rsidRPr="00C903F8">
              <w:rPr>
                <w:rFonts w:cs="Arial"/>
                <w:noProof/>
                <w:sz w:val="18"/>
                <w:szCs w:val="18"/>
                <w:lang w:val="en-US"/>
              </w:rPr>
              <w:t>r</w:t>
            </w:r>
          </w:p>
        </w:tc>
        <w:tc>
          <w:tcPr>
            <w:tcW w:w="1276" w:type="dxa"/>
            <w:shd w:val="clear" w:color="auto" w:fill="auto"/>
          </w:tcPr>
          <w:p w:rsidR="00F075FB" w:rsidRPr="00C903F8" w:rsidRDefault="00F075FB" w:rsidP="00C01A94">
            <w:pPr>
              <w:spacing w:before="120" w:after="120" w:line="240" w:lineRule="atLeast"/>
              <w:ind w:left="0" w:firstLine="0"/>
              <w:jc w:val="center"/>
              <w:rPr>
                <w:rFonts w:cs="Arial"/>
                <w:sz w:val="18"/>
                <w:szCs w:val="18"/>
              </w:rPr>
            </w:pPr>
            <w:r w:rsidRPr="00C903F8">
              <w:rPr>
                <w:rFonts w:cs="Arial"/>
                <w:sz w:val="18"/>
                <w:szCs w:val="18"/>
              </w:rPr>
              <w:t>1.1.2045</w:t>
            </w:r>
          </w:p>
        </w:tc>
      </w:tr>
      <w:tr w:rsidR="00F075FB" w:rsidRPr="00C903F8" w:rsidTr="00291A42">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tcBorders>
              <w:bottom w:val="single" w:sz="4" w:space="0" w:color="auto"/>
            </w:tcBorders>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(7) and (8)</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rPr>
            </w:pPr>
            <w:r w:rsidRPr="00C903F8">
              <w:rPr>
                <w:rFonts w:cs="Arial"/>
                <w:noProof/>
                <w:sz w:val="18"/>
                <w:szCs w:val="18"/>
              </w:rPr>
              <w:t>Damage stability</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jc w:val="center"/>
              <w:rPr>
                <w:rFonts w:cs="Arial"/>
                <w:sz w:val="18"/>
                <w:szCs w:val="18"/>
              </w:rPr>
            </w:pPr>
            <w:r w:rsidRPr="00C903F8">
              <w:rPr>
                <w:rFonts w:cs="Arial"/>
                <w:sz w:val="18"/>
                <w:szCs w:val="18"/>
              </w:rPr>
              <w:t>1.1.2045</w:t>
            </w:r>
          </w:p>
        </w:tc>
      </w:tr>
      <w:tr w:rsidR="00F075FB" w:rsidRPr="00C903F8" w:rsidTr="00291A42">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tcBorders>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(9)</w:t>
            </w:r>
          </w:p>
        </w:tc>
        <w:tc>
          <w:tcPr>
            <w:tcW w:w="3296" w:type="dxa"/>
            <w:tcBorders>
              <w:bottom w:val="single" w:sz="4" w:space="0" w:color="auto"/>
            </w:tcBorders>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rPr>
            </w:pPr>
            <w:r w:rsidRPr="00C903F8">
              <w:rPr>
                <w:rFonts w:cs="Arial"/>
                <w:sz w:val="18"/>
                <w:szCs w:val="18"/>
              </w:rPr>
              <w:t>Damage stability</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jc w:val="center"/>
              <w:rPr>
                <w:rFonts w:cs="Arial"/>
                <w:sz w:val="18"/>
                <w:szCs w:val="18"/>
              </w:rPr>
            </w:pPr>
            <w:r w:rsidRPr="00C903F8">
              <w:rPr>
                <w:rFonts w:cs="Arial"/>
                <w:sz w:val="18"/>
                <w:szCs w:val="18"/>
              </w:rPr>
              <w:t>1.1.2045</w:t>
            </w:r>
          </w:p>
        </w:tc>
      </w:tr>
      <w:tr w:rsidR="00F075FB" w:rsidRPr="00C903F8" w:rsidTr="00F14E8B">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vMerge w:val="restart"/>
            <w:tcBorders>
              <w:top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3296" w:type="dxa"/>
            <w:vMerge w:val="restart"/>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lang w:val="en-US"/>
              </w:rPr>
            </w:pPr>
            <w:r w:rsidRPr="00C903F8">
              <w:rPr>
                <w:rFonts w:cs="Arial"/>
                <w:sz w:val="18"/>
                <w:szCs w:val="18"/>
                <w:lang w:val="en-US"/>
              </w:rPr>
              <w:t>Vertical extent of damage to the bottom of the boat</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jc w:val="center"/>
              <w:rPr>
                <w:rFonts w:cs="Arial"/>
                <w:sz w:val="18"/>
                <w:szCs w:val="18"/>
              </w:rPr>
            </w:pPr>
            <w:r w:rsidRPr="00C903F8">
              <w:rPr>
                <w:rFonts w:cs="Arial"/>
                <w:sz w:val="18"/>
                <w:szCs w:val="18"/>
              </w:rPr>
              <w:t>1.1.2045</w:t>
            </w:r>
          </w:p>
        </w:tc>
      </w:tr>
      <w:tr w:rsidR="00F075FB" w:rsidRPr="00296858" w:rsidTr="00F14E8B">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vMerge/>
            <w:tcBorders>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3296" w:type="dxa"/>
            <w:vMerge/>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rPr>
            </w:pP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noProof/>
                <w:sz w:val="18"/>
                <w:szCs w:val="18"/>
                <w:lang w:val="en-US"/>
              </w:rPr>
              <w:t>N.R.C.</w:t>
            </w:r>
            <w:r w:rsidRPr="00C903F8">
              <w:rPr>
                <w:rFonts w:cs="Arial"/>
                <w:noProof/>
                <w:sz w:val="18"/>
                <w:szCs w:val="18"/>
                <w:lang w:val="en-US"/>
              </w:rPr>
              <w:t xml:space="preserve"> applicable for vessels with watertight decks on a minimum distance of 0,50 m and less then 0,60 m of the bottom of vessels that obtained a first inland navigation vessel certificate before 31.12.2005</w:t>
            </w:r>
          </w:p>
        </w:tc>
        <w:tc>
          <w:tcPr>
            <w:tcW w:w="1276" w:type="dxa"/>
            <w:shd w:val="clear" w:color="auto" w:fill="auto"/>
          </w:tcPr>
          <w:p w:rsidR="00F075FB" w:rsidRPr="00C903F8" w:rsidRDefault="00F075FB" w:rsidP="00C01A94">
            <w:pPr>
              <w:spacing w:before="120" w:after="120" w:line="240" w:lineRule="atLeast"/>
              <w:ind w:left="0" w:firstLine="0"/>
              <w:jc w:val="center"/>
              <w:rPr>
                <w:rFonts w:cs="Arial"/>
                <w:sz w:val="18"/>
                <w:szCs w:val="18"/>
                <w:lang w:val="en-US"/>
              </w:rPr>
            </w:pP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lang w:val="en-US"/>
              </w:rPr>
            </w:pPr>
          </w:p>
        </w:tc>
        <w:tc>
          <w:tcPr>
            <w:tcW w:w="1458" w:type="dxa"/>
            <w:tcBorders>
              <w:top w:val="nil"/>
            </w:tcBorders>
            <w:shd w:val="clear" w:color="auto" w:fill="auto"/>
          </w:tcPr>
          <w:p w:rsidR="00F075FB" w:rsidRPr="00C903F8" w:rsidRDefault="00F075FB" w:rsidP="00C01A94">
            <w:pPr>
              <w:spacing w:before="120" w:after="120" w:line="240" w:lineRule="atLeast"/>
              <w:ind w:left="0" w:firstLine="0"/>
              <w:rPr>
                <w:rFonts w:cs="Arial"/>
                <w:sz w:val="18"/>
                <w:szCs w:val="18"/>
                <w:lang w:val="en-US"/>
              </w:rPr>
            </w:pP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rPr>
            </w:pPr>
            <w:r w:rsidRPr="00C903F8">
              <w:rPr>
                <w:rFonts w:cs="Arial"/>
                <w:sz w:val="18"/>
                <w:szCs w:val="18"/>
              </w:rPr>
              <w:t>Two-compartment status</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rPr>
            </w:pPr>
            <w:r>
              <w:rPr>
                <w:rFonts w:cs="Arial"/>
                <w:sz w:val="18"/>
                <w:szCs w:val="18"/>
              </w:rPr>
              <w:t>N.R.C.</w:t>
            </w:r>
          </w:p>
        </w:tc>
        <w:tc>
          <w:tcPr>
            <w:tcW w:w="1276" w:type="dxa"/>
            <w:shd w:val="clear" w:color="auto" w:fill="auto"/>
          </w:tcPr>
          <w:p w:rsidR="00F075FB" w:rsidRPr="00C903F8" w:rsidRDefault="00F075FB" w:rsidP="00C01A94">
            <w:pPr>
              <w:spacing w:before="120" w:after="120" w:line="240" w:lineRule="atLeast"/>
              <w:ind w:left="0" w:firstLine="0"/>
              <w:jc w:val="center"/>
              <w:rPr>
                <w:rFonts w:cs="Arial"/>
                <w:sz w:val="18"/>
                <w:szCs w:val="18"/>
              </w:rPr>
            </w:pPr>
          </w:p>
        </w:tc>
      </w:tr>
      <w:tr w:rsidR="00F075FB" w:rsidRPr="00C903F8" w:rsidTr="00196FBC">
        <w:trPr>
          <w:cantSplit/>
          <w:jc w:val="center"/>
        </w:trPr>
        <w:tc>
          <w:tcPr>
            <w:tcW w:w="1342" w:type="dxa"/>
            <w:tcBorders>
              <w:top w:val="nil"/>
              <w:bottom w:val="single" w:sz="4" w:space="0" w:color="auto"/>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(10) to (13)</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rPr>
            </w:pPr>
            <w:r w:rsidRPr="00C903F8">
              <w:rPr>
                <w:rFonts w:cs="Arial"/>
                <w:sz w:val="18"/>
                <w:szCs w:val="18"/>
              </w:rPr>
              <w:t>Damage stability</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jc w:val="center"/>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19.05</w:t>
            </w:r>
          </w:p>
        </w:tc>
        <w:tc>
          <w:tcPr>
            <w:tcW w:w="1458"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(2)</w:t>
            </w:r>
            <w:r>
              <w:rPr>
                <w:rFonts w:cs="Arial"/>
                <w:sz w:val="18"/>
                <w:szCs w:val="18"/>
              </w:rPr>
              <w:t>(</w:t>
            </w:r>
            <w:r w:rsidRPr="00C903F8">
              <w:rPr>
                <w:rFonts w:cs="Arial"/>
                <w:sz w:val="18"/>
                <w:szCs w:val="18"/>
              </w:rPr>
              <w:t>a)</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Number of passengers for whom the existence of an evacuation area according to Article 19.06(8) has been proven</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single" w:sz="4" w:space="0" w:color="auto"/>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(2)</w:t>
            </w:r>
            <w:r>
              <w:rPr>
                <w:rFonts w:cs="Arial"/>
                <w:sz w:val="18"/>
                <w:szCs w:val="18"/>
              </w:rPr>
              <w:t>(</w:t>
            </w:r>
            <w:r w:rsidRPr="00C903F8">
              <w:rPr>
                <w:rFonts w:cs="Arial"/>
                <w:sz w:val="18"/>
                <w:szCs w:val="18"/>
              </w:rPr>
              <w:t>b)</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Number of passengers that has been taken into account for the stability calculation according to Article 19.03</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lastRenderedPageBreak/>
              <w:t>19.06</w:t>
            </w:r>
          </w:p>
        </w:tc>
        <w:tc>
          <w:tcPr>
            <w:tcW w:w="1458" w:type="dxa"/>
            <w:shd w:val="clear" w:color="auto" w:fill="auto"/>
          </w:tcPr>
          <w:p w:rsidR="00F075FB" w:rsidRPr="00C903F8" w:rsidRDefault="00F075FB" w:rsidP="00C01A94">
            <w:pPr>
              <w:spacing w:before="120" w:after="120" w:line="240" w:lineRule="atLeast"/>
              <w:ind w:left="0" w:firstLine="0"/>
              <w:jc w:val="left"/>
              <w:rPr>
                <w:rFonts w:cs="Arial"/>
                <w:sz w:val="18"/>
                <w:szCs w:val="18"/>
              </w:rPr>
            </w:pPr>
            <w:r w:rsidRPr="00C903F8">
              <w:rPr>
                <w:rFonts w:cs="Arial"/>
                <w:sz w:val="18"/>
                <w:szCs w:val="18"/>
              </w:rPr>
              <w:t>(1) 1</w:t>
            </w:r>
            <w:r w:rsidRPr="00C903F8">
              <w:rPr>
                <w:rFonts w:cs="Arial"/>
                <w:sz w:val="18"/>
                <w:szCs w:val="18"/>
                <w:vertAlign w:val="superscript"/>
              </w:rPr>
              <w:t>st </w:t>
            </w:r>
            <w:r w:rsidRPr="00C903F8">
              <w:rPr>
                <w:rFonts w:cs="Arial"/>
                <w:sz w:val="18"/>
                <w:szCs w:val="18"/>
              </w:rPr>
              <w:t>sentence</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lang w:val="en-US"/>
              </w:rPr>
            </w:pPr>
            <w:r w:rsidRPr="00C903F8">
              <w:rPr>
                <w:rFonts w:cs="Arial"/>
                <w:sz w:val="18"/>
                <w:szCs w:val="18"/>
                <w:lang w:val="en-US"/>
              </w:rPr>
              <w:t>Passenger rooms on all decks aft of the collision bulkhead and, as long as they are below the bulkhead deck, forward of the aft peak bulkhead</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lang w:val="en-US"/>
              </w:rPr>
            </w:pPr>
          </w:p>
        </w:tc>
        <w:tc>
          <w:tcPr>
            <w:tcW w:w="1458" w:type="dxa"/>
            <w:shd w:val="clear" w:color="auto" w:fill="auto"/>
          </w:tcPr>
          <w:p w:rsidR="00F075FB" w:rsidRPr="00C903F8" w:rsidRDefault="00F075FB" w:rsidP="00C01A94">
            <w:pPr>
              <w:spacing w:before="120" w:after="120" w:line="240" w:lineRule="atLeast"/>
              <w:ind w:left="0" w:firstLine="0"/>
              <w:jc w:val="left"/>
              <w:rPr>
                <w:rFonts w:cs="Arial"/>
                <w:sz w:val="18"/>
                <w:szCs w:val="18"/>
              </w:rPr>
            </w:pPr>
            <w:r w:rsidRPr="00C903F8">
              <w:rPr>
                <w:rFonts w:cs="Arial"/>
                <w:sz w:val="18"/>
                <w:szCs w:val="18"/>
              </w:rPr>
              <w:t>(3)</w:t>
            </w:r>
            <w:r>
              <w:rPr>
                <w:rFonts w:cs="Arial"/>
                <w:sz w:val="18"/>
                <w:szCs w:val="18"/>
              </w:rPr>
              <w:t>(</w:t>
            </w:r>
            <w:r w:rsidRPr="00C903F8">
              <w:rPr>
                <w:rFonts w:cs="Arial"/>
                <w:sz w:val="18"/>
                <w:szCs w:val="18"/>
              </w:rPr>
              <w:t>c) 1</w:t>
            </w:r>
            <w:r w:rsidRPr="00C903F8">
              <w:rPr>
                <w:rFonts w:cs="Arial"/>
                <w:sz w:val="18"/>
                <w:szCs w:val="18"/>
                <w:vertAlign w:val="superscript"/>
              </w:rPr>
              <w:t>st</w:t>
            </w:r>
            <w:r w:rsidRPr="00C903F8">
              <w:rPr>
                <w:rFonts w:cs="Arial"/>
                <w:sz w:val="18"/>
                <w:szCs w:val="18"/>
              </w:rPr>
              <w:t xml:space="preserve"> sentence</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lang w:val="en-US"/>
              </w:rPr>
            </w:pPr>
            <w:r w:rsidRPr="00C903F8">
              <w:rPr>
                <w:rFonts w:cs="Arial"/>
                <w:noProof/>
                <w:sz w:val="18"/>
                <w:szCs w:val="18"/>
              </w:rPr>
              <w:t>Clear height of exits</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20" w:after="120" w:line="240" w:lineRule="atLeast"/>
              <w:ind w:left="0" w:firstLine="0"/>
              <w:jc w:val="left"/>
              <w:rPr>
                <w:rFonts w:cs="Arial"/>
                <w:sz w:val="18"/>
                <w:szCs w:val="18"/>
              </w:rPr>
            </w:pPr>
            <w:r w:rsidRPr="00C903F8">
              <w:rPr>
                <w:rFonts w:cs="Arial"/>
                <w:sz w:val="18"/>
                <w:szCs w:val="18"/>
              </w:rPr>
              <w:t>(3)(2) 2</w:t>
            </w:r>
            <w:r w:rsidRPr="00C903F8">
              <w:rPr>
                <w:rFonts w:cs="Arial"/>
                <w:sz w:val="18"/>
                <w:szCs w:val="18"/>
                <w:vertAlign w:val="superscript"/>
              </w:rPr>
              <w:t>nd</w:t>
            </w:r>
            <w:r w:rsidRPr="00C903F8">
              <w:rPr>
                <w:rFonts w:cs="Arial"/>
                <w:sz w:val="18"/>
                <w:szCs w:val="18"/>
              </w:rPr>
              <w:t xml:space="preserve"> sentence</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Clear width of doors of passenger cabins and other small rooms</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20" w:after="120" w:line="240" w:lineRule="atLeast"/>
              <w:ind w:left="0" w:firstLine="0"/>
              <w:jc w:val="left"/>
              <w:rPr>
                <w:rFonts w:cs="Arial"/>
                <w:sz w:val="18"/>
                <w:szCs w:val="18"/>
              </w:rPr>
            </w:pPr>
            <w:r w:rsidRPr="00C903F8">
              <w:rPr>
                <w:rFonts w:cs="Arial"/>
                <w:sz w:val="18"/>
                <w:szCs w:val="18"/>
              </w:rPr>
              <w:t>(3) f) 1</w:t>
            </w:r>
            <w:r w:rsidRPr="00C903F8">
              <w:rPr>
                <w:rFonts w:cs="Arial"/>
                <w:sz w:val="18"/>
                <w:szCs w:val="18"/>
                <w:vertAlign w:val="superscript"/>
              </w:rPr>
              <w:t>st</w:t>
            </w:r>
            <w:r w:rsidRPr="00C903F8">
              <w:rPr>
                <w:rFonts w:cs="Arial"/>
                <w:sz w:val="18"/>
                <w:szCs w:val="18"/>
              </w:rPr>
              <w:t xml:space="preserve"> sentence</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rPr>
            </w:pPr>
            <w:r w:rsidRPr="00C903F8">
              <w:rPr>
                <w:rFonts w:cs="Arial"/>
                <w:noProof/>
                <w:sz w:val="18"/>
                <w:szCs w:val="18"/>
              </w:rPr>
              <w:t>Size of emergency exits</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(3)</w:t>
            </w:r>
            <w:r>
              <w:rPr>
                <w:rFonts w:cs="Arial"/>
                <w:sz w:val="18"/>
                <w:szCs w:val="18"/>
              </w:rPr>
              <w:t>(</w:t>
            </w:r>
            <w:r w:rsidRPr="00C903F8">
              <w:rPr>
                <w:rFonts w:cs="Arial"/>
                <w:sz w:val="18"/>
                <w:szCs w:val="18"/>
              </w:rPr>
              <w:t>g)</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Exits intended for use by persons with reduced mobility</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(4)</w:t>
            </w:r>
            <w:r>
              <w:rPr>
                <w:rFonts w:cs="Arial"/>
                <w:sz w:val="18"/>
                <w:szCs w:val="18"/>
              </w:rPr>
              <w:t>(</w:t>
            </w:r>
            <w:r w:rsidRPr="00C903F8">
              <w:rPr>
                <w:rFonts w:cs="Arial"/>
                <w:sz w:val="18"/>
                <w:szCs w:val="18"/>
              </w:rPr>
              <w:t>d)</w:t>
            </w:r>
          </w:p>
        </w:tc>
        <w:tc>
          <w:tcPr>
            <w:tcW w:w="3296" w:type="dxa"/>
            <w:shd w:val="clear" w:color="auto" w:fill="auto"/>
          </w:tcPr>
          <w:p w:rsidR="00F075FB" w:rsidRPr="00C903F8" w:rsidRDefault="00F075FB" w:rsidP="00B74390">
            <w:pPr>
              <w:tabs>
                <w:tab w:val="left" w:pos="930"/>
              </w:tabs>
              <w:spacing w:before="120" w:after="120" w:line="240" w:lineRule="atLeast"/>
              <w:ind w:left="0" w:firstLine="0"/>
              <w:rPr>
                <w:rFonts w:cs="Arial"/>
                <w:sz w:val="18"/>
                <w:szCs w:val="18"/>
                <w:lang w:val="en-US"/>
              </w:rPr>
            </w:pPr>
            <w:r w:rsidRPr="00C903F8">
              <w:rPr>
                <w:rFonts w:cs="Arial"/>
                <w:noProof/>
                <w:sz w:val="18"/>
                <w:szCs w:val="18"/>
                <w:lang w:val="en-US"/>
              </w:rPr>
              <w:t>Doors intended for use by persons with reduced mobility</w:t>
            </w:r>
          </w:p>
        </w:tc>
        <w:tc>
          <w:tcPr>
            <w:tcW w:w="6521"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(5)</w:t>
            </w:r>
          </w:p>
        </w:tc>
        <w:tc>
          <w:tcPr>
            <w:tcW w:w="3296" w:type="dxa"/>
            <w:shd w:val="clear" w:color="auto" w:fill="auto"/>
          </w:tcPr>
          <w:p w:rsidR="00F075FB" w:rsidRPr="00C903F8" w:rsidRDefault="00F075FB" w:rsidP="00B74390">
            <w:pPr>
              <w:tabs>
                <w:tab w:val="left" w:pos="1080"/>
              </w:tabs>
              <w:spacing w:before="120" w:after="120" w:line="240" w:lineRule="atLeast"/>
              <w:ind w:left="0" w:firstLine="0"/>
              <w:rPr>
                <w:rFonts w:cs="Arial"/>
                <w:sz w:val="18"/>
                <w:szCs w:val="18"/>
              </w:rPr>
            </w:pPr>
            <w:r w:rsidRPr="00C903F8">
              <w:rPr>
                <w:rFonts w:cs="Arial"/>
                <w:noProof/>
                <w:sz w:val="18"/>
                <w:szCs w:val="18"/>
              </w:rPr>
              <w:t>Requirements for connecting corridors</w:t>
            </w:r>
          </w:p>
        </w:tc>
        <w:tc>
          <w:tcPr>
            <w:tcW w:w="6521"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(6)</w:t>
            </w:r>
            <w:r>
              <w:rPr>
                <w:rFonts w:cs="Arial"/>
                <w:sz w:val="18"/>
                <w:szCs w:val="18"/>
              </w:rPr>
              <w:t>(</w:t>
            </w:r>
            <w:r w:rsidRPr="00C903F8">
              <w:rPr>
                <w:rFonts w:cs="Arial"/>
                <w:sz w:val="18"/>
                <w:szCs w:val="18"/>
              </w:rPr>
              <w:t>b)</w:t>
            </w:r>
          </w:p>
        </w:tc>
        <w:tc>
          <w:tcPr>
            <w:tcW w:w="3296" w:type="dxa"/>
            <w:shd w:val="clear" w:color="auto" w:fill="auto"/>
          </w:tcPr>
          <w:p w:rsidR="00F075FB" w:rsidRPr="00C903F8" w:rsidRDefault="00F075FB" w:rsidP="00B74390">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Escape routes to evacuation areas</w:t>
            </w:r>
          </w:p>
        </w:tc>
        <w:tc>
          <w:tcPr>
            <w:tcW w:w="6521"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(6)</w:t>
            </w:r>
            <w:r>
              <w:rPr>
                <w:rFonts w:cs="Arial"/>
                <w:sz w:val="18"/>
                <w:szCs w:val="18"/>
              </w:rPr>
              <w:t>(</w:t>
            </w:r>
            <w:r w:rsidRPr="00C903F8">
              <w:rPr>
                <w:rFonts w:cs="Arial"/>
                <w:sz w:val="18"/>
                <w:szCs w:val="18"/>
              </w:rPr>
              <w:t>c)</w:t>
            </w:r>
            <w:r w:rsidRPr="00B60926">
              <w:rPr>
                <w:rFonts w:cs="Arial"/>
                <w:color w:val="000000"/>
                <w:sz w:val="18"/>
                <w:vertAlign w:val="superscript"/>
                <w:lang w:val="en-GB" w:eastAsia="en-GB" w:bidi="en-GB"/>
              </w:rPr>
              <w:footnoteReference w:id="30"/>
            </w:r>
          </w:p>
        </w:tc>
        <w:tc>
          <w:tcPr>
            <w:tcW w:w="3296" w:type="dxa"/>
            <w:shd w:val="clear" w:color="auto" w:fill="auto"/>
          </w:tcPr>
          <w:p w:rsidR="00F075FB" w:rsidRPr="00C903F8" w:rsidRDefault="00F075FB" w:rsidP="00B74390">
            <w:pPr>
              <w:tabs>
                <w:tab w:val="left" w:pos="1080"/>
              </w:tabs>
              <w:spacing w:before="120" w:after="120" w:line="240" w:lineRule="atLeast"/>
              <w:ind w:left="0" w:firstLine="0"/>
              <w:rPr>
                <w:rFonts w:cs="Arial"/>
                <w:sz w:val="18"/>
                <w:szCs w:val="18"/>
                <w:lang w:val="en-US"/>
              </w:rPr>
            </w:pPr>
            <w:r w:rsidRPr="00C903F8">
              <w:rPr>
                <w:rFonts w:cs="Arial"/>
                <w:sz w:val="18"/>
                <w:szCs w:val="18"/>
                <w:lang w:val="en-US"/>
              </w:rPr>
              <w:t>No escape routes through galleys</w:t>
            </w:r>
          </w:p>
        </w:tc>
        <w:tc>
          <w:tcPr>
            <w:tcW w:w="6521"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1.1.2020</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120" w:after="120" w:line="240" w:lineRule="atLeast"/>
              <w:ind w:left="0" w:firstLine="0"/>
              <w:jc w:val="left"/>
              <w:rPr>
                <w:rFonts w:cs="Arial"/>
                <w:sz w:val="18"/>
                <w:szCs w:val="18"/>
              </w:rPr>
            </w:pPr>
            <w:r w:rsidRPr="00C903F8">
              <w:rPr>
                <w:rFonts w:cs="Arial"/>
                <w:sz w:val="18"/>
                <w:szCs w:val="18"/>
              </w:rPr>
              <w:t>(6)</w:t>
            </w:r>
            <w:r>
              <w:rPr>
                <w:rFonts w:cs="Arial"/>
                <w:sz w:val="18"/>
                <w:szCs w:val="18"/>
              </w:rPr>
              <w:t>(</w:t>
            </w:r>
            <w:r w:rsidRPr="00C903F8">
              <w:rPr>
                <w:rFonts w:cs="Arial"/>
                <w:sz w:val="18"/>
                <w:szCs w:val="18"/>
              </w:rPr>
              <w:t>d)</w:t>
            </w:r>
          </w:p>
        </w:tc>
        <w:tc>
          <w:tcPr>
            <w:tcW w:w="3296" w:type="dxa"/>
            <w:shd w:val="clear" w:color="auto" w:fill="auto"/>
          </w:tcPr>
          <w:p w:rsidR="00F075FB" w:rsidRPr="00C903F8" w:rsidRDefault="00F075FB" w:rsidP="00B74390">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No rungs, ladders or the like installed along the escape routes</w:t>
            </w:r>
          </w:p>
        </w:tc>
        <w:tc>
          <w:tcPr>
            <w:tcW w:w="6521"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200" w:after="16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200" w:after="160" w:line="240" w:lineRule="atLeast"/>
              <w:ind w:left="0" w:firstLine="0"/>
              <w:jc w:val="left"/>
              <w:rPr>
                <w:rFonts w:cs="Arial"/>
                <w:sz w:val="18"/>
                <w:szCs w:val="18"/>
              </w:rPr>
            </w:pPr>
            <w:r w:rsidRPr="00C903F8">
              <w:rPr>
                <w:rFonts w:cs="Arial"/>
                <w:sz w:val="18"/>
                <w:szCs w:val="18"/>
              </w:rPr>
              <w:t>(7)</w:t>
            </w:r>
          </w:p>
        </w:tc>
        <w:tc>
          <w:tcPr>
            <w:tcW w:w="3296" w:type="dxa"/>
            <w:shd w:val="clear" w:color="auto" w:fill="auto"/>
          </w:tcPr>
          <w:p w:rsidR="00F075FB" w:rsidRPr="00C903F8" w:rsidRDefault="00F075FB" w:rsidP="00C01A94">
            <w:pPr>
              <w:tabs>
                <w:tab w:val="left" w:pos="1080"/>
              </w:tabs>
              <w:spacing w:before="200" w:after="160" w:line="240" w:lineRule="atLeast"/>
              <w:ind w:left="0" w:firstLine="0"/>
              <w:rPr>
                <w:rFonts w:cs="Arial"/>
                <w:sz w:val="18"/>
                <w:szCs w:val="18"/>
              </w:rPr>
            </w:pPr>
            <w:r w:rsidRPr="00C903F8">
              <w:rPr>
                <w:rFonts w:cs="Arial"/>
                <w:noProof/>
                <w:sz w:val="18"/>
                <w:szCs w:val="18"/>
              </w:rPr>
              <w:t>Suitable safety guidance system</w:t>
            </w:r>
          </w:p>
        </w:tc>
        <w:tc>
          <w:tcPr>
            <w:tcW w:w="6521" w:type="dxa"/>
            <w:shd w:val="clear" w:color="auto" w:fill="auto"/>
          </w:tcPr>
          <w:p w:rsidR="00F075FB" w:rsidRPr="00C903F8" w:rsidRDefault="00F075FB" w:rsidP="00C01A94">
            <w:pPr>
              <w:spacing w:before="20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200" w:after="16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200" w:after="16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200" w:after="160" w:line="240" w:lineRule="atLeast"/>
              <w:ind w:left="0" w:firstLine="0"/>
              <w:jc w:val="left"/>
              <w:rPr>
                <w:rFonts w:cs="Arial"/>
                <w:sz w:val="18"/>
                <w:szCs w:val="18"/>
              </w:rPr>
            </w:pPr>
            <w:r w:rsidRPr="00C903F8">
              <w:rPr>
                <w:rFonts w:cs="Arial"/>
                <w:sz w:val="18"/>
                <w:szCs w:val="18"/>
              </w:rPr>
              <w:t>(8)</w:t>
            </w:r>
          </w:p>
        </w:tc>
        <w:tc>
          <w:tcPr>
            <w:tcW w:w="3296" w:type="dxa"/>
            <w:shd w:val="clear" w:color="auto" w:fill="auto"/>
          </w:tcPr>
          <w:p w:rsidR="00F075FB" w:rsidRPr="00C903F8" w:rsidRDefault="00F075FB" w:rsidP="00C01A94">
            <w:pPr>
              <w:tabs>
                <w:tab w:val="left" w:pos="1080"/>
              </w:tabs>
              <w:spacing w:before="200" w:after="160" w:line="240" w:lineRule="atLeast"/>
              <w:ind w:left="0" w:firstLine="0"/>
              <w:rPr>
                <w:rFonts w:cs="Arial"/>
                <w:sz w:val="18"/>
                <w:szCs w:val="18"/>
              </w:rPr>
            </w:pPr>
            <w:r w:rsidRPr="00C903F8">
              <w:rPr>
                <w:rFonts w:cs="Arial"/>
                <w:noProof/>
                <w:sz w:val="18"/>
                <w:szCs w:val="18"/>
              </w:rPr>
              <w:t>Requirements for muster areas</w:t>
            </w:r>
          </w:p>
        </w:tc>
        <w:tc>
          <w:tcPr>
            <w:tcW w:w="6521" w:type="dxa"/>
            <w:shd w:val="clear" w:color="auto" w:fill="auto"/>
          </w:tcPr>
          <w:p w:rsidR="00F075FB" w:rsidRPr="00C903F8" w:rsidRDefault="00F075FB" w:rsidP="00C01A94">
            <w:pPr>
              <w:spacing w:before="20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200" w:after="16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200" w:after="16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200" w:after="160" w:line="240" w:lineRule="atLeast"/>
              <w:ind w:left="0" w:firstLine="0"/>
              <w:jc w:val="left"/>
              <w:rPr>
                <w:rFonts w:cs="Arial"/>
                <w:sz w:val="18"/>
                <w:szCs w:val="18"/>
              </w:rPr>
            </w:pPr>
            <w:r w:rsidRPr="00C903F8">
              <w:rPr>
                <w:rFonts w:cs="Arial"/>
                <w:sz w:val="18"/>
                <w:szCs w:val="18"/>
              </w:rPr>
              <w:t>(9)</w:t>
            </w:r>
          </w:p>
        </w:tc>
        <w:tc>
          <w:tcPr>
            <w:tcW w:w="3296" w:type="dxa"/>
            <w:shd w:val="clear" w:color="auto" w:fill="auto"/>
          </w:tcPr>
          <w:p w:rsidR="00F075FB" w:rsidRPr="00C903F8" w:rsidRDefault="00F075FB" w:rsidP="00C01A94">
            <w:pPr>
              <w:tabs>
                <w:tab w:val="left" w:pos="1080"/>
              </w:tabs>
              <w:spacing w:before="200" w:after="160" w:line="240" w:lineRule="atLeast"/>
              <w:ind w:left="0" w:firstLine="0"/>
              <w:rPr>
                <w:rFonts w:cs="Arial"/>
                <w:sz w:val="18"/>
                <w:szCs w:val="18"/>
                <w:lang w:val="en-US"/>
              </w:rPr>
            </w:pPr>
            <w:r w:rsidRPr="00C903F8">
              <w:rPr>
                <w:rFonts w:cs="Arial"/>
                <w:noProof/>
                <w:sz w:val="18"/>
                <w:szCs w:val="18"/>
                <w:lang w:val="en-US"/>
              </w:rPr>
              <w:t>Requirements for stairs and their landings in the passenger areas</w:t>
            </w:r>
          </w:p>
        </w:tc>
        <w:tc>
          <w:tcPr>
            <w:tcW w:w="6521" w:type="dxa"/>
            <w:shd w:val="clear" w:color="auto" w:fill="auto"/>
          </w:tcPr>
          <w:p w:rsidR="00F075FB" w:rsidRPr="00C903F8" w:rsidRDefault="00F075FB" w:rsidP="00C01A94">
            <w:pPr>
              <w:spacing w:before="20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200" w:after="16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200" w:after="16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200" w:after="160" w:line="240" w:lineRule="atLeast"/>
              <w:ind w:left="0" w:firstLine="0"/>
              <w:jc w:val="left"/>
              <w:rPr>
                <w:rFonts w:cs="Arial"/>
                <w:sz w:val="18"/>
                <w:szCs w:val="18"/>
              </w:rPr>
            </w:pPr>
            <w:r w:rsidRPr="00C903F8">
              <w:rPr>
                <w:rFonts w:cs="Arial"/>
                <w:sz w:val="18"/>
                <w:szCs w:val="18"/>
              </w:rPr>
              <w:t>(10)</w:t>
            </w:r>
            <w:r>
              <w:rPr>
                <w:rFonts w:cs="Arial"/>
                <w:sz w:val="18"/>
                <w:szCs w:val="18"/>
              </w:rPr>
              <w:t>(</w:t>
            </w:r>
            <w:r w:rsidRPr="00C903F8">
              <w:rPr>
                <w:rFonts w:cs="Arial"/>
                <w:sz w:val="18"/>
                <w:szCs w:val="18"/>
              </w:rPr>
              <w:t>a) 1</w:t>
            </w:r>
            <w:r w:rsidRPr="00C903F8">
              <w:rPr>
                <w:rFonts w:cs="Arial"/>
                <w:sz w:val="18"/>
                <w:szCs w:val="18"/>
                <w:vertAlign w:val="superscript"/>
              </w:rPr>
              <w:t>st</w:t>
            </w:r>
            <w:r w:rsidRPr="00C903F8">
              <w:rPr>
                <w:rFonts w:cs="Arial"/>
                <w:sz w:val="18"/>
                <w:szCs w:val="18"/>
              </w:rPr>
              <w:t xml:space="preserve"> sentence</w:t>
            </w:r>
          </w:p>
        </w:tc>
        <w:tc>
          <w:tcPr>
            <w:tcW w:w="3296" w:type="dxa"/>
            <w:shd w:val="clear" w:color="auto" w:fill="auto"/>
          </w:tcPr>
          <w:p w:rsidR="00F075FB" w:rsidRPr="00696567" w:rsidRDefault="00F075FB" w:rsidP="00C01A94">
            <w:pPr>
              <w:adjustRightInd w:val="0"/>
              <w:spacing w:before="200" w:after="160" w:line="240" w:lineRule="atLeast"/>
              <w:ind w:left="0" w:firstLine="0"/>
              <w:jc w:val="left"/>
              <w:rPr>
                <w:rFonts w:eastAsia="Calibri" w:cs="Arial"/>
                <w:color w:val="000000"/>
                <w:szCs w:val="22"/>
                <w:lang w:val="en-US" w:eastAsia="en-US"/>
              </w:rPr>
            </w:pPr>
            <w:r w:rsidRPr="00696567">
              <w:rPr>
                <w:rFonts w:ascii="ArialMT" w:hAnsi="ArialMT" w:cs="ArialMT"/>
                <w:sz w:val="18"/>
                <w:szCs w:val="18"/>
                <w:lang w:val="en-US" w:eastAsia="de-DE"/>
              </w:rPr>
              <w:t xml:space="preserve">Railing according to European Standard </w:t>
            </w:r>
          </w:p>
        </w:tc>
        <w:tc>
          <w:tcPr>
            <w:tcW w:w="6521" w:type="dxa"/>
            <w:shd w:val="clear" w:color="auto" w:fill="auto"/>
          </w:tcPr>
          <w:p w:rsidR="00F075FB" w:rsidRPr="00696567" w:rsidRDefault="00F075FB" w:rsidP="00C01A94">
            <w:pPr>
              <w:adjustRightInd w:val="0"/>
              <w:spacing w:before="200" w:after="160" w:line="240" w:lineRule="atLeast"/>
              <w:rPr>
                <w:rFonts w:eastAsia="Calibri" w:cs="Arial"/>
                <w:color w:val="000000"/>
                <w:szCs w:val="22"/>
                <w:lang w:val="en-US" w:eastAsia="en-US"/>
              </w:rPr>
            </w:pPr>
            <w:r>
              <w:rPr>
                <w:rFonts w:ascii="ArialMT" w:hAnsi="ArialMT" w:cs="ArialMT"/>
                <w:sz w:val="18"/>
                <w:szCs w:val="18"/>
                <w:lang w:val="en-US" w:eastAsia="de-DE"/>
              </w:rPr>
              <w:t>N.R.C.</w:t>
            </w:r>
            <w:r w:rsidRPr="00696567">
              <w:rPr>
                <w:rFonts w:ascii="ArialMT" w:hAnsi="ArialMT" w:cs="ArialMT"/>
                <w:sz w:val="18"/>
                <w:szCs w:val="18"/>
                <w:lang w:val="en-US" w:eastAsia="de-DE"/>
              </w:rPr>
              <w:t>, at the latest on renewal of the inland navigation vessel certificate after</w:t>
            </w:r>
          </w:p>
        </w:tc>
        <w:tc>
          <w:tcPr>
            <w:tcW w:w="1276" w:type="dxa"/>
            <w:shd w:val="clear" w:color="auto" w:fill="auto"/>
          </w:tcPr>
          <w:p w:rsidR="00F075FB" w:rsidRPr="00C903F8" w:rsidRDefault="00F075FB" w:rsidP="00C01A94">
            <w:pPr>
              <w:spacing w:before="200" w:after="16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29395D" w:rsidRDefault="00F075FB" w:rsidP="00C01A94">
            <w:pPr>
              <w:spacing w:before="200" w:after="160" w:line="240" w:lineRule="atLeast"/>
              <w:ind w:left="0" w:firstLine="0"/>
              <w:rPr>
                <w:rFonts w:cs="Arial"/>
                <w:sz w:val="18"/>
                <w:szCs w:val="18"/>
                <w:lang w:val="en-GB"/>
              </w:rPr>
            </w:pPr>
          </w:p>
        </w:tc>
        <w:tc>
          <w:tcPr>
            <w:tcW w:w="1458" w:type="dxa"/>
            <w:shd w:val="clear" w:color="auto" w:fill="auto"/>
          </w:tcPr>
          <w:p w:rsidR="00F075FB" w:rsidRPr="00C903F8" w:rsidRDefault="00F075FB" w:rsidP="00C01A94">
            <w:pPr>
              <w:spacing w:before="200" w:after="160" w:line="240" w:lineRule="atLeast"/>
              <w:ind w:left="0" w:firstLine="0"/>
              <w:jc w:val="left"/>
              <w:rPr>
                <w:rFonts w:cs="Arial"/>
                <w:sz w:val="18"/>
                <w:szCs w:val="18"/>
              </w:rPr>
            </w:pPr>
            <w:r w:rsidRPr="00C903F8">
              <w:rPr>
                <w:rFonts w:cs="Arial"/>
                <w:sz w:val="18"/>
                <w:szCs w:val="18"/>
              </w:rPr>
              <w:t>(10)</w:t>
            </w:r>
            <w:r>
              <w:rPr>
                <w:rFonts w:cs="Arial"/>
                <w:sz w:val="18"/>
                <w:szCs w:val="18"/>
              </w:rPr>
              <w:t>(</w:t>
            </w:r>
            <w:r w:rsidRPr="00C903F8">
              <w:rPr>
                <w:rFonts w:cs="Arial"/>
                <w:sz w:val="18"/>
                <w:szCs w:val="18"/>
              </w:rPr>
              <w:t>a) 2</w:t>
            </w:r>
            <w:r w:rsidRPr="00C903F8">
              <w:rPr>
                <w:rFonts w:cs="Arial"/>
                <w:sz w:val="18"/>
                <w:szCs w:val="18"/>
                <w:vertAlign w:val="superscript"/>
              </w:rPr>
              <w:t>nd</w:t>
            </w:r>
            <w:r w:rsidRPr="00C903F8">
              <w:rPr>
                <w:rFonts w:cs="Arial"/>
                <w:sz w:val="18"/>
                <w:szCs w:val="18"/>
              </w:rPr>
              <w:t xml:space="preserve"> sentence</w:t>
            </w:r>
          </w:p>
        </w:tc>
        <w:tc>
          <w:tcPr>
            <w:tcW w:w="3296" w:type="dxa"/>
            <w:shd w:val="clear" w:color="auto" w:fill="auto"/>
          </w:tcPr>
          <w:p w:rsidR="00F075FB" w:rsidRPr="00C903F8" w:rsidRDefault="00F075FB" w:rsidP="00C01A94">
            <w:pPr>
              <w:tabs>
                <w:tab w:val="left" w:pos="1080"/>
              </w:tabs>
              <w:spacing w:before="200" w:after="160" w:line="240" w:lineRule="atLeast"/>
              <w:ind w:left="0" w:firstLine="0"/>
              <w:rPr>
                <w:rFonts w:cs="Arial"/>
                <w:sz w:val="18"/>
                <w:szCs w:val="18"/>
                <w:lang w:val="en-US"/>
              </w:rPr>
            </w:pPr>
            <w:r w:rsidRPr="00C903F8">
              <w:rPr>
                <w:rFonts w:cs="Arial"/>
                <w:sz w:val="18"/>
                <w:szCs w:val="18"/>
                <w:lang w:val="en-US"/>
              </w:rPr>
              <w:t>Height of bulwarks and railings of decks intended for use by persons with reduced mobility</w:t>
            </w:r>
          </w:p>
        </w:tc>
        <w:tc>
          <w:tcPr>
            <w:tcW w:w="6521" w:type="dxa"/>
            <w:shd w:val="clear" w:color="auto" w:fill="auto"/>
          </w:tcPr>
          <w:p w:rsidR="00F075FB" w:rsidRPr="00C903F8" w:rsidRDefault="00F075FB" w:rsidP="00C01A94">
            <w:pPr>
              <w:spacing w:before="20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200" w:after="16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120" w:after="120" w:line="240" w:lineRule="atLeast"/>
              <w:ind w:left="0" w:firstLine="0"/>
              <w:jc w:val="left"/>
              <w:rPr>
                <w:rFonts w:cs="Arial"/>
                <w:sz w:val="18"/>
                <w:szCs w:val="18"/>
              </w:rPr>
            </w:pPr>
            <w:r w:rsidRPr="00C903F8">
              <w:rPr>
                <w:rFonts w:cs="Arial"/>
                <w:sz w:val="18"/>
                <w:szCs w:val="18"/>
              </w:rPr>
              <w:t>(10)</w:t>
            </w:r>
            <w:r>
              <w:rPr>
                <w:rFonts w:cs="Arial"/>
                <w:sz w:val="18"/>
                <w:szCs w:val="18"/>
              </w:rPr>
              <w:t>(</w:t>
            </w:r>
            <w:r w:rsidRPr="00C903F8">
              <w:rPr>
                <w:rFonts w:cs="Arial"/>
                <w:sz w:val="18"/>
                <w:szCs w:val="18"/>
              </w:rPr>
              <w:t>b) 2</w:t>
            </w:r>
            <w:r w:rsidRPr="00C903F8">
              <w:rPr>
                <w:rFonts w:cs="Arial"/>
                <w:sz w:val="18"/>
                <w:szCs w:val="18"/>
                <w:vertAlign w:val="superscript"/>
              </w:rPr>
              <w:t>nd</w:t>
            </w:r>
            <w:r w:rsidRPr="00C903F8">
              <w:rPr>
                <w:rFonts w:cs="Arial"/>
                <w:sz w:val="18"/>
                <w:szCs w:val="18"/>
              </w:rPr>
              <w:t xml:space="preserve"> sentence</w:t>
            </w:r>
          </w:p>
        </w:tc>
        <w:tc>
          <w:tcPr>
            <w:tcW w:w="3296" w:type="dxa"/>
            <w:shd w:val="clear" w:color="auto" w:fill="auto"/>
          </w:tcPr>
          <w:p w:rsidR="00F075FB" w:rsidRPr="00C903F8" w:rsidRDefault="00F075FB" w:rsidP="00B74390">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Clear width of openings used normally for the embarking or disembarking of persons with reduced mobility</w:t>
            </w:r>
          </w:p>
        </w:tc>
        <w:tc>
          <w:tcPr>
            <w:tcW w:w="6521"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120" w:after="120" w:line="240" w:lineRule="atLeast"/>
              <w:ind w:left="0" w:firstLine="0"/>
              <w:jc w:val="left"/>
              <w:rPr>
                <w:rFonts w:cs="Arial"/>
                <w:sz w:val="18"/>
                <w:szCs w:val="18"/>
              </w:rPr>
            </w:pPr>
            <w:r w:rsidRPr="00C903F8">
              <w:rPr>
                <w:rFonts w:cs="Arial"/>
                <w:sz w:val="18"/>
                <w:szCs w:val="18"/>
              </w:rPr>
              <w:t>(13)</w:t>
            </w:r>
          </w:p>
        </w:tc>
        <w:tc>
          <w:tcPr>
            <w:tcW w:w="3296" w:type="dxa"/>
            <w:shd w:val="clear" w:color="auto" w:fill="auto"/>
          </w:tcPr>
          <w:p w:rsidR="00F075FB" w:rsidRPr="00C903F8" w:rsidRDefault="00F075FB" w:rsidP="00B74390">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P</w:t>
            </w:r>
            <w:r w:rsidRPr="00C903F8">
              <w:rPr>
                <w:rFonts w:eastAsia="Calibri"/>
                <w:noProof/>
                <w:sz w:val="18"/>
                <w:szCs w:val="18"/>
                <w:lang w:val="en-US" w:eastAsia="en-US"/>
              </w:rPr>
              <w:t>assageways</w:t>
            </w:r>
            <w:r w:rsidRPr="00C903F8">
              <w:rPr>
                <w:rFonts w:cs="Arial"/>
                <w:noProof/>
                <w:sz w:val="18"/>
                <w:szCs w:val="18"/>
                <w:lang w:val="en-US"/>
              </w:rPr>
              <w:t xml:space="preserve"> and walls in passageways intended for use by persons with reduced mobility</w:t>
            </w:r>
          </w:p>
        </w:tc>
        <w:tc>
          <w:tcPr>
            <w:tcW w:w="6521"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8433CF">
        <w:trPr>
          <w:cantSplit/>
          <w:jc w:val="center"/>
        </w:trPr>
        <w:tc>
          <w:tcPr>
            <w:tcW w:w="1342" w:type="dxa"/>
            <w:tcBorders>
              <w:top w:val="nil"/>
              <w:bottom w:val="nil"/>
            </w:tcBorders>
            <w:shd w:val="clear" w:color="auto" w:fill="auto"/>
          </w:tcPr>
          <w:p w:rsidR="00F075FB" w:rsidRPr="00C903F8" w:rsidRDefault="00F075FB" w:rsidP="00B74390">
            <w:pPr>
              <w:spacing w:before="120" w:after="120" w:line="240" w:lineRule="atLeast"/>
              <w:ind w:left="0" w:firstLine="0"/>
              <w:rPr>
                <w:rFonts w:cs="Arial"/>
                <w:sz w:val="18"/>
                <w:szCs w:val="18"/>
              </w:rPr>
            </w:pPr>
          </w:p>
        </w:tc>
        <w:tc>
          <w:tcPr>
            <w:tcW w:w="1458" w:type="dxa"/>
            <w:tcBorders>
              <w:bottom w:val="single" w:sz="4" w:space="0" w:color="auto"/>
            </w:tcBorders>
            <w:shd w:val="clear" w:color="auto" w:fill="auto"/>
          </w:tcPr>
          <w:p w:rsidR="00F075FB" w:rsidRPr="00C903F8" w:rsidRDefault="00F075FB" w:rsidP="00B74390">
            <w:pPr>
              <w:spacing w:before="120" w:after="120" w:line="240" w:lineRule="atLeast"/>
              <w:ind w:left="0" w:firstLine="0"/>
              <w:jc w:val="left"/>
              <w:rPr>
                <w:rFonts w:cs="Arial"/>
                <w:sz w:val="18"/>
                <w:szCs w:val="18"/>
              </w:rPr>
            </w:pPr>
            <w:r w:rsidRPr="00C903F8">
              <w:rPr>
                <w:rFonts w:cs="Arial"/>
                <w:sz w:val="18"/>
                <w:szCs w:val="18"/>
              </w:rPr>
              <w:t>(14) 1</w:t>
            </w:r>
            <w:r w:rsidRPr="00C903F8">
              <w:rPr>
                <w:rFonts w:cs="Arial"/>
                <w:sz w:val="18"/>
                <w:szCs w:val="18"/>
                <w:vertAlign w:val="superscript"/>
              </w:rPr>
              <w:t>st </w:t>
            </w:r>
            <w:r w:rsidRPr="00C903F8">
              <w:rPr>
                <w:rFonts w:cs="Arial"/>
                <w:sz w:val="18"/>
                <w:szCs w:val="18"/>
              </w:rPr>
              <w:t>sentence</w:t>
            </w:r>
          </w:p>
        </w:tc>
        <w:tc>
          <w:tcPr>
            <w:tcW w:w="3296" w:type="dxa"/>
            <w:shd w:val="clear" w:color="auto" w:fill="auto"/>
          </w:tcPr>
          <w:p w:rsidR="00F075FB" w:rsidRPr="00C903F8" w:rsidRDefault="00F075FB" w:rsidP="00B74390">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Design of glass doors and walls in passageways and window panes</w:t>
            </w:r>
          </w:p>
        </w:tc>
        <w:tc>
          <w:tcPr>
            <w:tcW w:w="6521"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8433CF">
        <w:trPr>
          <w:cantSplit/>
          <w:jc w:val="center"/>
        </w:trPr>
        <w:tc>
          <w:tcPr>
            <w:tcW w:w="1342" w:type="dxa"/>
            <w:tcBorders>
              <w:top w:val="nil"/>
              <w:bottom w:val="nil"/>
            </w:tcBorders>
            <w:shd w:val="clear" w:color="auto" w:fill="auto"/>
          </w:tcPr>
          <w:p w:rsidR="00F075FB" w:rsidRPr="00C903F8" w:rsidRDefault="00F075FB" w:rsidP="00B74390">
            <w:pPr>
              <w:spacing w:before="120" w:after="120" w:line="240" w:lineRule="atLeast"/>
              <w:ind w:left="0" w:firstLine="0"/>
              <w:rPr>
                <w:rFonts w:cs="Arial"/>
                <w:sz w:val="18"/>
                <w:szCs w:val="18"/>
              </w:rPr>
            </w:pPr>
          </w:p>
        </w:tc>
        <w:tc>
          <w:tcPr>
            <w:tcW w:w="1458" w:type="dxa"/>
            <w:tcBorders>
              <w:bottom w:val="nil"/>
            </w:tcBorders>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(15)</w:t>
            </w:r>
          </w:p>
        </w:tc>
        <w:tc>
          <w:tcPr>
            <w:tcW w:w="3296" w:type="dxa"/>
            <w:shd w:val="clear" w:color="auto" w:fill="auto"/>
          </w:tcPr>
          <w:p w:rsidR="00F075FB" w:rsidRPr="00C903F8" w:rsidRDefault="00F075FB" w:rsidP="00B74390">
            <w:pPr>
              <w:tabs>
                <w:tab w:val="left" w:pos="1080"/>
              </w:tabs>
              <w:spacing w:before="120" w:after="120" w:line="240" w:lineRule="atLeast"/>
              <w:ind w:left="0" w:firstLine="0"/>
              <w:rPr>
                <w:rFonts w:cs="Arial"/>
                <w:sz w:val="18"/>
                <w:szCs w:val="18"/>
                <w:lang w:val="en-US"/>
              </w:rPr>
            </w:pPr>
            <w:r w:rsidRPr="00C903F8">
              <w:rPr>
                <w:rFonts w:cs="Arial"/>
                <w:sz w:val="18"/>
                <w:szCs w:val="18"/>
                <w:lang w:val="en-US"/>
              </w:rPr>
              <w:t>Requirements for superstructures that consist totally or partly of panoramic windows</w:t>
            </w:r>
          </w:p>
        </w:tc>
        <w:tc>
          <w:tcPr>
            <w:tcW w:w="6521"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120" w:after="120" w:line="240" w:lineRule="atLeast"/>
              <w:ind w:left="0" w:firstLine="0"/>
              <w:rPr>
                <w:rFonts w:cs="Arial"/>
                <w:sz w:val="18"/>
                <w:szCs w:val="18"/>
                <w:lang w:val="en-US"/>
              </w:rPr>
            </w:pPr>
          </w:p>
        </w:tc>
        <w:tc>
          <w:tcPr>
            <w:tcW w:w="1458" w:type="dxa"/>
            <w:shd w:val="clear" w:color="auto" w:fill="auto"/>
          </w:tcPr>
          <w:p w:rsidR="00F075FB" w:rsidRPr="00C903F8" w:rsidRDefault="00F075FB" w:rsidP="00B74390">
            <w:pPr>
              <w:spacing w:before="120" w:after="120" w:line="240" w:lineRule="atLeast"/>
              <w:ind w:left="0" w:firstLine="0"/>
              <w:jc w:val="left"/>
              <w:rPr>
                <w:rFonts w:cs="Arial"/>
                <w:sz w:val="18"/>
                <w:szCs w:val="18"/>
              </w:rPr>
            </w:pPr>
            <w:r w:rsidRPr="00C903F8">
              <w:rPr>
                <w:rFonts w:cs="Arial"/>
                <w:sz w:val="18"/>
                <w:szCs w:val="18"/>
              </w:rPr>
              <w:t>(17) 2</w:t>
            </w:r>
            <w:r w:rsidRPr="00C903F8">
              <w:rPr>
                <w:rFonts w:cs="Arial"/>
                <w:sz w:val="18"/>
                <w:szCs w:val="18"/>
                <w:vertAlign w:val="superscript"/>
              </w:rPr>
              <w:t>nd </w:t>
            </w:r>
            <w:r w:rsidRPr="00C903F8">
              <w:rPr>
                <w:rFonts w:cs="Arial"/>
                <w:sz w:val="18"/>
                <w:szCs w:val="18"/>
              </w:rPr>
              <w:t>sentence</w:t>
            </w:r>
          </w:p>
        </w:tc>
        <w:tc>
          <w:tcPr>
            <w:tcW w:w="3296" w:type="dxa"/>
            <w:shd w:val="clear" w:color="auto" w:fill="auto"/>
          </w:tcPr>
          <w:p w:rsidR="00F075FB" w:rsidRPr="00C903F8" w:rsidRDefault="00F075FB" w:rsidP="00B74390">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Requirements for toilets fitted for use by persons with reduced mobility</w:t>
            </w:r>
          </w:p>
        </w:tc>
        <w:tc>
          <w:tcPr>
            <w:tcW w:w="6521" w:type="dxa"/>
            <w:shd w:val="clear" w:color="auto" w:fill="auto"/>
          </w:tcPr>
          <w:p w:rsidR="00F075FB" w:rsidRPr="00C903F8" w:rsidRDefault="00F075FB" w:rsidP="00B74390">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40" w:after="14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40" w:after="140" w:line="240" w:lineRule="atLeast"/>
              <w:ind w:left="0" w:firstLine="0"/>
              <w:rPr>
                <w:rFonts w:cs="Arial"/>
                <w:sz w:val="18"/>
                <w:szCs w:val="18"/>
              </w:rPr>
            </w:pPr>
            <w:r w:rsidRPr="00C903F8">
              <w:rPr>
                <w:rFonts w:cs="Arial"/>
                <w:sz w:val="18"/>
                <w:szCs w:val="18"/>
              </w:rPr>
              <w:t>(18)</w:t>
            </w:r>
          </w:p>
        </w:tc>
        <w:tc>
          <w:tcPr>
            <w:tcW w:w="3296" w:type="dxa"/>
            <w:shd w:val="clear" w:color="auto" w:fill="auto"/>
          </w:tcPr>
          <w:p w:rsidR="00F075FB" w:rsidRPr="00C903F8" w:rsidRDefault="00F075FB" w:rsidP="00C01A94">
            <w:pPr>
              <w:tabs>
                <w:tab w:val="left" w:pos="1080"/>
              </w:tabs>
              <w:spacing w:before="140" w:after="140" w:line="240" w:lineRule="atLeast"/>
              <w:ind w:left="0" w:firstLine="0"/>
              <w:rPr>
                <w:rFonts w:cs="Arial"/>
                <w:sz w:val="18"/>
                <w:szCs w:val="18"/>
                <w:lang w:val="en-US"/>
              </w:rPr>
            </w:pPr>
            <w:r w:rsidRPr="00C903F8">
              <w:rPr>
                <w:rFonts w:cs="Arial"/>
                <w:noProof/>
                <w:sz w:val="18"/>
                <w:szCs w:val="18"/>
                <w:lang w:val="en-US"/>
              </w:rPr>
              <w:t>Ventilation system for cabins without an opening window</w:t>
            </w:r>
          </w:p>
        </w:tc>
        <w:tc>
          <w:tcPr>
            <w:tcW w:w="6521" w:type="dxa"/>
            <w:shd w:val="clear" w:color="auto" w:fill="auto"/>
          </w:tcPr>
          <w:p w:rsidR="00F075FB" w:rsidRPr="00C903F8" w:rsidRDefault="00F075FB" w:rsidP="00C01A94">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40" w:after="14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tcBorders>
            <w:shd w:val="clear" w:color="auto" w:fill="auto"/>
          </w:tcPr>
          <w:p w:rsidR="00F075FB" w:rsidRPr="00C903F8" w:rsidRDefault="00F075FB" w:rsidP="00C01A94">
            <w:pPr>
              <w:spacing w:before="140" w:after="14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40" w:after="140" w:line="240" w:lineRule="atLeast"/>
              <w:ind w:left="0" w:firstLine="0"/>
              <w:rPr>
                <w:rFonts w:cs="Arial"/>
                <w:sz w:val="18"/>
                <w:szCs w:val="18"/>
              </w:rPr>
            </w:pPr>
            <w:r w:rsidRPr="00C903F8">
              <w:rPr>
                <w:rFonts w:cs="Arial"/>
                <w:sz w:val="18"/>
                <w:szCs w:val="18"/>
              </w:rPr>
              <w:t>(19)</w:t>
            </w:r>
          </w:p>
        </w:tc>
        <w:tc>
          <w:tcPr>
            <w:tcW w:w="3296" w:type="dxa"/>
            <w:shd w:val="clear" w:color="auto" w:fill="auto"/>
          </w:tcPr>
          <w:p w:rsidR="00F075FB" w:rsidRPr="00C903F8" w:rsidRDefault="00F075FB" w:rsidP="00C01A94">
            <w:pPr>
              <w:tabs>
                <w:tab w:val="left" w:pos="1080"/>
              </w:tabs>
              <w:spacing w:before="140" w:after="140" w:line="240" w:lineRule="atLeast"/>
              <w:ind w:left="0" w:firstLine="0"/>
              <w:rPr>
                <w:rFonts w:cs="Arial"/>
                <w:sz w:val="18"/>
                <w:szCs w:val="18"/>
                <w:lang w:val="en-US"/>
              </w:rPr>
            </w:pPr>
            <w:r w:rsidRPr="00C903F8">
              <w:rPr>
                <w:rFonts w:cs="Arial"/>
                <w:noProof/>
                <w:sz w:val="18"/>
                <w:szCs w:val="18"/>
                <w:lang w:val="en-US"/>
              </w:rPr>
              <w:t>Requirements of Article 19.06 for rooms in which crew members or shipboard personnel are accommodated</w:t>
            </w:r>
          </w:p>
        </w:tc>
        <w:tc>
          <w:tcPr>
            <w:tcW w:w="6521" w:type="dxa"/>
            <w:shd w:val="clear" w:color="auto" w:fill="auto"/>
          </w:tcPr>
          <w:p w:rsidR="00F075FB" w:rsidRPr="00C903F8" w:rsidRDefault="00F075FB" w:rsidP="00C01A94">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40" w:after="14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bottom w:val="single" w:sz="4" w:space="0" w:color="auto"/>
            </w:tcBorders>
            <w:shd w:val="clear" w:color="auto" w:fill="auto"/>
          </w:tcPr>
          <w:p w:rsidR="00F075FB" w:rsidRPr="00C903F8" w:rsidRDefault="00F075FB" w:rsidP="001C15FF">
            <w:pPr>
              <w:spacing w:before="200" w:after="200" w:line="240" w:lineRule="atLeast"/>
              <w:ind w:left="0" w:firstLine="0"/>
              <w:rPr>
                <w:rFonts w:cs="Arial"/>
                <w:sz w:val="18"/>
                <w:szCs w:val="18"/>
              </w:rPr>
            </w:pPr>
            <w:r w:rsidRPr="00C903F8">
              <w:rPr>
                <w:rFonts w:cs="Arial"/>
                <w:sz w:val="18"/>
                <w:szCs w:val="18"/>
              </w:rPr>
              <w:t>19.07</w:t>
            </w:r>
            <w:r w:rsidRPr="00B60926">
              <w:rPr>
                <w:rFonts w:cs="Arial"/>
                <w:color w:val="000000"/>
                <w:sz w:val="18"/>
                <w:vertAlign w:val="superscript"/>
                <w:lang w:val="en-GB" w:eastAsia="en-GB" w:bidi="en-GB"/>
              </w:rPr>
              <w:footnoteReference w:id="31"/>
            </w:r>
          </w:p>
        </w:tc>
        <w:tc>
          <w:tcPr>
            <w:tcW w:w="1458" w:type="dxa"/>
            <w:shd w:val="clear" w:color="auto" w:fill="auto"/>
          </w:tcPr>
          <w:p w:rsidR="00F075FB" w:rsidRPr="00C903F8" w:rsidRDefault="00F075FB" w:rsidP="001C15FF">
            <w:pPr>
              <w:spacing w:before="200" w:after="200" w:line="240" w:lineRule="atLeast"/>
              <w:ind w:left="0" w:firstLine="0"/>
              <w:rPr>
                <w:rFonts w:cs="Arial"/>
                <w:sz w:val="18"/>
                <w:szCs w:val="18"/>
              </w:rPr>
            </w:pPr>
          </w:p>
        </w:tc>
        <w:tc>
          <w:tcPr>
            <w:tcW w:w="3296" w:type="dxa"/>
            <w:shd w:val="clear" w:color="auto" w:fill="auto"/>
          </w:tcPr>
          <w:p w:rsidR="00F075FB" w:rsidRPr="00C903F8" w:rsidRDefault="00F075FB" w:rsidP="001C15FF">
            <w:pPr>
              <w:tabs>
                <w:tab w:val="left" w:pos="1080"/>
              </w:tabs>
              <w:spacing w:before="200" w:after="200" w:line="240" w:lineRule="atLeast"/>
              <w:ind w:left="0" w:firstLine="0"/>
              <w:rPr>
                <w:rFonts w:cs="Arial"/>
                <w:sz w:val="18"/>
                <w:szCs w:val="18"/>
                <w:lang w:val="en-US"/>
              </w:rPr>
            </w:pPr>
            <w:r w:rsidRPr="001C15FF">
              <w:rPr>
                <w:rFonts w:cs="Arial"/>
                <w:sz w:val="18"/>
                <w:szCs w:val="18"/>
                <w:lang w:val="en-US"/>
              </w:rPr>
              <w:t>Separate engine room</w:t>
            </w:r>
          </w:p>
        </w:tc>
        <w:tc>
          <w:tcPr>
            <w:tcW w:w="6521" w:type="dxa"/>
            <w:shd w:val="clear" w:color="auto" w:fill="auto"/>
          </w:tcPr>
          <w:p w:rsidR="00F075FB" w:rsidRPr="00C903F8" w:rsidRDefault="00F075FB" w:rsidP="001C15FF">
            <w:pPr>
              <w:spacing w:before="200" w:after="2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1C15FF">
            <w:pPr>
              <w:spacing w:before="200" w:after="200" w:line="240" w:lineRule="atLeast"/>
              <w:ind w:left="0" w:firstLine="0"/>
              <w:rPr>
                <w:rFonts w:cs="Arial"/>
                <w:sz w:val="18"/>
                <w:szCs w:val="18"/>
              </w:rPr>
            </w:pPr>
            <w:r w:rsidRPr="00C903F8">
              <w:rPr>
                <w:rFonts w:cs="Arial"/>
                <w:sz w:val="18"/>
                <w:szCs w:val="18"/>
              </w:rPr>
              <w:t>1.1.2020</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40" w:after="140" w:line="240" w:lineRule="atLeast"/>
              <w:ind w:left="0" w:firstLine="0"/>
              <w:rPr>
                <w:rFonts w:cs="Arial"/>
                <w:sz w:val="18"/>
                <w:szCs w:val="18"/>
              </w:rPr>
            </w:pPr>
            <w:r w:rsidRPr="00C903F8">
              <w:rPr>
                <w:rFonts w:cs="Arial"/>
                <w:sz w:val="18"/>
                <w:szCs w:val="18"/>
              </w:rPr>
              <w:t>19.08</w:t>
            </w:r>
          </w:p>
        </w:tc>
        <w:tc>
          <w:tcPr>
            <w:tcW w:w="1458" w:type="dxa"/>
            <w:shd w:val="clear" w:color="auto" w:fill="auto"/>
          </w:tcPr>
          <w:p w:rsidR="00F075FB" w:rsidRPr="00C903F8" w:rsidRDefault="00F075FB" w:rsidP="00C01A94">
            <w:pPr>
              <w:spacing w:before="140" w:after="140" w:line="240" w:lineRule="atLeast"/>
              <w:ind w:left="0" w:firstLine="0"/>
              <w:rPr>
                <w:rFonts w:cs="Arial"/>
                <w:sz w:val="18"/>
                <w:szCs w:val="18"/>
              </w:rPr>
            </w:pPr>
            <w:r w:rsidRPr="00C903F8">
              <w:rPr>
                <w:rFonts w:cs="Arial"/>
                <w:sz w:val="18"/>
                <w:szCs w:val="18"/>
              </w:rPr>
              <w:t>(3)</w:t>
            </w:r>
            <w:r>
              <w:rPr>
                <w:rFonts w:cs="Arial"/>
                <w:sz w:val="18"/>
                <w:szCs w:val="18"/>
              </w:rPr>
              <w:t>(</w:t>
            </w:r>
            <w:r w:rsidRPr="00C903F8">
              <w:rPr>
                <w:rFonts w:cs="Arial"/>
                <w:sz w:val="18"/>
                <w:szCs w:val="18"/>
              </w:rPr>
              <w:t>a)</w:t>
            </w:r>
            <w:r w:rsidRPr="00B60926">
              <w:rPr>
                <w:rFonts w:cs="Arial"/>
                <w:color w:val="000000"/>
                <w:sz w:val="18"/>
                <w:vertAlign w:val="superscript"/>
                <w:lang w:val="en-GB" w:eastAsia="en-GB" w:bidi="en-GB"/>
              </w:rPr>
              <w:footnoteReference w:id="32"/>
            </w:r>
          </w:p>
        </w:tc>
        <w:tc>
          <w:tcPr>
            <w:tcW w:w="3296" w:type="dxa"/>
            <w:shd w:val="clear" w:color="auto" w:fill="auto"/>
          </w:tcPr>
          <w:p w:rsidR="00F075FB" w:rsidRPr="00C903F8" w:rsidRDefault="00F075FB" w:rsidP="00C42516">
            <w:pPr>
              <w:spacing w:before="140" w:after="140" w:line="240" w:lineRule="atLeast"/>
              <w:ind w:left="0" w:firstLine="0"/>
              <w:rPr>
                <w:rFonts w:cs="Arial"/>
                <w:sz w:val="18"/>
                <w:szCs w:val="18"/>
                <w:lang w:val="en-US"/>
              </w:rPr>
            </w:pPr>
            <w:r w:rsidRPr="00C903F8">
              <w:rPr>
                <w:rFonts w:cs="Arial"/>
                <w:sz w:val="18"/>
                <w:szCs w:val="18"/>
                <w:lang w:val="en-US"/>
              </w:rPr>
              <w:t xml:space="preserve">Alarm system requirements for passengers, crew members or </w:t>
            </w:r>
            <w:r>
              <w:rPr>
                <w:rFonts w:cs="Arial"/>
                <w:sz w:val="18"/>
                <w:szCs w:val="18"/>
                <w:lang w:val="en-US"/>
              </w:rPr>
              <w:t>ship</w:t>
            </w:r>
            <w:r>
              <w:rPr>
                <w:rFonts w:cs="Arial"/>
                <w:sz w:val="18"/>
                <w:szCs w:val="18"/>
                <w:lang w:val="en-US"/>
              </w:rPr>
              <w:softHyphen/>
              <w:t>board</w:t>
            </w:r>
            <w:r w:rsidRPr="00C903F8">
              <w:rPr>
                <w:rFonts w:cs="Arial"/>
                <w:sz w:val="18"/>
                <w:szCs w:val="18"/>
                <w:lang w:val="en-US"/>
              </w:rPr>
              <w:t xml:space="preserve"> personnel to alert passenger vessels’ command and crew</w:t>
            </w:r>
          </w:p>
        </w:tc>
        <w:tc>
          <w:tcPr>
            <w:tcW w:w="6521" w:type="dxa"/>
            <w:shd w:val="clear" w:color="auto" w:fill="auto"/>
          </w:tcPr>
          <w:p w:rsidR="00F075FB" w:rsidRPr="00C903F8" w:rsidRDefault="00F075FB" w:rsidP="00C01A94">
            <w:pPr>
              <w:spacing w:before="140" w:after="140" w:line="240" w:lineRule="atLeast"/>
              <w:ind w:left="0" w:firstLine="0"/>
              <w:rPr>
                <w:rFonts w:cs="Arial"/>
                <w:sz w:val="18"/>
                <w:szCs w:val="18"/>
                <w:lang w:val="en-US"/>
              </w:rPr>
            </w:pPr>
            <w:r w:rsidRPr="00C903F8">
              <w:rPr>
                <w:rFonts w:cs="Arial"/>
                <w:sz w:val="18"/>
                <w:szCs w:val="18"/>
                <w:lang w:val="en-US"/>
              </w:rPr>
              <w:t xml:space="preserve">For day-trip vessels, the requirement applies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40" w:after="140" w:line="240" w:lineRule="atLeast"/>
              <w:ind w:left="0" w:firstLine="0"/>
              <w:rPr>
                <w:rFonts w:cs="Arial"/>
                <w:sz w:val="18"/>
                <w:szCs w:val="18"/>
              </w:rPr>
            </w:pPr>
            <w:r w:rsidRPr="00C903F8">
              <w:rPr>
                <w:rFonts w:cs="Arial"/>
                <w:sz w:val="18"/>
                <w:szCs w:val="18"/>
              </w:rPr>
              <w:t>1.1.2020</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40" w:after="14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40" w:after="140" w:line="240" w:lineRule="atLeast"/>
              <w:ind w:left="0" w:firstLine="0"/>
              <w:rPr>
                <w:rFonts w:cs="Arial"/>
                <w:sz w:val="18"/>
                <w:szCs w:val="18"/>
              </w:rPr>
            </w:pPr>
            <w:r w:rsidRPr="00C903F8">
              <w:rPr>
                <w:rFonts w:cs="Arial"/>
                <w:sz w:val="18"/>
                <w:szCs w:val="18"/>
              </w:rPr>
              <w:t>(6)</w:t>
            </w:r>
          </w:p>
        </w:tc>
        <w:tc>
          <w:tcPr>
            <w:tcW w:w="3296" w:type="dxa"/>
            <w:shd w:val="clear" w:color="auto" w:fill="auto"/>
          </w:tcPr>
          <w:p w:rsidR="00F075FB" w:rsidRPr="00C903F8" w:rsidRDefault="00F075FB" w:rsidP="00C01A94">
            <w:pPr>
              <w:tabs>
                <w:tab w:val="left" w:pos="1080"/>
              </w:tabs>
              <w:spacing w:before="140" w:after="140" w:line="240" w:lineRule="atLeast"/>
              <w:ind w:left="0" w:firstLine="0"/>
              <w:rPr>
                <w:rFonts w:cs="Arial"/>
                <w:sz w:val="18"/>
                <w:szCs w:val="18"/>
              </w:rPr>
            </w:pPr>
            <w:r w:rsidRPr="00C903F8">
              <w:rPr>
                <w:rFonts w:cs="Arial"/>
                <w:noProof/>
                <w:sz w:val="18"/>
                <w:szCs w:val="18"/>
              </w:rPr>
              <w:t>Permanently installed bilge system</w:t>
            </w:r>
          </w:p>
        </w:tc>
        <w:tc>
          <w:tcPr>
            <w:tcW w:w="6521" w:type="dxa"/>
            <w:shd w:val="clear" w:color="auto" w:fill="auto"/>
          </w:tcPr>
          <w:p w:rsidR="00F075FB" w:rsidRPr="00C903F8" w:rsidRDefault="00F075FB" w:rsidP="00C01A94">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40" w:after="14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1342" w:type="dxa"/>
            <w:tcBorders>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19.10</w:t>
            </w:r>
          </w:p>
        </w:tc>
        <w:tc>
          <w:tcPr>
            <w:tcW w:w="1458"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(2)</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Article 10.16(3) also applicable to passageways and recreation rooms for passengers</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(3)</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rPr>
            </w:pPr>
            <w:r w:rsidRPr="00C903F8">
              <w:rPr>
                <w:rFonts w:cs="Arial"/>
                <w:noProof/>
                <w:sz w:val="18"/>
                <w:szCs w:val="18"/>
              </w:rPr>
              <w:t>Adequate emergency lighting</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(4)</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rPr>
            </w:pPr>
            <w:r w:rsidRPr="00C903F8">
              <w:rPr>
                <w:rFonts w:cs="Arial"/>
                <w:noProof/>
                <w:sz w:val="18"/>
                <w:szCs w:val="18"/>
              </w:rPr>
              <w:t>Emergency power plant</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sidRPr="00C903F8">
              <w:rPr>
                <w:rFonts w:cs="Arial"/>
                <w:noProof/>
                <w:sz w:val="18"/>
                <w:szCs w:val="18"/>
                <w:lang w:val="en-US"/>
              </w:rPr>
              <w:t xml:space="preserve">For day-trip vessels with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L</m:t>
                  </m:r>
                </m:e>
                <m:sub>
                  <m:r>
                    <w:rPr>
                      <w:rFonts w:ascii="Cambria Math" w:hAnsi="Cambria Math" w:cs="Arial"/>
                      <w:noProof/>
                      <w:sz w:val="18"/>
                      <w:szCs w:val="18"/>
                      <w:lang w:val="en-US"/>
                    </w:rPr>
                    <m:t>WL</m:t>
                  </m:r>
                </m:sub>
              </m:sSub>
            </m:oMath>
            <w:r w:rsidRPr="00C903F8">
              <w:rPr>
                <w:rFonts w:cs="Arial"/>
                <w:sz w:val="18"/>
                <w:szCs w:val="18"/>
                <w:lang w:val="en-US"/>
              </w:rPr>
              <w:t xml:space="preserve"> of 25 m or less, the provision applies at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D321F1">
            <w:pPr>
              <w:spacing w:before="120" w:after="120" w:line="240" w:lineRule="atLeast"/>
              <w:ind w:left="0" w:firstLine="0"/>
              <w:rPr>
                <w:rFonts w:cs="Arial"/>
                <w:sz w:val="18"/>
                <w:szCs w:val="18"/>
              </w:rPr>
            </w:pPr>
            <w:r w:rsidRPr="00C903F8">
              <w:rPr>
                <w:rFonts w:cs="Arial"/>
                <w:sz w:val="18"/>
                <w:szCs w:val="18"/>
              </w:rPr>
              <w:t>(4)</w:t>
            </w:r>
            <w:r>
              <w:rPr>
                <w:rFonts w:cs="Arial"/>
                <w:sz w:val="18"/>
                <w:szCs w:val="18"/>
              </w:rPr>
              <w:t>(</w:t>
            </w:r>
            <w:r w:rsidRPr="00C903F8">
              <w:rPr>
                <w:rFonts w:cs="Arial"/>
                <w:sz w:val="18"/>
                <w:szCs w:val="18"/>
              </w:rPr>
              <w:t>f)</w:t>
            </w:r>
          </w:p>
        </w:tc>
        <w:tc>
          <w:tcPr>
            <w:tcW w:w="3296" w:type="dxa"/>
            <w:shd w:val="clear" w:color="auto" w:fill="auto"/>
          </w:tcPr>
          <w:p w:rsidR="00F075FB" w:rsidRPr="00C903F8" w:rsidRDefault="00F075FB" w:rsidP="00C42516">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Emergency supply for searchlights according to Article 13.02(2)(i)</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D321F1">
            <w:pPr>
              <w:spacing w:before="120" w:after="120" w:line="240" w:lineRule="atLeast"/>
              <w:ind w:left="0" w:firstLine="0"/>
              <w:rPr>
                <w:rFonts w:cs="Arial"/>
                <w:sz w:val="18"/>
                <w:szCs w:val="18"/>
              </w:rPr>
            </w:pPr>
            <w:r w:rsidRPr="00C903F8">
              <w:rPr>
                <w:rFonts w:cs="Arial"/>
                <w:sz w:val="18"/>
                <w:szCs w:val="18"/>
              </w:rPr>
              <w:t>(4)(i)</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Emergency supply for lifts and lifting equipment according to Article 19.06(9), second sentence</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20" w:after="120" w:line="240" w:lineRule="atLeast"/>
              <w:ind w:left="0" w:firstLine="0"/>
              <w:jc w:val="left"/>
              <w:rPr>
                <w:rFonts w:cs="Arial"/>
                <w:sz w:val="18"/>
                <w:szCs w:val="18"/>
              </w:rPr>
            </w:pPr>
            <w:r w:rsidRPr="00C903F8">
              <w:rPr>
                <w:rFonts w:cs="Arial"/>
                <w:sz w:val="18"/>
                <w:szCs w:val="18"/>
              </w:rPr>
              <w:t>(6) 1</w:t>
            </w:r>
            <w:r w:rsidRPr="00C903F8">
              <w:rPr>
                <w:rFonts w:cs="Arial"/>
                <w:sz w:val="18"/>
                <w:szCs w:val="18"/>
                <w:vertAlign w:val="superscript"/>
              </w:rPr>
              <w:t xml:space="preserve">st </w:t>
            </w:r>
            <w:r w:rsidRPr="00C903F8">
              <w:rPr>
                <w:rFonts w:cs="Arial"/>
                <w:sz w:val="18"/>
                <w:szCs w:val="18"/>
              </w:rPr>
              <w:t>sentence</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rPr>
            </w:pPr>
            <w:r w:rsidRPr="00C903F8">
              <w:rPr>
                <w:rFonts w:cs="Arial"/>
                <w:noProof/>
                <w:sz w:val="18"/>
                <w:szCs w:val="18"/>
              </w:rPr>
              <w:t>Partitions according to Article 19.11(2).</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20" w:after="120" w:line="240" w:lineRule="atLeast"/>
              <w:ind w:left="0" w:firstLine="0"/>
              <w:jc w:val="left"/>
              <w:rPr>
                <w:rFonts w:cs="Arial"/>
                <w:sz w:val="18"/>
                <w:szCs w:val="18"/>
              </w:rPr>
            </w:pPr>
            <w:r w:rsidRPr="00C903F8">
              <w:rPr>
                <w:rFonts w:cs="Arial"/>
                <w:sz w:val="18"/>
                <w:szCs w:val="18"/>
              </w:rPr>
              <w:t>(6) 2</w:t>
            </w:r>
            <w:r w:rsidRPr="00C903F8">
              <w:rPr>
                <w:rFonts w:cs="Arial"/>
                <w:sz w:val="18"/>
                <w:szCs w:val="18"/>
                <w:vertAlign w:val="superscript"/>
              </w:rPr>
              <w:t>nd</w:t>
            </w:r>
            <w:r w:rsidRPr="00C903F8">
              <w:rPr>
                <w:rFonts w:cs="Arial"/>
                <w:sz w:val="18"/>
                <w:szCs w:val="18"/>
              </w:rPr>
              <w:t xml:space="preserve"> and 3</w:t>
            </w:r>
            <w:r w:rsidRPr="00C903F8">
              <w:rPr>
                <w:rFonts w:cs="Arial"/>
                <w:sz w:val="18"/>
                <w:szCs w:val="18"/>
                <w:vertAlign w:val="superscript"/>
              </w:rPr>
              <w:t>rd</w:t>
            </w:r>
            <w:r w:rsidRPr="00C903F8">
              <w:rPr>
                <w:rFonts w:cs="Arial"/>
                <w:sz w:val="18"/>
                <w:szCs w:val="18"/>
              </w:rPr>
              <w:t xml:space="preserve"> sentence</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rPr>
            </w:pPr>
            <w:r w:rsidRPr="00C903F8">
              <w:rPr>
                <w:rFonts w:cs="Arial"/>
                <w:noProof/>
                <w:sz w:val="18"/>
                <w:szCs w:val="18"/>
              </w:rPr>
              <w:t>Installation of cables</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1342" w:type="dxa"/>
            <w:tcBorders>
              <w:top w:val="nil"/>
              <w:bottom w:val="single" w:sz="4" w:space="0" w:color="auto"/>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20" w:after="120" w:line="240" w:lineRule="atLeast"/>
              <w:ind w:left="0" w:firstLine="0"/>
              <w:jc w:val="left"/>
              <w:rPr>
                <w:rFonts w:cs="Arial"/>
                <w:sz w:val="18"/>
                <w:szCs w:val="18"/>
                <w:lang w:val="en-US"/>
              </w:rPr>
            </w:pPr>
            <w:r w:rsidRPr="00C903F8">
              <w:rPr>
                <w:rFonts w:cs="Arial"/>
                <w:sz w:val="18"/>
                <w:szCs w:val="18"/>
                <w:lang w:val="en-US"/>
              </w:rPr>
              <w:t>(6) 4</w:t>
            </w:r>
            <w:r w:rsidRPr="00C903F8">
              <w:rPr>
                <w:rFonts w:cs="Arial"/>
                <w:sz w:val="18"/>
                <w:szCs w:val="18"/>
                <w:vertAlign w:val="superscript"/>
                <w:lang w:val="en-US"/>
              </w:rPr>
              <w:t>th </w:t>
            </w:r>
            <w:r w:rsidRPr="00C903F8">
              <w:rPr>
                <w:rFonts w:cs="Arial"/>
                <w:sz w:val="18"/>
                <w:szCs w:val="18"/>
                <w:lang w:val="en-US"/>
              </w:rPr>
              <w:t>sentence</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Emergency power plant above the margin line</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lang w:val="en-US"/>
              </w:rPr>
              <w:t>1</w:t>
            </w:r>
            <w:r w:rsidRPr="00C903F8">
              <w:rPr>
                <w:rFonts w:cs="Arial"/>
                <w:sz w:val="18"/>
                <w:szCs w:val="18"/>
              </w:rPr>
              <w:t>.1.2015</w:t>
            </w:r>
          </w:p>
        </w:tc>
      </w:tr>
      <w:tr w:rsidR="00F075FB" w:rsidRPr="00C903F8" w:rsidTr="000E732C">
        <w:trPr>
          <w:cantSplit/>
          <w:trHeight w:val="347"/>
          <w:jc w:val="center"/>
        </w:trPr>
        <w:tc>
          <w:tcPr>
            <w:tcW w:w="1342" w:type="dxa"/>
            <w:vMerge w:val="restart"/>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19.11</w:t>
            </w:r>
          </w:p>
        </w:tc>
        <w:tc>
          <w:tcPr>
            <w:tcW w:w="1458" w:type="dxa"/>
            <w:vMerge w:val="restart"/>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(1)</w:t>
            </w:r>
          </w:p>
        </w:tc>
        <w:tc>
          <w:tcPr>
            <w:tcW w:w="3296" w:type="dxa"/>
            <w:vMerge w:val="restart"/>
            <w:shd w:val="clear" w:color="auto" w:fill="auto"/>
          </w:tcPr>
          <w:p w:rsidR="00F075FB" w:rsidRPr="00C903F8" w:rsidRDefault="00F075FB" w:rsidP="00B74390">
            <w:pPr>
              <w:tabs>
                <w:tab w:val="left" w:pos="1080"/>
              </w:tabs>
              <w:spacing w:before="80" w:after="80" w:line="240" w:lineRule="atLeast"/>
              <w:ind w:left="0" w:firstLine="0"/>
              <w:rPr>
                <w:rFonts w:cs="Arial"/>
                <w:sz w:val="18"/>
                <w:szCs w:val="18"/>
                <w:lang w:val="en-US"/>
              </w:rPr>
            </w:pPr>
            <w:r w:rsidRPr="00C903F8">
              <w:rPr>
                <w:rFonts w:cs="Arial"/>
                <w:noProof/>
                <w:sz w:val="18"/>
                <w:szCs w:val="18"/>
                <w:lang w:val="en-US"/>
              </w:rPr>
              <w:t>Suitability for fire protection of materials and components</w:t>
            </w:r>
          </w:p>
        </w:tc>
        <w:tc>
          <w:tcPr>
            <w:tcW w:w="6521" w:type="dxa"/>
            <w:shd w:val="clear" w:color="auto" w:fill="auto"/>
          </w:tcPr>
          <w:p w:rsidR="00F075FB" w:rsidRPr="00C903F8" w:rsidRDefault="00F075FB" w:rsidP="00B74390">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vMerge w:val="restart"/>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1.1.2045</w:t>
            </w:r>
          </w:p>
        </w:tc>
      </w:tr>
      <w:tr w:rsidR="00F075FB" w:rsidRPr="00296858" w:rsidTr="00196FBC">
        <w:trPr>
          <w:cantSplit/>
          <w:trHeight w:val="346"/>
          <w:jc w:val="center"/>
        </w:trPr>
        <w:tc>
          <w:tcPr>
            <w:tcW w:w="1342" w:type="dxa"/>
            <w:vMerge/>
            <w:tcBorders>
              <w:bottom w:val="nil"/>
            </w:tcBorders>
            <w:shd w:val="clear" w:color="auto" w:fill="auto"/>
          </w:tcPr>
          <w:p w:rsidR="00F075FB" w:rsidRPr="00C903F8" w:rsidRDefault="00F075FB" w:rsidP="00B74390">
            <w:pPr>
              <w:spacing w:before="80" w:after="80" w:line="240" w:lineRule="atLeast"/>
              <w:ind w:left="0" w:firstLine="0"/>
              <w:rPr>
                <w:rFonts w:cs="Arial"/>
                <w:sz w:val="18"/>
                <w:szCs w:val="18"/>
              </w:rPr>
            </w:pPr>
          </w:p>
        </w:tc>
        <w:tc>
          <w:tcPr>
            <w:tcW w:w="1458" w:type="dxa"/>
            <w:vMerge/>
            <w:shd w:val="clear" w:color="auto" w:fill="auto"/>
          </w:tcPr>
          <w:p w:rsidR="00F075FB" w:rsidRPr="00C903F8" w:rsidRDefault="00F075FB" w:rsidP="00B74390">
            <w:pPr>
              <w:spacing w:before="80" w:after="80" w:line="240" w:lineRule="atLeast"/>
              <w:ind w:left="0" w:firstLine="0"/>
              <w:rPr>
                <w:rFonts w:cs="Arial"/>
                <w:sz w:val="18"/>
                <w:szCs w:val="18"/>
              </w:rPr>
            </w:pPr>
          </w:p>
        </w:tc>
        <w:tc>
          <w:tcPr>
            <w:tcW w:w="3296" w:type="dxa"/>
            <w:vMerge/>
            <w:shd w:val="clear" w:color="auto" w:fill="auto"/>
          </w:tcPr>
          <w:p w:rsidR="00F075FB" w:rsidRPr="00C903F8" w:rsidRDefault="00F075FB" w:rsidP="00B74390">
            <w:pPr>
              <w:tabs>
                <w:tab w:val="left" w:pos="1080"/>
              </w:tabs>
              <w:spacing w:before="80" w:after="80" w:line="240" w:lineRule="atLeast"/>
              <w:ind w:left="0" w:firstLine="0"/>
              <w:rPr>
                <w:rFonts w:cs="Arial"/>
                <w:noProof/>
                <w:sz w:val="18"/>
                <w:szCs w:val="18"/>
                <w:lang w:val="en-US"/>
              </w:rPr>
            </w:pPr>
          </w:p>
        </w:tc>
        <w:tc>
          <w:tcPr>
            <w:tcW w:w="6521" w:type="dxa"/>
            <w:shd w:val="clear" w:color="auto" w:fill="auto"/>
          </w:tcPr>
          <w:p w:rsidR="00F075FB" w:rsidRPr="00066459" w:rsidRDefault="00F075FB" w:rsidP="00B74390">
            <w:pPr>
              <w:spacing w:before="80" w:after="80" w:line="240" w:lineRule="atLeast"/>
              <w:ind w:left="0" w:firstLine="0"/>
              <w:rPr>
                <w:rFonts w:cs="Arial"/>
                <w:sz w:val="18"/>
                <w:szCs w:val="18"/>
                <w:lang w:val="en-US"/>
              </w:rPr>
            </w:pPr>
            <w:r w:rsidRPr="00066459">
              <w:rPr>
                <w:rFonts w:cs="Arial"/>
                <w:sz w:val="18"/>
                <w:szCs w:val="18"/>
                <w:lang w:val="en-US"/>
              </w:rPr>
              <w:t>For materials and components approved according to the International Code for the Application of Fire Test Procedures (FTP code) adopted under Resolution MSC.61(67)</w:t>
            </w:r>
            <w:r w:rsidRPr="00066459">
              <w:rPr>
                <w:rStyle w:val="FootnoteReference"/>
                <w:rFonts w:cs="Arial"/>
                <w:sz w:val="18"/>
                <w:szCs w:val="18"/>
                <w:lang w:val="en-US"/>
              </w:rPr>
              <w:footnoteReference w:id="33"/>
            </w:r>
            <w:r w:rsidRPr="00066459">
              <w:rPr>
                <w:rFonts w:cs="Arial"/>
                <w:sz w:val="18"/>
                <w:szCs w:val="18"/>
                <w:lang w:val="en-US"/>
              </w:rPr>
              <w:t xml:space="preserve">: </w:t>
            </w:r>
            <w:r>
              <w:rPr>
                <w:rFonts w:cs="Arial"/>
                <w:sz w:val="18"/>
                <w:szCs w:val="18"/>
                <w:lang w:val="en-US"/>
              </w:rPr>
              <w:t>N.R.C.</w:t>
            </w:r>
          </w:p>
        </w:tc>
        <w:tc>
          <w:tcPr>
            <w:tcW w:w="1276" w:type="dxa"/>
            <w:vMerge/>
            <w:shd w:val="clear" w:color="auto" w:fill="auto"/>
          </w:tcPr>
          <w:p w:rsidR="00F075FB" w:rsidRPr="0044336D" w:rsidRDefault="00F075FB" w:rsidP="00B74390">
            <w:pPr>
              <w:spacing w:before="80" w:after="80" w:line="240" w:lineRule="atLeast"/>
              <w:ind w:left="0" w:firstLine="0"/>
              <w:rPr>
                <w:rFonts w:cs="Arial"/>
                <w:sz w:val="18"/>
                <w:szCs w:val="18"/>
                <w:lang w:val="en-GB"/>
              </w:rPr>
            </w:pPr>
          </w:p>
        </w:tc>
      </w:tr>
      <w:tr w:rsidR="00F075FB" w:rsidRPr="00C903F8" w:rsidTr="00196FBC">
        <w:trPr>
          <w:cantSplit/>
          <w:jc w:val="center"/>
        </w:trPr>
        <w:tc>
          <w:tcPr>
            <w:tcW w:w="1342" w:type="dxa"/>
            <w:tcBorders>
              <w:top w:val="nil"/>
              <w:bottom w:val="nil"/>
            </w:tcBorders>
            <w:shd w:val="clear" w:color="auto" w:fill="auto"/>
          </w:tcPr>
          <w:p w:rsidR="00F075FB" w:rsidRPr="0044336D" w:rsidRDefault="00F075FB" w:rsidP="00B74390">
            <w:pPr>
              <w:spacing w:before="80" w:after="80" w:line="240" w:lineRule="atLeast"/>
              <w:ind w:left="0" w:firstLine="0"/>
              <w:rPr>
                <w:rFonts w:cs="Arial"/>
                <w:sz w:val="18"/>
                <w:szCs w:val="18"/>
                <w:lang w:val="en-GB"/>
              </w:rPr>
            </w:pPr>
          </w:p>
        </w:tc>
        <w:tc>
          <w:tcPr>
            <w:tcW w:w="1458" w:type="dxa"/>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(2)</w:t>
            </w:r>
          </w:p>
        </w:tc>
        <w:tc>
          <w:tcPr>
            <w:tcW w:w="3296" w:type="dxa"/>
            <w:shd w:val="clear" w:color="auto" w:fill="auto"/>
          </w:tcPr>
          <w:p w:rsidR="00F075FB" w:rsidRPr="00C903F8" w:rsidRDefault="00F075FB" w:rsidP="00B74390">
            <w:pPr>
              <w:tabs>
                <w:tab w:val="left" w:pos="1080"/>
              </w:tabs>
              <w:spacing w:before="80" w:after="80" w:line="240" w:lineRule="atLeast"/>
              <w:ind w:left="0" w:firstLine="0"/>
              <w:rPr>
                <w:rFonts w:cs="Arial"/>
                <w:sz w:val="18"/>
                <w:szCs w:val="18"/>
              </w:rPr>
            </w:pPr>
            <w:r w:rsidRPr="00C903F8">
              <w:rPr>
                <w:rFonts w:cs="Arial"/>
                <w:noProof/>
                <w:sz w:val="18"/>
                <w:szCs w:val="18"/>
              </w:rPr>
              <w:t>Design of partitions</w:t>
            </w:r>
          </w:p>
        </w:tc>
        <w:tc>
          <w:tcPr>
            <w:tcW w:w="6521" w:type="dxa"/>
            <w:shd w:val="clear" w:color="auto" w:fill="auto"/>
          </w:tcPr>
          <w:p w:rsidR="00F075FB" w:rsidRPr="00C903F8" w:rsidRDefault="00F075FB" w:rsidP="00B74390">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80" w:after="8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(3)</w:t>
            </w:r>
          </w:p>
        </w:tc>
        <w:tc>
          <w:tcPr>
            <w:tcW w:w="3296" w:type="dxa"/>
            <w:shd w:val="clear" w:color="auto" w:fill="auto"/>
          </w:tcPr>
          <w:p w:rsidR="00F075FB" w:rsidRPr="00C903F8" w:rsidRDefault="00F075FB" w:rsidP="00B74390">
            <w:pPr>
              <w:tabs>
                <w:tab w:val="left" w:pos="1080"/>
              </w:tabs>
              <w:spacing w:before="80" w:after="80" w:line="240" w:lineRule="atLeast"/>
              <w:ind w:left="0" w:firstLine="0"/>
              <w:rPr>
                <w:rFonts w:cs="Arial"/>
                <w:sz w:val="18"/>
                <w:szCs w:val="18"/>
                <w:lang w:val="en-US"/>
              </w:rPr>
            </w:pPr>
            <w:r w:rsidRPr="00C903F8">
              <w:rPr>
                <w:rFonts w:cs="Arial"/>
                <w:noProof/>
                <w:sz w:val="18"/>
                <w:szCs w:val="18"/>
                <w:lang w:val="en-US"/>
              </w:rPr>
              <w:t>Paints, lacquers and other surface treatment products as well as deck coverings used in rooms except engine rooms and store rooms shall be flame-retardant</w:t>
            </w:r>
          </w:p>
        </w:tc>
        <w:tc>
          <w:tcPr>
            <w:tcW w:w="6521" w:type="dxa"/>
            <w:shd w:val="clear" w:color="auto" w:fill="auto"/>
          </w:tcPr>
          <w:p w:rsidR="00F075FB" w:rsidRPr="00C903F8" w:rsidRDefault="00F075FB" w:rsidP="00B74390">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80" w:after="8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(4)</w:t>
            </w:r>
          </w:p>
        </w:tc>
        <w:tc>
          <w:tcPr>
            <w:tcW w:w="3296" w:type="dxa"/>
            <w:shd w:val="clear" w:color="auto" w:fill="auto"/>
          </w:tcPr>
          <w:p w:rsidR="00F075FB" w:rsidRPr="00C903F8" w:rsidRDefault="00F075FB" w:rsidP="00B74390">
            <w:pPr>
              <w:tabs>
                <w:tab w:val="left" w:pos="1080"/>
              </w:tabs>
              <w:spacing w:before="80" w:after="80" w:line="240" w:lineRule="atLeast"/>
              <w:ind w:left="0" w:firstLine="0"/>
              <w:rPr>
                <w:rFonts w:cs="Arial"/>
                <w:sz w:val="18"/>
                <w:szCs w:val="18"/>
                <w:lang w:val="en-US"/>
              </w:rPr>
            </w:pPr>
            <w:r w:rsidRPr="00C903F8">
              <w:rPr>
                <w:rFonts w:cs="Arial"/>
                <w:noProof/>
                <w:sz w:val="18"/>
                <w:szCs w:val="18"/>
                <w:lang w:val="en-US"/>
              </w:rPr>
              <w:t>Lounge ceilings and wall claddings manufactured from non-combustible material</w:t>
            </w:r>
          </w:p>
        </w:tc>
        <w:tc>
          <w:tcPr>
            <w:tcW w:w="6521" w:type="dxa"/>
            <w:shd w:val="clear" w:color="auto" w:fill="auto"/>
          </w:tcPr>
          <w:p w:rsidR="00F075FB" w:rsidRPr="00C903F8" w:rsidRDefault="00F075FB" w:rsidP="00B74390">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80" w:after="8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(5)</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Furniture and fittings in muster areas manufactured from non-combustible material</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(6)</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rPr>
            </w:pPr>
            <w:r w:rsidRPr="00C903F8">
              <w:rPr>
                <w:rFonts w:cs="Arial"/>
                <w:noProof/>
                <w:sz w:val="18"/>
                <w:szCs w:val="18"/>
              </w:rPr>
              <w:t>Tested according to Code</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C01A94">
            <w:pPr>
              <w:spacing w:before="120" w:after="120" w:line="240" w:lineRule="atLeast"/>
              <w:ind w:left="0" w:firstLine="0"/>
              <w:rPr>
                <w:rFonts w:cs="Arial"/>
                <w:sz w:val="18"/>
                <w:szCs w:val="18"/>
              </w:rPr>
            </w:pPr>
          </w:p>
        </w:tc>
        <w:tc>
          <w:tcPr>
            <w:tcW w:w="1458"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(7)</w:t>
            </w:r>
          </w:p>
        </w:tc>
        <w:tc>
          <w:tcPr>
            <w:tcW w:w="3296" w:type="dxa"/>
            <w:shd w:val="clear" w:color="auto" w:fill="auto"/>
          </w:tcPr>
          <w:p w:rsidR="00F075FB" w:rsidRPr="00C903F8" w:rsidRDefault="00F075FB" w:rsidP="00C01A94">
            <w:pPr>
              <w:tabs>
                <w:tab w:val="left" w:pos="1080"/>
              </w:tabs>
              <w:spacing w:before="120" w:after="120" w:line="240" w:lineRule="atLeast"/>
              <w:ind w:left="0" w:firstLine="0"/>
              <w:rPr>
                <w:rFonts w:cs="Arial"/>
                <w:sz w:val="18"/>
                <w:szCs w:val="18"/>
              </w:rPr>
            </w:pPr>
            <w:r w:rsidRPr="00C903F8">
              <w:rPr>
                <w:rFonts w:cs="Arial"/>
                <w:noProof/>
                <w:sz w:val="18"/>
                <w:szCs w:val="18"/>
              </w:rPr>
              <w:t>Insulation materials in lounges</w:t>
            </w:r>
          </w:p>
        </w:tc>
        <w:tc>
          <w:tcPr>
            <w:tcW w:w="6521" w:type="dxa"/>
            <w:shd w:val="clear" w:color="auto" w:fill="auto"/>
          </w:tcPr>
          <w:p w:rsidR="00F075FB" w:rsidRPr="00C903F8" w:rsidRDefault="00F075FB"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C01A94">
            <w:pPr>
              <w:spacing w:before="120" w:after="12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140" w:after="140" w:line="240" w:lineRule="atLeast"/>
              <w:ind w:left="0" w:firstLine="0"/>
              <w:rPr>
                <w:rFonts w:cs="Arial"/>
                <w:sz w:val="18"/>
                <w:szCs w:val="18"/>
                <w:lang w:val="en-US"/>
              </w:rPr>
            </w:pPr>
          </w:p>
        </w:tc>
        <w:tc>
          <w:tcPr>
            <w:tcW w:w="1458"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(9)</w:t>
            </w:r>
          </w:p>
        </w:tc>
        <w:tc>
          <w:tcPr>
            <w:tcW w:w="3296" w:type="dxa"/>
            <w:shd w:val="clear" w:color="auto" w:fill="auto"/>
          </w:tcPr>
          <w:p w:rsidR="00F075FB" w:rsidRPr="00C903F8" w:rsidRDefault="00F075FB" w:rsidP="00B74390">
            <w:pPr>
              <w:tabs>
                <w:tab w:val="left" w:pos="1080"/>
              </w:tabs>
              <w:spacing w:before="140" w:after="140" w:line="240" w:lineRule="atLeast"/>
              <w:ind w:left="0" w:firstLine="0"/>
              <w:rPr>
                <w:rFonts w:cs="Arial"/>
                <w:sz w:val="18"/>
                <w:szCs w:val="18"/>
                <w:lang w:val="en-US"/>
              </w:rPr>
            </w:pPr>
            <w:r w:rsidRPr="00C903F8">
              <w:rPr>
                <w:rFonts w:cs="Arial"/>
                <w:noProof/>
                <w:sz w:val="18"/>
                <w:szCs w:val="18"/>
                <w:lang w:val="en-US"/>
              </w:rPr>
              <w:t>Requirements for doors in partitions</w:t>
            </w:r>
          </w:p>
        </w:tc>
        <w:tc>
          <w:tcPr>
            <w:tcW w:w="6521" w:type="dxa"/>
            <w:shd w:val="clear" w:color="auto" w:fill="auto"/>
          </w:tcPr>
          <w:p w:rsidR="00F075FB" w:rsidRPr="00C903F8" w:rsidRDefault="00F075FB" w:rsidP="00B74390">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140" w:after="14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(11)</w:t>
            </w:r>
          </w:p>
        </w:tc>
        <w:tc>
          <w:tcPr>
            <w:tcW w:w="3296" w:type="dxa"/>
            <w:shd w:val="clear" w:color="auto" w:fill="auto"/>
          </w:tcPr>
          <w:p w:rsidR="00F075FB" w:rsidRPr="00C903F8" w:rsidRDefault="00F075FB" w:rsidP="00B74390">
            <w:pPr>
              <w:tabs>
                <w:tab w:val="left" w:pos="1080"/>
              </w:tabs>
              <w:spacing w:before="140" w:after="140" w:line="240" w:lineRule="atLeast"/>
              <w:ind w:left="0" w:firstLine="0"/>
              <w:rPr>
                <w:rFonts w:cs="Arial"/>
                <w:sz w:val="18"/>
                <w:szCs w:val="18"/>
              </w:rPr>
            </w:pPr>
            <w:r w:rsidRPr="00C903F8">
              <w:rPr>
                <w:rFonts w:cs="Arial"/>
                <w:sz w:val="18"/>
                <w:szCs w:val="18"/>
              </w:rPr>
              <w:t>Partitions</w:t>
            </w:r>
          </w:p>
        </w:tc>
        <w:tc>
          <w:tcPr>
            <w:tcW w:w="6521" w:type="dxa"/>
            <w:shd w:val="clear" w:color="auto" w:fill="auto"/>
          </w:tcPr>
          <w:p w:rsidR="00F075FB" w:rsidRPr="00C903F8" w:rsidRDefault="00F075FB" w:rsidP="00B74390">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140" w:after="14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(12)</w:t>
            </w:r>
          </w:p>
        </w:tc>
        <w:tc>
          <w:tcPr>
            <w:tcW w:w="3296" w:type="dxa"/>
            <w:shd w:val="clear" w:color="auto" w:fill="auto"/>
          </w:tcPr>
          <w:p w:rsidR="00F075FB" w:rsidRPr="00C903F8" w:rsidRDefault="00F075FB" w:rsidP="00B74390">
            <w:pPr>
              <w:tabs>
                <w:tab w:val="left" w:pos="1080"/>
              </w:tabs>
              <w:spacing w:before="140" w:after="140" w:line="240" w:lineRule="atLeast"/>
              <w:ind w:left="0" w:firstLine="0"/>
              <w:rPr>
                <w:rFonts w:cs="Arial"/>
                <w:sz w:val="18"/>
                <w:szCs w:val="18"/>
              </w:rPr>
            </w:pPr>
            <w:r w:rsidRPr="00C903F8">
              <w:rPr>
                <w:rFonts w:cs="Arial"/>
                <w:noProof/>
                <w:sz w:val="18"/>
                <w:szCs w:val="18"/>
              </w:rPr>
              <w:t>Draught stops</w:t>
            </w:r>
          </w:p>
        </w:tc>
        <w:tc>
          <w:tcPr>
            <w:tcW w:w="6521" w:type="dxa"/>
            <w:shd w:val="clear" w:color="auto" w:fill="auto"/>
          </w:tcPr>
          <w:p w:rsidR="00F075FB" w:rsidRPr="00C903F8" w:rsidRDefault="00F075FB" w:rsidP="00B74390">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140" w:after="14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(13)</w:t>
            </w:r>
          </w:p>
        </w:tc>
        <w:tc>
          <w:tcPr>
            <w:tcW w:w="3296" w:type="dxa"/>
            <w:shd w:val="clear" w:color="auto" w:fill="auto"/>
          </w:tcPr>
          <w:p w:rsidR="00F075FB" w:rsidRPr="00C903F8" w:rsidRDefault="00F075FB" w:rsidP="00B74390">
            <w:pPr>
              <w:tabs>
                <w:tab w:val="left" w:pos="1080"/>
              </w:tabs>
              <w:spacing w:before="140" w:after="140" w:line="240" w:lineRule="atLeast"/>
              <w:ind w:left="0" w:firstLine="0"/>
              <w:rPr>
                <w:rFonts w:cs="Arial"/>
                <w:sz w:val="18"/>
                <w:szCs w:val="18"/>
                <w:lang w:val="en-US"/>
              </w:rPr>
            </w:pPr>
            <w:r w:rsidRPr="00C903F8">
              <w:rPr>
                <w:rFonts w:cs="Arial"/>
                <w:noProof/>
                <w:sz w:val="18"/>
                <w:szCs w:val="18"/>
                <w:lang w:val="en-US"/>
              </w:rPr>
              <w:t>Stairs made of steel or another equivalent non-combustible material</w:t>
            </w:r>
          </w:p>
        </w:tc>
        <w:tc>
          <w:tcPr>
            <w:tcW w:w="6521" w:type="dxa"/>
            <w:shd w:val="clear" w:color="auto" w:fill="auto"/>
          </w:tcPr>
          <w:p w:rsidR="00F075FB" w:rsidRPr="00C903F8" w:rsidRDefault="00F075FB" w:rsidP="00B74390">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140" w:after="14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(14)</w:t>
            </w:r>
          </w:p>
        </w:tc>
        <w:tc>
          <w:tcPr>
            <w:tcW w:w="3296" w:type="dxa"/>
            <w:shd w:val="clear" w:color="auto" w:fill="auto"/>
          </w:tcPr>
          <w:p w:rsidR="00F075FB" w:rsidRPr="00C903F8" w:rsidRDefault="00F075FB" w:rsidP="00B74390">
            <w:pPr>
              <w:tabs>
                <w:tab w:val="left" w:pos="1080"/>
              </w:tabs>
              <w:spacing w:before="140" w:after="140" w:line="240" w:lineRule="atLeast"/>
              <w:ind w:left="0" w:firstLine="0"/>
              <w:rPr>
                <w:rFonts w:cs="Arial"/>
                <w:sz w:val="18"/>
                <w:szCs w:val="18"/>
                <w:lang w:val="en-US"/>
              </w:rPr>
            </w:pPr>
            <w:r w:rsidRPr="00C903F8">
              <w:rPr>
                <w:rFonts w:cs="Arial"/>
                <w:sz w:val="18"/>
                <w:szCs w:val="18"/>
                <w:lang w:val="en-US"/>
              </w:rPr>
              <w:t>Internal stairs encapsulated at all levels by walls according to (2).</w:t>
            </w:r>
          </w:p>
        </w:tc>
        <w:tc>
          <w:tcPr>
            <w:tcW w:w="6521" w:type="dxa"/>
            <w:shd w:val="clear" w:color="auto" w:fill="auto"/>
          </w:tcPr>
          <w:p w:rsidR="00F075FB" w:rsidRPr="00C903F8" w:rsidRDefault="00F075FB" w:rsidP="00B74390">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140" w:after="14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(15)</w:t>
            </w:r>
          </w:p>
        </w:tc>
        <w:tc>
          <w:tcPr>
            <w:tcW w:w="3296" w:type="dxa"/>
            <w:shd w:val="clear" w:color="auto" w:fill="auto"/>
          </w:tcPr>
          <w:p w:rsidR="00F075FB" w:rsidRPr="00C903F8" w:rsidRDefault="00F075FB" w:rsidP="00B74390">
            <w:pPr>
              <w:tabs>
                <w:tab w:val="left" w:pos="1080"/>
              </w:tabs>
              <w:spacing w:before="140" w:after="140" w:line="240" w:lineRule="atLeast"/>
              <w:ind w:left="0" w:firstLine="0"/>
              <w:rPr>
                <w:rFonts w:cs="Arial"/>
                <w:sz w:val="18"/>
                <w:szCs w:val="18"/>
                <w:lang w:val="en-US"/>
              </w:rPr>
            </w:pPr>
            <w:r w:rsidRPr="00C903F8">
              <w:rPr>
                <w:rFonts w:cs="Arial"/>
                <w:noProof/>
                <w:sz w:val="18"/>
                <w:szCs w:val="18"/>
                <w:lang w:val="en-US"/>
              </w:rPr>
              <w:t>Ventilation systems and air supply systems</w:t>
            </w:r>
          </w:p>
        </w:tc>
        <w:tc>
          <w:tcPr>
            <w:tcW w:w="6521" w:type="dxa"/>
            <w:shd w:val="clear" w:color="auto" w:fill="auto"/>
          </w:tcPr>
          <w:p w:rsidR="00F075FB" w:rsidRPr="00C903F8" w:rsidRDefault="00F075FB" w:rsidP="00B74390">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140" w:after="14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(16)</w:t>
            </w:r>
          </w:p>
        </w:tc>
        <w:tc>
          <w:tcPr>
            <w:tcW w:w="3296" w:type="dxa"/>
            <w:shd w:val="clear" w:color="auto" w:fill="auto"/>
          </w:tcPr>
          <w:p w:rsidR="00F075FB" w:rsidRPr="00C903F8" w:rsidRDefault="00F075FB" w:rsidP="00B74390">
            <w:pPr>
              <w:tabs>
                <w:tab w:val="left" w:pos="1080"/>
              </w:tabs>
              <w:spacing w:before="140" w:after="140" w:line="240" w:lineRule="atLeast"/>
              <w:ind w:left="0" w:firstLine="0"/>
              <w:rPr>
                <w:rFonts w:cs="Arial"/>
                <w:sz w:val="18"/>
                <w:szCs w:val="18"/>
                <w:lang w:val="en-US"/>
              </w:rPr>
            </w:pPr>
            <w:r w:rsidRPr="00C903F8">
              <w:rPr>
                <w:rFonts w:cs="Arial"/>
                <w:noProof/>
                <w:sz w:val="18"/>
                <w:szCs w:val="18"/>
                <w:lang w:val="en-US"/>
              </w:rPr>
              <w:t>Ventilation systems in galleys and stoves with extractors</w:t>
            </w:r>
          </w:p>
        </w:tc>
        <w:tc>
          <w:tcPr>
            <w:tcW w:w="6521" w:type="dxa"/>
            <w:shd w:val="clear" w:color="auto" w:fill="auto"/>
          </w:tcPr>
          <w:p w:rsidR="00F075FB" w:rsidRPr="00C903F8" w:rsidRDefault="00F075FB" w:rsidP="00B74390">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nil"/>
            </w:tcBorders>
            <w:shd w:val="clear" w:color="auto" w:fill="auto"/>
          </w:tcPr>
          <w:p w:rsidR="00F075FB" w:rsidRPr="00C903F8" w:rsidRDefault="00F075FB" w:rsidP="00B74390">
            <w:pPr>
              <w:spacing w:before="140" w:after="14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(17)</w:t>
            </w:r>
          </w:p>
        </w:tc>
        <w:tc>
          <w:tcPr>
            <w:tcW w:w="3296" w:type="dxa"/>
            <w:shd w:val="clear" w:color="auto" w:fill="auto"/>
          </w:tcPr>
          <w:p w:rsidR="00F075FB" w:rsidRPr="00C903F8" w:rsidRDefault="00F075FB" w:rsidP="00B74390">
            <w:pPr>
              <w:tabs>
                <w:tab w:val="left" w:pos="1080"/>
              </w:tabs>
              <w:spacing w:before="140" w:after="140" w:line="240" w:lineRule="atLeast"/>
              <w:ind w:left="0" w:firstLine="0"/>
              <w:rPr>
                <w:rFonts w:cs="Arial"/>
                <w:sz w:val="18"/>
                <w:szCs w:val="18"/>
                <w:lang w:val="en-US"/>
              </w:rPr>
            </w:pPr>
            <w:r w:rsidRPr="00C903F8">
              <w:rPr>
                <w:rFonts w:cs="Arial"/>
                <w:noProof/>
                <w:sz w:val="18"/>
                <w:szCs w:val="18"/>
                <w:lang w:val="en-US"/>
              </w:rPr>
              <w:t>Control centres, stairwells, muster areas and smoke extraction systems</w:t>
            </w:r>
          </w:p>
        </w:tc>
        <w:tc>
          <w:tcPr>
            <w:tcW w:w="6521" w:type="dxa"/>
            <w:shd w:val="clear" w:color="auto" w:fill="auto"/>
          </w:tcPr>
          <w:p w:rsidR="00F075FB" w:rsidRPr="00C903F8" w:rsidRDefault="00F075FB" w:rsidP="00B74390">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bottom w:val="nil"/>
            </w:tcBorders>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19.12</w:t>
            </w:r>
          </w:p>
        </w:tc>
        <w:tc>
          <w:tcPr>
            <w:tcW w:w="1458"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lang w:val="en-US"/>
              </w:rPr>
              <w:t>(8)(</w:t>
            </w:r>
            <w:r w:rsidRPr="00C903F8">
              <w:rPr>
                <w:rFonts w:cs="Arial"/>
                <w:sz w:val="18"/>
                <w:szCs w:val="18"/>
              </w:rPr>
              <w:t>d)</w:t>
            </w:r>
          </w:p>
        </w:tc>
        <w:tc>
          <w:tcPr>
            <w:tcW w:w="3296" w:type="dxa"/>
            <w:shd w:val="clear" w:color="auto" w:fill="auto"/>
          </w:tcPr>
          <w:p w:rsidR="00F075FB" w:rsidRPr="00C903F8" w:rsidRDefault="00F075FB" w:rsidP="00B74390">
            <w:pPr>
              <w:tabs>
                <w:tab w:val="left" w:pos="1080"/>
              </w:tabs>
              <w:spacing w:before="140" w:after="140" w:line="240" w:lineRule="atLeast"/>
              <w:ind w:left="0" w:firstLine="0"/>
              <w:rPr>
                <w:rFonts w:cs="Arial"/>
                <w:sz w:val="18"/>
                <w:szCs w:val="18"/>
                <w:lang w:val="en-US"/>
              </w:rPr>
            </w:pPr>
            <w:r w:rsidRPr="00C903F8">
              <w:rPr>
                <w:rFonts w:cs="Arial"/>
                <w:sz w:val="18"/>
                <w:szCs w:val="18"/>
                <w:lang w:val="en-US"/>
              </w:rPr>
              <w:t>Installation of fire extinguishing pumps</w:t>
            </w:r>
          </w:p>
        </w:tc>
        <w:tc>
          <w:tcPr>
            <w:tcW w:w="6521" w:type="dxa"/>
            <w:shd w:val="clear" w:color="auto" w:fill="auto"/>
          </w:tcPr>
          <w:p w:rsidR="00F075FB" w:rsidRPr="00C903F8" w:rsidRDefault="00F075FB" w:rsidP="00B74390">
            <w:pPr>
              <w:spacing w:before="140" w:after="140" w:line="240" w:lineRule="atLeast"/>
              <w:ind w:left="0" w:firstLine="0"/>
              <w:rPr>
                <w:rFonts w:cs="Arial"/>
                <w:sz w:val="18"/>
                <w:szCs w:val="18"/>
                <w:lang w:val="en-US"/>
              </w:rPr>
            </w:pPr>
            <w:r w:rsidRPr="00C903F8">
              <w:rPr>
                <w:rFonts w:cs="Arial"/>
                <w:sz w:val="18"/>
                <w:szCs w:val="18"/>
                <w:lang w:val="en-US"/>
              </w:rPr>
              <w:t xml:space="preserve">Both pumps: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tcBorders>
              <w:top w:val="nil"/>
            </w:tcBorders>
            <w:shd w:val="clear" w:color="auto" w:fill="auto"/>
          </w:tcPr>
          <w:p w:rsidR="00F075FB" w:rsidRPr="00C903F8" w:rsidRDefault="00F075FB" w:rsidP="00B74390">
            <w:pPr>
              <w:spacing w:before="140" w:after="140" w:line="240" w:lineRule="atLeast"/>
              <w:ind w:left="0" w:firstLine="0"/>
              <w:rPr>
                <w:rFonts w:cs="Arial"/>
                <w:sz w:val="18"/>
                <w:szCs w:val="18"/>
              </w:rPr>
            </w:pPr>
          </w:p>
        </w:tc>
        <w:tc>
          <w:tcPr>
            <w:tcW w:w="1458"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(9)</w:t>
            </w:r>
          </w:p>
        </w:tc>
        <w:tc>
          <w:tcPr>
            <w:tcW w:w="3296" w:type="dxa"/>
            <w:shd w:val="clear" w:color="auto" w:fill="auto"/>
          </w:tcPr>
          <w:p w:rsidR="00F075FB" w:rsidRPr="00C903F8" w:rsidRDefault="00F075FB" w:rsidP="00B74390">
            <w:pPr>
              <w:tabs>
                <w:tab w:val="left" w:pos="1080"/>
              </w:tabs>
              <w:spacing w:before="140" w:after="140" w:line="240" w:lineRule="atLeast"/>
              <w:ind w:left="0" w:firstLine="0"/>
              <w:rPr>
                <w:rFonts w:cs="Arial"/>
                <w:sz w:val="18"/>
                <w:szCs w:val="18"/>
                <w:lang w:val="en-US"/>
              </w:rPr>
            </w:pPr>
            <w:r w:rsidRPr="00C903F8">
              <w:rPr>
                <w:rFonts w:cs="Arial"/>
                <w:noProof/>
                <w:sz w:val="18"/>
                <w:szCs w:val="18"/>
                <w:lang w:val="en-US"/>
              </w:rPr>
              <w:t>Fire-extinguishing system in engine rooms</w:t>
            </w:r>
          </w:p>
        </w:tc>
        <w:tc>
          <w:tcPr>
            <w:tcW w:w="6521" w:type="dxa"/>
            <w:shd w:val="clear" w:color="auto" w:fill="auto"/>
          </w:tcPr>
          <w:p w:rsidR="00F075FB" w:rsidRPr="00C903F8" w:rsidRDefault="00F075FB" w:rsidP="00B74390">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40" w:after="140" w:line="240" w:lineRule="atLeast"/>
              <w:ind w:left="0" w:firstLine="0"/>
              <w:rPr>
                <w:rFonts w:cs="Arial"/>
                <w:sz w:val="18"/>
                <w:szCs w:val="18"/>
              </w:rPr>
            </w:pPr>
            <w:r w:rsidRPr="00C903F8">
              <w:rPr>
                <w:rFonts w:cs="Arial"/>
                <w:sz w:val="18"/>
                <w:szCs w:val="18"/>
              </w:rPr>
              <w:t>1.1.2015</w:t>
            </w:r>
          </w:p>
        </w:tc>
      </w:tr>
      <w:tr w:rsidR="00F075FB" w:rsidRPr="00C903F8" w:rsidTr="00196FBC">
        <w:trPr>
          <w:cantSplit/>
          <w:jc w:val="center"/>
        </w:trPr>
        <w:tc>
          <w:tcPr>
            <w:tcW w:w="1342" w:type="dxa"/>
            <w:tcBorders>
              <w:bottom w:val="nil"/>
            </w:tcBorders>
            <w:shd w:val="clear" w:color="auto" w:fill="auto"/>
          </w:tcPr>
          <w:p w:rsidR="00F075FB" w:rsidRPr="00C903F8" w:rsidRDefault="00F075FB" w:rsidP="00B74390">
            <w:pPr>
              <w:spacing w:before="160" w:after="160" w:line="240" w:lineRule="atLeast"/>
              <w:ind w:left="0" w:firstLine="0"/>
              <w:rPr>
                <w:rFonts w:cs="Arial"/>
                <w:sz w:val="18"/>
                <w:szCs w:val="18"/>
              </w:rPr>
            </w:pPr>
            <w:r w:rsidRPr="00C903F8">
              <w:rPr>
                <w:rFonts w:cs="Arial"/>
                <w:sz w:val="18"/>
                <w:szCs w:val="18"/>
              </w:rPr>
              <w:lastRenderedPageBreak/>
              <w:t>19.14</w:t>
            </w:r>
          </w:p>
        </w:tc>
        <w:tc>
          <w:tcPr>
            <w:tcW w:w="1458" w:type="dxa"/>
            <w:shd w:val="clear" w:color="auto" w:fill="auto"/>
          </w:tcPr>
          <w:p w:rsidR="00F075FB" w:rsidRPr="00C903F8" w:rsidRDefault="00F075FB" w:rsidP="00B74390">
            <w:pPr>
              <w:spacing w:before="160" w:after="160" w:line="240" w:lineRule="atLeast"/>
              <w:ind w:left="0" w:firstLine="0"/>
              <w:rPr>
                <w:rFonts w:cs="Arial"/>
                <w:sz w:val="18"/>
                <w:szCs w:val="18"/>
              </w:rPr>
            </w:pPr>
            <w:r w:rsidRPr="00C903F8">
              <w:rPr>
                <w:rFonts w:cs="Arial"/>
                <w:sz w:val="18"/>
                <w:szCs w:val="18"/>
              </w:rPr>
              <w:t>(1)</w:t>
            </w:r>
          </w:p>
        </w:tc>
        <w:tc>
          <w:tcPr>
            <w:tcW w:w="3296" w:type="dxa"/>
            <w:shd w:val="clear" w:color="auto" w:fill="auto"/>
          </w:tcPr>
          <w:p w:rsidR="00F075FB" w:rsidRPr="00C903F8" w:rsidRDefault="00F075FB" w:rsidP="00B74390">
            <w:pPr>
              <w:tabs>
                <w:tab w:val="left" w:pos="1080"/>
              </w:tabs>
              <w:spacing w:before="160" w:after="160" w:line="240" w:lineRule="atLeast"/>
              <w:ind w:left="0" w:firstLine="0"/>
              <w:rPr>
                <w:rFonts w:cs="Arial"/>
                <w:sz w:val="18"/>
                <w:szCs w:val="18"/>
                <w:lang w:val="en-US"/>
              </w:rPr>
            </w:pPr>
            <w:r w:rsidRPr="00C903F8">
              <w:rPr>
                <w:rFonts w:cs="Arial"/>
                <w:noProof/>
                <w:sz w:val="18"/>
                <w:szCs w:val="18"/>
                <w:lang w:val="en-US"/>
              </w:rPr>
              <w:t>Waste water collection tanks and disposal facilities</w:t>
            </w:r>
          </w:p>
        </w:tc>
        <w:tc>
          <w:tcPr>
            <w:tcW w:w="6521" w:type="dxa"/>
            <w:shd w:val="clear" w:color="auto" w:fill="auto"/>
          </w:tcPr>
          <w:p w:rsidR="00F075FB" w:rsidRPr="00C903F8" w:rsidRDefault="00F075FB" w:rsidP="00B74390">
            <w:pPr>
              <w:spacing w:before="160" w:after="160" w:line="240" w:lineRule="atLeast"/>
              <w:ind w:left="0" w:firstLine="0"/>
              <w:rPr>
                <w:rFonts w:cs="Arial"/>
                <w:sz w:val="18"/>
                <w:szCs w:val="18"/>
                <w:lang w:val="en-US"/>
              </w:rPr>
            </w:pPr>
            <w:r w:rsidRPr="00C903F8">
              <w:rPr>
                <w:rFonts w:cs="Arial"/>
                <w:noProof/>
                <w:sz w:val="18"/>
                <w:szCs w:val="18"/>
                <w:lang w:val="en-US"/>
              </w:rPr>
              <w:t>For cabin vessels with no more than 50 berths and for day-trip vessels:</w:t>
            </w:r>
            <w:r w:rsidRPr="00C903F8">
              <w:rPr>
                <w:rFonts w:cs="Arial"/>
                <w:sz w:val="18"/>
                <w:szCs w:val="18"/>
                <w:lang w:val="en-US"/>
              </w:rPr>
              <w:t xml:space="preserve">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B74390">
            <w:pPr>
              <w:spacing w:before="160" w:after="16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top w:val="nil"/>
              <w:bottom w:val="single" w:sz="4" w:space="0" w:color="auto"/>
            </w:tcBorders>
            <w:shd w:val="clear" w:color="auto" w:fill="auto"/>
          </w:tcPr>
          <w:p w:rsidR="00F075FB" w:rsidRPr="00C903F8" w:rsidRDefault="00F075FB" w:rsidP="00727AB6">
            <w:pPr>
              <w:spacing w:before="60" w:after="60" w:line="240" w:lineRule="atLeast"/>
              <w:ind w:left="0" w:firstLine="0"/>
              <w:rPr>
                <w:rFonts w:cs="Arial"/>
                <w:sz w:val="18"/>
                <w:szCs w:val="18"/>
              </w:rPr>
            </w:pPr>
          </w:p>
        </w:tc>
        <w:tc>
          <w:tcPr>
            <w:tcW w:w="1458" w:type="dxa"/>
            <w:shd w:val="clear" w:color="auto" w:fill="auto"/>
          </w:tcPr>
          <w:p w:rsidR="00F075FB" w:rsidRPr="00C903F8" w:rsidRDefault="00F075FB" w:rsidP="00727AB6">
            <w:pPr>
              <w:spacing w:before="60" w:after="60" w:line="240" w:lineRule="atLeast"/>
              <w:ind w:left="0" w:firstLine="0"/>
              <w:rPr>
                <w:rFonts w:cs="Arial"/>
                <w:sz w:val="18"/>
                <w:szCs w:val="18"/>
              </w:rPr>
            </w:pPr>
            <w:r w:rsidRPr="00C903F8">
              <w:rPr>
                <w:rFonts w:cs="Arial"/>
                <w:sz w:val="18"/>
                <w:szCs w:val="18"/>
              </w:rPr>
              <w:t>(2)</w:t>
            </w:r>
          </w:p>
        </w:tc>
        <w:tc>
          <w:tcPr>
            <w:tcW w:w="3296" w:type="dxa"/>
            <w:shd w:val="clear" w:color="auto" w:fill="auto"/>
          </w:tcPr>
          <w:p w:rsidR="00F075FB" w:rsidRPr="00C903F8" w:rsidRDefault="00F075FB" w:rsidP="00727AB6">
            <w:pPr>
              <w:tabs>
                <w:tab w:val="left" w:pos="1080"/>
              </w:tabs>
              <w:spacing w:before="60" w:after="60" w:line="240" w:lineRule="atLeast"/>
              <w:ind w:left="0" w:firstLine="0"/>
              <w:rPr>
                <w:rFonts w:cs="Arial"/>
                <w:sz w:val="18"/>
                <w:szCs w:val="18"/>
                <w:lang w:val="en-US"/>
              </w:rPr>
            </w:pPr>
            <w:r w:rsidRPr="00C903F8">
              <w:rPr>
                <w:rFonts w:cs="Arial"/>
                <w:noProof/>
                <w:sz w:val="18"/>
                <w:szCs w:val="18"/>
                <w:lang w:val="en-US"/>
              </w:rPr>
              <w:t>Requirements for waste water collection tanks</w:t>
            </w:r>
          </w:p>
        </w:tc>
        <w:tc>
          <w:tcPr>
            <w:tcW w:w="6521" w:type="dxa"/>
            <w:shd w:val="clear" w:color="auto" w:fill="auto"/>
          </w:tcPr>
          <w:p w:rsidR="00F075FB" w:rsidRPr="00C903F8" w:rsidRDefault="00F075FB" w:rsidP="00727AB6">
            <w:pPr>
              <w:spacing w:before="60" w:after="60" w:line="240" w:lineRule="atLeast"/>
              <w:ind w:left="0" w:firstLine="0"/>
              <w:rPr>
                <w:rFonts w:cs="Arial"/>
                <w:sz w:val="18"/>
                <w:szCs w:val="18"/>
                <w:lang w:val="en-US"/>
              </w:rPr>
            </w:pPr>
            <w:r w:rsidRPr="00C903F8">
              <w:rPr>
                <w:rFonts w:cs="Arial"/>
                <w:noProof/>
                <w:sz w:val="18"/>
                <w:szCs w:val="18"/>
                <w:lang w:val="en-US"/>
              </w:rPr>
              <w:t xml:space="preserve">For cabin vessels with no more than 50 berths and for day-trip vessels with no more than 50 passengers: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27AB6">
            <w:pPr>
              <w:spacing w:before="60" w:after="6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1342" w:type="dxa"/>
            <w:tcBorders>
              <w:bottom w:val="nil"/>
            </w:tcBorders>
            <w:shd w:val="clear" w:color="auto" w:fill="auto"/>
          </w:tcPr>
          <w:p w:rsidR="00F075FB" w:rsidRPr="00C903F8" w:rsidRDefault="00F075FB" w:rsidP="00727AB6">
            <w:pPr>
              <w:spacing w:before="60" w:after="60" w:line="240" w:lineRule="atLeast"/>
              <w:ind w:left="0" w:firstLine="0"/>
              <w:rPr>
                <w:rFonts w:cs="Arial"/>
                <w:sz w:val="18"/>
                <w:szCs w:val="18"/>
              </w:rPr>
            </w:pPr>
            <w:r w:rsidRPr="00C903F8">
              <w:rPr>
                <w:rFonts w:cs="Arial"/>
                <w:sz w:val="18"/>
                <w:szCs w:val="18"/>
              </w:rPr>
              <w:t>19.15</w:t>
            </w:r>
          </w:p>
        </w:tc>
        <w:tc>
          <w:tcPr>
            <w:tcW w:w="1458" w:type="dxa"/>
            <w:shd w:val="clear" w:color="auto" w:fill="auto"/>
          </w:tcPr>
          <w:p w:rsidR="00F075FB" w:rsidRPr="00C903F8" w:rsidRDefault="00F075FB" w:rsidP="00727AB6">
            <w:pPr>
              <w:spacing w:before="60" w:after="60" w:line="240" w:lineRule="atLeast"/>
              <w:ind w:left="0" w:firstLine="0"/>
              <w:rPr>
                <w:rFonts w:cs="Arial"/>
                <w:sz w:val="18"/>
                <w:szCs w:val="18"/>
              </w:rPr>
            </w:pPr>
            <w:r w:rsidRPr="00C903F8">
              <w:rPr>
                <w:rFonts w:cs="Arial"/>
                <w:sz w:val="18"/>
                <w:szCs w:val="18"/>
              </w:rPr>
              <w:t>(1)</w:t>
            </w:r>
          </w:p>
        </w:tc>
        <w:tc>
          <w:tcPr>
            <w:tcW w:w="3296" w:type="dxa"/>
            <w:shd w:val="clear" w:color="auto" w:fill="auto"/>
          </w:tcPr>
          <w:p w:rsidR="00F075FB" w:rsidRPr="00C903F8" w:rsidRDefault="00F075FB" w:rsidP="00727AB6">
            <w:pPr>
              <w:tabs>
                <w:tab w:val="left" w:pos="1080"/>
              </w:tabs>
              <w:spacing w:before="60" w:after="60" w:line="240" w:lineRule="atLeast"/>
              <w:ind w:left="0" w:firstLine="0"/>
              <w:rPr>
                <w:rFonts w:cs="Arial"/>
                <w:sz w:val="18"/>
                <w:szCs w:val="18"/>
              </w:rPr>
            </w:pPr>
            <w:r w:rsidRPr="00C903F8">
              <w:rPr>
                <w:rFonts w:cs="Arial"/>
                <w:noProof/>
                <w:sz w:val="18"/>
                <w:szCs w:val="18"/>
              </w:rPr>
              <w:t>Damage stability</w:t>
            </w:r>
          </w:p>
        </w:tc>
        <w:tc>
          <w:tcPr>
            <w:tcW w:w="6521" w:type="dxa"/>
            <w:shd w:val="clear" w:color="auto" w:fill="auto"/>
          </w:tcPr>
          <w:p w:rsidR="00F075FB" w:rsidRPr="00C903F8" w:rsidRDefault="00F075FB" w:rsidP="00727AB6">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27AB6">
            <w:pPr>
              <w:spacing w:before="60" w:after="60" w:line="240" w:lineRule="atLeast"/>
              <w:ind w:left="0" w:firstLine="0"/>
              <w:rPr>
                <w:rFonts w:cs="Arial"/>
                <w:sz w:val="18"/>
                <w:szCs w:val="18"/>
              </w:rPr>
            </w:pPr>
            <w:r w:rsidRPr="00C903F8">
              <w:rPr>
                <w:rFonts w:cs="Arial"/>
                <w:sz w:val="18"/>
                <w:szCs w:val="18"/>
              </w:rPr>
              <w:t>1.1.2045</w:t>
            </w:r>
          </w:p>
        </w:tc>
      </w:tr>
      <w:tr w:rsidR="00F075FB" w:rsidRPr="00C903F8" w:rsidTr="00196FBC">
        <w:trPr>
          <w:cantSplit/>
          <w:jc w:val="center"/>
        </w:trPr>
        <w:tc>
          <w:tcPr>
            <w:tcW w:w="6096" w:type="dxa"/>
            <w:gridSpan w:val="3"/>
            <w:shd w:val="clear" w:color="auto" w:fill="auto"/>
          </w:tcPr>
          <w:p w:rsidR="00F075FB" w:rsidRPr="00C903F8" w:rsidRDefault="00F075FB" w:rsidP="00727AB6">
            <w:pPr>
              <w:tabs>
                <w:tab w:val="left" w:pos="1080"/>
              </w:tabs>
              <w:spacing w:before="60" w:after="60" w:line="240" w:lineRule="atLeast"/>
              <w:ind w:left="0" w:firstLine="0"/>
              <w:jc w:val="center"/>
              <w:rPr>
                <w:rFonts w:cs="Arial"/>
                <w:sz w:val="18"/>
                <w:szCs w:val="18"/>
              </w:rPr>
            </w:pPr>
            <w:r w:rsidRPr="00C903F8">
              <w:rPr>
                <w:rFonts w:cs="Arial"/>
                <w:b/>
                <w:sz w:val="18"/>
                <w:szCs w:val="18"/>
              </w:rPr>
              <w:t>CHAPTER 21</w:t>
            </w:r>
          </w:p>
        </w:tc>
        <w:tc>
          <w:tcPr>
            <w:tcW w:w="6521" w:type="dxa"/>
            <w:shd w:val="clear" w:color="auto" w:fill="auto"/>
          </w:tcPr>
          <w:p w:rsidR="00F075FB" w:rsidRPr="00C903F8" w:rsidRDefault="00F075FB" w:rsidP="00727AB6">
            <w:pPr>
              <w:spacing w:before="60" w:after="60" w:line="240" w:lineRule="atLeast"/>
              <w:ind w:left="0" w:firstLine="0"/>
              <w:rPr>
                <w:rFonts w:cs="Arial"/>
                <w:sz w:val="18"/>
                <w:szCs w:val="18"/>
              </w:rPr>
            </w:pPr>
          </w:p>
        </w:tc>
        <w:tc>
          <w:tcPr>
            <w:tcW w:w="1276" w:type="dxa"/>
            <w:shd w:val="clear" w:color="auto" w:fill="auto"/>
          </w:tcPr>
          <w:p w:rsidR="00F075FB" w:rsidRPr="00C903F8" w:rsidRDefault="00F075FB" w:rsidP="00727AB6">
            <w:pPr>
              <w:spacing w:before="60" w:after="60" w:line="240" w:lineRule="atLeast"/>
              <w:ind w:left="0" w:firstLine="0"/>
              <w:rPr>
                <w:rFonts w:cs="Arial"/>
                <w:sz w:val="18"/>
                <w:szCs w:val="18"/>
              </w:rPr>
            </w:pPr>
          </w:p>
        </w:tc>
      </w:tr>
      <w:tr w:rsidR="00F075FB" w:rsidRPr="00C903F8" w:rsidTr="00A5358D">
        <w:trPr>
          <w:cantSplit/>
          <w:trHeight w:val="1156"/>
          <w:jc w:val="center"/>
        </w:trPr>
        <w:tc>
          <w:tcPr>
            <w:tcW w:w="1342" w:type="dxa"/>
            <w:tcBorders>
              <w:bottom w:val="nil"/>
            </w:tcBorders>
            <w:shd w:val="clear" w:color="auto" w:fill="auto"/>
          </w:tcPr>
          <w:p w:rsidR="00F075FB" w:rsidRPr="00C903F8" w:rsidRDefault="00F075FB" w:rsidP="00727AB6">
            <w:pPr>
              <w:spacing w:before="60" w:after="60" w:line="240" w:lineRule="atLeast"/>
              <w:ind w:left="0" w:firstLine="0"/>
              <w:rPr>
                <w:rFonts w:cs="Arial"/>
                <w:sz w:val="18"/>
                <w:szCs w:val="18"/>
              </w:rPr>
            </w:pPr>
            <w:r w:rsidRPr="00C903F8">
              <w:rPr>
                <w:rFonts w:cs="Arial"/>
                <w:sz w:val="18"/>
                <w:szCs w:val="18"/>
              </w:rPr>
              <w:t>21.01</w:t>
            </w:r>
          </w:p>
        </w:tc>
        <w:tc>
          <w:tcPr>
            <w:tcW w:w="1458" w:type="dxa"/>
            <w:shd w:val="clear" w:color="auto" w:fill="auto"/>
          </w:tcPr>
          <w:p w:rsidR="00F075FB" w:rsidRPr="00C903F8" w:rsidRDefault="00F075FB" w:rsidP="00727AB6">
            <w:pPr>
              <w:spacing w:before="60" w:after="60" w:line="240" w:lineRule="atLeast"/>
              <w:ind w:left="0" w:firstLine="0"/>
              <w:rPr>
                <w:rFonts w:cs="Arial"/>
                <w:sz w:val="18"/>
                <w:szCs w:val="18"/>
              </w:rPr>
            </w:pPr>
            <w:r w:rsidRPr="00C903F8">
              <w:rPr>
                <w:rFonts w:cs="Arial"/>
                <w:sz w:val="18"/>
                <w:szCs w:val="18"/>
              </w:rPr>
              <w:t>(2)</w:t>
            </w:r>
          </w:p>
        </w:tc>
        <w:tc>
          <w:tcPr>
            <w:tcW w:w="3296" w:type="dxa"/>
            <w:shd w:val="clear" w:color="auto" w:fill="auto"/>
          </w:tcPr>
          <w:p w:rsidR="00F075FB" w:rsidRPr="00C903F8" w:rsidRDefault="00F075FB" w:rsidP="00727AB6">
            <w:pPr>
              <w:tabs>
                <w:tab w:val="left" w:pos="1080"/>
              </w:tabs>
              <w:spacing w:before="60" w:after="60" w:line="240" w:lineRule="atLeast"/>
              <w:ind w:left="0" w:firstLine="0"/>
              <w:rPr>
                <w:rFonts w:cs="Arial"/>
                <w:sz w:val="18"/>
                <w:szCs w:val="18"/>
                <w:lang w:val="en-US"/>
              </w:rPr>
            </w:pPr>
            <w:r w:rsidRPr="00C903F8">
              <w:rPr>
                <w:rFonts w:cs="Arial"/>
                <w:noProof/>
                <w:sz w:val="18"/>
                <w:szCs w:val="18"/>
                <w:lang w:val="en-US"/>
              </w:rPr>
              <w:t xml:space="preserve">Special winches or equivalent coupling devices </w:t>
            </w:r>
            <w:r w:rsidRPr="00C903F8">
              <w:rPr>
                <w:rFonts w:cs="Arial"/>
                <w:sz w:val="18"/>
                <w:szCs w:val="18"/>
                <w:lang w:val="en-US"/>
              </w:rPr>
              <w:t>to be used for pushing purposes</w:t>
            </w:r>
          </w:p>
        </w:tc>
        <w:tc>
          <w:tcPr>
            <w:tcW w:w="6521" w:type="dxa"/>
            <w:shd w:val="clear" w:color="auto" w:fill="auto"/>
          </w:tcPr>
          <w:p w:rsidR="00F075FB" w:rsidRPr="00C903F8" w:rsidRDefault="00F075FB" w:rsidP="00727AB6">
            <w:pPr>
              <w:spacing w:before="60" w:after="60" w:line="240" w:lineRule="atLeast"/>
              <w:ind w:left="0" w:firstLine="0"/>
              <w:rPr>
                <w:rFonts w:cs="Arial"/>
                <w:sz w:val="18"/>
                <w:szCs w:val="18"/>
                <w:lang w:val="en-US"/>
              </w:rPr>
            </w:pPr>
            <w:r w:rsidRPr="00C903F8">
              <w:rPr>
                <w:rFonts w:cs="Arial"/>
                <w:noProof/>
                <w:sz w:val="18"/>
                <w:szCs w:val="18"/>
                <w:lang w:val="en-US"/>
              </w:rPr>
              <w:t>For craft certified before 1.1.1995 for pushing without proper securing equipment:</w:t>
            </w:r>
            <w:r w:rsidRPr="00C903F8">
              <w:rPr>
                <w:rFonts w:cs="Arial"/>
                <w:sz w:val="18"/>
                <w:szCs w:val="18"/>
                <w:lang w:val="en-US"/>
              </w:rPr>
              <w:t xml:space="preserve">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27AB6">
            <w:pPr>
              <w:spacing w:before="60" w:after="6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1342" w:type="dxa"/>
            <w:tcBorders>
              <w:top w:val="nil"/>
            </w:tcBorders>
            <w:shd w:val="clear" w:color="auto" w:fill="auto"/>
          </w:tcPr>
          <w:p w:rsidR="00F075FB" w:rsidRPr="00C903F8" w:rsidRDefault="00F075FB" w:rsidP="00727AB6">
            <w:pPr>
              <w:spacing w:before="60" w:after="60" w:line="240" w:lineRule="atLeast"/>
              <w:ind w:left="0" w:firstLine="0"/>
              <w:rPr>
                <w:rFonts w:cs="Arial"/>
                <w:sz w:val="18"/>
                <w:szCs w:val="18"/>
              </w:rPr>
            </w:pPr>
          </w:p>
        </w:tc>
        <w:tc>
          <w:tcPr>
            <w:tcW w:w="1458" w:type="dxa"/>
            <w:shd w:val="clear" w:color="auto" w:fill="auto"/>
          </w:tcPr>
          <w:p w:rsidR="00F075FB" w:rsidRPr="00C903F8" w:rsidRDefault="00F075FB" w:rsidP="00727AB6">
            <w:pPr>
              <w:spacing w:before="60" w:after="60" w:line="240" w:lineRule="atLeast"/>
              <w:ind w:left="0" w:firstLine="0"/>
              <w:jc w:val="left"/>
              <w:rPr>
                <w:rFonts w:cs="Arial"/>
                <w:sz w:val="18"/>
                <w:szCs w:val="18"/>
              </w:rPr>
            </w:pPr>
            <w:r w:rsidRPr="00C903F8">
              <w:rPr>
                <w:rFonts w:cs="Arial"/>
                <w:sz w:val="18"/>
                <w:szCs w:val="18"/>
              </w:rPr>
              <w:t>(3) last sentence</w:t>
            </w:r>
          </w:p>
        </w:tc>
        <w:tc>
          <w:tcPr>
            <w:tcW w:w="3296" w:type="dxa"/>
            <w:shd w:val="clear" w:color="auto" w:fill="auto"/>
          </w:tcPr>
          <w:p w:rsidR="00F075FB" w:rsidRPr="00C903F8" w:rsidRDefault="00F075FB" w:rsidP="00727AB6">
            <w:pPr>
              <w:tabs>
                <w:tab w:val="left" w:pos="1080"/>
              </w:tabs>
              <w:spacing w:before="60" w:after="60" w:line="240" w:lineRule="atLeast"/>
              <w:ind w:left="0" w:firstLine="0"/>
              <w:rPr>
                <w:rFonts w:cs="Arial"/>
                <w:sz w:val="18"/>
                <w:szCs w:val="18"/>
              </w:rPr>
            </w:pPr>
            <w:r w:rsidRPr="00C903F8">
              <w:rPr>
                <w:rFonts w:cs="Arial"/>
                <w:noProof/>
                <w:sz w:val="18"/>
                <w:szCs w:val="18"/>
              </w:rPr>
              <w:t>Requirements for drive units</w:t>
            </w:r>
          </w:p>
        </w:tc>
        <w:tc>
          <w:tcPr>
            <w:tcW w:w="6521" w:type="dxa"/>
            <w:shd w:val="clear" w:color="auto" w:fill="auto"/>
          </w:tcPr>
          <w:p w:rsidR="00F075FB" w:rsidRPr="00C903F8" w:rsidRDefault="00F075FB" w:rsidP="00727AB6">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27AB6">
            <w:pPr>
              <w:spacing w:before="60" w:after="60" w:line="240" w:lineRule="atLeast"/>
              <w:ind w:left="0" w:firstLine="0"/>
              <w:rPr>
                <w:rFonts w:cs="Arial"/>
                <w:sz w:val="18"/>
                <w:szCs w:val="18"/>
              </w:rPr>
            </w:pPr>
            <w:r w:rsidRPr="00C903F8">
              <w:rPr>
                <w:rFonts w:cs="Arial"/>
                <w:sz w:val="18"/>
                <w:szCs w:val="18"/>
              </w:rPr>
              <w:t>1.1.2035</w:t>
            </w:r>
          </w:p>
        </w:tc>
      </w:tr>
      <w:tr w:rsidR="00F075FB" w:rsidRPr="00C903F8" w:rsidTr="00196FBC">
        <w:trPr>
          <w:cantSplit/>
          <w:jc w:val="center"/>
        </w:trPr>
        <w:tc>
          <w:tcPr>
            <w:tcW w:w="6096" w:type="dxa"/>
            <w:gridSpan w:val="3"/>
            <w:shd w:val="clear" w:color="auto" w:fill="auto"/>
          </w:tcPr>
          <w:p w:rsidR="00F075FB" w:rsidRPr="00C903F8" w:rsidRDefault="00F075FB" w:rsidP="00727AB6">
            <w:pPr>
              <w:tabs>
                <w:tab w:val="left" w:pos="1080"/>
              </w:tabs>
              <w:spacing w:before="60" w:after="60" w:line="240" w:lineRule="atLeast"/>
              <w:ind w:left="0" w:firstLine="0"/>
              <w:jc w:val="center"/>
              <w:rPr>
                <w:rFonts w:cs="Arial"/>
                <w:sz w:val="18"/>
                <w:szCs w:val="18"/>
              </w:rPr>
            </w:pPr>
            <w:r w:rsidRPr="00C903F8">
              <w:rPr>
                <w:rFonts w:cs="Arial"/>
                <w:b/>
                <w:sz w:val="18"/>
                <w:szCs w:val="18"/>
              </w:rPr>
              <w:t>CHAPTER 22</w:t>
            </w:r>
          </w:p>
        </w:tc>
        <w:tc>
          <w:tcPr>
            <w:tcW w:w="6521" w:type="dxa"/>
            <w:shd w:val="clear" w:color="auto" w:fill="auto"/>
          </w:tcPr>
          <w:p w:rsidR="00F075FB" w:rsidRPr="00C903F8" w:rsidRDefault="00F075FB" w:rsidP="00727AB6">
            <w:pPr>
              <w:spacing w:before="60" w:after="60" w:line="240" w:lineRule="atLeast"/>
              <w:ind w:left="0" w:firstLine="0"/>
              <w:rPr>
                <w:rFonts w:cs="Arial"/>
                <w:sz w:val="18"/>
                <w:szCs w:val="18"/>
              </w:rPr>
            </w:pPr>
          </w:p>
        </w:tc>
        <w:tc>
          <w:tcPr>
            <w:tcW w:w="1276" w:type="dxa"/>
            <w:shd w:val="clear" w:color="auto" w:fill="auto"/>
          </w:tcPr>
          <w:p w:rsidR="00F075FB" w:rsidRPr="00C903F8" w:rsidRDefault="00F075FB" w:rsidP="00727AB6">
            <w:pPr>
              <w:spacing w:before="60" w:after="60" w:line="240" w:lineRule="atLeast"/>
              <w:ind w:left="0" w:firstLine="0"/>
              <w:rPr>
                <w:rFonts w:cs="Arial"/>
                <w:sz w:val="18"/>
                <w:szCs w:val="18"/>
              </w:rPr>
            </w:pPr>
          </w:p>
        </w:tc>
      </w:tr>
      <w:tr w:rsidR="00F075FB" w:rsidRPr="00296858" w:rsidTr="00196FBC">
        <w:trPr>
          <w:cantSplit/>
          <w:jc w:val="center"/>
        </w:trPr>
        <w:tc>
          <w:tcPr>
            <w:tcW w:w="1342" w:type="dxa"/>
            <w:tcBorders>
              <w:bottom w:val="single" w:sz="4" w:space="0" w:color="auto"/>
            </w:tcBorders>
            <w:shd w:val="clear" w:color="auto" w:fill="auto"/>
          </w:tcPr>
          <w:p w:rsidR="00F075FB" w:rsidRPr="00C903F8" w:rsidRDefault="00F075FB" w:rsidP="00727AB6">
            <w:pPr>
              <w:spacing w:before="60" w:after="60" w:line="240" w:lineRule="atLeast"/>
              <w:ind w:left="0" w:firstLine="0"/>
              <w:rPr>
                <w:rFonts w:cs="Arial"/>
                <w:sz w:val="18"/>
                <w:szCs w:val="18"/>
              </w:rPr>
            </w:pPr>
            <w:r w:rsidRPr="00C903F8">
              <w:rPr>
                <w:rFonts w:cs="Arial"/>
                <w:sz w:val="18"/>
                <w:szCs w:val="18"/>
              </w:rPr>
              <w:t>22.02</w:t>
            </w:r>
          </w:p>
        </w:tc>
        <w:tc>
          <w:tcPr>
            <w:tcW w:w="1458" w:type="dxa"/>
            <w:shd w:val="clear" w:color="auto" w:fill="auto"/>
          </w:tcPr>
          <w:p w:rsidR="00F075FB" w:rsidRPr="00C903F8" w:rsidRDefault="00F075FB" w:rsidP="00727AB6">
            <w:pPr>
              <w:spacing w:before="60" w:after="60" w:line="240" w:lineRule="atLeast"/>
              <w:ind w:left="0" w:firstLine="0"/>
              <w:rPr>
                <w:rFonts w:cs="Arial"/>
                <w:sz w:val="18"/>
                <w:szCs w:val="18"/>
              </w:rPr>
            </w:pPr>
            <w:r w:rsidRPr="00C903F8">
              <w:rPr>
                <w:rFonts w:cs="Arial"/>
                <w:sz w:val="18"/>
                <w:szCs w:val="18"/>
              </w:rPr>
              <w:t>(3)</w:t>
            </w:r>
          </w:p>
        </w:tc>
        <w:tc>
          <w:tcPr>
            <w:tcW w:w="3296" w:type="dxa"/>
            <w:shd w:val="clear" w:color="auto" w:fill="auto"/>
          </w:tcPr>
          <w:p w:rsidR="00F075FB" w:rsidRPr="00C903F8" w:rsidRDefault="00F075FB" w:rsidP="00727AB6">
            <w:pPr>
              <w:tabs>
                <w:tab w:val="left" w:pos="1080"/>
              </w:tabs>
              <w:spacing w:before="60" w:after="60" w:line="240" w:lineRule="atLeast"/>
              <w:ind w:left="0" w:firstLine="0"/>
              <w:rPr>
                <w:rFonts w:cs="Arial"/>
                <w:sz w:val="18"/>
                <w:szCs w:val="18"/>
              </w:rPr>
            </w:pPr>
            <w:r w:rsidRPr="00C903F8">
              <w:rPr>
                <w:rFonts w:cs="Arial"/>
                <w:noProof/>
                <w:sz w:val="18"/>
                <w:szCs w:val="18"/>
              </w:rPr>
              <w:t>Additional requirements</w:t>
            </w:r>
          </w:p>
        </w:tc>
        <w:tc>
          <w:tcPr>
            <w:tcW w:w="6521" w:type="dxa"/>
            <w:shd w:val="clear" w:color="auto" w:fill="auto"/>
          </w:tcPr>
          <w:p w:rsidR="00F075FB" w:rsidRPr="00C903F8" w:rsidRDefault="00F075FB" w:rsidP="00727AB6">
            <w:pPr>
              <w:spacing w:before="60" w:after="60" w:line="240" w:lineRule="atLeast"/>
              <w:ind w:left="0" w:firstLine="0"/>
              <w:rPr>
                <w:rFonts w:cs="Arial"/>
                <w:sz w:val="18"/>
                <w:szCs w:val="18"/>
                <w:lang w:val="en-US"/>
              </w:rPr>
            </w:pPr>
            <w:r w:rsidRPr="00C903F8">
              <w:rPr>
                <w:rFonts w:cs="Arial"/>
                <w:sz w:val="18"/>
                <w:szCs w:val="18"/>
                <w:lang w:val="en-US"/>
              </w:rPr>
              <w:t>The same transitional provisions as those indicated under the relevant article apply.</w:t>
            </w:r>
          </w:p>
        </w:tc>
        <w:tc>
          <w:tcPr>
            <w:tcW w:w="1276" w:type="dxa"/>
            <w:shd w:val="clear" w:color="auto" w:fill="auto"/>
          </w:tcPr>
          <w:p w:rsidR="00F075FB" w:rsidRPr="00C903F8" w:rsidRDefault="00F075FB" w:rsidP="00727AB6">
            <w:pPr>
              <w:spacing w:before="60" w:after="60" w:line="240" w:lineRule="atLeast"/>
              <w:ind w:left="0" w:firstLine="0"/>
              <w:rPr>
                <w:rFonts w:cs="Arial"/>
                <w:sz w:val="18"/>
                <w:szCs w:val="18"/>
                <w:lang w:val="en-US"/>
              </w:rPr>
            </w:pPr>
          </w:p>
        </w:tc>
      </w:tr>
      <w:tr w:rsidR="00F075FB" w:rsidRPr="00C903F8" w:rsidTr="00196FBC">
        <w:trPr>
          <w:cantSplit/>
          <w:jc w:val="center"/>
        </w:trPr>
        <w:tc>
          <w:tcPr>
            <w:tcW w:w="6096" w:type="dxa"/>
            <w:gridSpan w:val="3"/>
            <w:shd w:val="clear" w:color="auto" w:fill="auto"/>
          </w:tcPr>
          <w:p w:rsidR="00F075FB" w:rsidRPr="00C903F8" w:rsidRDefault="00F075FB" w:rsidP="00727AB6">
            <w:pPr>
              <w:tabs>
                <w:tab w:val="left" w:pos="1080"/>
              </w:tabs>
              <w:spacing w:before="60" w:after="60" w:line="240" w:lineRule="atLeast"/>
              <w:ind w:left="0" w:firstLine="0"/>
              <w:jc w:val="center"/>
              <w:rPr>
                <w:rFonts w:cs="Arial"/>
                <w:sz w:val="18"/>
                <w:szCs w:val="18"/>
              </w:rPr>
            </w:pPr>
            <w:r w:rsidRPr="00C903F8">
              <w:rPr>
                <w:rFonts w:cs="Arial"/>
                <w:b/>
                <w:sz w:val="18"/>
                <w:szCs w:val="18"/>
              </w:rPr>
              <w:t>CHAPTER 25</w:t>
            </w:r>
          </w:p>
        </w:tc>
        <w:tc>
          <w:tcPr>
            <w:tcW w:w="6521" w:type="dxa"/>
            <w:shd w:val="clear" w:color="auto" w:fill="auto"/>
          </w:tcPr>
          <w:p w:rsidR="00F075FB" w:rsidRPr="00C903F8" w:rsidRDefault="00F075FB" w:rsidP="00727AB6">
            <w:pPr>
              <w:spacing w:before="60" w:after="60" w:line="240" w:lineRule="atLeast"/>
              <w:ind w:left="0" w:firstLine="0"/>
              <w:rPr>
                <w:rFonts w:cs="Arial"/>
                <w:sz w:val="18"/>
                <w:szCs w:val="18"/>
              </w:rPr>
            </w:pPr>
          </w:p>
        </w:tc>
        <w:tc>
          <w:tcPr>
            <w:tcW w:w="1276" w:type="dxa"/>
            <w:shd w:val="clear" w:color="auto" w:fill="auto"/>
          </w:tcPr>
          <w:p w:rsidR="00F075FB" w:rsidRPr="00C903F8" w:rsidRDefault="00F075FB" w:rsidP="00727AB6">
            <w:pPr>
              <w:spacing w:before="60" w:after="60" w:line="240" w:lineRule="atLeast"/>
              <w:ind w:left="0" w:firstLine="0"/>
              <w:rPr>
                <w:rFonts w:cs="Arial"/>
                <w:sz w:val="18"/>
                <w:szCs w:val="18"/>
              </w:rPr>
            </w:pPr>
          </w:p>
        </w:tc>
      </w:tr>
      <w:tr w:rsidR="00F075FB" w:rsidRPr="00C903F8" w:rsidTr="0018359A">
        <w:trPr>
          <w:cantSplit/>
          <w:jc w:val="center"/>
        </w:trPr>
        <w:tc>
          <w:tcPr>
            <w:tcW w:w="1342" w:type="dxa"/>
            <w:tcBorders>
              <w:bottom w:val="nil"/>
            </w:tcBorders>
            <w:shd w:val="clear" w:color="auto" w:fill="auto"/>
          </w:tcPr>
          <w:p w:rsidR="00F075FB" w:rsidRPr="00C903F8" w:rsidRDefault="00F075FB" w:rsidP="00727AB6">
            <w:pPr>
              <w:spacing w:before="60" w:after="60" w:line="240" w:lineRule="atLeast"/>
              <w:ind w:left="0" w:firstLine="0"/>
              <w:rPr>
                <w:rFonts w:cs="Arial"/>
                <w:sz w:val="18"/>
                <w:szCs w:val="18"/>
              </w:rPr>
            </w:pPr>
            <w:r w:rsidRPr="00C903F8">
              <w:rPr>
                <w:rFonts w:cs="Arial"/>
                <w:sz w:val="18"/>
                <w:szCs w:val="18"/>
              </w:rPr>
              <w:t>25.01</w:t>
            </w:r>
          </w:p>
        </w:tc>
        <w:tc>
          <w:tcPr>
            <w:tcW w:w="1458" w:type="dxa"/>
            <w:tcBorders>
              <w:bottom w:val="nil"/>
            </w:tcBorders>
            <w:shd w:val="clear" w:color="auto" w:fill="auto"/>
          </w:tcPr>
          <w:p w:rsidR="00F075FB" w:rsidRPr="00C903F8" w:rsidRDefault="00F075FB" w:rsidP="00727AB6">
            <w:pPr>
              <w:spacing w:before="60" w:after="60" w:line="240" w:lineRule="atLeast"/>
              <w:ind w:left="0" w:firstLine="0"/>
              <w:rPr>
                <w:rFonts w:cs="Arial"/>
                <w:sz w:val="18"/>
                <w:szCs w:val="18"/>
              </w:rPr>
            </w:pPr>
          </w:p>
        </w:tc>
        <w:tc>
          <w:tcPr>
            <w:tcW w:w="3296" w:type="dxa"/>
            <w:shd w:val="clear" w:color="auto" w:fill="auto"/>
          </w:tcPr>
          <w:p w:rsidR="00F075FB" w:rsidRPr="00C903F8" w:rsidRDefault="00F075FB" w:rsidP="00727AB6">
            <w:pPr>
              <w:tabs>
                <w:tab w:val="left" w:pos="1080"/>
              </w:tabs>
              <w:spacing w:before="60" w:after="60" w:line="240" w:lineRule="atLeast"/>
              <w:ind w:left="0" w:firstLine="0"/>
              <w:jc w:val="left"/>
              <w:rPr>
                <w:rFonts w:cs="Arial"/>
                <w:sz w:val="18"/>
                <w:szCs w:val="18"/>
              </w:rPr>
            </w:pPr>
            <w:r w:rsidRPr="00C903F8">
              <w:rPr>
                <w:rFonts w:cs="Arial"/>
                <w:sz w:val="18"/>
                <w:szCs w:val="18"/>
              </w:rPr>
              <w:t>Application of Articles 7.01(2), 8.05(13) and 8.10</w:t>
            </w:r>
          </w:p>
        </w:tc>
        <w:tc>
          <w:tcPr>
            <w:tcW w:w="6521" w:type="dxa"/>
            <w:shd w:val="clear" w:color="auto" w:fill="auto"/>
          </w:tcPr>
          <w:p w:rsidR="00F075FB" w:rsidRPr="00C903F8" w:rsidRDefault="00F075FB" w:rsidP="00727AB6">
            <w:pPr>
              <w:spacing w:before="60" w:after="60" w:line="240" w:lineRule="atLeast"/>
              <w:ind w:left="0" w:firstLine="0"/>
              <w:rPr>
                <w:rFonts w:cs="Arial"/>
                <w:sz w:val="18"/>
                <w:szCs w:val="18"/>
                <w:lang w:val="en-US"/>
              </w:rPr>
            </w:pPr>
            <w:r w:rsidRPr="00C903F8">
              <w:rPr>
                <w:sz w:val="18"/>
                <w:lang w:val="en-US"/>
              </w:rPr>
              <w:t xml:space="preserve">For seagoing vessels not intended for the carriage of substances referred to in the ADN and the keel of which was laid before 1.10.1987: </w:t>
            </w:r>
            <w:r>
              <w:rPr>
                <w:sz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27AB6">
            <w:pPr>
              <w:spacing w:before="60" w:after="60" w:line="240" w:lineRule="atLeast"/>
              <w:ind w:left="0" w:firstLine="0"/>
              <w:rPr>
                <w:rFonts w:cs="Arial"/>
                <w:sz w:val="18"/>
                <w:szCs w:val="18"/>
              </w:rPr>
            </w:pPr>
            <w:r w:rsidRPr="00C903F8">
              <w:rPr>
                <w:rFonts w:cs="Arial"/>
                <w:sz w:val="18"/>
                <w:szCs w:val="18"/>
              </w:rPr>
              <w:t>1.1.2015</w:t>
            </w:r>
          </w:p>
        </w:tc>
      </w:tr>
      <w:tr w:rsidR="00F075FB" w:rsidRPr="00C903F8" w:rsidTr="0018359A">
        <w:trPr>
          <w:cantSplit/>
          <w:jc w:val="center"/>
        </w:trPr>
        <w:tc>
          <w:tcPr>
            <w:tcW w:w="1342" w:type="dxa"/>
            <w:tcBorders>
              <w:top w:val="nil"/>
            </w:tcBorders>
            <w:shd w:val="clear" w:color="auto" w:fill="auto"/>
          </w:tcPr>
          <w:p w:rsidR="00F075FB" w:rsidRPr="00C903F8" w:rsidRDefault="00F075FB" w:rsidP="00727AB6">
            <w:pPr>
              <w:spacing w:before="60" w:after="60" w:line="240" w:lineRule="atLeast"/>
              <w:ind w:left="0" w:firstLine="0"/>
              <w:rPr>
                <w:rFonts w:cs="Arial"/>
                <w:sz w:val="18"/>
                <w:szCs w:val="18"/>
              </w:rPr>
            </w:pPr>
          </w:p>
        </w:tc>
        <w:tc>
          <w:tcPr>
            <w:tcW w:w="1458" w:type="dxa"/>
            <w:tcBorders>
              <w:top w:val="nil"/>
            </w:tcBorders>
            <w:shd w:val="clear" w:color="auto" w:fill="auto"/>
          </w:tcPr>
          <w:p w:rsidR="00F075FB" w:rsidRPr="00C903F8" w:rsidRDefault="00F075FB" w:rsidP="00727AB6">
            <w:pPr>
              <w:spacing w:before="60" w:after="60" w:line="240" w:lineRule="atLeast"/>
              <w:ind w:left="0" w:firstLine="0"/>
              <w:rPr>
                <w:rFonts w:cs="Arial"/>
                <w:sz w:val="18"/>
                <w:szCs w:val="18"/>
              </w:rPr>
            </w:pPr>
          </w:p>
        </w:tc>
        <w:tc>
          <w:tcPr>
            <w:tcW w:w="3296" w:type="dxa"/>
            <w:shd w:val="clear" w:color="auto" w:fill="auto"/>
          </w:tcPr>
          <w:p w:rsidR="00F075FB" w:rsidRPr="00C903F8" w:rsidRDefault="00F075FB" w:rsidP="00727AB6">
            <w:pPr>
              <w:tabs>
                <w:tab w:val="left" w:pos="1080"/>
              </w:tabs>
              <w:spacing w:before="60" w:after="60" w:line="240" w:lineRule="atLeast"/>
              <w:ind w:left="0" w:firstLine="0"/>
              <w:rPr>
                <w:rFonts w:cs="Arial"/>
                <w:sz w:val="18"/>
                <w:szCs w:val="18"/>
              </w:rPr>
            </w:pPr>
            <w:r w:rsidRPr="00C903F8">
              <w:rPr>
                <w:rFonts w:cs="Arial"/>
                <w:sz w:val="18"/>
                <w:szCs w:val="18"/>
              </w:rPr>
              <w:t>Application of Article 8.09(2)</w:t>
            </w:r>
          </w:p>
        </w:tc>
        <w:tc>
          <w:tcPr>
            <w:tcW w:w="6521" w:type="dxa"/>
            <w:shd w:val="clear" w:color="auto" w:fill="auto"/>
          </w:tcPr>
          <w:p w:rsidR="00F075FB" w:rsidRPr="00C903F8" w:rsidRDefault="00F075FB" w:rsidP="00727AB6">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27AB6">
            <w:pPr>
              <w:spacing w:before="60" w:after="60" w:line="240" w:lineRule="atLeast"/>
              <w:ind w:left="0" w:firstLine="0"/>
              <w:rPr>
                <w:rFonts w:cs="Arial"/>
                <w:sz w:val="18"/>
                <w:szCs w:val="18"/>
              </w:rPr>
            </w:pPr>
            <w:r w:rsidRPr="00C903F8">
              <w:rPr>
                <w:rFonts w:cs="Arial"/>
                <w:sz w:val="18"/>
                <w:szCs w:val="18"/>
              </w:rPr>
              <w:t>1.1.2010</w:t>
            </w:r>
          </w:p>
        </w:tc>
      </w:tr>
      <w:tr w:rsidR="00F075FB" w:rsidRPr="00C903F8" w:rsidTr="00196FBC">
        <w:trPr>
          <w:cantSplit/>
          <w:jc w:val="center"/>
        </w:trPr>
        <w:tc>
          <w:tcPr>
            <w:tcW w:w="6096" w:type="dxa"/>
            <w:gridSpan w:val="3"/>
            <w:shd w:val="clear" w:color="auto" w:fill="auto"/>
          </w:tcPr>
          <w:p w:rsidR="00F075FB" w:rsidRPr="00C903F8" w:rsidRDefault="00F075FB" w:rsidP="00727AB6">
            <w:pPr>
              <w:tabs>
                <w:tab w:val="left" w:pos="1080"/>
              </w:tabs>
              <w:spacing w:before="60" w:after="60" w:line="240" w:lineRule="atLeast"/>
              <w:ind w:left="0" w:firstLine="0"/>
              <w:jc w:val="center"/>
              <w:rPr>
                <w:rFonts w:cs="Arial"/>
                <w:sz w:val="18"/>
                <w:szCs w:val="18"/>
              </w:rPr>
            </w:pPr>
            <w:r w:rsidRPr="00C903F8">
              <w:rPr>
                <w:rFonts w:cs="Arial"/>
                <w:b/>
                <w:sz w:val="18"/>
                <w:szCs w:val="18"/>
              </w:rPr>
              <w:t>CHAPTER 26</w:t>
            </w:r>
          </w:p>
        </w:tc>
        <w:tc>
          <w:tcPr>
            <w:tcW w:w="6521" w:type="dxa"/>
            <w:shd w:val="clear" w:color="auto" w:fill="auto"/>
          </w:tcPr>
          <w:p w:rsidR="00F075FB" w:rsidRPr="00C903F8" w:rsidRDefault="00F075FB" w:rsidP="00727AB6">
            <w:pPr>
              <w:spacing w:before="60" w:after="60" w:line="240" w:lineRule="atLeast"/>
              <w:ind w:left="0" w:firstLine="0"/>
              <w:rPr>
                <w:rFonts w:cs="Arial"/>
                <w:sz w:val="18"/>
                <w:szCs w:val="18"/>
              </w:rPr>
            </w:pPr>
          </w:p>
        </w:tc>
        <w:tc>
          <w:tcPr>
            <w:tcW w:w="1276" w:type="dxa"/>
            <w:shd w:val="clear" w:color="auto" w:fill="auto"/>
          </w:tcPr>
          <w:p w:rsidR="00F075FB" w:rsidRPr="00C903F8" w:rsidRDefault="00F075FB" w:rsidP="00727AB6">
            <w:pPr>
              <w:spacing w:before="60" w:after="60" w:line="240" w:lineRule="atLeast"/>
              <w:ind w:left="0" w:firstLine="0"/>
              <w:rPr>
                <w:rFonts w:cs="Arial"/>
                <w:sz w:val="18"/>
                <w:szCs w:val="18"/>
              </w:rPr>
            </w:pPr>
          </w:p>
        </w:tc>
      </w:tr>
      <w:tr w:rsidR="00F075FB" w:rsidRPr="00C903F8" w:rsidTr="00196FBC">
        <w:trPr>
          <w:cantSplit/>
          <w:jc w:val="center"/>
        </w:trPr>
        <w:tc>
          <w:tcPr>
            <w:tcW w:w="1342" w:type="dxa"/>
            <w:shd w:val="clear" w:color="auto" w:fill="auto"/>
          </w:tcPr>
          <w:p w:rsidR="00F075FB" w:rsidRPr="00C903F8" w:rsidRDefault="00F075FB" w:rsidP="00727AB6">
            <w:pPr>
              <w:spacing w:before="60" w:after="60" w:line="240" w:lineRule="atLeast"/>
              <w:ind w:left="0" w:firstLine="0"/>
              <w:jc w:val="left"/>
              <w:rPr>
                <w:rFonts w:cs="Arial"/>
                <w:sz w:val="18"/>
                <w:szCs w:val="18"/>
              </w:rPr>
            </w:pPr>
            <w:r w:rsidRPr="00C903F8">
              <w:rPr>
                <w:rFonts w:cs="Arial"/>
                <w:sz w:val="18"/>
                <w:szCs w:val="18"/>
              </w:rPr>
              <w:t>26.01</w:t>
            </w:r>
          </w:p>
        </w:tc>
        <w:tc>
          <w:tcPr>
            <w:tcW w:w="1458" w:type="dxa"/>
            <w:shd w:val="clear" w:color="auto" w:fill="auto"/>
          </w:tcPr>
          <w:p w:rsidR="00F075FB" w:rsidRPr="00C903F8" w:rsidRDefault="00F075FB" w:rsidP="00727AB6">
            <w:pPr>
              <w:spacing w:before="60" w:after="60" w:line="240" w:lineRule="atLeast"/>
              <w:ind w:left="0" w:firstLine="0"/>
              <w:rPr>
                <w:rFonts w:cs="Arial"/>
                <w:sz w:val="18"/>
                <w:szCs w:val="18"/>
              </w:rPr>
            </w:pPr>
          </w:p>
        </w:tc>
        <w:tc>
          <w:tcPr>
            <w:tcW w:w="3296" w:type="dxa"/>
            <w:shd w:val="clear" w:color="auto" w:fill="auto"/>
          </w:tcPr>
          <w:p w:rsidR="00F075FB" w:rsidRPr="00C903F8" w:rsidRDefault="00F075FB" w:rsidP="00727AB6">
            <w:pPr>
              <w:tabs>
                <w:tab w:val="left" w:pos="1080"/>
              </w:tabs>
              <w:spacing w:before="60" w:after="60" w:line="240" w:lineRule="atLeast"/>
              <w:ind w:left="0" w:firstLine="0"/>
              <w:rPr>
                <w:rFonts w:cs="Arial"/>
                <w:sz w:val="18"/>
                <w:szCs w:val="18"/>
              </w:rPr>
            </w:pPr>
          </w:p>
        </w:tc>
        <w:tc>
          <w:tcPr>
            <w:tcW w:w="6521" w:type="dxa"/>
            <w:shd w:val="clear" w:color="auto" w:fill="auto"/>
          </w:tcPr>
          <w:p w:rsidR="00F075FB" w:rsidRPr="00C903F8" w:rsidRDefault="00F075FB" w:rsidP="00727AB6">
            <w:pPr>
              <w:spacing w:before="60" w:after="60" w:line="240" w:lineRule="atLeast"/>
              <w:ind w:left="0" w:firstLine="0"/>
              <w:rPr>
                <w:rFonts w:cs="Arial"/>
                <w:sz w:val="18"/>
                <w:szCs w:val="18"/>
                <w:lang w:val="en-US"/>
              </w:rPr>
            </w:pPr>
            <w:r w:rsidRPr="00C903F8">
              <w:rPr>
                <w:rFonts w:cs="Arial"/>
                <w:sz w:val="18"/>
                <w:szCs w:val="18"/>
                <w:lang w:val="en-US"/>
              </w:rPr>
              <w:t xml:space="preserve">For recreational craft built before 1.1.1995: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F075FB" w:rsidRPr="00C903F8" w:rsidRDefault="00F075FB" w:rsidP="00727AB6">
            <w:pPr>
              <w:spacing w:before="60" w:after="60" w:line="240" w:lineRule="atLeast"/>
              <w:ind w:left="0" w:firstLine="0"/>
              <w:rPr>
                <w:rFonts w:cs="Arial"/>
                <w:sz w:val="18"/>
                <w:szCs w:val="18"/>
              </w:rPr>
            </w:pPr>
            <w:r w:rsidRPr="00C903F8">
              <w:rPr>
                <w:rFonts w:cs="Arial"/>
                <w:sz w:val="18"/>
                <w:szCs w:val="18"/>
              </w:rPr>
              <w:t>1.1.2035</w:t>
            </w:r>
          </w:p>
        </w:tc>
      </w:tr>
    </w:tbl>
    <w:p w:rsidR="00451B55" w:rsidRPr="00C903F8" w:rsidRDefault="00451B55" w:rsidP="001E2331">
      <w:pPr>
        <w:spacing w:line="240" w:lineRule="atLeast"/>
        <w:ind w:left="567" w:hanging="567"/>
      </w:pPr>
    </w:p>
    <w:p w:rsidR="00451B55" w:rsidRPr="00C903F8" w:rsidRDefault="00451B55" w:rsidP="001E2331">
      <w:pPr>
        <w:spacing w:line="240" w:lineRule="atLeast"/>
        <w:ind w:left="567" w:hanging="567"/>
      </w:pPr>
    </w:p>
    <w:p w:rsidR="005034E6" w:rsidRDefault="005034E6" w:rsidP="001E2331">
      <w:pPr>
        <w:spacing w:line="240" w:lineRule="atLeast"/>
        <w:ind w:left="567" w:hanging="567"/>
        <w:sectPr w:rsidR="005034E6" w:rsidSect="001E2331">
          <w:headerReference w:type="default" r:id="rId30"/>
          <w:headerReference w:type="first" r:id="rId31"/>
          <w:footnotePr>
            <w:numRestart w:val="eachPage"/>
          </w:footnotePr>
          <w:pgSz w:w="16838" w:h="11906" w:orient="landscape" w:code="9"/>
          <w:pgMar w:top="1418" w:right="1418" w:bottom="1418" w:left="1418" w:header="709" w:footer="709" w:gutter="0"/>
          <w:cols w:space="709"/>
          <w:titlePg/>
          <w:docGrid w:linePitch="272"/>
        </w:sectPr>
      </w:pPr>
    </w:p>
    <w:p w:rsidR="00451B55" w:rsidRPr="00C903F8" w:rsidRDefault="00451B55" w:rsidP="001E2331">
      <w:pPr>
        <w:spacing w:line="240" w:lineRule="atLeast"/>
        <w:ind w:left="567" w:hanging="567"/>
      </w:pPr>
    </w:p>
    <w:p w:rsidR="001E2331" w:rsidRPr="00C903F8" w:rsidRDefault="001E2331" w:rsidP="00A455C7">
      <w:pPr>
        <w:pStyle w:val="ES-Titre3"/>
        <w:rPr>
          <w:lang w:val="en-US"/>
        </w:rPr>
      </w:pPr>
      <w:bookmarkStart w:id="291" w:name="_Toc491854277"/>
      <w:r w:rsidRPr="00C903F8">
        <w:rPr>
          <w:lang w:val="en-US"/>
        </w:rPr>
        <w:t>Article 32.03</w:t>
      </w:r>
      <w:bookmarkEnd w:id="291"/>
    </w:p>
    <w:p w:rsidR="001E2331" w:rsidRPr="00C903F8" w:rsidRDefault="00C903F8" w:rsidP="00A455C7">
      <w:pPr>
        <w:pStyle w:val="ES-Titre3a"/>
        <w:rPr>
          <w:lang w:val="en-US"/>
        </w:rPr>
      </w:pPr>
      <w:bookmarkStart w:id="292" w:name="_Toc421775887"/>
      <w:bookmarkStart w:id="293" w:name="_Toc491854278"/>
      <w:r w:rsidRPr="00C903F8">
        <w:rPr>
          <w:lang w:val="en-US"/>
        </w:rPr>
        <w:t>Additional transitional provisions for craft which were laid down on or before 1 April 1976</w:t>
      </w:r>
      <w:bookmarkEnd w:id="292"/>
      <w:bookmarkEnd w:id="293"/>
    </w:p>
    <w:p w:rsidR="001E2331" w:rsidRPr="00C903F8" w:rsidRDefault="001E2331" w:rsidP="001E2331">
      <w:pPr>
        <w:spacing w:line="240" w:lineRule="atLeast"/>
        <w:ind w:left="567" w:hanging="567"/>
        <w:rPr>
          <w:lang w:val="en-US"/>
        </w:rPr>
      </w:pPr>
    </w:p>
    <w:p w:rsidR="00C903F8" w:rsidRPr="00C903F8" w:rsidRDefault="00C903F8" w:rsidP="00C903F8">
      <w:pPr>
        <w:spacing w:line="240" w:lineRule="atLeast"/>
        <w:ind w:left="567" w:hanging="567"/>
        <w:rPr>
          <w:lang w:val="en-US"/>
        </w:rPr>
      </w:pPr>
      <w:r w:rsidRPr="00C903F8">
        <w:rPr>
          <w:lang w:val="en-US"/>
        </w:rPr>
        <w:t>1.</w:t>
      </w:r>
      <w:r w:rsidRPr="00C903F8">
        <w:rPr>
          <w:lang w:val="en-US"/>
        </w:rPr>
        <w:tab/>
        <w:t>In addition to the transitional provisions of the Article 32.02, the following provisions may be applied to craft which were laid down on or before 1</w:t>
      </w:r>
      <w:r w:rsidR="00831E50">
        <w:rPr>
          <w:lang w:val="en-US"/>
        </w:rPr>
        <w:t> </w:t>
      </w:r>
      <w:r w:rsidRPr="00C903F8">
        <w:rPr>
          <w:lang w:val="en-US"/>
        </w:rPr>
        <w:t>April</w:t>
      </w:r>
      <w:r w:rsidR="00831E50">
        <w:rPr>
          <w:lang w:val="en-US"/>
        </w:rPr>
        <w:t> </w:t>
      </w:r>
      <w:r w:rsidRPr="00C903F8">
        <w:rPr>
          <w:lang w:val="en-US"/>
        </w:rPr>
        <w:t>1976.</w:t>
      </w:r>
    </w:p>
    <w:p w:rsidR="00C903F8" w:rsidRPr="00C903F8" w:rsidRDefault="00C903F8" w:rsidP="00C903F8">
      <w:pPr>
        <w:spacing w:line="240" w:lineRule="atLeast"/>
        <w:ind w:left="567" w:hanging="567"/>
        <w:rPr>
          <w:rFonts w:cs="Arial"/>
          <w:sz w:val="18"/>
          <w:szCs w:val="18"/>
          <w:lang w:val="en-US"/>
        </w:rPr>
      </w:pPr>
    </w:p>
    <w:p w:rsidR="00C903F8" w:rsidRPr="00C903F8" w:rsidRDefault="00C903F8" w:rsidP="00C903F8">
      <w:pPr>
        <w:spacing w:line="240" w:lineRule="atLeast"/>
        <w:ind w:left="567" w:hanging="567"/>
        <w:rPr>
          <w:lang w:val="en-US"/>
        </w:rPr>
      </w:pPr>
      <w:r w:rsidRPr="00C903F8">
        <w:rPr>
          <w:lang w:val="en-US"/>
        </w:rPr>
        <w:t>2.</w:t>
      </w:r>
      <w:r w:rsidRPr="00C903F8">
        <w:rPr>
          <w:lang w:val="en-US"/>
        </w:rPr>
        <w:tab/>
        <w:t>The following definitions apply in the table below:</w:t>
      </w:r>
    </w:p>
    <w:p w:rsidR="00C903F8" w:rsidRPr="00C903F8" w:rsidRDefault="00C903F8" w:rsidP="00C903F8">
      <w:pPr>
        <w:spacing w:line="240" w:lineRule="atLeast"/>
        <w:ind w:left="567" w:hanging="567"/>
        <w:rPr>
          <w:lang w:val="en-US"/>
        </w:rPr>
      </w:pPr>
    </w:p>
    <w:p w:rsidR="00C903F8" w:rsidRPr="00C903F8" w:rsidRDefault="00C903F8" w:rsidP="00C903F8">
      <w:pPr>
        <w:spacing w:line="240" w:lineRule="atLeast"/>
        <w:ind w:left="567" w:firstLine="0"/>
        <w:rPr>
          <w:lang w:val="en-US"/>
        </w:rPr>
      </w:pPr>
      <w:r w:rsidRPr="00C903F8">
        <w:rPr>
          <w:lang w:val="en-US"/>
        </w:rPr>
        <w:t>‘</w:t>
      </w:r>
      <w:r w:rsidR="00AD3E75">
        <w:rPr>
          <w:lang w:val="en-US"/>
        </w:rPr>
        <w:t>R.C.</w:t>
      </w:r>
      <w:r w:rsidRPr="00C903F8">
        <w:rPr>
          <w:lang w:val="en-US"/>
        </w:rPr>
        <w:t xml:space="preserve">’: the provision does not apply to craft which are already operating, unless the parts concerned are replaced or converted, i.e. the provision applies only to the </w:t>
      </w:r>
      <w:r w:rsidRPr="00C903F8">
        <w:rPr>
          <w:u w:val="single"/>
          <w:lang w:val="en-US"/>
        </w:rPr>
        <w:t>R</w:t>
      </w:r>
      <w:r w:rsidRPr="00C903F8">
        <w:rPr>
          <w:lang w:val="en-US"/>
        </w:rPr>
        <w:t xml:space="preserve">eplacement or </w:t>
      </w:r>
      <w:r w:rsidRPr="00C903F8">
        <w:rPr>
          <w:u w:val="single"/>
          <w:lang w:val="en-US"/>
        </w:rPr>
        <w:t>C</w:t>
      </w:r>
      <w:r w:rsidRPr="00C903F8">
        <w:rPr>
          <w:lang w:val="en-US"/>
        </w:rPr>
        <w:t xml:space="preserve">onversion of the parts or areas concerned. If existing parts are replaced by replacement parts using the same technology and of the same type, this does not constitute replacement ‘R’ within the meaning of the transitional provisions </w:t>
      </w:r>
    </w:p>
    <w:p w:rsidR="00C903F8" w:rsidRPr="00C903F8" w:rsidRDefault="00C903F8" w:rsidP="00C903F8">
      <w:pPr>
        <w:spacing w:line="240" w:lineRule="atLeast"/>
        <w:ind w:left="567" w:firstLine="0"/>
        <w:rPr>
          <w:lang w:val="en-US"/>
        </w:rPr>
      </w:pPr>
    </w:p>
    <w:p w:rsidR="00C903F8" w:rsidRPr="00C903F8" w:rsidRDefault="00C903F8" w:rsidP="00C903F8">
      <w:pPr>
        <w:tabs>
          <w:tab w:val="left" w:pos="4678"/>
        </w:tabs>
        <w:spacing w:line="240" w:lineRule="atLeast"/>
        <w:ind w:left="567" w:firstLine="0"/>
        <w:rPr>
          <w:lang w:val="en-US"/>
        </w:rPr>
      </w:pPr>
      <w:r w:rsidRPr="00C903F8">
        <w:rPr>
          <w:spacing w:val="-4"/>
          <w:lang w:val="en-US"/>
        </w:rPr>
        <w:t xml:space="preserve">‘Issue or </w:t>
      </w:r>
      <w:r w:rsidRPr="00C903F8">
        <w:rPr>
          <w:lang w:val="en-US"/>
        </w:rPr>
        <w:t>renewal of the inland navigation vessel certificate’: the provision must be complied with the time of the next issue or renewal of the inland navigation vessel certificate after the date indicated.</w:t>
      </w:r>
    </w:p>
    <w:p w:rsidR="00E67DA4" w:rsidRPr="00C903F8" w:rsidRDefault="00E67DA4">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6521"/>
        <w:gridCol w:w="1276"/>
      </w:tblGrid>
      <w:tr w:rsidR="00E67DA4" w:rsidRPr="00C903F8" w:rsidTr="00E67DA4">
        <w:trPr>
          <w:cantSplit/>
          <w:tblHeader/>
          <w:jc w:val="center"/>
        </w:trPr>
        <w:tc>
          <w:tcPr>
            <w:tcW w:w="2800" w:type="dxa"/>
            <w:gridSpan w:val="2"/>
            <w:tcBorders>
              <w:bottom w:val="single" w:sz="4" w:space="0" w:color="auto"/>
            </w:tcBorders>
            <w:shd w:val="clear" w:color="auto" w:fill="auto"/>
          </w:tcPr>
          <w:p w:rsidR="00E67DA4" w:rsidRPr="00C903F8" w:rsidRDefault="00E67DA4" w:rsidP="00C01A94">
            <w:pPr>
              <w:spacing w:before="60" w:after="60" w:line="240" w:lineRule="atLeast"/>
              <w:ind w:left="0" w:firstLine="0"/>
              <w:jc w:val="center"/>
              <w:rPr>
                <w:rFonts w:cs="Arial"/>
                <w:sz w:val="18"/>
                <w:szCs w:val="18"/>
              </w:rPr>
            </w:pPr>
            <w:r w:rsidRPr="00C903F8">
              <w:rPr>
                <w:rFonts w:cs="Arial"/>
                <w:i/>
                <w:sz w:val="18"/>
                <w:szCs w:val="18"/>
              </w:rPr>
              <w:t>Article and paragraph</w:t>
            </w:r>
          </w:p>
        </w:tc>
        <w:tc>
          <w:tcPr>
            <w:tcW w:w="3296" w:type="dxa"/>
            <w:shd w:val="clear" w:color="auto" w:fill="auto"/>
          </w:tcPr>
          <w:p w:rsidR="00E67DA4" w:rsidRPr="00C903F8" w:rsidRDefault="00E67DA4" w:rsidP="00C01A94">
            <w:pPr>
              <w:spacing w:before="60" w:after="60" w:line="240" w:lineRule="atLeast"/>
              <w:ind w:left="0" w:firstLine="0"/>
              <w:jc w:val="center"/>
              <w:rPr>
                <w:rFonts w:cs="Arial"/>
                <w:sz w:val="18"/>
                <w:szCs w:val="18"/>
              </w:rPr>
            </w:pPr>
            <w:r w:rsidRPr="00C903F8">
              <w:rPr>
                <w:rFonts w:cs="Arial"/>
                <w:i/>
                <w:sz w:val="18"/>
                <w:szCs w:val="18"/>
              </w:rPr>
              <w:t>Content</w:t>
            </w:r>
          </w:p>
        </w:tc>
        <w:tc>
          <w:tcPr>
            <w:tcW w:w="7797" w:type="dxa"/>
            <w:gridSpan w:val="2"/>
            <w:shd w:val="clear" w:color="auto" w:fill="auto"/>
          </w:tcPr>
          <w:p w:rsidR="00E67DA4" w:rsidRPr="00C903F8" w:rsidRDefault="00E67DA4" w:rsidP="00C01A94">
            <w:pPr>
              <w:spacing w:before="60" w:after="60" w:line="240" w:lineRule="atLeast"/>
              <w:ind w:left="0" w:firstLine="0"/>
              <w:jc w:val="center"/>
              <w:rPr>
                <w:rFonts w:cs="Arial"/>
                <w:sz w:val="18"/>
                <w:szCs w:val="18"/>
              </w:rPr>
            </w:pPr>
            <w:r w:rsidRPr="00C903F8">
              <w:rPr>
                <w:rFonts w:cs="Arial"/>
                <w:i/>
                <w:sz w:val="18"/>
                <w:szCs w:val="18"/>
              </w:rPr>
              <w:t>Deadline and comments</w:t>
            </w:r>
          </w:p>
        </w:tc>
      </w:tr>
      <w:tr w:rsidR="00E67DA4" w:rsidRPr="00C903F8" w:rsidTr="00E67DA4">
        <w:trPr>
          <w:cantSplit/>
          <w:jc w:val="center"/>
        </w:trPr>
        <w:tc>
          <w:tcPr>
            <w:tcW w:w="6096" w:type="dxa"/>
            <w:gridSpan w:val="3"/>
            <w:shd w:val="clear" w:color="auto" w:fill="auto"/>
          </w:tcPr>
          <w:p w:rsidR="00E67DA4" w:rsidRPr="00C903F8" w:rsidRDefault="00E67DA4" w:rsidP="00C01A94">
            <w:pPr>
              <w:spacing w:before="120" w:after="120" w:line="240" w:lineRule="atLeast"/>
              <w:ind w:left="0" w:firstLine="0"/>
              <w:jc w:val="center"/>
              <w:rPr>
                <w:rFonts w:cs="Arial"/>
                <w:b/>
                <w:sz w:val="18"/>
                <w:szCs w:val="18"/>
              </w:rPr>
            </w:pPr>
            <w:r w:rsidRPr="00C903F8">
              <w:rPr>
                <w:rFonts w:cs="Arial"/>
                <w:b/>
                <w:sz w:val="18"/>
                <w:szCs w:val="18"/>
              </w:rPr>
              <w:t>CHAPTER 3</w:t>
            </w:r>
          </w:p>
        </w:tc>
        <w:tc>
          <w:tcPr>
            <w:tcW w:w="6521" w:type="dxa"/>
            <w:shd w:val="clear" w:color="auto" w:fill="auto"/>
          </w:tcPr>
          <w:p w:rsidR="00E67DA4" w:rsidRPr="00C903F8" w:rsidRDefault="00E67DA4" w:rsidP="00C01A94">
            <w:pPr>
              <w:spacing w:before="120" w:after="120" w:line="240" w:lineRule="atLeast"/>
              <w:ind w:left="0" w:firstLine="0"/>
              <w:rPr>
                <w:rFonts w:cs="Arial"/>
                <w:sz w:val="18"/>
                <w:szCs w:val="18"/>
              </w:rPr>
            </w:pPr>
          </w:p>
        </w:tc>
        <w:tc>
          <w:tcPr>
            <w:tcW w:w="1276" w:type="dxa"/>
            <w:shd w:val="clear" w:color="auto" w:fill="auto"/>
          </w:tcPr>
          <w:p w:rsidR="00E67DA4" w:rsidRPr="00C903F8" w:rsidRDefault="00E67DA4" w:rsidP="00C01A94">
            <w:pPr>
              <w:spacing w:before="120" w:after="120" w:line="240" w:lineRule="atLeast"/>
              <w:ind w:left="0" w:firstLine="0"/>
              <w:rPr>
                <w:rFonts w:cs="Arial"/>
                <w:sz w:val="18"/>
                <w:szCs w:val="18"/>
              </w:rPr>
            </w:pPr>
          </w:p>
        </w:tc>
      </w:tr>
      <w:tr w:rsidR="00E67DA4" w:rsidRPr="00C903F8" w:rsidTr="00E67DA4">
        <w:trPr>
          <w:cantSplit/>
          <w:jc w:val="center"/>
        </w:trPr>
        <w:tc>
          <w:tcPr>
            <w:tcW w:w="1342" w:type="dxa"/>
            <w:tcBorders>
              <w:bottom w:val="nil"/>
            </w:tcBorders>
            <w:shd w:val="clear" w:color="auto" w:fill="auto"/>
          </w:tcPr>
          <w:p w:rsidR="00E67DA4" w:rsidRPr="00C903F8" w:rsidRDefault="00E67DA4" w:rsidP="00C01A94">
            <w:pPr>
              <w:spacing w:before="120" w:after="120" w:line="240" w:lineRule="atLeast"/>
              <w:ind w:left="0" w:firstLine="0"/>
              <w:rPr>
                <w:rFonts w:cs="Arial"/>
                <w:sz w:val="18"/>
                <w:szCs w:val="18"/>
              </w:rPr>
            </w:pPr>
            <w:r w:rsidRPr="00C903F8">
              <w:rPr>
                <w:rFonts w:cs="Arial"/>
                <w:sz w:val="18"/>
                <w:szCs w:val="18"/>
              </w:rPr>
              <w:t>3.04</w:t>
            </w:r>
          </w:p>
        </w:tc>
        <w:tc>
          <w:tcPr>
            <w:tcW w:w="1458" w:type="dxa"/>
            <w:shd w:val="clear" w:color="auto" w:fill="auto"/>
          </w:tcPr>
          <w:p w:rsidR="00E67DA4" w:rsidRPr="00C903F8" w:rsidRDefault="00E67DA4" w:rsidP="00C01A94">
            <w:pPr>
              <w:spacing w:before="120" w:after="120" w:line="240" w:lineRule="atLeast"/>
              <w:ind w:left="0" w:firstLine="0"/>
              <w:rPr>
                <w:rFonts w:cs="Arial"/>
                <w:sz w:val="18"/>
                <w:szCs w:val="18"/>
              </w:rPr>
            </w:pPr>
            <w:r w:rsidRPr="00C903F8">
              <w:rPr>
                <w:rFonts w:cs="Arial"/>
                <w:sz w:val="18"/>
                <w:szCs w:val="18"/>
              </w:rPr>
              <w:t>(2)</w:t>
            </w:r>
          </w:p>
        </w:tc>
        <w:tc>
          <w:tcPr>
            <w:tcW w:w="3296" w:type="dxa"/>
            <w:shd w:val="clear" w:color="auto" w:fill="auto"/>
          </w:tcPr>
          <w:p w:rsidR="00E67DA4" w:rsidRPr="00C903F8" w:rsidRDefault="00E67DA4" w:rsidP="00C01A94">
            <w:pPr>
              <w:spacing w:before="120" w:after="120" w:line="240" w:lineRule="atLeast"/>
              <w:ind w:left="0" w:firstLine="0"/>
              <w:rPr>
                <w:rFonts w:cs="Arial"/>
                <w:sz w:val="18"/>
                <w:szCs w:val="18"/>
                <w:lang w:val="en-US"/>
              </w:rPr>
            </w:pPr>
            <w:r w:rsidRPr="00C903F8">
              <w:rPr>
                <w:rFonts w:cs="Arial"/>
                <w:noProof/>
                <w:sz w:val="18"/>
                <w:szCs w:val="18"/>
                <w:lang w:val="en-US"/>
              </w:rPr>
              <w:t xml:space="preserve">Common surfaces of bunkers and accommodation and passenger </w:t>
            </w:r>
            <w:r w:rsidR="00D857F8" w:rsidRPr="00C903F8">
              <w:rPr>
                <w:rFonts w:cs="Arial"/>
                <w:noProof/>
                <w:sz w:val="18"/>
                <w:szCs w:val="18"/>
                <w:lang w:val="en-US"/>
              </w:rPr>
              <w:t>rooms</w:t>
            </w:r>
          </w:p>
        </w:tc>
        <w:tc>
          <w:tcPr>
            <w:tcW w:w="6521" w:type="dxa"/>
            <w:shd w:val="clear" w:color="auto" w:fill="auto"/>
          </w:tcPr>
          <w:p w:rsidR="00E67DA4" w:rsidRPr="00C903F8" w:rsidRDefault="00AD3E75" w:rsidP="00C01A94">
            <w:pPr>
              <w:spacing w:before="120" w:after="120" w:line="240" w:lineRule="atLeast"/>
              <w:ind w:left="0" w:firstLine="0"/>
              <w:rPr>
                <w:rFonts w:cs="Arial"/>
                <w:sz w:val="18"/>
                <w:szCs w:val="18"/>
                <w:lang w:val="en-US"/>
              </w:rPr>
            </w:pPr>
            <w:r>
              <w:rPr>
                <w:rFonts w:cs="Arial"/>
                <w:sz w:val="18"/>
                <w:szCs w:val="18"/>
                <w:lang w:val="en-US"/>
              </w:rPr>
              <w:t>R.C.</w:t>
            </w:r>
            <w:r w:rsidR="00E67DA4" w:rsidRPr="00C903F8">
              <w:rPr>
                <w:rFonts w:cs="Arial"/>
                <w:sz w:val="18"/>
                <w:szCs w:val="18"/>
                <w:lang w:val="en-US"/>
              </w:rPr>
              <w:t>, at the latest on renewal of the inland navigation vessel certificate after</w:t>
            </w:r>
          </w:p>
        </w:tc>
        <w:tc>
          <w:tcPr>
            <w:tcW w:w="1276" w:type="dxa"/>
            <w:shd w:val="clear" w:color="auto" w:fill="auto"/>
          </w:tcPr>
          <w:p w:rsidR="00E67DA4" w:rsidRPr="00C903F8" w:rsidRDefault="00E67DA4" w:rsidP="00C01A94">
            <w:pPr>
              <w:spacing w:before="120" w:after="120" w:line="240" w:lineRule="atLeast"/>
              <w:ind w:left="0" w:firstLine="0"/>
              <w:rPr>
                <w:rFonts w:cs="Arial"/>
                <w:sz w:val="18"/>
                <w:szCs w:val="18"/>
              </w:rPr>
            </w:pPr>
            <w:r w:rsidRPr="00C903F8">
              <w:rPr>
                <w:rFonts w:cs="Arial"/>
                <w:sz w:val="18"/>
                <w:szCs w:val="18"/>
              </w:rPr>
              <w:t>1.1.2035</w:t>
            </w:r>
          </w:p>
        </w:tc>
      </w:tr>
      <w:tr w:rsidR="00E67DA4" w:rsidRPr="00C903F8" w:rsidTr="00E67DA4">
        <w:trPr>
          <w:cantSplit/>
          <w:jc w:val="center"/>
        </w:trPr>
        <w:tc>
          <w:tcPr>
            <w:tcW w:w="1342" w:type="dxa"/>
            <w:tcBorders>
              <w:top w:val="nil"/>
            </w:tcBorders>
            <w:shd w:val="clear" w:color="auto" w:fill="auto"/>
          </w:tcPr>
          <w:p w:rsidR="00E67DA4" w:rsidRPr="00C903F8" w:rsidRDefault="00E67DA4" w:rsidP="00C01A94">
            <w:pPr>
              <w:spacing w:before="120" w:after="120" w:line="240" w:lineRule="atLeast"/>
              <w:ind w:left="0" w:firstLine="0"/>
              <w:rPr>
                <w:rFonts w:cs="Arial"/>
                <w:sz w:val="18"/>
                <w:szCs w:val="18"/>
              </w:rPr>
            </w:pPr>
          </w:p>
        </w:tc>
        <w:tc>
          <w:tcPr>
            <w:tcW w:w="1458" w:type="dxa"/>
            <w:shd w:val="clear" w:color="auto" w:fill="auto"/>
          </w:tcPr>
          <w:p w:rsidR="00E67DA4" w:rsidRPr="00C903F8" w:rsidRDefault="000E732C" w:rsidP="00C01A94">
            <w:pPr>
              <w:spacing w:before="120" w:after="120" w:line="240" w:lineRule="atLeast"/>
              <w:ind w:left="0" w:firstLine="0"/>
              <w:rPr>
                <w:rFonts w:cs="Arial"/>
                <w:sz w:val="18"/>
                <w:szCs w:val="18"/>
              </w:rPr>
            </w:pPr>
            <w:r w:rsidRPr="00C903F8">
              <w:rPr>
                <w:rFonts w:cs="Arial"/>
                <w:sz w:val="18"/>
                <w:szCs w:val="18"/>
              </w:rPr>
              <w:t>(7)</w:t>
            </w:r>
            <w:r w:rsidRPr="00B60926">
              <w:rPr>
                <w:rFonts w:eastAsia="Calibri"/>
                <w:color w:val="000000"/>
                <w:sz w:val="18"/>
                <w:vertAlign w:val="superscript"/>
                <w:lang w:val="en-GB" w:eastAsia="en-GB" w:bidi="en-GB"/>
              </w:rPr>
              <w:footnoteReference w:id="34"/>
            </w:r>
          </w:p>
        </w:tc>
        <w:tc>
          <w:tcPr>
            <w:tcW w:w="3296" w:type="dxa"/>
            <w:shd w:val="clear" w:color="auto" w:fill="auto"/>
          </w:tcPr>
          <w:p w:rsidR="00E67DA4" w:rsidRPr="00C903F8" w:rsidRDefault="00E67DA4" w:rsidP="00C01A94">
            <w:pPr>
              <w:spacing w:before="120" w:after="120" w:line="240" w:lineRule="atLeast"/>
              <w:ind w:left="0" w:firstLine="0"/>
              <w:rPr>
                <w:rFonts w:cs="Arial"/>
                <w:sz w:val="18"/>
                <w:szCs w:val="18"/>
              </w:rPr>
            </w:pPr>
            <w:r w:rsidRPr="00C903F8">
              <w:rPr>
                <w:rFonts w:cs="Arial"/>
                <w:noProof/>
                <w:sz w:val="18"/>
                <w:szCs w:val="18"/>
              </w:rPr>
              <w:t>Maximum permissible sound pressure level</w:t>
            </w:r>
          </w:p>
        </w:tc>
        <w:tc>
          <w:tcPr>
            <w:tcW w:w="6521" w:type="dxa"/>
            <w:shd w:val="clear" w:color="auto" w:fill="auto"/>
          </w:tcPr>
          <w:p w:rsidR="00E67DA4" w:rsidRPr="00C903F8" w:rsidRDefault="00E67DA4" w:rsidP="00C01A94">
            <w:pPr>
              <w:spacing w:before="120" w:after="120" w:line="240" w:lineRule="atLeast"/>
              <w:ind w:left="0" w:firstLine="0"/>
              <w:rPr>
                <w:rFonts w:cs="Arial"/>
                <w:sz w:val="18"/>
                <w:szCs w:val="18"/>
                <w:lang w:val="en-US"/>
              </w:rPr>
            </w:pPr>
            <w:r w:rsidRPr="00C903F8">
              <w:rPr>
                <w:rFonts w:cs="Arial"/>
                <w:sz w:val="18"/>
                <w:szCs w:val="18"/>
                <w:lang w:val="en-US"/>
              </w:rPr>
              <w:t>Renewal of the inland navigation vessel certificate after</w:t>
            </w:r>
          </w:p>
        </w:tc>
        <w:tc>
          <w:tcPr>
            <w:tcW w:w="1276" w:type="dxa"/>
            <w:shd w:val="clear" w:color="auto" w:fill="auto"/>
          </w:tcPr>
          <w:p w:rsidR="00E67DA4" w:rsidRPr="00C903F8" w:rsidRDefault="00E67DA4" w:rsidP="00C01A94">
            <w:pPr>
              <w:spacing w:before="120" w:after="120" w:line="240" w:lineRule="atLeast"/>
              <w:ind w:left="0" w:firstLine="0"/>
              <w:rPr>
                <w:rFonts w:cs="Arial"/>
                <w:sz w:val="18"/>
                <w:szCs w:val="18"/>
              </w:rPr>
            </w:pPr>
            <w:r w:rsidRPr="00C903F8">
              <w:rPr>
                <w:rFonts w:cs="Arial"/>
                <w:sz w:val="18"/>
                <w:szCs w:val="18"/>
              </w:rPr>
              <w:t>1.1.2020</w:t>
            </w:r>
          </w:p>
        </w:tc>
      </w:tr>
      <w:tr w:rsidR="00E67DA4" w:rsidRPr="00C903F8" w:rsidTr="00E67DA4">
        <w:trPr>
          <w:cantSplit/>
          <w:jc w:val="center"/>
        </w:trPr>
        <w:tc>
          <w:tcPr>
            <w:tcW w:w="6096" w:type="dxa"/>
            <w:gridSpan w:val="3"/>
            <w:shd w:val="clear" w:color="auto" w:fill="auto"/>
          </w:tcPr>
          <w:p w:rsidR="00E67DA4" w:rsidRPr="00C903F8" w:rsidRDefault="00E67DA4" w:rsidP="00C01A94">
            <w:pPr>
              <w:spacing w:before="120" w:after="120" w:line="240" w:lineRule="atLeast"/>
              <w:ind w:left="0" w:firstLine="0"/>
              <w:jc w:val="center"/>
              <w:rPr>
                <w:rFonts w:cs="Arial"/>
                <w:sz w:val="18"/>
                <w:szCs w:val="18"/>
              </w:rPr>
            </w:pPr>
            <w:r w:rsidRPr="00C903F8">
              <w:rPr>
                <w:rFonts w:cs="Arial"/>
                <w:b/>
                <w:sz w:val="18"/>
                <w:szCs w:val="18"/>
              </w:rPr>
              <w:t>CHAPTER 4</w:t>
            </w:r>
          </w:p>
        </w:tc>
        <w:tc>
          <w:tcPr>
            <w:tcW w:w="6521" w:type="dxa"/>
            <w:shd w:val="clear" w:color="auto" w:fill="auto"/>
          </w:tcPr>
          <w:p w:rsidR="00E67DA4" w:rsidRPr="00C903F8" w:rsidRDefault="00E67DA4" w:rsidP="00C01A94">
            <w:pPr>
              <w:spacing w:before="120" w:after="120" w:line="240" w:lineRule="atLeast"/>
              <w:ind w:left="0" w:firstLine="0"/>
              <w:rPr>
                <w:rFonts w:cs="Arial"/>
                <w:b/>
                <w:sz w:val="18"/>
                <w:szCs w:val="18"/>
              </w:rPr>
            </w:pPr>
          </w:p>
        </w:tc>
        <w:tc>
          <w:tcPr>
            <w:tcW w:w="1276" w:type="dxa"/>
            <w:shd w:val="clear" w:color="auto" w:fill="auto"/>
          </w:tcPr>
          <w:p w:rsidR="00E67DA4" w:rsidRPr="00C903F8" w:rsidRDefault="00E67DA4" w:rsidP="00C01A94">
            <w:pPr>
              <w:spacing w:before="120" w:after="120" w:line="240" w:lineRule="atLeast"/>
              <w:ind w:left="0" w:firstLine="0"/>
              <w:rPr>
                <w:rFonts w:cs="Arial"/>
                <w:sz w:val="18"/>
                <w:szCs w:val="18"/>
              </w:rPr>
            </w:pPr>
          </w:p>
        </w:tc>
      </w:tr>
      <w:tr w:rsidR="00E67DA4" w:rsidRPr="00C903F8" w:rsidTr="00E67DA4">
        <w:trPr>
          <w:cantSplit/>
          <w:jc w:val="center"/>
        </w:trPr>
        <w:tc>
          <w:tcPr>
            <w:tcW w:w="1342" w:type="dxa"/>
            <w:shd w:val="clear" w:color="auto" w:fill="auto"/>
          </w:tcPr>
          <w:p w:rsidR="00E67DA4" w:rsidRPr="00C903F8" w:rsidRDefault="00E67DA4" w:rsidP="00C01A94">
            <w:pPr>
              <w:spacing w:before="120" w:after="120" w:line="240" w:lineRule="atLeast"/>
              <w:ind w:left="0" w:firstLine="0"/>
              <w:rPr>
                <w:rFonts w:cs="Arial"/>
                <w:sz w:val="18"/>
                <w:szCs w:val="18"/>
              </w:rPr>
            </w:pPr>
            <w:r w:rsidRPr="00C903F8">
              <w:rPr>
                <w:rFonts w:cs="Arial"/>
                <w:sz w:val="18"/>
                <w:szCs w:val="18"/>
              </w:rPr>
              <w:t>4.01</w:t>
            </w:r>
          </w:p>
        </w:tc>
        <w:tc>
          <w:tcPr>
            <w:tcW w:w="1458" w:type="dxa"/>
            <w:shd w:val="clear" w:color="auto" w:fill="auto"/>
          </w:tcPr>
          <w:p w:rsidR="00E67DA4" w:rsidRPr="00C903F8" w:rsidRDefault="00B956B5" w:rsidP="00C01A94">
            <w:pPr>
              <w:spacing w:before="120" w:after="120" w:line="240" w:lineRule="atLeast"/>
              <w:ind w:left="0" w:firstLine="0"/>
              <w:rPr>
                <w:rFonts w:cs="Arial"/>
                <w:sz w:val="18"/>
                <w:szCs w:val="18"/>
              </w:rPr>
            </w:pPr>
            <w:r w:rsidRPr="00C903F8">
              <w:rPr>
                <w:rFonts w:cs="Arial"/>
                <w:sz w:val="18"/>
                <w:szCs w:val="18"/>
              </w:rPr>
              <w:t>(1)</w:t>
            </w:r>
          </w:p>
        </w:tc>
        <w:tc>
          <w:tcPr>
            <w:tcW w:w="3296" w:type="dxa"/>
            <w:shd w:val="clear" w:color="auto" w:fill="auto"/>
          </w:tcPr>
          <w:p w:rsidR="00E67DA4" w:rsidRPr="00C903F8" w:rsidRDefault="00E67DA4" w:rsidP="00C01A94">
            <w:pPr>
              <w:spacing w:before="120" w:after="120" w:line="240" w:lineRule="atLeast"/>
              <w:ind w:left="0" w:firstLine="0"/>
              <w:rPr>
                <w:rFonts w:cs="Arial"/>
                <w:sz w:val="18"/>
                <w:szCs w:val="18"/>
                <w:lang w:val="en-US"/>
              </w:rPr>
            </w:pPr>
            <w:r w:rsidRPr="00C903F8">
              <w:rPr>
                <w:rFonts w:cs="Arial"/>
                <w:noProof/>
                <w:sz w:val="18"/>
                <w:szCs w:val="18"/>
                <w:lang w:val="en-US"/>
              </w:rPr>
              <w:t>Safety clearance</w:t>
            </w:r>
          </w:p>
        </w:tc>
        <w:tc>
          <w:tcPr>
            <w:tcW w:w="6521" w:type="dxa"/>
            <w:shd w:val="clear" w:color="auto" w:fill="auto"/>
          </w:tcPr>
          <w:p w:rsidR="00E67DA4" w:rsidRPr="00C903F8" w:rsidRDefault="00E67DA4" w:rsidP="00C01A94">
            <w:pPr>
              <w:spacing w:before="120" w:after="120" w:line="240" w:lineRule="atLeast"/>
              <w:ind w:left="0" w:firstLine="0"/>
              <w:rPr>
                <w:rFonts w:cs="Arial"/>
                <w:sz w:val="18"/>
                <w:szCs w:val="18"/>
                <w:lang w:val="en-US"/>
              </w:rPr>
            </w:pPr>
            <w:r w:rsidRPr="00C903F8">
              <w:rPr>
                <w:rFonts w:cs="Arial"/>
                <w:sz w:val="18"/>
                <w:szCs w:val="18"/>
                <w:lang w:val="en-US"/>
              </w:rPr>
              <w:t>Renewal of the inland navigation vessel certificate after</w:t>
            </w:r>
          </w:p>
        </w:tc>
        <w:tc>
          <w:tcPr>
            <w:tcW w:w="1276" w:type="dxa"/>
            <w:shd w:val="clear" w:color="auto" w:fill="auto"/>
          </w:tcPr>
          <w:p w:rsidR="00E67DA4" w:rsidRPr="00C903F8" w:rsidRDefault="00E67DA4" w:rsidP="00C01A94">
            <w:pPr>
              <w:spacing w:before="120" w:after="120" w:line="240" w:lineRule="atLeast"/>
              <w:ind w:left="0" w:firstLine="0"/>
              <w:rPr>
                <w:rFonts w:cs="Arial"/>
                <w:sz w:val="18"/>
                <w:szCs w:val="18"/>
              </w:rPr>
            </w:pPr>
            <w:r w:rsidRPr="00C903F8">
              <w:rPr>
                <w:rFonts w:cs="Arial"/>
                <w:sz w:val="18"/>
                <w:szCs w:val="18"/>
              </w:rPr>
              <w:t>1.1.2015</w:t>
            </w:r>
          </w:p>
        </w:tc>
      </w:tr>
      <w:tr w:rsidR="00E67DA4" w:rsidRPr="00C903F8" w:rsidTr="00E67DA4">
        <w:trPr>
          <w:cantSplit/>
          <w:jc w:val="center"/>
        </w:trPr>
        <w:tc>
          <w:tcPr>
            <w:tcW w:w="1342" w:type="dxa"/>
            <w:shd w:val="clear" w:color="auto" w:fill="auto"/>
          </w:tcPr>
          <w:p w:rsidR="00E67DA4" w:rsidRPr="00C903F8" w:rsidRDefault="00E67DA4" w:rsidP="00C01A94">
            <w:pPr>
              <w:spacing w:before="120" w:after="120" w:line="240" w:lineRule="atLeast"/>
              <w:ind w:left="0" w:firstLine="0"/>
              <w:rPr>
                <w:rFonts w:cs="Arial"/>
                <w:sz w:val="18"/>
                <w:szCs w:val="18"/>
              </w:rPr>
            </w:pPr>
            <w:r w:rsidRPr="00C903F8">
              <w:rPr>
                <w:rFonts w:cs="Arial"/>
                <w:sz w:val="18"/>
                <w:szCs w:val="18"/>
              </w:rPr>
              <w:t>4.02</w:t>
            </w:r>
          </w:p>
        </w:tc>
        <w:tc>
          <w:tcPr>
            <w:tcW w:w="1458" w:type="dxa"/>
            <w:shd w:val="clear" w:color="auto" w:fill="auto"/>
          </w:tcPr>
          <w:p w:rsidR="00E67DA4" w:rsidRPr="00C903F8" w:rsidRDefault="00E67DA4" w:rsidP="00C01A94">
            <w:pPr>
              <w:spacing w:before="120" w:after="120" w:line="240" w:lineRule="atLeast"/>
              <w:ind w:left="0" w:firstLine="0"/>
              <w:jc w:val="center"/>
              <w:rPr>
                <w:rFonts w:cs="Arial"/>
                <w:sz w:val="18"/>
                <w:szCs w:val="18"/>
              </w:rPr>
            </w:pPr>
          </w:p>
        </w:tc>
        <w:tc>
          <w:tcPr>
            <w:tcW w:w="3296" w:type="dxa"/>
            <w:shd w:val="clear" w:color="auto" w:fill="auto"/>
          </w:tcPr>
          <w:p w:rsidR="00E67DA4" w:rsidRPr="00C903F8" w:rsidRDefault="00E67DA4" w:rsidP="00C01A94">
            <w:pPr>
              <w:spacing w:before="120" w:after="120" w:line="240" w:lineRule="atLeast"/>
              <w:ind w:left="0" w:firstLine="0"/>
              <w:rPr>
                <w:rFonts w:cs="Arial"/>
                <w:sz w:val="18"/>
                <w:szCs w:val="18"/>
              </w:rPr>
            </w:pPr>
            <w:r w:rsidRPr="00C903F8">
              <w:rPr>
                <w:rFonts w:cs="Arial"/>
                <w:noProof/>
                <w:sz w:val="18"/>
                <w:szCs w:val="18"/>
                <w:lang w:val="en-US"/>
              </w:rPr>
              <w:t>Freeboard</w:t>
            </w:r>
          </w:p>
        </w:tc>
        <w:tc>
          <w:tcPr>
            <w:tcW w:w="6521" w:type="dxa"/>
            <w:shd w:val="clear" w:color="auto" w:fill="auto"/>
          </w:tcPr>
          <w:p w:rsidR="00E67DA4" w:rsidRPr="00C903F8" w:rsidRDefault="00E67DA4" w:rsidP="00C01A94">
            <w:pPr>
              <w:spacing w:before="120" w:after="120" w:line="240" w:lineRule="atLeast"/>
              <w:ind w:left="0" w:firstLine="0"/>
              <w:rPr>
                <w:rFonts w:cs="Arial"/>
                <w:sz w:val="18"/>
                <w:szCs w:val="18"/>
                <w:lang w:val="en-US"/>
              </w:rPr>
            </w:pPr>
            <w:r w:rsidRPr="00C903F8">
              <w:rPr>
                <w:rFonts w:cs="Arial"/>
                <w:sz w:val="18"/>
                <w:szCs w:val="18"/>
                <w:lang w:val="en-US"/>
              </w:rPr>
              <w:t>Renewal of the inland navigation vessel certificate after</w:t>
            </w:r>
          </w:p>
        </w:tc>
        <w:tc>
          <w:tcPr>
            <w:tcW w:w="1276" w:type="dxa"/>
            <w:shd w:val="clear" w:color="auto" w:fill="auto"/>
          </w:tcPr>
          <w:p w:rsidR="00E67DA4" w:rsidRPr="00C903F8" w:rsidRDefault="00E67DA4" w:rsidP="00C01A94">
            <w:pPr>
              <w:spacing w:before="120" w:after="120" w:line="240" w:lineRule="atLeast"/>
              <w:ind w:left="0" w:firstLine="0"/>
              <w:rPr>
                <w:rFonts w:cs="Arial"/>
                <w:sz w:val="18"/>
                <w:szCs w:val="18"/>
              </w:rPr>
            </w:pPr>
            <w:r w:rsidRPr="00C903F8">
              <w:rPr>
                <w:rFonts w:cs="Arial"/>
                <w:sz w:val="18"/>
                <w:szCs w:val="18"/>
              </w:rPr>
              <w:t>1.1.2015</w:t>
            </w:r>
          </w:p>
        </w:tc>
      </w:tr>
      <w:tr w:rsidR="00E67DA4" w:rsidRPr="00C903F8" w:rsidTr="00E67DA4">
        <w:trPr>
          <w:cantSplit/>
          <w:jc w:val="center"/>
        </w:trPr>
        <w:tc>
          <w:tcPr>
            <w:tcW w:w="1342" w:type="dxa"/>
            <w:shd w:val="clear" w:color="auto" w:fill="auto"/>
          </w:tcPr>
          <w:p w:rsidR="00E67DA4" w:rsidRPr="00C903F8" w:rsidRDefault="00E67DA4" w:rsidP="00C01A94">
            <w:pPr>
              <w:spacing w:before="120" w:after="120" w:line="240" w:lineRule="atLeast"/>
              <w:ind w:left="0" w:firstLine="0"/>
              <w:rPr>
                <w:rFonts w:cs="Arial"/>
                <w:sz w:val="18"/>
                <w:szCs w:val="18"/>
              </w:rPr>
            </w:pPr>
            <w:r w:rsidRPr="00C903F8">
              <w:rPr>
                <w:rFonts w:cs="Arial"/>
                <w:sz w:val="18"/>
                <w:szCs w:val="18"/>
              </w:rPr>
              <w:t>4.03</w:t>
            </w:r>
          </w:p>
        </w:tc>
        <w:tc>
          <w:tcPr>
            <w:tcW w:w="1458" w:type="dxa"/>
            <w:shd w:val="clear" w:color="auto" w:fill="auto"/>
          </w:tcPr>
          <w:p w:rsidR="00E67DA4" w:rsidRPr="00C903F8" w:rsidRDefault="00E67DA4" w:rsidP="00C01A94">
            <w:pPr>
              <w:spacing w:before="120" w:after="120" w:line="240" w:lineRule="atLeast"/>
              <w:ind w:left="0" w:firstLine="0"/>
              <w:jc w:val="center"/>
              <w:rPr>
                <w:rFonts w:cs="Arial"/>
                <w:sz w:val="18"/>
                <w:szCs w:val="18"/>
              </w:rPr>
            </w:pPr>
          </w:p>
        </w:tc>
        <w:tc>
          <w:tcPr>
            <w:tcW w:w="3296" w:type="dxa"/>
            <w:shd w:val="clear" w:color="auto" w:fill="auto"/>
          </w:tcPr>
          <w:p w:rsidR="00E67DA4" w:rsidRPr="00C903F8" w:rsidRDefault="00E67DA4" w:rsidP="00C01A94">
            <w:pPr>
              <w:spacing w:before="120" w:after="120" w:line="240" w:lineRule="atLeast"/>
              <w:ind w:left="0" w:firstLine="0"/>
              <w:rPr>
                <w:rFonts w:cs="Arial"/>
                <w:sz w:val="18"/>
                <w:szCs w:val="18"/>
              </w:rPr>
            </w:pPr>
            <w:r w:rsidRPr="00C903F8">
              <w:rPr>
                <w:rFonts w:cs="Arial"/>
                <w:noProof/>
                <w:sz w:val="18"/>
                <w:szCs w:val="18"/>
                <w:lang w:val="en-US"/>
              </w:rPr>
              <w:t>Minimum freeboard</w:t>
            </w:r>
          </w:p>
        </w:tc>
        <w:tc>
          <w:tcPr>
            <w:tcW w:w="6521" w:type="dxa"/>
            <w:shd w:val="clear" w:color="auto" w:fill="auto"/>
          </w:tcPr>
          <w:p w:rsidR="00E67DA4" w:rsidRPr="00C903F8" w:rsidRDefault="00E67DA4" w:rsidP="00C01A94">
            <w:pPr>
              <w:spacing w:before="120" w:after="120" w:line="240" w:lineRule="atLeast"/>
              <w:ind w:left="0" w:firstLine="0"/>
              <w:rPr>
                <w:rFonts w:cs="Arial"/>
                <w:sz w:val="18"/>
                <w:szCs w:val="18"/>
                <w:lang w:val="en-US"/>
              </w:rPr>
            </w:pPr>
            <w:r w:rsidRPr="00C903F8">
              <w:rPr>
                <w:rFonts w:cs="Arial"/>
                <w:sz w:val="18"/>
                <w:szCs w:val="18"/>
                <w:lang w:val="en-US"/>
              </w:rPr>
              <w:t>Renewal of the inland navigation vessel certificate after</w:t>
            </w:r>
          </w:p>
        </w:tc>
        <w:tc>
          <w:tcPr>
            <w:tcW w:w="1276" w:type="dxa"/>
            <w:shd w:val="clear" w:color="auto" w:fill="auto"/>
          </w:tcPr>
          <w:p w:rsidR="00E67DA4" w:rsidRPr="00C903F8" w:rsidRDefault="00E67DA4" w:rsidP="00C01A94">
            <w:pPr>
              <w:spacing w:before="120" w:after="120" w:line="240" w:lineRule="atLeast"/>
              <w:ind w:left="0" w:firstLine="0"/>
              <w:rPr>
                <w:rFonts w:cs="Arial"/>
                <w:sz w:val="18"/>
                <w:szCs w:val="18"/>
              </w:rPr>
            </w:pPr>
            <w:r w:rsidRPr="00C903F8">
              <w:rPr>
                <w:rFonts w:cs="Arial"/>
                <w:sz w:val="18"/>
                <w:szCs w:val="18"/>
              </w:rPr>
              <w:t>1.1.2015</w:t>
            </w:r>
          </w:p>
        </w:tc>
      </w:tr>
      <w:tr w:rsidR="00E67DA4" w:rsidRPr="00C903F8" w:rsidTr="00E67DA4">
        <w:trPr>
          <w:cantSplit/>
          <w:jc w:val="center"/>
        </w:trPr>
        <w:tc>
          <w:tcPr>
            <w:tcW w:w="6096" w:type="dxa"/>
            <w:gridSpan w:val="3"/>
            <w:shd w:val="clear" w:color="auto" w:fill="auto"/>
          </w:tcPr>
          <w:p w:rsidR="00E67DA4" w:rsidRPr="00C903F8" w:rsidRDefault="00E67DA4" w:rsidP="00C01A94">
            <w:pPr>
              <w:spacing w:before="100" w:after="100" w:line="240" w:lineRule="atLeast"/>
              <w:ind w:left="0" w:firstLine="0"/>
              <w:jc w:val="center"/>
              <w:rPr>
                <w:rFonts w:cs="Arial"/>
                <w:sz w:val="18"/>
                <w:szCs w:val="18"/>
              </w:rPr>
            </w:pPr>
            <w:r w:rsidRPr="00C903F8">
              <w:rPr>
                <w:rFonts w:cs="Arial"/>
                <w:b/>
                <w:sz w:val="18"/>
                <w:szCs w:val="18"/>
              </w:rPr>
              <w:t>CHAPTER 7</w:t>
            </w:r>
          </w:p>
        </w:tc>
        <w:tc>
          <w:tcPr>
            <w:tcW w:w="6521" w:type="dxa"/>
            <w:shd w:val="clear" w:color="auto" w:fill="auto"/>
          </w:tcPr>
          <w:p w:rsidR="00E67DA4" w:rsidRPr="00C903F8" w:rsidRDefault="00E67DA4" w:rsidP="00C01A94">
            <w:pPr>
              <w:spacing w:before="100" w:after="100" w:line="240" w:lineRule="atLeast"/>
              <w:ind w:left="0" w:firstLine="0"/>
              <w:rPr>
                <w:rFonts w:cs="Arial"/>
                <w:sz w:val="18"/>
                <w:szCs w:val="18"/>
              </w:rPr>
            </w:pPr>
          </w:p>
        </w:tc>
        <w:tc>
          <w:tcPr>
            <w:tcW w:w="1276" w:type="dxa"/>
            <w:shd w:val="clear" w:color="auto" w:fill="auto"/>
          </w:tcPr>
          <w:p w:rsidR="00E67DA4" w:rsidRPr="00C903F8" w:rsidRDefault="00E67DA4" w:rsidP="00C01A94">
            <w:pPr>
              <w:spacing w:before="100" w:after="100" w:line="240" w:lineRule="atLeast"/>
              <w:ind w:left="0" w:firstLine="0"/>
              <w:rPr>
                <w:rFonts w:cs="Arial"/>
                <w:sz w:val="18"/>
                <w:szCs w:val="18"/>
              </w:rPr>
            </w:pPr>
          </w:p>
        </w:tc>
      </w:tr>
      <w:tr w:rsidR="00E67DA4" w:rsidRPr="00C903F8" w:rsidTr="00E67DA4">
        <w:trPr>
          <w:cantSplit/>
          <w:jc w:val="center"/>
        </w:trPr>
        <w:tc>
          <w:tcPr>
            <w:tcW w:w="1342"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lastRenderedPageBreak/>
              <w:t>7.01</w:t>
            </w:r>
          </w:p>
        </w:tc>
        <w:tc>
          <w:tcPr>
            <w:tcW w:w="1458" w:type="dxa"/>
            <w:shd w:val="clear" w:color="auto" w:fill="auto"/>
          </w:tcPr>
          <w:p w:rsidR="00E67DA4" w:rsidRPr="00C903F8" w:rsidRDefault="000E732C" w:rsidP="00C01A94">
            <w:pPr>
              <w:spacing w:before="100" w:after="100" w:line="240" w:lineRule="atLeast"/>
              <w:ind w:left="0" w:firstLine="0"/>
              <w:rPr>
                <w:rFonts w:cs="Arial"/>
                <w:sz w:val="18"/>
                <w:szCs w:val="18"/>
              </w:rPr>
            </w:pPr>
            <w:r w:rsidRPr="00C903F8">
              <w:rPr>
                <w:rFonts w:cs="Arial"/>
                <w:sz w:val="18"/>
                <w:szCs w:val="18"/>
              </w:rPr>
              <w:t>(2)</w:t>
            </w:r>
            <w:r w:rsidRPr="00B60926">
              <w:rPr>
                <w:rFonts w:eastAsia="Calibri"/>
                <w:color w:val="000000"/>
                <w:sz w:val="18"/>
                <w:vertAlign w:val="superscript"/>
                <w:lang w:val="en-GB" w:eastAsia="en-GB" w:bidi="en-GB"/>
              </w:rPr>
              <w:footnoteReference w:id="35"/>
            </w:r>
          </w:p>
        </w:tc>
        <w:tc>
          <w:tcPr>
            <w:tcW w:w="3296" w:type="dxa"/>
            <w:shd w:val="clear" w:color="auto" w:fill="auto"/>
          </w:tcPr>
          <w:p w:rsidR="00E67DA4" w:rsidRPr="00C903F8" w:rsidRDefault="00E67DA4" w:rsidP="00C01A94">
            <w:pPr>
              <w:spacing w:before="100" w:after="100" w:line="240" w:lineRule="atLeast"/>
              <w:ind w:left="0" w:firstLine="0"/>
              <w:rPr>
                <w:rFonts w:cs="Arial"/>
                <w:sz w:val="18"/>
                <w:szCs w:val="18"/>
                <w:lang w:val="en-US"/>
              </w:rPr>
            </w:pPr>
            <w:r w:rsidRPr="00C903F8">
              <w:rPr>
                <w:rFonts w:cs="Arial"/>
                <w:noProof/>
                <w:sz w:val="18"/>
                <w:szCs w:val="18"/>
                <w:lang w:val="en-US"/>
              </w:rPr>
              <w:t>Sound pressure generated by the vessel</w:t>
            </w:r>
          </w:p>
        </w:tc>
        <w:tc>
          <w:tcPr>
            <w:tcW w:w="6521" w:type="dxa"/>
            <w:shd w:val="clear" w:color="auto" w:fill="auto"/>
          </w:tcPr>
          <w:p w:rsidR="00E67DA4" w:rsidRPr="00C903F8" w:rsidRDefault="00AD3E75" w:rsidP="00C01A94">
            <w:pPr>
              <w:spacing w:before="100" w:after="100" w:line="240" w:lineRule="atLeast"/>
              <w:ind w:left="0" w:firstLine="0"/>
              <w:rPr>
                <w:rFonts w:cs="Arial"/>
                <w:sz w:val="18"/>
                <w:szCs w:val="18"/>
                <w:lang w:val="en-US"/>
              </w:rPr>
            </w:pPr>
            <w:r>
              <w:rPr>
                <w:rFonts w:cs="Arial"/>
                <w:sz w:val="18"/>
                <w:szCs w:val="18"/>
                <w:lang w:val="en-US"/>
              </w:rPr>
              <w:t>R.C.</w:t>
            </w:r>
            <w:r w:rsidR="00E67DA4" w:rsidRPr="00C903F8">
              <w:rPr>
                <w:rFonts w:cs="Arial"/>
                <w:sz w:val="18"/>
                <w:szCs w:val="18"/>
                <w:lang w:val="en-US"/>
              </w:rPr>
              <w:t>, at the latest on renewal of the inland navigation vessel certificate after</w:t>
            </w:r>
          </w:p>
        </w:tc>
        <w:tc>
          <w:tcPr>
            <w:tcW w:w="1276"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1.1.2020</w:t>
            </w:r>
          </w:p>
        </w:tc>
      </w:tr>
      <w:tr w:rsidR="00E67DA4" w:rsidRPr="00C903F8" w:rsidTr="00E67DA4">
        <w:trPr>
          <w:cantSplit/>
          <w:jc w:val="center"/>
        </w:trPr>
        <w:tc>
          <w:tcPr>
            <w:tcW w:w="6096" w:type="dxa"/>
            <w:gridSpan w:val="3"/>
            <w:shd w:val="clear" w:color="auto" w:fill="auto"/>
          </w:tcPr>
          <w:p w:rsidR="00E67DA4" w:rsidRPr="00C903F8" w:rsidRDefault="00E67DA4" w:rsidP="00C01A94">
            <w:pPr>
              <w:spacing w:before="100" w:after="100" w:line="240" w:lineRule="atLeast"/>
              <w:ind w:left="0" w:firstLine="0"/>
              <w:jc w:val="center"/>
              <w:rPr>
                <w:rFonts w:cs="Arial"/>
                <w:sz w:val="18"/>
                <w:szCs w:val="18"/>
              </w:rPr>
            </w:pPr>
            <w:r w:rsidRPr="00C903F8">
              <w:rPr>
                <w:rFonts w:cs="Arial"/>
                <w:b/>
                <w:sz w:val="18"/>
                <w:szCs w:val="18"/>
              </w:rPr>
              <w:t>CHAPTER 8</w:t>
            </w:r>
          </w:p>
        </w:tc>
        <w:tc>
          <w:tcPr>
            <w:tcW w:w="6521" w:type="dxa"/>
            <w:shd w:val="clear" w:color="auto" w:fill="auto"/>
          </w:tcPr>
          <w:p w:rsidR="00E67DA4" w:rsidRPr="00C903F8" w:rsidRDefault="00E67DA4" w:rsidP="00C01A94">
            <w:pPr>
              <w:spacing w:before="100" w:after="100" w:line="240" w:lineRule="atLeast"/>
              <w:ind w:left="0" w:firstLine="0"/>
              <w:rPr>
                <w:rFonts w:cs="Arial"/>
                <w:sz w:val="18"/>
                <w:szCs w:val="18"/>
              </w:rPr>
            </w:pPr>
          </w:p>
        </w:tc>
        <w:tc>
          <w:tcPr>
            <w:tcW w:w="1276" w:type="dxa"/>
            <w:shd w:val="clear" w:color="auto" w:fill="auto"/>
          </w:tcPr>
          <w:p w:rsidR="00E67DA4" w:rsidRPr="00C903F8" w:rsidRDefault="00E67DA4" w:rsidP="00C01A94">
            <w:pPr>
              <w:spacing w:before="100" w:after="100" w:line="240" w:lineRule="atLeast"/>
              <w:ind w:left="0" w:firstLine="0"/>
              <w:rPr>
                <w:rFonts w:cs="Arial"/>
                <w:sz w:val="18"/>
                <w:szCs w:val="18"/>
              </w:rPr>
            </w:pPr>
          </w:p>
        </w:tc>
      </w:tr>
      <w:tr w:rsidR="00E67DA4" w:rsidRPr="00C903F8" w:rsidTr="00E67DA4">
        <w:trPr>
          <w:cantSplit/>
          <w:jc w:val="center"/>
        </w:trPr>
        <w:tc>
          <w:tcPr>
            <w:tcW w:w="1342"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8.08</w:t>
            </w:r>
          </w:p>
        </w:tc>
        <w:tc>
          <w:tcPr>
            <w:tcW w:w="1458"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 xml:space="preserve">(3) and </w:t>
            </w:r>
            <w:r w:rsidR="00192ED9" w:rsidRPr="00C903F8">
              <w:rPr>
                <w:rFonts w:cs="Arial"/>
                <w:sz w:val="18"/>
                <w:szCs w:val="18"/>
              </w:rPr>
              <w:t>(</w:t>
            </w:r>
            <w:r w:rsidRPr="00C903F8">
              <w:rPr>
                <w:rFonts w:cs="Arial"/>
                <w:sz w:val="18"/>
                <w:szCs w:val="18"/>
              </w:rPr>
              <w:t>4</w:t>
            </w:r>
            <w:r w:rsidR="00192ED9" w:rsidRPr="00C903F8">
              <w:rPr>
                <w:rFonts w:cs="Arial"/>
                <w:sz w:val="18"/>
                <w:szCs w:val="18"/>
              </w:rPr>
              <w:t>)</w:t>
            </w:r>
          </w:p>
        </w:tc>
        <w:tc>
          <w:tcPr>
            <w:tcW w:w="3296" w:type="dxa"/>
            <w:shd w:val="clear" w:color="auto" w:fill="auto"/>
          </w:tcPr>
          <w:p w:rsidR="00E67DA4" w:rsidRPr="00C903F8" w:rsidRDefault="00E67DA4" w:rsidP="00C01A94">
            <w:pPr>
              <w:spacing w:before="100" w:after="100" w:line="240" w:lineRule="atLeast"/>
              <w:ind w:left="0" w:firstLine="0"/>
              <w:rPr>
                <w:rFonts w:cs="Arial"/>
                <w:sz w:val="18"/>
                <w:szCs w:val="18"/>
                <w:lang w:val="en-US"/>
              </w:rPr>
            </w:pPr>
            <w:r w:rsidRPr="00C903F8">
              <w:rPr>
                <w:rFonts w:cs="Arial"/>
                <w:noProof/>
                <w:sz w:val="18"/>
                <w:szCs w:val="18"/>
                <w:lang w:val="en-US"/>
              </w:rPr>
              <w:t>Minimum pumping capacity and internal diameter of drainage pipes</w:t>
            </w:r>
          </w:p>
        </w:tc>
        <w:tc>
          <w:tcPr>
            <w:tcW w:w="6521" w:type="dxa"/>
            <w:shd w:val="clear" w:color="auto" w:fill="auto"/>
          </w:tcPr>
          <w:p w:rsidR="00E67DA4" w:rsidRPr="00C903F8" w:rsidRDefault="00E67DA4" w:rsidP="00C01A94">
            <w:pPr>
              <w:spacing w:before="100" w:after="100" w:line="240" w:lineRule="atLeast"/>
              <w:ind w:left="0" w:firstLine="0"/>
              <w:rPr>
                <w:rFonts w:cs="Arial"/>
                <w:sz w:val="18"/>
                <w:szCs w:val="18"/>
                <w:lang w:val="en-US"/>
              </w:rPr>
            </w:pPr>
            <w:r w:rsidRPr="00C903F8">
              <w:rPr>
                <w:rFonts w:cs="Arial"/>
                <w:sz w:val="18"/>
                <w:szCs w:val="18"/>
                <w:lang w:val="en-US"/>
              </w:rPr>
              <w:t>Renewal of the inland navigation vessel certificate after</w:t>
            </w:r>
          </w:p>
        </w:tc>
        <w:tc>
          <w:tcPr>
            <w:tcW w:w="1276"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1.1.2015</w:t>
            </w:r>
          </w:p>
        </w:tc>
      </w:tr>
      <w:tr w:rsidR="00E67DA4" w:rsidRPr="00C903F8" w:rsidTr="00E67DA4">
        <w:trPr>
          <w:cantSplit/>
          <w:jc w:val="center"/>
        </w:trPr>
        <w:tc>
          <w:tcPr>
            <w:tcW w:w="1342"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8.10</w:t>
            </w:r>
          </w:p>
        </w:tc>
        <w:tc>
          <w:tcPr>
            <w:tcW w:w="1458" w:type="dxa"/>
            <w:shd w:val="clear" w:color="auto" w:fill="auto"/>
          </w:tcPr>
          <w:p w:rsidR="00E67DA4" w:rsidRPr="00C903F8" w:rsidRDefault="000E732C" w:rsidP="00C01A94">
            <w:pPr>
              <w:spacing w:before="100" w:after="100" w:line="240" w:lineRule="atLeast"/>
              <w:ind w:left="0" w:firstLine="0"/>
              <w:rPr>
                <w:rFonts w:cs="Arial"/>
                <w:sz w:val="18"/>
                <w:szCs w:val="18"/>
              </w:rPr>
            </w:pPr>
            <w:r w:rsidRPr="00C903F8">
              <w:rPr>
                <w:rFonts w:cs="Arial"/>
                <w:sz w:val="18"/>
                <w:szCs w:val="18"/>
              </w:rPr>
              <w:t>(2)</w:t>
            </w:r>
            <w:r w:rsidRPr="00B60926">
              <w:rPr>
                <w:rFonts w:eastAsia="Calibri"/>
                <w:color w:val="000000"/>
                <w:sz w:val="18"/>
                <w:vertAlign w:val="superscript"/>
                <w:lang w:val="en-GB" w:eastAsia="en-GB" w:bidi="en-GB"/>
              </w:rPr>
              <w:footnoteReference w:id="36"/>
            </w:r>
          </w:p>
        </w:tc>
        <w:tc>
          <w:tcPr>
            <w:tcW w:w="3296" w:type="dxa"/>
            <w:shd w:val="clear" w:color="auto" w:fill="auto"/>
          </w:tcPr>
          <w:p w:rsidR="00E67DA4" w:rsidRPr="00C903F8" w:rsidRDefault="00E67DA4" w:rsidP="00C01A94">
            <w:pPr>
              <w:spacing w:before="100" w:after="100" w:line="240" w:lineRule="atLeast"/>
              <w:ind w:left="0" w:firstLine="0"/>
              <w:rPr>
                <w:rFonts w:cs="Arial"/>
                <w:sz w:val="18"/>
                <w:szCs w:val="18"/>
                <w:lang w:val="en-US"/>
              </w:rPr>
            </w:pPr>
            <w:r w:rsidRPr="00C903F8">
              <w:rPr>
                <w:rFonts w:cs="Arial"/>
                <w:noProof/>
                <w:sz w:val="18"/>
                <w:szCs w:val="18"/>
                <w:lang w:val="en-US"/>
              </w:rPr>
              <w:t>Noise generated by a vessel under way</w:t>
            </w:r>
          </w:p>
        </w:tc>
        <w:tc>
          <w:tcPr>
            <w:tcW w:w="6521" w:type="dxa"/>
            <w:shd w:val="clear" w:color="auto" w:fill="auto"/>
          </w:tcPr>
          <w:p w:rsidR="00E67DA4" w:rsidRPr="00C903F8" w:rsidRDefault="00AD3E75" w:rsidP="00C01A94">
            <w:pPr>
              <w:spacing w:before="100" w:after="100" w:line="240" w:lineRule="atLeast"/>
              <w:ind w:left="0" w:firstLine="0"/>
              <w:rPr>
                <w:rFonts w:cs="Arial"/>
                <w:sz w:val="18"/>
                <w:szCs w:val="18"/>
                <w:lang w:val="en-US"/>
              </w:rPr>
            </w:pPr>
            <w:r>
              <w:rPr>
                <w:rFonts w:cs="Arial"/>
                <w:sz w:val="18"/>
                <w:szCs w:val="18"/>
                <w:lang w:val="en-US"/>
              </w:rPr>
              <w:t>R.C.</w:t>
            </w:r>
            <w:r w:rsidR="00E67DA4" w:rsidRPr="00C903F8">
              <w:rPr>
                <w:rFonts w:cs="Arial"/>
                <w:sz w:val="18"/>
                <w:szCs w:val="18"/>
                <w:lang w:val="en-US"/>
              </w:rPr>
              <w:t>, at the latest on renewal of the inland navigation vessel certificate after</w:t>
            </w:r>
          </w:p>
        </w:tc>
        <w:tc>
          <w:tcPr>
            <w:tcW w:w="1276"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1.1.2020</w:t>
            </w:r>
          </w:p>
        </w:tc>
      </w:tr>
      <w:tr w:rsidR="00E67DA4" w:rsidRPr="00C903F8" w:rsidTr="00E67DA4">
        <w:trPr>
          <w:cantSplit/>
          <w:jc w:val="center"/>
        </w:trPr>
        <w:tc>
          <w:tcPr>
            <w:tcW w:w="6096" w:type="dxa"/>
            <w:gridSpan w:val="3"/>
            <w:shd w:val="clear" w:color="auto" w:fill="auto"/>
          </w:tcPr>
          <w:p w:rsidR="00E67DA4" w:rsidRPr="00C903F8" w:rsidRDefault="00E67DA4" w:rsidP="00C01A94">
            <w:pPr>
              <w:spacing w:before="100" w:after="100" w:line="240" w:lineRule="atLeast"/>
              <w:ind w:left="0" w:firstLine="0"/>
              <w:jc w:val="center"/>
              <w:rPr>
                <w:rFonts w:cs="Arial"/>
                <w:sz w:val="18"/>
                <w:szCs w:val="18"/>
              </w:rPr>
            </w:pPr>
            <w:r w:rsidRPr="00C903F8">
              <w:rPr>
                <w:rFonts w:cs="Arial"/>
                <w:b/>
                <w:sz w:val="18"/>
                <w:szCs w:val="18"/>
              </w:rPr>
              <w:t>CHAPTER 10</w:t>
            </w:r>
          </w:p>
        </w:tc>
        <w:tc>
          <w:tcPr>
            <w:tcW w:w="6521" w:type="dxa"/>
            <w:shd w:val="clear" w:color="auto" w:fill="auto"/>
          </w:tcPr>
          <w:p w:rsidR="00E67DA4" w:rsidRPr="00C903F8" w:rsidRDefault="00E67DA4" w:rsidP="00C01A94">
            <w:pPr>
              <w:spacing w:before="100" w:after="100" w:line="240" w:lineRule="atLeast"/>
              <w:ind w:left="0" w:firstLine="0"/>
              <w:rPr>
                <w:rFonts w:cs="Arial"/>
                <w:sz w:val="18"/>
                <w:szCs w:val="18"/>
              </w:rPr>
            </w:pPr>
          </w:p>
        </w:tc>
        <w:tc>
          <w:tcPr>
            <w:tcW w:w="1276" w:type="dxa"/>
            <w:shd w:val="clear" w:color="auto" w:fill="auto"/>
          </w:tcPr>
          <w:p w:rsidR="00E67DA4" w:rsidRPr="00C903F8" w:rsidRDefault="00E67DA4" w:rsidP="00C01A94">
            <w:pPr>
              <w:spacing w:before="100" w:after="100" w:line="240" w:lineRule="atLeast"/>
              <w:ind w:left="0" w:firstLine="0"/>
              <w:rPr>
                <w:rFonts w:cs="Arial"/>
                <w:sz w:val="18"/>
                <w:szCs w:val="18"/>
              </w:rPr>
            </w:pPr>
          </w:p>
        </w:tc>
      </w:tr>
      <w:tr w:rsidR="00E67DA4" w:rsidRPr="000E732C" w:rsidTr="00E67DA4">
        <w:trPr>
          <w:cantSplit/>
          <w:jc w:val="center"/>
        </w:trPr>
        <w:tc>
          <w:tcPr>
            <w:tcW w:w="1342" w:type="dxa"/>
            <w:shd w:val="clear" w:color="auto" w:fill="auto"/>
          </w:tcPr>
          <w:p w:rsidR="00E67DA4" w:rsidRPr="00C903F8" w:rsidRDefault="000E732C" w:rsidP="00C01A94">
            <w:pPr>
              <w:spacing w:before="100" w:after="100" w:line="240" w:lineRule="atLeast"/>
              <w:ind w:left="0" w:firstLine="0"/>
              <w:rPr>
                <w:rFonts w:cs="Arial"/>
                <w:sz w:val="18"/>
                <w:szCs w:val="18"/>
              </w:rPr>
            </w:pPr>
            <w:r w:rsidRPr="00C903F8">
              <w:rPr>
                <w:rFonts w:cs="Arial"/>
                <w:sz w:val="18"/>
                <w:szCs w:val="18"/>
              </w:rPr>
              <w:t>10.01</w:t>
            </w:r>
            <w:r w:rsidRPr="00B60926">
              <w:rPr>
                <w:rFonts w:eastAsia="Calibri"/>
                <w:color w:val="000000"/>
                <w:sz w:val="18"/>
                <w:vertAlign w:val="superscript"/>
                <w:lang w:val="en-GB" w:eastAsia="en-GB" w:bidi="en-GB"/>
              </w:rPr>
              <w:footnoteReference w:id="37"/>
            </w:r>
          </w:p>
        </w:tc>
        <w:tc>
          <w:tcPr>
            <w:tcW w:w="1458" w:type="dxa"/>
            <w:shd w:val="clear" w:color="auto" w:fill="auto"/>
          </w:tcPr>
          <w:p w:rsidR="00E67DA4" w:rsidRPr="000E732C" w:rsidRDefault="009B46F3" w:rsidP="00C01A94">
            <w:pPr>
              <w:spacing w:before="100" w:after="100" w:line="240" w:lineRule="atLeast"/>
              <w:ind w:left="0" w:firstLine="0"/>
              <w:jc w:val="left"/>
              <w:rPr>
                <w:rFonts w:cs="Arial"/>
                <w:sz w:val="18"/>
                <w:szCs w:val="18"/>
                <w:lang w:val="en-GB"/>
              </w:rPr>
            </w:pPr>
            <w:r w:rsidRPr="000E732C">
              <w:rPr>
                <w:rFonts w:cs="Arial"/>
                <w:sz w:val="18"/>
                <w:szCs w:val="18"/>
                <w:lang w:val="en-GB"/>
              </w:rPr>
              <w:t xml:space="preserve">(1) </w:t>
            </w:r>
            <w:r w:rsidR="000E732C">
              <w:rPr>
                <w:rFonts w:cs="Arial"/>
                <w:sz w:val="18"/>
                <w:szCs w:val="18"/>
                <w:lang w:val="en-GB"/>
              </w:rPr>
              <w:br/>
            </w:r>
            <w:r w:rsidRPr="000E732C">
              <w:rPr>
                <w:rFonts w:cs="Arial"/>
                <w:sz w:val="18"/>
                <w:szCs w:val="18"/>
                <w:lang w:val="en-GB"/>
              </w:rPr>
              <w:t xml:space="preserve">1st sentence, </w:t>
            </w:r>
            <w:r w:rsidR="000E732C" w:rsidRPr="000E732C">
              <w:rPr>
                <w:rFonts w:cs="Arial"/>
                <w:sz w:val="18"/>
                <w:szCs w:val="18"/>
                <w:lang w:val="en-GB"/>
              </w:rPr>
              <w:br/>
            </w:r>
            <w:r w:rsidRPr="000E732C">
              <w:rPr>
                <w:rFonts w:cs="Arial"/>
                <w:sz w:val="18"/>
                <w:szCs w:val="18"/>
                <w:lang w:val="en-GB"/>
              </w:rPr>
              <w:t>(2) to (4)</w:t>
            </w:r>
          </w:p>
        </w:tc>
        <w:tc>
          <w:tcPr>
            <w:tcW w:w="3296" w:type="dxa"/>
            <w:shd w:val="clear" w:color="auto" w:fill="auto"/>
          </w:tcPr>
          <w:p w:rsidR="00E67DA4" w:rsidRPr="000E732C" w:rsidRDefault="00E67DA4" w:rsidP="00C01A94">
            <w:pPr>
              <w:spacing w:before="100" w:after="100" w:line="240" w:lineRule="atLeast"/>
              <w:ind w:left="0" w:firstLine="0"/>
              <w:rPr>
                <w:rFonts w:cs="Arial"/>
                <w:sz w:val="18"/>
                <w:szCs w:val="18"/>
                <w:lang w:val="en-GB"/>
              </w:rPr>
            </w:pPr>
            <w:r w:rsidRPr="000E732C">
              <w:rPr>
                <w:rFonts w:cs="Arial"/>
                <w:sz w:val="18"/>
                <w:szCs w:val="18"/>
                <w:lang w:val="en-GB"/>
              </w:rPr>
              <w:t>Requirements for electrical equipment</w:t>
            </w:r>
          </w:p>
        </w:tc>
        <w:tc>
          <w:tcPr>
            <w:tcW w:w="6521" w:type="dxa"/>
            <w:shd w:val="clear" w:color="auto" w:fill="auto"/>
          </w:tcPr>
          <w:p w:rsidR="00E67DA4" w:rsidRPr="00C903F8" w:rsidRDefault="00AD3E75" w:rsidP="00C01A94">
            <w:pPr>
              <w:spacing w:before="100" w:after="100" w:line="240" w:lineRule="atLeast"/>
              <w:ind w:left="0" w:firstLine="0"/>
              <w:rPr>
                <w:rFonts w:cs="Arial"/>
                <w:sz w:val="18"/>
                <w:szCs w:val="18"/>
                <w:lang w:val="en-US"/>
              </w:rPr>
            </w:pPr>
            <w:r>
              <w:rPr>
                <w:rFonts w:cs="Arial"/>
                <w:sz w:val="18"/>
                <w:szCs w:val="18"/>
                <w:lang w:val="en-US"/>
              </w:rPr>
              <w:t>R.C.</w:t>
            </w:r>
            <w:r w:rsidR="00E67DA4" w:rsidRPr="00C903F8">
              <w:rPr>
                <w:rFonts w:cs="Arial"/>
                <w:sz w:val="18"/>
                <w:szCs w:val="18"/>
                <w:lang w:val="en-US"/>
              </w:rPr>
              <w:t>, at the latest on renewal of the inland navigation vessel certificate after</w:t>
            </w:r>
          </w:p>
        </w:tc>
        <w:tc>
          <w:tcPr>
            <w:tcW w:w="1276" w:type="dxa"/>
            <w:shd w:val="clear" w:color="auto" w:fill="auto"/>
          </w:tcPr>
          <w:p w:rsidR="00E67DA4" w:rsidRPr="000E732C" w:rsidRDefault="00E67DA4" w:rsidP="00C01A94">
            <w:pPr>
              <w:spacing w:before="100" w:after="100" w:line="240" w:lineRule="atLeast"/>
              <w:ind w:left="0" w:firstLine="0"/>
              <w:rPr>
                <w:rFonts w:cs="Arial"/>
                <w:sz w:val="18"/>
                <w:szCs w:val="18"/>
                <w:lang w:val="en-GB"/>
              </w:rPr>
            </w:pPr>
            <w:r w:rsidRPr="000E732C">
              <w:rPr>
                <w:rFonts w:cs="Arial"/>
                <w:sz w:val="18"/>
                <w:szCs w:val="18"/>
                <w:lang w:val="en-GB"/>
              </w:rPr>
              <w:t>1.1.2020</w:t>
            </w:r>
          </w:p>
        </w:tc>
      </w:tr>
      <w:tr w:rsidR="00E67DA4" w:rsidRPr="00C903F8" w:rsidTr="00E67DA4">
        <w:trPr>
          <w:cantSplit/>
          <w:jc w:val="center"/>
        </w:trPr>
        <w:tc>
          <w:tcPr>
            <w:tcW w:w="1342"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10.03</w:t>
            </w:r>
          </w:p>
        </w:tc>
        <w:tc>
          <w:tcPr>
            <w:tcW w:w="1458" w:type="dxa"/>
            <w:shd w:val="clear" w:color="auto" w:fill="auto"/>
          </w:tcPr>
          <w:p w:rsidR="00E67DA4" w:rsidRPr="00C903F8" w:rsidRDefault="00E67DA4" w:rsidP="00C01A94">
            <w:pPr>
              <w:spacing w:before="100" w:after="100" w:line="240" w:lineRule="atLeast"/>
              <w:ind w:left="0" w:firstLine="0"/>
              <w:rPr>
                <w:rFonts w:cs="Arial"/>
                <w:sz w:val="18"/>
                <w:szCs w:val="18"/>
              </w:rPr>
            </w:pPr>
          </w:p>
        </w:tc>
        <w:tc>
          <w:tcPr>
            <w:tcW w:w="3296" w:type="dxa"/>
            <w:shd w:val="clear" w:color="auto" w:fill="auto"/>
          </w:tcPr>
          <w:p w:rsidR="00E67DA4" w:rsidRPr="00C903F8" w:rsidRDefault="00E67DA4" w:rsidP="00C01A94">
            <w:pPr>
              <w:spacing w:before="100" w:after="100" w:line="240" w:lineRule="atLeast"/>
              <w:ind w:left="0" w:firstLine="0"/>
              <w:rPr>
                <w:rFonts w:cs="Arial"/>
                <w:sz w:val="18"/>
                <w:szCs w:val="18"/>
                <w:lang w:val="en-US"/>
              </w:rPr>
            </w:pPr>
            <w:r w:rsidRPr="00C903F8">
              <w:rPr>
                <w:rFonts w:cs="Arial"/>
                <w:sz w:val="18"/>
                <w:szCs w:val="18"/>
                <w:lang w:val="en-US"/>
              </w:rPr>
              <w:t>Protection against physical contact, intrusion of solid objects and the ingress of water</w:t>
            </w:r>
          </w:p>
        </w:tc>
        <w:tc>
          <w:tcPr>
            <w:tcW w:w="6521" w:type="dxa"/>
            <w:shd w:val="clear" w:color="auto" w:fill="auto"/>
          </w:tcPr>
          <w:p w:rsidR="00E67DA4" w:rsidRPr="00C903F8" w:rsidRDefault="00AD3E75" w:rsidP="00C01A94">
            <w:pPr>
              <w:spacing w:before="100" w:after="100" w:line="240" w:lineRule="atLeast"/>
              <w:ind w:left="0" w:firstLine="0"/>
              <w:rPr>
                <w:rFonts w:cs="Arial"/>
                <w:sz w:val="18"/>
                <w:szCs w:val="18"/>
                <w:lang w:val="en-US"/>
              </w:rPr>
            </w:pPr>
            <w:r>
              <w:rPr>
                <w:rFonts w:cs="Arial"/>
                <w:sz w:val="18"/>
                <w:szCs w:val="18"/>
                <w:lang w:val="en-US"/>
              </w:rPr>
              <w:t>R.C.</w:t>
            </w:r>
            <w:r w:rsidR="00E67DA4" w:rsidRPr="00C903F8">
              <w:rPr>
                <w:rFonts w:cs="Arial"/>
                <w:sz w:val="18"/>
                <w:szCs w:val="18"/>
                <w:lang w:val="en-US"/>
              </w:rPr>
              <w:t>, at the latest on renewal of the inland navigation vessel certificate after</w:t>
            </w:r>
          </w:p>
        </w:tc>
        <w:tc>
          <w:tcPr>
            <w:tcW w:w="1276"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1.1.2015</w:t>
            </w:r>
          </w:p>
        </w:tc>
      </w:tr>
      <w:tr w:rsidR="00E67DA4" w:rsidRPr="00C903F8" w:rsidTr="00E67DA4">
        <w:trPr>
          <w:cantSplit/>
          <w:jc w:val="center"/>
        </w:trPr>
        <w:tc>
          <w:tcPr>
            <w:tcW w:w="1342"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10.06</w:t>
            </w:r>
          </w:p>
        </w:tc>
        <w:tc>
          <w:tcPr>
            <w:tcW w:w="1458" w:type="dxa"/>
            <w:shd w:val="clear" w:color="auto" w:fill="auto"/>
          </w:tcPr>
          <w:p w:rsidR="00E67DA4" w:rsidRPr="00C903F8" w:rsidRDefault="00E67DA4" w:rsidP="00C01A94">
            <w:pPr>
              <w:spacing w:before="100" w:after="100" w:line="240" w:lineRule="atLeast"/>
              <w:ind w:left="0" w:firstLine="0"/>
              <w:rPr>
                <w:rFonts w:cs="Arial"/>
                <w:sz w:val="18"/>
                <w:szCs w:val="18"/>
              </w:rPr>
            </w:pPr>
          </w:p>
        </w:tc>
        <w:tc>
          <w:tcPr>
            <w:tcW w:w="3296"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Maximum permissible voltages</w:t>
            </w:r>
          </w:p>
        </w:tc>
        <w:tc>
          <w:tcPr>
            <w:tcW w:w="6521" w:type="dxa"/>
            <w:shd w:val="clear" w:color="auto" w:fill="auto"/>
          </w:tcPr>
          <w:p w:rsidR="00E67DA4" w:rsidRPr="00C903F8" w:rsidRDefault="00AD3E75" w:rsidP="00C01A94">
            <w:pPr>
              <w:spacing w:before="100" w:after="100" w:line="240" w:lineRule="atLeast"/>
              <w:ind w:left="0" w:firstLine="0"/>
              <w:rPr>
                <w:rFonts w:cs="Arial"/>
                <w:sz w:val="18"/>
                <w:szCs w:val="18"/>
                <w:lang w:val="en-US"/>
              </w:rPr>
            </w:pPr>
            <w:r>
              <w:rPr>
                <w:rFonts w:cs="Arial"/>
                <w:sz w:val="18"/>
                <w:szCs w:val="18"/>
                <w:lang w:val="en-US"/>
              </w:rPr>
              <w:t>R.C.</w:t>
            </w:r>
            <w:r w:rsidR="00E67DA4" w:rsidRPr="00C903F8">
              <w:rPr>
                <w:rFonts w:cs="Arial"/>
                <w:sz w:val="18"/>
                <w:szCs w:val="18"/>
                <w:lang w:val="en-US"/>
              </w:rPr>
              <w:t>, at the latest on renewal of the inland navigation vessel certificate after</w:t>
            </w:r>
          </w:p>
        </w:tc>
        <w:tc>
          <w:tcPr>
            <w:tcW w:w="1276"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1.1.2015</w:t>
            </w:r>
          </w:p>
        </w:tc>
      </w:tr>
      <w:tr w:rsidR="00E67DA4" w:rsidRPr="00C903F8" w:rsidTr="00E67DA4">
        <w:trPr>
          <w:cantSplit/>
          <w:jc w:val="center"/>
        </w:trPr>
        <w:tc>
          <w:tcPr>
            <w:tcW w:w="1342"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10.10</w:t>
            </w:r>
          </w:p>
        </w:tc>
        <w:tc>
          <w:tcPr>
            <w:tcW w:w="1458" w:type="dxa"/>
            <w:shd w:val="clear" w:color="auto" w:fill="auto"/>
          </w:tcPr>
          <w:p w:rsidR="00E67DA4" w:rsidRPr="00C903F8" w:rsidRDefault="00E67DA4" w:rsidP="00C01A94">
            <w:pPr>
              <w:spacing w:before="100" w:after="100" w:line="240" w:lineRule="atLeast"/>
              <w:ind w:left="0" w:firstLine="0"/>
              <w:rPr>
                <w:rFonts w:cs="Arial"/>
                <w:sz w:val="18"/>
                <w:szCs w:val="18"/>
              </w:rPr>
            </w:pPr>
          </w:p>
        </w:tc>
        <w:tc>
          <w:tcPr>
            <w:tcW w:w="3296" w:type="dxa"/>
            <w:shd w:val="clear" w:color="auto" w:fill="auto"/>
          </w:tcPr>
          <w:p w:rsidR="00E67DA4" w:rsidRPr="00C903F8" w:rsidRDefault="00AC3F9A" w:rsidP="00C01A94">
            <w:pPr>
              <w:spacing w:before="100" w:after="100" w:line="240" w:lineRule="atLeast"/>
              <w:ind w:left="0" w:firstLine="0"/>
              <w:rPr>
                <w:rFonts w:cs="Arial"/>
                <w:sz w:val="18"/>
                <w:szCs w:val="18"/>
              </w:rPr>
            </w:pPr>
            <w:r w:rsidRPr="00AC3F9A">
              <w:rPr>
                <w:rFonts w:cs="Arial"/>
                <w:sz w:val="18"/>
                <w:szCs w:val="18"/>
              </w:rPr>
              <w:t>Generators, engines and transformers</w:t>
            </w:r>
          </w:p>
        </w:tc>
        <w:tc>
          <w:tcPr>
            <w:tcW w:w="6521" w:type="dxa"/>
            <w:shd w:val="clear" w:color="auto" w:fill="auto"/>
          </w:tcPr>
          <w:p w:rsidR="00E67DA4" w:rsidRPr="00C903F8" w:rsidRDefault="00AD3E75" w:rsidP="00C01A94">
            <w:pPr>
              <w:spacing w:before="100" w:after="100" w:line="240" w:lineRule="atLeast"/>
              <w:ind w:left="0" w:firstLine="0"/>
              <w:rPr>
                <w:rFonts w:cs="Arial"/>
                <w:sz w:val="18"/>
                <w:szCs w:val="18"/>
                <w:lang w:val="en-US"/>
              </w:rPr>
            </w:pPr>
            <w:r>
              <w:rPr>
                <w:rFonts w:cs="Arial"/>
                <w:sz w:val="18"/>
                <w:szCs w:val="18"/>
                <w:lang w:val="en-US"/>
              </w:rPr>
              <w:t>R.C.</w:t>
            </w:r>
            <w:r w:rsidR="00E67DA4" w:rsidRPr="00C903F8">
              <w:rPr>
                <w:rFonts w:cs="Arial"/>
                <w:sz w:val="18"/>
                <w:szCs w:val="18"/>
                <w:lang w:val="en-US"/>
              </w:rPr>
              <w:t>, at the latest on renewal of the inland navigation vessel certificate after</w:t>
            </w:r>
          </w:p>
        </w:tc>
        <w:tc>
          <w:tcPr>
            <w:tcW w:w="1276"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1.1.2015</w:t>
            </w:r>
          </w:p>
        </w:tc>
      </w:tr>
      <w:tr w:rsidR="00E67DA4" w:rsidRPr="00C903F8" w:rsidTr="00E67DA4">
        <w:trPr>
          <w:cantSplit/>
          <w:jc w:val="center"/>
        </w:trPr>
        <w:tc>
          <w:tcPr>
            <w:tcW w:w="1342"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10.11</w:t>
            </w:r>
          </w:p>
        </w:tc>
        <w:tc>
          <w:tcPr>
            <w:tcW w:w="1458"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noProof/>
                <w:sz w:val="18"/>
                <w:szCs w:val="18"/>
              </w:rPr>
              <w:t>Installation of accumulators</w:t>
            </w:r>
          </w:p>
        </w:tc>
        <w:tc>
          <w:tcPr>
            <w:tcW w:w="6521" w:type="dxa"/>
            <w:shd w:val="clear" w:color="auto" w:fill="auto"/>
          </w:tcPr>
          <w:p w:rsidR="00E67DA4" w:rsidRPr="00C903F8" w:rsidRDefault="00AD3E75" w:rsidP="00C01A94">
            <w:pPr>
              <w:spacing w:before="100" w:after="100" w:line="240" w:lineRule="atLeast"/>
              <w:ind w:left="0" w:firstLine="0"/>
              <w:rPr>
                <w:rFonts w:cs="Arial"/>
                <w:sz w:val="18"/>
                <w:szCs w:val="18"/>
                <w:lang w:val="en-US"/>
              </w:rPr>
            </w:pPr>
            <w:r>
              <w:rPr>
                <w:rFonts w:cs="Arial"/>
                <w:sz w:val="18"/>
                <w:szCs w:val="18"/>
                <w:lang w:val="en-US"/>
              </w:rPr>
              <w:t>R.C.</w:t>
            </w:r>
            <w:r w:rsidR="00E67DA4" w:rsidRPr="00C903F8">
              <w:rPr>
                <w:rFonts w:cs="Arial"/>
                <w:sz w:val="18"/>
                <w:szCs w:val="18"/>
                <w:lang w:val="en-US"/>
              </w:rPr>
              <w:t>, at the latest on renewal of the inland navigation vessel certificate after</w:t>
            </w:r>
          </w:p>
        </w:tc>
        <w:tc>
          <w:tcPr>
            <w:tcW w:w="1276"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1.1.2015</w:t>
            </w:r>
          </w:p>
        </w:tc>
      </w:tr>
      <w:tr w:rsidR="00E67DA4" w:rsidRPr="00C903F8" w:rsidTr="00E67DA4">
        <w:trPr>
          <w:cantSplit/>
          <w:jc w:val="center"/>
        </w:trPr>
        <w:tc>
          <w:tcPr>
            <w:tcW w:w="1342"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10.12</w:t>
            </w:r>
          </w:p>
        </w:tc>
        <w:tc>
          <w:tcPr>
            <w:tcW w:w="1458" w:type="dxa"/>
            <w:shd w:val="clear" w:color="auto" w:fill="auto"/>
          </w:tcPr>
          <w:p w:rsidR="00E67DA4" w:rsidRPr="00C903F8" w:rsidRDefault="00E67DA4" w:rsidP="00C01A94">
            <w:pPr>
              <w:spacing w:before="100" w:after="100" w:line="240" w:lineRule="atLeast"/>
              <w:ind w:left="0" w:firstLine="0"/>
              <w:rPr>
                <w:rFonts w:cs="Arial"/>
                <w:sz w:val="18"/>
                <w:szCs w:val="18"/>
              </w:rPr>
            </w:pPr>
          </w:p>
        </w:tc>
        <w:tc>
          <w:tcPr>
            <w:tcW w:w="3296" w:type="dxa"/>
            <w:shd w:val="clear" w:color="auto" w:fill="auto"/>
          </w:tcPr>
          <w:p w:rsidR="00E67DA4" w:rsidRPr="00C903F8" w:rsidRDefault="000B4123" w:rsidP="00C01A94">
            <w:pPr>
              <w:spacing w:before="100" w:after="100" w:line="240" w:lineRule="atLeast"/>
              <w:ind w:left="0" w:firstLine="0"/>
              <w:rPr>
                <w:rFonts w:cs="Arial"/>
                <w:sz w:val="18"/>
                <w:szCs w:val="18"/>
              </w:rPr>
            </w:pPr>
            <w:r w:rsidRPr="000B4123">
              <w:rPr>
                <w:rFonts w:cs="Arial"/>
                <w:sz w:val="18"/>
                <w:szCs w:val="18"/>
              </w:rPr>
              <w:t>Switchgear and controlgear</w:t>
            </w:r>
          </w:p>
        </w:tc>
        <w:tc>
          <w:tcPr>
            <w:tcW w:w="6521" w:type="dxa"/>
            <w:shd w:val="clear" w:color="auto" w:fill="auto"/>
          </w:tcPr>
          <w:p w:rsidR="00E67DA4" w:rsidRPr="00C903F8" w:rsidRDefault="00AD3E75" w:rsidP="00C01A94">
            <w:pPr>
              <w:spacing w:before="100" w:after="100" w:line="240" w:lineRule="atLeast"/>
              <w:ind w:left="0" w:firstLine="0"/>
              <w:rPr>
                <w:rFonts w:cs="Arial"/>
                <w:sz w:val="18"/>
                <w:szCs w:val="18"/>
                <w:lang w:val="en-US"/>
              </w:rPr>
            </w:pPr>
            <w:r>
              <w:rPr>
                <w:rFonts w:cs="Arial"/>
                <w:sz w:val="18"/>
                <w:szCs w:val="18"/>
                <w:lang w:val="en-US"/>
              </w:rPr>
              <w:t>R.C.</w:t>
            </w:r>
            <w:r w:rsidR="00E67DA4" w:rsidRPr="00C903F8">
              <w:rPr>
                <w:rFonts w:cs="Arial"/>
                <w:sz w:val="18"/>
                <w:szCs w:val="18"/>
                <w:lang w:val="en-US"/>
              </w:rPr>
              <w:t>, at the latest on renewal of the inland navigation vessel certificate after</w:t>
            </w:r>
          </w:p>
        </w:tc>
        <w:tc>
          <w:tcPr>
            <w:tcW w:w="1276" w:type="dxa"/>
            <w:shd w:val="clear" w:color="auto" w:fill="auto"/>
          </w:tcPr>
          <w:p w:rsidR="00E67DA4" w:rsidRPr="00C903F8" w:rsidRDefault="00E67DA4" w:rsidP="00C01A94">
            <w:pPr>
              <w:spacing w:before="100" w:after="100" w:line="240" w:lineRule="atLeast"/>
              <w:ind w:left="0" w:firstLine="0"/>
              <w:rPr>
                <w:rFonts w:cs="Arial"/>
                <w:sz w:val="18"/>
                <w:szCs w:val="18"/>
              </w:rPr>
            </w:pPr>
            <w:r w:rsidRPr="00C903F8">
              <w:rPr>
                <w:rFonts w:cs="Arial"/>
                <w:sz w:val="18"/>
                <w:szCs w:val="18"/>
              </w:rPr>
              <w:t>1.1.2015</w:t>
            </w:r>
          </w:p>
        </w:tc>
      </w:tr>
      <w:tr w:rsidR="00E67DA4" w:rsidRPr="00C903F8" w:rsidTr="00E67DA4">
        <w:trPr>
          <w:cantSplit/>
          <w:jc w:val="center"/>
        </w:trPr>
        <w:tc>
          <w:tcPr>
            <w:tcW w:w="1342"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t>10.14</w:t>
            </w:r>
          </w:p>
        </w:tc>
        <w:tc>
          <w:tcPr>
            <w:tcW w:w="1458" w:type="dxa"/>
            <w:shd w:val="clear" w:color="auto" w:fill="auto"/>
          </w:tcPr>
          <w:p w:rsidR="00E67DA4" w:rsidRPr="00C903F8" w:rsidRDefault="00E67DA4" w:rsidP="00C01A94">
            <w:pPr>
              <w:spacing w:before="60" w:after="60" w:line="240" w:lineRule="atLeast"/>
              <w:ind w:left="0" w:firstLine="0"/>
              <w:rPr>
                <w:rFonts w:cs="Arial"/>
                <w:sz w:val="18"/>
                <w:szCs w:val="18"/>
              </w:rPr>
            </w:pPr>
          </w:p>
        </w:tc>
        <w:tc>
          <w:tcPr>
            <w:tcW w:w="3296"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t>Installation fittings</w:t>
            </w:r>
          </w:p>
        </w:tc>
        <w:tc>
          <w:tcPr>
            <w:tcW w:w="6521" w:type="dxa"/>
            <w:shd w:val="clear" w:color="auto" w:fill="auto"/>
          </w:tcPr>
          <w:p w:rsidR="00E67DA4" w:rsidRPr="00C903F8" w:rsidRDefault="00AD3E75" w:rsidP="00C01A94">
            <w:pPr>
              <w:spacing w:before="60" w:after="60" w:line="240" w:lineRule="atLeast"/>
              <w:ind w:left="0" w:firstLine="0"/>
              <w:rPr>
                <w:rFonts w:cs="Arial"/>
                <w:sz w:val="18"/>
                <w:szCs w:val="18"/>
                <w:lang w:val="en-US"/>
              </w:rPr>
            </w:pPr>
            <w:r>
              <w:rPr>
                <w:rFonts w:cs="Arial"/>
                <w:sz w:val="18"/>
                <w:szCs w:val="18"/>
                <w:lang w:val="en-US"/>
              </w:rPr>
              <w:t>R.C.</w:t>
            </w:r>
            <w:r w:rsidR="00E67DA4" w:rsidRPr="00C903F8">
              <w:rPr>
                <w:rFonts w:cs="Arial"/>
                <w:sz w:val="18"/>
                <w:szCs w:val="18"/>
                <w:lang w:val="en-US"/>
              </w:rPr>
              <w:t>, at the latest on renewal of the inland navigation vessel certificate after</w:t>
            </w:r>
          </w:p>
        </w:tc>
        <w:tc>
          <w:tcPr>
            <w:tcW w:w="1276"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t>1.1.2015</w:t>
            </w:r>
          </w:p>
        </w:tc>
      </w:tr>
      <w:tr w:rsidR="00E67DA4" w:rsidRPr="00C903F8" w:rsidTr="00E67DA4">
        <w:trPr>
          <w:cantSplit/>
          <w:jc w:val="center"/>
        </w:trPr>
        <w:tc>
          <w:tcPr>
            <w:tcW w:w="1342"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t>10.15</w:t>
            </w:r>
          </w:p>
        </w:tc>
        <w:tc>
          <w:tcPr>
            <w:tcW w:w="1458" w:type="dxa"/>
            <w:shd w:val="clear" w:color="auto" w:fill="auto"/>
          </w:tcPr>
          <w:p w:rsidR="00E67DA4" w:rsidRPr="00C903F8" w:rsidRDefault="00E67DA4" w:rsidP="00C01A94">
            <w:pPr>
              <w:spacing w:before="60" w:after="60" w:line="240" w:lineRule="atLeast"/>
              <w:ind w:left="0" w:firstLine="0"/>
              <w:rPr>
                <w:rFonts w:cs="Arial"/>
                <w:sz w:val="18"/>
                <w:szCs w:val="18"/>
              </w:rPr>
            </w:pPr>
          </w:p>
        </w:tc>
        <w:tc>
          <w:tcPr>
            <w:tcW w:w="3296"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t>Cables</w:t>
            </w:r>
          </w:p>
        </w:tc>
        <w:tc>
          <w:tcPr>
            <w:tcW w:w="6521" w:type="dxa"/>
            <w:shd w:val="clear" w:color="auto" w:fill="auto"/>
          </w:tcPr>
          <w:p w:rsidR="00E67DA4" w:rsidRPr="00C903F8" w:rsidRDefault="00AD3E75" w:rsidP="00C01A94">
            <w:pPr>
              <w:spacing w:before="60" w:after="60" w:line="240" w:lineRule="atLeast"/>
              <w:ind w:left="0" w:firstLine="0"/>
              <w:rPr>
                <w:rFonts w:cs="Arial"/>
                <w:sz w:val="18"/>
                <w:szCs w:val="18"/>
                <w:lang w:val="en-US"/>
              </w:rPr>
            </w:pPr>
            <w:r>
              <w:rPr>
                <w:rFonts w:cs="Arial"/>
                <w:sz w:val="18"/>
                <w:szCs w:val="18"/>
                <w:lang w:val="en-US"/>
              </w:rPr>
              <w:t>R.C.</w:t>
            </w:r>
            <w:r w:rsidR="00E67DA4" w:rsidRPr="00C903F8">
              <w:rPr>
                <w:rFonts w:cs="Arial"/>
                <w:sz w:val="18"/>
                <w:szCs w:val="18"/>
                <w:lang w:val="en-US"/>
              </w:rPr>
              <w:t>, at the latest on renewal of the inland navigation vessel certificate after</w:t>
            </w:r>
          </w:p>
        </w:tc>
        <w:tc>
          <w:tcPr>
            <w:tcW w:w="1276"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t>1.1.2015</w:t>
            </w:r>
          </w:p>
        </w:tc>
      </w:tr>
      <w:tr w:rsidR="00E67DA4" w:rsidRPr="00C903F8" w:rsidTr="00E67DA4">
        <w:trPr>
          <w:cantSplit/>
          <w:jc w:val="center"/>
        </w:trPr>
        <w:tc>
          <w:tcPr>
            <w:tcW w:w="1342"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lastRenderedPageBreak/>
              <w:t>10.17</w:t>
            </w:r>
          </w:p>
        </w:tc>
        <w:tc>
          <w:tcPr>
            <w:tcW w:w="1458" w:type="dxa"/>
            <w:shd w:val="clear" w:color="auto" w:fill="auto"/>
          </w:tcPr>
          <w:p w:rsidR="00E67DA4" w:rsidRPr="00C903F8" w:rsidRDefault="00E67DA4" w:rsidP="00C01A94">
            <w:pPr>
              <w:spacing w:before="60" w:after="60" w:line="240" w:lineRule="atLeast"/>
              <w:ind w:left="0" w:firstLine="0"/>
              <w:rPr>
                <w:rFonts w:cs="Arial"/>
                <w:sz w:val="18"/>
                <w:szCs w:val="18"/>
              </w:rPr>
            </w:pPr>
          </w:p>
        </w:tc>
        <w:tc>
          <w:tcPr>
            <w:tcW w:w="3296"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t>Navigation lights</w:t>
            </w:r>
          </w:p>
        </w:tc>
        <w:tc>
          <w:tcPr>
            <w:tcW w:w="6521" w:type="dxa"/>
            <w:shd w:val="clear" w:color="auto" w:fill="auto"/>
          </w:tcPr>
          <w:p w:rsidR="00E67DA4" w:rsidRPr="00C903F8" w:rsidRDefault="00AD3E75" w:rsidP="00C01A94">
            <w:pPr>
              <w:spacing w:before="60" w:after="60" w:line="240" w:lineRule="atLeast"/>
              <w:ind w:left="0" w:firstLine="0"/>
              <w:rPr>
                <w:rFonts w:cs="Arial"/>
                <w:sz w:val="18"/>
                <w:szCs w:val="18"/>
                <w:lang w:val="en-US"/>
              </w:rPr>
            </w:pPr>
            <w:r>
              <w:rPr>
                <w:rFonts w:cs="Arial"/>
                <w:sz w:val="18"/>
                <w:szCs w:val="18"/>
                <w:lang w:val="en-US"/>
              </w:rPr>
              <w:t>R.C.</w:t>
            </w:r>
            <w:r w:rsidR="00E67DA4" w:rsidRPr="00C903F8">
              <w:rPr>
                <w:rFonts w:cs="Arial"/>
                <w:sz w:val="18"/>
                <w:szCs w:val="18"/>
                <w:lang w:val="en-US"/>
              </w:rPr>
              <w:t>, at the latest on renewal of the inland navigation vessel certificate after</w:t>
            </w:r>
          </w:p>
        </w:tc>
        <w:tc>
          <w:tcPr>
            <w:tcW w:w="1276"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t>1.1.2015</w:t>
            </w:r>
          </w:p>
        </w:tc>
      </w:tr>
      <w:tr w:rsidR="00E67DA4" w:rsidRPr="00C903F8" w:rsidTr="00E67DA4">
        <w:trPr>
          <w:cantSplit/>
          <w:jc w:val="center"/>
        </w:trPr>
        <w:tc>
          <w:tcPr>
            <w:tcW w:w="6096" w:type="dxa"/>
            <w:gridSpan w:val="3"/>
            <w:shd w:val="clear" w:color="auto" w:fill="auto"/>
          </w:tcPr>
          <w:p w:rsidR="00E67DA4" w:rsidRPr="00C903F8" w:rsidRDefault="00E67DA4" w:rsidP="00C01A94">
            <w:pPr>
              <w:spacing w:before="60" w:after="60" w:line="240" w:lineRule="atLeast"/>
              <w:ind w:left="0" w:firstLine="0"/>
              <w:jc w:val="center"/>
              <w:rPr>
                <w:rFonts w:cs="Arial"/>
                <w:sz w:val="18"/>
                <w:szCs w:val="18"/>
              </w:rPr>
            </w:pPr>
            <w:r w:rsidRPr="00C903F8">
              <w:rPr>
                <w:rFonts w:cs="Arial"/>
                <w:b/>
                <w:sz w:val="18"/>
                <w:szCs w:val="18"/>
              </w:rPr>
              <w:t>CHAPTER 15</w:t>
            </w:r>
          </w:p>
        </w:tc>
        <w:tc>
          <w:tcPr>
            <w:tcW w:w="6521" w:type="dxa"/>
            <w:shd w:val="clear" w:color="auto" w:fill="auto"/>
          </w:tcPr>
          <w:p w:rsidR="00E67DA4" w:rsidRPr="00C903F8" w:rsidRDefault="00E67DA4" w:rsidP="00C01A94">
            <w:pPr>
              <w:spacing w:before="60" w:after="60" w:line="240" w:lineRule="atLeast"/>
              <w:ind w:left="0" w:firstLine="0"/>
              <w:rPr>
                <w:rFonts w:cs="Arial"/>
                <w:sz w:val="18"/>
                <w:szCs w:val="18"/>
              </w:rPr>
            </w:pPr>
          </w:p>
        </w:tc>
        <w:tc>
          <w:tcPr>
            <w:tcW w:w="1276" w:type="dxa"/>
            <w:shd w:val="clear" w:color="auto" w:fill="auto"/>
          </w:tcPr>
          <w:p w:rsidR="00E67DA4" w:rsidRPr="00C903F8" w:rsidRDefault="00E67DA4" w:rsidP="00C01A94">
            <w:pPr>
              <w:spacing w:before="60" w:after="60" w:line="240" w:lineRule="atLeast"/>
              <w:ind w:left="0" w:firstLine="0"/>
              <w:rPr>
                <w:rFonts w:cs="Arial"/>
                <w:sz w:val="18"/>
                <w:szCs w:val="18"/>
              </w:rPr>
            </w:pPr>
          </w:p>
        </w:tc>
      </w:tr>
      <w:tr w:rsidR="00E67DA4" w:rsidRPr="00C903F8" w:rsidTr="00E67DA4">
        <w:trPr>
          <w:cantSplit/>
          <w:jc w:val="center"/>
        </w:trPr>
        <w:tc>
          <w:tcPr>
            <w:tcW w:w="1342"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t>15.02</w:t>
            </w:r>
          </w:p>
        </w:tc>
        <w:tc>
          <w:tcPr>
            <w:tcW w:w="1458" w:type="dxa"/>
            <w:shd w:val="clear" w:color="auto" w:fill="auto"/>
          </w:tcPr>
          <w:p w:rsidR="00E67DA4" w:rsidRPr="00C903F8" w:rsidRDefault="000E732C" w:rsidP="00C01A94">
            <w:pPr>
              <w:spacing w:before="60" w:after="60" w:line="240" w:lineRule="atLeast"/>
              <w:ind w:left="0" w:firstLine="0"/>
              <w:rPr>
                <w:rFonts w:cs="Arial"/>
                <w:sz w:val="18"/>
                <w:szCs w:val="18"/>
              </w:rPr>
            </w:pPr>
            <w:r w:rsidRPr="00C903F8">
              <w:rPr>
                <w:rFonts w:cs="Arial"/>
                <w:sz w:val="18"/>
                <w:szCs w:val="18"/>
              </w:rPr>
              <w:t>(5)</w:t>
            </w:r>
            <w:r w:rsidRPr="00B60926">
              <w:rPr>
                <w:rFonts w:eastAsia="Calibri"/>
                <w:color w:val="000000"/>
                <w:sz w:val="18"/>
                <w:vertAlign w:val="superscript"/>
                <w:lang w:val="en-GB" w:eastAsia="en-GB" w:bidi="en-GB"/>
              </w:rPr>
              <w:footnoteReference w:id="38"/>
            </w:r>
          </w:p>
        </w:tc>
        <w:tc>
          <w:tcPr>
            <w:tcW w:w="3296" w:type="dxa"/>
            <w:shd w:val="clear" w:color="auto" w:fill="auto"/>
          </w:tcPr>
          <w:p w:rsidR="00E67DA4" w:rsidRPr="00C903F8" w:rsidRDefault="00E67DA4" w:rsidP="00C01A94">
            <w:pPr>
              <w:spacing w:before="60" w:after="60" w:line="240" w:lineRule="atLeast"/>
              <w:ind w:left="0" w:firstLine="0"/>
              <w:rPr>
                <w:rFonts w:cs="Arial"/>
                <w:sz w:val="18"/>
                <w:szCs w:val="18"/>
                <w:lang w:val="en-US"/>
              </w:rPr>
            </w:pPr>
            <w:r w:rsidRPr="00C903F8">
              <w:rPr>
                <w:rFonts w:cs="Arial"/>
                <w:noProof/>
                <w:sz w:val="18"/>
                <w:szCs w:val="18"/>
                <w:lang w:val="en-US"/>
              </w:rPr>
              <w:t>Noise and vibration in accommodations</w:t>
            </w:r>
          </w:p>
        </w:tc>
        <w:tc>
          <w:tcPr>
            <w:tcW w:w="6521" w:type="dxa"/>
            <w:shd w:val="clear" w:color="auto" w:fill="auto"/>
          </w:tcPr>
          <w:p w:rsidR="00E67DA4" w:rsidRPr="00C903F8" w:rsidRDefault="00AD3E75" w:rsidP="00C01A94">
            <w:pPr>
              <w:spacing w:before="60" w:after="60" w:line="240" w:lineRule="atLeast"/>
              <w:ind w:left="0" w:firstLine="0"/>
              <w:rPr>
                <w:rFonts w:cs="Arial"/>
                <w:sz w:val="18"/>
                <w:szCs w:val="18"/>
                <w:lang w:val="en-US"/>
              </w:rPr>
            </w:pPr>
            <w:r>
              <w:rPr>
                <w:rFonts w:cs="Arial"/>
                <w:sz w:val="18"/>
                <w:szCs w:val="18"/>
                <w:lang w:val="en-US"/>
              </w:rPr>
              <w:t>R.C.</w:t>
            </w:r>
            <w:r w:rsidR="00E67DA4" w:rsidRPr="00C903F8">
              <w:rPr>
                <w:rFonts w:cs="Arial"/>
                <w:sz w:val="18"/>
                <w:szCs w:val="18"/>
                <w:lang w:val="en-US"/>
              </w:rPr>
              <w:t>, at the latest on renewal of the inland navigation vessel certificate after</w:t>
            </w:r>
          </w:p>
        </w:tc>
        <w:tc>
          <w:tcPr>
            <w:tcW w:w="1276"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t>1.1.2020</w:t>
            </w:r>
          </w:p>
        </w:tc>
      </w:tr>
      <w:tr w:rsidR="00E67DA4" w:rsidRPr="00C903F8" w:rsidTr="00E67DA4">
        <w:trPr>
          <w:cantSplit/>
          <w:jc w:val="center"/>
        </w:trPr>
        <w:tc>
          <w:tcPr>
            <w:tcW w:w="6096" w:type="dxa"/>
            <w:gridSpan w:val="3"/>
            <w:shd w:val="clear" w:color="auto" w:fill="auto"/>
          </w:tcPr>
          <w:p w:rsidR="00E67DA4" w:rsidRPr="00C903F8" w:rsidRDefault="00E67DA4" w:rsidP="00C01A94">
            <w:pPr>
              <w:spacing w:before="60" w:after="60" w:line="240" w:lineRule="atLeast"/>
              <w:ind w:left="0" w:firstLine="0"/>
              <w:jc w:val="center"/>
              <w:rPr>
                <w:rFonts w:cs="Arial"/>
                <w:sz w:val="18"/>
                <w:szCs w:val="18"/>
              </w:rPr>
            </w:pPr>
            <w:r w:rsidRPr="00C903F8">
              <w:rPr>
                <w:rFonts w:cs="Arial"/>
                <w:b/>
                <w:sz w:val="18"/>
                <w:szCs w:val="18"/>
              </w:rPr>
              <w:t>CHAPTER 19</w:t>
            </w:r>
          </w:p>
        </w:tc>
        <w:tc>
          <w:tcPr>
            <w:tcW w:w="6521" w:type="dxa"/>
            <w:shd w:val="clear" w:color="auto" w:fill="auto"/>
          </w:tcPr>
          <w:p w:rsidR="00E67DA4" w:rsidRPr="00C903F8" w:rsidRDefault="00E67DA4" w:rsidP="00C01A94">
            <w:pPr>
              <w:spacing w:before="60" w:after="60" w:line="240" w:lineRule="atLeast"/>
              <w:ind w:left="0" w:firstLine="0"/>
              <w:rPr>
                <w:rFonts w:cs="Arial"/>
                <w:sz w:val="18"/>
                <w:szCs w:val="18"/>
              </w:rPr>
            </w:pPr>
          </w:p>
        </w:tc>
        <w:tc>
          <w:tcPr>
            <w:tcW w:w="1276" w:type="dxa"/>
            <w:shd w:val="clear" w:color="auto" w:fill="auto"/>
          </w:tcPr>
          <w:p w:rsidR="00E67DA4" w:rsidRPr="00C903F8" w:rsidRDefault="00E67DA4" w:rsidP="00C01A94">
            <w:pPr>
              <w:spacing w:before="60" w:after="60" w:line="240" w:lineRule="atLeast"/>
              <w:ind w:left="0" w:firstLine="0"/>
              <w:rPr>
                <w:rFonts w:cs="Arial"/>
                <w:sz w:val="18"/>
                <w:szCs w:val="18"/>
              </w:rPr>
            </w:pPr>
          </w:p>
        </w:tc>
      </w:tr>
      <w:tr w:rsidR="00A26CDA" w:rsidRPr="00C903F8" w:rsidTr="00E67DA4">
        <w:trPr>
          <w:cantSplit/>
          <w:jc w:val="center"/>
        </w:trPr>
        <w:tc>
          <w:tcPr>
            <w:tcW w:w="1342" w:type="dxa"/>
            <w:vMerge w:val="restart"/>
            <w:shd w:val="clear" w:color="auto" w:fill="auto"/>
          </w:tcPr>
          <w:p w:rsidR="00A26CDA" w:rsidRPr="00C903F8" w:rsidRDefault="00A26CDA" w:rsidP="00C01A94">
            <w:pPr>
              <w:spacing w:before="60" w:after="60" w:line="240" w:lineRule="atLeast"/>
              <w:ind w:left="0" w:firstLine="0"/>
              <w:rPr>
                <w:rFonts w:cs="Arial"/>
                <w:sz w:val="18"/>
                <w:szCs w:val="18"/>
              </w:rPr>
            </w:pPr>
            <w:r w:rsidRPr="00C903F8">
              <w:rPr>
                <w:rFonts w:cs="Arial"/>
                <w:sz w:val="18"/>
                <w:szCs w:val="18"/>
              </w:rPr>
              <w:t>19.02</w:t>
            </w:r>
          </w:p>
        </w:tc>
        <w:tc>
          <w:tcPr>
            <w:tcW w:w="1458" w:type="dxa"/>
            <w:shd w:val="clear" w:color="auto" w:fill="auto"/>
          </w:tcPr>
          <w:p w:rsidR="00A26CDA" w:rsidRPr="00C903F8" w:rsidRDefault="00A26CDA" w:rsidP="00C01A94">
            <w:pPr>
              <w:spacing w:before="60" w:after="60" w:line="240" w:lineRule="atLeast"/>
              <w:ind w:left="0" w:firstLine="0"/>
              <w:rPr>
                <w:rFonts w:cs="Arial"/>
                <w:sz w:val="18"/>
                <w:szCs w:val="18"/>
              </w:rPr>
            </w:pPr>
            <w:r w:rsidRPr="00C903F8">
              <w:rPr>
                <w:rFonts w:cs="Arial"/>
                <w:sz w:val="18"/>
                <w:szCs w:val="18"/>
              </w:rPr>
              <w:t>(3)</w:t>
            </w:r>
          </w:p>
        </w:tc>
        <w:tc>
          <w:tcPr>
            <w:tcW w:w="3296" w:type="dxa"/>
            <w:shd w:val="clear" w:color="auto" w:fill="auto"/>
          </w:tcPr>
          <w:p w:rsidR="00A26CDA" w:rsidRPr="00C903F8" w:rsidRDefault="00A26CDA" w:rsidP="00C01A94">
            <w:pPr>
              <w:spacing w:before="60" w:after="60" w:line="240" w:lineRule="atLeast"/>
              <w:ind w:left="0" w:firstLine="0"/>
              <w:rPr>
                <w:rFonts w:cs="Arial"/>
                <w:sz w:val="18"/>
                <w:szCs w:val="18"/>
                <w:lang w:val="en-US"/>
              </w:rPr>
            </w:pPr>
            <w:r w:rsidRPr="00C903F8">
              <w:rPr>
                <w:rFonts w:cs="Arial"/>
                <w:sz w:val="18"/>
                <w:szCs w:val="18"/>
                <w:lang w:val="en-US"/>
              </w:rPr>
              <w:t>Situation of collision and aft-peak bulkheads</w:t>
            </w:r>
          </w:p>
        </w:tc>
        <w:tc>
          <w:tcPr>
            <w:tcW w:w="6521" w:type="dxa"/>
            <w:shd w:val="clear" w:color="auto" w:fill="auto"/>
          </w:tcPr>
          <w:p w:rsidR="00A26CDA" w:rsidRPr="00C903F8" w:rsidRDefault="00AD3E75" w:rsidP="00C01A94">
            <w:pPr>
              <w:spacing w:before="60" w:after="60" w:line="240" w:lineRule="atLeast"/>
              <w:ind w:left="0" w:firstLine="0"/>
              <w:rPr>
                <w:rFonts w:cs="Arial"/>
                <w:sz w:val="18"/>
                <w:szCs w:val="18"/>
                <w:lang w:val="en-US"/>
              </w:rPr>
            </w:pPr>
            <w:r>
              <w:rPr>
                <w:rFonts w:cs="Arial"/>
                <w:sz w:val="18"/>
                <w:szCs w:val="18"/>
                <w:lang w:val="en-US"/>
              </w:rPr>
              <w:t>R.C.</w:t>
            </w:r>
            <w:r w:rsidR="00A26CDA" w:rsidRPr="00C903F8">
              <w:rPr>
                <w:rFonts w:cs="Arial"/>
                <w:sz w:val="18"/>
                <w:szCs w:val="18"/>
                <w:lang w:val="en-US"/>
              </w:rPr>
              <w:t>, at the latest on renewal of the inland navigation vessel certificate after</w:t>
            </w:r>
          </w:p>
        </w:tc>
        <w:tc>
          <w:tcPr>
            <w:tcW w:w="1276" w:type="dxa"/>
            <w:shd w:val="clear" w:color="auto" w:fill="auto"/>
          </w:tcPr>
          <w:p w:rsidR="00A26CDA" w:rsidRPr="00C903F8" w:rsidRDefault="00A26CDA" w:rsidP="00C01A94">
            <w:pPr>
              <w:spacing w:before="60" w:after="60" w:line="240" w:lineRule="atLeast"/>
              <w:ind w:left="0" w:firstLine="0"/>
              <w:rPr>
                <w:rFonts w:cs="Arial"/>
                <w:sz w:val="18"/>
                <w:szCs w:val="18"/>
              </w:rPr>
            </w:pPr>
            <w:r w:rsidRPr="00C903F8">
              <w:rPr>
                <w:rFonts w:cs="Arial"/>
                <w:sz w:val="18"/>
                <w:szCs w:val="18"/>
              </w:rPr>
              <w:t>1.1.2045</w:t>
            </w:r>
          </w:p>
        </w:tc>
      </w:tr>
      <w:tr w:rsidR="00A26CDA" w:rsidRPr="00C903F8" w:rsidTr="00E67DA4">
        <w:trPr>
          <w:cantSplit/>
          <w:jc w:val="center"/>
        </w:trPr>
        <w:tc>
          <w:tcPr>
            <w:tcW w:w="1342" w:type="dxa"/>
            <w:vMerge/>
            <w:shd w:val="clear" w:color="auto" w:fill="auto"/>
          </w:tcPr>
          <w:p w:rsidR="00A26CDA" w:rsidRPr="00C903F8" w:rsidRDefault="00A26CDA" w:rsidP="00C01A94">
            <w:pPr>
              <w:spacing w:before="60" w:after="60" w:line="240" w:lineRule="atLeast"/>
              <w:ind w:left="0" w:firstLine="0"/>
              <w:rPr>
                <w:rFonts w:cs="Arial"/>
                <w:sz w:val="18"/>
                <w:szCs w:val="18"/>
              </w:rPr>
            </w:pPr>
          </w:p>
        </w:tc>
        <w:tc>
          <w:tcPr>
            <w:tcW w:w="1458" w:type="dxa"/>
            <w:shd w:val="clear" w:color="auto" w:fill="auto"/>
          </w:tcPr>
          <w:p w:rsidR="00A26CDA" w:rsidRPr="00C903F8" w:rsidRDefault="00A26CDA" w:rsidP="00C01A94">
            <w:pPr>
              <w:spacing w:before="60" w:after="60" w:line="240" w:lineRule="atLeast"/>
              <w:ind w:left="0" w:firstLine="0"/>
              <w:rPr>
                <w:rFonts w:cs="Arial"/>
                <w:sz w:val="18"/>
                <w:szCs w:val="18"/>
              </w:rPr>
            </w:pPr>
            <w:r w:rsidRPr="00C903F8">
              <w:rPr>
                <w:rFonts w:cs="Arial"/>
                <w:sz w:val="18"/>
                <w:szCs w:val="18"/>
              </w:rPr>
              <w:t>(5), (6) 1st sentence, (7) to (11), and (13)</w:t>
            </w:r>
          </w:p>
        </w:tc>
        <w:tc>
          <w:tcPr>
            <w:tcW w:w="3296" w:type="dxa"/>
            <w:shd w:val="clear" w:color="auto" w:fill="auto"/>
          </w:tcPr>
          <w:p w:rsidR="00A26CDA" w:rsidRPr="00C903F8" w:rsidRDefault="00A26CDA" w:rsidP="00C01A94">
            <w:pPr>
              <w:spacing w:before="60" w:after="60" w:line="240" w:lineRule="atLeast"/>
              <w:ind w:left="0" w:firstLine="0"/>
              <w:rPr>
                <w:rFonts w:cs="Arial"/>
                <w:sz w:val="18"/>
                <w:szCs w:val="18"/>
                <w:lang w:val="en-US"/>
              </w:rPr>
            </w:pPr>
            <w:r w:rsidRPr="00C903F8">
              <w:rPr>
                <w:rFonts w:cs="Arial"/>
                <w:noProof/>
                <w:sz w:val="18"/>
                <w:szCs w:val="18"/>
                <w:lang w:val="en-US"/>
              </w:rPr>
              <w:t>Margin line if no bulkhead deck</w:t>
            </w:r>
          </w:p>
        </w:tc>
        <w:tc>
          <w:tcPr>
            <w:tcW w:w="6521" w:type="dxa"/>
            <w:shd w:val="clear" w:color="auto" w:fill="auto"/>
          </w:tcPr>
          <w:p w:rsidR="00A26CDA" w:rsidRPr="00C903F8" w:rsidRDefault="00AD3E75" w:rsidP="00C01A94">
            <w:pPr>
              <w:spacing w:before="60" w:after="60" w:line="240" w:lineRule="atLeast"/>
              <w:ind w:left="0" w:firstLine="0"/>
              <w:rPr>
                <w:rFonts w:cs="Arial"/>
                <w:sz w:val="18"/>
                <w:szCs w:val="18"/>
                <w:lang w:val="en-US"/>
              </w:rPr>
            </w:pPr>
            <w:r>
              <w:rPr>
                <w:rFonts w:cs="Arial"/>
                <w:sz w:val="18"/>
                <w:szCs w:val="18"/>
                <w:lang w:val="en-US"/>
              </w:rPr>
              <w:t>R.C.</w:t>
            </w:r>
            <w:r w:rsidR="00A26CDA" w:rsidRPr="00C903F8">
              <w:rPr>
                <w:rFonts w:cs="Arial"/>
                <w:sz w:val="18"/>
                <w:szCs w:val="18"/>
                <w:lang w:val="en-US"/>
              </w:rPr>
              <w:t>, at the latest on renewal of the inland navigation vessel certificate after</w:t>
            </w:r>
          </w:p>
        </w:tc>
        <w:tc>
          <w:tcPr>
            <w:tcW w:w="1276" w:type="dxa"/>
            <w:shd w:val="clear" w:color="auto" w:fill="auto"/>
          </w:tcPr>
          <w:p w:rsidR="00A26CDA" w:rsidRPr="00C903F8" w:rsidRDefault="00A26CDA" w:rsidP="00C01A94">
            <w:pPr>
              <w:spacing w:before="60" w:after="60" w:line="240" w:lineRule="atLeast"/>
              <w:ind w:left="0" w:firstLine="0"/>
              <w:rPr>
                <w:rFonts w:cs="Arial"/>
                <w:sz w:val="18"/>
                <w:szCs w:val="18"/>
              </w:rPr>
            </w:pPr>
            <w:r w:rsidRPr="00C903F8">
              <w:rPr>
                <w:rFonts w:cs="Arial"/>
                <w:sz w:val="18"/>
                <w:szCs w:val="18"/>
              </w:rPr>
              <w:t>1.1.2045</w:t>
            </w:r>
          </w:p>
        </w:tc>
      </w:tr>
      <w:tr w:rsidR="00A26CDA" w:rsidRPr="00C903F8" w:rsidTr="00E67DA4">
        <w:trPr>
          <w:cantSplit/>
          <w:jc w:val="center"/>
        </w:trPr>
        <w:tc>
          <w:tcPr>
            <w:tcW w:w="1342" w:type="dxa"/>
            <w:vMerge/>
            <w:shd w:val="clear" w:color="auto" w:fill="auto"/>
          </w:tcPr>
          <w:p w:rsidR="00A26CDA" w:rsidRPr="00C903F8" w:rsidRDefault="00A26CDA" w:rsidP="00C01A94">
            <w:pPr>
              <w:spacing w:before="60" w:after="60" w:line="240" w:lineRule="atLeast"/>
              <w:ind w:left="0" w:firstLine="0"/>
              <w:rPr>
                <w:rFonts w:cs="Arial"/>
                <w:sz w:val="18"/>
                <w:szCs w:val="18"/>
              </w:rPr>
            </w:pPr>
          </w:p>
        </w:tc>
        <w:tc>
          <w:tcPr>
            <w:tcW w:w="1458" w:type="dxa"/>
            <w:shd w:val="clear" w:color="auto" w:fill="auto"/>
          </w:tcPr>
          <w:p w:rsidR="00A26CDA" w:rsidRPr="00C903F8" w:rsidRDefault="00A26CDA" w:rsidP="00C01A94">
            <w:pPr>
              <w:spacing w:before="60" w:after="60" w:line="240" w:lineRule="atLeast"/>
              <w:ind w:left="0" w:firstLine="0"/>
              <w:rPr>
                <w:rFonts w:cs="Arial"/>
                <w:sz w:val="18"/>
                <w:szCs w:val="18"/>
              </w:rPr>
            </w:pPr>
            <w:r w:rsidRPr="00C903F8">
              <w:rPr>
                <w:rFonts w:cs="Arial"/>
                <w:sz w:val="18"/>
                <w:szCs w:val="18"/>
              </w:rPr>
              <w:t>(16)</w:t>
            </w:r>
          </w:p>
        </w:tc>
        <w:tc>
          <w:tcPr>
            <w:tcW w:w="3296" w:type="dxa"/>
            <w:shd w:val="clear" w:color="auto" w:fill="auto"/>
          </w:tcPr>
          <w:p w:rsidR="00A26CDA" w:rsidRPr="00C903F8" w:rsidRDefault="00A26CDA" w:rsidP="00C01A94">
            <w:pPr>
              <w:spacing w:before="60" w:after="60" w:line="240" w:lineRule="atLeast"/>
              <w:ind w:left="0" w:firstLine="0"/>
              <w:rPr>
                <w:rFonts w:cs="Arial"/>
                <w:sz w:val="18"/>
                <w:szCs w:val="18"/>
              </w:rPr>
            </w:pPr>
            <w:r w:rsidRPr="00C903F8">
              <w:rPr>
                <w:rFonts w:cs="Arial"/>
                <w:noProof/>
                <w:sz w:val="18"/>
                <w:szCs w:val="18"/>
              </w:rPr>
              <w:t>Watertight windows</w:t>
            </w:r>
          </w:p>
        </w:tc>
        <w:tc>
          <w:tcPr>
            <w:tcW w:w="6521" w:type="dxa"/>
            <w:shd w:val="clear" w:color="auto" w:fill="auto"/>
          </w:tcPr>
          <w:p w:rsidR="00A26CDA" w:rsidRPr="00C903F8" w:rsidRDefault="00AD3E75" w:rsidP="00C01A94">
            <w:pPr>
              <w:spacing w:before="60" w:after="60" w:line="240" w:lineRule="atLeast"/>
              <w:ind w:left="0" w:firstLine="0"/>
              <w:rPr>
                <w:rFonts w:cs="Arial"/>
                <w:sz w:val="18"/>
                <w:szCs w:val="18"/>
                <w:lang w:val="en-US"/>
              </w:rPr>
            </w:pPr>
            <w:r>
              <w:rPr>
                <w:rFonts w:cs="Arial"/>
                <w:sz w:val="18"/>
                <w:szCs w:val="18"/>
                <w:lang w:val="en-US"/>
              </w:rPr>
              <w:t>R.C.</w:t>
            </w:r>
            <w:r w:rsidR="00A26CDA" w:rsidRPr="00C903F8">
              <w:rPr>
                <w:rFonts w:cs="Arial"/>
                <w:sz w:val="18"/>
                <w:szCs w:val="18"/>
                <w:lang w:val="en-US"/>
              </w:rPr>
              <w:t>, at the latest on renewal of the inland navigation vessel certificate after</w:t>
            </w:r>
          </w:p>
        </w:tc>
        <w:tc>
          <w:tcPr>
            <w:tcW w:w="1276" w:type="dxa"/>
            <w:shd w:val="clear" w:color="auto" w:fill="auto"/>
          </w:tcPr>
          <w:p w:rsidR="00A26CDA" w:rsidRPr="00C903F8" w:rsidRDefault="00A26CDA" w:rsidP="00C01A94">
            <w:pPr>
              <w:spacing w:before="60" w:after="60" w:line="240" w:lineRule="atLeast"/>
              <w:ind w:left="0" w:firstLine="0"/>
              <w:rPr>
                <w:rFonts w:cs="Arial"/>
                <w:sz w:val="18"/>
                <w:szCs w:val="18"/>
              </w:rPr>
            </w:pPr>
            <w:r w:rsidRPr="00C903F8">
              <w:rPr>
                <w:rFonts w:cs="Arial"/>
                <w:sz w:val="18"/>
                <w:szCs w:val="18"/>
              </w:rPr>
              <w:t>1.1.2045</w:t>
            </w:r>
          </w:p>
        </w:tc>
      </w:tr>
      <w:tr w:rsidR="00E67DA4" w:rsidRPr="00C903F8" w:rsidTr="00E67DA4">
        <w:trPr>
          <w:cantSplit/>
          <w:jc w:val="center"/>
        </w:trPr>
        <w:tc>
          <w:tcPr>
            <w:tcW w:w="1342"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t>19.04</w:t>
            </w:r>
          </w:p>
        </w:tc>
        <w:tc>
          <w:tcPr>
            <w:tcW w:w="1458" w:type="dxa"/>
            <w:shd w:val="clear" w:color="auto" w:fill="auto"/>
          </w:tcPr>
          <w:p w:rsidR="00E67DA4" w:rsidRPr="00C903F8" w:rsidRDefault="00E67DA4" w:rsidP="00C01A94">
            <w:pPr>
              <w:spacing w:before="60" w:after="60" w:line="240" w:lineRule="atLeast"/>
              <w:ind w:left="0" w:firstLine="0"/>
              <w:rPr>
                <w:rFonts w:cs="Arial"/>
                <w:sz w:val="18"/>
                <w:szCs w:val="18"/>
              </w:rPr>
            </w:pPr>
          </w:p>
        </w:tc>
        <w:tc>
          <w:tcPr>
            <w:tcW w:w="3296" w:type="dxa"/>
            <w:shd w:val="clear" w:color="auto" w:fill="auto"/>
          </w:tcPr>
          <w:p w:rsidR="00E67DA4" w:rsidRPr="00C903F8" w:rsidRDefault="00E67DA4" w:rsidP="00C01A94">
            <w:pPr>
              <w:spacing w:before="60" w:after="60" w:line="240" w:lineRule="atLeast"/>
              <w:ind w:left="0" w:firstLine="0"/>
              <w:rPr>
                <w:rFonts w:cs="Arial"/>
                <w:sz w:val="18"/>
                <w:szCs w:val="18"/>
                <w:lang w:val="en-US"/>
              </w:rPr>
            </w:pPr>
            <w:r w:rsidRPr="00C903F8">
              <w:rPr>
                <w:rFonts w:cs="Arial"/>
                <w:noProof/>
                <w:sz w:val="18"/>
                <w:szCs w:val="18"/>
                <w:lang w:val="en-US"/>
              </w:rPr>
              <w:t>Safety clearance, freeboard, immersion measures</w:t>
            </w:r>
          </w:p>
        </w:tc>
        <w:tc>
          <w:tcPr>
            <w:tcW w:w="6521" w:type="dxa"/>
            <w:shd w:val="clear" w:color="auto" w:fill="auto"/>
          </w:tcPr>
          <w:p w:rsidR="00E67DA4" w:rsidRPr="00C903F8" w:rsidRDefault="00AD3E75" w:rsidP="00C01A94">
            <w:pPr>
              <w:spacing w:before="60" w:after="60" w:line="240" w:lineRule="atLeast"/>
              <w:ind w:left="0" w:firstLine="0"/>
              <w:rPr>
                <w:rFonts w:cs="Arial"/>
                <w:sz w:val="18"/>
                <w:szCs w:val="18"/>
                <w:lang w:val="en-US"/>
              </w:rPr>
            </w:pPr>
            <w:r>
              <w:rPr>
                <w:rFonts w:cs="Arial"/>
                <w:sz w:val="18"/>
                <w:szCs w:val="18"/>
                <w:lang w:val="en-US"/>
              </w:rPr>
              <w:t>R.C.</w:t>
            </w:r>
            <w:r w:rsidR="00E67DA4" w:rsidRPr="00C903F8">
              <w:rPr>
                <w:rFonts w:cs="Arial"/>
                <w:sz w:val="18"/>
                <w:szCs w:val="18"/>
                <w:lang w:val="en-US"/>
              </w:rPr>
              <w:t>, at the latest on renewal of the inland navigation vessel certificate after</w:t>
            </w:r>
          </w:p>
        </w:tc>
        <w:tc>
          <w:tcPr>
            <w:tcW w:w="1276"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t>1.1.2045</w:t>
            </w:r>
          </w:p>
        </w:tc>
      </w:tr>
      <w:tr w:rsidR="00E67DA4" w:rsidRPr="00C903F8" w:rsidTr="00E67DA4">
        <w:trPr>
          <w:cantSplit/>
          <w:jc w:val="center"/>
        </w:trPr>
        <w:tc>
          <w:tcPr>
            <w:tcW w:w="1342"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t>19.05</w:t>
            </w:r>
          </w:p>
        </w:tc>
        <w:tc>
          <w:tcPr>
            <w:tcW w:w="1458" w:type="dxa"/>
            <w:shd w:val="clear" w:color="auto" w:fill="auto"/>
          </w:tcPr>
          <w:p w:rsidR="00E67DA4" w:rsidRPr="00C903F8" w:rsidRDefault="00E67DA4" w:rsidP="00C01A94">
            <w:pPr>
              <w:spacing w:before="60" w:after="60" w:line="240" w:lineRule="atLeast"/>
              <w:ind w:left="0" w:firstLine="0"/>
              <w:rPr>
                <w:rFonts w:cs="Arial"/>
                <w:sz w:val="18"/>
                <w:szCs w:val="18"/>
              </w:rPr>
            </w:pPr>
          </w:p>
        </w:tc>
        <w:tc>
          <w:tcPr>
            <w:tcW w:w="3296" w:type="dxa"/>
            <w:shd w:val="clear" w:color="auto" w:fill="auto"/>
          </w:tcPr>
          <w:p w:rsidR="00E67DA4" w:rsidRPr="00C903F8" w:rsidRDefault="00E67DA4" w:rsidP="00C01A94">
            <w:pPr>
              <w:tabs>
                <w:tab w:val="left" w:pos="1080"/>
              </w:tabs>
              <w:spacing w:before="60" w:after="60" w:line="240" w:lineRule="atLeast"/>
              <w:ind w:left="0" w:firstLine="0"/>
              <w:rPr>
                <w:rFonts w:cs="Arial"/>
                <w:sz w:val="18"/>
                <w:szCs w:val="18"/>
              </w:rPr>
            </w:pPr>
            <w:r w:rsidRPr="00C903F8">
              <w:rPr>
                <w:rFonts w:cs="Arial"/>
                <w:noProof/>
                <w:sz w:val="18"/>
                <w:szCs w:val="18"/>
              </w:rPr>
              <w:t>Number of passengers</w:t>
            </w:r>
          </w:p>
        </w:tc>
        <w:tc>
          <w:tcPr>
            <w:tcW w:w="6521" w:type="dxa"/>
            <w:shd w:val="clear" w:color="auto" w:fill="auto"/>
          </w:tcPr>
          <w:p w:rsidR="00E67DA4" w:rsidRPr="00C903F8" w:rsidRDefault="00E67DA4" w:rsidP="00C01A94">
            <w:pPr>
              <w:spacing w:before="60" w:after="60" w:line="240" w:lineRule="atLeast"/>
              <w:ind w:left="0" w:firstLine="0"/>
              <w:rPr>
                <w:rFonts w:cs="Arial"/>
                <w:sz w:val="18"/>
                <w:szCs w:val="18"/>
                <w:lang w:val="en-US"/>
              </w:rPr>
            </w:pPr>
            <w:r w:rsidRPr="00C903F8">
              <w:rPr>
                <w:rFonts w:cs="Arial"/>
                <w:sz w:val="18"/>
                <w:szCs w:val="18"/>
                <w:lang w:val="en-US"/>
              </w:rPr>
              <w:t>Renewal of the inland navigation vessel certificate after</w:t>
            </w:r>
          </w:p>
        </w:tc>
        <w:tc>
          <w:tcPr>
            <w:tcW w:w="1276"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t>1.1.2045</w:t>
            </w:r>
          </w:p>
        </w:tc>
      </w:tr>
      <w:tr w:rsidR="00E67DA4" w:rsidRPr="00C903F8" w:rsidTr="00E67DA4">
        <w:trPr>
          <w:cantSplit/>
          <w:jc w:val="center"/>
        </w:trPr>
        <w:tc>
          <w:tcPr>
            <w:tcW w:w="1342"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t>19.10</w:t>
            </w:r>
          </w:p>
        </w:tc>
        <w:tc>
          <w:tcPr>
            <w:tcW w:w="1458" w:type="dxa"/>
            <w:shd w:val="clear" w:color="auto" w:fill="auto"/>
          </w:tcPr>
          <w:p w:rsidR="00E67DA4" w:rsidRPr="00C903F8" w:rsidRDefault="00E67DA4" w:rsidP="00C01A94">
            <w:pPr>
              <w:spacing w:before="60" w:after="60" w:line="240" w:lineRule="atLeast"/>
              <w:ind w:left="0" w:firstLine="0"/>
              <w:rPr>
                <w:rFonts w:cs="Arial"/>
                <w:sz w:val="18"/>
                <w:szCs w:val="18"/>
                <w:lang w:val="en-US"/>
              </w:rPr>
            </w:pPr>
            <w:r w:rsidRPr="00C903F8">
              <w:rPr>
                <w:rFonts w:cs="Arial"/>
                <w:sz w:val="18"/>
                <w:szCs w:val="18"/>
                <w:lang w:val="en-US"/>
              </w:rPr>
              <w:t>(4), (6), (7), (8) and (11)</w:t>
            </w:r>
          </w:p>
        </w:tc>
        <w:tc>
          <w:tcPr>
            <w:tcW w:w="3296" w:type="dxa"/>
            <w:shd w:val="clear" w:color="auto" w:fill="auto"/>
          </w:tcPr>
          <w:p w:rsidR="00E67DA4" w:rsidRPr="00C903F8" w:rsidRDefault="00E67DA4" w:rsidP="00C01A94">
            <w:pPr>
              <w:tabs>
                <w:tab w:val="left" w:pos="1080"/>
              </w:tabs>
              <w:spacing w:before="60" w:after="60" w:line="240" w:lineRule="atLeast"/>
              <w:ind w:left="0" w:firstLine="0"/>
              <w:rPr>
                <w:rFonts w:cs="Arial"/>
                <w:sz w:val="18"/>
                <w:szCs w:val="18"/>
              </w:rPr>
            </w:pPr>
            <w:r w:rsidRPr="00C903F8">
              <w:rPr>
                <w:rFonts w:cs="Arial"/>
                <w:noProof/>
                <w:sz w:val="18"/>
                <w:szCs w:val="18"/>
              </w:rPr>
              <w:t>Emergency power plant</w:t>
            </w:r>
          </w:p>
        </w:tc>
        <w:tc>
          <w:tcPr>
            <w:tcW w:w="6521" w:type="dxa"/>
            <w:shd w:val="clear" w:color="auto" w:fill="auto"/>
          </w:tcPr>
          <w:p w:rsidR="00E67DA4" w:rsidRPr="00C903F8" w:rsidRDefault="00AD3E75" w:rsidP="00C01A94">
            <w:pPr>
              <w:spacing w:before="60" w:after="60" w:line="240" w:lineRule="atLeast"/>
              <w:ind w:left="0" w:firstLine="0"/>
              <w:rPr>
                <w:rFonts w:cs="Arial"/>
                <w:sz w:val="18"/>
                <w:szCs w:val="18"/>
                <w:lang w:val="en-US"/>
              </w:rPr>
            </w:pPr>
            <w:r>
              <w:rPr>
                <w:rFonts w:cs="Arial"/>
                <w:sz w:val="18"/>
                <w:szCs w:val="18"/>
                <w:lang w:val="en-US"/>
              </w:rPr>
              <w:t>R.C.</w:t>
            </w:r>
            <w:r w:rsidR="00E67DA4" w:rsidRPr="00C903F8">
              <w:rPr>
                <w:rFonts w:cs="Arial"/>
                <w:sz w:val="18"/>
                <w:szCs w:val="18"/>
                <w:lang w:val="en-US"/>
              </w:rPr>
              <w:t>, at the latest on renewal of the inland navigation vessel certificate after</w:t>
            </w:r>
          </w:p>
        </w:tc>
        <w:tc>
          <w:tcPr>
            <w:tcW w:w="1276" w:type="dxa"/>
            <w:shd w:val="clear" w:color="auto" w:fill="auto"/>
          </w:tcPr>
          <w:p w:rsidR="00E67DA4" w:rsidRPr="00C903F8" w:rsidRDefault="00E67DA4" w:rsidP="00C01A94">
            <w:pPr>
              <w:spacing w:before="60" w:after="60" w:line="240" w:lineRule="atLeast"/>
              <w:ind w:left="0" w:firstLine="0"/>
              <w:rPr>
                <w:rFonts w:cs="Arial"/>
                <w:sz w:val="18"/>
                <w:szCs w:val="18"/>
              </w:rPr>
            </w:pPr>
            <w:r w:rsidRPr="00C903F8">
              <w:rPr>
                <w:rFonts w:cs="Arial"/>
                <w:sz w:val="18"/>
                <w:szCs w:val="18"/>
              </w:rPr>
              <w:t>1.1.2045</w:t>
            </w:r>
          </w:p>
        </w:tc>
      </w:tr>
    </w:tbl>
    <w:p w:rsidR="001E2331" w:rsidRDefault="001E2331" w:rsidP="001E2331">
      <w:pPr>
        <w:spacing w:line="240" w:lineRule="atLeast"/>
        <w:ind w:left="567" w:hanging="567"/>
      </w:pPr>
    </w:p>
    <w:p w:rsidR="00C01A94" w:rsidRDefault="00C01A94">
      <w:pPr>
        <w:autoSpaceDE/>
        <w:autoSpaceDN/>
        <w:ind w:left="0" w:firstLine="0"/>
        <w:jc w:val="left"/>
      </w:pPr>
      <w:r>
        <w:br w:type="page"/>
      </w:r>
    </w:p>
    <w:p w:rsidR="00C01A94" w:rsidRPr="00C903F8" w:rsidRDefault="00C01A94" w:rsidP="001E2331">
      <w:pPr>
        <w:spacing w:line="240" w:lineRule="atLeast"/>
        <w:ind w:left="567" w:hanging="567"/>
      </w:pPr>
    </w:p>
    <w:p w:rsidR="001E2331" w:rsidRPr="00C903F8" w:rsidRDefault="00C903F8" w:rsidP="001E2331">
      <w:pPr>
        <w:spacing w:line="240" w:lineRule="atLeast"/>
        <w:ind w:left="567" w:hanging="567"/>
        <w:rPr>
          <w:lang w:val="en-US" w:eastAsia="nl-NL"/>
        </w:rPr>
      </w:pPr>
      <w:r w:rsidRPr="00C903F8">
        <w:rPr>
          <w:lang w:val="en-US" w:eastAsia="nl-NL"/>
        </w:rPr>
        <w:t>3</w:t>
      </w:r>
      <w:r w:rsidR="001E2331" w:rsidRPr="00C903F8">
        <w:rPr>
          <w:lang w:val="en-US" w:eastAsia="nl-NL"/>
        </w:rPr>
        <w:t>.</w:t>
      </w:r>
      <w:r w:rsidR="001E2331" w:rsidRPr="00C903F8">
        <w:rPr>
          <w:lang w:val="en-US" w:eastAsia="nl-NL"/>
        </w:rPr>
        <w:tab/>
        <w:t>Article 19.11(3) first sentence and (6) applies to day-trip vessels laid down on or before 1 April 1976 until the</w:t>
      </w:r>
      <w:r w:rsidR="00A5301C" w:rsidRPr="00C903F8">
        <w:rPr>
          <w:lang w:val="en-US" w:eastAsia="nl-NL"/>
        </w:rPr>
        <w:t xml:space="preserve"> first</w:t>
      </w:r>
      <w:r w:rsidR="001E2331" w:rsidRPr="00C903F8">
        <w:rPr>
          <w:lang w:val="en-US" w:eastAsia="nl-NL"/>
        </w:rPr>
        <w:t xml:space="preserve"> renewal of the </w:t>
      </w:r>
      <w:r w:rsidR="001E2331" w:rsidRPr="00C903F8">
        <w:rPr>
          <w:noProof/>
          <w:lang w:val="en-US"/>
        </w:rPr>
        <w:t>inland navigation vessel certificate</w:t>
      </w:r>
      <w:r w:rsidR="00A5301C" w:rsidRPr="00C903F8">
        <w:rPr>
          <w:noProof/>
          <w:lang w:val="en-US"/>
        </w:rPr>
        <w:t xml:space="preserve"> after 1.1.2045</w:t>
      </w:r>
      <w:r w:rsidR="001E2331" w:rsidRPr="00C903F8">
        <w:rPr>
          <w:noProof/>
          <w:lang w:val="en-US"/>
        </w:rPr>
        <w:t>,</w:t>
      </w:r>
      <w:r w:rsidR="001E2331" w:rsidRPr="00C903F8">
        <w:rPr>
          <w:lang w:val="en-US" w:eastAsia="nl-NL"/>
        </w:rPr>
        <w:t xml:space="preserve"> with the proviso that only paints, varnishes, coatings and other materials used on surfaces facing escape routes and other materials for the surface treatment of panels must be fire-resistant and that smoke or toxic vapours may not develop to any dangerous extent.</w:t>
      </w:r>
    </w:p>
    <w:p w:rsidR="001E2331" w:rsidRPr="00C903F8" w:rsidRDefault="001E2331" w:rsidP="001E2331">
      <w:pPr>
        <w:spacing w:line="240" w:lineRule="atLeast"/>
        <w:ind w:left="567" w:hanging="567"/>
        <w:rPr>
          <w:lang w:val="en-US" w:eastAsia="nl-NL"/>
        </w:rPr>
      </w:pPr>
    </w:p>
    <w:p w:rsidR="001E2331" w:rsidRPr="00C903F8" w:rsidRDefault="00C903F8" w:rsidP="001E2331">
      <w:pPr>
        <w:spacing w:line="240" w:lineRule="atLeast"/>
        <w:ind w:left="567" w:hanging="567"/>
        <w:rPr>
          <w:noProof/>
          <w:lang w:val="en-US"/>
        </w:rPr>
      </w:pPr>
      <w:r w:rsidRPr="00C903F8">
        <w:rPr>
          <w:noProof/>
          <w:lang w:val="en-US"/>
        </w:rPr>
        <w:t>4</w:t>
      </w:r>
      <w:r w:rsidR="00EB5848" w:rsidRPr="00C903F8">
        <w:rPr>
          <w:noProof/>
          <w:lang w:val="en-US"/>
        </w:rPr>
        <w:t>.</w:t>
      </w:r>
      <w:r w:rsidR="001E2331" w:rsidRPr="00C903F8">
        <w:rPr>
          <w:noProof/>
          <w:lang w:val="en-US"/>
        </w:rPr>
        <w:tab/>
        <w:t>Article 19.11(12) applies to day-trip vessels laid down on or before 1 April 1976 until the</w:t>
      </w:r>
      <w:r w:rsidR="001E2331" w:rsidRPr="00C903F8">
        <w:rPr>
          <w:lang w:val="en-US" w:eastAsia="nl-NL"/>
        </w:rPr>
        <w:t xml:space="preserve"> until the renewal of the </w:t>
      </w:r>
      <w:r w:rsidR="001E2331" w:rsidRPr="00C903F8">
        <w:rPr>
          <w:noProof/>
          <w:lang w:val="en-US"/>
        </w:rPr>
        <w:t>inland navigation vessel certificate after 1.1.2045, with the provis</w:t>
      </w:r>
      <w:r w:rsidR="00D30332" w:rsidRPr="00C903F8">
        <w:rPr>
          <w:noProof/>
          <w:lang w:val="en-US"/>
        </w:rPr>
        <w:t>i</w:t>
      </w:r>
      <w:r w:rsidR="001E2331" w:rsidRPr="00C903F8">
        <w:rPr>
          <w:noProof/>
          <w:lang w:val="en-US"/>
        </w:rPr>
        <w:t>o</w:t>
      </w:r>
      <w:r w:rsidR="00D13599" w:rsidRPr="00C903F8">
        <w:rPr>
          <w:noProof/>
          <w:lang w:val="en-US"/>
        </w:rPr>
        <w:t>n</w:t>
      </w:r>
      <w:r w:rsidR="001E2331" w:rsidRPr="00C903F8">
        <w:rPr>
          <w:noProof/>
          <w:lang w:val="en-US"/>
        </w:rPr>
        <w:t xml:space="preserve"> that it is sufficient if, instead of stairs in the form of a load-bearing steel assembly, the stairs serving as an escape route are designed in such a way that they remain useable, in the event of a fire, for about the same time as stairs in the form of a load-bearing steel assembly.</w:t>
      </w:r>
    </w:p>
    <w:p w:rsidR="001E2331" w:rsidRPr="00C903F8" w:rsidRDefault="001E2331" w:rsidP="001E2331">
      <w:pPr>
        <w:spacing w:line="240" w:lineRule="atLeast"/>
        <w:ind w:left="567" w:hanging="567"/>
        <w:rPr>
          <w:lang w:val="en-US" w:eastAsia="nl-NL"/>
        </w:rPr>
      </w:pPr>
    </w:p>
    <w:p w:rsidR="001E2331" w:rsidRPr="00C903F8" w:rsidRDefault="001E2331" w:rsidP="001E2331">
      <w:pPr>
        <w:spacing w:line="240" w:lineRule="atLeast"/>
        <w:ind w:left="567" w:hanging="567"/>
        <w:rPr>
          <w:lang w:val="en-US" w:eastAsia="nl-NL"/>
        </w:rPr>
      </w:pPr>
    </w:p>
    <w:p w:rsidR="00A90F88" w:rsidRDefault="001E2331" w:rsidP="00B769C2">
      <w:pPr>
        <w:pStyle w:val="ES-Titre3"/>
        <w:rPr>
          <w:lang w:val="en-US"/>
        </w:rPr>
      </w:pPr>
      <w:bookmarkStart w:id="294" w:name="_Toc491854279"/>
      <w:r w:rsidRPr="00C903F8">
        <w:rPr>
          <w:lang w:val="en-US"/>
        </w:rPr>
        <w:t>Article 32.04</w:t>
      </w:r>
      <w:bookmarkEnd w:id="294"/>
    </w:p>
    <w:p w:rsidR="001E2331" w:rsidRPr="00B769C2" w:rsidRDefault="00C903F8" w:rsidP="00A90F88">
      <w:pPr>
        <w:pStyle w:val="ES-Titre3a"/>
        <w:rPr>
          <w:lang w:val="en-US"/>
        </w:rPr>
      </w:pPr>
      <w:bookmarkStart w:id="295" w:name="_Toc421775889"/>
      <w:bookmarkStart w:id="296" w:name="_Toc491854280"/>
      <w:r w:rsidRPr="00B769C2">
        <w:rPr>
          <w:lang w:val="en-US"/>
        </w:rPr>
        <w:t xml:space="preserve">Other </w:t>
      </w:r>
      <w:bookmarkEnd w:id="295"/>
      <w:r w:rsidRPr="00B769C2">
        <w:rPr>
          <w:lang w:val="en-US"/>
        </w:rPr>
        <w:t>transitional provisions</w:t>
      </w:r>
      <w:bookmarkEnd w:id="296"/>
    </w:p>
    <w:p w:rsidR="001E2331" w:rsidRPr="00C903F8" w:rsidRDefault="001E2331" w:rsidP="001E2331">
      <w:pPr>
        <w:spacing w:line="240" w:lineRule="atLeast"/>
        <w:ind w:left="567" w:hanging="567"/>
        <w:rPr>
          <w:lang w:val="en-US"/>
        </w:rPr>
      </w:pPr>
    </w:p>
    <w:p w:rsidR="00C903F8" w:rsidRPr="00C903F8" w:rsidRDefault="00C903F8" w:rsidP="00C903F8">
      <w:pPr>
        <w:spacing w:line="240" w:lineRule="atLeast"/>
        <w:rPr>
          <w:lang w:val="en-US"/>
        </w:rPr>
      </w:pPr>
      <w:r w:rsidRPr="00C903F8">
        <w:rPr>
          <w:lang w:val="en-US"/>
        </w:rPr>
        <w:t>1.</w:t>
      </w:r>
      <w:r w:rsidRPr="00C903F8">
        <w:rPr>
          <w:lang w:val="en-US"/>
        </w:rPr>
        <w:tab/>
        <w:t>The provisions of this article apply in addition to the transitional provisions of the Articles 32.02 and 32.03.</w:t>
      </w:r>
    </w:p>
    <w:p w:rsidR="00C903F8" w:rsidRPr="00C903F8" w:rsidRDefault="00C903F8" w:rsidP="00C903F8">
      <w:pPr>
        <w:spacing w:line="240" w:lineRule="atLeast"/>
        <w:ind w:left="567" w:hanging="567"/>
        <w:rPr>
          <w:lang w:val="en-US"/>
        </w:rPr>
      </w:pPr>
    </w:p>
    <w:p w:rsidR="00C903F8" w:rsidRPr="00C903F8" w:rsidRDefault="00C903F8" w:rsidP="00C903F8">
      <w:pPr>
        <w:spacing w:line="240" w:lineRule="atLeast"/>
        <w:ind w:left="567" w:hanging="567"/>
        <w:rPr>
          <w:lang w:val="en-US"/>
        </w:rPr>
      </w:pPr>
      <w:r w:rsidRPr="00C903F8">
        <w:rPr>
          <w:lang w:val="en-US"/>
        </w:rPr>
        <w:t>2.</w:t>
      </w:r>
      <w:r w:rsidRPr="00C903F8">
        <w:rPr>
          <w:lang w:val="en-US"/>
        </w:rPr>
        <w:tab/>
        <w:t>For craft the minimum freeboard of which was determined in accordance with Article 4.04 of the Rhine Vessel Inspection Regulations as applicable on 31 March 1983, the inspection body may, at the request of the owner, determine the freeboard in accordance with Article 4.03 of the Rhine Vessel Inspection Regulations as applicable on 1 January 1995.</w:t>
      </w:r>
    </w:p>
    <w:p w:rsidR="00C903F8" w:rsidRPr="00C903F8" w:rsidRDefault="00C903F8" w:rsidP="00C903F8">
      <w:pPr>
        <w:spacing w:line="240" w:lineRule="atLeast"/>
        <w:ind w:left="567" w:hanging="567"/>
        <w:rPr>
          <w:lang w:val="en-US"/>
        </w:rPr>
      </w:pPr>
    </w:p>
    <w:p w:rsidR="00C903F8" w:rsidRPr="00C903F8" w:rsidRDefault="00C903F8" w:rsidP="00C903F8">
      <w:pPr>
        <w:spacing w:line="240" w:lineRule="atLeast"/>
        <w:ind w:left="567" w:hanging="567"/>
        <w:rPr>
          <w:lang w:val="en-US"/>
        </w:rPr>
      </w:pPr>
      <w:r w:rsidRPr="00C903F8">
        <w:rPr>
          <w:lang w:val="en-US"/>
        </w:rPr>
        <w:t>3.</w:t>
      </w:r>
      <w:r w:rsidRPr="00C903F8">
        <w:rPr>
          <w:lang w:val="en-US"/>
        </w:rPr>
        <w:tab/>
        <w:t>Craft laid down before 1 July 1983 do not need to conform to Chapter 10 of this Standard, but must at least conform to Chapter 6 of the Rhine Vessel Inspection Regulations as applicable on 31 March 1983.</w:t>
      </w:r>
    </w:p>
    <w:p w:rsidR="00C903F8" w:rsidRPr="00C903F8" w:rsidRDefault="00C903F8" w:rsidP="00C903F8">
      <w:pPr>
        <w:spacing w:line="240" w:lineRule="atLeast"/>
        <w:ind w:left="567" w:hanging="567"/>
        <w:rPr>
          <w:lang w:val="en-US"/>
        </w:rPr>
      </w:pPr>
    </w:p>
    <w:p w:rsidR="00C903F8" w:rsidRPr="00C903F8" w:rsidRDefault="00C903F8" w:rsidP="00C903F8">
      <w:pPr>
        <w:spacing w:line="240" w:lineRule="atLeast"/>
        <w:ind w:left="567" w:hanging="567"/>
        <w:rPr>
          <w:lang w:val="en-US"/>
        </w:rPr>
      </w:pPr>
      <w:r w:rsidRPr="00C903F8">
        <w:rPr>
          <w:lang w:val="en-US"/>
        </w:rPr>
        <w:t>4.</w:t>
      </w:r>
      <w:r w:rsidRPr="00C903F8">
        <w:rPr>
          <w:lang w:val="en-US"/>
        </w:rPr>
        <w:tab/>
        <w:t xml:space="preserve">Article 19.06(3)(a) to (e), and Article 19.12(3)(a), with regard to the rule concerning a single hose length, apply only to passenger vessels laid down </w:t>
      </w:r>
      <w:r w:rsidRPr="00C903F8">
        <w:rPr>
          <w:color w:val="000000" w:themeColor="text1"/>
          <w:lang w:val="en-US"/>
        </w:rPr>
        <w:t xml:space="preserve">after 30 September 1984, and to conversions of the areas concerned, at the latest when the Rhine vessel </w:t>
      </w:r>
      <w:r w:rsidRPr="00C903F8">
        <w:rPr>
          <w:lang w:val="en-US"/>
        </w:rPr>
        <w:t>inspection certificate is renewed after 1 January 2045.</w:t>
      </w:r>
    </w:p>
    <w:p w:rsidR="00C903F8" w:rsidRPr="00C903F8" w:rsidRDefault="00C903F8" w:rsidP="00C903F8">
      <w:pPr>
        <w:spacing w:line="240" w:lineRule="atLeast"/>
        <w:ind w:left="567" w:hanging="567"/>
        <w:rPr>
          <w:lang w:val="en-US"/>
        </w:rPr>
      </w:pPr>
    </w:p>
    <w:p w:rsidR="000E732C" w:rsidRDefault="000E732C">
      <w:pPr>
        <w:autoSpaceDE/>
        <w:autoSpaceDN/>
        <w:ind w:left="0" w:firstLine="0"/>
        <w:jc w:val="left"/>
        <w:rPr>
          <w:lang w:val="en-US"/>
        </w:rPr>
      </w:pPr>
      <w:r>
        <w:rPr>
          <w:lang w:val="en-US"/>
        </w:rPr>
        <w:br w:type="page"/>
      </w:r>
    </w:p>
    <w:p w:rsidR="000E732C" w:rsidRPr="008F19E2" w:rsidRDefault="00C903F8" w:rsidP="000E732C">
      <w:pPr>
        <w:spacing w:line="240" w:lineRule="atLeast"/>
        <w:ind w:left="567" w:hanging="567"/>
        <w:rPr>
          <w:lang w:val="en-US"/>
        </w:rPr>
      </w:pPr>
      <w:r w:rsidRPr="008F19E2">
        <w:rPr>
          <w:lang w:val="en-US"/>
        </w:rPr>
        <w:lastRenderedPageBreak/>
        <w:t>5.</w:t>
      </w:r>
      <w:r w:rsidRPr="008F19E2">
        <w:rPr>
          <w:lang w:val="en-US"/>
        </w:rPr>
        <w:tab/>
      </w:r>
      <w:r w:rsidR="000E732C" w:rsidRPr="008F19E2">
        <w:rPr>
          <w:lang w:val="en-US"/>
        </w:rPr>
        <w:t>Where this provision refers, with regard to design requirements:</w:t>
      </w:r>
    </w:p>
    <w:p w:rsidR="000E732C" w:rsidRPr="00157062" w:rsidRDefault="000E732C" w:rsidP="000E732C">
      <w:pPr>
        <w:autoSpaceDE/>
        <w:autoSpaceDN/>
        <w:spacing w:before="60" w:line="240" w:lineRule="atLeast"/>
        <w:ind w:left="993" w:hanging="426"/>
        <w:rPr>
          <w:rFonts w:eastAsia="Batang"/>
          <w:szCs w:val="20"/>
          <w:lang w:val="en-GB" w:eastAsia="ko-KR"/>
        </w:rPr>
      </w:pPr>
      <w:r w:rsidRPr="00157062">
        <w:rPr>
          <w:rFonts w:eastAsia="Batang"/>
          <w:szCs w:val="20"/>
          <w:lang w:val="en-GB" w:eastAsia="ko-KR"/>
        </w:rPr>
        <w:t>a)</w:t>
      </w:r>
      <w:r w:rsidRPr="00157062">
        <w:rPr>
          <w:rFonts w:eastAsia="Batang"/>
          <w:szCs w:val="20"/>
          <w:lang w:val="en-GB" w:eastAsia="ko-KR"/>
        </w:rPr>
        <w:tab/>
        <w:t>pertaining to free-standing items of equipment, to a European or an International Standard, such items of equipment may, after any new publication or revision of the Standard, continue to be used for a further 20 years following the new publication or the revision of this Standard,</w:t>
      </w:r>
    </w:p>
    <w:p w:rsidR="000E732C" w:rsidRPr="000E732C" w:rsidRDefault="000E732C" w:rsidP="000E732C">
      <w:pPr>
        <w:adjustRightInd w:val="0"/>
        <w:spacing w:before="60" w:line="240" w:lineRule="atLeast"/>
        <w:ind w:left="993" w:hanging="426"/>
        <w:rPr>
          <w:rFonts w:eastAsia="Batang"/>
          <w:szCs w:val="20"/>
          <w:lang w:val="en-GB" w:eastAsia="ko-KR"/>
        </w:rPr>
      </w:pPr>
      <w:r w:rsidRPr="00157062">
        <w:rPr>
          <w:rFonts w:eastAsia="Batang"/>
          <w:szCs w:val="20"/>
          <w:lang w:val="en-GB" w:eastAsia="ko-KR"/>
        </w:rPr>
        <w:t>b)</w:t>
      </w:r>
      <w:r w:rsidRPr="00157062">
        <w:rPr>
          <w:rFonts w:eastAsia="Batang"/>
          <w:szCs w:val="20"/>
          <w:lang w:val="en-GB" w:eastAsia="ko-KR"/>
        </w:rPr>
        <w:tab/>
        <w:t>pertaining to permanently installed equipment parts, to a European or an International Standard, these equipment parts may continue to be used until they are replaced or the areas in question have been converted.</w:t>
      </w:r>
    </w:p>
    <w:p w:rsidR="00C903F8" w:rsidRPr="00C903F8" w:rsidRDefault="00C903F8" w:rsidP="00C903F8">
      <w:pPr>
        <w:spacing w:line="240" w:lineRule="atLeast"/>
        <w:ind w:left="567" w:hanging="567"/>
        <w:rPr>
          <w:lang w:val="en-US"/>
        </w:rPr>
      </w:pPr>
    </w:p>
    <w:p w:rsidR="00C903F8" w:rsidRPr="00C903F8" w:rsidRDefault="00C903F8" w:rsidP="00C903F8">
      <w:pPr>
        <w:spacing w:line="240" w:lineRule="atLeast"/>
        <w:ind w:left="567" w:hanging="567"/>
        <w:rPr>
          <w:lang w:val="en-US"/>
        </w:rPr>
      </w:pPr>
      <w:r w:rsidRPr="00C903F8">
        <w:rPr>
          <w:lang w:val="en-US"/>
        </w:rPr>
        <w:t>6.</w:t>
      </w:r>
      <w:r w:rsidRPr="00C903F8">
        <w:rPr>
          <w:lang w:val="en-US"/>
        </w:rPr>
        <w:tab/>
        <w:t>High-speed vessels which had a valid Rhine vessel inspection certificate on 31 March 2003 shall meet provisions of Article 29.01(3), 29.02, 29.04, 29.05, 29.06(2), 29.10(2) and (3) on 1 January 2023.</w:t>
      </w:r>
    </w:p>
    <w:p w:rsidR="000D2654" w:rsidRDefault="000D2654">
      <w:pPr>
        <w:autoSpaceDE/>
        <w:autoSpaceDN/>
        <w:ind w:left="0" w:firstLine="0"/>
        <w:jc w:val="left"/>
        <w:rPr>
          <w:lang w:val="en-US"/>
        </w:rPr>
      </w:pPr>
    </w:p>
    <w:p w:rsidR="000E732C" w:rsidRDefault="000E732C">
      <w:pPr>
        <w:autoSpaceDE/>
        <w:autoSpaceDN/>
        <w:ind w:left="0" w:firstLine="0"/>
        <w:jc w:val="left"/>
        <w:rPr>
          <w:lang w:val="en-US"/>
        </w:rPr>
      </w:pPr>
    </w:p>
    <w:p w:rsidR="001E2331" w:rsidRPr="00C903F8" w:rsidRDefault="001E2331" w:rsidP="00A455C7">
      <w:pPr>
        <w:pStyle w:val="ES-Titre3"/>
        <w:rPr>
          <w:lang w:val="en-US"/>
        </w:rPr>
      </w:pPr>
      <w:bookmarkStart w:id="297" w:name="_Toc491854281"/>
      <w:r w:rsidRPr="00C903F8">
        <w:rPr>
          <w:lang w:val="en-US"/>
        </w:rPr>
        <w:t>Article 32.05</w:t>
      </w:r>
      <w:bookmarkEnd w:id="297"/>
    </w:p>
    <w:p w:rsidR="001E2331" w:rsidRPr="00C903F8" w:rsidRDefault="00C903F8" w:rsidP="00A455C7">
      <w:pPr>
        <w:pStyle w:val="ES-Titre3a"/>
        <w:rPr>
          <w:lang w:val="en-US"/>
        </w:rPr>
      </w:pPr>
      <w:bookmarkStart w:id="298" w:name="_Toc421775891"/>
      <w:bookmarkStart w:id="299" w:name="_Toc491854282"/>
      <w:r w:rsidRPr="00C903F8">
        <w:rPr>
          <w:lang w:val="en-US"/>
        </w:rPr>
        <w:t>Transitional provisions for craft not covered by Article 32.01</w:t>
      </w:r>
      <w:bookmarkEnd w:id="298"/>
      <w:bookmarkEnd w:id="299"/>
    </w:p>
    <w:p w:rsidR="001E2331" w:rsidRPr="00C903F8" w:rsidRDefault="001E2331" w:rsidP="001E2331">
      <w:pPr>
        <w:spacing w:line="240" w:lineRule="atLeast"/>
        <w:ind w:left="567" w:hanging="567"/>
        <w:rPr>
          <w:lang w:val="en-US"/>
        </w:rPr>
      </w:pPr>
    </w:p>
    <w:p w:rsidR="00C903F8" w:rsidRPr="00C903F8" w:rsidRDefault="00C903F8" w:rsidP="00C903F8">
      <w:pPr>
        <w:spacing w:line="240" w:lineRule="atLeast"/>
        <w:ind w:left="567" w:hanging="567"/>
        <w:rPr>
          <w:color w:val="000000" w:themeColor="text1"/>
          <w:lang w:val="en-US"/>
        </w:rPr>
      </w:pPr>
      <w:r w:rsidRPr="00C903F8">
        <w:rPr>
          <w:color w:val="000000" w:themeColor="text1"/>
          <w:lang w:val="en-US"/>
        </w:rPr>
        <w:t>1.</w:t>
      </w:r>
      <w:r w:rsidRPr="00C903F8">
        <w:rPr>
          <w:color w:val="000000" w:themeColor="text1"/>
          <w:lang w:val="en-US"/>
        </w:rPr>
        <w:tab/>
        <w:t>The following provisions apply:</w:t>
      </w:r>
    </w:p>
    <w:p w:rsidR="00C903F8" w:rsidRPr="001D5B87" w:rsidRDefault="00C903F8" w:rsidP="00C903F8">
      <w:pPr>
        <w:spacing w:before="60" w:line="240" w:lineRule="atLeast"/>
        <w:ind w:left="992"/>
        <w:rPr>
          <w:lang w:val="en-US"/>
        </w:rPr>
      </w:pPr>
      <w:r w:rsidRPr="001D5B87">
        <w:rPr>
          <w:lang w:val="en-US"/>
        </w:rPr>
        <w:t xml:space="preserve">a) </w:t>
      </w:r>
      <w:r w:rsidRPr="001D5B87">
        <w:rPr>
          <w:lang w:val="en-US"/>
        </w:rPr>
        <w:tab/>
        <w:t>to craft for which a Rhine vessel inspection certificate in accordance with the Rhine Vessel Inspection Regulations was issued for the first time from 1 January 1995, provided they were not under construction or undergoing conversion on 31 December 1994,</w:t>
      </w:r>
    </w:p>
    <w:p w:rsidR="00C903F8" w:rsidRPr="001D5B87" w:rsidRDefault="00C903F8" w:rsidP="00C903F8">
      <w:pPr>
        <w:spacing w:before="60" w:line="240" w:lineRule="atLeast"/>
        <w:ind w:left="992"/>
        <w:rPr>
          <w:lang w:val="en-US"/>
        </w:rPr>
      </w:pPr>
      <w:r w:rsidRPr="001D5B87">
        <w:rPr>
          <w:lang w:val="en-US"/>
        </w:rPr>
        <w:t>b)</w:t>
      </w:r>
      <w:r w:rsidRPr="001D5B87">
        <w:rPr>
          <w:lang w:val="en-US"/>
        </w:rPr>
        <w:tab/>
        <w:t>to craft which have obtained another traffic licence between 1 January 1995 and 30 December 2008,</w:t>
      </w:r>
    </w:p>
    <w:p w:rsidR="00C903F8" w:rsidRPr="004A2F59" w:rsidRDefault="00C903F8" w:rsidP="00C903F8">
      <w:pPr>
        <w:spacing w:before="60" w:line="240" w:lineRule="atLeast"/>
        <w:ind w:left="992"/>
        <w:rPr>
          <w:lang w:val="en-US"/>
        </w:rPr>
      </w:pPr>
      <w:r w:rsidRPr="001D5B87">
        <w:rPr>
          <w:lang w:val="en-US"/>
        </w:rPr>
        <w:t>c)</w:t>
      </w:r>
      <w:r w:rsidRPr="001D5B87">
        <w:rPr>
          <w:lang w:val="en-US"/>
        </w:rPr>
        <w:tab/>
        <w:t xml:space="preserve">to craft for which a </w:t>
      </w:r>
      <w:r w:rsidRPr="004A2F59">
        <w:rPr>
          <w:lang w:val="en-US"/>
        </w:rPr>
        <w:t>Community certificate valid for Zone R in accordance with Directive 2006/87/EC was issued for the first time between 30</w:t>
      </w:r>
      <w:r w:rsidR="0042206B" w:rsidRPr="004A2F59">
        <w:rPr>
          <w:lang w:val="en-US"/>
        </w:rPr>
        <w:t> </w:t>
      </w:r>
      <w:r w:rsidRPr="004A2F59">
        <w:rPr>
          <w:lang w:val="en-US"/>
        </w:rPr>
        <w:t xml:space="preserve">December 2008 and </w:t>
      </w:r>
      <w:r w:rsidR="004A2F59" w:rsidRPr="004A2F59">
        <w:rPr>
          <w:lang w:val="en-US"/>
        </w:rPr>
        <w:t>6 October 2018</w:t>
      </w:r>
      <w:r w:rsidRPr="004A2F59">
        <w:rPr>
          <w:lang w:val="en-US"/>
        </w:rPr>
        <w:t>,</w:t>
      </w:r>
    </w:p>
    <w:p w:rsidR="00C903F8" w:rsidRPr="004A2F59" w:rsidRDefault="00C903F8" w:rsidP="00C903F8">
      <w:pPr>
        <w:spacing w:before="60" w:line="240" w:lineRule="atLeast"/>
        <w:ind w:left="992"/>
        <w:rPr>
          <w:lang w:val="en-US"/>
        </w:rPr>
      </w:pPr>
      <w:r w:rsidRPr="004A2F59">
        <w:rPr>
          <w:lang w:val="en-US"/>
        </w:rPr>
        <w:t>d)</w:t>
      </w:r>
      <w:r w:rsidRPr="004A2F59">
        <w:rPr>
          <w:lang w:val="en-US"/>
        </w:rPr>
        <w:tab/>
        <w:t xml:space="preserve">to craft for which a Union certificate valid for Zone R in accordance with Directive </w:t>
      </w:r>
      <w:r w:rsidR="004A2F59" w:rsidRPr="004A2F59">
        <w:rPr>
          <w:lang w:val="en-US"/>
        </w:rPr>
        <w:t xml:space="preserve">(UE) </w:t>
      </w:r>
      <w:r w:rsidRPr="004A2F59">
        <w:rPr>
          <w:lang w:val="en-US"/>
        </w:rPr>
        <w:t>2016/</w:t>
      </w:r>
      <w:r w:rsidR="004A2F59" w:rsidRPr="004A2F59">
        <w:rPr>
          <w:lang w:val="en-US"/>
        </w:rPr>
        <w:t>1629</w:t>
      </w:r>
      <w:r w:rsidRPr="004A2F59">
        <w:rPr>
          <w:lang w:val="en-US"/>
        </w:rPr>
        <w:t xml:space="preserve"> was issued for the first time from </w:t>
      </w:r>
      <w:r w:rsidR="004A2F59" w:rsidRPr="004A2F59">
        <w:rPr>
          <w:lang w:val="en-US"/>
        </w:rPr>
        <w:t>7 October </w:t>
      </w:r>
      <w:r w:rsidRPr="004A2F59">
        <w:rPr>
          <w:lang w:val="en-US"/>
        </w:rPr>
        <w:t>2018.</w:t>
      </w:r>
    </w:p>
    <w:p w:rsidR="00C903F8" w:rsidRPr="004A2F59" w:rsidRDefault="00C903F8" w:rsidP="00C903F8">
      <w:pPr>
        <w:spacing w:line="240" w:lineRule="atLeast"/>
        <w:ind w:left="567" w:hanging="567"/>
        <w:rPr>
          <w:lang w:val="en-US"/>
        </w:rPr>
      </w:pPr>
    </w:p>
    <w:p w:rsidR="00C903F8" w:rsidRPr="004A2F59" w:rsidRDefault="00C903F8" w:rsidP="00C903F8">
      <w:pPr>
        <w:spacing w:line="240" w:lineRule="atLeast"/>
        <w:ind w:left="567" w:hanging="567"/>
        <w:rPr>
          <w:color w:val="000000" w:themeColor="text1"/>
          <w:lang w:val="en-US"/>
        </w:rPr>
      </w:pPr>
      <w:r w:rsidRPr="004A2F59">
        <w:rPr>
          <w:color w:val="000000" w:themeColor="text1"/>
          <w:lang w:val="en-US"/>
        </w:rPr>
        <w:t>2.</w:t>
      </w:r>
      <w:r w:rsidRPr="004A2F59">
        <w:rPr>
          <w:color w:val="000000" w:themeColor="text1"/>
          <w:lang w:val="en-US"/>
        </w:rPr>
        <w:tab/>
        <w:t xml:space="preserve">It must be proved that those craft comply: </w:t>
      </w:r>
    </w:p>
    <w:p w:rsidR="00C903F8" w:rsidRPr="004A2F59" w:rsidRDefault="00C903F8" w:rsidP="00C903F8">
      <w:pPr>
        <w:spacing w:before="60" w:line="240" w:lineRule="atLeast"/>
        <w:ind w:left="992"/>
        <w:rPr>
          <w:lang w:val="en-US"/>
        </w:rPr>
      </w:pPr>
      <w:r w:rsidRPr="004A2F59">
        <w:rPr>
          <w:lang w:val="en-US"/>
        </w:rPr>
        <w:t>a)</w:t>
      </w:r>
      <w:r w:rsidRPr="004A2F59">
        <w:rPr>
          <w:lang w:val="en-US"/>
        </w:rPr>
        <w:tab/>
        <w:t>with the Rhine Vessel Inspection Regulations, as applicable on the date on which their Rhine vessel inspection certificate or the other traffic licence has been granted, or</w:t>
      </w:r>
    </w:p>
    <w:p w:rsidR="00C903F8" w:rsidRPr="004A2F59" w:rsidRDefault="00C903F8" w:rsidP="00C903F8">
      <w:pPr>
        <w:spacing w:before="60" w:line="240" w:lineRule="atLeast"/>
        <w:ind w:left="992"/>
        <w:rPr>
          <w:lang w:val="en-US"/>
        </w:rPr>
      </w:pPr>
      <w:r w:rsidRPr="004A2F59">
        <w:rPr>
          <w:lang w:val="en-US"/>
        </w:rPr>
        <w:t>b)</w:t>
      </w:r>
      <w:r w:rsidRPr="004A2F59">
        <w:rPr>
          <w:lang w:val="en-US"/>
        </w:rPr>
        <w:tab/>
        <w:t>with the provisions of directive 2006/87/EC applicable for Zone R, as applicable on the date on which their Community certificate has been granted, or</w:t>
      </w:r>
    </w:p>
    <w:p w:rsidR="00C903F8" w:rsidRPr="001D5B87" w:rsidRDefault="00C903F8" w:rsidP="00C903F8">
      <w:pPr>
        <w:spacing w:before="60" w:line="240" w:lineRule="atLeast"/>
        <w:ind w:left="992"/>
        <w:rPr>
          <w:lang w:val="en-US"/>
        </w:rPr>
      </w:pPr>
      <w:r w:rsidRPr="004A2F59">
        <w:rPr>
          <w:lang w:val="en-US"/>
        </w:rPr>
        <w:t>c)</w:t>
      </w:r>
      <w:r w:rsidRPr="004A2F59">
        <w:rPr>
          <w:lang w:val="en-US"/>
        </w:rPr>
        <w:tab/>
        <w:t xml:space="preserve">with the provisions of directive </w:t>
      </w:r>
      <w:r w:rsidR="004A2F59" w:rsidRPr="004A2F59">
        <w:rPr>
          <w:lang w:val="en-US"/>
        </w:rPr>
        <w:t xml:space="preserve">(UE) </w:t>
      </w:r>
      <w:r w:rsidRPr="004A2F59">
        <w:rPr>
          <w:lang w:val="en-US"/>
        </w:rPr>
        <w:t>2016/</w:t>
      </w:r>
      <w:r w:rsidR="004A2F59" w:rsidRPr="004A2F59">
        <w:rPr>
          <w:lang w:val="en-US"/>
        </w:rPr>
        <w:t>1629</w:t>
      </w:r>
      <w:r w:rsidRPr="004A2F59">
        <w:rPr>
          <w:lang w:val="en-US"/>
        </w:rPr>
        <w:t xml:space="preserve"> applicable</w:t>
      </w:r>
      <w:r w:rsidRPr="001D5B87">
        <w:rPr>
          <w:lang w:val="en-US"/>
        </w:rPr>
        <w:t xml:space="preserve"> for Zone R, as applicable on the date on which their Union certificate has been granted.</w:t>
      </w:r>
    </w:p>
    <w:p w:rsidR="00C903F8" w:rsidRPr="00C903F8" w:rsidRDefault="00C903F8" w:rsidP="00C903F8">
      <w:pPr>
        <w:spacing w:line="240" w:lineRule="atLeast"/>
        <w:ind w:left="567" w:hanging="567"/>
        <w:rPr>
          <w:lang w:val="en-US"/>
        </w:rPr>
      </w:pPr>
    </w:p>
    <w:p w:rsidR="00C903F8" w:rsidRPr="00C903F8" w:rsidRDefault="004D56BE" w:rsidP="00C903F8">
      <w:pPr>
        <w:spacing w:line="240" w:lineRule="atLeast"/>
        <w:ind w:left="567" w:hanging="567"/>
        <w:rPr>
          <w:color w:val="000000" w:themeColor="text1"/>
          <w:lang w:val="en-US"/>
        </w:rPr>
      </w:pPr>
      <w:r>
        <w:rPr>
          <w:color w:val="000000" w:themeColor="text1"/>
          <w:lang w:val="en-US"/>
        </w:rPr>
        <w:t>3.</w:t>
      </w:r>
      <w:r w:rsidR="00C903F8" w:rsidRPr="00C903F8">
        <w:rPr>
          <w:color w:val="000000" w:themeColor="text1"/>
          <w:lang w:val="en-US"/>
        </w:rPr>
        <w:tab/>
        <w:t>Craft must be adapted to comply with this Standard in accordance with the transitional provisions set out in the table below.</w:t>
      </w:r>
    </w:p>
    <w:p w:rsidR="00C903F8" w:rsidRPr="00C903F8" w:rsidRDefault="00C903F8" w:rsidP="00C903F8">
      <w:pPr>
        <w:spacing w:line="240" w:lineRule="atLeast"/>
        <w:ind w:left="567" w:hanging="567"/>
        <w:rPr>
          <w:color w:val="000000" w:themeColor="text1"/>
          <w:lang w:val="en-US"/>
        </w:rPr>
      </w:pPr>
    </w:p>
    <w:p w:rsidR="00C903F8" w:rsidRPr="00C903F8" w:rsidRDefault="00C903F8" w:rsidP="00C903F8">
      <w:pPr>
        <w:spacing w:line="240" w:lineRule="atLeast"/>
        <w:ind w:left="567" w:hanging="567"/>
        <w:rPr>
          <w:color w:val="000000" w:themeColor="text1"/>
          <w:szCs w:val="20"/>
          <w:lang w:val="en-US"/>
        </w:rPr>
      </w:pPr>
      <w:r w:rsidRPr="00C903F8">
        <w:rPr>
          <w:color w:val="000000" w:themeColor="text1"/>
          <w:lang w:val="en-US"/>
        </w:rPr>
        <w:t>4.</w:t>
      </w:r>
      <w:r w:rsidRPr="00C903F8">
        <w:rPr>
          <w:color w:val="000000" w:themeColor="text1"/>
          <w:lang w:val="en-US"/>
        </w:rPr>
        <w:tab/>
        <w:t xml:space="preserve">Article 32.04(4) and (5) apply </w:t>
      </w:r>
      <w:r w:rsidRPr="00C903F8">
        <w:rPr>
          <w:i/>
          <w:color w:val="000000" w:themeColor="text1"/>
          <w:lang w:val="en-US"/>
        </w:rPr>
        <w:t>mutatis mutandis.</w:t>
      </w:r>
    </w:p>
    <w:p w:rsidR="001E2331" w:rsidRPr="00C903F8" w:rsidRDefault="001E2331" w:rsidP="001E2331">
      <w:pPr>
        <w:spacing w:line="240" w:lineRule="atLeast"/>
        <w:ind w:left="567" w:hanging="567"/>
        <w:rPr>
          <w:lang w:val="en-US"/>
        </w:rPr>
      </w:pPr>
    </w:p>
    <w:p w:rsidR="000E732C" w:rsidRDefault="000E732C">
      <w:pPr>
        <w:autoSpaceDE/>
        <w:autoSpaceDN/>
        <w:ind w:left="0" w:firstLine="0"/>
        <w:jc w:val="left"/>
        <w:rPr>
          <w:lang w:val="en-US"/>
        </w:rPr>
      </w:pPr>
      <w:r>
        <w:rPr>
          <w:lang w:val="en-US"/>
        </w:rPr>
        <w:br w:type="page"/>
      </w:r>
    </w:p>
    <w:p w:rsidR="000E732C" w:rsidRDefault="000E732C" w:rsidP="00C903F8">
      <w:pPr>
        <w:spacing w:line="240" w:lineRule="atLeast"/>
        <w:ind w:left="567" w:hanging="567"/>
        <w:rPr>
          <w:lang w:val="en-US"/>
        </w:rPr>
      </w:pPr>
    </w:p>
    <w:p w:rsidR="00C903F8" w:rsidRPr="00C903F8" w:rsidRDefault="00C903F8" w:rsidP="00C903F8">
      <w:pPr>
        <w:spacing w:line="240" w:lineRule="atLeast"/>
        <w:ind w:left="567" w:hanging="567"/>
        <w:rPr>
          <w:lang w:val="en-US"/>
        </w:rPr>
      </w:pPr>
      <w:r w:rsidRPr="00C903F8">
        <w:rPr>
          <w:lang w:val="en-US"/>
        </w:rPr>
        <w:t>5.</w:t>
      </w:r>
      <w:r w:rsidRPr="00C903F8">
        <w:rPr>
          <w:lang w:val="en-US"/>
        </w:rPr>
        <w:tab/>
        <w:t>The following definitions apply in the table below:</w:t>
      </w:r>
    </w:p>
    <w:p w:rsidR="00C903F8" w:rsidRPr="00C903F8" w:rsidRDefault="00C903F8" w:rsidP="00C903F8">
      <w:pPr>
        <w:spacing w:line="240" w:lineRule="atLeast"/>
        <w:ind w:left="567" w:hanging="567"/>
        <w:rPr>
          <w:lang w:val="en-US"/>
        </w:rPr>
      </w:pPr>
    </w:p>
    <w:p w:rsidR="00C903F8" w:rsidRPr="00C903F8" w:rsidRDefault="00C903F8" w:rsidP="00C903F8">
      <w:pPr>
        <w:spacing w:line="240" w:lineRule="atLeast"/>
        <w:ind w:left="567" w:firstLine="0"/>
        <w:rPr>
          <w:lang w:val="en-US"/>
        </w:rPr>
      </w:pPr>
      <w:r w:rsidRPr="00C903F8">
        <w:rPr>
          <w:lang w:val="en-US"/>
        </w:rPr>
        <w:t>‘</w:t>
      </w:r>
      <w:r w:rsidR="008761D9">
        <w:rPr>
          <w:lang w:val="en-US"/>
        </w:rPr>
        <w:t>N.R.C.</w:t>
      </w:r>
      <w:r w:rsidRPr="00C903F8">
        <w:rPr>
          <w:lang w:val="en-US"/>
        </w:rPr>
        <w:t xml:space="preserve">’: the provision does not apply to craft which are already operating, unless the parts concerned are replaced or converted, i.e. the provision applies only to </w:t>
      </w:r>
      <w:r w:rsidRPr="00C903F8">
        <w:rPr>
          <w:u w:val="single"/>
          <w:lang w:val="en-US"/>
        </w:rPr>
        <w:t>N</w:t>
      </w:r>
      <w:r w:rsidRPr="00C903F8">
        <w:rPr>
          <w:lang w:val="en-US"/>
        </w:rPr>
        <w:t xml:space="preserve">ewly-built craft and to the </w:t>
      </w:r>
      <w:r w:rsidRPr="00C903F8">
        <w:rPr>
          <w:u w:val="single"/>
          <w:lang w:val="en-US"/>
        </w:rPr>
        <w:t>R</w:t>
      </w:r>
      <w:r w:rsidRPr="00C903F8">
        <w:rPr>
          <w:lang w:val="en-US"/>
        </w:rPr>
        <w:t xml:space="preserve">eplacement or </w:t>
      </w:r>
      <w:r w:rsidRPr="00C903F8">
        <w:rPr>
          <w:u w:val="single"/>
          <w:lang w:val="en-US"/>
        </w:rPr>
        <w:t>C</w:t>
      </w:r>
      <w:r w:rsidRPr="00C903F8">
        <w:rPr>
          <w:lang w:val="en-US"/>
        </w:rPr>
        <w:t xml:space="preserve">onversion of the parts or areas concerned. If existing parts are replaced by replacement parts using the same technology and of the same type, this does not constitute replacement ‘R’ within the meaning of the transitional provisions. </w:t>
      </w:r>
    </w:p>
    <w:p w:rsidR="00C903F8" w:rsidRPr="00C903F8" w:rsidRDefault="00C903F8" w:rsidP="00C903F8">
      <w:pPr>
        <w:spacing w:line="240" w:lineRule="atLeast"/>
        <w:ind w:left="567" w:firstLine="0"/>
        <w:rPr>
          <w:lang w:val="en-US"/>
        </w:rPr>
      </w:pPr>
    </w:p>
    <w:p w:rsidR="00C903F8" w:rsidRDefault="00C903F8" w:rsidP="00C903F8">
      <w:pPr>
        <w:tabs>
          <w:tab w:val="left" w:pos="4678"/>
        </w:tabs>
        <w:spacing w:line="240" w:lineRule="atLeast"/>
        <w:ind w:left="567" w:firstLine="0"/>
        <w:rPr>
          <w:lang w:val="en-US"/>
        </w:rPr>
      </w:pPr>
      <w:r w:rsidRPr="00C903F8">
        <w:rPr>
          <w:spacing w:val="-4"/>
          <w:lang w:val="en-US"/>
        </w:rPr>
        <w:t xml:space="preserve">‘Issue or </w:t>
      </w:r>
      <w:r w:rsidRPr="00C903F8">
        <w:rPr>
          <w:lang w:val="en-US"/>
        </w:rPr>
        <w:t>renewal of the inland navigation vessel certificate’: the provision must be complied with the time of the next issue or renewal of the inland navigation vessel certificate after the date indicated.</w:t>
      </w:r>
    </w:p>
    <w:p w:rsidR="00E67DA4" w:rsidRPr="00C903F8" w:rsidRDefault="00E67DA4">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5387"/>
        <w:gridCol w:w="1276"/>
        <w:gridCol w:w="1276"/>
      </w:tblGrid>
      <w:tr w:rsidR="00E67DA4" w:rsidRPr="00296858" w:rsidTr="00E67DA4">
        <w:trPr>
          <w:cantSplit/>
          <w:tblHeader/>
          <w:jc w:val="center"/>
        </w:trPr>
        <w:tc>
          <w:tcPr>
            <w:tcW w:w="2800" w:type="dxa"/>
            <w:gridSpan w:val="2"/>
            <w:shd w:val="clear" w:color="auto" w:fill="auto"/>
          </w:tcPr>
          <w:p w:rsidR="00E67DA4" w:rsidRPr="00C903F8" w:rsidRDefault="00E67DA4" w:rsidP="00C01A94">
            <w:pPr>
              <w:spacing w:before="60" w:after="60" w:line="240" w:lineRule="atLeast"/>
              <w:ind w:left="0" w:firstLine="0"/>
              <w:jc w:val="center"/>
              <w:rPr>
                <w:rFonts w:cs="Arial"/>
                <w:sz w:val="18"/>
                <w:szCs w:val="18"/>
              </w:rPr>
            </w:pPr>
            <w:r w:rsidRPr="00C903F8">
              <w:rPr>
                <w:rFonts w:cs="Arial"/>
                <w:i/>
                <w:sz w:val="18"/>
                <w:szCs w:val="18"/>
              </w:rPr>
              <w:t>Article and paragraph</w:t>
            </w:r>
          </w:p>
        </w:tc>
        <w:tc>
          <w:tcPr>
            <w:tcW w:w="3296" w:type="dxa"/>
            <w:shd w:val="clear" w:color="auto" w:fill="auto"/>
          </w:tcPr>
          <w:p w:rsidR="00E67DA4" w:rsidRPr="00C903F8" w:rsidRDefault="00E67DA4" w:rsidP="00C01A94">
            <w:pPr>
              <w:spacing w:before="60" w:after="60" w:line="240" w:lineRule="atLeast"/>
              <w:ind w:left="0" w:firstLine="0"/>
              <w:jc w:val="center"/>
              <w:rPr>
                <w:rFonts w:cs="Arial"/>
                <w:sz w:val="18"/>
                <w:szCs w:val="18"/>
                <w:lang w:val="en-US"/>
              </w:rPr>
            </w:pPr>
            <w:r w:rsidRPr="00C903F8">
              <w:rPr>
                <w:rFonts w:cs="Arial"/>
                <w:i/>
                <w:sz w:val="18"/>
                <w:szCs w:val="18"/>
              </w:rPr>
              <w:t>Content</w:t>
            </w:r>
          </w:p>
        </w:tc>
        <w:tc>
          <w:tcPr>
            <w:tcW w:w="6663" w:type="dxa"/>
            <w:gridSpan w:val="2"/>
            <w:shd w:val="clear" w:color="auto" w:fill="auto"/>
          </w:tcPr>
          <w:p w:rsidR="00E67DA4" w:rsidRPr="00C903F8" w:rsidRDefault="00E67DA4" w:rsidP="00C01A94">
            <w:pPr>
              <w:spacing w:before="60" w:after="60" w:line="240" w:lineRule="atLeast"/>
              <w:ind w:left="0" w:firstLine="0"/>
              <w:jc w:val="center"/>
              <w:rPr>
                <w:rFonts w:cs="Arial"/>
                <w:sz w:val="18"/>
                <w:szCs w:val="18"/>
              </w:rPr>
            </w:pPr>
            <w:r w:rsidRPr="00C903F8">
              <w:rPr>
                <w:rFonts w:cs="Arial"/>
                <w:i/>
                <w:sz w:val="18"/>
                <w:szCs w:val="18"/>
              </w:rPr>
              <w:t>Deadline and comments</w:t>
            </w:r>
          </w:p>
        </w:tc>
        <w:tc>
          <w:tcPr>
            <w:tcW w:w="1276" w:type="dxa"/>
          </w:tcPr>
          <w:p w:rsidR="00E67DA4" w:rsidRPr="00C903F8" w:rsidRDefault="00E67DA4" w:rsidP="00C01A94">
            <w:pPr>
              <w:spacing w:before="60" w:after="60" w:line="240" w:lineRule="atLeast"/>
              <w:ind w:left="0" w:firstLine="0"/>
              <w:jc w:val="center"/>
              <w:rPr>
                <w:rFonts w:cs="Arial"/>
                <w:sz w:val="18"/>
                <w:szCs w:val="18"/>
                <w:lang w:val="en-US"/>
              </w:rPr>
            </w:pPr>
            <w:r w:rsidRPr="00C903F8">
              <w:rPr>
                <w:rFonts w:cs="Arial"/>
                <w:i/>
                <w:sz w:val="18"/>
                <w:szCs w:val="18"/>
                <w:lang w:val="en-US"/>
              </w:rPr>
              <w:t>Date of entry into force</w:t>
            </w:r>
          </w:p>
        </w:tc>
      </w:tr>
      <w:tr w:rsidR="00E67DA4" w:rsidRPr="00C903F8" w:rsidTr="002F3A33">
        <w:trPr>
          <w:cantSplit/>
          <w:jc w:val="center"/>
        </w:trPr>
        <w:tc>
          <w:tcPr>
            <w:tcW w:w="6096" w:type="dxa"/>
            <w:gridSpan w:val="3"/>
            <w:shd w:val="clear" w:color="auto" w:fill="auto"/>
          </w:tcPr>
          <w:p w:rsidR="00E67DA4" w:rsidRPr="00C903F8" w:rsidRDefault="00E67DA4" w:rsidP="002F3A33">
            <w:pPr>
              <w:spacing w:before="80" w:after="80" w:line="240" w:lineRule="atLeast"/>
              <w:ind w:left="0" w:firstLine="0"/>
              <w:jc w:val="center"/>
              <w:rPr>
                <w:rFonts w:cs="Arial"/>
                <w:b/>
                <w:sz w:val="18"/>
                <w:szCs w:val="18"/>
              </w:rPr>
            </w:pPr>
            <w:r w:rsidRPr="00C903F8">
              <w:rPr>
                <w:rFonts w:cs="Arial"/>
                <w:b/>
                <w:sz w:val="18"/>
                <w:szCs w:val="18"/>
              </w:rPr>
              <w:t>CHAPTER 3</w:t>
            </w:r>
          </w:p>
        </w:tc>
        <w:tc>
          <w:tcPr>
            <w:tcW w:w="5387" w:type="dxa"/>
            <w:shd w:val="clear" w:color="auto" w:fill="auto"/>
          </w:tcPr>
          <w:p w:rsidR="00E67DA4" w:rsidRPr="00C903F8" w:rsidRDefault="00E67DA4" w:rsidP="002F3A33">
            <w:pPr>
              <w:spacing w:before="80" w:after="80" w:line="240" w:lineRule="atLeast"/>
              <w:ind w:left="0" w:firstLine="0"/>
              <w:rPr>
                <w:rFonts w:cs="Arial"/>
                <w:sz w:val="18"/>
                <w:szCs w:val="18"/>
              </w:rPr>
            </w:pPr>
          </w:p>
        </w:tc>
        <w:tc>
          <w:tcPr>
            <w:tcW w:w="1276" w:type="dxa"/>
            <w:shd w:val="clear" w:color="auto" w:fill="auto"/>
          </w:tcPr>
          <w:p w:rsidR="00E67DA4" w:rsidRPr="00C903F8" w:rsidRDefault="00E67DA4" w:rsidP="002F3A33">
            <w:pPr>
              <w:spacing w:before="80" w:after="80" w:line="240" w:lineRule="atLeast"/>
              <w:ind w:left="0" w:firstLine="0"/>
              <w:rPr>
                <w:rFonts w:cs="Arial"/>
                <w:sz w:val="18"/>
                <w:szCs w:val="18"/>
              </w:rPr>
            </w:pPr>
          </w:p>
        </w:tc>
        <w:tc>
          <w:tcPr>
            <w:tcW w:w="1276" w:type="dxa"/>
          </w:tcPr>
          <w:p w:rsidR="00E67DA4" w:rsidRPr="00C903F8" w:rsidRDefault="00E67DA4" w:rsidP="002F3A33">
            <w:pPr>
              <w:spacing w:before="80" w:after="80" w:line="240" w:lineRule="atLeast"/>
              <w:ind w:left="0" w:firstLine="0"/>
              <w:rPr>
                <w:rFonts w:cs="Arial"/>
                <w:sz w:val="18"/>
                <w:szCs w:val="18"/>
              </w:rPr>
            </w:pPr>
          </w:p>
        </w:tc>
      </w:tr>
      <w:tr w:rsidR="00E67DA4" w:rsidRPr="00C903F8" w:rsidTr="002F3A33">
        <w:trPr>
          <w:cantSplit/>
          <w:jc w:val="center"/>
        </w:trPr>
        <w:tc>
          <w:tcPr>
            <w:tcW w:w="1342" w:type="dxa"/>
            <w:vMerge w:val="restart"/>
            <w:shd w:val="clear" w:color="auto" w:fill="auto"/>
          </w:tcPr>
          <w:p w:rsidR="00E67DA4" w:rsidRPr="00C903F8" w:rsidRDefault="00E67DA4" w:rsidP="002F3A33">
            <w:pPr>
              <w:spacing w:before="80" w:after="80" w:line="240" w:lineRule="atLeast"/>
              <w:ind w:left="0" w:firstLine="0"/>
              <w:rPr>
                <w:rFonts w:cs="Arial"/>
                <w:sz w:val="18"/>
                <w:szCs w:val="18"/>
              </w:rPr>
            </w:pPr>
            <w:r w:rsidRPr="00C903F8">
              <w:rPr>
                <w:rFonts w:cs="Arial"/>
                <w:sz w:val="18"/>
                <w:szCs w:val="18"/>
              </w:rPr>
              <w:t>3.03</w:t>
            </w:r>
          </w:p>
        </w:tc>
        <w:tc>
          <w:tcPr>
            <w:tcW w:w="1458" w:type="dxa"/>
            <w:tcBorders>
              <w:bottom w:val="single" w:sz="4" w:space="0" w:color="auto"/>
            </w:tcBorders>
            <w:shd w:val="clear" w:color="auto" w:fill="auto"/>
          </w:tcPr>
          <w:p w:rsidR="00E67DA4" w:rsidRPr="00C903F8" w:rsidRDefault="00E67DA4" w:rsidP="002F3A33">
            <w:pPr>
              <w:spacing w:before="80" w:after="80" w:line="240" w:lineRule="atLeast"/>
              <w:ind w:left="0" w:firstLine="0"/>
              <w:rPr>
                <w:rFonts w:cs="Arial"/>
                <w:sz w:val="18"/>
                <w:szCs w:val="18"/>
              </w:rPr>
            </w:pPr>
            <w:r w:rsidRPr="00C903F8">
              <w:rPr>
                <w:rFonts w:cs="Arial"/>
                <w:sz w:val="18"/>
                <w:szCs w:val="18"/>
              </w:rPr>
              <w:t>(1)</w:t>
            </w:r>
            <w:r w:rsidR="002B3AE0" w:rsidRPr="00C903F8">
              <w:rPr>
                <w:rFonts w:cs="Arial"/>
                <w:sz w:val="18"/>
                <w:szCs w:val="18"/>
              </w:rPr>
              <w:t>(</w:t>
            </w:r>
            <w:r w:rsidRPr="00C903F8">
              <w:rPr>
                <w:rFonts w:cs="Arial"/>
                <w:sz w:val="18"/>
                <w:szCs w:val="18"/>
              </w:rPr>
              <w:t>b)</w:t>
            </w:r>
          </w:p>
        </w:tc>
        <w:tc>
          <w:tcPr>
            <w:tcW w:w="3296" w:type="dxa"/>
            <w:shd w:val="clear" w:color="auto" w:fill="auto"/>
          </w:tcPr>
          <w:p w:rsidR="00E67DA4" w:rsidRPr="00C903F8" w:rsidRDefault="00E67DA4" w:rsidP="002F3A33">
            <w:pPr>
              <w:spacing w:before="80" w:after="80" w:line="240" w:lineRule="atLeast"/>
              <w:ind w:left="0" w:firstLine="0"/>
              <w:rPr>
                <w:rFonts w:cs="Arial"/>
                <w:sz w:val="18"/>
                <w:szCs w:val="18"/>
                <w:lang w:val="en-US"/>
              </w:rPr>
            </w:pPr>
            <w:r w:rsidRPr="00C903F8">
              <w:rPr>
                <w:rFonts w:cs="Arial"/>
                <w:sz w:val="18"/>
                <w:szCs w:val="18"/>
                <w:lang w:val="en-US"/>
              </w:rPr>
              <w:t>Situation of aft-peak bulkhead</w:t>
            </w:r>
          </w:p>
        </w:tc>
        <w:tc>
          <w:tcPr>
            <w:tcW w:w="5387" w:type="dxa"/>
            <w:shd w:val="clear" w:color="auto" w:fill="auto"/>
          </w:tcPr>
          <w:p w:rsidR="00E67DA4" w:rsidRPr="00C903F8" w:rsidRDefault="008761D9" w:rsidP="002F3A33">
            <w:pPr>
              <w:spacing w:before="80" w:after="80" w:line="240" w:lineRule="atLeast"/>
              <w:ind w:left="0" w:firstLine="0"/>
              <w:rPr>
                <w:rFonts w:cs="Arial"/>
                <w:sz w:val="18"/>
                <w:szCs w:val="18"/>
                <w:lang w:val="en-US"/>
              </w:rPr>
            </w:pPr>
            <w:r>
              <w:rPr>
                <w:rFonts w:cs="Arial"/>
                <w:sz w:val="18"/>
                <w:szCs w:val="18"/>
                <w:lang w:val="en-US"/>
              </w:rPr>
              <w:t>N.R.C.</w:t>
            </w:r>
            <w:r w:rsidR="00E67DA4" w:rsidRPr="00C903F8">
              <w:rPr>
                <w:rFonts w:cs="Arial"/>
                <w:sz w:val="18"/>
                <w:szCs w:val="18"/>
                <w:lang w:val="en-US"/>
              </w:rPr>
              <w:t xml:space="preserve">, at the latest on renewal of the inland navigation vessel certificate after </w:t>
            </w:r>
          </w:p>
        </w:tc>
        <w:tc>
          <w:tcPr>
            <w:tcW w:w="1276" w:type="dxa"/>
            <w:shd w:val="clear" w:color="auto" w:fill="auto"/>
          </w:tcPr>
          <w:p w:rsidR="00E67DA4" w:rsidRPr="00C903F8" w:rsidRDefault="00E67DA4" w:rsidP="002F3A33">
            <w:pPr>
              <w:spacing w:before="80" w:after="80" w:line="240" w:lineRule="atLeast"/>
              <w:ind w:left="0" w:firstLine="0"/>
              <w:rPr>
                <w:rFonts w:cs="Arial"/>
                <w:sz w:val="18"/>
                <w:szCs w:val="18"/>
              </w:rPr>
            </w:pPr>
            <w:r w:rsidRPr="00C903F8">
              <w:rPr>
                <w:rFonts w:cs="Arial"/>
                <w:sz w:val="18"/>
                <w:szCs w:val="18"/>
              </w:rPr>
              <w:t>1.1.2035</w:t>
            </w:r>
          </w:p>
        </w:tc>
        <w:tc>
          <w:tcPr>
            <w:tcW w:w="1276" w:type="dxa"/>
          </w:tcPr>
          <w:p w:rsidR="00E67DA4" w:rsidRPr="004A2F59" w:rsidRDefault="004A2F59" w:rsidP="002F3A33">
            <w:pPr>
              <w:spacing w:before="80" w:after="80" w:line="240" w:lineRule="atLeast"/>
              <w:ind w:left="0" w:firstLine="0"/>
              <w:rPr>
                <w:rFonts w:cs="Arial"/>
                <w:sz w:val="18"/>
                <w:szCs w:val="18"/>
              </w:rPr>
            </w:pPr>
            <w:r>
              <w:rPr>
                <w:rFonts w:cs="Arial"/>
                <w:sz w:val="18"/>
                <w:szCs w:val="18"/>
              </w:rPr>
              <w:t>7.10.2018</w:t>
            </w:r>
          </w:p>
        </w:tc>
      </w:tr>
      <w:tr w:rsidR="00E67DA4" w:rsidRPr="00C903F8" w:rsidTr="002F3A33">
        <w:trPr>
          <w:cantSplit/>
          <w:jc w:val="center"/>
        </w:trPr>
        <w:tc>
          <w:tcPr>
            <w:tcW w:w="1342" w:type="dxa"/>
            <w:vMerge/>
            <w:shd w:val="clear" w:color="auto" w:fill="auto"/>
          </w:tcPr>
          <w:p w:rsidR="00E67DA4" w:rsidRPr="00C903F8" w:rsidRDefault="00E67DA4" w:rsidP="002F3A33">
            <w:pPr>
              <w:spacing w:before="80" w:after="80" w:line="240" w:lineRule="atLeast"/>
              <w:ind w:left="0" w:firstLine="0"/>
              <w:jc w:val="center"/>
              <w:rPr>
                <w:rFonts w:cs="Arial"/>
                <w:b/>
                <w:sz w:val="18"/>
                <w:szCs w:val="18"/>
                <w:lang w:val="en-US"/>
              </w:rPr>
            </w:pPr>
          </w:p>
        </w:tc>
        <w:tc>
          <w:tcPr>
            <w:tcW w:w="1458" w:type="dxa"/>
            <w:tcBorders>
              <w:bottom w:val="nil"/>
            </w:tcBorders>
            <w:shd w:val="clear" w:color="auto" w:fill="auto"/>
          </w:tcPr>
          <w:p w:rsidR="00E67DA4" w:rsidRPr="00C903F8" w:rsidRDefault="00E67DA4" w:rsidP="002F3A33">
            <w:pPr>
              <w:spacing w:before="80" w:after="80" w:line="240" w:lineRule="atLeast"/>
              <w:ind w:left="0" w:firstLine="0"/>
              <w:rPr>
                <w:rFonts w:cs="Arial"/>
                <w:sz w:val="18"/>
                <w:szCs w:val="18"/>
              </w:rPr>
            </w:pPr>
            <w:r w:rsidRPr="00C903F8">
              <w:rPr>
                <w:rFonts w:cs="Arial"/>
                <w:sz w:val="18"/>
                <w:szCs w:val="18"/>
              </w:rPr>
              <w:t>(2)</w:t>
            </w:r>
          </w:p>
        </w:tc>
        <w:tc>
          <w:tcPr>
            <w:tcW w:w="3296" w:type="dxa"/>
            <w:shd w:val="clear" w:color="auto" w:fill="auto"/>
          </w:tcPr>
          <w:p w:rsidR="00E67DA4" w:rsidRPr="00C903F8" w:rsidRDefault="00E67DA4" w:rsidP="002F3A33">
            <w:pPr>
              <w:tabs>
                <w:tab w:val="left" w:pos="2790"/>
              </w:tabs>
              <w:spacing w:before="80" w:after="80" w:line="240" w:lineRule="atLeast"/>
              <w:ind w:left="0" w:firstLine="0"/>
              <w:rPr>
                <w:rFonts w:cs="Arial"/>
                <w:sz w:val="18"/>
                <w:szCs w:val="18"/>
                <w:lang w:val="en-US"/>
              </w:rPr>
            </w:pPr>
            <w:r w:rsidRPr="00C903F8">
              <w:rPr>
                <w:rFonts w:cs="Arial"/>
                <w:sz w:val="18"/>
                <w:szCs w:val="18"/>
                <w:lang w:val="en-US"/>
              </w:rPr>
              <w:t>Accommodation aft of the aft-peak bulkhead</w:t>
            </w:r>
          </w:p>
        </w:tc>
        <w:tc>
          <w:tcPr>
            <w:tcW w:w="5387" w:type="dxa"/>
            <w:shd w:val="clear" w:color="auto" w:fill="auto"/>
          </w:tcPr>
          <w:p w:rsidR="00E67DA4" w:rsidRPr="00C903F8" w:rsidRDefault="008761D9" w:rsidP="002F3A33">
            <w:pPr>
              <w:spacing w:before="80" w:after="80" w:line="240" w:lineRule="atLeast"/>
              <w:ind w:left="0" w:firstLine="0"/>
              <w:rPr>
                <w:rFonts w:cs="Arial"/>
                <w:sz w:val="18"/>
                <w:szCs w:val="18"/>
                <w:lang w:val="en-US"/>
              </w:rPr>
            </w:pPr>
            <w:r>
              <w:rPr>
                <w:rFonts w:cs="Arial"/>
                <w:sz w:val="18"/>
                <w:szCs w:val="18"/>
                <w:lang w:val="en-US"/>
              </w:rPr>
              <w:t>N.R.C.</w:t>
            </w:r>
            <w:r w:rsidR="00E67DA4" w:rsidRPr="00C903F8">
              <w:rPr>
                <w:rFonts w:cs="Arial"/>
                <w:sz w:val="18"/>
                <w:szCs w:val="18"/>
                <w:lang w:val="en-US"/>
              </w:rPr>
              <w:t xml:space="preserve">, at the latest on renewal of the inland navigation vessel certificate after </w:t>
            </w:r>
          </w:p>
        </w:tc>
        <w:tc>
          <w:tcPr>
            <w:tcW w:w="1276" w:type="dxa"/>
            <w:shd w:val="clear" w:color="auto" w:fill="auto"/>
          </w:tcPr>
          <w:p w:rsidR="00E67DA4" w:rsidRPr="00C903F8" w:rsidRDefault="00E67DA4" w:rsidP="002F3A33">
            <w:pPr>
              <w:spacing w:before="80" w:after="80" w:line="240" w:lineRule="atLeast"/>
              <w:ind w:left="0" w:firstLine="0"/>
              <w:rPr>
                <w:rFonts w:cs="Arial"/>
                <w:sz w:val="18"/>
                <w:szCs w:val="18"/>
              </w:rPr>
            </w:pPr>
            <w:r w:rsidRPr="00C903F8">
              <w:rPr>
                <w:rFonts w:cs="Arial"/>
                <w:sz w:val="18"/>
                <w:szCs w:val="18"/>
              </w:rPr>
              <w:t>1.1.2045</w:t>
            </w:r>
          </w:p>
        </w:tc>
        <w:tc>
          <w:tcPr>
            <w:tcW w:w="1276" w:type="dxa"/>
          </w:tcPr>
          <w:p w:rsidR="00E67DA4" w:rsidRPr="004A2F59" w:rsidRDefault="004A2F59" w:rsidP="002F3A33">
            <w:pPr>
              <w:spacing w:before="80" w:after="80" w:line="240" w:lineRule="atLeast"/>
              <w:ind w:left="0" w:firstLine="0"/>
              <w:rPr>
                <w:rFonts w:cs="Arial"/>
                <w:sz w:val="18"/>
                <w:szCs w:val="18"/>
              </w:rPr>
            </w:pPr>
            <w:r>
              <w:rPr>
                <w:rFonts w:cs="Arial"/>
                <w:sz w:val="18"/>
                <w:szCs w:val="18"/>
              </w:rPr>
              <w:t>7.10.2018</w:t>
            </w:r>
          </w:p>
        </w:tc>
      </w:tr>
      <w:tr w:rsidR="004D56BE" w:rsidRPr="00C903F8" w:rsidTr="002F3A33">
        <w:trPr>
          <w:cantSplit/>
          <w:jc w:val="center"/>
        </w:trPr>
        <w:tc>
          <w:tcPr>
            <w:tcW w:w="1342" w:type="dxa"/>
            <w:vMerge/>
            <w:shd w:val="clear" w:color="auto" w:fill="auto"/>
          </w:tcPr>
          <w:p w:rsidR="004D56BE" w:rsidRPr="00C903F8" w:rsidRDefault="004D56BE" w:rsidP="002F3A33">
            <w:pPr>
              <w:spacing w:before="80" w:after="80" w:line="240" w:lineRule="atLeast"/>
              <w:ind w:left="0" w:firstLine="0"/>
              <w:jc w:val="center"/>
              <w:rPr>
                <w:rFonts w:cs="Arial"/>
                <w:b/>
                <w:sz w:val="18"/>
                <w:szCs w:val="18"/>
                <w:lang w:val="en-US"/>
              </w:rPr>
            </w:pPr>
          </w:p>
        </w:tc>
        <w:tc>
          <w:tcPr>
            <w:tcW w:w="1458" w:type="dxa"/>
            <w:tcBorders>
              <w:top w:val="nil"/>
            </w:tcBorders>
            <w:shd w:val="clear" w:color="auto" w:fill="auto"/>
          </w:tcPr>
          <w:p w:rsidR="004D56BE" w:rsidRPr="00C903F8" w:rsidRDefault="004D56BE" w:rsidP="002F3A33">
            <w:pPr>
              <w:spacing w:before="80" w:after="80" w:line="240" w:lineRule="atLeast"/>
              <w:ind w:left="0" w:firstLine="0"/>
              <w:rPr>
                <w:rFonts w:cs="Arial"/>
                <w:sz w:val="18"/>
                <w:szCs w:val="18"/>
              </w:rPr>
            </w:pPr>
          </w:p>
        </w:tc>
        <w:tc>
          <w:tcPr>
            <w:tcW w:w="3296" w:type="dxa"/>
            <w:shd w:val="clear" w:color="auto" w:fill="auto"/>
          </w:tcPr>
          <w:p w:rsidR="004D56BE" w:rsidRPr="00400D33" w:rsidRDefault="004D56BE" w:rsidP="002F3A33">
            <w:pPr>
              <w:spacing w:before="80" w:after="80" w:line="240" w:lineRule="atLeast"/>
              <w:ind w:left="0" w:firstLine="0"/>
              <w:rPr>
                <w:sz w:val="18"/>
                <w:szCs w:val="18"/>
                <w:lang w:val="en-GB"/>
              </w:rPr>
            </w:pPr>
            <w:r w:rsidRPr="00400D33">
              <w:rPr>
                <w:rFonts w:cs="Arial"/>
                <w:sz w:val="18"/>
                <w:szCs w:val="18"/>
                <w:lang w:val="en-GB"/>
              </w:rPr>
              <w:t>Safety equipment</w:t>
            </w:r>
            <w:r w:rsidRPr="00400D33">
              <w:rPr>
                <w:sz w:val="18"/>
                <w:szCs w:val="18"/>
                <w:lang w:val="en-GB"/>
              </w:rPr>
              <w:t xml:space="preserve"> aft of the aft-peak bulkhead</w:t>
            </w:r>
          </w:p>
        </w:tc>
        <w:tc>
          <w:tcPr>
            <w:tcW w:w="5387" w:type="dxa"/>
            <w:shd w:val="clear" w:color="auto" w:fill="auto"/>
          </w:tcPr>
          <w:p w:rsidR="004D56BE" w:rsidRPr="00400D33" w:rsidRDefault="004D56BE" w:rsidP="002F3A33">
            <w:pPr>
              <w:spacing w:before="80" w:after="80" w:line="240" w:lineRule="atLeast"/>
              <w:ind w:left="0" w:firstLine="0"/>
              <w:rPr>
                <w:sz w:val="18"/>
                <w:szCs w:val="18"/>
                <w:lang w:val="en-GB"/>
              </w:rPr>
            </w:pPr>
            <w:r w:rsidRPr="00400D33">
              <w:rPr>
                <w:sz w:val="18"/>
                <w:szCs w:val="18"/>
                <w:lang w:val="en-GB"/>
              </w:rPr>
              <w:t>N.R.C., at the latest on renewal of the inland navigation vessel certificate after</w:t>
            </w:r>
          </w:p>
        </w:tc>
        <w:tc>
          <w:tcPr>
            <w:tcW w:w="1276" w:type="dxa"/>
            <w:shd w:val="clear" w:color="auto" w:fill="auto"/>
          </w:tcPr>
          <w:p w:rsidR="004D56BE" w:rsidRPr="00400D33" w:rsidRDefault="004D56BE" w:rsidP="002F3A33">
            <w:pPr>
              <w:spacing w:before="80" w:after="80" w:line="240" w:lineRule="atLeast"/>
              <w:ind w:left="0" w:firstLine="0"/>
              <w:rPr>
                <w:sz w:val="18"/>
                <w:szCs w:val="18"/>
              </w:rPr>
            </w:pPr>
            <w:r w:rsidRPr="00400D33">
              <w:rPr>
                <w:sz w:val="18"/>
                <w:szCs w:val="18"/>
              </w:rPr>
              <w:t>1.1.2035</w:t>
            </w:r>
          </w:p>
        </w:tc>
        <w:tc>
          <w:tcPr>
            <w:tcW w:w="1276" w:type="dxa"/>
          </w:tcPr>
          <w:p w:rsidR="004D56BE" w:rsidRPr="00703258" w:rsidRDefault="004D56BE" w:rsidP="002F3A33">
            <w:pPr>
              <w:spacing w:before="80" w:after="80" w:line="240" w:lineRule="atLeast"/>
              <w:ind w:left="0" w:firstLine="0"/>
              <w:rPr>
                <w:rFonts w:cs="Arial"/>
                <w:sz w:val="18"/>
                <w:szCs w:val="18"/>
              </w:rPr>
            </w:pPr>
            <w:r>
              <w:rPr>
                <w:sz w:val="18"/>
                <w:szCs w:val="18"/>
              </w:rPr>
              <w:t>7.10.2018</w:t>
            </w:r>
          </w:p>
        </w:tc>
      </w:tr>
      <w:tr w:rsidR="004D56BE" w:rsidRPr="00C903F8" w:rsidTr="002F3A33">
        <w:trPr>
          <w:cantSplit/>
          <w:jc w:val="center"/>
        </w:trPr>
        <w:tc>
          <w:tcPr>
            <w:tcW w:w="1342" w:type="dxa"/>
            <w:vMerge/>
            <w:shd w:val="clear" w:color="auto" w:fill="auto"/>
          </w:tcPr>
          <w:p w:rsidR="004D56BE" w:rsidRPr="00C903F8" w:rsidRDefault="004D56BE" w:rsidP="002F3A33">
            <w:pPr>
              <w:spacing w:before="80" w:after="80" w:line="240" w:lineRule="atLeast"/>
              <w:ind w:left="0" w:firstLine="0"/>
              <w:jc w:val="center"/>
              <w:rPr>
                <w:rFonts w:cs="Arial"/>
                <w:b/>
                <w:sz w:val="18"/>
                <w:szCs w:val="18"/>
                <w:lang w:val="en-US"/>
              </w:rPr>
            </w:pPr>
          </w:p>
        </w:tc>
        <w:tc>
          <w:tcPr>
            <w:tcW w:w="1458" w:type="dxa"/>
            <w:shd w:val="clear" w:color="auto" w:fill="auto"/>
          </w:tcPr>
          <w:p w:rsidR="004D56BE" w:rsidRPr="00C903F8" w:rsidRDefault="004D56BE" w:rsidP="002F3A33">
            <w:pPr>
              <w:spacing w:before="80" w:after="80" w:line="240" w:lineRule="atLeast"/>
              <w:ind w:left="0" w:firstLine="0"/>
              <w:rPr>
                <w:rFonts w:cs="Arial"/>
                <w:sz w:val="18"/>
                <w:szCs w:val="18"/>
              </w:rPr>
            </w:pPr>
            <w:r w:rsidRPr="00C903F8">
              <w:rPr>
                <w:rFonts w:cs="Arial"/>
                <w:sz w:val="18"/>
                <w:szCs w:val="18"/>
              </w:rPr>
              <w:t>(7)</w:t>
            </w:r>
          </w:p>
        </w:tc>
        <w:tc>
          <w:tcPr>
            <w:tcW w:w="3296" w:type="dxa"/>
            <w:shd w:val="clear" w:color="auto" w:fill="auto"/>
          </w:tcPr>
          <w:p w:rsidR="004D56BE" w:rsidRPr="00C903F8" w:rsidRDefault="004D56BE" w:rsidP="002F3A33">
            <w:pPr>
              <w:spacing w:before="80" w:after="80" w:line="240" w:lineRule="atLeast"/>
              <w:ind w:left="0" w:firstLine="0"/>
              <w:rPr>
                <w:rFonts w:cs="Arial"/>
                <w:sz w:val="18"/>
                <w:szCs w:val="18"/>
                <w:lang w:val="en-US"/>
              </w:rPr>
            </w:pPr>
            <w:r w:rsidRPr="00C903F8">
              <w:rPr>
                <w:rFonts w:cs="Arial"/>
                <w:sz w:val="18"/>
                <w:szCs w:val="18"/>
                <w:lang w:val="en-US"/>
              </w:rPr>
              <w:t>Anchors not protruding in fore­sections of vessels</w:t>
            </w:r>
          </w:p>
        </w:tc>
        <w:tc>
          <w:tcPr>
            <w:tcW w:w="5387" w:type="dxa"/>
            <w:shd w:val="clear" w:color="auto" w:fill="auto"/>
          </w:tcPr>
          <w:p w:rsidR="004D56BE" w:rsidRPr="00C903F8" w:rsidRDefault="004D56BE" w:rsidP="002F3A33">
            <w:pPr>
              <w:spacing w:before="80" w:after="80" w:line="240" w:lineRule="atLeast"/>
              <w:ind w:left="0" w:firstLine="0"/>
              <w:rPr>
                <w:rFonts w:cs="Arial"/>
                <w:sz w:val="18"/>
                <w:szCs w:val="18"/>
                <w:lang w:val="en-US"/>
              </w:rPr>
            </w:pPr>
            <w:r w:rsidRPr="00C903F8">
              <w:rPr>
                <w:rFonts w:cs="Arial"/>
                <w:sz w:val="18"/>
                <w:szCs w:val="18"/>
                <w:lang w:val="en-US"/>
              </w:rPr>
              <w:t xml:space="preserve">The provision comes into force from 1.1.2001: </w:t>
            </w: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2F3A33">
            <w:pPr>
              <w:spacing w:before="80" w:after="80" w:line="240" w:lineRule="atLeast"/>
              <w:ind w:left="0" w:firstLine="0"/>
              <w:rPr>
                <w:rFonts w:cs="Arial"/>
                <w:sz w:val="18"/>
                <w:szCs w:val="18"/>
              </w:rPr>
            </w:pPr>
            <w:r w:rsidRPr="00C903F8">
              <w:rPr>
                <w:rFonts w:cs="Arial"/>
                <w:sz w:val="18"/>
                <w:szCs w:val="18"/>
              </w:rPr>
              <w:t>1.1.2041</w:t>
            </w:r>
          </w:p>
        </w:tc>
        <w:tc>
          <w:tcPr>
            <w:tcW w:w="1276" w:type="dxa"/>
          </w:tcPr>
          <w:p w:rsidR="004D56BE" w:rsidRPr="004A2F59" w:rsidRDefault="004D56BE" w:rsidP="002F3A33">
            <w:pPr>
              <w:spacing w:before="80" w:after="80" w:line="240" w:lineRule="atLeast"/>
              <w:ind w:left="0" w:firstLine="0"/>
              <w:rPr>
                <w:rFonts w:cs="Arial"/>
                <w:sz w:val="18"/>
                <w:szCs w:val="18"/>
              </w:rPr>
            </w:pPr>
            <w:r>
              <w:rPr>
                <w:rFonts w:cs="Arial"/>
                <w:sz w:val="18"/>
                <w:szCs w:val="18"/>
              </w:rPr>
              <w:t>7.10.2018</w:t>
            </w:r>
          </w:p>
        </w:tc>
      </w:tr>
      <w:tr w:rsidR="004D56BE" w:rsidRPr="00C903F8" w:rsidTr="002F3A33">
        <w:trPr>
          <w:cantSplit/>
          <w:jc w:val="center"/>
        </w:trPr>
        <w:tc>
          <w:tcPr>
            <w:tcW w:w="6096" w:type="dxa"/>
            <w:gridSpan w:val="3"/>
            <w:shd w:val="clear" w:color="auto" w:fill="auto"/>
          </w:tcPr>
          <w:p w:rsidR="004D56BE" w:rsidRPr="00C903F8" w:rsidRDefault="004D56BE" w:rsidP="002F3A33">
            <w:pPr>
              <w:spacing w:before="80" w:after="80" w:line="240" w:lineRule="atLeast"/>
              <w:ind w:left="0" w:firstLine="0"/>
              <w:jc w:val="center"/>
              <w:rPr>
                <w:rFonts w:cs="Arial"/>
                <w:sz w:val="18"/>
                <w:szCs w:val="18"/>
              </w:rPr>
            </w:pPr>
            <w:r w:rsidRPr="00C903F8">
              <w:rPr>
                <w:rFonts w:cs="Arial"/>
                <w:b/>
                <w:sz w:val="18"/>
                <w:szCs w:val="18"/>
              </w:rPr>
              <w:t>CHAPTER 6</w:t>
            </w:r>
          </w:p>
        </w:tc>
        <w:tc>
          <w:tcPr>
            <w:tcW w:w="5387" w:type="dxa"/>
            <w:shd w:val="clear" w:color="auto" w:fill="auto"/>
          </w:tcPr>
          <w:p w:rsidR="004D56BE" w:rsidRPr="00C903F8" w:rsidRDefault="004D56BE" w:rsidP="002F3A33">
            <w:pPr>
              <w:spacing w:before="80" w:after="80" w:line="240" w:lineRule="atLeast"/>
              <w:ind w:left="0" w:firstLine="0"/>
              <w:rPr>
                <w:rFonts w:cs="Arial"/>
                <w:sz w:val="18"/>
                <w:szCs w:val="18"/>
              </w:rPr>
            </w:pPr>
          </w:p>
        </w:tc>
        <w:tc>
          <w:tcPr>
            <w:tcW w:w="1276" w:type="dxa"/>
            <w:shd w:val="clear" w:color="auto" w:fill="auto"/>
          </w:tcPr>
          <w:p w:rsidR="004D56BE" w:rsidRPr="00C903F8" w:rsidRDefault="004D56BE" w:rsidP="002F3A33">
            <w:pPr>
              <w:spacing w:before="80" w:after="80" w:line="240" w:lineRule="atLeast"/>
              <w:ind w:left="0" w:firstLine="0"/>
              <w:rPr>
                <w:rFonts w:cs="Arial"/>
                <w:sz w:val="18"/>
                <w:szCs w:val="18"/>
              </w:rPr>
            </w:pPr>
          </w:p>
        </w:tc>
        <w:tc>
          <w:tcPr>
            <w:tcW w:w="1276" w:type="dxa"/>
          </w:tcPr>
          <w:p w:rsidR="004D56BE" w:rsidRPr="00C903F8" w:rsidRDefault="004D56BE" w:rsidP="002F3A33">
            <w:pPr>
              <w:spacing w:before="80" w:after="80" w:line="240" w:lineRule="atLeast"/>
              <w:ind w:left="0" w:firstLine="0"/>
              <w:rPr>
                <w:rFonts w:cs="Arial"/>
                <w:sz w:val="18"/>
                <w:szCs w:val="18"/>
              </w:rPr>
            </w:pPr>
          </w:p>
        </w:tc>
      </w:tr>
      <w:tr w:rsidR="004D56BE" w:rsidRPr="00C903F8" w:rsidTr="002F3A33">
        <w:trPr>
          <w:cantSplit/>
          <w:jc w:val="center"/>
        </w:trPr>
        <w:tc>
          <w:tcPr>
            <w:tcW w:w="1342" w:type="dxa"/>
            <w:vMerge w:val="restart"/>
            <w:shd w:val="clear" w:color="auto" w:fill="auto"/>
          </w:tcPr>
          <w:p w:rsidR="004D56BE" w:rsidRPr="00C903F8" w:rsidRDefault="004D56BE" w:rsidP="002F3A33">
            <w:pPr>
              <w:spacing w:before="80" w:after="80" w:line="240" w:lineRule="atLeast"/>
              <w:ind w:left="0" w:firstLine="0"/>
              <w:rPr>
                <w:rFonts w:cs="Arial"/>
                <w:sz w:val="18"/>
                <w:szCs w:val="18"/>
              </w:rPr>
            </w:pPr>
            <w:r w:rsidRPr="00C903F8">
              <w:rPr>
                <w:rFonts w:cs="Arial"/>
                <w:sz w:val="18"/>
                <w:szCs w:val="18"/>
              </w:rPr>
              <w:t>6.02</w:t>
            </w:r>
          </w:p>
        </w:tc>
        <w:tc>
          <w:tcPr>
            <w:tcW w:w="1458" w:type="dxa"/>
            <w:vMerge w:val="restart"/>
            <w:shd w:val="clear" w:color="auto" w:fill="auto"/>
          </w:tcPr>
          <w:p w:rsidR="004D56BE" w:rsidRPr="00C903F8" w:rsidRDefault="004D56BE" w:rsidP="002F3A33">
            <w:pPr>
              <w:spacing w:before="80" w:after="8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2F3A33">
            <w:pPr>
              <w:spacing w:before="80" w:after="80" w:line="240" w:lineRule="atLeast"/>
              <w:ind w:left="0" w:firstLine="0"/>
              <w:rPr>
                <w:rFonts w:cs="Arial"/>
                <w:sz w:val="18"/>
                <w:szCs w:val="18"/>
                <w:lang w:val="en-US"/>
              </w:rPr>
            </w:pPr>
            <w:r w:rsidRPr="00C903F8">
              <w:rPr>
                <w:rFonts w:cs="Arial"/>
                <w:sz w:val="18"/>
                <w:szCs w:val="18"/>
                <w:lang w:val="en-US"/>
              </w:rPr>
              <w:t>Duplicated pilot valves in case of hydraulic drive units</w:t>
            </w:r>
          </w:p>
        </w:tc>
        <w:tc>
          <w:tcPr>
            <w:tcW w:w="5387" w:type="dxa"/>
            <w:shd w:val="clear" w:color="auto" w:fill="auto"/>
          </w:tcPr>
          <w:p w:rsidR="004D56BE" w:rsidRPr="00C903F8" w:rsidRDefault="004D56BE" w:rsidP="002F3A33">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2F3A33">
            <w:pPr>
              <w:spacing w:before="80" w:after="80" w:line="240" w:lineRule="atLeast"/>
              <w:ind w:left="0" w:firstLine="0"/>
              <w:rPr>
                <w:rFonts w:cs="Arial"/>
                <w:sz w:val="18"/>
                <w:szCs w:val="18"/>
              </w:rPr>
            </w:pPr>
            <w:r w:rsidRPr="00C903F8">
              <w:rPr>
                <w:rFonts w:cs="Arial"/>
                <w:sz w:val="18"/>
                <w:szCs w:val="18"/>
              </w:rPr>
              <w:t>1.1.2020</w:t>
            </w:r>
          </w:p>
        </w:tc>
        <w:tc>
          <w:tcPr>
            <w:tcW w:w="1276" w:type="dxa"/>
          </w:tcPr>
          <w:p w:rsidR="004D56BE" w:rsidRPr="00C903F8" w:rsidRDefault="004D56BE" w:rsidP="002F3A33">
            <w:pPr>
              <w:spacing w:before="80" w:after="80" w:line="240" w:lineRule="atLeast"/>
              <w:ind w:left="0" w:firstLine="0"/>
              <w:rPr>
                <w:rFonts w:cs="Arial"/>
                <w:sz w:val="18"/>
                <w:szCs w:val="18"/>
              </w:rPr>
            </w:pPr>
            <w:r w:rsidRPr="00C903F8">
              <w:rPr>
                <w:rFonts w:cs="Arial"/>
                <w:sz w:val="18"/>
                <w:szCs w:val="18"/>
              </w:rPr>
              <w:t>1.4.2007</w:t>
            </w:r>
          </w:p>
        </w:tc>
      </w:tr>
      <w:tr w:rsidR="004D56BE" w:rsidRPr="00C903F8" w:rsidTr="002F3A33">
        <w:trPr>
          <w:cantSplit/>
          <w:jc w:val="center"/>
        </w:trPr>
        <w:tc>
          <w:tcPr>
            <w:tcW w:w="1342" w:type="dxa"/>
            <w:vMerge/>
            <w:shd w:val="clear" w:color="auto" w:fill="auto"/>
          </w:tcPr>
          <w:p w:rsidR="004D56BE" w:rsidRPr="00C903F8" w:rsidRDefault="004D56BE" w:rsidP="002F3A33">
            <w:pPr>
              <w:spacing w:before="80" w:after="80" w:line="240" w:lineRule="atLeast"/>
              <w:ind w:left="0" w:firstLine="0"/>
              <w:rPr>
                <w:rFonts w:cs="Arial"/>
                <w:sz w:val="18"/>
                <w:szCs w:val="18"/>
              </w:rPr>
            </w:pPr>
          </w:p>
        </w:tc>
        <w:tc>
          <w:tcPr>
            <w:tcW w:w="1458" w:type="dxa"/>
            <w:vMerge/>
            <w:shd w:val="clear" w:color="auto" w:fill="auto"/>
          </w:tcPr>
          <w:p w:rsidR="004D56BE" w:rsidRPr="00C903F8" w:rsidRDefault="004D56BE" w:rsidP="002F3A33">
            <w:pPr>
              <w:spacing w:before="80" w:after="80" w:line="240" w:lineRule="atLeast"/>
              <w:ind w:left="0" w:firstLine="0"/>
              <w:rPr>
                <w:rFonts w:cs="Arial"/>
                <w:sz w:val="18"/>
                <w:szCs w:val="18"/>
              </w:rPr>
            </w:pPr>
          </w:p>
        </w:tc>
        <w:tc>
          <w:tcPr>
            <w:tcW w:w="3296" w:type="dxa"/>
            <w:shd w:val="clear" w:color="auto" w:fill="auto"/>
          </w:tcPr>
          <w:p w:rsidR="004D56BE" w:rsidRPr="00C903F8" w:rsidRDefault="004D56BE" w:rsidP="002F3A33">
            <w:pPr>
              <w:tabs>
                <w:tab w:val="left" w:pos="1125"/>
              </w:tabs>
              <w:spacing w:before="80" w:after="80" w:line="240" w:lineRule="atLeast"/>
              <w:ind w:left="0" w:firstLine="0"/>
              <w:rPr>
                <w:rFonts w:cs="Arial"/>
                <w:sz w:val="18"/>
                <w:szCs w:val="18"/>
                <w:lang w:val="en-US"/>
              </w:rPr>
            </w:pPr>
            <w:r w:rsidRPr="00C903F8">
              <w:rPr>
                <w:rFonts w:cs="Arial"/>
                <w:sz w:val="18"/>
                <w:szCs w:val="18"/>
                <w:lang w:val="en-US"/>
              </w:rPr>
              <w:t>Separated pipework for the second drive unit in case of hydraulic drive units</w:t>
            </w:r>
          </w:p>
        </w:tc>
        <w:tc>
          <w:tcPr>
            <w:tcW w:w="5387" w:type="dxa"/>
            <w:shd w:val="clear" w:color="auto" w:fill="auto"/>
          </w:tcPr>
          <w:p w:rsidR="004D56BE" w:rsidRPr="00C903F8" w:rsidRDefault="004D56BE" w:rsidP="002F3A33">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2F3A33">
            <w:pPr>
              <w:spacing w:before="80" w:after="80" w:line="240" w:lineRule="atLeast"/>
              <w:ind w:left="0" w:firstLine="0"/>
              <w:rPr>
                <w:rFonts w:cs="Arial"/>
                <w:sz w:val="18"/>
                <w:szCs w:val="18"/>
              </w:rPr>
            </w:pPr>
            <w:r w:rsidRPr="00C903F8">
              <w:rPr>
                <w:rFonts w:cs="Arial"/>
                <w:sz w:val="18"/>
                <w:szCs w:val="18"/>
              </w:rPr>
              <w:t>1.1.2020</w:t>
            </w:r>
          </w:p>
        </w:tc>
        <w:tc>
          <w:tcPr>
            <w:tcW w:w="1276" w:type="dxa"/>
          </w:tcPr>
          <w:p w:rsidR="004D56BE" w:rsidRPr="00C903F8" w:rsidRDefault="004D56BE" w:rsidP="002F3A33">
            <w:pPr>
              <w:spacing w:before="80" w:after="80" w:line="240" w:lineRule="atLeast"/>
              <w:ind w:left="0" w:firstLine="0"/>
              <w:rPr>
                <w:rFonts w:cs="Arial"/>
                <w:sz w:val="18"/>
                <w:szCs w:val="18"/>
              </w:rPr>
            </w:pPr>
            <w:r w:rsidRPr="00C903F8">
              <w:rPr>
                <w:rFonts w:cs="Arial"/>
                <w:sz w:val="18"/>
                <w:szCs w:val="18"/>
              </w:rPr>
              <w:t>1.4.2007</w:t>
            </w:r>
          </w:p>
        </w:tc>
      </w:tr>
      <w:tr w:rsidR="004D56BE" w:rsidRPr="00C903F8" w:rsidTr="00E67DA4">
        <w:trPr>
          <w:cantSplit/>
          <w:jc w:val="center"/>
        </w:trPr>
        <w:tc>
          <w:tcPr>
            <w:tcW w:w="1342" w:type="dxa"/>
            <w:shd w:val="clear" w:color="auto" w:fill="auto"/>
          </w:tcPr>
          <w:p w:rsidR="004D56BE" w:rsidRPr="00C903F8" w:rsidRDefault="004D56BE" w:rsidP="00C01A94">
            <w:pPr>
              <w:spacing w:before="120" w:after="100" w:line="240" w:lineRule="atLeast"/>
              <w:ind w:left="0" w:firstLine="0"/>
              <w:rPr>
                <w:rFonts w:cs="Arial"/>
                <w:sz w:val="18"/>
                <w:szCs w:val="18"/>
              </w:rPr>
            </w:pPr>
            <w:r w:rsidRPr="00C903F8">
              <w:rPr>
                <w:rFonts w:cs="Arial"/>
                <w:sz w:val="18"/>
                <w:szCs w:val="18"/>
              </w:rPr>
              <w:t>6.07</w:t>
            </w:r>
          </w:p>
        </w:tc>
        <w:tc>
          <w:tcPr>
            <w:tcW w:w="1458" w:type="dxa"/>
            <w:shd w:val="clear" w:color="auto" w:fill="auto"/>
          </w:tcPr>
          <w:p w:rsidR="004D56BE" w:rsidRPr="00C903F8" w:rsidRDefault="004D56BE" w:rsidP="00C01A94">
            <w:pPr>
              <w:spacing w:before="120" w:after="100" w:line="240" w:lineRule="atLeast"/>
              <w:ind w:left="0" w:firstLine="0"/>
              <w:rPr>
                <w:rFonts w:cs="Arial"/>
                <w:sz w:val="18"/>
                <w:szCs w:val="18"/>
              </w:rPr>
            </w:pPr>
            <w:r w:rsidRPr="00C903F8">
              <w:rPr>
                <w:rFonts w:cs="Arial"/>
                <w:sz w:val="18"/>
                <w:szCs w:val="18"/>
              </w:rPr>
              <w:t>(2)(a)</w:t>
            </w:r>
          </w:p>
        </w:tc>
        <w:tc>
          <w:tcPr>
            <w:tcW w:w="3296" w:type="dxa"/>
            <w:shd w:val="clear" w:color="auto" w:fill="auto"/>
          </w:tcPr>
          <w:p w:rsidR="004D56BE" w:rsidRPr="00C903F8" w:rsidRDefault="004D56BE" w:rsidP="00C01A94">
            <w:pPr>
              <w:tabs>
                <w:tab w:val="left" w:pos="1080"/>
              </w:tabs>
              <w:spacing w:before="120" w:after="100" w:line="240" w:lineRule="atLeast"/>
              <w:ind w:left="0" w:firstLine="0"/>
              <w:rPr>
                <w:rFonts w:cs="Arial"/>
                <w:sz w:val="18"/>
                <w:szCs w:val="18"/>
                <w:lang w:val="en-US"/>
              </w:rPr>
            </w:pPr>
            <w:r w:rsidRPr="00C903F8">
              <w:rPr>
                <w:rFonts w:cs="Arial"/>
                <w:noProof/>
                <w:sz w:val="18"/>
                <w:szCs w:val="18"/>
                <w:lang w:val="en-US"/>
              </w:rPr>
              <w:t>Level alarm of the hydraulic tanks and alarm of the service pressure</w:t>
            </w:r>
          </w:p>
        </w:tc>
        <w:tc>
          <w:tcPr>
            <w:tcW w:w="5387" w:type="dxa"/>
            <w:shd w:val="clear" w:color="auto" w:fill="auto"/>
          </w:tcPr>
          <w:p w:rsidR="004D56BE" w:rsidRPr="00C903F8" w:rsidRDefault="004D56BE" w:rsidP="00C01A94">
            <w:pPr>
              <w:spacing w:before="12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C01A94">
            <w:pPr>
              <w:spacing w:before="120" w:after="100" w:line="240" w:lineRule="atLeast"/>
              <w:ind w:left="0" w:firstLine="0"/>
              <w:rPr>
                <w:rFonts w:cs="Arial"/>
                <w:sz w:val="18"/>
                <w:szCs w:val="18"/>
              </w:rPr>
            </w:pPr>
            <w:r w:rsidRPr="00C903F8">
              <w:rPr>
                <w:rFonts w:cs="Arial"/>
                <w:sz w:val="18"/>
                <w:szCs w:val="18"/>
              </w:rPr>
              <w:t>1.1.2010</w:t>
            </w:r>
          </w:p>
        </w:tc>
        <w:tc>
          <w:tcPr>
            <w:tcW w:w="1276" w:type="dxa"/>
          </w:tcPr>
          <w:p w:rsidR="004D56BE" w:rsidRPr="00C903F8" w:rsidRDefault="004D56BE" w:rsidP="00C01A94">
            <w:pPr>
              <w:spacing w:before="120" w:after="100" w:line="240" w:lineRule="atLeast"/>
              <w:ind w:left="0" w:firstLine="0"/>
              <w:rPr>
                <w:rFonts w:cs="Arial"/>
                <w:sz w:val="18"/>
                <w:szCs w:val="18"/>
              </w:rPr>
            </w:pPr>
            <w:r w:rsidRPr="00C903F8">
              <w:rPr>
                <w:rFonts w:cs="Arial"/>
                <w:sz w:val="18"/>
                <w:szCs w:val="18"/>
              </w:rPr>
              <w:t>1.4.2007</w:t>
            </w:r>
          </w:p>
        </w:tc>
      </w:tr>
      <w:tr w:rsidR="004D56BE" w:rsidRPr="00C903F8" w:rsidTr="007E2EA9">
        <w:trPr>
          <w:cantSplit/>
          <w:trHeight w:val="499"/>
          <w:jc w:val="center"/>
        </w:trPr>
        <w:tc>
          <w:tcPr>
            <w:tcW w:w="6096" w:type="dxa"/>
            <w:gridSpan w:val="3"/>
            <w:shd w:val="clear" w:color="auto" w:fill="auto"/>
          </w:tcPr>
          <w:p w:rsidR="004D56BE" w:rsidRPr="00C903F8" w:rsidRDefault="004D56BE" w:rsidP="00C01A94">
            <w:pPr>
              <w:spacing w:before="60" w:after="60" w:line="240" w:lineRule="atLeast"/>
              <w:ind w:left="0" w:firstLine="0"/>
              <w:jc w:val="center"/>
              <w:rPr>
                <w:rFonts w:cs="Arial"/>
                <w:sz w:val="18"/>
                <w:szCs w:val="18"/>
              </w:rPr>
            </w:pPr>
            <w:r w:rsidRPr="00C903F8">
              <w:rPr>
                <w:rFonts w:cs="Arial"/>
                <w:b/>
                <w:sz w:val="18"/>
                <w:szCs w:val="18"/>
              </w:rPr>
              <w:lastRenderedPageBreak/>
              <w:t>CHAPTER 7</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rPr>
            </w:pP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p>
        </w:tc>
        <w:tc>
          <w:tcPr>
            <w:tcW w:w="1276" w:type="dxa"/>
          </w:tcPr>
          <w:p w:rsidR="004D56BE" w:rsidRPr="00C903F8" w:rsidRDefault="004D56BE" w:rsidP="00C01A94">
            <w:pPr>
              <w:spacing w:before="60" w:after="60" w:line="240" w:lineRule="atLeast"/>
              <w:ind w:left="0" w:firstLine="0"/>
              <w:rPr>
                <w:rFonts w:cs="Arial"/>
                <w:sz w:val="18"/>
                <w:szCs w:val="18"/>
              </w:rPr>
            </w:pPr>
          </w:p>
        </w:tc>
      </w:tr>
      <w:tr w:rsidR="004D56BE" w:rsidRPr="00C903F8" w:rsidTr="005034E6">
        <w:trPr>
          <w:cantSplit/>
          <w:jc w:val="center"/>
        </w:trPr>
        <w:tc>
          <w:tcPr>
            <w:tcW w:w="1342" w:type="dxa"/>
            <w:tcBorders>
              <w:bottom w:val="single" w:sz="4" w:space="0" w:color="auto"/>
            </w:tcBorders>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7.02</w:t>
            </w:r>
          </w:p>
        </w:tc>
        <w:tc>
          <w:tcPr>
            <w:tcW w:w="1458" w:type="dxa"/>
            <w:shd w:val="clear" w:color="auto" w:fill="auto"/>
          </w:tcPr>
          <w:p w:rsidR="004D56BE" w:rsidRPr="00C903F8" w:rsidRDefault="004D56BE" w:rsidP="00C01A94">
            <w:pPr>
              <w:spacing w:before="60" w:after="60" w:line="240" w:lineRule="atLeast"/>
              <w:rPr>
                <w:rFonts w:cs="Arial"/>
                <w:sz w:val="18"/>
                <w:szCs w:val="18"/>
              </w:rPr>
            </w:pPr>
            <w:r w:rsidRPr="00C903F8">
              <w:rPr>
                <w:rFonts w:cs="Arial"/>
                <w:sz w:val="18"/>
                <w:szCs w:val="18"/>
              </w:rPr>
              <w:t>(6)</w:t>
            </w:r>
          </w:p>
        </w:tc>
        <w:tc>
          <w:tcPr>
            <w:tcW w:w="3296" w:type="dxa"/>
            <w:shd w:val="clear" w:color="auto" w:fill="auto"/>
          </w:tcPr>
          <w:p w:rsidR="004D56BE" w:rsidRPr="00C903F8" w:rsidRDefault="004D56BE" w:rsidP="00C01A94">
            <w:pPr>
              <w:spacing w:before="60" w:after="60" w:line="240" w:lineRule="atLeast"/>
              <w:rPr>
                <w:rFonts w:cs="Arial"/>
                <w:sz w:val="18"/>
                <w:szCs w:val="18"/>
              </w:rPr>
            </w:pPr>
            <w:r w:rsidRPr="00C903F8">
              <w:rPr>
                <w:rFonts w:cs="Arial"/>
                <w:sz w:val="18"/>
                <w:szCs w:val="18"/>
              </w:rPr>
              <w:t>Safety glass design</w:t>
            </w:r>
          </w:p>
        </w:tc>
        <w:tc>
          <w:tcPr>
            <w:tcW w:w="5387" w:type="dxa"/>
            <w:shd w:val="clear" w:color="auto" w:fill="auto"/>
          </w:tcPr>
          <w:p w:rsidR="004D56BE" w:rsidRPr="00C903F8" w:rsidRDefault="004D56BE" w:rsidP="00C01A94">
            <w:pPr>
              <w:spacing w:before="60" w:after="60" w:line="240" w:lineRule="atLeast"/>
              <w:rPr>
                <w:rFonts w:cs="Arial"/>
                <w:sz w:val="18"/>
                <w:szCs w:val="18"/>
              </w:rPr>
            </w:pPr>
            <w:r>
              <w:rPr>
                <w:rFonts w:cs="Arial"/>
                <w:sz w:val="18"/>
                <w:szCs w:val="18"/>
              </w:rPr>
              <w:t>N.R.C.</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p>
        </w:tc>
        <w:tc>
          <w:tcPr>
            <w:tcW w:w="1276" w:type="dxa"/>
          </w:tcPr>
          <w:p w:rsidR="004D56BE" w:rsidRPr="00C903F8" w:rsidRDefault="004D56BE" w:rsidP="00C01A94">
            <w:pPr>
              <w:spacing w:before="60" w:after="60" w:line="240" w:lineRule="atLeast"/>
              <w:ind w:left="0" w:firstLine="0"/>
              <w:rPr>
                <w:rFonts w:cs="Arial"/>
                <w:sz w:val="18"/>
                <w:szCs w:val="18"/>
              </w:rPr>
            </w:pPr>
            <w:r>
              <w:rPr>
                <w:rFonts w:cs="Arial"/>
                <w:sz w:val="18"/>
                <w:szCs w:val="18"/>
              </w:rPr>
              <w:t>7.10.2018</w:t>
            </w:r>
          </w:p>
        </w:tc>
      </w:tr>
      <w:tr w:rsidR="004D56BE" w:rsidRPr="00C903F8" w:rsidTr="005034E6">
        <w:trPr>
          <w:cantSplit/>
          <w:jc w:val="center"/>
        </w:trPr>
        <w:tc>
          <w:tcPr>
            <w:tcW w:w="1342" w:type="dxa"/>
            <w:vMerge w:val="restart"/>
            <w:tcBorders>
              <w:bottom w:val="nil"/>
            </w:tcBorders>
            <w:shd w:val="clear" w:color="auto" w:fill="auto"/>
          </w:tcPr>
          <w:p w:rsidR="004D56BE" w:rsidRPr="00C903F8" w:rsidRDefault="004D56BE" w:rsidP="00C01A94">
            <w:pPr>
              <w:spacing w:before="60" w:after="60" w:line="240" w:lineRule="atLeast"/>
              <w:ind w:left="0" w:firstLine="0"/>
              <w:rPr>
                <w:rFonts w:cs="Arial"/>
                <w:sz w:val="18"/>
                <w:szCs w:val="18"/>
                <w:lang w:val="en-US"/>
              </w:rPr>
            </w:pPr>
            <w:r w:rsidRPr="00C903F8">
              <w:rPr>
                <w:rFonts w:cs="Arial"/>
                <w:sz w:val="18"/>
                <w:szCs w:val="18"/>
                <w:lang w:val="en-US"/>
              </w:rPr>
              <w:t>7.04</w:t>
            </w:r>
          </w:p>
        </w:tc>
        <w:tc>
          <w:tcPr>
            <w:tcW w:w="1458"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sidRPr="00C903F8">
              <w:rPr>
                <w:rFonts w:cs="Arial"/>
                <w:sz w:val="18"/>
                <w:szCs w:val="18"/>
                <w:lang w:val="en-US"/>
              </w:rPr>
              <w:t>(3)</w:t>
            </w:r>
          </w:p>
        </w:tc>
        <w:tc>
          <w:tcPr>
            <w:tcW w:w="3296"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sidRPr="00C903F8">
              <w:rPr>
                <w:rFonts w:cs="Arial"/>
                <w:noProof/>
                <w:sz w:val="18"/>
                <w:szCs w:val="18"/>
                <w:lang w:val="en-US"/>
              </w:rPr>
              <w:t>Display</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sidRPr="00C903F8">
              <w:rPr>
                <w:rFonts w:cs="Arial"/>
                <w:noProof/>
                <w:sz w:val="18"/>
                <w:szCs w:val="18"/>
                <w:lang w:val="en-US"/>
              </w:rPr>
              <w:t xml:space="preserve">Unless wheelhouses have been designed for radar navigation by one person: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1.1.2010</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1.4.2007</w:t>
            </w:r>
          </w:p>
        </w:tc>
      </w:tr>
      <w:tr w:rsidR="004D56BE" w:rsidRPr="00C903F8" w:rsidTr="005034E6">
        <w:trPr>
          <w:cantSplit/>
          <w:jc w:val="center"/>
        </w:trPr>
        <w:tc>
          <w:tcPr>
            <w:tcW w:w="1342" w:type="dxa"/>
            <w:vMerge/>
            <w:tcBorders>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60" w:after="60" w:line="240" w:lineRule="atLeast"/>
              <w:ind w:left="0" w:firstLine="0"/>
              <w:jc w:val="left"/>
              <w:rPr>
                <w:rFonts w:cs="Arial"/>
                <w:sz w:val="18"/>
                <w:szCs w:val="18"/>
              </w:rPr>
            </w:pPr>
            <w:r w:rsidRPr="00C903F8">
              <w:rPr>
                <w:rFonts w:cs="Arial"/>
                <w:sz w:val="18"/>
                <w:szCs w:val="18"/>
              </w:rPr>
              <w:t>(9) 3</w:t>
            </w:r>
            <w:r w:rsidRPr="00C903F8">
              <w:rPr>
                <w:rFonts w:cs="Arial"/>
                <w:sz w:val="18"/>
                <w:szCs w:val="18"/>
                <w:vertAlign w:val="superscript"/>
              </w:rPr>
              <w:t>rd </w:t>
            </w:r>
            <w:r w:rsidRPr="00C903F8">
              <w:rPr>
                <w:rFonts w:cs="Arial"/>
                <w:sz w:val="18"/>
                <w:szCs w:val="18"/>
              </w:rPr>
              <w:t>sentence</w:t>
            </w:r>
          </w:p>
        </w:tc>
        <w:tc>
          <w:tcPr>
            <w:tcW w:w="329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noProof/>
                <w:sz w:val="18"/>
                <w:szCs w:val="18"/>
              </w:rPr>
              <w:t>Control by a lever</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1.1.2010</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1.4.2007</w:t>
            </w:r>
          </w:p>
        </w:tc>
      </w:tr>
      <w:tr w:rsidR="004D56BE" w:rsidRPr="00C903F8" w:rsidTr="00605BA5">
        <w:trPr>
          <w:cantSplit/>
          <w:jc w:val="center"/>
        </w:trPr>
        <w:tc>
          <w:tcPr>
            <w:tcW w:w="1342" w:type="dxa"/>
            <w:vMerge/>
            <w:tcBorders>
              <w:bottom w:val="single" w:sz="4" w:space="0" w:color="auto"/>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60" w:after="60" w:line="240" w:lineRule="atLeast"/>
              <w:ind w:left="0" w:firstLine="0"/>
              <w:jc w:val="left"/>
              <w:rPr>
                <w:rFonts w:cs="Arial"/>
                <w:sz w:val="18"/>
                <w:szCs w:val="18"/>
              </w:rPr>
            </w:pPr>
            <w:r w:rsidRPr="00C903F8">
              <w:rPr>
                <w:rFonts w:cs="Arial"/>
                <w:sz w:val="18"/>
                <w:szCs w:val="18"/>
              </w:rPr>
              <w:t>(9) 4th sentence</w:t>
            </w:r>
          </w:p>
        </w:tc>
        <w:tc>
          <w:tcPr>
            <w:tcW w:w="3296"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sidRPr="00C903F8">
              <w:rPr>
                <w:rFonts w:cs="Arial"/>
                <w:noProof/>
                <w:sz w:val="18"/>
                <w:szCs w:val="18"/>
                <w:lang w:val="en-US"/>
              </w:rPr>
              <w:t>Clearly show the direction of the thrust</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940616" w:rsidRDefault="004D56BE" w:rsidP="00C01A94">
            <w:pPr>
              <w:spacing w:before="60" w:after="60" w:line="240" w:lineRule="atLeast"/>
              <w:ind w:left="0" w:firstLine="0"/>
              <w:rPr>
                <w:rFonts w:cs="Arial"/>
                <w:sz w:val="18"/>
                <w:szCs w:val="18"/>
              </w:rPr>
            </w:pPr>
            <w:r w:rsidRPr="00940616">
              <w:rPr>
                <w:rFonts w:cs="Arial"/>
                <w:sz w:val="18"/>
                <w:szCs w:val="18"/>
              </w:rPr>
              <w:t>1.1.2010</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1.4.2007</w:t>
            </w:r>
          </w:p>
        </w:tc>
      </w:tr>
      <w:tr w:rsidR="004D56BE" w:rsidRPr="009B46F3" w:rsidTr="00605BA5">
        <w:trPr>
          <w:cantSplit/>
          <w:jc w:val="center"/>
        </w:trPr>
        <w:tc>
          <w:tcPr>
            <w:tcW w:w="1342" w:type="dxa"/>
            <w:tcBorders>
              <w:top w:val="single" w:sz="4" w:space="0" w:color="auto"/>
              <w:bottom w:val="single" w:sz="4" w:space="0" w:color="auto"/>
            </w:tcBorders>
            <w:shd w:val="clear" w:color="auto" w:fill="auto"/>
          </w:tcPr>
          <w:p w:rsidR="004D56BE" w:rsidRPr="00DE735E" w:rsidRDefault="004D56BE" w:rsidP="00C01A94">
            <w:pPr>
              <w:spacing w:before="60" w:after="60" w:line="240" w:lineRule="atLeast"/>
              <w:rPr>
                <w:rFonts w:cs="Arial"/>
                <w:sz w:val="18"/>
                <w:szCs w:val="18"/>
              </w:rPr>
            </w:pPr>
            <w:r w:rsidRPr="00DE735E">
              <w:rPr>
                <w:rFonts w:cs="Arial"/>
                <w:sz w:val="18"/>
                <w:szCs w:val="18"/>
              </w:rPr>
              <w:t>7.05</w:t>
            </w:r>
          </w:p>
        </w:tc>
        <w:tc>
          <w:tcPr>
            <w:tcW w:w="1458" w:type="dxa"/>
            <w:shd w:val="clear" w:color="auto" w:fill="auto"/>
          </w:tcPr>
          <w:p w:rsidR="004D56BE" w:rsidRPr="00DE735E" w:rsidRDefault="004D56BE" w:rsidP="00C01A94">
            <w:pPr>
              <w:spacing w:before="60" w:after="60" w:line="240" w:lineRule="atLeast"/>
              <w:rPr>
                <w:rFonts w:cs="Arial"/>
                <w:sz w:val="18"/>
                <w:szCs w:val="18"/>
              </w:rPr>
            </w:pPr>
            <w:r w:rsidRPr="00DE735E">
              <w:rPr>
                <w:rFonts w:cs="Arial"/>
                <w:sz w:val="18"/>
                <w:szCs w:val="18"/>
              </w:rPr>
              <w:t>(1)</w:t>
            </w:r>
          </w:p>
        </w:tc>
        <w:tc>
          <w:tcPr>
            <w:tcW w:w="3296" w:type="dxa"/>
            <w:shd w:val="clear" w:color="auto" w:fill="auto"/>
          </w:tcPr>
          <w:p w:rsidR="004D56BE" w:rsidRPr="00605BA5" w:rsidRDefault="004D56BE" w:rsidP="00C01A94">
            <w:pPr>
              <w:spacing w:before="60" w:after="60" w:line="240" w:lineRule="atLeast"/>
              <w:ind w:left="0" w:firstLine="0"/>
              <w:rPr>
                <w:rFonts w:cs="Arial"/>
                <w:sz w:val="18"/>
                <w:szCs w:val="18"/>
                <w:lang w:val="en-US"/>
              </w:rPr>
            </w:pPr>
            <w:r w:rsidRPr="00DE735E">
              <w:rPr>
                <w:rFonts w:cs="Arial"/>
                <w:sz w:val="18"/>
                <w:szCs w:val="18"/>
                <w:lang w:val="en-US"/>
              </w:rPr>
              <w:t>Navigation lights, their casings, accessories and light sources</w:t>
            </w:r>
          </w:p>
        </w:tc>
        <w:tc>
          <w:tcPr>
            <w:tcW w:w="5387" w:type="dxa"/>
            <w:shd w:val="clear" w:color="auto" w:fill="auto"/>
          </w:tcPr>
          <w:p w:rsidR="004D56BE" w:rsidRPr="00605BA5" w:rsidRDefault="004D56BE" w:rsidP="00C01A94">
            <w:pPr>
              <w:spacing w:before="60" w:after="60" w:line="240" w:lineRule="atLeast"/>
              <w:ind w:left="0" w:firstLine="0"/>
              <w:rPr>
                <w:rFonts w:cs="Arial"/>
                <w:sz w:val="18"/>
                <w:szCs w:val="18"/>
                <w:lang w:val="en-US"/>
              </w:rPr>
            </w:pPr>
            <w:r w:rsidRPr="00337011">
              <w:rPr>
                <w:rFonts w:cs="Arial"/>
                <w:sz w:val="18"/>
                <w:szCs w:val="18"/>
                <w:lang w:val="en-US"/>
              </w:rPr>
              <w:t>Navigation lights, their casings, accessories, and light sources that fulfill the requirements for colo</w:t>
            </w:r>
            <w:r>
              <w:rPr>
                <w:rFonts w:cs="Arial"/>
                <w:sz w:val="18"/>
                <w:szCs w:val="18"/>
                <w:lang w:val="en-US"/>
              </w:rPr>
              <w:t>u</w:t>
            </w:r>
            <w:r w:rsidRPr="00337011">
              <w:rPr>
                <w:rFonts w:cs="Arial"/>
                <w:sz w:val="18"/>
                <w:szCs w:val="18"/>
                <w:lang w:val="en-US"/>
              </w:rPr>
              <w:t>r and light intensity of lights</w:t>
            </w:r>
            <w:r>
              <w:rPr>
                <w:rFonts w:cs="Arial"/>
                <w:sz w:val="18"/>
                <w:szCs w:val="18"/>
                <w:lang w:val="en-US"/>
              </w:rPr>
              <w:t xml:space="preserve"> on board</w:t>
            </w:r>
            <w:r w:rsidRPr="00337011">
              <w:rPr>
                <w:rFonts w:cs="Arial"/>
                <w:sz w:val="18"/>
                <w:szCs w:val="18"/>
                <w:lang w:val="en-US"/>
              </w:rPr>
              <w:t xml:space="preserve">, and for the admission of </w:t>
            </w:r>
            <w:r>
              <w:rPr>
                <w:rFonts w:cs="Arial"/>
                <w:sz w:val="18"/>
                <w:szCs w:val="18"/>
                <w:lang w:val="en-US"/>
              </w:rPr>
              <w:t>navigation</w:t>
            </w:r>
            <w:r w:rsidRPr="00337011">
              <w:rPr>
                <w:rFonts w:cs="Arial"/>
                <w:sz w:val="18"/>
                <w:szCs w:val="18"/>
                <w:lang w:val="en-US"/>
              </w:rPr>
              <w:t xml:space="preserve"> lights for navigation on the Rhine, as of 30 November 2009 may still be used</w:t>
            </w:r>
            <w:r>
              <w:rPr>
                <w:rFonts w:cs="Arial"/>
                <w:sz w:val="18"/>
                <w:szCs w:val="18"/>
                <w:lang w:val="en-US"/>
              </w:rPr>
              <w:t>.</w:t>
            </w:r>
          </w:p>
        </w:tc>
        <w:tc>
          <w:tcPr>
            <w:tcW w:w="1276" w:type="dxa"/>
            <w:shd w:val="clear" w:color="auto" w:fill="auto"/>
          </w:tcPr>
          <w:p w:rsidR="004D56BE" w:rsidRPr="00940616" w:rsidRDefault="004D56BE" w:rsidP="00C01A94">
            <w:pPr>
              <w:spacing w:before="60" w:after="60" w:line="240" w:lineRule="atLeast"/>
              <w:rPr>
                <w:rFonts w:cs="Arial"/>
                <w:sz w:val="18"/>
                <w:szCs w:val="18"/>
                <w:lang w:val="en-GB"/>
              </w:rPr>
            </w:pPr>
          </w:p>
        </w:tc>
        <w:tc>
          <w:tcPr>
            <w:tcW w:w="1276" w:type="dxa"/>
          </w:tcPr>
          <w:p w:rsidR="004D56BE" w:rsidRPr="00DE735E" w:rsidRDefault="004D56BE" w:rsidP="00C01A94">
            <w:pPr>
              <w:spacing w:before="60" w:after="60" w:line="240" w:lineRule="atLeast"/>
              <w:rPr>
                <w:rFonts w:cs="Arial"/>
                <w:color w:val="FF0000"/>
                <w:sz w:val="18"/>
                <w:szCs w:val="18"/>
              </w:rPr>
            </w:pPr>
            <w:r w:rsidRPr="007D1F70">
              <w:rPr>
                <w:rFonts w:cs="Arial"/>
                <w:sz w:val="18"/>
                <w:szCs w:val="18"/>
              </w:rPr>
              <w:t>1.12.2009</w:t>
            </w:r>
          </w:p>
        </w:tc>
      </w:tr>
      <w:tr w:rsidR="004D56BE" w:rsidRPr="00C903F8" w:rsidTr="00605BA5">
        <w:trPr>
          <w:cantSplit/>
          <w:jc w:val="center"/>
        </w:trPr>
        <w:tc>
          <w:tcPr>
            <w:tcW w:w="1342" w:type="dxa"/>
            <w:tcBorders>
              <w:top w:val="single" w:sz="4" w:space="0" w:color="auto"/>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7.06</w:t>
            </w:r>
          </w:p>
        </w:tc>
        <w:tc>
          <w:tcPr>
            <w:tcW w:w="1458" w:type="dxa"/>
            <w:shd w:val="clear" w:color="auto" w:fill="auto"/>
          </w:tcPr>
          <w:p w:rsidR="004D56BE" w:rsidRPr="00605BA5" w:rsidRDefault="004D56BE" w:rsidP="00C01A94">
            <w:pPr>
              <w:spacing w:before="60" w:after="60" w:line="240" w:lineRule="atLeast"/>
              <w:rPr>
                <w:rFonts w:cs="Arial"/>
                <w:sz w:val="18"/>
                <w:szCs w:val="18"/>
              </w:rPr>
            </w:pPr>
            <w:r w:rsidRPr="00605BA5">
              <w:rPr>
                <w:rFonts w:cs="Arial"/>
                <w:sz w:val="18"/>
                <w:szCs w:val="18"/>
              </w:rPr>
              <w:t>(1)</w:t>
            </w:r>
          </w:p>
        </w:tc>
        <w:tc>
          <w:tcPr>
            <w:tcW w:w="3296" w:type="dxa"/>
            <w:shd w:val="clear" w:color="auto" w:fill="auto"/>
          </w:tcPr>
          <w:p w:rsidR="004D56BE" w:rsidRPr="00605BA5" w:rsidRDefault="004D56BE" w:rsidP="00C01A94">
            <w:pPr>
              <w:spacing w:before="60" w:after="60" w:line="240" w:lineRule="atLeast"/>
              <w:ind w:left="0" w:firstLine="0"/>
              <w:rPr>
                <w:rFonts w:cs="Arial"/>
                <w:sz w:val="18"/>
                <w:szCs w:val="18"/>
                <w:lang w:val="en-US"/>
              </w:rPr>
            </w:pPr>
            <w:r w:rsidRPr="00605BA5">
              <w:rPr>
                <w:rFonts w:cs="Arial"/>
                <w:sz w:val="18"/>
                <w:szCs w:val="18"/>
                <w:lang w:val="en-US"/>
              </w:rPr>
              <w:t>Rate-of-turn indicators, which have received an approval before 1</w:t>
            </w:r>
            <w:r w:rsidRPr="00605BA5">
              <w:rPr>
                <w:rFonts w:cs="Arial"/>
                <w:sz w:val="18"/>
                <w:szCs w:val="18"/>
                <w:vertAlign w:val="superscript"/>
                <w:lang w:val="en-US"/>
              </w:rPr>
              <w:t>st</w:t>
            </w:r>
            <w:r w:rsidRPr="00605BA5">
              <w:rPr>
                <w:rFonts w:cs="Arial"/>
                <w:sz w:val="18"/>
                <w:szCs w:val="18"/>
                <w:lang w:val="en-US"/>
              </w:rPr>
              <w:t> January 1990</w:t>
            </w:r>
          </w:p>
        </w:tc>
        <w:tc>
          <w:tcPr>
            <w:tcW w:w="5387" w:type="dxa"/>
            <w:shd w:val="clear" w:color="auto" w:fill="auto"/>
          </w:tcPr>
          <w:p w:rsidR="004D56BE" w:rsidRPr="00605BA5" w:rsidRDefault="004D56BE" w:rsidP="00C01A94">
            <w:pPr>
              <w:spacing w:before="60" w:after="60" w:line="240" w:lineRule="atLeast"/>
              <w:ind w:left="0" w:firstLine="0"/>
              <w:rPr>
                <w:rFonts w:cs="Arial"/>
                <w:sz w:val="18"/>
                <w:szCs w:val="18"/>
                <w:lang w:val="en-US"/>
              </w:rPr>
            </w:pPr>
            <w:r w:rsidRPr="00605BA5">
              <w:rPr>
                <w:rFonts w:cs="Arial"/>
                <w:sz w:val="18"/>
                <w:szCs w:val="18"/>
                <w:lang w:val="en-US"/>
              </w:rPr>
              <w:t>Rate-of-turn indicators, which have received an approval before 1</w:t>
            </w:r>
            <w:r w:rsidRPr="00605BA5">
              <w:rPr>
                <w:rFonts w:cs="Arial"/>
                <w:sz w:val="18"/>
                <w:szCs w:val="18"/>
                <w:vertAlign w:val="superscript"/>
                <w:lang w:val="en-US"/>
              </w:rPr>
              <w:t>st</w:t>
            </w:r>
            <w:r w:rsidRPr="00605BA5">
              <w:rPr>
                <w:rFonts w:cs="Arial"/>
                <w:sz w:val="18"/>
                <w:szCs w:val="18"/>
                <w:lang w:val="en-US"/>
              </w:rPr>
              <w:t xml:space="preserve"> January 1990 and have been installed before 1st January 2000, may be maintained and used until renewal of the inland navigation vessel certificate after 1st January 2015, if there is a valid installation certificate pursuant to Directive 2006/87/EC</w:t>
            </w:r>
            <w:r w:rsidRPr="00605BA5">
              <w:footnoteReference w:id="39"/>
            </w:r>
            <w:r w:rsidRPr="00605BA5">
              <w:rPr>
                <w:rFonts w:cs="Arial"/>
                <w:sz w:val="18"/>
                <w:szCs w:val="18"/>
                <w:lang w:val="en-US"/>
              </w:rPr>
              <w:t xml:space="preserve"> or Resolution CCNR 1989-II-35.</w:t>
            </w:r>
          </w:p>
        </w:tc>
        <w:tc>
          <w:tcPr>
            <w:tcW w:w="1276" w:type="dxa"/>
            <w:shd w:val="clear" w:color="auto" w:fill="auto"/>
          </w:tcPr>
          <w:p w:rsidR="004D56BE" w:rsidRPr="00605BA5" w:rsidRDefault="004D56BE" w:rsidP="00C01A94">
            <w:pPr>
              <w:spacing w:before="60" w:after="60" w:line="240" w:lineRule="atLeast"/>
              <w:rPr>
                <w:rFonts w:cs="Arial"/>
                <w:sz w:val="18"/>
                <w:szCs w:val="18"/>
                <w:lang w:val="en-GB"/>
              </w:rPr>
            </w:pPr>
          </w:p>
        </w:tc>
        <w:tc>
          <w:tcPr>
            <w:tcW w:w="1276" w:type="dxa"/>
          </w:tcPr>
          <w:p w:rsidR="004D56BE" w:rsidRPr="00605BA5" w:rsidRDefault="004D56BE" w:rsidP="00C01A94">
            <w:pPr>
              <w:spacing w:before="60" w:after="60" w:line="240" w:lineRule="atLeast"/>
              <w:rPr>
                <w:rFonts w:cs="Arial"/>
                <w:sz w:val="18"/>
                <w:szCs w:val="18"/>
              </w:rPr>
            </w:pPr>
            <w:r w:rsidRPr="00605BA5">
              <w:rPr>
                <w:rFonts w:cs="Arial"/>
                <w:sz w:val="18"/>
                <w:szCs w:val="18"/>
              </w:rPr>
              <w:t>1.12.2009</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458" w:type="dxa"/>
            <w:vMerge w:val="restart"/>
            <w:shd w:val="clear" w:color="auto" w:fill="auto"/>
          </w:tcPr>
          <w:p w:rsidR="004D56BE" w:rsidRPr="00605BA5" w:rsidRDefault="004D56BE" w:rsidP="00C01A94">
            <w:pPr>
              <w:spacing w:before="120" w:after="120" w:line="240" w:lineRule="atLeast"/>
              <w:rPr>
                <w:rFonts w:cs="Arial"/>
                <w:sz w:val="18"/>
                <w:szCs w:val="18"/>
              </w:rPr>
            </w:pPr>
          </w:p>
        </w:tc>
        <w:tc>
          <w:tcPr>
            <w:tcW w:w="3296" w:type="dxa"/>
            <w:shd w:val="clear" w:color="auto" w:fill="auto"/>
          </w:tcPr>
          <w:p w:rsidR="004D56BE" w:rsidRPr="00605BA5" w:rsidRDefault="004D56BE" w:rsidP="00C01A94">
            <w:pPr>
              <w:spacing w:before="120" w:after="120" w:line="240" w:lineRule="atLeast"/>
              <w:ind w:left="0" w:firstLine="0"/>
              <w:rPr>
                <w:rFonts w:cs="Arial"/>
                <w:sz w:val="18"/>
                <w:szCs w:val="18"/>
                <w:lang w:val="en-GB"/>
              </w:rPr>
            </w:pPr>
            <w:r w:rsidRPr="00605BA5">
              <w:rPr>
                <w:rFonts w:cs="Arial"/>
                <w:noProof/>
                <w:sz w:val="18"/>
                <w:szCs w:val="18"/>
                <w:lang w:val="en-US"/>
              </w:rPr>
              <w:t>Radar navigation installations and rate-of-turn indicators which have received an approval after 1</w:t>
            </w:r>
            <w:r w:rsidRPr="00605BA5">
              <w:rPr>
                <w:rFonts w:cs="Arial"/>
                <w:noProof/>
                <w:sz w:val="18"/>
                <w:szCs w:val="18"/>
                <w:vertAlign w:val="superscript"/>
                <w:lang w:val="en-US"/>
              </w:rPr>
              <w:t>st</w:t>
            </w:r>
            <w:r>
              <w:rPr>
                <w:rFonts w:cs="Arial"/>
                <w:noProof/>
                <w:sz w:val="18"/>
                <w:szCs w:val="18"/>
                <w:lang w:val="en-US"/>
              </w:rPr>
              <w:t> </w:t>
            </w:r>
            <w:r w:rsidRPr="00605BA5">
              <w:rPr>
                <w:rFonts w:cs="Arial"/>
                <w:noProof/>
                <w:sz w:val="18"/>
                <w:szCs w:val="18"/>
                <w:lang w:val="en-US"/>
              </w:rPr>
              <w:t>January</w:t>
            </w:r>
            <w:r>
              <w:rPr>
                <w:rFonts w:cs="Arial"/>
                <w:noProof/>
                <w:sz w:val="18"/>
                <w:szCs w:val="18"/>
                <w:lang w:val="en-US"/>
              </w:rPr>
              <w:t> </w:t>
            </w:r>
            <w:r w:rsidRPr="00605BA5">
              <w:rPr>
                <w:rFonts w:cs="Arial"/>
                <w:noProof/>
                <w:sz w:val="18"/>
                <w:szCs w:val="18"/>
                <w:lang w:val="en-US"/>
              </w:rPr>
              <w:t>1990</w:t>
            </w:r>
          </w:p>
        </w:tc>
        <w:tc>
          <w:tcPr>
            <w:tcW w:w="5387" w:type="dxa"/>
            <w:shd w:val="clear" w:color="auto" w:fill="auto"/>
          </w:tcPr>
          <w:p w:rsidR="004D56BE" w:rsidRPr="00605BA5" w:rsidRDefault="004D56BE" w:rsidP="00C01A94">
            <w:pPr>
              <w:spacing w:before="120" w:after="120" w:line="240" w:lineRule="atLeast"/>
              <w:ind w:left="0" w:firstLine="0"/>
              <w:rPr>
                <w:rFonts w:cs="Arial"/>
                <w:sz w:val="18"/>
                <w:szCs w:val="18"/>
                <w:lang w:val="en-GB"/>
              </w:rPr>
            </w:pPr>
            <w:r w:rsidRPr="00605BA5">
              <w:rPr>
                <w:rFonts w:cs="Arial"/>
                <w:sz w:val="18"/>
                <w:szCs w:val="18"/>
                <w:lang w:val="en-US"/>
              </w:rPr>
              <w:t>Radar navigation installations and rate-of-turn indicators which have received an approval on or after 1</w:t>
            </w:r>
            <w:r w:rsidRPr="00605BA5">
              <w:rPr>
                <w:rFonts w:cs="Arial"/>
                <w:sz w:val="18"/>
                <w:szCs w:val="18"/>
                <w:vertAlign w:val="superscript"/>
                <w:lang w:val="en-US"/>
              </w:rPr>
              <w:t>st</w:t>
            </w:r>
            <w:r w:rsidRPr="00605BA5">
              <w:rPr>
                <w:rFonts w:cs="Arial"/>
                <w:sz w:val="18"/>
                <w:szCs w:val="18"/>
                <w:lang w:val="en-US"/>
              </w:rPr>
              <w:t xml:space="preserve"> January 1990, pursuant to the minimum requirements and test conditions for radar installations used for navigation on the Rhine, as well as the minimum requirements and test conditions for rate-of-turn indicators used for navigation on the Rhine, may continue to be installed and used if there is a valid installation certificate pursuant to this Standard, Directive 2006/87/EC or Resolution CCNR 1989-II-35.</w:t>
            </w:r>
          </w:p>
        </w:tc>
        <w:tc>
          <w:tcPr>
            <w:tcW w:w="1276" w:type="dxa"/>
            <w:shd w:val="clear" w:color="auto" w:fill="auto"/>
          </w:tcPr>
          <w:p w:rsidR="004D56BE" w:rsidRPr="00605BA5" w:rsidRDefault="004D56BE" w:rsidP="00C01A94">
            <w:pPr>
              <w:spacing w:before="120" w:after="120" w:line="240" w:lineRule="atLeast"/>
              <w:rPr>
                <w:rFonts w:cs="Arial"/>
                <w:sz w:val="18"/>
                <w:szCs w:val="18"/>
                <w:lang w:val="en-GB"/>
              </w:rPr>
            </w:pPr>
          </w:p>
        </w:tc>
        <w:tc>
          <w:tcPr>
            <w:tcW w:w="1276" w:type="dxa"/>
          </w:tcPr>
          <w:p w:rsidR="004D56BE" w:rsidRPr="00605BA5" w:rsidRDefault="004D56BE" w:rsidP="00C01A94">
            <w:pPr>
              <w:spacing w:before="120" w:after="120" w:line="240" w:lineRule="atLeast"/>
              <w:rPr>
                <w:rFonts w:cs="Arial"/>
                <w:sz w:val="18"/>
                <w:szCs w:val="18"/>
              </w:rPr>
            </w:pPr>
            <w:r w:rsidRPr="00605BA5">
              <w:rPr>
                <w:rFonts w:cs="Arial"/>
                <w:sz w:val="18"/>
                <w:szCs w:val="18"/>
              </w:rPr>
              <w:t>1.12.2009</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458" w:type="dxa"/>
            <w:vMerge/>
            <w:shd w:val="clear" w:color="auto" w:fill="auto"/>
          </w:tcPr>
          <w:p w:rsidR="004D56BE" w:rsidRPr="00605BA5" w:rsidRDefault="004D56BE" w:rsidP="00C01A94">
            <w:pPr>
              <w:spacing w:before="120" w:after="120" w:line="240" w:lineRule="atLeast"/>
              <w:ind w:left="0" w:firstLine="0"/>
              <w:rPr>
                <w:rFonts w:cs="Arial"/>
                <w:sz w:val="18"/>
                <w:szCs w:val="18"/>
              </w:rPr>
            </w:pPr>
          </w:p>
        </w:tc>
        <w:tc>
          <w:tcPr>
            <w:tcW w:w="3296" w:type="dxa"/>
            <w:shd w:val="clear" w:color="auto" w:fill="auto"/>
          </w:tcPr>
          <w:p w:rsidR="004D56BE" w:rsidRPr="00605BA5" w:rsidRDefault="004D56BE" w:rsidP="00C01A94">
            <w:pPr>
              <w:spacing w:before="120" w:after="120" w:line="240" w:lineRule="atLeast"/>
              <w:ind w:left="0" w:firstLine="0"/>
              <w:rPr>
                <w:rFonts w:cs="Arial"/>
                <w:sz w:val="18"/>
                <w:szCs w:val="18"/>
                <w:lang w:val="en-US"/>
              </w:rPr>
            </w:pPr>
            <w:r w:rsidRPr="00605BA5">
              <w:rPr>
                <w:rFonts w:cs="Arial"/>
                <w:noProof/>
                <w:sz w:val="18"/>
                <w:szCs w:val="18"/>
                <w:lang w:val="en-US"/>
              </w:rPr>
              <w:t>Radar navigation installations and rate-of-turn indicators which have received an approval after 31</w:t>
            </w:r>
            <w:r w:rsidRPr="00605BA5">
              <w:rPr>
                <w:rFonts w:cs="Arial"/>
                <w:noProof/>
                <w:sz w:val="18"/>
                <w:szCs w:val="18"/>
                <w:vertAlign w:val="superscript"/>
                <w:lang w:val="en-US"/>
              </w:rPr>
              <w:t>st </w:t>
            </w:r>
            <w:r w:rsidRPr="00605BA5">
              <w:rPr>
                <w:rFonts w:cs="Arial"/>
                <w:noProof/>
                <w:sz w:val="18"/>
                <w:szCs w:val="18"/>
                <w:lang w:val="en-US"/>
              </w:rPr>
              <w:t>December 2006</w:t>
            </w:r>
          </w:p>
        </w:tc>
        <w:tc>
          <w:tcPr>
            <w:tcW w:w="5387" w:type="dxa"/>
            <w:shd w:val="clear" w:color="auto" w:fill="auto"/>
          </w:tcPr>
          <w:p w:rsidR="004D56BE" w:rsidRPr="00605BA5" w:rsidRDefault="004D56BE" w:rsidP="00C01A94">
            <w:pPr>
              <w:spacing w:before="120" w:after="120" w:line="240" w:lineRule="atLeast"/>
              <w:ind w:left="0" w:firstLine="0"/>
              <w:rPr>
                <w:rFonts w:cs="Arial"/>
                <w:sz w:val="18"/>
                <w:szCs w:val="18"/>
                <w:lang w:val="en-US"/>
              </w:rPr>
            </w:pPr>
            <w:r w:rsidRPr="00605BA5">
              <w:rPr>
                <w:rFonts w:cs="Arial"/>
                <w:sz w:val="18"/>
                <w:szCs w:val="18"/>
                <w:lang w:val="en-US"/>
              </w:rPr>
              <w:t>Radar navigation installations and rate-of-turn indicators which have received an approval on or after 31</w:t>
            </w:r>
            <w:r w:rsidRPr="00605BA5">
              <w:rPr>
                <w:rFonts w:cs="Arial"/>
                <w:sz w:val="18"/>
                <w:szCs w:val="18"/>
                <w:vertAlign w:val="superscript"/>
                <w:lang w:val="en-US"/>
              </w:rPr>
              <w:t>st</w:t>
            </w:r>
            <w:r w:rsidRPr="00605BA5">
              <w:rPr>
                <w:rFonts w:cs="Arial"/>
                <w:sz w:val="18"/>
                <w:szCs w:val="18"/>
                <w:lang w:val="en-US"/>
              </w:rPr>
              <w:t xml:space="preserve"> December 2006, pursuant to the minimum requirements and test conditions of the Directive 2006/87/EC, may continue to be installed and used if there is a valid installation certificate pursuant to this Standard or Directive 2006/87/EC.</w:t>
            </w:r>
          </w:p>
        </w:tc>
        <w:tc>
          <w:tcPr>
            <w:tcW w:w="1276" w:type="dxa"/>
            <w:shd w:val="clear" w:color="auto" w:fill="auto"/>
          </w:tcPr>
          <w:p w:rsidR="004D56BE" w:rsidRPr="00605BA5" w:rsidRDefault="004D56BE" w:rsidP="00C01A94">
            <w:pPr>
              <w:spacing w:before="120" w:after="120" w:line="240" w:lineRule="atLeast"/>
              <w:ind w:left="0" w:firstLine="0"/>
              <w:rPr>
                <w:rFonts w:cs="Arial"/>
                <w:sz w:val="18"/>
                <w:szCs w:val="18"/>
                <w:lang w:val="en-US"/>
              </w:rPr>
            </w:pPr>
          </w:p>
        </w:tc>
        <w:tc>
          <w:tcPr>
            <w:tcW w:w="1276" w:type="dxa"/>
          </w:tcPr>
          <w:p w:rsidR="004D56BE" w:rsidRPr="00605BA5" w:rsidRDefault="004D56BE" w:rsidP="00C01A94">
            <w:pPr>
              <w:spacing w:before="120" w:after="120" w:line="240" w:lineRule="atLeast"/>
              <w:ind w:left="0" w:firstLine="0"/>
              <w:rPr>
                <w:rFonts w:cs="Arial"/>
                <w:sz w:val="18"/>
                <w:szCs w:val="18"/>
              </w:rPr>
            </w:pPr>
            <w:r w:rsidRPr="00605BA5">
              <w:rPr>
                <w:rFonts w:cs="Arial"/>
                <w:sz w:val="18"/>
                <w:szCs w:val="18"/>
              </w:rPr>
              <w:t>7.10.2018</w:t>
            </w:r>
          </w:p>
        </w:tc>
      </w:tr>
      <w:tr w:rsidR="004D56BE" w:rsidRPr="00C903F8" w:rsidTr="00DF5C3B">
        <w:trPr>
          <w:cantSplit/>
          <w:jc w:val="center"/>
        </w:trPr>
        <w:tc>
          <w:tcPr>
            <w:tcW w:w="1342" w:type="dxa"/>
            <w:tcBorders>
              <w:top w:val="nil"/>
              <w:bottom w:val="nil"/>
            </w:tcBorders>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458" w:type="dxa"/>
            <w:vMerge/>
            <w:tcBorders>
              <w:bottom w:val="single" w:sz="4" w:space="0" w:color="auto"/>
            </w:tcBorders>
            <w:shd w:val="clear" w:color="auto" w:fill="auto"/>
          </w:tcPr>
          <w:p w:rsidR="004D56BE" w:rsidRPr="00605BA5" w:rsidRDefault="004D56BE" w:rsidP="00C01A94">
            <w:pPr>
              <w:spacing w:before="120" w:after="120" w:line="240" w:lineRule="atLeast"/>
              <w:ind w:left="0" w:firstLine="0"/>
              <w:rPr>
                <w:rFonts w:cs="Arial"/>
                <w:sz w:val="18"/>
                <w:szCs w:val="18"/>
              </w:rPr>
            </w:pPr>
          </w:p>
        </w:tc>
        <w:tc>
          <w:tcPr>
            <w:tcW w:w="3296" w:type="dxa"/>
            <w:tcBorders>
              <w:bottom w:val="single" w:sz="4" w:space="0" w:color="auto"/>
            </w:tcBorders>
            <w:shd w:val="clear" w:color="auto" w:fill="auto"/>
          </w:tcPr>
          <w:p w:rsidR="004D56BE" w:rsidRPr="00605BA5" w:rsidRDefault="004D56BE" w:rsidP="00C01A94">
            <w:pPr>
              <w:spacing w:before="120" w:after="120" w:line="240" w:lineRule="atLeast"/>
              <w:ind w:left="0" w:firstLine="0"/>
              <w:rPr>
                <w:rFonts w:cs="Arial"/>
                <w:sz w:val="18"/>
                <w:szCs w:val="18"/>
                <w:lang w:val="en-US"/>
              </w:rPr>
            </w:pPr>
            <w:r w:rsidRPr="00605BA5">
              <w:rPr>
                <w:rFonts w:cs="Arial"/>
                <w:noProof/>
                <w:sz w:val="18"/>
                <w:szCs w:val="18"/>
                <w:lang w:val="en-US"/>
              </w:rPr>
              <w:t>Radar navigation installations and rate-of-turn indicators which have received an approval after 1</w:t>
            </w:r>
            <w:r w:rsidRPr="00605BA5">
              <w:rPr>
                <w:rFonts w:cs="Arial"/>
                <w:noProof/>
                <w:sz w:val="18"/>
                <w:szCs w:val="18"/>
                <w:vertAlign w:val="superscript"/>
                <w:lang w:val="en-US"/>
              </w:rPr>
              <w:t>st </w:t>
            </w:r>
            <w:r w:rsidRPr="00605BA5">
              <w:rPr>
                <w:rFonts w:cs="Arial"/>
                <w:noProof/>
                <w:sz w:val="18"/>
                <w:szCs w:val="18"/>
                <w:lang w:val="en-US"/>
              </w:rPr>
              <w:t>December 2009</w:t>
            </w:r>
          </w:p>
        </w:tc>
        <w:tc>
          <w:tcPr>
            <w:tcW w:w="5387" w:type="dxa"/>
            <w:shd w:val="clear" w:color="auto" w:fill="auto"/>
          </w:tcPr>
          <w:p w:rsidR="004D56BE" w:rsidRPr="00605BA5" w:rsidRDefault="004D56BE" w:rsidP="00C01A94">
            <w:pPr>
              <w:spacing w:before="120" w:after="120" w:line="240" w:lineRule="atLeast"/>
              <w:ind w:left="0" w:firstLine="0"/>
              <w:rPr>
                <w:rFonts w:cs="Arial"/>
                <w:sz w:val="18"/>
                <w:szCs w:val="18"/>
                <w:lang w:val="en-US"/>
              </w:rPr>
            </w:pPr>
            <w:r w:rsidRPr="00605BA5">
              <w:rPr>
                <w:rFonts w:cs="Arial"/>
                <w:sz w:val="18"/>
                <w:szCs w:val="18"/>
                <w:lang w:val="en-US"/>
              </w:rPr>
              <w:t>Radar navigation installations and rate-of-turn indicators which have received an approval on or after 1</w:t>
            </w:r>
            <w:r w:rsidRPr="00605BA5">
              <w:rPr>
                <w:rFonts w:cs="Arial"/>
                <w:sz w:val="18"/>
                <w:szCs w:val="18"/>
                <w:vertAlign w:val="superscript"/>
                <w:lang w:val="en-US"/>
              </w:rPr>
              <w:t>st</w:t>
            </w:r>
            <w:r w:rsidRPr="00605BA5">
              <w:rPr>
                <w:rFonts w:cs="Arial"/>
                <w:sz w:val="18"/>
                <w:szCs w:val="18"/>
                <w:lang w:val="en-US"/>
              </w:rPr>
              <w:t xml:space="preserve"> December 2009, pursuant to the minimum requirements and test conditions of the Resolution CCNR 2008-II-11 may continue to be installed and used if there is a valid installation certificate pursuant to this Standard or Resolution CCNR 2008-II-11.</w:t>
            </w:r>
          </w:p>
        </w:tc>
        <w:tc>
          <w:tcPr>
            <w:tcW w:w="1276" w:type="dxa"/>
            <w:shd w:val="clear" w:color="auto" w:fill="auto"/>
          </w:tcPr>
          <w:p w:rsidR="004D56BE" w:rsidRPr="00605BA5" w:rsidRDefault="004D56BE" w:rsidP="00C01A94">
            <w:pPr>
              <w:spacing w:before="120" w:after="120" w:line="240" w:lineRule="atLeast"/>
              <w:ind w:left="0" w:firstLine="0"/>
              <w:rPr>
                <w:rFonts w:cs="Arial"/>
                <w:sz w:val="18"/>
                <w:szCs w:val="18"/>
                <w:lang w:val="en-US"/>
              </w:rPr>
            </w:pPr>
          </w:p>
        </w:tc>
        <w:tc>
          <w:tcPr>
            <w:tcW w:w="1276" w:type="dxa"/>
          </w:tcPr>
          <w:p w:rsidR="004D56BE" w:rsidRPr="00605BA5" w:rsidRDefault="004D56BE" w:rsidP="00C01A94">
            <w:pPr>
              <w:spacing w:before="120" w:after="120" w:line="240" w:lineRule="atLeast"/>
              <w:ind w:left="0" w:firstLine="0"/>
              <w:rPr>
                <w:rFonts w:cs="Arial"/>
                <w:sz w:val="18"/>
                <w:szCs w:val="18"/>
              </w:rPr>
            </w:pPr>
            <w:r w:rsidRPr="00605BA5">
              <w:rPr>
                <w:rFonts w:cs="Arial"/>
                <w:sz w:val="18"/>
                <w:szCs w:val="18"/>
              </w:rPr>
              <w:t>7.10.2018</w:t>
            </w:r>
          </w:p>
        </w:tc>
      </w:tr>
      <w:tr w:rsidR="004D56BE" w:rsidRPr="003F5E4D" w:rsidTr="00DF5C3B">
        <w:trPr>
          <w:cantSplit/>
          <w:jc w:val="center"/>
        </w:trPr>
        <w:tc>
          <w:tcPr>
            <w:tcW w:w="1342" w:type="dxa"/>
            <w:tcBorders>
              <w:top w:val="nil"/>
              <w:bottom w:val="nil"/>
            </w:tcBorders>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458" w:type="dxa"/>
            <w:tcBorders>
              <w:bottom w:val="nil"/>
            </w:tcBorders>
            <w:shd w:val="clear" w:color="auto" w:fill="auto"/>
          </w:tcPr>
          <w:p w:rsidR="004D56BE" w:rsidRPr="00DE735E" w:rsidRDefault="004D56BE" w:rsidP="00C01A94">
            <w:pPr>
              <w:spacing w:before="120" w:after="120" w:line="240" w:lineRule="atLeast"/>
              <w:rPr>
                <w:rFonts w:cs="Arial"/>
                <w:sz w:val="18"/>
                <w:szCs w:val="18"/>
              </w:rPr>
            </w:pPr>
            <w:r w:rsidRPr="00DE735E">
              <w:rPr>
                <w:rFonts w:cs="Arial"/>
                <w:sz w:val="18"/>
                <w:szCs w:val="18"/>
              </w:rPr>
              <w:t>(3)</w:t>
            </w:r>
          </w:p>
        </w:tc>
        <w:tc>
          <w:tcPr>
            <w:tcW w:w="3296" w:type="dxa"/>
            <w:tcBorders>
              <w:bottom w:val="nil"/>
            </w:tcBorders>
            <w:shd w:val="clear" w:color="auto" w:fill="auto"/>
          </w:tcPr>
          <w:p w:rsidR="004D56BE" w:rsidRPr="00DE735E" w:rsidRDefault="004D56BE" w:rsidP="00C01A94">
            <w:pPr>
              <w:spacing w:before="120" w:after="120" w:line="240" w:lineRule="atLeast"/>
              <w:rPr>
                <w:rFonts w:cs="Arial"/>
                <w:sz w:val="18"/>
                <w:szCs w:val="18"/>
              </w:rPr>
            </w:pPr>
            <w:r w:rsidRPr="00DE735E">
              <w:rPr>
                <w:rFonts w:cs="Arial"/>
                <w:sz w:val="18"/>
                <w:szCs w:val="18"/>
              </w:rPr>
              <w:t>Inland AIS equipment</w:t>
            </w:r>
          </w:p>
        </w:tc>
        <w:tc>
          <w:tcPr>
            <w:tcW w:w="5387" w:type="dxa"/>
            <w:shd w:val="clear" w:color="auto" w:fill="auto"/>
          </w:tcPr>
          <w:p w:rsidR="004D56BE" w:rsidRPr="00605BA5" w:rsidRDefault="004D56BE" w:rsidP="00C01A94">
            <w:pPr>
              <w:spacing w:before="120" w:after="120" w:line="240" w:lineRule="atLeast"/>
              <w:ind w:left="0" w:firstLine="0"/>
              <w:rPr>
                <w:rFonts w:cs="Arial"/>
                <w:sz w:val="18"/>
                <w:szCs w:val="18"/>
                <w:lang w:val="en-GB"/>
              </w:rPr>
            </w:pPr>
            <w:r w:rsidRPr="00020C43">
              <w:rPr>
                <w:rFonts w:cs="Arial"/>
                <w:sz w:val="18"/>
                <w:szCs w:val="18"/>
                <w:lang w:val="en-US"/>
              </w:rPr>
              <w:t>Inland AIS equipment with a type approval according to Edition 1.0 and 1.01 of the Test Standard</w:t>
            </w:r>
            <w:r>
              <w:rPr>
                <w:rFonts w:cs="Arial"/>
                <w:sz w:val="18"/>
                <w:szCs w:val="18"/>
                <w:lang w:val="en-US"/>
              </w:rPr>
              <w:t xml:space="preserve"> for Inland AIS and installed before the 1</w:t>
            </w:r>
            <w:r w:rsidRPr="0083128C">
              <w:rPr>
                <w:rFonts w:cs="Arial"/>
                <w:sz w:val="18"/>
                <w:szCs w:val="18"/>
                <w:vertAlign w:val="superscript"/>
                <w:lang w:val="en-US"/>
              </w:rPr>
              <w:t>st</w:t>
            </w:r>
            <w:r>
              <w:rPr>
                <w:rFonts w:cs="Arial"/>
                <w:sz w:val="18"/>
                <w:szCs w:val="18"/>
                <w:lang w:val="en-US"/>
              </w:rPr>
              <w:t xml:space="preserve"> December 2015</w:t>
            </w:r>
            <w:r w:rsidRPr="00020C43">
              <w:rPr>
                <w:rFonts w:cs="Arial"/>
                <w:sz w:val="18"/>
                <w:szCs w:val="18"/>
                <w:lang w:val="en-US"/>
              </w:rPr>
              <w:t xml:space="preserve"> may continue to</w:t>
            </w:r>
            <w:r>
              <w:rPr>
                <w:rFonts w:cs="Arial"/>
                <w:sz w:val="18"/>
                <w:szCs w:val="18"/>
                <w:lang w:val="en-US"/>
              </w:rPr>
              <w:t xml:space="preserve"> be used.</w:t>
            </w:r>
          </w:p>
        </w:tc>
        <w:tc>
          <w:tcPr>
            <w:tcW w:w="1276" w:type="dxa"/>
            <w:shd w:val="clear" w:color="auto" w:fill="auto"/>
          </w:tcPr>
          <w:p w:rsidR="004D56BE" w:rsidRPr="00605BA5" w:rsidRDefault="004D56BE" w:rsidP="00C01A94">
            <w:pPr>
              <w:spacing w:before="120" w:after="120" w:line="240" w:lineRule="atLeast"/>
              <w:rPr>
                <w:rFonts w:cs="Arial"/>
                <w:sz w:val="18"/>
                <w:szCs w:val="18"/>
                <w:lang w:val="en-GB"/>
              </w:rPr>
            </w:pPr>
          </w:p>
        </w:tc>
        <w:tc>
          <w:tcPr>
            <w:tcW w:w="1276" w:type="dxa"/>
          </w:tcPr>
          <w:p w:rsidR="004D56BE" w:rsidRPr="00DE735E" w:rsidRDefault="004D56BE" w:rsidP="00C01A94">
            <w:pPr>
              <w:spacing w:before="120" w:after="120" w:line="240" w:lineRule="atLeast"/>
              <w:rPr>
                <w:rFonts w:cs="Arial"/>
                <w:sz w:val="18"/>
                <w:szCs w:val="18"/>
              </w:rPr>
            </w:pPr>
            <w:r w:rsidRPr="00DE735E">
              <w:rPr>
                <w:rFonts w:cs="Arial"/>
                <w:sz w:val="18"/>
                <w:szCs w:val="18"/>
              </w:rPr>
              <w:t>1.12.2013</w:t>
            </w:r>
          </w:p>
        </w:tc>
      </w:tr>
      <w:tr w:rsidR="004D56BE" w:rsidRPr="00DF5C3B" w:rsidTr="00DF5C3B">
        <w:trPr>
          <w:cantSplit/>
          <w:jc w:val="center"/>
        </w:trPr>
        <w:tc>
          <w:tcPr>
            <w:tcW w:w="1342" w:type="dxa"/>
            <w:tcBorders>
              <w:top w:val="nil"/>
            </w:tcBorders>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458" w:type="dxa"/>
            <w:tcBorders>
              <w:top w:val="nil"/>
            </w:tcBorders>
            <w:shd w:val="clear" w:color="auto" w:fill="auto"/>
          </w:tcPr>
          <w:p w:rsidR="004D56BE" w:rsidRPr="00DE735E" w:rsidRDefault="004D56BE" w:rsidP="00C01A94">
            <w:pPr>
              <w:spacing w:before="120" w:after="120" w:line="240" w:lineRule="atLeast"/>
              <w:rPr>
                <w:rFonts w:cs="Arial"/>
                <w:sz w:val="18"/>
                <w:szCs w:val="18"/>
              </w:rPr>
            </w:pPr>
          </w:p>
        </w:tc>
        <w:tc>
          <w:tcPr>
            <w:tcW w:w="3296" w:type="dxa"/>
            <w:tcBorders>
              <w:top w:val="nil"/>
            </w:tcBorders>
            <w:shd w:val="clear" w:color="auto" w:fill="auto"/>
          </w:tcPr>
          <w:p w:rsidR="004D56BE" w:rsidRPr="00DE735E" w:rsidRDefault="004D56BE" w:rsidP="00C01A94">
            <w:pPr>
              <w:spacing w:before="120" w:after="120" w:line="240" w:lineRule="atLeast"/>
              <w:rPr>
                <w:rFonts w:cs="Arial"/>
                <w:sz w:val="18"/>
                <w:szCs w:val="18"/>
              </w:rPr>
            </w:pPr>
          </w:p>
        </w:tc>
        <w:tc>
          <w:tcPr>
            <w:tcW w:w="5387" w:type="dxa"/>
            <w:shd w:val="clear" w:color="auto" w:fill="auto"/>
          </w:tcPr>
          <w:p w:rsidR="004D56BE" w:rsidRPr="00020C43" w:rsidRDefault="004D56BE" w:rsidP="00C01A94">
            <w:pPr>
              <w:spacing w:before="120" w:after="120" w:line="240" w:lineRule="atLeast"/>
              <w:ind w:left="0" w:firstLine="0"/>
              <w:rPr>
                <w:rFonts w:cs="Arial"/>
                <w:sz w:val="18"/>
                <w:szCs w:val="18"/>
                <w:lang w:val="en-US"/>
              </w:rPr>
            </w:pPr>
            <w:r w:rsidRPr="00F76D36">
              <w:rPr>
                <w:rFonts w:cs="Arial"/>
                <w:sz w:val="18"/>
                <w:szCs w:val="18"/>
                <w:lang w:val="en-US"/>
              </w:rPr>
              <w:t xml:space="preserve">Inland AIS equipment which has received an approval on or after 19 October 2012, pursuant to the requirements of the Test Standard for Inland AIS, Edition 2.0, </w:t>
            </w:r>
            <w:r>
              <w:rPr>
                <w:rFonts w:cs="Arial"/>
                <w:sz w:val="18"/>
                <w:szCs w:val="18"/>
                <w:lang w:val="en-US"/>
              </w:rPr>
              <w:t>adopted by</w:t>
            </w:r>
            <w:r w:rsidRPr="00F76D36">
              <w:rPr>
                <w:rFonts w:cs="Arial"/>
                <w:sz w:val="18"/>
                <w:szCs w:val="18"/>
                <w:lang w:val="en-US"/>
              </w:rPr>
              <w:t xml:space="preserve"> Resolution CCNR 2012-II-20 may continue to be installed and used.</w:t>
            </w:r>
          </w:p>
        </w:tc>
        <w:tc>
          <w:tcPr>
            <w:tcW w:w="1276" w:type="dxa"/>
            <w:shd w:val="clear" w:color="auto" w:fill="auto"/>
          </w:tcPr>
          <w:p w:rsidR="004D56BE" w:rsidRPr="00605BA5" w:rsidRDefault="004D56BE" w:rsidP="00C01A94">
            <w:pPr>
              <w:spacing w:before="120" w:after="120" w:line="240" w:lineRule="atLeast"/>
              <w:rPr>
                <w:rFonts w:cs="Arial"/>
                <w:sz w:val="18"/>
                <w:szCs w:val="18"/>
                <w:lang w:val="en-GB"/>
              </w:rPr>
            </w:pPr>
          </w:p>
        </w:tc>
        <w:tc>
          <w:tcPr>
            <w:tcW w:w="1276" w:type="dxa"/>
          </w:tcPr>
          <w:p w:rsidR="004D56BE" w:rsidRPr="00DF5C3B" w:rsidRDefault="004D56BE" w:rsidP="00C01A94">
            <w:pPr>
              <w:spacing w:before="120" w:after="120" w:line="240" w:lineRule="atLeast"/>
              <w:rPr>
                <w:rFonts w:cs="Arial"/>
                <w:sz w:val="18"/>
                <w:szCs w:val="18"/>
                <w:lang w:val="en-US"/>
              </w:rPr>
            </w:pPr>
            <w:r>
              <w:rPr>
                <w:rFonts w:cs="Arial"/>
                <w:sz w:val="18"/>
                <w:szCs w:val="18"/>
                <w:lang w:val="en-US"/>
              </w:rPr>
              <w:t>7.10.2018</w:t>
            </w:r>
          </w:p>
        </w:tc>
      </w:tr>
      <w:tr w:rsidR="004D56BE" w:rsidRPr="003F30FB" w:rsidTr="00E67DA4">
        <w:trPr>
          <w:cantSplit/>
          <w:jc w:val="center"/>
        </w:trPr>
        <w:tc>
          <w:tcPr>
            <w:tcW w:w="1342" w:type="dxa"/>
            <w:vMerge w:val="restart"/>
            <w:tcBorders>
              <w:top w:val="nil"/>
            </w:tcBorders>
            <w:shd w:val="clear" w:color="auto" w:fill="auto"/>
          </w:tcPr>
          <w:p w:rsidR="004D56BE" w:rsidRPr="003F30FB" w:rsidRDefault="004D56BE" w:rsidP="00C01A94">
            <w:pPr>
              <w:spacing w:before="120" w:after="120" w:line="240" w:lineRule="atLeast"/>
              <w:ind w:left="0" w:firstLine="0"/>
              <w:rPr>
                <w:rFonts w:cs="Arial"/>
                <w:sz w:val="18"/>
                <w:szCs w:val="18"/>
              </w:rPr>
            </w:pPr>
            <w:r w:rsidRPr="003F30FB">
              <w:rPr>
                <w:rFonts w:cs="Arial"/>
                <w:sz w:val="18"/>
                <w:szCs w:val="18"/>
                <w:lang w:val="en-GB"/>
              </w:rPr>
              <w:lastRenderedPageBreak/>
              <w:t>7.12</w:t>
            </w:r>
          </w:p>
        </w:tc>
        <w:tc>
          <w:tcPr>
            <w:tcW w:w="1458" w:type="dxa"/>
            <w:shd w:val="clear" w:color="auto" w:fill="auto"/>
          </w:tcPr>
          <w:p w:rsidR="004D56BE" w:rsidRPr="003F30FB" w:rsidRDefault="004D56BE" w:rsidP="00C01A94">
            <w:pPr>
              <w:widowControl w:val="0"/>
              <w:spacing w:before="120" w:after="120" w:line="240" w:lineRule="atLeast"/>
              <w:ind w:left="0" w:firstLine="0"/>
              <w:jc w:val="left"/>
              <w:rPr>
                <w:rFonts w:cs="Arial"/>
                <w:sz w:val="18"/>
                <w:szCs w:val="18"/>
                <w:lang w:val="en-GB"/>
              </w:rPr>
            </w:pPr>
            <w:r w:rsidRPr="003F30FB">
              <w:rPr>
                <w:rFonts w:cs="Arial"/>
                <w:sz w:val="18"/>
                <w:szCs w:val="18"/>
                <w:lang w:val="en-GB"/>
              </w:rPr>
              <w:t xml:space="preserve">(4) </w:t>
            </w:r>
            <w:r w:rsidRPr="003F30FB">
              <w:rPr>
                <w:rFonts w:cs="Arial"/>
                <w:sz w:val="18"/>
                <w:szCs w:val="18"/>
                <w:lang w:val="en-GB"/>
              </w:rPr>
              <w:br/>
              <w:t>2nd sentence</w:t>
            </w:r>
          </w:p>
        </w:tc>
        <w:tc>
          <w:tcPr>
            <w:tcW w:w="3296" w:type="dxa"/>
            <w:shd w:val="clear" w:color="auto" w:fill="auto"/>
          </w:tcPr>
          <w:p w:rsidR="004D56BE" w:rsidRPr="003F30FB" w:rsidRDefault="004D56BE" w:rsidP="00C01A94">
            <w:pPr>
              <w:widowControl w:val="0"/>
              <w:spacing w:before="120" w:after="120" w:line="240" w:lineRule="atLeast"/>
              <w:rPr>
                <w:rFonts w:cs="Arial"/>
                <w:sz w:val="18"/>
                <w:szCs w:val="18"/>
                <w:lang w:val="en-GB"/>
              </w:rPr>
            </w:pPr>
            <w:r w:rsidRPr="003F30FB">
              <w:rPr>
                <w:rFonts w:cs="Arial"/>
                <w:sz w:val="18"/>
                <w:szCs w:val="18"/>
                <w:lang w:val="en-GB"/>
              </w:rPr>
              <w:t>Indications</w:t>
            </w:r>
          </w:p>
        </w:tc>
        <w:tc>
          <w:tcPr>
            <w:tcW w:w="5387" w:type="dxa"/>
            <w:shd w:val="clear" w:color="auto" w:fill="auto"/>
          </w:tcPr>
          <w:p w:rsidR="004D56BE" w:rsidRPr="003F30FB" w:rsidRDefault="004D56BE" w:rsidP="00C01A94">
            <w:pPr>
              <w:widowControl w:val="0"/>
              <w:spacing w:before="120" w:after="120" w:line="240" w:lineRule="atLeast"/>
              <w:ind w:left="0" w:firstLine="0"/>
              <w:rPr>
                <w:rFonts w:cs="Arial"/>
                <w:sz w:val="18"/>
                <w:szCs w:val="18"/>
                <w:lang w:val="en-GB"/>
              </w:rPr>
            </w:pPr>
            <w:r>
              <w:rPr>
                <w:rFonts w:cs="Arial"/>
                <w:sz w:val="18"/>
                <w:szCs w:val="18"/>
                <w:lang w:val="en-GB"/>
              </w:rPr>
              <w:t>N.R.C.</w:t>
            </w:r>
            <w:r w:rsidRPr="003F30FB">
              <w:rPr>
                <w:rFonts w:cs="Arial"/>
                <w:sz w:val="18"/>
                <w:szCs w:val="18"/>
                <w:lang w:val="en-GB"/>
              </w:rPr>
              <w:t>, at the latest on renewal of the inland navigation vessel certificate.</w:t>
            </w:r>
          </w:p>
        </w:tc>
        <w:tc>
          <w:tcPr>
            <w:tcW w:w="1276" w:type="dxa"/>
            <w:shd w:val="clear" w:color="auto" w:fill="auto"/>
          </w:tcPr>
          <w:p w:rsidR="004D56BE" w:rsidRPr="003F30FB" w:rsidRDefault="004D56BE" w:rsidP="00C01A94">
            <w:pPr>
              <w:widowControl w:val="0"/>
              <w:spacing w:before="120" w:after="120" w:line="240" w:lineRule="atLeast"/>
              <w:rPr>
                <w:rFonts w:cs="Arial"/>
                <w:sz w:val="18"/>
                <w:szCs w:val="18"/>
                <w:lang w:val="en-GB"/>
              </w:rPr>
            </w:pPr>
          </w:p>
        </w:tc>
        <w:tc>
          <w:tcPr>
            <w:tcW w:w="1276" w:type="dxa"/>
          </w:tcPr>
          <w:p w:rsidR="004D56BE" w:rsidRPr="003F30FB" w:rsidRDefault="004D56BE" w:rsidP="00C01A94">
            <w:pPr>
              <w:widowControl w:val="0"/>
              <w:spacing w:before="120" w:after="120" w:line="240" w:lineRule="atLeast"/>
              <w:rPr>
                <w:rFonts w:cs="Arial"/>
                <w:sz w:val="18"/>
                <w:szCs w:val="18"/>
                <w:lang w:val="en-GB"/>
              </w:rPr>
            </w:pPr>
            <w:r w:rsidRPr="003F30FB">
              <w:rPr>
                <w:rFonts w:cs="Arial"/>
                <w:sz w:val="18"/>
                <w:szCs w:val="18"/>
                <w:lang w:val="en-GB"/>
              </w:rPr>
              <w:t>1.1.2018</w:t>
            </w:r>
          </w:p>
        </w:tc>
      </w:tr>
      <w:tr w:rsidR="004D56BE" w:rsidRPr="003F30FB" w:rsidTr="000E732C">
        <w:trPr>
          <w:cantSplit/>
          <w:jc w:val="center"/>
        </w:trPr>
        <w:tc>
          <w:tcPr>
            <w:tcW w:w="1342" w:type="dxa"/>
            <w:vMerge/>
            <w:shd w:val="clear" w:color="auto" w:fill="auto"/>
          </w:tcPr>
          <w:p w:rsidR="004D56BE" w:rsidRPr="003F30FB" w:rsidRDefault="004D56BE" w:rsidP="00C01A94">
            <w:pPr>
              <w:spacing w:before="120" w:after="120" w:line="240" w:lineRule="atLeast"/>
              <w:ind w:left="0" w:firstLine="0"/>
              <w:rPr>
                <w:rFonts w:cs="Arial"/>
                <w:sz w:val="18"/>
                <w:szCs w:val="18"/>
                <w:lang w:val="en-GB"/>
              </w:rPr>
            </w:pPr>
          </w:p>
        </w:tc>
        <w:tc>
          <w:tcPr>
            <w:tcW w:w="1458" w:type="dxa"/>
            <w:shd w:val="clear" w:color="auto" w:fill="auto"/>
          </w:tcPr>
          <w:p w:rsidR="004D56BE" w:rsidRPr="003F30FB" w:rsidRDefault="004D56BE" w:rsidP="00C01A94">
            <w:pPr>
              <w:widowControl w:val="0"/>
              <w:spacing w:before="120" w:after="120" w:line="240" w:lineRule="atLeast"/>
              <w:jc w:val="left"/>
              <w:rPr>
                <w:rFonts w:cs="Arial"/>
                <w:sz w:val="18"/>
                <w:szCs w:val="18"/>
                <w:lang w:val="en-GB"/>
              </w:rPr>
            </w:pPr>
            <w:r w:rsidRPr="003F30FB">
              <w:rPr>
                <w:rFonts w:cs="Arial"/>
                <w:sz w:val="18"/>
                <w:szCs w:val="18"/>
                <w:lang w:val="en-GB"/>
              </w:rPr>
              <w:t>(5)</w:t>
            </w:r>
          </w:p>
        </w:tc>
        <w:tc>
          <w:tcPr>
            <w:tcW w:w="3296" w:type="dxa"/>
            <w:shd w:val="clear" w:color="auto" w:fill="auto"/>
          </w:tcPr>
          <w:p w:rsidR="004D56BE" w:rsidRPr="003F30FB" w:rsidRDefault="004D56BE" w:rsidP="00C01A94">
            <w:pPr>
              <w:widowControl w:val="0"/>
              <w:spacing w:before="120" w:after="120" w:line="240" w:lineRule="atLeast"/>
              <w:rPr>
                <w:rFonts w:cs="Arial"/>
                <w:sz w:val="18"/>
                <w:szCs w:val="18"/>
                <w:lang w:val="en-GB"/>
              </w:rPr>
            </w:pPr>
            <w:r w:rsidRPr="003F30FB">
              <w:rPr>
                <w:rFonts w:cs="Arial"/>
                <w:sz w:val="18"/>
                <w:szCs w:val="18"/>
                <w:lang w:val="en-GB"/>
              </w:rPr>
              <w:t>Stopping and locking</w:t>
            </w:r>
          </w:p>
        </w:tc>
        <w:tc>
          <w:tcPr>
            <w:tcW w:w="5387" w:type="dxa"/>
            <w:shd w:val="clear" w:color="auto" w:fill="auto"/>
          </w:tcPr>
          <w:p w:rsidR="004D56BE" w:rsidRPr="003F30FB" w:rsidRDefault="004D56BE" w:rsidP="00C01A94">
            <w:pPr>
              <w:widowControl w:val="0"/>
              <w:spacing w:before="120" w:after="120" w:line="240" w:lineRule="atLeast"/>
              <w:ind w:left="0" w:firstLine="0"/>
              <w:rPr>
                <w:rFonts w:cs="Arial"/>
                <w:sz w:val="18"/>
                <w:szCs w:val="18"/>
                <w:lang w:val="en-GB"/>
              </w:rPr>
            </w:pPr>
            <w:r>
              <w:rPr>
                <w:rFonts w:cs="Arial"/>
                <w:sz w:val="18"/>
                <w:szCs w:val="18"/>
                <w:lang w:val="en-GB"/>
              </w:rPr>
              <w:t>N.R.C.</w:t>
            </w:r>
            <w:r w:rsidRPr="003F30FB">
              <w:rPr>
                <w:rFonts w:cs="Arial"/>
                <w:sz w:val="18"/>
                <w:szCs w:val="18"/>
                <w:lang w:val="en-GB"/>
              </w:rPr>
              <w:t xml:space="preserve">, at the latest on renewal of the inland navigation vessel certificate after </w:t>
            </w:r>
          </w:p>
        </w:tc>
        <w:tc>
          <w:tcPr>
            <w:tcW w:w="1276" w:type="dxa"/>
            <w:shd w:val="clear" w:color="auto" w:fill="auto"/>
          </w:tcPr>
          <w:p w:rsidR="004D56BE" w:rsidRPr="003F30FB" w:rsidRDefault="004D56BE" w:rsidP="00C01A94">
            <w:pPr>
              <w:widowControl w:val="0"/>
              <w:spacing w:before="120" w:after="120" w:line="240" w:lineRule="atLeast"/>
              <w:rPr>
                <w:rFonts w:cs="Arial"/>
                <w:sz w:val="18"/>
                <w:szCs w:val="18"/>
                <w:lang w:val="en-GB"/>
              </w:rPr>
            </w:pPr>
            <w:r w:rsidRPr="003F30FB">
              <w:rPr>
                <w:rFonts w:cs="Arial"/>
                <w:sz w:val="18"/>
                <w:szCs w:val="18"/>
                <w:lang w:val="en-GB"/>
              </w:rPr>
              <w:t>1.1.2025</w:t>
            </w:r>
          </w:p>
        </w:tc>
        <w:tc>
          <w:tcPr>
            <w:tcW w:w="1276" w:type="dxa"/>
          </w:tcPr>
          <w:p w:rsidR="004D56BE" w:rsidRPr="003F30FB" w:rsidRDefault="004D56BE" w:rsidP="00C01A94">
            <w:pPr>
              <w:widowControl w:val="0"/>
              <w:spacing w:before="120" w:after="120" w:line="240" w:lineRule="atLeast"/>
              <w:rPr>
                <w:rFonts w:cs="Arial"/>
                <w:sz w:val="18"/>
                <w:szCs w:val="18"/>
                <w:lang w:val="en-GB"/>
              </w:rPr>
            </w:pPr>
            <w:r w:rsidRPr="003F30FB">
              <w:rPr>
                <w:rFonts w:cs="Arial"/>
                <w:sz w:val="18"/>
                <w:szCs w:val="18"/>
                <w:lang w:val="en-GB"/>
              </w:rPr>
              <w:t>1.1.2018</w:t>
            </w:r>
          </w:p>
        </w:tc>
      </w:tr>
      <w:tr w:rsidR="004D56BE" w:rsidRPr="003F30FB" w:rsidTr="000E732C">
        <w:trPr>
          <w:cantSplit/>
          <w:jc w:val="center"/>
        </w:trPr>
        <w:tc>
          <w:tcPr>
            <w:tcW w:w="1342" w:type="dxa"/>
            <w:vMerge/>
            <w:shd w:val="clear" w:color="auto" w:fill="auto"/>
          </w:tcPr>
          <w:p w:rsidR="004D56BE" w:rsidRPr="003F30FB" w:rsidRDefault="004D56BE" w:rsidP="00C01A94">
            <w:pPr>
              <w:spacing w:before="120" w:after="120" w:line="240" w:lineRule="atLeast"/>
              <w:ind w:left="0" w:firstLine="0"/>
              <w:rPr>
                <w:rFonts w:cs="Arial"/>
                <w:sz w:val="18"/>
                <w:szCs w:val="18"/>
                <w:lang w:val="en-GB"/>
              </w:rPr>
            </w:pPr>
          </w:p>
        </w:tc>
        <w:tc>
          <w:tcPr>
            <w:tcW w:w="1458" w:type="dxa"/>
            <w:shd w:val="clear" w:color="auto" w:fill="auto"/>
          </w:tcPr>
          <w:p w:rsidR="004D56BE" w:rsidRPr="003F30FB" w:rsidRDefault="004D56BE" w:rsidP="00C01A94">
            <w:pPr>
              <w:widowControl w:val="0"/>
              <w:spacing w:before="120" w:after="120" w:line="240" w:lineRule="atLeast"/>
              <w:jc w:val="left"/>
              <w:rPr>
                <w:rFonts w:cs="Arial"/>
                <w:sz w:val="18"/>
                <w:szCs w:val="18"/>
                <w:lang w:val="en-GB"/>
              </w:rPr>
            </w:pPr>
            <w:r w:rsidRPr="003F30FB">
              <w:rPr>
                <w:rFonts w:cs="Arial"/>
                <w:sz w:val="18"/>
                <w:szCs w:val="18"/>
                <w:lang w:val="en-GB"/>
              </w:rPr>
              <w:t>(6)</w:t>
            </w:r>
          </w:p>
        </w:tc>
        <w:tc>
          <w:tcPr>
            <w:tcW w:w="3296" w:type="dxa"/>
            <w:shd w:val="clear" w:color="auto" w:fill="auto"/>
          </w:tcPr>
          <w:p w:rsidR="004D56BE" w:rsidRPr="003F30FB" w:rsidRDefault="004D56BE" w:rsidP="00C01A94">
            <w:pPr>
              <w:widowControl w:val="0"/>
              <w:spacing w:before="120" w:after="120" w:line="240" w:lineRule="atLeast"/>
              <w:rPr>
                <w:rFonts w:cs="Arial"/>
                <w:sz w:val="18"/>
                <w:szCs w:val="18"/>
                <w:lang w:val="en-GB"/>
              </w:rPr>
            </w:pPr>
            <w:r w:rsidRPr="003F30FB">
              <w:rPr>
                <w:rFonts w:cs="Arial"/>
                <w:sz w:val="18"/>
                <w:szCs w:val="18"/>
                <w:lang w:val="en-GB"/>
              </w:rPr>
              <w:t>Automatic deactivation</w:t>
            </w:r>
          </w:p>
        </w:tc>
        <w:tc>
          <w:tcPr>
            <w:tcW w:w="5387" w:type="dxa"/>
            <w:shd w:val="clear" w:color="auto" w:fill="auto"/>
          </w:tcPr>
          <w:p w:rsidR="004D56BE" w:rsidRPr="003F30FB" w:rsidRDefault="004D56BE" w:rsidP="00C01A94">
            <w:pPr>
              <w:widowControl w:val="0"/>
              <w:spacing w:before="120" w:after="120" w:line="240" w:lineRule="atLeast"/>
              <w:ind w:left="0" w:firstLine="0"/>
              <w:rPr>
                <w:rFonts w:cs="Arial"/>
                <w:sz w:val="18"/>
                <w:szCs w:val="18"/>
                <w:lang w:val="en-GB"/>
              </w:rPr>
            </w:pPr>
            <w:r>
              <w:rPr>
                <w:rFonts w:cs="Arial"/>
                <w:sz w:val="18"/>
                <w:szCs w:val="18"/>
                <w:lang w:val="en-GB"/>
              </w:rPr>
              <w:t>N.R.C.</w:t>
            </w:r>
            <w:r w:rsidRPr="003F30FB">
              <w:rPr>
                <w:rFonts w:cs="Arial"/>
                <w:sz w:val="18"/>
                <w:szCs w:val="18"/>
                <w:lang w:val="en-GB"/>
              </w:rPr>
              <w:t>, at the latest on renewal of the inland navigation vessel certificate after</w:t>
            </w:r>
          </w:p>
        </w:tc>
        <w:tc>
          <w:tcPr>
            <w:tcW w:w="1276" w:type="dxa"/>
            <w:shd w:val="clear" w:color="auto" w:fill="auto"/>
          </w:tcPr>
          <w:p w:rsidR="004D56BE" w:rsidRPr="003F30FB" w:rsidRDefault="004D56BE" w:rsidP="00C01A94">
            <w:pPr>
              <w:widowControl w:val="0"/>
              <w:spacing w:before="120" w:after="120" w:line="240" w:lineRule="atLeast"/>
              <w:rPr>
                <w:rFonts w:cs="Arial"/>
                <w:sz w:val="18"/>
                <w:szCs w:val="18"/>
                <w:lang w:val="en-GB"/>
              </w:rPr>
            </w:pPr>
            <w:r w:rsidRPr="003F30FB">
              <w:rPr>
                <w:rFonts w:cs="Arial"/>
                <w:sz w:val="18"/>
                <w:szCs w:val="18"/>
                <w:lang w:val="en-GB"/>
              </w:rPr>
              <w:t>1.1.2025</w:t>
            </w:r>
          </w:p>
        </w:tc>
        <w:tc>
          <w:tcPr>
            <w:tcW w:w="1276" w:type="dxa"/>
          </w:tcPr>
          <w:p w:rsidR="004D56BE" w:rsidRPr="003F30FB" w:rsidRDefault="004D56BE" w:rsidP="00C01A94">
            <w:pPr>
              <w:widowControl w:val="0"/>
              <w:spacing w:before="120" w:after="120" w:line="240" w:lineRule="atLeast"/>
              <w:rPr>
                <w:rFonts w:cs="Arial"/>
                <w:sz w:val="18"/>
                <w:szCs w:val="18"/>
                <w:lang w:val="en-GB"/>
              </w:rPr>
            </w:pPr>
            <w:r w:rsidRPr="003F30FB">
              <w:rPr>
                <w:rFonts w:cs="Arial"/>
                <w:sz w:val="18"/>
                <w:szCs w:val="18"/>
                <w:lang w:val="en-GB"/>
              </w:rPr>
              <w:t>1.1.2018</w:t>
            </w:r>
          </w:p>
        </w:tc>
      </w:tr>
      <w:tr w:rsidR="004D56BE" w:rsidRPr="003F30FB" w:rsidTr="000E732C">
        <w:trPr>
          <w:cantSplit/>
          <w:jc w:val="center"/>
        </w:trPr>
        <w:tc>
          <w:tcPr>
            <w:tcW w:w="1342" w:type="dxa"/>
            <w:vMerge/>
            <w:shd w:val="clear" w:color="auto" w:fill="auto"/>
          </w:tcPr>
          <w:p w:rsidR="004D56BE" w:rsidRPr="003F30FB" w:rsidRDefault="004D56BE" w:rsidP="00C01A94">
            <w:pPr>
              <w:spacing w:before="120" w:after="120" w:line="240" w:lineRule="atLeast"/>
              <w:ind w:left="0" w:firstLine="0"/>
              <w:rPr>
                <w:rFonts w:cs="Arial"/>
                <w:sz w:val="18"/>
                <w:szCs w:val="18"/>
                <w:lang w:val="en-GB"/>
              </w:rPr>
            </w:pPr>
          </w:p>
        </w:tc>
        <w:tc>
          <w:tcPr>
            <w:tcW w:w="1458" w:type="dxa"/>
            <w:shd w:val="clear" w:color="auto" w:fill="auto"/>
          </w:tcPr>
          <w:p w:rsidR="004D56BE" w:rsidRPr="003F30FB" w:rsidRDefault="004D56BE" w:rsidP="00C01A94">
            <w:pPr>
              <w:widowControl w:val="0"/>
              <w:spacing w:before="120" w:after="120" w:line="240" w:lineRule="atLeast"/>
              <w:ind w:left="-15" w:firstLine="15"/>
              <w:jc w:val="left"/>
              <w:rPr>
                <w:rFonts w:cs="Arial"/>
                <w:sz w:val="18"/>
                <w:szCs w:val="18"/>
                <w:lang w:val="en-GB"/>
              </w:rPr>
            </w:pPr>
            <w:r w:rsidRPr="003F30FB">
              <w:rPr>
                <w:rFonts w:cs="Arial"/>
                <w:sz w:val="18"/>
                <w:szCs w:val="18"/>
                <w:lang w:val="en-GB"/>
              </w:rPr>
              <w:t xml:space="preserve">(7) </w:t>
            </w:r>
            <w:r w:rsidRPr="003F30FB">
              <w:rPr>
                <w:rFonts w:cs="Arial"/>
                <w:sz w:val="18"/>
                <w:szCs w:val="18"/>
                <w:lang w:val="en-GB"/>
              </w:rPr>
              <w:br/>
              <w:t>1st and 2nd sentences</w:t>
            </w:r>
          </w:p>
        </w:tc>
        <w:tc>
          <w:tcPr>
            <w:tcW w:w="3296" w:type="dxa"/>
            <w:shd w:val="clear" w:color="auto" w:fill="auto"/>
          </w:tcPr>
          <w:p w:rsidR="004D56BE" w:rsidRPr="003F30FB" w:rsidRDefault="004D56BE" w:rsidP="00C01A94">
            <w:pPr>
              <w:widowControl w:val="0"/>
              <w:spacing w:before="120" w:after="120" w:line="240" w:lineRule="atLeast"/>
              <w:rPr>
                <w:rFonts w:cs="Arial"/>
                <w:sz w:val="18"/>
                <w:szCs w:val="18"/>
                <w:lang w:val="en-GB"/>
              </w:rPr>
            </w:pPr>
            <w:r w:rsidRPr="003F30FB">
              <w:rPr>
                <w:rFonts w:cs="Arial"/>
                <w:sz w:val="18"/>
                <w:szCs w:val="18"/>
                <w:lang w:val="en-GB"/>
              </w:rPr>
              <w:t>Arrangements and protection features</w:t>
            </w:r>
          </w:p>
        </w:tc>
        <w:tc>
          <w:tcPr>
            <w:tcW w:w="5387" w:type="dxa"/>
            <w:shd w:val="clear" w:color="auto" w:fill="auto"/>
          </w:tcPr>
          <w:p w:rsidR="004D56BE" w:rsidRPr="003F30FB" w:rsidRDefault="004D56BE" w:rsidP="00C01A94">
            <w:pPr>
              <w:widowControl w:val="0"/>
              <w:spacing w:before="120" w:after="120" w:line="240" w:lineRule="atLeast"/>
              <w:ind w:left="0" w:firstLine="0"/>
              <w:rPr>
                <w:rFonts w:cs="Arial"/>
                <w:sz w:val="18"/>
                <w:szCs w:val="18"/>
                <w:lang w:val="en-GB"/>
              </w:rPr>
            </w:pPr>
            <w:r>
              <w:rPr>
                <w:rFonts w:cs="Arial"/>
                <w:sz w:val="18"/>
                <w:szCs w:val="18"/>
                <w:lang w:val="en-GB"/>
              </w:rPr>
              <w:t>N.R.C.</w:t>
            </w:r>
            <w:r w:rsidRPr="003F30FB">
              <w:rPr>
                <w:rFonts w:cs="Arial"/>
                <w:sz w:val="18"/>
                <w:szCs w:val="18"/>
                <w:lang w:val="en-GB"/>
              </w:rPr>
              <w:t xml:space="preserve">, at the latest on renewal of the inland navigation vessel certificate after </w:t>
            </w:r>
          </w:p>
        </w:tc>
        <w:tc>
          <w:tcPr>
            <w:tcW w:w="1276" w:type="dxa"/>
            <w:shd w:val="clear" w:color="auto" w:fill="auto"/>
          </w:tcPr>
          <w:p w:rsidR="004D56BE" w:rsidRPr="003F30FB" w:rsidRDefault="004D56BE" w:rsidP="00C01A94">
            <w:pPr>
              <w:widowControl w:val="0"/>
              <w:spacing w:before="120" w:after="120" w:line="240" w:lineRule="atLeast"/>
              <w:rPr>
                <w:rFonts w:cs="Arial"/>
                <w:sz w:val="18"/>
                <w:szCs w:val="18"/>
                <w:lang w:val="en-GB"/>
              </w:rPr>
            </w:pPr>
            <w:r w:rsidRPr="003F30FB">
              <w:rPr>
                <w:rFonts w:cs="Arial"/>
                <w:sz w:val="18"/>
                <w:szCs w:val="18"/>
                <w:lang w:val="en-GB"/>
              </w:rPr>
              <w:t>1.1.2025</w:t>
            </w:r>
          </w:p>
        </w:tc>
        <w:tc>
          <w:tcPr>
            <w:tcW w:w="1276" w:type="dxa"/>
          </w:tcPr>
          <w:p w:rsidR="004D56BE" w:rsidRPr="003F30FB" w:rsidRDefault="004D56BE" w:rsidP="00C01A94">
            <w:pPr>
              <w:widowControl w:val="0"/>
              <w:spacing w:before="120" w:after="120" w:line="240" w:lineRule="atLeast"/>
              <w:rPr>
                <w:rFonts w:cs="Arial"/>
                <w:sz w:val="18"/>
                <w:szCs w:val="18"/>
                <w:lang w:val="en-GB"/>
              </w:rPr>
            </w:pPr>
            <w:r w:rsidRPr="003F30FB">
              <w:rPr>
                <w:rFonts w:cs="Arial"/>
                <w:sz w:val="18"/>
                <w:szCs w:val="18"/>
                <w:lang w:val="en-GB"/>
              </w:rPr>
              <w:t>1.1.2018</w:t>
            </w:r>
          </w:p>
        </w:tc>
      </w:tr>
      <w:tr w:rsidR="004D56BE" w:rsidRPr="003F30FB" w:rsidTr="000E732C">
        <w:trPr>
          <w:cantSplit/>
          <w:jc w:val="center"/>
        </w:trPr>
        <w:tc>
          <w:tcPr>
            <w:tcW w:w="1342" w:type="dxa"/>
            <w:vMerge/>
            <w:shd w:val="clear" w:color="auto" w:fill="auto"/>
          </w:tcPr>
          <w:p w:rsidR="004D56BE" w:rsidRPr="003F30FB" w:rsidRDefault="004D56BE" w:rsidP="00C01A94">
            <w:pPr>
              <w:spacing w:before="120" w:after="120" w:line="240" w:lineRule="atLeast"/>
              <w:ind w:left="0" w:firstLine="0"/>
              <w:rPr>
                <w:rFonts w:cs="Arial"/>
                <w:sz w:val="18"/>
                <w:szCs w:val="18"/>
                <w:lang w:val="en-GB"/>
              </w:rPr>
            </w:pPr>
          </w:p>
        </w:tc>
        <w:tc>
          <w:tcPr>
            <w:tcW w:w="1458" w:type="dxa"/>
            <w:shd w:val="clear" w:color="auto" w:fill="auto"/>
          </w:tcPr>
          <w:p w:rsidR="004D56BE" w:rsidRPr="003F30FB" w:rsidRDefault="004D56BE" w:rsidP="00C01A94">
            <w:pPr>
              <w:widowControl w:val="0"/>
              <w:spacing w:before="120" w:after="120" w:line="240" w:lineRule="atLeast"/>
              <w:ind w:left="-15" w:firstLine="15"/>
              <w:jc w:val="left"/>
              <w:rPr>
                <w:rFonts w:cs="Arial"/>
                <w:sz w:val="18"/>
                <w:szCs w:val="18"/>
                <w:lang w:val="en-GB"/>
              </w:rPr>
            </w:pPr>
            <w:r w:rsidRPr="003F30FB">
              <w:rPr>
                <w:rFonts w:cs="Arial"/>
                <w:sz w:val="18"/>
                <w:szCs w:val="18"/>
                <w:lang w:val="en-GB"/>
              </w:rPr>
              <w:t xml:space="preserve">(7) </w:t>
            </w:r>
            <w:r w:rsidRPr="003F30FB">
              <w:rPr>
                <w:rFonts w:cs="Arial"/>
                <w:sz w:val="18"/>
                <w:szCs w:val="18"/>
                <w:lang w:val="en-GB"/>
              </w:rPr>
              <w:br/>
              <w:t>3rd sentence</w:t>
            </w:r>
          </w:p>
        </w:tc>
        <w:tc>
          <w:tcPr>
            <w:tcW w:w="3296" w:type="dxa"/>
            <w:shd w:val="clear" w:color="auto" w:fill="auto"/>
          </w:tcPr>
          <w:p w:rsidR="004D56BE" w:rsidRPr="003F30FB" w:rsidRDefault="004D56BE" w:rsidP="00C01A94">
            <w:pPr>
              <w:widowControl w:val="0"/>
              <w:spacing w:before="120" w:after="120" w:line="240" w:lineRule="atLeast"/>
              <w:rPr>
                <w:rFonts w:cs="Arial"/>
                <w:sz w:val="18"/>
                <w:szCs w:val="18"/>
                <w:lang w:val="en-GB"/>
              </w:rPr>
            </w:pPr>
            <w:r w:rsidRPr="003F30FB">
              <w:rPr>
                <w:rFonts w:cs="Arial"/>
                <w:sz w:val="18"/>
                <w:szCs w:val="18"/>
                <w:lang w:val="en-GB"/>
              </w:rPr>
              <w:t>Optical signal</w:t>
            </w:r>
          </w:p>
        </w:tc>
        <w:tc>
          <w:tcPr>
            <w:tcW w:w="5387" w:type="dxa"/>
            <w:shd w:val="clear" w:color="auto" w:fill="auto"/>
          </w:tcPr>
          <w:p w:rsidR="004D56BE" w:rsidRPr="003F30FB" w:rsidRDefault="004D56BE" w:rsidP="00C01A94">
            <w:pPr>
              <w:widowControl w:val="0"/>
              <w:spacing w:before="120" w:after="120" w:line="240" w:lineRule="atLeast"/>
              <w:ind w:left="0" w:firstLine="0"/>
              <w:rPr>
                <w:rFonts w:cs="Arial"/>
                <w:sz w:val="18"/>
                <w:szCs w:val="18"/>
                <w:lang w:val="en-GB"/>
              </w:rPr>
            </w:pPr>
            <w:r>
              <w:rPr>
                <w:rFonts w:cs="Arial"/>
                <w:sz w:val="18"/>
                <w:szCs w:val="18"/>
                <w:lang w:val="en-GB"/>
              </w:rPr>
              <w:t>N.R.C.</w:t>
            </w:r>
            <w:r w:rsidRPr="003F30FB">
              <w:rPr>
                <w:rFonts w:cs="Arial"/>
                <w:sz w:val="18"/>
                <w:szCs w:val="18"/>
                <w:lang w:val="en-GB"/>
              </w:rPr>
              <w:t>, at the latest on renewal of the inland navigation vessel certificate.</w:t>
            </w:r>
          </w:p>
        </w:tc>
        <w:tc>
          <w:tcPr>
            <w:tcW w:w="1276" w:type="dxa"/>
            <w:shd w:val="clear" w:color="auto" w:fill="auto"/>
          </w:tcPr>
          <w:p w:rsidR="004D56BE" w:rsidRPr="003F30FB" w:rsidRDefault="004D56BE" w:rsidP="00C01A94">
            <w:pPr>
              <w:widowControl w:val="0"/>
              <w:spacing w:before="120" w:after="120" w:line="240" w:lineRule="atLeast"/>
              <w:rPr>
                <w:rFonts w:cs="Arial"/>
                <w:sz w:val="18"/>
                <w:szCs w:val="18"/>
                <w:lang w:val="en-GB"/>
              </w:rPr>
            </w:pPr>
          </w:p>
        </w:tc>
        <w:tc>
          <w:tcPr>
            <w:tcW w:w="1276" w:type="dxa"/>
          </w:tcPr>
          <w:p w:rsidR="004D56BE" w:rsidRPr="003F30FB" w:rsidRDefault="004D56BE" w:rsidP="00C01A94">
            <w:pPr>
              <w:widowControl w:val="0"/>
              <w:spacing w:before="120" w:after="120" w:line="240" w:lineRule="atLeast"/>
              <w:rPr>
                <w:rFonts w:cs="Arial"/>
                <w:sz w:val="18"/>
                <w:szCs w:val="18"/>
                <w:lang w:val="en-GB"/>
              </w:rPr>
            </w:pPr>
            <w:r w:rsidRPr="003F30FB">
              <w:rPr>
                <w:rFonts w:cs="Arial"/>
                <w:sz w:val="18"/>
                <w:szCs w:val="18"/>
                <w:lang w:val="en-GB"/>
              </w:rPr>
              <w:t>1.1.2018</w:t>
            </w:r>
          </w:p>
        </w:tc>
      </w:tr>
      <w:tr w:rsidR="004D56BE" w:rsidRPr="003F30FB" w:rsidTr="000E732C">
        <w:trPr>
          <w:cantSplit/>
          <w:jc w:val="center"/>
        </w:trPr>
        <w:tc>
          <w:tcPr>
            <w:tcW w:w="1342" w:type="dxa"/>
            <w:vMerge/>
            <w:shd w:val="clear" w:color="auto" w:fill="auto"/>
          </w:tcPr>
          <w:p w:rsidR="004D56BE" w:rsidRPr="003F30FB" w:rsidRDefault="004D56BE" w:rsidP="00C01A94">
            <w:pPr>
              <w:spacing w:before="120" w:after="120" w:line="240" w:lineRule="atLeast"/>
              <w:ind w:left="0" w:firstLine="0"/>
              <w:rPr>
                <w:rFonts w:cs="Arial"/>
                <w:sz w:val="18"/>
                <w:szCs w:val="18"/>
                <w:lang w:val="en-GB"/>
              </w:rPr>
            </w:pPr>
          </w:p>
        </w:tc>
        <w:tc>
          <w:tcPr>
            <w:tcW w:w="1458" w:type="dxa"/>
            <w:shd w:val="clear" w:color="auto" w:fill="auto"/>
          </w:tcPr>
          <w:p w:rsidR="004D56BE" w:rsidRPr="003F30FB" w:rsidRDefault="004D56BE" w:rsidP="00C01A94">
            <w:pPr>
              <w:widowControl w:val="0"/>
              <w:spacing w:before="120" w:after="120" w:line="240" w:lineRule="atLeast"/>
              <w:jc w:val="left"/>
              <w:rPr>
                <w:rFonts w:cs="Arial"/>
                <w:sz w:val="18"/>
                <w:szCs w:val="18"/>
                <w:lang w:val="en-GB"/>
              </w:rPr>
            </w:pPr>
            <w:r w:rsidRPr="003F30FB">
              <w:rPr>
                <w:rFonts w:cs="Arial"/>
                <w:sz w:val="18"/>
                <w:szCs w:val="18"/>
                <w:lang w:val="en-GB"/>
              </w:rPr>
              <w:t>(8)</w:t>
            </w:r>
          </w:p>
        </w:tc>
        <w:tc>
          <w:tcPr>
            <w:tcW w:w="3296" w:type="dxa"/>
            <w:shd w:val="clear" w:color="auto" w:fill="auto"/>
          </w:tcPr>
          <w:p w:rsidR="004D56BE" w:rsidRPr="003F30FB" w:rsidRDefault="004D56BE" w:rsidP="00C01A94">
            <w:pPr>
              <w:widowControl w:val="0"/>
              <w:tabs>
                <w:tab w:val="left" w:pos="1260"/>
              </w:tabs>
              <w:adjustRightInd w:val="0"/>
              <w:spacing w:before="120" w:after="120" w:line="240" w:lineRule="atLeast"/>
              <w:rPr>
                <w:rFonts w:cs="Arial"/>
                <w:sz w:val="18"/>
                <w:szCs w:val="18"/>
                <w:lang w:val="en-GB"/>
              </w:rPr>
            </w:pPr>
            <w:r w:rsidRPr="003F30FB">
              <w:rPr>
                <w:rFonts w:cs="Arial"/>
                <w:sz w:val="18"/>
                <w:szCs w:val="18"/>
                <w:lang w:val="en-GB"/>
              </w:rPr>
              <w:t>Emergency lowering system</w:t>
            </w:r>
          </w:p>
        </w:tc>
        <w:tc>
          <w:tcPr>
            <w:tcW w:w="5387" w:type="dxa"/>
            <w:shd w:val="clear" w:color="auto" w:fill="auto"/>
          </w:tcPr>
          <w:p w:rsidR="004D56BE" w:rsidRPr="003F30FB" w:rsidRDefault="004D56BE" w:rsidP="00C01A94">
            <w:pPr>
              <w:widowControl w:val="0"/>
              <w:spacing w:before="120" w:after="120" w:line="240" w:lineRule="atLeast"/>
              <w:ind w:left="0" w:firstLine="0"/>
              <w:rPr>
                <w:rFonts w:cs="Arial"/>
                <w:sz w:val="18"/>
                <w:szCs w:val="18"/>
                <w:lang w:val="en-GB"/>
              </w:rPr>
            </w:pPr>
            <w:r w:rsidRPr="003F30FB">
              <w:rPr>
                <w:rFonts w:cs="Arial"/>
                <w:sz w:val="18"/>
                <w:szCs w:val="18"/>
                <w:lang w:val="en-GB"/>
              </w:rPr>
              <w:t xml:space="preserve">If hydraulic lowering is not possible: </w:t>
            </w:r>
            <w:r>
              <w:rPr>
                <w:rFonts w:cs="Arial"/>
                <w:sz w:val="18"/>
                <w:szCs w:val="18"/>
                <w:lang w:val="en-GB"/>
              </w:rPr>
              <w:t>N.R.C.</w:t>
            </w:r>
            <w:r w:rsidRPr="003F30FB">
              <w:rPr>
                <w:rFonts w:cs="Arial"/>
                <w:sz w:val="18"/>
                <w:szCs w:val="18"/>
                <w:lang w:val="en-GB"/>
              </w:rPr>
              <w:t>, at the latest on renewal of the inland navigation vessel certificate after</w:t>
            </w:r>
          </w:p>
        </w:tc>
        <w:tc>
          <w:tcPr>
            <w:tcW w:w="1276" w:type="dxa"/>
            <w:shd w:val="clear" w:color="auto" w:fill="auto"/>
          </w:tcPr>
          <w:p w:rsidR="004D56BE" w:rsidRPr="003F30FB" w:rsidRDefault="004D56BE" w:rsidP="00C01A94">
            <w:pPr>
              <w:widowControl w:val="0"/>
              <w:spacing w:before="120" w:after="120" w:line="240" w:lineRule="atLeast"/>
              <w:rPr>
                <w:rFonts w:cs="Arial"/>
                <w:sz w:val="18"/>
                <w:szCs w:val="18"/>
                <w:lang w:val="en-GB"/>
              </w:rPr>
            </w:pPr>
            <w:r w:rsidRPr="003F30FB">
              <w:rPr>
                <w:rFonts w:cs="Arial"/>
                <w:sz w:val="18"/>
                <w:szCs w:val="18"/>
                <w:lang w:val="en-GB"/>
              </w:rPr>
              <w:t>1.1.2040</w:t>
            </w:r>
          </w:p>
        </w:tc>
        <w:tc>
          <w:tcPr>
            <w:tcW w:w="1276" w:type="dxa"/>
          </w:tcPr>
          <w:p w:rsidR="004D56BE" w:rsidRPr="003F30FB" w:rsidRDefault="004D56BE" w:rsidP="00C01A94">
            <w:pPr>
              <w:widowControl w:val="0"/>
              <w:spacing w:before="120" w:after="120" w:line="240" w:lineRule="atLeast"/>
              <w:rPr>
                <w:rFonts w:cs="Arial"/>
                <w:sz w:val="18"/>
                <w:szCs w:val="18"/>
                <w:lang w:val="en-GB"/>
              </w:rPr>
            </w:pPr>
            <w:r w:rsidRPr="003F30FB">
              <w:rPr>
                <w:rFonts w:cs="Arial"/>
                <w:sz w:val="18"/>
                <w:szCs w:val="18"/>
                <w:lang w:val="en-GB"/>
              </w:rPr>
              <w:t>1.1.2018</w:t>
            </w:r>
          </w:p>
        </w:tc>
      </w:tr>
      <w:tr w:rsidR="004D56BE" w:rsidRPr="000E732C" w:rsidTr="000E732C">
        <w:trPr>
          <w:cantSplit/>
          <w:trHeight w:val="163"/>
          <w:jc w:val="center"/>
        </w:trPr>
        <w:tc>
          <w:tcPr>
            <w:tcW w:w="1342" w:type="dxa"/>
            <w:vMerge/>
            <w:shd w:val="clear" w:color="auto" w:fill="auto"/>
          </w:tcPr>
          <w:p w:rsidR="004D56BE" w:rsidRPr="003F30FB" w:rsidRDefault="004D56BE" w:rsidP="00C01A94">
            <w:pPr>
              <w:spacing w:before="120" w:after="120" w:line="240" w:lineRule="atLeast"/>
              <w:ind w:left="0" w:firstLine="0"/>
              <w:rPr>
                <w:rFonts w:cs="Arial"/>
                <w:sz w:val="18"/>
                <w:szCs w:val="18"/>
                <w:lang w:val="en-GB"/>
              </w:rPr>
            </w:pPr>
          </w:p>
        </w:tc>
        <w:tc>
          <w:tcPr>
            <w:tcW w:w="1458" w:type="dxa"/>
            <w:vMerge w:val="restart"/>
            <w:shd w:val="clear" w:color="auto" w:fill="auto"/>
          </w:tcPr>
          <w:p w:rsidR="004D56BE" w:rsidRPr="003F30FB" w:rsidDel="00F12D85" w:rsidRDefault="004D56BE" w:rsidP="00C01A94">
            <w:pPr>
              <w:widowControl w:val="0"/>
              <w:spacing w:before="120" w:after="120" w:line="240" w:lineRule="atLeast"/>
              <w:jc w:val="left"/>
              <w:rPr>
                <w:rFonts w:cs="Arial"/>
                <w:sz w:val="18"/>
                <w:szCs w:val="18"/>
                <w:lang w:val="en-GB"/>
              </w:rPr>
            </w:pPr>
            <w:r w:rsidRPr="003F30FB">
              <w:rPr>
                <w:rFonts w:cs="Arial"/>
                <w:sz w:val="18"/>
                <w:szCs w:val="18"/>
                <w:lang w:val="en-GB"/>
              </w:rPr>
              <w:t>(12)(c)</w:t>
            </w:r>
          </w:p>
        </w:tc>
        <w:tc>
          <w:tcPr>
            <w:tcW w:w="3296" w:type="dxa"/>
            <w:vMerge w:val="restart"/>
            <w:shd w:val="clear" w:color="auto" w:fill="auto"/>
          </w:tcPr>
          <w:p w:rsidR="004D56BE" w:rsidRPr="003F30FB" w:rsidRDefault="004D56BE" w:rsidP="00C01A94">
            <w:pPr>
              <w:widowControl w:val="0"/>
              <w:tabs>
                <w:tab w:val="left" w:pos="1260"/>
              </w:tabs>
              <w:adjustRightInd w:val="0"/>
              <w:spacing w:before="120" w:after="120" w:line="240" w:lineRule="atLeast"/>
              <w:rPr>
                <w:rFonts w:cs="Arial"/>
                <w:sz w:val="18"/>
                <w:szCs w:val="18"/>
                <w:lang w:val="en-GB"/>
              </w:rPr>
            </w:pPr>
            <w:r w:rsidRPr="003F30FB">
              <w:rPr>
                <w:rFonts w:cs="Arial"/>
                <w:sz w:val="18"/>
                <w:szCs w:val="18"/>
                <w:lang w:val="en-GB"/>
              </w:rPr>
              <w:t>Testing</w:t>
            </w:r>
          </w:p>
        </w:tc>
        <w:tc>
          <w:tcPr>
            <w:tcW w:w="5387" w:type="dxa"/>
            <w:shd w:val="clear" w:color="auto" w:fill="auto"/>
          </w:tcPr>
          <w:p w:rsidR="004D56BE" w:rsidRPr="003F30FB" w:rsidRDefault="004D56BE" w:rsidP="00C01A94">
            <w:pPr>
              <w:widowControl w:val="0"/>
              <w:spacing w:before="120" w:after="120" w:line="240" w:lineRule="atLeast"/>
              <w:ind w:left="0" w:firstLine="0"/>
              <w:rPr>
                <w:rFonts w:cs="Arial"/>
                <w:sz w:val="18"/>
                <w:szCs w:val="18"/>
                <w:lang w:val="en-GB"/>
              </w:rPr>
            </w:pPr>
            <w:r>
              <w:rPr>
                <w:rFonts w:cs="Arial"/>
                <w:sz w:val="18"/>
                <w:szCs w:val="18"/>
                <w:lang w:val="en-GB"/>
              </w:rPr>
              <w:t>N.R.C.</w:t>
            </w:r>
            <w:r w:rsidRPr="003F30FB">
              <w:rPr>
                <w:rFonts w:cs="Arial"/>
                <w:sz w:val="18"/>
                <w:szCs w:val="18"/>
                <w:lang w:val="en-GB"/>
              </w:rPr>
              <w:t>, at the latest on renewal of the inland navigation vessel certificate.</w:t>
            </w:r>
          </w:p>
        </w:tc>
        <w:tc>
          <w:tcPr>
            <w:tcW w:w="1276" w:type="dxa"/>
            <w:vMerge w:val="restart"/>
            <w:shd w:val="clear" w:color="auto" w:fill="auto"/>
          </w:tcPr>
          <w:p w:rsidR="004D56BE" w:rsidRPr="003F30FB" w:rsidRDefault="004D56BE" w:rsidP="00C01A94">
            <w:pPr>
              <w:widowControl w:val="0"/>
              <w:spacing w:before="120" w:after="120" w:line="240" w:lineRule="atLeast"/>
              <w:rPr>
                <w:rFonts w:cs="Arial"/>
                <w:sz w:val="18"/>
                <w:szCs w:val="18"/>
                <w:lang w:val="en-GB"/>
              </w:rPr>
            </w:pPr>
          </w:p>
        </w:tc>
        <w:tc>
          <w:tcPr>
            <w:tcW w:w="1276" w:type="dxa"/>
            <w:vMerge w:val="restart"/>
          </w:tcPr>
          <w:p w:rsidR="004D56BE" w:rsidRPr="003F30FB" w:rsidRDefault="004D56BE" w:rsidP="00C01A94">
            <w:pPr>
              <w:widowControl w:val="0"/>
              <w:spacing w:before="120" w:after="120" w:line="240" w:lineRule="atLeast"/>
              <w:rPr>
                <w:rFonts w:cs="Arial"/>
                <w:sz w:val="18"/>
                <w:szCs w:val="18"/>
                <w:lang w:val="en-GB"/>
              </w:rPr>
            </w:pPr>
            <w:r w:rsidRPr="003F30FB">
              <w:rPr>
                <w:rFonts w:cs="Arial"/>
                <w:sz w:val="18"/>
                <w:szCs w:val="18"/>
                <w:lang w:val="en-GB"/>
              </w:rPr>
              <w:t>1.1.2018</w:t>
            </w:r>
          </w:p>
        </w:tc>
      </w:tr>
      <w:tr w:rsidR="004D56BE" w:rsidRPr="00296858" w:rsidTr="000E732C">
        <w:trPr>
          <w:cantSplit/>
          <w:trHeight w:val="163"/>
          <w:jc w:val="center"/>
        </w:trPr>
        <w:tc>
          <w:tcPr>
            <w:tcW w:w="1342" w:type="dxa"/>
            <w:vMerge/>
            <w:shd w:val="clear" w:color="auto" w:fill="auto"/>
          </w:tcPr>
          <w:p w:rsidR="004D56BE" w:rsidRPr="000E732C" w:rsidRDefault="004D56BE" w:rsidP="00C01A94">
            <w:pPr>
              <w:spacing w:before="120" w:after="120" w:line="240" w:lineRule="atLeast"/>
              <w:ind w:left="0" w:firstLine="0"/>
              <w:rPr>
                <w:rFonts w:cs="Arial"/>
                <w:sz w:val="18"/>
                <w:szCs w:val="18"/>
                <w:lang w:val="en-GB"/>
              </w:rPr>
            </w:pPr>
          </w:p>
        </w:tc>
        <w:tc>
          <w:tcPr>
            <w:tcW w:w="1458" w:type="dxa"/>
            <w:vMerge/>
            <w:shd w:val="clear" w:color="auto" w:fill="auto"/>
          </w:tcPr>
          <w:p w:rsidR="004D56BE" w:rsidRPr="008921FB" w:rsidRDefault="004D56BE" w:rsidP="00C01A94">
            <w:pPr>
              <w:widowControl w:val="0"/>
              <w:spacing w:before="120" w:after="120" w:line="240" w:lineRule="atLeast"/>
              <w:jc w:val="left"/>
              <w:rPr>
                <w:rFonts w:cs="Arial"/>
                <w:sz w:val="18"/>
                <w:szCs w:val="18"/>
                <w:highlight w:val="lightGray"/>
                <w:lang w:val="en-GB"/>
              </w:rPr>
            </w:pPr>
          </w:p>
        </w:tc>
        <w:tc>
          <w:tcPr>
            <w:tcW w:w="3296" w:type="dxa"/>
            <w:vMerge/>
            <w:shd w:val="clear" w:color="auto" w:fill="auto"/>
          </w:tcPr>
          <w:p w:rsidR="004D56BE" w:rsidRPr="008921FB" w:rsidRDefault="004D56BE" w:rsidP="00C01A94">
            <w:pPr>
              <w:widowControl w:val="0"/>
              <w:tabs>
                <w:tab w:val="left" w:pos="1260"/>
              </w:tabs>
              <w:adjustRightInd w:val="0"/>
              <w:spacing w:before="120" w:after="120" w:line="240" w:lineRule="atLeast"/>
              <w:rPr>
                <w:rFonts w:cs="Arial"/>
                <w:sz w:val="18"/>
                <w:szCs w:val="18"/>
                <w:highlight w:val="lightGray"/>
                <w:lang w:val="en-GB"/>
              </w:rPr>
            </w:pPr>
          </w:p>
        </w:tc>
        <w:tc>
          <w:tcPr>
            <w:tcW w:w="5387" w:type="dxa"/>
            <w:shd w:val="clear" w:color="auto" w:fill="auto"/>
          </w:tcPr>
          <w:p w:rsidR="004D56BE" w:rsidRPr="003F30FB" w:rsidRDefault="004D56BE" w:rsidP="00C01A94">
            <w:pPr>
              <w:widowControl w:val="0"/>
              <w:spacing w:before="120" w:after="120" w:line="240" w:lineRule="atLeast"/>
              <w:ind w:left="0" w:firstLine="0"/>
              <w:rPr>
                <w:rFonts w:cs="Arial"/>
                <w:sz w:val="18"/>
                <w:szCs w:val="18"/>
                <w:lang w:val="en-GB"/>
              </w:rPr>
            </w:pPr>
            <w:r w:rsidRPr="003F30FB">
              <w:rPr>
                <w:rFonts w:cs="Arial"/>
                <w:sz w:val="18"/>
                <w:szCs w:val="18"/>
                <w:lang w:val="en-GB"/>
              </w:rPr>
              <w:t>If mathematical proof cannot be provided, the inspection body may recognise other suitable proof as equivalent.</w:t>
            </w:r>
          </w:p>
        </w:tc>
        <w:tc>
          <w:tcPr>
            <w:tcW w:w="1276" w:type="dxa"/>
            <w:vMerge/>
            <w:shd w:val="clear" w:color="auto" w:fill="auto"/>
          </w:tcPr>
          <w:p w:rsidR="004D56BE" w:rsidRPr="008921FB" w:rsidRDefault="004D56BE" w:rsidP="00C01A94">
            <w:pPr>
              <w:widowControl w:val="0"/>
              <w:spacing w:before="120" w:after="120" w:line="240" w:lineRule="atLeast"/>
              <w:rPr>
                <w:rFonts w:cs="Arial"/>
                <w:sz w:val="18"/>
                <w:szCs w:val="18"/>
                <w:highlight w:val="lightGray"/>
                <w:lang w:val="en-GB"/>
              </w:rPr>
            </w:pPr>
          </w:p>
        </w:tc>
        <w:tc>
          <w:tcPr>
            <w:tcW w:w="1276" w:type="dxa"/>
            <w:vMerge/>
          </w:tcPr>
          <w:p w:rsidR="004D56BE" w:rsidRPr="008921FB" w:rsidRDefault="004D56BE" w:rsidP="00C01A94">
            <w:pPr>
              <w:widowControl w:val="0"/>
              <w:spacing w:before="120" w:after="120" w:line="240" w:lineRule="atLeast"/>
              <w:rPr>
                <w:rFonts w:cs="Arial"/>
                <w:sz w:val="18"/>
                <w:szCs w:val="18"/>
                <w:highlight w:val="lightGray"/>
                <w:lang w:val="en-GB"/>
              </w:rPr>
            </w:pPr>
          </w:p>
        </w:tc>
      </w:tr>
      <w:tr w:rsidR="004D56BE" w:rsidRPr="00C903F8" w:rsidTr="00E67DA4">
        <w:trPr>
          <w:cantSplit/>
          <w:jc w:val="center"/>
        </w:trPr>
        <w:tc>
          <w:tcPr>
            <w:tcW w:w="6096" w:type="dxa"/>
            <w:gridSpan w:val="3"/>
            <w:shd w:val="clear" w:color="auto" w:fill="auto"/>
          </w:tcPr>
          <w:p w:rsidR="004D56BE" w:rsidRPr="00C903F8" w:rsidRDefault="004D56BE" w:rsidP="00C01A94">
            <w:pPr>
              <w:spacing w:before="120" w:after="120" w:line="240" w:lineRule="atLeast"/>
              <w:ind w:left="0" w:firstLine="0"/>
              <w:jc w:val="center"/>
              <w:rPr>
                <w:rFonts w:cs="Arial"/>
                <w:sz w:val="18"/>
                <w:szCs w:val="18"/>
              </w:rPr>
            </w:pPr>
            <w:r w:rsidRPr="00C903F8">
              <w:rPr>
                <w:rFonts w:cs="Arial"/>
                <w:b/>
                <w:sz w:val="18"/>
                <w:szCs w:val="18"/>
              </w:rPr>
              <w:t>CHAPTER 8</w:t>
            </w:r>
          </w:p>
        </w:tc>
        <w:tc>
          <w:tcPr>
            <w:tcW w:w="5387" w:type="dxa"/>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276" w:type="dxa"/>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276" w:type="dxa"/>
          </w:tcPr>
          <w:p w:rsidR="004D56BE" w:rsidRPr="00C903F8" w:rsidRDefault="004D56BE" w:rsidP="00C01A94">
            <w:pPr>
              <w:spacing w:before="120" w:after="120" w:line="240" w:lineRule="atLeast"/>
              <w:ind w:left="0" w:firstLine="0"/>
              <w:rPr>
                <w:rFonts w:cs="Arial"/>
                <w:sz w:val="18"/>
                <w:szCs w:val="18"/>
              </w:rPr>
            </w:pPr>
          </w:p>
        </w:tc>
      </w:tr>
      <w:tr w:rsidR="004D56BE" w:rsidRPr="00C903F8" w:rsidTr="00E67DA4">
        <w:trPr>
          <w:cantSplit/>
          <w:jc w:val="center"/>
        </w:trPr>
        <w:tc>
          <w:tcPr>
            <w:tcW w:w="1342" w:type="dxa"/>
            <w:tcBorders>
              <w:bottom w:val="nil"/>
            </w:tcBorders>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8.02</w:t>
            </w:r>
          </w:p>
        </w:tc>
        <w:tc>
          <w:tcPr>
            <w:tcW w:w="1458"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(4)</w:t>
            </w:r>
          </w:p>
        </w:tc>
        <w:tc>
          <w:tcPr>
            <w:tcW w:w="3296"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noProof/>
                <w:sz w:val="18"/>
                <w:szCs w:val="18"/>
              </w:rPr>
              <w:t>Screening of pipe</w:t>
            </w:r>
          </w:p>
        </w:tc>
        <w:tc>
          <w:tcPr>
            <w:tcW w:w="5387" w:type="dxa"/>
            <w:shd w:val="clear" w:color="auto" w:fill="auto"/>
          </w:tcPr>
          <w:p w:rsidR="004D56BE" w:rsidRPr="00C903F8" w:rsidRDefault="004D56BE"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1.1.2025</w:t>
            </w:r>
          </w:p>
        </w:tc>
        <w:tc>
          <w:tcPr>
            <w:tcW w:w="1276" w:type="dxa"/>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1.4.2007</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(5)</w:t>
            </w:r>
          </w:p>
        </w:tc>
        <w:tc>
          <w:tcPr>
            <w:tcW w:w="3296" w:type="dxa"/>
            <w:shd w:val="clear" w:color="auto" w:fill="auto"/>
          </w:tcPr>
          <w:p w:rsidR="004D56BE" w:rsidRPr="00C903F8" w:rsidRDefault="004D56BE" w:rsidP="00C01A94">
            <w:pPr>
              <w:spacing w:before="120" w:after="120" w:line="240" w:lineRule="atLeast"/>
              <w:ind w:left="0" w:firstLine="0"/>
              <w:rPr>
                <w:rFonts w:cs="Arial"/>
                <w:noProof/>
                <w:sz w:val="18"/>
                <w:szCs w:val="18"/>
              </w:rPr>
            </w:pPr>
            <w:r w:rsidRPr="00C903F8">
              <w:rPr>
                <w:rFonts w:cs="Arial"/>
                <w:noProof/>
                <w:sz w:val="18"/>
                <w:szCs w:val="18"/>
              </w:rPr>
              <w:t>Jacketed piping system</w:t>
            </w:r>
          </w:p>
        </w:tc>
        <w:tc>
          <w:tcPr>
            <w:tcW w:w="5387" w:type="dxa"/>
            <w:shd w:val="clear" w:color="auto" w:fill="auto"/>
          </w:tcPr>
          <w:p w:rsidR="004D56BE" w:rsidRPr="00C903F8" w:rsidRDefault="004D56BE"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1.1.2025</w:t>
            </w:r>
          </w:p>
        </w:tc>
        <w:tc>
          <w:tcPr>
            <w:tcW w:w="1276" w:type="dxa"/>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1.4.2007</w:t>
            </w:r>
          </w:p>
        </w:tc>
      </w:tr>
      <w:tr w:rsidR="004D56BE" w:rsidRPr="00C903F8" w:rsidTr="00E67DA4">
        <w:trPr>
          <w:cantSplit/>
          <w:jc w:val="center"/>
        </w:trPr>
        <w:tc>
          <w:tcPr>
            <w:tcW w:w="1342" w:type="dxa"/>
            <w:tcBorders>
              <w:bottom w:val="single" w:sz="4" w:space="0" w:color="auto"/>
            </w:tcBorders>
            <w:shd w:val="clear" w:color="auto" w:fill="auto"/>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lastRenderedPageBreak/>
              <w:t>8.03</w:t>
            </w:r>
          </w:p>
        </w:tc>
        <w:tc>
          <w:tcPr>
            <w:tcW w:w="1458" w:type="dxa"/>
            <w:shd w:val="clear" w:color="auto" w:fill="auto"/>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(4)</w:t>
            </w:r>
          </w:p>
        </w:tc>
        <w:tc>
          <w:tcPr>
            <w:tcW w:w="3296" w:type="dxa"/>
            <w:shd w:val="clear" w:color="auto" w:fill="auto"/>
          </w:tcPr>
          <w:p w:rsidR="004D56BE" w:rsidRPr="00C903F8" w:rsidRDefault="004D56BE" w:rsidP="00C01A94">
            <w:pPr>
              <w:spacing w:before="240" w:after="240" w:line="240" w:lineRule="atLeast"/>
              <w:ind w:left="0" w:firstLine="0"/>
              <w:rPr>
                <w:rFonts w:cs="Arial"/>
                <w:sz w:val="18"/>
                <w:szCs w:val="18"/>
              </w:rPr>
            </w:pPr>
            <w:r w:rsidRPr="00C903F8">
              <w:rPr>
                <w:rFonts w:cs="Arial"/>
                <w:noProof/>
                <w:sz w:val="18"/>
                <w:szCs w:val="18"/>
              </w:rPr>
              <w:t>Monitoring devices</w:t>
            </w:r>
          </w:p>
        </w:tc>
        <w:tc>
          <w:tcPr>
            <w:tcW w:w="5387" w:type="dxa"/>
            <w:shd w:val="clear" w:color="auto" w:fill="auto"/>
          </w:tcPr>
          <w:p w:rsidR="004D56BE" w:rsidRPr="00C903F8" w:rsidRDefault="004D56BE" w:rsidP="00C01A94">
            <w:pPr>
              <w:spacing w:before="240" w:after="2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1.1.2010</w:t>
            </w:r>
          </w:p>
        </w:tc>
        <w:tc>
          <w:tcPr>
            <w:tcW w:w="1276" w:type="dxa"/>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1.4.2004</w:t>
            </w:r>
          </w:p>
        </w:tc>
      </w:tr>
      <w:tr w:rsidR="004D56BE" w:rsidRPr="00C903F8" w:rsidTr="00E67DA4">
        <w:trPr>
          <w:cantSplit/>
          <w:jc w:val="center"/>
        </w:trPr>
        <w:tc>
          <w:tcPr>
            <w:tcW w:w="1342" w:type="dxa"/>
            <w:tcBorders>
              <w:bottom w:val="nil"/>
            </w:tcBorders>
            <w:shd w:val="clear" w:color="auto" w:fill="auto"/>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8.05</w:t>
            </w:r>
          </w:p>
        </w:tc>
        <w:tc>
          <w:tcPr>
            <w:tcW w:w="1458" w:type="dxa"/>
            <w:shd w:val="clear" w:color="auto" w:fill="auto"/>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(3)</w:t>
            </w:r>
          </w:p>
        </w:tc>
        <w:tc>
          <w:tcPr>
            <w:tcW w:w="3296" w:type="dxa"/>
            <w:shd w:val="clear" w:color="auto" w:fill="auto"/>
          </w:tcPr>
          <w:p w:rsidR="004D56BE" w:rsidRPr="00C903F8" w:rsidRDefault="004D56BE" w:rsidP="00C01A94">
            <w:pPr>
              <w:spacing w:before="240" w:after="240" w:line="240" w:lineRule="atLeast"/>
              <w:ind w:left="0" w:firstLine="0"/>
              <w:rPr>
                <w:rFonts w:cs="Arial"/>
                <w:sz w:val="18"/>
                <w:szCs w:val="18"/>
                <w:lang w:val="en-US"/>
              </w:rPr>
            </w:pPr>
            <w:r w:rsidRPr="00C903F8">
              <w:rPr>
                <w:rFonts w:cs="Arial"/>
                <w:sz w:val="18"/>
                <w:szCs w:val="18"/>
                <w:lang w:val="en-US"/>
              </w:rPr>
              <w:t>No fuel tanks aft of the aft-peak bulkhead</w:t>
            </w:r>
          </w:p>
        </w:tc>
        <w:tc>
          <w:tcPr>
            <w:tcW w:w="5387" w:type="dxa"/>
            <w:shd w:val="clear" w:color="auto" w:fill="auto"/>
          </w:tcPr>
          <w:p w:rsidR="004D56BE" w:rsidRPr="00C903F8" w:rsidRDefault="004D56BE" w:rsidP="00C01A94">
            <w:pPr>
              <w:spacing w:before="240" w:after="2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1.1.2035</w:t>
            </w:r>
          </w:p>
        </w:tc>
        <w:tc>
          <w:tcPr>
            <w:tcW w:w="1276" w:type="dxa"/>
          </w:tcPr>
          <w:p w:rsidR="004D56BE" w:rsidRPr="00C903F8" w:rsidRDefault="004D56BE" w:rsidP="00C01A94">
            <w:pPr>
              <w:spacing w:before="240" w:after="240" w:line="240" w:lineRule="atLeast"/>
              <w:ind w:left="0" w:firstLine="0"/>
              <w:rPr>
                <w:rFonts w:cs="Arial"/>
                <w:sz w:val="18"/>
                <w:szCs w:val="18"/>
              </w:rPr>
            </w:pPr>
            <w:r>
              <w:rPr>
                <w:rFonts w:cs="Arial"/>
                <w:sz w:val="18"/>
                <w:szCs w:val="18"/>
              </w:rPr>
              <w:t>7.10.2018</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240" w:after="240" w:line="240" w:lineRule="atLeast"/>
              <w:ind w:left="0" w:firstLine="0"/>
              <w:rPr>
                <w:rFonts w:cs="Arial"/>
                <w:sz w:val="18"/>
                <w:szCs w:val="18"/>
                <w:lang w:val="en-US"/>
              </w:rPr>
            </w:pPr>
          </w:p>
        </w:tc>
        <w:tc>
          <w:tcPr>
            <w:tcW w:w="1458" w:type="dxa"/>
            <w:shd w:val="clear" w:color="auto" w:fill="auto"/>
          </w:tcPr>
          <w:p w:rsidR="004D56BE" w:rsidRPr="00C903F8" w:rsidRDefault="004D56BE" w:rsidP="00C01A94">
            <w:pPr>
              <w:spacing w:before="240" w:after="240" w:line="240" w:lineRule="atLeast"/>
              <w:ind w:left="0" w:firstLine="0"/>
              <w:jc w:val="left"/>
              <w:rPr>
                <w:rFonts w:cs="Arial"/>
                <w:sz w:val="18"/>
                <w:szCs w:val="18"/>
              </w:rPr>
            </w:pPr>
            <w:r w:rsidRPr="00C903F8">
              <w:rPr>
                <w:rFonts w:cs="Arial"/>
                <w:sz w:val="18"/>
                <w:szCs w:val="18"/>
              </w:rPr>
              <w:t>(7), 1</w:t>
            </w:r>
            <w:r w:rsidRPr="00C903F8">
              <w:rPr>
                <w:rFonts w:cs="Arial"/>
                <w:sz w:val="18"/>
                <w:szCs w:val="18"/>
                <w:vertAlign w:val="superscript"/>
              </w:rPr>
              <w:t>st</w:t>
            </w:r>
            <w:r w:rsidRPr="00C903F8">
              <w:rPr>
                <w:rFonts w:cs="Arial"/>
                <w:sz w:val="18"/>
                <w:szCs w:val="18"/>
              </w:rPr>
              <w:t xml:space="preserve"> sentence</w:t>
            </w:r>
          </w:p>
        </w:tc>
        <w:tc>
          <w:tcPr>
            <w:tcW w:w="3296" w:type="dxa"/>
            <w:shd w:val="clear" w:color="auto" w:fill="auto"/>
          </w:tcPr>
          <w:p w:rsidR="004D56BE" w:rsidRPr="00C903F8" w:rsidRDefault="004D56BE" w:rsidP="00C01A94">
            <w:pPr>
              <w:spacing w:before="240" w:after="240" w:line="240" w:lineRule="atLeast"/>
              <w:ind w:left="0" w:firstLine="0"/>
              <w:rPr>
                <w:rFonts w:cs="Arial"/>
                <w:sz w:val="18"/>
                <w:szCs w:val="18"/>
                <w:lang w:val="en-US"/>
              </w:rPr>
            </w:pPr>
            <w:r w:rsidRPr="00C903F8">
              <w:rPr>
                <w:rFonts w:cs="Arial"/>
                <w:sz w:val="18"/>
                <w:szCs w:val="18"/>
                <w:lang w:val="en-US"/>
              </w:rPr>
              <w:t>Quick-closing valve on the tank operated from deck, even when the rooms in question are closed</w:t>
            </w:r>
          </w:p>
        </w:tc>
        <w:tc>
          <w:tcPr>
            <w:tcW w:w="5387" w:type="dxa"/>
            <w:shd w:val="clear" w:color="auto" w:fill="auto"/>
          </w:tcPr>
          <w:p w:rsidR="004D56BE" w:rsidRPr="00C903F8" w:rsidRDefault="004D56BE" w:rsidP="00C01A94">
            <w:pPr>
              <w:spacing w:before="240" w:after="2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1.1.2015</w:t>
            </w:r>
          </w:p>
        </w:tc>
        <w:tc>
          <w:tcPr>
            <w:tcW w:w="1276" w:type="dxa"/>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1.4.2008</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240" w:after="24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240" w:after="240" w:line="240" w:lineRule="atLeast"/>
              <w:ind w:left="0" w:firstLine="0"/>
              <w:jc w:val="left"/>
              <w:rPr>
                <w:rFonts w:cs="Arial"/>
                <w:sz w:val="18"/>
                <w:szCs w:val="18"/>
              </w:rPr>
            </w:pPr>
            <w:r w:rsidRPr="00C903F8">
              <w:rPr>
                <w:rFonts w:cs="Arial"/>
                <w:sz w:val="18"/>
                <w:szCs w:val="18"/>
              </w:rPr>
              <w:t>(9) 2</w:t>
            </w:r>
            <w:r w:rsidRPr="00C903F8">
              <w:rPr>
                <w:rFonts w:cs="Arial"/>
                <w:sz w:val="18"/>
                <w:szCs w:val="18"/>
                <w:vertAlign w:val="superscript"/>
              </w:rPr>
              <w:t>nd </w:t>
            </w:r>
            <w:r w:rsidRPr="00C903F8">
              <w:rPr>
                <w:rFonts w:cs="Arial"/>
                <w:sz w:val="18"/>
                <w:szCs w:val="18"/>
              </w:rPr>
              <w:t>sentence</w:t>
            </w:r>
          </w:p>
        </w:tc>
        <w:tc>
          <w:tcPr>
            <w:tcW w:w="3296" w:type="dxa"/>
            <w:shd w:val="clear" w:color="auto" w:fill="auto"/>
          </w:tcPr>
          <w:p w:rsidR="004D56BE" w:rsidRPr="00C903F8" w:rsidRDefault="004D56BE" w:rsidP="00C01A94">
            <w:pPr>
              <w:spacing w:before="240" w:after="240" w:line="240" w:lineRule="atLeast"/>
              <w:ind w:left="0" w:firstLine="0"/>
              <w:rPr>
                <w:rFonts w:cs="Arial"/>
                <w:sz w:val="18"/>
                <w:szCs w:val="18"/>
                <w:lang w:val="en-US"/>
              </w:rPr>
            </w:pPr>
            <w:r w:rsidRPr="00C903F8">
              <w:rPr>
                <w:rFonts w:cs="Arial"/>
                <w:noProof/>
                <w:sz w:val="18"/>
                <w:szCs w:val="18"/>
                <w:lang w:val="en-US"/>
              </w:rPr>
              <w:t>Capacity-gauging devices to be legible up to maximum filling level</w:t>
            </w:r>
          </w:p>
        </w:tc>
        <w:tc>
          <w:tcPr>
            <w:tcW w:w="5387" w:type="dxa"/>
            <w:shd w:val="clear" w:color="auto" w:fill="auto"/>
          </w:tcPr>
          <w:p w:rsidR="004D56BE" w:rsidRPr="00C903F8" w:rsidRDefault="004D56BE" w:rsidP="00C01A94">
            <w:pPr>
              <w:spacing w:before="240" w:after="2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1.1.2010</w:t>
            </w:r>
          </w:p>
        </w:tc>
        <w:tc>
          <w:tcPr>
            <w:tcW w:w="1276" w:type="dxa"/>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1.4.1999</w:t>
            </w:r>
          </w:p>
        </w:tc>
      </w:tr>
      <w:tr w:rsidR="004D56BE" w:rsidRPr="00C903F8" w:rsidTr="00E67DA4">
        <w:trPr>
          <w:cantSplit/>
          <w:jc w:val="center"/>
        </w:trPr>
        <w:tc>
          <w:tcPr>
            <w:tcW w:w="1342" w:type="dxa"/>
            <w:tcBorders>
              <w:top w:val="nil"/>
            </w:tcBorders>
            <w:shd w:val="clear" w:color="auto" w:fill="auto"/>
          </w:tcPr>
          <w:p w:rsidR="004D56BE" w:rsidRPr="00C903F8" w:rsidRDefault="004D56BE" w:rsidP="00C01A94">
            <w:pPr>
              <w:spacing w:before="240" w:after="24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(13)</w:t>
            </w:r>
          </w:p>
        </w:tc>
        <w:tc>
          <w:tcPr>
            <w:tcW w:w="3296" w:type="dxa"/>
            <w:shd w:val="clear" w:color="auto" w:fill="auto"/>
          </w:tcPr>
          <w:p w:rsidR="004D56BE" w:rsidRPr="00C903F8" w:rsidRDefault="004D56BE" w:rsidP="00C01A94">
            <w:pPr>
              <w:spacing w:before="240" w:after="240" w:line="240" w:lineRule="atLeast"/>
              <w:ind w:left="0" w:firstLine="0"/>
              <w:rPr>
                <w:rFonts w:cs="Arial"/>
                <w:sz w:val="18"/>
                <w:szCs w:val="18"/>
                <w:lang w:val="en-US"/>
              </w:rPr>
            </w:pPr>
            <w:r w:rsidRPr="00C903F8">
              <w:rPr>
                <w:rFonts w:cs="Arial"/>
                <w:noProof/>
                <w:sz w:val="18"/>
                <w:szCs w:val="18"/>
                <w:lang w:val="en-US"/>
              </w:rPr>
              <w:t>Filling level control not only for main engines but also other engines needed for safe operation of the vessel</w:t>
            </w:r>
          </w:p>
        </w:tc>
        <w:tc>
          <w:tcPr>
            <w:tcW w:w="5387" w:type="dxa"/>
            <w:shd w:val="clear" w:color="auto" w:fill="auto"/>
          </w:tcPr>
          <w:p w:rsidR="004D56BE" w:rsidRPr="00C903F8" w:rsidRDefault="004D56BE" w:rsidP="00C01A94">
            <w:pPr>
              <w:spacing w:before="240" w:after="2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1.1.2015</w:t>
            </w:r>
          </w:p>
        </w:tc>
        <w:tc>
          <w:tcPr>
            <w:tcW w:w="1276" w:type="dxa"/>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1.4.1999</w:t>
            </w:r>
          </w:p>
        </w:tc>
      </w:tr>
      <w:tr w:rsidR="004D56BE" w:rsidRPr="00C903F8" w:rsidTr="00E67DA4">
        <w:trPr>
          <w:cantSplit/>
          <w:jc w:val="center"/>
        </w:trPr>
        <w:tc>
          <w:tcPr>
            <w:tcW w:w="1342" w:type="dxa"/>
            <w:shd w:val="clear" w:color="auto" w:fill="auto"/>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8.06</w:t>
            </w:r>
          </w:p>
        </w:tc>
        <w:tc>
          <w:tcPr>
            <w:tcW w:w="1458" w:type="dxa"/>
            <w:shd w:val="clear" w:color="auto" w:fill="auto"/>
          </w:tcPr>
          <w:p w:rsidR="004D56BE" w:rsidRPr="00C903F8" w:rsidRDefault="004D56BE" w:rsidP="00C01A94">
            <w:pPr>
              <w:spacing w:before="240" w:after="240" w:line="240" w:lineRule="atLeast"/>
              <w:ind w:left="0" w:firstLine="0"/>
              <w:rPr>
                <w:rFonts w:cs="Arial"/>
                <w:sz w:val="18"/>
                <w:szCs w:val="18"/>
              </w:rPr>
            </w:pPr>
          </w:p>
        </w:tc>
        <w:tc>
          <w:tcPr>
            <w:tcW w:w="3296" w:type="dxa"/>
            <w:shd w:val="clear" w:color="auto" w:fill="auto"/>
          </w:tcPr>
          <w:p w:rsidR="004D56BE" w:rsidRPr="00C903F8" w:rsidRDefault="004D56BE" w:rsidP="00C01A94">
            <w:pPr>
              <w:spacing w:before="240" w:after="240" w:line="240" w:lineRule="atLeast"/>
              <w:ind w:left="0" w:firstLine="0"/>
              <w:rPr>
                <w:rFonts w:cs="Arial"/>
                <w:sz w:val="18"/>
                <w:szCs w:val="18"/>
                <w:lang w:val="en-US"/>
              </w:rPr>
            </w:pPr>
            <w:r w:rsidRPr="00C903F8">
              <w:rPr>
                <w:rFonts w:cs="Arial"/>
                <w:noProof/>
                <w:sz w:val="18"/>
                <w:szCs w:val="18"/>
                <w:lang w:val="en-US"/>
              </w:rPr>
              <w:t>Tanks for lubricating oil, pipes and accessories</w:t>
            </w:r>
          </w:p>
        </w:tc>
        <w:tc>
          <w:tcPr>
            <w:tcW w:w="5387" w:type="dxa"/>
            <w:shd w:val="clear" w:color="auto" w:fill="auto"/>
          </w:tcPr>
          <w:p w:rsidR="004D56BE" w:rsidRPr="00C903F8" w:rsidRDefault="004D56BE" w:rsidP="00C01A94">
            <w:pPr>
              <w:spacing w:before="240" w:after="2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1.4.2007</w:t>
            </w:r>
          </w:p>
        </w:tc>
      </w:tr>
      <w:tr w:rsidR="004D56BE" w:rsidRPr="00C903F8" w:rsidTr="00C01A94">
        <w:trPr>
          <w:cantSplit/>
          <w:jc w:val="center"/>
        </w:trPr>
        <w:tc>
          <w:tcPr>
            <w:tcW w:w="1342" w:type="dxa"/>
            <w:shd w:val="clear" w:color="auto" w:fill="auto"/>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8.07</w:t>
            </w:r>
          </w:p>
        </w:tc>
        <w:tc>
          <w:tcPr>
            <w:tcW w:w="1458" w:type="dxa"/>
            <w:shd w:val="clear" w:color="auto" w:fill="auto"/>
          </w:tcPr>
          <w:p w:rsidR="004D56BE" w:rsidRPr="00C903F8" w:rsidRDefault="004D56BE" w:rsidP="00C01A94">
            <w:pPr>
              <w:spacing w:before="240" w:after="240" w:line="240" w:lineRule="atLeast"/>
              <w:ind w:left="0" w:firstLine="0"/>
              <w:rPr>
                <w:rFonts w:cs="Arial"/>
                <w:sz w:val="18"/>
                <w:szCs w:val="18"/>
              </w:rPr>
            </w:pPr>
          </w:p>
        </w:tc>
        <w:tc>
          <w:tcPr>
            <w:tcW w:w="3296" w:type="dxa"/>
            <w:shd w:val="clear" w:color="auto" w:fill="auto"/>
          </w:tcPr>
          <w:p w:rsidR="004D56BE" w:rsidRPr="00C903F8" w:rsidRDefault="004D56BE" w:rsidP="00C01A94">
            <w:pPr>
              <w:spacing w:before="240" w:after="240" w:line="240" w:lineRule="atLeast"/>
              <w:ind w:left="0" w:firstLine="0"/>
              <w:rPr>
                <w:rFonts w:cs="Arial"/>
                <w:sz w:val="18"/>
                <w:szCs w:val="18"/>
                <w:lang w:val="en-US"/>
              </w:rPr>
            </w:pPr>
            <w:r w:rsidRPr="00C903F8">
              <w:rPr>
                <w:rFonts w:cs="Arial"/>
                <w:noProof/>
                <w:sz w:val="18"/>
                <w:szCs w:val="18"/>
                <w:lang w:val="en-US"/>
              </w:rPr>
              <w:t>Tanks for oils in power transmission systems, control and activating systems and heating systems, pipes and accessories</w:t>
            </w:r>
          </w:p>
        </w:tc>
        <w:tc>
          <w:tcPr>
            <w:tcW w:w="5387" w:type="dxa"/>
            <w:shd w:val="clear" w:color="auto" w:fill="auto"/>
          </w:tcPr>
          <w:p w:rsidR="004D56BE" w:rsidRPr="00C903F8" w:rsidRDefault="004D56BE" w:rsidP="00C01A94">
            <w:pPr>
              <w:spacing w:before="240" w:after="2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1.1.2045</w:t>
            </w:r>
          </w:p>
        </w:tc>
        <w:tc>
          <w:tcPr>
            <w:tcW w:w="1276" w:type="dxa"/>
            <w:tcBorders>
              <w:bottom w:val="single" w:sz="4" w:space="0" w:color="auto"/>
            </w:tcBorders>
          </w:tcPr>
          <w:p w:rsidR="004D56BE" w:rsidRPr="00C903F8" w:rsidRDefault="004D56BE" w:rsidP="00C01A94">
            <w:pPr>
              <w:spacing w:before="240" w:after="240" w:line="240" w:lineRule="atLeast"/>
              <w:ind w:left="0" w:firstLine="0"/>
              <w:rPr>
                <w:rFonts w:cs="Arial"/>
                <w:sz w:val="18"/>
                <w:szCs w:val="18"/>
              </w:rPr>
            </w:pPr>
            <w:r w:rsidRPr="00C903F8">
              <w:rPr>
                <w:rFonts w:cs="Arial"/>
                <w:sz w:val="18"/>
                <w:szCs w:val="18"/>
              </w:rPr>
              <w:t>1.4.2007</w:t>
            </w:r>
          </w:p>
        </w:tc>
      </w:tr>
      <w:tr w:rsidR="004D56BE" w:rsidRPr="00C01A94" w:rsidTr="00C01A94">
        <w:trPr>
          <w:cantSplit/>
          <w:jc w:val="center"/>
        </w:trPr>
        <w:tc>
          <w:tcPr>
            <w:tcW w:w="6096" w:type="dxa"/>
            <w:gridSpan w:val="3"/>
            <w:tcBorders>
              <w:bottom w:val="single" w:sz="4" w:space="0" w:color="auto"/>
            </w:tcBorders>
            <w:shd w:val="clear" w:color="auto" w:fill="auto"/>
          </w:tcPr>
          <w:p w:rsidR="004D56BE" w:rsidRPr="00C903F8" w:rsidRDefault="004D56BE" w:rsidP="00C01A94">
            <w:pPr>
              <w:spacing w:before="80" w:after="80" w:line="240" w:lineRule="atLeast"/>
              <w:ind w:left="0" w:firstLine="0"/>
              <w:jc w:val="center"/>
              <w:rPr>
                <w:rFonts w:cs="Arial"/>
                <w:sz w:val="18"/>
                <w:szCs w:val="18"/>
              </w:rPr>
            </w:pPr>
            <w:r w:rsidRPr="00C903F8">
              <w:rPr>
                <w:rFonts w:cs="Arial"/>
                <w:b/>
                <w:sz w:val="18"/>
                <w:szCs w:val="18"/>
              </w:rPr>
              <w:t>CHAPTER 9</w:t>
            </w:r>
          </w:p>
        </w:tc>
        <w:tc>
          <w:tcPr>
            <w:tcW w:w="5387" w:type="dxa"/>
            <w:tcBorders>
              <w:bottom w:val="single" w:sz="4" w:space="0" w:color="auto"/>
            </w:tcBorders>
            <w:shd w:val="clear" w:color="auto" w:fill="auto"/>
          </w:tcPr>
          <w:p w:rsidR="004D56BE" w:rsidRPr="00C01A94" w:rsidRDefault="004D56BE" w:rsidP="00C01A94">
            <w:pPr>
              <w:spacing w:before="80" w:after="80" w:line="240" w:lineRule="atLeast"/>
              <w:ind w:left="0" w:firstLine="0"/>
              <w:rPr>
                <w:rFonts w:cs="Arial"/>
                <w:sz w:val="18"/>
                <w:szCs w:val="18"/>
                <w:lang w:val="en-US"/>
              </w:rPr>
            </w:pPr>
            <w:r w:rsidRPr="004B606C">
              <w:rPr>
                <w:rFonts w:eastAsia="Calibri" w:cs="Arial"/>
                <w:sz w:val="18"/>
                <w:szCs w:val="18"/>
                <w:lang w:val="en-US"/>
              </w:rPr>
              <w:t>For engines which are already installed onboard and non type-approved, only Article 9.02 applies.</w:t>
            </w:r>
          </w:p>
        </w:tc>
        <w:tc>
          <w:tcPr>
            <w:tcW w:w="1276" w:type="dxa"/>
            <w:tcBorders>
              <w:bottom w:val="single" w:sz="4" w:space="0" w:color="auto"/>
            </w:tcBorders>
            <w:shd w:val="clear" w:color="auto" w:fill="auto"/>
          </w:tcPr>
          <w:p w:rsidR="004D56BE" w:rsidRPr="00C01A94" w:rsidRDefault="004D56BE" w:rsidP="00C01A94">
            <w:pPr>
              <w:spacing w:before="80" w:after="80" w:line="240" w:lineRule="atLeast"/>
              <w:ind w:left="0" w:firstLine="0"/>
              <w:rPr>
                <w:rFonts w:cs="Arial"/>
                <w:sz w:val="18"/>
                <w:szCs w:val="18"/>
                <w:lang w:val="en-US"/>
              </w:rPr>
            </w:pPr>
          </w:p>
        </w:tc>
        <w:tc>
          <w:tcPr>
            <w:tcW w:w="1276" w:type="dxa"/>
            <w:tcBorders>
              <w:bottom w:val="nil"/>
            </w:tcBorders>
          </w:tcPr>
          <w:p w:rsidR="004D56BE" w:rsidRPr="00C01A94" w:rsidRDefault="004D56BE" w:rsidP="00C01A94">
            <w:pPr>
              <w:spacing w:before="80" w:after="80" w:line="240" w:lineRule="atLeast"/>
              <w:ind w:left="0" w:firstLine="0"/>
              <w:rPr>
                <w:rFonts w:cs="Arial"/>
                <w:sz w:val="18"/>
                <w:szCs w:val="18"/>
                <w:lang w:val="en-US"/>
              </w:rPr>
            </w:pPr>
            <w:r w:rsidRPr="004B606C">
              <w:rPr>
                <w:rFonts w:eastAsia="Calibri" w:cs="Arial"/>
                <w:sz w:val="18"/>
                <w:szCs w:val="18"/>
              </w:rPr>
              <w:t>7.10.2018</w:t>
            </w:r>
          </w:p>
        </w:tc>
      </w:tr>
      <w:tr w:rsidR="004D56BE" w:rsidRPr="00296858" w:rsidTr="00C01A94">
        <w:trPr>
          <w:cantSplit/>
          <w:jc w:val="center"/>
        </w:trPr>
        <w:tc>
          <w:tcPr>
            <w:tcW w:w="1342" w:type="dxa"/>
            <w:tcBorders>
              <w:bottom w:val="single" w:sz="4" w:space="0" w:color="auto"/>
            </w:tcBorders>
            <w:shd w:val="clear" w:color="auto" w:fill="auto"/>
          </w:tcPr>
          <w:p w:rsidR="004D56BE" w:rsidRPr="004B606C" w:rsidRDefault="004D56BE" w:rsidP="00C01A94">
            <w:pPr>
              <w:spacing w:before="80" w:after="80" w:line="240" w:lineRule="atLeast"/>
              <w:rPr>
                <w:rFonts w:eastAsia="Calibri" w:cs="Arial"/>
                <w:sz w:val="18"/>
                <w:szCs w:val="18"/>
              </w:rPr>
            </w:pPr>
            <w:r w:rsidRPr="004B606C">
              <w:rPr>
                <w:sz w:val="18"/>
                <w:szCs w:val="18"/>
              </w:rPr>
              <w:lastRenderedPageBreak/>
              <w:t>9.01</w:t>
            </w:r>
          </w:p>
        </w:tc>
        <w:tc>
          <w:tcPr>
            <w:tcW w:w="1458" w:type="dxa"/>
            <w:tcBorders>
              <w:bottom w:val="single" w:sz="4" w:space="0" w:color="auto"/>
            </w:tcBorders>
            <w:shd w:val="clear" w:color="auto" w:fill="auto"/>
          </w:tcPr>
          <w:p w:rsidR="004D56BE" w:rsidRPr="004B606C" w:rsidRDefault="004D56BE" w:rsidP="00C01A94">
            <w:pPr>
              <w:spacing w:before="80" w:after="80" w:line="240" w:lineRule="atLeast"/>
              <w:rPr>
                <w:rFonts w:eastAsia="Calibri" w:cs="Arial"/>
                <w:sz w:val="18"/>
                <w:szCs w:val="18"/>
              </w:rPr>
            </w:pPr>
            <w:r w:rsidRPr="004B606C">
              <w:rPr>
                <w:sz w:val="18"/>
                <w:szCs w:val="18"/>
              </w:rPr>
              <w:t>(1) to (4)</w:t>
            </w:r>
          </w:p>
        </w:tc>
        <w:tc>
          <w:tcPr>
            <w:tcW w:w="3296" w:type="dxa"/>
            <w:tcBorders>
              <w:bottom w:val="single" w:sz="4" w:space="0" w:color="auto"/>
            </w:tcBorders>
            <w:shd w:val="clear" w:color="auto" w:fill="auto"/>
          </w:tcPr>
          <w:p w:rsidR="004D56BE" w:rsidRPr="004B606C" w:rsidRDefault="004D56BE" w:rsidP="00C01A94">
            <w:pPr>
              <w:spacing w:before="80" w:after="80" w:line="240" w:lineRule="atLeast"/>
              <w:rPr>
                <w:rFonts w:eastAsia="Calibri" w:cs="Arial"/>
                <w:sz w:val="18"/>
                <w:szCs w:val="18"/>
              </w:rPr>
            </w:pPr>
            <w:r w:rsidRPr="004B606C">
              <w:rPr>
                <w:sz w:val="18"/>
                <w:szCs w:val="18"/>
              </w:rPr>
              <w:t>General provisions</w:t>
            </w:r>
          </w:p>
        </w:tc>
        <w:tc>
          <w:tcPr>
            <w:tcW w:w="5387" w:type="dxa"/>
            <w:vMerge w:val="restart"/>
            <w:tcBorders>
              <w:right w:val="single" w:sz="4" w:space="0" w:color="auto"/>
            </w:tcBorders>
            <w:shd w:val="clear" w:color="auto" w:fill="auto"/>
            <w:vAlign w:val="center"/>
          </w:tcPr>
          <w:p w:rsidR="004D56BE" w:rsidRPr="00C903F8" w:rsidRDefault="004D56BE" w:rsidP="00877ACC">
            <w:pPr>
              <w:spacing w:before="80" w:after="80" w:line="240" w:lineRule="atLeast"/>
              <w:ind w:left="0" w:firstLine="0"/>
              <w:rPr>
                <w:rFonts w:cs="Arial"/>
                <w:sz w:val="18"/>
                <w:szCs w:val="18"/>
                <w:lang w:val="en-US"/>
              </w:rPr>
            </w:pPr>
            <w:r w:rsidRPr="004B606C">
              <w:rPr>
                <w:sz w:val="18"/>
                <w:szCs w:val="18"/>
                <w:lang w:val="en-US"/>
              </w:rPr>
              <w:t>For engines complying with the type and installation provisions in force at the date of installation: N.R.</w:t>
            </w:r>
          </w:p>
        </w:tc>
        <w:tc>
          <w:tcPr>
            <w:tcW w:w="1276" w:type="dxa"/>
            <w:tcBorders>
              <w:left w:val="single" w:sz="4" w:space="0" w:color="auto"/>
              <w:bottom w:val="nil"/>
            </w:tcBorders>
            <w:shd w:val="clear" w:color="auto" w:fill="auto"/>
          </w:tcPr>
          <w:p w:rsidR="004D56BE" w:rsidRPr="00C903F8" w:rsidRDefault="004D56BE" w:rsidP="00C01A94">
            <w:pPr>
              <w:spacing w:before="80" w:after="80" w:line="240" w:lineRule="atLeast"/>
              <w:ind w:left="0" w:firstLine="0"/>
              <w:rPr>
                <w:rFonts w:cs="Arial"/>
                <w:sz w:val="18"/>
                <w:szCs w:val="18"/>
                <w:lang w:val="en-US"/>
              </w:rPr>
            </w:pPr>
          </w:p>
        </w:tc>
        <w:tc>
          <w:tcPr>
            <w:tcW w:w="1276" w:type="dxa"/>
            <w:tcBorders>
              <w:top w:val="nil"/>
              <w:bottom w:val="nil"/>
            </w:tcBorders>
          </w:tcPr>
          <w:p w:rsidR="004D56BE" w:rsidRPr="00C903F8" w:rsidRDefault="004D56BE" w:rsidP="00C01A94">
            <w:pPr>
              <w:spacing w:before="80" w:after="80" w:line="240" w:lineRule="atLeast"/>
              <w:ind w:left="0" w:firstLine="0"/>
              <w:rPr>
                <w:rFonts w:cs="Arial"/>
                <w:sz w:val="18"/>
                <w:szCs w:val="18"/>
                <w:lang w:val="en-US"/>
              </w:rPr>
            </w:pPr>
          </w:p>
        </w:tc>
      </w:tr>
      <w:tr w:rsidR="004D56BE" w:rsidRPr="00C01A94" w:rsidTr="00C01A94">
        <w:trPr>
          <w:cantSplit/>
          <w:jc w:val="center"/>
        </w:trPr>
        <w:tc>
          <w:tcPr>
            <w:tcW w:w="1342" w:type="dxa"/>
            <w:tcBorders>
              <w:top w:val="single" w:sz="4" w:space="0" w:color="auto"/>
              <w:bottom w:val="single" w:sz="4" w:space="0" w:color="auto"/>
              <w:right w:val="single" w:sz="4" w:space="0" w:color="auto"/>
            </w:tcBorders>
            <w:shd w:val="clear" w:color="auto" w:fill="auto"/>
          </w:tcPr>
          <w:p w:rsidR="004D56BE" w:rsidRPr="004B606C" w:rsidRDefault="004D56BE" w:rsidP="00C01A94">
            <w:pPr>
              <w:spacing w:before="80" w:after="80" w:line="240" w:lineRule="atLeast"/>
              <w:rPr>
                <w:sz w:val="18"/>
                <w:szCs w:val="18"/>
              </w:rPr>
            </w:pPr>
            <w:r w:rsidRPr="004B606C">
              <w:rPr>
                <w:sz w:val="18"/>
                <w:szCs w:val="18"/>
              </w:rPr>
              <w:t>9.06</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4D56BE" w:rsidRPr="004B606C" w:rsidRDefault="004D56BE" w:rsidP="00C01A94">
            <w:pPr>
              <w:spacing w:before="80" w:after="80" w:line="240" w:lineRule="atLeast"/>
              <w:rPr>
                <w:sz w:val="18"/>
                <w:szCs w:val="18"/>
              </w:rPr>
            </w:pPr>
          </w:p>
        </w:tc>
        <w:tc>
          <w:tcPr>
            <w:tcW w:w="3296" w:type="dxa"/>
            <w:tcBorders>
              <w:top w:val="single" w:sz="4" w:space="0" w:color="auto"/>
              <w:left w:val="single" w:sz="4" w:space="0" w:color="auto"/>
              <w:bottom w:val="single" w:sz="4" w:space="0" w:color="auto"/>
            </w:tcBorders>
            <w:shd w:val="clear" w:color="auto" w:fill="auto"/>
          </w:tcPr>
          <w:p w:rsidR="004D56BE" w:rsidRPr="004B606C" w:rsidRDefault="004D56BE" w:rsidP="00C01A94">
            <w:pPr>
              <w:spacing w:before="80" w:after="80" w:line="240" w:lineRule="atLeast"/>
              <w:rPr>
                <w:sz w:val="18"/>
                <w:szCs w:val="18"/>
                <w:lang w:val="en-US"/>
              </w:rPr>
            </w:pPr>
            <w:r w:rsidRPr="004B606C">
              <w:rPr>
                <w:sz w:val="18"/>
                <w:szCs w:val="18"/>
                <w:lang w:val="en-US"/>
              </w:rPr>
              <w:t>Installation test</w:t>
            </w:r>
          </w:p>
        </w:tc>
        <w:tc>
          <w:tcPr>
            <w:tcW w:w="5387" w:type="dxa"/>
            <w:vMerge/>
            <w:tcBorders>
              <w:right w:val="single" w:sz="4" w:space="0" w:color="auto"/>
            </w:tcBorders>
            <w:shd w:val="clear" w:color="auto" w:fill="auto"/>
          </w:tcPr>
          <w:p w:rsidR="004D56BE" w:rsidRPr="00C903F8" w:rsidRDefault="004D56BE" w:rsidP="00C01A94">
            <w:pPr>
              <w:pStyle w:val="tbl-norm"/>
              <w:spacing w:before="80" w:beforeAutospacing="0" w:after="80" w:afterAutospacing="0" w:line="240" w:lineRule="atLeast"/>
              <w:jc w:val="both"/>
              <w:rPr>
                <w:rFonts w:cs="Arial"/>
                <w:sz w:val="18"/>
                <w:szCs w:val="18"/>
                <w:lang w:val="en-US"/>
              </w:rPr>
            </w:pPr>
          </w:p>
        </w:tc>
        <w:tc>
          <w:tcPr>
            <w:tcW w:w="1276" w:type="dxa"/>
            <w:tcBorders>
              <w:top w:val="nil"/>
              <w:left w:val="single" w:sz="4" w:space="0" w:color="auto"/>
              <w:right w:val="single" w:sz="4" w:space="0" w:color="auto"/>
            </w:tcBorders>
            <w:shd w:val="clear" w:color="auto" w:fill="auto"/>
          </w:tcPr>
          <w:p w:rsidR="004D56BE" w:rsidRPr="00C903F8" w:rsidRDefault="004D56BE" w:rsidP="00C01A94">
            <w:pPr>
              <w:spacing w:before="80" w:after="80" w:line="240" w:lineRule="atLeast"/>
              <w:ind w:left="0" w:firstLine="0"/>
              <w:rPr>
                <w:rFonts w:cs="Arial"/>
                <w:sz w:val="18"/>
                <w:szCs w:val="18"/>
                <w:lang w:val="en-US"/>
              </w:rPr>
            </w:pPr>
          </w:p>
        </w:tc>
        <w:tc>
          <w:tcPr>
            <w:tcW w:w="1276" w:type="dxa"/>
            <w:tcBorders>
              <w:top w:val="nil"/>
              <w:left w:val="single" w:sz="4" w:space="0" w:color="auto"/>
            </w:tcBorders>
          </w:tcPr>
          <w:p w:rsidR="004D56BE" w:rsidRPr="00C903F8" w:rsidRDefault="004D56BE" w:rsidP="00C01A94">
            <w:pPr>
              <w:spacing w:before="80" w:after="80" w:line="240" w:lineRule="atLeast"/>
              <w:ind w:left="0" w:firstLine="0"/>
              <w:rPr>
                <w:rFonts w:cs="Arial"/>
                <w:sz w:val="18"/>
                <w:szCs w:val="18"/>
                <w:lang w:val="en-US"/>
              </w:rPr>
            </w:pPr>
          </w:p>
        </w:tc>
      </w:tr>
      <w:tr w:rsidR="004D56BE" w:rsidRPr="00C903F8" w:rsidTr="005034E6">
        <w:trPr>
          <w:cantSplit/>
          <w:jc w:val="center"/>
        </w:trPr>
        <w:tc>
          <w:tcPr>
            <w:tcW w:w="6096" w:type="dxa"/>
            <w:gridSpan w:val="3"/>
            <w:tcBorders>
              <w:top w:val="single" w:sz="4" w:space="0" w:color="auto"/>
            </w:tcBorders>
            <w:shd w:val="clear" w:color="auto" w:fill="auto"/>
          </w:tcPr>
          <w:p w:rsidR="004D56BE" w:rsidRPr="00852DB3" w:rsidRDefault="004D56BE" w:rsidP="00C01A94">
            <w:pPr>
              <w:spacing w:before="80" w:after="80" w:line="240" w:lineRule="atLeast"/>
              <w:jc w:val="center"/>
              <w:rPr>
                <w:rFonts w:cs="Arial"/>
                <w:b/>
                <w:sz w:val="18"/>
                <w:szCs w:val="18"/>
              </w:rPr>
            </w:pPr>
            <w:r>
              <w:rPr>
                <w:rFonts w:cs="Arial"/>
                <w:b/>
                <w:sz w:val="18"/>
                <w:szCs w:val="18"/>
              </w:rPr>
              <w:t>CHAPTER 10</w:t>
            </w:r>
          </w:p>
        </w:tc>
        <w:tc>
          <w:tcPr>
            <w:tcW w:w="5387" w:type="dxa"/>
            <w:shd w:val="clear" w:color="auto" w:fill="auto"/>
          </w:tcPr>
          <w:p w:rsidR="004D56BE" w:rsidRPr="00852DB3" w:rsidRDefault="004D56BE" w:rsidP="00C01A94">
            <w:pPr>
              <w:spacing w:before="80" w:after="80" w:line="240" w:lineRule="atLeast"/>
              <w:jc w:val="center"/>
              <w:rPr>
                <w:rFonts w:cs="Arial"/>
                <w:sz w:val="18"/>
                <w:szCs w:val="18"/>
              </w:rPr>
            </w:pPr>
          </w:p>
        </w:tc>
        <w:tc>
          <w:tcPr>
            <w:tcW w:w="1276" w:type="dxa"/>
            <w:shd w:val="clear" w:color="auto" w:fill="auto"/>
          </w:tcPr>
          <w:p w:rsidR="004D56BE" w:rsidRPr="00852DB3" w:rsidRDefault="004D56BE" w:rsidP="00C01A94">
            <w:pPr>
              <w:spacing w:before="80" w:after="80" w:line="240" w:lineRule="atLeast"/>
              <w:jc w:val="center"/>
              <w:rPr>
                <w:rFonts w:cs="Arial"/>
                <w:sz w:val="18"/>
                <w:szCs w:val="18"/>
              </w:rPr>
            </w:pPr>
          </w:p>
        </w:tc>
        <w:tc>
          <w:tcPr>
            <w:tcW w:w="1276" w:type="dxa"/>
          </w:tcPr>
          <w:p w:rsidR="004D56BE" w:rsidRPr="00852DB3" w:rsidRDefault="004D56BE" w:rsidP="00C01A94">
            <w:pPr>
              <w:spacing w:before="80" w:after="80" w:line="240" w:lineRule="atLeast"/>
              <w:jc w:val="center"/>
              <w:rPr>
                <w:rFonts w:cs="Arial"/>
                <w:sz w:val="18"/>
                <w:szCs w:val="18"/>
              </w:rPr>
            </w:pPr>
          </w:p>
        </w:tc>
      </w:tr>
      <w:tr w:rsidR="004D56BE" w:rsidRPr="00C903F8" w:rsidTr="00A5358D">
        <w:trPr>
          <w:cantSplit/>
          <w:jc w:val="center"/>
        </w:trPr>
        <w:tc>
          <w:tcPr>
            <w:tcW w:w="1342" w:type="dxa"/>
            <w:vMerge w:val="restart"/>
            <w:shd w:val="clear" w:color="auto" w:fill="auto"/>
          </w:tcPr>
          <w:p w:rsidR="004D56BE" w:rsidRPr="004B4203" w:rsidRDefault="004D56BE" w:rsidP="00C01A94">
            <w:pPr>
              <w:spacing w:before="80" w:after="80" w:line="240" w:lineRule="atLeast"/>
              <w:rPr>
                <w:rFonts w:cs="Arial"/>
                <w:sz w:val="18"/>
                <w:szCs w:val="18"/>
                <w:lang w:val="en-GB" w:eastAsia="de-DE"/>
              </w:rPr>
            </w:pPr>
            <w:r>
              <w:rPr>
                <w:rFonts w:cs="Arial"/>
                <w:sz w:val="18"/>
                <w:szCs w:val="18"/>
                <w:lang w:val="en-GB" w:eastAsia="de-DE"/>
              </w:rPr>
              <w:t>10.01</w:t>
            </w:r>
          </w:p>
        </w:tc>
        <w:tc>
          <w:tcPr>
            <w:tcW w:w="1458" w:type="dxa"/>
            <w:shd w:val="clear" w:color="auto" w:fill="auto"/>
          </w:tcPr>
          <w:p w:rsidR="004D56BE" w:rsidRPr="00852DB3" w:rsidRDefault="004D56BE" w:rsidP="00AA3519">
            <w:pPr>
              <w:spacing w:before="80" w:after="80" w:line="240" w:lineRule="atLeast"/>
              <w:rPr>
                <w:rFonts w:cs="Arial"/>
                <w:sz w:val="18"/>
                <w:szCs w:val="18"/>
              </w:rPr>
            </w:pPr>
            <w:r w:rsidRPr="004B4203">
              <w:rPr>
                <w:rFonts w:cs="Arial"/>
                <w:sz w:val="18"/>
                <w:szCs w:val="18"/>
              </w:rPr>
              <w:t>(2)(e)</w:t>
            </w:r>
          </w:p>
        </w:tc>
        <w:tc>
          <w:tcPr>
            <w:tcW w:w="3296" w:type="dxa"/>
            <w:shd w:val="clear" w:color="auto" w:fill="auto"/>
          </w:tcPr>
          <w:p w:rsidR="004D56BE" w:rsidRPr="00F9107C" w:rsidRDefault="004D56BE" w:rsidP="00C01A94">
            <w:pPr>
              <w:spacing w:before="80" w:after="80" w:line="240" w:lineRule="atLeast"/>
              <w:ind w:left="0" w:firstLine="0"/>
              <w:rPr>
                <w:rFonts w:cs="Arial"/>
                <w:noProof/>
                <w:sz w:val="18"/>
                <w:szCs w:val="18"/>
                <w:lang w:val="en-US"/>
              </w:rPr>
            </w:pPr>
            <w:r w:rsidRPr="00F9107C">
              <w:rPr>
                <w:rFonts w:cs="Arial"/>
                <w:noProof/>
                <w:sz w:val="18"/>
                <w:szCs w:val="18"/>
                <w:lang w:val="en-US"/>
              </w:rPr>
              <w:t>Switchboard plans as well as electric propulsion engine documentation</w:t>
            </w:r>
          </w:p>
        </w:tc>
        <w:tc>
          <w:tcPr>
            <w:tcW w:w="5387" w:type="dxa"/>
            <w:shd w:val="clear" w:color="auto" w:fill="auto"/>
          </w:tcPr>
          <w:p w:rsidR="004D56BE" w:rsidRPr="00852DB3" w:rsidRDefault="004D56BE" w:rsidP="00C01A94">
            <w:pPr>
              <w:spacing w:before="8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C01A94">
            <w:pPr>
              <w:spacing w:before="80" w:after="80" w:line="240" w:lineRule="atLeast"/>
              <w:jc w:val="center"/>
              <w:rPr>
                <w:rFonts w:cs="Arial"/>
                <w:sz w:val="18"/>
                <w:szCs w:val="18"/>
              </w:rPr>
            </w:pPr>
          </w:p>
        </w:tc>
        <w:tc>
          <w:tcPr>
            <w:tcW w:w="1276" w:type="dxa"/>
          </w:tcPr>
          <w:p w:rsidR="004D56BE" w:rsidRPr="004B4203" w:rsidRDefault="004D56BE" w:rsidP="00C01A94">
            <w:pPr>
              <w:spacing w:before="80" w:after="8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4B4203" w:rsidRDefault="004D56BE" w:rsidP="00C01A94">
            <w:pPr>
              <w:spacing w:before="80" w:after="80" w:line="240" w:lineRule="atLeast"/>
              <w:rPr>
                <w:rFonts w:cs="Arial"/>
                <w:sz w:val="18"/>
                <w:szCs w:val="18"/>
                <w:lang w:val="en-GB" w:eastAsia="de-DE"/>
              </w:rPr>
            </w:pPr>
          </w:p>
        </w:tc>
        <w:tc>
          <w:tcPr>
            <w:tcW w:w="1458" w:type="dxa"/>
            <w:shd w:val="clear" w:color="auto" w:fill="auto"/>
          </w:tcPr>
          <w:p w:rsidR="004D56BE" w:rsidRPr="00852DB3" w:rsidRDefault="004D56BE" w:rsidP="00AA3519">
            <w:pPr>
              <w:spacing w:before="80" w:after="80" w:line="240" w:lineRule="atLeast"/>
              <w:rPr>
                <w:rFonts w:cs="Arial"/>
                <w:sz w:val="18"/>
                <w:szCs w:val="18"/>
              </w:rPr>
            </w:pPr>
            <w:r w:rsidRPr="004B4203">
              <w:rPr>
                <w:rFonts w:cs="Arial"/>
                <w:sz w:val="18"/>
                <w:szCs w:val="18"/>
              </w:rPr>
              <w:t>(2)(f)</w:t>
            </w:r>
          </w:p>
        </w:tc>
        <w:tc>
          <w:tcPr>
            <w:tcW w:w="3296" w:type="dxa"/>
            <w:shd w:val="clear" w:color="auto" w:fill="auto"/>
          </w:tcPr>
          <w:p w:rsidR="004D56BE" w:rsidRPr="00F9107C" w:rsidRDefault="004D56BE" w:rsidP="00C01A94">
            <w:pPr>
              <w:spacing w:before="80" w:after="80" w:line="240" w:lineRule="atLeast"/>
              <w:ind w:left="0" w:firstLine="0"/>
              <w:rPr>
                <w:rFonts w:cs="Arial"/>
                <w:noProof/>
                <w:sz w:val="18"/>
                <w:szCs w:val="18"/>
                <w:lang w:val="en-US"/>
              </w:rPr>
            </w:pPr>
            <w:r w:rsidRPr="00F9107C">
              <w:rPr>
                <w:rFonts w:cs="Arial"/>
                <w:noProof/>
                <w:sz w:val="18"/>
                <w:szCs w:val="18"/>
                <w:lang w:val="en-US"/>
              </w:rPr>
              <w:t>Plans for electronic systems</w:t>
            </w:r>
          </w:p>
        </w:tc>
        <w:tc>
          <w:tcPr>
            <w:tcW w:w="5387" w:type="dxa"/>
            <w:shd w:val="clear" w:color="auto" w:fill="auto"/>
          </w:tcPr>
          <w:p w:rsidR="004D56BE" w:rsidRPr="00852DB3" w:rsidRDefault="004D56BE" w:rsidP="00C01A94">
            <w:pPr>
              <w:spacing w:before="8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C01A94">
            <w:pPr>
              <w:spacing w:before="80" w:after="80" w:line="240" w:lineRule="atLeast"/>
              <w:jc w:val="center"/>
              <w:rPr>
                <w:rFonts w:cs="Arial"/>
                <w:sz w:val="18"/>
                <w:szCs w:val="18"/>
              </w:rPr>
            </w:pPr>
          </w:p>
        </w:tc>
        <w:tc>
          <w:tcPr>
            <w:tcW w:w="1276" w:type="dxa"/>
          </w:tcPr>
          <w:p w:rsidR="004D56BE" w:rsidRPr="004B4203" w:rsidRDefault="004D56BE" w:rsidP="00C01A94">
            <w:pPr>
              <w:spacing w:before="80" w:after="8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4B4203" w:rsidRDefault="004D56BE" w:rsidP="00C01A94">
            <w:pPr>
              <w:spacing w:before="80" w:after="80" w:line="240" w:lineRule="atLeast"/>
              <w:rPr>
                <w:rFonts w:cs="Arial"/>
                <w:sz w:val="18"/>
                <w:szCs w:val="18"/>
                <w:lang w:val="en-GB" w:eastAsia="de-DE"/>
              </w:rPr>
            </w:pPr>
          </w:p>
        </w:tc>
        <w:tc>
          <w:tcPr>
            <w:tcW w:w="1458" w:type="dxa"/>
            <w:shd w:val="clear" w:color="auto" w:fill="auto"/>
          </w:tcPr>
          <w:p w:rsidR="004D56BE" w:rsidRPr="00852DB3" w:rsidRDefault="004D56BE" w:rsidP="00AA3519">
            <w:pPr>
              <w:spacing w:before="80" w:after="80" w:line="240" w:lineRule="atLeast"/>
              <w:rPr>
                <w:rFonts w:cs="Arial"/>
                <w:sz w:val="18"/>
                <w:szCs w:val="18"/>
              </w:rPr>
            </w:pPr>
            <w:r w:rsidRPr="004B4203">
              <w:rPr>
                <w:rFonts w:cs="Arial"/>
                <w:sz w:val="18"/>
                <w:szCs w:val="18"/>
              </w:rPr>
              <w:t>(2)(g)</w:t>
            </w:r>
          </w:p>
        </w:tc>
        <w:tc>
          <w:tcPr>
            <w:tcW w:w="3296" w:type="dxa"/>
            <w:shd w:val="clear" w:color="auto" w:fill="auto"/>
          </w:tcPr>
          <w:p w:rsidR="004D56BE" w:rsidRPr="00F9107C" w:rsidRDefault="004D56BE" w:rsidP="00C01A94">
            <w:pPr>
              <w:spacing w:before="80" w:after="80" w:line="240" w:lineRule="atLeast"/>
              <w:ind w:left="0" w:firstLine="0"/>
              <w:rPr>
                <w:rFonts w:cs="Arial"/>
                <w:noProof/>
                <w:sz w:val="18"/>
                <w:szCs w:val="18"/>
                <w:lang w:val="en-US"/>
              </w:rPr>
            </w:pPr>
            <w:r>
              <w:rPr>
                <w:rFonts w:cs="Arial"/>
                <w:noProof/>
                <w:sz w:val="18"/>
                <w:szCs w:val="18"/>
                <w:lang w:val="en-US"/>
              </w:rPr>
              <w:t>C</w:t>
            </w:r>
            <w:r w:rsidRPr="00F9107C">
              <w:rPr>
                <w:rFonts w:cs="Arial"/>
                <w:noProof/>
                <w:sz w:val="18"/>
                <w:szCs w:val="18"/>
                <w:lang w:val="en-US"/>
              </w:rPr>
              <w:t>ontrol circuit plans</w:t>
            </w:r>
          </w:p>
        </w:tc>
        <w:tc>
          <w:tcPr>
            <w:tcW w:w="5387" w:type="dxa"/>
            <w:shd w:val="clear" w:color="auto" w:fill="auto"/>
          </w:tcPr>
          <w:p w:rsidR="004D56BE" w:rsidRPr="00852DB3" w:rsidRDefault="004D56BE" w:rsidP="00C01A94">
            <w:pPr>
              <w:spacing w:before="8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C01A94">
            <w:pPr>
              <w:spacing w:before="80" w:after="80" w:line="240" w:lineRule="atLeast"/>
              <w:jc w:val="center"/>
              <w:rPr>
                <w:rFonts w:cs="Arial"/>
                <w:sz w:val="18"/>
                <w:szCs w:val="18"/>
              </w:rPr>
            </w:pPr>
          </w:p>
        </w:tc>
        <w:tc>
          <w:tcPr>
            <w:tcW w:w="1276" w:type="dxa"/>
          </w:tcPr>
          <w:p w:rsidR="004D56BE" w:rsidRPr="004B4203" w:rsidRDefault="004D56BE" w:rsidP="00C01A94">
            <w:pPr>
              <w:spacing w:before="80" w:after="80" w:line="240" w:lineRule="atLeast"/>
              <w:jc w:val="center"/>
              <w:rPr>
                <w:rFonts w:cs="Arial"/>
                <w:sz w:val="18"/>
                <w:szCs w:val="18"/>
              </w:rPr>
            </w:pPr>
            <w:r w:rsidRPr="00304E7F">
              <w:rPr>
                <w:rFonts w:cs="Arial"/>
                <w:sz w:val="18"/>
                <w:szCs w:val="18"/>
              </w:rPr>
              <w:t>7.10.2018</w:t>
            </w:r>
          </w:p>
        </w:tc>
      </w:tr>
      <w:tr w:rsidR="004D56BE" w:rsidRPr="00C903F8" w:rsidTr="00E67DA4">
        <w:trPr>
          <w:cantSplit/>
          <w:jc w:val="center"/>
        </w:trPr>
        <w:tc>
          <w:tcPr>
            <w:tcW w:w="1342" w:type="dxa"/>
            <w:tcBorders>
              <w:bottom w:val="nil"/>
            </w:tcBorders>
            <w:shd w:val="clear" w:color="auto" w:fill="auto"/>
          </w:tcPr>
          <w:p w:rsidR="004D56BE" w:rsidRPr="004B4203" w:rsidRDefault="004D56BE" w:rsidP="00C01A94">
            <w:pPr>
              <w:spacing w:before="80" w:after="80" w:line="240" w:lineRule="atLeast"/>
              <w:rPr>
                <w:rFonts w:cs="Arial"/>
                <w:sz w:val="18"/>
                <w:szCs w:val="18"/>
                <w:lang w:val="en-GB" w:eastAsia="de-DE"/>
              </w:rPr>
            </w:pPr>
            <w:r w:rsidRPr="008F6ABB">
              <w:rPr>
                <w:rFonts w:cs="Arial"/>
                <w:sz w:val="18"/>
                <w:szCs w:val="18"/>
                <w:lang w:val="en-GB" w:eastAsia="de-DE"/>
              </w:rPr>
              <w:t>10.03</w:t>
            </w:r>
          </w:p>
        </w:tc>
        <w:tc>
          <w:tcPr>
            <w:tcW w:w="1458" w:type="dxa"/>
            <w:shd w:val="clear" w:color="auto" w:fill="auto"/>
          </w:tcPr>
          <w:p w:rsidR="004D56BE" w:rsidRPr="00852DB3" w:rsidRDefault="004D56BE" w:rsidP="00C01A94">
            <w:pPr>
              <w:spacing w:before="80" w:after="80" w:line="240" w:lineRule="atLeast"/>
              <w:rPr>
                <w:rFonts w:cs="Arial"/>
                <w:sz w:val="18"/>
                <w:szCs w:val="18"/>
              </w:rPr>
            </w:pPr>
          </w:p>
        </w:tc>
        <w:tc>
          <w:tcPr>
            <w:tcW w:w="3296" w:type="dxa"/>
            <w:shd w:val="clear" w:color="auto" w:fill="auto"/>
          </w:tcPr>
          <w:p w:rsidR="004D56BE" w:rsidRPr="00F9107C" w:rsidRDefault="004D56BE" w:rsidP="00C01A94">
            <w:pPr>
              <w:spacing w:before="80" w:after="80" w:line="240" w:lineRule="atLeast"/>
              <w:ind w:left="0" w:firstLine="0"/>
              <w:rPr>
                <w:rFonts w:cs="Arial"/>
                <w:noProof/>
                <w:sz w:val="18"/>
                <w:szCs w:val="18"/>
                <w:lang w:val="en-US"/>
              </w:rPr>
            </w:pPr>
            <w:r w:rsidRPr="00F9107C">
              <w:rPr>
                <w:rFonts w:cs="Arial"/>
                <w:noProof/>
                <w:sz w:val="18"/>
                <w:szCs w:val="18"/>
                <w:lang w:val="en-US"/>
              </w:rPr>
              <w:t>Type of protection according to installation location</w:t>
            </w:r>
          </w:p>
        </w:tc>
        <w:tc>
          <w:tcPr>
            <w:tcW w:w="5387" w:type="dxa"/>
            <w:shd w:val="clear" w:color="auto" w:fill="auto"/>
          </w:tcPr>
          <w:p w:rsidR="004D56BE" w:rsidRPr="00852DB3" w:rsidRDefault="004D56BE" w:rsidP="00C01A94">
            <w:pPr>
              <w:spacing w:before="8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C01A94">
            <w:pPr>
              <w:spacing w:before="80" w:after="80" w:line="240" w:lineRule="atLeast"/>
              <w:jc w:val="center"/>
              <w:rPr>
                <w:rFonts w:cs="Arial"/>
                <w:sz w:val="18"/>
                <w:szCs w:val="18"/>
              </w:rPr>
            </w:pPr>
          </w:p>
        </w:tc>
        <w:tc>
          <w:tcPr>
            <w:tcW w:w="1276" w:type="dxa"/>
          </w:tcPr>
          <w:p w:rsidR="004D56BE" w:rsidRPr="004B4203" w:rsidRDefault="004D56BE" w:rsidP="00C01A94">
            <w:pPr>
              <w:spacing w:before="80" w:after="80" w:line="240" w:lineRule="atLeast"/>
              <w:jc w:val="center"/>
              <w:rPr>
                <w:rFonts w:cs="Arial"/>
                <w:sz w:val="18"/>
                <w:szCs w:val="18"/>
              </w:rPr>
            </w:pPr>
            <w:r w:rsidRPr="00304E7F">
              <w:rPr>
                <w:rFonts w:cs="Arial"/>
                <w:sz w:val="18"/>
                <w:szCs w:val="18"/>
              </w:rPr>
              <w:t>7.10.2018</w:t>
            </w:r>
          </w:p>
        </w:tc>
      </w:tr>
      <w:tr w:rsidR="004D56BE" w:rsidRPr="00C903F8" w:rsidTr="00E67DA4">
        <w:trPr>
          <w:cantSplit/>
          <w:jc w:val="center"/>
        </w:trPr>
        <w:tc>
          <w:tcPr>
            <w:tcW w:w="1342" w:type="dxa"/>
            <w:tcBorders>
              <w:bottom w:val="nil"/>
            </w:tcBorders>
            <w:shd w:val="clear" w:color="auto" w:fill="auto"/>
          </w:tcPr>
          <w:p w:rsidR="004D56BE" w:rsidRPr="004B4203" w:rsidRDefault="004D56BE" w:rsidP="00C01A94">
            <w:pPr>
              <w:spacing w:before="80" w:after="80" w:line="240" w:lineRule="atLeast"/>
              <w:rPr>
                <w:rFonts w:cs="Arial"/>
                <w:sz w:val="18"/>
                <w:szCs w:val="18"/>
                <w:lang w:val="en-GB" w:eastAsia="de-DE"/>
              </w:rPr>
            </w:pPr>
            <w:r w:rsidRPr="008F6ABB">
              <w:rPr>
                <w:rFonts w:cs="Arial"/>
                <w:sz w:val="18"/>
                <w:szCs w:val="18"/>
                <w:lang w:val="en-GB" w:eastAsia="de-DE"/>
              </w:rPr>
              <w:t>10.04</w:t>
            </w:r>
          </w:p>
        </w:tc>
        <w:tc>
          <w:tcPr>
            <w:tcW w:w="1458" w:type="dxa"/>
            <w:shd w:val="clear" w:color="auto" w:fill="auto"/>
          </w:tcPr>
          <w:p w:rsidR="004D56BE" w:rsidRPr="00852DB3" w:rsidRDefault="004D56BE" w:rsidP="00C01A94">
            <w:pPr>
              <w:spacing w:before="80" w:after="80" w:line="240" w:lineRule="atLeast"/>
              <w:rPr>
                <w:rFonts w:cs="Arial"/>
                <w:sz w:val="18"/>
                <w:szCs w:val="18"/>
              </w:rPr>
            </w:pPr>
          </w:p>
        </w:tc>
        <w:tc>
          <w:tcPr>
            <w:tcW w:w="3296" w:type="dxa"/>
            <w:shd w:val="clear" w:color="auto" w:fill="auto"/>
          </w:tcPr>
          <w:p w:rsidR="004D56BE" w:rsidRPr="00F9107C" w:rsidRDefault="004D56BE" w:rsidP="00C01A94">
            <w:pPr>
              <w:spacing w:before="80" w:after="80" w:line="240" w:lineRule="atLeast"/>
              <w:ind w:left="0" w:firstLine="0"/>
              <w:rPr>
                <w:rFonts w:cs="Arial"/>
                <w:noProof/>
                <w:sz w:val="18"/>
                <w:szCs w:val="18"/>
                <w:lang w:val="en-US"/>
              </w:rPr>
            </w:pPr>
            <w:r w:rsidRPr="00F9107C">
              <w:rPr>
                <w:rFonts w:cs="Arial"/>
                <w:noProof/>
                <w:sz w:val="18"/>
                <w:szCs w:val="18"/>
                <w:lang w:val="en-US"/>
              </w:rPr>
              <w:t>Protection from explosion</w:t>
            </w:r>
          </w:p>
        </w:tc>
        <w:tc>
          <w:tcPr>
            <w:tcW w:w="5387" w:type="dxa"/>
            <w:shd w:val="clear" w:color="auto" w:fill="auto"/>
          </w:tcPr>
          <w:p w:rsidR="004D56BE" w:rsidRPr="00852DB3" w:rsidRDefault="004D56BE" w:rsidP="00C01A94">
            <w:pPr>
              <w:spacing w:before="8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C01A94">
            <w:pPr>
              <w:spacing w:before="80" w:after="80" w:line="240" w:lineRule="atLeast"/>
              <w:jc w:val="center"/>
              <w:rPr>
                <w:rFonts w:cs="Arial"/>
                <w:sz w:val="18"/>
                <w:szCs w:val="18"/>
              </w:rPr>
            </w:pPr>
          </w:p>
        </w:tc>
        <w:tc>
          <w:tcPr>
            <w:tcW w:w="1276" w:type="dxa"/>
          </w:tcPr>
          <w:p w:rsidR="004D56BE" w:rsidRPr="004B4203" w:rsidRDefault="004D56BE" w:rsidP="00C01A94">
            <w:pPr>
              <w:spacing w:before="80" w:after="80" w:line="240" w:lineRule="atLeast"/>
              <w:jc w:val="center"/>
              <w:rPr>
                <w:rFonts w:cs="Arial"/>
                <w:sz w:val="18"/>
                <w:szCs w:val="18"/>
              </w:rPr>
            </w:pPr>
            <w:r w:rsidRPr="00304E7F">
              <w:rPr>
                <w:rFonts w:cs="Arial"/>
                <w:sz w:val="18"/>
                <w:szCs w:val="18"/>
              </w:rPr>
              <w:t>7.10.2018</w:t>
            </w:r>
          </w:p>
        </w:tc>
      </w:tr>
      <w:tr w:rsidR="004D56BE" w:rsidRPr="00C903F8" w:rsidTr="00E67DA4">
        <w:trPr>
          <w:cantSplit/>
          <w:jc w:val="center"/>
        </w:trPr>
        <w:tc>
          <w:tcPr>
            <w:tcW w:w="1342" w:type="dxa"/>
            <w:tcBorders>
              <w:bottom w:val="nil"/>
            </w:tcBorders>
            <w:shd w:val="clear" w:color="auto" w:fill="auto"/>
          </w:tcPr>
          <w:p w:rsidR="004D56BE" w:rsidRPr="004B4203" w:rsidRDefault="004D56BE" w:rsidP="00C01A94">
            <w:pPr>
              <w:spacing w:before="100" w:after="100" w:line="240" w:lineRule="atLeast"/>
              <w:rPr>
                <w:rFonts w:cs="Arial"/>
                <w:sz w:val="18"/>
                <w:szCs w:val="18"/>
                <w:lang w:val="en-GB" w:eastAsia="de-DE"/>
              </w:rPr>
            </w:pPr>
            <w:r w:rsidRPr="008F6ABB">
              <w:rPr>
                <w:rFonts w:cs="Arial"/>
                <w:sz w:val="18"/>
                <w:szCs w:val="18"/>
                <w:lang w:val="en-GB" w:eastAsia="de-DE"/>
              </w:rPr>
              <w:t>10.05</w:t>
            </w:r>
          </w:p>
        </w:tc>
        <w:tc>
          <w:tcPr>
            <w:tcW w:w="1458" w:type="dxa"/>
            <w:shd w:val="clear" w:color="auto" w:fill="auto"/>
          </w:tcPr>
          <w:p w:rsidR="004D56BE" w:rsidRPr="00852DB3" w:rsidRDefault="004D56BE" w:rsidP="00C01A94">
            <w:pPr>
              <w:spacing w:before="100" w:after="100" w:line="240" w:lineRule="atLeast"/>
              <w:rPr>
                <w:rFonts w:cs="Arial"/>
                <w:sz w:val="18"/>
                <w:szCs w:val="18"/>
              </w:rPr>
            </w:pPr>
            <w:r w:rsidRPr="004B4203">
              <w:rPr>
                <w:rFonts w:cs="Arial"/>
                <w:sz w:val="18"/>
                <w:szCs w:val="18"/>
              </w:rPr>
              <w:t>(4)</w:t>
            </w:r>
          </w:p>
        </w:tc>
        <w:tc>
          <w:tcPr>
            <w:tcW w:w="3296" w:type="dxa"/>
            <w:shd w:val="clear" w:color="auto" w:fill="auto"/>
          </w:tcPr>
          <w:p w:rsidR="004D56BE" w:rsidRPr="00F9107C" w:rsidRDefault="004D56BE" w:rsidP="00C01A94">
            <w:pPr>
              <w:spacing w:before="100" w:after="100" w:line="240" w:lineRule="atLeast"/>
              <w:ind w:left="0" w:firstLine="0"/>
              <w:rPr>
                <w:rFonts w:cs="Arial"/>
                <w:noProof/>
                <w:sz w:val="18"/>
                <w:szCs w:val="18"/>
                <w:lang w:val="en-US"/>
              </w:rPr>
            </w:pPr>
            <w:r w:rsidRPr="00F9107C">
              <w:rPr>
                <w:rFonts w:cs="Arial"/>
                <w:noProof/>
                <w:sz w:val="18"/>
                <w:szCs w:val="18"/>
                <w:lang w:val="en-US"/>
              </w:rPr>
              <w:t>Cross-section of earthing conductors</w:t>
            </w:r>
          </w:p>
        </w:tc>
        <w:tc>
          <w:tcPr>
            <w:tcW w:w="5387" w:type="dxa"/>
            <w:shd w:val="clear" w:color="auto" w:fill="auto"/>
          </w:tcPr>
          <w:p w:rsidR="004D56BE" w:rsidRPr="00852DB3" w:rsidRDefault="004D56BE" w:rsidP="00C01A94">
            <w:pPr>
              <w:spacing w:before="100" w:after="10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C01A94">
            <w:pPr>
              <w:spacing w:before="100" w:after="100" w:line="240" w:lineRule="atLeast"/>
              <w:jc w:val="center"/>
              <w:rPr>
                <w:rFonts w:cs="Arial"/>
                <w:sz w:val="18"/>
                <w:szCs w:val="18"/>
              </w:rPr>
            </w:pPr>
          </w:p>
        </w:tc>
        <w:tc>
          <w:tcPr>
            <w:tcW w:w="1276" w:type="dxa"/>
          </w:tcPr>
          <w:p w:rsidR="004D56BE" w:rsidRPr="004B4203" w:rsidRDefault="004D56BE" w:rsidP="00C01A94">
            <w:pPr>
              <w:spacing w:before="100" w:after="100" w:line="240" w:lineRule="atLeast"/>
              <w:jc w:val="center"/>
              <w:rPr>
                <w:rFonts w:cs="Arial"/>
                <w:sz w:val="18"/>
                <w:szCs w:val="18"/>
              </w:rPr>
            </w:pPr>
            <w:r w:rsidRPr="00304E7F">
              <w:rPr>
                <w:rFonts w:cs="Arial"/>
                <w:sz w:val="18"/>
                <w:szCs w:val="18"/>
              </w:rPr>
              <w:t>7.10.2018</w:t>
            </w:r>
          </w:p>
        </w:tc>
      </w:tr>
      <w:tr w:rsidR="004D56BE" w:rsidRPr="00C903F8" w:rsidTr="00E67DA4">
        <w:trPr>
          <w:cantSplit/>
          <w:jc w:val="center"/>
        </w:trPr>
        <w:tc>
          <w:tcPr>
            <w:tcW w:w="1342" w:type="dxa"/>
            <w:tcBorders>
              <w:bottom w:val="nil"/>
            </w:tcBorders>
            <w:shd w:val="clear" w:color="auto" w:fill="auto"/>
          </w:tcPr>
          <w:p w:rsidR="004D56BE" w:rsidRPr="004B4203" w:rsidRDefault="004D56BE" w:rsidP="00C01A94">
            <w:pPr>
              <w:spacing w:before="100" w:after="100" w:line="240" w:lineRule="atLeast"/>
              <w:rPr>
                <w:rFonts w:cs="Arial"/>
                <w:sz w:val="18"/>
                <w:szCs w:val="18"/>
                <w:lang w:val="en-GB" w:eastAsia="de-DE"/>
              </w:rPr>
            </w:pPr>
            <w:r w:rsidRPr="008F6ABB">
              <w:rPr>
                <w:rFonts w:cs="Arial"/>
                <w:sz w:val="18"/>
                <w:szCs w:val="18"/>
                <w:lang w:val="en-GB" w:eastAsia="de-DE"/>
              </w:rPr>
              <w:t xml:space="preserve">10.06 </w:t>
            </w:r>
          </w:p>
        </w:tc>
        <w:tc>
          <w:tcPr>
            <w:tcW w:w="1458" w:type="dxa"/>
            <w:shd w:val="clear" w:color="auto" w:fill="auto"/>
          </w:tcPr>
          <w:p w:rsidR="004D56BE" w:rsidRPr="00852DB3" w:rsidRDefault="004D56BE" w:rsidP="00C01A94">
            <w:pPr>
              <w:spacing w:before="100" w:after="100" w:line="240" w:lineRule="atLeast"/>
              <w:rPr>
                <w:rFonts w:cs="Arial"/>
                <w:sz w:val="18"/>
                <w:szCs w:val="18"/>
              </w:rPr>
            </w:pPr>
            <w:r w:rsidRPr="004B4203">
              <w:rPr>
                <w:rFonts w:cs="Arial"/>
                <w:sz w:val="18"/>
                <w:szCs w:val="18"/>
              </w:rPr>
              <w:t>(1) table</w:t>
            </w:r>
          </w:p>
        </w:tc>
        <w:tc>
          <w:tcPr>
            <w:tcW w:w="3296" w:type="dxa"/>
            <w:shd w:val="clear" w:color="auto" w:fill="auto"/>
          </w:tcPr>
          <w:p w:rsidR="004D56BE" w:rsidRPr="00F9107C" w:rsidRDefault="004D56BE" w:rsidP="00C01A94">
            <w:pPr>
              <w:spacing w:before="100" w:after="100" w:line="240" w:lineRule="atLeast"/>
              <w:ind w:left="0" w:firstLine="0"/>
              <w:rPr>
                <w:rFonts w:cs="Arial"/>
                <w:noProof/>
                <w:sz w:val="18"/>
                <w:szCs w:val="18"/>
                <w:lang w:val="en-US"/>
              </w:rPr>
            </w:pPr>
            <w:r w:rsidRPr="00F9107C">
              <w:rPr>
                <w:rFonts w:cs="Arial"/>
                <w:noProof/>
                <w:sz w:val="18"/>
                <w:szCs w:val="18"/>
                <w:lang w:val="en-US"/>
              </w:rPr>
              <w:t>Three-phase alternating current</w:t>
            </w:r>
          </w:p>
        </w:tc>
        <w:tc>
          <w:tcPr>
            <w:tcW w:w="5387" w:type="dxa"/>
            <w:shd w:val="clear" w:color="auto" w:fill="auto"/>
          </w:tcPr>
          <w:p w:rsidR="004D56BE" w:rsidRPr="00852DB3" w:rsidRDefault="004D56BE" w:rsidP="00C01A94">
            <w:pPr>
              <w:spacing w:before="100" w:after="10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C01A94">
            <w:pPr>
              <w:spacing w:before="100" w:after="100" w:line="240" w:lineRule="atLeast"/>
              <w:jc w:val="center"/>
              <w:rPr>
                <w:rFonts w:cs="Arial"/>
                <w:sz w:val="18"/>
                <w:szCs w:val="18"/>
              </w:rPr>
            </w:pPr>
          </w:p>
        </w:tc>
        <w:tc>
          <w:tcPr>
            <w:tcW w:w="1276" w:type="dxa"/>
          </w:tcPr>
          <w:p w:rsidR="004D56BE" w:rsidRPr="004B4203" w:rsidRDefault="004D56BE" w:rsidP="00C01A94">
            <w:pPr>
              <w:spacing w:before="100" w:after="100" w:line="240" w:lineRule="atLeast"/>
              <w:jc w:val="center"/>
              <w:rPr>
                <w:rFonts w:cs="Arial"/>
                <w:sz w:val="18"/>
                <w:szCs w:val="18"/>
              </w:rPr>
            </w:pPr>
            <w:r w:rsidRPr="00304E7F">
              <w:rPr>
                <w:rFonts w:cs="Arial"/>
                <w:sz w:val="18"/>
                <w:szCs w:val="18"/>
              </w:rPr>
              <w:t>7.10.2018</w:t>
            </w:r>
          </w:p>
        </w:tc>
      </w:tr>
      <w:tr w:rsidR="004D56BE" w:rsidRPr="00C903F8" w:rsidTr="00E67DA4">
        <w:trPr>
          <w:cantSplit/>
          <w:jc w:val="center"/>
        </w:trPr>
        <w:tc>
          <w:tcPr>
            <w:tcW w:w="1342" w:type="dxa"/>
            <w:tcBorders>
              <w:bottom w:val="nil"/>
            </w:tcBorders>
            <w:shd w:val="clear" w:color="auto" w:fill="auto"/>
          </w:tcPr>
          <w:p w:rsidR="004D56BE" w:rsidRPr="004B4203" w:rsidRDefault="004D56BE" w:rsidP="00C01A94">
            <w:pPr>
              <w:spacing w:before="100" w:after="100" w:line="240" w:lineRule="atLeast"/>
              <w:rPr>
                <w:rFonts w:cs="Arial"/>
                <w:sz w:val="18"/>
                <w:szCs w:val="18"/>
                <w:lang w:val="en-GB" w:eastAsia="de-DE"/>
              </w:rPr>
            </w:pPr>
            <w:r w:rsidRPr="008F6ABB">
              <w:rPr>
                <w:rFonts w:cs="Arial"/>
                <w:sz w:val="18"/>
                <w:szCs w:val="18"/>
                <w:lang w:val="en-GB" w:eastAsia="de-DE"/>
              </w:rPr>
              <w:t>10.08</w:t>
            </w:r>
          </w:p>
        </w:tc>
        <w:tc>
          <w:tcPr>
            <w:tcW w:w="1458" w:type="dxa"/>
            <w:shd w:val="clear" w:color="auto" w:fill="auto"/>
          </w:tcPr>
          <w:p w:rsidR="004D56BE" w:rsidRPr="00852DB3" w:rsidRDefault="004D56BE" w:rsidP="00C01A94">
            <w:pPr>
              <w:spacing w:before="100" w:after="100" w:line="240" w:lineRule="atLeast"/>
              <w:rPr>
                <w:rFonts w:cs="Arial"/>
                <w:sz w:val="18"/>
                <w:szCs w:val="18"/>
              </w:rPr>
            </w:pPr>
            <w:r w:rsidRPr="004B4203">
              <w:rPr>
                <w:rFonts w:cs="Arial"/>
                <w:sz w:val="18"/>
                <w:szCs w:val="18"/>
              </w:rPr>
              <w:t>(1)</w:t>
            </w:r>
          </w:p>
        </w:tc>
        <w:tc>
          <w:tcPr>
            <w:tcW w:w="3296" w:type="dxa"/>
            <w:shd w:val="clear" w:color="auto" w:fill="auto"/>
          </w:tcPr>
          <w:p w:rsidR="004D56BE" w:rsidRPr="00F9107C" w:rsidRDefault="004D56BE" w:rsidP="00C01A94">
            <w:pPr>
              <w:spacing w:before="100" w:after="100" w:line="240" w:lineRule="atLeast"/>
              <w:ind w:left="0" w:firstLine="0"/>
              <w:rPr>
                <w:rFonts w:cs="Arial"/>
                <w:noProof/>
                <w:sz w:val="18"/>
                <w:szCs w:val="18"/>
                <w:lang w:val="en-US"/>
              </w:rPr>
            </w:pPr>
            <w:r w:rsidRPr="00F9107C">
              <w:rPr>
                <w:rFonts w:cs="Arial"/>
                <w:noProof/>
                <w:sz w:val="18"/>
                <w:szCs w:val="18"/>
                <w:lang w:val="en-US"/>
              </w:rPr>
              <w:t>Compliance with European Standards EN 15869-1, EN 15869­3 and EN 16840</w:t>
            </w:r>
          </w:p>
        </w:tc>
        <w:tc>
          <w:tcPr>
            <w:tcW w:w="5387" w:type="dxa"/>
            <w:shd w:val="clear" w:color="auto" w:fill="auto"/>
          </w:tcPr>
          <w:p w:rsidR="004D56BE" w:rsidRPr="00852DB3" w:rsidRDefault="004D56BE" w:rsidP="00C01A94">
            <w:pPr>
              <w:spacing w:before="100" w:after="10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C01A94">
            <w:pPr>
              <w:spacing w:before="100" w:after="100" w:line="240" w:lineRule="atLeast"/>
              <w:jc w:val="center"/>
              <w:rPr>
                <w:rFonts w:cs="Arial"/>
                <w:sz w:val="18"/>
                <w:szCs w:val="18"/>
              </w:rPr>
            </w:pPr>
          </w:p>
        </w:tc>
        <w:tc>
          <w:tcPr>
            <w:tcW w:w="1276" w:type="dxa"/>
          </w:tcPr>
          <w:p w:rsidR="004D56BE" w:rsidRPr="004B4203" w:rsidRDefault="004D56BE" w:rsidP="00C01A94">
            <w:pPr>
              <w:spacing w:before="100" w:after="10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val="restart"/>
            <w:shd w:val="clear" w:color="auto" w:fill="auto"/>
          </w:tcPr>
          <w:p w:rsidR="004D56BE" w:rsidRPr="004B4203" w:rsidRDefault="004D56BE" w:rsidP="00C01A94">
            <w:pPr>
              <w:spacing w:before="100" w:after="100" w:line="240" w:lineRule="atLeast"/>
              <w:rPr>
                <w:rFonts w:cs="Arial"/>
                <w:sz w:val="18"/>
                <w:szCs w:val="18"/>
                <w:lang w:val="en-GB" w:eastAsia="de-DE"/>
              </w:rPr>
            </w:pPr>
            <w:r w:rsidRPr="008F6ABB">
              <w:rPr>
                <w:rFonts w:cs="Arial"/>
                <w:sz w:val="18"/>
                <w:szCs w:val="18"/>
                <w:lang w:val="en-GB" w:eastAsia="de-DE"/>
              </w:rPr>
              <w:t xml:space="preserve">10.10 </w:t>
            </w:r>
          </w:p>
        </w:tc>
        <w:tc>
          <w:tcPr>
            <w:tcW w:w="1458" w:type="dxa"/>
            <w:shd w:val="clear" w:color="auto" w:fill="auto"/>
          </w:tcPr>
          <w:p w:rsidR="004D56BE" w:rsidRPr="00852DB3" w:rsidRDefault="004D56BE" w:rsidP="00C01A94">
            <w:pPr>
              <w:spacing w:before="100" w:after="100" w:line="240" w:lineRule="atLeast"/>
              <w:rPr>
                <w:rFonts w:cs="Arial"/>
                <w:sz w:val="18"/>
                <w:szCs w:val="18"/>
              </w:rPr>
            </w:pPr>
            <w:r w:rsidRPr="004B4203">
              <w:rPr>
                <w:rFonts w:cs="Arial"/>
                <w:sz w:val="18"/>
                <w:szCs w:val="18"/>
              </w:rPr>
              <w:t>(2)</w:t>
            </w:r>
          </w:p>
        </w:tc>
        <w:tc>
          <w:tcPr>
            <w:tcW w:w="3296" w:type="dxa"/>
            <w:shd w:val="clear" w:color="auto" w:fill="auto"/>
          </w:tcPr>
          <w:p w:rsidR="004D56BE" w:rsidRPr="00852DB3" w:rsidRDefault="004D56BE" w:rsidP="00C01A94">
            <w:pPr>
              <w:spacing w:before="100" w:after="100" w:line="240" w:lineRule="atLeast"/>
              <w:rPr>
                <w:rFonts w:cs="Arial"/>
                <w:sz w:val="18"/>
                <w:szCs w:val="18"/>
              </w:rPr>
            </w:pPr>
            <w:r w:rsidRPr="004B4203">
              <w:rPr>
                <w:rFonts w:cs="Arial"/>
                <w:sz w:val="18"/>
                <w:szCs w:val="18"/>
              </w:rPr>
              <w:t>Installation of transformers</w:t>
            </w:r>
          </w:p>
        </w:tc>
        <w:tc>
          <w:tcPr>
            <w:tcW w:w="5387" w:type="dxa"/>
            <w:shd w:val="clear" w:color="auto" w:fill="auto"/>
          </w:tcPr>
          <w:p w:rsidR="004D56BE" w:rsidRPr="00852DB3" w:rsidRDefault="004D56BE" w:rsidP="00C01A94">
            <w:pPr>
              <w:spacing w:before="100" w:after="10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C01A94">
            <w:pPr>
              <w:spacing w:before="100" w:after="100" w:line="240" w:lineRule="atLeast"/>
              <w:jc w:val="center"/>
              <w:rPr>
                <w:rFonts w:cs="Arial"/>
                <w:sz w:val="18"/>
                <w:szCs w:val="18"/>
              </w:rPr>
            </w:pPr>
          </w:p>
        </w:tc>
        <w:tc>
          <w:tcPr>
            <w:tcW w:w="1276" w:type="dxa"/>
          </w:tcPr>
          <w:p w:rsidR="004D56BE" w:rsidRPr="004B4203" w:rsidRDefault="004D56BE" w:rsidP="00C01A94">
            <w:pPr>
              <w:spacing w:before="100" w:after="10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8F6ABB" w:rsidRDefault="004D56BE" w:rsidP="00C01A94">
            <w:pPr>
              <w:spacing w:before="100" w:after="100" w:line="240" w:lineRule="atLeast"/>
              <w:rPr>
                <w:rFonts w:cs="Arial"/>
                <w:sz w:val="18"/>
                <w:szCs w:val="18"/>
                <w:lang w:val="en-GB" w:eastAsia="de-DE"/>
              </w:rPr>
            </w:pPr>
          </w:p>
        </w:tc>
        <w:tc>
          <w:tcPr>
            <w:tcW w:w="1458" w:type="dxa"/>
            <w:shd w:val="clear" w:color="auto" w:fill="auto"/>
          </w:tcPr>
          <w:p w:rsidR="004D56BE" w:rsidRPr="004B4203" w:rsidRDefault="004D56BE" w:rsidP="00C01A94">
            <w:pPr>
              <w:spacing w:before="100" w:after="100" w:line="240" w:lineRule="atLeast"/>
              <w:rPr>
                <w:rFonts w:cs="Arial"/>
                <w:sz w:val="18"/>
                <w:szCs w:val="18"/>
              </w:rPr>
            </w:pPr>
            <w:r w:rsidRPr="004B4203">
              <w:rPr>
                <w:rFonts w:cs="Arial"/>
                <w:sz w:val="18"/>
                <w:szCs w:val="18"/>
              </w:rPr>
              <w:t>(3)</w:t>
            </w:r>
          </w:p>
        </w:tc>
        <w:tc>
          <w:tcPr>
            <w:tcW w:w="3296" w:type="dxa"/>
            <w:shd w:val="clear" w:color="auto" w:fill="auto"/>
          </w:tcPr>
          <w:p w:rsidR="004D56BE" w:rsidRPr="00F9107C" w:rsidRDefault="004D56BE" w:rsidP="00C01A94">
            <w:pPr>
              <w:spacing w:before="100" w:after="100" w:line="240" w:lineRule="atLeast"/>
              <w:ind w:left="0" w:firstLine="0"/>
              <w:rPr>
                <w:rFonts w:cs="Arial"/>
                <w:noProof/>
                <w:sz w:val="18"/>
                <w:szCs w:val="18"/>
                <w:lang w:val="en-US"/>
              </w:rPr>
            </w:pPr>
            <w:r w:rsidRPr="001717EA">
              <w:rPr>
                <w:rFonts w:cs="Arial"/>
                <w:sz w:val="18"/>
                <w:szCs w:val="18"/>
                <w:lang w:val="en-GB"/>
              </w:rPr>
              <w:t>Separate primary and secondary windings of transformers</w:t>
            </w:r>
          </w:p>
        </w:tc>
        <w:tc>
          <w:tcPr>
            <w:tcW w:w="5387" w:type="dxa"/>
            <w:shd w:val="clear" w:color="auto" w:fill="auto"/>
          </w:tcPr>
          <w:p w:rsidR="004D56BE" w:rsidRPr="004B4203" w:rsidRDefault="004D56BE" w:rsidP="00C01A94">
            <w:pPr>
              <w:spacing w:before="100" w:after="10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4B4203" w:rsidRDefault="004D56BE" w:rsidP="00C01A94">
            <w:pPr>
              <w:spacing w:before="100" w:after="100" w:line="240" w:lineRule="atLeast"/>
              <w:jc w:val="center"/>
              <w:rPr>
                <w:rFonts w:cs="Arial"/>
                <w:sz w:val="18"/>
                <w:szCs w:val="18"/>
              </w:rPr>
            </w:pPr>
          </w:p>
        </w:tc>
        <w:tc>
          <w:tcPr>
            <w:tcW w:w="1276" w:type="dxa"/>
          </w:tcPr>
          <w:p w:rsidR="004D56BE" w:rsidRPr="00304E7F" w:rsidRDefault="004D56BE" w:rsidP="00C01A94">
            <w:pPr>
              <w:spacing w:before="100" w:after="10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8F6ABB" w:rsidRDefault="004D56BE" w:rsidP="00C01A94">
            <w:pPr>
              <w:spacing w:before="100" w:after="100" w:line="240" w:lineRule="atLeast"/>
              <w:rPr>
                <w:rFonts w:cs="Arial"/>
                <w:sz w:val="18"/>
                <w:szCs w:val="18"/>
                <w:lang w:val="en-GB" w:eastAsia="de-DE"/>
              </w:rPr>
            </w:pPr>
          </w:p>
        </w:tc>
        <w:tc>
          <w:tcPr>
            <w:tcW w:w="1458" w:type="dxa"/>
            <w:shd w:val="clear" w:color="auto" w:fill="auto"/>
          </w:tcPr>
          <w:p w:rsidR="004D56BE" w:rsidRPr="004B4203" w:rsidRDefault="004D56BE" w:rsidP="00C01A94">
            <w:pPr>
              <w:spacing w:before="100" w:after="100" w:line="240" w:lineRule="atLeast"/>
              <w:rPr>
                <w:rFonts w:cs="Arial"/>
                <w:sz w:val="18"/>
                <w:szCs w:val="18"/>
              </w:rPr>
            </w:pPr>
            <w:r w:rsidRPr="004B4203">
              <w:rPr>
                <w:rFonts w:cs="Arial"/>
                <w:sz w:val="18"/>
                <w:szCs w:val="18"/>
              </w:rPr>
              <w:t>(4)</w:t>
            </w:r>
          </w:p>
        </w:tc>
        <w:tc>
          <w:tcPr>
            <w:tcW w:w="3296" w:type="dxa"/>
            <w:shd w:val="clear" w:color="auto" w:fill="auto"/>
          </w:tcPr>
          <w:p w:rsidR="004D56BE" w:rsidRPr="00F9107C" w:rsidRDefault="004D56BE" w:rsidP="00C01A94">
            <w:pPr>
              <w:spacing w:before="100" w:after="100" w:line="240" w:lineRule="atLeast"/>
              <w:ind w:left="0" w:firstLine="0"/>
              <w:rPr>
                <w:rFonts w:cs="Arial"/>
                <w:noProof/>
                <w:sz w:val="18"/>
                <w:szCs w:val="18"/>
                <w:lang w:val="en-US"/>
              </w:rPr>
            </w:pPr>
            <w:r w:rsidRPr="001717EA">
              <w:rPr>
                <w:rFonts w:cs="Arial"/>
                <w:sz w:val="18"/>
                <w:szCs w:val="18"/>
                <w:lang w:val="en-GB"/>
              </w:rPr>
              <w:t>Tappings on the secondary windings of transformers</w:t>
            </w:r>
          </w:p>
        </w:tc>
        <w:tc>
          <w:tcPr>
            <w:tcW w:w="5387" w:type="dxa"/>
            <w:shd w:val="clear" w:color="auto" w:fill="auto"/>
          </w:tcPr>
          <w:p w:rsidR="004D56BE" w:rsidRPr="004B4203" w:rsidRDefault="004D56BE" w:rsidP="00C01A94">
            <w:pPr>
              <w:spacing w:before="100" w:after="10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4B4203" w:rsidRDefault="004D56BE" w:rsidP="00C01A94">
            <w:pPr>
              <w:spacing w:before="100" w:after="100" w:line="240" w:lineRule="atLeast"/>
              <w:jc w:val="center"/>
              <w:rPr>
                <w:rFonts w:cs="Arial"/>
                <w:sz w:val="18"/>
                <w:szCs w:val="18"/>
              </w:rPr>
            </w:pPr>
          </w:p>
        </w:tc>
        <w:tc>
          <w:tcPr>
            <w:tcW w:w="1276" w:type="dxa"/>
          </w:tcPr>
          <w:p w:rsidR="004D56BE" w:rsidRPr="00304E7F" w:rsidRDefault="004D56BE" w:rsidP="00C01A94">
            <w:pPr>
              <w:spacing w:before="100" w:after="100" w:line="240" w:lineRule="atLeast"/>
              <w:jc w:val="center"/>
              <w:rPr>
                <w:rFonts w:cs="Arial"/>
                <w:sz w:val="18"/>
                <w:szCs w:val="18"/>
              </w:rPr>
            </w:pPr>
            <w:r w:rsidRPr="00304E7F">
              <w:rPr>
                <w:rFonts w:cs="Arial"/>
                <w:sz w:val="18"/>
                <w:szCs w:val="18"/>
              </w:rPr>
              <w:t>7.10.2018</w:t>
            </w:r>
          </w:p>
        </w:tc>
      </w:tr>
      <w:tr w:rsidR="004D56BE" w:rsidRPr="00C903F8" w:rsidTr="00E67DA4">
        <w:trPr>
          <w:cantSplit/>
          <w:jc w:val="center"/>
        </w:trPr>
        <w:tc>
          <w:tcPr>
            <w:tcW w:w="1342" w:type="dxa"/>
            <w:vMerge/>
            <w:tcBorders>
              <w:bottom w:val="nil"/>
            </w:tcBorders>
            <w:shd w:val="clear" w:color="auto" w:fill="auto"/>
          </w:tcPr>
          <w:p w:rsidR="004D56BE" w:rsidRPr="008F6ABB" w:rsidRDefault="004D56BE" w:rsidP="00C01A94">
            <w:pPr>
              <w:spacing w:before="100" w:after="100" w:line="240" w:lineRule="atLeast"/>
              <w:rPr>
                <w:rFonts w:cs="Arial"/>
                <w:sz w:val="18"/>
                <w:szCs w:val="18"/>
                <w:lang w:val="en-GB" w:eastAsia="de-DE"/>
              </w:rPr>
            </w:pPr>
          </w:p>
        </w:tc>
        <w:tc>
          <w:tcPr>
            <w:tcW w:w="1458" w:type="dxa"/>
            <w:shd w:val="clear" w:color="auto" w:fill="auto"/>
          </w:tcPr>
          <w:p w:rsidR="004D56BE" w:rsidRPr="004B4203" w:rsidRDefault="004D56BE" w:rsidP="00C01A94">
            <w:pPr>
              <w:spacing w:before="100" w:after="100" w:line="240" w:lineRule="atLeast"/>
              <w:rPr>
                <w:rFonts w:cs="Arial"/>
                <w:sz w:val="18"/>
                <w:szCs w:val="18"/>
              </w:rPr>
            </w:pPr>
            <w:r w:rsidRPr="004B4203">
              <w:rPr>
                <w:rFonts w:cs="Arial"/>
                <w:sz w:val="18"/>
                <w:szCs w:val="18"/>
              </w:rPr>
              <w:t>(5)</w:t>
            </w:r>
          </w:p>
        </w:tc>
        <w:tc>
          <w:tcPr>
            <w:tcW w:w="3296" w:type="dxa"/>
            <w:shd w:val="clear" w:color="auto" w:fill="auto"/>
          </w:tcPr>
          <w:p w:rsidR="004D56BE" w:rsidRPr="00F9107C" w:rsidRDefault="004D56BE" w:rsidP="00C01A94">
            <w:pPr>
              <w:spacing w:before="100" w:after="100" w:line="240" w:lineRule="atLeast"/>
              <w:ind w:left="0" w:firstLine="0"/>
              <w:rPr>
                <w:rFonts w:cs="Arial"/>
                <w:noProof/>
                <w:sz w:val="18"/>
                <w:szCs w:val="18"/>
                <w:lang w:val="en-US"/>
              </w:rPr>
            </w:pPr>
            <w:r w:rsidRPr="001717EA">
              <w:rPr>
                <w:rFonts w:cs="Arial"/>
                <w:sz w:val="18"/>
                <w:szCs w:val="18"/>
                <w:lang w:val="en-GB"/>
              </w:rPr>
              <w:t xml:space="preserve"> </w:t>
            </w:r>
            <w:r>
              <w:rPr>
                <w:rFonts w:cs="Arial"/>
                <w:sz w:val="18"/>
                <w:szCs w:val="18"/>
                <w:lang w:val="en-GB"/>
              </w:rPr>
              <w:t>P</w:t>
            </w:r>
            <w:r w:rsidRPr="001717EA">
              <w:rPr>
                <w:rFonts w:cs="Arial"/>
                <w:sz w:val="18"/>
                <w:szCs w:val="18"/>
                <w:lang w:val="en-GB"/>
              </w:rPr>
              <w:t>late</w:t>
            </w:r>
            <w:r>
              <w:rPr>
                <w:rFonts w:cs="Arial"/>
                <w:sz w:val="18"/>
                <w:szCs w:val="18"/>
                <w:lang w:val="en-GB"/>
              </w:rPr>
              <w:t xml:space="preserve"> with manufacturer and power</w:t>
            </w:r>
            <w:r w:rsidRPr="001717EA">
              <w:rPr>
                <w:rFonts w:cs="Arial"/>
                <w:sz w:val="18"/>
                <w:szCs w:val="18"/>
                <w:lang w:val="en-GB"/>
              </w:rPr>
              <w:t xml:space="preserve"> of engines, generators, transformers</w:t>
            </w:r>
          </w:p>
        </w:tc>
        <w:tc>
          <w:tcPr>
            <w:tcW w:w="5387" w:type="dxa"/>
            <w:shd w:val="clear" w:color="auto" w:fill="auto"/>
          </w:tcPr>
          <w:p w:rsidR="004D56BE" w:rsidRPr="004B4203" w:rsidRDefault="004D56BE" w:rsidP="00C01A94">
            <w:pPr>
              <w:spacing w:before="100" w:after="10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4B4203" w:rsidRDefault="004D56BE" w:rsidP="00C01A94">
            <w:pPr>
              <w:spacing w:before="100" w:after="100" w:line="240" w:lineRule="atLeast"/>
              <w:jc w:val="center"/>
              <w:rPr>
                <w:rFonts w:cs="Arial"/>
                <w:sz w:val="18"/>
                <w:szCs w:val="18"/>
              </w:rPr>
            </w:pPr>
          </w:p>
        </w:tc>
        <w:tc>
          <w:tcPr>
            <w:tcW w:w="1276" w:type="dxa"/>
          </w:tcPr>
          <w:p w:rsidR="004D56BE" w:rsidRPr="00304E7F" w:rsidRDefault="004D56BE" w:rsidP="00C01A94">
            <w:pPr>
              <w:spacing w:before="100" w:after="10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val="restart"/>
            <w:shd w:val="clear" w:color="auto" w:fill="auto"/>
          </w:tcPr>
          <w:p w:rsidR="004D56BE" w:rsidRPr="004B4203" w:rsidRDefault="004D56BE" w:rsidP="00D321F1">
            <w:pPr>
              <w:spacing w:before="120" w:after="120" w:line="240" w:lineRule="atLeast"/>
              <w:rPr>
                <w:rFonts w:cs="Arial"/>
                <w:sz w:val="18"/>
                <w:szCs w:val="18"/>
                <w:lang w:val="en-GB" w:eastAsia="de-DE"/>
              </w:rPr>
            </w:pPr>
            <w:r w:rsidRPr="008F6ABB">
              <w:rPr>
                <w:rFonts w:cs="Arial"/>
                <w:sz w:val="18"/>
                <w:szCs w:val="18"/>
                <w:lang w:val="en-GB" w:eastAsia="de-DE"/>
              </w:rPr>
              <w:lastRenderedPageBreak/>
              <w:t xml:space="preserve">10.11 </w:t>
            </w:r>
          </w:p>
        </w:tc>
        <w:tc>
          <w:tcPr>
            <w:tcW w:w="1458" w:type="dxa"/>
            <w:shd w:val="clear" w:color="auto" w:fill="auto"/>
          </w:tcPr>
          <w:p w:rsidR="004D56BE" w:rsidRPr="00F9107C" w:rsidRDefault="004D56BE" w:rsidP="00D321F1">
            <w:pPr>
              <w:spacing w:before="120" w:after="120" w:line="240" w:lineRule="atLeast"/>
              <w:ind w:left="0" w:firstLine="0"/>
              <w:rPr>
                <w:rFonts w:cs="Arial"/>
                <w:sz w:val="18"/>
                <w:szCs w:val="18"/>
                <w:lang w:val="en-GB"/>
              </w:rPr>
            </w:pPr>
            <w:r w:rsidRPr="00F9107C">
              <w:rPr>
                <w:rFonts w:cs="Arial"/>
                <w:sz w:val="18"/>
                <w:szCs w:val="18"/>
                <w:lang w:val="en-GB"/>
              </w:rPr>
              <w:t>(3)</w:t>
            </w:r>
          </w:p>
        </w:tc>
        <w:tc>
          <w:tcPr>
            <w:tcW w:w="3296" w:type="dxa"/>
            <w:shd w:val="clear" w:color="auto" w:fill="auto"/>
          </w:tcPr>
          <w:p w:rsidR="004D56BE" w:rsidRPr="001717EA" w:rsidRDefault="004D56BE" w:rsidP="00D321F1">
            <w:pPr>
              <w:spacing w:before="120" w:after="120" w:line="240" w:lineRule="atLeast"/>
              <w:ind w:left="0" w:firstLine="0"/>
              <w:rPr>
                <w:rFonts w:cs="Arial"/>
                <w:sz w:val="18"/>
                <w:szCs w:val="18"/>
                <w:lang w:val="en-GB"/>
              </w:rPr>
            </w:pPr>
            <w:r w:rsidRPr="001717EA">
              <w:rPr>
                <w:rFonts w:cs="Arial"/>
                <w:sz w:val="18"/>
                <w:szCs w:val="18"/>
                <w:lang w:val="en-GB"/>
              </w:rPr>
              <w:t>Ventilation of service rooms and cupboard to the open deck</w:t>
            </w:r>
          </w:p>
        </w:tc>
        <w:tc>
          <w:tcPr>
            <w:tcW w:w="5387" w:type="dxa"/>
            <w:shd w:val="clear" w:color="auto" w:fill="auto"/>
          </w:tcPr>
          <w:p w:rsidR="004D56BE" w:rsidRPr="00852DB3" w:rsidRDefault="004D56BE" w:rsidP="00D321F1">
            <w:pPr>
              <w:spacing w:before="120" w:after="12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D321F1">
            <w:pPr>
              <w:spacing w:before="120" w:after="120" w:line="240" w:lineRule="atLeast"/>
              <w:jc w:val="center"/>
              <w:rPr>
                <w:rFonts w:cs="Arial"/>
                <w:sz w:val="18"/>
                <w:szCs w:val="18"/>
              </w:rPr>
            </w:pPr>
          </w:p>
        </w:tc>
        <w:tc>
          <w:tcPr>
            <w:tcW w:w="1276" w:type="dxa"/>
          </w:tcPr>
          <w:p w:rsidR="004D56BE" w:rsidRPr="004B4203" w:rsidRDefault="004D56BE" w:rsidP="00D321F1">
            <w:pPr>
              <w:spacing w:before="120" w:after="12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8F6ABB" w:rsidRDefault="004D56BE" w:rsidP="00D321F1">
            <w:pPr>
              <w:spacing w:before="120" w:after="120" w:line="240" w:lineRule="atLeast"/>
              <w:rPr>
                <w:rFonts w:cs="Arial"/>
                <w:sz w:val="18"/>
                <w:szCs w:val="18"/>
                <w:lang w:val="en-GB" w:eastAsia="de-DE"/>
              </w:rPr>
            </w:pPr>
          </w:p>
        </w:tc>
        <w:tc>
          <w:tcPr>
            <w:tcW w:w="1458" w:type="dxa"/>
            <w:shd w:val="clear" w:color="auto" w:fill="auto"/>
          </w:tcPr>
          <w:p w:rsidR="004D56BE" w:rsidRPr="004B4203" w:rsidRDefault="004D56BE" w:rsidP="00D321F1">
            <w:pPr>
              <w:spacing w:before="120" w:after="120" w:line="240" w:lineRule="atLeast"/>
              <w:rPr>
                <w:rFonts w:cs="Arial"/>
                <w:sz w:val="18"/>
                <w:szCs w:val="18"/>
              </w:rPr>
            </w:pPr>
            <w:r w:rsidRPr="004B4203">
              <w:rPr>
                <w:rFonts w:cs="Arial"/>
                <w:sz w:val="18"/>
                <w:szCs w:val="18"/>
              </w:rPr>
              <w:t>(</w:t>
            </w:r>
            <w:r>
              <w:rPr>
                <w:rFonts w:cs="Arial"/>
                <w:sz w:val="18"/>
                <w:szCs w:val="18"/>
              </w:rPr>
              <w:t>12)</w:t>
            </w:r>
          </w:p>
        </w:tc>
        <w:tc>
          <w:tcPr>
            <w:tcW w:w="3296" w:type="dxa"/>
            <w:shd w:val="clear" w:color="auto" w:fill="auto"/>
          </w:tcPr>
          <w:p w:rsidR="004D56BE" w:rsidRPr="001717EA" w:rsidRDefault="004D56BE" w:rsidP="00D321F1">
            <w:pPr>
              <w:spacing w:before="120" w:after="120" w:line="240" w:lineRule="atLeast"/>
              <w:ind w:left="0" w:firstLine="0"/>
              <w:rPr>
                <w:rFonts w:cs="Arial"/>
                <w:sz w:val="18"/>
                <w:szCs w:val="18"/>
                <w:lang w:val="en-GB"/>
              </w:rPr>
            </w:pPr>
            <w:r w:rsidRPr="004B4203">
              <w:rPr>
                <w:rFonts w:cs="Arial"/>
                <w:sz w:val="18"/>
                <w:szCs w:val="18"/>
              </w:rPr>
              <w:t>Measurement of charging devices</w:t>
            </w:r>
          </w:p>
        </w:tc>
        <w:tc>
          <w:tcPr>
            <w:tcW w:w="5387" w:type="dxa"/>
            <w:shd w:val="clear" w:color="auto" w:fill="auto"/>
          </w:tcPr>
          <w:p w:rsidR="004D56BE" w:rsidRPr="004B4203" w:rsidRDefault="004D56BE" w:rsidP="00D321F1">
            <w:pPr>
              <w:spacing w:before="120" w:after="12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4B4203" w:rsidRDefault="004D56BE" w:rsidP="00D321F1">
            <w:pPr>
              <w:spacing w:before="120" w:after="120" w:line="240" w:lineRule="atLeast"/>
              <w:jc w:val="center"/>
              <w:rPr>
                <w:rFonts w:cs="Arial"/>
                <w:sz w:val="18"/>
                <w:szCs w:val="18"/>
              </w:rPr>
            </w:pPr>
          </w:p>
        </w:tc>
        <w:tc>
          <w:tcPr>
            <w:tcW w:w="1276" w:type="dxa"/>
          </w:tcPr>
          <w:p w:rsidR="004D56BE" w:rsidRPr="00304E7F" w:rsidRDefault="004D56BE" w:rsidP="00D321F1">
            <w:pPr>
              <w:spacing w:before="120" w:after="12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8F6ABB" w:rsidRDefault="004D56BE" w:rsidP="00D321F1">
            <w:pPr>
              <w:spacing w:before="120" w:after="120" w:line="240" w:lineRule="atLeast"/>
              <w:rPr>
                <w:rFonts w:cs="Arial"/>
                <w:sz w:val="18"/>
                <w:szCs w:val="18"/>
                <w:lang w:val="en-GB" w:eastAsia="de-DE"/>
              </w:rPr>
            </w:pPr>
          </w:p>
        </w:tc>
        <w:tc>
          <w:tcPr>
            <w:tcW w:w="1458" w:type="dxa"/>
            <w:shd w:val="clear" w:color="auto" w:fill="auto"/>
          </w:tcPr>
          <w:p w:rsidR="004D56BE" w:rsidRPr="004B4203" w:rsidRDefault="004D56BE" w:rsidP="00D321F1">
            <w:pPr>
              <w:spacing w:before="120" w:after="120" w:line="240" w:lineRule="atLeast"/>
              <w:rPr>
                <w:rFonts w:cs="Arial"/>
                <w:sz w:val="18"/>
                <w:szCs w:val="18"/>
              </w:rPr>
            </w:pPr>
            <w:r w:rsidRPr="004B4203">
              <w:rPr>
                <w:rFonts w:cs="Arial"/>
                <w:sz w:val="18"/>
                <w:szCs w:val="18"/>
              </w:rPr>
              <w:t>(</w:t>
            </w:r>
            <w:r>
              <w:rPr>
                <w:rFonts w:cs="Arial"/>
                <w:sz w:val="18"/>
                <w:szCs w:val="18"/>
              </w:rPr>
              <w:t>13</w:t>
            </w:r>
            <w:r w:rsidRPr="004B4203">
              <w:rPr>
                <w:rFonts w:cs="Arial"/>
                <w:sz w:val="18"/>
                <w:szCs w:val="18"/>
              </w:rPr>
              <w:t>)</w:t>
            </w:r>
          </w:p>
        </w:tc>
        <w:tc>
          <w:tcPr>
            <w:tcW w:w="3296" w:type="dxa"/>
            <w:shd w:val="clear" w:color="auto" w:fill="auto"/>
          </w:tcPr>
          <w:p w:rsidR="004D56BE" w:rsidRPr="001717EA" w:rsidRDefault="004D56BE" w:rsidP="00D321F1">
            <w:pPr>
              <w:spacing w:before="120" w:after="120" w:line="240" w:lineRule="atLeast"/>
              <w:ind w:left="0" w:firstLine="0"/>
              <w:rPr>
                <w:rFonts w:cs="Arial"/>
                <w:sz w:val="18"/>
                <w:szCs w:val="18"/>
                <w:lang w:val="en-GB"/>
              </w:rPr>
            </w:pPr>
            <w:r w:rsidRPr="004B4203">
              <w:rPr>
                <w:rFonts w:cs="Arial"/>
                <w:sz w:val="18"/>
                <w:szCs w:val="18"/>
              </w:rPr>
              <w:t>Automatic chargers</w:t>
            </w:r>
          </w:p>
        </w:tc>
        <w:tc>
          <w:tcPr>
            <w:tcW w:w="5387" w:type="dxa"/>
            <w:shd w:val="clear" w:color="auto" w:fill="auto"/>
          </w:tcPr>
          <w:p w:rsidR="004D56BE" w:rsidRPr="004B4203" w:rsidRDefault="004D56BE" w:rsidP="00D321F1">
            <w:pPr>
              <w:spacing w:before="120" w:after="12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4B4203" w:rsidRDefault="004D56BE" w:rsidP="00D321F1">
            <w:pPr>
              <w:spacing w:before="120" w:after="120" w:line="240" w:lineRule="atLeast"/>
              <w:jc w:val="center"/>
              <w:rPr>
                <w:rFonts w:cs="Arial"/>
                <w:sz w:val="18"/>
                <w:szCs w:val="18"/>
              </w:rPr>
            </w:pPr>
          </w:p>
        </w:tc>
        <w:tc>
          <w:tcPr>
            <w:tcW w:w="1276" w:type="dxa"/>
          </w:tcPr>
          <w:p w:rsidR="004D56BE" w:rsidRPr="00304E7F" w:rsidRDefault="004D56BE" w:rsidP="00D321F1">
            <w:pPr>
              <w:spacing w:before="120" w:after="12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8F6ABB" w:rsidRDefault="004D56BE" w:rsidP="00D321F1">
            <w:pPr>
              <w:spacing w:before="120" w:after="120" w:line="240" w:lineRule="atLeast"/>
              <w:rPr>
                <w:rFonts w:cs="Arial"/>
                <w:sz w:val="18"/>
                <w:szCs w:val="18"/>
                <w:lang w:val="en-GB" w:eastAsia="de-DE"/>
              </w:rPr>
            </w:pPr>
          </w:p>
        </w:tc>
        <w:tc>
          <w:tcPr>
            <w:tcW w:w="1458" w:type="dxa"/>
            <w:shd w:val="clear" w:color="auto" w:fill="auto"/>
          </w:tcPr>
          <w:p w:rsidR="004D56BE" w:rsidRPr="004B4203" w:rsidRDefault="004D56BE" w:rsidP="00D321F1">
            <w:pPr>
              <w:spacing w:before="120" w:after="120" w:line="240" w:lineRule="atLeast"/>
              <w:rPr>
                <w:rFonts w:cs="Arial"/>
                <w:sz w:val="18"/>
                <w:szCs w:val="18"/>
              </w:rPr>
            </w:pPr>
            <w:r w:rsidRPr="004B4203">
              <w:rPr>
                <w:rFonts w:cs="Arial"/>
                <w:sz w:val="18"/>
                <w:szCs w:val="18"/>
              </w:rPr>
              <w:t>(</w:t>
            </w:r>
            <w:r>
              <w:rPr>
                <w:rFonts w:cs="Arial"/>
                <w:sz w:val="18"/>
                <w:szCs w:val="18"/>
              </w:rPr>
              <w:t>14</w:t>
            </w:r>
            <w:r w:rsidRPr="004B4203">
              <w:rPr>
                <w:rFonts w:cs="Arial"/>
                <w:sz w:val="18"/>
                <w:szCs w:val="18"/>
              </w:rPr>
              <w:t>)</w:t>
            </w:r>
          </w:p>
        </w:tc>
        <w:tc>
          <w:tcPr>
            <w:tcW w:w="3296" w:type="dxa"/>
            <w:shd w:val="clear" w:color="auto" w:fill="auto"/>
          </w:tcPr>
          <w:p w:rsidR="004D56BE" w:rsidRPr="001717EA" w:rsidRDefault="004D56BE" w:rsidP="00D321F1">
            <w:pPr>
              <w:spacing w:before="120" w:after="120" w:line="240" w:lineRule="atLeast"/>
              <w:ind w:left="0" w:firstLine="0"/>
              <w:rPr>
                <w:rFonts w:cs="Arial"/>
                <w:sz w:val="18"/>
                <w:szCs w:val="18"/>
                <w:lang w:val="en-GB"/>
              </w:rPr>
            </w:pPr>
            <w:r w:rsidRPr="004B4203">
              <w:rPr>
                <w:rFonts w:cs="Arial"/>
                <w:sz w:val="18"/>
                <w:szCs w:val="18"/>
              </w:rPr>
              <w:t>Maximum charging voltage</w:t>
            </w:r>
          </w:p>
        </w:tc>
        <w:tc>
          <w:tcPr>
            <w:tcW w:w="5387" w:type="dxa"/>
            <w:shd w:val="clear" w:color="auto" w:fill="auto"/>
          </w:tcPr>
          <w:p w:rsidR="004D56BE" w:rsidRPr="004B4203" w:rsidRDefault="004D56BE" w:rsidP="00D321F1">
            <w:pPr>
              <w:spacing w:before="120" w:after="12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4B4203" w:rsidRDefault="004D56BE" w:rsidP="00D321F1">
            <w:pPr>
              <w:spacing w:before="120" w:after="120" w:line="240" w:lineRule="atLeast"/>
              <w:jc w:val="center"/>
              <w:rPr>
                <w:rFonts w:cs="Arial"/>
                <w:sz w:val="18"/>
                <w:szCs w:val="18"/>
              </w:rPr>
            </w:pPr>
          </w:p>
        </w:tc>
        <w:tc>
          <w:tcPr>
            <w:tcW w:w="1276" w:type="dxa"/>
          </w:tcPr>
          <w:p w:rsidR="004D56BE" w:rsidRPr="00304E7F" w:rsidRDefault="004D56BE" w:rsidP="00D321F1">
            <w:pPr>
              <w:spacing w:before="120" w:after="12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8F6ABB" w:rsidRDefault="004D56BE" w:rsidP="00D321F1">
            <w:pPr>
              <w:spacing w:before="120" w:after="120" w:line="240" w:lineRule="atLeast"/>
              <w:rPr>
                <w:rFonts w:cs="Arial"/>
                <w:sz w:val="18"/>
                <w:szCs w:val="18"/>
                <w:lang w:val="en-GB" w:eastAsia="de-DE"/>
              </w:rPr>
            </w:pPr>
          </w:p>
        </w:tc>
        <w:tc>
          <w:tcPr>
            <w:tcW w:w="1458" w:type="dxa"/>
            <w:shd w:val="clear" w:color="auto" w:fill="auto"/>
          </w:tcPr>
          <w:p w:rsidR="004D56BE" w:rsidRPr="004B4203" w:rsidRDefault="004D56BE" w:rsidP="00D321F1">
            <w:pPr>
              <w:spacing w:before="120" w:after="120" w:line="240" w:lineRule="atLeast"/>
              <w:rPr>
                <w:rFonts w:cs="Arial"/>
                <w:sz w:val="18"/>
                <w:szCs w:val="18"/>
              </w:rPr>
            </w:pPr>
            <w:r w:rsidRPr="004B4203">
              <w:rPr>
                <w:rFonts w:cs="Arial"/>
                <w:sz w:val="18"/>
                <w:szCs w:val="18"/>
              </w:rPr>
              <w:t>(</w:t>
            </w:r>
            <w:r>
              <w:rPr>
                <w:rFonts w:cs="Arial"/>
                <w:sz w:val="18"/>
                <w:szCs w:val="18"/>
              </w:rPr>
              <w:t>15</w:t>
            </w:r>
            <w:r w:rsidRPr="004B4203">
              <w:rPr>
                <w:rFonts w:cs="Arial"/>
                <w:sz w:val="18"/>
                <w:szCs w:val="18"/>
              </w:rPr>
              <w:t>)</w:t>
            </w:r>
          </w:p>
        </w:tc>
        <w:tc>
          <w:tcPr>
            <w:tcW w:w="3296" w:type="dxa"/>
            <w:shd w:val="clear" w:color="auto" w:fill="auto"/>
          </w:tcPr>
          <w:p w:rsidR="004D56BE" w:rsidRPr="001717EA" w:rsidRDefault="004D56BE" w:rsidP="00D321F1">
            <w:pPr>
              <w:spacing w:before="120" w:after="120" w:line="240" w:lineRule="atLeast"/>
              <w:ind w:left="0" w:firstLine="0"/>
              <w:rPr>
                <w:rFonts w:cs="Arial"/>
                <w:sz w:val="18"/>
                <w:szCs w:val="18"/>
                <w:lang w:val="en-GB"/>
              </w:rPr>
            </w:pPr>
            <w:r w:rsidRPr="004B4203">
              <w:rPr>
                <w:rFonts w:cs="Arial"/>
                <w:sz w:val="18"/>
                <w:szCs w:val="18"/>
              </w:rPr>
              <w:t>Standards EN 62619</w:t>
            </w:r>
            <w:r>
              <w:rPr>
                <w:rFonts w:cs="Arial"/>
                <w:sz w:val="18"/>
                <w:szCs w:val="18"/>
              </w:rPr>
              <w:t xml:space="preserve"> and</w:t>
            </w:r>
            <w:r w:rsidRPr="004B4203">
              <w:rPr>
                <w:rFonts w:cs="Arial"/>
                <w:sz w:val="18"/>
                <w:szCs w:val="18"/>
              </w:rPr>
              <w:t xml:space="preserve"> EN 62620 for lithium-ion accumulators</w:t>
            </w:r>
          </w:p>
        </w:tc>
        <w:tc>
          <w:tcPr>
            <w:tcW w:w="5387" w:type="dxa"/>
            <w:shd w:val="clear" w:color="auto" w:fill="auto"/>
          </w:tcPr>
          <w:p w:rsidR="004D56BE" w:rsidRPr="004B4203" w:rsidRDefault="004D56BE" w:rsidP="00D321F1">
            <w:pPr>
              <w:spacing w:before="120" w:after="12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4B4203" w:rsidRDefault="004D56BE" w:rsidP="00D321F1">
            <w:pPr>
              <w:spacing w:before="120" w:after="120" w:line="240" w:lineRule="atLeast"/>
              <w:jc w:val="center"/>
              <w:rPr>
                <w:rFonts w:cs="Arial"/>
                <w:sz w:val="18"/>
                <w:szCs w:val="18"/>
              </w:rPr>
            </w:pPr>
          </w:p>
        </w:tc>
        <w:tc>
          <w:tcPr>
            <w:tcW w:w="1276" w:type="dxa"/>
          </w:tcPr>
          <w:p w:rsidR="004D56BE" w:rsidRPr="00304E7F" w:rsidRDefault="004D56BE" w:rsidP="00D321F1">
            <w:pPr>
              <w:spacing w:before="120" w:after="120" w:line="240" w:lineRule="atLeast"/>
              <w:jc w:val="center"/>
              <w:rPr>
                <w:rFonts w:cs="Arial"/>
                <w:sz w:val="18"/>
                <w:szCs w:val="18"/>
              </w:rPr>
            </w:pPr>
            <w:r w:rsidRPr="00304E7F">
              <w:rPr>
                <w:rFonts w:cs="Arial"/>
                <w:sz w:val="18"/>
                <w:szCs w:val="18"/>
              </w:rPr>
              <w:t>7.10.2018</w:t>
            </w:r>
          </w:p>
        </w:tc>
      </w:tr>
      <w:tr w:rsidR="004D56BE" w:rsidRPr="00C903F8" w:rsidTr="00C52DCC">
        <w:trPr>
          <w:cantSplit/>
          <w:jc w:val="center"/>
        </w:trPr>
        <w:tc>
          <w:tcPr>
            <w:tcW w:w="1342" w:type="dxa"/>
            <w:vMerge/>
            <w:tcBorders>
              <w:bottom w:val="single" w:sz="4" w:space="0" w:color="auto"/>
            </w:tcBorders>
            <w:shd w:val="clear" w:color="auto" w:fill="auto"/>
            <w:vAlign w:val="center"/>
          </w:tcPr>
          <w:p w:rsidR="004D56BE" w:rsidRPr="008F6ABB" w:rsidRDefault="004D56BE" w:rsidP="00D321F1">
            <w:pPr>
              <w:spacing w:before="120" w:after="120" w:line="240" w:lineRule="atLeast"/>
              <w:rPr>
                <w:rFonts w:cs="Arial"/>
                <w:sz w:val="18"/>
                <w:szCs w:val="18"/>
                <w:lang w:val="en-GB" w:eastAsia="de-DE"/>
              </w:rPr>
            </w:pPr>
          </w:p>
        </w:tc>
        <w:tc>
          <w:tcPr>
            <w:tcW w:w="1458" w:type="dxa"/>
            <w:tcBorders>
              <w:bottom w:val="single" w:sz="4" w:space="0" w:color="auto"/>
            </w:tcBorders>
            <w:shd w:val="clear" w:color="auto" w:fill="auto"/>
            <w:vAlign w:val="center"/>
          </w:tcPr>
          <w:p w:rsidR="004D56BE" w:rsidRPr="004B4203" w:rsidRDefault="004D56BE" w:rsidP="00D321F1">
            <w:pPr>
              <w:spacing w:before="120" w:after="120" w:line="240" w:lineRule="atLeast"/>
              <w:rPr>
                <w:rFonts w:cs="Arial"/>
                <w:sz w:val="18"/>
                <w:szCs w:val="18"/>
              </w:rPr>
            </w:pPr>
            <w:r w:rsidRPr="004B4203">
              <w:rPr>
                <w:rFonts w:cs="Arial"/>
                <w:sz w:val="18"/>
                <w:szCs w:val="18"/>
              </w:rPr>
              <w:t>(</w:t>
            </w:r>
            <w:r>
              <w:rPr>
                <w:rFonts w:cs="Arial"/>
                <w:sz w:val="18"/>
                <w:szCs w:val="18"/>
              </w:rPr>
              <w:t>16</w:t>
            </w:r>
            <w:r w:rsidRPr="004B4203">
              <w:rPr>
                <w:rFonts w:cs="Arial"/>
                <w:sz w:val="18"/>
                <w:szCs w:val="18"/>
              </w:rPr>
              <w:t>)</w:t>
            </w:r>
          </w:p>
        </w:tc>
        <w:tc>
          <w:tcPr>
            <w:tcW w:w="3296" w:type="dxa"/>
            <w:tcBorders>
              <w:bottom w:val="single" w:sz="4" w:space="0" w:color="auto"/>
            </w:tcBorders>
            <w:shd w:val="clear" w:color="auto" w:fill="auto"/>
          </w:tcPr>
          <w:p w:rsidR="004D56BE" w:rsidRPr="001717EA" w:rsidRDefault="004D56BE" w:rsidP="00D321F1">
            <w:pPr>
              <w:spacing w:before="120" w:after="120" w:line="240" w:lineRule="atLeast"/>
              <w:ind w:left="0" w:firstLine="0"/>
              <w:rPr>
                <w:rFonts w:cs="Arial"/>
                <w:sz w:val="18"/>
                <w:szCs w:val="18"/>
                <w:lang w:val="en-GB"/>
              </w:rPr>
            </w:pPr>
            <w:r>
              <w:rPr>
                <w:rFonts w:cs="Arial"/>
                <w:sz w:val="18"/>
                <w:szCs w:val="18"/>
              </w:rPr>
              <w:t>Accumulator</w:t>
            </w:r>
            <w:r w:rsidRPr="004B4203">
              <w:rPr>
                <w:rFonts w:cs="Arial"/>
                <w:sz w:val="18"/>
                <w:szCs w:val="18"/>
              </w:rPr>
              <w:t xml:space="preserve"> management system</w:t>
            </w:r>
          </w:p>
        </w:tc>
        <w:tc>
          <w:tcPr>
            <w:tcW w:w="5387" w:type="dxa"/>
            <w:tcBorders>
              <w:bottom w:val="single" w:sz="4" w:space="0" w:color="auto"/>
            </w:tcBorders>
            <w:shd w:val="clear" w:color="auto" w:fill="auto"/>
          </w:tcPr>
          <w:p w:rsidR="004D56BE" w:rsidRPr="004B4203" w:rsidRDefault="004D56BE" w:rsidP="00D321F1">
            <w:pPr>
              <w:spacing w:before="120" w:after="120" w:line="240" w:lineRule="atLeast"/>
              <w:ind w:left="0" w:firstLine="0"/>
              <w:rPr>
                <w:rFonts w:cs="Arial"/>
                <w:sz w:val="18"/>
                <w:szCs w:val="18"/>
                <w:lang w:val="en-US"/>
              </w:rPr>
            </w:pPr>
            <w:r w:rsidRPr="004B4203">
              <w:rPr>
                <w:rFonts w:cs="Arial"/>
                <w:sz w:val="18"/>
                <w:szCs w:val="18"/>
                <w:lang w:val="en-US"/>
              </w:rPr>
              <w:t>N.R.C.</w:t>
            </w:r>
          </w:p>
        </w:tc>
        <w:tc>
          <w:tcPr>
            <w:tcW w:w="1276" w:type="dxa"/>
            <w:tcBorders>
              <w:bottom w:val="single" w:sz="4" w:space="0" w:color="auto"/>
            </w:tcBorders>
            <w:shd w:val="clear" w:color="auto" w:fill="auto"/>
          </w:tcPr>
          <w:p w:rsidR="004D56BE" w:rsidRPr="004B4203" w:rsidRDefault="004D56BE" w:rsidP="00D321F1">
            <w:pPr>
              <w:spacing w:before="120" w:after="120" w:line="240" w:lineRule="atLeast"/>
              <w:jc w:val="center"/>
              <w:rPr>
                <w:rFonts w:cs="Arial"/>
                <w:sz w:val="18"/>
                <w:szCs w:val="18"/>
              </w:rPr>
            </w:pPr>
          </w:p>
        </w:tc>
        <w:tc>
          <w:tcPr>
            <w:tcW w:w="1276" w:type="dxa"/>
            <w:tcBorders>
              <w:bottom w:val="single" w:sz="4" w:space="0" w:color="auto"/>
            </w:tcBorders>
          </w:tcPr>
          <w:p w:rsidR="004D56BE" w:rsidRPr="00304E7F" w:rsidRDefault="004D56BE" w:rsidP="00D321F1">
            <w:pPr>
              <w:spacing w:before="120" w:after="12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val="restart"/>
            <w:shd w:val="clear" w:color="auto" w:fill="auto"/>
          </w:tcPr>
          <w:p w:rsidR="004D56BE" w:rsidRPr="008F6ABB" w:rsidRDefault="004D56BE" w:rsidP="00A5038C">
            <w:pPr>
              <w:spacing w:before="80" w:after="80" w:line="240" w:lineRule="atLeast"/>
              <w:rPr>
                <w:rFonts w:cs="Arial"/>
                <w:sz w:val="18"/>
                <w:szCs w:val="18"/>
                <w:lang w:val="en-GB" w:eastAsia="de-DE"/>
              </w:rPr>
            </w:pPr>
            <w:r>
              <w:rPr>
                <w:rFonts w:cs="Arial"/>
                <w:sz w:val="18"/>
                <w:szCs w:val="18"/>
                <w:lang w:val="en-GB" w:eastAsia="de-DE"/>
              </w:rPr>
              <w:t>10.15</w:t>
            </w:r>
          </w:p>
        </w:tc>
        <w:tc>
          <w:tcPr>
            <w:tcW w:w="1458" w:type="dxa"/>
            <w:shd w:val="clear" w:color="auto" w:fill="auto"/>
          </w:tcPr>
          <w:p w:rsidR="004D56BE" w:rsidRPr="004B4203" w:rsidRDefault="004D56BE" w:rsidP="00A5038C">
            <w:pPr>
              <w:spacing w:before="80" w:after="80" w:line="240" w:lineRule="atLeast"/>
              <w:ind w:left="0" w:firstLine="0"/>
              <w:jc w:val="left"/>
              <w:rPr>
                <w:rFonts w:cs="Arial"/>
                <w:sz w:val="18"/>
                <w:szCs w:val="18"/>
              </w:rPr>
            </w:pPr>
            <w:r w:rsidRPr="004B4203">
              <w:rPr>
                <w:rFonts w:cs="Arial"/>
                <w:sz w:val="18"/>
                <w:szCs w:val="18"/>
              </w:rPr>
              <w:t>(11)</w:t>
            </w:r>
          </w:p>
        </w:tc>
        <w:tc>
          <w:tcPr>
            <w:tcW w:w="3296" w:type="dxa"/>
            <w:shd w:val="clear" w:color="auto" w:fill="auto"/>
          </w:tcPr>
          <w:p w:rsidR="004D56BE" w:rsidRPr="00F9107C" w:rsidRDefault="004D56BE" w:rsidP="00A5038C">
            <w:pPr>
              <w:spacing w:before="80" w:after="80" w:line="240" w:lineRule="atLeast"/>
              <w:ind w:left="0" w:firstLine="0"/>
              <w:rPr>
                <w:rFonts w:cs="Arial"/>
                <w:sz w:val="18"/>
                <w:szCs w:val="18"/>
                <w:lang w:val="en-US"/>
              </w:rPr>
            </w:pPr>
            <w:r w:rsidRPr="00F9107C">
              <w:rPr>
                <w:rFonts w:cs="Arial"/>
                <w:sz w:val="18"/>
                <w:szCs w:val="18"/>
                <w:lang w:val="en-US"/>
              </w:rPr>
              <w:t>Cable harness penetrations</w:t>
            </w:r>
          </w:p>
        </w:tc>
        <w:tc>
          <w:tcPr>
            <w:tcW w:w="5387" w:type="dxa"/>
            <w:shd w:val="clear" w:color="auto" w:fill="auto"/>
          </w:tcPr>
          <w:p w:rsidR="004D56BE" w:rsidRPr="004B4203" w:rsidRDefault="004D56BE" w:rsidP="00A5038C">
            <w:pPr>
              <w:spacing w:before="8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4B4203" w:rsidRDefault="004D56BE" w:rsidP="00A5038C">
            <w:pPr>
              <w:spacing w:before="80" w:after="80" w:line="240" w:lineRule="atLeast"/>
              <w:jc w:val="center"/>
              <w:rPr>
                <w:rFonts w:cs="Arial"/>
                <w:sz w:val="18"/>
                <w:szCs w:val="18"/>
              </w:rPr>
            </w:pPr>
          </w:p>
        </w:tc>
        <w:tc>
          <w:tcPr>
            <w:tcW w:w="1276" w:type="dxa"/>
          </w:tcPr>
          <w:p w:rsidR="004D56BE" w:rsidRPr="00304E7F" w:rsidRDefault="004D56BE" w:rsidP="00A5038C">
            <w:pPr>
              <w:spacing w:before="80" w:after="8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8F6ABB" w:rsidRDefault="004D56BE" w:rsidP="00A5038C">
            <w:pPr>
              <w:spacing w:before="80" w:after="80" w:line="240" w:lineRule="atLeast"/>
              <w:rPr>
                <w:rFonts w:cs="Arial"/>
                <w:sz w:val="18"/>
                <w:szCs w:val="18"/>
                <w:lang w:val="en-GB" w:eastAsia="de-DE"/>
              </w:rPr>
            </w:pPr>
          </w:p>
        </w:tc>
        <w:tc>
          <w:tcPr>
            <w:tcW w:w="1458" w:type="dxa"/>
            <w:shd w:val="clear" w:color="auto" w:fill="auto"/>
          </w:tcPr>
          <w:p w:rsidR="004D56BE" w:rsidRPr="004B4203" w:rsidRDefault="004D56BE" w:rsidP="00A5038C">
            <w:pPr>
              <w:spacing w:before="80" w:after="80" w:line="240" w:lineRule="atLeast"/>
              <w:ind w:left="0" w:firstLine="0"/>
              <w:jc w:val="left"/>
              <w:rPr>
                <w:rFonts w:cs="Arial"/>
                <w:sz w:val="18"/>
                <w:szCs w:val="18"/>
              </w:rPr>
            </w:pPr>
            <w:r w:rsidRPr="004B4203">
              <w:rPr>
                <w:rFonts w:cs="Arial"/>
                <w:sz w:val="18"/>
                <w:szCs w:val="18"/>
              </w:rPr>
              <w:t>(12)</w:t>
            </w:r>
          </w:p>
        </w:tc>
        <w:tc>
          <w:tcPr>
            <w:tcW w:w="3296" w:type="dxa"/>
            <w:shd w:val="clear" w:color="auto" w:fill="auto"/>
          </w:tcPr>
          <w:p w:rsidR="004D56BE" w:rsidRPr="00F9107C" w:rsidRDefault="004D56BE" w:rsidP="00A5038C">
            <w:pPr>
              <w:spacing w:before="80" w:after="80" w:line="240" w:lineRule="atLeast"/>
              <w:ind w:left="0" w:firstLine="0"/>
              <w:rPr>
                <w:rFonts w:cs="Arial"/>
                <w:sz w:val="18"/>
                <w:szCs w:val="18"/>
                <w:lang w:val="en-GB"/>
              </w:rPr>
            </w:pPr>
            <w:r w:rsidRPr="001717EA">
              <w:rPr>
                <w:rFonts w:cs="Arial"/>
                <w:sz w:val="18"/>
                <w:szCs w:val="18"/>
                <w:lang w:val="en-GB"/>
              </w:rPr>
              <w:t>Cables from an emergency electrical power source to consumer equipment</w:t>
            </w:r>
          </w:p>
        </w:tc>
        <w:tc>
          <w:tcPr>
            <w:tcW w:w="5387" w:type="dxa"/>
            <w:shd w:val="clear" w:color="auto" w:fill="auto"/>
          </w:tcPr>
          <w:p w:rsidR="004D56BE" w:rsidRPr="004B4203" w:rsidRDefault="004D56BE" w:rsidP="00A5038C">
            <w:pPr>
              <w:spacing w:before="8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4B4203" w:rsidRDefault="004D56BE" w:rsidP="00A5038C">
            <w:pPr>
              <w:spacing w:before="80" w:after="80" w:line="240" w:lineRule="atLeast"/>
              <w:jc w:val="center"/>
              <w:rPr>
                <w:rFonts w:cs="Arial"/>
                <w:sz w:val="18"/>
                <w:szCs w:val="18"/>
              </w:rPr>
            </w:pPr>
          </w:p>
        </w:tc>
        <w:tc>
          <w:tcPr>
            <w:tcW w:w="1276" w:type="dxa"/>
          </w:tcPr>
          <w:p w:rsidR="004D56BE" w:rsidRPr="00304E7F" w:rsidRDefault="004D56BE" w:rsidP="00A5038C">
            <w:pPr>
              <w:spacing w:before="80" w:after="8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8F6ABB" w:rsidRDefault="004D56BE" w:rsidP="00A5038C">
            <w:pPr>
              <w:spacing w:before="80" w:after="80" w:line="240" w:lineRule="atLeast"/>
              <w:rPr>
                <w:rFonts w:cs="Arial"/>
                <w:sz w:val="18"/>
                <w:szCs w:val="18"/>
                <w:lang w:val="en-GB" w:eastAsia="de-DE"/>
              </w:rPr>
            </w:pPr>
          </w:p>
        </w:tc>
        <w:tc>
          <w:tcPr>
            <w:tcW w:w="1458" w:type="dxa"/>
            <w:shd w:val="clear" w:color="auto" w:fill="auto"/>
          </w:tcPr>
          <w:p w:rsidR="004D56BE" w:rsidRPr="004B4203" w:rsidRDefault="004D56BE" w:rsidP="00A5038C">
            <w:pPr>
              <w:spacing w:before="80" w:after="80" w:line="240" w:lineRule="atLeast"/>
              <w:ind w:left="0" w:firstLine="0"/>
              <w:jc w:val="left"/>
              <w:rPr>
                <w:rFonts w:cs="Arial"/>
                <w:sz w:val="18"/>
                <w:szCs w:val="18"/>
              </w:rPr>
            </w:pPr>
            <w:r w:rsidRPr="004B4203">
              <w:rPr>
                <w:rFonts w:cs="Arial"/>
                <w:sz w:val="18"/>
                <w:szCs w:val="18"/>
              </w:rPr>
              <w:t>(13)</w:t>
            </w:r>
          </w:p>
        </w:tc>
        <w:tc>
          <w:tcPr>
            <w:tcW w:w="3296" w:type="dxa"/>
            <w:shd w:val="clear" w:color="auto" w:fill="auto"/>
          </w:tcPr>
          <w:p w:rsidR="004D56BE" w:rsidRPr="00F9107C" w:rsidRDefault="004D56BE" w:rsidP="00A5038C">
            <w:pPr>
              <w:spacing w:before="80" w:after="80" w:line="240" w:lineRule="atLeast"/>
              <w:ind w:left="0" w:firstLine="0"/>
              <w:rPr>
                <w:rFonts w:cs="Arial"/>
                <w:sz w:val="18"/>
                <w:szCs w:val="18"/>
                <w:lang w:val="en-GB"/>
              </w:rPr>
            </w:pPr>
            <w:r w:rsidRPr="001717EA">
              <w:rPr>
                <w:rFonts w:cs="Arial"/>
                <w:sz w:val="18"/>
                <w:szCs w:val="18"/>
                <w:lang w:val="en-GB"/>
              </w:rPr>
              <w:t>Cable in areas with high ambient temperatures</w:t>
            </w:r>
          </w:p>
        </w:tc>
        <w:tc>
          <w:tcPr>
            <w:tcW w:w="5387" w:type="dxa"/>
            <w:shd w:val="clear" w:color="auto" w:fill="auto"/>
          </w:tcPr>
          <w:p w:rsidR="004D56BE" w:rsidRPr="004B4203" w:rsidRDefault="004D56BE" w:rsidP="00A5038C">
            <w:pPr>
              <w:spacing w:before="8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4B4203" w:rsidRDefault="004D56BE" w:rsidP="00A5038C">
            <w:pPr>
              <w:spacing w:before="80" w:after="80" w:line="240" w:lineRule="atLeast"/>
              <w:jc w:val="center"/>
              <w:rPr>
                <w:rFonts w:cs="Arial"/>
                <w:sz w:val="18"/>
                <w:szCs w:val="18"/>
              </w:rPr>
            </w:pPr>
          </w:p>
        </w:tc>
        <w:tc>
          <w:tcPr>
            <w:tcW w:w="1276" w:type="dxa"/>
          </w:tcPr>
          <w:p w:rsidR="004D56BE" w:rsidRPr="00304E7F" w:rsidRDefault="004D56BE" w:rsidP="00A5038C">
            <w:pPr>
              <w:spacing w:before="80" w:after="8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tcBorders>
              <w:bottom w:val="nil"/>
            </w:tcBorders>
            <w:shd w:val="clear" w:color="auto" w:fill="auto"/>
          </w:tcPr>
          <w:p w:rsidR="004D56BE" w:rsidRPr="008F6ABB" w:rsidRDefault="004D56BE" w:rsidP="00A5038C">
            <w:pPr>
              <w:spacing w:before="80" w:after="80" w:line="240" w:lineRule="atLeast"/>
              <w:rPr>
                <w:rFonts w:cs="Arial"/>
                <w:sz w:val="18"/>
                <w:szCs w:val="18"/>
                <w:lang w:val="en-GB" w:eastAsia="de-DE"/>
              </w:rPr>
            </w:pPr>
          </w:p>
        </w:tc>
        <w:tc>
          <w:tcPr>
            <w:tcW w:w="1458" w:type="dxa"/>
            <w:shd w:val="clear" w:color="auto" w:fill="auto"/>
          </w:tcPr>
          <w:p w:rsidR="004D56BE" w:rsidRPr="004B4203" w:rsidRDefault="004D56BE" w:rsidP="00A5038C">
            <w:pPr>
              <w:spacing w:before="80" w:after="80" w:line="240" w:lineRule="atLeast"/>
              <w:ind w:left="0" w:firstLine="0"/>
              <w:jc w:val="left"/>
              <w:rPr>
                <w:rFonts w:cs="Arial"/>
                <w:sz w:val="18"/>
                <w:szCs w:val="18"/>
              </w:rPr>
            </w:pPr>
            <w:r w:rsidRPr="004B4203">
              <w:rPr>
                <w:rFonts w:cs="Arial"/>
                <w:sz w:val="18"/>
                <w:szCs w:val="18"/>
              </w:rPr>
              <w:t>(14)</w:t>
            </w:r>
          </w:p>
        </w:tc>
        <w:tc>
          <w:tcPr>
            <w:tcW w:w="3296" w:type="dxa"/>
            <w:shd w:val="clear" w:color="auto" w:fill="auto"/>
          </w:tcPr>
          <w:p w:rsidR="004D56BE" w:rsidRPr="00F9107C" w:rsidRDefault="004D56BE" w:rsidP="00A5038C">
            <w:pPr>
              <w:spacing w:before="80" w:after="80" w:line="240" w:lineRule="atLeast"/>
              <w:ind w:left="0" w:firstLine="0"/>
              <w:rPr>
                <w:rFonts w:cs="Arial"/>
                <w:sz w:val="18"/>
                <w:szCs w:val="18"/>
                <w:lang w:val="en-GB"/>
              </w:rPr>
            </w:pPr>
            <w:r w:rsidRPr="001717EA">
              <w:rPr>
                <w:rFonts w:cs="Arial"/>
                <w:sz w:val="18"/>
                <w:szCs w:val="18"/>
                <w:lang w:val="en-GB"/>
              </w:rPr>
              <w:t>Installation of main and emergency power supply cables</w:t>
            </w:r>
          </w:p>
        </w:tc>
        <w:tc>
          <w:tcPr>
            <w:tcW w:w="5387" w:type="dxa"/>
            <w:shd w:val="clear" w:color="auto" w:fill="auto"/>
          </w:tcPr>
          <w:p w:rsidR="004D56BE" w:rsidRPr="004B4203" w:rsidRDefault="004D56BE" w:rsidP="00A5038C">
            <w:pPr>
              <w:spacing w:before="8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4B4203" w:rsidRDefault="004D56BE" w:rsidP="00A5038C">
            <w:pPr>
              <w:spacing w:before="80" w:after="80" w:line="240" w:lineRule="atLeast"/>
              <w:jc w:val="center"/>
              <w:rPr>
                <w:rFonts w:cs="Arial"/>
                <w:sz w:val="18"/>
                <w:szCs w:val="18"/>
              </w:rPr>
            </w:pPr>
          </w:p>
        </w:tc>
        <w:tc>
          <w:tcPr>
            <w:tcW w:w="1276" w:type="dxa"/>
          </w:tcPr>
          <w:p w:rsidR="004D56BE" w:rsidRPr="00304E7F" w:rsidRDefault="004D56BE" w:rsidP="00A5038C">
            <w:pPr>
              <w:spacing w:before="80" w:after="8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val="restart"/>
            <w:shd w:val="clear" w:color="auto" w:fill="auto"/>
          </w:tcPr>
          <w:p w:rsidR="004D56BE" w:rsidRPr="004B4203" w:rsidRDefault="004D56BE" w:rsidP="00D321F1">
            <w:pPr>
              <w:spacing w:before="120" w:after="120" w:line="240" w:lineRule="atLeast"/>
              <w:rPr>
                <w:rFonts w:cs="Arial"/>
                <w:sz w:val="18"/>
                <w:szCs w:val="18"/>
                <w:lang w:val="en-GB" w:eastAsia="de-DE"/>
              </w:rPr>
            </w:pPr>
            <w:r w:rsidRPr="008F6ABB">
              <w:rPr>
                <w:rFonts w:cs="Arial"/>
                <w:sz w:val="18"/>
                <w:szCs w:val="18"/>
                <w:lang w:val="en-GB" w:eastAsia="de-DE"/>
              </w:rPr>
              <w:t xml:space="preserve">10.18 </w:t>
            </w:r>
          </w:p>
        </w:tc>
        <w:tc>
          <w:tcPr>
            <w:tcW w:w="1458" w:type="dxa"/>
            <w:shd w:val="clear" w:color="auto" w:fill="auto"/>
          </w:tcPr>
          <w:p w:rsidR="004D56BE" w:rsidRPr="00852DB3" w:rsidRDefault="004D56BE" w:rsidP="00D321F1">
            <w:pPr>
              <w:spacing w:before="120" w:after="120" w:line="240" w:lineRule="atLeast"/>
              <w:rPr>
                <w:rFonts w:cs="Arial"/>
                <w:sz w:val="18"/>
                <w:szCs w:val="18"/>
              </w:rPr>
            </w:pPr>
            <w:r w:rsidRPr="004B4203">
              <w:rPr>
                <w:rFonts w:cs="Arial"/>
                <w:sz w:val="18"/>
                <w:szCs w:val="18"/>
              </w:rPr>
              <w:t>(1)</w:t>
            </w:r>
          </w:p>
        </w:tc>
        <w:tc>
          <w:tcPr>
            <w:tcW w:w="3296" w:type="dxa"/>
            <w:shd w:val="clear" w:color="auto" w:fill="auto"/>
          </w:tcPr>
          <w:p w:rsidR="004D56BE" w:rsidRPr="001717EA" w:rsidRDefault="004D56BE" w:rsidP="00D321F1">
            <w:pPr>
              <w:spacing w:before="120" w:after="120" w:line="240" w:lineRule="atLeast"/>
              <w:ind w:left="0" w:firstLine="0"/>
              <w:rPr>
                <w:rFonts w:cs="Arial"/>
                <w:sz w:val="18"/>
                <w:szCs w:val="18"/>
                <w:lang w:val="en-GB"/>
              </w:rPr>
            </w:pPr>
            <w:r w:rsidRPr="001717EA">
              <w:rPr>
                <w:rFonts w:cs="Arial"/>
                <w:sz w:val="18"/>
                <w:szCs w:val="18"/>
                <w:lang w:val="en-GB"/>
              </w:rPr>
              <w:t>Device for disconnecting from the mains</w:t>
            </w:r>
          </w:p>
        </w:tc>
        <w:tc>
          <w:tcPr>
            <w:tcW w:w="5387" w:type="dxa"/>
            <w:shd w:val="clear" w:color="auto" w:fill="auto"/>
          </w:tcPr>
          <w:p w:rsidR="004D56BE" w:rsidRPr="00C408A4" w:rsidRDefault="004D56BE" w:rsidP="00D321F1">
            <w:pPr>
              <w:spacing w:before="120" w:after="120" w:line="240" w:lineRule="atLeast"/>
              <w:ind w:left="0" w:firstLine="0"/>
              <w:rPr>
                <w:rFonts w:cs="Arial"/>
                <w:sz w:val="18"/>
                <w:szCs w:val="18"/>
                <w:lang w:val="en-GB"/>
              </w:rPr>
            </w:pPr>
            <w:r w:rsidRPr="004B4203">
              <w:rPr>
                <w:rFonts w:cs="Arial"/>
                <w:sz w:val="18"/>
                <w:szCs w:val="18"/>
                <w:lang w:val="en-US"/>
              </w:rPr>
              <w:t>N.R.C.</w:t>
            </w:r>
          </w:p>
        </w:tc>
        <w:tc>
          <w:tcPr>
            <w:tcW w:w="1276" w:type="dxa"/>
            <w:shd w:val="clear" w:color="auto" w:fill="auto"/>
          </w:tcPr>
          <w:p w:rsidR="004D56BE" w:rsidRPr="00852DB3" w:rsidRDefault="004D56BE" w:rsidP="00D321F1">
            <w:pPr>
              <w:spacing w:before="120" w:after="120" w:line="240" w:lineRule="atLeast"/>
              <w:jc w:val="center"/>
              <w:rPr>
                <w:rFonts w:cs="Arial"/>
                <w:sz w:val="18"/>
                <w:szCs w:val="18"/>
              </w:rPr>
            </w:pPr>
          </w:p>
        </w:tc>
        <w:tc>
          <w:tcPr>
            <w:tcW w:w="1276" w:type="dxa"/>
          </w:tcPr>
          <w:p w:rsidR="004D56BE" w:rsidRPr="004B4203" w:rsidRDefault="004D56BE" w:rsidP="00D321F1">
            <w:pPr>
              <w:spacing w:before="120" w:after="12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8F6ABB" w:rsidRDefault="004D56BE" w:rsidP="00C01A94">
            <w:pPr>
              <w:spacing w:before="60" w:after="60" w:line="240" w:lineRule="atLeast"/>
              <w:rPr>
                <w:rFonts w:cs="Arial"/>
                <w:sz w:val="18"/>
                <w:szCs w:val="18"/>
                <w:lang w:val="en-GB" w:eastAsia="de-DE"/>
              </w:rPr>
            </w:pPr>
          </w:p>
        </w:tc>
        <w:tc>
          <w:tcPr>
            <w:tcW w:w="1458" w:type="dxa"/>
            <w:shd w:val="clear" w:color="auto" w:fill="auto"/>
          </w:tcPr>
          <w:p w:rsidR="004D56BE" w:rsidRPr="004B4203" w:rsidRDefault="004D56BE" w:rsidP="00C01A94">
            <w:pPr>
              <w:spacing w:before="60" w:after="60" w:line="240" w:lineRule="atLeast"/>
              <w:ind w:left="0" w:firstLine="0"/>
              <w:jc w:val="left"/>
              <w:rPr>
                <w:rFonts w:cs="Arial"/>
                <w:sz w:val="18"/>
                <w:szCs w:val="18"/>
              </w:rPr>
            </w:pPr>
            <w:r w:rsidRPr="004B4203">
              <w:rPr>
                <w:rFonts w:cs="Arial"/>
                <w:sz w:val="18"/>
                <w:szCs w:val="18"/>
              </w:rPr>
              <w:t>(2)</w:t>
            </w:r>
          </w:p>
        </w:tc>
        <w:tc>
          <w:tcPr>
            <w:tcW w:w="3296"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C408A4">
              <w:rPr>
                <w:rFonts w:cs="Arial"/>
                <w:sz w:val="18"/>
                <w:szCs w:val="18"/>
                <w:lang w:val="en-GB"/>
              </w:rPr>
              <w:t>Accessibility</w:t>
            </w:r>
          </w:p>
        </w:tc>
        <w:tc>
          <w:tcPr>
            <w:tcW w:w="5387"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4B4203">
              <w:rPr>
                <w:rFonts w:cs="Arial"/>
                <w:sz w:val="18"/>
                <w:szCs w:val="18"/>
                <w:lang w:val="en-US"/>
              </w:rPr>
              <w:t>N.R.C.</w:t>
            </w:r>
          </w:p>
        </w:tc>
        <w:tc>
          <w:tcPr>
            <w:tcW w:w="1276" w:type="dxa"/>
            <w:shd w:val="clear" w:color="auto" w:fill="auto"/>
          </w:tcPr>
          <w:p w:rsidR="004D56BE" w:rsidRPr="004B4203" w:rsidRDefault="004D56BE" w:rsidP="00C01A94">
            <w:pPr>
              <w:spacing w:before="60" w:after="60" w:line="240" w:lineRule="atLeast"/>
              <w:jc w:val="center"/>
              <w:rPr>
                <w:rFonts w:cs="Arial"/>
                <w:sz w:val="18"/>
                <w:szCs w:val="18"/>
              </w:rPr>
            </w:pPr>
          </w:p>
        </w:tc>
        <w:tc>
          <w:tcPr>
            <w:tcW w:w="1276" w:type="dxa"/>
          </w:tcPr>
          <w:p w:rsidR="004D56BE" w:rsidRPr="00304E7F" w:rsidRDefault="004D56BE" w:rsidP="00C01A94">
            <w:pPr>
              <w:spacing w:before="60" w:after="6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8F6ABB" w:rsidRDefault="004D56BE" w:rsidP="00C01A94">
            <w:pPr>
              <w:spacing w:before="60" w:after="60" w:line="240" w:lineRule="atLeast"/>
              <w:rPr>
                <w:rFonts w:cs="Arial"/>
                <w:sz w:val="18"/>
                <w:szCs w:val="18"/>
                <w:lang w:val="en-GB" w:eastAsia="de-DE"/>
              </w:rPr>
            </w:pPr>
          </w:p>
        </w:tc>
        <w:tc>
          <w:tcPr>
            <w:tcW w:w="1458" w:type="dxa"/>
            <w:shd w:val="clear" w:color="auto" w:fill="auto"/>
          </w:tcPr>
          <w:p w:rsidR="004D56BE" w:rsidRPr="004B4203" w:rsidRDefault="004D56BE" w:rsidP="00C01A94">
            <w:pPr>
              <w:spacing w:before="60" w:after="60" w:line="240" w:lineRule="atLeast"/>
              <w:ind w:left="0" w:firstLine="0"/>
              <w:jc w:val="left"/>
              <w:rPr>
                <w:rFonts w:cs="Arial"/>
                <w:sz w:val="18"/>
                <w:szCs w:val="18"/>
              </w:rPr>
            </w:pPr>
            <w:r w:rsidRPr="004B4203">
              <w:rPr>
                <w:rFonts w:cs="Arial"/>
                <w:sz w:val="18"/>
                <w:szCs w:val="18"/>
              </w:rPr>
              <w:t>(3)</w:t>
            </w:r>
          </w:p>
        </w:tc>
        <w:tc>
          <w:tcPr>
            <w:tcW w:w="3296"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1717EA">
              <w:rPr>
                <w:rFonts w:cs="Arial"/>
                <w:sz w:val="18"/>
                <w:szCs w:val="18"/>
                <w:lang w:val="en-GB"/>
              </w:rPr>
              <w:t>Galvanic separation of control and power circuits</w:t>
            </w:r>
          </w:p>
        </w:tc>
        <w:tc>
          <w:tcPr>
            <w:tcW w:w="5387"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4B4203">
              <w:rPr>
                <w:rFonts w:cs="Arial"/>
                <w:sz w:val="18"/>
                <w:szCs w:val="18"/>
                <w:lang w:val="en-US"/>
              </w:rPr>
              <w:t>N.R.C.</w:t>
            </w:r>
          </w:p>
        </w:tc>
        <w:tc>
          <w:tcPr>
            <w:tcW w:w="1276" w:type="dxa"/>
            <w:shd w:val="clear" w:color="auto" w:fill="auto"/>
          </w:tcPr>
          <w:p w:rsidR="004D56BE" w:rsidRPr="004B4203" w:rsidRDefault="004D56BE" w:rsidP="00C01A94">
            <w:pPr>
              <w:spacing w:before="60" w:after="60" w:line="240" w:lineRule="atLeast"/>
              <w:jc w:val="center"/>
              <w:rPr>
                <w:rFonts w:cs="Arial"/>
                <w:sz w:val="18"/>
                <w:szCs w:val="18"/>
              </w:rPr>
            </w:pPr>
          </w:p>
        </w:tc>
        <w:tc>
          <w:tcPr>
            <w:tcW w:w="1276" w:type="dxa"/>
          </w:tcPr>
          <w:p w:rsidR="004D56BE" w:rsidRPr="00304E7F" w:rsidRDefault="004D56BE" w:rsidP="00C01A94">
            <w:pPr>
              <w:spacing w:before="60" w:after="6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8F6ABB" w:rsidRDefault="004D56BE" w:rsidP="00C01A94">
            <w:pPr>
              <w:spacing w:before="60" w:after="60" w:line="240" w:lineRule="atLeast"/>
              <w:rPr>
                <w:rFonts w:cs="Arial"/>
                <w:sz w:val="18"/>
                <w:szCs w:val="18"/>
                <w:lang w:val="en-GB" w:eastAsia="de-DE"/>
              </w:rPr>
            </w:pPr>
          </w:p>
        </w:tc>
        <w:tc>
          <w:tcPr>
            <w:tcW w:w="1458" w:type="dxa"/>
            <w:shd w:val="clear" w:color="auto" w:fill="auto"/>
          </w:tcPr>
          <w:p w:rsidR="004D56BE" w:rsidRPr="004B4203" w:rsidRDefault="004D56BE" w:rsidP="00C01A94">
            <w:pPr>
              <w:spacing w:before="60" w:after="60" w:line="240" w:lineRule="atLeast"/>
              <w:ind w:left="0" w:firstLine="0"/>
              <w:jc w:val="left"/>
              <w:rPr>
                <w:rFonts w:cs="Arial"/>
                <w:sz w:val="18"/>
                <w:szCs w:val="18"/>
              </w:rPr>
            </w:pPr>
            <w:r w:rsidRPr="004B4203">
              <w:rPr>
                <w:rFonts w:cs="Arial"/>
                <w:sz w:val="18"/>
                <w:szCs w:val="18"/>
              </w:rPr>
              <w:t>(4)</w:t>
            </w:r>
          </w:p>
        </w:tc>
        <w:tc>
          <w:tcPr>
            <w:tcW w:w="3296"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1717EA">
              <w:rPr>
                <w:rFonts w:cs="Arial"/>
                <w:sz w:val="18"/>
                <w:szCs w:val="18"/>
                <w:lang w:val="en-GB"/>
              </w:rPr>
              <w:t>Operating with voltage and frequency variations</w:t>
            </w:r>
          </w:p>
        </w:tc>
        <w:tc>
          <w:tcPr>
            <w:tcW w:w="5387"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4B4203">
              <w:rPr>
                <w:rFonts w:cs="Arial"/>
                <w:sz w:val="18"/>
                <w:szCs w:val="18"/>
                <w:lang w:val="en-US"/>
              </w:rPr>
              <w:t>N.R.C.</w:t>
            </w:r>
          </w:p>
        </w:tc>
        <w:tc>
          <w:tcPr>
            <w:tcW w:w="1276" w:type="dxa"/>
            <w:shd w:val="clear" w:color="auto" w:fill="auto"/>
          </w:tcPr>
          <w:p w:rsidR="004D56BE" w:rsidRPr="004B4203" w:rsidRDefault="004D56BE" w:rsidP="00C01A94">
            <w:pPr>
              <w:spacing w:before="60" w:after="60" w:line="240" w:lineRule="atLeast"/>
              <w:jc w:val="center"/>
              <w:rPr>
                <w:rFonts w:cs="Arial"/>
                <w:sz w:val="18"/>
                <w:szCs w:val="18"/>
              </w:rPr>
            </w:pPr>
          </w:p>
        </w:tc>
        <w:tc>
          <w:tcPr>
            <w:tcW w:w="1276" w:type="dxa"/>
          </w:tcPr>
          <w:p w:rsidR="004D56BE" w:rsidRPr="00304E7F" w:rsidRDefault="004D56BE" w:rsidP="00C01A94">
            <w:pPr>
              <w:spacing w:before="60" w:after="6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8F6ABB" w:rsidRDefault="004D56BE" w:rsidP="00C01A94">
            <w:pPr>
              <w:spacing w:before="60" w:after="60" w:line="240" w:lineRule="atLeast"/>
              <w:rPr>
                <w:rFonts w:cs="Arial"/>
                <w:sz w:val="18"/>
                <w:szCs w:val="18"/>
                <w:lang w:val="en-GB" w:eastAsia="de-DE"/>
              </w:rPr>
            </w:pPr>
          </w:p>
        </w:tc>
        <w:tc>
          <w:tcPr>
            <w:tcW w:w="1458" w:type="dxa"/>
            <w:shd w:val="clear" w:color="auto" w:fill="auto"/>
          </w:tcPr>
          <w:p w:rsidR="004D56BE" w:rsidRPr="004B4203" w:rsidRDefault="004D56BE" w:rsidP="00C01A94">
            <w:pPr>
              <w:spacing w:before="60" w:after="60" w:line="240" w:lineRule="atLeast"/>
              <w:ind w:left="0" w:firstLine="0"/>
              <w:jc w:val="left"/>
              <w:rPr>
                <w:rFonts w:cs="Arial"/>
                <w:sz w:val="18"/>
                <w:szCs w:val="18"/>
              </w:rPr>
            </w:pPr>
            <w:r w:rsidRPr="004B4203">
              <w:rPr>
                <w:rFonts w:cs="Arial"/>
                <w:sz w:val="18"/>
                <w:szCs w:val="18"/>
              </w:rPr>
              <w:t>(5)</w:t>
            </w:r>
          </w:p>
        </w:tc>
        <w:tc>
          <w:tcPr>
            <w:tcW w:w="3296"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1717EA">
              <w:rPr>
                <w:rFonts w:cs="Arial"/>
                <w:sz w:val="18"/>
                <w:szCs w:val="18"/>
                <w:lang w:val="en-GB"/>
              </w:rPr>
              <w:t>Discharge time when disconnected from mains</w:t>
            </w:r>
          </w:p>
        </w:tc>
        <w:tc>
          <w:tcPr>
            <w:tcW w:w="5387"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4B4203">
              <w:rPr>
                <w:rFonts w:cs="Arial"/>
                <w:sz w:val="18"/>
                <w:szCs w:val="18"/>
                <w:lang w:val="en-US"/>
              </w:rPr>
              <w:t>N.R.C.</w:t>
            </w:r>
          </w:p>
        </w:tc>
        <w:tc>
          <w:tcPr>
            <w:tcW w:w="1276" w:type="dxa"/>
            <w:shd w:val="clear" w:color="auto" w:fill="auto"/>
          </w:tcPr>
          <w:p w:rsidR="004D56BE" w:rsidRPr="00C408A4" w:rsidRDefault="004D56BE" w:rsidP="00C01A94">
            <w:pPr>
              <w:spacing w:before="60" w:after="60" w:line="240" w:lineRule="atLeast"/>
              <w:jc w:val="center"/>
              <w:rPr>
                <w:rFonts w:cs="Arial"/>
                <w:sz w:val="18"/>
                <w:szCs w:val="18"/>
                <w:lang w:val="en-GB"/>
              </w:rPr>
            </w:pPr>
          </w:p>
        </w:tc>
        <w:tc>
          <w:tcPr>
            <w:tcW w:w="1276" w:type="dxa"/>
          </w:tcPr>
          <w:p w:rsidR="004D56BE" w:rsidRPr="00304E7F" w:rsidRDefault="004D56BE" w:rsidP="00C01A94">
            <w:pPr>
              <w:spacing w:before="60" w:after="6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8F6ABB" w:rsidRDefault="004D56BE" w:rsidP="00C01A94">
            <w:pPr>
              <w:spacing w:before="60" w:after="60" w:line="240" w:lineRule="atLeast"/>
              <w:rPr>
                <w:rFonts w:cs="Arial"/>
                <w:sz w:val="18"/>
                <w:szCs w:val="18"/>
                <w:lang w:val="en-GB" w:eastAsia="de-DE"/>
              </w:rPr>
            </w:pPr>
          </w:p>
        </w:tc>
        <w:tc>
          <w:tcPr>
            <w:tcW w:w="1458" w:type="dxa"/>
            <w:shd w:val="clear" w:color="auto" w:fill="auto"/>
          </w:tcPr>
          <w:p w:rsidR="004D56BE" w:rsidRPr="004B4203" w:rsidRDefault="004D56BE" w:rsidP="00C01A94">
            <w:pPr>
              <w:spacing w:before="60" w:after="60" w:line="240" w:lineRule="atLeast"/>
              <w:ind w:left="0" w:firstLine="0"/>
              <w:jc w:val="left"/>
              <w:rPr>
                <w:rFonts w:cs="Arial"/>
                <w:sz w:val="18"/>
                <w:szCs w:val="18"/>
              </w:rPr>
            </w:pPr>
            <w:r w:rsidRPr="004B4203">
              <w:rPr>
                <w:rFonts w:cs="Arial"/>
                <w:sz w:val="18"/>
                <w:szCs w:val="18"/>
              </w:rPr>
              <w:t>(6)</w:t>
            </w:r>
          </w:p>
        </w:tc>
        <w:tc>
          <w:tcPr>
            <w:tcW w:w="3296"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1717EA">
              <w:rPr>
                <w:rFonts w:cs="Arial"/>
                <w:sz w:val="18"/>
                <w:szCs w:val="18"/>
                <w:lang w:val="en-GB"/>
              </w:rPr>
              <w:t>Response upon failure of external control signals</w:t>
            </w:r>
          </w:p>
        </w:tc>
        <w:tc>
          <w:tcPr>
            <w:tcW w:w="5387"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4B4203">
              <w:rPr>
                <w:rFonts w:cs="Arial"/>
                <w:sz w:val="18"/>
                <w:szCs w:val="18"/>
                <w:lang w:val="en-US"/>
              </w:rPr>
              <w:t>N.R.C.</w:t>
            </w:r>
          </w:p>
        </w:tc>
        <w:tc>
          <w:tcPr>
            <w:tcW w:w="1276" w:type="dxa"/>
            <w:shd w:val="clear" w:color="auto" w:fill="auto"/>
          </w:tcPr>
          <w:p w:rsidR="004D56BE" w:rsidRPr="004B4203" w:rsidRDefault="004D56BE" w:rsidP="00C01A94">
            <w:pPr>
              <w:spacing w:before="60" w:after="60" w:line="240" w:lineRule="atLeast"/>
              <w:jc w:val="center"/>
              <w:rPr>
                <w:rFonts w:cs="Arial"/>
                <w:sz w:val="18"/>
                <w:szCs w:val="18"/>
              </w:rPr>
            </w:pPr>
          </w:p>
        </w:tc>
        <w:tc>
          <w:tcPr>
            <w:tcW w:w="1276" w:type="dxa"/>
          </w:tcPr>
          <w:p w:rsidR="004D56BE" w:rsidRPr="00304E7F" w:rsidRDefault="004D56BE" w:rsidP="00C01A94">
            <w:pPr>
              <w:spacing w:before="60" w:after="6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8F6ABB" w:rsidRDefault="004D56BE" w:rsidP="00C01A94">
            <w:pPr>
              <w:spacing w:before="60" w:after="60" w:line="240" w:lineRule="atLeast"/>
              <w:rPr>
                <w:rFonts w:cs="Arial"/>
                <w:sz w:val="18"/>
                <w:szCs w:val="18"/>
                <w:lang w:val="en-GB" w:eastAsia="de-DE"/>
              </w:rPr>
            </w:pPr>
          </w:p>
        </w:tc>
        <w:tc>
          <w:tcPr>
            <w:tcW w:w="1458" w:type="dxa"/>
            <w:shd w:val="clear" w:color="auto" w:fill="auto"/>
          </w:tcPr>
          <w:p w:rsidR="004D56BE" w:rsidRPr="004B4203" w:rsidRDefault="004D56BE" w:rsidP="00C01A94">
            <w:pPr>
              <w:spacing w:before="60" w:after="60" w:line="240" w:lineRule="atLeast"/>
              <w:ind w:left="0" w:firstLine="0"/>
              <w:jc w:val="left"/>
              <w:rPr>
                <w:rFonts w:cs="Arial"/>
                <w:sz w:val="18"/>
                <w:szCs w:val="18"/>
              </w:rPr>
            </w:pPr>
            <w:r w:rsidRPr="004B4203">
              <w:rPr>
                <w:rFonts w:cs="Arial"/>
                <w:sz w:val="18"/>
                <w:szCs w:val="18"/>
              </w:rPr>
              <w:t>(7)</w:t>
            </w:r>
          </w:p>
        </w:tc>
        <w:tc>
          <w:tcPr>
            <w:tcW w:w="3296"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1717EA">
              <w:rPr>
                <w:rFonts w:cs="Arial"/>
                <w:sz w:val="18"/>
                <w:szCs w:val="18"/>
                <w:lang w:val="en-GB"/>
              </w:rPr>
              <w:t>Response upon failure of control voltages</w:t>
            </w:r>
          </w:p>
        </w:tc>
        <w:tc>
          <w:tcPr>
            <w:tcW w:w="5387"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4B4203">
              <w:rPr>
                <w:rFonts w:cs="Arial"/>
                <w:sz w:val="18"/>
                <w:szCs w:val="18"/>
                <w:lang w:val="en-US"/>
              </w:rPr>
              <w:t>N.R.C.</w:t>
            </w:r>
          </w:p>
        </w:tc>
        <w:tc>
          <w:tcPr>
            <w:tcW w:w="1276" w:type="dxa"/>
            <w:shd w:val="clear" w:color="auto" w:fill="auto"/>
          </w:tcPr>
          <w:p w:rsidR="004D56BE" w:rsidRPr="004B4203" w:rsidRDefault="004D56BE" w:rsidP="00C01A94">
            <w:pPr>
              <w:spacing w:before="60" w:after="60" w:line="240" w:lineRule="atLeast"/>
              <w:jc w:val="center"/>
              <w:rPr>
                <w:rFonts w:cs="Arial"/>
                <w:sz w:val="18"/>
                <w:szCs w:val="18"/>
              </w:rPr>
            </w:pPr>
          </w:p>
        </w:tc>
        <w:tc>
          <w:tcPr>
            <w:tcW w:w="1276" w:type="dxa"/>
          </w:tcPr>
          <w:p w:rsidR="004D56BE" w:rsidRPr="00304E7F" w:rsidRDefault="004D56BE" w:rsidP="00C01A94">
            <w:pPr>
              <w:spacing w:before="60" w:after="6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8F6ABB" w:rsidRDefault="004D56BE" w:rsidP="00C01A94">
            <w:pPr>
              <w:spacing w:before="60" w:after="60" w:line="240" w:lineRule="atLeast"/>
              <w:rPr>
                <w:rFonts w:cs="Arial"/>
                <w:sz w:val="18"/>
                <w:szCs w:val="18"/>
                <w:lang w:val="en-GB" w:eastAsia="de-DE"/>
              </w:rPr>
            </w:pPr>
          </w:p>
        </w:tc>
        <w:tc>
          <w:tcPr>
            <w:tcW w:w="1458" w:type="dxa"/>
            <w:shd w:val="clear" w:color="auto" w:fill="auto"/>
          </w:tcPr>
          <w:p w:rsidR="004D56BE" w:rsidRPr="004B4203" w:rsidRDefault="004D56BE" w:rsidP="00C01A94">
            <w:pPr>
              <w:spacing w:before="60" w:after="60" w:line="240" w:lineRule="atLeast"/>
              <w:ind w:left="0" w:firstLine="0"/>
              <w:jc w:val="left"/>
              <w:rPr>
                <w:rFonts w:cs="Arial"/>
                <w:sz w:val="18"/>
                <w:szCs w:val="18"/>
              </w:rPr>
            </w:pPr>
            <w:r w:rsidRPr="004B4203">
              <w:rPr>
                <w:rFonts w:cs="Arial"/>
                <w:sz w:val="18"/>
                <w:szCs w:val="18"/>
              </w:rPr>
              <w:t>(8)</w:t>
            </w:r>
          </w:p>
        </w:tc>
        <w:tc>
          <w:tcPr>
            <w:tcW w:w="3296"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1717EA">
              <w:rPr>
                <w:rFonts w:cs="Arial"/>
                <w:sz w:val="18"/>
                <w:szCs w:val="18"/>
                <w:lang w:val="en-GB"/>
              </w:rPr>
              <w:t xml:space="preserve">Error detection and prevention of </w:t>
            </w:r>
            <w:r>
              <w:rPr>
                <w:rFonts w:cs="Arial"/>
                <w:sz w:val="18"/>
                <w:szCs w:val="18"/>
                <w:lang w:val="en-GB"/>
              </w:rPr>
              <w:t>undetected errors</w:t>
            </w:r>
          </w:p>
        </w:tc>
        <w:tc>
          <w:tcPr>
            <w:tcW w:w="5387"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4B4203">
              <w:rPr>
                <w:rFonts w:cs="Arial"/>
                <w:sz w:val="18"/>
                <w:szCs w:val="18"/>
                <w:lang w:val="en-US"/>
              </w:rPr>
              <w:t>N.R.C.</w:t>
            </w:r>
          </w:p>
        </w:tc>
        <w:tc>
          <w:tcPr>
            <w:tcW w:w="1276" w:type="dxa"/>
            <w:shd w:val="clear" w:color="auto" w:fill="auto"/>
          </w:tcPr>
          <w:p w:rsidR="004D56BE" w:rsidRPr="004B4203" w:rsidRDefault="004D56BE" w:rsidP="00C01A94">
            <w:pPr>
              <w:spacing w:before="60" w:after="60" w:line="240" w:lineRule="atLeast"/>
              <w:jc w:val="center"/>
              <w:rPr>
                <w:rFonts w:cs="Arial"/>
                <w:sz w:val="18"/>
                <w:szCs w:val="18"/>
              </w:rPr>
            </w:pPr>
          </w:p>
        </w:tc>
        <w:tc>
          <w:tcPr>
            <w:tcW w:w="1276" w:type="dxa"/>
          </w:tcPr>
          <w:p w:rsidR="004D56BE" w:rsidRPr="00304E7F" w:rsidRDefault="004D56BE" w:rsidP="00C01A94">
            <w:pPr>
              <w:spacing w:before="60" w:after="6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shd w:val="clear" w:color="auto" w:fill="auto"/>
          </w:tcPr>
          <w:p w:rsidR="004D56BE" w:rsidRPr="008F6ABB" w:rsidRDefault="004D56BE" w:rsidP="00C01A94">
            <w:pPr>
              <w:spacing w:before="60" w:after="60" w:line="240" w:lineRule="atLeast"/>
              <w:rPr>
                <w:rFonts w:cs="Arial"/>
                <w:sz w:val="18"/>
                <w:szCs w:val="18"/>
                <w:lang w:val="en-GB" w:eastAsia="de-DE"/>
              </w:rPr>
            </w:pPr>
          </w:p>
        </w:tc>
        <w:tc>
          <w:tcPr>
            <w:tcW w:w="1458" w:type="dxa"/>
            <w:shd w:val="clear" w:color="auto" w:fill="auto"/>
          </w:tcPr>
          <w:p w:rsidR="004D56BE" w:rsidRPr="004B4203" w:rsidRDefault="004D56BE" w:rsidP="00C01A94">
            <w:pPr>
              <w:spacing w:before="60" w:after="60" w:line="240" w:lineRule="atLeast"/>
              <w:ind w:left="0" w:firstLine="0"/>
              <w:jc w:val="left"/>
              <w:rPr>
                <w:rFonts w:cs="Arial"/>
                <w:sz w:val="18"/>
                <w:szCs w:val="18"/>
              </w:rPr>
            </w:pPr>
            <w:r w:rsidRPr="004B4203">
              <w:rPr>
                <w:rFonts w:cs="Arial"/>
                <w:sz w:val="18"/>
                <w:szCs w:val="18"/>
              </w:rPr>
              <w:t>(9)</w:t>
            </w:r>
          </w:p>
        </w:tc>
        <w:tc>
          <w:tcPr>
            <w:tcW w:w="3296"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C408A4">
              <w:rPr>
                <w:rFonts w:cs="Arial"/>
                <w:sz w:val="18"/>
                <w:szCs w:val="18"/>
                <w:lang w:val="en-GB"/>
              </w:rPr>
              <w:t>Monitoring</w:t>
            </w:r>
          </w:p>
        </w:tc>
        <w:tc>
          <w:tcPr>
            <w:tcW w:w="5387"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4B4203">
              <w:rPr>
                <w:rFonts w:cs="Arial"/>
                <w:sz w:val="18"/>
                <w:szCs w:val="18"/>
                <w:lang w:val="en-US"/>
              </w:rPr>
              <w:t>N.R.C.</w:t>
            </w:r>
          </w:p>
        </w:tc>
        <w:tc>
          <w:tcPr>
            <w:tcW w:w="1276" w:type="dxa"/>
            <w:shd w:val="clear" w:color="auto" w:fill="auto"/>
          </w:tcPr>
          <w:p w:rsidR="004D56BE" w:rsidRPr="004B4203" w:rsidRDefault="004D56BE" w:rsidP="00C01A94">
            <w:pPr>
              <w:spacing w:before="60" w:after="60" w:line="240" w:lineRule="atLeast"/>
              <w:jc w:val="center"/>
              <w:rPr>
                <w:rFonts w:cs="Arial"/>
                <w:sz w:val="18"/>
                <w:szCs w:val="18"/>
              </w:rPr>
            </w:pPr>
          </w:p>
        </w:tc>
        <w:tc>
          <w:tcPr>
            <w:tcW w:w="1276" w:type="dxa"/>
          </w:tcPr>
          <w:p w:rsidR="004D56BE" w:rsidRPr="00304E7F" w:rsidRDefault="004D56BE" w:rsidP="00C01A94">
            <w:pPr>
              <w:spacing w:before="60" w:after="60" w:line="240" w:lineRule="atLeast"/>
              <w:jc w:val="center"/>
              <w:rPr>
                <w:rFonts w:cs="Arial"/>
                <w:sz w:val="18"/>
                <w:szCs w:val="18"/>
              </w:rPr>
            </w:pPr>
            <w:r w:rsidRPr="00304E7F">
              <w:rPr>
                <w:rFonts w:cs="Arial"/>
                <w:sz w:val="18"/>
                <w:szCs w:val="18"/>
              </w:rPr>
              <w:t>7.10.2018</w:t>
            </w:r>
          </w:p>
        </w:tc>
      </w:tr>
      <w:tr w:rsidR="004D56BE" w:rsidRPr="00C903F8" w:rsidTr="00A5358D">
        <w:trPr>
          <w:cantSplit/>
          <w:jc w:val="center"/>
        </w:trPr>
        <w:tc>
          <w:tcPr>
            <w:tcW w:w="1342" w:type="dxa"/>
            <w:vMerge/>
            <w:tcBorders>
              <w:bottom w:val="nil"/>
            </w:tcBorders>
            <w:shd w:val="clear" w:color="auto" w:fill="auto"/>
          </w:tcPr>
          <w:p w:rsidR="004D56BE" w:rsidRPr="008F6ABB" w:rsidRDefault="004D56BE" w:rsidP="00C01A94">
            <w:pPr>
              <w:spacing w:before="60" w:after="60" w:line="240" w:lineRule="atLeast"/>
              <w:rPr>
                <w:rFonts w:cs="Arial"/>
                <w:sz w:val="18"/>
                <w:szCs w:val="18"/>
                <w:lang w:val="en-GB" w:eastAsia="de-DE"/>
              </w:rPr>
            </w:pPr>
          </w:p>
        </w:tc>
        <w:tc>
          <w:tcPr>
            <w:tcW w:w="1458" w:type="dxa"/>
            <w:shd w:val="clear" w:color="auto" w:fill="auto"/>
          </w:tcPr>
          <w:p w:rsidR="004D56BE" w:rsidRPr="004B4203" w:rsidRDefault="004D56BE" w:rsidP="00C01A94">
            <w:pPr>
              <w:spacing w:before="60" w:after="60" w:line="240" w:lineRule="atLeast"/>
              <w:ind w:left="0" w:firstLine="0"/>
              <w:jc w:val="left"/>
              <w:rPr>
                <w:rFonts w:cs="Arial"/>
                <w:sz w:val="18"/>
                <w:szCs w:val="18"/>
              </w:rPr>
            </w:pPr>
            <w:r w:rsidRPr="004B4203">
              <w:rPr>
                <w:rFonts w:cs="Arial"/>
                <w:sz w:val="18"/>
                <w:szCs w:val="18"/>
              </w:rPr>
              <w:t>(10)</w:t>
            </w:r>
          </w:p>
        </w:tc>
        <w:tc>
          <w:tcPr>
            <w:tcW w:w="3296"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C408A4">
              <w:rPr>
                <w:rFonts w:cs="Arial"/>
                <w:sz w:val="18"/>
                <w:szCs w:val="18"/>
                <w:lang w:val="en-GB"/>
              </w:rPr>
              <w:t>Type examination</w:t>
            </w:r>
          </w:p>
        </w:tc>
        <w:tc>
          <w:tcPr>
            <w:tcW w:w="5387" w:type="dxa"/>
            <w:shd w:val="clear" w:color="auto" w:fill="auto"/>
          </w:tcPr>
          <w:p w:rsidR="004D56BE" w:rsidRPr="00C408A4" w:rsidRDefault="004D56BE" w:rsidP="00C01A94">
            <w:pPr>
              <w:spacing w:before="60" w:after="60" w:line="240" w:lineRule="atLeast"/>
              <w:ind w:left="0" w:firstLine="0"/>
              <w:rPr>
                <w:rFonts w:cs="Arial"/>
                <w:sz w:val="18"/>
                <w:szCs w:val="18"/>
                <w:lang w:val="en-GB"/>
              </w:rPr>
            </w:pPr>
            <w:r w:rsidRPr="004B4203">
              <w:rPr>
                <w:rFonts w:cs="Arial"/>
                <w:sz w:val="18"/>
                <w:szCs w:val="18"/>
                <w:lang w:val="en-US"/>
              </w:rPr>
              <w:t>N.R.C.</w:t>
            </w:r>
          </w:p>
        </w:tc>
        <w:tc>
          <w:tcPr>
            <w:tcW w:w="1276" w:type="dxa"/>
            <w:shd w:val="clear" w:color="auto" w:fill="auto"/>
          </w:tcPr>
          <w:p w:rsidR="004D56BE" w:rsidRPr="004B4203" w:rsidRDefault="004D56BE" w:rsidP="00C01A94">
            <w:pPr>
              <w:spacing w:before="60" w:after="60" w:line="240" w:lineRule="atLeast"/>
              <w:jc w:val="center"/>
              <w:rPr>
                <w:rFonts w:cs="Arial"/>
                <w:sz w:val="18"/>
                <w:szCs w:val="18"/>
              </w:rPr>
            </w:pPr>
          </w:p>
        </w:tc>
        <w:tc>
          <w:tcPr>
            <w:tcW w:w="1276" w:type="dxa"/>
          </w:tcPr>
          <w:p w:rsidR="004D56BE" w:rsidRPr="00304E7F" w:rsidRDefault="004D56BE" w:rsidP="00C01A94">
            <w:pPr>
              <w:spacing w:before="60" w:after="60" w:line="240" w:lineRule="atLeast"/>
              <w:jc w:val="center"/>
              <w:rPr>
                <w:rFonts w:cs="Arial"/>
                <w:sz w:val="18"/>
                <w:szCs w:val="18"/>
              </w:rPr>
            </w:pPr>
            <w:r w:rsidRPr="00304E7F">
              <w:rPr>
                <w:rFonts w:cs="Arial"/>
                <w:sz w:val="18"/>
                <w:szCs w:val="18"/>
              </w:rPr>
              <w:t>7.10.2018</w:t>
            </w:r>
          </w:p>
        </w:tc>
      </w:tr>
      <w:tr w:rsidR="004D56BE" w:rsidRPr="00C903F8" w:rsidTr="00E04086">
        <w:trPr>
          <w:cantSplit/>
          <w:jc w:val="center"/>
        </w:trPr>
        <w:tc>
          <w:tcPr>
            <w:tcW w:w="6096" w:type="dxa"/>
            <w:gridSpan w:val="3"/>
            <w:tcBorders>
              <w:bottom w:val="nil"/>
            </w:tcBorders>
            <w:shd w:val="clear" w:color="auto" w:fill="auto"/>
          </w:tcPr>
          <w:p w:rsidR="004D56BE" w:rsidRPr="00C903F8" w:rsidRDefault="004D56BE" w:rsidP="00C01A94">
            <w:pPr>
              <w:spacing w:before="120" w:after="120" w:line="240" w:lineRule="atLeast"/>
              <w:ind w:left="0" w:firstLine="0"/>
              <w:jc w:val="center"/>
              <w:rPr>
                <w:rFonts w:cs="Arial"/>
                <w:noProof/>
                <w:sz w:val="18"/>
                <w:szCs w:val="18"/>
              </w:rPr>
            </w:pPr>
            <w:r w:rsidRPr="00C903F8">
              <w:rPr>
                <w:rFonts w:cs="Arial"/>
                <w:b/>
                <w:sz w:val="18"/>
                <w:szCs w:val="18"/>
              </w:rPr>
              <w:t>CHAPTER 13</w:t>
            </w:r>
          </w:p>
        </w:tc>
        <w:tc>
          <w:tcPr>
            <w:tcW w:w="5387" w:type="dxa"/>
            <w:shd w:val="clear" w:color="auto" w:fill="auto"/>
          </w:tcPr>
          <w:p w:rsidR="004D56BE" w:rsidRDefault="004D56BE" w:rsidP="00C01A94">
            <w:pPr>
              <w:spacing w:before="120" w:after="120" w:line="240" w:lineRule="atLeast"/>
              <w:ind w:left="0" w:firstLine="0"/>
              <w:rPr>
                <w:rFonts w:cs="Arial"/>
                <w:sz w:val="18"/>
                <w:szCs w:val="18"/>
                <w:lang w:val="en-US"/>
              </w:rPr>
            </w:pPr>
          </w:p>
        </w:tc>
        <w:tc>
          <w:tcPr>
            <w:tcW w:w="1276" w:type="dxa"/>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276" w:type="dxa"/>
          </w:tcPr>
          <w:p w:rsidR="004D56BE" w:rsidRPr="00C903F8" w:rsidRDefault="004D56BE" w:rsidP="00C01A94">
            <w:pPr>
              <w:spacing w:before="120" w:after="120" w:line="240" w:lineRule="atLeast"/>
              <w:ind w:left="0" w:firstLine="0"/>
              <w:rPr>
                <w:rFonts w:cs="Arial"/>
                <w:sz w:val="18"/>
                <w:szCs w:val="18"/>
              </w:rPr>
            </w:pPr>
          </w:p>
        </w:tc>
      </w:tr>
      <w:tr w:rsidR="004D56BE" w:rsidRPr="00C903F8" w:rsidTr="008D5C65">
        <w:trPr>
          <w:cantSplit/>
          <w:jc w:val="center"/>
        </w:trPr>
        <w:tc>
          <w:tcPr>
            <w:tcW w:w="1342" w:type="dxa"/>
            <w:tcBorders>
              <w:bottom w:val="nil"/>
            </w:tcBorders>
            <w:shd w:val="clear" w:color="auto" w:fill="auto"/>
          </w:tcPr>
          <w:p w:rsidR="004D56BE" w:rsidRPr="00C903F8" w:rsidRDefault="004D56BE" w:rsidP="00D321F1">
            <w:pPr>
              <w:spacing w:before="60" w:after="60" w:line="240" w:lineRule="atLeast"/>
              <w:ind w:left="0" w:firstLine="0"/>
              <w:rPr>
                <w:rFonts w:cs="Arial"/>
                <w:sz w:val="18"/>
                <w:szCs w:val="18"/>
              </w:rPr>
            </w:pPr>
            <w:r w:rsidRPr="00C903F8">
              <w:rPr>
                <w:rFonts w:cs="Arial"/>
                <w:sz w:val="18"/>
                <w:szCs w:val="18"/>
              </w:rPr>
              <w:t>13.02</w:t>
            </w:r>
          </w:p>
        </w:tc>
        <w:tc>
          <w:tcPr>
            <w:tcW w:w="1458" w:type="dxa"/>
            <w:shd w:val="clear" w:color="auto" w:fill="auto"/>
          </w:tcPr>
          <w:p w:rsidR="004D56BE" w:rsidRPr="00C903F8" w:rsidRDefault="004D56BE" w:rsidP="00D321F1">
            <w:pPr>
              <w:spacing w:before="60" w:after="60" w:line="240" w:lineRule="atLeast"/>
              <w:ind w:left="0" w:firstLine="0"/>
              <w:rPr>
                <w:rFonts w:cs="Arial"/>
                <w:sz w:val="18"/>
                <w:szCs w:val="18"/>
              </w:rPr>
            </w:pPr>
            <w:r w:rsidRPr="00C903F8">
              <w:rPr>
                <w:rFonts w:cs="Arial"/>
                <w:sz w:val="18"/>
                <w:szCs w:val="18"/>
              </w:rPr>
              <w:t>(2)</w:t>
            </w:r>
            <w:r>
              <w:rPr>
                <w:rFonts w:cs="Arial"/>
                <w:sz w:val="18"/>
                <w:szCs w:val="18"/>
              </w:rPr>
              <w:t>(</w:t>
            </w:r>
            <w:r w:rsidRPr="00C903F8">
              <w:rPr>
                <w:rFonts w:cs="Arial"/>
                <w:sz w:val="18"/>
                <w:szCs w:val="18"/>
              </w:rPr>
              <w:t>b)</w:t>
            </w:r>
          </w:p>
        </w:tc>
        <w:tc>
          <w:tcPr>
            <w:tcW w:w="3296" w:type="dxa"/>
            <w:shd w:val="clear" w:color="auto" w:fill="auto"/>
          </w:tcPr>
          <w:p w:rsidR="004D56BE" w:rsidRPr="00C903F8" w:rsidRDefault="004D56BE" w:rsidP="00D321F1">
            <w:pPr>
              <w:spacing w:before="60" w:after="60" w:line="240" w:lineRule="atLeast"/>
              <w:ind w:left="0" w:firstLine="0"/>
              <w:rPr>
                <w:rFonts w:cs="Arial"/>
                <w:sz w:val="18"/>
                <w:szCs w:val="18"/>
                <w:lang w:val="en-US"/>
              </w:rPr>
            </w:pPr>
            <w:r w:rsidRPr="00C903F8">
              <w:rPr>
                <w:rFonts w:cs="Arial"/>
                <w:noProof/>
                <w:sz w:val="18"/>
                <w:szCs w:val="18"/>
                <w:lang w:val="en-US"/>
              </w:rPr>
              <w:t>Receptacles made of steel or another sturdy, non-flammable material and holding at least 10 litres</w:t>
            </w:r>
          </w:p>
        </w:tc>
        <w:tc>
          <w:tcPr>
            <w:tcW w:w="5387" w:type="dxa"/>
            <w:shd w:val="clear" w:color="auto" w:fill="auto"/>
          </w:tcPr>
          <w:p w:rsidR="004D56BE" w:rsidRPr="00C903F8" w:rsidRDefault="004D56BE" w:rsidP="00D321F1">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w:t>
            </w:r>
          </w:p>
        </w:tc>
        <w:tc>
          <w:tcPr>
            <w:tcW w:w="1276" w:type="dxa"/>
            <w:shd w:val="clear" w:color="auto" w:fill="auto"/>
          </w:tcPr>
          <w:p w:rsidR="004D56BE" w:rsidRPr="00C903F8" w:rsidRDefault="004D56BE" w:rsidP="00D321F1">
            <w:pPr>
              <w:spacing w:before="60" w:after="60" w:line="240" w:lineRule="atLeast"/>
              <w:ind w:left="0" w:firstLine="0"/>
              <w:rPr>
                <w:rFonts w:cs="Arial"/>
                <w:sz w:val="18"/>
                <w:szCs w:val="18"/>
                <w:lang w:val="en-US"/>
              </w:rPr>
            </w:pPr>
          </w:p>
        </w:tc>
        <w:tc>
          <w:tcPr>
            <w:tcW w:w="1276" w:type="dxa"/>
          </w:tcPr>
          <w:p w:rsidR="004D56BE" w:rsidRPr="00C903F8" w:rsidRDefault="004D56BE" w:rsidP="00D321F1">
            <w:pPr>
              <w:spacing w:before="60" w:after="60" w:line="240" w:lineRule="atLeast"/>
              <w:ind w:left="0" w:firstLine="0"/>
              <w:rPr>
                <w:rFonts w:cs="Arial"/>
                <w:sz w:val="18"/>
                <w:szCs w:val="18"/>
              </w:rPr>
            </w:pPr>
            <w:r w:rsidRPr="00C903F8">
              <w:rPr>
                <w:rFonts w:cs="Arial"/>
                <w:sz w:val="18"/>
                <w:szCs w:val="18"/>
              </w:rPr>
              <w:t>1.12.2011</w:t>
            </w:r>
          </w:p>
        </w:tc>
      </w:tr>
      <w:tr w:rsidR="004D56BE" w:rsidRPr="00C903F8" w:rsidTr="008D5C65">
        <w:trPr>
          <w:cantSplit/>
          <w:jc w:val="center"/>
        </w:trPr>
        <w:tc>
          <w:tcPr>
            <w:tcW w:w="1342" w:type="dxa"/>
            <w:tcBorders>
              <w:bottom w:val="nil"/>
            </w:tcBorders>
            <w:shd w:val="clear" w:color="auto" w:fill="auto"/>
          </w:tcPr>
          <w:p w:rsidR="004D56BE" w:rsidRPr="00C903F8" w:rsidRDefault="004D56BE" w:rsidP="00D321F1">
            <w:pPr>
              <w:spacing w:before="60" w:after="60" w:line="240" w:lineRule="atLeast"/>
              <w:ind w:left="0" w:firstLine="0"/>
              <w:rPr>
                <w:rFonts w:cs="Arial"/>
                <w:sz w:val="18"/>
                <w:szCs w:val="18"/>
              </w:rPr>
            </w:pPr>
            <w:r w:rsidRPr="00C903F8">
              <w:rPr>
                <w:rFonts w:cs="Arial"/>
                <w:sz w:val="18"/>
                <w:szCs w:val="18"/>
              </w:rPr>
              <w:t>13.03</w:t>
            </w:r>
          </w:p>
        </w:tc>
        <w:tc>
          <w:tcPr>
            <w:tcW w:w="1458" w:type="dxa"/>
            <w:shd w:val="clear" w:color="auto" w:fill="auto"/>
          </w:tcPr>
          <w:p w:rsidR="004D56BE" w:rsidRPr="00C903F8" w:rsidRDefault="004D56BE" w:rsidP="00D321F1">
            <w:pPr>
              <w:spacing w:before="60" w:after="6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D321F1">
            <w:pPr>
              <w:spacing w:before="60" w:after="60" w:line="240" w:lineRule="atLeast"/>
              <w:ind w:left="0" w:firstLine="0"/>
              <w:rPr>
                <w:rFonts w:cs="Arial"/>
                <w:sz w:val="18"/>
                <w:szCs w:val="18"/>
              </w:rPr>
            </w:pPr>
            <w:r w:rsidRPr="00C903F8">
              <w:rPr>
                <w:rFonts w:cs="Arial"/>
                <w:noProof/>
                <w:sz w:val="18"/>
                <w:szCs w:val="18"/>
              </w:rPr>
              <w:t>European Standard</w:t>
            </w:r>
          </w:p>
        </w:tc>
        <w:tc>
          <w:tcPr>
            <w:tcW w:w="5387" w:type="dxa"/>
            <w:shd w:val="clear" w:color="auto" w:fill="auto"/>
          </w:tcPr>
          <w:p w:rsidR="004D56BE" w:rsidRPr="00C903F8" w:rsidRDefault="004D56BE" w:rsidP="00D321F1">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60" w:after="60" w:line="240" w:lineRule="atLeast"/>
              <w:ind w:left="0" w:firstLine="0"/>
              <w:rPr>
                <w:rFonts w:cs="Arial"/>
                <w:sz w:val="18"/>
                <w:szCs w:val="18"/>
              </w:rPr>
            </w:pPr>
            <w:r w:rsidRPr="00C903F8">
              <w:rPr>
                <w:rFonts w:cs="Arial"/>
                <w:sz w:val="18"/>
                <w:szCs w:val="18"/>
              </w:rPr>
              <w:t>1.1.2010</w:t>
            </w:r>
          </w:p>
        </w:tc>
        <w:tc>
          <w:tcPr>
            <w:tcW w:w="1276" w:type="dxa"/>
          </w:tcPr>
          <w:p w:rsidR="004D56BE" w:rsidRPr="00C903F8" w:rsidRDefault="004D56BE" w:rsidP="00D321F1">
            <w:pPr>
              <w:spacing w:before="60" w:after="60" w:line="240" w:lineRule="atLeast"/>
              <w:ind w:left="0" w:firstLine="0"/>
              <w:rPr>
                <w:rFonts w:cs="Arial"/>
                <w:sz w:val="18"/>
                <w:szCs w:val="18"/>
              </w:rPr>
            </w:pPr>
            <w:r w:rsidRPr="00C903F8">
              <w:rPr>
                <w:rFonts w:cs="Arial"/>
                <w:sz w:val="18"/>
                <w:szCs w:val="18"/>
              </w:rPr>
              <w:t>1.4.2002</w:t>
            </w:r>
          </w:p>
        </w:tc>
      </w:tr>
      <w:tr w:rsidR="004D56BE" w:rsidRPr="00C903F8" w:rsidTr="008D5C65">
        <w:trPr>
          <w:cantSplit/>
          <w:jc w:val="center"/>
        </w:trPr>
        <w:tc>
          <w:tcPr>
            <w:tcW w:w="1342" w:type="dxa"/>
            <w:tcBorders>
              <w:top w:val="nil"/>
              <w:bottom w:val="single" w:sz="4" w:space="0" w:color="auto"/>
            </w:tcBorders>
            <w:shd w:val="clear" w:color="auto" w:fill="auto"/>
          </w:tcPr>
          <w:p w:rsidR="004D56BE" w:rsidRPr="00C903F8" w:rsidRDefault="004D56BE" w:rsidP="00D321F1">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60" w:after="60" w:line="240" w:lineRule="atLeast"/>
              <w:ind w:left="0" w:firstLine="0"/>
              <w:rPr>
                <w:rFonts w:cs="Arial"/>
                <w:sz w:val="18"/>
                <w:szCs w:val="18"/>
              </w:rPr>
            </w:pPr>
            <w:r w:rsidRPr="00C903F8">
              <w:rPr>
                <w:rFonts w:cs="Arial"/>
                <w:sz w:val="18"/>
                <w:szCs w:val="18"/>
              </w:rPr>
              <w:t>(2)</w:t>
            </w:r>
          </w:p>
        </w:tc>
        <w:tc>
          <w:tcPr>
            <w:tcW w:w="3296" w:type="dxa"/>
            <w:shd w:val="clear" w:color="auto" w:fill="auto"/>
          </w:tcPr>
          <w:p w:rsidR="004D56BE" w:rsidRPr="00C903F8" w:rsidRDefault="004D56BE" w:rsidP="00D321F1">
            <w:pPr>
              <w:spacing w:before="60" w:after="60" w:line="240" w:lineRule="atLeast"/>
              <w:ind w:left="0" w:firstLine="0"/>
              <w:rPr>
                <w:rFonts w:cs="Arial"/>
                <w:sz w:val="18"/>
                <w:szCs w:val="18"/>
                <w:lang w:val="en-US"/>
              </w:rPr>
            </w:pPr>
            <w:r w:rsidRPr="00C903F8">
              <w:rPr>
                <w:rFonts w:cs="Arial"/>
                <w:noProof/>
                <w:sz w:val="18"/>
                <w:szCs w:val="18"/>
                <w:lang w:val="en-US"/>
              </w:rPr>
              <w:t>Suitability for Class A, B and C fires</w:t>
            </w:r>
          </w:p>
        </w:tc>
        <w:tc>
          <w:tcPr>
            <w:tcW w:w="5387" w:type="dxa"/>
            <w:shd w:val="clear" w:color="auto" w:fill="auto"/>
          </w:tcPr>
          <w:p w:rsidR="004D56BE" w:rsidRPr="00C903F8" w:rsidRDefault="004D56BE" w:rsidP="00D321F1">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60" w:after="60" w:line="240" w:lineRule="atLeast"/>
              <w:ind w:left="0" w:firstLine="0"/>
              <w:rPr>
                <w:rFonts w:cs="Arial"/>
                <w:sz w:val="18"/>
                <w:szCs w:val="18"/>
              </w:rPr>
            </w:pPr>
            <w:r>
              <w:rPr>
                <w:rFonts w:cs="Arial"/>
                <w:sz w:val="18"/>
                <w:szCs w:val="18"/>
              </w:rPr>
              <w:t>1.1.2007</w:t>
            </w:r>
          </w:p>
        </w:tc>
        <w:tc>
          <w:tcPr>
            <w:tcW w:w="1276" w:type="dxa"/>
          </w:tcPr>
          <w:p w:rsidR="004D56BE" w:rsidRPr="00C903F8" w:rsidRDefault="004D56BE" w:rsidP="00D321F1">
            <w:pPr>
              <w:spacing w:before="60" w:after="60" w:line="240" w:lineRule="atLeast"/>
              <w:ind w:left="0" w:firstLine="0"/>
              <w:rPr>
                <w:rFonts w:cs="Arial"/>
                <w:sz w:val="18"/>
                <w:szCs w:val="18"/>
              </w:rPr>
            </w:pPr>
            <w:r w:rsidRPr="00C903F8">
              <w:rPr>
                <w:rFonts w:cs="Arial"/>
                <w:sz w:val="18"/>
                <w:szCs w:val="18"/>
              </w:rPr>
              <w:t>1.4.2002</w:t>
            </w:r>
          </w:p>
        </w:tc>
      </w:tr>
      <w:tr w:rsidR="004D56BE" w:rsidRPr="00C903F8" w:rsidTr="008D5C65">
        <w:trPr>
          <w:cantSplit/>
          <w:jc w:val="center"/>
        </w:trPr>
        <w:tc>
          <w:tcPr>
            <w:tcW w:w="1342" w:type="dxa"/>
            <w:tcBorders>
              <w:top w:val="single" w:sz="4" w:space="0" w:color="auto"/>
            </w:tcBorders>
            <w:shd w:val="clear" w:color="auto" w:fill="auto"/>
          </w:tcPr>
          <w:p w:rsidR="004D56BE" w:rsidRPr="00C903F8" w:rsidRDefault="004D56BE" w:rsidP="00D321F1">
            <w:pPr>
              <w:spacing w:before="60" w:after="60" w:line="240" w:lineRule="atLeast"/>
              <w:ind w:left="0" w:firstLine="0"/>
              <w:rPr>
                <w:rFonts w:cs="Arial"/>
                <w:sz w:val="18"/>
                <w:szCs w:val="18"/>
              </w:rPr>
            </w:pPr>
            <w:r w:rsidRPr="00C903F8">
              <w:rPr>
                <w:rFonts w:cs="Arial"/>
                <w:sz w:val="18"/>
                <w:szCs w:val="18"/>
              </w:rPr>
              <w:t>13.04</w:t>
            </w:r>
          </w:p>
        </w:tc>
        <w:tc>
          <w:tcPr>
            <w:tcW w:w="1458" w:type="dxa"/>
            <w:shd w:val="clear" w:color="auto" w:fill="auto"/>
          </w:tcPr>
          <w:p w:rsidR="004D56BE" w:rsidRPr="00C903F8" w:rsidRDefault="004D56BE" w:rsidP="00D321F1">
            <w:pPr>
              <w:spacing w:before="60" w:after="60" w:line="240" w:lineRule="atLeast"/>
              <w:ind w:left="0" w:firstLine="0"/>
              <w:rPr>
                <w:rFonts w:cs="Arial"/>
                <w:sz w:val="18"/>
                <w:szCs w:val="18"/>
              </w:rPr>
            </w:pPr>
          </w:p>
        </w:tc>
        <w:tc>
          <w:tcPr>
            <w:tcW w:w="3296" w:type="dxa"/>
            <w:shd w:val="clear" w:color="auto" w:fill="auto"/>
          </w:tcPr>
          <w:p w:rsidR="004D56BE" w:rsidRPr="00C903F8" w:rsidRDefault="004D56BE" w:rsidP="00D321F1">
            <w:pPr>
              <w:spacing w:before="60" w:after="60" w:line="240" w:lineRule="atLeast"/>
              <w:ind w:left="0" w:firstLine="0"/>
              <w:rPr>
                <w:rFonts w:cs="Arial"/>
                <w:sz w:val="18"/>
                <w:szCs w:val="18"/>
                <w:lang w:val="en-US"/>
              </w:rPr>
            </w:pPr>
            <w:r w:rsidRPr="00C903F8">
              <w:rPr>
                <w:rFonts w:cs="Arial"/>
                <w:noProof/>
                <w:sz w:val="18"/>
                <w:szCs w:val="18"/>
                <w:lang w:val="en-US"/>
              </w:rPr>
              <w:t>Permanently installed fire-fighting systems in accommodation spaces, wheelhouses and passenger rooms</w:t>
            </w:r>
          </w:p>
        </w:tc>
        <w:tc>
          <w:tcPr>
            <w:tcW w:w="5387" w:type="dxa"/>
            <w:shd w:val="clear" w:color="auto" w:fill="auto"/>
          </w:tcPr>
          <w:p w:rsidR="004D56BE" w:rsidRPr="00C903F8" w:rsidRDefault="004D56BE" w:rsidP="00D321F1">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60" w:after="60" w:line="240" w:lineRule="atLeast"/>
              <w:ind w:left="0" w:firstLine="0"/>
              <w:rPr>
                <w:rFonts w:cs="Arial"/>
                <w:sz w:val="18"/>
                <w:szCs w:val="18"/>
              </w:rPr>
            </w:pPr>
            <w:r w:rsidRPr="00C903F8">
              <w:rPr>
                <w:rFonts w:cs="Arial"/>
                <w:sz w:val="18"/>
                <w:szCs w:val="18"/>
              </w:rPr>
              <w:t>1.1.2035</w:t>
            </w:r>
          </w:p>
        </w:tc>
        <w:tc>
          <w:tcPr>
            <w:tcW w:w="1276" w:type="dxa"/>
          </w:tcPr>
          <w:p w:rsidR="004D56BE" w:rsidRPr="00C903F8" w:rsidRDefault="004D56BE" w:rsidP="00D321F1">
            <w:pPr>
              <w:spacing w:before="60" w:after="60" w:line="240" w:lineRule="atLeast"/>
              <w:ind w:left="0" w:firstLine="0"/>
              <w:rPr>
                <w:rFonts w:cs="Arial"/>
                <w:sz w:val="18"/>
                <w:szCs w:val="18"/>
              </w:rPr>
            </w:pPr>
            <w:r w:rsidRPr="00C903F8">
              <w:rPr>
                <w:rFonts w:cs="Arial"/>
                <w:sz w:val="18"/>
                <w:szCs w:val="18"/>
              </w:rPr>
              <w:t>1.4.2002</w:t>
            </w:r>
          </w:p>
        </w:tc>
      </w:tr>
      <w:tr w:rsidR="004D56BE" w:rsidRPr="00C903F8" w:rsidTr="00E67DA4">
        <w:trPr>
          <w:cantSplit/>
          <w:jc w:val="center"/>
        </w:trPr>
        <w:tc>
          <w:tcPr>
            <w:tcW w:w="1342"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13.05</w:t>
            </w:r>
          </w:p>
        </w:tc>
        <w:tc>
          <w:tcPr>
            <w:tcW w:w="1458" w:type="dxa"/>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3296" w:type="dxa"/>
            <w:shd w:val="clear" w:color="auto" w:fill="auto"/>
          </w:tcPr>
          <w:p w:rsidR="004D56BE" w:rsidRPr="00C903F8" w:rsidRDefault="004D56BE" w:rsidP="00C01A94">
            <w:pPr>
              <w:spacing w:before="120" w:after="120" w:line="240" w:lineRule="atLeast"/>
              <w:ind w:left="0" w:firstLine="0"/>
              <w:rPr>
                <w:rFonts w:cs="Arial"/>
                <w:sz w:val="18"/>
                <w:szCs w:val="18"/>
                <w:lang w:val="en-US"/>
              </w:rPr>
            </w:pPr>
            <w:r w:rsidRPr="00C903F8">
              <w:rPr>
                <w:rFonts w:cs="Arial"/>
                <w:noProof/>
                <w:sz w:val="18"/>
                <w:szCs w:val="18"/>
                <w:lang w:val="en-US"/>
              </w:rPr>
              <w:t>Permanently installed fire-fighting systems in engine rooms, boiler rooms and pump rooms</w:t>
            </w:r>
          </w:p>
        </w:tc>
        <w:tc>
          <w:tcPr>
            <w:tcW w:w="5387" w:type="dxa"/>
            <w:shd w:val="clear" w:color="auto" w:fill="auto"/>
          </w:tcPr>
          <w:p w:rsidR="004D56BE" w:rsidRPr="00C903F8" w:rsidRDefault="004D56BE" w:rsidP="0059704F">
            <w:pPr>
              <w:spacing w:before="120" w:after="120" w:line="240" w:lineRule="atLeast"/>
              <w:ind w:left="0" w:firstLine="0"/>
              <w:rPr>
                <w:rFonts w:cs="Arial"/>
                <w:sz w:val="18"/>
                <w:szCs w:val="18"/>
                <w:lang w:val="en-US"/>
              </w:rPr>
            </w:pPr>
            <w:r w:rsidRPr="00C903F8">
              <w:rPr>
                <w:rFonts w:cs="Arial"/>
                <w:sz w:val="18"/>
                <w:szCs w:val="18"/>
                <w:vertAlign w:val="superscript"/>
              </w:rPr>
              <w:footnoteReference w:id="40"/>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AD76BF" w:rsidRDefault="004D56BE" w:rsidP="0059704F">
            <w:pPr>
              <w:spacing w:before="120" w:after="120" w:line="240" w:lineRule="atLeast"/>
              <w:ind w:left="0" w:firstLine="0"/>
              <w:rPr>
                <w:rFonts w:cs="Arial"/>
                <w:sz w:val="18"/>
                <w:szCs w:val="18"/>
                <w:lang w:val="en-US"/>
              </w:rPr>
            </w:pPr>
          </w:p>
        </w:tc>
        <w:tc>
          <w:tcPr>
            <w:tcW w:w="1276" w:type="dxa"/>
          </w:tcPr>
          <w:p w:rsidR="004D56BE" w:rsidRPr="00C903F8" w:rsidRDefault="004D56BE" w:rsidP="00C01A94">
            <w:pPr>
              <w:spacing w:before="120" w:after="120" w:line="240" w:lineRule="atLeast"/>
              <w:ind w:left="0" w:firstLine="0"/>
              <w:rPr>
                <w:rFonts w:cs="Arial"/>
                <w:sz w:val="18"/>
                <w:szCs w:val="18"/>
                <w:vertAlign w:val="superscript"/>
              </w:rPr>
            </w:pPr>
            <w:r w:rsidRPr="00C903F8">
              <w:rPr>
                <w:rFonts w:cs="Arial"/>
                <w:sz w:val="18"/>
                <w:szCs w:val="18"/>
              </w:rPr>
              <w:t>1.4.2002</w:t>
            </w:r>
          </w:p>
        </w:tc>
      </w:tr>
      <w:tr w:rsidR="004D56BE" w:rsidRPr="00C903F8" w:rsidTr="0060199F">
        <w:trPr>
          <w:cantSplit/>
          <w:jc w:val="center"/>
        </w:trPr>
        <w:tc>
          <w:tcPr>
            <w:tcW w:w="1342" w:type="dxa"/>
            <w:tcBorders>
              <w:bottom w:val="single" w:sz="4" w:space="0" w:color="auto"/>
            </w:tcBorders>
            <w:shd w:val="clear" w:color="auto" w:fill="auto"/>
          </w:tcPr>
          <w:p w:rsidR="004D56BE" w:rsidRPr="00C903F8" w:rsidRDefault="004D56BE" w:rsidP="00C01A94">
            <w:pPr>
              <w:spacing w:before="200" w:after="200" w:line="240" w:lineRule="atLeast"/>
              <w:ind w:left="0" w:firstLine="0"/>
              <w:rPr>
                <w:rFonts w:cs="Arial"/>
                <w:sz w:val="18"/>
                <w:szCs w:val="18"/>
              </w:rPr>
            </w:pPr>
            <w:r w:rsidRPr="00C903F8">
              <w:rPr>
                <w:rFonts w:cs="Arial"/>
                <w:sz w:val="18"/>
                <w:szCs w:val="18"/>
              </w:rPr>
              <w:lastRenderedPageBreak/>
              <w:t>13.07</w:t>
            </w:r>
            <w:r w:rsidRPr="00B60926">
              <w:rPr>
                <w:color w:val="000000"/>
                <w:sz w:val="18"/>
                <w:szCs w:val="20"/>
                <w:vertAlign w:val="superscript"/>
                <w:lang w:val="en-GB" w:eastAsia="en-GB" w:bidi="en-GB"/>
              </w:rPr>
              <w:footnoteReference w:id="41"/>
            </w:r>
          </w:p>
        </w:tc>
        <w:tc>
          <w:tcPr>
            <w:tcW w:w="1458" w:type="dxa"/>
            <w:tcBorders>
              <w:bottom w:val="single" w:sz="4" w:space="0" w:color="auto"/>
            </w:tcBorders>
            <w:shd w:val="clear" w:color="auto" w:fill="auto"/>
          </w:tcPr>
          <w:p w:rsidR="004D56BE" w:rsidRPr="00C903F8" w:rsidRDefault="004D56BE" w:rsidP="00C01A94">
            <w:pPr>
              <w:spacing w:before="200" w:after="200" w:line="240" w:lineRule="atLeast"/>
              <w:ind w:left="0" w:firstLine="0"/>
              <w:rPr>
                <w:rFonts w:cs="Arial"/>
                <w:sz w:val="18"/>
                <w:szCs w:val="18"/>
              </w:rPr>
            </w:pPr>
          </w:p>
        </w:tc>
        <w:tc>
          <w:tcPr>
            <w:tcW w:w="3296" w:type="dxa"/>
            <w:tcBorders>
              <w:bottom w:val="single" w:sz="4" w:space="0" w:color="auto"/>
            </w:tcBorders>
            <w:shd w:val="clear" w:color="auto" w:fill="auto"/>
          </w:tcPr>
          <w:p w:rsidR="004D56BE" w:rsidRPr="00C903F8" w:rsidRDefault="004D56BE" w:rsidP="00C01A94">
            <w:pPr>
              <w:spacing w:before="200" w:after="200" w:line="240" w:lineRule="atLeast"/>
              <w:ind w:left="0" w:firstLine="0"/>
              <w:rPr>
                <w:rFonts w:cs="Arial"/>
                <w:sz w:val="18"/>
                <w:szCs w:val="18"/>
                <w:lang w:val="en-US"/>
              </w:rPr>
            </w:pPr>
            <w:r w:rsidRPr="003F30FB">
              <w:rPr>
                <w:rFonts w:cs="Arial"/>
                <w:noProof/>
                <w:sz w:val="18"/>
                <w:szCs w:val="18"/>
                <w:lang w:val="en-US"/>
              </w:rPr>
              <w:t>Application of the European Standard to ship’s boat</w:t>
            </w:r>
          </w:p>
        </w:tc>
        <w:tc>
          <w:tcPr>
            <w:tcW w:w="5387" w:type="dxa"/>
            <w:shd w:val="clear" w:color="auto" w:fill="auto"/>
          </w:tcPr>
          <w:p w:rsidR="004D56BE" w:rsidRPr="00C903F8" w:rsidRDefault="004D56BE" w:rsidP="00C01A94">
            <w:pPr>
              <w:spacing w:before="200" w:after="2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200" w:after="200" w:line="240" w:lineRule="atLeast"/>
              <w:ind w:left="0" w:firstLine="0"/>
              <w:rPr>
                <w:rFonts w:cs="Arial"/>
                <w:sz w:val="18"/>
                <w:szCs w:val="18"/>
              </w:rPr>
            </w:pPr>
            <w:r w:rsidRPr="00C903F8">
              <w:rPr>
                <w:rFonts w:cs="Arial"/>
                <w:sz w:val="18"/>
                <w:szCs w:val="18"/>
              </w:rPr>
              <w:t>1.1.2020</w:t>
            </w:r>
          </w:p>
        </w:tc>
        <w:tc>
          <w:tcPr>
            <w:tcW w:w="1276" w:type="dxa"/>
          </w:tcPr>
          <w:p w:rsidR="004D56BE" w:rsidRPr="00C903F8" w:rsidRDefault="004D56BE" w:rsidP="00C01A94">
            <w:pPr>
              <w:spacing w:before="200" w:after="200" w:line="240" w:lineRule="atLeast"/>
              <w:ind w:left="0" w:firstLine="0"/>
              <w:rPr>
                <w:rFonts w:cs="Arial"/>
                <w:sz w:val="18"/>
                <w:szCs w:val="18"/>
              </w:rPr>
            </w:pPr>
            <w:r w:rsidRPr="00C903F8">
              <w:rPr>
                <w:rFonts w:cs="Arial"/>
                <w:sz w:val="18"/>
                <w:szCs w:val="18"/>
              </w:rPr>
              <w:t>1.10.2003</w:t>
            </w:r>
          </w:p>
        </w:tc>
      </w:tr>
      <w:tr w:rsidR="004D56BE" w:rsidRPr="00C903F8" w:rsidTr="0060199F">
        <w:trPr>
          <w:cantSplit/>
          <w:jc w:val="center"/>
        </w:trPr>
        <w:tc>
          <w:tcPr>
            <w:tcW w:w="1342" w:type="dxa"/>
            <w:tcBorders>
              <w:bottom w:val="nil"/>
            </w:tcBorders>
            <w:shd w:val="clear" w:color="auto" w:fill="auto"/>
          </w:tcPr>
          <w:p w:rsidR="004D56BE" w:rsidRPr="00C903F8" w:rsidRDefault="004D56BE" w:rsidP="00C01A94">
            <w:pPr>
              <w:spacing w:before="200" w:after="200" w:line="240" w:lineRule="atLeast"/>
              <w:ind w:left="0" w:firstLine="0"/>
              <w:rPr>
                <w:rFonts w:cs="Arial"/>
                <w:sz w:val="18"/>
                <w:szCs w:val="18"/>
              </w:rPr>
            </w:pPr>
            <w:r w:rsidRPr="00C903F8">
              <w:rPr>
                <w:rFonts w:cs="Arial"/>
                <w:sz w:val="18"/>
                <w:szCs w:val="18"/>
              </w:rPr>
              <w:t>13.08</w:t>
            </w:r>
          </w:p>
        </w:tc>
        <w:tc>
          <w:tcPr>
            <w:tcW w:w="1458" w:type="dxa"/>
            <w:tcBorders>
              <w:bottom w:val="nil"/>
            </w:tcBorders>
            <w:shd w:val="clear" w:color="auto" w:fill="auto"/>
          </w:tcPr>
          <w:p w:rsidR="004D56BE" w:rsidRPr="00C903F8" w:rsidRDefault="004D56BE" w:rsidP="00C01A94">
            <w:pPr>
              <w:spacing w:before="200" w:after="200" w:line="240" w:lineRule="atLeast"/>
              <w:ind w:left="0" w:firstLine="0"/>
              <w:rPr>
                <w:rFonts w:cs="Arial"/>
                <w:sz w:val="18"/>
                <w:szCs w:val="18"/>
              </w:rPr>
            </w:pPr>
            <w:r w:rsidRPr="00C903F8">
              <w:rPr>
                <w:rFonts w:cs="Arial"/>
                <w:sz w:val="18"/>
                <w:szCs w:val="18"/>
              </w:rPr>
              <w:t>(2)</w:t>
            </w:r>
          </w:p>
        </w:tc>
        <w:tc>
          <w:tcPr>
            <w:tcW w:w="3296" w:type="dxa"/>
            <w:tcBorders>
              <w:bottom w:val="nil"/>
            </w:tcBorders>
            <w:shd w:val="clear" w:color="auto" w:fill="auto"/>
          </w:tcPr>
          <w:p w:rsidR="004D56BE" w:rsidRPr="00C903F8" w:rsidRDefault="004D56BE" w:rsidP="00C01A94">
            <w:pPr>
              <w:spacing w:before="200" w:after="200" w:line="240" w:lineRule="atLeast"/>
              <w:ind w:left="0" w:firstLine="0"/>
              <w:rPr>
                <w:rFonts w:cs="Arial"/>
                <w:sz w:val="18"/>
                <w:szCs w:val="18"/>
              </w:rPr>
            </w:pPr>
            <w:r w:rsidRPr="00C903F8">
              <w:rPr>
                <w:rFonts w:cs="Arial"/>
                <w:noProof/>
                <w:sz w:val="18"/>
                <w:szCs w:val="18"/>
              </w:rPr>
              <w:t>Inflatable life jackets</w:t>
            </w:r>
          </w:p>
        </w:tc>
        <w:tc>
          <w:tcPr>
            <w:tcW w:w="5387" w:type="dxa"/>
            <w:shd w:val="clear" w:color="auto" w:fill="auto"/>
          </w:tcPr>
          <w:p w:rsidR="004D56BE" w:rsidRPr="00C903F8" w:rsidRDefault="004D56BE" w:rsidP="00C01A94">
            <w:pPr>
              <w:spacing w:before="200" w:after="2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200" w:after="200" w:line="240" w:lineRule="atLeast"/>
              <w:ind w:left="0" w:firstLine="0"/>
              <w:rPr>
                <w:rFonts w:cs="Arial"/>
                <w:sz w:val="18"/>
                <w:szCs w:val="18"/>
              </w:rPr>
            </w:pPr>
            <w:r w:rsidRPr="00C903F8">
              <w:rPr>
                <w:rFonts w:cs="Arial"/>
                <w:sz w:val="18"/>
                <w:szCs w:val="18"/>
              </w:rPr>
              <w:t>1.1.2010</w:t>
            </w:r>
          </w:p>
        </w:tc>
        <w:tc>
          <w:tcPr>
            <w:tcW w:w="1276" w:type="dxa"/>
          </w:tcPr>
          <w:p w:rsidR="004D56BE" w:rsidRPr="00C903F8" w:rsidRDefault="004D56BE" w:rsidP="00C01A94">
            <w:pPr>
              <w:spacing w:before="200" w:after="200" w:line="240" w:lineRule="atLeast"/>
              <w:ind w:left="0" w:firstLine="0"/>
              <w:rPr>
                <w:rFonts w:cs="Arial"/>
                <w:sz w:val="18"/>
                <w:szCs w:val="18"/>
              </w:rPr>
            </w:pPr>
            <w:r w:rsidRPr="00C903F8">
              <w:rPr>
                <w:rFonts w:cs="Arial"/>
                <w:sz w:val="18"/>
                <w:szCs w:val="18"/>
              </w:rPr>
              <w:t>1.10.2003</w:t>
            </w:r>
          </w:p>
        </w:tc>
      </w:tr>
      <w:tr w:rsidR="004D56BE" w:rsidRPr="00C903F8" w:rsidTr="0060199F">
        <w:trPr>
          <w:cantSplit/>
          <w:jc w:val="center"/>
        </w:trPr>
        <w:tc>
          <w:tcPr>
            <w:tcW w:w="1342" w:type="dxa"/>
            <w:tcBorders>
              <w:top w:val="nil"/>
            </w:tcBorders>
            <w:shd w:val="clear" w:color="auto" w:fill="auto"/>
          </w:tcPr>
          <w:p w:rsidR="004D56BE" w:rsidRPr="00C903F8" w:rsidRDefault="004D56BE" w:rsidP="00C01A94">
            <w:pPr>
              <w:spacing w:before="200" w:after="200" w:line="240" w:lineRule="atLeast"/>
              <w:ind w:left="0" w:firstLine="0"/>
              <w:rPr>
                <w:rFonts w:cs="Arial"/>
                <w:sz w:val="18"/>
                <w:szCs w:val="18"/>
              </w:rPr>
            </w:pPr>
          </w:p>
        </w:tc>
        <w:tc>
          <w:tcPr>
            <w:tcW w:w="1458" w:type="dxa"/>
            <w:tcBorders>
              <w:top w:val="nil"/>
            </w:tcBorders>
            <w:shd w:val="clear" w:color="auto" w:fill="auto"/>
          </w:tcPr>
          <w:p w:rsidR="004D56BE" w:rsidRPr="00C903F8" w:rsidRDefault="004D56BE" w:rsidP="00C01A94">
            <w:pPr>
              <w:spacing w:before="200" w:after="200" w:line="240" w:lineRule="atLeast"/>
              <w:ind w:left="0" w:firstLine="0"/>
              <w:rPr>
                <w:rFonts w:cs="Arial"/>
                <w:sz w:val="18"/>
                <w:szCs w:val="18"/>
              </w:rPr>
            </w:pPr>
          </w:p>
        </w:tc>
        <w:tc>
          <w:tcPr>
            <w:tcW w:w="3296" w:type="dxa"/>
            <w:tcBorders>
              <w:top w:val="nil"/>
            </w:tcBorders>
            <w:shd w:val="clear" w:color="auto" w:fill="auto"/>
          </w:tcPr>
          <w:p w:rsidR="004D56BE" w:rsidRPr="00C903F8" w:rsidRDefault="004D56BE" w:rsidP="00C01A94">
            <w:pPr>
              <w:spacing w:before="200" w:after="200" w:line="240" w:lineRule="atLeast"/>
              <w:ind w:left="0" w:firstLine="0"/>
              <w:rPr>
                <w:rFonts w:cs="Arial"/>
                <w:sz w:val="18"/>
                <w:szCs w:val="18"/>
              </w:rPr>
            </w:pPr>
          </w:p>
        </w:tc>
        <w:tc>
          <w:tcPr>
            <w:tcW w:w="5387" w:type="dxa"/>
            <w:shd w:val="clear" w:color="auto" w:fill="auto"/>
          </w:tcPr>
          <w:p w:rsidR="004D56BE" w:rsidRPr="00C903F8" w:rsidRDefault="004D56BE" w:rsidP="00C01A94">
            <w:pPr>
              <w:spacing w:before="200" w:after="200" w:line="240" w:lineRule="atLeast"/>
              <w:ind w:left="0" w:firstLine="0"/>
              <w:rPr>
                <w:rFonts w:cs="Arial"/>
                <w:sz w:val="18"/>
                <w:szCs w:val="18"/>
                <w:lang w:val="en-US"/>
              </w:rPr>
            </w:pPr>
            <w:r w:rsidRPr="00C903F8">
              <w:rPr>
                <w:rFonts w:cs="Arial"/>
                <w:sz w:val="18"/>
                <w:szCs w:val="18"/>
                <w:lang w:val="en-US"/>
              </w:rPr>
              <w:t>Life jackets which have been on board on 30.9.2003 may be used until the renewal of the inland navigation vessel certificate after</w:t>
            </w:r>
          </w:p>
        </w:tc>
        <w:tc>
          <w:tcPr>
            <w:tcW w:w="1276" w:type="dxa"/>
            <w:shd w:val="clear" w:color="auto" w:fill="auto"/>
          </w:tcPr>
          <w:p w:rsidR="004D56BE" w:rsidRPr="00C903F8" w:rsidRDefault="004D56BE" w:rsidP="00C01A94">
            <w:pPr>
              <w:spacing w:before="200" w:after="200" w:line="240" w:lineRule="atLeast"/>
              <w:ind w:left="0" w:firstLine="0"/>
              <w:rPr>
                <w:rFonts w:cs="Arial"/>
                <w:sz w:val="18"/>
                <w:szCs w:val="18"/>
              </w:rPr>
            </w:pPr>
            <w:r w:rsidRPr="00C903F8">
              <w:rPr>
                <w:rFonts w:cs="Arial"/>
                <w:sz w:val="18"/>
                <w:szCs w:val="18"/>
              </w:rPr>
              <w:t>1.1.2010</w:t>
            </w:r>
          </w:p>
        </w:tc>
        <w:tc>
          <w:tcPr>
            <w:tcW w:w="1276" w:type="dxa"/>
          </w:tcPr>
          <w:p w:rsidR="004D56BE" w:rsidRPr="00C903F8" w:rsidRDefault="004D56BE" w:rsidP="00C01A94">
            <w:pPr>
              <w:spacing w:before="200" w:after="200" w:line="240" w:lineRule="atLeast"/>
              <w:ind w:left="0" w:firstLine="0"/>
              <w:rPr>
                <w:rFonts w:cs="Arial"/>
                <w:sz w:val="18"/>
                <w:szCs w:val="18"/>
              </w:rPr>
            </w:pPr>
            <w:r w:rsidRPr="00C903F8">
              <w:rPr>
                <w:rFonts w:cs="Arial"/>
                <w:sz w:val="18"/>
                <w:szCs w:val="18"/>
              </w:rPr>
              <w:t>1.10.2003</w:t>
            </w:r>
          </w:p>
        </w:tc>
      </w:tr>
      <w:tr w:rsidR="004D56BE" w:rsidRPr="00C903F8" w:rsidTr="00E67DA4">
        <w:trPr>
          <w:cantSplit/>
          <w:jc w:val="center"/>
        </w:trPr>
        <w:tc>
          <w:tcPr>
            <w:tcW w:w="6096" w:type="dxa"/>
            <w:gridSpan w:val="3"/>
            <w:shd w:val="clear" w:color="auto" w:fill="auto"/>
          </w:tcPr>
          <w:p w:rsidR="004D56BE" w:rsidRPr="00C903F8" w:rsidRDefault="004D56BE" w:rsidP="00C01A94">
            <w:pPr>
              <w:spacing w:before="200" w:after="200" w:line="240" w:lineRule="atLeast"/>
              <w:ind w:left="0" w:firstLine="0"/>
              <w:jc w:val="center"/>
              <w:rPr>
                <w:rFonts w:cs="Arial"/>
                <w:sz w:val="18"/>
                <w:szCs w:val="18"/>
              </w:rPr>
            </w:pPr>
            <w:r w:rsidRPr="00C903F8">
              <w:rPr>
                <w:rFonts w:cs="Arial"/>
                <w:b/>
                <w:sz w:val="18"/>
                <w:szCs w:val="18"/>
              </w:rPr>
              <w:t>CHAPTER 14</w:t>
            </w:r>
          </w:p>
        </w:tc>
        <w:tc>
          <w:tcPr>
            <w:tcW w:w="5387" w:type="dxa"/>
            <w:shd w:val="clear" w:color="auto" w:fill="auto"/>
          </w:tcPr>
          <w:p w:rsidR="004D56BE" w:rsidRPr="00C903F8" w:rsidRDefault="004D56BE" w:rsidP="00C01A94">
            <w:pPr>
              <w:spacing w:before="200" w:after="200" w:line="240" w:lineRule="atLeast"/>
              <w:ind w:left="0" w:firstLine="0"/>
              <w:rPr>
                <w:rFonts w:cs="Arial"/>
                <w:sz w:val="18"/>
                <w:szCs w:val="18"/>
              </w:rPr>
            </w:pPr>
          </w:p>
        </w:tc>
        <w:tc>
          <w:tcPr>
            <w:tcW w:w="1276" w:type="dxa"/>
            <w:shd w:val="clear" w:color="auto" w:fill="auto"/>
          </w:tcPr>
          <w:p w:rsidR="004D56BE" w:rsidRPr="00C903F8" w:rsidRDefault="004D56BE" w:rsidP="00C01A94">
            <w:pPr>
              <w:spacing w:before="200" w:after="200" w:line="240" w:lineRule="atLeast"/>
              <w:ind w:left="0" w:firstLine="0"/>
              <w:rPr>
                <w:rFonts w:cs="Arial"/>
                <w:sz w:val="18"/>
                <w:szCs w:val="18"/>
              </w:rPr>
            </w:pPr>
          </w:p>
        </w:tc>
        <w:tc>
          <w:tcPr>
            <w:tcW w:w="1276" w:type="dxa"/>
          </w:tcPr>
          <w:p w:rsidR="004D56BE" w:rsidRPr="00C903F8" w:rsidRDefault="004D56BE" w:rsidP="00C01A94">
            <w:pPr>
              <w:spacing w:before="200" w:after="200" w:line="240" w:lineRule="atLeast"/>
              <w:ind w:left="0" w:firstLine="0"/>
              <w:rPr>
                <w:rFonts w:cs="Arial"/>
                <w:sz w:val="18"/>
                <w:szCs w:val="18"/>
              </w:rPr>
            </w:pPr>
          </w:p>
        </w:tc>
      </w:tr>
      <w:tr w:rsidR="004D56BE" w:rsidRPr="00C903F8" w:rsidTr="00E67DA4">
        <w:trPr>
          <w:cantSplit/>
          <w:jc w:val="center"/>
        </w:trPr>
        <w:tc>
          <w:tcPr>
            <w:tcW w:w="1342" w:type="dxa"/>
            <w:tcBorders>
              <w:bottom w:val="nil"/>
            </w:tcBorders>
            <w:shd w:val="clear" w:color="auto" w:fill="auto"/>
          </w:tcPr>
          <w:p w:rsidR="004D56BE" w:rsidRPr="00C903F8" w:rsidRDefault="004D56BE" w:rsidP="00A5038C">
            <w:pPr>
              <w:spacing w:before="240" w:after="240" w:line="240" w:lineRule="atLeast"/>
              <w:ind w:left="0" w:firstLine="0"/>
              <w:rPr>
                <w:rFonts w:cs="Arial"/>
                <w:sz w:val="18"/>
                <w:szCs w:val="18"/>
              </w:rPr>
            </w:pPr>
            <w:r w:rsidRPr="00C903F8">
              <w:rPr>
                <w:rFonts w:cs="Arial"/>
                <w:sz w:val="18"/>
                <w:szCs w:val="18"/>
              </w:rPr>
              <w:t>14.02</w:t>
            </w:r>
          </w:p>
        </w:tc>
        <w:tc>
          <w:tcPr>
            <w:tcW w:w="1458" w:type="dxa"/>
            <w:tcBorders>
              <w:bottom w:val="nil"/>
            </w:tcBorders>
            <w:shd w:val="clear" w:color="auto" w:fill="auto"/>
          </w:tcPr>
          <w:p w:rsidR="004D56BE" w:rsidRPr="00C903F8" w:rsidRDefault="004D56BE" w:rsidP="00A5038C">
            <w:pPr>
              <w:spacing w:before="240" w:after="240" w:line="240" w:lineRule="atLeast"/>
              <w:ind w:left="0" w:firstLine="0"/>
              <w:rPr>
                <w:rFonts w:cs="Arial"/>
                <w:sz w:val="18"/>
                <w:szCs w:val="18"/>
              </w:rPr>
            </w:pPr>
            <w:r w:rsidRPr="00C903F8">
              <w:rPr>
                <w:rFonts w:cs="Arial"/>
                <w:sz w:val="18"/>
                <w:szCs w:val="18"/>
              </w:rPr>
              <w:t>(4)</w:t>
            </w:r>
          </w:p>
        </w:tc>
        <w:tc>
          <w:tcPr>
            <w:tcW w:w="3296" w:type="dxa"/>
            <w:shd w:val="clear" w:color="auto" w:fill="auto"/>
          </w:tcPr>
          <w:p w:rsidR="004D56BE" w:rsidRPr="00C903F8" w:rsidRDefault="004D56BE" w:rsidP="00A5038C">
            <w:pPr>
              <w:spacing w:before="240" w:after="240" w:line="240" w:lineRule="atLeast"/>
              <w:ind w:left="0" w:firstLine="0"/>
              <w:rPr>
                <w:rFonts w:cs="Arial"/>
                <w:sz w:val="18"/>
                <w:szCs w:val="18"/>
                <w:lang w:val="en-US"/>
              </w:rPr>
            </w:pPr>
            <w:r w:rsidRPr="00D429D9">
              <w:rPr>
                <w:rFonts w:cs="Arial"/>
                <w:noProof/>
                <w:sz w:val="18"/>
                <w:szCs w:val="18"/>
                <w:lang w:val="en-US"/>
              </w:rPr>
              <w:t>Equipping of the outer edges of decks, side decks and other work stations</w:t>
            </w:r>
          </w:p>
        </w:tc>
        <w:tc>
          <w:tcPr>
            <w:tcW w:w="5387" w:type="dxa"/>
            <w:shd w:val="clear" w:color="auto" w:fill="auto"/>
          </w:tcPr>
          <w:p w:rsidR="004D56BE" w:rsidRPr="00C903F8" w:rsidRDefault="004D56BE" w:rsidP="00A5038C">
            <w:pPr>
              <w:spacing w:before="240" w:after="240" w:line="240" w:lineRule="atLeast"/>
              <w:ind w:left="0" w:firstLine="0"/>
              <w:rPr>
                <w:rFonts w:cs="Arial"/>
                <w:sz w:val="18"/>
                <w:szCs w:val="18"/>
                <w:lang w:val="en-US"/>
              </w:rPr>
            </w:pPr>
            <w:r>
              <w:rPr>
                <w:rFonts w:cs="Arial"/>
                <w:sz w:val="18"/>
                <w:szCs w:val="18"/>
                <w:lang w:val="en-US"/>
              </w:rPr>
              <w:t>N.R.C.</w:t>
            </w:r>
          </w:p>
        </w:tc>
        <w:tc>
          <w:tcPr>
            <w:tcW w:w="1276" w:type="dxa"/>
            <w:shd w:val="clear" w:color="auto" w:fill="auto"/>
          </w:tcPr>
          <w:p w:rsidR="004D56BE" w:rsidRPr="00C903F8" w:rsidRDefault="004D56BE" w:rsidP="00A5038C">
            <w:pPr>
              <w:spacing w:before="240" w:after="240" w:line="240" w:lineRule="atLeast"/>
              <w:ind w:left="0" w:firstLine="0"/>
              <w:rPr>
                <w:rFonts w:cs="Arial"/>
                <w:sz w:val="18"/>
                <w:szCs w:val="18"/>
              </w:rPr>
            </w:pPr>
          </w:p>
        </w:tc>
        <w:tc>
          <w:tcPr>
            <w:tcW w:w="1276" w:type="dxa"/>
          </w:tcPr>
          <w:p w:rsidR="004D56BE" w:rsidRPr="00C903F8" w:rsidRDefault="004D56BE" w:rsidP="00A5038C">
            <w:pPr>
              <w:spacing w:before="240" w:after="240" w:line="240" w:lineRule="atLeast"/>
              <w:ind w:left="0" w:firstLine="0"/>
              <w:rPr>
                <w:rFonts w:cs="Arial"/>
                <w:sz w:val="18"/>
                <w:szCs w:val="18"/>
              </w:rPr>
            </w:pPr>
            <w:r>
              <w:rPr>
                <w:rFonts w:cs="Arial"/>
                <w:sz w:val="18"/>
                <w:szCs w:val="18"/>
              </w:rPr>
              <w:t>7.10.2018</w:t>
            </w:r>
          </w:p>
        </w:tc>
      </w:tr>
      <w:tr w:rsidR="004D56BE" w:rsidRPr="00C903F8" w:rsidTr="00E67DA4">
        <w:trPr>
          <w:cantSplit/>
          <w:jc w:val="center"/>
        </w:trPr>
        <w:tc>
          <w:tcPr>
            <w:tcW w:w="1342" w:type="dxa"/>
            <w:shd w:val="clear" w:color="auto" w:fill="auto"/>
          </w:tcPr>
          <w:p w:rsidR="004D56BE" w:rsidRPr="00C903F8" w:rsidRDefault="004D56BE" w:rsidP="00C01A94">
            <w:pPr>
              <w:spacing w:before="200" w:after="200" w:line="240" w:lineRule="atLeast"/>
              <w:ind w:left="0" w:firstLine="0"/>
              <w:rPr>
                <w:rFonts w:cs="Arial"/>
                <w:sz w:val="18"/>
                <w:szCs w:val="18"/>
              </w:rPr>
            </w:pPr>
            <w:r w:rsidRPr="00C903F8">
              <w:rPr>
                <w:rFonts w:cs="Arial"/>
                <w:sz w:val="18"/>
                <w:szCs w:val="18"/>
              </w:rPr>
              <w:t>14.04</w:t>
            </w:r>
          </w:p>
        </w:tc>
        <w:tc>
          <w:tcPr>
            <w:tcW w:w="1458" w:type="dxa"/>
            <w:shd w:val="clear" w:color="auto" w:fill="auto"/>
          </w:tcPr>
          <w:p w:rsidR="004D56BE" w:rsidRPr="00C903F8" w:rsidRDefault="004D56BE" w:rsidP="00D429D9">
            <w:pPr>
              <w:spacing w:before="200" w:after="2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4D56BE" w:rsidRPr="00C903F8" w:rsidRDefault="004D56BE" w:rsidP="00C01A94">
            <w:pPr>
              <w:spacing w:before="200" w:after="200" w:line="240" w:lineRule="atLeast"/>
              <w:ind w:left="0" w:firstLine="0"/>
              <w:rPr>
                <w:rFonts w:cs="Arial"/>
                <w:sz w:val="18"/>
                <w:szCs w:val="18"/>
              </w:rPr>
            </w:pPr>
            <w:r w:rsidRPr="00C903F8">
              <w:rPr>
                <w:rFonts w:cs="Arial"/>
                <w:noProof/>
                <w:sz w:val="18"/>
                <w:szCs w:val="18"/>
                <w:lang w:val="en-US"/>
              </w:rPr>
              <w:t>Side deck guardrails</w:t>
            </w:r>
          </w:p>
        </w:tc>
        <w:tc>
          <w:tcPr>
            <w:tcW w:w="5387" w:type="dxa"/>
            <w:shd w:val="clear" w:color="auto" w:fill="auto"/>
          </w:tcPr>
          <w:p w:rsidR="004D56BE" w:rsidRPr="00C903F8" w:rsidRDefault="004D56BE" w:rsidP="00C01A94">
            <w:pPr>
              <w:spacing w:before="200" w:after="200" w:line="240" w:lineRule="atLeast"/>
              <w:ind w:left="0" w:firstLine="0"/>
              <w:rPr>
                <w:rFonts w:cs="Arial"/>
                <w:sz w:val="18"/>
                <w:szCs w:val="18"/>
                <w:lang w:val="en-US"/>
              </w:rPr>
            </w:pPr>
            <w:r w:rsidRPr="00D429D9">
              <w:rPr>
                <w:rFonts w:cs="Arial"/>
                <w:sz w:val="18"/>
                <w:szCs w:val="18"/>
                <w:lang w:val="en-US"/>
              </w:rPr>
              <w:t>N.R.C.</w:t>
            </w:r>
          </w:p>
        </w:tc>
        <w:tc>
          <w:tcPr>
            <w:tcW w:w="1276" w:type="dxa"/>
            <w:shd w:val="clear" w:color="auto" w:fill="auto"/>
          </w:tcPr>
          <w:p w:rsidR="004D56BE" w:rsidRPr="00C903F8" w:rsidRDefault="004D56BE" w:rsidP="00C01A94">
            <w:pPr>
              <w:spacing w:before="200" w:after="200" w:line="240" w:lineRule="atLeast"/>
              <w:ind w:left="0" w:firstLine="0"/>
              <w:rPr>
                <w:rFonts w:cs="Arial"/>
                <w:sz w:val="18"/>
                <w:szCs w:val="18"/>
              </w:rPr>
            </w:pPr>
          </w:p>
        </w:tc>
        <w:tc>
          <w:tcPr>
            <w:tcW w:w="1276" w:type="dxa"/>
          </w:tcPr>
          <w:p w:rsidR="004D56BE" w:rsidRPr="00C903F8" w:rsidRDefault="004D56BE" w:rsidP="00C01A94">
            <w:pPr>
              <w:spacing w:before="200" w:after="200" w:line="240" w:lineRule="atLeast"/>
              <w:ind w:left="0" w:firstLine="0"/>
              <w:rPr>
                <w:rFonts w:cs="Arial"/>
                <w:sz w:val="18"/>
                <w:szCs w:val="18"/>
              </w:rPr>
            </w:pPr>
            <w:r w:rsidRPr="00D429D9">
              <w:rPr>
                <w:rFonts w:cs="Arial"/>
                <w:sz w:val="18"/>
                <w:szCs w:val="18"/>
              </w:rPr>
              <w:t>7.10.2018</w:t>
            </w:r>
          </w:p>
        </w:tc>
      </w:tr>
      <w:tr w:rsidR="004D56BE" w:rsidRPr="00C903F8" w:rsidTr="00E67DA4">
        <w:trPr>
          <w:cantSplit/>
          <w:jc w:val="center"/>
        </w:trPr>
        <w:tc>
          <w:tcPr>
            <w:tcW w:w="1342" w:type="dxa"/>
            <w:shd w:val="clear" w:color="auto" w:fill="auto"/>
          </w:tcPr>
          <w:p w:rsidR="004D56BE" w:rsidRPr="00C903F8" w:rsidRDefault="004D56BE" w:rsidP="00C01A94">
            <w:pPr>
              <w:spacing w:before="200" w:after="200" w:line="240" w:lineRule="atLeast"/>
              <w:ind w:left="0" w:firstLine="0"/>
              <w:rPr>
                <w:rFonts w:cs="Arial"/>
                <w:sz w:val="18"/>
                <w:szCs w:val="18"/>
              </w:rPr>
            </w:pPr>
            <w:r w:rsidRPr="00C903F8">
              <w:rPr>
                <w:rFonts w:cs="Arial"/>
                <w:sz w:val="18"/>
                <w:szCs w:val="18"/>
              </w:rPr>
              <w:t>14.12</w:t>
            </w:r>
          </w:p>
        </w:tc>
        <w:tc>
          <w:tcPr>
            <w:tcW w:w="1458" w:type="dxa"/>
            <w:shd w:val="clear" w:color="auto" w:fill="auto"/>
          </w:tcPr>
          <w:p w:rsidR="004D56BE" w:rsidRPr="00C903F8" w:rsidRDefault="004D56BE" w:rsidP="00C01A94">
            <w:pPr>
              <w:spacing w:before="200" w:after="200" w:line="240" w:lineRule="atLeast"/>
              <w:ind w:left="0" w:firstLine="0"/>
              <w:rPr>
                <w:rFonts w:cs="Arial"/>
                <w:sz w:val="18"/>
                <w:szCs w:val="18"/>
              </w:rPr>
            </w:pPr>
            <w:r w:rsidRPr="00C903F8">
              <w:rPr>
                <w:rFonts w:cs="Arial"/>
                <w:sz w:val="18"/>
                <w:szCs w:val="18"/>
              </w:rPr>
              <w:t xml:space="preserve">(2), </w:t>
            </w:r>
            <w:r>
              <w:rPr>
                <w:rFonts w:cs="Arial"/>
                <w:sz w:val="18"/>
                <w:szCs w:val="18"/>
              </w:rPr>
              <w:t>(</w:t>
            </w:r>
            <w:r w:rsidRPr="00C903F8">
              <w:rPr>
                <w:rFonts w:cs="Arial"/>
                <w:sz w:val="18"/>
                <w:szCs w:val="18"/>
              </w:rPr>
              <w:t>4</w:t>
            </w:r>
            <w:r>
              <w:rPr>
                <w:rFonts w:cs="Arial"/>
                <w:sz w:val="18"/>
                <w:szCs w:val="18"/>
              </w:rPr>
              <w:t>)</w:t>
            </w:r>
            <w:r w:rsidRPr="00C903F8">
              <w:rPr>
                <w:rFonts w:cs="Arial"/>
                <w:sz w:val="18"/>
                <w:szCs w:val="18"/>
              </w:rPr>
              <w:t xml:space="preserve">, </w:t>
            </w:r>
            <w:r>
              <w:rPr>
                <w:rFonts w:cs="Arial"/>
                <w:sz w:val="18"/>
                <w:szCs w:val="18"/>
              </w:rPr>
              <w:t>(</w:t>
            </w:r>
            <w:r w:rsidRPr="00C903F8">
              <w:rPr>
                <w:rFonts w:cs="Arial"/>
                <w:sz w:val="18"/>
                <w:szCs w:val="18"/>
              </w:rPr>
              <w:t>5</w:t>
            </w:r>
            <w:r>
              <w:rPr>
                <w:rFonts w:cs="Arial"/>
                <w:sz w:val="18"/>
                <w:szCs w:val="18"/>
              </w:rPr>
              <w:t>)</w:t>
            </w:r>
            <w:r w:rsidRPr="00C903F8">
              <w:rPr>
                <w:rFonts w:cs="Arial"/>
                <w:sz w:val="18"/>
                <w:szCs w:val="18"/>
              </w:rPr>
              <w:t xml:space="preserve"> and </w:t>
            </w:r>
            <w:r>
              <w:rPr>
                <w:rFonts w:cs="Arial"/>
                <w:sz w:val="18"/>
                <w:szCs w:val="18"/>
              </w:rPr>
              <w:t>(</w:t>
            </w:r>
            <w:r w:rsidRPr="00C903F8">
              <w:rPr>
                <w:rFonts w:cs="Arial"/>
                <w:sz w:val="18"/>
                <w:szCs w:val="18"/>
              </w:rPr>
              <w:t>9</w:t>
            </w:r>
            <w:r>
              <w:rPr>
                <w:rFonts w:cs="Arial"/>
                <w:sz w:val="18"/>
                <w:szCs w:val="18"/>
              </w:rPr>
              <w:t>)</w:t>
            </w:r>
            <w:r w:rsidRPr="00B60926">
              <w:rPr>
                <w:snapToGrid w:val="0"/>
                <w:color w:val="000000"/>
                <w:sz w:val="18"/>
                <w:szCs w:val="20"/>
                <w:vertAlign w:val="superscript"/>
                <w:lang w:val="en-GB" w:eastAsia="en-GB" w:bidi="en-GB"/>
              </w:rPr>
              <w:t xml:space="preserve"> </w:t>
            </w:r>
          </w:p>
        </w:tc>
        <w:tc>
          <w:tcPr>
            <w:tcW w:w="3296" w:type="dxa"/>
            <w:shd w:val="clear" w:color="auto" w:fill="auto"/>
          </w:tcPr>
          <w:p w:rsidR="004D56BE" w:rsidRPr="00C903F8" w:rsidRDefault="004D56BE" w:rsidP="00C01A94">
            <w:pPr>
              <w:spacing w:before="200" w:after="200" w:line="240" w:lineRule="atLeast"/>
              <w:ind w:left="0" w:firstLine="0"/>
              <w:rPr>
                <w:rFonts w:cs="Arial"/>
                <w:sz w:val="18"/>
                <w:szCs w:val="18"/>
              </w:rPr>
            </w:pPr>
            <w:r w:rsidRPr="00C903F8">
              <w:rPr>
                <w:rFonts w:cs="Arial"/>
                <w:noProof/>
                <w:sz w:val="18"/>
                <w:szCs w:val="18"/>
              </w:rPr>
              <w:t>Manufacturer’s plate, protection devices, shipboard documents</w:t>
            </w:r>
          </w:p>
        </w:tc>
        <w:tc>
          <w:tcPr>
            <w:tcW w:w="5387" w:type="dxa"/>
            <w:shd w:val="clear" w:color="auto" w:fill="auto"/>
          </w:tcPr>
          <w:p w:rsidR="004D56BE" w:rsidRPr="00C903F8" w:rsidRDefault="004D56BE" w:rsidP="00C01A94">
            <w:pPr>
              <w:spacing w:before="200" w:after="2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200" w:after="200" w:line="240" w:lineRule="atLeast"/>
              <w:ind w:left="0" w:firstLine="0"/>
              <w:rPr>
                <w:rFonts w:cs="Arial"/>
                <w:sz w:val="18"/>
                <w:szCs w:val="18"/>
              </w:rPr>
            </w:pPr>
            <w:r w:rsidRPr="00C903F8">
              <w:rPr>
                <w:rFonts w:cs="Arial"/>
                <w:sz w:val="18"/>
                <w:szCs w:val="18"/>
              </w:rPr>
              <w:t>1.1.2020</w:t>
            </w:r>
          </w:p>
        </w:tc>
        <w:tc>
          <w:tcPr>
            <w:tcW w:w="1276" w:type="dxa"/>
          </w:tcPr>
          <w:p w:rsidR="004D56BE" w:rsidRPr="00C903F8" w:rsidRDefault="004D56BE" w:rsidP="00C01A94">
            <w:pPr>
              <w:spacing w:before="200" w:after="200" w:line="240" w:lineRule="atLeast"/>
              <w:ind w:left="0" w:firstLine="0"/>
              <w:rPr>
                <w:rFonts w:cs="Arial"/>
                <w:sz w:val="18"/>
                <w:szCs w:val="18"/>
              </w:rPr>
            </w:pPr>
            <w:r w:rsidRPr="00C903F8">
              <w:rPr>
                <w:rFonts w:cs="Arial"/>
                <w:sz w:val="18"/>
                <w:szCs w:val="18"/>
              </w:rPr>
              <w:t>1.12.2011</w:t>
            </w:r>
          </w:p>
        </w:tc>
      </w:tr>
      <w:tr w:rsidR="004D56BE" w:rsidRPr="00C903F8" w:rsidTr="00E67DA4">
        <w:trPr>
          <w:cantSplit/>
          <w:trHeight w:val="70"/>
          <w:jc w:val="center"/>
        </w:trPr>
        <w:tc>
          <w:tcPr>
            <w:tcW w:w="6096" w:type="dxa"/>
            <w:gridSpan w:val="3"/>
            <w:shd w:val="clear" w:color="auto" w:fill="auto"/>
          </w:tcPr>
          <w:p w:rsidR="004D56BE" w:rsidRPr="00C903F8" w:rsidRDefault="004D56BE" w:rsidP="00C01A94">
            <w:pPr>
              <w:spacing w:before="60" w:after="60" w:line="240" w:lineRule="atLeast"/>
              <w:ind w:left="0" w:firstLine="0"/>
              <w:jc w:val="center"/>
              <w:rPr>
                <w:rFonts w:cs="Arial"/>
                <w:b/>
                <w:sz w:val="18"/>
                <w:szCs w:val="18"/>
              </w:rPr>
            </w:pPr>
            <w:r w:rsidRPr="00C903F8">
              <w:rPr>
                <w:rFonts w:cs="Arial"/>
                <w:b/>
                <w:sz w:val="18"/>
                <w:szCs w:val="18"/>
              </w:rPr>
              <w:t>CHAPTER 18</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rPr>
            </w:pP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p>
        </w:tc>
        <w:tc>
          <w:tcPr>
            <w:tcW w:w="1276" w:type="dxa"/>
          </w:tcPr>
          <w:p w:rsidR="004D56BE" w:rsidRPr="00C903F8" w:rsidRDefault="004D56BE" w:rsidP="00C01A94">
            <w:pPr>
              <w:spacing w:before="60" w:after="60" w:line="240" w:lineRule="atLeast"/>
              <w:ind w:left="0" w:firstLine="0"/>
              <w:rPr>
                <w:rFonts w:cs="Arial"/>
                <w:sz w:val="18"/>
                <w:szCs w:val="18"/>
              </w:rPr>
            </w:pPr>
          </w:p>
        </w:tc>
      </w:tr>
      <w:tr w:rsidR="004D56BE" w:rsidRPr="00C903F8" w:rsidTr="00E67DA4">
        <w:trPr>
          <w:cantSplit/>
          <w:jc w:val="center"/>
        </w:trPr>
        <w:tc>
          <w:tcPr>
            <w:tcW w:w="1342" w:type="dxa"/>
            <w:vMerge w:val="restart"/>
            <w:shd w:val="clear" w:color="auto" w:fill="auto"/>
          </w:tcPr>
          <w:p w:rsidR="004D56BE" w:rsidRPr="00605BA5" w:rsidRDefault="004D56BE" w:rsidP="00C01A94">
            <w:pPr>
              <w:spacing w:before="60" w:after="60" w:line="240" w:lineRule="atLeast"/>
              <w:rPr>
                <w:rFonts w:cs="Arial"/>
                <w:sz w:val="18"/>
                <w:szCs w:val="18"/>
              </w:rPr>
            </w:pPr>
            <w:r w:rsidRPr="00605BA5">
              <w:rPr>
                <w:rFonts w:cs="Arial"/>
                <w:sz w:val="18"/>
                <w:szCs w:val="18"/>
              </w:rPr>
              <w:lastRenderedPageBreak/>
              <w:t>18.01</w:t>
            </w:r>
          </w:p>
        </w:tc>
        <w:tc>
          <w:tcPr>
            <w:tcW w:w="1458" w:type="dxa"/>
            <w:vMerge w:val="restart"/>
            <w:shd w:val="clear" w:color="auto" w:fill="auto"/>
          </w:tcPr>
          <w:p w:rsidR="004D56BE" w:rsidRPr="00605BA5" w:rsidRDefault="004D56BE" w:rsidP="00C01A94">
            <w:pPr>
              <w:adjustRightInd w:val="0"/>
              <w:spacing w:before="60" w:after="60" w:line="240" w:lineRule="atLeast"/>
              <w:ind w:left="0" w:right="-108" w:firstLine="0"/>
              <w:jc w:val="left"/>
              <w:rPr>
                <w:rFonts w:cs="Arial"/>
                <w:sz w:val="18"/>
                <w:szCs w:val="18"/>
              </w:rPr>
            </w:pPr>
            <w:r w:rsidRPr="00605BA5">
              <w:rPr>
                <w:rFonts w:cs="Arial"/>
                <w:sz w:val="18"/>
                <w:szCs w:val="18"/>
              </w:rPr>
              <w:t>(2)</w:t>
            </w:r>
            <w:r>
              <w:rPr>
                <w:rFonts w:cs="Arial"/>
                <w:sz w:val="18"/>
                <w:szCs w:val="18"/>
              </w:rPr>
              <w:t>,</w:t>
            </w:r>
            <w:r w:rsidRPr="00605BA5">
              <w:rPr>
                <w:rFonts w:cs="Arial"/>
                <w:sz w:val="18"/>
                <w:szCs w:val="18"/>
              </w:rPr>
              <w:t xml:space="preserve"> </w:t>
            </w:r>
            <w:r>
              <w:rPr>
                <w:rFonts w:cs="Arial"/>
                <w:sz w:val="18"/>
                <w:szCs w:val="18"/>
              </w:rPr>
              <w:t>T</w:t>
            </w:r>
            <w:r w:rsidRPr="00605BA5">
              <w:rPr>
                <w:rFonts w:cs="Arial"/>
                <w:sz w:val="18"/>
                <w:szCs w:val="18"/>
              </w:rPr>
              <w:t>ables 1 and 2</w:t>
            </w:r>
            <w:r>
              <w:rPr>
                <w:rFonts w:cs="Arial"/>
                <w:sz w:val="18"/>
                <w:szCs w:val="18"/>
              </w:rPr>
              <w:t>,</w:t>
            </w:r>
            <w:r w:rsidRPr="00605BA5">
              <w:rPr>
                <w:rFonts w:cs="Arial"/>
                <w:sz w:val="18"/>
                <w:szCs w:val="18"/>
              </w:rPr>
              <w:t xml:space="preserve"> and (5)</w:t>
            </w:r>
          </w:p>
        </w:tc>
        <w:tc>
          <w:tcPr>
            <w:tcW w:w="3296" w:type="dxa"/>
            <w:vMerge w:val="restart"/>
            <w:shd w:val="clear" w:color="auto" w:fill="auto"/>
          </w:tcPr>
          <w:p w:rsidR="004D56BE" w:rsidRPr="00605BA5" w:rsidRDefault="004D56BE" w:rsidP="00C01A94">
            <w:pPr>
              <w:adjustRightInd w:val="0"/>
              <w:spacing w:before="60" w:after="60" w:line="240" w:lineRule="atLeast"/>
              <w:ind w:left="0" w:firstLine="0"/>
              <w:rPr>
                <w:rFonts w:cs="Arial"/>
                <w:sz w:val="18"/>
                <w:szCs w:val="18"/>
                <w:lang w:val="en-GB"/>
              </w:rPr>
            </w:pPr>
            <w:r w:rsidRPr="00605BA5">
              <w:rPr>
                <w:rFonts w:cs="Arial"/>
                <w:noProof/>
                <w:sz w:val="18"/>
                <w:szCs w:val="18"/>
                <w:lang w:val="en-US"/>
              </w:rPr>
              <w:t>Limit/control values and type approvals</w:t>
            </w:r>
          </w:p>
        </w:tc>
        <w:tc>
          <w:tcPr>
            <w:tcW w:w="5387" w:type="dxa"/>
            <w:shd w:val="clear" w:color="auto" w:fill="auto"/>
          </w:tcPr>
          <w:p w:rsidR="004D56BE" w:rsidRPr="00605BA5" w:rsidRDefault="004D56BE" w:rsidP="00C01A94">
            <w:pPr>
              <w:spacing w:before="60" w:after="60" w:line="240" w:lineRule="atLeast"/>
              <w:rPr>
                <w:rFonts w:cs="Arial"/>
                <w:sz w:val="18"/>
                <w:szCs w:val="18"/>
                <w:lang w:val="en-US"/>
              </w:rPr>
            </w:pPr>
            <w:r w:rsidRPr="00605BA5">
              <w:rPr>
                <w:rFonts w:cs="Arial"/>
                <w:sz w:val="18"/>
                <w:szCs w:val="18"/>
                <w:lang w:val="en-US"/>
              </w:rPr>
              <w:t>N.R.C., as long as</w:t>
            </w:r>
          </w:p>
          <w:p w:rsidR="004D56BE" w:rsidRPr="00605BA5" w:rsidRDefault="004D56BE" w:rsidP="00C01A94">
            <w:pPr>
              <w:spacing w:before="60" w:after="60" w:line="240" w:lineRule="atLeast"/>
              <w:ind w:left="317" w:hanging="317"/>
              <w:rPr>
                <w:rFonts w:cs="Arial"/>
                <w:sz w:val="18"/>
                <w:szCs w:val="18"/>
                <w:lang w:val="en-US"/>
              </w:rPr>
            </w:pPr>
            <w:r w:rsidRPr="00605BA5">
              <w:rPr>
                <w:rFonts w:cs="Arial"/>
                <w:sz w:val="18"/>
                <w:szCs w:val="18"/>
                <w:lang w:val="en-US"/>
              </w:rPr>
              <w:t>a)</w:t>
            </w:r>
            <w:r w:rsidRPr="00605BA5">
              <w:rPr>
                <w:rFonts w:cs="Arial"/>
                <w:sz w:val="18"/>
                <w:szCs w:val="18"/>
                <w:lang w:val="en-US"/>
              </w:rPr>
              <w:tab/>
              <w:t>the limit and control values do not exceed the values according to values of step II by more than the factor 2,</w:t>
            </w:r>
          </w:p>
          <w:p w:rsidR="004D56BE" w:rsidRPr="00605BA5" w:rsidRDefault="004D56BE" w:rsidP="00C01A94">
            <w:pPr>
              <w:spacing w:before="60" w:after="60" w:line="240" w:lineRule="atLeast"/>
              <w:ind w:left="317" w:hanging="317"/>
              <w:rPr>
                <w:rFonts w:cs="Arial"/>
                <w:sz w:val="18"/>
                <w:szCs w:val="18"/>
                <w:lang w:val="en-US"/>
              </w:rPr>
            </w:pPr>
            <w:r w:rsidRPr="00605BA5">
              <w:rPr>
                <w:rFonts w:cs="Arial"/>
                <w:sz w:val="18"/>
                <w:szCs w:val="18"/>
                <w:lang w:val="en-US"/>
              </w:rPr>
              <w:t>b)</w:t>
            </w:r>
            <w:r w:rsidRPr="00605BA5">
              <w:rPr>
                <w:rFonts w:cs="Arial"/>
                <w:sz w:val="18"/>
                <w:szCs w:val="18"/>
                <w:lang w:val="en-US"/>
              </w:rPr>
              <w:tab/>
              <w:t>t</w:t>
            </w:r>
            <w:r w:rsidRPr="00605BA5">
              <w:rPr>
                <w:rFonts w:cs="Arial"/>
                <w:noProof/>
                <w:sz w:val="18"/>
                <w:szCs w:val="18"/>
                <w:lang w:val="en-US"/>
              </w:rPr>
              <w:t>he on-board sewage treatment plant has a manufacturer's or expert's certificate confirming that it can cope with the typical loading patterns on board the craft and</w:t>
            </w:r>
          </w:p>
          <w:p w:rsidR="004D56BE" w:rsidRPr="00605BA5" w:rsidRDefault="004D56BE" w:rsidP="00C01A94">
            <w:pPr>
              <w:adjustRightInd w:val="0"/>
              <w:spacing w:before="60" w:after="60" w:line="240" w:lineRule="atLeast"/>
              <w:ind w:left="318" w:hanging="318"/>
              <w:rPr>
                <w:rFonts w:cs="Arial"/>
                <w:sz w:val="18"/>
                <w:szCs w:val="18"/>
                <w:lang w:val="en-GB"/>
              </w:rPr>
            </w:pPr>
            <w:r w:rsidRPr="00605BA5">
              <w:rPr>
                <w:rFonts w:cs="Arial"/>
                <w:sz w:val="18"/>
                <w:szCs w:val="18"/>
                <w:lang w:val="en-US"/>
              </w:rPr>
              <w:t>c)</w:t>
            </w:r>
            <w:r w:rsidRPr="00605BA5">
              <w:rPr>
                <w:rFonts w:cs="Arial"/>
                <w:sz w:val="18"/>
                <w:szCs w:val="18"/>
                <w:lang w:val="en-US"/>
              </w:rPr>
              <w:tab/>
            </w:r>
            <w:r w:rsidRPr="00605BA5">
              <w:rPr>
                <w:rFonts w:cs="Arial"/>
                <w:noProof/>
                <w:sz w:val="18"/>
                <w:szCs w:val="18"/>
                <w:lang w:val="en-US"/>
              </w:rPr>
              <w:t>a system of sewage sludge management is in place for it which is appropriate to the conditions of operating a sewage treatment plant aboard a passenger vessel</w:t>
            </w:r>
            <w:r w:rsidRPr="00605BA5">
              <w:rPr>
                <w:rFonts w:cs="Arial"/>
                <w:sz w:val="18"/>
                <w:szCs w:val="18"/>
                <w:lang w:val="en-US"/>
              </w:rPr>
              <w:t>.</w:t>
            </w:r>
          </w:p>
        </w:tc>
        <w:tc>
          <w:tcPr>
            <w:tcW w:w="1276" w:type="dxa"/>
            <w:shd w:val="clear" w:color="auto" w:fill="auto"/>
          </w:tcPr>
          <w:p w:rsidR="004D56BE" w:rsidRPr="00605BA5" w:rsidRDefault="004D56BE" w:rsidP="00C01A94">
            <w:pPr>
              <w:spacing w:before="60" w:after="60" w:line="240" w:lineRule="atLeast"/>
              <w:rPr>
                <w:rFonts w:cs="Arial"/>
                <w:sz w:val="18"/>
                <w:szCs w:val="18"/>
                <w:lang w:val="en-GB"/>
              </w:rPr>
            </w:pPr>
          </w:p>
        </w:tc>
        <w:tc>
          <w:tcPr>
            <w:tcW w:w="1276" w:type="dxa"/>
          </w:tcPr>
          <w:p w:rsidR="004D56BE" w:rsidRPr="00605BA5" w:rsidRDefault="004D56BE" w:rsidP="00C01A94">
            <w:pPr>
              <w:spacing w:before="60" w:after="60" w:line="240" w:lineRule="atLeast"/>
              <w:rPr>
                <w:rFonts w:cs="Arial"/>
                <w:sz w:val="18"/>
                <w:szCs w:val="18"/>
              </w:rPr>
            </w:pPr>
            <w:r w:rsidRPr="00605BA5">
              <w:rPr>
                <w:rFonts w:cs="Arial"/>
                <w:sz w:val="18"/>
                <w:szCs w:val="18"/>
              </w:rPr>
              <w:t>1.12.2011</w:t>
            </w:r>
          </w:p>
        </w:tc>
      </w:tr>
      <w:tr w:rsidR="004D56BE" w:rsidRPr="00C903F8" w:rsidTr="00E67DA4">
        <w:trPr>
          <w:cantSplit/>
          <w:jc w:val="center"/>
        </w:trPr>
        <w:tc>
          <w:tcPr>
            <w:tcW w:w="1342" w:type="dxa"/>
            <w:vMerge/>
            <w:shd w:val="clear" w:color="auto" w:fill="auto"/>
          </w:tcPr>
          <w:p w:rsidR="004D56BE" w:rsidRPr="00605BA5" w:rsidRDefault="004D56BE" w:rsidP="00C01A94">
            <w:pPr>
              <w:spacing w:before="60" w:after="60" w:line="240" w:lineRule="atLeast"/>
              <w:ind w:left="0" w:firstLine="0"/>
              <w:rPr>
                <w:rFonts w:cs="Arial"/>
                <w:sz w:val="18"/>
                <w:szCs w:val="18"/>
              </w:rPr>
            </w:pPr>
          </w:p>
        </w:tc>
        <w:tc>
          <w:tcPr>
            <w:tcW w:w="1458" w:type="dxa"/>
            <w:vMerge/>
            <w:shd w:val="clear" w:color="auto" w:fill="auto"/>
          </w:tcPr>
          <w:p w:rsidR="004D56BE" w:rsidRPr="00605BA5" w:rsidRDefault="004D56BE" w:rsidP="00C01A94">
            <w:pPr>
              <w:spacing w:before="60" w:after="60" w:line="240" w:lineRule="atLeast"/>
              <w:ind w:left="0" w:firstLine="0"/>
              <w:rPr>
                <w:rFonts w:cs="Arial"/>
                <w:sz w:val="18"/>
                <w:szCs w:val="18"/>
              </w:rPr>
            </w:pPr>
          </w:p>
        </w:tc>
        <w:tc>
          <w:tcPr>
            <w:tcW w:w="3296" w:type="dxa"/>
            <w:vMerge/>
            <w:shd w:val="clear" w:color="auto" w:fill="auto"/>
          </w:tcPr>
          <w:p w:rsidR="004D56BE" w:rsidRPr="00605BA5" w:rsidRDefault="004D56BE" w:rsidP="00C01A94">
            <w:pPr>
              <w:tabs>
                <w:tab w:val="left" w:pos="1080"/>
              </w:tabs>
              <w:spacing w:before="60" w:after="60" w:line="240" w:lineRule="atLeast"/>
              <w:ind w:left="0" w:firstLine="0"/>
              <w:rPr>
                <w:rFonts w:cs="Arial"/>
                <w:noProof/>
                <w:sz w:val="18"/>
                <w:szCs w:val="18"/>
                <w:lang w:val="en-US"/>
              </w:rPr>
            </w:pPr>
          </w:p>
        </w:tc>
        <w:tc>
          <w:tcPr>
            <w:tcW w:w="5387" w:type="dxa"/>
            <w:shd w:val="clear" w:color="auto" w:fill="auto"/>
          </w:tcPr>
          <w:p w:rsidR="004D56BE" w:rsidRPr="00605BA5" w:rsidRDefault="004D56BE" w:rsidP="00C01A94">
            <w:pPr>
              <w:spacing w:before="60" w:after="60" w:line="240" w:lineRule="atLeast"/>
              <w:ind w:left="0" w:firstLine="0"/>
              <w:rPr>
                <w:rFonts w:cs="Arial"/>
                <w:sz w:val="18"/>
                <w:szCs w:val="18"/>
                <w:lang w:val="en-US"/>
              </w:rPr>
            </w:pPr>
            <w:r w:rsidRPr="00605BA5">
              <w:rPr>
                <w:rFonts w:cs="Arial"/>
                <w:sz w:val="18"/>
                <w:szCs w:val="18"/>
                <w:lang w:val="en-GB"/>
              </w:rPr>
              <w:t xml:space="preserve">On-board sewage treatment plants </w:t>
            </w:r>
            <w:r w:rsidRPr="00605BA5">
              <w:rPr>
                <w:rFonts w:cs="Arial"/>
                <w:sz w:val="18"/>
                <w:szCs w:val="18"/>
                <w:lang w:val="en-US"/>
              </w:rPr>
              <w:t>which have received an approval on or after 1</w:t>
            </w:r>
            <w:r w:rsidRPr="00605BA5">
              <w:rPr>
                <w:rFonts w:cs="Arial"/>
                <w:sz w:val="18"/>
                <w:szCs w:val="18"/>
                <w:vertAlign w:val="superscript"/>
                <w:lang w:val="en-US"/>
              </w:rPr>
              <w:t>st </w:t>
            </w:r>
            <w:r w:rsidRPr="00605BA5">
              <w:rPr>
                <w:rFonts w:cs="Arial"/>
                <w:sz w:val="18"/>
                <w:szCs w:val="18"/>
                <w:lang w:val="en-US"/>
              </w:rPr>
              <w:t>December 2011, pursuant to requirements of the Resolution CCNR 2010-II-27 (Step II), may continue to be installed and used.</w:t>
            </w:r>
          </w:p>
        </w:tc>
        <w:tc>
          <w:tcPr>
            <w:tcW w:w="1276" w:type="dxa"/>
            <w:shd w:val="clear" w:color="auto" w:fill="auto"/>
          </w:tcPr>
          <w:p w:rsidR="004D56BE" w:rsidRPr="00605BA5" w:rsidRDefault="004D56BE" w:rsidP="00C01A94">
            <w:pPr>
              <w:spacing w:before="60" w:after="60" w:line="240" w:lineRule="atLeast"/>
              <w:ind w:left="0" w:firstLine="0"/>
              <w:rPr>
                <w:rFonts w:cs="Arial"/>
                <w:sz w:val="18"/>
                <w:szCs w:val="18"/>
                <w:lang w:val="en-US"/>
              </w:rPr>
            </w:pPr>
          </w:p>
        </w:tc>
        <w:tc>
          <w:tcPr>
            <w:tcW w:w="1276" w:type="dxa"/>
          </w:tcPr>
          <w:p w:rsidR="004D56BE" w:rsidRPr="00605BA5" w:rsidRDefault="004D56BE" w:rsidP="00C01A94">
            <w:pPr>
              <w:spacing w:before="60" w:after="60" w:line="240" w:lineRule="atLeast"/>
              <w:ind w:left="0" w:firstLine="0"/>
              <w:rPr>
                <w:rFonts w:cs="Arial"/>
                <w:sz w:val="18"/>
                <w:szCs w:val="18"/>
              </w:rPr>
            </w:pPr>
            <w:r w:rsidRPr="00605BA5">
              <w:rPr>
                <w:rFonts w:cs="Arial"/>
                <w:sz w:val="18"/>
                <w:szCs w:val="18"/>
              </w:rPr>
              <w:t>7.10.2018</w:t>
            </w:r>
          </w:p>
        </w:tc>
      </w:tr>
      <w:tr w:rsidR="004D56BE" w:rsidRPr="00C903F8" w:rsidTr="00E67DA4">
        <w:trPr>
          <w:cantSplit/>
          <w:jc w:val="center"/>
        </w:trPr>
        <w:tc>
          <w:tcPr>
            <w:tcW w:w="1342" w:type="dxa"/>
            <w:vMerge/>
            <w:shd w:val="clear" w:color="auto" w:fill="auto"/>
          </w:tcPr>
          <w:p w:rsidR="004D56BE" w:rsidRPr="00605BA5" w:rsidRDefault="004D56BE" w:rsidP="00C01A94">
            <w:pPr>
              <w:spacing w:before="60" w:after="60" w:line="240" w:lineRule="atLeast"/>
              <w:ind w:left="0" w:firstLine="0"/>
              <w:rPr>
                <w:rFonts w:cs="Arial"/>
                <w:sz w:val="18"/>
                <w:szCs w:val="18"/>
              </w:rPr>
            </w:pPr>
          </w:p>
        </w:tc>
        <w:tc>
          <w:tcPr>
            <w:tcW w:w="1458" w:type="dxa"/>
            <w:vMerge/>
            <w:shd w:val="clear" w:color="auto" w:fill="auto"/>
          </w:tcPr>
          <w:p w:rsidR="004D56BE" w:rsidRPr="00605BA5" w:rsidRDefault="004D56BE" w:rsidP="00C01A94">
            <w:pPr>
              <w:spacing w:before="60" w:after="60" w:line="240" w:lineRule="atLeast"/>
              <w:ind w:left="0" w:firstLine="0"/>
              <w:rPr>
                <w:rFonts w:cs="Arial"/>
                <w:sz w:val="18"/>
                <w:szCs w:val="18"/>
              </w:rPr>
            </w:pPr>
          </w:p>
        </w:tc>
        <w:tc>
          <w:tcPr>
            <w:tcW w:w="3296" w:type="dxa"/>
            <w:vMerge/>
            <w:shd w:val="clear" w:color="auto" w:fill="auto"/>
          </w:tcPr>
          <w:p w:rsidR="004D56BE" w:rsidRPr="00605BA5" w:rsidRDefault="004D56BE" w:rsidP="00C01A94">
            <w:pPr>
              <w:tabs>
                <w:tab w:val="left" w:pos="1080"/>
              </w:tabs>
              <w:spacing w:before="60" w:after="60" w:line="240" w:lineRule="atLeast"/>
              <w:ind w:left="0" w:firstLine="0"/>
              <w:rPr>
                <w:rFonts w:cs="Arial"/>
                <w:noProof/>
                <w:sz w:val="18"/>
                <w:szCs w:val="18"/>
                <w:lang w:val="en-US"/>
              </w:rPr>
            </w:pPr>
          </w:p>
        </w:tc>
        <w:tc>
          <w:tcPr>
            <w:tcW w:w="5387" w:type="dxa"/>
            <w:shd w:val="clear" w:color="auto" w:fill="auto"/>
          </w:tcPr>
          <w:p w:rsidR="004D56BE" w:rsidRPr="00605BA5" w:rsidRDefault="004D56BE" w:rsidP="00C01A94">
            <w:pPr>
              <w:spacing w:before="60" w:after="60" w:line="240" w:lineRule="atLeast"/>
              <w:ind w:left="0" w:firstLine="0"/>
              <w:rPr>
                <w:rFonts w:cs="Arial"/>
                <w:sz w:val="18"/>
                <w:szCs w:val="18"/>
                <w:lang w:val="en-US"/>
              </w:rPr>
            </w:pPr>
            <w:r w:rsidRPr="00605BA5">
              <w:rPr>
                <w:rFonts w:cs="Arial"/>
                <w:sz w:val="18"/>
                <w:szCs w:val="18"/>
                <w:lang w:val="en-GB"/>
              </w:rPr>
              <w:t xml:space="preserve">On-board sewage treatment plants </w:t>
            </w:r>
            <w:r w:rsidRPr="00605BA5">
              <w:rPr>
                <w:rFonts w:cs="Arial"/>
                <w:sz w:val="18"/>
                <w:szCs w:val="18"/>
                <w:lang w:val="en-US"/>
              </w:rPr>
              <w:t>which have received an approval on or after 10 January 2013, pursuant to requirements of the Directive 2012/49/EU (Step II), may continue to be installed and used.</w:t>
            </w:r>
          </w:p>
        </w:tc>
        <w:tc>
          <w:tcPr>
            <w:tcW w:w="1276" w:type="dxa"/>
            <w:shd w:val="clear" w:color="auto" w:fill="auto"/>
          </w:tcPr>
          <w:p w:rsidR="004D56BE" w:rsidRPr="00605BA5" w:rsidRDefault="004D56BE" w:rsidP="00C01A94">
            <w:pPr>
              <w:spacing w:before="60" w:after="60" w:line="240" w:lineRule="atLeast"/>
              <w:ind w:left="0" w:firstLine="0"/>
              <w:rPr>
                <w:rFonts w:cs="Arial"/>
                <w:sz w:val="18"/>
                <w:szCs w:val="18"/>
                <w:lang w:val="en-US"/>
              </w:rPr>
            </w:pPr>
          </w:p>
        </w:tc>
        <w:tc>
          <w:tcPr>
            <w:tcW w:w="1276" w:type="dxa"/>
          </w:tcPr>
          <w:p w:rsidR="004D56BE" w:rsidRPr="00605BA5" w:rsidRDefault="004D56BE" w:rsidP="00C01A94">
            <w:pPr>
              <w:spacing w:before="60" w:after="60" w:line="240" w:lineRule="atLeast"/>
              <w:ind w:left="0" w:firstLine="0"/>
              <w:rPr>
                <w:rFonts w:cs="Arial"/>
                <w:sz w:val="18"/>
                <w:szCs w:val="18"/>
              </w:rPr>
            </w:pPr>
            <w:r w:rsidRPr="00605BA5">
              <w:rPr>
                <w:rFonts w:cs="Arial"/>
                <w:sz w:val="18"/>
                <w:szCs w:val="18"/>
              </w:rPr>
              <w:t>7.10.2018</w:t>
            </w:r>
          </w:p>
        </w:tc>
      </w:tr>
      <w:tr w:rsidR="004D56BE" w:rsidRPr="00C903F8" w:rsidTr="00E67DA4">
        <w:trPr>
          <w:cantSplit/>
          <w:jc w:val="center"/>
        </w:trPr>
        <w:tc>
          <w:tcPr>
            <w:tcW w:w="6096" w:type="dxa"/>
            <w:gridSpan w:val="3"/>
            <w:shd w:val="clear" w:color="auto" w:fill="auto"/>
          </w:tcPr>
          <w:p w:rsidR="004D56BE" w:rsidRPr="00C903F8" w:rsidRDefault="004D56BE" w:rsidP="00C01A94">
            <w:pPr>
              <w:tabs>
                <w:tab w:val="left" w:pos="1080"/>
              </w:tabs>
              <w:spacing w:before="60" w:after="60" w:line="240" w:lineRule="atLeast"/>
              <w:ind w:left="0" w:firstLine="0"/>
              <w:jc w:val="center"/>
              <w:rPr>
                <w:rFonts w:cs="Arial"/>
                <w:sz w:val="18"/>
                <w:szCs w:val="18"/>
              </w:rPr>
            </w:pPr>
            <w:r w:rsidRPr="00C903F8">
              <w:rPr>
                <w:rFonts w:cs="Arial"/>
                <w:b/>
                <w:sz w:val="18"/>
                <w:szCs w:val="18"/>
              </w:rPr>
              <w:t>CHAPTER 19</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rPr>
            </w:pP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p>
        </w:tc>
        <w:tc>
          <w:tcPr>
            <w:tcW w:w="1276" w:type="dxa"/>
          </w:tcPr>
          <w:p w:rsidR="004D56BE" w:rsidRPr="00C903F8" w:rsidRDefault="004D56BE" w:rsidP="00C01A94">
            <w:pPr>
              <w:spacing w:before="60" w:after="60" w:line="240" w:lineRule="atLeast"/>
              <w:ind w:left="0" w:firstLine="0"/>
              <w:rPr>
                <w:rFonts w:cs="Arial"/>
                <w:sz w:val="18"/>
                <w:szCs w:val="18"/>
              </w:rPr>
            </w:pPr>
          </w:p>
        </w:tc>
      </w:tr>
      <w:tr w:rsidR="004D56BE" w:rsidRPr="00C903F8" w:rsidTr="00F14E8B">
        <w:trPr>
          <w:cantSplit/>
          <w:jc w:val="center"/>
        </w:trPr>
        <w:tc>
          <w:tcPr>
            <w:tcW w:w="1342" w:type="dxa"/>
            <w:tcBorders>
              <w:top w:val="nil"/>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19.01</w:t>
            </w:r>
          </w:p>
        </w:tc>
        <w:tc>
          <w:tcPr>
            <w:tcW w:w="1458" w:type="dxa"/>
            <w:vMerge w:val="restart"/>
            <w:shd w:val="clear" w:color="auto" w:fill="auto"/>
          </w:tcPr>
          <w:p w:rsidR="004D56BE" w:rsidRPr="00C903F8" w:rsidRDefault="004D56BE" w:rsidP="0077255B">
            <w:pPr>
              <w:spacing w:before="60" w:after="60" w:line="240" w:lineRule="atLeast"/>
              <w:ind w:left="0" w:firstLine="0"/>
              <w:rPr>
                <w:rFonts w:cs="Arial"/>
                <w:sz w:val="18"/>
                <w:szCs w:val="18"/>
              </w:rPr>
            </w:pPr>
            <w:r w:rsidRPr="00C903F8">
              <w:rPr>
                <w:rFonts w:cs="Arial"/>
                <w:sz w:val="18"/>
                <w:szCs w:val="18"/>
              </w:rPr>
              <w:t>(</w:t>
            </w:r>
            <w:r>
              <w:rPr>
                <w:rFonts w:cs="Arial"/>
                <w:sz w:val="18"/>
                <w:szCs w:val="18"/>
              </w:rPr>
              <w:t>2</w:t>
            </w:r>
            <w:r w:rsidRPr="00C903F8">
              <w:rPr>
                <w:rFonts w:cs="Arial"/>
                <w:sz w:val="18"/>
                <w:szCs w:val="18"/>
              </w:rPr>
              <w:t>)(e)</w:t>
            </w:r>
          </w:p>
        </w:tc>
        <w:tc>
          <w:tcPr>
            <w:tcW w:w="3296" w:type="dxa"/>
            <w:vMerge w:val="restart"/>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lang w:val="en-US"/>
              </w:rPr>
            </w:pPr>
            <w:r w:rsidRPr="00C903F8">
              <w:rPr>
                <w:rFonts w:cs="Arial"/>
                <w:noProof/>
                <w:sz w:val="18"/>
                <w:szCs w:val="18"/>
                <w:lang w:val="en-US"/>
              </w:rPr>
              <w:t>Prohibition of liquefied gas installations according to Chapter 17</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C903F8" w:rsidTr="00F14E8B">
        <w:trPr>
          <w:cantSplit/>
          <w:jc w:val="center"/>
        </w:trPr>
        <w:tc>
          <w:tcPr>
            <w:tcW w:w="1342" w:type="dxa"/>
            <w:tcBorders>
              <w:top w:val="nil"/>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1458" w:type="dxa"/>
            <w:vMerge/>
            <w:shd w:val="clear" w:color="auto" w:fill="auto"/>
          </w:tcPr>
          <w:p w:rsidR="004D56BE" w:rsidRPr="00C903F8" w:rsidRDefault="004D56BE" w:rsidP="00C01A94">
            <w:pPr>
              <w:spacing w:before="60" w:after="60" w:line="240" w:lineRule="atLeast"/>
              <w:ind w:left="0" w:firstLine="0"/>
              <w:rPr>
                <w:rFonts w:cs="Arial"/>
                <w:sz w:val="18"/>
                <w:szCs w:val="18"/>
              </w:rPr>
            </w:pPr>
          </w:p>
        </w:tc>
        <w:tc>
          <w:tcPr>
            <w:tcW w:w="3296" w:type="dxa"/>
            <w:vMerge/>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rPr>
            </w:pP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sidRPr="00C903F8">
              <w:rPr>
                <w:rFonts w:cs="Arial"/>
                <w:sz w:val="18"/>
                <w:szCs w:val="18"/>
                <w:lang w:val="en-US"/>
              </w:rPr>
              <w:t>The transitional provision applies only if alarm systems are fitted in accordance with Article 19.15(8).</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lang w:val="en-US"/>
              </w:rPr>
            </w:pP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single" w:sz="4" w:space="0" w:color="auto"/>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(5) and (6)</w:t>
            </w:r>
          </w:p>
        </w:tc>
        <w:tc>
          <w:tcPr>
            <w:tcW w:w="3296" w:type="dxa"/>
            <w:shd w:val="clear" w:color="auto" w:fill="auto"/>
          </w:tcPr>
          <w:p w:rsidR="004D56BE" w:rsidRPr="00C903F8" w:rsidRDefault="004D56BE" w:rsidP="00C01A94">
            <w:pPr>
              <w:tabs>
                <w:tab w:val="right" w:pos="3856"/>
                <w:tab w:val="center" w:pos="4536"/>
                <w:tab w:val="left" w:pos="6521"/>
                <w:tab w:val="right" w:pos="9072"/>
              </w:tabs>
              <w:spacing w:before="60" w:after="60" w:line="240" w:lineRule="atLeast"/>
              <w:ind w:left="0" w:firstLine="0"/>
              <w:rPr>
                <w:rFonts w:cs="Arial"/>
                <w:sz w:val="18"/>
                <w:szCs w:val="18"/>
                <w:lang w:val="en-US"/>
              </w:rPr>
            </w:pPr>
            <w:r w:rsidRPr="00C903F8">
              <w:rPr>
                <w:rFonts w:cs="Arial"/>
                <w:color w:val="000000"/>
                <w:sz w:val="18"/>
                <w:szCs w:val="18"/>
                <w:lang w:val="en-US"/>
              </w:rPr>
              <w:t xml:space="preserve">Obstructed vision ahead of the vessel 2 vessel lengths if less than 250 m </w:t>
            </w:r>
            <w:r w:rsidRPr="00C903F8">
              <w:rPr>
                <w:rFonts w:cs="Arial"/>
                <w:color w:val="000000"/>
                <w:sz w:val="18"/>
                <w:szCs w:val="18"/>
                <w:lang w:val="en-US"/>
              </w:rPr>
              <w:br/>
            </w:r>
            <w:r w:rsidRPr="00C903F8">
              <w:rPr>
                <w:rFonts w:cs="Arial"/>
                <w:sz w:val="18"/>
                <w:szCs w:val="18"/>
                <w:lang w:val="en-US"/>
              </w:rPr>
              <w:t>Sufficient view astern</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sidRPr="00C903F8">
              <w:rPr>
                <w:rFonts w:cs="Arial"/>
                <w:sz w:val="18"/>
                <w:szCs w:val="18"/>
                <w:lang w:val="en-US"/>
              </w:rPr>
              <w:t>1.1.2045</w:t>
            </w:r>
          </w:p>
        </w:tc>
        <w:tc>
          <w:tcPr>
            <w:tcW w:w="1276" w:type="dxa"/>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rPr>
              <w:t>7.10.2018</w:t>
            </w:r>
          </w:p>
        </w:tc>
      </w:tr>
      <w:tr w:rsidR="004D56BE" w:rsidRPr="00C903F8" w:rsidTr="0060199F">
        <w:trPr>
          <w:cantSplit/>
          <w:jc w:val="center"/>
        </w:trPr>
        <w:tc>
          <w:tcPr>
            <w:tcW w:w="1342" w:type="dxa"/>
            <w:tcBorders>
              <w:bottom w:val="nil"/>
            </w:tcBorders>
            <w:shd w:val="clear" w:color="auto" w:fill="auto"/>
          </w:tcPr>
          <w:p w:rsidR="004D56BE" w:rsidRPr="00C903F8" w:rsidRDefault="004D56BE" w:rsidP="00C01A94">
            <w:pPr>
              <w:spacing w:before="60" w:after="60" w:line="240" w:lineRule="atLeast"/>
              <w:ind w:left="0" w:firstLine="0"/>
              <w:rPr>
                <w:rFonts w:cs="Arial"/>
                <w:sz w:val="18"/>
                <w:szCs w:val="18"/>
                <w:lang w:val="en-US"/>
              </w:rPr>
            </w:pPr>
            <w:r w:rsidRPr="00C903F8">
              <w:rPr>
                <w:rFonts w:cs="Arial"/>
                <w:sz w:val="18"/>
                <w:szCs w:val="18"/>
                <w:lang w:val="en-US"/>
              </w:rPr>
              <w:t>19.02</w:t>
            </w:r>
          </w:p>
        </w:tc>
        <w:tc>
          <w:tcPr>
            <w:tcW w:w="1458" w:type="dxa"/>
            <w:tcBorders>
              <w:bottom w:val="single" w:sz="4" w:space="0" w:color="auto"/>
            </w:tcBorders>
            <w:shd w:val="clear" w:color="auto" w:fill="auto"/>
          </w:tcPr>
          <w:p w:rsidR="004D56BE" w:rsidRPr="00C903F8" w:rsidRDefault="004D56BE" w:rsidP="00C01A94">
            <w:pPr>
              <w:spacing w:before="60" w:after="60" w:line="240" w:lineRule="atLeast"/>
              <w:ind w:left="0" w:firstLine="0"/>
              <w:rPr>
                <w:rFonts w:cs="Arial"/>
                <w:sz w:val="18"/>
                <w:szCs w:val="18"/>
                <w:lang w:val="en-US"/>
              </w:rPr>
            </w:pPr>
            <w:r w:rsidRPr="00C903F8">
              <w:rPr>
                <w:rFonts w:cs="Arial"/>
                <w:sz w:val="18"/>
                <w:szCs w:val="18"/>
                <w:lang w:val="en-US"/>
              </w:rPr>
              <w:t>(2)</w:t>
            </w:r>
          </w:p>
        </w:tc>
        <w:tc>
          <w:tcPr>
            <w:tcW w:w="3296" w:type="dxa"/>
            <w:tcBorders>
              <w:bottom w:val="single" w:sz="4" w:space="0" w:color="auto"/>
            </w:tcBorders>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lang w:val="en-US"/>
              </w:rPr>
            </w:pPr>
            <w:r w:rsidRPr="00C903F8">
              <w:rPr>
                <w:rFonts w:cs="Arial"/>
                <w:noProof/>
                <w:sz w:val="18"/>
                <w:szCs w:val="18"/>
                <w:lang w:val="en-US"/>
              </w:rPr>
              <w:t>Number and position of bulkheads</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C903F8" w:rsidTr="0060199F">
        <w:trPr>
          <w:cantSplit/>
          <w:jc w:val="center"/>
        </w:trPr>
        <w:tc>
          <w:tcPr>
            <w:tcW w:w="1342" w:type="dxa"/>
            <w:tcBorders>
              <w:top w:val="nil"/>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1458" w:type="dxa"/>
            <w:tcBorders>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(3)</w:t>
            </w:r>
          </w:p>
        </w:tc>
        <w:tc>
          <w:tcPr>
            <w:tcW w:w="3296" w:type="dxa"/>
            <w:tcBorders>
              <w:bottom w:val="nil"/>
            </w:tcBorders>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lang w:val="en-US"/>
              </w:rPr>
            </w:pPr>
            <w:r w:rsidRPr="00C903F8">
              <w:rPr>
                <w:rFonts w:cs="Arial"/>
                <w:sz w:val="18"/>
                <w:szCs w:val="18"/>
                <w:lang w:val="en-US"/>
              </w:rPr>
              <w:t>Situation of aft-peak bulkhead</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1.1.2035</w:t>
            </w:r>
          </w:p>
        </w:tc>
        <w:tc>
          <w:tcPr>
            <w:tcW w:w="1276" w:type="dxa"/>
          </w:tcPr>
          <w:p w:rsidR="004D56BE" w:rsidRPr="009B46F3" w:rsidRDefault="004D56BE" w:rsidP="00C01A94">
            <w:pPr>
              <w:spacing w:before="60" w:after="60" w:line="240" w:lineRule="atLeast"/>
              <w:ind w:left="0" w:firstLine="0"/>
              <w:rPr>
                <w:rFonts w:cs="Arial"/>
                <w:sz w:val="18"/>
                <w:szCs w:val="18"/>
                <w:highlight w:val="green"/>
              </w:rPr>
            </w:pPr>
            <w:r>
              <w:rPr>
                <w:rFonts w:cs="Arial"/>
                <w:sz w:val="18"/>
                <w:szCs w:val="18"/>
              </w:rPr>
              <w:t>7.10.2018</w:t>
            </w:r>
          </w:p>
        </w:tc>
      </w:tr>
      <w:tr w:rsidR="004D56BE" w:rsidRPr="00C903F8" w:rsidTr="0060199F">
        <w:trPr>
          <w:cantSplit/>
          <w:jc w:val="center"/>
        </w:trPr>
        <w:tc>
          <w:tcPr>
            <w:tcW w:w="1342" w:type="dxa"/>
            <w:tcBorders>
              <w:top w:val="nil"/>
              <w:bottom w:val="nil"/>
            </w:tcBorders>
            <w:shd w:val="clear" w:color="auto" w:fill="auto"/>
          </w:tcPr>
          <w:p w:rsidR="004D56BE" w:rsidRPr="00C903F8" w:rsidRDefault="004D56BE" w:rsidP="00C01A94">
            <w:pPr>
              <w:spacing w:before="60" w:after="60" w:line="240" w:lineRule="atLeast"/>
              <w:ind w:left="0" w:firstLine="0"/>
              <w:rPr>
                <w:rFonts w:cs="Arial"/>
                <w:sz w:val="18"/>
                <w:szCs w:val="18"/>
                <w:lang w:val="en-US"/>
              </w:rPr>
            </w:pPr>
          </w:p>
        </w:tc>
        <w:tc>
          <w:tcPr>
            <w:tcW w:w="1458" w:type="dxa"/>
            <w:tcBorders>
              <w:top w:val="nil"/>
            </w:tcBorders>
            <w:shd w:val="clear" w:color="auto" w:fill="auto"/>
          </w:tcPr>
          <w:p w:rsidR="004D56BE" w:rsidRPr="00C903F8" w:rsidRDefault="004D56BE" w:rsidP="00C01A94">
            <w:pPr>
              <w:spacing w:before="60" w:after="60" w:line="240" w:lineRule="atLeast"/>
              <w:ind w:left="0" w:firstLine="0"/>
              <w:rPr>
                <w:rFonts w:cs="Arial"/>
                <w:sz w:val="18"/>
                <w:szCs w:val="18"/>
                <w:lang w:val="en-US"/>
              </w:rPr>
            </w:pPr>
          </w:p>
        </w:tc>
        <w:tc>
          <w:tcPr>
            <w:tcW w:w="3296" w:type="dxa"/>
            <w:tcBorders>
              <w:top w:val="nil"/>
            </w:tcBorders>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lang w:val="en-US"/>
              </w:rPr>
            </w:pP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sidRPr="00C903F8">
              <w:rPr>
                <w:rFonts w:cs="Arial"/>
                <w:sz w:val="18"/>
                <w:szCs w:val="18"/>
                <w:lang w:val="en-US"/>
              </w:rPr>
              <w:t>This requirement does not apply to passenger vessels that due to the compliance with the basic requirements for the two-compartment status set out in article 19.03(9) or comply with the requirements of article 19.07 achieve an equivalent level of safety and manoeuvrability.</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lang w:val="en-US"/>
              </w:rPr>
            </w:pPr>
          </w:p>
        </w:tc>
        <w:tc>
          <w:tcPr>
            <w:tcW w:w="1276" w:type="dxa"/>
          </w:tcPr>
          <w:p w:rsidR="004D56BE" w:rsidRPr="009B46F3" w:rsidRDefault="004D56BE" w:rsidP="00C01A94">
            <w:pPr>
              <w:spacing w:before="60" w:after="60" w:line="240" w:lineRule="atLeast"/>
              <w:ind w:left="0" w:firstLine="0"/>
              <w:rPr>
                <w:rFonts w:cs="Arial"/>
                <w:sz w:val="18"/>
                <w:szCs w:val="18"/>
                <w:highlight w:val="green"/>
              </w:rPr>
            </w:pPr>
            <w:r>
              <w:rPr>
                <w:rFonts w:cs="Arial"/>
                <w:sz w:val="18"/>
                <w:szCs w:val="18"/>
              </w:rPr>
              <w:t>7.10.2018</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60" w:after="60" w:line="240" w:lineRule="atLeast"/>
              <w:ind w:left="0" w:firstLine="0"/>
              <w:rPr>
                <w:rFonts w:cs="Arial"/>
                <w:sz w:val="18"/>
                <w:szCs w:val="18"/>
                <w:lang w:val="en-US"/>
              </w:rPr>
            </w:pPr>
          </w:p>
        </w:tc>
        <w:tc>
          <w:tcPr>
            <w:tcW w:w="1458" w:type="dxa"/>
            <w:shd w:val="clear" w:color="auto" w:fill="auto"/>
          </w:tcPr>
          <w:p w:rsidR="004D56BE" w:rsidRPr="00C903F8" w:rsidRDefault="004D56BE" w:rsidP="00C01A94">
            <w:pPr>
              <w:spacing w:before="60" w:after="60" w:line="240" w:lineRule="atLeast"/>
              <w:ind w:left="0" w:firstLine="0"/>
              <w:jc w:val="left"/>
              <w:rPr>
                <w:rFonts w:cs="Arial"/>
                <w:sz w:val="18"/>
                <w:szCs w:val="18"/>
              </w:rPr>
            </w:pPr>
            <w:r w:rsidRPr="00C903F8">
              <w:rPr>
                <w:rFonts w:cs="Arial"/>
                <w:sz w:val="18"/>
                <w:szCs w:val="18"/>
              </w:rPr>
              <w:t>(5) 2</w:t>
            </w:r>
            <w:r w:rsidRPr="00C903F8">
              <w:rPr>
                <w:rFonts w:cs="Arial"/>
                <w:sz w:val="18"/>
                <w:szCs w:val="18"/>
                <w:vertAlign w:val="superscript"/>
              </w:rPr>
              <w:t>th</w:t>
            </w:r>
            <w:r w:rsidRPr="00C903F8">
              <w:rPr>
                <w:rFonts w:cs="Arial"/>
                <w:sz w:val="18"/>
                <w:szCs w:val="18"/>
              </w:rPr>
              <w:t xml:space="preserve"> sentence</w:t>
            </w:r>
          </w:p>
        </w:tc>
        <w:tc>
          <w:tcPr>
            <w:tcW w:w="3296" w:type="dxa"/>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lang w:val="en-US"/>
              </w:rPr>
            </w:pPr>
            <w:r w:rsidRPr="00C903F8">
              <w:rPr>
                <w:rFonts w:cs="Arial"/>
                <w:noProof/>
                <w:sz w:val="18"/>
                <w:szCs w:val="18"/>
                <w:lang w:val="en-US"/>
              </w:rPr>
              <w:t>Margin line if no bulkhead deck</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sidRPr="00C903F8">
              <w:rPr>
                <w:rFonts w:cs="Arial"/>
                <w:noProof/>
                <w:sz w:val="18"/>
                <w:szCs w:val="18"/>
                <w:lang w:val="en-US"/>
              </w:rPr>
              <w:t>For passenger vessels which have been laid down before 1.1.1996</w:t>
            </w:r>
            <w:r w:rsidRPr="00C903F8">
              <w:rPr>
                <w:rFonts w:cs="Arial"/>
                <w:sz w:val="18"/>
                <w:szCs w:val="18"/>
                <w:lang w:val="en-US"/>
              </w:rPr>
              <w:t xml:space="preserve">,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single" w:sz="4" w:space="0" w:color="auto"/>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(15)</w:t>
            </w:r>
          </w:p>
        </w:tc>
        <w:tc>
          <w:tcPr>
            <w:tcW w:w="3296" w:type="dxa"/>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lang w:val="en-US"/>
              </w:rPr>
            </w:pPr>
            <w:r w:rsidRPr="00C903F8">
              <w:rPr>
                <w:rFonts w:cs="Arial"/>
                <w:noProof/>
                <w:sz w:val="18"/>
                <w:szCs w:val="18"/>
                <w:lang w:val="en-US"/>
              </w:rPr>
              <w:t>Minimum height of double bottoms, width of wing voids</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19.03</w:t>
            </w:r>
          </w:p>
        </w:tc>
        <w:tc>
          <w:tcPr>
            <w:tcW w:w="1458"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 to (6)</w:t>
            </w:r>
          </w:p>
        </w:tc>
        <w:tc>
          <w:tcPr>
            <w:tcW w:w="3296" w:type="dxa"/>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rPr>
            </w:pPr>
            <w:r w:rsidRPr="00C903F8">
              <w:rPr>
                <w:rFonts w:cs="Arial"/>
                <w:noProof/>
                <w:sz w:val="18"/>
                <w:szCs w:val="18"/>
              </w:rPr>
              <w:t>Intact stability</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noProof/>
                <w:sz w:val="18"/>
                <w:szCs w:val="18"/>
                <w:lang w:val="en-US"/>
              </w:rPr>
              <w:t>N.R.C.</w:t>
            </w:r>
            <w:r w:rsidRPr="00C903F8">
              <w:rPr>
                <w:rFonts w:cs="Arial"/>
                <w:noProof/>
                <w:sz w:val="18"/>
                <w:szCs w:val="18"/>
                <w:lang w:val="en-US"/>
              </w:rPr>
              <w:t xml:space="preserve">, and when the maximum number of passengers is raised, </w:t>
            </w:r>
            <w:r w:rsidRPr="00C903F8">
              <w:rPr>
                <w:rFonts w:cs="Arial"/>
                <w:sz w:val="18"/>
                <w:szCs w:val="18"/>
                <w:lang w:val="en-US"/>
              </w:rPr>
              <w:t>at the latest on renewal of the inland navigation vessel certificate afte</w:t>
            </w:r>
            <w:r w:rsidRPr="00C903F8">
              <w:rPr>
                <w:rFonts w:cs="Arial"/>
                <w:noProof/>
                <w:sz w:val="18"/>
                <w:szCs w:val="18"/>
                <w:lang w:val="en-US"/>
              </w:rPr>
              <w:t>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1458" w:type="dxa"/>
            <w:tcBorders>
              <w:bottom w:val="single" w:sz="4" w:space="0" w:color="auto"/>
            </w:tcBorders>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(7) and (8)</w:t>
            </w:r>
          </w:p>
        </w:tc>
        <w:tc>
          <w:tcPr>
            <w:tcW w:w="3296" w:type="dxa"/>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rPr>
            </w:pPr>
            <w:r w:rsidRPr="00C903F8">
              <w:rPr>
                <w:rFonts w:cs="Arial"/>
                <w:noProof/>
                <w:sz w:val="18"/>
                <w:szCs w:val="18"/>
              </w:rPr>
              <w:t>Damage stability</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C903F8" w:rsidTr="0060199F">
        <w:trPr>
          <w:cantSplit/>
          <w:jc w:val="center"/>
        </w:trPr>
        <w:tc>
          <w:tcPr>
            <w:tcW w:w="1342" w:type="dxa"/>
            <w:tcBorders>
              <w:top w:val="nil"/>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1458" w:type="dxa"/>
            <w:tcBorders>
              <w:bottom w:val="nil"/>
            </w:tcBorders>
            <w:shd w:val="clear" w:color="auto" w:fill="auto"/>
          </w:tcPr>
          <w:p w:rsidR="004D56BE" w:rsidRPr="00C903F8" w:rsidRDefault="004D56BE" w:rsidP="00C01A94">
            <w:pPr>
              <w:spacing w:before="60" w:after="60" w:line="240" w:lineRule="atLeast"/>
              <w:ind w:left="0" w:firstLine="0"/>
              <w:rPr>
                <w:rFonts w:cs="Arial"/>
                <w:sz w:val="18"/>
                <w:szCs w:val="18"/>
                <w:lang w:val="en-US"/>
              </w:rPr>
            </w:pPr>
            <w:r w:rsidRPr="00C903F8">
              <w:rPr>
                <w:rFonts w:cs="Arial"/>
                <w:sz w:val="18"/>
                <w:szCs w:val="18"/>
                <w:lang w:val="en-US"/>
              </w:rPr>
              <w:t>(9)</w:t>
            </w:r>
          </w:p>
        </w:tc>
        <w:tc>
          <w:tcPr>
            <w:tcW w:w="3296" w:type="dxa"/>
            <w:tcBorders>
              <w:bottom w:val="single" w:sz="4" w:space="0" w:color="auto"/>
            </w:tcBorders>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lang w:val="en-US"/>
              </w:rPr>
            </w:pPr>
            <w:r w:rsidRPr="00C903F8">
              <w:rPr>
                <w:rFonts w:cs="Arial"/>
                <w:sz w:val="18"/>
                <w:szCs w:val="18"/>
                <w:lang w:val="en-US"/>
              </w:rPr>
              <w:t>Damage stability</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sidRPr="00C903F8">
              <w:rPr>
                <w:rFonts w:cs="Arial"/>
                <w:sz w:val="18"/>
                <w:szCs w:val="18"/>
                <w:lang w:val="en-US"/>
              </w:rPr>
              <w:t>1.1.2045</w:t>
            </w:r>
          </w:p>
        </w:tc>
        <w:tc>
          <w:tcPr>
            <w:tcW w:w="1276" w:type="dxa"/>
          </w:tcPr>
          <w:p w:rsidR="004D56BE" w:rsidRPr="00C903F8" w:rsidRDefault="004D56BE" w:rsidP="00C01A94">
            <w:pPr>
              <w:spacing w:before="60" w:after="60" w:line="240" w:lineRule="atLeast"/>
              <w:ind w:left="0" w:firstLine="0"/>
              <w:rPr>
                <w:rFonts w:cs="Arial"/>
                <w:sz w:val="18"/>
                <w:szCs w:val="18"/>
                <w:lang w:val="en-US"/>
              </w:rPr>
            </w:pPr>
            <w:r w:rsidRPr="00C903F8">
              <w:rPr>
                <w:rFonts w:cs="Arial"/>
                <w:sz w:val="18"/>
                <w:szCs w:val="18"/>
                <w:lang w:val="en-US"/>
              </w:rPr>
              <w:t>1.1.2006</w:t>
            </w:r>
          </w:p>
        </w:tc>
      </w:tr>
      <w:tr w:rsidR="004D56BE" w:rsidRPr="00C903F8" w:rsidTr="00F14E8B">
        <w:trPr>
          <w:cantSplit/>
          <w:jc w:val="center"/>
        </w:trPr>
        <w:tc>
          <w:tcPr>
            <w:tcW w:w="1342" w:type="dxa"/>
            <w:tcBorders>
              <w:top w:val="nil"/>
              <w:bottom w:val="nil"/>
            </w:tcBorders>
            <w:shd w:val="clear" w:color="auto" w:fill="auto"/>
          </w:tcPr>
          <w:p w:rsidR="004D56BE" w:rsidRPr="00C903F8" w:rsidRDefault="004D56BE" w:rsidP="00C01A94">
            <w:pPr>
              <w:spacing w:before="60" w:after="60" w:line="240" w:lineRule="atLeast"/>
              <w:ind w:left="0" w:firstLine="0"/>
              <w:rPr>
                <w:rFonts w:cs="Arial"/>
                <w:sz w:val="18"/>
                <w:szCs w:val="18"/>
                <w:lang w:val="en-US"/>
              </w:rPr>
            </w:pPr>
          </w:p>
        </w:tc>
        <w:tc>
          <w:tcPr>
            <w:tcW w:w="1458" w:type="dxa"/>
            <w:vMerge w:val="restart"/>
            <w:tcBorders>
              <w:top w:val="nil"/>
            </w:tcBorders>
            <w:shd w:val="clear" w:color="auto" w:fill="auto"/>
          </w:tcPr>
          <w:p w:rsidR="004D56BE" w:rsidRPr="00C903F8" w:rsidRDefault="004D56BE" w:rsidP="00C01A94">
            <w:pPr>
              <w:spacing w:before="60" w:after="60" w:line="240" w:lineRule="atLeast"/>
              <w:ind w:left="0" w:firstLine="0"/>
              <w:rPr>
                <w:rFonts w:cs="Arial"/>
                <w:sz w:val="18"/>
                <w:szCs w:val="18"/>
                <w:lang w:val="en-US"/>
              </w:rPr>
            </w:pPr>
          </w:p>
        </w:tc>
        <w:tc>
          <w:tcPr>
            <w:tcW w:w="3296" w:type="dxa"/>
            <w:vMerge w:val="restart"/>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lang w:val="en-US"/>
              </w:rPr>
            </w:pPr>
            <w:r w:rsidRPr="00C903F8">
              <w:rPr>
                <w:rFonts w:cs="Arial"/>
                <w:sz w:val="18"/>
                <w:szCs w:val="18"/>
                <w:lang w:val="en-US"/>
              </w:rPr>
              <w:t>Vertical extent of damage to the bottom of the boat</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C903F8" w:rsidTr="00F14E8B">
        <w:trPr>
          <w:cantSplit/>
          <w:jc w:val="center"/>
        </w:trPr>
        <w:tc>
          <w:tcPr>
            <w:tcW w:w="1342" w:type="dxa"/>
            <w:tcBorders>
              <w:top w:val="nil"/>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1458" w:type="dxa"/>
            <w:vMerge/>
            <w:tcBorders>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3296" w:type="dxa"/>
            <w:vMerge/>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rPr>
            </w:pP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noProof/>
                <w:sz w:val="18"/>
                <w:szCs w:val="18"/>
                <w:lang w:val="en-US"/>
              </w:rPr>
              <w:t>N.R.C.</w:t>
            </w:r>
            <w:r w:rsidRPr="00C903F8">
              <w:rPr>
                <w:rFonts w:cs="Arial"/>
                <w:noProof/>
                <w:sz w:val="18"/>
                <w:szCs w:val="18"/>
                <w:lang w:val="en-US"/>
              </w:rPr>
              <w:t xml:space="preserve"> applicable for vessels with watertight decks on a minimum distance of 0,50m and less then 0,60 m of the bottom of vessels that obtained a first inland navigation vessel certificate before 31.12.2005</w:t>
            </w:r>
            <w:r>
              <w:rPr>
                <w:rFonts w:cs="Arial"/>
                <w:noProof/>
                <w:sz w:val="18"/>
                <w:szCs w:val="18"/>
                <w:lang w:val="en-US"/>
              </w:rPr>
              <w:t>.</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lang w:val="en-US"/>
              </w:rPr>
            </w:pP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1.12.2011</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1458" w:type="dxa"/>
            <w:tcBorders>
              <w:top w:val="nil"/>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3296" w:type="dxa"/>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rPr>
            </w:pPr>
            <w:r w:rsidRPr="00C903F8">
              <w:rPr>
                <w:rFonts w:cs="Arial"/>
                <w:sz w:val="18"/>
                <w:szCs w:val="18"/>
              </w:rPr>
              <w:t>Two-compartment status</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rPr>
            </w:pPr>
            <w:r>
              <w:rPr>
                <w:rFonts w:cs="Arial"/>
                <w:sz w:val="18"/>
                <w:szCs w:val="18"/>
              </w:rPr>
              <w:t>N.R.C.</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single" w:sz="4" w:space="0" w:color="auto"/>
            </w:tcBorders>
            <w:shd w:val="clear" w:color="auto" w:fill="auto"/>
          </w:tcPr>
          <w:p w:rsidR="004D56BE" w:rsidRPr="00C903F8" w:rsidRDefault="004D56BE" w:rsidP="00D321F1">
            <w:pPr>
              <w:spacing w:before="100" w:after="10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(10) to (13)</w:t>
            </w:r>
          </w:p>
        </w:tc>
        <w:tc>
          <w:tcPr>
            <w:tcW w:w="3296" w:type="dxa"/>
            <w:shd w:val="clear" w:color="auto" w:fill="auto"/>
          </w:tcPr>
          <w:p w:rsidR="004D56BE" w:rsidRPr="00C903F8" w:rsidRDefault="004D56BE" w:rsidP="00D321F1">
            <w:pPr>
              <w:tabs>
                <w:tab w:val="left" w:pos="1080"/>
              </w:tabs>
              <w:spacing w:before="100" w:after="100" w:line="240" w:lineRule="atLeast"/>
              <w:ind w:left="0" w:firstLine="0"/>
              <w:rPr>
                <w:rFonts w:cs="Arial"/>
                <w:sz w:val="18"/>
                <w:szCs w:val="18"/>
              </w:rPr>
            </w:pPr>
            <w:r w:rsidRPr="00C903F8">
              <w:rPr>
                <w:rFonts w:cs="Arial"/>
                <w:sz w:val="18"/>
                <w:szCs w:val="18"/>
              </w:rPr>
              <w:t>Damage stability</w:t>
            </w:r>
          </w:p>
        </w:tc>
        <w:tc>
          <w:tcPr>
            <w:tcW w:w="5387"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bottom w:val="nil"/>
            </w:tcBorders>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lastRenderedPageBreak/>
              <w:t>19.05</w:t>
            </w:r>
          </w:p>
        </w:tc>
        <w:tc>
          <w:tcPr>
            <w:tcW w:w="1458"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(2)</w:t>
            </w:r>
            <w:r>
              <w:rPr>
                <w:rFonts w:cs="Arial"/>
                <w:sz w:val="18"/>
                <w:szCs w:val="18"/>
              </w:rPr>
              <w:t>(</w:t>
            </w:r>
            <w:r w:rsidRPr="00C903F8">
              <w:rPr>
                <w:rFonts w:cs="Arial"/>
                <w:sz w:val="18"/>
                <w:szCs w:val="18"/>
              </w:rPr>
              <w:t>a)</w:t>
            </w:r>
          </w:p>
        </w:tc>
        <w:tc>
          <w:tcPr>
            <w:tcW w:w="3296" w:type="dxa"/>
            <w:shd w:val="clear" w:color="auto" w:fill="auto"/>
          </w:tcPr>
          <w:p w:rsidR="004D56BE" w:rsidRPr="00C903F8" w:rsidRDefault="004D56BE" w:rsidP="00D321F1">
            <w:pPr>
              <w:tabs>
                <w:tab w:val="left" w:pos="1080"/>
              </w:tabs>
              <w:spacing w:before="100" w:after="100" w:line="240" w:lineRule="atLeast"/>
              <w:ind w:left="0" w:firstLine="0"/>
              <w:rPr>
                <w:rFonts w:cs="Arial"/>
                <w:sz w:val="18"/>
                <w:szCs w:val="18"/>
                <w:lang w:val="en-US"/>
              </w:rPr>
            </w:pPr>
            <w:r w:rsidRPr="00C903F8">
              <w:rPr>
                <w:rFonts w:cs="Arial"/>
                <w:noProof/>
                <w:sz w:val="18"/>
                <w:szCs w:val="18"/>
                <w:lang w:val="en-US"/>
              </w:rPr>
              <w:t>Number of passengers for whom the existence of an evacuation area according to Article 19.06(8) has been proven</w:t>
            </w:r>
          </w:p>
        </w:tc>
        <w:tc>
          <w:tcPr>
            <w:tcW w:w="5387"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single" w:sz="4" w:space="0" w:color="auto"/>
            </w:tcBorders>
            <w:shd w:val="clear" w:color="auto" w:fill="auto"/>
          </w:tcPr>
          <w:p w:rsidR="004D56BE" w:rsidRPr="00C903F8" w:rsidRDefault="004D56BE" w:rsidP="00D321F1">
            <w:pPr>
              <w:spacing w:before="100" w:after="10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(2)</w:t>
            </w:r>
            <w:r>
              <w:rPr>
                <w:rFonts w:cs="Arial"/>
                <w:sz w:val="18"/>
                <w:szCs w:val="18"/>
              </w:rPr>
              <w:t>(</w:t>
            </w:r>
            <w:r w:rsidRPr="00C903F8">
              <w:rPr>
                <w:rFonts w:cs="Arial"/>
                <w:sz w:val="18"/>
                <w:szCs w:val="18"/>
              </w:rPr>
              <w:t>b)</w:t>
            </w:r>
          </w:p>
        </w:tc>
        <w:tc>
          <w:tcPr>
            <w:tcW w:w="3296" w:type="dxa"/>
            <w:shd w:val="clear" w:color="auto" w:fill="auto"/>
          </w:tcPr>
          <w:p w:rsidR="004D56BE" w:rsidRPr="00C903F8" w:rsidRDefault="004D56BE" w:rsidP="00D321F1">
            <w:pPr>
              <w:tabs>
                <w:tab w:val="left" w:pos="1080"/>
              </w:tabs>
              <w:spacing w:before="100" w:after="100" w:line="240" w:lineRule="atLeast"/>
              <w:ind w:left="0" w:firstLine="0"/>
              <w:rPr>
                <w:rFonts w:cs="Arial"/>
                <w:sz w:val="18"/>
                <w:szCs w:val="18"/>
                <w:lang w:val="en-US"/>
              </w:rPr>
            </w:pPr>
            <w:r w:rsidRPr="00C903F8">
              <w:rPr>
                <w:rFonts w:cs="Arial"/>
                <w:noProof/>
                <w:sz w:val="18"/>
                <w:szCs w:val="18"/>
                <w:lang w:val="en-US"/>
              </w:rPr>
              <w:t>Number of passengers that has been taken into account for the stability calculation according to Article 19.03</w:t>
            </w:r>
          </w:p>
        </w:tc>
        <w:tc>
          <w:tcPr>
            <w:tcW w:w="5387"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bottom w:val="nil"/>
            </w:tcBorders>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19.06</w:t>
            </w:r>
          </w:p>
        </w:tc>
        <w:tc>
          <w:tcPr>
            <w:tcW w:w="1458" w:type="dxa"/>
            <w:shd w:val="clear" w:color="auto" w:fill="auto"/>
          </w:tcPr>
          <w:p w:rsidR="004D56BE" w:rsidRPr="00C903F8" w:rsidRDefault="004D56BE" w:rsidP="00D321F1">
            <w:pPr>
              <w:spacing w:before="100" w:after="100" w:line="240" w:lineRule="atLeast"/>
              <w:ind w:left="0" w:firstLine="0"/>
              <w:jc w:val="left"/>
              <w:rPr>
                <w:rFonts w:cs="Arial"/>
                <w:sz w:val="18"/>
                <w:szCs w:val="18"/>
              </w:rPr>
            </w:pPr>
            <w:r w:rsidRPr="00C903F8">
              <w:rPr>
                <w:rFonts w:cs="Arial"/>
                <w:sz w:val="18"/>
                <w:szCs w:val="18"/>
              </w:rPr>
              <w:t>(1) 1</w:t>
            </w:r>
            <w:r w:rsidRPr="00C903F8">
              <w:rPr>
                <w:rFonts w:cs="Arial"/>
                <w:sz w:val="18"/>
                <w:szCs w:val="18"/>
                <w:vertAlign w:val="superscript"/>
              </w:rPr>
              <w:t>st </w:t>
            </w:r>
            <w:r w:rsidRPr="00C903F8">
              <w:rPr>
                <w:rFonts w:cs="Arial"/>
                <w:sz w:val="18"/>
                <w:szCs w:val="18"/>
              </w:rPr>
              <w:t>sentence</w:t>
            </w:r>
          </w:p>
        </w:tc>
        <w:tc>
          <w:tcPr>
            <w:tcW w:w="3296" w:type="dxa"/>
            <w:shd w:val="clear" w:color="auto" w:fill="auto"/>
          </w:tcPr>
          <w:p w:rsidR="004D56BE" w:rsidRPr="00C903F8" w:rsidRDefault="004D56BE" w:rsidP="00D321F1">
            <w:pPr>
              <w:tabs>
                <w:tab w:val="left" w:pos="1080"/>
              </w:tabs>
              <w:spacing w:before="100" w:after="100" w:line="240" w:lineRule="atLeast"/>
              <w:ind w:left="0" w:firstLine="0"/>
              <w:rPr>
                <w:rFonts w:cs="Arial"/>
                <w:sz w:val="18"/>
                <w:szCs w:val="18"/>
                <w:lang w:val="en-US"/>
              </w:rPr>
            </w:pPr>
            <w:r w:rsidRPr="00C903F8">
              <w:rPr>
                <w:rFonts w:cs="Arial"/>
                <w:sz w:val="18"/>
                <w:szCs w:val="18"/>
                <w:lang w:val="en-US"/>
              </w:rPr>
              <w:t>Passenger rooms as long as they are below the bulkhead deck, forward of the aft-peak bulkhead</w:t>
            </w:r>
          </w:p>
        </w:tc>
        <w:tc>
          <w:tcPr>
            <w:tcW w:w="5387"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1.1.2045</w:t>
            </w:r>
          </w:p>
        </w:tc>
        <w:tc>
          <w:tcPr>
            <w:tcW w:w="1276" w:type="dxa"/>
          </w:tcPr>
          <w:p w:rsidR="004D56BE" w:rsidRPr="00034331" w:rsidRDefault="004D56BE" w:rsidP="00D321F1">
            <w:pPr>
              <w:spacing w:before="100" w:after="100" w:line="240" w:lineRule="atLeast"/>
              <w:ind w:left="0" w:firstLine="0"/>
              <w:rPr>
                <w:rFonts w:cs="Arial"/>
                <w:sz w:val="18"/>
                <w:szCs w:val="18"/>
                <w:highlight w:val="green"/>
              </w:rPr>
            </w:pPr>
            <w:r>
              <w:rPr>
                <w:rFonts w:cs="Arial"/>
                <w:sz w:val="18"/>
                <w:szCs w:val="18"/>
              </w:rPr>
              <w:t>7.10.2018</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D321F1">
            <w:pPr>
              <w:spacing w:before="100" w:after="100" w:line="240" w:lineRule="atLeast"/>
              <w:ind w:left="0" w:firstLine="0"/>
              <w:rPr>
                <w:rFonts w:cs="Arial"/>
                <w:sz w:val="18"/>
                <w:szCs w:val="18"/>
                <w:lang w:val="en-US"/>
              </w:rPr>
            </w:pPr>
          </w:p>
        </w:tc>
        <w:tc>
          <w:tcPr>
            <w:tcW w:w="1458" w:type="dxa"/>
            <w:shd w:val="clear" w:color="auto" w:fill="auto"/>
          </w:tcPr>
          <w:p w:rsidR="004D56BE" w:rsidRPr="00C903F8" w:rsidRDefault="004D56BE" w:rsidP="00D321F1">
            <w:pPr>
              <w:spacing w:before="100" w:after="100" w:line="240" w:lineRule="atLeast"/>
              <w:ind w:left="0" w:firstLine="0"/>
              <w:jc w:val="left"/>
              <w:rPr>
                <w:rFonts w:cs="Arial"/>
                <w:sz w:val="18"/>
                <w:szCs w:val="18"/>
              </w:rPr>
            </w:pPr>
            <w:r w:rsidRPr="00C903F8">
              <w:rPr>
                <w:rFonts w:cs="Arial"/>
                <w:sz w:val="18"/>
                <w:szCs w:val="18"/>
              </w:rPr>
              <w:t>(1) 2</w:t>
            </w:r>
            <w:r w:rsidRPr="00C903F8">
              <w:rPr>
                <w:rFonts w:cs="Arial"/>
                <w:sz w:val="18"/>
                <w:szCs w:val="18"/>
                <w:vertAlign w:val="superscript"/>
              </w:rPr>
              <w:t>nd </w:t>
            </w:r>
            <w:r w:rsidRPr="00C903F8">
              <w:rPr>
                <w:rFonts w:cs="Arial"/>
                <w:sz w:val="18"/>
                <w:szCs w:val="18"/>
              </w:rPr>
              <w:t>sentence</w:t>
            </w:r>
          </w:p>
        </w:tc>
        <w:tc>
          <w:tcPr>
            <w:tcW w:w="3296" w:type="dxa"/>
            <w:shd w:val="clear" w:color="auto" w:fill="auto"/>
          </w:tcPr>
          <w:p w:rsidR="004D56BE" w:rsidRPr="00C903F8" w:rsidRDefault="004D56BE" w:rsidP="00D321F1">
            <w:pPr>
              <w:tabs>
                <w:tab w:val="left" w:pos="1080"/>
              </w:tabs>
              <w:spacing w:before="100" w:after="100" w:line="240" w:lineRule="atLeast"/>
              <w:ind w:left="0" w:firstLine="0"/>
              <w:rPr>
                <w:rFonts w:cs="Arial"/>
                <w:sz w:val="18"/>
                <w:szCs w:val="18"/>
              </w:rPr>
            </w:pPr>
            <w:r w:rsidRPr="00C903F8">
              <w:rPr>
                <w:rFonts w:cs="Arial"/>
                <w:noProof/>
                <w:sz w:val="18"/>
                <w:szCs w:val="18"/>
              </w:rPr>
              <w:t>Enclosures</w:t>
            </w:r>
          </w:p>
        </w:tc>
        <w:tc>
          <w:tcPr>
            <w:tcW w:w="5387"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w:t>
            </w:r>
          </w:p>
        </w:tc>
        <w:tc>
          <w:tcPr>
            <w:tcW w:w="1276"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p>
        </w:tc>
        <w:tc>
          <w:tcPr>
            <w:tcW w:w="1276" w:type="dxa"/>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1.12.2011</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D321F1">
            <w:pPr>
              <w:spacing w:before="100" w:after="100" w:line="240" w:lineRule="atLeast"/>
              <w:ind w:left="0" w:firstLine="0"/>
              <w:rPr>
                <w:rFonts w:cs="Arial"/>
                <w:sz w:val="18"/>
                <w:szCs w:val="18"/>
                <w:lang w:val="en-US"/>
              </w:rPr>
            </w:pPr>
          </w:p>
        </w:tc>
        <w:tc>
          <w:tcPr>
            <w:tcW w:w="1458" w:type="dxa"/>
            <w:shd w:val="clear" w:color="auto" w:fill="auto"/>
          </w:tcPr>
          <w:p w:rsidR="004D56BE" w:rsidRPr="00C903F8" w:rsidRDefault="004D56BE" w:rsidP="00D321F1">
            <w:pPr>
              <w:spacing w:before="100" w:after="100" w:line="240" w:lineRule="atLeast"/>
              <w:ind w:left="0" w:firstLine="0"/>
              <w:jc w:val="left"/>
              <w:rPr>
                <w:rFonts w:cs="Arial"/>
                <w:sz w:val="18"/>
                <w:szCs w:val="18"/>
              </w:rPr>
            </w:pPr>
            <w:r w:rsidRPr="00C903F8">
              <w:rPr>
                <w:rFonts w:cs="Arial"/>
                <w:sz w:val="18"/>
                <w:szCs w:val="18"/>
              </w:rPr>
              <w:t>(3)</w:t>
            </w:r>
            <w:r>
              <w:rPr>
                <w:rFonts w:cs="Arial"/>
                <w:sz w:val="18"/>
                <w:szCs w:val="18"/>
              </w:rPr>
              <w:t>(</w:t>
            </w:r>
            <w:r w:rsidRPr="00C903F8">
              <w:rPr>
                <w:rFonts w:cs="Arial"/>
                <w:sz w:val="18"/>
                <w:szCs w:val="18"/>
              </w:rPr>
              <w:t>c) 1</w:t>
            </w:r>
            <w:r w:rsidRPr="00C903F8">
              <w:rPr>
                <w:rFonts w:cs="Arial"/>
                <w:sz w:val="18"/>
                <w:szCs w:val="18"/>
                <w:vertAlign w:val="superscript"/>
              </w:rPr>
              <w:t>st</w:t>
            </w:r>
            <w:r w:rsidRPr="00C903F8">
              <w:rPr>
                <w:rFonts w:cs="Arial"/>
                <w:sz w:val="18"/>
                <w:szCs w:val="18"/>
              </w:rPr>
              <w:t xml:space="preserve"> sentence</w:t>
            </w:r>
          </w:p>
        </w:tc>
        <w:tc>
          <w:tcPr>
            <w:tcW w:w="3296" w:type="dxa"/>
            <w:shd w:val="clear" w:color="auto" w:fill="auto"/>
          </w:tcPr>
          <w:p w:rsidR="004D56BE" w:rsidRPr="00C903F8" w:rsidRDefault="004D56BE" w:rsidP="00D321F1">
            <w:pPr>
              <w:tabs>
                <w:tab w:val="left" w:pos="1080"/>
              </w:tabs>
              <w:spacing w:before="100" w:after="100" w:line="240" w:lineRule="atLeast"/>
              <w:ind w:left="0" w:firstLine="0"/>
              <w:rPr>
                <w:rFonts w:cs="Arial"/>
                <w:sz w:val="18"/>
                <w:szCs w:val="18"/>
                <w:lang w:val="en-US"/>
              </w:rPr>
            </w:pPr>
            <w:r w:rsidRPr="00C903F8">
              <w:rPr>
                <w:rFonts w:cs="Arial"/>
                <w:noProof/>
                <w:sz w:val="18"/>
                <w:szCs w:val="18"/>
              </w:rPr>
              <w:t>Clear height of exits</w:t>
            </w:r>
          </w:p>
        </w:tc>
        <w:tc>
          <w:tcPr>
            <w:tcW w:w="5387"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D321F1">
            <w:pPr>
              <w:spacing w:before="100" w:after="10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100" w:after="100" w:line="240" w:lineRule="atLeast"/>
              <w:ind w:left="0" w:firstLine="0"/>
              <w:jc w:val="left"/>
              <w:rPr>
                <w:rFonts w:cs="Arial"/>
                <w:sz w:val="18"/>
                <w:szCs w:val="18"/>
              </w:rPr>
            </w:pPr>
            <w:r w:rsidRPr="00C903F8">
              <w:rPr>
                <w:rFonts w:cs="Arial"/>
                <w:sz w:val="18"/>
                <w:szCs w:val="18"/>
              </w:rPr>
              <w:t>(3)</w:t>
            </w:r>
            <w:r>
              <w:rPr>
                <w:rFonts w:cs="Arial"/>
                <w:sz w:val="18"/>
                <w:szCs w:val="18"/>
              </w:rPr>
              <w:t>(</w:t>
            </w:r>
            <w:r w:rsidRPr="00C903F8">
              <w:rPr>
                <w:rFonts w:cs="Arial"/>
                <w:sz w:val="18"/>
                <w:szCs w:val="18"/>
              </w:rPr>
              <w:t>c) 2</w:t>
            </w:r>
            <w:r w:rsidRPr="00C903F8">
              <w:rPr>
                <w:rFonts w:cs="Arial"/>
                <w:sz w:val="18"/>
                <w:szCs w:val="18"/>
                <w:vertAlign w:val="superscript"/>
              </w:rPr>
              <w:t>nd</w:t>
            </w:r>
            <w:r w:rsidRPr="00C903F8">
              <w:rPr>
                <w:rFonts w:cs="Arial"/>
                <w:sz w:val="18"/>
                <w:szCs w:val="18"/>
              </w:rPr>
              <w:t xml:space="preserve"> sentence</w:t>
            </w:r>
          </w:p>
        </w:tc>
        <w:tc>
          <w:tcPr>
            <w:tcW w:w="3296" w:type="dxa"/>
            <w:shd w:val="clear" w:color="auto" w:fill="auto"/>
          </w:tcPr>
          <w:p w:rsidR="004D56BE" w:rsidRPr="00C903F8" w:rsidRDefault="004D56BE" w:rsidP="00D321F1">
            <w:pPr>
              <w:tabs>
                <w:tab w:val="left" w:pos="1080"/>
              </w:tabs>
              <w:spacing w:before="100" w:after="100" w:line="240" w:lineRule="atLeast"/>
              <w:ind w:left="0" w:firstLine="0"/>
              <w:rPr>
                <w:rFonts w:cs="Arial"/>
                <w:sz w:val="18"/>
                <w:szCs w:val="18"/>
                <w:lang w:val="en-US"/>
              </w:rPr>
            </w:pPr>
            <w:r w:rsidRPr="00C903F8">
              <w:rPr>
                <w:rFonts w:cs="Arial"/>
                <w:noProof/>
                <w:sz w:val="18"/>
                <w:szCs w:val="18"/>
                <w:lang w:val="en-US"/>
              </w:rPr>
              <w:t>Clear width of doors of passenger cabins and other small rooms</w:t>
            </w:r>
          </w:p>
        </w:tc>
        <w:tc>
          <w:tcPr>
            <w:tcW w:w="5387"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D321F1">
            <w:pPr>
              <w:spacing w:before="100" w:after="10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100" w:after="100" w:line="240" w:lineRule="atLeast"/>
              <w:ind w:left="0" w:firstLine="0"/>
              <w:jc w:val="left"/>
              <w:rPr>
                <w:rFonts w:cs="Arial"/>
                <w:sz w:val="18"/>
                <w:szCs w:val="18"/>
              </w:rPr>
            </w:pPr>
            <w:r w:rsidRPr="00C903F8">
              <w:rPr>
                <w:rFonts w:cs="Arial"/>
                <w:sz w:val="18"/>
                <w:szCs w:val="18"/>
              </w:rPr>
              <w:t>(3)</w:t>
            </w:r>
            <w:r>
              <w:rPr>
                <w:rFonts w:cs="Arial"/>
                <w:sz w:val="18"/>
                <w:szCs w:val="18"/>
              </w:rPr>
              <w:t>(</w:t>
            </w:r>
            <w:r w:rsidRPr="00C903F8">
              <w:rPr>
                <w:rFonts w:cs="Arial"/>
                <w:sz w:val="18"/>
                <w:szCs w:val="18"/>
              </w:rPr>
              <w:t>f) 1</w:t>
            </w:r>
            <w:r w:rsidRPr="00C903F8">
              <w:rPr>
                <w:rFonts w:cs="Arial"/>
                <w:sz w:val="18"/>
                <w:szCs w:val="18"/>
                <w:vertAlign w:val="superscript"/>
              </w:rPr>
              <w:t>st</w:t>
            </w:r>
            <w:r w:rsidRPr="00C903F8">
              <w:rPr>
                <w:rFonts w:cs="Arial"/>
                <w:sz w:val="18"/>
                <w:szCs w:val="18"/>
              </w:rPr>
              <w:t xml:space="preserve"> sentence</w:t>
            </w:r>
          </w:p>
        </w:tc>
        <w:tc>
          <w:tcPr>
            <w:tcW w:w="3296" w:type="dxa"/>
            <w:shd w:val="clear" w:color="auto" w:fill="auto"/>
          </w:tcPr>
          <w:p w:rsidR="004D56BE" w:rsidRPr="00C903F8" w:rsidRDefault="004D56BE" w:rsidP="00D321F1">
            <w:pPr>
              <w:tabs>
                <w:tab w:val="left" w:pos="1080"/>
              </w:tabs>
              <w:spacing w:before="100" w:after="100" w:line="240" w:lineRule="atLeast"/>
              <w:ind w:left="0" w:firstLine="0"/>
              <w:rPr>
                <w:rFonts w:cs="Arial"/>
                <w:sz w:val="18"/>
                <w:szCs w:val="18"/>
              </w:rPr>
            </w:pPr>
            <w:r w:rsidRPr="00C903F8">
              <w:rPr>
                <w:rFonts w:cs="Arial"/>
                <w:noProof/>
                <w:sz w:val="18"/>
                <w:szCs w:val="18"/>
              </w:rPr>
              <w:t>Size of emergency exits</w:t>
            </w:r>
          </w:p>
        </w:tc>
        <w:tc>
          <w:tcPr>
            <w:tcW w:w="5387"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D321F1">
            <w:pPr>
              <w:spacing w:before="100" w:after="10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(3)</w:t>
            </w:r>
            <w:r>
              <w:rPr>
                <w:rFonts w:cs="Arial"/>
                <w:sz w:val="18"/>
                <w:szCs w:val="18"/>
              </w:rPr>
              <w:t>(</w:t>
            </w:r>
            <w:r w:rsidRPr="00C903F8">
              <w:rPr>
                <w:rFonts w:cs="Arial"/>
                <w:sz w:val="18"/>
                <w:szCs w:val="18"/>
              </w:rPr>
              <w:t>g)</w:t>
            </w:r>
          </w:p>
        </w:tc>
        <w:tc>
          <w:tcPr>
            <w:tcW w:w="3296" w:type="dxa"/>
            <w:shd w:val="clear" w:color="auto" w:fill="auto"/>
          </w:tcPr>
          <w:p w:rsidR="004D56BE" w:rsidRPr="00C903F8" w:rsidRDefault="004D56BE" w:rsidP="00D321F1">
            <w:pPr>
              <w:tabs>
                <w:tab w:val="left" w:pos="1080"/>
              </w:tabs>
              <w:spacing w:before="100" w:after="100" w:line="240" w:lineRule="atLeast"/>
              <w:ind w:left="0" w:firstLine="0"/>
              <w:rPr>
                <w:rFonts w:cs="Arial"/>
                <w:sz w:val="18"/>
                <w:szCs w:val="18"/>
                <w:lang w:val="en-US"/>
              </w:rPr>
            </w:pPr>
            <w:r w:rsidRPr="00C903F8">
              <w:rPr>
                <w:rFonts w:cs="Arial"/>
                <w:noProof/>
                <w:sz w:val="18"/>
                <w:szCs w:val="18"/>
                <w:lang w:val="en-US"/>
              </w:rPr>
              <w:t>Exits intended for use by persons with reduced mobility</w:t>
            </w:r>
          </w:p>
        </w:tc>
        <w:tc>
          <w:tcPr>
            <w:tcW w:w="5387"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D321F1">
            <w:pPr>
              <w:spacing w:before="100" w:after="10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(4)</w:t>
            </w:r>
            <w:r>
              <w:rPr>
                <w:rFonts w:cs="Arial"/>
                <w:sz w:val="18"/>
                <w:szCs w:val="18"/>
              </w:rPr>
              <w:t>(</w:t>
            </w:r>
            <w:r w:rsidRPr="00C903F8">
              <w:rPr>
                <w:rFonts w:cs="Arial"/>
                <w:sz w:val="18"/>
                <w:szCs w:val="18"/>
              </w:rPr>
              <w:t>d)</w:t>
            </w:r>
          </w:p>
        </w:tc>
        <w:tc>
          <w:tcPr>
            <w:tcW w:w="3296" w:type="dxa"/>
            <w:shd w:val="clear" w:color="auto" w:fill="auto"/>
          </w:tcPr>
          <w:p w:rsidR="004D56BE" w:rsidRPr="00C903F8" w:rsidRDefault="004D56BE" w:rsidP="00D321F1">
            <w:pPr>
              <w:tabs>
                <w:tab w:val="left" w:pos="930"/>
              </w:tabs>
              <w:spacing w:before="100" w:after="100" w:line="240" w:lineRule="atLeast"/>
              <w:ind w:left="0" w:firstLine="0"/>
              <w:rPr>
                <w:rFonts w:cs="Arial"/>
                <w:sz w:val="18"/>
                <w:szCs w:val="18"/>
                <w:lang w:val="en-US"/>
              </w:rPr>
            </w:pPr>
            <w:r w:rsidRPr="00C903F8">
              <w:rPr>
                <w:rFonts w:cs="Arial"/>
                <w:noProof/>
                <w:sz w:val="18"/>
                <w:szCs w:val="18"/>
                <w:lang w:val="en-US"/>
              </w:rPr>
              <w:t>Doors intended for use by persons with reduced mobility</w:t>
            </w:r>
          </w:p>
        </w:tc>
        <w:tc>
          <w:tcPr>
            <w:tcW w:w="5387"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(5)</w:t>
            </w:r>
          </w:p>
        </w:tc>
        <w:tc>
          <w:tcPr>
            <w:tcW w:w="3296" w:type="dxa"/>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rPr>
            </w:pPr>
            <w:r w:rsidRPr="00C903F8">
              <w:rPr>
                <w:rFonts w:cs="Arial"/>
                <w:noProof/>
                <w:sz w:val="18"/>
                <w:szCs w:val="18"/>
              </w:rPr>
              <w:t>Requirements for connecting corridors</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D321F1">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120" w:after="120" w:line="240" w:lineRule="atLeast"/>
              <w:ind w:left="0" w:firstLine="0"/>
              <w:rPr>
                <w:rFonts w:cs="Arial"/>
                <w:sz w:val="18"/>
                <w:szCs w:val="18"/>
              </w:rPr>
            </w:pPr>
            <w:r w:rsidRPr="00C903F8">
              <w:rPr>
                <w:rFonts w:cs="Arial"/>
                <w:sz w:val="18"/>
                <w:szCs w:val="18"/>
              </w:rPr>
              <w:t>(6)</w:t>
            </w:r>
            <w:r>
              <w:rPr>
                <w:rFonts w:cs="Arial"/>
                <w:sz w:val="18"/>
                <w:szCs w:val="18"/>
              </w:rPr>
              <w:t>(</w:t>
            </w:r>
            <w:r w:rsidRPr="00C903F8">
              <w:rPr>
                <w:rFonts w:cs="Arial"/>
                <w:sz w:val="18"/>
                <w:szCs w:val="18"/>
              </w:rPr>
              <w:t>b)</w:t>
            </w:r>
          </w:p>
        </w:tc>
        <w:tc>
          <w:tcPr>
            <w:tcW w:w="3296" w:type="dxa"/>
            <w:shd w:val="clear" w:color="auto" w:fill="auto"/>
          </w:tcPr>
          <w:p w:rsidR="004D56BE" w:rsidRPr="00C903F8" w:rsidRDefault="004D56BE" w:rsidP="00D321F1">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Escape routes to evacuation areas</w:t>
            </w:r>
          </w:p>
        </w:tc>
        <w:tc>
          <w:tcPr>
            <w:tcW w:w="5387" w:type="dxa"/>
            <w:shd w:val="clear" w:color="auto" w:fill="auto"/>
          </w:tcPr>
          <w:p w:rsidR="004D56BE" w:rsidRPr="00C903F8" w:rsidRDefault="004D56BE" w:rsidP="00D321F1">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20" w:after="12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D321F1">
            <w:pPr>
              <w:spacing w:before="120" w:after="12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D321F1">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120" w:after="120" w:line="240" w:lineRule="atLeast"/>
              <w:ind w:left="0" w:firstLine="0"/>
              <w:rPr>
                <w:rFonts w:cs="Arial"/>
                <w:sz w:val="18"/>
                <w:szCs w:val="18"/>
              </w:rPr>
            </w:pPr>
            <w:r w:rsidRPr="00C903F8">
              <w:rPr>
                <w:rFonts w:cs="Arial"/>
                <w:sz w:val="18"/>
                <w:szCs w:val="18"/>
              </w:rPr>
              <w:t>(6)(c)</w:t>
            </w:r>
            <w:r w:rsidRPr="00B60926">
              <w:rPr>
                <w:color w:val="000000"/>
                <w:sz w:val="18"/>
                <w:szCs w:val="20"/>
                <w:vertAlign w:val="superscript"/>
                <w:lang w:val="en-GB" w:eastAsia="en-GB" w:bidi="en-GB"/>
              </w:rPr>
              <w:footnoteReference w:id="42"/>
            </w:r>
          </w:p>
        </w:tc>
        <w:tc>
          <w:tcPr>
            <w:tcW w:w="3296" w:type="dxa"/>
            <w:shd w:val="clear" w:color="auto" w:fill="auto"/>
          </w:tcPr>
          <w:p w:rsidR="004D56BE" w:rsidRPr="00C903F8" w:rsidRDefault="004D56BE" w:rsidP="00D321F1">
            <w:pPr>
              <w:tabs>
                <w:tab w:val="left" w:pos="1080"/>
              </w:tabs>
              <w:spacing w:before="120" w:after="120" w:line="240" w:lineRule="atLeast"/>
              <w:ind w:left="0" w:firstLine="0"/>
              <w:rPr>
                <w:rFonts w:cs="Arial"/>
                <w:sz w:val="18"/>
                <w:szCs w:val="18"/>
                <w:lang w:val="en-US"/>
              </w:rPr>
            </w:pPr>
            <w:r w:rsidRPr="00C903F8">
              <w:rPr>
                <w:rFonts w:cs="Arial"/>
                <w:sz w:val="18"/>
                <w:szCs w:val="18"/>
                <w:lang w:val="en-US"/>
              </w:rPr>
              <w:t>No escape routes through galleys</w:t>
            </w:r>
          </w:p>
        </w:tc>
        <w:tc>
          <w:tcPr>
            <w:tcW w:w="5387" w:type="dxa"/>
            <w:shd w:val="clear" w:color="auto" w:fill="auto"/>
          </w:tcPr>
          <w:p w:rsidR="004D56BE" w:rsidRPr="00C903F8" w:rsidRDefault="004D56BE" w:rsidP="00D321F1">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20" w:after="120" w:line="240" w:lineRule="atLeast"/>
              <w:ind w:left="0" w:firstLine="0"/>
              <w:rPr>
                <w:rFonts w:cs="Arial"/>
                <w:sz w:val="18"/>
                <w:szCs w:val="18"/>
              </w:rPr>
            </w:pPr>
            <w:r w:rsidRPr="00C903F8">
              <w:rPr>
                <w:rFonts w:cs="Arial"/>
                <w:sz w:val="18"/>
                <w:szCs w:val="18"/>
              </w:rPr>
              <w:t>1.1.2020</w:t>
            </w:r>
          </w:p>
        </w:tc>
        <w:tc>
          <w:tcPr>
            <w:tcW w:w="1276" w:type="dxa"/>
          </w:tcPr>
          <w:p w:rsidR="004D56BE" w:rsidRPr="00C903F8" w:rsidRDefault="004D56BE" w:rsidP="00D321F1">
            <w:pPr>
              <w:spacing w:before="120" w:after="12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D321F1">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120" w:after="120" w:line="240" w:lineRule="atLeast"/>
              <w:ind w:left="0" w:firstLine="0"/>
              <w:rPr>
                <w:rFonts w:cs="Arial"/>
                <w:sz w:val="18"/>
                <w:szCs w:val="18"/>
              </w:rPr>
            </w:pPr>
            <w:r w:rsidRPr="00C903F8">
              <w:rPr>
                <w:rFonts w:cs="Arial"/>
                <w:sz w:val="18"/>
                <w:szCs w:val="18"/>
              </w:rPr>
              <w:t>(6)</w:t>
            </w:r>
            <w:r>
              <w:rPr>
                <w:rFonts w:cs="Arial"/>
                <w:sz w:val="18"/>
                <w:szCs w:val="18"/>
              </w:rPr>
              <w:t>(</w:t>
            </w:r>
            <w:r w:rsidRPr="00C903F8">
              <w:rPr>
                <w:rFonts w:cs="Arial"/>
                <w:sz w:val="18"/>
                <w:szCs w:val="18"/>
              </w:rPr>
              <w:t>d)</w:t>
            </w:r>
          </w:p>
        </w:tc>
        <w:tc>
          <w:tcPr>
            <w:tcW w:w="3296" w:type="dxa"/>
            <w:shd w:val="clear" w:color="auto" w:fill="auto"/>
          </w:tcPr>
          <w:p w:rsidR="004D56BE" w:rsidRPr="00C903F8" w:rsidRDefault="004D56BE" w:rsidP="00D321F1">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No rungs, ladders or the like installed along the escape routes</w:t>
            </w:r>
          </w:p>
        </w:tc>
        <w:tc>
          <w:tcPr>
            <w:tcW w:w="5387" w:type="dxa"/>
            <w:shd w:val="clear" w:color="auto" w:fill="auto"/>
          </w:tcPr>
          <w:p w:rsidR="004D56BE" w:rsidRPr="00C903F8" w:rsidRDefault="004D56BE" w:rsidP="00D321F1">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20" w:after="12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D321F1">
            <w:pPr>
              <w:spacing w:before="120" w:after="12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D321F1">
            <w:pPr>
              <w:spacing w:before="100" w:after="10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(7)</w:t>
            </w:r>
          </w:p>
        </w:tc>
        <w:tc>
          <w:tcPr>
            <w:tcW w:w="3296" w:type="dxa"/>
            <w:shd w:val="clear" w:color="auto" w:fill="auto"/>
          </w:tcPr>
          <w:p w:rsidR="004D56BE" w:rsidRPr="00C903F8" w:rsidRDefault="004D56BE" w:rsidP="00D321F1">
            <w:pPr>
              <w:tabs>
                <w:tab w:val="left" w:pos="1080"/>
              </w:tabs>
              <w:spacing w:before="100" w:after="100" w:line="240" w:lineRule="atLeast"/>
              <w:ind w:left="0" w:firstLine="0"/>
              <w:rPr>
                <w:rFonts w:cs="Arial"/>
                <w:sz w:val="18"/>
                <w:szCs w:val="18"/>
              </w:rPr>
            </w:pPr>
            <w:r w:rsidRPr="00C903F8">
              <w:rPr>
                <w:rFonts w:cs="Arial"/>
                <w:noProof/>
                <w:sz w:val="18"/>
                <w:szCs w:val="18"/>
              </w:rPr>
              <w:t>Suitable safety guidance system</w:t>
            </w:r>
          </w:p>
        </w:tc>
        <w:tc>
          <w:tcPr>
            <w:tcW w:w="5387"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1.1.2015</w:t>
            </w:r>
          </w:p>
        </w:tc>
        <w:tc>
          <w:tcPr>
            <w:tcW w:w="1276" w:type="dxa"/>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D321F1">
            <w:pPr>
              <w:spacing w:before="100" w:after="10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(8)</w:t>
            </w:r>
          </w:p>
        </w:tc>
        <w:tc>
          <w:tcPr>
            <w:tcW w:w="3296" w:type="dxa"/>
            <w:shd w:val="clear" w:color="auto" w:fill="auto"/>
          </w:tcPr>
          <w:p w:rsidR="004D56BE" w:rsidRPr="00C903F8" w:rsidRDefault="004D56BE" w:rsidP="00D321F1">
            <w:pPr>
              <w:tabs>
                <w:tab w:val="left" w:pos="1080"/>
              </w:tabs>
              <w:spacing w:before="100" w:after="100" w:line="240" w:lineRule="atLeast"/>
              <w:ind w:left="0" w:firstLine="0"/>
              <w:rPr>
                <w:rFonts w:cs="Arial"/>
                <w:sz w:val="18"/>
                <w:szCs w:val="18"/>
              </w:rPr>
            </w:pPr>
            <w:r w:rsidRPr="00C903F8">
              <w:rPr>
                <w:rFonts w:cs="Arial"/>
                <w:noProof/>
                <w:sz w:val="18"/>
                <w:szCs w:val="18"/>
              </w:rPr>
              <w:t>Requirements for muster areas</w:t>
            </w:r>
          </w:p>
        </w:tc>
        <w:tc>
          <w:tcPr>
            <w:tcW w:w="5387"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D321F1">
            <w:pPr>
              <w:spacing w:before="100" w:after="10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r w:rsidRPr="00C903F8">
              <w:rPr>
                <w:rFonts w:cs="Arial"/>
                <w:sz w:val="18"/>
                <w:szCs w:val="18"/>
                <w:lang w:val="en-US"/>
              </w:rPr>
              <w:t>(9)</w:t>
            </w:r>
            <w:r>
              <w:rPr>
                <w:rFonts w:cs="Arial"/>
                <w:sz w:val="18"/>
                <w:szCs w:val="18"/>
                <w:lang w:val="en-US"/>
              </w:rPr>
              <w:t>(</w:t>
            </w:r>
            <w:r w:rsidRPr="00C903F8">
              <w:rPr>
                <w:rFonts w:cs="Arial"/>
                <w:sz w:val="18"/>
                <w:szCs w:val="18"/>
                <w:lang w:val="en-US"/>
              </w:rPr>
              <w:t xml:space="preserve">a), </w:t>
            </w:r>
            <w:r>
              <w:rPr>
                <w:rFonts w:cs="Arial"/>
                <w:sz w:val="18"/>
                <w:szCs w:val="18"/>
                <w:lang w:val="en-US"/>
              </w:rPr>
              <w:t>(</w:t>
            </w:r>
            <w:r w:rsidRPr="00C903F8">
              <w:rPr>
                <w:rFonts w:cs="Arial"/>
                <w:sz w:val="18"/>
                <w:szCs w:val="18"/>
                <w:lang w:val="en-US"/>
              </w:rPr>
              <w:t xml:space="preserve">b), </w:t>
            </w:r>
            <w:r>
              <w:rPr>
                <w:rFonts w:cs="Arial"/>
                <w:sz w:val="18"/>
                <w:szCs w:val="18"/>
                <w:lang w:val="en-US"/>
              </w:rPr>
              <w:t>(</w:t>
            </w:r>
            <w:r w:rsidRPr="00C903F8">
              <w:rPr>
                <w:rFonts w:cs="Arial"/>
                <w:sz w:val="18"/>
                <w:szCs w:val="18"/>
                <w:lang w:val="en-US"/>
              </w:rPr>
              <w:t xml:space="preserve">c), </w:t>
            </w:r>
            <w:r>
              <w:rPr>
                <w:rFonts w:cs="Arial"/>
                <w:sz w:val="18"/>
                <w:szCs w:val="18"/>
                <w:lang w:val="en-US"/>
              </w:rPr>
              <w:t>(</w:t>
            </w:r>
            <w:r w:rsidRPr="00C903F8">
              <w:rPr>
                <w:rFonts w:cs="Arial"/>
                <w:sz w:val="18"/>
                <w:szCs w:val="18"/>
                <w:lang w:val="en-US"/>
              </w:rPr>
              <w:t>e), and last sentence</w:t>
            </w:r>
          </w:p>
        </w:tc>
        <w:tc>
          <w:tcPr>
            <w:tcW w:w="3296" w:type="dxa"/>
            <w:shd w:val="clear" w:color="auto" w:fill="auto"/>
          </w:tcPr>
          <w:p w:rsidR="004D56BE" w:rsidRPr="00C903F8" w:rsidRDefault="004D56BE" w:rsidP="00D321F1">
            <w:pPr>
              <w:tabs>
                <w:tab w:val="left" w:pos="1080"/>
              </w:tabs>
              <w:spacing w:before="100" w:after="100" w:line="240" w:lineRule="atLeast"/>
              <w:ind w:left="0" w:firstLine="0"/>
              <w:rPr>
                <w:rFonts w:cs="Arial"/>
                <w:sz w:val="18"/>
                <w:szCs w:val="18"/>
                <w:lang w:val="en-US"/>
              </w:rPr>
            </w:pPr>
            <w:r w:rsidRPr="00C903F8">
              <w:rPr>
                <w:rFonts w:cs="Arial"/>
                <w:noProof/>
                <w:sz w:val="18"/>
                <w:szCs w:val="18"/>
                <w:lang w:val="en-US"/>
              </w:rPr>
              <w:t>Requirements for stairs and their landings in the passenger areas</w:t>
            </w:r>
          </w:p>
        </w:tc>
        <w:tc>
          <w:tcPr>
            <w:tcW w:w="5387"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D321F1">
            <w:pPr>
              <w:spacing w:before="100" w:after="100" w:line="240" w:lineRule="atLeast"/>
              <w:ind w:left="0" w:firstLine="0"/>
              <w:rPr>
                <w:rFonts w:cs="Arial"/>
                <w:sz w:val="18"/>
                <w:szCs w:val="18"/>
              </w:rPr>
            </w:pPr>
          </w:p>
        </w:tc>
        <w:tc>
          <w:tcPr>
            <w:tcW w:w="1458" w:type="dxa"/>
            <w:shd w:val="clear" w:color="auto" w:fill="auto"/>
          </w:tcPr>
          <w:p w:rsidR="004D56BE" w:rsidRPr="006F55F5" w:rsidRDefault="004D56BE" w:rsidP="00D321F1">
            <w:pPr>
              <w:spacing w:before="100" w:after="100" w:line="240" w:lineRule="atLeast"/>
              <w:ind w:left="0" w:firstLine="0"/>
              <w:jc w:val="left"/>
              <w:rPr>
                <w:rFonts w:cs="Arial"/>
                <w:sz w:val="18"/>
                <w:szCs w:val="18"/>
                <w:lang w:val="en-GB"/>
              </w:rPr>
            </w:pPr>
            <w:r w:rsidRPr="006F55F5">
              <w:rPr>
                <w:rFonts w:cs="Arial"/>
                <w:sz w:val="18"/>
                <w:szCs w:val="18"/>
                <w:lang w:val="en-GB"/>
              </w:rPr>
              <w:t xml:space="preserve">(10)(a) </w:t>
            </w:r>
            <w:r w:rsidRPr="006F55F5">
              <w:rPr>
                <w:rFonts w:cs="Arial"/>
                <w:sz w:val="18"/>
                <w:szCs w:val="18"/>
                <w:lang w:val="en-GB"/>
              </w:rPr>
              <w:br/>
              <w:t>1</w:t>
            </w:r>
            <w:r w:rsidRPr="006F55F5">
              <w:rPr>
                <w:rFonts w:cs="Arial"/>
                <w:sz w:val="18"/>
                <w:szCs w:val="18"/>
                <w:vertAlign w:val="superscript"/>
                <w:lang w:val="en-GB"/>
              </w:rPr>
              <w:t>st</w:t>
            </w:r>
            <w:r w:rsidRPr="006F55F5">
              <w:rPr>
                <w:rFonts w:cs="Arial"/>
                <w:sz w:val="18"/>
                <w:szCs w:val="18"/>
                <w:lang w:val="en-GB"/>
              </w:rPr>
              <w:t xml:space="preserve"> sentence</w:t>
            </w:r>
          </w:p>
        </w:tc>
        <w:tc>
          <w:tcPr>
            <w:tcW w:w="3296" w:type="dxa"/>
            <w:shd w:val="clear" w:color="auto" w:fill="auto"/>
          </w:tcPr>
          <w:p w:rsidR="004D56BE" w:rsidRPr="00C903F8" w:rsidRDefault="004D56BE" w:rsidP="00D321F1">
            <w:pPr>
              <w:tabs>
                <w:tab w:val="left" w:pos="1080"/>
              </w:tabs>
              <w:spacing w:before="100" w:after="100" w:line="240" w:lineRule="atLeast"/>
              <w:ind w:left="0" w:firstLine="0"/>
              <w:rPr>
                <w:rFonts w:cs="Arial"/>
                <w:sz w:val="18"/>
                <w:szCs w:val="18"/>
                <w:lang w:val="en-US"/>
              </w:rPr>
            </w:pPr>
            <w:r w:rsidRPr="00C903F8">
              <w:rPr>
                <w:rFonts w:cs="Arial"/>
                <w:noProof/>
                <w:sz w:val="18"/>
                <w:szCs w:val="18"/>
                <w:lang w:val="en-US"/>
              </w:rPr>
              <w:t>Railing according to European Standard EN 711 : 1995</w:t>
            </w:r>
          </w:p>
        </w:tc>
        <w:tc>
          <w:tcPr>
            <w:tcW w:w="5387"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D321F1">
            <w:pPr>
              <w:spacing w:before="100" w:after="10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100" w:after="100" w:line="240" w:lineRule="atLeast"/>
              <w:ind w:left="0" w:firstLine="0"/>
              <w:jc w:val="left"/>
              <w:rPr>
                <w:rFonts w:cs="Arial"/>
                <w:sz w:val="18"/>
                <w:szCs w:val="18"/>
              </w:rPr>
            </w:pPr>
            <w:r w:rsidRPr="00C903F8">
              <w:rPr>
                <w:rFonts w:cs="Arial"/>
                <w:sz w:val="18"/>
                <w:szCs w:val="18"/>
              </w:rPr>
              <w:t>(10)</w:t>
            </w:r>
            <w:r>
              <w:rPr>
                <w:rFonts w:cs="Arial"/>
                <w:sz w:val="18"/>
                <w:szCs w:val="18"/>
              </w:rPr>
              <w:t>(</w:t>
            </w:r>
            <w:r w:rsidRPr="00C903F8">
              <w:rPr>
                <w:rFonts w:cs="Arial"/>
                <w:sz w:val="18"/>
                <w:szCs w:val="18"/>
              </w:rPr>
              <w:t>a) 2</w:t>
            </w:r>
            <w:r w:rsidRPr="00C903F8">
              <w:rPr>
                <w:rFonts w:cs="Arial"/>
                <w:sz w:val="18"/>
                <w:szCs w:val="18"/>
                <w:vertAlign w:val="superscript"/>
              </w:rPr>
              <w:t>nd</w:t>
            </w:r>
            <w:r w:rsidRPr="00C903F8">
              <w:rPr>
                <w:rFonts w:cs="Arial"/>
                <w:sz w:val="18"/>
                <w:szCs w:val="18"/>
              </w:rPr>
              <w:t xml:space="preserve"> sentence</w:t>
            </w:r>
          </w:p>
        </w:tc>
        <w:tc>
          <w:tcPr>
            <w:tcW w:w="3296" w:type="dxa"/>
            <w:shd w:val="clear" w:color="auto" w:fill="auto"/>
          </w:tcPr>
          <w:p w:rsidR="004D56BE" w:rsidRPr="00C903F8" w:rsidRDefault="004D56BE" w:rsidP="00D321F1">
            <w:pPr>
              <w:tabs>
                <w:tab w:val="left" w:pos="1080"/>
              </w:tabs>
              <w:spacing w:before="100" w:after="100" w:line="240" w:lineRule="atLeast"/>
              <w:ind w:left="0" w:firstLine="0"/>
              <w:rPr>
                <w:rFonts w:cs="Arial"/>
                <w:sz w:val="18"/>
                <w:szCs w:val="18"/>
                <w:lang w:val="en-US"/>
              </w:rPr>
            </w:pPr>
            <w:r w:rsidRPr="00C903F8">
              <w:rPr>
                <w:rFonts w:cs="Arial"/>
                <w:sz w:val="18"/>
                <w:szCs w:val="18"/>
                <w:lang w:val="en-US"/>
              </w:rPr>
              <w:t>Height of bulwarks and railings of decks intended for use by persons with reduced mobility</w:t>
            </w:r>
          </w:p>
        </w:tc>
        <w:tc>
          <w:tcPr>
            <w:tcW w:w="5387" w:type="dxa"/>
            <w:shd w:val="clear" w:color="auto" w:fill="auto"/>
          </w:tcPr>
          <w:p w:rsidR="004D56BE" w:rsidRPr="00C903F8" w:rsidRDefault="004D56BE" w:rsidP="00D321F1">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D321F1">
            <w:pPr>
              <w:spacing w:before="100" w:after="10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D321F1">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120" w:after="120" w:line="240" w:lineRule="atLeast"/>
              <w:ind w:left="0" w:firstLine="0"/>
              <w:jc w:val="left"/>
              <w:rPr>
                <w:rFonts w:cs="Arial"/>
                <w:sz w:val="18"/>
                <w:szCs w:val="18"/>
              </w:rPr>
            </w:pPr>
            <w:r w:rsidRPr="00C903F8">
              <w:rPr>
                <w:rFonts w:cs="Arial"/>
                <w:sz w:val="18"/>
                <w:szCs w:val="18"/>
              </w:rPr>
              <w:t>(10)</w:t>
            </w:r>
            <w:r>
              <w:rPr>
                <w:rFonts w:cs="Arial"/>
                <w:sz w:val="18"/>
                <w:szCs w:val="18"/>
              </w:rPr>
              <w:t>(</w:t>
            </w:r>
            <w:r w:rsidRPr="00C903F8">
              <w:rPr>
                <w:rFonts w:cs="Arial"/>
                <w:sz w:val="18"/>
                <w:szCs w:val="18"/>
              </w:rPr>
              <w:t>b) 2</w:t>
            </w:r>
            <w:r w:rsidRPr="00C903F8">
              <w:rPr>
                <w:rFonts w:cs="Arial"/>
                <w:sz w:val="18"/>
                <w:szCs w:val="18"/>
                <w:vertAlign w:val="superscript"/>
              </w:rPr>
              <w:t>nd</w:t>
            </w:r>
            <w:r w:rsidRPr="00C903F8">
              <w:rPr>
                <w:rFonts w:cs="Arial"/>
                <w:sz w:val="18"/>
                <w:szCs w:val="18"/>
              </w:rPr>
              <w:t xml:space="preserve"> sentence</w:t>
            </w:r>
          </w:p>
        </w:tc>
        <w:tc>
          <w:tcPr>
            <w:tcW w:w="3296" w:type="dxa"/>
            <w:shd w:val="clear" w:color="auto" w:fill="auto"/>
          </w:tcPr>
          <w:p w:rsidR="004D56BE" w:rsidRPr="00C903F8" w:rsidRDefault="004D56BE" w:rsidP="00D321F1">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Clear width of openings used normally for the embarking or disembarking of persons with reduced mobility</w:t>
            </w:r>
          </w:p>
        </w:tc>
        <w:tc>
          <w:tcPr>
            <w:tcW w:w="5387" w:type="dxa"/>
            <w:shd w:val="clear" w:color="auto" w:fill="auto"/>
          </w:tcPr>
          <w:p w:rsidR="004D56BE" w:rsidRPr="00C903F8" w:rsidRDefault="004D56BE" w:rsidP="00D321F1">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120" w:after="12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D321F1">
            <w:pPr>
              <w:spacing w:before="120" w:after="12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60" w:after="160" w:line="240" w:lineRule="atLeast"/>
              <w:ind w:left="0" w:firstLine="0"/>
              <w:rPr>
                <w:rFonts w:cs="Arial"/>
                <w:sz w:val="18"/>
                <w:szCs w:val="18"/>
                <w:lang w:val="en-US"/>
              </w:rPr>
            </w:pPr>
          </w:p>
        </w:tc>
        <w:tc>
          <w:tcPr>
            <w:tcW w:w="1458" w:type="dxa"/>
            <w:shd w:val="clear" w:color="auto" w:fill="auto"/>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(13)</w:t>
            </w:r>
          </w:p>
        </w:tc>
        <w:tc>
          <w:tcPr>
            <w:tcW w:w="3296" w:type="dxa"/>
            <w:shd w:val="clear" w:color="auto" w:fill="auto"/>
          </w:tcPr>
          <w:p w:rsidR="004D56BE" w:rsidRPr="00C903F8" w:rsidRDefault="004D56BE" w:rsidP="00C01A94">
            <w:pPr>
              <w:tabs>
                <w:tab w:val="left" w:pos="1080"/>
              </w:tabs>
              <w:spacing w:before="160" w:after="160" w:line="240" w:lineRule="atLeast"/>
              <w:ind w:left="0" w:firstLine="0"/>
              <w:rPr>
                <w:rFonts w:cs="Arial"/>
                <w:sz w:val="18"/>
                <w:szCs w:val="18"/>
                <w:lang w:val="en-US"/>
              </w:rPr>
            </w:pPr>
            <w:r w:rsidRPr="00C903F8">
              <w:rPr>
                <w:rFonts w:cs="Arial"/>
                <w:noProof/>
                <w:sz w:val="18"/>
                <w:szCs w:val="18"/>
                <w:lang w:val="en-US"/>
              </w:rPr>
              <w:t>Passageways and walls in passageways intended for use by persons with reduced mobility</w:t>
            </w:r>
          </w:p>
        </w:tc>
        <w:tc>
          <w:tcPr>
            <w:tcW w:w="5387" w:type="dxa"/>
            <w:shd w:val="clear" w:color="auto" w:fill="auto"/>
          </w:tcPr>
          <w:p w:rsidR="004D56BE" w:rsidRPr="00C903F8" w:rsidRDefault="004D56BE"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60" w:after="1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(14) 1</w:t>
            </w:r>
            <w:r w:rsidRPr="00C903F8">
              <w:rPr>
                <w:rFonts w:cs="Arial"/>
                <w:sz w:val="18"/>
                <w:szCs w:val="18"/>
                <w:vertAlign w:val="superscript"/>
              </w:rPr>
              <w:t>st </w:t>
            </w:r>
            <w:r w:rsidRPr="00C903F8">
              <w:rPr>
                <w:rFonts w:cs="Arial"/>
                <w:sz w:val="18"/>
                <w:szCs w:val="18"/>
              </w:rPr>
              <w:t>sentence</w:t>
            </w:r>
          </w:p>
        </w:tc>
        <w:tc>
          <w:tcPr>
            <w:tcW w:w="3296" w:type="dxa"/>
            <w:shd w:val="clear" w:color="auto" w:fill="auto"/>
          </w:tcPr>
          <w:p w:rsidR="004D56BE" w:rsidRPr="00C903F8" w:rsidRDefault="004D56BE" w:rsidP="00C01A94">
            <w:pPr>
              <w:tabs>
                <w:tab w:val="left" w:pos="1080"/>
              </w:tabs>
              <w:spacing w:before="160" w:after="160" w:line="240" w:lineRule="atLeast"/>
              <w:ind w:left="0" w:firstLine="0"/>
              <w:rPr>
                <w:rFonts w:cs="Arial"/>
                <w:sz w:val="18"/>
                <w:szCs w:val="18"/>
                <w:lang w:val="en-US"/>
              </w:rPr>
            </w:pPr>
            <w:r w:rsidRPr="00C903F8">
              <w:rPr>
                <w:rFonts w:cs="Arial"/>
                <w:noProof/>
                <w:sz w:val="18"/>
                <w:szCs w:val="18"/>
                <w:lang w:val="en-US"/>
              </w:rPr>
              <w:t>Design of glass doors and walls in passageways and window panes</w:t>
            </w:r>
          </w:p>
        </w:tc>
        <w:tc>
          <w:tcPr>
            <w:tcW w:w="5387" w:type="dxa"/>
            <w:shd w:val="clear" w:color="auto" w:fill="auto"/>
          </w:tcPr>
          <w:p w:rsidR="004D56BE" w:rsidRPr="00C903F8" w:rsidRDefault="004D56BE"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60" w:after="1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(15)</w:t>
            </w:r>
          </w:p>
        </w:tc>
        <w:tc>
          <w:tcPr>
            <w:tcW w:w="3296" w:type="dxa"/>
            <w:shd w:val="clear" w:color="auto" w:fill="auto"/>
          </w:tcPr>
          <w:p w:rsidR="004D56BE" w:rsidRPr="00C903F8" w:rsidRDefault="004D56BE" w:rsidP="00C01A94">
            <w:pPr>
              <w:tabs>
                <w:tab w:val="left" w:pos="1080"/>
              </w:tabs>
              <w:spacing w:before="160" w:after="160" w:line="240" w:lineRule="atLeast"/>
              <w:ind w:left="0" w:firstLine="0"/>
              <w:rPr>
                <w:rFonts w:cs="Arial"/>
                <w:sz w:val="18"/>
                <w:szCs w:val="18"/>
                <w:lang w:val="en-US"/>
              </w:rPr>
            </w:pPr>
            <w:r w:rsidRPr="00C903F8">
              <w:rPr>
                <w:rFonts w:cs="Arial"/>
                <w:sz w:val="18"/>
                <w:szCs w:val="18"/>
                <w:lang w:val="en-US"/>
              </w:rPr>
              <w:t>Requirements for superstructures that consist totally or partly of panoramic windows</w:t>
            </w:r>
          </w:p>
        </w:tc>
        <w:tc>
          <w:tcPr>
            <w:tcW w:w="5387" w:type="dxa"/>
            <w:shd w:val="clear" w:color="auto" w:fill="auto"/>
          </w:tcPr>
          <w:p w:rsidR="004D56BE" w:rsidRPr="00C903F8" w:rsidRDefault="004D56BE"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60" w:after="1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60" w:after="160" w:line="240" w:lineRule="atLeast"/>
              <w:ind w:left="0" w:firstLine="0"/>
              <w:jc w:val="left"/>
              <w:rPr>
                <w:rFonts w:cs="Arial"/>
                <w:sz w:val="18"/>
                <w:szCs w:val="18"/>
              </w:rPr>
            </w:pPr>
            <w:r w:rsidRPr="00C903F8">
              <w:rPr>
                <w:rFonts w:cs="Arial"/>
                <w:sz w:val="18"/>
                <w:szCs w:val="18"/>
              </w:rPr>
              <w:t>(17) 2</w:t>
            </w:r>
            <w:r w:rsidRPr="00C903F8">
              <w:rPr>
                <w:rFonts w:cs="Arial"/>
                <w:sz w:val="18"/>
                <w:szCs w:val="18"/>
                <w:vertAlign w:val="superscript"/>
              </w:rPr>
              <w:t>nd</w:t>
            </w:r>
            <w:r w:rsidRPr="00C903F8">
              <w:rPr>
                <w:rFonts w:cs="Arial"/>
                <w:sz w:val="18"/>
                <w:szCs w:val="18"/>
              </w:rPr>
              <w:t xml:space="preserve"> sentence</w:t>
            </w:r>
          </w:p>
        </w:tc>
        <w:tc>
          <w:tcPr>
            <w:tcW w:w="3296" w:type="dxa"/>
            <w:shd w:val="clear" w:color="auto" w:fill="auto"/>
          </w:tcPr>
          <w:p w:rsidR="004D56BE" w:rsidRPr="00C903F8" w:rsidRDefault="004D56BE" w:rsidP="00C01A94">
            <w:pPr>
              <w:tabs>
                <w:tab w:val="left" w:pos="1080"/>
              </w:tabs>
              <w:spacing w:before="160" w:after="160" w:line="240" w:lineRule="atLeast"/>
              <w:ind w:left="0" w:firstLine="0"/>
              <w:rPr>
                <w:rFonts w:cs="Arial"/>
                <w:sz w:val="18"/>
                <w:szCs w:val="18"/>
                <w:lang w:val="en-US"/>
              </w:rPr>
            </w:pPr>
            <w:r w:rsidRPr="00C903F8">
              <w:rPr>
                <w:rFonts w:cs="Arial"/>
                <w:noProof/>
                <w:sz w:val="18"/>
                <w:szCs w:val="18"/>
                <w:lang w:val="en-US"/>
              </w:rPr>
              <w:t>Requirements for toilets fitted for use by persons with reduced mobility</w:t>
            </w:r>
          </w:p>
        </w:tc>
        <w:tc>
          <w:tcPr>
            <w:tcW w:w="5387" w:type="dxa"/>
            <w:shd w:val="clear" w:color="auto" w:fill="auto"/>
          </w:tcPr>
          <w:p w:rsidR="004D56BE" w:rsidRPr="00C903F8" w:rsidRDefault="004D56BE"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tcBorders>
            <w:shd w:val="clear" w:color="auto" w:fill="auto"/>
          </w:tcPr>
          <w:p w:rsidR="004D56BE" w:rsidRPr="00C903F8" w:rsidRDefault="004D56BE" w:rsidP="00C01A94">
            <w:pPr>
              <w:spacing w:before="160" w:after="1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(18)</w:t>
            </w:r>
          </w:p>
        </w:tc>
        <w:tc>
          <w:tcPr>
            <w:tcW w:w="3296" w:type="dxa"/>
            <w:shd w:val="clear" w:color="auto" w:fill="auto"/>
          </w:tcPr>
          <w:p w:rsidR="004D56BE" w:rsidRPr="00C903F8" w:rsidRDefault="004D56BE" w:rsidP="00C01A94">
            <w:pPr>
              <w:tabs>
                <w:tab w:val="left" w:pos="1080"/>
              </w:tabs>
              <w:spacing w:before="160" w:after="160" w:line="240" w:lineRule="atLeast"/>
              <w:ind w:left="0" w:firstLine="0"/>
              <w:rPr>
                <w:rFonts w:cs="Arial"/>
                <w:sz w:val="18"/>
                <w:szCs w:val="18"/>
                <w:lang w:val="en-US"/>
              </w:rPr>
            </w:pPr>
            <w:r w:rsidRPr="00C903F8">
              <w:rPr>
                <w:rFonts w:cs="Arial"/>
                <w:noProof/>
                <w:sz w:val="18"/>
                <w:szCs w:val="18"/>
                <w:lang w:val="en-US"/>
              </w:rPr>
              <w:t>Ventilation system for cabins without an opening window</w:t>
            </w:r>
          </w:p>
        </w:tc>
        <w:tc>
          <w:tcPr>
            <w:tcW w:w="5387" w:type="dxa"/>
            <w:shd w:val="clear" w:color="auto" w:fill="auto"/>
          </w:tcPr>
          <w:p w:rsidR="004D56BE" w:rsidRPr="00C903F8" w:rsidRDefault="004D56BE"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bottom w:val="single" w:sz="4" w:space="0" w:color="auto"/>
            </w:tcBorders>
            <w:shd w:val="clear" w:color="auto" w:fill="auto"/>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19.07</w:t>
            </w:r>
            <w:r w:rsidRPr="00B60926">
              <w:rPr>
                <w:color w:val="000000"/>
                <w:sz w:val="18"/>
                <w:szCs w:val="20"/>
                <w:vertAlign w:val="superscript"/>
                <w:lang w:val="en-GB" w:eastAsia="en-GB" w:bidi="en-GB"/>
              </w:rPr>
              <w:footnoteReference w:id="43"/>
            </w:r>
          </w:p>
        </w:tc>
        <w:tc>
          <w:tcPr>
            <w:tcW w:w="1458" w:type="dxa"/>
            <w:shd w:val="clear" w:color="auto" w:fill="auto"/>
          </w:tcPr>
          <w:p w:rsidR="004D56BE" w:rsidRPr="00C903F8" w:rsidRDefault="004D56BE" w:rsidP="00C01A94">
            <w:pPr>
              <w:spacing w:before="160" w:after="160" w:line="240" w:lineRule="atLeast"/>
              <w:ind w:left="0" w:firstLine="0"/>
              <w:rPr>
                <w:rFonts w:cs="Arial"/>
                <w:sz w:val="18"/>
                <w:szCs w:val="18"/>
              </w:rPr>
            </w:pPr>
          </w:p>
        </w:tc>
        <w:tc>
          <w:tcPr>
            <w:tcW w:w="3296" w:type="dxa"/>
            <w:shd w:val="clear" w:color="auto" w:fill="auto"/>
          </w:tcPr>
          <w:p w:rsidR="004D56BE" w:rsidRPr="00C903F8" w:rsidRDefault="004D56BE" w:rsidP="00C01A94">
            <w:pPr>
              <w:tabs>
                <w:tab w:val="left" w:pos="1080"/>
              </w:tabs>
              <w:spacing w:before="160" w:after="160" w:line="240" w:lineRule="atLeast"/>
              <w:ind w:left="0" w:firstLine="0"/>
              <w:rPr>
                <w:rFonts w:cs="Arial"/>
                <w:sz w:val="18"/>
                <w:szCs w:val="18"/>
                <w:lang w:val="en-US"/>
              </w:rPr>
            </w:pPr>
            <w:r>
              <w:rPr>
                <w:rFonts w:cs="Arial"/>
                <w:sz w:val="18"/>
                <w:szCs w:val="18"/>
                <w:lang w:val="en-US"/>
              </w:rPr>
              <w:t>Separate engine room</w:t>
            </w:r>
          </w:p>
        </w:tc>
        <w:tc>
          <w:tcPr>
            <w:tcW w:w="5387" w:type="dxa"/>
            <w:shd w:val="clear" w:color="auto" w:fill="auto"/>
          </w:tcPr>
          <w:p w:rsidR="004D56BE" w:rsidRPr="00C903F8" w:rsidRDefault="004D56BE" w:rsidP="00C01A94">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1.1.2020</w:t>
            </w:r>
          </w:p>
        </w:tc>
        <w:tc>
          <w:tcPr>
            <w:tcW w:w="1276" w:type="dxa"/>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19.08</w:t>
            </w:r>
          </w:p>
        </w:tc>
        <w:tc>
          <w:tcPr>
            <w:tcW w:w="1458" w:type="dxa"/>
            <w:shd w:val="clear" w:color="auto" w:fill="auto"/>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(3)(a)</w:t>
            </w:r>
            <w:r w:rsidRPr="00B60926">
              <w:rPr>
                <w:color w:val="000000"/>
                <w:sz w:val="18"/>
                <w:szCs w:val="20"/>
                <w:vertAlign w:val="superscript"/>
                <w:lang w:val="en-GB" w:eastAsia="en-GB" w:bidi="en-GB"/>
              </w:rPr>
              <w:footnoteReference w:id="44"/>
            </w:r>
          </w:p>
        </w:tc>
        <w:tc>
          <w:tcPr>
            <w:tcW w:w="3296" w:type="dxa"/>
            <w:shd w:val="clear" w:color="auto" w:fill="auto"/>
          </w:tcPr>
          <w:p w:rsidR="004D56BE" w:rsidRPr="00C903F8" w:rsidRDefault="004D56BE" w:rsidP="00C42516">
            <w:pPr>
              <w:spacing w:before="160" w:after="160" w:line="240" w:lineRule="atLeast"/>
              <w:ind w:left="0" w:firstLine="0"/>
              <w:rPr>
                <w:rFonts w:cs="Arial"/>
                <w:sz w:val="18"/>
                <w:szCs w:val="18"/>
                <w:lang w:val="en-US"/>
              </w:rPr>
            </w:pPr>
            <w:r w:rsidRPr="00C903F8">
              <w:rPr>
                <w:rFonts w:cs="Arial"/>
                <w:sz w:val="18"/>
                <w:szCs w:val="18"/>
                <w:lang w:val="en-US"/>
              </w:rPr>
              <w:t xml:space="preserve">Alarm system requirements for passengers, crew members or </w:t>
            </w:r>
            <w:r>
              <w:rPr>
                <w:rFonts w:cs="Arial"/>
                <w:sz w:val="18"/>
                <w:szCs w:val="18"/>
                <w:lang w:val="en-US"/>
              </w:rPr>
              <w:t>ship</w:t>
            </w:r>
            <w:r>
              <w:rPr>
                <w:rFonts w:cs="Arial"/>
                <w:sz w:val="18"/>
                <w:szCs w:val="18"/>
                <w:lang w:val="en-US"/>
              </w:rPr>
              <w:softHyphen/>
              <w:t>board</w:t>
            </w:r>
            <w:r w:rsidRPr="00C903F8">
              <w:rPr>
                <w:rFonts w:cs="Arial"/>
                <w:sz w:val="18"/>
                <w:szCs w:val="18"/>
                <w:lang w:val="en-US"/>
              </w:rPr>
              <w:t xml:space="preserve"> personnel to alert passenger vessels’ command and crew</w:t>
            </w:r>
          </w:p>
        </w:tc>
        <w:tc>
          <w:tcPr>
            <w:tcW w:w="5387" w:type="dxa"/>
            <w:shd w:val="clear" w:color="auto" w:fill="auto"/>
          </w:tcPr>
          <w:p w:rsidR="004D56BE" w:rsidRPr="00C903F8" w:rsidRDefault="004D56BE" w:rsidP="00C01A94">
            <w:pPr>
              <w:spacing w:before="160" w:after="160" w:line="240" w:lineRule="atLeast"/>
              <w:ind w:left="0" w:firstLine="0"/>
              <w:rPr>
                <w:rFonts w:cs="Arial"/>
                <w:sz w:val="18"/>
                <w:szCs w:val="18"/>
                <w:lang w:val="en-US"/>
              </w:rPr>
            </w:pPr>
            <w:r w:rsidRPr="00C903F8">
              <w:rPr>
                <w:rFonts w:cs="Arial"/>
                <w:sz w:val="18"/>
                <w:szCs w:val="18"/>
                <w:lang w:val="en-US"/>
              </w:rPr>
              <w:t xml:space="preserve">For day-trip vessels, the requirement applies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1.1.2020</w:t>
            </w:r>
          </w:p>
        </w:tc>
        <w:tc>
          <w:tcPr>
            <w:tcW w:w="1276" w:type="dxa"/>
          </w:tcPr>
          <w:p w:rsidR="004D56BE" w:rsidRPr="00C903F8" w:rsidRDefault="004D56BE" w:rsidP="00C01A94">
            <w:pPr>
              <w:spacing w:before="160" w:after="1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(6)</w:t>
            </w:r>
          </w:p>
        </w:tc>
        <w:tc>
          <w:tcPr>
            <w:tcW w:w="3296" w:type="dxa"/>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rPr>
            </w:pPr>
            <w:r w:rsidRPr="00C903F8">
              <w:rPr>
                <w:rFonts w:cs="Arial"/>
                <w:noProof/>
                <w:sz w:val="18"/>
                <w:szCs w:val="18"/>
              </w:rPr>
              <w:t>Permanently installed bilge system</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1.1.2015</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19.10</w:t>
            </w:r>
          </w:p>
        </w:tc>
        <w:tc>
          <w:tcPr>
            <w:tcW w:w="1458"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(2)</w:t>
            </w:r>
          </w:p>
        </w:tc>
        <w:tc>
          <w:tcPr>
            <w:tcW w:w="3296" w:type="dxa"/>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lang w:val="en-US"/>
              </w:rPr>
            </w:pPr>
            <w:r w:rsidRPr="00C903F8">
              <w:rPr>
                <w:rFonts w:cs="Arial"/>
                <w:noProof/>
                <w:sz w:val="18"/>
                <w:szCs w:val="18"/>
                <w:lang w:val="en-US"/>
              </w:rPr>
              <w:t>Article 10.16(3) also applicable to passageways and recreation rooms for passengers</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1.1.2015</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(3)</w:t>
            </w:r>
          </w:p>
        </w:tc>
        <w:tc>
          <w:tcPr>
            <w:tcW w:w="3296" w:type="dxa"/>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rPr>
            </w:pPr>
            <w:r w:rsidRPr="00C903F8">
              <w:rPr>
                <w:rFonts w:cs="Arial"/>
                <w:noProof/>
                <w:sz w:val="18"/>
                <w:szCs w:val="18"/>
              </w:rPr>
              <w:t>Adequate emergency lighting</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1.1.2015</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(4)</w:t>
            </w:r>
          </w:p>
        </w:tc>
        <w:tc>
          <w:tcPr>
            <w:tcW w:w="3296" w:type="dxa"/>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rPr>
            </w:pPr>
            <w:r w:rsidRPr="00C903F8">
              <w:rPr>
                <w:rFonts w:cs="Arial"/>
                <w:noProof/>
                <w:sz w:val="18"/>
                <w:szCs w:val="18"/>
              </w:rPr>
              <w:t>Emergency power plant</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sidRPr="00C903F8">
              <w:rPr>
                <w:rFonts w:cs="Arial"/>
                <w:noProof/>
                <w:sz w:val="18"/>
                <w:szCs w:val="18"/>
                <w:lang w:val="en-US"/>
              </w:rPr>
              <w:t>For day-trip vessels with</w:t>
            </w:r>
            <w:r w:rsidRPr="00C903F8">
              <w:rPr>
                <w:rFonts w:cs="Arial"/>
                <w:sz w:val="18"/>
                <w:szCs w:val="18"/>
                <w:lang w:val="en-US"/>
              </w:rPr>
              <w:t xml:space="preserve">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L</m:t>
                  </m:r>
                </m:e>
                <m:sub>
                  <m:r>
                    <w:rPr>
                      <w:rFonts w:ascii="Cambria Math" w:hAnsi="Cambria Math" w:cs="Arial"/>
                      <w:noProof/>
                      <w:sz w:val="18"/>
                      <w:szCs w:val="18"/>
                      <w:lang w:val="en-US"/>
                    </w:rPr>
                    <m:t>WL</m:t>
                  </m:r>
                </m:sub>
              </m:sSub>
            </m:oMath>
            <w:r w:rsidRPr="00C903F8">
              <w:rPr>
                <w:rFonts w:cs="Arial"/>
                <w:sz w:val="18"/>
                <w:szCs w:val="18"/>
                <w:lang w:val="en-US"/>
              </w:rPr>
              <w:t xml:space="preserve"> of 25 m or less, the provision applies at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1.1.2015</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A5038C">
            <w:pPr>
              <w:spacing w:before="80" w:after="80" w:line="240" w:lineRule="atLeast"/>
              <w:ind w:left="0" w:firstLine="0"/>
              <w:rPr>
                <w:rFonts w:cs="Arial"/>
                <w:sz w:val="18"/>
                <w:szCs w:val="18"/>
              </w:rPr>
            </w:pPr>
          </w:p>
        </w:tc>
        <w:tc>
          <w:tcPr>
            <w:tcW w:w="1458" w:type="dxa"/>
            <w:shd w:val="clear" w:color="auto" w:fill="auto"/>
          </w:tcPr>
          <w:p w:rsidR="004D56BE" w:rsidRPr="00C903F8" w:rsidRDefault="004D56BE" w:rsidP="00A5038C">
            <w:pPr>
              <w:spacing w:before="80" w:after="80" w:line="240" w:lineRule="atLeast"/>
              <w:ind w:left="0" w:firstLine="0"/>
              <w:rPr>
                <w:rFonts w:cs="Arial"/>
                <w:sz w:val="18"/>
                <w:szCs w:val="18"/>
              </w:rPr>
            </w:pPr>
            <w:r w:rsidRPr="00C903F8">
              <w:rPr>
                <w:rFonts w:cs="Arial"/>
                <w:sz w:val="18"/>
                <w:szCs w:val="18"/>
              </w:rPr>
              <w:t xml:space="preserve">(4) </w:t>
            </w:r>
            <w:r>
              <w:rPr>
                <w:rFonts w:cs="Arial"/>
                <w:sz w:val="18"/>
                <w:szCs w:val="18"/>
              </w:rPr>
              <w:t>(</w:t>
            </w:r>
            <w:r w:rsidRPr="00C903F8">
              <w:rPr>
                <w:rFonts w:cs="Arial"/>
                <w:sz w:val="18"/>
                <w:szCs w:val="18"/>
              </w:rPr>
              <w:t>f)</w:t>
            </w:r>
          </w:p>
        </w:tc>
        <w:tc>
          <w:tcPr>
            <w:tcW w:w="3296" w:type="dxa"/>
            <w:shd w:val="clear" w:color="auto" w:fill="auto"/>
          </w:tcPr>
          <w:p w:rsidR="004D56BE" w:rsidRPr="00C903F8" w:rsidRDefault="004D56BE" w:rsidP="00A5038C">
            <w:pPr>
              <w:tabs>
                <w:tab w:val="left" w:pos="1080"/>
              </w:tabs>
              <w:spacing w:before="80" w:after="80" w:line="240" w:lineRule="atLeast"/>
              <w:ind w:left="0" w:firstLine="0"/>
              <w:rPr>
                <w:rFonts w:cs="Arial"/>
                <w:sz w:val="18"/>
                <w:szCs w:val="18"/>
                <w:lang w:val="en-US"/>
              </w:rPr>
            </w:pPr>
            <w:r w:rsidRPr="00C903F8">
              <w:rPr>
                <w:rFonts w:cs="Arial"/>
                <w:noProof/>
                <w:sz w:val="18"/>
                <w:szCs w:val="18"/>
                <w:lang w:val="en-US"/>
              </w:rPr>
              <w:t>Emergency supply for searchlights according to Article 13.02 (2)(i)</w:t>
            </w:r>
          </w:p>
        </w:tc>
        <w:tc>
          <w:tcPr>
            <w:tcW w:w="5387" w:type="dxa"/>
            <w:shd w:val="clear" w:color="auto" w:fill="auto"/>
          </w:tcPr>
          <w:p w:rsidR="004D56BE" w:rsidRPr="00C903F8" w:rsidRDefault="004D56BE" w:rsidP="00A5038C">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5038C">
            <w:pPr>
              <w:spacing w:before="80" w:after="80" w:line="240" w:lineRule="atLeast"/>
              <w:ind w:left="0" w:firstLine="0"/>
              <w:rPr>
                <w:rFonts w:cs="Arial"/>
                <w:sz w:val="18"/>
                <w:szCs w:val="18"/>
              </w:rPr>
            </w:pPr>
            <w:r w:rsidRPr="00C903F8">
              <w:rPr>
                <w:rFonts w:cs="Arial"/>
                <w:sz w:val="18"/>
                <w:szCs w:val="18"/>
              </w:rPr>
              <w:t>1.1.2015</w:t>
            </w:r>
          </w:p>
        </w:tc>
        <w:tc>
          <w:tcPr>
            <w:tcW w:w="1276" w:type="dxa"/>
          </w:tcPr>
          <w:p w:rsidR="004D56BE" w:rsidRPr="00C903F8" w:rsidRDefault="004D56BE" w:rsidP="00A5038C">
            <w:pPr>
              <w:spacing w:before="80" w:after="8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A5038C">
            <w:pPr>
              <w:spacing w:before="80" w:after="80" w:line="240" w:lineRule="atLeast"/>
              <w:ind w:left="0" w:firstLine="0"/>
              <w:rPr>
                <w:rFonts w:cs="Arial"/>
                <w:sz w:val="18"/>
                <w:szCs w:val="18"/>
              </w:rPr>
            </w:pPr>
          </w:p>
        </w:tc>
        <w:tc>
          <w:tcPr>
            <w:tcW w:w="1458" w:type="dxa"/>
            <w:shd w:val="clear" w:color="auto" w:fill="auto"/>
          </w:tcPr>
          <w:p w:rsidR="004D56BE" w:rsidRPr="00C903F8" w:rsidRDefault="004D56BE" w:rsidP="00A5038C">
            <w:pPr>
              <w:spacing w:before="80" w:after="80" w:line="240" w:lineRule="atLeast"/>
              <w:ind w:left="0" w:firstLine="0"/>
              <w:rPr>
                <w:rFonts w:cs="Arial"/>
                <w:sz w:val="18"/>
                <w:szCs w:val="18"/>
              </w:rPr>
            </w:pPr>
            <w:r w:rsidRPr="00C903F8">
              <w:rPr>
                <w:rFonts w:cs="Arial"/>
                <w:sz w:val="18"/>
                <w:szCs w:val="18"/>
              </w:rPr>
              <w:t>(4) (i)</w:t>
            </w:r>
          </w:p>
        </w:tc>
        <w:tc>
          <w:tcPr>
            <w:tcW w:w="3296" w:type="dxa"/>
            <w:shd w:val="clear" w:color="auto" w:fill="auto"/>
          </w:tcPr>
          <w:p w:rsidR="004D56BE" w:rsidRPr="00C903F8" w:rsidRDefault="004D56BE" w:rsidP="00A5038C">
            <w:pPr>
              <w:tabs>
                <w:tab w:val="left" w:pos="1080"/>
              </w:tabs>
              <w:spacing w:before="80" w:after="80" w:line="240" w:lineRule="atLeast"/>
              <w:ind w:left="0" w:firstLine="0"/>
              <w:rPr>
                <w:rFonts w:cs="Arial"/>
                <w:sz w:val="18"/>
                <w:szCs w:val="18"/>
                <w:lang w:val="en-US"/>
              </w:rPr>
            </w:pPr>
            <w:r w:rsidRPr="00C903F8">
              <w:rPr>
                <w:rFonts w:cs="Arial"/>
                <w:noProof/>
                <w:sz w:val="18"/>
                <w:szCs w:val="18"/>
                <w:lang w:val="en-US"/>
              </w:rPr>
              <w:t>Emergency supply for lifts and lifting equipment according to Article 19.06(9), second sentence</w:t>
            </w:r>
          </w:p>
        </w:tc>
        <w:tc>
          <w:tcPr>
            <w:tcW w:w="5387" w:type="dxa"/>
            <w:shd w:val="clear" w:color="auto" w:fill="auto"/>
          </w:tcPr>
          <w:p w:rsidR="004D56BE" w:rsidRPr="00C903F8" w:rsidRDefault="004D56BE" w:rsidP="00A5038C">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5038C">
            <w:pPr>
              <w:spacing w:before="80" w:after="80" w:line="240" w:lineRule="atLeast"/>
              <w:ind w:left="0" w:firstLine="0"/>
              <w:rPr>
                <w:rFonts w:cs="Arial"/>
                <w:sz w:val="18"/>
                <w:szCs w:val="18"/>
              </w:rPr>
            </w:pPr>
            <w:r w:rsidRPr="00C903F8">
              <w:rPr>
                <w:rFonts w:cs="Arial"/>
                <w:sz w:val="18"/>
                <w:szCs w:val="18"/>
              </w:rPr>
              <w:t>1.1.2015</w:t>
            </w:r>
          </w:p>
        </w:tc>
        <w:tc>
          <w:tcPr>
            <w:tcW w:w="1276" w:type="dxa"/>
          </w:tcPr>
          <w:p w:rsidR="004D56BE" w:rsidRPr="00C903F8" w:rsidRDefault="004D56BE" w:rsidP="00A5038C">
            <w:pPr>
              <w:spacing w:before="80" w:after="8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A5038C">
            <w:pPr>
              <w:spacing w:before="80" w:after="80" w:line="240" w:lineRule="atLeast"/>
              <w:ind w:left="0" w:firstLine="0"/>
              <w:rPr>
                <w:rFonts w:cs="Arial"/>
                <w:sz w:val="18"/>
                <w:szCs w:val="18"/>
              </w:rPr>
            </w:pPr>
          </w:p>
        </w:tc>
        <w:tc>
          <w:tcPr>
            <w:tcW w:w="1458" w:type="dxa"/>
            <w:shd w:val="clear" w:color="auto" w:fill="auto"/>
          </w:tcPr>
          <w:p w:rsidR="004D56BE" w:rsidRPr="00C903F8" w:rsidRDefault="004D56BE" w:rsidP="00A5038C">
            <w:pPr>
              <w:spacing w:before="80" w:after="80" w:line="240" w:lineRule="atLeast"/>
              <w:ind w:left="0" w:firstLine="0"/>
              <w:jc w:val="left"/>
              <w:rPr>
                <w:rFonts w:cs="Arial"/>
                <w:sz w:val="18"/>
                <w:szCs w:val="18"/>
              </w:rPr>
            </w:pPr>
            <w:r w:rsidRPr="00C903F8">
              <w:rPr>
                <w:rFonts w:cs="Arial"/>
                <w:sz w:val="18"/>
                <w:szCs w:val="18"/>
              </w:rPr>
              <w:t>(6) 1</w:t>
            </w:r>
            <w:r w:rsidRPr="00C903F8">
              <w:rPr>
                <w:rFonts w:cs="Arial"/>
                <w:sz w:val="18"/>
                <w:szCs w:val="18"/>
                <w:vertAlign w:val="superscript"/>
              </w:rPr>
              <w:t>st </w:t>
            </w:r>
            <w:r w:rsidRPr="00C903F8">
              <w:rPr>
                <w:rFonts w:cs="Arial"/>
                <w:sz w:val="18"/>
                <w:szCs w:val="18"/>
              </w:rPr>
              <w:t>sentence</w:t>
            </w:r>
          </w:p>
        </w:tc>
        <w:tc>
          <w:tcPr>
            <w:tcW w:w="3296" w:type="dxa"/>
            <w:shd w:val="clear" w:color="auto" w:fill="auto"/>
          </w:tcPr>
          <w:p w:rsidR="004D56BE" w:rsidRPr="00C903F8" w:rsidRDefault="004D56BE" w:rsidP="00A5038C">
            <w:pPr>
              <w:tabs>
                <w:tab w:val="left" w:pos="1080"/>
              </w:tabs>
              <w:spacing w:before="80" w:after="80" w:line="240" w:lineRule="atLeast"/>
              <w:ind w:left="0" w:firstLine="0"/>
              <w:rPr>
                <w:rFonts w:cs="Arial"/>
                <w:sz w:val="18"/>
                <w:szCs w:val="18"/>
              </w:rPr>
            </w:pPr>
            <w:r w:rsidRPr="00C903F8">
              <w:rPr>
                <w:rFonts w:cs="Arial"/>
                <w:noProof/>
                <w:sz w:val="18"/>
                <w:szCs w:val="18"/>
              </w:rPr>
              <w:t>Partitions according to Article 19.11(2)</w:t>
            </w:r>
          </w:p>
        </w:tc>
        <w:tc>
          <w:tcPr>
            <w:tcW w:w="5387" w:type="dxa"/>
            <w:shd w:val="clear" w:color="auto" w:fill="auto"/>
          </w:tcPr>
          <w:p w:rsidR="004D56BE" w:rsidRPr="00C903F8" w:rsidRDefault="004D56BE" w:rsidP="00A5038C">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5038C">
            <w:pPr>
              <w:spacing w:before="80" w:after="80" w:line="240" w:lineRule="atLeast"/>
              <w:ind w:left="0" w:firstLine="0"/>
              <w:rPr>
                <w:rFonts w:cs="Arial"/>
                <w:sz w:val="18"/>
                <w:szCs w:val="18"/>
              </w:rPr>
            </w:pPr>
            <w:r w:rsidRPr="00C903F8">
              <w:rPr>
                <w:rFonts w:cs="Arial"/>
                <w:sz w:val="18"/>
                <w:szCs w:val="18"/>
              </w:rPr>
              <w:t>1.1.2015</w:t>
            </w:r>
          </w:p>
        </w:tc>
        <w:tc>
          <w:tcPr>
            <w:tcW w:w="1276" w:type="dxa"/>
          </w:tcPr>
          <w:p w:rsidR="004D56BE" w:rsidRPr="00C903F8" w:rsidRDefault="004D56BE" w:rsidP="00A5038C">
            <w:pPr>
              <w:spacing w:before="80" w:after="8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A5038C">
            <w:pPr>
              <w:spacing w:before="80" w:after="80" w:line="240" w:lineRule="atLeast"/>
              <w:ind w:left="0" w:firstLine="0"/>
              <w:rPr>
                <w:rFonts w:cs="Arial"/>
                <w:sz w:val="18"/>
                <w:szCs w:val="18"/>
              </w:rPr>
            </w:pPr>
          </w:p>
        </w:tc>
        <w:tc>
          <w:tcPr>
            <w:tcW w:w="1458" w:type="dxa"/>
            <w:shd w:val="clear" w:color="auto" w:fill="auto"/>
          </w:tcPr>
          <w:p w:rsidR="004D56BE" w:rsidRPr="00C903F8" w:rsidRDefault="004D56BE" w:rsidP="00A5038C">
            <w:pPr>
              <w:spacing w:before="80" w:after="80" w:line="240" w:lineRule="atLeast"/>
              <w:ind w:left="0" w:firstLine="0"/>
              <w:rPr>
                <w:rFonts w:cs="Arial"/>
                <w:sz w:val="18"/>
                <w:szCs w:val="18"/>
                <w:lang w:val="en-US"/>
              </w:rPr>
            </w:pPr>
            <w:r w:rsidRPr="00C903F8">
              <w:rPr>
                <w:rFonts w:cs="Arial"/>
                <w:sz w:val="18"/>
                <w:szCs w:val="18"/>
                <w:lang w:val="en-US"/>
              </w:rPr>
              <w:t>(6) 2</w:t>
            </w:r>
            <w:r w:rsidRPr="00C903F8">
              <w:rPr>
                <w:rFonts w:cs="Arial"/>
                <w:sz w:val="18"/>
                <w:szCs w:val="18"/>
                <w:vertAlign w:val="superscript"/>
                <w:lang w:val="en-US"/>
              </w:rPr>
              <w:t>nd</w:t>
            </w:r>
            <w:r w:rsidRPr="00C903F8">
              <w:rPr>
                <w:rFonts w:cs="Arial"/>
                <w:sz w:val="18"/>
                <w:szCs w:val="18"/>
                <w:lang w:val="en-US"/>
              </w:rPr>
              <w:t xml:space="preserve"> and 3</w:t>
            </w:r>
            <w:r w:rsidRPr="00C903F8">
              <w:rPr>
                <w:rFonts w:cs="Arial"/>
                <w:sz w:val="18"/>
                <w:szCs w:val="18"/>
                <w:vertAlign w:val="superscript"/>
                <w:lang w:val="en-US"/>
              </w:rPr>
              <w:t>rd</w:t>
            </w:r>
            <w:r w:rsidRPr="00C903F8">
              <w:rPr>
                <w:rFonts w:cs="Arial"/>
                <w:sz w:val="18"/>
                <w:szCs w:val="18"/>
                <w:lang w:val="en-US"/>
              </w:rPr>
              <w:t xml:space="preserve"> sentences</w:t>
            </w:r>
          </w:p>
        </w:tc>
        <w:tc>
          <w:tcPr>
            <w:tcW w:w="3296" w:type="dxa"/>
            <w:shd w:val="clear" w:color="auto" w:fill="auto"/>
          </w:tcPr>
          <w:p w:rsidR="004D56BE" w:rsidRPr="00C903F8" w:rsidRDefault="004D56BE" w:rsidP="00A5038C">
            <w:pPr>
              <w:tabs>
                <w:tab w:val="left" w:pos="1080"/>
              </w:tabs>
              <w:spacing w:before="80" w:after="80" w:line="240" w:lineRule="atLeast"/>
              <w:ind w:left="0" w:firstLine="0"/>
              <w:rPr>
                <w:rFonts w:cs="Arial"/>
                <w:sz w:val="18"/>
                <w:szCs w:val="18"/>
                <w:lang w:val="en-US"/>
              </w:rPr>
            </w:pPr>
            <w:r w:rsidRPr="00C903F8">
              <w:rPr>
                <w:rFonts w:cs="Arial"/>
                <w:noProof/>
                <w:sz w:val="18"/>
                <w:szCs w:val="18"/>
                <w:lang w:val="en-US"/>
              </w:rPr>
              <w:t>Installation of cables</w:t>
            </w:r>
          </w:p>
        </w:tc>
        <w:tc>
          <w:tcPr>
            <w:tcW w:w="5387" w:type="dxa"/>
            <w:shd w:val="clear" w:color="auto" w:fill="auto"/>
          </w:tcPr>
          <w:p w:rsidR="004D56BE" w:rsidRPr="00C903F8" w:rsidRDefault="004D56BE" w:rsidP="00A5038C">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5038C">
            <w:pPr>
              <w:spacing w:before="80" w:after="80" w:line="240" w:lineRule="atLeast"/>
              <w:ind w:left="0" w:firstLine="0"/>
              <w:rPr>
                <w:rFonts w:cs="Arial"/>
                <w:sz w:val="18"/>
                <w:szCs w:val="18"/>
                <w:lang w:val="en-US"/>
              </w:rPr>
            </w:pPr>
            <w:r w:rsidRPr="00C903F8">
              <w:rPr>
                <w:rFonts w:cs="Arial"/>
                <w:sz w:val="18"/>
                <w:szCs w:val="18"/>
                <w:lang w:val="en-US"/>
              </w:rPr>
              <w:t>1.1.2015</w:t>
            </w:r>
          </w:p>
        </w:tc>
        <w:tc>
          <w:tcPr>
            <w:tcW w:w="1276" w:type="dxa"/>
          </w:tcPr>
          <w:p w:rsidR="004D56BE" w:rsidRPr="00C903F8" w:rsidRDefault="004D56BE" w:rsidP="00A5038C">
            <w:pPr>
              <w:spacing w:before="80" w:after="80" w:line="240" w:lineRule="atLeast"/>
              <w:ind w:left="0" w:firstLine="0"/>
              <w:rPr>
                <w:rFonts w:cs="Arial"/>
                <w:sz w:val="18"/>
                <w:szCs w:val="18"/>
                <w:lang w:val="en-US"/>
              </w:rPr>
            </w:pPr>
            <w:r w:rsidRPr="00C903F8">
              <w:rPr>
                <w:rFonts w:cs="Arial"/>
                <w:sz w:val="18"/>
                <w:szCs w:val="18"/>
                <w:lang w:val="en-US"/>
              </w:rPr>
              <w:t>1.1.2006</w:t>
            </w:r>
          </w:p>
        </w:tc>
      </w:tr>
      <w:tr w:rsidR="004D56BE" w:rsidRPr="00C903F8" w:rsidTr="00E67DA4">
        <w:trPr>
          <w:cantSplit/>
          <w:jc w:val="center"/>
        </w:trPr>
        <w:tc>
          <w:tcPr>
            <w:tcW w:w="1342" w:type="dxa"/>
            <w:tcBorders>
              <w:top w:val="nil"/>
              <w:bottom w:val="single" w:sz="4" w:space="0" w:color="auto"/>
            </w:tcBorders>
            <w:shd w:val="clear" w:color="auto" w:fill="auto"/>
          </w:tcPr>
          <w:p w:rsidR="004D56BE" w:rsidRPr="00C903F8" w:rsidRDefault="004D56BE" w:rsidP="00C01A94">
            <w:pPr>
              <w:spacing w:before="60" w:after="60" w:line="240" w:lineRule="atLeast"/>
              <w:ind w:left="0" w:firstLine="0"/>
              <w:rPr>
                <w:rFonts w:cs="Arial"/>
                <w:sz w:val="18"/>
                <w:szCs w:val="18"/>
                <w:lang w:val="en-US"/>
              </w:rPr>
            </w:pPr>
          </w:p>
        </w:tc>
        <w:tc>
          <w:tcPr>
            <w:tcW w:w="1458" w:type="dxa"/>
            <w:shd w:val="clear" w:color="auto" w:fill="auto"/>
          </w:tcPr>
          <w:p w:rsidR="004D56BE" w:rsidRPr="00C903F8" w:rsidRDefault="004D56BE" w:rsidP="00C01A94">
            <w:pPr>
              <w:spacing w:before="60" w:after="60" w:line="240" w:lineRule="atLeast"/>
              <w:ind w:left="0" w:firstLine="0"/>
              <w:jc w:val="left"/>
              <w:rPr>
                <w:rFonts w:cs="Arial"/>
                <w:sz w:val="18"/>
                <w:szCs w:val="18"/>
              </w:rPr>
            </w:pPr>
            <w:r w:rsidRPr="00C903F8">
              <w:rPr>
                <w:rFonts w:cs="Arial"/>
                <w:sz w:val="18"/>
                <w:szCs w:val="18"/>
                <w:lang w:val="en-US"/>
              </w:rPr>
              <w:t>(</w:t>
            </w:r>
            <w:r w:rsidRPr="00C903F8">
              <w:rPr>
                <w:rFonts w:cs="Arial"/>
                <w:sz w:val="18"/>
                <w:szCs w:val="18"/>
              </w:rPr>
              <w:t>6) 4</w:t>
            </w:r>
            <w:r w:rsidRPr="00C903F8">
              <w:rPr>
                <w:rFonts w:cs="Arial"/>
                <w:sz w:val="18"/>
                <w:szCs w:val="18"/>
                <w:vertAlign w:val="superscript"/>
              </w:rPr>
              <w:t>th </w:t>
            </w:r>
            <w:r w:rsidRPr="00C903F8">
              <w:rPr>
                <w:rFonts w:cs="Arial"/>
                <w:sz w:val="18"/>
                <w:szCs w:val="18"/>
              </w:rPr>
              <w:t>sentence</w:t>
            </w:r>
          </w:p>
        </w:tc>
        <w:tc>
          <w:tcPr>
            <w:tcW w:w="3296" w:type="dxa"/>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lang w:val="en-US"/>
              </w:rPr>
            </w:pPr>
            <w:r w:rsidRPr="00C903F8">
              <w:rPr>
                <w:rFonts w:cs="Arial"/>
                <w:noProof/>
                <w:sz w:val="18"/>
                <w:szCs w:val="18"/>
                <w:lang w:val="en-US"/>
              </w:rPr>
              <w:t>Emergency power plant above the margin line</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1.1.2015</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C903F8" w:rsidTr="00AA5614">
        <w:trPr>
          <w:cantSplit/>
          <w:trHeight w:val="347"/>
          <w:jc w:val="center"/>
        </w:trPr>
        <w:tc>
          <w:tcPr>
            <w:tcW w:w="1342" w:type="dxa"/>
            <w:vMerge w:val="restart"/>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19.11</w:t>
            </w:r>
          </w:p>
        </w:tc>
        <w:tc>
          <w:tcPr>
            <w:tcW w:w="1458" w:type="dxa"/>
            <w:vMerge w:val="restart"/>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w:t>
            </w:r>
          </w:p>
        </w:tc>
        <w:tc>
          <w:tcPr>
            <w:tcW w:w="3296" w:type="dxa"/>
            <w:vMerge w:val="restart"/>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lang w:val="en-US"/>
              </w:rPr>
            </w:pPr>
            <w:r w:rsidRPr="00C903F8">
              <w:rPr>
                <w:rFonts w:cs="Arial"/>
                <w:noProof/>
                <w:sz w:val="18"/>
                <w:szCs w:val="18"/>
                <w:lang w:val="en-US"/>
              </w:rPr>
              <w:t>Suitability for fire protection of materials and components</w:t>
            </w:r>
          </w:p>
        </w:tc>
        <w:tc>
          <w:tcPr>
            <w:tcW w:w="5387" w:type="dxa"/>
            <w:shd w:val="clear" w:color="auto" w:fill="auto"/>
          </w:tcPr>
          <w:p w:rsidR="004D56BE" w:rsidRPr="001E07EB"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1E07EB">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6F55F5" w:rsidTr="00E67DA4">
        <w:trPr>
          <w:cantSplit/>
          <w:trHeight w:val="346"/>
          <w:jc w:val="center"/>
        </w:trPr>
        <w:tc>
          <w:tcPr>
            <w:tcW w:w="1342" w:type="dxa"/>
            <w:vMerge/>
            <w:tcBorders>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p>
        </w:tc>
        <w:tc>
          <w:tcPr>
            <w:tcW w:w="1458" w:type="dxa"/>
            <w:vMerge/>
            <w:shd w:val="clear" w:color="auto" w:fill="auto"/>
          </w:tcPr>
          <w:p w:rsidR="004D56BE" w:rsidRPr="00C903F8" w:rsidRDefault="004D56BE" w:rsidP="00C01A94">
            <w:pPr>
              <w:spacing w:before="60" w:after="60" w:line="240" w:lineRule="atLeast"/>
              <w:ind w:left="0" w:firstLine="0"/>
              <w:rPr>
                <w:rFonts w:cs="Arial"/>
                <w:sz w:val="18"/>
                <w:szCs w:val="18"/>
              </w:rPr>
            </w:pPr>
          </w:p>
        </w:tc>
        <w:tc>
          <w:tcPr>
            <w:tcW w:w="3296" w:type="dxa"/>
            <w:vMerge/>
            <w:shd w:val="clear" w:color="auto" w:fill="auto"/>
          </w:tcPr>
          <w:p w:rsidR="004D56BE" w:rsidRPr="00C903F8" w:rsidRDefault="004D56BE" w:rsidP="00C01A94">
            <w:pPr>
              <w:tabs>
                <w:tab w:val="left" w:pos="1080"/>
              </w:tabs>
              <w:spacing w:before="60" w:after="60" w:line="240" w:lineRule="atLeast"/>
              <w:ind w:left="0" w:firstLine="0"/>
              <w:rPr>
                <w:rFonts w:cs="Arial"/>
                <w:noProof/>
                <w:sz w:val="18"/>
                <w:szCs w:val="18"/>
                <w:lang w:val="en-US"/>
              </w:rPr>
            </w:pPr>
          </w:p>
        </w:tc>
        <w:tc>
          <w:tcPr>
            <w:tcW w:w="5387" w:type="dxa"/>
            <w:shd w:val="clear" w:color="auto" w:fill="auto"/>
          </w:tcPr>
          <w:p w:rsidR="004D56BE" w:rsidRPr="00600BEE" w:rsidRDefault="004D56BE" w:rsidP="00C01A94">
            <w:pPr>
              <w:spacing w:before="60" w:after="60" w:line="240" w:lineRule="atLeast"/>
              <w:ind w:left="0" w:firstLine="0"/>
              <w:rPr>
                <w:rFonts w:cs="Arial"/>
                <w:sz w:val="18"/>
                <w:szCs w:val="18"/>
                <w:lang w:val="en-US"/>
              </w:rPr>
            </w:pPr>
            <w:r w:rsidRPr="00600BEE">
              <w:rPr>
                <w:rFonts w:cs="Arial"/>
                <w:sz w:val="18"/>
                <w:szCs w:val="18"/>
                <w:lang w:val="en-US"/>
              </w:rPr>
              <w:t>For materials and components approved according to the International Code for the Application of Fire Test Procedures (FTP code) adopted under Resolution MSC.61(67)</w:t>
            </w:r>
            <w:r w:rsidRPr="00600BEE">
              <w:rPr>
                <w:rStyle w:val="FootnoteReference"/>
                <w:rFonts w:cs="Arial"/>
                <w:sz w:val="18"/>
                <w:szCs w:val="18"/>
                <w:lang w:val="en-US"/>
              </w:rPr>
              <w:footnoteReference w:id="45"/>
            </w:r>
            <w:r w:rsidRPr="00600BEE">
              <w:rPr>
                <w:rFonts w:cs="Arial"/>
                <w:sz w:val="18"/>
                <w:szCs w:val="18"/>
                <w:lang w:val="en-US"/>
              </w:rPr>
              <w:t xml:space="preserve">: </w:t>
            </w:r>
            <w:r>
              <w:rPr>
                <w:rFonts w:cs="Arial"/>
                <w:sz w:val="18"/>
                <w:szCs w:val="18"/>
                <w:lang w:val="en-US"/>
              </w:rPr>
              <w:t>N.R.C.</w:t>
            </w:r>
          </w:p>
        </w:tc>
        <w:tc>
          <w:tcPr>
            <w:tcW w:w="1276" w:type="dxa"/>
            <w:shd w:val="clear" w:color="auto" w:fill="auto"/>
          </w:tcPr>
          <w:p w:rsidR="004D56BE" w:rsidRPr="00600BEE" w:rsidRDefault="004D56BE" w:rsidP="00C01A94">
            <w:pPr>
              <w:spacing w:before="60" w:after="60" w:line="240" w:lineRule="atLeast"/>
              <w:ind w:left="0" w:firstLine="0"/>
              <w:rPr>
                <w:rFonts w:cs="Arial"/>
                <w:sz w:val="18"/>
                <w:szCs w:val="18"/>
                <w:lang w:val="en-GB"/>
              </w:rPr>
            </w:pPr>
          </w:p>
        </w:tc>
        <w:tc>
          <w:tcPr>
            <w:tcW w:w="1276" w:type="dxa"/>
          </w:tcPr>
          <w:p w:rsidR="004D56BE" w:rsidRPr="00600BEE" w:rsidRDefault="004D56BE" w:rsidP="00C01A94">
            <w:pPr>
              <w:spacing w:before="60" w:after="60" w:line="240" w:lineRule="atLeast"/>
              <w:ind w:left="0" w:firstLine="0"/>
              <w:rPr>
                <w:rFonts w:cs="Arial"/>
                <w:sz w:val="18"/>
                <w:szCs w:val="18"/>
                <w:lang w:val="en-GB"/>
              </w:rPr>
            </w:pPr>
            <w:r>
              <w:rPr>
                <w:rFonts w:cs="Arial"/>
                <w:sz w:val="18"/>
                <w:szCs w:val="18"/>
              </w:rPr>
              <w:t>7.10.2018</w:t>
            </w:r>
          </w:p>
        </w:tc>
      </w:tr>
      <w:tr w:rsidR="004D56BE" w:rsidRPr="00C903F8" w:rsidTr="00E67DA4">
        <w:trPr>
          <w:cantSplit/>
          <w:jc w:val="center"/>
        </w:trPr>
        <w:tc>
          <w:tcPr>
            <w:tcW w:w="1342" w:type="dxa"/>
            <w:tcBorders>
              <w:top w:val="nil"/>
              <w:bottom w:val="nil"/>
            </w:tcBorders>
            <w:shd w:val="clear" w:color="auto" w:fill="auto"/>
          </w:tcPr>
          <w:p w:rsidR="004D56BE" w:rsidRPr="006F55F5" w:rsidRDefault="004D56BE" w:rsidP="00C01A94">
            <w:pPr>
              <w:spacing w:before="120" w:after="120" w:line="240" w:lineRule="atLeast"/>
              <w:ind w:left="0" w:firstLine="0"/>
              <w:rPr>
                <w:rFonts w:cs="Arial"/>
                <w:sz w:val="18"/>
                <w:szCs w:val="18"/>
                <w:lang w:val="en-GB"/>
              </w:rPr>
            </w:pPr>
          </w:p>
        </w:tc>
        <w:tc>
          <w:tcPr>
            <w:tcW w:w="1458"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(2)</w:t>
            </w:r>
          </w:p>
        </w:tc>
        <w:tc>
          <w:tcPr>
            <w:tcW w:w="3296" w:type="dxa"/>
            <w:shd w:val="clear" w:color="auto" w:fill="auto"/>
          </w:tcPr>
          <w:p w:rsidR="004D56BE" w:rsidRPr="00C903F8" w:rsidRDefault="004D56BE" w:rsidP="00C01A94">
            <w:pPr>
              <w:tabs>
                <w:tab w:val="left" w:pos="1080"/>
              </w:tabs>
              <w:spacing w:before="120" w:after="120" w:line="240" w:lineRule="atLeast"/>
              <w:ind w:left="0" w:firstLine="0"/>
              <w:rPr>
                <w:rFonts w:cs="Arial"/>
                <w:sz w:val="18"/>
                <w:szCs w:val="18"/>
              </w:rPr>
            </w:pPr>
            <w:r w:rsidRPr="00C903F8">
              <w:rPr>
                <w:rFonts w:cs="Arial"/>
                <w:noProof/>
                <w:sz w:val="18"/>
                <w:szCs w:val="18"/>
              </w:rPr>
              <w:t>Design of partitions</w:t>
            </w:r>
          </w:p>
        </w:tc>
        <w:tc>
          <w:tcPr>
            <w:tcW w:w="5387" w:type="dxa"/>
            <w:shd w:val="clear" w:color="auto" w:fill="auto"/>
          </w:tcPr>
          <w:p w:rsidR="004D56BE" w:rsidRPr="00C903F8" w:rsidRDefault="004D56BE"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(3)</w:t>
            </w:r>
          </w:p>
        </w:tc>
        <w:tc>
          <w:tcPr>
            <w:tcW w:w="3296" w:type="dxa"/>
            <w:shd w:val="clear" w:color="auto" w:fill="auto"/>
          </w:tcPr>
          <w:p w:rsidR="004D56BE" w:rsidRPr="00C903F8" w:rsidRDefault="004D56BE" w:rsidP="00C01A94">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Paints, lacquers and other surface treatment products as well as deck coverings used in rooms except engine rooms and store rooms shall be flame-retardant</w:t>
            </w:r>
          </w:p>
        </w:tc>
        <w:tc>
          <w:tcPr>
            <w:tcW w:w="5387" w:type="dxa"/>
            <w:shd w:val="clear" w:color="auto" w:fill="auto"/>
          </w:tcPr>
          <w:p w:rsidR="004D56BE" w:rsidRPr="00C903F8" w:rsidRDefault="004D56BE"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1.1.2015</w:t>
            </w:r>
          </w:p>
        </w:tc>
        <w:tc>
          <w:tcPr>
            <w:tcW w:w="1276" w:type="dxa"/>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(4)</w:t>
            </w:r>
          </w:p>
        </w:tc>
        <w:tc>
          <w:tcPr>
            <w:tcW w:w="3296" w:type="dxa"/>
            <w:shd w:val="clear" w:color="auto" w:fill="auto"/>
          </w:tcPr>
          <w:p w:rsidR="004D56BE" w:rsidRPr="00C903F8" w:rsidRDefault="004D56BE" w:rsidP="00C01A94">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Lounge ceilings and wall claddings manufactured from non-combustible material</w:t>
            </w:r>
          </w:p>
        </w:tc>
        <w:tc>
          <w:tcPr>
            <w:tcW w:w="5387" w:type="dxa"/>
            <w:shd w:val="clear" w:color="auto" w:fill="auto"/>
          </w:tcPr>
          <w:p w:rsidR="004D56BE" w:rsidRPr="00C903F8" w:rsidRDefault="004D56BE"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(5)</w:t>
            </w:r>
          </w:p>
        </w:tc>
        <w:tc>
          <w:tcPr>
            <w:tcW w:w="3296" w:type="dxa"/>
            <w:shd w:val="clear" w:color="auto" w:fill="auto"/>
          </w:tcPr>
          <w:p w:rsidR="004D56BE" w:rsidRPr="00C903F8" w:rsidRDefault="004D56BE" w:rsidP="00C01A94">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Furniture and fittings in muster areas manufactured from non-combustible material</w:t>
            </w:r>
          </w:p>
        </w:tc>
        <w:tc>
          <w:tcPr>
            <w:tcW w:w="5387" w:type="dxa"/>
            <w:shd w:val="clear" w:color="auto" w:fill="auto"/>
          </w:tcPr>
          <w:p w:rsidR="004D56BE" w:rsidRPr="00C903F8" w:rsidRDefault="004D56BE"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(6)</w:t>
            </w:r>
          </w:p>
        </w:tc>
        <w:tc>
          <w:tcPr>
            <w:tcW w:w="3296" w:type="dxa"/>
            <w:shd w:val="clear" w:color="auto" w:fill="auto"/>
          </w:tcPr>
          <w:p w:rsidR="004D56BE" w:rsidRPr="00C903F8" w:rsidRDefault="004D56BE" w:rsidP="00C01A94">
            <w:pPr>
              <w:tabs>
                <w:tab w:val="left" w:pos="1080"/>
              </w:tabs>
              <w:spacing w:before="120" w:after="120" w:line="240" w:lineRule="atLeast"/>
              <w:ind w:left="0" w:firstLine="0"/>
              <w:rPr>
                <w:rFonts w:cs="Arial"/>
                <w:sz w:val="18"/>
                <w:szCs w:val="18"/>
              </w:rPr>
            </w:pPr>
            <w:r w:rsidRPr="00C903F8">
              <w:rPr>
                <w:rFonts w:cs="Arial"/>
                <w:noProof/>
                <w:sz w:val="18"/>
                <w:szCs w:val="18"/>
              </w:rPr>
              <w:t>Tested according to Code</w:t>
            </w:r>
          </w:p>
        </w:tc>
        <w:tc>
          <w:tcPr>
            <w:tcW w:w="5387" w:type="dxa"/>
            <w:shd w:val="clear" w:color="auto" w:fill="auto"/>
          </w:tcPr>
          <w:p w:rsidR="004D56BE" w:rsidRPr="00C903F8" w:rsidRDefault="004D56BE"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(7)</w:t>
            </w:r>
          </w:p>
        </w:tc>
        <w:tc>
          <w:tcPr>
            <w:tcW w:w="3296" w:type="dxa"/>
            <w:shd w:val="clear" w:color="auto" w:fill="auto"/>
          </w:tcPr>
          <w:p w:rsidR="004D56BE" w:rsidRPr="00C903F8" w:rsidRDefault="004D56BE" w:rsidP="00C01A94">
            <w:pPr>
              <w:tabs>
                <w:tab w:val="left" w:pos="1080"/>
              </w:tabs>
              <w:spacing w:before="120" w:after="120" w:line="240" w:lineRule="atLeast"/>
              <w:ind w:left="0" w:firstLine="0"/>
              <w:rPr>
                <w:rFonts w:cs="Arial"/>
                <w:sz w:val="18"/>
                <w:szCs w:val="18"/>
              </w:rPr>
            </w:pPr>
            <w:r w:rsidRPr="00C903F8">
              <w:rPr>
                <w:rFonts w:cs="Arial"/>
                <w:noProof/>
                <w:sz w:val="18"/>
                <w:szCs w:val="18"/>
              </w:rPr>
              <w:t>Insulation materials in lounges</w:t>
            </w:r>
          </w:p>
        </w:tc>
        <w:tc>
          <w:tcPr>
            <w:tcW w:w="5387" w:type="dxa"/>
            <w:shd w:val="clear" w:color="auto" w:fill="auto"/>
          </w:tcPr>
          <w:p w:rsidR="004D56BE" w:rsidRPr="00C903F8" w:rsidRDefault="004D56BE"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20" w:after="120" w:line="240" w:lineRule="atLeast"/>
              <w:ind w:left="0" w:firstLine="0"/>
              <w:jc w:val="left"/>
              <w:rPr>
                <w:rFonts w:cs="Arial"/>
                <w:sz w:val="18"/>
                <w:szCs w:val="18"/>
                <w:lang w:val="en-US"/>
              </w:rPr>
            </w:pPr>
            <w:r w:rsidRPr="00C903F8">
              <w:rPr>
                <w:rFonts w:cs="Arial"/>
                <w:sz w:val="18"/>
                <w:szCs w:val="18"/>
                <w:lang w:val="en-US"/>
              </w:rPr>
              <w:t>(9)</w:t>
            </w:r>
            <w:r>
              <w:rPr>
                <w:rFonts w:cs="Arial"/>
                <w:sz w:val="18"/>
                <w:szCs w:val="18"/>
                <w:lang w:val="en-US"/>
              </w:rPr>
              <w:t>(</w:t>
            </w:r>
            <w:r w:rsidRPr="00C903F8">
              <w:rPr>
                <w:rFonts w:cs="Arial"/>
                <w:sz w:val="18"/>
                <w:szCs w:val="18"/>
                <w:lang w:val="en-US"/>
              </w:rPr>
              <w:t>a),</w:t>
            </w:r>
            <w:r>
              <w:rPr>
                <w:rFonts w:cs="Arial"/>
                <w:sz w:val="18"/>
                <w:szCs w:val="18"/>
                <w:lang w:val="en-US"/>
              </w:rPr>
              <w:t>(</w:t>
            </w:r>
            <w:r w:rsidRPr="00C903F8">
              <w:rPr>
                <w:rFonts w:cs="Arial"/>
                <w:sz w:val="18"/>
                <w:szCs w:val="18"/>
                <w:lang w:val="en-US"/>
              </w:rPr>
              <w:t xml:space="preserve">b), </w:t>
            </w:r>
            <w:r>
              <w:rPr>
                <w:rFonts w:cs="Arial"/>
                <w:sz w:val="18"/>
                <w:szCs w:val="18"/>
                <w:lang w:val="en-US"/>
              </w:rPr>
              <w:t>(</w:t>
            </w:r>
            <w:r w:rsidRPr="00C903F8">
              <w:rPr>
                <w:rFonts w:cs="Arial"/>
                <w:sz w:val="18"/>
                <w:szCs w:val="18"/>
                <w:lang w:val="en-US"/>
              </w:rPr>
              <w:t>c) 2</w:t>
            </w:r>
            <w:r w:rsidRPr="00C903F8">
              <w:rPr>
                <w:rFonts w:cs="Arial"/>
                <w:sz w:val="18"/>
                <w:szCs w:val="18"/>
                <w:vertAlign w:val="superscript"/>
                <w:lang w:val="en-US"/>
              </w:rPr>
              <w:t>nd </w:t>
            </w:r>
            <w:r w:rsidRPr="00C903F8">
              <w:rPr>
                <w:rFonts w:cs="Arial"/>
                <w:sz w:val="18"/>
                <w:szCs w:val="18"/>
                <w:lang w:val="en-US"/>
              </w:rPr>
              <w:t xml:space="preserve">sentence and </w:t>
            </w:r>
            <w:r>
              <w:rPr>
                <w:rFonts w:cs="Arial"/>
                <w:sz w:val="18"/>
                <w:szCs w:val="18"/>
                <w:lang w:val="en-US"/>
              </w:rPr>
              <w:t>(</w:t>
            </w:r>
            <w:r w:rsidRPr="00C903F8">
              <w:rPr>
                <w:rFonts w:cs="Arial"/>
                <w:sz w:val="18"/>
                <w:szCs w:val="18"/>
                <w:lang w:val="en-US"/>
              </w:rPr>
              <w:t>d)</w:t>
            </w:r>
          </w:p>
        </w:tc>
        <w:tc>
          <w:tcPr>
            <w:tcW w:w="3296" w:type="dxa"/>
            <w:shd w:val="clear" w:color="auto" w:fill="auto"/>
          </w:tcPr>
          <w:p w:rsidR="004D56BE" w:rsidRPr="00C903F8" w:rsidRDefault="004D56BE" w:rsidP="00C01A94">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Requirements for doors in partitions</w:t>
            </w:r>
          </w:p>
        </w:tc>
        <w:tc>
          <w:tcPr>
            <w:tcW w:w="5387" w:type="dxa"/>
            <w:shd w:val="clear" w:color="auto" w:fill="auto"/>
          </w:tcPr>
          <w:p w:rsidR="004D56BE" w:rsidRPr="00C903F8" w:rsidRDefault="004D56BE"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w:t>
            </w:r>
          </w:p>
        </w:tc>
        <w:tc>
          <w:tcPr>
            <w:tcW w:w="3296" w:type="dxa"/>
            <w:shd w:val="clear" w:color="auto" w:fill="auto"/>
          </w:tcPr>
          <w:p w:rsidR="004D56BE" w:rsidRPr="00C903F8" w:rsidRDefault="004D56BE" w:rsidP="00C01A94">
            <w:pPr>
              <w:tabs>
                <w:tab w:val="left" w:pos="1080"/>
              </w:tabs>
              <w:spacing w:before="120" w:after="120" w:line="240" w:lineRule="atLeast"/>
              <w:ind w:left="0" w:firstLine="0"/>
              <w:rPr>
                <w:rFonts w:cs="Arial"/>
                <w:sz w:val="18"/>
                <w:szCs w:val="18"/>
              </w:rPr>
            </w:pPr>
            <w:r w:rsidRPr="00C903F8">
              <w:rPr>
                <w:rFonts w:cs="Arial"/>
                <w:sz w:val="18"/>
                <w:szCs w:val="18"/>
              </w:rPr>
              <w:t>Partitions</w:t>
            </w:r>
          </w:p>
        </w:tc>
        <w:tc>
          <w:tcPr>
            <w:tcW w:w="5387" w:type="dxa"/>
            <w:shd w:val="clear" w:color="auto" w:fill="auto"/>
          </w:tcPr>
          <w:p w:rsidR="004D56BE" w:rsidRPr="00C903F8" w:rsidRDefault="004D56BE"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(13)</w:t>
            </w:r>
          </w:p>
        </w:tc>
        <w:tc>
          <w:tcPr>
            <w:tcW w:w="3296" w:type="dxa"/>
            <w:shd w:val="clear" w:color="auto" w:fill="auto"/>
          </w:tcPr>
          <w:p w:rsidR="004D56BE" w:rsidRPr="00C903F8" w:rsidRDefault="004D56BE" w:rsidP="00C01A94">
            <w:pPr>
              <w:tabs>
                <w:tab w:val="left" w:pos="1080"/>
              </w:tabs>
              <w:spacing w:before="120" w:after="120" w:line="240" w:lineRule="atLeast"/>
              <w:ind w:left="0" w:firstLine="0"/>
              <w:rPr>
                <w:rFonts w:cs="Arial"/>
                <w:sz w:val="18"/>
                <w:szCs w:val="18"/>
                <w:lang w:val="en-US"/>
              </w:rPr>
            </w:pPr>
            <w:r w:rsidRPr="00C903F8">
              <w:rPr>
                <w:rFonts w:cs="Arial"/>
                <w:noProof/>
                <w:sz w:val="18"/>
                <w:szCs w:val="18"/>
                <w:lang w:val="en-US"/>
              </w:rPr>
              <w:t>Stairs made of steel or another equivalent non-combustible material</w:t>
            </w:r>
          </w:p>
        </w:tc>
        <w:tc>
          <w:tcPr>
            <w:tcW w:w="5387" w:type="dxa"/>
            <w:shd w:val="clear" w:color="auto" w:fill="auto"/>
          </w:tcPr>
          <w:p w:rsidR="004D56BE" w:rsidRPr="00C903F8" w:rsidRDefault="004D56BE" w:rsidP="00C01A94">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20" w:after="12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40" w:after="1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(14)</w:t>
            </w:r>
          </w:p>
        </w:tc>
        <w:tc>
          <w:tcPr>
            <w:tcW w:w="3296" w:type="dxa"/>
            <w:shd w:val="clear" w:color="auto" w:fill="auto"/>
          </w:tcPr>
          <w:p w:rsidR="004D56BE" w:rsidRPr="00C903F8" w:rsidRDefault="004D56BE" w:rsidP="00C01A94">
            <w:pPr>
              <w:tabs>
                <w:tab w:val="left" w:pos="1080"/>
              </w:tabs>
              <w:spacing w:before="140" w:after="160" w:line="240" w:lineRule="atLeast"/>
              <w:ind w:left="0" w:firstLine="0"/>
              <w:rPr>
                <w:rFonts w:cs="Arial"/>
                <w:sz w:val="18"/>
                <w:szCs w:val="18"/>
                <w:lang w:val="en-US"/>
              </w:rPr>
            </w:pPr>
            <w:r w:rsidRPr="00C903F8">
              <w:rPr>
                <w:rFonts w:cs="Arial"/>
                <w:sz w:val="18"/>
                <w:szCs w:val="18"/>
                <w:lang w:val="en-US"/>
              </w:rPr>
              <w:t>Internal stairs encapsulated at all levels by walls according to (2).</w:t>
            </w:r>
          </w:p>
        </w:tc>
        <w:tc>
          <w:tcPr>
            <w:tcW w:w="5387" w:type="dxa"/>
            <w:shd w:val="clear" w:color="auto" w:fill="auto"/>
          </w:tcPr>
          <w:p w:rsidR="004D56BE" w:rsidRPr="00C903F8" w:rsidRDefault="004D56BE" w:rsidP="00C01A94">
            <w:pPr>
              <w:spacing w:before="14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40" w:after="1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(15)</w:t>
            </w:r>
          </w:p>
        </w:tc>
        <w:tc>
          <w:tcPr>
            <w:tcW w:w="3296" w:type="dxa"/>
            <w:shd w:val="clear" w:color="auto" w:fill="auto"/>
          </w:tcPr>
          <w:p w:rsidR="004D56BE" w:rsidRPr="00C903F8" w:rsidRDefault="004D56BE" w:rsidP="00C01A94">
            <w:pPr>
              <w:tabs>
                <w:tab w:val="left" w:pos="1080"/>
              </w:tabs>
              <w:spacing w:before="140" w:after="160" w:line="240" w:lineRule="atLeast"/>
              <w:ind w:left="0" w:firstLine="0"/>
              <w:rPr>
                <w:rFonts w:cs="Arial"/>
                <w:sz w:val="18"/>
                <w:szCs w:val="18"/>
                <w:lang w:val="en-US"/>
              </w:rPr>
            </w:pPr>
            <w:r w:rsidRPr="00C903F8">
              <w:rPr>
                <w:rFonts w:cs="Arial"/>
                <w:noProof/>
                <w:sz w:val="18"/>
                <w:szCs w:val="18"/>
                <w:lang w:val="en-US"/>
              </w:rPr>
              <w:t>Ventilation systems and air supply systems</w:t>
            </w:r>
          </w:p>
        </w:tc>
        <w:tc>
          <w:tcPr>
            <w:tcW w:w="5387" w:type="dxa"/>
            <w:shd w:val="clear" w:color="auto" w:fill="auto"/>
          </w:tcPr>
          <w:p w:rsidR="004D56BE" w:rsidRPr="00C903F8" w:rsidRDefault="004D56BE" w:rsidP="00C01A94">
            <w:pPr>
              <w:spacing w:before="14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nil"/>
            </w:tcBorders>
            <w:shd w:val="clear" w:color="auto" w:fill="auto"/>
          </w:tcPr>
          <w:p w:rsidR="004D56BE" w:rsidRPr="00C903F8" w:rsidRDefault="004D56BE" w:rsidP="00C01A94">
            <w:pPr>
              <w:spacing w:before="140" w:after="1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(16)</w:t>
            </w:r>
          </w:p>
        </w:tc>
        <w:tc>
          <w:tcPr>
            <w:tcW w:w="3296" w:type="dxa"/>
            <w:shd w:val="clear" w:color="auto" w:fill="auto"/>
          </w:tcPr>
          <w:p w:rsidR="004D56BE" w:rsidRPr="00C903F8" w:rsidRDefault="004D56BE" w:rsidP="00C01A94">
            <w:pPr>
              <w:tabs>
                <w:tab w:val="left" w:pos="1080"/>
              </w:tabs>
              <w:spacing w:before="140" w:after="160" w:line="240" w:lineRule="atLeast"/>
              <w:ind w:left="0" w:firstLine="0"/>
              <w:rPr>
                <w:rFonts w:cs="Arial"/>
                <w:sz w:val="18"/>
                <w:szCs w:val="18"/>
                <w:lang w:val="en-US"/>
              </w:rPr>
            </w:pPr>
            <w:r w:rsidRPr="00C903F8">
              <w:rPr>
                <w:rFonts w:cs="Arial"/>
                <w:noProof/>
                <w:sz w:val="18"/>
                <w:szCs w:val="18"/>
                <w:lang w:val="en-US"/>
              </w:rPr>
              <w:t>Ventilation systems in galleys and stoves with extractors</w:t>
            </w:r>
          </w:p>
        </w:tc>
        <w:tc>
          <w:tcPr>
            <w:tcW w:w="5387" w:type="dxa"/>
            <w:shd w:val="clear" w:color="auto" w:fill="auto"/>
          </w:tcPr>
          <w:p w:rsidR="004D56BE" w:rsidRPr="00C903F8" w:rsidRDefault="004D56BE" w:rsidP="00C01A94">
            <w:pPr>
              <w:spacing w:before="14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1.1.2006</w:t>
            </w:r>
          </w:p>
        </w:tc>
      </w:tr>
      <w:tr w:rsidR="004D56BE" w:rsidRPr="00C903F8" w:rsidTr="001640EF">
        <w:trPr>
          <w:cantSplit/>
          <w:jc w:val="center"/>
        </w:trPr>
        <w:tc>
          <w:tcPr>
            <w:tcW w:w="1342" w:type="dxa"/>
            <w:tcBorders>
              <w:top w:val="nil"/>
              <w:bottom w:val="single" w:sz="4" w:space="0" w:color="auto"/>
            </w:tcBorders>
            <w:shd w:val="clear" w:color="auto" w:fill="auto"/>
          </w:tcPr>
          <w:p w:rsidR="004D56BE" w:rsidRPr="00C903F8" w:rsidRDefault="004D56BE" w:rsidP="00C01A94">
            <w:pPr>
              <w:spacing w:before="140" w:after="1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(17)</w:t>
            </w:r>
          </w:p>
        </w:tc>
        <w:tc>
          <w:tcPr>
            <w:tcW w:w="3296" w:type="dxa"/>
            <w:shd w:val="clear" w:color="auto" w:fill="auto"/>
          </w:tcPr>
          <w:p w:rsidR="004D56BE" w:rsidRPr="00C903F8" w:rsidRDefault="004D56BE" w:rsidP="00C01A94">
            <w:pPr>
              <w:tabs>
                <w:tab w:val="left" w:pos="1080"/>
              </w:tabs>
              <w:spacing w:before="140" w:after="160" w:line="240" w:lineRule="atLeast"/>
              <w:ind w:left="0" w:firstLine="0"/>
              <w:rPr>
                <w:rFonts w:cs="Arial"/>
                <w:sz w:val="18"/>
                <w:szCs w:val="18"/>
                <w:lang w:val="en-US"/>
              </w:rPr>
            </w:pPr>
            <w:r w:rsidRPr="00C903F8">
              <w:rPr>
                <w:rFonts w:cs="Arial"/>
                <w:noProof/>
                <w:sz w:val="18"/>
                <w:szCs w:val="18"/>
                <w:lang w:val="en-US"/>
              </w:rPr>
              <w:t>Control centres, stairwells, muster areas and smoke extraction systems</w:t>
            </w:r>
          </w:p>
        </w:tc>
        <w:tc>
          <w:tcPr>
            <w:tcW w:w="5387" w:type="dxa"/>
            <w:shd w:val="clear" w:color="auto" w:fill="auto"/>
          </w:tcPr>
          <w:p w:rsidR="004D56BE" w:rsidRPr="00C903F8" w:rsidRDefault="004D56BE" w:rsidP="00C01A94">
            <w:pPr>
              <w:spacing w:before="14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1.1.2006</w:t>
            </w:r>
          </w:p>
        </w:tc>
      </w:tr>
      <w:tr w:rsidR="004D56BE" w:rsidRPr="00C903F8" w:rsidTr="001640EF">
        <w:trPr>
          <w:cantSplit/>
          <w:jc w:val="center"/>
        </w:trPr>
        <w:tc>
          <w:tcPr>
            <w:tcW w:w="1342" w:type="dxa"/>
            <w:tcBorders>
              <w:top w:val="single" w:sz="4" w:space="0" w:color="auto"/>
              <w:bottom w:val="nil"/>
            </w:tcBorders>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19.12</w:t>
            </w:r>
          </w:p>
        </w:tc>
        <w:tc>
          <w:tcPr>
            <w:tcW w:w="1458" w:type="dxa"/>
            <w:tcBorders>
              <w:bottom w:val="single" w:sz="4" w:space="0" w:color="auto"/>
            </w:tcBorders>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(8)(d)</w:t>
            </w:r>
          </w:p>
        </w:tc>
        <w:tc>
          <w:tcPr>
            <w:tcW w:w="3296" w:type="dxa"/>
            <w:tcBorders>
              <w:bottom w:val="single" w:sz="4" w:space="0" w:color="auto"/>
            </w:tcBorders>
            <w:shd w:val="clear" w:color="auto" w:fill="auto"/>
          </w:tcPr>
          <w:p w:rsidR="004D56BE" w:rsidRPr="00C903F8" w:rsidRDefault="004D56BE" w:rsidP="00C01A94">
            <w:pPr>
              <w:tabs>
                <w:tab w:val="left" w:pos="1080"/>
              </w:tabs>
              <w:spacing w:before="140" w:after="160" w:line="240" w:lineRule="atLeast"/>
              <w:ind w:left="0" w:firstLine="0"/>
              <w:rPr>
                <w:rFonts w:cs="Arial"/>
                <w:sz w:val="18"/>
                <w:szCs w:val="18"/>
                <w:lang w:val="en-US"/>
              </w:rPr>
            </w:pPr>
            <w:r w:rsidRPr="00C903F8">
              <w:rPr>
                <w:rFonts w:cs="Arial"/>
                <w:sz w:val="18"/>
                <w:szCs w:val="18"/>
                <w:lang w:val="en-US"/>
              </w:rPr>
              <w:t>Installation of fire extinguishing pumps</w:t>
            </w:r>
          </w:p>
        </w:tc>
        <w:tc>
          <w:tcPr>
            <w:tcW w:w="5387" w:type="dxa"/>
            <w:shd w:val="clear" w:color="auto" w:fill="auto"/>
          </w:tcPr>
          <w:p w:rsidR="004D56BE" w:rsidRPr="00C903F8" w:rsidRDefault="004D56BE" w:rsidP="00C01A94">
            <w:pPr>
              <w:spacing w:before="14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40" w:after="160" w:line="240" w:lineRule="atLeast"/>
              <w:ind w:left="0" w:firstLine="0"/>
              <w:rPr>
                <w:rFonts w:cs="Arial"/>
                <w:sz w:val="18"/>
                <w:szCs w:val="18"/>
              </w:rPr>
            </w:pPr>
            <w:r>
              <w:rPr>
                <w:rFonts w:cs="Arial"/>
                <w:sz w:val="18"/>
                <w:szCs w:val="18"/>
              </w:rPr>
              <w:t>1.1.2020</w:t>
            </w:r>
          </w:p>
        </w:tc>
        <w:tc>
          <w:tcPr>
            <w:tcW w:w="1276" w:type="dxa"/>
          </w:tcPr>
          <w:p w:rsidR="004D56BE" w:rsidRPr="00C903F8" w:rsidRDefault="004D56BE" w:rsidP="00C01A94">
            <w:pPr>
              <w:spacing w:before="140" w:after="160" w:line="240" w:lineRule="atLeast"/>
              <w:ind w:left="0" w:firstLine="0"/>
              <w:rPr>
                <w:rFonts w:cs="Arial"/>
                <w:sz w:val="18"/>
                <w:szCs w:val="18"/>
              </w:rPr>
            </w:pPr>
            <w:r>
              <w:rPr>
                <w:rFonts w:cs="Arial"/>
                <w:sz w:val="18"/>
                <w:szCs w:val="18"/>
              </w:rPr>
              <w:t>7.10.2018</w:t>
            </w:r>
          </w:p>
        </w:tc>
      </w:tr>
      <w:tr w:rsidR="004D56BE" w:rsidRPr="00C903F8" w:rsidTr="00F14E8B">
        <w:trPr>
          <w:cantSplit/>
          <w:jc w:val="center"/>
        </w:trPr>
        <w:tc>
          <w:tcPr>
            <w:tcW w:w="1342" w:type="dxa"/>
            <w:tcBorders>
              <w:top w:val="nil"/>
              <w:bottom w:val="nil"/>
            </w:tcBorders>
            <w:shd w:val="clear" w:color="auto" w:fill="auto"/>
          </w:tcPr>
          <w:p w:rsidR="004D56BE" w:rsidRPr="00C903F8" w:rsidRDefault="004D56BE" w:rsidP="00C01A94">
            <w:pPr>
              <w:spacing w:before="140" w:after="160" w:line="240" w:lineRule="atLeast"/>
              <w:ind w:left="0" w:firstLine="0"/>
              <w:rPr>
                <w:rFonts w:cs="Arial"/>
                <w:sz w:val="18"/>
                <w:szCs w:val="18"/>
                <w:lang w:val="en-US"/>
              </w:rPr>
            </w:pPr>
          </w:p>
        </w:tc>
        <w:tc>
          <w:tcPr>
            <w:tcW w:w="1458" w:type="dxa"/>
            <w:vMerge w:val="restart"/>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(9)</w:t>
            </w:r>
          </w:p>
        </w:tc>
        <w:tc>
          <w:tcPr>
            <w:tcW w:w="3296" w:type="dxa"/>
            <w:vMerge w:val="restart"/>
            <w:shd w:val="clear" w:color="auto" w:fill="auto"/>
          </w:tcPr>
          <w:p w:rsidR="004D56BE" w:rsidRPr="00C903F8" w:rsidRDefault="004D56BE" w:rsidP="00C01A94">
            <w:pPr>
              <w:tabs>
                <w:tab w:val="left" w:pos="1080"/>
              </w:tabs>
              <w:spacing w:before="140" w:after="160" w:line="240" w:lineRule="atLeast"/>
              <w:ind w:left="0" w:firstLine="0"/>
              <w:rPr>
                <w:rFonts w:cs="Arial"/>
                <w:sz w:val="18"/>
                <w:szCs w:val="18"/>
                <w:lang w:val="en-US"/>
              </w:rPr>
            </w:pPr>
            <w:r w:rsidRPr="00C903F8">
              <w:rPr>
                <w:rFonts w:cs="Arial"/>
                <w:noProof/>
                <w:sz w:val="18"/>
                <w:szCs w:val="18"/>
                <w:lang w:val="en-US"/>
              </w:rPr>
              <w:t>Fire-extinguishing system in engine rooms</w:t>
            </w:r>
          </w:p>
        </w:tc>
        <w:tc>
          <w:tcPr>
            <w:tcW w:w="5387" w:type="dxa"/>
            <w:shd w:val="clear" w:color="auto" w:fill="auto"/>
          </w:tcPr>
          <w:p w:rsidR="004D56BE" w:rsidRPr="00C903F8" w:rsidRDefault="004D56BE" w:rsidP="00C01A94">
            <w:pPr>
              <w:spacing w:before="14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vMerge w:val="restart"/>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1.1.2015</w:t>
            </w:r>
          </w:p>
        </w:tc>
        <w:tc>
          <w:tcPr>
            <w:tcW w:w="1276" w:type="dxa"/>
            <w:vMerge w:val="restart"/>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1.1.2006</w:t>
            </w:r>
          </w:p>
        </w:tc>
      </w:tr>
      <w:tr w:rsidR="004D56BE" w:rsidRPr="00296858" w:rsidTr="00F14E8B">
        <w:trPr>
          <w:cantSplit/>
          <w:jc w:val="center"/>
        </w:trPr>
        <w:tc>
          <w:tcPr>
            <w:tcW w:w="1342" w:type="dxa"/>
            <w:tcBorders>
              <w:top w:val="nil"/>
            </w:tcBorders>
            <w:shd w:val="clear" w:color="auto" w:fill="auto"/>
          </w:tcPr>
          <w:p w:rsidR="004D56BE" w:rsidRPr="00C903F8" w:rsidRDefault="004D56BE" w:rsidP="00C01A94">
            <w:pPr>
              <w:spacing w:before="140" w:after="160" w:line="240" w:lineRule="atLeast"/>
              <w:ind w:left="0" w:firstLine="0"/>
              <w:rPr>
                <w:rFonts w:cs="Arial"/>
                <w:sz w:val="18"/>
                <w:szCs w:val="18"/>
              </w:rPr>
            </w:pPr>
          </w:p>
        </w:tc>
        <w:tc>
          <w:tcPr>
            <w:tcW w:w="1458" w:type="dxa"/>
            <w:vMerge/>
            <w:shd w:val="clear" w:color="auto" w:fill="auto"/>
          </w:tcPr>
          <w:p w:rsidR="004D56BE" w:rsidRPr="00C903F8" w:rsidRDefault="004D56BE" w:rsidP="00C01A94">
            <w:pPr>
              <w:spacing w:before="140" w:after="160" w:line="240" w:lineRule="atLeast"/>
              <w:ind w:left="0" w:firstLine="0"/>
              <w:rPr>
                <w:rFonts w:cs="Arial"/>
                <w:sz w:val="18"/>
                <w:szCs w:val="18"/>
              </w:rPr>
            </w:pPr>
          </w:p>
        </w:tc>
        <w:tc>
          <w:tcPr>
            <w:tcW w:w="3296" w:type="dxa"/>
            <w:vMerge/>
            <w:shd w:val="clear" w:color="auto" w:fill="auto"/>
          </w:tcPr>
          <w:p w:rsidR="004D56BE" w:rsidRPr="00C903F8" w:rsidRDefault="004D56BE" w:rsidP="00C01A94">
            <w:pPr>
              <w:tabs>
                <w:tab w:val="left" w:pos="1080"/>
              </w:tabs>
              <w:spacing w:before="140" w:after="160" w:line="240" w:lineRule="atLeast"/>
              <w:ind w:left="0" w:firstLine="0"/>
              <w:rPr>
                <w:rFonts w:cs="Arial"/>
                <w:sz w:val="18"/>
                <w:szCs w:val="18"/>
              </w:rPr>
            </w:pPr>
          </w:p>
        </w:tc>
        <w:tc>
          <w:tcPr>
            <w:tcW w:w="5387" w:type="dxa"/>
            <w:shd w:val="clear" w:color="auto" w:fill="auto"/>
          </w:tcPr>
          <w:p w:rsidR="004D56BE" w:rsidRPr="00C903F8" w:rsidRDefault="004D56BE" w:rsidP="00C01A94">
            <w:pPr>
              <w:spacing w:before="140" w:after="160" w:line="240" w:lineRule="atLeast"/>
              <w:ind w:left="0" w:firstLine="0"/>
              <w:rPr>
                <w:rFonts w:cs="Arial"/>
                <w:sz w:val="18"/>
                <w:szCs w:val="18"/>
                <w:lang w:val="en-US"/>
              </w:rPr>
            </w:pPr>
            <w:r w:rsidRPr="00C903F8">
              <w:rPr>
                <w:rFonts w:cs="Arial"/>
                <w:noProof/>
                <w:sz w:val="18"/>
                <w:szCs w:val="18"/>
                <w:lang w:val="en-US"/>
              </w:rPr>
              <w:t>The transitional provision does not apply to passenger vessels which have been laid down after 31.12.1995, the hull of which is made of wood, aluminium or plastic and the engine rooms of which are not made of a material according to Article 3.04(3) and (4).</w:t>
            </w:r>
          </w:p>
        </w:tc>
        <w:tc>
          <w:tcPr>
            <w:tcW w:w="1276" w:type="dxa"/>
            <w:vMerge/>
            <w:shd w:val="clear" w:color="auto" w:fill="auto"/>
          </w:tcPr>
          <w:p w:rsidR="004D56BE" w:rsidRPr="00C903F8" w:rsidRDefault="004D56BE" w:rsidP="00C01A94">
            <w:pPr>
              <w:spacing w:before="140" w:after="160" w:line="240" w:lineRule="atLeast"/>
              <w:ind w:left="0" w:firstLine="0"/>
              <w:rPr>
                <w:rFonts w:cs="Arial"/>
                <w:sz w:val="18"/>
                <w:szCs w:val="18"/>
                <w:lang w:val="en-US"/>
              </w:rPr>
            </w:pPr>
          </w:p>
        </w:tc>
        <w:tc>
          <w:tcPr>
            <w:tcW w:w="1276" w:type="dxa"/>
            <w:vMerge/>
          </w:tcPr>
          <w:p w:rsidR="004D56BE" w:rsidRPr="00C903F8" w:rsidRDefault="004D56BE" w:rsidP="00C01A94">
            <w:pPr>
              <w:spacing w:before="140" w:after="160" w:line="240" w:lineRule="atLeast"/>
              <w:ind w:left="0" w:firstLine="0"/>
              <w:rPr>
                <w:rFonts w:cs="Arial"/>
                <w:sz w:val="18"/>
                <w:szCs w:val="18"/>
                <w:lang w:val="en-US"/>
              </w:rPr>
            </w:pPr>
          </w:p>
        </w:tc>
      </w:tr>
      <w:tr w:rsidR="004D56BE" w:rsidRPr="00C903F8" w:rsidTr="00E67DA4">
        <w:trPr>
          <w:cantSplit/>
          <w:jc w:val="center"/>
        </w:trPr>
        <w:tc>
          <w:tcPr>
            <w:tcW w:w="1342" w:type="dxa"/>
            <w:tcBorders>
              <w:bottom w:val="nil"/>
            </w:tcBorders>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19.14</w:t>
            </w:r>
          </w:p>
        </w:tc>
        <w:tc>
          <w:tcPr>
            <w:tcW w:w="1458" w:type="dxa"/>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C01A94">
            <w:pPr>
              <w:tabs>
                <w:tab w:val="left" w:pos="1080"/>
              </w:tabs>
              <w:spacing w:before="140" w:after="160" w:line="240" w:lineRule="atLeast"/>
              <w:ind w:left="0" w:firstLine="0"/>
              <w:rPr>
                <w:rFonts w:cs="Arial"/>
                <w:sz w:val="18"/>
                <w:szCs w:val="18"/>
                <w:lang w:val="en-US"/>
              </w:rPr>
            </w:pPr>
            <w:r w:rsidRPr="00C903F8">
              <w:rPr>
                <w:rFonts w:cs="Arial"/>
                <w:noProof/>
                <w:sz w:val="18"/>
                <w:szCs w:val="18"/>
                <w:lang w:val="en-US"/>
              </w:rPr>
              <w:t>Waste water collection tanks and disposal facilities</w:t>
            </w:r>
          </w:p>
        </w:tc>
        <w:tc>
          <w:tcPr>
            <w:tcW w:w="5387" w:type="dxa"/>
            <w:shd w:val="clear" w:color="auto" w:fill="auto"/>
          </w:tcPr>
          <w:p w:rsidR="004D56BE" w:rsidRPr="00C903F8" w:rsidRDefault="004D56BE" w:rsidP="00C01A94">
            <w:pPr>
              <w:spacing w:before="140" w:after="160" w:line="240" w:lineRule="atLeast"/>
              <w:ind w:left="0" w:firstLine="0"/>
              <w:rPr>
                <w:rFonts w:cs="Arial"/>
                <w:sz w:val="18"/>
                <w:szCs w:val="18"/>
                <w:lang w:val="en-US"/>
              </w:rPr>
            </w:pPr>
            <w:r w:rsidRPr="00C903F8">
              <w:rPr>
                <w:rFonts w:cs="Arial"/>
                <w:noProof/>
                <w:sz w:val="18"/>
                <w:szCs w:val="18"/>
                <w:lang w:val="en-US"/>
              </w:rPr>
              <w:t>For cabin vessels with no more than 50 berths and for day-trip vessels:</w:t>
            </w:r>
            <w:r w:rsidRPr="00C903F8">
              <w:rPr>
                <w:rFonts w:cs="Arial"/>
                <w:sz w:val="18"/>
                <w:szCs w:val="18"/>
                <w:lang w:val="en-US"/>
              </w:rPr>
              <w:t xml:space="preserve">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top w:val="nil"/>
              <w:bottom w:val="single" w:sz="4" w:space="0" w:color="auto"/>
            </w:tcBorders>
            <w:shd w:val="clear" w:color="auto" w:fill="auto"/>
          </w:tcPr>
          <w:p w:rsidR="004D56BE" w:rsidRPr="00C903F8" w:rsidRDefault="004D56BE" w:rsidP="00C01A94">
            <w:pPr>
              <w:spacing w:before="140" w:after="160" w:line="240" w:lineRule="atLeast"/>
              <w:ind w:left="0" w:firstLine="0"/>
              <w:rPr>
                <w:rFonts w:cs="Arial"/>
                <w:sz w:val="18"/>
                <w:szCs w:val="18"/>
              </w:rPr>
            </w:pPr>
          </w:p>
        </w:tc>
        <w:tc>
          <w:tcPr>
            <w:tcW w:w="1458" w:type="dxa"/>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(2)</w:t>
            </w:r>
          </w:p>
        </w:tc>
        <w:tc>
          <w:tcPr>
            <w:tcW w:w="3296" w:type="dxa"/>
            <w:shd w:val="clear" w:color="auto" w:fill="auto"/>
          </w:tcPr>
          <w:p w:rsidR="004D56BE" w:rsidRPr="00C903F8" w:rsidRDefault="004D56BE" w:rsidP="00C01A94">
            <w:pPr>
              <w:tabs>
                <w:tab w:val="left" w:pos="1080"/>
              </w:tabs>
              <w:spacing w:before="140" w:after="160" w:line="240" w:lineRule="atLeast"/>
              <w:ind w:left="0" w:firstLine="0"/>
              <w:rPr>
                <w:rFonts w:cs="Arial"/>
                <w:sz w:val="18"/>
                <w:szCs w:val="18"/>
                <w:lang w:val="en-US"/>
              </w:rPr>
            </w:pPr>
            <w:r w:rsidRPr="00C903F8">
              <w:rPr>
                <w:rFonts w:cs="Arial"/>
                <w:noProof/>
                <w:sz w:val="18"/>
                <w:szCs w:val="18"/>
                <w:lang w:val="en-US"/>
              </w:rPr>
              <w:t>Requirements for waste water collection tanks</w:t>
            </w:r>
          </w:p>
        </w:tc>
        <w:tc>
          <w:tcPr>
            <w:tcW w:w="5387" w:type="dxa"/>
            <w:shd w:val="clear" w:color="auto" w:fill="auto"/>
          </w:tcPr>
          <w:p w:rsidR="004D56BE" w:rsidRPr="00C903F8" w:rsidRDefault="004D56BE" w:rsidP="00C01A94">
            <w:pPr>
              <w:spacing w:before="140" w:after="160" w:line="240" w:lineRule="atLeast"/>
              <w:ind w:left="0" w:firstLine="0"/>
              <w:rPr>
                <w:rFonts w:cs="Arial"/>
                <w:sz w:val="18"/>
                <w:szCs w:val="18"/>
                <w:lang w:val="en-US"/>
              </w:rPr>
            </w:pPr>
            <w:r w:rsidRPr="00C903F8">
              <w:rPr>
                <w:rFonts w:cs="Arial"/>
                <w:noProof/>
                <w:sz w:val="18"/>
                <w:szCs w:val="18"/>
                <w:lang w:val="en-US"/>
              </w:rPr>
              <w:t xml:space="preserve">For cabin vessels with no more than 50 berths and for day-trip vessels with no more than 50 passengers: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140" w:after="1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1342" w:type="dxa"/>
            <w:tcBorders>
              <w:bottom w:val="nil"/>
            </w:tcBorders>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lastRenderedPageBreak/>
              <w:t>19.15</w:t>
            </w:r>
          </w:p>
        </w:tc>
        <w:tc>
          <w:tcPr>
            <w:tcW w:w="1458"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rPr>
            </w:pPr>
            <w:r w:rsidRPr="00C903F8">
              <w:rPr>
                <w:rFonts w:cs="Arial"/>
                <w:noProof/>
                <w:sz w:val="18"/>
                <w:szCs w:val="18"/>
              </w:rPr>
              <w:t>Damage stability</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1.1.2045</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1.1.2006</w:t>
            </w:r>
          </w:p>
        </w:tc>
      </w:tr>
      <w:tr w:rsidR="004D56BE" w:rsidRPr="00C903F8" w:rsidTr="00E67DA4">
        <w:trPr>
          <w:cantSplit/>
          <w:jc w:val="center"/>
        </w:trPr>
        <w:tc>
          <w:tcPr>
            <w:tcW w:w="6096" w:type="dxa"/>
            <w:gridSpan w:val="3"/>
            <w:shd w:val="clear" w:color="auto" w:fill="auto"/>
          </w:tcPr>
          <w:p w:rsidR="004D56BE" w:rsidRPr="00C903F8" w:rsidRDefault="004D56BE" w:rsidP="00C01A94">
            <w:pPr>
              <w:tabs>
                <w:tab w:val="left" w:pos="1080"/>
              </w:tabs>
              <w:spacing w:before="60" w:after="60" w:line="240" w:lineRule="atLeast"/>
              <w:ind w:left="0" w:firstLine="0"/>
              <w:jc w:val="center"/>
              <w:rPr>
                <w:rFonts w:cs="Arial"/>
                <w:sz w:val="18"/>
                <w:szCs w:val="18"/>
              </w:rPr>
            </w:pPr>
            <w:r w:rsidRPr="00C903F8">
              <w:rPr>
                <w:rFonts w:cs="Arial"/>
                <w:b/>
                <w:sz w:val="18"/>
                <w:szCs w:val="18"/>
              </w:rPr>
              <w:t>CHAPTER 29</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rPr>
            </w:pP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p>
        </w:tc>
        <w:tc>
          <w:tcPr>
            <w:tcW w:w="1276" w:type="dxa"/>
          </w:tcPr>
          <w:p w:rsidR="004D56BE" w:rsidRPr="00C903F8" w:rsidRDefault="004D56BE" w:rsidP="00C01A94">
            <w:pPr>
              <w:spacing w:before="60" w:after="60" w:line="240" w:lineRule="atLeast"/>
              <w:ind w:left="0" w:firstLine="0"/>
              <w:rPr>
                <w:rFonts w:cs="Arial"/>
                <w:sz w:val="18"/>
                <w:szCs w:val="18"/>
              </w:rPr>
            </w:pPr>
          </w:p>
        </w:tc>
      </w:tr>
      <w:tr w:rsidR="004D56BE" w:rsidRPr="00C903F8" w:rsidTr="00E67DA4">
        <w:trPr>
          <w:cantSplit/>
          <w:jc w:val="center"/>
        </w:trPr>
        <w:tc>
          <w:tcPr>
            <w:tcW w:w="1342"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29.02</w:t>
            </w:r>
          </w:p>
        </w:tc>
        <w:tc>
          <w:tcPr>
            <w:tcW w:w="1458"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(3)</w:t>
            </w:r>
          </w:p>
        </w:tc>
        <w:tc>
          <w:tcPr>
            <w:tcW w:w="3296" w:type="dxa"/>
            <w:shd w:val="clear" w:color="auto" w:fill="auto"/>
          </w:tcPr>
          <w:p w:rsidR="004D56BE" w:rsidRPr="00C903F8" w:rsidRDefault="004D56BE" w:rsidP="00C01A94">
            <w:pPr>
              <w:tabs>
                <w:tab w:val="left" w:pos="1080"/>
              </w:tabs>
              <w:spacing w:before="60" w:after="60" w:line="240" w:lineRule="atLeast"/>
              <w:ind w:left="0" w:firstLine="0"/>
              <w:rPr>
                <w:rFonts w:cs="Arial"/>
                <w:sz w:val="18"/>
                <w:szCs w:val="18"/>
                <w:lang w:val="en-US"/>
              </w:rPr>
            </w:pPr>
            <w:r w:rsidRPr="00C903F8">
              <w:rPr>
                <w:rFonts w:cs="Arial"/>
                <w:noProof/>
                <w:sz w:val="18"/>
                <w:szCs w:val="18"/>
                <w:lang w:val="en-US"/>
              </w:rPr>
              <w:t>Second independent steering apparatus drive unit or a manually operated drive unit come into operation</w:t>
            </w:r>
          </w:p>
        </w:tc>
        <w:tc>
          <w:tcPr>
            <w:tcW w:w="5387" w:type="dxa"/>
            <w:shd w:val="clear" w:color="auto" w:fill="auto"/>
          </w:tcPr>
          <w:p w:rsidR="004D56BE" w:rsidRPr="00C903F8" w:rsidRDefault="004D56BE" w:rsidP="00C01A94">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1.1.2025</w:t>
            </w:r>
          </w:p>
        </w:tc>
        <w:tc>
          <w:tcPr>
            <w:tcW w:w="1276" w:type="dxa"/>
          </w:tcPr>
          <w:p w:rsidR="004D56BE" w:rsidRPr="00C903F8" w:rsidRDefault="004D56BE" w:rsidP="00C01A94">
            <w:pPr>
              <w:spacing w:before="60" w:after="60" w:line="240" w:lineRule="atLeast"/>
              <w:ind w:left="0" w:firstLine="0"/>
              <w:rPr>
                <w:rFonts w:cs="Arial"/>
                <w:sz w:val="18"/>
                <w:szCs w:val="18"/>
              </w:rPr>
            </w:pPr>
            <w:r w:rsidRPr="00C903F8">
              <w:rPr>
                <w:rFonts w:cs="Arial"/>
                <w:sz w:val="18"/>
                <w:szCs w:val="18"/>
              </w:rPr>
              <w:t>1.4.2005</w:t>
            </w:r>
          </w:p>
        </w:tc>
      </w:tr>
    </w:tbl>
    <w:p w:rsidR="001E2331" w:rsidRPr="00C903F8" w:rsidRDefault="001E2331" w:rsidP="001E2331">
      <w:pPr>
        <w:spacing w:line="240" w:lineRule="atLeast"/>
        <w:ind w:left="567" w:hanging="567"/>
        <w:rPr>
          <w:rFonts w:cs="Arial"/>
          <w:sz w:val="18"/>
          <w:szCs w:val="18"/>
        </w:rPr>
      </w:pPr>
    </w:p>
    <w:p w:rsidR="00600BEE" w:rsidRDefault="00600BEE">
      <w:pPr>
        <w:autoSpaceDE/>
        <w:autoSpaceDN/>
        <w:ind w:left="0" w:firstLine="0"/>
        <w:jc w:val="left"/>
        <w:rPr>
          <w:lang w:val="en-US"/>
        </w:rPr>
      </w:pPr>
    </w:p>
    <w:p w:rsidR="00234B95" w:rsidRDefault="00234B95">
      <w:pPr>
        <w:autoSpaceDE/>
        <w:autoSpaceDN/>
        <w:ind w:left="0" w:firstLine="0"/>
        <w:jc w:val="left"/>
        <w:rPr>
          <w:lang w:val="en-US"/>
        </w:rPr>
      </w:pPr>
      <w:r>
        <w:rPr>
          <w:lang w:val="en-US"/>
        </w:rPr>
        <w:br w:type="page"/>
      </w:r>
    </w:p>
    <w:p w:rsidR="00234B95" w:rsidRDefault="00234B95">
      <w:pPr>
        <w:autoSpaceDE/>
        <w:autoSpaceDN/>
        <w:ind w:left="0" w:firstLine="0"/>
        <w:jc w:val="left"/>
        <w:rPr>
          <w:lang w:val="en-US"/>
        </w:rPr>
      </w:pPr>
    </w:p>
    <w:p w:rsidR="002B4577" w:rsidRPr="00C903F8" w:rsidRDefault="002B4577" w:rsidP="001E2331">
      <w:pPr>
        <w:spacing w:line="240" w:lineRule="atLeast"/>
        <w:ind w:left="567" w:hanging="567"/>
        <w:rPr>
          <w:lang w:val="en-US"/>
        </w:rPr>
      </w:pPr>
    </w:p>
    <w:p w:rsidR="002B4577" w:rsidRPr="00C903F8" w:rsidRDefault="002B4577" w:rsidP="001E2331">
      <w:pPr>
        <w:spacing w:line="240" w:lineRule="atLeast"/>
        <w:ind w:left="567" w:hanging="567"/>
        <w:rPr>
          <w:lang w:val="en-US"/>
        </w:rPr>
      </w:pPr>
    </w:p>
    <w:p w:rsidR="001E2331" w:rsidRPr="00C903F8" w:rsidRDefault="001E2331" w:rsidP="001E2331">
      <w:pPr>
        <w:spacing w:line="240" w:lineRule="atLeast"/>
        <w:ind w:left="567" w:hanging="567"/>
        <w:rPr>
          <w:lang w:val="en-US"/>
        </w:rPr>
      </w:pPr>
    </w:p>
    <w:p w:rsidR="00C05CA2" w:rsidRPr="00C903F8" w:rsidRDefault="00C05CA2" w:rsidP="001E2331">
      <w:pPr>
        <w:spacing w:line="240" w:lineRule="atLeast"/>
        <w:ind w:left="567" w:hanging="567"/>
        <w:rPr>
          <w:lang w:val="en-US"/>
        </w:rPr>
        <w:sectPr w:rsidR="00C05CA2" w:rsidRPr="00C903F8" w:rsidSect="001E2331">
          <w:footnotePr>
            <w:numRestart w:val="eachPage"/>
          </w:footnotePr>
          <w:pgSz w:w="16838" w:h="11906" w:orient="landscape" w:code="9"/>
          <w:pgMar w:top="1418" w:right="1418" w:bottom="1418" w:left="1418" w:header="709" w:footer="709" w:gutter="0"/>
          <w:cols w:space="709"/>
          <w:titlePg/>
          <w:docGrid w:linePitch="272"/>
        </w:sectPr>
      </w:pPr>
    </w:p>
    <w:p w:rsidR="00C05CA2" w:rsidRPr="00C903F8" w:rsidRDefault="00C05CA2" w:rsidP="00254134">
      <w:pPr>
        <w:ind w:left="567" w:hanging="567"/>
        <w:rPr>
          <w:sz w:val="12"/>
          <w:lang w:val="en-US"/>
        </w:rPr>
      </w:pPr>
    </w:p>
    <w:p w:rsidR="001E2331" w:rsidRPr="00C903F8" w:rsidRDefault="001E2331" w:rsidP="00C05CA2">
      <w:pPr>
        <w:pStyle w:val="ES-Titre2"/>
        <w:pageBreakBefore w:val="0"/>
      </w:pPr>
      <w:bookmarkStart w:id="300" w:name="_Toc491854283"/>
      <w:r w:rsidRPr="00C903F8">
        <w:t>Chapter 33</w:t>
      </w:r>
      <w:r w:rsidRPr="00C903F8">
        <w:br/>
        <w:t xml:space="preserve">Transitional provisions for craft </w:t>
      </w:r>
      <w:r w:rsidR="00934A8A">
        <w:t xml:space="preserve">operating exclusively on waterways outside the </w:t>
      </w:r>
      <w:r w:rsidR="00176095" w:rsidRPr="00C903F8">
        <w:t>Rhine (</w:t>
      </w:r>
      <w:r w:rsidR="00C20E00" w:rsidRPr="00C903F8">
        <w:t>Z</w:t>
      </w:r>
      <w:r w:rsidRPr="00C903F8">
        <w:t>one R</w:t>
      </w:r>
      <w:r w:rsidR="00176095" w:rsidRPr="00C903F8">
        <w:t>)</w:t>
      </w:r>
      <w:bookmarkEnd w:id="300"/>
    </w:p>
    <w:p w:rsidR="001E2331" w:rsidRPr="00C903F8" w:rsidRDefault="001E2331" w:rsidP="001E2331">
      <w:pPr>
        <w:overflowPunct w:val="0"/>
        <w:adjustRightInd w:val="0"/>
        <w:spacing w:line="240" w:lineRule="exact"/>
        <w:ind w:left="0" w:firstLine="0"/>
        <w:jc w:val="center"/>
        <w:textAlignment w:val="baseline"/>
        <w:rPr>
          <w:rFonts w:eastAsia="Calibri"/>
          <w:b/>
          <w:sz w:val="22"/>
          <w:szCs w:val="22"/>
          <w:lang w:val="en-US" w:eastAsia="en-US"/>
        </w:rPr>
      </w:pPr>
    </w:p>
    <w:p w:rsidR="001E2331" w:rsidRPr="00C903F8" w:rsidRDefault="001E2331" w:rsidP="00C05CA2">
      <w:pPr>
        <w:pStyle w:val="ES-Titre3prchap32"/>
        <w:rPr>
          <w:lang w:val="en-US"/>
        </w:rPr>
      </w:pPr>
      <w:bookmarkStart w:id="301" w:name="_Toc491854284"/>
      <w:r w:rsidRPr="00C903F8">
        <w:rPr>
          <w:lang w:val="en-US"/>
        </w:rPr>
        <w:t>Article 33.01</w:t>
      </w:r>
      <w:bookmarkEnd w:id="301"/>
    </w:p>
    <w:p w:rsidR="001E2331" w:rsidRPr="00934A8A" w:rsidRDefault="00934A8A" w:rsidP="00A455C7">
      <w:pPr>
        <w:pStyle w:val="ES-Titre3a"/>
        <w:rPr>
          <w:noProof/>
          <w:lang w:val="en-US" w:bidi="fr-FR"/>
        </w:rPr>
      </w:pPr>
      <w:bookmarkStart w:id="302" w:name="_Toc421775895"/>
      <w:bookmarkStart w:id="303" w:name="_Toc491854285"/>
      <w:r w:rsidRPr="00934A8A">
        <w:rPr>
          <w:lang w:val="en-US"/>
        </w:rPr>
        <w:t>Applicability of transitional provisions to craft which are already in service</w:t>
      </w:r>
      <w:bookmarkEnd w:id="302"/>
      <w:bookmarkEnd w:id="303"/>
    </w:p>
    <w:p w:rsidR="001E2331" w:rsidRPr="00C903F8" w:rsidRDefault="001E2331" w:rsidP="001E2331">
      <w:pPr>
        <w:spacing w:line="240" w:lineRule="atLeast"/>
        <w:ind w:left="567" w:hanging="567"/>
        <w:rPr>
          <w:noProof/>
          <w:lang w:val="en-US"/>
        </w:rPr>
      </w:pPr>
    </w:p>
    <w:p w:rsidR="00934A8A" w:rsidRPr="00274C66" w:rsidRDefault="00934A8A" w:rsidP="00934A8A">
      <w:pPr>
        <w:spacing w:line="240" w:lineRule="atLeast"/>
        <w:ind w:left="567" w:hanging="567"/>
        <w:rPr>
          <w:noProof/>
          <w:lang w:val="en-US"/>
        </w:rPr>
      </w:pPr>
      <w:r w:rsidRPr="00274C66">
        <w:rPr>
          <w:noProof/>
          <w:lang w:val="en-US"/>
        </w:rPr>
        <w:t>1.</w:t>
      </w:r>
      <w:r w:rsidRPr="00274C66">
        <w:rPr>
          <w:noProof/>
          <w:lang w:val="en-US"/>
        </w:rPr>
        <w:tab/>
        <w:t>The provisions of Article 33.02 to 33.0</w:t>
      </w:r>
      <w:r w:rsidR="00C24D40">
        <w:rPr>
          <w:noProof/>
          <w:lang w:val="en-US"/>
        </w:rPr>
        <w:t>3</w:t>
      </w:r>
      <w:r w:rsidRPr="00274C66">
        <w:rPr>
          <w:noProof/>
          <w:lang w:val="en-US"/>
        </w:rPr>
        <w:t xml:space="preserve"> apply to craft operating exclusively on waterways outside the Rhine (zone R):</w:t>
      </w:r>
    </w:p>
    <w:p w:rsidR="00934A8A" w:rsidRPr="00274C66" w:rsidRDefault="00934A8A" w:rsidP="00934A8A">
      <w:pPr>
        <w:autoSpaceDE/>
        <w:autoSpaceDN/>
        <w:spacing w:before="60" w:line="240" w:lineRule="atLeast"/>
        <w:ind w:left="992"/>
        <w:rPr>
          <w:noProof/>
          <w:lang w:val="en-US" w:bidi="fr-FR"/>
        </w:rPr>
      </w:pPr>
      <w:r w:rsidRPr="00274C66">
        <w:rPr>
          <w:noProof/>
          <w:lang w:val="en-US" w:bidi="fr-FR"/>
        </w:rPr>
        <w:t>a)</w:t>
      </w:r>
      <w:r w:rsidRPr="00274C66">
        <w:rPr>
          <w:noProof/>
          <w:lang w:val="en-US" w:bidi="fr-FR"/>
        </w:rPr>
        <w:tab/>
        <w:t>for which a Community certificate was issued for the first time before 3</w:t>
      </w:r>
      <w:r w:rsidR="002722AA">
        <w:rPr>
          <w:noProof/>
          <w:lang w:val="en-US" w:bidi="fr-FR"/>
        </w:rPr>
        <w:t>0 December 2008,</w:t>
      </w:r>
    </w:p>
    <w:p w:rsidR="00934A8A" w:rsidRPr="00274C66" w:rsidRDefault="00934A8A" w:rsidP="00934A8A">
      <w:pPr>
        <w:autoSpaceDE/>
        <w:autoSpaceDN/>
        <w:spacing w:before="60" w:line="240" w:lineRule="atLeast"/>
        <w:ind w:left="992"/>
        <w:rPr>
          <w:noProof/>
          <w:lang w:val="en-US" w:bidi="fr-FR"/>
        </w:rPr>
      </w:pPr>
      <w:r w:rsidRPr="00274C66">
        <w:rPr>
          <w:noProof/>
          <w:lang w:val="en-US" w:bidi="fr-FR"/>
        </w:rPr>
        <w:t>b)</w:t>
      </w:r>
      <w:r w:rsidRPr="00274C66">
        <w:rPr>
          <w:noProof/>
          <w:lang w:val="en-US" w:bidi="fr-FR"/>
        </w:rPr>
        <w:tab/>
        <w:t>for which another traffic licence was issued before 30 December 2008.</w:t>
      </w:r>
    </w:p>
    <w:p w:rsidR="00934A8A" w:rsidRPr="00274C66" w:rsidRDefault="00934A8A" w:rsidP="00934A8A">
      <w:pPr>
        <w:spacing w:line="240" w:lineRule="atLeast"/>
        <w:ind w:left="567" w:hanging="567"/>
        <w:rPr>
          <w:noProof/>
          <w:lang w:val="en-US"/>
        </w:rPr>
      </w:pPr>
    </w:p>
    <w:p w:rsidR="00934A8A" w:rsidRPr="00274C66" w:rsidRDefault="00934A8A" w:rsidP="00934A8A">
      <w:pPr>
        <w:spacing w:line="240" w:lineRule="atLeast"/>
        <w:ind w:left="567" w:hanging="567"/>
        <w:rPr>
          <w:noProof/>
          <w:lang w:val="en-US"/>
        </w:rPr>
      </w:pPr>
      <w:r w:rsidRPr="00274C66">
        <w:rPr>
          <w:noProof/>
          <w:lang w:val="en-US"/>
        </w:rPr>
        <w:t>2.</w:t>
      </w:r>
      <w:r w:rsidRPr="00274C66">
        <w:rPr>
          <w:noProof/>
          <w:lang w:val="en-US"/>
        </w:rPr>
        <w:tab/>
        <w:t>It must be proved that those craft comply with the technical requirements of Chapters 1 to 12 of Annex II to Directive 82/714/EEC on the date on which the Community certificate or the other traffic licence is issued.</w:t>
      </w:r>
    </w:p>
    <w:p w:rsidR="00934A8A" w:rsidRPr="00274C66" w:rsidRDefault="00934A8A" w:rsidP="00934A8A">
      <w:pPr>
        <w:spacing w:line="240" w:lineRule="atLeast"/>
        <w:ind w:left="567" w:hanging="567"/>
        <w:rPr>
          <w:noProof/>
          <w:lang w:val="en-US"/>
        </w:rPr>
      </w:pPr>
    </w:p>
    <w:p w:rsidR="00934A8A" w:rsidRPr="00274C66" w:rsidRDefault="00934A8A" w:rsidP="00934A8A">
      <w:pPr>
        <w:spacing w:line="240" w:lineRule="atLeast"/>
        <w:ind w:left="567" w:hanging="567"/>
        <w:rPr>
          <w:noProof/>
          <w:lang w:val="en-US"/>
        </w:rPr>
      </w:pPr>
      <w:r w:rsidRPr="00274C66">
        <w:rPr>
          <w:noProof/>
          <w:lang w:val="en-US"/>
        </w:rPr>
        <w:t>3.</w:t>
      </w:r>
      <w:r w:rsidRPr="00274C66">
        <w:rPr>
          <w:noProof/>
          <w:lang w:val="en-US"/>
        </w:rPr>
        <w:tab/>
        <w:t>Community certificates issued before 30 December 2008 remain valid until the date of expiry indicated on the certificate.</w:t>
      </w:r>
    </w:p>
    <w:p w:rsidR="001E2331" w:rsidRPr="00C903F8" w:rsidRDefault="001E2331" w:rsidP="00254134">
      <w:pPr>
        <w:ind w:left="0" w:firstLine="0"/>
        <w:rPr>
          <w:lang w:val="en-US"/>
        </w:rPr>
      </w:pPr>
    </w:p>
    <w:p w:rsidR="002B4577" w:rsidRPr="00C903F8" w:rsidRDefault="002B4577" w:rsidP="00254134">
      <w:pPr>
        <w:ind w:left="0" w:firstLine="0"/>
        <w:rPr>
          <w:lang w:val="en-US"/>
        </w:rPr>
      </w:pPr>
    </w:p>
    <w:p w:rsidR="001E2331" w:rsidRPr="00C903F8" w:rsidRDefault="001E2331" w:rsidP="00A455C7">
      <w:pPr>
        <w:pStyle w:val="ES-Titre3"/>
        <w:rPr>
          <w:noProof/>
          <w:lang w:val="en-US" w:bidi="fr-FR"/>
        </w:rPr>
      </w:pPr>
      <w:bookmarkStart w:id="304" w:name="_Toc491854286"/>
      <w:r w:rsidRPr="00C903F8">
        <w:rPr>
          <w:noProof/>
          <w:lang w:val="en-US" w:bidi="fr-FR"/>
        </w:rPr>
        <w:t>Article 33.02</w:t>
      </w:r>
      <w:bookmarkEnd w:id="304"/>
    </w:p>
    <w:p w:rsidR="001E2331" w:rsidRPr="00934A8A" w:rsidRDefault="00934A8A" w:rsidP="00A455C7">
      <w:pPr>
        <w:pStyle w:val="ES-Titre3a"/>
        <w:rPr>
          <w:noProof/>
          <w:lang w:val="en-US" w:bidi="fr-FR"/>
        </w:rPr>
      </w:pPr>
      <w:bookmarkStart w:id="305" w:name="_Toc421775897"/>
      <w:bookmarkStart w:id="306" w:name="_Toc491854287"/>
      <w:r w:rsidRPr="00934A8A">
        <w:rPr>
          <w:lang w:val="en-US"/>
        </w:rPr>
        <w:t>Transitional provisions for craft which are already in service</w:t>
      </w:r>
      <w:bookmarkEnd w:id="305"/>
      <w:bookmarkEnd w:id="306"/>
    </w:p>
    <w:p w:rsidR="001E2331" w:rsidRPr="00C903F8" w:rsidRDefault="001E2331" w:rsidP="001E2331">
      <w:pPr>
        <w:rPr>
          <w:lang w:val="en-US" w:bidi="fr-FR"/>
        </w:rPr>
      </w:pPr>
    </w:p>
    <w:p w:rsidR="00934A8A" w:rsidRPr="00934A8A" w:rsidRDefault="00934A8A" w:rsidP="00934A8A">
      <w:pPr>
        <w:spacing w:line="240" w:lineRule="atLeast"/>
        <w:ind w:left="567" w:hanging="567"/>
        <w:rPr>
          <w:b/>
          <w:lang w:val="en-US"/>
        </w:rPr>
      </w:pPr>
      <w:r w:rsidRPr="00934A8A">
        <w:rPr>
          <w:lang w:val="en-US"/>
        </w:rPr>
        <w:t>1.</w:t>
      </w:r>
      <w:r w:rsidRPr="00934A8A">
        <w:rPr>
          <w:lang w:val="en-US"/>
        </w:rPr>
        <w:tab/>
        <w:t>Craft that do not fully comply with the requirements of this Standard shall:</w:t>
      </w:r>
    </w:p>
    <w:p w:rsidR="00934A8A" w:rsidRPr="00934A8A" w:rsidRDefault="00934A8A" w:rsidP="00934A8A">
      <w:pPr>
        <w:spacing w:before="60" w:line="240" w:lineRule="atLeast"/>
        <w:ind w:left="992"/>
        <w:rPr>
          <w:lang w:val="en-US"/>
        </w:rPr>
      </w:pPr>
      <w:r w:rsidRPr="00934A8A">
        <w:rPr>
          <w:lang w:val="en-US"/>
        </w:rPr>
        <w:t>a)</w:t>
      </w:r>
      <w:r w:rsidRPr="00934A8A">
        <w:rPr>
          <w:lang w:val="en-US"/>
        </w:rPr>
        <w:tab/>
        <w:t>be adapted to comply with those provisions in accordance with the transitional provisions listed in the table below, and</w:t>
      </w:r>
    </w:p>
    <w:p w:rsidR="00934A8A" w:rsidRPr="00934A8A" w:rsidRDefault="00934A8A" w:rsidP="00934A8A">
      <w:pPr>
        <w:spacing w:before="60" w:line="240" w:lineRule="atLeast"/>
        <w:ind w:left="992"/>
        <w:rPr>
          <w:lang w:val="en-US"/>
        </w:rPr>
      </w:pPr>
      <w:r w:rsidRPr="00934A8A">
        <w:rPr>
          <w:lang w:val="en-US"/>
        </w:rPr>
        <w:t>b)</w:t>
      </w:r>
      <w:r w:rsidRPr="00934A8A">
        <w:rPr>
          <w:lang w:val="en-US"/>
        </w:rPr>
        <w:tab/>
        <w:t>until their adaptation, comply with the requirements of Chapters 1 to 12 of Annex II to Directive 82/714/EEC.</w:t>
      </w:r>
    </w:p>
    <w:p w:rsidR="001E2331" w:rsidRDefault="001E2331" w:rsidP="001E2331">
      <w:pPr>
        <w:spacing w:line="240" w:lineRule="atLeast"/>
        <w:ind w:left="567" w:hanging="567"/>
        <w:rPr>
          <w:rFonts w:cs="Arial"/>
          <w:sz w:val="18"/>
          <w:szCs w:val="18"/>
          <w:lang w:val="en-US"/>
        </w:rPr>
      </w:pPr>
    </w:p>
    <w:p w:rsidR="00934A8A" w:rsidRPr="00274C66" w:rsidRDefault="00934A8A" w:rsidP="00934A8A">
      <w:pPr>
        <w:spacing w:line="240" w:lineRule="atLeast"/>
        <w:ind w:left="567" w:firstLine="0"/>
        <w:rPr>
          <w:noProof/>
          <w:lang w:val="en-US"/>
        </w:rPr>
      </w:pPr>
      <w:r w:rsidRPr="00274C66">
        <w:rPr>
          <w:noProof/>
          <w:lang w:val="en-US"/>
        </w:rPr>
        <w:t>In the event of a new inland navigation vessel certificate being issued as defined in Article 33.01 (1), the Community certificate or the other traffic licence shall be submitted as corroboration, the Community certificate or the other traffic licence shall be withdrawn and the date the Community certificate or the other traffic licence was issued shall be entered in item 52 of the new inland navigation vessel certificate as follows:</w:t>
      </w:r>
    </w:p>
    <w:p w:rsidR="00934A8A" w:rsidRPr="00274C66" w:rsidRDefault="00934A8A" w:rsidP="00934A8A">
      <w:pPr>
        <w:spacing w:before="60" w:line="240" w:lineRule="atLeast"/>
        <w:ind w:left="567" w:firstLine="0"/>
        <w:jc w:val="center"/>
        <w:rPr>
          <w:noProof/>
          <w:lang w:val="en-US"/>
        </w:rPr>
      </w:pPr>
      <w:r w:rsidRPr="00274C66">
        <w:rPr>
          <w:noProof/>
          <w:lang w:val="en-US"/>
        </w:rPr>
        <w:t>“A Community certificate according to Directive 82/714/EEC was issued …”</w:t>
      </w:r>
    </w:p>
    <w:p w:rsidR="00934A8A" w:rsidRPr="00274C66" w:rsidRDefault="00934A8A" w:rsidP="00934A8A">
      <w:pPr>
        <w:spacing w:line="240" w:lineRule="atLeast"/>
        <w:ind w:left="567" w:firstLine="0"/>
        <w:jc w:val="center"/>
        <w:rPr>
          <w:noProof/>
          <w:lang w:val="en-US"/>
        </w:rPr>
      </w:pPr>
      <w:r w:rsidRPr="00274C66">
        <w:rPr>
          <w:noProof/>
          <w:lang w:val="en-US"/>
        </w:rPr>
        <w:t>/</w:t>
      </w:r>
    </w:p>
    <w:p w:rsidR="00934A8A" w:rsidRPr="00274C66" w:rsidRDefault="00934A8A" w:rsidP="00934A8A">
      <w:pPr>
        <w:spacing w:line="240" w:lineRule="atLeast"/>
        <w:ind w:left="567" w:firstLine="0"/>
        <w:jc w:val="center"/>
        <w:rPr>
          <w:noProof/>
          <w:lang w:val="en-US"/>
        </w:rPr>
      </w:pPr>
      <w:r w:rsidRPr="00274C66">
        <w:rPr>
          <w:noProof/>
          <w:lang w:val="en-US"/>
        </w:rPr>
        <w:t>“A traffic licence according to ... was issued on: …”</w:t>
      </w:r>
    </w:p>
    <w:p w:rsidR="00934A8A" w:rsidRDefault="00934A8A" w:rsidP="001E2331">
      <w:pPr>
        <w:spacing w:line="240" w:lineRule="atLeast"/>
        <w:ind w:left="567" w:hanging="567"/>
        <w:rPr>
          <w:rFonts w:cs="Arial"/>
          <w:sz w:val="18"/>
          <w:szCs w:val="18"/>
          <w:lang w:val="en-US"/>
        </w:rPr>
      </w:pPr>
    </w:p>
    <w:p w:rsidR="00934A8A" w:rsidRDefault="00934A8A">
      <w:pPr>
        <w:autoSpaceDE/>
        <w:autoSpaceDN/>
        <w:ind w:left="0" w:firstLine="0"/>
        <w:jc w:val="left"/>
        <w:rPr>
          <w:rFonts w:cs="Arial"/>
          <w:sz w:val="18"/>
          <w:szCs w:val="18"/>
          <w:lang w:val="en-US"/>
        </w:rPr>
      </w:pPr>
      <w:r>
        <w:rPr>
          <w:rFonts w:cs="Arial"/>
          <w:sz w:val="18"/>
          <w:szCs w:val="18"/>
          <w:lang w:val="en-US"/>
        </w:rPr>
        <w:br w:type="page"/>
      </w:r>
    </w:p>
    <w:p w:rsidR="00934A8A" w:rsidRDefault="00934A8A" w:rsidP="001E2331">
      <w:pPr>
        <w:spacing w:line="240" w:lineRule="atLeast"/>
        <w:ind w:left="567" w:hanging="567"/>
        <w:rPr>
          <w:rFonts w:cs="Arial"/>
          <w:sz w:val="18"/>
          <w:szCs w:val="18"/>
          <w:lang w:val="en-US"/>
        </w:rPr>
      </w:pPr>
    </w:p>
    <w:p w:rsidR="00934A8A" w:rsidRPr="00934A8A" w:rsidRDefault="00934A8A" w:rsidP="00934A8A">
      <w:pPr>
        <w:spacing w:line="240" w:lineRule="atLeast"/>
        <w:ind w:left="567" w:hanging="567"/>
        <w:rPr>
          <w:lang w:val="en-US"/>
        </w:rPr>
      </w:pPr>
      <w:r w:rsidRPr="00934A8A">
        <w:rPr>
          <w:lang w:val="en-US"/>
        </w:rPr>
        <w:t>2.</w:t>
      </w:r>
      <w:r w:rsidRPr="00934A8A">
        <w:rPr>
          <w:lang w:val="en-US"/>
        </w:rPr>
        <w:tab/>
        <w:t>The following definitions apply in the table below:</w:t>
      </w:r>
    </w:p>
    <w:p w:rsidR="00934A8A" w:rsidRPr="00934A8A" w:rsidRDefault="00934A8A" w:rsidP="00934A8A">
      <w:pPr>
        <w:spacing w:line="240" w:lineRule="atLeast"/>
        <w:ind w:left="567" w:hanging="567"/>
        <w:rPr>
          <w:lang w:val="en-US"/>
        </w:rPr>
      </w:pPr>
    </w:p>
    <w:p w:rsidR="00934A8A" w:rsidRPr="00934A8A" w:rsidRDefault="00934A8A" w:rsidP="00934A8A">
      <w:pPr>
        <w:spacing w:line="240" w:lineRule="atLeast"/>
        <w:ind w:left="567" w:firstLine="0"/>
        <w:rPr>
          <w:lang w:val="en-US"/>
        </w:rPr>
      </w:pPr>
      <w:r w:rsidRPr="00934A8A">
        <w:rPr>
          <w:lang w:val="en-US"/>
        </w:rPr>
        <w:t>‘</w:t>
      </w:r>
      <w:r w:rsidR="008761D9">
        <w:rPr>
          <w:lang w:val="en-US"/>
        </w:rPr>
        <w:t>N.R.C.</w:t>
      </w:r>
      <w:r w:rsidRPr="00934A8A">
        <w:rPr>
          <w:lang w:val="en-US"/>
        </w:rPr>
        <w:t xml:space="preserve">’: the provision does not apply to craft which are already operating, unless the parts concerned are replaced or converted, i.e. the provision applies only to </w:t>
      </w:r>
      <w:r w:rsidRPr="00934A8A">
        <w:rPr>
          <w:u w:val="single"/>
          <w:lang w:val="en-US"/>
        </w:rPr>
        <w:t>N</w:t>
      </w:r>
      <w:r w:rsidRPr="00934A8A">
        <w:rPr>
          <w:lang w:val="en-US"/>
        </w:rPr>
        <w:t xml:space="preserve">ewly-built craft and to the </w:t>
      </w:r>
      <w:r w:rsidRPr="00934A8A">
        <w:rPr>
          <w:u w:val="single"/>
          <w:lang w:val="en-US"/>
        </w:rPr>
        <w:t>R</w:t>
      </w:r>
      <w:r w:rsidRPr="00934A8A">
        <w:rPr>
          <w:lang w:val="en-US"/>
        </w:rPr>
        <w:t xml:space="preserve">eplacement or </w:t>
      </w:r>
      <w:r w:rsidRPr="00934A8A">
        <w:rPr>
          <w:u w:val="single"/>
          <w:lang w:val="en-US"/>
        </w:rPr>
        <w:t>C</w:t>
      </w:r>
      <w:r w:rsidRPr="00934A8A">
        <w:rPr>
          <w:lang w:val="en-US"/>
        </w:rPr>
        <w:t xml:space="preserve">onversion of the parts or areas concerned. If existing parts are replaced by replacement parts using the same technology and of the same type, this does not constitute replacement ‘R’ within the meaning of the transitional provisions. </w:t>
      </w:r>
    </w:p>
    <w:p w:rsidR="00934A8A" w:rsidRPr="00934A8A" w:rsidRDefault="00934A8A" w:rsidP="00934A8A">
      <w:pPr>
        <w:spacing w:line="240" w:lineRule="atLeast"/>
        <w:ind w:left="567" w:firstLine="0"/>
        <w:rPr>
          <w:lang w:val="en-US"/>
        </w:rPr>
      </w:pPr>
    </w:p>
    <w:p w:rsidR="00934A8A" w:rsidRPr="00934A8A" w:rsidRDefault="00934A8A" w:rsidP="00934A8A">
      <w:pPr>
        <w:tabs>
          <w:tab w:val="left" w:pos="4678"/>
        </w:tabs>
        <w:spacing w:line="240" w:lineRule="atLeast"/>
        <w:ind w:left="567" w:firstLine="0"/>
        <w:rPr>
          <w:lang w:val="en-US"/>
        </w:rPr>
      </w:pPr>
      <w:r w:rsidRPr="00934A8A">
        <w:rPr>
          <w:spacing w:val="-4"/>
          <w:lang w:val="en-US"/>
        </w:rPr>
        <w:t xml:space="preserve">‘Issue or </w:t>
      </w:r>
      <w:r w:rsidRPr="00934A8A">
        <w:rPr>
          <w:lang w:val="en-US"/>
        </w:rPr>
        <w:t>renewal of the inland navigation vessel certificate’: the provision must be complied with the time of the next issue or renewal of the inland navigation vessel certificate after the date indicated.</w:t>
      </w:r>
    </w:p>
    <w:p w:rsidR="00934A8A" w:rsidRDefault="00934A8A" w:rsidP="001E2331">
      <w:pPr>
        <w:spacing w:line="240" w:lineRule="atLeast"/>
        <w:ind w:left="567" w:hanging="567"/>
        <w:rPr>
          <w:rFonts w:cs="Arial"/>
          <w:sz w:val="18"/>
          <w:szCs w:val="18"/>
          <w:lang w:val="en-US"/>
        </w:rPr>
      </w:pPr>
    </w:p>
    <w:p w:rsidR="00934A8A" w:rsidRPr="00C903F8" w:rsidRDefault="00934A8A" w:rsidP="001E2331">
      <w:pPr>
        <w:spacing w:line="240" w:lineRule="atLeast"/>
        <w:ind w:left="567" w:hanging="567"/>
        <w:rPr>
          <w:rFonts w:cs="Arial"/>
          <w:sz w:val="18"/>
          <w:szCs w:val="18"/>
          <w:lang w:val="en-US"/>
        </w:rPr>
      </w:pPr>
    </w:p>
    <w:p w:rsidR="001E2331" w:rsidRPr="00C903F8" w:rsidRDefault="001E2331" w:rsidP="001E2331">
      <w:pPr>
        <w:spacing w:line="240" w:lineRule="atLeast"/>
        <w:ind w:left="567" w:firstLine="0"/>
        <w:rPr>
          <w:b/>
          <w:lang w:val="en-US"/>
        </w:rPr>
      </w:pPr>
    </w:p>
    <w:p w:rsidR="001E2331" w:rsidRPr="00C903F8" w:rsidRDefault="001E2331" w:rsidP="001E2331">
      <w:pPr>
        <w:spacing w:line="240" w:lineRule="atLeast"/>
        <w:ind w:left="567" w:firstLine="0"/>
        <w:rPr>
          <w:lang w:val="en-US"/>
        </w:rPr>
        <w:sectPr w:rsidR="001E2331" w:rsidRPr="00C903F8" w:rsidSect="001E2331">
          <w:headerReference w:type="default" r:id="rId32"/>
          <w:headerReference w:type="first" r:id="rId33"/>
          <w:footnotePr>
            <w:numRestart w:val="eachPage"/>
          </w:footnotePr>
          <w:pgSz w:w="16838" w:h="11906" w:orient="landscape" w:code="9"/>
          <w:pgMar w:top="1418" w:right="1418" w:bottom="1418" w:left="1418" w:header="709" w:footer="709" w:gutter="0"/>
          <w:cols w:space="709"/>
          <w:titlePg/>
          <w:docGrid w:linePitch="272"/>
        </w:sectPr>
      </w:pPr>
    </w:p>
    <w:p w:rsidR="002B4577" w:rsidRPr="00C903F8" w:rsidRDefault="002B4577">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6521"/>
        <w:gridCol w:w="1276"/>
      </w:tblGrid>
      <w:tr w:rsidR="001964F8" w:rsidRPr="00C903F8" w:rsidTr="001964F8">
        <w:trPr>
          <w:cantSplit/>
          <w:tblHeader/>
          <w:jc w:val="center"/>
        </w:trPr>
        <w:tc>
          <w:tcPr>
            <w:tcW w:w="2800" w:type="dxa"/>
            <w:gridSpan w:val="2"/>
            <w:shd w:val="clear" w:color="auto" w:fill="auto"/>
          </w:tcPr>
          <w:p w:rsidR="001964F8" w:rsidRPr="00C903F8" w:rsidRDefault="001964F8" w:rsidP="00A8005B">
            <w:pPr>
              <w:spacing w:before="60" w:after="60" w:line="240" w:lineRule="atLeast"/>
              <w:ind w:left="0" w:firstLine="0"/>
              <w:jc w:val="center"/>
              <w:rPr>
                <w:rFonts w:cs="Arial"/>
                <w:sz w:val="18"/>
                <w:szCs w:val="18"/>
              </w:rPr>
            </w:pPr>
            <w:r w:rsidRPr="00C903F8">
              <w:rPr>
                <w:rFonts w:cs="Arial"/>
                <w:i/>
                <w:sz w:val="18"/>
                <w:szCs w:val="18"/>
              </w:rPr>
              <w:t>Article and paragraph</w:t>
            </w:r>
          </w:p>
        </w:tc>
        <w:tc>
          <w:tcPr>
            <w:tcW w:w="3296" w:type="dxa"/>
            <w:shd w:val="clear" w:color="auto" w:fill="auto"/>
          </w:tcPr>
          <w:p w:rsidR="001964F8" w:rsidRPr="00C903F8" w:rsidRDefault="001964F8" w:rsidP="00A8005B">
            <w:pPr>
              <w:spacing w:before="60" w:after="60" w:line="240" w:lineRule="atLeast"/>
              <w:ind w:left="0" w:firstLine="0"/>
              <w:jc w:val="center"/>
              <w:rPr>
                <w:rFonts w:cs="Arial"/>
                <w:sz w:val="18"/>
                <w:szCs w:val="18"/>
              </w:rPr>
            </w:pPr>
            <w:r w:rsidRPr="00C903F8">
              <w:rPr>
                <w:rFonts w:cs="Arial"/>
                <w:i/>
                <w:sz w:val="18"/>
                <w:szCs w:val="18"/>
              </w:rPr>
              <w:t>Content</w:t>
            </w:r>
          </w:p>
        </w:tc>
        <w:tc>
          <w:tcPr>
            <w:tcW w:w="7797" w:type="dxa"/>
            <w:gridSpan w:val="2"/>
            <w:shd w:val="clear" w:color="auto" w:fill="auto"/>
          </w:tcPr>
          <w:p w:rsidR="001964F8" w:rsidRPr="00C903F8" w:rsidRDefault="001964F8" w:rsidP="00A8005B">
            <w:pPr>
              <w:spacing w:before="60" w:after="60" w:line="240" w:lineRule="atLeast"/>
              <w:ind w:left="0" w:firstLine="0"/>
              <w:jc w:val="center"/>
              <w:rPr>
                <w:rFonts w:cs="Arial"/>
                <w:sz w:val="18"/>
                <w:szCs w:val="18"/>
              </w:rPr>
            </w:pPr>
            <w:r w:rsidRPr="00C903F8">
              <w:rPr>
                <w:rFonts w:cs="Arial"/>
                <w:i/>
                <w:sz w:val="18"/>
                <w:szCs w:val="18"/>
              </w:rPr>
              <w:t>Deadline and comments</w:t>
            </w:r>
          </w:p>
        </w:tc>
      </w:tr>
      <w:tr w:rsidR="001964F8" w:rsidRPr="00C903F8" w:rsidTr="001964F8">
        <w:trPr>
          <w:cantSplit/>
          <w:jc w:val="center"/>
        </w:trPr>
        <w:tc>
          <w:tcPr>
            <w:tcW w:w="6096" w:type="dxa"/>
            <w:gridSpan w:val="3"/>
            <w:shd w:val="clear" w:color="auto" w:fill="auto"/>
          </w:tcPr>
          <w:p w:rsidR="001964F8" w:rsidRPr="00C903F8" w:rsidRDefault="001964F8" w:rsidP="008C77AD">
            <w:pPr>
              <w:spacing w:before="120" w:after="120" w:line="240" w:lineRule="atLeast"/>
              <w:ind w:left="0" w:firstLine="0"/>
              <w:jc w:val="center"/>
              <w:rPr>
                <w:rFonts w:cs="Arial"/>
                <w:b/>
                <w:sz w:val="18"/>
                <w:szCs w:val="18"/>
              </w:rPr>
            </w:pPr>
            <w:r w:rsidRPr="00C903F8">
              <w:rPr>
                <w:rFonts w:cs="Arial"/>
                <w:b/>
                <w:sz w:val="18"/>
                <w:szCs w:val="18"/>
              </w:rPr>
              <w:t>CHAPTER 3</w:t>
            </w:r>
          </w:p>
        </w:tc>
        <w:tc>
          <w:tcPr>
            <w:tcW w:w="6521" w:type="dxa"/>
            <w:shd w:val="clear" w:color="auto" w:fill="auto"/>
          </w:tcPr>
          <w:p w:rsidR="001964F8" w:rsidRPr="00C903F8" w:rsidRDefault="001964F8" w:rsidP="008C77AD">
            <w:pPr>
              <w:spacing w:before="120" w:after="120" w:line="240" w:lineRule="atLeast"/>
              <w:ind w:left="0" w:firstLine="0"/>
              <w:rPr>
                <w:rFonts w:cs="Arial"/>
                <w:sz w:val="18"/>
                <w:szCs w:val="18"/>
              </w:rPr>
            </w:pPr>
          </w:p>
        </w:tc>
        <w:tc>
          <w:tcPr>
            <w:tcW w:w="1276" w:type="dxa"/>
            <w:shd w:val="clear" w:color="auto" w:fill="auto"/>
          </w:tcPr>
          <w:p w:rsidR="001964F8" w:rsidRPr="00C903F8" w:rsidRDefault="001964F8" w:rsidP="008C77AD">
            <w:pPr>
              <w:spacing w:before="120" w:after="120" w:line="240" w:lineRule="atLeast"/>
              <w:ind w:left="0" w:firstLine="0"/>
              <w:rPr>
                <w:rFonts w:cs="Arial"/>
                <w:sz w:val="18"/>
                <w:szCs w:val="18"/>
              </w:rPr>
            </w:pPr>
          </w:p>
        </w:tc>
      </w:tr>
      <w:tr w:rsidR="001964F8" w:rsidRPr="00C903F8" w:rsidTr="001964F8">
        <w:trPr>
          <w:cantSplit/>
          <w:jc w:val="center"/>
        </w:trPr>
        <w:tc>
          <w:tcPr>
            <w:tcW w:w="1342" w:type="dxa"/>
            <w:vMerge w:val="restart"/>
            <w:shd w:val="clear" w:color="auto" w:fill="auto"/>
          </w:tcPr>
          <w:p w:rsidR="001964F8" w:rsidRPr="00C903F8" w:rsidRDefault="001964F8" w:rsidP="008C77AD">
            <w:pPr>
              <w:spacing w:before="120" w:after="120" w:line="240" w:lineRule="atLeast"/>
              <w:ind w:left="0" w:firstLine="0"/>
              <w:rPr>
                <w:rFonts w:cs="Arial"/>
                <w:sz w:val="18"/>
                <w:szCs w:val="18"/>
              </w:rPr>
            </w:pPr>
            <w:r w:rsidRPr="00C903F8">
              <w:rPr>
                <w:rFonts w:cs="Arial"/>
                <w:sz w:val="18"/>
                <w:szCs w:val="18"/>
              </w:rPr>
              <w:t>3.03</w:t>
            </w:r>
          </w:p>
        </w:tc>
        <w:tc>
          <w:tcPr>
            <w:tcW w:w="1458" w:type="dxa"/>
            <w:shd w:val="clear" w:color="auto" w:fill="auto"/>
          </w:tcPr>
          <w:p w:rsidR="001964F8" w:rsidRPr="00C903F8" w:rsidRDefault="001964F8" w:rsidP="008C77AD">
            <w:pPr>
              <w:spacing w:before="120" w:after="120" w:line="240" w:lineRule="atLeast"/>
              <w:ind w:left="0" w:firstLine="0"/>
              <w:rPr>
                <w:rFonts w:cs="Arial"/>
                <w:sz w:val="18"/>
                <w:szCs w:val="18"/>
              </w:rPr>
            </w:pPr>
            <w:r w:rsidRPr="00C903F8">
              <w:rPr>
                <w:rFonts w:cs="Arial"/>
                <w:sz w:val="18"/>
                <w:szCs w:val="18"/>
              </w:rPr>
              <w:t>(1)</w:t>
            </w:r>
            <w:r w:rsidR="009C40EF">
              <w:rPr>
                <w:rFonts w:cs="Arial"/>
                <w:sz w:val="18"/>
                <w:szCs w:val="18"/>
              </w:rPr>
              <w:t>(</w:t>
            </w:r>
            <w:r w:rsidR="005C7859" w:rsidRPr="00C903F8">
              <w:rPr>
                <w:rFonts w:cs="Arial"/>
                <w:sz w:val="18"/>
                <w:szCs w:val="18"/>
              </w:rPr>
              <w:t>a)</w:t>
            </w:r>
          </w:p>
        </w:tc>
        <w:tc>
          <w:tcPr>
            <w:tcW w:w="3296" w:type="dxa"/>
            <w:shd w:val="clear" w:color="auto" w:fill="auto"/>
          </w:tcPr>
          <w:p w:rsidR="001964F8" w:rsidRPr="00C903F8" w:rsidRDefault="001964F8" w:rsidP="008C77AD">
            <w:pPr>
              <w:spacing w:before="120" w:after="120" w:line="240" w:lineRule="atLeast"/>
              <w:ind w:left="0" w:firstLine="0"/>
              <w:rPr>
                <w:rFonts w:cs="Arial"/>
                <w:sz w:val="18"/>
                <w:szCs w:val="18"/>
              </w:rPr>
            </w:pPr>
            <w:r w:rsidRPr="00C903F8">
              <w:rPr>
                <w:rFonts w:cs="Arial"/>
                <w:sz w:val="18"/>
                <w:szCs w:val="18"/>
              </w:rPr>
              <w:t>Situation of collision bulkhead</w:t>
            </w:r>
          </w:p>
        </w:tc>
        <w:tc>
          <w:tcPr>
            <w:tcW w:w="6521" w:type="dxa"/>
            <w:shd w:val="clear" w:color="auto" w:fill="auto"/>
          </w:tcPr>
          <w:p w:rsidR="001964F8" w:rsidRPr="00C903F8" w:rsidRDefault="008761D9" w:rsidP="008C77AD">
            <w:pPr>
              <w:spacing w:before="120" w:after="120" w:line="240" w:lineRule="atLeast"/>
              <w:ind w:left="0" w:firstLine="0"/>
              <w:rPr>
                <w:rFonts w:cs="Arial"/>
                <w:sz w:val="18"/>
                <w:szCs w:val="18"/>
                <w:lang w:val="en-US"/>
              </w:rPr>
            </w:pPr>
            <w:r>
              <w:rPr>
                <w:rFonts w:cs="Arial"/>
                <w:sz w:val="18"/>
                <w:szCs w:val="18"/>
                <w:lang w:val="en-US"/>
              </w:rPr>
              <w:t>N.R.C.</w:t>
            </w:r>
            <w:r w:rsidR="001964F8" w:rsidRPr="00C903F8">
              <w:rPr>
                <w:rFonts w:cs="Arial"/>
                <w:sz w:val="18"/>
                <w:szCs w:val="18"/>
                <w:lang w:val="en-US"/>
              </w:rPr>
              <w:t xml:space="preserve">, at the latest on renewal of the inland navigation vessel certificate after </w:t>
            </w:r>
          </w:p>
        </w:tc>
        <w:tc>
          <w:tcPr>
            <w:tcW w:w="1276" w:type="dxa"/>
            <w:shd w:val="clear" w:color="auto" w:fill="auto"/>
          </w:tcPr>
          <w:p w:rsidR="001964F8" w:rsidRPr="00C903F8" w:rsidRDefault="001964F8" w:rsidP="008C77AD">
            <w:pPr>
              <w:spacing w:before="120" w:after="120" w:line="240" w:lineRule="atLeast"/>
              <w:ind w:left="0" w:firstLine="0"/>
              <w:rPr>
                <w:rFonts w:cs="Arial"/>
                <w:sz w:val="18"/>
                <w:szCs w:val="18"/>
              </w:rPr>
            </w:pPr>
            <w:r w:rsidRPr="00C903F8">
              <w:rPr>
                <w:rFonts w:cs="Arial"/>
                <w:sz w:val="18"/>
                <w:szCs w:val="18"/>
              </w:rPr>
              <w:t>30.12.2049</w:t>
            </w:r>
          </w:p>
        </w:tc>
      </w:tr>
      <w:tr w:rsidR="001964F8" w:rsidRPr="00C903F8" w:rsidTr="001964F8">
        <w:trPr>
          <w:cantSplit/>
          <w:jc w:val="center"/>
        </w:trPr>
        <w:tc>
          <w:tcPr>
            <w:tcW w:w="1342" w:type="dxa"/>
            <w:vMerge/>
            <w:shd w:val="clear" w:color="auto" w:fill="auto"/>
          </w:tcPr>
          <w:p w:rsidR="001964F8" w:rsidRPr="00C903F8" w:rsidRDefault="001964F8" w:rsidP="008C77AD">
            <w:pPr>
              <w:spacing w:before="120" w:after="120" w:line="240" w:lineRule="atLeast"/>
              <w:ind w:left="0" w:firstLine="0"/>
              <w:rPr>
                <w:rFonts w:cs="Arial"/>
                <w:sz w:val="18"/>
                <w:szCs w:val="18"/>
              </w:rPr>
            </w:pPr>
          </w:p>
        </w:tc>
        <w:tc>
          <w:tcPr>
            <w:tcW w:w="1458" w:type="dxa"/>
            <w:shd w:val="clear" w:color="auto" w:fill="auto"/>
          </w:tcPr>
          <w:p w:rsidR="001964F8" w:rsidRPr="00C903F8" w:rsidRDefault="001964F8" w:rsidP="008C77AD">
            <w:pPr>
              <w:spacing w:before="120" w:after="120" w:line="240" w:lineRule="atLeast"/>
              <w:ind w:left="0" w:firstLine="0"/>
              <w:rPr>
                <w:rFonts w:cs="Arial"/>
                <w:sz w:val="18"/>
                <w:szCs w:val="18"/>
              </w:rPr>
            </w:pPr>
            <w:r w:rsidRPr="00C903F8">
              <w:rPr>
                <w:rFonts w:cs="Arial"/>
                <w:sz w:val="18"/>
                <w:szCs w:val="18"/>
              </w:rPr>
              <w:t>(1)</w:t>
            </w:r>
            <w:r w:rsidR="009C40EF">
              <w:rPr>
                <w:rFonts w:cs="Arial"/>
                <w:sz w:val="18"/>
                <w:szCs w:val="18"/>
              </w:rPr>
              <w:t>(</w:t>
            </w:r>
            <w:r w:rsidR="005C7859" w:rsidRPr="00C903F8">
              <w:rPr>
                <w:rFonts w:cs="Arial"/>
                <w:sz w:val="18"/>
                <w:szCs w:val="18"/>
              </w:rPr>
              <w:t>b)</w:t>
            </w:r>
          </w:p>
        </w:tc>
        <w:tc>
          <w:tcPr>
            <w:tcW w:w="3296" w:type="dxa"/>
            <w:shd w:val="clear" w:color="auto" w:fill="auto"/>
          </w:tcPr>
          <w:p w:rsidR="001964F8" w:rsidRPr="00C903F8" w:rsidRDefault="001964F8" w:rsidP="008C77AD">
            <w:pPr>
              <w:spacing w:before="120" w:after="120" w:line="240" w:lineRule="atLeast"/>
              <w:ind w:left="0" w:firstLine="0"/>
              <w:rPr>
                <w:rFonts w:cs="Arial"/>
                <w:sz w:val="18"/>
                <w:szCs w:val="18"/>
                <w:lang w:val="en-US"/>
              </w:rPr>
            </w:pPr>
            <w:r w:rsidRPr="00C903F8">
              <w:rPr>
                <w:rFonts w:cs="Arial"/>
                <w:sz w:val="18"/>
                <w:szCs w:val="18"/>
                <w:lang w:val="en-US"/>
              </w:rPr>
              <w:t>Situation of aft-peak bulkhead</w:t>
            </w:r>
          </w:p>
        </w:tc>
        <w:tc>
          <w:tcPr>
            <w:tcW w:w="6521" w:type="dxa"/>
            <w:shd w:val="clear" w:color="auto" w:fill="auto"/>
          </w:tcPr>
          <w:p w:rsidR="001964F8" w:rsidRPr="00C903F8" w:rsidRDefault="008761D9" w:rsidP="008C77AD">
            <w:pPr>
              <w:spacing w:before="120" w:after="120" w:line="240" w:lineRule="atLeast"/>
              <w:ind w:left="0" w:firstLine="0"/>
              <w:rPr>
                <w:rFonts w:cs="Arial"/>
                <w:sz w:val="18"/>
                <w:szCs w:val="18"/>
                <w:lang w:val="en-US"/>
              </w:rPr>
            </w:pPr>
            <w:r>
              <w:rPr>
                <w:rFonts w:cs="Arial"/>
                <w:sz w:val="18"/>
                <w:szCs w:val="18"/>
                <w:lang w:val="en-US"/>
              </w:rPr>
              <w:t>N.R.C.</w:t>
            </w:r>
            <w:r w:rsidR="001964F8" w:rsidRPr="00C903F8">
              <w:rPr>
                <w:rFonts w:cs="Arial"/>
                <w:sz w:val="18"/>
                <w:szCs w:val="18"/>
                <w:lang w:val="en-US"/>
              </w:rPr>
              <w:t xml:space="preserve">, at the latest on renewal of the inland navigation vessel certificate after </w:t>
            </w:r>
          </w:p>
        </w:tc>
        <w:tc>
          <w:tcPr>
            <w:tcW w:w="1276" w:type="dxa"/>
            <w:shd w:val="clear" w:color="auto" w:fill="auto"/>
          </w:tcPr>
          <w:p w:rsidR="001964F8" w:rsidRPr="00C903F8" w:rsidRDefault="001964F8" w:rsidP="008C77AD">
            <w:pPr>
              <w:spacing w:before="120" w:after="12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vMerge/>
            <w:shd w:val="clear" w:color="auto" w:fill="auto"/>
          </w:tcPr>
          <w:p w:rsidR="004D56BE" w:rsidRPr="00C903F8" w:rsidRDefault="004D56BE" w:rsidP="008C77AD">
            <w:pPr>
              <w:spacing w:before="120" w:after="120" w:line="240" w:lineRule="atLeast"/>
              <w:ind w:left="0" w:firstLine="0"/>
              <w:rPr>
                <w:rFonts w:cs="Arial"/>
                <w:sz w:val="18"/>
                <w:szCs w:val="18"/>
                <w:lang w:val="en-US"/>
              </w:rPr>
            </w:pPr>
          </w:p>
        </w:tc>
        <w:tc>
          <w:tcPr>
            <w:tcW w:w="1458" w:type="dxa"/>
            <w:vMerge w:val="restart"/>
            <w:shd w:val="clear" w:color="auto" w:fill="auto"/>
          </w:tcPr>
          <w:p w:rsidR="004D56BE" w:rsidRPr="00C903F8" w:rsidRDefault="004D56BE" w:rsidP="008C77AD">
            <w:pPr>
              <w:spacing w:before="120" w:after="120" w:line="240" w:lineRule="atLeast"/>
              <w:ind w:left="0" w:firstLine="0"/>
              <w:rPr>
                <w:rFonts w:cs="Arial"/>
                <w:sz w:val="18"/>
                <w:szCs w:val="18"/>
              </w:rPr>
            </w:pPr>
            <w:r w:rsidRPr="00C903F8">
              <w:rPr>
                <w:rFonts w:cs="Arial"/>
                <w:sz w:val="18"/>
                <w:szCs w:val="18"/>
              </w:rPr>
              <w:t>(2)</w:t>
            </w:r>
          </w:p>
        </w:tc>
        <w:tc>
          <w:tcPr>
            <w:tcW w:w="3296" w:type="dxa"/>
            <w:shd w:val="clear" w:color="auto" w:fill="auto"/>
          </w:tcPr>
          <w:p w:rsidR="004D56BE" w:rsidRPr="00C903F8" w:rsidRDefault="004D56BE" w:rsidP="008C77AD">
            <w:pPr>
              <w:spacing w:before="120" w:after="120" w:line="240" w:lineRule="atLeast"/>
              <w:ind w:left="0" w:firstLine="0"/>
              <w:rPr>
                <w:rFonts w:cs="Arial"/>
                <w:sz w:val="18"/>
                <w:szCs w:val="18"/>
                <w:lang w:val="en-US"/>
              </w:rPr>
            </w:pPr>
            <w:r w:rsidRPr="00C903F8">
              <w:rPr>
                <w:rFonts w:cs="Arial"/>
                <w:sz w:val="18"/>
                <w:szCs w:val="18"/>
                <w:lang w:val="en-US"/>
              </w:rPr>
              <w:t>Accommodation forward of the collision bulkhead</w:t>
            </w:r>
          </w:p>
        </w:tc>
        <w:tc>
          <w:tcPr>
            <w:tcW w:w="6521" w:type="dxa"/>
            <w:shd w:val="clear" w:color="auto" w:fill="auto"/>
          </w:tcPr>
          <w:p w:rsidR="004D56BE" w:rsidRPr="00C903F8" w:rsidRDefault="004D56BE" w:rsidP="008C77AD">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8C77AD">
            <w:pPr>
              <w:spacing w:before="120" w:after="12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vMerge/>
            <w:shd w:val="clear" w:color="auto" w:fill="auto"/>
          </w:tcPr>
          <w:p w:rsidR="004D56BE" w:rsidRPr="00C903F8" w:rsidRDefault="004D56BE" w:rsidP="008C77AD">
            <w:pPr>
              <w:spacing w:before="120" w:after="120" w:line="240" w:lineRule="atLeast"/>
              <w:ind w:left="0" w:firstLine="0"/>
              <w:rPr>
                <w:rFonts w:cs="Arial"/>
                <w:sz w:val="18"/>
                <w:szCs w:val="18"/>
                <w:lang w:val="en-US"/>
              </w:rPr>
            </w:pPr>
          </w:p>
        </w:tc>
        <w:tc>
          <w:tcPr>
            <w:tcW w:w="1458" w:type="dxa"/>
            <w:vMerge/>
            <w:shd w:val="clear" w:color="auto" w:fill="auto"/>
          </w:tcPr>
          <w:p w:rsidR="004D56BE" w:rsidRPr="00C903F8" w:rsidRDefault="004D56BE" w:rsidP="008C77AD">
            <w:pPr>
              <w:spacing w:before="120" w:after="120" w:line="240" w:lineRule="atLeast"/>
              <w:ind w:left="0" w:firstLine="0"/>
              <w:rPr>
                <w:rFonts w:cs="Arial"/>
                <w:sz w:val="18"/>
                <w:szCs w:val="18"/>
                <w:lang w:val="en-US"/>
              </w:rPr>
            </w:pPr>
          </w:p>
        </w:tc>
        <w:tc>
          <w:tcPr>
            <w:tcW w:w="3296" w:type="dxa"/>
            <w:shd w:val="clear" w:color="auto" w:fill="auto"/>
          </w:tcPr>
          <w:p w:rsidR="004D56BE" w:rsidRPr="00C903F8" w:rsidRDefault="004D56BE" w:rsidP="008C77AD">
            <w:pPr>
              <w:tabs>
                <w:tab w:val="left" w:pos="2790"/>
              </w:tabs>
              <w:spacing w:before="120" w:after="120" w:line="240" w:lineRule="atLeast"/>
              <w:ind w:left="0" w:firstLine="0"/>
              <w:rPr>
                <w:rFonts w:cs="Arial"/>
                <w:sz w:val="18"/>
                <w:szCs w:val="18"/>
                <w:lang w:val="en-US"/>
              </w:rPr>
            </w:pPr>
            <w:r w:rsidRPr="00C903F8">
              <w:rPr>
                <w:rFonts w:cs="Arial"/>
                <w:sz w:val="18"/>
                <w:szCs w:val="18"/>
                <w:lang w:val="en-US"/>
              </w:rPr>
              <w:t>Accommodation aft of the aft-peak bulkhead</w:t>
            </w:r>
          </w:p>
        </w:tc>
        <w:tc>
          <w:tcPr>
            <w:tcW w:w="6521" w:type="dxa"/>
            <w:shd w:val="clear" w:color="auto" w:fill="auto"/>
          </w:tcPr>
          <w:p w:rsidR="004D56BE" w:rsidRPr="00C903F8" w:rsidRDefault="004D56BE" w:rsidP="008C77AD">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8C77AD">
            <w:pPr>
              <w:spacing w:before="120" w:after="120" w:line="240" w:lineRule="atLeast"/>
              <w:ind w:left="0" w:firstLine="0"/>
              <w:rPr>
                <w:rFonts w:cs="Arial"/>
                <w:sz w:val="18"/>
                <w:szCs w:val="18"/>
              </w:rPr>
            </w:pPr>
            <w:r w:rsidRPr="00C903F8">
              <w:rPr>
                <w:rFonts w:cs="Arial"/>
                <w:sz w:val="18"/>
                <w:szCs w:val="18"/>
              </w:rPr>
              <w:t>30.12.2059</w:t>
            </w:r>
          </w:p>
        </w:tc>
      </w:tr>
      <w:tr w:rsidR="004D56BE" w:rsidRPr="00C903F8" w:rsidTr="001964F8">
        <w:trPr>
          <w:cantSplit/>
          <w:jc w:val="center"/>
        </w:trPr>
        <w:tc>
          <w:tcPr>
            <w:tcW w:w="1342" w:type="dxa"/>
            <w:vMerge/>
            <w:shd w:val="clear" w:color="auto" w:fill="auto"/>
          </w:tcPr>
          <w:p w:rsidR="004D56BE" w:rsidRPr="00C903F8" w:rsidRDefault="004D56BE" w:rsidP="008C77AD">
            <w:pPr>
              <w:spacing w:before="120" w:after="120" w:line="240" w:lineRule="atLeast"/>
              <w:ind w:left="0" w:firstLine="0"/>
              <w:rPr>
                <w:rFonts w:cs="Arial"/>
                <w:sz w:val="18"/>
                <w:szCs w:val="18"/>
                <w:lang w:val="en-US"/>
              </w:rPr>
            </w:pPr>
          </w:p>
        </w:tc>
        <w:tc>
          <w:tcPr>
            <w:tcW w:w="1458" w:type="dxa"/>
            <w:vMerge/>
            <w:shd w:val="clear" w:color="auto" w:fill="auto"/>
          </w:tcPr>
          <w:p w:rsidR="004D56BE" w:rsidRPr="00C903F8" w:rsidRDefault="004D56BE" w:rsidP="008C77AD">
            <w:pPr>
              <w:spacing w:before="120" w:after="120" w:line="240" w:lineRule="atLeast"/>
              <w:ind w:left="0" w:firstLine="0"/>
              <w:rPr>
                <w:rFonts w:cs="Arial"/>
                <w:sz w:val="18"/>
                <w:szCs w:val="18"/>
                <w:lang w:val="en-US"/>
              </w:rPr>
            </w:pPr>
          </w:p>
        </w:tc>
        <w:tc>
          <w:tcPr>
            <w:tcW w:w="3296" w:type="dxa"/>
            <w:shd w:val="clear" w:color="auto" w:fill="auto"/>
          </w:tcPr>
          <w:p w:rsidR="004D56BE" w:rsidRPr="004D56BE" w:rsidRDefault="004D56BE" w:rsidP="008C77AD">
            <w:pPr>
              <w:spacing w:before="120" w:after="120" w:line="240" w:lineRule="atLeast"/>
              <w:ind w:left="0" w:firstLine="0"/>
              <w:rPr>
                <w:rFonts w:cs="Arial"/>
                <w:sz w:val="18"/>
                <w:szCs w:val="18"/>
                <w:lang w:val="en-GB"/>
              </w:rPr>
            </w:pPr>
            <w:r w:rsidRPr="004D56BE">
              <w:rPr>
                <w:rFonts w:cs="Arial"/>
                <w:sz w:val="18"/>
                <w:szCs w:val="18"/>
                <w:lang w:val="en-GB"/>
              </w:rPr>
              <w:t xml:space="preserve">Safety equipment </w:t>
            </w:r>
            <w:r w:rsidRPr="004D56BE">
              <w:rPr>
                <w:sz w:val="18"/>
                <w:szCs w:val="18"/>
                <w:lang w:val="en-GB"/>
              </w:rPr>
              <w:t>forward of the collision bulkhead</w:t>
            </w:r>
          </w:p>
        </w:tc>
        <w:tc>
          <w:tcPr>
            <w:tcW w:w="6521" w:type="dxa"/>
            <w:shd w:val="clear" w:color="auto" w:fill="auto"/>
          </w:tcPr>
          <w:p w:rsidR="004D56BE" w:rsidRPr="00C903F8" w:rsidRDefault="004D56BE" w:rsidP="008C77AD">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8C77AD">
            <w:pPr>
              <w:spacing w:before="120" w:after="120" w:line="240" w:lineRule="atLeast"/>
              <w:ind w:left="0" w:firstLine="0"/>
              <w:rPr>
                <w:rFonts w:cs="Arial"/>
                <w:sz w:val="18"/>
                <w:szCs w:val="18"/>
              </w:rPr>
            </w:pPr>
            <w:r w:rsidRPr="00C903F8">
              <w:rPr>
                <w:rFonts w:cs="Arial"/>
                <w:sz w:val="18"/>
                <w:szCs w:val="18"/>
              </w:rPr>
              <w:t>30.12.2029</w:t>
            </w:r>
          </w:p>
        </w:tc>
      </w:tr>
      <w:tr w:rsidR="004D56BE" w:rsidRPr="00C20955" w:rsidTr="001964F8">
        <w:trPr>
          <w:cantSplit/>
          <w:jc w:val="center"/>
        </w:trPr>
        <w:tc>
          <w:tcPr>
            <w:tcW w:w="1342" w:type="dxa"/>
            <w:vMerge/>
            <w:shd w:val="clear" w:color="auto" w:fill="auto"/>
          </w:tcPr>
          <w:p w:rsidR="004D56BE" w:rsidRPr="00C903F8" w:rsidRDefault="004D56BE" w:rsidP="008C77AD">
            <w:pPr>
              <w:spacing w:before="120" w:after="120" w:line="240" w:lineRule="atLeast"/>
              <w:ind w:left="0" w:firstLine="0"/>
              <w:rPr>
                <w:rFonts w:cs="Arial"/>
                <w:sz w:val="18"/>
                <w:szCs w:val="18"/>
                <w:lang w:val="en-US"/>
              </w:rPr>
            </w:pPr>
          </w:p>
        </w:tc>
        <w:tc>
          <w:tcPr>
            <w:tcW w:w="1458" w:type="dxa"/>
            <w:vMerge/>
            <w:shd w:val="clear" w:color="auto" w:fill="auto"/>
          </w:tcPr>
          <w:p w:rsidR="004D56BE" w:rsidRPr="00C903F8" w:rsidRDefault="004D56BE" w:rsidP="008C77AD">
            <w:pPr>
              <w:spacing w:before="120" w:after="120" w:line="240" w:lineRule="atLeast"/>
              <w:ind w:left="0" w:firstLine="0"/>
              <w:rPr>
                <w:rFonts w:cs="Arial"/>
                <w:sz w:val="18"/>
                <w:szCs w:val="18"/>
                <w:lang w:val="en-US"/>
              </w:rPr>
            </w:pPr>
          </w:p>
        </w:tc>
        <w:tc>
          <w:tcPr>
            <w:tcW w:w="3296" w:type="dxa"/>
            <w:shd w:val="clear" w:color="auto" w:fill="auto"/>
          </w:tcPr>
          <w:p w:rsidR="004D56BE" w:rsidRPr="00C20955" w:rsidRDefault="004D56BE" w:rsidP="008C77AD">
            <w:pPr>
              <w:spacing w:before="120" w:after="120" w:line="240" w:lineRule="atLeast"/>
              <w:ind w:left="0" w:firstLine="0"/>
              <w:rPr>
                <w:sz w:val="18"/>
                <w:szCs w:val="18"/>
                <w:lang w:val="en-GB"/>
              </w:rPr>
            </w:pPr>
            <w:r w:rsidRPr="00C20955">
              <w:rPr>
                <w:rFonts w:cs="Arial"/>
                <w:sz w:val="18"/>
                <w:szCs w:val="18"/>
                <w:lang w:val="en-GB"/>
              </w:rPr>
              <w:t>Safety equipment</w:t>
            </w:r>
            <w:r w:rsidRPr="00C20955">
              <w:rPr>
                <w:sz w:val="18"/>
                <w:szCs w:val="18"/>
                <w:lang w:val="en-GB"/>
              </w:rPr>
              <w:t xml:space="preserve"> aft of the aft-peak bulkhead</w:t>
            </w:r>
          </w:p>
        </w:tc>
        <w:tc>
          <w:tcPr>
            <w:tcW w:w="6521" w:type="dxa"/>
            <w:shd w:val="clear" w:color="auto" w:fill="auto"/>
          </w:tcPr>
          <w:p w:rsidR="004D56BE" w:rsidRPr="00C20955" w:rsidRDefault="004D56BE" w:rsidP="008C77AD">
            <w:pPr>
              <w:spacing w:before="120" w:after="120" w:line="240" w:lineRule="atLeast"/>
              <w:ind w:left="0" w:firstLine="0"/>
              <w:rPr>
                <w:sz w:val="18"/>
                <w:szCs w:val="18"/>
                <w:lang w:val="en-GB"/>
              </w:rPr>
            </w:pPr>
            <w:r w:rsidRPr="00C20955">
              <w:rPr>
                <w:sz w:val="18"/>
                <w:szCs w:val="18"/>
                <w:lang w:val="en-GB"/>
              </w:rPr>
              <w:t>N.R.C., at the latest on renewal of the inland navigation vessel certificate after</w:t>
            </w:r>
          </w:p>
        </w:tc>
        <w:tc>
          <w:tcPr>
            <w:tcW w:w="1276" w:type="dxa"/>
            <w:shd w:val="clear" w:color="auto" w:fill="auto"/>
          </w:tcPr>
          <w:p w:rsidR="004D56BE" w:rsidRPr="00C20955" w:rsidRDefault="00C20955" w:rsidP="008C77AD">
            <w:pPr>
              <w:spacing w:before="120" w:after="120" w:line="240" w:lineRule="atLeast"/>
              <w:ind w:left="0" w:firstLine="0"/>
              <w:rPr>
                <w:sz w:val="18"/>
                <w:szCs w:val="18"/>
                <w:lang w:val="en-GB"/>
              </w:rPr>
            </w:pPr>
            <w:r w:rsidRPr="00C20955">
              <w:rPr>
                <w:sz w:val="18"/>
                <w:szCs w:val="18"/>
                <w:lang w:val="en-GB"/>
              </w:rPr>
              <w:t>30.</w:t>
            </w:r>
            <w:r>
              <w:rPr>
                <w:sz w:val="18"/>
                <w:szCs w:val="18"/>
                <w:lang w:val="en-GB"/>
              </w:rPr>
              <w:t>12</w:t>
            </w:r>
            <w:r w:rsidR="004D56BE" w:rsidRPr="00C20955">
              <w:rPr>
                <w:sz w:val="18"/>
                <w:szCs w:val="18"/>
                <w:lang w:val="en-GB"/>
              </w:rPr>
              <w:t>.2049</w:t>
            </w:r>
          </w:p>
        </w:tc>
      </w:tr>
      <w:tr w:rsidR="004D56BE" w:rsidRPr="00C903F8" w:rsidTr="001964F8">
        <w:trPr>
          <w:cantSplit/>
          <w:jc w:val="center"/>
        </w:trPr>
        <w:tc>
          <w:tcPr>
            <w:tcW w:w="1342" w:type="dxa"/>
            <w:vMerge/>
            <w:shd w:val="clear" w:color="auto" w:fill="auto"/>
          </w:tcPr>
          <w:p w:rsidR="004D56BE" w:rsidRPr="00C20955" w:rsidRDefault="004D56BE" w:rsidP="008C77AD">
            <w:pPr>
              <w:spacing w:before="120" w:after="120" w:line="240" w:lineRule="atLeast"/>
              <w:ind w:left="0" w:firstLine="0"/>
              <w:rPr>
                <w:rFonts w:cs="Arial"/>
                <w:sz w:val="18"/>
                <w:szCs w:val="18"/>
                <w:lang w:val="en-GB"/>
              </w:rPr>
            </w:pPr>
          </w:p>
        </w:tc>
        <w:tc>
          <w:tcPr>
            <w:tcW w:w="1458" w:type="dxa"/>
            <w:shd w:val="clear" w:color="auto" w:fill="auto"/>
          </w:tcPr>
          <w:p w:rsidR="004D56BE" w:rsidRPr="00C20955" w:rsidRDefault="004D56BE" w:rsidP="008C77AD">
            <w:pPr>
              <w:spacing w:before="120" w:after="120" w:line="240" w:lineRule="atLeast"/>
              <w:ind w:left="0" w:firstLine="0"/>
              <w:rPr>
                <w:rFonts w:cs="Arial"/>
                <w:sz w:val="18"/>
                <w:szCs w:val="18"/>
                <w:lang w:val="en-GB"/>
              </w:rPr>
            </w:pPr>
            <w:r w:rsidRPr="00C20955">
              <w:rPr>
                <w:rFonts w:cs="Arial"/>
                <w:sz w:val="18"/>
                <w:szCs w:val="18"/>
                <w:lang w:val="en-GB"/>
              </w:rPr>
              <w:t>(4)</w:t>
            </w:r>
          </w:p>
        </w:tc>
        <w:tc>
          <w:tcPr>
            <w:tcW w:w="3296" w:type="dxa"/>
            <w:shd w:val="clear" w:color="auto" w:fill="auto"/>
          </w:tcPr>
          <w:p w:rsidR="004D56BE" w:rsidRPr="00C903F8" w:rsidRDefault="004D56BE" w:rsidP="008C77AD">
            <w:pPr>
              <w:spacing w:before="120" w:after="120" w:line="240" w:lineRule="atLeast"/>
              <w:ind w:left="0" w:firstLine="0"/>
              <w:rPr>
                <w:rFonts w:cs="Arial"/>
                <w:sz w:val="18"/>
                <w:szCs w:val="18"/>
                <w:lang w:val="en-US"/>
              </w:rPr>
            </w:pPr>
            <w:r w:rsidRPr="00C903F8">
              <w:rPr>
                <w:rFonts w:cs="Arial"/>
                <w:sz w:val="18"/>
                <w:szCs w:val="18"/>
                <w:lang w:val="en-US"/>
              </w:rPr>
              <w:t>Gastight separation of accommodations from engine rooms, boiler rooms and holds</w:t>
            </w:r>
          </w:p>
        </w:tc>
        <w:tc>
          <w:tcPr>
            <w:tcW w:w="6521" w:type="dxa"/>
            <w:shd w:val="clear" w:color="auto" w:fill="auto"/>
          </w:tcPr>
          <w:p w:rsidR="004D56BE" w:rsidRPr="00C903F8" w:rsidRDefault="004D56BE" w:rsidP="008C77AD">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8C77AD">
            <w:pPr>
              <w:spacing w:before="120" w:after="12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vMerge/>
            <w:shd w:val="clear" w:color="auto" w:fill="auto"/>
          </w:tcPr>
          <w:p w:rsidR="004D56BE" w:rsidRPr="00C903F8" w:rsidRDefault="004D56BE" w:rsidP="008C77AD">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8C77AD">
            <w:pPr>
              <w:spacing w:before="120" w:after="120" w:line="240" w:lineRule="atLeast"/>
              <w:ind w:left="0" w:firstLine="0"/>
              <w:jc w:val="left"/>
              <w:rPr>
                <w:rFonts w:cs="Arial"/>
                <w:sz w:val="18"/>
                <w:szCs w:val="18"/>
              </w:rPr>
            </w:pPr>
            <w:r w:rsidRPr="00C903F8">
              <w:rPr>
                <w:rFonts w:cs="Arial"/>
                <w:sz w:val="18"/>
                <w:szCs w:val="18"/>
              </w:rPr>
              <w:t>(5), 2</w:t>
            </w:r>
            <w:r w:rsidRPr="00C903F8">
              <w:rPr>
                <w:rFonts w:cs="Arial"/>
                <w:sz w:val="18"/>
                <w:szCs w:val="18"/>
                <w:vertAlign w:val="superscript"/>
              </w:rPr>
              <w:t>nd</w:t>
            </w:r>
            <w:r w:rsidRPr="00C903F8">
              <w:rPr>
                <w:rFonts w:cs="Arial"/>
                <w:sz w:val="18"/>
                <w:szCs w:val="18"/>
              </w:rPr>
              <w:t xml:space="preserve"> subparagraph</w:t>
            </w:r>
          </w:p>
        </w:tc>
        <w:tc>
          <w:tcPr>
            <w:tcW w:w="3296" w:type="dxa"/>
            <w:shd w:val="clear" w:color="auto" w:fill="auto"/>
          </w:tcPr>
          <w:p w:rsidR="004D56BE" w:rsidRPr="00C903F8" w:rsidRDefault="004D56BE" w:rsidP="008C77AD">
            <w:pPr>
              <w:tabs>
                <w:tab w:val="left" w:pos="1260"/>
              </w:tabs>
              <w:spacing w:before="120" w:after="120" w:line="240" w:lineRule="atLeast"/>
              <w:ind w:left="0" w:firstLine="0"/>
              <w:rPr>
                <w:rFonts w:cs="Arial"/>
                <w:sz w:val="18"/>
                <w:szCs w:val="18"/>
                <w:lang w:val="en-US"/>
              </w:rPr>
            </w:pPr>
            <w:r w:rsidRPr="00C903F8">
              <w:rPr>
                <w:rFonts w:cs="Arial"/>
                <w:sz w:val="18"/>
                <w:szCs w:val="18"/>
                <w:lang w:val="en-US"/>
              </w:rPr>
              <w:t>Monitoring of doors in aft-peak bulkhead</w:t>
            </w:r>
          </w:p>
        </w:tc>
        <w:tc>
          <w:tcPr>
            <w:tcW w:w="6521" w:type="dxa"/>
            <w:shd w:val="clear" w:color="auto" w:fill="auto"/>
          </w:tcPr>
          <w:p w:rsidR="004D56BE" w:rsidRPr="00C903F8" w:rsidRDefault="004D56BE" w:rsidP="008C77AD">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8C77AD">
            <w:pPr>
              <w:spacing w:before="120" w:after="12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vMerge/>
            <w:shd w:val="clear" w:color="auto" w:fill="auto"/>
          </w:tcPr>
          <w:p w:rsidR="004D56BE" w:rsidRPr="00C903F8" w:rsidRDefault="004D56BE" w:rsidP="008C77AD">
            <w:pPr>
              <w:spacing w:before="120" w:after="120" w:line="240" w:lineRule="atLeast"/>
              <w:ind w:left="0" w:firstLine="0"/>
              <w:rPr>
                <w:rFonts w:cs="Arial"/>
                <w:sz w:val="18"/>
                <w:szCs w:val="18"/>
                <w:lang w:val="en-US"/>
              </w:rPr>
            </w:pPr>
          </w:p>
        </w:tc>
        <w:tc>
          <w:tcPr>
            <w:tcW w:w="1458" w:type="dxa"/>
            <w:shd w:val="clear" w:color="auto" w:fill="auto"/>
          </w:tcPr>
          <w:p w:rsidR="004D56BE" w:rsidRPr="00C903F8" w:rsidRDefault="004D56BE" w:rsidP="008C77AD">
            <w:pPr>
              <w:spacing w:before="120" w:after="120" w:line="240" w:lineRule="atLeast"/>
              <w:ind w:left="0" w:firstLine="0"/>
              <w:rPr>
                <w:rFonts w:cs="Arial"/>
                <w:sz w:val="18"/>
                <w:szCs w:val="18"/>
              </w:rPr>
            </w:pPr>
            <w:r w:rsidRPr="00C903F8">
              <w:rPr>
                <w:rFonts w:cs="Arial"/>
                <w:sz w:val="18"/>
                <w:szCs w:val="18"/>
              </w:rPr>
              <w:t>(7)</w:t>
            </w:r>
          </w:p>
        </w:tc>
        <w:tc>
          <w:tcPr>
            <w:tcW w:w="3296" w:type="dxa"/>
            <w:shd w:val="clear" w:color="auto" w:fill="auto"/>
          </w:tcPr>
          <w:p w:rsidR="004D56BE" w:rsidRPr="00C903F8" w:rsidRDefault="004D56BE" w:rsidP="008C77AD">
            <w:pPr>
              <w:spacing w:before="120" w:after="120" w:line="240" w:lineRule="atLeast"/>
              <w:ind w:left="0" w:firstLine="0"/>
              <w:rPr>
                <w:rFonts w:cs="Arial"/>
                <w:sz w:val="18"/>
                <w:szCs w:val="18"/>
                <w:lang w:val="en-US"/>
              </w:rPr>
            </w:pPr>
            <w:r w:rsidRPr="00C903F8">
              <w:rPr>
                <w:rFonts w:cs="Arial"/>
                <w:sz w:val="18"/>
                <w:szCs w:val="18"/>
                <w:lang w:val="en-US"/>
              </w:rPr>
              <w:t>Anchors not protruding in fore-sections of vessels</w:t>
            </w:r>
          </w:p>
        </w:tc>
        <w:tc>
          <w:tcPr>
            <w:tcW w:w="6521" w:type="dxa"/>
            <w:shd w:val="clear" w:color="auto" w:fill="auto"/>
          </w:tcPr>
          <w:p w:rsidR="004D56BE" w:rsidRPr="00C903F8" w:rsidRDefault="004D56BE" w:rsidP="008C77AD">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8C77AD">
            <w:pPr>
              <w:spacing w:before="120" w:after="120" w:line="240" w:lineRule="atLeast"/>
              <w:ind w:left="0" w:firstLine="0"/>
              <w:rPr>
                <w:rFonts w:cs="Arial"/>
                <w:sz w:val="18"/>
                <w:szCs w:val="18"/>
              </w:rPr>
            </w:pPr>
            <w:r w:rsidRPr="00C903F8">
              <w:rPr>
                <w:rFonts w:cs="Arial"/>
                <w:sz w:val="18"/>
                <w:szCs w:val="18"/>
              </w:rPr>
              <w:t>30.12.2049</w:t>
            </w:r>
          </w:p>
        </w:tc>
      </w:tr>
      <w:tr w:rsidR="004D56BE" w:rsidRPr="00296858" w:rsidTr="001964F8">
        <w:trPr>
          <w:cantSplit/>
          <w:jc w:val="center"/>
        </w:trPr>
        <w:tc>
          <w:tcPr>
            <w:tcW w:w="1342" w:type="dxa"/>
            <w:vMerge w:val="restart"/>
            <w:shd w:val="clear" w:color="auto" w:fill="auto"/>
          </w:tcPr>
          <w:p w:rsidR="004D56BE" w:rsidRPr="00C903F8" w:rsidRDefault="004D56BE" w:rsidP="008C77AD">
            <w:pPr>
              <w:spacing w:before="120" w:after="120" w:line="240" w:lineRule="atLeast"/>
              <w:ind w:left="0" w:firstLine="0"/>
              <w:rPr>
                <w:rFonts w:cs="Arial"/>
                <w:sz w:val="18"/>
                <w:szCs w:val="18"/>
              </w:rPr>
            </w:pPr>
            <w:r w:rsidRPr="00C903F8">
              <w:rPr>
                <w:rFonts w:cs="Arial"/>
                <w:sz w:val="18"/>
                <w:szCs w:val="18"/>
              </w:rPr>
              <w:t>3.04</w:t>
            </w:r>
          </w:p>
        </w:tc>
        <w:tc>
          <w:tcPr>
            <w:tcW w:w="1458" w:type="dxa"/>
            <w:shd w:val="clear" w:color="auto" w:fill="auto"/>
          </w:tcPr>
          <w:p w:rsidR="004D56BE" w:rsidRPr="00C903F8" w:rsidRDefault="004D56BE" w:rsidP="008C77AD">
            <w:pPr>
              <w:spacing w:before="120" w:after="120" w:line="240" w:lineRule="atLeast"/>
              <w:ind w:left="0" w:firstLine="0"/>
              <w:jc w:val="left"/>
              <w:rPr>
                <w:rFonts w:cs="Arial"/>
                <w:sz w:val="18"/>
                <w:szCs w:val="18"/>
              </w:rPr>
            </w:pPr>
            <w:r w:rsidRPr="00C903F8">
              <w:rPr>
                <w:rFonts w:cs="Arial"/>
                <w:sz w:val="18"/>
                <w:szCs w:val="18"/>
              </w:rPr>
              <w:t>(3) 2</w:t>
            </w:r>
            <w:r w:rsidRPr="00C903F8">
              <w:rPr>
                <w:rFonts w:cs="Arial"/>
                <w:sz w:val="18"/>
                <w:szCs w:val="18"/>
                <w:vertAlign w:val="superscript"/>
              </w:rPr>
              <w:t>nd </w:t>
            </w:r>
            <w:r w:rsidRPr="00C903F8">
              <w:rPr>
                <w:rFonts w:cs="Arial"/>
                <w:sz w:val="18"/>
                <w:szCs w:val="18"/>
              </w:rPr>
              <w:t>sentence</w:t>
            </w:r>
          </w:p>
        </w:tc>
        <w:tc>
          <w:tcPr>
            <w:tcW w:w="3296" w:type="dxa"/>
            <w:shd w:val="clear" w:color="auto" w:fill="auto"/>
          </w:tcPr>
          <w:p w:rsidR="004D56BE" w:rsidRPr="00C903F8" w:rsidRDefault="004D56BE" w:rsidP="008C77AD">
            <w:pPr>
              <w:spacing w:before="120" w:after="120" w:line="240" w:lineRule="atLeast"/>
              <w:ind w:left="0" w:firstLine="0"/>
              <w:rPr>
                <w:rFonts w:cs="Arial"/>
                <w:sz w:val="18"/>
                <w:szCs w:val="18"/>
              </w:rPr>
            </w:pPr>
            <w:r w:rsidRPr="00C903F8">
              <w:rPr>
                <w:rFonts w:cs="Arial"/>
                <w:noProof/>
                <w:sz w:val="18"/>
                <w:szCs w:val="18"/>
              </w:rPr>
              <w:t>Insulation in engine rooms</w:t>
            </w:r>
          </w:p>
        </w:tc>
        <w:tc>
          <w:tcPr>
            <w:tcW w:w="6521" w:type="dxa"/>
            <w:shd w:val="clear" w:color="auto" w:fill="auto"/>
          </w:tcPr>
          <w:p w:rsidR="004D56BE" w:rsidRPr="00C903F8" w:rsidRDefault="004D56BE" w:rsidP="008C77AD">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w:t>
            </w:r>
          </w:p>
        </w:tc>
        <w:tc>
          <w:tcPr>
            <w:tcW w:w="1276" w:type="dxa"/>
            <w:shd w:val="clear" w:color="auto" w:fill="auto"/>
          </w:tcPr>
          <w:p w:rsidR="004D56BE" w:rsidRPr="00C903F8" w:rsidRDefault="004D56BE" w:rsidP="008C77AD">
            <w:pPr>
              <w:spacing w:before="120" w:after="120" w:line="240" w:lineRule="atLeast"/>
              <w:ind w:left="0" w:firstLine="0"/>
              <w:rPr>
                <w:rFonts w:cs="Arial"/>
                <w:sz w:val="18"/>
                <w:szCs w:val="18"/>
                <w:lang w:val="en-US"/>
              </w:rPr>
            </w:pPr>
          </w:p>
        </w:tc>
      </w:tr>
      <w:tr w:rsidR="004D56BE" w:rsidRPr="00296858" w:rsidTr="001964F8">
        <w:trPr>
          <w:cantSplit/>
          <w:jc w:val="center"/>
        </w:trPr>
        <w:tc>
          <w:tcPr>
            <w:tcW w:w="1342" w:type="dxa"/>
            <w:vMerge/>
            <w:shd w:val="clear" w:color="auto" w:fill="auto"/>
          </w:tcPr>
          <w:p w:rsidR="004D56BE" w:rsidRPr="00C903F8" w:rsidRDefault="004D56BE" w:rsidP="00A8005B">
            <w:pPr>
              <w:spacing w:before="160" w:after="160" w:line="240" w:lineRule="atLeast"/>
              <w:ind w:left="0" w:firstLine="0"/>
              <w:jc w:val="center"/>
              <w:rPr>
                <w:rFonts w:cs="Arial"/>
                <w:b/>
                <w:sz w:val="18"/>
                <w:szCs w:val="18"/>
                <w:lang w:val="en-US"/>
              </w:rPr>
            </w:pPr>
          </w:p>
        </w:tc>
        <w:tc>
          <w:tcPr>
            <w:tcW w:w="1458" w:type="dxa"/>
            <w:shd w:val="clear" w:color="auto" w:fill="auto"/>
          </w:tcPr>
          <w:p w:rsidR="004D56BE" w:rsidRPr="00C903F8" w:rsidRDefault="004D56BE" w:rsidP="00A8005B">
            <w:pPr>
              <w:spacing w:before="160" w:after="160" w:line="240" w:lineRule="atLeast"/>
              <w:ind w:left="0" w:firstLine="0"/>
              <w:jc w:val="left"/>
              <w:rPr>
                <w:rFonts w:cs="Arial"/>
                <w:sz w:val="18"/>
                <w:szCs w:val="18"/>
              </w:rPr>
            </w:pPr>
            <w:r w:rsidRPr="00C903F8">
              <w:rPr>
                <w:rFonts w:cs="Arial"/>
                <w:sz w:val="18"/>
                <w:szCs w:val="18"/>
              </w:rPr>
              <w:t>(3) 3</w:t>
            </w:r>
            <w:r w:rsidRPr="00C903F8">
              <w:rPr>
                <w:rFonts w:cs="Arial"/>
                <w:sz w:val="18"/>
                <w:szCs w:val="18"/>
                <w:vertAlign w:val="superscript"/>
              </w:rPr>
              <w:t>rd</w:t>
            </w:r>
            <w:r w:rsidRPr="00C903F8">
              <w:rPr>
                <w:rFonts w:cs="Arial"/>
                <w:sz w:val="18"/>
                <w:szCs w:val="18"/>
              </w:rPr>
              <w:t xml:space="preserve"> and 4</w:t>
            </w:r>
            <w:r w:rsidRPr="00C903F8">
              <w:rPr>
                <w:rFonts w:cs="Arial"/>
                <w:sz w:val="18"/>
                <w:szCs w:val="18"/>
                <w:vertAlign w:val="superscript"/>
              </w:rPr>
              <w:t>th</w:t>
            </w:r>
            <w:r w:rsidRPr="00C903F8">
              <w:rPr>
                <w:rFonts w:cs="Arial"/>
                <w:sz w:val="18"/>
                <w:szCs w:val="18"/>
              </w:rPr>
              <w:t xml:space="preserve"> sentences</w:t>
            </w:r>
          </w:p>
        </w:tc>
        <w:tc>
          <w:tcPr>
            <w:tcW w:w="3296"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noProof/>
                <w:sz w:val="18"/>
                <w:szCs w:val="18"/>
              </w:rPr>
              <w:t>Openings and locking devices</w:t>
            </w:r>
          </w:p>
        </w:tc>
        <w:tc>
          <w:tcPr>
            <w:tcW w:w="6521"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w:t>
            </w:r>
          </w:p>
        </w:tc>
        <w:tc>
          <w:tcPr>
            <w:tcW w:w="1276"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p>
        </w:tc>
      </w:tr>
      <w:tr w:rsidR="004D56BE" w:rsidRPr="00C903F8" w:rsidTr="001964F8">
        <w:trPr>
          <w:cantSplit/>
          <w:jc w:val="center"/>
        </w:trPr>
        <w:tc>
          <w:tcPr>
            <w:tcW w:w="1342" w:type="dxa"/>
            <w:vMerge/>
            <w:shd w:val="clear" w:color="auto" w:fill="auto"/>
          </w:tcPr>
          <w:p w:rsidR="004D56BE" w:rsidRPr="00C903F8" w:rsidRDefault="004D56BE" w:rsidP="00A8005B">
            <w:pPr>
              <w:spacing w:before="140" w:after="140" w:line="240" w:lineRule="atLeast"/>
              <w:ind w:left="0" w:firstLine="0"/>
              <w:jc w:val="center"/>
              <w:rPr>
                <w:rFonts w:cs="Arial"/>
                <w:b/>
                <w:sz w:val="18"/>
                <w:szCs w:val="18"/>
                <w:lang w:val="en-US"/>
              </w:rPr>
            </w:pPr>
          </w:p>
        </w:tc>
        <w:tc>
          <w:tcPr>
            <w:tcW w:w="1458"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(6)</w:t>
            </w:r>
          </w:p>
        </w:tc>
        <w:tc>
          <w:tcPr>
            <w:tcW w:w="329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Exits of engine rooms</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6096" w:type="dxa"/>
            <w:gridSpan w:val="3"/>
            <w:shd w:val="clear" w:color="auto" w:fill="auto"/>
          </w:tcPr>
          <w:p w:rsidR="004D56BE" w:rsidRPr="00C903F8" w:rsidRDefault="004D56BE" w:rsidP="00A8005B">
            <w:pPr>
              <w:spacing w:before="140" w:after="140" w:line="240" w:lineRule="atLeast"/>
              <w:ind w:left="0" w:firstLine="0"/>
              <w:jc w:val="center"/>
              <w:rPr>
                <w:rFonts w:cs="Arial"/>
                <w:sz w:val="18"/>
                <w:szCs w:val="18"/>
              </w:rPr>
            </w:pPr>
            <w:r w:rsidRPr="00C903F8">
              <w:rPr>
                <w:rFonts w:cs="Arial"/>
                <w:b/>
                <w:sz w:val="18"/>
                <w:szCs w:val="18"/>
              </w:rPr>
              <w:t>CHAPTER 4</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p>
        </w:tc>
      </w:tr>
      <w:tr w:rsidR="004D56BE" w:rsidRPr="00C903F8" w:rsidTr="001964F8">
        <w:trPr>
          <w:cantSplit/>
          <w:jc w:val="center"/>
        </w:trPr>
        <w:tc>
          <w:tcPr>
            <w:tcW w:w="1342"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4.04</w:t>
            </w:r>
          </w:p>
        </w:tc>
        <w:tc>
          <w:tcPr>
            <w:tcW w:w="1458" w:type="dxa"/>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329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noProof/>
                <w:sz w:val="18"/>
                <w:szCs w:val="18"/>
              </w:rPr>
              <w:t>Draught marks</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6096" w:type="dxa"/>
            <w:gridSpan w:val="3"/>
            <w:shd w:val="clear" w:color="auto" w:fill="auto"/>
          </w:tcPr>
          <w:p w:rsidR="004D56BE" w:rsidRPr="00C903F8" w:rsidRDefault="004D56BE" w:rsidP="00A8005B">
            <w:pPr>
              <w:spacing w:before="140" w:after="140" w:line="240" w:lineRule="atLeast"/>
              <w:ind w:left="0" w:firstLine="0"/>
              <w:jc w:val="center"/>
              <w:rPr>
                <w:rFonts w:cs="Arial"/>
                <w:sz w:val="18"/>
                <w:szCs w:val="18"/>
              </w:rPr>
            </w:pPr>
            <w:r w:rsidRPr="00C903F8">
              <w:rPr>
                <w:rFonts w:cs="Arial"/>
                <w:b/>
                <w:sz w:val="18"/>
                <w:szCs w:val="18"/>
              </w:rPr>
              <w:t>CHAPTER 5</w:t>
            </w:r>
          </w:p>
        </w:tc>
        <w:tc>
          <w:tcPr>
            <w:tcW w:w="6521" w:type="dxa"/>
            <w:shd w:val="clear" w:color="auto" w:fill="auto"/>
          </w:tcPr>
          <w:p w:rsidR="004D56BE" w:rsidRPr="00C903F8" w:rsidRDefault="004D56BE" w:rsidP="00A8005B">
            <w:pPr>
              <w:spacing w:before="140" w:after="140" w:line="240" w:lineRule="atLeast"/>
              <w:ind w:left="0" w:firstLine="0"/>
              <w:rPr>
                <w:rFonts w:cs="Arial"/>
                <w:b/>
                <w:sz w:val="18"/>
                <w:szCs w:val="18"/>
              </w:rPr>
            </w:pP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p>
        </w:tc>
      </w:tr>
      <w:tr w:rsidR="004D56BE" w:rsidRPr="00C903F8" w:rsidTr="001964F8">
        <w:trPr>
          <w:cantSplit/>
          <w:jc w:val="center"/>
        </w:trPr>
        <w:tc>
          <w:tcPr>
            <w:tcW w:w="1342"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5.06</w:t>
            </w:r>
          </w:p>
        </w:tc>
        <w:tc>
          <w:tcPr>
            <w:tcW w:w="1458" w:type="dxa"/>
            <w:shd w:val="clear" w:color="auto" w:fill="auto"/>
          </w:tcPr>
          <w:p w:rsidR="004D56BE" w:rsidRPr="00C903F8" w:rsidRDefault="004D56BE" w:rsidP="00A8005B">
            <w:pPr>
              <w:spacing w:before="140" w:after="140" w:line="240" w:lineRule="atLeast"/>
              <w:ind w:left="0" w:firstLine="0"/>
              <w:jc w:val="left"/>
              <w:rPr>
                <w:rFonts w:cs="Arial"/>
                <w:sz w:val="18"/>
                <w:szCs w:val="18"/>
              </w:rPr>
            </w:pPr>
            <w:r w:rsidRPr="00C903F8">
              <w:rPr>
                <w:rFonts w:cs="Arial"/>
                <w:sz w:val="18"/>
                <w:szCs w:val="18"/>
              </w:rPr>
              <w:t>(1) 1</w:t>
            </w:r>
            <w:r w:rsidRPr="00C903F8">
              <w:rPr>
                <w:rFonts w:cs="Arial"/>
                <w:sz w:val="18"/>
                <w:szCs w:val="18"/>
                <w:vertAlign w:val="superscript"/>
              </w:rPr>
              <w:t>st </w:t>
            </w:r>
            <w:r w:rsidRPr="00C903F8">
              <w:rPr>
                <w:rFonts w:cs="Arial"/>
                <w:sz w:val="18"/>
                <w:szCs w:val="18"/>
              </w:rPr>
              <w:t>sentence</w:t>
            </w:r>
          </w:p>
        </w:tc>
        <w:tc>
          <w:tcPr>
            <w:tcW w:w="329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noProof/>
                <w:sz w:val="18"/>
                <w:szCs w:val="18"/>
              </w:rPr>
              <w:t>Minimum speed</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6096" w:type="dxa"/>
            <w:gridSpan w:val="3"/>
            <w:shd w:val="clear" w:color="auto" w:fill="auto"/>
          </w:tcPr>
          <w:p w:rsidR="004D56BE" w:rsidRPr="00C903F8" w:rsidRDefault="004D56BE" w:rsidP="00A8005B">
            <w:pPr>
              <w:spacing w:before="140" w:after="140" w:line="240" w:lineRule="atLeast"/>
              <w:ind w:left="0" w:firstLine="0"/>
              <w:jc w:val="center"/>
              <w:rPr>
                <w:rFonts w:cs="Arial"/>
                <w:sz w:val="18"/>
                <w:szCs w:val="18"/>
              </w:rPr>
            </w:pPr>
            <w:r w:rsidRPr="00C903F8">
              <w:rPr>
                <w:rFonts w:cs="Arial"/>
                <w:b/>
                <w:sz w:val="18"/>
                <w:szCs w:val="18"/>
              </w:rPr>
              <w:t>CHAPTER 6</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p>
        </w:tc>
      </w:tr>
      <w:tr w:rsidR="004D56BE" w:rsidRPr="00C903F8" w:rsidTr="001964F8">
        <w:trPr>
          <w:cantSplit/>
          <w:jc w:val="center"/>
        </w:trPr>
        <w:tc>
          <w:tcPr>
            <w:tcW w:w="1342" w:type="dxa"/>
            <w:vMerge w:val="restart"/>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6.01</w:t>
            </w:r>
          </w:p>
        </w:tc>
        <w:tc>
          <w:tcPr>
            <w:tcW w:w="1458"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A8005B">
            <w:pPr>
              <w:spacing w:before="140" w:after="140" w:line="240" w:lineRule="atLeast"/>
              <w:rPr>
                <w:rFonts w:cs="Arial"/>
                <w:sz w:val="18"/>
                <w:szCs w:val="18"/>
              </w:rPr>
            </w:pPr>
            <w:r w:rsidRPr="00C903F8">
              <w:rPr>
                <w:rFonts w:cs="Arial"/>
                <w:sz w:val="18"/>
                <w:szCs w:val="18"/>
              </w:rPr>
              <w:t>Manoeuvrability required by Chapter 5</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vMerge/>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w:t>
            </w:r>
          </w:p>
        </w:tc>
        <w:tc>
          <w:tcPr>
            <w:tcW w:w="329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Permanent lists and ambient temperatures</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vMerge/>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(7)</w:t>
            </w:r>
          </w:p>
        </w:tc>
        <w:tc>
          <w:tcPr>
            <w:tcW w:w="3296" w:type="dxa"/>
            <w:shd w:val="clear" w:color="auto" w:fill="auto"/>
          </w:tcPr>
          <w:p w:rsidR="004D56BE" w:rsidRPr="00C903F8" w:rsidRDefault="004D56BE" w:rsidP="00A8005B">
            <w:pPr>
              <w:spacing w:before="140" w:after="140" w:line="240" w:lineRule="atLeast"/>
              <w:rPr>
                <w:rFonts w:cs="Arial"/>
                <w:sz w:val="18"/>
                <w:szCs w:val="18"/>
              </w:rPr>
            </w:pPr>
            <w:r w:rsidRPr="00C903F8">
              <w:rPr>
                <w:rFonts w:cs="Arial"/>
                <w:sz w:val="18"/>
                <w:szCs w:val="18"/>
              </w:rPr>
              <w:t>Design of rudder stocks</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30.12.2029</w:t>
            </w:r>
          </w:p>
        </w:tc>
      </w:tr>
      <w:tr w:rsidR="004D56BE" w:rsidRPr="00C903F8" w:rsidTr="001964F8">
        <w:trPr>
          <w:cantSplit/>
          <w:jc w:val="center"/>
        </w:trPr>
        <w:tc>
          <w:tcPr>
            <w:tcW w:w="1342" w:type="dxa"/>
            <w:vMerge w:val="restart"/>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6.02</w:t>
            </w:r>
          </w:p>
        </w:tc>
        <w:tc>
          <w:tcPr>
            <w:tcW w:w="1458" w:type="dxa"/>
            <w:vMerge w:val="restart"/>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A8005B">
            <w:pPr>
              <w:spacing w:before="140" w:after="140" w:line="240" w:lineRule="atLeast"/>
              <w:rPr>
                <w:rFonts w:cs="Arial"/>
                <w:sz w:val="18"/>
                <w:szCs w:val="18"/>
                <w:lang w:val="en-US"/>
              </w:rPr>
            </w:pPr>
            <w:r w:rsidRPr="00C903F8">
              <w:rPr>
                <w:rFonts w:cs="Arial"/>
                <w:sz w:val="18"/>
                <w:szCs w:val="18"/>
                <w:lang w:val="en-US"/>
              </w:rPr>
              <w:t xml:space="preserve">Presence of separate hydraulic tanks </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1.1.2026</w:t>
            </w:r>
          </w:p>
        </w:tc>
      </w:tr>
      <w:tr w:rsidR="004D56BE" w:rsidRPr="00C903F8" w:rsidTr="001964F8">
        <w:trPr>
          <w:cantSplit/>
          <w:jc w:val="center"/>
        </w:trPr>
        <w:tc>
          <w:tcPr>
            <w:tcW w:w="1342" w:type="dxa"/>
            <w:vMerge/>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1458" w:type="dxa"/>
            <w:vMerge/>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3296"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sidRPr="00C903F8">
              <w:rPr>
                <w:rFonts w:cs="Arial"/>
                <w:sz w:val="18"/>
                <w:szCs w:val="18"/>
                <w:lang w:val="en-US"/>
              </w:rPr>
              <w:t>Duplicated pilot valves in case of hydraulic drive units</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1.1.2026</w:t>
            </w:r>
          </w:p>
        </w:tc>
      </w:tr>
      <w:tr w:rsidR="004D56BE" w:rsidRPr="00C903F8" w:rsidTr="001964F8">
        <w:trPr>
          <w:cantSplit/>
          <w:jc w:val="center"/>
        </w:trPr>
        <w:tc>
          <w:tcPr>
            <w:tcW w:w="1342" w:type="dxa"/>
            <w:vMerge/>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1458" w:type="dxa"/>
            <w:vMerge/>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3296" w:type="dxa"/>
            <w:shd w:val="clear" w:color="auto" w:fill="auto"/>
          </w:tcPr>
          <w:p w:rsidR="004D56BE" w:rsidRPr="00C903F8" w:rsidRDefault="004D56BE" w:rsidP="00A8005B">
            <w:pPr>
              <w:tabs>
                <w:tab w:val="left" w:pos="1125"/>
              </w:tabs>
              <w:spacing w:before="140" w:after="140" w:line="240" w:lineRule="atLeast"/>
              <w:ind w:left="0" w:firstLine="0"/>
              <w:rPr>
                <w:rFonts w:cs="Arial"/>
                <w:sz w:val="18"/>
                <w:szCs w:val="18"/>
                <w:lang w:val="en-US"/>
              </w:rPr>
            </w:pPr>
            <w:r w:rsidRPr="00C903F8">
              <w:rPr>
                <w:rFonts w:cs="Arial"/>
                <w:sz w:val="18"/>
                <w:szCs w:val="18"/>
                <w:lang w:val="en-US"/>
              </w:rPr>
              <w:t>Separated pipework for the second drive unit in case of hydraulic drive units</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1.1.2026</w:t>
            </w:r>
          </w:p>
        </w:tc>
      </w:tr>
      <w:tr w:rsidR="004D56BE" w:rsidRPr="00C903F8" w:rsidTr="001964F8">
        <w:trPr>
          <w:cantSplit/>
          <w:jc w:val="center"/>
        </w:trPr>
        <w:tc>
          <w:tcPr>
            <w:tcW w:w="1342" w:type="dxa"/>
            <w:vMerge/>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(2)</w:t>
            </w:r>
          </w:p>
        </w:tc>
        <w:tc>
          <w:tcPr>
            <w:tcW w:w="3296"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sidRPr="00C903F8">
              <w:rPr>
                <w:rFonts w:cs="Arial"/>
                <w:sz w:val="18"/>
                <w:szCs w:val="18"/>
                <w:lang w:val="en-US"/>
              </w:rPr>
              <w:t>Separated pipework for the second drive unit in case of hydraulic drive units</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1.1.2026</w:t>
            </w:r>
          </w:p>
        </w:tc>
      </w:tr>
      <w:tr w:rsidR="004D56BE" w:rsidRPr="00C903F8" w:rsidTr="001964F8">
        <w:trPr>
          <w:cantSplit/>
          <w:jc w:val="center"/>
        </w:trPr>
        <w:tc>
          <w:tcPr>
            <w:tcW w:w="1342" w:type="dxa"/>
            <w:vMerge/>
            <w:shd w:val="clear" w:color="auto" w:fill="auto"/>
          </w:tcPr>
          <w:p w:rsidR="004D56BE" w:rsidRPr="00C903F8" w:rsidRDefault="004D56BE" w:rsidP="00A8005B">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(3)</w:t>
            </w:r>
          </w:p>
        </w:tc>
        <w:tc>
          <w:tcPr>
            <w:tcW w:w="3296"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sidRPr="00C903F8">
              <w:rPr>
                <w:rFonts w:cs="Arial"/>
                <w:sz w:val="18"/>
                <w:szCs w:val="18"/>
                <w:lang w:val="en-US"/>
              </w:rPr>
              <w:t>Manoeuvrability required by Chapter 5 ensured by second drive unit or manual drive</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6.03</w:t>
            </w:r>
          </w:p>
        </w:tc>
        <w:tc>
          <w:tcPr>
            <w:tcW w:w="1458"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5B1BE0">
            <w:pPr>
              <w:spacing w:before="60" w:after="60" w:line="240" w:lineRule="atLeast"/>
              <w:ind w:left="0" w:firstLine="0"/>
              <w:rPr>
                <w:rFonts w:cs="Arial"/>
                <w:sz w:val="18"/>
                <w:szCs w:val="18"/>
                <w:lang w:val="en-US"/>
              </w:rPr>
            </w:pPr>
            <w:r w:rsidRPr="00C903F8">
              <w:rPr>
                <w:rFonts w:cs="Arial"/>
                <w:sz w:val="18"/>
                <w:szCs w:val="18"/>
                <w:lang w:val="en-US"/>
              </w:rPr>
              <w:t>Connection of other consumers to hydraulic steering apparatus drive unit</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1.1.2026</w:t>
            </w:r>
          </w:p>
        </w:tc>
      </w:tr>
      <w:tr w:rsidR="004D56BE" w:rsidRPr="00C903F8" w:rsidTr="001964F8">
        <w:trPr>
          <w:cantSplit/>
          <w:jc w:val="center"/>
        </w:trPr>
        <w:tc>
          <w:tcPr>
            <w:tcW w:w="1342"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6.05</w:t>
            </w:r>
          </w:p>
        </w:tc>
        <w:tc>
          <w:tcPr>
            <w:tcW w:w="1458"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sidRPr="00C903F8">
              <w:rPr>
                <w:rFonts w:cs="Arial"/>
                <w:sz w:val="18"/>
                <w:szCs w:val="18"/>
                <w:lang w:val="en-US"/>
              </w:rPr>
              <w:t>Wheel of manual drive not driven by powered drive unit</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tcBorders>
              <w:bottom w:val="single" w:sz="4" w:space="0" w:color="auto"/>
            </w:tcBorders>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6.06</w:t>
            </w:r>
          </w:p>
        </w:tc>
        <w:tc>
          <w:tcPr>
            <w:tcW w:w="1458"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noProof/>
                <w:sz w:val="18"/>
                <w:szCs w:val="18"/>
              </w:rPr>
              <w:t>Two independent steering controls</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30.12.2029</w:t>
            </w:r>
          </w:p>
        </w:tc>
      </w:tr>
      <w:tr w:rsidR="004D56BE" w:rsidRPr="00C903F8" w:rsidTr="001964F8">
        <w:trPr>
          <w:cantSplit/>
          <w:jc w:val="center"/>
        </w:trPr>
        <w:tc>
          <w:tcPr>
            <w:tcW w:w="1342" w:type="dxa"/>
            <w:tcBorders>
              <w:bottom w:val="nil"/>
            </w:tcBorders>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6.07</w:t>
            </w:r>
          </w:p>
        </w:tc>
        <w:tc>
          <w:tcPr>
            <w:tcW w:w="1458"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(2)</w:t>
            </w:r>
            <w:r>
              <w:rPr>
                <w:rFonts w:cs="Arial"/>
                <w:sz w:val="18"/>
                <w:szCs w:val="18"/>
              </w:rPr>
              <w:t>(</w:t>
            </w:r>
            <w:r w:rsidRPr="00C903F8">
              <w:rPr>
                <w:rFonts w:cs="Arial"/>
                <w:sz w:val="18"/>
                <w:szCs w:val="18"/>
              </w:rPr>
              <w:t>a)</w:t>
            </w:r>
          </w:p>
        </w:tc>
        <w:tc>
          <w:tcPr>
            <w:tcW w:w="3296" w:type="dxa"/>
            <w:shd w:val="clear" w:color="auto" w:fill="auto"/>
          </w:tcPr>
          <w:p w:rsidR="004D56BE" w:rsidRPr="00C903F8" w:rsidRDefault="004D56BE" w:rsidP="00A8005B">
            <w:pPr>
              <w:tabs>
                <w:tab w:val="left" w:pos="1080"/>
              </w:tabs>
              <w:spacing w:before="60" w:after="60" w:line="240" w:lineRule="atLeast"/>
              <w:ind w:left="0" w:firstLine="0"/>
              <w:rPr>
                <w:rFonts w:cs="Arial"/>
                <w:sz w:val="18"/>
                <w:szCs w:val="18"/>
                <w:lang w:val="en-US"/>
              </w:rPr>
            </w:pPr>
            <w:r w:rsidRPr="00C903F8">
              <w:rPr>
                <w:rFonts w:cs="Arial"/>
                <w:sz w:val="18"/>
                <w:szCs w:val="18"/>
                <w:lang w:val="en-US"/>
              </w:rPr>
              <w:t>Level alarm of the hydraulic tanks and alarm of the service pressure</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1.1.2026</w:t>
            </w:r>
          </w:p>
        </w:tc>
      </w:tr>
      <w:tr w:rsidR="004D56BE" w:rsidRPr="00296858" w:rsidTr="001964F8">
        <w:trPr>
          <w:cantSplit/>
          <w:jc w:val="center"/>
        </w:trPr>
        <w:tc>
          <w:tcPr>
            <w:tcW w:w="1342" w:type="dxa"/>
            <w:tcBorders>
              <w:top w:val="nil"/>
            </w:tcBorders>
            <w:shd w:val="clear" w:color="auto" w:fill="auto"/>
          </w:tcPr>
          <w:p w:rsidR="004D56BE" w:rsidRPr="00C903F8" w:rsidRDefault="004D56BE" w:rsidP="00A8005B">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(2)</w:t>
            </w:r>
            <w:r>
              <w:rPr>
                <w:rFonts w:cs="Arial"/>
                <w:sz w:val="18"/>
                <w:szCs w:val="18"/>
              </w:rPr>
              <w:t>(</w:t>
            </w:r>
            <w:r w:rsidRPr="00C903F8">
              <w:rPr>
                <w:rFonts w:cs="Arial"/>
                <w:sz w:val="18"/>
                <w:szCs w:val="18"/>
              </w:rPr>
              <w:t>e)</w:t>
            </w:r>
          </w:p>
        </w:tc>
        <w:tc>
          <w:tcPr>
            <w:tcW w:w="3296"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Monitoring of buffer devices</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lang w:val="en-US"/>
              </w:rPr>
            </w:pPr>
          </w:p>
        </w:tc>
      </w:tr>
      <w:tr w:rsidR="004D56BE" w:rsidRPr="00C903F8" w:rsidTr="001964F8">
        <w:trPr>
          <w:cantSplit/>
          <w:jc w:val="center"/>
        </w:trPr>
        <w:tc>
          <w:tcPr>
            <w:tcW w:w="1342"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6.08</w:t>
            </w:r>
          </w:p>
        </w:tc>
        <w:tc>
          <w:tcPr>
            <w:tcW w:w="1458"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sidRPr="00C903F8">
              <w:rPr>
                <w:rFonts w:cs="Arial"/>
                <w:sz w:val="18"/>
                <w:szCs w:val="18"/>
                <w:lang w:val="en-US"/>
              </w:rPr>
              <w:t xml:space="preserve">Requirements for electrical </w:t>
            </w:r>
            <w:r>
              <w:rPr>
                <w:rFonts w:cs="Arial"/>
                <w:sz w:val="18"/>
                <w:szCs w:val="18"/>
                <w:lang w:val="en-US"/>
              </w:rPr>
              <w:t>equipment according to Article 10.20</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30.12.2029</w:t>
            </w:r>
          </w:p>
        </w:tc>
      </w:tr>
      <w:tr w:rsidR="004D56BE" w:rsidRPr="00C903F8" w:rsidTr="001964F8">
        <w:trPr>
          <w:cantSplit/>
          <w:jc w:val="center"/>
        </w:trPr>
        <w:tc>
          <w:tcPr>
            <w:tcW w:w="6096" w:type="dxa"/>
            <w:gridSpan w:val="3"/>
            <w:shd w:val="clear" w:color="auto" w:fill="auto"/>
          </w:tcPr>
          <w:p w:rsidR="004D56BE" w:rsidRPr="00C903F8" w:rsidRDefault="004D56BE" w:rsidP="005B1BE0">
            <w:pPr>
              <w:spacing w:before="100" w:after="100" w:line="240" w:lineRule="atLeast"/>
              <w:ind w:left="0" w:firstLine="0"/>
              <w:jc w:val="center"/>
              <w:rPr>
                <w:rFonts w:cs="Arial"/>
                <w:sz w:val="18"/>
                <w:szCs w:val="18"/>
              </w:rPr>
            </w:pPr>
            <w:r w:rsidRPr="00C903F8">
              <w:rPr>
                <w:rFonts w:cs="Arial"/>
                <w:b/>
                <w:sz w:val="18"/>
                <w:szCs w:val="18"/>
              </w:rPr>
              <w:t>CHAPTER 7</w:t>
            </w:r>
          </w:p>
        </w:tc>
        <w:tc>
          <w:tcPr>
            <w:tcW w:w="6521" w:type="dxa"/>
            <w:shd w:val="clear" w:color="auto" w:fill="auto"/>
          </w:tcPr>
          <w:p w:rsidR="004D56BE" w:rsidRPr="00C903F8" w:rsidRDefault="004D56BE" w:rsidP="005B1BE0">
            <w:pPr>
              <w:spacing w:before="100" w:after="100" w:line="240" w:lineRule="atLeast"/>
              <w:ind w:left="0" w:firstLine="0"/>
              <w:rPr>
                <w:rFonts w:cs="Arial"/>
                <w:sz w:val="18"/>
                <w:szCs w:val="18"/>
              </w:rPr>
            </w:pPr>
          </w:p>
        </w:tc>
        <w:tc>
          <w:tcPr>
            <w:tcW w:w="1276" w:type="dxa"/>
            <w:shd w:val="clear" w:color="auto" w:fill="auto"/>
          </w:tcPr>
          <w:p w:rsidR="004D56BE" w:rsidRPr="00C903F8" w:rsidRDefault="004D56BE" w:rsidP="005B1BE0">
            <w:pPr>
              <w:spacing w:before="100" w:after="100" w:line="240" w:lineRule="atLeast"/>
              <w:ind w:left="0" w:firstLine="0"/>
              <w:rPr>
                <w:rFonts w:cs="Arial"/>
                <w:sz w:val="18"/>
                <w:szCs w:val="18"/>
              </w:rPr>
            </w:pPr>
          </w:p>
        </w:tc>
      </w:tr>
      <w:tr w:rsidR="004D56BE" w:rsidRPr="00C903F8" w:rsidTr="001964F8">
        <w:trPr>
          <w:cantSplit/>
          <w:jc w:val="center"/>
        </w:trPr>
        <w:tc>
          <w:tcPr>
            <w:tcW w:w="1342" w:type="dxa"/>
            <w:tcBorders>
              <w:bottom w:val="nil"/>
            </w:tcBorders>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7.02</w:t>
            </w:r>
          </w:p>
        </w:tc>
        <w:tc>
          <w:tcPr>
            <w:tcW w:w="1458"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(2) to (6)</w:t>
            </w:r>
          </w:p>
        </w:tc>
        <w:tc>
          <w:tcPr>
            <w:tcW w:w="3296" w:type="dxa"/>
            <w:shd w:val="clear" w:color="auto" w:fill="auto"/>
          </w:tcPr>
          <w:p w:rsidR="004D56BE" w:rsidRPr="00C903F8" w:rsidRDefault="004D56BE" w:rsidP="00A8005B">
            <w:pPr>
              <w:tabs>
                <w:tab w:val="right" w:pos="3856"/>
                <w:tab w:val="center" w:pos="4536"/>
                <w:tab w:val="left" w:pos="6521"/>
                <w:tab w:val="right" w:pos="9072"/>
              </w:tabs>
              <w:spacing w:before="60" w:after="60" w:line="240" w:lineRule="atLeast"/>
              <w:ind w:left="0" w:firstLine="0"/>
              <w:rPr>
                <w:rFonts w:cs="Arial"/>
                <w:sz w:val="18"/>
                <w:szCs w:val="18"/>
                <w:lang w:val="en-US"/>
              </w:rPr>
            </w:pPr>
            <w:r w:rsidRPr="00C903F8">
              <w:rPr>
                <w:rFonts w:cs="Arial"/>
                <w:color w:val="000000"/>
                <w:sz w:val="18"/>
                <w:szCs w:val="18"/>
                <w:lang w:val="en-US"/>
              </w:rPr>
              <w:t>Unobstructed view from the wheelhouse, except the following sections</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1.1.2049</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5B1BE0">
            <w:pPr>
              <w:spacing w:before="100" w:after="100" w:line="240" w:lineRule="atLeast"/>
              <w:ind w:left="0" w:firstLine="0"/>
              <w:jc w:val="center"/>
              <w:rPr>
                <w:rFonts w:cs="Arial"/>
                <w:b/>
                <w:sz w:val="18"/>
                <w:szCs w:val="18"/>
                <w:lang w:val="en-US"/>
              </w:rPr>
            </w:pPr>
          </w:p>
        </w:tc>
        <w:tc>
          <w:tcPr>
            <w:tcW w:w="1458" w:type="dxa"/>
            <w:shd w:val="clear" w:color="auto" w:fill="auto"/>
          </w:tcPr>
          <w:p w:rsidR="004D56BE" w:rsidRPr="00C903F8" w:rsidRDefault="004D56BE" w:rsidP="005B1BE0">
            <w:pPr>
              <w:spacing w:before="100" w:after="100" w:line="240" w:lineRule="atLeast"/>
              <w:ind w:left="0" w:firstLine="0"/>
              <w:jc w:val="left"/>
              <w:rPr>
                <w:rFonts w:cs="Arial"/>
                <w:sz w:val="18"/>
                <w:szCs w:val="18"/>
                <w:lang w:val="en-US"/>
              </w:rPr>
            </w:pPr>
            <w:r w:rsidRPr="00C903F8">
              <w:rPr>
                <w:rFonts w:cs="Arial"/>
                <w:sz w:val="18"/>
                <w:szCs w:val="18"/>
                <w:lang w:val="en-US"/>
              </w:rPr>
              <w:t>(3), 2</w:t>
            </w:r>
            <w:r w:rsidRPr="00C903F8">
              <w:rPr>
                <w:rFonts w:cs="Arial"/>
                <w:sz w:val="18"/>
                <w:szCs w:val="18"/>
                <w:vertAlign w:val="superscript"/>
                <w:lang w:val="en-US"/>
              </w:rPr>
              <w:t>nd</w:t>
            </w:r>
            <w:r w:rsidRPr="00C903F8">
              <w:rPr>
                <w:rFonts w:cs="Arial"/>
                <w:sz w:val="18"/>
                <w:szCs w:val="18"/>
                <w:lang w:val="en-US"/>
              </w:rPr>
              <w:t xml:space="preserve"> subparagraph</w:t>
            </w:r>
          </w:p>
        </w:tc>
        <w:tc>
          <w:tcPr>
            <w:tcW w:w="3296" w:type="dxa"/>
            <w:shd w:val="clear" w:color="auto" w:fill="auto"/>
          </w:tcPr>
          <w:p w:rsidR="004D56BE" w:rsidRPr="00C903F8" w:rsidRDefault="004D56BE" w:rsidP="005B1BE0">
            <w:pPr>
              <w:tabs>
                <w:tab w:val="right" w:pos="3856"/>
                <w:tab w:val="center" w:pos="4536"/>
                <w:tab w:val="left" w:pos="6521"/>
                <w:tab w:val="right" w:pos="9072"/>
              </w:tabs>
              <w:spacing w:before="100" w:after="100" w:line="240" w:lineRule="atLeast"/>
              <w:ind w:left="0" w:firstLine="0"/>
              <w:rPr>
                <w:rFonts w:cs="Arial"/>
                <w:sz w:val="18"/>
                <w:szCs w:val="18"/>
                <w:lang w:val="en-US"/>
              </w:rPr>
            </w:pPr>
            <w:r w:rsidRPr="00C903F8">
              <w:rPr>
                <w:rFonts w:cs="Arial"/>
                <w:color w:val="000000"/>
                <w:sz w:val="18"/>
                <w:szCs w:val="18"/>
                <w:lang w:val="en-US"/>
              </w:rPr>
              <w:t>Unobstructed view in the sightline of the helmsman</w:t>
            </w:r>
          </w:p>
        </w:tc>
        <w:tc>
          <w:tcPr>
            <w:tcW w:w="6521" w:type="dxa"/>
            <w:shd w:val="clear" w:color="auto" w:fill="auto"/>
          </w:tcPr>
          <w:p w:rsidR="004D56BE" w:rsidRPr="00C903F8" w:rsidRDefault="004D56BE" w:rsidP="005B1BE0">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5B1BE0">
            <w:pPr>
              <w:spacing w:before="100" w:after="100" w:line="240" w:lineRule="atLeast"/>
              <w:ind w:left="0" w:firstLine="0"/>
              <w:rPr>
                <w:rFonts w:cs="Arial"/>
                <w:sz w:val="18"/>
                <w:szCs w:val="18"/>
              </w:rPr>
            </w:pPr>
            <w:r w:rsidRPr="00C903F8">
              <w:rPr>
                <w:rFonts w:cs="Arial"/>
                <w:sz w:val="18"/>
                <w:szCs w:val="18"/>
              </w:rPr>
              <w:t>30.12.2029</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5B1BE0">
            <w:pPr>
              <w:spacing w:before="100" w:after="100" w:line="240" w:lineRule="atLeast"/>
              <w:ind w:left="0" w:firstLine="0"/>
              <w:rPr>
                <w:rFonts w:cs="Arial"/>
                <w:sz w:val="18"/>
                <w:szCs w:val="18"/>
              </w:rPr>
            </w:pPr>
          </w:p>
        </w:tc>
        <w:tc>
          <w:tcPr>
            <w:tcW w:w="1458" w:type="dxa"/>
            <w:vMerge w:val="restart"/>
            <w:shd w:val="clear" w:color="auto" w:fill="auto"/>
          </w:tcPr>
          <w:p w:rsidR="004D56BE" w:rsidRPr="00C903F8" w:rsidRDefault="004D56BE" w:rsidP="005B1BE0">
            <w:pPr>
              <w:spacing w:before="100" w:after="100" w:line="240" w:lineRule="atLeast"/>
              <w:ind w:left="0" w:firstLine="0"/>
              <w:rPr>
                <w:rFonts w:cs="Arial"/>
                <w:sz w:val="18"/>
                <w:szCs w:val="18"/>
              </w:rPr>
            </w:pPr>
            <w:r w:rsidRPr="00C903F8">
              <w:rPr>
                <w:rFonts w:cs="Arial"/>
                <w:sz w:val="18"/>
                <w:szCs w:val="18"/>
              </w:rPr>
              <w:t>(6)</w:t>
            </w:r>
          </w:p>
        </w:tc>
        <w:tc>
          <w:tcPr>
            <w:tcW w:w="3296" w:type="dxa"/>
            <w:vMerge w:val="restart"/>
            <w:shd w:val="clear" w:color="auto" w:fill="auto"/>
          </w:tcPr>
          <w:p w:rsidR="004D56BE" w:rsidRPr="00C903F8" w:rsidRDefault="004D56BE" w:rsidP="005B1BE0">
            <w:pPr>
              <w:tabs>
                <w:tab w:val="right" w:pos="3856"/>
                <w:tab w:val="center" w:pos="4536"/>
                <w:tab w:val="left" w:pos="6521"/>
                <w:tab w:val="right" w:pos="9072"/>
              </w:tabs>
              <w:spacing w:before="100" w:after="100" w:line="240" w:lineRule="atLeast"/>
              <w:ind w:left="0" w:firstLine="0"/>
              <w:rPr>
                <w:rFonts w:cs="Arial"/>
                <w:color w:val="000000"/>
                <w:sz w:val="18"/>
                <w:szCs w:val="18"/>
                <w:lang w:val="en-US"/>
              </w:rPr>
            </w:pPr>
            <w:r w:rsidRPr="00C903F8">
              <w:rPr>
                <w:rFonts w:cs="Arial"/>
                <w:color w:val="000000"/>
                <w:sz w:val="18"/>
                <w:szCs w:val="18"/>
                <w:lang w:val="en-US"/>
              </w:rPr>
              <w:t>Minimal light transmission of glazing</w:t>
            </w:r>
          </w:p>
        </w:tc>
        <w:tc>
          <w:tcPr>
            <w:tcW w:w="6521" w:type="dxa"/>
            <w:shd w:val="clear" w:color="auto" w:fill="auto"/>
          </w:tcPr>
          <w:p w:rsidR="004D56BE" w:rsidRPr="00C903F8" w:rsidRDefault="004D56BE" w:rsidP="005B1BE0">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5B1BE0">
            <w:pPr>
              <w:spacing w:before="100" w:after="100" w:line="240" w:lineRule="atLeast"/>
              <w:ind w:left="0" w:firstLine="0"/>
              <w:rPr>
                <w:rFonts w:cs="Arial"/>
                <w:sz w:val="18"/>
                <w:szCs w:val="18"/>
              </w:rPr>
            </w:pPr>
            <w:r w:rsidRPr="00C903F8">
              <w:rPr>
                <w:rFonts w:cs="Arial"/>
                <w:sz w:val="18"/>
                <w:szCs w:val="18"/>
              </w:rPr>
              <w:t>1.1.2024</w:t>
            </w:r>
          </w:p>
        </w:tc>
      </w:tr>
      <w:tr w:rsidR="004D56BE" w:rsidRPr="00296858" w:rsidTr="001964F8">
        <w:trPr>
          <w:cantSplit/>
          <w:jc w:val="center"/>
        </w:trPr>
        <w:tc>
          <w:tcPr>
            <w:tcW w:w="1342" w:type="dxa"/>
            <w:tcBorders>
              <w:top w:val="nil"/>
              <w:bottom w:val="nil"/>
            </w:tcBorders>
            <w:shd w:val="clear" w:color="auto" w:fill="auto"/>
          </w:tcPr>
          <w:p w:rsidR="004D56BE" w:rsidRPr="00C903F8" w:rsidRDefault="004D56BE" w:rsidP="00A8005B">
            <w:pPr>
              <w:spacing w:before="120" w:after="120" w:line="240" w:lineRule="atLeast"/>
              <w:ind w:left="0" w:firstLine="0"/>
              <w:rPr>
                <w:rFonts w:cs="Arial"/>
                <w:sz w:val="18"/>
                <w:szCs w:val="18"/>
              </w:rPr>
            </w:pPr>
          </w:p>
        </w:tc>
        <w:tc>
          <w:tcPr>
            <w:tcW w:w="1458" w:type="dxa"/>
            <w:vMerge/>
            <w:shd w:val="clear" w:color="auto" w:fill="auto"/>
          </w:tcPr>
          <w:p w:rsidR="004D56BE" w:rsidRPr="00C903F8" w:rsidRDefault="004D56BE" w:rsidP="00A8005B">
            <w:pPr>
              <w:spacing w:before="120" w:after="120" w:line="240" w:lineRule="atLeast"/>
              <w:ind w:left="0" w:firstLine="0"/>
              <w:rPr>
                <w:rFonts w:cs="Arial"/>
                <w:sz w:val="18"/>
                <w:szCs w:val="18"/>
              </w:rPr>
            </w:pPr>
          </w:p>
        </w:tc>
        <w:tc>
          <w:tcPr>
            <w:tcW w:w="3296" w:type="dxa"/>
            <w:vMerge/>
            <w:shd w:val="clear" w:color="auto" w:fill="auto"/>
          </w:tcPr>
          <w:p w:rsidR="004D56BE" w:rsidRPr="00C903F8" w:rsidRDefault="004D56BE" w:rsidP="00A8005B">
            <w:pPr>
              <w:spacing w:before="120" w:after="120" w:line="240" w:lineRule="atLeast"/>
              <w:ind w:left="0" w:firstLine="0"/>
              <w:rPr>
                <w:rFonts w:cs="Arial"/>
                <w:sz w:val="18"/>
                <w:szCs w:val="18"/>
              </w:rPr>
            </w:pPr>
          </w:p>
        </w:tc>
        <w:tc>
          <w:tcPr>
            <w:tcW w:w="6521" w:type="dxa"/>
            <w:shd w:val="clear" w:color="auto" w:fill="auto"/>
          </w:tcPr>
          <w:p w:rsidR="004D56BE" w:rsidRPr="00C903F8" w:rsidRDefault="004D56BE" w:rsidP="00A8005B">
            <w:pPr>
              <w:tabs>
                <w:tab w:val="left" w:pos="57"/>
                <w:tab w:val="left" w:pos="907"/>
              </w:tabs>
              <w:overflowPunct w:val="0"/>
              <w:adjustRightInd w:val="0"/>
              <w:spacing w:before="120" w:after="120" w:line="240" w:lineRule="atLeast"/>
              <w:ind w:left="0" w:right="57" w:firstLine="0"/>
              <w:textAlignment w:val="baseline"/>
              <w:rPr>
                <w:rFonts w:cs="Arial"/>
                <w:sz w:val="18"/>
                <w:szCs w:val="18"/>
                <w:lang w:val="en-US"/>
              </w:rPr>
            </w:pPr>
            <w:r>
              <w:rPr>
                <w:rFonts w:cs="Arial"/>
                <w:sz w:val="18"/>
                <w:szCs w:val="18"/>
                <w:lang w:val="en-US"/>
              </w:rPr>
              <w:t>N.R.C.</w:t>
            </w:r>
            <w:r w:rsidRPr="00C903F8">
              <w:rPr>
                <w:rFonts w:cs="Arial"/>
                <w:sz w:val="18"/>
                <w:szCs w:val="18"/>
                <w:lang w:val="en-US"/>
              </w:rPr>
              <w:t xml:space="preserve"> for vessels with tinted windows satisfying the following conditions:</w:t>
            </w:r>
          </w:p>
          <w:p w:rsidR="004D56BE" w:rsidRPr="00C903F8" w:rsidRDefault="004D56BE" w:rsidP="00A8005B">
            <w:pPr>
              <w:spacing w:before="120" w:after="120" w:line="240" w:lineRule="atLeast"/>
              <w:ind w:left="317" w:hanging="317"/>
              <w:rPr>
                <w:rFonts w:cs="Arial"/>
                <w:sz w:val="18"/>
                <w:szCs w:val="18"/>
                <w:lang w:val="en-US"/>
              </w:rPr>
            </w:pPr>
            <w:r w:rsidRPr="00C903F8">
              <w:rPr>
                <w:rFonts w:cs="Arial"/>
                <w:sz w:val="18"/>
                <w:szCs w:val="18"/>
                <w:lang w:val="en-US"/>
              </w:rPr>
              <w:t>-</w:t>
            </w:r>
            <w:r w:rsidRPr="00C903F8">
              <w:rPr>
                <w:rFonts w:cs="Arial"/>
                <w:sz w:val="18"/>
                <w:szCs w:val="18"/>
                <w:lang w:val="en-US"/>
              </w:rPr>
              <w:tab/>
              <w:t>The windows are tinted green and exhibit a minimum light transmission of 60 %,</w:t>
            </w:r>
          </w:p>
          <w:p w:rsidR="004D56BE" w:rsidRPr="00C903F8" w:rsidRDefault="004D56BE" w:rsidP="00A8005B">
            <w:pPr>
              <w:spacing w:before="120" w:after="120" w:line="240" w:lineRule="atLeast"/>
              <w:ind w:left="317" w:hanging="317"/>
              <w:rPr>
                <w:rFonts w:cs="Arial"/>
                <w:sz w:val="18"/>
                <w:szCs w:val="18"/>
                <w:lang w:val="en-US"/>
              </w:rPr>
            </w:pPr>
            <w:r w:rsidRPr="00C903F8">
              <w:rPr>
                <w:rFonts w:cs="Arial"/>
                <w:sz w:val="18"/>
                <w:szCs w:val="18"/>
                <w:lang w:val="en-US"/>
              </w:rPr>
              <w:t>-</w:t>
            </w:r>
            <w:r w:rsidRPr="00C903F8">
              <w:rPr>
                <w:rFonts w:cs="Arial"/>
                <w:sz w:val="18"/>
                <w:szCs w:val="18"/>
                <w:lang w:val="en-US"/>
              </w:rPr>
              <w:tab/>
              <w:t>The wheelhouse ceiling is so designed as to preclude reflections on the windows,</w:t>
            </w:r>
          </w:p>
          <w:p w:rsidR="004D56BE" w:rsidRPr="00C903F8" w:rsidRDefault="004D56BE" w:rsidP="00A8005B">
            <w:pPr>
              <w:spacing w:before="120" w:after="120" w:line="240" w:lineRule="atLeast"/>
              <w:ind w:left="317" w:hanging="317"/>
              <w:rPr>
                <w:rFonts w:cs="Arial"/>
                <w:sz w:val="18"/>
                <w:szCs w:val="18"/>
                <w:lang w:val="en-US"/>
              </w:rPr>
            </w:pPr>
            <w:r w:rsidRPr="00C903F8">
              <w:rPr>
                <w:rFonts w:cs="Arial"/>
                <w:sz w:val="18"/>
                <w:szCs w:val="18"/>
                <w:lang w:val="en-US"/>
              </w:rPr>
              <w:t>-</w:t>
            </w:r>
            <w:r w:rsidRPr="00C903F8">
              <w:rPr>
                <w:rFonts w:cs="Arial"/>
                <w:sz w:val="18"/>
                <w:szCs w:val="18"/>
                <w:lang w:val="en-US"/>
              </w:rPr>
              <w:tab/>
              <w:t>Light sources in the wheelhouse must be steplessly dimmable or capable of being switched off.</w:t>
            </w:r>
          </w:p>
          <w:p w:rsidR="004D56BE" w:rsidRPr="00C903F8" w:rsidRDefault="004D56BE" w:rsidP="00A8005B">
            <w:pPr>
              <w:spacing w:before="120" w:after="120" w:line="240" w:lineRule="atLeast"/>
              <w:ind w:left="317" w:hanging="317"/>
              <w:rPr>
                <w:rFonts w:cs="Arial"/>
                <w:sz w:val="18"/>
                <w:szCs w:val="18"/>
                <w:lang w:val="en-US"/>
              </w:rPr>
            </w:pPr>
            <w:r w:rsidRPr="00C903F8">
              <w:rPr>
                <w:rFonts w:cs="Arial"/>
                <w:sz w:val="18"/>
                <w:szCs w:val="18"/>
                <w:lang w:val="en-US"/>
              </w:rPr>
              <w:t>-</w:t>
            </w:r>
            <w:r w:rsidRPr="00C903F8">
              <w:rPr>
                <w:rFonts w:cs="Arial"/>
                <w:sz w:val="18"/>
                <w:szCs w:val="18"/>
                <w:lang w:val="en-US"/>
              </w:rPr>
              <w:tab/>
              <w:t>All reasonable measures to avoid other reflections have been take</w:t>
            </w:r>
            <w:r>
              <w:rPr>
                <w:rFonts w:cs="Arial"/>
                <w:sz w:val="18"/>
                <w:szCs w:val="18"/>
                <w:lang w:val="en-US"/>
              </w:rPr>
              <w:t>n.</w:t>
            </w:r>
          </w:p>
        </w:tc>
        <w:tc>
          <w:tcPr>
            <w:tcW w:w="1276"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p>
        </w:tc>
      </w:tr>
      <w:tr w:rsidR="004D56BE" w:rsidRPr="00C903F8" w:rsidTr="001964F8">
        <w:trPr>
          <w:cantSplit/>
          <w:jc w:val="center"/>
        </w:trPr>
        <w:tc>
          <w:tcPr>
            <w:tcW w:w="1342" w:type="dxa"/>
            <w:tcBorders>
              <w:top w:val="nil"/>
            </w:tcBorders>
            <w:shd w:val="clear" w:color="auto" w:fill="auto"/>
          </w:tcPr>
          <w:p w:rsidR="004D56BE" w:rsidRPr="00C903F8" w:rsidRDefault="004D56BE" w:rsidP="00A8005B">
            <w:pPr>
              <w:spacing w:before="160" w:after="160" w:line="240" w:lineRule="atLeast"/>
              <w:ind w:left="0" w:firstLine="0"/>
              <w:rPr>
                <w:rFonts w:cs="Arial"/>
                <w:sz w:val="18"/>
                <w:szCs w:val="18"/>
                <w:lang w:val="en-US"/>
              </w:rPr>
            </w:pPr>
          </w:p>
        </w:tc>
        <w:tc>
          <w:tcPr>
            <w:tcW w:w="1458"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(6)</w:t>
            </w:r>
          </w:p>
        </w:tc>
        <w:tc>
          <w:tcPr>
            <w:tcW w:w="3296"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lang w:val="de-DE"/>
              </w:rPr>
              <w:t>Safety glass design</w:t>
            </w:r>
          </w:p>
        </w:tc>
        <w:tc>
          <w:tcPr>
            <w:tcW w:w="6521" w:type="dxa"/>
            <w:shd w:val="clear" w:color="auto" w:fill="auto"/>
          </w:tcPr>
          <w:p w:rsidR="004D56BE" w:rsidRPr="00C903F8" w:rsidRDefault="004D56BE" w:rsidP="00A8005B">
            <w:pPr>
              <w:spacing w:before="160" w:after="160" w:line="240" w:lineRule="atLeast"/>
              <w:ind w:left="0" w:firstLine="0"/>
              <w:rPr>
                <w:rFonts w:cs="Arial"/>
                <w:sz w:val="18"/>
                <w:szCs w:val="18"/>
              </w:rPr>
            </w:pPr>
            <w:r>
              <w:rPr>
                <w:rFonts w:cs="Arial"/>
                <w:sz w:val="18"/>
                <w:szCs w:val="18"/>
              </w:rPr>
              <w:t>N.R.C.</w:t>
            </w:r>
          </w:p>
        </w:tc>
        <w:tc>
          <w:tcPr>
            <w:tcW w:w="1276" w:type="dxa"/>
            <w:shd w:val="clear" w:color="auto" w:fill="auto"/>
          </w:tcPr>
          <w:p w:rsidR="004D56BE" w:rsidRPr="00C903F8" w:rsidRDefault="004D56BE" w:rsidP="00A8005B">
            <w:pPr>
              <w:spacing w:before="160" w:after="160" w:line="240" w:lineRule="atLeast"/>
              <w:ind w:left="0" w:firstLine="0"/>
              <w:rPr>
                <w:rFonts w:cs="Arial"/>
                <w:sz w:val="18"/>
                <w:szCs w:val="18"/>
              </w:rPr>
            </w:pPr>
          </w:p>
        </w:tc>
      </w:tr>
      <w:tr w:rsidR="004D56BE" w:rsidRPr="00296858" w:rsidTr="001964F8">
        <w:trPr>
          <w:cantSplit/>
          <w:jc w:val="center"/>
        </w:trPr>
        <w:tc>
          <w:tcPr>
            <w:tcW w:w="1342" w:type="dxa"/>
            <w:vMerge w:val="restart"/>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7.03</w:t>
            </w:r>
          </w:p>
        </w:tc>
        <w:tc>
          <w:tcPr>
            <w:tcW w:w="1458"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(7)</w:t>
            </w:r>
          </w:p>
        </w:tc>
        <w:tc>
          <w:tcPr>
            <w:tcW w:w="3296"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Shutdown of alarms</w:t>
            </w:r>
          </w:p>
        </w:tc>
        <w:tc>
          <w:tcPr>
            <w:tcW w:w="6521"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p>
        </w:tc>
      </w:tr>
      <w:tr w:rsidR="004D56BE" w:rsidRPr="00C903F8" w:rsidTr="001964F8">
        <w:trPr>
          <w:cantSplit/>
          <w:jc w:val="center"/>
        </w:trPr>
        <w:tc>
          <w:tcPr>
            <w:tcW w:w="1342" w:type="dxa"/>
            <w:vMerge/>
            <w:shd w:val="clear" w:color="auto" w:fill="auto"/>
          </w:tcPr>
          <w:p w:rsidR="004D56BE" w:rsidRPr="00C903F8" w:rsidRDefault="004D56BE" w:rsidP="00A8005B">
            <w:pPr>
              <w:spacing w:before="160" w:after="160" w:line="240" w:lineRule="atLeast"/>
              <w:ind w:left="0" w:firstLine="0"/>
              <w:rPr>
                <w:rFonts w:cs="Arial"/>
                <w:sz w:val="18"/>
                <w:szCs w:val="18"/>
                <w:lang w:val="en-US"/>
              </w:rPr>
            </w:pPr>
          </w:p>
        </w:tc>
        <w:tc>
          <w:tcPr>
            <w:tcW w:w="1458"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(8)</w:t>
            </w:r>
          </w:p>
        </w:tc>
        <w:tc>
          <w:tcPr>
            <w:tcW w:w="3296"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sidRPr="00600BEE">
              <w:rPr>
                <w:rFonts w:cs="Arial"/>
                <w:sz w:val="18"/>
                <w:szCs w:val="18"/>
                <w:lang w:val="en-US"/>
              </w:rPr>
              <w:t>Automatic switch to another power source</w:t>
            </w:r>
          </w:p>
        </w:tc>
        <w:tc>
          <w:tcPr>
            <w:tcW w:w="6521"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30.12.2024</w:t>
            </w:r>
          </w:p>
        </w:tc>
      </w:tr>
      <w:tr w:rsidR="004D56BE" w:rsidRPr="00296858" w:rsidTr="001964F8">
        <w:trPr>
          <w:cantSplit/>
          <w:jc w:val="center"/>
        </w:trPr>
        <w:tc>
          <w:tcPr>
            <w:tcW w:w="1342" w:type="dxa"/>
            <w:vMerge w:val="restart"/>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sz w:val="18"/>
                <w:szCs w:val="18"/>
              </w:rPr>
              <w:t>7.04</w:t>
            </w:r>
          </w:p>
        </w:tc>
        <w:tc>
          <w:tcPr>
            <w:tcW w:w="1458" w:type="dxa"/>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A8005B">
            <w:pPr>
              <w:spacing w:before="80" w:after="80" w:line="240" w:lineRule="atLeast"/>
              <w:ind w:left="0" w:firstLine="0"/>
              <w:rPr>
                <w:rFonts w:cs="Arial"/>
                <w:sz w:val="18"/>
                <w:szCs w:val="18"/>
                <w:lang w:val="en-US"/>
              </w:rPr>
            </w:pPr>
            <w:r w:rsidRPr="00C903F8">
              <w:rPr>
                <w:rFonts w:cs="Arial"/>
                <w:sz w:val="18"/>
                <w:szCs w:val="18"/>
                <w:lang w:val="en-US"/>
              </w:rPr>
              <w:t>Control of main engines and steering systems</w:t>
            </w:r>
          </w:p>
        </w:tc>
        <w:tc>
          <w:tcPr>
            <w:tcW w:w="6521" w:type="dxa"/>
            <w:shd w:val="clear" w:color="auto" w:fill="auto"/>
          </w:tcPr>
          <w:p w:rsidR="004D56BE" w:rsidRPr="00C903F8" w:rsidRDefault="004D56BE" w:rsidP="00A8005B">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w:t>
            </w:r>
          </w:p>
        </w:tc>
        <w:tc>
          <w:tcPr>
            <w:tcW w:w="1276" w:type="dxa"/>
            <w:shd w:val="clear" w:color="auto" w:fill="auto"/>
          </w:tcPr>
          <w:p w:rsidR="004D56BE" w:rsidRPr="00C903F8" w:rsidRDefault="004D56BE" w:rsidP="00A8005B">
            <w:pPr>
              <w:spacing w:before="80" w:after="80" w:line="240" w:lineRule="atLeast"/>
              <w:ind w:left="0" w:firstLine="0"/>
              <w:rPr>
                <w:rFonts w:cs="Arial"/>
                <w:sz w:val="18"/>
                <w:szCs w:val="18"/>
                <w:lang w:val="en-US"/>
              </w:rPr>
            </w:pPr>
          </w:p>
        </w:tc>
      </w:tr>
      <w:tr w:rsidR="004D56BE" w:rsidRPr="00034331" w:rsidTr="001964F8">
        <w:trPr>
          <w:cantSplit/>
          <w:jc w:val="center"/>
        </w:trPr>
        <w:tc>
          <w:tcPr>
            <w:tcW w:w="1342" w:type="dxa"/>
            <w:vMerge/>
            <w:shd w:val="clear" w:color="auto" w:fill="auto"/>
          </w:tcPr>
          <w:p w:rsidR="004D56BE" w:rsidRPr="00C903F8" w:rsidRDefault="004D56BE" w:rsidP="00A8005B">
            <w:pPr>
              <w:spacing w:before="80" w:after="80" w:line="240" w:lineRule="atLeast"/>
              <w:ind w:left="0" w:firstLine="0"/>
              <w:rPr>
                <w:rFonts w:cs="Arial"/>
                <w:sz w:val="18"/>
                <w:szCs w:val="18"/>
                <w:lang w:val="en-US"/>
              </w:rPr>
            </w:pPr>
          </w:p>
        </w:tc>
        <w:tc>
          <w:tcPr>
            <w:tcW w:w="1458" w:type="dxa"/>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sz w:val="18"/>
                <w:szCs w:val="18"/>
              </w:rPr>
              <w:t>(2)</w:t>
            </w:r>
          </w:p>
        </w:tc>
        <w:tc>
          <w:tcPr>
            <w:tcW w:w="3296" w:type="dxa"/>
            <w:shd w:val="clear" w:color="auto" w:fill="auto"/>
          </w:tcPr>
          <w:p w:rsidR="004D56BE" w:rsidRPr="00C903F8" w:rsidRDefault="004D56BE" w:rsidP="00A8005B">
            <w:pPr>
              <w:spacing w:before="80" w:after="80" w:line="240" w:lineRule="atLeast"/>
              <w:ind w:left="0" w:firstLine="0"/>
              <w:rPr>
                <w:rFonts w:cs="Arial"/>
                <w:sz w:val="18"/>
                <w:szCs w:val="18"/>
                <w:lang w:val="en-US"/>
              </w:rPr>
            </w:pPr>
            <w:r w:rsidRPr="00C903F8">
              <w:rPr>
                <w:rFonts w:cs="Arial"/>
                <w:noProof/>
                <w:sz w:val="18"/>
                <w:szCs w:val="18"/>
                <w:lang w:val="en-US"/>
              </w:rPr>
              <w:t>Control of each main engine</w:t>
            </w:r>
          </w:p>
        </w:tc>
        <w:tc>
          <w:tcPr>
            <w:tcW w:w="6521" w:type="dxa"/>
            <w:shd w:val="clear" w:color="auto" w:fill="auto"/>
          </w:tcPr>
          <w:p w:rsidR="004D56BE" w:rsidRPr="00C903F8" w:rsidRDefault="004D56BE" w:rsidP="00A8005B">
            <w:pPr>
              <w:spacing w:before="80" w:after="80" w:line="240" w:lineRule="atLeast"/>
              <w:ind w:left="0" w:firstLine="0"/>
              <w:rPr>
                <w:rFonts w:cs="Arial"/>
                <w:sz w:val="18"/>
                <w:szCs w:val="18"/>
                <w:lang w:val="en-US"/>
              </w:rPr>
            </w:pPr>
            <w:r w:rsidRPr="00C903F8">
              <w:rPr>
                <w:rFonts w:cs="Arial"/>
                <w:noProof/>
                <w:sz w:val="18"/>
                <w:szCs w:val="18"/>
                <w:lang w:val="en-US"/>
              </w:rPr>
              <w:t xml:space="preserve">Unless wheelhouses have been designed for radar navigation by one person: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034331" w:rsidRDefault="004D56BE" w:rsidP="00A8005B">
            <w:pPr>
              <w:spacing w:before="80" w:after="80" w:line="240" w:lineRule="atLeast"/>
              <w:ind w:left="0" w:firstLine="0"/>
              <w:jc w:val="left"/>
              <w:rPr>
                <w:rFonts w:cs="Arial"/>
                <w:sz w:val="18"/>
                <w:szCs w:val="18"/>
                <w:lang w:val="en-US"/>
              </w:rPr>
            </w:pPr>
            <w:r>
              <w:rPr>
                <w:rFonts w:cs="Arial"/>
                <w:sz w:val="18"/>
                <w:szCs w:val="18"/>
                <w:lang w:val="en-US"/>
              </w:rPr>
              <w:t>30.12.2049</w:t>
            </w:r>
          </w:p>
          <w:p w:rsidR="004D56BE" w:rsidRPr="00034331" w:rsidRDefault="004D56BE" w:rsidP="00A8005B">
            <w:pPr>
              <w:spacing w:before="80" w:after="80" w:line="240" w:lineRule="atLeast"/>
              <w:ind w:left="0" w:firstLine="0"/>
              <w:jc w:val="left"/>
              <w:rPr>
                <w:rFonts w:cs="Arial"/>
                <w:sz w:val="18"/>
                <w:szCs w:val="18"/>
                <w:lang w:val="en-US"/>
              </w:rPr>
            </w:pPr>
            <w:r w:rsidRPr="00034331">
              <w:rPr>
                <w:rFonts w:cs="Arial"/>
                <w:sz w:val="18"/>
                <w:szCs w:val="18"/>
                <w:lang w:val="en-US"/>
              </w:rPr>
              <w:t>if the direction of motion can be achieved directly</w:t>
            </w:r>
          </w:p>
          <w:p w:rsidR="004D56BE" w:rsidRPr="00034331" w:rsidRDefault="004D56BE" w:rsidP="00A8005B">
            <w:pPr>
              <w:spacing w:before="80" w:after="80" w:line="240" w:lineRule="atLeast"/>
              <w:ind w:left="0" w:firstLine="0"/>
              <w:jc w:val="left"/>
              <w:rPr>
                <w:rFonts w:cs="Arial"/>
                <w:sz w:val="18"/>
                <w:szCs w:val="18"/>
                <w:lang w:val="en-US"/>
              </w:rPr>
            </w:pPr>
            <w:r>
              <w:rPr>
                <w:rFonts w:cs="Arial"/>
                <w:sz w:val="18"/>
                <w:szCs w:val="18"/>
                <w:lang w:val="en-US"/>
              </w:rPr>
              <w:t>30.12.2024</w:t>
            </w:r>
            <w:r w:rsidRPr="00034331">
              <w:rPr>
                <w:rFonts w:cs="Arial"/>
                <w:sz w:val="18"/>
                <w:szCs w:val="18"/>
                <w:lang w:val="en-US"/>
              </w:rPr>
              <w:t xml:space="preserve"> </w:t>
            </w:r>
          </w:p>
          <w:p w:rsidR="004D56BE" w:rsidRPr="00034331" w:rsidRDefault="004D56BE" w:rsidP="00A8005B">
            <w:pPr>
              <w:spacing w:before="80" w:after="80" w:line="240" w:lineRule="atLeast"/>
              <w:ind w:left="0" w:firstLine="0"/>
              <w:jc w:val="left"/>
              <w:rPr>
                <w:rFonts w:cs="Arial"/>
                <w:sz w:val="18"/>
                <w:szCs w:val="18"/>
                <w:lang w:val="en-US"/>
              </w:rPr>
            </w:pPr>
            <w:r w:rsidRPr="00034331">
              <w:rPr>
                <w:rFonts w:cs="Arial"/>
                <w:sz w:val="18"/>
                <w:szCs w:val="18"/>
                <w:lang w:val="en-US"/>
              </w:rPr>
              <w:t>for other engines</w:t>
            </w:r>
            <w:r>
              <w:rPr>
                <w:rFonts w:cs="Arial"/>
                <w:sz w:val="18"/>
                <w:szCs w:val="18"/>
                <w:lang w:val="en-US"/>
              </w:rPr>
              <w:t>.</w:t>
            </w:r>
          </w:p>
        </w:tc>
      </w:tr>
      <w:tr w:rsidR="004D56BE" w:rsidRPr="00C903F8" w:rsidTr="001964F8">
        <w:trPr>
          <w:cantSplit/>
          <w:jc w:val="center"/>
        </w:trPr>
        <w:tc>
          <w:tcPr>
            <w:tcW w:w="1342" w:type="dxa"/>
            <w:vMerge/>
            <w:shd w:val="clear" w:color="auto" w:fill="auto"/>
          </w:tcPr>
          <w:p w:rsidR="004D56BE" w:rsidRPr="00034331" w:rsidRDefault="004D56BE" w:rsidP="00A8005B">
            <w:pPr>
              <w:spacing w:before="120" w:after="120" w:line="240" w:lineRule="atLeast"/>
              <w:ind w:left="0" w:firstLine="0"/>
              <w:rPr>
                <w:rFonts w:cs="Arial"/>
                <w:sz w:val="18"/>
                <w:szCs w:val="18"/>
                <w:lang w:val="en-US"/>
              </w:rPr>
            </w:pPr>
          </w:p>
        </w:tc>
        <w:tc>
          <w:tcPr>
            <w:tcW w:w="1458" w:type="dxa"/>
            <w:shd w:val="clear" w:color="auto" w:fill="auto"/>
          </w:tcPr>
          <w:p w:rsidR="004D56BE" w:rsidRPr="00034331" w:rsidRDefault="004D56BE" w:rsidP="00A8005B">
            <w:pPr>
              <w:spacing w:before="120" w:after="120" w:line="240" w:lineRule="atLeast"/>
              <w:ind w:left="0" w:firstLine="0"/>
              <w:rPr>
                <w:rFonts w:cs="Arial"/>
                <w:sz w:val="18"/>
                <w:szCs w:val="18"/>
                <w:lang w:val="en-US"/>
              </w:rPr>
            </w:pPr>
            <w:r w:rsidRPr="00034331">
              <w:rPr>
                <w:rFonts w:cs="Arial"/>
                <w:sz w:val="18"/>
                <w:szCs w:val="18"/>
                <w:lang w:val="en-US"/>
              </w:rPr>
              <w:t>(3)</w:t>
            </w:r>
          </w:p>
        </w:tc>
        <w:tc>
          <w:tcPr>
            <w:tcW w:w="3296" w:type="dxa"/>
            <w:shd w:val="clear" w:color="auto" w:fill="auto"/>
          </w:tcPr>
          <w:p w:rsidR="004D56BE" w:rsidRPr="00034331" w:rsidRDefault="004D56BE" w:rsidP="00A8005B">
            <w:pPr>
              <w:spacing w:before="120" w:after="120" w:line="240" w:lineRule="atLeast"/>
              <w:ind w:left="0" w:firstLine="0"/>
              <w:rPr>
                <w:rFonts w:cs="Arial"/>
                <w:sz w:val="18"/>
                <w:szCs w:val="18"/>
                <w:lang w:val="en-US"/>
              </w:rPr>
            </w:pPr>
            <w:r w:rsidRPr="00034331">
              <w:rPr>
                <w:rFonts w:cs="Arial"/>
                <w:noProof/>
                <w:sz w:val="18"/>
                <w:szCs w:val="18"/>
                <w:lang w:val="en-US"/>
              </w:rPr>
              <w:t>Display</w:t>
            </w:r>
          </w:p>
        </w:tc>
        <w:tc>
          <w:tcPr>
            <w:tcW w:w="6521" w:type="dxa"/>
            <w:shd w:val="clear" w:color="auto" w:fill="auto"/>
          </w:tcPr>
          <w:p w:rsidR="004D56BE" w:rsidRPr="00C903F8" w:rsidRDefault="004D56BE" w:rsidP="00A8005B">
            <w:pPr>
              <w:spacing w:before="120" w:after="120" w:line="240" w:lineRule="atLeast"/>
              <w:ind w:left="0" w:firstLine="0"/>
              <w:rPr>
                <w:rFonts w:cs="Arial"/>
                <w:noProof/>
                <w:sz w:val="18"/>
                <w:szCs w:val="18"/>
                <w:lang w:val="en-US"/>
              </w:rPr>
            </w:pPr>
            <w:r w:rsidRPr="00C903F8">
              <w:rPr>
                <w:rFonts w:cs="Arial"/>
                <w:noProof/>
                <w:sz w:val="18"/>
                <w:szCs w:val="18"/>
                <w:lang w:val="en-US"/>
              </w:rPr>
              <w:t xml:space="preserve">Unless wheelhouses have been designed for radar navigation by one person: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vMerge/>
            <w:shd w:val="clear" w:color="auto" w:fill="auto"/>
          </w:tcPr>
          <w:p w:rsidR="004D56BE" w:rsidRPr="00C903F8" w:rsidRDefault="004D56BE" w:rsidP="00A8005B">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60" w:after="60" w:line="240" w:lineRule="atLeast"/>
              <w:ind w:left="0" w:firstLine="0"/>
              <w:jc w:val="left"/>
              <w:rPr>
                <w:rFonts w:cs="Arial"/>
                <w:sz w:val="18"/>
                <w:szCs w:val="18"/>
              </w:rPr>
            </w:pPr>
            <w:r w:rsidRPr="00C903F8">
              <w:rPr>
                <w:rFonts w:cs="Arial"/>
                <w:sz w:val="18"/>
                <w:szCs w:val="18"/>
              </w:rPr>
              <w:t>(9) 3th sentence</w:t>
            </w:r>
          </w:p>
        </w:tc>
        <w:tc>
          <w:tcPr>
            <w:tcW w:w="3296"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noProof/>
                <w:sz w:val="18"/>
                <w:szCs w:val="18"/>
              </w:rPr>
              <w:t>Control by a lever</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vMerge/>
            <w:shd w:val="clear" w:color="auto" w:fill="auto"/>
          </w:tcPr>
          <w:p w:rsidR="004D56BE" w:rsidRPr="00C903F8" w:rsidRDefault="004D56BE" w:rsidP="00A8005B">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60" w:after="60" w:line="240" w:lineRule="atLeast"/>
              <w:ind w:left="0" w:firstLine="0"/>
              <w:jc w:val="left"/>
              <w:rPr>
                <w:rFonts w:cs="Arial"/>
                <w:sz w:val="18"/>
                <w:szCs w:val="18"/>
                <w:lang w:val="en-US"/>
              </w:rPr>
            </w:pPr>
            <w:r w:rsidRPr="00C903F8">
              <w:rPr>
                <w:rFonts w:cs="Arial"/>
                <w:sz w:val="18"/>
                <w:szCs w:val="18"/>
                <w:lang w:val="en-US"/>
              </w:rPr>
              <w:t>(9) 4</w:t>
            </w:r>
            <w:r w:rsidRPr="00C903F8">
              <w:rPr>
                <w:rFonts w:cs="Arial"/>
                <w:sz w:val="18"/>
                <w:szCs w:val="18"/>
                <w:vertAlign w:val="superscript"/>
                <w:lang w:val="en-US"/>
              </w:rPr>
              <w:t>th </w:t>
            </w:r>
            <w:r w:rsidRPr="00C903F8">
              <w:rPr>
                <w:rFonts w:cs="Arial"/>
                <w:sz w:val="18"/>
                <w:szCs w:val="18"/>
                <w:lang w:val="en-US"/>
              </w:rPr>
              <w:t>sentence</w:t>
            </w:r>
          </w:p>
        </w:tc>
        <w:tc>
          <w:tcPr>
            <w:tcW w:w="3296"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sidRPr="00C903F8">
              <w:rPr>
                <w:rFonts w:cs="Arial"/>
                <w:noProof/>
                <w:sz w:val="18"/>
                <w:szCs w:val="18"/>
                <w:lang w:val="en-US"/>
              </w:rPr>
              <w:t>Clearly show the direction of the thrust</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lang w:val="en-US"/>
              </w:rPr>
              <w:t>30.</w:t>
            </w:r>
            <w:r w:rsidRPr="00C903F8">
              <w:rPr>
                <w:rFonts w:cs="Arial"/>
                <w:sz w:val="18"/>
                <w:szCs w:val="18"/>
              </w:rPr>
              <w:t>12.2024</w:t>
            </w:r>
          </w:p>
        </w:tc>
      </w:tr>
      <w:tr w:rsidR="004D56BE" w:rsidRPr="00296858" w:rsidTr="001964F8">
        <w:trPr>
          <w:cantSplit/>
          <w:jc w:val="center"/>
        </w:trPr>
        <w:tc>
          <w:tcPr>
            <w:tcW w:w="1342" w:type="dxa"/>
            <w:tcBorders>
              <w:bottom w:val="single" w:sz="4" w:space="0" w:color="auto"/>
            </w:tcBorders>
            <w:shd w:val="clear" w:color="auto" w:fill="auto"/>
          </w:tcPr>
          <w:p w:rsidR="004D56BE" w:rsidRPr="00DE735E" w:rsidRDefault="004D56BE" w:rsidP="00A8005B">
            <w:pPr>
              <w:spacing w:before="60" w:after="60" w:line="240" w:lineRule="atLeast"/>
              <w:rPr>
                <w:rFonts w:cs="Arial"/>
                <w:sz w:val="18"/>
                <w:szCs w:val="18"/>
              </w:rPr>
            </w:pPr>
            <w:r w:rsidRPr="00DE735E">
              <w:rPr>
                <w:rFonts w:cs="Arial"/>
                <w:sz w:val="18"/>
                <w:szCs w:val="18"/>
              </w:rPr>
              <w:t>7.05</w:t>
            </w:r>
          </w:p>
        </w:tc>
        <w:tc>
          <w:tcPr>
            <w:tcW w:w="1458" w:type="dxa"/>
            <w:tcBorders>
              <w:bottom w:val="single" w:sz="4" w:space="0" w:color="auto"/>
            </w:tcBorders>
            <w:shd w:val="clear" w:color="auto" w:fill="auto"/>
          </w:tcPr>
          <w:p w:rsidR="004D56BE" w:rsidRPr="00DE735E" w:rsidRDefault="004D56BE" w:rsidP="00A8005B">
            <w:pPr>
              <w:spacing w:before="60" w:after="60" w:line="240" w:lineRule="atLeast"/>
              <w:rPr>
                <w:rFonts w:cs="Arial"/>
                <w:sz w:val="18"/>
                <w:szCs w:val="18"/>
              </w:rPr>
            </w:pPr>
            <w:r w:rsidRPr="00DE735E">
              <w:rPr>
                <w:rFonts w:cs="Arial"/>
                <w:sz w:val="18"/>
                <w:szCs w:val="18"/>
              </w:rPr>
              <w:t>(1)</w:t>
            </w:r>
          </w:p>
        </w:tc>
        <w:tc>
          <w:tcPr>
            <w:tcW w:w="3296" w:type="dxa"/>
            <w:tcBorders>
              <w:bottom w:val="single" w:sz="4" w:space="0" w:color="auto"/>
            </w:tcBorders>
            <w:shd w:val="clear" w:color="auto" w:fill="auto"/>
          </w:tcPr>
          <w:p w:rsidR="004D56BE" w:rsidRPr="00B90A00" w:rsidRDefault="004D56BE" w:rsidP="00A8005B">
            <w:pPr>
              <w:spacing w:before="60" w:after="60" w:line="240" w:lineRule="atLeast"/>
              <w:ind w:left="0" w:firstLine="0"/>
              <w:rPr>
                <w:rFonts w:cs="Arial"/>
                <w:sz w:val="18"/>
                <w:szCs w:val="18"/>
                <w:lang w:val="en-GB"/>
              </w:rPr>
            </w:pPr>
            <w:r w:rsidRPr="00DE735E">
              <w:rPr>
                <w:rFonts w:cs="Arial"/>
                <w:noProof/>
                <w:sz w:val="18"/>
                <w:szCs w:val="18"/>
                <w:lang w:val="en-US"/>
              </w:rPr>
              <w:t>Navigation lights, their casings, accessories and light sources</w:t>
            </w:r>
          </w:p>
        </w:tc>
        <w:tc>
          <w:tcPr>
            <w:tcW w:w="6521" w:type="dxa"/>
            <w:shd w:val="clear" w:color="auto" w:fill="auto"/>
          </w:tcPr>
          <w:p w:rsidR="004D56BE" w:rsidRPr="00DE735E" w:rsidRDefault="004D56BE" w:rsidP="00A8005B">
            <w:pPr>
              <w:spacing w:before="60" w:after="60" w:line="240" w:lineRule="atLeast"/>
              <w:rPr>
                <w:rFonts w:cs="Arial"/>
                <w:sz w:val="18"/>
                <w:szCs w:val="18"/>
                <w:lang w:val="en-US"/>
              </w:rPr>
            </w:pPr>
            <w:r w:rsidRPr="00DE735E">
              <w:rPr>
                <w:rFonts w:cs="Arial"/>
                <w:sz w:val="18"/>
                <w:szCs w:val="18"/>
                <w:lang w:val="en-US"/>
              </w:rPr>
              <w:t xml:space="preserve">Navigation lights, their casings, accessories, and light sources that fulfill </w:t>
            </w:r>
          </w:p>
          <w:p w:rsidR="004D56BE" w:rsidRPr="00DE735E" w:rsidRDefault="004D56BE" w:rsidP="00A8005B">
            <w:pPr>
              <w:spacing w:before="60" w:after="60" w:line="240" w:lineRule="atLeast"/>
              <w:ind w:left="317" w:hanging="317"/>
              <w:rPr>
                <w:rFonts w:cs="Arial"/>
                <w:sz w:val="18"/>
                <w:szCs w:val="18"/>
                <w:lang w:val="en-US"/>
              </w:rPr>
            </w:pPr>
            <w:r w:rsidRPr="00DE735E">
              <w:rPr>
                <w:rFonts w:cs="Arial"/>
                <w:sz w:val="18"/>
                <w:szCs w:val="18"/>
                <w:lang w:val="en-US"/>
              </w:rPr>
              <w:t>-</w:t>
            </w:r>
            <w:r w:rsidRPr="00DE735E">
              <w:rPr>
                <w:rFonts w:cs="Arial"/>
                <w:sz w:val="18"/>
                <w:szCs w:val="18"/>
                <w:lang w:val="en-US"/>
              </w:rPr>
              <w:tab/>
              <w:t>the requirements for colo</w:t>
            </w:r>
            <w:r>
              <w:rPr>
                <w:rFonts w:cs="Arial"/>
                <w:sz w:val="18"/>
                <w:szCs w:val="18"/>
                <w:lang w:val="en-US"/>
              </w:rPr>
              <w:t>u</w:t>
            </w:r>
            <w:r w:rsidRPr="00DE735E">
              <w:rPr>
                <w:rFonts w:cs="Arial"/>
                <w:sz w:val="18"/>
                <w:szCs w:val="18"/>
                <w:lang w:val="en-US"/>
              </w:rPr>
              <w:t xml:space="preserve">r and light </w:t>
            </w:r>
            <w:r>
              <w:rPr>
                <w:rFonts w:cs="Arial"/>
                <w:sz w:val="18"/>
                <w:szCs w:val="18"/>
                <w:lang w:val="en-US"/>
              </w:rPr>
              <w:t xml:space="preserve">of lights on board, and the </w:t>
            </w:r>
            <w:r w:rsidRPr="00DE735E">
              <w:rPr>
                <w:rFonts w:cs="Arial"/>
                <w:sz w:val="18"/>
                <w:szCs w:val="18"/>
                <w:lang w:val="en-US"/>
              </w:rPr>
              <w:t xml:space="preserve">admission of </w:t>
            </w:r>
            <w:r>
              <w:rPr>
                <w:rFonts w:cs="Arial"/>
                <w:sz w:val="18"/>
                <w:szCs w:val="18"/>
                <w:lang w:val="en-US"/>
              </w:rPr>
              <w:t>navigation</w:t>
            </w:r>
            <w:r w:rsidRPr="00DE735E">
              <w:rPr>
                <w:rFonts w:cs="Arial"/>
                <w:sz w:val="18"/>
                <w:szCs w:val="18"/>
                <w:lang w:val="en-US"/>
              </w:rPr>
              <w:t xml:space="preserve"> lights for navigation on the Rhine as of 30 November 2009 </w:t>
            </w:r>
            <w:r w:rsidRPr="00B90A00">
              <w:rPr>
                <w:rFonts w:cs="Arial"/>
                <w:sz w:val="18"/>
                <w:szCs w:val="18"/>
                <w:lang w:val="en-GB"/>
              </w:rPr>
              <w:t>may still be used;</w:t>
            </w:r>
          </w:p>
          <w:p w:rsidR="004D56BE" w:rsidRPr="000A7F57" w:rsidRDefault="004D56BE" w:rsidP="00A8005B">
            <w:pPr>
              <w:spacing w:before="60" w:after="60" w:line="240" w:lineRule="atLeast"/>
              <w:ind w:left="317" w:hanging="317"/>
              <w:rPr>
                <w:rFonts w:cs="Arial"/>
                <w:sz w:val="18"/>
                <w:szCs w:val="18"/>
                <w:lang w:val="en-US"/>
              </w:rPr>
            </w:pPr>
            <w:r w:rsidRPr="00DE735E">
              <w:rPr>
                <w:rFonts w:cs="Arial"/>
                <w:sz w:val="18"/>
                <w:szCs w:val="18"/>
                <w:lang w:val="en-US"/>
              </w:rPr>
              <w:t>-</w:t>
            </w:r>
            <w:r w:rsidRPr="00DE735E">
              <w:rPr>
                <w:rFonts w:cs="Arial"/>
                <w:sz w:val="18"/>
                <w:szCs w:val="18"/>
                <w:lang w:val="en-US"/>
              </w:rPr>
              <w:tab/>
              <w:t>the respective requirements of a Member State as of 30 November 2009</w:t>
            </w:r>
            <w:r>
              <w:rPr>
                <w:rFonts w:cs="Arial"/>
                <w:sz w:val="18"/>
                <w:szCs w:val="18"/>
                <w:lang w:val="en-US"/>
              </w:rPr>
              <w:t xml:space="preserve"> </w:t>
            </w:r>
            <w:r w:rsidRPr="00B90A00">
              <w:rPr>
                <w:rFonts w:cs="Arial"/>
                <w:sz w:val="18"/>
                <w:szCs w:val="18"/>
                <w:lang w:val="en-GB"/>
              </w:rPr>
              <w:t>may still be used.</w:t>
            </w:r>
          </w:p>
        </w:tc>
        <w:tc>
          <w:tcPr>
            <w:tcW w:w="1276" w:type="dxa"/>
            <w:shd w:val="clear" w:color="auto" w:fill="auto"/>
          </w:tcPr>
          <w:p w:rsidR="004D56BE" w:rsidRPr="00B90A00" w:rsidRDefault="004D56BE" w:rsidP="00A8005B">
            <w:pPr>
              <w:spacing w:before="60" w:after="60" w:line="240" w:lineRule="atLeast"/>
              <w:rPr>
                <w:rFonts w:cs="Arial"/>
                <w:sz w:val="18"/>
                <w:szCs w:val="18"/>
                <w:lang w:val="en-GB"/>
              </w:rPr>
            </w:pPr>
          </w:p>
        </w:tc>
      </w:tr>
      <w:tr w:rsidR="004D56BE" w:rsidRPr="00C903F8" w:rsidTr="00AB6D23">
        <w:trPr>
          <w:cantSplit/>
          <w:jc w:val="center"/>
        </w:trPr>
        <w:tc>
          <w:tcPr>
            <w:tcW w:w="1342" w:type="dxa"/>
            <w:tcBorders>
              <w:bottom w:val="nil"/>
            </w:tcBorders>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7.06</w:t>
            </w:r>
          </w:p>
        </w:tc>
        <w:tc>
          <w:tcPr>
            <w:tcW w:w="1458" w:type="dxa"/>
            <w:vMerge w:val="restart"/>
            <w:shd w:val="clear" w:color="auto" w:fill="auto"/>
          </w:tcPr>
          <w:p w:rsidR="004D56BE" w:rsidRPr="00DE735E" w:rsidRDefault="004D56BE" w:rsidP="00A8005B">
            <w:pPr>
              <w:spacing w:before="60" w:after="60" w:line="240" w:lineRule="atLeast"/>
              <w:rPr>
                <w:rFonts w:cs="Arial"/>
                <w:sz w:val="18"/>
                <w:szCs w:val="18"/>
              </w:rPr>
            </w:pPr>
            <w:r w:rsidRPr="00DE735E">
              <w:rPr>
                <w:rFonts w:cs="Arial"/>
                <w:sz w:val="18"/>
                <w:szCs w:val="18"/>
              </w:rPr>
              <w:t>(1)</w:t>
            </w:r>
          </w:p>
        </w:tc>
        <w:tc>
          <w:tcPr>
            <w:tcW w:w="3296" w:type="dxa"/>
            <w:vMerge w:val="restart"/>
            <w:shd w:val="clear" w:color="auto" w:fill="auto"/>
          </w:tcPr>
          <w:p w:rsidR="004D56BE" w:rsidRPr="00B90A00" w:rsidRDefault="004D56BE" w:rsidP="00A8005B">
            <w:pPr>
              <w:adjustRightInd w:val="0"/>
              <w:spacing w:before="60" w:after="60" w:line="240" w:lineRule="atLeast"/>
              <w:ind w:left="0" w:firstLine="0"/>
              <w:rPr>
                <w:rFonts w:cs="Arial"/>
                <w:sz w:val="18"/>
                <w:szCs w:val="18"/>
                <w:lang w:val="en-GB"/>
              </w:rPr>
            </w:pPr>
            <w:r>
              <w:rPr>
                <w:rFonts w:cs="Arial"/>
                <w:noProof/>
                <w:sz w:val="18"/>
                <w:szCs w:val="18"/>
                <w:lang w:val="en-US"/>
              </w:rPr>
              <w:t>Radar navigation</w:t>
            </w:r>
            <w:r w:rsidRPr="00DE735E">
              <w:rPr>
                <w:rFonts w:cs="Arial"/>
                <w:noProof/>
                <w:sz w:val="18"/>
                <w:szCs w:val="18"/>
                <w:lang w:val="en-US"/>
              </w:rPr>
              <w:t xml:space="preserve"> installation</w:t>
            </w:r>
            <w:r>
              <w:rPr>
                <w:rFonts w:cs="Arial"/>
                <w:noProof/>
                <w:sz w:val="18"/>
                <w:szCs w:val="18"/>
                <w:lang w:val="en-US"/>
              </w:rPr>
              <w:t>s</w:t>
            </w:r>
            <w:r w:rsidRPr="00DE735E">
              <w:rPr>
                <w:rFonts w:cs="Arial"/>
                <w:noProof/>
                <w:sz w:val="18"/>
                <w:szCs w:val="18"/>
                <w:lang w:val="en-US"/>
              </w:rPr>
              <w:t xml:space="preserve"> and rate-of-turn indicators which have received an approval before 31</w:t>
            </w:r>
            <w:r w:rsidRPr="006162EE">
              <w:rPr>
                <w:rFonts w:cs="Arial"/>
                <w:noProof/>
                <w:sz w:val="18"/>
                <w:szCs w:val="18"/>
                <w:vertAlign w:val="superscript"/>
                <w:lang w:val="en-US"/>
              </w:rPr>
              <w:t>st</w:t>
            </w:r>
            <w:r>
              <w:rPr>
                <w:rFonts w:cs="Arial"/>
                <w:noProof/>
                <w:sz w:val="18"/>
                <w:szCs w:val="18"/>
                <w:vertAlign w:val="superscript"/>
                <w:lang w:val="en-US"/>
              </w:rPr>
              <w:t> </w:t>
            </w:r>
            <w:r>
              <w:rPr>
                <w:rFonts w:cs="Arial"/>
                <w:noProof/>
                <w:sz w:val="18"/>
                <w:szCs w:val="18"/>
                <w:lang w:val="en-US"/>
              </w:rPr>
              <w:t xml:space="preserve">December </w:t>
            </w:r>
            <w:r w:rsidRPr="00DE735E">
              <w:rPr>
                <w:rFonts w:cs="Arial"/>
                <w:noProof/>
                <w:sz w:val="18"/>
                <w:szCs w:val="18"/>
                <w:lang w:val="en-US"/>
              </w:rPr>
              <w:t>2012</w:t>
            </w:r>
          </w:p>
        </w:tc>
        <w:tc>
          <w:tcPr>
            <w:tcW w:w="6521" w:type="dxa"/>
            <w:shd w:val="clear" w:color="auto" w:fill="auto"/>
          </w:tcPr>
          <w:p w:rsidR="004D56BE" w:rsidRPr="00B90A00" w:rsidRDefault="004D56BE" w:rsidP="00A8005B">
            <w:pPr>
              <w:adjustRightInd w:val="0"/>
              <w:spacing w:before="60" w:after="60" w:line="240" w:lineRule="atLeast"/>
              <w:ind w:left="0" w:firstLine="0"/>
              <w:rPr>
                <w:rFonts w:cs="Arial"/>
                <w:sz w:val="18"/>
                <w:szCs w:val="18"/>
                <w:lang w:val="en-GB"/>
              </w:rPr>
            </w:pPr>
            <w:r w:rsidRPr="00DE735E">
              <w:rPr>
                <w:rFonts w:cs="Arial"/>
                <w:noProof/>
                <w:sz w:val="18"/>
                <w:szCs w:val="18"/>
                <w:lang w:val="en-US"/>
              </w:rPr>
              <w:t xml:space="preserve">Radar navigation </w:t>
            </w:r>
            <w:r>
              <w:rPr>
                <w:rFonts w:cs="Arial"/>
                <w:noProof/>
                <w:sz w:val="18"/>
                <w:szCs w:val="18"/>
                <w:lang w:val="en-US"/>
              </w:rPr>
              <w:t>installations</w:t>
            </w:r>
            <w:r w:rsidRPr="00DE735E">
              <w:rPr>
                <w:rFonts w:cs="Arial"/>
                <w:noProof/>
                <w:sz w:val="18"/>
                <w:szCs w:val="18"/>
                <w:lang w:val="en-US"/>
              </w:rPr>
              <w:t xml:space="preserve"> and rate-of-turn indicators, which have been approved and installed pursuant to a Member State’s regulations before 31</w:t>
            </w:r>
            <w:r w:rsidRPr="006162EE">
              <w:rPr>
                <w:rFonts w:cs="Arial"/>
                <w:noProof/>
                <w:sz w:val="18"/>
                <w:szCs w:val="18"/>
                <w:vertAlign w:val="superscript"/>
                <w:lang w:val="en-US"/>
              </w:rPr>
              <w:t>st</w:t>
            </w:r>
            <w:r>
              <w:rPr>
                <w:rFonts w:cs="Arial"/>
                <w:noProof/>
                <w:sz w:val="18"/>
                <w:szCs w:val="18"/>
                <w:lang w:val="en-US"/>
              </w:rPr>
              <w:t xml:space="preserve"> December </w:t>
            </w:r>
            <w:r w:rsidRPr="00DE735E">
              <w:rPr>
                <w:rFonts w:cs="Arial"/>
                <w:noProof/>
                <w:sz w:val="18"/>
                <w:szCs w:val="18"/>
                <w:lang w:val="en-US"/>
              </w:rPr>
              <w:t xml:space="preserve">2012 may continue to be </w:t>
            </w:r>
            <w:r>
              <w:rPr>
                <w:rFonts w:cs="Arial"/>
                <w:noProof/>
                <w:sz w:val="18"/>
                <w:szCs w:val="18"/>
                <w:lang w:val="en-US"/>
              </w:rPr>
              <w:t>maintained and used</w:t>
            </w:r>
            <w:r w:rsidRPr="00DE735E">
              <w:rPr>
                <w:rFonts w:cs="Arial"/>
                <w:noProof/>
                <w:sz w:val="18"/>
                <w:szCs w:val="18"/>
                <w:lang w:val="en-US"/>
              </w:rPr>
              <w:t xml:space="preserve"> until the renewal of the inland navigation vessel certificate after</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31.12.2018</w:t>
            </w:r>
          </w:p>
        </w:tc>
      </w:tr>
      <w:tr w:rsidR="004D56BE" w:rsidRPr="00296858" w:rsidTr="00AB6D23">
        <w:trPr>
          <w:cantSplit/>
          <w:jc w:val="center"/>
        </w:trPr>
        <w:tc>
          <w:tcPr>
            <w:tcW w:w="1342" w:type="dxa"/>
            <w:tcBorders>
              <w:top w:val="nil"/>
              <w:bottom w:val="nil"/>
            </w:tcBorders>
            <w:shd w:val="clear" w:color="auto" w:fill="auto"/>
          </w:tcPr>
          <w:p w:rsidR="004D56BE" w:rsidRPr="00C903F8" w:rsidRDefault="004D56BE" w:rsidP="00A8005B">
            <w:pPr>
              <w:spacing w:before="60" w:after="60" w:line="240" w:lineRule="atLeast"/>
              <w:ind w:left="0" w:firstLine="0"/>
              <w:rPr>
                <w:rFonts w:cs="Arial"/>
                <w:sz w:val="18"/>
                <w:szCs w:val="18"/>
              </w:rPr>
            </w:pPr>
          </w:p>
        </w:tc>
        <w:tc>
          <w:tcPr>
            <w:tcW w:w="1458" w:type="dxa"/>
            <w:vMerge/>
            <w:shd w:val="clear" w:color="auto" w:fill="auto"/>
          </w:tcPr>
          <w:p w:rsidR="004D56BE" w:rsidRPr="00C903F8" w:rsidRDefault="004D56BE" w:rsidP="00A8005B">
            <w:pPr>
              <w:spacing w:before="60" w:after="60" w:line="240" w:lineRule="atLeast"/>
              <w:ind w:left="0" w:firstLine="0"/>
              <w:rPr>
                <w:rFonts w:cs="Arial"/>
                <w:sz w:val="18"/>
                <w:szCs w:val="18"/>
              </w:rPr>
            </w:pPr>
          </w:p>
        </w:tc>
        <w:tc>
          <w:tcPr>
            <w:tcW w:w="3296" w:type="dxa"/>
            <w:vMerge/>
            <w:shd w:val="clear" w:color="auto" w:fill="auto"/>
          </w:tcPr>
          <w:p w:rsidR="004D56BE" w:rsidRPr="00C903F8" w:rsidRDefault="004D56BE" w:rsidP="00A8005B">
            <w:pPr>
              <w:spacing w:before="60" w:after="60" w:line="240" w:lineRule="atLeast"/>
              <w:ind w:left="0" w:firstLine="0"/>
              <w:rPr>
                <w:rFonts w:cs="Arial"/>
                <w:sz w:val="18"/>
                <w:szCs w:val="18"/>
              </w:rPr>
            </w:pP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sidRPr="00DE735E">
              <w:rPr>
                <w:rFonts w:cs="Arial"/>
                <w:noProof/>
                <w:sz w:val="18"/>
                <w:szCs w:val="18"/>
                <w:lang w:val="en-US"/>
              </w:rPr>
              <w:t>These systems must be entered in item 52 of the inland navigation vessel certificate.</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lang w:val="en-US"/>
              </w:rPr>
            </w:pPr>
          </w:p>
        </w:tc>
      </w:tr>
      <w:tr w:rsidR="004D56BE" w:rsidRPr="00296858" w:rsidTr="00AB6D23">
        <w:trPr>
          <w:cantSplit/>
          <w:jc w:val="center"/>
        </w:trPr>
        <w:tc>
          <w:tcPr>
            <w:tcW w:w="1342" w:type="dxa"/>
            <w:tcBorders>
              <w:top w:val="nil"/>
              <w:bottom w:val="nil"/>
            </w:tcBorders>
            <w:shd w:val="clear" w:color="auto" w:fill="auto"/>
          </w:tcPr>
          <w:p w:rsidR="004D56BE" w:rsidRPr="00C903F8" w:rsidRDefault="004D56BE" w:rsidP="00A8005B">
            <w:pPr>
              <w:spacing w:before="60" w:after="60" w:line="240" w:lineRule="atLeast"/>
              <w:ind w:left="0" w:firstLine="0"/>
              <w:rPr>
                <w:rFonts w:cs="Arial"/>
                <w:sz w:val="18"/>
                <w:szCs w:val="18"/>
                <w:lang w:val="en-US"/>
              </w:rPr>
            </w:pPr>
          </w:p>
        </w:tc>
        <w:tc>
          <w:tcPr>
            <w:tcW w:w="1458" w:type="dxa"/>
            <w:vMerge/>
            <w:shd w:val="clear" w:color="auto" w:fill="auto"/>
          </w:tcPr>
          <w:p w:rsidR="004D56BE" w:rsidRPr="00C903F8" w:rsidRDefault="004D56BE" w:rsidP="00A8005B">
            <w:pPr>
              <w:spacing w:before="60" w:after="60" w:line="240" w:lineRule="atLeast"/>
              <w:ind w:left="0" w:firstLine="0"/>
              <w:rPr>
                <w:rFonts w:cs="Arial"/>
                <w:sz w:val="18"/>
                <w:szCs w:val="18"/>
                <w:lang w:val="en-US"/>
              </w:rPr>
            </w:pPr>
          </w:p>
        </w:tc>
        <w:tc>
          <w:tcPr>
            <w:tcW w:w="3296"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sidRPr="00DE735E">
              <w:rPr>
                <w:rFonts w:cs="Arial"/>
                <w:noProof/>
                <w:sz w:val="18"/>
                <w:szCs w:val="18"/>
                <w:lang w:val="en-US"/>
              </w:rPr>
              <w:t xml:space="preserve">Radar navigation </w:t>
            </w:r>
            <w:r>
              <w:rPr>
                <w:rFonts w:cs="Arial"/>
                <w:noProof/>
                <w:sz w:val="18"/>
                <w:szCs w:val="18"/>
                <w:lang w:val="en-US"/>
              </w:rPr>
              <w:t>installations</w:t>
            </w:r>
            <w:r w:rsidRPr="00DE735E">
              <w:rPr>
                <w:rFonts w:cs="Arial"/>
                <w:noProof/>
                <w:sz w:val="18"/>
                <w:szCs w:val="18"/>
                <w:lang w:val="en-US"/>
              </w:rPr>
              <w:t xml:space="preserve"> and rate-of-turn indicators which have received an approval after 1</w:t>
            </w:r>
            <w:r w:rsidRPr="006162EE">
              <w:rPr>
                <w:rFonts w:cs="Arial"/>
                <w:noProof/>
                <w:sz w:val="18"/>
                <w:szCs w:val="18"/>
                <w:vertAlign w:val="superscript"/>
                <w:lang w:val="en-US"/>
              </w:rPr>
              <w:t>st</w:t>
            </w:r>
            <w:r>
              <w:rPr>
                <w:rFonts w:cs="Arial"/>
                <w:noProof/>
                <w:sz w:val="18"/>
                <w:szCs w:val="18"/>
                <w:lang w:val="en-US"/>
              </w:rPr>
              <w:t> January </w:t>
            </w:r>
            <w:r w:rsidRPr="00DE735E">
              <w:rPr>
                <w:rFonts w:cs="Arial"/>
                <w:noProof/>
                <w:sz w:val="18"/>
                <w:szCs w:val="18"/>
                <w:lang w:val="en-US"/>
              </w:rPr>
              <w:t>1990</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sidRPr="00DE735E">
              <w:rPr>
                <w:rFonts w:cs="Arial"/>
                <w:sz w:val="18"/>
                <w:szCs w:val="18"/>
                <w:lang w:val="en-US"/>
              </w:rPr>
              <w:t xml:space="preserve">Radar navigation </w:t>
            </w:r>
            <w:r>
              <w:rPr>
                <w:rFonts w:cs="Arial"/>
                <w:sz w:val="18"/>
                <w:szCs w:val="18"/>
                <w:lang w:val="en-US"/>
              </w:rPr>
              <w:t>installations</w:t>
            </w:r>
            <w:r w:rsidRPr="00DE735E">
              <w:rPr>
                <w:rFonts w:cs="Arial"/>
                <w:sz w:val="18"/>
                <w:szCs w:val="18"/>
                <w:lang w:val="en-US"/>
              </w:rPr>
              <w:t xml:space="preserve"> and rate-of-turn indicators which have received an approval on or after 1</w:t>
            </w:r>
            <w:r w:rsidRPr="006162EE">
              <w:rPr>
                <w:rFonts w:cs="Arial"/>
                <w:sz w:val="18"/>
                <w:szCs w:val="18"/>
                <w:vertAlign w:val="superscript"/>
                <w:lang w:val="en-US"/>
              </w:rPr>
              <w:t>st</w:t>
            </w:r>
            <w:r>
              <w:rPr>
                <w:rFonts w:cs="Arial"/>
                <w:sz w:val="18"/>
                <w:szCs w:val="18"/>
                <w:lang w:val="en-US"/>
              </w:rPr>
              <w:t xml:space="preserve"> January </w:t>
            </w:r>
            <w:r w:rsidRPr="00DE735E">
              <w:rPr>
                <w:rFonts w:cs="Arial"/>
                <w:sz w:val="18"/>
                <w:szCs w:val="18"/>
                <w:lang w:val="en-US"/>
              </w:rPr>
              <w:t>1990</w:t>
            </w:r>
            <w:r>
              <w:rPr>
                <w:rFonts w:cs="Arial"/>
                <w:sz w:val="18"/>
                <w:szCs w:val="18"/>
                <w:lang w:val="en-US"/>
              </w:rPr>
              <w:t>,</w:t>
            </w:r>
            <w:r w:rsidRPr="00DE735E">
              <w:rPr>
                <w:rFonts w:cs="Arial"/>
                <w:sz w:val="18"/>
                <w:szCs w:val="18"/>
                <w:lang w:val="en-US"/>
              </w:rPr>
              <w:t xml:space="preserve"> pursuant to the minimum requirements and test conditions for</w:t>
            </w:r>
            <w:r w:rsidRPr="00DE735E">
              <w:rPr>
                <w:rFonts w:cs="Arial"/>
                <w:lang w:val="en-US"/>
              </w:rPr>
              <w:t xml:space="preserve"> </w:t>
            </w:r>
            <w:r w:rsidRPr="00DE735E">
              <w:rPr>
                <w:rFonts w:cs="Arial"/>
                <w:sz w:val="18"/>
                <w:szCs w:val="18"/>
                <w:lang w:val="en-US"/>
              </w:rPr>
              <w:t xml:space="preserve">radar installations used for navigation on the Rhine and the minimum requirements and test conditions for rate-of-turn indicators used </w:t>
            </w:r>
            <w:r>
              <w:rPr>
                <w:rFonts w:cs="Arial"/>
                <w:sz w:val="18"/>
                <w:szCs w:val="18"/>
                <w:lang w:val="en-US"/>
              </w:rPr>
              <w:t>for</w:t>
            </w:r>
            <w:r w:rsidRPr="00DE735E">
              <w:rPr>
                <w:rFonts w:cs="Arial"/>
                <w:sz w:val="18"/>
                <w:szCs w:val="18"/>
                <w:lang w:val="en-US"/>
              </w:rPr>
              <w:t xml:space="preserve"> navigation on the Rhine</w:t>
            </w:r>
            <w:r>
              <w:rPr>
                <w:rFonts w:cs="Arial"/>
                <w:sz w:val="18"/>
                <w:szCs w:val="18"/>
                <w:lang w:val="en-US"/>
              </w:rPr>
              <w:t>,</w:t>
            </w:r>
            <w:r w:rsidRPr="00DE735E">
              <w:rPr>
                <w:rFonts w:cs="Arial"/>
                <w:sz w:val="18"/>
                <w:szCs w:val="18"/>
                <w:lang w:val="en-US"/>
              </w:rPr>
              <w:t xml:space="preserve"> may continue to be installed and </w:t>
            </w:r>
            <w:r>
              <w:rPr>
                <w:rFonts w:cs="Arial"/>
                <w:sz w:val="18"/>
                <w:szCs w:val="18"/>
                <w:lang w:val="en-US"/>
              </w:rPr>
              <w:t>used</w:t>
            </w:r>
            <w:r w:rsidRPr="00DE735E">
              <w:rPr>
                <w:rFonts w:cs="Arial"/>
                <w:sz w:val="18"/>
                <w:szCs w:val="18"/>
                <w:lang w:val="en-US"/>
              </w:rPr>
              <w:t xml:space="preserve"> if there is a valid installation certificate pursuant to</w:t>
            </w:r>
            <w:r>
              <w:rPr>
                <w:rFonts w:cs="Arial"/>
                <w:sz w:val="18"/>
                <w:szCs w:val="18"/>
                <w:lang w:val="en-US"/>
              </w:rPr>
              <w:t xml:space="preserve"> this Standard,</w:t>
            </w:r>
            <w:r w:rsidRPr="00DE735E">
              <w:rPr>
                <w:rFonts w:cs="Arial"/>
                <w:sz w:val="18"/>
                <w:szCs w:val="18"/>
                <w:lang w:val="en-US"/>
              </w:rPr>
              <w:t xml:space="preserve"> Directive 2006/87/EC or Resolution CCNR 1989-II-35.</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lang w:val="en-US"/>
              </w:rPr>
            </w:pPr>
          </w:p>
        </w:tc>
      </w:tr>
      <w:tr w:rsidR="004D56BE" w:rsidRPr="00296858" w:rsidTr="00AB6D23">
        <w:trPr>
          <w:cantSplit/>
          <w:jc w:val="center"/>
        </w:trPr>
        <w:tc>
          <w:tcPr>
            <w:tcW w:w="1342" w:type="dxa"/>
            <w:tcBorders>
              <w:top w:val="nil"/>
              <w:bottom w:val="nil"/>
            </w:tcBorders>
            <w:shd w:val="clear" w:color="auto" w:fill="auto"/>
          </w:tcPr>
          <w:p w:rsidR="004D56BE" w:rsidRPr="00C903F8" w:rsidRDefault="004D56BE" w:rsidP="00A8005B">
            <w:pPr>
              <w:spacing w:before="60" w:after="60" w:line="240" w:lineRule="atLeast"/>
              <w:ind w:left="0" w:firstLine="0"/>
              <w:rPr>
                <w:rFonts w:cs="Arial"/>
                <w:sz w:val="18"/>
                <w:szCs w:val="18"/>
                <w:lang w:val="en-US"/>
              </w:rPr>
            </w:pPr>
          </w:p>
        </w:tc>
        <w:tc>
          <w:tcPr>
            <w:tcW w:w="1458" w:type="dxa"/>
            <w:vMerge/>
            <w:shd w:val="clear" w:color="auto" w:fill="auto"/>
          </w:tcPr>
          <w:p w:rsidR="004D56BE" w:rsidRPr="00C903F8" w:rsidRDefault="004D56BE" w:rsidP="00A8005B">
            <w:pPr>
              <w:spacing w:before="60" w:after="60" w:line="240" w:lineRule="atLeast"/>
              <w:ind w:left="0" w:firstLine="0"/>
              <w:rPr>
                <w:rFonts w:cs="Arial"/>
                <w:sz w:val="18"/>
                <w:szCs w:val="18"/>
                <w:lang w:val="en-US"/>
              </w:rPr>
            </w:pPr>
          </w:p>
        </w:tc>
        <w:tc>
          <w:tcPr>
            <w:tcW w:w="3296" w:type="dxa"/>
            <w:shd w:val="clear" w:color="auto" w:fill="auto"/>
          </w:tcPr>
          <w:p w:rsidR="004D56BE" w:rsidRPr="00C903F8" w:rsidRDefault="004D56BE" w:rsidP="00A8005B">
            <w:pPr>
              <w:spacing w:before="60" w:after="60" w:line="240" w:lineRule="atLeast"/>
              <w:ind w:left="0" w:firstLine="0"/>
              <w:rPr>
                <w:rFonts w:cs="Arial"/>
                <w:noProof/>
                <w:sz w:val="18"/>
                <w:szCs w:val="18"/>
                <w:lang w:val="en-US"/>
              </w:rPr>
            </w:pPr>
            <w:r w:rsidRPr="00337011">
              <w:rPr>
                <w:rFonts w:cs="Arial"/>
                <w:noProof/>
                <w:sz w:val="18"/>
                <w:szCs w:val="18"/>
                <w:lang w:val="en-US"/>
              </w:rPr>
              <w:t xml:space="preserve">Radar navigation </w:t>
            </w:r>
            <w:r>
              <w:rPr>
                <w:rFonts w:cs="Arial"/>
                <w:noProof/>
                <w:sz w:val="18"/>
                <w:szCs w:val="18"/>
                <w:lang w:val="en-US"/>
              </w:rPr>
              <w:t>installations</w:t>
            </w:r>
            <w:r w:rsidRPr="00337011">
              <w:rPr>
                <w:rFonts w:cs="Arial"/>
                <w:noProof/>
                <w:sz w:val="18"/>
                <w:szCs w:val="18"/>
                <w:lang w:val="en-US"/>
              </w:rPr>
              <w:t xml:space="preserve"> and rate-of-turn indicators which have received an approval after </w:t>
            </w:r>
            <w:r>
              <w:rPr>
                <w:rFonts w:cs="Arial"/>
                <w:noProof/>
                <w:sz w:val="18"/>
                <w:szCs w:val="18"/>
                <w:lang w:val="en-US"/>
              </w:rPr>
              <w:t>31</w:t>
            </w:r>
            <w:r w:rsidRPr="00020C43">
              <w:rPr>
                <w:rFonts w:cs="Arial"/>
                <w:noProof/>
                <w:sz w:val="18"/>
                <w:szCs w:val="18"/>
                <w:vertAlign w:val="superscript"/>
                <w:lang w:val="en-US"/>
              </w:rPr>
              <w:t>st</w:t>
            </w:r>
            <w:r>
              <w:rPr>
                <w:rFonts w:cs="Arial"/>
                <w:noProof/>
                <w:sz w:val="18"/>
                <w:szCs w:val="18"/>
                <w:lang w:val="en-US"/>
              </w:rPr>
              <w:t> December 2006</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sidRPr="00337011">
              <w:rPr>
                <w:rFonts w:cs="Arial"/>
                <w:sz w:val="18"/>
                <w:szCs w:val="18"/>
                <w:lang w:val="en-US"/>
              </w:rPr>
              <w:t xml:space="preserve">Radar navigation </w:t>
            </w:r>
            <w:r>
              <w:rPr>
                <w:rFonts w:cs="Arial"/>
                <w:sz w:val="18"/>
                <w:szCs w:val="18"/>
                <w:lang w:val="en-US"/>
              </w:rPr>
              <w:t>installations</w:t>
            </w:r>
            <w:r w:rsidRPr="00337011">
              <w:rPr>
                <w:rFonts w:cs="Arial"/>
                <w:sz w:val="18"/>
                <w:szCs w:val="18"/>
                <w:lang w:val="en-US"/>
              </w:rPr>
              <w:t xml:space="preserve"> and rate-of-turn indicators which have received an approval on or </w:t>
            </w:r>
            <w:r w:rsidRPr="00B90A00">
              <w:rPr>
                <w:rFonts w:cs="Arial"/>
                <w:sz w:val="18"/>
                <w:szCs w:val="18"/>
                <w:lang w:val="en-US"/>
              </w:rPr>
              <w:t>after 31</w:t>
            </w:r>
            <w:r w:rsidRPr="00B90A00">
              <w:rPr>
                <w:rFonts w:cs="Arial"/>
                <w:sz w:val="18"/>
                <w:szCs w:val="18"/>
                <w:vertAlign w:val="superscript"/>
                <w:lang w:val="en-US"/>
              </w:rPr>
              <w:t>st</w:t>
            </w:r>
            <w:r w:rsidRPr="00B90A00">
              <w:rPr>
                <w:rFonts w:cs="Arial"/>
                <w:sz w:val="18"/>
                <w:szCs w:val="18"/>
                <w:lang w:val="en-US"/>
              </w:rPr>
              <w:t xml:space="preserve"> December 2006, pursuant to the minimum requirements and test conditions of the Directive 2006/87/EC, may continue to be installed and used if there is a valid installation certificate pursuant to this Standard or Directive 2006/87/EC.</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lang w:val="en-US"/>
              </w:rPr>
            </w:pPr>
          </w:p>
        </w:tc>
      </w:tr>
      <w:tr w:rsidR="004D56BE" w:rsidRPr="00296858" w:rsidTr="00DF5C3B">
        <w:trPr>
          <w:cantSplit/>
          <w:jc w:val="center"/>
        </w:trPr>
        <w:tc>
          <w:tcPr>
            <w:tcW w:w="1342" w:type="dxa"/>
            <w:tcBorders>
              <w:top w:val="nil"/>
              <w:bottom w:val="nil"/>
            </w:tcBorders>
            <w:shd w:val="clear" w:color="auto" w:fill="auto"/>
          </w:tcPr>
          <w:p w:rsidR="004D56BE" w:rsidRPr="00C903F8" w:rsidRDefault="004D56BE" w:rsidP="00A8005B">
            <w:pPr>
              <w:spacing w:before="80" w:after="80" w:line="240" w:lineRule="atLeast"/>
              <w:ind w:left="0" w:firstLine="0"/>
              <w:rPr>
                <w:rFonts w:cs="Arial"/>
                <w:sz w:val="18"/>
                <w:szCs w:val="18"/>
                <w:lang w:val="en-US"/>
              </w:rPr>
            </w:pPr>
          </w:p>
        </w:tc>
        <w:tc>
          <w:tcPr>
            <w:tcW w:w="1458" w:type="dxa"/>
            <w:vMerge/>
            <w:tcBorders>
              <w:bottom w:val="single" w:sz="4" w:space="0" w:color="auto"/>
            </w:tcBorders>
            <w:shd w:val="clear" w:color="auto" w:fill="auto"/>
          </w:tcPr>
          <w:p w:rsidR="004D56BE" w:rsidRPr="00C903F8" w:rsidRDefault="004D56BE" w:rsidP="00A8005B">
            <w:pPr>
              <w:spacing w:before="80" w:after="80" w:line="240" w:lineRule="atLeast"/>
              <w:ind w:left="0" w:firstLine="0"/>
              <w:rPr>
                <w:rFonts w:cs="Arial"/>
                <w:sz w:val="18"/>
                <w:szCs w:val="18"/>
                <w:lang w:val="en-US"/>
              </w:rPr>
            </w:pPr>
          </w:p>
        </w:tc>
        <w:tc>
          <w:tcPr>
            <w:tcW w:w="3296" w:type="dxa"/>
            <w:tcBorders>
              <w:bottom w:val="single" w:sz="4" w:space="0" w:color="auto"/>
            </w:tcBorders>
            <w:shd w:val="clear" w:color="auto" w:fill="auto"/>
          </w:tcPr>
          <w:p w:rsidR="004D56BE" w:rsidRPr="00C903F8" w:rsidRDefault="004D56BE" w:rsidP="00A8005B">
            <w:pPr>
              <w:spacing w:before="80" w:after="80" w:line="240" w:lineRule="atLeast"/>
              <w:ind w:left="0" w:firstLine="0"/>
              <w:rPr>
                <w:rFonts w:cs="Arial"/>
                <w:noProof/>
                <w:sz w:val="18"/>
                <w:szCs w:val="18"/>
                <w:lang w:val="en-US"/>
              </w:rPr>
            </w:pPr>
            <w:r w:rsidRPr="00337011">
              <w:rPr>
                <w:rFonts w:cs="Arial"/>
                <w:noProof/>
                <w:sz w:val="18"/>
                <w:szCs w:val="18"/>
                <w:lang w:val="en-US"/>
              </w:rPr>
              <w:t xml:space="preserve">Radar navigation </w:t>
            </w:r>
            <w:r>
              <w:rPr>
                <w:rFonts w:cs="Arial"/>
                <w:noProof/>
                <w:sz w:val="18"/>
                <w:szCs w:val="18"/>
                <w:lang w:val="en-US"/>
              </w:rPr>
              <w:t>installations</w:t>
            </w:r>
            <w:r w:rsidRPr="00337011">
              <w:rPr>
                <w:rFonts w:cs="Arial"/>
                <w:noProof/>
                <w:sz w:val="18"/>
                <w:szCs w:val="18"/>
                <w:lang w:val="en-US"/>
              </w:rPr>
              <w:t xml:space="preserve"> and rate-of-turn indicators which have received an approval after 1</w:t>
            </w:r>
            <w:r w:rsidRPr="00CF47F4">
              <w:rPr>
                <w:rFonts w:cs="Arial"/>
                <w:noProof/>
                <w:sz w:val="18"/>
                <w:szCs w:val="18"/>
                <w:vertAlign w:val="superscript"/>
                <w:lang w:val="en-US"/>
              </w:rPr>
              <w:t>st</w:t>
            </w:r>
            <w:r>
              <w:rPr>
                <w:rFonts w:cs="Arial"/>
                <w:noProof/>
                <w:sz w:val="18"/>
                <w:szCs w:val="18"/>
                <w:lang w:val="en-US"/>
              </w:rPr>
              <w:t xml:space="preserve"> December 2009</w:t>
            </w:r>
          </w:p>
        </w:tc>
        <w:tc>
          <w:tcPr>
            <w:tcW w:w="6521" w:type="dxa"/>
            <w:shd w:val="clear" w:color="auto" w:fill="auto"/>
          </w:tcPr>
          <w:p w:rsidR="004D56BE" w:rsidRPr="00C903F8" w:rsidRDefault="004D56BE" w:rsidP="00A8005B">
            <w:pPr>
              <w:spacing w:before="80" w:after="80" w:line="240" w:lineRule="atLeast"/>
              <w:ind w:left="0" w:firstLine="0"/>
              <w:rPr>
                <w:rFonts w:cs="Arial"/>
                <w:sz w:val="18"/>
                <w:szCs w:val="18"/>
                <w:lang w:val="en-US"/>
              </w:rPr>
            </w:pPr>
            <w:r w:rsidRPr="00337011">
              <w:rPr>
                <w:rFonts w:cs="Arial"/>
                <w:sz w:val="18"/>
                <w:szCs w:val="18"/>
                <w:lang w:val="en-US"/>
              </w:rPr>
              <w:t xml:space="preserve">Radar navigation </w:t>
            </w:r>
            <w:r>
              <w:rPr>
                <w:rFonts w:cs="Arial"/>
                <w:sz w:val="18"/>
                <w:szCs w:val="18"/>
                <w:lang w:val="en-US"/>
              </w:rPr>
              <w:t>installations</w:t>
            </w:r>
            <w:r w:rsidRPr="00337011">
              <w:rPr>
                <w:rFonts w:cs="Arial"/>
                <w:sz w:val="18"/>
                <w:szCs w:val="18"/>
                <w:lang w:val="en-US"/>
              </w:rPr>
              <w:t xml:space="preserve"> and rate-of-turn indicators which have received an approval on or after 1</w:t>
            </w:r>
            <w:r w:rsidRPr="00A567DA">
              <w:rPr>
                <w:rFonts w:cs="Arial"/>
                <w:sz w:val="18"/>
                <w:szCs w:val="18"/>
                <w:vertAlign w:val="superscript"/>
                <w:lang w:val="en-US"/>
              </w:rPr>
              <w:t>st</w:t>
            </w:r>
            <w:r>
              <w:rPr>
                <w:rFonts w:cs="Arial"/>
                <w:sz w:val="18"/>
                <w:szCs w:val="18"/>
                <w:lang w:val="en-US"/>
              </w:rPr>
              <w:t xml:space="preserve"> December 2009,</w:t>
            </w:r>
            <w:r w:rsidRPr="00337011">
              <w:rPr>
                <w:rFonts w:cs="Arial"/>
                <w:sz w:val="18"/>
                <w:szCs w:val="18"/>
                <w:lang w:val="en-US"/>
              </w:rPr>
              <w:t xml:space="preserve"> pursuant to the minimum requirements and test conditions </w:t>
            </w:r>
            <w:r w:rsidRPr="002E100D">
              <w:rPr>
                <w:rFonts w:cs="Arial"/>
                <w:sz w:val="18"/>
                <w:szCs w:val="18"/>
                <w:lang w:val="en-US"/>
              </w:rPr>
              <w:t>of the Resolution CCNR 2008-II-11, may continue to be installed and used if there is a valid installation certificate pursuant to this Standard or Resolution CCNR 2008-II-11.</w:t>
            </w:r>
          </w:p>
        </w:tc>
        <w:tc>
          <w:tcPr>
            <w:tcW w:w="1276" w:type="dxa"/>
            <w:shd w:val="clear" w:color="auto" w:fill="auto"/>
          </w:tcPr>
          <w:p w:rsidR="004D56BE" w:rsidRPr="00C903F8" w:rsidRDefault="004D56BE" w:rsidP="00A8005B">
            <w:pPr>
              <w:spacing w:before="80" w:after="80" w:line="240" w:lineRule="atLeast"/>
              <w:ind w:left="0" w:firstLine="0"/>
              <w:rPr>
                <w:rFonts w:cs="Arial"/>
                <w:sz w:val="18"/>
                <w:szCs w:val="18"/>
                <w:lang w:val="en-US"/>
              </w:rPr>
            </w:pPr>
          </w:p>
        </w:tc>
      </w:tr>
      <w:tr w:rsidR="004D56BE" w:rsidRPr="00C903F8" w:rsidTr="00DF5C3B">
        <w:trPr>
          <w:cantSplit/>
          <w:jc w:val="center"/>
        </w:trPr>
        <w:tc>
          <w:tcPr>
            <w:tcW w:w="1342" w:type="dxa"/>
            <w:tcBorders>
              <w:top w:val="nil"/>
              <w:bottom w:val="nil"/>
            </w:tcBorders>
            <w:shd w:val="clear" w:color="auto" w:fill="auto"/>
          </w:tcPr>
          <w:p w:rsidR="004D56BE" w:rsidRPr="00C903F8" w:rsidRDefault="004D56BE" w:rsidP="00A8005B">
            <w:pPr>
              <w:spacing w:before="80" w:after="80" w:line="240" w:lineRule="atLeast"/>
              <w:ind w:left="0" w:firstLine="0"/>
              <w:rPr>
                <w:rFonts w:cs="Arial"/>
                <w:sz w:val="18"/>
                <w:szCs w:val="18"/>
                <w:lang w:val="en-US"/>
              </w:rPr>
            </w:pPr>
          </w:p>
        </w:tc>
        <w:tc>
          <w:tcPr>
            <w:tcW w:w="1458" w:type="dxa"/>
            <w:tcBorders>
              <w:bottom w:val="nil"/>
            </w:tcBorders>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sz w:val="18"/>
                <w:szCs w:val="18"/>
              </w:rPr>
              <w:t>(3)</w:t>
            </w:r>
          </w:p>
        </w:tc>
        <w:tc>
          <w:tcPr>
            <w:tcW w:w="3296" w:type="dxa"/>
            <w:tcBorders>
              <w:bottom w:val="nil"/>
            </w:tcBorders>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sz w:val="18"/>
                <w:szCs w:val="18"/>
              </w:rPr>
              <w:t>Inland AIS equipment</w:t>
            </w:r>
          </w:p>
        </w:tc>
        <w:tc>
          <w:tcPr>
            <w:tcW w:w="6521" w:type="dxa"/>
            <w:shd w:val="clear" w:color="auto" w:fill="auto"/>
          </w:tcPr>
          <w:p w:rsidR="004D56BE" w:rsidRPr="00C903F8" w:rsidRDefault="004D56BE" w:rsidP="00A8005B">
            <w:pPr>
              <w:spacing w:before="80" w:after="80" w:line="240" w:lineRule="atLeast"/>
              <w:ind w:left="0" w:firstLine="0"/>
              <w:rPr>
                <w:rFonts w:cs="Arial"/>
                <w:sz w:val="18"/>
                <w:szCs w:val="18"/>
              </w:rPr>
            </w:pPr>
            <w:r>
              <w:rPr>
                <w:rFonts w:cs="Arial"/>
                <w:sz w:val="18"/>
                <w:szCs w:val="18"/>
              </w:rPr>
              <w:t>N.R.C.</w:t>
            </w:r>
          </w:p>
        </w:tc>
        <w:tc>
          <w:tcPr>
            <w:tcW w:w="1276" w:type="dxa"/>
            <w:shd w:val="clear" w:color="auto" w:fill="auto"/>
          </w:tcPr>
          <w:p w:rsidR="004D56BE" w:rsidRPr="00C903F8" w:rsidRDefault="004D56BE" w:rsidP="00A8005B">
            <w:pPr>
              <w:spacing w:before="80" w:after="80" w:line="240" w:lineRule="atLeast"/>
              <w:ind w:left="0" w:firstLine="0"/>
              <w:rPr>
                <w:rFonts w:cs="Arial"/>
                <w:sz w:val="18"/>
                <w:szCs w:val="18"/>
              </w:rPr>
            </w:pPr>
          </w:p>
        </w:tc>
      </w:tr>
      <w:tr w:rsidR="004D56BE" w:rsidRPr="003971A3" w:rsidTr="00DF5C3B">
        <w:trPr>
          <w:cantSplit/>
          <w:jc w:val="center"/>
        </w:trPr>
        <w:tc>
          <w:tcPr>
            <w:tcW w:w="1342" w:type="dxa"/>
            <w:tcBorders>
              <w:top w:val="nil"/>
            </w:tcBorders>
            <w:shd w:val="clear" w:color="auto" w:fill="auto"/>
          </w:tcPr>
          <w:p w:rsidR="004D56BE" w:rsidRPr="00C903F8" w:rsidRDefault="004D56BE" w:rsidP="00A8005B">
            <w:pPr>
              <w:spacing w:before="80" w:after="80" w:line="240" w:lineRule="atLeast"/>
              <w:ind w:left="0" w:firstLine="0"/>
              <w:rPr>
                <w:rFonts w:cs="Arial"/>
                <w:sz w:val="18"/>
                <w:szCs w:val="18"/>
                <w:lang w:val="en-US"/>
              </w:rPr>
            </w:pPr>
          </w:p>
        </w:tc>
        <w:tc>
          <w:tcPr>
            <w:tcW w:w="1458" w:type="dxa"/>
            <w:tcBorders>
              <w:top w:val="nil"/>
            </w:tcBorders>
            <w:shd w:val="clear" w:color="auto" w:fill="auto"/>
          </w:tcPr>
          <w:p w:rsidR="004D56BE" w:rsidRPr="00C903F8" w:rsidRDefault="004D56BE" w:rsidP="00A8005B">
            <w:pPr>
              <w:spacing w:before="80" w:after="80" w:line="240" w:lineRule="atLeast"/>
              <w:ind w:left="0" w:firstLine="0"/>
              <w:rPr>
                <w:rFonts w:cs="Arial"/>
                <w:sz w:val="18"/>
                <w:szCs w:val="18"/>
              </w:rPr>
            </w:pPr>
          </w:p>
        </w:tc>
        <w:tc>
          <w:tcPr>
            <w:tcW w:w="3296" w:type="dxa"/>
            <w:tcBorders>
              <w:top w:val="nil"/>
            </w:tcBorders>
            <w:shd w:val="clear" w:color="auto" w:fill="auto"/>
          </w:tcPr>
          <w:p w:rsidR="004D56BE" w:rsidRPr="00C903F8" w:rsidRDefault="004D56BE" w:rsidP="00A8005B">
            <w:pPr>
              <w:spacing w:before="80" w:after="80" w:line="240" w:lineRule="atLeast"/>
              <w:ind w:left="0" w:firstLine="0"/>
              <w:rPr>
                <w:rFonts w:cs="Arial"/>
                <w:sz w:val="18"/>
                <w:szCs w:val="18"/>
              </w:rPr>
            </w:pPr>
          </w:p>
        </w:tc>
        <w:tc>
          <w:tcPr>
            <w:tcW w:w="6521" w:type="dxa"/>
            <w:shd w:val="clear" w:color="auto" w:fill="auto"/>
          </w:tcPr>
          <w:p w:rsidR="004D56BE" w:rsidRPr="00DF5C3B" w:rsidRDefault="004D56BE" w:rsidP="007A3786">
            <w:pPr>
              <w:spacing w:before="80" w:after="80" w:line="240" w:lineRule="atLeast"/>
              <w:ind w:left="0" w:firstLine="0"/>
              <w:rPr>
                <w:rFonts w:cs="Arial"/>
                <w:sz w:val="18"/>
                <w:szCs w:val="18"/>
                <w:lang w:val="en-US"/>
              </w:rPr>
            </w:pPr>
            <w:r w:rsidRPr="00F76D36">
              <w:rPr>
                <w:rFonts w:cs="Arial"/>
                <w:sz w:val="18"/>
                <w:szCs w:val="18"/>
                <w:lang w:val="en-US"/>
              </w:rPr>
              <w:t>Inland AIS equipment which has received an approval on or after 19</w:t>
            </w:r>
            <w:r>
              <w:rPr>
                <w:rFonts w:cs="Arial"/>
                <w:sz w:val="18"/>
                <w:szCs w:val="18"/>
                <w:lang w:val="en-US"/>
              </w:rPr>
              <w:t> </w:t>
            </w:r>
            <w:r w:rsidRPr="00F76D36">
              <w:rPr>
                <w:rFonts w:cs="Arial"/>
                <w:sz w:val="18"/>
                <w:szCs w:val="18"/>
                <w:lang w:val="en-US"/>
              </w:rPr>
              <w:t>October</w:t>
            </w:r>
            <w:r>
              <w:rPr>
                <w:rFonts w:cs="Arial"/>
                <w:sz w:val="18"/>
                <w:szCs w:val="18"/>
                <w:lang w:val="en-US"/>
              </w:rPr>
              <w:t> </w:t>
            </w:r>
            <w:r w:rsidRPr="00F76D36">
              <w:rPr>
                <w:rFonts w:cs="Arial"/>
                <w:sz w:val="18"/>
                <w:szCs w:val="18"/>
                <w:lang w:val="en-US"/>
              </w:rPr>
              <w:t xml:space="preserve">2012, pursuant to the requirements of the Test Standard for Inland AIS, Edition 2.0, </w:t>
            </w:r>
            <w:r>
              <w:rPr>
                <w:rFonts w:cs="Arial"/>
                <w:sz w:val="18"/>
                <w:szCs w:val="18"/>
                <w:lang w:val="en-US"/>
              </w:rPr>
              <w:t>adopted by</w:t>
            </w:r>
            <w:r w:rsidRPr="00F76D36">
              <w:rPr>
                <w:rFonts w:cs="Arial"/>
                <w:sz w:val="18"/>
                <w:szCs w:val="18"/>
                <w:lang w:val="en-US"/>
              </w:rPr>
              <w:t xml:space="preserve"> Resolution CCNR 2012-II-20 may continue to be installed and used.</w:t>
            </w:r>
          </w:p>
        </w:tc>
        <w:tc>
          <w:tcPr>
            <w:tcW w:w="1276" w:type="dxa"/>
            <w:shd w:val="clear" w:color="auto" w:fill="auto"/>
          </w:tcPr>
          <w:p w:rsidR="004D56BE" w:rsidRPr="00DF5C3B" w:rsidRDefault="004D56BE" w:rsidP="00A8005B">
            <w:pPr>
              <w:spacing w:before="80" w:after="80" w:line="240" w:lineRule="atLeast"/>
              <w:ind w:left="0" w:firstLine="0"/>
              <w:rPr>
                <w:rFonts w:cs="Arial"/>
                <w:sz w:val="18"/>
                <w:szCs w:val="18"/>
                <w:lang w:val="en-US"/>
              </w:rPr>
            </w:pPr>
            <w:r>
              <w:rPr>
                <w:rFonts w:cs="Arial"/>
                <w:sz w:val="18"/>
                <w:szCs w:val="18"/>
                <w:lang w:val="en-US"/>
              </w:rPr>
              <w:t>7.10.2018</w:t>
            </w:r>
          </w:p>
        </w:tc>
      </w:tr>
      <w:tr w:rsidR="004D56BE" w:rsidRPr="00C903F8" w:rsidTr="00E1635F">
        <w:trPr>
          <w:cantSplit/>
          <w:trHeight w:val="884"/>
          <w:jc w:val="center"/>
        </w:trPr>
        <w:tc>
          <w:tcPr>
            <w:tcW w:w="1342" w:type="dxa"/>
            <w:tcBorders>
              <w:bottom w:val="single" w:sz="4" w:space="0" w:color="auto"/>
            </w:tcBorders>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sz w:val="18"/>
                <w:szCs w:val="18"/>
              </w:rPr>
              <w:t>7.09</w:t>
            </w:r>
          </w:p>
        </w:tc>
        <w:tc>
          <w:tcPr>
            <w:tcW w:w="1458" w:type="dxa"/>
            <w:tcBorders>
              <w:bottom w:val="single" w:sz="4" w:space="0" w:color="auto"/>
            </w:tcBorders>
            <w:shd w:val="clear" w:color="auto" w:fill="auto"/>
          </w:tcPr>
          <w:p w:rsidR="004D56BE" w:rsidRPr="00C903F8" w:rsidRDefault="004D56BE" w:rsidP="00A8005B">
            <w:pPr>
              <w:spacing w:before="80" w:after="80" w:line="240" w:lineRule="atLeast"/>
              <w:ind w:left="0" w:firstLine="0"/>
              <w:rPr>
                <w:rFonts w:cs="Arial"/>
                <w:sz w:val="18"/>
                <w:szCs w:val="18"/>
              </w:rPr>
            </w:pPr>
          </w:p>
        </w:tc>
        <w:tc>
          <w:tcPr>
            <w:tcW w:w="3296" w:type="dxa"/>
            <w:tcBorders>
              <w:bottom w:val="single" w:sz="4" w:space="0" w:color="auto"/>
            </w:tcBorders>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noProof/>
                <w:sz w:val="18"/>
                <w:szCs w:val="18"/>
              </w:rPr>
              <w:t>Alarm system</w:t>
            </w:r>
          </w:p>
        </w:tc>
        <w:tc>
          <w:tcPr>
            <w:tcW w:w="6521" w:type="dxa"/>
            <w:shd w:val="clear" w:color="auto" w:fill="auto"/>
          </w:tcPr>
          <w:p w:rsidR="004D56BE" w:rsidRPr="00C903F8" w:rsidRDefault="004D56BE" w:rsidP="00A8005B">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xml:space="preserve">, at the latest on renewal of the inland navigation vessel certificate after </w:t>
            </w:r>
          </w:p>
        </w:tc>
        <w:tc>
          <w:tcPr>
            <w:tcW w:w="1276" w:type="dxa"/>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sz w:val="18"/>
                <w:szCs w:val="18"/>
              </w:rPr>
              <w:t>30.12.2024</w:t>
            </w:r>
          </w:p>
        </w:tc>
      </w:tr>
      <w:tr w:rsidR="004D56BE" w:rsidRPr="00296858" w:rsidTr="00136542">
        <w:trPr>
          <w:cantSplit/>
          <w:jc w:val="center"/>
        </w:trPr>
        <w:tc>
          <w:tcPr>
            <w:tcW w:w="1342" w:type="dxa"/>
            <w:vMerge w:val="restart"/>
            <w:shd w:val="clear" w:color="auto" w:fill="auto"/>
          </w:tcPr>
          <w:p w:rsidR="004D56BE" w:rsidRPr="00600BEE" w:rsidRDefault="004D56BE" w:rsidP="00A8005B">
            <w:pPr>
              <w:spacing w:before="80" w:after="80" w:line="240" w:lineRule="atLeast"/>
              <w:ind w:left="0" w:firstLine="0"/>
              <w:rPr>
                <w:rFonts w:cs="Arial"/>
                <w:sz w:val="18"/>
                <w:szCs w:val="18"/>
              </w:rPr>
            </w:pPr>
            <w:r w:rsidRPr="00600BEE">
              <w:rPr>
                <w:rFonts w:cs="Arial"/>
                <w:sz w:val="18"/>
                <w:szCs w:val="18"/>
                <w:lang w:val="en-GB"/>
              </w:rPr>
              <w:t>7.12</w:t>
            </w:r>
          </w:p>
        </w:tc>
        <w:tc>
          <w:tcPr>
            <w:tcW w:w="1458" w:type="dxa"/>
            <w:shd w:val="clear" w:color="auto" w:fill="auto"/>
          </w:tcPr>
          <w:p w:rsidR="004D56BE" w:rsidRPr="00600BEE" w:rsidRDefault="004D56BE" w:rsidP="00A8005B">
            <w:pPr>
              <w:widowControl w:val="0"/>
              <w:spacing w:before="80" w:after="80" w:line="240" w:lineRule="atLeast"/>
              <w:ind w:left="0" w:firstLine="0"/>
              <w:rPr>
                <w:rFonts w:cs="Arial"/>
                <w:sz w:val="18"/>
                <w:szCs w:val="18"/>
                <w:lang w:val="en-GB"/>
              </w:rPr>
            </w:pPr>
            <w:r w:rsidRPr="00600BEE">
              <w:rPr>
                <w:rFonts w:cs="Arial"/>
                <w:sz w:val="18"/>
                <w:szCs w:val="18"/>
                <w:lang w:val="en-GB"/>
              </w:rPr>
              <w:t xml:space="preserve">(4) </w:t>
            </w:r>
            <w:r w:rsidRPr="00600BEE">
              <w:rPr>
                <w:rFonts w:cs="Arial"/>
                <w:sz w:val="18"/>
                <w:szCs w:val="18"/>
                <w:lang w:val="en-GB"/>
              </w:rPr>
              <w:br/>
              <w:t>2nd sentence</w:t>
            </w:r>
          </w:p>
        </w:tc>
        <w:tc>
          <w:tcPr>
            <w:tcW w:w="3296" w:type="dxa"/>
            <w:shd w:val="clear" w:color="auto" w:fill="auto"/>
          </w:tcPr>
          <w:p w:rsidR="004D56BE" w:rsidRPr="00600BEE" w:rsidRDefault="004D56BE" w:rsidP="00A8005B">
            <w:pPr>
              <w:widowControl w:val="0"/>
              <w:spacing w:before="80" w:after="80" w:line="240" w:lineRule="atLeast"/>
              <w:rPr>
                <w:rFonts w:cs="Arial"/>
                <w:sz w:val="18"/>
                <w:szCs w:val="18"/>
                <w:lang w:val="en-GB"/>
              </w:rPr>
            </w:pPr>
            <w:r w:rsidRPr="00600BEE">
              <w:rPr>
                <w:rFonts w:cs="Arial"/>
                <w:sz w:val="18"/>
                <w:szCs w:val="18"/>
                <w:lang w:val="en-GB"/>
              </w:rPr>
              <w:t>Indications</w:t>
            </w:r>
          </w:p>
        </w:tc>
        <w:tc>
          <w:tcPr>
            <w:tcW w:w="6521" w:type="dxa"/>
            <w:shd w:val="clear" w:color="auto" w:fill="auto"/>
          </w:tcPr>
          <w:p w:rsidR="004D56BE" w:rsidRPr="00600BEE" w:rsidRDefault="004D56BE" w:rsidP="00A8005B">
            <w:pPr>
              <w:widowControl w:val="0"/>
              <w:spacing w:before="80" w:after="80" w:line="240" w:lineRule="atLeast"/>
              <w:ind w:left="0" w:firstLine="0"/>
              <w:rPr>
                <w:rFonts w:cs="Arial"/>
                <w:sz w:val="18"/>
                <w:szCs w:val="18"/>
                <w:lang w:val="en-GB"/>
              </w:rPr>
            </w:pPr>
            <w:r>
              <w:rPr>
                <w:rFonts w:cs="Arial"/>
                <w:sz w:val="18"/>
                <w:szCs w:val="18"/>
                <w:lang w:val="en-GB"/>
              </w:rPr>
              <w:t>N.R.C.</w:t>
            </w:r>
            <w:r w:rsidRPr="00600BEE">
              <w:rPr>
                <w:rFonts w:cs="Arial"/>
                <w:sz w:val="18"/>
                <w:szCs w:val="18"/>
                <w:lang w:val="en-GB"/>
              </w:rPr>
              <w:t>, at the latest on renewal of the inland navigation vessel certificate.</w:t>
            </w:r>
          </w:p>
        </w:tc>
        <w:tc>
          <w:tcPr>
            <w:tcW w:w="1276" w:type="dxa"/>
            <w:shd w:val="clear" w:color="auto" w:fill="auto"/>
          </w:tcPr>
          <w:p w:rsidR="004D56BE" w:rsidRPr="00600BEE" w:rsidRDefault="004D56BE" w:rsidP="00A8005B">
            <w:pPr>
              <w:widowControl w:val="0"/>
              <w:spacing w:before="80" w:after="80" w:line="240" w:lineRule="atLeast"/>
              <w:rPr>
                <w:rFonts w:cs="Arial"/>
                <w:sz w:val="18"/>
                <w:szCs w:val="18"/>
                <w:lang w:val="en-GB"/>
              </w:rPr>
            </w:pPr>
          </w:p>
        </w:tc>
      </w:tr>
      <w:tr w:rsidR="004D56BE" w:rsidRPr="000E732C" w:rsidTr="00136542">
        <w:trPr>
          <w:cantSplit/>
          <w:jc w:val="center"/>
        </w:trPr>
        <w:tc>
          <w:tcPr>
            <w:tcW w:w="1342" w:type="dxa"/>
            <w:vMerge/>
            <w:shd w:val="clear" w:color="auto" w:fill="auto"/>
          </w:tcPr>
          <w:p w:rsidR="004D56BE" w:rsidRPr="00600BEE" w:rsidRDefault="004D56BE" w:rsidP="00A8005B">
            <w:pPr>
              <w:spacing w:before="80" w:after="80" w:line="240" w:lineRule="atLeast"/>
              <w:ind w:left="0" w:firstLine="0"/>
              <w:rPr>
                <w:rFonts w:cs="Arial"/>
                <w:sz w:val="18"/>
                <w:szCs w:val="18"/>
                <w:lang w:val="en-GB"/>
              </w:rPr>
            </w:pPr>
          </w:p>
        </w:tc>
        <w:tc>
          <w:tcPr>
            <w:tcW w:w="1458" w:type="dxa"/>
            <w:shd w:val="clear" w:color="auto" w:fill="auto"/>
          </w:tcPr>
          <w:p w:rsidR="004D56BE" w:rsidRPr="00600BEE" w:rsidRDefault="004D56BE" w:rsidP="00A8005B">
            <w:pPr>
              <w:widowControl w:val="0"/>
              <w:spacing w:before="80" w:after="80" w:line="240" w:lineRule="atLeast"/>
              <w:ind w:left="0" w:firstLine="0"/>
              <w:rPr>
                <w:rFonts w:cs="Arial"/>
                <w:sz w:val="18"/>
                <w:szCs w:val="18"/>
                <w:lang w:val="en-GB"/>
              </w:rPr>
            </w:pPr>
            <w:r w:rsidRPr="00600BEE">
              <w:rPr>
                <w:rFonts w:cs="Arial"/>
                <w:sz w:val="18"/>
                <w:szCs w:val="18"/>
                <w:lang w:val="en-GB"/>
              </w:rPr>
              <w:t>(5)</w:t>
            </w:r>
          </w:p>
        </w:tc>
        <w:tc>
          <w:tcPr>
            <w:tcW w:w="3296" w:type="dxa"/>
            <w:shd w:val="clear" w:color="auto" w:fill="auto"/>
          </w:tcPr>
          <w:p w:rsidR="004D56BE" w:rsidRPr="00600BEE" w:rsidRDefault="004D56BE" w:rsidP="00A8005B">
            <w:pPr>
              <w:widowControl w:val="0"/>
              <w:spacing w:before="80" w:after="80" w:line="240" w:lineRule="atLeast"/>
              <w:rPr>
                <w:rFonts w:cs="Arial"/>
                <w:sz w:val="18"/>
                <w:szCs w:val="18"/>
                <w:lang w:val="en-GB"/>
              </w:rPr>
            </w:pPr>
            <w:r w:rsidRPr="00600BEE">
              <w:rPr>
                <w:rFonts w:cs="Arial"/>
                <w:sz w:val="18"/>
                <w:szCs w:val="18"/>
                <w:lang w:val="en-GB"/>
              </w:rPr>
              <w:t>Stopping and locking</w:t>
            </w:r>
          </w:p>
        </w:tc>
        <w:tc>
          <w:tcPr>
            <w:tcW w:w="6521" w:type="dxa"/>
            <w:shd w:val="clear" w:color="auto" w:fill="auto"/>
          </w:tcPr>
          <w:p w:rsidR="004D56BE" w:rsidRPr="00600BEE" w:rsidRDefault="004D56BE" w:rsidP="00A8005B">
            <w:pPr>
              <w:widowControl w:val="0"/>
              <w:spacing w:before="80" w:after="80" w:line="240" w:lineRule="atLeast"/>
              <w:ind w:left="0" w:firstLine="0"/>
              <w:rPr>
                <w:rFonts w:cs="Arial"/>
                <w:sz w:val="18"/>
                <w:szCs w:val="18"/>
                <w:lang w:val="en-GB"/>
              </w:rPr>
            </w:pPr>
            <w:r>
              <w:rPr>
                <w:rFonts w:cs="Arial"/>
                <w:sz w:val="18"/>
                <w:szCs w:val="18"/>
                <w:lang w:val="en-GB"/>
              </w:rPr>
              <w:t>N.R.C.</w:t>
            </w:r>
            <w:r w:rsidRPr="00600BEE">
              <w:rPr>
                <w:rFonts w:cs="Arial"/>
                <w:sz w:val="18"/>
                <w:szCs w:val="18"/>
                <w:lang w:val="en-GB"/>
              </w:rPr>
              <w:t>, at the latest on renewal of the inland navigation vessel certificate after</w:t>
            </w:r>
          </w:p>
        </w:tc>
        <w:tc>
          <w:tcPr>
            <w:tcW w:w="1276" w:type="dxa"/>
            <w:shd w:val="clear" w:color="auto" w:fill="auto"/>
          </w:tcPr>
          <w:p w:rsidR="004D56BE" w:rsidRPr="00600BEE" w:rsidRDefault="004D56BE" w:rsidP="00A8005B">
            <w:pPr>
              <w:widowControl w:val="0"/>
              <w:spacing w:before="80" w:after="80" w:line="240" w:lineRule="atLeast"/>
              <w:rPr>
                <w:rFonts w:cs="Arial"/>
                <w:sz w:val="18"/>
                <w:szCs w:val="18"/>
                <w:lang w:val="en-GB"/>
              </w:rPr>
            </w:pPr>
            <w:r w:rsidRPr="00600BEE">
              <w:rPr>
                <w:rFonts w:cs="Arial"/>
                <w:sz w:val="18"/>
                <w:szCs w:val="18"/>
                <w:lang w:val="en-GB"/>
              </w:rPr>
              <w:t>1.1.2025</w:t>
            </w:r>
          </w:p>
        </w:tc>
      </w:tr>
      <w:tr w:rsidR="004D56BE" w:rsidRPr="000E732C" w:rsidTr="00136542">
        <w:trPr>
          <w:cantSplit/>
          <w:jc w:val="center"/>
        </w:trPr>
        <w:tc>
          <w:tcPr>
            <w:tcW w:w="1342" w:type="dxa"/>
            <w:vMerge/>
            <w:shd w:val="clear" w:color="auto" w:fill="auto"/>
          </w:tcPr>
          <w:p w:rsidR="004D56BE" w:rsidRPr="00600BEE" w:rsidRDefault="004D56BE" w:rsidP="00A8005B">
            <w:pPr>
              <w:spacing w:before="80" w:after="80" w:line="240" w:lineRule="atLeast"/>
              <w:ind w:left="0" w:firstLine="0"/>
              <w:rPr>
                <w:rFonts w:cs="Arial"/>
                <w:sz w:val="18"/>
                <w:szCs w:val="18"/>
                <w:lang w:val="en-GB"/>
              </w:rPr>
            </w:pPr>
          </w:p>
        </w:tc>
        <w:tc>
          <w:tcPr>
            <w:tcW w:w="1458" w:type="dxa"/>
            <w:shd w:val="clear" w:color="auto" w:fill="auto"/>
          </w:tcPr>
          <w:p w:rsidR="004D56BE" w:rsidRPr="00600BEE" w:rsidRDefault="004D56BE" w:rsidP="00A8005B">
            <w:pPr>
              <w:widowControl w:val="0"/>
              <w:spacing w:before="80" w:after="80" w:line="240" w:lineRule="atLeast"/>
              <w:ind w:left="0" w:firstLine="0"/>
              <w:rPr>
                <w:rFonts w:cs="Arial"/>
                <w:sz w:val="18"/>
                <w:szCs w:val="18"/>
                <w:lang w:val="en-GB"/>
              </w:rPr>
            </w:pPr>
            <w:r w:rsidRPr="00600BEE">
              <w:rPr>
                <w:rFonts w:cs="Arial"/>
                <w:sz w:val="18"/>
                <w:szCs w:val="18"/>
                <w:lang w:val="en-GB"/>
              </w:rPr>
              <w:t>(6)</w:t>
            </w:r>
          </w:p>
        </w:tc>
        <w:tc>
          <w:tcPr>
            <w:tcW w:w="3296" w:type="dxa"/>
            <w:shd w:val="clear" w:color="auto" w:fill="auto"/>
          </w:tcPr>
          <w:p w:rsidR="004D56BE" w:rsidRPr="00600BEE" w:rsidRDefault="004D56BE" w:rsidP="00A8005B">
            <w:pPr>
              <w:widowControl w:val="0"/>
              <w:spacing w:before="80" w:after="80" w:line="240" w:lineRule="atLeast"/>
              <w:rPr>
                <w:rFonts w:cs="Arial"/>
                <w:sz w:val="18"/>
                <w:szCs w:val="18"/>
                <w:lang w:val="en-GB"/>
              </w:rPr>
            </w:pPr>
            <w:r w:rsidRPr="00600BEE">
              <w:rPr>
                <w:rFonts w:cs="Arial"/>
                <w:sz w:val="18"/>
                <w:szCs w:val="18"/>
                <w:lang w:val="en-GB"/>
              </w:rPr>
              <w:t>Automatic deactivation</w:t>
            </w:r>
          </w:p>
        </w:tc>
        <w:tc>
          <w:tcPr>
            <w:tcW w:w="6521" w:type="dxa"/>
            <w:shd w:val="clear" w:color="auto" w:fill="auto"/>
          </w:tcPr>
          <w:p w:rsidR="004D56BE" w:rsidRPr="00600BEE" w:rsidRDefault="004D56BE" w:rsidP="00A8005B">
            <w:pPr>
              <w:widowControl w:val="0"/>
              <w:spacing w:before="80" w:after="80" w:line="240" w:lineRule="atLeast"/>
              <w:ind w:left="0" w:firstLine="0"/>
              <w:rPr>
                <w:rFonts w:cs="Arial"/>
                <w:sz w:val="18"/>
                <w:szCs w:val="18"/>
                <w:lang w:val="en-GB"/>
              </w:rPr>
            </w:pPr>
            <w:r>
              <w:rPr>
                <w:rFonts w:cs="Arial"/>
                <w:sz w:val="18"/>
                <w:szCs w:val="18"/>
                <w:lang w:val="en-GB"/>
              </w:rPr>
              <w:t>N.R.C.</w:t>
            </w:r>
            <w:r w:rsidRPr="00600BEE">
              <w:rPr>
                <w:rFonts w:cs="Arial"/>
                <w:sz w:val="18"/>
                <w:szCs w:val="18"/>
                <w:lang w:val="en-GB"/>
              </w:rPr>
              <w:t>, at the latest on renewal of the inland navigation vessel certificate after</w:t>
            </w:r>
          </w:p>
        </w:tc>
        <w:tc>
          <w:tcPr>
            <w:tcW w:w="1276" w:type="dxa"/>
            <w:shd w:val="clear" w:color="auto" w:fill="auto"/>
          </w:tcPr>
          <w:p w:rsidR="004D56BE" w:rsidRPr="00600BEE" w:rsidRDefault="004D56BE" w:rsidP="00A8005B">
            <w:pPr>
              <w:widowControl w:val="0"/>
              <w:spacing w:before="80" w:after="80" w:line="240" w:lineRule="atLeast"/>
              <w:rPr>
                <w:rFonts w:cs="Arial"/>
                <w:sz w:val="18"/>
                <w:szCs w:val="18"/>
                <w:lang w:val="en-GB"/>
              </w:rPr>
            </w:pPr>
            <w:r w:rsidRPr="00600BEE">
              <w:rPr>
                <w:rFonts w:cs="Arial"/>
                <w:sz w:val="18"/>
                <w:szCs w:val="18"/>
                <w:lang w:val="en-GB"/>
              </w:rPr>
              <w:t>1.1.2025</w:t>
            </w:r>
          </w:p>
        </w:tc>
      </w:tr>
      <w:tr w:rsidR="004D56BE" w:rsidRPr="000E732C" w:rsidTr="00136542">
        <w:trPr>
          <w:cantSplit/>
          <w:jc w:val="center"/>
        </w:trPr>
        <w:tc>
          <w:tcPr>
            <w:tcW w:w="1342" w:type="dxa"/>
            <w:vMerge/>
            <w:shd w:val="clear" w:color="auto" w:fill="auto"/>
          </w:tcPr>
          <w:p w:rsidR="004D56BE" w:rsidRPr="00600BEE" w:rsidRDefault="004D56BE" w:rsidP="00A8005B">
            <w:pPr>
              <w:spacing w:before="80" w:after="80" w:line="240" w:lineRule="atLeast"/>
              <w:ind w:left="0" w:firstLine="0"/>
              <w:rPr>
                <w:rFonts w:cs="Arial"/>
                <w:sz w:val="18"/>
                <w:szCs w:val="18"/>
                <w:lang w:val="en-GB"/>
              </w:rPr>
            </w:pPr>
          </w:p>
        </w:tc>
        <w:tc>
          <w:tcPr>
            <w:tcW w:w="1458" w:type="dxa"/>
            <w:shd w:val="clear" w:color="auto" w:fill="auto"/>
          </w:tcPr>
          <w:p w:rsidR="004D56BE" w:rsidRPr="00600BEE" w:rsidRDefault="004D56BE" w:rsidP="00A8005B">
            <w:pPr>
              <w:widowControl w:val="0"/>
              <w:spacing w:before="80" w:after="80" w:line="240" w:lineRule="atLeast"/>
              <w:ind w:left="0" w:firstLine="0"/>
              <w:rPr>
                <w:rFonts w:cs="Arial"/>
                <w:sz w:val="18"/>
                <w:szCs w:val="18"/>
                <w:lang w:val="en-GB"/>
              </w:rPr>
            </w:pPr>
            <w:r w:rsidRPr="00600BEE">
              <w:rPr>
                <w:rFonts w:cs="Arial"/>
                <w:sz w:val="18"/>
                <w:szCs w:val="18"/>
                <w:lang w:val="en-GB"/>
              </w:rPr>
              <w:t xml:space="preserve">(7) </w:t>
            </w:r>
            <w:r w:rsidRPr="00600BEE">
              <w:rPr>
                <w:rFonts w:cs="Arial"/>
                <w:sz w:val="18"/>
                <w:szCs w:val="18"/>
                <w:lang w:val="en-GB"/>
              </w:rPr>
              <w:br/>
              <w:t>1st and 2nd sentences</w:t>
            </w:r>
          </w:p>
        </w:tc>
        <w:tc>
          <w:tcPr>
            <w:tcW w:w="3296" w:type="dxa"/>
            <w:shd w:val="clear" w:color="auto" w:fill="auto"/>
          </w:tcPr>
          <w:p w:rsidR="004D56BE" w:rsidRPr="00600BEE" w:rsidRDefault="004D56BE" w:rsidP="00A8005B">
            <w:pPr>
              <w:widowControl w:val="0"/>
              <w:spacing w:before="80" w:after="80" w:line="240" w:lineRule="atLeast"/>
              <w:rPr>
                <w:rFonts w:cs="Arial"/>
                <w:sz w:val="18"/>
                <w:szCs w:val="18"/>
                <w:lang w:val="en-GB"/>
              </w:rPr>
            </w:pPr>
            <w:r w:rsidRPr="00600BEE">
              <w:rPr>
                <w:rFonts w:cs="Arial"/>
                <w:sz w:val="18"/>
                <w:szCs w:val="18"/>
                <w:lang w:val="en-GB"/>
              </w:rPr>
              <w:t>Arrangements and protection features</w:t>
            </w:r>
          </w:p>
        </w:tc>
        <w:tc>
          <w:tcPr>
            <w:tcW w:w="6521" w:type="dxa"/>
            <w:shd w:val="clear" w:color="auto" w:fill="auto"/>
          </w:tcPr>
          <w:p w:rsidR="004D56BE" w:rsidRPr="00600BEE" w:rsidRDefault="004D56BE" w:rsidP="00A8005B">
            <w:pPr>
              <w:widowControl w:val="0"/>
              <w:spacing w:before="80" w:after="80" w:line="240" w:lineRule="atLeast"/>
              <w:ind w:left="0" w:firstLine="0"/>
              <w:rPr>
                <w:rFonts w:cs="Arial"/>
                <w:sz w:val="18"/>
                <w:szCs w:val="18"/>
                <w:lang w:val="en-GB"/>
              </w:rPr>
            </w:pPr>
            <w:r>
              <w:rPr>
                <w:rFonts w:cs="Arial"/>
                <w:sz w:val="18"/>
                <w:szCs w:val="18"/>
                <w:lang w:val="en-GB"/>
              </w:rPr>
              <w:t>N.R.C.</w:t>
            </w:r>
            <w:r w:rsidRPr="00600BEE">
              <w:rPr>
                <w:rFonts w:cs="Arial"/>
                <w:sz w:val="18"/>
                <w:szCs w:val="18"/>
                <w:lang w:val="en-GB"/>
              </w:rPr>
              <w:t xml:space="preserve">, at the latest on renewal of the inland navigation vessel certificate after </w:t>
            </w:r>
          </w:p>
        </w:tc>
        <w:tc>
          <w:tcPr>
            <w:tcW w:w="1276" w:type="dxa"/>
            <w:shd w:val="clear" w:color="auto" w:fill="auto"/>
          </w:tcPr>
          <w:p w:rsidR="004D56BE" w:rsidRPr="00600BEE" w:rsidRDefault="004D56BE" w:rsidP="00A8005B">
            <w:pPr>
              <w:widowControl w:val="0"/>
              <w:spacing w:before="80" w:after="80" w:line="240" w:lineRule="atLeast"/>
              <w:rPr>
                <w:rFonts w:cs="Arial"/>
                <w:sz w:val="18"/>
                <w:szCs w:val="18"/>
                <w:lang w:val="en-GB"/>
              </w:rPr>
            </w:pPr>
            <w:r w:rsidRPr="00600BEE">
              <w:rPr>
                <w:rFonts w:cs="Arial"/>
                <w:sz w:val="18"/>
                <w:szCs w:val="18"/>
                <w:lang w:val="en-GB"/>
              </w:rPr>
              <w:t>1.1.2025</w:t>
            </w:r>
          </w:p>
        </w:tc>
      </w:tr>
      <w:tr w:rsidR="004D56BE" w:rsidRPr="00296858" w:rsidTr="00136542">
        <w:trPr>
          <w:cantSplit/>
          <w:jc w:val="center"/>
        </w:trPr>
        <w:tc>
          <w:tcPr>
            <w:tcW w:w="1342" w:type="dxa"/>
            <w:vMerge/>
            <w:shd w:val="clear" w:color="auto" w:fill="auto"/>
          </w:tcPr>
          <w:p w:rsidR="004D56BE" w:rsidRPr="00600BEE" w:rsidRDefault="004D56BE" w:rsidP="00A8005B">
            <w:pPr>
              <w:spacing w:before="80" w:after="80" w:line="240" w:lineRule="atLeast"/>
              <w:ind w:left="0" w:firstLine="0"/>
              <w:rPr>
                <w:rFonts w:cs="Arial"/>
                <w:sz w:val="18"/>
                <w:szCs w:val="18"/>
                <w:lang w:val="en-GB"/>
              </w:rPr>
            </w:pPr>
          </w:p>
        </w:tc>
        <w:tc>
          <w:tcPr>
            <w:tcW w:w="1458" w:type="dxa"/>
            <w:shd w:val="clear" w:color="auto" w:fill="auto"/>
          </w:tcPr>
          <w:p w:rsidR="004D56BE" w:rsidRPr="00600BEE" w:rsidRDefault="004D56BE" w:rsidP="00A8005B">
            <w:pPr>
              <w:widowControl w:val="0"/>
              <w:spacing w:before="80" w:after="80" w:line="240" w:lineRule="atLeast"/>
              <w:ind w:left="0" w:firstLine="0"/>
              <w:rPr>
                <w:rFonts w:cs="Arial"/>
                <w:sz w:val="18"/>
                <w:szCs w:val="18"/>
                <w:lang w:val="en-GB"/>
              </w:rPr>
            </w:pPr>
            <w:r w:rsidRPr="00600BEE">
              <w:rPr>
                <w:rFonts w:cs="Arial"/>
                <w:sz w:val="18"/>
                <w:szCs w:val="18"/>
                <w:lang w:val="en-GB"/>
              </w:rPr>
              <w:t xml:space="preserve">(7) </w:t>
            </w:r>
            <w:r w:rsidRPr="00600BEE">
              <w:rPr>
                <w:rFonts w:cs="Arial"/>
                <w:sz w:val="18"/>
                <w:szCs w:val="18"/>
                <w:lang w:val="en-GB"/>
              </w:rPr>
              <w:br/>
              <w:t>3rd sentence</w:t>
            </w:r>
          </w:p>
        </w:tc>
        <w:tc>
          <w:tcPr>
            <w:tcW w:w="3296" w:type="dxa"/>
            <w:shd w:val="clear" w:color="auto" w:fill="auto"/>
          </w:tcPr>
          <w:p w:rsidR="004D56BE" w:rsidRPr="00600BEE" w:rsidRDefault="004D56BE" w:rsidP="00A8005B">
            <w:pPr>
              <w:widowControl w:val="0"/>
              <w:spacing w:before="80" w:after="80" w:line="240" w:lineRule="atLeast"/>
              <w:rPr>
                <w:rFonts w:cs="Arial"/>
                <w:sz w:val="18"/>
                <w:szCs w:val="18"/>
                <w:lang w:val="en-GB"/>
              </w:rPr>
            </w:pPr>
            <w:r w:rsidRPr="00600BEE">
              <w:rPr>
                <w:rFonts w:cs="Arial"/>
                <w:sz w:val="18"/>
                <w:szCs w:val="18"/>
                <w:lang w:val="en-GB"/>
              </w:rPr>
              <w:t>Optical signal</w:t>
            </w:r>
          </w:p>
        </w:tc>
        <w:tc>
          <w:tcPr>
            <w:tcW w:w="6521" w:type="dxa"/>
            <w:shd w:val="clear" w:color="auto" w:fill="auto"/>
          </w:tcPr>
          <w:p w:rsidR="004D56BE" w:rsidRPr="00600BEE" w:rsidRDefault="004D56BE" w:rsidP="00A8005B">
            <w:pPr>
              <w:widowControl w:val="0"/>
              <w:spacing w:before="80" w:after="80" w:line="240" w:lineRule="atLeast"/>
              <w:ind w:left="0" w:firstLine="0"/>
              <w:rPr>
                <w:rFonts w:cs="Arial"/>
                <w:sz w:val="18"/>
                <w:szCs w:val="18"/>
                <w:lang w:val="en-GB"/>
              </w:rPr>
            </w:pPr>
            <w:r>
              <w:rPr>
                <w:rFonts w:cs="Arial"/>
                <w:sz w:val="18"/>
                <w:szCs w:val="18"/>
                <w:lang w:val="en-GB"/>
              </w:rPr>
              <w:t>N.R.C.</w:t>
            </w:r>
            <w:r w:rsidRPr="00600BEE">
              <w:rPr>
                <w:rFonts w:cs="Arial"/>
                <w:sz w:val="18"/>
                <w:szCs w:val="18"/>
                <w:lang w:val="en-GB"/>
              </w:rPr>
              <w:t>, at the latest on renewal of the inland navigation vessel certificate.</w:t>
            </w:r>
          </w:p>
        </w:tc>
        <w:tc>
          <w:tcPr>
            <w:tcW w:w="1276" w:type="dxa"/>
            <w:shd w:val="clear" w:color="auto" w:fill="auto"/>
          </w:tcPr>
          <w:p w:rsidR="004D56BE" w:rsidRPr="00600BEE" w:rsidRDefault="004D56BE" w:rsidP="00A8005B">
            <w:pPr>
              <w:widowControl w:val="0"/>
              <w:spacing w:before="80" w:after="80" w:line="240" w:lineRule="atLeast"/>
              <w:rPr>
                <w:rFonts w:cs="Arial"/>
                <w:sz w:val="18"/>
                <w:szCs w:val="18"/>
                <w:lang w:val="en-GB"/>
              </w:rPr>
            </w:pPr>
          </w:p>
        </w:tc>
      </w:tr>
      <w:tr w:rsidR="004D56BE" w:rsidRPr="000E732C" w:rsidTr="00136542">
        <w:trPr>
          <w:cantSplit/>
          <w:jc w:val="center"/>
        </w:trPr>
        <w:tc>
          <w:tcPr>
            <w:tcW w:w="1342" w:type="dxa"/>
            <w:vMerge/>
            <w:shd w:val="clear" w:color="auto" w:fill="auto"/>
          </w:tcPr>
          <w:p w:rsidR="004D56BE" w:rsidRPr="00600BEE" w:rsidRDefault="004D56BE" w:rsidP="00A8005B">
            <w:pPr>
              <w:spacing w:before="80" w:after="80" w:line="240" w:lineRule="atLeast"/>
              <w:ind w:left="0" w:firstLine="0"/>
              <w:rPr>
                <w:rFonts w:cs="Arial"/>
                <w:sz w:val="18"/>
                <w:szCs w:val="18"/>
                <w:lang w:val="en-GB"/>
              </w:rPr>
            </w:pPr>
          </w:p>
        </w:tc>
        <w:tc>
          <w:tcPr>
            <w:tcW w:w="1458" w:type="dxa"/>
            <w:shd w:val="clear" w:color="auto" w:fill="auto"/>
          </w:tcPr>
          <w:p w:rsidR="004D56BE" w:rsidRPr="00600BEE" w:rsidRDefault="004D56BE" w:rsidP="00A8005B">
            <w:pPr>
              <w:widowControl w:val="0"/>
              <w:spacing w:before="80" w:after="80" w:line="240" w:lineRule="atLeast"/>
              <w:ind w:left="0" w:firstLine="0"/>
              <w:rPr>
                <w:rFonts w:cs="Arial"/>
                <w:sz w:val="18"/>
                <w:szCs w:val="18"/>
                <w:lang w:val="en-GB"/>
              </w:rPr>
            </w:pPr>
            <w:r w:rsidRPr="00600BEE">
              <w:rPr>
                <w:rFonts w:cs="Arial"/>
                <w:sz w:val="18"/>
                <w:szCs w:val="18"/>
                <w:lang w:val="en-GB"/>
              </w:rPr>
              <w:t>(8)</w:t>
            </w:r>
          </w:p>
        </w:tc>
        <w:tc>
          <w:tcPr>
            <w:tcW w:w="3296" w:type="dxa"/>
            <w:shd w:val="clear" w:color="auto" w:fill="auto"/>
          </w:tcPr>
          <w:p w:rsidR="004D56BE" w:rsidRPr="00600BEE" w:rsidRDefault="004D56BE" w:rsidP="00A8005B">
            <w:pPr>
              <w:widowControl w:val="0"/>
              <w:tabs>
                <w:tab w:val="left" w:pos="1260"/>
              </w:tabs>
              <w:adjustRightInd w:val="0"/>
              <w:spacing w:before="80" w:after="80" w:line="240" w:lineRule="atLeast"/>
              <w:rPr>
                <w:rFonts w:cs="Arial"/>
                <w:sz w:val="18"/>
                <w:szCs w:val="18"/>
                <w:lang w:val="en-GB"/>
              </w:rPr>
            </w:pPr>
            <w:r w:rsidRPr="00600BEE">
              <w:rPr>
                <w:rFonts w:cs="Arial"/>
                <w:sz w:val="18"/>
                <w:szCs w:val="18"/>
                <w:lang w:val="en-GB"/>
              </w:rPr>
              <w:t>Emergency lowering system</w:t>
            </w:r>
          </w:p>
        </w:tc>
        <w:tc>
          <w:tcPr>
            <w:tcW w:w="6521" w:type="dxa"/>
            <w:shd w:val="clear" w:color="auto" w:fill="auto"/>
          </w:tcPr>
          <w:p w:rsidR="004D56BE" w:rsidRPr="00600BEE" w:rsidRDefault="004D56BE" w:rsidP="00A8005B">
            <w:pPr>
              <w:widowControl w:val="0"/>
              <w:spacing w:before="80" w:after="80" w:line="240" w:lineRule="atLeast"/>
              <w:ind w:left="0" w:firstLine="0"/>
              <w:rPr>
                <w:rFonts w:cs="Arial"/>
                <w:sz w:val="18"/>
                <w:szCs w:val="18"/>
                <w:lang w:val="en-GB"/>
              </w:rPr>
            </w:pPr>
            <w:r w:rsidRPr="00600BEE">
              <w:rPr>
                <w:rFonts w:cs="Arial"/>
                <w:sz w:val="18"/>
                <w:szCs w:val="18"/>
                <w:lang w:val="en-GB"/>
              </w:rPr>
              <w:t xml:space="preserve">If hydraulic lowering is not possible: </w:t>
            </w:r>
            <w:r>
              <w:rPr>
                <w:rFonts w:cs="Arial"/>
                <w:sz w:val="18"/>
                <w:szCs w:val="18"/>
                <w:lang w:val="en-GB"/>
              </w:rPr>
              <w:t>N.R.C.</w:t>
            </w:r>
            <w:r w:rsidRPr="00600BEE">
              <w:rPr>
                <w:rFonts w:cs="Arial"/>
                <w:sz w:val="18"/>
                <w:szCs w:val="18"/>
                <w:lang w:val="en-GB"/>
              </w:rPr>
              <w:t xml:space="preserve">, at the latest on renewal of the inland navigation vessel certificate after </w:t>
            </w:r>
          </w:p>
        </w:tc>
        <w:tc>
          <w:tcPr>
            <w:tcW w:w="1276" w:type="dxa"/>
            <w:shd w:val="clear" w:color="auto" w:fill="auto"/>
          </w:tcPr>
          <w:p w:rsidR="004D56BE" w:rsidRPr="00600BEE" w:rsidRDefault="004D56BE" w:rsidP="00A8005B">
            <w:pPr>
              <w:widowControl w:val="0"/>
              <w:spacing w:before="80" w:after="80" w:line="240" w:lineRule="atLeast"/>
              <w:rPr>
                <w:rFonts w:cs="Arial"/>
                <w:sz w:val="18"/>
                <w:szCs w:val="18"/>
                <w:lang w:val="en-GB"/>
              </w:rPr>
            </w:pPr>
            <w:r w:rsidRPr="00600BEE">
              <w:rPr>
                <w:rFonts w:cs="Arial"/>
                <w:sz w:val="18"/>
                <w:szCs w:val="18"/>
                <w:lang w:val="en-GB"/>
              </w:rPr>
              <w:t>1.1.2040</w:t>
            </w:r>
          </w:p>
        </w:tc>
      </w:tr>
      <w:tr w:rsidR="004D56BE" w:rsidRPr="00296858" w:rsidTr="00136542">
        <w:trPr>
          <w:cantSplit/>
          <w:trHeight w:val="184"/>
          <w:jc w:val="center"/>
        </w:trPr>
        <w:tc>
          <w:tcPr>
            <w:tcW w:w="1342" w:type="dxa"/>
            <w:vMerge/>
            <w:shd w:val="clear" w:color="auto" w:fill="auto"/>
          </w:tcPr>
          <w:p w:rsidR="004D56BE" w:rsidRPr="00600BEE" w:rsidRDefault="004D56BE" w:rsidP="00A8005B">
            <w:pPr>
              <w:spacing w:before="80" w:after="80" w:line="240" w:lineRule="atLeast"/>
              <w:ind w:left="0" w:firstLine="0"/>
              <w:rPr>
                <w:rFonts w:cs="Arial"/>
                <w:sz w:val="18"/>
                <w:szCs w:val="18"/>
                <w:lang w:val="en-GB"/>
              </w:rPr>
            </w:pPr>
          </w:p>
        </w:tc>
        <w:tc>
          <w:tcPr>
            <w:tcW w:w="1458" w:type="dxa"/>
            <w:vMerge w:val="restart"/>
            <w:shd w:val="clear" w:color="auto" w:fill="auto"/>
          </w:tcPr>
          <w:p w:rsidR="004D56BE" w:rsidRPr="00600BEE" w:rsidDel="00F12D85" w:rsidRDefault="004D56BE" w:rsidP="00A8005B">
            <w:pPr>
              <w:widowControl w:val="0"/>
              <w:spacing w:before="80" w:after="80" w:line="240" w:lineRule="atLeast"/>
              <w:rPr>
                <w:rFonts w:cs="Arial"/>
                <w:sz w:val="18"/>
                <w:szCs w:val="18"/>
                <w:lang w:val="en-GB"/>
              </w:rPr>
            </w:pPr>
            <w:r w:rsidRPr="00600BEE">
              <w:rPr>
                <w:rFonts w:cs="Arial"/>
                <w:sz w:val="18"/>
                <w:szCs w:val="18"/>
                <w:lang w:val="en-GB"/>
              </w:rPr>
              <w:t>(12)(c)</w:t>
            </w:r>
          </w:p>
        </w:tc>
        <w:tc>
          <w:tcPr>
            <w:tcW w:w="3296" w:type="dxa"/>
            <w:vMerge w:val="restart"/>
            <w:shd w:val="clear" w:color="auto" w:fill="auto"/>
          </w:tcPr>
          <w:p w:rsidR="004D56BE" w:rsidRPr="00600BEE" w:rsidRDefault="004D56BE" w:rsidP="00A8005B">
            <w:pPr>
              <w:widowControl w:val="0"/>
              <w:tabs>
                <w:tab w:val="left" w:pos="1260"/>
              </w:tabs>
              <w:adjustRightInd w:val="0"/>
              <w:spacing w:before="80" w:after="80" w:line="240" w:lineRule="atLeast"/>
              <w:rPr>
                <w:rFonts w:cs="Arial"/>
                <w:sz w:val="18"/>
                <w:szCs w:val="18"/>
                <w:lang w:val="en-GB"/>
              </w:rPr>
            </w:pPr>
            <w:r w:rsidRPr="00600BEE">
              <w:rPr>
                <w:rFonts w:cs="Arial"/>
                <w:sz w:val="18"/>
                <w:szCs w:val="18"/>
                <w:lang w:val="en-GB"/>
              </w:rPr>
              <w:t>Testing</w:t>
            </w:r>
          </w:p>
        </w:tc>
        <w:tc>
          <w:tcPr>
            <w:tcW w:w="6521" w:type="dxa"/>
            <w:shd w:val="clear" w:color="auto" w:fill="auto"/>
          </w:tcPr>
          <w:p w:rsidR="004D56BE" w:rsidRPr="00600BEE" w:rsidRDefault="004D56BE" w:rsidP="00A8005B">
            <w:pPr>
              <w:widowControl w:val="0"/>
              <w:spacing w:before="80" w:after="80" w:line="240" w:lineRule="atLeast"/>
              <w:ind w:left="0" w:firstLine="0"/>
              <w:rPr>
                <w:rFonts w:cs="Arial"/>
                <w:sz w:val="18"/>
                <w:szCs w:val="18"/>
                <w:lang w:val="en-GB"/>
              </w:rPr>
            </w:pPr>
            <w:r>
              <w:rPr>
                <w:rFonts w:cs="Arial"/>
                <w:sz w:val="18"/>
                <w:szCs w:val="18"/>
                <w:lang w:val="en-GB"/>
              </w:rPr>
              <w:t>N.R.C.</w:t>
            </w:r>
            <w:r w:rsidRPr="00600BEE">
              <w:rPr>
                <w:rFonts w:cs="Arial"/>
                <w:sz w:val="18"/>
                <w:szCs w:val="18"/>
                <w:lang w:val="en-GB"/>
              </w:rPr>
              <w:t>, at the latest on renewal of the inland navigation vessel certificate.</w:t>
            </w:r>
          </w:p>
        </w:tc>
        <w:tc>
          <w:tcPr>
            <w:tcW w:w="1276" w:type="dxa"/>
            <w:vMerge w:val="restart"/>
            <w:shd w:val="clear" w:color="auto" w:fill="auto"/>
          </w:tcPr>
          <w:p w:rsidR="004D56BE" w:rsidRPr="006125DB" w:rsidRDefault="004D56BE" w:rsidP="00A8005B">
            <w:pPr>
              <w:widowControl w:val="0"/>
              <w:spacing w:before="80" w:after="80" w:line="240" w:lineRule="atLeast"/>
              <w:rPr>
                <w:rFonts w:cs="Arial"/>
                <w:sz w:val="18"/>
                <w:szCs w:val="18"/>
                <w:highlight w:val="lightGray"/>
                <w:lang w:val="en-GB"/>
              </w:rPr>
            </w:pPr>
          </w:p>
        </w:tc>
      </w:tr>
      <w:tr w:rsidR="004D56BE" w:rsidRPr="00296858" w:rsidTr="00136542">
        <w:trPr>
          <w:cantSplit/>
          <w:trHeight w:val="183"/>
          <w:jc w:val="center"/>
        </w:trPr>
        <w:tc>
          <w:tcPr>
            <w:tcW w:w="1342" w:type="dxa"/>
            <w:vMerge/>
            <w:shd w:val="clear" w:color="auto" w:fill="auto"/>
          </w:tcPr>
          <w:p w:rsidR="004D56BE" w:rsidRPr="00600BEE" w:rsidRDefault="004D56BE" w:rsidP="00A8005B">
            <w:pPr>
              <w:spacing w:before="80" w:after="80" w:line="240" w:lineRule="atLeast"/>
              <w:ind w:left="0" w:firstLine="0"/>
              <w:rPr>
                <w:rFonts w:cs="Arial"/>
                <w:sz w:val="18"/>
                <w:szCs w:val="18"/>
                <w:lang w:val="en-GB"/>
              </w:rPr>
            </w:pPr>
          </w:p>
        </w:tc>
        <w:tc>
          <w:tcPr>
            <w:tcW w:w="1458" w:type="dxa"/>
            <w:vMerge/>
            <w:shd w:val="clear" w:color="auto" w:fill="auto"/>
          </w:tcPr>
          <w:p w:rsidR="004D56BE" w:rsidRPr="00600BEE" w:rsidRDefault="004D56BE" w:rsidP="00A8005B">
            <w:pPr>
              <w:widowControl w:val="0"/>
              <w:spacing w:before="80" w:after="80" w:line="240" w:lineRule="atLeast"/>
              <w:rPr>
                <w:rFonts w:cs="Arial"/>
                <w:sz w:val="18"/>
                <w:szCs w:val="18"/>
                <w:lang w:val="en-GB"/>
              </w:rPr>
            </w:pPr>
          </w:p>
        </w:tc>
        <w:tc>
          <w:tcPr>
            <w:tcW w:w="3296" w:type="dxa"/>
            <w:vMerge/>
            <w:shd w:val="clear" w:color="auto" w:fill="auto"/>
          </w:tcPr>
          <w:p w:rsidR="004D56BE" w:rsidRPr="00600BEE" w:rsidRDefault="004D56BE" w:rsidP="00A8005B">
            <w:pPr>
              <w:widowControl w:val="0"/>
              <w:tabs>
                <w:tab w:val="left" w:pos="1260"/>
              </w:tabs>
              <w:adjustRightInd w:val="0"/>
              <w:spacing w:before="80" w:after="80" w:line="240" w:lineRule="atLeast"/>
              <w:rPr>
                <w:rFonts w:cs="Arial"/>
                <w:sz w:val="18"/>
                <w:szCs w:val="18"/>
                <w:lang w:val="en-GB"/>
              </w:rPr>
            </w:pPr>
          </w:p>
        </w:tc>
        <w:tc>
          <w:tcPr>
            <w:tcW w:w="6521" w:type="dxa"/>
            <w:shd w:val="clear" w:color="auto" w:fill="auto"/>
          </w:tcPr>
          <w:p w:rsidR="004D56BE" w:rsidRPr="00600BEE" w:rsidRDefault="004D56BE" w:rsidP="00A8005B">
            <w:pPr>
              <w:widowControl w:val="0"/>
              <w:spacing w:before="80" w:after="80" w:line="240" w:lineRule="atLeast"/>
              <w:ind w:left="0" w:firstLine="0"/>
              <w:rPr>
                <w:rFonts w:cs="Arial"/>
                <w:sz w:val="18"/>
                <w:szCs w:val="18"/>
                <w:lang w:val="en-GB"/>
              </w:rPr>
            </w:pPr>
            <w:r w:rsidRPr="00600BEE">
              <w:rPr>
                <w:rFonts w:cs="Arial"/>
                <w:sz w:val="18"/>
                <w:szCs w:val="18"/>
                <w:lang w:val="en-GB"/>
              </w:rPr>
              <w:t>If mathematical proof cannot be provided, the inspection body may recognise other suitable proof as equivalent.</w:t>
            </w:r>
          </w:p>
        </w:tc>
        <w:tc>
          <w:tcPr>
            <w:tcW w:w="1276" w:type="dxa"/>
            <w:vMerge/>
            <w:shd w:val="clear" w:color="auto" w:fill="auto"/>
          </w:tcPr>
          <w:p w:rsidR="004D56BE" w:rsidRPr="00C903F8" w:rsidRDefault="004D56BE" w:rsidP="00A8005B">
            <w:pPr>
              <w:spacing w:before="80" w:after="80" w:line="240" w:lineRule="atLeast"/>
              <w:ind w:left="0" w:firstLine="0"/>
              <w:rPr>
                <w:rFonts w:cs="Arial"/>
                <w:sz w:val="18"/>
                <w:szCs w:val="18"/>
                <w:lang w:val="en-US"/>
              </w:rPr>
            </w:pPr>
          </w:p>
        </w:tc>
      </w:tr>
      <w:tr w:rsidR="004D56BE" w:rsidRPr="00C903F8" w:rsidTr="001964F8">
        <w:trPr>
          <w:cantSplit/>
          <w:jc w:val="center"/>
        </w:trPr>
        <w:tc>
          <w:tcPr>
            <w:tcW w:w="6096" w:type="dxa"/>
            <w:gridSpan w:val="3"/>
            <w:shd w:val="clear" w:color="auto" w:fill="auto"/>
          </w:tcPr>
          <w:p w:rsidR="004D56BE" w:rsidRPr="00C903F8" w:rsidRDefault="004D56BE" w:rsidP="00A8005B">
            <w:pPr>
              <w:spacing w:before="140" w:after="140" w:line="240" w:lineRule="atLeast"/>
              <w:ind w:left="0" w:firstLine="0"/>
              <w:jc w:val="center"/>
              <w:rPr>
                <w:rFonts w:cs="Arial"/>
                <w:sz w:val="18"/>
                <w:szCs w:val="18"/>
              </w:rPr>
            </w:pPr>
            <w:r w:rsidRPr="00C903F8">
              <w:rPr>
                <w:rFonts w:cs="Arial"/>
                <w:b/>
                <w:sz w:val="18"/>
                <w:szCs w:val="18"/>
              </w:rPr>
              <w:lastRenderedPageBreak/>
              <w:t>CHAPTER 8</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p>
        </w:tc>
      </w:tr>
      <w:tr w:rsidR="004D56BE" w:rsidRPr="00C903F8" w:rsidTr="001964F8">
        <w:trPr>
          <w:cantSplit/>
          <w:jc w:val="center"/>
        </w:trPr>
        <w:tc>
          <w:tcPr>
            <w:tcW w:w="1342" w:type="dxa"/>
            <w:tcBorders>
              <w:bottom w:val="single" w:sz="4" w:space="0" w:color="auto"/>
            </w:tcBorders>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8.01</w:t>
            </w:r>
          </w:p>
        </w:tc>
        <w:tc>
          <w:tcPr>
            <w:tcW w:w="1458"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w:t>
            </w:r>
          </w:p>
        </w:tc>
        <w:tc>
          <w:tcPr>
            <w:tcW w:w="3296"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sidRPr="00C903F8">
              <w:rPr>
                <w:rFonts w:cs="Arial"/>
                <w:noProof/>
                <w:sz w:val="18"/>
                <w:szCs w:val="18"/>
                <w:lang w:val="en-US"/>
              </w:rPr>
              <w:t>Only internal-combustion engines burning fuels having a flashpoint of more than 55 °C</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30.12.2029</w:t>
            </w:r>
          </w:p>
        </w:tc>
      </w:tr>
      <w:tr w:rsidR="004D56BE" w:rsidRPr="00C903F8" w:rsidTr="001964F8">
        <w:trPr>
          <w:cantSplit/>
          <w:jc w:val="center"/>
        </w:trPr>
        <w:tc>
          <w:tcPr>
            <w:tcW w:w="1342" w:type="dxa"/>
            <w:tcBorders>
              <w:bottom w:val="nil"/>
            </w:tcBorders>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8.02</w:t>
            </w:r>
          </w:p>
        </w:tc>
        <w:tc>
          <w:tcPr>
            <w:tcW w:w="1458"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sidRPr="00C903F8">
              <w:rPr>
                <w:rFonts w:cs="Arial"/>
                <w:noProof/>
                <w:sz w:val="18"/>
                <w:szCs w:val="18"/>
                <w:lang w:val="en-US"/>
              </w:rPr>
              <w:t>Securing of engines against unintentional starting</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(4)</w:t>
            </w:r>
          </w:p>
        </w:tc>
        <w:tc>
          <w:tcPr>
            <w:tcW w:w="329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noProof/>
                <w:sz w:val="18"/>
                <w:szCs w:val="18"/>
              </w:rPr>
              <w:t>Screening of pipe</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(5)</w:t>
            </w:r>
          </w:p>
        </w:tc>
        <w:tc>
          <w:tcPr>
            <w:tcW w:w="3296" w:type="dxa"/>
            <w:shd w:val="clear" w:color="auto" w:fill="auto"/>
          </w:tcPr>
          <w:p w:rsidR="004D56BE" w:rsidRPr="00C903F8" w:rsidRDefault="004D56BE" w:rsidP="00A8005B">
            <w:pPr>
              <w:spacing w:before="140" w:after="140" w:line="240" w:lineRule="atLeast"/>
              <w:ind w:left="0" w:firstLine="0"/>
              <w:rPr>
                <w:rFonts w:cs="Arial"/>
                <w:noProof/>
                <w:sz w:val="18"/>
                <w:szCs w:val="18"/>
              </w:rPr>
            </w:pPr>
            <w:r w:rsidRPr="00C903F8">
              <w:rPr>
                <w:rFonts w:cs="Arial"/>
                <w:noProof/>
                <w:sz w:val="18"/>
                <w:szCs w:val="18"/>
              </w:rPr>
              <w:t>Jacketed piping system</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30.12.2024</w:t>
            </w:r>
          </w:p>
        </w:tc>
      </w:tr>
      <w:tr w:rsidR="004D56BE" w:rsidRPr="00296858" w:rsidTr="001964F8">
        <w:trPr>
          <w:cantSplit/>
          <w:jc w:val="center"/>
        </w:trPr>
        <w:tc>
          <w:tcPr>
            <w:tcW w:w="1342" w:type="dxa"/>
            <w:tcBorders>
              <w:top w:val="nil"/>
              <w:bottom w:val="single" w:sz="4" w:space="0" w:color="auto"/>
            </w:tcBorders>
            <w:shd w:val="clear" w:color="auto" w:fill="auto"/>
          </w:tcPr>
          <w:p w:rsidR="004D56BE" w:rsidRPr="00C903F8" w:rsidRDefault="004D56BE" w:rsidP="00A8005B">
            <w:pPr>
              <w:spacing w:before="140" w:after="140" w:line="240" w:lineRule="atLeast"/>
              <w:ind w:left="0" w:firstLine="0"/>
              <w:rPr>
                <w:rFonts w:cs="Arial"/>
                <w:strike/>
                <w:sz w:val="18"/>
                <w:szCs w:val="18"/>
              </w:rPr>
            </w:pPr>
          </w:p>
        </w:tc>
        <w:tc>
          <w:tcPr>
            <w:tcW w:w="1458"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(6)</w:t>
            </w:r>
          </w:p>
        </w:tc>
        <w:tc>
          <w:tcPr>
            <w:tcW w:w="329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Insulation of engine parts</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p>
        </w:tc>
      </w:tr>
      <w:tr w:rsidR="004D56BE" w:rsidRPr="00C903F8" w:rsidTr="001964F8">
        <w:trPr>
          <w:cantSplit/>
          <w:jc w:val="center"/>
        </w:trPr>
        <w:tc>
          <w:tcPr>
            <w:tcW w:w="1342" w:type="dxa"/>
            <w:tcBorders>
              <w:bottom w:val="nil"/>
            </w:tcBorders>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8.03</w:t>
            </w:r>
          </w:p>
        </w:tc>
        <w:tc>
          <w:tcPr>
            <w:tcW w:w="1458"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(2)</w:t>
            </w:r>
          </w:p>
        </w:tc>
        <w:tc>
          <w:tcPr>
            <w:tcW w:w="329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noProof/>
                <w:sz w:val="18"/>
                <w:szCs w:val="18"/>
              </w:rPr>
              <w:t>Monitoring devices</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(4)</w:t>
            </w:r>
          </w:p>
        </w:tc>
        <w:tc>
          <w:tcPr>
            <w:tcW w:w="3296"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sidRPr="00C903F8">
              <w:rPr>
                <w:rFonts w:cs="Arial"/>
                <w:noProof/>
                <w:sz w:val="18"/>
                <w:szCs w:val="18"/>
                <w:lang w:val="en-US"/>
              </w:rPr>
              <w:t>Automatic protection against overspeed display and switch off</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tcBorders>
              <w:top w:val="nil"/>
              <w:bottom w:val="single" w:sz="4" w:space="0" w:color="auto"/>
            </w:tcBorders>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(5)</w:t>
            </w:r>
          </w:p>
        </w:tc>
        <w:tc>
          <w:tcPr>
            <w:tcW w:w="329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noProof/>
                <w:sz w:val="18"/>
                <w:szCs w:val="18"/>
              </w:rPr>
              <w:t>Design of shaft bushings</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30.12.2029</w:t>
            </w:r>
          </w:p>
        </w:tc>
      </w:tr>
      <w:tr w:rsidR="004D56BE" w:rsidRPr="00C903F8" w:rsidTr="001964F8">
        <w:trPr>
          <w:cantSplit/>
          <w:jc w:val="center"/>
        </w:trPr>
        <w:tc>
          <w:tcPr>
            <w:tcW w:w="1342" w:type="dxa"/>
            <w:tcBorders>
              <w:bottom w:val="nil"/>
            </w:tcBorders>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8.05</w:t>
            </w:r>
          </w:p>
        </w:tc>
        <w:tc>
          <w:tcPr>
            <w:tcW w:w="1458"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sidRPr="00C903F8">
              <w:rPr>
                <w:rFonts w:cs="Arial"/>
                <w:noProof/>
                <w:sz w:val="18"/>
                <w:szCs w:val="18"/>
                <w:lang w:val="en-US"/>
              </w:rPr>
              <w:t>Steel tanks for liquid fuels</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30.12.2029</w:t>
            </w:r>
          </w:p>
        </w:tc>
      </w:tr>
      <w:tr w:rsidR="004D56BE" w:rsidRPr="00296858" w:rsidTr="001964F8">
        <w:trPr>
          <w:cantSplit/>
          <w:jc w:val="center"/>
        </w:trPr>
        <w:tc>
          <w:tcPr>
            <w:tcW w:w="1342" w:type="dxa"/>
            <w:tcBorders>
              <w:top w:val="nil"/>
              <w:bottom w:val="nil"/>
            </w:tcBorders>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1458" w:type="dxa"/>
            <w:tcBorders>
              <w:bottom w:val="single" w:sz="4" w:space="0" w:color="auto"/>
            </w:tcBorders>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(2)</w:t>
            </w:r>
          </w:p>
        </w:tc>
        <w:tc>
          <w:tcPr>
            <w:tcW w:w="3296"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sidRPr="00C903F8">
              <w:rPr>
                <w:rFonts w:cs="Arial"/>
                <w:noProof/>
                <w:sz w:val="18"/>
                <w:szCs w:val="18"/>
                <w:lang w:val="en-US"/>
              </w:rPr>
              <w:t>Automatic closing of tank valves</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A8005B">
            <w:pPr>
              <w:spacing w:before="140" w:after="140" w:line="240" w:lineRule="atLeast"/>
              <w:ind w:left="0" w:firstLine="0"/>
              <w:rPr>
                <w:rFonts w:cs="Arial"/>
                <w:sz w:val="18"/>
                <w:szCs w:val="18"/>
                <w:lang w:val="en-US"/>
              </w:rPr>
            </w:pPr>
          </w:p>
        </w:tc>
        <w:tc>
          <w:tcPr>
            <w:tcW w:w="1458" w:type="dxa"/>
            <w:tcBorders>
              <w:bottom w:val="nil"/>
            </w:tcBorders>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w:t>
            </w:r>
          </w:p>
        </w:tc>
        <w:tc>
          <w:tcPr>
            <w:tcW w:w="3296" w:type="dxa"/>
            <w:shd w:val="clear" w:color="auto" w:fill="auto"/>
          </w:tcPr>
          <w:p w:rsidR="004D56BE" w:rsidRPr="00C903F8" w:rsidRDefault="004D56BE" w:rsidP="00A8005B">
            <w:pPr>
              <w:tabs>
                <w:tab w:val="left" w:pos="1170"/>
              </w:tabs>
              <w:spacing w:before="140" w:after="140" w:line="240" w:lineRule="atLeast"/>
              <w:ind w:left="0" w:firstLine="0"/>
              <w:rPr>
                <w:rFonts w:cs="Arial"/>
                <w:sz w:val="18"/>
                <w:szCs w:val="18"/>
                <w:lang w:val="en-US"/>
              </w:rPr>
            </w:pPr>
            <w:r w:rsidRPr="00C903F8">
              <w:rPr>
                <w:rFonts w:cs="Arial"/>
                <w:noProof/>
                <w:sz w:val="18"/>
                <w:szCs w:val="18"/>
                <w:lang w:val="en-US"/>
              </w:rPr>
              <w:t>No fuel tanks located forward of the collision bulkhead</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1458" w:type="dxa"/>
            <w:tcBorders>
              <w:top w:val="nil"/>
              <w:bottom w:val="single" w:sz="4" w:space="0" w:color="auto"/>
            </w:tcBorders>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3296"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sidRPr="00C903F8">
              <w:rPr>
                <w:rFonts w:cs="Arial"/>
                <w:sz w:val="18"/>
                <w:szCs w:val="18"/>
                <w:lang w:val="en-US"/>
              </w:rPr>
              <w:t>No fuel tanks aft of the aft-peak bulkhead</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sz w:val="18"/>
                <w:szCs w:val="18"/>
                <w:lang w:val="de-DE"/>
              </w:rPr>
              <w:t>30.12.2049</w:t>
            </w:r>
          </w:p>
        </w:tc>
      </w:tr>
      <w:tr w:rsidR="004D56BE" w:rsidRPr="00C903F8" w:rsidTr="00AB6D23">
        <w:trPr>
          <w:cantSplit/>
          <w:jc w:val="center"/>
        </w:trPr>
        <w:tc>
          <w:tcPr>
            <w:tcW w:w="1342" w:type="dxa"/>
            <w:tcBorders>
              <w:top w:val="nil"/>
              <w:bottom w:val="nil"/>
            </w:tcBorders>
            <w:shd w:val="clear" w:color="auto" w:fill="auto"/>
          </w:tcPr>
          <w:p w:rsidR="004D56BE" w:rsidRPr="00C903F8" w:rsidRDefault="004D56BE" w:rsidP="00A8005B">
            <w:pPr>
              <w:spacing w:before="160" w:after="160" w:line="240" w:lineRule="atLeast"/>
              <w:ind w:left="0" w:firstLine="0"/>
              <w:rPr>
                <w:rFonts w:cs="Arial"/>
                <w:sz w:val="18"/>
                <w:szCs w:val="18"/>
                <w:lang w:val="en-US"/>
              </w:rPr>
            </w:pPr>
          </w:p>
        </w:tc>
        <w:tc>
          <w:tcPr>
            <w:tcW w:w="1458" w:type="dxa"/>
            <w:vMerge w:val="restart"/>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(4)</w:t>
            </w:r>
          </w:p>
        </w:tc>
        <w:tc>
          <w:tcPr>
            <w:tcW w:w="3296" w:type="dxa"/>
            <w:vMerge w:val="restart"/>
            <w:shd w:val="clear" w:color="auto" w:fill="auto"/>
          </w:tcPr>
          <w:p w:rsidR="004D56BE" w:rsidRPr="00C903F8" w:rsidRDefault="004D56BE" w:rsidP="00A8005B">
            <w:pPr>
              <w:spacing w:before="160" w:after="160" w:line="240" w:lineRule="atLeast"/>
              <w:ind w:left="0" w:firstLine="0"/>
              <w:rPr>
                <w:rFonts w:cs="Arial"/>
                <w:sz w:val="18"/>
                <w:szCs w:val="18"/>
                <w:lang w:val="en-US"/>
              </w:rPr>
            </w:pPr>
            <w:r w:rsidRPr="00C903F8">
              <w:rPr>
                <w:rFonts w:cs="Arial"/>
                <w:noProof/>
                <w:sz w:val="18"/>
                <w:szCs w:val="18"/>
                <w:lang w:val="en-US"/>
              </w:rPr>
              <w:t>No fuel tanks and their fittings above engines or exhaust pipes</w:t>
            </w:r>
          </w:p>
        </w:tc>
        <w:tc>
          <w:tcPr>
            <w:tcW w:w="6521"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30.12.2024</w:t>
            </w:r>
          </w:p>
        </w:tc>
      </w:tr>
      <w:tr w:rsidR="004D56BE" w:rsidRPr="00296858" w:rsidTr="00AB6D23">
        <w:trPr>
          <w:cantSplit/>
          <w:jc w:val="center"/>
        </w:trPr>
        <w:tc>
          <w:tcPr>
            <w:tcW w:w="1342" w:type="dxa"/>
            <w:tcBorders>
              <w:top w:val="nil"/>
              <w:bottom w:val="nil"/>
            </w:tcBorders>
            <w:shd w:val="clear" w:color="auto" w:fill="auto"/>
          </w:tcPr>
          <w:p w:rsidR="004D56BE" w:rsidRPr="00C903F8" w:rsidRDefault="004D56BE" w:rsidP="00A8005B">
            <w:pPr>
              <w:spacing w:before="160" w:after="160" w:line="240" w:lineRule="atLeast"/>
              <w:ind w:left="0" w:firstLine="0"/>
              <w:rPr>
                <w:rFonts w:cs="Arial"/>
                <w:sz w:val="18"/>
                <w:szCs w:val="18"/>
              </w:rPr>
            </w:pPr>
          </w:p>
        </w:tc>
        <w:tc>
          <w:tcPr>
            <w:tcW w:w="1458" w:type="dxa"/>
            <w:vMerge/>
            <w:shd w:val="clear" w:color="auto" w:fill="auto"/>
          </w:tcPr>
          <w:p w:rsidR="004D56BE" w:rsidRPr="00C903F8" w:rsidRDefault="004D56BE" w:rsidP="00A8005B">
            <w:pPr>
              <w:spacing w:before="160" w:after="160" w:line="240" w:lineRule="atLeast"/>
              <w:ind w:left="0" w:firstLine="0"/>
              <w:rPr>
                <w:rFonts w:cs="Arial"/>
                <w:sz w:val="18"/>
                <w:szCs w:val="18"/>
              </w:rPr>
            </w:pPr>
          </w:p>
        </w:tc>
        <w:tc>
          <w:tcPr>
            <w:tcW w:w="3296" w:type="dxa"/>
            <w:vMerge/>
            <w:shd w:val="clear" w:color="auto" w:fill="auto"/>
          </w:tcPr>
          <w:p w:rsidR="004D56BE" w:rsidRPr="00C903F8" w:rsidRDefault="004D56BE" w:rsidP="00A8005B">
            <w:pPr>
              <w:spacing w:before="160" w:after="160" w:line="240" w:lineRule="atLeast"/>
              <w:ind w:left="0" w:firstLine="0"/>
              <w:rPr>
                <w:rFonts w:cs="Arial"/>
                <w:sz w:val="18"/>
                <w:szCs w:val="18"/>
              </w:rPr>
            </w:pPr>
          </w:p>
        </w:tc>
        <w:tc>
          <w:tcPr>
            <w:tcW w:w="6521"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sidRPr="00C903F8">
              <w:rPr>
                <w:rFonts w:cs="Arial"/>
                <w:noProof/>
                <w:sz w:val="18"/>
                <w:szCs w:val="18"/>
                <w:lang w:val="en-US"/>
              </w:rPr>
              <w:t>Until then, appropriate devices must ensure the safe evacuation of fuels.</w:t>
            </w:r>
          </w:p>
        </w:tc>
        <w:tc>
          <w:tcPr>
            <w:tcW w:w="1276"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A8005B">
            <w:pPr>
              <w:spacing w:before="160" w:after="160" w:line="240" w:lineRule="atLeast"/>
              <w:ind w:left="0" w:firstLine="0"/>
              <w:rPr>
                <w:rFonts w:cs="Arial"/>
                <w:sz w:val="18"/>
                <w:szCs w:val="18"/>
                <w:lang w:val="en-US"/>
              </w:rPr>
            </w:pPr>
          </w:p>
        </w:tc>
        <w:tc>
          <w:tcPr>
            <w:tcW w:w="1458"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(6), 3</w:t>
            </w:r>
            <w:r w:rsidRPr="00C903F8">
              <w:rPr>
                <w:rFonts w:cs="Arial"/>
                <w:sz w:val="18"/>
                <w:szCs w:val="18"/>
                <w:vertAlign w:val="superscript"/>
              </w:rPr>
              <w:t>rd</w:t>
            </w:r>
            <w:r w:rsidRPr="00C903F8">
              <w:rPr>
                <w:rFonts w:cs="Arial"/>
                <w:sz w:val="18"/>
                <w:szCs w:val="18"/>
              </w:rPr>
              <w:t xml:space="preserve"> to 5</w:t>
            </w:r>
            <w:r w:rsidRPr="00C903F8">
              <w:rPr>
                <w:rFonts w:cs="Arial"/>
                <w:sz w:val="18"/>
                <w:szCs w:val="18"/>
                <w:vertAlign w:val="superscript"/>
              </w:rPr>
              <w:t>th</w:t>
            </w:r>
            <w:r w:rsidRPr="00C903F8">
              <w:rPr>
                <w:rFonts w:cs="Arial"/>
                <w:sz w:val="18"/>
                <w:szCs w:val="18"/>
              </w:rPr>
              <w:t xml:space="preserve"> sentences</w:t>
            </w:r>
          </w:p>
        </w:tc>
        <w:tc>
          <w:tcPr>
            <w:tcW w:w="3296"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sidRPr="00C903F8">
              <w:rPr>
                <w:rFonts w:cs="Arial"/>
                <w:noProof/>
                <w:sz w:val="18"/>
                <w:szCs w:val="18"/>
                <w:lang w:val="en-US"/>
              </w:rPr>
              <w:t>Installation and measurements of breather pipes and connection pipes</w:t>
            </w:r>
          </w:p>
        </w:tc>
        <w:tc>
          <w:tcPr>
            <w:tcW w:w="6521"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A8005B">
            <w:pPr>
              <w:spacing w:before="160" w:after="16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60" w:after="160" w:line="240" w:lineRule="atLeast"/>
              <w:ind w:left="0" w:firstLine="0"/>
              <w:jc w:val="left"/>
              <w:rPr>
                <w:rFonts w:cs="Arial"/>
                <w:sz w:val="18"/>
                <w:szCs w:val="18"/>
                <w:lang w:val="en-US"/>
              </w:rPr>
            </w:pPr>
            <w:r w:rsidRPr="00C903F8">
              <w:rPr>
                <w:rFonts w:cs="Arial"/>
                <w:sz w:val="18"/>
                <w:szCs w:val="18"/>
                <w:lang w:val="en-US"/>
              </w:rPr>
              <w:t>(7), 1</w:t>
            </w:r>
            <w:r w:rsidRPr="00C903F8">
              <w:rPr>
                <w:rFonts w:cs="Arial"/>
                <w:sz w:val="18"/>
                <w:szCs w:val="18"/>
                <w:vertAlign w:val="superscript"/>
                <w:lang w:val="en-US"/>
              </w:rPr>
              <w:t>st</w:t>
            </w:r>
            <w:r w:rsidRPr="00C903F8">
              <w:rPr>
                <w:rFonts w:cs="Arial"/>
                <w:sz w:val="18"/>
                <w:szCs w:val="18"/>
                <w:lang w:val="en-US"/>
              </w:rPr>
              <w:t xml:space="preserve"> sentence</w:t>
            </w:r>
          </w:p>
        </w:tc>
        <w:tc>
          <w:tcPr>
            <w:tcW w:w="3296"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sidRPr="00C903F8">
              <w:rPr>
                <w:rFonts w:cs="Arial"/>
                <w:sz w:val="18"/>
                <w:szCs w:val="18"/>
                <w:lang w:val="en-US"/>
              </w:rPr>
              <w:t>Quick-closing valve on the tank operated from deck, even when the rooms in question are closed</w:t>
            </w:r>
          </w:p>
        </w:tc>
        <w:tc>
          <w:tcPr>
            <w:tcW w:w="6521"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1.1.2029</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A8005B">
            <w:pPr>
              <w:spacing w:before="160" w:after="16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60" w:after="160" w:line="240" w:lineRule="atLeast"/>
              <w:ind w:left="0" w:firstLine="0"/>
              <w:jc w:val="left"/>
              <w:rPr>
                <w:rFonts w:cs="Arial"/>
                <w:sz w:val="18"/>
                <w:szCs w:val="18"/>
                <w:lang w:val="en-US"/>
              </w:rPr>
            </w:pPr>
            <w:r w:rsidRPr="00C903F8">
              <w:rPr>
                <w:rFonts w:cs="Arial"/>
                <w:sz w:val="18"/>
                <w:szCs w:val="18"/>
                <w:lang w:val="en-US"/>
              </w:rPr>
              <w:t>(9), 2</w:t>
            </w:r>
            <w:r w:rsidRPr="00C903F8">
              <w:rPr>
                <w:rFonts w:cs="Arial"/>
                <w:sz w:val="18"/>
                <w:szCs w:val="18"/>
                <w:vertAlign w:val="superscript"/>
                <w:lang w:val="en-US"/>
              </w:rPr>
              <w:t>nd </w:t>
            </w:r>
            <w:r w:rsidRPr="00C903F8">
              <w:rPr>
                <w:rFonts w:cs="Arial"/>
                <w:sz w:val="18"/>
                <w:szCs w:val="18"/>
                <w:lang w:val="en-US"/>
              </w:rPr>
              <w:t>sentence</w:t>
            </w:r>
          </w:p>
        </w:tc>
        <w:tc>
          <w:tcPr>
            <w:tcW w:w="3296"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sidRPr="00C903F8">
              <w:rPr>
                <w:rFonts w:cs="Arial"/>
                <w:noProof/>
                <w:sz w:val="18"/>
                <w:szCs w:val="18"/>
                <w:lang w:val="en-US"/>
              </w:rPr>
              <w:t>Capacity-gauging devices to be legible up to maximum filling level</w:t>
            </w:r>
          </w:p>
        </w:tc>
        <w:tc>
          <w:tcPr>
            <w:tcW w:w="6521"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30.12.2029</w:t>
            </w:r>
          </w:p>
        </w:tc>
      </w:tr>
      <w:tr w:rsidR="004D56BE" w:rsidRPr="00C903F8" w:rsidTr="001964F8">
        <w:trPr>
          <w:cantSplit/>
          <w:jc w:val="center"/>
        </w:trPr>
        <w:tc>
          <w:tcPr>
            <w:tcW w:w="1342" w:type="dxa"/>
            <w:tcBorders>
              <w:top w:val="nil"/>
            </w:tcBorders>
            <w:shd w:val="clear" w:color="auto" w:fill="auto"/>
          </w:tcPr>
          <w:p w:rsidR="004D56BE" w:rsidRPr="00C903F8" w:rsidRDefault="004D56BE" w:rsidP="00A8005B">
            <w:pPr>
              <w:spacing w:before="160" w:after="16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(13)</w:t>
            </w:r>
          </w:p>
        </w:tc>
        <w:tc>
          <w:tcPr>
            <w:tcW w:w="3296"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sidRPr="00C903F8">
              <w:rPr>
                <w:rFonts w:cs="Arial"/>
                <w:noProof/>
                <w:sz w:val="18"/>
                <w:szCs w:val="18"/>
                <w:lang w:val="en-US"/>
              </w:rPr>
              <w:t>Filling level control not only for main engines but also other engines needed for safe operation of the vessel</w:t>
            </w:r>
          </w:p>
        </w:tc>
        <w:tc>
          <w:tcPr>
            <w:tcW w:w="6521"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30.12.2029</w:t>
            </w:r>
          </w:p>
        </w:tc>
      </w:tr>
      <w:tr w:rsidR="004D56BE" w:rsidRPr="00C903F8" w:rsidTr="001964F8">
        <w:trPr>
          <w:cantSplit/>
          <w:jc w:val="center"/>
        </w:trPr>
        <w:tc>
          <w:tcPr>
            <w:tcW w:w="1342"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8.06</w:t>
            </w:r>
          </w:p>
        </w:tc>
        <w:tc>
          <w:tcPr>
            <w:tcW w:w="1458" w:type="dxa"/>
            <w:shd w:val="clear" w:color="auto" w:fill="auto"/>
          </w:tcPr>
          <w:p w:rsidR="004D56BE" w:rsidRPr="00C903F8" w:rsidRDefault="004D56BE" w:rsidP="00A8005B">
            <w:pPr>
              <w:spacing w:before="160" w:after="160" w:line="240" w:lineRule="atLeast"/>
              <w:ind w:left="0" w:firstLine="0"/>
              <w:rPr>
                <w:rFonts w:cs="Arial"/>
                <w:sz w:val="18"/>
                <w:szCs w:val="18"/>
              </w:rPr>
            </w:pPr>
          </w:p>
        </w:tc>
        <w:tc>
          <w:tcPr>
            <w:tcW w:w="3296"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sidRPr="00C903F8">
              <w:rPr>
                <w:rFonts w:cs="Arial"/>
                <w:noProof/>
                <w:sz w:val="18"/>
                <w:szCs w:val="18"/>
                <w:lang w:val="en-US"/>
              </w:rPr>
              <w:t>Tanks for lubricating oil, pipes and accessories</w:t>
            </w:r>
          </w:p>
        </w:tc>
        <w:tc>
          <w:tcPr>
            <w:tcW w:w="6521"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tcBorders>
              <w:bottom w:val="single" w:sz="4" w:space="0" w:color="auto"/>
            </w:tcBorders>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8.07</w:t>
            </w:r>
          </w:p>
        </w:tc>
        <w:tc>
          <w:tcPr>
            <w:tcW w:w="1458" w:type="dxa"/>
            <w:shd w:val="clear" w:color="auto" w:fill="auto"/>
          </w:tcPr>
          <w:p w:rsidR="004D56BE" w:rsidRPr="00C903F8" w:rsidRDefault="004D56BE" w:rsidP="00A8005B">
            <w:pPr>
              <w:spacing w:before="160" w:after="160" w:line="240" w:lineRule="atLeast"/>
              <w:ind w:left="0" w:firstLine="0"/>
              <w:rPr>
                <w:rFonts w:cs="Arial"/>
                <w:sz w:val="18"/>
                <w:szCs w:val="18"/>
              </w:rPr>
            </w:pPr>
          </w:p>
        </w:tc>
        <w:tc>
          <w:tcPr>
            <w:tcW w:w="3296"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sidRPr="00C903F8">
              <w:rPr>
                <w:rFonts w:cs="Arial"/>
                <w:noProof/>
                <w:sz w:val="18"/>
                <w:szCs w:val="18"/>
                <w:lang w:val="en-US"/>
              </w:rPr>
              <w:t>Tanks for oils in power transmission systems, control and activating systems and heating systems, pipes and accessories</w:t>
            </w:r>
          </w:p>
        </w:tc>
        <w:tc>
          <w:tcPr>
            <w:tcW w:w="6521"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tcBorders>
              <w:bottom w:val="nil"/>
            </w:tcBorders>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8.08</w:t>
            </w:r>
          </w:p>
        </w:tc>
        <w:tc>
          <w:tcPr>
            <w:tcW w:w="1458"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(8)</w:t>
            </w:r>
          </w:p>
        </w:tc>
        <w:tc>
          <w:tcPr>
            <w:tcW w:w="3296"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sidRPr="00C903F8">
              <w:rPr>
                <w:rFonts w:cs="Arial"/>
                <w:noProof/>
                <w:sz w:val="18"/>
                <w:szCs w:val="18"/>
                <w:lang w:val="en-US"/>
              </w:rPr>
              <w:t>Simple closing device not sufficient for connection of ballast spaces to drainage pipes for holds capable of carrying ballast</w:t>
            </w:r>
          </w:p>
        </w:tc>
        <w:tc>
          <w:tcPr>
            <w:tcW w:w="6521" w:type="dxa"/>
            <w:shd w:val="clear" w:color="auto" w:fill="auto"/>
          </w:tcPr>
          <w:p w:rsidR="004D56BE" w:rsidRPr="00C903F8" w:rsidRDefault="004D56BE" w:rsidP="00A8005B">
            <w:pPr>
              <w:spacing w:before="160" w:after="1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60" w:after="16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tcBorders>
              <w:top w:val="nil"/>
            </w:tcBorders>
            <w:shd w:val="clear" w:color="auto" w:fill="auto"/>
          </w:tcPr>
          <w:p w:rsidR="004D56BE" w:rsidRPr="00C903F8" w:rsidRDefault="004D56BE" w:rsidP="00A8005B">
            <w:pPr>
              <w:spacing w:before="80" w:after="8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sz w:val="18"/>
                <w:szCs w:val="18"/>
              </w:rPr>
              <w:t>(9)</w:t>
            </w:r>
          </w:p>
        </w:tc>
        <w:tc>
          <w:tcPr>
            <w:tcW w:w="3296" w:type="dxa"/>
            <w:shd w:val="clear" w:color="auto" w:fill="auto"/>
          </w:tcPr>
          <w:p w:rsidR="004D56BE" w:rsidRPr="00C903F8" w:rsidRDefault="004D56BE" w:rsidP="00A8005B">
            <w:pPr>
              <w:spacing w:before="80" w:after="80" w:line="240" w:lineRule="atLeast"/>
              <w:ind w:left="0" w:firstLine="0"/>
              <w:rPr>
                <w:rFonts w:cs="Arial"/>
                <w:sz w:val="18"/>
                <w:szCs w:val="18"/>
                <w:lang w:val="en-US"/>
              </w:rPr>
            </w:pPr>
            <w:r w:rsidRPr="00C903F8">
              <w:rPr>
                <w:rFonts w:cs="Arial"/>
                <w:noProof/>
                <w:sz w:val="18"/>
                <w:szCs w:val="18"/>
                <w:lang w:val="en-US"/>
              </w:rPr>
              <w:t>Gauging devices in hold bilges</w:t>
            </w:r>
          </w:p>
        </w:tc>
        <w:tc>
          <w:tcPr>
            <w:tcW w:w="6521" w:type="dxa"/>
            <w:shd w:val="clear" w:color="auto" w:fill="auto"/>
          </w:tcPr>
          <w:p w:rsidR="004D56BE" w:rsidRPr="00C903F8" w:rsidRDefault="004D56BE" w:rsidP="00A8005B">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sz w:val="18"/>
                <w:szCs w:val="18"/>
              </w:rPr>
              <w:lastRenderedPageBreak/>
              <w:t>8.09</w:t>
            </w:r>
          </w:p>
        </w:tc>
        <w:tc>
          <w:tcPr>
            <w:tcW w:w="1458" w:type="dxa"/>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sz w:val="18"/>
                <w:szCs w:val="18"/>
              </w:rPr>
              <w:t>(2)</w:t>
            </w:r>
          </w:p>
        </w:tc>
        <w:tc>
          <w:tcPr>
            <w:tcW w:w="3296" w:type="dxa"/>
            <w:shd w:val="clear" w:color="auto" w:fill="auto"/>
          </w:tcPr>
          <w:p w:rsidR="004D56BE" w:rsidRPr="00C903F8" w:rsidRDefault="004D56BE" w:rsidP="00A8005B">
            <w:pPr>
              <w:spacing w:before="80" w:after="80" w:line="240" w:lineRule="atLeast"/>
              <w:ind w:left="0" w:firstLine="0"/>
              <w:rPr>
                <w:rFonts w:cs="Arial"/>
                <w:sz w:val="18"/>
                <w:szCs w:val="18"/>
                <w:lang w:val="en-US"/>
              </w:rPr>
            </w:pPr>
            <w:r w:rsidRPr="00C903F8">
              <w:rPr>
                <w:rFonts w:cs="Arial"/>
                <w:noProof/>
                <w:sz w:val="18"/>
                <w:szCs w:val="18"/>
                <w:lang w:val="en-US"/>
              </w:rPr>
              <w:t>Installations for the collection of oily water and used oil stores</w:t>
            </w:r>
          </w:p>
        </w:tc>
        <w:tc>
          <w:tcPr>
            <w:tcW w:w="6521" w:type="dxa"/>
            <w:shd w:val="clear" w:color="auto" w:fill="auto"/>
          </w:tcPr>
          <w:p w:rsidR="004D56BE" w:rsidRPr="00C903F8" w:rsidRDefault="004D56BE" w:rsidP="00A8005B">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sz w:val="18"/>
                <w:szCs w:val="18"/>
              </w:rPr>
              <w:t>30.12.2024</w:t>
            </w:r>
          </w:p>
        </w:tc>
      </w:tr>
      <w:tr w:rsidR="004D56BE" w:rsidRPr="00C903F8" w:rsidTr="00A8005B">
        <w:trPr>
          <w:cantSplit/>
          <w:jc w:val="center"/>
        </w:trPr>
        <w:tc>
          <w:tcPr>
            <w:tcW w:w="1342" w:type="dxa"/>
            <w:tcBorders>
              <w:bottom w:val="single" w:sz="4" w:space="0" w:color="auto"/>
            </w:tcBorders>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sz w:val="18"/>
                <w:szCs w:val="18"/>
              </w:rPr>
              <w:t>8.10</w:t>
            </w:r>
          </w:p>
        </w:tc>
        <w:tc>
          <w:tcPr>
            <w:tcW w:w="1458" w:type="dxa"/>
            <w:tcBorders>
              <w:bottom w:val="single" w:sz="4" w:space="0" w:color="auto"/>
            </w:tcBorders>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sz w:val="18"/>
                <w:szCs w:val="18"/>
              </w:rPr>
              <w:t>(3)</w:t>
            </w:r>
          </w:p>
        </w:tc>
        <w:tc>
          <w:tcPr>
            <w:tcW w:w="3296" w:type="dxa"/>
            <w:tcBorders>
              <w:bottom w:val="single" w:sz="4" w:space="0" w:color="auto"/>
            </w:tcBorders>
            <w:shd w:val="clear" w:color="auto" w:fill="auto"/>
          </w:tcPr>
          <w:p w:rsidR="004D56BE" w:rsidRPr="00C903F8" w:rsidRDefault="004D56BE" w:rsidP="00A8005B">
            <w:pPr>
              <w:spacing w:before="80" w:after="80" w:line="240" w:lineRule="atLeast"/>
              <w:ind w:left="0" w:firstLine="0"/>
              <w:rPr>
                <w:rFonts w:cs="Arial"/>
                <w:sz w:val="18"/>
                <w:szCs w:val="18"/>
                <w:lang w:val="en-US"/>
              </w:rPr>
            </w:pPr>
            <w:r w:rsidRPr="00C903F8">
              <w:rPr>
                <w:rFonts w:cs="Arial"/>
                <w:noProof/>
                <w:sz w:val="18"/>
                <w:szCs w:val="18"/>
                <w:lang w:val="en-US"/>
              </w:rPr>
              <w:t>Emission limit of 65 dB(A) for stationary vessels</w:t>
            </w:r>
          </w:p>
        </w:tc>
        <w:tc>
          <w:tcPr>
            <w:tcW w:w="6521" w:type="dxa"/>
            <w:tcBorders>
              <w:bottom w:val="single" w:sz="4" w:space="0" w:color="auto"/>
            </w:tcBorders>
            <w:shd w:val="clear" w:color="auto" w:fill="auto"/>
          </w:tcPr>
          <w:p w:rsidR="004D56BE" w:rsidRPr="00C903F8" w:rsidRDefault="004D56BE" w:rsidP="00A8005B">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tcBorders>
              <w:bottom w:val="single" w:sz="4" w:space="0" w:color="auto"/>
            </w:tcBorders>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sz w:val="18"/>
                <w:szCs w:val="18"/>
              </w:rPr>
              <w:t>30.12.2029</w:t>
            </w:r>
          </w:p>
        </w:tc>
      </w:tr>
      <w:tr w:rsidR="004D56BE" w:rsidRPr="00296858" w:rsidTr="00C01A94">
        <w:trPr>
          <w:cantSplit/>
          <w:jc w:val="center"/>
        </w:trPr>
        <w:tc>
          <w:tcPr>
            <w:tcW w:w="6096" w:type="dxa"/>
            <w:gridSpan w:val="3"/>
            <w:tcBorders>
              <w:top w:val="single" w:sz="4" w:space="0" w:color="auto"/>
            </w:tcBorders>
            <w:shd w:val="clear" w:color="auto" w:fill="auto"/>
          </w:tcPr>
          <w:p w:rsidR="004D56BE" w:rsidRDefault="004D56BE" w:rsidP="00A8005B">
            <w:pPr>
              <w:spacing w:before="80" w:after="80" w:line="240" w:lineRule="atLeast"/>
              <w:jc w:val="center"/>
              <w:rPr>
                <w:rFonts w:cs="Arial"/>
                <w:b/>
                <w:sz w:val="18"/>
                <w:szCs w:val="18"/>
              </w:rPr>
            </w:pPr>
            <w:r>
              <w:rPr>
                <w:rFonts w:cs="Arial"/>
                <w:b/>
                <w:sz w:val="18"/>
                <w:szCs w:val="18"/>
              </w:rPr>
              <w:t>CHAPTER 9</w:t>
            </w:r>
          </w:p>
        </w:tc>
        <w:tc>
          <w:tcPr>
            <w:tcW w:w="6521" w:type="dxa"/>
            <w:tcBorders>
              <w:top w:val="single" w:sz="4" w:space="0" w:color="auto"/>
            </w:tcBorders>
            <w:shd w:val="clear" w:color="auto" w:fill="auto"/>
          </w:tcPr>
          <w:p w:rsidR="004D56BE" w:rsidRPr="00C01A94" w:rsidRDefault="004D56BE" w:rsidP="00A8005B">
            <w:pPr>
              <w:spacing w:before="80" w:after="80" w:line="240" w:lineRule="atLeast"/>
              <w:ind w:left="0" w:firstLine="0"/>
              <w:rPr>
                <w:rFonts w:cs="Arial"/>
                <w:sz w:val="18"/>
                <w:szCs w:val="18"/>
                <w:lang w:val="en-US"/>
              </w:rPr>
            </w:pPr>
            <w:r w:rsidRPr="004B606C">
              <w:rPr>
                <w:rFonts w:eastAsia="Calibri" w:cs="Arial"/>
                <w:sz w:val="18"/>
                <w:szCs w:val="18"/>
                <w:lang w:val="en-US"/>
              </w:rPr>
              <w:t>For engines which are already installed onboard and non type-approved, only Article 9.02 applies.</w:t>
            </w:r>
          </w:p>
        </w:tc>
        <w:tc>
          <w:tcPr>
            <w:tcW w:w="1276" w:type="dxa"/>
            <w:tcBorders>
              <w:top w:val="single" w:sz="4" w:space="0" w:color="auto"/>
              <w:bottom w:val="nil"/>
            </w:tcBorders>
            <w:shd w:val="clear" w:color="auto" w:fill="auto"/>
          </w:tcPr>
          <w:p w:rsidR="004D56BE" w:rsidRPr="00C01A94" w:rsidRDefault="004D56BE" w:rsidP="00A8005B">
            <w:pPr>
              <w:spacing w:before="80" w:after="80" w:line="240" w:lineRule="atLeast"/>
              <w:ind w:left="0" w:firstLine="0"/>
              <w:rPr>
                <w:rFonts w:cs="Arial"/>
                <w:sz w:val="18"/>
                <w:szCs w:val="18"/>
                <w:lang w:val="en-US"/>
              </w:rPr>
            </w:pPr>
          </w:p>
        </w:tc>
      </w:tr>
      <w:tr w:rsidR="004D56BE" w:rsidRPr="00296858" w:rsidTr="00C01A94">
        <w:trPr>
          <w:cantSplit/>
          <w:jc w:val="center"/>
        </w:trPr>
        <w:tc>
          <w:tcPr>
            <w:tcW w:w="1342" w:type="dxa"/>
            <w:shd w:val="clear" w:color="auto" w:fill="auto"/>
          </w:tcPr>
          <w:p w:rsidR="004D56BE" w:rsidRPr="004B606C" w:rsidRDefault="004D56BE" w:rsidP="00A8005B">
            <w:pPr>
              <w:spacing w:before="80" w:after="80" w:line="240" w:lineRule="atLeast"/>
              <w:rPr>
                <w:rFonts w:eastAsia="Calibri" w:cs="Arial"/>
                <w:sz w:val="18"/>
                <w:szCs w:val="18"/>
              </w:rPr>
            </w:pPr>
            <w:r w:rsidRPr="004B606C">
              <w:rPr>
                <w:sz w:val="18"/>
                <w:szCs w:val="18"/>
              </w:rPr>
              <w:t>9.01</w:t>
            </w:r>
          </w:p>
        </w:tc>
        <w:tc>
          <w:tcPr>
            <w:tcW w:w="1458" w:type="dxa"/>
            <w:shd w:val="clear" w:color="auto" w:fill="auto"/>
          </w:tcPr>
          <w:p w:rsidR="004D56BE" w:rsidRPr="004B606C" w:rsidRDefault="004D56BE" w:rsidP="00A8005B">
            <w:pPr>
              <w:spacing w:before="80" w:after="80" w:line="240" w:lineRule="atLeast"/>
              <w:rPr>
                <w:sz w:val="18"/>
                <w:szCs w:val="18"/>
              </w:rPr>
            </w:pPr>
            <w:r w:rsidRPr="004B606C">
              <w:rPr>
                <w:sz w:val="18"/>
                <w:szCs w:val="18"/>
              </w:rPr>
              <w:t>(1) to (4)</w:t>
            </w:r>
          </w:p>
        </w:tc>
        <w:tc>
          <w:tcPr>
            <w:tcW w:w="3296" w:type="dxa"/>
            <w:shd w:val="clear" w:color="auto" w:fill="auto"/>
          </w:tcPr>
          <w:p w:rsidR="004D56BE" w:rsidRPr="004B606C" w:rsidRDefault="004D56BE" w:rsidP="00A8005B">
            <w:pPr>
              <w:spacing w:before="80" w:after="80" w:line="240" w:lineRule="atLeast"/>
              <w:rPr>
                <w:rFonts w:eastAsia="Calibri" w:cs="Arial"/>
                <w:sz w:val="18"/>
                <w:szCs w:val="18"/>
              </w:rPr>
            </w:pPr>
            <w:r w:rsidRPr="004B606C">
              <w:rPr>
                <w:sz w:val="18"/>
                <w:szCs w:val="18"/>
              </w:rPr>
              <w:t>General provisions</w:t>
            </w:r>
          </w:p>
        </w:tc>
        <w:tc>
          <w:tcPr>
            <w:tcW w:w="6521" w:type="dxa"/>
            <w:vMerge w:val="restart"/>
            <w:shd w:val="clear" w:color="auto" w:fill="auto"/>
            <w:vAlign w:val="center"/>
          </w:tcPr>
          <w:p w:rsidR="004D56BE" w:rsidRPr="00C903F8" w:rsidRDefault="004D56BE" w:rsidP="00A8005B">
            <w:pPr>
              <w:spacing w:before="80" w:after="80" w:line="240" w:lineRule="atLeast"/>
              <w:ind w:left="0" w:firstLine="0"/>
              <w:rPr>
                <w:rFonts w:cs="Arial"/>
                <w:sz w:val="18"/>
                <w:szCs w:val="18"/>
                <w:lang w:val="en-US"/>
              </w:rPr>
            </w:pPr>
            <w:r w:rsidRPr="004B606C">
              <w:rPr>
                <w:sz w:val="18"/>
                <w:szCs w:val="18"/>
                <w:lang w:val="en-US"/>
              </w:rPr>
              <w:t>For engines complying with the type-approval and installation provisions in force at the date of installation: N.R.</w:t>
            </w:r>
          </w:p>
        </w:tc>
        <w:tc>
          <w:tcPr>
            <w:tcW w:w="1276" w:type="dxa"/>
            <w:tcBorders>
              <w:top w:val="nil"/>
              <w:bottom w:val="nil"/>
            </w:tcBorders>
            <w:shd w:val="clear" w:color="auto" w:fill="auto"/>
          </w:tcPr>
          <w:p w:rsidR="004D56BE" w:rsidRPr="00C01A94" w:rsidRDefault="004D56BE" w:rsidP="00A8005B">
            <w:pPr>
              <w:spacing w:before="80" w:after="80" w:line="240" w:lineRule="atLeast"/>
              <w:ind w:left="0" w:firstLine="0"/>
              <w:rPr>
                <w:rFonts w:cs="Arial"/>
                <w:sz w:val="18"/>
                <w:szCs w:val="18"/>
                <w:lang w:val="en-US"/>
              </w:rPr>
            </w:pPr>
          </w:p>
        </w:tc>
      </w:tr>
      <w:tr w:rsidR="004D56BE" w:rsidRPr="00C903F8" w:rsidTr="00C01A94">
        <w:trPr>
          <w:cantSplit/>
          <w:jc w:val="center"/>
        </w:trPr>
        <w:tc>
          <w:tcPr>
            <w:tcW w:w="1342" w:type="dxa"/>
            <w:shd w:val="clear" w:color="auto" w:fill="auto"/>
          </w:tcPr>
          <w:p w:rsidR="004D56BE" w:rsidRPr="004B606C" w:rsidRDefault="004D56BE" w:rsidP="00A8005B">
            <w:pPr>
              <w:spacing w:before="80" w:after="80" w:line="240" w:lineRule="atLeast"/>
              <w:rPr>
                <w:sz w:val="18"/>
                <w:szCs w:val="18"/>
              </w:rPr>
            </w:pPr>
            <w:r w:rsidRPr="004B606C">
              <w:rPr>
                <w:sz w:val="18"/>
                <w:szCs w:val="18"/>
              </w:rPr>
              <w:t>9.06</w:t>
            </w:r>
          </w:p>
        </w:tc>
        <w:tc>
          <w:tcPr>
            <w:tcW w:w="1458" w:type="dxa"/>
            <w:shd w:val="clear" w:color="auto" w:fill="auto"/>
          </w:tcPr>
          <w:p w:rsidR="004D56BE" w:rsidRPr="004B606C" w:rsidRDefault="004D56BE" w:rsidP="00A8005B">
            <w:pPr>
              <w:spacing w:before="80" w:after="80" w:line="240" w:lineRule="atLeast"/>
              <w:rPr>
                <w:sz w:val="18"/>
                <w:szCs w:val="18"/>
              </w:rPr>
            </w:pPr>
          </w:p>
        </w:tc>
        <w:tc>
          <w:tcPr>
            <w:tcW w:w="3296" w:type="dxa"/>
            <w:shd w:val="clear" w:color="auto" w:fill="auto"/>
          </w:tcPr>
          <w:p w:rsidR="004D56BE" w:rsidRPr="004B606C" w:rsidRDefault="004D56BE" w:rsidP="00A8005B">
            <w:pPr>
              <w:spacing w:before="80" w:after="80" w:line="240" w:lineRule="atLeast"/>
              <w:rPr>
                <w:sz w:val="18"/>
                <w:szCs w:val="18"/>
                <w:lang w:val="en-US"/>
              </w:rPr>
            </w:pPr>
            <w:r w:rsidRPr="004B606C">
              <w:rPr>
                <w:sz w:val="18"/>
                <w:szCs w:val="18"/>
                <w:lang w:val="en-US"/>
              </w:rPr>
              <w:t>Installation test</w:t>
            </w:r>
          </w:p>
        </w:tc>
        <w:tc>
          <w:tcPr>
            <w:tcW w:w="6521" w:type="dxa"/>
            <w:vMerge/>
            <w:shd w:val="clear" w:color="auto" w:fill="auto"/>
          </w:tcPr>
          <w:p w:rsidR="004D56BE" w:rsidRPr="00C903F8" w:rsidRDefault="004D56BE" w:rsidP="00A8005B">
            <w:pPr>
              <w:spacing w:before="80" w:after="80" w:line="240" w:lineRule="atLeast"/>
              <w:ind w:left="0" w:firstLine="0"/>
              <w:rPr>
                <w:rFonts w:cs="Arial"/>
                <w:sz w:val="18"/>
                <w:szCs w:val="18"/>
                <w:lang w:val="en-US"/>
              </w:rPr>
            </w:pPr>
          </w:p>
        </w:tc>
        <w:tc>
          <w:tcPr>
            <w:tcW w:w="1276" w:type="dxa"/>
            <w:tcBorders>
              <w:top w:val="nil"/>
            </w:tcBorders>
            <w:shd w:val="clear" w:color="auto" w:fill="auto"/>
          </w:tcPr>
          <w:p w:rsidR="004D56BE" w:rsidRPr="00C903F8" w:rsidRDefault="004D56BE" w:rsidP="00A8005B">
            <w:pPr>
              <w:spacing w:before="80" w:after="80" w:line="240" w:lineRule="atLeast"/>
              <w:ind w:left="0" w:firstLine="0"/>
              <w:rPr>
                <w:rFonts w:cs="Arial"/>
                <w:sz w:val="18"/>
                <w:szCs w:val="18"/>
              </w:rPr>
            </w:pPr>
          </w:p>
        </w:tc>
      </w:tr>
      <w:tr w:rsidR="004D56BE" w:rsidRPr="00C903F8" w:rsidTr="001964F8">
        <w:trPr>
          <w:cantSplit/>
          <w:jc w:val="center"/>
        </w:trPr>
        <w:tc>
          <w:tcPr>
            <w:tcW w:w="6096" w:type="dxa"/>
            <w:gridSpan w:val="3"/>
            <w:tcBorders>
              <w:top w:val="single" w:sz="4" w:space="0" w:color="auto"/>
            </w:tcBorders>
            <w:shd w:val="clear" w:color="auto" w:fill="auto"/>
          </w:tcPr>
          <w:p w:rsidR="004D56BE" w:rsidRPr="00852DB3" w:rsidRDefault="004D56BE" w:rsidP="00A8005B">
            <w:pPr>
              <w:spacing w:before="80" w:after="80" w:line="240" w:lineRule="atLeast"/>
              <w:jc w:val="center"/>
              <w:rPr>
                <w:rFonts w:cs="Arial"/>
                <w:b/>
                <w:sz w:val="18"/>
                <w:szCs w:val="18"/>
              </w:rPr>
            </w:pPr>
            <w:r>
              <w:rPr>
                <w:rFonts w:cs="Arial"/>
                <w:b/>
                <w:sz w:val="18"/>
                <w:szCs w:val="18"/>
              </w:rPr>
              <w:t>CHAPTER 10</w:t>
            </w:r>
          </w:p>
        </w:tc>
        <w:tc>
          <w:tcPr>
            <w:tcW w:w="6521" w:type="dxa"/>
            <w:tcBorders>
              <w:top w:val="single" w:sz="4" w:space="0" w:color="auto"/>
            </w:tcBorders>
            <w:shd w:val="clear" w:color="auto" w:fill="auto"/>
          </w:tcPr>
          <w:p w:rsidR="004D56BE" w:rsidRPr="00852DB3" w:rsidRDefault="004D56BE" w:rsidP="00A8005B">
            <w:pPr>
              <w:spacing w:before="80" w:after="80" w:line="240" w:lineRule="atLeast"/>
              <w:jc w:val="center"/>
              <w:rPr>
                <w:rFonts w:cs="Arial"/>
                <w:sz w:val="18"/>
                <w:szCs w:val="18"/>
              </w:rPr>
            </w:pPr>
          </w:p>
        </w:tc>
        <w:tc>
          <w:tcPr>
            <w:tcW w:w="1276" w:type="dxa"/>
            <w:tcBorders>
              <w:top w:val="single" w:sz="4" w:space="0" w:color="auto"/>
            </w:tcBorders>
            <w:shd w:val="clear" w:color="auto" w:fill="auto"/>
          </w:tcPr>
          <w:p w:rsidR="004D56BE" w:rsidRPr="00C903F8" w:rsidRDefault="004D56BE" w:rsidP="00A8005B">
            <w:pPr>
              <w:spacing w:before="80" w:after="80" w:line="240" w:lineRule="atLeast"/>
              <w:ind w:left="0" w:firstLine="0"/>
              <w:rPr>
                <w:rFonts w:cs="Arial"/>
                <w:sz w:val="18"/>
                <w:szCs w:val="18"/>
              </w:rPr>
            </w:pPr>
          </w:p>
        </w:tc>
      </w:tr>
      <w:tr w:rsidR="004D56BE" w:rsidRPr="00C903F8" w:rsidTr="00E04086">
        <w:trPr>
          <w:cantSplit/>
          <w:jc w:val="center"/>
        </w:trPr>
        <w:tc>
          <w:tcPr>
            <w:tcW w:w="1342" w:type="dxa"/>
            <w:vMerge w:val="restart"/>
            <w:shd w:val="clear" w:color="auto" w:fill="auto"/>
          </w:tcPr>
          <w:p w:rsidR="004D56BE" w:rsidRPr="00C903F8" w:rsidRDefault="004D56BE" w:rsidP="00A8005B">
            <w:pPr>
              <w:spacing w:before="80" w:after="80" w:line="240" w:lineRule="atLeast"/>
              <w:ind w:left="0" w:firstLine="0"/>
              <w:rPr>
                <w:rFonts w:cs="Arial"/>
                <w:sz w:val="18"/>
                <w:szCs w:val="18"/>
              </w:rPr>
            </w:pPr>
            <w:r w:rsidRPr="00C903F8">
              <w:rPr>
                <w:rFonts w:cs="Arial"/>
                <w:sz w:val="18"/>
                <w:szCs w:val="18"/>
              </w:rPr>
              <w:t>10.01</w:t>
            </w:r>
          </w:p>
        </w:tc>
        <w:tc>
          <w:tcPr>
            <w:tcW w:w="1458" w:type="dxa"/>
            <w:shd w:val="clear" w:color="auto" w:fill="auto"/>
          </w:tcPr>
          <w:p w:rsidR="004D56BE" w:rsidRPr="00852DB3" w:rsidRDefault="004D56BE" w:rsidP="00A8005B">
            <w:pPr>
              <w:spacing w:before="80" w:after="80" w:line="240" w:lineRule="atLeast"/>
              <w:rPr>
                <w:rFonts w:cs="Arial"/>
                <w:sz w:val="18"/>
                <w:szCs w:val="18"/>
              </w:rPr>
            </w:pPr>
            <w:r w:rsidRPr="004B4203">
              <w:rPr>
                <w:rFonts w:cs="Arial"/>
                <w:sz w:val="18"/>
                <w:szCs w:val="18"/>
              </w:rPr>
              <w:t>(1) second sentence</w:t>
            </w:r>
          </w:p>
        </w:tc>
        <w:tc>
          <w:tcPr>
            <w:tcW w:w="3296" w:type="dxa"/>
            <w:shd w:val="clear" w:color="auto" w:fill="auto"/>
          </w:tcPr>
          <w:p w:rsidR="004D56BE" w:rsidRPr="003F5E4D" w:rsidRDefault="004D56BE" w:rsidP="00A8005B">
            <w:pPr>
              <w:spacing w:before="80" w:after="80" w:line="240" w:lineRule="atLeast"/>
              <w:ind w:left="0" w:firstLine="0"/>
              <w:rPr>
                <w:rFonts w:cs="Arial"/>
                <w:noProof/>
                <w:sz w:val="18"/>
                <w:szCs w:val="18"/>
                <w:lang w:val="en-GB"/>
              </w:rPr>
            </w:pPr>
            <w:r w:rsidRPr="003F5E4D">
              <w:rPr>
                <w:rFonts w:cs="Arial"/>
                <w:noProof/>
                <w:sz w:val="18"/>
                <w:szCs w:val="18"/>
                <w:lang w:val="en-GB"/>
              </w:rPr>
              <w:t>Required documents must be submitted to the Inspection body</w:t>
            </w:r>
          </w:p>
        </w:tc>
        <w:tc>
          <w:tcPr>
            <w:tcW w:w="6521" w:type="dxa"/>
            <w:shd w:val="clear" w:color="auto" w:fill="auto"/>
          </w:tcPr>
          <w:p w:rsidR="004D56BE" w:rsidRPr="00852DB3" w:rsidRDefault="004D56BE" w:rsidP="00A8005B">
            <w:pPr>
              <w:spacing w:before="80" w:after="8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4D56BE" w:rsidRPr="00852DB3" w:rsidRDefault="004D56BE" w:rsidP="00A8005B">
            <w:pPr>
              <w:spacing w:before="80" w:after="80" w:line="240" w:lineRule="atLeast"/>
              <w:jc w:val="center"/>
              <w:rPr>
                <w:rFonts w:cs="Arial"/>
                <w:sz w:val="18"/>
                <w:szCs w:val="18"/>
              </w:rPr>
            </w:pPr>
            <w:r w:rsidRPr="004B4203">
              <w:rPr>
                <w:rFonts w:cs="Arial"/>
                <w:sz w:val="18"/>
                <w:szCs w:val="18"/>
              </w:rPr>
              <w:t>1.1.2035</w:t>
            </w:r>
          </w:p>
        </w:tc>
      </w:tr>
      <w:tr w:rsidR="004D56BE" w:rsidRPr="00C903F8" w:rsidTr="00E04086">
        <w:trPr>
          <w:cantSplit/>
          <w:jc w:val="center"/>
        </w:trPr>
        <w:tc>
          <w:tcPr>
            <w:tcW w:w="1342" w:type="dxa"/>
            <w:vMerge/>
            <w:shd w:val="clear" w:color="auto" w:fill="auto"/>
          </w:tcPr>
          <w:p w:rsidR="004D56BE" w:rsidRPr="00C903F8" w:rsidRDefault="004D56BE" w:rsidP="00A8005B">
            <w:pPr>
              <w:spacing w:before="80" w:after="80" w:line="240" w:lineRule="atLeast"/>
              <w:ind w:left="0"/>
              <w:rPr>
                <w:rFonts w:cs="Arial"/>
                <w:sz w:val="18"/>
                <w:szCs w:val="18"/>
              </w:rPr>
            </w:pPr>
          </w:p>
        </w:tc>
        <w:tc>
          <w:tcPr>
            <w:tcW w:w="1458" w:type="dxa"/>
            <w:shd w:val="clear" w:color="auto" w:fill="auto"/>
          </w:tcPr>
          <w:p w:rsidR="004D56BE" w:rsidRPr="00852DB3" w:rsidRDefault="004D56BE" w:rsidP="00A8005B">
            <w:pPr>
              <w:spacing w:before="80" w:after="80" w:line="240" w:lineRule="atLeast"/>
              <w:rPr>
                <w:rFonts w:cs="Arial"/>
                <w:sz w:val="18"/>
                <w:szCs w:val="18"/>
              </w:rPr>
            </w:pPr>
            <w:r w:rsidRPr="004B4203">
              <w:rPr>
                <w:rFonts w:cs="Arial"/>
                <w:sz w:val="18"/>
                <w:szCs w:val="18"/>
              </w:rPr>
              <w:t>(2)(b)</w:t>
            </w:r>
          </w:p>
        </w:tc>
        <w:tc>
          <w:tcPr>
            <w:tcW w:w="3296" w:type="dxa"/>
            <w:shd w:val="clear" w:color="auto" w:fill="auto"/>
          </w:tcPr>
          <w:p w:rsidR="004D56BE" w:rsidRPr="003F5E4D" w:rsidRDefault="004D56BE" w:rsidP="00A8005B">
            <w:pPr>
              <w:spacing w:before="80" w:after="80" w:line="240" w:lineRule="atLeast"/>
              <w:ind w:left="0" w:firstLine="0"/>
              <w:rPr>
                <w:rFonts w:cs="Arial"/>
                <w:noProof/>
                <w:sz w:val="18"/>
                <w:szCs w:val="18"/>
                <w:lang w:val="en-GB"/>
              </w:rPr>
            </w:pPr>
            <w:r w:rsidRPr="003F5E4D">
              <w:rPr>
                <w:rFonts w:cs="Arial"/>
                <w:noProof/>
                <w:sz w:val="18"/>
                <w:szCs w:val="18"/>
                <w:lang w:val="en-GB"/>
              </w:rPr>
              <w:t>Plans of main, emergency and distribution switchboards must be on board</w:t>
            </w:r>
          </w:p>
        </w:tc>
        <w:tc>
          <w:tcPr>
            <w:tcW w:w="6521" w:type="dxa"/>
            <w:shd w:val="clear" w:color="auto" w:fill="auto"/>
          </w:tcPr>
          <w:p w:rsidR="004D56BE" w:rsidRPr="00852DB3" w:rsidRDefault="004D56BE" w:rsidP="00A8005B">
            <w:pPr>
              <w:spacing w:before="80" w:after="8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4D56BE" w:rsidRPr="00852DB3" w:rsidRDefault="004D56BE" w:rsidP="00A8005B">
            <w:pPr>
              <w:spacing w:before="80" w:after="80" w:line="240" w:lineRule="atLeast"/>
              <w:jc w:val="center"/>
              <w:rPr>
                <w:rFonts w:cs="Arial"/>
                <w:sz w:val="18"/>
                <w:szCs w:val="18"/>
              </w:rPr>
            </w:pPr>
            <w:r w:rsidRPr="004B4203">
              <w:rPr>
                <w:rFonts w:cs="Arial"/>
                <w:sz w:val="18"/>
                <w:szCs w:val="18"/>
              </w:rPr>
              <w:t>1.1.2010</w:t>
            </w:r>
          </w:p>
        </w:tc>
      </w:tr>
      <w:tr w:rsidR="004D56BE" w:rsidRPr="00C903F8" w:rsidTr="00E04086">
        <w:trPr>
          <w:cantSplit/>
          <w:jc w:val="center"/>
        </w:trPr>
        <w:tc>
          <w:tcPr>
            <w:tcW w:w="1342" w:type="dxa"/>
            <w:vMerge/>
            <w:shd w:val="clear" w:color="auto" w:fill="auto"/>
          </w:tcPr>
          <w:p w:rsidR="004D56BE" w:rsidRPr="00C903F8" w:rsidRDefault="004D56BE" w:rsidP="00A8005B">
            <w:pPr>
              <w:spacing w:before="80" w:after="80" w:line="240" w:lineRule="atLeast"/>
              <w:ind w:left="0"/>
              <w:rPr>
                <w:rFonts w:cs="Arial"/>
                <w:sz w:val="18"/>
                <w:szCs w:val="18"/>
              </w:rPr>
            </w:pPr>
          </w:p>
        </w:tc>
        <w:tc>
          <w:tcPr>
            <w:tcW w:w="1458" w:type="dxa"/>
            <w:shd w:val="clear" w:color="auto" w:fill="auto"/>
          </w:tcPr>
          <w:p w:rsidR="004D56BE" w:rsidRPr="00852DB3" w:rsidRDefault="004D56BE" w:rsidP="00AA3519">
            <w:pPr>
              <w:spacing w:before="80" w:after="80" w:line="240" w:lineRule="atLeast"/>
              <w:rPr>
                <w:rFonts w:cs="Arial"/>
                <w:sz w:val="18"/>
                <w:szCs w:val="18"/>
              </w:rPr>
            </w:pPr>
            <w:r w:rsidRPr="004B4203">
              <w:rPr>
                <w:rFonts w:cs="Arial"/>
                <w:sz w:val="18"/>
                <w:szCs w:val="18"/>
              </w:rPr>
              <w:t>(2)(e)</w:t>
            </w:r>
          </w:p>
        </w:tc>
        <w:tc>
          <w:tcPr>
            <w:tcW w:w="3296" w:type="dxa"/>
            <w:shd w:val="clear" w:color="auto" w:fill="auto"/>
          </w:tcPr>
          <w:p w:rsidR="004D56BE" w:rsidRPr="003F5E4D" w:rsidRDefault="004D56BE" w:rsidP="00A8005B">
            <w:pPr>
              <w:spacing w:before="80" w:after="80" w:line="240" w:lineRule="atLeast"/>
              <w:ind w:left="0" w:firstLine="0"/>
              <w:rPr>
                <w:rFonts w:cs="Arial"/>
                <w:noProof/>
                <w:sz w:val="18"/>
                <w:szCs w:val="18"/>
                <w:lang w:val="en-GB"/>
              </w:rPr>
            </w:pPr>
            <w:r w:rsidRPr="003F5E4D">
              <w:rPr>
                <w:rFonts w:cs="Arial"/>
                <w:noProof/>
                <w:sz w:val="18"/>
                <w:szCs w:val="18"/>
                <w:lang w:val="en-GB"/>
              </w:rPr>
              <w:t>Switchboard plans as well as electric propulsion engine documentation</w:t>
            </w:r>
          </w:p>
        </w:tc>
        <w:tc>
          <w:tcPr>
            <w:tcW w:w="6521" w:type="dxa"/>
            <w:shd w:val="clear" w:color="auto" w:fill="auto"/>
          </w:tcPr>
          <w:p w:rsidR="004D56BE" w:rsidRPr="00852DB3" w:rsidRDefault="004D56BE" w:rsidP="00A8005B">
            <w:pPr>
              <w:spacing w:before="80" w:after="8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A8005B">
            <w:pPr>
              <w:spacing w:before="80" w:after="80" w:line="240" w:lineRule="atLeast"/>
              <w:jc w:val="center"/>
              <w:rPr>
                <w:rFonts w:cs="Arial"/>
                <w:sz w:val="18"/>
                <w:szCs w:val="18"/>
              </w:rPr>
            </w:pPr>
          </w:p>
        </w:tc>
      </w:tr>
      <w:tr w:rsidR="004D56BE" w:rsidRPr="00C903F8" w:rsidTr="001964F8">
        <w:trPr>
          <w:cantSplit/>
          <w:jc w:val="center"/>
        </w:trPr>
        <w:tc>
          <w:tcPr>
            <w:tcW w:w="1342" w:type="dxa"/>
            <w:vMerge/>
            <w:tcBorders>
              <w:bottom w:val="nil"/>
            </w:tcBorders>
            <w:shd w:val="clear" w:color="auto" w:fill="auto"/>
          </w:tcPr>
          <w:p w:rsidR="004D56BE" w:rsidRPr="00C903F8" w:rsidRDefault="004D56BE" w:rsidP="00A8005B">
            <w:pPr>
              <w:spacing w:before="80" w:after="80" w:line="240" w:lineRule="atLeast"/>
              <w:ind w:left="0" w:firstLine="0"/>
              <w:rPr>
                <w:rFonts w:cs="Arial"/>
                <w:sz w:val="18"/>
                <w:szCs w:val="18"/>
              </w:rPr>
            </w:pPr>
          </w:p>
        </w:tc>
        <w:tc>
          <w:tcPr>
            <w:tcW w:w="1458" w:type="dxa"/>
            <w:shd w:val="clear" w:color="auto" w:fill="auto"/>
          </w:tcPr>
          <w:p w:rsidR="004D56BE" w:rsidRPr="00852DB3" w:rsidRDefault="004D56BE" w:rsidP="00AA3519">
            <w:pPr>
              <w:spacing w:before="80" w:after="80" w:line="240" w:lineRule="atLeast"/>
              <w:rPr>
                <w:rFonts w:cs="Arial"/>
                <w:sz w:val="18"/>
                <w:szCs w:val="18"/>
              </w:rPr>
            </w:pPr>
            <w:r w:rsidRPr="004B4203">
              <w:rPr>
                <w:rFonts w:cs="Arial"/>
                <w:sz w:val="18"/>
                <w:szCs w:val="18"/>
              </w:rPr>
              <w:t>(2)(f)</w:t>
            </w:r>
          </w:p>
        </w:tc>
        <w:tc>
          <w:tcPr>
            <w:tcW w:w="3296" w:type="dxa"/>
            <w:shd w:val="clear" w:color="auto" w:fill="auto"/>
          </w:tcPr>
          <w:p w:rsidR="004D56BE" w:rsidRPr="00852DB3" w:rsidRDefault="004D56BE" w:rsidP="00A8005B">
            <w:pPr>
              <w:spacing w:before="80" w:after="80" w:line="240" w:lineRule="atLeast"/>
              <w:ind w:left="0" w:firstLine="0"/>
              <w:rPr>
                <w:rFonts w:cs="Arial"/>
                <w:noProof/>
                <w:sz w:val="18"/>
                <w:szCs w:val="18"/>
              </w:rPr>
            </w:pPr>
            <w:r w:rsidRPr="004B4203">
              <w:rPr>
                <w:rFonts w:cs="Arial"/>
                <w:noProof/>
                <w:sz w:val="18"/>
                <w:szCs w:val="18"/>
              </w:rPr>
              <w:t>Plans for electronic systems</w:t>
            </w:r>
          </w:p>
        </w:tc>
        <w:tc>
          <w:tcPr>
            <w:tcW w:w="6521" w:type="dxa"/>
            <w:shd w:val="clear" w:color="auto" w:fill="auto"/>
          </w:tcPr>
          <w:p w:rsidR="004D56BE" w:rsidRPr="00852DB3" w:rsidRDefault="004D56BE" w:rsidP="00A8005B">
            <w:pPr>
              <w:spacing w:before="80" w:after="8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A8005B">
            <w:pPr>
              <w:spacing w:before="80" w:after="80" w:line="240" w:lineRule="atLeast"/>
              <w:jc w:val="center"/>
              <w:rPr>
                <w:rFonts w:cs="Arial"/>
                <w:sz w:val="18"/>
                <w:szCs w:val="18"/>
              </w:rPr>
            </w:pP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A8005B">
            <w:pPr>
              <w:spacing w:before="80" w:after="80" w:line="240" w:lineRule="atLeast"/>
              <w:ind w:left="0" w:firstLine="0"/>
              <w:rPr>
                <w:rFonts w:cs="Arial"/>
                <w:sz w:val="18"/>
                <w:szCs w:val="18"/>
              </w:rPr>
            </w:pPr>
          </w:p>
        </w:tc>
        <w:tc>
          <w:tcPr>
            <w:tcW w:w="1458" w:type="dxa"/>
            <w:shd w:val="clear" w:color="auto" w:fill="auto"/>
          </w:tcPr>
          <w:p w:rsidR="004D56BE" w:rsidRPr="00852DB3" w:rsidRDefault="004D56BE" w:rsidP="00AA3519">
            <w:pPr>
              <w:spacing w:before="80" w:after="80" w:line="240" w:lineRule="atLeast"/>
              <w:rPr>
                <w:rFonts w:cs="Arial"/>
                <w:sz w:val="18"/>
                <w:szCs w:val="18"/>
              </w:rPr>
            </w:pPr>
            <w:r w:rsidRPr="004B4203">
              <w:rPr>
                <w:rFonts w:cs="Arial"/>
                <w:sz w:val="18"/>
                <w:szCs w:val="18"/>
              </w:rPr>
              <w:t>(2)(g)</w:t>
            </w:r>
          </w:p>
        </w:tc>
        <w:tc>
          <w:tcPr>
            <w:tcW w:w="3296" w:type="dxa"/>
            <w:shd w:val="clear" w:color="auto" w:fill="auto"/>
          </w:tcPr>
          <w:p w:rsidR="004D56BE" w:rsidRPr="00852DB3" w:rsidRDefault="004D56BE" w:rsidP="00A8005B">
            <w:pPr>
              <w:spacing w:before="80" w:after="80" w:line="240" w:lineRule="atLeast"/>
              <w:ind w:left="0" w:firstLine="0"/>
              <w:rPr>
                <w:rFonts w:cs="Arial"/>
                <w:noProof/>
                <w:sz w:val="18"/>
                <w:szCs w:val="18"/>
              </w:rPr>
            </w:pPr>
            <w:r>
              <w:rPr>
                <w:rFonts w:cs="Arial"/>
                <w:noProof/>
                <w:sz w:val="18"/>
                <w:szCs w:val="18"/>
              </w:rPr>
              <w:t>C</w:t>
            </w:r>
            <w:r w:rsidRPr="004B4203">
              <w:rPr>
                <w:rFonts w:cs="Arial"/>
                <w:noProof/>
                <w:sz w:val="18"/>
                <w:szCs w:val="18"/>
              </w:rPr>
              <w:t>ontrol circuit plans</w:t>
            </w:r>
          </w:p>
        </w:tc>
        <w:tc>
          <w:tcPr>
            <w:tcW w:w="6521" w:type="dxa"/>
            <w:shd w:val="clear" w:color="auto" w:fill="auto"/>
          </w:tcPr>
          <w:p w:rsidR="004D56BE" w:rsidRPr="00852DB3" w:rsidRDefault="004D56BE" w:rsidP="00A8005B">
            <w:pPr>
              <w:spacing w:before="80" w:after="8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A8005B">
            <w:pPr>
              <w:spacing w:before="80" w:after="80" w:line="240" w:lineRule="atLeast"/>
              <w:jc w:val="center"/>
              <w:rPr>
                <w:rFonts w:cs="Arial"/>
                <w:sz w:val="18"/>
                <w:szCs w:val="18"/>
              </w:rPr>
            </w:pPr>
          </w:p>
        </w:tc>
      </w:tr>
      <w:tr w:rsidR="004D56BE" w:rsidRPr="00C903F8" w:rsidTr="001964F8">
        <w:trPr>
          <w:cantSplit/>
          <w:jc w:val="center"/>
        </w:trPr>
        <w:tc>
          <w:tcPr>
            <w:tcW w:w="1342" w:type="dxa"/>
            <w:tcBorders>
              <w:top w:val="nil"/>
            </w:tcBorders>
            <w:shd w:val="clear" w:color="auto" w:fill="auto"/>
          </w:tcPr>
          <w:p w:rsidR="004D56BE" w:rsidRPr="00C903F8" w:rsidRDefault="004D56BE" w:rsidP="00A8005B">
            <w:pPr>
              <w:spacing w:before="80" w:after="80" w:line="240" w:lineRule="atLeast"/>
              <w:ind w:left="0" w:firstLine="0"/>
              <w:rPr>
                <w:rFonts w:cs="Arial"/>
                <w:sz w:val="18"/>
                <w:szCs w:val="18"/>
              </w:rPr>
            </w:pPr>
          </w:p>
        </w:tc>
        <w:tc>
          <w:tcPr>
            <w:tcW w:w="1458" w:type="dxa"/>
            <w:shd w:val="clear" w:color="auto" w:fill="auto"/>
          </w:tcPr>
          <w:p w:rsidR="004D56BE" w:rsidRPr="00852DB3" w:rsidRDefault="004D56BE" w:rsidP="00A8005B">
            <w:pPr>
              <w:spacing w:before="80" w:after="80" w:line="240" w:lineRule="atLeast"/>
              <w:rPr>
                <w:rFonts w:cs="Arial"/>
                <w:sz w:val="18"/>
                <w:szCs w:val="18"/>
              </w:rPr>
            </w:pPr>
            <w:r w:rsidRPr="004B4203">
              <w:rPr>
                <w:rFonts w:cs="Arial"/>
                <w:sz w:val="18"/>
                <w:szCs w:val="18"/>
              </w:rPr>
              <w:t>(3)</w:t>
            </w:r>
          </w:p>
        </w:tc>
        <w:tc>
          <w:tcPr>
            <w:tcW w:w="3296" w:type="dxa"/>
            <w:shd w:val="clear" w:color="auto" w:fill="auto"/>
          </w:tcPr>
          <w:p w:rsidR="004D56BE" w:rsidRPr="00852DB3" w:rsidRDefault="004D56BE" w:rsidP="00A8005B">
            <w:pPr>
              <w:spacing w:before="80" w:after="80" w:line="240" w:lineRule="atLeast"/>
              <w:ind w:left="0" w:firstLine="0"/>
              <w:rPr>
                <w:rFonts w:cs="Arial"/>
                <w:noProof/>
                <w:sz w:val="18"/>
                <w:szCs w:val="18"/>
              </w:rPr>
            </w:pPr>
            <w:r w:rsidRPr="004B4203">
              <w:rPr>
                <w:rFonts w:cs="Arial"/>
                <w:noProof/>
                <w:sz w:val="18"/>
                <w:szCs w:val="18"/>
              </w:rPr>
              <w:t>Ambient temperatures inside and on deck</w:t>
            </w:r>
          </w:p>
        </w:tc>
        <w:tc>
          <w:tcPr>
            <w:tcW w:w="6521" w:type="dxa"/>
            <w:shd w:val="clear" w:color="auto" w:fill="auto"/>
          </w:tcPr>
          <w:p w:rsidR="004D56BE" w:rsidRPr="00852DB3" w:rsidRDefault="004D56BE" w:rsidP="00A8005B">
            <w:pPr>
              <w:spacing w:before="80" w:after="8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4D56BE" w:rsidRPr="00852DB3" w:rsidRDefault="004D56BE" w:rsidP="00A8005B">
            <w:pPr>
              <w:spacing w:before="80" w:after="80" w:line="240" w:lineRule="atLeast"/>
              <w:jc w:val="center"/>
              <w:rPr>
                <w:rFonts w:cs="Arial"/>
                <w:sz w:val="18"/>
                <w:szCs w:val="18"/>
              </w:rPr>
            </w:pPr>
            <w:r w:rsidRPr="004B4203">
              <w:rPr>
                <w:rFonts w:cs="Arial"/>
                <w:sz w:val="18"/>
                <w:szCs w:val="18"/>
              </w:rPr>
              <w:t>1.1.2010</w:t>
            </w:r>
          </w:p>
        </w:tc>
      </w:tr>
      <w:tr w:rsidR="004D56BE" w:rsidRPr="00C903F8" w:rsidTr="001964F8">
        <w:trPr>
          <w:cantSplit/>
          <w:jc w:val="center"/>
        </w:trPr>
        <w:tc>
          <w:tcPr>
            <w:tcW w:w="1342" w:type="dxa"/>
            <w:shd w:val="clear" w:color="auto" w:fill="auto"/>
          </w:tcPr>
          <w:p w:rsidR="004D56BE" w:rsidRPr="004B4203" w:rsidRDefault="004D56BE" w:rsidP="00A8005B">
            <w:pPr>
              <w:spacing w:before="80" w:after="80" w:line="240" w:lineRule="atLeast"/>
              <w:rPr>
                <w:rFonts w:cs="Arial"/>
                <w:sz w:val="18"/>
                <w:szCs w:val="18"/>
                <w:lang w:val="en-GB" w:eastAsia="de-DE"/>
              </w:rPr>
            </w:pPr>
            <w:r w:rsidRPr="008F6ABB">
              <w:rPr>
                <w:rFonts w:cs="Arial"/>
                <w:sz w:val="18"/>
                <w:szCs w:val="18"/>
                <w:lang w:val="en-GB" w:eastAsia="de-DE"/>
              </w:rPr>
              <w:t>10.02</w:t>
            </w:r>
          </w:p>
        </w:tc>
        <w:tc>
          <w:tcPr>
            <w:tcW w:w="1458" w:type="dxa"/>
            <w:shd w:val="clear" w:color="auto" w:fill="auto"/>
          </w:tcPr>
          <w:p w:rsidR="004D56BE" w:rsidRPr="00852DB3" w:rsidRDefault="004D56BE" w:rsidP="00A8005B">
            <w:pPr>
              <w:spacing w:before="80" w:after="80" w:line="240" w:lineRule="atLeast"/>
              <w:rPr>
                <w:rFonts w:cs="Arial"/>
                <w:sz w:val="18"/>
                <w:szCs w:val="18"/>
              </w:rPr>
            </w:pPr>
          </w:p>
        </w:tc>
        <w:tc>
          <w:tcPr>
            <w:tcW w:w="3296" w:type="dxa"/>
            <w:shd w:val="clear" w:color="auto" w:fill="auto"/>
          </w:tcPr>
          <w:p w:rsidR="004D56BE" w:rsidRPr="00852DB3" w:rsidRDefault="004D56BE" w:rsidP="00A8005B">
            <w:pPr>
              <w:spacing w:before="80" w:after="80" w:line="240" w:lineRule="atLeast"/>
              <w:rPr>
                <w:rFonts w:cs="Arial"/>
                <w:sz w:val="18"/>
                <w:szCs w:val="18"/>
              </w:rPr>
            </w:pPr>
            <w:r w:rsidRPr="004B4203">
              <w:rPr>
                <w:rFonts w:cs="Arial"/>
                <w:sz w:val="18"/>
                <w:szCs w:val="18"/>
              </w:rPr>
              <w:t>Power supply systems</w:t>
            </w:r>
          </w:p>
        </w:tc>
        <w:tc>
          <w:tcPr>
            <w:tcW w:w="6521" w:type="dxa"/>
            <w:shd w:val="clear" w:color="auto" w:fill="auto"/>
          </w:tcPr>
          <w:p w:rsidR="004D56BE" w:rsidRPr="00852DB3" w:rsidRDefault="004D56BE" w:rsidP="00A8005B">
            <w:pPr>
              <w:spacing w:before="80" w:after="8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4D56BE" w:rsidRPr="00852DB3" w:rsidRDefault="004D56BE" w:rsidP="00A8005B">
            <w:pPr>
              <w:spacing w:before="80" w:after="80" w:line="240" w:lineRule="atLeast"/>
              <w:jc w:val="center"/>
              <w:rPr>
                <w:rFonts w:cs="Arial"/>
                <w:sz w:val="18"/>
                <w:szCs w:val="18"/>
              </w:rPr>
            </w:pPr>
            <w:r w:rsidRPr="004B4203">
              <w:rPr>
                <w:rFonts w:cs="Arial"/>
                <w:sz w:val="18"/>
                <w:szCs w:val="18"/>
              </w:rPr>
              <w:t>1.1.2010</w:t>
            </w:r>
          </w:p>
        </w:tc>
      </w:tr>
      <w:tr w:rsidR="004D56BE" w:rsidRPr="00C903F8" w:rsidTr="001964F8">
        <w:trPr>
          <w:cantSplit/>
          <w:jc w:val="center"/>
        </w:trPr>
        <w:tc>
          <w:tcPr>
            <w:tcW w:w="1342" w:type="dxa"/>
            <w:shd w:val="clear" w:color="auto" w:fill="auto"/>
          </w:tcPr>
          <w:p w:rsidR="004D56BE" w:rsidRPr="004B4203" w:rsidRDefault="004D56BE" w:rsidP="005B1BE0">
            <w:pPr>
              <w:spacing w:before="140" w:after="140" w:line="240" w:lineRule="atLeast"/>
              <w:rPr>
                <w:rFonts w:cs="Arial"/>
                <w:sz w:val="18"/>
                <w:szCs w:val="18"/>
                <w:lang w:val="en-GB" w:eastAsia="de-DE"/>
              </w:rPr>
            </w:pPr>
            <w:r w:rsidRPr="008F6ABB">
              <w:rPr>
                <w:rFonts w:cs="Arial"/>
                <w:sz w:val="18"/>
                <w:szCs w:val="18"/>
                <w:lang w:val="en-GB" w:eastAsia="de-DE"/>
              </w:rPr>
              <w:t>10.03</w:t>
            </w:r>
          </w:p>
        </w:tc>
        <w:tc>
          <w:tcPr>
            <w:tcW w:w="1458" w:type="dxa"/>
            <w:shd w:val="clear" w:color="auto" w:fill="auto"/>
          </w:tcPr>
          <w:p w:rsidR="004D56BE" w:rsidRPr="00852DB3" w:rsidRDefault="004D56BE" w:rsidP="005B1BE0">
            <w:pPr>
              <w:spacing w:before="140" w:after="140" w:line="240" w:lineRule="atLeast"/>
              <w:rPr>
                <w:rFonts w:cs="Arial"/>
                <w:sz w:val="18"/>
                <w:szCs w:val="18"/>
              </w:rPr>
            </w:pPr>
          </w:p>
        </w:tc>
        <w:tc>
          <w:tcPr>
            <w:tcW w:w="3296" w:type="dxa"/>
            <w:shd w:val="clear" w:color="auto" w:fill="auto"/>
          </w:tcPr>
          <w:p w:rsidR="004D56BE" w:rsidRPr="001717EA" w:rsidRDefault="004D56BE" w:rsidP="005B1BE0">
            <w:pPr>
              <w:spacing w:before="140" w:after="140" w:line="240" w:lineRule="atLeast"/>
              <w:ind w:left="0" w:firstLine="0"/>
              <w:rPr>
                <w:rFonts w:cs="Arial"/>
                <w:sz w:val="18"/>
                <w:szCs w:val="18"/>
                <w:lang w:val="en-GB"/>
              </w:rPr>
            </w:pPr>
            <w:r>
              <w:rPr>
                <w:rFonts w:cs="Arial"/>
                <w:sz w:val="18"/>
                <w:szCs w:val="18"/>
                <w:lang w:val="en-GB"/>
              </w:rPr>
              <w:t>Type of p</w:t>
            </w:r>
            <w:r w:rsidRPr="001717EA">
              <w:rPr>
                <w:rFonts w:cs="Arial"/>
                <w:sz w:val="18"/>
                <w:szCs w:val="18"/>
                <w:lang w:val="en-GB"/>
              </w:rPr>
              <w:t>rotection according to installation location</w:t>
            </w:r>
          </w:p>
        </w:tc>
        <w:tc>
          <w:tcPr>
            <w:tcW w:w="6521" w:type="dxa"/>
            <w:shd w:val="clear" w:color="auto" w:fill="auto"/>
          </w:tcPr>
          <w:p w:rsidR="004D56BE" w:rsidRPr="00852DB3" w:rsidRDefault="004D56BE" w:rsidP="005B1BE0">
            <w:pPr>
              <w:spacing w:before="140" w:after="14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5B1BE0">
            <w:pPr>
              <w:spacing w:before="140" w:after="140" w:line="240" w:lineRule="atLeast"/>
              <w:jc w:val="center"/>
              <w:rPr>
                <w:rFonts w:cs="Arial"/>
                <w:sz w:val="18"/>
                <w:szCs w:val="18"/>
              </w:rPr>
            </w:pPr>
          </w:p>
        </w:tc>
      </w:tr>
      <w:tr w:rsidR="004D56BE" w:rsidRPr="00C903F8" w:rsidTr="001964F8">
        <w:trPr>
          <w:cantSplit/>
          <w:jc w:val="center"/>
        </w:trPr>
        <w:tc>
          <w:tcPr>
            <w:tcW w:w="1342" w:type="dxa"/>
            <w:shd w:val="clear" w:color="auto" w:fill="auto"/>
          </w:tcPr>
          <w:p w:rsidR="004D56BE" w:rsidRPr="004B4203" w:rsidRDefault="004D56BE" w:rsidP="005B1BE0">
            <w:pPr>
              <w:spacing w:before="140" w:after="140" w:line="240" w:lineRule="atLeast"/>
              <w:rPr>
                <w:rFonts w:cs="Arial"/>
                <w:sz w:val="18"/>
                <w:szCs w:val="18"/>
                <w:lang w:val="en-GB" w:eastAsia="de-DE"/>
              </w:rPr>
            </w:pPr>
            <w:r w:rsidRPr="008F6ABB">
              <w:rPr>
                <w:rFonts w:cs="Arial"/>
                <w:sz w:val="18"/>
                <w:szCs w:val="18"/>
                <w:lang w:val="en-GB" w:eastAsia="de-DE"/>
              </w:rPr>
              <w:t>10.04</w:t>
            </w:r>
          </w:p>
        </w:tc>
        <w:tc>
          <w:tcPr>
            <w:tcW w:w="1458" w:type="dxa"/>
            <w:shd w:val="clear" w:color="auto" w:fill="auto"/>
          </w:tcPr>
          <w:p w:rsidR="004D56BE" w:rsidRPr="00852DB3" w:rsidRDefault="004D56BE" w:rsidP="005B1BE0">
            <w:pPr>
              <w:spacing w:before="140" w:after="140" w:line="240" w:lineRule="atLeast"/>
              <w:rPr>
                <w:rFonts w:cs="Arial"/>
                <w:sz w:val="18"/>
                <w:szCs w:val="18"/>
              </w:rPr>
            </w:pPr>
          </w:p>
        </w:tc>
        <w:tc>
          <w:tcPr>
            <w:tcW w:w="3296" w:type="dxa"/>
            <w:shd w:val="clear" w:color="auto" w:fill="auto"/>
          </w:tcPr>
          <w:p w:rsidR="004D56BE" w:rsidRPr="00852DB3" w:rsidRDefault="004D56BE" w:rsidP="005B1BE0">
            <w:pPr>
              <w:spacing w:before="140" w:after="140" w:line="240" w:lineRule="atLeast"/>
              <w:rPr>
                <w:rFonts w:cs="Arial"/>
                <w:sz w:val="18"/>
                <w:szCs w:val="18"/>
              </w:rPr>
            </w:pPr>
            <w:r w:rsidRPr="004B4203">
              <w:rPr>
                <w:rFonts w:cs="Arial"/>
                <w:sz w:val="18"/>
                <w:szCs w:val="18"/>
              </w:rPr>
              <w:t>Protection from explosion</w:t>
            </w:r>
          </w:p>
        </w:tc>
        <w:tc>
          <w:tcPr>
            <w:tcW w:w="6521" w:type="dxa"/>
            <w:shd w:val="clear" w:color="auto" w:fill="auto"/>
          </w:tcPr>
          <w:p w:rsidR="004D56BE" w:rsidRPr="00852DB3" w:rsidRDefault="004D56BE" w:rsidP="005B1BE0">
            <w:pPr>
              <w:spacing w:before="140" w:after="14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5B1BE0">
            <w:pPr>
              <w:spacing w:before="140" w:after="140" w:line="240" w:lineRule="atLeast"/>
              <w:jc w:val="center"/>
              <w:rPr>
                <w:rFonts w:cs="Arial"/>
                <w:sz w:val="18"/>
                <w:szCs w:val="18"/>
              </w:rPr>
            </w:pPr>
          </w:p>
        </w:tc>
      </w:tr>
      <w:tr w:rsidR="004D56BE" w:rsidRPr="00C903F8" w:rsidTr="001964F8">
        <w:trPr>
          <w:cantSplit/>
          <w:jc w:val="center"/>
        </w:trPr>
        <w:tc>
          <w:tcPr>
            <w:tcW w:w="1342" w:type="dxa"/>
            <w:shd w:val="clear" w:color="auto" w:fill="auto"/>
          </w:tcPr>
          <w:p w:rsidR="004D56BE" w:rsidRPr="004B4203" w:rsidRDefault="004D56BE" w:rsidP="005B1BE0">
            <w:pPr>
              <w:spacing w:before="140" w:after="140" w:line="240" w:lineRule="atLeast"/>
              <w:rPr>
                <w:rFonts w:cs="Arial"/>
                <w:sz w:val="18"/>
                <w:szCs w:val="18"/>
                <w:lang w:val="en-GB" w:eastAsia="de-DE"/>
              </w:rPr>
            </w:pPr>
            <w:r w:rsidRPr="008F6ABB">
              <w:rPr>
                <w:rFonts w:cs="Arial"/>
                <w:sz w:val="18"/>
                <w:szCs w:val="18"/>
                <w:lang w:val="en-GB" w:eastAsia="de-DE"/>
              </w:rPr>
              <w:lastRenderedPageBreak/>
              <w:t>10.05</w:t>
            </w:r>
          </w:p>
        </w:tc>
        <w:tc>
          <w:tcPr>
            <w:tcW w:w="1458" w:type="dxa"/>
            <w:shd w:val="clear" w:color="auto" w:fill="auto"/>
          </w:tcPr>
          <w:p w:rsidR="004D56BE" w:rsidRPr="00852DB3" w:rsidRDefault="004D56BE" w:rsidP="005B1BE0">
            <w:pPr>
              <w:spacing w:before="140" w:after="140" w:line="240" w:lineRule="atLeast"/>
              <w:rPr>
                <w:rFonts w:cs="Arial"/>
                <w:sz w:val="18"/>
                <w:szCs w:val="18"/>
              </w:rPr>
            </w:pPr>
            <w:r w:rsidRPr="004B4203">
              <w:rPr>
                <w:rFonts w:cs="Arial"/>
                <w:sz w:val="18"/>
                <w:szCs w:val="18"/>
              </w:rPr>
              <w:t>(4)</w:t>
            </w:r>
          </w:p>
        </w:tc>
        <w:tc>
          <w:tcPr>
            <w:tcW w:w="3296" w:type="dxa"/>
            <w:shd w:val="clear" w:color="auto" w:fill="auto"/>
          </w:tcPr>
          <w:p w:rsidR="004D56BE" w:rsidRPr="001717EA" w:rsidRDefault="004D56BE" w:rsidP="005B1BE0">
            <w:pPr>
              <w:spacing w:before="140" w:after="140" w:line="240" w:lineRule="atLeast"/>
              <w:rPr>
                <w:rFonts w:cs="Arial"/>
                <w:sz w:val="18"/>
                <w:szCs w:val="18"/>
                <w:lang w:val="en-GB"/>
              </w:rPr>
            </w:pPr>
            <w:r w:rsidRPr="001717EA">
              <w:rPr>
                <w:rFonts w:cs="Arial"/>
                <w:sz w:val="18"/>
                <w:szCs w:val="18"/>
                <w:lang w:val="en-GB"/>
              </w:rPr>
              <w:t>Cross-section of earth</w:t>
            </w:r>
            <w:r>
              <w:rPr>
                <w:rFonts w:cs="Arial"/>
                <w:sz w:val="18"/>
                <w:szCs w:val="18"/>
                <w:lang w:val="en-GB"/>
              </w:rPr>
              <w:t>ing conductors</w:t>
            </w:r>
          </w:p>
        </w:tc>
        <w:tc>
          <w:tcPr>
            <w:tcW w:w="6521" w:type="dxa"/>
            <w:shd w:val="clear" w:color="auto" w:fill="auto"/>
          </w:tcPr>
          <w:p w:rsidR="004D56BE" w:rsidRPr="00852DB3" w:rsidRDefault="004D56BE" w:rsidP="005B1BE0">
            <w:pPr>
              <w:spacing w:before="140" w:after="14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4D56BE" w:rsidRPr="00852DB3" w:rsidRDefault="004D56BE" w:rsidP="005B1BE0">
            <w:pPr>
              <w:spacing w:before="140" w:after="140" w:line="240" w:lineRule="atLeast"/>
              <w:jc w:val="center"/>
              <w:rPr>
                <w:rFonts w:cs="Arial"/>
                <w:sz w:val="18"/>
                <w:szCs w:val="18"/>
              </w:rPr>
            </w:pPr>
            <w:r w:rsidRPr="004B4203">
              <w:rPr>
                <w:rFonts w:cs="Arial"/>
                <w:sz w:val="18"/>
                <w:szCs w:val="18"/>
              </w:rPr>
              <w:t>1.1.2015</w:t>
            </w:r>
          </w:p>
        </w:tc>
      </w:tr>
      <w:tr w:rsidR="004D56BE" w:rsidRPr="00BF3595" w:rsidTr="001964F8">
        <w:trPr>
          <w:cantSplit/>
          <w:jc w:val="center"/>
        </w:trPr>
        <w:tc>
          <w:tcPr>
            <w:tcW w:w="1342" w:type="dxa"/>
            <w:tcBorders>
              <w:bottom w:val="single" w:sz="4" w:space="0" w:color="auto"/>
            </w:tcBorders>
            <w:shd w:val="clear" w:color="auto" w:fill="auto"/>
          </w:tcPr>
          <w:p w:rsidR="004D56BE" w:rsidRPr="004B4203" w:rsidRDefault="004D56BE" w:rsidP="005B1BE0">
            <w:pPr>
              <w:spacing w:before="140" w:after="140" w:line="240" w:lineRule="atLeast"/>
              <w:rPr>
                <w:rFonts w:cs="Arial"/>
                <w:sz w:val="18"/>
                <w:szCs w:val="18"/>
                <w:lang w:val="en-GB" w:eastAsia="de-DE"/>
              </w:rPr>
            </w:pPr>
            <w:r w:rsidRPr="008F6ABB">
              <w:rPr>
                <w:rFonts w:cs="Arial"/>
                <w:sz w:val="18"/>
                <w:szCs w:val="18"/>
                <w:lang w:val="en-GB" w:eastAsia="de-DE"/>
              </w:rPr>
              <w:t xml:space="preserve">10.06 </w:t>
            </w:r>
          </w:p>
        </w:tc>
        <w:tc>
          <w:tcPr>
            <w:tcW w:w="1458" w:type="dxa"/>
            <w:shd w:val="clear" w:color="auto" w:fill="auto"/>
          </w:tcPr>
          <w:p w:rsidR="004D56BE" w:rsidRPr="00852DB3" w:rsidRDefault="004D56BE" w:rsidP="005B1BE0">
            <w:pPr>
              <w:spacing w:before="140" w:after="140" w:line="240" w:lineRule="atLeast"/>
              <w:rPr>
                <w:rFonts w:cs="Arial"/>
                <w:sz w:val="18"/>
                <w:szCs w:val="18"/>
              </w:rPr>
            </w:pPr>
            <w:r w:rsidRPr="004B4203">
              <w:rPr>
                <w:rFonts w:cs="Arial"/>
                <w:sz w:val="18"/>
                <w:szCs w:val="18"/>
              </w:rPr>
              <w:t>(1) table</w:t>
            </w:r>
          </w:p>
        </w:tc>
        <w:tc>
          <w:tcPr>
            <w:tcW w:w="3296" w:type="dxa"/>
            <w:shd w:val="clear" w:color="auto" w:fill="auto"/>
          </w:tcPr>
          <w:p w:rsidR="004D56BE" w:rsidRPr="00852DB3" w:rsidRDefault="004D56BE" w:rsidP="005B1BE0">
            <w:pPr>
              <w:spacing w:before="140" w:after="140" w:line="240" w:lineRule="atLeast"/>
              <w:rPr>
                <w:rFonts w:cs="Arial"/>
                <w:sz w:val="18"/>
                <w:szCs w:val="18"/>
              </w:rPr>
            </w:pPr>
            <w:r w:rsidRPr="004B4203">
              <w:rPr>
                <w:rFonts w:cs="Arial"/>
                <w:sz w:val="18"/>
                <w:szCs w:val="18"/>
              </w:rPr>
              <w:t>Three-phase alternating current</w:t>
            </w:r>
          </w:p>
        </w:tc>
        <w:tc>
          <w:tcPr>
            <w:tcW w:w="6521" w:type="dxa"/>
            <w:shd w:val="clear" w:color="auto" w:fill="auto"/>
          </w:tcPr>
          <w:p w:rsidR="004D56BE" w:rsidRPr="00852DB3" w:rsidRDefault="004D56BE" w:rsidP="005B1BE0">
            <w:pPr>
              <w:spacing w:before="140" w:after="14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5B1BE0">
            <w:pPr>
              <w:spacing w:before="140" w:after="140" w:line="240" w:lineRule="atLeast"/>
              <w:jc w:val="center"/>
              <w:rPr>
                <w:rFonts w:cs="Arial"/>
                <w:sz w:val="18"/>
                <w:szCs w:val="18"/>
              </w:rPr>
            </w:pPr>
          </w:p>
        </w:tc>
      </w:tr>
      <w:tr w:rsidR="004D56BE" w:rsidRPr="00BF3595" w:rsidTr="001964F8">
        <w:trPr>
          <w:cantSplit/>
          <w:jc w:val="center"/>
        </w:trPr>
        <w:tc>
          <w:tcPr>
            <w:tcW w:w="1342" w:type="dxa"/>
            <w:tcBorders>
              <w:bottom w:val="single" w:sz="4" w:space="0" w:color="auto"/>
            </w:tcBorders>
            <w:shd w:val="clear" w:color="auto" w:fill="auto"/>
          </w:tcPr>
          <w:p w:rsidR="004D56BE" w:rsidRPr="004B4203" w:rsidRDefault="004D56BE" w:rsidP="005B1BE0">
            <w:pPr>
              <w:spacing w:before="140" w:after="140" w:line="240" w:lineRule="atLeast"/>
              <w:rPr>
                <w:rFonts w:cs="Arial"/>
                <w:sz w:val="18"/>
                <w:szCs w:val="18"/>
                <w:lang w:val="en-GB" w:eastAsia="de-DE"/>
              </w:rPr>
            </w:pPr>
            <w:r w:rsidRPr="008F6ABB">
              <w:rPr>
                <w:rFonts w:cs="Arial"/>
                <w:sz w:val="18"/>
                <w:szCs w:val="18"/>
                <w:lang w:val="en-GB" w:eastAsia="de-DE"/>
              </w:rPr>
              <w:t>10.08</w:t>
            </w:r>
          </w:p>
        </w:tc>
        <w:tc>
          <w:tcPr>
            <w:tcW w:w="1458" w:type="dxa"/>
            <w:shd w:val="clear" w:color="auto" w:fill="auto"/>
          </w:tcPr>
          <w:p w:rsidR="004D56BE" w:rsidRPr="00852DB3" w:rsidRDefault="004D56BE" w:rsidP="005B1BE0">
            <w:pPr>
              <w:spacing w:before="140" w:after="140" w:line="240" w:lineRule="atLeast"/>
              <w:rPr>
                <w:rFonts w:cs="Arial"/>
                <w:sz w:val="18"/>
                <w:szCs w:val="18"/>
              </w:rPr>
            </w:pPr>
            <w:r w:rsidRPr="004B4203">
              <w:rPr>
                <w:rFonts w:cs="Arial"/>
                <w:sz w:val="18"/>
                <w:szCs w:val="18"/>
              </w:rPr>
              <w:t>(1)</w:t>
            </w:r>
          </w:p>
        </w:tc>
        <w:tc>
          <w:tcPr>
            <w:tcW w:w="3296" w:type="dxa"/>
            <w:shd w:val="clear" w:color="auto" w:fill="auto"/>
          </w:tcPr>
          <w:p w:rsidR="004D56BE" w:rsidRPr="00A54EF9" w:rsidRDefault="004D56BE" w:rsidP="005B1BE0">
            <w:pPr>
              <w:spacing w:before="140" w:after="140" w:line="240" w:lineRule="atLeast"/>
              <w:ind w:left="0" w:firstLine="0"/>
              <w:rPr>
                <w:rFonts w:cs="Arial"/>
                <w:sz w:val="18"/>
                <w:szCs w:val="18"/>
                <w:lang w:val="en-GB"/>
              </w:rPr>
            </w:pPr>
            <w:r w:rsidRPr="00A54EF9">
              <w:rPr>
                <w:rFonts w:cs="Arial"/>
                <w:sz w:val="18"/>
                <w:szCs w:val="18"/>
                <w:lang w:val="en-GB"/>
              </w:rPr>
              <w:t>Compliance with European Standards EN 15869-1, EN 15869­3 and EN 16840</w:t>
            </w:r>
          </w:p>
        </w:tc>
        <w:tc>
          <w:tcPr>
            <w:tcW w:w="6521" w:type="dxa"/>
            <w:shd w:val="clear" w:color="auto" w:fill="auto"/>
          </w:tcPr>
          <w:p w:rsidR="004D56BE" w:rsidRPr="00852DB3" w:rsidRDefault="004D56BE" w:rsidP="005B1BE0">
            <w:pPr>
              <w:spacing w:before="140" w:after="14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5B1BE0">
            <w:pPr>
              <w:spacing w:before="140" w:after="140" w:line="240" w:lineRule="atLeast"/>
              <w:jc w:val="center"/>
              <w:rPr>
                <w:rFonts w:cs="Arial"/>
                <w:sz w:val="18"/>
                <w:szCs w:val="18"/>
              </w:rPr>
            </w:pPr>
          </w:p>
        </w:tc>
      </w:tr>
      <w:tr w:rsidR="004D56BE" w:rsidRPr="00BF3595" w:rsidTr="00E04086">
        <w:trPr>
          <w:cantSplit/>
          <w:jc w:val="center"/>
        </w:trPr>
        <w:tc>
          <w:tcPr>
            <w:tcW w:w="1342" w:type="dxa"/>
            <w:vMerge w:val="restart"/>
            <w:shd w:val="clear" w:color="auto" w:fill="auto"/>
          </w:tcPr>
          <w:p w:rsidR="004D56BE" w:rsidRPr="004B4203" w:rsidRDefault="004D56BE" w:rsidP="005B1BE0">
            <w:pPr>
              <w:spacing w:before="140" w:after="140" w:line="240" w:lineRule="atLeast"/>
              <w:rPr>
                <w:rFonts w:cs="Arial"/>
                <w:sz w:val="18"/>
                <w:szCs w:val="18"/>
                <w:lang w:val="en-GB" w:eastAsia="de-DE"/>
              </w:rPr>
            </w:pPr>
            <w:r w:rsidRPr="008F6ABB">
              <w:rPr>
                <w:rFonts w:cs="Arial"/>
                <w:sz w:val="18"/>
                <w:szCs w:val="18"/>
                <w:lang w:val="en-GB" w:eastAsia="de-DE"/>
              </w:rPr>
              <w:t xml:space="preserve">10.10 </w:t>
            </w:r>
          </w:p>
        </w:tc>
        <w:tc>
          <w:tcPr>
            <w:tcW w:w="1458" w:type="dxa"/>
            <w:shd w:val="clear" w:color="auto" w:fill="auto"/>
          </w:tcPr>
          <w:p w:rsidR="004D56BE" w:rsidRPr="00852DB3" w:rsidRDefault="004D56BE" w:rsidP="005B1BE0">
            <w:pPr>
              <w:spacing w:before="140" w:after="140" w:line="240" w:lineRule="atLeast"/>
              <w:rPr>
                <w:rFonts w:cs="Arial"/>
                <w:sz w:val="18"/>
                <w:szCs w:val="18"/>
              </w:rPr>
            </w:pPr>
            <w:r w:rsidRPr="004B4203">
              <w:rPr>
                <w:rFonts w:cs="Arial"/>
                <w:sz w:val="18"/>
                <w:szCs w:val="18"/>
              </w:rPr>
              <w:t>(2)</w:t>
            </w:r>
          </w:p>
        </w:tc>
        <w:tc>
          <w:tcPr>
            <w:tcW w:w="3296" w:type="dxa"/>
            <w:shd w:val="clear" w:color="auto" w:fill="auto"/>
          </w:tcPr>
          <w:p w:rsidR="004D56BE" w:rsidRPr="00A54EF9" w:rsidRDefault="004D56BE" w:rsidP="005B1BE0">
            <w:pPr>
              <w:spacing w:before="140" w:after="140" w:line="240" w:lineRule="atLeast"/>
              <w:ind w:left="0" w:firstLine="0"/>
              <w:rPr>
                <w:rFonts w:cs="Arial"/>
                <w:sz w:val="18"/>
                <w:szCs w:val="18"/>
                <w:lang w:val="en-GB"/>
              </w:rPr>
            </w:pPr>
            <w:r w:rsidRPr="00A54EF9">
              <w:rPr>
                <w:rFonts w:cs="Arial"/>
                <w:sz w:val="18"/>
                <w:szCs w:val="18"/>
                <w:lang w:val="en-GB"/>
              </w:rPr>
              <w:t>Installation of transformers</w:t>
            </w:r>
          </w:p>
        </w:tc>
        <w:tc>
          <w:tcPr>
            <w:tcW w:w="6521" w:type="dxa"/>
            <w:shd w:val="clear" w:color="auto" w:fill="auto"/>
          </w:tcPr>
          <w:p w:rsidR="004D56BE" w:rsidRPr="00852DB3" w:rsidRDefault="004D56BE" w:rsidP="005B1BE0">
            <w:pPr>
              <w:spacing w:before="140" w:after="14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5B1BE0">
            <w:pPr>
              <w:spacing w:before="140" w:after="140" w:line="240" w:lineRule="atLeast"/>
              <w:jc w:val="center"/>
              <w:rPr>
                <w:rFonts w:cs="Arial"/>
                <w:sz w:val="18"/>
                <w:szCs w:val="18"/>
              </w:rPr>
            </w:pPr>
          </w:p>
        </w:tc>
      </w:tr>
      <w:tr w:rsidR="004D56BE" w:rsidRPr="00BF3595" w:rsidTr="00E04086">
        <w:trPr>
          <w:cantSplit/>
          <w:jc w:val="center"/>
        </w:trPr>
        <w:tc>
          <w:tcPr>
            <w:tcW w:w="1342" w:type="dxa"/>
            <w:vMerge/>
            <w:shd w:val="clear" w:color="auto" w:fill="auto"/>
          </w:tcPr>
          <w:p w:rsidR="004D56BE" w:rsidRPr="00C903F8" w:rsidRDefault="004D56BE" w:rsidP="005B1BE0">
            <w:pPr>
              <w:spacing w:before="140" w:after="140" w:line="240" w:lineRule="atLeast"/>
              <w:ind w:left="0" w:firstLine="0"/>
              <w:rPr>
                <w:rFonts w:cs="Arial"/>
                <w:sz w:val="18"/>
                <w:szCs w:val="18"/>
              </w:rPr>
            </w:pPr>
          </w:p>
        </w:tc>
        <w:tc>
          <w:tcPr>
            <w:tcW w:w="1458" w:type="dxa"/>
            <w:shd w:val="clear" w:color="auto" w:fill="auto"/>
          </w:tcPr>
          <w:p w:rsidR="004D56BE" w:rsidRPr="00C903F8" w:rsidRDefault="004D56BE" w:rsidP="005B1BE0">
            <w:pPr>
              <w:spacing w:before="140" w:after="140" w:line="240" w:lineRule="atLeast"/>
              <w:ind w:left="0" w:firstLine="0"/>
              <w:rPr>
                <w:rFonts w:cs="Arial"/>
                <w:sz w:val="18"/>
                <w:szCs w:val="18"/>
              </w:rPr>
            </w:pPr>
            <w:r w:rsidRPr="004B4203">
              <w:rPr>
                <w:rFonts w:cs="Arial"/>
                <w:sz w:val="18"/>
                <w:szCs w:val="18"/>
              </w:rPr>
              <w:t>(3)</w:t>
            </w:r>
          </w:p>
        </w:tc>
        <w:tc>
          <w:tcPr>
            <w:tcW w:w="3296" w:type="dxa"/>
            <w:shd w:val="clear" w:color="auto" w:fill="auto"/>
          </w:tcPr>
          <w:p w:rsidR="004D56BE" w:rsidRPr="00A54EF9" w:rsidRDefault="004D56BE" w:rsidP="005B1BE0">
            <w:pPr>
              <w:spacing w:before="140" w:after="140" w:line="240" w:lineRule="atLeast"/>
              <w:ind w:left="0" w:firstLine="0"/>
              <w:rPr>
                <w:rFonts w:cs="Arial"/>
                <w:sz w:val="18"/>
                <w:szCs w:val="18"/>
                <w:lang w:val="en-GB"/>
              </w:rPr>
            </w:pPr>
            <w:r w:rsidRPr="001717EA">
              <w:rPr>
                <w:rFonts w:cs="Arial"/>
                <w:sz w:val="18"/>
                <w:szCs w:val="18"/>
                <w:lang w:val="en-GB"/>
              </w:rPr>
              <w:t>Separate primary and secondary windings of transformers</w:t>
            </w:r>
          </w:p>
        </w:tc>
        <w:tc>
          <w:tcPr>
            <w:tcW w:w="6521" w:type="dxa"/>
            <w:shd w:val="clear" w:color="auto" w:fill="auto"/>
          </w:tcPr>
          <w:p w:rsidR="004D56BE" w:rsidRDefault="004D56BE" w:rsidP="005B1BE0">
            <w:pPr>
              <w:spacing w:before="140" w:after="14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5B1BE0">
            <w:pPr>
              <w:spacing w:before="140" w:after="140" w:line="240" w:lineRule="atLeast"/>
              <w:ind w:left="0" w:firstLine="0"/>
              <w:jc w:val="center"/>
              <w:rPr>
                <w:rFonts w:cs="Arial"/>
                <w:sz w:val="18"/>
                <w:szCs w:val="18"/>
                <w:lang w:val="en-US"/>
              </w:rPr>
            </w:pPr>
          </w:p>
        </w:tc>
      </w:tr>
      <w:tr w:rsidR="004D56BE" w:rsidRPr="00BF3595" w:rsidTr="00E04086">
        <w:trPr>
          <w:cantSplit/>
          <w:jc w:val="center"/>
        </w:trPr>
        <w:tc>
          <w:tcPr>
            <w:tcW w:w="1342" w:type="dxa"/>
            <w:vMerge/>
            <w:shd w:val="clear" w:color="auto" w:fill="auto"/>
          </w:tcPr>
          <w:p w:rsidR="004D56BE" w:rsidRPr="00C903F8" w:rsidRDefault="004D56BE" w:rsidP="005B1BE0">
            <w:pPr>
              <w:spacing w:before="140" w:after="140" w:line="240" w:lineRule="atLeast"/>
              <w:ind w:left="0" w:firstLine="0"/>
              <w:rPr>
                <w:rFonts w:cs="Arial"/>
                <w:sz w:val="18"/>
                <w:szCs w:val="18"/>
              </w:rPr>
            </w:pPr>
          </w:p>
        </w:tc>
        <w:tc>
          <w:tcPr>
            <w:tcW w:w="1458" w:type="dxa"/>
            <w:shd w:val="clear" w:color="auto" w:fill="auto"/>
          </w:tcPr>
          <w:p w:rsidR="004D56BE" w:rsidRPr="00C903F8" w:rsidRDefault="004D56BE" w:rsidP="005B1BE0">
            <w:pPr>
              <w:spacing w:before="140" w:after="140" w:line="240" w:lineRule="atLeast"/>
              <w:ind w:left="0" w:firstLine="0"/>
              <w:rPr>
                <w:rFonts w:cs="Arial"/>
                <w:sz w:val="18"/>
                <w:szCs w:val="18"/>
              </w:rPr>
            </w:pPr>
            <w:r w:rsidRPr="004B4203">
              <w:rPr>
                <w:rFonts w:cs="Arial"/>
                <w:sz w:val="18"/>
                <w:szCs w:val="18"/>
              </w:rPr>
              <w:t>(4)</w:t>
            </w:r>
          </w:p>
        </w:tc>
        <w:tc>
          <w:tcPr>
            <w:tcW w:w="3296" w:type="dxa"/>
            <w:shd w:val="clear" w:color="auto" w:fill="auto"/>
          </w:tcPr>
          <w:p w:rsidR="004D56BE" w:rsidRPr="00A54EF9" w:rsidRDefault="004D56BE" w:rsidP="005B1BE0">
            <w:pPr>
              <w:spacing w:before="140" w:after="140" w:line="240" w:lineRule="atLeast"/>
              <w:ind w:left="0" w:firstLine="0"/>
              <w:rPr>
                <w:rFonts w:cs="Arial"/>
                <w:sz w:val="18"/>
                <w:szCs w:val="18"/>
                <w:lang w:val="en-GB"/>
              </w:rPr>
            </w:pPr>
            <w:r w:rsidRPr="001717EA">
              <w:rPr>
                <w:rFonts w:cs="Arial"/>
                <w:sz w:val="18"/>
                <w:szCs w:val="18"/>
                <w:lang w:val="en-GB"/>
              </w:rPr>
              <w:t>Tappings on the secondary windings of transformers</w:t>
            </w:r>
          </w:p>
        </w:tc>
        <w:tc>
          <w:tcPr>
            <w:tcW w:w="6521" w:type="dxa"/>
            <w:shd w:val="clear" w:color="auto" w:fill="auto"/>
          </w:tcPr>
          <w:p w:rsidR="004D56BE" w:rsidRDefault="004D56BE" w:rsidP="005B1BE0">
            <w:pPr>
              <w:spacing w:before="140" w:after="14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5B1BE0">
            <w:pPr>
              <w:spacing w:before="140" w:after="140" w:line="240" w:lineRule="atLeast"/>
              <w:ind w:left="0" w:firstLine="0"/>
              <w:jc w:val="center"/>
              <w:rPr>
                <w:rFonts w:cs="Arial"/>
                <w:sz w:val="18"/>
                <w:szCs w:val="18"/>
                <w:lang w:val="en-US"/>
              </w:rPr>
            </w:pPr>
          </w:p>
        </w:tc>
      </w:tr>
      <w:tr w:rsidR="004D56BE" w:rsidRPr="00BF3595" w:rsidTr="001964F8">
        <w:trPr>
          <w:cantSplit/>
          <w:jc w:val="center"/>
        </w:trPr>
        <w:tc>
          <w:tcPr>
            <w:tcW w:w="1342" w:type="dxa"/>
            <w:vMerge/>
            <w:tcBorders>
              <w:bottom w:val="single" w:sz="4" w:space="0" w:color="auto"/>
            </w:tcBorders>
            <w:shd w:val="clear" w:color="auto" w:fill="auto"/>
          </w:tcPr>
          <w:p w:rsidR="004D56BE" w:rsidRPr="00C903F8" w:rsidRDefault="004D56BE" w:rsidP="005B1BE0">
            <w:pPr>
              <w:spacing w:before="140" w:after="140" w:line="240" w:lineRule="atLeast"/>
              <w:ind w:left="0" w:firstLine="0"/>
              <w:rPr>
                <w:rFonts w:cs="Arial"/>
                <w:sz w:val="18"/>
                <w:szCs w:val="18"/>
              </w:rPr>
            </w:pPr>
          </w:p>
        </w:tc>
        <w:tc>
          <w:tcPr>
            <w:tcW w:w="1458" w:type="dxa"/>
            <w:shd w:val="clear" w:color="auto" w:fill="auto"/>
          </w:tcPr>
          <w:p w:rsidR="004D56BE" w:rsidRPr="00C903F8" w:rsidRDefault="004D56BE" w:rsidP="005B1BE0">
            <w:pPr>
              <w:spacing w:before="140" w:after="140" w:line="240" w:lineRule="atLeast"/>
              <w:ind w:left="0" w:firstLine="0"/>
              <w:rPr>
                <w:rFonts w:cs="Arial"/>
                <w:sz w:val="18"/>
                <w:szCs w:val="18"/>
              </w:rPr>
            </w:pPr>
            <w:r w:rsidRPr="004B4203">
              <w:rPr>
                <w:rFonts w:cs="Arial"/>
                <w:sz w:val="18"/>
                <w:szCs w:val="18"/>
              </w:rPr>
              <w:t>(5)</w:t>
            </w:r>
          </w:p>
        </w:tc>
        <w:tc>
          <w:tcPr>
            <w:tcW w:w="3296" w:type="dxa"/>
            <w:shd w:val="clear" w:color="auto" w:fill="auto"/>
          </w:tcPr>
          <w:p w:rsidR="004D56BE" w:rsidRPr="00A54EF9" w:rsidRDefault="004D56BE" w:rsidP="005B1BE0">
            <w:pPr>
              <w:spacing w:before="140" w:after="140" w:line="240" w:lineRule="atLeast"/>
              <w:ind w:left="0" w:firstLine="0"/>
              <w:rPr>
                <w:rFonts w:cs="Arial"/>
                <w:sz w:val="18"/>
                <w:szCs w:val="18"/>
                <w:lang w:val="en-GB"/>
              </w:rPr>
            </w:pPr>
            <w:r w:rsidRPr="001717EA">
              <w:rPr>
                <w:rFonts w:cs="Arial"/>
                <w:sz w:val="18"/>
                <w:szCs w:val="18"/>
                <w:lang w:val="en-GB"/>
              </w:rPr>
              <w:t xml:space="preserve"> </w:t>
            </w:r>
            <w:r>
              <w:rPr>
                <w:rFonts w:cs="Arial"/>
                <w:sz w:val="18"/>
                <w:szCs w:val="18"/>
                <w:lang w:val="en-GB"/>
              </w:rPr>
              <w:t>P</w:t>
            </w:r>
            <w:r w:rsidRPr="001717EA">
              <w:rPr>
                <w:rFonts w:cs="Arial"/>
                <w:sz w:val="18"/>
                <w:szCs w:val="18"/>
                <w:lang w:val="en-GB"/>
              </w:rPr>
              <w:t>late</w:t>
            </w:r>
            <w:r>
              <w:rPr>
                <w:rFonts w:cs="Arial"/>
                <w:sz w:val="18"/>
                <w:szCs w:val="18"/>
                <w:lang w:val="en-GB"/>
              </w:rPr>
              <w:t xml:space="preserve"> with manufacturer and power</w:t>
            </w:r>
            <w:r w:rsidRPr="001717EA">
              <w:rPr>
                <w:rFonts w:cs="Arial"/>
                <w:sz w:val="18"/>
                <w:szCs w:val="18"/>
                <w:lang w:val="en-GB"/>
              </w:rPr>
              <w:t xml:space="preserve"> of engines, generators, transformers</w:t>
            </w:r>
          </w:p>
        </w:tc>
        <w:tc>
          <w:tcPr>
            <w:tcW w:w="6521" w:type="dxa"/>
            <w:shd w:val="clear" w:color="auto" w:fill="auto"/>
          </w:tcPr>
          <w:p w:rsidR="004D56BE" w:rsidRDefault="004D56BE" w:rsidP="005B1BE0">
            <w:pPr>
              <w:spacing w:before="140" w:after="14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5B1BE0">
            <w:pPr>
              <w:spacing w:before="140" w:after="140" w:line="240" w:lineRule="atLeast"/>
              <w:ind w:left="0" w:firstLine="0"/>
              <w:jc w:val="center"/>
              <w:rPr>
                <w:rFonts w:cs="Arial"/>
                <w:sz w:val="18"/>
                <w:szCs w:val="18"/>
                <w:lang w:val="en-US"/>
              </w:rPr>
            </w:pPr>
          </w:p>
        </w:tc>
      </w:tr>
      <w:tr w:rsidR="004D56BE" w:rsidRPr="00BF3595" w:rsidTr="00E04086">
        <w:trPr>
          <w:cantSplit/>
          <w:jc w:val="center"/>
        </w:trPr>
        <w:tc>
          <w:tcPr>
            <w:tcW w:w="1342" w:type="dxa"/>
            <w:vMerge w:val="restart"/>
            <w:shd w:val="clear" w:color="auto" w:fill="auto"/>
          </w:tcPr>
          <w:p w:rsidR="004D56BE" w:rsidRPr="004B4203" w:rsidRDefault="004D56BE" w:rsidP="0012395A">
            <w:pPr>
              <w:spacing w:before="60" w:after="60" w:line="240" w:lineRule="atLeast"/>
              <w:rPr>
                <w:rFonts w:cs="Arial"/>
                <w:sz w:val="18"/>
                <w:szCs w:val="18"/>
                <w:lang w:val="en-GB" w:eastAsia="de-DE"/>
              </w:rPr>
            </w:pPr>
            <w:r w:rsidRPr="008F6ABB">
              <w:rPr>
                <w:rFonts w:cs="Arial"/>
                <w:sz w:val="18"/>
                <w:szCs w:val="18"/>
                <w:lang w:val="en-GB" w:eastAsia="de-DE"/>
              </w:rPr>
              <w:t xml:space="preserve">10.11 </w:t>
            </w:r>
          </w:p>
        </w:tc>
        <w:tc>
          <w:tcPr>
            <w:tcW w:w="1458" w:type="dxa"/>
            <w:shd w:val="clear" w:color="auto" w:fill="auto"/>
          </w:tcPr>
          <w:p w:rsidR="004D56BE" w:rsidRPr="00852DB3" w:rsidRDefault="004D56BE" w:rsidP="0012395A">
            <w:pPr>
              <w:spacing w:before="60" w:after="60" w:line="240" w:lineRule="atLeast"/>
              <w:rPr>
                <w:rFonts w:cs="Arial"/>
                <w:sz w:val="18"/>
                <w:szCs w:val="18"/>
              </w:rPr>
            </w:pPr>
            <w:r w:rsidRPr="004B4203">
              <w:rPr>
                <w:rFonts w:cs="Arial"/>
                <w:sz w:val="18"/>
                <w:szCs w:val="18"/>
              </w:rPr>
              <w:t>(3)</w:t>
            </w:r>
          </w:p>
        </w:tc>
        <w:tc>
          <w:tcPr>
            <w:tcW w:w="3296" w:type="dxa"/>
            <w:shd w:val="clear" w:color="auto" w:fill="auto"/>
          </w:tcPr>
          <w:p w:rsidR="004D56BE" w:rsidRPr="001717EA" w:rsidRDefault="004D56BE" w:rsidP="0012395A">
            <w:pPr>
              <w:spacing w:before="60" w:after="60" w:line="240" w:lineRule="atLeast"/>
              <w:ind w:left="0" w:firstLine="0"/>
              <w:rPr>
                <w:rFonts w:cs="Arial"/>
                <w:sz w:val="18"/>
                <w:szCs w:val="18"/>
                <w:lang w:val="en-GB"/>
              </w:rPr>
            </w:pPr>
            <w:r w:rsidRPr="001717EA">
              <w:rPr>
                <w:rFonts w:cs="Arial"/>
                <w:sz w:val="18"/>
                <w:szCs w:val="18"/>
                <w:lang w:val="en-GB"/>
              </w:rPr>
              <w:t>Ventilation of service rooms and cupboard to the open deck</w:t>
            </w:r>
          </w:p>
        </w:tc>
        <w:tc>
          <w:tcPr>
            <w:tcW w:w="6521" w:type="dxa"/>
            <w:shd w:val="clear" w:color="auto" w:fill="auto"/>
          </w:tcPr>
          <w:p w:rsidR="004D56BE" w:rsidRPr="00852DB3" w:rsidRDefault="004D56BE" w:rsidP="0012395A">
            <w:pPr>
              <w:spacing w:before="60" w:after="6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12395A">
            <w:pPr>
              <w:spacing w:before="60" w:after="60" w:line="240" w:lineRule="atLeast"/>
              <w:jc w:val="center"/>
              <w:rPr>
                <w:rFonts w:cs="Arial"/>
                <w:sz w:val="18"/>
                <w:szCs w:val="18"/>
              </w:rPr>
            </w:pPr>
          </w:p>
        </w:tc>
      </w:tr>
      <w:tr w:rsidR="004D56BE" w:rsidRPr="00296858" w:rsidTr="00E04086">
        <w:trPr>
          <w:cantSplit/>
          <w:jc w:val="center"/>
        </w:trPr>
        <w:tc>
          <w:tcPr>
            <w:tcW w:w="1342" w:type="dxa"/>
            <w:vMerge/>
            <w:shd w:val="clear" w:color="auto" w:fill="auto"/>
          </w:tcPr>
          <w:p w:rsidR="004D56BE" w:rsidRPr="00C903F8" w:rsidRDefault="004D56BE" w:rsidP="0012395A">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1610C7">
            <w:pPr>
              <w:spacing w:before="60" w:after="60" w:line="240" w:lineRule="atLeast"/>
              <w:ind w:left="0" w:firstLine="0"/>
              <w:rPr>
                <w:rFonts w:cs="Arial"/>
                <w:sz w:val="18"/>
                <w:szCs w:val="18"/>
              </w:rPr>
            </w:pPr>
            <w:r w:rsidRPr="004B4203">
              <w:rPr>
                <w:rFonts w:cs="Arial"/>
                <w:sz w:val="18"/>
                <w:szCs w:val="18"/>
              </w:rPr>
              <w:t>(</w:t>
            </w:r>
            <w:r>
              <w:rPr>
                <w:rFonts w:cs="Arial"/>
                <w:sz w:val="18"/>
                <w:szCs w:val="18"/>
              </w:rPr>
              <w:t>7</w:t>
            </w:r>
            <w:r w:rsidRPr="004B4203">
              <w:rPr>
                <w:rFonts w:cs="Arial"/>
                <w:sz w:val="18"/>
                <w:szCs w:val="18"/>
              </w:rPr>
              <w:t>)</w:t>
            </w:r>
          </w:p>
        </w:tc>
        <w:tc>
          <w:tcPr>
            <w:tcW w:w="3296" w:type="dxa"/>
            <w:shd w:val="clear" w:color="auto" w:fill="auto"/>
          </w:tcPr>
          <w:p w:rsidR="004D56BE" w:rsidRPr="00A54EF9" w:rsidRDefault="004D56BE" w:rsidP="0012395A">
            <w:pPr>
              <w:spacing w:before="60" w:after="60" w:line="240" w:lineRule="atLeast"/>
              <w:ind w:left="0" w:firstLine="0"/>
              <w:rPr>
                <w:rFonts w:cs="Arial"/>
                <w:sz w:val="18"/>
                <w:szCs w:val="18"/>
                <w:lang w:val="en-GB"/>
              </w:rPr>
            </w:pPr>
            <w:r w:rsidRPr="001717EA">
              <w:rPr>
                <w:rFonts w:cs="Arial"/>
                <w:sz w:val="18"/>
                <w:szCs w:val="18"/>
                <w:lang w:val="en-GB"/>
              </w:rPr>
              <w:t>Ventilation of enclosed rooms, cupboard or chest, in which accumulators are installed</w:t>
            </w:r>
          </w:p>
        </w:tc>
        <w:tc>
          <w:tcPr>
            <w:tcW w:w="6521" w:type="dxa"/>
            <w:shd w:val="clear" w:color="auto" w:fill="auto"/>
          </w:tcPr>
          <w:p w:rsidR="004D56BE" w:rsidRDefault="004D56BE" w:rsidP="0012395A">
            <w:pPr>
              <w:spacing w:before="60" w:after="60" w:line="240" w:lineRule="atLeast"/>
              <w:ind w:left="0" w:firstLine="0"/>
              <w:rPr>
                <w:rFonts w:cs="Arial"/>
                <w:sz w:val="18"/>
                <w:szCs w:val="18"/>
                <w:lang w:val="en-US"/>
              </w:rPr>
            </w:pPr>
            <w:r w:rsidRPr="004B4203">
              <w:rPr>
                <w:rFonts w:cs="Arial"/>
                <w:sz w:val="18"/>
                <w:szCs w:val="18"/>
                <w:lang w:val="en-US"/>
              </w:rPr>
              <w:t>N.R.C., at the latest on renewal of the inland navigation vessel certificate.</w:t>
            </w:r>
          </w:p>
        </w:tc>
        <w:tc>
          <w:tcPr>
            <w:tcW w:w="1276" w:type="dxa"/>
            <w:shd w:val="clear" w:color="auto" w:fill="auto"/>
          </w:tcPr>
          <w:p w:rsidR="004D56BE" w:rsidRPr="00C903F8" w:rsidRDefault="004D56BE" w:rsidP="0012395A">
            <w:pPr>
              <w:spacing w:before="60" w:after="60" w:line="240" w:lineRule="atLeast"/>
              <w:ind w:left="0" w:firstLine="0"/>
              <w:jc w:val="center"/>
              <w:rPr>
                <w:rFonts w:cs="Arial"/>
                <w:sz w:val="18"/>
                <w:szCs w:val="18"/>
                <w:lang w:val="en-US"/>
              </w:rPr>
            </w:pPr>
          </w:p>
        </w:tc>
      </w:tr>
      <w:tr w:rsidR="004D56BE" w:rsidRPr="00BF3595" w:rsidTr="00E04086">
        <w:trPr>
          <w:cantSplit/>
          <w:jc w:val="center"/>
        </w:trPr>
        <w:tc>
          <w:tcPr>
            <w:tcW w:w="1342" w:type="dxa"/>
            <w:vMerge/>
            <w:shd w:val="clear" w:color="auto" w:fill="auto"/>
          </w:tcPr>
          <w:p w:rsidR="004D56BE" w:rsidRPr="00A54EF9" w:rsidRDefault="004D56BE" w:rsidP="0012395A">
            <w:pPr>
              <w:spacing w:before="60" w:after="60" w:line="240" w:lineRule="atLeast"/>
              <w:ind w:left="0" w:firstLine="0"/>
              <w:rPr>
                <w:rFonts w:cs="Arial"/>
                <w:sz w:val="18"/>
                <w:szCs w:val="18"/>
                <w:lang w:val="en-GB"/>
              </w:rPr>
            </w:pPr>
          </w:p>
        </w:tc>
        <w:tc>
          <w:tcPr>
            <w:tcW w:w="1458" w:type="dxa"/>
            <w:shd w:val="clear" w:color="auto" w:fill="auto"/>
          </w:tcPr>
          <w:p w:rsidR="004D56BE" w:rsidRPr="00C903F8" w:rsidRDefault="004D56BE" w:rsidP="0012395A">
            <w:pPr>
              <w:spacing w:before="60" w:after="60" w:line="240" w:lineRule="atLeast"/>
              <w:ind w:left="0" w:firstLine="0"/>
              <w:rPr>
                <w:rFonts w:cs="Arial"/>
                <w:sz w:val="18"/>
                <w:szCs w:val="18"/>
              </w:rPr>
            </w:pPr>
            <w:r w:rsidRPr="004B4203">
              <w:rPr>
                <w:rFonts w:cs="Arial"/>
                <w:sz w:val="18"/>
                <w:szCs w:val="18"/>
              </w:rPr>
              <w:t>(</w:t>
            </w:r>
            <w:r>
              <w:rPr>
                <w:rFonts w:cs="Arial"/>
                <w:sz w:val="18"/>
                <w:szCs w:val="18"/>
              </w:rPr>
              <w:t>12)</w:t>
            </w:r>
          </w:p>
        </w:tc>
        <w:tc>
          <w:tcPr>
            <w:tcW w:w="3296" w:type="dxa"/>
            <w:shd w:val="clear" w:color="auto" w:fill="auto"/>
          </w:tcPr>
          <w:p w:rsidR="004D56BE" w:rsidRPr="00A54EF9" w:rsidRDefault="004D56BE" w:rsidP="0012395A">
            <w:pPr>
              <w:spacing w:before="60" w:after="60" w:line="240" w:lineRule="atLeast"/>
              <w:ind w:left="0" w:firstLine="0"/>
              <w:rPr>
                <w:rFonts w:cs="Arial"/>
                <w:sz w:val="18"/>
                <w:szCs w:val="18"/>
                <w:lang w:val="en-GB"/>
              </w:rPr>
            </w:pPr>
            <w:r w:rsidRPr="00A54EF9">
              <w:rPr>
                <w:rFonts w:cs="Arial"/>
                <w:sz w:val="18"/>
                <w:szCs w:val="18"/>
                <w:lang w:val="en-GB"/>
              </w:rPr>
              <w:t>Measurement of charging devices</w:t>
            </w:r>
          </w:p>
        </w:tc>
        <w:tc>
          <w:tcPr>
            <w:tcW w:w="6521" w:type="dxa"/>
            <w:shd w:val="clear" w:color="auto" w:fill="auto"/>
          </w:tcPr>
          <w:p w:rsidR="004D56BE" w:rsidRDefault="004D56BE" w:rsidP="0012395A">
            <w:pPr>
              <w:spacing w:before="60" w:after="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12395A">
            <w:pPr>
              <w:spacing w:before="60" w:after="60" w:line="240" w:lineRule="atLeast"/>
              <w:ind w:left="0" w:firstLine="0"/>
              <w:jc w:val="center"/>
              <w:rPr>
                <w:rFonts w:cs="Arial"/>
                <w:sz w:val="18"/>
                <w:szCs w:val="18"/>
                <w:lang w:val="en-US"/>
              </w:rPr>
            </w:pPr>
          </w:p>
        </w:tc>
      </w:tr>
      <w:tr w:rsidR="004D56BE" w:rsidRPr="00BF3595" w:rsidTr="00E04086">
        <w:trPr>
          <w:cantSplit/>
          <w:jc w:val="center"/>
        </w:trPr>
        <w:tc>
          <w:tcPr>
            <w:tcW w:w="1342" w:type="dxa"/>
            <w:vMerge/>
            <w:shd w:val="clear" w:color="auto" w:fill="auto"/>
          </w:tcPr>
          <w:p w:rsidR="004D56BE" w:rsidRPr="00C903F8" w:rsidRDefault="004D56BE" w:rsidP="0012395A">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12395A">
            <w:pPr>
              <w:spacing w:before="60" w:after="60" w:line="240" w:lineRule="atLeast"/>
              <w:ind w:left="0" w:firstLine="0"/>
              <w:rPr>
                <w:rFonts w:cs="Arial"/>
                <w:sz w:val="18"/>
                <w:szCs w:val="18"/>
              </w:rPr>
            </w:pPr>
            <w:r w:rsidRPr="004B4203">
              <w:rPr>
                <w:rFonts w:cs="Arial"/>
                <w:sz w:val="18"/>
                <w:szCs w:val="18"/>
              </w:rPr>
              <w:t>(</w:t>
            </w:r>
            <w:r>
              <w:rPr>
                <w:rFonts w:cs="Arial"/>
                <w:sz w:val="18"/>
                <w:szCs w:val="18"/>
              </w:rPr>
              <w:t>13</w:t>
            </w:r>
            <w:r w:rsidRPr="004B4203">
              <w:rPr>
                <w:rFonts w:cs="Arial"/>
                <w:sz w:val="18"/>
                <w:szCs w:val="18"/>
              </w:rPr>
              <w:t>)</w:t>
            </w:r>
          </w:p>
        </w:tc>
        <w:tc>
          <w:tcPr>
            <w:tcW w:w="3296" w:type="dxa"/>
            <w:shd w:val="clear" w:color="auto" w:fill="auto"/>
          </w:tcPr>
          <w:p w:rsidR="004D56BE" w:rsidRPr="00A54EF9" w:rsidRDefault="004D56BE" w:rsidP="0012395A">
            <w:pPr>
              <w:spacing w:before="60" w:after="60" w:line="240" w:lineRule="atLeast"/>
              <w:ind w:left="0" w:firstLine="0"/>
              <w:rPr>
                <w:rFonts w:cs="Arial"/>
                <w:sz w:val="18"/>
                <w:szCs w:val="18"/>
                <w:lang w:val="en-GB"/>
              </w:rPr>
            </w:pPr>
            <w:r w:rsidRPr="00A54EF9">
              <w:rPr>
                <w:rFonts w:cs="Arial"/>
                <w:sz w:val="18"/>
                <w:szCs w:val="18"/>
                <w:lang w:val="en-GB"/>
              </w:rPr>
              <w:t>Automatic chargers</w:t>
            </w:r>
          </w:p>
        </w:tc>
        <w:tc>
          <w:tcPr>
            <w:tcW w:w="6521" w:type="dxa"/>
            <w:shd w:val="clear" w:color="auto" w:fill="auto"/>
          </w:tcPr>
          <w:p w:rsidR="004D56BE" w:rsidRDefault="004D56BE" w:rsidP="0012395A">
            <w:pPr>
              <w:spacing w:before="60" w:after="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12395A">
            <w:pPr>
              <w:spacing w:before="60" w:after="60" w:line="240" w:lineRule="atLeast"/>
              <w:ind w:left="0" w:firstLine="0"/>
              <w:jc w:val="center"/>
              <w:rPr>
                <w:rFonts w:cs="Arial"/>
                <w:sz w:val="18"/>
                <w:szCs w:val="18"/>
                <w:lang w:val="en-US"/>
              </w:rPr>
            </w:pPr>
          </w:p>
        </w:tc>
      </w:tr>
      <w:tr w:rsidR="004D56BE" w:rsidRPr="00BF3595" w:rsidTr="00E04086">
        <w:trPr>
          <w:cantSplit/>
          <w:jc w:val="center"/>
        </w:trPr>
        <w:tc>
          <w:tcPr>
            <w:tcW w:w="1342" w:type="dxa"/>
            <w:vMerge/>
            <w:shd w:val="clear" w:color="auto" w:fill="auto"/>
          </w:tcPr>
          <w:p w:rsidR="004D56BE" w:rsidRPr="00C903F8" w:rsidRDefault="004D56BE" w:rsidP="0012395A">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12395A">
            <w:pPr>
              <w:spacing w:before="60" w:after="60" w:line="240" w:lineRule="atLeast"/>
              <w:ind w:left="0" w:firstLine="0"/>
              <w:rPr>
                <w:rFonts w:cs="Arial"/>
                <w:sz w:val="18"/>
                <w:szCs w:val="18"/>
              </w:rPr>
            </w:pPr>
            <w:r w:rsidRPr="004B4203">
              <w:rPr>
                <w:rFonts w:cs="Arial"/>
                <w:sz w:val="18"/>
                <w:szCs w:val="18"/>
              </w:rPr>
              <w:t>(</w:t>
            </w:r>
            <w:r>
              <w:rPr>
                <w:rFonts w:cs="Arial"/>
                <w:sz w:val="18"/>
                <w:szCs w:val="18"/>
              </w:rPr>
              <w:t>14</w:t>
            </w:r>
            <w:r w:rsidRPr="004B4203">
              <w:rPr>
                <w:rFonts w:cs="Arial"/>
                <w:sz w:val="18"/>
                <w:szCs w:val="18"/>
              </w:rPr>
              <w:t>)</w:t>
            </w:r>
          </w:p>
        </w:tc>
        <w:tc>
          <w:tcPr>
            <w:tcW w:w="3296" w:type="dxa"/>
            <w:shd w:val="clear" w:color="auto" w:fill="auto"/>
          </w:tcPr>
          <w:p w:rsidR="004D56BE" w:rsidRPr="00A54EF9" w:rsidRDefault="004D56BE" w:rsidP="0012395A">
            <w:pPr>
              <w:spacing w:before="60" w:after="60" w:line="240" w:lineRule="atLeast"/>
              <w:ind w:left="0" w:firstLine="0"/>
              <w:rPr>
                <w:rFonts w:cs="Arial"/>
                <w:sz w:val="18"/>
                <w:szCs w:val="18"/>
                <w:lang w:val="en-GB"/>
              </w:rPr>
            </w:pPr>
            <w:r w:rsidRPr="00A54EF9">
              <w:rPr>
                <w:rFonts w:cs="Arial"/>
                <w:sz w:val="18"/>
                <w:szCs w:val="18"/>
                <w:lang w:val="en-GB"/>
              </w:rPr>
              <w:t>Maximum charging voltage</w:t>
            </w:r>
          </w:p>
        </w:tc>
        <w:tc>
          <w:tcPr>
            <w:tcW w:w="6521" w:type="dxa"/>
            <w:shd w:val="clear" w:color="auto" w:fill="auto"/>
          </w:tcPr>
          <w:p w:rsidR="004D56BE" w:rsidRDefault="004D56BE" w:rsidP="0012395A">
            <w:pPr>
              <w:spacing w:before="60" w:after="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12395A">
            <w:pPr>
              <w:spacing w:before="60" w:after="60" w:line="240" w:lineRule="atLeast"/>
              <w:ind w:left="0" w:firstLine="0"/>
              <w:jc w:val="center"/>
              <w:rPr>
                <w:rFonts w:cs="Arial"/>
                <w:sz w:val="18"/>
                <w:szCs w:val="18"/>
                <w:lang w:val="en-US"/>
              </w:rPr>
            </w:pPr>
          </w:p>
        </w:tc>
      </w:tr>
      <w:tr w:rsidR="004D56BE" w:rsidRPr="00BF3595" w:rsidTr="00E04086">
        <w:trPr>
          <w:cantSplit/>
          <w:jc w:val="center"/>
        </w:trPr>
        <w:tc>
          <w:tcPr>
            <w:tcW w:w="1342" w:type="dxa"/>
            <w:vMerge/>
            <w:shd w:val="clear" w:color="auto" w:fill="auto"/>
          </w:tcPr>
          <w:p w:rsidR="004D56BE" w:rsidRPr="00C903F8" w:rsidRDefault="004D56BE" w:rsidP="0012395A">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12395A">
            <w:pPr>
              <w:spacing w:before="60" w:after="60" w:line="240" w:lineRule="atLeast"/>
              <w:ind w:left="0" w:firstLine="0"/>
              <w:rPr>
                <w:rFonts w:cs="Arial"/>
                <w:sz w:val="18"/>
                <w:szCs w:val="18"/>
              </w:rPr>
            </w:pPr>
            <w:r w:rsidRPr="004B4203">
              <w:rPr>
                <w:rFonts w:cs="Arial"/>
                <w:sz w:val="18"/>
                <w:szCs w:val="18"/>
              </w:rPr>
              <w:t>(</w:t>
            </w:r>
            <w:r>
              <w:rPr>
                <w:rFonts w:cs="Arial"/>
                <w:sz w:val="18"/>
                <w:szCs w:val="18"/>
              </w:rPr>
              <w:t>15</w:t>
            </w:r>
            <w:r w:rsidRPr="004B4203">
              <w:rPr>
                <w:rFonts w:cs="Arial"/>
                <w:sz w:val="18"/>
                <w:szCs w:val="18"/>
              </w:rPr>
              <w:t>)</w:t>
            </w:r>
          </w:p>
        </w:tc>
        <w:tc>
          <w:tcPr>
            <w:tcW w:w="3296" w:type="dxa"/>
            <w:shd w:val="clear" w:color="auto" w:fill="auto"/>
          </w:tcPr>
          <w:p w:rsidR="004D56BE" w:rsidRPr="00A54EF9" w:rsidRDefault="004D56BE" w:rsidP="0012395A">
            <w:pPr>
              <w:spacing w:before="60" w:after="60" w:line="240" w:lineRule="atLeast"/>
              <w:ind w:left="0" w:firstLine="0"/>
              <w:rPr>
                <w:rFonts w:cs="Arial"/>
                <w:sz w:val="18"/>
                <w:szCs w:val="18"/>
                <w:lang w:val="en-GB"/>
              </w:rPr>
            </w:pPr>
            <w:r w:rsidRPr="00A54EF9">
              <w:rPr>
                <w:rFonts w:cs="Arial"/>
                <w:sz w:val="18"/>
                <w:szCs w:val="18"/>
                <w:lang w:val="en-GB"/>
              </w:rPr>
              <w:t>Standards EN 62619 and EN 62620 for lithium-ion accumulators</w:t>
            </w:r>
          </w:p>
        </w:tc>
        <w:tc>
          <w:tcPr>
            <w:tcW w:w="6521" w:type="dxa"/>
            <w:shd w:val="clear" w:color="auto" w:fill="auto"/>
          </w:tcPr>
          <w:p w:rsidR="004D56BE" w:rsidRDefault="004D56BE" w:rsidP="0012395A">
            <w:pPr>
              <w:spacing w:before="60" w:after="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12395A">
            <w:pPr>
              <w:spacing w:before="60" w:after="60" w:line="240" w:lineRule="atLeast"/>
              <w:ind w:left="0" w:firstLine="0"/>
              <w:jc w:val="center"/>
              <w:rPr>
                <w:rFonts w:cs="Arial"/>
                <w:sz w:val="18"/>
                <w:szCs w:val="18"/>
                <w:lang w:val="en-US"/>
              </w:rPr>
            </w:pPr>
          </w:p>
        </w:tc>
      </w:tr>
      <w:tr w:rsidR="004D56BE" w:rsidRPr="00BF3595" w:rsidTr="00E04086">
        <w:trPr>
          <w:cantSplit/>
          <w:jc w:val="center"/>
        </w:trPr>
        <w:tc>
          <w:tcPr>
            <w:tcW w:w="1342" w:type="dxa"/>
            <w:vMerge/>
            <w:tcBorders>
              <w:bottom w:val="single" w:sz="4" w:space="0" w:color="auto"/>
            </w:tcBorders>
            <w:shd w:val="clear" w:color="auto" w:fill="auto"/>
            <w:vAlign w:val="center"/>
          </w:tcPr>
          <w:p w:rsidR="004D56BE" w:rsidRPr="00C903F8" w:rsidRDefault="004D56BE" w:rsidP="00FD6754">
            <w:pPr>
              <w:spacing w:before="160" w:after="160" w:line="240" w:lineRule="atLeast"/>
              <w:ind w:left="0" w:firstLine="0"/>
              <w:rPr>
                <w:rFonts w:cs="Arial"/>
                <w:sz w:val="18"/>
                <w:szCs w:val="18"/>
              </w:rPr>
            </w:pPr>
          </w:p>
        </w:tc>
        <w:tc>
          <w:tcPr>
            <w:tcW w:w="1458" w:type="dxa"/>
            <w:shd w:val="clear" w:color="auto" w:fill="auto"/>
            <w:vAlign w:val="center"/>
          </w:tcPr>
          <w:p w:rsidR="004D56BE" w:rsidRPr="00C903F8" w:rsidRDefault="004D56BE" w:rsidP="00FD6754">
            <w:pPr>
              <w:spacing w:before="160" w:after="160" w:line="240" w:lineRule="atLeast"/>
              <w:ind w:left="0" w:firstLine="0"/>
              <w:rPr>
                <w:rFonts w:cs="Arial"/>
                <w:sz w:val="18"/>
                <w:szCs w:val="18"/>
              </w:rPr>
            </w:pPr>
            <w:r w:rsidRPr="004B4203">
              <w:rPr>
                <w:rFonts w:cs="Arial"/>
                <w:sz w:val="18"/>
                <w:szCs w:val="18"/>
              </w:rPr>
              <w:t>(</w:t>
            </w:r>
            <w:r>
              <w:rPr>
                <w:rFonts w:cs="Arial"/>
                <w:sz w:val="18"/>
                <w:szCs w:val="18"/>
              </w:rPr>
              <w:t>16</w:t>
            </w:r>
            <w:r w:rsidRPr="004B4203">
              <w:rPr>
                <w:rFonts w:cs="Arial"/>
                <w:sz w:val="18"/>
                <w:szCs w:val="18"/>
              </w:rPr>
              <w:t>)</w:t>
            </w:r>
          </w:p>
        </w:tc>
        <w:tc>
          <w:tcPr>
            <w:tcW w:w="3296" w:type="dxa"/>
            <w:shd w:val="clear" w:color="auto" w:fill="auto"/>
          </w:tcPr>
          <w:p w:rsidR="004D56BE" w:rsidRPr="00A54EF9" w:rsidRDefault="004D56BE" w:rsidP="00FD6754">
            <w:pPr>
              <w:spacing w:before="160" w:after="160" w:line="240" w:lineRule="atLeast"/>
              <w:ind w:left="0" w:firstLine="0"/>
              <w:rPr>
                <w:rFonts w:cs="Arial"/>
                <w:sz w:val="18"/>
                <w:szCs w:val="18"/>
                <w:lang w:val="en-GB"/>
              </w:rPr>
            </w:pPr>
            <w:r w:rsidRPr="00A54EF9">
              <w:rPr>
                <w:rFonts w:cs="Arial"/>
                <w:sz w:val="18"/>
                <w:szCs w:val="18"/>
                <w:lang w:val="en-GB"/>
              </w:rPr>
              <w:t>Accumulator management system</w:t>
            </w:r>
          </w:p>
        </w:tc>
        <w:tc>
          <w:tcPr>
            <w:tcW w:w="6521" w:type="dxa"/>
            <w:shd w:val="clear" w:color="auto" w:fill="auto"/>
          </w:tcPr>
          <w:p w:rsidR="004D56BE" w:rsidRDefault="004D56BE" w:rsidP="00FD6754">
            <w:pPr>
              <w:spacing w:before="160" w:after="1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FD6754">
            <w:pPr>
              <w:spacing w:before="160" w:after="160" w:line="240" w:lineRule="atLeast"/>
              <w:ind w:left="0" w:firstLine="0"/>
              <w:jc w:val="center"/>
              <w:rPr>
                <w:rFonts w:cs="Arial"/>
                <w:sz w:val="18"/>
                <w:szCs w:val="18"/>
                <w:lang w:val="en-US"/>
              </w:rPr>
            </w:pPr>
          </w:p>
        </w:tc>
      </w:tr>
      <w:tr w:rsidR="004D56BE" w:rsidRPr="00C903F8" w:rsidTr="00E04086">
        <w:trPr>
          <w:cantSplit/>
          <w:jc w:val="center"/>
        </w:trPr>
        <w:tc>
          <w:tcPr>
            <w:tcW w:w="1342" w:type="dxa"/>
            <w:vMerge w:val="restart"/>
            <w:shd w:val="clear" w:color="auto" w:fill="auto"/>
          </w:tcPr>
          <w:p w:rsidR="004D56BE" w:rsidRPr="00C903F8" w:rsidRDefault="004D56BE" w:rsidP="00FD6754">
            <w:pPr>
              <w:spacing w:before="160" w:after="160" w:line="240" w:lineRule="atLeast"/>
              <w:ind w:left="0" w:firstLine="0"/>
              <w:rPr>
                <w:rFonts w:cs="Arial"/>
                <w:sz w:val="18"/>
                <w:szCs w:val="18"/>
              </w:rPr>
            </w:pPr>
            <w:r w:rsidRPr="00C903F8">
              <w:rPr>
                <w:rFonts w:cs="Arial"/>
                <w:sz w:val="18"/>
                <w:szCs w:val="18"/>
              </w:rPr>
              <w:lastRenderedPageBreak/>
              <w:t>10.12</w:t>
            </w:r>
          </w:p>
        </w:tc>
        <w:tc>
          <w:tcPr>
            <w:tcW w:w="1458" w:type="dxa"/>
            <w:shd w:val="clear" w:color="auto" w:fill="auto"/>
          </w:tcPr>
          <w:p w:rsidR="004D56BE" w:rsidRPr="00852DB3" w:rsidRDefault="004D56BE" w:rsidP="00FD6754">
            <w:pPr>
              <w:spacing w:before="160" w:after="160" w:line="240" w:lineRule="atLeast"/>
              <w:rPr>
                <w:rFonts w:cs="Arial"/>
                <w:sz w:val="18"/>
                <w:szCs w:val="18"/>
              </w:rPr>
            </w:pPr>
            <w:r w:rsidRPr="004B4203">
              <w:rPr>
                <w:rFonts w:cs="Arial"/>
                <w:sz w:val="18"/>
                <w:szCs w:val="18"/>
              </w:rPr>
              <w:t>(2)(d)</w:t>
            </w:r>
          </w:p>
        </w:tc>
        <w:tc>
          <w:tcPr>
            <w:tcW w:w="3296" w:type="dxa"/>
            <w:shd w:val="clear" w:color="auto" w:fill="auto"/>
          </w:tcPr>
          <w:p w:rsidR="004D56BE" w:rsidRPr="001717EA" w:rsidRDefault="004D56BE" w:rsidP="00FD6754">
            <w:pPr>
              <w:spacing w:before="160" w:after="160" w:line="240" w:lineRule="atLeast"/>
              <w:ind w:left="0" w:firstLine="0"/>
              <w:rPr>
                <w:rFonts w:cs="Arial"/>
                <w:sz w:val="18"/>
                <w:szCs w:val="18"/>
                <w:lang w:val="en-GB"/>
              </w:rPr>
            </w:pPr>
            <w:r w:rsidRPr="001717EA">
              <w:rPr>
                <w:rFonts w:cs="Arial"/>
                <w:sz w:val="18"/>
                <w:szCs w:val="18"/>
                <w:lang w:val="en-GB"/>
              </w:rPr>
              <w:t>Direct power supply for consum</w:t>
            </w:r>
            <w:r>
              <w:rPr>
                <w:rFonts w:cs="Arial"/>
                <w:sz w:val="18"/>
                <w:szCs w:val="18"/>
                <w:lang w:val="en-GB"/>
              </w:rPr>
              <w:t>er</w:t>
            </w:r>
            <w:r w:rsidRPr="001717EA">
              <w:rPr>
                <w:rFonts w:cs="Arial"/>
                <w:sz w:val="18"/>
                <w:szCs w:val="18"/>
                <w:lang w:val="en-GB"/>
              </w:rPr>
              <w:t xml:space="preserve"> equipment for vessel propulsion system and manoeuvring</w:t>
            </w:r>
          </w:p>
        </w:tc>
        <w:tc>
          <w:tcPr>
            <w:tcW w:w="6521" w:type="dxa"/>
            <w:shd w:val="clear" w:color="auto" w:fill="auto"/>
          </w:tcPr>
          <w:p w:rsidR="004D56BE" w:rsidRPr="00852DB3" w:rsidRDefault="004D56BE" w:rsidP="00FD6754">
            <w:pPr>
              <w:spacing w:before="160" w:after="16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4D56BE" w:rsidRPr="00852DB3" w:rsidRDefault="004D56BE" w:rsidP="00FD6754">
            <w:pPr>
              <w:spacing w:before="160" w:after="160" w:line="240" w:lineRule="atLeast"/>
              <w:jc w:val="center"/>
              <w:rPr>
                <w:rFonts w:cs="Arial"/>
                <w:sz w:val="18"/>
                <w:szCs w:val="18"/>
              </w:rPr>
            </w:pPr>
            <w:r w:rsidRPr="004B4203">
              <w:rPr>
                <w:rFonts w:cs="Arial"/>
                <w:sz w:val="18"/>
                <w:szCs w:val="18"/>
              </w:rPr>
              <w:t>1.1.2015</w:t>
            </w:r>
          </w:p>
        </w:tc>
      </w:tr>
      <w:tr w:rsidR="004D56BE" w:rsidRPr="00C903F8" w:rsidTr="00E04086">
        <w:trPr>
          <w:cantSplit/>
          <w:jc w:val="center"/>
        </w:trPr>
        <w:tc>
          <w:tcPr>
            <w:tcW w:w="1342" w:type="dxa"/>
            <w:vMerge/>
            <w:shd w:val="clear" w:color="auto" w:fill="auto"/>
          </w:tcPr>
          <w:p w:rsidR="004D56BE" w:rsidRPr="00C903F8" w:rsidRDefault="004D56BE" w:rsidP="00FD6754">
            <w:pPr>
              <w:spacing w:before="160" w:after="160" w:line="240" w:lineRule="atLeast"/>
              <w:ind w:left="0" w:firstLine="0"/>
              <w:rPr>
                <w:rFonts w:cs="Arial"/>
                <w:sz w:val="18"/>
                <w:szCs w:val="18"/>
              </w:rPr>
            </w:pPr>
          </w:p>
        </w:tc>
        <w:tc>
          <w:tcPr>
            <w:tcW w:w="1458" w:type="dxa"/>
            <w:shd w:val="clear" w:color="auto" w:fill="auto"/>
          </w:tcPr>
          <w:p w:rsidR="004D56BE" w:rsidRPr="00852DB3" w:rsidRDefault="004D56BE" w:rsidP="00FD6754">
            <w:pPr>
              <w:spacing w:before="160" w:after="160" w:line="240" w:lineRule="atLeast"/>
              <w:rPr>
                <w:rFonts w:cs="Arial"/>
                <w:sz w:val="18"/>
                <w:szCs w:val="18"/>
              </w:rPr>
            </w:pPr>
            <w:r w:rsidRPr="004B4203">
              <w:rPr>
                <w:rFonts w:cs="Arial"/>
                <w:sz w:val="18"/>
                <w:szCs w:val="18"/>
              </w:rPr>
              <w:t>(3)(b)</w:t>
            </w:r>
          </w:p>
        </w:tc>
        <w:tc>
          <w:tcPr>
            <w:tcW w:w="3296" w:type="dxa"/>
            <w:shd w:val="clear" w:color="auto" w:fill="auto"/>
          </w:tcPr>
          <w:p w:rsidR="004D56BE" w:rsidRPr="00A54EF9" w:rsidRDefault="004D56BE" w:rsidP="00FD6754">
            <w:pPr>
              <w:spacing w:before="160" w:after="160" w:line="240" w:lineRule="atLeast"/>
              <w:ind w:left="0" w:firstLine="0"/>
              <w:rPr>
                <w:rFonts w:cs="Arial"/>
                <w:sz w:val="18"/>
                <w:szCs w:val="18"/>
                <w:lang w:val="en-GB"/>
              </w:rPr>
            </w:pPr>
            <w:r w:rsidRPr="00A54EF9">
              <w:rPr>
                <w:rFonts w:cs="Arial"/>
                <w:sz w:val="18"/>
                <w:szCs w:val="18"/>
                <w:lang w:val="en-GB"/>
              </w:rPr>
              <w:t>Device for monitoring insulation</w:t>
            </w:r>
          </w:p>
        </w:tc>
        <w:tc>
          <w:tcPr>
            <w:tcW w:w="6521" w:type="dxa"/>
            <w:shd w:val="clear" w:color="auto" w:fill="auto"/>
          </w:tcPr>
          <w:p w:rsidR="004D56BE" w:rsidRPr="00852DB3" w:rsidRDefault="004D56BE" w:rsidP="00FD6754">
            <w:pPr>
              <w:spacing w:before="160" w:after="16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4D56BE" w:rsidRPr="00852DB3" w:rsidRDefault="004D56BE" w:rsidP="00FD6754">
            <w:pPr>
              <w:spacing w:before="160" w:after="160" w:line="240" w:lineRule="atLeast"/>
              <w:jc w:val="center"/>
              <w:rPr>
                <w:rFonts w:cs="Arial"/>
                <w:sz w:val="18"/>
                <w:szCs w:val="18"/>
              </w:rPr>
            </w:pPr>
            <w:r w:rsidRPr="004B4203">
              <w:rPr>
                <w:rFonts w:cs="Arial"/>
                <w:sz w:val="18"/>
                <w:szCs w:val="18"/>
              </w:rPr>
              <w:t>1.1.2010</w:t>
            </w:r>
          </w:p>
        </w:tc>
      </w:tr>
      <w:tr w:rsidR="004D56BE" w:rsidRPr="00C903F8" w:rsidTr="00EB50AB">
        <w:trPr>
          <w:cantSplit/>
          <w:jc w:val="center"/>
        </w:trPr>
        <w:tc>
          <w:tcPr>
            <w:tcW w:w="1342" w:type="dxa"/>
            <w:tcBorders>
              <w:bottom w:val="single" w:sz="4" w:space="0" w:color="auto"/>
            </w:tcBorders>
            <w:shd w:val="clear" w:color="auto" w:fill="auto"/>
          </w:tcPr>
          <w:p w:rsidR="004D56BE" w:rsidRPr="004B4203" w:rsidRDefault="004D56BE" w:rsidP="00FD6754">
            <w:pPr>
              <w:spacing w:before="160" w:after="160" w:line="240" w:lineRule="atLeast"/>
              <w:rPr>
                <w:rFonts w:cs="Arial"/>
                <w:sz w:val="18"/>
                <w:szCs w:val="18"/>
                <w:lang w:val="en-GB" w:eastAsia="de-DE"/>
              </w:rPr>
            </w:pPr>
            <w:r w:rsidRPr="008F6ABB">
              <w:rPr>
                <w:rFonts w:cs="Arial"/>
                <w:sz w:val="18"/>
                <w:szCs w:val="18"/>
                <w:lang w:val="en-GB" w:eastAsia="de-DE"/>
              </w:rPr>
              <w:t>10.13</w:t>
            </w:r>
          </w:p>
        </w:tc>
        <w:tc>
          <w:tcPr>
            <w:tcW w:w="1458" w:type="dxa"/>
            <w:shd w:val="clear" w:color="auto" w:fill="auto"/>
          </w:tcPr>
          <w:p w:rsidR="004D56BE" w:rsidRPr="00852DB3" w:rsidRDefault="004D56BE" w:rsidP="00FD6754">
            <w:pPr>
              <w:spacing w:before="160" w:after="160" w:line="240" w:lineRule="atLeast"/>
              <w:rPr>
                <w:rFonts w:cs="Arial"/>
                <w:sz w:val="18"/>
                <w:szCs w:val="18"/>
              </w:rPr>
            </w:pPr>
          </w:p>
        </w:tc>
        <w:tc>
          <w:tcPr>
            <w:tcW w:w="3296" w:type="dxa"/>
            <w:shd w:val="clear" w:color="auto" w:fill="auto"/>
          </w:tcPr>
          <w:p w:rsidR="004D56BE" w:rsidRPr="00852DB3" w:rsidRDefault="004D56BE" w:rsidP="00FD6754">
            <w:pPr>
              <w:spacing w:before="160" w:after="160" w:line="240" w:lineRule="atLeast"/>
              <w:rPr>
                <w:rFonts w:cs="Arial"/>
                <w:sz w:val="18"/>
                <w:szCs w:val="18"/>
              </w:rPr>
            </w:pPr>
            <w:r>
              <w:rPr>
                <w:rFonts w:cs="Arial"/>
                <w:sz w:val="18"/>
                <w:szCs w:val="18"/>
              </w:rPr>
              <w:t>Emergency circuit-breaker devices</w:t>
            </w:r>
          </w:p>
        </w:tc>
        <w:tc>
          <w:tcPr>
            <w:tcW w:w="6521" w:type="dxa"/>
            <w:shd w:val="clear" w:color="auto" w:fill="auto"/>
          </w:tcPr>
          <w:p w:rsidR="004D56BE" w:rsidRPr="00852DB3" w:rsidRDefault="004D56BE" w:rsidP="00FD6754">
            <w:pPr>
              <w:spacing w:before="160" w:after="16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4D56BE" w:rsidRPr="00852DB3" w:rsidRDefault="004D56BE" w:rsidP="00FD6754">
            <w:pPr>
              <w:spacing w:before="160" w:after="160" w:line="240" w:lineRule="atLeast"/>
              <w:jc w:val="center"/>
              <w:rPr>
                <w:rFonts w:cs="Arial"/>
                <w:sz w:val="18"/>
                <w:szCs w:val="18"/>
              </w:rPr>
            </w:pPr>
            <w:r w:rsidRPr="004B4203">
              <w:rPr>
                <w:rFonts w:cs="Arial"/>
                <w:sz w:val="18"/>
                <w:szCs w:val="18"/>
              </w:rPr>
              <w:t>1.1.2010</w:t>
            </w:r>
          </w:p>
        </w:tc>
      </w:tr>
      <w:tr w:rsidR="004D56BE" w:rsidRPr="00C903F8" w:rsidTr="00EB50AB">
        <w:trPr>
          <w:cantSplit/>
          <w:jc w:val="center"/>
        </w:trPr>
        <w:tc>
          <w:tcPr>
            <w:tcW w:w="1342" w:type="dxa"/>
            <w:tcBorders>
              <w:bottom w:val="nil"/>
            </w:tcBorders>
            <w:shd w:val="clear" w:color="auto" w:fill="auto"/>
          </w:tcPr>
          <w:p w:rsidR="004D56BE" w:rsidRPr="004B4203" w:rsidRDefault="004D56BE" w:rsidP="00FD6754">
            <w:pPr>
              <w:spacing w:before="160" w:after="160" w:line="240" w:lineRule="atLeast"/>
              <w:rPr>
                <w:rFonts w:cs="Arial"/>
                <w:sz w:val="18"/>
                <w:szCs w:val="18"/>
                <w:lang w:val="en-GB" w:eastAsia="de-DE"/>
              </w:rPr>
            </w:pPr>
            <w:r w:rsidRPr="008F6ABB">
              <w:rPr>
                <w:rFonts w:cs="Arial"/>
                <w:sz w:val="18"/>
                <w:szCs w:val="18"/>
                <w:lang w:val="en-GB" w:eastAsia="de-DE"/>
              </w:rPr>
              <w:t xml:space="preserve">10.14 </w:t>
            </w:r>
          </w:p>
        </w:tc>
        <w:tc>
          <w:tcPr>
            <w:tcW w:w="1458" w:type="dxa"/>
            <w:shd w:val="clear" w:color="auto" w:fill="auto"/>
          </w:tcPr>
          <w:p w:rsidR="004D56BE" w:rsidRPr="00852DB3" w:rsidRDefault="004D56BE" w:rsidP="00FD6754">
            <w:pPr>
              <w:spacing w:before="160" w:after="160" w:line="240" w:lineRule="atLeast"/>
              <w:ind w:left="0" w:firstLine="0"/>
              <w:jc w:val="left"/>
              <w:rPr>
                <w:rFonts w:cs="Arial"/>
                <w:sz w:val="18"/>
                <w:szCs w:val="18"/>
              </w:rPr>
            </w:pPr>
            <w:r w:rsidRPr="004B4203">
              <w:rPr>
                <w:rFonts w:cs="Arial"/>
                <w:sz w:val="18"/>
                <w:szCs w:val="18"/>
              </w:rPr>
              <w:t>(3), second sentence</w:t>
            </w:r>
          </w:p>
        </w:tc>
        <w:tc>
          <w:tcPr>
            <w:tcW w:w="3296" w:type="dxa"/>
            <w:shd w:val="clear" w:color="auto" w:fill="auto"/>
          </w:tcPr>
          <w:p w:rsidR="004D56BE" w:rsidRPr="001717EA" w:rsidRDefault="004D56BE" w:rsidP="00FD6754">
            <w:pPr>
              <w:spacing w:before="160" w:after="160" w:line="240" w:lineRule="atLeast"/>
              <w:ind w:left="0" w:firstLine="0"/>
              <w:rPr>
                <w:rFonts w:cs="Arial"/>
                <w:sz w:val="18"/>
                <w:szCs w:val="18"/>
                <w:lang w:val="en-GB"/>
              </w:rPr>
            </w:pPr>
            <w:r w:rsidRPr="001717EA">
              <w:rPr>
                <w:rFonts w:cs="Arial"/>
                <w:sz w:val="18"/>
                <w:szCs w:val="18"/>
                <w:lang w:val="en-GB"/>
              </w:rPr>
              <w:t xml:space="preserve">Prohibition of single pole switches in </w:t>
            </w:r>
            <w:r>
              <w:rPr>
                <w:rFonts w:cs="Arial"/>
                <w:sz w:val="18"/>
                <w:szCs w:val="18"/>
                <w:lang w:val="en-GB"/>
              </w:rPr>
              <w:t xml:space="preserve">washrooms, </w:t>
            </w:r>
            <w:r w:rsidRPr="001717EA">
              <w:rPr>
                <w:rFonts w:cs="Arial"/>
                <w:sz w:val="18"/>
                <w:szCs w:val="18"/>
                <w:lang w:val="en-GB"/>
              </w:rPr>
              <w:t>bathrooms and other wet rooms</w:t>
            </w:r>
          </w:p>
        </w:tc>
        <w:tc>
          <w:tcPr>
            <w:tcW w:w="6521" w:type="dxa"/>
            <w:shd w:val="clear" w:color="auto" w:fill="auto"/>
          </w:tcPr>
          <w:p w:rsidR="004D56BE" w:rsidRPr="00852DB3" w:rsidRDefault="004D56BE" w:rsidP="00FD6754">
            <w:pPr>
              <w:spacing w:before="160" w:after="16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4D56BE" w:rsidRPr="00852DB3" w:rsidRDefault="004D56BE" w:rsidP="00FD6754">
            <w:pPr>
              <w:spacing w:before="160" w:after="160" w:line="240" w:lineRule="atLeast"/>
              <w:jc w:val="center"/>
              <w:rPr>
                <w:rFonts w:cs="Arial"/>
                <w:sz w:val="18"/>
                <w:szCs w:val="18"/>
              </w:rPr>
            </w:pPr>
            <w:r w:rsidRPr="004B4203">
              <w:rPr>
                <w:rFonts w:cs="Arial"/>
                <w:sz w:val="18"/>
                <w:szCs w:val="18"/>
              </w:rPr>
              <w:t>1.1.2010</w:t>
            </w:r>
          </w:p>
        </w:tc>
      </w:tr>
      <w:tr w:rsidR="004D56BE" w:rsidRPr="00296858" w:rsidTr="00E04086">
        <w:trPr>
          <w:cantSplit/>
          <w:jc w:val="center"/>
        </w:trPr>
        <w:tc>
          <w:tcPr>
            <w:tcW w:w="1342" w:type="dxa"/>
            <w:vMerge w:val="restart"/>
            <w:shd w:val="clear" w:color="auto" w:fill="auto"/>
          </w:tcPr>
          <w:p w:rsidR="004D56BE" w:rsidRPr="004B4203" w:rsidRDefault="004D56BE" w:rsidP="00FD6754">
            <w:pPr>
              <w:spacing w:before="160" w:after="160" w:line="240" w:lineRule="atLeast"/>
              <w:rPr>
                <w:rFonts w:cs="Arial"/>
                <w:sz w:val="18"/>
                <w:szCs w:val="18"/>
                <w:lang w:val="en-GB" w:eastAsia="de-DE"/>
              </w:rPr>
            </w:pPr>
            <w:r w:rsidRPr="008F6ABB">
              <w:rPr>
                <w:rFonts w:cs="Arial"/>
                <w:sz w:val="18"/>
                <w:szCs w:val="18"/>
                <w:lang w:val="en-GB" w:eastAsia="de-DE"/>
              </w:rPr>
              <w:t xml:space="preserve">10.15 </w:t>
            </w:r>
          </w:p>
        </w:tc>
        <w:tc>
          <w:tcPr>
            <w:tcW w:w="1458" w:type="dxa"/>
            <w:shd w:val="clear" w:color="auto" w:fill="auto"/>
          </w:tcPr>
          <w:p w:rsidR="004D56BE" w:rsidRPr="00852DB3" w:rsidRDefault="004D56BE" w:rsidP="00FD6754">
            <w:pPr>
              <w:spacing w:before="160" w:after="160" w:line="240" w:lineRule="atLeast"/>
              <w:rPr>
                <w:rFonts w:cs="Arial"/>
                <w:sz w:val="18"/>
                <w:szCs w:val="18"/>
              </w:rPr>
            </w:pPr>
            <w:r w:rsidRPr="004B4203">
              <w:rPr>
                <w:rFonts w:cs="Arial"/>
                <w:sz w:val="18"/>
                <w:szCs w:val="18"/>
              </w:rPr>
              <w:t>(2)</w:t>
            </w:r>
          </w:p>
        </w:tc>
        <w:tc>
          <w:tcPr>
            <w:tcW w:w="3296" w:type="dxa"/>
            <w:shd w:val="clear" w:color="auto" w:fill="auto"/>
          </w:tcPr>
          <w:p w:rsidR="004D56BE" w:rsidRPr="001717EA" w:rsidRDefault="004D56BE" w:rsidP="00FD6754">
            <w:pPr>
              <w:spacing w:before="160" w:after="160" w:line="240" w:lineRule="atLeast"/>
              <w:ind w:left="0" w:firstLine="0"/>
              <w:rPr>
                <w:rFonts w:cs="Arial"/>
                <w:sz w:val="18"/>
                <w:szCs w:val="18"/>
                <w:lang w:val="en-GB"/>
              </w:rPr>
            </w:pPr>
            <w:r w:rsidRPr="001717EA">
              <w:rPr>
                <w:rFonts w:cs="Arial"/>
                <w:sz w:val="18"/>
                <w:szCs w:val="18"/>
                <w:lang w:val="en-GB"/>
              </w:rPr>
              <w:t>Minimum cross-section per conductor of 1.5 mm</w:t>
            </w:r>
            <w:r w:rsidRPr="00D86408">
              <w:rPr>
                <w:rFonts w:cs="Arial"/>
                <w:sz w:val="18"/>
                <w:szCs w:val="18"/>
                <w:vertAlign w:val="superscript"/>
                <w:lang w:val="en-GB"/>
              </w:rPr>
              <w:t>2</w:t>
            </w:r>
          </w:p>
        </w:tc>
        <w:tc>
          <w:tcPr>
            <w:tcW w:w="6521" w:type="dxa"/>
            <w:shd w:val="clear" w:color="auto" w:fill="auto"/>
          </w:tcPr>
          <w:p w:rsidR="004D56BE" w:rsidRPr="00852DB3" w:rsidRDefault="004D56BE" w:rsidP="00FD6754">
            <w:pPr>
              <w:spacing w:before="160" w:after="160" w:line="240" w:lineRule="atLeast"/>
              <w:rPr>
                <w:rFonts w:cs="Arial"/>
                <w:sz w:val="18"/>
                <w:szCs w:val="18"/>
                <w:lang w:val="en-US"/>
              </w:rPr>
            </w:pPr>
            <w:r w:rsidRPr="004B4203">
              <w:rPr>
                <w:rFonts w:cs="Arial"/>
                <w:sz w:val="18"/>
                <w:szCs w:val="18"/>
                <w:lang w:val="en-US"/>
              </w:rPr>
              <w:t>N.R.C., at the latest on renewal of the inland navigation vessel certificate</w:t>
            </w:r>
            <w:r>
              <w:rPr>
                <w:rFonts w:cs="Arial"/>
                <w:sz w:val="18"/>
                <w:szCs w:val="18"/>
                <w:lang w:val="en-US"/>
              </w:rPr>
              <w:t>.</w:t>
            </w:r>
          </w:p>
        </w:tc>
        <w:tc>
          <w:tcPr>
            <w:tcW w:w="1276" w:type="dxa"/>
            <w:shd w:val="clear" w:color="auto" w:fill="auto"/>
          </w:tcPr>
          <w:p w:rsidR="004D56BE" w:rsidRPr="00AD76BF" w:rsidRDefault="004D56BE" w:rsidP="00FD6754">
            <w:pPr>
              <w:spacing w:before="160" w:after="160" w:line="240" w:lineRule="atLeast"/>
              <w:jc w:val="center"/>
              <w:rPr>
                <w:rFonts w:cs="Arial"/>
                <w:sz w:val="18"/>
                <w:szCs w:val="18"/>
                <w:lang w:val="en-US"/>
              </w:rPr>
            </w:pPr>
          </w:p>
        </w:tc>
      </w:tr>
      <w:tr w:rsidR="004D56BE" w:rsidRPr="00296858" w:rsidTr="00E04086">
        <w:trPr>
          <w:cantSplit/>
          <w:jc w:val="center"/>
        </w:trPr>
        <w:tc>
          <w:tcPr>
            <w:tcW w:w="1342" w:type="dxa"/>
            <w:vMerge/>
            <w:shd w:val="clear" w:color="auto" w:fill="auto"/>
          </w:tcPr>
          <w:p w:rsidR="004D56BE" w:rsidRPr="00AD76BF" w:rsidRDefault="004D56BE" w:rsidP="00FD6754">
            <w:pPr>
              <w:spacing w:before="160" w:after="160" w:line="240" w:lineRule="atLeast"/>
              <w:ind w:left="0" w:firstLine="0"/>
              <w:rPr>
                <w:rFonts w:cs="Arial"/>
                <w:sz w:val="18"/>
                <w:szCs w:val="18"/>
                <w:lang w:val="en-US"/>
              </w:rPr>
            </w:pPr>
          </w:p>
        </w:tc>
        <w:tc>
          <w:tcPr>
            <w:tcW w:w="1458" w:type="dxa"/>
            <w:shd w:val="clear" w:color="auto" w:fill="auto"/>
          </w:tcPr>
          <w:p w:rsidR="004D56BE" w:rsidRPr="00C903F8" w:rsidRDefault="004D56BE" w:rsidP="00FD6754">
            <w:pPr>
              <w:spacing w:before="160" w:after="160" w:line="240" w:lineRule="atLeast"/>
              <w:ind w:left="0" w:firstLine="0"/>
              <w:rPr>
                <w:rFonts w:cs="Arial"/>
                <w:sz w:val="18"/>
                <w:szCs w:val="18"/>
              </w:rPr>
            </w:pPr>
            <w:r w:rsidRPr="004B4203">
              <w:rPr>
                <w:rFonts w:cs="Arial"/>
                <w:sz w:val="18"/>
                <w:szCs w:val="18"/>
              </w:rPr>
              <w:t>(10)</w:t>
            </w:r>
          </w:p>
        </w:tc>
        <w:tc>
          <w:tcPr>
            <w:tcW w:w="3296" w:type="dxa"/>
            <w:shd w:val="clear" w:color="auto" w:fill="auto"/>
          </w:tcPr>
          <w:p w:rsidR="004D56BE" w:rsidRPr="00A54EF9" w:rsidRDefault="004D56BE" w:rsidP="00FD6754">
            <w:pPr>
              <w:spacing w:before="160" w:after="160" w:line="240" w:lineRule="atLeast"/>
              <w:ind w:left="0" w:firstLine="0"/>
              <w:rPr>
                <w:rFonts w:cs="Arial"/>
                <w:sz w:val="18"/>
                <w:szCs w:val="18"/>
                <w:lang w:val="en-GB"/>
              </w:rPr>
            </w:pPr>
            <w:r w:rsidRPr="00F17B67">
              <w:rPr>
                <w:rFonts w:cs="Arial"/>
                <w:sz w:val="18"/>
                <w:szCs w:val="18"/>
                <w:lang w:val="en-GB"/>
              </w:rPr>
              <w:t>Cables connected to elevating wheelhouses</w:t>
            </w:r>
          </w:p>
        </w:tc>
        <w:tc>
          <w:tcPr>
            <w:tcW w:w="6521" w:type="dxa"/>
            <w:shd w:val="clear" w:color="auto" w:fill="auto"/>
          </w:tcPr>
          <w:p w:rsidR="004D56BE" w:rsidRPr="00C903F8" w:rsidRDefault="004D56BE" w:rsidP="00FD6754">
            <w:pPr>
              <w:spacing w:before="160" w:after="160" w:line="240" w:lineRule="atLeast"/>
              <w:ind w:left="0" w:firstLine="0"/>
              <w:rPr>
                <w:rFonts w:cs="Arial"/>
                <w:sz w:val="18"/>
                <w:szCs w:val="18"/>
                <w:lang w:val="en-US"/>
              </w:rPr>
            </w:pPr>
            <w:r w:rsidRPr="004B4203">
              <w:rPr>
                <w:rFonts w:cs="Arial"/>
                <w:sz w:val="18"/>
                <w:szCs w:val="18"/>
                <w:lang w:val="en-US"/>
              </w:rPr>
              <w:t>N.R.C., at the latest on renewal of the inlan</w:t>
            </w:r>
            <w:r>
              <w:rPr>
                <w:rFonts w:cs="Arial"/>
                <w:sz w:val="18"/>
                <w:szCs w:val="18"/>
                <w:lang w:val="en-US"/>
              </w:rPr>
              <w:t>d navigation vessel certificate.</w:t>
            </w:r>
            <w:r w:rsidRPr="004B4203">
              <w:rPr>
                <w:rFonts w:cs="Arial"/>
                <w:sz w:val="18"/>
                <w:szCs w:val="18"/>
                <w:lang w:val="en-US"/>
              </w:rPr>
              <w:t xml:space="preserve"> </w:t>
            </w:r>
          </w:p>
        </w:tc>
        <w:tc>
          <w:tcPr>
            <w:tcW w:w="1276" w:type="dxa"/>
            <w:shd w:val="clear" w:color="auto" w:fill="auto"/>
          </w:tcPr>
          <w:p w:rsidR="004D56BE" w:rsidRPr="0012395A" w:rsidRDefault="004D56BE" w:rsidP="00FD6754">
            <w:pPr>
              <w:spacing w:before="160" w:after="160" w:line="240" w:lineRule="atLeast"/>
              <w:ind w:left="0" w:firstLine="0"/>
              <w:jc w:val="center"/>
              <w:rPr>
                <w:rFonts w:cs="Arial"/>
                <w:sz w:val="18"/>
                <w:szCs w:val="18"/>
                <w:lang w:val="en-US"/>
              </w:rPr>
            </w:pPr>
          </w:p>
        </w:tc>
      </w:tr>
      <w:tr w:rsidR="004D56BE" w:rsidRPr="00C903F8" w:rsidTr="00E04086">
        <w:trPr>
          <w:cantSplit/>
          <w:jc w:val="center"/>
        </w:trPr>
        <w:tc>
          <w:tcPr>
            <w:tcW w:w="1342" w:type="dxa"/>
            <w:vMerge/>
            <w:shd w:val="clear" w:color="auto" w:fill="auto"/>
          </w:tcPr>
          <w:p w:rsidR="004D56BE" w:rsidRPr="0012395A" w:rsidRDefault="004D56BE" w:rsidP="00FD6754">
            <w:pPr>
              <w:spacing w:before="160" w:after="160" w:line="240" w:lineRule="atLeast"/>
              <w:ind w:left="0" w:firstLine="0"/>
              <w:rPr>
                <w:rFonts w:cs="Arial"/>
                <w:sz w:val="18"/>
                <w:szCs w:val="18"/>
                <w:lang w:val="en-US"/>
              </w:rPr>
            </w:pPr>
          </w:p>
        </w:tc>
        <w:tc>
          <w:tcPr>
            <w:tcW w:w="1458" w:type="dxa"/>
            <w:shd w:val="clear" w:color="auto" w:fill="auto"/>
          </w:tcPr>
          <w:p w:rsidR="004D56BE" w:rsidRPr="0012395A" w:rsidRDefault="004D56BE" w:rsidP="00FD6754">
            <w:pPr>
              <w:spacing w:before="160" w:after="160" w:line="240" w:lineRule="atLeast"/>
              <w:ind w:left="0" w:firstLine="0"/>
              <w:rPr>
                <w:rFonts w:cs="Arial"/>
                <w:sz w:val="18"/>
                <w:szCs w:val="18"/>
                <w:lang w:val="en-US"/>
              </w:rPr>
            </w:pPr>
            <w:r w:rsidRPr="0012395A">
              <w:rPr>
                <w:rFonts w:cs="Arial"/>
                <w:sz w:val="18"/>
                <w:szCs w:val="18"/>
                <w:lang w:val="en-US"/>
              </w:rPr>
              <w:t>(11)</w:t>
            </w:r>
          </w:p>
        </w:tc>
        <w:tc>
          <w:tcPr>
            <w:tcW w:w="3296" w:type="dxa"/>
            <w:shd w:val="clear" w:color="auto" w:fill="auto"/>
          </w:tcPr>
          <w:p w:rsidR="004D56BE" w:rsidRPr="00A54EF9" w:rsidRDefault="004D56BE" w:rsidP="00FD6754">
            <w:pPr>
              <w:spacing w:before="160" w:after="160" w:line="240" w:lineRule="atLeast"/>
              <w:ind w:left="0" w:firstLine="0"/>
              <w:rPr>
                <w:rFonts w:cs="Arial"/>
                <w:sz w:val="18"/>
                <w:szCs w:val="18"/>
                <w:lang w:val="en-GB"/>
              </w:rPr>
            </w:pPr>
            <w:r w:rsidRPr="00A54EF9">
              <w:rPr>
                <w:rFonts w:cs="Arial"/>
                <w:sz w:val="18"/>
                <w:szCs w:val="18"/>
                <w:lang w:val="en-GB"/>
              </w:rPr>
              <w:t>Cable harness penetrations</w:t>
            </w:r>
          </w:p>
        </w:tc>
        <w:tc>
          <w:tcPr>
            <w:tcW w:w="6521" w:type="dxa"/>
            <w:shd w:val="clear" w:color="auto" w:fill="auto"/>
          </w:tcPr>
          <w:p w:rsidR="004D56BE" w:rsidRDefault="004D56BE" w:rsidP="00FD6754">
            <w:pPr>
              <w:spacing w:before="160" w:after="1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FD6754">
            <w:pPr>
              <w:spacing w:before="160" w:after="160" w:line="240" w:lineRule="atLeast"/>
              <w:ind w:left="0" w:firstLine="0"/>
              <w:jc w:val="center"/>
              <w:rPr>
                <w:rFonts w:cs="Arial"/>
                <w:sz w:val="18"/>
                <w:szCs w:val="18"/>
              </w:rPr>
            </w:pPr>
          </w:p>
        </w:tc>
      </w:tr>
      <w:tr w:rsidR="004D56BE" w:rsidRPr="00C903F8" w:rsidTr="00E04086">
        <w:trPr>
          <w:cantSplit/>
          <w:jc w:val="center"/>
        </w:trPr>
        <w:tc>
          <w:tcPr>
            <w:tcW w:w="1342" w:type="dxa"/>
            <w:vMerge/>
            <w:shd w:val="clear" w:color="auto" w:fill="auto"/>
          </w:tcPr>
          <w:p w:rsidR="004D56BE" w:rsidRPr="00C903F8" w:rsidRDefault="004D56BE" w:rsidP="00FD6754">
            <w:pPr>
              <w:spacing w:before="160" w:after="160" w:line="240" w:lineRule="atLeast"/>
              <w:ind w:left="0" w:firstLine="0"/>
              <w:rPr>
                <w:rFonts w:cs="Arial"/>
                <w:sz w:val="18"/>
                <w:szCs w:val="18"/>
              </w:rPr>
            </w:pPr>
          </w:p>
        </w:tc>
        <w:tc>
          <w:tcPr>
            <w:tcW w:w="1458" w:type="dxa"/>
            <w:shd w:val="clear" w:color="auto" w:fill="auto"/>
          </w:tcPr>
          <w:p w:rsidR="004D56BE" w:rsidRPr="00C903F8" w:rsidRDefault="004D56BE" w:rsidP="00FD6754">
            <w:pPr>
              <w:spacing w:before="160" w:after="160" w:line="240" w:lineRule="atLeast"/>
              <w:ind w:left="0" w:firstLine="0"/>
              <w:rPr>
                <w:rFonts w:cs="Arial"/>
                <w:sz w:val="18"/>
                <w:szCs w:val="18"/>
              </w:rPr>
            </w:pPr>
            <w:r w:rsidRPr="004B4203">
              <w:rPr>
                <w:rFonts w:cs="Arial"/>
                <w:sz w:val="18"/>
                <w:szCs w:val="18"/>
              </w:rPr>
              <w:t>(12)</w:t>
            </w:r>
          </w:p>
        </w:tc>
        <w:tc>
          <w:tcPr>
            <w:tcW w:w="3296" w:type="dxa"/>
            <w:shd w:val="clear" w:color="auto" w:fill="auto"/>
          </w:tcPr>
          <w:p w:rsidR="004D56BE" w:rsidRPr="00A54EF9" w:rsidRDefault="004D56BE" w:rsidP="00FD6754">
            <w:pPr>
              <w:spacing w:before="160" w:after="160" w:line="240" w:lineRule="atLeast"/>
              <w:ind w:left="0" w:firstLine="0"/>
              <w:rPr>
                <w:rFonts w:cs="Arial"/>
                <w:sz w:val="18"/>
                <w:szCs w:val="18"/>
                <w:lang w:val="en-GB"/>
              </w:rPr>
            </w:pPr>
            <w:r w:rsidRPr="001717EA">
              <w:rPr>
                <w:rFonts w:cs="Arial"/>
                <w:sz w:val="18"/>
                <w:szCs w:val="18"/>
                <w:lang w:val="en-GB"/>
              </w:rPr>
              <w:t>Cables from an emergency electrical power source to consumer equipment</w:t>
            </w:r>
          </w:p>
        </w:tc>
        <w:tc>
          <w:tcPr>
            <w:tcW w:w="6521" w:type="dxa"/>
            <w:shd w:val="clear" w:color="auto" w:fill="auto"/>
          </w:tcPr>
          <w:p w:rsidR="004D56BE" w:rsidRDefault="004D56BE" w:rsidP="00FD6754">
            <w:pPr>
              <w:spacing w:before="160" w:after="1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FD6754">
            <w:pPr>
              <w:spacing w:before="160" w:after="160" w:line="240" w:lineRule="atLeast"/>
              <w:ind w:left="0" w:firstLine="0"/>
              <w:jc w:val="center"/>
              <w:rPr>
                <w:rFonts w:cs="Arial"/>
                <w:sz w:val="18"/>
                <w:szCs w:val="18"/>
              </w:rPr>
            </w:pPr>
          </w:p>
        </w:tc>
      </w:tr>
      <w:tr w:rsidR="004D56BE" w:rsidRPr="00C903F8" w:rsidTr="00E04086">
        <w:trPr>
          <w:cantSplit/>
          <w:jc w:val="center"/>
        </w:trPr>
        <w:tc>
          <w:tcPr>
            <w:tcW w:w="1342" w:type="dxa"/>
            <w:vMerge/>
            <w:shd w:val="clear" w:color="auto" w:fill="auto"/>
          </w:tcPr>
          <w:p w:rsidR="004D56BE" w:rsidRPr="00C903F8" w:rsidRDefault="004D56BE" w:rsidP="00FD6754">
            <w:pPr>
              <w:spacing w:before="160" w:after="160" w:line="240" w:lineRule="atLeast"/>
              <w:ind w:left="0" w:firstLine="0"/>
              <w:rPr>
                <w:rFonts w:cs="Arial"/>
                <w:sz w:val="18"/>
                <w:szCs w:val="18"/>
              </w:rPr>
            </w:pPr>
          </w:p>
        </w:tc>
        <w:tc>
          <w:tcPr>
            <w:tcW w:w="1458" w:type="dxa"/>
            <w:shd w:val="clear" w:color="auto" w:fill="auto"/>
          </w:tcPr>
          <w:p w:rsidR="004D56BE" w:rsidRPr="00C903F8" w:rsidRDefault="004D56BE" w:rsidP="00FD6754">
            <w:pPr>
              <w:spacing w:before="160" w:after="160" w:line="240" w:lineRule="atLeast"/>
              <w:ind w:left="0" w:firstLine="0"/>
              <w:rPr>
                <w:rFonts w:cs="Arial"/>
                <w:sz w:val="18"/>
                <w:szCs w:val="18"/>
              </w:rPr>
            </w:pPr>
            <w:r w:rsidRPr="004B4203">
              <w:rPr>
                <w:rFonts w:cs="Arial"/>
                <w:sz w:val="18"/>
                <w:szCs w:val="18"/>
              </w:rPr>
              <w:t>(13)</w:t>
            </w:r>
          </w:p>
        </w:tc>
        <w:tc>
          <w:tcPr>
            <w:tcW w:w="3296" w:type="dxa"/>
            <w:shd w:val="clear" w:color="auto" w:fill="auto"/>
          </w:tcPr>
          <w:p w:rsidR="004D56BE" w:rsidRPr="00A54EF9" w:rsidRDefault="004D56BE" w:rsidP="00FD6754">
            <w:pPr>
              <w:spacing w:before="160" w:after="160" w:line="240" w:lineRule="atLeast"/>
              <w:ind w:left="0" w:firstLine="0"/>
              <w:rPr>
                <w:rFonts w:cs="Arial"/>
                <w:sz w:val="18"/>
                <w:szCs w:val="18"/>
                <w:lang w:val="en-GB"/>
              </w:rPr>
            </w:pPr>
            <w:r w:rsidRPr="001717EA">
              <w:rPr>
                <w:rFonts w:cs="Arial"/>
                <w:sz w:val="18"/>
                <w:szCs w:val="18"/>
                <w:lang w:val="en-GB"/>
              </w:rPr>
              <w:t>Cable in areas with high ambient temperatures</w:t>
            </w:r>
          </w:p>
        </w:tc>
        <w:tc>
          <w:tcPr>
            <w:tcW w:w="6521" w:type="dxa"/>
            <w:shd w:val="clear" w:color="auto" w:fill="auto"/>
          </w:tcPr>
          <w:p w:rsidR="004D56BE" w:rsidRDefault="004D56BE" w:rsidP="00FD6754">
            <w:pPr>
              <w:spacing w:before="160" w:after="1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FD6754">
            <w:pPr>
              <w:spacing w:before="160" w:after="160" w:line="240" w:lineRule="atLeast"/>
              <w:ind w:left="0" w:firstLine="0"/>
              <w:jc w:val="center"/>
              <w:rPr>
                <w:rFonts w:cs="Arial"/>
                <w:sz w:val="18"/>
                <w:szCs w:val="18"/>
              </w:rPr>
            </w:pPr>
          </w:p>
        </w:tc>
      </w:tr>
      <w:tr w:rsidR="004D56BE" w:rsidRPr="00C903F8" w:rsidTr="00E04086">
        <w:trPr>
          <w:cantSplit/>
          <w:jc w:val="center"/>
        </w:trPr>
        <w:tc>
          <w:tcPr>
            <w:tcW w:w="1342" w:type="dxa"/>
            <w:vMerge/>
            <w:shd w:val="clear" w:color="auto" w:fill="auto"/>
          </w:tcPr>
          <w:p w:rsidR="004D56BE" w:rsidRPr="00C903F8" w:rsidRDefault="004D56BE" w:rsidP="00FD6754">
            <w:pPr>
              <w:spacing w:before="160" w:after="160" w:line="240" w:lineRule="atLeast"/>
              <w:ind w:left="0" w:firstLine="0"/>
              <w:rPr>
                <w:rFonts w:cs="Arial"/>
                <w:sz w:val="18"/>
                <w:szCs w:val="18"/>
              </w:rPr>
            </w:pPr>
          </w:p>
        </w:tc>
        <w:tc>
          <w:tcPr>
            <w:tcW w:w="1458" w:type="dxa"/>
            <w:shd w:val="clear" w:color="auto" w:fill="auto"/>
          </w:tcPr>
          <w:p w:rsidR="004D56BE" w:rsidRPr="00C903F8" w:rsidRDefault="004D56BE" w:rsidP="00FD6754">
            <w:pPr>
              <w:spacing w:before="160" w:after="160" w:line="240" w:lineRule="atLeast"/>
              <w:ind w:left="0" w:firstLine="0"/>
              <w:rPr>
                <w:rFonts w:cs="Arial"/>
                <w:sz w:val="18"/>
                <w:szCs w:val="18"/>
              </w:rPr>
            </w:pPr>
            <w:r w:rsidRPr="004B4203">
              <w:rPr>
                <w:rFonts w:cs="Arial"/>
                <w:sz w:val="18"/>
                <w:szCs w:val="18"/>
              </w:rPr>
              <w:t>(14)</w:t>
            </w:r>
          </w:p>
        </w:tc>
        <w:tc>
          <w:tcPr>
            <w:tcW w:w="3296" w:type="dxa"/>
            <w:shd w:val="clear" w:color="auto" w:fill="auto"/>
          </w:tcPr>
          <w:p w:rsidR="004D56BE" w:rsidRPr="00A54EF9" w:rsidRDefault="004D56BE" w:rsidP="00FD6754">
            <w:pPr>
              <w:spacing w:before="160" w:after="160" w:line="240" w:lineRule="atLeast"/>
              <w:ind w:left="0" w:firstLine="0"/>
              <w:rPr>
                <w:rFonts w:cs="Arial"/>
                <w:sz w:val="18"/>
                <w:szCs w:val="18"/>
                <w:lang w:val="en-GB"/>
              </w:rPr>
            </w:pPr>
            <w:r w:rsidRPr="001717EA">
              <w:rPr>
                <w:rFonts w:cs="Arial"/>
                <w:sz w:val="18"/>
                <w:szCs w:val="18"/>
                <w:lang w:val="en-GB"/>
              </w:rPr>
              <w:t>Installation of main and emergency power supply cables</w:t>
            </w:r>
          </w:p>
        </w:tc>
        <w:tc>
          <w:tcPr>
            <w:tcW w:w="6521" w:type="dxa"/>
            <w:shd w:val="clear" w:color="auto" w:fill="auto"/>
          </w:tcPr>
          <w:p w:rsidR="004D56BE" w:rsidRDefault="004D56BE" w:rsidP="00FD6754">
            <w:pPr>
              <w:spacing w:before="160" w:after="16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FD6754">
            <w:pPr>
              <w:spacing w:before="160" w:after="160" w:line="240" w:lineRule="atLeast"/>
              <w:ind w:left="0" w:firstLine="0"/>
              <w:jc w:val="center"/>
              <w:rPr>
                <w:rFonts w:cs="Arial"/>
                <w:sz w:val="18"/>
                <w:szCs w:val="18"/>
              </w:rPr>
            </w:pPr>
          </w:p>
        </w:tc>
      </w:tr>
      <w:tr w:rsidR="004D56BE" w:rsidRPr="00C903F8" w:rsidTr="001964F8">
        <w:trPr>
          <w:cantSplit/>
          <w:jc w:val="center"/>
        </w:trPr>
        <w:tc>
          <w:tcPr>
            <w:tcW w:w="1342" w:type="dxa"/>
            <w:shd w:val="clear" w:color="auto" w:fill="auto"/>
          </w:tcPr>
          <w:p w:rsidR="004D56BE" w:rsidRPr="004B4203" w:rsidRDefault="004D56BE" w:rsidP="00A8005B">
            <w:pPr>
              <w:spacing w:before="100" w:after="80" w:line="240" w:lineRule="atLeast"/>
              <w:rPr>
                <w:rFonts w:cs="Arial"/>
                <w:sz w:val="18"/>
                <w:szCs w:val="18"/>
                <w:lang w:val="en-GB" w:eastAsia="de-DE"/>
              </w:rPr>
            </w:pPr>
            <w:r w:rsidRPr="008F6ABB">
              <w:rPr>
                <w:rFonts w:cs="Arial"/>
                <w:sz w:val="18"/>
                <w:szCs w:val="18"/>
                <w:lang w:val="en-GB" w:eastAsia="de-DE"/>
              </w:rPr>
              <w:t xml:space="preserve">10.16 </w:t>
            </w:r>
          </w:p>
        </w:tc>
        <w:tc>
          <w:tcPr>
            <w:tcW w:w="1458" w:type="dxa"/>
            <w:shd w:val="clear" w:color="auto" w:fill="auto"/>
          </w:tcPr>
          <w:p w:rsidR="004D56BE" w:rsidRPr="00852DB3" w:rsidRDefault="004D56BE" w:rsidP="00A8005B">
            <w:pPr>
              <w:spacing w:before="100" w:after="80" w:line="240" w:lineRule="atLeast"/>
              <w:ind w:left="0" w:firstLine="0"/>
              <w:jc w:val="left"/>
              <w:rPr>
                <w:rFonts w:cs="Arial"/>
                <w:sz w:val="18"/>
                <w:szCs w:val="18"/>
              </w:rPr>
            </w:pPr>
            <w:r w:rsidRPr="004B4203">
              <w:rPr>
                <w:rFonts w:cs="Arial"/>
                <w:sz w:val="18"/>
                <w:szCs w:val="18"/>
              </w:rPr>
              <w:t>(3) second sentence</w:t>
            </w:r>
          </w:p>
        </w:tc>
        <w:tc>
          <w:tcPr>
            <w:tcW w:w="3296" w:type="dxa"/>
            <w:shd w:val="clear" w:color="auto" w:fill="auto"/>
          </w:tcPr>
          <w:p w:rsidR="004D56BE" w:rsidRPr="00852DB3" w:rsidRDefault="004D56BE" w:rsidP="00A8005B">
            <w:pPr>
              <w:spacing w:before="100" w:after="80" w:line="240" w:lineRule="atLeast"/>
              <w:rPr>
                <w:rFonts w:cs="Arial"/>
                <w:sz w:val="18"/>
                <w:szCs w:val="18"/>
              </w:rPr>
            </w:pPr>
            <w:r w:rsidRPr="004B4203">
              <w:rPr>
                <w:rFonts w:cs="Arial"/>
                <w:sz w:val="18"/>
                <w:szCs w:val="18"/>
              </w:rPr>
              <w:t>Second circuit</w:t>
            </w:r>
          </w:p>
        </w:tc>
        <w:tc>
          <w:tcPr>
            <w:tcW w:w="6521" w:type="dxa"/>
            <w:shd w:val="clear" w:color="auto" w:fill="auto"/>
          </w:tcPr>
          <w:p w:rsidR="004D56BE" w:rsidRPr="00852DB3" w:rsidRDefault="004D56BE" w:rsidP="00A8005B">
            <w:pPr>
              <w:spacing w:before="100" w:after="8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4D56BE" w:rsidRPr="00852DB3" w:rsidRDefault="004D56BE" w:rsidP="00A8005B">
            <w:pPr>
              <w:spacing w:before="100" w:after="80" w:line="240" w:lineRule="atLeast"/>
              <w:jc w:val="center"/>
              <w:rPr>
                <w:rFonts w:cs="Arial"/>
                <w:sz w:val="18"/>
                <w:szCs w:val="18"/>
              </w:rPr>
            </w:pPr>
            <w:r w:rsidRPr="004B4203">
              <w:rPr>
                <w:rFonts w:cs="Arial"/>
                <w:sz w:val="18"/>
                <w:szCs w:val="18"/>
              </w:rPr>
              <w:t>1.1.2015</w:t>
            </w:r>
          </w:p>
        </w:tc>
      </w:tr>
      <w:tr w:rsidR="004D56BE" w:rsidRPr="00C903F8" w:rsidTr="001964F8">
        <w:trPr>
          <w:cantSplit/>
          <w:jc w:val="center"/>
        </w:trPr>
        <w:tc>
          <w:tcPr>
            <w:tcW w:w="1342" w:type="dxa"/>
            <w:vMerge w:val="restart"/>
            <w:shd w:val="clear" w:color="auto" w:fill="auto"/>
          </w:tcPr>
          <w:p w:rsidR="004D56BE" w:rsidRPr="004B4203" w:rsidRDefault="004D56BE" w:rsidP="00A8005B">
            <w:pPr>
              <w:spacing w:before="100" w:after="80" w:line="240" w:lineRule="atLeast"/>
              <w:rPr>
                <w:rFonts w:cs="Arial"/>
                <w:sz w:val="18"/>
                <w:szCs w:val="18"/>
                <w:lang w:val="en-GB" w:eastAsia="de-DE"/>
              </w:rPr>
            </w:pPr>
            <w:r w:rsidRPr="008F6ABB">
              <w:rPr>
                <w:rFonts w:cs="Arial"/>
                <w:sz w:val="18"/>
                <w:szCs w:val="18"/>
                <w:lang w:val="en-GB" w:eastAsia="de-DE"/>
              </w:rPr>
              <w:lastRenderedPageBreak/>
              <w:t xml:space="preserve">10.18 </w:t>
            </w:r>
          </w:p>
        </w:tc>
        <w:tc>
          <w:tcPr>
            <w:tcW w:w="1458" w:type="dxa"/>
            <w:shd w:val="clear" w:color="auto" w:fill="auto"/>
          </w:tcPr>
          <w:p w:rsidR="004D56BE" w:rsidRPr="00852DB3" w:rsidRDefault="004D56BE" w:rsidP="00A8005B">
            <w:pPr>
              <w:spacing w:before="100" w:after="80" w:line="240" w:lineRule="atLeast"/>
              <w:rPr>
                <w:rFonts w:cs="Arial"/>
                <w:sz w:val="18"/>
                <w:szCs w:val="18"/>
              </w:rPr>
            </w:pPr>
            <w:r w:rsidRPr="004B4203">
              <w:rPr>
                <w:rFonts w:cs="Arial"/>
                <w:sz w:val="18"/>
                <w:szCs w:val="18"/>
              </w:rPr>
              <w:t>(1)</w:t>
            </w:r>
          </w:p>
        </w:tc>
        <w:tc>
          <w:tcPr>
            <w:tcW w:w="3296" w:type="dxa"/>
            <w:shd w:val="clear" w:color="auto" w:fill="auto"/>
          </w:tcPr>
          <w:p w:rsidR="004D56BE" w:rsidRPr="001717EA" w:rsidRDefault="004D56BE" w:rsidP="00A8005B">
            <w:pPr>
              <w:spacing w:before="100" w:after="80" w:line="240" w:lineRule="atLeast"/>
              <w:ind w:left="0" w:firstLine="0"/>
              <w:rPr>
                <w:rFonts w:cs="Arial"/>
                <w:sz w:val="18"/>
                <w:szCs w:val="18"/>
                <w:lang w:val="en-GB"/>
              </w:rPr>
            </w:pPr>
            <w:r w:rsidRPr="001717EA">
              <w:rPr>
                <w:rFonts w:cs="Arial"/>
                <w:sz w:val="18"/>
                <w:szCs w:val="18"/>
                <w:lang w:val="en-GB"/>
              </w:rPr>
              <w:t>Device for disconnecting from the mains</w:t>
            </w:r>
          </w:p>
        </w:tc>
        <w:tc>
          <w:tcPr>
            <w:tcW w:w="6521" w:type="dxa"/>
            <w:shd w:val="clear" w:color="auto" w:fill="auto"/>
          </w:tcPr>
          <w:p w:rsidR="004D56BE" w:rsidRPr="00852DB3" w:rsidRDefault="004D56BE" w:rsidP="00A8005B">
            <w:pPr>
              <w:spacing w:before="100" w:after="80" w:line="240" w:lineRule="atLeast"/>
              <w:rPr>
                <w:rFonts w:cs="Arial"/>
                <w:sz w:val="18"/>
                <w:szCs w:val="18"/>
                <w:lang w:val="en-US"/>
              </w:rPr>
            </w:pPr>
            <w:r w:rsidRPr="004B4203">
              <w:rPr>
                <w:rFonts w:cs="Arial"/>
                <w:sz w:val="18"/>
                <w:szCs w:val="18"/>
                <w:lang w:val="en-US"/>
              </w:rPr>
              <w:t>N.R.C.</w:t>
            </w:r>
          </w:p>
        </w:tc>
        <w:tc>
          <w:tcPr>
            <w:tcW w:w="1276" w:type="dxa"/>
            <w:shd w:val="clear" w:color="auto" w:fill="auto"/>
          </w:tcPr>
          <w:p w:rsidR="004D56BE" w:rsidRPr="00852DB3" w:rsidRDefault="004D56BE" w:rsidP="005B1BE0">
            <w:pPr>
              <w:spacing w:before="100" w:after="80" w:line="240" w:lineRule="atLeast"/>
              <w:jc w:val="center"/>
              <w:rPr>
                <w:rFonts w:cs="Arial"/>
                <w:sz w:val="18"/>
                <w:szCs w:val="18"/>
              </w:rPr>
            </w:pPr>
          </w:p>
        </w:tc>
      </w:tr>
      <w:tr w:rsidR="004D56BE" w:rsidRPr="00C903F8" w:rsidTr="001964F8">
        <w:trPr>
          <w:cantSplit/>
          <w:jc w:val="center"/>
        </w:trPr>
        <w:tc>
          <w:tcPr>
            <w:tcW w:w="1342" w:type="dxa"/>
            <w:vMerge/>
            <w:shd w:val="clear" w:color="auto" w:fill="auto"/>
          </w:tcPr>
          <w:p w:rsidR="004D56BE" w:rsidRPr="00C903F8" w:rsidRDefault="004D56BE" w:rsidP="00A8005B">
            <w:pPr>
              <w:spacing w:before="100" w:after="8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00" w:after="80" w:line="240" w:lineRule="atLeast"/>
              <w:ind w:left="0" w:firstLine="0"/>
              <w:rPr>
                <w:rFonts w:cs="Arial"/>
                <w:sz w:val="18"/>
                <w:szCs w:val="18"/>
              </w:rPr>
            </w:pPr>
            <w:r w:rsidRPr="004B4203">
              <w:rPr>
                <w:rFonts w:cs="Arial"/>
                <w:sz w:val="18"/>
                <w:szCs w:val="18"/>
              </w:rPr>
              <w:t>(2)</w:t>
            </w:r>
          </w:p>
        </w:tc>
        <w:tc>
          <w:tcPr>
            <w:tcW w:w="3296" w:type="dxa"/>
            <w:shd w:val="clear" w:color="auto" w:fill="auto"/>
          </w:tcPr>
          <w:p w:rsidR="004D56BE" w:rsidRPr="00A54EF9" w:rsidRDefault="004D56BE" w:rsidP="00A8005B">
            <w:pPr>
              <w:spacing w:before="100" w:after="80" w:line="240" w:lineRule="atLeast"/>
              <w:ind w:left="0" w:firstLine="0"/>
              <w:rPr>
                <w:rFonts w:cs="Arial"/>
                <w:sz w:val="18"/>
                <w:szCs w:val="18"/>
                <w:lang w:val="en-GB"/>
              </w:rPr>
            </w:pPr>
            <w:r w:rsidRPr="00A54EF9">
              <w:rPr>
                <w:rFonts w:cs="Arial"/>
                <w:sz w:val="18"/>
                <w:szCs w:val="18"/>
                <w:lang w:val="en-GB"/>
              </w:rPr>
              <w:t>Accessibility</w:t>
            </w:r>
          </w:p>
        </w:tc>
        <w:tc>
          <w:tcPr>
            <w:tcW w:w="6521" w:type="dxa"/>
            <w:shd w:val="clear" w:color="auto" w:fill="auto"/>
          </w:tcPr>
          <w:p w:rsidR="004D56BE" w:rsidRDefault="004D56BE" w:rsidP="00A8005B">
            <w:pPr>
              <w:spacing w:before="10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5B1BE0">
            <w:pPr>
              <w:spacing w:before="100" w:after="80" w:line="240" w:lineRule="atLeast"/>
              <w:ind w:left="0" w:firstLine="0"/>
              <w:jc w:val="center"/>
              <w:rPr>
                <w:rFonts w:cs="Arial"/>
                <w:sz w:val="18"/>
                <w:szCs w:val="18"/>
              </w:rPr>
            </w:pPr>
          </w:p>
        </w:tc>
      </w:tr>
      <w:tr w:rsidR="004D56BE" w:rsidRPr="00C903F8" w:rsidTr="001964F8">
        <w:trPr>
          <w:cantSplit/>
          <w:jc w:val="center"/>
        </w:trPr>
        <w:tc>
          <w:tcPr>
            <w:tcW w:w="1342" w:type="dxa"/>
            <w:vMerge/>
            <w:shd w:val="clear" w:color="auto" w:fill="auto"/>
          </w:tcPr>
          <w:p w:rsidR="004D56BE" w:rsidRPr="00C903F8" w:rsidRDefault="004D56BE" w:rsidP="00A8005B">
            <w:pPr>
              <w:spacing w:before="100" w:after="8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00" w:after="80" w:line="240" w:lineRule="atLeast"/>
              <w:ind w:left="0" w:firstLine="0"/>
              <w:rPr>
                <w:rFonts w:cs="Arial"/>
                <w:sz w:val="18"/>
                <w:szCs w:val="18"/>
              </w:rPr>
            </w:pPr>
            <w:r w:rsidRPr="004B4203">
              <w:rPr>
                <w:rFonts w:cs="Arial"/>
                <w:sz w:val="18"/>
                <w:szCs w:val="18"/>
              </w:rPr>
              <w:t>(3)</w:t>
            </w:r>
          </w:p>
        </w:tc>
        <w:tc>
          <w:tcPr>
            <w:tcW w:w="3296" w:type="dxa"/>
            <w:shd w:val="clear" w:color="auto" w:fill="auto"/>
          </w:tcPr>
          <w:p w:rsidR="004D56BE" w:rsidRPr="00A54EF9" w:rsidRDefault="004D56BE" w:rsidP="00A8005B">
            <w:pPr>
              <w:spacing w:before="100" w:after="80" w:line="240" w:lineRule="atLeast"/>
              <w:ind w:left="0" w:firstLine="0"/>
              <w:rPr>
                <w:rFonts w:cs="Arial"/>
                <w:sz w:val="18"/>
                <w:szCs w:val="18"/>
                <w:lang w:val="en-GB"/>
              </w:rPr>
            </w:pPr>
            <w:r w:rsidRPr="001717EA">
              <w:rPr>
                <w:rFonts w:cs="Arial"/>
                <w:sz w:val="18"/>
                <w:szCs w:val="18"/>
                <w:lang w:val="en-GB"/>
              </w:rPr>
              <w:t>Galvanic separation of control and power circuits</w:t>
            </w:r>
          </w:p>
        </w:tc>
        <w:tc>
          <w:tcPr>
            <w:tcW w:w="6521" w:type="dxa"/>
            <w:shd w:val="clear" w:color="auto" w:fill="auto"/>
          </w:tcPr>
          <w:p w:rsidR="004D56BE" w:rsidRDefault="004D56BE" w:rsidP="00A8005B">
            <w:pPr>
              <w:spacing w:before="10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5B1BE0">
            <w:pPr>
              <w:spacing w:before="100" w:after="80" w:line="240" w:lineRule="atLeast"/>
              <w:ind w:left="0" w:firstLine="0"/>
              <w:jc w:val="center"/>
              <w:rPr>
                <w:rFonts w:cs="Arial"/>
                <w:sz w:val="18"/>
                <w:szCs w:val="18"/>
              </w:rPr>
            </w:pPr>
          </w:p>
        </w:tc>
      </w:tr>
      <w:tr w:rsidR="004D56BE" w:rsidRPr="00C903F8" w:rsidTr="001964F8">
        <w:trPr>
          <w:cantSplit/>
          <w:jc w:val="center"/>
        </w:trPr>
        <w:tc>
          <w:tcPr>
            <w:tcW w:w="1342" w:type="dxa"/>
            <w:vMerge/>
            <w:shd w:val="clear" w:color="auto" w:fill="auto"/>
          </w:tcPr>
          <w:p w:rsidR="004D56BE" w:rsidRPr="00C903F8" w:rsidRDefault="004D56BE" w:rsidP="00A8005B">
            <w:pPr>
              <w:spacing w:before="100" w:after="8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00" w:after="80" w:line="240" w:lineRule="atLeast"/>
              <w:ind w:left="0" w:firstLine="0"/>
              <w:rPr>
                <w:rFonts w:cs="Arial"/>
                <w:sz w:val="18"/>
                <w:szCs w:val="18"/>
              </w:rPr>
            </w:pPr>
            <w:r w:rsidRPr="004B4203">
              <w:rPr>
                <w:rFonts w:cs="Arial"/>
                <w:sz w:val="18"/>
                <w:szCs w:val="18"/>
              </w:rPr>
              <w:t>(4)</w:t>
            </w:r>
          </w:p>
        </w:tc>
        <w:tc>
          <w:tcPr>
            <w:tcW w:w="3296" w:type="dxa"/>
            <w:shd w:val="clear" w:color="auto" w:fill="auto"/>
          </w:tcPr>
          <w:p w:rsidR="004D56BE" w:rsidRPr="00A54EF9" w:rsidRDefault="004D56BE" w:rsidP="00A8005B">
            <w:pPr>
              <w:spacing w:before="100" w:after="80" w:line="240" w:lineRule="atLeast"/>
              <w:ind w:left="0" w:firstLine="0"/>
              <w:rPr>
                <w:rFonts w:cs="Arial"/>
                <w:sz w:val="18"/>
                <w:szCs w:val="18"/>
                <w:lang w:val="en-GB"/>
              </w:rPr>
            </w:pPr>
            <w:r w:rsidRPr="001717EA">
              <w:rPr>
                <w:rFonts w:cs="Arial"/>
                <w:sz w:val="18"/>
                <w:szCs w:val="18"/>
                <w:lang w:val="en-GB"/>
              </w:rPr>
              <w:t>Operating with voltage and frequency variations</w:t>
            </w:r>
          </w:p>
        </w:tc>
        <w:tc>
          <w:tcPr>
            <w:tcW w:w="6521" w:type="dxa"/>
            <w:shd w:val="clear" w:color="auto" w:fill="auto"/>
          </w:tcPr>
          <w:p w:rsidR="004D56BE" w:rsidRDefault="004D56BE" w:rsidP="00A8005B">
            <w:pPr>
              <w:spacing w:before="10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5B1BE0">
            <w:pPr>
              <w:spacing w:before="100" w:after="80" w:line="240" w:lineRule="atLeast"/>
              <w:ind w:left="0" w:firstLine="0"/>
              <w:jc w:val="center"/>
              <w:rPr>
                <w:rFonts w:cs="Arial"/>
                <w:sz w:val="18"/>
                <w:szCs w:val="18"/>
              </w:rPr>
            </w:pPr>
          </w:p>
        </w:tc>
      </w:tr>
      <w:tr w:rsidR="004D56BE" w:rsidRPr="003971A3" w:rsidTr="001964F8">
        <w:trPr>
          <w:cantSplit/>
          <w:jc w:val="center"/>
        </w:trPr>
        <w:tc>
          <w:tcPr>
            <w:tcW w:w="1342" w:type="dxa"/>
            <w:vMerge/>
            <w:shd w:val="clear" w:color="auto" w:fill="auto"/>
          </w:tcPr>
          <w:p w:rsidR="004D56BE" w:rsidRPr="00C903F8" w:rsidRDefault="004D56BE" w:rsidP="00A8005B">
            <w:pPr>
              <w:spacing w:before="100" w:after="8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00" w:after="80" w:line="240" w:lineRule="atLeast"/>
              <w:ind w:left="0" w:firstLine="0"/>
              <w:rPr>
                <w:rFonts w:cs="Arial"/>
                <w:sz w:val="18"/>
                <w:szCs w:val="18"/>
              </w:rPr>
            </w:pPr>
            <w:r w:rsidRPr="004B4203">
              <w:rPr>
                <w:rFonts w:cs="Arial"/>
                <w:sz w:val="18"/>
                <w:szCs w:val="18"/>
              </w:rPr>
              <w:t>(5)</w:t>
            </w:r>
          </w:p>
        </w:tc>
        <w:tc>
          <w:tcPr>
            <w:tcW w:w="3296" w:type="dxa"/>
            <w:shd w:val="clear" w:color="auto" w:fill="auto"/>
          </w:tcPr>
          <w:p w:rsidR="004D56BE" w:rsidRPr="00A54EF9" w:rsidRDefault="004D56BE" w:rsidP="00A8005B">
            <w:pPr>
              <w:spacing w:before="100" w:after="80" w:line="240" w:lineRule="atLeast"/>
              <w:ind w:left="0" w:firstLine="0"/>
              <w:rPr>
                <w:rFonts w:cs="Arial"/>
                <w:sz w:val="18"/>
                <w:szCs w:val="18"/>
                <w:lang w:val="en-GB"/>
              </w:rPr>
            </w:pPr>
            <w:r w:rsidRPr="001717EA">
              <w:rPr>
                <w:rFonts w:cs="Arial"/>
                <w:sz w:val="18"/>
                <w:szCs w:val="18"/>
                <w:lang w:val="en-GB"/>
              </w:rPr>
              <w:t>Discharge time when disconnected from mains</w:t>
            </w:r>
          </w:p>
        </w:tc>
        <w:tc>
          <w:tcPr>
            <w:tcW w:w="6521" w:type="dxa"/>
            <w:shd w:val="clear" w:color="auto" w:fill="auto"/>
          </w:tcPr>
          <w:p w:rsidR="004D56BE" w:rsidRDefault="004D56BE" w:rsidP="00A8005B">
            <w:pPr>
              <w:spacing w:before="10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A54EF9" w:rsidRDefault="004D56BE" w:rsidP="00A8005B">
            <w:pPr>
              <w:spacing w:before="100" w:after="80" w:line="240" w:lineRule="atLeast"/>
              <w:ind w:left="0" w:firstLine="0"/>
              <w:jc w:val="center"/>
              <w:rPr>
                <w:rFonts w:cs="Arial"/>
                <w:sz w:val="18"/>
                <w:szCs w:val="18"/>
                <w:lang w:val="en-GB"/>
              </w:rPr>
            </w:pPr>
          </w:p>
        </w:tc>
      </w:tr>
      <w:tr w:rsidR="004D56BE" w:rsidRPr="00C903F8" w:rsidTr="001964F8">
        <w:trPr>
          <w:cantSplit/>
          <w:jc w:val="center"/>
        </w:trPr>
        <w:tc>
          <w:tcPr>
            <w:tcW w:w="1342" w:type="dxa"/>
            <w:vMerge/>
            <w:shd w:val="clear" w:color="auto" w:fill="auto"/>
          </w:tcPr>
          <w:p w:rsidR="004D56BE" w:rsidRPr="00A54EF9" w:rsidRDefault="004D56BE" w:rsidP="00A8005B">
            <w:pPr>
              <w:spacing w:before="100" w:after="80" w:line="240" w:lineRule="atLeast"/>
              <w:ind w:left="0" w:firstLine="0"/>
              <w:rPr>
                <w:rFonts w:cs="Arial"/>
                <w:sz w:val="18"/>
                <w:szCs w:val="18"/>
                <w:lang w:val="en-GB"/>
              </w:rPr>
            </w:pPr>
          </w:p>
        </w:tc>
        <w:tc>
          <w:tcPr>
            <w:tcW w:w="1458" w:type="dxa"/>
            <w:shd w:val="clear" w:color="auto" w:fill="auto"/>
          </w:tcPr>
          <w:p w:rsidR="004D56BE" w:rsidRPr="00C903F8" w:rsidRDefault="004D56BE" w:rsidP="00A8005B">
            <w:pPr>
              <w:spacing w:before="100" w:after="80" w:line="240" w:lineRule="atLeast"/>
              <w:ind w:left="0" w:firstLine="0"/>
              <w:rPr>
                <w:rFonts w:cs="Arial"/>
                <w:sz w:val="18"/>
                <w:szCs w:val="18"/>
              </w:rPr>
            </w:pPr>
            <w:r w:rsidRPr="004B4203">
              <w:rPr>
                <w:rFonts w:cs="Arial"/>
                <w:sz w:val="18"/>
                <w:szCs w:val="18"/>
              </w:rPr>
              <w:t>(6)</w:t>
            </w:r>
          </w:p>
        </w:tc>
        <w:tc>
          <w:tcPr>
            <w:tcW w:w="3296" w:type="dxa"/>
            <w:shd w:val="clear" w:color="auto" w:fill="auto"/>
          </w:tcPr>
          <w:p w:rsidR="004D56BE" w:rsidRPr="00A54EF9" w:rsidRDefault="004D56BE" w:rsidP="00A8005B">
            <w:pPr>
              <w:spacing w:before="100" w:after="80" w:line="240" w:lineRule="atLeast"/>
              <w:ind w:left="0" w:firstLine="0"/>
              <w:rPr>
                <w:rFonts w:cs="Arial"/>
                <w:sz w:val="18"/>
                <w:szCs w:val="18"/>
                <w:lang w:val="en-GB"/>
              </w:rPr>
            </w:pPr>
            <w:r w:rsidRPr="001717EA">
              <w:rPr>
                <w:rFonts w:cs="Arial"/>
                <w:sz w:val="18"/>
                <w:szCs w:val="18"/>
                <w:lang w:val="en-GB"/>
              </w:rPr>
              <w:t>Response upon failure of external control signals</w:t>
            </w:r>
          </w:p>
        </w:tc>
        <w:tc>
          <w:tcPr>
            <w:tcW w:w="6521" w:type="dxa"/>
            <w:shd w:val="clear" w:color="auto" w:fill="auto"/>
          </w:tcPr>
          <w:p w:rsidR="004D56BE" w:rsidRDefault="004D56BE" w:rsidP="00A8005B">
            <w:pPr>
              <w:spacing w:before="10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5B1BE0">
            <w:pPr>
              <w:spacing w:before="100" w:after="80" w:line="240" w:lineRule="atLeast"/>
              <w:ind w:left="0" w:firstLine="0"/>
              <w:jc w:val="center"/>
              <w:rPr>
                <w:rFonts w:cs="Arial"/>
                <w:sz w:val="18"/>
                <w:szCs w:val="18"/>
              </w:rPr>
            </w:pPr>
          </w:p>
        </w:tc>
      </w:tr>
      <w:tr w:rsidR="004D56BE" w:rsidRPr="00C903F8" w:rsidTr="001964F8">
        <w:trPr>
          <w:cantSplit/>
          <w:jc w:val="center"/>
        </w:trPr>
        <w:tc>
          <w:tcPr>
            <w:tcW w:w="1342" w:type="dxa"/>
            <w:vMerge/>
            <w:shd w:val="clear" w:color="auto" w:fill="auto"/>
          </w:tcPr>
          <w:p w:rsidR="004D56BE" w:rsidRPr="00C903F8" w:rsidRDefault="004D56BE" w:rsidP="00A8005B">
            <w:pPr>
              <w:spacing w:before="100" w:after="8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00" w:after="80" w:line="240" w:lineRule="atLeast"/>
              <w:ind w:left="0" w:firstLine="0"/>
              <w:rPr>
                <w:rFonts w:cs="Arial"/>
                <w:sz w:val="18"/>
                <w:szCs w:val="18"/>
              </w:rPr>
            </w:pPr>
            <w:r w:rsidRPr="004B4203">
              <w:rPr>
                <w:rFonts w:cs="Arial"/>
                <w:sz w:val="18"/>
                <w:szCs w:val="18"/>
              </w:rPr>
              <w:t>(7)</w:t>
            </w:r>
          </w:p>
        </w:tc>
        <w:tc>
          <w:tcPr>
            <w:tcW w:w="3296" w:type="dxa"/>
            <w:shd w:val="clear" w:color="auto" w:fill="auto"/>
          </w:tcPr>
          <w:p w:rsidR="004D56BE" w:rsidRPr="00A54EF9" w:rsidRDefault="004D56BE" w:rsidP="00A8005B">
            <w:pPr>
              <w:spacing w:before="100" w:after="80" w:line="240" w:lineRule="atLeast"/>
              <w:ind w:left="0" w:firstLine="0"/>
              <w:rPr>
                <w:rFonts w:cs="Arial"/>
                <w:sz w:val="18"/>
                <w:szCs w:val="18"/>
                <w:lang w:val="en-GB"/>
              </w:rPr>
            </w:pPr>
            <w:r w:rsidRPr="001717EA">
              <w:rPr>
                <w:rFonts w:cs="Arial"/>
                <w:sz w:val="18"/>
                <w:szCs w:val="18"/>
                <w:lang w:val="en-GB"/>
              </w:rPr>
              <w:t>Response upon failure of control voltages</w:t>
            </w:r>
          </w:p>
        </w:tc>
        <w:tc>
          <w:tcPr>
            <w:tcW w:w="6521" w:type="dxa"/>
            <w:shd w:val="clear" w:color="auto" w:fill="auto"/>
          </w:tcPr>
          <w:p w:rsidR="004D56BE" w:rsidRDefault="004D56BE" w:rsidP="00A8005B">
            <w:pPr>
              <w:spacing w:before="10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5B1BE0">
            <w:pPr>
              <w:spacing w:before="100" w:after="80" w:line="240" w:lineRule="atLeast"/>
              <w:ind w:left="0" w:firstLine="0"/>
              <w:jc w:val="center"/>
              <w:rPr>
                <w:rFonts w:cs="Arial"/>
                <w:sz w:val="18"/>
                <w:szCs w:val="18"/>
              </w:rPr>
            </w:pPr>
          </w:p>
        </w:tc>
      </w:tr>
      <w:tr w:rsidR="004D56BE" w:rsidRPr="00C903F8" w:rsidTr="001964F8">
        <w:trPr>
          <w:cantSplit/>
          <w:jc w:val="center"/>
        </w:trPr>
        <w:tc>
          <w:tcPr>
            <w:tcW w:w="1342" w:type="dxa"/>
            <w:vMerge/>
            <w:shd w:val="clear" w:color="auto" w:fill="auto"/>
          </w:tcPr>
          <w:p w:rsidR="004D56BE" w:rsidRPr="00C903F8" w:rsidRDefault="004D56BE" w:rsidP="00A8005B">
            <w:pPr>
              <w:spacing w:before="100" w:after="8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00" w:after="80" w:line="240" w:lineRule="atLeast"/>
              <w:ind w:left="0" w:firstLine="0"/>
              <w:rPr>
                <w:rFonts w:cs="Arial"/>
                <w:sz w:val="18"/>
                <w:szCs w:val="18"/>
              </w:rPr>
            </w:pPr>
            <w:r w:rsidRPr="004B4203">
              <w:rPr>
                <w:rFonts w:cs="Arial"/>
                <w:sz w:val="18"/>
                <w:szCs w:val="18"/>
              </w:rPr>
              <w:t>(8)</w:t>
            </w:r>
          </w:p>
        </w:tc>
        <w:tc>
          <w:tcPr>
            <w:tcW w:w="3296" w:type="dxa"/>
            <w:shd w:val="clear" w:color="auto" w:fill="auto"/>
          </w:tcPr>
          <w:p w:rsidR="004D56BE" w:rsidRPr="00A54EF9" w:rsidRDefault="004D56BE" w:rsidP="00A8005B">
            <w:pPr>
              <w:spacing w:before="100" w:after="80" w:line="240" w:lineRule="atLeast"/>
              <w:ind w:left="0" w:firstLine="0"/>
              <w:rPr>
                <w:rFonts w:cs="Arial"/>
                <w:sz w:val="18"/>
                <w:szCs w:val="18"/>
                <w:lang w:val="en-GB"/>
              </w:rPr>
            </w:pPr>
            <w:r w:rsidRPr="001717EA">
              <w:rPr>
                <w:rFonts w:cs="Arial"/>
                <w:sz w:val="18"/>
                <w:szCs w:val="18"/>
                <w:lang w:val="en-GB"/>
              </w:rPr>
              <w:t xml:space="preserve">Error detection and prevention of </w:t>
            </w:r>
            <w:r>
              <w:rPr>
                <w:rFonts w:cs="Arial"/>
                <w:sz w:val="18"/>
                <w:szCs w:val="18"/>
                <w:lang w:val="en-GB"/>
              </w:rPr>
              <w:t>undetected errors</w:t>
            </w:r>
          </w:p>
        </w:tc>
        <w:tc>
          <w:tcPr>
            <w:tcW w:w="6521" w:type="dxa"/>
            <w:shd w:val="clear" w:color="auto" w:fill="auto"/>
          </w:tcPr>
          <w:p w:rsidR="004D56BE" w:rsidRDefault="004D56BE" w:rsidP="00A8005B">
            <w:pPr>
              <w:spacing w:before="10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5B1BE0">
            <w:pPr>
              <w:spacing w:before="100" w:after="80" w:line="240" w:lineRule="atLeast"/>
              <w:ind w:left="0" w:firstLine="0"/>
              <w:jc w:val="center"/>
              <w:rPr>
                <w:rFonts w:cs="Arial"/>
                <w:sz w:val="18"/>
                <w:szCs w:val="18"/>
              </w:rPr>
            </w:pPr>
          </w:p>
        </w:tc>
      </w:tr>
      <w:tr w:rsidR="004D56BE" w:rsidRPr="00C903F8" w:rsidTr="001964F8">
        <w:trPr>
          <w:cantSplit/>
          <w:jc w:val="center"/>
        </w:trPr>
        <w:tc>
          <w:tcPr>
            <w:tcW w:w="1342" w:type="dxa"/>
            <w:vMerge/>
            <w:shd w:val="clear" w:color="auto" w:fill="auto"/>
          </w:tcPr>
          <w:p w:rsidR="004D56BE" w:rsidRPr="00C903F8" w:rsidRDefault="004D56BE" w:rsidP="00A8005B">
            <w:pPr>
              <w:spacing w:before="100" w:after="8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00" w:after="80" w:line="240" w:lineRule="atLeast"/>
              <w:ind w:left="0" w:firstLine="0"/>
              <w:rPr>
                <w:rFonts w:cs="Arial"/>
                <w:sz w:val="18"/>
                <w:szCs w:val="18"/>
              </w:rPr>
            </w:pPr>
            <w:r w:rsidRPr="004B4203">
              <w:rPr>
                <w:rFonts w:cs="Arial"/>
                <w:sz w:val="18"/>
                <w:szCs w:val="18"/>
              </w:rPr>
              <w:t>(9)</w:t>
            </w:r>
          </w:p>
        </w:tc>
        <w:tc>
          <w:tcPr>
            <w:tcW w:w="3296" w:type="dxa"/>
            <w:shd w:val="clear" w:color="auto" w:fill="auto"/>
          </w:tcPr>
          <w:p w:rsidR="004D56BE" w:rsidRPr="00A54EF9" w:rsidRDefault="004D56BE" w:rsidP="00A8005B">
            <w:pPr>
              <w:spacing w:before="100" w:after="80" w:line="240" w:lineRule="atLeast"/>
              <w:ind w:left="0" w:firstLine="0"/>
              <w:rPr>
                <w:rFonts w:cs="Arial"/>
                <w:sz w:val="18"/>
                <w:szCs w:val="18"/>
                <w:lang w:val="en-GB"/>
              </w:rPr>
            </w:pPr>
            <w:r w:rsidRPr="00A54EF9">
              <w:rPr>
                <w:rFonts w:cs="Arial"/>
                <w:sz w:val="18"/>
                <w:szCs w:val="18"/>
                <w:lang w:val="en-GB"/>
              </w:rPr>
              <w:t>Monitoring</w:t>
            </w:r>
          </w:p>
        </w:tc>
        <w:tc>
          <w:tcPr>
            <w:tcW w:w="6521" w:type="dxa"/>
            <w:shd w:val="clear" w:color="auto" w:fill="auto"/>
          </w:tcPr>
          <w:p w:rsidR="004D56BE" w:rsidRDefault="004D56BE" w:rsidP="00A8005B">
            <w:pPr>
              <w:spacing w:before="100" w:after="8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A8005B">
            <w:pPr>
              <w:spacing w:before="100" w:after="80" w:line="240" w:lineRule="atLeast"/>
              <w:ind w:left="0" w:firstLine="0"/>
              <w:jc w:val="center"/>
              <w:rPr>
                <w:rFonts w:cs="Arial"/>
                <w:sz w:val="18"/>
                <w:szCs w:val="18"/>
              </w:rPr>
            </w:pPr>
          </w:p>
        </w:tc>
      </w:tr>
      <w:tr w:rsidR="004D56BE" w:rsidRPr="00C903F8" w:rsidTr="001964F8">
        <w:trPr>
          <w:cantSplit/>
          <w:jc w:val="center"/>
        </w:trPr>
        <w:tc>
          <w:tcPr>
            <w:tcW w:w="1342" w:type="dxa"/>
            <w:vMerge/>
            <w:shd w:val="clear" w:color="auto" w:fill="auto"/>
          </w:tcPr>
          <w:p w:rsidR="004D56BE" w:rsidRPr="00C903F8" w:rsidRDefault="004D56BE" w:rsidP="005B1BE0">
            <w:pPr>
              <w:spacing w:before="140" w:after="120" w:line="240" w:lineRule="atLeast"/>
              <w:ind w:left="0" w:firstLine="0"/>
              <w:rPr>
                <w:rFonts w:cs="Arial"/>
                <w:sz w:val="18"/>
                <w:szCs w:val="18"/>
              </w:rPr>
            </w:pPr>
          </w:p>
        </w:tc>
        <w:tc>
          <w:tcPr>
            <w:tcW w:w="1458" w:type="dxa"/>
            <w:shd w:val="clear" w:color="auto" w:fill="auto"/>
          </w:tcPr>
          <w:p w:rsidR="004D56BE" w:rsidRPr="00C903F8" w:rsidRDefault="004D56BE" w:rsidP="005B1BE0">
            <w:pPr>
              <w:spacing w:before="140" w:after="120" w:line="240" w:lineRule="atLeast"/>
              <w:ind w:left="0" w:firstLine="0"/>
              <w:rPr>
                <w:rFonts w:cs="Arial"/>
                <w:sz w:val="18"/>
                <w:szCs w:val="18"/>
              </w:rPr>
            </w:pPr>
            <w:r w:rsidRPr="004B4203">
              <w:rPr>
                <w:rFonts w:cs="Arial"/>
                <w:sz w:val="18"/>
                <w:szCs w:val="18"/>
              </w:rPr>
              <w:t>(10)</w:t>
            </w:r>
          </w:p>
        </w:tc>
        <w:tc>
          <w:tcPr>
            <w:tcW w:w="3296" w:type="dxa"/>
            <w:shd w:val="clear" w:color="auto" w:fill="auto"/>
          </w:tcPr>
          <w:p w:rsidR="004D56BE" w:rsidRPr="00A54EF9" w:rsidRDefault="004D56BE" w:rsidP="005B1BE0">
            <w:pPr>
              <w:spacing w:before="140" w:after="120" w:line="240" w:lineRule="atLeast"/>
              <w:ind w:left="0" w:firstLine="0"/>
              <w:rPr>
                <w:rFonts w:cs="Arial"/>
                <w:sz w:val="18"/>
                <w:szCs w:val="18"/>
                <w:lang w:val="en-GB"/>
              </w:rPr>
            </w:pPr>
            <w:r w:rsidRPr="00A54EF9">
              <w:rPr>
                <w:rFonts w:cs="Arial"/>
                <w:sz w:val="18"/>
                <w:szCs w:val="18"/>
                <w:lang w:val="en-GB"/>
              </w:rPr>
              <w:t>Type examination</w:t>
            </w:r>
          </w:p>
        </w:tc>
        <w:tc>
          <w:tcPr>
            <w:tcW w:w="6521" w:type="dxa"/>
            <w:shd w:val="clear" w:color="auto" w:fill="auto"/>
          </w:tcPr>
          <w:p w:rsidR="004D56BE" w:rsidRDefault="004D56BE" w:rsidP="005B1BE0">
            <w:pPr>
              <w:spacing w:before="140" w:after="120" w:line="240" w:lineRule="atLeast"/>
              <w:ind w:left="0" w:firstLine="0"/>
              <w:rPr>
                <w:rFonts w:cs="Arial"/>
                <w:sz w:val="18"/>
                <w:szCs w:val="18"/>
                <w:lang w:val="en-US"/>
              </w:rPr>
            </w:pPr>
            <w:r w:rsidRPr="004B4203">
              <w:rPr>
                <w:rFonts w:cs="Arial"/>
                <w:sz w:val="18"/>
                <w:szCs w:val="18"/>
                <w:lang w:val="en-US"/>
              </w:rPr>
              <w:t>N.R.C.</w:t>
            </w:r>
          </w:p>
        </w:tc>
        <w:tc>
          <w:tcPr>
            <w:tcW w:w="1276" w:type="dxa"/>
            <w:shd w:val="clear" w:color="auto" w:fill="auto"/>
          </w:tcPr>
          <w:p w:rsidR="004D56BE" w:rsidRPr="00C903F8" w:rsidRDefault="004D56BE" w:rsidP="005B1BE0">
            <w:pPr>
              <w:spacing w:before="140" w:after="120" w:line="240" w:lineRule="atLeast"/>
              <w:ind w:left="0" w:firstLine="0"/>
              <w:jc w:val="center"/>
              <w:rPr>
                <w:rFonts w:cs="Arial"/>
                <w:sz w:val="18"/>
                <w:szCs w:val="18"/>
              </w:rPr>
            </w:pPr>
          </w:p>
        </w:tc>
      </w:tr>
      <w:tr w:rsidR="004D56BE" w:rsidRPr="00C903F8" w:rsidTr="001964F8">
        <w:trPr>
          <w:cantSplit/>
          <w:jc w:val="center"/>
        </w:trPr>
        <w:tc>
          <w:tcPr>
            <w:tcW w:w="1342" w:type="dxa"/>
            <w:shd w:val="clear" w:color="auto" w:fill="auto"/>
          </w:tcPr>
          <w:p w:rsidR="004D56BE" w:rsidRPr="004B4203" w:rsidRDefault="004D56BE" w:rsidP="00A8005B">
            <w:pPr>
              <w:spacing w:before="100" w:after="100" w:line="240" w:lineRule="atLeast"/>
              <w:rPr>
                <w:rFonts w:cs="Arial"/>
                <w:sz w:val="18"/>
                <w:szCs w:val="18"/>
                <w:lang w:val="en-GB" w:eastAsia="de-DE"/>
              </w:rPr>
            </w:pPr>
            <w:r w:rsidRPr="008F6ABB">
              <w:rPr>
                <w:rFonts w:cs="Arial"/>
                <w:sz w:val="18"/>
                <w:szCs w:val="18"/>
                <w:lang w:val="en-GB" w:eastAsia="de-DE"/>
              </w:rPr>
              <w:t>10.19</w:t>
            </w:r>
          </w:p>
        </w:tc>
        <w:tc>
          <w:tcPr>
            <w:tcW w:w="1458" w:type="dxa"/>
            <w:shd w:val="clear" w:color="auto" w:fill="auto"/>
          </w:tcPr>
          <w:p w:rsidR="004D56BE" w:rsidRPr="00852DB3" w:rsidRDefault="004D56BE" w:rsidP="00A8005B">
            <w:pPr>
              <w:spacing w:before="100" w:after="100" w:line="240" w:lineRule="atLeast"/>
              <w:rPr>
                <w:rFonts w:cs="Arial"/>
                <w:sz w:val="18"/>
                <w:szCs w:val="18"/>
              </w:rPr>
            </w:pPr>
          </w:p>
        </w:tc>
        <w:tc>
          <w:tcPr>
            <w:tcW w:w="3296" w:type="dxa"/>
            <w:shd w:val="clear" w:color="auto" w:fill="auto"/>
          </w:tcPr>
          <w:p w:rsidR="004D56BE" w:rsidRPr="001717EA" w:rsidRDefault="004D56BE" w:rsidP="00A8005B">
            <w:pPr>
              <w:spacing w:before="100" w:after="100" w:line="240" w:lineRule="atLeast"/>
              <w:ind w:left="0" w:firstLine="0"/>
              <w:rPr>
                <w:rFonts w:cs="Arial"/>
                <w:sz w:val="18"/>
                <w:szCs w:val="18"/>
                <w:lang w:val="en-GB"/>
              </w:rPr>
            </w:pPr>
            <w:r w:rsidRPr="001717EA">
              <w:rPr>
                <w:rFonts w:cs="Arial"/>
                <w:sz w:val="18"/>
                <w:szCs w:val="18"/>
                <w:lang w:val="en-GB"/>
              </w:rPr>
              <w:t xml:space="preserve">Alarm and safety systems for mechanical installations </w:t>
            </w:r>
          </w:p>
        </w:tc>
        <w:tc>
          <w:tcPr>
            <w:tcW w:w="6521" w:type="dxa"/>
            <w:shd w:val="clear" w:color="auto" w:fill="auto"/>
          </w:tcPr>
          <w:p w:rsidR="004D56BE" w:rsidRPr="00852DB3" w:rsidRDefault="004D56BE" w:rsidP="00A8005B">
            <w:pPr>
              <w:spacing w:before="100" w:after="10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4D56BE" w:rsidRPr="00852DB3" w:rsidRDefault="004D56BE" w:rsidP="00A8005B">
            <w:pPr>
              <w:spacing w:before="100" w:after="100" w:line="240" w:lineRule="atLeast"/>
              <w:jc w:val="center"/>
              <w:rPr>
                <w:rFonts w:cs="Arial"/>
                <w:sz w:val="18"/>
                <w:szCs w:val="18"/>
              </w:rPr>
            </w:pPr>
            <w:r w:rsidRPr="004B4203">
              <w:rPr>
                <w:rFonts w:cs="Arial"/>
                <w:sz w:val="18"/>
                <w:szCs w:val="18"/>
              </w:rPr>
              <w:t>1.1.2015</w:t>
            </w:r>
          </w:p>
        </w:tc>
      </w:tr>
      <w:tr w:rsidR="004D56BE" w:rsidRPr="00C903F8" w:rsidTr="001964F8">
        <w:trPr>
          <w:cantSplit/>
          <w:jc w:val="center"/>
        </w:trPr>
        <w:tc>
          <w:tcPr>
            <w:tcW w:w="1342" w:type="dxa"/>
            <w:shd w:val="clear" w:color="auto" w:fill="auto"/>
          </w:tcPr>
          <w:p w:rsidR="004D56BE" w:rsidRPr="004B4203" w:rsidRDefault="004D56BE" w:rsidP="00A8005B">
            <w:pPr>
              <w:spacing w:before="100" w:after="100" w:line="240" w:lineRule="atLeast"/>
              <w:rPr>
                <w:rFonts w:cs="Arial"/>
                <w:sz w:val="18"/>
                <w:szCs w:val="18"/>
                <w:lang w:val="en-GB" w:eastAsia="de-DE"/>
              </w:rPr>
            </w:pPr>
            <w:r w:rsidRPr="008F6ABB">
              <w:rPr>
                <w:rFonts w:cs="Arial"/>
                <w:sz w:val="18"/>
                <w:szCs w:val="18"/>
                <w:lang w:val="en-GB" w:eastAsia="de-DE"/>
              </w:rPr>
              <w:t>10.20</w:t>
            </w:r>
          </w:p>
        </w:tc>
        <w:tc>
          <w:tcPr>
            <w:tcW w:w="1458" w:type="dxa"/>
            <w:shd w:val="clear" w:color="auto" w:fill="auto"/>
          </w:tcPr>
          <w:p w:rsidR="004D56BE" w:rsidRPr="00852DB3" w:rsidRDefault="004D56BE" w:rsidP="00A8005B">
            <w:pPr>
              <w:spacing w:before="100" w:after="100" w:line="240" w:lineRule="atLeast"/>
              <w:rPr>
                <w:rFonts w:cs="Arial"/>
                <w:sz w:val="18"/>
                <w:szCs w:val="18"/>
              </w:rPr>
            </w:pPr>
          </w:p>
        </w:tc>
        <w:tc>
          <w:tcPr>
            <w:tcW w:w="3296" w:type="dxa"/>
            <w:shd w:val="clear" w:color="auto" w:fill="auto"/>
          </w:tcPr>
          <w:p w:rsidR="004D56BE" w:rsidRPr="001717EA" w:rsidRDefault="004D56BE" w:rsidP="00A8005B">
            <w:pPr>
              <w:spacing w:before="100" w:after="100" w:line="240" w:lineRule="atLeast"/>
              <w:ind w:left="0" w:firstLine="0"/>
              <w:rPr>
                <w:rFonts w:cs="Arial"/>
                <w:sz w:val="18"/>
                <w:szCs w:val="18"/>
                <w:lang w:val="en-GB"/>
              </w:rPr>
            </w:pPr>
            <w:r w:rsidRPr="001717EA">
              <w:rPr>
                <w:rFonts w:cs="Arial"/>
                <w:sz w:val="18"/>
                <w:szCs w:val="18"/>
                <w:lang w:val="en-GB"/>
              </w:rPr>
              <w:t>Test conditions for electronic installations</w:t>
            </w:r>
          </w:p>
        </w:tc>
        <w:tc>
          <w:tcPr>
            <w:tcW w:w="6521" w:type="dxa"/>
            <w:shd w:val="clear" w:color="auto" w:fill="auto"/>
          </w:tcPr>
          <w:p w:rsidR="004D56BE" w:rsidRPr="00852DB3" w:rsidRDefault="004D56BE" w:rsidP="00A8005B">
            <w:pPr>
              <w:spacing w:before="100" w:after="100" w:line="240" w:lineRule="atLeast"/>
              <w:rPr>
                <w:rFonts w:cs="Arial"/>
                <w:sz w:val="18"/>
                <w:szCs w:val="18"/>
                <w:lang w:val="en-US"/>
              </w:rPr>
            </w:pPr>
            <w:r w:rsidRPr="004B4203">
              <w:rPr>
                <w:rFonts w:cs="Arial"/>
                <w:sz w:val="18"/>
                <w:szCs w:val="18"/>
                <w:lang w:val="en-US"/>
              </w:rPr>
              <w:t xml:space="preserve">N.R.C., at the latest on renewal of the inland navigation vessel certificate after </w:t>
            </w:r>
          </w:p>
        </w:tc>
        <w:tc>
          <w:tcPr>
            <w:tcW w:w="1276" w:type="dxa"/>
            <w:shd w:val="clear" w:color="auto" w:fill="auto"/>
          </w:tcPr>
          <w:p w:rsidR="004D56BE" w:rsidRPr="00852DB3" w:rsidRDefault="004D56BE" w:rsidP="00A8005B">
            <w:pPr>
              <w:spacing w:before="100" w:after="100" w:line="240" w:lineRule="atLeast"/>
              <w:jc w:val="center"/>
              <w:rPr>
                <w:rFonts w:cs="Arial"/>
                <w:sz w:val="18"/>
                <w:szCs w:val="18"/>
              </w:rPr>
            </w:pPr>
            <w:r w:rsidRPr="004B4203">
              <w:rPr>
                <w:rFonts w:cs="Arial"/>
                <w:sz w:val="18"/>
                <w:szCs w:val="18"/>
              </w:rPr>
              <w:t>1.1.2035</w:t>
            </w:r>
          </w:p>
        </w:tc>
      </w:tr>
      <w:tr w:rsidR="004D56BE" w:rsidRPr="00C903F8" w:rsidTr="001964F8">
        <w:trPr>
          <w:cantSplit/>
          <w:jc w:val="center"/>
        </w:trPr>
        <w:tc>
          <w:tcPr>
            <w:tcW w:w="1342" w:type="dxa"/>
            <w:shd w:val="clear" w:color="auto" w:fill="auto"/>
          </w:tcPr>
          <w:p w:rsidR="004D56BE" w:rsidRPr="004B4203" w:rsidRDefault="004D56BE" w:rsidP="00A8005B">
            <w:pPr>
              <w:spacing w:before="100" w:after="100" w:line="240" w:lineRule="atLeast"/>
              <w:rPr>
                <w:rFonts w:cs="Arial"/>
                <w:sz w:val="18"/>
                <w:szCs w:val="18"/>
                <w:lang w:val="en-GB" w:eastAsia="de-DE"/>
              </w:rPr>
            </w:pPr>
            <w:r w:rsidRPr="008F6ABB">
              <w:rPr>
                <w:rFonts w:cs="Arial"/>
                <w:sz w:val="18"/>
                <w:szCs w:val="18"/>
                <w:lang w:val="en-GB" w:eastAsia="de-DE"/>
              </w:rPr>
              <w:t>10.21</w:t>
            </w:r>
          </w:p>
        </w:tc>
        <w:tc>
          <w:tcPr>
            <w:tcW w:w="1458" w:type="dxa"/>
            <w:shd w:val="clear" w:color="auto" w:fill="auto"/>
          </w:tcPr>
          <w:p w:rsidR="004D56BE" w:rsidRPr="00852DB3" w:rsidRDefault="004D56BE" w:rsidP="00A8005B">
            <w:pPr>
              <w:spacing w:before="100" w:after="100" w:line="240" w:lineRule="atLeast"/>
              <w:rPr>
                <w:rFonts w:cs="Arial"/>
                <w:sz w:val="18"/>
                <w:szCs w:val="18"/>
              </w:rPr>
            </w:pPr>
          </w:p>
        </w:tc>
        <w:tc>
          <w:tcPr>
            <w:tcW w:w="3296" w:type="dxa"/>
            <w:shd w:val="clear" w:color="auto" w:fill="auto"/>
          </w:tcPr>
          <w:p w:rsidR="004D56BE" w:rsidRPr="00A54EF9" w:rsidRDefault="004D56BE" w:rsidP="00A8005B">
            <w:pPr>
              <w:spacing w:before="100" w:after="100" w:line="240" w:lineRule="atLeast"/>
              <w:ind w:left="0" w:firstLine="0"/>
              <w:rPr>
                <w:rFonts w:cs="Arial"/>
                <w:sz w:val="18"/>
                <w:szCs w:val="18"/>
                <w:lang w:val="en-GB"/>
              </w:rPr>
            </w:pPr>
            <w:r w:rsidRPr="00A54EF9">
              <w:rPr>
                <w:rFonts w:cs="Arial"/>
                <w:sz w:val="18"/>
                <w:szCs w:val="18"/>
                <w:lang w:val="en-GB"/>
              </w:rPr>
              <w:t>Electromagnetic compatibility</w:t>
            </w:r>
          </w:p>
        </w:tc>
        <w:tc>
          <w:tcPr>
            <w:tcW w:w="6521" w:type="dxa"/>
            <w:shd w:val="clear" w:color="auto" w:fill="auto"/>
          </w:tcPr>
          <w:p w:rsidR="004D56BE" w:rsidRPr="00852DB3" w:rsidRDefault="004D56BE" w:rsidP="00A8005B">
            <w:pPr>
              <w:spacing w:before="100" w:after="100" w:line="240" w:lineRule="atLeast"/>
              <w:rPr>
                <w:rFonts w:cs="Arial"/>
                <w:sz w:val="18"/>
                <w:szCs w:val="18"/>
                <w:lang w:val="en-US"/>
              </w:rPr>
            </w:pPr>
            <w:r w:rsidRPr="004B4203">
              <w:rPr>
                <w:rFonts w:cs="Arial"/>
                <w:sz w:val="18"/>
                <w:szCs w:val="18"/>
                <w:lang w:val="en-US"/>
              </w:rPr>
              <w:t>N.R.C., at the latest on renewal of the inland navigation vessel certificate after</w:t>
            </w:r>
          </w:p>
        </w:tc>
        <w:tc>
          <w:tcPr>
            <w:tcW w:w="1276" w:type="dxa"/>
            <w:shd w:val="clear" w:color="auto" w:fill="auto"/>
          </w:tcPr>
          <w:p w:rsidR="004D56BE" w:rsidRPr="00852DB3" w:rsidRDefault="004D56BE" w:rsidP="00A8005B">
            <w:pPr>
              <w:spacing w:before="100" w:after="100" w:line="240" w:lineRule="atLeast"/>
              <w:jc w:val="center"/>
              <w:rPr>
                <w:rFonts w:cs="Arial"/>
                <w:sz w:val="18"/>
                <w:szCs w:val="18"/>
              </w:rPr>
            </w:pPr>
            <w:r w:rsidRPr="004B4203">
              <w:rPr>
                <w:rFonts w:cs="Arial"/>
                <w:sz w:val="18"/>
                <w:szCs w:val="18"/>
              </w:rPr>
              <w:t>1.1.2035</w:t>
            </w:r>
          </w:p>
        </w:tc>
      </w:tr>
      <w:tr w:rsidR="004D56BE" w:rsidRPr="00C903F8" w:rsidTr="001964F8">
        <w:trPr>
          <w:cantSplit/>
          <w:jc w:val="center"/>
        </w:trPr>
        <w:tc>
          <w:tcPr>
            <w:tcW w:w="6096" w:type="dxa"/>
            <w:gridSpan w:val="3"/>
            <w:shd w:val="clear" w:color="auto" w:fill="auto"/>
          </w:tcPr>
          <w:p w:rsidR="004D56BE" w:rsidRPr="00C903F8" w:rsidRDefault="004D56BE" w:rsidP="00A8005B">
            <w:pPr>
              <w:spacing w:before="100" w:after="100" w:line="240" w:lineRule="atLeast"/>
              <w:ind w:left="0" w:firstLine="0"/>
              <w:jc w:val="center"/>
              <w:rPr>
                <w:rFonts w:cs="Arial"/>
                <w:sz w:val="18"/>
                <w:szCs w:val="18"/>
              </w:rPr>
            </w:pPr>
            <w:r w:rsidRPr="00C903F8">
              <w:rPr>
                <w:rFonts w:cs="Arial"/>
                <w:b/>
                <w:sz w:val="18"/>
                <w:szCs w:val="18"/>
              </w:rPr>
              <w:t>CHAPTER 13</w:t>
            </w:r>
          </w:p>
        </w:tc>
        <w:tc>
          <w:tcPr>
            <w:tcW w:w="6521" w:type="dxa"/>
            <w:shd w:val="clear" w:color="auto" w:fill="auto"/>
          </w:tcPr>
          <w:p w:rsidR="004D56BE" w:rsidRPr="00C903F8" w:rsidRDefault="004D56BE" w:rsidP="00A8005B">
            <w:pPr>
              <w:spacing w:before="100" w:after="100" w:line="240" w:lineRule="atLeast"/>
              <w:ind w:left="0" w:firstLine="0"/>
              <w:rPr>
                <w:rFonts w:cs="Arial"/>
                <w:sz w:val="18"/>
                <w:szCs w:val="18"/>
              </w:rPr>
            </w:pPr>
          </w:p>
        </w:tc>
        <w:tc>
          <w:tcPr>
            <w:tcW w:w="1276" w:type="dxa"/>
            <w:shd w:val="clear" w:color="auto" w:fill="auto"/>
          </w:tcPr>
          <w:p w:rsidR="004D56BE" w:rsidRPr="00C903F8" w:rsidRDefault="004D56BE" w:rsidP="00A8005B">
            <w:pPr>
              <w:spacing w:before="100" w:after="100" w:line="240" w:lineRule="atLeast"/>
              <w:ind w:left="0" w:firstLine="0"/>
              <w:rPr>
                <w:rFonts w:cs="Arial"/>
                <w:sz w:val="18"/>
                <w:szCs w:val="18"/>
              </w:rPr>
            </w:pPr>
          </w:p>
        </w:tc>
      </w:tr>
      <w:tr w:rsidR="004D56BE" w:rsidRPr="00C903F8" w:rsidTr="001964F8">
        <w:trPr>
          <w:cantSplit/>
          <w:jc w:val="center"/>
        </w:trPr>
        <w:tc>
          <w:tcPr>
            <w:tcW w:w="1342" w:type="dxa"/>
            <w:tcBorders>
              <w:bottom w:val="single" w:sz="4" w:space="0" w:color="auto"/>
            </w:tcBorders>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lastRenderedPageBreak/>
              <w:t>13.01</w:t>
            </w:r>
          </w:p>
        </w:tc>
        <w:tc>
          <w:tcPr>
            <w:tcW w:w="1458" w:type="dxa"/>
            <w:tcBorders>
              <w:bottom w:val="single" w:sz="4" w:space="0" w:color="auto"/>
            </w:tcBorders>
            <w:shd w:val="clear" w:color="auto" w:fill="auto"/>
          </w:tcPr>
          <w:p w:rsidR="004D56BE" w:rsidRPr="00C903F8" w:rsidRDefault="004D56BE" w:rsidP="00A8005B">
            <w:pPr>
              <w:spacing w:before="100" w:after="100" w:line="240" w:lineRule="atLeast"/>
              <w:ind w:left="0" w:firstLine="0"/>
              <w:rPr>
                <w:rFonts w:cs="Arial"/>
                <w:sz w:val="18"/>
                <w:szCs w:val="18"/>
              </w:rPr>
            </w:pPr>
          </w:p>
        </w:tc>
        <w:tc>
          <w:tcPr>
            <w:tcW w:w="3296" w:type="dxa"/>
            <w:tcBorders>
              <w:bottom w:val="single" w:sz="4" w:space="0" w:color="auto"/>
            </w:tcBorders>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noProof/>
                <w:sz w:val="18"/>
                <w:szCs w:val="18"/>
              </w:rPr>
              <w:t>Anchor equipment</w:t>
            </w:r>
          </w:p>
        </w:tc>
        <w:tc>
          <w:tcPr>
            <w:tcW w:w="6521" w:type="dxa"/>
            <w:shd w:val="clear" w:color="auto" w:fill="auto"/>
          </w:tcPr>
          <w:p w:rsidR="004D56BE" w:rsidRPr="00C903F8" w:rsidRDefault="004D56BE" w:rsidP="00A8005B">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t>30.12.2024</w:t>
            </w:r>
          </w:p>
        </w:tc>
      </w:tr>
      <w:tr w:rsidR="004D56BE" w:rsidRPr="00C903F8" w:rsidTr="00F14E8B">
        <w:trPr>
          <w:cantSplit/>
          <w:jc w:val="center"/>
        </w:trPr>
        <w:tc>
          <w:tcPr>
            <w:tcW w:w="1342" w:type="dxa"/>
            <w:tcBorders>
              <w:bottom w:val="nil"/>
            </w:tcBorders>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t>13.02</w:t>
            </w:r>
          </w:p>
        </w:tc>
        <w:tc>
          <w:tcPr>
            <w:tcW w:w="1458" w:type="dxa"/>
            <w:vMerge w:val="restart"/>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t>(3)</w:t>
            </w:r>
            <w:r>
              <w:rPr>
                <w:rFonts w:cs="Arial"/>
                <w:sz w:val="18"/>
                <w:szCs w:val="18"/>
              </w:rPr>
              <w:t>(</w:t>
            </w:r>
            <w:r w:rsidRPr="00C903F8">
              <w:rPr>
                <w:rFonts w:cs="Arial"/>
                <w:sz w:val="18"/>
                <w:szCs w:val="18"/>
              </w:rPr>
              <w:t>a)</w:t>
            </w:r>
          </w:p>
        </w:tc>
        <w:tc>
          <w:tcPr>
            <w:tcW w:w="3296" w:type="dxa"/>
            <w:vMerge w:val="restart"/>
            <w:shd w:val="clear" w:color="auto" w:fill="auto"/>
          </w:tcPr>
          <w:p w:rsidR="004D56BE" w:rsidRPr="00C903F8" w:rsidRDefault="004D56BE" w:rsidP="00A8005B">
            <w:pPr>
              <w:spacing w:before="100" w:after="100" w:line="240" w:lineRule="atLeast"/>
              <w:ind w:left="0" w:firstLine="0"/>
              <w:rPr>
                <w:rFonts w:cs="Arial"/>
                <w:sz w:val="18"/>
                <w:szCs w:val="18"/>
                <w:lang w:val="en-US"/>
              </w:rPr>
            </w:pPr>
            <w:r w:rsidRPr="00C903F8">
              <w:rPr>
                <w:rFonts w:cs="Arial"/>
                <w:noProof/>
                <w:sz w:val="18"/>
                <w:szCs w:val="18"/>
                <w:lang w:val="en-US"/>
              </w:rPr>
              <w:t>Certificate for mooring and other cables</w:t>
            </w:r>
          </w:p>
        </w:tc>
        <w:tc>
          <w:tcPr>
            <w:tcW w:w="6521" w:type="dxa"/>
            <w:shd w:val="clear" w:color="auto" w:fill="auto"/>
          </w:tcPr>
          <w:p w:rsidR="004D56BE" w:rsidRPr="00C903F8" w:rsidRDefault="004D56BE" w:rsidP="00A8005B">
            <w:pPr>
              <w:spacing w:before="100" w:after="100" w:line="240" w:lineRule="atLeast"/>
              <w:ind w:left="0" w:firstLine="0"/>
              <w:rPr>
                <w:rFonts w:cs="Arial"/>
                <w:sz w:val="18"/>
                <w:szCs w:val="18"/>
                <w:lang w:val="en-US"/>
              </w:rPr>
            </w:pPr>
            <w:r w:rsidRPr="00C903F8">
              <w:rPr>
                <w:rFonts w:cs="Arial"/>
                <w:noProof/>
                <w:sz w:val="18"/>
                <w:szCs w:val="18"/>
                <w:lang w:val="en-US"/>
              </w:rPr>
              <w:t>First cable to be replaced on the vessel</w:t>
            </w:r>
            <w:r w:rsidRPr="00C903F8">
              <w:rPr>
                <w:rFonts w:cs="Arial"/>
                <w:sz w:val="18"/>
                <w:szCs w:val="18"/>
                <w:lang w:val="en-US"/>
              </w:rPr>
              <w:t xml:space="preserve">: </w:t>
            </w:r>
            <w:r>
              <w:rPr>
                <w:rFonts w:cs="Arial"/>
                <w:sz w:val="18"/>
                <w:szCs w:val="18"/>
                <w:lang w:val="en-US"/>
              </w:rPr>
              <w:t>N.R.C.</w:t>
            </w:r>
            <w:r w:rsidRPr="00C903F8">
              <w:rPr>
                <w:rFonts w:cs="Arial"/>
                <w:sz w:val="18"/>
                <w:szCs w:val="18"/>
                <w:lang w:val="en-US"/>
              </w:rPr>
              <w:t xml:space="preserve"> at the latest after</w:t>
            </w:r>
          </w:p>
        </w:tc>
        <w:tc>
          <w:tcPr>
            <w:tcW w:w="1276" w:type="dxa"/>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t>30.12.2024</w:t>
            </w:r>
          </w:p>
        </w:tc>
      </w:tr>
      <w:tr w:rsidR="004D56BE" w:rsidRPr="00C903F8" w:rsidTr="00F14E8B">
        <w:trPr>
          <w:cantSplit/>
          <w:jc w:val="center"/>
        </w:trPr>
        <w:tc>
          <w:tcPr>
            <w:tcW w:w="1342" w:type="dxa"/>
            <w:tcBorders>
              <w:top w:val="nil"/>
              <w:bottom w:val="single" w:sz="4" w:space="0" w:color="auto"/>
            </w:tcBorders>
            <w:shd w:val="clear" w:color="auto" w:fill="auto"/>
          </w:tcPr>
          <w:p w:rsidR="004D56BE" w:rsidRPr="00C903F8" w:rsidRDefault="004D56BE" w:rsidP="00A8005B">
            <w:pPr>
              <w:spacing w:before="100" w:after="100" w:line="240" w:lineRule="atLeast"/>
              <w:ind w:left="0" w:firstLine="0"/>
              <w:rPr>
                <w:rFonts w:cs="Arial"/>
                <w:sz w:val="18"/>
                <w:szCs w:val="18"/>
              </w:rPr>
            </w:pPr>
          </w:p>
        </w:tc>
        <w:tc>
          <w:tcPr>
            <w:tcW w:w="1458" w:type="dxa"/>
            <w:vMerge/>
            <w:shd w:val="clear" w:color="auto" w:fill="auto"/>
          </w:tcPr>
          <w:p w:rsidR="004D56BE" w:rsidRPr="00C903F8" w:rsidRDefault="004D56BE" w:rsidP="00A8005B">
            <w:pPr>
              <w:spacing w:before="100" w:after="100" w:line="240" w:lineRule="atLeast"/>
              <w:ind w:left="0" w:firstLine="0"/>
              <w:rPr>
                <w:rFonts w:cs="Arial"/>
                <w:sz w:val="18"/>
                <w:szCs w:val="18"/>
              </w:rPr>
            </w:pPr>
          </w:p>
        </w:tc>
        <w:tc>
          <w:tcPr>
            <w:tcW w:w="3296" w:type="dxa"/>
            <w:vMerge/>
            <w:shd w:val="clear" w:color="auto" w:fill="auto"/>
          </w:tcPr>
          <w:p w:rsidR="004D56BE" w:rsidRPr="00C903F8" w:rsidRDefault="004D56BE" w:rsidP="00A8005B">
            <w:pPr>
              <w:spacing w:before="100" w:after="100" w:line="240" w:lineRule="atLeast"/>
              <w:ind w:left="0" w:firstLine="0"/>
              <w:rPr>
                <w:rFonts w:cs="Arial"/>
                <w:sz w:val="18"/>
                <w:szCs w:val="18"/>
              </w:rPr>
            </w:pPr>
          </w:p>
        </w:tc>
        <w:tc>
          <w:tcPr>
            <w:tcW w:w="6521" w:type="dxa"/>
            <w:shd w:val="clear" w:color="auto" w:fill="auto"/>
          </w:tcPr>
          <w:p w:rsidR="004D56BE" w:rsidRPr="00C903F8" w:rsidRDefault="004D56BE" w:rsidP="00A8005B">
            <w:pPr>
              <w:spacing w:before="100" w:after="100" w:line="240" w:lineRule="atLeast"/>
              <w:ind w:left="0" w:firstLine="0"/>
              <w:rPr>
                <w:rFonts w:cs="Arial"/>
                <w:sz w:val="18"/>
                <w:szCs w:val="18"/>
                <w:lang w:val="en-US"/>
              </w:rPr>
            </w:pPr>
            <w:r w:rsidRPr="00C903F8">
              <w:rPr>
                <w:rFonts w:cs="Arial"/>
                <w:noProof/>
                <w:sz w:val="18"/>
                <w:szCs w:val="18"/>
                <w:lang w:val="en-US"/>
              </w:rPr>
              <w:t>Second and third cables to be replaced on the vessel</w:t>
            </w:r>
            <w:r w:rsidRPr="00C903F8">
              <w:rPr>
                <w:rFonts w:cs="Arial"/>
                <w:sz w:val="18"/>
                <w:szCs w:val="18"/>
                <w:lang w:val="en-US"/>
              </w:rPr>
              <w:t xml:space="preserve">: </w:t>
            </w:r>
            <w:r>
              <w:rPr>
                <w:rFonts w:cs="Arial"/>
                <w:sz w:val="18"/>
                <w:szCs w:val="18"/>
                <w:lang w:val="en-US"/>
              </w:rPr>
              <w:t>N.R.C.</w:t>
            </w:r>
            <w:r w:rsidRPr="00C903F8">
              <w:rPr>
                <w:rFonts w:cs="Arial"/>
                <w:sz w:val="18"/>
                <w:szCs w:val="18"/>
                <w:lang w:val="en-US"/>
              </w:rPr>
              <w:t xml:space="preserve"> at the latest after</w:t>
            </w:r>
          </w:p>
        </w:tc>
        <w:tc>
          <w:tcPr>
            <w:tcW w:w="1276" w:type="dxa"/>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t>30.12.2029</w:t>
            </w:r>
          </w:p>
        </w:tc>
      </w:tr>
      <w:tr w:rsidR="004D56BE" w:rsidRPr="00C903F8" w:rsidTr="001964F8">
        <w:trPr>
          <w:cantSplit/>
          <w:jc w:val="center"/>
        </w:trPr>
        <w:tc>
          <w:tcPr>
            <w:tcW w:w="1342" w:type="dxa"/>
            <w:tcBorders>
              <w:bottom w:val="nil"/>
            </w:tcBorders>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t>13.03</w:t>
            </w:r>
          </w:p>
        </w:tc>
        <w:tc>
          <w:tcPr>
            <w:tcW w:w="1458" w:type="dxa"/>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noProof/>
                <w:sz w:val="18"/>
                <w:szCs w:val="18"/>
              </w:rPr>
              <w:t>European Standard</w:t>
            </w:r>
          </w:p>
        </w:tc>
        <w:tc>
          <w:tcPr>
            <w:tcW w:w="6521" w:type="dxa"/>
            <w:shd w:val="clear" w:color="auto" w:fill="auto"/>
          </w:tcPr>
          <w:p w:rsidR="004D56BE" w:rsidRPr="00C903F8" w:rsidRDefault="004D56BE" w:rsidP="00A8005B">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A8005B">
            <w:pPr>
              <w:spacing w:before="100" w:after="10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4D56BE" w:rsidRPr="00C903F8" w:rsidRDefault="004D56BE" w:rsidP="00A8005B">
            <w:pPr>
              <w:spacing w:before="100" w:after="100" w:line="240" w:lineRule="atLeast"/>
              <w:ind w:left="0" w:firstLine="0"/>
              <w:rPr>
                <w:rFonts w:cs="Arial"/>
                <w:sz w:val="18"/>
                <w:szCs w:val="18"/>
                <w:lang w:val="en-US"/>
              </w:rPr>
            </w:pPr>
            <w:r w:rsidRPr="00C903F8">
              <w:rPr>
                <w:rFonts w:cs="Arial"/>
                <w:noProof/>
                <w:sz w:val="18"/>
                <w:szCs w:val="18"/>
                <w:lang w:val="en-US"/>
              </w:rPr>
              <w:t>Suitability for Class A, B and C fires</w:t>
            </w:r>
          </w:p>
        </w:tc>
        <w:tc>
          <w:tcPr>
            <w:tcW w:w="6521" w:type="dxa"/>
            <w:shd w:val="clear" w:color="auto" w:fill="auto"/>
          </w:tcPr>
          <w:p w:rsidR="004D56BE" w:rsidRPr="00C903F8" w:rsidRDefault="004D56BE" w:rsidP="00A8005B">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tcBorders>
              <w:top w:val="nil"/>
            </w:tcBorders>
            <w:shd w:val="clear" w:color="auto" w:fill="auto"/>
          </w:tcPr>
          <w:p w:rsidR="004D56BE" w:rsidRPr="00C903F8" w:rsidRDefault="004D56BE" w:rsidP="00A8005B">
            <w:pPr>
              <w:spacing w:before="100" w:after="10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t>(4)</w:t>
            </w:r>
          </w:p>
        </w:tc>
        <w:tc>
          <w:tcPr>
            <w:tcW w:w="3296" w:type="dxa"/>
            <w:shd w:val="clear" w:color="auto" w:fill="auto"/>
          </w:tcPr>
          <w:p w:rsidR="004D56BE" w:rsidRPr="00C903F8" w:rsidRDefault="004D56BE" w:rsidP="00A8005B">
            <w:pPr>
              <w:spacing w:before="100" w:after="100" w:line="240" w:lineRule="atLeast"/>
              <w:ind w:left="0" w:firstLine="0"/>
              <w:rPr>
                <w:rFonts w:cs="Arial"/>
                <w:sz w:val="18"/>
                <w:szCs w:val="18"/>
                <w:lang w:val="en-US"/>
              </w:rPr>
            </w:pPr>
            <w:r w:rsidRPr="00C903F8">
              <w:rPr>
                <w:rFonts w:cs="Arial"/>
                <w:noProof/>
                <w:sz w:val="18"/>
                <w:szCs w:val="18"/>
                <w:lang w:val="en-US"/>
              </w:rPr>
              <w:t>Relation of CO</w:t>
            </w:r>
            <w:r w:rsidRPr="00C903F8">
              <w:rPr>
                <w:rFonts w:cs="Arial"/>
                <w:noProof/>
                <w:sz w:val="18"/>
                <w:szCs w:val="18"/>
                <w:vertAlign w:val="subscript"/>
                <w:lang w:val="en-US"/>
              </w:rPr>
              <w:t>2</w:t>
            </w:r>
            <w:r w:rsidRPr="00C903F8">
              <w:rPr>
                <w:rFonts w:cs="Arial"/>
                <w:noProof/>
                <w:sz w:val="18"/>
                <w:szCs w:val="18"/>
                <w:lang w:val="en-US"/>
              </w:rPr>
              <w:t xml:space="preserve"> content and size of room</w:t>
            </w:r>
          </w:p>
        </w:tc>
        <w:tc>
          <w:tcPr>
            <w:tcW w:w="6521" w:type="dxa"/>
            <w:shd w:val="clear" w:color="auto" w:fill="auto"/>
          </w:tcPr>
          <w:p w:rsidR="004D56BE" w:rsidRPr="00C903F8" w:rsidRDefault="004D56BE" w:rsidP="00A8005B">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t>13.04</w:t>
            </w:r>
          </w:p>
        </w:tc>
        <w:tc>
          <w:tcPr>
            <w:tcW w:w="1458" w:type="dxa"/>
            <w:shd w:val="clear" w:color="auto" w:fill="auto"/>
          </w:tcPr>
          <w:p w:rsidR="004D56BE" w:rsidRPr="00C903F8" w:rsidRDefault="004D56BE" w:rsidP="00A8005B">
            <w:pPr>
              <w:spacing w:before="100" w:after="100" w:line="240" w:lineRule="atLeast"/>
              <w:ind w:left="0" w:firstLine="0"/>
              <w:rPr>
                <w:rFonts w:cs="Arial"/>
                <w:sz w:val="18"/>
                <w:szCs w:val="18"/>
              </w:rPr>
            </w:pPr>
          </w:p>
        </w:tc>
        <w:tc>
          <w:tcPr>
            <w:tcW w:w="3296" w:type="dxa"/>
            <w:shd w:val="clear" w:color="auto" w:fill="auto"/>
          </w:tcPr>
          <w:p w:rsidR="004D56BE" w:rsidRPr="00C903F8" w:rsidRDefault="004D56BE" w:rsidP="00A8005B">
            <w:pPr>
              <w:spacing w:before="100" w:after="100" w:line="240" w:lineRule="atLeast"/>
              <w:ind w:left="0" w:firstLine="0"/>
              <w:rPr>
                <w:rFonts w:cs="Arial"/>
                <w:sz w:val="18"/>
                <w:szCs w:val="18"/>
                <w:lang w:val="en-US"/>
              </w:rPr>
            </w:pPr>
            <w:r w:rsidRPr="00C903F8">
              <w:rPr>
                <w:rFonts w:cs="Arial"/>
                <w:noProof/>
                <w:sz w:val="18"/>
                <w:szCs w:val="18"/>
                <w:lang w:val="en-US"/>
              </w:rPr>
              <w:t>Permanently installed fire-fighting systems in accommodation spaces, wheelhouses and passenger rooms</w:t>
            </w:r>
          </w:p>
        </w:tc>
        <w:tc>
          <w:tcPr>
            <w:tcW w:w="6521" w:type="dxa"/>
            <w:shd w:val="clear" w:color="auto" w:fill="auto"/>
          </w:tcPr>
          <w:p w:rsidR="004D56BE" w:rsidRPr="00C903F8" w:rsidRDefault="004D56BE" w:rsidP="00A8005B">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t>13.05</w:t>
            </w:r>
          </w:p>
        </w:tc>
        <w:tc>
          <w:tcPr>
            <w:tcW w:w="1458" w:type="dxa"/>
            <w:shd w:val="clear" w:color="auto" w:fill="auto"/>
          </w:tcPr>
          <w:p w:rsidR="004D56BE" w:rsidRPr="00C903F8" w:rsidRDefault="004D56BE" w:rsidP="00A8005B">
            <w:pPr>
              <w:spacing w:before="100" w:after="100" w:line="240" w:lineRule="atLeast"/>
              <w:ind w:left="0" w:firstLine="0"/>
              <w:rPr>
                <w:rFonts w:cs="Arial"/>
                <w:sz w:val="18"/>
                <w:szCs w:val="18"/>
              </w:rPr>
            </w:pPr>
          </w:p>
        </w:tc>
        <w:tc>
          <w:tcPr>
            <w:tcW w:w="3296" w:type="dxa"/>
            <w:shd w:val="clear" w:color="auto" w:fill="auto"/>
          </w:tcPr>
          <w:p w:rsidR="004D56BE" w:rsidRPr="00C903F8" w:rsidRDefault="004D56BE" w:rsidP="00A8005B">
            <w:pPr>
              <w:spacing w:before="100" w:after="100" w:line="240" w:lineRule="atLeast"/>
              <w:ind w:left="0" w:firstLine="0"/>
              <w:rPr>
                <w:rFonts w:cs="Arial"/>
                <w:sz w:val="18"/>
                <w:szCs w:val="18"/>
                <w:lang w:val="en-US"/>
              </w:rPr>
            </w:pPr>
            <w:r w:rsidRPr="00C903F8">
              <w:rPr>
                <w:rFonts w:cs="Arial"/>
                <w:noProof/>
                <w:sz w:val="18"/>
                <w:szCs w:val="18"/>
                <w:lang w:val="en-US"/>
              </w:rPr>
              <w:t>Permanently installed fire-fighting systems in engine rooms, boiler rooms and pump rooms</w:t>
            </w:r>
          </w:p>
        </w:tc>
        <w:tc>
          <w:tcPr>
            <w:tcW w:w="6521" w:type="dxa"/>
            <w:shd w:val="clear" w:color="auto" w:fill="auto"/>
          </w:tcPr>
          <w:p w:rsidR="004D56BE" w:rsidRPr="00C903F8" w:rsidRDefault="004D56BE" w:rsidP="00A8005B">
            <w:pPr>
              <w:spacing w:before="100" w:after="100" w:line="240" w:lineRule="atLeast"/>
              <w:ind w:left="0" w:firstLine="0"/>
              <w:rPr>
                <w:rFonts w:cs="Arial"/>
                <w:sz w:val="18"/>
                <w:szCs w:val="18"/>
                <w:lang w:val="en-US"/>
              </w:rPr>
            </w:pPr>
            <w:r w:rsidRPr="00C903F8">
              <w:rPr>
                <w:rFonts w:cs="Arial"/>
                <w:noProof/>
                <w:sz w:val="18"/>
                <w:szCs w:val="18"/>
                <w:lang w:val="en-US"/>
              </w:rPr>
              <w:t>CO</w:t>
            </w:r>
            <w:r w:rsidRPr="00C903F8">
              <w:rPr>
                <w:rFonts w:cs="Arial"/>
                <w:noProof/>
                <w:sz w:val="18"/>
                <w:szCs w:val="18"/>
                <w:vertAlign w:val="subscript"/>
                <w:lang w:val="en-US"/>
              </w:rPr>
              <w:t>2</w:t>
            </w:r>
            <w:r w:rsidRPr="00C903F8">
              <w:rPr>
                <w:rFonts w:cs="Arial"/>
                <w:noProof/>
                <w:sz w:val="18"/>
                <w:szCs w:val="18"/>
                <w:lang w:val="en-US"/>
              </w:rPr>
              <w:t xml:space="preserve"> fire-fighting systems permanently installed before 1 October 1985, if they comply with the requirements of Article 16.03 of this Standard, may remain in use until the renewal of the inland navigation vessel certificate after</w:t>
            </w:r>
          </w:p>
        </w:tc>
        <w:tc>
          <w:tcPr>
            <w:tcW w:w="1276" w:type="dxa"/>
            <w:shd w:val="clear" w:color="auto" w:fill="auto"/>
          </w:tcPr>
          <w:p w:rsidR="004D56BE" w:rsidRPr="00C903F8" w:rsidRDefault="004D56BE" w:rsidP="00A8005B">
            <w:pPr>
              <w:spacing w:before="100" w:after="100" w:line="240" w:lineRule="atLeast"/>
              <w:ind w:left="0" w:firstLine="0"/>
              <w:rPr>
                <w:rFonts w:cs="Arial"/>
                <w:sz w:val="18"/>
                <w:szCs w:val="18"/>
                <w:lang w:val="en-US"/>
              </w:rPr>
            </w:pPr>
            <w:r w:rsidRPr="00C903F8">
              <w:rPr>
                <w:rFonts w:cs="Arial"/>
                <w:sz w:val="18"/>
                <w:szCs w:val="18"/>
                <w:lang w:val="en-US"/>
              </w:rPr>
              <w:t>30.12.2049</w:t>
            </w:r>
          </w:p>
        </w:tc>
      </w:tr>
      <w:tr w:rsidR="004D56BE" w:rsidRPr="00C903F8" w:rsidTr="001964F8">
        <w:trPr>
          <w:cantSplit/>
          <w:jc w:val="center"/>
        </w:trPr>
        <w:tc>
          <w:tcPr>
            <w:tcW w:w="1342" w:type="dxa"/>
            <w:tcBorders>
              <w:bottom w:val="single" w:sz="4" w:space="0" w:color="auto"/>
            </w:tcBorders>
            <w:shd w:val="clear" w:color="auto" w:fill="auto"/>
          </w:tcPr>
          <w:p w:rsidR="004D56BE" w:rsidRPr="00C903F8" w:rsidRDefault="004D56BE" w:rsidP="00A8005B">
            <w:pPr>
              <w:spacing w:before="100" w:after="100" w:line="240" w:lineRule="atLeast"/>
              <w:ind w:left="0" w:firstLine="0"/>
              <w:rPr>
                <w:rFonts w:cs="Arial"/>
                <w:sz w:val="18"/>
                <w:szCs w:val="18"/>
                <w:lang w:val="en-US"/>
              </w:rPr>
            </w:pPr>
            <w:r w:rsidRPr="00C903F8">
              <w:rPr>
                <w:rFonts w:cs="Arial"/>
                <w:sz w:val="18"/>
                <w:szCs w:val="18"/>
                <w:lang w:val="en-US"/>
              </w:rPr>
              <w:t>13.07</w:t>
            </w:r>
          </w:p>
        </w:tc>
        <w:tc>
          <w:tcPr>
            <w:tcW w:w="1458" w:type="dxa"/>
            <w:tcBorders>
              <w:bottom w:val="single" w:sz="4" w:space="0" w:color="auto"/>
            </w:tcBorders>
            <w:shd w:val="clear" w:color="auto" w:fill="auto"/>
          </w:tcPr>
          <w:p w:rsidR="004D56BE" w:rsidRPr="00C903F8" w:rsidRDefault="004D56BE" w:rsidP="00A8005B">
            <w:pPr>
              <w:spacing w:before="100" w:after="100" w:line="240" w:lineRule="atLeast"/>
              <w:ind w:left="0" w:firstLine="0"/>
              <w:rPr>
                <w:rFonts w:cs="Arial"/>
                <w:sz w:val="18"/>
                <w:szCs w:val="18"/>
                <w:lang w:val="en-US"/>
              </w:rPr>
            </w:pPr>
          </w:p>
        </w:tc>
        <w:tc>
          <w:tcPr>
            <w:tcW w:w="3296" w:type="dxa"/>
            <w:tcBorders>
              <w:bottom w:val="single" w:sz="4" w:space="0" w:color="auto"/>
            </w:tcBorders>
            <w:shd w:val="clear" w:color="auto" w:fill="auto"/>
          </w:tcPr>
          <w:p w:rsidR="004D56BE" w:rsidRPr="00C903F8" w:rsidRDefault="004D56BE" w:rsidP="00A8005B">
            <w:pPr>
              <w:spacing w:before="100" w:after="100" w:line="240" w:lineRule="atLeast"/>
              <w:ind w:left="0" w:firstLine="0"/>
              <w:rPr>
                <w:rFonts w:cs="Arial"/>
                <w:sz w:val="18"/>
                <w:szCs w:val="18"/>
                <w:lang w:val="en-US"/>
              </w:rPr>
            </w:pPr>
            <w:r w:rsidRPr="00600BEE">
              <w:rPr>
                <w:rFonts w:cs="Arial"/>
                <w:noProof/>
                <w:sz w:val="18"/>
                <w:szCs w:val="18"/>
                <w:lang w:val="en-US"/>
              </w:rPr>
              <w:t>Application of the European Standard to ship’s boat</w:t>
            </w:r>
          </w:p>
        </w:tc>
        <w:tc>
          <w:tcPr>
            <w:tcW w:w="6521" w:type="dxa"/>
            <w:shd w:val="clear" w:color="auto" w:fill="auto"/>
          </w:tcPr>
          <w:p w:rsidR="004D56BE" w:rsidRPr="00C903F8" w:rsidRDefault="004D56BE" w:rsidP="00A8005B">
            <w:pPr>
              <w:spacing w:before="100" w:after="1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00" w:after="100" w:line="240" w:lineRule="atLeast"/>
              <w:ind w:left="0" w:firstLine="0"/>
              <w:rPr>
                <w:rFonts w:cs="Arial"/>
                <w:sz w:val="18"/>
                <w:szCs w:val="18"/>
              </w:rPr>
            </w:pPr>
            <w:r w:rsidRPr="00C903F8">
              <w:rPr>
                <w:rFonts w:cs="Arial"/>
                <w:sz w:val="18"/>
                <w:szCs w:val="18"/>
              </w:rPr>
              <w:t>30.12.2029</w:t>
            </w:r>
          </w:p>
        </w:tc>
      </w:tr>
      <w:tr w:rsidR="004D56BE" w:rsidRPr="00C903F8" w:rsidTr="00AB6D23">
        <w:trPr>
          <w:cantSplit/>
          <w:jc w:val="center"/>
        </w:trPr>
        <w:tc>
          <w:tcPr>
            <w:tcW w:w="1342" w:type="dxa"/>
            <w:tcBorders>
              <w:bottom w:val="nil"/>
            </w:tcBorders>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13.08</w:t>
            </w:r>
          </w:p>
        </w:tc>
        <w:tc>
          <w:tcPr>
            <w:tcW w:w="1458" w:type="dxa"/>
            <w:vMerge w:val="restart"/>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(2)</w:t>
            </w:r>
          </w:p>
        </w:tc>
        <w:tc>
          <w:tcPr>
            <w:tcW w:w="3296" w:type="dxa"/>
            <w:vMerge w:val="restart"/>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noProof/>
                <w:sz w:val="18"/>
                <w:szCs w:val="18"/>
              </w:rPr>
              <w:t>Inflatable life jackets</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30.12.2024</w:t>
            </w:r>
          </w:p>
        </w:tc>
      </w:tr>
      <w:tr w:rsidR="004D56BE" w:rsidRPr="00C903F8" w:rsidTr="00AB6D23">
        <w:trPr>
          <w:cantSplit/>
          <w:jc w:val="center"/>
        </w:trPr>
        <w:tc>
          <w:tcPr>
            <w:tcW w:w="1342" w:type="dxa"/>
            <w:tcBorders>
              <w:top w:val="nil"/>
            </w:tcBorders>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1458" w:type="dxa"/>
            <w:vMerge/>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3296" w:type="dxa"/>
            <w:vMerge/>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lang w:val="en-US"/>
              </w:rPr>
            </w:pPr>
            <w:r w:rsidRPr="00C903F8">
              <w:rPr>
                <w:rFonts w:cs="Arial"/>
                <w:sz w:val="18"/>
                <w:szCs w:val="18"/>
                <w:lang w:val="en-US"/>
              </w:rPr>
              <w:t>Life jackets which have been on board on 29.12.2008 may be used until the renewal of the inland navigation vessel certificate after</w:t>
            </w: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6096" w:type="dxa"/>
            <w:gridSpan w:val="3"/>
            <w:shd w:val="clear" w:color="auto" w:fill="auto"/>
          </w:tcPr>
          <w:p w:rsidR="004D56BE" w:rsidRPr="00C903F8" w:rsidRDefault="004D56BE" w:rsidP="00A8005B">
            <w:pPr>
              <w:spacing w:before="140" w:after="140" w:line="240" w:lineRule="atLeast"/>
              <w:ind w:left="0" w:firstLine="0"/>
              <w:jc w:val="center"/>
              <w:rPr>
                <w:rFonts w:cs="Arial"/>
                <w:sz w:val="18"/>
                <w:szCs w:val="18"/>
              </w:rPr>
            </w:pPr>
            <w:r w:rsidRPr="00C903F8">
              <w:rPr>
                <w:rFonts w:cs="Arial"/>
                <w:b/>
                <w:sz w:val="18"/>
                <w:szCs w:val="18"/>
              </w:rPr>
              <w:t>CHAPTER 14</w:t>
            </w:r>
          </w:p>
        </w:tc>
        <w:tc>
          <w:tcPr>
            <w:tcW w:w="6521" w:type="dxa"/>
            <w:shd w:val="clear" w:color="auto" w:fill="auto"/>
          </w:tcPr>
          <w:p w:rsidR="004D56BE" w:rsidRPr="00C903F8" w:rsidRDefault="004D56BE" w:rsidP="00A8005B">
            <w:pPr>
              <w:spacing w:before="140" w:after="140" w:line="240" w:lineRule="atLeast"/>
              <w:ind w:left="0" w:firstLine="0"/>
              <w:rPr>
                <w:rFonts w:cs="Arial"/>
                <w:sz w:val="18"/>
                <w:szCs w:val="18"/>
              </w:rPr>
            </w:pPr>
          </w:p>
        </w:tc>
        <w:tc>
          <w:tcPr>
            <w:tcW w:w="1276" w:type="dxa"/>
            <w:shd w:val="clear" w:color="auto" w:fill="auto"/>
          </w:tcPr>
          <w:p w:rsidR="004D56BE" w:rsidRPr="00C903F8" w:rsidRDefault="004D56BE" w:rsidP="00A8005B">
            <w:pPr>
              <w:spacing w:before="140" w:after="140" w:line="240" w:lineRule="atLeast"/>
              <w:ind w:left="0" w:firstLine="0"/>
              <w:rPr>
                <w:rFonts w:cs="Arial"/>
                <w:sz w:val="18"/>
                <w:szCs w:val="18"/>
              </w:rPr>
            </w:pPr>
          </w:p>
        </w:tc>
      </w:tr>
      <w:tr w:rsidR="004D56BE" w:rsidRPr="00C903F8" w:rsidTr="00AB6D23">
        <w:trPr>
          <w:cantSplit/>
          <w:jc w:val="center"/>
        </w:trPr>
        <w:tc>
          <w:tcPr>
            <w:tcW w:w="1342" w:type="dxa"/>
            <w:tcBorders>
              <w:bottom w:val="nil"/>
            </w:tcBorders>
            <w:shd w:val="clear" w:color="auto" w:fill="auto"/>
          </w:tcPr>
          <w:p w:rsidR="004D56BE" w:rsidRPr="00C903F8" w:rsidRDefault="004D56BE" w:rsidP="00D321F1">
            <w:pPr>
              <w:spacing w:before="80" w:after="80" w:line="240" w:lineRule="atLeast"/>
              <w:ind w:left="0" w:firstLine="0"/>
              <w:rPr>
                <w:rFonts w:cs="Arial"/>
                <w:sz w:val="18"/>
                <w:szCs w:val="18"/>
              </w:rPr>
            </w:pPr>
            <w:r w:rsidRPr="00C903F8">
              <w:rPr>
                <w:rFonts w:cs="Arial"/>
                <w:sz w:val="18"/>
                <w:szCs w:val="18"/>
              </w:rPr>
              <w:t>14.02</w:t>
            </w:r>
          </w:p>
        </w:tc>
        <w:tc>
          <w:tcPr>
            <w:tcW w:w="1458" w:type="dxa"/>
            <w:shd w:val="clear" w:color="auto" w:fill="auto"/>
          </w:tcPr>
          <w:p w:rsidR="004D56BE" w:rsidRPr="00C903F8" w:rsidRDefault="004D56BE" w:rsidP="00D321F1">
            <w:pPr>
              <w:spacing w:before="80" w:after="80" w:line="240" w:lineRule="atLeast"/>
              <w:ind w:left="0" w:firstLine="0"/>
              <w:rPr>
                <w:rFonts w:cs="Arial"/>
                <w:sz w:val="18"/>
                <w:szCs w:val="18"/>
              </w:rPr>
            </w:pPr>
            <w:r w:rsidRPr="00C903F8">
              <w:rPr>
                <w:rFonts w:cs="Arial"/>
                <w:sz w:val="18"/>
                <w:szCs w:val="18"/>
              </w:rPr>
              <w:t>(4)</w:t>
            </w:r>
          </w:p>
        </w:tc>
        <w:tc>
          <w:tcPr>
            <w:tcW w:w="3296" w:type="dxa"/>
            <w:shd w:val="clear" w:color="auto" w:fill="auto"/>
          </w:tcPr>
          <w:p w:rsidR="004D56BE" w:rsidRPr="00C903F8" w:rsidRDefault="004D56BE" w:rsidP="00D321F1">
            <w:pPr>
              <w:spacing w:before="80" w:after="80" w:line="240" w:lineRule="atLeast"/>
              <w:ind w:left="0" w:firstLine="0"/>
              <w:rPr>
                <w:rFonts w:cs="Arial"/>
                <w:sz w:val="18"/>
                <w:szCs w:val="18"/>
                <w:lang w:val="en-US"/>
              </w:rPr>
            </w:pPr>
            <w:r w:rsidRPr="00C903F8">
              <w:rPr>
                <w:rFonts w:cs="Arial"/>
                <w:noProof/>
                <w:sz w:val="18"/>
                <w:szCs w:val="18"/>
                <w:lang w:val="en-US"/>
              </w:rPr>
              <w:t>Equipping of the outer edges of decks, side decks and other work stations</w:t>
            </w:r>
          </w:p>
        </w:tc>
        <w:tc>
          <w:tcPr>
            <w:tcW w:w="6521" w:type="dxa"/>
            <w:shd w:val="clear" w:color="auto" w:fill="auto"/>
          </w:tcPr>
          <w:p w:rsidR="004D56BE" w:rsidRPr="00C903F8" w:rsidRDefault="004D56BE" w:rsidP="00D321F1">
            <w:pPr>
              <w:spacing w:before="80" w:after="80" w:line="240" w:lineRule="atLeast"/>
              <w:ind w:left="0" w:firstLine="0"/>
              <w:rPr>
                <w:rFonts w:cs="Arial"/>
                <w:sz w:val="18"/>
                <w:szCs w:val="18"/>
                <w:lang w:val="en-US"/>
              </w:rPr>
            </w:pPr>
            <w:r>
              <w:rPr>
                <w:rFonts w:cs="Arial"/>
                <w:sz w:val="18"/>
                <w:szCs w:val="18"/>
                <w:lang w:val="en-US"/>
              </w:rPr>
              <w:t>N.R.C.</w:t>
            </w:r>
            <w:r w:rsidRPr="00C903F8">
              <w:rPr>
                <w:rStyle w:val="FootnoteReference"/>
                <w:sz w:val="18"/>
              </w:rPr>
              <w:t xml:space="preserve"> </w:t>
            </w:r>
            <w:r w:rsidRPr="00C903F8">
              <w:rPr>
                <w:rStyle w:val="FootnoteReference"/>
                <w:sz w:val="18"/>
              </w:rPr>
              <w:footnoteReference w:id="46"/>
            </w:r>
          </w:p>
        </w:tc>
        <w:tc>
          <w:tcPr>
            <w:tcW w:w="1276" w:type="dxa"/>
            <w:shd w:val="clear" w:color="auto" w:fill="auto"/>
          </w:tcPr>
          <w:p w:rsidR="004D56BE" w:rsidRPr="00C903F8" w:rsidRDefault="004D56BE" w:rsidP="00D321F1">
            <w:pPr>
              <w:spacing w:before="80" w:after="80" w:line="240" w:lineRule="atLeast"/>
              <w:ind w:left="0" w:firstLine="0"/>
              <w:rPr>
                <w:rFonts w:cs="Arial"/>
                <w:sz w:val="18"/>
                <w:szCs w:val="18"/>
              </w:rPr>
            </w:pPr>
          </w:p>
        </w:tc>
      </w:tr>
      <w:tr w:rsidR="004D56BE" w:rsidRPr="00C903F8" w:rsidTr="001964F8">
        <w:trPr>
          <w:cantSplit/>
          <w:jc w:val="center"/>
        </w:trPr>
        <w:tc>
          <w:tcPr>
            <w:tcW w:w="1342" w:type="dxa"/>
            <w:tcBorders>
              <w:bottom w:val="nil"/>
            </w:tcBorders>
            <w:shd w:val="clear" w:color="auto" w:fill="auto"/>
          </w:tcPr>
          <w:p w:rsidR="004D56BE" w:rsidRPr="00C903F8" w:rsidRDefault="004D56BE" w:rsidP="00D321F1">
            <w:pPr>
              <w:spacing w:before="80" w:after="80" w:line="240" w:lineRule="atLeast"/>
              <w:ind w:left="0" w:firstLine="0"/>
              <w:rPr>
                <w:rFonts w:cs="Arial"/>
                <w:sz w:val="18"/>
                <w:szCs w:val="18"/>
              </w:rPr>
            </w:pPr>
            <w:r w:rsidRPr="00C903F8">
              <w:rPr>
                <w:rFonts w:cs="Arial"/>
                <w:sz w:val="18"/>
                <w:szCs w:val="18"/>
              </w:rPr>
              <w:lastRenderedPageBreak/>
              <w:t>14.04</w:t>
            </w:r>
          </w:p>
        </w:tc>
        <w:tc>
          <w:tcPr>
            <w:tcW w:w="1458" w:type="dxa"/>
            <w:shd w:val="clear" w:color="auto" w:fill="auto"/>
          </w:tcPr>
          <w:p w:rsidR="004D56BE" w:rsidRPr="00C903F8" w:rsidRDefault="004D56BE" w:rsidP="00D321F1">
            <w:pPr>
              <w:spacing w:before="80" w:after="8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D321F1">
            <w:pPr>
              <w:spacing w:before="80" w:after="80" w:line="240" w:lineRule="atLeast"/>
              <w:ind w:left="0" w:firstLine="0"/>
              <w:rPr>
                <w:rFonts w:cs="Arial"/>
                <w:sz w:val="18"/>
                <w:szCs w:val="18"/>
                <w:lang w:val="en-US"/>
              </w:rPr>
            </w:pPr>
            <w:r w:rsidRPr="00C903F8">
              <w:rPr>
                <w:rFonts w:cs="Arial"/>
                <w:noProof/>
                <w:sz w:val="18"/>
                <w:szCs w:val="18"/>
                <w:lang w:val="en-US"/>
              </w:rPr>
              <w:t>Clear width of side deck</w:t>
            </w:r>
            <w:r>
              <w:rPr>
                <w:rFonts w:cs="Arial"/>
                <w:noProof/>
                <w:sz w:val="18"/>
                <w:szCs w:val="18"/>
                <w:lang w:val="en-US"/>
              </w:rPr>
              <w:t>s</w:t>
            </w:r>
          </w:p>
        </w:tc>
        <w:tc>
          <w:tcPr>
            <w:tcW w:w="6521" w:type="dxa"/>
            <w:shd w:val="clear" w:color="auto" w:fill="auto"/>
          </w:tcPr>
          <w:p w:rsidR="004D56BE" w:rsidRPr="00C903F8" w:rsidRDefault="004D56BE" w:rsidP="00D321F1">
            <w:pPr>
              <w:spacing w:before="80" w:after="80" w:line="240" w:lineRule="atLeast"/>
              <w:ind w:left="0" w:firstLine="0"/>
              <w:rPr>
                <w:rFonts w:cs="Arial"/>
                <w:sz w:val="18"/>
                <w:szCs w:val="18"/>
                <w:lang w:val="en-US"/>
              </w:rPr>
            </w:pPr>
            <w:r w:rsidRPr="00C903F8">
              <w:rPr>
                <w:rFonts w:cs="Arial"/>
                <w:sz w:val="18"/>
                <w:szCs w:val="18"/>
                <w:lang w:val="en-US"/>
              </w:rPr>
              <w:t xml:space="preserve">For vessels of </w:t>
            </w:r>
            <m:oMath>
              <m:r>
                <w:rPr>
                  <w:rFonts w:ascii="Cambria Math" w:hAnsi="Cambria Math" w:cs="Arial"/>
                  <w:sz w:val="18"/>
                  <w:szCs w:val="18"/>
                  <w:lang w:val="en-US"/>
                </w:rPr>
                <m:t>B &gt; 7,30 m</m:t>
              </m:r>
            </m:oMath>
            <w:r w:rsidRPr="00C903F8">
              <w:rPr>
                <w:rFonts w:cs="Arial"/>
                <w:sz w:val="18"/>
                <w:szCs w:val="18"/>
                <w:lang w:val="en-US"/>
              </w:rPr>
              <w:t xml:space="preserve">, </w:t>
            </w: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80" w:after="80" w:line="240" w:lineRule="atLeast"/>
              <w:ind w:left="0" w:firstLine="0"/>
              <w:rPr>
                <w:rFonts w:cs="Arial"/>
                <w:sz w:val="18"/>
                <w:szCs w:val="18"/>
              </w:rPr>
            </w:pPr>
            <w:r w:rsidRPr="00C903F8">
              <w:rPr>
                <w:rFonts w:cs="Arial"/>
                <w:sz w:val="18"/>
                <w:szCs w:val="18"/>
              </w:rPr>
              <w:t>1.1.2035</w:t>
            </w:r>
            <w:r w:rsidRPr="00C903F8">
              <w:rPr>
                <w:rFonts w:cs="Arial"/>
                <w:sz w:val="18"/>
                <w:szCs w:val="18"/>
                <w:vertAlign w:val="superscript"/>
              </w:rPr>
              <w:footnoteReference w:id="47"/>
            </w:r>
          </w:p>
        </w:tc>
      </w:tr>
      <w:tr w:rsidR="004D56BE" w:rsidRPr="00C903F8" w:rsidTr="001964F8">
        <w:trPr>
          <w:cantSplit/>
          <w:jc w:val="center"/>
        </w:trPr>
        <w:tc>
          <w:tcPr>
            <w:tcW w:w="1342" w:type="dxa"/>
            <w:tcBorders>
              <w:top w:val="nil"/>
              <w:bottom w:val="single" w:sz="4" w:space="0" w:color="auto"/>
            </w:tcBorders>
            <w:shd w:val="clear" w:color="auto" w:fill="auto"/>
          </w:tcPr>
          <w:p w:rsidR="004D56BE" w:rsidRPr="00C903F8" w:rsidRDefault="004D56BE" w:rsidP="00D321F1">
            <w:pPr>
              <w:spacing w:before="80" w:after="80" w:line="240" w:lineRule="atLeast"/>
              <w:ind w:left="0" w:firstLine="0"/>
              <w:rPr>
                <w:rFonts w:cs="Arial"/>
                <w:sz w:val="18"/>
                <w:szCs w:val="18"/>
                <w:lang w:val="en-US"/>
              </w:rPr>
            </w:pPr>
          </w:p>
        </w:tc>
        <w:tc>
          <w:tcPr>
            <w:tcW w:w="1458" w:type="dxa"/>
            <w:shd w:val="clear" w:color="auto" w:fill="auto"/>
          </w:tcPr>
          <w:p w:rsidR="004D56BE" w:rsidRPr="00C903F8" w:rsidRDefault="004D56BE" w:rsidP="00D321F1">
            <w:pPr>
              <w:spacing w:before="80" w:after="80" w:line="240" w:lineRule="atLeast"/>
              <w:ind w:left="0" w:firstLine="0"/>
              <w:rPr>
                <w:rFonts w:cs="Arial"/>
                <w:sz w:val="18"/>
                <w:szCs w:val="18"/>
              </w:rPr>
            </w:pPr>
            <w:r w:rsidRPr="00C903F8">
              <w:rPr>
                <w:rFonts w:cs="Arial"/>
                <w:sz w:val="18"/>
                <w:szCs w:val="18"/>
              </w:rPr>
              <w:t>(2)</w:t>
            </w:r>
          </w:p>
        </w:tc>
        <w:tc>
          <w:tcPr>
            <w:tcW w:w="3296" w:type="dxa"/>
            <w:shd w:val="clear" w:color="auto" w:fill="auto"/>
          </w:tcPr>
          <w:p w:rsidR="004D56BE" w:rsidRPr="00C903F8" w:rsidRDefault="004D56BE" w:rsidP="00D321F1">
            <w:pPr>
              <w:spacing w:before="80" w:after="80" w:line="240" w:lineRule="atLeast"/>
              <w:ind w:left="0" w:firstLine="0"/>
              <w:rPr>
                <w:rFonts w:cs="Arial"/>
                <w:sz w:val="18"/>
                <w:szCs w:val="18"/>
                <w:lang w:val="en-US"/>
              </w:rPr>
            </w:pPr>
            <w:r w:rsidRPr="00C903F8">
              <w:rPr>
                <w:rFonts w:cs="Arial"/>
                <w:noProof/>
                <w:sz w:val="18"/>
                <w:szCs w:val="18"/>
                <w:lang w:val="en-US"/>
              </w:rPr>
              <w:t>Side deck guardrails</w:t>
            </w:r>
          </w:p>
        </w:tc>
        <w:tc>
          <w:tcPr>
            <w:tcW w:w="6521" w:type="dxa"/>
            <w:shd w:val="clear" w:color="auto" w:fill="auto"/>
          </w:tcPr>
          <w:p w:rsidR="004D56BE" w:rsidRPr="00C903F8" w:rsidRDefault="004D56BE" w:rsidP="00D321F1">
            <w:pPr>
              <w:spacing w:before="80" w:after="80" w:line="240" w:lineRule="atLeast"/>
              <w:ind w:left="0" w:firstLine="0"/>
              <w:rPr>
                <w:rFonts w:cs="Arial"/>
                <w:sz w:val="18"/>
                <w:szCs w:val="18"/>
                <w:lang w:val="en-US"/>
              </w:rPr>
            </w:pPr>
            <w:r>
              <w:rPr>
                <w:rFonts w:cs="Arial"/>
                <w:sz w:val="18"/>
                <w:szCs w:val="18"/>
                <w:lang w:val="en-US"/>
              </w:rPr>
              <w:t>N.R.C.</w:t>
            </w:r>
          </w:p>
        </w:tc>
        <w:tc>
          <w:tcPr>
            <w:tcW w:w="1276" w:type="dxa"/>
            <w:shd w:val="clear" w:color="auto" w:fill="auto"/>
          </w:tcPr>
          <w:p w:rsidR="004D56BE" w:rsidRPr="00C903F8" w:rsidRDefault="004D56BE" w:rsidP="00D321F1">
            <w:pPr>
              <w:spacing w:before="80" w:after="80" w:line="240" w:lineRule="atLeast"/>
              <w:ind w:left="0" w:firstLine="0"/>
              <w:rPr>
                <w:rFonts w:cs="Arial"/>
                <w:sz w:val="18"/>
                <w:szCs w:val="18"/>
              </w:rPr>
            </w:pPr>
          </w:p>
        </w:tc>
      </w:tr>
      <w:tr w:rsidR="004D56BE" w:rsidRPr="00C903F8" w:rsidTr="001964F8">
        <w:trPr>
          <w:cantSplit/>
          <w:jc w:val="center"/>
        </w:trPr>
        <w:tc>
          <w:tcPr>
            <w:tcW w:w="1342" w:type="dxa"/>
            <w:tcBorders>
              <w:bottom w:val="nil"/>
            </w:tcBorders>
            <w:shd w:val="clear" w:color="auto" w:fill="auto"/>
          </w:tcPr>
          <w:p w:rsidR="004D56BE" w:rsidRPr="00C903F8" w:rsidRDefault="004D56BE" w:rsidP="00D321F1">
            <w:pPr>
              <w:spacing w:before="80" w:after="80" w:line="240" w:lineRule="atLeast"/>
              <w:ind w:left="0" w:firstLine="0"/>
              <w:rPr>
                <w:rFonts w:cs="Arial"/>
                <w:sz w:val="18"/>
                <w:szCs w:val="18"/>
              </w:rPr>
            </w:pPr>
            <w:r w:rsidRPr="00C903F8">
              <w:rPr>
                <w:rFonts w:cs="Arial"/>
                <w:sz w:val="18"/>
                <w:szCs w:val="18"/>
              </w:rPr>
              <w:t>14.05</w:t>
            </w:r>
          </w:p>
        </w:tc>
        <w:tc>
          <w:tcPr>
            <w:tcW w:w="1458" w:type="dxa"/>
            <w:shd w:val="clear" w:color="auto" w:fill="auto"/>
          </w:tcPr>
          <w:p w:rsidR="004D56BE" w:rsidRPr="00C903F8" w:rsidRDefault="004D56BE" w:rsidP="00D321F1">
            <w:pPr>
              <w:spacing w:before="80" w:after="8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D321F1">
            <w:pPr>
              <w:spacing w:before="80" w:after="80" w:line="240" w:lineRule="atLeast"/>
              <w:ind w:left="0" w:firstLine="0"/>
              <w:rPr>
                <w:rFonts w:cs="Arial"/>
                <w:sz w:val="18"/>
                <w:szCs w:val="18"/>
              </w:rPr>
            </w:pPr>
            <w:r w:rsidRPr="00C903F8">
              <w:rPr>
                <w:rFonts w:cs="Arial"/>
                <w:noProof/>
                <w:sz w:val="18"/>
                <w:szCs w:val="18"/>
              </w:rPr>
              <w:t>Access to work stations</w:t>
            </w:r>
          </w:p>
        </w:tc>
        <w:tc>
          <w:tcPr>
            <w:tcW w:w="6521" w:type="dxa"/>
            <w:shd w:val="clear" w:color="auto" w:fill="auto"/>
          </w:tcPr>
          <w:p w:rsidR="004D56BE" w:rsidRPr="00C903F8" w:rsidRDefault="004D56BE" w:rsidP="00D321F1">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80" w:after="80" w:line="240" w:lineRule="atLeast"/>
              <w:ind w:left="0" w:firstLine="0"/>
              <w:rPr>
                <w:rFonts w:cs="Arial"/>
                <w:sz w:val="18"/>
                <w:szCs w:val="18"/>
              </w:rPr>
            </w:pPr>
            <w:r w:rsidRPr="00C903F8">
              <w:rPr>
                <w:rFonts w:cs="Arial"/>
                <w:sz w:val="18"/>
                <w:szCs w:val="18"/>
              </w:rPr>
              <w:t>30.12.2049</w:t>
            </w:r>
          </w:p>
        </w:tc>
      </w:tr>
      <w:tr w:rsidR="004D56BE" w:rsidRPr="00296858" w:rsidTr="001964F8">
        <w:trPr>
          <w:cantSplit/>
          <w:jc w:val="center"/>
        </w:trPr>
        <w:tc>
          <w:tcPr>
            <w:tcW w:w="1342" w:type="dxa"/>
            <w:tcBorders>
              <w:top w:val="nil"/>
              <w:bottom w:val="nil"/>
            </w:tcBorders>
            <w:shd w:val="clear" w:color="auto" w:fill="auto"/>
          </w:tcPr>
          <w:p w:rsidR="004D56BE" w:rsidRPr="00C903F8" w:rsidRDefault="004D56BE" w:rsidP="00D321F1">
            <w:pPr>
              <w:spacing w:before="80" w:after="8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80" w:after="80" w:line="240" w:lineRule="atLeast"/>
              <w:ind w:left="0" w:firstLine="0"/>
              <w:rPr>
                <w:rFonts w:cs="Arial"/>
                <w:sz w:val="18"/>
                <w:szCs w:val="18"/>
              </w:rPr>
            </w:pPr>
            <w:r w:rsidRPr="00C903F8">
              <w:rPr>
                <w:rFonts w:cs="Arial"/>
                <w:sz w:val="18"/>
                <w:szCs w:val="18"/>
              </w:rPr>
              <w:t>(2) and (3)</w:t>
            </w:r>
          </w:p>
        </w:tc>
        <w:tc>
          <w:tcPr>
            <w:tcW w:w="3296" w:type="dxa"/>
            <w:shd w:val="clear" w:color="auto" w:fill="auto"/>
          </w:tcPr>
          <w:p w:rsidR="004D56BE" w:rsidRPr="00C903F8" w:rsidRDefault="004D56BE" w:rsidP="00D321F1">
            <w:pPr>
              <w:spacing w:before="80" w:after="80" w:line="240" w:lineRule="atLeast"/>
              <w:ind w:left="0" w:firstLine="0"/>
              <w:rPr>
                <w:rFonts w:cs="Arial"/>
                <w:sz w:val="18"/>
                <w:szCs w:val="18"/>
                <w:lang w:val="en-US"/>
              </w:rPr>
            </w:pPr>
            <w:r w:rsidRPr="00C903F8">
              <w:rPr>
                <w:rFonts w:cs="Arial"/>
                <w:noProof/>
                <w:sz w:val="18"/>
                <w:szCs w:val="18"/>
                <w:lang w:val="en-US"/>
              </w:rPr>
              <w:t>Doors and accesses, exits and passageways where there is more than a 0,50 m difference in floor level</w:t>
            </w:r>
          </w:p>
        </w:tc>
        <w:tc>
          <w:tcPr>
            <w:tcW w:w="6521" w:type="dxa"/>
            <w:shd w:val="clear" w:color="auto" w:fill="auto"/>
          </w:tcPr>
          <w:p w:rsidR="004D56BE" w:rsidRPr="00C903F8" w:rsidRDefault="004D56BE" w:rsidP="00D321F1">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w:t>
            </w:r>
          </w:p>
        </w:tc>
        <w:tc>
          <w:tcPr>
            <w:tcW w:w="1276" w:type="dxa"/>
            <w:shd w:val="clear" w:color="auto" w:fill="auto"/>
          </w:tcPr>
          <w:p w:rsidR="004D56BE" w:rsidRPr="00C903F8" w:rsidRDefault="004D56BE" w:rsidP="00D321F1">
            <w:pPr>
              <w:spacing w:before="80" w:after="80" w:line="240" w:lineRule="atLeast"/>
              <w:ind w:left="0" w:firstLine="0"/>
              <w:rPr>
                <w:rFonts w:cs="Arial"/>
                <w:sz w:val="18"/>
                <w:szCs w:val="18"/>
                <w:lang w:val="en-US"/>
              </w:rPr>
            </w:pPr>
          </w:p>
        </w:tc>
      </w:tr>
      <w:tr w:rsidR="004D56BE" w:rsidRPr="00A90F88" w:rsidTr="001964F8">
        <w:trPr>
          <w:cantSplit/>
          <w:jc w:val="center"/>
        </w:trPr>
        <w:tc>
          <w:tcPr>
            <w:tcW w:w="1342" w:type="dxa"/>
            <w:tcBorders>
              <w:top w:val="nil"/>
            </w:tcBorders>
            <w:shd w:val="clear" w:color="auto" w:fill="auto"/>
          </w:tcPr>
          <w:p w:rsidR="004D56BE" w:rsidRPr="00A90F88" w:rsidRDefault="004D56BE" w:rsidP="00D321F1">
            <w:pPr>
              <w:spacing w:before="80" w:after="80" w:line="240" w:lineRule="atLeast"/>
              <w:ind w:left="0" w:firstLine="0"/>
              <w:rPr>
                <w:rFonts w:cs="Arial"/>
                <w:sz w:val="18"/>
                <w:szCs w:val="18"/>
                <w:lang w:val="en-US"/>
              </w:rPr>
            </w:pPr>
          </w:p>
        </w:tc>
        <w:tc>
          <w:tcPr>
            <w:tcW w:w="1458" w:type="dxa"/>
            <w:shd w:val="clear" w:color="auto" w:fill="auto"/>
          </w:tcPr>
          <w:p w:rsidR="004D56BE" w:rsidRPr="00A90F88" w:rsidRDefault="004D56BE" w:rsidP="00D321F1">
            <w:pPr>
              <w:spacing w:before="80" w:after="80" w:line="240" w:lineRule="atLeast"/>
              <w:ind w:left="0" w:firstLine="0"/>
              <w:rPr>
                <w:rFonts w:cs="Arial"/>
                <w:sz w:val="18"/>
                <w:szCs w:val="18"/>
              </w:rPr>
            </w:pPr>
            <w:r w:rsidRPr="00A90F88">
              <w:rPr>
                <w:rFonts w:cs="Arial"/>
                <w:sz w:val="18"/>
                <w:szCs w:val="18"/>
              </w:rPr>
              <w:t>(4)</w:t>
            </w:r>
          </w:p>
        </w:tc>
        <w:tc>
          <w:tcPr>
            <w:tcW w:w="3296" w:type="dxa"/>
            <w:shd w:val="clear" w:color="auto" w:fill="auto"/>
          </w:tcPr>
          <w:p w:rsidR="004D56BE" w:rsidRPr="00A90F88" w:rsidRDefault="004D56BE" w:rsidP="00D321F1">
            <w:pPr>
              <w:spacing w:before="80" w:after="80" w:line="240" w:lineRule="atLeast"/>
              <w:ind w:left="0" w:firstLine="0"/>
              <w:rPr>
                <w:rFonts w:cs="Arial"/>
                <w:sz w:val="18"/>
                <w:szCs w:val="18"/>
                <w:lang w:val="en-US"/>
              </w:rPr>
            </w:pPr>
            <w:r w:rsidRPr="00A90F88">
              <w:rPr>
                <w:rFonts w:cs="Arial"/>
                <w:noProof/>
                <w:sz w:val="18"/>
                <w:szCs w:val="18"/>
                <w:lang w:val="en-US"/>
              </w:rPr>
              <w:t>Stairs in work stations which are manned continuously</w:t>
            </w:r>
          </w:p>
        </w:tc>
        <w:tc>
          <w:tcPr>
            <w:tcW w:w="6521" w:type="dxa"/>
            <w:shd w:val="clear" w:color="auto" w:fill="auto"/>
          </w:tcPr>
          <w:p w:rsidR="004D56BE" w:rsidRPr="00A90F88" w:rsidRDefault="004D56BE" w:rsidP="00D321F1">
            <w:pPr>
              <w:spacing w:before="80" w:after="80" w:line="240" w:lineRule="atLeast"/>
              <w:ind w:left="0" w:firstLine="0"/>
              <w:rPr>
                <w:rFonts w:cs="Arial"/>
                <w:sz w:val="18"/>
                <w:szCs w:val="18"/>
                <w:lang w:val="en-US"/>
              </w:rPr>
            </w:pPr>
            <w:r>
              <w:rPr>
                <w:rFonts w:cs="Arial"/>
                <w:sz w:val="18"/>
                <w:szCs w:val="18"/>
                <w:lang w:val="en-US"/>
              </w:rPr>
              <w:t>N.R.C.</w:t>
            </w:r>
            <w:r w:rsidRPr="00A90F88">
              <w:rPr>
                <w:rFonts w:cs="Arial"/>
                <w:sz w:val="18"/>
                <w:szCs w:val="18"/>
                <w:lang w:val="en-US"/>
              </w:rPr>
              <w:t>, at the latest on renewal of the inland navigation vessel certificate after</w:t>
            </w:r>
          </w:p>
        </w:tc>
        <w:tc>
          <w:tcPr>
            <w:tcW w:w="1276" w:type="dxa"/>
            <w:shd w:val="clear" w:color="auto" w:fill="auto"/>
          </w:tcPr>
          <w:p w:rsidR="004D56BE" w:rsidRPr="00A90F88" w:rsidRDefault="004D56BE" w:rsidP="00D321F1">
            <w:pPr>
              <w:spacing w:before="80" w:after="80" w:line="240" w:lineRule="atLeast"/>
              <w:ind w:left="0" w:firstLine="0"/>
              <w:rPr>
                <w:rFonts w:cs="Arial"/>
                <w:sz w:val="18"/>
                <w:szCs w:val="18"/>
              </w:rPr>
            </w:pPr>
            <w:r w:rsidRPr="00A90F88">
              <w:rPr>
                <w:rFonts w:cs="Arial"/>
                <w:sz w:val="18"/>
                <w:szCs w:val="18"/>
              </w:rPr>
              <w:t>30.12.2049</w:t>
            </w:r>
          </w:p>
        </w:tc>
      </w:tr>
      <w:tr w:rsidR="004D56BE" w:rsidRPr="00C903F8" w:rsidTr="001964F8">
        <w:trPr>
          <w:cantSplit/>
          <w:jc w:val="center"/>
        </w:trPr>
        <w:tc>
          <w:tcPr>
            <w:tcW w:w="1342" w:type="dxa"/>
            <w:tcBorders>
              <w:bottom w:val="single" w:sz="4" w:space="0" w:color="auto"/>
            </w:tcBorders>
            <w:shd w:val="clear" w:color="auto" w:fill="auto"/>
          </w:tcPr>
          <w:p w:rsidR="004D56BE" w:rsidRPr="00C903F8" w:rsidRDefault="004D56BE" w:rsidP="00D321F1">
            <w:pPr>
              <w:spacing w:before="80" w:after="80" w:line="240" w:lineRule="atLeast"/>
              <w:ind w:left="0" w:firstLine="0"/>
              <w:rPr>
                <w:rFonts w:cs="Arial"/>
                <w:sz w:val="18"/>
                <w:szCs w:val="18"/>
              </w:rPr>
            </w:pPr>
            <w:r w:rsidRPr="00C903F8">
              <w:rPr>
                <w:rFonts w:cs="Arial"/>
                <w:sz w:val="18"/>
                <w:szCs w:val="18"/>
              </w:rPr>
              <w:t>14.06</w:t>
            </w:r>
          </w:p>
        </w:tc>
        <w:tc>
          <w:tcPr>
            <w:tcW w:w="1458" w:type="dxa"/>
            <w:shd w:val="clear" w:color="auto" w:fill="auto"/>
          </w:tcPr>
          <w:p w:rsidR="004D56BE" w:rsidRPr="00C903F8" w:rsidRDefault="004D56BE" w:rsidP="00D321F1">
            <w:pPr>
              <w:spacing w:before="80" w:after="80" w:line="240" w:lineRule="atLeast"/>
              <w:ind w:left="0" w:firstLine="0"/>
              <w:rPr>
                <w:rFonts w:cs="Arial"/>
                <w:sz w:val="18"/>
                <w:szCs w:val="18"/>
              </w:rPr>
            </w:pPr>
            <w:r w:rsidRPr="00C903F8">
              <w:rPr>
                <w:rFonts w:cs="Arial"/>
                <w:sz w:val="18"/>
                <w:szCs w:val="18"/>
              </w:rPr>
              <w:t>(2)</w:t>
            </w:r>
          </w:p>
        </w:tc>
        <w:tc>
          <w:tcPr>
            <w:tcW w:w="3296" w:type="dxa"/>
            <w:shd w:val="clear" w:color="auto" w:fill="auto"/>
          </w:tcPr>
          <w:p w:rsidR="004D56BE" w:rsidRPr="00C903F8" w:rsidRDefault="004D56BE" w:rsidP="00D321F1">
            <w:pPr>
              <w:spacing w:before="80" w:after="80" w:line="240" w:lineRule="atLeast"/>
              <w:ind w:left="0" w:firstLine="0"/>
              <w:rPr>
                <w:rFonts w:cs="Arial"/>
                <w:sz w:val="18"/>
                <w:szCs w:val="18"/>
              </w:rPr>
            </w:pPr>
            <w:r w:rsidRPr="00C903F8">
              <w:rPr>
                <w:rFonts w:cs="Arial"/>
                <w:noProof/>
                <w:sz w:val="18"/>
                <w:szCs w:val="18"/>
              </w:rPr>
              <w:t>Exits and emergency exits</w:t>
            </w:r>
          </w:p>
        </w:tc>
        <w:tc>
          <w:tcPr>
            <w:tcW w:w="6521" w:type="dxa"/>
            <w:shd w:val="clear" w:color="auto" w:fill="auto"/>
          </w:tcPr>
          <w:p w:rsidR="004D56BE" w:rsidRPr="00C903F8" w:rsidRDefault="004D56BE" w:rsidP="00D321F1">
            <w:pPr>
              <w:spacing w:before="80" w:after="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80" w:after="8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tcBorders>
              <w:bottom w:val="nil"/>
            </w:tcBorders>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14.07</w:t>
            </w:r>
          </w:p>
        </w:tc>
        <w:tc>
          <w:tcPr>
            <w:tcW w:w="1458" w:type="dxa"/>
            <w:shd w:val="clear" w:color="auto" w:fill="auto"/>
          </w:tcPr>
          <w:p w:rsidR="004D56BE" w:rsidRPr="00C903F8" w:rsidRDefault="004D56BE" w:rsidP="00A8005B">
            <w:pPr>
              <w:spacing w:before="120" w:after="120" w:line="240" w:lineRule="atLeast"/>
              <w:ind w:left="0" w:firstLine="0"/>
              <w:jc w:val="left"/>
              <w:rPr>
                <w:rFonts w:cs="Arial"/>
                <w:sz w:val="18"/>
                <w:szCs w:val="18"/>
              </w:rPr>
            </w:pPr>
            <w:r w:rsidRPr="00C903F8">
              <w:rPr>
                <w:rFonts w:cs="Arial"/>
                <w:sz w:val="18"/>
                <w:szCs w:val="18"/>
              </w:rPr>
              <w:t>(1) 2</w:t>
            </w:r>
            <w:r w:rsidRPr="00C903F8">
              <w:rPr>
                <w:rFonts w:cs="Arial"/>
                <w:sz w:val="18"/>
                <w:szCs w:val="18"/>
                <w:vertAlign w:val="superscript"/>
              </w:rPr>
              <w:t>nd</w:t>
            </w:r>
            <w:r w:rsidRPr="00C903F8">
              <w:rPr>
                <w:rFonts w:cs="Arial"/>
                <w:sz w:val="18"/>
                <w:szCs w:val="18"/>
              </w:rPr>
              <w:t xml:space="preserve"> sentence</w:t>
            </w:r>
          </w:p>
        </w:tc>
        <w:tc>
          <w:tcPr>
            <w:tcW w:w="3296" w:type="dxa"/>
            <w:vMerge w:val="restart"/>
            <w:shd w:val="clear" w:color="auto" w:fill="auto"/>
          </w:tcPr>
          <w:p w:rsidR="004D56BE" w:rsidRPr="00C903F8" w:rsidRDefault="004D56BE" w:rsidP="00A8005B">
            <w:pPr>
              <w:spacing w:before="120" w:after="120" w:line="240" w:lineRule="atLeast"/>
              <w:ind w:left="0" w:firstLine="0"/>
              <w:rPr>
                <w:rFonts w:cs="Arial"/>
                <w:sz w:val="18"/>
                <w:szCs w:val="18"/>
                <w:lang w:val="en-US"/>
              </w:rPr>
            </w:pPr>
            <w:r w:rsidRPr="00C903F8">
              <w:rPr>
                <w:rFonts w:cs="Arial"/>
                <w:noProof/>
                <w:sz w:val="18"/>
                <w:szCs w:val="18"/>
                <w:lang w:val="en-US"/>
              </w:rPr>
              <w:t>Ladders, steps and similar devices</w:t>
            </w:r>
          </w:p>
        </w:tc>
        <w:tc>
          <w:tcPr>
            <w:tcW w:w="6521"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30.12.2049</w:t>
            </w:r>
          </w:p>
        </w:tc>
      </w:tr>
      <w:tr w:rsidR="004D56BE" w:rsidRPr="00296858" w:rsidTr="001964F8">
        <w:trPr>
          <w:cantSplit/>
          <w:jc w:val="center"/>
        </w:trPr>
        <w:tc>
          <w:tcPr>
            <w:tcW w:w="1342" w:type="dxa"/>
            <w:tcBorders>
              <w:top w:val="nil"/>
            </w:tcBorders>
            <w:shd w:val="clear" w:color="auto" w:fill="auto"/>
          </w:tcPr>
          <w:p w:rsidR="004D56BE" w:rsidRPr="00C903F8" w:rsidRDefault="004D56BE" w:rsidP="00A8005B">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(2) and (3)</w:t>
            </w:r>
          </w:p>
        </w:tc>
        <w:tc>
          <w:tcPr>
            <w:tcW w:w="3296" w:type="dxa"/>
            <w:vMerge/>
            <w:shd w:val="clear" w:color="auto" w:fill="auto"/>
          </w:tcPr>
          <w:p w:rsidR="004D56BE" w:rsidRPr="00C903F8" w:rsidRDefault="004D56BE" w:rsidP="00A8005B">
            <w:pPr>
              <w:spacing w:before="120" w:after="120" w:line="240" w:lineRule="atLeast"/>
              <w:ind w:left="0" w:firstLine="0"/>
              <w:rPr>
                <w:rFonts w:cs="Arial"/>
                <w:sz w:val="18"/>
                <w:szCs w:val="18"/>
              </w:rPr>
            </w:pPr>
          </w:p>
        </w:tc>
        <w:tc>
          <w:tcPr>
            <w:tcW w:w="6521"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w:t>
            </w:r>
          </w:p>
        </w:tc>
        <w:tc>
          <w:tcPr>
            <w:tcW w:w="1276"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p>
        </w:tc>
      </w:tr>
      <w:tr w:rsidR="004D56BE" w:rsidRPr="00C903F8" w:rsidTr="001964F8">
        <w:trPr>
          <w:cantSplit/>
          <w:jc w:val="center"/>
        </w:trPr>
        <w:tc>
          <w:tcPr>
            <w:tcW w:w="1342"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14.10</w:t>
            </w:r>
          </w:p>
        </w:tc>
        <w:tc>
          <w:tcPr>
            <w:tcW w:w="1458" w:type="dxa"/>
            <w:shd w:val="clear" w:color="auto" w:fill="auto"/>
          </w:tcPr>
          <w:p w:rsidR="004D56BE" w:rsidRPr="00C903F8" w:rsidRDefault="004D56BE" w:rsidP="00A8005B">
            <w:pPr>
              <w:spacing w:before="120" w:after="120" w:line="240" w:lineRule="atLeast"/>
              <w:ind w:left="0" w:firstLine="0"/>
              <w:rPr>
                <w:rFonts w:cs="Arial"/>
                <w:sz w:val="18"/>
                <w:szCs w:val="18"/>
              </w:rPr>
            </w:pPr>
          </w:p>
        </w:tc>
        <w:tc>
          <w:tcPr>
            <w:tcW w:w="3296"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noProof/>
                <w:sz w:val="18"/>
                <w:szCs w:val="18"/>
              </w:rPr>
              <w:t>Hatch covers</w:t>
            </w:r>
          </w:p>
        </w:tc>
        <w:tc>
          <w:tcPr>
            <w:tcW w:w="6521"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14.11</w:t>
            </w:r>
          </w:p>
        </w:tc>
        <w:tc>
          <w:tcPr>
            <w:tcW w:w="1458" w:type="dxa"/>
            <w:shd w:val="clear" w:color="auto" w:fill="auto"/>
          </w:tcPr>
          <w:p w:rsidR="004D56BE" w:rsidRPr="00C903F8" w:rsidRDefault="004D56BE" w:rsidP="00A8005B">
            <w:pPr>
              <w:spacing w:before="120" w:after="120" w:line="240" w:lineRule="atLeast"/>
              <w:ind w:left="0" w:firstLine="0"/>
              <w:rPr>
                <w:rFonts w:cs="Arial"/>
                <w:sz w:val="18"/>
                <w:szCs w:val="18"/>
              </w:rPr>
            </w:pPr>
          </w:p>
        </w:tc>
        <w:tc>
          <w:tcPr>
            <w:tcW w:w="3296"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noProof/>
                <w:sz w:val="18"/>
                <w:szCs w:val="18"/>
              </w:rPr>
              <w:t>Winches</w:t>
            </w:r>
          </w:p>
        </w:tc>
        <w:tc>
          <w:tcPr>
            <w:tcW w:w="6521"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30.12.2024</w:t>
            </w:r>
          </w:p>
        </w:tc>
      </w:tr>
      <w:tr w:rsidR="004D56BE" w:rsidRPr="00C903F8" w:rsidTr="001964F8">
        <w:trPr>
          <w:cantSplit/>
          <w:jc w:val="center"/>
        </w:trPr>
        <w:tc>
          <w:tcPr>
            <w:tcW w:w="1342"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lastRenderedPageBreak/>
              <w:t>14.12</w:t>
            </w:r>
          </w:p>
        </w:tc>
        <w:tc>
          <w:tcPr>
            <w:tcW w:w="1458"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(2) to (6) and (8) to (10)</w:t>
            </w:r>
          </w:p>
        </w:tc>
        <w:tc>
          <w:tcPr>
            <w:tcW w:w="3296"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r w:rsidRPr="00C903F8">
              <w:rPr>
                <w:rFonts w:cs="Arial"/>
                <w:sz w:val="18"/>
                <w:szCs w:val="18"/>
                <w:lang w:val="en-US"/>
              </w:rPr>
              <w:t>Cranes: Manufacturer’s plate, plaque du fabricant, maximum permissible loadings, protection devices, proof by calculation, expert inspection, shipboard documents</w:t>
            </w:r>
          </w:p>
        </w:tc>
        <w:tc>
          <w:tcPr>
            <w:tcW w:w="6521"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30.12.2029</w:t>
            </w:r>
          </w:p>
        </w:tc>
      </w:tr>
      <w:tr w:rsidR="004D56BE" w:rsidRPr="00296858" w:rsidTr="001964F8">
        <w:trPr>
          <w:cantSplit/>
          <w:jc w:val="center"/>
        </w:trPr>
        <w:tc>
          <w:tcPr>
            <w:tcW w:w="1342"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14.13</w:t>
            </w:r>
          </w:p>
        </w:tc>
        <w:tc>
          <w:tcPr>
            <w:tcW w:w="1458" w:type="dxa"/>
            <w:shd w:val="clear" w:color="auto" w:fill="auto"/>
          </w:tcPr>
          <w:p w:rsidR="004D56BE" w:rsidRPr="00C903F8" w:rsidRDefault="004D56BE" w:rsidP="00A8005B">
            <w:pPr>
              <w:spacing w:before="120" w:after="120" w:line="240" w:lineRule="atLeast"/>
              <w:ind w:left="0" w:firstLine="0"/>
              <w:rPr>
                <w:rFonts w:cs="Arial"/>
                <w:sz w:val="18"/>
                <w:szCs w:val="18"/>
              </w:rPr>
            </w:pPr>
          </w:p>
        </w:tc>
        <w:tc>
          <w:tcPr>
            <w:tcW w:w="3296"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noProof/>
                <w:sz w:val="18"/>
                <w:szCs w:val="18"/>
              </w:rPr>
              <w:t>Storing of flammable liquids</w:t>
            </w:r>
          </w:p>
        </w:tc>
        <w:tc>
          <w:tcPr>
            <w:tcW w:w="6521"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w:t>
            </w:r>
          </w:p>
        </w:tc>
        <w:tc>
          <w:tcPr>
            <w:tcW w:w="1276"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p>
        </w:tc>
      </w:tr>
      <w:tr w:rsidR="004D56BE" w:rsidRPr="00C903F8" w:rsidTr="001964F8">
        <w:trPr>
          <w:cantSplit/>
          <w:jc w:val="center"/>
        </w:trPr>
        <w:tc>
          <w:tcPr>
            <w:tcW w:w="6096" w:type="dxa"/>
            <w:gridSpan w:val="3"/>
            <w:shd w:val="clear" w:color="auto" w:fill="auto"/>
          </w:tcPr>
          <w:p w:rsidR="004D56BE" w:rsidRPr="00C903F8" w:rsidRDefault="004D56BE" w:rsidP="00A8005B">
            <w:pPr>
              <w:spacing w:before="120" w:after="120" w:line="240" w:lineRule="atLeast"/>
              <w:ind w:left="0" w:firstLine="0"/>
              <w:jc w:val="center"/>
              <w:rPr>
                <w:rFonts w:cs="Arial"/>
                <w:sz w:val="18"/>
                <w:szCs w:val="18"/>
              </w:rPr>
            </w:pPr>
            <w:r w:rsidRPr="00C903F8">
              <w:rPr>
                <w:rFonts w:cs="Arial"/>
                <w:b/>
                <w:sz w:val="18"/>
                <w:szCs w:val="18"/>
              </w:rPr>
              <w:t>CHAPTER 15</w:t>
            </w:r>
          </w:p>
        </w:tc>
        <w:tc>
          <w:tcPr>
            <w:tcW w:w="6521" w:type="dxa"/>
            <w:shd w:val="clear" w:color="auto" w:fill="auto"/>
          </w:tcPr>
          <w:p w:rsidR="004D56BE" w:rsidRPr="00C903F8" w:rsidRDefault="004D56BE" w:rsidP="00A8005B">
            <w:pPr>
              <w:spacing w:before="120" w:after="120" w:line="240" w:lineRule="atLeast"/>
              <w:ind w:left="0" w:firstLine="0"/>
              <w:rPr>
                <w:rFonts w:cs="Arial"/>
                <w:sz w:val="18"/>
                <w:szCs w:val="18"/>
              </w:rPr>
            </w:pPr>
          </w:p>
        </w:tc>
        <w:tc>
          <w:tcPr>
            <w:tcW w:w="1276" w:type="dxa"/>
            <w:shd w:val="clear" w:color="auto" w:fill="auto"/>
          </w:tcPr>
          <w:p w:rsidR="004D56BE" w:rsidRPr="00C903F8" w:rsidRDefault="004D56BE" w:rsidP="00A8005B">
            <w:pPr>
              <w:spacing w:before="120" w:after="120" w:line="240" w:lineRule="atLeast"/>
              <w:ind w:left="0" w:firstLine="0"/>
              <w:rPr>
                <w:rFonts w:cs="Arial"/>
                <w:sz w:val="18"/>
                <w:szCs w:val="18"/>
              </w:rPr>
            </w:pPr>
          </w:p>
        </w:tc>
      </w:tr>
      <w:tr w:rsidR="004D56BE" w:rsidRPr="00C903F8" w:rsidTr="001964F8">
        <w:trPr>
          <w:cantSplit/>
          <w:jc w:val="center"/>
        </w:trPr>
        <w:tc>
          <w:tcPr>
            <w:tcW w:w="1342" w:type="dxa"/>
            <w:tcBorders>
              <w:bottom w:val="single" w:sz="4" w:space="0" w:color="auto"/>
            </w:tcBorders>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15.01</w:t>
            </w:r>
          </w:p>
        </w:tc>
        <w:tc>
          <w:tcPr>
            <w:tcW w:w="1458"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(1)</w:t>
            </w:r>
          </w:p>
        </w:tc>
        <w:tc>
          <w:tcPr>
            <w:tcW w:w="3296"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r w:rsidRPr="00C903F8">
              <w:rPr>
                <w:rFonts w:cs="Arial"/>
                <w:noProof/>
                <w:sz w:val="18"/>
                <w:szCs w:val="18"/>
                <w:lang w:val="en-US"/>
              </w:rPr>
              <w:t>Accommodation for the persons lodging habitually on board</w:t>
            </w:r>
          </w:p>
        </w:tc>
        <w:tc>
          <w:tcPr>
            <w:tcW w:w="6521"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tcBorders>
              <w:bottom w:val="nil"/>
            </w:tcBorders>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15.02</w:t>
            </w:r>
          </w:p>
        </w:tc>
        <w:tc>
          <w:tcPr>
            <w:tcW w:w="1458"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(3)</w:t>
            </w:r>
          </w:p>
        </w:tc>
        <w:tc>
          <w:tcPr>
            <w:tcW w:w="3296"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noProof/>
                <w:sz w:val="18"/>
                <w:szCs w:val="18"/>
              </w:rPr>
              <w:t>Situation of floors</w:t>
            </w:r>
          </w:p>
        </w:tc>
        <w:tc>
          <w:tcPr>
            <w:tcW w:w="6521"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A8005B">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(4)</w:t>
            </w:r>
          </w:p>
        </w:tc>
        <w:tc>
          <w:tcPr>
            <w:tcW w:w="3296"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r w:rsidRPr="00C903F8">
              <w:rPr>
                <w:rFonts w:cs="Arial"/>
                <w:sz w:val="18"/>
                <w:szCs w:val="18"/>
                <w:lang w:val="en-US"/>
              </w:rPr>
              <w:t>Communal living quarters and sleeping cabins</w:t>
            </w:r>
          </w:p>
        </w:tc>
        <w:tc>
          <w:tcPr>
            <w:tcW w:w="6521"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A8005B">
            <w:pPr>
              <w:spacing w:before="120" w:after="12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(5)</w:t>
            </w:r>
          </w:p>
        </w:tc>
        <w:tc>
          <w:tcPr>
            <w:tcW w:w="3296"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r w:rsidRPr="00C903F8">
              <w:rPr>
                <w:rFonts w:cs="Arial"/>
                <w:noProof/>
                <w:sz w:val="18"/>
                <w:szCs w:val="18"/>
                <w:lang w:val="en-US"/>
              </w:rPr>
              <w:t>Noise and vibration in accommodations</w:t>
            </w:r>
          </w:p>
        </w:tc>
        <w:tc>
          <w:tcPr>
            <w:tcW w:w="6521" w:type="dxa"/>
            <w:shd w:val="clear" w:color="auto" w:fill="auto"/>
          </w:tcPr>
          <w:p w:rsidR="004D56BE" w:rsidRPr="00C903F8" w:rsidRDefault="004D56BE" w:rsidP="00A8005B">
            <w:pPr>
              <w:spacing w:before="120" w:after="1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120" w:after="120" w:line="240" w:lineRule="atLeast"/>
              <w:ind w:left="0" w:firstLine="0"/>
              <w:rPr>
                <w:rFonts w:cs="Arial"/>
                <w:sz w:val="18"/>
                <w:szCs w:val="18"/>
              </w:rPr>
            </w:pPr>
            <w:r w:rsidRPr="00C903F8">
              <w:rPr>
                <w:rFonts w:cs="Arial"/>
                <w:sz w:val="18"/>
                <w:szCs w:val="18"/>
              </w:rPr>
              <w:t>30.12.2029</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A8005B">
            <w:pPr>
              <w:spacing w:before="200" w:after="20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200" w:after="200" w:line="240" w:lineRule="atLeast"/>
              <w:ind w:left="0" w:firstLine="0"/>
              <w:rPr>
                <w:rFonts w:cs="Arial"/>
                <w:sz w:val="18"/>
                <w:szCs w:val="18"/>
              </w:rPr>
            </w:pPr>
            <w:r w:rsidRPr="00C903F8">
              <w:rPr>
                <w:rFonts w:cs="Arial"/>
                <w:sz w:val="18"/>
                <w:szCs w:val="18"/>
              </w:rPr>
              <w:t>(6)</w:t>
            </w:r>
          </w:p>
        </w:tc>
        <w:tc>
          <w:tcPr>
            <w:tcW w:w="3296" w:type="dxa"/>
            <w:shd w:val="clear" w:color="auto" w:fill="auto"/>
          </w:tcPr>
          <w:p w:rsidR="004D56BE" w:rsidRPr="00C903F8" w:rsidRDefault="004D56BE" w:rsidP="00A8005B">
            <w:pPr>
              <w:spacing w:before="200" w:after="200" w:line="240" w:lineRule="atLeast"/>
              <w:ind w:left="0" w:firstLine="0"/>
              <w:rPr>
                <w:rFonts w:cs="Arial"/>
                <w:sz w:val="18"/>
                <w:szCs w:val="18"/>
              </w:rPr>
            </w:pPr>
            <w:r w:rsidRPr="00C903F8">
              <w:rPr>
                <w:rFonts w:cs="Arial"/>
                <w:noProof/>
                <w:sz w:val="18"/>
                <w:szCs w:val="18"/>
              </w:rPr>
              <w:t>Headroom in accommodations</w:t>
            </w:r>
          </w:p>
        </w:tc>
        <w:tc>
          <w:tcPr>
            <w:tcW w:w="6521" w:type="dxa"/>
            <w:shd w:val="clear" w:color="auto" w:fill="auto"/>
          </w:tcPr>
          <w:p w:rsidR="004D56BE" w:rsidRPr="00C903F8" w:rsidRDefault="004D56BE" w:rsidP="00A8005B">
            <w:pPr>
              <w:spacing w:before="200" w:after="2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200" w:after="20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A8005B">
            <w:pPr>
              <w:spacing w:before="200" w:after="20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200" w:after="200" w:line="240" w:lineRule="atLeast"/>
              <w:ind w:left="0" w:firstLine="0"/>
              <w:rPr>
                <w:rFonts w:cs="Arial"/>
                <w:sz w:val="18"/>
                <w:szCs w:val="18"/>
              </w:rPr>
            </w:pPr>
            <w:r w:rsidRPr="00C903F8">
              <w:rPr>
                <w:rFonts w:cs="Arial"/>
                <w:sz w:val="18"/>
                <w:szCs w:val="18"/>
              </w:rPr>
              <w:t>(8)</w:t>
            </w:r>
          </w:p>
        </w:tc>
        <w:tc>
          <w:tcPr>
            <w:tcW w:w="3296" w:type="dxa"/>
            <w:shd w:val="clear" w:color="auto" w:fill="auto"/>
          </w:tcPr>
          <w:p w:rsidR="004D56BE" w:rsidRPr="00C903F8" w:rsidRDefault="004D56BE" w:rsidP="00A8005B">
            <w:pPr>
              <w:spacing w:before="200" w:after="200" w:line="240" w:lineRule="atLeast"/>
              <w:ind w:left="0" w:firstLine="0"/>
              <w:rPr>
                <w:rFonts w:cs="Arial"/>
                <w:sz w:val="18"/>
                <w:szCs w:val="18"/>
                <w:lang w:val="en-US"/>
              </w:rPr>
            </w:pPr>
            <w:r w:rsidRPr="00C903F8">
              <w:rPr>
                <w:rFonts w:cs="Arial"/>
                <w:noProof/>
                <w:sz w:val="18"/>
                <w:szCs w:val="18"/>
                <w:lang w:val="en-US"/>
              </w:rPr>
              <w:t>Free floor area of communal living quarters</w:t>
            </w:r>
          </w:p>
        </w:tc>
        <w:tc>
          <w:tcPr>
            <w:tcW w:w="6521" w:type="dxa"/>
            <w:shd w:val="clear" w:color="auto" w:fill="auto"/>
          </w:tcPr>
          <w:p w:rsidR="004D56BE" w:rsidRPr="00C903F8" w:rsidRDefault="004D56BE" w:rsidP="00A8005B">
            <w:pPr>
              <w:spacing w:before="200" w:after="2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200" w:after="20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A8005B">
            <w:pPr>
              <w:spacing w:before="200" w:after="20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200" w:after="200" w:line="240" w:lineRule="atLeast"/>
              <w:ind w:left="0" w:firstLine="0"/>
              <w:rPr>
                <w:rFonts w:cs="Arial"/>
                <w:sz w:val="18"/>
                <w:szCs w:val="18"/>
              </w:rPr>
            </w:pPr>
            <w:r w:rsidRPr="00C903F8">
              <w:rPr>
                <w:rFonts w:cs="Arial"/>
                <w:sz w:val="18"/>
                <w:szCs w:val="18"/>
              </w:rPr>
              <w:t>(9)</w:t>
            </w:r>
          </w:p>
        </w:tc>
        <w:tc>
          <w:tcPr>
            <w:tcW w:w="3296" w:type="dxa"/>
            <w:shd w:val="clear" w:color="auto" w:fill="auto"/>
          </w:tcPr>
          <w:p w:rsidR="004D56BE" w:rsidRPr="00C903F8" w:rsidRDefault="004D56BE" w:rsidP="00A8005B">
            <w:pPr>
              <w:spacing w:before="200" w:after="200" w:line="240" w:lineRule="atLeast"/>
              <w:ind w:left="0" w:firstLine="0"/>
              <w:rPr>
                <w:rFonts w:cs="Arial"/>
                <w:sz w:val="18"/>
                <w:szCs w:val="18"/>
              </w:rPr>
            </w:pPr>
            <w:r w:rsidRPr="00C903F8">
              <w:rPr>
                <w:rFonts w:cs="Arial"/>
                <w:noProof/>
                <w:sz w:val="18"/>
                <w:szCs w:val="18"/>
              </w:rPr>
              <w:t>Cubic capacity of rooms</w:t>
            </w:r>
          </w:p>
        </w:tc>
        <w:tc>
          <w:tcPr>
            <w:tcW w:w="6521" w:type="dxa"/>
            <w:shd w:val="clear" w:color="auto" w:fill="auto"/>
          </w:tcPr>
          <w:p w:rsidR="004D56BE" w:rsidRPr="00C903F8" w:rsidRDefault="004D56BE" w:rsidP="00A8005B">
            <w:pPr>
              <w:spacing w:before="200" w:after="2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200" w:after="20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D321F1">
            <w:pPr>
              <w:spacing w:before="280" w:after="28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280" w:after="280" w:line="240" w:lineRule="atLeast"/>
              <w:ind w:left="0" w:firstLine="0"/>
              <w:rPr>
                <w:rFonts w:cs="Arial"/>
                <w:sz w:val="18"/>
                <w:szCs w:val="18"/>
              </w:rPr>
            </w:pPr>
            <w:r w:rsidRPr="00C903F8">
              <w:rPr>
                <w:rFonts w:cs="Arial"/>
                <w:sz w:val="18"/>
                <w:szCs w:val="18"/>
              </w:rPr>
              <w:t>(10)</w:t>
            </w:r>
          </w:p>
        </w:tc>
        <w:tc>
          <w:tcPr>
            <w:tcW w:w="3296" w:type="dxa"/>
            <w:shd w:val="clear" w:color="auto" w:fill="auto"/>
          </w:tcPr>
          <w:p w:rsidR="004D56BE" w:rsidRPr="00C903F8" w:rsidRDefault="004D56BE" w:rsidP="00D321F1">
            <w:pPr>
              <w:spacing w:before="280" w:after="280" w:line="240" w:lineRule="atLeast"/>
              <w:ind w:left="0" w:firstLine="0"/>
              <w:rPr>
                <w:rFonts w:cs="Arial"/>
                <w:sz w:val="18"/>
                <w:szCs w:val="18"/>
                <w:lang w:val="en-US"/>
              </w:rPr>
            </w:pPr>
            <w:r w:rsidRPr="00C903F8">
              <w:rPr>
                <w:rFonts w:cs="Arial"/>
                <w:noProof/>
                <w:sz w:val="18"/>
                <w:szCs w:val="18"/>
                <w:lang w:val="en-US"/>
              </w:rPr>
              <w:t>Volume of airspace per person</w:t>
            </w:r>
          </w:p>
        </w:tc>
        <w:tc>
          <w:tcPr>
            <w:tcW w:w="6521" w:type="dxa"/>
            <w:shd w:val="clear" w:color="auto" w:fill="auto"/>
          </w:tcPr>
          <w:p w:rsidR="004D56BE" w:rsidRPr="00C903F8" w:rsidRDefault="004D56BE" w:rsidP="00D321F1">
            <w:pPr>
              <w:spacing w:before="280" w:after="28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280" w:after="28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D321F1">
            <w:pPr>
              <w:spacing w:before="320" w:after="32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320" w:after="320" w:line="240" w:lineRule="atLeast"/>
              <w:ind w:left="0" w:firstLine="0"/>
              <w:rPr>
                <w:rFonts w:cs="Arial"/>
                <w:sz w:val="18"/>
                <w:szCs w:val="18"/>
              </w:rPr>
            </w:pPr>
            <w:r w:rsidRPr="00C903F8">
              <w:rPr>
                <w:rFonts w:cs="Arial"/>
                <w:sz w:val="18"/>
                <w:szCs w:val="18"/>
              </w:rPr>
              <w:t>(11)</w:t>
            </w:r>
          </w:p>
        </w:tc>
        <w:tc>
          <w:tcPr>
            <w:tcW w:w="3296" w:type="dxa"/>
            <w:shd w:val="clear" w:color="auto" w:fill="auto"/>
          </w:tcPr>
          <w:p w:rsidR="004D56BE" w:rsidRPr="00C903F8" w:rsidRDefault="004D56BE" w:rsidP="00D321F1">
            <w:pPr>
              <w:spacing w:before="320" w:after="320" w:line="240" w:lineRule="atLeast"/>
              <w:jc w:val="left"/>
              <w:rPr>
                <w:rFonts w:cs="Arial"/>
                <w:noProof/>
                <w:sz w:val="18"/>
                <w:szCs w:val="18"/>
              </w:rPr>
            </w:pPr>
            <w:r w:rsidRPr="00C903F8">
              <w:rPr>
                <w:rFonts w:cs="Arial"/>
                <w:noProof/>
                <w:sz w:val="18"/>
                <w:szCs w:val="18"/>
              </w:rPr>
              <w:t>Size of doors</w:t>
            </w:r>
          </w:p>
        </w:tc>
        <w:tc>
          <w:tcPr>
            <w:tcW w:w="6521" w:type="dxa"/>
            <w:shd w:val="clear" w:color="auto" w:fill="auto"/>
          </w:tcPr>
          <w:p w:rsidR="004D56BE" w:rsidRPr="00C903F8" w:rsidRDefault="004D56BE" w:rsidP="00D321F1">
            <w:pPr>
              <w:spacing w:before="320" w:after="3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320" w:after="32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tcBorders>
              <w:top w:val="nil"/>
              <w:bottom w:val="nil"/>
            </w:tcBorders>
            <w:shd w:val="clear" w:color="auto" w:fill="auto"/>
          </w:tcPr>
          <w:p w:rsidR="004D56BE" w:rsidRPr="00C903F8" w:rsidRDefault="004D56BE" w:rsidP="00D321F1">
            <w:pPr>
              <w:spacing w:before="320" w:after="32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320" w:after="320" w:line="240" w:lineRule="atLeast"/>
              <w:ind w:left="0" w:firstLine="0"/>
              <w:rPr>
                <w:rFonts w:cs="Arial"/>
                <w:sz w:val="18"/>
                <w:szCs w:val="18"/>
              </w:rPr>
            </w:pPr>
            <w:r w:rsidRPr="00C903F8">
              <w:rPr>
                <w:rFonts w:cs="Arial"/>
                <w:sz w:val="18"/>
                <w:szCs w:val="18"/>
              </w:rPr>
              <w:t>(12)</w:t>
            </w:r>
            <w:r>
              <w:rPr>
                <w:rFonts w:cs="Arial"/>
                <w:sz w:val="18"/>
                <w:szCs w:val="18"/>
              </w:rPr>
              <w:t>(</w:t>
            </w:r>
            <w:r w:rsidRPr="00C903F8">
              <w:rPr>
                <w:rFonts w:cs="Arial"/>
                <w:sz w:val="18"/>
                <w:szCs w:val="18"/>
              </w:rPr>
              <w:t xml:space="preserve">a) and </w:t>
            </w:r>
            <w:r>
              <w:rPr>
                <w:rFonts w:cs="Arial"/>
                <w:sz w:val="18"/>
                <w:szCs w:val="18"/>
              </w:rPr>
              <w:t>(</w:t>
            </w:r>
            <w:r w:rsidRPr="00C903F8">
              <w:rPr>
                <w:rFonts w:cs="Arial"/>
                <w:sz w:val="18"/>
                <w:szCs w:val="18"/>
              </w:rPr>
              <w:t>b)</w:t>
            </w:r>
          </w:p>
        </w:tc>
        <w:tc>
          <w:tcPr>
            <w:tcW w:w="3296" w:type="dxa"/>
            <w:shd w:val="clear" w:color="auto" w:fill="auto"/>
          </w:tcPr>
          <w:p w:rsidR="004D56BE" w:rsidRPr="00C903F8" w:rsidRDefault="004D56BE" w:rsidP="00D321F1">
            <w:pPr>
              <w:tabs>
                <w:tab w:val="left" w:pos="1080"/>
              </w:tabs>
              <w:spacing w:before="320" w:after="320" w:line="240" w:lineRule="atLeast"/>
              <w:ind w:left="0" w:firstLine="0"/>
              <w:rPr>
                <w:rFonts w:cs="Arial"/>
                <w:sz w:val="18"/>
                <w:szCs w:val="18"/>
              </w:rPr>
            </w:pPr>
            <w:r w:rsidRPr="00C903F8">
              <w:rPr>
                <w:rFonts w:cs="Arial"/>
                <w:noProof/>
                <w:sz w:val="18"/>
                <w:szCs w:val="18"/>
              </w:rPr>
              <w:t>Situation of stairs</w:t>
            </w:r>
          </w:p>
        </w:tc>
        <w:tc>
          <w:tcPr>
            <w:tcW w:w="6521" w:type="dxa"/>
            <w:shd w:val="clear" w:color="auto" w:fill="auto"/>
          </w:tcPr>
          <w:p w:rsidR="004D56BE" w:rsidRPr="00C903F8" w:rsidRDefault="004D56BE" w:rsidP="00D321F1">
            <w:pPr>
              <w:spacing w:before="320" w:after="3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320" w:after="32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tcBorders>
              <w:top w:val="nil"/>
            </w:tcBorders>
            <w:shd w:val="clear" w:color="auto" w:fill="auto"/>
          </w:tcPr>
          <w:p w:rsidR="004D56BE" w:rsidRPr="00C903F8" w:rsidRDefault="004D56BE" w:rsidP="00D321F1">
            <w:pPr>
              <w:spacing w:before="320" w:after="320" w:line="240" w:lineRule="atLeast"/>
              <w:ind w:left="0" w:firstLine="0"/>
              <w:rPr>
                <w:rFonts w:cs="Arial"/>
                <w:sz w:val="18"/>
                <w:szCs w:val="18"/>
              </w:rPr>
            </w:pPr>
          </w:p>
        </w:tc>
        <w:tc>
          <w:tcPr>
            <w:tcW w:w="1458" w:type="dxa"/>
            <w:shd w:val="clear" w:color="auto" w:fill="auto"/>
          </w:tcPr>
          <w:p w:rsidR="004D56BE" w:rsidRPr="00C903F8" w:rsidRDefault="004D56BE" w:rsidP="00D321F1">
            <w:pPr>
              <w:spacing w:before="320" w:after="320" w:line="240" w:lineRule="atLeast"/>
              <w:ind w:left="0" w:firstLine="0"/>
              <w:rPr>
                <w:rFonts w:cs="Arial"/>
                <w:sz w:val="18"/>
                <w:szCs w:val="18"/>
              </w:rPr>
            </w:pPr>
            <w:r w:rsidRPr="00C903F8">
              <w:rPr>
                <w:rFonts w:cs="Arial"/>
                <w:sz w:val="18"/>
                <w:szCs w:val="18"/>
              </w:rPr>
              <w:t>(13)</w:t>
            </w:r>
          </w:p>
        </w:tc>
        <w:tc>
          <w:tcPr>
            <w:tcW w:w="3296" w:type="dxa"/>
            <w:shd w:val="clear" w:color="auto" w:fill="auto"/>
          </w:tcPr>
          <w:p w:rsidR="004D56BE" w:rsidRPr="00C903F8" w:rsidRDefault="004D56BE" w:rsidP="00D321F1">
            <w:pPr>
              <w:spacing w:before="320" w:after="320" w:line="240" w:lineRule="atLeast"/>
              <w:ind w:left="0" w:firstLine="0"/>
              <w:jc w:val="left"/>
              <w:rPr>
                <w:rFonts w:cs="Arial"/>
                <w:noProof/>
                <w:sz w:val="18"/>
                <w:szCs w:val="18"/>
                <w:lang w:val="en-US"/>
              </w:rPr>
            </w:pPr>
            <w:r w:rsidRPr="00C903F8">
              <w:rPr>
                <w:rFonts w:cs="Arial"/>
                <w:noProof/>
                <w:sz w:val="18"/>
                <w:szCs w:val="18"/>
                <w:lang w:val="en-US"/>
              </w:rPr>
              <w:t>Pipes carrying dangerous gases or liquids</w:t>
            </w:r>
          </w:p>
        </w:tc>
        <w:tc>
          <w:tcPr>
            <w:tcW w:w="6521" w:type="dxa"/>
            <w:shd w:val="clear" w:color="auto" w:fill="auto"/>
          </w:tcPr>
          <w:p w:rsidR="004D56BE" w:rsidRPr="00C903F8" w:rsidRDefault="004D56BE" w:rsidP="00D321F1">
            <w:pPr>
              <w:spacing w:before="320" w:after="3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320" w:after="32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shd w:val="clear" w:color="auto" w:fill="auto"/>
          </w:tcPr>
          <w:p w:rsidR="004D56BE" w:rsidRPr="00C903F8" w:rsidRDefault="004D56BE" w:rsidP="00D321F1">
            <w:pPr>
              <w:spacing w:before="320" w:after="320" w:line="240" w:lineRule="atLeast"/>
              <w:ind w:left="0" w:firstLine="0"/>
              <w:rPr>
                <w:rFonts w:cs="Arial"/>
                <w:sz w:val="18"/>
                <w:szCs w:val="18"/>
              </w:rPr>
            </w:pPr>
            <w:r w:rsidRPr="00C903F8">
              <w:rPr>
                <w:rFonts w:cs="Arial"/>
                <w:sz w:val="18"/>
                <w:szCs w:val="18"/>
              </w:rPr>
              <w:t>15.03</w:t>
            </w:r>
          </w:p>
        </w:tc>
        <w:tc>
          <w:tcPr>
            <w:tcW w:w="1458" w:type="dxa"/>
            <w:shd w:val="clear" w:color="auto" w:fill="auto"/>
          </w:tcPr>
          <w:p w:rsidR="004D56BE" w:rsidRPr="00C903F8" w:rsidRDefault="004D56BE" w:rsidP="00D321F1">
            <w:pPr>
              <w:spacing w:before="320" w:after="320" w:line="240" w:lineRule="atLeast"/>
              <w:ind w:left="0" w:firstLine="0"/>
              <w:rPr>
                <w:rFonts w:cs="Arial"/>
                <w:sz w:val="18"/>
                <w:szCs w:val="18"/>
              </w:rPr>
            </w:pPr>
          </w:p>
        </w:tc>
        <w:tc>
          <w:tcPr>
            <w:tcW w:w="3296" w:type="dxa"/>
            <w:shd w:val="clear" w:color="auto" w:fill="auto"/>
          </w:tcPr>
          <w:p w:rsidR="004D56BE" w:rsidRPr="00C903F8" w:rsidRDefault="004D56BE" w:rsidP="00D321F1">
            <w:pPr>
              <w:spacing w:before="320" w:after="320" w:line="240" w:lineRule="atLeast"/>
              <w:jc w:val="left"/>
              <w:rPr>
                <w:rFonts w:cs="Arial"/>
                <w:noProof/>
                <w:sz w:val="18"/>
                <w:szCs w:val="18"/>
              </w:rPr>
            </w:pPr>
            <w:r w:rsidRPr="00C903F8">
              <w:rPr>
                <w:rFonts w:cs="Arial"/>
                <w:noProof/>
                <w:sz w:val="18"/>
                <w:szCs w:val="18"/>
              </w:rPr>
              <w:t>Sanitary installations</w:t>
            </w:r>
          </w:p>
        </w:tc>
        <w:tc>
          <w:tcPr>
            <w:tcW w:w="6521" w:type="dxa"/>
            <w:shd w:val="clear" w:color="auto" w:fill="auto"/>
          </w:tcPr>
          <w:p w:rsidR="004D56BE" w:rsidRPr="00C903F8" w:rsidRDefault="004D56BE" w:rsidP="00D321F1">
            <w:pPr>
              <w:spacing w:before="320" w:after="3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320" w:after="32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shd w:val="clear" w:color="auto" w:fill="auto"/>
          </w:tcPr>
          <w:p w:rsidR="004D56BE" w:rsidRPr="00C903F8" w:rsidRDefault="004D56BE" w:rsidP="00D321F1">
            <w:pPr>
              <w:spacing w:before="320" w:after="320" w:line="240" w:lineRule="atLeast"/>
              <w:ind w:left="0" w:firstLine="0"/>
              <w:rPr>
                <w:rFonts w:cs="Arial"/>
                <w:sz w:val="18"/>
                <w:szCs w:val="18"/>
              </w:rPr>
            </w:pPr>
            <w:r w:rsidRPr="00C903F8">
              <w:rPr>
                <w:rFonts w:cs="Arial"/>
                <w:sz w:val="18"/>
                <w:szCs w:val="18"/>
              </w:rPr>
              <w:t>15.04</w:t>
            </w:r>
          </w:p>
        </w:tc>
        <w:tc>
          <w:tcPr>
            <w:tcW w:w="1458" w:type="dxa"/>
            <w:shd w:val="clear" w:color="auto" w:fill="auto"/>
          </w:tcPr>
          <w:p w:rsidR="004D56BE" w:rsidRPr="00C903F8" w:rsidRDefault="004D56BE" w:rsidP="00D321F1">
            <w:pPr>
              <w:spacing w:before="320" w:after="320" w:line="240" w:lineRule="atLeast"/>
              <w:ind w:left="0" w:firstLine="0"/>
              <w:rPr>
                <w:rFonts w:cs="Arial"/>
                <w:sz w:val="18"/>
                <w:szCs w:val="18"/>
              </w:rPr>
            </w:pPr>
          </w:p>
        </w:tc>
        <w:tc>
          <w:tcPr>
            <w:tcW w:w="3296" w:type="dxa"/>
            <w:shd w:val="clear" w:color="auto" w:fill="auto"/>
          </w:tcPr>
          <w:p w:rsidR="004D56BE" w:rsidRPr="00C903F8" w:rsidRDefault="004D56BE" w:rsidP="00D321F1">
            <w:pPr>
              <w:spacing w:before="320" w:after="320" w:line="240" w:lineRule="atLeast"/>
              <w:jc w:val="left"/>
              <w:rPr>
                <w:rFonts w:cs="Arial"/>
                <w:noProof/>
                <w:sz w:val="18"/>
                <w:szCs w:val="18"/>
              </w:rPr>
            </w:pPr>
            <w:r w:rsidRPr="00C903F8">
              <w:rPr>
                <w:rFonts w:cs="Arial"/>
                <w:noProof/>
                <w:sz w:val="18"/>
                <w:szCs w:val="18"/>
              </w:rPr>
              <w:t>Galleys</w:t>
            </w:r>
          </w:p>
        </w:tc>
        <w:tc>
          <w:tcPr>
            <w:tcW w:w="6521" w:type="dxa"/>
            <w:shd w:val="clear" w:color="auto" w:fill="auto"/>
          </w:tcPr>
          <w:p w:rsidR="004D56BE" w:rsidRPr="00C903F8" w:rsidRDefault="004D56BE" w:rsidP="00D321F1">
            <w:pPr>
              <w:spacing w:before="320" w:after="3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320" w:after="320" w:line="240" w:lineRule="atLeast"/>
              <w:ind w:left="0" w:firstLine="0"/>
              <w:rPr>
                <w:rFonts w:cs="Arial"/>
                <w:sz w:val="18"/>
                <w:szCs w:val="18"/>
              </w:rPr>
            </w:pPr>
            <w:r w:rsidRPr="00C903F8">
              <w:rPr>
                <w:rFonts w:cs="Arial"/>
                <w:sz w:val="18"/>
                <w:szCs w:val="18"/>
              </w:rPr>
              <w:t>30.12.2049</w:t>
            </w:r>
          </w:p>
        </w:tc>
      </w:tr>
      <w:tr w:rsidR="004D56BE" w:rsidRPr="00296858" w:rsidTr="001964F8">
        <w:trPr>
          <w:cantSplit/>
          <w:jc w:val="center"/>
        </w:trPr>
        <w:tc>
          <w:tcPr>
            <w:tcW w:w="1342" w:type="dxa"/>
            <w:shd w:val="clear" w:color="auto" w:fill="auto"/>
          </w:tcPr>
          <w:p w:rsidR="004D56BE" w:rsidRPr="00C903F8" w:rsidRDefault="004D56BE" w:rsidP="00D321F1">
            <w:pPr>
              <w:spacing w:before="320" w:after="320" w:line="240" w:lineRule="atLeast"/>
              <w:ind w:left="0" w:firstLine="0"/>
              <w:rPr>
                <w:rFonts w:cs="Arial"/>
                <w:sz w:val="18"/>
                <w:szCs w:val="18"/>
              </w:rPr>
            </w:pPr>
            <w:r w:rsidRPr="00C903F8">
              <w:rPr>
                <w:rFonts w:cs="Arial"/>
                <w:sz w:val="18"/>
                <w:szCs w:val="18"/>
              </w:rPr>
              <w:t>15.05</w:t>
            </w:r>
          </w:p>
        </w:tc>
        <w:tc>
          <w:tcPr>
            <w:tcW w:w="1458" w:type="dxa"/>
            <w:shd w:val="clear" w:color="auto" w:fill="auto"/>
          </w:tcPr>
          <w:p w:rsidR="004D56BE" w:rsidRPr="00C903F8" w:rsidRDefault="004D56BE" w:rsidP="00D321F1">
            <w:pPr>
              <w:spacing w:before="320" w:after="320" w:line="240" w:lineRule="atLeast"/>
              <w:ind w:left="0" w:firstLine="0"/>
              <w:rPr>
                <w:rFonts w:cs="Arial"/>
                <w:sz w:val="18"/>
                <w:szCs w:val="18"/>
              </w:rPr>
            </w:pPr>
          </w:p>
        </w:tc>
        <w:tc>
          <w:tcPr>
            <w:tcW w:w="3296" w:type="dxa"/>
            <w:shd w:val="clear" w:color="auto" w:fill="auto"/>
          </w:tcPr>
          <w:p w:rsidR="004D56BE" w:rsidRPr="00C903F8" w:rsidRDefault="004D56BE" w:rsidP="00D321F1">
            <w:pPr>
              <w:spacing w:before="320" w:after="320" w:line="240" w:lineRule="atLeast"/>
              <w:rPr>
                <w:rFonts w:cs="Arial"/>
                <w:color w:val="000000"/>
                <w:sz w:val="18"/>
                <w:szCs w:val="18"/>
              </w:rPr>
            </w:pPr>
            <w:r w:rsidRPr="00C903F8">
              <w:rPr>
                <w:rFonts w:cs="Arial"/>
                <w:color w:val="000000"/>
                <w:sz w:val="18"/>
                <w:szCs w:val="18"/>
              </w:rPr>
              <w:t>Potable water installations</w:t>
            </w:r>
          </w:p>
        </w:tc>
        <w:tc>
          <w:tcPr>
            <w:tcW w:w="6521" w:type="dxa"/>
            <w:shd w:val="clear" w:color="auto" w:fill="auto"/>
          </w:tcPr>
          <w:p w:rsidR="004D56BE" w:rsidRPr="00C903F8" w:rsidRDefault="004D56BE" w:rsidP="00D321F1">
            <w:pPr>
              <w:spacing w:before="320" w:after="32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w:t>
            </w:r>
          </w:p>
        </w:tc>
        <w:tc>
          <w:tcPr>
            <w:tcW w:w="1276" w:type="dxa"/>
            <w:shd w:val="clear" w:color="auto" w:fill="auto"/>
          </w:tcPr>
          <w:p w:rsidR="004D56BE" w:rsidRPr="00C903F8" w:rsidRDefault="004D56BE" w:rsidP="00D321F1">
            <w:pPr>
              <w:spacing w:before="320" w:after="320" w:line="240" w:lineRule="atLeast"/>
              <w:ind w:left="0" w:firstLine="0"/>
              <w:rPr>
                <w:rFonts w:cs="Arial"/>
                <w:sz w:val="18"/>
                <w:szCs w:val="18"/>
                <w:lang w:val="en-US"/>
              </w:rPr>
            </w:pPr>
          </w:p>
        </w:tc>
      </w:tr>
      <w:tr w:rsidR="004D56BE" w:rsidRPr="00C903F8" w:rsidTr="001964F8">
        <w:trPr>
          <w:cantSplit/>
          <w:jc w:val="center"/>
        </w:trPr>
        <w:tc>
          <w:tcPr>
            <w:tcW w:w="1342" w:type="dxa"/>
            <w:shd w:val="clear" w:color="auto" w:fill="auto"/>
          </w:tcPr>
          <w:p w:rsidR="004D56BE" w:rsidRPr="00C903F8" w:rsidRDefault="004D56BE" w:rsidP="00D321F1">
            <w:pPr>
              <w:spacing w:before="300" w:after="300" w:line="240" w:lineRule="atLeast"/>
              <w:ind w:left="0" w:firstLine="0"/>
              <w:rPr>
                <w:rFonts w:cs="Arial"/>
                <w:sz w:val="18"/>
                <w:szCs w:val="18"/>
              </w:rPr>
            </w:pPr>
            <w:r w:rsidRPr="00C903F8">
              <w:rPr>
                <w:rFonts w:cs="Arial"/>
                <w:sz w:val="18"/>
                <w:szCs w:val="18"/>
              </w:rPr>
              <w:t>15.06</w:t>
            </w:r>
          </w:p>
        </w:tc>
        <w:tc>
          <w:tcPr>
            <w:tcW w:w="1458" w:type="dxa"/>
            <w:shd w:val="clear" w:color="auto" w:fill="auto"/>
          </w:tcPr>
          <w:p w:rsidR="004D56BE" w:rsidRPr="00C903F8" w:rsidRDefault="004D56BE" w:rsidP="00D321F1">
            <w:pPr>
              <w:spacing w:before="300" w:after="300" w:line="240" w:lineRule="atLeast"/>
              <w:ind w:left="0" w:firstLine="0"/>
              <w:rPr>
                <w:rFonts w:cs="Arial"/>
                <w:sz w:val="18"/>
                <w:szCs w:val="18"/>
              </w:rPr>
            </w:pPr>
          </w:p>
        </w:tc>
        <w:tc>
          <w:tcPr>
            <w:tcW w:w="3296" w:type="dxa"/>
            <w:shd w:val="clear" w:color="auto" w:fill="auto"/>
          </w:tcPr>
          <w:p w:rsidR="004D56BE" w:rsidRPr="00C903F8" w:rsidRDefault="004D56BE" w:rsidP="00D321F1">
            <w:pPr>
              <w:spacing w:before="300" w:after="300" w:line="240" w:lineRule="atLeast"/>
              <w:rPr>
                <w:rFonts w:cs="Arial"/>
                <w:color w:val="000000"/>
                <w:sz w:val="18"/>
                <w:szCs w:val="18"/>
              </w:rPr>
            </w:pPr>
            <w:r w:rsidRPr="00C903F8">
              <w:rPr>
                <w:rFonts w:cs="Arial"/>
                <w:noProof/>
                <w:sz w:val="18"/>
                <w:szCs w:val="18"/>
              </w:rPr>
              <w:t>Heating and ventilation</w:t>
            </w:r>
          </w:p>
        </w:tc>
        <w:tc>
          <w:tcPr>
            <w:tcW w:w="6521" w:type="dxa"/>
            <w:shd w:val="clear" w:color="auto" w:fill="auto"/>
          </w:tcPr>
          <w:p w:rsidR="004D56BE" w:rsidRPr="00C903F8" w:rsidRDefault="004D56BE" w:rsidP="00D321F1">
            <w:pPr>
              <w:spacing w:before="300" w:after="3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300" w:after="30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1342" w:type="dxa"/>
            <w:shd w:val="clear" w:color="auto" w:fill="auto"/>
          </w:tcPr>
          <w:p w:rsidR="004D56BE" w:rsidRPr="00C903F8" w:rsidRDefault="004D56BE" w:rsidP="00D321F1">
            <w:pPr>
              <w:spacing w:before="300" w:after="300" w:line="240" w:lineRule="atLeast"/>
              <w:ind w:left="0" w:firstLine="0"/>
              <w:rPr>
                <w:rFonts w:cs="Arial"/>
                <w:sz w:val="18"/>
                <w:szCs w:val="18"/>
              </w:rPr>
            </w:pPr>
            <w:r w:rsidRPr="00C903F8">
              <w:rPr>
                <w:rFonts w:cs="Arial"/>
                <w:sz w:val="18"/>
                <w:szCs w:val="18"/>
              </w:rPr>
              <w:t>15.07</w:t>
            </w:r>
          </w:p>
        </w:tc>
        <w:tc>
          <w:tcPr>
            <w:tcW w:w="1458" w:type="dxa"/>
            <w:shd w:val="clear" w:color="auto" w:fill="auto"/>
          </w:tcPr>
          <w:p w:rsidR="004D56BE" w:rsidRPr="00C903F8" w:rsidRDefault="004D56BE" w:rsidP="00D321F1">
            <w:pPr>
              <w:spacing w:before="300" w:after="300" w:line="240" w:lineRule="atLeast"/>
              <w:ind w:left="0" w:firstLine="0"/>
              <w:jc w:val="left"/>
              <w:rPr>
                <w:rFonts w:cs="Arial"/>
                <w:sz w:val="18"/>
                <w:szCs w:val="18"/>
              </w:rPr>
            </w:pPr>
            <w:r w:rsidRPr="00C903F8">
              <w:rPr>
                <w:rFonts w:cs="Arial"/>
                <w:sz w:val="18"/>
                <w:szCs w:val="18"/>
              </w:rPr>
              <w:t>(1), 2</w:t>
            </w:r>
            <w:r w:rsidRPr="009C40EF">
              <w:rPr>
                <w:rFonts w:cs="Arial"/>
                <w:sz w:val="18"/>
                <w:szCs w:val="18"/>
                <w:vertAlign w:val="superscript"/>
              </w:rPr>
              <w:t>nd</w:t>
            </w:r>
            <w:r w:rsidRPr="00C903F8">
              <w:rPr>
                <w:rFonts w:cs="Arial"/>
                <w:sz w:val="18"/>
                <w:szCs w:val="18"/>
              </w:rPr>
              <w:t xml:space="preserve"> sentence</w:t>
            </w:r>
          </w:p>
        </w:tc>
        <w:tc>
          <w:tcPr>
            <w:tcW w:w="3296" w:type="dxa"/>
            <w:shd w:val="clear" w:color="auto" w:fill="auto"/>
          </w:tcPr>
          <w:p w:rsidR="004D56BE" w:rsidRPr="00C903F8" w:rsidRDefault="004D56BE" w:rsidP="00D321F1">
            <w:pPr>
              <w:spacing w:before="300" w:after="300" w:line="240" w:lineRule="atLeast"/>
              <w:rPr>
                <w:rFonts w:cs="Arial"/>
                <w:color w:val="000000"/>
                <w:sz w:val="18"/>
                <w:szCs w:val="18"/>
              </w:rPr>
            </w:pPr>
            <w:r w:rsidRPr="00C903F8">
              <w:rPr>
                <w:rFonts w:cs="Arial"/>
                <w:noProof/>
                <w:sz w:val="18"/>
                <w:szCs w:val="18"/>
              </w:rPr>
              <w:t>Other accommodation installations</w:t>
            </w:r>
          </w:p>
        </w:tc>
        <w:tc>
          <w:tcPr>
            <w:tcW w:w="6521" w:type="dxa"/>
            <w:shd w:val="clear" w:color="auto" w:fill="auto"/>
          </w:tcPr>
          <w:p w:rsidR="004D56BE" w:rsidRPr="00C903F8" w:rsidRDefault="004D56BE" w:rsidP="00D321F1">
            <w:pPr>
              <w:spacing w:before="300" w:after="30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D321F1">
            <w:pPr>
              <w:spacing w:before="300" w:after="300" w:line="240" w:lineRule="atLeast"/>
              <w:ind w:left="0" w:firstLine="0"/>
              <w:rPr>
                <w:rFonts w:cs="Arial"/>
                <w:sz w:val="18"/>
                <w:szCs w:val="18"/>
              </w:rPr>
            </w:pPr>
            <w:r w:rsidRPr="00C903F8">
              <w:rPr>
                <w:rFonts w:cs="Arial"/>
                <w:sz w:val="18"/>
                <w:szCs w:val="18"/>
              </w:rPr>
              <w:t>30.12.2049</w:t>
            </w:r>
          </w:p>
        </w:tc>
      </w:tr>
      <w:tr w:rsidR="004D56BE" w:rsidRPr="00C903F8" w:rsidTr="001964F8">
        <w:trPr>
          <w:cantSplit/>
          <w:trHeight w:val="70"/>
          <w:jc w:val="center"/>
        </w:trPr>
        <w:tc>
          <w:tcPr>
            <w:tcW w:w="6096" w:type="dxa"/>
            <w:gridSpan w:val="3"/>
            <w:shd w:val="clear" w:color="auto" w:fill="auto"/>
          </w:tcPr>
          <w:p w:rsidR="004D56BE" w:rsidRPr="00C903F8" w:rsidRDefault="004D56BE" w:rsidP="00A8005B">
            <w:pPr>
              <w:spacing w:before="60" w:after="60" w:line="240" w:lineRule="atLeast"/>
              <w:ind w:left="0" w:firstLine="0"/>
              <w:jc w:val="center"/>
              <w:rPr>
                <w:rFonts w:cs="Arial"/>
                <w:b/>
                <w:sz w:val="18"/>
                <w:szCs w:val="18"/>
              </w:rPr>
            </w:pPr>
            <w:r w:rsidRPr="00C903F8">
              <w:rPr>
                <w:rFonts w:cs="Arial"/>
                <w:b/>
                <w:sz w:val="18"/>
                <w:szCs w:val="18"/>
              </w:rPr>
              <w:t>CHAPTER 18</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rPr>
            </w:pP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p>
        </w:tc>
      </w:tr>
      <w:tr w:rsidR="004D56BE" w:rsidRPr="00296858" w:rsidTr="007E4031">
        <w:trPr>
          <w:cantSplit/>
          <w:jc w:val="center"/>
        </w:trPr>
        <w:tc>
          <w:tcPr>
            <w:tcW w:w="1342" w:type="dxa"/>
            <w:vMerge w:val="restart"/>
            <w:shd w:val="clear" w:color="auto" w:fill="auto"/>
          </w:tcPr>
          <w:p w:rsidR="004D56BE" w:rsidRPr="002E100D" w:rsidRDefault="004D56BE" w:rsidP="00A8005B">
            <w:pPr>
              <w:spacing w:before="60" w:after="60" w:line="240" w:lineRule="atLeast"/>
              <w:rPr>
                <w:rFonts w:cs="Arial"/>
                <w:sz w:val="18"/>
                <w:szCs w:val="18"/>
              </w:rPr>
            </w:pPr>
            <w:r w:rsidRPr="002E100D">
              <w:rPr>
                <w:rFonts w:cs="Arial"/>
                <w:sz w:val="18"/>
                <w:szCs w:val="18"/>
              </w:rPr>
              <w:lastRenderedPageBreak/>
              <w:t>18.01</w:t>
            </w:r>
          </w:p>
        </w:tc>
        <w:tc>
          <w:tcPr>
            <w:tcW w:w="1458" w:type="dxa"/>
            <w:vMerge w:val="restart"/>
            <w:shd w:val="clear" w:color="auto" w:fill="auto"/>
          </w:tcPr>
          <w:p w:rsidR="004D56BE" w:rsidRPr="002E100D" w:rsidRDefault="004D56BE" w:rsidP="00A8005B">
            <w:pPr>
              <w:adjustRightInd w:val="0"/>
              <w:spacing w:before="60" w:after="60" w:line="240" w:lineRule="atLeast"/>
              <w:ind w:left="0" w:right="-108" w:firstLine="0"/>
              <w:jc w:val="left"/>
              <w:rPr>
                <w:rFonts w:cs="Arial"/>
                <w:sz w:val="18"/>
                <w:szCs w:val="18"/>
              </w:rPr>
            </w:pPr>
            <w:r w:rsidRPr="002E100D">
              <w:rPr>
                <w:rFonts w:cs="Arial"/>
                <w:sz w:val="18"/>
                <w:szCs w:val="18"/>
              </w:rPr>
              <w:t>(2) Tables 1 and 2</w:t>
            </w:r>
            <w:r>
              <w:rPr>
                <w:rFonts w:cs="Arial"/>
                <w:sz w:val="18"/>
                <w:szCs w:val="18"/>
              </w:rPr>
              <w:t>,</w:t>
            </w:r>
            <w:r w:rsidRPr="002E100D">
              <w:rPr>
                <w:rFonts w:cs="Arial"/>
                <w:sz w:val="18"/>
                <w:szCs w:val="18"/>
              </w:rPr>
              <w:t xml:space="preserve"> and (5)</w:t>
            </w:r>
          </w:p>
        </w:tc>
        <w:tc>
          <w:tcPr>
            <w:tcW w:w="3296" w:type="dxa"/>
            <w:tcBorders>
              <w:bottom w:val="nil"/>
            </w:tcBorders>
            <w:shd w:val="clear" w:color="auto" w:fill="auto"/>
          </w:tcPr>
          <w:p w:rsidR="004D56BE" w:rsidRPr="002E100D" w:rsidRDefault="004D56BE" w:rsidP="00A8005B">
            <w:pPr>
              <w:adjustRightInd w:val="0"/>
              <w:spacing w:before="60" w:after="60" w:line="240" w:lineRule="atLeast"/>
              <w:ind w:left="0" w:firstLine="0"/>
              <w:rPr>
                <w:rFonts w:cs="Arial"/>
                <w:sz w:val="18"/>
                <w:szCs w:val="18"/>
                <w:lang w:val="en-GB"/>
              </w:rPr>
            </w:pPr>
            <w:r w:rsidRPr="002E100D">
              <w:rPr>
                <w:rFonts w:cs="Arial"/>
                <w:noProof/>
                <w:sz w:val="18"/>
                <w:szCs w:val="18"/>
                <w:lang w:val="en-US"/>
              </w:rPr>
              <w:t>Limit/control values and type approvals</w:t>
            </w:r>
          </w:p>
        </w:tc>
        <w:tc>
          <w:tcPr>
            <w:tcW w:w="6521" w:type="dxa"/>
            <w:shd w:val="clear" w:color="auto" w:fill="auto"/>
          </w:tcPr>
          <w:p w:rsidR="004D56BE" w:rsidRPr="002E100D" w:rsidRDefault="004D56BE" w:rsidP="00A8005B">
            <w:pPr>
              <w:spacing w:before="60" w:after="60" w:line="240" w:lineRule="atLeast"/>
              <w:rPr>
                <w:rFonts w:cs="Arial"/>
                <w:sz w:val="18"/>
                <w:szCs w:val="18"/>
                <w:lang w:val="en-US"/>
              </w:rPr>
            </w:pPr>
            <w:r w:rsidRPr="002E100D">
              <w:rPr>
                <w:rFonts w:cs="Arial"/>
                <w:sz w:val="18"/>
                <w:szCs w:val="18"/>
                <w:lang w:val="en-US"/>
              </w:rPr>
              <w:t>N.R.C., as long as</w:t>
            </w:r>
          </w:p>
          <w:p w:rsidR="004D56BE" w:rsidRPr="002E100D" w:rsidRDefault="004D56BE" w:rsidP="00A8005B">
            <w:pPr>
              <w:spacing w:before="60" w:after="60" w:line="240" w:lineRule="atLeast"/>
              <w:ind w:left="317" w:hanging="317"/>
              <w:rPr>
                <w:rFonts w:cs="Arial"/>
                <w:sz w:val="18"/>
                <w:szCs w:val="18"/>
                <w:lang w:val="en-US"/>
              </w:rPr>
            </w:pPr>
            <w:r w:rsidRPr="002E100D">
              <w:rPr>
                <w:rFonts w:cs="Arial"/>
                <w:sz w:val="18"/>
                <w:szCs w:val="18"/>
                <w:lang w:val="en-US"/>
              </w:rPr>
              <w:t>a)</w:t>
            </w:r>
            <w:r w:rsidRPr="002E100D">
              <w:rPr>
                <w:rFonts w:cs="Arial"/>
                <w:sz w:val="18"/>
                <w:szCs w:val="18"/>
                <w:lang w:val="en-US"/>
              </w:rPr>
              <w:tab/>
              <w:t>the limit and control values do not exceed the values according to values of step II by more than the factor 2,</w:t>
            </w:r>
          </w:p>
          <w:p w:rsidR="004D56BE" w:rsidRPr="002E100D" w:rsidRDefault="004D56BE" w:rsidP="00A8005B">
            <w:pPr>
              <w:spacing w:before="60" w:after="60" w:line="240" w:lineRule="atLeast"/>
              <w:ind w:left="317" w:hanging="317"/>
              <w:rPr>
                <w:rFonts w:cs="Arial"/>
                <w:sz w:val="18"/>
                <w:szCs w:val="18"/>
                <w:lang w:val="en-US"/>
              </w:rPr>
            </w:pPr>
            <w:r w:rsidRPr="002E100D">
              <w:rPr>
                <w:rFonts w:cs="Arial"/>
                <w:sz w:val="18"/>
                <w:szCs w:val="18"/>
                <w:lang w:val="en-US"/>
              </w:rPr>
              <w:t>b)</w:t>
            </w:r>
            <w:r w:rsidRPr="002E100D">
              <w:rPr>
                <w:rFonts w:cs="Arial"/>
                <w:sz w:val="18"/>
                <w:szCs w:val="18"/>
                <w:lang w:val="en-US"/>
              </w:rPr>
              <w:tab/>
              <w:t>t</w:t>
            </w:r>
            <w:r w:rsidRPr="002E100D">
              <w:rPr>
                <w:rFonts w:cs="Arial"/>
                <w:noProof/>
                <w:sz w:val="18"/>
                <w:szCs w:val="18"/>
                <w:lang w:val="en-US"/>
              </w:rPr>
              <w:t>he on-board sewage treatment plant has a manufacturer's or expert's certificate confirming that it can cope with the typical loading patterns on board the craft and</w:t>
            </w:r>
          </w:p>
          <w:p w:rsidR="004D56BE" w:rsidRPr="002E100D" w:rsidRDefault="004D56BE" w:rsidP="00A8005B">
            <w:pPr>
              <w:tabs>
                <w:tab w:val="left" w:pos="317"/>
              </w:tabs>
              <w:adjustRightInd w:val="0"/>
              <w:spacing w:before="60" w:after="60" w:line="240" w:lineRule="atLeast"/>
              <w:ind w:left="317" w:hanging="317"/>
              <w:rPr>
                <w:rFonts w:cs="Arial"/>
                <w:sz w:val="18"/>
                <w:szCs w:val="18"/>
                <w:lang w:val="en-GB"/>
              </w:rPr>
            </w:pPr>
            <w:r w:rsidRPr="002E100D">
              <w:rPr>
                <w:rFonts w:cs="Arial"/>
                <w:sz w:val="18"/>
                <w:szCs w:val="18"/>
                <w:lang w:val="en-US"/>
              </w:rPr>
              <w:t>c)</w:t>
            </w:r>
            <w:r w:rsidRPr="002E100D">
              <w:rPr>
                <w:rFonts w:cs="Arial"/>
                <w:sz w:val="18"/>
                <w:szCs w:val="18"/>
                <w:lang w:val="en-US"/>
              </w:rPr>
              <w:tab/>
            </w:r>
            <w:r w:rsidRPr="002E100D">
              <w:rPr>
                <w:rFonts w:cs="Arial"/>
                <w:noProof/>
                <w:sz w:val="18"/>
                <w:szCs w:val="18"/>
                <w:lang w:val="en-US"/>
              </w:rPr>
              <w:t>a system of sewage sludge management is in place for it which is appropriate to the conditions of operating a sewage treatment plant aboard a passenger vessel</w:t>
            </w:r>
            <w:r w:rsidRPr="002E100D">
              <w:rPr>
                <w:rFonts w:cs="Arial"/>
                <w:sz w:val="18"/>
                <w:szCs w:val="18"/>
                <w:lang w:val="en-US"/>
              </w:rPr>
              <w:t>.</w:t>
            </w:r>
          </w:p>
        </w:tc>
        <w:tc>
          <w:tcPr>
            <w:tcW w:w="1276" w:type="dxa"/>
            <w:shd w:val="clear" w:color="auto" w:fill="auto"/>
          </w:tcPr>
          <w:p w:rsidR="004D56BE" w:rsidRPr="002E100D" w:rsidRDefault="004D56BE" w:rsidP="00A8005B">
            <w:pPr>
              <w:spacing w:before="60" w:after="60" w:line="240" w:lineRule="atLeast"/>
              <w:rPr>
                <w:rFonts w:cs="Arial"/>
                <w:sz w:val="18"/>
                <w:szCs w:val="18"/>
                <w:lang w:val="en-GB"/>
              </w:rPr>
            </w:pPr>
          </w:p>
        </w:tc>
      </w:tr>
      <w:tr w:rsidR="004D56BE" w:rsidRPr="00296858" w:rsidTr="007E4031">
        <w:trPr>
          <w:cantSplit/>
          <w:jc w:val="center"/>
        </w:trPr>
        <w:tc>
          <w:tcPr>
            <w:tcW w:w="1342" w:type="dxa"/>
            <w:vMerge/>
            <w:shd w:val="clear" w:color="auto" w:fill="auto"/>
          </w:tcPr>
          <w:p w:rsidR="004D56BE" w:rsidRPr="002E100D" w:rsidRDefault="004D56BE" w:rsidP="00A8005B">
            <w:pPr>
              <w:spacing w:before="60" w:after="60" w:line="240" w:lineRule="atLeast"/>
              <w:ind w:left="0" w:firstLine="0"/>
              <w:rPr>
                <w:rFonts w:cs="Arial"/>
                <w:sz w:val="18"/>
                <w:szCs w:val="18"/>
                <w:lang w:val="en-GB"/>
              </w:rPr>
            </w:pPr>
          </w:p>
        </w:tc>
        <w:tc>
          <w:tcPr>
            <w:tcW w:w="1458" w:type="dxa"/>
            <w:vMerge/>
            <w:shd w:val="clear" w:color="auto" w:fill="auto"/>
          </w:tcPr>
          <w:p w:rsidR="004D56BE" w:rsidRPr="002E100D" w:rsidRDefault="004D56BE" w:rsidP="00A8005B">
            <w:pPr>
              <w:spacing w:before="60" w:after="60" w:line="240" w:lineRule="atLeast"/>
              <w:ind w:left="0" w:firstLine="0"/>
              <w:rPr>
                <w:rFonts w:cs="Arial"/>
                <w:sz w:val="18"/>
                <w:szCs w:val="18"/>
                <w:lang w:val="en-GB"/>
              </w:rPr>
            </w:pPr>
          </w:p>
        </w:tc>
        <w:tc>
          <w:tcPr>
            <w:tcW w:w="3296" w:type="dxa"/>
            <w:tcBorders>
              <w:top w:val="nil"/>
              <w:bottom w:val="nil"/>
            </w:tcBorders>
            <w:shd w:val="clear" w:color="auto" w:fill="auto"/>
          </w:tcPr>
          <w:p w:rsidR="004D56BE" w:rsidRPr="002E100D" w:rsidRDefault="004D56BE" w:rsidP="00A8005B">
            <w:pPr>
              <w:tabs>
                <w:tab w:val="left" w:pos="1080"/>
              </w:tabs>
              <w:spacing w:before="60" w:after="60" w:line="240" w:lineRule="atLeast"/>
              <w:ind w:left="0" w:firstLine="0"/>
              <w:rPr>
                <w:rFonts w:cs="Arial"/>
                <w:noProof/>
                <w:sz w:val="18"/>
                <w:szCs w:val="18"/>
                <w:lang w:val="en-US"/>
              </w:rPr>
            </w:pPr>
          </w:p>
        </w:tc>
        <w:tc>
          <w:tcPr>
            <w:tcW w:w="6521" w:type="dxa"/>
            <w:shd w:val="clear" w:color="auto" w:fill="auto"/>
          </w:tcPr>
          <w:p w:rsidR="004D56BE" w:rsidRPr="002E100D" w:rsidRDefault="004D56BE" w:rsidP="00A8005B">
            <w:pPr>
              <w:spacing w:before="60" w:after="60" w:line="240" w:lineRule="atLeast"/>
              <w:ind w:left="0" w:firstLine="0"/>
              <w:rPr>
                <w:rFonts w:cs="Arial"/>
                <w:sz w:val="18"/>
                <w:szCs w:val="18"/>
                <w:lang w:val="en-US"/>
              </w:rPr>
            </w:pPr>
            <w:r w:rsidRPr="002E100D">
              <w:rPr>
                <w:rFonts w:cs="Arial"/>
                <w:sz w:val="18"/>
                <w:szCs w:val="18"/>
                <w:lang w:val="en-GB"/>
              </w:rPr>
              <w:t xml:space="preserve">On-board sewage treatment plants </w:t>
            </w:r>
            <w:r w:rsidRPr="002E100D">
              <w:rPr>
                <w:rFonts w:cs="Arial"/>
                <w:sz w:val="18"/>
                <w:szCs w:val="18"/>
                <w:lang w:val="en-US"/>
              </w:rPr>
              <w:t>which have received an approval on or after 1</w:t>
            </w:r>
            <w:r w:rsidRPr="002E100D">
              <w:rPr>
                <w:rFonts w:cs="Arial"/>
                <w:sz w:val="18"/>
                <w:szCs w:val="18"/>
                <w:vertAlign w:val="superscript"/>
                <w:lang w:val="en-US"/>
              </w:rPr>
              <w:t>st </w:t>
            </w:r>
            <w:r w:rsidRPr="002E100D">
              <w:rPr>
                <w:rFonts w:cs="Arial"/>
                <w:sz w:val="18"/>
                <w:szCs w:val="18"/>
                <w:lang w:val="en-US"/>
              </w:rPr>
              <w:t>December 2011, pursuant to requirements of the Resolution CCNR 2010-II-27 (Step II), may continue to be installed and used.</w:t>
            </w:r>
          </w:p>
        </w:tc>
        <w:tc>
          <w:tcPr>
            <w:tcW w:w="1276" w:type="dxa"/>
            <w:shd w:val="clear" w:color="auto" w:fill="auto"/>
          </w:tcPr>
          <w:p w:rsidR="004D56BE" w:rsidRPr="002E100D" w:rsidRDefault="004D56BE" w:rsidP="00A8005B">
            <w:pPr>
              <w:spacing w:before="60" w:after="60" w:line="240" w:lineRule="atLeast"/>
              <w:ind w:left="0" w:firstLine="0"/>
              <w:rPr>
                <w:rFonts w:cs="Arial"/>
                <w:sz w:val="18"/>
                <w:szCs w:val="18"/>
                <w:lang w:val="en-US"/>
              </w:rPr>
            </w:pPr>
          </w:p>
        </w:tc>
      </w:tr>
      <w:tr w:rsidR="004D56BE" w:rsidRPr="00296858" w:rsidTr="007E4031">
        <w:trPr>
          <w:cantSplit/>
          <w:jc w:val="center"/>
        </w:trPr>
        <w:tc>
          <w:tcPr>
            <w:tcW w:w="1342" w:type="dxa"/>
            <w:vMerge/>
            <w:shd w:val="clear" w:color="auto" w:fill="auto"/>
          </w:tcPr>
          <w:p w:rsidR="004D56BE" w:rsidRPr="002E100D" w:rsidRDefault="004D56BE" w:rsidP="00A8005B">
            <w:pPr>
              <w:spacing w:before="60" w:after="60" w:line="240" w:lineRule="atLeast"/>
              <w:ind w:left="0" w:firstLine="0"/>
              <w:rPr>
                <w:rFonts w:cs="Arial"/>
                <w:sz w:val="18"/>
                <w:szCs w:val="18"/>
                <w:lang w:val="en-GB"/>
              </w:rPr>
            </w:pPr>
          </w:p>
        </w:tc>
        <w:tc>
          <w:tcPr>
            <w:tcW w:w="1458" w:type="dxa"/>
            <w:vMerge/>
            <w:shd w:val="clear" w:color="auto" w:fill="auto"/>
          </w:tcPr>
          <w:p w:rsidR="004D56BE" w:rsidRPr="002E100D" w:rsidRDefault="004D56BE" w:rsidP="00A8005B">
            <w:pPr>
              <w:spacing w:before="60" w:after="60" w:line="240" w:lineRule="atLeast"/>
              <w:ind w:left="0" w:firstLine="0"/>
              <w:rPr>
                <w:rFonts w:cs="Arial"/>
                <w:sz w:val="18"/>
                <w:szCs w:val="18"/>
                <w:lang w:val="en-GB"/>
              </w:rPr>
            </w:pPr>
          </w:p>
        </w:tc>
        <w:tc>
          <w:tcPr>
            <w:tcW w:w="3296" w:type="dxa"/>
            <w:tcBorders>
              <w:top w:val="nil"/>
            </w:tcBorders>
            <w:shd w:val="clear" w:color="auto" w:fill="auto"/>
          </w:tcPr>
          <w:p w:rsidR="004D56BE" w:rsidRPr="002E100D" w:rsidRDefault="004D56BE" w:rsidP="00A8005B">
            <w:pPr>
              <w:tabs>
                <w:tab w:val="left" w:pos="1080"/>
              </w:tabs>
              <w:spacing w:before="60" w:after="60" w:line="240" w:lineRule="atLeast"/>
              <w:ind w:left="0" w:firstLine="0"/>
              <w:rPr>
                <w:rFonts w:cs="Arial"/>
                <w:noProof/>
                <w:sz w:val="18"/>
                <w:szCs w:val="18"/>
                <w:lang w:val="en-US"/>
              </w:rPr>
            </w:pPr>
          </w:p>
        </w:tc>
        <w:tc>
          <w:tcPr>
            <w:tcW w:w="6521" w:type="dxa"/>
            <w:shd w:val="clear" w:color="auto" w:fill="auto"/>
          </w:tcPr>
          <w:p w:rsidR="004D56BE" w:rsidRPr="002E100D" w:rsidRDefault="004D56BE" w:rsidP="00A8005B">
            <w:pPr>
              <w:spacing w:before="60" w:after="60" w:line="240" w:lineRule="atLeast"/>
              <w:ind w:left="0" w:firstLine="0"/>
              <w:rPr>
                <w:rFonts w:cs="Arial"/>
                <w:sz w:val="18"/>
                <w:szCs w:val="18"/>
                <w:lang w:val="en-US"/>
              </w:rPr>
            </w:pPr>
            <w:r w:rsidRPr="002E100D">
              <w:rPr>
                <w:rFonts w:cs="Arial"/>
                <w:sz w:val="18"/>
                <w:szCs w:val="18"/>
                <w:lang w:val="en-GB"/>
              </w:rPr>
              <w:t xml:space="preserve">On-board sewage treatment plants </w:t>
            </w:r>
            <w:r w:rsidRPr="002E100D">
              <w:rPr>
                <w:rFonts w:cs="Arial"/>
                <w:sz w:val="18"/>
                <w:szCs w:val="18"/>
                <w:lang w:val="en-US"/>
              </w:rPr>
              <w:t>which have received an approval on or after 10 January 2013, pursuant to requirements of the Directive 2012/49/EU (Step II), may continue to be installed and used.</w:t>
            </w:r>
          </w:p>
        </w:tc>
        <w:tc>
          <w:tcPr>
            <w:tcW w:w="1276" w:type="dxa"/>
            <w:shd w:val="clear" w:color="auto" w:fill="auto"/>
          </w:tcPr>
          <w:p w:rsidR="004D56BE" w:rsidRPr="002E100D" w:rsidRDefault="004D56BE" w:rsidP="00A8005B">
            <w:pPr>
              <w:spacing w:before="60" w:after="60" w:line="240" w:lineRule="atLeast"/>
              <w:ind w:left="0" w:firstLine="0"/>
              <w:rPr>
                <w:rFonts w:cs="Arial"/>
                <w:sz w:val="18"/>
                <w:szCs w:val="18"/>
                <w:lang w:val="en-US"/>
              </w:rPr>
            </w:pPr>
          </w:p>
        </w:tc>
      </w:tr>
      <w:tr w:rsidR="004D56BE" w:rsidRPr="00C903F8" w:rsidTr="001964F8">
        <w:trPr>
          <w:cantSplit/>
          <w:jc w:val="center"/>
        </w:trPr>
        <w:tc>
          <w:tcPr>
            <w:tcW w:w="6096" w:type="dxa"/>
            <w:gridSpan w:val="3"/>
            <w:shd w:val="clear" w:color="auto" w:fill="auto"/>
          </w:tcPr>
          <w:p w:rsidR="004D56BE" w:rsidRPr="00C903F8" w:rsidRDefault="004D56BE" w:rsidP="00A8005B">
            <w:pPr>
              <w:tabs>
                <w:tab w:val="left" w:pos="1080"/>
              </w:tabs>
              <w:spacing w:before="60" w:after="60" w:line="240" w:lineRule="atLeast"/>
              <w:ind w:left="0" w:firstLine="0"/>
              <w:jc w:val="center"/>
              <w:rPr>
                <w:rFonts w:cs="Arial"/>
                <w:sz w:val="18"/>
                <w:szCs w:val="18"/>
              </w:rPr>
            </w:pPr>
            <w:r w:rsidRPr="00C903F8">
              <w:rPr>
                <w:rFonts w:cs="Arial"/>
                <w:b/>
                <w:sz w:val="18"/>
                <w:szCs w:val="18"/>
              </w:rPr>
              <w:t>CHAPTER 19</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rPr>
            </w:pP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p>
        </w:tc>
      </w:tr>
      <w:tr w:rsidR="004D56BE" w:rsidRPr="00296858" w:rsidTr="00AA5614">
        <w:trPr>
          <w:cantSplit/>
          <w:trHeight w:val="1133"/>
          <w:jc w:val="center"/>
        </w:trPr>
        <w:tc>
          <w:tcPr>
            <w:tcW w:w="1342" w:type="dxa"/>
            <w:shd w:val="clear" w:color="auto" w:fill="auto"/>
          </w:tcPr>
          <w:p w:rsidR="004D56BE" w:rsidRPr="00C903F8" w:rsidRDefault="004D56BE" w:rsidP="00A8005B">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60" w:after="60" w:line="240" w:lineRule="atLeast"/>
              <w:ind w:left="0" w:firstLine="0"/>
              <w:rPr>
                <w:rFonts w:cs="Arial"/>
                <w:sz w:val="18"/>
                <w:szCs w:val="18"/>
              </w:rPr>
            </w:pPr>
          </w:p>
        </w:tc>
        <w:tc>
          <w:tcPr>
            <w:tcW w:w="3296" w:type="dxa"/>
            <w:shd w:val="clear" w:color="auto" w:fill="auto"/>
          </w:tcPr>
          <w:p w:rsidR="004D56BE" w:rsidRPr="00C903F8" w:rsidRDefault="004D56BE" w:rsidP="00A8005B">
            <w:pPr>
              <w:tabs>
                <w:tab w:val="left" w:pos="1080"/>
              </w:tabs>
              <w:spacing w:before="60" w:after="60" w:line="240" w:lineRule="atLeast"/>
              <w:ind w:left="0" w:firstLine="0"/>
              <w:rPr>
                <w:rFonts w:cs="Arial"/>
                <w:sz w:val="18"/>
                <w:szCs w:val="18"/>
              </w:rPr>
            </w:pPr>
            <w:r w:rsidRPr="00C903F8">
              <w:rPr>
                <w:rFonts w:cs="Arial"/>
                <w:sz w:val="18"/>
                <w:szCs w:val="18"/>
              </w:rPr>
              <w:t>Passenger vessels</w:t>
            </w:r>
          </w:p>
        </w:tc>
        <w:tc>
          <w:tcPr>
            <w:tcW w:w="6521" w:type="dxa"/>
            <w:shd w:val="clear" w:color="auto" w:fill="auto"/>
          </w:tcPr>
          <w:p w:rsidR="004D56BE" w:rsidRPr="00C903F8" w:rsidRDefault="004D56BE" w:rsidP="00A8005B">
            <w:pPr>
              <w:adjustRightInd w:val="0"/>
              <w:spacing w:before="60" w:after="60" w:line="240" w:lineRule="atLeast"/>
              <w:ind w:left="0" w:firstLine="0"/>
              <w:rPr>
                <w:rFonts w:cs="Arial"/>
                <w:sz w:val="18"/>
                <w:szCs w:val="18"/>
                <w:lang w:val="en-US"/>
              </w:rPr>
            </w:pPr>
            <w:r w:rsidRPr="00C903F8">
              <w:rPr>
                <w:sz w:val="18"/>
                <w:lang w:val="en-US"/>
              </w:rPr>
              <w:t xml:space="preserve">See the provisions laid down in the regulations for vessels excluded from the scope of Directive 82/714/EEC: “Absence of </w:t>
            </w:r>
            <w:r w:rsidRPr="00C903F8">
              <w:rPr>
                <w:color w:val="000000"/>
                <w:sz w:val="18"/>
                <w:lang w:val="en-US"/>
              </w:rPr>
              <w:t>manifest</w:t>
            </w:r>
            <w:r w:rsidRPr="00C903F8">
              <w:rPr>
                <w:sz w:val="18"/>
                <w:lang w:val="en-US"/>
              </w:rPr>
              <w:t xml:space="preserve"> danger”</w:t>
            </w:r>
            <w:r w:rsidRPr="00C903F8">
              <w:rPr>
                <w:color w:val="000000"/>
                <w:sz w:val="18"/>
                <w:lang w:val="en-US"/>
              </w:rPr>
              <w:t xml:space="preserve"> </w:t>
            </w:r>
            <w:r>
              <w:rPr>
                <w:color w:val="000000"/>
                <w:sz w:val="18"/>
                <w:lang w:val="en-US"/>
              </w:rPr>
              <w:br/>
            </w:r>
            <w:r w:rsidRPr="00542260">
              <w:rPr>
                <w:rFonts w:cs="Arial"/>
                <w:sz w:val="18"/>
                <w:szCs w:val="18"/>
                <w:lang w:val="en-US"/>
              </w:rPr>
              <w:t>Applies to all provisions of Chapter 19 except for those mentioned below.</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lang w:val="en-US"/>
              </w:rPr>
            </w:pPr>
          </w:p>
        </w:tc>
      </w:tr>
      <w:tr w:rsidR="004D56BE" w:rsidRPr="00C903F8" w:rsidTr="001964F8">
        <w:trPr>
          <w:cantSplit/>
          <w:jc w:val="center"/>
        </w:trPr>
        <w:tc>
          <w:tcPr>
            <w:tcW w:w="1342"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19.01</w:t>
            </w:r>
          </w:p>
        </w:tc>
        <w:tc>
          <w:tcPr>
            <w:tcW w:w="1458"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(5) and (6)</w:t>
            </w:r>
          </w:p>
        </w:tc>
        <w:tc>
          <w:tcPr>
            <w:tcW w:w="3296" w:type="dxa"/>
            <w:shd w:val="clear" w:color="auto" w:fill="auto"/>
          </w:tcPr>
          <w:p w:rsidR="004D56BE" w:rsidRPr="00C903F8" w:rsidRDefault="004D56BE" w:rsidP="00A8005B">
            <w:pPr>
              <w:tabs>
                <w:tab w:val="right" w:pos="3856"/>
                <w:tab w:val="center" w:pos="4536"/>
                <w:tab w:val="left" w:pos="6521"/>
                <w:tab w:val="right" w:pos="9072"/>
              </w:tabs>
              <w:spacing w:before="60" w:after="60" w:line="240" w:lineRule="atLeast"/>
              <w:ind w:left="0" w:firstLine="0"/>
              <w:rPr>
                <w:rFonts w:cs="Arial"/>
                <w:sz w:val="18"/>
                <w:szCs w:val="18"/>
                <w:lang w:val="en-US"/>
              </w:rPr>
            </w:pPr>
            <w:r w:rsidRPr="00C903F8">
              <w:rPr>
                <w:rFonts w:cs="Arial"/>
                <w:color w:val="000000"/>
                <w:sz w:val="18"/>
                <w:szCs w:val="18"/>
                <w:lang w:val="en-US"/>
              </w:rPr>
              <w:t xml:space="preserve">Obstructed vision ahead of the vessel 2 vessel lengths if less than 250 m </w:t>
            </w:r>
            <w:r w:rsidRPr="00C903F8">
              <w:rPr>
                <w:rFonts w:cs="Arial"/>
                <w:color w:val="000000"/>
                <w:sz w:val="18"/>
                <w:szCs w:val="18"/>
                <w:lang w:val="en-US"/>
              </w:rPr>
              <w:br/>
            </w:r>
            <w:r w:rsidRPr="00C903F8">
              <w:rPr>
                <w:rFonts w:cs="Arial"/>
                <w:sz w:val="18"/>
                <w:szCs w:val="18"/>
                <w:lang w:val="en-US"/>
              </w:rPr>
              <w:t>Sufficient view astern</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sidRPr="00C903F8">
              <w:rPr>
                <w:rFonts w:cs="Arial"/>
                <w:sz w:val="18"/>
                <w:szCs w:val="18"/>
                <w:lang w:val="en-US"/>
              </w:rPr>
              <w:t>1.1.2049</w:t>
            </w:r>
          </w:p>
        </w:tc>
      </w:tr>
      <w:tr w:rsidR="004D56BE" w:rsidRPr="00296858" w:rsidTr="00AA5614">
        <w:trPr>
          <w:cantSplit/>
          <w:trHeight w:val="1061"/>
          <w:jc w:val="center"/>
        </w:trPr>
        <w:tc>
          <w:tcPr>
            <w:tcW w:w="1342" w:type="dxa"/>
            <w:shd w:val="clear" w:color="auto" w:fill="auto"/>
          </w:tcPr>
          <w:p w:rsidR="004D56BE" w:rsidRPr="00E56A84" w:rsidRDefault="004D56BE" w:rsidP="00A8005B">
            <w:pPr>
              <w:spacing w:before="60" w:after="60" w:line="240" w:lineRule="atLeast"/>
              <w:rPr>
                <w:rFonts w:cs="Arial"/>
                <w:sz w:val="18"/>
                <w:szCs w:val="18"/>
              </w:rPr>
            </w:pPr>
            <w:r w:rsidRPr="00E56A84">
              <w:rPr>
                <w:rFonts w:cs="Arial"/>
                <w:sz w:val="18"/>
                <w:szCs w:val="18"/>
              </w:rPr>
              <w:t>19.11</w:t>
            </w:r>
          </w:p>
        </w:tc>
        <w:tc>
          <w:tcPr>
            <w:tcW w:w="1458" w:type="dxa"/>
            <w:shd w:val="clear" w:color="auto" w:fill="auto"/>
          </w:tcPr>
          <w:p w:rsidR="004D56BE" w:rsidRPr="00E56A84" w:rsidRDefault="004D56BE" w:rsidP="00A8005B">
            <w:pPr>
              <w:spacing w:before="60" w:after="60" w:line="240" w:lineRule="atLeast"/>
              <w:rPr>
                <w:rFonts w:cs="Arial"/>
                <w:sz w:val="18"/>
                <w:szCs w:val="18"/>
              </w:rPr>
            </w:pPr>
            <w:r w:rsidRPr="00E56A84">
              <w:rPr>
                <w:rFonts w:cs="Arial"/>
                <w:sz w:val="18"/>
                <w:szCs w:val="18"/>
              </w:rPr>
              <w:t>(1)</w:t>
            </w:r>
          </w:p>
        </w:tc>
        <w:tc>
          <w:tcPr>
            <w:tcW w:w="3296" w:type="dxa"/>
            <w:shd w:val="clear" w:color="auto" w:fill="auto"/>
          </w:tcPr>
          <w:p w:rsidR="004D56BE" w:rsidRPr="00E56A84" w:rsidRDefault="004D56BE" w:rsidP="00A8005B">
            <w:pPr>
              <w:tabs>
                <w:tab w:val="left" w:pos="1080"/>
              </w:tabs>
              <w:spacing w:before="60" w:after="60" w:line="240" w:lineRule="atLeast"/>
              <w:ind w:left="15" w:hanging="15"/>
              <w:rPr>
                <w:rFonts w:cs="Arial"/>
                <w:noProof/>
                <w:sz w:val="18"/>
                <w:szCs w:val="18"/>
                <w:lang w:val="en-US"/>
              </w:rPr>
            </w:pPr>
            <w:r w:rsidRPr="00E56A84">
              <w:rPr>
                <w:rFonts w:cs="Arial"/>
                <w:noProof/>
                <w:sz w:val="18"/>
                <w:szCs w:val="18"/>
                <w:lang w:val="en-US"/>
              </w:rPr>
              <w:t>Suitability for fire protection of materials and components</w:t>
            </w:r>
          </w:p>
        </w:tc>
        <w:tc>
          <w:tcPr>
            <w:tcW w:w="6521" w:type="dxa"/>
            <w:shd w:val="clear" w:color="auto" w:fill="auto"/>
          </w:tcPr>
          <w:p w:rsidR="004D56BE" w:rsidRPr="00E56A84" w:rsidRDefault="004D56BE" w:rsidP="00A8005B">
            <w:pPr>
              <w:spacing w:before="60" w:after="60" w:line="240" w:lineRule="atLeast"/>
              <w:ind w:left="15" w:hanging="15"/>
              <w:rPr>
                <w:rFonts w:cs="Arial"/>
                <w:sz w:val="18"/>
                <w:szCs w:val="18"/>
                <w:lang w:val="en-US"/>
              </w:rPr>
            </w:pPr>
            <w:r w:rsidRPr="00E56A84">
              <w:rPr>
                <w:rFonts w:cs="Arial"/>
                <w:sz w:val="18"/>
                <w:szCs w:val="18"/>
                <w:lang w:val="en-US"/>
              </w:rPr>
              <w:t>For materials and components approved according to the International Code for the Application of Fire Test Procedures (FTP code) adopted under Resolution MSC.61(67)</w:t>
            </w:r>
            <w:r w:rsidRPr="00E56A84">
              <w:rPr>
                <w:rStyle w:val="FootnoteReference"/>
                <w:rFonts w:cs="Arial"/>
                <w:sz w:val="18"/>
                <w:szCs w:val="18"/>
                <w:lang w:val="en-US"/>
              </w:rPr>
              <w:footnoteReference w:id="48"/>
            </w:r>
            <w:r w:rsidRPr="00E56A84">
              <w:rPr>
                <w:rFonts w:cs="Arial"/>
                <w:sz w:val="18"/>
                <w:szCs w:val="18"/>
                <w:lang w:val="en-US"/>
              </w:rPr>
              <w:t xml:space="preserve">: </w:t>
            </w:r>
            <w:r>
              <w:rPr>
                <w:rFonts w:cs="Arial"/>
                <w:sz w:val="18"/>
                <w:szCs w:val="18"/>
                <w:lang w:val="en-US"/>
              </w:rPr>
              <w:t>N.R.C.</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lang w:val="en-US"/>
              </w:rPr>
            </w:pPr>
          </w:p>
        </w:tc>
      </w:tr>
      <w:tr w:rsidR="004D56BE" w:rsidRPr="00C903F8" w:rsidTr="00995717">
        <w:trPr>
          <w:cantSplit/>
          <w:jc w:val="center"/>
        </w:trPr>
        <w:tc>
          <w:tcPr>
            <w:tcW w:w="6096" w:type="dxa"/>
            <w:gridSpan w:val="3"/>
            <w:shd w:val="clear" w:color="auto" w:fill="auto"/>
          </w:tcPr>
          <w:p w:rsidR="004D56BE" w:rsidRPr="00C903F8" w:rsidRDefault="004D56BE" w:rsidP="00A8005B">
            <w:pPr>
              <w:tabs>
                <w:tab w:val="left" w:pos="1080"/>
              </w:tabs>
              <w:spacing w:before="60" w:after="60" w:line="240" w:lineRule="atLeast"/>
              <w:ind w:left="0" w:firstLine="0"/>
              <w:jc w:val="center"/>
              <w:rPr>
                <w:rFonts w:cs="Arial"/>
                <w:sz w:val="18"/>
                <w:szCs w:val="18"/>
                <w:lang w:val="en-US"/>
              </w:rPr>
            </w:pPr>
            <w:r w:rsidRPr="00C903F8">
              <w:rPr>
                <w:rFonts w:cs="Arial"/>
                <w:b/>
                <w:sz w:val="18"/>
                <w:szCs w:val="18"/>
                <w:lang w:val="en-US"/>
              </w:rPr>
              <w:t>CHAPTER 20</w:t>
            </w:r>
          </w:p>
        </w:tc>
        <w:tc>
          <w:tcPr>
            <w:tcW w:w="6521" w:type="dxa"/>
            <w:shd w:val="clear" w:color="auto" w:fill="auto"/>
          </w:tcPr>
          <w:p w:rsidR="004D56BE" w:rsidRPr="00C903F8" w:rsidRDefault="004D56BE" w:rsidP="00A8005B">
            <w:pPr>
              <w:adjustRightInd w:val="0"/>
              <w:spacing w:before="60" w:after="60" w:line="240" w:lineRule="atLeast"/>
              <w:ind w:left="0" w:firstLine="0"/>
              <w:jc w:val="center"/>
              <w:rPr>
                <w:rFonts w:cs="Arial"/>
                <w:sz w:val="18"/>
                <w:szCs w:val="18"/>
                <w:lang w:val="en-US"/>
              </w:rPr>
            </w:pP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lang w:val="en-US"/>
              </w:rPr>
            </w:pPr>
          </w:p>
        </w:tc>
      </w:tr>
      <w:tr w:rsidR="004D56BE" w:rsidRPr="00296858" w:rsidTr="00AA5614">
        <w:trPr>
          <w:cantSplit/>
          <w:trHeight w:val="896"/>
          <w:jc w:val="center"/>
        </w:trPr>
        <w:tc>
          <w:tcPr>
            <w:tcW w:w="1342" w:type="dxa"/>
            <w:shd w:val="clear" w:color="auto" w:fill="auto"/>
          </w:tcPr>
          <w:p w:rsidR="004D56BE" w:rsidRPr="00C903F8" w:rsidRDefault="004D56BE" w:rsidP="00A8005B">
            <w:pPr>
              <w:spacing w:before="60" w:after="60" w:line="240" w:lineRule="atLeast"/>
              <w:ind w:left="0" w:firstLine="0"/>
              <w:rPr>
                <w:rFonts w:cs="Arial"/>
                <w:sz w:val="18"/>
                <w:szCs w:val="18"/>
                <w:lang w:val="en-US"/>
              </w:rPr>
            </w:pPr>
          </w:p>
        </w:tc>
        <w:tc>
          <w:tcPr>
            <w:tcW w:w="1458" w:type="dxa"/>
            <w:shd w:val="clear" w:color="auto" w:fill="auto"/>
          </w:tcPr>
          <w:p w:rsidR="004D56BE" w:rsidRPr="00C903F8" w:rsidRDefault="004D56BE" w:rsidP="00A8005B">
            <w:pPr>
              <w:spacing w:before="60" w:after="60" w:line="240" w:lineRule="atLeast"/>
              <w:ind w:left="0" w:firstLine="0"/>
              <w:rPr>
                <w:rFonts w:cs="Arial"/>
                <w:sz w:val="18"/>
                <w:szCs w:val="18"/>
                <w:lang w:val="en-US"/>
              </w:rPr>
            </w:pPr>
          </w:p>
        </w:tc>
        <w:tc>
          <w:tcPr>
            <w:tcW w:w="3296" w:type="dxa"/>
            <w:shd w:val="clear" w:color="auto" w:fill="auto"/>
          </w:tcPr>
          <w:p w:rsidR="004D56BE" w:rsidRPr="00C903F8" w:rsidRDefault="004D56BE" w:rsidP="00A8005B">
            <w:pPr>
              <w:tabs>
                <w:tab w:val="left" w:pos="1080"/>
              </w:tabs>
              <w:spacing w:before="60" w:after="60" w:line="240" w:lineRule="atLeast"/>
              <w:ind w:left="0" w:firstLine="0"/>
              <w:rPr>
                <w:rFonts w:cs="Arial"/>
                <w:sz w:val="18"/>
                <w:szCs w:val="18"/>
              </w:rPr>
            </w:pPr>
            <w:r w:rsidRPr="00C903F8">
              <w:rPr>
                <w:rFonts w:cs="Arial"/>
                <w:sz w:val="18"/>
                <w:szCs w:val="18"/>
                <w:lang w:val="en-US"/>
              </w:rPr>
              <w:t>Pass</w:t>
            </w:r>
            <w:r w:rsidRPr="00C903F8">
              <w:rPr>
                <w:rFonts w:cs="Arial"/>
                <w:sz w:val="18"/>
                <w:szCs w:val="18"/>
              </w:rPr>
              <w:t>enger sailing vessels</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sidRPr="00C903F8">
              <w:rPr>
                <w:rFonts w:cs="Arial"/>
                <w:sz w:val="18"/>
                <w:szCs w:val="18"/>
                <w:lang w:val="en-US"/>
              </w:rPr>
              <w:t xml:space="preserve">See the provisions laid down in the regulations for vessels excluded from the </w:t>
            </w:r>
            <w:r>
              <w:rPr>
                <w:rFonts w:cs="Arial"/>
                <w:sz w:val="18"/>
                <w:szCs w:val="18"/>
                <w:lang w:val="en-US"/>
              </w:rPr>
              <w:t>scope of Directive 82/714/EEC: ‘</w:t>
            </w:r>
            <w:r w:rsidRPr="00C903F8">
              <w:rPr>
                <w:rFonts w:cs="Arial"/>
                <w:sz w:val="18"/>
                <w:szCs w:val="18"/>
                <w:lang w:val="en-US"/>
              </w:rPr>
              <w:t>A</w:t>
            </w:r>
            <w:r>
              <w:rPr>
                <w:rFonts w:cs="Arial"/>
                <w:sz w:val="18"/>
                <w:szCs w:val="18"/>
                <w:lang w:val="en-US"/>
              </w:rPr>
              <w:t>bsence of manifest danger’.</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lang w:val="en-US"/>
              </w:rPr>
            </w:pPr>
          </w:p>
        </w:tc>
      </w:tr>
      <w:tr w:rsidR="004D56BE" w:rsidRPr="00C903F8" w:rsidTr="001964F8">
        <w:trPr>
          <w:cantSplit/>
          <w:jc w:val="center"/>
        </w:trPr>
        <w:tc>
          <w:tcPr>
            <w:tcW w:w="6096" w:type="dxa"/>
            <w:gridSpan w:val="3"/>
            <w:shd w:val="clear" w:color="auto" w:fill="auto"/>
          </w:tcPr>
          <w:p w:rsidR="004D56BE" w:rsidRPr="00C903F8" w:rsidRDefault="004D56BE" w:rsidP="00A8005B">
            <w:pPr>
              <w:tabs>
                <w:tab w:val="left" w:pos="1080"/>
              </w:tabs>
              <w:spacing w:before="60" w:after="60" w:line="240" w:lineRule="atLeast"/>
              <w:ind w:left="0" w:firstLine="0"/>
              <w:jc w:val="center"/>
              <w:rPr>
                <w:rFonts w:cs="Arial"/>
                <w:sz w:val="18"/>
                <w:szCs w:val="18"/>
              </w:rPr>
            </w:pPr>
            <w:r w:rsidRPr="00C903F8">
              <w:rPr>
                <w:rFonts w:cs="Arial"/>
                <w:b/>
                <w:sz w:val="18"/>
                <w:szCs w:val="18"/>
              </w:rPr>
              <w:t>CHAPTER 21</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rPr>
            </w:pP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p>
        </w:tc>
      </w:tr>
      <w:tr w:rsidR="004D56BE" w:rsidRPr="00C903F8" w:rsidTr="00AA5614">
        <w:trPr>
          <w:cantSplit/>
          <w:trHeight w:val="1262"/>
          <w:jc w:val="center"/>
        </w:trPr>
        <w:tc>
          <w:tcPr>
            <w:tcW w:w="1342" w:type="dxa"/>
            <w:tcBorders>
              <w:bottom w:val="nil"/>
            </w:tcBorders>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21.01</w:t>
            </w:r>
          </w:p>
        </w:tc>
        <w:tc>
          <w:tcPr>
            <w:tcW w:w="1458" w:type="dxa"/>
            <w:shd w:val="clear" w:color="auto" w:fill="auto"/>
          </w:tcPr>
          <w:p w:rsidR="004D56BE" w:rsidRPr="00C903F8" w:rsidRDefault="004D56BE" w:rsidP="00A8005B">
            <w:pPr>
              <w:spacing w:before="60" w:after="60" w:line="240" w:lineRule="atLeast"/>
              <w:ind w:left="0" w:firstLine="0"/>
              <w:jc w:val="left"/>
              <w:rPr>
                <w:rFonts w:cs="Arial"/>
                <w:sz w:val="18"/>
                <w:szCs w:val="18"/>
              </w:rPr>
            </w:pPr>
            <w:r w:rsidRPr="00C903F8">
              <w:rPr>
                <w:rFonts w:cs="Arial"/>
                <w:sz w:val="18"/>
                <w:szCs w:val="18"/>
              </w:rPr>
              <w:t>(2)</w:t>
            </w:r>
          </w:p>
        </w:tc>
        <w:tc>
          <w:tcPr>
            <w:tcW w:w="3296" w:type="dxa"/>
            <w:shd w:val="clear" w:color="auto" w:fill="auto"/>
          </w:tcPr>
          <w:p w:rsidR="004D56BE" w:rsidRPr="00C903F8" w:rsidRDefault="004D56BE" w:rsidP="00A8005B">
            <w:pPr>
              <w:tabs>
                <w:tab w:val="left" w:pos="1080"/>
              </w:tabs>
              <w:spacing w:before="60" w:after="60" w:line="240" w:lineRule="atLeast"/>
              <w:ind w:left="0" w:firstLine="0"/>
              <w:rPr>
                <w:rFonts w:cs="Arial"/>
                <w:sz w:val="18"/>
                <w:szCs w:val="18"/>
                <w:lang w:val="en-US"/>
              </w:rPr>
            </w:pPr>
            <w:r w:rsidRPr="00C903F8">
              <w:rPr>
                <w:rFonts w:cs="Arial"/>
                <w:noProof/>
                <w:sz w:val="18"/>
                <w:szCs w:val="18"/>
                <w:lang w:val="en-US"/>
              </w:rPr>
              <w:t xml:space="preserve">Special winches or equivalent coupling devices </w:t>
            </w:r>
            <w:r w:rsidRPr="00C903F8">
              <w:rPr>
                <w:rFonts w:cs="Arial"/>
                <w:sz w:val="18"/>
                <w:szCs w:val="18"/>
                <w:lang w:val="en-US"/>
              </w:rPr>
              <w:t>to be used for pushing purposes</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30.12.2049</w:t>
            </w:r>
          </w:p>
        </w:tc>
      </w:tr>
      <w:tr w:rsidR="004D56BE" w:rsidRPr="00C903F8" w:rsidTr="00AA5614">
        <w:trPr>
          <w:cantSplit/>
          <w:trHeight w:val="854"/>
          <w:jc w:val="center"/>
        </w:trPr>
        <w:tc>
          <w:tcPr>
            <w:tcW w:w="1342" w:type="dxa"/>
            <w:tcBorders>
              <w:top w:val="nil"/>
            </w:tcBorders>
            <w:shd w:val="clear" w:color="auto" w:fill="auto"/>
          </w:tcPr>
          <w:p w:rsidR="004D56BE" w:rsidRPr="00C903F8" w:rsidRDefault="004D56BE" w:rsidP="00A8005B">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60" w:after="60" w:line="240" w:lineRule="atLeast"/>
              <w:ind w:left="0" w:firstLine="0"/>
              <w:jc w:val="left"/>
              <w:rPr>
                <w:rFonts w:cs="Arial"/>
                <w:sz w:val="18"/>
                <w:szCs w:val="18"/>
              </w:rPr>
            </w:pPr>
            <w:r w:rsidRPr="00C903F8">
              <w:rPr>
                <w:rFonts w:cs="Arial"/>
                <w:sz w:val="18"/>
                <w:szCs w:val="18"/>
              </w:rPr>
              <w:t>(3) last sentence</w:t>
            </w:r>
          </w:p>
        </w:tc>
        <w:tc>
          <w:tcPr>
            <w:tcW w:w="3296" w:type="dxa"/>
            <w:shd w:val="clear" w:color="auto" w:fill="auto"/>
          </w:tcPr>
          <w:p w:rsidR="004D56BE" w:rsidRPr="00C903F8" w:rsidRDefault="004D56BE" w:rsidP="00A8005B">
            <w:pPr>
              <w:tabs>
                <w:tab w:val="left" w:pos="1080"/>
              </w:tabs>
              <w:spacing w:before="60" w:after="60" w:line="240" w:lineRule="atLeast"/>
              <w:ind w:left="0" w:firstLine="0"/>
              <w:rPr>
                <w:rFonts w:cs="Arial"/>
                <w:sz w:val="18"/>
                <w:szCs w:val="18"/>
              </w:rPr>
            </w:pPr>
            <w:r w:rsidRPr="00C903F8">
              <w:rPr>
                <w:rFonts w:cs="Arial"/>
                <w:noProof/>
                <w:sz w:val="18"/>
                <w:szCs w:val="18"/>
              </w:rPr>
              <w:t>Requirements for drive units</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30.12.2049</w:t>
            </w:r>
          </w:p>
        </w:tc>
      </w:tr>
      <w:tr w:rsidR="004D56BE" w:rsidRPr="00C903F8" w:rsidTr="001964F8">
        <w:trPr>
          <w:cantSplit/>
          <w:jc w:val="center"/>
        </w:trPr>
        <w:tc>
          <w:tcPr>
            <w:tcW w:w="6096" w:type="dxa"/>
            <w:gridSpan w:val="3"/>
            <w:shd w:val="clear" w:color="auto" w:fill="auto"/>
          </w:tcPr>
          <w:p w:rsidR="004D56BE" w:rsidRPr="00C903F8" w:rsidRDefault="004D56BE" w:rsidP="00A8005B">
            <w:pPr>
              <w:tabs>
                <w:tab w:val="left" w:pos="1080"/>
              </w:tabs>
              <w:spacing w:before="60" w:after="60" w:line="240" w:lineRule="atLeast"/>
              <w:ind w:left="0" w:firstLine="0"/>
              <w:jc w:val="center"/>
              <w:rPr>
                <w:rFonts w:cs="Arial"/>
                <w:sz w:val="18"/>
                <w:szCs w:val="18"/>
              </w:rPr>
            </w:pPr>
            <w:r w:rsidRPr="00C903F8">
              <w:rPr>
                <w:rFonts w:cs="Arial"/>
                <w:b/>
                <w:sz w:val="18"/>
                <w:szCs w:val="18"/>
              </w:rPr>
              <w:t>CHAPTER 22</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rPr>
            </w:pP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p>
        </w:tc>
      </w:tr>
      <w:tr w:rsidR="004D56BE" w:rsidRPr="00296858" w:rsidTr="001964F8">
        <w:trPr>
          <w:cantSplit/>
          <w:jc w:val="center"/>
        </w:trPr>
        <w:tc>
          <w:tcPr>
            <w:tcW w:w="1342" w:type="dxa"/>
            <w:shd w:val="clear" w:color="auto" w:fill="auto"/>
          </w:tcPr>
          <w:p w:rsidR="004D56BE" w:rsidRPr="00C903F8" w:rsidRDefault="004D56BE" w:rsidP="00A8005B">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60" w:after="60" w:line="240" w:lineRule="atLeast"/>
              <w:ind w:left="0" w:firstLine="0"/>
              <w:rPr>
                <w:rFonts w:cs="Arial"/>
                <w:sz w:val="18"/>
                <w:szCs w:val="18"/>
              </w:rPr>
            </w:pPr>
          </w:p>
        </w:tc>
        <w:tc>
          <w:tcPr>
            <w:tcW w:w="3296" w:type="dxa"/>
            <w:shd w:val="clear" w:color="auto" w:fill="auto"/>
          </w:tcPr>
          <w:p w:rsidR="004D56BE" w:rsidRPr="00C903F8" w:rsidRDefault="004D56BE" w:rsidP="00A8005B">
            <w:pPr>
              <w:tabs>
                <w:tab w:val="left" w:pos="1080"/>
              </w:tabs>
              <w:spacing w:before="60" w:after="60" w:line="240" w:lineRule="atLeast"/>
              <w:ind w:left="0" w:firstLine="0"/>
              <w:rPr>
                <w:rFonts w:cs="Arial"/>
                <w:sz w:val="18"/>
                <w:szCs w:val="18"/>
              </w:rPr>
            </w:pPr>
            <w:r w:rsidRPr="00C903F8">
              <w:rPr>
                <w:rFonts w:cs="Arial"/>
                <w:sz w:val="18"/>
                <w:szCs w:val="18"/>
              </w:rPr>
              <w:t>Floating equipment</w:t>
            </w:r>
          </w:p>
        </w:tc>
        <w:tc>
          <w:tcPr>
            <w:tcW w:w="6521" w:type="dxa"/>
            <w:shd w:val="clear" w:color="auto" w:fill="auto"/>
          </w:tcPr>
          <w:p w:rsidR="004D56BE" w:rsidRPr="00C903F8" w:rsidRDefault="004D56BE" w:rsidP="005B1BE0">
            <w:pPr>
              <w:spacing w:before="60" w:after="60" w:line="240" w:lineRule="atLeast"/>
              <w:ind w:left="0" w:firstLine="0"/>
              <w:rPr>
                <w:rFonts w:cs="Arial"/>
                <w:sz w:val="18"/>
                <w:szCs w:val="18"/>
                <w:lang w:val="en-US"/>
              </w:rPr>
            </w:pPr>
            <w:r w:rsidRPr="00C903F8">
              <w:rPr>
                <w:rFonts w:cs="Arial"/>
                <w:sz w:val="18"/>
                <w:szCs w:val="18"/>
                <w:lang w:val="en-US"/>
              </w:rPr>
              <w:t xml:space="preserve">See the provisions laid down in the regulations for vessels excluded from the scope of Directive 82/714/EEC: </w:t>
            </w:r>
            <w:r>
              <w:rPr>
                <w:rFonts w:cs="Arial"/>
                <w:sz w:val="18"/>
                <w:szCs w:val="18"/>
                <w:lang w:val="en-US"/>
              </w:rPr>
              <w:t>‘</w:t>
            </w:r>
            <w:r w:rsidRPr="00C903F8">
              <w:rPr>
                <w:rFonts w:cs="Arial"/>
                <w:sz w:val="18"/>
                <w:szCs w:val="18"/>
                <w:lang w:val="en-US"/>
              </w:rPr>
              <w:t>Absence of manifest danger</w:t>
            </w:r>
            <w:r>
              <w:rPr>
                <w:rFonts w:cs="Arial"/>
                <w:sz w:val="18"/>
                <w:szCs w:val="18"/>
                <w:lang w:val="en-US"/>
              </w:rPr>
              <w:t>’.</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lang w:val="en-US"/>
              </w:rPr>
            </w:pPr>
          </w:p>
        </w:tc>
      </w:tr>
      <w:tr w:rsidR="004D56BE" w:rsidRPr="00C903F8" w:rsidTr="001964F8">
        <w:trPr>
          <w:cantSplit/>
          <w:jc w:val="center"/>
        </w:trPr>
        <w:tc>
          <w:tcPr>
            <w:tcW w:w="6096" w:type="dxa"/>
            <w:gridSpan w:val="3"/>
            <w:shd w:val="clear" w:color="auto" w:fill="auto"/>
          </w:tcPr>
          <w:p w:rsidR="004D56BE" w:rsidRPr="00C903F8" w:rsidRDefault="004D56BE" w:rsidP="00A8005B">
            <w:pPr>
              <w:tabs>
                <w:tab w:val="left" w:pos="1080"/>
              </w:tabs>
              <w:spacing w:before="60" w:after="60" w:line="240" w:lineRule="atLeast"/>
              <w:ind w:left="0" w:firstLine="0"/>
              <w:jc w:val="center"/>
              <w:rPr>
                <w:rFonts w:cs="Arial"/>
                <w:sz w:val="18"/>
                <w:szCs w:val="18"/>
              </w:rPr>
            </w:pPr>
            <w:r w:rsidRPr="00C903F8">
              <w:rPr>
                <w:rFonts w:cs="Arial"/>
                <w:b/>
                <w:sz w:val="18"/>
                <w:szCs w:val="18"/>
              </w:rPr>
              <w:t>CHAPTER 26</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rPr>
            </w:pP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p>
        </w:tc>
      </w:tr>
      <w:tr w:rsidR="004D56BE" w:rsidRPr="00296858" w:rsidTr="001964F8">
        <w:trPr>
          <w:cantSplit/>
          <w:jc w:val="center"/>
        </w:trPr>
        <w:tc>
          <w:tcPr>
            <w:tcW w:w="1342" w:type="dxa"/>
            <w:shd w:val="clear" w:color="auto" w:fill="auto"/>
          </w:tcPr>
          <w:p w:rsidR="004D56BE" w:rsidRPr="00C903F8" w:rsidRDefault="004D56BE" w:rsidP="00A8005B">
            <w:pPr>
              <w:spacing w:before="60" w:after="60" w:line="240" w:lineRule="atLeast"/>
              <w:ind w:left="0" w:firstLine="0"/>
              <w:rPr>
                <w:rFonts w:cs="Arial"/>
                <w:sz w:val="18"/>
                <w:szCs w:val="18"/>
              </w:rPr>
            </w:pPr>
          </w:p>
        </w:tc>
        <w:tc>
          <w:tcPr>
            <w:tcW w:w="1458" w:type="dxa"/>
            <w:shd w:val="clear" w:color="auto" w:fill="auto"/>
          </w:tcPr>
          <w:p w:rsidR="004D56BE" w:rsidRPr="00C903F8" w:rsidRDefault="004D56BE" w:rsidP="00A8005B">
            <w:pPr>
              <w:spacing w:before="60" w:after="60" w:line="240" w:lineRule="atLeast"/>
              <w:ind w:left="0" w:firstLine="0"/>
              <w:rPr>
                <w:rFonts w:cs="Arial"/>
                <w:sz w:val="18"/>
                <w:szCs w:val="18"/>
              </w:rPr>
            </w:pPr>
          </w:p>
        </w:tc>
        <w:tc>
          <w:tcPr>
            <w:tcW w:w="3296" w:type="dxa"/>
            <w:shd w:val="clear" w:color="auto" w:fill="auto"/>
          </w:tcPr>
          <w:p w:rsidR="004D56BE" w:rsidRPr="00C903F8" w:rsidRDefault="004D56BE" w:rsidP="00A8005B">
            <w:pPr>
              <w:tabs>
                <w:tab w:val="left" w:pos="1080"/>
              </w:tabs>
              <w:spacing w:before="60" w:after="60" w:line="240" w:lineRule="atLeast"/>
              <w:ind w:left="0" w:firstLine="0"/>
              <w:rPr>
                <w:rFonts w:cs="Arial"/>
                <w:sz w:val="18"/>
                <w:szCs w:val="18"/>
              </w:rPr>
            </w:pPr>
            <w:r w:rsidRPr="00C903F8">
              <w:rPr>
                <w:rFonts w:cs="Arial"/>
                <w:sz w:val="18"/>
                <w:szCs w:val="18"/>
              </w:rPr>
              <w:t>Recreational craft</w:t>
            </w:r>
          </w:p>
        </w:tc>
        <w:tc>
          <w:tcPr>
            <w:tcW w:w="6521" w:type="dxa"/>
            <w:shd w:val="clear" w:color="auto" w:fill="auto"/>
          </w:tcPr>
          <w:p w:rsidR="004D56BE" w:rsidRPr="00C903F8" w:rsidRDefault="004D56BE" w:rsidP="005B1BE0">
            <w:pPr>
              <w:spacing w:before="60" w:after="60" w:line="240" w:lineRule="atLeast"/>
              <w:ind w:left="0" w:firstLine="0"/>
              <w:rPr>
                <w:rFonts w:cs="Arial"/>
                <w:sz w:val="18"/>
                <w:szCs w:val="18"/>
                <w:lang w:val="en-US"/>
              </w:rPr>
            </w:pPr>
            <w:r w:rsidRPr="00C903F8">
              <w:rPr>
                <w:rFonts w:cs="Arial"/>
                <w:sz w:val="18"/>
                <w:szCs w:val="18"/>
                <w:lang w:val="en-US"/>
              </w:rPr>
              <w:t xml:space="preserve">See the provisions laid down in the regulations for vessels excluded from the </w:t>
            </w:r>
            <w:r>
              <w:rPr>
                <w:rFonts w:cs="Arial"/>
                <w:sz w:val="18"/>
                <w:szCs w:val="18"/>
                <w:lang w:val="en-US"/>
              </w:rPr>
              <w:t>scope of Directive 82/714/EEC: ‘</w:t>
            </w:r>
            <w:r w:rsidRPr="00C903F8">
              <w:rPr>
                <w:rFonts w:cs="Arial"/>
                <w:sz w:val="18"/>
                <w:szCs w:val="18"/>
                <w:lang w:val="en-US"/>
              </w:rPr>
              <w:t>Absence of manifest danger</w:t>
            </w:r>
            <w:r>
              <w:rPr>
                <w:rFonts w:cs="Arial"/>
                <w:sz w:val="18"/>
                <w:szCs w:val="18"/>
                <w:lang w:val="en-US"/>
              </w:rPr>
              <w:t>’.</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lang w:val="en-US"/>
              </w:rPr>
            </w:pPr>
          </w:p>
        </w:tc>
      </w:tr>
      <w:tr w:rsidR="004D56BE" w:rsidRPr="00C903F8" w:rsidTr="001964F8">
        <w:trPr>
          <w:cantSplit/>
          <w:jc w:val="center"/>
        </w:trPr>
        <w:tc>
          <w:tcPr>
            <w:tcW w:w="6096" w:type="dxa"/>
            <w:gridSpan w:val="3"/>
            <w:shd w:val="clear" w:color="auto" w:fill="auto"/>
          </w:tcPr>
          <w:p w:rsidR="004D56BE" w:rsidRPr="00C903F8" w:rsidRDefault="004D56BE" w:rsidP="00A8005B">
            <w:pPr>
              <w:tabs>
                <w:tab w:val="left" w:pos="1080"/>
              </w:tabs>
              <w:spacing w:before="60" w:after="60" w:line="240" w:lineRule="atLeast"/>
              <w:ind w:left="0" w:firstLine="0"/>
              <w:jc w:val="center"/>
              <w:rPr>
                <w:rFonts w:cs="Arial"/>
                <w:sz w:val="18"/>
                <w:szCs w:val="18"/>
              </w:rPr>
            </w:pPr>
            <w:r w:rsidRPr="00C903F8">
              <w:rPr>
                <w:rFonts w:cs="Arial"/>
                <w:b/>
                <w:sz w:val="18"/>
                <w:szCs w:val="18"/>
              </w:rPr>
              <w:t>CHAPTER 29</w:t>
            </w:r>
          </w:p>
        </w:tc>
        <w:tc>
          <w:tcPr>
            <w:tcW w:w="6521" w:type="dxa"/>
            <w:shd w:val="clear" w:color="auto" w:fill="auto"/>
          </w:tcPr>
          <w:p w:rsidR="004D56BE" w:rsidRPr="00C903F8" w:rsidRDefault="004D56BE" w:rsidP="00A8005B">
            <w:pPr>
              <w:adjustRightInd w:val="0"/>
              <w:spacing w:before="60" w:after="60" w:line="240" w:lineRule="atLeast"/>
              <w:ind w:left="0" w:firstLine="0"/>
              <w:jc w:val="center"/>
              <w:rPr>
                <w:rFonts w:cs="Arial"/>
                <w:sz w:val="18"/>
                <w:szCs w:val="18"/>
              </w:rPr>
            </w:pP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p>
        </w:tc>
      </w:tr>
      <w:tr w:rsidR="004D56BE" w:rsidRPr="00C903F8" w:rsidTr="001964F8">
        <w:trPr>
          <w:cantSplit/>
          <w:jc w:val="center"/>
        </w:trPr>
        <w:tc>
          <w:tcPr>
            <w:tcW w:w="1342"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 xml:space="preserve">29.02 </w:t>
            </w:r>
          </w:p>
        </w:tc>
        <w:tc>
          <w:tcPr>
            <w:tcW w:w="1458"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(3)</w:t>
            </w:r>
          </w:p>
        </w:tc>
        <w:tc>
          <w:tcPr>
            <w:tcW w:w="3296" w:type="dxa"/>
            <w:shd w:val="clear" w:color="auto" w:fill="auto"/>
          </w:tcPr>
          <w:p w:rsidR="004D56BE" w:rsidRPr="00C903F8" w:rsidRDefault="004D56BE" w:rsidP="00A8005B">
            <w:pPr>
              <w:tabs>
                <w:tab w:val="left" w:pos="1080"/>
              </w:tabs>
              <w:spacing w:before="60" w:after="60" w:line="240" w:lineRule="atLeast"/>
              <w:ind w:left="0" w:firstLine="0"/>
              <w:rPr>
                <w:rFonts w:cs="Arial"/>
                <w:sz w:val="18"/>
                <w:szCs w:val="18"/>
                <w:lang w:val="en-US"/>
              </w:rPr>
            </w:pPr>
            <w:r w:rsidRPr="00C903F8">
              <w:rPr>
                <w:rFonts w:cs="Arial"/>
                <w:sz w:val="18"/>
                <w:szCs w:val="18"/>
                <w:lang w:val="en-US"/>
              </w:rPr>
              <w:t>Second independent steering apparatus drive unit or a manually operated drive unit come into operation</w:t>
            </w:r>
          </w:p>
        </w:tc>
        <w:tc>
          <w:tcPr>
            <w:tcW w:w="6521" w:type="dxa"/>
            <w:shd w:val="clear" w:color="auto" w:fill="auto"/>
          </w:tcPr>
          <w:p w:rsidR="004D56BE" w:rsidRPr="00C903F8" w:rsidRDefault="004D56BE" w:rsidP="00A8005B">
            <w:pPr>
              <w:spacing w:before="60" w:after="60" w:line="240" w:lineRule="atLeast"/>
              <w:ind w:left="0" w:firstLine="0"/>
              <w:rPr>
                <w:rFonts w:cs="Arial"/>
                <w:sz w:val="18"/>
                <w:szCs w:val="18"/>
                <w:lang w:val="en-US"/>
              </w:rPr>
            </w:pPr>
            <w:r>
              <w:rPr>
                <w:rFonts w:cs="Arial"/>
                <w:sz w:val="18"/>
                <w:szCs w:val="18"/>
                <w:lang w:val="en-US"/>
              </w:rPr>
              <w:t>N.R.C.</w:t>
            </w:r>
            <w:r w:rsidRPr="00C903F8">
              <w:rPr>
                <w:rFonts w:cs="Arial"/>
                <w:sz w:val="18"/>
                <w:szCs w:val="18"/>
                <w:lang w:val="en-US"/>
              </w:rPr>
              <w:t>, at the latest on renewal of the inland navigation vessel certificate after</w:t>
            </w:r>
          </w:p>
        </w:tc>
        <w:tc>
          <w:tcPr>
            <w:tcW w:w="1276" w:type="dxa"/>
            <w:shd w:val="clear" w:color="auto" w:fill="auto"/>
          </w:tcPr>
          <w:p w:rsidR="004D56BE" w:rsidRPr="00C903F8" w:rsidRDefault="004D56BE" w:rsidP="00A8005B">
            <w:pPr>
              <w:spacing w:before="60" w:after="60" w:line="240" w:lineRule="atLeast"/>
              <w:ind w:left="0" w:firstLine="0"/>
              <w:rPr>
                <w:rFonts w:cs="Arial"/>
                <w:sz w:val="18"/>
                <w:szCs w:val="18"/>
              </w:rPr>
            </w:pPr>
            <w:r w:rsidRPr="00C903F8">
              <w:rPr>
                <w:rFonts w:cs="Arial"/>
                <w:sz w:val="18"/>
                <w:szCs w:val="18"/>
              </w:rPr>
              <w:t>30.12.2029</w:t>
            </w:r>
          </w:p>
        </w:tc>
      </w:tr>
    </w:tbl>
    <w:p w:rsidR="001E2331" w:rsidRPr="00C903F8" w:rsidRDefault="001E2331" w:rsidP="001E2331">
      <w:pPr>
        <w:spacing w:line="240" w:lineRule="atLeast"/>
        <w:ind w:left="567" w:hanging="567"/>
      </w:pPr>
    </w:p>
    <w:p w:rsidR="00A455C7" w:rsidRPr="00C903F8" w:rsidRDefault="00A455C7" w:rsidP="001E2331">
      <w:pPr>
        <w:spacing w:line="240" w:lineRule="atLeast"/>
        <w:ind w:left="567" w:hanging="567"/>
      </w:pPr>
    </w:p>
    <w:p w:rsidR="00AA5614" w:rsidRDefault="00AA5614">
      <w:pPr>
        <w:autoSpaceDE/>
        <w:autoSpaceDN/>
        <w:ind w:left="0" w:firstLine="0"/>
        <w:jc w:val="left"/>
        <w:rPr>
          <w:rFonts w:eastAsia="Calibri"/>
          <w:b/>
          <w:sz w:val="22"/>
          <w:szCs w:val="22"/>
          <w:lang w:val="en-US" w:eastAsia="en-US"/>
        </w:rPr>
      </w:pPr>
      <w:r>
        <w:rPr>
          <w:lang w:val="en-US"/>
        </w:rPr>
        <w:br w:type="page"/>
      </w:r>
    </w:p>
    <w:p w:rsidR="00A455C7" w:rsidRPr="00C903F8" w:rsidRDefault="001E2331" w:rsidP="00A455C7">
      <w:pPr>
        <w:pStyle w:val="ES-Titre3"/>
        <w:rPr>
          <w:lang w:val="en-US"/>
        </w:rPr>
      </w:pPr>
      <w:bookmarkStart w:id="307" w:name="_Toc491854288"/>
      <w:r w:rsidRPr="00C903F8">
        <w:rPr>
          <w:lang w:val="en-US"/>
        </w:rPr>
        <w:lastRenderedPageBreak/>
        <w:t>Article 33.03</w:t>
      </w:r>
      <w:bookmarkEnd w:id="307"/>
    </w:p>
    <w:p w:rsidR="001E2331" w:rsidRPr="00934A8A" w:rsidRDefault="00934A8A" w:rsidP="00A455C7">
      <w:pPr>
        <w:pStyle w:val="ES-Titre3a"/>
        <w:rPr>
          <w:lang w:val="en-US"/>
        </w:rPr>
      </w:pPr>
      <w:bookmarkStart w:id="308" w:name="_Toc421775899"/>
      <w:bookmarkStart w:id="309" w:name="_Toc491854289"/>
      <w:r w:rsidRPr="00934A8A">
        <w:rPr>
          <w:lang w:val="en-US"/>
        </w:rPr>
        <w:t>Additional transitional provisions for craft which were laid down before 1 January 1985</w:t>
      </w:r>
      <w:bookmarkEnd w:id="308"/>
      <w:bookmarkEnd w:id="309"/>
    </w:p>
    <w:p w:rsidR="001E2331" w:rsidRPr="00C903F8" w:rsidRDefault="001E2331" w:rsidP="001E2331">
      <w:pPr>
        <w:spacing w:line="240" w:lineRule="atLeast"/>
        <w:ind w:left="567" w:hanging="567"/>
        <w:rPr>
          <w:lang w:val="en-US"/>
        </w:rPr>
      </w:pPr>
    </w:p>
    <w:p w:rsidR="00934A8A" w:rsidRPr="008F2BC7" w:rsidRDefault="00934A8A" w:rsidP="00934A8A">
      <w:pPr>
        <w:spacing w:line="240" w:lineRule="atLeast"/>
        <w:ind w:left="567" w:hanging="567"/>
        <w:rPr>
          <w:lang w:val="en-US"/>
        </w:rPr>
      </w:pPr>
      <w:r w:rsidRPr="008F2BC7">
        <w:rPr>
          <w:lang w:val="en-US"/>
        </w:rPr>
        <w:t xml:space="preserve">1. </w:t>
      </w:r>
      <w:r w:rsidRPr="008F2BC7">
        <w:rPr>
          <w:lang w:val="en-US"/>
        </w:rPr>
        <w:tab/>
        <w:t xml:space="preserve">In addition to the transitional provisions of the Article 33.02, </w:t>
      </w:r>
      <w:r w:rsidRPr="00934A8A">
        <w:rPr>
          <w:lang w:val="en-US"/>
        </w:rPr>
        <w:t xml:space="preserve">the following provisions may be applied to </w:t>
      </w:r>
      <w:r w:rsidRPr="008F2BC7">
        <w:rPr>
          <w:lang w:val="en-US"/>
        </w:rPr>
        <w:t>craft which were laid down before 1</w:t>
      </w:r>
      <w:r w:rsidR="00A8005B">
        <w:rPr>
          <w:lang w:val="en-US"/>
        </w:rPr>
        <w:t> </w:t>
      </w:r>
      <w:r w:rsidRPr="008F2BC7">
        <w:rPr>
          <w:lang w:val="en-US"/>
        </w:rPr>
        <w:t>January</w:t>
      </w:r>
      <w:r w:rsidR="00A8005B">
        <w:rPr>
          <w:lang w:val="en-US"/>
        </w:rPr>
        <w:t> </w:t>
      </w:r>
      <w:r w:rsidRPr="008F2BC7">
        <w:rPr>
          <w:lang w:val="en-US"/>
        </w:rPr>
        <w:t xml:space="preserve">1985 </w:t>
      </w:r>
      <w:r w:rsidRPr="00934A8A">
        <w:rPr>
          <w:lang w:val="en-US"/>
        </w:rPr>
        <w:t>provided that there are appropriate guarantees for the</w:t>
      </w:r>
      <w:r w:rsidR="00655F84">
        <w:rPr>
          <w:lang w:val="en-US"/>
        </w:rPr>
        <w:t xml:space="preserve"> safety of the vessel and crew.</w:t>
      </w:r>
    </w:p>
    <w:p w:rsidR="00934A8A" w:rsidRPr="00934A8A" w:rsidRDefault="00934A8A" w:rsidP="00934A8A">
      <w:pPr>
        <w:spacing w:line="240" w:lineRule="atLeast"/>
        <w:ind w:left="567" w:hanging="567"/>
        <w:rPr>
          <w:highlight w:val="yellow"/>
          <w:lang w:val="en-US"/>
        </w:rPr>
      </w:pPr>
    </w:p>
    <w:p w:rsidR="00934A8A" w:rsidRPr="00934A8A" w:rsidRDefault="00934A8A" w:rsidP="00934A8A">
      <w:pPr>
        <w:spacing w:line="240" w:lineRule="atLeast"/>
        <w:ind w:left="567" w:hanging="567"/>
        <w:rPr>
          <w:lang w:val="en-US"/>
        </w:rPr>
      </w:pPr>
      <w:r w:rsidRPr="00934A8A">
        <w:rPr>
          <w:lang w:val="en-US"/>
        </w:rPr>
        <w:t>2.</w:t>
      </w:r>
      <w:r w:rsidRPr="00934A8A">
        <w:rPr>
          <w:lang w:val="en-US"/>
        </w:rPr>
        <w:tab/>
        <w:t>The following definitions apply in the table below:</w:t>
      </w:r>
    </w:p>
    <w:p w:rsidR="00934A8A" w:rsidRPr="00934A8A" w:rsidRDefault="00934A8A" w:rsidP="00934A8A">
      <w:pPr>
        <w:spacing w:line="240" w:lineRule="atLeast"/>
        <w:ind w:left="567" w:hanging="567"/>
        <w:rPr>
          <w:lang w:val="en-US"/>
        </w:rPr>
      </w:pPr>
    </w:p>
    <w:p w:rsidR="00934A8A" w:rsidRDefault="00934A8A" w:rsidP="00934A8A">
      <w:pPr>
        <w:spacing w:line="240" w:lineRule="atLeast"/>
        <w:ind w:left="567" w:firstLine="0"/>
        <w:rPr>
          <w:lang w:val="en-US"/>
        </w:rPr>
      </w:pPr>
      <w:r w:rsidRPr="00934A8A">
        <w:rPr>
          <w:lang w:val="en-US"/>
        </w:rPr>
        <w:t>‘</w:t>
      </w:r>
      <w:r w:rsidR="008761D9">
        <w:rPr>
          <w:lang w:val="en-US"/>
        </w:rPr>
        <w:t>N.R.C.</w:t>
      </w:r>
      <w:r w:rsidRPr="00934A8A">
        <w:rPr>
          <w:lang w:val="en-US"/>
        </w:rPr>
        <w:t xml:space="preserve">’: the provision does not apply to craft which are already operating, unless the parts concerned are replaced or converted, i.e. the provision applies only to </w:t>
      </w:r>
      <w:r w:rsidRPr="00934A8A">
        <w:rPr>
          <w:u w:val="single"/>
          <w:lang w:val="en-US"/>
        </w:rPr>
        <w:t>N</w:t>
      </w:r>
      <w:r w:rsidRPr="00934A8A">
        <w:rPr>
          <w:lang w:val="en-US"/>
        </w:rPr>
        <w:t xml:space="preserve">ewly-built craft and to the </w:t>
      </w:r>
      <w:r w:rsidRPr="00934A8A">
        <w:rPr>
          <w:u w:val="single"/>
          <w:lang w:val="en-US"/>
        </w:rPr>
        <w:t>R</w:t>
      </w:r>
      <w:r w:rsidRPr="00934A8A">
        <w:rPr>
          <w:lang w:val="en-US"/>
        </w:rPr>
        <w:t xml:space="preserve">eplacement or </w:t>
      </w:r>
      <w:r w:rsidRPr="00934A8A">
        <w:rPr>
          <w:u w:val="single"/>
          <w:lang w:val="en-US"/>
        </w:rPr>
        <w:t>C</w:t>
      </w:r>
      <w:r w:rsidRPr="00934A8A">
        <w:rPr>
          <w:lang w:val="en-US"/>
        </w:rPr>
        <w:t xml:space="preserve">onversion of the parts or areas concerned. If existing parts are replaced by replacement parts using the same technology and of the same type, this does not constitute replacement (‘R’) within the meaning of the transitional provisions </w:t>
      </w:r>
    </w:p>
    <w:p w:rsidR="00E959CB" w:rsidRDefault="00E959CB" w:rsidP="00934A8A">
      <w:pPr>
        <w:spacing w:line="240" w:lineRule="atLeast"/>
        <w:ind w:left="567" w:firstLine="0"/>
        <w:rPr>
          <w:lang w:val="en-US"/>
        </w:rPr>
      </w:pPr>
    </w:p>
    <w:p w:rsidR="00E959CB" w:rsidRDefault="00E959CB" w:rsidP="00E959CB">
      <w:pPr>
        <w:tabs>
          <w:tab w:val="left" w:pos="4678"/>
        </w:tabs>
        <w:spacing w:line="240" w:lineRule="atLeast"/>
        <w:ind w:left="567" w:firstLine="0"/>
        <w:rPr>
          <w:lang w:val="en-US"/>
        </w:rPr>
      </w:pPr>
      <w:r w:rsidRPr="00C903F8">
        <w:rPr>
          <w:spacing w:val="-4"/>
          <w:lang w:val="en-US"/>
        </w:rPr>
        <w:t xml:space="preserve">‘Issue or </w:t>
      </w:r>
      <w:r w:rsidRPr="00C903F8">
        <w:rPr>
          <w:lang w:val="en-US"/>
        </w:rPr>
        <w:t>renewal of the inland navigation vessel certificate’: the provision must be complied with the time of the next issue or renewal of the inland navigation vessel certificate after the date indicated.</w:t>
      </w:r>
    </w:p>
    <w:p w:rsidR="00E959CB" w:rsidRPr="00934A8A" w:rsidRDefault="00E959CB" w:rsidP="00934A8A">
      <w:pPr>
        <w:spacing w:line="240" w:lineRule="atLeast"/>
        <w:ind w:left="567" w:firstLine="0"/>
        <w:rPr>
          <w:lang w:val="en-US"/>
        </w:rPr>
      </w:pPr>
    </w:p>
    <w:p w:rsidR="00930A86" w:rsidRPr="00C903F8" w:rsidRDefault="00930A86">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6521"/>
        <w:gridCol w:w="1276"/>
      </w:tblGrid>
      <w:tr w:rsidR="00930A86" w:rsidRPr="00C903F8" w:rsidTr="00930A86">
        <w:trPr>
          <w:cantSplit/>
          <w:tblHeader/>
          <w:jc w:val="center"/>
        </w:trPr>
        <w:tc>
          <w:tcPr>
            <w:tcW w:w="2800" w:type="dxa"/>
            <w:gridSpan w:val="2"/>
            <w:tcBorders>
              <w:bottom w:val="nil"/>
            </w:tcBorders>
            <w:shd w:val="clear" w:color="auto" w:fill="auto"/>
          </w:tcPr>
          <w:p w:rsidR="00930A86" w:rsidRPr="00C903F8" w:rsidRDefault="00930A86" w:rsidP="008525B2">
            <w:pPr>
              <w:spacing w:before="60" w:after="60" w:line="240" w:lineRule="atLeast"/>
              <w:ind w:left="0" w:firstLine="0"/>
              <w:jc w:val="center"/>
              <w:rPr>
                <w:rFonts w:cs="Arial"/>
                <w:sz w:val="18"/>
                <w:szCs w:val="18"/>
              </w:rPr>
            </w:pPr>
            <w:r w:rsidRPr="00C903F8">
              <w:rPr>
                <w:rFonts w:cs="Arial"/>
                <w:i/>
                <w:sz w:val="18"/>
                <w:szCs w:val="18"/>
              </w:rPr>
              <w:t>Article and paragraph</w:t>
            </w:r>
          </w:p>
        </w:tc>
        <w:tc>
          <w:tcPr>
            <w:tcW w:w="3296" w:type="dxa"/>
            <w:shd w:val="clear" w:color="auto" w:fill="auto"/>
          </w:tcPr>
          <w:p w:rsidR="00930A86" w:rsidRPr="00C903F8" w:rsidRDefault="00930A86" w:rsidP="008525B2">
            <w:pPr>
              <w:spacing w:before="60" w:after="60" w:line="240" w:lineRule="atLeast"/>
              <w:ind w:left="0" w:firstLine="0"/>
              <w:jc w:val="center"/>
              <w:rPr>
                <w:rFonts w:cs="Arial"/>
                <w:noProof/>
                <w:sz w:val="18"/>
                <w:szCs w:val="18"/>
                <w:lang w:bidi="fr-FR"/>
              </w:rPr>
            </w:pPr>
            <w:r w:rsidRPr="00C903F8">
              <w:rPr>
                <w:rFonts w:cs="Arial"/>
                <w:i/>
                <w:sz w:val="18"/>
                <w:szCs w:val="18"/>
              </w:rPr>
              <w:t>Content</w:t>
            </w:r>
          </w:p>
        </w:tc>
        <w:tc>
          <w:tcPr>
            <w:tcW w:w="7797" w:type="dxa"/>
            <w:gridSpan w:val="2"/>
            <w:shd w:val="clear" w:color="auto" w:fill="auto"/>
          </w:tcPr>
          <w:p w:rsidR="00930A86" w:rsidRPr="00C903F8" w:rsidRDefault="00930A86" w:rsidP="008525B2">
            <w:pPr>
              <w:spacing w:before="60" w:after="60" w:line="240" w:lineRule="atLeast"/>
              <w:jc w:val="center"/>
              <w:rPr>
                <w:rFonts w:cs="Arial"/>
                <w:sz w:val="18"/>
                <w:szCs w:val="18"/>
              </w:rPr>
            </w:pPr>
            <w:r w:rsidRPr="00C903F8">
              <w:rPr>
                <w:rFonts w:cs="Arial"/>
                <w:i/>
                <w:sz w:val="18"/>
                <w:szCs w:val="18"/>
              </w:rPr>
              <w:t>Deadline and comments</w:t>
            </w:r>
          </w:p>
        </w:tc>
      </w:tr>
      <w:tr w:rsidR="00930A86" w:rsidRPr="00C903F8" w:rsidTr="00930A86">
        <w:trPr>
          <w:cantSplit/>
          <w:jc w:val="center"/>
        </w:trPr>
        <w:tc>
          <w:tcPr>
            <w:tcW w:w="6096" w:type="dxa"/>
            <w:gridSpan w:val="3"/>
            <w:shd w:val="clear" w:color="auto" w:fill="auto"/>
          </w:tcPr>
          <w:p w:rsidR="00930A86" w:rsidRPr="00C903F8" w:rsidRDefault="00930A86" w:rsidP="008525B2">
            <w:pPr>
              <w:spacing w:before="100" w:after="100" w:line="240" w:lineRule="atLeast"/>
              <w:ind w:left="0" w:firstLine="0"/>
              <w:jc w:val="center"/>
              <w:rPr>
                <w:rFonts w:cs="Arial"/>
                <w:b/>
                <w:sz w:val="18"/>
                <w:szCs w:val="18"/>
              </w:rPr>
            </w:pPr>
            <w:r w:rsidRPr="00C903F8">
              <w:rPr>
                <w:rFonts w:cs="Arial"/>
                <w:b/>
                <w:sz w:val="18"/>
                <w:szCs w:val="18"/>
              </w:rPr>
              <w:t>CHAPTER 3</w:t>
            </w:r>
          </w:p>
        </w:tc>
        <w:tc>
          <w:tcPr>
            <w:tcW w:w="6521" w:type="dxa"/>
            <w:shd w:val="clear" w:color="auto" w:fill="auto"/>
          </w:tcPr>
          <w:p w:rsidR="00930A86" w:rsidRPr="00C903F8" w:rsidRDefault="00930A86" w:rsidP="008525B2">
            <w:pPr>
              <w:spacing w:before="100" w:after="100" w:line="240" w:lineRule="atLeast"/>
              <w:ind w:left="0" w:firstLine="0"/>
              <w:rPr>
                <w:rFonts w:cs="Arial"/>
                <w:sz w:val="18"/>
                <w:szCs w:val="18"/>
              </w:rPr>
            </w:pP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tcBorders>
              <w:bottom w:val="nil"/>
            </w:tcBorders>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3.03</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 xml:space="preserve">(1) </w:t>
            </w:r>
          </w:p>
        </w:tc>
        <w:tc>
          <w:tcPr>
            <w:tcW w:w="3296" w:type="dxa"/>
            <w:shd w:val="clear" w:color="auto" w:fill="auto"/>
          </w:tcPr>
          <w:p w:rsidR="00930A86" w:rsidRPr="00C903F8" w:rsidRDefault="00930A86" w:rsidP="008525B2">
            <w:pPr>
              <w:spacing w:before="100" w:after="100" w:line="240" w:lineRule="atLeast"/>
              <w:ind w:left="0" w:firstLine="0"/>
              <w:rPr>
                <w:rFonts w:cs="Arial"/>
                <w:noProof/>
                <w:sz w:val="18"/>
                <w:szCs w:val="18"/>
                <w:lang w:bidi="fr-FR"/>
              </w:rPr>
            </w:pPr>
            <w:r w:rsidRPr="00C903F8">
              <w:rPr>
                <w:rFonts w:cs="Arial"/>
                <w:noProof/>
                <w:sz w:val="18"/>
                <w:szCs w:val="18"/>
                <w:lang w:bidi="fr-FR"/>
              </w:rPr>
              <w:t>Watertight collision bulkheads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rPr>
                <w:rFonts w:cs="Arial"/>
                <w:sz w:val="18"/>
                <w:szCs w:val="18"/>
              </w:rPr>
            </w:pPr>
          </w:p>
        </w:tc>
      </w:tr>
      <w:tr w:rsidR="00930A86" w:rsidRPr="00C903F8" w:rsidTr="00930A86">
        <w:trPr>
          <w:cantSplit/>
          <w:jc w:val="center"/>
        </w:trPr>
        <w:tc>
          <w:tcPr>
            <w:tcW w:w="1342" w:type="dxa"/>
            <w:tcBorders>
              <w:top w:val="nil"/>
              <w:bottom w:val="nil"/>
            </w:tcBorders>
            <w:shd w:val="clear" w:color="auto" w:fill="auto"/>
          </w:tcPr>
          <w:p w:rsidR="00930A86" w:rsidRPr="00C903F8" w:rsidRDefault="00930A86" w:rsidP="008525B2">
            <w:pPr>
              <w:spacing w:before="100" w:after="100" w:line="240" w:lineRule="atLeast"/>
              <w:ind w:left="0" w:firstLine="0"/>
              <w:rPr>
                <w:rFonts w:cs="Arial"/>
                <w:sz w:val="18"/>
                <w:szCs w:val="18"/>
              </w:rPr>
            </w:pP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930A86" w:rsidRPr="00C903F8" w:rsidRDefault="00930A86" w:rsidP="008525B2">
            <w:pPr>
              <w:spacing w:before="100" w:after="100" w:line="240" w:lineRule="atLeast"/>
              <w:ind w:left="0" w:firstLine="0"/>
              <w:rPr>
                <w:rFonts w:cs="Arial"/>
                <w:noProof/>
                <w:sz w:val="18"/>
                <w:szCs w:val="18"/>
                <w:lang w:bidi="fr-FR"/>
              </w:rPr>
            </w:pPr>
            <w:r w:rsidRPr="00C903F8">
              <w:rPr>
                <w:rFonts w:cs="Arial"/>
                <w:noProof/>
                <w:sz w:val="18"/>
                <w:szCs w:val="18"/>
              </w:rPr>
              <w:t>Accommodations, safety equipment</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rPr>
                <w:rFonts w:cs="Arial"/>
                <w:sz w:val="18"/>
                <w:szCs w:val="18"/>
              </w:rPr>
            </w:pPr>
          </w:p>
        </w:tc>
      </w:tr>
      <w:tr w:rsidR="00930A86" w:rsidRPr="00C903F8" w:rsidTr="00930A86">
        <w:trPr>
          <w:cantSplit/>
          <w:jc w:val="center"/>
        </w:trPr>
        <w:tc>
          <w:tcPr>
            <w:tcW w:w="1342" w:type="dxa"/>
            <w:tcBorders>
              <w:top w:val="nil"/>
              <w:bottom w:val="single" w:sz="4" w:space="0" w:color="auto"/>
            </w:tcBorders>
            <w:shd w:val="clear" w:color="auto" w:fill="auto"/>
          </w:tcPr>
          <w:p w:rsidR="00930A86" w:rsidRPr="00C903F8" w:rsidRDefault="00930A86" w:rsidP="008525B2">
            <w:pPr>
              <w:spacing w:before="100" w:after="100" w:line="240" w:lineRule="atLeast"/>
              <w:ind w:left="0" w:firstLine="0"/>
              <w:rPr>
                <w:rFonts w:cs="Arial"/>
                <w:sz w:val="18"/>
                <w:szCs w:val="18"/>
              </w:rPr>
            </w:pP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(5)</w:t>
            </w:r>
          </w:p>
        </w:tc>
        <w:tc>
          <w:tcPr>
            <w:tcW w:w="3296" w:type="dxa"/>
            <w:shd w:val="clear" w:color="auto" w:fill="auto"/>
          </w:tcPr>
          <w:p w:rsidR="00930A86" w:rsidRPr="00C903F8" w:rsidRDefault="00930A86" w:rsidP="008525B2">
            <w:pPr>
              <w:spacing w:before="100" w:after="100" w:line="240" w:lineRule="atLeast"/>
              <w:ind w:left="0" w:firstLine="0"/>
              <w:rPr>
                <w:rFonts w:cs="Arial"/>
                <w:noProof/>
                <w:sz w:val="18"/>
                <w:szCs w:val="18"/>
                <w:lang w:bidi="fr-FR"/>
              </w:rPr>
            </w:pPr>
            <w:r w:rsidRPr="00C903F8">
              <w:rPr>
                <w:rFonts w:cs="Arial"/>
                <w:noProof/>
                <w:sz w:val="18"/>
                <w:szCs w:val="18"/>
              </w:rPr>
              <w:t>Openings in watertight bulkheads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rPr>
                <w:rFonts w:cs="Arial"/>
                <w:sz w:val="18"/>
                <w:szCs w:val="18"/>
              </w:rPr>
            </w:pPr>
          </w:p>
        </w:tc>
      </w:tr>
      <w:tr w:rsidR="00930A86" w:rsidRPr="00C903F8" w:rsidTr="00930A86">
        <w:trPr>
          <w:cantSplit/>
          <w:jc w:val="center"/>
        </w:trPr>
        <w:tc>
          <w:tcPr>
            <w:tcW w:w="1342" w:type="dxa"/>
            <w:tcBorders>
              <w:bottom w:val="nil"/>
            </w:tcBorders>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3.04</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lang w:val="en-US"/>
              </w:rPr>
            </w:pPr>
            <w:r w:rsidRPr="00C903F8">
              <w:rPr>
                <w:rFonts w:cs="Arial"/>
                <w:noProof/>
                <w:sz w:val="18"/>
                <w:szCs w:val="18"/>
                <w:lang w:val="en-US"/>
              </w:rPr>
              <w:t xml:space="preserve">Common surfaces of bunkers and accommodation and passenger </w:t>
            </w:r>
            <w:r w:rsidR="00D857F8" w:rsidRPr="00C903F8">
              <w:rPr>
                <w:rFonts w:cs="Arial"/>
                <w:noProof/>
                <w:sz w:val="18"/>
                <w:szCs w:val="18"/>
                <w:lang w:val="en-US"/>
              </w:rPr>
              <w:t>rooms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tcBorders>
              <w:top w:val="nil"/>
            </w:tcBorders>
            <w:shd w:val="clear" w:color="auto" w:fill="auto"/>
          </w:tcPr>
          <w:p w:rsidR="00930A86" w:rsidRPr="00C903F8" w:rsidRDefault="00930A86" w:rsidP="008525B2">
            <w:pPr>
              <w:spacing w:before="100" w:after="100" w:line="240" w:lineRule="atLeast"/>
              <w:ind w:left="0" w:firstLine="0"/>
              <w:rPr>
                <w:rFonts w:cs="Arial"/>
                <w:sz w:val="18"/>
                <w:szCs w:val="18"/>
              </w:rPr>
            </w:pP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(7)</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lang w:val="en-US"/>
              </w:rPr>
            </w:pPr>
            <w:r w:rsidRPr="00C903F8">
              <w:rPr>
                <w:rFonts w:cs="Arial"/>
                <w:noProof/>
                <w:sz w:val="18"/>
                <w:szCs w:val="18"/>
                <w:lang w:val="en-US"/>
              </w:rPr>
              <w:t>Maximum permissible sound pressure level in engine room</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6096" w:type="dxa"/>
            <w:gridSpan w:val="3"/>
            <w:shd w:val="clear" w:color="auto" w:fill="auto"/>
          </w:tcPr>
          <w:p w:rsidR="00930A86" w:rsidRPr="00C903F8" w:rsidRDefault="00930A86" w:rsidP="008525B2">
            <w:pPr>
              <w:spacing w:before="100" w:after="100" w:line="240" w:lineRule="atLeast"/>
              <w:ind w:left="0" w:firstLine="0"/>
              <w:jc w:val="center"/>
              <w:rPr>
                <w:rFonts w:cs="Arial"/>
                <w:sz w:val="18"/>
                <w:szCs w:val="18"/>
              </w:rPr>
            </w:pPr>
            <w:r w:rsidRPr="00C903F8">
              <w:rPr>
                <w:rFonts w:cs="Arial"/>
                <w:b/>
                <w:sz w:val="18"/>
                <w:szCs w:val="18"/>
              </w:rPr>
              <w:t>CHAPTER 4</w:t>
            </w:r>
          </w:p>
        </w:tc>
        <w:tc>
          <w:tcPr>
            <w:tcW w:w="6521" w:type="dxa"/>
            <w:shd w:val="clear" w:color="auto" w:fill="auto"/>
          </w:tcPr>
          <w:p w:rsidR="00930A86" w:rsidRPr="00C903F8" w:rsidRDefault="00930A86" w:rsidP="008525B2">
            <w:pPr>
              <w:spacing w:before="100" w:after="100" w:line="240" w:lineRule="atLeast"/>
              <w:ind w:left="0" w:firstLine="0"/>
              <w:rPr>
                <w:rFonts w:cs="Arial"/>
                <w:b/>
                <w:sz w:val="18"/>
                <w:szCs w:val="18"/>
              </w:rPr>
            </w:pP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4.01</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(1)</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noProof/>
                <w:sz w:val="18"/>
                <w:szCs w:val="18"/>
              </w:rPr>
              <w:t>Safety clearance</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lang w:val="en-US"/>
              </w:rPr>
            </w:pPr>
            <w:r>
              <w:rPr>
                <w:rFonts w:cs="Arial"/>
                <w:sz w:val="18"/>
                <w:szCs w:val="18"/>
                <w:lang w:val="en-US"/>
              </w:rPr>
              <w:t>N.R.C.</w:t>
            </w:r>
            <w:r w:rsidR="00930A86" w:rsidRPr="00C903F8">
              <w:rPr>
                <w:rFonts w:cs="Arial"/>
                <w:sz w:val="18"/>
                <w:szCs w:val="18"/>
                <w:lang w:val="en-US"/>
              </w:rPr>
              <w:t>, at the latest on renewal of the inland navigation vessel certificate after</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30.12.2019</w:t>
            </w: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4.02</w:t>
            </w:r>
          </w:p>
        </w:tc>
        <w:tc>
          <w:tcPr>
            <w:tcW w:w="1458" w:type="dxa"/>
            <w:shd w:val="clear" w:color="auto" w:fill="auto"/>
          </w:tcPr>
          <w:p w:rsidR="00930A86" w:rsidRPr="00C903F8" w:rsidRDefault="00930A86" w:rsidP="008525B2">
            <w:pPr>
              <w:spacing w:before="100" w:after="100" w:line="240" w:lineRule="atLeast"/>
              <w:ind w:left="0" w:firstLine="0"/>
              <w:jc w:val="center"/>
              <w:rPr>
                <w:rFonts w:cs="Arial"/>
                <w:sz w:val="18"/>
                <w:szCs w:val="18"/>
              </w:rPr>
            </w:pP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noProof/>
                <w:sz w:val="18"/>
                <w:szCs w:val="18"/>
              </w:rPr>
              <w:t>Freeboard</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6096" w:type="dxa"/>
            <w:gridSpan w:val="3"/>
            <w:shd w:val="clear" w:color="auto" w:fill="auto"/>
          </w:tcPr>
          <w:p w:rsidR="00930A86" w:rsidRPr="00C903F8" w:rsidRDefault="00930A86" w:rsidP="008525B2">
            <w:pPr>
              <w:spacing w:before="100" w:after="100" w:line="240" w:lineRule="atLeast"/>
              <w:ind w:left="0" w:firstLine="0"/>
              <w:jc w:val="center"/>
              <w:rPr>
                <w:rFonts w:cs="Arial"/>
                <w:sz w:val="18"/>
                <w:szCs w:val="18"/>
              </w:rPr>
            </w:pPr>
            <w:r w:rsidRPr="00C903F8">
              <w:rPr>
                <w:rFonts w:cs="Arial"/>
                <w:b/>
                <w:sz w:val="18"/>
                <w:szCs w:val="18"/>
              </w:rPr>
              <w:lastRenderedPageBreak/>
              <w:t>CHAPTER 6</w:t>
            </w:r>
          </w:p>
        </w:tc>
        <w:tc>
          <w:tcPr>
            <w:tcW w:w="6521" w:type="dxa"/>
            <w:shd w:val="clear" w:color="auto" w:fill="auto"/>
          </w:tcPr>
          <w:p w:rsidR="00930A86" w:rsidRPr="00C903F8" w:rsidRDefault="00930A86" w:rsidP="008525B2">
            <w:pPr>
              <w:spacing w:before="100" w:after="100" w:line="240" w:lineRule="atLeast"/>
              <w:ind w:left="0" w:firstLine="0"/>
              <w:rPr>
                <w:rFonts w:cs="Arial"/>
                <w:sz w:val="18"/>
                <w:szCs w:val="18"/>
              </w:rPr>
            </w:pP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6.01</w:t>
            </w:r>
          </w:p>
        </w:tc>
        <w:tc>
          <w:tcPr>
            <w:tcW w:w="1458" w:type="dxa"/>
            <w:shd w:val="clear" w:color="auto" w:fill="auto"/>
          </w:tcPr>
          <w:p w:rsidR="00930A86" w:rsidRPr="00C903F8" w:rsidRDefault="00930A86" w:rsidP="008525B2">
            <w:pPr>
              <w:spacing w:before="100" w:after="100" w:line="240" w:lineRule="atLeast"/>
              <w:ind w:left="0" w:firstLine="0"/>
              <w:jc w:val="left"/>
              <w:rPr>
                <w:rFonts w:cs="Arial"/>
                <w:sz w:val="18"/>
                <w:szCs w:val="18"/>
              </w:rPr>
            </w:pPr>
            <w:r w:rsidRPr="00C903F8">
              <w:rPr>
                <w:rFonts w:cs="Arial"/>
                <w:sz w:val="18"/>
                <w:szCs w:val="18"/>
              </w:rPr>
              <w:t>(3)</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noProof/>
                <w:sz w:val="18"/>
                <w:szCs w:val="18"/>
              </w:rPr>
              <w:t>Requirements of steering system</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6096" w:type="dxa"/>
            <w:gridSpan w:val="3"/>
            <w:shd w:val="clear" w:color="auto" w:fill="auto"/>
          </w:tcPr>
          <w:p w:rsidR="00930A86" w:rsidRPr="00C903F8" w:rsidRDefault="00930A86" w:rsidP="008525B2">
            <w:pPr>
              <w:spacing w:before="100" w:after="100" w:line="240" w:lineRule="atLeast"/>
              <w:ind w:left="0" w:firstLine="0"/>
              <w:jc w:val="center"/>
              <w:rPr>
                <w:rFonts w:cs="Arial"/>
                <w:sz w:val="18"/>
                <w:szCs w:val="18"/>
              </w:rPr>
            </w:pPr>
            <w:r w:rsidRPr="00C903F8">
              <w:rPr>
                <w:rFonts w:cs="Arial"/>
                <w:b/>
                <w:sz w:val="18"/>
                <w:szCs w:val="18"/>
              </w:rPr>
              <w:t>CHAPTER 7</w:t>
            </w:r>
          </w:p>
        </w:tc>
        <w:tc>
          <w:tcPr>
            <w:tcW w:w="6521" w:type="dxa"/>
            <w:shd w:val="clear" w:color="auto" w:fill="auto"/>
          </w:tcPr>
          <w:p w:rsidR="00930A86" w:rsidRPr="00C903F8" w:rsidRDefault="00930A86" w:rsidP="008525B2">
            <w:pPr>
              <w:spacing w:before="100" w:after="100" w:line="240" w:lineRule="atLeast"/>
              <w:ind w:left="0" w:firstLine="0"/>
              <w:rPr>
                <w:rFonts w:cs="Arial"/>
                <w:sz w:val="18"/>
                <w:szCs w:val="18"/>
              </w:rPr>
            </w:pP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7.01</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lang w:val="en-US"/>
              </w:rPr>
            </w:pPr>
            <w:r w:rsidRPr="00C903F8">
              <w:rPr>
                <w:rFonts w:cs="Arial"/>
                <w:noProof/>
                <w:sz w:val="18"/>
                <w:szCs w:val="18"/>
                <w:lang w:val="en-US"/>
              </w:rPr>
              <w:t>Sound pressure generated by the vessel</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29685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7.05</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noProof/>
                <w:sz w:val="18"/>
                <w:szCs w:val="18"/>
              </w:rPr>
              <w:t>Monitoring of navigation lights</w:t>
            </w:r>
          </w:p>
        </w:tc>
        <w:tc>
          <w:tcPr>
            <w:tcW w:w="6521" w:type="dxa"/>
            <w:shd w:val="clear" w:color="auto" w:fill="auto"/>
          </w:tcPr>
          <w:p w:rsidR="00930A86" w:rsidRPr="00C903F8" w:rsidRDefault="00930A86" w:rsidP="005B1BE0">
            <w:pPr>
              <w:spacing w:before="100" w:after="100" w:line="240" w:lineRule="atLeast"/>
              <w:ind w:left="0" w:firstLine="0"/>
              <w:rPr>
                <w:rFonts w:cs="Arial"/>
                <w:sz w:val="18"/>
                <w:szCs w:val="18"/>
                <w:lang w:val="en-US"/>
              </w:rPr>
            </w:pPr>
            <w:r w:rsidRPr="00C903F8">
              <w:rPr>
                <w:rFonts w:cs="Arial"/>
                <w:sz w:val="18"/>
                <w:szCs w:val="18"/>
                <w:lang w:val="en-US"/>
              </w:rPr>
              <w:t>Renewal of the inlan</w:t>
            </w:r>
            <w:r w:rsidR="005B1BE0">
              <w:rPr>
                <w:rFonts w:cs="Arial"/>
                <w:sz w:val="18"/>
                <w:szCs w:val="18"/>
                <w:lang w:val="en-US"/>
              </w:rPr>
              <w:t>d navigation vessel certificate.</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lang w:val="en-US"/>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7.12</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noProof/>
                <w:sz w:val="18"/>
                <w:szCs w:val="18"/>
              </w:rPr>
              <w:t>Retractable wheelhouses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6096" w:type="dxa"/>
            <w:gridSpan w:val="3"/>
            <w:shd w:val="clear" w:color="auto" w:fill="auto"/>
          </w:tcPr>
          <w:p w:rsidR="00930A86" w:rsidRPr="00C903F8" w:rsidRDefault="00930A86" w:rsidP="008525B2">
            <w:pPr>
              <w:spacing w:before="100" w:after="100" w:line="240" w:lineRule="atLeast"/>
              <w:ind w:left="0" w:firstLine="0"/>
              <w:jc w:val="center"/>
              <w:rPr>
                <w:rFonts w:cs="Arial"/>
                <w:sz w:val="18"/>
                <w:szCs w:val="18"/>
              </w:rPr>
            </w:pPr>
            <w:r w:rsidRPr="00C903F8">
              <w:rPr>
                <w:rFonts w:cs="Arial"/>
                <w:b/>
                <w:sz w:val="18"/>
                <w:szCs w:val="18"/>
              </w:rPr>
              <w:t>CHAPTER 8</w:t>
            </w:r>
          </w:p>
        </w:tc>
        <w:tc>
          <w:tcPr>
            <w:tcW w:w="6521" w:type="dxa"/>
            <w:shd w:val="clear" w:color="auto" w:fill="auto"/>
          </w:tcPr>
          <w:p w:rsidR="00930A86" w:rsidRPr="00C903F8" w:rsidRDefault="00930A86" w:rsidP="008525B2">
            <w:pPr>
              <w:spacing w:before="100" w:after="100" w:line="240" w:lineRule="atLeast"/>
              <w:ind w:left="0" w:firstLine="0"/>
              <w:rPr>
                <w:rFonts w:cs="Arial"/>
                <w:sz w:val="18"/>
                <w:szCs w:val="18"/>
              </w:rPr>
            </w:pP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8.01</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(3)</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lang w:val="en-US"/>
              </w:rPr>
            </w:pPr>
            <w:r w:rsidRPr="00C903F8">
              <w:rPr>
                <w:rFonts w:cs="Arial"/>
                <w:noProof/>
                <w:sz w:val="18"/>
                <w:szCs w:val="18"/>
                <w:lang w:val="en-US"/>
              </w:rPr>
              <w:t>Prohibition of certain liquid fuels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29685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8.04</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Engine exhaust system</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lang w:val="en-US"/>
              </w:rPr>
            </w:pPr>
            <w:r>
              <w:rPr>
                <w:rFonts w:cs="Arial"/>
                <w:sz w:val="18"/>
                <w:szCs w:val="18"/>
                <w:lang w:val="en-US"/>
              </w:rPr>
              <w:t>N.R.C.</w:t>
            </w:r>
            <w:r w:rsidR="00930A86" w:rsidRPr="00C903F8">
              <w:rPr>
                <w:rFonts w:cs="Arial"/>
                <w:sz w:val="18"/>
                <w:szCs w:val="18"/>
                <w:lang w:val="en-US"/>
              </w:rPr>
              <w:t>, at the latest on renewal of the inland navigation vessel certificate.</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lang w:val="en-US"/>
              </w:rPr>
            </w:pPr>
          </w:p>
        </w:tc>
      </w:tr>
      <w:tr w:rsidR="00AA5614" w:rsidRPr="00C903F8" w:rsidTr="00930A86">
        <w:trPr>
          <w:cantSplit/>
          <w:jc w:val="center"/>
        </w:trPr>
        <w:tc>
          <w:tcPr>
            <w:tcW w:w="1342" w:type="dxa"/>
            <w:shd w:val="clear" w:color="auto" w:fill="auto"/>
          </w:tcPr>
          <w:p w:rsidR="00AA5614" w:rsidRPr="00E56A84" w:rsidRDefault="00AA5614" w:rsidP="008525B2">
            <w:pPr>
              <w:spacing w:before="100" w:after="100" w:line="240" w:lineRule="atLeast"/>
              <w:ind w:left="0" w:firstLine="0"/>
              <w:rPr>
                <w:rFonts w:cs="Arial"/>
                <w:sz w:val="18"/>
                <w:szCs w:val="18"/>
              </w:rPr>
            </w:pPr>
            <w:r w:rsidRPr="00E56A84">
              <w:rPr>
                <w:rFonts w:cs="Arial"/>
                <w:sz w:val="18"/>
                <w:szCs w:val="18"/>
              </w:rPr>
              <w:t>8.05</w:t>
            </w:r>
          </w:p>
        </w:tc>
        <w:tc>
          <w:tcPr>
            <w:tcW w:w="1458" w:type="dxa"/>
            <w:shd w:val="clear" w:color="auto" w:fill="auto"/>
          </w:tcPr>
          <w:p w:rsidR="00AA5614" w:rsidRPr="00E56A84" w:rsidRDefault="00AA5614" w:rsidP="008525B2">
            <w:pPr>
              <w:spacing w:before="100" w:after="100" w:line="240" w:lineRule="atLeast"/>
              <w:rPr>
                <w:rFonts w:cs="Arial"/>
                <w:sz w:val="18"/>
                <w:szCs w:val="18"/>
                <w:lang w:val="en-US"/>
              </w:rPr>
            </w:pPr>
            <w:r w:rsidRPr="00E56A84">
              <w:rPr>
                <w:rFonts w:cs="Arial"/>
                <w:sz w:val="18"/>
                <w:szCs w:val="18"/>
                <w:lang w:val="en-US"/>
              </w:rPr>
              <w:t>(13)</w:t>
            </w:r>
          </w:p>
        </w:tc>
        <w:tc>
          <w:tcPr>
            <w:tcW w:w="3296" w:type="dxa"/>
            <w:shd w:val="clear" w:color="auto" w:fill="auto"/>
          </w:tcPr>
          <w:p w:rsidR="00AA5614" w:rsidRPr="00E56A84" w:rsidRDefault="00AA5614" w:rsidP="008525B2">
            <w:pPr>
              <w:spacing w:before="100" w:after="100" w:line="240" w:lineRule="atLeast"/>
              <w:ind w:left="15" w:hanging="15"/>
              <w:rPr>
                <w:rFonts w:cs="Arial"/>
                <w:sz w:val="18"/>
                <w:szCs w:val="18"/>
                <w:lang w:val="en-US"/>
              </w:rPr>
            </w:pPr>
            <w:r w:rsidRPr="00E56A84">
              <w:rPr>
                <w:rFonts w:cs="Arial"/>
                <w:noProof/>
                <w:sz w:val="18"/>
                <w:szCs w:val="18"/>
                <w:lang w:val="en-US"/>
              </w:rPr>
              <w:t>Filling level control not only for main engines but also other engines needed for safe operation of the vessel</w:t>
            </w:r>
          </w:p>
        </w:tc>
        <w:tc>
          <w:tcPr>
            <w:tcW w:w="6521" w:type="dxa"/>
            <w:shd w:val="clear" w:color="auto" w:fill="auto"/>
          </w:tcPr>
          <w:p w:rsidR="00AA5614"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AA5614" w:rsidRPr="00C903F8" w:rsidRDefault="00AA5614"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8.08</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Equipment with bilge pumps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8.08</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(3) and (4)</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lang w:val="en-US"/>
              </w:rPr>
            </w:pPr>
            <w:r w:rsidRPr="00C903F8">
              <w:rPr>
                <w:rFonts w:cs="Arial"/>
                <w:noProof/>
                <w:sz w:val="18"/>
                <w:szCs w:val="18"/>
                <w:lang w:val="en-US"/>
              </w:rPr>
              <w:t>Diameter and minimum pumping capacity of bilge pumps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8.08</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(5)</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noProof/>
                <w:sz w:val="18"/>
                <w:szCs w:val="18"/>
              </w:rPr>
              <w:t>Self-priming bilge pumps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8.08</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(6)</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Equipment with strainers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8.08</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(7)</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lang w:val="en-US"/>
              </w:rPr>
            </w:pPr>
            <w:r w:rsidRPr="00C903F8">
              <w:rPr>
                <w:rFonts w:cs="Arial"/>
                <w:sz w:val="18"/>
                <w:szCs w:val="18"/>
                <w:lang w:val="en-US"/>
              </w:rPr>
              <w:t>Automatically closable fitting</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8.10</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lang w:val="en-US"/>
              </w:rPr>
            </w:pPr>
            <w:r w:rsidRPr="00C903F8">
              <w:rPr>
                <w:rFonts w:cs="Arial"/>
                <w:noProof/>
                <w:sz w:val="18"/>
                <w:szCs w:val="18"/>
                <w:lang w:val="en-US"/>
              </w:rPr>
              <w:t>Noise generated by a vessel under way</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6096" w:type="dxa"/>
            <w:gridSpan w:val="3"/>
            <w:shd w:val="clear" w:color="auto" w:fill="auto"/>
          </w:tcPr>
          <w:p w:rsidR="00930A86" w:rsidRPr="00C903F8" w:rsidRDefault="00930A86" w:rsidP="008525B2">
            <w:pPr>
              <w:spacing w:before="100" w:after="100" w:line="240" w:lineRule="atLeast"/>
              <w:ind w:left="0" w:firstLine="0"/>
              <w:jc w:val="center"/>
              <w:rPr>
                <w:rFonts w:cs="Arial"/>
                <w:sz w:val="18"/>
                <w:szCs w:val="18"/>
              </w:rPr>
            </w:pPr>
            <w:r w:rsidRPr="00C903F8">
              <w:rPr>
                <w:rFonts w:cs="Arial"/>
                <w:b/>
                <w:sz w:val="18"/>
                <w:szCs w:val="18"/>
              </w:rPr>
              <w:t>CHAPTER 10</w:t>
            </w:r>
          </w:p>
        </w:tc>
        <w:tc>
          <w:tcPr>
            <w:tcW w:w="6521" w:type="dxa"/>
            <w:shd w:val="clear" w:color="auto" w:fill="auto"/>
          </w:tcPr>
          <w:p w:rsidR="00930A86" w:rsidRPr="00C903F8" w:rsidRDefault="00930A86" w:rsidP="008525B2">
            <w:pPr>
              <w:spacing w:before="100" w:after="100" w:line="240" w:lineRule="atLeast"/>
              <w:ind w:left="0" w:firstLine="0"/>
              <w:rPr>
                <w:rFonts w:cs="Arial"/>
                <w:sz w:val="18"/>
                <w:szCs w:val="18"/>
              </w:rPr>
            </w:pP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lastRenderedPageBreak/>
              <w:t>10.01</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930A86" w:rsidRPr="00C903F8" w:rsidRDefault="00E1635F" w:rsidP="00E1635F">
            <w:pPr>
              <w:spacing w:before="100" w:after="100" w:line="240" w:lineRule="atLeast"/>
              <w:ind w:left="0" w:firstLine="0"/>
              <w:rPr>
                <w:rFonts w:cs="Arial"/>
                <w:sz w:val="18"/>
                <w:szCs w:val="18"/>
              </w:rPr>
            </w:pPr>
            <w:r>
              <w:rPr>
                <w:rFonts w:cs="Arial"/>
                <w:noProof/>
                <w:sz w:val="18"/>
                <w:szCs w:val="18"/>
              </w:rPr>
              <w:t xml:space="preserve">Documents </w:t>
            </w:r>
            <w:r w:rsidR="00930A86" w:rsidRPr="00C903F8">
              <w:rPr>
                <w:rFonts w:cs="Arial"/>
                <w:noProof/>
                <w:sz w:val="18"/>
                <w:szCs w:val="18"/>
              </w:rPr>
              <w:t xml:space="preserve">for electrical </w:t>
            </w:r>
            <w:r>
              <w:rPr>
                <w:rFonts w:cs="Arial"/>
                <w:noProof/>
                <w:sz w:val="18"/>
                <w:szCs w:val="18"/>
              </w:rPr>
              <w:t>installation</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10.01</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(3)</w:t>
            </w:r>
          </w:p>
        </w:tc>
        <w:tc>
          <w:tcPr>
            <w:tcW w:w="3296" w:type="dxa"/>
            <w:shd w:val="clear" w:color="auto" w:fill="auto"/>
          </w:tcPr>
          <w:p w:rsidR="00930A86" w:rsidRPr="00C903F8" w:rsidRDefault="00930A86" w:rsidP="00116526">
            <w:pPr>
              <w:spacing w:before="100" w:after="100" w:line="240" w:lineRule="atLeast"/>
              <w:ind w:left="0" w:firstLine="0"/>
              <w:rPr>
                <w:rFonts w:cs="Arial"/>
                <w:sz w:val="18"/>
                <w:szCs w:val="18"/>
              </w:rPr>
            </w:pPr>
            <w:r w:rsidRPr="00C903F8">
              <w:rPr>
                <w:rFonts w:cs="Arial"/>
                <w:noProof/>
                <w:sz w:val="18"/>
                <w:szCs w:val="18"/>
              </w:rPr>
              <w:t xml:space="preserve">Design of electrical </w:t>
            </w:r>
            <w:r w:rsidR="00116526">
              <w:rPr>
                <w:rFonts w:cs="Arial"/>
                <w:noProof/>
                <w:sz w:val="18"/>
                <w:szCs w:val="18"/>
              </w:rPr>
              <w:t>installation</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10.06</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Maximum permissible voltages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10.10</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p>
        </w:tc>
        <w:tc>
          <w:tcPr>
            <w:tcW w:w="3296" w:type="dxa"/>
            <w:shd w:val="clear" w:color="auto" w:fill="auto"/>
          </w:tcPr>
          <w:p w:rsidR="00930A86" w:rsidRPr="00C903F8" w:rsidRDefault="00694E6B" w:rsidP="008525B2">
            <w:pPr>
              <w:spacing w:before="100" w:after="100" w:line="240" w:lineRule="atLeast"/>
              <w:ind w:left="0" w:firstLine="0"/>
              <w:rPr>
                <w:rFonts w:cs="Arial"/>
                <w:sz w:val="18"/>
                <w:szCs w:val="18"/>
              </w:rPr>
            </w:pPr>
            <w:r w:rsidRPr="00694E6B">
              <w:rPr>
                <w:rFonts w:cs="Arial"/>
                <w:sz w:val="18"/>
                <w:szCs w:val="18"/>
              </w:rPr>
              <w:t>Generators, engines and transformers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10.11</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noProof/>
                <w:sz w:val="18"/>
                <w:szCs w:val="18"/>
              </w:rPr>
              <w:t>Installation of accumulators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 xml:space="preserve">10.12 </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Switches, protective devices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 xml:space="preserve">10.14 </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(3)</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noProof/>
                <w:sz w:val="18"/>
                <w:szCs w:val="18"/>
              </w:rPr>
              <w:t>Simultaneous switching</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10.15</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noProof/>
                <w:sz w:val="18"/>
                <w:szCs w:val="18"/>
              </w:rPr>
              <w:t>Cables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 xml:space="preserve">10.16 </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(3)</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noProof/>
                <w:sz w:val="18"/>
                <w:szCs w:val="18"/>
              </w:rPr>
              <w:t>Lighting in engine rooms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10.17</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(1)</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noProof/>
                <w:sz w:val="18"/>
                <w:szCs w:val="18"/>
              </w:rPr>
              <w:t>Switchboards for navigation lights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10.17</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lang w:val="en-US"/>
              </w:rPr>
            </w:pPr>
            <w:r w:rsidRPr="00C903F8">
              <w:rPr>
                <w:rFonts w:cs="Arial"/>
                <w:noProof/>
                <w:sz w:val="18"/>
                <w:szCs w:val="18"/>
                <w:lang w:val="en-US"/>
              </w:rPr>
              <w:t>Power supply for navigation lights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6096" w:type="dxa"/>
            <w:gridSpan w:val="3"/>
            <w:shd w:val="clear" w:color="auto" w:fill="auto"/>
          </w:tcPr>
          <w:p w:rsidR="00930A86" w:rsidRPr="00C903F8" w:rsidRDefault="00930A86" w:rsidP="008525B2">
            <w:pPr>
              <w:spacing w:before="100" w:after="100" w:line="240" w:lineRule="atLeast"/>
              <w:ind w:left="0" w:firstLine="0"/>
              <w:jc w:val="center"/>
              <w:rPr>
                <w:rFonts w:cs="Arial"/>
                <w:sz w:val="18"/>
                <w:szCs w:val="18"/>
              </w:rPr>
            </w:pPr>
            <w:r w:rsidRPr="00C903F8">
              <w:rPr>
                <w:rFonts w:cs="Arial"/>
                <w:b/>
                <w:sz w:val="18"/>
                <w:szCs w:val="18"/>
              </w:rPr>
              <w:t>CHAPTER 13</w:t>
            </w:r>
          </w:p>
        </w:tc>
        <w:tc>
          <w:tcPr>
            <w:tcW w:w="6521" w:type="dxa"/>
            <w:shd w:val="clear" w:color="auto" w:fill="auto"/>
          </w:tcPr>
          <w:p w:rsidR="00930A86" w:rsidRPr="00C903F8" w:rsidRDefault="00930A86" w:rsidP="008525B2">
            <w:pPr>
              <w:spacing w:before="100" w:after="100" w:line="240" w:lineRule="atLeast"/>
              <w:ind w:left="0" w:firstLine="0"/>
              <w:rPr>
                <w:rFonts w:cs="Arial"/>
                <w:sz w:val="18"/>
                <w:szCs w:val="18"/>
              </w:rPr>
            </w:pP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13.01</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(9)</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lang w:val="en-US"/>
              </w:rPr>
            </w:pPr>
            <w:r w:rsidRPr="00C903F8">
              <w:rPr>
                <w:rFonts w:cs="Arial"/>
                <w:noProof/>
                <w:sz w:val="18"/>
                <w:szCs w:val="18"/>
                <w:lang w:val="en-US"/>
              </w:rPr>
              <w:t>Anchor windlasses</w:t>
            </w:r>
            <w:r w:rsidRPr="00C903F8">
              <w:rPr>
                <w:rFonts w:cs="Arial"/>
                <w:sz w:val="18"/>
                <w:szCs w:val="18"/>
                <w:lang w:val="en-US"/>
              </w:rPr>
              <w:t xml:space="preserve"> for a</w:t>
            </w:r>
            <w:r w:rsidRPr="00C903F8">
              <w:rPr>
                <w:rFonts w:cs="Arial"/>
                <w:noProof/>
                <w:sz w:val="18"/>
                <w:szCs w:val="18"/>
                <w:lang w:val="en-US"/>
              </w:rPr>
              <w:t>nchors having a mass in excess of 50 kg</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E56A84" w:rsidRDefault="00930A86" w:rsidP="008525B2">
            <w:pPr>
              <w:spacing w:before="100" w:after="100" w:line="240" w:lineRule="atLeast"/>
              <w:ind w:left="0" w:firstLine="0"/>
              <w:rPr>
                <w:rFonts w:cs="Arial"/>
                <w:sz w:val="18"/>
                <w:szCs w:val="18"/>
              </w:rPr>
            </w:pPr>
            <w:r w:rsidRPr="00E56A84">
              <w:rPr>
                <w:rFonts w:cs="Arial"/>
                <w:sz w:val="18"/>
                <w:szCs w:val="18"/>
              </w:rPr>
              <w:t>13.0</w:t>
            </w:r>
            <w:r w:rsidR="00E852A7" w:rsidRPr="00E56A84">
              <w:rPr>
                <w:rFonts w:cs="Arial"/>
                <w:sz w:val="18"/>
                <w:szCs w:val="18"/>
              </w:rPr>
              <w:t>7</w:t>
            </w:r>
          </w:p>
        </w:tc>
        <w:tc>
          <w:tcPr>
            <w:tcW w:w="1458" w:type="dxa"/>
            <w:shd w:val="clear" w:color="auto" w:fill="auto"/>
          </w:tcPr>
          <w:p w:rsidR="00930A86" w:rsidRPr="00E56A84" w:rsidRDefault="00930A86" w:rsidP="008525B2">
            <w:pPr>
              <w:spacing w:before="100" w:after="100" w:line="240" w:lineRule="atLeast"/>
              <w:ind w:left="0" w:firstLine="0"/>
              <w:rPr>
                <w:rFonts w:cs="Arial"/>
                <w:sz w:val="18"/>
                <w:szCs w:val="18"/>
              </w:rPr>
            </w:pPr>
            <w:r w:rsidRPr="00E56A84">
              <w:rPr>
                <w:rFonts w:cs="Arial"/>
                <w:sz w:val="18"/>
                <w:szCs w:val="18"/>
              </w:rPr>
              <w:t>(1)</w:t>
            </w:r>
          </w:p>
        </w:tc>
        <w:tc>
          <w:tcPr>
            <w:tcW w:w="3296" w:type="dxa"/>
            <w:shd w:val="clear" w:color="auto" w:fill="auto"/>
          </w:tcPr>
          <w:p w:rsidR="00930A86" w:rsidRPr="00E56A84" w:rsidRDefault="00AA5614" w:rsidP="008525B2">
            <w:pPr>
              <w:spacing w:before="100" w:after="100" w:line="240" w:lineRule="atLeast"/>
              <w:ind w:left="0" w:firstLine="0"/>
              <w:rPr>
                <w:rFonts w:cs="Arial"/>
                <w:sz w:val="18"/>
                <w:szCs w:val="18"/>
                <w:lang w:val="en-US"/>
              </w:rPr>
            </w:pPr>
            <w:r w:rsidRPr="00E56A84">
              <w:rPr>
                <w:rFonts w:cs="Arial"/>
                <w:noProof/>
                <w:sz w:val="18"/>
                <w:szCs w:val="18"/>
                <w:lang w:val="en-US"/>
              </w:rPr>
              <w:t>Application of the European Standard to ship’s boat</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13.0</w:t>
            </w:r>
            <w:r w:rsidR="00E852A7" w:rsidRPr="00C903F8">
              <w:rPr>
                <w:rFonts w:cs="Arial"/>
                <w:sz w:val="18"/>
                <w:szCs w:val="18"/>
              </w:rPr>
              <w:t>8</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(1)</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lang w:val="en-US"/>
              </w:rPr>
            </w:pPr>
            <w:r w:rsidRPr="00C903F8">
              <w:rPr>
                <w:rFonts w:cs="Arial"/>
                <w:noProof/>
                <w:sz w:val="18"/>
                <w:szCs w:val="18"/>
                <w:lang w:val="en-US"/>
              </w:rPr>
              <w:t xml:space="preserve">Application of the </w:t>
            </w:r>
            <w:r w:rsidR="00837508" w:rsidRPr="00C903F8">
              <w:rPr>
                <w:rFonts w:cs="Arial"/>
                <w:noProof/>
                <w:sz w:val="18"/>
                <w:szCs w:val="18"/>
                <w:lang w:val="en-US"/>
              </w:rPr>
              <w:t>S</w:t>
            </w:r>
            <w:r w:rsidRPr="00C903F8">
              <w:rPr>
                <w:rFonts w:cs="Arial"/>
                <w:noProof/>
                <w:sz w:val="18"/>
                <w:szCs w:val="18"/>
                <w:lang w:val="en-US"/>
              </w:rPr>
              <w:t>tandard to lifebuoys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13.0</w:t>
            </w:r>
            <w:r w:rsidR="00E852A7" w:rsidRPr="00C903F8">
              <w:rPr>
                <w:rFonts w:cs="Arial"/>
                <w:sz w:val="18"/>
                <w:szCs w:val="18"/>
              </w:rPr>
              <w:t>8</w:t>
            </w:r>
          </w:p>
        </w:tc>
        <w:tc>
          <w:tcPr>
            <w:tcW w:w="1458" w:type="dxa"/>
            <w:shd w:val="clear" w:color="auto" w:fill="auto"/>
          </w:tcPr>
          <w:p w:rsidR="00930A86" w:rsidRPr="00C903F8" w:rsidRDefault="00930A86" w:rsidP="008525B2">
            <w:pPr>
              <w:spacing w:before="100" w:after="100" w:line="240" w:lineRule="atLeast"/>
              <w:ind w:left="0" w:firstLine="0"/>
              <w:rPr>
                <w:rFonts w:cs="Arial"/>
                <w:sz w:val="18"/>
                <w:szCs w:val="18"/>
              </w:rPr>
            </w:pPr>
            <w:r w:rsidRPr="00C903F8">
              <w:rPr>
                <w:rFonts w:cs="Arial"/>
                <w:sz w:val="18"/>
                <w:szCs w:val="18"/>
              </w:rPr>
              <w:t>(2)</w:t>
            </w:r>
          </w:p>
        </w:tc>
        <w:tc>
          <w:tcPr>
            <w:tcW w:w="3296" w:type="dxa"/>
            <w:shd w:val="clear" w:color="auto" w:fill="auto"/>
          </w:tcPr>
          <w:p w:rsidR="00930A86" w:rsidRPr="00C903F8" w:rsidRDefault="00930A86" w:rsidP="008525B2">
            <w:pPr>
              <w:spacing w:before="100" w:after="100" w:line="240" w:lineRule="atLeast"/>
              <w:ind w:left="0" w:firstLine="0"/>
              <w:rPr>
                <w:rFonts w:cs="Arial"/>
                <w:sz w:val="18"/>
                <w:szCs w:val="18"/>
                <w:lang w:val="en-US"/>
              </w:rPr>
            </w:pPr>
            <w:r w:rsidRPr="00C903F8">
              <w:rPr>
                <w:rFonts w:cs="Arial"/>
                <w:noProof/>
                <w:sz w:val="18"/>
                <w:szCs w:val="18"/>
                <w:lang w:val="en-US"/>
              </w:rPr>
              <w:t xml:space="preserve">Application of the </w:t>
            </w:r>
            <w:r w:rsidR="00837508" w:rsidRPr="00C903F8">
              <w:rPr>
                <w:rFonts w:cs="Arial"/>
                <w:noProof/>
                <w:sz w:val="18"/>
                <w:szCs w:val="18"/>
                <w:lang w:val="en-US"/>
              </w:rPr>
              <w:t>S</w:t>
            </w:r>
            <w:r w:rsidRPr="00C903F8">
              <w:rPr>
                <w:rFonts w:cs="Arial"/>
                <w:noProof/>
                <w:sz w:val="18"/>
                <w:szCs w:val="18"/>
                <w:lang w:val="en-US"/>
              </w:rPr>
              <w:t>tandard to lifejackets</w:t>
            </w:r>
          </w:p>
        </w:tc>
        <w:tc>
          <w:tcPr>
            <w:tcW w:w="6521" w:type="dxa"/>
            <w:shd w:val="clear" w:color="auto" w:fill="auto"/>
          </w:tcPr>
          <w:p w:rsidR="00930A86" w:rsidRPr="00C903F8" w:rsidRDefault="008761D9" w:rsidP="008525B2">
            <w:pPr>
              <w:spacing w:before="100" w:after="10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100" w:after="100" w:line="240" w:lineRule="atLeast"/>
              <w:ind w:left="0" w:firstLine="0"/>
              <w:rPr>
                <w:rFonts w:cs="Arial"/>
                <w:sz w:val="18"/>
                <w:szCs w:val="18"/>
              </w:rPr>
            </w:pPr>
          </w:p>
        </w:tc>
      </w:tr>
      <w:tr w:rsidR="00930A86" w:rsidRPr="00C903F8" w:rsidTr="00930A86">
        <w:trPr>
          <w:cantSplit/>
          <w:jc w:val="center"/>
        </w:trPr>
        <w:tc>
          <w:tcPr>
            <w:tcW w:w="6096" w:type="dxa"/>
            <w:gridSpan w:val="3"/>
            <w:shd w:val="clear" w:color="auto" w:fill="auto"/>
          </w:tcPr>
          <w:p w:rsidR="00930A86" w:rsidRPr="00C903F8" w:rsidRDefault="00930A86" w:rsidP="008525B2">
            <w:pPr>
              <w:spacing w:before="60" w:after="60" w:line="240" w:lineRule="atLeast"/>
              <w:ind w:left="0" w:firstLine="0"/>
              <w:jc w:val="center"/>
              <w:rPr>
                <w:rFonts w:cs="Arial"/>
                <w:sz w:val="18"/>
                <w:szCs w:val="18"/>
              </w:rPr>
            </w:pPr>
            <w:r w:rsidRPr="00C903F8">
              <w:rPr>
                <w:rFonts w:cs="Arial"/>
                <w:b/>
                <w:sz w:val="18"/>
                <w:szCs w:val="18"/>
              </w:rPr>
              <w:t>CHAPTER 14</w:t>
            </w:r>
          </w:p>
        </w:tc>
        <w:tc>
          <w:tcPr>
            <w:tcW w:w="6521" w:type="dxa"/>
            <w:shd w:val="clear" w:color="auto" w:fill="auto"/>
          </w:tcPr>
          <w:p w:rsidR="00930A86" w:rsidRPr="00C903F8" w:rsidRDefault="00930A86" w:rsidP="008525B2">
            <w:pPr>
              <w:spacing w:before="60" w:after="60" w:line="240" w:lineRule="atLeast"/>
              <w:ind w:left="0" w:firstLine="0"/>
              <w:rPr>
                <w:rFonts w:cs="Arial"/>
                <w:sz w:val="18"/>
                <w:szCs w:val="18"/>
              </w:rPr>
            </w:pPr>
          </w:p>
        </w:tc>
        <w:tc>
          <w:tcPr>
            <w:tcW w:w="1276" w:type="dxa"/>
            <w:shd w:val="clear" w:color="auto" w:fill="auto"/>
          </w:tcPr>
          <w:p w:rsidR="00930A86" w:rsidRPr="00C903F8" w:rsidRDefault="00930A86" w:rsidP="008525B2">
            <w:pPr>
              <w:spacing w:before="60" w:after="6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60" w:after="60" w:line="240" w:lineRule="atLeast"/>
              <w:ind w:left="0" w:firstLine="0"/>
              <w:rPr>
                <w:rFonts w:cs="Arial"/>
                <w:sz w:val="18"/>
                <w:szCs w:val="18"/>
              </w:rPr>
            </w:pPr>
            <w:r w:rsidRPr="00C903F8">
              <w:rPr>
                <w:rFonts w:cs="Arial"/>
                <w:sz w:val="18"/>
                <w:szCs w:val="18"/>
              </w:rPr>
              <w:t>14.11</w:t>
            </w:r>
          </w:p>
        </w:tc>
        <w:tc>
          <w:tcPr>
            <w:tcW w:w="1458" w:type="dxa"/>
            <w:shd w:val="clear" w:color="auto" w:fill="auto"/>
          </w:tcPr>
          <w:p w:rsidR="00930A86" w:rsidRPr="00C903F8" w:rsidRDefault="00930A86" w:rsidP="008525B2">
            <w:pPr>
              <w:spacing w:before="60" w:after="60" w:line="240" w:lineRule="atLeast"/>
              <w:ind w:left="0" w:firstLine="0"/>
              <w:rPr>
                <w:rFonts w:cs="Arial"/>
                <w:sz w:val="18"/>
                <w:szCs w:val="18"/>
              </w:rPr>
            </w:pPr>
            <w:r w:rsidRPr="00C903F8">
              <w:rPr>
                <w:rFonts w:cs="Arial"/>
                <w:sz w:val="18"/>
                <w:szCs w:val="18"/>
              </w:rPr>
              <w:t>(2)</w:t>
            </w:r>
          </w:p>
        </w:tc>
        <w:tc>
          <w:tcPr>
            <w:tcW w:w="3296" w:type="dxa"/>
            <w:shd w:val="clear" w:color="auto" w:fill="auto"/>
          </w:tcPr>
          <w:p w:rsidR="00930A86" w:rsidRPr="00C903F8" w:rsidRDefault="00930A86" w:rsidP="008525B2">
            <w:pPr>
              <w:spacing w:before="60" w:after="60" w:line="240" w:lineRule="atLeast"/>
              <w:ind w:left="0" w:firstLine="0"/>
              <w:rPr>
                <w:rFonts w:cs="Arial"/>
                <w:sz w:val="18"/>
                <w:szCs w:val="18"/>
              </w:rPr>
            </w:pPr>
            <w:r w:rsidRPr="00C903F8">
              <w:rPr>
                <w:rFonts w:cs="Arial"/>
                <w:noProof/>
                <w:sz w:val="18"/>
                <w:szCs w:val="18"/>
              </w:rPr>
              <w:t>Safety of winches</w:t>
            </w:r>
          </w:p>
        </w:tc>
        <w:tc>
          <w:tcPr>
            <w:tcW w:w="6521" w:type="dxa"/>
            <w:shd w:val="clear" w:color="auto" w:fill="auto"/>
          </w:tcPr>
          <w:p w:rsidR="00930A86" w:rsidRPr="00C903F8" w:rsidRDefault="008761D9" w:rsidP="008525B2">
            <w:pPr>
              <w:spacing w:before="60" w:after="6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60" w:after="60" w:line="240" w:lineRule="atLeast"/>
              <w:ind w:left="0" w:firstLine="0"/>
              <w:rPr>
                <w:rFonts w:cs="Arial"/>
                <w:sz w:val="18"/>
                <w:szCs w:val="18"/>
              </w:rPr>
            </w:pPr>
          </w:p>
        </w:tc>
      </w:tr>
      <w:tr w:rsidR="00930A86" w:rsidRPr="00C903F8" w:rsidTr="00930A86">
        <w:trPr>
          <w:cantSplit/>
          <w:jc w:val="center"/>
        </w:trPr>
        <w:tc>
          <w:tcPr>
            <w:tcW w:w="6096" w:type="dxa"/>
            <w:gridSpan w:val="3"/>
            <w:shd w:val="clear" w:color="auto" w:fill="auto"/>
          </w:tcPr>
          <w:p w:rsidR="00930A86" w:rsidRPr="00C903F8" w:rsidRDefault="00930A86" w:rsidP="008525B2">
            <w:pPr>
              <w:spacing w:before="60" w:after="60" w:line="240" w:lineRule="atLeast"/>
              <w:ind w:left="0" w:firstLine="0"/>
              <w:jc w:val="center"/>
              <w:rPr>
                <w:rFonts w:cs="Arial"/>
                <w:sz w:val="18"/>
                <w:szCs w:val="18"/>
              </w:rPr>
            </w:pPr>
            <w:r w:rsidRPr="00C903F8">
              <w:rPr>
                <w:rFonts w:cs="Arial"/>
                <w:b/>
                <w:sz w:val="18"/>
                <w:szCs w:val="18"/>
              </w:rPr>
              <w:lastRenderedPageBreak/>
              <w:t>CHAPTER 15</w:t>
            </w:r>
          </w:p>
        </w:tc>
        <w:tc>
          <w:tcPr>
            <w:tcW w:w="6521" w:type="dxa"/>
            <w:shd w:val="clear" w:color="auto" w:fill="auto"/>
          </w:tcPr>
          <w:p w:rsidR="00930A86" w:rsidRPr="00C903F8" w:rsidRDefault="00930A86" w:rsidP="008525B2">
            <w:pPr>
              <w:spacing w:before="60" w:after="60" w:line="240" w:lineRule="atLeast"/>
              <w:ind w:left="0" w:firstLine="0"/>
              <w:rPr>
                <w:rFonts w:cs="Arial"/>
                <w:sz w:val="18"/>
                <w:szCs w:val="18"/>
              </w:rPr>
            </w:pPr>
          </w:p>
        </w:tc>
        <w:tc>
          <w:tcPr>
            <w:tcW w:w="1276" w:type="dxa"/>
            <w:shd w:val="clear" w:color="auto" w:fill="auto"/>
          </w:tcPr>
          <w:p w:rsidR="00930A86" w:rsidRPr="00C903F8" w:rsidRDefault="00930A86" w:rsidP="008525B2">
            <w:pPr>
              <w:spacing w:before="60" w:after="60" w:line="240" w:lineRule="atLeast"/>
              <w:ind w:left="0" w:firstLine="0"/>
              <w:rPr>
                <w:rFonts w:cs="Arial"/>
                <w:sz w:val="18"/>
                <w:szCs w:val="18"/>
              </w:rPr>
            </w:pPr>
          </w:p>
        </w:tc>
      </w:tr>
      <w:tr w:rsidR="00930A86" w:rsidRPr="00C903F8" w:rsidTr="00930A86">
        <w:trPr>
          <w:cantSplit/>
          <w:jc w:val="center"/>
        </w:trPr>
        <w:tc>
          <w:tcPr>
            <w:tcW w:w="1342" w:type="dxa"/>
            <w:shd w:val="clear" w:color="auto" w:fill="auto"/>
          </w:tcPr>
          <w:p w:rsidR="00930A86" w:rsidRPr="00C903F8" w:rsidRDefault="00930A86" w:rsidP="008525B2">
            <w:pPr>
              <w:spacing w:before="60" w:after="60" w:line="240" w:lineRule="atLeast"/>
              <w:ind w:left="0" w:firstLine="0"/>
              <w:rPr>
                <w:rFonts w:cs="Arial"/>
                <w:sz w:val="18"/>
                <w:szCs w:val="18"/>
              </w:rPr>
            </w:pPr>
            <w:r w:rsidRPr="00C903F8">
              <w:rPr>
                <w:rFonts w:cs="Arial"/>
                <w:sz w:val="18"/>
                <w:szCs w:val="18"/>
              </w:rPr>
              <w:t>15.02</w:t>
            </w:r>
          </w:p>
        </w:tc>
        <w:tc>
          <w:tcPr>
            <w:tcW w:w="1458" w:type="dxa"/>
            <w:shd w:val="clear" w:color="auto" w:fill="auto"/>
          </w:tcPr>
          <w:p w:rsidR="00930A86" w:rsidRPr="00C903F8" w:rsidRDefault="00930A86" w:rsidP="008525B2">
            <w:pPr>
              <w:spacing w:before="60" w:after="60" w:line="240" w:lineRule="atLeast"/>
              <w:ind w:left="0" w:firstLine="0"/>
              <w:rPr>
                <w:rFonts w:cs="Arial"/>
                <w:sz w:val="18"/>
                <w:szCs w:val="18"/>
              </w:rPr>
            </w:pPr>
            <w:r w:rsidRPr="00C903F8">
              <w:rPr>
                <w:rFonts w:cs="Arial"/>
                <w:sz w:val="18"/>
                <w:szCs w:val="18"/>
              </w:rPr>
              <w:t>(3)</w:t>
            </w:r>
          </w:p>
        </w:tc>
        <w:tc>
          <w:tcPr>
            <w:tcW w:w="3296" w:type="dxa"/>
            <w:shd w:val="clear" w:color="auto" w:fill="auto"/>
          </w:tcPr>
          <w:p w:rsidR="00930A86" w:rsidRPr="00C903F8" w:rsidRDefault="00930A86" w:rsidP="008525B2">
            <w:pPr>
              <w:spacing w:before="60" w:after="60" w:line="240" w:lineRule="atLeast"/>
              <w:ind w:left="0" w:firstLine="0"/>
              <w:rPr>
                <w:rFonts w:cs="Arial"/>
                <w:sz w:val="18"/>
                <w:szCs w:val="18"/>
                <w:lang w:val="en-US"/>
              </w:rPr>
            </w:pPr>
            <w:r w:rsidRPr="00C903F8">
              <w:rPr>
                <w:rFonts w:cs="Arial"/>
                <w:noProof/>
                <w:sz w:val="18"/>
                <w:szCs w:val="18"/>
                <w:lang w:val="en-US"/>
              </w:rPr>
              <w:t>Pipes carrying dangerous gases or liquids</w:t>
            </w:r>
          </w:p>
        </w:tc>
        <w:tc>
          <w:tcPr>
            <w:tcW w:w="6521" w:type="dxa"/>
            <w:shd w:val="clear" w:color="auto" w:fill="auto"/>
          </w:tcPr>
          <w:p w:rsidR="00930A86" w:rsidRPr="00C903F8" w:rsidRDefault="008761D9" w:rsidP="008525B2">
            <w:pPr>
              <w:spacing w:before="60" w:after="60" w:line="240" w:lineRule="atLeast"/>
              <w:ind w:left="0" w:firstLine="0"/>
              <w:rPr>
                <w:rFonts w:cs="Arial"/>
                <w:sz w:val="18"/>
                <w:szCs w:val="18"/>
              </w:rPr>
            </w:pPr>
            <w:r>
              <w:rPr>
                <w:rFonts w:cs="Arial"/>
                <w:sz w:val="18"/>
                <w:szCs w:val="18"/>
              </w:rPr>
              <w:t>N.R.C.</w:t>
            </w:r>
          </w:p>
        </w:tc>
        <w:tc>
          <w:tcPr>
            <w:tcW w:w="1276" w:type="dxa"/>
            <w:shd w:val="clear" w:color="auto" w:fill="auto"/>
          </w:tcPr>
          <w:p w:rsidR="00930A86" w:rsidRPr="00C903F8" w:rsidRDefault="00930A86" w:rsidP="008525B2">
            <w:pPr>
              <w:spacing w:before="60" w:after="60" w:line="240" w:lineRule="atLeast"/>
              <w:ind w:left="0" w:firstLine="0"/>
              <w:rPr>
                <w:rFonts w:cs="Arial"/>
                <w:sz w:val="18"/>
                <w:szCs w:val="18"/>
              </w:rPr>
            </w:pPr>
          </w:p>
        </w:tc>
      </w:tr>
    </w:tbl>
    <w:p w:rsidR="001E2331" w:rsidRPr="00C903F8" w:rsidRDefault="001E2331" w:rsidP="001E2331">
      <w:pPr>
        <w:spacing w:line="240" w:lineRule="atLeast"/>
        <w:ind w:left="0" w:firstLine="0"/>
        <w:rPr>
          <w:noProof/>
          <w:lang w:bidi="fr-FR"/>
        </w:rPr>
      </w:pPr>
    </w:p>
    <w:p w:rsidR="001E2331" w:rsidRPr="00C903F8" w:rsidRDefault="001E2331" w:rsidP="001E2331">
      <w:pPr>
        <w:spacing w:line="240" w:lineRule="atLeast"/>
        <w:ind w:left="567" w:hanging="567"/>
        <w:rPr>
          <w:lang w:val="fr-BE" w:eastAsia="nl-NL"/>
        </w:rPr>
      </w:pPr>
    </w:p>
    <w:p w:rsidR="001E2331" w:rsidRPr="00C903F8" w:rsidRDefault="001E2331" w:rsidP="001E2331">
      <w:pPr>
        <w:ind w:left="0" w:firstLine="0"/>
        <w:rPr>
          <w:noProof/>
          <w:lang w:bidi="fr-FR"/>
        </w:rPr>
      </w:pPr>
    </w:p>
    <w:p w:rsidR="001E2331" w:rsidRPr="00C903F8" w:rsidRDefault="001E2331" w:rsidP="001E2331">
      <w:pPr>
        <w:ind w:left="0" w:firstLine="0"/>
        <w:rPr>
          <w:noProof/>
          <w:lang w:bidi="fr-FR"/>
        </w:rPr>
      </w:pPr>
    </w:p>
    <w:p w:rsidR="001E2331" w:rsidRPr="00C903F8" w:rsidRDefault="001E2331" w:rsidP="001E2331">
      <w:pPr>
        <w:ind w:left="0" w:firstLine="0"/>
        <w:rPr>
          <w:noProof/>
          <w:lang w:bidi="fr-FR"/>
        </w:rPr>
      </w:pPr>
    </w:p>
    <w:p w:rsidR="000526B5" w:rsidRPr="00C903F8" w:rsidRDefault="000526B5" w:rsidP="00125490">
      <w:pPr>
        <w:pStyle w:val="ESch"/>
        <w:rPr>
          <w:lang w:val="en-US"/>
        </w:rPr>
      </w:pPr>
    </w:p>
    <w:p w:rsidR="00AB18EA" w:rsidRPr="00C903F8" w:rsidRDefault="00AB18EA" w:rsidP="00125490">
      <w:pPr>
        <w:pStyle w:val="ESch"/>
        <w:rPr>
          <w:lang w:val="en-US"/>
        </w:rPr>
      </w:pPr>
    </w:p>
    <w:p w:rsidR="00AB18EA" w:rsidRPr="00C903F8" w:rsidRDefault="00AB18EA" w:rsidP="00125490">
      <w:pPr>
        <w:pStyle w:val="ESch"/>
        <w:rPr>
          <w:lang w:val="en-US"/>
        </w:rPr>
      </w:pPr>
    </w:p>
    <w:p w:rsidR="00AB18EA" w:rsidRPr="00C903F8" w:rsidRDefault="00AB18EA" w:rsidP="00125490">
      <w:pPr>
        <w:pStyle w:val="ESch"/>
        <w:rPr>
          <w:lang w:val="en-US"/>
        </w:rPr>
        <w:sectPr w:rsidR="00AB18EA" w:rsidRPr="00C903F8" w:rsidSect="001E2331">
          <w:headerReference w:type="first" r:id="rId34"/>
          <w:footerReference w:type="first" r:id="rId35"/>
          <w:footnotePr>
            <w:numRestart w:val="eachPage"/>
          </w:footnotePr>
          <w:pgSz w:w="16838" w:h="11906" w:orient="landscape" w:code="9"/>
          <w:pgMar w:top="1418" w:right="1418" w:bottom="1418" w:left="1418" w:header="709" w:footer="709" w:gutter="0"/>
          <w:cols w:space="709"/>
          <w:titlePg/>
          <w:docGrid w:linePitch="272"/>
        </w:sectPr>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C903F8" w:rsidRDefault="001E2331" w:rsidP="001E2331">
      <w:pPr>
        <w:pStyle w:val="ES-Titre3a"/>
      </w:pPr>
    </w:p>
    <w:p w:rsidR="001E2331" w:rsidRPr="0063454C" w:rsidRDefault="001E2331" w:rsidP="001E2331">
      <w:pPr>
        <w:pStyle w:val="Es-Titreannexes"/>
        <w:rPr>
          <w:lang w:val="en-US"/>
        </w:rPr>
      </w:pPr>
      <w:bookmarkStart w:id="310" w:name="_Toc491854290"/>
      <w:r w:rsidRPr="0063454C">
        <w:rPr>
          <w:lang w:val="en-US"/>
        </w:rPr>
        <w:t>European standard annexes</w:t>
      </w:r>
      <w:bookmarkEnd w:id="310"/>
    </w:p>
    <w:p w:rsidR="001E2331" w:rsidRPr="0063454C" w:rsidRDefault="001E2331" w:rsidP="001E2331">
      <w:pPr>
        <w:pStyle w:val="ES-Titre3a"/>
        <w:rPr>
          <w:lang w:val="en-US"/>
        </w:rPr>
      </w:pPr>
    </w:p>
    <w:p w:rsidR="00AB18EA" w:rsidRPr="00C903F8" w:rsidRDefault="00AB18EA" w:rsidP="00125490">
      <w:pPr>
        <w:pStyle w:val="ESch"/>
        <w:rPr>
          <w:lang w:val="en-US"/>
        </w:rPr>
      </w:pPr>
    </w:p>
    <w:p w:rsidR="001E2331" w:rsidRPr="00C903F8" w:rsidRDefault="001E2331" w:rsidP="00125490">
      <w:pPr>
        <w:pStyle w:val="ESch"/>
        <w:rPr>
          <w:lang w:val="en-US"/>
        </w:rPr>
      </w:pPr>
    </w:p>
    <w:p w:rsidR="001E2331" w:rsidRPr="00C903F8" w:rsidRDefault="001E2331" w:rsidP="00125490">
      <w:pPr>
        <w:pStyle w:val="ESch"/>
        <w:rPr>
          <w:lang w:val="en-US"/>
        </w:rPr>
      </w:pPr>
    </w:p>
    <w:p w:rsidR="001E2331" w:rsidRPr="00C903F8" w:rsidRDefault="001E2331" w:rsidP="00125490">
      <w:pPr>
        <w:pStyle w:val="ESch"/>
        <w:rPr>
          <w:lang w:val="en-US"/>
        </w:rPr>
      </w:pPr>
      <w:r w:rsidRPr="00C903F8">
        <w:rPr>
          <w:lang w:val="en-US"/>
        </w:rPr>
        <w:br w:type="page"/>
      </w:r>
    </w:p>
    <w:p w:rsidR="00AB18EA" w:rsidRPr="00C903F8" w:rsidRDefault="00AB18EA" w:rsidP="00125490">
      <w:pPr>
        <w:pStyle w:val="ESch"/>
        <w:rPr>
          <w:lang w:val="en-US"/>
        </w:rPr>
      </w:pPr>
    </w:p>
    <w:p w:rsidR="00AB18EA" w:rsidRPr="00C903F8" w:rsidRDefault="00AB18EA" w:rsidP="00125490">
      <w:pPr>
        <w:pStyle w:val="ESch"/>
        <w:rPr>
          <w:lang w:val="en-US"/>
        </w:rPr>
      </w:pPr>
    </w:p>
    <w:p w:rsidR="001E2331" w:rsidRPr="00C903F8" w:rsidRDefault="001E2331" w:rsidP="00125490">
      <w:pPr>
        <w:pStyle w:val="ESch"/>
        <w:rPr>
          <w:lang w:val="en-US"/>
        </w:rPr>
      </w:pPr>
    </w:p>
    <w:p w:rsidR="001E2331" w:rsidRPr="00C903F8" w:rsidRDefault="001E2331" w:rsidP="00125490">
      <w:pPr>
        <w:pStyle w:val="ESch"/>
        <w:rPr>
          <w:lang w:val="en-US"/>
        </w:rPr>
        <w:sectPr w:rsidR="001E2331" w:rsidRPr="00C903F8" w:rsidSect="00AC5CC1">
          <w:headerReference w:type="default" r:id="rId36"/>
          <w:footerReference w:type="default" r:id="rId37"/>
          <w:headerReference w:type="first" r:id="rId38"/>
          <w:footerReference w:type="first" r:id="rId39"/>
          <w:footnotePr>
            <w:numRestart w:val="eachPage"/>
          </w:footnotePr>
          <w:pgSz w:w="11906" w:h="16838" w:code="9"/>
          <w:pgMar w:top="1418" w:right="1418" w:bottom="1418" w:left="1418" w:header="709" w:footer="709" w:gutter="0"/>
          <w:cols w:space="709"/>
          <w:titlePg/>
          <w:docGrid w:linePitch="272"/>
        </w:sectPr>
      </w:pPr>
    </w:p>
    <w:p w:rsidR="009C13A9" w:rsidRPr="00C903F8" w:rsidRDefault="009C13A9" w:rsidP="009C13A9">
      <w:pPr>
        <w:pStyle w:val="ES-Titre1"/>
      </w:pPr>
      <w:bookmarkStart w:id="311" w:name="_Toc395775413"/>
      <w:bookmarkStart w:id="312" w:name="_Toc491854291"/>
      <w:r w:rsidRPr="00C903F8">
        <w:lastRenderedPageBreak/>
        <w:t>PART I</w:t>
      </w:r>
      <w:r w:rsidRPr="00C903F8">
        <w:br/>
      </w:r>
      <w:bookmarkEnd w:id="311"/>
      <w:r w:rsidRPr="00C903F8">
        <w:t>VESSEL IDENTIFICATION AND REGISTER</w:t>
      </w:r>
      <w:bookmarkEnd w:id="312"/>
    </w:p>
    <w:p w:rsidR="009C13A9" w:rsidRPr="00C903F8" w:rsidRDefault="009C13A9" w:rsidP="009C13A9">
      <w:pPr>
        <w:overflowPunct w:val="0"/>
        <w:adjustRightInd w:val="0"/>
        <w:spacing w:line="240" w:lineRule="atLeast"/>
        <w:ind w:left="0" w:firstLine="0"/>
        <w:jc w:val="center"/>
        <w:textAlignment w:val="baseline"/>
        <w:rPr>
          <w:rFonts w:eastAsia="Calibri"/>
          <w:b/>
          <w:i/>
          <w:caps/>
          <w:sz w:val="24"/>
          <w:szCs w:val="28"/>
          <w:lang w:val="en-US" w:eastAsia="en-US"/>
        </w:rPr>
      </w:pPr>
    </w:p>
    <w:p w:rsidR="009C13A9" w:rsidRPr="00C903F8" w:rsidRDefault="009C13A9" w:rsidP="009C13A9">
      <w:pPr>
        <w:pStyle w:val="ES-Titre2"/>
        <w:pageBreakBefore w:val="0"/>
      </w:pPr>
      <w:bookmarkStart w:id="313" w:name="_Toc395775414"/>
      <w:bookmarkStart w:id="314" w:name="_Toc491854292"/>
      <w:r w:rsidRPr="00C903F8">
        <w:t>Annex 1</w:t>
      </w:r>
      <w:r w:rsidRPr="00C903F8">
        <w:br/>
      </w:r>
      <w:bookmarkEnd w:id="313"/>
      <w:r w:rsidRPr="00C903F8">
        <w:t>Model of the unique European vessel identification number (ENI)</w:t>
      </w:r>
      <w:bookmarkEnd w:id="314"/>
    </w:p>
    <w:p w:rsidR="009C13A9" w:rsidRPr="00C903F8" w:rsidRDefault="009C13A9" w:rsidP="009C13A9">
      <w:pPr>
        <w:overflowPunct w:val="0"/>
        <w:adjustRightInd w:val="0"/>
        <w:spacing w:line="240" w:lineRule="atLeast"/>
        <w:ind w:left="0" w:firstLine="0"/>
        <w:jc w:val="center"/>
        <w:textAlignment w:val="baseline"/>
        <w:rPr>
          <w:rFonts w:eastAsia="Calibri"/>
          <w:sz w:val="22"/>
          <w:szCs w:val="22"/>
          <w:lang w:val="en-US" w:eastAsia="en-US"/>
        </w:rPr>
      </w:pPr>
    </w:p>
    <w:p w:rsidR="009C13A9" w:rsidRPr="00C903F8" w:rsidRDefault="009C13A9" w:rsidP="009C13A9">
      <w:pPr>
        <w:overflowPunct w:val="0"/>
        <w:adjustRightInd w:val="0"/>
        <w:spacing w:line="240" w:lineRule="atLeast"/>
        <w:ind w:left="0" w:firstLine="0"/>
        <w:jc w:val="center"/>
        <w:textAlignment w:val="baseline"/>
        <w:rPr>
          <w:rFonts w:eastAsia="Calibri"/>
          <w:sz w:val="22"/>
          <w:szCs w:val="22"/>
          <w:lang w:val="en-US" w:eastAsia="en-US"/>
        </w:rPr>
      </w:pPr>
    </w:p>
    <w:p w:rsidR="009C13A9" w:rsidRPr="00C903F8" w:rsidRDefault="009C13A9" w:rsidP="009C13A9">
      <w:pPr>
        <w:overflowPunct w:val="0"/>
        <w:adjustRightInd w:val="0"/>
        <w:ind w:left="0" w:firstLine="0"/>
        <w:jc w:val="left"/>
        <w:textAlignment w:val="baseline"/>
        <w:rPr>
          <w:rFonts w:cs="Arial"/>
          <w:szCs w:val="20"/>
          <w:lang w:val="en-US"/>
        </w:rPr>
      </w:pPr>
    </w:p>
    <w:tbl>
      <w:tblPr>
        <w:tblW w:w="0" w:type="auto"/>
        <w:tblInd w:w="1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789"/>
        <w:gridCol w:w="789"/>
        <w:gridCol w:w="564"/>
        <w:gridCol w:w="564"/>
        <w:gridCol w:w="564"/>
        <w:gridCol w:w="564"/>
        <w:gridCol w:w="564"/>
      </w:tblGrid>
      <w:tr w:rsidR="009C13A9" w:rsidRPr="00C903F8" w:rsidTr="009C13A9">
        <w:trPr>
          <w:cantSplit/>
        </w:trPr>
        <w:tc>
          <w:tcPr>
            <w:tcW w:w="790" w:type="dxa"/>
            <w:tcBorders>
              <w:top w:val="single" w:sz="4" w:space="0" w:color="auto"/>
              <w:left w:val="single" w:sz="4" w:space="0" w:color="auto"/>
              <w:bottom w:val="single" w:sz="4" w:space="0" w:color="auto"/>
              <w:right w:val="single" w:sz="4" w:space="0" w:color="auto"/>
            </w:tcBorders>
          </w:tcPr>
          <w:p w:rsidR="009C13A9" w:rsidRPr="00C903F8" w:rsidRDefault="009C13A9" w:rsidP="009C13A9">
            <w:pPr>
              <w:adjustRightInd w:val="0"/>
              <w:spacing w:before="40" w:after="40"/>
              <w:ind w:left="0" w:firstLine="0"/>
              <w:jc w:val="center"/>
              <w:rPr>
                <w:rFonts w:cs="Arial"/>
                <w:snapToGrid w:val="0"/>
                <w:sz w:val="18"/>
                <w:szCs w:val="20"/>
                <w:lang w:val="de-DE"/>
              </w:rPr>
            </w:pPr>
            <w:r w:rsidRPr="00C903F8">
              <w:rPr>
                <w:rFonts w:cs="Arial"/>
                <w:noProof/>
                <w:snapToGrid w:val="0"/>
                <w:sz w:val="18"/>
                <w:szCs w:val="20"/>
                <w:lang w:val="de-DE"/>
              </w:rPr>
              <w:t>A</w:t>
            </w:r>
          </w:p>
        </w:tc>
        <w:tc>
          <w:tcPr>
            <w:tcW w:w="789" w:type="dxa"/>
            <w:tcBorders>
              <w:top w:val="single" w:sz="4" w:space="0" w:color="auto"/>
              <w:left w:val="single" w:sz="4" w:space="0" w:color="auto"/>
              <w:bottom w:val="single" w:sz="4" w:space="0" w:color="auto"/>
              <w:right w:val="single" w:sz="4" w:space="0" w:color="auto"/>
            </w:tcBorders>
          </w:tcPr>
          <w:p w:rsidR="009C13A9" w:rsidRPr="00C903F8" w:rsidRDefault="009C13A9" w:rsidP="009C13A9">
            <w:pPr>
              <w:overflowPunct w:val="0"/>
              <w:adjustRightInd w:val="0"/>
              <w:spacing w:before="40" w:after="40"/>
              <w:ind w:left="0" w:firstLine="0"/>
              <w:jc w:val="center"/>
              <w:textAlignment w:val="baseline"/>
              <w:rPr>
                <w:rFonts w:cs="Arial"/>
                <w:sz w:val="18"/>
                <w:szCs w:val="20"/>
              </w:rPr>
            </w:pPr>
            <w:r w:rsidRPr="00C903F8">
              <w:rPr>
                <w:rFonts w:cs="Arial"/>
                <w:noProof/>
                <w:sz w:val="18"/>
                <w:szCs w:val="20"/>
              </w:rPr>
              <w:t>A</w:t>
            </w:r>
          </w:p>
        </w:tc>
        <w:tc>
          <w:tcPr>
            <w:tcW w:w="789" w:type="dxa"/>
            <w:tcBorders>
              <w:top w:val="single" w:sz="4" w:space="0" w:color="auto"/>
              <w:left w:val="single" w:sz="4" w:space="0" w:color="auto"/>
              <w:bottom w:val="single" w:sz="4" w:space="0" w:color="auto"/>
              <w:right w:val="single" w:sz="4" w:space="0" w:color="auto"/>
            </w:tcBorders>
          </w:tcPr>
          <w:p w:rsidR="009C13A9" w:rsidRPr="00C903F8" w:rsidRDefault="009C13A9" w:rsidP="009C13A9">
            <w:pPr>
              <w:overflowPunct w:val="0"/>
              <w:adjustRightInd w:val="0"/>
              <w:spacing w:before="40" w:after="40"/>
              <w:ind w:left="0" w:firstLine="0"/>
              <w:jc w:val="center"/>
              <w:textAlignment w:val="baseline"/>
              <w:rPr>
                <w:rFonts w:cs="Arial"/>
                <w:sz w:val="18"/>
                <w:szCs w:val="20"/>
              </w:rPr>
            </w:pPr>
            <w:r w:rsidRPr="00C903F8">
              <w:rPr>
                <w:rFonts w:cs="Arial"/>
                <w:noProof/>
                <w:sz w:val="18"/>
                <w:szCs w:val="20"/>
              </w:rPr>
              <w:t>A</w:t>
            </w:r>
          </w:p>
        </w:tc>
        <w:tc>
          <w:tcPr>
            <w:tcW w:w="564" w:type="dxa"/>
            <w:tcBorders>
              <w:top w:val="single" w:sz="4" w:space="0" w:color="auto"/>
              <w:left w:val="single" w:sz="4" w:space="0" w:color="auto"/>
              <w:bottom w:val="single" w:sz="4" w:space="0" w:color="auto"/>
              <w:right w:val="single" w:sz="4" w:space="0" w:color="auto"/>
            </w:tcBorders>
          </w:tcPr>
          <w:p w:rsidR="009C13A9" w:rsidRPr="00C903F8" w:rsidRDefault="009C13A9" w:rsidP="009C13A9">
            <w:pPr>
              <w:overflowPunct w:val="0"/>
              <w:adjustRightInd w:val="0"/>
              <w:spacing w:before="40" w:after="40"/>
              <w:ind w:left="0" w:firstLine="0"/>
              <w:jc w:val="center"/>
              <w:textAlignment w:val="baseline"/>
              <w:rPr>
                <w:rFonts w:cs="Arial"/>
                <w:sz w:val="18"/>
                <w:szCs w:val="20"/>
              </w:rPr>
            </w:pPr>
            <w:r w:rsidRPr="00C903F8">
              <w:rPr>
                <w:rFonts w:cs="Arial"/>
                <w:noProof/>
                <w:sz w:val="18"/>
                <w:szCs w:val="20"/>
              </w:rPr>
              <w:t>x</w:t>
            </w:r>
          </w:p>
        </w:tc>
        <w:tc>
          <w:tcPr>
            <w:tcW w:w="564" w:type="dxa"/>
            <w:tcBorders>
              <w:top w:val="single" w:sz="4" w:space="0" w:color="auto"/>
              <w:left w:val="single" w:sz="4" w:space="0" w:color="auto"/>
              <w:bottom w:val="single" w:sz="4" w:space="0" w:color="auto"/>
              <w:right w:val="single" w:sz="4" w:space="0" w:color="auto"/>
            </w:tcBorders>
          </w:tcPr>
          <w:p w:rsidR="009C13A9" w:rsidRPr="00C903F8" w:rsidRDefault="009C13A9" w:rsidP="009C13A9">
            <w:pPr>
              <w:overflowPunct w:val="0"/>
              <w:adjustRightInd w:val="0"/>
              <w:spacing w:before="40" w:after="40"/>
              <w:ind w:left="0" w:firstLine="0"/>
              <w:jc w:val="center"/>
              <w:textAlignment w:val="baseline"/>
              <w:rPr>
                <w:rFonts w:cs="Arial"/>
                <w:sz w:val="18"/>
                <w:szCs w:val="20"/>
              </w:rPr>
            </w:pPr>
            <w:r w:rsidRPr="00C903F8">
              <w:rPr>
                <w:rFonts w:cs="Arial"/>
                <w:noProof/>
                <w:sz w:val="18"/>
                <w:szCs w:val="20"/>
              </w:rPr>
              <w:t>x</w:t>
            </w:r>
          </w:p>
        </w:tc>
        <w:tc>
          <w:tcPr>
            <w:tcW w:w="564" w:type="dxa"/>
            <w:tcBorders>
              <w:top w:val="single" w:sz="4" w:space="0" w:color="auto"/>
              <w:left w:val="single" w:sz="4" w:space="0" w:color="auto"/>
              <w:bottom w:val="single" w:sz="4" w:space="0" w:color="auto"/>
              <w:right w:val="single" w:sz="4" w:space="0" w:color="auto"/>
            </w:tcBorders>
          </w:tcPr>
          <w:p w:rsidR="009C13A9" w:rsidRPr="00C903F8" w:rsidRDefault="009C13A9" w:rsidP="009C13A9">
            <w:pPr>
              <w:overflowPunct w:val="0"/>
              <w:adjustRightInd w:val="0"/>
              <w:spacing w:before="40" w:after="40"/>
              <w:ind w:left="0" w:firstLine="0"/>
              <w:jc w:val="center"/>
              <w:textAlignment w:val="baseline"/>
              <w:rPr>
                <w:rFonts w:cs="Arial"/>
                <w:sz w:val="18"/>
                <w:szCs w:val="20"/>
              </w:rPr>
            </w:pPr>
            <w:r w:rsidRPr="00C903F8">
              <w:rPr>
                <w:rFonts w:cs="Arial"/>
                <w:noProof/>
                <w:sz w:val="18"/>
                <w:szCs w:val="20"/>
              </w:rPr>
              <w:t>x</w:t>
            </w:r>
          </w:p>
        </w:tc>
        <w:tc>
          <w:tcPr>
            <w:tcW w:w="564" w:type="dxa"/>
            <w:tcBorders>
              <w:top w:val="single" w:sz="4" w:space="0" w:color="auto"/>
              <w:left w:val="single" w:sz="4" w:space="0" w:color="auto"/>
              <w:bottom w:val="single" w:sz="4" w:space="0" w:color="auto"/>
              <w:right w:val="single" w:sz="4" w:space="0" w:color="auto"/>
            </w:tcBorders>
          </w:tcPr>
          <w:p w:rsidR="009C13A9" w:rsidRPr="00C903F8" w:rsidRDefault="009C13A9" w:rsidP="009C13A9">
            <w:pPr>
              <w:overflowPunct w:val="0"/>
              <w:adjustRightInd w:val="0"/>
              <w:spacing w:before="40" w:after="40"/>
              <w:ind w:left="0" w:firstLine="0"/>
              <w:jc w:val="center"/>
              <w:textAlignment w:val="baseline"/>
              <w:rPr>
                <w:rFonts w:cs="Arial"/>
                <w:sz w:val="18"/>
                <w:szCs w:val="20"/>
              </w:rPr>
            </w:pPr>
            <w:r w:rsidRPr="00C903F8">
              <w:rPr>
                <w:rFonts w:cs="Arial"/>
                <w:noProof/>
                <w:sz w:val="18"/>
                <w:szCs w:val="20"/>
              </w:rPr>
              <w:t>x</w:t>
            </w:r>
          </w:p>
        </w:tc>
        <w:tc>
          <w:tcPr>
            <w:tcW w:w="564" w:type="dxa"/>
            <w:tcBorders>
              <w:top w:val="single" w:sz="4" w:space="0" w:color="auto"/>
              <w:left w:val="single" w:sz="4" w:space="0" w:color="auto"/>
              <w:bottom w:val="single" w:sz="4" w:space="0" w:color="auto"/>
              <w:right w:val="single" w:sz="4" w:space="0" w:color="auto"/>
            </w:tcBorders>
          </w:tcPr>
          <w:p w:rsidR="009C13A9" w:rsidRPr="00C903F8" w:rsidRDefault="009C13A9" w:rsidP="009C13A9">
            <w:pPr>
              <w:overflowPunct w:val="0"/>
              <w:adjustRightInd w:val="0"/>
              <w:spacing w:before="40" w:after="40"/>
              <w:ind w:left="0" w:firstLine="0"/>
              <w:jc w:val="center"/>
              <w:textAlignment w:val="baseline"/>
              <w:rPr>
                <w:rFonts w:cs="Arial"/>
                <w:sz w:val="18"/>
                <w:szCs w:val="20"/>
              </w:rPr>
            </w:pPr>
            <w:r w:rsidRPr="00C903F8">
              <w:rPr>
                <w:rFonts w:cs="Arial"/>
                <w:noProof/>
                <w:sz w:val="18"/>
                <w:szCs w:val="20"/>
              </w:rPr>
              <w:t>x</w:t>
            </w:r>
          </w:p>
        </w:tc>
      </w:tr>
      <w:tr w:rsidR="009C13A9" w:rsidRPr="00C903F8" w:rsidTr="009C13A9">
        <w:trPr>
          <w:cantSplit/>
        </w:trPr>
        <w:tc>
          <w:tcPr>
            <w:tcW w:w="2368" w:type="dxa"/>
            <w:gridSpan w:val="3"/>
            <w:tcBorders>
              <w:top w:val="single" w:sz="4" w:space="0" w:color="auto"/>
              <w:left w:val="single" w:sz="4" w:space="0" w:color="auto"/>
              <w:bottom w:val="single" w:sz="4" w:space="0" w:color="auto"/>
              <w:right w:val="single" w:sz="4" w:space="0" w:color="auto"/>
            </w:tcBorders>
          </w:tcPr>
          <w:p w:rsidR="009C13A9" w:rsidRPr="00C903F8" w:rsidRDefault="009C13A9" w:rsidP="009C13A9">
            <w:pPr>
              <w:overflowPunct w:val="0"/>
              <w:adjustRightInd w:val="0"/>
              <w:spacing w:before="40" w:after="40"/>
              <w:ind w:left="0" w:firstLine="0"/>
              <w:jc w:val="left"/>
              <w:textAlignment w:val="baseline"/>
              <w:rPr>
                <w:rFonts w:cs="Arial"/>
                <w:sz w:val="18"/>
                <w:szCs w:val="20"/>
                <w:lang w:val="en-US"/>
              </w:rPr>
            </w:pPr>
            <w:r w:rsidRPr="00C903F8">
              <w:rPr>
                <w:rFonts w:cs="Arial"/>
                <w:noProof/>
                <w:sz w:val="18"/>
                <w:szCs w:val="20"/>
                <w:lang w:val="en-US"/>
              </w:rPr>
              <w:t xml:space="preserve">Code of the competent authority that assigns the </w:t>
            </w:r>
            <w:r w:rsidR="006D37CC" w:rsidRPr="00C903F8">
              <w:rPr>
                <w:rFonts w:cs="Arial"/>
                <w:noProof/>
                <w:sz w:val="18"/>
                <w:szCs w:val="20"/>
                <w:lang w:val="en-US"/>
              </w:rPr>
              <w:t xml:space="preserve">unique </w:t>
            </w:r>
            <w:r w:rsidRPr="00C903F8">
              <w:rPr>
                <w:rFonts w:cs="Arial"/>
                <w:noProof/>
                <w:sz w:val="18"/>
                <w:szCs w:val="20"/>
                <w:lang w:val="en-US"/>
              </w:rPr>
              <w:t>European vessel identification number</w:t>
            </w:r>
          </w:p>
        </w:tc>
        <w:tc>
          <w:tcPr>
            <w:tcW w:w="2820" w:type="dxa"/>
            <w:gridSpan w:val="5"/>
            <w:tcBorders>
              <w:top w:val="single" w:sz="4" w:space="0" w:color="auto"/>
              <w:left w:val="single" w:sz="4" w:space="0" w:color="auto"/>
              <w:bottom w:val="single" w:sz="4" w:space="0" w:color="auto"/>
              <w:right w:val="single" w:sz="4" w:space="0" w:color="auto"/>
            </w:tcBorders>
            <w:vAlign w:val="center"/>
          </w:tcPr>
          <w:p w:rsidR="009C13A9" w:rsidRPr="00C903F8" w:rsidRDefault="009C13A9" w:rsidP="009C13A9">
            <w:pPr>
              <w:overflowPunct w:val="0"/>
              <w:adjustRightInd w:val="0"/>
              <w:spacing w:before="40" w:after="40"/>
              <w:ind w:left="0" w:firstLine="0"/>
              <w:jc w:val="center"/>
              <w:textAlignment w:val="baseline"/>
              <w:rPr>
                <w:rFonts w:cs="Arial"/>
                <w:sz w:val="18"/>
                <w:szCs w:val="20"/>
              </w:rPr>
            </w:pPr>
            <w:r w:rsidRPr="00C903F8">
              <w:rPr>
                <w:rFonts w:cs="Arial"/>
                <w:noProof/>
                <w:sz w:val="18"/>
                <w:szCs w:val="20"/>
              </w:rPr>
              <w:t xml:space="preserve">Serial Number </w:t>
            </w:r>
          </w:p>
        </w:tc>
      </w:tr>
    </w:tbl>
    <w:p w:rsidR="009C13A9" w:rsidRPr="00C903F8" w:rsidRDefault="009C13A9" w:rsidP="009C13A9">
      <w:pPr>
        <w:overflowPunct w:val="0"/>
        <w:adjustRightInd w:val="0"/>
        <w:spacing w:before="40" w:after="40"/>
        <w:ind w:left="0" w:firstLine="0"/>
        <w:jc w:val="left"/>
        <w:textAlignment w:val="baseline"/>
        <w:rPr>
          <w:rFonts w:cs="Arial"/>
          <w:sz w:val="18"/>
          <w:szCs w:val="20"/>
        </w:rPr>
      </w:pPr>
    </w:p>
    <w:p w:rsidR="009C13A9" w:rsidRPr="00C903F8" w:rsidRDefault="009C13A9" w:rsidP="009C13A9">
      <w:pPr>
        <w:overflowPunct w:val="0"/>
        <w:adjustRightInd w:val="0"/>
        <w:ind w:left="0" w:firstLine="0"/>
        <w:jc w:val="left"/>
        <w:textAlignment w:val="baseline"/>
        <w:rPr>
          <w:rFonts w:cs="Arial"/>
          <w:szCs w:val="20"/>
        </w:rPr>
      </w:pPr>
    </w:p>
    <w:p w:rsidR="009C13A9" w:rsidRPr="00C903F8" w:rsidRDefault="009C13A9" w:rsidP="009C13A9">
      <w:pPr>
        <w:overflowPunct w:val="0"/>
        <w:adjustRightInd w:val="0"/>
        <w:ind w:left="0" w:firstLine="0"/>
        <w:jc w:val="left"/>
        <w:textAlignment w:val="baseline"/>
        <w:rPr>
          <w:rFonts w:cs="Arial"/>
          <w:szCs w:val="20"/>
          <w:lang w:val="en-US" w:eastAsia="de-DE"/>
        </w:rPr>
      </w:pPr>
      <w:r w:rsidRPr="00C903F8">
        <w:rPr>
          <w:rFonts w:cs="Arial"/>
          <w:szCs w:val="20"/>
          <w:lang w:val="en-US" w:eastAsia="de-DE"/>
        </w:rPr>
        <w:t xml:space="preserve">In the model, “AAA” represents the three digit code given by the competent authority assigning the </w:t>
      </w:r>
      <w:r w:rsidR="006D37CC" w:rsidRPr="00C903F8">
        <w:rPr>
          <w:rFonts w:cs="Arial"/>
          <w:szCs w:val="20"/>
          <w:lang w:val="en-US" w:eastAsia="de-DE"/>
        </w:rPr>
        <w:t xml:space="preserve">unique </w:t>
      </w:r>
      <w:r w:rsidRPr="00C903F8">
        <w:rPr>
          <w:rFonts w:cs="Arial"/>
          <w:szCs w:val="20"/>
          <w:lang w:val="en-US" w:eastAsia="de-DE"/>
        </w:rPr>
        <w:t>European vessel identification number according to the following number ranges:</w:t>
      </w:r>
    </w:p>
    <w:p w:rsidR="009C13A9" w:rsidRPr="00C903F8" w:rsidRDefault="009C13A9" w:rsidP="009C13A9">
      <w:pPr>
        <w:overflowPunct w:val="0"/>
        <w:adjustRightInd w:val="0"/>
        <w:ind w:left="0" w:firstLine="0"/>
        <w:jc w:val="left"/>
        <w:textAlignment w:val="baseline"/>
        <w:rPr>
          <w:rFonts w:cs="Arial"/>
          <w:szCs w:val="20"/>
          <w:lang w:val="en-US"/>
        </w:rPr>
      </w:pP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001 – 019</w:t>
      </w:r>
      <w:r w:rsidRPr="00C903F8">
        <w:rPr>
          <w:rFonts w:cs="Arial"/>
          <w:snapToGrid w:val="0"/>
          <w:szCs w:val="20"/>
          <w:lang w:val="en-US"/>
        </w:rPr>
        <w:tab/>
      </w:r>
      <w:r w:rsidRPr="00C903F8">
        <w:rPr>
          <w:rFonts w:cs="Arial"/>
          <w:noProof/>
          <w:snapToGrid w:val="0"/>
          <w:szCs w:val="20"/>
          <w:lang w:val="en-US"/>
        </w:rPr>
        <w:t>France</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020 – 039</w:t>
      </w:r>
      <w:r w:rsidRPr="00C903F8">
        <w:rPr>
          <w:rFonts w:cs="Arial"/>
          <w:snapToGrid w:val="0"/>
          <w:szCs w:val="20"/>
          <w:lang w:val="en-US"/>
        </w:rPr>
        <w:tab/>
      </w:r>
      <w:r w:rsidRPr="00C903F8">
        <w:rPr>
          <w:rFonts w:cs="Arial"/>
          <w:noProof/>
          <w:snapToGrid w:val="0"/>
          <w:szCs w:val="20"/>
          <w:lang w:val="en-US"/>
        </w:rPr>
        <w:t>Netherlands</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040 – 059</w:t>
      </w:r>
      <w:r w:rsidRPr="00C903F8">
        <w:rPr>
          <w:rFonts w:cs="Arial"/>
          <w:snapToGrid w:val="0"/>
          <w:szCs w:val="20"/>
          <w:lang w:val="en-US"/>
        </w:rPr>
        <w:tab/>
      </w:r>
      <w:r w:rsidRPr="00C903F8">
        <w:rPr>
          <w:rFonts w:cs="Arial"/>
          <w:noProof/>
          <w:snapToGrid w:val="0"/>
          <w:szCs w:val="20"/>
          <w:lang w:val="en-US"/>
        </w:rPr>
        <w:t>Germany</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060 – 069</w:t>
      </w:r>
      <w:r w:rsidRPr="00C903F8">
        <w:rPr>
          <w:rFonts w:cs="Arial"/>
          <w:snapToGrid w:val="0"/>
          <w:szCs w:val="20"/>
          <w:lang w:val="en-US"/>
        </w:rPr>
        <w:tab/>
      </w:r>
      <w:r w:rsidRPr="00C903F8">
        <w:rPr>
          <w:rFonts w:cs="Arial"/>
          <w:noProof/>
          <w:snapToGrid w:val="0"/>
          <w:szCs w:val="20"/>
          <w:lang w:val="en-US"/>
        </w:rPr>
        <w:t>Belgium</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070 – 079</w:t>
      </w:r>
      <w:r w:rsidRPr="00C903F8">
        <w:rPr>
          <w:rFonts w:cs="Arial"/>
          <w:snapToGrid w:val="0"/>
          <w:szCs w:val="20"/>
          <w:lang w:val="en-US"/>
        </w:rPr>
        <w:tab/>
      </w:r>
      <w:r w:rsidRPr="00C903F8">
        <w:rPr>
          <w:rFonts w:cs="Arial"/>
          <w:noProof/>
          <w:snapToGrid w:val="0"/>
          <w:szCs w:val="20"/>
          <w:lang w:val="en-US"/>
        </w:rPr>
        <w:t>Switzerland</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080 – 099</w:t>
      </w:r>
      <w:r w:rsidRPr="00C903F8">
        <w:rPr>
          <w:rFonts w:cs="Arial"/>
          <w:snapToGrid w:val="0"/>
          <w:szCs w:val="20"/>
          <w:lang w:val="en-US"/>
        </w:rPr>
        <w:tab/>
      </w:r>
      <w:r w:rsidRPr="00C903F8">
        <w:rPr>
          <w:rFonts w:cs="Arial"/>
          <w:noProof/>
          <w:snapToGrid w:val="0"/>
          <w:szCs w:val="20"/>
          <w:lang w:val="en-US"/>
        </w:rPr>
        <w:t xml:space="preserve">reserved for craft from countries that are not party to the Mannheim Convention and for which a Rhine Vessel Certificate has been issued before 1 April 2007. </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100 – 119</w:t>
      </w:r>
      <w:r w:rsidRPr="00C903F8">
        <w:rPr>
          <w:rFonts w:cs="Arial"/>
          <w:snapToGrid w:val="0"/>
          <w:szCs w:val="20"/>
          <w:lang w:val="en-US"/>
        </w:rPr>
        <w:tab/>
      </w:r>
      <w:r w:rsidRPr="00C903F8">
        <w:rPr>
          <w:noProof/>
          <w:lang w:val="en-US"/>
        </w:rPr>
        <w:t>Norway</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120 – 139</w:t>
      </w:r>
      <w:r w:rsidRPr="00C903F8">
        <w:rPr>
          <w:rFonts w:cs="Arial"/>
          <w:snapToGrid w:val="0"/>
          <w:szCs w:val="20"/>
          <w:lang w:val="en-US"/>
        </w:rPr>
        <w:tab/>
      </w:r>
      <w:r w:rsidRPr="00C903F8">
        <w:rPr>
          <w:noProof/>
          <w:lang w:val="en-US"/>
        </w:rPr>
        <w:t>Denmark</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140 – 159</w:t>
      </w:r>
      <w:r w:rsidRPr="00C903F8">
        <w:rPr>
          <w:rFonts w:cs="Arial"/>
          <w:snapToGrid w:val="0"/>
          <w:szCs w:val="20"/>
          <w:lang w:val="en-US"/>
        </w:rPr>
        <w:tab/>
      </w:r>
      <w:r w:rsidRPr="00C903F8">
        <w:rPr>
          <w:noProof/>
          <w:lang w:val="en-US"/>
        </w:rPr>
        <w:t>United Kingdom</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160 – 169</w:t>
      </w:r>
      <w:r w:rsidRPr="00C903F8">
        <w:rPr>
          <w:rFonts w:cs="Arial"/>
          <w:snapToGrid w:val="0"/>
          <w:szCs w:val="20"/>
          <w:lang w:val="en-US"/>
        </w:rPr>
        <w:tab/>
      </w:r>
      <w:r w:rsidRPr="00C903F8">
        <w:rPr>
          <w:noProof/>
          <w:lang w:val="en-US"/>
        </w:rPr>
        <w:t>Iceland</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170 – 179</w:t>
      </w:r>
      <w:r w:rsidRPr="00C903F8">
        <w:rPr>
          <w:rFonts w:cs="Arial"/>
          <w:snapToGrid w:val="0"/>
          <w:szCs w:val="20"/>
          <w:lang w:val="en-US"/>
        </w:rPr>
        <w:tab/>
      </w:r>
      <w:r w:rsidRPr="00C903F8">
        <w:rPr>
          <w:noProof/>
          <w:lang w:val="en-US"/>
        </w:rPr>
        <w:t>Ireland</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9879C7">
        <w:rPr>
          <w:rFonts w:cs="Arial"/>
          <w:snapToGrid w:val="0"/>
          <w:szCs w:val="20"/>
          <w:lang w:val="en-US"/>
        </w:rPr>
        <w:t>180 – 189</w:t>
      </w:r>
      <w:r w:rsidRPr="009879C7">
        <w:rPr>
          <w:rFonts w:cs="Arial"/>
          <w:snapToGrid w:val="0"/>
          <w:szCs w:val="20"/>
          <w:lang w:val="en-US"/>
        </w:rPr>
        <w:tab/>
      </w:r>
      <w:r w:rsidRPr="009879C7">
        <w:rPr>
          <w:rFonts w:cs="Arial"/>
          <w:noProof/>
          <w:snapToGrid w:val="0"/>
          <w:szCs w:val="20"/>
          <w:lang w:val="en-US"/>
        </w:rPr>
        <w:t>Portugal</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9879C7">
        <w:rPr>
          <w:rFonts w:cs="Arial"/>
          <w:snapToGrid w:val="0"/>
          <w:szCs w:val="20"/>
          <w:lang w:val="en-US"/>
        </w:rPr>
        <w:t>190 – 199</w:t>
      </w:r>
      <w:r w:rsidRPr="009879C7">
        <w:rPr>
          <w:rFonts w:cs="Arial"/>
          <w:snapToGrid w:val="0"/>
          <w:szCs w:val="20"/>
          <w:lang w:val="en-US"/>
        </w:rPr>
        <w:tab/>
        <w:t>reserved</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9879C7">
        <w:rPr>
          <w:rFonts w:cs="Arial"/>
          <w:snapToGrid w:val="0"/>
          <w:szCs w:val="20"/>
          <w:lang w:val="en-US"/>
        </w:rPr>
        <w:t>200 – 219</w:t>
      </w:r>
      <w:r w:rsidRPr="009879C7">
        <w:rPr>
          <w:rFonts w:cs="Arial"/>
          <w:snapToGrid w:val="0"/>
          <w:szCs w:val="20"/>
          <w:lang w:val="en-US"/>
        </w:rPr>
        <w:tab/>
      </w:r>
      <w:r w:rsidRPr="009879C7">
        <w:rPr>
          <w:rFonts w:cs="Arial"/>
          <w:noProof/>
          <w:snapToGrid w:val="0"/>
          <w:szCs w:val="20"/>
          <w:lang w:val="en-US"/>
        </w:rPr>
        <w:t>Luxembourg</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9879C7">
        <w:rPr>
          <w:rFonts w:cs="Arial"/>
          <w:snapToGrid w:val="0"/>
          <w:szCs w:val="20"/>
          <w:lang w:val="en-US"/>
        </w:rPr>
        <w:t>220 – 239</w:t>
      </w:r>
      <w:r w:rsidRPr="009879C7">
        <w:rPr>
          <w:rFonts w:cs="Arial"/>
          <w:snapToGrid w:val="0"/>
          <w:szCs w:val="20"/>
          <w:lang w:val="en-US"/>
        </w:rPr>
        <w:tab/>
      </w:r>
      <w:r w:rsidRPr="009879C7">
        <w:rPr>
          <w:rFonts w:cs="Arial"/>
          <w:noProof/>
          <w:snapToGrid w:val="0"/>
          <w:szCs w:val="20"/>
          <w:lang w:val="en-US"/>
        </w:rPr>
        <w:t>Finland</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9879C7">
        <w:rPr>
          <w:rFonts w:cs="Arial"/>
          <w:snapToGrid w:val="0"/>
          <w:szCs w:val="20"/>
          <w:lang w:val="en-US"/>
        </w:rPr>
        <w:t>240 – 259</w:t>
      </w:r>
      <w:r w:rsidRPr="009879C7">
        <w:rPr>
          <w:rFonts w:cs="Arial"/>
          <w:snapToGrid w:val="0"/>
          <w:szCs w:val="20"/>
          <w:lang w:val="en-US"/>
        </w:rPr>
        <w:tab/>
      </w:r>
      <w:r w:rsidRPr="009879C7">
        <w:rPr>
          <w:rFonts w:cs="Arial"/>
          <w:noProof/>
          <w:snapToGrid w:val="0"/>
          <w:szCs w:val="20"/>
          <w:lang w:val="en-US"/>
        </w:rPr>
        <w:t>Poland</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9879C7">
        <w:rPr>
          <w:rFonts w:cs="Arial"/>
          <w:snapToGrid w:val="0"/>
          <w:szCs w:val="20"/>
          <w:lang w:val="en-US"/>
        </w:rPr>
        <w:t>260 – 269</w:t>
      </w:r>
      <w:r w:rsidRPr="009879C7">
        <w:rPr>
          <w:rFonts w:cs="Arial"/>
          <w:snapToGrid w:val="0"/>
          <w:szCs w:val="20"/>
          <w:lang w:val="en-US"/>
        </w:rPr>
        <w:tab/>
      </w:r>
      <w:r w:rsidRPr="009879C7">
        <w:rPr>
          <w:rFonts w:cs="Arial"/>
          <w:noProof/>
          <w:snapToGrid w:val="0"/>
          <w:szCs w:val="20"/>
          <w:lang w:val="en-US"/>
        </w:rPr>
        <w:t>Estonia</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270 – 279</w:t>
      </w:r>
      <w:r w:rsidRPr="00C903F8">
        <w:rPr>
          <w:rFonts w:cs="Arial"/>
          <w:snapToGrid w:val="0"/>
          <w:szCs w:val="20"/>
          <w:lang w:val="en-US"/>
        </w:rPr>
        <w:tab/>
      </w:r>
      <w:r w:rsidRPr="00C903F8">
        <w:rPr>
          <w:rFonts w:cs="Arial"/>
          <w:noProof/>
          <w:snapToGrid w:val="0"/>
          <w:szCs w:val="20"/>
          <w:lang w:val="en-US"/>
        </w:rPr>
        <w:t>Lithuania</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280 – 289</w:t>
      </w:r>
      <w:r w:rsidRPr="00C903F8">
        <w:rPr>
          <w:rFonts w:cs="Arial"/>
          <w:snapToGrid w:val="0"/>
          <w:szCs w:val="20"/>
          <w:lang w:val="en-US"/>
        </w:rPr>
        <w:tab/>
      </w:r>
      <w:r w:rsidRPr="00C903F8">
        <w:rPr>
          <w:rFonts w:cs="Arial"/>
          <w:noProof/>
          <w:snapToGrid w:val="0"/>
          <w:szCs w:val="20"/>
          <w:lang w:val="en-US"/>
        </w:rPr>
        <w:t>Latvia</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290 – 299</w:t>
      </w:r>
      <w:r w:rsidRPr="00C903F8">
        <w:rPr>
          <w:rFonts w:cs="Arial"/>
          <w:snapToGrid w:val="0"/>
          <w:szCs w:val="20"/>
          <w:lang w:val="en-US"/>
        </w:rPr>
        <w:tab/>
      </w:r>
      <w:r w:rsidRPr="00C903F8">
        <w:rPr>
          <w:rFonts w:cs="Arial"/>
          <w:noProof/>
          <w:snapToGrid w:val="0"/>
          <w:szCs w:val="20"/>
          <w:lang w:val="en-US"/>
        </w:rPr>
        <w:t>reserved</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300 – 309</w:t>
      </w:r>
      <w:r w:rsidRPr="00C903F8">
        <w:rPr>
          <w:rFonts w:cs="Arial"/>
          <w:snapToGrid w:val="0"/>
          <w:szCs w:val="20"/>
          <w:lang w:val="en-US"/>
        </w:rPr>
        <w:tab/>
      </w:r>
      <w:r w:rsidRPr="00C903F8">
        <w:rPr>
          <w:rFonts w:cs="Arial"/>
          <w:noProof/>
          <w:snapToGrid w:val="0"/>
          <w:szCs w:val="20"/>
          <w:lang w:val="en-US"/>
        </w:rPr>
        <w:t>Austria</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310 – 319</w:t>
      </w:r>
      <w:r w:rsidRPr="00C903F8">
        <w:rPr>
          <w:rFonts w:cs="Arial"/>
          <w:snapToGrid w:val="0"/>
          <w:szCs w:val="20"/>
          <w:lang w:val="en-US"/>
        </w:rPr>
        <w:tab/>
      </w:r>
      <w:r w:rsidRPr="00C903F8">
        <w:rPr>
          <w:rFonts w:cs="Arial"/>
          <w:noProof/>
          <w:snapToGrid w:val="0"/>
          <w:szCs w:val="20"/>
          <w:lang w:val="en-US"/>
        </w:rPr>
        <w:t>Liechtenstein</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320 – 329</w:t>
      </w:r>
      <w:r w:rsidRPr="00C903F8">
        <w:rPr>
          <w:rFonts w:cs="Arial"/>
          <w:snapToGrid w:val="0"/>
          <w:szCs w:val="20"/>
          <w:lang w:val="en-US"/>
        </w:rPr>
        <w:tab/>
      </w:r>
      <w:r w:rsidRPr="00C903F8">
        <w:rPr>
          <w:rFonts w:cs="Arial"/>
          <w:noProof/>
          <w:snapToGrid w:val="0"/>
          <w:szCs w:val="20"/>
          <w:lang w:val="en-US"/>
        </w:rPr>
        <w:t>Czech Republic</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330 – 339</w:t>
      </w:r>
      <w:r w:rsidRPr="00C903F8">
        <w:rPr>
          <w:rFonts w:cs="Arial"/>
          <w:snapToGrid w:val="0"/>
          <w:szCs w:val="20"/>
          <w:lang w:val="en-US"/>
        </w:rPr>
        <w:tab/>
      </w:r>
      <w:r w:rsidRPr="00C903F8">
        <w:rPr>
          <w:noProof/>
          <w:lang w:val="en-US"/>
        </w:rPr>
        <w:t>Slovakia</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340 – 349</w:t>
      </w:r>
      <w:r w:rsidRPr="00C903F8">
        <w:rPr>
          <w:rFonts w:cs="Arial"/>
          <w:snapToGrid w:val="0"/>
          <w:szCs w:val="20"/>
          <w:lang w:val="en-US"/>
        </w:rPr>
        <w:tab/>
      </w:r>
      <w:r w:rsidRPr="00C903F8">
        <w:rPr>
          <w:rFonts w:cs="Arial"/>
          <w:noProof/>
          <w:snapToGrid w:val="0"/>
          <w:szCs w:val="20"/>
          <w:lang w:val="en-US"/>
        </w:rPr>
        <w:t>reserved</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350 – 359</w:t>
      </w:r>
      <w:r w:rsidRPr="00C903F8">
        <w:rPr>
          <w:rFonts w:cs="Arial"/>
          <w:snapToGrid w:val="0"/>
          <w:szCs w:val="20"/>
          <w:lang w:val="en-US"/>
        </w:rPr>
        <w:tab/>
      </w:r>
      <w:r w:rsidRPr="00C903F8">
        <w:rPr>
          <w:rFonts w:cs="Arial"/>
          <w:noProof/>
          <w:snapToGrid w:val="0"/>
          <w:szCs w:val="20"/>
          <w:lang w:val="en-US"/>
        </w:rPr>
        <w:t>Croatia</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360 – 369</w:t>
      </w:r>
      <w:r w:rsidRPr="00C903F8">
        <w:rPr>
          <w:rFonts w:cs="Arial"/>
          <w:snapToGrid w:val="0"/>
          <w:szCs w:val="20"/>
          <w:lang w:val="en-US"/>
        </w:rPr>
        <w:tab/>
      </w:r>
      <w:r w:rsidRPr="00C903F8">
        <w:rPr>
          <w:rFonts w:cs="Arial"/>
          <w:noProof/>
          <w:snapToGrid w:val="0"/>
          <w:szCs w:val="20"/>
          <w:lang w:val="en-US"/>
        </w:rPr>
        <w:t>Serbia</w:t>
      </w:r>
    </w:p>
    <w:p w:rsidR="009C13A9" w:rsidRPr="00C903F8" w:rsidRDefault="009C13A9" w:rsidP="009C13A9">
      <w:pPr>
        <w:tabs>
          <w:tab w:val="left" w:pos="1418"/>
        </w:tabs>
        <w:overflowPunct w:val="0"/>
        <w:adjustRightInd w:val="0"/>
        <w:spacing w:line="240" w:lineRule="atLeast"/>
        <w:ind w:left="1418" w:hanging="1418"/>
        <w:textAlignment w:val="baseline"/>
        <w:rPr>
          <w:rFonts w:cs="Arial"/>
          <w:noProof/>
          <w:snapToGrid w:val="0"/>
          <w:szCs w:val="20"/>
          <w:lang w:val="en-US"/>
        </w:rPr>
      </w:pPr>
      <w:r w:rsidRPr="00C903F8">
        <w:rPr>
          <w:rFonts w:cs="Arial"/>
          <w:snapToGrid w:val="0"/>
          <w:szCs w:val="20"/>
          <w:lang w:val="en-US"/>
        </w:rPr>
        <w:t>370 – 379</w:t>
      </w:r>
      <w:r w:rsidRPr="00C903F8">
        <w:rPr>
          <w:rFonts w:cs="Arial"/>
          <w:snapToGrid w:val="0"/>
          <w:szCs w:val="20"/>
          <w:lang w:val="en-US"/>
        </w:rPr>
        <w:tab/>
      </w:r>
      <w:r w:rsidRPr="00C903F8">
        <w:rPr>
          <w:rFonts w:cs="Arial"/>
          <w:noProof/>
          <w:snapToGrid w:val="0"/>
          <w:szCs w:val="20"/>
          <w:lang w:val="en-US"/>
        </w:rPr>
        <w:t>Bosnia and Herzegovina</w:t>
      </w:r>
    </w:p>
    <w:p w:rsidR="009C13A9" w:rsidRPr="00C903F8" w:rsidRDefault="009C13A9" w:rsidP="009C13A9">
      <w:pPr>
        <w:tabs>
          <w:tab w:val="left" w:pos="1134"/>
        </w:tabs>
        <w:overflowPunct w:val="0"/>
        <w:adjustRightInd w:val="0"/>
        <w:ind w:left="1134" w:hanging="1134"/>
        <w:textAlignment w:val="baseline"/>
        <w:rPr>
          <w:rFonts w:cs="Arial"/>
          <w:snapToGrid w:val="0"/>
          <w:szCs w:val="20"/>
          <w:lang w:val="en-US"/>
        </w:rPr>
      </w:pPr>
    </w:p>
    <w:p w:rsidR="009C13A9" w:rsidRPr="00C903F8" w:rsidRDefault="009C13A9" w:rsidP="009C13A9">
      <w:pPr>
        <w:tabs>
          <w:tab w:val="left" w:pos="1134"/>
        </w:tabs>
        <w:overflowPunct w:val="0"/>
        <w:adjustRightInd w:val="0"/>
        <w:ind w:left="1134" w:hanging="1134"/>
        <w:textAlignment w:val="baseline"/>
        <w:rPr>
          <w:rFonts w:cs="Arial"/>
          <w:snapToGrid w:val="0"/>
          <w:szCs w:val="20"/>
          <w:lang w:val="en-US"/>
        </w:rPr>
      </w:pPr>
      <w:r w:rsidRPr="00C903F8">
        <w:rPr>
          <w:rFonts w:cs="Arial"/>
          <w:snapToGrid w:val="0"/>
          <w:szCs w:val="20"/>
          <w:lang w:val="en-US"/>
        </w:rPr>
        <w:br w:type="page"/>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lastRenderedPageBreak/>
        <w:t>380 – 399</w:t>
      </w:r>
      <w:r w:rsidRPr="00C903F8">
        <w:rPr>
          <w:rFonts w:cs="Arial"/>
          <w:snapToGrid w:val="0"/>
          <w:szCs w:val="20"/>
          <w:lang w:val="en-US"/>
        </w:rPr>
        <w:tab/>
      </w:r>
      <w:r w:rsidRPr="00C903F8">
        <w:rPr>
          <w:rFonts w:cs="Arial"/>
          <w:noProof/>
          <w:snapToGrid w:val="0"/>
          <w:szCs w:val="20"/>
          <w:lang w:val="en-US"/>
        </w:rPr>
        <w:t>Hungary</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400 – 419</w:t>
      </w:r>
      <w:r w:rsidRPr="00C903F8">
        <w:rPr>
          <w:rFonts w:cs="Arial"/>
          <w:snapToGrid w:val="0"/>
          <w:szCs w:val="20"/>
          <w:lang w:val="en-US"/>
        </w:rPr>
        <w:tab/>
      </w:r>
      <w:r w:rsidRPr="00C903F8">
        <w:rPr>
          <w:rFonts w:cs="Arial"/>
          <w:noProof/>
          <w:snapToGrid w:val="0"/>
          <w:szCs w:val="20"/>
          <w:lang w:val="en-US"/>
        </w:rPr>
        <w:t>Russian Federation</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420 – 439</w:t>
      </w:r>
      <w:r w:rsidRPr="00C903F8">
        <w:rPr>
          <w:rFonts w:cs="Arial"/>
          <w:snapToGrid w:val="0"/>
          <w:szCs w:val="20"/>
          <w:lang w:val="en-US"/>
        </w:rPr>
        <w:tab/>
      </w:r>
      <w:r w:rsidRPr="00C903F8">
        <w:rPr>
          <w:rFonts w:cs="Arial"/>
          <w:noProof/>
          <w:snapToGrid w:val="0"/>
          <w:szCs w:val="20"/>
          <w:lang w:val="en-US"/>
        </w:rPr>
        <w:t>Ukraine</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440 – 449</w:t>
      </w:r>
      <w:r w:rsidRPr="00C903F8">
        <w:rPr>
          <w:rFonts w:cs="Arial"/>
          <w:snapToGrid w:val="0"/>
          <w:szCs w:val="20"/>
          <w:lang w:val="en-US"/>
        </w:rPr>
        <w:tab/>
      </w:r>
      <w:r w:rsidRPr="00C903F8">
        <w:rPr>
          <w:noProof/>
          <w:lang w:val="en-US"/>
        </w:rPr>
        <w:t>Belarus</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450 – 459</w:t>
      </w:r>
      <w:r w:rsidRPr="00C903F8">
        <w:rPr>
          <w:rFonts w:cs="Arial"/>
          <w:snapToGrid w:val="0"/>
          <w:szCs w:val="20"/>
          <w:lang w:val="en-US"/>
        </w:rPr>
        <w:tab/>
      </w:r>
      <w:r w:rsidRPr="00C903F8">
        <w:rPr>
          <w:noProof/>
          <w:lang w:val="en-US"/>
        </w:rPr>
        <w:t>Republic of Moldova</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460 – 469</w:t>
      </w:r>
      <w:r w:rsidRPr="00C903F8">
        <w:rPr>
          <w:rFonts w:cs="Arial"/>
          <w:snapToGrid w:val="0"/>
          <w:szCs w:val="20"/>
          <w:lang w:val="en-US"/>
        </w:rPr>
        <w:tab/>
      </w:r>
      <w:r w:rsidRPr="00C903F8">
        <w:rPr>
          <w:noProof/>
          <w:lang w:val="en-US"/>
        </w:rPr>
        <w:t>Romania</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470 – 479</w:t>
      </w:r>
      <w:r w:rsidRPr="00C903F8">
        <w:rPr>
          <w:rFonts w:cs="Arial"/>
          <w:snapToGrid w:val="0"/>
          <w:szCs w:val="20"/>
          <w:lang w:val="en-US"/>
        </w:rPr>
        <w:tab/>
      </w:r>
      <w:r w:rsidRPr="00C903F8">
        <w:rPr>
          <w:noProof/>
          <w:lang w:val="en-US"/>
        </w:rPr>
        <w:t>Bulgaria</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480 – 489</w:t>
      </w:r>
      <w:r w:rsidRPr="00C903F8">
        <w:rPr>
          <w:rFonts w:cs="Arial"/>
          <w:snapToGrid w:val="0"/>
          <w:szCs w:val="20"/>
          <w:lang w:val="en-US"/>
        </w:rPr>
        <w:tab/>
      </w:r>
      <w:r w:rsidRPr="00C903F8">
        <w:rPr>
          <w:noProof/>
          <w:lang w:val="en-US"/>
        </w:rPr>
        <w:t>Georgia</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490 – 499</w:t>
      </w:r>
      <w:r w:rsidRPr="00C903F8">
        <w:rPr>
          <w:rFonts w:cs="Arial"/>
          <w:snapToGrid w:val="0"/>
          <w:szCs w:val="20"/>
          <w:lang w:val="en-US"/>
        </w:rPr>
        <w:tab/>
      </w:r>
      <w:r w:rsidRPr="00C903F8">
        <w:rPr>
          <w:rFonts w:cs="Arial"/>
          <w:noProof/>
          <w:snapToGrid w:val="0"/>
          <w:szCs w:val="20"/>
          <w:lang w:val="en-US"/>
        </w:rPr>
        <w:t>reserved</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500 – 519</w:t>
      </w:r>
      <w:r w:rsidRPr="00C903F8">
        <w:rPr>
          <w:rFonts w:cs="Arial"/>
          <w:snapToGrid w:val="0"/>
          <w:szCs w:val="20"/>
          <w:lang w:val="en-US"/>
        </w:rPr>
        <w:tab/>
      </w:r>
      <w:r w:rsidRPr="00C903F8">
        <w:rPr>
          <w:noProof/>
          <w:lang w:val="en-US"/>
        </w:rPr>
        <w:t>Turkey</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520 – 539</w:t>
      </w:r>
      <w:r w:rsidRPr="00C903F8">
        <w:rPr>
          <w:rFonts w:cs="Arial"/>
          <w:snapToGrid w:val="0"/>
          <w:szCs w:val="20"/>
          <w:lang w:val="en-US"/>
        </w:rPr>
        <w:tab/>
      </w:r>
      <w:r w:rsidRPr="00C903F8">
        <w:rPr>
          <w:noProof/>
          <w:lang w:val="en-US"/>
        </w:rPr>
        <w:t>Greece</w:t>
      </w:r>
      <w:r w:rsidRPr="00C903F8">
        <w:rPr>
          <w:rFonts w:cs="Arial"/>
          <w:snapToGrid w:val="0"/>
          <w:szCs w:val="20"/>
          <w:lang w:val="en-US"/>
        </w:rPr>
        <w:t xml:space="preserve"> </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540 – 549</w:t>
      </w:r>
      <w:r w:rsidRPr="00C903F8">
        <w:rPr>
          <w:rFonts w:cs="Arial"/>
          <w:snapToGrid w:val="0"/>
          <w:szCs w:val="20"/>
          <w:lang w:val="en-US"/>
        </w:rPr>
        <w:tab/>
      </w:r>
      <w:r w:rsidRPr="00C903F8">
        <w:rPr>
          <w:noProof/>
          <w:lang w:val="en-US"/>
        </w:rPr>
        <w:t>Cyprus</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550 – 559</w:t>
      </w:r>
      <w:r w:rsidRPr="00C903F8">
        <w:rPr>
          <w:rFonts w:cs="Arial"/>
          <w:snapToGrid w:val="0"/>
          <w:szCs w:val="20"/>
          <w:lang w:val="en-US"/>
        </w:rPr>
        <w:tab/>
      </w:r>
      <w:r w:rsidRPr="00C903F8">
        <w:rPr>
          <w:noProof/>
          <w:lang w:val="en-US"/>
        </w:rPr>
        <w:t>Albania</w:t>
      </w:r>
      <w:r w:rsidRPr="00C903F8">
        <w:rPr>
          <w:rFonts w:cs="Arial"/>
          <w:snapToGrid w:val="0"/>
          <w:szCs w:val="20"/>
          <w:lang w:val="en-US"/>
        </w:rPr>
        <w:t xml:space="preserve"> </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560 – 569</w:t>
      </w:r>
      <w:r w:rsidRPr="00C903F8">
        <w:rPr>
          <w:rFonts w:cs="Arial"/>
          <w:snapToGrid w:val="0"/>
          <w:szCs w:val="20"/>
          <w:lang w:val="en-US"/>
        </w:rPr>
        <w:tab/>
      </w:r>
      <w:r w:rsidRPr="00C903F8">
        <w:rPr>
          <w:noProof/>
          <w:lang w:val="en-US"/>
        </w:rPr>
        <w:t>former Yugoslav Republic of Macedonia</w:t>
      </w:r>
      <w:r w:rsidRPr="00C903F8">
        <w:rPr>
          <w:rFonts w:cs="Arial"/>
          <w:snapToGrid w:val="0"/>
          <w:szCs w:val="20"/>
          <w:lang w:val="en-US"/>
        </w:rPr>
        <w:t xml:space="preserve"> </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s-419"/>
        </w:rPr>
      </w:pPr>
      <w:r w:rsidRPr="009879C7">
        <w:rPr>
          <w:rFonts w:cs="Arial"/>
          <w:snapToGrid w:val="0"/>
          <w:szCs w:val="20"/>
          <w:lang w:val="es-419"/>
        </w:rPr>
        <w:t>570 – 579</w:t>
      </w:r>
      <w:r w:rsidRPr="009879C7">
        <w:rPr>
          <w:rFonts w:cs="Arial"/>
          <w:snapToGrid w:val="0"/>
          <w:szCs w:val="20"/>
          <w:lang w:val="es-419"/>
        </w:rPr>
        <w:tab/>
      </w:r>
      <w:r w:rsidRPr="009879C7">
        <w:rPr>
          <w:rFonts w:cs="Arial"/>
          <w:noProof/>
          <w:snapToGrid w:val="0"/>
          <w:szCs w:val="20"/>
          <w:lang w:val="es-419"/>
        </w:rPr>
        <w:t>Slovenia</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s-419"/>
        </w:rPr>
      </w:pPr>
      <w:r w:rsidRPr="009879C7">
        <w:rPr>
          <w:rFonts w:cs="Arial"/>
          <w:snapToGrid w:val="0"/>
          <w:szCs w:val="20"/>
          <w:lang w:val="es-419"/>
        </w:rPr>
        <w:t>580 – 589</w:t>
      </w:r>
      <w:r w:rsidRPr="009879C7">
        <w:rPr>
          <w:rFonts w:cs="Arial"/>
          <w:snapToGrid w:val="0"/>
          <w:szCs w:val="20"/>
          <w:lang w:val="es-419"/>
        </w:rPr>
        <w:tab/>
      </w:r>
      <w:r w:rsidRPr="009879C7">
        <w:rPr>
          <w:rFonts w:cs="Arial"/>
          <w:noProof/>
          <w:snapToGrid w:val="0"/>
          <w:szCs w:val="20"/>
          <w:lang w:val="es-419"/>
        </w:rPr>
        <w:t>Montenegro</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s-419"/>
        </w:rPr>
      </w:pPr>
      <w:r w:rsidRPr="009879C7">
        <w:rPr>
          <w:rFonts w:cs="Arial"/>
          <w:snapToGrid w:val="0"/>
          <w:szCs w:val="20"/>
          <w:lang w:val="es-419"/>
        </w:rPr>
        <w:t>590 – 599</w:t>
      </w:r>
      <w:r w:rsidRPr="009879C7">
        <w:rPr>
          <w:rFonts w:cs="Arial"/>
          <w:snapToGrid w:val="0"/>
          <w:szCs w:val="20"/>
          <w:lang w:val="es-419"/>
        </w:rPr>
        <w:tab/>
      </w:r>
      <w:r w:rsidRPr="009879C7">
        <w:rPr>
          <w:rFonts w:cs="Arial"/>
          <w:noProof/>
          <w:snapToGrid w:val="0"/>
          <w:szCs w:val="20"/>
          <w:lang w:val="es-419"/>
        </w:rPr>
        <w:t>reserved</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s-419"/>
        </w:rPr>
      </w:pPr>
      <w:r w:rsidRPr="009879C7">
        <w:rPr>
          <w:rFonts w:cs="Arial"/>
          <w:snapToGrid w:val="0"/>
          <w:szCs w:val="20"/>
          <w:lang w:val="es-419"/>
        </w:rPr>
        <w:t>600 – 619</w:t>
      </w:r>
      <w:r w:rsidRPr="009879C7">
        <w:rPr>
          <w:rFonts w:cs="Arial"/>
          <w:snapToGrid w:val="0"/>
          <w:szCs w:val="20"/>
          <w:lang w:val="es-419"/>
        </w:rPr>
        <w:tab/>
      </w:r>
      <w:r w:rsidRPr="009879C7">
        <w:rPr>
          <w:rFonts w:cs="Arial"/>
          <w:noProof/>
          <w:snapToGrid w:val="0"/>
          <w:szCs w:val="20"/>
          <w:lang w:val="es-419"/>
        </w:rPr>
        <w:t>Italia</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s-419"/>
        </w:rPr>
      </w:pPr>
      <w:r w:rsidRPr="009879C7">
        <w:rPr>
          <w:rFonts w:cs="Arial"/>
          <w:snapToGrid w:val="0"/>
          <w:szCs w:val="20"/>
          <w:lang w:val="es-419"/>
        </w:rPr>
        <w:t>620 – 639</w:t>
      </w:r>
      <w:r w:rsidRPr="009879C7">
        <w:rPr>
          <w:rFonts w:cs="Arial"/>
          <w:snapToGrid w:val="0"/>
          <w:szCs w:val="20"/>
          <w:lang w:val="es-419"/>
        </w:rPr>
        <w:tab/>
        <w:t>Spain</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s-419"/>
        </w:rPr>
      </w:pPr>
      <w:r w:rsidRPr="009879C7">
        <w:rPr>
          <w:rFonts w:cs="Arial"/>
          <w:snapToGrid w:val="0"/>
          <w:szCs w:val="20"/>
          <w:lang w:val="es-419"/>
        </w:rPr>
        <w:t>640 – 649</w:t>
      </w:r>
      <w:r w:rsidRPr="009879C7">
        <w:rPr>
          <w:rFonts w:cs="Arial"/>
          <w:snapToGrid w:val="0"/>
          <w:szCs w:val="20"/>
          <w:lang w:val="es-419"/>
        </w:rPr>
        <w:tab/>
      </w:r>
      <w:r w:rsidRPr="009879C7">
        <w:rPr>
          <w:noProof/>
          <w:lang w:val="es-419"/>
        </w:rPr>
        <w:t>Andorra</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s-419"/>
        </w:rPr>
      </w:pPr>
      <w:r w:rsidRPr="009879C7">
        <w:rPr>
          <w:rFonts w:cs="Arial"/>
          <w:snapToGrid w:val="0"/>
          <w:szCs w:val="20"/>
          <w:lang w:val="es-419"/>
        </w:rPr>
        <w:t>650 – 659</w:t>
      </w:r>
      <w:r w:rsidRPr="009879C7">
        <w:rPr>
          <w:rFonts w:cs="Arial"/>
          <w:snapToGrid w:val="0"/>
          <w:szCs w:val="20"/>
          <w:lang w:val="es-419"/>
        </w:rPr>
        <w:tab/>
      </w:r>
      <w:r w:rsidRPr="009879C7">
        <w:rPr>
          <w:rFonts w:cs="Arial"/>
          <w:noProof/>
          <w:snapToGrid w:val="0"/>
          <w:szCs w:val="20"/>
          <w:lang w:val="es-419"/>
        </w:rPr>
        <w:t>Malta</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s-419"/>
        </w:rPr>
      </w:pPr>
      <w:r w:rsidRPr="009879C7">
        <w:rPr>
          <w:rFonts w:cs="Arial"/>
          <w:snapToGrid w:val="0"/>
          <w:szCs w:val="20"/>
          <w:lang w:val="es-419"/>
        </w:rPr>
        <w:t>660 – 669</w:t>
      </w:r>
      <w:r w:rsidRPr="009879C7">
        <w:rPr>
          <w:rFonts w:cs="Arial"/>
          <w:snapToGrid w:val="0"/>
          <w:szCs w:val="20"/>
          <w:lang w:val="es-419"/>
        </w:rPr>
        <w:tab/>
      </w:r>
      <w:r w:rsidRPr="009879C7">
        <w:rPr>
          <w:rFonts w:cs="Arial"/>
          <w:noProof/>
          <w:snapToGrid w:val="0"/>
          <w:szCs w:val="20"/>
          <w:lang w:val="es-419"/>
        </w:rPr>
        <w:t>Monaco</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670 – 679</w:t>
      </w:r>
      <w:r w:rsidRPr="00C903F8">
        <w:rPr>
          <w:rFonts w:cs="Arial"/>
          <w:snapToGrid w:val="0"/>
          <w:szCs w:val="20"/>
          <w:lang w:val="en-US"/>
        </w:rPr>
        <w:tab/>
      </w:r>
      <w:r w:rsidRPr="00C903F8">
        <w:rPr>
          <w:rFonts w:cs="Arial"/>
          <w:noProof/>
          <w:snapToGrid w:val="0"/>
          <w:szCs w:val="20"/>
          <w:lang w:val="en-US"/>
        </w:rPr>
        <w:t>San Marino</w:t>
      </w:r>
    </w:p>
    <w:p w:rsidR="009C13A9" w:rsidRPr="00C903F8" w:rsidRDefault="009C13A9" w:rsidP="009C13A9">
      <w:pPr>
        <w:tabs>
          <w:tab w:val="left" w:pos="1418"/>
        </w:tabs>
        <w:overflowPunct w:val="0"/>
        <w:adjustRightInd w:val="0"/>
        <w:spacing w:line="240" w:lineRule="atLeast"/>
        <w:ind w:left="1418" w:hanging="1418"/>
        <w:textAlignment w:val="baseline"/>
        <w:rPr>
          <w:rFonts w:cs="Arial"/>
          <w:noProof/>
          <w:snapToGrid w:val="0"/>
          <w:szCs w:val="20"/>
          <w:lang w:val="en-US"/>
        </w:rPr>
      </w:pPr>
      <w:r w:rsidRPr="00C903F8">
        <w:rPr>
          <w:rFonts w:cs="Arial"/>
          <w:snapToGrid w:val="0"/>
          <w:szCs w:val="20"/>
          <w:lang w:val="en-US"/>
        </w:rPr>
        <w:t>680 – 699</w:t>
      </w:r>
      <w:r w:rsidRPr="00C903F8">
        <w:rPr>
          <w:rFonts w:cs="Arial"/>
          <w:snapToGrid w:val="0"/>
          <w:szCs w:val="20"/>
          <w:lang w:val="en-US"/>
        </w:rPr>
        <w:tab/>
      </w:r>
      <w:r w:rsidRPr="00C903F8">
        <w:rPr>
          <w:rFonts w:cs="Arial"/>
          <w:noProof/>
          <w:snapToGrid w:val="0"/>
          <w:szCs w:val="20"/>
          <w:lang w:val="en-US"/>
        </w:rPr>
        <w:t>reserved</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noProof/>
          <w:snapToGrid w:val="0"/>
          <w:szCs w:val="20"/>
          <w:lang w:val="en-US"/>
        </w:rPr>
        <w:t>700 – 719</w:t>
      </w:r>
      <w:r w:rsidRPr="00C903F8">
        <w:rPr>
          <w:rFonts w:cs="Arial"/>
          <w:snapToGrid w:val="0"/>
          <w:szCs w:val="20"/>
          <w:lang w:val="en-US"/>
        </w:rPr>
        <w:tab/>
      </w:r>
      <w:r w:rsidRPr="00C903F8">
        <w:rPr>
          <w:rFonts w:cs="Arial"/>
          <w:noProof/>
          <w:snapToGrid w:val="0"/>
          <w:szCs w:val="20"/>
          <w:lang w:val="en-US"/>
        </w:rPr>
        <w:t>Sweden</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720 – 739</w:t>
      </w:r>
      <w:r w:rsidRPr="00C903F8">
        <w:rPr>
          <w:rFonts w:cs="Arial"/>
          <w:snapToGrid w:val="0"/>
          <w:szCs w:val="20"/>
          <w:lang w:val="en-US"/>
        </w:rPr>
        <w:tab/>
      </w:r>
      <w:r w:rsidRPr="00C903F8">
        <w:rPr>
          <w:rFonts w:cs="Arial"/>
          <w:noProof/>
          <w:snapToGrid w:val="0"/>
          <w:szCs w:val="20"/>
          <w:lang w:val="en-US"/>
        </w:rPr>
        <w:t>Canada</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740 – 759</w:t>
      </w:r>
      <w:r w:rsidRPr="00C903F8">
        <w:rPr>
          <w:rFonts w:cs="Arial"/>
          <w:snapToGrid w:val="0"/>
          <w:szCs w:val="20"/>
          <w:lang w:val="en-US"/>
        </w:rPr>
        <w:tab/>
      </w:r>
      <w:r w:rsidRPr="00C903F8">
        <w:rPr>
          <w:rFonts w:cs="Arial"/>
          <w:noProof/>
          <w:snapToGrid w:val="0"/>
          <w:szCs w:val="20"/>
          <w:lang w:val="en-US"/>
        </w:rPr>
        <w:t>United States of America</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s-419"/>
        </w:rPr>
      </w:pPr>
      <w:r w:rsidRPr="009879C7">
        <w:rPr>
          <w:rFonts w:cs="Arial"/>
          <w:snapToGrid w:val="0"/>
          <w:szCs w:val="20"/>
          <w:lang w:val="es-419"/>
        </w:rPr>
        <w:t>760 – 769</w:t>
      </w:r>
      <w:r w:rsidRPr="009879C7">
        <w:rPr>
          <w:rFonts w:cs="Arial"/>
          <w:snapToGrid w:val="0"/>
          <w:szCs w:val="20"/>
          <w:lang w:val="es-419"/>
        </w:rPr>
        <w:tab/>
      </w:r>
      <w:r w:rsidRPr="009879C7">
        <w:rPr>
          <w:rFonts w:cs="Arial"/>
          <w:noProof/>
          <w:snapToGrid w:val="0"/>
          <w:szCs w:val="20"/>
          <w:lang w:val="es-419"/>
        </w:rPr>
        <w:t>Israel</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s-419"/>
        </w:rPr>
      </w:pPr>
      <w:r w:rsidRPr="009879C7">
        <w:rPr>
          <w:rFonts w:cs="Arial"/>
          <w:snapToGrid w:val="0"/>
          <w:szCs w:val="20"/>
          <w:lang w:val="es-419"/>
        </w:rPr>
        <w:t>770 – 799</w:t>
      </w:r>
      <w:r w:rsidRPr="009879C7">
        <w:rPr>
          <w:rFonts w:cs="Arial"/>
          <w:snapToGrid w:val="0"/>
          <w:szCs w:val="20"/>
          <w:lang w:val="es-419"/>
        </w:rPr>
        <w:tab/>
      </w:r>
      <w:r w:rsidRPr="009879C7">
        <w:rPr>
          <w:rFonts w:cs="Arial"/>
          <w:noProof/>
          <w:snapToGrid w:val="0"/>
          <w:szCs w:val="20"/>
          <w:lang w:val="es-419"/>
        </w:rPr>
        <w:t>reserved</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s-419"/>
        </w:rPr>
      </w:pPr>
      <w:r w:rsidRPr="009879C7">
        <w:rPr>
          <w:rFonts w:cs="Arial"/>
          <w:snapToGrid w:val="0"/>
          <w:szCs w:val="20"/>
          <w:lang w:val="es-419"/>
        </w:rPr>
        <w:t>800 – 809</w:t>
      </w:r>
      <w:r w:rsidRPr="009879C7">
        <w:rPr>
          <w:rFonts w:cs="Arial"/>
          <w:snapToGrid w:val="0"/>
          <w:szCs w:val="20"/>
          <w:lang w:val="es-419"/>
        </w:rPr>
        <w:tab/>
      </w:r>
      <w:r w:rsidRPr="009879C7">
        <w:rPr>
          <w:noProof/>
          <w:lang w:val="es-419"/>
        </w:rPr>
        <w:t>Azerbaijan</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s-419"/>
        </w:rPr>
      </w:pPr>
      <w:r w:rsidRPr="009879C7">
        <w:rPr>
          <w:rFonts w:cs="Arial"/>
          <w:snapToGrid w:val="0"/>
          <w:szCs w:val="20"/>
          <w:lang w:val="es-419"/>
        </w:rPr>
        <w:t>810 – 819</w:t>
      </w:r>
      <w:r w:rsidRPr="009879C7">
        <w:rPr>
          <w:rFonts w:cs="Arial"/>
          <w:snapToGrid w:val="0"/>
          <w:szCs w:val="20"/>
          <w:lang w:val="es-419"/>
        </w:rPr>
        <w:tab/>
      </w:r>
      <w:r w:rsidRPr="009879C7">
        <w:rPr>
          <w:noProof/>
          <w:lang w:val="es-419"/>
        </w:rPr>
        <w:t>Kazakhstan</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s-419"/>
        </w:rPr>
      </w:pPr>
      <w:r w:rsidRPr="009879C7">
        <w:rPr>
          <w:rFonts w:cs="Arial"/>
          <w:snapToGrid w:val="0"/>
          <w:szCs w:val="20"/>
          <w:lang w:val="es-419"/>
        </w:rPr>
        <w:t>820 – 829</w:t>
      </w:r>
      <w:r w:rsidRPr="009879C7">
        <w:rPr>
          <w:rFonts w:cs="Arial"/>
          <w:snapToGrid w:val="0"/>
          <w:szCs w:val="20"/>
          <w:lang w:val="es-419"/>
        </w:rPr>
        <w:tab/>
      </w:r>
      <w:r w:rsidRPr="009879C7">
        <w:rPr>
          <w:noProof/>
          <w:lang w:val="es-419"/>
        </w:rPr>
        <w:t>Kyrgyzstan</w:t>
      </w:r>
    </w:p>
    <w:p w:rsidR="009C13A9" w:rsidRPr="009879C7" w:rsidRDefault="009C13A9" w:rsidP="009C13A9">
      <w:pPr>
        <w:tabs>
          <w:tab w:val="left" w:pos="1418"/>
        </w:tabs>
        <w:overflowPunct w:val="0"/>
        <w:adjustRightInd w:val="0"/>
        <w:spacing w:line="240" w:lineRule="atLeast"/>
        <w:ind w:left="1418" w:hanging="1418"/>
        <w:textAlignment w:val="baseline"/>
        <w:rPr>
          <w:rFonts w:cs="Arial"/>
          <w:snapToGrid w:val="0"/>
          <w:szCs w:val="20"/>
          <w:lang w:val="es-419"/>
        </w:rPr>
      </w:pPr>
      <w:r w:rsidRPr="009879C7">
        <w:rPr>
          <w:rFonts w:cs="Arial"/>
          <w:snapToGrid w:val="0"/>
          <w:szCs w:val="20"/>
          <w:lang w:val="es-419"/>
        </w:rPr>
        <w:t>830 – 839</w:t>
      </w:r>
      <w:r w:rsidRPr="009879C7">
        <w:rPr>
          <w:rFonts w:cs="Arial"/>
          <w:snapToGrid w:val="0"/>
          <w:szCs w:val="20"/>
          <w:lang w:val="es-419"/>
        </w:rPr>
        <w:tab/>
      </w:r>
      <w:r w:rsidRPr="009879C7">
        <w:rPr>
          <w:rFonts w:cs="Arial"/>
          <w:noProof/>
          <w:snapToGrid w:val="0"/>
          <w:szCs w:val="20"/>
          <w:lang w:val="es-419"/>
        </w:rPr>
        <w:t>Tadjikistan</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840 – 849</w:t>
      </w:r>
      <w:r w:rsidRPr="00C903F8">
        <w:rPr>
          <w:rFonts w:cs="Arial"/>
          <w:snapToGrid w:val="0"/>
          <w:szCs w:val="20"/>
          <w:lang w:val="en-US"/>
        </w:rPr>
        <w:tab/>
      </w:r>
      <w:r w:rsidRPr="00C903F8">
        <w:rPr>
          <w:noProof/>
          <w:lang w:val="en-US"/>
        </w:rPr>
        <w:t>Turkmenistan</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850 – 859</w:t>
      </w:r>
      <w:r w:rsidRPr="00C903F8">
        <w:rPr>
          <w:rFonts w:cs="Arial"/>
          <w:snapToGrid w:val="0"/>
          <w:szCs w:val="20"/>
          <w:lang w:val="en-US"/>
        </w:rPr>
        <w:tab/>
      </w:r>
      <w:r w:rsidRPr="00C903F8">
        <w:rPr>
          <w:noProof/>
          <w:lang w:val="en-US"/>
        </w:rPr>
        <w:t>Uzbekistan</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860 – 869</w:t>
      </w:r>
      <w:r w:rsidRPr="00C903F8">
        <w:rPr>
          <w:rFonts w:cs="Arial"/>
          <w:snapToGrid w:val="0"/>
          <w:szCs w:val="20"/>
          <w:lang w:val="en-US"/>
        </w:rPr>
        <w:tab/>
      </w:r>
      <w:r w:rsidRPr="00C903F8">
        <w:rPr>
          <w:rFonts w:cs="Arial"/>
          <w:noProof/>
          <w:snapToGrid w:val="0"/>
          <w:szCs w:val="20"/>
          <w:lang w:val="en-US"/>
        </w:rPr>
        <w:t>Iran</w:t>
      </w:r>
    </w:p>
    <w:p w:rsidR="009C13A9" w:rsidRPr="00C903F8" w:rsidRDefault="009C13A9" w:rsidP="009C13A9">
      <w:pPr>
        <w:tabs>
          <w:tab w:val="left" w:pos="1418"/>
        </w:tabs>
        <w:overflowPunct w:val="0"/>
        <w:adjustRightInd w:val="0"/>
        <w:spacing w:line="240" w:lineRule="atLeast"/>
        <w:ind w:left="1418" w:hanging="1418"/>
        <w:textAlignment w:val="baseline"/>
        <w:rPr>
          <w:rFonts w:cs="Arial"/>
          <w:snapToGrid w:val="0"/>
          <w:szCs w:val="20"/>
          <w:lang w:val="en-US"/>
        </w:rPr>
      </w:pPr>
      <w:r w:rsidRPr="00C903F8">
        <w:rPr>
          <w:rFonts w:cs="Arial"/>
          <w:snapToGrid w:val="0"/>
          <w:szCs w:val="20"/>
          <w:lang w:val="en-US"/>
        </w:rPr>
        <w:t>870 – 999</w:t>
      </w:r>
      <w:r w:rsidRPr="00C903F8">
        <w:rPr>
          <w:rFonts w:cs="Arial"/>
          <w:snapToGrid w:val="0"/>
          <w:szCs w:val="20"/>
          <w:lang w:val="en-US"/>
        </w:rPr>
        <w:tab/>
      </w:r>
      <w:r w:rsidRPr="00C903F8">
        <w:rPr>
          <w:rFonts w:cs="Arial"/>
          <w:noProof/>
          <w:snapToGrid w:val="0"/>
          <w:szCs w:val="20"/>
          <w:lang w:val="en-US"/>
        </w:rPr>
        <w:t>reserved</w:t>
      </w:r>
    </w:p>
    <w:p w:rsidR="009C13A9" w:rsidRPr="00C903F8" w:rsidRDefault="009C13A9" w:rsidP="009C13A9">
      <w:pPr>
        <w:overflowPunct w:val="0"/>
        <w:adjustRightInd w:val="0"/>
        <w:ind w:left="0" w:firstLine="0"/>
        <w:jc w:val="left"/>
        <w:textAlignment w:val="baseline"/>
        <w:rPr>
          <w:rFonts w:cs="Arial"/>
          <w:szCs w:val="20"/>
          <w:lang w:val="en-US"/>
        </w:rPr>
      </w:pPr>
    </w:p>
    <w:p w:rsidR="009C13A9" w:rsidRPr="00C903F8" w:rsidRDefault="009C13A9" w:rsidP="009C13A9">
      <w:pPr>
        <w:overflowPunct w:val="0"/>
        <w:adjustRightInd w:val="0"/>
        <w:ind w:left="0" w:firstLine="0"/>
        <w:jc w:val="left"/>
        <w:textAlignment w:val="baseline"/>
        <w:rPr>
          <w:rFonts w:cs="Arial"/>
          <w:szCs w:val="20"/>
          <w:lang w:val="en-US"/>
        </w:rPr>
      </w:pPr>
    </w:p>
    <w:p w:rsidR="009C13A9" w:rsidRPr="00C903F8" w:rsidRDefault="009C13A9" w:rsidP="009C13A9">
      <w:pPr>
        <w:rPr>
          <w:noProof/>
          <w:lang w:val="en-US"/>
        </w:rPr>
      </w:pPr>
      <w:r w:rsidRPr="00C903F8">
        <w:rPr>
          <w:rFonts w:cs="Arial"/>
          <w:noProof/>
          <w:szCs w:val="20"/>
          <w:lang w:val="en-US"/>
        </w:rPr>
        <w:t xml:space="preserve">‘xxxxx’ </w:t>
      </w:r>
      <w:r w:rsidRPr="00C903F8">
        <w:rPr>
          <w:noProof/>
          <w:lang w:val="en-US"/>
        </w:rPr>
        <w:t>represents the five-digit serial number given by the competent authority.</w:t>
      </w:r>
    </w:p>
    <w:p w:rsidR="009C13A9" w:rsidRPr="00C903F8" w:rsidRDefault="009C13A9" w:rsidP="009C13A9">
      <w:pPr>
        <w:overflowPunct w:val="0"/>
        <w:adjustRightInd w:val="0"/>
        <w:ind w:left="0" w:firstLine="0"/>
        <w:textAlignment w:val="baseline"/>
        <w:rPr>
          <w:rFonts w:cs="Arial"/>
          <w:szCs w:val="20"/>
          <w:lang w:val="en-US"/>
        </w:rPr>
      </w:pPr>
    </w:p>
    <w:p w:rsidR="009C13A9" w:rsidRPr="00C903F8" w:rsidRDefault="009C13A9" w:rsidP="009C13A9">
      <w:pPr>
        <w:overflowPunct w:val="0"/>
        <w:adjustRightInd w:val="0"/>
        <w:ind w:left="0" w:firstLine="0"/>
        <w:jc w:val="left"/>
        <w:textAlignment w:val="baseline"/>
        <w:rPr>
          <w:rFonts w:cs="Arial"/>
          <w:szCs w:val="20"/>
          <w:lang w:val="en-US"/>
        </w:rPr>
      </w:pPr>
    </w:p>
    <w:p w:rsidR="009C13A9" w:rsidRPr="00C903F8" w:rsidRDefault="009C13A9" w:rsidP="009C13A9">
      <w:pPr>
        <w:spacing w:line="240" w:lineRule="atLeast"/>
        <w:ind w:left="567" w:hanging="567"/>
        <w:rPr>
          <w:rFonts w:cs="Arial"/>
          <w:szCs w:val="20"/>
          <w:lang w:val="en-US"/>
        </w:rPr>
      </w:pPr>
    </w:p>
    <w:p w:rsidR="009C13A9" w:rsidRPr="00C903F8" w:rsidRDefault="009C13A9" w:rsidP="009C13A9">
      <w:pPr>
        <w:spacing w:line="240" w:lineRule="atLeast"/>
        <w:ind w:left="567" w:hanging="567"/>
        <w:rPr>
          <w:rFonts w:cs="Arial"/>
          <w:szCs w:val="20"/>
          <w:lang w:val="en-US"/>
        </w:rPr>
      </w:pPr>
    </w:p>
    <w:p w:rsidR="009C13A9" w:rsidRPr="00C903F8" w:rsidRDefault="009C13A9" w:rsidP="009C13A9">
      <w:pPr>
        <w:spacing w:line="240" w:lineRule="atLeast"/>
        <w:ind w:left="567" w:hanging="567"/>
        <w:rPr>
          <w:rFonts w:cs="Arial"/>
          <w:szCs w:val="20"/>
          <w:lang w:val="en-US"/>
        </w:rPr>
      </w:pPr>
    </w:p>
    <w:p w:rsidR="009C13A9" w:rsidRPr="00C903F8" w:rsidRDefault="009C13A9" w:rsidP="009C13A9">
      <w:pPr>
        <w:spacing w:line="240" w:lineRule="atLeast"/>
        <w:rPr>
          <w:rFonts w:cs="Arial"/>
          <w:szCs w:val="20"/>
          <w:lang w:val="en-US"/>
        </w:rPr>
      </w:pPr>
    </w:p>
    <w:p w:rsidR="009C13A9" w:rsidRPr="00C903F8" w:rsidRDefault="009C13A9" w:rsidP="009C13A9">
      <w:pPr>
        <w:spacing w:line="240" w:lineRule="atLeast"/>
        <w:rPr>
          <w:lang w:val="en-US"/>
        </w:rPr>
      </w:pPr>
      <w:r w:rsidRPr="00C903F8">
        <w:rPr>
          <w:lang w:val="en-US"/>
        </w:rPr>
        <w:br w:type="page"/>
      </w:r>
    </w:p>
    <w:p w:rsidR="009C13A9" w:rsidRPr="00C903F8" w:rsidRDefault="009C13A9" w:rsidP="009C13A9">
      <w:pPr>
        <w:pStyle w:val="ES-Titre2"/>
        <w:pageBreakBefore w:val="0"/>
      </w:pPr>
      <w:bookmarkStart w:id="315" w:name="_Toc491854293"/>
      <w:r w:rsidRPr="00C903F8">
        <w:lastRenderedPageBreak/>
        <w:t>Annex 2</w:t>
      </w:r>
      <w:r w:rsidRPr="00C903F8">
        <w:br/>
        <w:t>Data for the identification of a vessel</w:t>
      </w:r>
      <w:bookmarkEnd w:id="315"/>
    </w:p>
    <w:p w:rsidR="009C13A9" w:rsidRPr="00C903F8" w:rsidRDefault="009C13A9" w:rsidP="009C13A9">
      <w:pPr>
        <w:overflowPunct w:val="0"/>
        <w:adjustRightInd w:val="0"/>
        <w:ind w:left="0" w:firstLine="0"/>
        <w:jc w:val="left"/>
        <w:textAlignment w:val="baseline"/>
        <w:rPr>
          <w:rFonts w:cs="Arial"/>
          <w:szCs w:val="20"/>
          <w:lang w:val="en-US"/>
        </w:rPr>
      </w:pPr>
    </w:p>
    <w:p w:rsidR="009C13A9" w:rsidRPr="00C903F8" w:rsidRDefault="009C13A9" w:rsidP="009C13A9">
      <w:pPr>
        <w:spacing w:line="240" w:lineRule="atLeast"/>
        <w:ind w:left="0" w:firstLine="0"/>
        <w:rPr>
          <w:rFonts w:cs="Arial"/>
          <w:noProof/>
          <w:szCs w:val="20"/>
          <w:lang w:val="en-US" w:bidi="fr-FR"/>
        </w:rPr>
      </w:pPr>
    </w:p>
    <w:p w:rsidR="009C13A9" w:rsidRPr="00C903F8" w:rsidRDefault="009C13A9" w:rsidP="009C13A9">
      <w:pPr>
        <w:spacing w:line="240" w:lineRule="atLeast"/>
        <w:rPr>
          <w:rFonts w:cs="Arial"/>
          <w:color w:val="000000"/>
          <w:lang w:val="en-US"/>
        </w:rPr>
      </w:pPr>
      <w:r w:rsidRPr="00C903F8">
        <w:rPr>
          <w:rFonts w:cs="Arial"/>
          <w:color w:val="000000"/>
          <w:lang w:val="en-US"/>
        </w:rPr>
        <w:t>A.</w:t>
      </w:r>
      <w:r w:rsidRPr="00C903F8">
        <w:rPr>
          <w:rFonts w:cs="Arial"/>
          <w:color w:val="000000"/>
          <w:lang w:val="en-US"/>
        </w:rPr>
        <w:tab/>
        <w:t>All vessels:</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1.</w:t>
      </w:r>
      <w:r w:rsidRPr="00C903F8">
        <w:rPr>
          <w:rFonts w:cs="Arial"/>
          <w:noProof/>
          <w:szCs w:val="20"/>
          <w:lang w:val="en-US" w:bidi="fr-FR"/>
        </w:rPr>
        <w:tab/>
        <w:t xml:space="preserve">Unique European Vessel Identification Number (Annex </w:t>
      </w:r>
      <w:r w:rsidR="0006083D" w:rsidRPr="00C903F8">
        <w:rPr>
          <w:rFonts w:cs="Arial"/>
          <w:noProof/>
          <w:szCs w:val="20"/>
          <w:lang w:val="en-US" w:bidi="fr-FR"/>
        </w:rPr>
        <w:t>3</w:t>
      </w:r>
      <w:r w:rsidRPr="00C903F8">
        <w:rPr>
          <w:rFonts w:cs="Arial"/>
          <w:noProof/>
          <w:szCs w:val="20"/>
          <w:lang w:val="en-US" w:bidi="fr-FR"/>
        </w:rPr>
        <w:t xml:space="preserve">, </w:t>
      </w:r>
      <w:r w:rsidR="00925755" w:rsidRPr="00C903F8">
        <w:rPr>
          <w:rFonts w:cs="Arial"/>
          <w:noProof/>
          <w:szCs w:val="20"/>
          <w:lang w:val="en-US" w:bidi="fr-FR"/>
        </w:rPr>
        <w:t>Section</w:t>
      </w:r>
      <w:r w:rsidRPr="00C903F8">
        <w:rPr>
          <w:rFonts w:cs="Arial"/>
          <w:noProof/>
          <w:szCs w:val="20"/>
          <w:lang w:val="en-US" w:bidi="fr-FR"/>
        </w:rPr>
        <w:t xml:space="preserve"> I,</w:t>
      </w:r>
      <w:r w:rsidR="00163956" w:rsidRPr="00C903F8">
        <w:rPr>
          <w:rFonts w:cs="Arial"/>
          <w:noProof/>
          <w:szCs w:val="20"/>
          <w:lang w:val="en-US" w:bidi="fr-FR"/>
        </w:rPr>
        <w:t xml:space="preserve"> </w:t>
      </w:r>
      <w:r w:rsidR="00AE7B53" w:rsidRPr="00C903F8">
        <w:rPr>
          <w:rFonts w:cs="Arial"/>
          <w:noProof/>
          <w:szCs w:val="20"/>
          <w:lang w:val="en-US" w:bidi="fr-FR"/>
        </w:rPr>
        <w:t>item</w:t>
      </w:r>
      <w:r w:rsidRPr="00C903F8">
        <w:rPr>
          <w:rFonts w:cs="Arial"/>
          <w:noProof/>
          <w:szCs w:val="20"/>
          <w:lang w:val="en-US" w:bidi="fr-FR"/>
        </w:rPr>
        <w:t xml:space="preserve"> 3 of the model, and </w:t>
      </w:r>
      <w:r w:rsidR="0006083D" w:rsidRPr="00C903F8">
        <w:rPr>
          <w:rFonts w:cs="Arial"/>
          <w:noProof/>
          <w:szCs w:val="20"/>
          <w:lang w:val="en-US" w:bidi="fr-FR"/>
        </w:rPr>
        <w:t>Section VI</w:t>
      </w:r>
      <w:r w:rsidRPr="00C903F8">
        <w:rPr>
          <w:rFonts w:cs="Arial"/>
          <w:noProof/>
          <w:szCs w:val="20"/>
          <w:lang w:val="en-US" w:bidi="fr-FR"/>
        </w:rPr>
        <w:t>, fifth column)</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2.</w:t>
      </w:r>
      <w:r w:rsidRPr="00C903F8">
        <w:rPr>
          <w:rFonts w:cs="Arial"/>
          <w:noProof/>
          <w:szCs w:val="20"/>
          <w:lang w:val="en-US" w:bidi="fr-FR"/>
        </w:rPr>
        <w:tab/>
        <w:t xml:space="preserve">Name of the craft/vessel (Annex </w:t>
      </w:r>
      <w:r w:rsidR="0006083D" w:rsidRPr="00C903F8">
        <w:rPr>
          <w:rFonts w:cs="Arial"/>
          <w:noProof/>
          <w:szCs w:val="20"/>
          <w:lang w:val="en-US" w:bidi="fr-FR"/>
        </w:rPr>
        <w:t>3</w:t>
      </w:r>
      <w:r w:rsidRPr="00C903F8">
        <w:rPr>
          <w:rFonts w:cs="Arial"/>
          <w:noProof/>
          <w:szCs w:val="20"/>
          <w:lang w:val="en-US" w:bidi="fr-FR"/>
        </w:rPr>
        <w:t xml:space="preserve">, </w:t>
      </w:r>
      <w:r w:rsidR="00925755" w:rsidRPr="00C903F8">
        <w:rPr>
          <w:rFonts w:cs="Arial"/>
          <w:noProof/>
          <w:szCs w:val="20"/>
          <w:lang w:val="en-US" w:bidi="fr-FR"/>
        </w:rPr>
        <w:t>Section</w:t>
      </w:r>
      <w:r w:rsidRPr="00C903F8">
        <w:rPr>
          <w:rFonts w:cs="Arial"/>
          <w:noProof/>
          <w:szCs w:val="20"/>
          <w:lang w:val="en-US" w:bidi="fr-FR"/>
        </w:rPr>
        <w:t xml:space="preserve"> I, </w:t>
      </w:r>
      <w:r w:rsidR="00AE7B53" w:rsidRPr="00C903F8">
        <w:rPr>
          <w:rFonts w:cs="Arial"/>
          <w:noProof/>
          <w:szCs w:val="20"/>
          <w:lang w:val="en-US" w:bidi="fr-FR"/>
        </w:rPr>
        <w:t>item</w:t>
      </w:r>
      <w:r w:rsidRPr="00C903F8">
        <w:rPr>
          <w:rFonts w:cs="Arial"/>
          <w:noProof/>
          <w:szCs w:val="20"/>
          <w:lang w:val="en-US" w:bidi="fr-FR"/>
        </w:rPr>
        <w:t xml:space="preserve"> 1 of the model, and </w:t>
      </w:r>
      <w:r w:rsidR="0006083D" w:rsidRPr="00C903F8">
        <w:rPr>
          <w:rFonts w:cs="Arial"/>
          <w:noProof/>
          <w:szCs w:val="20"/>
          <w:lang w:val="en-US" w:bidi="fr-FR"/>
        </w:rPr>
        <w:t>Section VI</w:t>
      </w:r>
      <w:r w:rsidRPr="00C903F8">
        <w:rPr>
          <w:rFonts w:cs="Arial"/>
          <w:noProof/>
          <w:szCs w:val="20"/>
          <w:lang w:val="en-US" w:bidi="fr-FR"/>
        </w:rPr>
        <w:t>, fourth column)</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3.</w:t>
      </w:r>
      <w:r w:rsidRPr="00C903F8">
        <w:rPr>
          <w:rFonts w:cs="Arial"/>
          <w:noProof/>
          <w:szCs w:val="20"/>
          <w:lang w:val="en-US" w:bidi="fr-FR"/>
        </w:rPr>
        <w:tab/>
        <w:t xml:space="preserve">Type of craft as defined in Article 1.01 (1.1) to (1.28) (Annex </w:t>
      </w:r>
      <w:r w:rsidR="0006083D" w:rsidRPr="00C903F8">
        <w:rPr>
          <w:rFonts w:cs="Arial"/>
          <w:noProof/>
          <w:szCs w:val="20"/>
          <w:lang w:val="en-US" w:bidi="fr-FR"/>
        </w:rPr>
        <w:t>3</w:t>
      </w:r>
      <w:r w:rsidRPr="00C903F8">
        <w:rPr>
          <w:rFonts w:cs="Arial"/>
          <w:noProof/>
          <w:szCs w:val="20"/>
          <w:lang w:val="en-US" w:bidi="fr-FR"/>
        </w:rPr>
        <w:t xml:space="preserve">, </w:t>
      </w:r>
      <w:r w:rsidR="00925755" w:rsidRPr="00C903F8">
        <w:rPr>
          <w:rFonts w:cs="Arial"/>
          <w:noProof/>
          <w:szCs w:val="20"/>
          <w:lang w:val="en-US" w:bidi="fr-FR"/>
        </w:rPr>
        <w:t>Section</w:t>
      </w:r>
      <w:r w:rsidRPr="00C903F8">
        <w:rPr>
          <w:rFonts w:cs="Arial"/>
          <w:noProof/>
          <w:szCs w:val="20"/>
          <w:lang w:val="en-US" w:bidi="fr-FR"/>
        </w:rPr>
        <w:t xml:space="preserve"> I, </w:t>
      </w:r>
      <w:r w:rsidR="00AE7B53" w:rsidRPr="00C903F8">
        <w:rPr>
          <w:rFonts w:cs="Arial"/>
          <w:noProof/>
          <w:szCs w:val="20"/>
          <w:lang w:val="en-US" w:bidi="fr-FR"/>
        </w:rPr>
        <w:t>item</w:t>
      </w:r>
      <w:r w:rsidRPr="00C903F8">
        <w:rPr>
          <w:rFonts w:cs="Arial"/>
          <w:noProof/>
          <w:szCs w:val="20"/>
          <w:lang w:val="en-US" w:bidi="fr-FR"/>
        </w:rPr>
        <w:t xml:space="preserve"> 2 of the model)</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4.</w:t>
      </w:r>
      <w:r w:rsidRPr="00C903F8">
        <w:rPr>
          <w:rFonts w:cs="Arial"/>
          <w:noProof/>
          <w:szCs w:val="20"/>
          <w:lang w:val="en-US" w:bidi="fr-FR"/>
        </w:rPr>
        <w:tab/>
        <w:t xml:space="preserve">Length over all as defined in Article 1.01 (4.17) (Annex </w:t>
      </w:r>
      <w:r w:rsidR="0006083D" w:rsidRPr="00C903F8">
        <w:rPr>
          <w:rFonts w:cs="Arial"/>
          <w:noProof/>
          <w:szCs w:val="20"/>
          <w:lang w:val="en-US" w:bidi="fr-FR"/>
        </w:rPr>
        <w:t>3</w:t>
      </w:r>
      <w:r w:rsidRPr="00C903F8">
        <w:rPr>
          <w:rFonts w:cs="Arial"/>
          <w:noProof/>
          <w:szCs w:val="20"/>
          <w:lang w:val="en-US" w:bidi="fr-FR"/>
        </w:rPr>
        <w:t xml:space="preserve">, </w:t>
      </w:r>
      <w:r w:rsidR="00925755" w:rsidRPr="00C903F8">
        <w:rPr>
          <w:rFonts w:cs="Arial"/>
          <w:noProof/>
          <w:szCs w:val="20"/>
          <w:lang w:val="en-US" w:bidi="fr-FR"/>
        </w:rPr>
        <w:t>Section</w:t>
      </w:r>
      <w:r w:rsidRPr="00C903F8">
        <w:rPr>
          <w:rFonts w:cs="Arial"/>
          <w:noProof/>
          <w:szCs w:val="20"/>
          <w:lang w:val="en-US" w:bidi="fr-FR"/>
        </w:rPr>
        <w:t xml:space="preserve"> I, </w:t>
      </w:r>
      <w:r w:rsidR="00AE7B53" w:rsidRPr="00C903F8">
        <w:rPr>
          <w:rFonts w:cs="Arial"/>
          <w:noProof/>
          <w:szCs w:val="20"/>
          <w:lang w:val="en-US" w:bidi="fr-FR"/>
        </w:rPr>
        <w:t>item</w:t>
      </w:r>
      <w:r w:rsidRPr="00C903F8">
        <w:rPr>
          <w:rFonts w:cs="Arial"/>
          <w:noProof/>
          <w:szCs w:val="20"/>
          <w:lang w:val="en-US" w:bidi="fr-FR"/>
        </w:rPr>
        <w:t xml:space="preserve"> 17a)</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5.</w:t>
      </w:r>
      <w:r w:rsidRPr="00C903F8">
        <w:rPr>
          <w:rFonts w:cs="Arial"/>
          <w:noProof/>
          <w:szCs w:val="20"/>
          <w:lang w:val="en-US" w:bidi="fr-FR"/>
        </w:rPr>
        <w:tab/>
        <w:t xml:space="preserve">Breadth over all as defined in Article 1.01 (4.20) (Annex </w:t>
      </w:r>
      <w:r w:rsidR="0006083D" w:rsidRPr="00C903F8">
        <w:rPr>
          <w:rFonts w:cs="Arial"/>
          <w:noProof/>
          <w:szCs w:val="20"/>
          <w:lang w:val="en-US" w:bidi="fr-FR"/>
        </w:rPr>
        <w:t>3</w:t>
      </w:r>
      <w:r w:rsidRPr="00C903F8">
        <w:rPr>
          <w:rFonts w:cs="Arial"/>
          <w:noProof/>
          <w:szCs w:val="20"/>
          <w:lang w:val="en-US" w:bidi="fr-FR"/>
        </w:rPr>
        <w:t xml:space="preserve">, </w:t>
      </w:r>
      <w:r w:rsidR="00925755" w:rsidRPr="00C903F8">
        <w:rPr>
          <w:rFonts w:cs="Arial"/>
          <w:noProof/>
          <w:szCs w:val="20"/>
          <w:lang w:val="en-US" w:bidi="fr-FR"/>
        </w:rPr>
        <w:t>Section</w:t>
      </w:r>
      <w:r w:rsidRPr="00C903F8">
        <w:rPr>
          <w:rFonts w:cs="Arial"/>
          <w:noProof/>
          <w:szCs w:val="20"/>
          <w:lang w:val="en-US" w:bidi="fr-FR"/>
        </w:rPr>
        <w:t xml:space="preserve"> I, </w:t>
      </w:r>
      <w:r w:rsidR="00AE7B53" w:rsidRPr="00C903F8">
        <w:rPr>
          <w:rFonts w:cs="Arial"/>
          <w:noProof/>
          <w:szCs w:val="20"/>
          <w:lang w:val="en-US" w:bidi="fr-FR"/>
        </w:rPr>
        <w:t>item</w:t>
      </w:r>
      <w:r w:rsidRPr="00C903F8">
        <w:rPr>
          <w:rFonts w:cs="Arial"/>
          <w:noProof/>
          <w:szCs w:val="20"/>
          <w:lang w:val="en-US" w:bidi="fr-FR"/>
        </w:rPr>
        <w:t xml:space="preserve"> 18a)</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6.</w:t>
      </w:r>
      <w:r w:rsidRPr="00C903F8">
        <w:rPr>
          <w:rFonts w:cs="Arial"/>
          <w:noProof/>
          <w:szCs w:val="20"/>
          <w:lang w:val="en-US" w:bidi="fr-FR"/>
        </w:rPr>
        <w:tab/>
        <w:t xml:space="preserve">Draught as defined in Article 1.01 (4.23) (Annex </w:t>
      </w:r>
      <w:r w:rsidR="0006083D" w:rsidRPr="00C903F8">
        <w:rPr>
          <w:rFonts w:cs="Arial"/>
          <w:noProof/>
          <w:szCs w:val="20"/>
          <w:lang w:val="en-US" w:bidi="fr-FR"/>
        </w:rPr>
        <w:t>3</w:t>
      </w:r>
      <w:r w:rsidRPr="00C903F8">
        <w:rPr>
          <w:rFonts w:cs="Arial"/>
          <w:noProof/>
          <w:szCs w:val="20"/>
          <w:lang w:val="en-US" w:bidi="fr-FR"/>
        </w:rPr>
        <w:t xml:space="preserve">, </w:t>
      </w:r>
      <w:r w:rsidR="00925755" w:rsidRPr="00C903F8">
        <w:rPr>
          <w:rFonts w:cs="Arial"/>
          <w:noProof/>
          <w:szCs w:val="20"/>
          <w:lang w:val="en-US" w:bidi="fr-FR"/>
        </w:rPr>
        <w:t>Section</w:t>
      </w:r>
      <w:r w:rsidRPr="00C903F8">
        <w:rPr>
          <w:rFonts w:cs="Arial"/>
          <w:noProof/>
          <w:szCs w:val="20"/>
          <w:lang w:val="en-US" w:bidi="fr-FR"/>
        </w:rPr>
        <w:t xml:space="preserve"> I, </w:t>
      </w:r>
      <w:r w:rsidR="00AE7B53" w:rsidRPr="00C903F8">
        <w:rPr>
          <w:rFonts w:cs="Arial"/>
          <w:noProof/>
          <w:szCs w:val="20"/>
          <w:lang w:val="en-US" w:bidi="fr-FR"/>
        </w:rPr>
        <w:t>item</w:t>
      </w:r>
      <w:r w:rsidRPr="00C903F8">
        <w:rPr>
          <w:rFonts w:cs="Arial"/>
          <w:noProof/>
          <w:szCs w:val="20"/>
          <w:lang w:val="en-US" w:bidi="fr-FR"/>
        </w:rPr>
        <w:t xml:space="preserve"> 19a)</w:t>
      </w:r>
    </w:p>
    <w:p w:rsidR="009C13A9" w:rsidRPr="00C903F8" w:rsidRDefault="009C13A9" w:rsidP="009C13A9">
      <w:pPr>
        <w:spacing w:before="60" w:line="240" w:lineRule="atLeast"/>
        <w:ind w:left="992" w:hanging="567"/>
        <w:rPr>
          <w:rFonts w:cs="Arial"/>
          <w:noProof/>
          <w:szCs w:val="20"/>
          <w:lang w:val="en-US" w:bidi="fr-FR"/>
        </w:rPr>
      </w:pPr>
      <w:r w:rsidRPr="00B9093D">
        <w:rPr>
          <w:rFonts w:cs="Arial"/>
          <w:noProof/>
          <w:szCs w:val="20"/>
          <w:lang w:val="en-US" w:bidi="fr-FR"/>
        </w:rPr>
        <w:t>7.</w:t>
      </w:r>
      <w:r w:rsidRPr="00B9093D">
        <w:rPr>
          <w:rFonts w:cs="Arial"/>
          <w:noProof/>
          <w:szCs w:val="20"/>
          <w:lang w:val="en-US" w:bidi="fr-FR"/>
        </w:rPr>
        <w:tab/>
      </w:r>
      <w:r w:rsidR="00AA5614" w:rsidRPr="00B9093D">
        <w:rPr>
          <w:rFonts w:cs="Arial"/>
          <w:noProof/>
          <w:szCs w:val="20"/>
          <w:lang w:val="en-US" w:bidi="fr-FR"/>
        </w:rPr>
        <w:t xml:space="preserve">Source of data (= </w:t>
      </w:r>
      <w:r w:rsidR="00AA5614" w:rsidRPr="00B9093D">
        <w:rPr>
          <w:rFonts w:cs="Arial"/>
          <w:szCs w:val="20"/>
          <w:lang w:val="en-US"/>
        </w:rPr>
        <w:t>inland navigation vessel certificate)</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8.</w:t>
      </w:r>
      <w:r w:rsidRPr="00C903F8">
        <w:rPr>
          <w:rFonts w:cs="Arial"/>
          <w:noProof/>
          <w:szCs w:val="20"/>
          <w:lang w:val="en-US" w:bidi="fr-FR"/>
        </w:rPr>
        <w:tab/>
        <w:t xml:space="preserve">Deadweight (Annex </w:t>
      </w:r>
      <w:r w:rsidR="0006083D" w:rsidRPr="00C903F8">
        <w:rPr>
          <w:rFonts w:cs="Arial"/>
          <w:noProof/>
          <w:szCs w:val="20"/>
          <w:lang w:val="en-US" w:bidi="fr-FR"/>
        </w:rPr>
        <w:t>3</w:t>
      </w:r>
      <w:r w:rsidRPr="00C903F8">
        <w:rPr>
          <w:rFonts w:cs="Arial"/>
          <w:noProof/>
          <w:szCs w:val="20"/>
          <w:lang w:val="en-US" w:bidi="fr-FR"/>
        </w:rPr>
        <w:t xml:space="preserve">, </w:t>
      </w:r>
      <w:r w:rsidR="00925755" w:rsidRPr="00C903F8">
        <w:rPr>
          <w:rFonts w:cs="Arial"/>
          <w:noProof/>
          <w:szCs w:val="20"/>
          <w:lang w:val="en-US" w:bidi="fr-FR"/>
        </w:rPr>
        <w:t>Section</w:t>
      </w:r>
      <w:r w:rsidRPr="00C903F8">
        <w:rPr>
          <w:rFonts w:cs="Arial"/>
          <w:noProof/>
          <w:szCs w:val="20"/>
          <w:lang w:val="en-US" w:bidi="fr-FR"/>
        </w:rPr>
        <w:t xml:space="preserve"> I, </w:t>
      </w:r>
      <w:r w:rsidR="00AE7B53" w:rsidRPr="00C903F8">
        <w:rPr>
          <w:rFonts w:cs="Arial"/>
          <w:noProof/>
          <w:szCs w:val="20"/>
          <w:lang w:val="en-US" w:bidi="fr-FR"/>
        </w:rPr>
        <w:t>item</w:t>
      </w:r>
      <w:r w:rsidRPr="00C903F8">
        <w:rPr>
          <w:rFonts w:cs="Arial"/>
          <w:noProof/>
          <w:szCs w:val="20"/>
          <w:lang w:val="en-US" w:bidi="fr-FR"/>
        </w:rPr>
        <w:t xml:space="preserve"> 21 and </w:t>
      </w:r>
      <w:r w:rsidR="0006083D" w:rsidRPr="00C903F8">
        <w:rPr>
          <w:rFonts w:cs="Arial"/>
          <w:noProof/>
          <w:szCs w:val="20"/>
          <w:lang w:val="en-US" w:bidi="fr-FR"/>
        </w:rPr>
        <w:t>Section VI</w:t>
      </w:r>
      <w:r w:rsidRPr="00C903F8">
        <w:rPr>
          <w:rFonts w:cs="Arial"/>
          <w:noProof/>
          <w:szCs w:val="20"/>
          <w:lang w:val="en-US" w:bidi="fr-FR"/>
        </w:rPr>
        <w:t>, 13th column) for cargo vessels</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9.</w:t>
      </w:r>
      <w:r w:rsidRPr="00C903F8">
        <w:rPr>
          <w:rFonts w:cs="Arial"/>
          <w:noProof/>
          <w:szCs w:val="20"/>
          <w:lang w:val="en-US" w:bidi="fr-FR"/>
        </w:rPr>
        <w:tab/>
        <w:t xml:space="preserve">Displacement as defined in Article 1.01 (4.7) (Annex </w:t>
      </w:r>
      <w:r w:rsidR="0006083D" w:rsidRPr="00C903F8">
        <w:rPr>
          <w:rFonts w:cs="Arial"/>
          <w:noProof/>
          <w:szCs w:val="20"/>
          <w:lang w:val="en-US" w:bidi="fr-FR"/>
        </w:rPr>
        <w:t>3</w:t>
      </w:r>
      <w:r w:rsidRPr="00C903F8">
        <w:rPr>
          <w:rFonts w:cs="Arial"/>
          <w:noProof/>
          <w:szCs w:val="20"/>
          <w:lang w:val="en-US" w:bidi="fr-FR"/>
        </w:rPr>
        <w:t xml:space="preserve">, </w:t>
      </w:r>
      <w:r w:rsidR="00925755" w:rsidRPr="00C903F8">
        <w:rPr>
          <w:rFonts w:cs="Arial"/>
          <w:noProof/>
          <w:szCs w:val="20"/>
          <w:lang w:val="en-US" w:bidi="fr-FR"/>
        </w:rPr>
        <w:t>Section</w:t>
      </w:r>
      <w:r w:rsidRPr="00C903F8">
        <w:rPr>
          <w:rFonts w:cs="Arial"/>
          <w:noProof/>
          <w:szCs w:val="20"/>
          <w:lang w:val="en-US" w:bidi="fr-FR"/>
        </w:rPr>
        <w:t xml:space="preserve"> I, </w:t>
      </w:r>
      <w:r w:rsidR="00AE7B53" w:rsidRPr="00C903F8">
        <w:rPr>
          <w:rFonts w:cs="Arial"/>
          <w:noProof/>
          <w:szCs w:val="20"/>
          <w:lang w:val="en-US" w:bidi="fr-FR"/>
        </w:rPr>
        <w:t>item</w:t>
      </w:r>
      <w:r w:rsidRPr="00C903F8">
        <w:rPr>
          <w:rFonts w:cs="Arial"/>
          <w:noProof/>
          <w:szCs w:val="20"/>
          <w:lang w:val="en-US" w:bidi="fr-FR"/>
        </w:rPr>
        <w:t xml:space="preserve"> 21 and </w:t>
      </w:r>
      <w:r w:rsidR="0006083D" w:rsidRPr="00C903F8">
        <w:rPr>
          <w:rFonts w:cs="Arial"/>
          <w:noProof/>
          <w:szCs w:val="20"/>
          <w:lang w:val="en-US" w:bidi="fr-FR"/>
        </w:rPr>
        <w:t>Section VI</w:t>
      </w:r>
      <w:r w:rsidRPr="00C903F8">
        <w:rPr>
          <w:rFonts w:cs="Arial"/>
          <w:noProof/>
          <w:szCs w:val="20"/>
          <w:lang w:val="en-US" w:bidi="fr-FR"/>
        </w:rPr>
        <w:t>, 13</w:t>
      </w:r>
      <w:r w:rsidRPr="00C903F8">
        <w:rPr>
          <w:rFonts w:cs="Arial"/>
          <w:noProof/>
          <w:szCs w:val="20"/>
          <w:vertAlign w:val="superscript"/>
          <w:lang w:val="en-US" w:bidi="fr-FR"/>
        </w:rPr>
        <w:t>th</w:t>
      </w:r>
      <w:r w:rsidRPr="00C903F8">
        <w:rPr>
          <w:rFonts w:cs="Arial"/>
          <w:noProof/>
          <w:szCs w:val="20"/>
          <w:lang w:val="en-US" w:bidi="fr-FR"/>
        </w:rPr>
        <w:t> column) for vessels other than cargo vessels</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10.</w:t>
      </w:r>
      <w:r w:rsidRPr="00C903F8">
        <w:rPr>
          <w:rFonts w:cs="Arial"/>
          <w:noProof/>
          <w:szCs w:val="20"/>
          <w:lang w:val="en-US" w:bidi="fr-FR"/>
        </w:rPr>
        <w:tab/>
        <w:t>Operator (owner or his representative)</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11.</w:t>
      </w:r>
      <w:r w:rsidRPr="00C903F8">
        <w:rPr>
          <w:rFonts w:cs="Arial"/>
          <w:noProof/>
          <w:szCs w:val="20"/>
          <w:lang w:val="en-US" w:bidi="fr-FR"/>
        </w:rPr>
        <w:tab/>
        <w:t>Inspection body / Issuing Authority (</w:t>
      </w:r>
      <w:r w:rsidR="0006083D" w:rsidRPr="00C903F8">
        <w:rPr>
          <w:rFonts w:cs="Arial"/>
          <w:noProof/>
          <w:szCs w:val="20"/>
          <w:lang w:val="en-US" w:bidi="fr-FR"/>
        </w:rPr>
        <w:t>Annex 3</w:t>
      </w:r>
      <w:r w:rsidRPr="00C903F8">
        <w:rPr>
          <w:rFonts w:cs="Arial"/>
          <w:noProof/>
          <w:szCs w:val="20"/>
          <w:lang w:val="en-US" w:bidi="fr-FR"/>
        </w:rPr>
        <w:t xml:space="preserve">, </w:t>
      </w:r>
      <w:r w:rsidR="00925755" w:rsidRPr="00C903F8">
        <w:rPr>
          <w:rFonts w:cs="Arial"/>
          <w:noProof/>
          <w:szCs w:val="20"/>
          <w:lang w:val="en-US" w:bidi="fr-FR"/>
        </w:rPr>
        <w:t>Section</w:t>
      </w:r>
      <w:r w:rsidR="0006083D" w:rsidRPr="00C903F8">
        <w:rPr>
          <w:rFonts w:cs="Arial"/>
          <w:noProof/>
          <w:szCs w:val="20"/>
          <w:lang w:val="en-US" w:bidi="fr-FR"/>
        </w:rPr>
        <w:t>s</w:t>
      </w:r>
      <w:r w:rsidRPr="00C903F8">
        <w:rPr>
          <w:rFonts w:cs="Arial"/>
          <w:noProof/>
          <w:szCs w:val="20"/>
          <w:lang w:val="en-US" w:bidi="fr-FR"/>
        </w:rPr>
        <w:t xml:space="preserve"> I</w:t>
      </w:r>
      <w:r w:rsidR="0006083D" w:rsidRPr="00C903F8">
        <w:rPr>
          <w:rFonts w:cs="Arial"/>
          <w:noProof/>
          <w:szCs w:val="20"/>
          <w:lang w:val="en-US" w:bidi="fr-FR"/>
        </w:rPr>
        <w:t xml:space="preserve"> and VI</w:t>
      </w:r>
      <w:r w:rsidRPr="00C903F8">
        <w:rPr>
          <w:rFonts w:cs="Arial"/>
          <w:noProof/>
          <w:szCs w:val="20"/>
          <w:lang w:val="en-US" w:bidi="fr-FR"/>
        </w:rPr>
        <w:t>)</w:t>
      </w:r>
    </w:p>
    <w:p w:rsidR="009C13A9" w:rsidRPr="00C903F8" w:rsidRDefault="009C13A9" w:rsidP="009C13A9">
      <w:pPr>
        <w:spacing w:before="60" w:line="240" w:lineRule="atLeast"/>
        <w:ind w:left="992" w:hanging="567"/>
        <w:rPr>
          <w:rFonts w:cs="Arial"/>
          <w:noProof/>
          <w:szCs w:val="20"/>
          <w:lang w:val="en-US" w:bidi="fr-FR"/>
        </w:rPr>
      </w:pPr>
      <w:r w:rsidRPr="00B9093D">
        <w:rPr>
          <w:rFonts w:cs="Arial"/>
          <w:noProof/>
          <w:szCs w:val="20"/>
          <w:lang w:val="en-US" w:bidi="fr-FR"/>
        </w:rPr>
        <w:t>12.</w:t>
      </w:r>
      <w:r w:rsidRPr="00B9093D">
        <w:rPr>
          <w:rFonts w:cs="Arial"/>
          <w:noProof/>
          <w:szCs w:val="20"/>
          <w:lang w:val="en-US" w:bidi="fr-FR"/>
        </w:rPr>
        <w:tab/>
      </w:r>
      <w:r w:rsidR="00AA5614" w:rsidRPr="00B9093D">
        <w:rPr>
          <w:rFonts w:cs="Arial"/>
          <w:noProof/>
          <w:szCs w:val="20"/>
          <w:lang w:val="en-US" w:bidi="fr-FR"/>
        </w:rPr>
        <w:t xml:space="preserve">Number of </w:t>
      </w:r>
      <w:r w:rsidR="00AA5614" w:rsidRPr="00B9093D">
        <w:rPr>
          <w:rFonts w:cs="Arial"/>
          <w:szCs w:val="20"/>
          <w:lang w:val="en-US"/>
        </w:rPr>
        <w:t>inland navigation vessel certificate</w:t>
      </w:r>
      <w:r w:rsidR="00AA5614" w:rsidRPr="00B9093D">
        <w:rPr>
          <w:rFonts w:cs="Arial"/>
          <w:noProof/>
          <w:szCs w:val="20"/>
          <w:lang w:val="en-US" w:bidi="fr-FR"/>
        </w:rPr>
        <w:t xml:space="preserve"> (Annex 3, Section I, and Section VI,</w:t>
      </w:r>
      <w:r w:rsidR="00AA5614" w:rsidRPr="00C903F8">
        <w:rPr>
          <w:rFonts w:cs="Arial"/>
          <w:noProof/>
          <w:szCs w:val="20"/>
          <w:lang w:val="en-US" w:bidi="fr-FR"/>
        </w:rPr>
        <w:t xml:space="preserve"> first</w:t>
      </w:r>
      <w:r w:rsidR="00AA5614">
        <w:rPr>
          <w:rFonts w:cs="Arial"/>
          <w:noProof/>
          <w:szCs w:val="20"/>
          <w:lang w:val="en-US" w:bidi="fr-FR"/>
        </w:rPr>
        <w:t> </w:t>
      </w:r>
      <w:r w:rsidR="00AA5614" w:rsidRPr="00C903F8">
        <w:rPr>
          <w:rFonts w:cs="Arial"/>
          <w:noProof/>
          <w:szCs w:val="20"/>
          <w:lang w:val="en-US" w:bidi="fr-FR"/>
        </w:rPr>
        <w:t>column</w:t>
      </w:r>
      <w:r w:rsidRPr="00C903F8">
        <w:rPr>
          <w:rFonts w:cs="Arial"/>
          <w:noProof/>
          <w:szCs w:val="20"/>
          <w:lang w:val="en-US" w:bidi="fr-FR"/>
        </w:rPr>
        <w:t>)</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13.</w:t>
      </w:r>
      <w:r w:rsidRPr="00C903F8">
        <w:rPr>
          <w:rFonts w:cs="Arial"/>
          <w:noProof/>
          <w:szCs w:val="20"/>
          <w:lang w:val="en-US" w:bidi="fr-FR"/>
        </w:rPr>
        <w:tab/>
        <w:t xml:space="preserve">Expiration date (Annex </w:t>
      </w:r>
      <w:r w:rsidR="0006083D" w:rsidRPr="00C903F8">
        <w:rPr>
          <w:rFonts w:cs="Arial"/>
          <w:noProof/>
          <w:szCs w:val="20"/>
          <w:lang w:val="en-US" w:bidi="fr-FR"/>
        </w:rPr>
        <w:t>3</w:t>
      </w:r>
      <w:r w:rsidRPr="00C903F8">
        <w:rPr>
          <w:rFonts w:cs="Arial"/>
          <w:noProof/>
          <w:szCs w:val="20"/>
          <w:lang w:val="en-US" w:bidi="fr-FR"/>
        </w:rPr>
        <w:t xml:space="preserve">, </w:t>
      </w:r>
      <w:r w:rsidR="00925755" w:rsidRPr="00C903F8">
        <w:rPr>
          <w:rFonts w:cs="Arial"/>
          <w:noProof/>
          <w:szCs w:val="20"/>
          <w:lang w:val="en-US" w:bidi="fr-FR"/>
        </w:rPr>
        <w:t>Section</w:t>
      </w:r>
      <w:r w:rsidRPr="00C903F8">
        <w:rPr>
          <w:rFonts w:cs="Arial"/>
          <w:noProof/>
          <w:szCs w:val="20"/>
          <w:lang w:val="en-US" w:bidi="fr-FR"/>
        </w:rPr>
        <w:t xml:space="preserve"> I, </w:t>
      </w:r>
      <w:r w:rsidR="00AE7B53" w:rsidRPr="00C903F8">
        <w:rPr>
          <w:rFonts w:cs="Arial"/>
          <w:noProof/>
          <w:szCs w:val="20"/>
          <w:lang w:val="en-US" w:bidi="fr-FR"/>
        </w:rPr>
        <w:t>item</w:t>
      </w:r>
      <w:r w:rsidRPr="00C903F8">
        <w:rPr>
          <w:rFonts w:cs="Arial"/>
          <w:noProof/>
          <w:szCs w:val="20"/>
          <w:lang w:val="en-US" w:bidi="fr-FR"/>
        </w:rPr>
        <w:t xml:space="preserve"> 11 of the model, and </w:t>
      </w:r>
      <w:r w:rsidR="0006083D" w:rsidRPr="00C903F8">
        <w:rPr>
          <w:rFonts w:cs="Arial"/>
          <w:noProof/>
          <w:szCs w:val="20"/>
          <w:lang w:val="en-US" w:bidi="fr-FR"/>
        </w:rPr>
        <w:t>Section VI</w:t>
      </w:r>
      <w:r w:rsidRPr="00C903F8">
        <w:rPr>
          <w:rFonts w:cs="Arial"/>
          <w:noProof/>
          <w:szCs w:val="20"/>
          <w:lang w:val="en-US" w:bidi="fr-FR"/>
        </w:rPr>
        <w:t>, 17th column)</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14.</w:t>
      </w:r>
      <w:r w:rsidRPr="00C903F8">
        <w:rPr>
          <w:rFonts w:cs="Arial"/>
          <w:noProof/>
          <w:szCs w:val="20"/>
          <w:lang w:val="en-US" w:bidi="fr-FR"/>
        </w:rPr>
        <w:tab/>
        <w:t>Creator of dataset.</w:t>
      </w:r>
    </w:p>
    <w:p w:rsidR="009C13A9" w:rsidRPr="00C903F8" w:rsidRDefault="009C13A9" w:rsidP="009C13A9">
      <w:pPr>
        <w:spacing w:line="240" w:lineRule="atLeast"/>
        <w:ind w:left="0" w:firstLine="0"/>
        <w:rPr>
          <w:rFonts w:cs="Arial"/>
          <w:noProof/>
          <w:szCs w:val="20"/>
          <w:lang w:val="en-US" w:bidi="fr-FR"/>
        </w:rPr>
      </w:pPr>
    </w:p>
    <w:p w:rsidR="009C13A9" w:rsidRPr="00C903F8" w:rsidRDefault="009C13A9" w:rsidP="009C13A9">
      <w:pPr>
        <w:spacing w:line="240" w:lineRule="atLeast"/>
        <w:rPr>
          <w:rFonts w:cs="Arial"/>
          <w:color w:val="000000"/>
          <w:lang w:val="en-US"/>
        </w:rPr>
      </w:pPr>
      <w:r w:rsidRPr="00C903F8">
        <w:rPr>
          <w:rFonts w:cs="Arial"/>
          <w:color w:val="000000"/>
          <w:lang w:val="en-US"/>
        </w:rPr>
        <w:t>B.</w:t>
      </w:r>
      <w:r w:rsidRPr="00C903F8">
        <w:rPr>
          <w:rFonts w:cs="Arial"/>
          <w:color w:val="000000"/>
          <w:lang w:val="en-US"/>
        </w:rPr>
        <w:tab/>
        <w:t>Where available:</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1.</w:t>
      </w:r>
      <w:r w:rsidRPr="00C903F8">
        <w:rPr>
          <w:rFonts w:cs="Arial"/>
          <w:noProof/>
          <w:szCs w:val="20"/>
          <w:lang w:val="en-US" w:bidi="fr-FR"/>
        </w:rPr>
        <w:tab/>
        <w:t>National number</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2.</w:t>
      </w:r>
      <w:r w:rsidRPr="00C903F8">
        <w:rPr>
          <w:rFonts w:cs="Arial"/>
          <w:noProof/>
          <w:szCs w:val="20"/>
          <w:lang w:val="en-US" w:bidi="fr-FR"/>
        </w:rPr>
        <w:tab/>
        <w:t>Type of craft in accordance with the Technical Specification for Electronic Ship Reporting in inland navigation</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3.</w:t>
      </w:r>
      <w:r w:rsidRPr="00C903F8">
        <w:rPr>
          <w:rFonts w:cs="Arial"/>
          <w:noProof/>
          <w:szCs w:val="20"/>
          <w:lang w:val="en-US" w:bidi="fr-FR"/>
        </w:rPr>
        <w:tab/>
        <w:t>Single or double hull in accordance with ADN/ADNR</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4.</w:t>
      </w:r>
      <w:r w:rsidRPr="00C903F8">
        <w:rPr>
          <w:rFonts w:cs="Arial"/>
          <w:noProof/>
          <w:szCs w:val="20"/>
          <w:lang w:val="en-US" w:bidi="fr-FR"/>
        </w:rPr>
        <w:tab/>
        <w:t>Height as defined in Article 1.01 (4.22)</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5.</w:t>
      </w:r>
      <w:r w:rsidRPr="00C903F8">
        <w:rPr>
          <w:rFonts w:cs="Arial"/>
          <w:noProof/>
          <w:szCs w:val="20"/>
          <w:lang w:val="en-US" w:bidi="fr-FR"/>
        </w:rPr>
        <w:tab/>
        <w:t>Gross tonnage (for maritime vessels)</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6.</w:t>
      </w:r>
      <w:r w:rsidRPr="00C903F8">
        <w:rPr>
          <w:rFonts w:cs="Arial"/>
          <w:noProof/>
          <w:szCs w:val="20"/>
          <w:lang w:val="en-US" w:bidi="fr-FR"/>
        </w:rPr>
        <w:tab/>
        <w:t>IMO number (for maritime vessels)</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7.</w:t>
      </w:r>
      <w:r w:rsidRPr="00C903F8">
        <w:rPr>
          <w:rFonts w:cs="Arial"/>
          <w:noProof/>
          <w:szCs w:val="20"/>
          <w:lang w:val="en-US" w:bidi="fr-FR"/>
        </w:rPr>
        <w:tab/>
        <w:t>Call sign (for maritime vessels)</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8.</w:t>
      </w:r>
      <w:r w:rsidRPr="00C903F8">
        <w:rPr>
          <w:rFonts w:cs="Arial"/>
          <w:noProof/>
          <w:szCs w:val="20"/>
          <w:lang w:val="en-US" w:bidi="fr-FR"/>
        </w:rPr>
        <w:tab/>
        <w:t>MMSI number</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9.</w:t>
      </w:r>
      <w:r w:rsidRPr="00C903F8">
        <w:rPr>
          <w:rFonts w:cs="Arial"/>
          <w:noProof/>
          <w:szCs w:val="20"/>
          <w:lang w:val="en-US" w:bidi="fr-FR"/>
        </w:rPr>
        <w:tab/>
        <w:t>ATIS code</w:t>
      </w:r>
    </w:p>
    <w:p w:rsidR="009C13A9" w:rsidRPr="00C903F8" w:rsidRDefault="009C13A9" w:rsidP="009C13A9">
      <w:pPr>
        <w:spacing w:before="60" w:line="240" w:lineRule="atLeast"/>
        <w:ind w:left="992" w:hanging="567"/>
        <w:rPr>
          <w:rFonts w:cs="Arial"/>
          <w:noProof/>
          <w:szCs w:val="20"/>
          <w:lang w:val="en-US" w:bidi="fr-FR"/>
        </w:rPr>
      </w:pPr>
      <w:r w:rsidRPr="00C903F8">
        <w:rPr>
          <w:rFonts w:cs="Arial"/>
          <w:noProof/>
          <w:szCs w:val="20"/>
          <w:lang w:val="en-US" w:bidi="fr-FR"/>
        </w:rPr>
        <w:t>10.</w:t>
      </w:r>
      <w:r w:rsidRPr="00C903F8">
        <w:rPr>
          <w:rFonts w:cs="Arial"/>
          <w:noProof/>
          <w:szCs w:val="20"/>
          <w:lang w:val="en-US" w:bidi="fr-FR"/>
        </w:rPr>
        <w:tab/>
        <w:t>Type, number, issuing authority and expiration date of other certificates.</w:t>
      </w:r>
    </w:p>
    <w:p w:rsidR="009C13A9" w:rsidRPr="00C903F8" w:rsidRDefault="009C13A9" w:rsidP="009C13A9">
      <w:pPr>
        <w:spacing w:before="60" w:line="240" w:lineRule="atLeast"/>
        <w:ind w:left="992" w:hanging="567"/>
        <w:rPr>
          <w:rFonts w:cs="Arial"/>
          <w:noProof/>
          <w:szCs w:val="20"/>
          <w:lang w:val="en-US" w:bidi="fr-FR"/>
        </w:rPr>
      </w:pPr>
    </w:p>
    <w:p w:rsidR="009C13A9" w:rsidRPr="00C903F8" w:rsidRDefault="009C13A9" w:rsidP="009C13A9">
      <w:pPr>
        <w:spacing w:before="60" w:line="240" w:lineRule="atLeast"/>
        <w:ind w:left="992" w:hanging="567"/>
        <w:rPr>
          <w:rFonts w:cs="Arial"/>
          <w:noProof/>
          <w:szCs w:val="20"/>
          <w:lang w:val="en-US" w:bidi="fr-FR"/>
        </w:rPr>
      </w:pPr>
    </w:p>
    <w:p w:rsidR="009C13A9" w:rsidRPr="00C903F8" w:rsidRDefault="009C13A9" w:rsidP="009C13A9">
      <w:pPr>
        <w:spacing w:line="240" w:lineRule="atLeast"/>
        <w:ind w:left="0" w:firstLine="0"/>
        <w:rPr>
          <w:rFonts w:cs="Arial"/>
          <w:noProof/>
          <w:szCs w:val="20"/>
          <w:lang w:val="en-US" w:bidi="fr-FR"/>
        </w:rPr>
      </w:pPr>
      <w:r w:rsidRPr="00C903F8">
        <w:rPr>
          <w:rFonts w:cs="Arial"/>
          <w:noProof/>
          <w:szCs w:val="20"/>
          <w:lang w:val="en-US" w:bidi="fr-FR"/>
        </w:rPr>
        <w:br w:type="page"/>
      </w:r>
    </w:p>
    <w:p w:rsidR="009C13A9" w:rsidRPr="00C903F8" w:rsidRDefault="009C13A9" w:rsidP="009C13A9">
      <w:pPr>
        <w:spacing w:line="240" w:lineRule="atLeast"/>
        <w:ind w:left="0" w:firstLine="0"/>
        <w:rPr>
          <w:rFonts w:cs="Arial"/>
          <w:noProof/>
          <w:szCs w:val="20"/>
          <w:lang w:val="en-US" w:bidi="fr-FR"/>
        </w:rPr>
      </w:pPr>
    </w:p>
    <w:p w:rsidR="009C13A9" w:rsidRPr="00C903F8" w:rsidRDefault="009C13A9" w:rsidP="009C13A9">
      <w:pPr>
        <w:spacing w:line="240" w:lineRule="atLeast"/>
        <w:ind w:left="0" w:firstLine="0"/>
        <w:rPr>
          <w:rFonts w:cs="Arial"/>
          <w:noProof/>
          <w:szCs w:val="20"/>
          <w:lang w:val="en-US" w:bidi="fr-FR"/>
        </w:rPr>
      </w:pPr>
    </w:p>
    <w:p w:rsidR="009C13A9" w:rsidRPr="00C903F8" w:rsidRDefault="009C13A9" w:rsidP="009C13A9">
      <w:pPr>
        <w:spacing w:line="240" w:lineRule="atLeast"/>
        <w:ind w:left="0" w:firstLine="0"/>
        <w:rPr>
          <w:rFonts w:cs="Arial"/>
          <w:noProof/>
          <w:szCs w:val="20"/>
          <w:lang w:val="en-US" w:bidi="fr-FR"/>
        </w:rPr>
      </w:pPr>
    </w:p>
    <w:p w:rsidR="009C13A9" w:rsidRPr="00C903F8" w:rsidRDefault="009C13A9" w:rsidP="009C13A9">
      <w:pPr>
        <w:tabs>
          <w:tab w:val="center" w:pos="8647"/>
        </w:tabs>
        <w:rPr>
          <w:rFonts w:cs="Arial"/>
          <w:szCs w:val="20"/>
          <w:lang w:val="en-US"/>
        </w:rPr>
        <w:sectPr w:rsidR="009C13A9" w:rsidRPr="00C903F8" w:rsidSect="0042206B">
          <w:headerReference w:type="default" r:id="rId40"/>
          <w:footerReference w:type="default" r:id="rId41"/>
          <w:headerReference w:type="first" r:id="rId42"/>
          <w:footnotePr>
            <w:numRestart w:val="eachPage"/>
          </w:footnotePr>
          <w:pgSz w:w="11907" w:h="16840"/>
          <w:pgMar w:top="1418" w:right="1418" w:bottom="1418" w:left="1418" w:header="720" w:footer="720" w:gutter="0"/>
          <w:cols w:space="720"/>
          <w:docGrid w:linePitch="272"/>
        </w:sectPr>
      </w:pPr>
    </w:p>
    <w:p w:rsidR="009C13A9" w:rsidRPr="00C903F8" w:rsidRDefault="009C13A9" w:rsidP="009C13A9">
      <w:pPr>
        <w:tabs>
          <w:tab w:val="center" w:pos="8647"/>
        </w:tabs>
        <w:rPr>
          <w:rFonts w:cs="Arial"/>
          <w:szCs w:val="20"/>
          <w:lang w:val="en-US"/>
        </w:rPr>
      </w:pPr>
    </w:p>
    <w:p w:rsidR="009C13A9" w:rsidRPr="00C903F8" w:rsidRDefault="009C13A9" w:rsidP="009C13A9">
      <w:pPr>
        <w:pStyle w:val="ES-Titre2"/>
        <w:pageBreakBefore w:val="0"/>
      </w:pPr>
      <w:bookmarkStart w:id="316" w:name="_Toc491854294"/>
      <w:r w:rsidRPr="00C903F8">
        <w:t>Annex 3</w:t>
      </w:r>
      <w:r w:rsidRPr="00C903F8">
        <w:br/>
        <w:t>Model</w:t>
      </w:r>
      <w:r w:rsidR="0025243A" w:rsidRPr="00C903F8">
        <w:t>s of inland navigation vessel certificates and model of</w:t>
      </w:r>
      <w:r w:rsidRPr="00C903F8">
        <w:t xml:space="preserve"> register of inland navigation vessel certificates</w:t>
      </w:r>
      <w:bookmarkEnd w:id="316"/>
    </w:p>
    <w:p w:rsidR="0006083D" w:rsidRPr="00C903F8" w:rsidRDefault="0006083D" w:rsidP="00394AE4">
      <w:pPr>
        <w:pStyle w:val="ESgauche"/>
        <w:rPr>
          <w:lang w:val="en-US"/>
        </w:rPr>
      </w:pPr>
    </w:p>
    <w:p w:rsidR="009C13A9" w:rsidRPr="00C903F8" w:rsidRDefault="00925755" w:rsidP="00857FC2">
      <w:pPr>
        <w:pStyle w:val="ES-Titre3"/>
        <w:rPr>
          <w:noProof/>
          <w:lang w:val="en-US"/>
        </w:rPr>
      </w:pPr>
      <w:bookmarkStart w:id="317" w:name="_Toc491854295"/>
      <w:r w:rsidRPr="00C903F8">
        <w:rPr>
          <w:noProof/>
          <w:lang w:val="en-US"/>
        </w:rPr>
        <w:t>Section</w:t>
      </w:r>
      <w:r w:rsidR="009C13A9" w:rsidRPr="00C903F8">
        <w:rPr>
          <w:noProof/>
          <w:lang w:val="en-US"/>
        </w:rPr>
        <w:t xml:space="preserve"> I</w:t>
      </w:r>
      <w:bookmarkEnd w:id="317"/>
    </w:p>
    <w:p w:rsidR="009C13A9" w:rsidRPr="00C903F8" w:rsidRDefault="009C13A9" w:rsidP="00857FC2">
      <w:pPr>
        <w:pStyle w:val="ES-Titre3a"/>
        <w:rPr>
          <w:lang w:val="en-US"/>
        </w:rPr>
      </w:pPr>
      <w:bookmarkStart w:id="318" w:name="_Toc491854296"/>
      <w:r w:rsidRPr="00C903F8">
        <w:rPr>
          <w:lang w:val="en-US"/>
        </w:rPr>
        <w:t xml:space="preserve">Model of </w:t>
      </w:r>
      <w:r w:rsidR="00A938EB" w:rsidRPr="00C903F8">
        <w:rPr>
          <w:lang w:val="en-US"/>
        </w:rPr>
        <w:t>i</w:t>
      </w:r>
      <w:r w:rsidRPr="00C903F8">
        <w:rPr>
          <w:lang w:val="en-US"/>
        </w:rPr>
        <w:t>nland navigation vessel certificate</w:t>
      </w:r>
      <w:bookmarkEnd w:id="318"/>
    </w:p>
    <w:p w:rsidR="009C13A9" w:rsidRPr="00C903F8" w:rsidRDefault="009C13A9" w:rsidP="009C13A9">
      <w:pPr>
        <w:tabs>
          <w:tab w:val="left" w:pos="284"/>
          <w:tab w:val="left" w:leader="dot" w:pos="9356"/>
        </w:tabs>
        <w:overflowPunct w:val="0"/>
        <w:adjustRightInd w:val="0"/>
        <w:ind w:left="0" w:firstLine="0"/>
        <w:textAlignment w:val="baseline"/>
        <w:rPr>
          <w:rFonts w:cs="Arial"/>
          <w:szCs w:val="20"/>
          <w:lang w:val="en-US"/>
        </w:rPr>
      </w:pPr>
    </w:p>
    <w:p w:rsidR="009C13A9" w:rsidRPr="00C903F8" w:rsidRDefault="009C13A9" w:rsidP="009C13A9">
      <w:pPr>
        <w:tabs>
          <w:tab w:val="left" w:pos="284"/>
          <w:tab w:val="left" w:leader="dot" w:pos="9356"/>
        </w:tabs>
        <w:overflowPunct w:val="0"/>
        <w:adjustRightInd w:val="0"/>
        <w:ind w:left="0" w:firstLine="0"/>
        <w:textAlignment w:val="baseline"/>
        <w:rPr>
          <w:rFonts w:cs="Arial"/>
          <w:szCs w:val="20"/>
          <w:lang w:val="en-US"/>
        </w:rPr>
      </w:pPr>
    </w:p>
    <w:p w:rsidR="009C13A9" w:rsidRPr="00C903F8" w:rsidRDefault="009C13A9" w:rsidP="009C13A9">
      <w:pPr>
        <w:tabs>
          <w:tab w:val="left" w:pos="284"/>
          <w:tab w:val="left" w:leader="dot" w:pos="9356"/>
        </w:tabs>
        <w:overflowPunct w:val="0"/>
        <w:adjustRightInd w:val="0"/>
        <w:ind w:left="0" w:firstLine="0"/>
        <w:jc w:val="center"/>
        <w:textAlignment w:val="baseline"/>
        <w:rPr>
          <w:rFonts w:cs="Arial"/>
          <w:b/>
          <w:sz w:val="22"/>
          <w:szCs w:val="22"/>
          <w:lang w:val="en-US"/>
        </w:rPr>
      </w:pPr>
      <w:r w:rsidRPr="00C903F8">
        <w:rPr>
          <w:rFonts w:cs="Arial"/>
          <w:b/>
          <w:sz w:val="22"/>
          <w:szCs w:val="22"/>
          <w:lang w:val="en-US"/>
        </w:rPr>
        <w:t>Name of State / Seal</w:t>
      </w:r>
    </w:p>
    <w:p w:rsidR="009C13A9" w:rsidRPr="00C903F8" w:rsidRDefault="009C13A9" w:rsidP="009C13A9">
      <w:pPr>
        <w:tabs>
          <w:tab w:val="left" w:pos="284"/>
          <w:tab w:val="left" w:leader="dot" w:pos="9356"/>
        </w:tabs>
        <w:overflowPunct w:val="0"/>
        <w:adjustRightInd w:val="0"/>
        <w:ind w:left="0" w:firstLine="0"/>
        <w:jc w:val="center"/>
        <w:textAlignment w:val="baseline"/>
        <w:rPr>
          <w:rFonts w:cs="Arial"/>
          <w:b/>
          <w:sz w:val="22"/>
          <w:szCs w:val="22"/>
          <w:lang w:val="en-US"/>
        </w:rPr>
      </w:pPr>
    </w:p>
    <w:p w:rsidR="009C13A9" w:rsidRPr="00C903F8" w:rsidRDefault="009C13A9" w:rsidP="009C13A9">
      <w:pPr>
        <w:tabs>
          <w:tab w:val="left" w:pos="284"/>
          <w:tab w:val="left" w:leader="dot" w:pos="9356"/>
        </w:tabs>
        <w:overflowPunct w:val="0"/>
        <w:adjustRightInd w:val="0"/>
        <w:ind w:left="0" w:firstLine="0"/>
        <w:jc w:val="center"/>
        <w:textAlignment w:val="baseline"/>
        <w:rPr>
          <w:rFonts w:cs="Arial"/>
          <w:b/>
          <w:sz w:val="22"/>
          <w:szCs w:val="22"/>
          <w:lang w:val="en-US"/>
        </w:rPr>
      </w:pPr>
    </w:p>
    <w:p w:rsidR="00AA5614" w:rsidRPr="000C5B42" w:rsidRDefault="00AA5614" w:rsidP="00AA5614">
      <w:pPr>
        <w:tabs>
          <w:tab w:val="left" w:pos="284"/>
          <w:tab w:val="left" w:leader="dot" w:pos="9356"/>
        </w:tabs>
        <w:overflowPunct w:val="0"/>
        <w:adjustRightInd w:val="0"/>
        <w:jc w:val="center"/>
        <w:textAlignment w:val="baseline"/>
        <w:rPr>
          <w:rFonts w:cs="Arial"/>
          <w:b/>
          <w:sz w:val="22"/>
          <w:szCs w:val="22"/>
          <w:lang w:val="en-US"/>
        </w:rPr>
      </w:pPr>
      <w:r w:rsidRPr="00B9093D">
        <w:rPr>
          <w:rFonts w:cs="Arial"/>
          <w:b/>
          <w:sz w:val="22"/>
          <w:szCs w:val="22"/>
          <w:lang w:val="en-US"/>
        </w:rPr>
        <w:t>INLAND NAVIGATION VESSEL CERTIFICATE</w:t>
      </w:r>
    </w:p>
    <w:p w:rsidR="009C13A9" w:rsidRPr="00C903F8" w:rsidRDefault="009C13A9" w:rsidP="009C13A9">
      <w:pPr>
        <w:tabs>
          <w:tab w:val="left" w:pos="284"/>
          <w:tab w:val="left" w:leader="dot" w:pos="9356"/>
        </w:tabs>
        <w:overflowPunct w:val="0"/>
        <w:adjustRightInd w:val="0"/>
        <w:ind w:left="0" w:firstLine="0"/>
        <w:jc w:val="center"/>
        <w:textAlignment w:val="baseline"/>
        <w:rPr>
          <w:rFonts w:cs="Arial"/>
          <w:b/>
          <w:sz w:val="22"/>
          <w:szCs w:val="22"/>
          <w:lang w:val="en-US"/>
        </w:rPr>
      </w:pPr>
    </w:p>
    <w:p w:rsidR="009C13A9" w:rsidRPr="00C903F8" w:rsidRDefault="009C13A9" w:rsidP="009C13A9">
      <w:pPr>
        <w:tabs>
          <w:tab w:val="left" w:pos="284"/>
          <w:tab w:val="left" w:leader="dot" w:pos="9356"/>
        </w:tabs>
        <w:overflowPunct w:val="0"/>
        <w:adjustRightInd w:val="0"/>
        <w:ind w:left="0" w:firstLine="0"/>
        <w:jc w:val="center"/>
        <w:textAlignment w:val="baseline"/>
        <w:rPr>
          <w:rFonts w:cs="Arial"/>
          <w:b/>
          <w:sz w:val="22"/>
          <w:szCs w:val="22"/>
          <w:lang w:val="en-US"/>
        </w:rPr>
      </w:pPr>
    </w:p>
    <w:p w:rsidR="009C13A9" w:rsidRPr="00C903F8" w:rsidRDefault="009C13A9" w:rsidP="009C13A9">
      <w:pPr>
        <w:tabs>
          <w:tab w:val="left" w:pos="284"/>
          <w:tab w:val="left" w:leader="dot" w:pos="1701"/>
          <w:tab w:val="left" w:leader="dot" w:pos="9356"/>
        </w:tabs>
        <w:overflowPunct w:val="0"/>
        <w:adjustRightInd w:val="0"/>
        <w:ind w:left="0" w:firstLine="0"/>
        <w:jc w:val="center"/>
        <w:textAlignment w:val="baseline"/>
        <w:rPr>
          <w:rFonts w:cs="Arial"/>
          <w:b/>
          <w:sz w:val="22"/>
          <w:szCs w:val="22"/>
          <w:lang w:val="en-US"/>
        </w:rPr>
      </w:pPr>
      <w:r w:rsidRPr="00C903F8">
        <w:rPr>
          <w:rFonts w:cs="Arial"/>
          <w:b/>
          <w:sz w:val="22"/>
          <w:szCs w:val="22"/>
          <w:lang w:val="en-US"/>
        </w:rPr>
        <w:t xml:space="preserve">No </w:t>
      </w:r>
      <w:r w:rsidRPr="00C903F8">
        <w:rPr>
          <w:rFonts w:cs="Arial"/>
          <w:b/>
          <w:sz w:val="22"/>
          <w:szCs w:val="22"/>
          <w:lang w:val="en-US"/>
        </w:rPr>
        <w:tab/>
      </w:r>
    </w:p>
    <w:p w:rsidR="009C13A9" w:rsidRPr="00C903F8" w:rsidRDefault="009C13A9" w:rsidP="009C13A9">
      <w:pPr>
        <w:tabs>
          <w:tab w:val="left" w:pos="284"/>
          <w:tab w:val="left" w:leader="dot" w:pos="2268"/>
          <w:tab w:val="left" w:leader="dot" w:pos="9356"/>
        </w:tabs>
        <w:overflowPunct w:val="0"/>
        <w:adjustRightInd w:val="0"/>
        <w:ind w:left="0" w:firstLine="0"/>
        <w:textAlignment w:val="baseline"/>
        <w:rPr>
          <w:rFonts w:cs="Arial"/>
          <w:szCs w:val="20"/>
          <w:lang w:val="en-US"/>
        </w:rPr>
      </w:pPr>
    </w:p>
    <w:p w:rsidR="009C13A9" w:rsidRPr="00C903F8" w:rsidRDefault="009C13A9" w:rsidP="009C13A9">
      <w:pPr>
        <w:tabs>
          <w:tab w:val="left" w:pos="284"/>
          <w:tab w:val="left" w:leader="dot" w:pos="2268"/>
          <w:tab w:val="left" w:leader="dot" w:pos="9356"/>
        </w:tabs>
        <w:overflowPunct w:val="0"/>
        <w:adjustRightInd w:val="0"/>
        <w:ind w:left="0" w:firstLine="0"/>
        <w:textAlignment w:val="baseline"/>
        <w:rPr>
          <w:rFonts w:cs="Arial"/>
          <w:szCs w:val="20"/>
          <w:lang w:val="en-US"/>
        </w:rPr>
      </w:pPr>
    </w:p>
    <w:p w:rsidR="009C13A9" w:rsidRPr="00C903F8" w:rsidRDefault="009C13A9" w:rsidP="009C13A9">
      <w:pPr>
        <w:tabs>
          <w:tab w:val="left" w:pos="284"/>
          <w:tab w:val="left" w:leader="dot" w:pos="2268"/>
          <w:tab w:val="left" w:leader="dot" w:pos="9356"/>
        </w:tabs>
        <w:overflowPunct w:val="0"/>
        <w:adjustRightInd w:val="0"/>
        <w:ind w:left="0" w:firstLine="0"/>
        <w:textAlignment w:val="baseline"/>
        <w:rPr>
          <w:rFonts w:cs="Arial"/>
          <w:szCs w:val="20"/>
          <w:lang w:val="en-US"/>
        </w:rPr>
      </w:pPr>
    </w:p>
    <w:p w:rsidR="009C13A9" w:rsidRPr="00C903F8" w:rsidRDefault="009C13A9" w:rsidP="009C13A9">
      <w:pPr>
        <w:tabs>
          <w:tab w:val="left" w:pos="397"/>
          <w:tab w:val="left" w:leader="dot" w:pos="9356"/>
        </w:tabs>
        <w:overflowPunct w:val="0"/>
        <w:adjustRightInd w:val="0"/>
        <w:ind w:left="0" w:firstLine="0"/>
        <w:textAlignment w:val="baseline"/>
        <w:rPr>
          <w:rFonts w:cs="Arial"/>
          <w:szCs w:val="20"/>
          <w:lang w:val="en-US"/>
        </w:rPr>
      </w:pPr>
      <w:r w:rsidRPr="00C903F8">
        <w:rPr>
          <w:rFonts w:cs="Arial"/>
          <w:szCs w:val="20"/>
          <w:lang w:val="en-US"/>
        </w:rPr>
        <w:tab/>
        <w:t>Place, date</w:t>
      </w:r>
    </w:p>
    <w:p w:rsidR="009C13A9" w:rsidRPr="00C903F8" w:rsidRDefault="009C13A9" w:rsidP="009C13A9">
      <w:pPr>
        <w:tabs>
          <w:tab w:val="left" w:pos="113"/>
          <w:tab w:val="left" w:pos="397"/>
          <w:tab w:val="left" w:leader="dot" w:pos="9356"/>
        </w:tabs>
        <w:overflowPunct w:val="0"/>
        <w:adjustRightInd w:val="0"/>
        <w:ind w:left="0" w:firstLine="0"/>
        <w:textAlignment w:val="baseline"/>
        <w:rPr>
          <w:rFonts w:cs="Arial"/>
          <w:szCs w:val="20"/>
          <w:lang w:val="en-US"/>
        </w:rPr>
      </w:pPr>
    </w:p>
    <w:p w:rsidR="009C13A9" w:rsidRPr="00C903F8" w:rsidRDefault="009C13A9" w:rsidP="009C13A9">
      <w:pPr>
        <w:tabs>
          <w:tab w:val="left" w:pos="397"/>
          <w:tab w:val="left" w:leader="dot" w:pos="4536"/>
          <w:tab w:val="left" w:leader="dot" w:pos="9356"/>
        </w:tabs>
        <w:overflowPunct w:val="0"/>
        <w:adjustRightInd w:val="0"/>
        <w:ind w:left="0" w:firstLine="0"/>
        <w:textAlignment w:val="baseline"/>
        <w:rPr>
          <w:rFonts w:cs="Arial"/>
          <w:szCs w:val="20"/>
          <w:lang w:val="en-US"/>
        </w:rPr>
      </w:pPr>
      <w:r w:rsidRPr="00C903F8">
        <w:rPr>
          <w:rFonts w:cs="Arial"/>
          <w:szCs w:val="20"/>
          <w:lang w:val="en-US"/>
        </w:rPr>
        <w:tab/>
      </w:r>
      <w:r w:rsidRPr="00C903F8">
        <w:rPr>
          <w:rFonts w:cs="Arial"/>
          <w:szCs w:val="20"/>
          <w:lang w:val="en-US"/>
        </w:rPr>
        <w:tab/>
      </w:r>
    </w:p>
    <w:p w:rsidR="009C13A9" w:rsidRPr="00C903F8" w:rsidRDefault="009C13A9" w:rsidP="009C13A9">
      <w:pPr>
        <w:tabs>
          <w:tab w:val="left" w:pos="113"/>
          <w:tab w:val="left" w:pos="397"/>
          <w:tab w:val="left" w:leader="dot" w:pos="3969"/>
          <w:tab w:val="left" w:leader="dot" w:pos="9356"/>
        </w:tabs>
        <w:overflowPunct w:val="0"/>
        <w:adjustRightInd w:val="0"/>
        <w:ind w:left="0" w:firstLine="0"/>
        <w:textAlignment w:val="baseline"/>
        <w:rPr>
          <w:rFonts w:cs="Arial"/>
          <w:szCs w:val="20"/>
          <w:lang w:val="en-US"/>
        </w:rPr>
      </w:pPr>
    </w:p>
    <w:p w:rsidR="009C13A9" w:rsidRPr="00C903F8" w:rsidRDefault="009C13A9" w:rsidP="009C13A9">
      <w:pPr>
        <w:tabs>
          <w:tab w:val="center" w:pos="7088"/>
          <w:tab w:val="left" w:leader="dot" w:pos="9356"/>
        </w:tabs>
        <w:overflowPunct w:val="0"/>
        <w:adjustRightInd w:val="0"/>
        <w:ind w:left="0" w:firstLine="0"/>
        <w:textAlignment w:val="baseline"/>
        <w:rPr>
          <w:rFonts w:cs="Arial"/>
          <w:szCs w:val="20"/>
          <w:lang w:val="en-US"/>
        </w:rPr>
      </w:pPr>
      <w:r w:rsidRPr="00C903F8">
        <w:rPr>
          <w:rFonts w:cs="Arial"/>
          <w:szCs w:val="20"/>
          <w:lang w:val="en-US"/>
        </w:rPr>
        <w:tab/>
        <w:t>Inspection body</w:t>
      </w:r>
    </w:p>
    <w:p w:rsidR="009C13A9" w:rsidRPr="00C903F8" w:rsidRDefault="009C13A9" w:rsidP="009C13A9">
      <w:pPr>
        <w:tabs>
          <w:tab w:val="left" w:pos="113"/>
          <w:tab w:val="left" w:pos="397"/>
          <w:tab w:val="left" w:pos="5103"/>
          <w:tab w:val="left" w:leader="dot" w:pos="9356"/>
        </w:tabs>
        <w:overflowPunct w:val="0"/>
        <w:adjustRightInd w:val="0"/>
        <w:ind w:left="0" w:firstLine="0"/>
        <w:textAlignment w:val="baseline"/>
        <w:rPr>
          <w:rFonts w:cs="Arial"/>
          <w:szCs w:val="20"/>
          <w:lang w:val="en-US"/>
        </w:rPr>
      </w:pPr>
    </w:p>
    <w:p w:rsidR="009C13A9" w:rsidRPr="00C903F8" w:rsidRDefault="009C13A9" w:rsidP="009C13A9">
      <w:pPr>
        <w:tabs>
          <w:tab w:val="left" w:pos="5103"/>
          <w:tab w:val="left" w:leader="dot" w:pos="9072"/>
        </w:tabs>
        <w:overflowPunct w:val="0"/>
        <w:adjustRightInd w:val="0"/>
        <w:ind w:left="0" w:firstLine="0"/>
        <w:textAlignment w:val="baseline"/>
        <w:rPr>
          <w:rFonts w:cs="Arial"/>
          <w:szCs w:val="20"/>
          <w:lang w:val="en-US"/>
        </w:rPr>
      </w:pPr>
      <w:r w:rsidRPr="00C903F8">
        <w:rPr>
          <w:rFonts w:cs="Arial"/>
          <w:szCs w:val="20"/>
          <w:lang w:val="en-US"/>
        </w:rPr>
        <w:tab/>
      </w:r>
      <w:r w:rsidRPr="00C903F8">
        <w:rPr>
          <w:rFonts w:cs="Arial"/>
          <w:szCs w:val="20"/>
          <w:lang w:val="en-US"/>
        </w:rPr>
        <w:tab/>
      </w:r>
    </w:p>
    <w:p w:rsidR="009C13A9" w:rsidRPr="00C903F8" w:rsidRDefault="009C13A9" w:rsidP="009C13A9">
      <w:pPr>
        <w:tabs>
          <w:tab w:val="center" w:pos="1985"/>
          <w:tab w:val="left" w:pos="5103"/>
          <w:tab w:val="left" w:leader="dot" w:pos="9356"/>
        </w:tabs>
        <w:overflowPunct w:val="0"/>
        <w:adjustRightInd w:val="0"/>
        <w:ind w:left="0" w:firstLine="0"/>
        <w:textAlignment w:val="baseline"/>
        <w:rPr>
          <w:rFonts w:cs="Arial"/>
          <w:szCs w:val="20"/>
          <w:lang w:val="en-US"/>
        </w:rPr>
      </w:pPr>
      <w:r w:rsidRPr="00C903F8">
        <w:rPr>
          <w:rFonts w:cs="Arial"/>
          <w:szCs w:val="20"/>
          <w:lang w:val="en-US"/>
        </w:rPr>
        <w:tab/>
      </w:r>
      <w:r w:rsidR="00647244" w:rsidRPr="00C903F8">
        <w:rPr>
          <w:rFonts w:cs="Arial"/>
          <w:szCs w:val="20"/>
          <w:lang w:val="en-US"/>
        </w:rPr>
        <w:t>Stamp</w:t>
      </w:r>
    </w:p>
    <w:p w:rsidR="009C13A9" w:rsidRPr="00C903F8" w:rsidRDefault="009C13A9" w:rsidP="009C13A9">
      <w:pPr>
        <w:tabs>
          <w:tab w:val="left" w:pos="113"/>
          <w:tab w:val="left" w:pos="397"/>
          <w:tab w:val="left" w:pos="5103"/>
          <w:tab w:val="left" w:leader="dot" w:pos="9356"/>
        </w:tabs>
        <w:overflowPunct w:val="0"/>
        <w:adjustRightInd w:val="0"/>
        <w:ind w:left="0" w:firstLine="0"/>
        <w:textAlignment w:val="baseline"/>
        <w:rPr>
          <w:rFonts w:cs="Arial"/>
          <w:szCs w:val="20"/>
          <w:lang w:val="en-US"/>
        </w:rPr>
      </w:pPr>
    </w:p>
    <w:p w:rsidR="009C13A9" w:rsidRPr="00C903F8" w:rsidRDefault="009C13A9" w:rsidP="009C13A9">
      <w:pPr>
        <w:tabs>
          <w:tab w:val="left" w:pos="113"/>
          <w:tab w:val="left" w:pos="397"/>
          <w:tab w:val="left" w:pos="5103"/>
          <w:tab w:val="left" w:leader="dot" w:pos="9356"/>
        </w:tabs>
        <w:overflowPunct w:val="0"/>
        <w:adjustRightInd w:val="0"/>
        <w:ind w:left="0" w:firstLine="0"/>
        <w:textAlignment w:val="baseline"/>
        <w:rPr>
          <w:rFonts w:cs="Arial"/>
          <w:szCs w:val="20"/>
          <w:lang w:val="en-US"/>
        </w:rPr>
      </w:pPr>
    </w:p>
    <w:p w:rsidR="009C13A9" w:rsidRPr="00C903F8" w:rsidRDefault="009C13A9" w:rsidP="009C13A9">
      <w:pPr>
        <w:tabs>
          <w:tab w:val="left" w:pos="113"/>
          <w:tab w:val="left" w:pos="397"/>
          <w:tab w:val="left" w:pos="5103"/>
          <w:tab w:val="left" w:leader="dot" w:pos="9356"/>
        </w:tabs>
        <w:overflowPunct w:val="0"/>
        <w:adjustRightInd w:val="0"/>
        <w:ind w:left="0" w:firstLine="0"/>
        <w:textAlignment w:val="baseline"/>
        <w:rPr>
          <w:rFonts w:cs="Arial"/>
          <w:szCs w:val="20"/>
          <w:lang w:val="en-US"/>
        </w:rPr>
      </w:pPr>
    </w:p>
    <w:p w:rsidR="009C13A9" w:rsidRPr="00C903F8" w:rsidRDefault="009C13A9" w:rsidP="009C13A9">
      <w:pPr>
        <w:tabs>
          <w:tab w:val="left" w:pos="113"/>
          <w:tab w:val="left" w:pos="397"/>
          <w:tab w:val="left" w:pos="5103"/>
          <w:tab w:val="left" w:leader="dot" w:pos="9356"/>
        </w:tabs>
        <w:overflowPunct w:val="0"/>
        <w:adjustRightInd w:val="0"/>
        <w:ind w:left="0" w:firstLine="0"/>
        <w:textAlignment w:val="baseline"/>
        <w:rPr>
          <w:rFonts w:cs="Arial"/>
          <w:szCs w:val="20"/>
          <w:lang w:val="en-US"/>
        </w:rPr>
      </w:pPr>
    </w:p>
    <w:p w:rsidR="009C13A9" w:rsidRPr="00C903F8" w:rsidRDefault="009C13A9" w:rsidP="009C13A9">
      <w:pPr>
        <w:tabs>
          <w:tab w:val="left" w:pos="5103"/>
          <w:tab w:val="left" w:leader="dot" w:pos="9072"/>
        </w:tabs>
        <w:overflowPunct w:val="0"/>
        <w:adjustRightInd w:val="0"/>
        <w:ind w:left="0" w:firstLine="0"/>
        <w:textAlignment w:val="baseline"/>
        <w:rPr>
          <w:rFonts w:cs="Arial"/>
          <w:szCs w:val="20"/>
          <w:lang w:val="en-US"/>
        </w:rPr>
      </w:pPr>
      <w:r w:rsidRPr="00C903F8">
        <w:rPr>
          <w:rFonts w:cs="Arial"/>
          <w:szCs w:val="20"/>
          <w:lang w:val="en-US"/>
        </w:rPr>
        <w:tab/>
      </w:r>
      <w:r w:rsidRPr="00C903F8">
        <w:rPr>
          <w:rFonts w:cs="Arial"/>
          <w:szCs w:val="20"/>
          <w:lang w:val="en-US"/>
        </w:rPr>
        <w:tab/>
      </w:r>
    </w:p>
    <w:p w:rsidR="009C13A9" w:rsidRPr="00C903F8" w:rsidRDefault="009C13A9" w:rsidP="009C13A9">
      <w:pPr>
        <w:tabs>
          <w:tab w:val="center" w:pos="7088"/>
          <w:tab w:val="left" w:leader="dot" w:pos="9356"/>
        </w:tabs>
        <w:overflowPunct w:val="0"/>
        <w:adjustRightInd w:val="0"/>
        <w:ind w:left="0" w:firstLine="0"/>
        <w:textAlignment w:val="baseline"/>
        <w:rPr>
          <w:rFonts w:cs="Arial"/>
          <w:szCs w:val="20"/>
          <w:lang w:val="en-US"/>
        </w:rPr>
      </w:pPr>
      <w:r w:rsidRPr="00C903F8">
        <w:rPr>
          <w:rFonts w:cs="Arial"/>
          <w:szCs w:val="20"/>
          <w:lang w:val="en-US"/>
        </w:rPr>
        <w:tab/>
      </w:r>
      <w:r w:rsidRPr="00C903F8">
        <w:rPr>
          <w:rFonts w:cs="Arial"/>
          <w:sz w:val="16"/>
          <w:szCs w:val="20"/>
          <w:lang w:val="en-US"/>
        </w:rPr>
        <w:t>(Signature)</w:t>
      </w:r>
    </w:p>
    <w:p w:rsidR="009C13A9" w:rsidRPr="00C903F8" w:rsidRDefault="009C13A9" w:rsidP="009C13A9">
      <w:pPr>
        <w:tabs>
          <w:tab w:val="left" w:pos="284"/>
          <w:tab w:val="left" w:leader="dot" w:pos="2268"/>
          <w:tab w:val="left" w:leader="dot" w:pos="9356"/>
        </w:tabs>
        <w:overflowPunct w:val="0"/>
        <w:adjustRightInd w:val="0"/>
        <w:ind w:left="0" w:firstLine="0"/>
        <w:textAlignment w:val="baseline"/>
        <w:rPr>
          <w:rFonts w:cs="Arial"/>
          <w:b/>
          <w:szCs w:val="20"/>
          <w:lang w:val="en-US"/>
        </w:rPr>
      </w:pPr>
    </w:p>
    <w:p w:rsidR="009C13A9" w:rsidRPr="00C903F8" w:rsidRDefault="009C13A9" w:rsidP="009C13A9">
      <w:pPr>
        <w:tabs>
          <w:tab w:val="left" w:pos="284"/>
          <w:tab w:val="left" w:leader="dot" w:pos="2268"/>
          <w:tab w:val="left" w:leader="dot" w:pos="9356"/>
        </w:tabs>
        <w:overflowPunct w:val="0"/>
        <w:adjustRightInd w:val="0"/>
        <w:ind w:left="0" w:firstLine="0"/>
        <w:textAlignment w:val="baseline"/>
        <w:rPr>
          <w:rFonts w:cs="Arial"/>
          <w:b/>
          <w:szCs w:val="20"/>
          <w:lang w:val="en-US"/>
        </w:rPr>
      </w:pPr>
    </w:p>
    <w:p w:rsidR="009C13A9" w:rsidRPr="00C903F8" w:rsidRDefault="009C13A9" w:rsidP="009C13A9">
      <w:pPr>
        <w:tabs>
          <w:tab w:val="left" w:pos="284"/>
          <w:tab w:val="left" w:leader="dot" w:pos="2268"/>
          <w:tab w:val="left" w:leader="dot" w:pos="9356"/>
        </w:tabs>
        <w:overflowPunct w:val="0"/>
        <w:adjustRightInd w:val="0"/>
        <w:ind w:left="0" w:firstLine="0"/>
        <w:textAlignment w:val="baseline"/>
        <w:rPr>
          <w:rFonts w:cs="Arial"/>
          <w:b/>
          <w:szCs w:val="20"/>
          <w:lang w:val="en-US"/>
        </w:rPr>
      </w:pPr>
    </w:p>
    <w:p w:rsidR="009C13A9" w:rsidRPr="00C903F8" w:rsidRDefault="009C13A9" w:rsidP="009C13A9">
      <w:pPr>
        <w:tabs>
          <w:tab w:val="left" w:pos="284"/>
          <w:tab w:val="left" w:leader="dot" w:pos="2268"/>
          <w:tab w:val="left" w:leader="dot" w:pos="9356"/>
        </w:tabs>
        <w:overflowPunct w:val="0"/>
        <w:adjustRightInd w:val="0"/>
        <w:ind w:left="0" w:firstLine="0"/>
        <w:textAlignment w:val="baseline"/>
        <w:rPr>
          <w:rFonts w:cs="Arial"/>
          <w:b/>
          <w:szCs w:val="20"/>
          <w:lang w:val="en-US"/>
        </w:rPr>
      </w:pPr>
    </w:p>
    <w:p w:rsidR="009C13A9" w:rsidRPr="00C903F8" w:rsidRDefault="009C13A9" w:rsidP="009C13A9">
      <w:pPr>
        <w:tabs>
          <w:tab w:val="left" w:pos="284"/>
          <w:tab w:val="left" w:leader="dot" w:pos="2268"/>
          <w:tab w:val="left" w:leader="dot" w:pos="9356"/>
        </w:tabs>
        <w:overflowPunct w:val="0"/>
        <w:adjustRightInd w:val="0"/>
        <w:ind w:left="0" w:firstLine="0"/>
        <w:textAlignment w:val="baseline"/>
        <w:rPr>
          <w:rFonts w:cs="Arial"/>
          <w:b/>
          <w:szCs w:val="20"/>
          <w:lang w:val="en-US"/>
        </w:rPr>
      </w:pPr>
    </w:p>
    <w:p w:rsidR="009C13A9" w:rsidRPr="00C903F8" w:rsidRDefault="009C13A9" w:rsidP="009C13A9">
      <w:pPr>
        <w:tabs>
          <w:tab w:val="left" w:pos="284"/>
          <w:tab w:val="left" w:leader="dot" w:pos="2268"/>
          <w:tab w:val="left" w:leader="dot" w:pos="9356"/>
        </w:tabs>
        <w:overflowPunct w:val="0"/>
        <w:adjustRightInd w:val="0"/>
        <w:ind w:left="0" w:firstLine="0"/>
        <w:textAlignment w:val="baseline"/>
        <w:rPr>
          <w:rFonts w:cs="Arial"/>
          <w:szCs w:val="20"/>
          <w:lang w:val="en-US"/>
        </w:rPr>
      </w:pPr>
      <w:r w:rsidRPr="00C903F8">
        <w:rPr>
          <w:rFonts w:cs="Arial"/>
          <w:szCs w:val="20"/>
          <w:lang w:val="en-US"/>
        </w:rPr>
        <w:t>Remarks:</w:t>
      </w:r>
    </w:p>
    <w:p w:rsidR="009C13A9" w:rsidRPr="00C903F8" w:rsidRDefault="009C13A9" w:rsidP="009C13A9">
      <w:pPr>
        <w:tabs>
          <w:tab w:val="left" w:pos="284"/>
          <w:tab w:val="left" w:leader="dot" w:pos="2268"/>
          <w:tab w:val="left" w:leader="dot" w:pos="9356"/>
        </w:tabs>
        <w:overflowPunct w:val="0"/>
        <w:adjustRightInd w:val="0"/>
        <w:ind w:left="0" w:firstLine="0"/>
        <w:textAlignment w:val="baseline"/>
        <w:rPr>
          <w:rFonts w:cs="Arial"/>
          <w:szCs w:val="20"/>
          <w:lang w:val="en-US"/>
        </w:rPr>
      </w:pPr>
    </w:p>
    <w:p w:rsidR="00AA5614" w:rsidRPr="00B9093D" w:rsidRDefault="00AA5614" w:rsidP="00AA5614">
      <w:pPr>
        <w:tabs>
          <w:tab w:val="left" w:leader="dot" w:pos="2268"/>
          <w:tab w:val="left" w:leader="dot" w:pos="9356"/>
        </w:tabs>
        <w:overflowPunct w:val="0"/>
        <w:adjustRightInd w:val="0"/>
        <w:ind w:left="0" w:firstLine="0"/>
        <w:textAlignment w:val="baseline"/>
        <w:rPr>
          <w:rFonts w:cs="Arial"/>
          <w:szCs w:val="20"/>
          <w:lang w:val="en-US"/>
        </w:rPr>
      </w:pPr>
      <w:r w:rsidRPr="00B9093D">
        <w:rPr>
          <w:rFonts w:cs="Arial"/>
          <w:szCs w:val="20"/>
          <w:lang w:val="en-US"/>
        </w:rPr>
        <w:t>The craft may be used for navigation by virtue of this inland navigation vessel certificate only while in the condition herein described.</w:t>
      </w:r>
    </w:p>
    <w:p w:rsidR="00AA5614" w:rsidRPr="00B9093D" w:rsidRDefault="00AA5614" w:rsidP="00AA5614">
      <w:pPr>
        <w:tabs>
          <w:tab w:val="left" w:leader="dot" w:pos="2268"/>
          <w:tab w:val="left" w:leader="dot" w:pos="9356"/>
        </w:tabs>
        <w:overflowPunct w:val="0"/>
        <w:adjustRightInd w:val="0"/>
        <w:ind w:left="0" w:firstLine="0"/>
        <w:textAlignment w:val="baseline"/>
        <w:rPr>
          <w:rFonts w:cs="Arial"/>
          <w:szCs w:val="20"/>
          <w:lang w:val="en-US"/>
        </w:rPr>
      </w:pPr>
    </w:p>
    <w:p w:rsidR="00AA5614" w:rsidRPr="00B9093D" w:rsidRDefault="00AA5614" w:rsidP="00AA5614">
      <w:pPr>
        <w:tabs>
          <w:tab w:val="left" w:leader="dot" w:pos="2268"/>
          <w:tab w:val="left" w:leader="dot" w:pos="9356"/>
        </w:tabs>
        <w:overflowPunct w:val="0"/>
        <w:adjustRightInd w:val="0"/>
        <w:ind w:left="0" w:firstLine="0"/>
        <w:textAlignment w:val="baseline"/>
        <w:rPr>
          <w:rFonts w:cs="Arial"/>
          <w:szCs w:val="20"/>
          <w:lang w:val="en-US"/>
        </w:rPr>
      </w:pPr>
      <w:r w:rsidRPr="00B9093D">
        <w:rPr>
          <w:rFonts w:cs="Arial"/>
          <w:szCs w:val="20"/>
          <w:lang w:val="en-US"/>
        </w:rPr>
        <w:t>In the event of major alterations or repairs, the craft must undergo a special inspection before any new voyage.</w:t>
      </w:r>
    </w:p>
    <w:p w:rsidR="00AA5614" w:rsidRPr="00B9093D" w:rsidRDefault="00AA5614" w:rsidP="00AA5614">
      <w:pPr>
        <w:tabs>
          <w:tab w:val="left" w:leader="dot" w:pos="2268"/>
          <w:tab w:val="left" w:leader="dot" w:pos="9356"/>
        </w:tabs>
        <w:overflowPunct w:val="0"/>
        <w:adjustRightInd w:val="0"/>
        <w:ind w:left="0" w:firstLine="0"/>
        <w:textAlignment w:val="baseline"/>
        <w:rPr>
          <w:rFonts w:cs="Arial"/>
          <w:szCs w:val="20"/>
          <w:lang w:val="en-US"/>
        </w:rPr>
      </w:pPr>
    </w:p>
    <w:p w:rsidR="009C13A9" w:rsidRPr="00C903F8" w:rsidRDefault="00AA5614" w:rsidP="00AA5614">
      <w:pPr>
        <w:tabs>
          <w:tab w:val="left" w:leader="dot" w:pos="2268"/>
          <w:tab w:val="left" w:leader="dot" w:pos="9356"/>
        </w:tabs>
        <w:overflowPunct w:val="0"/>
        <w:adjustRightInd w:val="0"/>
        <w:ind w:left="0" w:firstLine="0"/>
        <w:textAlignment w:val="baseline"/>
        <w:rPr>
          <w:rFonts w:cs="Arial"/>
          <w:b/>
          <w:szCs w:val="20"/>
          <w:lang w:val="en-US"/>
        </w:rPr>
      </w:pPr>
      <w:r w:rsidRPr="00B9093D">
        <w:rPr>
          <w:rFonts w:cs="Arial"/>
          <w:szCs w:val="20"/>
          <w:lang w:val="en-US"/>
        </w:rPr>
        <w:t>The owner of a craft, or his representative, shall bring to the notice of the inspection body any change in the name or ownership of a craft, any re-measurement, and any change in the registration or home port, and shall send the inland navigation vessel certificate to</w:t>
      </w:r>
      <w:r w:rsidRPr="0095291A">
        <w:rPr>
          <w:rFonts w:cs="Arial"/>
          <w:szCs w:val="20"/>
          <w:lang w:val="en-US"/>
        </w:rPr>
        <w:t xml:space="preserve"> that inspection body for amendment</w:t>
      </w:r>
      <w:r>
        <w:rPr>
          <w:rFonts w:cs="Arial"/>
          <w:szCs w:val="20"/>
          <w:lang w:val="en-US"/>
        </w:rPr>
        <w:t>.</w:t>
      </w:r>
    </w:p>
    <w:p w:rsidR="009C13A9" w:rsidRPr="00AA5614" w:rsidRDefault="009C13A9" w:rsidP="00AA5614">
      <w:pPr>
        <w:tabs>
          <w:tab w:val="left" w:leader="dot" w:pos="2835"/>
          <w:tab w:val="left" w:leader="dot" w:pos="5103"/>
        </w:tabs>
        <w:overflowPunct w:val="0"/>
        <w:adjustRightInd w:val="0"/>
        <w:ind w:left="0" w:firstLine="0"/>
        <w:textAlignment w:val="baseline"/>
        <w:rPr>
          <w:rFonts w:cs="Arial"/>
          <w:szCs w:val="20"/>
          <w:lang w:val="en-GB"/>
        </w:rPr>
      </w:pPr>
      <w:r w:rsidRPr="00AA5614">
        <w:rPr>
          <w:rFonts w:cs="Arial"/>
          <w:b/>
          <w:szCs w:val="20"/>
          <w:lang w:val="en-GB"/>
        </w:rPr>
        <w:br w:type="page"/>
      </w:r>
      <w:r w:rsidR="00AA5614" w:rsidRPr="00AA5614">
        <w:rPr>
          <w:rFonts w:cs="Arial"/>
          <w:szCs w:val="20"/>
          <w:lang w:val="en-US"/>
        </w:rPr>
        <w:lastRenderedPageBreak/>
        <w:t xml:space="preserve">Inland navigation vessel certificate </w:t>
      </w:r>
      <w:r w:rsidR="00AA5614">
        <w:rPr>
          <w:rFonts w:cs="Arial"/>
          <w:szCs w:val="20"/>
          <w:lang w:val="en-GB"/>
        </w:rPr>
        <w:t xml:space="preserve">No </w:t>
      </w:r>
      <w:r w:rsidR="00AA5614" w:rsidRPr="00AA5614">
        <w:rPr>
          <w:rFonts w:cs="Arial"/>
          <w:szCs w:val="20"/>
          <w:lang w:val="en-GB"/>
        </w:rPr>
        <w:tab/>
      </w:r>
      <w:r w:rsidRPr="00AA5614">
        <w:rPr>
          <w:rFonts w:cs="Arial"/>
          <w:szCs w:val="20"/>
          <w:lang w:val="en-GB"/>
        </w:rPr>
        <w:t xml:space="preserve"> of the</w:t>
      </w:r>
      <w:r w:rsidR="00AA5614" w:rsidRPr="00AA5614">
        <w:rPr>
          <w:rFonts w:cs="Arial"/>
          <w:szCs w:val="20"/>
          <w:lang w:val="en-GB"/>
        </w:rPr>
        <w:t xml:space="preserve"> Inspection body</w:t>
      </w:r>
      <w:r w:rsidRPr="00AA5614">
        <w:rPr>
          <w:rFonts w:cs="Arial"/>
          <w:szCs w:val="20"/>
          <w:lang w:val="en-GB"/>
        </w:rPr>
        <w:t xml:space="preserve"> </w:t>
      </w:r>
      <w:r w:rsidR="00AA5614" w:rsidRPr="00AA5614">
        <w:rPr>
          <w:rFonts w:cs="Arial"/>
          <w:szCs w:val="20"/>
          <w:lang w:val="en-GB"/>
        </w:rPr>
        <w:tab/>
      </w:r>
      <w:r w:rsidR="00AA5614" w:rsidRPr="00AA5614">
        <w:rPr>
          <w:rFonts w:cs="Arial"/>
          <w:szCs w:val="20"/>
          <w:lang w:val="en-GB"/>
        </w:rPr>
        <w:tab/>
      </w:r>
    </w:p>
    <w:tbl>
      <w:tblPr>
        <w:tblW w:w="0" w:type="auto"/>
        <w:jc w:val="center"/>
        <w:tblLayout w:type="fixed"/>
        <w:tblCellMar>
          <w:left w:w="0" w:type="dxa"/>
          <w:right w:w="0" w:type="dxa"/>
        </w:tblCellMar>
        <w:tblLook w:val="0000" w:firstRow="0" w:lastRow="0" w:firstColumn="0" w:lastColumn="0" w:noHBand="0" w:noVBand="0"/>
      </w:tblPr>
      <w:tblGrid>
        <w:gridCol w:w="284"/>
        <w:gridCol w:w="2665"/>
        <w:gridCol w:w="113"/>
        <w:gridCol w:w="1531"/>
        <w:gridCol w:w="1531"/>
        <w:gridCol w:w="3062"/>
      </w:tblGrid>
      <w:tr w:rsidR="009C13A9" w:rsidRPr="00C903F8" w:rsidTr="009C13A9">
        <w:trPr>
          <w:cantSplit/>
          <w:jc w:val="center"/>
        </w:trPr>
        <w:tc>
          <w:tcPr>
            <w:tcW w:w="284" w:type="dxa"/>
            <w:tcBorders>
              <w:top w:val="single" w:sz="6" w:space="0" w:color="auto"/>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AA5614">
              <w:rPr>
                <w:rFonts w:cs="Arial"/>
                <w:sz w:val="18"/>
                <w:szCs w:val="20"/>
                <w:lang w:val="en-GB"/>
              </w:rPr>
              <w:tab/>
            </w:r>
            <w:r w:rsidRPr="00C903F8">
              <w:rPr>
                <w:rFonts w:cs="Arial"/>
                <w:sz w:val="18"/>
                <w:szCs w:val="20"/>
              </w:rPr>
              <w:t>1.</w:t>
            </w:r>
          </w:p>
        </w:tc>
        <w:tc>
          <w:tcPr>
            <w:tcW w:w="2778" w:type="dxa"/>
            <w:gridSpan w:val="2"/>
            <w:tcBorders>
              <w:top w:val="single" w:sz="6" w:space="0" w:color="auto"/>
              <w:bottom w:val="single" w:sz="6" w:space="0" w:color="auto"/>
              <w:righ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rPr>
              <w:t>Name of craft</w:t>
            </w:r>
            <w:r w:rsidRPr="00C903F8">
              <w:rPr>
                <w:rFonts w:cs="Arial"/>
                <w:sz w:val="18"/>
                <w:szCs w:val="20"/>
              </w:rPr>
              <w:br/>
            </w:r>
            <w:r w:rsidRPr="00C903F8">
              <w:rPr>
                <w:rFonts w:cs="Arial"/>
                <w:sz w:val="18"/>
                <w:szCs w:val="20"/>
              </w:rPr>
              <w:br/>
            </w:r>
            <w:r w:rsidRPr="00C903F8">
              <w:rPr>
                <w:rFonts w:cs="Arial"/>
                <w:sz w:val="18"/>
                <w:szCs w:val="20"/>
              </w:rPr>
              <w:br/>
            </w:r>
          </w:p>
        </w:tc>
        <w:tc>
          <w:tcPr>
            <w:tcW w:w="3062" w:type="dxa"/>
            <w:gridSpan w:val="2"/>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pos="227"/>
              </w:tabs>
              <w:overflowPunct w:val="0"/>
              <w:adjustRightInd w:val="0"/>
              <w:ind w:left="0" w:firstLine="0"/>
              <w:jc w:val="left"/>
              <w:textAlignment w:val="baseline"/>
              <w:rPr>
                <w:rFonts w:cs="Arial"/>
                <w:sz w:val="18"/>
                <w:szCs w:val="20"/>
              </w:rPr>
            </w:pPr>
            <w:r w:rsidRPr="00C903F8">
              <w:rPr>
                <w:rFonts w:cs="Arial"/>
                <w:sz w:val="18"/>
                <w:szCs w:val="20"/>
              </w:rPr>
              <w:tab/>
              <w:t>2.</w:t>
            </w:r>
            <w:r w:rsidRPr="00C903F8">
              <w:rPr>
                <w:rFonts w:cs="Arial"/>
                <w:sz w:val="18"/>
                <w:szCs w:val="20"/>
              </w:rPr>
              <w:tab/>
              <w:t>Type of craft</w:t>
            </w:r>
          </w:p>
        </w:tc>
        <w:tc>
          <w:tcPr>
            <w:tcW w:w="3062" w:type="dxa"/>
            <w:tcBorders>
              <w:top w:val="single" w:sz="6" w:space="0" w:color="auto"/>
              <w:bottom w:val="single" w:sz="6" w:space="0" w:color="auto"/>
              <w:right w:val="single" w:sz="6" w:space="0" w:color="auto"/>
            </w:tcBorders>
          </w:tcPr>
          <w:p w:rsidR="009C13A9" w:rsidRPr="00C903F8" w:rsidRDefault="009C13A9" w:rsidP="009C13A9">
            <w:pPr>
              <w:tabs>
                <w:tab w:val="left" w:pos="57"/>
                <w:tab w:val="left" w:pos="284"/>
              </w:tabs>
              <w:overflowPunct w:val="0"/>
              <w:adjustRightInd w:val="0"/>
              <w:ind w:left="284" w:hanging="284"/>
              <w:jc w:val="left"/>
              <w:textAlignment w:val="baseline"/>
              <w:rPr>
                <w:rFonts w:cs="Arial"/>
                <w:sz w:val="18"/>
                <w:szCs w:val="20"/>
              </w:rPr>
            </w:pPr>
            <w:r w:rsidRPr="00C903F8">
              <w:rPr>
                <w:rFonts w:cs="Arial"/>
                <w:sz w:val="18"/>
                <w:szCs w:val="20"/>
              </w:rPr>
              <w:tab/>
              <w:t>3.</w:t>
            </w:r>
            <w:r w:rsidRPr="00C903F8">
              <w:rPr>
                <w:rFonts w:cs="Arial"/>
                <w:sz w:val="18"/>
                <w:szCs w:val="20"/>
              </w:rPr>
              <w:tab/>
            </w:r>
            <w:r w:rsidRPr="00C903F8">
              <w:rPr>
                <w:rFonts w:cs="Arial"/>
                <w:noProof/>
                <w:sz w:val="18"/>
                <w:szCs w:val="18"/>
              </w:rPr>
              <w:t>Unique European Vessel Identification Number</w:t>
            </w:r>
          </w:p>
        </w:tc>
      </w:tr>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ind w:left="0" w:firstLine="0"/>
              <w:jc w:val="left"/>
              <w:textAlignment w:val="baseline"/>
              <w:rPr>
                <w:rFonts w:cs="Arial"/>
                <w:sz w:val="18"/>
                <w:szCs w:val="20"/>
              </w:rPr>
            </w:pPr>
            <w:r w:rsidRPr="00C903F8">
              <w:rPr>
                <w:rFonts w:cs="Arial"/>
                <w:sz w:val="18"/>
                <w:szCs w:val="20"/>
              </w:rPr>
              <w:tab/>
              <w:t>4.</w:t>
            </w:r>
          </w:p>
        </w:tc>
        <w:tc>
          <w:tcPr>
            <w:tcW w:w="8902" w:type="dxa"/>
            <w:gridSpan w:val="5"/>
            <w:tcBorders>
              <w:top w:val="single" w:sz="6" w:space="0" w:color="auto"/>
              <w:bottom w:val="single" w:sz="6" w:space="0" w:color="auto"/>
              <w:right w:val="single" w:sz="6" w:space="0" w:color="auto"/>
            </w:tcBorders>
          </w:tcPr>
          <w:p w:rsidR="009C13A9" w:rsidRPr="00C903F8" w:rsidRDefault="009C13A9" w:rsidP="009C13A9">
            <w:pPr>
              <w:tabs>
                <w:tab w:val="left" w:pos="57"/>
                <w:tab w:val="left" w:pos="227"/>
              </w:tabs>
              <w:overflowPunct w:val="0"/>
              <w:adjustRightInd w:val="0"/>
              <w:ind w:left="0" w:firstLine="0"/>
              <w:jc w:val="left"/>
              <w:textAlignment w:val="baseline"/>
              <w:rPr>
                <w:rFonts w:cs="Arial"/>
                <w:sz w:val="18"/>
                <w:szCs w:val="20"/>
                <w:lang w:val="en-US"/>
              </w:rPr>
            </w:pPr>
            <w:r w:rsidRPr="00C903F8">
              <w:rPr>
                <w:rFonts w:cs="Arial"/>
                <w:sz w:val="18"/>
                <w:szCs w:val="20"/>
                <w:lang w:val="en-US"/>
              </w:rPr>
              <w:t>Name and address of owner</w:t>
            </w:r>
            <w:r w:rsidRPr="00C903F8">
              <w:rPr>
                <w:rFonts w:cs="Arial"/>
                <w:sz w:val="18"/>
                <w:szCs w:val="20"/>
                <w:lang w:val="en-US"/>
              </w:rPr>
              <w:br/>
            </w:r>
            <w:r w:rsidRPr="00C903F8">
              <w:rPr>
                <w:rFonts w:cs="Arial"/>
                <w:sz w:val="18"/>
                <w:szCs w:val="20"/>
                <w:lang w:val="en-US"/>
              </w:rPr>
              <w:br/>
            </w:r>
            <w:r w:rsidRPr="00C903F8">
              <w:rPr>
                <w:rFonts w:cs="Arial"/>
                <w:sz w:val="18"/>
                <w:szCs w:val="20"/>
                <w:lang w:val="en-US"/>
              </w:rPr>
              <w:br/>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5.</w:t>
            </w:r>
          </w:p>
        </w:tc>
        <w:tc>
          <w:tcPr>
            <w:tcW w:w="4309" w:type="dxa"/>
            <w:gridSpan w:val="3"/>
            <w:tcBorders>
              <w:right w:val="single" w:sz="6" w:space="0" w:color="auto"/>
            </w:tcBorders>
          </w:tcPr>
          <w:p w:rsidR="009C13A9" w:rsidRPr="00C903F8" w:rsidRDefault="009C13A9" w:rsidP="009C13A9">
            <w:pPr>
              <w:tabs>
                <w:tab w:val="left" w:pos="57"/>
                <w:tab w:val="left" w:pos="227"/>
              </w:tabs>
              <w:overflowPunct w:val="0"/>
              <w:adjustRightInd w:val="0"/>
              <w:ind w:left="0" w:firstLine="0"/>
              <w:jc w:val="left"/>
              <w:textAlignment w:val="baseline"/>
              <w:rPr>
                <w:rFonts w:cs="Arial"/>
                <w:sz w:val="18"/>
                <w:szCs w:val="20"/>
                <w:lang w:val="en-US"/>
              </w:rPr>
            </w:pPr>
            <w:r w:rsidRPr="00C903F8">
              <w:rPr>
                <w:rFonts w:cs="Arial"/>
                <w:sz w:val="18"/>
                <w:szCs w:val="20"/>
                <w:lang w:val="en-US"/>
              </w:rPr>
              <w:t>Place of registration and registration number</w:t>
            </w:r>
            <w:r w:rsidRPr="00C903F8">
              <w:rPr>
                <w:rFonts w:cs="Arial"/>
                <w:sz w:val="18"/>
                <w:szCs w:val="20"/>
                <w:lang w:val="en-US"/>
              </w:rPr>
              <w:br/>
            </w:r>
            <w:r w:rsidRPr="00C903F8">
              <w:rPr>
                <w:rFonts w:cs="Arial"/>
                <w:sz w:val="18"/>
                <w:szCs w:val="20"/>
                <w:lang w:val="en-US"/>
              </w:rPr>
              <w:br/>
            </w:r>
          </w:p>
        </w:tc>
        <w:tc>
          <w:tcPr>
            <w:tcW w:w="4593" w:type="dxa"/>
            <w:gridSpan w:val="2"/>
            <w:tcBorders>
              <w:top w:val="single" w:sz="6" w:space="0" w:color="auto"/>
              <w:bottom w:val="single" w:sz="6" w:space="0" w:color="auto"/>
              <w:right w:val="single" w:sz="6" w:space="0" w:color="auto"/>
            </w:tcBorders>
          </w:tcPr>
          <w:p w:rsidR="009C13A9" w:rsidRPr="00C903F8" w:rsidRDefault="009C13A9" w:rsidP="009C13A9">
            <w:pPr>
              <w:tabs>
                <w:tab w:val="left" w:pos="57"/>
                <w:tab w:val="left" w:pos="227"/>
              </w:tabs>
              <w:overflowPunct w:val="0"/>
              <w:adjustRightInd w:val="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6.</w:t>
            </w:r>
            <w:r w:rsidRPr="00C903F8">
              <w:rPr>
                <w:rFonts w:cs="Arial"/>
                <w:sz w:val="18"/>
                <w:szCs w:val="20"/>
              </w:rPr>
              <w:tab/>
              <w:t>Home port</w:t>
            </w:r>
          </w:p>
        </w:tc>
      </w:tr>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rPr>
              <w:tab/>
              <w:t>7.</w:t>
            </w:r>
          </w:p>
        </w:tc>
        <w:tc>
          <w:tcPr>
            <w:tcW w:w="2665" w:type="dxa"/>
            <w:tcBorders>
              <w:top w:val="single" w:sz="6" w:space="0" w:color="auto"/>
              <w:bottom w:val="single" w:sz="6" w:space="0" w:color="auto"/>
              <w:right w:val="single" w:sz="6" w:space="0" w:color="auto"/>
            </w:tcBorders>
          </w:tcPr>
          <w:p w:rsidR="009C13A9" w:rsidRPr="00C903F8" w:rsidRDefault="009C13A9" w:rsidP="009C13A9">
            <w:pPr>
              <w:tabs>
                <w:tab w:val="left" w:pos="57"/>
                <w:tab w:val="left" w:pos="227"/>
              </w:tabs>
              <w:overflowPunct w:val="0"/>
              <w:adjustRightInd w:val="0"/>
              <w:ind w:left="0" w:firstLine="0"/>
              <w:jc w:val="left"/>
              <w:textAlignment w:val="baseline"/>
              <w:rPr>
                <w:rFonts w:cs="Arial"/>
                <w:sz w:val="18"/>
                <w:szCs w:val="20"/>
              </w:rPr>
            </w:pPr>
            <w:r w:rsidRPr="00C903F8">
              <w:rPr>
                <w:rFonts w:cs="Arial"/>
                <w:sz w:val="18"/>
                <w:szCs w:val="20"/>
              </w:rPr>
              <w:t>Year of construction</w:t>
            </w:r>
            <w:r w:rsidRPr="00C903F8">
              <w:rPr>
                <w:rFonts w:cs="Arial"/>
                <w:sz w:val="18"/>
                <w:szCs w:val="20"/>
              </w:rPr>
              <w:br/>
            </w:r>
            <w:r w:rsidRPr="00C903F8">
              <w:rPr>
                <w:rFonts w:cs="Arial"/>
                <w:sz w:val="18"/>
                <w:szCs w:val="20"/>
              </w:rPr>
              <w:br/>
            </w:r>
          </w:p>
        </w:tc>
        <w:tc>
          <w:tcPr>
            <w:tcW w:w="6237" w:type="dxa"/>
            <w:gridSpan w:val="4"/>
            <w:tcBorders>
              <w:top w:val="single" w:sz="6" w:space="0" w:color="auto"/>
              <w:bottom w:val="single" w:sz="6" w:space="0" w:color="auto"/>
              <w:right w:val="single" w:sz="6" w:space="0" w:color="auto"/>
            </w:tcBorders>
          </w:tcPr>
          <w:p w:rsidR="009C13A9" w:rsidRPr="00C903F8" w:rsidRDefault="009C13A9" w:rsidP="009C13A9">
            <w:pPr>
              <w:tabs>
                <w:tab w:val="left" w:pos="57"/>
                <w:tab w:val="left" w:pos="227"/>
              </w:tabs>
              <w:overflowPunct w:val="0"/>
              <w:adjustRightInd w:val="0"/>
              <w:ind w:left="0" w:firstLine="0"/>
              <w:jc w:val="left"/>
              <w:textAlignment w:val="baseline"/>
              <w:rPr>
                <w:rFonts w:cs="Arial"/>
                <w:sz w:val="18"/>
                <w:szCs w:val="20"/>
                <w:lang w:val="en-US"/>
              </w:rPr>
            </w:pPr>
            <w:r w:rsidRPr="00C903F8">
              <w:rPr>
                <w:rFonts w:cs="Arial"/>
                <w:sz w:val="18"/>
                <w:szCs w:val="20"/>
                <w:lang w:val="en-US"/>
              </w:rPr>
              <w:tab/>
              <w:t>8.</w:t>
            </w:r>
            <w:r w:rsidRPr="00C903F8">
              <w:rPr>
                <w:rFonts w:cs="Arial"/>
                <w:sz w:val="18"/>
                <w:szCs w:val="20"/>
                <w:lang w:val="en-US"/>
              </w:rPr>
              <w:tab/>
              <w:t>Name and location of shipyard</w:t>
            </w:r>
          </w:p>
        </w:tc>
      </w:tr>
      <w:tr w:rsidR="009C13A9" w:rsidRPr="0029685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spacing w:before="16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9.</w:t>
            </w:r>
          </w:p>
        </w:tc>
        <w:tc>
          <w:tcPr>
            <w:tcW w:w="8902" w:type="dxa"/>
            <w:gridSpan w:val="5"/>
            <w:tcBorders>
              <w:bottom w:val="single" w:sz="6" w:space="0" w:color="auto"/>
              <w:right w:val="single" w:sz="6" w:space="0" w:color="auto"/>
            </w:tcBorders>
          </w:tcPr>
          <w:p w:rsidR="009C13A9" w:rsidRPr="00C903F8" w:rsidRDefault="009C13A9" w:rsidP="00B9093D">
            <w:pPr>
              <w:tabs>
                <w:tab w:val="left" w:pos="57"/>
                <w:tab w:val="left" w:leader="dot" w:pos="2835"/>
                <w:tab w:val="left" w:leader="dot" w:pos="6295"/>
                <w:tab w:val="left" w:leader="dot" w:pos="8138"/>
                <w:tab w:val="left" w:leader="dot" w:pos="8705"/>
              </w:tabs>
              <w:overflowPunct w:val="0"/>
              <w:adjustRightInd w:val="0"/>
              <w:spacing w:before="160"/>
              <w:ind w:left="0" w:firstLine="0"/>
              <w:jc w:val="left"/>
              <w:textAlignment w:val="baseline"/>
              <w:rPr>
                <w:rFonts w:cs="Arial"/>
                <w:sz w:val="18"/>
                <w:szCs w:val="20"/>
                <w:lang w:val="en-US"/>
              </w:rPr>
            </w:pPr>
            <w:r w:rsidRPr="00C903F8">
              <w:rPr>
                <w:rFonts w:cs="Arial"/>
                <w:sz w:val="18"/>
                <w:szCs w:val="20"/>
                <w:lang w:val="en-US"/>
              </w:rPr>
              <w:t xml:space="preserve">This certificate </w:t>
            </w:r>
            <w:r w:rsidRPr="00B9093D">
              <w:rPr>
                <w:rFonts w:cs="Arial"/>
                <w:sz w:val="18"/>
                <w:szCs w:val="20"/>
                <w:lang w:val="en-US"/>
              </w:rPr>
              <w:t xml:space="preserve">replaces </w:t>
            </w:r>
            <w:r w:rsidR="00E3172D" w:rsidRPr="00B9093D">
              <w:rPr>
                <w:rFonts w:cs="Arial"/>
                <w:sz w:val="18"/>
                <w:szCs w:val="18"/>
                <w:lang w:val="en-US"/>
              </w:rPr>
              <w:t>inland navigation vessel certificate</w:t>
            </w:r>
            <w:r w:rsidR="00E3172D" w:rsidRPr="0095291A">
              <w:rPr>
                <w:rFonts w:cs="Arial"/>
                <w:szCs w:val="20"/>
                <w:lang w:val="en-US"/>
              </w:rPr>
              <w:t xml:space="preserve"> </w:t>
            </w:r>
            <w:r w:rsidRPr="00C903F8">
              <w:rPr>
                <w:rFonts w:cs="Arial"/>
                <w:sz w:val="18"/>
                <w:szCs w:val="20"/>
                <w:lang w:val="en-US"/>
              </w:rPr>
              <w:t>No</w:t>
            </w:r>
            <w:r w:rsidRPr="00C903F8">
              <w:rPr>
                <w:rFonts w:cs="Arial"/>
                <w:sz w:val="18"/>
                <w:szCs w:val="20"/>
                <w:lang w:val="en-US"/>
              </w:rPr>
              <w:tab/>
              <w:t xml:space="preserve"> issued on </w:t>
            </w:r>
            <w:r w:rsidRPr="00C903F8">
              <w:rPr>
                <w:rFonts w:cs="Arial"/>
                <w:sz w:val="18"/>
                <w:szCs w:val="20"/>
                <w:lang w:val="en-US"/>
              </w:rPr>
              <w:tab/>
              <w:t xml:space="preserve"> by </w:t>
            </w:r>
            <w:r w:rsidRPr="00C903F8">
              <w:rPr>
                <w:rFonts w:cs="Arial"/>
                <w:sz w:val="18"/>
                <w:szCs w:val="20"/>
                <w:lang w:val="en-US"/>
              </w:rPr>
              <w:tab/>
              <w:t xml:space="preserve"> </w:t>
            </w:r>
            <w:r w:rsidR="00B9093D">
              <w:rPr>
                <w:rFonts w:cs="Arial"/>
                <w:sz w:val="18"/>
                <w:szCs w:val="20"/>
                <w:lang w:val="en-US"/>
              </w:rPr>
              <w:tab/>
            </w:r>
            <w:r w:rsidR="00B9093D">
              <w:rPr>
                <w:rFonts w:cs="Arial"/>
                <w:sz w:val="18"/>
                <w:szCs w:val="20"/>
                <w:lang w:val="en-US"/>
              </w:rPr>
              <w:tab/>
            </w:r>
            <w:r w:rsidRPr="00C903F8">
              <w:rPr>
                <w:rFonts w:cs="Arial"/>
                <w:sz w:val="18"/>
                <w:szCs w:val="20"/>
                <w:lang w:val="en-US"/>
              </w:rPr>
              <w:t>Inspection Body</w:t>
            </w:r>
          </w:p>
        </w:tc>
      </w:tr>
      <w:tr w:rsidR="009C13A9" w:rsidRPr="00296858" w:rsidTr="009C13A9">
        <w:trPr>
          <w:cantSplit/>
          <w:jc w:val="center"/>
        </w:trPr>
        <w:tc>
          <w:tcPr>
            <w:tcW w:w="284" w:type="dxa"/>
            <w:tcBorders>
              <w:top w:val="single" w:sz="6" w:space="0" w:color="auto"/>
              <w:left w:val="single" w:sz="6" w:space="0" w:color="auto"/>
            </w:tcBorders>
          </w:tcPr>
          <w:p w:rsidR="009C13A9" w:rsidRPr="00B9093D" w:rsidRDefault="009C13A9" w:rsidP="009C13A9">
            <w:pPr>
              <w:tabs>
                <w:tab w:val="left" w:pos="57"/>
                <w:tab w:val="left" w:pos="227"/>
              </w:tabs>
              <w:overflowPunct w:val="0"/>
              <w:adjustRightInd w:val="0"/>
              <w:spacing w:before="120"/>
              <w:ind w:left="0" w:firstLine="0"/>
              <w:jc w:val="left"/>
              <w:textAlignment w:val="baseline"/>
              <w:rPr>
                <w:rFonts w:cs="Arial"/>
                <w:sz w:val="18"/>
                <w:szCs w:val="20"/>
                <w:lang w:val="en-US"/>
              </w:rPr>
            </w:pPr>
            <w:r w:rsidRPr="00B9093D">
              <w:rPr>
                <w:rFonts w:cs="Arial"/>
                <w:sz w:val="18"/>
                <w:szCs w:val="20"/>
                <w:lang w:val="en-US"/>
              </w:rPr>
              <w:t>10.</w:t>
            </w:r>
          </w:p>
        </w:tc>
        <w:tc>
          <w:tcPr>
            <w:tcW w:w="8902" w:type="dxa"/>
            <w:gridSpan w:val="5"/>
            <w:tcBorders>
              <w:right w:val="single" w:sz="6" w:space="0" w:color="auto"/>
            </w:tcBorders>
          </w:tcPr>
          <w:p w:rsidR="009C13A9" w:rsidRPr="00C903F8" w:rsidRDefault="009C13A9" w:rsidP="009C13A9">
            <w:pPr>
              <w:tabs>
                <w:tab w:val="left" w:pos="57"/>
                <w:tab w:val="left" w:leader="dot" w:pos="3402"/>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The abovementioned craft,</w:t>
            </w:r>
            <w:r w:rsidRPr="00C903F8">
              <w:rPr>
                <w:rFonts w:cs="Arial"/>
                <w:sz w:val="18"/>
                <w:szCs w:val="20"/>
                <w:lang w:val="en-US"/>
              </w:rPr>
              <w:br/>
            </w:r>
            <w:r w:rsidRPr="00C903F8">
              <w:rPr>
                <w:rFonts w:cs="Arial"/>
                <w:sz w:val="18"/>
                <w:szCs w:val="20"/>
                <w:lang w:val="en-US"/>
              </w:rPr>
              <w:br/>
              <w:t xml:space="preserve">subsequent to the inspection carried out on </w:t>
            </w:r>
            <w:r w:rsidRPr="00C903F8">
              <w:rPr>
                <w:rFonts w:cs="Arial"/>
                <w:position w:val="6"/>
                <w:sz w:val="16"/>
                <w:szCs w:val="20"/>
                <w:lang w:val="en-US"/>
              </w:rPr>
              <w:t>*)</w:t>
            </w:r>
            <w:r w:rsidRPr="00C903F8">
              <w:rPr>
                <w:rFonts w:cs="Arial"/>
                <w:sz w:val="18"/>
                <w:szCs w:val="20"/>
                <w:lang w:val="en-US"/>
              </w:rPr>
              <w:t xml:space="preserve"> </w:t>
            </w:r>
            <w:r w:rsidRPr="00C903F8">
              <w:rPr>
                <w:rFonts w:cs="Arial"/>
                <w:sz w:val="18"/>
                <w:szCs w:val="20"/>
                <w:lang w:val="en-US"/>
              </w:rPr>
              <w:tab/>
            </w:r>
          </w:p>
          <w:p w:rsidR="009C13A9" w:rsidRPr="00C903F8" w:rsidRDefault="009C13A9" w:rsidP="009C13A9">
            <w:pPr>
              <w:tabs>
                <w:tab w:val="left" w:pos="57"/>
                <w:tab w:val="left" w:leader="dot" w:pos="4536"/>
                <w:tab w:val="left" w:leader="dot" w:pos="8505"/>
              </w:tabs>
              <w:overflowPunct w:val="0"/>
              <w:adjustRightInd w:val="0"/>
              <w:ind w:left="0" w:firstLine="0"/>
              <w:jc w:val="left"/>
              <w:textAlignment w:val="baseline"/>
              <w:rPr>
                <w:rFonts w:cs="Arial"/>
                <w:sz w:val="18"/>
                <w:szCs w:val="20"/>
                <w:lang w:val="en-US"/>
              </w:rPr>
            </w:pPr>
            <w:r w:rsidRPr="00C903F8">
              <w:rPr>
                <w:rFonts w:cs="Arial"/>
                <w:sz w:val="18"/>
                <w:szCs w:val="20"/>
                <w:lang w:val="en-US"/>
              </w:rPr>
              <w:br/>
              <w:t xml:space="preserve">on presentation of the certificate issued on </w:t>
            </w:r>
            <w:r w:rsidRPr="00C903F8">
              <w:rPr>
                <w:rFonts w:cs="Arial"/>
                <w:position w:val="6"/>
                <w:sz w:val="16"/>
                <w:szCs w:val="20"/>
                <w:lang w:val="en-US"/>
              </w:rPr>
              <w:t>*)</w:t>
            </w:r>
            <w:r w:rsidR="00C62508" w:rsidRPr="00C903F8">
              <w:rPr>
                <w:rFonts w:cs="Arial"/>
                <w:sz w:val="18"/>
                <w:szCs w:val="20"/>
                <w:lang w:val="en-US"/>
              </w:rPr>
              <w:t xml:space="preserve"> </w:t>
            </w:r>
            <w:r w:rsidRPr="00C903F8">
              <w:rPr>
                <w:rFonts w:cs="Arial"/>
                <w:sz w:val="18"/>
                <w:szCs w:val="20"/>
                <w:lang w:val="en-US"/>
              </w:rPr>
              <w:tab/>
            </w:r>
          </w:p>
          <w:p w:rsidR="009C13A9" w:rsidRPr="00C903F8" w:rsidRDefault="009C13A9" w:rsidP="00B82F01">
            <w:pPr>
              <w:tabs>
                <w:tab w:val="left" w:pos="57"/>
                <w:tab w:val="left" w:leader="dot" w:pos="6237"/>
                <w:tab w:val="left" w:leader="dot" w:pos="8505"/>
              </w:tabs>
              <w:overflowPunct w:val="0"/>
              <w:adjustRightInd w:val="0"/>
              <w:ind w:left="0" w:firstLine="0"/>
              <w:jc w:val="left"/>
              <w:textAlignment w:val="baseline"/>
              <w:rPr>
                <w:rFonts w:cs="Arial"/>
                <w:sz w:val="18"/>
                <w:szCs w:val="20"/>
                <w:lang w:val="en-US"/>
              </w:rPr>
            </w:pPr>
            <w:r w:rsidRPr="00C903F8">
              <w:rPr>
                <w:rFonts w:cs="Arial"/>
                <w:sz w:val="18"/>
                <w:szCs w:val="20"/>
                <w:lang w:val="en-US"/>
              </w:rPr>
              <w:br/>
              <w:t xml:space="preserve">by the </w:t>
            </w:r>
            <w:r w:rsidR="004E1AD0" w:rsidRPr="00C903F8">
              <w:rPr>
                <w:rFonts w:cs="Arial"/>
                <w:sz w:val="18"/>
                <w:szCs w:val="20"/>
                <w:lang w:val="en-US"/>
              </w:rPr>
              <w:t>recognis</w:t>
            </w:r>
            <w:r w:rsidR="00B82F01" w:rsidRPr="00C903F8">
              <w:rPr>
                <w:rFonts w:cs="Arial"/>
                <w:sz w:val="18"/>
                <w:szCs w:val="20"/>
                <w:lang w:val="en-US"/>
              </w:rPr>
              <w:t xml:space="preserve">ed </w:t>
            </w:r>
            <w:r w:rsidRPr="00C903F8">
              <w:rPr>
                <w:rFonts w:cs="Arial"/>
                <w:sz w:val="18"/>
                <w:szCs w:val="20"/>
                <w:lang w:val="en-US"/>
              </w:rPr>
              <w:t>classification society</w:t>
            </w:r>
            <w:r w:rsidRPr="00C903F8">
              <w:rPr>
                <w:rFonts w:cs="Arial"/>
                <w:sz w:val="18"/>
                <w:szCs w:val="20"/>
                <w:lang w:val="en-US"/>
              </w:rPr>
              <w:tab/>
            </w:r>
          </w:p>
        </w:tc>
      </w:tr>
      <w:tr w:rsidR="009C13A9" w:rsidRPr="0029685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lang w:val="en-US"/>
              </w:rPr>
            </w:pPr>
          </w:p>
        </w:tc>
        <w:tc>
          <w:tcPr>
            <w:tcW w:w="8902" w:type="dxa"/>
            <w:gridSpan w:val="5"/>
            <w:tcBorders>
              <w:right w:val="single" w:sz="6" w:space="0" w:color="auto"/>
            </w:tcBorders>
          </w:tcPr>
          <w:p w:rsidR="009C13A9" w:rsidRPr="00C903F8" w:rsidRDefault="009C13A9" w:rsidP="009C13A9">
            <w:pPr>
              <w:tabs>
                <w:tab w:val="left" w:pos="57"/>
                <w:tab w:val="left" w:leader="dot" w:pos="3969"/>
                <w:tab w:val="left" w:pos="4253"/>
                <w:tab w:val="left" w:leader="dot" w:pos="8505"/>
              </w:tabs>
              <w:overflowPunct w:val="0"/>
              <w:adjustRightInd w:val="0"/>
              <w:spacing w:before="120" w:after="120"/>
              <w:ind w:left="0" w:firstLine="0"/>
              <w:jc w:val="left"/>
              <w:textAlignment w:val="baseline"/>
              <w:rPr>
                <w:rFonts w:cs="Arial"/>
                <w:sz w:val="18"/>
                <w:szCs w:val="20"/>
                <w:lang w:val="en-US"/>
              </w:rPr>
            </w:pPr>
            <w:r w:rsidRPr="00C903F8">
              <w:rPr>
                <w:rFonts w:cs="Arial"/>
                <w:sz w:val="18"/>
                <w:szCs w:val="20"/>
                <w:lang w:val="en-US"/>
              </w:rPr>
              <w:t>is acknowledged as fit to operate:</w:t>
            </w:r>
          </w:p>
          <w:p w:rsidR="009C13A9" w:rsidRPr="00C903F8" w:rsidRDefault="009C13A9" w:rsidP="009C13A9">
            <w:pPr>
              <w:tabs>
                <w:tab w:val="left" w:pos="340"/>
                <w:tab w:val="left" w:leader="dot" w:pos="3969"/>
                <w:tab w:val="left" w:pos="4253"/>
                <w:tab w:val="left" w:leader="dot" w:pos="8505"/>
              </w:tabs>
              <w:overflowPunct w:val="0"/>
              <w:adjustRightInd w:val="0"/>
              <w:ind w:left="0" w:firstLine="0"/>
              <w:jc w:val="left"/>
              <w:textAlignment w:val="baseline"/>
              <w:rPr>
                <w:noProof/>
                <w:position w:val="6"/>
                <w:sz w:val="16"/>
                <w:lang w:val="en-US"/>
              </w:rPr>
            </w:pPr>
            <w:r w:rsidRPr="00C903F8">
              <w:rPr>
                <w:noProof/>
                <w:sz w:val="18"/>
                <w:lang w:val="en-US"/>
              </w:rPr>
              <w:t>-</w:t>
            </w:r>
            <w:r w:rsidRPr="00C903F8">
              <w:rPr>
                <w:noProof/>
                <w:sz w:val="18"/>
                <w:lang w:val="en-US"/>
              </w:rPr>
              <w:tab/>
              <w:t>on the Rhine </w:t>
            </w:r>
            <w:r w:rsidRPr="00C903F8">
              <w:rPr>
                <w:noProof/>
                <w:position w:val="6"/>
                <w:sz w:val="16"/>
                <w:lang w:val="en-US"/>
              </w:rPr>
              <w:t>(*)</w:t>
            </w:r>
          </w:p>
          <w:p w:rsidR="009C13A9" w:rsidRPr="00C903F8" w:rsidRDefault="009C13A9" w:rsidP="009C13A9">
            <w:pPr>
              <w:tabs>
                <w:tab w:val="left" w:pos="57"/>
                <w:tab w:val="left" w:leader="dot" w:pos="3969"/>
                <w:tab w:val="left" w:pos="4253"/>
                <w:tab w:val="left" w:leader="dot" w:pos="8505"/>
              </w:tabs>
              <w:overflowPunct w:val="0"/>
              <w:adjustRightInd w:val="0"/>
              <w:ind w:left="0" w:firstLine="0"/>
              <w:jc w:val="left"/>
              <w:textAlignment w:val="baseline"/>
              <w:rPr>
                <w:rFonts w:cs="Arial"/>
                <w:position w:val="6"/>
                <w:sz w:val="16"/>
                <w:szCs w:val="20"/>
                <w:lang w:val="en-US"/>
              </w:rPr>
            </w:pPr>
            <w:r w:rsidRPr="00C903F8">
              <w:rPr>
                <w:rFonts w:cs="Arial"/>
                <w:sz w:val="18"/>
                <w:szCs w:val="20"/>
                <w:lang w:val="en-US"/>
              </w:rPr>
              <w:t xml:space="preserve">between </w:t>
            </w:r>
            <w:r w:rsidRPr="00C903F8">
              <w:rPr>
                <w:rFonts w:cs="Arial"/>
                <w:sz w:val="18"/>
                <w:szCs w:val="20"/>
                <w:lang w:val="en-US"/>
              </w:rPr>
              <w:tab/>
            </w:r>
            <w:r w:rsidR="00B82F01" w:rsidRPr="00C903F8">
              <w:rPr>
                <w:rFonts w:cs="Arial"/>
                <w:sz w:val="18"/>
                <w:szCs w:val="20"/>
                <w:lang w:val="en-US"/>
              </w:rPr>
              <w:t xml:space="preserve"> and</w:t>
            </w:r>
            <w:r w:rsidRPr="00C903F8">
              <w:rPr>
                <w:rFonts w:cs="Arial"/>
                <w:sz w:val="18"/>
                <w:szCs w:val="20"/>
                <w:lang w:val="en-US"/>
              </w:rPr>
              <w:tab/>
            </w:r>
            <w:r w:rsidRPr="00C903F8">
              <w:rPr>
                <w:rFonts w:cs="Arial"/>
                <w:sz w:val="18"/>
                <w:szCs w:val="20"/>
                <w:lang w:val="en-US"/>
              </w:rPr>
              <w:tab/>
            </w:r>
            <w:r w:rsidRPr="00C903F8">
              <w:rPr>
                <w:rFonts w:cs="Arial"/>
                <w:position w:val="6"/>
                <w:sz w:val="16"/>
                <w:szCs w:val="20"/>
                <w:lang w:val="en-US"/>
              </w:rPr>
              <w:t>*)</w:t>
            </w:r>
          </w:p>
          <w:p w:rsidR="009C13A9" w:rsidRPr="00C903F8" w:rsidRDefault="009C13A9" w:rsidP="009C13A9">
            <w:pPr>
              <w:tabs>
                <w:tab w:val="left" w:pos="57"/>
                <w:tab w:val="left" w:leader="dot" w:pos="3969"/>
                <w:tab w:val="left" w:pos="4253"/>
                <w:tab w:val="left" w:leader="dot" w:pos="8505"/>
              </w:tabs>
              <w:overflowPunct w:val="0"/>
              <w:adjustRightInd w:val="0"/>
              <w:ind w:left="0" w:firstLine="0"/>
              <w:jc w:val="left"/>
              <w:textAlignment w:val="baseline"/>
              <w:rPr>
                <w:rFonts w:cs="Arial"/>
                <w:sz w:val="18"/>
                <w:szCs w:val="20"/>
                <w:lang w:val="en-US"/>
              </w:rPr>
            </w:pPr>
          </w:p>
          <w:p w:rsidR="009C13A9" w:rsidRPr="00C903F8" w:rsidRDefault="009C13A9" w:rsidP="009C13A9">
            <w:pPr>
              <w:tabs>
                <w:tab w:val="left" w:pos="340"/>
                <w:tab w:val="left" w:leader="dot" w:pos="8703"/>
              </w:tabs>
              <w:overflowPunct w:val="0"/>
              <w:adjustRightInd w:val="0"/>
              <w:ind w:left="0" w:firstLine="0"/>
              <w:jc w:val="left"/>
              <w:textAlignment w:val="baseline"/>
              <w:rPr>
                <w:noProof/>
                <w:position w:val="6"/>
                <w:sz w:val="16"/>
                <w:lang w:val="en-US"/>
              </w:rPr>
            </w:pPr>
            <w:r w:rsidRPr="00C903F8">
              <w:rPr>
                <w:noProof/>
                <w:sz w:val="18"/>
                <w:lang w:val="en-US"/>
              </w:rPr>
              <w:t>-</w:t>
            </w:r>
            <w:r w:rsidRPr="00C903F8">
              <w:rPr>
                <w:noProof/>
                <w:sz w:val="18"/>
                <w:lang w:val="en-US"/>
              </w:rPr>
              <w:tab/>
              <w:t xml:space="preserve">on EU waterways in Zone(s) </w:t>
            </w:r>
            <w:r w:rsidRPr="00C903F8">
              <w:rPr>
                <w:noProof/>
                <w:position w:val="6"/>
                <w:sz w:val="16"/>
                <w:lang w:val="en-US"/>
              </w:rPr>
              <w:t xml:space="preserve">(*) </w:t>
            </w:r>
            <w:r w:rsidRPr="00C903F8">
              <w:rPr>
                <w:noProof/>
                <w:sz w:val="16"/>
                <w:lang w:val="en-US"/>
              </w:rPr>
              <w:tab/>
            </w:r>
          </w:p>
          <w:p w:rsidR="009C13A9" w:rsidRPr="00C903F8" w:rsidRDefault="009C13A9" w:rsidP="009C13A9">
            <w:pPr>
              <w:tabs>
                <w:tab w:val="left" w:leader="dot" w:pos="8703"/>
              </w:tabs>
              <w:overflowPunct w:val="0"/>
              <w:adjustRightInd w:val="0"/>
              <w:ind w:left="0" w:firstLine="0"/>
              <w:jc w:val="left"/>
              <w:textAlignment w:val="baseline"/>
              <w:rPr>
                <w:noProof/>
                <w:sz w:val="18"/>
                <w:szCs w:val="20"/>
                <w:lang w:val="en-US"/>
              </w:rPr>
            </w:pPr>
            <w:r w:rsidRPr="00C903F8">
              <w:rPr>
                <w:noProof/>
                <w:sz w:val="18"/>
                <w:szCs w:val="20"/>
                <w:lang w:val="en-US"/>
              </w:rPr>
              <w:tab/>
            </w:r>
          </w:p>
          <w:p w:rsidR="009C13A9" w:rsidRPr="00C903F8" w:rsidRDefault="009C13A9" w:rsidP="009C13A9">
            <w:pPr>
              <w:tabs>
                <w:tab w:val="left" w:leader="dot" w:pos="8703"/>
              </w:tabs>
              <w:overflowPunct w:val="0"/>
              <w:adjustRightInd w:val="0"/>
              <w:ind w:left="341" w:hanging="341"/>
              <w:jc w:val="left"/>
              <w:textAlignment w:val="baseline"/>
              <w:rPr>
                <w:noProof/>
                <w:sz w:val="18"/>
                <w:lang w:val="en-US"/>
              </w:rPr>
            </w:pPr>
          </w:p>
          <w:p w:rsidR="009C13A9" w:rsidRPr="00C903F8" w:rsidRDefault="009C13A9" w:rsidP="009C13A9">
            <w:pPr>
              <w:tabs>
                <w:tab w:val="left" w:leader="dot" w:pos="8703"/>
              </w:tabs>
              <w:overflowPunct w:val="0"/>
              <w:adjustRightInd w:val="0"/>
              <w:ind w:left="341" w:hanging="341"/>
              <w:jc w:val="left"/>
              <w:textAlignment w:val="baseline"/>
              <w:rPr>
                <w:noProof/>
                <w:sz w:val="18"/>
                <w:lang w:val="en-US"/>
              </w:rPr>
            </w:pPr>
            <w:r w:rsidRPr="00C903F8">
              <w:rPr>
                <w:noProof/>
                <w:sz w:val="18"/>
                <w:lang w:val="en-US"/>
              </w:rPr>
              <w:t>-</w:t>
            </w:r>
            <w:r w:rsidRPr="00C903F8">
              <w:rPr>
                <w:noProof/>
                <w:sz w:val="18"/>
                <w:lang w:val="en-US"/>
              </w:rPr>
              <w:tab/>
              <w:t xml:space="preserve">on the waterways in Zone(s) </w:t>
            </w:r>
            <w:r w:rsidRPr="00C903F8">
              <w:rPr>
                <w:noProof/>
                <w:position w:val="6"/>
                <w:sz w:val="16"/>
                <w:lang w:val="en-US"/>
              </w:rPr>
              <w:t xml:space="preserve">(*) </w:t>
            </w:r>
            <w:r w:rsidRPr="00C903F8">
              <w:rPr>
                <w:noProof/>
                <w:sz w:val="18"/>
                <w:lang w:val="en-US"/>
              </w:rPr>
              <w:tab/>
            </w:r>
          </w:p>
          <w:p w:rsidR="009C13A9" w:rsidRPr="00C903F8" w:rsidRDefault="009C13A9" w:rsidP="009C13A9">
            <w:pPr>
              <w:tabs>
                <w:tab w:val="left" w:leader="dot" w:pos="8703"/>
              </w:tabs>
              <w:overflowPunct w:val="0"/>
              <w:adjustRightInd w:val="0"/>
              <w:ind w:left="0" w:firstLine="0"/>
              <w:jc w:val="left"/>
              <w:textAlignment w:val="baseline"/>
              <w:rPr>
                <w:noProof/>
                <w:sz w:val="18"/>
                <w:lang w:val="en-US"/>
              </w:rPr>
            </w:pPr>
            <w:r w:rsidRPr="00C903F8">
              <w:rPr>
                <w:noProof/>
                <w:sz w:val="18"/>
                <w:lang w:val="en-US"/>
              </w:rPr>
              <w:t>.................................................................................................................................................................................</w:t>
            </w:r>
            <w:r w:rsidRPr="00C903F8">
              <w:rPr>
                <w:noProof/>
                <w:sz w:val="18"/>
                <w:szCs w:val="20"/>
                <w:lang w:val="en-US"/>
              </w:rPr>
              <w:br/>
            </w:r>
            <w:r w:rsidRPr="00C903F8">
              <w:rPr>
                <w:noProof/>
                <w:sz w:val="18"/>
                <w:lang w:val="en-US"/>
              </w:rPr>
              <w:t>in .... [Name of States </w:t>
            </w:r>
            <w:r w:rsidRPr="00C903F8">
              <w:rPr>
                <w:noProof/>
                <w:position w:val="6"/>
                <w:sz w:val="16"/>
                <w:lang w:val="en-US"/>
              </w:rPr>
              <w:t>(*)</w:t>
            </w:r>
            <w:r w:rsidRPr="00C903F8">
              <w:rPr>
                <w:noProof/>
                <w:sz w:val="18"/>
                <w:lang w:val="en-US"/>
              </w:rPr>
              <w:t>]</w:t>
            </w:r>
            <w:r w:rsidRPr="00C903F8">
              <w:rPr>
                <w:noProof/>
                <w:sz w:val="18"/>
                <w:lang w:val="en-US"/>
              </w:rPr>
              <w:tab/>
            </w:r>
            <w:r w:rsidRPr="00C903F8">
              <w:rPr>
                <w:noProof/>
                <w:sz w:val="18"/>
                <w:lang w:val="en-US"/>
              </w:rPr>
              <w:br/>
            </w:r>
            <w:r w:rsidRPr="00C903F8">
              <w:rPr>
                <w:noProof/>
                <w:sz w:val="18"/>
                <w:lang w:val="en-US"/>
              </w:rPr>
              <w:tab/>
            </w:r>
            <w:r w:rsidRPr="00C903F8">
              <w:rPr>
                <w:noProof/>
                <w:sz w:val="18"/>
                <w:szCs w:val="20"/>
                <w:lang w:val="en-US"/>
              </w:rPr>
              <w:br/>
            </w:r>
            <w:r w:rsidRPr="00C903F8">
              <w:rPr>
                <w:noProof/>
                <w:sz w:val="18"/>
                <w:lang w:val="en-US"/>
              </w:rPr>
              <w:t xml:space="preserve">except for: </w:t>
            </w:r>
            <w:r w:rsidRPr="00C903F8">
              <w:rPr>
                <w:noProof/>
                <w:sz w:val="18"/>
                <w:lang w:val="en-US"/>
              </w:rPr>
              <w:tab/>
            </w:r>
            <w:r w:rsidRPr="00C903F8">
              <w:rPr>
                <w:noProof/>
                <w:sz w:val="18"/>
                <w:szCs w:val="20"/>
                <w:lang w:val="en-US"/>
              </w:rPr>
              <w:br/>
            </w:r>
            <w:r w:rsidRPr="00C903F8">
              <w:rPr>
                <w:noProof/>
                <w:sz w:val="18"/>
                <w:lang w:val="en-US"/>
              </w:rPr>
              <w:tab/>
            </w:r>
            <w:r w:rsidRPr="00C903F8">
              <w:rPr>
                <w:noProof/>
                <w:sz w:val="18"/>
                <w:szCs w:val="20"/>
                <w:lang w:val="en-US"/>
              </w:rPr>
              <w:br/>
            </w:r>
            <w:r w:rsidRPr="00C903F8">
              <w:rPr>
                <w:noProof/>
                <w:sz w:val="18"/>
                <w:lang w:val="en-US"/>
              </w:rPr>
              <w:tab/>
            </w:r>
          </w:p>
          <w:p w:rsidR="009C13A9" w:rsidRPr="00C903F8" w:rsidRDefault="009C13A9" w:rsidP="009C13A9">
            <w:pPr>
              <w:tabs>
                <w:tab w:val="left" w:pos="340"/>
                <w:tab w:val="left" w:leader="dot" w:pos="8703"/>
              </w:tabs>
              <w:overflowPunct w:val="0"/>
              <w:adjustRightInd w:val="0"/>
              <w:ind w:left="0" w:firstLine="0"/>
              <w:jc w:val="left"/>
              <w:textAlignment w:val="baseline"/>
              <w:rPr>
                <w:noProof/>
                <w:sz w:val="18"/>
                <w:lang w:val="en-US"/>
              </w:rPr>
            </w:pPr>
            <w:r w:rsidRPr="00C903F8">
              <w:rPr>
                <w:noProof/>
                <w:sz w:val="18"/>
                <w:lang w:val="en-US"/>
              </w:rPr>
              <w:t>-</w:t>
            </w:r>
            <w:r w:rsidRPr="00C903F8">
              <w:rPr>
                <w:noProof/>
                <w:sz w:val="18"/>
                <w:lang w:val="en-US"/>
              </w:rPr>
              <w:tab/>
              <w:t>on the following waterways in [Name of the State </w:t>
            </w:r>
            <w:r w:rsidRPr="00C903F8">
              <w:rPr>
                <w:noProof/>
                <w:position w:val="6"/>
                <w:sz w:val="16"/>
                <w:lang w:val="en-US"/>
              </w:rPr>
              <w:t>(*)</w:t>
            </w:r>
            <w:r w:rsidRPr="00C903F8">
              <w:rPr>
                <w:noProof/>
                <w:sz w:val="18"/>
                <w:lang w:val="en-US"/>
              </w:rPr>
              <w:t xml:space="preserve">] </w:t>
            </w:r>
            <w:r w:rsidRPr="00C903F8">
              <w:rPr>
                <w:noProof/>
                <w:sz w:val="18"/>
                <w:lang w:val="en-US"/>
              </w:rPr>
              <w:tab/>
            </w:r>
          </w:p>
          <w:p w:rsidR="009C13A9" w:rsidRPr="00C903F8" w:rsidRDefault="009C13A9" w:rsidP="009C13A9">
            <w:pPr>
              <w:tabs>
                <w:tab w:val="left" w:leader="dot" w:pos="8703"/>
              </w:tabs>
              <w:overflowPunct w:val="0"/>
              <w:adjustRightInd w:val="0"/>
              <w:ind w:left="0" w:firstLine="0"/>
              <w:jc w:val="left"/>
              <w:textAlignment w:val="baseline"/>
              <w:rPr>
                <w:rFonts w:cs="Arial"/>
                <w:sz w:val="18"/>
                <w:szCs w:val="20"/>
                <w:lang w:val="en-US"/>
              </w:rPr>
            </w:pPr>
            <w:r w:rsidRPr="00C903F8">
              <w:rPr>
                <w:noProof/>
                <w:sz w:val="18"/>
                <w:lang w:val="en-US"/>
              </w:rPr>
              <w:tab/>
            </w:r>
            <w:r w:rsidRPr="00C903F8">
              <w:rPr>
                <w:noProof/>
                <w:sz w:val="18"/>
                <w:szCs w:val="20"/>
                <w:lang w:val="en-US"/>
              </w:rPr>
              <w:br/>
            </w:r>
            <w:r w:rsidRPr="00C903F8">
              <w:rPr>
                <w:rFonts w:cs="Arial"/>
                <w:sz w:val="18"/>
                <w:szCs w:val="20"/>
                <w:lang w:val="en-US"/>
              </w:rPr>
              <w:tab/>
            </w:r>
            <w:r w:rsidRPr="00C903F8">
              <w:rPr>
                <w:rFonts w:cs="Arial"/>
                <w:sz w:val="18"/>
                <w:szCs w:val="20"/>
                <w:lang w:val="en-US"/>
              </w:rPr>
              <w:br/>
            </w:r>
            <w:r w:rsidRPr="00C903F8">
              <w:rPr>
                <w:rFonts w:cs="Arial"/>
                <w:sz w:val="18"/>
                <w:szCs w:val="20"/>
                <w:lang w:val="en-US"/>
              </w:rPr>
              <w:tab/>
            </w:r>
          </w:p>
        </w:tc>
      </w:tr>
      <w:tr w:rsidR="009C13A9" w:rsidRPr="0029685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lang w:val="en-US"/>
              </w:rPr>
            </w:pPr>
          </w:p>
        </w:tc>
        <w:tc>
          <w:tcPr>
            <w:tcW w:w="8902" w:type="dxa"/>
            <w:gridSpan w:val="5"/>
            <w:tcBorders>
              <w:bottom w:val="single" w:sz="6" w:space="0" w:color="auto"/>
              <w:right w:val="single" w:sz="6" w:space="0" w:color="auto"/>
            </w:tcBorders>
          </w:tcPr>
          <w:p w:rsidR="009C13A9" w:rsidRPr="00C903F8" w:rsidRDefault="009C13A9" w:rsidP="009C13A9">
            <w:pPr>
              <w:tabs>
                <w:tab w:val="left" w:pos="57"/>
                <w:tab w:val="left" w:pos="340"/>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at the maximum authorised draught and with the equipment and crew specified below.</w:t>
            </w:r>
          </w:p>
        </w:tc>
      </w:tr>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s>
              <w:overflowPunct w:val="0"/>
              <w:adjustRightInd w:val="0"/>
              <w:spacing w:before="160"/>
              <w:ind w:left="0" w:firstLine="0"/>
              <w:jc w:val="left"/>
              <w:textAlignment w:val="baseline"/>
              <w:rPr>
                <w:rFonts w:cs="Arial"/>
                <w:sz w:val="18"/>
                <w:szCs w:val="20"/>
              </w:rPr>
            </w:pPr>
            <w:r w:rsidRPr="00C903F8">
              <w:rPr>
                <w:rFonts w:cs="Arial"/>
                <w:sz w:val="18"/>
                <w:szCs w:val="20"/>
              </w:rPr>
              <w:t>11.</w:t>
            </w:r>
          </w:p>
        </w:tc>
        <w:tc>
          <w:tcPr>
            <w:tcW w:w="8902" w:type="dxa"/>
            <w:gridSpan w:val="5"/>
            <w:tcBorders>
              <w:top w:val="single" w:sz="6" w:space="0" w:color="auto"/>
              <w:bottom w:val="single" w:sz="6" w:space="0" w:color="auto"/>
              <w:right w:val="single" w:sz="6" w:space="0" w:color="auto"/>
            </w:tcBorders>
          </w:tcPr>
          <w:p w:rsidR="009C13A9" w:rsidRPr="00C903F8" w:rsidRDefault="009C13A9" w:rsidP="003D7271">
            <w:pPr>
              <w:tabs>
                <w:tab w:val="left" w:pos="57"/>
                <w:tab w:val="left" w:leader="dot" w:pos="4536"/>
                <w:tab w:val="left" w:leader="dot" w:pos="6437"/>
              </w:tabs>
              <w:overflowPunct w:val="0"/>
              <w:adjustRightInd w:val="0"/>
              <w:spacing w:before="160"/>
              <w:ind w:left="0" w:firstLine="0"/>
              <w:jc w:val="left"/>
              <w:textAlignment w:val="baseline"/>
              <w:rPr>
                <w:rFonts w:cs="Arial"/>
                <w:sz w:val="18"/>
                <w:szCs w:val="20"/>
                <w:lang w:val="en-US"/>
              </w:rPr>
            </w:pPr>
            <w:r w:rsidRPr="00C903F8">
              <w:rPr>
                <w:rFonts w:cs="Arial"/>
                <w:sz w:val="18"/>
                <w:szCs w:val="20"/>
                <w:lang w:val="en-US"/>
              </w:rPr>
              <w:t xml:space="preserve">The validity of </w:t>
            </w:r>
            <w:r w:rsidRPr="003D7271">
              <w:rPr>
                <w:rFonts w:cs="Arial"/>
                <w:sz w:val="18"/>
                <w:szCs w:val="20"/>
                <w:lang w:val="en-US"/>
              </w:rPr>
              <w:t xml:space="preserve">this </w:t>
            </w:r>
            <w:r w:rsidR="00E3172D" w:rsidRPr="003D7271">
              <w:rPr>
                <w:rFonts w:cs="Arial"/>
                <w:sz w:val="18"/>
                <w:szCs w:val="18"/>
                <w:lang w:val="en-US"/>
              </w:rPr>
              <w:t>inland navigation vessel certificate</w:t>
            </w:r>
            <w:r w:rsidR="00E3172D" w:rsidRPr="0095291A">
              <w:rPr>
                <w:rFonts w:cs="Arial"/>
                <w:szCs w:val="20"/>
                <w:lang w:val="en-US"/>
              </w:rPr>
              <w:t xml:space="preserve"> </w:t>
            </w:r>
            <w:r w:rsidRPr="00C903F8">
              <w:rPr>
                <w:rFonts w:cs="Arial"/>
                <w:sz w:val="18"/>
                <w:szCs w:val="20"/>
                <w:lang w:val="en-US"/>
              </w:rPr>
              <w:t>expires on</w:t>
            </w:r>
            <w:r w:rsidR="003D7271">
              <w:rPr>
                <w:rFonts w:cs="Arial"/>
                <w:sz w:val="18"/>
                <w:szCs w:val="20"/>
                <w:lang w:val="en-US"/>
              </w:rPr>
              <w:t xml:space="preserve"> </w:t>
            </w:r>
            <w:r w:rsidRPr="00C903F8">
              <w:rPr>
                <w:rFonts w:cs="Arial"/>
                <w:sz w:val="18"/>
                <w:szCs w:val="20"/>
                <w:lang w:val="en-US"/>
              </w:rPr>
              <w:tab/>
            </w:r>
            <w:r w:rsidRPr="00C903F8">
              <w:rPr>
                <w:rFonts w:cs="Arial"/>
                <w:sz w:val="18"/>
                <w:szCs w:val="20"/>
                <w:lang w:val="en-US"/>
              </w:rPr>
              <w:br/>
            </w: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w:t>
            </w:r>
            <w:r w:rsidRPr="00C903F8">
              <w:rPr>
                <w:rFonts w:cs="Arial"/>
                <w:sz w:val="18"/>
                <w:szCs w:val="20"/>
              </w:rPr>
              <w:br/>
            </w:r>
            <w:r w:rsidRPr="00C903F8">
              <w:rPr>
                <w:rFonts w:cs="Arial"/>
                <w:sz w:val="18"/>
                <w:szCs w:val="20"/>
              </w:rPr>
              <w:br/>
            </w:r>
          </w:p>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p>
          <w:p w:rsidR="009C13A9" w:rsidRPr="00C903F8" w:rsidRDefault="009C13A9" w:rsidP="009C13A9">
            <w:pPr>
              <w:tabs>
                <w:tab w:val="left" w:pos="57"/>
              </w:tabs>
              <w:overflowPunct w:val="0"/>
              <w:adjustRightInd w:val="0"/>
              <w:spacing w:before="160"/>
              <w:ind w:left="0" w:firstLine="0"/>
              <w:jc w:val="left"/>
              <w:textAlignment w:val="baseline"/>
              <w:rPr>
                <w:rFonts w:cs="Arial"/>
                <w:sz w:val="18"/>
                <w:szCs w:val="20"/>
              </w:rPr>
            </w:pPr>
            <w:r w:rsidRPr="00C903F8">
              <w:rPr>
                <w:rFonts w:cs="Arial"/>
                <w:sz w:val="18"/>
                <w:szCs w:val="20"/>
              </w:rPr>
              <w:tab/>
              <w:t>*)</w:t>
            </w:r>
          </w:p>
        </w:tc>
        <w:tc>
          <w:tcPr>
            <w:tcW w:w="8902" w:type="dxa"/>
            <w:gridSpan w:val="5"/>
            <w:tcBorders>
              <w:bottom w:val="single" w:sz="6" w:space="0" w:color="auto"/>
              <w:right w:val="single" w:sz="6" w:space="0" w:color="auto"/>
            </w:tcBorders>
          </w:tcPr>
          <w:p w:rsidR="009C13A9" w:rsidRPr="00C903F8" w:rsidRDefault="009C13A9" w:rsidP="009C13A9">
            <w:pPr>
              <w:tabs>
                <w:tab w:val="left" w:pos="57"/>
                <w:tab w:val="left" w:leader="dot" w:pos="3686"/>
              </w:tabs>
              <w:overflowPunct w:val="0"/>
              <w:adjustRightInd w:val="0"/>
              <w:spacing w:before="80" w:after="80"/>
              <w:ind w:left="57" w:right="57" w:firstLine="0"/>
              <w:jc w:val="left"/>
              <w:textAlignment w:val="baseline"/>
              <w:rPr>
                <w:rFonts w:cs="Arial"/>
                <w:sz w:val="18"/>
                <w:szCs w:val="20"/>
                <w:lang w:val="en-US"/>
              </w:rPr>
            </w:pPr>
            <w:r w:rsidRPr="00C903F8">
              <w:rPr>
                <w:noProof/>
                <w:sz w:val="18"/>
                <w:szCs w:val="20"/>
                <w:lang w:val="en-US" w:eastAsia="fr-BE"/>
              </w:rPr>
              <w:t>Amendment to item(s):</w:t>
            </w:r>
            <w:r w:rsidRPr="00C903F8">
              <w:rPr>
                <w:rFonts w:cs="Arial"/>
                <w:sz w:val="18"/>
                <w:szCs w:val="20"/>
                <w:lang w:val="en-US"/>
              </w:rPr>
              <w:t xml:space="preserve"> ....................</w:t>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noProof/>
                <w:sz w:val="18"/>
                <w:szCs w:val="20"/>
                <w:lang w:val="en-US" w:eastAsia="fr-BE"/>
              </w:rPr>
              <w:t>New text:</w:t>
            </w: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This page has been replaced.</w:t>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 xml:space="preserve">Place, date </w:t>
            </w:r>
            <w:r w:rsidRPr="00C903F8">
              <w:rPr>
                <w:rFonts w:cs="Arial"/>
                <w:sz w:val="18"/>
                <w:szCs w:val="20"/>
                <w:lang w:val="en-US"/>
              </w:rPr>
              <w:tab/>
            </w:r>
            <w:r w:rsidRPr="00C903F8">
              <w:rPr>
                <w:rFonts w:cs="Arial"/>
                <w:sz w:val="18"/>
                <w:szCs w:val="20"/>
                <w:lang w:val="en-US"/>
              </w:rPr>
              <w:tab/>
              <w:t>Inspection body</w:t>
            </w:r>
          </w:p>
          <w:p w:rsidR="009C13A9" w:rsidRPr="00C903F8" w:rsidRDefault="009C13A9" w:rsidP="009C13A9">
            <w:pPr>
              <w:tabs>
                <w:tab w:val="left" w:pos="5103"/>
                <w:tab w:val="left" w:leader="dot" w:pos="8505"/>
              </w:tabs>
              <w:overflowPunct w:val="0"/>
              <w:adjustRightInd w:val="0"/>
              <w:ind w:left="0" w:firstLine="0"/>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1701"/>
              </w:tabs>
              <w:overflowPunct w:val="0"/>
              <w:adjustRightInd w:val="0"/>
              <w:spacing w:after="80"/>
              <w:ind w:left="0" w:firstLine="0"/>
              <w:textAlignment w:val="baseline"/>
              <w:rPr>
                <w:rFonts w:cs="Arial"/>
                <w:sz w:val="18"/>
                <w:szCs w:val="20"/>
                <w:lang w:val="en-US"/>
              </w:rPr>
            </w:pPr>
            <w:r w:rsidRPr="00C903F8">
              <w:rPr>
                <w:rFonts w:cs="Arial"/>
                <w:sz w:val="18"/>
                <w:szCs w:val="20"/>
                <w:lang w:val="en-US"/>
              </w:rPr>
              <w:tab/>
            </w:r>
            <w:r w:rsidR="00313B91" w:rsidRPr="00C903F8">
              <w:rPr>
                <w:rFonts w:cs="Arial"/>
                <w:sz w:val="18"/>
                <w:szCs w:val="20"/>
                <w:lang w:val="en-US"/>
              </w:rPr>
              <w:t>Stamp</w:t>
            </w:r>
          </w:p>
          <w:p w:rsidR="009C13A9" w:rsidRPr="00C903F8" w:rsidRDefault="009C13A9" w:rsidP="009C13A9">
            <w:pPr>
              <w:tabs>
                <w:tab w:val="left" w:pos="5103"/>
                <w:tab w:val="left" w:leader="dot" w:pos="8505"/>
              </w:tabs>
              <w:overflowPunct w:val="0"/>
              <w:adjustRightInd w:val="0"/>
              <w:ind w:left="0" w:firstLine="0"/>
              <w:textAlignment w:val="baseline"/>
              <w:rPr>
                <w:rFonts w:cs="Arial"/>
                <w:szCs w:val="20"/>
                <w:lang w:val="en-US"/>
              </w:rPr>
            </w:pPr>
            <w:r w:rsidRPr="00C903F8">
              <w:rPr>
                <w:rFonts w:cs="Arial"/>
                <w:szCs w:val="20"/>
                <w:lang w:val="en-US"/>
              </w:rPr>
              <w:tab/>
            </w:r>
            <w:r w:rsidRPr="00C903F8">
              <w:rPr>
                <w:rFonts w:cs="Arial"/>
                <w:szCs w:val="20"/>
                <w:lang w:val="en-US"/>
              </w:rPr>
              <w:tab/>
            </w:r>
          </w:p>
          <w:p w:rsidR="009C13A9" w:rsidRPr="00C903F8" w:rsidRDefault="009C13A9" w:rsidP="009C13A9">
            <w:pPr>
              <w:tabs>
                <w:tab w:val="center" w:pos="6862"/>
              </w:tabs>
              <w:overflowPunct w:val="0"/>
              <w:adjustRightInd w:val="0"/>
              <w:ind w:left="0" w:firstLine="0"/>
              <w:textAlignment w:val="baseline"/>
              <w:rPr>
                <w:rFonts w:cs="Arial"/>
                <w:sz w:val="16"/>
                <w:szCs w:val="20"/>
                <w:lang w:val="en-US"/>
              </w:rPr>
            </w:pPr>
            <w:r w:rsidRPr="00C903F8">
              <w:rPr>
                <w:rFonts w:cs="Arial"/>
                <w:szCs w:val="20"/>
                <w:lang w:val="en-US"/>
              </w:rPr>
              <w:tab/>
            </w:r>
            <w:r w:rsidRPr="00C903F8">
              <w:rPr>
                <w:rFonts w:cs="Arial"/>
                <w:sz w:val="16"/>
                <w:szCs w:val="20"/>
                <w:lang w:val="en-US"/>
              </w:rPr>
              <w:t>(Signature)</w:t>
            </w:r>
          </w:p>
          <w:p w:rsidR="009C13A9" w:rsidRPr="00C903F8" w:rsidRDefault="009C13A9" w:rsidP="009C13A9">
            <w:pPr>
              <w:tabs>
                <w:tab w:val="left" w:pos="113"/>
                <w:tab w:val="left" w:pos="397"/>
                <w:tab w:val="left" w:pos="6237"/>
                <w:tab w:val="left" w:leader="dot" w:pos="9356"/>
              </w:tabs>
              <w:overflowPunct w:val="0"/>
              <w:adjustRightInd w:val="0"/>
              <w:ind w:left="0" w:firstLine="0"/>
              <w:textAlignment w:val="baseline"/>
              <w:rPr>
                <w:rFonts w:cs="Arial"/>
                <w:sz w:val="16"/>
                <w:szCs w:val="20"/>
              </w:rPr>
            </w:pPr>
            <w:r w:rsidRPr="00C903F8">
              <w:rPr>
                <w:rFonts w:cs="Arial"/>
                <w:sz w:val="18"/>
                <w:szCs w:val="20"/>
              </w:rPr>
              <w:t>_______________________</w:t>
            </w:r>
          </w:p>
          <w:p w:rsidR="009C13A9" w:rsidRPr="00C903F8" w:rsidRDefault="009C13A9" w:rsidP="009C13A9">
            <w:pPr>
              <w:tabs>
                <w:tab w:val="left" w:pos="284"/>
              </w:tabs>
              <w:overflowPunct w:val="0"/>
              <w:adjustRightInd w:val="0"/>
              <w:spacing w:after="40"/>
              <w:ind w:left="57" w:firstLine="0"/>
              <w:jc w:val="left"/>
              <w:textAlignment w:val="baseline"/>
              <w:rPr>
                <w:rFonts w:cs="Arial"/>
                <w:sz w:val="18"/>
                <w:szCs w:val="20"/>
              </w:rPr>
            </w:pPr>
            <w:r w:rsidRPr="00C903F8">
              <w:rPr>
                <w:rFonts w:cs="Arial"/>
                <w:position w:val="4"/>
                <w:sz w:val="16"/>
                <w:szCs w:val="20"/>
              </w:rPr>
              <w:t>*)</w:t>
            </w:r>
            <w:r w:rsidRPr="00C903F8">
              <w:rPr>
                <w:rFonts w:cs="Arial"/>
                <w:sz w:val="18"/>
                <w:szCs w:val="20"/>
              </w:rPr>
              <w:tab/>
            </w:r>
            <w:r w:rsidRPr="00C903F8">
              <w:rPr>
                <w:rFonts w:cs="Arial"/>
                <w:sz w:val="16"/>
                <w:szCs w:val="20"/>
              </w:rPr>
              <w:t>Delete as appropriate</w:t>
            </w:r>
          </w:p>
        </w:tc>
      </w:tr>
    </w:tbl>
    <w:p w:rsidR="009C13A9" w:rsidRPr="00C903F8" w:rsidRDefault="009C13A9" w:rsidP="00AA5614">
      <w:pPr>
        <w:tabs>
          <w:tab w:val="left" w:leader="dot" w:pos="2835"/>
          <w:tab w:val="left" w:leader="dot" w:pos="5103"/>
        </w:tabs>
        <w:overflowPunct w:val="0"/>
        <w:adjustRightInd w:val="0"/>
        <w:ind w:left="0" w:firstLine="0"/>
        <w:textAlignment w:val="baseline"/>
        <w:rPr>
          <w:rFonts w:cs="Arial"/>
          <w:szCs w:val="20"/>
          <w:lang w:val="en-US"/>
        </w:rPr>
      </w:pPr>
      <w:r w:rsidRPr="00C903F8">
        <w:rPr>
          <w:rFonts w:cs="Arial"/>
          <w:szCs w:val="20"/>
          <w:lang w:val="en-US"/>
        </w:rPr>
        <w:br w:type="page"/>
      </w:r>
      <w:r w:rsidR="00AA5614" w:rsidRPr="00AA5614">
        <w:rPr>
          <w:rFonts w:cs="Arial"/>
          <w:szCs w:val="20"/>
          <w:lang w:val="en-US"/>
        </w:rPr>
        <w:lastRenderedPageBreak/>
        <w:t xml:space="preserve">Inland navigation vessel certificate </w:t>
      </w:r>
      <w:r w:rsidR="00AA5614">
        <w:rPr>
          <w:rFonts w:cs="Arial"/>
          <w:szCs w:val="20"/>
          <w:lang w:val="en-GB"/>
        </w:rPr>
        <w:t xml:space="preserve">No </w:t>
      </w:r>
      <w:r w:rsidR="00AA5614" w:rsidRPr="00AA5614">
        <w:rPr>
          <w:rFonts w:cs="Arial"/>
          <w:szCs w:val="20"/>
          <w:lang w:val="en-GB"/>
        </w:rPr>
        <w:tab/>
        <w:t xml:space="preserve"> of the Inspection body </w:t>
      </w:r>
      <w:r w:rsidR="00AA5614" w:rsidRPr="00AA5614">
        <w:rPr>
          <w:rFonts w:cs="Arial"/>
          <w:szCs w:val="20"/>
          <w:lang w:val="en-GB"/>
        </w:rPr>
        <w:tab/>
      </w:r>
    </w:p>
    <w:tbl>
      <w:tblPr>
        <w:tblW w:w="9186" w:type="dxa"/>
        <w:jc w:val="center"/>
        <w:tblLayout w:type="fixed"/>
        <w:tblCellMar>
          <w:left w:w="0" w:type="dxa"/>
          <w:right w:w="0" w:type="dxa"/>
        </w:tblCellMar>
        <w:tblLook w:val="0000" w:firstRow="0" w:lastRow="0" w:firstColumn="0" w:lastColumn="0" w:noHBand="0" w:noVBand="0"/>
      </w:tblPr>
      <w:tblGrid>
        <w:gridCol w:w="284"/>
        <w:gridCol w:w="8902"/>
      </w:tblGrid>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12.</w:t>
            </w:r>
          </w:p>
        </w:tc>
        <w:tc>
          <w:tcPr>
            <w:tcW w:w="8902" w:type="dxa"/>
            <w:tcBorders>
              <w:top w:val="single" w:sz="6" w:space="0" w:color="auto"/>
              <w:bottom w:val="single" w:sz="6" w:space="0" w:color="auto"/>
              <w:right w:val="single" w:sz="6" w:space="0" w:color="auto"/>
            </w:tcBorders>
          </w:tcPr>
          <w:p w:rsidR="009C13A9" w:rsidRPr="00C903F8" w:rsidRDefault="009C13A9" w:rsidP="009C13A9">
            <w:pPr>
              <w:tabs>
                <w:tab w:val="left" w:pos="57"/>
                <w:tab w:val="left" w:pos="340"/>
                <w:tab w:val="left" w:leader="dot" w:pos="8505"/>
              </w:tabs>
              <w:overflowPunct w:val="0"/>
              <w:adjustRightInd w:val="0"/>
              <w:spacing w:before="120"/>
              <w:ind w:left="57" w:hanging="57"/>
              <w:jc w:val="left"/>
              <w:textAlignment w:val="baseline"/>
              <w:rPr>
                <w:rFonts w:cs="Arial"/>
                <w:sz w:val="18"/>
                <w:szCs w:val="20"/>
                <w:lang w:val="en-US"/>
              </w:rPr>
            </w:pPr>
            <w:r w:rsidRPr="00C903F8">
              <w:rPr>
                <w:rFonts w:cs="Arial"/>
                <w:sz w:val="18"/>
                <w:szCs w:val="20"/>
                <w:lang w:val="en-US"/>
              </w:rPr>
              <w:tab/>
            </w:r>
            <w:r w:rsidRPr="003D7271">
              <w:rPr>
                <w:rFonts w:cs="Arial"/>
                <w:noProof/>
                <w:sz w:val="18"/>
                <w:szCs w:val="18"/>
                <w:lang w:val="en-US"/>
              </w:rPr>
              <w:t xml:space="preserve">The </w:t>
            </w:r>
            <w:r w:rsidR="00E3172D" w:rsidRPr="003D7271">
              <w:rPr>
                <w:rFonts w:cs="Arial"/>
                <w:sz w:val="18"/>
                <w:szCs w:val="18"/>
                <w:lang w:val="en-US"/>
              </w:rPr>
              <w:t>inland navigation vessel certificate</w:t>
            </w:r>
            <w:r w:rsidR="00E3172D" w:rsidRPr="0095291A">
              <w:rPr>
                <w:rFonts w:cs="Arial"/>
                <w:szCs w:val="20"/>
                <w:lang w:val="en-US"/>
              </w:rPr>
              <w:t xml:space="preserve"> </w:t>
            </w:r>
            <w:r w:rsidRPr="00C903F8">
              <w:rPr>
                <w:rFonts w:cs="Arial"/>
                <w:noProof/>
                <w:sz w:val="18"/>
                <w:szCs w:val="18"/>
                <w:lang w:val="en-US"/>
              </w:rPr>
              <w:t>number (1), unique European vessel identification number (2), registration number (3) and measurement number (4) are affixed with the corresponding signs at the following locations on the craft</w:t>
            </w:r>
            <w:r w:rsidRPr="00C903F8">
              <w:rPr>
                <w:rFonts w:cs="Arial"/>
                <w:sz w:val="18"/>
                <w:szCs w:val="20"/>
                <w:lang w:val="en-US"/>
              </w:rPr>
              <w:br/>
            </w:r>
            <w:r w:rsidRPr="00C903F8">
              <w:rPr>
                <w:rFonts w:cs="Arial"/>
                <w:sz w:val="18"/>
                <w:szCs w:val="20"/>
                <w:lang w:val="en-US"/>
              </w:rPr>
              <w:br/>
              <w:t>1</w:t>
            </w:r>
            <w:r w:rsidRPr="00C903F8">
              <w:rPr>
                <w:rFonts w:cs="Arial"/>
                <w:sz w:val="18"/>
                <w:szCs w:val="20"/>
                <w:lang w:val="en-US"/>
              </w:rPr>
              <w:tab/>
            </w:r>
            <w:r w:rsidRPr="00C903F8">
              <w:rPr>
                <w:rFonts w:cs="Arial"/>
                <w:sz w:val="18"/>
                <w:szCs w:val="20"/>
                <w:lang w:val="en-US"/>
              </w:rPr>
              <w:tab/>
            </w:r>
            <w:r w:rsidRPr="00C903F8">
              <w:rPr>
                <w:rFonts w:cs="Arial"/>
                <w:sz w:val="18"/>
                <w:szCs w:val="20"/>
                <w:lang w:val="en-US"/>
              </w:rPr>
              <w:br/>
            </w:r>
            <w:r w:rsidRPr="00C903F8">
              <w:rPr>
                <w:rFonts w:cs="Arial"/>
                <w:sz w:val="18"/>
                <w:szCs w:val="20"/>
                <w:lang w:val="en-US"/>
              </w:rPr>
              <w:br/>
              <w:t>2</w:t>
            </w:r>
            <w:r w:rsidRPr="00C903F8">
              <w:rPr>
                <w:rFonts w:cs="Arial"/>
                <w:sz w:val="18"/>
                <w:szCs w:val="20"/>
                <w:lang w:val="en-US"/>
              </w:rPr>
              <w:tab/>
            </w:r>
            <w:r w:rsidRPr="00C903F8">
              <w:rPr>
                <w:rFonts w:cs="Arial"/>
                <w:sz w:val="18"/>
                <w:szCs w:val="20"/>
                <w:lang w:val="en-US"/>
              </w:rPr>
              <w:tab/>
            </w:r>
            <w:r w:rsidRPr="00C903F8">
              <w:rPr>
                <w:rFonts w:cs="Arial"/>
                <w:sz w:val="18"/>
                <w:szCs w:val="20"/>
                <w:lang w:val="en-US"/>
              </w:rPr>
              <w:br/>
            </w:r>
            <w:r w:rsidRPr="00C903F8">
              <w:rPr>
                <w:rFonts w:cs="Arial"/>
                <w:sz w:val="18"/>
                <w:szCs w:val="20"/>
                <w:lang w:val="en-US"/>
              </w:rPr>
              <w:br/>
              <w:t>3</w:t>
            </w:r>
            <w:r w:rsidRPr="00C903F8">
              <w:rPr>
                <w:rFonts w:cs="Arial"/>
                <w:sz w:val="18"/>
                <w:szCs w:val="20"/>
                <w:lang w:val="en-US"/>
              </w:rPr>
              <w:tab/>
            </w:r>
            <w:r w:rsidRPr="00C903F8">
              <w:rPr>
                <w:rFonts w:cs="Arial"/>
                <w:sz w:val="18"/>
                <w:szCs w:val="20"/>
                <w:lang w:val="en-US"/>
              </w:rPr>
              <w:tab/>
            </w:r>
            <w:r w:rsidRPr="00C903F8">
              <w:rPr>
                <w:rFonts w:cs="Arial"/>
                <w:sz w:val="18"/>
                <w:szCs w:val="20"/>
                <w:lang w:val="en-US"/>
              </w:rPr>
              <w:br/>
            </w:r>
            <w:r w:rsidRPr="00C903F8">
              <w:rPr>
                <w:rFonts w:cs="Arial"/>
                <w:sz w:val="18"/>
                <w:szCs w:val="20"/>
                <w:lang w:val="en-US"/>
              </w:rPr>
              <w:br/>
              <w:t>4</w:t>
            </w:r>
            <w:r w:rsidRPr="00C903F8">
              <w:rPr>
                <w:rFonts w:cs="Arial"/>
                <w:sz w:val="18"/>
                <w:szCs w:val="20"/>
                <w:lang w:val="en-US"/>
              </w:rPr>
              <w:tab/>
            </w:r>
            <w:r w:rsidRPr="00C903F8">
              <w:rPr>
                <w:rFonts w:cs="Arial"/>
                <w:sz w:val="18"/>
                <w:szCs w:val="20"/>
                <w:lang w:val="en-US"/>
              </w:rPr>
              <w:tab/>
            </w:r>
            <w:r w:rsidRPr="00C903F8">
              <w:rPr>
                <w:rFonts w:cs="Arial"/>
                <w:sz w:val="18"/>
                <w:szCs w:val="20"/>
                <w:lang w:val="en-US"/>
              </w:rPr>
              <w:br/>
            </w:r>
          </w:p>
        </w:tc>
      </w:tr>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13.</w:t>
            </w:r>
          </w:p>
        </w:tc>
        <w:tc>
          <w:tcPr>
            <w:tcW w:w="8902" w:type="dxa"/>
            <w:tcBorders>
              <w:top w:val="single" w:sz="6" w:space="0" w:color="auto"/>
              <w:bottom w:val="single" w:sz="6" w:space="0" w:color="auto"/>
              <w:right w:val="single" w:sz="6" w:space="0" w:color="auto"/>
            </w:tcBorders>
          </w:tcPr>
          <w:p w:rsidR="009C13A9" w:rsidRPr="00C903F8" w:rsidRDefault="009C13A9" w:rsidP="009C13A9">
            <w:pPr>
              <w:tabs>
                <w:tab w:val="left" w:pos="57"/>
                <w:tab w:val="left" w:pos="340"/>
                <w:tab w:val="left" w:pos="567"/>
                <w:tab w:val="left" w:pos="4536"/>
                <w:tab w:val="left" w:pos="4820"/>
              </w:tabs>
              <w:overflowPunct w:val="0"/>
              <w:adjustRightInd w:val="0"/>
              <w:spacing w:before="120" w:after="120"/>
              <w:ind w:left="0" w:firstLine="0"/>
              <w:jc w:val="left"/>
              <w:textAlignment w:val="baseline"/>
              <w:rPr>
                <w:rFonts w:cs="Arial"/>
                <w:sz w:val="18"/>
                <w:szCs w:val="20"/>
                <w:lang w:val="en-US"/>
              </w:rPr>
            </w:pPr>
            <w:r w:rsidRPr="00C903F8">
              <w:rPr>
                <w:rFonts w:cs="Arial"/>
                <w:sz w:val="18"/>
                <w:szCs w:val="20"/>
                <w:lang w:val="en-US"/>
              </w:rPr>
              <w:tab/>
              <w:t>The maximum authorised draught is indicated on each side of the craft</w:t>
            </w:r>
          </w:p>
          <w:p w:rsidR="009C13A9" w:rsidRPr="00C903F8" w:rsidRDefault="009C13A9" w:rsidP="009C13A9">
            <w:pPr>
              <w:tabs>
                <w:tab w:val="left" w:pos="57"/>
                <w:tab w:val="left" w:pos="340"/>
                <w:tab w:val="left" w:pos="567"/>
                <w:tab w:val="left" w:pos="4536"/>
                <w:tab w:val="left" w:pos="4820"/>
              </w:tabs>
              <w:overflowPunct w:val="0"/>
              <w:adjustRightInd w:val="0"/>
              <w:spacing w:after="120"/>
              <w:ind w:left="0" w:firstLine="0"/>
              <w:jc w:val="left"/>
              <w:textAlignment w:val="baseline"/>
              <w:rPr>
                <w:rFonts w:cs="Arial"/>
                <w:sz w:val="18"/>
                <w:szCs w:val="20"/>
                <w:lang w:val="en-US"/>
              </w:rPr>
            </w:pPr>
            <w:r w:rsidRPr="00C903F8">
              <w:rPr>
                <w:rFonts w:cs="Arial"/>
                <w:sz w:val="18"/>
                <w:szCs w:val="20"/>
                <w:lang w:val="en-US"/>
              </w:rPr>
              <w:t>-</w:t>
            </w:r>
            <w:r w:rsidRPr="00C903F8">
              <w:rPr>
                <w:rFonts w:cs="Arial"/>
                <w:sz w:val="18"/>
                <w:szCs w:val="20"/>
                <w:lang w:val="en-US"/>
              </w:rPr>
              <w:tab/>
              <w:t>by two - ......................................... – draught marks</w:t>
            </w:r>
            <w:r w:rsidRPr="00C903F8">
              <w:rPr>
                <w:rFonts w:cs="Arial"/>
                <w:position w:val="6"/>
                <w:sz w:val="16"/>
                <w:szCs w:val="20"/>
                <w:lang w:val="en-US"/>
              </w:rPr>
              <w:t>*)</w:t>
            </w:r>
            <w:r w:rsidRPr="00C903F8">
              <w:rPr>
                <w:rFonts w:cs="Arial"/>
                <w:sz w:val="18"/>
                <w:szCs w:val="20"/>
                <w:lang w:val="en-US"/>
              </w:rPr>
              <w:t>.</w:t>
            </w:r>
          </w:p>
          <w:p w:rsidR="009C13A9" w:rsidRPr="00C903F8" w:rsidRDefault="009C13A9" w:rsidP="009C13A9">
            <w:pPr>
              <w:tabs>
                <w:tab w:val="left" w:pos="57"/>
                <w:tab w:val="left" w:pos="340"/>
                <w:tab w:val="left" w:pos="567"/>
                <w:tab w:val="left" w:pos="4536"/>
                <w:tab w:val="left" w:pos="4820"/>
              </w:tabs>
              <w:overflowPunct w:val="0"/>
              <w:adjustRightInd w:val="0"/>
              <w:ind w:left="0" w:firstLine="0"/>
              <w:jc w:val="left"/>
              <w:textAlignment w:val="baseline"/>
              <w:rPr>
                <w:rFonts w:cs="Arial"/>
                <w:sz w:val="18"/>
                <w:szCs w:val="20"/>
                <w:lang w:val="en-US"/>
              </w:rPr>
            </w:pPr>
            <w:r w:rsidRPr="00C903F8">
              <w:rPr>
                <w:rFonts w:cs="Arial"/>
                <w:sz w:val="18"/>
                <w:szCs w:val="20"/>
                <w:lang w:val="en-US"/>
              </w:rPr>
              <w:t>-</w:t>
            </w:r>
            <w:r w:rsidRPr="00C903F8">
              <w:rPr>
                <w:rFonts w:cs="Arial"/>
                <w:sz w:val="18"/>
                <w:szCs w:val="20"/>
                <w:lang w:val="en-US"/>
              </w:rPr>
              <w:tab/>
              <w:t xml:space="preserve">by the upper measurement plates </w:t>
            </w:r>
            <w:r w:rsidRPr="00C903F8">
              <w:rPr>
                <w:rFonts w:cs="Arial"/>
                <w:position w:val="6"/>
                <w:sz w:val="16"/>
                <w:szCs w:val="20"/>
                <w:lang w:val="en-US"/>
              </w:rPr>
              <w:t>*)</w:t>
            </w:r>
            <w:r w:rsidRPr="00C903F8">
              <w:rPr>
                <w:rFonts w:cs="Arial"/>
                <w:sz w:val="18"/>
                <w:szCs w:val="20"/>
                <w:lang w:val="en-US"/>
              </w:rPr>
              <w:t>.</w:t>
            </w:r>
          </w:p>
          <w:p w:rsidR="009C13A9" w:rsidRPr="00C903F8" w:rsidRDefault="009C13A9" w:rsidP="009C13A9">
            <w:pPr>
              <w:tabs>
                <w:tab w:val="left" w:pos="57"/>
                <w:tab w:val="left" w:pos="340"/>
                <w:tab w:val="left" w:pos="567"/>
                <w:tab w:val="left" w:pos="4536"/>
                <w:tab w:val="left" w:pos="4820"/>
              </w:tabs>
              <w:overflowPunct w:val="0"/>
              <w:adjustRightInd w:val="0"/>
              <w:ind w:left="0" w:firstLine="0"/>
              <w:jc w:val="left"/>
              <w:textAlignment w:val="baseline"/>
              <w:rPr>
                <w:rFonts w:cs="Arial"/>
                <w:sz w:val="18"/>
                <w:szCs w:val="20"/>
                <w:lang w:val="en-US"/>
              </w:rPr>
            </w:pPr>
          </w:p>
          <w:p w:rsidR="009C13A9" w:rsidRPr="00C903F8" w:rsidRDefault="009C13A9" w:rsidP="009C13A9">
            <w:pPr>
              <w:tabs>
                <w:tab w:val="left" w:pos="57"/>
                <w:tab w:val="left" w:pos="340"/>
                <w:tab w:val="left" w:pos="567"/>
                <w:tab w:val="left" w:pos="4536"/>
                <w:tab w:val="left" w:pos="4820"/>
              </w:tabs>
              <w:overflowPunct w:val="0"/>
              <w:adjustRightInd w:val="0"/>
              <w:ind w:left="0" w:firstLine="0"/>
              <w:jc w:val="left"/>
              <w:textAlignment w:val="baseline"/>
              <w:rPr>
                <w:rFonts w:cs="Arial"/>
                <w:sz w:val="18"/>
                <w:szCs w:val="20"/>
                <w:lang w:val="en-US"/>
              </w:rPr>
            </w:pPr>
            <w:r w:rsidRPr="00C903F8">
              <w:rPr>
                <w:rFonts w:cs="Arial"/>
                <w:sz w:val="18"/>
                <w:szCs w:val="20"/>
                <w:lang w:val="en-US"/>
              </w:rPr>
              <w:t xml:space="preserve">Two draught scales have been applied </w:t>
            </w:r>
            <w:r w:rsidRPr="00C903F8">
              <w:rPr>
                <w:rFonts w:cs="Arial"/>
                <w:position w:val="6"/>
                <w:sz w:val="16"/>
                <w:szCs w:val="20"/>
                <w:lang w:val="en-US"/>
              </w:rPr>
              <w:t>*)</w:t>
            </w:r>
            <w:r w:rsidRPr="00C903F8">
              <w:rPr>
                <w:rFonts w:cs="Arial"/>
                <w:sz w:val="18"/>
                <w:szCs w:val="20"/>
                <w:lang w:val="en-US"/>
              </w:rPr>
              <w:t>.</w:t>
            </w:r>
            <w:r w:rsidRPr="00C903F8">
              <w:rPr>
                <w:rFonts w:cs="Arial"/>
                <w:sz w:val="18"/>
                <w:szCs w:val="20"/>
                <w:lang w:val="en-US"/>
              </w:rPr>
              <w:br/>
              <w:t>The rear measurement scales serve as draught scales: they have been supplemented for that purpose by figures indicating the draughts</w:t>
            </w:r>
            <w:r w:rsidRPr="00C903F8">
              <w:rPr>
                <w:rFonts w:cs="Arial"/>
                <w:position w:val="6"/>
                <w:sz w:val="16"/>
                <w:szCs w:val="20"/>
                <w:lang w:val="en-US"/>
              </w:rPr>
              <w:t>*)</w:t>
            </w:r>
            <w:r w:rsidRPr="00C903F8">
              <w:rPr>
                <w:rFonts w:cs="Arial"/>
                <w:sz w:val="18"/>
                <w:szCs w:val="20"/>
                <w:lang w:val="en-US"/>
              </w:rPr>
              <w:t>.</w:t>
            </w:r>
            <w:r w:rsidRPr="00C903F8">
              <w:rPr>
                <w:rFonts w:cs="Arial"/>
                <w:sz w:val="18"/>
                <w:szCs w:val="20"/>
                <w:lang w:val="en-US"/>
              </w:rPr>
              <w:br/>
            </w:r>
          </w:p>
        </w:tc>
      </w:tr>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14.</w:t>
            </w:r>
          </w:p>
        </w:tc>
        <w:tc>
          <w:tcPr>
            <w:tcW w:w="8902" w:type="dxa"/>
            <w:tcBorders>
              <w:top w:val="single" w:sz="6" w:space="0" w:color="auto"/>
              <w:bottom w:val="single" w:sz="6" w:space="0" w:color="auto"/>
              <w:right w:val="single" w:sz="6" w:space="0" w:color="auto"/>
            </w:tcBorders>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 xml:space="preserve">Without prejudice to the restrictions </w:t>
            </w:r>
            <w:r w:rsidR="00C62508" w:rsidRPr="00C903F8">
              <w:rPr>
                <w:rFonts w:cs="Arial"/>
                <w:position w:val="6"/>
                <w:sz w:val="14"/>
                <w:szCs w:val="20"/>
                <w:lang w:val="en-US"/>
              </w:rPr>
              <w:t>*)</w:t>
            </w:r>
            <w:r w:rsidRPr="00C903F8">
              <w:rPr>
                <w:rFonts w:cs="Arial"/>
                <w:sz w:val="18"/>
                <w:szCs w:val="20"/>
                <w:lang w:val="en-US"/>
              </w:rPr>
              <w:t xml:space="preserve"> mentioned in items 15 and 52, the craft is fit to</w:t>
            </w:r>
          </w:p>
          <w:p w:rsidR="009C13A9" w:rsidRPr="00C903F8" w:rsidRDefault="009C13A9" w:rsidP="009C13A9">
            <w:pPr>
              <w:tabs>
                <w:tab w:val="left" w:pos="57"/>
                <w:tab w:val="left" w:pos="340"/>
                <w:tab w:val="left" w:pos="567"/>
                <w:tab w:val="left" w:pos="4536"/>
                <w:tab w:val="left" w:pos="4820"/>
              </w:tabs>
              <w:overflowPunct w:val="0"/>
              <w:adjustRightInd w:val="0"/>
              <w:ind w:left="0" w:firstLine="0"/>
              <w:jc w:val="left"/>
              <w:textAlignment w:val="baseline"/>
              <w:rPr>
                <w:rFonts w:cs="Arial"/>
                <w:sz w:val="18"/>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232"/>
              <w:gridCol w:w="284"/>
              <w:gridCol w:w="624"/>
              <w:gridCol w:w="3515"/>
            </w:tblGrid>
            <w:tr w:rsidR="009C13A9" w:rsidRPr="00296858" w:rsidTr="009C13A9">
              <w:trPr>
                <w:jc w:val="center"/>
              </w:trPr>
              <w:tc>
                <w:tcPr>
                  <w:tcW w:w="624"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1.</w:t>
                  </w:r>
                </w:p>
              </w:tc>
              <w:tc>
                <w:tcPr>
                  <w:tcW w:w="3232" w:type="dxa"/>
                  <w:tcBorders>
                    <w:right w:val="nil"/>
                  </w:tcBorders>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push</w:t>
                  </w:r>
                  <w:r w:rsidRPr="00C903F8">
                    <w:rPr>
                      <w:rFonts w:cs="Arial"/>
                      <w:position w:val="6"/>
                      <w:sz w:val="16"/>
                      <w:szCs w:val="20"/>
                    </w:rPr>
                    <w:t xml:space="preserve"> *)</w:t>
                  </w:r>
                </w:p>
              </w:tc>
              <w:tc>
                <w:tcPr>
                  <w:tcW w:w="284" w:type="dxa"/>
                  <w:tcBorders>
                    <w:left w:val="nil"/>
                  </w:tcBorders>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p>
              </w:tc>
              <w:tc>
                <w:tcPr>
                  <w:tcW w:w="624"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4.</w:t>
                  </w:r>
                </w:p>
              </w:tc>
              <w:tc>
                <w:tcPr>
                  <w:tcW w:w="3515"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be propelled in a side-by-side formation</w:t>
                  </w:r>
                  <w:r w:rsidRPr="00C903F8">
                    <w:rPr>
                      <w:rFonts w:cs="Arial"/>
                      <w:position w:val="6"/>
                      <w:sz w:val="16"/>
                      <w:szCs w:val="20"/>
                      <w:lang w:val="en-US"/>
                    </w:rPr>
                    <w:t>*)</w:t>
                  </w:r>
                </w:p>
              </w:tc>
            </w:tr>
            <w:tr w:rsidR="009C13A9" w:rsidRPr="00C903F8" w:rsidTr="009C13A9">
              <w:trPr>
                <w:jc w:val="center"/>
              </w:trPr>
              <w:tc>
                <w:tcPr>
                  <w:tcW w:w="624"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1.1</w:t>
                  </w:r>
                </w:p>
              </w:tc>
              <w:tc>
                <w:tcPr>
                  <w:tcW w:w="3232" w:type="dxa"/>
                  <w:tcBorders>
                    <w:right w:val="nil"/>
                  </w:tcBorders>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in rigid formation</w:t>
                  </w:r>
                  <w:r w:rsidRPr="00C903F8">
                    <w:rPr>
                      <w:rFonts w:cs="Arial"/>
                      <w:position w:val="6"/>
                      <w:sz w:val="16"/>
                      <w:szCs w:val="20"/>
                    </w:rPr>
                    <w:t xml:space="preserve"> *)</w:t>
                  </w:r>
                </w:p>
              </w:tc>
              <w:tc>
                <w:tcPr>
                  <w:tcW w:w="284" w:type="dxa"/>
                  <w:tcBorders>
                    <w:left w:val="nil"/>
                  </w:tcBorders>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p>
              </w:tc>
              <w:tc>
                <w:tcPr>
                  <w:tcW w:w="624"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5.</w:t>
                  </w:r>
                </w:p>
              </w:tc>
              <w:tc>
                <w:tcPr>
                  <w:tcW w:w="3515"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tow</w:t>
                  </w:r>
                  <w:r w:rsidRPr="00C903F8">
                    <w:rPr>
                      <w:rFonts w:cs="Arial"/>
                      <w:position w:val="6"/>
                      <w:sz w:val="16"/>
                      <w:szCs w:val="20"/>
                    </w:rPr>
                    <w:t xml:space="preserve"> *)</w:t>
                  </w:r>
                </w:p>
              </w:tc>
            </w:tr>
            <w:tr w:rsidR="009C13A9" w:rsidRPr="00296858" w:rsidTr="009C13A9">
              <w:trPr>
                <w:jc w:val="center"/>
              </w:trPr>
              <w:tc>
                <w:tcPr>
                  <w:tcW w:w="624"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1.2</w:t>
                  </w:r>
                </w:p>
              </w:tc>
              <w:tc>
                <w:tcPr>
                  <w:tcW w:w="3232" w:type="dxa"/>
                  <w:tcBorders>
                    <w:right w:val="nil"/>
                  </w:tcBorders>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with controlled articulation</w:t>
                  </w:r>
                  <w:r w:rsidRPr="00C903F8">
                    <w:rPr>
                      <w:rFonts w:cs="Arial"/>
                      <w:position w:val="6"/>
                      <w:sz w:val="16"/>
                      <w:szCs w:val="20"/>
                    </w:rPr>
                    <w:t xml:space="preserve"> *)</w:t>
                  </w:r>
                </w:p>
              </w:tc>
              <w:tc>
                <w:tcPr>
                  <w:tcW w:w="284" w:type="dxa"/>
                  <w:tcBorders>
                    <w:left w:val="nil"/>
                  </w:tcBorders>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p>
              </w:tc>
              <w:tc>
                <w:tcPr>
                  <w:tcW w:w="624"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5.1</w:t>
                  </w:r>
                </w:p>
              </w:tc>
              <w:tc>
                <w:tcPr>
                  <w:tcW w:w="3515"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craft having no motive power of their own</w:t>
                  </w:r>
                  <w:r w:rsidRPr="00C903F8">
                    <w:rPr>
                      <w:rFonts w:cs="Arial"/>
                      <w:position w:val="6"/>
                      <w:sz w:val="16"/>
                      <w:szCs w:val="20"/>
                      <w:lang w:val="en-US"/>
                    </w:rPr>
                    <w:t>*)</w:t>
                  </w:r>
                </w:p>
              </w:tc>
            </w:tr>
            <w:tr w:rsidR="009C13A9" w:rsidRPr="00C903F8" w:rsidTr="009C13A9">
              <w:trPr>
                <w:jc w:val="center"/>
              </w:trPr>
              <w:tc>
                <w:tcPr>
                  <w:tcW w:w="624"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2.</w:t>
                  </w:r>
                </w:p>
              </w:tc>
              <w:tc>
                <w:tcPr>
                  <w:tcW w:w="3232" w:type="dxa"/>
                  <w:tcBorders>
                    <w:right w:val="nil"/>
                  </w:tcBorders>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be pushed</w:t>
                  </w:r>
                  <w:r w:rsidRPr="00C903F8">
                    <w:rPr>
                      <w:rFonts w:cs="Arial"/>
                      <w:position w:val="6"/>
                      <w:sz w:val="16"/>
                      <w:szCs w:val="20"/>
                    </w:rPr>
                    <w:t xml:space="preserve"> *)</w:t>
                  </w:r>
                </w:p>
              </w:tc>
              <w:tc>
                <w:tcPr>
                  <w:tcW w:w="284" w:type="dxa"/>
                  <w:tcBorders>
                    <w:left w:val="nil"/>
                  </w:tcBorders>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p>
              </w:tc>
              <w:tc>
                <w:tcPr>
                  <w:tcW w:w="624"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5.2</w:t>
                  </w:r>
                </w:p>
              </w:tc>
              <w:tc>
                <w:tcPr>
                  <w:tcW w:w="3515"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 xml:space="preserve">motorised craft </w:t>
                  </w:r>
                  <w:r w:rsidRPr="00C903F8">
                    <w:rPr>
                      <w:rFonts w:cs="Arial"/>
                      <w:position w:val="6"/>
                      <w:sz w:val="16"/>
                      <w:szCs w:val="20"/>
                    </w:rPr>
                    <w:t>*)</w:t>
                  </w:r>
                </w:p>
              </w:tc>
            </w:tr>
            <w:tr w:rsidR="009C13A9" w:rsidRPr="00C903F8" w:rsidTr="009C13A9">
              <w:trPr>
                <w:jc w:val="center"/>
              </w:trPr>
              <w:tc>
                <w:tcPr>
                  <w:tcW w:w="624"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2.1</w:t>
                  </w:r>
                </w:p>
              </w:tc>
              <w:tc>
                <w:tcPr>
                  <w:tcW w:w="3232" w:type="dxa"/>
                  <w:tcBorders>
                    <w:right w:val="nil"/>
                  </w:tcBorders>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in rigid formation</w:t>
                  </w:r>
                  <w:r w:rsidRPr="00C903F8">
                    <w:rPr>
                      <w:rFonts w:cs="Arial"/>
                      <w:position w:val="6"/>
                      <w:sz w:val="16"/>
                      <w:szCs w:val="20"/>
                    </w:rPr>
                    <w:t xml:space="preserve"> *)</w:t>
                  </w:r>
                </w:p>
              </w:tc>
              <w:tc>
                <w:tcPr>
                  <w:tcW w:w="284" w:type="dxa"/>
                  <w:tcBorders>
                    <w:left w:val="nil"/>
                  </w:tcBorders>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p>
              </w:tc>
              <w:tc>
                <w:tcPr>
                  <w:tcW w:w="624"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5.3</w:t>
                  </w:r>
                </w:p>
              </w:tc>
              <w:tc>
                <w:tcPr>
                  <w:tcW w:w="3515"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upstream only</w:t>
                  </w:r>
                  <w:r w:rsidRPr="00C903F8">
                    <w:rPr>
                      <w:rFonts w:cs="Arial"/>
                      <w:position w:val="6"/>
                      <w:sz w:val="16"/>
                      <w:szCs w:val="20"/>
                    </w:rPr>
                    <w:t xml:space="preserve"> *)</w:t>
                  </w:r>
                </w:p>
              </w:tc>
            </w:tr>
            <w:tr w:rsidR="009C13A9" w:rsidRPr="00C903F8" w:rsidTr="009C13A9">
              <w:trPr>
                <w:jc w:val="center"/>
              </w:trPr>
              <w:tc>
                <w:tcPr>
                  <w:tcW w:w="624"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2.2</w:t>
                  </w:r>
                </w:p>
              </w:tc>
              <w:tc>
                <w:tcPr>
                  <w:tcW w:w="3232" w:type="dxa"/>
                  <w:tcBorders>
                    <w:right w:val="nil"/>
                  </w:tcBorders>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at the head of a rigid formation</w:t>
                  </w:r>
                  <w:r w:rsidRPr="00C903F8">
                    <w:rPr>
                      <w:rFonts w:cs="Arial"/>
                      <w:position w:val="6"/>
                      <w:sz w:val="16"/>
                      <w:szCs w:val="20"/>
                      <w:lang w:val="en-US"/>
                    </w:rPr>
                    <w:t xml:space="preserve"> *)</w:t>
                  </w:r>
                </w:p>
              </w:tc>
              <w:tc>
                <w:tcPr>
                  <w:tcW w:w="284" w:type="dxa"/>
                  <w:tcBorders>
                    <w:left w:val="nil"/>
                  </w:tcBorders>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lang w:val="en-US"/>
                    </w:rPr>
                  </w:pPr>
                </w:p>
              </w:tc>
              <w:tc>
                <w:tcPr>
                  <w:tcW w:w="624"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6.</w:t>
                  </w:r>
                </w:p>
              </w:tc>
              <w:tc>
                <w:tcPr>
                  <w:tcW w:w="3515"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be towed</w:t>
                  </w:r>
                  <w:r w:rsidRPr="00C903F8">
                    <w:rPr>
                      <w:rFonts w:cs="Arial"/>
                      <w:position w:val="6"/>
                      <w:sz w:val="16"/>
                      <w:szCs w:val="20"/>
                    </w:rPr>
                    <w:t xml:space="preserve"> *)</w:t>
                  </w:r>
                </w:p>
              </w:tc>
            </w:tr>
            <w:tr w:rsidR="009C13A9" w:rsidRPr="00C903F8" w:rsidTr="009C13A9">
              <w:trPr>
                <w:jc w:val="center"/>
              </w:trPr>
              <w:tc>
                <w:tcPr>
                  <w:tcW w:w="624"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2.3</w:t>
                  </w:r>
                </w:p>
              </w:tc>
              <w:tc>
                <w:tcPr>
                  <w:tcW w:w="3232" w:type="dxa"/>
                  <w:tcBorders>
                    <w:right w:val="nil"/>
                  </w:tcBorders>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with controlled articulation</w:t>
                  </w:r>
                  <w:r w:rsidRPr="00C903F8">
                    <w:rPr>
                      <w:rFonts w:cs="Arial"/>
                      <w:position w:val="6"/>
                      <w:sz w:val="16"/>
                      <w:szCs w:val="20"/>
                    </w:rPr>
                    <w:t xml:space="preserve"> *)</w:t>
                  </w:r>
                </w:p>
              </w:tc>
              <w:tc>
                <w:tcPr>
                  <w:tcW w:w="284" w:type="dxa"/>
                  <w:tcBorders>
                    <w:left w:val="nil"/>
                  </w:tcBorders>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p>
              </w:tc>
              <w:tc>
                <w:tcPr>
                  <w:tcW w:w="624"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6.1</w:t>
                  </w:r>
                </w:p>
              </w:tc>
              <w:tc>
                <w:tcPr>
                  <w:tcW w:w="3515"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 xml:space="preserve">as a motorised craft </w:t>
                  </w:r>
                  <w:r w:rsidRPr="00C903F8">
                    <w:rPr>
                      <w:rFonts w:cs="Arial"/>
                      <w:position w:val="6"/>
                      <w:sz w:val="16"/>
                      <w:szCs w:val="20"/>
                    </w:rPr>
                    <w:t>*)</w:t>
                  </w:r>
                </w:p>
              </w:tc>
            </w:tr>
            <w:tr w:rsidR="009C13A9" w:rsidRPr="00296858" w:rsidTr="009C13A9">
              <w:trPr>
                <w:jc w:val="center"/>
              </w:trPr>
              <w:tc>
                <w:tcPr>
                  <w:tcW w:w="624"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3.</w:t>
                  </w:r>
                </w:p>
              </w:tc>
              <w:tc>
                <w:tcPr>
                  <w:tcW w:w="3232" w:type="dxa"/>
                  <w:tcBorders>
                    <w:right w:val="nil"/>
                  </w:tcBorders>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propel a side-by-side formation</w:t>
                  </w:r>
                  <w:r w:rsidRPr="00C903F8">
                    <w:rPr>
                      <w:rFonts w:cs="Arial"/>
                      <w:position w:val="6"/>
                      <w:sz w:val="16"/>
                      <w:szCs w:val="20"/>
                      <w:lang w:val="en-US"/>
                    </w:rPr>
                    <w:t xml:space="preserve"> *)</w:t>
                  </w:r>
                </w:p>
              </w:tc>
              <w:tc>
                <w:tcPr>
                  <w:tcW w:w="284" w:type="dxa"/>
                  <w:tcBorders>
                    <w:left w:val="nil"/>
                  </w:tcBorders>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lang w:val="en-US"/>
                    </w:rPr>
                  </w:pPr>
                </w:p>
              </w:tc>
              <w:tc>
                <w:tcPr>
                  <w:tcW w:w="624"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rPr>
                  </w:pPr>
                  <w:r w:rsidRPr="00C903F8">
                    <w:rPr>
                      <w:rFonts w:cs="Arial"/>
                      <w:sz w:val="18"/>
                      <w:szCs w:val="20"/>
                    </w:rPr>
                    <w:t>6.2</w:t>
                  </w:r>
                </w:p>
              </w:tc>
              <w:tc>
                <w:tcPr>
                  <w:tcW w:w="3515" w:type="dxa"/>
                  <w:shd w:val="clear" w:color="auto" w:fill="auto"/>
                </w:tcPr>
                <w:p w:rsidR="009C13A9" w:rsidRPr="00C903F8" w:rsidRDefault="009C13A9" w:rsidP="009C13A9">
                  <w:pPr>
                    <w:tabs>
                      <w:tab w:val="left" w:pos="57"/>
                      <w:tab w:val="left" w:pos="340"/>
                      <w:tab w:val="left" w:pos="567"/>
                      <w:tab w:val="left" w:pos="4536"/>
                      <w:tab w:val="left" w:pos="4820"/>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as a craft with no motive power of its own</w:t>
                  </w:r>
                  <w:r w:rsidRPr="00C903F8">
                    <w:rPr>
                      <w:rFonts w:cs="Arial"/>
                      <w:position w:val="6"/>
                      <w:sz w:val="16"/>
                      <w:szCs w:val="20"/>
                      <w:lang w:val="en-US"/>
                    </w:rPr>
                    <w:t>*)</w:t>
                  </w:r>
                </w:p>
              </w:tc>
            </w:tr>
          </w:tbl>
          <w:p w:rsidR="009C13A9" w:rsidRPr="00C903F8" w:rsidRDefault="009C13A9" w:rsidP="009C13A9">
            <w:pPr>
              <w:tabs>
                <w:tab w:val="left" w:pos="57"/>
                <w:tab w:val="left" w:pos="340"/>
                <w:tab w:val="left" w:pos="567"/>
                <w:tab w:val="left" w:pos="4536"/>
                <w:tab w:val="left" w:pos="4820"/>
              </w:tabs>
              <w:overflowPunct w:val="0"/>
              <w:adjustRightInd w:val="0"/>
              <w:ind w:left="0" w:firstLine="0"/>
              <w:jc w:val="left"/>
              <w:textAlignment w:val="baseline"/>
              <w:rPr>
                <w:rFonts w:cs="Arial"/>
                <w:sz w:val="18"/>
                <w:szCs w:val="20"/>
                <w:lang w:val="en-US"/>
              </w:rPr>
            </w:pPr>
          </w:p>
          <w:p w:rsidR="009C13A9" w:rsidRPr="00C903F8" w:rsidRDefault="009C13A9" w:rsidP="009C13A9">
            <w:pPr>
              <w:tabs>
                <w:tab w:val="left" w:pos="57"/>
                <w:tab w:val="left" w:pos="340"/>
                <w:tab w:val="left" w:pos="567"/>
                <w:tab w:val="left" w:pos="4536"/>
                <w:tab w:val="left" w:pos="4820"/>
              </w:tabs>
              <w:overflowPunct w:val="0"/>
              <w:adjustRightInd w:val="0"/>
              <w:ind w:left="0" w:firstLine="0"/>
              <w:jc w:val="left"/>
              <w:textAlignment w:val="baseline"/>
              <w:rPr>
                <w:rFonts w:cs="Arial"/>
                <w:sz w:val="18"/>
                <w:szCs w:val="20"/>
                <w:lang w:val="en-US"/>
              </w:rPr>
            </w:pP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w:t>
            </w:r>
            <w:r w:rsidRPr="00C903F8">
              <w:rPr>
                <w:rFonts w:cs="Arial"/>
                <w:sz w:val="18"/>
                <w:szCs w:val="20"/>
              </w:rPr>
              <w:br/>
            </w:r>
            <w:r w:rsidRPr="00C903F8">
              <w:rPr>
                <w:rFonts w:cs="Arial"/>
                <w:sz w:val="18"/>
                <w:szCs w:val="20"/>
              </w:rPr>
              <w:br/>
            </w:r>
          </w:p>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p>
          <w:p w:rsidR="009C13A9" w:rsidRPr="00C903F8" w:rsidRDefault="009C13A9" w:rsidP="009C13A9">
            <w:pPr>
              <w:tabs>
                <w:tab w:val="left" w:pos="57"/>
              </w:tabs>
              <w:overflowPunct w:val="0"/>
              <w:adjustRightInd w:val="0"/>
              <w:spacing w:before="160"/>
              <w:ind w:left="0" w:firstLine="0"/>
              <w:jc w:val="left"/>
              <w:textAlignment w:val="baseline"/>
              <w:rPr>
                <w:rFonts w:cs="Arial"/>
                <w:sz w:val="18"/>
                <w:szCs w:val="20"/>
              </w:rPr>
            </w:pPr>
            <w:r w:rsidRPr="00C903F8">
              <w:rPr>
                <w:rFonts w:cs="Arial"/>
                <w:sz w:val="18"/>
                <w:szCs w:val="20"/>
              </w:rPr>
              <w:tab/>
              <w:t>*)</w:t>
            </w:r>
          </w:p>
        </w:tc>
        <w:tc>
          <w:tcPr>
            <w:tcW w:w="8902" w:type="dxa"/>
            <w:tcBorders>
              <w:bottom w:val="single" w:sz="6" w:space="0" w:color="auto"/>
              <w:right w:val="single" w:sz="6" w:space="0" w:color="auto"/>
            </w:tcBorders>
          </w:tcPr>
          <w:p w:rsidR="009C13A9" w:rsidRPr="00C903F8" w:rsidRDefault="009C13A9" w:rsidP="009C13A9">
            <w:pPr>
              <w:tabs>
                <w:tab w:val="left" w:pos="57"/>
                <w:tab w:val="left" w:leader="dot" w:pos="3686"/>
              </w:tabs>
              <w:overflowPunct w:val="0"/>
              <w:adjustRightInd w:val="0"/>
              <w:spacing w:before="80" w:after="80"/>
              <w:ind w:left="57" w:right="57" w:firstLine="0"/>
              <w:jc w:val="left"/>
              <w:textAlignment w:val="baseline"/>
              <w:rPr>
                <w:rFonts w:cs="Arial"/>
                <w:sz w:val="18"/>
                <w:szCs w:val="20"/>
                <w:lang w:val="en-US"/>
              </w:rPr>
            </w:pPr>
            <w:r w:rsidRPr="00C903F8">
              <w:rPr>
                <w:noProof/>
                <w:sz w:val="18"/>
                <w:szCs w:val="20"/>
                <w:lang w:val="en-US" w:eastAsia="fr-BE"/>
              </w:rPr>
              <w:t>Amendment to item(s):</w:t>
            </w:r>
            <w:r w:rsidRPr="00C903F8">
              <w:rPr>
                <w:rFonts w:cs="Arial"/>
                <w:sz w:val="18"/>
                <w:szCs w:val="20"/>
                <w:lang w:val="en-US"/>
              </w:rPr>
              <w:t xml:space="preserve"> ....................</w:t>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noProof/>
                <w:sz w:val="18"/>
                <w:szCs w:val="20"/>
                <w:lang w:val="en-US" w:eastAsia="fr-BE"/>
              </w:rPr>
              <w:t>New text:</w:t>
            </w: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This page has been replaced.</w:t>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 xml:space="preserve">Place, date </w:t>
            </w:r>
            <w:r w:rsidRPr="00C903F8">
              <w:rPr>
                <w:rFonts w:cs="Arial"/>
                <w:sz w:val="18"/>
                <w:szCs w:val="20"/>
                <w:lang w:val="en-US"/>
              </w:rPr>
              <w:tab/>
            </w:r>
            <w:r w:rsidRPr="00C903F8">
              <w:rPr>
                <w:rFonts w:cs="Arial"/>
                <w:sz w:val="18"/>
                <w:szCs w:val="20"/>
                <w:lang w:val="en-US"/>
              </w:rPr>
              <w:tab/>
              <w:t>Inspection body</w:t>
            </w:r>
          </w:p>
          <w:p w:rsidR="009C13A9" w:rsidRPr="00C903F8" w:rsidRDefault="009C13A9" w:rsidP="009C13A9">
            <w:pPr>
              <w:tabs>
                <w:tab w:val="left" w:pos="5103"/>
                <w:tab w:val="left" w:leader="dot" w:pos="8505"/>
              </w:tabs>
              <w:overflowPunct w:val="0"/>
              <w:adjustRightInd w:val="0"/>
              <w:ind w:left="0" w:firstLine="0"/>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1701"/>
              </w:tabs>
              <w:overflowPunct w:val="0"/>
              <w:adjustRightInd w:val="0"/>
              <w:spacing w:after="80"/>
              <w:ind w:left="0" w:firstLine="0"/>
              <w:textAlignment w:val="baseline"/>
              <w:rPr>
                <w:rFonts w:cs="Arial"/>
                <w:sz w:val="18"/>
                <w:szCs w:val="20"/>
                <w:lang w:val="en-US"/>
              </w:rPr>
            </w:pPr>
            <w:r w:rsidRPr="00C903F8">
              <w:rPr>
                <w:rFonts w:cs="Arial"/>
                <w:sz w:val="18"/>
                <w:szCs w:val="20"/>
                <w:lang w:val="en-US"/>
              </w:rPr>
              <w:tab/>
            </w:r>
            <w:r w:rsidR="00313B91" w:rsidRPr="00C903F8">
              <w:rPr>
                <w:rFonts w:cs="Arial"/>
                <w:sz w:val="18"/>
                <w:szCs w:val="20"/>
                <w:lang w:val="en-US"/>
              </w:rPr>
              <w:t>Stamp</w:t>
            </w:r>
          </w:p>
          <w:p w:rsidR="009C13A9" w:rsidRPr="00C903F8" w:rsidRDefault="009C13A9" w:rsidP="009C13A9">
            <w:pPr>
              <w:tabs>
                <w:tab w:val="left" w:pos="5103"/>
                <w:tab w:val="left" w:leader="dot" w:pos="8505"/>
              </w:tabs>
              <w:overflowPunct w:val="0"/>
              <w:adjustRightInd w:val="0"/>
              <w:ind w:left="0" w:firstLine="0"/>
              <w:textAlignment w:val="baseline"/>
              <w:rPr>
                <w:rFonts w:cs="Arial"/>
                <w:szCs w:val="20"/>
                <w:lang w:val="en-US"/>
              </w:rPr>
            </w:pPr>
            <w:r w:rsidRPr="00C903F8">
              <w:rPr>
                <w:rFonts w:cs="Arial"/>
                <w:szCs w:val="20"/>
                <w:lang w:val="en-US"/>
              </w:rPr>
              <w:tab/>
            </w:r>
            <w:r w:rsidRPr="00C903F8">
              <w:rPr>
                <w:rFonts w:cs="Arial"/>
                <w:szCs w:val="20"/>
                <w:lang w:val="en-US"/>
              </w:rPr>
              <w:tab/>
            </w:r>
          </w:p>
          <w:p w:rsidR="009C13A9" w:rsidRPr="00C903F8" w:rsidRDefault="009C13A9" w:rsidP="009C13A9">
            <w:pPr>
              <w:tabs>
                <w:tab w:val="center" w:pos="6862"/>
              </w:tabs>
              <w:overflowPunct w:val="0"/>
              <w:adjustRightInd w:val="0"/>
              <w:ind w:left="0" w:firstLine="0"/>
              <w:textAlignment w:val="baseline"/>
              <w:rPr>
                <w:rFonts w:cs="Arial"/>
                <w:sz w:val="16"/>
                <w:szCs w:val="20"/>
                <w:lang w:val="en-US"/>
              </w:rPr>
            </w:pPr>
            <w:r w:rsidRPr="00C903F8">
              <w:rPr>
                <w:rFonts w:cs="Arial"/>
                <w:szCs w:val="20"/>
                <w:lang w:val="en-US"/>
              </w:rPr>
              <w:tab/>
            </w:r>
            <w:r w:rsidRPr="00C903F8">
              <w:rPr>
                <w:rFonts w:cs="Arial"/>
                <w:sz w:val="16"/>
                <w:szCs w:val="20"/>
                <w:lang w:val="en-US"/>
              </w:rPr>
              <w:t>(Signature)</w:t>
            </w:r>
          </w:p>
          <w:p w:rsidR="009C13A9" w:rsidRPr="00C903F8" w:rsidRDefault="009C13A9" w:rsidP="009C13A9">
            <w:pPr>
              <w:tabs>
                <w:tab w:val="left" w:pos="113"/>
                <w:tab w:val="left" w:pos="397"/>
                <w:tab w:val="left" w:pos="6237"/>
                <w:tab w:val="left" w:leader="dot" w:pos="9356"/>
              </w:tabs>
              <w:overflowPunct w:val="0"/>
              <w:adjustRightInd w:val="0"/>
              <w:ind w:left="0" w:firstLine="0"/>
              <w:textAlignment w:val="baseline"/>
              <w:rPr>
                <w:rFonts w:cs="Arial"/>
                <w:sz w:val="16"/>
                <w:szCs w:val="20"/>
              </w:rPr>
            </w:pPr>
            <w:r w:rsidRPr="00C903F8">
              <w:rPr>
                <w:rFonts w:cs="Arial"/>
                <w:sz w:val="18"/>
                <w:szCs w:val="20"/>
              </w:rPr>
              <w:t>_______________________</w:t>
            </w:r>
          </w:p>
          <w:p w:rsidR="009C13A9" w:rsidRPr="00C903F8" w:rsidRDefault="009C13A9" w:rsidP="009C13A9">
            <w:pPr>
              <w:tabs>
                <w:tab w:val="left" w:pos="284"/>
              </w:tabs>
              <w:overflowPunct w:val="0"/>
              <w:adjustRightInd w:val="0"/>
              <w:spacing w:after="40"/>
              <w:ind w:left="57" w:firstLine="0"/>
              <w:jc w:val="left"/>
              <w:textAlignment w:val="baseline"/>
              <w:rPr>
                <w:rFonts w:cs="Arial"/>
                <w:sz w:val="18"/>
                <w:szCs w:val="20"/>
              </w:rPr>
            </w:pPr>
            <w:r w:rsidRPr="00C903F8">
              <w:rPr>
                <w:rFonts w:cs="Arial"/>
                <w:position w:val="4"/>
                <w:sz w:val="16"/>
                <w:szCs w:val="20"/>
              </w:rPr>
              <w:t>*)</w:t>
            </w:r>
            <w:r w:rsidRPr="00C903F8">
              <w:rPr>
                <w:rFonts w:cs="Arial"/>
                <w:sz w:val="18"/>
                <w:szCs w:val="20"/>
              </w:rPr>
              <w:tab/>
            </w:r>
            <w:r w:rsidRPr="00C903F8">
              <w:rPr>
                <w:rFonts w:cs="Arial"/>
                <w:sz w:val="16"/>
                <w:szCs w:val="20"/>
              </w:rPr>
              <w:t>Delete as appropriate</w:t>
            </w:r>
          </w:p>
        </w:tc>
      </w:tr>
    </w:tbl>
    <w:p w:rsidR="009C13A9" w:rsidRPr="00C903F8" w:rsidRDefault="009C13A9" w:rsidP="009C13A9">
      <w:pPr>
        <w:overflowPunct w:val="0"/>
        <w:adjustRightInd w:val="0"/>
        <w:ind w:left="0" w:firstLine="0"/>
        <w:jc w:val="left"/>
        <w:textAlignment w:val="baseline"/>
        <w:rPr>
          <w:rFonts w:cs="Arial"/>
          <w:szCs w:val="20"/>
        </w:rPr>
      </w:pPr>
    </w:p>
    <w:p w:rsidR="009C13A9" w:rsidRPr="00C903F8" w:rsidRDefault="009C13A9" w:rsidP="00AA5614">
      <w:pPr>
        <w:tabs>
          <w:tab w:val="left" w:leader="dot" w:pos="2835"/>
          <w:tab w:val="left" w:leader="dot" w:pos="5103"/>
        </w:tabs>
        <w:overflowPunct w:val="0"/>
        <w:adjustRightInd w:val="0"/>
        <w:ind w:left="0" w:firstLine="0"/>
        <w:textAlignment w:val="baseline"/>
        <w:rPr>
          <w:rFonts w:cs="Arial"/>
          <w:szCs w:val="20"/>
          <w:lang w:val="en-US"/>
        </w:rPr>
      </w:pPr>
      <w:r w:rsidRPr="00C903F8">
        <w:rPr>
          <w:rFonts w:cs="Arial"/>
          <w:szCs w:val="20"/>
          <w:lang w:val="en-US"/>
        </w:rPr>
        <w:br w:type="page"/>
      </w:r>
      <w:r w:rsidR="00AA5614" w:rsidRPr="00AA5614">
        <w:rPr>
          <w:rFonts w:cs="Arial"/>
          <w:szCs w:val="20"/>
          <w:lang w:val="en-US"/>
        </w:rPr>
        <w:lastRenderedPageBreak/>
        <w:t xml:space="preserve">Inland navigation vessel certificate </w:t>
      </w:r>
      <w:r w:rsidR="00AA5614">
        <w:rPr>
          <w:rFonts w:cs="Arial"/>
          <w:szCs w:val="20"/>
          <w:lang w:val="en-GB"/>
        </w:rPr>
        <w:t xml:space="preserve">No </w:t>
      </w:r>
      <w:r w:rsidR="00AA5614" w:rsidRPr="00AA5614">
        <w:rPr>
          <w:rFonts w:cs="Arial"/>
          <w:szCs w:val="20"/>
          <w:lang w:val="en-GB"/>
        </w:rPr>
        <w:tab/>
        <w:t xml:space="preserve"> of the Inspection body </w:t>
      </w:r>
      <w:r w:rsidR="00AA5614" w:rsidRPr="00AA5614">
        <w:rPr>
          <w:rFonts w:cs="Arial"/>
          <w:szCs w:val="20"/>
          <w:lang w:val="en-GB"/>
        </w:rPr>
        <w:tab/>
      </w:r>
    </w:p>
    <w:tbl>
      <w:tblPr>
        <w:tblW w:w="9188" w:type="dxa"/>
        <w:jc w:val="center"/>
        <w:tblLayout w:type="fixed"/>
        <w:tblCellMar>
          <w:left w:w="0" w:type="dxa"/>
          <w:right w:w="0" w:type="dxa"/>
        </w:tblCellMar>
        <w:tblLook w:val="0000" w:firstRow="0" w:lastRow="0" w:firstColumn="0" w:lastColumn="0" w:noHBand="0" w:noVBand="0"/>
      </w:tblPr>
      <w:tblGrid>
        <w:gridCol w:w="284"/>
        <w:gridCol w:w="567"/>
        <w:gridCol w:w="794"/>
        <w:gridCol w:w="794"/>
        <w:gridCol w:w="794"/>
        <w:gridCol w:w="794"/>
        <w:gridCol w:w="794"/>
        <w:gridCol w:w="794"/>
        <w:gridCol w:w="851"/>
        <w:gridCol w:w="851"/>
        <w:gridCol w:w="1701"/>
        <w:gridCol w:w="170"/>
      </w:tblGrid>
      <w:tr w:rsidR="009C13A9" w:rsidRPr="00296858" w:rsidTr="009C13A9">
        <w:trPr>
          <w:cantSplit/>
          <w:jc w:val="center"/>
        </w:trPr>
        <w:tc>
          <w:tcPr>
            <w:tcW w:w="284" w:type="dxa"/>
            <w:tcBorders>
              <w:top w:val="single" w:sz="6" w:space="0" w:color="auto"/>
              <w:left w:val="single" w:sz="6" w:space="0" w:color="auto"/>
            </w:tcBorders>
          </w:tcPr>
          <w:p w:rsidR="009C13A9" w:rsidRPr="00C903F8" w:rsidRDefault="009C13A9" w:rsidP="009C13A9">
            <w:pPr>
              <w:tabs>
                <w:tab w:val="left" w:pos="57"/>
                <w:tab w:val="left" w:pos="227"/>
              </w:tabs>
              <w:overflowPunct w:val="0"/>
              <w:adjustRightInd w:val="0"/>
              <w:spacing w:before="80"/>
              <w:ind w:left="0" w:firstLine="0"/>
              <w:jc w:val="left"/>
              <w:textAlignment w:val="baseline"/>
              <w:rPr>
                <w:rFonts w:cs="Arial"/>
                <w:sz w:val="18"/>
                <w:szCs w:val="20"/>
              </w:rPr>
            </w:pPr>
            <w:r w:rsidRPr="00C903F8">
              <w:rPr>
                <w:rFonts w:cs="Arial"/>
                <w:sz w:val="18"/>
                <w:szCs w:val="20"/>
              </w:rPr>
              <w:t>15.</w:t>
            </w:r>
          </w:p>
        </w:tc>
        <w:tc>
          <w:tcPr>
            <w:tcW w:w="8904" w:type="dxa"/>
            <w:gridSpan w:val="11"/>
            <w:tcBorders>
              <w:top w:val="single" w:sz="6" w:space="0" w:color="auto"/>
              <w:right w:val="single" w:sz="6" w:space="0" w:color="auto"/>
            </w:tcBorders>
          </w:tcPr>
          <w:p w:rsidR="009C13A9" w:rsidRPr="00C903F8" w:rsidRDefault="009C13A9" w:rsidP="009C13A9">
            <w:pPr>
              <w:tabs>
                <w:tab w:val="left" w:pos="57"/>
                <w:tab w:val="left" w:pos="340"/>
                <w:tab w:val="left" w:leader="dot" w:pos="8505"/>
              </w:tabs>
              <w:overflowPunct w:val="0"/>
              <w:adjustRightInd w:val="0"/>
              <w:spacing w:before="80"/>
              <w:ind w:left="57" w:right="113" w:hanging="57"/>
              <w:jc w:val="left"/>
              <w:textAlignment w:val="baseline"/>
              <w:rPr>
                <w:rFonts w:cs="Arial"/>
                <w:sz w:val="18"/>
                <w:szCs w:val="20"/>
                <w:lang w:val="en-US"/>
              </w:rPr>
            </w:pPr>
            <w:r w:rsidRPr="00C903F8">
              <w:rPr>
                <w:rFonts w:cs="Arial"/>
                <w:sz w:val="18"/>
                <w:szCs w:val="20"/>
                <w:lang w:val="en-US"/>
              </w:rPr>
              <w:tab/>
            </w:r>
            <w:r w:rsidRPr="00C903F8">
              <w:rPr>
                <w:rFonts w:cs="Arial"/>
                <w:szCs w:val="20"/>
                <w:lang w:val="en-US"/>
              </w:rPr>
              <w:t>Authorised formations</w:t>
            </w:r>
            <w:r w:rsidRPr="00C903F8">
              <w:rPr>
                <w:rFonts w:cs="Arial"/>
                <w:szCs w:val="20"/>
                <w:lang w:val="en-US"/>
              </w:rPr>
              <w:br/>
              <w:t>1.</w:t>
            </w:r>
            <w:r w:rsidRPr="00C903F8">
              <w:rPr>
                <w:rFonts w:cs="Arial"/>
                <w:szCs w:val="20"/>
                <w:lang w:val="en-US"/>
              </w:rPr>
              <w:tab/>
              <w:t>The craft is authorised to propel the following formations:</w:t>
            </w:r>
          </w:p>
        </w:tc>
      </w:tr>
      <w:tr w:rsidR="009C13A9" w:rsidRPr="00296858" w:rsidTr="009C13A9">
        <w:trPr>
          <w:cantSplit/>
          <w:jc w:val="center"/>
        </w:trPr>
        <w:tc>
          <w:tcPr>
            <w:tcW w:w="284" w:type="dxa"/>
            <w:tcBorders>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left"/>
              <w:textAlignment w:val="baseline"/>
              <w:rPr>
                <w:rFonts w:cs="Arial"/>
                <w:sz w:val="18"/>
                <w:szCs w:val="20"/>
                <w:lang w:val="en-US"/>
              </w:rPr>
            </w:pPr>
          </w:p>
        </w:tc>
        <w:tc>
          <w:tcPr>
            <w:tcW w:w="567" w:type="dxa"/>
            <w:tcBorders>
              <w:top w:val="single" w:sz="6" w:space="0" w:color="auto"/>
              <w:left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center"/>
              <w:textAlignment w:val="baseline"/>
              <w:rPr>
                <w:rFonts w:cs="Arial"/>
                <w:sz w:val="18"/>
                <w:szCs w:val="20"/>
              </w:rPr>
            </w:pPr>
            <w:r w:rsidRPr="00C903F8">
              <w:rPr>
                <w:rFonts w:cs="Arial"/>
                <w:sz w:val="16"/>
                <w:szCs w:val="20"/>
              </w:rPr>
              <w:t>Formation figure</w:t>
            </w:r>
          </w:p>
        </w:tc>
        <w:tc>
          <w:tcPr>
            <w:tcW w:w="8167" w:type="dxa"/>
            <w:gridSpan w:val="9"/>
            <w:tcBorders>
              <w:top w:val="single" w:sz="6" w:space="0" w:color="auto"/>
              <w:left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center"/>
              <w:textAlignment w:val="baseline"/>
              <w:rPr>
                <w:rFonts w:cs="Arial"/>
                <w:sz w:val="18"/>
                <w:szCs w:val="20"/>
                <w:lang w:val="en-US"/>
              </w:rPr>
            </w:pPr>
            <w:r w:rsidRPr="00C903F8">
              <w:rPr>
                <w:rFonts w:cs="Arial"/>
                <w:sz w:val="18"/>
                <w:szCs w:val="20"/>
                <w:lang w:val="en-US"/>
              </w:rPr>
              <w:t>Restrictions resulting from chapters 5 and 21</w:t>
            </w:r>
          </w:p>
        </w:tc>
        <w:tc>
          <w:tcPr>
            <w:tcW w:w="170" w:type="dxa"/>
            <w:tcBorders>
              <w:left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left"/>
              <w:textAlignment w:val="baseline"/>
              <w:rPr>
                <w:rFonts w:cs="Arial"/>
                <w:sz w:val="18"/>
                <w:szCs w:val="20"/>
                <w:lang w:val="en-US"/>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left"/>
              <w:textAlignment w:val="baseline"/>
              <w:rPr>
                <w:rFonts w:cs="Arial"/>
                <w:sz w:val="18"/>
                <w:szCs w:val="20"/>
                <w:lang w:val="en-US"/>
              </w:rPr>
            </w:pPr>
          </w:p>
        </w:tc>
        <w:tc>
          <w:tcPr>
            <w:tcW w:w="567" w:type="dxa"/>
            <w:tcBorders>
              <w:left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textAlignment w:val="baseline"/>
              <w:rPr>
                <w:rFonts w:cs="Arial"/>
                <w:sz w:val="18"/>
                <w:szCs w:val="20"/>
                <w:lang w:val="en-US"/>
              </w:rPr>
            </w:pPr>
          </w:p>
        </w:tc>
        <w:tc>
          <w:tcPr>
            <w:tcW w:w="1588" w:type="dxa"/>
            <w:gridSpan w:val="2"/>
            <w:tcBorders>
              <w:top w:val="single" w:sz="6" w:space="0" w:color="auto"/>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center"/>
              <w:textAlignment w:val="baseline"/>
              <w:rPr>
                <w:rFonts w:cs="Arial"/>
                <w:sz w:val="18"/>
                <w:szCs w:val="20"/>
              </w:rPr>
            </w:pPr>
            <w:r w:rsidRPr="00C903F8">
              <w:rPr>
                <w:rFonts w:cs="Arial"/>
                <w:sz w:val="18"/>
                <w:szCs w:val="20"/>
              </w:rPr>
              <w:t>Max dimensions</w:t>
            </w:r>
          </w:p>
        </w:tc>
        <w:tc>
          <w:tcPr>
            <w:tcW w:w="3176" w:type="dxa"/>
            <w:gridSpan w:val="4"/>
            <w:tcBorders>
              <w:top w:val="single" w:sz="6" w:space="0" w:color="auto"/>
              <w:left w:val="single" w:sz="12"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center"/>
              <w:textAlignment w:val="baseline"/>
              <w:rPr>
                <w:rFonts w:cs="Arial"/>
                <w:sz w:val="18"/>
                <w:szCs w:val="20"/>
                <w:lang w:val="en-US"/>
              </w:rPr>
            </w:pPr>
            <w:r w:rsidRPr="00C903F8">
              <w:rPr>
                <w:rFonts w:cs="Arial"/>
                <w:sz w:val="18"/>
                <w:szCs w:val="20"/>
                <w:lang w:val="en-US"/>
              </w:rPr>
              <w:t>Navigation direction and load status</w:t>
            </w:r>
          </w:p>
        </w:tc>
        <w:tc>
          <w:tcPr>
            <w:tcW w:w="1702" w:type="dxa"/>
            <w:gridSpan w:val="2"/>
            <w:tcBorders>
              <w:top w:val="single" w:sz="6" w:space="0" w:color="auto"/>
              <w:left w:val="single" w:sz="12" w:space="0" w:color="auto"/>
              <w:right w:val="single" w:sz="12" w:space="0" w:color="auto"/>
            </w:tcBorders>
          </w:tcPr>
          <w:p w:rsidR="009C13A9" w:rsidRPr="00C903F8" w:rsidRDefault="009C13A9" w:rsidP="009C13A9">
            <w:r w:rsidRPr="00C903F8">
              <w:t>Maximum wetted</w:t>
            </w:r>
          </w:p>
        </w:tc>
        <w:tc>
          <w:tcPr>
            <w:tcW w:w="1701" w:type="dxa"/>
            <w:tcBorders>
              <w:top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center"/>
              <w:textAlignment w:val="baseline"/>
              <w:rPr>
                <w:rFonts w:cs="Arial"/>
                <w:sz w:val="18"/>
                <w:szCs w:val="20"/>
              </w:rPr>
            </w:pPr>
          </w:p>
        </w:tc>
        <w:tc>
          <w:tcPr>
            <w:tcW w:w="170" w:type="dxa"/>
            <w:tcBorders>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center"/>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left"/>
              <w:textAlignment w:val="baseline"/>
              <w:rPr>
                <w:rFonts w:cs="Arial"/>
                <w:sz w:val="18"/>
                <w:szCs w:val="20"/>
              </w:rPr>
            </w:pPr>
          </w:p>
        </w:tc>
        <w:tc>
          <w:tcPr>
            <w:tcW w:w="567" w:type="dxa"/>
            <w:tcBorders>
              <w:left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center"/>
              <w:textAlignment w:val="baseline"/>
              <w:rPr>
                <w:rFonts w:cs="Arial"/>
                <w:sz w:val="16"/>
                <w:szCs w:val="20"/>
              </w:rPr>
            </w:pPr>
          </w:p>
        </w:tc>
        <w:tc>
          <w:tcPr>
            <w:tcW w:w="1588" w:type="dxa"/>
            <w:gridSpan w:val="2"/>
            <w:tcBorders>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center"/>
              <w:textAlignment w:val="baseline"/>
              <w:rPr>
                <w:rFonts w:cs="Arial"/>
                <w:sz w:val="18"/>
                <w:szCs w:val="20"/>
              </w:rPr>
            </w:pPr>
            <w:r w:rsidRPr="00C903F8">
              <w:rPr>
                <w:rFonts w:cs="Arial"/>
                <w:sz w:val="18"/>
                <w:szCs w:val="20"/>
              </w:rPr>
              <w:t>m</w:t>
            </w:r>
          </w:p>
        </w:tc>
        <w:tc>
          <w:tcPr>
            <w:tcW w:w="1588" w:type="dxa"/>
            <w:gridSpan w:val="2"/>
            <w:tcBorders>
              <w:left w:val="single" w:sz="12"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center"/>
              <w:textAlignment w:val="baseline"/>
              <w:rPr>
                <w:rFonts w:cs="Arial"/>
                <w:sz w:val="18"/>
                <w:szCs w:val="20"/>
              </w:rPr>
            </w:pPr>
            <w:r w:rsidRPr="00C903F8">
              <w:rPr>
                <w:rFonts w:cs="Arial"/>
                <w:sz w:val="18"/>
                <w:szCs w:val="20"/>
              </w:rPr>
              <w:t>UPSTREAM</w:t>
            </w:r>
          </w:p>
        </w:tc>
        <w:tc>
          <w:tcPr>
            <w:tcW w:w="1588" w:type="dxa"/>
            <w:gridSpan w:val="2"/>
            <w:tcBorders>
              <w:left w:val="single" w:sz="12" w:space="0" w:color="auto"/>
              <w:right w:val="single" w:sz="12" w:space="0" w:color="auto"/>
            </w:tcBorders>
          </w:tcPr>
          <w:p w:rsidR="009C13A9" w:rsidRPr="00C903F8" w:rsidRDefault="009C13A9" w:rsidP="009C13A9">
            <w:r w:rsidRPr="00C903F8">
              <w:t>section in m²</w:t>
            </w:r>
          </w:p>
        </w:tc>
        <w:tc>
          <w:tcPr>
            <w:tcW w:w="1702" w:type="dxa"/>
            <w:gridSpan w:val="2"/>
            <w:tcBorders>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center"/>
              <w:textAlignment w:val="baseline"/>
              <w:rPr>
                <w:rFonts w:cs="Arial"/>
                <w:sz w:val="18"/>
                <w:szCs w:val="20"/>
              </w:rPr>
            </w:pPr>
            <w:r w:rsidRPr="00C903F8">
              <w:rPr>
                <w:rFonts w:cs="Arial"/>
                <w:sz w:val="18"/>
                <w:szCs w:val="20"/>
              </w:rPr>
              <w:t>maximale en m</w:t>
            </w:r>
            <w:r w:rsidRPr="00C903F8">
              <w:rPr>
                <w:rFonts w:cs="Arial"/>
                <w:position w:val="6"/>
                <w:sz w:val="12"/>
                <w:szCs w:val="20"/>
              </w:rPr>
              <w:t>2</w:t>
            </w:r>
          </w:p>
        </w:tc>
        <w:tc>
          <w:tcPr>
            <w:tcW w:w="1701" w:type="dxa"/>
            <w:tcBorders>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center"/>
              <w:textAlignment w:val="baseline"/>
              <w:rPr>
                <w:rFonts w:cs="Arial"/>
                <w:sz w:val="18"/>
                <w:szCs w:val="20"/>
              </w:rPr>
            </w:pPr>
            <w:r w:rsidRPr="00C903F8">
              <w:rPr>
                <w:rFonts w:cs="Arial"/>
                <w:sz w:val="18"/>
                <w:szCs w:val="20"/>
              </w:rPr>
              <w:t>Remarks</w:t>
            </w:r>
          </w:p>
        </w:tc>
        <w:tc>
          <w:tcPr>
            <w:tcW w:w="170" w:type="dxa"/>
            <w:tcBorders>
              <w:left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left"/>
              <w:textAlignment w:val="baseline"/>
              <w:rPr>
                <w:rFonts w:cs="Arial"/>
                <w:sz w:val="18"/>
                <w:szCs w:val="20"/>
              </w:rPr>
            </w:pPr>
          </w:p>
        </w:tc>
        <w:tc>
          <w:tcPr>
            <w:tcW w:w="567" w:type="dxa"/>
            <w:tcBorders>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center"/>
              <w:textAlignment w:val="baseline"/>
              <w:rPr>
                <w:rFonts w:cs="Arial"/>
                <w:sz w:val="16"/>
                <w:szCs w:val="20"/>
              </w:rPr>
            </w:pPr>
            <w:r w:rsidRPr="00C903F8">
              <w:rPr>
                <w:rFonts w:cs="Arial"/>
                <w:sz w:val="16"/>
                <w:szCs w:val="20"/>
              </w:rPr>
              <w:t>No</w:t>
            </w:r>
          </w:p>
        </w:tc>
        <w:tc>
          <w:tcPr>
            <w:tcW w:w="794" w:type="dxa"/>
            <w:tcBorders>
              <w:left w:val="single" w:sz="6" w:space="0" w:color="auto"/>
              <w:bottom w:val="single" w:sz="6" w:space="0" w:color="auto"/>
              <w:right w:val="single" w:sz="6" w:space="0" w:color="auto"/>
            </w:tcBorders>
          </w:tcPr>
          <w:p w:rsidR="009C13A9" w:rsidRPr="00C903F8" w:rsidRDefault="009C13A9" w:rsidP="009C13A9">
            <w:r w:rsidRPr="00C903F8">
              <w:t>length</w:t>
            </w:r>
          </w:p>
        </w:tc>
        <w:tc>
          <w:tcPr>
            <w:tcW w:w="794" w:type="dxa"/>
            <w:tcBorders>
              <w:left w:val="single" w:sz="6" w:space="0" w:color="auto"/>
              <w:bottom w:val="single" w:sz="6" w:space="0" w:color="auto"/>
            </w:tcBorders>
          </w:tcPr>
          <w:p w:rsidR="009C13A9" w:rsidRPr="00C903F8" w:rsidRDefault="009C13A9" w:rsidP="009C13A9">
            <w:r w:rsidRPr="00C903F8">
              <w:t>breadth</w:t>
            </w:r>
          </w:p>
        </w:tc>
        <w:tc>
          <w:tcPr>
            <w:tcW w:w="794" w:type="dxa"/>
            <w:tcBorders>
              <w:left w:val="single" w:sz="12" w:space="0" w:color="auto"/>
              <w:bottom w:val="single" w:sz="6" w:space="0" w:color="auto"/>
              <w:right w:val="single" w:sz="6" w:space="0" w:color="auto"/>
            </w:tcBorders>
          </w:tcPr>
          <w:p w:rsidR="009C13A9" w:rsidRPr="00C903F8" w:rsidRDefault="009C13A9" w:rsidP="009C13A9">
            <w:r w:rsidRPr="00C903F8">
              <w:t>loaded t</w:t>
            </w:r>
          </w:p>
        </w:tc>
        <w:tc>
          <w:tcPr>
            <w:tcW w:w="794" w:type="dxa"/>
            <w:tcBorders>
              <w:left w:val="single" w:sz="6" w:space="0" w:color="auto"/>
              <w:bottom w:val="single" w:sz="6" w:space="0" w:color="auto"/>
              <w:right w:val="single" w:sz="12" w:space="0" w:color="auto"/>
            </w:tcBorders>
          </w:tcPr>
          <w:p w:rsidR="009C13A9" w:rsidRPr="00C903F8" w:rsidRDefault="009C13A9" w:rsidP="009C13A9">
            <w:r w:rsidRPr="00C903F8">
              <w:t>empty</w:t>
            </w:r>
          </w:p>
        </w:tc>
        <w:tc>
          <w:tcPr>
            <w:tcW w:w="794" w:type="dxa"/>
            <w:tcBorders>
              <w:bottom w:val="single" w:sz="6" w:space="0" w:color="auto"/>
              <w:right w:val="single" w:sz="6" w:space="0" w:color="auto"/>
            </w:tcBorders>
          </w:tcPr>
          <w:p w:rsidR="009C13A9" w:rsidRPr="00C903F8" w:rsidRDefault="009C13A9" w:rsidP="009C13A9">
            <w:r w:rsidRPr="00C903F8">
              <w:t>Loaded t</w:t>
            </w:r>
          </w:p>
        </w:tc>
        <w:tc>
          <w:tcPr>
            <w:tcW w:w="794" w:type="dxa"/>
            <w:tcBorders>
              <w:left w:val="single" w:sz="6" w:space="0" w:color="auto"/>
              <w:bottom w:val="single" w:sz="6" w:space="0" w:color="auto"/>
            </w:tcBorders>
          </w:tcPr>
          <w:p w:rsidR="009C13A9" w:rsidRPr="00C903F8" w:rsidRDefault="009C13A9" w:rsidP="009C13A9">
            <w:r w:rsidRPr="00C903F8">
              <w:t>empty</w:t>
            </w:r>
          </w:p>
        </w:tc>
        <w:tc>
          <w:tcPr>
            <w:tcW w:w="851" w:type="dxa"/>
            <w:tcBorders>
              <w:left w:val="single" w:sz="12" w:space="0" w:color="auto"/>
              <w:bottom w:val="single" w:sz="6" w:space="0" w:color="auto"/>
              <w:right w:val="single" w:sz="6" w:space="0" w:color="auto"/>
            </w:tcBorders>
          </w:tcPr>
          <w:p w:rsidR="009C13A9" w:rsidRPr="00C903F8" w:rsidRDefault="009C13A9" w:rsidP="009C13A9">
            <w:r w:rsidRPr="00C903F8">
              <w:t>upstream</w:t>
            </w:r>
          </w:p>
        </w:tc>
        <w:tc>
          <w:tcPr>
            <w:tcW w:w="851" w:type="dxa"/>
            <w:tcBorders>
              <w:left w:val="single" w:sz="6" w:space="0" w:color="auto"/>
              <w:bottom w:val="single" w:sz="6" w:space="0" w:color="auto"/>
              <w:right w:val="single" w:sz="12" w:space="0" w:color="auto"/>
            </w:tcBorders>
          </w:tcPr>
          <w:p w:rsidR="009C13A9" w:rsidRPr="00C903F8" w:rsidRDefault="009C13A9" w:rsidP="009C13A9">
            <w:r w:rsidRPr="00C903F8">
              <w:t>downstream</w:t>
            </w:r>
          </w:p>
        </w:tc>
        <w:tc>
          <w:tcPr>
            <w:tcW w:w="1701" w:type="dxa"/>
            <w:tcBorders>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center"/>
              <w:textAlignment w:val="baseline"/>
              <w:rPr>
                <w:rFonts w:cs="Arial"/>
                <w:sz w:val="18"/>
                <w:szCs w:val="20"/>
              </w:rPr>
            </w:pPr>
          </w:p>
        </w:tc>
        <w:tc>
          <w:tcPr>
            <w:tcW w:w="170" w:type="dxa"/>
            <w:tcBorders>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spacing w:line="180" w:lineRule="exact"/>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c>
          <w:tcPr>
            <w:tcW w:w="56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6"/>
                <w:szCs w:val="20"/>
              </w:rPr>
            </w:pPr>
          </w:p>
        </w:tc>
        <w:tc>
          <w:tcPr>
            <w:tcW w:w="79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1"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 w:type="dxa"/>
            <w:tcBorders>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c>
          <w:tcPr>
            <w:tcW w:w="56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6"/>
                <w:szCs w:val="20"/>
              </w:rPr>
            </w:pPr>
          </w:p>
        </w:tc>
        <w:tc>
          <w:tcPr>
            <w:tcW w:w="79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1"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 w:type="dxa"/>
            <w:tcBorders>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c>
          <w:tcPr>
            <w:tcW w:w="56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6"/>
                <w:szCs w:val="20"/>
              </w:rPr>
            </w:pPr>
          </w:p>
        </w:tc>
        <w:tc>
          <w:tcPr>
            <w:tcW w:w="79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1"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 w:type="dxa"/>
            <w:tcBorders>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c>
          <w:tcPr>
            <w:tcW w:w="56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6"/>
                <w:szCs w:val="20"/>
              </w:rPr>
            </w:pPr>
          </w:p>
        </w:tc>
        <w:tc>
          <w:tcPr>
            <w:tcW w:w="79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1"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 w:type="dxa"/>
            <w:tcBorders>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c>
          <w:tcPr>
            <w:tcW w:w="56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6"/>
                <w:szCs w:val="20"/>
              </w:rPr>
            </w:pPr>
          </w:p>
        </w:tc>
        <w:tc>
          <w:tcPr>
            <w:tcW w:w="79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1"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 w:type="dxa"/>
            <w:tcBorders>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c>
          <w:tcPr>
            <w:tcW w:w="56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6"/>
                <w:szCs w:val="20"/>
              </w:rPr>
            </w:pPr>
          </w:p>
        </w:tc>
        <w:tc>
          <w:tcPr>
            <w:tcW w:w="79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1"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 w:type="dxa"/>
            <w:tcBorders>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c>
          <w:tcPr>
            <w:tcW w:w="56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6"/>
                <w:szCs w:val="20"/>
              </w:rPr>
            </w:pPr>
          </w:p>
        </w:tc>
        <w:tc>
          <w:tcPr>
            <w:tcW w:w="79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1"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 w:type="dxa"/>
            <w:tcBorders>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c>
          <w:tcPr>
            <w:tcW w:w="56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6"/>
                <w:szCs w:val="20"/>
              </w:rPr>
            </w:pPr>
          </w:p>
        </w:tc>
        <w:tc>
          <w:tcPr>
            <w:tcW w:w="79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1"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 w:type="dxa"/>
            <w:tcBorders>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c>
          <w:tcPr>
            <w:tcW w:w="567" w:type="dxa"/>
            <w:tcBorders>
              <w:top w:val="single" w:sz="6" w:space="0" w:color="auto"/>
              <w:left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6"/>
                <w:szCs w:val="20"/>
              </w:rPr>
            </w:pPr>
          </w:p>
        </w:tc>
        <w:tc>
          <w:tcPr>
            <w:tcW w:w="794" w:type="dxa"/>
            <w:tcBorders>
              <w:top w:val="single" w:sz="6" w:space="0" w:color="auto"/>
              <w:left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12"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12"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1" w:type="dxa"/>
            <w:tcBorders>
              <w:top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 w:type="dxa"/>
            <w:tcBorders>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c>
          <w:tcPr>
            <w:tcW w:w="56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6"/>
                <w:szCs w:val="20"/>
              </w:rPr>
            </w:pPr>
          </w:p>
        </w:tc>
        <w:tc>
          <w:tcPr>
            <w:tcW w:w="79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794" w:type="dxa"/>
            <w:tcBorders>
              <w:top w:val="single" w:sz="6" w:space="0" w:color="auto"/>
              <w:left w:val="single" w:sz="6" w:space="0" w:color="auto"/>
              <w:bottom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12"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851" w:type="dxa"/>
            <w:tcBorders>
              <w:top w:val="single" w:sz="6" w:space="0" w:color="auto"/>
              <w:left w:val="single" w:sz="6" w:space="0" w:color="auto"/>
              <w:bottom w:val="single" w:sz="6" w:space="0" w:color="auto"/>
              <w:right w:val="single" w:sz="12"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1" w:type="dxa"/>
            <w:tcBorders>
              <w:top w:val="single" w:sz="6" w:space="0" w:color="auto"/>
              <w:bottom w:val="single" w:sz="6" w:space="0" w:color="auto"/>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center"/>
              <w:textAlignment w:val="baseline"/>
              <w:rPr>
                <w:rFonts w:cs="Arial"/>
                <w:sz w:val="18"/>
                <w:szCs w:val="20"/>
              </w:rPr>
            </w:pPr>
          </w:p>
        </w:tc>
        <w:tc>
          <w:tcPr>
            <w:tcW w:w="170" w:type="dxa"/>
            <w:tcBorders>
              <w:right w:val="single" w:sz="6" w:space="0" w:color="auto"/>
            </w:tcBorders>
          </w:tcPr>
          <w:p w:rsidR="009C13A9" w:rsidRPr="00C903F8" w:rsidRDefault="009C13A9" w:rsidP="009C13A9">
            <w:pPr>
              <w:tabs>
                <w:tab w:val="left" w:pos="113"/>
                <w:tab w:val="left" w:pos="567"/>
                <w:tab w:val="left" w:pos="851"/>
                <w:tab w:val="left" w:pos="1247"/>
              </w:tabs>
              <w:overflowPunct w:val="0"/>
              <w:adjustRightInd w:val="0"/>
              <w:ind w:left="0" w:firstLine="0"/>
              <w:jc w:val="left"/>
              <w:textAlignment w:val="baseline"/>
              <w:rPr>
                <w:rFonts w:cs="Arial"/>
                <w:sz w:val="18"/>
                <w:szCs w:val="20"/>
              </w:rPr>
            </w:pPr>
          </w:p>
        </w:tc>
      </w:tr>
      <w:tr w:rsidR="009C13A9" w:rsidRPr="0029685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p>
        </w:tc>
        <w:tc>
          <w:tcPr>
            <w:tcW w:w="8904" w:type="dxa"/>
            <w:gridSpan w:val="11"/>
            <w:tcBorders>
              <w:right w:val="single" w:sz="6" w:space="0" w:color="auto"/>
            </w:tcBorders>
          </w:tcPr>
          <w:p w:rsidR="009C13A9" w:rsidRPr="00C903F8" w:rsidRDefault="009C13A9" w:rsidP="009C13A9">
            <w:pPr>
              <w:tabs>
                <w:tab w:val="left" w:pos="57"/>
                <w:tab w:val="left" w:pos="340"/>
                <w:tab w:val="left" w:leader="dot" w:pos="8505"/>
              </w:tabs>
              <w:overflowPunct w:val="0"/>
              <w:adjustRightInd w:val="0"/>
              <w:ind w:left="57" w:right="113" w:hanging="57"/>
              <w:jc w:val="left"/>
              <w:textAlignment w:val="baseline"/>
              <w:rPr>
                <w:rFonts w:cs="Arial"/>
                <w:sz w:val="8"/>
                <w:szCs w:val="20"/>
              </w:rPr>
            </w:pPr>
          </w:p>
          <w:p w:rsidR="009C13A9" w:rsidRPr="00C903F8" w:rsidRDefault="009C13A9" w:rsidP="009C13A9">
            <w:pPr>
              <w:tabs>
                <w:tab w:val="left" w:pos="57"/>
                <w:tab w:val="left" w:pos="340"/>
                <w:tab w:val="left" w:leader="dot" w:pos="8505"/>
              </w:tabs>
              <w:overflowPunct w:val="0"/>
              <w:adjustRightInd w:val="0"/>
              <w:spacing w:before="120"/>
              <w:ind w:left="57" w:right="113" w:hanging="57"/>
              <w:jc w:val="left"/>
              <w:textAlignment w:val="baseline"/>
              <w:rPr>
                <w:rFonts w:cs="Arial"/>
                <w:sz w:val="18"/>
                <w:szCs w:val="20"/>
              </w:rPr>
            </w:pPr>
            <w:r w:rsidRPr="00C903F8">
              <w:rPr>
                <w:rFonts w:cs="Arial"/>
                <w:szCs w:val="20"/>
              </w:rPr>
              <w:tab/>
            </w:r>
            <w:r w:rsidR="00014931" w:rsidRPr="00C903F8">
              <w:rPr>
                <w:noProof/>
                <w:szCs w:val="20"/>
              </w:rPr>
              <w:drawing>
                <wp:inline distT="0" distB="0" distL="0" distR="0" wp14:anchorId="1667B146" wp14:editId="230877D7">
                  <wp:extent cx="5133975" cy="3162300"/>
                  <wp:effectExtent l="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3975" cy="3162300"/>
                          </a:xfrm>
                          <a:prstGeom prst="rect">
                            <a:avLst/>
                          </a:prstGeom>
                          <a:noFill/>
                          <a:ln>
                            <a:noFill/>
                          </a:ln>
                        </pic:spPr>
                      </pic:pic>
                    </a:graphicData>
                  </a:graphic>
                </wp:inline>
              </w:drawing>
            </w:r>
          </w:p>
          <w:p w:rsidR="009C13A9" w:rsidRPr="00C903F8" w:rsidRDefault="009C13A9" w:rsidP="009C13A9">
            <w:pPr>
              <w:tabs>
                <w:tab w:val="left" w:pos="57"/>
                <w:tab w:val="left" w:pos="340"/>
                <w:tab w:val="left" w:leader="dot" w:pos="8505"/>
              </w:tabs>
              <w:overflowPunct w:val="0"/>
              <w:adjustRightInd w:val="0"/>
              <w:ind w:left="57" w:right="113" w:hanging="57"/>
              <w:jc w:val="left"/>
              <w:textAlignment w:val="baseline"/>
              <w:rPr>
                <w:rFonts w:cs="Arial"/>
                <w:sz w:val="6"/>
                <w:szCs w:val="20"/>
              </w:rPr>
            </w:pPr>
          </w:p>
          <w:p w:rsidR="009C13A9" w:rsidRPr="00C903F8" w:rsidRDefault="009C13A9" w:rsidP="009C13A9">
            <w:pPr>
              <w:pBdr>
                <w:left w:val="single" w:sz="6" w:space="1" w:color="auto"/>
                <w:right w:val="single" w:sz="6" w:space="1" w:color="auto"/>
              </w:pBdr>
              <w:tabs>
                <w:tab w:val="left" w:pos="341"/>
              </w:tabs>
              <w:overflowPunct w:val="0"/>
              <w:adjustRightInd w:val="0"/>
              <w:ind w:left="0" w:firstLine="0"/>
              <w:jc w:val="left"/>
              <w:textAlignment w:val="baseline"/>
              <w:rPr>
                <w:rFonts w:cs="Arial"/>
                <w:szCs w:val="20"/>
                <w:lang w:val="en-US"/>
              </w:rPr>
            </w:pPr>
            <w:r w:rsidRPr="00C903F8">
              <w:rPr>
                <w:rFonts w:cs="Arial"/>
                <w:szCs w:val="20"/>
                <w:lang w:val="en-US"/>
              </w:rPr>
              <w:t>2.</w:t>
            </w:r>
            <w:r w:rsidRPr="00C903F8">
              <w:rPr>
                <w:rFonts w:cs="Arial"/>
                <w:szCs w:val="20"/>
                <w:lang w:val="en-US"/>
              </w:rPr>
              <w:tab/>
              <w:t xml:space="preserve">Couplings: </w:t>
            </w:r>
          </w:p>
          <w:p w:rsidR="009C13A9" w:rsidRPr="00C903F8" w:rsidRDefault="009C13A9" w:rsidP="009C13A9">
            <w:pPr>
              <w:pBdr>
                <w:right w:val="single" w:sz="6" w:space="1" w:color="auto"/>
              </w:pBdr>
              <w:tabs>
                <w:tab w:val="left" w:pos="341"/>
                <w:tab w:val="left" w:leader="dot" w:pos="3969"/>
                <w:tab w:val="left" w:pos="4168"/>
                <w:tab w:val="left" w:leader="dot" w:pos="8505"/>
              </w:tabs>
              <w:overflowPunct w:val="0"/>
              <w:adjustRightInd w:val="0"/>
              <w:ind w:left="341" w:firstLine="0"/>
              <w:jc w:val="left"/>
              <w:textAlignment w:val="baseline"/>
              <w:rPr>
                <w:rFonts w:cs="Arial"/>
                <w:szCs w:val="20"/>
                <w:lang w:val="en-US"/>
              </w:rPr>
            </w:pPr>
            <w:r w:rsidRPr="00C903F8">
              <w:rPr>
                <w:rFonts w:cs="Arial"/>
                <w:szCs w:val="20"/>
                <w:lang w:val="en-US"/>
              </w:rPr>
              <w:t xml:space="preserve">Type of couplings: </w:t>
            </w:r>
            <w:r w:rsidRPr="00C903F8">
              <w:rPr>
                <w:rFonts w:cs="Arial"/>
                <w:szCs w:val="20"/>
                <w:lang w:val="en-US"/>
              </w:rPr>
              <w:tab/>
            </w:r>
            <w:r w:rsidRPr="00C903F8">
              <w:rPr>
                <w:rFonts w:cs="Arial"/>
                <w:szCs w:val="20"/>
                <w:lang w:val="en-US"/>
              </w:rPr>
              <w:tab/>
              <w:t xml:space="preserve">Number of couplings per side: </w:t>
            </w:r>
            <w:r w:rsidRPr="00C903F8">
              <w:rPr>
                <w:rFonts w:cs="Arial"/>
                <w:szCs w:val="20"/>
                <w:lang w:val="en-US"/>
              </w:rPr>
              <w:tab/>
            </w:r>
          </w:p>
          <w:p w:rsidR="009C13A9" w:rsidRPr="00C903F8" w:rsidRDefault="009C13A9" w:rsidP="009C13A9">
            <w:pPr>
              <w:pBdr>
                <w:right w:val="single" w:sz="6" w:space="1" w:color="auto"/>
              </w:pBdr>
              <w:tabs>
                <w:tab w:val="left" w:pos="397"/>
                <w:tab w:val="left" w:leader="dot" w:pos="3969"/>
                <w:tab w:val="left" w:pos="4168"/>
                <w:tab w:val="left" w:leader="dot" w:pos="8505"/>
              </w:tabs>
              <w:overflowPunct w:val="0"/>
              <w:adjustRightInd w:val="0"/>
              <w:ind w:left="341" w:firstLine="0"/>
              <w:jc w:val="left"/>
              <w:textAlignment w:val="baseline"/>
              <w:rPr>
                <w:rFonts w:cs="Arial"/>
                <w:szCs w:val="20"/>
                <w:lang w:val="en-US"/>
              </w:rPr>
            </w:pPr>
            <w:r w:rsidRPr="00C903F8">
              <w:rPr>
                <w:rFonts w:cs="Arial"/>
                <w:szCs w:val="20"/>
                <w:lang w:val="en-US"/>
              </w:rPr>
              <w:t xml:space="preserve">Number of coupling cables: </w:t>
            </w:r>
            <w:r w:rsidRPr="00C903F8">
              <w:rPr>
                <w:rFonts w:cs="Arial"/>
                <w:szCs w:val="20"/>
                <w:lang w:val="en-US"/>
              </w:rPr>
              <w:tab/>
            </w:r>
            <w:r w:rsidRPr="00C903F8">
              <w:rPr>
                <w:rFonts w:cs="Arial"/>
                <w:szCs w:val="20"/>
                <w:lang w:val="en-US"/>
              </w:rPr>
              <w:tab/>
              <w:t>Length of each coupling cable:</w:t>
            </w:r>
            <w:r w:rsidRPr="00C903F8">
              <w:rPr>
                <w:rFonts w:cs="Arial"/>
                <w:szCs w:val="20"/>
                <w:lang w:val="en-US"/>
              </w:rPr>
              <w:tab/>
            </w:r>
          </w:p>
          <w:p w:rsidR="009C13A9" w:rsidRPr="00C903F8" w:rsidRDefault="009C13A9" w:rsidP="009C13A9">
            <w:pPr>
              <w:pBdr>
                <w:right w:val="single" w:sz="6" w:space="1" w:color="auto"/>
              </w:pBdr>
              <w:tabs>
                <w:tab w:val="left" w:pos="397"/>
                <w:tab w:val="left" w:leader="dot" w:pos="3969"/>
                <w:tab w:val="left" w:leader="dot" w:pos="5670"/>
                <w:tab w:val="left" w:leader="dot" w:pos="8505"/>
              </w:tabs>
              <w:overflowPunct w:val="0"/>
              <w:adjustRightInd w:val="0"/>
              <w:ind w:left="341" w:firstLine="0"/>
              <w:jc w:val="left"/>
              <w:textAlignment w:val="baseline"/>
              <w:rPr>
                <w:rFonts w:cs="Arial"/>
                <w:szCs w:val="20"/>
                <w:lang w:val="en-US"/>
              </w:rPr>
            </w:pPr>
            <w:r w:rsidRPr="00C903F8">
              <w:rPr>
                <w:rFonts w:cs="Arial"/>
                <w:szCs w:val="20"/>
                <w:lang w:val="en-US"/>
              </w:rPr>
              <w:t xml:space="preserve">Tensile strength per longitudinal coupling: </w:t>
            </w:r>
            <w:r w:rsidRPr="00C903F8">
              <w:rPr>
                <w:rFonts w:cs="Arial"/>
                <w:szCs w:val="20"/>
                <w:lang w:val="en-US"/>
              </w:rPr>
              <w:tab/>
              <w:t xml:space="preserve"> kN</w:t>
            </w:r>
          </w:p>
          <w:p w:rsidR="009C13A9" w:rsidRPr="00C903F8" w:rsidRDefault="009C13A9" w:rsidP="009C13A9">
            <w:pPr>
              <w:pBdr>
                <w:right w:val="single" w:sz="6" w:space="1" w:color="auto"/>
              </w:pBdr>
              <w:tabs>
                <w:tab w:val="left" w:pos="397"/>
                <w:tab w:val="left" w:leader="dot" w:pos="5670"/>
                <w:tab w:val="left" w:leader="dot" w:pos="8789"/>
              </w:tabs>
              <w:overflowPunct w:val="0"/>
              <w:adjustRightInd w:val="0"/>
              <w:ind w:left="341" w:firstLine="0"/>
              <w:jc w:val="left"/>
              <w:textAlignment w:val="baseline"/>
              <w:rPr>
                <w:rFonts w:cs="Arial"/>
                <w:szCs w:val="20"/>
                <w:lang w:val="en-US"/>
              </w:rPr>
            </w:pPr>
            <w:r w:rsidRPr="00C903F8">
              <w:rPr>
                <w:rFonts w:cs="Arial"/>
                <w:szCs w:val="20"/>
                <w:lang w:val="en-US"/>
              </w:rPr>
              <w:t>Tensile strength per cable:</w:t>
            </w:r>
            <w:r w:rsidRPr="00C903F8">
              <w:rPr>
                <w:rFonts w:cs="Arial"/>
                <w:szCs w:val="20"/>
                <w:lang w:val="en-US"/>
              </w:rPr>
              <w:tab/>
              <w:t xml:space="preserve"> kN</w:t>
            </w:r>
          </w:p>
          <w:p w:rsidR="009C13A9" w:rsidRPr="00C903F8" w:rsidRDefault="009C13A9" w:rsidP="009C13A9">
            <w:pPr>
              <w:pBdr>
                <w:right w:val="single" w:sz="6" w:space="1" w:color="auto"/>
              </w:pBdr>
              <w:tabs>
                <w:tab w:val="left" w:pos="397"/>
                <w:tab w:val="left" w:leader="dot" w:pos="5670"/>
                <w:tab w:val="left" w:leader="dot" w:pos="8789"/>
              </w:tabs>
              <w:overflowPunct w:val="0"/>
              <w:adjustRightInd w:val="0"/>
              <w:ind w:left="341" w:firstLine="0"/>
              <w:jc w:val="left"/>
              <w:textAlignment w:val="baseline"/>
              <w:rPr>
                <w:rFonts w:cs="Arial"/>
                <w:sz w:val="18"/>
                <w:szCs w:val="20"/>
                <w:lang w:val="en-US"/>
              </w:rPr>
            </w:pPr>
            <w:r w:rsidRPr="00C903F8">
              <w:rPr>
                <w:rFonts w:cs="Arial"/>
                <w:szCs w:val="20"/>
                <w:lang w:val="en-US"/>
              </w:rPr>
              <w:t xml:space="preserve">Number of cable windings: </w:t>
            </w:r>
            <w:r w:rsidRPr="00C903F8">
              <w:rPr>
                <w:rFonts w:cs="Arial"/>
                <w:szCs w:val="20"/>
                <w:lang w:val="en-US"/>
              </w:rPr>
              <w:tab/>
              <w:t xml:space="preserve"> </w:t>
            </w:r>
          </w:p>
        </w:tc>
      </w:tr>
      <w:tr w:rsidR="009C13A9" w:rsidRPr="00C903F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w:t>
            </w:r>
            <w:r w:rsidRPr="00C903F8">
              <w:rPr>
                <w:rFonts w:cs="Arial"/>
                <w:sz w:val="18"/>
                <w:szCs w:val="20"/>
              </w:rPr>
              <w:br/>
            </w:r>
            <w:r w:rsidRPr="00C903F8">
              <w:rPr>
                <w:rFonts w:cs="Arial"/>
                <w:sz w:val="18"/>
                <w:szCs w:val="20"/>
              </w:rPr>
              <w:br/>
            </w:r>
          </w:p>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p>
          <w:p w:rsidR="009C13A9" w:rsidRPr="00C903F8" w:rsidRDefault="009C13A9" w:rsidP="009C13A9">
            <w:pPr>
              <w:tabs>
                <w:tab w:val="left" w:pos="57"/>
              </w:tabs>
              <w:overflowPunct w:val="0"/>
              <w:adjustRightInd w:val="0"/>
              <w:spacing w:before="160"/>
              <w:ind w:left="0" w:firstLine="0"/>
              <w:jc w:val="left"/>
              <w:textAlignment w:val="baseline"/>
              <w:rPr>
                <w:rFonts w:cs="Arial"/>
                <w:sz w:val="18"/>
                <w:szCs w:val="20"/>
              </w:rPr>
            </w:pPr>
            <w:r w:rsidRPr="00C903F8">
              <w:rPr>
                <w:rFonts w:cs="Arial"/>
                <w:sz w:val="18"/>
                <w:szCs w:val="20"/>
              </w:rPr>
              <w:tab/>
              <w:t>*)</w:t>
            </w:r>
          </w:p>
        </w:tc>
        <w:tc>
          <w:tcPr>
            <w:tcW w:w="8904" w:type="dxa"/>
            <w:gridSpan w:val="11"/>
            <w:tcBorders>
              <w:top w:val="single" w:sz="6" w:space="0" w:color="auto"/>
              <w:bottom w:val="single" w:sz="6" w:space="0" w:color="auto"/>
              <w:right w:val="single" w:sz="6" w:space="0" w:color="auto"/>
            </w:tcBorders>
          </w:tcPr>
          <w:p w:rsidR="009C13A9" w:rsidRPr="00C903F8" w:rsidRDefault="009C13A9" w:rsidP="009C13A9">
            <w:pPr>
              <w:tabs>
                <w:tab w:val="left" w:pos="57"/>
                <w:tab w:val="left" w:leader="dot" w:pos="3686"/>
              </w:tabs>
              <w:overflowPunct w:val="0"/>
              <w:adjustRightInd w:val="0"/>
              <w:spacing w:before="80" w:after="80"/>
              <w:ind w:left="57" w:right="57" w:firstLine="0"/>
              <w:jc w:val="left"/>
              <w:textAlignment w:val="baseline"/>
              <w:rPr>
                <w:rFonts w:cs="Arial"/>
                <w:sz w:val="18"/>
                <w:szCs w:val="20"/>
                <w:lang w:val="en-US"/>
              </w:rPr>
            </w:pPr>
            <w:r w:rsidRPr="00C903F8">
              <w:rPr>
                <w:noProof/>
                <w:sz w:val="18"/>
                <w:szCs w:val="20"/>
                <w:lang w:val="en-US" w:eastAsia="fr-BE"/>
              </w:rPr>
              <w:t>Amendment to item(s):</w:t>
            </w:r>
            <w:r w:rsidRPr="00C903F8">
              <w:rPr>
                <w:rFonts w:cs="Arial"/>
                <w:sz w:val="18"/>
                <w:szCs w:val="20"/>
                <w:lang w:val="en-US"/>
              </w:rPr>
              <w:t xml:space="preserve"> ....................</w:t>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noProof/>
                <w:sz w:val="18"/>
                <w:szCs w:val="20"/>
                <w:lang w:val="en-US" w:eastAsia="fr-BE"/>
              </w:rPr>
              <w:t>New text:</w:t>
            </w: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This page has been replaced.</w:t>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 xml:space="preserve">Place, date </w:t>
            </w:r>
            <w:r w:rsidRPr="00C903F8">
              <w:rPr>
                <w:rFonts w:cs="Arial"/>
                <w:sz w:val="18"/>
                <w:szCs w:val="20"/>
                <w:lang w:val="en-US"/>
              </w:rPr>
              <w:tab/>
            </w:r>
            <w:r w:rsidRPr="00C903F8">
              <w:rPr>
                <w:rFonts w:cs="Arial"/>
                <w:sz w:val="18"/>
                <w:szCs w:val="20"/>
                <w:lang w:val="en-US"/>
              </w:rPr>
              <w:tab/>
              <w:t>Inspection body</w:t>
            </w:r>
          </w:p>
          <w:p w:rsidR="009C13A9" w:rsidRPr="00C903F8" w:rsidRDefault="009C13A9" w:rsidP="009C13A9">
            <w:pPr>
              <w:tabs>
                <w:tab w:val="left" w:pos="5103"/>
                <w:tab w:val="left" w:leader="dot" w:pos="8505"/>
              </w:tabs>
              <w:overflowPunct w:val="0"/>
              <w:adjustRightInd w:val="0"/>
              <w:ind w:left="0" w:firstLine="0"/>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1701"/>
              </w:tabs>
              <w:overflowPunct w:val="0"/>
              <w:adjustRightInd w:val="0"/>
              <w:spacing w:after="80"/>
              <w:ind w:left="0" w:firstLine="0"/>
              <w:textAlignment w:val="baseline"/>
              <w:rPr>
                <w:rFonts w:cs="Arial"/>
                <w:sz w:val="18"/>
                <w:szCs w:val="20"/>
                <w:lang w:val="en-US"/>
              </w:rPr>
            </w:pPr>
            <w:r w:rsidRPr="00C903F8">
              <w:rPr>
                <w:rFonts w:cs="Arial"/>
                <w:sz w:val="18"/>
                <w:szCs w:val="20"/>
                <w:lang w:val="en-US"/>
              </w:rPr>
              <w:tab/>
            </w:r>
            <w:r w:rsidR="00313B91" w:rsidRPr="00C903F8">
              <w:rPr>
                <w:rFonts w:cs="Arial"/>
                <w:sz w:val="18"/>
                <w:szCs w:val="20"/>
                <w:lang w:val="en-US"/>
              </w:rPr>
              <w:t>Stamp</w:t>
            </w:r>
          </w:p>
          <w:p w:rsidR="009C13A9" w:rsidRPr="00C903F8" w:rsidRDefault="009C13A9" w:rsidP="009C13A9">
            <w:pPr>
              <w:tabs>
                <w:tab w:val="left" w:pos="5103"/>
                <w:tab w:val="left" w:leader="dot" w:pos="8505"/>
              </w:tabs>
              <w:overflowPunct w:val="0"/>
              <w:adjustRightInd w:val="0"/>
              <w:ind w:left="0" w:firstLine="0"/>
              <w:textAlignment w:val="baseline"/>
              <w:rPr>
                <w:rFonts w:cs="Arial"/>
                <w:szCs w:val="20"/>
                <w:lang w:val="en-US"/>
              </w:rPr>
            </w:pPr>
            <w:r w:rsidRPr="00C903F8">
              <w:rPr>
                <w:rFonts w:cs="Arial"/>
                <w:szCs w:val="20"/>
                <w:lang w:val="en-US"/>
              </w:rPr>
              <w:tab/>
            </w:r>
            <w:r w:rsidRPr="00C903F8">
              <w:rPr>
                <w:rFonts w:cs="Arial"/>
                <w:szCs w:val="20"/>
                <w:lang w:val="en-US"/>
              </w:rPr>
              <w:tab/>
            </w:r>
          </w:p>
          <w:p w:rsidR="009C13A9" w:rsidRPr="00C903F8" w:rsidRDefault="009C13A9" w:rsidP="009C13A9">
            <w:pPr>
              <w:tabs>
                <w:tab w:val="center" w:pos="6862"/>
              </w:tabs>
              <w:overflowPunct w:val="0"/>
              <w:adjustRightInd w:val="0"/>
              <w:ind w:left="0" w:firstLine="0"/>
              <w:textAlignment w:val="baseline"/>
              <w:rPr>
                <w:rFonts w:cs="Arial"/>
                <w:sz w:val="16"/>
                <w:szCs w:val="20"/>
                <w:lang w:val="en-US"/>
              </w:rPr>
            </w:pPr>
            <w:r w:rsidRPr="00C903F8">
              <w:rPr>
                <w:rFonts w:cs="Arial"/>
                <w:szCs w:val="20"/>
                <w:lang w:val="en-US"/>
              </w:rPr>
              <w:tab/>
            </w:r>
            <w:r w:rsidRPr="00C903F8">
              <w:rPr>
                <w:rFonts w:cs="Arial"/>
                <w:sz w:val="16"/>
                <w:szCs w:val="20"/>
                <w:lang w:val="en-US"/>
              </w:rPr>
              <w:t>(Signature)</w:t>
            </w:r>
          </w:p>
          <w:p w:rsidR="009C13A9" w:rsidRPr="00C903F8" w:rsidRDefault="009C13A9" w:rsidP="009C13A9">
            <w:pPr>
              <w:tabs>
                <w:tab w:val="left" w:pos="113"/>
                <w:tab w:val="left" w:pos="397"/>
                <w:tab w:val="left" w:pos="6237"/>
                <w:tab w:val="left" w:leader="dot" w:pos="9356"/>
              </w:tabs>
              <w:overflowPunct w:val="0"/>
              <w:adjustRightInd w:val="0"/>
              <w:ind w:left="0" w:firstLine="0"/>
              <w:textAlignment w:val="baseline"/>
              <w:rPr>
                <w:rFonts w:cs="Arial"/>
                <w:sz w:val="16"/>
                <w:szCs w:val="20"/>
              </w:rPr>
            </w:pPr>
            <w:r w:rsidRPr="00C903F8">
              <w:rPr>
                <w:rFonts w:cs="Arial"/>
                <w:sz w:val="18"/>
                <w:szCs w:val="20"/>
              </w:rPr>
              <w:t>_______________________</w:t>
            </w:r>
          </w:p>
          <w:p w:rsidR="009C13A9" w:rsidRPr="00C903F8" w:rsidRDefault="009C13A9" w:rsidP="009C13A9">
            <w:pPr>
              <w:tabs>
                <w:tab w:val="left" w:pos="284"/>
              </w:tabs>
              <w:overflowPunct w:val="0"/>
              <w:adjustRightInd w:val="0"/>
              <w:spacing w:after="40"/>
              <w:ind w:left="57" w:firstLine="0"/>
              <w:jc w:val="left"/>
              <w:textAlignment w:val="baseline"/>
              <w:rPr>
                <w:rFonts w:cs="Arial"/>
                <w:sz w:val="18"/>
                <w:szCs w:val="20"/>
              </w:rPr>
            </w:pPr>
            <w:r w:rsidRPr="00C903F8">
              <w:rPr>
                <w:rFonts w:cs="Arial"/>
                <w:position w:val="4"/>
                <w:sz w:val="16"/>
                <w:szCs w:val="20"/>
              </w:rPr>
              <w:t>*)</w:t>
            </w:r>
            <w:r w:rsidRPr="00C903F8">
              <w:rPr>
                <w:rFonts w:cs="Arial"/>
                <w:sz w:val="18"/>
                <w:szCs w:val="20"/>
              </w:rPr>
              <w:tab/>
            </w:r>
            <w:r w:rsidRPr="00C903F8">
              <w:rPr>
                <w:rFonts w:cs="Arial"/>
                <w:sz w:val="16"/>
                <w:szCs w:val="20"/>
              </w:rPr>
              <w:t>Delete as appropriate</w:t>
            </w:r>
          </w:p>
        </w:tc>
      </w:tr>
    </w:tbl>
    <w:p w:rsidR="009C13A9" w:rsidRPr="00C903F8" w:rsidRDefault="009C13A9" w:rsidP="00AA5614">
      <w:pPr>
        <w:tabs>
          <w:tab w:val="left" w:leader="dot" w:pos="2835"/>
          <w:tab w:val="left" w:leader="dot" w:pos="5103"/>
        </w:tabs>
        <w:overflowPunct w:val="0"/>
        <w:adjustRightInd w:val="0"/>
        <w:ind w:left="0" w:firstLine="0"/>
        <w:textAlignment w:val="baseline"/>
        <w:rPr>
          <w:rFonts w:cs="Arial"/>
          <w:szCs w:val="20"/>
          <w:lang w:val="en-US"/>
        </w:rPr>
      </w:pPr>
      <w:r w:rsidRPr="00C903F8">
        <w:rPr>
          <w:rFonts w:cs="Arial"/>
          <w:szCs w:val="20"/>
          <w:lang w:val="en-US"/>
        </w:rPr>
        <w:br w:type="page"/>
      </w:r>
      <w:r w:rsidR="00AA5614" w:rsidRPr="00AA5614">
        <w:rPr>
          <w:rFonts w:cs="Arial"/>
          <w:szCs w:val="20"/>
          <w:lang w:val="en-US"/>
        </w:rPr>
        <w:lastRenderedPageBreak/>
        <w:t xml:space="preserve">Inland navigation vessel certificate </w:t>
      </w:r>
      <w:r w:rsidR="00AA5614">
        <w:rPr>
          <w:rFonts w:cs="Arial"/>
          <w:szCs w:val="20"/>
          <w:lang w:val="en-GB"/>
        </w:rPr>
        <w:t xml:space="preserve">No </w:t>
      </w:r>
      <w:r w:rsidR="00AA5614" w:rsidRPr="00AA5614">
        <w:rPr>
          <w:rFonts w:cs="Arial"/>
          <w:szCs w:val="20"/>
          <w:lang w:val="en-GB"/>
        </w:rPr>
        <w:tab/>
        <w:t xml:space="preserve"> of the Inspection body </w:t>
      </w:r>
      <w:r w:rsidR="00AA5614" w:rsidRPr="00AA5614">
        <w:rPr>
          <w:rFonts w:cs="Arial"/>
          <w:szCs w:val="20"/>
          <w:lang w:val="en-GB"/>
        </w:rPr>
        <w:tab/>
      </w:r>
    </w:p>
    <w:tbl>
      <w:tblPr>
        <w:tblW w:w="9189" w:type="dxa"/>
        <w:jc w:val="center"/>
        <w:tblLayout w:type="fixed"/>
        <w:tblCellMar>
          <w:left w:w="0" w:type="dxa"/>
          <w:right w:w="0" w:type="dxa"/>
        </w:tblCellMar>
        <w:tblLook w:val="0000" w:firstRow="0" w:lastRow="0" w:firstColumn="0" w:lastColumn="0" w:noHBand="0" w:noVBand="0"/>
      </w:tblPr>
      <w:tblGrid>
        <w:gridCol w:w="284"/>
        <w:gridCol w:w="2014"/>
        <w:gridCol w:w="764"/>
        <w:gridCol w:w="1533"/>
        <w:gridCol w:w="1529"/>
        <w:gridCol w:w="768"/>
        <w:gridCol w:w="2297"/>
      </w:tblGrid>
      <w:tr w:rsidR="009C13A9" w:rsidRPr="00296858" w:rsidTr="009C13A9">
        <w:trPr>
          <w:cantSplit/>
          <w:jc w:val="center"/>
        </w:trPr>
        <w:tc>
          <w:tcPr>
            <w:tcW w:w="284" w:type="dxa"/>
            <w:tcBorders>
              <w:top w:val="single" w:sz="6" w:space="0" w:color="auto"/>
              <w:left w:val="single" w:sz="6" w:space="0" w:color="auto"/>
            </w:tcBorders>
          </w:tcPr>
          <w:p w:rsidR="009C13A9" w:rsidRPr="00C903F8" w:rsidRDefault="009C13A9" w:rsidP="009C13A9">
            <w:pPr>
              <w:tabs>
                <w:tab w:val="left" w:pos="57"/>
                <w:tab w:val="left" w:pos="227"/>
              </w:tabs>
              <w:overflowPunct w:val="0"/>
              <w:adjustRightInd w:val="0"/>
              <w:spacing w:before="80"/>
              <w:ind w:left="0" w:firstLine="0"/>
              <w:jc w:val="left"/>
              <w:textAlignment w:val="baseline"/>
              <w:rPr>
                <w:rFonts w:cs="Arial"/>
                <w:sz w:val="18"/>
                <w:szCs w:val="20"/>
              </w:rPr>
            </w:pPr>
            <w:r w:rsidRPr="00C903F8">
              <w:rPr>
                <w:rFonts w:cs="Arial"/>
                <w:sz w:val="18"/>
                <w:szCs w:val="20"/>
              </w:rPr>
              <w:t>16.</w:t>
            </w:r>
          </w:p>
        </w:tc>
        <w:tc>
          <w:tcPr>
            <w:tcW w:w="8905" w:type="dxa"/>
            <w:gridSpan w:val="6"/>
            <w:tcBorders>
              <w:top w:val="single" w:sz="6" w:space="0" w:color="auto"/>
              <w:right w:val="single" w:sz="6" w:space="0" w:color="auto"/>
            </w:tcBorders>
          </w:tcPr>
          <w:p w:rsidR="009C13A9" w:rsidRPr="00C903F8" w:rsidRDefault="009C13A9" w:rsidP="009C13A9">
            <w:pPr>
              <w:tabs>
                <w:tab w:val="left" w:pos="57"/>
                <w:tab w:val="left" w:pos="340"/>
                <w:tab w:val="left" w:leader="dot" w:pos="2835"/>
                <w:tab w:val="left" w:leader="dot" w:pos="6804"/>
                <w:tab w:val="left" w:leader="dot" w:pos="8505"/>
              </w:tabs>
              <w:overflowPunct w:val="0"/>
              <w:adjustRightInd w:val="0"/>
              <w:spacing w:before="80"/>
              <w:ind w:left="0" w:firstLine="0"/>
              <w:jc w:val="left"/>
              <w:textAlignment w:val="baseline"/>
              <w:rPr>
                <w:rFonts w:cs="Arial"/>
                <w:sz w:val="18"/>
                <w:szCs w:val="20"/>
                <w:lang w:val="en-US"/>
              </w:rPr>
            </w:pPr>
            <w:r w:rsidRPr="00C903F8">
              <w:rPr>
                <w:rFonts w:cs="Arial"/>
                <w:sz w:val="18"/>
                <w:szCs w:val="20"/>
                <w:lang w:val="en-US"/>
              </w:rPr>
              <w:tab/>
              <w:t>Measurement certificate No</w:t>
            </w:r>
            <w:r w:rsidRPr="00C903F8">
              <w:rPr>
                <w:rFonts w:cs="Arial"/>
                <w:szCs w:val="20"/>
                <w:lang w:val="en-US"/>
              </w:rPr>
              <w:t xml:space="preserve"> </w:t>
            </w:r>
            <w:r w:rsidRPr="00C903F8">
              <w:rPr>
                <w:rFonts w:cs="Arial"/>
                <w:szCs w:val="20"/>
                <w:lang w:val="en-US"/>
              </w:rPr>
              <w:tab/>
              <w:t xml:space="preserve"> of the </w:t>
            </w:r>
            <w:r w:rsidRPr="00C903F8">
              <w:rPr>
                <w:rFonts w:cs="Arial"/>
                <w:szCs w:val="20"/>
                <w:lang w:val="en-US"/>
              </w:rPr>
              <w:tab/>
              <w:t xml:space="preserve"> Measurement office dated </w:t>
            </w:r>
            <w:r w:rsidRPr="00C903F8">
              <w:rPr>
                <w:rFonts w:cs="Arial"/>
                <w:szCs w:val="20"/>
                <w:lang w:val="en-US"/>
              </w:rPr>
              <w:tab/>
            </w:r>
            <w:r w:rsidRPr="00C903F8">
              <w:rPr>
                <w:rFonts w:cs="Arial"/>
                <w:sz w:val="18"/>
                <w:szCs w:val="20"/>
                <w:lang w:val="en-US"/>
              </w:rPr>
              <w:br/>
            </w:r>
            <w:r w:rsidRPr="00C903F8">
              <w:rPr>
                <w:rFonts w:cs="Arial"/>
                <w:sz w:val="18"/>
                <w:szCs w:val="20"/>
                <w:lang w:val="en-US"/>
              </w:rPr>
              <w:tab/>
            </w:r>
          </w:p>
        </w:tc>
      </w:tr>
      <w:tr w:rsidR="009C13A9" w:rsidRPr="00C903F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s>
              <w:overflowPunct w:val="0"/>
              <w:adjustRightInd w:val="0"/>
              <w:spacing w:before="40"/>
              <w:ind w:left="0" w:firstLine="0"/>
              <w:jc w:val="left"/>
              <w:textAlignment w:val="baseline"/>
              <w:rPr>
                <w:rFonts w:cs="Arial"/>
                <w:sz w:val="14"/>
                <w:szCs w:val="20"/>
              </w:rPr>
            </w:pPr>
            <w:r w:rsidRPr="00C903F8">
              <w:rPr>
                <w:rFonts w:cs="Arial"/>
                <w:sz w:val="14"/>
                <w:szCs w:val="20"/>
              </w:rPr>
              <w:t>17a.</w:t>
            </w:r>
          </w:p>
          <w:p w:rsidR="009C13A9" w:rsidRPr="00C903F8" w:rsidRDefault="009C13A9" w:rsidP="009C13A9">
            <w:pPr>
              <w:tabs>
                <w:tab w:val="left" w:pos="57"/>
              </w:tabs>
              <w:overflowPunct w:val="0"/>
              <w:adjustRightInd w:val="0"/>
              <w:spacing w:before="40"/>
              <w:ind w:left="0" w:firstLine="0"/>
              <w:jc w:val="left"/>
              <w:textAlignment w:val="baseline"/>
              <w:rPr>
                <w:rFonts w:cs="Arial"/>
                <w:sz w:val="18"/>
                <w:szCs w:val="20"/>
              </w:rPr>
            </w:pPr>
            <w:r w:rsidRPr="00C903F8">
              <w:rPr>
                <w:rFonts w:cs="Arial"/>
                <w:sz w:val="14"/>
                <w:szCs w:val="20"/>
              </w:rPr>
              <w:t>17</w:t>
            </w:r>
            <w:r w:rsidRPr="00C903F8">
              <w:rPr>
                <w:rFonts w:cs="Arial"/>
                <w:sz w:val="12"/>
                <w:szCs w:val="20"/>
              </w:rPr>
              <w:t>b.</w:t>
            </w:r>
          </w:p>
        </w:tc>
        <w:tc>
          <w:tcPr>
            <w:tcW w:w="2014" w:type="dxa"/>
            <w:tcBorders>
              <w:top w:val="single" w:sz="6" w:space="0" w:color="auto"/>
              <w:bottom w:val="single" w:sz="6" w:space="0" w:color="auto"/>
            </w:tcBorders>
          </w:tcPr>
          <w:p w:rsidR="009C13A9" w:rsidRPr="00C903F8" w:rsidRDefault="009C13A9" w:rsidP="009C13A9">
            <w:pPr>
              <w:tabs>
                <w:tab w:val="left" w:pos="57"/>
                <w:tab w:val="left" w:pos="1758"/>
              </w:tabs>
              <w:overflowPunct w:val="0"/>
              <w:adjustRightInd w:val="0"/>
              <w:ind w:left="0" w:firstLine="0"/>
              <w:jc w:val="left"/>
              <w:textAlignment w:val="baseline"/>
              <w:rPr>
                <w:rFonts w:cs="Arial"/>
                <w:sz w:val="18"/>
                <w:szCs w:val="20"/>
                <w:lang w:val="en-US"/>
              </w:rPr>
            </w:pPr>
            <w:r w:rsidRPr="00C903F8">
              <w:rPr>
                <w:rFonts w:cs="Arial"/>
                <w:sz w:val="18"/>
                <w:szCs w:val="20"/>
                <w:lang w:val="en-US"/>
              </w:rPr>
              <w:tab/>
              <w:t>Length overall</w:t>
            </w:r>
            <w:r w:rsidRPr="00C903F8">
              <w:rPr>
                <w:rFonts w:cs="Arial"/>
                <w:sz w:val="18"/>
                <w:szCs w:val="20"/>
                <w:lang w:val="en-US"/>
              </w:rPr>
              <w:tab/>
              <w:t>m</w:t>
            </w:r>
            <w:r w:rsidRPr="00C903F8">
              <w:rPr>
                <w:rFonts w:cs="Arial"/>
                <w:sz w:val="18"/>
                <w:szCs w:val="20"/>
                <w:lang w:val="en-US"/>
              </w:rPr>
              <w:br/>
            </w:r>
            <w:r w:rsidRPr="00C903F8">
              <w:rPr>
                <w:rFonts w:cs="Arial"/>
                <w:sz w:val="18"/>
                <w:szCs w:val="20"/>
                <w:lang w:val="en-US"/>
              </w:rPr>
              <w:tab/>
              <w:t>Length L</w:t>
            </w:r>
            <w:r w:rsidRPr="00C903F8">
              <w:rPr>
                <w:rFonts w:cs="Arial"/>
                <w:sz w:val="18"/>
                <w:szCs w:val="20"/>
                <w:lang w:val="en-US"/>
              </w:rPr>
              <w:tab/>
              <w:t>m</w:t>
            </w:r>
            <w:r w:rsidRPr="00C903F8">
              <w:rPr>
                <w:rFonts w:cs="Arial"/>
                <w:sz w:val="18"/>
                <w:szCs w:val="20"/>
                <w:lang w:val="en-US"/>
              </w:rPr>
              <w:br/>
            </w:r>
          </w:p>
        </w:tc>
        <w:tc>
          <w:tcPr>
            <w:tcW w:w="2297" w:type="dxa"/>
            <w:gridSpan w:val="2"/>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pos="454"/>
                <w:tab w:val="left" w:pos="1758"/>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6"/>
                <w:szCs w:val="16"/>
                <w:lang w:val="en-US"/>
              </w:rPr>
              <w:t>18a.</w:t>
            </w:r>
            <w:r w:rsidRPr="00C903F8">
              <w:rPr>
                <w:rFonts w:cs="Arial"/>
                <w:sz w:val="18"/>
                <w:szCs w:val="20"/>
                <w:lang w:val="en-US"/>
              </w:rPr>
              <w:tab/>
              <w:t>Breadth overall</w:t>
            </w:r>
            <w:r w:rsidRPr="00C903F8">
              <w:rPr>
                <w:rFonts w:cs="Arial"/>
                <w:sz w:val="18"/>
                <w:szCs w:val="20"/>
                <w:lang w:val="en-US"/>
              </w:rPr>
              <w:tab/>
              <w:t>m</w:t>
            </w:r>
            <w:r w:rsidRPr="00C903F8">
              <w:rPr>
                <w:rFonts w:cs="Arial"/>
                <w:position w:val="6"/>
                <w:sz w:val="16"/>
                <w:szCs w:val="20"/>
                <w:lang w:val="en-US"/>
              </w:rPr>
              <w:br/>
            </w:r>
            <w:r w:rsidRPr="00C903F8">
              <w:rPr>
                <w:rFonts w:cs="Arial"/>
                <w:position w:val="6"/>
                <w:sz w:val="16"/>
                <w:szCs w:val="20"/>
                <w:lang w:val="en-US"/>
              </w:rPr>
              <w:tab/>
            </w:r>
            <w:r w:rsidRPr="00C903F8">
              <w:rPr>
                <w:rFonts w:cs="Arial"/>
                <w:sz w:val="16"/>
                <w:szCs w:val="20"/>
                <w:lang w:val="en-US"/>
              </w:rPr>
              <w:t>18b.</w:t>
            </w:r>
            <w:r w:rsidRPr="00C903F8">
              <w:rPr>
                <w:rFonts w:cs="Arial"/>
                <w:sz w:val="16"/>
                <w:szCs w:val="20"/>
                <w:lang w:val="en-US"/>
              </w:rPr>
              <w:tab/>
            </w:r>
            <w:r w:rsidRPr="00C903F8">
              <w:rPr>
                <w:noProof/>
                <w:sz w:val="18"/>
                <w:szCs w:val="20"/>
                <w:lang w:val="en-US" w:eastAsia="fr-BE"/>
              </w:rPr>
              <w:t>Breadth B</w:t>
            </w:r>
            <w:r w:rsidRPr="00C903F8">
              <w:rPr>
                <w:rFonts w:cs="Arial"/>
                <w:sz w:val="18"/>
                <w:szCs w:val="20"/>
                <w:lang w:val="en-US"/>
              </w:rPr>
              <w:tab/>
              <w:t>m</w:t>
            </w:r>
            <w:r w:rsidRPr="00C903F8">
              <w:rPr>
                <w:rFonts w:cs="Arial"/>
                <w:sz w:val="16"/>
                <w:szCs w:val="20"/>
                <w:lang w:val="en-US"/>
              </w:rPr>
              <w:br/>
            </w:r>
          </w:p>
        </w:tc>
        <w:tc>
          <w:tcPr>
            <w:tcW w:w="2297" w:type="dxa"/>
            <w:gridSpan w:val="2"/>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pos="340"/>
                <w:tab w:val="left" w:pos="1985"/>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6"/>
                <w:szCs w:val="16"/>
                <w:lang w:val="en-US"/>
              </w:rPr>
              <w:t>19a.</w:t>
            </w:r>
            <w:r w:rsidRPr="00C903F8">
              <w:rPr>
                <w:lang w:val="en-US"/>
              </w:rPr>
              <w:t xml:space="preserve"> </w:t>
            </w:r>
            <w:r w:rsidRPr="00C903F8">
              <w:rPr>
                <w:rFonts w:cs="Arial"/>
                <w:sz w:val="18"/>
                <w:szCs w:val="20"/>
                <w:lang w:val="en-US"/>
              </w:rPr>
              <w:t>Draught overall</w:t>
            </w:r>
            <w:r w:rsidRPr="00C903F8">
              <w:rPr>
                <w:rFonts w:cs="Arial"/>
                <w:sz w:val="18"/>
                <w:szCs w:val="20"/>
                <w:lang w:val="en-US"/>
              </w:rPr>
              <w:tab/>
              <w:t>m</w:t>
            </w:r>
          </w:p>
          <w:p w:rsidR="009C13A9" w:rsidRPr="00C903F8" w:rsidRDefault="009C13A9" w:rsidP="009C13A9">
            <w:pPr>
              <w:tabs>
                <w:tab w:val="left" w:pos="57"/>
                <w:tab w:val="left" w:pos="340"/>
                <w:tab w:val="left" w:pos="1985"/>
              </w:tabs>
              <w:overflowPunct w:val="0"/>
              <w:adjustRightInd w:val="0"/>
              <w:ind w:left="0" w:firstLine="0"/>
              <w:jc w:val="left"/>
              <w:textAlignment w:val="baseline"/>
              <w:rPr>
                <w:rFonts w:cs="Arial"/>
                <w:sz w:val="18"/>
                <w:szCs w:val="20"/>
                <w:lang w:val="en-US"/>
              </w:rPr>
            </w:pPr>
            <w:r w:rsidRPr="00C903F8">
              <w:rPr>
                <w:rFonts w:cs="Arial"/>
                <w:sz w:val="16"/>
                <w:szCs w:val="16"/>
                <w:lang w:val="en-US"/>
              </w:rPr>
              <w:t>19b.</w:t>
            </w:r>
            <w:r w:rsidRPr="00C903F8">
              <w:rPr>
                <w:rFonts w:cs="Arial"/>
                <w:sz w:val="16"/>
                <w:szCs w:val="16"/>
                <w:lang w:val="en-US"/>
              </w:rPr>
              <w:tab/>
            </w:r>
            <w:r w:rsidRPr="00C903F8">
              <w:rPr>
                <w:rFonts w:cs="Arial"/>
                <w:sz w:val="18"/>
                <w:szCs w:val="20"/>
                <w:lang w:val="en-US"/>
              </w:rPr>
              <w:t>Draught T</w:t>
            </w:r>
            <w:r w:rsidRPr="00C903F8">
              <w:rPr>
                <w:rFonts w:cs="Arial"/>
                <w:sz w:val="18"/>
                <w:szCs w:val="20"/>
                <w:lang w:val="en-US"/>
              </w:rPr>
              <w:tab/>
              <w:t>m</w:t>
            </w:r>
          </w:p>
        </w:tc>
        <w:tc>
          <w:tcPr>
            <w:tcW w:w="2297" w:type="dxa"/>
            <w:tcBorders>
              <w:top w:val="single" w:sz="6" w:space="0" w:color="auto"/>
              <w:bottom w:val="single" w:sz="6" w:space="0" w:color="auto"/>
              <w:right w:val="single" w:sz="6" w:space="0" w:color="auto"/>
            </w:tcBorders>
          </w:tcPr>
          <w:p w:rsidR="009C13A9" w:rsidRPr="00C903F8" w:rsidRDefault="009C13A9" w:rsidP="009C13A9">
            <w:pPr>
              <w:tabs>
                <w:tab w:val="left" w:pos="57"/>
                <w:tab w:val="left" w:pos="340"/>
                <w:tab w:val="left" w:pos="1758"/>
              </w:tabs>
              <w:overflowPunct w:val="0"/>
              <w:adjustRightInd w:val="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20.</w:t>
            </w:r>
            <w:r w:rsidRPr="00C903F8">
              <w:rPr>
                <w:rFonts w:cs="Arial"/>
                <w:sz w:val="18"/>
                <w:szCs w:val="20"/>
              </w:rPr>
              <w:tab/>
              <w:t>Freeboard</w:t>
            </w:r>
            <w:r w:rsidRPr="00C903F8">
              <w:rPr>
                <w:rFonts w:cs="Arial"/>
                <w:sz w:val="18"/>
                <w:szCs w:val="20"/>
              </w:rPr>
              <w:tab/>
              <w:t>cm</w:t>
            </w:r>
            <w:r w:rsidRPr="00C903F8">
              <w:rPr>
                <w:rFonts w:cs="Arial"/>
                <w:sz w:val="18"/>
                <w:szCs w:val="20"/>
              </w:rPr>
              <w:br/>
            </w:r>
            <w:r w:rsidRPr="00C903F8">
              <w:rPr>
                <w:rFonts w:cs="Arial"/>
                <w:sz w:val="18"/>
                <w:szCs w:val="20"/>
              </w:rPr>
              <w:br/>
            </w:r>
            <w:r w:rsidRPr="00C903F8">
              <w:rPr>
                <w:rFonts w:cs="Arial"/>
                <w:sz w:val="18"/>
                <w:szCs w:val="20"/>
              </w:rPr>
              <w:tab/>
            </w: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 w:val="left" w:pos="227"/>
              </w:tabs>
              <w:overflowPunct w:val="0"/>
              <w:adjustRightInd w:val="0"/>
              <w:ind w:left="0" w:firstLine="0"/>
              <w:jc w:val="left"/>
              <w:textAlignment w:val="baseline"/>
              <w:rPr>
                <w:rFonts w:cs="Arial"/>
                <w:sz w:val="18"/>
                <w:szCs w:val="20"/>
              </w:rPr>
            </w:pPr>
            <w:r w:rsidRPr="00C903F8">
              <w:rPr>
                <w:rFonts w:cs="Arial"/>
                <w:sz w:val="18"/>
                <w:szCs w:val="20"/>
              </w:rPr>
              <w:t>21.</w:t>
            </w:r>
          </w:p>
        </w:tc>
        <w:tc>
          <w:tcPr>
            <w:tcW w:w="2778" w:type="dxa"/>
            <w:gridSpan w:val="2"/>
            <w:tcBorders>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lang w:val="en-US"/>
              </w:rPr>
            </w:pPr>
            <w:r w:rsidRPr="00C903F8">
              <w:rPr>
                <w:rFonts w:cs="Arial"/>
                <w:sz w:val="18"/>
                <w:szCs w:val="20"/>
                <w:lang w:val="en-US"/>
              </w:rPr>
              <w:tab/>
              <w:t xml:space="preserve">Dead weight/Displacement </w:t>
            </w:r>
            <w:r w:rsidRPr="00C903F8">
              <w:rPr>
                <w:rFonts w:cs="Arial"/>
                <w:position w:val="6"/>
                <w:sz w:val="16"/>
                <w:szCs w:val="20"/>
                <w:lang w:val="en-US"/>
              </w:rPr>
              <w:t>*)</w:t>
            </w:r>
            <w:r w:rsidRPr="00C903F8">
              <w:rPr>
                <w:rFonts w:cs="Arial"/>
                <w:sz w:val="18"/>
                <w:szCs w:val="20"/>
                <w:lang w:val="en-US"/>
              </w:rPr>
              <w:t xml:space="preserve"> </w:t>
            </w:r>
            <w:r w:rsidRPr="00C903F8">
              <w:rPr>
                <w:rFonts w:cs="Arial"/>
                <w:sz w:val="18"/>
                <w:szCs w:val="20"/>
                <w:lang w:val="en-US"/>
              </w:rPr>
              <w:br/>
            </w:r>
            <w:r w:rsidRPr="00C903F8">
              <w:rPr>
                <w:rFonts w:cs="Arial"/>
                <w:sz w:val="18"/>
                <w:szCs w:val="20"/>
                <w:lang w:val="en-US"/>
              </w:rPr>
              <w:br/>
            </w:r>
            <w:r w:rsidRPr="00C903F8">
              <w:rPr>
                <w:rFonts w:cs="Arial"/>
                <w:sz w:val="18"/>
                <w:szCs w:val="20"/>
                <w:lang w:val="en-US"/>
              </w:rPr>
              <w:tab/>
            </w:r>
            <w:r w:rsidRPr="00C903F8">
              <w:rPr>
                <w:rFonts w:cs="Arial"/>
                <w:sz w:val="18"/>
                <w:szCs w:val="20"/>
                <w:lang w:val="en-US"/>
              </w:rPr>
              <w:tab/>
            </w:r>
            <w:r w:rsidRPr="00C903F8">
              <w:rPr>
                <w:rFonts w:cs="Arial"/>
                <w:sz w:val="18"/>
                <w:szCs w:val="20"/>
                <w:lang w:val="en-US"/>
              </w:rPr>
              <w:tab/>
            </w:r>
            <w:r w:rsidRPr="00C903F8">
              <w:rPr>
                <w:rFonts w:cs="Arial"/>
                <w:sz w:val="18"/>
                <w:szCs w:val="20"/>
                <w:lang w:val="en-US"/>
              </w:rPr>
              <w:tab/>
            </w:r>
            <w:r w:rsidRPr="00C903F8">
              <w:rPr>
                <w:rFonts w:cs="Arial"/>
                <w:sz w:val="18"/>
                <w:szCs w:val="20"/>
                <w:lang w:val="en-US"/>
              </w:rPr>
              <w:tab/>
              <w:t>t/m</w:t>
            </w:r>
            <w:r w:rsidRPr="00C903F8">
              <w:rPr>
                <w:rFonts w:cs="Arial"/>
                <w:position w:val="6"/>
                <w:sz w:val="14"/>
                <w:szCs w:val="20"/>
                <w:lang w:val="en-US"/>
              </w:rPr>
              <w:t>3*)</w:t>
            </w:r>
          </w:p>
        </w:tc>
        <w:tc>
          <w:tcPr>
            <w:tcW w:w="3062" w:type="dxa"/>
            <w:gridSpan w:val="2"/>
            <w:tcBorders>
              <w:left w:val="single" w:sz="6" w:space="0" w:color="auto"/>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22.</w:t>
            </w:r>
            <w:r w:rsidRPr="00C903F8">
              <w:rPr>
                <w:rFonts w:cs="Arial"/>
                <w:sz w:val="18"/>
                <w:szCs w:val="20"/>
              </w:rPr>
              <w:tab/>
              <w:t>Number of passengers:</w:t>
            </w:r>
          </w:p>
        </w:tc>
        <w:tc>
          <w:tcPr>
            <w:tcW w:w="3065" w:type="dxa"/>
            <w:gridSpan w:val="2"/>
            <w:tcBorders>
              <w:left w:val="single" w:sz="6" w:space="0" w:color="auto"/>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t>23.</w:t>
            </w:r>
            <w:r w:rsidRPr="00C903F8">
              <w:rPr>
                <w:rFonts w:cs="Arial"/>
                <w:sz w:val="18"/>
                <w:szCs w:val="20"/>
              </w:rPr>
              <w:tab/>
              <w:t>Number of passenger berths:</w:t>
            </w:r>
            <w:r w:rsidRPr="00C903F8">
              <w:rPr>
                <w:rFonts w:cs="Arial"/>
                <w:sz w:val="18"/>
                <w:szCs w:val="20"/>
              </w:rPr>
              <w:br/>
            </w: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 w:val="left" w:pos="227"/>
              </w:tabs>
              <w:overflowPunct w:val="0"/>
              <w:adjustRightInd w:val="0"/>
              <w:ind w:left="0" w:firstLine="0"/>
              <w:jc w:val="left"/>
              <w:textAlignment w:val="baseline"/>
              <w:rPr>
                <w:rFonts w:cs="Arial"/>
                <w:sz w:val="18"/>
                <w:szCs w:val="20"/>
              </w:rPr>
            </w:pPr>
            <w:r w:rsidRPr="00C903F8">
              <w:rPr>
                <w:rFonts w:cs="Arial"/>
                <w:sz w:val="18"/>
                <w:szCs w:val="20"/>
              </w:rPr>
              <w:t>24.</w:t>
            </w:r>
          </w:p>
        </w:tc>
        <w:tc>
          <w:tcPr>
            <w:tcW w:w="2778" w:type="dxa"/>
            <w:gridSpan w:val="2"/>
            <w:tcBorders>
              <w:bottom w:val="single" w:sz="6" w:space="0" w:color="auto"/>
              <w:right w:val="single" w:sz="6" w:space="0" w:color="auto"/>
            </w:tcBorders>
          </w:tcPr>
          <w:p w:rsidR="009C13A9" w:rsidRPr="00E3172D" w:rsidRDefault="00E3172D" w:rsidP="009C13A9">
            <w:pPr>
              <w:tabs>
                <w:tab w:val="left" w:pos="57"/>
                <w:tab w:val="left" w:pos="340"/>
              </w:tabs>
              <w:overflowPunct w:val="0"/>
              <w:adjustRightInd w:val="0"/>
              <w:ind w:left="0" w:firstLine="0"/>
              <w:jc w:val="left"/>
              <w:textAlignment w:val="baseline"/>
              <w:rPr>
                <w:rFonts w:cs="Arial"/>
                <w:sz w:val="18"/>
                <w:szCs w:val="20"/>
                <w:lang w:val="en-GB"/>
              </w:rPr>
            </w:pPr>
            <w:r w:rsidRPr="003D7271">
              <w:rPr>
                <w:rFonts w:cs="Arial"/>
                <w:sz w:val="18"/>
                <w:szCs w:val="20"/>
                <w:lang w:val="en-US"/>
              </w:rPr>
              <w:t>Number of watertight transverse bulkheads</w:t>
            </w:r>
            <w:r w:rsidR="003D7271">
              <w:rPr>
                <w:rFonts w:cs="Arial"/>
                <w:sz w:val="18"/>
                <w:szCs w:val="20"/>
                <w:lang w:val="en-GB"/>
              </w:rPr>
              <w:br/>
            </w:r>
            <w:r w:rsidR="003D7271">
              <w:rPr>
                <w:rFonts w:cs="Arial"/>
                <w:sz w:val="18"/>
                <w:szCs w:val="20"/>
                <w:lang w:val="en-GB"/>
              </w:rPr>
              <w:br/>
            </w:r>
            <w:r w:rsidR="003D7271">
              <w:rPr>
                <w:rFonts w:cs="Arial"/>
                <w:sz w:val="18"/>
                <w:szCs w:val="20"/>
                <w:lang w:val="en-GB"/>
              </w:rPr>
              <w:tab/>
            </w:r>
          </w:p>
        </w:tc>
        <w:tc>
          <w:tcPr>
            <w:tcW w:w="3062" w:type="dxa"/>
            <w:gridSpan w:val="2"/>
            <w:tcBorders>
              <w:left w:val="single" w:sz="6" w:space="0" w:color="auto"/>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E3172D">
              <w:rPr>
                <w:rFonts w:cs="Arial"/>
                <w:sz w:val="18"/>
                <w:szCs w:val="20"/>
                <w:lang w:val="en-GB"/>
              </w:rPr>
              <w:tab/>
            </w:r>
            <w:r w:rsidRPr="00C903F8">
              <w:rPr>
                <w:rFonts w:cs="Arial"/>
                <w:sz w:val="18"/>
                <w:szCs w:val="20"/>
              </w:rPr>
              <w:t>25.</w:t>
            </w:r>
            <w:r w:rsidRPr="00C903F8">
              <w:rPr>
                <w:rFonts w:cs="Arial"/>
                <w:sz w:val="18"/>
                <w:szCs w:val="20"/>
              </w:rPr>
              <w:tab/>
              <w:t>Number of holds</w:t>
            </w:r>
          </w:p>
        </w:tc>
        <w:tc>
          <w:tcPr>
            <w:tcW w:w="3065" w:type="dxa"/>
            <w:gridSpan w:val="2"/>
            <w:tcBorders>
              <w:left w:val="single" w:sz="6" w:space="0" w:color="auto"/>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t>26.</w:t>
            </w:r>
            <w:r w:rsidRPr="00C903F8">
              <w:rPr>
                <w:rFonts w:cs="Arial"/>
                <w:sz w:val="18"/>
                <w:szCs w:val="20"/>
              </w:rPr>
              <w:tab/>
              <w:t>Type of hatch cover</w:t>
            </w:r>
            <w:r w:rsidRPr="00C903F8">
              <w:rPr>
                <w:rFonts w:cs="Arial"/>
                <w:sz w:val="18"/>
                <w:szCs w:val="20"/>
              </w:rPr>
              <w:br/>
            </w: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 w:val="left" w:pos="227"/>
              </w:tabs>
              <w:overflowPunct w:val="0"/>
              <w:adjustRightInd w:val="0"/>
              <w:ind w:left="0" w:firstLine="0"/>
              <w:jc w:val="left"/>
              <w:textAlignment w:val="baseline"/>
              <w:rPr>
                <w:rFonts w:cs="Arial"/>
                <w:sz w:val="18"/>
                <w:szCs w:val="20"/>
              </w:rPr>
            </w:pPr>
            <w:r w:rsidRPr="00C903F8">
              <w:rPr>
                <w:rFonts w:cs="Arial"/>
                <w:sz w:val="18"/>
                <w:szCs w:val="20"/>
              </w:rPr>
              <w:t>27.</w:t>
            </w:r>
          </w:p>
        </w:tc>
        <w:tc>
          <w:tcPr>
            <w:tcW w:w="2778" w:type="dxa"/>
            <w:gridSpan w:val="2"/>
            <w:tcBorders>
              <w:bottom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lang w:val="en-US"/>
              </w:rPr>
            </w:pPr>
            <w:r w:rsidRPr="00C903F8">
              <w:rPr>
                <w:rFonts w:cs="Arial"/>
                <w:sz w:val="18"/>
                <w:szCs w:val="20"/>
                <w:lang w:val="en-US"/>
              </w:rPr>
              <w:tab/>
              <w:t>Number of main propulsion engines</w:t>
            </w:r>
            <w:r w:rsidRPr="00C903F8">
              <w:rPr>
                <w:rFonts w:cs="Arial"/>
                <w:sz w:val="18"/>
                <w:szCs w:val="20"/>
                <w:lang w:val="en-US"/>
              </w:rPr>
              <w:br/>
            </w:r>
          </w:p>
        </w:tc>
        <w:tc>
          <w:tcPr>
            <w:tcW w:w="3062" w:type="dxa"/>
            <w:gridSpan w:val="2"/>
            <w:tcBorders>
              <w:left w:val="single" w:sz="6" w:space="0" w:color="auto"/>
              <w:bottom w:val="single" w:sz="6" w:space="0" w:color="auto"/>
              <w:right w:val="single" w:sz="6" w:space="0" w:color="auto"/>
            </w:tcBorders>
          </w:tcPr>
          <w:p w:rsidR="009C13A9" w:rsidRPr="00C903F8" w:rsidRDefault="009C13A9" w:rsidP="009C13A9">
            <w:pPr>
              <w:tabs>
                <w:tab w:val="left" w:pos="57"/>
                <w:tab w:val="left" w:pos="340"/>
                <w:tab w:val="left" w:pos="2242"/>
              </w:tabs>
              <w:overflowPunct w:val="0"/>
              <w:adjustRightInd w:val="0"/>
              <w:ind w:left="0" w:firstLine="0"/>
              <w:jc w:val="left"/>
              <w:textAlignment w:val="baseline"/>
              <w:rPr>
                <w:rFonts w:cs="Arial"/>
                <w:sz w:val="18"/>
                <w:szCs w:val="20"/>
                <w:lang w:val="en-US"/>
              </w:rPr>
            </w:pPr>
            <w:r w:rsidRPr="00C903F8">
              <w:rPr>
                <w:rFonts w:cs="Arial"/>
                <w:sz w:val="18"/>
                <w:szCs w:val="20"/>
                <w:lang w:val="en-US"/>
              </w:rPr>
              <w:tab/>
              <w:t>28.</w:t>
            </w:r>
            <w:r w:rsidRPr="00C903F8">
              <w:rPr>
                <w:lang w:val="en-US"/>
              </w:rPr>
              <w:t xml:space="preserve"> </w:t>
            </w:r>
            <w:r w:rsidRPr="00C903F8">
              <w:rPr>
                <w:rFonts w:cs="Arial"/>
                <w:sz w:val="18"/>
                <w:szCs w:val="20"/>
                <w:lang w:val="en-US"/>
              </w:rPr>
              <w:t>Total power rating of main means of propulsion</w:t>
            </w:r>
            <w:r w:rsidRPr="00C903F8">
              <w:rPr>
                <w:rFonts w:cs="Arial"/>
                <w:sz w:val="18"/>
                <w:szCs w:val="20"/>
                <w:lang w:val="en-US"/>
              </w:rPr>
              <w:br/>
            </w:r>
            <w:r w:rsidRPr="00C903F8">
              <w:rPr>
                <w:rFonts w:cs="Arial"/>
                <w:sz w:val="18"/>
                <w:szCs w:val="20"/>
                <w:lang w:val="en-US"/>
              </w:rPr>
              <w:br/>
            </w:r>
            <w:r w:rsidRPr="00C903F8">
              <w:rPr>
                <w:rFonts w:cs="Arial"/>
                <w:sz w:val="18"/>
                <w:szCs w:val="20"/>
                <w:lang w:val="en-US"/>
              </w:rPr>
              <w:tab/>
            </w:r>
            <w:r w:rsidRPr="00C903F8">
              <w:rPr>
                <w:rFonts w:cs="Arial"/>
                <w:sz w:val="18"/>
                <w:szCs w:val="20"/>
                <w:lang w:val="en-US"/>
              </w:rPr>
              <w:tab/>
            </w:r>
            <w:r w:rsidRPr="00C903F8">
              <w:rPr>
                <w:rFonts w:cs="Arial"/>
                <w:sz w:val="18"/>
                <w:szCs w:val="20"/>
                <w:lang w:val="en-US"/>
              </w:rPr>
              <w:tab/>
              <w:t xml:space="preserve">kW </w:t>
            </w:r>
          </w:p>
        </w:tc>
        <w:tc>
          <w:tcPr>
            <w:tcW w:w="3065" w:type="dxa"/>
            <w:gridSpan w:val="2"/>
            <w:tcBorders>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29.</w:t>
            </w:r>
            <w:r w:rsidRPr="00C903F8">
              <w:rPr>
                <w:rFonts w:cs="Arial"/>
                <w:sz w:val="18"/>
                <w:szCs w:val="20"/>
              </w:rPr>
              <w:tab/>
              <w:t>Number of main propellers</w:t>
            </w:r>
            <w:r w:rsidRPr="00C903F8">
              <w:rPr>
                <w:rFonts w:cs="Arial"/>
                <w:sz w:val="18"/>
                <w:szCs w:val="20"/>
              </w:rPr>
              <w:br/>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rPr>
              <w:t>30.</w:t>
            </w:r>
          </w:p>
        </w:tc>
        <w:tc>
          <w:tcPr>
            <w:tcW w:w="2014" w:type="dxa"/>
          </w:tcPr>
          <w:p w:rsidR="009C13A9" w:rsidRPr="00C903F8" w:rsidRDefault="009C13A9" w:rsidP="009C13A9">
            <w:pPr>
              <w:tabs>
                <w:tab w:val="left" w:pos="57"/>
              </w:tabs>
              <w:overflowPunct w:val="0"/>
              <w:adjustRightInd w:val="0"/>
              <w:ind w:left="0" w:firstLine="0"/>
              <w:jc w:val="left"/>
              <w:textAlignment w:val="baseline"/>
              <w:rPr>
                <w:rFonts w:cs="Arial"/>
                <w:sz w:val="18"/>
                <w:szCs w:val="20"/>
                <w:lang w:val="en-US"/>
              </w:rPr>
            </w:pPr>
            <w:r w:rsidRPr="00C903F8">
              <w:rPr>
                <w:rFonts w:cs="Arial"/>
                <w:sz w:val="18"/>
                <w:szCs w:val="20"/>
                <w:lang w:val="en-US"/>
              </w:rPr>
              <w:tab/>
              <w:t>Number of bow windlasses</w:t>
            </w:r>
            <w:r w:rsidRPr="00C903F8">
              <w:rPr>
                <w:rFonts w:cs="Arial"/>
                <w:sz w:val="18"/>
                <w:szCs w:val="20"/>
                <w:lang w:val="en-US"/>
              </w:rPr>
              <w:br/>
            </w:r>
            <w:r w:rsidRPr="00C903F8">
              <w:rPr>
                <w:rFonts w:cs="Arial"/>
                <w:sz w:val="18"/>
                <w:szCs w:val="20"/>
                <w:lang w:val="en-US"/>
              </w:rPr>
              <w:tab/>
            </w:r>
          </w:p>
        </w:tc>
        <w:tc>
          <w:tcPr>
            <w:tcW w:w="2297" w:type="dxa"/>
            <w:gridSpan w:val="2"/>
            <w:tcBorders>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lang w:val="en-US"/>
              </w:rPr>
              <w:tab/>
              <w:t>of which</w:t>
            </w:r>
            <w:r w:rsidRPr="00C903F8">
              <w:rPr>
                <w:rFonts w:cs="Arial"/>
                <w:sz w:val="18"/>
                <w:szCs w:val="20"/>
              </w:rPr>
              <w:t xml:space="preserve"> .....................powered</w:t>
            </w:r>
          </w:p>
        </w:tc>
        <w:tc>
          <w:tcPr>
            <w:tcW w:w="2297" w:type="dxa"/>
            <w:gridSpan w:val="2"/>
          </w:tcPr>
          <w:p w:rsidR="009C13A9" w:rsidRPr="00C903F8" w:rsidRDefault="009C13A9" w:rsidP="009C13A9">
            <w:pPr>
              <w:tabs>
                <w:tab w:val="left" w:pos="340"/>
              </w:tabs>
              <w:overflowPunct w:val="0"/>
              <w:adjustRightInd w:val="0"/>
              <w:ind w:left="284" w:hanging="284"/>
              <w:jc w:val="left"/>
              <w:textAlignment w:val="baseline"/>
              <w:rPr>
                <w:rFonts w:cs="Arial"/>
                <w:sz w:val="18"/>
                <w:szCs w:val="20"/>
              </w:rPr>
            </w:pPr>
            <w:r w:rsidRPr="00C903F8">
              <w:rPr>
                <w:rFonts w:cs="Arial"/>
                <w:sz w:val="18"/>
                <w:szCs w:val="20"/>
              </w:rPr>
              <w:t>31.</w:t>
            </w:r>
            <w:r w:rsidRPr="00C903F8">
              <w:rPr>
                <w:rFonts w:cs="Arial"/>
                <w:sz w:val="18"/>
                <w:szCs w:val="20"/>
              </w:rPr>
              <w:tab/>
              <w:t>Number of stern windlasses</w:t>
            </w:r>
          </w:p>
        </w:tc>
        <w:tc>
          <w:tcPr>
            <w:tcW w:w="2297" w:type="dxa"/>
            <w:tcBorders>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t>of which ........................powered</w:t>
            </w: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p>
        </w:tc>
        <w:tc>
          <w:tcPr>
            <w:tcW w:w="2014" w:type="dxa"/>
            <w:tcBorders>
              <w:bottom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rPr>
              <w:br/>
            </w:r>
          </w:p>
        </w:tc>
        <w:tc>
          <w:tcPr>
            <w:tcW w:w="2297" w:type="dxa"/>
            <w:gridSpan w:val="2"/>
            <w:tcBorders>
              <w:left w:val="single" w:sz="6" w:space="0" w:color="auto"/>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r>
            <w:r w:rsidRPr="00C903F8">
              <w:rPr>
                <w:rFonts w:cs="Arial"/>
                <w:sz w:val="18"/>
                <w:szCs w:val="20"/>
              </w:rPr>
              <w:br/>
            </w:r>
          </w:p>
        </w:tc>
        <w:tc>
          <w:tcPr>
            <w:tcW w:w="2297" w:type="dxa"/>
            <w:gridSpan w:val="2"/>
            <w:tcBorders>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p>
        </w:tc>
        <w:tc>
          <w:tcPr>
            <w:tcW w:w="2297" w:type="dxa"/>
            <w:tcBorders>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ind w:left="0" w:firstLine="0"/>
              <w:jc w:val="left"/>
              <w:textAlignment w:val="baseline"/>
              <w:rPr>
                <w:rFonts w:cs="Arial"/>
                <w:sz w:val="18"/>
                <w:szCs w:val="20"/>
              </w:rPr>
            </w:pPr>
            <w:r w:rsidRPr="00C903F8">
              <w:rPr>
                <w:rFonts w:cs="Arial"/>
                <w:sz w:val="18"/>
                <w:szCs w:val="20"/>
              </w:rPr>
              <w:t>32.</w:t>
            </w:r>
          </w:p>
        </w:tc>
        <w:tc>
          <w:tcPr>
            <w:tcW w:w="2778" w:type="dxa"/>
            <w:gridSpan w:val="2"/>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t>Number of towing hooks</w:t>
            </w:r>
            <w:r w:rsidRPr="00C903F8">
              <w:rPr>
                <w:rFonts w:cs="Arial"/>
                <w:sz w:val="18"/>
                <w:szCs w:val="20"/>
              </w:rPr>
              <w:br/>
            </w:r>
          </w:p>
        </w:tc>
        <w:tc>
          <w:tcPr>
            <w:tcW w:w="3062" w:type="dxa"/>
            <w:gridSpan w:val="2"/>
            <w:tcBorders>
              <w:lef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lang w:val="en-US"/>
              </w:rPr>
            </w:pPr>
            <w:r w:rsidRPr="00C903F8">
              <w:rPr>
                <w:rFonts w:cs="Arial"/>
                <w:sz w:val="18"/>
                <w:szCs w:val="20"/>
                <w:lang w:val="en-US"/>
              </w:rPr>
              <w:tab/>
              <w:t>33.</w:t>
            </w:r>
            <w:r w:rsidRPr="00C903F8">
              <w:rPr>
                <w:rFonts w:cs="Arial"/>
                <w:sz w:val="18"/>
                <w:szCs w:val="20"/>
                <w:lang w:val="en-US"/>
              </w:rPr>
              <w:tab/>
              <w:t>Number of towing winches</w:t>
            </w:r>
          </w:p>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lang w:val="en-US"/>
              </w:rPr>
            </w:pPr>
            <w:r w:rsidRPr="00C903F8">
              <w:rPr>
                <w:rFonts w:cs="Arial"/>
                <w:sz w:val="18"/>
                <w:szCs w:val="20"/>
                <w:lang w:val="en-US"/>
              </w:rPr>
              <w:t>of which</w:t>
            </w:r>
          </w:p>
        </w:tc>
        <w:tc>
          <w:tcPr>
            <w:tcW w:w="3065" w:type="dxa"/>
            <w:gridSpan w:val="2"/>
            <w:tcBorders>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lang w:val="en-US"/>
              </w:rPr>
              <w:t xml:space="preserve"> of which</w:t>
            </w:r>
            <w:r w:rsidRPr="00C903F8">
              <w:rPr>
                <w:rFonts w:cs="Arial"/>
                <w:sz w:val="18"/>
                <w:szCs w:val="20"/>
              </w:rPr>
              <w:t xml:space="preserve"> ...................................... </w:t>
            </w: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 w:val="left" w:pos="227"/>
              </w:tabs>
              <w:overflowPunct w:val="0"/>
              <w:adjustRightInd w:val="0"/>
              <w:ind w:left="0" w:firstLine="0"/>
              <w:jc w:val="left"/>
              <w:textAlignment w:val="baseline"/>
              <w:rPr>
                <w:rFonts w:cs="Arial"/>
                <w:sz w:val="18"/>
                <w:szCs w:val="20"/>
              </w:rPr>
            </w:pPr>
          </w:p>
        </w:tc>
        <w:tc>
          <w:tcPr>
            <w:tcW w:w="2778" w:type="dxa"/>
            <w:gridSpan w:val="2"/>
            <w:tcBorders>
              <w:bottom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br/>
            </w:r>
          </w:p>
        </w:tc>
        <w:tc>
          <w:tcPr>
            <w:tcW w:w="3062" w:type="dxa"/>
            <w:gridSpan w:val="2"/>
            <w:tcBorders>
              <w:left w:val="single" w:sz="6" w:space="0" w:color="auto"/>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br/>
            </w:r>
          </w:p>
        </w:tc>
        <w:tc>
          <w:tcPr>
            <w:tcW w:w="3065" w:type="dxa"/>
            <w:gridSpan w:val="2"/>
            <w:tcBorders>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rPr>
              <w:t>34.</w:t>
            </w:r>
          </w:p>
        </w:tc>
        <w:tc>
          <w:tcPr>
            <w:tcW w:w="2014" w:type="dxa"/>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rPr>
              <w:tab/>
              <w:t>Steering gear</w:t>
            </w:r>
          </w:p>
        </w:tc>
        <w:tc>
          <w:tcPr>
            <w:tcW w:w="2297" w:type="dxa"/>
            <w:gridSpan w:val="2"/>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p>
        </w:tc>
        <w:tc>
          <w:tcPr>
            <w:tcW w:w="2297" w:type="dxa"/>
            <w:gridSpan w:val="2"/>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r>
          </w:p>
        </w:tc>
        <w:tc>
          <w:tcPr>
            <w:tcW w:w="2297" w:type="dxa"/>
            <w:tcBorders>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p>
        </w:tc>
        <w:tc>
          <w:tcPr>
            <w:tcW w:w="2014" w:type="dxa"/>
            <w:tcBorders>
              <w:bottom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lang w:val="en-US"/>
              </w:rPr>
            </w:pPr>
            <w:r w:rsidRPr="00C903F8">
              <w:rPr>
                <w:rFonts w:cs="Arial"/>
                <w:sz w:val="18"/>
                <w:szCs w:val="20"/>
                <w:lang w:val="en-US"/>
              </w:rPr>
              <w:tab/>
              <w:t>Number of rudder blades on main rudder</w:t>
            </w:r>
            <w:r w:rsidRPr="00C903F8">
              <w:rPr>
                <w:rFonts w:cs="Arial"/>
                <w:sz w:val="18"/>
                <w:szCs w:val="20"/>
                <w:lang w:val="en-US"/>
              </w:rPr>
              <w:br/>
            </w:r>
            <w:r w:rsidRPr="00C903F8">
              <w:rPr>
                <w:rFonts w:cs="Arial"/>
                <w:sz w:val="18"/>
                <w:szCs w:val="20"/>
                <w:lang w:val="en-US"/>
              </w:rPr>
              <w:br/>
            </w:r>
          </w:p>
        </w:tc>
        <w:tc>
          <w:tcPr>
            <w:tcW w:w="2297" w:type="dxa"/>
            <w:gridSpan w:val="2"/>
            <w:tcBorders>
              <w:left w:val="single" w:sz="6" w:space="0" w:color="auto"/>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Main rudder drive</w:t>
            </w:r>
            <w:r w:rsidRPr="00C903F8">
              <w:rPr>
                <w:rFonts w:cs="Arial"/>
                <w:sz w:val="18"/>
                <w:szCs w:val="20"/>
              </w:rPr>
              <w:br/>
            </w:r>
            <w:r w:rsidRPr="00C903F8">
              <w:rPr>
                <w:rFonts w:cs="Arial"/>
                <w:sz w:val="18"/>
                <w:szCs w:val="20"/>
              </w:rPr>
              <w:br/>
            </w:r>
          </w:p>
        </w:tc>
        <w:tc>
          <w:tcPr>
            <w:tcW w:w="2297" w:type="dxa"/>
            <w:gridSpan w:val="2"/>
            <w:tcBorders>
              <w:left w:val="single" w:sz="6" w:space="0" w:color="auto"/>
              <w:bottom w:val="single" w:sz="6" w:space="0" w:color="auto"/>
              <w:right w:val="single" w:sz="6" w:space="0" w:color="auto"/>
            </w:tcBorders>
          </w:tcPr>
          <w:p w:rsidR="009C13A9" w:rsidRPr="00C903F8" w:rsidRDefault="009C13A9" w:rsidP="00E61D20">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t>-</w:t>
            </w:r>
            <w:r w:rsidRPr="00C903F8">
              <w:rPr>
                <w:rFonts w:cs="Arial"/>
                <w:sz w:val="18"/>
                <w:szCs w:val="20"/>
              </w:rPr>
              <w:tab/>
              <w:t xml:space="preserve">manual </w:t>
            </w:r>
            <w:r w:rsidRPr="00C903F8">
              <w:rPr>
                <w:rFonts w:cs="Arial"/>
                <w:position w:val="6"/>
                <w:sz w:val="16"/>
                <w:szCs w:val="20"/>
              </w:rPr>
              <w:t xml:space="preserve">*) </w:t>
            </w:r>
            <w:r w:rsidRPr="00C903F8">
              <w:rPr>
                <w:rFonts w:cs="Arial"/>
                <w:sz w:val="18"/>
                <w:szCs w:val="20"/>
              </w:rPr>
              <w:br/>
            </w:r>
            <w:r w:rsidRPr="00C903F8">
              <w:rPr>
                <w:rFonts w:cs="Arial"/>
                <w:sz w:val="18"/>
                <w:szCs w:val="20"/>
              </w:rPr>
              <w:tab/>
              <w:t>-</w:t>
            </w:r>
            <w:r w:rsidRPr="00C903F8">
              <w:rPr>
                <w:rFonts w:cs="Arial"/>
                <w:sz w:val="18"/>
                <w:szCs w:val="20"/>
              </w:rPr>
              <w:tab/>
              <w:t>electric</w:t>
            </w:r>
            <w:r w:rsidRPr="00C903F8">
              <w:rPr>
                <w:rFonts w:cs="Arial"/>
                <w:position w:val="6"/>
                <w:sz w:val="16"/>
                <w:szCs w:val="20"/>
              </w:rPr>
              <w:t xml:space="preserve">*) </w:t>
            </w:r>
            <w:r w:rsidR="002D7949" w:rsidRPr="00C903F8">
              <w:rPr>
                <w:rFonts w:cs="Arial"/>
                <w:sz w:val="18"/>
                <w:szCs w:val="20"/>
              </w:rPr>
              <w:br/>
            </w:r>
          </w:p>
        </w:tc>
        <w:tc>
          <w:tcPr>
            <w:tcW w:w="2297" w:type="dxa"/>
            <w:tcBorders>
              <w:left w:val="single" w:sz="6" w:space="0" w:color="auto"/>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t>-</w:t>
            </w:r>
            <w:r w:rsidRPr="00C903F8">
              <w:rPr>
                <w:rFonts w:cs="Arial"/>
                <w:sz w:val="18"/>
                <w:szCs w:val="20"/>
              </w:rPr>
              <w:tab/>
              <w:t>electric/hydraulic</w:t>
            </w:r>
            <w:r w:rsidR="002D7949" w:rsidRPr="00C903F8">
              <w:rPr>
                <w:rFonts w:cs="Arial"/>
                <w:position w:val="6"/>
                <w:sz w:val="16"/>
                <w:szCs w:val="20"/>
              </w:rPr>
              <w:t>*)</w:t>
            </w:r>
            <w:r w:rsidRPr="00C903F8">
              <w:rPr>
                <w:rFonts w:cs="Arial"/>
                <w:sz w:val="18"/>
                <w:szCs w:val="20"/>
              </w:rPr>
              <w:br/>
            </w:r>
            <w:r w:rsidRPr="00C903F8">
              <w:rPr>
                <w:rFonts w:cs="Arial"/>
                <w:sz w:val="18"/>
                <w:szCs w:val="20"/>
              </w:rPr>
              <w:tab/>
              <w:t>-</w:t>
            </w:r>
            <w:r w:rsidRPr="00C903F8">
              <w:rPr>
                <w:rFonts w:cs="Arial"/>
                <w:sz w:val="18"/>
                <w:szCs w:val="20"/>
              </w:rPr>
              <w:tab/>
              <w:t>hydraulic</w:t>
            </w:r>
            <w:r w:rsidR="002D7949" w:rsidRPr="00C903F8">
              <w:rPr>
                <w:rFonts w:cs="Arial"/>
                <w:position w:val="6"/>
                <w:sz w:val="16"/>
                <w:szCs w:val="20"/>
              </w:rPr>
              <w:t>*)</w:t>
            </w:r>
          </w:p>
        </w:tc>
      </w:tr>
      <w:tr w:rsidR="009C13A9" w:rsidRPr="0029685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ind w:left="0" w:firstLine="0"/>
              <w:jc w:val="left"/>
              <w:textAlignment w:val="baseline"/>
              <w:rPr>
                <w:rFonts w:cs="Arial"/>
                <w:sz w:val="18"/>
                <w:szCs w:val="20"/>
              </w:rPr>
            </w:pPr>
          </w:p>
        </w:tc>
        <w:tc>
          <w:tcPr>
            <w:tcW w:w="8905" w:type="dxa"/>
            <w:gridSpan w:val="6"/>
            <w:tcBorders>
              <w:top w:val="single" w:sz="6" w:space="0" w:color="auto"/>
              <w:bottom w:val="single" w:sz="6" w:space="0" w:color="auto"/>
              <w:right w:val="single" w:sz="6" w:space="0" w:color="auto"/>
            </w:tcBorders>
          </w:tcPr>
          <w:p w:rsidR="009C13A9" w:rsidRPr="00C903F8" w:rsidRDefault="009C13A9" w:rsidP="002D7949">
            <w:pPr>
              <w:tabs>
                <w:tab w:val="left" w:pos="57"/>
                <w:tab w:val="left" w:pos="340"/>
              </w:tabs>
              <w:overflowPunct w:val="0"/>
              <w:adjustRightInd w:val="0"/>
              <w:ind w:left="0" w:firstLine="0"/>
              <w:jc w:val="left"/>
              <w:textAlignment w:val="baseline"/>
              <w:rPr>
                <w:rFonts w:cs="Arial"/>
                <w:sz w:val="18"/>
                <w:szCs w:val="20"/>
                <w:lang w:val="en-US"/>
              </w:rPr>
            </w:pPr>
            <w:r w:rsidRPr="00C903F8">
              <w:rPr>
                <w:rFonts w:cs="Arial"/>
                <w:sz w:val="18"/>
                <w:szCs w:val="20"/>
                <w:lang w:val="en-US"/>
              </w:rPr>
              <w:tab/>
              <w:t>Other installations: yes/no</w:t>
            </w:r>
            <w:r w:rsidRPr="00C903F8">
              <w:rPr>
                <w:rFonts w:cs="Arial"/>
                <w:position w:val="6"/>
                <w:sz w:val="16"/>
                <w:szCs w:val="20"/>
                <w:lang w:val="en-US"/>
              </w:rPr>
              <w:t>*)</w:t>
            </w:r>
            <w:r w:rsidR="002D7949" w:rsidRPr="00C903F8">
              <w:rPr>
                <w:rFonts w:cs="Arial"/>
                <w:sz w:val="18"/>
                <w:szCs w:val="20"/>
                <w:lang w:val="en-US"/>
              </w:rPr>
              <w:t xml:space="preserve"> </w:t>
            </w:r>
            <w:r w:rsidRPr="00C903F8">
              <w:rPr>
                <w:rFonts w:cs="Arial"/>
                <w:sz w:val="18"/>
                <w:szCs w:val="20"/>
                <w:lang w:val="en-US"/>
              </w:rPr>
              <w:t>Type:</w:t>
            </w:r>
            <w:r w:rsidRPr="00C903F8">
              <w:rPr>
                <w:rFonts w:cs="Arial"/>
                <w:sz w:val="18"/>
                <w:szCs w:val="20"/>
                <w:lang w:val="en-US"/>
              </w:rPr>
              <w:br/>
            </w:r>
            <w:r w:rsidRPr="00C903F8">
              <w:rPr>
                <w:rFonts w:cs="Arial"/>
                <w:sz w:val="18"/>
                <w:szCs w:val="20"/>
                <w:lang w:val="en-US"/>
              </w:rPr>
              <w:br/>
              <w:t xml:space="preserve"> </w:t>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lang w:val="en-US"/>
              </w:rPr>
            </w:pPr>
          </w:p>
        </w:tc>
        <w:tc>
          <w:tcPr>
            <w:tcW w:w="2014" w:type="dxa"/>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Flanking rudder:</w:t>
            </w:r>
          </w:p>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rPr>
              <w:tab/>
              <w:t xml:space="preserve">yes/no </w:t>
            </w:r>
            <w:r w:rsidRPr="00C903F8">
              <w:rPr>
                <w:rFonts w:cs="Arial"/>
                <w:position w:val="6"/>
                <w:sz w:val="16"/>
                <w:szCs w:val="20"/>
              </w:rPr>
              <w:t>*)</w:t>
            </w:r>
          </w:p>
        </w:tc>
        <w:tc>
          <w:tcPr>
            <w:tcW w:w="2297" w:type="dxa"/>
            <w:gridSpan w:val="2"/>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t>Flanking rudder drive:</w:t>
            </w:r>
          </w:p>
        </w:tc>
        <w:tc>
          <w:tcPr>
            <w:tcW w:w="2297" w:type="dxa"/>
            <w:gridSpan w:val="2"/>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r>
          </w:p>
        </w:tc>
        <w:tc>
          <w:tcPr>
            <w:tcW w:w="2297" w:type="dxa"/>
            <w:tcBorders>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p>
        </w:tc>
        <w:tc>
          <w:tcPr>
            <w:tcW w:w="2014" w:type="dxa"/>
            <w:tcBorders>
              <w:bottom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rPr>
              <w:br/>
            </w:r>
          </w:p>
        </w:tc>
        <w:tc>
          <w:tcPr>
            <w:tcW w:w="2297" w:type="dxa"/>
            <w:gridSpan w:val="2"/>
            <w:tcBorders>
              <w:left w:val="single" w:sz="6" w:space="0" w:color="auto"/>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br/>
            </w:r>
            <w:r w:rsidRPr="00C903F8">
              <w:rPr>
                <w:rFonts w:cs="Arial"/>
                <w:sz w:val="18"/>
                <w:szCs w:val="20"/>
              </w:rPr>
              <w:br/>
            </w:r>
          </w:p>
        </w:tc>
        <w:tc>
          <w:tcPr>
            <w:tcW w:w="2297" w:type="dxa"/>
            <w:gridSpan w:val="2"/>
            <w:tcBorders>
              <w:left w:val="single" w:sz="6" w:space="0" w:color="auto"/>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t>-</w:t>
            </w:r>
            <w:r w:rsidRPr="00C903F8">
              <w:rPr>
                <w:rFonts w:cs="Arial"/>
                <w:sz w:val="18"/>
                <w:szCs w:val="20"/>
              </w:rPr>
              <w:tab/>
              <w:t xml:space="preserve">manual </w:t>
            </w:r>
            <w:r w:rsidR="002D7949" w:rsidRPr="00C903F8">
              <w:rPr>
                <w:rFonts w:cs="Arial"/>
                <w:position w:val="6"/>
                <w:sz w:val="16"/>
                <w:szCs w:val="20"/>
              </w:rPr>
              <w:t>*)</w:t>
            </w:r>
            <w:r w:rsidRPr="00C903F8">
              <w:rPr>
                <w:rFonts w:cs="Arial"/>
                <w:sz w:val="18"/>
                <w:szCs w:val="20"/>
              </w:rPr>
              <w:br/>
            </w:r>
            <w:r w:rsidRPr="00C903F8">
              <w:rPr>
                <w:rFonts w:cs="Arial"/>
                <w:sz w:val="18"/>
                <w:szCs w:val="20"/>
              </w:rPr>
              <w:tab/>
              <w:t>-</w:t>
            </w:r>
            <w:r w:rsidRPr="00C903F8">
              <w:rPr>
                <w:rFonts w:cs="Arial"/>
                <w:sz w:val="18"/>
                <w:szCs w:val="20"/>
              </w:rPr>
              <w:tab/>
              <w:t>electrice</w:t>
            </w:r>
            <w:r w:rsidRPr="00C903F8">
              <w:rPr>
                <w:rFonts w:cs="Arial"/>
                <w:position w:val="6"/>
                <w:sz w:val="16"/>
                <w:szCs w:val="20"/>
              </w:rPr>
              <w:t xml:space="preserve">*) </w:t>
            </w:r>
            <w:r w:rsidRPr="00C903F8">
              <w:rPr>
                <w:rFonts w:cs="Arial"/>
                <w:sz w:val="18"/>
                <w:szCs w:val="20"/>
              </w:rPr>
              <w:br/>
            </w:r>
          </w:p>
        </w:tc>
        <w:tc>
          <w:tcPr>
            <w:tcW w:w="2297" w:type="dxa"/>
            <w:tcBorders>
              <w:left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t>-</w:t>
            </w:r>
            <w:r w:rsidRPr="00C903F8">
              <w:rPr>
                <w:rFonts w:cs="Arial"/>
                <w:sz w:val="18"/>
                <w:szCs w:val="20"/>
              </w:rPr>
              <w:tab/>
              <w:t>electric/hydraulic</w:t>
            </w:r>
            <w:r w:rsidRPr="00C903F8">
              <w:rPr>
                <w:rFonts w:cs="Arial"/>
                <w:position w:val="6"/>
                <w:sz w:val="16"/>
                <w:szCs w:val="20"/>
              </w:rPr>
              <w:t xml:space="preserve">*) </w:t>
            </w:r>
            <w:r w:rsidRPr="00C903F8">
              <w:rPr>
                <w:rFonts w:cs="Arial"/>
                <w:sz w:val="18"/>
                <w:szCs w:val="20"/>
              </w:rPr>
              <w:br/>
            </w:r>
            <w:r w:rsidRPr="00C903F8">
              <w:rPr>
                <w:rFonts w:cs="Arial"/>
                <w:sz w:val="18"/>
                <w:szCs w:val="20"/>
              </w:rPr>
              <w:tab/>
              <w:t>-</w:t>
            </w:r>
            <w:r w:rsidRPr="00C903F8">
              <w:rPr>
                <w:rFonts w:cs="Arial"/>
                <w:sz w:val="18"/>
                <w:szCs w:val="20"/>
              </w:rPr>
              <w:tab/>
              <w:t>hydraulic</w:t>
            </w:r>
            <w:r w:rsidRPr="00C903F8">
              <w:rPr>
                <w:rFonts w:cs="Arial"/>
                <w:position w:val="6"/>
                <w:sz w:val="16"/>
                <w:szCs w:val="20"/>
              </w:rPr>
              <w:t xml:space="preserve">*) </w:t>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p>
        </w:tc>
        <w:tc>
          <w:tcPr>
            <w:tcW w:w="2014" w:type="dxa"/>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rPr>
              <w:tab/>
              <w:t>Bow rudder installation</w:t>
            </w:r>
          </w:p>
        </w:tc>
        <w:tc>
          <w:tcPr>
            <w:tcW w:w="2297" w:type="dxa"/>
            <w:gridSpan w:val="2"/>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t>-</w:t>
            </w:r>
            <w:r w:rsidRPr="00C903F8">
              <w:rPr>
                <w:rFonts w:cs="Arial"/>
                <w:sz w:val="18"/>
                <w:szCs w:val="20"/>
              </w:rPr>
              <w:tab/>
              <w:t>bow rudder</w:t>
            </w:r>
            <w:r w:rsidRPr="00C903F8">
              <w:rPr>
                <w:rFonts w:cs="Arial"/>
                <w:position w:val="6"/>
                <w:sz w:val="16"/>
                <w:szCs w:val="20"/>
              </w:rPr>
              <w:t>*)</w:t>
            </w:r>
            <w:r w:rsidRPr="00C903F8">
              <w:rPr>
                <w:rFonts w:cs="Arial"/>
                <w:sz w:val="18"/>
                <w:szCs w:val="20"/>
              </w:rPr>
              <w:t xml:space="preserve"> </w:t>
            </w:r>
          </w:p>
        </w:tc>
        <w:tc>
          <w:tcPr>
            <w:tcW w:w="2297" w:type="dxa"/>
            <w:gridSpan w:val="2"/>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t>-</w:t>
            </w:r>
            <w:r w:rsidRPr="00C903F8">
              <w:rPr>
                <w:rFonts w:cs="Arial"/>
                <w:sz w:val="18"/>
                <w:szCs w:val="20"/>
              </w:rPr>
              <w:tab/>
              <w:t>Remote control</w:t>
            </w:r>
          </w:p>
        </w:tc>
        <w:tc>
          <w:tcPr>
            <w:tcW w:w="2297" w:type="dxa"/>
            <w:tcBorders>
              <w:top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t>Remote activation</w:t>
            </w: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p>
        </w:tc>
        <w:tc>
          <w:tcPr>
            <w:tcW w:w="2014" w:type="dxa"/>
            <w:tcBorders>
              <w:bottom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rPr>
              <w:tab/>
              <w:t>yes/no</w:t>
            </w:r>
            <w:r w:rsidRPr="00C903F8">
              <w:rPr>
                <w:rFonts w:cs="Arial"/>
                <w:position w:val="6"/>
                <w:sz w:val="16"/>
                <w:szCs w:val="20"/>
              </w:rPr>
              <w:t>*)</w:t>
            </w:r>
            <w:r w:rsidRPr="00C903F8">
              <w:rPr>
                <w:rFonts w:cs="Arial"/>
                <w:sz w:val="18"/>
                <w:szCs w:val="20"/>
              </w:rPr>
              <w:br/>
            </w:r>
          </w:p>
        </w:tc>
        <w:tc>
          <w:tcPr>
            <w:tcW w:w="2297" w:type="dxa"/>
            <w:gridSpan w:val="2"/>
            <w:tcBorders>
              <w:left w:val="single" w:sz="6" w:space="0" w:color="auto"/>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t>-</w:t>
            </w:r>
            <w:r w:rsidRPr="00C903F8">
              <w:rPr>
                <w:rFonts w:cs="Arial"/>
                <w:sz w:val="18"/>
                <w:szCs w:val="20"/>
              </w:rPr>
              <w:tab/>
              <w:t>bow thruster</w:t>
            </w:r>
            <w:r w:rsidRPr="00C903F8">
              <w:rPr>
                <w:rFonts w:cs="Arial"/>
                <w:position w:val="6"/>
                <w:sz w:val="16"/>
                <w:szCs w:val="20"/>
              </w:rPr>
              <w:t>*)</w:t>
            </w:r>
            <w:r w:rsidRPr="00C903F8">
              <w:rPr>
                <w:rFonts w:cs="Arial"/>
                <w:sz w:val="18"/>
                <w:szCs w:val="20"/>
              </w:rPr>
              <w:t xml:space="preserve"> </w:t>
            </w:r>
            <w:r w:rsidRPr="00C903F8">
              <w:rPr>
                <w:rFonts w:cs="Arial"/>
                <w:sz w:val="18"/>
                <w:szCs w:val="20"/>
              </w:rPr>
              <w:br/>
            </w:r>
            <w:r w:rsidRPr="00C903F8">
              <w:rPr>
                <w:rFonts w:cs="Arial"/>
                <w:sz w:val="18"/>
                <w:szCs w:val="20"/>
              </w:rPr>
              <w:tab/>
              <w:t>-</w:t>
            </w:r>
            <w:r w:rsidRPr="00C903F8">
              <w:rPr>
                <w:rFonts w:cs="Arial"/>
                <w:sz w:val="18"/>
                <w:szCs w:val="20"/>
              </w:rPr>
              <w:tab/>
              <w:t>other installation</w:t>
            </w:r>
            <w:r w:rsidRPr="00C903F8">
              <w:rPr>
                <w:rFonts w:cs="Arial"/>
                <w:position w:val="6"/>
                <w:sz w:val="16"/>
                <w:szCs w:val="20"/>
              </w:rPr>
              <w:t>*)</w:t>
            </w:r>
          </w:p>
        </w:tc>
        <w:tc>
          <w:tcPr>
            <w:tcW w:w="2297" w:type="dxa"/>
            <w:gridSpan w:val="2"/>
            <w:tcBorders>
              <w:left w:val="single" w:sz="6" w:space="0" w:color="auto"/>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position w:val="6"/>
                <w:sz w:val="16"/>
                <w:szCs w:val="20"/>
              </w:rPr>
              <w:tab/>
            </w:r>
            <w:r w:rsidRPr="00C903F8">
              <w:rPr>
                <w:rFonts w:cs="Arial"/>
                <w:position w:val="6"/>
                <w:sz w:val="16"/>
                <w:szCs w:val="20"/>
              </w:rPr>
              <w:tab/>
            </w:r>
            <w:r w:rsidRPr="00C903F8">
              <w:rPr>
                <w:rFonts w:cs="Arial"/>
                <w:sz w:val="18"/>
                <w:szCs w:val="20"/>
              </w:rPr>
              <w:t>yes/no</w:t>
            </w:r>
            <w:r w:rsidRPr="00C903F8">
              <w:rPr>
                <w:rFonts w:cs="Arial"/>
                <w:position w:val="6"/>
                <w:sz w:val="16"/>
                <w:szCs w:val="20"/>
              </w:rPr>
              <w:t>*)</w:t>
            </w:r>
            <w:r w:rsidRPr="00C903F8">
              <w:rPr>
                <w:rFonts w:cs="Arial"/>
                <w:sz w:val="18"/>
                <w:szCs w:val="20"/>
              </w:rPr>
              <w:br/>
            </w:r>
          </w:p>
        </w:tc>
        <w:tc>
          <w:tcPr>
            <w:tcW w:w="2297" w:type="dxa"/>
            <w:tcBorders>
              <w:left w:val="single" w:sz="6" w:space="0" w:color="auto"/>
              <w:bottom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rPr>
              <w:tab/>
              <w:t>Yes/no</w:t>
            </w:r>
            <w:r w:rsidRPr="00C903F8">
              <w:rPr>
                <w:rFonts w:cs="Arial"/>
                <w:position w:val="6"/>
                <w:sz w:val="16"/>
                <w:szCs w:val="20"/>
              </w:rPr>
              <w:t>*)</w:t>
            </w:r>
          </w:p>
        </w:tc>
      </w:tr>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80"/>
              <w:ind w:left="0" w:firstLine="0"/>
              <w:jc w:val="left"/>
              <w:textAlignment w:val="baseline"/>
              <w:rPr>
                <w:rFonts w:cs="Arial"/>
                <w:sz w:val="18"/>
                <w:szCs w:val="20"/>
              </w:rPr>
            </w:pPr>
            <w:r w:rsidRPr="00C903F8">
              <w:rPr>
                <w:rFonts w:cs="Arial"/>
                <w:sz w:val="18"/>
                <w:szCs w:val="20"/>
              </w:rPr>
              <w:t>35.</w:t>
            </w:r>
          </w:p>
        </w:tc>
        <w:tc>
          <w:tcPr>
            <w:tcW w:w="8905" w:type="dxa"/>
            <w:gridSpan w:val="6"/>
            <w:tcBorders>
              <w:top w:val="single" w:sz="6" w:space="0" w:color="auto"/>
              <w:bottom w:val="single" w:sz="6" w:space="0" w:color="auto"/>
              <w:right w:val="single" w:sz="6" w:space="0" w:color="auto"/>
            </w:tcBorders>
          </w:tcPr>
          <w:p w:rsidR="009C13A9" w:rsidRPr="00C903F8" w:rsidRDefault="009C13A9" w:rsidP="009C13A9">
            <w:pPr>
              <w:tabs>
                <w:tab w:val="left" w:pos="57"/>
                <w:tab w:val="left" w:pos="340"/>
                <w:tab w:val="left" w:pos="2752"/>
                <w:tab w:val="left" w:pos="4820"/>
                <w:tab w:val="left" w:pos="7088"/>
                <w:tab w:val="left" w:leader="dot" w:pos="8505"/>
              </w:tabs>
              <w:overflowPunct w:val="0"/>
              <w:adjustRightInd w:val="0"/>
              <w:spacing w:before="80"/>
              <w:ind w:left="57" w:hanging="57"/>
              <w:jc w:val="left"/>
              <w:textAlignment w:val="baseline"/>
              <w:rPr>
                <w:rFonts w:cs="Arial"/>
                <w:sz w:val="18"/>
                <w:szCs w:val="20"/>
                <w:lang w:val="en-US"/>
              </w:rPr>
            </w:pPr>
            <w:r w:rsidRPr="00C903F8">
              <w:rPr>
                <w:rFonts w:cs="Arial"/>
                <w:sz w:val="18"/>
                <w:szCs w:val="20"/>
                <w:lang w:val="en-US"/>
              </w:rPr>
              <w:tab/>
              <w:t>Bilge and drainage system</w:t>
            </w:r>
          </w:p>
          <w:p w:rsidR="009C13A9" w:rsidRPr="00C903F8" w:rsidRDefault="009C13A9" w:rsidP="009C13A9">
            <w:pPr>
              <w:tabs>
                <w:tab w:val="left" w:pos="2552"/>
                <w:tab w:val="left" w:leader="dot" w:pos="3602"/>
                <w:tab w:val="left" w:pos="4820"/>
                <w:tab w:val="left" w:leader="dot" w:pos="6012"/>
                <w:tab w:val="left" w:pos="7088"/>
                <w:tab w:val="left" w:leader="dot" w:pos="8505"/>
              </w:tabs>
              <w:overflowPunct w:val="0"/>
              <w:adjustRightInd w:val="0"/>
              <w:spacing w:before="40" w:after="40"/>
              <w:ind w:left="57" w:hanging="57"/>
              <w:jc w:val="left"/>
              <w:textAlignment w:val="baseline"/>
              <w:rPr>
                <w:rFonts w:cs="Arial"/>
                <w:sz w:val="18"/>
                <w:szCs w:val="20"/>
                <w:lang w:val="en-US"/>
              </w:rPr>
            </w:pPr>
            <w:r w:rsidRPr="00C903F8">
              <w:rPr>
                <w:rFonts w:cs="Arial"/>
                <w:sz w:val="18"/>
                <w:szCs w:val="20"/>
                <w:lang w:val="en-US"/>
              </w:rPr>
              <w:tab/>
              <w:t>Number of bilge pumps</w:t>
            </w:r>
            <w:r w:rsidRPr="00C903F8">
              <w:rPr>
                <w:rFonts w:cs="Arial"/>
                <w:sz w:val="18"/>
                <w:szCs w:val="20"/>
                <w:lang w:val="en-US"/>
              </w:rPr>
              <w:tab/>
            </w:r>
            <w:r w:rsidRPr="00C903F8">
              <w:rPr>
                <w:rFonts w:cs="Arial"/>
                <w:sz w:val="18"/>
                <w:szCs w:val="20"/>
                <w:lang w:val="en-US"/>
              </w:rPr>
              <w:tab/>
              <w:t>, of which power driven</w:t>
            </w:r>
            <w:r w:rsidRPr="00C903F8">
              <w:rPr>
                <w:rFonts w:cs="Arial"/>
                <w:sz w:val="18"/>
                <w:szCs w:val="20"/>
                <w:lang w:val="en-US"/>
              </w:rPr>
              <w:tab/>
            </w:r>
            <w:r w:rsidRPr="00C903F8">
              <w:rPr>
                <w:rFonts w:cs="Arial"/>
                <w:sz w:val="18"/>
                <w:szCs w:val="20"/>
                <w:lang w:val="en-US"/>
              </w:rPr>
              <w:br/>
              <w:t>Minimum pumping capacity</w:t>
            </w:r>
            <w:r w:rsidRPr="00C903F8">
              <w:rPr>
                <w:rFonts w:cs="Arial"/>
                <w:sz w:val="18"/>
                <w:szCs w:val="20"/>
                <w:lang w:val="en-US"/>
              </w:rPr>
              <w:tab/>
              <w:t>first bilge pump</w:t>
            </w:r>
            <w:r w:rsidRPr="00C903F8">
              <w:rPr>
                <w:rFonts w:cs="Arial"/>
                <w:sz w:val="18"/>
                <w:szCs w:val="20"/>
                <w:lang w:val="en-US"/>
              </w:rPr>
              <w:tab/>
              <w:t xml:space="preserve"> l/min</w:t>
            </w:r>
            <w:r w:rsidRPr="00C903F8">
              <w:rPr>
                <w:rFonts w:cs="Arial"/>
                <w:sz w:val="18"/>
                <w:szCs w:val="20"/>
                <w:lang w:val="en-US"/>
              </w:rPr>
              <w:br/>
            </w:r>
            <w:r w:rsidRPr="00C903F8">
              <w:rPr>
                <w:rFonts w:cs="Arial"/>
                <w:sz w:val="18"/>
                <w:szCs w:val="20"/>
                <w:lang w:val="en-US"/>
              </w:rPr>
              <w:tab/>
              <w:t>second bilge pump</w:t>
            </w:r>
            <w:r w:rsidRPr="00C903F8">
              <w:rPr>
                <w:rFonts w:cs="Arial"/>
                <w:sz w:val="18"/>
                <w:szCs w:val="20"/>
                <w:lang w:val="en-US"/>
              </w:rPr>
              <w:tab/>
              <w:t xml:space="preserve"> l/min</w:t>
            </w: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w:t>
            </w:r>
            <w:r w:rsidRPr="00C903F8">
              <w:rPr>
                <w:rFonts w:cs="Arial"/>
                <w:sz w:val="18"/>
                <w:szCs w:val="20"/>
              </w:rPr>
              <w:br/>
            </w:r>
            <w:r w:rsidRPr="00C903F8">
              <w:rPr>
                <w:rFonts w:cs="Arial"/>
                <w:sz w:val="18"/>
                <w:szCs w:val="20"/>
              </w:rPr>
              <w:br/>
            </w:r>
          </w:p>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p>
          <w:p w:rsidR="009C13A9" w:rsidRPr="00C903F8" w:rsidRDefault="009C13A9" w:rsidP="009C13A9">
            <w:pPr>
              <w:tabs>
                <w:tab w:val="left" w:pos="57"/>
              </w:tabs>
              <w:overflowPunct w:val="0"/>
              <w:adjustRightInd w:val="0"/>
              <w:spacing w:before="160"/>
              <w:ind w:left="0" w:firstLine="0"/>
              <w:jc w:val="left"/>
              <w:textAlignment w:val="baseline"/>
              <w:rPr>
                <w:rFonts w:cs="Arial"/>
                <w:sz w:val="18"/>
                <w:szCs w:val="20"/>
              </w:rPr>
            </w:pPr>
            <w:r w:rsidRPr="00C903F8">
              <w:rPr>
                <w:rFonts w:cs="Arial"/>
                <w:sz w:val="18"/>
                <w:szCs w:val="20"/>
              </w:rPr>
              <w:tab/>
              <w:t>*)</w:t>
            </w:r>
          </w:p>
        </w:tc>
        <w:tc>
          <w:tcPr>
            <w:tcW w:w="8905" w:type="dxa"/>
            <w:gridSpan w:val="6"/>
            <w:tcBorders>
              <w:bottom w:val="single" w:sz="6" w:space="0" w:color="auto"/>
              <w:right w:val="single" w:sz="6" w:space="0" w:color="auto"/>
            </w:tcBorders>
          </w:tcPr>
          <w:p w:rsidR="009C13A9" w:rsidRPr="00C903F8" w:rsidRDefault="009C13A9" w:rsidP="009C13A9">
            <w:pPr>
              <w:tabs>
                <w:tab w:val="left" w:pos="57"/>
                <w:tab w:val="left" w:leader="dot" w:pos="3686"/>
              </w:tabs>
              <w:overflowPunct w:val="0"/>
              <w:adjustRightInd w:val="0"/>
              <w:spacing w:before="80" w:after="80"/>
              <w:ind w:left="57" w:right="57" w:firstLine="0"/>
              <w:jc w:val="left"/>
              <w:textAlignment w:val="baseline"/>
              <w:rPr>
                <w:rFonts w:cs="Arial"/>
                <w:sz w:val="18"/>
                <w:szCs w:val="20"/>
                <w:lang w:val="en-US"/>
              </w:rPr>
            </w:pPr>
            <w:r w:rsidRPr="00C903F8">
              <w:rPr>
                <w:noProof/>
                <w:sz w:val="18"/>
                <w:szCs w:val="20"/>
                <w:lang w:val="en-US" w:eastAsia="fr-BE"/>
              </w:rPr>
              <w:t>Amendment to item(s):</w:t>
            </w:r>
            <w:r w:rsidRPr="00C903F8">
              <w:rPr>
                <w:rFonts w:cs="Arial"/>
                <w:sz w:val="18"/>
                <w:szCs w:val="20"/>
                <w:lang w:val="en-US"/>
              </w:rPr>
              <w:t xml:space="preserve"> ....................</w:t>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noProof/>
                <w:sz w:val="18"/>
                <w:szCs w:val="20"/>
                <w:lang w:val="en-US" w:eastAsia="fr-BE"/>
              </w:rPr>
              <w:t>New text:</w:t>
            </w:r>
            <w:r w:rsidR="00C62508" w:rsidRPr="00C903F8">
              <w:rPr>
                <w:noProof/>
                <w:sz w:val="18"/>
                <w:szCs w:val="20"/>
                <w:lang w:val="en-US" w:eastAsia="fr-BE"/>
              </w:rPr>
              <w:t xml:space="preserve"> </w:t>
            </w: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This page has been replaced.</w:t>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 xml:space="preserve">Place, date </w:t>
            </w:r>
            <w:r w:rsidRPr="00C903F8">
              <w:rPr>
                <w:rFonts w:cs="Arial"/>
                <w:sz w:val="18"/>
                <w:szCs w:val="20"/>
                <w:lang w:val="en-US"/>
              </w:rPr>
              <w:tab/>
            </w:r>
            <w:r w:rsidRPr="00C903F8">
              <w:rPr>
                <w:rFonts w:cs="Arial"/>
                <w:sz w:val="18"/>
                <w:szCs w:val="20"/>
                <w:lang w:val="en-US"/>
              </w:rPr>
              <w:tab/>
              <w:t>Inspection body</w:t>
            </w:r>
          </w:p>
          <w:p w:rsidR="009C13A9" w:rsidRPr="00C903F8" w:rsidRDefault="009C13A9" w:rsidP="009C13A9">
            <w:pPr>
              <w:tabs>
                <w:tab w:val="left" w:pos="5103"/>
                <w:tab w:val="left" w:leader="dot" w:pos="8505"/>
              </w:tabs>
              <w:overflowPunct w:val="0"/>
              <w:adjustRightInd w:val="0"/>
              <w:ind w:left="0" w:firstLine="0"/>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1701"/>
              </w:tabs>
              <w:overflowPunct w:val="0"/>
              <w:adjustRightInd w:val="0"/>
              <w:spacing w:after="80"/>
              <w:ind w:left="0" w:firstLine="0"/>
              <w:textAlignment w:val="baseline"/>
              <w:rPr>
                <w:rFonts w:cs="Arial"/>
                <w:sz w:val="18"/>
                <w:szCs w:val="20"/>
                <w:lang w:val="en-US"/>
              </w:rPr>
            </w:pPr>
            <w:r w:rsidRPr="00C903F8">
              <w:rPr>
                <w:rFonts w:cs="Arial"/>
                <w:sz w:val="18"/>
                <w:szCs w:val="20"/>
                <w:lang w:val="en-US"/>
              </w:rPr>
              <w:tab/>
            </w:r>
            <w:r w:rsidR="00313B91" w:rsidRPr="00C903F8">
              <w:rPr>
                <w:rFonts w:cs="Arial"/>
                <w:sz w:val="18"/>
                <w:szCs w:val="20"/>
                <w:lang w:val="en-US"/>
              </w:rPr>
              <w:t>Stamp</w:t>
            </w:r>
          </w:p>
          <w:p w:rsidR="009C13A9" w:rsidRPr="00C903F8" w:rsidRDefault="009C13A9" w:rsidP="009C13A9">
            <w:pPr>
              <w:tabs>
                <w:tab w:val="left" w:pos="5103"/>
                <w:tab w:val="left" w:leader="dot" w:pos="8505"/>
              </w:tabs>
              <w:overflowPunct w:val="0"/>
              <w:adjustRightInd w:val="0"/>
              <w:ind w:left="0" w:firstLine="0"/>
              <w:textAlignment w:val="baseline"/>
              <w:rPr>
                <w:rFonts w:cs="Arial"/>
                <w:szCs w:val="20"/>
                <w:lang w:val="en-US"/>
              </w:rPr>
            </w:pPr>
            <w:r w:rsidRPr="00C903F8">
              <w:rPr>
                <w:rFonts w:cs="Arial"/>
                <w:szCs w:val="20"/>
                <w:lang w:val="en-US"/>
              </w:rPr>
              <w:tab/>
            </w:r>
            <w:r w:rsidRPr="00C903F8">
              <w:rPr>
                <w:rFonts w:cs="Arial"/>
                <w:szCs w:val="20"/>
                <w:lang w:val="en-US"/>
              </w:rPr>
              <w:tab/>
            </w:r>
          </w:p>
          <w:p w:rsidR="009C13A9" w:rsidRPr="00C903F8" w:rsidRDefault="009C13A9" w:rsidP="009C13A9">
            <w:pPr>
              <w:tabs>
                <w:tab w:val="center" w:pos="6862"/>
              </w:tabs>
              <w:overflowPunct w:val="0"/>
              <w:adjustRightInd w:val="0"/>
              <w:ind w:left="0" w:firstLine="0"/>
              <w:textAlignment w:val="baseline"/>
              <w:rPr>
                <w:rFonts w:cs="Arial"/>
                <w:sz w:val="16"/>
                <w:szCs w:val="20"/>
                <w:lang w:val="en-US"/>
              </w:rPr>
            </w:pPr>
            <w:r w:rsidRPr="00C903F8">
              <w:rPr>
                <w:rFonts w:cs="Arial"/>
                <w:szCs w:val="20"/>
                <w:lang w:val="en-US"/>
              </w:rPr>
              <w:tab/>
            </w:r>
            <w:r w:rsidRPr="00C903F8">
              <w:rPr>
                <w:rFonts w:cs="Arial"/>
                <w:sz w:val="16"/>
                <w:szCs w:val="20"/>
                <w:lang w:val="en-US"/>
              </w:rPr>
              <w:t>(Signature)</w:t>
            </w:r>
          </w:p>
          <w:p w:rsidR="009C13A9" w:rsidRPr="00C903F8" w:rsidRDefault="009C13A9" w:rsidP="009C13A9">
            <w:pPr>
              <w:tabs>
                <w:tab w:val="left" w:pos="113"/>
                <w:tab w:val="left" w:pos="397"/>
                <w:tab w:val="left" w:pos="6237"/>
                <w:tab w:val="left" w:leader="dot" w:pos="9356"/>
              </w:tabs>
              <w:overflowPunct w:val="0"/>
              <w:adjustRightInd w:val="0"/>
              <w:ind w:left="0" w:firstLine="0"/>
              <w:textAlignment w:val="baseline"/>
              <w:rPr>
                <w:rFonts w:cs="Arial"/>
                <w:sz w:val="16"/>
                <w:szCs w:val="20"/>
              </w:rPr>
            </w:pPr>
            <w:r w:rsidRPr="00C903F8">
              <w:rPr>
                <w:rFonts w:cs="Arial"/>
                <w:sz w:val="18"/>
                <w:szCs w:val="20"/>
              </w:rPr>
              <w:t>_______________________</w:t>
            </w:r>
          </w:p>
          <w:p w:rsidR="009C13A9" w:rsidRPr="00C903F8" w:rsidRDefault="009C13A9" w:rsidP="009C13A9">
            <w:pPr>
              <w:tabs>
                <w:tab w:val="left" w:pos="284"/>
              </w:tabs>
              <w:overflowPunct w:val="0"/>
              <w:adjustRightInd w:val="0"/>
              <w:spacing w:after="40"/>
              <w:ind w:left="57" w:firstLine="0"/>
              <w:jc w:val="left"/>
              <w:textAlignment w:val="baseline"/>
              <w:rPr>
                <w:rFonts w:cs="Arial"/>
                <w:sz w:val="18"/>
                <w:szCs w:val="20"/>
              </w:rPr>
            </w:pPr>
            <w:r w:rsidRPr="00C903F8">
              <w:rPr>
                <w:rFonts w:cs="Arial"/>
                <w:position w:val="4"/>
                <w:sz w:val="16"/>
                <w:szCs w:val="20"/>
              </w:rPr>
              <w:t>*)</w:t>
            </w:r>
            <w:r w:rsidRPr="00C903F8">
              <w:rPr>
                <w:rFonts w:cs="Arial"/>
                <w:sz w:val="18"/>
                <w:szCs w:val="20"/>
              </w:rPr>
              <w:tab/>
            </w:r>
            <w:r w:rsidRPr="00C903F8">
              <w:rPr>
                <w:rFonts w:cs="Arial"/>
                <w:sz w:val="16"/>
                <w:szCs w:val="20"/>
              </w:rPr>
              <w:t>Delete as appropriate</w:t>
            </w:r>
          </w:p>
        </w:tc>
      </w:tr>
    </w:tbl>
    <w:p w:rsidR="009C13A9" w:rsidRPr="00C903F8" w:rsidRDefault="009C13A9" w:rsidP="00AA5614">
      <w:pPr>
        <w:tabs>
          <w:tab w:val="left" w:leader="dot" w:pos="2835"/>
          <w:tab w:val="left" w:leader="dot" w:pos="5103"/>
        </w:tabs>
        <w:overflowPunct w:val="0"/>
        <w:adjustRightInd w:val="0"/>
        <w:ind w:left="0" w:firstLine="0"/>
        <w:jc w:val="left"/>
        <w:textAlignment w:val="baseline"/>
        <w:rPr>
          <w:rFonts w:cs="Arial"/>
          <w:szCs w:val="20"/>
          <w:lang w:val="en-US"/>
        </w:rPr>
      </w:pPr>
      <w:r w:rsidRPr="00C903F8">
        <w:rPr>
          <w:rFonts w:cs="Arial"/>
          <w:szCs w:val="20"/>
          <w:lang w:val="en-US"/>
        </w:rPr>
        <w:br w:type="page"/>
      </w:r>
      <w:r w:rsidR="00AA5614" w:rsidRPr="00AA5614">
        <w:rPr>
          <w:rFonts w:cs="Arial"/>
          <w:szCs w:val="20"/>
          <w:lang w:val="en-US"/>
        </w:rPr>
        <w:lastRenderedPageBreak/>
        <w:t xml:space="preserve">Inland navigation vessel certificate </w:t>
      </w:r>
      <w:r w:rsidR="00AA5614">
        <w:rPr>
          <w:rFonts w:cs="Arial"/>
          <w:szCs w:val="20"/>
          <w:lang w:val="en-GB"/>
        </w:rPr>
        <w:t xml:space="preserve">No </w:t>
      </w:r>
      <w:r w:rsidR="00AA5614" w:rsidRPr="00AA5614">
        <w:rPr>
          <w:rFonts w:cs="Arial"/>
          <w:szCs w:val="20"/>
          <w:lang w:val="en-GB"/>
        </w:rPr>
        <w:tab/>
        <w:t xml:space="preserve"> of the Inspection body </w:t>
      </w:r>
      <w:r w:rsidR="00AA5614" w:rsidRPr="00AA5614">
        <w:rPr>
          <w:rFonts w:cs="Arial"/>
          <w:szCs w:val="20"/>
          <w:lang w:val="en-GB"/>
        </w:rPr>
        <w:tab/>
      </w:r>
    </w:p>
    <w:tbl>
      <w:tblPr>
        <w:tblW w:w="9189" w:type="dxa"/>
        <w:jc w:val="center"/>
        <w:tblLayout w:type="fixed"/>
        <w:tblCellMar>
          <w:left w:w="0" w:type="dxa"/>
          <w:right w:w="0" w:type="dxa"/>
        </w:tblCellMar>
        <w:tblLook w:val="0000" w:firstRow="0" w:lastRow="0" w:firstColumn="0" w:lastColumn="0" w:noHBand="0" w:noVBand="0"/>
      </w:tblPr>
      <w:tblGrid>
        <w:gridCol w:w="284"/>
        <w:gridCol w:w="2014"/>
        <w:gridCol w:w="2297"/>
        <w:gridCol w:w="2297"/>
        <w:gridCol w:w="26"/>
        <w:gridCol w:w="2271"/>
      </w:tblGrid>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36.</w:t>
            </w:r>
          </w:p>
        </w:tc>
        <w:tc>
          <w:tcPr>
            <w:tcW w:w="8905" w:type="dxa"/>
            <w:gridSpan w:val="5"/>
            <w:tcBorders>
              <w:top w:val="single" w:sz="6" w:space="0" w:color="auto"/>
              <w:bottom w:val="single" w:sz="6" w:space="0" w:color="auto"/>
              <w:right w:val="single" w:sz="6" w:space="0" w:color="auto"/>
            </w:tcBorders>
          </w:tcPr>
          <w:p w:rsidR="009C13A9" w:rsidRPr="00C903F8" w:rsidRDefault="009C13A9" w:rsidP="009C13A9">
            <w:pPr>
              <w:tabs>
                <w:tab w:val="left" w:pos="57"/>
                <w:tab w:val="left" w:pos="340"/>
                <w:tab w:val="left" w:leader="dot" w:pos="5103"/>
                <w:tab w:val="left" w:leader="dot" w:pos="8505"/>
              </w:tabs>
              <w:overflowPunct w:val="0"/>
              <w:adjustRightInd w:val="0"/>
              <w:spacing w:before="120"/>
              <w:ind w:left="57" w:firstLine="0"/>
              <w:jc w:val="left"/>
              <w:textAlignment w:val="baseline"/>
              <w:rPr>
                <w:rFonts w:cs="Arial"/>
                <w:sz w:val="18"/>
                <w:szCs w:val="20"/>
                <w:lang w:val="en-US"/>
              </w:rPr>
            </w:pPr>
            <w:r w:rsidRPr="00C903F8">
              <w:rPr>
                <w:rFonts w:cs="Arial"/>
                <w:noProof/>
                <w:sz w:val="18"/>
                <w:szCs w:val="18"/>
                <w:lang w:val="en-US"/>
              </w:rPr>
              <w:t>Number and position of closures referred to in Article 8.08, sections 10 and 11</w:t>
            </w:r>
            <w:r w:rsidRPr="00C903F8">
              <w:rPr>
                <w:rFonts w:cs="Arial"/>
                <w:sz w:val="18"/>
                <w:szCs w:val="20"/>
                <w:lang w:val="en-US"/>
              </w:rPr>
              <w:br/>
            </w:r>
            <w:r w:rsidRPr="00C903F8">
              <w:rPr>
                <w:rFonts w:cs="Arial"/>
                <w:sz w:val="18"/>
                <w:szCs w:val="20"/>
                <w:lang w:val="en-US"/>
              </w:rPr>
              <w:br/>
            </w:r>
            <w:r w:rsidRPr="00C903F8">
              <w:rPr>
                <w:rFonts w:cs="Arial"/>
                <w:sz w:val="18"/>
                <w:szCs w:val="20"/>
                <w:lang w:val="en-US"/>
              </w:rPr>
              <w:br/>
            </w:r>
            <w:r w:rsidRPr="00C903F8">
              <w:rPr>
                <w:rFonts w:cs="Arial"/>
                <w:sz w:val="18"/>
                <w:szCs w:val="20"/>
                <w:lang w:val="en-US"/>
              </w:rPr>
              <w:br/>
            </w:r>
            <w:r w:rsidRPr="00C903F8">
              <w:rPr>
                <w:rFonts w:cs="Arial"/>
                <w:sz w:val="18"/>
                <w:szCs w:val="20"/>
                <w:lang w:val="en-US"/>
              </w:rPr>
              <w:br/>
            </w:r>
            <w:r w:rsidRPr="00C903F8">
              <w:rPr>
                <w:rFonts w:cs="Arial"/>
                <w:sz w:val="18"/>
                <w:szCs w:val="20"/>
                <w:lang w:val="en-US"/>
              </w:rPr>
              <w:br/>
            </w:r>
            <w:r w:rsidRPr="00C903F8">
              <w:rPr>
                <w:rFonts w:cs="Arial"/>
                <w:sz w:val="18"/>
                <w:szCs w:val="20"/>
                <w:lang w:val="en-US"/>
              </w:rPr>
              <w:br/>
            </w:r>
            <w:r w:rsidRPr="00C903F8">
              <w:rPr>
                <w:rFonts w:cs="Arial"/>
                <w:sz w:val="18"/>
                <w:szCs w:val="20"/>
                <w:lang w:val="en-US"/>
              </w:rPr>
              <w:br/>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rPr>
              <w:t>37.</w:t>
            </w:r>
          </w:p>
        </w:tc>
        <w:tc>
          <w:tcPr>
            <w:tcW w:w="2014" w:type="dxa"/>
          </w:tcPr>
          <w:p w:rsidR="009C13A9" w:rsidRPr="00C903F8" w:rsidRDefault="009C13A9" w:rsidP="009C13A9">
            <w:pPr>
              <w:tabs>
                <w:tab w:val="left" w:pos="57"/>
              </w:tabs>
              <w:overflowPunct w:val="0"/>
              <w:adjustRightInd w:val="0"/>
              <w:ind w:left="57" w:firstLine="0"/>
              <w:jc w:val="left"/>
              <w:textAlignment w:val="baseline"/>
              <w:rPr>
                <w:rFonts w:cs="Arial"/>
                <w:sz w:val="18"/>
                <w:szCs w:val="20"/>
              </w:rPr>
            </w:pPr>
            <w:r w:rsidRPr="00C903F8">
              <w:rPr>
                <w:rFonts w:cs="Arial"/>
                <w:sz w:val="18"/>
                <w:szCs w:val="20"/>
              </w:rPr>
              <w:t>Anchors</w:t>
            </w:r>
          </w:p>
        </w:tc>
        <w:tc>
          <w:tcPr>
            <w:tcW w:w="2297" w:type="dxa"/>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p>
        </w:tc>
        <w:tc>
          <w:tcPr>
            <w:tcW w:w="2297" w:type="dxa"/>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p>
        </w:tc>
        <w:tc>
          <w:tcPr>
            <w:tcW w:w="2297" w:type="dxa"/>
            <w:gridSpan w:val="2"/>
            <w:tcBorders>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p>
        </w:tc>
      </w:tr>
      <w:tr w:rsidR="009C13A9" w:rsidRPr="0029685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p>
        </w:tc>
        <w:tc>
          <w:tcPr>
            <w:tcW w:w="2014" w:type="dxa"/>
          </w:tcPr>
          <w:p w:rsidR="009C13A9" w:rsidRPr="00C903F8" w:rsidRDefault="009C13A9" w:rsidP="009C13A9">
            <w:pPr>
              <w:widowControl w:val="0"/>
              <w:tabs>
                <w:tab w:val="left" w:pos="57"/>
              </w:tabs>
              <w:spacing w:before="80" w:after="80"/>
              <w:jc w:val="left"/>
              <w:rPr>
                <w:noProof/>
                <w:sz w:val="18"/>
                <w:szCs w:val="20"/>
                <w:lang w:eastAsia="fr-BE"/>
              </w:rPr>
            </w:pPr>
            <w:r w:rsidRPr="00C903F8">
              <w:rPr>
                <w:noProof/>
                <w:sz w:val="18"/>
                <w:szCs w:val="20"/>
                <w:lang w:eastAsia="fr-BE"/>
              </w:rPr>
              <w:tab/>
              <w:t>Number of bow anchors</w:t>
            </w:r>
          </w:p>
        </w:tc>
        <w:tc>
          <w:tcPr>
            <w:tcW w:w="2297" w:type="dxa"/>
            <w:tcBorders>
              <w:left w:val="single" w:sz="6" w:space="0" w:color="auto"/>
              <w:right w:val="single" w:sz="6" w:space="0" w:color="auto"/>
            </w:tcBorders>
          </w:tcPr>
          <w:p w:rsidR="009C13A9" w:rsidRPr="00C903F8" w:rsidRDefault="009C13A9" w:rsidP="009C13A9">
            <w:pPr>
              <w:widowControl w:val="0"/>
              <w:tabs>
                <w:tab w:val="left" w:pos="57"/>
                <w:tab w:val="left" w:pos="340"/>
              </w:tabs>
              <w:spacing w:before="80" w:after="80"/>
              <w:jc w:val="left"/>
              <w:rPr>
                <w:noProof/>
                <w:sz w:val="18"/>
                <w:szCs w:val="20"/>
                <w:lang w:val="en-US" w:eastAsia="fr-BE"/>
              </w:rPr>
            </w:pPr>
            <w:r w:rsidRPr="00C903F8">
              <w:rPr>
                <w:noProof/>
                <w:sz w:val="18"/>
                <w:szCs w:val="20"/>
                <w:lang w:val="en-US" w:eastAsia="fr-BE"/>
              </w:rPr>
              <w:tab/>
              <w:t>Total mass of bow anchors</w:t>
            </w:r>
          </w:p>
        </w:tc>
        <w:tc>
          <w:tcPr>
            <w:tcW w:w="2297" w:type="dxa"/>
            <w:tcBorders>
              <w:left w:val="single" w:sz="6" w:space="0" w:color="auto"/>
              <w:right w:val="single" w:sz="6" w:space="0" w:color="auto"/>
            </w:tcBorders>
          </w:tcPr>
          <w:p w:rsidR="009C13A9" w:rsidRPr="00C903F8" w:rsidRDefault="009C13A9" w:rsidP="009C13A9">
            <w:pPr>
              <w:widowControl w:val="0"/>
              <w:tabs>
                <w:tab w:val="left" w:pos="57"/>
                <w:tab w:val="left" w:pos="340"/>
              </w:tabs>
              <w:spacing w:before="80" w:after="80"/>
              <w:jc w:val="left"/>
              <w:rPr>
                <w:noProof/>
                <w:sz w:val="18"/>
                <w:szCs w:val="20"/>
                <w:lang w:eastAsia="fr-BE"/>
              </w:rPr>
            </w:pPr>
            <w:r w:rsidRPr="00C903F8">
              <w:rPr>
                <w:noProof/>
                <w:position w:val="6"/>
                <w:sz w:val="16"/>
                <w:szCs w:val="20"/>
                <w:lang w:val="en-US" w:eastAsia="fr-BE"/>
              </w:rPr>
              <w:tab/>
            </w:r>
            <w:r w:rsidRPr="00C903F8">
              <w:rPr>
                <w:noProof/>
                <w:sz w:val="18"/>
                <w:szCs w:val="20"/>
                <w:lang w:eastAsia="fr-BE"/>
              </w:rPr>
              <w:t>Number of stern anchors</w:t>
            </w:r>
          </w:p>
        </w:tc>
        <w:tc>
          <w:tcPr>
            <w:tcW w:w="2297" w:type="dxa"/>
            <w:gridSpan w:val="2"/>
            <w:tcBorders>
              <w:left w:val="single" w:sz="6" w:space="0" w:color="auto"/>
              <w:right w:val="single" w:sz="6" w:space="0" w:color="auto"/>
            </w:tcBorders>
          </w:tcPr>
          <w:p w:rsidR="009C13A9" w:rsidRPr="00C903F8" w:rsidRDefault="009C13A9" w:rsidP="009C13A9">
            <w:pPr>
              <w:widowControl w:val="0"/>
              <w:tabs>
                <w:tab w:val="left" w:pos="57"/>
                <w:tab w:val="left" w:pos="340"/>
              </w:tabs>
              <w:spacing w:before="80" w:after="80"/>
              <w:jc w:val="left"/>
              <w:rPr>
                <w:noProof/>
                <w:sz w:val="18"/>
                <w:szCs w:val="20"/>
                <w:lang w:val="en-US" w:eastAsia="fr-BE"/>
              </w:rPr>
            </w:pPr>
            <w:r w:rsidRPr="00C903F8">
              <w:rPr>
                <w:noProof/>
                <w:sz w:val="18"/>
                <w:szCs w:val="20"/>
                <w:lang w:val="en-US" w:eastAsia="fr-BE"/>
              </w:rPr>
              <w:tab/>
              <w:t>Total mass of stern anchors</w:t>
            </w: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s>
              <w:overflowPunct w:val="0"/>
              <w:adjustRightInd w:val="0"/>
              <w:spacing w:after="120"/>
              <w:ind w:left="0" w:firstLine="0"/>
              <w:jc w:val="left"/>
              <w:textAlignment w:val="baseline"/>
              <w:rPr>
                <w:rFonts w:cs="Arial"/>
                <w:sz w:val="18"/>
                <w:szCs w:val="20"/>
                <w:lang w:val="en-US"/>
              </w:rPr>
            </w:pPr>
          </w:p>
        </w:tc>
        <w:tc>
          <w:tcPr>
            <w:tcW w:w="2014" w:type="dxa"/>
            <w:tcBorders>
              <w:bottom w:val="single" w:sz="6" w:space="0" w:color="auto"/>
            </w:tcBorders>
          </w:tcPr>
          <w:p w:rsidR="009C13A9" w:rsidRPr="00C903F8" w:rsidRDefault="009C13A9" w:rsidP="009C13A9">
            <w:pPr>
              <w:tabs>
                <w:tab w:val="left" w:pos="57"/>
                <w:tab w:val="left" w:leader="dot" w:pos="1701"/>
              </w:tabs>
              <w:overflowPunct w:val="0"/>
              <w:adjustRightInd w:val="0"/>
              <w:spacing w:after="12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tc>
        <w:tc>
          <w:tcPr>
            <w:tcW w:w="2297" w:type="dxa"/>
            <w:tcBorders>
              <w:bottom w:val="single" w:sz="6" w:space="0" w:color="auto"/>
            </w:tcBorders>
          </w:tcPr>
          <w:p w:rsidR="009C13A9" w:rsidRPr="00C903F8" w:rsidRDefault="009C13A9" w:rsidP="009C13A9">
            <w:pPr>
              <w:tabs>
                <w:tab w:val="left" w:pos="57"/>
                <w:tab w:val="left" w:leader="dot" w:pos="1814"/>
              </w:tabs>
              <w:overflowPunct w:val="0"/>
              <w:adjustRightInd w:val="0"/>
              <w:spacing w:after="12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lang w:val="en-US"/>
              </w:rPr>
              <w:tab/>
              <w:t xml:space="preserve"> </w:t>
            </w:r>
            <w:r w:rsidRPr="00C903F8">
              <w:rPr>
                <w:rFonts w:cs="Arial"/>
                <w:sz w:val="18"/>
                <w:szCs w:val="20"/>
              </w:rPr>
              <w:t xml:space="preserve">kg </w:t>
            </w:r>
          </w:p>
        </w:tc>
        <w:tc>
          <w:tcPr>
            <w:tcW w:w="2297" w:type="dxa"/>
            <w:tcBorders>
              <w:left w:val="single" w:sz="6" w:space="0" w:color="auto"/>
              <w:bottom w:val="single" w:sz="6" w:space="0" w:color="auto"/>
            </w:tcBorders>
          </w:tcPr>
          <w:p w:rsidR="009C13A9" w:rsidRPr="00C903F8" w:rsidRDefault="009C13A9" w:rsidP="009C13A9">
            <w:pPr>
              <w:tabs>
                <w:tab w:val="left" w:pos="57"/>
                <w:tab w:val="left" w:leader="dot" w:pos="1814"/>
              </w:tabs>
              <w:overflowPunct w:val="0"/>
              <w:adjustRightInd w:val="0"/>
              <w:spacing w:after="120"/>
              <w:ind w:left="0" w:firstLine="0"/>
              <w:jc w:val="left"/>
              <w:textAlignment w:val="baseline"/>
              <w:rPr>
                <w:rFonts w:cs="Arial"/>
                <w:sz w:val="18"/>
                <w:szCs w:val="20"/>
              </w:rPr>
            </w:pPr>
            <w:r w:rsidRPr="00C903F8">
              <w:rPr>
                <w:rFonts w:cs="Arial"/>
                <w:sz w:val="18"/>
                <w:szCs w:val="20"/>
              </w:rPr>
              <w:tab/>
            </w:r>
            <w:r w:rsidRPr="00C903F8">
              <w:rPr>
                <w:rFonts w:cs="Arial"/>
                <w:sz w:val="18"/>
                <w:szCs w:val="20"/>
              </w:rPr>
              <w:tab/>
            </w:r>
          </w:p>
        </w:tc>
        <w:tc>
          <w:tcPr>
            <w:tcW w:w="2297" w:type="dxa"/>
            <w:gridSpan w:val="2"/>
            <w:tcBorders>
              <w:bottom w:val="single" w:sz="6" w:space="0" w:color="auto"/>
              <w:right w:val="single" w:sz="6" w:space="0" w:color="auto"/>
            </w:tcBorders>
          </w:tcPr>
          <w:p w:rsidR="009C13A9" w:rsidRPr="00C903F8" w:rsidRDefault="009C13A9" w:rsidP="009C13A9">
            <w:pPr>
              <w:tabs>
                <w:tab w:val="left" w:pos="57"/>
                <w:tab w:val="left" w:leader="dot" w:pos="1814"/>
              </w:tabs>
              <w:overflowPunct w:val="0"/>
              <w:adjustRightInd w:val="0"/>
              <w:spacing w:after="120"/>
              <w:ind w:left="0" w:firstLine="0"/>
              <w:jc w:val="left"/>
              <w:textAlignment w:val="baseline"/>
              <w:rPr>
                <w:rFonts w:cs="Arial"/>
                <w:sz w:val="18"/>
                <w:szCs w:val="20"/>
              </w:rPr>
            </w:pPr>
            <w:r w:rsidRPr="00C903F8">
              <w:rPr>
                <w:rFonts w:cs="Arial"/>
                <w:sz w:val="18"/>
                <w:szCs w:val="20"/>
              </w:rPr>
              <w:tab/>
            </w:r>
            <w:r w:rsidRPr="00C903F8">
              <w:rPr>
                <w:rFonts w:cs="Arial"/>
                <w:sz w:val="18"/>
                <w:szCs w:val="20"/>
              </w:rPr>
              <w:tab/>
              <w:t xml:space="preserve"> kg</w:t>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rPr>
              <w:t>38.</w:t>
            </w:r>
          </w:p>
        </w:tc>
        <w:tc>
          <w:tcPr>
            <w:tcW w:w="2014" w:type="dxa"/>
          </w:tcPr>
          <w:p w:rsidR="009C13A9" w:rsidRPr="00C903F8" w:rsidRDefault="009C13A9" w:rsidP="009C13A9">
            <w:pPr>
              <w:tabs>
                <w:tab w:val="left" w:pos="57"/>
              </w:tabs>
              <w:overflowPunct w:val="0"/>
              <w:adjustRightInd w:val="0"/>
              <w:ind w:left="57" w:firstLine="0"/>
              <w:jc w:val="left"/>
              <w:textAlignment w:val="baseline"/>
              <w:rPr>
                <w:rFonts w:cs="Arial"/>
                <w:sz w:val="18"/>
                <w:szCs w:val="20"/>
              </w:rPr>
            </w:pPr>
            <w:r w:rsidRPr="00C903F8">
              <w:rPr>
                <w:rFonts w:cs="Arial"/>
                <w:sz w:val="18"/>
                <w:szCs w:val="20"/>
              </w:rPr>
              <w:t>Anchors chains</w:t>
            </w:r>
          </w:p>
        </w:tc>
        <w:tc>
          <w:tcPr>
            <w:tcW w:w="2297" w:type="dxa"/>
          </w:tcPr>
          <w:p w:rsidR="009C13A9" w:rsidRPr="00C903F8" w:rsidRDefault="009C13A9" w:rsidP="009C13A9">
            <w:pPr>
              <w:tabs>
                <w:tab w:val="left" w:pos="57"/>
                <w:tab w:val="left" w:pos="340"/>
              </w:tabs>
              <w:overflowPunct w:val="0"/>
              <w:adjustRightInd w:val="0"/>
              <w:ind w:left="57" w:firstLine="0"/>
              <w:jc w:val="left"/>
              <w:textAlignment w:val="baseline"/>
              <w:rPr>
                <w:rFonts w:cs="Arial"/>
                <w:sz w:val="18"/>
                <w:szCs w:val="20"/>
              </w:rPr>
            </w:pPr>
          </w:p>
        </w:tc>
        <w:tc>
          <w:tcPr>
            <w:tcW w:w="2297" w:type="dxa"/>
          </w:tcPr>
          <w:p w:rsidR="009C13A9" w:rsidRPr="00C903F8" w:rsidRDefault="009C13A9" w:rsidP="009C13A9">
            <w:pPr>
              <w:tabs>
                <w:tab w:val="left" w:pos="57"/>
                <w:tab w:val="left" w:pos="340"/>
              </w:tabs>
              <w:overflowPunct w:val="0"/>
              <w:adjustRightInd w:val="0"/>
              <w:ind w:left="57" w:firstLine="0"/>
              <w:jc w:val="left"/>
              <w:textAlignment w:val="baseline"/>
              <w:rPr>
                <w:rFonts w:cs="Arial"/>
                <w:sz w:val="18"/>
                <w:szCs w:val="20"/>
              </w:rPr>
            </w:pPr>
          </w:p>
        </w:tc>
        <w:tc>
          <w:tcPr>
            <w:tcW w:w="2297" w:type="dxa"/>
            <w:gridSpan w:val="2"/>
            <w:tcBorders>
              <w:top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p>
        </w:tc>
      </w:tr>
      <w:tr w:rsidR="009C13A9" w:rsidRPr="0029685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p>
        </w:tc>
        <w:tc>
          <w:tcPr>
            <w:tcW w:w="2014" w:type="dxa"/>
          </w:tcPr>
          <w:p w:rsidR="009C13A9" w:rsidRPr="00C903F8" w:rsidRDefault="009C13A9" w:rsidP="009C13A9">
            <w:pPr>
              <w:tabs>
                <w:tab w:val="left" w:pos="57"/>
              </w:tabs>
              <w:overflowPunct w:val="0"/>
              <w:adjustRightInd w:val="0"/>
              <w:ind w:left="57" w:firstLine="0"/>
              <w:jc w:val="left"/>
              <w:textAlignment w:val="baseline"/>
              <w:rPr>
                <w:rFonts w:cs="Arial"/>
                <w:sz w:val="18"/>
                <w:szCs w:val="20"/>
                <w:lang w:val="en-US"/>
              </w:rPr>
            </w:pPr>
            <w:r w:rsidRPr="00C903F8">
              <w:rPr>
                <w:rFonts w:cs="Arial"/>
                <w:sz w:val="18"/>
                <w:szCs w:val="20"/>
                <w:lang w:val="en-US"/>
              </w:rPr>
              <w:t>Number of bow anchor chains</w:t>
            </w:r>
            <w:r w:rsidRPr="00C903F8">
              <w:rPr>
                <w:rFonts w:cs="Arial"/>
                <w:sz w:val="18"/>
                <w:szCs w:val="20"/>
                <w:lang w:val="en-US"/>
              </w:rPr>
              <w:br/>
            </w:r>
          </w:p>
        </w:tc>
        <w:tc>
          <w:tcPr>
            <w:tcW w:w="2297" w:type="dxa"/>
            <w:tcBorders>
              <w:left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57" w:firstLine="0"/>
              <w:jc w:val="left"/>
              <w:textAlignment w:val="baseline"/>
              <w:rPr>
                <w:rFonts w:cs="Arial"/>
                <w:sz w:val="18"/>
                <w:szCs w:val="20"/>
              </w:rPr>
            </w:pPr>
            <w:r w:rsidRPr="00C903F8">
              <w:rPr>
                <w:rFonts w:cs="Arial"/>
                <w:sz w:val="18"/>
                <w:szCs w:val="20"/>
              </w:rPr>
              <w:t>Length of each chain</w:t>
            </w:r>
            <w:r w:rsidRPr="00C903F8">
              <w:rPr>
                <w:rFonts w:cs="Arial"/>
                <w:sz w:val="18"/>
                <w:szCs w:val="20"/>
              </w:rPr>
              <w:br/>
              <w:t xml:space="preserve"> </w:t>
            </w:r>
          </w:p>
        </w:tc>
        <w:tc>
          <w:tcPr>
            <w:tcW w:w="2297" w:type="dxa"/>
            <w:tcBorders>
              <w:left w:val="single" w:sz="6" w:space="0" w:color="auto"/>
            </w:tcBorders>
          </w:tcPr>
          <w:p w:rsidR="009C13A9" w:rsidRPr="00C903F8" w:rsidRDefault="009C13A9" w:rsidP="009C13A9">
            <w:pPr>
              <w:tabs>
                <w:tab w:val="left" w:pos="57"/>
                <w:tab w:val="left" w:pos="340"/>
              </w:tabs>
              <w:overflowPunct w:val="0"/>
              <w:adjustRightInd w:val="0"/>
              <w:ind w:left="57" w:firstLine="0"/>
              <w:jc w:val="left"/>
              <w:textAlignment w:val="baseline"/>
              <w:rPr>
                <w:rFonts w:cs="Arial"/>
                <w:sz w:val="18"/>
                <w:szCs w:val="20"/>
                <w:lang w:val="en-US"/>
              </w:rPr>
            </w:pPr>
            <w:r w:rsidRPr="00C903F8">
              <w:rPr>
                <w:rFonts w:cs="Arial"/>
                <w:sz w:val="18"/>
                <w:szCs w:val="20"/>
                <w:lang w:val="en-US"/>
              </w:rPr>
              <w:t>Breaking load of each chain</w:t>
            </w:r>
          </w:p>
        </w:tc>
        <w:tc>
          <w:tcPr>
            <w:tcW w:w="2297" w:type="dxa"/>
            <w:gridSpan w:val="2"/>
            <w:tcBorders>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lang w:val="en-US"/>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spacing w:after="120"/>
              <w:ind w:left="0" w:firstLine="0"/>
              <w:jc w:val="left"/>
              <w:textAlignment w:val="baseline"/>
              <w:rPr>
                <w:rFonts w:cs="Arial"/>
                <w:sz w:val="18"/>
                <w:szCs w:val="20"/>
                <w:lang w:val="en-US"/>
              </w:rPr>
            </w:pPr>
          </w:p>
        </w:tc>
        <w:tc>
          <w:tcPr>
            <w:tcW w:w="2014" w:type="dxa"/>
            <w:tcBorders>
              <w:right w:val="single" w:sz="6" w:space="0" w:color="auto"/>
            </w:tcBorders>
          </w:tcPr>
          <w:p w:rsidR="009C13A9" w:rsidRPr="00C903F8" w:rsidRDefault="009C13A9" w:rsidP="009C13A9">
            <w:pPr>
              <w:tabs>
                <w:tab w:val="left" w:pos="57"/>
                <w:tab w:val="left" w:leader="dot" w:pos="1701"/>
              </w:tabs>
              <w:overflowPunct w:val="0"/>
              <w:adjustRightInd w:val="0"/>
              <w:spacing w:after="12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tc>
        <w:tc>
          <w:tcPr>
            <w:tcW w:w="2297" w:type="dxa"/>
          </w:tcPr>
          <w:p w:rsidR="009C13A9" w:rsidRPr="00C903F8" w:rsidRDefault="009C13A9" w:rsidP="009C13A9">
            <w:pPr>
              <w:tabs>
                <w:tab w:val="left" w:pos="57"/>
                <w:tab w:val="left" w:leader="dot" w:pos="1814"/>
              </w:tabs>
              <w:overflowPunct w:val="0"/>
              <w:adjustRightInd w:val="0"/>
              <w:spacing w:after="12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lang w:val="en-US"/>
              </w:rPr>
              <w:tab/>
              <w:t xml:space="preserve"> </w:t>
            </w:r>
            <w:r w:rsidRPr="00C903F8">
              <w:rPr>
                <w:rFonts w:cs="Arial"/>
                <w:sz w:val="18"/>
                <w:szCs w:val="20"/>
              </w:rPr>
              <w:t>m</w:t>
            </w:r>
          </w:p>
        </w:tc>
        <w:tc>
          <w:tcPr>
            <w:tcW w:w="2297" w:type="dxa"/>
            <w:tcBorders>
              <w:left w:val="single" w:sz="6" w:space="0" w:color="auto"/>
            </w:tcBorders>
          </w:tcPr>
          <w:p w:rsidR="009C13A9" w:rsidRPr="00C903F8" w:rsidRDefault="009C13A9" w:rsidP="009C13A9">
            <w:pPr>
              <w:tabs>
                <w:tab w:val="left" w:pos="57"/>
                <w:tab w:val="left" w:leader="dot" w:pos="1814"/>
              </w:tabs>
              <w:overflowPunct w:val="0"/>
              <w:adjustRightInd w:val="0"/>
              <w:spacing w:after="120"/>
              <w:ind w:left="0" w:firstLine="0"/>
              <w:jc w:val="left"/>
              <w:textAlignment w:val="baseline"/>
              <w:rPr>
                <w:rFonts w:cs="Arial"/>
                <w:sz w:val="18"/>
                <w:szCs w:val="20"/>
              </w:rPr>
            </w:pPr>
            <w:r w:rsidRPr="00C903F8">
              <w:rPr>
                <w:rFonts w:cs="Arial"/>
                <w:sz w:val="18"/>
                <w:szCs w:val="20"/>
              </w:rPr>
              <w:tab/>
            </w:r>
            <w:r w:rsidRPr="00C903F8">
              <w:rPr>
                <w:rFonts w:cs="Arial"/>
                <w:sz w:val="18"/>
                <w:szCs w:val="20"/>
              </w:rPr>
              <w:tab/>
              <w:t xml:space="preserve"> kN</w:t>
            </w:r>
          </w:p>
        </w:tc>
        <w:tc>
          <w:tcPr>
            <w:tcW w:w="2297" w:type="dxa"/>
            <w:gridSpan w:val="2"/>
            <w:tcBorders>
              <w:right w:val="single" w:sz="6" w:space="0" w:color="auto"/>
            </w:tcBorders>
          </w:tcPr>
          <w:p w:rsidR="009C13A9" w:rsidRPr="00C903F8" w:rsidRDefault="009C13A9" w:rsidP="009C13A9">
            <w:pPr>
              <w:tabs>
                <w:tab w:val="left" w:pos="57"/>
                <w:tab w:val="left" w:leader="dot" w:pos="1814"/>
              </w:tabs>
              <w:overflowPunct w:val="0"/>
              <w:adjustRightInd w:val="0"/>
              <w:spacing w:after="120"/>
              <w:ind w:left="0" w:firstLine="0"/>
              <w:jc w:val="left"/>
              <w:textAlignment w:val="baseline"/>
              <w:rPr>
                <w:rFonts w:cs="Arial"/>
                <w:sz w:val="18"/>
                <w:szCs w:val="20"/>
              </w:rPr>
            </w:pPr>
          </w:p>
        </w:tc>
      </w:tr>
      <w:tr w:rsidR="009C13A9" w:rsidRPr="0029685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p>
        </w:tc>
        <w:tc>
          <w:tcPr>
            <w:tcW w:w="2014" w:type="dxa"/>
          </w:tcPr>
          <w:p w:rsidR="009C13A9" w:rsidRPr="00C903F8" w:rsidRDefault="009C13A9" w:rsidP="009C13A9">
            <w:pPr>
              <w:tabs>
                <w:tab w:val="left" w:pos="57"/>
              </w:tabs>
              <w:overflowPunct w:val="0"/>
              <w:adjustRightInd w:val="0"/>
              <w:ind w:left="0" w:firstLine="0"/>
              <w:jc w:val="left"/>
              <w:textAlignment w:val="baseline"/>
              <w:rPr>
                <w:rFonts w:cs="Arial"/>
                <w:sz w:val="18"/>
                <w:szCs w:val="20"/>
                <w:lang w:val="en-US"/>
              </w:rPr>
            </w:pPr>
            <w:r w:rsidRPr="00C903F8">
              <w:rPr>
                <w:rFonts w:cs="Arial"/>
                <w:sz w:val="18"/>
                <w:szCs w:val="20"/>
                <w:lang w:val="en-US"/>
              </w:rPr>
              <w:tab/>
              <w:t>Number of stern anchor chains</w:t>
            </w:r>
            <w:r w:rsidRPr="00C903F8">
              <w:rPr>
                <w:rFonts w:cs="Arial"/>
                <w:sz w:val="18"/>
                <w:szCs w:val="20"/>
                <w:lang w:val="en-US"/>
              </w:rPr>
              <w:br/>
            </w:r>
          </w:p>
        </w:tc>
        <w:tc>
          <w:tcPr>
            <w:tcW w:w="2297" w:type="dxa"/>
            <w:tcBorders>
              <w:left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Length of each chain</w:t>
            </w:r>
            <w:r w:rsidRPr="00C903F8">
              <w:rPr>
                <w:rFonts w:cs="Arial"/>
                <w:sz w:val="18"/>
                <w:szCs w:val="20"/>
              </w:rPr>
              <w:br/>
              <w:t xml:space="preserve"> </w:t>
            </w:r>
          </w:p>
        </w:tc>
        <w:tc>
          <w:tcPr>
            <w:tcW w:w="2297" w:type="dxa"/>
            <w:tcBorders>
              <w:left w:val="single" w:sz="6" w:space="0" w:color="auto"/>
            </w:tcBorders>
          </w:tcPr>
          <w:p w:rsidR="009C13A9" w:rsidRPr="00C903F8" w:rsidRDefault="009C13A9" w:rsidP="009C13A9">
            <w:pPr>
              <w:tabs>
                <w:tab w:val="left" w:pos="57"/>
                <w:tab w:val="left" w:pos="340"/>
              </w:tabs>
              <w:overflowPunct w:val="0"/>
              <w:adjustRightInd w:val="0"/>
              <w:ind w:left="57" w:firstLine="0"/>
              <w:jc w:val="left"/>
              <w:textAlignment w:val="baseline"/>
              <w:rPr>
                <w:rFonts w:cs="Arial"/>
                <w:sz w:val="18"/>
                <w:szCs w:val="20"/>
                <w:lang w:val="en-US"/>
              </w:rPr>
            </w:pPr>
            <w:r w:rsidRPr="00C903F8">
              <w:rPr>
                <w:rFonts w:cs="Arial"/>
                <w:sz w:val="18"/>
                <w:szCs w:val="20"/>
                <w:lang w:val="en-US"/>
              </w:rPr>
              <w:t>Breaking load of each chain</w:t>
            </w:r>
          </w:p>
        </w:tc>
        <w:tc>
          <w:tcPr>
            <w:tcW w:w="2297" w:type="dxa"/>
            <w:gridSpan w:val="2"/>
            <w:tcBorders>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lang w:val="en-US"/>
              </w:rPr>
            </w:pP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s>
              <w:overflowPunct w:val="0"/>
              <w:adjustRightInd w:val="0"/>
              <w:spacing w:after="120"/>
              <w:ind w:left="0" w:firstLine="0"/>
              <w:jc w:val="left"/>
              <w:textAlignment w:val="baseline"/>
              <w:rPr>
                <w:rFonts w:cs="Arial"/>
                <w:sz w:val="18"/>
                <w:szCs w:val="20"/>
                <w:lang w:val="en-US"/>
              </w:rPr>
            </w:pPr>
          </w:p>
        </w:tc>
        <w:tc>
          <w:tcPr>
            <w:tcW w:w="2014" w:type="dxa"/>
            <w:tcBorders>
              <w:bottom w:val="single" w:sz="6" w:space="0" w:color="auto"/>
              <w:right w:val="single" w:sz="6" w:space="0" w:color="auto"/>
            </w:tcBorders>
          </w:tcPr>
          <w:p w:rsidR="009C13A9" w:rsidRPr="00C903F8" w:rsidRDefault="009C13A9" w:rsidP="009C13A9">
            <w:pPr>
              <w:tabs>
                <w:tab w:val="left" w:pos="57"/>
                <w:tab w:val="left" w:leader="dot" w:pos="1701"/>
              </w:tabs>
              <w:overflowPunct w:val="0"/>
              <w:adjustRightInd w:val="0"/>
              <w:spacing w:after="12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tc>
        <w:tc>
          <w:tcPr>
            <w:tcW w:w="2297" w:type="dxa"/>
            <w:tcBorders>
              <w:bottom w:val="single" w:sz="6" w:space="0" w:color="auto"/>
            </w:tcBorders>
          </w:tcPr>
          <w:p w:rsidR="009C13A9" w:rsidRPr="00C903F8" w:rsidRDefault="009C13A9" w:rsidP="009C13A9">
            <w:pPr>
              <w:tabs>
                <w:tab w:val="left" w:pos="57"/>
                <w:tab w:val="left" w:leader="dot" w:pos="1814"/>
              </w:tabs>
              <w:overflowPunct w:val="0"/>
              <w:adjustRightInd w:val="0"/>
              <w:spacing w:after="12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lang w:val="en-US"/>
              </w:rPr>
              <w:tab/>
              <w:t xml:space="preserve"> </w:t>
            </w:r>
            <w:r w:rsidRPr="00C903F8">
              <w:rPr>
                <w:rFonts w:cs="Arial"/>
                <w:sz w:val="18"/>
                <w:szCs w:val="20"/>
              </w:rPr>
              <w:t>m</w:t>
            </w:r>
          </w:p>
        </w:tc>
        <w:tc>
          <w:tcPr>
            <w:tcW w:w="2297" w:type="dxa"/>
            <w:tcBorders>
              <w:left w:val="single" w:sz="6" w:space="0" w:color="auto"/>
              <w:bottom w:val="single" w:sz="6" w:space="0" w:color="auto"/>
            </w:tcBorders>
          </w:tcPr>
          <w:p w:rsidR="009C13A9" w:rsidRPr="00C903F8" w:rsidRDefault="009C13A9" w:rsidP="009C13A9">
            <w:pPr>
              <w:tabs>
                <w:tab w:val="left" w:pos="57"/>
                <w:tab w:val="left" w:leader="dot" w:pos="1814"/>
              </w:tabs>
              <w:overflowPunct w:val="0"/>
              <w:adjustRightInd w:val="0"/>
              <w:spacing w:after="120"/>
              <w:ind w:left="0" w:firstLine="0"/>
              <w:jc w:val="left"/>
              <w:textAlignment w:val="baseline"/>
              <w:rPr>
                <w:rFonts w:cs="Arial"/>
                <w:sz w:val="18"/>
                <w:szCs w:val="20"/>
              </w:rPr>
            </w:pPr>
            <w:r w:rsidRPr="00C903F8">
              <w:rPr>
                <w:rFonts w:cs="Arial"/>
                <w:sz w:val="18"/>
                <w:szCs w:val="20"/>
              </w:rPr>
              <w:tab/>
            </w:r>
            <w:r w:rsidRPr="00C903F8">
              <w:rPr>
                <w:rFonts w:cs="Arial"/>
                <w:sz w:val="18"/>
                <w:szCs w:val="20"/>
              </w:rPr>
              <w:tab/>
              <w:t xml:space="preserve"> kN</w:t>
            </w:r>
          </w:p>
        </w:tc>
        <w:tc>
          <w:tcPr>
            <w:tcW w:w="2297" w:type="dxa"/>
            <w:gridSpan w:val="2"/>
            <w:tcBorders>
              <w:bottom w:val="single" w:sz="6" w:space="0" w:color="auto"/>
              <w:right w:val="single" w:sz="6" w:space="0" w:color="auto"/>
            </w:tcBorders>
          </w:tcPr>
          <w:p w:rsidR="009C13A9" w:rsidRPr="00C903F8" w:rsidRDefault="009C13A9" w:rsidP="009C13A9">
            <w:pPr>
              <w:tabs>
                <w:tab w:val="left" w:pos="57"/>
                <w:tab w:val="left" w:leader="dot" w:pos="1814"/>
              </w:tabs>
              <w:overflowPunct w:val="0"/>
              <w:adjustRightInd w:val="0"/>
              <w:spacing w:after="12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rPr>
              <w:t>39.</w:t>
            </w:r>
          </w:p>
        </w:tc>
        <w:tc>
          <w:tcPr>
            <w:tcW w:w="2014" w:type="dxa"/>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rPr>
              <w:tab/>
              <w:t>Mooring cables</w:t>
            </w:r>
          </w:p>
        </w:tc>
        <w:tc>
          <w:tcPr>
            <w:tcW w:w="2297" w:type="dxa"/>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p>
        </w:tc>
        <w:tc>
          <w:tcPr>
            <w:tcW w:w="2297" w:type="dxa"/>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p>
        </w:tc>
        <w:tc>
          <w:tcPr>
            <w:tcW w:w="2297" w:type="dxa"/>
            <w:gridSpan w:val="2"/>
            <w:tcBorders>
              <w:top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p>
        </w:tc>
      </w:tr>
      <w:tr w:rsidR="009C13A9" w:rsidRPr="0029685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p>
        </w:tc>
        <w:tc>
          <w:tcPr>
            <w:tcW w:w="6634" w:type="dxa"/>
            <w:gridSpan w:val="4"/>
          </w:tcPr>
          <w:p w:rsidR="009C13A9" w:rsidRPr="00C903F8" w:rsidRDefault="009C13A9" w:rsidP="009C13A9">
            <w:pPr>
              <w:tabs>
                <w:tab w:val="left" w:pos="57"/>
                <w:tab w:val="left" w:leader="dot" w:pos="3005"/>
                <w:tab w:val="left" w:leader="dot" w:pos="6237"/>
              </w:tabs>
              <w:overflowPunct w:val="0"/>
              <w:adjustRightInd w:val="0"/>
              <w:ind w:left="0" w:firstLine="0"/>
              <w:jc w:val="left"/>
              <w:textAlignment w:val="baseline"/>
              <w:rPr>
                <w:rFonts w:cs="Arial"/>
                <w:sz w:val="18"/>
                <w:szCs w:val="20"/>
                <w:lang w:val="en-US"/>
              </w:rPr>
            </w:pPr>
            <w:r w:rsidRPr="00C903F8">
              <w:rPr>
                <w:rFonts w:cs="Arial"/>
                <w:sz w:val="18"/>
                <w:szCs w:val="20"/>
                <w:lang w:val="en-US"/>
              </w:rPr>
              <w:tab/>
              <w:t xml:space="preserve">1st cable </w:t>
            </w:r>
            <w:r w:rsidRPr="00C903F8">
              <w:rPr>
                <w:rFonts w:cs="Arial"/>
                <w:sz w:val="18"/>
                <w:szCs w:val="20"/>
                <w:lang w:val="en-US"/>
              </w:rPr>
              <w:tab/>
              <w:t xml:space="preserve"> m long with a breaking load of</w:t>
            </w:r>
            <w:r w:rsidRPr="00C903F8">
              <w:rPr>
                <w:rFonts w:cs="Arial"/>
                <w:sz w:val="18"/>
                <w:szCs w:val="20"/>
                <w:lang w:val="en-US"/>
              </w:rPr>
              <w:tab/>
              <w:t xml:space="preserve"> kN</w:t>
            </w:r>
            <w:r w:rsidRPr="00C903F8">
              <w:rPr>
                <w:rFonts w:cs="Arial"/>
                <w:sz w:val="18"/>
                <w:szCs w:val="20"/>
                <w:lang w:val="en-US"/>
              </w:rPr>
              <w:br/>
            </w:r>
          </w:p>
        </w:tc>
        <w:tc>
          <w:tcPr>
            <w:tcW w:w="2271" w:type="dxa"/>
            <w:tcBorders>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lang w:val="en-US"/>
              </w:rPr>
            </w:pPr>
          </w:p>
        </w:tc>
      </w:tr>
      <w:tr w:rsidR="009C13A9" w:rsidRPr="0029685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lang w:val="en-US"/>
              </w:rPr>
            </w:pPr>
          </w:p>
        </w:tc>
        <w:tc>
          <w:tcPr>
            <w:tcW w:w="6634" w:type="dxa"/>
            <w:gridSpan w:val="4"/>
          </w:tcPr>
          <w:p w:rsidR="009C13A9" w:rsidRPr="00C903F8" w:rsidRDefault="009C13A9" w:rsidP="009C13A9">
            <w:pPr>
              <w:tabs>
                <w:tab w:val="left" w:pos="57"/>
                <w:tab w:val="left" w:leader="dot" w:pos="3005"/>
                <w:tab w:val="left" w:leader="dot" w:pos="6237"/>
              </w:tabs>
              <w:overflowPunct w:val="0"/>
              <w:adjustRightInd w:val="0"/>
              <w:ind w:left="0" w:firstLine="0"/>
              <w:jc w:val="left"/>
              <w:textAlignment w:val="baseline"/>
              <w:rPr>
                <w:rFonts w:cs="Arial"/>
                <w:sz w:val="18"/>
                <w:szCs w:val="20"/>
                <w:lang w:val="en-US"/>
              </w:rPr>
            </w:pPr>
            <w:r w:rsidRPr="00C903F8">
              <w:rPr>
                <w:rFonts w:cs="Arial"/>
                <w:sz w:val="18"/>
                <w:szCs w:val="20"/>
                <w:lang w:val="en-US"/>
              </w:rPr>
              <w:tab/>
              <w:t xml:space="preserve">2nd cable </w:t>
            </w:r>
            <w:r w:rsidRPr="00C903F8">
              <w:rPr>
                <w:rFonts w:cs="Arial"/>
                <w:sz w:val="18"/>
                <w:szCs w:val="20"/>
                <w:lang w:val="en-US"/>
              </w:rPr>
              <w:tab/>
              <w:t xml:space="preserve"> m long with a breaking load of</w:t>
            </w:r>
            <w:r w:rsidRPr="00C903F8">
              <w:rPr>
                <w:rFonts w:cs="Arial"/>
                <w:sz w:val="18"/>
                <w:szCs w:val="20"/>
                <w:lang w:val="en-US"/>
              </w:rPr>
              <w:tab/>
              <w:t xml:space="preserve"> kN</w:t>
            </w:r>
            <w:r w:rsidRPr="00C903F8">
              <w:rPr>
                <w:rFonts w:cs="Arial"/>
                <w:sz w:val="18"/>
                <w:szCs w:val="20"/>
                <w:lang w:val="en-US"/>
              </w:rPr>
              <w:br/>
            </w:r>
          </w:p>
        </w:tc>
        <w:tc>
          <w:tcPr>
            <w:tcW w:w="2271" w:type="dxa"/>
            <w:tcBorders>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lang w:val="en-US"/>
              </w:rPr>
            </w:pPr>
          </w:p>
        </w:tc>
      </w:tr>
      <w:tr w:rsidR="009C13A9" w:rsidRPr="0029685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lang w:val="en-US"/>
              </w:rPr>
            </w:pPr>
          </w:p>
        </w:tc>
        <w:tc>
          <w:tcPr>
            <w:tcW w:w="6634" w:type="dxa"/>
            <w:gridSpan w:val="4"/>
          </w:tcPr>
          <w:p w:rsidR="009C13A9" w:rsidRPr="00C903F8" w:rsidRDefault="009C13A9" w:rsidP="009C13A9">
            <w:pPr>
              <w:tabs>
                <w:tab w:val="left" w:pos="57"/>
                <w:tab w:val="left" w:leader="dot" w:pos="3005"/>
                <w:tab w:val="left" w:leader="dot" w:pos="6237"/>
              </w:tabs>
              <w:overflowPunct w:val="0"/>
              <w:adjustRightInd w:val="0"/>
              <w:ind w:left="0" w:firstLine="0"/>
              <w:jc w:val="left"/>
              <w:textAlignment w:val="baseline"/>
              <w:rPr>
                <w:rFonts w:cs="Arial"/>
                <w:sz w:val="18"/>
                <w:szCs w:val="20"/>
                <w:lang w:val="en-US"/>
              </w:rPr>
            </w:pPr>
            <w:r w:rsidRPr="00C903F8">
              <w:rPr>
                <w:rFonts w:cs="Arial"/>
                <w:sz w:val="18"/>
                <w:szCs w:val="20"/>
                <w:lang w:val="en-US"/>
              </w:rPr>
              <w:tab/>
              <w:t xml:space="preserve">3rd cable </w:t>
            </w:r>
            <w:r w:rsidRPr="00C903F8">
              <w:rPr>
                <w:rFonts w:cs="Arial"/>
                <w:sz w:val="18"/>
                <w:szCs w:val="20"/>
                <w:lang w:val="en-US"/>
              </w:rPr>
              <w:tab/>
              <w:t xml:space="preserve"> m long with a breaking load of</w:t>
            </w:r>
            <w:r w:rsidRPr="00C903F8">
              <w:rPr>
                <w:rFonts w:cs="Arial"/>
                <w:sz w:val="18"/>
                <w:szCs w:val="20"/>
                <w:lang w:val="en-US"/>
              </w:rPr>
              <w:tab/>
              <w:t xml:space="preserve"> kN</w:t>
            </w:r>
            <w:r w:rsidRPr="00C903F8">
              <w:rPr>
                <w:rFonts w:cs="Arial"/>
                <w:sz w:val="18"/>
                <w:szCs w:val="20"/>
                <w:lang w:val="en-US"/>
              </w:rPr>
              <w:br/>
            </w:r>
          </w:p>
        </w:tc>
        <w:tc>
          <w:tcPr>
            <w:tcW w:w="2271" w:type="dxa"/>
            <w:tcBorders>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lang w:val="en-US"/>
              </w:rPr>
            </w:pPr>
          </w:p>
        </w:tc>
      </w:tr>
      <w:tr w:rsidR="009C13A9" w:rsidRPr="00C903F8" w:rsidTr="009C13A9">
        <w:trPr>
          <w:cantSplit/>
          <w:jc w:val="center"/>
        </w:trPr>
        <w:tc>
          <w:tcPr>
            <w:tcW w:w="284" w:type="dxa"/>
            <w:tcBorders>
              <w:top w:val="single" w:sz="6" w:space="0" w:color="auto"/>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rPr>
              <w:t>40.</w:t>
            </w:r>
          </w:p>
        </w:tc>
        <w:tc>
          <w:tcPr>
            <w:tcW w:w="6634" w:type="dxa"/>
            <w:gridSpan w:val="4"/>
            <w:tcBorders>
              <w:top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r w:rsidRPr="00C903F8">
              <w:rPr>
                <w:rFonts w:cs="Arial"/>
                <w:sz w:val="18"/>
                <w:szCs w:val="20"/>
              </w:rPr>
              <w:tab/>
            </w:r>
            <w:r w:rsidRPr="00C903F8">
              <w:rPr>
                <w:noProof/>
                <w:sz w:val="18"/>
                <w:szCs w:val="20"/>
                <w:lang w:eastAsia="fr-BE"/>
              </w:rPr>
              <w:t>Towing cables</w:t>
            </w:r>
          </w:p>
        </w:tc>
        <w:tc>
          <w:tcPr>
            <w:tcW w:w="2271" w:type="dxa"/>
            <w:tcBorders>
              <w:top w:val="single" w:sz="6" w:space="0" w:color="auto"/>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rPr>
            </w:pPr>
          </w:p>
        </w:tc>
      </w:tr>
      <w:tr w:rsidR="009C13A9" w:rsidRPr="0029685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ind w:left="0" w:firstLine="0"/>
              <w:jc w:val="left"/>
              <w:textAlignment w:val="baseline"/>
              <w:rPr>
                <w:rFonts w:cs="Arial"/>
                <w:sz w:val="18"/>
                <w:szCs w:val="20"/>
              </w:rPr>
            </w:pPr>
          </w:p>
        </w:tc>
        <w:tc>
          <w:tcPr>
            <w:tcW w:w="6634" w:type="dxa"/>
            <w:gridSpan w:val="4"/>
          </w:tcPr>
          <w:p w:rsidR="009C13A9" w:rsidRPr="00C903F8" w:rsidRDefault="009C13A9" w:rsidP="009C13A9">
            <w:pPr>
              <w:tabs>
                <w:tab w:val="left" w:pos="57"/>
                <w:tab w:val="left" w:leader="dot" w:pos="567"/>
                <w:tab w:val="left" w:leader="dot" w:pos="851"/>
                <w:tab w:val="left" w:leader="dot" w:pos="3005"/>
                <w:tab w:val="left" w:leader="dot" w:pos="6237"/>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t xml:space="preserve"> with a length of </w:t>
            </w:r>
            <w:r w:rsidRPr="00C903F8">
              <w:rPr>
                <w:rFonts w:cs="Arial"/>
                <w:sz w:val="18"/>
                <w:szCs w:val="20"/>
                <w:lang w:val="en-US"/>
              </w:rPr>
              <w:tab/>
              <w:t xml:space="preserve"> m and a breaking load of </w:t>
            </w:r>
            <w:r w:rsidRPr="00C903F8">
              <w:rPr>
                <w:rFonts w:cs="Arial"/>
                <w:sz w:val="18"/>
                <w:szCs w:val="20"/>
                <w:lang w:val="en-US"/>
              </w:rPr>
              <w:tab/>
              <w:t xml:space="preserve"> kN</w:t>
            </w:r>
            <w:r w:rsidRPr="00C903F8">
              <w:rPr>
                <w:rFonts w:cs="Arial"/>
                <w:sz w:val="18"/>
                <w:szCs w:val="20"/>
                <w:lang w:val="en-US"/>
              </w:rPr>
              <w:br/>
            </w:r>
          </w:p>
        </w:tc>
        <w:tc>
          <w:tcPr>
            <w:tcW w:w="2271" w:type="dxa"/>
            <w:tcBorders>
              <w:right w:val="single" w:sz="6" w:space="0" w:color="auto"/>
            </w:tcBorders>
          </w:tcPr>
          <w:p w:rsidR="009C13A9" w:rsidRPr="00C903F8" w:rsidRDefault="009C13A9" w:rsidP="009C13A9">
            <w:pPr>
              <w:tabs>
                <w:tab w:val="left" w:pos="57"/>
                <w:tab w:val="left" w:pos="340"/>
              </w:tabs>
              <w:overflowPunct w:val="0"/>
              <w:adjustRightInd w:val="0"/>
              <w:ind w:left="0" w:firstLine="0"/>
              <w:jc w:val="left"/>
              <w:textAlignment w:val="baseline"/>
              <w:rPr>
                <w:rFonts w:cs="Arial"/>
                <w:sz w:val="18"/>
                <w:szCs w:val="20"/>
                <w:lang w:val="en-US"/>
              </w:rPr>
            </w:pPr>
          </w:p>
        </w:tc>
      </w:tr>
      <w:tr w:rsidR="009C13A9" w:rsidRPr="0029685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spacing w:after="120"/>
              <w:ind w:left="0" w:firstLine="0"/>
              <w:jc w:val="left"/>
              <w:textAlignment w:val="baseline"/>
              <w:rPr>
                <w:rFonts w:cs="Arial"/>
                <w:sz w:val="18"/>
                <w:szCs w:val="20"/>
                <w:lang w:val="en-US"/>
              </w:rPr>
            </w:pPr>
          </w:p>
        </w:tc>
        <w:tc>
          <w:tcPr>
            <w:tcW w:w="6634" w:type="dxa"/>
            <w:gridSpan w:val="4"/>
          </w:tcPr>
          <w:p w:rsidR="009C13A9" w:rsidRPr="00C903F8" w:rsidRDefault="009C13A9" w:rsidP="009C13A9">
            <w:pPr>
              <w:tabs>
                <w:tab w:val="left" w:pos="57"/>
                <w:tab w:val="left" w:leader="dot" w:pos="567"/>
                <w:tab w:val="left" w:leader="dot" w:pos="851"/>
                <w:tab w:val="left" w:leader="dot" w:pos="1701"/>
                <w:tab w:val="left" w:leader="dot" w:pos="3005"/>
                <w:tab w:val="left" w:leader="dot" w:pos="6237"/>
              </w:tabs>
              <w:overflowPunct w:val="0"/>
              <w:adjustRightInd w:val="0"/>
              <w:spacing w:after="12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t xml:space="preserve"> with a length of </w:t>
            </w:r>
            <w:r w:rsidRPr="00C903F8">
              <w:rPr>
                <w:rFonts w:cs="Arial"/>
                <w:sz w:val="18"/>
                <w:szCs w:val="20"/>
                <w:lang w:val="en-US"/>
              </w:rPr>
              <w:tab/>
              <w:t xml:space="preserve"> m and a breaking load of </w:t>
            </w:r>
            <w:r w:rsidRPr="00C903F8">
              <w:rPr>
                <w:rFonts w:cs="Arial"/>
                <w:sz w:val="18"/>
                <w:szCs w:val="20"/>
                <w:lang w:val="en-US"/>
              </w:rPr>
              <w:tab/>
              <w:t xml:space="preserve"> kN</w:t>
            </w:r>
          </w:p>
        </w:tc>
        <w:tc>
          <w:tcPr>
            <w:tcW w:w="2271" w:type="dxa"/>
            <w:tcBorders>
              <w:right w:val="single" w:sz="6" w:space="0" w:color="auto"/>
            </w:tcBorders>
          </w:tcPr>
          <w:p w:rsidR="009C13A9" w:rsidRPr="00C903F8" w:rsidRDefault="009C13A9" w:rsidP="009C13A9">
            <w:pPr>
              <w:tabs>
                <w:tab w:val="left" w:pos="57"/>
                <w:tab w:val="left" w:leader="dot" w:pos="1814"/>
              </w:tabs>
              <w:overflowPunct w:val="0"/>
              <w:adjustRightInd w:val="0"/>
              <w:spacing w:after="120"/>
              <w:ind w:left="0" w:firstLine="0"/>
              <w:jc w:val="left"/>
              <w:textAlignment w:val="baseline"/>
              <w:rPr>
                <w:rFonts w:cs="Arial"/>
                <w:sz w:val="18"/>
                <w:szCs w:val="20"/>
                <w:lang w:val="en-US"/>
              </w:rPr>
            </w:pPr>
          </w:p>
        </w:tc>
      </w:tr>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41.</w:t>
            </w:r>
          </w:p>
        </w:tc>
        <w:tc>
          <w:tcPr>
            <w:tcW w:w="8905" w:type="dxa"/>
            <w:gridSpan w:val="5"/>
            <w:tcBorders>
              <w:top w:val="single" w:sz="6" w:space="0" w:color="auto"/>
              <w:bottom w:val="single" w:sz="6" w:space="0" w:color="auto"/>
              <w:right w:val="single" w:sz="6" w:space="0" w:color="auto"/>
            </w:tcBorders>
          </w:tcPr>
          <w:p w:rsidR="009C13A9" w:rsidRPr="00C903F8" w:rsidRDefault="009C13A9" w:rsidP="006C7BF8">
            <w:pPr>
              <w:tabs>
                <w:tab w:val="left" w:pos="57"/>
                <w:tab w:val="left" w:pos="340"/>
                <w:tab w:val="left" w:leader="dot" w:pos="5103"/>
                <w:tab w:val="left" w:leader="dot" w:pos="8505"/>
              </w:tabs>
              <w:overflowPunct w:val="0"/>
              <w:adjustRightInd w:val="0"/>
              <w:spacing w:before="120"/>
              <w:ind w:left="57" w:right="57" w:hanging="57"/>
              <w:jc w:val="left"/>
              <w:textAlignment w:val="baseline"/>
              <w:rPr>
                <w:rFonts w:cs="Arial"/>
                <w:sz w:val="18"/>
                <w:szCs w:val="20"/>
                <w:lang w:val="en-US"/>
              </w:rPr>
            </w:pPr>
            <w:r w:rsidRPr="00C903F8">
              <w:rPr>
                <w:rFonts w:cs="Arial"/>
                <w:sz w:val="18"/>
                <w:szCs w:val="20"/>
                <w:lang w:val="en-US"/>
              </w:rPr>
              <w:tab/>
            </w:r>
            <w:r w:rsidRPr="00C903F8">
              <w:rPr>
                <w:noProof/>
                <w:sz w:val="18"/>
                <w:szCs w:val="20"/>
                <w:lang w:val="en-US" w:eastAsia="fr-BE"/>
              </w:rPr>
              <w:t>Visual and audible signals</w:t>
            </w:r>
            <w:r w:rsidRPr="00C903F8">
              <w:rPr>
                <w:noProof/>
                <w:sz w:val="18"/>
                <w:szCs w:val="20"/>
                <w:lang w:val="en-US" w:eastAsia="fr-BE"/>
              </w:rPr>
              <w:br/>
              <w:t>The lights, flags, balls, floats and audible warning devices used for signalling and to emit the visual and audible signals prescribed by [the Rhine police regulations / the applicable</w:t>
            </w:r>
            <w:r w:rsidR="006C7BF8" w:rsidRPr="00C903F8">
              <w:rPr>
                <w:lang w:val="en-GB"/>
              </w:rPr>
              <w:t xml:space="preserve"> </w:t>
            </w:r>
            <w:r w:rsidR="006C7BF8" w:rsidRPr="00C903F8">
              <w:rPr>
                <w:noProof/>
                <w:sz w:val="18"/>
                <w:szCs w:val="20"/>
                <w:lang w:val="en-US" w:eastAsia="fr-BE"/>
              </w:rPr>
              <w:t>navigational authority regulations of the Member States</w:t>
            </w:r>
            <w:r w:rsidRPr="00C903F8">
              <w:rPr>
                <w:noProof/>
                <w:sz w:val="18"/>
                <w:szCs w:val="20"/>
                <w:lang w:val="en-US" w:eastAsia="fr-BE"/>
              </w:rPr>
              <w:t xml:space="preserve">] are carried on board, as are the stand-alone emergency mooring lights prescribed by [the Rhine police regulations / the applicable </w:t>
            </w:r>
            <w:r w:rsidR="006C7BF8" w:rsidRPr="00C903F8">
              <w:rPr>
                <w:noProof/>
                <w:sz w:val="18"/>
                <w:szCs w:val="20"/>
                <w:lang w:val="en-US" w:eastAsia="fr-BE"/>
              </w:rPr>
              <w:t>navigational authority regulations of the Member States</w:t>
            </w:r>
            <w:r w:rsidRPr="00C903F8">
              <w:rPr>
                <w:noProof/>
                <w:sz w:val="18"/>
                <w:szCs w:val="20"/>
                <w:lang w:val="en-US" w:eastAsia="fr-BE"/>
              </w:rPr>
              <w:t>].</w:t>
            </w:r>
            <w:r w:rsidRPr="00C903F8">
              <w:rPr>
                <w:rFonts w:cs="Arial"/>
                <w:sz w:val="18"/>
                <w:szCs w:val="20"/>
                <w:lang w:val="en-US"/>
              </w:rPr>
              <w:br/>
            </w:r>
            <w:r w:rsidRPr="00C903F8">
              <w:rPr>
                <w:rFonts w:cs="Arial"/>
                <w:sz w:val="18"/>
                <w:szCs w:val="20"/>
                <w:lang w:val="en-US"/>
              </w:rPr>
              <w:br/>
            </w: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w:t>
            </w:r>
            <w:r w:rsidRPr="00C903F8">
              <w:rPr>
                <w:rFonts w:cs="Arial"/>
                <w:sz w:val="18"/>
                <w:szCs w:val="20"/>
              </w:rPr>
              <w:br/>
            </w:r>
            <w:r w:rsidRPr="00C903F8">
              <w:rPr>
                <w:rFonts w:cs="Arial"/>
                <w:sz w:val="18"/>
                <w:szCs w:val="20"/>
              </w:rPr>
              <w:br/>
            </w:r>
          </w:p>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p>
          <w:p w:rsidR="009C13A9" w:rsidRPr="00C903F8" w:rsidRDefault="009C13A9" w:rsidP="009C13A9">
            <w:pPr>
              <w:tabs>
                <w:tab w:val="left" w:pos="57"/>
              </w:tabs>
              <w:overflowPunct w:val="0"/>
              <w:adjustRightInd w:val="0"/>
              <w:spacing w:before="160"/>
              <w:ind w:left="0" w:firstLine="0"/>
              <w:jc w:val="left"/>
              <w:textAlignment w:val="baseline"/>
              <w:rPr>
                <w:rFonts w:cs="Arial"/>
                <w:sz w:val="18"/>
                <w:szCs w:val="20"/>
              </w:rPr>
            </w:pPr>
            <w:r w:rsidRPr="00C903F8">
              <w:rPr>
                <w:rFonts w:cs="Arial"/>
                <w:sz w:val="18"/>
                <w:szCs w:val="20"/>
              </w:rPr>
              <w:tab/>
              <w:t>*)</w:t>
            </w:r>
          </w:p>
        </w:tc>
        <w:tc>
          <w:tcPr>
            <w:tcW w:w="8905" w:type="dxa"/>
            <w:gridSpan w:val="5"/>
            <w:tcBorders>
              <w:bottom w:val="single" w:sz="6" w:space="0" w:color="auto"/>
              <w:right w:val="single" w:sz="6" w:space="0" w:color="auto"/>
            </w:tcBorders>
          </w:tcPr>
          <w:p w:rsidR="009C13A9" w:rsidRPr="00C903F8" w:rsidRDefault="009C13A9" w:rsidP="009C13A9">
            <w:pPr>
              <w:tabs>
                <w:tab w:val="left" w:pos="57"/>
                <w:tab w:val="left" w:leader="dot" w:pos="3686"/>
              </w:tabs>
              <w:overflowPunct w:val="0"/>
              <w:adjustRightInd w:val="0"/>
              <w:spacing w:before="80" w:after="80"/>
              <w:ind w:left="57" w:right="57" w:firstLine="0"/>
              <w:jc w:val="left"/>
              <w:textAlignment w:val="baseline"/>
              <w:rPr>
                <w:rFonts w:cs="Arial"/>
                <w:sz w:val="18"/>
                <w:szCs w:val="20"/>
                <w:lang w:val="en-US"/>
              </w:rPr>
            </w:pPr>
            <w:r w:rsidRPr="00C903F8">
              <w:rPr>
                <w:noProof/>
                <w:sz w:val="18"/>
                <w:szCs w:val="20"/>
                <w:lang w:val="en-US" w:eastAsia="fr-BE"/>
              </w:rPr>
              <w:t>Amendment to item(s):</w:t>
            </w:r>
            <w:r w:rsidRPr="00C903F8">
              <w:rPr>
                <w:rFonts w:cs="Arial"/>
                <w:sz w:val="18"/>
                <w:szCs w:val="20"/>
                <w:lang w:val="en-US"/>
              </w:rPr>
              <w:t xml:space="preserve"> ....................</w:t>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noProof/>
                <w:sz w:val="18"/>
                <w:szCs w:val="20"/>
                <w:lang w:val="en-US" w:eastAsia="fr-BE"/>
              </w:rPr>
              <w:t>New text:</w:t>
            </w: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This page has been replaced.</w:t>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 xml:space="preserve">Place, date </w:t>
            </w:r>
            <w:r w:rsidRPr="00C903F8">
              <w:rPr>
                <w:rFonts w:cs="Arial"/>
                <w:sz w:val="18"/>
                <w:szCs w:val="20"/>
                <w:lang w:val="en-US"/>
              </w:rPr>
              <w:tab/>
            </w:r>
            <w:r w:rsidRPr="00C903F8">
              <w:rPr>
                <w:rFonts w:cs="Arial"/>
                <w:sz w:val="18"/>
                <w:szCs w:val="20"/>
                <w:lang w:val="en-US"/>
              </w:rPr>
              <w:tab/>
              <w:t>Inspection body</w:t>
            </w:r>
          </w:p>
          <w:p w:rsidR="009C13A9" w:rsidRPr="00C903F8" w:rsidRDefault="009C13A9" w:rsidP="009C13A9">
            <w:pPr>
              <w:tabs>
                <w:tab w:val="left" w:pos="5103"/>
                <w:tab w:val="left" w:leader="dot" w:pos="8505"/>
              </w:tabs>
              <w:overflowPunct w:val="0"/>
              <w:adjustRightInd w:val="0"/>
              <w:ind w:left="0" w:firstLine="0"/>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1701"/>
              </w:tabs>
              <w:overflowPunct w:val="0"/>
              <w:adjustRightInd w:val="0"/>
              <w:spacing w:after="80"/>
              <w:ind w:left="0" w:firstLine="0"/>
              <w:textAlignment w:val="baseline"/>
              <w:rPr>
                <w:rFonts w:cs="Arial"/>
                <w:sz w:val="18"/>
                <w:szCs w:val="20"/>
                <w:lang w:val="en-US"/>
              </w:rPr>
            </w:pPr>
            <w:r w:rsidRPr="00C903F8">
              <w:rPr>
                <w:rFonts w:cs="Arial"/>
                <w:sz w:val="18"/>
                <w:szCs w:val="20"/>
                <w:lang w:val="en-US"/>
              </w:rPr>
              <w:tab/>
            </w:r>
            <w:r w:rsidR="00313B91" w:rsidRPr="00C903F8">
              <w:rPr>
                <w:rFonts w:cs="Arial"/>
                <w:sz w:val="18"/>
                <w:szCs w:val="20"/>
                <w:lang w:val="en-US"/>
              </w:rPr>
              <w:t>Stamp</w:t>
            </w:r>
          </w:p>
          <w:p w:rsidR="009C13A9" w:rsidRPr="00C903F8" w:rsidRDefault="009C13A9" w:rsidP="009C13A9">
            <w:pPr>
              <w:tabs>
                <w:tab w:val="left" w:pos="5103"/>
                <w:tab w:val="left" w:leader="dot" w:pos="8505"/>
              </w:tabs>
              <w:overflowPunct w:val="0"/>
              <w:adjustRightInd w:val="0"/>
              <w:ind w:left="0" w:firstLine="0"/>
              <w:textAlignment w:val="baseline"/>
              <w:rPr>
                <w:rFonts w:cs="Arial"/>
                <w:szCs w:val="20"/>
                <w:lang w:val="en-US"/>
              </w:rPr>
            </w:pPr>
            <w:r w:rsidRPr="00C903F8">
              <w:rPr>
                <w:rFonts w:cs="Arial"/>
                <w:szCs w:val="20"/>
                <w:lang w:val="en-US"/>
              </w:rPr>
              <w:tab/>
            </w:r>
            <w:r w:rsidRPr="00C903F8">
              <w:rPr>
                <w:rFonts w:cs="Arial"/>
                <w:szCs w:val="20"/>
                <w:lang w:val="en-US"/>
              </w:rPr>
              <w:tab/>
            </w:r>
          </w:p>
          <w:p w:rsidR="009C13A9" w:rsidRPr="00C903F8" w:rsidRDefault="009C13A9" w:rsidP="009C13A9">
            <w:pPr>
              <w:tabs>
                <w:tab w:val="center" w:pos="6862"/>
              </w:tabs>
              <w:overflowPunct w:val="0"/>
              <w:adjustRightInd w:val="0"/>
              <w:ind w:left="0" w:firstLine="0"/>
              <w:textAlignment w:val="baseline"/>
              <w:rPr>
                <w:rFonts w:cs="Arial"/>
                <w:sz w:val="16"/>
                <w:szCs w:val="20"/>
                <w:lang w:val="en-US"/>
              </w:rPr>
            </w:pPr>
            <w:r w:rsidRPr="00C903F8">
              <w:rPr>
                <w:rFonts w:cs="Arial"/>
                <w:szCs w:val="20"/>
                <w:lang w:val="en-US"/>
              </w:rPr>
              <w:tab/>
            </w:r>
            <w:r w:rsidRPr="00C903F8">
              <w:rPr>
                <w:rFonts w:cs="Arial"/>
                <w:sz w:val="16"/>
                <w:szCs w:val="20"/>
                <w:lang w:val="en-US"/>
              </w:rPr>
              <w:t>(Signature)</w:t>
            </w:r>
          </w:p>
          <w:p w:rsidR="009C13A9" w:rsidRPr="00C903F8" w:rsidRDefault="009C13A9" w:rsidP="009C13A9">
            <w:pPr>
              <w:tabs>
                <w:tab w:val="left" w:pos="113"/>
                <w:tab w:val="left" w:pos="397"/>
                <w:tab w:val="left" w:pos="6237"/>
                <w:tab w:val="left" w:leader="dot" w:pos="9356"/>
              </w:tabs>
              <w:overflowPunct w:val="0"/>
              <w:adjustRightInd w:val="0"/>
              <w:ind w:left="0" w:firstLine="0"/>
              <w:textAlignment w:val="baseline"/>
              <w:rPr>
                <w:rFonts w:cs="Arial"/>
                <w:sz w:val="16"/>
                <w:szCs w:val="20"/>
              </w:rPr>
            </w:pPr>
            <w:r w:rsidRPr="00C903F8">
              <w:rPr>
                <w:rFonts w:cs="Arial"/>
                <w:sz w:val="18"/>
                <w:szCs w:val="20"/>
              </w:rPr>
              <w:t>_______________________</w:t>
            </w:r>
          </w:p>
          <w:p w:rsidR="009C13A9" w:rsidRPr="00C903F8" w:rsidRDefault="009C13A9" w:rsidP="009C13A9">
            <w:pPr>
              <w:tabs>
                <w:tab w:val="left" w:pos="284"/>
              </w:tabs>
              <w:overflowPunct w:val="0"/>
              <w:adjustRightInd w:val="0"/>
              <w:spacing w:after="40"/>
              <w:ind w:left="57" w:firstLine="0"/>
              <w:jc w:val="left"/>
              <w:textAlignment w:val="baseline"/>
              <w:rPr>
                <w:rFonts w:cs="Arial"/>
                <w:sz w:val="18"/>
                <w:szCs w:val="20"/>
              </w:rPr>
            </w:pPr>
            <w:r w:rsidRPr="00C903F8">
              <w:rPr>
                <w:rFonts w:cs="Arial"/>
                <w:position w:val="4"/>
                <w:sz w:val="16"/>
                <w:szCs w:val="20"/>
              </w:rPr>
              <w:t>*)</w:t>
            </w:r>
            <w:r w:rsidRPr="00C903F8">
              <w:rPr>
                <w:rFonts w:cs="Arial"/>
                <w:sz w:val="18"/>
                <w:szCs w:val="20"/>
              </w:rPr>
              <w:tab/>
            </w:r>
            <w:r w:rsidRPr="00C903F8">
              <w:rPr>
                <w:rFonts w:cs="Arial"/>
                <w:sz w:val="16"/>
                <w:szCs w:val="20"/>
              </w:rPr>
              <w:t>Delete as appropriate</w:t>
            </w:r>
          </w:p>
        </w:tc>
      </w:tr>
    </w:tbl>
    <w:p w:rsidR="009C13A9" w:rsidRPr="00C903F8" w:rsidRDefault="009C13A9" w:rsidP="009C13A9">
      <w:pPr>
        <w:overflowPunct w:val="0"/>
        <w:adjustRightInd w:val="0"/>
        <w:ind w:left="0" w:firstLine="0"/>
        <w:jc w:val="left"/>
        <w:textAlignment w:val="baseline"/>
        <w:rPr>
          <w:rFonts w:cs="Arial"/>
          <w:szCs w:val="20"/>
        </w:rPr>
      </w:pPr>
    </w:p>
    <w:p w:rsidR="009C13A9" w:rsidRPr="00C903F8" w:rsidRDefault="009C13A9" w:rsidP="00AA5614">
      <w:pPr>
        <w:tabs>
          <w:tab w:val="left" w:leader="dot" w:pos="2835"/>
          <w:tab w:val="left" w:leader="dot" w:pos="5103"/>
        </w:tabs>
        <w:overflowPunct w:val="0"/>
        <w:adjustRightInd w:val="0"/>
        <w:ind w:left="0" w:firstLine="0"/>
        <w:jc w:val="left"/>
        <w:textAlignment w:val="baseline"/>
        <w:rPr>
          <w:rFonts w:cs="Arial"/>
          <w:szCs w:val="20"/>
          <w:lang w:val="en-US"/>
        </w:rPr>
      </w:pPr>
      <w:r w:rsidRPr="00C903F8">
        <w:rPr>
          <w:rFonts w:cs="Arial"/>
          <w:szCs w:val="20"/>
          <w:lang w:val="en-US"/>
        </w:rPr>
        <w:br w:type="page"/>
      </w:r>
      <w:r w:rsidR="00AA5614" w:rsidRPr="00AA5614">
        <w:rPr>
          <w:rFonts w:cs="Arial"/>
          <w:szCs w:val="20"/>
          <w:lang w:val="en-US"/>
        </w:rPr>
        <w:lastRenderedPageBreak/>
        <w:t xml:space="preserve">Inland navigation vessel certificate </w:t>
      </w:r>
      <w:r w:rsidR="00AA5614">
        <w:rPr>
          <w:rFonts w:cs="Arial"/>
          <w:szCs w:val="20"/>
          <w:lang w:val="en-GB"/>
        </w:rPr>
        <w:t xml:space="preserve">No </w:t>
      </w:r>
      <w:r w:rsidR="00AA5614" w:rsidRPr="00AA5614">
        <w:rPr>
          <w:rFonts w:cs="Arial"/>
          <w:szCs w:val="20"/>
          <w:lang w:val="en-GB"/>
        </w:rPr>
        <w:tab/>
        <w:t xml:space="preserve"> of the Inspection body</w:t>
      </w:r>
    </w:p>
    <w:tbl>
      <w:tblPr>
        <w:tblW w:w="9186" w:type="dxa"/>
        <w:jc w:val="center"/>
        <w:tblLayout w:type="fixed"/>
        <w:tblCellMar>
          <w:left w:w="0" w:type="dxa"/>
          <w:right w:w="0" w:type="dxa"/>
        </w:tblCellMar>
        <w:tblLook w:val="0000" w:firstRow="0" w:lastRow="0" w:firstColumn="0" w:lastColumn="0" w:noHBand="0" w:noVBand="0"/>
      </w:tblPr>
      <w:tblGrid>
        <w:gridCol w:w="284"/>
        <w:gridCol w:w="4451"/>
        <w:gridCol w:w="4445"/>
        <w:gridCol w:w="6"/>
      </w:tblGrid>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20"/>
              <w:ind w:left="0" w:firstLine="0"/>
              <w:jc w:val="left"/>
              <w:textAlignment w:val="baseline"/>
              <w:rPr>
                <w:rFonts w:cs="Arial"/>
                <w:sz w:val="18"/>
                <w:szCs w:val="20"/>
              </w:rPr>
            </w:pPr>
            <w:r w:rsidRPr="007E2E18">
              <w:rPr>
                <w:rFonts w:cs="Arial"/>
                <w:sz w:val="18"/>
                <w:szCs w:val="16"/>
              </w:rPr>
              <w:t>42.</w:t>
            </w:r>
          </w:p>
        </w:tc>
        <w:tc>
          <w:tcPr>
            <w:tcW w:w="4451" w:type="dxa"/>
            <w:tcBorders>
              <w:top w:val="single" w:sz="6" w:space="0" w:color="auto"/>
              <w:bottom w:val="single" w:sz="6" w:space="0" w:color="auto"/>
            </w:tcBorders>
          </w:tcPr>
          <w:p w:rsidR="009C13A9" w:rsidRPr="00C903F8" w:rsidRDefault="009C13A9" w:rsidP="009C13A9">
            <w:pPr>
              <w:overflowPunct w:val="0"/>
              <w:adjustRightInd w:val="0"/>
              <w:spacing w:before="20" w:after="20"/>
              <w:ind w:left="57" w:firstLine="0"/>
              <w:jc w:val="left"/>
              <w:textAlignment w:val="baseline"/>
              <w:rPr>
                <w:rFonts w:cs="Arial"/>
                <w:sz w:val="18"/>
                <w:szCs w:val="20"/>
                <w:lang w:val="en-US"/>
              </w:rPr>
            </w:pPr>
            <w:r w:rsidRPr="00C903F8">
              <w:rPr>
                <w:rFonts w:cs="Arial"/>
                <w:noProof/>
                <w:sz w:val="18"/>
                <w:szCs w:val="20"/>
                <w:lang w:val="en-US"/>
              </w:rPr>
              <w:t>Other equipment</w:t>
            </w:r>
          </w:p>
          <w:p w:rsidR="009C13A9" w:rsidRPr="00C903F8" w:rsidRDefault="009C13A9" w:rsidP="009C13A9">
            <w:pPr>
              <w:overflowPunct w:val="0"/>
              <w:adjustRightInd w:val="0"/>
              <w:spacing w:before="20" w:after="20"/>
              <w:ind w:left="57" w:firstLine="0"/>
              <w:jc w:val="left"/>
              <w:textAlignment w:val="baseline"/>
              <w:rPr>
                <w:rFonts w:cs="Arial"/>
                <w:sz w:val="18"/>
                <w:szCs w:val="20"/>
                <w:lang w:val="en-US"/>
              </w:rPr>
            </w:pPr>
            <w:r w:rsidRPr="00C903F8">
              <w:rPr>
                <w:rFonts w:cs="Arial"/>
                <w:noProof/>
                <w:sz w:val="18"/>
                <w:szCs w:val="20"/>
                <w:lang w:val="en-US"/>
              </w:rPr>
              <w:t>Heaving line</w:t>
            </w:r>
          </w:p>
          <w:p w:rsidR="009C13A9" w:rsidRPr="00C903F8" w:rsidRDefault="009C13A9" w:rsidP="009C13A9">
            <w:pPr>
              <w:tabs>
                <w:tab w:val="left" w:pos="1010"/>
              </w:tabs>
              <w:overflowPunct w:val="0"/>
              <w:adjustRightInd w:val="0"/>
              <w:spacing w:before="20" w:after="20"/>
              <w:ind w:left="57" w:firstLine="0"/>
              <w:jc w:val="left"/>
              <w:textAlignment w:val="baseline"/>
              <w:rPr>
                <w:rFonts w:cs="Arial"/>
                <w:sz w:val="18"/>
                <w:szCs w:val="20"/>
                <w:lang w:val="en-US"/>
              </w:rPr>
            </w:pPr>
            <w:r w:rsidRPr="00C903F8">
              <w:rPr>
                <w:rFonts w:cs="Arial"/>
                <w:noProof/>
                <w:sz w:val="18"/>
                <w:szCs w:val="20"/>
                <w:lang w:val="en-US"/>
              </w:rPr>
              <w:t>Gangway</w:t>
            </w:r>
            <w:r w:rsidRPr="00C903F8">
              <w:rPr>
                <w:rFonts w:cs="Arial"/>
                <w:noProof/>
                <w:sz w:val="18"/>
                <w:szCs w:val="20"/>
                <w:lang w:val="en-US"/>
              </w:rPr>
              <w:tab/>
              <w:t>in accordance with Article 13.02(3)(d)</w:t>
            </w:r>
            <w:r w:rsidRPr="00C903F8">
              <w:rPr>
                <w:rFonts w:cs="Arial"/>
                <w:noProof/>
                <w:position w:val="6"/>
                <w:sz w:val="18"/>
                <w:szCs w:val="20"/>
                <w:lang w:val="en-US"/>
              </w:rPr>
              <w:t>*)</w:t>
            </w:r>
            <w:r w:rsidRPr="00C903F8">
              <w:rPr>
                <w:rFonts w:cs="Arial"/>
                <w:noProof/>
                <w:sz w:val="18"/>
                <w:szCs w:val="20"/>
                <w:lang w:val="en-US"/>
              </w:rPr>
              <w:t>/</w:t>
            </w:r>
          </w:p>
          <w:p w:rsidR="009C13A9" w:rsidRPr="00C903F8" w:rsidRDefault="009C13A9" w:rsidP="009C13A9">
            <w:pPr>
              <w:tabs>
                <w:tab w:val="left" w:pos="1010"/>
              </w:tabs>
              <w:overflowPunct w:val="0"/>
              <w:adjustRightInd w:val="0"/>
              <w:spacing w:before="20" w:after="20"/>
              <w:ind w:left="57" w:firstLine="0"/>
              <w:jc w:val="left"/>
              <w:textAlignment w:val="baseline"/>
              <w:rPr>
                <w:rFonts w:cs="Arial"/>
                <w:sz w:val="18"/>
                <w:szCs w:val="20"/>
                <w:lang w:val="en-US"/>
              </w:rPr>
            </w:pPr>
            <w:r w:rsidRPr="00C903F8">
              <w:rPr>
                <w:rFonts w:cs="Arial"/>
                <w:noProof/>
                <w:sz w:val="18"/>
                <w:szCs w:val="20"/>
                <w:lang w:val="en-US"/>
              </w:rPr>
              <w:tab/>
              <w:t>in accordance with Article 19.06(12)</w:t>
            </w:r>
            <w:r w:rsidRPr="00C903F8">
              <w:rPr>
                <w:rFonts w:cs="Arial"/>
                <w:noProof/>
                <w:position w:val="6"/>
                <w:sz w:val="18"/>
                <w:szCs w:val="20"/>
                <w:lang w:val="en-US"/>
              </w:rPr>
              <w:t>*)</w:t>
            </w:r>
            <w:r w:rsidRPr="00C903F8">
              <w:rPr>
                <w:rFonts w:cs="Arial"/>
                <w:sz w:val="18"/>
                <w:szCs w:val="20"/>
                <w:lang w:val="en-US"/>
              </w:rPr>
              <w:t xml:space="preserve">, </w:t>
            </w:r>
          </w:p>
          <w:p w:rsidR="009C13A9" w:rsidRPr="00C903F8" w:rsidRDefault="009C13A9" w:rsidP="009C13A9">
            <w:pPr>
              <w:tabs>
                <w:tab w:val="left" w:pos="1010"/>
              </w:tabs>
              <w:overflowPunct w:val="0"/>
              <w:adjustRightInd w:val="0"/>
              <w:spacing w:before="20" w:after="20"/>
              <w:ind w:left="57" w:firstLine="0"/>
              <w:jc w:val="left"/>
              <w:textAlignment w:val="baseline"/>
              <w:rPr>
                <w:rFonts w:cs="Arial"/>
                <w:noProof/>
                <w:sz w:val="18"/>
                <w:szCs w:val="20"/>
                <w:lang w:val="en-US"/>
              </w:rPr>
            </w:pPr>
            <w:r w:rsidRPr="00C903F8">
              <w:rPr>
                <w:rFonts w:cs="Arial"/>
                <w:noProof/>
                <w:sz w:val="18"/>
                <w:szCs w:val="20"/>
                <w:lang w:val="en-US"/>
              </w:rPr>
              <w:tab/>
              <w:t xml:space="preserve">Length ..... m </w:t>
            </w:r>
          </w:p>
          <w:p w:rsidR="009C13A9" w:rsidRPr="00C903F8" w:rsidRDefault="009C13A9" w:rsidP="009C13A9">
            <w:pPr>
              <w:tabs>
                <w:tab w:val="left" w:pos="970"/>
              </w:tabs>
              <w:overflowPunct w:val="0"/>
              <w:adjustRightInd w:val="0"/>
              <w:spacing w:before="20" w:after="20"/>
              <w:ind w:left="57" w:firstLine="0"/>
              <w:jc w:val="left"/>
              <w:textAlignment w:val="baseline"/>
              <w:rPr>
                <w:rFonts w:cs="Arial"/>
                <w:sz w:val="18"/>
                <w:szCs w:val="20"/>
                <w:lang w:val="en-US"/>
              </w:rPr>
            </w:pPr>
            <w:r w:rsidRPr="00C903F8">
              <w:rPr>
                <w:rFonts w:cs="Arial"/>
                <w:noProof/>
                <w:sz w:val="18"/>
                <w:szCs w:val="20"/>
                <w:lang w:val="en-US"/>
              </w:rPr>
              <w:t>Gaff hook</w:t>
            </w:r>
          </w:p>
          <w:p w:rsidR="009C13A9" w:rsidRPr="00C903F8" w:rsidRDefault="009C13A9" w:rsidP="009C13A9">
            <w:pPr>
              <w:overflowPunct w:val="0"/>
              <w:adjustRightInd w:val="0"/>
              <w:spacing w:before="20" w:after="20"/>
              <w:ind w:left="57" w:firstLine="0"/>
              <w:jc w:val="left"/>
              <w:textAlignment w:val="baseline"/>
              <w:rPr>
                <w:rFonts w:cs="Arial"/>
                <w:sz w:val="18"/>
                <w:szCs w:val="20"/>
                <w:lang w:val="en-US"/>
              </w:rPr>
            </w:pPr>
            <w:r w:rsidRPr="00C903F8">
              <w:rPr>
                <w:rFonts w:cs="Arial"/>
                <w:noProof/>
                <w:sz w:val="18"/>
                <w:szCs w:val="20"/>
                <w:lang w:val="en-US"/>
              </w:rPr>
              <w:t>Number of first-aid kit.....</w:t>
            </w:r>
          </w:p>
          <w:p w:rsidR="009C13A9" w:rsidRPr="00C903F8" w:rsidRDefault="009C13A9" w:rsidP="009C13A9">
            <w:pPr>
              <w:overflowPunct w:val="0"/>
              <w:adjustRightInd w:val="0"/>
              <w:spacing w:before="20" w:after="20"/>
              <w:ind w:left="57" w:firstLine="0"/>
              <w:jc w:val="left"/>
              <w:textAlignment w:val="baseline"/>
              <w:rPr>
                <w:rFonts w:cs="Arial"/>
                <w:sz w:val="18"/>
                <w:szCs w:val="20"/>
                <w:lang w:val="en-US"/>
              </w:rPr>
            </w:pPr>
            <w:r w:rsidRPr="00C903F8">
              <w:rPr>
                <w:rFonts w:cs="Arial"/>
                <w:noProof/>
                <w:sz w:val="18"/>
                <w:szCs w:val="20"/>
                <w:lang w:val="en-US"/>
              </w:rPr>
              <w:t>Pair of binoculars</w:t>
            </w:r>
          </w:p>
          <w:p w:rsidR="009C13A9" w:rsidRPr="00C903F8" w:rsidRDefault="009C13A9" w:rsidP="009C13A9">
            <w:pPr>
              <w:overflowPunct w:val="0"/>
              <w:adjustRightInd w:val="0"/>
              <w:spacing w:before="20" w:after="20"/>
              <w:ind w:left="57" w:firstLine="0"/>
              <w:jc w:val="left"/>
              <w:textAlignment w:val="baseline"/>
              <w:rPr>
                <w:rFonts w:cs="Arial"/>
                <w:sz w:val="18"/>
                <w:szCs w:val="20"/>
                <w:lang w:val="en-US"/>
              </w:rPr>
            </w:pPr>
            <w:r w:rsidRPr="00C903F8">
              <w:rPr>
                <w:rFonts w:cs="Arial"/>
                <w:noProof/>
                <w:sz w:val="18"/>
                <w:szCs w:val="20"/>
                <w:lang w:val="en-US"/>
              </w:rPr>
              <w:t>Notice concerning rescue of persons overboard</w:t>
            </w:r>
          </w:p>
          <w:p w:rsidR="009C13A9" w:rsidRPr="00C903F8" w:rsidRDefault="009C13A9" w:rsidP="009C13A9">
            <w:pPr>
              <w:overflowPunct w:val="0"/>
              <w:adjustRightInd w:val="0"/>
              <w:spacing w:before="20" w:after="20"/>
              <w:ind w:left="57" w:firstLine="0"/>
              <w:jc w:val="left"/>
              <w:textAlignment w:val="baseline"/>
              <w:rPr>
                <w:rFonts w:cs="Arial"/>
                <w:noProof/>
                <w:sz w:val="18"/>
                <w:szCs w:val="20"/>
                <w:lang w:val="en-US"/>
              </w:rPr>
            </w:pPr>
            <w:r w:rsidRPr="00C903F8">
              <w:rPr>
                <w:rFonts w:cs="Arial"/>
                <w:noProof/>
                <w:sz w:val="18"/>
                <w:szCs w:val="20"/>
                <w:lang w:val="en-US"/>
              </w:rPr>
              <w:t xml:space="preserve">Searchlight that can be operated from the </w:t>
            </w:r>
          </w:p>
          <w:p w:rsidR="009C13A9" w:rsidRPr="00C903F8" w:rsidRDefault="009C13A9" w:rsidP="009C13A9">
            <w:pPr>
              <w:overflowPunct w:val="0"/>
              <w:adjustRightInd w:val="0"/>
              <w:spacing w:before="20" w:after="20"/>
              <w:ind w:left="57" w:firstLine="0"/>
              <w:jc w:val="left"/>
              <w:textAlignment w:val="baseline"/>
              <w:rPr>
                <w:rFonts w:cs="Arial"/>
                <w:noProof/>
                <w:sz w:val="18"/>
                <w:szCs w:val="20"/>
                <w:lang w:val="en-US"/>
              </w:rPr>
            </w:pPr>
            <w:r w:rsidRPr="00C903F8">
              <w:rPr>
                <w:rFonts w:cs="Arial"/>
                <w:noProof/>
                <w:sz w:val="18"/>
                <w:szCs w:val="20"/>
                <w:lang w:val="en-US"/>
              </w:rPr>
              <w:t>wheelhouse</w:t>
            </w:r>
          </w:p>
          <w:p w:rsidR="009C13A9" w:rsidRPr="00C903F8" w:rsidRDefault="009C13A9" w:rsidP="009C13A9">
            <w:pPr>
              <w:overflowPunct w:val="0"/>
              <w:adjustRightInd w:val="0"/>
              <w:spacing w:before="20" w:after="20"/>
              <w:ind w:left="57" w:firstLine="0"/>
              <w:jc w:val="left"/>
              <w:textAlignment w:val="baseline"/>
              <w:rPr>
                <w:rFonts w:cs="Arial"/>
                <w:sz w:val="18"/>
                <w:szCs w:val="20"/>
                <w:lang w:val="en-US"/>
              </w:rPr>
            </w:pPr>
            <w:r w:rsidRPr="00C903F8">
              <w:rPr>
                <w:rFonts w:cs="Arial"/>
                <w:noProof/>
                <w:sz w:val="18"/>
                <w:szCs w:val="20"/>
                <w:lang w:val="en-US"/>
              </w:rPr>
              <w:t>Fire-resistant receptacles.....</w:t>
            </w:r>
          </w:p>
          <w:p w:rsidR="009C13A9" w:rsidRPr="00C903F8" w:rsidRDefault="009C13A9" w:rsidP="009C13A9">
            <w:pPr>
              <w:tabs>
                <w:tab w:val="left" w:pos="57"/>
                <w:tab w:val="left" w:pos="340"/>
                <w:tab w:val="left" w:pos="3402"/>
                <w:tab w:val="left" w:pos="3969"/>
                <w:tab w:val="left" w:pos="4820"/>
                <w:tab w:val="left" w:pos="4990"/>
                <w:tab w:val="left" w:pos="5160"/>
              </w:tabs>
              <w:overflowPunct w:val="0"/>
              <w:adjustRightInd w:val="0"/>
              <w:spacing w:before="20" w:after="20"/>
              <w:ind w:left="57" w:firstLine="0"/>
              <w:jc w:val="left"/>
              <w:textAlignment w:val="baseline"/>
              <w:rPr>
                <w:rFonts w:cs="Arial"/>
                <w:sz w:val="18"/>
                <w:szCs w:val="20"/>
                <w:lang w:val="en-US"/>
              </w:rPr>
            </w:pPr>
            <w:r w:rsidRPr="00C903F8">
              <w:rPr>
                <w:rFonts w:cs="Arial"/>
                <w:noProof/>
                <w:sz w:val="18"/>
                <w:szCs w:val="20"/>
                <w:lang w:val="en-US"/>
              </w:rPr>
              <w:t>Rmbarkation stairway/ladder</w:t>
            </w:r>
            <w:r w:rsidRPr="00C903F8">
              <w:rPr>
                <w:rFonts w:cs="Arial"/>
                <w:noProof/>
                <w:position w:val="6"/>
                <w:sz w:val="14"/>
                <w:szCs w:val="14"/>
                <w:lang w:val="en-US"/>
              </w:rPr>
              <w:t>*)</w:t>
            </w:r>
          </w:p>
        </w:tc>
        <w:tc>
          <w:tcPr>
            <w:tcW w:w="4451" w:type="dxa"/>
            <w:gridSpan w:val="2"/>
            <w:tcBorders>
              <w:top w:val="single" w:sz="6" w:space="0" w:color="auto"/>
              <w:bottom w:val="single" w:sz="6" w:space="0" w:color="auto"/>
              <w:right w:val="single" w:sz="6" w:space="0" w:color="auto"/>
            </w:tcBorders>
          </w:tcPr>
          <w:p w:rsidR="009C13A9" w:rsidRPr="00C903F8" w:rsidRDefault="009C13A9" w:rsidP="009C13A9">
            <w:pPr>
              <w:tabs>
                <w:tab w:val="left" w:pos="1844"/>
              </w:tabs>
              <w:overflowPunct w:val="0"/>
              <w:adjustRightInd w:val="0"/>
              <w:spacing w:before="20" w:after="20"/>
              <w:ind w:left="1844" w:hanging="1844"/>
              <w:jc w:val="left"/>
              <w:textAlignment w:val="baseline"/>
              <w:rPr>
                <w:rFonts w:cs="Arial"/>
                <w:sz w:val="18"/>
                <w:szCs w:val="20"/>
                <w:lang w:val="en-US"/>
              </w:rPr>
            </w:pPr>
            <w:r w:rsidRPr="00C903F8">
              <w:rPr>
                <w:rFonts w:cs="Arial"/>
                <w:noProof/>
                <w:sz w:val="18"/>
                <w:szCs w:val="20"/>
                <w:lang w:val="en-US"/>
              </w:rPr>
              <w:t>Voice communication</w:t>
            </w:r>
            <w:r w:rsidRPr="00C903F8">
              <w:rPr>
                <w:rFonts w:cs="Arial"/>
                <w:sz w:val="18"/>
                <w:szCs w:val="20"/>
                <w:lang w:val="en-US"/>
              </w:rPr>
              <w:tab/>
              <w:t>alternative two-way</w:t>
            </w:r>
            <w:r w:rsidRPr="00C903F8">
              <w:rPr>
                <w:rFonts w:cs="Arial"/>
                <w:noProof/>
                <w:position w:val="6"/>
                <w:sz w:val="18"/>
                <w:szCs w:val="20"/>
                <w:lang w:val="en-US"/>
              </w:rPr>
              <w:t>*)</w:t>
            </w:r>
          </w:p>
          <w:p w:rsidR="009C13A9" w:rsidRPr="00C903F8" w:rsidRDefault="009C13A9" w:rsidP="009C13A9">
            <w:pPr>
              <w:tabs>
                <w:tab w:val="left" w:pos="1844"/>
              </w:tabs>
              <w:overflowPunct w:val="0"/>
              <w:adjustRightInd w:val="0"/>
              <w:spacing w:before="20" w:after="20"/>
              <w:ind w:left="1844" w:hanging="1844"/>
              <w:jc w:val="left"/>
              <w:textAlignment w:val="baseline"/>
              <w:rPr>
                <w:rFonts w:cs="Arial"/>
                <w:sz w:val="18"/>
                <w:szCs w:val="20"/>
                <w:lang w:val="en-US"/>
              </w:rPr>
            </w:pPr>
            <w:r w:rsidRPr="00C903F8">
              <w:rPr>
                <w:rFonts w:cs="Arial"/>
                <w:noProof/>
                <w:sz w:val="18"/>
                <w:szCs w:val="20"/>
                <w:lang w:val="en-US"/>
              </w:rPr>
              <w:t>system</w:t>
            </w:r>
            <w:r w:rsidRPr="00C903F8">
              <w:rPr>
                <w:rFonts w:cs="Arial"/>
                <w:sz w:val="18"/>
                <w:szCs w:val="20"/>
                <w:lang w:val="en-US"/>
              </w:rPr>
              <w:tab/>
            </w:r>
            <w:r w:rsidRPr="00C903F8">
              <w:rPr>
                <w:rFonts w:cs="Arial"/>
                <w:noProof/>
                <w:sz w:val="18"/>
                <w:szCs w:val="20"/>
                <w:lang w:val="en-US"/>
              </w:rPr>
              <w:t xml:space="preserve">simultaneous two-way/telephone </w:t>
            </w:r>
            <w:r w:rsidRPr="00C903F8">
              <w:rPr>
                <w:rFonts w:cs="Arial"/>
                <w:noProof/>
                <w:position w:val="6"/>
                <w:sz w:val="18"/>
                <w:szCs w:val="20"/>
                <w:lang w:val="en-US"/>
              </w:rPr>
              <w:t>*)</w:t>
            </w:r>
          </w:p>
          <w:p w:rsidR="009C13A9" w:rsidRPr="00C903F8" w:rsidRDefault="009C13A9" w:rsidP="009C13A9">
            <w:pPr>
              <w:tabs>
                <w:tab w:val="left" w:pos="1844"/>
                <w:tab w:val="left" w:pos="1910"/>
              </w:tabs>
              <w:overflowPunct w:val="0"/>
              <w:adjustRightInd w:val="0"/>
              <w:spacing w:before="20" w:after="20"/>
              <w:ind w:left="1844" w:hanging="1844"/>
              <w:jc w:val="left"/>
              <w:textAlignment w:val="baseline"/>
              <w:rPr>
                <w:rFonts w:cs="Arial"/>
                <w:sz w:val="18"/>
                <w:szCs w:val="20"/>
                <w:lang w:val="en-US"/>
              </w:rPr>
            </w:pPr>
            <w:r w:rsidRPr="00C903F8">
              <w:rPr>
                <w:rFonts w:cs="Arial"/>
                <w:sz w:val="18"/>
                <w:szCs w:val="20"/>
                <w:lang w:val="en-US"/>
              </w:rPr>
              <w:tab/>
            </w:r>
            <w:r w:rsidRPr="00C903F8">
              <w:rPr>
                <w:rFonts w:cs="Arial"/>
                <w:noProof/>
                <w:sz w:val="18"/>
                <w:szCs w:val="20"/>
                <w:lang w:val="en-US"/>
              </w:rPr>
              <w:t xml:space="preserve">internal radio-telephone link </w:t>
            </w:r>
            <w:r w:rsidRPr="00C903F8">
              <w:rPr>
                <w:rFonts w:cs="Arial"/>
                <w:noProof/>
                <w:position w:val="6"/>
                <w:sz w:val="18"/>
                <w:szCs w:val="20"/>
                <w:lang w:val="en-US"/>
              </w:rPr>
              <w:t>*)</w:t>
            </w:r>
            <w:r w:rsidRPr="00C903F8">
              <w:rPr>
                <w:rFonts w:cs="Arial"/>
                <w:noProof/>
                <w:sz w:val="18"/>
                <w:szCs w:val="20"/>
                <w:lang w:val="en-US"/>
              </w:rPr>
              <w:t xml:space="preserve"> </w:t>
            </w:r>
          </w:p>
          <w:p w:rsidR="009C13A9" w:rsidRPr="00C903F8" w:rsidRDefault="009C13A9" w:rsidP="009C13A9">
            <w:pPr>
              <w:tabs>
                <w:tab w:val="left" w:pos="1844"/>
                <w:tab w:val="left" w:pos="1910"/>
              </w:tabs>
              <w:overflowPunct w:val="0"/>
              <w:adjustRightInd w:val="0"/>
              <w:spacing w:before="20" w:after="20"/>
              <w:ind w:left="1844" w:hanging="1844"/>
              <w:jc w:val="left"/>
              <w:textAlignment w:val="baseline"/>
              <w:rPr>
                <w:rFonts w:cs="Arial"/>
                <w:sz w:val="18"/>
                <w:szCs w:val="20"/>
                <w:lang w:val="en-US"/>
              </w:rPr>
            </w:pPr>
          </w:p>
          <w:p w:rsidR="009C13A9" w:rsidRPr="00C903F8" w:rsidRDefault="009C13A9" w:rsidP="009C13A9">
            <w:pPr>
              <w:tabs>
                <w:tab w:val="left" w:pos="1702"/>
              </w:tabs>
              <w:overflowPunct w:val="0"/>
              <w:adjustRightInd w:val="0"/>
              <w:spacing w:before="20" w:after="20"/>
              <w:ind w:left="1702" w:hanging="1702"/>
              <w:jc w:val="left"/>
              <w:textAlignment w:val="baseline"/>
              <w:rPr>
                <w:rFonts w:cs="Arial"/>
                <w:sz w:val="18"/>
                <w:szCs w:val="20"/>
                <w:lang w:val="en-US"/>
              </w:rPr>
            </w:pPr>
            <w:r w:rsidRPr="00C903F8">
              <w:rPr>
                <w:rFonts w:cs="Arial"/>
                <w:noProof/>
                <w:sz w:val="18"/>
                <w:szCs w:val="20"/>
                <w:lang w:val="en-US"/>
              </w:rPr>
              <w:t>Radio telephony</w:t>
            </w:r>
            <w:r w:rsidRPr="00C903F8">
              <w:rPr>
                <w:rFonts w:cs="Arial"/>
                <w:noProof/>
                <w:sz w:val="18"/>
                <w:szCs w:val="20"/>
                <w:lang w:val="en-US"/>
              </w:rPr>
              <w:tab/>
              <w:t>vessel-to-vessel service</w:t>
            </w:r>
          </w:p>
          <w:p w:rsidR="009C13A9" w:rsidRPr="00C903F8" w:rsidRDefault="009C13A9" w:rsidP="009C13A9">
            <w:pPr>
              <w:tabs>
                <w:tab w:val="left" w:pos="1702"/>
              </w:tabs>
              <w:overflowPunct w:val="0"/>
              <w:adjustRightInd w:val="0"/>
              <w:spacing w:before="20" w:after="20"/>
              <w:ind w:left="1702" w:hanging="1702"/>
              <w:jc w:val="left"/>
              <w:textAlignment w:val="baseline"/>
              <w:rPr>
                <w:rFonts w:cs="Arial"/>
                <w:sz w:val="18"/>
                <w:szCs w:val="20"/>
                <w:lang w:val="en-US"/>
              </w:rPr>
            </w:pPr>
            <w:r w:rsidRPr="00C903F8">
              <w:rPr>
                <w:rFonts w:cs="Arial"/>
                <w:sz w:val="18"/>
                <w:szCs w:val="20"/>
                <w:lang w:val="en-US"/>
              </w:rPr>
              <w:t>systems</w:t>
            </w:r>
            <w:r w:rsidRPr="00C903F8">
              <w:rPr>
                <w:rFonts w:cs="Arial"/>
                <w:sz w:val="18"/>
                <w:szCs w:val="20"/>
                <w:lang w:val="en-US"/>
              </w:rPr>
              <w:tab/>
            </w:r>
            <w:r w:rsidRPr="00C903F8">
              <w:rPr>
                <w:rFonts w:cs="Arial"/>
                <w:noProof/>
                <w:sz w:val="18"/>
                <w:szCs w:val="20"/>
                <w:lang w:val="en-US"/>
              </w:rPr>
              <w:t>nautical information service</w:t>
            </w:r>
          </w:p>
          <w:p w:rsidR="009C13A9" w:rsidRPr="00C903F8" w:rsidRDefault="009C13A9" w:rsidP="009C13A9">
            <w:pPr>
              <w:tabs>
                <w:tab w:val="left" w:pos="1702"/>
              </w:tabs>
              <w:overflowPunct w:val="0"/>
              <w:adjustRightInd w:val="0"/>
              <w:spacing w:before="20" w:after="20"/>
              <w:ind w:left="1702" w:hanging="1702"/>
              <w:jc w:val="left"/>
              <w:textAlignment w:val="baseline"/>
              <w:rPr>
                <w:rFonts w:cs="Arial"/>
                <w:sz w:val="18"/>
                <w:szCs w:val="20"/>
                <w:lang w:val="en-US"/>
              </w:rPr>
            </w:pPr>
            <w:r w:rsidRPr="00C903F8">
              <w:rPr>
                <w:rFonts w:cs="Arial"/>
                <w:sz w:val="18"/>
                <w:szCs w:val="20"/>
                <w:lang w:val="en-US"/>
              </w:rPr>
              <w:tab/>
            </w:r>
            <w:r w:rsidRPr="00C903F8">
              <w:rPr>
                <w:rFonts w:cs="Arial"/>
                <w:noProof/>
                <w:sz w:val="18"/>
                <w:szCs w:val="20"/>
                <w:lang w:val="en-US"/>
              </w:rPr>
              <w:t>vessel-port authority service portuaire</w:t>
            </w:r>
          </w:p>
          <w:p w:rsidR="009C13A9" w:rsidRPr="00C903F8" w:rsidRDefault="009C13A9" w:rsidP="009C13A9">
            <w:pPr>
              <w:tabs>
                <w:tab w:val="left" w:pos="1702"/>
              </w:tabs>
              <w:overflowPunct w:val="0"/>
              <w:adjustRightInd w:val="0"/>
              <w:spacing w:before="20" w:after="20"/>
              <w:ind w:left="1702" w:hanging="1702"/>
              <w:jc w:val="left"/>
              <w:textAlignment w:val="baseline"/>
              <w:rPr>
                <w:rFonts w:cs="Arial"/>
                <w:sz w:val="18"/>
                <w:szCs w:val="20"/>
                <w:lang w:val="en-US"/>
              </w:rPr>
            </w:pPr>
          </w:p>
          <w:p w:rsidR="009C13A9" w:rsidRPr="00C903F8" w:rsidRDefault="009C13A9" w:rsidP="009C13A9">
            <w:pPr>
              <w:tabs>
                <w:tab w:val="left" w:pos="1702"/>
              </w:tabs>
              <w:overflowPunct w:val="0"/>
              <w:adjustRightInd w:val="0"/>
              <w:spacing w:before="20" w:after="20"/>
              <w:ind w:left="1702" w:hanging="1702"/>
              <w:jc w:val="left"/>
              <w:textAlignment w:val="baseline"/>
              <w:rPr>
                <w:rFonts w:cs="Arial"/>
                <w:sz w:val="18"/>
                <w:szCs w:val="20"/>
                <w:lang w:val="en-US"/>
              </w:rPr>
            </w:pPr>
            <w:r w:rsidRPr="00C903F8">
              <w:rPr>
                <w:rFonts w:cs="Arial"/>
                <w:noProof/>
                <w:sz w:val="18"/>
                <w:szCs w:val="20"/>
                <w:lang w:val="en-US"/>
              </w:rPr>
              <w:t>Cranes</w:t>
            </w:r>
            <w:r w:rsidRPr="00C903F8">
              <w:rPr>
                <w:rFonts w:cs="Arial"/>
                <w:sz w:val="18"/>
                <w:szCs w:val="20"/>
                <w:lang w:val="en-US"/>
              </w:rPr>
              <w:tab/>
              <w:t xml:space="preserve">in accordance with Article </w:t>
            </w:r>
            <w:r w:rsidRPr="00C903F8">
              <w:rPr>
                <w:rFonts w:cs="Arial"/>
                <w:noProof/>
                <w:sz w:val="18"/>
                <w:szCs w:val="20"/>
                <w:lang w:val="en-US"/>
              </w:rPr>
              <w:t>14.12(9)</w:t>
            </w:r>
            <w:r w:rsidRPr="00C903F8">
              <w:rPr>
                <w:rFonts w:cs="Arial"/>
                <w:noProof/>
                <w:position w:val="6"/>
                <w:sz w:val="18"/>
                <w:szCs w:val="20"/>
                <w:lang w:val="en-US"/>
              </w:rPr>
              <w:t>*)</w:t>
            </w:r>
          </w:p>
          <w:p w:rsidR="009C13A9" w:rsidRPr="00C903F8" w:rsidRDefault="009C13A9" w:rsidP="009C13A9">
            <w:pPr>
              <w:tabs>
                <w:tab w:val="left" w:pos="1702"/>
              </w:tabs>
              <w:overflowPunct w:val="0"/>
              <w:adjustRightInd w:val="0"/>
              <w:spacing w:before="20" w:after="20"/>
              <w:ind w:left="1702" w:hanging="1702"/>
              <w:jc w:val="left"/>
              <w:textAlignment w:val="baseline"/>
              <w:rPr>
                <w:rFonts w:cs="Arial"/>
                <w:sz w:val="18"/>
                <w:szCs w:val="20"/>
                <w:lang w:val="en-US"/>
              </w:rPr>
            </w:pPr>
            <w:r w:rsidRPr="00C903F8">
              <w:rPr>
                <w:rFonts w:cs="Arial"/>
                <w:sz w:val="18"/>
                <w:szCs w:val="20"/>
                <w:lang w:val="en-US"/>
              </w:rPr>
              <w:tab/>
            </w:r>
            <w:r w:rsidRPr="00C903F8">
              <w:rPr>
                <w:rFonts w:cs="Arial"/>
                <w:noProof/>
                <w:sz w:val="18"/>
                <w:szCs w:val="20"/>
                <w:lang w:val="en-US"/>
              </w:rPr>
              <w:t>other cranes with a working load not exceeding</w:t>
            </w:r>
            <w:r w:rsidRPr="00C903F8">
              <w:rPr>
                <w:rFonts w:cs="Arial"/>
                <w:sz w:val="18"/>
                <w:szCs w:val="20"/>
                <w:lang w:val="en-US"/>
              </w:rPr>
              <w:t xml:space="preserve"> </w:t>
            </w:r>
            <w:r w:rsidRPr="00C903F8">
              <w:rPr>
                <w:rFonts w:cs="Arial"/>
                <w:noProof/>
                <w:sz w:val="18"/>
                <w:szCs w:val="20"/>
                <w:lang w:val="en-US"/>
              </w:rPr>
              <w:t>2000 kg</w:t>
            </w:r>
            <w:r w:rsidRPr="00C903F8">
              <w:rPr>
                <w:rFonts w:cs="Arial"/>
                <w:noProof/>
                <w:position w:val="6"/>
                <w:sz w:val="18"/>
                <w:szCs w:val="20"/>
                <w:lang w:val="en-US"/>
              </w:rPr>
              <w:t xml:space="preserve"> *)</w:t>
            </w:r>
          </w:p>
        </w:tc>
      </w:tr>
      <w:tr w:rsidR="009C13A9" w:rsidRPr="00296858" w:rsidTr="009C13A9">
        <w:trPr>
          <w:gridAfter w:val="1"/>
          <w:wAfter w:w="6" w:type="dxa"/>
          <w:cantSplit/>
          <w:jc w:val="center"/>
        </w:trPr>
        <w:tc>
          <w:tcPr>
            <w:tcW w:w="284" w:type="dxa"/>
            <w:tcBorders>
              <w:top w:val="single" w:sz="6" w:space="0" w:color="auto"/>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vertAlign w:val="superscript"/>
              </w:rPr>
            </w:pPr>
            <w:r w:rsidRPr="007E2E18">
              <w:rPr>
                <w:rFonts w:cs="Arial"/>
                <w:sz w:val="18"/>
                <w:szCs w:val="16"/>
              </w:rPr>
              <w:t>43.</w:t>
            </w:r>
          </w:p>
        </w:tc>
        <w:tc>
          <w:tcPr>
            <w:tcW w:w="8896" w:type="dxa"/>
            <w:gridSpan w:val="2"/>
            <w:tcBorders>
              <w:top w:val="single" w:sz="6" w:space="0" w:color="auto"/>
              <w:right w:val="single" w:sz="6" w:space="0" w:color="auto"/>
            </w:tcBorders>
          </w:tcPr>
          <w:p w:rsidR="009C13A9" w:rsidRPr="00C903F8" w:rsidRDefault="009C13A9" w:rsidP="009C13A9">
            <w:pPr>
              <w:overflowPunct w:val="0"/>
              <w:adjustRightInd w:val="0"/>
              <w:spacing w:before="120"/>
              <w:ind w:left="57" w:firstLine="0"/>
              <w:jc w:val="left"/>
              <w:textAlignment w:val="baseline"/>
              <w:rPr>
                <w:rFonts w:cs="Arial"/>
                <w:sz w:val="18"/>
                <w:szCs w:val="20"/>
                <w:lang w:val="en-US"/>
              </w:rPr>
            </w:pPr>
            <w:r w:rsidRPr="00C903F8">
              <w:rPr>
                <w:rFonts w:cs="Arial"/>
                <w:noProof/>
                <w:sz w:val="18"/>
                <w:szCs w:val="20"/>
                <w:lang w:val="en-US"/>
              </w:rPr>
              <w:t>Fire-fighting appliances</w:t>
            </w:r>
          </w:p>
          <w:p w:rsidR="009C13A9" w:rsidRPr="00C903F8" w:rsidRDefault="009C13A9" w:rsidP="009C13A9">
            <w:pPr>
              <w:overflowPunct w:val="0"/>
              <w:adjustRightInd w:val="0"/>
              <w:ind w:left="57" w:firstLine="0"/>
              <w:jc w:val="left"/>
              <w:textAlignment w:val="baseline"/>
              <w:rPr>
                <w:rFonts w:cs="Arial"/>
                <w:sz w:val="18"/>
                <w:szCs w:val="20"/>
                <w:lang w:val="en-US"/>
              </w:rPr>
            </w:pPr>
            <w:r w:rsidRPr="00C903F8">
              <w:rPr>
                <w:rFonts w:cs="Arial"/>
                <w:noProof/>
                <w:sz w:val="18"/>
                <w:szCs w:val="20"/>
                <w:lang w:val="en-US"/>
              </w:rPr>
              <w:t>Number p</w:t>
            </w:r>
            <w:r w:rsidR="00C62508" w:rsidRPr="00C903F8">
              <w:rPr>
                <w:rFonts w:cs="Arial"/>
                <w:noProof/>
                <w:sz w:val="18"/>
                <w:szCs w:val="20"/>
                <w:lang w:val="en-US"/>
              </w:rPr>
              <w:t xml:space="preserve">ortable fire extinguishers..…, </w:t>
            </w:r>
            <w:r w:rsidRPr="00C903F8">
              <w:rPr>
                <w:noProof/>
                <w:sz w:val="18"/>
                <w:lang w:val="en-US"/>
              </w:rPr>
              <w:t>fire pumps</w:t>
            </w:r>
            <w:r w:rsidR="00C62508" w:rsidRPr="00C903F8">
              <w:rPr>
                <w:rFonts w:cs="Arial"/>
                <w:noProof/>
                <w:sz w:val="18"/>
                <w:szCs w:val="20"/>
                <w:lang w:val="en-US"/>
              </w:rPr>
              <w:t xml:space="preserve">.…., hydrants </w:t>
            </w:r>
            <w:r w:rsidRPr="00C903F8">
              <w:rPr>
                <w:rFonts w:cs="Arial"/>
                <w:noProof/>
                <w:sz w:val="18"/>
                <w:szCs w:val="20"/>
                <w:lang w:val="en-US"/>
              </w:rPr>
              <w:t>..…,</w:t>
            </w:r>
          </w:p>
          <w:p w:rsidR="009C13A9" w:rsidRPr="00C903F8" w:rsidRDefault="009C13A9" w:rsidP="009C13A9">
            <w:pPr>
              <w:tabs>
                <w:tab w:val="left" w:pos="5690"/>
              </w:tabs>
              <w:overflowPunct w:val="0"/>
              <w:adjustRightInd w:val="0"/>
              <w:ind w:left="57" w:firstLine="0"/>
              <w:jc w:val="left"/>
              <w:textAlignment w:val="baseline"/>
              <w:rPr>
                <w:rFonts w:cs="Arial"/>
                <w:noProof/>
                <w:sz w:val="18"/>
                <w:szCs w:val="20"/>
                <w:lang w:val="en-US"/>
              </w:rPr>
            </w:pPr>
            <w:r w:rsidRPr="00C903F8">
              <w:rPr>
                <w:rFonts w:cs="Arial"/>
                <w:noProof/>
                <w:sz w:val="18"/>
                <w:szCs w:val="20"/>
                <w:lang w:val="en-US"/>
              </w:rPr>
              <w:t>Permanently installed fire-fighting systems in accommodation etc.</w:t>
            </w:r>
            <w:r w:rsidR="00C62508" w:rsidRPr="00C903F8">
              <w:rPr>
                <w:rFonts w:cs="Arial"/>
                <w:noProof/>
                <w:sz w:val="18"/>
                <w:szCs w:val="20"/>
                <w:lang w:val="en-US"/>
              </w:rPr>
              <w:t xml:space="preserve"> </w:t>
            </w:r>
            <w:r w:rsidRPr="00C903F8">
              <w:rPr>
                <w:rFonts w:cs="Arial"/>
                <w:noProof/>
                <w:sz w:val="18"/>
                <w:szCs w:val="20"/>
                <w:lang w:val="en-US"/>
              </w:rPr>
              <w:tab/>
              <w:t>No / Number .....*)</w:t>
            </w:r>
          </w:p>
          <w:p w:rsidR="009C13A9" w:rsidRPr="00C903F8" w:rsidRDefault="009C13A9" w:rsidP="009C13A9">
            <w:pPr>
              <w:tabs>
                <w:tab w:val="left" w:pos="5690"/>
              </w:tabs>
              <w:overflowPunct w:val="0"/>
              <w:adjustRightInd w:val="0"/>
              <w:ind w:left="57" w:firstLine="0"/>
              <w:jc w:val="left"/>
              <w:textAlignment w:val="baseline"/>
              <w:rPr>
                <w:rFonts w:cs="Arial"/>
                <w:sz w:val="18"/>
                <w:szCs w:val="20"/>
                <w:lang w:val="en-US"/>
              </w:rPr>
            </w:pPr>
            <w:r w:rsidRPr="00C903F8">
              <w:rPr>
                <w:rFonts w:cs="Arial"/>
                <w:noProof/>
                <w:sz w:val="18"/>
                <w:szCs w:val="20"/>
                <w:lang w:val="en-US"/>
              </w:rPr>
              <w:t>Permanently installed fire-fightin</w:t>
            </w:r>
            <w:r w:rsidR="00C62508" w:rsidRPr="00C903F8">
              <w:rPr>
                <w:rFonts w:cs="Arial"/>
                <w:noProof/>
                <w:sz w:val="18"/>
                <w:szCs w:val="20"/>
                <w:lang w:val="en-US"/>
              </w:rPr>
              <w:t>g systems in engine rooms etc.</w:t>
            </w:r>
            <w:r w:rsidRPr="00C903F8">
              <w:rPr>
                <w:rFonts w:cs="Arial"/>
                <w:noProof/>
                <w:sz w:val="18"/>
                <w:szCs w:val="20"/>
                <w:lang w:val="en-US"/>
              </w:rPr>
              <w:tab/>
              <w:t>No / Number .....*)</w:t>
            </w:r>
          </w:p>
          <w:p w:rsidR="009C13A9" w:rsidRPr="00C903F8" w:rsidRDefault="009C13A9" w:rsidP="009C13A9">
            <w:pPr>
              <w:tabs>
                <w:tab w:val="left" w:pos="57"/>
                <w:tab w:val="left" w:pos="3289"/>
                <w:tab w:val="left" w:pos="3686"/>
                <w:tab w:val="left" w:pos="5724"/>
              </w:tabs>
              <w:overflowPunct w:val="0"/>
              <w:adjustRightInd w:val="0"/>
              <w:spacing w:after="60"/>
              <w:ind w:left="57" w:firstLine="0"/>
              <w:jc w:val="left"/>
              <w:textAlignment w:val="baseline"/>
              <w:rPr>
                <w:rFonts w:cs="Arial"/>
                <w:sz w:val="18"/>
                <w:szCs w:val="20"/>
                <w:lang w:val="en-US"/>
              </w:rPr>
            </w:pPr>
            <w:r w:rsidRPr="00C903F8">
              <w:rPr>
                <w:rFonts w:cs="Arial"/>
                <w:noProof/>
                <w:sz w:val="18"/>
                <w:szCs w:val="20"/>
                <w:lang w:val="en-US"/>
              </w:rPr>
              <w:t>The power driven bilge pump replaces a fire pump</w:t>
            </w:r>
            <w:r w:rsidRPr="00C903F8">
              <w:rPr>
                <w:rFonts w:cs="Arial"/>
                <w:noProof/>
                <w:sz w:val="18"/>
                <w:szCs w:val="20"/>
                <w:lang w:val="en-US"/>
              </w:rPr>
              <w:tab/>
              <w:t>Yes/No</w:t>
            </w:r>
            <w:r w:rsidRPr="00C903F8">
              <w:rPr>
                <w:rFonts w:cs="Arial"/>
                <w:noProof/>
                <w:sz w:val="18"/>
                <w:szCs w:val="20"/>
                <w:vertAlign w:val="superscript"/>
                <w:lang w:val="en-US"/>
              </w:rPr>
              <w:t>*)</w:t>
            </w:r>
          </w:p>
        </w:tc>
      </w:tr>
      <w:tr w:rsidR="009C13A9" w:rsidRPr="00296858" w:rsidTr="009C13A9">
        <w:trPr>
          <w:cantSplit/>
          <w:jc w:val="center"/>
        </w:trPr>
        <w:tc>
          <w:tcPr>
            <w:tcW w:w="284" w:type="dxa"/>
            <w:tcBorders>
              <w:top w:val="single" w:sz="6" w:space="0" w:color="auto"/>
              <w:left w:val="single" w:sz="6" w:space="0" w:color="auto"/>
            </w:tcBorders>
          </w:tcPr>
          <w:p w:rsidR="009C13A9" w:rsidRPr="00C903F8" w:rsidRDefault="009C13A9" w:rsidP="009C13A9">
            <w:pPr>
              <w:tabs>
                <w:tab w:val="left" w:pos="57"/>
                <w:tab w:val="left" w:pos="227"/>
              </w:tabs>
              <w:overflowPunct w:val="0"/>
              <w:adjustRightInd w:val="0"/>
              <w:spacing w:before="60"/>
              <w:ind w:left="0" w:firstLine="0"/>
              <w:jc w:val="left"/>
              <w:textAlignment w:val="baseline"/>
              <w:rPr>
                <w:rFonts w:cs="Arial"/>
                <w:sz w:val="18"/>
                <w:szCs w:val="20"/>
                <w:vertAlign w:val="superscript"/>
              </w:rPr>
            </w:pPr>
            <w:r w:rsidRPr="00C903F8">
              <w:rPr>
                <w:rFonts w:cs="Arial"/>
                <w:sz w:val="18"/>
                <w:szCs w:val="20"/>
              </w:rPr>
              <w:t>44.</w:t>
            </w:r>
          </w:p>
        </w:tc>
        <w:tc>
          <w:tcPr>
            <w:tcW w:w="8902" w:type="dxa"/>
            <w:gridSpan w:val="3"/>
            <w:tcBorders>
              <w:top w:val="single" w:sz="6" w:space="0" w:color="auto"/>
              <w:right w:val="single" w:sz="6" w:space="0" w:color="auto"/>
            </w:tcBorders>
          </w:tcPr>
          <w:p w:rsidR="009C13A9" w:rsidRPr="00C903F8" w:rsidRDefault="009C13A9" w:rsidP="009C13A9">
            <w:pPr>
              <w:overflowPunct w:val="0"/>
              <w:adjustRightInd w:val="0"/>
              <w:spacing w:before="60"/>
              <w:ind w:left="57" w:right="57" w:firstLine="0"/>
              <w:textAlignment w:val="baseline"/>
              <w:rPr>
                <w:rFonts w:cs="Arial"/>
                <w:noProof/>
                <w:sz w:val="18"/>
                <w:szCs w:val="20"/>
                <w:lang w:val="en-US"/>
              </w:rPr>
            </w:pPr>
            <w:r w:rsidRPr="00C903F8">
              <w:rPr>
                <w:rFonts w:cs="Arial"/>
                <w:noProof/>
                <w:sz w:val="18"/>
                <w:szCs w:val="20"/>
                <w:lang w:val="en-US"/>
              </w:rPr>
              <w:t>Life saving appliances</w:t>
            </w:r>
          </w:p>
          <w:p w:rsidR="009C13A9" w:rsidRPr="00C903F8" w:rsidRDefault="00C62508" w:rsidP="009C13A9">
            <w:pPr>
              <w:overflowPunct w:val="0"/>
              <w:adjustRightInd w:val="0"/>
              <w:spacing w:before="60"/>
              <w:ind w:left="57" w:right="57" w:firstLine="0"/>
              <w:textAlignment w:val="baseline"/>
              <w:rPr>
                <w:rFonts w:cs="Arial"/>
                <w:sz w:val="18"/>
                <w:szCs w:val="20"/>
                <w:lang w:val="en-US"/>
              </w:rPr>
            </w:pPr>
            <w:r w:rsidRPr="00C903F8">
              <w:rPr>
                <w:rFonts w:cs="Arial"/>
                <w:noProof/>
                <w:sz w:val="18"/>
                <w:szCs w:val="20"/>
                <w:lang w:val="en-US"/>
              </w:rPr>
              <w:t xml:space="preserve">Number of lifebuoys..…, of which with light....., </w:t>
            </w:r>
            <w:r w:rsidR="009C13A9" w:rsidRPr="00C903F8">
              <w:rPr>
                <w:rFonts w:cs="Arial"/>
                <w:noProof/>
                <w:sz w:val="18"/>
                <w:szCs w:val="20"/>
                <w:lang w:val="en-US"/>
              </w:rPr>
              <w:t>with line.....*)</w:t>
            </w:r>
          </w:p>
          <w:p w:rsidR="009C13A9" w:rsidRPr="00C903F8" w:rsidRDefault="009C13A9" w:rsidP="009C13A9">
            <w:pPr>
              <w:overflowPunct w:val="0"/>
              <w:adjustRightInd w:val="0"/>
              <w:spacing w:before="60"/>
              <w:ind w:left="57" w:right="57" w:firstLine="0"/>
              <w:textAlignment w:val="baseline"/>
              <w:rPr>
                <w:rFonts w:cs="Arial"/>
                <w:sz w:val="18"/>
                <w:szCs w:val="20"/>
                <w:lang w:val="en-US"/>
              </w:rPr>
            </w:pPr>
            <w:r w:rsidRPr="00C903F8">
              <w:rPr>
                <w:rFonts w:cs="Arial"/>
                <w:sz w:val="18"/>
                <w:szCs w:val="18"/>
                <w:lang w:val="en-US"/>
              </w:rPr>
              <w:t>One lifejacket for every person who is regularly on board /in accordance with Article 13.0</w:t>
            </w:r>
            <w:r w:rsidR="00E852A7" w:rsidRPr="00C903F8">
              <w:rPr>
                <w:rFonts w:cs="Arial"/>
                <w:sz w:val="18"/>
                <w:szCs w:val="18"/>
                <w:lang w:val="en-US"/>
              </w:rPr>
              <w:t>8</w:t>
            </w:r>
            <w:r w:rsidRPr="00C903F8">
              <w:rPr>
                <w:rFonts w:cs="Arial"/>
                <w:sz w:val="18"/>
                <w:szCs w:val="18"/>
                <w:lang w:val="en-US"/>
              </w:rPr>
              <w:t>(2)</w:t>
            </w:r>
            <w:r w:rsidRPr="00C903F8">
              <w:rPr>
                <w:rFonts w:cs="Arial"/>
                <w:position w:val="6"/>
                <w:sz w:val="16"/>
                <w:szCs w:val="16"/>
                <w:lang w:val="en-US"/>
              </w:rPr>
              <w:t>*)</w:t>
            </w:r>
          </w:p>
          <w:p w:rsidR="009C13A9" w:rsidRPr="00C903F8" w:rsidRDefault="009C13A9" w:rsidP="009C13A9">
            <w:pPr>
              <w:overflowPunct w:val="0"/>
              <w:adjustRightInd w:val="0"/>
              <w:spacing w:before="60"/>
              <w:ind w:left="57" w:right="57" w:firstLine="0"/>
              <w:textAlignment w:val="baseline"/>
              <w:rPr>
                <w:rFonts w:cs="Arial"/>
                <w:sz w:val="18"/>
                <w:szCs w:val="20"/>
                <w:lang w:val="en-US"/>
              </w:rPr>
            </w:pPr>
            <w:r w:rsidRPr="00C903F8">
              <w:rPr>
                <w:rFonts w:cs="Arial"/>
                <w:sz w:val="18"/>
                <w:szCs w:val="18"/>
                <w:lang w:val="en-US"/>
              </w:rPr>
              <w:t xml:space="preserve">A ship's boat with a set of oars, one mooring line and a baler / in </w:t>
            </w:r>
            <w:r w:rsidRPr="007E2E18">
              <w:rPr>
                <w:rFonts w:cs="Arial"/>
                <w:sz w:val="18"/>
                <w:szCs w:val="18"/>
                <w:lang w:val="en-US"/>
              </w:rPr>
              <w:t xml:space="preserve">accordance with </w:t>
            </w:r>
            <w:r w:rsidR="00E3172D" w:rsidRPr="007E2E18">
              <w:rPr>
                <w:rFonts w:cs="Arial"/>
                <w:sz w:val="18"/>
                <w:szCs w:val="18"/>
                <w:lang w:val="en-US"/>
              </w:rPr>
              <w:t>the European Standard</w:t>
            </w:r>
            <w:r w:rsidR="007E2E18" w:rsidRPr="00C903F8">
              <w:rPr>
                <w:rFonts w:cs="Arial"/>
                <w:position w:val="6"/>
                <w:sz w:val="16"/>
                <w:szCs w:val="16"/>
                <w:lang w:val="en-US"/>
              </w:rPr>
              <w:t>*)</w:t>
            </w:r>
          </w:p>
          <w:p w:rsidR="009C13A9" w:rsidRPr="00C903F8" w:rsidRDefault="009C13A9" w:rsidP="009C13A9">
            <w:pPr>
              <w:overflowPunct w:val="0"/>
              <w:adjustRightInd w:val="0"/>
              <w:spacing w:before="60"/>
              <w:ind w:left="57" w:right="57" w:firstLine="0"/>
              <w:textAlignment w:val="baseline"/>
              <w:rPr>
                <w:rFonts w:cs="Arial"/>
                <w:sz w:val="18"/>
                <w:szCs w:val="20"/>
                <w:lang w:val="en-US"/>
              </w:rPr>
            </w:pPr>
            <w:r w:rsidRPr="00C903F8">
              <w:rPr>
                <w:rFonts w:cs="Arial"/>
                <w:sz w:val="18"/>
                <w:szCs w:val="18"/>
                <w:lang w:val="en-US"/>
              </w:rPr>
              <w:t>Platform or an installation in accordance with Article 19.15(4) or (5)</w:t>
            </w:r>
            <w:r w:rsidR="007E2E18" w:rsidRPr="00C903F8">
              <w:rPr>
                <w:rFonts w:cs="Arial"/>
                <w:position w:val="6"/>
                <w:sz w:val="16"/>
                <w:szCs w:val="16"/>
                <w:lang w:val="en-US"/>
              </w:rPr>
              <w:t>*)</w:t>
            </w:r>
          </w:p>
          <w:p w:rsidR="009C13A9" w:rsidRPr="00C903F8" w:rsidRDefault="009C13A9" w:rsidP="009C13A9">
            <w:pPr>
              <w:tabs>
                <w:tab w:val="left" w:leader="dot" w:pos="8505"/>
              </w:tabs>
              <w:overflowPunct w:val="0"/>
              <w:adjustRightInd w:val="0"/>
              <w:spacing w:before="60"/>
              <w:ind w:left="57" w:right="57" w:firstLine="0"/>
              <w:textAlignment w:val="baseline"/>
              <w:rPr>
                <w:rFonts w:cs="Arial"/>
                <w:sz w:val="18"/>
                <w:szCs w:val="20"/>
                <w:lang w:val="en-US"/>
              </w:rPr>
            </w:pPr>
            <w:r w:rsidRPr="00C903F8">
              <w:rPr>
                <w:rFonts w:cs="Arial"/>
                <w:sz w:val="18"/>
                <w:szCs w:val="18"/>
                <w:lang w:val="en-US"/>
              </w:rPr>
              <w:t xml:space="preserve">Number, type and site(s) of installation of the equipment to enable persons to be transferred safely to shallow water, to the bank or to another craft in accordance with Article 19.09(3) </w:t>
            </w:r>
            <w:r w:rsidRPr="00C903F8">
              <w:rPr>
                <w:rFonts w:cs="Arial"/>
                <w:sz w:val="18"/>
                <w:szCs w:val="18"/>
                <w:lang w:val="en-US"/>
              </w:rPr>
              <w:tab/>
            </w:r>
          </w:p>
          <w:p w:rsidR="009C13A9" w:rsidRPr="00C903F8" w:rsidRDefault="009C13A9" w:rsidP="009C13A9">
            <w:pPr>
              <w:tabs>
                <w:tab w:val="left" w:leader="dot" w:pos="8505"/>
              </w:tabs>
              <w:overflowPunct w:val="0"/>
              <w:adjustRightInd w:val="0"/>
              <w:spacing w:before="60"/>
              <w:ind w:left="57" w:right="57" w:firstLine="0"/>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leader="dot" w:pos="8505"/>
              </w:tabs>
              <w:overflowPunct w:val="0"/>
              <w:adjustRightInd w:val="0"/>
              <w:spacing w:before="60"/>
              <w:ind w:left="57" w:right="57" w:firstLine="0"/>
              <w:textAlignment w:val="baseline"/>
              <w:rPr>
                <w:rFonts w:cs="Arial"/>
                <w:sz w:val="18"/>
                <w:szCs w:val="20"/>
                <w:lang w:val="en-US"/>
              </w:rPr>
            </w:pPr>
            <w:r w:rsidRPr="00C903F8">
              <w:rPr>
                <w:rFonts w:cs="Arial"/>
                <w:sz w:val="18"/>
                <w:szCs w:val="20"/>
                <w:lang w:val="en-US"/>
              </w:rPr>
              <w:tab/>
            </w:r>
          </w:p>
          <w:p w:rsidR="009C13A9" w:rsidRPr="00C903F8" w:rsidRDefault="009C13A9" w:rsidP="009C13A9">
            <w:pPr>
              <w:overflowPunct w:val="0"/>
              <w:adjustRightInd w:val="0"/>
              <w:spacing w:before="60"/>
              <w:ind w:left="57" w:right="57" w:firstLine="0"/>
              <w:textAlignment w:val="baseline"/>
              <w:rPr>
                <w:rFonts w:cs="Arial"/>
                <w:noProof/>
                <w:sz w:val="18"/>
                <w:szCs w:val="20"/>
                <w:lang w:val="en-US"/>
              </w:rPr>
            </w:pPr>
            <w:r w:rsidRPr="00C903F8">
              <w:rPr>
                <w:rFonts w:cs="Arial"/>
                <w:sz w:val="18"/>
                <w:szCs w:val="18"/>
                <w:lang w:val="en-US"/>
              </w:rPr>
              <w:t>Number of individual life-saving equipment for shipboard personnel</w:t>
            </w:r>
            <w:r w:rsidR="007E2E18">
              <w:rPr>
                <w:rFonts w:cs="Arial"/>
                <w:sz w:val="18"/>
                <w:szCs w:val="18"/>
                <w:lang w:val="en-US"/>
              </w:rPr>
              <w:t xml:space="preserve"> </w:t>
            </w:r>
            <w:r w:rsidRPr="00C903F8">
              <w:rPr>
                <w:rFonts w:cs="Arial"/>
                <w:sz w:val="18"/>
                <w:szCs w:val="18"/>
                <w:lang w:val="en-US"/>
              </w:rPr>
              <w:t>....., of which in accordance with Article</w:t>
            </w:r>
            <w:r w:rsidR="007E2E18">
              <w:rPr>
                <w:rFonts w:cs="Arial"/>
                <w:sz w:val="18"/>
                <w:szCs w:val="18"/>
                <w:lang w:val="en-US"/>
              </w:rPr>
              <w:t> </w:t>
            </w:r>
            <w:r w:rsidRPr="00C903F8">
              <w:rPr>
                <w:rFonts w:cs="Arial"/>
                <w:sz w:val="18"/>
                <w:szCs w:val="18"/>
                <w:lang w:val="en-US"/>
              </w:rPr>
              <w:t>13.0</w:t>
            </w:r>
            <w:r w:rsidR="00E852A7" w:rsidRPr="00C903F8">
              <w:rPr>
                <w:rFonts w:cs="Arial"/>
                <w:sz w:val="18"/>
                <w:szCs w:val="18"/>
                <w:lang w:val="en-US"/>
              </w:rPr>
              <w:t>8</w:t>
            </w:r>
            <w:r w:rsidRPr="00C903F8">
              <w:rPr>
                <w:rFonts w:cs="Arial"/>
                <w:sz w:val="18"/>
                <w:szCs w:val="18"/>
                <w:lang w:val="en-US"/>
              </w:rPr>
              <w:t>(2) .....</w:t>
            </w:r>
            <w:r w:rsidRPr="00C903F8">
              <w:rPr>
                <w:rFonts w:cs="Arial"/>
                <w:position w:val="6"/>
                <w:sz w:val="16"/>
                <w:szCs w:val="16"/>
                <w:lang w:val="en-US"/>
              </w:rPr>
              <w:t xml:space="preserve"> *)</w:t>
            </w:r>
          </w:p>
          <w:p w:rsidR="009C13A9" w:rsidRPr="00C903F8" w:rsidRDefault="009C13A9" w:rsidP="009C13A9">
            <w:pPr>
              <w:overflowPunct w:val="0"/>
              <w:adjustRightInd w:val="0"/>
              <w:spacing w:before="60"/>
              <w:ind w:left="57" w:right="57" w:firstLine="0"/>
              <w:textAlignment w:val="baseline"/>
              <w:rPr>
                <w:rFonts w:cs="Arial"/>
                <w:sz w:val="18"/>
                <w:szCs w:val="20"/>
                <w:lang w:val="en-US"/>
              </w:rPr>
            </w:pPr>
            <w:r w:rsidRPr="00C903F8">
              <w:rPr>
                <w:rFonts w:cs="Arial"/>
                <w:noProof/>
                <w:sz w:val="18"/>
                <w:szCs w:val="20"/>
                <w:lang w:val="en-US"/>
              </w:rPr>
              <w:t>Number of individual life-saving equipment for passengers.....</w:t>
            </w:r>
            <w:r w:rsidRPr="00C903F8">
              <w:rPr>
                <w:rFonts w:cs="Arial"/>
                <w:sz w:val="18"/>
                <w:szCs w:val="20"/>
                <w:lang w:val="en-US"/>
              </w:rPr>
              <w:t xml:space="preserve"> *)</w:t>
            </w:r>
          </w:p>
          <w:p w:rsidR="009C13A9" w:rsidRPr="00C903F8" w:rsidRDefault="009C13A9" w:rsidP="009C13A9">
            <w:pPr>
              <w:overflowPunct w:val="0"/>
              <w:adjustRightInd w:val="0"/>
              <w:spacing w:before="60"/>
              <w:ind w:left="57" w:right="57" w:firstLine="0"/>
              <w:textAlignment w:val="baseline"/>
              <w:rPr>
                <w:rFonts w:cs="Arial"/>
                <w:sz w:val="18"/>
                <w:szCs w:val="18"/>
                <w:lang w:val="en-US"/>
              </w:rPr>
            </w:pPr>
            <w:r w:rsidRPr="00C903F8">
              <w:rPr>
                <w:rFonts w:cs="Arial"/>
                <w:sz w:val="18"/>
                <w:szCs w:val="18"/>
                <w:lang w:val="en-US"/>
              </w:rPr>
              <w:t>Collective life-saving equipment, with respect to the number, equivalent to…..... individual life-saving equipment*)</w:t>
            </w:r>
          </w:p>
          <w:p w:rsidR="009C13A9" w:rsidRPr="00C903F8" w:rsidRDefault="009C13A9" w:rsidP="009C13A9">
            <w:pPr>
              <w:tabs>
                <w:tab w:val="left" w:leader="dot" w:pos="8505"/>
              </w:tabs>
              <w:overflowPunct w:val="0"/>
              <w:adjustRightInd w:val="0"/>
              <w:spacing w:before="60"/>
              <w:ind w:left="57" w:right="57" w:firstLine="0"/>
              <w:textAlignment w:val="baseline"/>
              <w:rPr>
                <w:lang w:val="en-US"/>
              </w:rPr>
            </w:pPr>
            <w:r w:rsidRPr="00C903F8">
              <w:rPr>
                <w:rFonts w:cs="Arial"/>
                <w:sz w:val="18"/>
                <w:szCs w:val="18"/>
                <w:lang w:val="en-US"/>
              </w:rPr>
              <w:t>Two breathing apparatus sets, two sets of equipment, number of ……….. smoke hoods*)</w:t>
            </w:r>
            <w:r w:rsidRPr="00C903F8">
              <w:rPr>
                <w:lang w:val="en-US"/>
              </w:rPr>
              <w:t xml:space="preserve"> </w:t>
            </w:r>
          </w:p>
          <w:p w:rsidR="009C13A9" w:rsidRPr="00C903F8" w:rsidRDefault="009C13A9" w:rsidP="009C13A9">
            <w:pPr>
              <w:tabs>
                <w:tab w:val="left" w:leader="dot" w:pos="8505"/>
              </w:tabs>
              <w:overflowPunct w:val="0"/>
              <w:adjustRightInd w:val="0"/>
              <w:spacing w:before="60"/>
              <w:ind w:left="57" w:right="57" w:firstLine="0"/>
              <w:textAlignment w:val="baseline"/>
              <w:rPr>
                <w:rFonts w:cs="Arial"/>
                <w:sz w:val="18"/>
                <w:szCs w:val="18"/>
                <w:lang w:val="en-US"/>
              </w:rPr>
            </w:pPr>
            <w:r w:rsidRPr="00C903F8">
              <w:rPr>
                <w:rFonts w:cs="Arial"/>
                <w:sz w:val="18"/>
                <w:szCs w:val="18"/>
                <w:lang w:val="en-US"/>
              </w:rPr>
              <w:t>Safety rota and safety plan displayed at:</w:t>
            </w:r>
            <w:r w:rsidRPr="00C903F8">
              <w:rPr>
                <w:rFonts w:cs="Arial"/>
                <w:sz w:val="18"/>
                <w:szCs w:val="20"/>
                <w:lang w:val="en-US"/>
              </w:rPr>
              <w:tab/>
            </w:r>
          </w:p>
          <w:p w:rsidR="009C13A9" w:rsidRPr="00C903F8" w:rsidRDefault="009C13A9" w:rsidP="009C13A9">
            <w:pPr>
              <w:tabs>
                <w:tab w:val="left" w:leader="dot" w:pos="8505"/>
              </w:tabs>
              <w:overflowPunct w:val="0"/>
              <w:adjustRightInd w:val="0"/>
              <w:spacing w:before="60"/>
              <w:ind w:left="57" w:right="57" w:firstLine="0"/>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leader="dot" w:pos="8505"/>
              </w:tabs>
              <w:overflowPunct w:val="0"/>
              <w:adjustRightInd w:val="0"/>
              <w:spacing w:before="60"/>
              <w:ind w:left="57" w:right="57" w:firstLine="0"/>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pos="57"/>
                <w:tab w:val="left" w:pos="5103"/>
              </w:tabs>
              <w:overflowPunct w:val="0"/>
              <w:adjustRightInd w:val="0"/>
              <w:ind w:left="0" w:firstLine="0"/>
              <w:jc w:val="left"/>
              <w:textAlignment w:val="baseline"/>
              <w:rPr>
                <w:rFonts w:cs="Arial"/>
                <w:sz w:val="18"/>
                <w:szCs w:val="20"/>
                <w:lang w:val="en-US"/>
              </w:rPr>
            </w:pPr>
          </w:p>
        </w:tc>
      </w:tr>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45.</w:t>
            </w:r>
          </w:p>
        </w:tc>
        <w:tc>
          <w:tcPr>
            <w:tcW w:w="8902" w:type="dxa"/>
            <w:gridSpan w:val="3"/>
            <w:tcBorders>
              <w:top w:val="single" w:sz="6" w:space="0" w:color="auto"/>
              <w:bottom w:val="single" w:sz="6" w:space="0" w:color="auto"/>
              <w:right w:val="single" w:sz="6" w:space="0" w:color="auto"/>
            </w:tcBorders>
          </w:tcPr>
          <w:p w:rsidR="009C13A9" w:rsidRPr="00C903F8" w:rsidRDefault="009C13A9" w:rsidP="009C13A9">
            <w:pPr>
              <w:tabs>
                <w:tab w:val="left" w:pos="57"/>
                <w:tab w:val="left" w:leader="dot" w:pos="8505"/>
              </w:tabs>
              <w:overflowPunct w:val="0"/>
              <w:adjustRightInd w:val="0"/>
              <w:spacing w:before="120"/>
              <w:ind w:left="57" w:right="57" w:firstLine="0"/>
              <w:jc w:val="left"/>
              <w:textAlignment w:val="baseline"/>
              <w:rPr>
                <w:rFonts w:cs="Arial"/>
                <w:sz w:val="18"/>
                <w:szCs w:val="20"/>
                <w:lang w:val="en-US"/>
              </w:rPr>
            </w:pPr>
            <w:r w:rsidRPr="00C903F8">
              <w:rPr>
                <w:rFonts w:cs="Arial"/>
                <w:sz w:val="18"/>
                <w:szCs w:val="20"/>
                <w:lang w:val="en-US"/>
              </w:rPr>
              <w:t>Special wheelhouse arrangements for radar navigation by one person:</w:t>
            </w:r>
          </w:p>
          <w:p w:rsidR="009C13A9" w:rsidRPr="00C903F8" w:rsidRDefault="009C13A9" w:rsidP="009C13A9">
            <w:pPr>
              <w:tabs>
                <w:tab w:val="left" w:pos="57"/>
                <w:tab w:val="left" w:leader="dot" w:pos="8505"/>
              </w:tabs>
              <w:overflowPunct w:val="0"/>
              <w:adjustRightInd w:val="0"/>
              <w:spacing w:before="120"/>
              <w:ind w:left="57" w:right="57" w:firstLine="0"/>
              <w:jc w:val="left"/>
              <w:textAlignment w:val="baseline"/>
              <w:rPr>
                <w:rFonts w:cs="Arial"/>
                <w:sz w:val="18"/>
                <w:szCs w:val="20"/>
                <w:lang w:val="en-US"/>
              </w:rPr>
            </w:pPr>
            <w:r w:rsidRPr="00C903F8">
              <w:rPr>
                <w:rFonts w:cs="Arial"/>
                <w:sz w:val="18"/>
                <w:szCs w:val="20"/>
                <w:lang w:val="en-US"/>
              </w:rPr>
              <w:t xml:space="preserve">The vessel has a wheelhouse designed for radar navigation by one person </w:t>
            </w:r>
            <w:r w:rsidRPr="00C903F8">
              <w:rPr>
                <w:rFonts w:cs="Arial"/>
                <w:position w:val="6"/>
                <w:sz w:val="16"/>
                <w:szCs w:val="20"/>
                <w:lang w:val="en-US"/>
              </w:rPr>
              <w:t>*)</w:t>
            </w:r>
            <w:r w:rsidRPr="00C903F8">
              <w:rPr>
                <w:rFonts w:cs="Arial"/>
                <w:sz w:val="18"/>
                <w:szCs w:val="20"/>
                <w:lang w:val="en-US"/>
              </w:rPr>
              <w:t>.</w:t>
            </w:r>
          </w:p>
          <w:p w:rsidR="009C13A9" w:rsidRPr="00C903F8" w:rsidRDefault="009C13A9" w:rsidP="009C13A9">
            <w:pPr>
              <w:tabs>
                <w:tab w:val="left" w:pos="57"/>
                <w:tab w:val="left" w:pos="5103"/>
              </w:tabs>
              <w:overflowPunct w:val="0"/>
              <w:adjustRightInd w:val="0"/>
              <w:ind w:left="0" w:firstLine="0"/>
              <w:jc w:val="left"/>
              <w:textAlignment w:val="baseline"/>
              <w:rPr>
                <w:rFonts w:cs="Arial"/>
                <w:sz w:val="18"/>
                <w:szCs w:val="20"/>
                <w:lang w:val="en-US"/>
              </w:rPr>
            </w:pP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w:t>
            </w:r>
            <w:r w:rsidRPr="00C903F8">
              <w:rPr>
                <w:rFonts w:cs="Arial"/>
                <w:sz w:val="18"/>
                <w:szCs w:val="20"/>
              </w:rPr>
              <w:br/>
            </w:r>
            <w:r w:rsidRPr="00C903F8">
              <w:rPr>
                <w:rFonts w:cs="Arial"/>
                <w:sz w:val="18"/>
                <w:szCs w:val="20"/>
              </w:rPr>
              <w:br/>
            </w:r>
          </w:p>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p>
          <w:p w:rsidR="009C13A9" w:rsidRPr="00C903F8" w:rsidRDefault="009C13A9" w:rsidP="009C13A9">
            <w:pPr>
              <w:tabs>
                <w:tab w:val="left" w:pos="57"/>
              </w:tabs>
              <w:overflowPunct w:val="0"/>
              <w:adjustRightInd w:val="0"/>
              <w:spacing w:before="160"/>
              <w:ind w:left="0" w:firstLine="0"/>
              <w:jc w:val="left"/>
              <w:textAlignment w:val="baseline"/>
              <w:rPr>
                <w:rFonts w:cs="Arial"/>
                <w:sz w:val="18"/>
                <w:szCs w:val="20"/>
              </w:rPr>
            </w:pPr>
            <w:r w:rsidRPr="00C903F8">
              <w:rPr>
                <w:rFonts w:cs="Arial"/>
                <w:sz w:val="18"/>
                <w:szCs w:val="20"/>
              </w:rPr>
              <w:tab/>
              <w:t>*)</w:t>
            </w:r>
          </w:p>
        </w:tc>
        <w:tc>
          <w:tcPr>
            <w:tcW w:w="8902" w:type="dxa"/>
            <w:gridSpan w:val="3"/>
            <w:tcBorders>
              <w:bottom w:val="single" w:sz="6" w:space="0" w:color="auto"/>
              <w:right w:val="single" w:sz="6" w:space="0" w:color="auto"/>
            </w:tcBorders>
          </w:tcPr>
          <w:p w:rsidR="009C13A9" w:rsidRPr="00C903F8" w:rsidRDefault="009C13A9" w:rsidP="009C13A9">
            <w:pPr>
              <w:tabs>
                <w:tab w:val="left" w:pos="57"/>
                <w:tab w:val="left" w:leader="dot" w:pos="3686"/>
              </w:tabs>
              <w:overflowPunct w:val="0"/>
              <w:adjustRightInd w:val="0"/>
              <w:spacing w:before="80" w:after="80"/>
              <w:ind w:left="57" w:right="57" w:firstLine="0"/>
              <w:jc w:val="left"/>
              <w:textAlignment w:val="baseline"/>
              <w:rPr>
                <w:rFonts w:cs="Arial"/>
                <w:sz w:val="18"/>
                <w:szCs w:val="20"/>
                <w:lang w:val="en-US"/>
              </w:rPr>
            </w:pPr>
            <w:r w:rsidRPr="00C903F8">
              <w:rPr>
                <w:noProof/>
                <w:sz w:val="18"/>
                <w:szCs w:val="20"/>
                <w:lang w:val="en-US" w:eastAsia="fr-BE"/>
              </w:rPr>
              <w:t>Amendment to item(s):</w:t>
            </w:r>
            <w:r w:rsidRPr="00C903F8">
              <w:rPr>
                <w:rFonts w:cs="Arial"/>
                <w:sz w:val="18"/>
                <w:szCs w:val="20"/>
                <w:lang w:val="en-US"/>
              </w:rPr>
              <w:t xml:space="preserve"> ....................</w:t>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noProof/>
                <w:sz w:val="18"/>
                <w:szCs w:val="20"/>
                <w:lang w:val="en-US" w:eastAsia="fr-BE"/>
              </w:rPr>
              <w:t>New text:</w:t>
            </w: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This page has been replaced.</w:t>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 xml:space="preserve">Place, date </w:t>
            </w:r>
            <w:r w:rsidRPr="00C903F8">
              <w:rPr>
                <w:rFonts w:cs="Arial"/>
                <w:sz w:val="18"/>
                <w:szCs w:val="20"/>
                <w:lang w:val="en-US"/>
              </w:rPr>
              <w:tab/>
            </w:r>
            <w:r w:rsidRPr="00C903F8">
              <w:rPr>
                <w:rFonts w:cs="Arial"/>
                <w:sz w:val="18"/>
                <w:szCs w:val="20"/>
                <w:lang w:val="en-US"/>
              </w:rPr>
              <w:tab/>
              <w:t>Inspection body</w:t>
            </w:r>
          </w:p>
          <w:p w:rsidR="009C13A9" w:rsidRPr="00C903F8" w:rsidRDefault="009C13A9" w:rsidP="009C13A9">
            <w:pPr>
              <w:tabs>
                <w:tab w:val="left" w:pos="5103"/>
                <w:tab w:val="left" w:leader="dot" w:pos="8505"/>
              </w:tabs>
              <w:overflowPunct w:val="0"/>
              <w:adjustRightInd w:val="0"/>
              <w:ind w:left="0" w:firstLine="0"/>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1701"/>
              </w:tabs>
              <w:overflowPunct w:val="0"/>
              <w:adjustRightInd w:val="0"/>
              <w:spacing w:after="80"/>
              <w:ind w:left="0" w:firstLine="0"/>
              <w:textAlignment w:val="baseline"/>
              <w:rPr>
                <w:rFonts w:cs="Arial"/>
                <w:sz w:val="18"/>
                <w:szCs w:val="20"/>
                <w:lang w:val="en-US"/>
              </w:rPr>
            </w:pPr>
            <w:r w:rsidRPr="00C903F8">
              <w:rPr>
                <w:rFonts w:cs="Arial"/>
                <w:sz w:val="18"/>
                <w:szCs w:val="20"/>
                <w:lang w:val="en-US"/>
              </w:rPr>
              <w:tab/>
            </w:r>
            <w:r w:rsidR="00313B91" w:rsidRPr="00C903F8">
              <w:rPr>
                <w:rFonts w:cs="Arial"/>
                <w:sz w:val="18"/>
                <w:szCs w:val="20"/>
                <w:lang w:val="en-US"/>
              </w:rPr>
              <w:t>Stamp</w:t>
            </w:r>
          </w:p>
          <w:p w:rsidR="009C13A9" w:rsidRPr="00C903F8" w:rsidRDefault="009C13A9" w:rsidP="009C13A9">
            <w:pPr>
              <w:tabs>
                <w:tab w:val="left" w:pos="5103"/>
                <w:tab w:val="left" w:leader="dot" w:pos="8505"/>
              </w:tabs>
              <w:overflowPunct w:val="0"/>
              <w:adjustRightInd w:val="0"/>
              <w:ind w:left="0" w:firstLine="0"/>
              <w:textAlignment w:val="baseline"/>
              <w:rPr>
                <w:rFonts w:cs="Arial"/>
                <w:szCs w:val="20"/>
                <w:lang w:val="en-US"/>
              </w:rPr>
            </w:pPr>
            <w:r w:rsidRPr="00C903F8">
              <w:rPr>
                <w:rFonts w:cs="Arial"/>
                <w:szCs w:val="20"/>
                <w:lang w:val="en-US"/>
              </w:rPr>
              <w:tab/>
            </w:r>
            <w:r w:rsidRPr="00C903F8">
              <w:rPr>
                <w:rFonts w:cs="Arial"/>
                <w:szCs w:val="20"/>
                <w:lang w:val="en-US"/>
              </w:rPr>
              <w:tab/>
            </w:r>
          </w:p>
          <w:p w:rsidR="009C13A9" w:rsidRPr="00C903F8" w:rsidRDefault="009C13A9" w:rsidP="009C13A9">
            <w:pPr>
              <w:tabs>
                <w:tab w:val="center" w:pos="6862"/>
              </w:tabs>
              <w:overflowPunct w:val="0"/>
              <w:adjustRightInd w:val="0"/>
              <w:ind w:left="0" w:firstLine="0"/>
              <w:textAlignment w:val="baseline"/>
              <w:rPr>
                <w:rFonts w:cs="Arial"/>
                <w:sz w:val="16"/>
                <w:szCs w:val="20"/>
                <w:lang w:val="en-US"/>
              </w:rPr>
            </w:pPr>
            <w:r w:rsidRPr="00C903F8">
              <w:rPr>
                <w:rFonts w:cs="Arial"/>
                <w:szCs w:val="20"/>
                <w:lang w:val="en-US"/>
              </w:rPr>
              <w:tab/>
            </w:r>
            <w:r w:rsidRPr="00C903F8">
              <w:rPr>
                <w:rFonts w:cs="Arial"/>
                <w:sz w:val="16"/>
                <w:szCs w:val="20"/>
                <w:lang w:val="en-US"/>
              </w:rPr>
              <w:t>(Signature)</w:t>
            </w:r>
          </w:p>
          <w:p w:rsidR="009C13A9" w:rsidRPr="00C903F8" w:rsidRDefault="009C13A9" w:rsidP="009C13A9">
            <w:pPr>
              <w:tabs>
                <w:tab w:val="left" w:pos="113"/>
                <w:tab w:val="left" w:pos="397"/>
                <w:tab w:val="left" w:pos="6237"/>
                <w:tab w:val="left" w:leader="dot" w:pos="9356"/>
              </w:tabs>
              <w:overflowPunct w:val="0"/>
              <w:adjustRightInd w:val="0"/>
              <w:ind w:left="0" w:firstLine="0"/>
              <w:textAlignment w:val="baseline"/>
              <w:rPr>
                <w:rFonts w:cs="Arial"/>
                <w:sz w:val="16"/>
                <w:szCs w:val="20"/>
              </w:rPr>
            </w:pPr>
            <w:r w:rsidRPr="00C903F8">
              <w:rPr>
                <w:rFonts w:cs="Arial"/>
                <w:sz w:val="18"/>
                <w:szCs w:val="20"/>
              </w:rPr>
              <w:t>_______________________</w:t>
            </w:r>
          </w:p>
          <w:p w:rsidR="009C13A9" w:rsidRPr="00C903F8" w:rsidRDefault="009C13A9" w:rsidP="009C13A9">
            <w:pPr>
              <w:tabs>
                <w:tab w:val="left" w:pos="284"/>
              </w:tabs>
              <w:overflowPunct w:val="0"/>
              <w:adjustRightInd w:val="0"/>
              <w:spacing w:after="40"/>
              <w:ind w:left="57" w:firstLine="0"/>
              <w:jc w:val="left"/>
              <w:textAlignment w:val="baseline"/>
              <w:rPr>
                <w:rFonts w:cs="Arial"/>
                <w:sz w:val="18"/>
                <w:szCs w:val="20"/>
              </w:rPr>
            </w:pPr>
            <w:r w:rsidRPr="00C903F8">
              <w:rPr>
                <w:rFonts w:cs="Arial"/>
                <w:position w:val="4"/>
                <w:sz w:val="16"/>
                <w:szCs w:val="20"/>
              </w:rPr>
              <w:t>*)</w:t>
            </w:r>
            <w:r w:rsidRPr="00C903F8">
              <w:rPr>
                <w:rFonts w:cs="Arial"/>
                <w:sz w:val="18"/>
                <w:szCs w:val="20"/>
              </w:rPr>
              <w:tab/>
            </w:r>
            <w:r w:rsidRPr="00C903F8">
              <w:rPr>
                <w:rFonts w:cs="Arial"/>
                <w:sz w:val="16"/>
                <w:szCs w:val="20"/>
              </w:rPr>
              <w:t>Delete as appropriate</w:t>
            </w:r>
          </w:p>
        </w:tc>
      </w:tr>
    </w:tbl>
    <w:p w:rsidR="009C13A9" w:rsidRPr="00C903F8" w:rsidRDefault="009C13A9" w:rsidP="00AA5614">
      <w:pPr>
        <w:tabs>
          <w:tab w:val="left" w:leader="dot" w:pos="2835"/>
          <w:tab w:val="left" w:leader="dot" w:pos="5103"/>
        </w:tabs>
        <w:overflowPunct w:val="0"/>
        <w:adjustRightInd w:val="0"/>
        <w:ind w:left="0" w:firstLine="0"/>
        <w:textAlignment w:val="baseline"/>
        <w:rPr>
          <w:rFonts w:cs="Arial"/>
          <w:szCs w:val="20"/>
          <w:lang w:val="en-US"/>
        </w:rPr>
      </w:pPr>
      <w:r w:rsidRPr="00C903F8">
        <w:rPr>
          <w:rFonts w:cs="Arial"/>
          <w:szCs w:val="20"/>
          <w:lang w:val="en-US"/>
        </w:rPr>
        <w:br w:type="page"/>
      </w:r>
      <w:r w:rsidR="00AA5614" w:rsidRPr="00AA5614">
        <w:rPr>
          <w:rFonts w:cs="Arial"/>
          <w:szCs w:val="20"/>
          <w:lang w:val="en-US"/>
        </w:rPr>
        <w:lastRenderedPageBreak/>
        <w:t xml:space="preserve">Inland navigation vessel certificate </w:t>
      </w:r>
      <w:r w:rsidR="00AA5614">
        <w:rPr>
          <w:rFonts w:cs="Arial"/>
          <w:szCs w:val="20"/>
          <w:lang w:val="en-GB"/>
        </w:rPr>
        <w:t xml:space="preserve">No </w:t>
      </w:r>
      <w:r w:rsidR="00AA5614" w:rsidRPr="00AA5614">
        <w:rPr>
          <w:rFonts w:cs="Arial"/>
          <w:szCs w:val="20"/>
          <w:lang w:val="en-GB"/>
        </w:rPr>
        <w:tab/>
        <w:t xml:space="preserve"> of the Inspection body </w:t>
      </w:r>
      <w:r w:rsidR="00AA5614" w:rsidRPr="00AA5614">
        <w:rPr>
          <w:rFonts w:cs="Arial"/>
          <w:szCs w:val="20"/>
          <w:lang w:val="en-GB"/>
        </w:rPr>
        <w:tab/>
      </w:r>
    </w:p>
    <w:tbl>
      <w:tblPr>
        <w:tblW w:w="9188" w:type="dxa"/>
        <w:jc w:val="center"/>
        <w:tblLayout w:type="fixed"/>
        <w:tblCellMar>
          <w:left w:w="0" w:type="dxa"/>
          <w:right w:w="0" w:type="dxa"/>
        </w:tblCellMar>
        <w:tblLook w:val="0000" w:firstRow="0" w:lastRow="0" w:firstColumn="0" w:lastColumn="0" w:noHBand="0" w:noVBand="0"/>
      </w:tblPr>
      <w:tblGrid>
        <w:gridCol w:w="284"/>
        <w:gridCol w:w="4253"/>
        <w:gridCol w:w="1418"/>
        <w:gridCol w:w="1418"/>
        <w:gridCol w:w="1418"/>
        <w:gridCol w:w="397"/>
      </w:tblGrid>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46.</w:t>
            </w:r>
          </w:p>
        </w:tc>
        <w:tc>
          <w:tcPr>
            <w:tcW w:w="8904" w:type="dxa"/>
            <w:gridSpan w:val="5"/>
            <w:tcBorders>
              <w:top w:val="single" w:sz="6" w:space="0" w:color="auto"/>
              <w:bottom w:val="single" w:sz="6" w:space="0" w:color="auto"/>
              <w:right w:val="single" w:sz="6" w:space="0" w:color="auto"/>
            </w:tcBorders>
          </w:tcPr>
          <w:p w:rsidR="009C13A9" w:rsidRPr="00C903F8" w:rsidRDefault="009C13A9" w:rsidP="009C13A9">
            <w:pPr>
              <w:tabs>
                <w:tab w:val="left" w:pos="5103"/>
              </w:tabs>
              <w:overflowPunct w:val="0"/>
              <w:adjustRightInd w:val="0"/>
              <w:spacing w:before="120"/>
              <w:ind w:left="57" w:firstLine="0"/>
              <w:jc w:val="left"/>
              <w:textAlignment w:val="baseline"/>
              <w:rPr>
                <w:rFonts w:cs="Arial"/>
                <w:sz w:val="18"/>
                <w:szCs w:val="20"/>
                <w:lang w:val="en-US"/>
              </w:rPr>
            </w:pPr>
            <w:r w:rsidRPr="00C903F8">
              <w:rPr>
                <w:rFonts w:cs="Arial"/>
                <w:sz w:val="18"/>
                <w:szCs w:val="20"/>
                <w:lang w:val="en-US"/>
              </w:rPr>
              <w:t>Operating modes meeting [A1</w:t>
            </w:r>
            <w:r w:rsidRPr="00C903F8">
              <w:rPr>
                <w:rFonts w:cs="Arial"/>
                <w:sz w:val="16"/>
                <w:szCs w:val="20"/>
                <w:vertAlign w:val="superscript"/>
                <w:lang w:val="en-US"/>
              </w:rPr>
              <w:t>*)</w:t>
            </w:r>
            <w:r w:rsidRPr="00C903F8">
              <w:rPr>
                <w:rFonts w:cs="Arial"/>
                <w:sz w:val="18"/>
                <w:szCs w:val="20"/>
                <w:lang w:val="en-US"/>
              </w:rPr>
              <w:t>, A2</w:t>
            </w:r>
            <w:r w:rsidRPr="00C903F8">
              <w:rPr>
                <w:rFonts w:cs="Arial"/>
                <w:sz w:val="16"/>
                <w:szCs w:val="20"/>
                <w:vertAlign w:val="superscript"/>
                <w:lang w:val="en-US"/>
              </w:rPr>
              <w:t>*)</w:t>
            </w:r>
            <w:r w:rsidRPr="00C903F8">
              <w:rPr>
                <w:rFonts w:cs="Arial"/>
                <w:sz w:val="18"/>
                <w:szCs w:val="20"/>
                <w:lang w:val="en-US"/>
              </w:rPr>
              <w:t>, B</w:t>
            </w:r>
            <w:r w:rsidRPr="00C903F8">
              <w:rPr>
                <w:rFonts w:cs="Arial"/>
                <w:sz w:val="16"/>
                <w:szCs w:val="20"/>
                <w:vertAlign w:val="superscript"/>
                <w:lang w:val="en-US"/>
              </w:rPr>
              <w:t>*)</w:t>
            </w:r>
            <w:r w:rsidRPr="00C903F8">
              <w:rPr>
                <w:rFonts w:cs="Arial"/>
                <w:sz w:val="18"/>
                <w:szCs w:val="20"/>
                <w:lang w:val="en-US"/>
              </w:rPr>
              <w:t>. / the requirements of national or international law concerning the crew]</w:t>
            </w:r>
          </w:p>
          <w:p w:rsidR="009C13A9" w:rsidRPr="00C903F8" w:rsidRDefault="009C13A9" w:rsidP="009C13A9">
            <w:pPr>
              <w:tabs>
                <w:tab w:val="left" w:pos="57"/>
                <w:tab w:val="left" w:pos="5103"/>
              </w:tabs>
              <w:overflowPunct w:val="0"/>
              <w:adjustRightInd w:val="0"/>
              <w:spacing w:after="120"/>
              <w:ind w:left="0" w:firstLine="0"/>
              <w:jc w:val="left"/>
              <w:textAlignment w:val="baseline"/>
              <w:rPr>
                <w:rFonts w:cs="Arial"/>
                <w:sz w:val="18"/>
                <w:szCs w:val="20"/>
                <w:lang w:val="en-US"/>
              </w:rPr>
            </w:pPr>
          </w:p>
        </w:tc>
      </w:tr>
      <w:tr w:rsidR="009C13A9" w:rsidRPr="00296858" w:rsidTr="009C13A9">
        <w:trPr>
          <w:cantSplit/>
          <w:jc w:val="center"/>
        </w:trPr>
        <w:tc>
          <w:tcPr>
            <w:tcW w:w="284" w:type="dxa"/>
            <w:tcBorders>
              <w:top w:val="single" w:sz="6" w:space="0" w:color="auto"/>
              <w:left w:val="single" w:sz="6" w:space="0" w:color="auto"/>
            </w:tcBorders>
          </w:tcPr>
          <w:p w:rsidR="009C13A9" w:rsidRPr="00C903F8" w:rsidRDefault="009C13A9" w:rsidP="009C13A9">
            <w:pPr>
              <w:tabs>
                <w:tab w:val="left" w:pos="57"/>
                <w:tab w:val="left" w:pos="227"/>
              </w:tabs>
              <w:overflowPunct w:val="0"/>
              <w:adjustRightInd w:val="0"/>
              <w:ind w:left="0" w:firstLine="0"/>
              <w:jc w:val="left"/>
              <w:textAlignment w:val="baseline"/>
              <w:rPr>
                <w:rFonts w:cs="Arial"/>
                <w:sz w:val="18"/>
                <w:szCs w:val="20"/>
              </w:rPr>
            </w:pPr>
            <w:r w:rsidRPr="00C903F8">
              <w:rPr>
                <w:rFonts w:cs="Arial"/>
                <w:sz w:val="18"/>
                <w:szCs w:val="20"/>
              </w:rPr>
              <w:t>47.</w:t>
            </w:r>
          </w:p>
        </w:tc>
        <w:tc>
          <w:tcPr>
            <w:tcW w:w="8904" w:type="dxa"/>
            <w:gridSpan w:val="5"/>
            <w:tcBorders>
              <w:top w:val="single" w:sz="6" w:space="0" w:color="auto"/>
              <w:right w:val="single" w:sz="6" w:space="0" w:color="auto"/>
            </w:tcBorders>
          </w:tcPr>
          <w:p w:rsidR="009C13A9" w:rsidRPr="00C903F8" w:rsidRDefault="009C13A9" w:rsidP="00C62508">
            <w:pPr>
              <w:tabs>
                <w:tab w:val="left" w:pos="5103"/>
              </w:tabs>
              <w:overflowPunct w:val="0"/>
              <w:adjustRightInd w:val="0"/>
              <w:ind w:left="57" w:firstLine="0"/>
              <w:jc w:val="left"/>
              <w:textAlignment w:val="baseline"/>
              <w:rPr>
                <w:rFonts w:cs="Arial"/>
                <w:sz w:val="18"/>
                <w:szCs w:val="20"/>
                <w:lang w:val="en-US"/>
              </w:rPr>
            </w:pPr>
            <w:r w:rsidRPr="00C903F8">
              <w:rPr>
                <w:noProof/>
                <w:sz w:val="18"/>
                <w:szCs w:val="20"/>
                <w:lang w:val="en-US" w:eastAsia="fr-BE"/>
              </w:rPr>
              <w:t xml:space="preserve">Vessel equipment in accordance with Article </w:t>
            </w:r>
            <w:r w:rsidRPr="00C903F8">
              <w:rPr>
                <w:rFonts w:cs="Arial"/>
                <w:sz w:val="18"/>
                <w:szCs w:val="18"/>
                <w:lang w:val="en-US"/>
              </w:rPr>
              <w:t>31.01.</w:t>
            </w:r>
            <w:r w:rsidRPr="00C903F8">
              <w:rPr>
                <w:rFonts w:cs="Arial"/>
                <w:sz w:val="18"/>
                <w:szCs w:val="18"/>
                <w:lang w:val="en-US"/>
              </w:rPr>
              <w:br/>
              <w:t>The vessel complies</w:t>
            </w:r>
            <w:r w:rsidRPr="00C903F8">
              <w:rPr>
                <w:rFonts w:cs="Arial"/>
                <w:position w:val="6"/>
                <w:sz w:val="16"/>
                <w:szCs w:val="16"/>
                <w:lang w:val="en-US"/>
              </w:rPr>
              <w:t xml:space="preserve"> *)</w:t>
            </w:r>
            <w:r w:rsidRPr="00C903F8">
              <w:rPr>
                <w:rFonts w:cs="Arial"/>
                <w:sz w:val="18"/>
                <w:szCs w:val="18"/>
                <w:lang w:val="en-US"/>
              </w:rPr>
              <w:t xml:space="preserve"> / does not comply </w:t>
            </w:r>
            <w:r w:rsidRPr="00C903F8">
              <w:rPr>
                <w:rFonts w:cs="Arial"/>
                <w:position w:val="6"/>
                <w:sz w:val="16"/>
                <w:szCs w:val="16"/>
                <w:lang w:val="en-US"/>
              </w:rPr>
              <w:t>*)</w:t>
            </w:r>
            <w:r w:rsidRPr="00C903F8">
              <w:rPr>
                <w:rFonts w:cs="Arial"/>
                <w:sz w:val="18"/>
                <w:szCs w:val="18"/>
                <w:lang w:val="en-US"/>
              </w:rPr>
              <w:t xml:space="preserve"> with Article 31.02 (Standard S1)</w:t>
            </w:r>
            <w:r w:rsidRPr="00C903F8">
              <w:rPr>
                <w:rFonts w:cs="Arial"/>
                <w:position w:val="6"/>
                <w:sz w:val="16"/>
                <w:szCs w:val="16"/>
                <w:lang w:val="en-US"/>
              </w:rPr>
              <w:t>*)</w:t>
            </w:r>
            <w:r w:rsidRPr="00C903F8">
              <w:rPr>
                <w:rFonts w:cs="Arial"/>
                <w:sz w:val="18"/>
                <w:szCs w:val="18"/>
                <w:lang w:val="en-US"/>
              </w:rPr>
              <w:t xml:space="preserve"> / Article 31.03 (Standard S2)</w:t>
            </w:r>
            <w:r w:rsidRPr="00C903F8">
              <w:rPr>
                <w:rFonts w:cs="Arial"/>
                <w:position w:val="6"/>
                <w:sz w:val="16"/>
                <w:szCs w:val="16"/>
                <w:lang w:val="en-US"/>
              </w:rPr>
              <w:t>*)</w:t>
            </w:r>
            <w:r w:rsidRPr="00C903F8">
              <w:rPr>
                <w:rFonts w:cs="Arial"/>
                <w:sz w:val="18"/>
                <w:szCs w:val="18"/>
                <w:lang w:val="en-US"/>
              </w:rPr>
              <w:t>.</w:t>
            </w:r>
            <w:r w:rsidRPr="00C903F8">
              <w:rPr>
                <w:rFonts w:cs="Arial"/>
                <w:sz w:val="18"/>
                <w:szCs w:val="18"/>
                <w:lang w:val="en-US"/>
              </w:rPr>
              <w:br/>
            </w:r>
            <w:r w:rsidRPr="00C903F8">
              <w:rPr>
                <w:sz w:val="18"/>
                <w:lang w:val="en-US"/>
              </w:rPr>
              <w:t>[In accordance with article 3.18 of the Regulations for Rhine navigation personnel / In accordance with national or international requirements], the minimum crew needs to be increased as follows</w:t>
            </w:r>
            <w:r w:rsidRPr="00C903F8">
              <w:rPr>
                <w:position w:val="6"/>
                <w:sz w:val="16"/>
                <w:lang w:val="en-US"/>
              </w:rPr>
              <w:t>*)</w:t>
            </w:r>
            <w:r w:rsidRPr="00C903F8">
              <w:rPr>
                <w:sz w:val="18"/>
                <w:lang w:val="en-US"/>
              </w:rPr>
              <w:t xml:space="preserve"> / does not need to be increased:</w:t>
            </w:r>
            <w:r w:rsidRPr="00C903F8">
              <w:rPr>
                <w:rFonts w:cs="Arial"/>
                <w:position w:val="6"/>
                <w:sz w:val="16"/>
                <w:szCs w:val="16"/>
                <w:lang w:val="en-US"/>
              </w:rPr>
              <w:t>*)</w:t>
            </w:r>
            <w:r w:rsidRPr="00C903F8">
              <w:rPr>
                <w:rFonts w:cs="Arial"/>
                <w:sz w:val="18"/>
                <w:szCs w:val="18"/>
                <w:lang w:val="en-US"/>
              </w:rPr>
              <w:t>:</w:t>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lang w:val="en-US"/>
              </w:rPr>
            </w:pPr>
          </w:p>
        </w:tc>
        <w:tc>
          <w:tcPr>
            <w:tcW w:w="4253" w:type="dxa"/>
            <w:tcBorders>
              <w:top w:val="single" w:sz="6" w:space="0" w:color="auto"/>
              <w:left w:val="single" w:sz="6" w:space="0" w:color="auto"/>
              <w:right w:val="single" w:sz="6" w:space="0" w:color="auto"/>
            </w:tcBorders>
          </w:tcPr>
          <w:p w:rsidR="009C13A9" w:rsidRPr="00C903F8" w:rsidRDefault="009C13A9" w:rsidP="009C13A9">
            <w:pPr>
              <w:tabs>
                <w:tab w:val="left" w:pos="57"/>
                <w:tab w:val="left" w:leader="dot" w:pos="8505"/>
              </w:tabs>
              <w:overflowPunct w:val="0"/>
              <w:adjustRightInd w:val="0"/>
              <w:spacing w:before="20" w:after="20"/>
              <w:ind w:left="57" w:hanging="57"/>
              <w:jc w:val="left"/>
              <w:textAlignment w:val="baseline"/>
              <w:rPr>
                <w:rFonts w:cs="Arial"/>
                <w:sz w:val="18"/>
                <w:szCs w:val="20"/>
                <w:lang w:val="en-US"/>
              </w:rPr>
            </w:pPr>
          </w:p>
        </w:tc>
        <w:tc>
          <w:tcPr>
            <w:tcW w:w="4254" w:type="dxa"/>
            <w:gridSpan w:val="3"/>
            <w:tcBorders>
              <w:top w:val="single" w:sz="6" w:space="0" w:color="auto"/>
              <w:left w:val="single" w:sz="6" w:space="0" w:color="auto"/>
              <w:right w:val="single" w:sz="6" w:space="0" w:color="auto"/>
            </w:tcBorders>
          </w:tcPr>
          <w:p w:rsidR="009C13A9" w:rsidRPr="00C903F8" w:rsidRDefault="009C13A9" w:rsidP="009C13A9">
            <w:pPr>
              <w:tabs>
                <w:tab w:val="center" w:pos="2042"/>
              </w:tabs>
              <w:overflowPunct w:val="0"/>
              <w:adjustRightInd w:val="0"/>
              <w:spacing w:before="20" w:after="20"/>
              <w:ind w:left="0" w:firstLine="0"/>
              <w:jc w:val="center"/>
              <w:textAlignment w:val="baseline"/>
              <w:rPr>
                <w:rFonts w:cs="Arial"/>
                <w:sz w:val="18"/>
                <w:szCs w:val="20"/>
              </w:rPr>
            </w:pPr>
            <w:r w:rsidRPr="00C903F8">
              <w:rPr>
                <w:rFonts w:cs="Arial"/>
                <w:sz w:val="18"/>
                <w:szCs w:val="20"/>
              </w:rPr>
              <w:t>Operating modes</w:t>
            </w:r>
            <w:r w:rsidRPr="00C903F8">
              <w:rPr>
                <w:rFonts w:cs="Arial"/>
                <w:sz w:val="18"/>
                <w:szCs w:val="18"/>
                <w:vertAlign w:val="superscript"/>
              </w:rPr>
              <w:footnoteReference w:id="49"/>
            </w:r>
          </w:p>
        </w:tc>
        <w:tc>
          <w:tcPr>
            <w:tcW w:w="397" w:type="dxa"/>
            <w:tcBorders>
              <w:right w:val="single" w:sz="6" w:space="0" w:color="auto"/>
            </w:tcBorders>
          </w:tcPr>
          <w:p w:rsidR="009C13A9" w:rsidRPr="00C903F8" w:rsidRDefault="009C13A9" w:rsidP="009C13A9">
            <w:pPr>
              <w:tabs>
                <w:tab w:val="left" w:pos="57"/>
                <w:tab w:val="left" w:leader="dot" w:pos="8505"/>
              </w:tabs>
              <w:overflowPunct w:val="0"/>
              <w:adjustRightInd w:val="0"/>
              <w:spacing w:before="20" w:after="20"/>
              <w:ind w:left="57" w:hanging="57"/>
              <w:jc w:val="left"/>
              <w:textAlignment w:val="baseline"/>
              <w:rPr>
                <w:rFonts w:cs="Arial"/>
                <w:sz w:val="18"/>
                <w:szCs w:val="20"/>
              </w:rPr>
            </w:pPr>
            <w:r w:rsidRPr="00C903F8">
              <w:rPr>
                <w:rFonts w:cs="Arial"/>
                <w:sz w:val="18"/>
                <w:szCs w:val="20"/>
              </w:rPr>
              <w:tab/>
            </w:r>
          </w:p>
          <w:p w:rsidR="009C13A9" w:rsidRPr="00C903F8" w:rsidRDefault="009C13A9" w:rsidP="009C13A9">
            <w:pPr>
              <w:tabs>
                <w:tab w:val="left" w:pos="57"/>
                <w:tab w:val="left" w:pos="5103"/>
              </w:tabs>
              <w:overflowPunct w:val="0"/>
              <w:adjustRightInd w:val="0"/>
              <w:spacing w:before="20" w:after="2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p>
        </w:tc>
        <w:tc>
          <w:tcPr>
            <w:tcW w:w="4253" w:type="dxa"/>
            <w:tcBorders>
              <w:top w:val="single" w:sz="6" w:space="0" w:color="auto"/>
              <w:left w:val="single" w:sz="6" w:space="0" w:color="auto"/>
              <w:right w:val="single" w:sz="6" w:space="0" w:color="auto"/>
            </w:tcBorders>
          </w:tcPr>
          <w:p w:rsidR="009C13A9" w:rsidRPr="00C903F8" w:rsidRDefault="009C13A9" w:rsidP="009C13A9">
            <w:pPr>
              <w:tabs>
                <w:tab w:val="left" w:pos="57"/>
                <w:tab w:val="left" w:leader="dot" w:pos="3969"/>
                <w:tab w:val="left" w:leader="dot" w:pos="8505"/>
              </w:tabs>
              <w:overflowPunct w:val="0"/>
              <w:adjustRightInd w:val="0"/>
              <w:spacing w:before="20" w:after="20"/>
              <w:ind w:left="57" w:hanging="57"/>
              <w:jc w:val="left"/>
              <w:textAlignment w:val="baseline"/>
              <w:rPr>
                <w:rFonts w:cs="Arial"/>
                <w:sz w:val="18"/>
                <w:szCs w:val="20"/>
              </w:rPr>
            </w:pPr>
          </w:p>
        </w:tc>
        <w:tc>
          <w:tcPr>
            <w:tcW w:w="1418" w:type="dxa"/>
            <w:tcBorders>
              <w:top w:val="single" w:sz="6" w:space="0" w:color="auto"/>
              <w:bottom w:val="single" w:sz="6" w:space="0" w:color="auto"/>
              <w:right w:val="single" w:sz="6" w:space="0" w:color="auto"/>
            </w:tcBorders>
          </w:tcPr>
          <w:p w:rsidR="009C13A9" w:rsidRPr="00C903F8" w:rsidRDefault="009C13A9" w:rsidP="009C13A9">
            <w:pPr>
              <w:tabs>
                <w:tab w:val="center" w:pos="62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141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center" w:pos="624"/>
              </w:tabs>
              <w:overflowPunct w:val="0"/>
              <w:adjustRightInd w:val="0"/>
              <w:spacing w:before="20" w:after="20"/>
              <w:ind w:left="0" w:firstLine="0"/>
              <w:jc w:val="left"/>
              <w:textAlignment w:val="baseline"/>
              <w:rPr>
                <w:rFonts w:cs="Arial"/>
                <w:sz w:val="18"/>
                <w:szCs w:val="20"/>
                <w:lang w:val="en-GB"/>
              </w:rPr>
            </w:pPr>
            <w:r w:rsidRPr="00C903F8">
              <w:rPr>
                <w:rFonts w:cs="Arial"/>
                <w:sz w:val="18"/>
                <w:szCs w:val="20"/>
              </w:rPr>
              <w:tab/>
            </w:r>
          </w:p>
        </w:tc>
        <w:tc>
          <w:tcPr>
            <w:tcW w:w="141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center" w:pos="624"/>
              </w:tabs>
              <w:overflowPunct w:val="0"/>
              <w:adjustRightInd w:val="0"/>
              <w:spacing w:before="20" w:after="20"/>
              <w:ind w:left="0" w:firstLine="0"/>
              <w:jc w:val="left"/>
              <w:textAlignment w:val="baseline"/>
              <w:rPr>
                <w:rFonts w:cs="Arial"/>
                <w:sz w:val="18"/>
                <w:szCs w:val="20"/>
                <w:lang w:val="en-GB"/>
              </w:rPr>
            </w:pPr>
            <w:r w:rsidRPr="00C903F8">
              <w:rPr>
                <w:rFonts w:cs="Arial"/>
                <w:sz w:val="18"/>
                <w:szCs w:val="20"/>
                <w:lang w:val="en-GB"/>
              </w:rPr>
              <w:tab/>
            </w: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20" w:after="20"/>
              <w:ind w:left="0" w:firstLine="0"/>
              <w:jc w:val="left"/>
              <w:textAlignment w:val="baseline"/>
              <w:rPr>
                <w:rFonts w:cs="Arial"/>
                <w:sz w:val="18"/>
                <w:szCs w:val="20"/>
                <w:lang w:val="en-GB"/>
              </w:rPr>
            </w:pPr>
            <w:r w:rsidRPr="00C903F8">
              <w:rPr>
                <w:rFonts w:cs="Arial"/>
                <w:sz w:val="18"/>
                <w:szCs w:val="20"/>
                <w:lang w:val="en-GB"/>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lang w:val="en-GB"/>
              </w:rPr>
            </w:pPr>
          </w:p>
        </w:tc>
        <w:tc>
          <w:tcPr>
            <w:tcW w:w="4253" w:type="dxa"/>
            <w:tcBorders>
              <w:left w:val="single" w:sz="6" w:space="0" w:color="auto"/>
              <w:right w:val="single" w:sz="6" w:space="0" w:color="auto"/>
            </w:tcBorders>
          </w:tcPr>
          <w:p w:rsidR="009C13A9" w:rsidRPr="00C903F8" w:rsidRDefault="009C13A9" w:rsidP="009C13A9">
            <w:pPr>
              <w:tabs>
                <w:tab w:val="left" w:leader="dot" w:pos="3969"/>
                <w:tab w:val="left" w:leader="dot" w:pos="8505"/>
              </w:tabs>
              <w:overflowPunct w:val="0"/>
              <w:adjustRightInd w:val="0"/>
              <w:spacing w:before="20" w:after="20"/>
              <w:ind w:left="57" w:firstLine="0"/>
              <w:jc w:val="left"/>
              <w:textAlignment w:val="baseline"/>
              <w:rPr>
                <w:rFonts w:cs="Arial"/>
                <w:sz w:val="18"/>
                <w:szCs w:val="20"/>
                <w:lang w:val="en-GB"/>
              </w:rPr>
            </w:pPr>
          </w:p>
        </w:tc>
        <w:tc>
          <w:tcPr>
            <w:tcW w:w="1418" w:type="dxa"/>
            <w:tcBorders>
              <w:right w:val="single" w:sz="6" w:space="0" w:color="auto"/>
            </w:tcBorders>
          </w:tcPr>
          <w:p w:rsidR="009C13A9" w:rsidRPr="00C903F8" w:rsidRDefault="009C13A9" w:rsidP="009C13A9">
            <w:pPr>
              <w:tabs>
                <w:tab w:val="left" w:leader="dot" w:pos="1134"/>
                <w:tab w:val="left" w:leader="dot" w:pos="8505"/>
              </w:tabs>
              <w:overflowPunct w:val="0"/>
              <w:adjustRightInd w:val="0"/>
              <w:spacing w:before="20" w:after="20"/>
              <w:ind w:left="0" w:firstLine="0"/>
              <w:jc w:val="left"/>
              <w:textAlignment w:val="baseline"/>
              <w:rPr>
                <w:rFonts w:cs="Arial"/>
                <w:sz w:val="18"/>
                <w:szCs w:val="20"/>
                <w:lang w:val="en-GB"/>
              </w:rPr>
            </w:pPr>
            <w:r w:rsidRPr="00C903F8">
              <w:rPr>
                <w:rFonts w:cs="Arial"/>
                <w:sz w:val="18"/>
                <w:szCs w:val="20"/>
                <w:lang w:val="en-GB"/>
              </w:rPr>
              <w:tab/>
            </w:r>
          </w:p>
        </w:tc>
        <w:tc>
          <w:tcPr>
            <w:tcW w:w="1418" w:type="dxa"/>
            <w:tcBorders>
              <w:left w:val="single" w:sz="6" w:space="0" w:color="auto"/>
              <w:right w:val="single" w:sz="6" w:space="0" w:color="auto"/>
            </w:tcBorders>
          </w:tcPr>
          <w:p w:rsidR="009C13A9" w:rsidRPr="00C903F8" w:rsidRDefault="009C13A9" w:rsidP="009C13A9">
            <w:pPr>
              <w:tabs>
                <w:tab w:val="left" w:leader="dot" w:pos="1134"/>
                <w:tab w:val="left" w:leader="dot" w:pos="8505"/>
              </w:tabs>
              <w:overflowPunct w:val="0"/>
              <w:adjustRightInd w:val="0"/>
              <w:spacing w:before="20" w:after="20"/>
              <w:ind w:left="0" w:firstLine="0"/>
              <w:jc w:val="left"/>
              <w:textAlignment w:val="baseline"/>
              <w:rPr>
                <w:rFonts w:cs="Arial"/>
                <w:sz w:val="18"/>
                <w:szCs w:val="20"/>
                <w:lang w:val="en-GB"/>
              </w:rPr>
            </w:pPr>
            <w:r w:rsidRPr="00C903F8">
              <w:rPr>
                <w:rFonts w:cs="Arial"/>
                <w:sz w:val="18"/>
                <w:szCs w:val="20"/>
                <w:lang w:val="en-GB"/>
              </w:rPr>
              <w:tab/>
            </w:r>
          </w:p>
        </w:tc>
        <w:tc>
          <w:tcPr>
            <w:tcW w:w="1418" w:type="dxa"/>
            <w:tcBorders>
              <w:left w:val="single" w:sz="6" w:space="0" w:color="auto"/>
              <w:right w:val="single" w:sz="6" w:space="0" w:color="auto"/>
            </w:tcBorders>
          </w:tcPr>
          <w:p w:rsidR="009C13A9" w:rsidRPr="00C903F8" w:rsidRDefault="009C13A9" w:rsidP="009C13A9">
            <w:pPr>
              <w:tabs>
                <w:tab w:val="left" w:leader="dot" w:pos="1134"/>
                <w:tab w:val="left" w:leader="dot" w:pos="8505"/>
              </w:tabs>
              <w:overflowPunct w:val="0"/>
              <w:adjustRightInd w:val="0"/>
              <w:spacing w:before="20" w:after="20"/>
              <w:ind w:left="0" w:firstLine="0"/>
              <w:jc w:val="left"/>
              <w:textAlignment w:val="baseline"/>
              <w:rPr>
                <w:rFonts w:cs="Arial"/>
                <w:sz w:val="18"/>
                <w:szCs w:val="20"/>
                <w:lang w:val="en-GB"/>
              </w:rPr>
            </w:pPr>
            <w:r w:rsidRPr="00C903F8">
              <w:rPr>
                <w:rFonts w:cs="Arial"/>
                <w:sz w:val="18"/>
                <w:szCs w:val="20"/>
                <w:lang w:val="en-GB"/>
              </w:rPr>
              <w:tab/>
            </w: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20" w:after="20"/>
              <w:ind w:left="0" w:firstLine="0"/>
              <w:jc w:val="left"/>
              <w:textAlignment w:val="baseline"/>
              <w:rPr>
                <w:rFonts w:cs="Arial"/>
                <w:sz w:val="18"/>
                <w:szCs w:val="20"/>
                <w:lang w:val="en-GB"/>
              </w:rPr>
            </w:pPr>
            <w:r w:rsidRPr="00C903F8">
              <w:rPr>
                <w:rFonts w:cs="Arial"/>
                <w:sz w:val="18"/>
                <w:szCs w:val="20"/>
                <w:lang w:val="en-GB"/>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lang w:val="en-GB"/>
              </w:rPr>
            </w:pPr>
          </w:p>
        </w:tc>
        <w:tc>
          <w:tcPr>
            <w:tcW w:w="4253" w:type="dxa"/>
            <w:tcBorders>
              <w:left w:val="single" w:sz="6" w:space="0" w:color="auto"/>
              <w:bottom w:val="single" w:sz="6" w:space="0" w:color="auto"/>
              <w:right w:val="single" w:sz="6" w:space="0" w:color="auto"/>
            </w:tcBorders>
          </w:tcPr>
          <w:p w:rsidR="009C13A9" w:rsidRPr="00C903F8" w:rsidRDefault="009C13A9" w:rsidP="009C13A9">
            <w:pPr>
              <w:tabs>
                <w:tab w:val="left" w:leader="dot" w:pos="3969"/>
                <w:tab w:val="left" w:leader="dot" w:pos="8505"/>
              </w:tabs>
              <w:overflowPunct w:val="0"/>
              <w:adjustRightInd w:val="0"/>
              <w:spacing w:before="20" w:after="20"/>
              <w:ind w:left="57" w:firstLine="0"/>
              <w:jc w:val="left"/>
              <w:textAlignment w:val="baseline"/>
              <w:rPr>
                <w:rFonts w:cs="Arial"/>
                <w:sz w:val="18"/>
                <w:szCs w:val="20"/>
              </w:rPr>
            </w:pPr>
          </w:p>
        </w:tc>
        <w:tc>
          <w:tcPr>
            <w:tcW w:w="1418" w:type="dxa"/>
            <w:tcBorders>
              <w:bottom w:val="single" w:sz="6" w:space="0" w:color="auto"/>
              <w:right w:val="single" w:sz="6" w:space="0" w:color="auto"/>
            </w:tcBorders>
          </w:tcPr>
          <w:p w:rsidR="009C13A9" w:rsidRPr="00C903F8" w:rsidRDefault="009C13A9" w:rsidP="009C13A9">
            <w:pPr>
              <w:tabs>
                <w:tab w:val="left" w:leader="dot" w:pos="1134"/>
                <w:tab w:val="left" w:leader="dot" w:pos="8505"/>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1418" w:type="dxa"/>
            <w:tcBorders>
              <w:left w:val="single" w:sz="6" w:space="0" w:color="auto"/>
              <w:bottom w:val="single" w:sz="6" w:space="0" w:color="auto"/>
              <w:right w:val="single" w:sz="6" w:space="0" w:color="auto"/>
            </w:tcBorders>
          </w:tcPr>
          <w:p w:rsidR="009C13A9" w:rsidRPr="00C903F8" w:rsidRDefault="009C13A9" w:rsidP="009C13A9">
            <w:pPr>
              <w:tabs>
                <w:tab w:val="left" w:leader="dot" w:pos="1134"/>
                <w:tab w:val="left" w:leader="dot" w:pos="8505"/>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1418" w:type="dxa"/>
            <w:tcBorders>
              <w:left w:val="single" w:sz="6" w:space="0" w:color="auto"/>
              <w:bottom w:val="single" w:sz="6" w:space="0" w:color="auto"/>
              <w:right w:val="single" w:sz="6" w:space="0" w:color="auto"/>
            </w:tcBorders>
          </w:tcPr>
          <w:p w:rsidR="009C13A9" w:rsidRPr="00C903F8" w:rsidRDefault="009C13A9" w:rsidP="009C13A9">
            <w:pPr>
              <w:tabs>
                <w:tab w:val="left" w:leader="dot" w:pos="1134"/>
                <w:tab w:val="left" w:leader="dot" w:pos="8505"/>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p>
        </w:tc>
        <w:tc>
          <w:tcPr>
            <w:tcW w:w="8904" w:type="dxa"/>
            <w:gridSpan w:val="5"/>
            <w:tcBorders>
              <w:right w:val="single" w:sz="6" w:space="0" w:color="auto"/>
            </w:tcBorders>
          </w:tcPr>
          <w:p w:rsidR="009C13A9" w:rsidRPr="00C903F8" w:rsidRDefault="009C13A9" w:rsidP="009C13A9">
            <w:pPr>
              <w:tabs>
                <w:tab w:val="left" w:leader="dot" w:pos="8505"/>
              </w:tabs>
              <w:overflowPunct w:val="0"/>
              <w:adjustRightInd w:val="0"/>
              <w:spacing w:before="80"/>
              <w:ind w:left="57" w:firstLine="0"/>
              <w:jc w:val="left"/>
              <w:textAlignment w:val="baseline"/>
              <w:rPr>
                <w:noProof/>
                <w:sz w:val="18"/>
                <w:szCs w:val="20"/>
                <w:lang w:eastAsia="fr-BE"/>
              </w:rPr>
            </w:pPr>
            <w:r w:rsidRPr="00C903F8">
              <w:rPr>
                <w:noProof/>
                <w:sz w:val="18"/>
                <w:szCs w:val="20"/>
                <w:lang w:eastAsia="fr-BE"/>
              </w:rPr>
              <w:t>Observations and special conditions:</w:t>
            </w:r>
          </w:p>
          <w:p w:rsidR="009C13A9" w:rsidRPr="00C903F8" w:rsidRDefault="009C13A9" w:rsidP="009C13A9">
            <w:pPr>
              <w:tabs>
                <w:tab w:val="left" w:leader="dot" w:pos="8505"/>
              </w:tabs>
              <w:overflowPunct w:val="0"/>
              <w:adjustRightInd w:val="0"/>
              <w:spacing w:before="80"/>
              <w:ind w:left="57" w:firstLine="0"/>
              <w:jc w:val="left"/>
              <w:textAlignment w:val="baseline"/>
              <w:rPr>
                <w:rFonts w:cs="Arial"/>
                <w:sz w:val="18"/>
                <w:szCs w:val="20"/>
              </w:rPr>
            </w:pPr>
            <w:r w:rsidRPr="00C903F8">
              <w:rPr>
                <w:rFonts w:cs="Arial"/>
                <w:sz w:val="18"/>
                <w:szCs w:val="20"/>
              </w:rPr>
              <w:tab/>
            </w:r>
          </w:p>
          <w:p w:rsidR="009C13A9" w:rsidRPr="00C903F8" w:rsidRDefault="009C13A9" w:rsidP="009C13A9">
            <w:pPr>
              <w:tabs>
                <w:tab w:val="left" w:leader="dot" w:pos="8505"/>
              </w:tabs>
              <w:overflowPunct w:val="0"/>
              <w:adjustRightInd w:val="0"/>
              <w:spacing w:before="80"/>
              <w:ind w:left="57" w:firstLine="0"/>
              <w:jc w:val="left"/>
              <w:textAlignment w:val="baseline"/>
              <w:rPr>
                <w:rFonts w:cs="Arial"/>
                <w:sz w:val="18"/>
                <w:szCs w:val="20"/>
              </w:rPr>
            </w:pPr>
            <w:r w:rsidRPr="00C903F8">
              <w:rPr>
                <w:rFonts w:cs="Arial"/>
                <w:sz w:val="18"/>
                <w:szCs w:val="20"/>
              </w:rPr>
              <w:tab/>
            </w:r>
          </w:p>
          <w:p w:rsidR="009C13A9" w:rsidRPr="00C903F8" w:rsidRDefault="009C13A9" w:rsidP="009C13A9">
            <w:pPr>
              <w:tabs>
                <w:tab w:val="left" w:leader="dot" w:pos="8505"/>
              </w:tabs>
              <w:overflowPunct w:val="0"/>
              <w:adjustRightInd w:val="0"/>
              <w:spacing w:before="80"/>
              <w:ind w:left="57" w:firstLine="0"/>
              <w:jc w:val="left"/>
              <w:textAlignment w:val="baseline"/>
              <w:rPr>
                <w:rFonts w:cs="Arial"/>
                <w:sz w:val="18"/>
                <w:szCs w:val="20"/>
              </w:rPr>
            </w:pPr>
            <w:r w:rsidRPr="00C903F8">
              <w:rPr>
                <w:rFonts w:cs="Arial"/>
                <w:sz w:val="18"/>
                <w:szCs w:val="20"/>
              </w:rPr>
              <w:tab/>
            </w:r>
          </w:p>
        </w:tc>
      </w:tr>
      <w:tr w:rsidR="009C13A9" w:rsidRPr="00296858" w:rsidTr="009C13A9">
        <w:trPr>
          <w:cantSplit/>
          <w:jc w:val="center"/>
        </w:trPr>
        <w:tc>
          <w:tcPr>
            <w:tcW w:w="284" w:type="dxa"/>
            <w:tcBorders>
              <w:top w:val="single" w:sz="6" w:space="0" w:color="auto"/>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48.</w:t>
            </w:r>
          </w:p>
        </w:tc>
        <w:tc>
          <w:tcPr>
            <w:tcW w:w="8904" w:type="dxa"/>
            <w:gridSpan w:val="5"/>
            <w:tcBorders>
              <w:top w:val="single" w:sz="6" w:space="0" w:color="auto"/>
              <w:right w:val="single" w:sz="6" w:space="0" w:color="auto"/>
            </w:tcBorders>
          </w:tcPr>
          <w:p w:rsidR="009C13A9" w:rsidRPr="00C903F8" w:rsidRDefault="009C13A9" w:rsidP="009C13A9">
            <w:pPr>
              <w:tabs>
                <w:tab w:val="left" w:leader="dot" w:pos="8505"/>
              </w:tabs>
              <w:overflowPunct w:val="0"/>
              <w:adjustRightInd w:val="0"/>
              <w:spacing w:before="120"/>
              <w:ind w:left="57" w:firstLine="0"/>
              <w:jc w:val="left"/>
              <w:textAlignment w:val="baseline"/>
              <w:rPr>
                <w:rFonts w:cs="Arial"/>
                <w:sz w:val="18"/>
                <w:szCs w:val="20"/>
                <w:lang w:val="en-US"/>
              </w:rPr>
            </w:pPr>
            <w:r w:rsidRPr="00C903F8">
              <w:rPr>
                <w:sz w:val="18"/>
                <w:lang w:val="en-US"/>
              </w:rPr>
              <w:t>Minimum crew [according to article 3.19 of the Regulations for Rhine navigation personnel / in accordance with national or international requirements</w:t>
            </w:r>
            <w:r w:rsidRPr="00C903F8">
              <w:rPr>
                <w:rFonts w:cs="Arial"/>
                <w:sz w:val="18"/>
                <w:szCs w:val="18"/>
                <w:lang w:val="en-US"/>
              </w:rPr>
              <w:t>]</w:t>
            </w:r>
            <w:r w:rsidRPr="00C903F8">
              <w:rPr>
                <w:rFonts w:cs="Arial"/>
                <w:sz w:val="18"/>
                <w:szCs w:val="18"/>
                <w:vertAlign w:val="superscript"/>
              </w:rPr>
              <w:footnoteReference w:id="50"/>
            </w:r>
          </w:p>
          <w:p w:rsidR="009C13A9" w:rsidRPr="00C903F8" w:rsidRDefault="009C13A9" w:rsidP="009C13A9">
            <w:pPr>
              <w:tabs>
                <w:tab w:val="left" w:pos="57"/>
                <w:tab w:val="left" w:pos="5103"/>
              </w:tabs>
              <w:overflowPunct w:val="0"/>
              <w:adjustRightInd w:val="0"/>
              <w:ind w:left="0" w:firstLine="0"/>
              <w:jc w:val="left"/>
              <w:textAlignment w:val="baseline"/>
              <w:rPr>
                <w:rFonts w:cs="Arial"/>
                <w:sz w:val="18"/>
                <w:szCs w:val="20"/>
                <w:lang w:val="en-US"/>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lang w:val="en-US"/>
              </w:rPr>
            </w:pPr>
          </w:p>
        </w:tc>
        <w:tc>
          <w:tcPr>
            <w:tcW w:w="4253" w:type="dxa"/>
            <w:tcBorders>
              <w:top w:val="single" w:sz="6" w:space="0" w:color="auto"/>
              <w:left w:val="single" w:sz="6" w:space="0" w:color="auto"/>
              <w:right w:val="single" w:sz="6" w:space="0" w:color="auto"/>
            </w:tcBorders>
          </w:tcPr>
          <w:p w:rsidR="009C13A9" w:rsidRPr="00C903F8" w:rsidRDefault="009C13A9" w:rsidP="009C13A9">
            <w:pPr>
              <w:tabs>
                <w:tab w:val="left" w:pos="57"/>
                <w:tab w:val="left" w:leader="dot" w:pos="8505"/>
              </w:tabs>
              <w:overflowPunct w:val="0"/>
              <w:adjustRightInd w:val="0"/>
              <w:spacing w:before="20" w:after="20"/>
              <w:ind w:left="57" w:hanging="57"/>
              <w:jc w:val="left"/>
              <w:textAlignment w:val="baseline"/>
              <w:rPr>
                <w:rFonts w:cs="Arial"/>
                <w:sz w:val="18"/>
                <w:szCs w:val="20"/>
                <w:lang w:val="en-US"/>
              </w:rPr>
            </w:pPr>
          </w:p>
        </w:tc>
        <w:tc>
          <w:tcPr>
            <w:tcW w:w="4254" w:type="dxa"/>
            <w:gridSpan w:val="3"/>
            <w:tcBorders>
              <w:top w:val="single" w:sz="6" w:space="0" w:color="auto"/>
              <w:left w:val="single" w:sz="6" w:space="0" w:color="auto"/>
              <w:right w:val="single" w:sz="6" w:space="0" w:color="auto"/>
            </w:tcBorders>
          </w:tcPr>
          <w:p w:rsidR="009C13A9" w:rsidRPr="00C903F8" w:rsidRDefault="009C13A9" w:rsidP="009C13A9">
            <w:pPr>
              <w:tabs>
                <w:tab w:val="center" w:pos="2041"/>
              </w:tabs>
              <w:overflowPunct w:val="0"/>
              <w:adjustRightInd w:val="0"/>
              <w:spacing w:before="20" w:after="20"/>
              <w:ind w:left="0" w:firstLine="0"/>
              <w:jc w:val="center"/>
              <w:textAlignment w:val="baseline"/>
              <w:rPr>
                <w:rFonts w:cs="Arial"/>
                <w:sz w:val="18"/>
                <w:szCs w:val="20"/>
              </w:rPr>
            </w:pPr>
            <w:r w:rsidRPr="00C903F8">
              <w:rPr>
                <w:rFonts w:cs="Arial"/>
                <w:sz w:val="18"/>
                <w:szCs w:val="20"/>
              </w:rPr>
              <w:t>Operating modes</w:t>
            </w:r>
          </w:p>
        </w:tc>
        <w:tc>
          <w:tcPr>
            <w:tcW w:w="397" w:type="dxa"/>
            <w:tcBorders>
              <w:right w:val="single" w:sz="6" w:space="0" w:color="auto"/>
            </w:tcBorders>
          </w:tcPr>
          <w:p w:rsidR="009C13A9" w:rsidRPr="00C903F8" w:rsidRDefault="009C13A9" w:rsidP="009C13A9">
            <w:pPr>
              <w:tabs>
                <w:tab w:val="left" w:pos="57"/>
                <w:tab w:val="left" w:leader="dot" w:pos="8505"/>
              </w:tabs>
              <w:overflowPunct w:val="0"/>
              <w:adjustRightInd w:val="0"/>
              <w:spacing w:before="20" w:after="20"/>
              <w:ind w:left="57" w:hanging="57"/>
              <w:jc w:val="left"/>
              <w:textAlignment w:val="baseline"/>
              <w:rPr>
                <w:rFonts w:cs="Arial"/>
                <w:sz w:val="18"/>
                <w:szCs w:val="20"/>
              </w:rPr>
            </w:pPr>
          </w:p>
          <w:p w:rsidR="009C13A9" w:rsidRPr="00C903F8" w:rsidRDefault="009C13A9" w:rsidP="009C13A9">
            <w:pPr>
              <w:tabs>
                <w:tab w:val="left" w:pos="57"/>
                <w:tab w:val="left" w:pos="5103"/>
              </w:tabs>
              <w:overflowPunct w:val="0"/>
              <w:adjustRightInd w:val="0"/>
              <w:spacing w:before="20" w:after="2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80"/>
              <w:ind w:left="0" w:firstLine="0"/>
              <w:jc w:val="left"/>
              <w:textAlignment w:val="baseline"/>
              <w:rPr>
                <w:rFonts w:cs="Arial"/>
                <w:sz w:val="18"/>
                <w:szCs w:val="20"/>
              </w:rPr>
            </w:pPr>
          </w:p>
        </w:tc>
        <w:tc>
          <w:tcPr>
            <w:tcW w:w="4253" w:type="dxa"/>
            <w:tcBorders>
              <w:top w:val="single" w:sz="6" w:space="0" w:color="auto"/>
              <w:left w:val="single" w:sz="6" w:space="0" w:color="auto"/>
              <w:right w:val="single" w:sz="6" w:space="0" w:color="auto"/>
            </w:tcBorders>
          </w:tcPr>
          <w:p w:rsidR="009C13A9" w:rsidRPr="00C903F8" w:rsidRDefault="009C13A9" w:rsidP="009C13A9">
            <w:pPr>
              <w:tabs>
                <w:tab w:val="left" w:pos="57"/>
                <w:tab w:val="left" w:leader="dot" w:pos="3969"/>
                <w:tab w:val="left" w:leader="dot" w:pos="8505"/>
              </w:tabs>
              <w:overflowPunct w:val="0"/>
              <w:adjustRightInd w:val="0"/>
              <w:spacing w:before="20" w:after="20"/>
              <w:ind w:left="57" w:hanging="57"/>
              <w:jc w:val="left"/>
              <w:textAlignment w:val="baseline"/>
              <w:rPr>
                <w:rFonts w:cs="Arial"/>
                <w:sz w:val="18"/>
                <w:szCs w:val="20"/>
              </w:rPr>
            </w:pPr>
          </w:p>
        </w:tc>
        <w:tc>
          <w:tcPr>
            <w:tcW w:w="1418" w:type="dxa"/>
            <w:tcBorders>
              <w:top w:val="single" w:sz="6" w:space="0" w:color="auto"/>
              <w:bottom w:val="single" w:sz="6" w:space="0" w:color="auto"/>
              <w:right w:val="single" w:sz="6" w:space="0" w:color="auto"/>
            </w:tcBorders>
          </w:tcPr>
          <w:p w:rsidR="009C13A9" w:rsidRPr="00C903F8" w:rsidRDefault="009C13A9" w:rsidP="009C13A9">
            <w:pPr>
              <w:tabs>
                <w:tab w:val="center" w:pos="624"/>
              </w:tabs>
              <w:overflowPunct w:val="0"/>
              <w:adjustRightInd w:val="0"/>
              <w:spacing w:before="20" w:after="20"/>
              <w:ind w:left="0" w:firstLine="0"/>
              <w:jc w:val="left"/>
              <w:textAlignment w:val="baseline"/>
              <w:rPr>
                <w:rFonts w:cs="Arial"/>
                <w:sz w:val="18"/>
                <w:szCs w:val="20"/>
              </w:rPr>
            </w:pPr>
          </w:p>
        </w:tc>
        <w:tc>
          <w:tcPr>
            <w:tcW w:w="141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center" w:pos="624"/>
              </w:tabs>
              <w:overflowPunct w:val="0"/>
              <w:adjustRightInd w:val="0"/>
              <w:spacing w:before="20" w:after="20"/>
              <w:ind w:left="0" w:firstLine="0"/>
              <w:jc w:val="left"/>
              <w:textAlignment w:val="baseline"/>
              <w:rPr>
                <w:rFonts w:cs="Arial"/>
                <w:sz w:val="18"/>
                <w:szCs w:val="20"/>
              </w:rPr>
            </w:pPr>
          </w:p>
        </w:tc>
        <w:tc>
          <w:tcPr>
            <w:tcW w:w="141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center" w:pos="624"/>
              </w:tabs>
              <w:overflowPunct w:val="0"/>
              <w:adjustRightInd w:val="0"/>
              <w:spacing w:before="20" w:after="20"/>
              <w:ind w:left="0" w:firstLine="0"/>
              <w:jc w:val="left"/>
              <w:textAlignment w:val="baseline"/>
              <w:rPr>
                <w:rFonts w:cs="Arial"/>
                <w:sz w:val="18"/>
                <w:szCs w:val="20"/>
              </w:rPr>
            </w:pP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80"/>
              <w:ind w:left="0" w:firstLine="0"/>
              <w:jc w:val="left"/>
              <w:textAlignment w:val="baseline"/>
              <w:rPr>
                <w:rFonts w:cs="Arial"/>
                <w:sz w:val="18"/>
                <w:szCs w:val="20"/>
              </w:rPr>
            </w:pPr>
          </w:p>
        </w:tc>
        <w:tc>
          <w:tcPr>
            <w:tcW w:w="4253" w:type="dxa"/>
            <w:tcBorders>
              <w:left w:val="single" w:sz="6" w:space="0" w:color="auto"/>
              <w:right w:val="single" w:sz="6" w:space="0" w:color="auto"/>
            </w:tcBorders>
          </w:tcPr>
          <w:p w:rsidR="009C13A9" w:rsidRPr="00C903F8" w:rsidRDefault="009C13A9" w:rsidP="009C13A9">
            <w:pPr>
              <w:tabs>
                <w:tab w:val="left" w:leader="dot" w:pos="3969"/>
                <w:tab w:val="left" w:leader="dot" w:pos="8505"/>
              </w:tabs>
              <w:overflowPunct w:val="0"/>
              <w:adjustRightInd w:val="0"/>
              <w:spacing w:before="20" w:after="20"/>
              <w:ind w:left="57" w:firstLine="0"/>
              <w:jc w:val="left"/>
              <w:textAlignment w:val="baseline"/>
              <w:rPr>
                <w:rFonts w:cs="Arial"/>
                <w:sz w:val="18"/>
                <w:szCs w:val="20"/>
              </w:rPr>
            </w:pPr>
          </w:p>
        </w:tc>
        <w:tc>
          <w:tcPr>
            <w:tcW w:w="1418" w:type="dxa"/>
            <w:tcBorders>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1418" w:type="dxa"/>
            <w:tcBorders>
              <w:left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1418" w:type="dxa"/>
            <w:tcBorders>
              <w:left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80"/>
              <w:ind w:left="0" w:firstLine="0"/>
              <w:jc w:val="left"/>
              <w:textAlignment w:val="baseline"/>
              <w:rPr>
                <w:rFonts w:cs="Arial"/>
                <w:sz w:val="18"/>
                <w:szCs w:val="20"/>
              </w:rPr>
            </w:pPr>
          </w:p>
        </w:tc>
        <w:tc>
          <w:tcPr>
            <w:tcW w:w="4253" w:type="dxa"/>
            <w:tcBorders>
              <w:left w:val="single" w:sz="6" w:space="0" w:color="auto"/>
              <w:right w:val="single" w:sz="6" w:space="0" w:color="auto"/>
            </w:tcBorders>
          </w:tcPr>
          <w:p w:rsidR="009C13A9" w:rsidRPr="00C903F8" w:rsidRDefault="009C13A9" w:rsidP="009C13A9">
            <w:pPr>
              <w:tabs>
                <w:tab w:val="left" w:leader="dot" w:pos="3969"/>
                <w:tab w:val="left" w:leader="dot" w:pos="8505"/>
              </w:tabs>
              <w:overflowPunct w:val="0"/>
              <w:adjustRightInd w:val="0"/>
              <w:spacing w:before="20" w:after="20"/>
              <w:ind w:left="57" w:firstLine="0"/>
              <w:jc w:val="left"/>
              <w:textAlignment w:val="baseline"/>
              <w:rPr>
                <w:rFonts w:cs="Arial"/>
                <w:sz w:val="18"/>
                <w:szCs w:val="20"/>
              </w:rPr>
            </w:pPr>
          </w:p>
        </w:tc>
        <w:tc>
          <w:tcPr>
            <w:tcW w:w="1418" w:type="dxa"/>
            <w:tcBorders>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1418" w:type="dxa"/>
            <w:tcBorders>
              <w:left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1418" w:type="dxa"/>
            <w:tcBorders>
              <w:left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80"/>
              <w:ind w:left="0" w:firstLine="0"/>
              <w:jc w:val="left"/>
              <w:textAlignment w:val="baseline"/>
              <w:rPr>
                <w:rFonts w:cs="Arial"/>
                <w:sz w:val="18"/>
                <w:szCs w:val="20"/>
              </w:rPr>
            </w:pPr>
          </w:p>
        </w:tc>
        <w:tc>
          <w:tcPr>
            <w:tcW w:w="4253" w:type="dxa"/>
            <w:tcBorders>
              <w:left w:val="single" w:sz="6" w:space="0" w:color="auto"/>
              <w:right w:val="single" w:sz="6" w:space="0" w:color="auto"/>
            </w:tcBorders>
          </w:tcPr>
          <w:p w:rsidR="009C13A9" w:rsidRPr="00C903F8" w:rsidRDefault="009C13A9" w:rsidP="009C13A9">
            <w:pPr>
              <w:tabs>
                <w:tab w:val="left" w:leader="dot" w:pos="3969"/>
                <w:tab w:val="left" w:leader="dot" w:pos="8505"/>
              </w:tabs>
              <w:overflowPunct w:val="0"/>
              <w:adjustRightInd w:val="0"/>
              <w:spacing w:before="20" w:after="20"/>
              <w:ind w:left="57" w:firstLine="0"/>
              <w:jc w:val="left"/>
              <w:textAlignment w:val="baseline"/>
              <w:rPr>
                <w:rFonts w:cs="Arial"/>
                <w:sz w:val="18"/>
                <w:szCs w:val="20"/>
              </w:rPr>
            </w:pPr>
          </w:p>
        </w:tc>
        <w:tc>
          <w:tcPr>
            <w:tcW w:w="1418" w:type="dxa"/>
            <w:tcBorders>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1418" w:type="dxa"/>
            <w:tcBorders>
              <w:left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1418" w:type="dxa"/>
            <w:tcBorders>
              <w:left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80"/>
              <w:ind w:left="0" w:firstLine="0"/>
              <w:jc w:val="left"/>
              <w:textAlignment w:val="baseline"/>
              <w:rPr>
                <w:rFonts w:cs="Arial"/>
                <w:sz w:val="18"/>
                <w:szCs w:val="20"/>
              </w:rPr>
            </w:pPr>
          </w:p>
        </w:tc>
        <w:tc>
          <w:tcPr>
            <w:tcW w:w="4253" w:type="dxa"/>
            <w:tcBorders>
              <w:left w:val="single" w:sz="6" w:space="0" w:color="auto"/>
              <w:right w:val="single" w:sz="6" w:space="0" w:color="auto"/>
            </w:tcBorders>
          </w:tcPr>
          <w:p w:rsidR="009C13A9" w:rsidRPr="00C903F8" w:rsidRDefault="009C13A9" w:rsidP="009C13A9">
            <w:pPr>
              <w:tabs>
                <w:tab w:val="left" w:leader="dot" w:pos="3969"/>
                <w:tab w:val="left" w:leader="dot" w:pos="8505"/>
              </w:tabs>
              <w:overflowPunct w:val="0"/>
              <w:adjustRightInd w:val="0"/>
              <w:spacing w:before="20" w:after="20"/>
              <w:ind w:left="57" w:firstLine="0"/>
              <w:jc w:val="left"/>
              <w:textAlignment w:val="baseline"/>
              <w:rPr>
                <w:rFonts w:cs="Arial"/>
                <w:sz w:val="18"/>
                <w:szCs w:val="20"/>
                <w:lang w:val="nl-NL"/>
              </w:rPr>
            </w:pPr>
          </w:p>
        </w:tc>
        <w:tc>
          <w:tcPr>
            <w:tcW w:w="1418" w:type="dxa"/>
            <w:tcBorders>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lang w:val="nl-NL"/>
              </w:rPr>
            </w:pPr>
            <w:r w:rsidRPr="00C903F8">
              <w:rPr>
                <w:rFonts w:cs="Arial"/>
                <w:sz w:val="18"/>
                <w:szCs w:val="20"/>
                <w:lang w:val="nl-NL"/>
              </w:rPr>
              <w:tab/>
            </w:r>
          </w:p>
        </w:tc>
        <w:tc>
          <w:tcPr>
            <w:tcW w:w="1418" w:type="dxa"/>
            <w:tcBorders>
              <w:left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lang w:val="nl-NL"/>
              </w:rPr>
            </w:pPr>
            <w:r w:rsidRPr="00C903F8">
              <w:rPr>
                <w:rFonts w:cs="Arial"/>
                <w:sz w:val="18"/>
                <w:szCs w:val="20"/>
                <w:lang w:val="nl-NL"/>
              </w:rPr>
              <w:tab/>
            </w:r>
          </w:p>
        </w:tc>
        <w:tc>
          <w:tcPr>
            <w:tcW w:w="1418" w:type="dxa"/>
            <w:tcBorders>
              <w:left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lang w:val="nl-NL"/>
              </w:rPr>
            </w:pPr>
            <w:r w:rsidRPr="00C903F8">
              <w:rPr>
                <w:rFonts w:cs="Arial"/>
                <w:sz w:val="18"/>
                <w:szCs w:val="20"/>
                <w:lang w:val="nl-NL"/>
              </w:rPr>
              <w:tab/>
            </w: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20" w:after="20"/>
              <w:ind w:left="0" w:firstLine="0"/>
              <w:jc w:val="left"/>
              <w:textAlignment w:val="baseline"/>
              <w:rPr>
                <w:rFonts w:cs="Arial"/>
                <w:sz w:val="18"/>
                <w:szCs w:val="20"/>
                <w:lang w:val="nl-NL"/>
              </w:rPr>
            </w:pPr>
            <w:r w:rsidRPr="00C903F8">
              <w:rPr>
                <w:rFonts w:cs="Arial"/>
                <w:sz w:val="18"/>
                <w:szCs w:val="20"/>
                <w:lang w:val="nl-NL"/>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80"/>
              <w:ind w:left="0" w:firstLine="0"/>
              <w:jc w:val="left"/>
              <w:textAlignment w:val="baseline"/>
              <w:rPr>
                <w:rFonts w:cs="Arial"/>
                <w:sz w:val="18"/>
                <w:szCs w:val="20"/>
                <w:lang w:val="nl-NL"/>
              </w:rPr>
            </w:pPr>
          </w:p>
        </w:tc>
        <w:tc>
          <w:tcPr>
            <w:tcW w:w="4253" w:type="dxa"/>
            <w:tcBorders>
              <w:left w:val="single" w:sz="6" w:space="0" w:color="auto"/>
              <w:right w:val="single" w:sz="6" w:space="0" w:color="auto"/>
            </w:tcBorders>
          </w:tcPr>
          <w:p w:rsidR="009C13A9" w:rsidRPr="00C903F8" w:rsidRDefault="009C13A9" w:rsidP="009C13A9">
            <w:pPr>
              <w:tabs>
                <w:tab w:val="left" w:leader="dot" w:pos="3969"/>
                <w:tab w:val="left" w:leader="dot" w:pos="8505"/>
              </w:tabs>
              <w:overflowPunct w:val="0"/>
              <w:adjustRightInd w:val="0"/>
              <w:spacing w:before="20" w:after="20"/>
              <w:ind w:left="57" w:firstLine="0"/>
              <w:jc w:val="left"/>
              <w:textAlignment w:val="baseline"/>
              <w:rPr>
                <w:rFonts w:cs="Arial"/>
                <w:sz w:val="18"/>
                <w:szCs w:val="20"/>
                <w:lang w:val="nl-NL"/>
              </w:rPr>
            </w:pPr>
          </w:p>
        </w:tc>
        <w:tc>
          <w:tcPr>
            <w:tcW w:w="1418" w:type="dxa"/>
            <w:tcBorders>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lang w:val="nl-NL"/>
              </w:rPr>
            </w:pPr>
            <w:r w:rsidRPr="00C903F8">
              <w:rPr>
                <w:rFonts w:cs="Arial"/>
                <w:sz w:val="18"/>
                <w:szCs w:val="20"/>
                <w:lang w:val="nl-NL"/>
              </w:rPr>
              <w:tab/>
            </w:r>
          </w:p>
        </w:tc>
        <w:tc>
          <w:tcPr>
            <w:tcW w:w="1418" w:type="dxa"/>
            <w:tcBorders>
              <w:left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lang w:val="nl-NL"/>
              </w:rPr>
            </w:pPr>
            <w:r w:rsidRPr="00C903F8">
              <w:rPr>
                <w:rFonts w:cs="Arial"/>
                <w:sz w:val="18"/>
                <w:szCs w:val="20"/>
                <w:lang w:val="nl-NL"/>
              </w:rPr>
              <w:tab/>
            </w:r>
          </w:p>
        </w:tc>
        <w:tc>
          <w:tcPr>
            <w:tcW w:w="1418" w:type="dxa"/>
            <w:tcBorders>
              <w:left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lang w:val="nl-NL"/>
              </w:rPr>
            </w:pPr>
            <w:r w:rsidRPr="00C903F8">
              <w:rPr>
                <w:rFonts w:cs="Arial"/>
                <w:sz w:val="18"/>
                <w:szCs w:val="20"/>
                <w:lang w:val="nl-NL"/>
              </w:rPr>
              <w:tab/>
            </w: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20" w:after="20"/>
              <w:ind w:left="0" w:firstLine="0"/>
              <w:jc w:val="left"/>
              <w:textAlignment w:val="baseline"/>
              <w:rPr>
                <w:rFonts w:cs="Arial"/>
                <w:sz w:val="18"/>
                <w:szCs w:val="20"/>
                <w:lang w:val="nl-NL"/>
              </w:rPr>
            </w:pPr>
            <w:r w:rsidRPr="00C903F8">
              <w:rPr>
                <w:rFonts w:cs="Arial"/>
                <w:sz w:val="18"/>
                <w:szCs w:val="20"/>
                <w:lang w:val="nl-NL"/>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80"/>
              <w:ind w:left="0" w:firstLine="0"/>
              <w:jc w:val="left"/>
              <w:textAlignment w:val="baseline"/>
              <w:rPr>
                <w:rFonts w:cs="Arial"/>
                <w:sz w:val="18"/>
                <w:szCs w:val="20"/>
                <w:lang w:val="nl-NL"/>
              </w:rPr>
            </w:pPr>
          </w:p>
        </w:tc>
        <w:tc>
          <w:tcPr>
            <w:tcW w:w="4253" w:type="dxa"/>
            <w:tcBorders>
              <w:left w:val="single" w:sz="6" w:space="0" w:color="auto"/>
              <w:right w:val="single" w:sz="6" w:space="0" w:color="auto"/>
            </w:tcBorders>
          </w:tcPr>
          <w:p w:rsidR="009C13A9" w:rsidRPr="00C903F8" w:rsidRDefault="009C13A9" w:rsidP="009C13A9">
            <w:pPr>
              <w:tabs>
                <w:tab w:val="left" w:leader="dot" w:pos="3969"/>
                <w:tab w:val="left" w:leader="dot" w:pos="8505"/>
              </w:tabs>
              <w:overflowPunct w:val="0"/>
              <w:adjustRightInd w:val="0"/>
              <w:spacing w:before="20" w:after="20"/>
              <w:ind w:left="57" w:firstLine="0"/>
              <w:jc w:val="left"/>
              <w:textAlignment w:val="baseline"/>
              <w:rPr>
                <w:rFonts w:cs="Arial"/>
                <w:sz w:val="18"/>
                <w:szCs w:val="20"/>
              </w:rPr>
            </w:pPr>
          </w:p>
        </w:tc>
        <w:tc>
          <w:tcPr>
            <w:tcW w:w="1418" w:type="dxa"/>
            <w:tcBorders>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1418" w:type="dxa"/>
            <w:tcBorders>
              <w:left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1418" w:type="dxa"/>
            <w:tcBorders>
              <w:left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80"/>
              <w:ind w:left="0" w:firstLine="0"/>
              <w:jc w:val="left"/>
              <w:textAlignment w:val="baseline"/>
              <w:rPr>
                <w:rFonts w:cs="Arial"/>
                <w:sz w:val="18"/>
                <w:szCs w:val="20"/>
              </w:rPr>
            </w:pPr>
          </w:p>
        </w:tc>
        <w:tc>
          <w:tcPr>
            <w:tcW w:w="4253" w:type="dxa"/>
            <w:tcBorders>
              <w:left w:val="single" w:sz="6" w:space="0" w:color="auto"/>
              <w:right w:val="single" w:sz="6" w:space="0" w:color="auto"/>
            </w:tcBorders>
          </w:tcPr>
          <w:p w:rsidR="009C13A9" w:rsidRPr="00C903F8" w:rsidRDefault="009C13A9" w:rsidP="009C13A9">
            <w:pPr>
              <w:tabs>
                <w:tab w:val="left" w:leader="dot" w:pos="3969"/>
                <w:tab w:val="left" w:leader="dot" w:pos="8505"/>
              </w:tabs>
              <w:overflowPunct w:val="0"/>
              <w:adjustRightInd w:val="0"/>
              <w:spacing w:before="20" w:after="20"/>
              <w:ind w:left="57" w:firstLine="0"/>
              <w:jc w:val="left"/>
              <w:textAlignment w:val="baseline"/>
              <w:rPr>
                <w:rFonts w:cs="Arial"/>
                <w:sz w:val="18"/>
                <w:szCs w:val="20"/>
              </w:rPr>
            </w:pPr>
          </w:p>
        </w:tc>
        <w:tc>
          <w:tcPr>
            <w:tcW w:w="1418" w:type="dxa"/>
            <w:tcBorders>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1418" w:type="dxa"/>
            <w:tcBorders>
              <w:left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1418" w:type="dxa"/>
            <w:tcBorders>
              <w:left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80"/>
              <w:ind w:left="0" w:firstLine="0"/>
              <w:jc w:val="left"/>
              <w:textAlignment w:val="baseline"/>
              <w:rPr>
                <w:rFonts w:cs="Arial"/>
                <w:sz w:val="18"/>
                <w:szCs w:val="20"/>
              </w:rPr>
            </w:pPr>
          </w:p>
        </w:tc>
        <w:tc>
          <w:tcPr>
            <w:tcW w:w="4253" w:type="dxa"/>
            <w:tcBorders>
              <w:left w:val="single" w:sz="6" w:space="0" w:color="auto"/>
              <w:bottom w:val="single" w:sz="6" w:space="0" w:color="auto"/>
              <w:right w:val="single" w:sz="6" w:space="0" w:color="auto"/>
            </w:tcBorders>
          </w:tcPr>
          <w:p w:rsidR="009C13A9" w:rsidRPr="00C903F8" w:rsidRDefault="009C13A9" w:rsidP="009C13A9">
            <w:pPr>
              <w:tabs>
                <w:tab w:val="left" w:leader="dot" w:pos="3969"/>
                <w:tab w:val="left" w:leader="dot" w:pos="8505"/>
              </w:tabs>
              <w:overflowPunct w:val="0"/>
              <w:adjustRightInd w:val="0"/>
              <w:spacing w:before="20" w:after="20"/>
              <w:ind w:left="57" w:firstLine="0"/>
              <w:jc w:val="left"/>
              <w:textAlignment w:val="baseline"/>
              <w:rPr>
                <w:rFonts w:cs="Arial"/>
                <w:sz w:val="18"/>
                <w:szCs w:val="20"/>
              </w:rPr>
            </w:pPr>
          </w:p>
        </w:tc>
        <w:tc>
          <w:tcPr>
            <w:tcW w:w="1418" w:type="dxa"/>
            <w:tcBorders>
              <w:bottom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1418" w:type="dxa"/>
            <w:tcBorders>
              <w:left w:val="single" w:sz="6" w:space="0" w:color="auto"/>
              <w:bottom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1418" w:type="dxa"/>
            <w:tcBorders>
              <w:left w:val="single" w:sz="6" w:space="0" w:color="auto"/>
              <w:bottom w:val="single" w:sz="6" w:space="0" w:color="auto"/>
              <w:right w:val="single" w:sz="6" w:space="0" w:color="auto"/>
            </w:tcBorders>
          </w:tcPr>
          <w:p w:rsidR="009C13A9" w:rsidRPr="00C903F8" w:rsidRDefault="009C13A9" w:rsidP="009C13A9">
            <w:pPr>
              <w:tabs>
                <w:tab w:val="left" w:leader="dot" w:pos="1134"/>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20" w:after="2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80"/>
              <w:ind w:left="0" w:firstLine="0"/>
              <w:jc w:val="left"/>
              <w:textAlignment w:val="baseline"/>
              <w:rPr>
                <w:rFonts w:cs="Arial"/>
                <w:sz w:val="18"/>
                <w:szCs w:val="20"/>
              </w:rPr>
            </w:pPr>
          </w:p>
        </w:tc>
        <w:tc>
          <w:tcPr>
            <w:tcW w:w="8904" w:type="dxa"/>
            <w:gridSpan w:val="5"/>
            <w:tcBorders>
              <w:bottom w:val="single" w:sz="6" w:space="0" w:color="auto"/>
              <w:right w:val="single" w:sz="6" w:space="0" w:color="auto"/>
            </w:tcBorders>
          </w:tcPr>
          <w:p w:rsidR="009C13A9" w:rsidRPr="00C903F8" w:rsidRDefault="009C13A9" w:rsidP="009C13A9">
            <w:pPr>
              <w:widowControl w:val="0"/>
              <w:tabs>
                <w:tab w:val="left" w:pos="57"/>
                <w:tab w:val="left" w:leader="dot" w:pos="8505"/>
              </w:tabs>
              <w:spacing w:before="40" w:after="40"/>
              <w:ind w:left="57" w:hanging="57"/>
              <w:jc w:val="left"/>
              <w:rPr>
                <w:rFonts w:cs="Arial"/>
                <w:sz w:val="18"/>
                <w:szCs w:val="20"/>
              </w:rPr>
            </w:pPr>
            <w:r w:rsidRPr="00C903F8">
              <w:rPr>
                <w:noProof/>
                <w:sz w:val="18"/>
                <w:szCs w:val="20"/>
                <w:lang w:eastAsia="fr-BE"/>
              </w:rPr>
              <w:tab/>
              <w:t>Observations and special conditions:</w:t>
            </w:r>
          </w:p>
          <w:p w:rsidR="009C13A9" w:rsidRPr="00C903F8" w:rsidRDefault="009C13A9" w:rsidP="009C13A9">
            <w:pPr>
              <w:tabs>
                <w:tab w:val="left" w:leader="dot" w:pos="8505"/>
              </w:tabs>
              <w:overflowPunct w:val="0"/>
              <w:adjustRightInd w:val="0"/>
              <w:spacing w:before="80"/>
              <w:ind w:left="57" w:firstLine="0"/>
              <w:jc w:val="left"/>
              <w:textAlignment w:val="baseline"/>
              <w:rPr>
                <w:rFonts w:cs="Arial"/>
                <w:sz w:val="18"/>
                <w:szCs w:val="20"/>
              </w:rPr>
            </w:pPr>
            <w:r w:rsidRPr="00C903F8">
              <w:rPr>
                <w:rFonts w:cs="Arial"/>
                <w:sz w:val="18"/>
                <w:szCs w:val="20"/>
              </w:rPr>
              <w:tab/>
            </w:r>
          </w:p>
          <w:p w:rsidR="009C13A9" w:rsidRPr="00C903F8" w:rsidRDefault="009C13A9" w:rsidP="009C13A9">
            <w:pPr>
              <w:tabs>
                <w:tab w:val="left" w:leader="dot" w:pos="8505"/>
              </w:tabs>
              <w:overflowPunct w:val="0"/>
              <w:adjustRightInd w:val="0"/>
              <w:spacing w:before="80"/>
              <w:ind w:left="57" w:firstLine="0"/>
              <w:jc w:val="left"/>
              <w:textAlignment w:val="baseline"/>
              <w:rPr>
                <w:rFonts w:cs="Arial"/>
                <w:sz w:val="18"/>
                <w:szCs w:val="20"/>
              </w:rPr>
            </w:pPr>
            <w:r w:rsidRPr="00C903F8">
              <w:rPr>
                <w:rFonts w:cs="Arial"/>
                <w:sz w:val="18"/>
                <w:szCs w:val="20"/>
              </w:rPr>
              <w:tab/>
            </w:r>
          </w:p>
          <w:p w:rsidR="009C13A9" w:rsidRPr="00C903F8" w:rsidRDefault="009C13A9" w:rsidP="009C13A9">
            <w:pPr>
              <w:tabs>
                <w:tab w:val="left" w:leader="dot" w:pos="8505"/>
              </w:tabs>
              <w:overflowPunct w:val="0"/>
              <w:adjustRightInd w:val="0"/>
              <w:spacing w:before="80"/>
              <w:ind w:left="57" w:firstLine="0"/>
              <w:jc w:val="left"/>
              <w:textAlignment w:val="baseline"/>
              <w:rPr>
                <w:rFonts w:cs="Arial"/>
                <w:sz w:val="18"/>
                <w:szCs w:val="20"/>
              </w:rPr>
            </w:pPr>
            <w:r w:rsidRPr="00C903F8">
              <w:rPr>
                <w:rFonts w:cs="Arial"/>
                <w:sz w:val="18"/>
                <w:szCs w:val="20"/>
              </w:rPr>
              <w:tab/>
            </w:r>
          </w:p>
          <w:p w:rsidR="009C13A9" w:rsidRPr="00C903F8" w:rsidRDefault="009C13A9" w:rsidP="009C13A9">
            <w:pPr>
              <w:tabs>
                <w:tab w:val="left" w:leader="dot" w:pos="8505"/>
              </w:tabs>
              <w:overflowPunct w:val="0"/>
              <w:adjustRightInd w:val="0"/>
              <w:spacing w:before="80" w:after="40"/>
              <w:ind w:left="57"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r w:rsidRPr="00C903F8">
              <w:rPr>
                <w:rFonts w:cs="Arial"/>
                <w:sz w:val="18"/>
                <w:szCs w:val="20"/>
              </w:rPr>
              <w:tab/>
              <w:t>*)</w:t>
            </w:r>
            <w:r w:rsidRPr="00C903F8">
              <w:rPr>
                <w:rFonts w:cs="Arial"/>
                <w:sz w:val="18"/>
                <w:szCs w:val="20"/>
              </w:rPr>
              <w:br/>
            </w:r>
            <w:r w:rsidRPr="00C903F8">
              <w:rPr>
                <w:rFonts w:cs="Arial"/>
                <w:sz w:val="18"/>
                <w:szCs w:val="20"/>
              </w:rPr>
              <w:br/>
            </w:r>
          </w:p>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p>
          <w:p w:rsidR="009C13A9" w:rsidRPr="00C903F8" w:rsidRDefault="009C13A9" w:rsidP="009C13A9">
            <w:pPr>
              <w:tabs>
                <w:tab w:val="left" w:pos="57"/>
              </w:tabs>
              <w:overflowPunct w:val="0"/>
              <w:adjustRightInd w:val="0"/>
              <w:spacing w:before="160"/>
              <w:ind w:left="0" w:firstLine="0"/>
              <w:jc w:val="left"/>
              <w:textAlignment w:val="baseline"/>
              <w:rPr>
                <w:rFonts w:cs="Arial"/>
                <w:sz w:val="18"/>
                <w:szCs w:val="20"/>
              </w:rPr>
            </w:pPr>
            <w:r w:rsidRPr="00C903F8">
              <w:rPr>
                <w:rFonts w:cs="Arial"/>
                <w:sz w:val="18"/>
                <w:szCs w:val="20"/>
              </w:rPr>
              <w:tab/>
              <w:t>*)</w:t>
            </w:r>
          </w:p>
        </w:tc>
        <w:tc>
          <w:tcPr>
            <w:tcW w:w="8904" w:type="dxa"/>
            <w:gridSpan w:val="5"/>
            <w:tcBorders>
              <w:bottom w:val="single" w:sz="6" w:space="0" w:color="auto"/>
              <w:right w:val="single" w:sz="6" w:space="0" w:color="auto"/>
            </w:tcBorders>
          </w:tcPr>
          <w:p w:rsidR="009C13A9" w:rsidRPr="00C903F8" w:rsidRDefault="009C13A9" w:rsidP="009C13A9">
            <w:pPr>
              <w:tabs>
                <w:tab w:val="left" w:pos="57"/>
                <w:tab w:val="left" w:leader="dot" w:pos="3686"/>
              </w:tabs>
              <w:overflowPunct w:val="0"/>
              <w:adjustRightInd w:val="0"/>
              <w:spacing w:before="80" w:after="80"/>
              <w:ind w:left="57" w:right="57" w:firstLine="0"/>
              <w:jc w:val="left"/>
              <w:textAlignment w:val="baseline"/>
              <w:rPr>
                <w:rFonts w:cs="Arial"/>
                <w:sz w:val="18"/>
                <w:szCs w:val="20"/>
                <w:lang w:val="en-US"/>
              </w:rPr>
            </w:pPr>
            <w:r w:rsidRPr="00C903F8">
              <w:rPr>
                <w:noProof/>
                <w:sz w:val="18"/>
                <w:szCs w:val="20"/>
                <w:lang w:val="en-US" w:eastAsia="fr-BE"/>
              </w:rPr>
              <w:t>Amendment to item(s):</w:t>
            </w:r>
            <w:r w:rsidRPr="00C903F8">
              <w:rPr>
                <w:rFonts w:cs="Arial"/>
                <w:sz w:val="18"/>
                <w:szCs w:val="20"/>
                <w:lang w:val="en-US"/>
              </w:rPr>
              <w:t xml:space="preserve"> ....................</w:t>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noProof/>
                <w:sz w:val="18"/>
                <w:szCs w:val="20"/>
                <w:lang w:val="en-US" w:eastAsia="fr-BE"/>
              </w:rPr>
              <w:t>New text:</w:t>
            </w: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This page has been replaced.</w:t>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 xml:space="preserve">Place, date </w:t>
            </w:r>
            <w:r w:rsidRPr="00C903F8">
              <w:rPr>
                <w:rFonts w:cs="Arial"/>
                <w:sz w:val="18"/>
                <w:szCs w:val="20"/>
                <w:lang w:val="en-US"/>
              </w:rPr>
              <w:tab/>
            </w:r>
            <w:r w:rsidRPr="00C903F8">
              <w:rPr>
                <w:rFonts w:cs="Arial"/>
                <w:sz w:val="18"/>
                <w:szCs w:val="20"/>
                <w:lang w:val="en-US"/>
              </w:rPr>
              <w:tab/>
              <w:t>Inspection body</w:t>
            </w:r>
          </w:p>
          <w:p w:rsidR="009C13A9" w:rsidRPr="00C903F8" w:rsidRDefault="009C13A9" w:rsidP="009C13A9">
            <w:pPr>
              <w:tabs>
                <w:tab w:val="left" w:pos="5103"/>
                <w:tab w:val="left" w:leader="dot" w:pos="8505"/>
              </w:tabs>
              <w:overflowPunct w:val="0"/>
              <w:adjustRightInd w:val="0"/>
              <w:ind w:left="0" w:firstLine="0"/>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1701"/>
              </w:tabs>
              <w:overflowPunct w:val="0"/>
              <w:adjustRightInd w:val="0"/>
              <w:spacing w:after="80"/>
              <w:ind w:left="0" w:firstLine="0"/>
              <w:textAlignment w:val="baseline"/>
              <w:rPr>
                <w:rFonts w:cs="Arial"/>
                <w:sz w:val="18"/>
                <w:szCs w:val="20"/>
                <w:lang w:val="en-US"/>
              </w:rPr>
            </w:pPr>
            <w:r w:rsidRPr="00C903F8">
              <w:rPr>
                <w:rFonts w:cs="Arial"/>
                <w:sz w:val="18"/>
                <w:szCs w:val="20"/>
                <w:lang w:val="en-US"/>
              </w:rPr>
              <w:tab/>
            </w:r>
            <w:r w:rsidR="00313B91" w:rsidRPr="00C903F8">
              <w:rPr>
                <w:rFonts w:cs="Arial"/>
                <w:sz w:val="18"/>
                <w:szCs w:val="20"/>
                <w:lang w:val="en-US"/>
              </w:rPr>
              <w:t>Stamp</w:t>
            </w:r>
          </w:p>
          <w:p w:rsidR="009C13A9" w:rsidRPr="00C903F8" w:rsidRDefault="009C13A9" w:rsidP="009C13A9">
            <w:pPr>
              <w:tabs>
                <w:tab w:val="left" w:pos="5103"/>
                <w:tab w:val="left" w:leader="dot" w:pos="8505"/>
              </w:tabs>
              <w:overflowPunct w:val="0"/>
              <w:adjustRightInd w:val="0"/>
              <w:ind w:left="0" w:firstLine="0"/>
              <w:textAlignment w:val="baseline"/>
              <w:rPr>
                <w:rFonts w:cs="Arial"/>
                <w:szCs w:val="20"/>
                <w:lang w:val="en-US"/>
              </w:rPr>
            </w:pPr>
            <w:r w:rsidRPr="00C903F8">
              <w:rPr>
                <w:rFonts w:cs="Arial"/>
                <w:szCs w:val="20"/>
                <w:lang w:val="en-US"/>
              </w:rPr>
              <w:tab/>
            </w:r>
            <w:r w:rsidRPr="00C903F8">
              <w:rPr>
                <w:rFonts w:cs="Arial"/>
                <w:szCs w:val="20"/>
                <w:lang w:val="en-US"/>
              </w:rPr>
              <w:tab/>
            </w:r>
          </w:p>
          <w:p w:rsidR="009C13A9" w:rsidRPr="00C903F8" w:rsidRDefault="009C13A9" w:rsidP="009C13A9">
            <w:pPr>
              <w:tabs>
                <w:tab w:val="center" w:pos="6862"/>
              </w:tabs>
              <w:overflowPunct w:val="0"/>
              <w:adjustRightInd w:val="0"/>
              <w:ind w:left="0" w:firstLine="0"/>
              <w:textAlignment w:val="baseline"/>
              <w:rPr>
                <w:rFonts w:cs="Arial"/>
                <w:sz w:val="16"/>
                <w:szCs w:val="20"/>
                <w:lang w:val="en-US"/>
              </w:rPr>
            </w:pPr>
            <w:r w:rsidRPr="00C903F8">
              <w:rPr>
                <w:rFonts w:cs="Arial"/>
                <w:szCs w:val="20"/>
                <w:lang w:val="en-US"/>
              </w:rPr>
              <w:tab/>
            </w:r>
            <w:r w:rsidRPr="00C903F8">
              <w:rPr>
                <w:rFonts w:cs="Arial"/>
                <w:sz w:val="16"/>
                <w:szCs w:val="20"/>
                <w:lang w:val="en-US"/>
              </w:rPr>
              <w:t>(Signature)</w:t>
            </w:r>
          </w:p>
          <w:p w:rsidR="009C13A9" w:rsidRPr="00145B96" w:rsidRDefault="009C13A9" w:rsidP="009C13A9">
            <w:pPr>
              <w:tabs>
                <w:tab w:val="left" w:pos="113"/>
                <w:tab w:val="left" w:pos="397"/>
                <w:tab w:val="left" w:pos="6237"/>
                <w:tab w:val="left" w:leader="dot" w:pos="9356"/>
              </w:tabs>
              <w:overflowPunct w:val="0"/>
              <w:adjustRightInd w:val="0"/>
              <w:ind w:left="0" w:firstLine="0"/>
              <w:textAlignment w:val="baseline"/>
              <w:rPr>
                <w:rFonts w:cs="Arial"/>
                <w:sz w:val="16"/>
                <w:szCs w:val="20"/>
                <w:lang w:val="en-US"/>
              </w:rPr>
            </w:pPr>
            <w:r w:rsidRPr="00145B96">
              <w:rPr>
                <w:rFonts w:cs="Arial"/>
                <w:sz w:val="18"/>
                <w:szCs w:val="20"/>
                <w:lang w:val="en-US"/>
              </w:rPr>
              <w:t>_______________________</w:t>
            </w:r>
          </w:p>
          <w:p w:rsidR="009C13A9" w:rsidRPr="00C903F8" w:rsidRDefault="009C13A9" w:rsidP="009C13A9">
            <w:pPr>
              <w:tabs>
                <w:tab w:val="left" w:pos="284"/>
              </w:tabs>
              <w:overflowPunct w:val="0"/>
              <w:adjustRightInd w:val="0"/>
              <w:spacing w:after="40"/>
              <w:ind w:left="57" w:firstLine="0"/>
              <w:jc w:val="left"/>
              <w:textAlignment w:val="baseline"/>
              <w:rPr>
                <w:rFonts w:cs="Arial"/>
                <w:sz w:val="18"/>
                <w:szCs w:val="20"/>
              </w:rPr>
            </w:pPr>
            <w:r w:rsidRPr="00C903F8">
              <w:rPr>
                <w:rFonts w:cs="Arial"/>
                <w:position w:val="4"/>
                <w:sz w:val="16"/>
                <w:szCs w:val="20"/>
              </w:rPr>
              <w:t>*)</w:t>
            </w:r>
            <w:r w:rsidRPr="00C903F8">
              <w:rPr>
                <w:rFonts w:cs="Arial"/>
                <w:sz w:val="18"/>
                <w:szCs w:val="20"/>
              </w:rPr>
              <w:tab/>
            </w:r>
            <w:r w:rsidRPr="00C903F8">
              <w:rPr>
                <w:rFonts w:cs="Arial"/>
                <w:sz w:val="16"/>
                <w:szCs w:val="20"/>
              </w:rPr>
              <w:t>Delete as appropriate</w:t>
            </w:r>
          </w:p>
        </w:tc>
      </w:tr>
    </w:tbl>
    <w:p w:rsidR="009C13A9" w:rsidRPr="00C903F8" w:rsidRDefault="009C13A9" w:rsidP="00AA5614">
      <w:pPr>
        <w:tabs>
          <w:tab w:val="left" w:leader="dot" w:pos="2835"/>
          <w:tab w:val="left" w:leader="dot" w:pos="5103"/>
        </w:tabs>
        <w:overflowPunct w:val="0"/>
        <w:adjustRightInd w:val="0"/>
        <w:ind w:left="0" w:firstLine="0"/>
        <w:textAlignment w:val="baseline"/>
        <w:rPr>
          <w:rFonts w:cs="Arial"/>
          <w:szCs w:val="20"/>
          <w:lang w:val="en-US"/>
        </w:rPr>
      </w:pPr>
      <w:r w:rsidRPr="00C903F8">
        <w:rPr>
          <w:rFonts w:cs="Arial"/>
          <w:szCs w:val="20"/>
          <w:lang w:val="en-US"/>
        </w:rPr>
        <w:br w:type="page"/>
      </w:r>
      <w:r w:rsidR="00AA5614" w:rsidRPr="00AA5614">
        <w:rPr>
          <w:rFonts w:cs="Arial"/>
          <w:szCs w:val="20"/>
          <w:lang w:val="en-US"/>
        </w:rPr>
        <w:lastRenderedPageBreak/>
        <w:t xml:space="preserve">Inland navigation vessel certificate </w:t>
      </w:r>
      <w:r w:rsidR="00AA5614">
        <w:rPr>
          <w:rFonts w:cs="Arial"/>
          <w:szCs w:val="20"/>
          <w:lang w:val="en-GB"/>
        </w:rPr>
        <w:t xml:space="preserve">No </w:t>
      </w:r>
      <w:r w:rsidR="00AA5614" w:rsidRPr="00AA5614">
        <w:rPr>
          <w:rFonts w:cs="Arial"/>
          <w:szCs w:val="20"/>
          <w:lang w:val="en-GB"/>
        </w:rPr>
        <w:tab/>
        <w:t xml:space="preserve"> of the Inspection body </w:t>
      </w:r>
      <w:r w:rsidR="00AA5614" w:rsidRPr="00AA5614">
        <w:rPr>
          <w:rFonts w:cs="Arial"/>
          <w:szCs w:val="20"/>
          <w:lang w:val="en-GB"/>
        </w:rPr>
        <w:tab/>
      </w:r>
    </w:p>
    <w:tbl>
      <w:tblPr>
        <w:tblW w:w="9186" w:type="dxa"/>
        <w:jc w:val="center"/>
        <w:tblLayout w:type="fixed"/>
        <w:tblCellMar>
          <w:left w:w="0" w:type="dxa"/>
          <w:right w:w="0" w:type="dxa"/>
        </w:tblCellMar>
        <w:tblLook w:val="0000" w:firstRow="0" w:lastRow="0" w:firstColumn="0" w:lastColumn="0" w:noHBand="0" w:noVBand="0"/>
      </w:tblPr>
      <w:tblGrid>
        <w:gridCol w:w="284"/>
        <w:gridCol w:w="8902"/>
      </w:tblGrid>
      <w:tr w:rsidR="009C13A9" w:rsidRPr="00C903F8" w:rsidTr="00E3172D">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60"/>
              <w:ind w:left="0" w:firstLine="0"/>
              <w:jc w:val="left"/>
              <w:textAlignment w:val="baseline"/>
              <w:rPr>
                <w:rFonts w:cs="Arial"/>
                <w:sz w:val="18"/>
                <w:szCs w:val="20"/>
              </w:rPr>
            </w:pPr>
            <w:r w:rsidRPr="00C903F8">
              <w:rPr>
                <w:rFonts w:cs="Arial"/>
                <w:sz w:val="18"/>
                <w:szCs w:val="20"/>
              </w:rPr>
              <w:t>49.</w:t>
            </w:r>
          </w:p>
        </w:tc>
        <w:tc>
          <w:tcPr>
            <w:tcW w:w="8902" w:type="dxa"/>
            <w:tcBorders>
              <w:top w:val="single" w:sz="6" w:space="0" w:color="auto"/>
              <w:bottom w:val="single" w:sz="6" w:space="0" w:color="auto"/>
              <w:right w:val="single" w:sz="6" w:space="0" w:color="auto"/>
            </w:tcBorders>
          </w:tcPr>
          <w:p w:rsidR="009C13A9" w:rsidRPr="00C903F8" w:rsidRDefault="009C13A9" w:rsidP="009C13A9">
            <w:pPr>
              <w:tabs>
                <w:tab w:val="left" w:pos="4310"/>
                <w:tab w:val="left" w:leader="dot" w:pos="8505"/>
              </w:tabs>
              <w:overflowPunct w:val="0"/>
              <w:adjustRightInd w:val="0"/>
              <w:spacing w:before="60"/>
              <w:ind w:left="57" w:firstLine="0"/>
              <w:jc w:val="left"/>
              <w:textAlignment w:val="baseline"/>
              <w:rPr>
                <w:rFonts w:cs="Arial"/>
                <w:b/>
                <w:position w:val="6"/>
                <w:sz w:val="16"/>
                <w:szCs w:val="20"/>
                <w:lang w:val="en-US"/>
              </w:rPr>
            </w:pPr>
            <w:r w:rsidRPr="00C903F8">
              <w:rPr>
                <w:rFonts w:cs="Arial"/>
                <w:b/>
                <w:sz w:val="18"/>
                <w:szCs w:val="20"/>
                <w:lang w:val="en-US"/>
              </w:rPr>
              <w:t xml:space="preserve">Extension/confirmation </w:t>
            </w:r>
            <w:r w:rsidRPr="00C903F8">
              <w:rPr>
                <w:rFonts w:cs="Arial"/>
                <w:b/>
                <w:position w:val="6"/>
                <w:sz w:val="16"/>
                <w:szCs w:val="20"/>
                <w:lang w:val="en-US"/>
              </w:rPr>
              <w:t>*)</w:t>
            </w:r>
            <w:r w:rsidRPr="00C903F8">
              <w:rPr>
                <w:rFonts w:cs="Arial"/>
                <w:b/>
                <w:sz w:val="18"/>
                <w:szCs w:val="20"/>
                <w:lang w:val="en-US"/>
              </w:rPr>
              <w:t xml:space="preserve"> of </w:t>
            </w:r>
            <w:r w:rsidR="00E3172D" w:rsidRPr="007E2E18">
              <w:rPr>
                <w:rFonts w:cs="Arial"/>
                <w:b/>
                <w:sz w:val="18"/>
                <w:szCs w:val="18"/>
                <w:lang w:val="en-US"/>
              </w:rPr>
              <w:t>inland navigation vessel certificate</w:t>
            </w:r>
            <w:r w:rsidR="00E3172D" w:rsidRPr="00BB1B60">
              <w:rPr>
                <w:rFonts w:cs="Arial"/>
                <w:b/>
                <w:sz w:val="18"/>
                <w:szCs w:val="20"/>
                <w:lang w:val="en-US"/>
              </w:rPr>
              <w:t xml:space="preserve"> </w:t>
            </w:r>
            <w:r w:rsidRPr="00C903F8">
              <w:rPr>
                <w:rFonts w:cs="Arial"/>
                <w:b/>
                <w:sz w:val="18"/>
                <w:szCs w:val="20"/>
                <w:lang w:val="en-US"/>
              </w:rPr>
              <w:t>validity</w:t>
            </w:r>
            <w:r w:rsidRPr="00C903F8">
              <w:rPr>
                <w:rFonts w:cs="Arial"/>
                <w:b/>
                <w:position w:val="6"/>
                <w:sz w:val="16"/>
                <w:szCs w:val="20"/>
                <w:lang w:val="en-US"/>
              </w:rPr>
              <w:t>*)</w:t>
            </w:r>
            <w:r w:rsidR="00E3172D">
              <w:rPr>
                <w:rFonts w:cs="Arial"/>
                <w:b/>
                <w:sz w:val="18"/>
                <w:szCs w:val="20"/>
                <w:lang w:val="en-US"/>
              </w:rPr>
              <w:t xml:space="preserve"> </w:t>
            </w:r>
            <w:r w:rsidRPr="00C903F8">
              <w:rPr>
                <w:rFonts w:cs="Arial"/>
                <w:b/>
                <w:sz w:val="18"/>
                <w:szCs w:val="20"/>
                <w:lang w:val="en-US"/>
              </w:rPr>
              <w:t>Periodical - special</w:t>
            </w:r>
            <w:r w:rsidRPr="00C903F8">
              <w:rPr>
                <w:rFonts w:cs="Arial"/>
                <w:b/>
                <w:position w:val="6"/>
                <w:sz w:val="16"/>
                <w:szCs w:val="20"/>
                <w:lang w:val="en-US"/>
              </w:rPr>
              <w:t xml:space="preserve">*) </w:t>
            </w:r>
            <w:r w:rsidRPr="00C903F8">
              <w:rPr>
                <w:rFonts w:cs="Arial"/>
                <w:b/>
                <w:sz w:val="18"/>
                <w:szCs w:val="20"/>
                <w:lang w:val="en-US"/>
              </w:rPr>
              <w:t>inspection</w:t>
            </w:r>
          </w:p>
          <w:p w:rsidR="009C13A9" w:rsidRPr="00C903F8" w:rsidRDefault="009C13A9" w:rsidP="00083603">
            <w:pPr>
              <w:tabs>
                <w:tab w:val="left" w:leader="dot" w:pos="5103"/>
                <w:tab w:val="left" w:leader="dot" w:pos="8505"/>
              </w:tabs>
              <w:overflowPunct w:val="0"/>
              <w:adjustRightInd w:val="0"/>
              <w:ind w:left="57" w:firstLine="0"/>
              <w:jc w:val="left"/>
              <w:textAlignment w:val="baseline"/>
              <w:rPr>
                <w:rFonts w:cs="Arial"/>
                <w:sz w:val="18"/>
                <w:szCs w:val="20"/>
                <w:lang w:val="en-US"/>
              </w:rPr>
            </w:pPr>
            <w:r w:rsidRPr="00C903F8">
              <w:rPr>
                <w:rFonts w:cs="Arial"/>
                <w:sz w:val="18"/>
                <w:szCs w:val="20"/>
                <w:lang w:val="en-US"/>
              </w:rPr>
              <w:t>The Inspection Body inspected the vessel on</w:t>
            </w:r>
            <w:r w:rsidRPr="00C903F8">
              <w:rPr>
                <w:rFonts w:cs="Arial"/>
                <w:sz w:val="18"/>
                <w:szCs w:val="20"/>
                <w:lang w:val="en-US"/>
              </w:rPr>
              <w:tab/>
            </w:r>
            <w:r w:rsidRPr="00C903F8">
              <w:rPr>
                <w:rFonts w:cs="Arial"/>
                <w:position w:val="6"/>
                <w:sz w:val="16"/>
                <w:szCs w:val="20"/>
                <w:lang w:val="en-US"/>
              </w:rPr>
              <w:t>*)</w:t>
            </w:r>
            <w:r w:rsidRPr="00C903F8">
              <w:rPr>
                <w:rFonts w:cs="Arial"/>
                <w:sz w:val="18"/>
                <w:szCs w:val="20"/>
                <w:lang w:val="en-US"/>
              </w:rPr>
              <w:t>.</w:t>
            </w:r>
          </w:p>
          <w:p w:rsidR="009C13A9" w:rsidRPr="00C903F8" w:rsidRDefault="009C13A9" w:rsidP="00083603">
            <w:pPr>
              <w:tabs>
                <w:tab w:val="left" w:leader="dot" w:pos="3686"/>
                <w:tab w:val="left" w:leader="dot" w:pos="8505"/>
              </w:tabs>
              <w:overflowPunct w:val="0"/>
              <w:adjustRightInd w:val="0"/>
              <w:spacing w:before="20" w:after="20"/>
              <w:ind w:left="57" w:firstLine="0"/>
              <w:jc w:val="left"/>
              <w:textAlignment w:val="baseline"/>
              <w:rPr>
                <w:rFonts w:cs="Arial"/>
                <w:sz w:val="18"/>
                <w:szCs w:val="20"/>
                <w:lang w:val="en-US"/>
              </w:rPr>
            </w:pPr>
            <w:r w:rsidRPr="00C903F8">
              <w:rPr>
                <w:rFonts w:cs="Arial"/>
                <w:sz w:val="18"/>
                <w:szCs w:val="20"/>
                <w:lang w:val="en-US"/>
              </w:rPr>
              <w:t>A certificate dated</w:t>
            </w:r>
            <w:r w:rsidRPr="00C903F8">
              <w:rPr>
                <w:rFonts w:cs="Arial"/>
                <w:sz w:val="18"/>
                <w:szCs w:val="20"/>
                <w:lang w:val="en-US"/>
              </w:rPr>
              <w:tab/>
              <w:t xml:space="preserve"> </w:t>
            </w:r>
            <w:r w:rsidRPr="00C903F8">
              <w:rPr>
                <w:noProof/>
                <w:sz w:val="18"/>
                <w:szCs w:val="20"/>
                <w:lang w:val="en-US" w:eastAsia="fr-BE"/>
              </w:rPr>
              <w:t xml:space="preserve">from the </w:t>
            </w:r>
            <w:r w:rsidR="004E1AD0" w:rsidRPr="00C903F8">
              <w:rPr>
                <w:rFonts w:cs="Arial"/>
                <w:szCs w:val="20"/>
                <w:lang w:val="en-US"/>
              </w:rPr>
              <w:t>recognised</w:t>
            </w:r>
            <w:r w:rsidRPr="00C903F8">
              <w:rPr>
                <w:noProof/>
                <w:sz w:val="18"/>
                <w:szCs w:val="20"/>
                <w:lang w:val="en-US" w:eastAsia="fr-BE"/>
              </w:rPr>
              <w:t xml:space="preserve"> classification society </w:t>
            </w:r>
            <w:r w:rsidRPr="00C903F8">
              <w:rPr>
                <w:rFonts w:cs="Arial"/>
                <w:sz w:val="18"/>
                <w:szCs w:val="20"/>
                <w:lang w:val="en-US"/>
              </w:rPr>
              <w:tab/>
            </w:r>
          </w:p>
          <w:p w:rsidR="009C13A9" w:rsidRPr="00C903F8" w:rsidRDefault="009C13A9" w:rsidP="009C13A9">
            <w:pPr>
              <w:tabs>
                <w:tab w:val="left" w:leader="dot" w:pos="8505"/>
              </w:tabs>
              <w:overflowPunct w:val="0"/>
              <w:adjustRightInd w:val="0"/>
              <w:ind w:lef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overflowPunct w:val="0"/>
              <w:adjustRightInd w:val="0"/>
              <w:spacing w:after="20"/>
              <w:ind w:left="57" w:firstLine="0"/>
              <w:jc w:val="left"/>
              <w:textAlignment w:val="baseline"/>
              <w:rPr>
                <w:rFonts w:cs="Arial"/>
                <w:sz w:val="18"/>
                <w:szCs w:val="20"/>
                <w:lang w:val="en-US"/>
              </w:rPr>
            </w:pPr>
            <w:r w:rsidRPr="00C903F8">
              <w:rPr>
                <w:noProof/>
                <w:sz w:val="18"/>
                <w:szCs w:val="20"/>
                <w:lang w:val="en-US" w:eastAsia="fr-BE"/>
              </w:rPr>
              <w:t>was presented to the Inspection Body</w:t>
            </w:r>
            <w:r w:rsidRPr="00C903F8">
              <w:rPr>
                <w:rFonts w:cs="Arial"/>
                <w:position w:val="6"/>
                <w:sz w:val="16"/>
                <w:szCs w:val="20"/>
                <w:lang w:val="en-US"/>
              </w:rPr>
              <w:t>*)</w:t>
            </w:r>
            <w:r w:rsidRPr="00C903F8">
              <w:rPr>
                <w:rFonts w:cs="Arial"/>
                <w:sz w:val="18"/>
                <w:szCs w:val="20"/>
                <w:lang w:val="en-US"/>
              </w:rPr>
              <w:t>.</w:t>
            </w:r>
          </w:p>
          <w:p w:rsidR="009C13A9" w:rsidRPr="00C903F8" w:rsidRDefault="009C13A9" w:rsidP="009C13A9">
            <w:pPr>
              <w:overflowPunct w:val="0"/>
              <w:adjustRightInd w:val="0"/>
              <w:spacing w:after="20"/>
              <w:ind w:left="57" w:firstLine="0"/>
              <w:jc w:val="left"/>
              <w:textAlignment w:val="baseline"/>
              <w:rPr>
                <w:rFonts w:cs="Arial"/>
                <w:sz w:val="18"/>
                <w:szCs w:val="20"/>
                <w:lang w:val="en-US"/>
              </w:rPr>
            </w:pPr>
            <w:r w:rsidRPr="00C903F8">
              <w:rPr>
                <w:noProof/>
                <w:sz w:val="18"/>
                <w:szCs w:val="20"/>
                <w:lang w:val="en-US" w:eastAsia="fr-BE"/>
              </w:rPr>
              <w:t>Reason for the inspection/certificate</w:t>
            </w:r>
            <w:r w:rsidRPr="00C903F8">
              <w:rPr>
                <w:rFonts w:cs="Arial"/>
                <w:position w:val="6"/>
                <w:sz w:val="16"/>
                <w:szCs w:val="20"/>
                <w:lang w:val="en-US"/>
              </w:rPr>
              <w:t>*)</w:t>
            </w:r>
            <w:r w:rsidRPr="00C903F8">
              <w:rPr>
                <w:rFonts w:cs="Arial"/>
                <w:sz w:val="18"/>
                <w:szCs w:val="20"/>
                <w:lang w:val="en-US"/>
              </w:rPr>
              <w:t>:</w:t>
            </w:r>
          </w:p>
          <w:p w:rsidR="009C13A9" w:rsidRPr="00C903F8" w:rsidRDefault="009C13A9" w:rsidP="00083603">
            <w:pPr>
              <w:tabs>
                <w:tab w:val="left" w:leader="dot" w:pos="8505"/>
              </w:tabs>
              <w:overflowPunct w:val="0"/>
              <w:adjustRightInd w:val="0"/>
              <w:spacing w:after="80"/>
              <w:ind w:left="57" w:firstLine="0"/>
              <w:jc w:val="left"/>
              <w:textAlignment w:val="baseline"/>
              <w:rPr>
                <w:rFonts w:cs="Arial"/>
                <w:position w:val="6"/>
                <w:sz w:val="16"/>
                <w:szCs w:val="20"/>
                <w:lang w:val="en-US"/>
              </w:rPr>
            </w:pPr>
            <w:r w:rsidRPr="00C903F8">
              <w:rPr>
                <w:rFonts w:cs="Arial"/>
                <w:position w:val="6"/>
                <w:sz w:val="16"/>
                <w:szCs w:val="20"/>
                <w:lang w:val="en-US"/>
              </w:rPr>
              <w:tab/>
            </w:r>
          </w:p>
          <w:p w:rsidR="009C13A9" w:rsidRPr="00C903F8" w:rsidRDefault="009C13A9" w:rsidP="009C13A9">
            <w:pPr>
              <w:tabs>
                <w:tab w:val="left" w:leader="dot" w:pos="8505"/>
              </w:tabs>
              <w:overflowPunct w:val="0"/>
              <w:adjustRightInd w:val="0"/>
              <w:ind w:left="57" w:firstLine="0"/>
              <w:jc w:val="left"/>
              <w:textAlignment w:val="baseline"/>
              <w:rPr>
                <w:rFonts w:cs="Arial"/>
                <w:position w:val="6"/>
                <w:sz w:val="16"/>
                <w:szCs w:val="20"/>
                <w:lang w:val="en-US"/>
              </w:rPr>
            </w:pPr>
            <w:r w:rsidRPr="00C903F8">
              <w:rPr>
                <w:rFonts w:cs="Arial"/>
                <w:position w:val="6"/>
                <w:sz w:val="16"/>
                <w:szCs w:val="20"/>
                <w:lang w:val="en-US"/>
              </w:rPr>
              <w:tab/>
            </w:r>
          </w:p>
          <w:p w:rsidR="009C13A9" w:rsidRPr="00C903F8" w:rsidRDefault="009C13A9" w:rsidP="009C13A9">
            <w:pPr>
              <w:tabs>
                <w:tab w:val="left" w:leader="dot" w:pos="8505"/>
              </w:tabs>
              <w:overflowPunct w:val="0"/>
              <w:adjustRightInd w:val="0"/>
              <w:ind w:left="57" w:firstLine="0"/>
              <w:jc w:val="left"/>
              <w:textAlignment w:val="baseline"/>
              <w:rPr>
                <w:rFonts w:cs="Arial"/>
                <w:position w:val="6"/>
                <w:sz w:val="16"/>
                <w:szCs w:val="20"/>
                <w:lang w:val="en-US"/>
              </w:rPr>
            </w:pPr>
            <w:r w:rsidRPr="00C903F8">
              <w:rPr>
                <w:rFonts w:cs="Arial"/>
                <w:sz w:val="18"/>
                <w:szCs w:val="20"/>
                <w:lang w:val="en-US"/>
              </w:rPr>
              <w:t xml:space="preserve">In view of – the inspection result - certificate - *), the period of validity of the </w:t>
            </w:r>
            <w:r w:rsidR="00E3172D" w:rsidRPr="007E2E18">
              <w:rPr>
                <w:rFonts w:cs="Arial"/>
                <w:sz w:val="18"/>
                <w:szCs w:val="18"/>
                <w:lang w:val="en-US"/>
              </w:rPr>
              <w:t>inland navigation vessel certificate</w:t>
            </w:r>
            <w:r w:rsidR="00E3172D" w:rsidRPr="00511997">
              <w:rPr>
                <w:rFonts w:cs="Arial"/>
                <w:sz w:val="18"/>
                <w:szCs w:val="18"/>
                <w:lang w:val="en-US"/>
              </w:rPr>
              <w:t xml:space="preserve"> </w:t>
            </w:r>
            <w:r w:rsidRPr="00C903F8">
              <w:rPr>
                <w:rFonts w:cs="Arial"/>
                <w:sz w:val="18"/>
                <w:szCs w:val="20"/>
                <w:lang w:val="en-US"/>
              </w:rPr>
              <w:t>is maintained – extended ­</w:t>
            </w:r>
            <w:r w:rsidRPr="00C903F8">
              <w:rPr>
                <w:rFonts w:cs="Arial"/>
                <w:position w:val="6"/>
                <w:sz w:val="16"/>
                <w:szCs w:val="20"/>
                <w:lang w:val="en-US"/>
              </w:rPr>
              <w:t>*)</w:t>
            </w:r>
          </w:p>
          <w:p w:rsidR="009C13A9" w:rsidRPr="00C903F8" w:rsidRDefault="009C13A9" w:rsidP="009C13A9">
            <w:pPr>
              <w:tabs>
                <w:tab w:val="left" w:leader="dot" w:pos="2268"/>
                <w:tab w:val="left" w:leader="dot" w:pos="3402"/>
                <w:tab w:val="left" w:leader="dot" w:pos="8505"/>
              </w:tabs>
              <w:overflowPunct w:val="0"/>
              <w:adjustRightInd w:val="0"/>
              <w:ind w:left="57" w:firstLine="0"/>
              <w:jc w:val="left"/>
              <w:textAlignment w:val="baseline"/>
              <w:rPr>
                <w:rFonts w:cs="Arial"/>
                <w:sz w:val="18"/>
                <w:szCs w:val="20"/>
                <w:lang w:val="en-US"/>
              </w:rPr>
            </w:pPr>
            <w:r w:rsidRPr="00C903F8">
              <w:rPr>
                <w:rFonts w:cs="Arial"/>
                <w:sz w:val="18"/>
                <w:szCs w:val="20"/>
                <w:lang w:val="en-US"/>
              </w:rPr>
              <w:t xml:space="preserve">until </w:t>
            </w:r>
            <w:r w:rsidRPr="00C903F8">
              <w:rPr>
                <w:rFonts w:cs="Arial"/>
                <w:sz w:val="18"/>
                <w:szCs w:val="20"/>
                <w:lang w:val="en-US"/>
              </w:rPr>
              <w:tab/>
              <w:t xml:space="preserve"> .</w:t>
            </w:r>
          </w:p>
          <w:p w:rsidR="009C13A9" w:rsidRPr="00C903F8" w:rsidRDefault="009C13A9" w:rsidP="00083603">
            <w:pPr>
              <w:tabs>
                <w:tab w:val="left" w:pos="57"/>
                <w:tab w:val="left" w:leader="dot" w:pos="3969"/>
                <w:tab w:val="left" w:leader="dot" w:pos="6237"/>
                <w:tab w:val="left" w:leader="dot" w:pos="8505"/>
              </w:tabs>
              <w:overflowPunct w:val="0"/>
              <w:adjustRightInd w:val="0"/>
              <w:spacing w:before="40"/>
              <w:ind w:left="57" w:firstLine="0"/>
              <w:jc w:val="left"/>
              <w:textAlignment w:val="baseline"/>
              <w:rPr>
                <w:rFonts w:cs="Arial"/>
                <w:sz w:val="18"/>
                <w:szCs w:val="20"/>
                <w:lang w:val="en-US"/>
              </w:rPr>
            </w:pPr>
            <w:r w:rsidRPr="00C903F8">
              <w:rPr>
                <w:rFonts w:cs="Arial"/>
                <w:sz w:val="18"/>
                <w:szCs w:val="20"/>
                <w:lang w:val="en-US"/>
              </w:rPr>
              <w:tab/>
              <w:t xml:space="preserve">, </w:t>
            </w:r>
            <w:r w:rsidRPr="00C903F8">
              <w:rPr>
                <w:rFonts w:cs="Arial"/>
                <w:sz w:val="18"/>
                <w:szCs w:val="20"/>
                <w:lang w:val="en-US"/>
              </w:rPr>
              <w:tab/>
            </w:r>
          </w:p>
          <w:p w:rsidR="009C13A9" w:rsidRPr="00C903F8" w:rsidRDefault="009C13A9" w:rsidP="009C13A9">
            <w:pPr>
              <w:tabs>
                <w:tab w:val="center" w:pos="2041"/>
                <w:tab w:val="center" w:pos="5216"/>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6"/>
                <w:szCs w:val="20"/>
                <w:lang w:val="en-US"/>
              </w:rPr>
              <w:t>(Place)</w:t>
            </w:r>
            <w:r w:rsidRPr="00C903F8">
              <w:rPr>
                <w:rFonts w:cs="Arial"/>
                <w:sz w:val="18"/>
                <w:szCs w:val="20"/>
                <w:lang w:val="en-US"/>
              </w:rPr>
              <w:tab/>
            </w:r>
            <w:r w:rsidRPr="00C903F8">
              <w:rPr>
                <w:rFonts w:cs="Arial"/>
                <w:sz w:val="16"/>
                <w:szCs w:val="20"/>
                <w:lang w:val="en-US"/>
              </w:rPr>
              <w:t>(date)</w:t>
            </w:r>
          </w:p>
          <w:p w:rsidR="009C13A9" w:rsidRPr="00C903F8" w:rsidRDefault="009C13A9" w:rsidP="009C13A9">
            <w:pPr>
              <w:tabs>
                <w:tab w:val="left" w:pos="4820"/>
                <w:tab w:val="left" w:leader="dot" w:pos="8505"/>
              </w:tabs>
              <w:overflowPunct w:val="0"/>
              <w:adjustRightInd w:val="0"/>
              <w:spacing w:before="120"/>
              <w:ind w:left="57"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E3172D">
            <w:pPr>
              <w:tabs>
                <w:tab w:val="center" w:pos="1985"/>
                <w:tab w:val="center" w:pos="6662"/>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00313B91" w:rsidRPr="00C903F8">
              <w:rPr>
                <w:rFonts w:cs="Arial"/>
                <w:sz w:val="16"/>
                <w:szCs w:val="20"/>
                <w:lang w:val="en-US"/>
              </w:rPr>
              <w:t>Stamp</w:t>
            </w:r>
            <w:r w:rsidRPr="00C903F8">
              <w:rPr>
                <w:rFonts w:cs="Arial"/>
                <w:sz w:val="18"/>
                <w:szCs w:val="20"/>
                <w:lang w:val="en-US"/>
              </w:rPr>
              <w:tab/>
            </w:r>
            <w:r w:rsidRPr="00C903F8">
              <w:rPr>
                <w:rFonts w:cs="Arial"/>
                <w:sz w:val="16"/>
                <w:szCs w:val="20"/>
                <w:lang w:val="en-US"/>
              </w:rPr>
              <w:t>Inspection Body</w:t>
            </w:r>
          </w:p>
          <w:p w:rsidR="009C13A9" w:rsidRPr="00C903F8" w:rsidRDefault="009C13A9" w:rsidP="00E3172D">
            <w:pPr>
              <w:tabs>
                <w:tab w:val="left" w:pos="4820"/>
                <w:tab w:val="left" w:leader="dot" w:pos="8505"/>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9616BC" w:rsidRDefault="009C13A9" w:rsidP="009C13A9">
            <w:pPr>
              <w:tabs>
                <w:tab w:val="center" w:pos="6662"/>
              </w:tabs>
              <w:overflowPunct w:val="0"/>
              <w:adjustRightInd w:val="0"/>
              <w:ind w:left="57" w:firstLine="0"/>
              <w:jc w:val="left"/>
              <w:textAlignment w:val="baseline"/>
              <w:rPr>
                <w:rFonts w:cs="Arial"/>
                <w:sz w:val="16"/>
                <w:szCs w:val="20"/>
                <w:lang w:val="en-US"/>
              </w:rPr>
            </w:pPr>
            <w:r w:rsidRPr="009616BC">
              <w:rPr>
                <w:rFonts w:cs="Arial"/>
                <w:sz w:val="18"/>
                <w:szCs w:val="20"/>
                <w:lang w:val="en-US"/>
              </w:rPr>
              <w:t>______________________</w:t>
            </w:r>
            <w:r w:rsidRPr="009616BC">
              <w:rPr>
                <w:rFonts w:cs="Arial"/>
                <w:sz w:val="18"/>
                <w:szCs w:val="20"/>
                <w:lang w:val="en-US"/>
              </w:rPr>
              <w:tab/>
            </w:r>
            <w:r w:rsidRPr="009616BC">
              <w:rPr>
                <w:rFonts w:cs="Arial"/>
                <w:sz w:val="16"/>
                <w:szCs w:val="20"/>
                <w:lang w:val="en-US"/>
              </w:rPr>
              <w:t>(Signature)</w:t>
            </w:r>
          </w:p>
          <w:p w:rsidR="009C13A9" w:rsidRPr="00C903F8" w:rsidRDefault="009C13A9" w:rsidP="009C13A9">
            <w:pPr>
              <w:tabs>
                <w:tab w:val="left" w:pos="57"/>
                <w:tab w:val="left" w:pos="227"/>
                <w:tab w:val="left" w:pos="5670"/>
                <w:tab w:val="left" w:leader="dot" w:pos="8505"/>
              </w:tabs>
              <w:overflowPunct w:val="0"/>
              <w:adjustRightInd w:val="0"/>
              <w:spacing w:after="40"/>
              <w:ind w:left="57" w:hanging="57"/>
              <w:jc w:val="left"/>
              <w:textAlignment w:val="baseline"/>
              <w:rPr>
                <w:rFonts w:cs="Arial"/>
                <w:sz w:val="18"/>
                <w:szCs w:val="20"/>
              </w:rPr>
            </w:pPr>
            <w:r w:rsidRPr="00C903F8">
              <w:rPr>
                <w:rFonts w:cs="Arial"/>
                <w:position w:val="4"/>
                <w:sz w:val="16"/>
                <w:szCs w:val="20"/>
                <w:vertAlign w:val="superscript"/>
              </w:rPr>
              <w:t>*)</w:t>
            </w:r>
            <w:r w:rsidRPr="00C903F8">
              <w:rPr>
                <w:rFonts w:cs="Arial"/>
                <w:sz w:val="16"/>
                <w:szCs w:val="20"/>
              </w:rPr>
              <w:tab/>
              <w:t>Delete as appropriate</w:t>
            </w:r>
          </w:p>
        </w:tc>
      </w:tr>
      <w:tr w:rsidR="009C13A9" w:rsidRPr="00C903F8" w:rsidTr="00083603">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60"/>
              <w:ind w:left="0" w:firstLine="0"/>
              <w:jc w:val="left"/>
              <w:textAlignment w:val="baseline"/>
              <w:rPr>
                <w:rFonts w:cs="Arial"/>
                <w:sz w:val="18"/>
                <w:szCs w:val="20"/>
              </w:rPr>
            </w:pPr>
            <w:r w:rsidRPr="00C903F8">
              <w:rPr>
                <w:rFonts w:cs="Arial"/>
                <w:sz w:val="18"/>
                <w:szCs w:val="20"/>
              </w:rPr>
              <w:t>49.</w:t>
            </w:r>
          </w:p>
        </w:tc>
        <w:tc>
          <w:tcPr>
            <w:tcW w:w="8902" w:type="dxa"/>
            <w:tcBorders>
              <w:top w:val="single" w:sz="6" w:space="0" w:color="auto"/>
              <w:bottom w:val="single" w:sz="6" w:space="0" w:color="auto"/>
              <w:right w:val="single" w:sz="6" w:space="0" w:color="auto"/>
            </w:tcBorders>
          </w:tcPr>
          <w:p w:rsidR="009C13A9" w:rsidRPr="00C903F8" w:rsidRDefault="009C13A9" w:rsidP="009C13A9">
            <w:pPr>
              <w:tabs>
                <w:tab w:val="left" w:pos="4310"/>
                <w:tab w:val="left" w:leader="dot" w:pos="8505"/>
              </w:tabs>
              <w:overflowPunct w:val="0"/>
              <w:adjustRightInd w:val="0"/>
              <w:spacing w:before="60"/>
              <w:ind w:left="57" w:firstLine="0"/>
              <w:jc w:val="left"/>
              <w:textAlignment w:val="baseline"/>
              <w:rPr>
                <w:rFonts w:cs="Arial"/>
                <w:b/>
                <w:position w:val="6"/>
                <w:sz w:val="16"/>
                <w:szCs w:val="20"/>
                <w:lang w:val="en-US"/>
              </w:rPr>
            </w:pPr>
            <w:r w:rsidRPr="00C903F8">
              <w:rPr>
                <w:rFonts w:cs="Arial"/>
                <w:b/>
                <w:sz w:val="18"/>
                <w:szCs w:val="20"/>
                <w:lang w:val="en-US"/>
              </w:rPr>
              <w:t xml:space="preserve">Extension/confirmation </w:t>
            </w:r>
            <w:r w:rsidRPr="00C903F8">
              <w:rPr>
                <w:rFonts w:cs="Arial"/>
                <w:b/>
                <w:position w:val="6"/>
                <w:sz w:val="16"/>
                <w:szCs w:val="20"/>
                <w:lang w:val="en-US"/>
              </w:rPr>
              <w:t>*)</w:t>
            </w:r>
            <w:r w:rsidRPr="00C903F8">
              <w:rPr>
                <w:rFonts w:cs="Arial"/>
                <w:b/>
                <w:sz w:val="18"/>
                <w:szCs w:val="20"/>
                <w:lang w:val="en-US"/>
              </w:rPr>
              <w:t xml:space="preserve"> of </w:t>
            </w:r>
            <w:r w:rsidR="007E2E18" w:rsidRPr="007E2E18">
              <w:rPr>
                <w:rFonts w:cs="Arial"/>
                <w:b/>
                <w:sz w:val="18"/>
                <w:szCs w:val="20"/>
                <w:lang w:val="en-US"/>
              </w:rPr>
              <w:t xml:space="preserve">inland navigation vessel certificate </w:t>
            </w:r>
            <w:r w:rsidRPr="00C903F8">
              <w:rPr>
                <w:rFonts w:cs="Arial"/>
                <w:b/>
                <w:sz w:val="18"/>
                <w:szCs w:val="20"/>
                <w:lang w:val="en-US"/>
              </w:rPr>
              <w:t>validity</w:t>
            </w:r>
            <w:r w:rsidRPr="00C903F8">
              <w:rPr>
                <w:rFonts w:cs="Arial"/>
                <w:b/>
                <w:position w:val="6"/>
                <w:sz w:val="16"/>
                <w:szCs w:val="20"/>
                <w:lang w:val="en-US"/>
              </w:rPr>
              <w:t>*)</w:t>
            </w:r>
            <w:r w:rsidR="007E2E18">
              <w:rPr>
                <w:rFonts w:cs="Arial"/>
                <w:b/>
                <w:position w:val="6"/>
                <w:sz w:val="16"/>
                <w:szCs w:val="20"/>
                <w:lang w:val="en-US"/>
              </w:rPr>
              <w:t xml:space="preserve"> </w:t>
            </w:r>
            <w:r w:rsidRPr="00C903F8">
              <w:rPr>
                <w:rFonts w:cs="Arial"/>
                <w:b/>
                <w:sz w:val="18"/>
                <w:szCs w:val="20"/>
                <w:lang w:val="en-US"/>
              </w:rPr>
              <w:t>Periodical - special</w:t>
            </w:r>
            <w:r w:rsidRPr="00C903F8">
              <w:rPr>
                <w:rFonts w:cs="Arial"/>
                <w:b/>
                <w:position w:val="6"/>
                <w:sz w:val="16"/>
                <w:szCs w:val="20"/>
                <w:lang w:val="en-US"/>
              </w:rPr>
              <w:t xml:space="preserve">*) </w:t>
            </w:r>
            <w:r w:rsidRPr="00C903F8">
              <w:rPr>
                <w:rFonts w:cs="Arial"/>
                <w:b/>
                <w:sz w:val="18"/>
                <w:szCs w:val="20"/>
                <w:lang w:val="en-US"/>
              </w:rPr>
              <w:t>inspection</w:t>
            </w:r>
          </w:p>
          <w:p w:rsidR="009C13A9" w:rsidRPr="00C903F8" w:rsidRDefault="009C13A9" w:rsidP="00083603">
            <w:pPr>
              <w:tabs>
                <w:tab w:val="left" w:leader="dot" w:pos="5103"/>
                <w:tab w:val="left" w:leader="dot" w:pos="8505"/>
              </w:tabs>
              <w:overflowPunct w:val="0"/>
              <w:adjustRightInd w:val="0"/>
              <w:spacing w:before="20"/>
              <w:ind w:left="57" w:firstLine="0"/>
              <w:jc w:val="left"/>
              <w:textAlignment w:val="baseline"/>
              <w:rPr>
                <w:rFonts w:cs="Arial"/>
                <w:sz w:val="18"/>
                <w:szCs w:val="20"/>
                <w:lang w:val="en-US"/>
              </w:rPr>
            </w:pPr>
            <w:r w:rsidRPr="00C903F8">
              <w:rPr>
                <w:rFonts w:cs="Arial"/>
                <w:sz w:val="18"/>
                <w:szCs w:val="20"/>
                <w:lang w:val="en-US"/>
              </w:rPr>
              <w:t>The Inspection Body inspected the vessel on</w:t>
            </w:r>
            <w:r w:rsidRPr="00C903F8">
              <w:rPr>
                <w:rFonts w:cs="Arial"/>
                <w:sz w:val="18"/>
                <w:szCs w:val="20"/>
                <w:lang w:val="en-US"/>
              </w:rPr>
              <w:tab/>
            </w:r>
            <w:r w:rsidRPr="00C903F8">
              <w:rPr>
                <w:rFonts w:cs="Arial"/>
                <w:position w:val="6"/>
                <w:sz w:val="16"/>
                <w:szCs w:val="20"/>
                <w:lang w:val="en-US"/>
              </w:rPr>
              <w:t>*)</w:t>
            </w:r>
            <w:r w:rsidRPr="00C903F8">
              <w:rPr>
                <w:rFonts w:cs="Arial"/>
                <w:sz w:val="18"/>
                <w:szCs w:val="20"/>
                <w:lang w:val="en-US"/>
              </w:rPr>
              <w:t>.</w:t>
            </w:r>
          </w:p>
          <w:p w:rsidR="009C13A9" w:rsidRPr="00C903F8" w:rsidRDefault="009C13A9" w:rsidP="00083603">
            <w:pPr>
              <w:tabs>
                <w:tab w:val="left" w:leader="dot" w:pos="3686"/>
                <w:tab w:val="left" w:leader="dot" w:pos="8505"/>
              </w:tabs>
              <w:overflowPunct w:val="0"/>
              <w:adjustRightInd w:val="0"/>
              <w:spacing w:before="20" w:after="20"/>
              <w:ind w:left="57" w:firstLine="0"/>
              <w:jc w:val="left"/>
              <w:textAlignment w:val="baseline"/>
              <w:rPr>
                <w:rFonts w:cs="Arial"/>
                <w:sz w:val="18"/>
                <w:szCs w:val="20"/>
                <w:lang w:val="en-US"/>
              </w:rPr>
            </w:pPr>
            <w:r w:rsidRPr="00C903F8">
              <w:rPr>
                <w:rFonts w:cs="Arial"/>
                <w:sz w:val="18"/>
                <w:szCs w:val="20"/>
                <w:lang w:val="en-US"/>
              </w:rPr>
              <w:t>A certificate dated</w:t>
            </w:r>
            <w:r w:rsidRPr="00C903F8">
              <w:rPr>
                <w:rFonts w:cs="Arial"/>
                <w:sz w:val="18"/>
                <w:szCs w:val="20"/>
                <w:lang w:val="en-US"/>
              </w:rPr>
              <w:tab/>
            </w:r>
            <w:r w:rsidRPr="00C903F8">
              <w:rPr>
                <w:noProof/>
                <w:sz w:val="18"/>
                <w:szCs w:val="20"/>
                <w:lang w:val="en-US" w:eastAsia="fr-BE"/>
              </w:rPr>
              <w:t xml:space="preserve">from the </w:t>
            </w:r>
            <w:r w:rsidR="004E1AD0" w:rsidRPr="00C903F8">
              <w:rPr>
                <w:rFonts w:cs="Arial"/>
                <w:szCs w:val="20"/>
                <w:lang w:val="en-US"/>
              </w:rPr>
              <w:t>recognised</w:t>
            </w:r>
            <w:r w:rsidRPr="00C903F8">
              <w:rPr>
                <w:noProof/>
                <w:sz w:val="18"/>
                <w:szCs w:val="20"/>
                <w:lang w:val="en-US" w:eastAsia="fr-BE"/>
              </w:rPr>
              <w:t xml:space="preserve"> classification society</w:t>
            </w:r>
            <w:r w:rsidRPr="00C903F8">
              <w:rPr>
                <w:rFonts w:cs="Arial"/>
                <w:sz w:val="18"/>
                <w:szCs w:val="20"/>
                <w:lang w:val="en-US"/>
              </w:rPr>
              <w:tab/>
            </w:r>
          </w:p>
          <w:p w:rsidR="009C13A9" w:rsidRPr="00C903F8" w:rsidRDefault="009C13A9" w:rsidP="009C13A9">
            <w:pPr>
              <w:tabs>
                <w:tab w:val="left" w:leader="dot" w:pos="8505"/>
              </w:tabs>
              <w:overflowPunct w:val="0"/>
              <w:adjustRightInd w:val="0"/>
              <w:ind w:lef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overflowPunct w:val="0"/>
              <w:adjustRightInd w:val="0"/>
              <w:spacing w:after="20"/>
              <w:ind w:left="57" w:firstLine="0"/>
              <w:jc w:val="left"/>
              <w:textAlignment w:val="baseline"/>
              <w:rPr>
                <w:rFonts w:cs="Arial"/>
                <w:sz w:val="18"/>
                <w:szCs w:val="20"/>
                <w:lang w:val="en-US"/>
              </w:rPr>
            </w:pPr>
            <w:r w:rsidRPr="00C903F8">
              <w:rPr>
                <w:noProof/>
                <w:sz w:val="18"/>
                <w:szCs w:val="20"/>
                <w:lang w:val="en-US" w:eastAsia="fr-BE"/>
              </w:rPr>
              <w:t>was presented to the Inspection Body</w:t>
            </w:r>
            <w:r w:rsidRPr="00C903F8">
              <w:rPr>
                <w:rFonts w:cs="Arial"/>
                <w:position w:val="6"/>
                <w:sz w:val="16"/>
                <w:szCs w:val="20"/>
                <w:lang w:val="en-US"/>
              </w:rPr>
              <w:t>*)</w:t>
            </w:r>
            <w:r w:rsidRPr="00C903F8">
              <w:rPr>
                <w:rFonts w:cs="Arial"/>
                <w:sz w:val="18"/>
                <w:szCs w:val="20"/>
                <w:lang w:val="en-US"/>
              </w:rPr>
              <w:t>.</w:t>
            </w:r>
          </w:p>
          <w:p w:rsidR="009C13A9" w:rsidRPr="00C903F8" w:rsidRDefault="009C13A9" w:rsidP="009C13A9">
            <w:pPr>
              <w:overflowPunct w:val="0"/>
              <w:adjustRightInd w:val="0"/>
              <w:spacing w:after="20"/>
              <w:ind w:left="57" w:firstLine="0"/>
              <w:jc w:val="left"/>
              <w:textAlignment w:val="baseline"/>
              <w:rPr>
                <w:rFonts w:cs="Arial"/>
                <w:sz w:val="18"/>
                <w:szCs w:val="20"/>
                <w:lang w:val="en-US"/>
              </w:rPr>
            </w:pPr>
            <w:r w:rsidRPr="00C903F8">
              <w:rPr>
                <w:noProof/>
                <w:sz w:val="18"/>
                <w:szCs w:val="20"/>
                <w:lang w:val="en-US" w:eastAsia="fr-BE"/>
              </w:rPr>
              <w:t>Reason for the inspection/certificate</w:t>
            </w:r>
            <w:r w:rsidRPr="00C903F8">
              <w:rPr>
                <w:rFonts w:cs="Arial"/>
                <w:position w:val="6"/>
                <w:sz w:val="16"/>
                <w:szCs w:val="20"/>
                <w:lang w:val="en-US"/>
              </w:rPr>
              <w:t>*)</w:t>
            </w:r>
            <w:r w:rsidRPr="00C903F8">
              <w:rPr>
                <w:rFonts w:cs="Arial"/>
                <w:sz w:val="18"/>
                <w:szCs w:val="20"/>
                <w:lang w:val="en-US"/>
              </w:rPr>
              <w:t>:</w:t>
            </w:r>
          </w:p>
          <w:p w:rsidR="009C13A9" w:rsidRPr="00C903F8" w:rsidRDefault="009C13A9" w:rsidP="00083603">
            <w:pPr>
              <w:tabs>
                <w:tab w:val="left" w:leader="dot" w:pos="8505"/>
              </w:tabs>
              <w:overflowPunct w:val="0"/>
              <w:adjustRightInd w:val="0"/>
              <w:spacing w:after="80"/>
              <w:ind w:left="57" w:firstLine="0"/>
              <w:jc w:val="left"/>
              <w:textAlignment w:val="baseline"/>
              <w:rPr>
                <w:rFonts w:cs="Arial"/>
                <w:position w:val="6"/>
                <w:sz w:val="16"/>
                <w:szCs w:val="20"/>
                <w:lang w:val="en-US"/>
              </w:rPr>
            </w:pPr>
            <w:r w:rsidRPr="00C903F8">
              <w:rPr>
                <w:rFonts w:cs="Arial"/>
                <w:position w:val="6"/>
                <w:sz w:val="16"/>
                <w:szCs w:val="20"/>
                <w:lang w:val="en-US"/>
              </w:rPr>
              <w:tab/>
            </w:r>
          </w:p>
          <w:p w:rsidR="009C13A9" w:rsidRPr="00C903F8" w:rsidRDefault="009C13A9" w:rsidP="009C13A9">
            <w:pPr>
              <w:tabs>
                <w:tab w:val="left" w:leader="dot" w:pos="8505"/>
              </w:tabs>
              <w:overflowPunct w:val="0"/>
              <w:adjustRightInd w:val="0"/>
              <w:ind w:left="57" w:firstLine="0"/>
              <w:jc w:val="left"/>
              <w:textAlignment w:val="baseline"/>
              <w:rPr>
                <w:rFonts w:cs="Arial"/>
                <w:position w:val="6"/>
                <w:sz w:val="16"/>
                <w:szCs w:val="20"/>
                <w:lang w:val="en-US"/>
              </w:rPr>
            </w:pPr>
            <w:r w:rsidRPr="00C903F8">
              <w:rPr>
                <w:rFonts w:cs="Arial"/>
                <w:position w:val="6"/>
                <w:sz w:val="16"/>
                <w:szCs w:val="20"/>
                <w:lang w:val="en-US"/>
              </w:rPr>
              <w:tab/>
            </w:r>
          </w:p>
          <w:p w:rsidR="009C13A9" w:rsidRPr="00C903F8" w:rsidRDefault="009C13A9" w:rsidP="009C13A9">
            <w:pPr>
              <w:tabs>
                <w:tab w:val="left" w:leader="dot" w:pos="8505"/>
              </w:tabs>
              <w:overflowPunct w:val="0"/>
              <w:adjustRightInd w:val="0"/>
              <w:ind w:left="57" w:firstLine="0"/>
              <w:jc w:val="left"/>
              <w:textAlignment w:val="baseline"/>
              <w:rPr>
                <w:rFonts w:cs="Arial"/>
                <w:position w:val="6"/>
                <w:sz w:val="16"/>
                <w:szCs w:val="20"/>
                <w:lang w:val="en-US"/>
              </w:rPr>
            </w:pPr>
            <w:r w:rsidRPr="00C903F8">
              <w:rPr>
                <w:rFonts w:cs="Arial"/>
                <w:sz w:val="18"/>
                <w:szCs w:val="20"/>
                <w:lang w:val="en-US"/>
              </w:rPr>
              <w:t xml:space="preserve">In view of – the inspection result - certificate - *), the period of validity of the </w:t>
            </w:r>
            <w:r w:rsidR="007E2E18" w:rsidRPr="007E2E18">
              <w:rPr>
                <w:rFonts w:cs="Arial"/>
                <w:sz w:val="18"/>
                <w:szCs w:val="20"/>
                <w:lang w:val="en-US"/>
              </w:rPr>
              <w:t xml:space="preserve">inland navigation vessel certificate </w:t>
            </w:r>
            <w:r w:rsidRPr="00C903F8">
              <w:rPr>
                <w:rFonts w:cs="Arial"/>
                <w:sz w:val="18"/>
                <w:szCs w:val="20"/>
                <w:lang w:val="en-US"/>
              </w:rPr>
              <w:t>is maintained – extended -</w:t>
            </w:r>
            <w:r w:rsidRPr="00C903F8">
              <w:rPr>
                <w:rFonts w:cs="Arial"/>
                <w:position w:val="6"/>
                <w:sz w:val="16"/>
                <w:szCs w:val="20"/>
                <w:lang w:val="en-US"/>
              </w:rPr>
              <w:t>*)</w:t>
            </w:r>
          </w:p>
          <w:p w:rsidR="009C13A9" w:rsidRPr="00C903F8" w:rsidRDefault="009C13A9" w:rsidP="009C13A9">
            <w:pPr>
              <w:tabs>
                <w:tab w:val="left" w:leader="dot" w:pos="2268"/>
                <w:tab w:val="left" w:leader="dot" w:pos="3402"/>
                <w:tab w:val="left" w:leader="dot" w:pos="8505"/>
              </w:tabs>
              <w:overflowPunct w:val="0"/>
              <w:adjustRightInd w:val="0"/>
              <w:ind w:left="57" w:firstLine="0"/>
              <w:jc w:val="left"/>
              <w:textAlignment w:val="baseline"/>
              <w:rPr>
                <w:rFonts w:cs="Arial"/>
                <w:sz w:val="18"/>
                <w:szCs w:val="20"/>
                <w:lang w:val="en-US"/>
              </w:rPr>
            </w:pPr>
            <w:r w:rsidRPr="00C903F8">
              <w:rPr>
                <w:rFonts w:cs="Arial"/>
                <w:sz w:val="18"/>
                <w:szCs w:val="20"/>
                <w:lang w:val="en-US"/>
              </w:rPr>
              <w:t xml:space="preserve">until </w:t>
            </w:r>
            <w:r w:rsidRPr="00C903F8">
              <w:rPr>
                <w:rFonts w:cs="Arial"/>
                <w:sz w:val="18"/>
                <w:szCs w:val="20"/>
                <w:lang w:val="en-US"/>
              </w:rPr>
              <w:tab/>
              <w:t xml:space="preserve"> .</w:t>
            </w:r>
          </w:p>
          <w:p w:rsidR="009C13A9" w:rsidRPr="00C903F8" w:rsidRDefault="009C13A9" w:rsidP="00083603">
            <w:pPr>
              <w:tabs>
                <w:tab w:val="left" w:pos="57"/>
                <w:tab w:val="left" w:leader="dot" w:pos="3969"/>
                <w:tab w:val="left" w:leader="dot" w:pos="6237"/>
                <w:tab w:val="left" w:leader="dot" w:pos="8505"/>
              </w:tabs>
              <w:overflowPunct w:val="0"/>
              <w:adjustRightInd w:val="0"/>
              <w:spacing w:before="40"/>
              <w:ind w:left="57" w:firstLine="0"/>
              <w:jc w:val="left"/>
              <w:textAlignment w:val="baseline"/>
              <w:rPr>
                <w:rFonts w:cs="Arial"/>
                <w:sz w:val="18"/>
                <w:szCs w:val="20"/>
                <w:lang w:val="en-US"/>
              </w:rPr>
            </w:pPr>
            <w:r w:rsidRPr="00C903F8">
              <w:rPr>
                <w:rFonts w:cs="Arial"/>
                <w:sz w:val="18"/>
                <w:szCs w:val="20"/>
                <w:lang w:val="en-US"/>
              </w:rPr>
              <w:tab/>
              <w:t xml:space="preserve">, </w:t>
            </w:r>
            <w:r w:rsidRPr="00C903F8">
              <w:rPr>
                <w:rFonts w:cs="Arial"/>
                <w:sz w:val="18"/>
                <w:szCs w:val="20"/>
                <w:lang w:val="en-US"/>
              </w:rPr>
              <w:tab/>
            </w:r>
          </w:p>
          <w:p w:rsidR="009C13A9" w:rsidRPr="00C903F8" w:rsidRDefault="009C13A9" w:rsidP="009C13A9">
            <w:pPr>
              <w:tabs>
                <w:tab w:val="center" w:pos="2041"/>
                <w:tab w:val="center" w:pos="5216"/>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6"/>
                <w:szCs w:val="20"/>
                <w:lang w:val="en-US"/>
              </w:rPr>
              <w:t>(Place)</w:t>
            </w:r>
            <w:r w:rsidRPr="00C903F8">
              <w:rPr>
                <w:rFonts w:cs="Arial"/>
                <w:sz w:val="18"/>
                <w:szCs w:val="20"/>
                <w:lang w:val="en-US"/>
              </w:rPr>
              <w:tab/>
            </w:r>
            <w:r w:rsidRPr="00C903F8">
              <w:rPr>
                <w:rFonts w:cs="Arial"/>
                <w:sz w:val="16"/>
                <w:szCs w:val="20"/>
                <w:lang w:val="en-US"/>
              </w:rPr>
              <w:t>(date)</w:t>
            </w:r>
          </w:p>
          <w:p w:rsidR="009C13A9" w:rsidRPr="00C903F8" w:rsidRDefault="009C13A9" w:rsidP="009C13A9">
            <w:pPr>
              <w:tabs>
                <w:tab w:val="left" w:pos="4820"/>
                <w:tab w:val="left" w:leader="dot" w:pos="8505"/>
              </w:tabs>
              <w:overflowPunct w:val="0"/>
              <w:adjustRightInd w:val="0"/>
              <w:spacing w:before="120"/>
              <w:ind w:left="57"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AA5614">
            <w:pPr>
              <w:tabs>
                <w:tab w:val="center" w:pos="1985"/>
                <w:tab w:val="center" w:pos="6662"/>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00313B91" w:rsidRPr="00C903F8">
              <w:rPr>
                <w:rFonts w:cs="Arial"/>
                <w:sz w:val="16"/>
                <w:szCs w:val="20"/>
                <w:lang w:val="en-US"/>
              </w:rPr>
              <w:t>Stamp</w:t>
            </w:r>
            <w:r w:rsidRPr="00C903F8">
              <w:rPr>
                <w:rFonts w:cs="Arial"/>
                <w:sz w:val="18"/>
                <w:szCs w:val="20"/>
                <w:lang w:val="en-US"/>
              </w:rPr>
              <w:tab/>
            </w:r>
            <w:r w:rsidRPr="00C903F8">
              <w:rPr>
                <w:rFonts w:cs="Arial"/>
                <w:sz w:val="16"/>
                <w:szCs w:val="20"/>
                <w:lang w:val="en-US"/>
              </w:rPr>
              <w:t>Inspection Body</w:t>
            </w:r>
          </w:p>
          <w:p w:rsidR="009C13A9" w:rsidRPr="00C903F8" w:rsidRDefault="009C13A9" w:rsidP="00AA5614">
            <w:pPr>
              <w:tabs>
                <w:tab w:val="left" w:pos="4820"/>
                <w:tab w:val="left" w:leader="dot" w:pos="8505"/>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6662"/>
              </w:tabs>
              <w:overflowPunct w:val="0"/>
              <w:adjustRightInd w:val="0"/>
              <w:ind w:left="57" w:firstLine="0"/>
              <w:jc w:val="left"/>
              <w:textAlignment w:val="baseline"/>
              <w:rPr>
                <w:rFonts w:cs="Arial"/>
                <w:sz w:val="16"/>
                <w:szCs w:val="20"/>
                <w:lang w:val="en-US"/>
              </w:rPr>
            </w:pPr>
            <w:r w:rsidRPr="00C903F8">
              <w:rPr>
                <w:rFonts w:cs="Arial"/>
                <w:sz w:val="18"/>
                <w:szCs w:val="20"/>
                <w:lang w:val="en-US"/>
              </w:rPr>
              <w:t>______________________</w:t>
            </w:r>
            <w:r w:rsidRPr="00C903F8">
              <w:rPr>
                <w:rFonts w:cs="Arial"/>
                <w:sz w:val="18"/>
                <w:szCs w:val="20"/>
                <w:lang w:val="en-US"/>
              </w:rPr>
              <w:tab/>
            </w:r>
            <w:r w:rsidRPr="00C903F8">
              <w:rPr>
                <w:rFonts w:cs="Arial"/>
                <w:sz w:val="16"/>
                <w:szCs w:val="20"/>
                <w:lang w:val="en-US"/>
              </w:rPr>
              <w:t>(Signature)</w:t>
            </w:r>
          </w:p>
          <w:p w:rsidR="009C13A9" w:rsidRPr="00C903F8" w:rsidRDefault="009C13A9" w:rsidP="009C13A9">
            <w:pPr>
              <w:tabs>
                <w:tab w:val="left" w:pos="57"/>
                <w:tab w:val="left" w:pos="227"/>
                <w:tab w:val="left" w:pos="5670"/>
                <w:tab w:val="left" w:leader="dot" w:pos="8505"/>
              </w:tabs>
              <w:overflowPunct w:val="0"/>
              <w:adjustRightInd w:val="0"/>
              <w:spacing w:after="40"/>
              <w:ind w:left="57" w:hanging="57"/>
              <w:jc w:val="left"/>
              <w:textAlignment w:val="baseline"/>
              <w:rPr>
                <w:rFonts w:cs="Arial"/>
                <w:sz w:val="18"/>
                <w:szCs w:val="20"/>
              </w:rPr>
            </w:pPr>
            <w:r w:rsidRPr="00C903F8">
              <w:rPr>
                <w:rFonts w:cs="Arial"/>
                <w:position w:val="4"/>
                <w:sz w:val="16"/>
                <w:szCs w:val="20"/>
                <w:vertAlign w:val="superscript"/>
              </w:rPr>
              <w:t>*)</w:t>
            </w:r>
            <w:r w:rsidRPr="00C903F8">
              <w:rPr>
                <w:rFonts w:cs="Arial"/>
                <w:sz w:val="16"/>
                <w:szCs w:val="20"/>
              </w:rPr>
              <w:tab/>
              <w:t>Delete as appropriate</w:t>
            </w:r>
          </w:p>
        </w:tc>
      </w:tr>
      <w:tr w:rsidR="009C13A9" w:rsidRPr="00C903F8" w:rsidTr="00083603">
        <w:trPr>
          <w:cantSplit/>
          <w:jc w:val="center"/>
        </w:trPr>
        <w:tc>
          <w:tcPr>
            <w:tcW w:w="284" w:type="dxa"/>
            <w:tcBorders>
              <w:top w:val="single" w:sz="6" w:space="0" w:color="auto"/>
              <w:left w:val="single" w:sz="6" w:space="0" w:color="auto"/>
              <w:bottom w:val="single" w:sz="4" w:space="0" w:color="auto"/>
            </w:tcBorders>
          </w:tcPr>
          <w:p w:rsidR="009C13A9" w:rsidRPr="00C903F8" w:rsidRDefault="009C13A9" w:rsidP="009C13A9">
            <w:pPr>
              <w:tabs>
                <w:tab w:val="left" w:pos="57"/>
                <w:tab w:val="left" w:pos="227"/>
              </w:tabs>
              <w:overflowPunct w:val="0"/>
              <w:adjustRightInd w:val="0"/>
              <w:spacing w:before="60"/>
              <w:ind w:left="0" w:firstLine="0"/>
              <w:jc w:val="left"/>
              <w:textAlignment w:val="baseline"/>
              <w:rPr>
                <w:rFonts w:cs="Arial"/>
                <w:sz w:val="18"/>
                <w:szCs w:val="20"/>
              </w:rPr>
            </w:pPr>
            <w:r w:rsidRPr="00C903F8">
              <w:rPr>
                <w:rFonts w:cs="Arial"/>
                <w:sz w:val="18"/>
                <w:szCs w:val="20"/>
              </w:rPr>
              <w:t>49.</w:t>
            </w:r>
          </w:p>
        </w:tc>
        <w:tc>
          <w:tcPr>
            <w:tcW w:w="8902" w:type="dxa"/>
            <w:tcBorders>
              <w:top w:val="single" w:sz="6" w:space="0" w:color="auto"/>
              <w:bottom w:val="single" w:sz="4" w:space="0" w:color="auto"/>
              <w:right w:val="single" w:sz="6" w:space="0" w:color="auto"/>
            </w:tcBorders>
          </w:tcPr>
          <w:p w:rsidR="009C13A9" w:rsidRPr="00C903F8" w:rsidRDefault="009C13A9" w:rsidP="009C13A9">
            <w:pPr>
              <w:tabs>
                <w:tab w:val="left" w:pos="4310"/>
                <w:tab w:val="left" w:leader="dot" w:pos="8505"/>
              </w:tabs>
              <w:overflowPunct w:val="0"/>
              <w:adjustRightInd w:val="0"/>
              <w:spacing w:before="60"/>
              <w:ind w:left="57" w:firstLine="0"/>
              <w:jc w:val="left"/>
              <w:textAlignment w:val="baseline"/>
              <w:rPr>
                <w:rFonts w:cs="Arial"/>
                <w:b/>
                <w:position w:val="6"/>
                <w:sz w:val="16"/>
                <w:szCs w:val="20"/>
                <w:lang w:val="en-US"/>
              </w:rPr>
            </w:pPr>
            <w:r w:rsidRPr="00C903F8">
              <w:rPr>
                <w:rFonts w:cs="Arial"/>
                <w:b/>
                <w:sz w:val="18"/>
                <w:szCs w:val="20"/>
                <w:lang w:val="en-US"/>
              </w:rPr>
              <w:t xml:space="preserve">Extension/confirmation </w:t>
            </w:r>
            <w:r w:rsidRPr="00C903F8">
              <w:rPr>
                <w:rFonts w:cs="Arial"/>
                <w:b/>
                <w:position w:val="6"/>
                <w:sz w:val="16"/>
                <w:szCs w:val="20"/>
                <w:lang w:val="en-US"/>
              </w:rPr>
              <w:t>*)</w:t>
            </w:r>
            <w:r w:rsidRPr="00C903F8">
              <w:rPr>
                <w:rFonts w:cs="Arial"/>
                <w:b/>
                <w:sz w:val="18"/>
                <w:szCs w:val="20"/>
                <w:lang w:val="en-US"/>
              </w:rPr>
              <w:t xml:space="preserve"> of </w:t>
            </w:r>
            <w:r w:rsidR="007E2E18" w:rsidRPr="007E2E18">
              <w:rPr>
                <w:rFonts w:cs="Arial"/>
                <w:b/>
                <w:sz w:val="18"/>
                <w:szCs w:val="20"/>
                <w:lang w:val="en-US"/>
              </w:rPr>
              <w:t xml:space="preserve">inland navigation vessel certificate </w:t>
            </w:r>
            <w:r w:rsidRPr="00C903F8">
              <w:rPr>
                <w:rFonts w:cs="Arial"/>
                <w:b/>
                <w:sz w:val="18"/>
                <w:szCs w:val="20"/>
                <w:lang w:val="en-US"/>
              </w:rPr>
              <w:t>validity</w:t>
            </w:r>
            <w:r w:rsidRPr="00C903F8">
              <w:rPr>
                <w:rFonts w:cs="Arial"/>
                <w:b/>
                <w:position w:val="6"/>
                <w:sz w:val="16"/>
                <w:szCs w:val="20"/>
                <w:lang w:val="en-US"/>
              </w:rPr>
              <w:t>*)</w:t>
            </w:r>
            <w:r w:rsidR="007E2E18">
              <w:rPr>
                <w:rFonts w:cs="Arial"/>
                <w:b/>
                <w:sz w:val="18"/>
                <w:szCs w:val="20"/>
                <w:lang w:val="en-US"/>
              </w:rPr>
              <w:t xml:space="preserve"> </w:t>
            </w:r>
            <w:r w:rsidRPr="00C903F8">
              <w:rPr>
                <w:rFonts w:cs="Arial"/>
                <w:b/>
                <w:sz w:val="18"/>
                <w:szCs w:val="20"/>
                <w:lang w:val="en-US"/>
              </w:rPr>
              <w:t>Periodical - special</w:t>
            </w:r>
            <w:r w:rsidRPr="00C903F8">
              <w:rPr>
                <w:rFonts w:cs="Arial"/>
                <w:b/>
                <w:position w:val="6"/>
                <w:sz w:val="16"/>
                <w:szCs w:val="20"/>
                <w:lang w:val="en-US"/>
              </w:rPr>
              <w:t xml:space="preserve">*) </w:t>
            </w:r>
            <w:r w:rsidRPr="00C903F8">
              <w:rPr>
                <w:rFonts w:cs="Arial"/>
                <w:b/>
                <w:sz w:val="18"/>
                <w:szCs w:val="20"/>
                <w:lang w:val="en-US"/>
              </w:rPr>
              <w:t>inspection</w:t>
            </w:r>
          </w:p>
          <w:p w:rsidR="009C13A9" w:rsidRPr="00C903F8" w:rsidRDefault="009C13A9" w:rsidP="00083603">
            <w:pPr>
              <w:tabs>
                <w:tab w:val="left" w:leader="dot" w:pos="5103"/>
                <w:tab w:val="left" w:leader="dot" w:pos="8505"/>
              </w:tabs>
              <w:overflowPunct w:val="0"/>
              <w:adjustRightInd w:val="0"/>
              <w:spacing w:before="20" w:after="20"/>
              <w:ind w:left="57" w:firstLine="0"/>
              <w:jc w:val="left"/>
              <w:textAlignment w:val="baseline"/>
              <w:rPr>
                <w:rFonts w:cs="Arial"/>
                <w:sz w:val="18"/>
                <w:szCs w:val="20"/>
                <w:lang w:val="en-US"/>
              </w:rPr>
            </w:pPr>
            <w:r w:rsidRPr="00C903F8">
              <w:rPr>
                <w:rFonts w:cs="Arial"/>
                <w:sz w:val="18"/>
                <w:szCs w:val="20"/>
                <w:lang w:val="en-US"/>
              </w:rPr>
              <w:t>The Inspection Body inspected the vessel on</w:t>
            </w:r>
            <w:r w:rsidRPr="00C903F8">
              <w:rPr>
                <w:rFonts w:cs="Arial"/>
                <w:sz w:val="18"/>
                <w:szCs w:val="20"/>
                <w:lang w:val="en-US"/>
              </w:rPr>
              <w:tab/>
            </w:r>
            <w:r w:rsidRPr="00C903F8">
              <w:rPr>
                <w:rFonts w:cs="Arial"/>
                <w:position w:val="6"/>
                <w:sz w:val="16"/>
                <w:szCs w:val="20"/>
                <w:lang w:val="en-US"/>
              </w:rPr>
              <w:t>*)</w:t>
            </w:r>
            <w:r w:rsidRPr="00C903F8">
              <w:rPr>
                <w:rFonts w:cs="Arial"/>
                <w:sz w:val="18"/>
                <w:szCs w:val="20"/>
                <w:lang w:val="en-US"/>
              </w:rPr>
              <w:t>.</w:t>
            </w:r>
          </w:p>
          <w:p w:rsidR="009C13A9" w:rsidRPr="00C903F8" w:rsidRDefault="009C13A9" w:rsidP="00083603">
            <w:pPr>
              <w:tabs>
                <w:tab w:val="left" w:leader="dot" w:pos="3686"/>
                <w:tab w:val="left" w:leader="dot" w:pos="8505"/>
              </w:tabs>
              <w:overflowPunct w:val="0"/>
              <w:adjustRightInd w:val="0"/>
              <w:spacing w:before="20" w:after="20"/>
              <w:ind w:left="57" w:firstLine="0"/>
              <w:jc w:val="left"/>
              <w:textAlignment w:val="baseline"/>
              <w:rPr>
                <w:rFonts w:cs="Arial"/>
                <w:sz w:val="18"/>
                <w:szCs w:val="20"/>
                <w:lang w:val="en-US"/>
              </w:rPr>
            </w:pPr>
            <w:r w:rsidRPr="00C903F8">
              <w:rPr>
                <w:rFonts w:cs="Arial"/>
                <w:sz w:val="18"/>
                <w:szCs w:val="20"/>
                <w:lang w:val="en-US"/>
              </w:rPr>
              <w:t>A certificate dated</w:t>
            </w:r>
            <w:r w:rsidRPr="00C903F8">
              <w:rPr>
                <w:rFonts w:cs="Arial"/>
                <w:sz w:val="18"/>
                <w:szCs w:val="20"/>
                <w:lang w:val="en-US"/>
              </w:rPr>
              <w:tab/>
            </w:r>
            <w:r w:rsidRPr="00C903F8">
              <w:rPr>
                <w:noProof/>
                <w:sz w:val="18"/>
                <w:szCs w:val="20"/>
                <w:lang w:val="en-US" w:eastAsia="fr-BE"/>
              </w:rPr>
              <w:t xml:space="preserve">from the </w:t>
            </w:r>
            <w:r w:rsidR="004E1AD0" w:rsidRPr="00C903F8">
              <w:rPr>
                <w:rFonts w:cs="Arial"/>
                <w:szCs w:val="20"/>
                <w:lang w:val="en-US"/>
              </w:rPr>
              <w:t>recognised</w:t>
            </w:r>
            <w:r w:rsidRPr="00C903F8">
              <w:rPr>
                <w:noProof/>
                <w:sz w:val="18"/>
                <w:szCs w:val="20"/>
                <w:lang w:val="en-US" w:eastAsia="fr-BE"/>
              </w:rPr>
              <w:t xml:space="preserve"> classification society</w:t>
            </w:r>
            <w:r w:rsidRPr="00C903F8">
              <w:rPr>
                <w:rFonts w:cs="Arial"/>
                <w:sz w:val="18"/>
                <w:szCs w:val="20"/>
                <w:lang w:val="en-US"/>
              </w:rPr>
              <w:tab/>
            </w:r>
          </w:p>
          <w:p w:rsidR="009C13A9" w:rsidRPr="00C903F8" w:rsidRDefault="009C13A9" w:rsidP="009C13A9">
            <w:pPr>
              <w:tabs>
                <w:tab w:val="left" w:leader="dot" w:pos="8505"/>
              </w:tabs>
              <w:overflowPunct w:val="0"/>
              <w:adjustRightInd w:val="0"/>
              <w:ind w:lef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overflowPunct w:val="0"/>
              <w:adjustRightInd w:val="0"/>
              <w:spacing w:after="20"/>
              <w:ind w:left="57" w:firstLine="0"/>
              <w:jc w:val="left"/>
              <w:textAlignment w:val="baseline"/>
              <w:rPr>
                <w:rFonts w:cs="Arial"/>
                <w:sz w:val="18"/>
                <w:szCs w:val="20"/>
                <w:lang w:val="en-US"/>
              </w:rPr>
            </w:pPr>
            <w:r w:rsidRPr="00C903F8">
              <w:rPr>
                <w:noProof/>
                <w:sz w:val="18"/>
                <w:szCs w:val="20"/>
                <w:lang w:val="en-US" w:eastAsia="fr-BE"/>
              </w:rPr>
              <w:t>was presented to the Inspection Body</w:t>
            </w:r>
            <w:r w:rsidRPr="00C903F8">
              <w:rPr>
                <w:rFonts w:cs="Arial"/>
                <w:position w:val="6"/>
                <w:sz w:val="16"/>
                <w:szCs w:val="20"/>
                <w:lang w:val="en-US"/>
              </w:rPr>
              <w:t>*)</w:t>
            </w:r>
            <w:r w:rsidRPr="00C903F8">
              <w:rPr>
                <w:rFonts w:cs="Arial"/>
                <w:sz w:val="18"/>
                <w:szCs w:val="20"/>
                <w:lang w:val="en-US"/>
              </w:rPr>
              <w:t>.</w:t>
            </w:r>
          </w:p>
          <w:p w:rsidR="009C13A9" w:rsidRPr="00C903F8" w:rsidRDefault="009C13A9" w:rsidP="009C13A9">
            <w:pPr>
              <w:overflowPunct w:val="0"/>
              <w:adjustRightInd w:val="0"/>
              <w:spacing w:after="20"/>
              <w:ind w:left="57" w:firstLine="0"/>
              <w:jc w:val="left"/>
              <w:textAlignment w:val="baseline"/>
              <w:rPr>
                <w:rFonts w:cs="Arial"/>
                <w:sz w:val="18"/>
                <w:szCs w:val="20"/>
                <w:lang w:val="en-US"/>
              </w:rPr>
            </w:pPr>
            <w:r w:rsidRPr="00C903F8">
              <w:rPr>
                <w:noProof/>
                <w:sz w:val="18"/>
                <w:szCs w:val="20"/>
                <w:lang w:val="en-US" w:eastAsia="fr-BE"/>
              </w:rPr>
              <w:t>Reason for the inspection/certificate</w:t>
            </w:r>
            <w:r w:rsidRPr="00C903F8">
              <w:rPr>
                <w:rFonts w:cs="Arial"/>
                <w:position w:val="6"/>
                <w:sz w:val="16"/>
                <w:szCs w:val="20"/>
                <w:lang w:val="en-US"/>
              </w:rPr>
              <w:t>*)</w:t>
            </w:r>
            <w:r w:rsidRPr="00C903F8">
              <w:rPr>
                <w:rFonts w:cs="Arial"/>
                <w:sz w:val="18"/>
                <w:szCs w:val="20"/>
                <w:lang w:val="en-US"/>
              </w:rPr>
              <w:t>:</w:t>
            </w:r>
          </w:p>
          <w:p w:rsidR="009C13A9" w:rsidRPr="00C903F8" w:rsidRDefault="009C13A9" w:rsidP="00083603">
            <w:pPr>
              <w:tabs>
                <w:tab w:val="left" w:leader="dot" w:pos="8505"/>
              </w:tabs>
              <w:overflowPunct w:val="0"/>
              <w:adjustRightInd w:val="0"/>
              <w:spacing w:after="80"/>
              <w:ind w:left="57" w:firstLine="0"/>
              <w:jc w:val="left"/>
              <w:textAlignment w:val="baseline"/>
              <w:rPr>
                <w:rFonts w:cs="Arial"/>
                <w:position w:val="6"/>
                <w:sz w:val="16"/>
                <w:szCs w:val="20"/>
                <w:lang w:val="en-US"/>
              </w:rPr>
            </w:pPr>
            <w:r w:rsidRPr="00C903F8">
              <w:rPr>
                <w:rFonts w:cs="Arial"/>
                <w:position w:val="6"/>
                <w:sz w:val="16"/>
                <w:szCs w:val="20"/>
                <w:lang w:val="en-US"/>
              </w:rPr>
              <w:tab/>
            </w:r>
          </w:p>
          <w:p w:rsidR="009C13A9" w:rsidRPr="00C903F8" w:rsidRDefault="009C13A9" w:rsidP="009C13A9">
            <w:pPr>
              <w:tabs>
                <w:tab w:val="left" w:leader="dot" w:pos="8505"/>
              </w:tabs>
              <w:overflowPunct w:val="0"/>
              <w:adjustRightInd w:val="0"/>
              <w:ind w:left="57" w:firstLine="0"/>
              <w:jc w:val="left"/>
              <w:textAlignment w:val="baseline"/>
              <w:rPr>
                <w:rFonts w:cs="Arial"/>
                <w:position w:val="6"/>
                <w:sz w:val="16"/>
                <w:szCs w:val="20"/>
                <w:lang w:val="en-US"/>
              </w:rPr>
            </w:pPr>
            <w:r w:rsidRPr="00C903F8">
              <w:rPr>
                <w:rFonts w:cs="Arial"/>
                <w:position w:val="6"/>
                <w:sz w:val="16"/>
                <w:szCs w:val="20"/>
                <w:lang w:val="en-US"/>
              </w:rPr>
              <w:tab/>
            </w:r>
          </w:p>
          <w:p w:rsidR="009C13A9" w:rsidRPr="00C903F8" w:rsidRDefault="009C13A9" w:rsidP="009C13A9">
            <w:pPr>
              <w:tabs>
                <w:tab w:val="left" w:leader="dot" w:pos="8505"/>
              </w:tabs>
              <w:overflowPunct w:val="0"/>
              <w:adjustRightInd w:val="0"/>
              <w:ind w:left="57" w:firstLine="0"/>
              <w:jc w:val="left"/>
              <w:textAlignment w:val="baseline"/>
              <w:rPr>
                <w:rFonts w:cs="Arial"/>
                <w:position w:val="6"/>
                <w:sz w:val="16"/>
                <w:szCs w:val="20"/>
                <w:lang w:val="en-US"/>
              </w:rPr>
            </w:pPr>
            <w:r w:rsidRPr="00C903F8">
              <w:rPr>
                <w:rFonts w:cs="Arial"/>
                <w:sz w:val="18"/>
                <w:szCs w:val="20"/>
                <w:lang w:val="en-US"/>
              </w:rPr>
              <w:t xml:space="preserve">In view of – the inspection result - certificate - *), the period of validity of the </w:t>
            </w:r>
            <w:r w:rsidR="007E2E18" w:rsidRPr="007E2E18">
              <w:rPr>
                <w:rFonts w:cs="Arial"/>
                <w:sz w:val="18"/>
                <w:szCs w:val="20"/>
                <w:lang w:val="en-US"/>
              </w:rPr>
              <w:t xml:space="preserve">inland navigation vessel certificate </w:t>
            </w:r>
            <w:r w:rsidRPr="00C903F8">
              <w:rPr>
                <w:rFonts w:cs="Arial"/>
                <w:sz w:val="18"/>
                <w:szCs w:val="20"/>
                <w:lang w:val="en-US"/>
              </w:rPr>
              <w:t>is maintained – extended -</w:t>
            </w:r>
            <w:r w:rsidRPr="00C903F8">
              <w:rPr>
                <w:rFonts w:cs="Arial"/>
                <w:position w:val="6"/>
                <w:sz w:val="16"/>
                <w:szCs w:val="20"/>
                <w:lang w:val="en-US"/>
              </w:rPr>
              <w:t>*)</w:t>
            </w:r>
          </w:p>
          <w:p w:rsidR="009C13A9" w:rsidRPr="00C903F8" w:rsidRDefault="009C13A9" w:rsidP="009C13A9">
            <w:pPr>
              <w:tabs>
                <w:tab w:val="left" w:leader="dot" w:pos="2268"/>
                <w:tab w:val="left" w:leader="dot" w:pos="3402"/>
                <w:tab w:val="left" w:leader="dot" w:pos="8505"/>
              </w:tabs>
              <w:overflowPunct w:val="0"/>
              <w:adjustRightInd w:val="0"/>
              <w:ind w:left="57" w:firstLine="0"/>
              <w:jc w:val="left"/>
              <w:textAlignment w:val="baseline"/>
              <w:rPr>
                <w:rFonts w:cs="Arial"/>
                <w:sz w:val="18"/>
                <w:szCs w:val="20"/>
                <w:lang w:val="en-US"/>
              </w:rPr>
            </w:pPr>
            <w:r w:rsidRPr="00C903F8">
              <w:rPr>
                <w:rFonts w:cs="Arial"/>
                <w:sz w:val="18"/>
                <w:szCs w:val="20"/>
                <w:lang w:val="en-US"/>
              </w:rPr>
              <w:t xml:space="preserve">until </w:t>
            </w:r>
            <w:r w:rsidRPr="00C903F8">
              <w:rPr>
                <w:rFonts w:cs="Arial"/>
                <w:sz w:val="18"/>
                <w:szCs w:val="20"/>
                <w:lang w:val="en-US"/>
              </w:rPr>
              <w:tab/>
              <w:t xml:space="preserve"> .</w:t>
            </w:r>
          </w:p>
          <w:p w:rsidR="009C13A9" w:rsidRPr="00C903F8" w:rsidRDefault="009C13A9" w:rsidP="00083603">
            <w:pPr>
              <w:tabs>
                <w:tab w:val="left" w:pos="57"/>
                <w:tab w:val="left" w:leader="dot" w:pos="3969"/>
                <w:tab w:val="left" w:leader="dot" w:pos="6237"/>
                <w:tab w:val="left" w:leader="dot" w:pos="8505"/>
              </w:tabs>
              <w:overflowPunct w:val="0"/>
              <w:adjustRightInd w:val="0"/>
              <w:spacing w:before="40"/>
              <w:ind w:left="57" w:firstLine="0"/>
              <w:jc w:val="left"/>
              <w:textAlignment w:val="baseline"/>
              <w:rPr>
                <w:rFonts w:cs="Arial"/>
                <w:sz w:val="18"/>
                <w:szCs w:val="20"/>
                <w:lang w:val="en-US"/>
              </w:rPr>
            </w:pPr>
            <w:r w:rsidRPr="00C903F8">
              <w:rPr>
                <w:rFonts w:cs="Arial"/>
                <w:sz w:val="18"/>
                <w:szCs w:val="20"/>
                <w:lang w:val="en-US"/>
              </w:rPr>
              <w:tab/>
              <w:t xml:space="preserve">, </w:t>
            </w:r>
            <w:r w:rsidRPr="00C903F8">
              <w:rPr>
                <w:rFonts w:cs="Arial"/>
                <w:sz w:val="18"/>
                <w:szCs w:val="20"/>
                <w:lang w:val="en-US"/>
              </w:rPr>
              <w:tab/>
            </w:r>
          </w:p>
          <w:p w:rsidR="009C13A9" w:rsidRPr="00C903F8" w:rsidRDefault="009C13A9" w:rsidP="009C13A9">
            <w:pPr>
              <w:tabs>
                <w:tab w:val="center" w:pos="2041"/>
                <w:tab w:val="center" w:pos="5216"/>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6"/>
                <w:szCs w:val="20"/>
                <w:lang w:val="en-US"/>
              </w:rPr>
              <w:t>(Place)</w:t>
            </w:r>
            <w:r w:rsidRPr="00C903F8">
              <w:rPr>
                <w:rFonts w:cs="Arial"/>
                <w:sz w:val="18"/>
                <w:szCs w:val="20"/>
                <w:lang w:val="en-US"/>
              </w:rPr>
              <w:tab/>
            </w:r>
            <w:r w:rsidRPr="00C903F8">
              <w:rPr>
                <w:rFonts w:cs="Arial"/>
                <w:sz w:val="16"/>
                <w:szCs w:val="20"/>
                <w:lang w:val="en-US"/>
              </w:rPr>
              <w:t>(date)</w:t>
            </w:r>
          </w:p>
          <w:p w:rsidR="009C13A9" w:rsidRPr="00C903F8" w:rsidRDefault="009C13A9" w:rsidP="009C13A9">
            <w:pPr>
              <w:tabs>
                <w:tab w:val="left" w:pos="4820"/>
                <w:tab w:val="left" w:leader="dot" w:pos="8505"/>
              </w:tabs>
              <w:overflowPunct w:val="0"/>
              <w:adjustRightInd w:val="0"/>
              <w:spacing w:before="120"/>
              <w:ind w:left="57"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1985"/>
                <w:tab w:val="center" w:pos="6662"/>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00313B91" w:rsidRPr="00C903F8">
              <w:rPr>
                <w:rFonts w:cs="Arial"/>
                <w:sz w:val="16"/>
                <w:szCs w:val="20"/>
                <w:lang w:val="en-US"/>
              </w:rPr>
              <w:t>Stamp</w:t>
            </w:r>
            <w:r w:rsidRPr="00C903F8">
              <w:rPr>
                <w:rFonts w:cs="Arial"/>
                <w:sz w:val="18"/>
                <w:szCs w:val="20"/>
                <w:lang w:val="en-US"/>
              </w:rPr>
              <w:tab/>
            </w:r>
            <w:r w:rsidRPr="00C903F8">
              <w:rPr>
                <w:rFonts w:cs="Arial"/>
                <w:sz w:val="16"/>
                <w:szCs w:val="20"/>
                <w:lang w:val="en-US"/>
              </w:rPr>
              <w:t>Inspection Body</w:t>
            </w:r>
          </w:p>
          <w:p w:rsidR="009C13A9" w:rsidRPr="00C903F8" w:rsidRDefault="009C13A9" w:rsidP="009C13A9">
            <w:pPr>
              <w:tabs>
                <w:tab w:val="left" w:pos="4820"/>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6662"/>
              </w:tabs>
              <w:overflowPunct w:val="0"/>
              <w:adjustRightInd w:val="0"/>
              <w:ind w:left="57" w:firstLine="0"/>
              <w:jc w:val="left"/>
              <w:textAlignment w:val="baseline"/>
              <w:rPr>
                <w:rFonts w:cs="Arial"/>
                <w:sz w:val="16"/>
                <w:szCs w:val="20"/>
                <w:lang w:val="en-US"/>
              </w:rPr>
            </w:pPr>
            <w:r w:rsidRPr="00C903F8">
              <w:rPr>
                <w:rFonts w:cs="Arial"/>
                <w:sz w:val="18"/>
                <w:szCs w:val="20"/>
                <w:lang w:val="en-US"/>
              </w:rPr>
              <w:t>______________________</w:t>
            </w:r>
            <w:r w:rsidRPr="00C903F8">
              <w:rPr>
                <w:rFonts w:cs="Arial"/>
                <w:sz w:val="18"/>
                <w:szCs w:val="20"/>
                <w:lang w:val="en-US"/>
              </w:rPr>
              <w:tab/>
            </w:r>
            <w:r w:rsidRPr="00C903F8">
              <w:rPr>
                <w:rFonts w:cs="Arial"/>
                <w:sz w:val="16"/>
                <w:szCs w:val="20"/>
                <w:lang w:val="en-US"/>
              </w:rPr>
              <w:t>(Signature)</w:t>
            </w:r>
          </w:p>
          <w:p w:rsidR="009C13A9" w:rsidRPr="00C903F8" w:rsidRDefault="009C13A9" w:rsidP="009C13A9">
            <w:pPr>
              <w:tabs>
                <w:tab w:val="left" w:pos="57"/>
                <w:tab w:val="left" w:pos="227"/>
                <w:tab w:val="left" w:pos="5670"/>
                <w:tab w:val="left" w:leader="dot" w:pos="8505"/>
              </w:tabs>
              <w:overflowPunct w:val="0"/>
              <w:adjustRightInd w:val="0"/>
              <w:spacing w:after="40"/>
              <w:ind w:left="57" w:hanging="57"/>
              <w:jc w:val="left"/>
              <w:textAlignment w:val="baseline"/>
              <w:rPr>
                <w:rFonts w:cs="Arial"/>
                <w:sz w:val="18"/>
                <w:szCs w:val="20"/>
              </w:rPr>
            </w:pPr>
            <w:r w:rsidRPr="00C903F8">
              <w:rPr>
                <w:rFonts w:cs="Arial"/>
                <w:position w:val="4"/>
                <w:sz w:val="16"/>
                <w:szCs w:val="20"/>
                <w:vertAlign w:val="superscript"/>
              </w:rPr>
              <w:t>*)</w:t>
            </w:r>
            <w:r w:rsidRPr="00C903F8">
              <w:rPr>
                <w:rFonts w:cs="Arial"/>
                <w:sz w:val="16"/>
                <w:szCs w:val="20"/>
              </w:rPr>
              <w:tab/>
              <w:t>Delete as appropriate</w:t>
            </w:r>
          </w:p>
        </w:tc>
      </w:tr>
      <w:tr w:rsidR="00E3172D" w:rsidRPr="00296858" w:rsidTr="00083603">
        <w:trPr>
          <w:cantSplit/>
          <w:jc w:val="center"/>
        </w:trPr>
        <w:tc>
          <w:tcPr>
            <w:tcW w:w="284" w:type="dxa"/>
            <w:tcBorders>
              <w:top w:val="single" w:sz="4" w:space="0" w:color="auto"/>
              <w:bottom w:val="single" w:sz="4" w:space="0" w:color="auto"/>
            </w:tcBorders>
          </w:tcPr>
          <w:p w:rsidR="00E3172D" w:rsidRPr="00C903F8" w:rsidRDefault="00E3172D" w:rsidP="00083603">
            <w:pPr>
              <w:tabs>
                <w:tab w:val="left" w:pos="57"/>
                <w:tab w:val="left" w:pos="227"/>
              </w:tabs>
              <w:overflowPunct w:val="0"/>
              <w:adjustRightInd w:val="0"/>
              <w:spacing w:before="120"/>
              <w:ind w:left="0" w:firstLine="0"/>
              <w:jc w:val="left"/>
              <w:textAlignment w:val="baseline"/>
              <w:rPr>
                <w:rFonts w:cs="Arial"/>
                <w:sz w:val="18"/>
                <w:szCs w:val="20"/>
              </w:rPr>
            </w:pPr>
          </w:p>
        </w:tc>
        <w:tc>
          <w:tcPr>
            <w:tcW w:w="8902" w:type="dxa"/>
            <w:tcBorders>
              <w:top w:val="single" w:sz="4" w:space="0" w:color="auto"/>
              <w:bottom w:val="single" w:sz="4" w:space="0" w:color="auto"/>
            </w:tcBorders>
          </w:tcPr>
          <w:p w:rsidR="00E3172D" w:rsidRPr="00C903F8" w:rsidRDefault="00E3172D" w:rsidP="009C13A9">
            <w:pPr>
              <w:tabs>
                <w:tab w:val="left" w:pos="4310"/>
                <w:tab w:val="left" w:leader="dot" w:pos="8505"/>
              </w:tabs>
              <w:overflowPunct w:val="0"/>
              <w:adjustRightInd w:val="0"/>
              <w:spacing w:before="60"/>
              <w:ind w:left="57" w:firstLine="0"/>
              <w:jc w:val="left"/>
              <w:textAlignment w:val="baseline"/>
              <w:rPr>
                <w:rFonts w:cs="Arial"/>
                <w:b/>
                <w:sz w:val="18"/>
                <w:szCs w:val="20"/>
                <w:lang w:val="en-US"/>
              </w:rPr>
            </w:pPr>
            <w:r w:rsidRPr="00AA5614">
              <w:rPr>
                <w:rFonts w:cs="Arial"/>
                <w:szCs w:val="20"/>
                <w:lang w:val="en-US"/>
              </w:rPr>
              <w:t xml:space="preserve">Inland navigation vessel certificate </w:t>
            </w:r>
            <w:r>
              <w:rPr>
                <w:rFonts w:cs="Arial"/>
                <w:szCs w:val="20"/>
                <w:lang w:val="en-GB"/>
              </w:rPr>
              <w:t xml:space="preserve">No </w:t>
            </w:r>
            <w:r w:rsidRPr="00AA5614">
              <w:rPr>
                <w:rFonts w:cs="Arial"/>
                <w:szCs w:val="20"/>
                <w:lang w:val="en-GB"/>
              </w:rPr>
              <w:tab/>
              <w:t xml:space="preserve"> of the Inspection body </w:t>
            </w:r>
            <w:r w:rsidRPr="00AA5614">
              <w:rPr>
                <w:rFonts w:cs="Arial"/>
                <w:szCs w:val="20"/>
                <w:lang w:val="en-GB"/>
              </w:rPr>
              <w:tab/>
            </w:r>
          </w:p>
        </w:tc>
      </w:tr>
      <w:tr w:rsidR="009C13A9" w:rsidRPr="00296858" w:rsidTr="00E3172D">
        <w:trPr>
          <w:cantSplit/>
          <w:jc w:val="center"/>
        </w:trPr>
        <w:tc>
          <w:tcPr>
            <w:tcW w:w="284" w:type="dxa"/>
            <w:tcBorders>
              <w:top w:val="single" w:sz="4" w:space="0" w:color="auto"/>
              <w:left w:val="single" w:sz="4" w:space="0" w:color="auto"/>
              <w:bottom w:val="single" w:sz="4" w:space="0" w:color="auto"/>
            </w:tcBorders>
          </w:tcPr>
          <w:p w:rsidR="009C13A9" w:rsidRPr="00C903F8" w:rsidRDefault="009C13A9" w:rsidP="009C13A9">
            <w:pPr>
              <w:tabs>
                <w:tab w:val="left" w:pos="57"/>
                <w:tab w:val="left" w:pos="227"/>
              </w:tabs>
              <w:overflowPunct w:val="0"/>
              <w:adjustRightInd w:val="0"/>
              <w:spacing w:before="60"/>
              <w:ind w:left="0" w:firstLine="0"/>
              <w:jc w:val="left"/>
              <w:textAlignment w:val="baseline"/>
              <w:rPr>
                <w:rFonts w:cs="Arial"/>
                <w:sz w:val="18"/>
                <w:szCs w:val="20"/>
              </w:rPr>
            </w:pPr>
            <w:r w:rsidRPr="00C903F8">
              <w:rPr>
                <w:rFonts w:cs="Arial"/>
                <w:sz w:val="18"/>
                <w:szCs w:val="20"/>
              </w:rPr>
              <w:t>49.</w:t>
            </w:r>
          </w:p>
        </w:tc>
        <w:tc>
          <w:tcPr>
            <w:tcW w:w="8902" w:type="dxa"/>
            <w:tcBorders>
              <w:top w:val="single" w:sz="4" w:space="0" w:color="auto"/>
              <w:bottom w:val="single" w:sz="4" w:space="0" w:color="auto"/>
              <w:right w:val="single" w:sz="4" w:space="0" w:color="auto"/>
            </w:tcBorders>
          </w:tcPr>
          <w:p w:rsidR="009C13A9" w:rsidRPr="00C903F8" w:rsidRDefault="009C13A9" w:rsidP="009C13A9">
            <w:pPr>
              <w:tabs>
                <w:tab w:val="left" w:pos="4310"/>
                <w:tab w:val="left" w:leader="dot" w:pos="8505"/>
              </w:tabs>
              <w:overflowPunct w:val="0"/>
              <w:adjustRightInd w:val="0"/>
              <w:spacing w:before="60"/>
              <w:ind w:left="57" w:firstLine="0"/>
              <w:jc w:val="left"/>
              <w:textAlignment w:val="baseline"/>
              <w:rPr>
                <w:rFonts w:cs="Arial"/>
                <w:b/>
                <w:position w:val="6"/>
                <w:sz w:val="16"/>
                <w:szCs w:val="20"/>
                <w:lang w:val="en-US"/>
              </w:rPr>
            </w:pPr>
            <w:r w:rsidRPr="00C903F8">
              <w:rPr>
                <w:rFonts w:cs="Arial"/>
                <w:b/>
                <w:sz w:val="18"/>
                <w:szCs w:val="20"/>
                <w:lang w:val="en-US"/>
              </w:rPr>
              <w:t xml:space="preserve">Extension/confirmation </w:t>
            </w:r>
            <w:r w:rsidRPr="00C903F8">
              <w:rPr>
                <w:rFonts w:cs="Arial"/>
                <w:b/>
                <w:position w:val="6"/>
                <w:sz w:val="16"/>
                <w:szCs w:val="20"/>
                <w:lang w:val="en-US"/>
              </w:rPr>
              <w:t>*)</w:t>
            </w:r>
            <w:r w:rsidRPr="00C903F8">
              <w:rPr>
                <w:rFonts w:cs="Arial"/>
                <w:b/>
                <w:sz w:val="18"/>
                <w:szCs w:val="20"/>
                <w:lang w:val="en-US"/>
              </w:rPr>
              <w:t xml:space="preserve"> of </w:t>
            </w:r>
            <w:r w:rsidR="007E2E18" w:rsidRPr="007E2E18">
              <w:rPr>
                <w:rFonts w:cs="Arial"/>
                <w:b/>
                <w:sz w:val="18"/>
                <w:szCs w:val="20"/>
                <w:lang w:val="en-US"/>
              </w:rPr>
              <w:t xml:space="preserve">inland navigation vessel certificate </w:t>
            </w:r>
            <w:r w:rsidRPr="00C903F8">
              <w:rPr>
                <w:rFonts w:cs="Arial"/>
                <w:b/>
                <w:sz w:val="18"/>
                <w:szCs w:val="20"/>
                <w:lang w:val="en-US"/>
              </w:rPr>
              <w:t>validity</w:t>
            </w:r>
            <w:r w:rsidRPr="00C903F8">
              <w:rPr>
                <w:rFonts w:cs="Arial"/>
                <w:b/>
                <w:position w:val="6"/>
                <w:sz w:val="16"/>
                <w:szCs w:val="20"/>
                <w:lang w:val="en-US"/>
              </w:rPr>
              <w:t>*)</w:t>
            </w:r>
            <w:r w:rsidR="007E2E18">
              <w:rPr>
                <w:rFonts w:cs="Arial"/>
                <w:b/>
                <w:sz w:val="18"/>
                <w:szCs w:val="20"/>
                <w:lang w:val="en-US"/>
              </w:rPr>
              <w:t xml:space="preserve"> </w:t>
            </w:r>
            <w:r w:rsidRPr="00C903F8">
              <w:rPr>
                <w:rFonts w:cs="Arial"/>
                <w:b/>
                <w:sz w:val="18"/>
                <w:szCs w:val="20"/>
                <w:lang w:val="en-US"/>
              </w:rPr>
              <w:t>Periodical - special</w:t>
            </w:r>
            <w:r w:rsidRPr="00C903F8">
              <w:rPr>
                <w:rFonts w:cs="Arial"/>
                <w:b/>
                <w:position w:val="6"/>
                <w:sz w:val="16"/>
                <w:szCs w:val="20"/>
                <w:lang w:val="en-US"/>
              </w:rPr>
              <w:t xml:space="preserve">*) </w:t>
            </w:r>
            <w:r w:rsidRPr="00C903F8">
              <w:rPr>
                <w:rFonts w:cs="Arial"/>
                <w:b/>
                <w:sz w:val="18"/>
                <w:szCs w:val="20"/>
                <w:lang w:val="en-US"/>
              </w:rPr>
              <w:t>inspection</w:t>
            </w:r>
          </w:p>
          <w:p w:rsidR="009C13A9" w:rsidRPr="00C903F8" w:rsidRDefault="009C13A9" w:rsidP="00083603">
            <w:pPr>
              <w:tabs>
                <w:tab w:val="left" w:leader="dot" w:pos="5103"/>
                <w:tab w:val="left" w:leader="dot" w:pos="8505"/>
              </w:tabs>
              <w:overflowPunct w:val="0"/>
              <w:adjustRightInd w:val="0"/>
              <w:spacing w:before="20"/>
              <w:ind w:left="57" w:firstLine="0"/>
              <w:jc w:val="left"/>
              <w:textAlignment w:val="baseline"/>
              <w:rPr>
                <w:rFonts w:cs="Arial"/>
                <w:sz w:val="18"/>
                <w:szCs w:val="20"/>
                <w:lang w:val="en-US"/>
              </w:rPr>
            </w:pPr>
            <w:r w:rsidRPr="00C903F8">
              <w:rPr>
                <w:rFonts w:cs="Arial"/>
                <w:sz w:val="18"/>
                <w:szCs w:val="20"/>
                <w:lang w:val="en-US"/>
              </w:rPr>
              <w:t>The Inspection Body inspected the vessel on</w:t>
            </w:r>
            <w:r w:rsidRPr="00C903F8">
              <w:rPr>
                <w:rFonts w:cs="Arial"/>
                <w:sz w:val="18"/>
                <w:szCs w:val="20"/>
                <w:lang w:val="en-US"/>
              </w:rPr>
              <w:tab/>
            </w:r>
            <w:r w:rsidRPr="00C903F8">
              <w:rPr>
                <w:rFonts w:cs="Arial"/>
                <w:position w:val="6"/>
                <w:sz w:val="16"/>
                <w:szCs w:val="20"/>
                <w:lang w:val="en-US"/>
              </w:rPr>
              <w:t>*)</w:t>
            </w:r>
            <w:r w:rsidRPr="00C903F8">
              <w:rPr>
                <w:rFonts w:cs="Arial"/>
                <w:sz w:val="18"/>
                <w:szCs w:val="20"/>
                <w:lang w:val="en-US"/>
              </w:rPr>
              <w:t>.</w:t>
            </w:r>
          </w:p>
          <w:p w:rsidR="009C13A9" w:rsidRPr="00C903F8" w:rsidRDefault="009C13A9" w:rsidP="00083603">
            <w:pPr>
              <w:tabs>
                <w:tab w:val="left" w:leader="dot" w:pos="3686"/>
                <w:tab w:val="left" w:leader="dot" w:pos="8505"/>
              </w:tabs>
              <w:overflowPunct w:val="0"/>
              <w:adjustRightInd w:val="0"/>
              <w:spacing w:after="20"/>
              <w:ind w:left="57" w:firstLine="0"/>
              <w:jc w:val="left"/>
              <w:textAlignment w:val="baseline"/>
              <w:rPr>
                <w:rFonts w:cs="Arial"/>
                <w:sz w:val="18"/>
                <w:szCs w:val="20"/>
                <w:lang w:val="en-US"/>
              </w:rPr>
            </w:pPr>
            <w:r w:rsidRPr="00C903F8">
              <w:rPr>
                <w:rFonts w:cs="Arial"/>
                <w:sz w:val="18"/>
                <w:szCs w:val="20"/>
                <w:lang w:val="en-US"/>
              </w:rPr>
              <w:t>A certificate dated</w:t>
            </w:r>
            <w:r w:rsidRPr="00C903F8">
              <w:rPr>
                <w:rFonts w:cs="Arial"/>
                <w:sz w:val="18"/>
                <w:szCs w:val="20"/>
                <w:lang w:val="en-US"/>
              </w:rPr>
              <w:tab/>
            </w:r>
            <w:r w:rsidRPr="00C903F8">
              <w:rPr>
                <w:noProof/>
                <w:sz w:val="18"/>
                <w:szCs w:val="20"/>
                <w:lang w:val="en-US" w:eastAsia="fr-BE"/>
              </w:rPr>
              <w:t xml:space="preserve">from the </w:t>
            </w:r>
            <w:r w:rsidR="004E1AD0" w:rsidRPr="00E3172D">
              <w:rPr>
                <w:noProof/>
                <w:sz w:val="18"/>
                <w:szCs w:val="20"/>
                <w:lang w:val="en-US" w:eastAsia="fr-BE"/>
              </w:rPr>
              <w:t>recognised</w:t>
            </w:r>
            <w:r w:rsidRPr="00C903F8">
              <w:rPr>
                <w:noProof/>
                <w:sz w:val="18"/>
                <w:szCs w:val="20"/>
                <w:lang w:val="en-US" w:eastAsia="fr-BE"/>
              </w:rPr>
              <w:t xml:space="preserve"> classification society</w:t>
            </w:r>
            <w:r w:rsidRPr="00C903F8">
              <w:rPr>
                <w:rFonts w:cs="Arial"/>
                <w:sz w:val="18"/>
                <w:szCs w:val="20"/>
                <w:lang w:val="en-US"/>
              </w:rPr>
              <w:tab/>
            </w:r>
          </w:p>
          <w:p w:rsidR="009C13A9" w:rsidRPr="00C903F8" w:rsidRDefault="009C13A9" w:rsidP="009C13A9">
            <w:pPr>
              <w:tabs>
                <w:tab w:val="left" w:leader="dot" w:pos="8505"/>
              </w:tabs>
              <w:overflowPunct w:val="0"/>
              <w:adjustRightInd w:val="0"/>
              <w:ind w:lef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overflowPunct w:val="0"/>
              <w:adjustRightInd w:val="0"/>
              <w:spacing w:after="20"/>
              <w:ind w:left="57" w:firstLine="0"/>
              <w:jc w:val="left"/>
              <w:textAlignment w:val="baseline"/>
              <w:rPr>
                <w:rFonts w:cs="Arial"/>
                <w:sz w:val="18"/>
                <w:szCs w:val="20"/>
                <w:lang w:val="en-US"/>
              </w:rPr>
            </w:pPr>
            <w:r w:rsidRPr="00C903F8">
              <w:rPr>
                <w:noProof/>
                <w:sz w:val="18"/>
                <w:szCs w:val="20"/>
                <w:lang w:val="en-US" w:eastAsia="fr-BE"/>
              </w:rPr>
              <w:t>was presented to the Inspection Body</w:t>
            </w:r>
            <w:r w:rsidRPr="00C903F8">
              <w:rPr>
                <w:rFonts w:cs="Arial"/>
                <w:position w:val="6"/>
                <w:sz w:val="16"/>
                <w:szCs w:val="20"/>
                <w:lang w:val="en-US"/>
              </w:rPr>
              <w:t>*)</w:t>
            </w:r>
            <w:r w:rsidRPr="00C903F8">
              <w:rPr>
                <w:rFonts w:cs="Arial"/>
                <w:sz w:val="18"/>
                <w:szCs w:val="20"/>
                <w:lang w:val="en-US"/>
              </w:rPr>
              <w:t>.</w:t>
            </w:r>
          </w:p>
          <w:p w:rsidR="009C13A9" w:rsidRPr="00C903F8" w:rsidRDefault="009C13A9" w:rsidP="009C13A9">
            <w:pPr>
              <w:overflowPunct w:val="0"/>
              <w:adjustRightInd w:val="0"/>
              <w:spacing w:after="20"/>
              <w:ind w:left="57" w:firstLine="0"/>
              <w:jc w:val="left"/>
              <w:textAlignment w:val="baseline"/>
              <w:rPr>
                <w:rFonts w:cs="Arial"/>
                <w:sz w:val="18"/>
                <w:szCs w:val="20"/>
                <w:lang w:val="en-US"/>
              </w:rPr>
            </w:pPr>
            <w:r w:rsidRPr="00C903F8">
              <w:rPr>
                <w:noProof/>
                <w:sz w:val="18"/>
                <w:szCs w:val="20"/>
                <w:lang w:val="en-US" w:eastAsia="fr-BE"/>
              </w:rPr>
              <w:t>Reason for the inspection/certificate</w:t>
            </w:r>
            <w:r w:rsidRPr="00C903F8">
              <w:rPr>
                <w:rFonts w:cs="Arial"/>
                <w:position w:val="6"/>
                <w:sz w:val="16"/>
                <w:szCs w:val="20"/>
                <w:lang w:val="en-US"/>
              </w:rPr>
              <w:t>*)</w:t>
            </w:r>
            <w:r w:rsidRPr="00C903F8">
              <w:rPr>
                <w:rFonts w:cs="Arial"/>
                <w:sz w:val="18"/>
                <w:szCs w:val="20"/>
                <w:lang w:val="en-US"/>
              </w:rPr>
              <w:t>:</w:t>
            </w:r>
          </w:p>
          <w:p w:rsidR="009C13A9" w:rsidRPr="00C903F8" w:rsidRDefault="009C13A9" w:rsidP="00083603">
            <w:pPr>
              <w:tabs>
                <w:tab w:val="left" w:leader="dot" w:pos="8505"/>
              </w:tabs>
              <w:overflowPunct w:val="0"/>
              <w:adjustRightInd w:val="0"/>
              <w:spacing w:after="80"/>
              <w:ind w:left="57" w:firstLine="0"/>
              <w:jc w:val="left"/>
              <w:textAlignment w:val="baseline"/>
              <w:rPr>
                <w:rFonts w:cs="Arial"/>
                <w:position w:val="6"/>
                <w:sz w:val="16"/>
                <w:szCs w:val="20"/>
                <w:lang w:val="en-US"/>
              </w:rPr>
            </w:pPr>
            <w:r w:rsidRPr="00C903F8">
              <w:rPr>
                <w:rFonts w:cs="Arial"/>
                <w:position w:val="6"/>
                <w:sz w:val="16"/>
                <w:szCs w:val="20"/>
                <w:lang w:val="en-US"/>
              </w:rPr>
              <w:tab/>
            </w:r>
          </w:p>
          <w:p w:rsidR="009C13A9" w:rsidRPr="00C903F8" w:rsidRDefault="009C13A9" w:rsidP="00E3172D">
            <w:pPr>
              <w:tabs>
                <w:tab w:val="left" w:leader="dot" w:pos="8505"/>
              </w:tabs>
              <w:overflowPunct w:val="0"/>
              <w:adjustRightInd w:val="0"/>
              <w:ind w:left="57" w:firstLine="0"/>
              <w:jc w:val="left"/>
              <w:textAlignment w:val="baseline"/>
              <w:rPr>
                <w:rFonts w:cs="Arial"/>
                <w:position w:val="6"/>
                <w:sz w:val="16"/>
                <w:szCs w:val="20"/>
                <w:lang w:val="en-US"/>
              </w:rPr>
            </w:pPr>
            <w:r w:rsidRPr="00C903F8">
              <w:rPr>
                <w:rFonts w:cs="Arial"/>
                <w:position w:val="6"/>
                <w:sz w:val="16"/>
                <w:szCs w:val="20"/>
                <w:lang w:val="en-US"/>
              </w:rPr>
              <w:tab/>
            </w:r>
          </w:p>
          <w:p w:rsidR="009C13A9" w:rsidRPr="00C903F8" w:rsidRDefault="009C13A9" w:rsidP="00E3172D">
            <w:pPr>
              <w:tabs>
                <w:tab w:val="left" w:leader="dot" w:pos="8505"/>
              </w:tabs>
              <w:overflowPunct w:val="0"/>
              <w:adjustRightInd w:val="0"/>
              <w:ind w:left="57" w:firstLine="0"/>
              <w:jc w:val="left"/>
              <w:textAlignment w:val="baseline"/>
              <w:rPr>
                <w:rFonts w:cs="Arial"/>
                <w:position w:val="6"/>
                <w:sz w:val="16"/>
                <w:szCs w:val="20"/>
                <w:lang w:val="en-US"/>
              </w:rPr>
            </w:pPr>
            <w:r w:rsidRPr="00C903F8">
              <w:rPr>
                <w:rFonts w:cs="Arial"/>
                <w:sz w:val="18"/>
                <w:szCs w:val="20"/>
                <w:lang w:val="en-US"/>
              </w:rPr>
              <w:t xml:space="preserve">In view of – the inspection result - certificate - *), the period of validity of the </w:t>
            </w:r>
            <w:r w:rsidR="007E2E18" w:rsidRPr="007E2E18">
              <w:rPr>
                <w:rFonts w:cs="Arial"/>
                <w:sz w:val="18"/>
                <w:szCs w:val="20"/>
                <w:lang w:val="en-US"/>
              </w:rPr>
              <w:t xml:space="preserve">inland navigation vessel certificate </w:t>
            </w:r>
            <w:r w:rsidRPr="00C903F8">
              <w:rPr>
                <w:rFonts w:cs="Arial"/>
                <w:sz w:val="18"/>
                <w:szCs w:val="20"/>
                <w:lang w:val="en-US"/>
              </w:rPr>
              <w:t>is maintained – extended -</w:t>
            </w:r>
            <w:r w:rsidRPr="00C903F8">
              <w:rPr>
                <w:rFonts w:cs="Arial"/>
                <w:position w:val="6"/>
                <w:sz w:val="16"/>
                <w:szCs w:val="20"/>
                <w:lang w:val="en-US"/>
              </w:rPr>
              <w:t>*)</w:t>
            </w:r>
          </w:p>
          <w:p w:rsidR="009C13A9" w:rsidRPr="00C903F8" w:rsidRDefault="009C13A9" w:rsidP="009C13A9">
            <w:pPr>
              <w:tabs>
                <w:tab w:val="left" w:leader="dot" w:pos="2268"/>
                <w:tab w:val="left" w:leader="dot" w:pos="3402"/>
                <w:tab w:val="left" w:leader="dot" w:pos="8505"/>
              </w:tabs>
              <w:overflowPunct w:val="0"/>
              <w:adjustRightInd w:val="0"/>
              <w:ind w:left="57" w:firstLine="0"/>
              <w:jc w:val="left"/>
              <w:textAlignment w:val="baseline"/>
              <w:rPr>
                <w:rFonts w:cs="Arial"/>
                <w:sz w:val="18"/>
                <w:szCs w:val="20"/>
                <w:lang w:val="en-US"/>
              </w:rPr>
            </w:pPr>
            <w:r w:rsidRPr="00C903F8">
              <w:rPr>
                <w:rFonts w:cs="Arial"/>
                <w:sz w:val="18"/>
                <w:szCs w:val="20"/>
                <w:lang w:val="en-US"/>
              </w:rPr>
              <w:t xml:space="preserve">until </w:t>
            </w:r>
            <w:r w:rsidRPr="00C903F8">
              <w:rPr>
                <w:rFonts w:cs="Arial"/>
                <w:sz w:val="18"/>
                <w:szCs w:val="20"/>
                <w:lang w:val="en-US"/>
              </w:rPr>
              <w:tab/>
              <w:t xml:space="preserve"> .</w:t>
            </w:r>
          </w:p>
          <w:p w:rsidR="009C13A9" w:rsidRPr="00C903F8" w:rsidRDefault="009C13A9" w:rsidP="009C13A9">
            <w:pPr>
              <w:tabs>
                <w:tab w:val="left" w:pos="57"/>
                <w:tab w:val="left" w:leader="dot" w:pos="3969"/>
                <w:tab w:val="left" w:leader="dot" w:pos="6237"/>
                <w:tab w:val="left" w:leader="dot" w:pos="8505"/>
              </w:tabs>
              <w:overflowPunct w:val="0"/>
              <w:adjustRightInd w:val="0"/>
              <w:spacing w:before="80"/>
              <w:ind w:left="57" w:firstLine="0"/>
              <w:jc w:val="left"/>
              <w:textAlignment w:val="baseline"/>
              <w:rPr>
                <w:rFonts w:cs="Arial"/>
                <w:sz w:val="18"/>
                <w:szCs w:val="20"/>
                <w:lang w:val="en-US"/>
              </w:rPr>
            </w:pPr>
            <w:r w:rsidRPr="00C903F8">
              <w:rPr>
                <w:rFonts w:cs="Arial"/>
                <w:sz w:val="18"/>
                <w:szCs w:val="20"/>
                <w:lang w:val="en-US"/>
              </w:rPr>
              <w:tab/>
              <w:t xml:space="preserve">, le </w:t>
            </w:r>
            <w:r w:rsidRPr="00C903F8">
              <w:rPr>
                <w:rFonts w:cs="Arial"/>
                <w:sz w:val="18"/>
                <w:szCs w:val="20"/>
                <w:lang w:val="en-US"/>
              </w:rPr>
              <w:tab/>
            </w:r>
          </w:p>
          <w:p w:rsidR="009C13A9" w:rsidRPr="00C903F8" w:rsidRDefault="009C13A9" w:rsidP="009C13A9">
            <w:pPr>
              <w:tabs>
                <w:tab w:val="center" w:pos="2041"/>
                <w:tab w:val="center" w:pos="5216"/>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6"/>
                <w:szCs w:val="20"/>
                <w:lang w:val="en-US"/>
              </w:rPr>
              <w:t>(Place)</w:t>
            </w:r>
            <w:r w:rsidRPr="00C903F8">
              <w:rPr>
                <w:rFonts w:cs="Arial"/>
                <w:sz w:val="18"/>
                <w:szCs w:val="20"/>
                <w:lang w:val="en-US"/>
              </w:rPr>
              <w:tab/>
            </w:r>
            <w:r w:rsidRPr="00C903F8">
              <w:rPr>
                <w:rFonts w:cs="Arial"/>
                <w:sz w:val="16"/>
                <w:szCs w:val="20"/>
                <w:lang w:val="en-US"/>
              </w:rPr>
              <w:t>(date)</w:t>
            </w:r>
          </w:p>
          <w:p w:rsidR="009C13A9" w:rsidRPr="00C903F8" w:rsidRDefault="009C13A9" w:rsidP="009C13A9">
            <w:pPr>
              <w:tabs>
                <w:tab w:val="left" w:pos="4820"/>
                <w:tab w:val="left" w:leader="dot" w:pos="8505"/>
              </w:tabs>
              <w:overflowPunct w:val="0"/>
              <w:adjustRightInd w:val="0"/>
              <w:spacing w:before="120"/>
              <w:ind w:left="57"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1985"/>
                <w:tab w:val="center" w:pos="6662"/>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00313B91" w:rsidRPr="00C903F8">
              <w:rPr>
                <w:rFonts w:cs="Arial"/>
                <w:sz w:val="16"/>
                <w:szCs w:val="20"/>
                <w:lang w:val="en-US"/>
              </w:rPr>
              <w:t>Stamp</w:t>
            </w:r>
            <w:r w:rsidRPr="00C903F8">
              <w:rPr>
                <w:rFonts w:cs="Arial"/>
                <w:sz w:val="18"/>
                <w:szCs w:val="20"/>
                <w:lang w:val="en-US"/>
              </w:rPr>
              <w:tab/>
            </w:r>
            <w:r w:rsidRPr="00C903F8">
              <w:rPr>
                <w:rFonts w:cs="Arial"/>
                <w:sz w:val="16"/>
                <w:szCs w:val="20"/>
                <w:lang w:val="en-US"/>
              </w:rPr>
              <w:t>Inspection Body</w:t>
            </w:r>
          </w:p>
          <w:p w:rsidR="009C13A9" w:rsidRPr="00C903F8" w:rsidRDefault="009C13A9" w:rsidP="009C13A9">
            <w:pPr>
              <w:tabs>
                <w:tab w:val="left" w:pos="4820"/>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6662"/>
              </w:tabs>
              <w:overflowPunct w:val="0"/>
              <w:adjustRightInd w:val="0"/>
              <w:ind w:left="57" w:firstLine="0"/>
              <w:jc w:val="left"/>
              <w:textAlignment w:val="baseline"/>
              <w:rPr>
                <w:rFonts w:cs="Arial"/>
                <w:sz w:val="16"/>
                <w:szCs w:val="20"/>
                <w:lang w:val="en-US"/>
              </w:rPr>
            </w:pPr>
            <w:r w:rsidRPr="00C903F8">
              <w:rPr>
                <w:rFonts w:cs="Arial"/>
                <w:sz w:val="18"/>
                <w:szCs w:val="20"/>
                <w:lang w:val="en-US"/>
              </w:rPr>
              <w:t>______________________</w:t>
            </w:r>
            <w:r w:rsidRPr="00C903F8">
              <w:rPr>
                <w:rFonts w:cs="Arial"/>
                <w:sz w:val="18"/>
                <w:szCs w:val="20"/>
                <w:lang w:val="en-US"/>
              </w:rPr>
              <w:tab/>
            </w:r>
            <w:r w:rsidRPr="00C903F8">
              <w:rPr>
                <w:rFonts w:cs="Arial"/>
                <w:sz w:val="16"/>
                <w:szCs w:val="20"/>
                <w:lang w:val="en-US"/>
              </w:rPr>
              <w:t>(Signature)</w:t>
            </w:r>
          </w:p>
          <w:p w:rsidR="009C13A9" w:rsidRPr="009879C7" w:rsidRDefault="009C13A9" w:rsidP="009C13A9">
            <w:pPr>
              <w:tabs>
                <w:tab w:val="left" w:pos="227"/>
              </w:tabs>
              <w:overflowPunct w:val="0"/>
              <w:adjustRightInd w:val="0"/>
              <w:spacing w:after="40"/>
              <w:ind w:left="57" w:firstLine="0"/>
              <w:jc w:val="left"/>
              <w:textAlignment w:val="baseline"/>
              <w:rPr>
                <w:rFonts w:cs="Arial"/>
                <w:sz w:val="18"/>
                <w:szCs w:val="20"/>
                <w:lang w:val="en-GB"/>
              </w:rPr>
            </w:pPr>
            <w:r w:rsidRPr="009879C7">
              <w:rPr>
                <w:rFonts w:cs="Arial"/>
                <w:position w:val="4"/>
                <w:sz w:val="16"/>
                <w:szCs w:val="20"/>
                <w:vertAlign w:val="superscript"/>
                <w:lang w:val="en-GB"/>
              </w:rPr>
              <w:t>*)</w:t>
            </w:r>
            <w:r w:rsidRPr="009879C7">
              <w:rPr>
                <w:rFonts w:cs="Arial"/>
                <w:sz w:val="16"/>
                <w:szCs w:val="20"/>
                <w:lang w:val="en-GB"/>
              </w:rPr>
              <w:tab/>
              <w:t>Delete as appropriate</w:t>
            </w:r>
          </w:p>
        </w:tc>
      </w:tr>
      <w:tr w:rsidR="009C13A9" w:rsidRPr="00C903F8" w:rsidTr="00E3172D">
        <w:trPr>
          <w:cantSplit/>
          <w:jc w:val="center"/>
        </w:trPr>
        <w:tc>
          <w:tcPr>
            <w:tcW w:w="284" w:type="dxa"/>
            <w:tcBorders>
              <w:top w:val="single" w:sz="4"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60"/>
              <w:ind w:left="0" w:firstLine="0"/>
              <w:jc w:val="left"/>
              <w:textAlignment w:val="baseline"/>
              <w:rPr>
                <w:rFonts w:cs="Arial"/>
                <w:sz w:val="18"/>
                <w:szCs w:val="20"/>
              </w:rPr>
            </w:pPr>
            <w:r w:rsidRPr="00C903F8">
              <w:rPr>
                <w:rFonts w:cs="Arial"/>
                <w:sz w:val="18"/>
                <w:szCs w:val="20"/>
              </w:rPr>
              <w:t>49.</w:t>
            </w:r>
          </w:p>
        </w:tc>
        <w:tc>
          <w:tcPr>
            <w:tcW w:w="8902" w:type="dxa"/>
            <w:tcBorders>
              <w:top w:val="single" w:sz="4" w:space="0" w:color="auto"/>
              <w:bottom w:val="single" w:sz="6" w:space="0" w:color="auto"/>
              <w:right w:val="single" w:sz="6" w:space="0" w:color="auto"/>
            </w:tcBorders>
          </w:tcPr>
          <w:p w:rsidR="009C13A9" w:rsidRPr="00C903F8" w:rsidRDefault="009C13A9" w:rsidP="009C13A9">
            <w:pPr>
              <w:tabs>
                <w:tab w:val="left" w:pos="4452"/>
                <w:tab w:val="left" w:leader="dot" w:pos="8505"/>
              </w:tabs>
              <w:overflowPunct w:val="0"/>
              <w:adjustRightInd w:val="0"/>
              <w:spacing w:before="60"/>
              <w:ind w:left="57" w:firstLine="0"/>
              <w:jc w:val="left"/>
              <w:textAlignment w:val="baseline"/>
              <w:rPr>
                <w:rFonts w:cs="Arial"/>
                <w:b/>
                <w:position w:val="6"/>
                <w:sz w:val="16"/>
                <w:szCs w:val="20"/>
                <w:lang w:val="en-US"/>
              </w:rPr>
            </w:pPr>
            <w:r w:rsidRPr="00C903F8">
              <w:rPr>
                <w:rFonts w:cs="Arial"/>
                <w:b/>
                <w:sz w:val="18"/>
                <w:szCs w:val="20"/>
                <w:lang w:val="en-US"/>
              </w:rPr>
              <w:t xml:space="preserve">Extension/confirmation </w:t>
            </w:r>
            <w:r w:rsidRPr="00C903F8">
              <w:rPr>
                <w:rFonts w:cs="Arial"/>
                <w:b/>
                <w:position w:val="6"/>
                <w:sz w:val="16"/>
                <w:szCs w:val="20"/>
                <w:lang w:val="en-US"/>
              </w:rPr>
              <w:t>*)</w:t>
            </w:r>
            <w:r w:rsidRPr="00C903F8">
              <w:rPr>
                <w:rFonts w:cs="Arial"/>
                <w:b/>
                <w:sz w:val="18"/>
                <w:szCs w:val="20"/>
                <w:lang w:val="en-US"/>
              </w:rPr>
              <w:t xml:space="preserve"> of </w:t>
            </w:r>
            <w:r w:rsidR="007E2E18" w:rsidRPr="007E2E18">
              <w:rPr>
                <w:rFonts w:cs="Arial"/>
                <w:b/>
                <w:sz w:val="18"/>
                <w:szCs w:val="20"/>
                <w:lang w:val="en-US"/>
              </w:rPr>
              <w:t xml:space="preserve">inland navigation vessel certificate </w:t>
            </w:r>
            <w:r w:rsidRPr="00C903F8">
              <w:rPr>
                <w:rFonts w:cs="Arial"/>
                <w:b/>
                <w:sz w:val="18"/>
                <w:szCs w:val="20"/>
                <w:lang w:val="en-US"/>
              </w:rPr>
              <w:t>validity</w:t>
            </w:r>
            <w:r w:rsidRPr="00C903F8">
              <w:rPr>
                <w:rFonts w:cs="Arial"/>
                <w:b/>
                <w:position w:val="6"/>
                <w:sz w:val="16"/>
                <w:szCs w:val="20"/>
                <w:lang w:val="en-US"/>
              </w:rPr>
              <w:t>*)</w:t>
            </w:r>
            <w:r w:rsidR="007E2E18">
              <w:rPr>
                <w:rFonts w:cs="Arial"/>
                <w:b/>
                <w:sz w:val="18"/>
                <w:szCs w:val="20"/>
                <w:lang w:val="en-US"/>
              </w:rPr>
              <w:t xml:space="preserve"> </w:t>
            </w:r>
            <w:r w:rsidRPr="00C903F8">
              <w:rPr>
                <w:rFonts w:cs="Arial"/>
                <w:b/>
                <w:sz w:val="18"/>
                <w:szCs w:val="20"/>
                <w:lang w:val="en-US"/>
              </w:rPr>
              <w:t>Periodical - special</w:t>
            </w:r>
            <w:r w:rsidRPr="00C903F8">
              <w:rPr>
                <w:rFonts w:cs="Arial"/>
                <w:b/>
                <w:position w:val="6"/>
                <w:sz w:val="16"/>
                <w:szCs w:val="20"/>
                <w:lang w:val="en-US"/>
              </w:rPr>
              <w:t xml:space="preserve">*) </w:t>
            </w:r>
            <w:r w:rsidRPr="00C903F8">
              <w:rPr>
                <w:rFonts w:cs="Arial"/>
                <w:b/>
                <w:sz w:val="18"/>
                <w:szCs w:val="20"/>
                <w:lang w:val="en-US"/>
              </w:rPr>
              <w:t>inspection</w:t>
            </w:r>
          </w:p>
          <w:p w:rsidR="009C13A9" w:rsidRPr="00C903F8" w:rsidRDefault="009C13A9" w:rsidP="00083603">
            <w:pPr>
              <w:tabs>
                <w:tab w:val="left" w:leader="dot" w:pos="5103"/>
                <w:tab w:val="left" w:leader="dot" w:pos="8505"/>
              </w:tabs>
              <w:overflowPunct w:val="0"/>
              <w:adjustRightInd w:val="0"/>
              <w:spacing w:before="20"/>
              <w:ind w:left="57" w:firstLine="0"/>
              <w:jc w:val="left"/>
              <w:textAlignment w:val="baseline"/>
              <w:rPr>
                <w:rFonts w:cs="Arial"/>
                <w:sz w:val="18"/>
                <w:szCs w:val="20"/>
                <w:lang w:val="en-US"/>
              </w:rPr>
            </w:pPr>
            <w:r w:rsidRPr="00C903F8">
              <w:rPr>
                <w:rFonts w:cs="Arial"/>
                <w:sz w:val="18"/>
                <w:szCs w:val="20"/>
                <w:lang w:val="en-US"/>
              </w:rPr>
              <w:t>The Inspection Body inspected the vessel on</w:t>
            </w:r>
            <w:r w:rsidRPr="00C903F8">
              <w:rPr>
                <w:rFonts w:cs="Arial"/>
                <w:sz w:val="18"/>
                <w:szCs w:val="20"/>
                <w:lang w:val="en-US"/>
              </w:rPr>
              <w:tab/>
            </w:r>
            <w:r w:rsidRPr="00C903F8">
              <w:rPr>
                <w:rFonts w:cs="Arial"/>
                <w:position w:val="6"/>
                <w:sz w:val="16"/>
                <w:szCs w:val="20"/>
                <w:lang w:val="en-US"/>
              </w:rPr>
              <w:t>*)</w:t>
            </w:r>
            <w:r w:rsidRPr="00C903F8">
              <w:rPr>
                <w:rFonts w:cs="Arial"/>
                <w:sz w:val="18"/>
                <w:szCs w:val="20"/>
                <w:lang w:val="en-US"/>
              </w:rPr>
              <w:t>.</w:t>
            </w:r>
          </w:p>
          <w:p w:rsidR="009C13A9" w:rsidRPr="00C903F8" w:rsidRDefault="009C13A9" w:rsidP="00083603">
            <w:pPr>
              <w:tabs>
                <w:tab w:val="left" w:leader="dot" w:pos="3686"/>
                <w:tab w:val="left" w:leader="dot" w:pos="8505"/>
              </w:tabs>
              <w:overflowPunct w:val="0"/>
              <w:adjustRightInd w:val="0"/>
              <w:spacing w:after="20"/>
              <w:ind w:left="57" w:firstLine="0"/>
              <w:jc w:val="left"/>
              <w:textAlignment w:val="baseline"/>
              <w:rPr>
                <w:rFonts w:cs="Arial"/>
                <w:sz w:val="18"/>
                <w:szCs w:val="20"/>
                <w:lang w:val="en-US"/>
              </w:rPr>
            </w:pPr>
            <w:r w:rsidRPr="00C903F8">
              <w:rPr>
                <w:rFonts w:cs="Arial"/>
                <w:sz w:val="18"/>
                <w:szCs w:val="20"/>
                <w:lang w:val="en-US"/>
              </w:rPr>
              <w:t>A certificate dated</w:t>
            </w:r>
            <w:r w:rsidRPr="00C903F8">
              <w:rPr>
                <w:rFonts w:cs="Arial"/>
                <w:sz w:val="18"/>
                <w:szCs w:val="20"/>
                <w:lang w:val="en-US"/>
              </w:rPr>
              <w:tab/>
            </w:r>
            <w:r w:rsidRPr="00C903F8">
              <w:rPr>
                <w:noProof/>
                <w:sz w:val="18"/>
                <w:szCs w:val="20"/>
                <w:lang w:val="en-US" w:eastAsia="fr-BE"/>
              </w:rPr>
              <w:t xml:space="preserve">from the </w:t>
            </w:r>
            <w:r w:rsidR="004E1AD0" w:rsidRPr="00E3172D">
              <w:rPr>
                <w:noProof/>
                <w:sz w:val="18"/>
                <w:szCs w:val="20"/>
                <w:lang w:val="en-US" w:eastAsia="fr-BE"/>
              </w:rPr>
              <w:t>recognised</w:t>
            </w:r>
            <w:r w:rsidRPr="00C903F8">
              <w:rPr>
                <w:noProof/>
                <w:sz w:val="18"/>
                <w:szCs w:val="20"/>
                <w:lang w:val="en-US" w:eastAsia="fr-BE"/>
              </w:rPr>
              <w:t xml:space="preserve"> classification society</w:t>
            </w:r>
            <w:r w:rsidRPr="00C903F8">
              <w:rPr>
                <w:rFonts w:cs="Arial"/>
                <w:sz w:val="18"/>
                <w:szCs w:val="20"/>
                <w:lang w:val="en-US"/>
              </w:rPr>
              <w:tab/>
            </w:r>
          </w:p>
          <w:p w:rsidR="009C13A9" w:rsidRPr="00C903F8" w:rsidRDefault="009C13A9" w:rsidP="009C13A9">
            <w:pPr>
              <w:tabs>
                <w:tab w:val="left" w:leader="dot" w:pos="8505"/>
              </w:tabs>
              <w:overflowPunct w:val="0"/>
              <w:adjustRightInd w:val="0"/>
              <w:ind w:lef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overflowPunct w:val="0"/>
              <w:adjustRightInd w:val="0"/>
              <w:spacing w:after="20"/>
              <w:ind w:left="57" w:firstLine="0"/>
              <w:jc w:val="left"/>
              <w:textAlignment w:val="baseline"/>
              <w:rPr>
                <w:rFonts w:cs="Arial"/>
                <w:sz w:val="18"/>
                <w:szCs w:val="20"/>
                <w:lang w:val="en-US"/>
              </w:rPr>
            </w:pPr>
            <w:r w:rsidRPr="00C903F8">
              <w:rPr>
                <w:noProof/>
                <w:sz w:val="18"/>
                <w:szCs w:val="20"/>
                <w:lang w:val="en-US" w:eastAsia="fr-BE"/>
              </w:rPr>
              <w:t>was presented to the Inspection Body</w:t>
            </w:r>
            <w:r w:rsidRPr="00C903F8">
              <w:rPr>
                <w:rFonts w:cs="Arial"/>
                <w:position w:val="6"/>
                <w:sz w:val="16"/>
                <w:szCs w:val="20"/>
                <w:lang w:val="en-US"/>
              </w:rPr>
              <w:t>*)</w:t>
            </w:r>
            <w:r w:rsidRPr="00C903F8">
              <w:rPr>
                <w:rFonts w:cs="Arial"/>
                <w:sz w:val="18"/>
                <w:szCs w:val="20"/>
                <w:lang w:val="en-US"/>
              </w:rPr>
              <w:t>.</w:t>
            </w:r>
          </w:p>
          <w:p w:rsidR="009C13A9" w:rsidRPr="00C903F8" w:rsidRDefault="009C13A9" w:rsidP="009C13A9">
            <w:pPr>
              <w:overflowPunct w:val="0"/>
              <w:adjustRightInd w:val="0"/>
              <w:spacing w:after="20"/>
              <w:ind w:left="57" w:firstLine="0"/>
              <w:jc w:val="left"/>
              <w:textAlignment w:val="baseline"/>
              <w:rPr>
                <w:rFonts w:cs="Arial"/>
                <w:sz w:val="18"/>
                <w:szCs w:val="20"/>
                <w:lang w:val="en-US"/>
              </w:rPr>
            </w:pPr>
            <w:r w:rsidRPr="00C903F8">
              <w:rPr>
                <w:noProof/>
                <w:sz w:val="18"/>
                <w:szCs w:val="20"/>
                <w:lang w:val="en-US" w:eastAsia="fr-BE"/>
              </w:rPr>
              <w:t>Reason for the inspection/certificate</w:t>
            </w:r>
            <w:r w:rsidRPr="00C903F8">
              <w:rPr>
                <w:rFonts w:cs="Arial"/>
                <w:position w:val="6"/>
                <w:sz w:val="16"/>
                <w:szCs w:val="20"/>
                <w:lang w:val="en-US"/>
              </w:rPr>
              <w:t>*)</w:t>
            </w:r>
            <w:r w:rsidRPr="00C903F8">
              <w:rPr>
                <w:rFonts w:cs="Arial"/>
                <w:sz w:val="18"/>
                <w:szCs w:val="20"/>
                <w:lang w:val="en-US"/>
              </w:rPr>
              <w:t>:</w:t>
            </w:r>
          </w:p>
          <w:p w:rsidR="009C13A9" w:rsidRPr="00C903F8" w:rsidRDefault="009C13A9" w:rsidP="00083603">
            <w:pPr>
              <w:tabs>
                <w:tab w:val="left" w:leader="dot" w:pos="8505"/>
              </w:tabs>
              <w:overflowPunct w:val="0"/>
              <w:adjustRightInd w:val="0"/>
              <w:spacing w:after="80"/>
              <w:ind w:left="57" w:firstLine="0"/>
              <w:jc w:val="left"/>
              <w:textAlignment w:val="baseline"/>
              <w:rPr>
                <w:rFonts w:cs="Arial"/>
                <w:position w:val="6"/>
                <w:sz w:val="16"/>
                <w:szCs w:val="20"/>
                <w:lang w:val="en-US"/>
              </w:rPr>
            </w:pPr>
            <w:r w:rsidRPr="00C903F8">
              <w:rPr>
                <w:rFonts w:cs="Arial"/>
                <w:position w:val="6"/>
                <w:sz w:val="16"/>
                <w:szCs w:val="20"/>
                <w:lang w:val="en-US"/>
              </w:rPr>
              <w:tab/>
            </w:r>
          </w:p>
          <w:p w:rsidR="009C13A9" w:rsidRPr="00C903F8" w:rsidRDefault="009C13A9" w:rsidP="009C13A9">
            <w:pPr>
              <w:tabs>
                <w:tab w:val="left" w:leader="dot" w:pos="8505"/>
              </w:tabs>
              <w:overflowPunct w:val="0"/>
              <w:adjustRightInd w:val="0"/>
              <w:ind w:left="57" w:firstLine="0"/>
              <w:jc w:val="left"/>
              <w:textAlignment w:val="baseline"/>
              <w:rPr>
                <w:rFonts w:cs="Arial"/>
                <w:position w:val="6"/>
                <w:sz w:val="16"/>
                <w:szCs w:val="20"/>
                <w:lang w:val="en-US"/>
              </w:rPr>
            </w:pPr>
            <w:r w:rsidRPr="00C903F8">
              <w:rPr>
                <w:rFonts w:cs="Arial"/>
                <w:position w:val="6"/>
                <w:sz w:val="16"/>
                <w:szCs w:val="20"/>
                <w:lang w:val="en-US"/>
              </w:rPr>
              <w:tab/>
            </w:r>
          </w:p>
          <w:p w:rsidR="009C13A9" w:rsidRPr="00C903F8" w:rsidRDefault="009C13A9" w:rsidP="009C13A9">
            <w:pPr>
              <w:tabs>
                <w:tab w:val="left" w:leader="dot" w:pos="8505"/>
              </w:tabs>
              <w:overflowPunct w:val="0"/>
              <w:adjustRightInd w:val="0"/>
              <w:ind w:left="57" w:firstLine="0"/>
              <w:jc w:val="left"/>
              <w:textAlignment w:val="baseline"/>
              <w:rPr>
                <w:rFonts w:cs="Arial"/>
                <w:position w:val="6"/>
                <w:sz w:val="16"/>
                <w:szCs w:val="20"/>
                <w:lang w:val="en-US"/>
              </w:rPr>
            </w:pPr>
            <w:r w:rsidRPr="00C903F8">
              <w:rPr>
                <w:rFonts w:cs="Arial"/>
                <w:sz w:val="18"/>
                <w:szCs w:val="20"/>
                <w:lang w:val="en-US"/>
              </w:rPr>
              <w:t xml:space="preserve">In view of – the inspection result - certificate - *), the period of validity of the </w:t>
            </w:r>
            <w:r w:rsidR="007E2E18" w:rsidRPr="007E2E18">
              <w:rPr>
                <w:rFonts w:cs="Arial"/>
                <w:sz w:val="18"/>
                <w:szCs w:val="20"/>
                <w:lang w:val="en-US"/>
              </w:rPr>
              <w:t xml:space="preserve">inland navigation vessel certificate </w:t>
            </w:r>
            <w:r w:rsidRPr="00C903F8">
              <w:rPr>
                <w:rFonts w:cs="Arial"/>
                <w:sz w:val="18"/>
                <w:szCs w:val="20"/>
                <w:lang w:val="en-US"/>
              </w:rPr>
              <w:t>is maintained – extended -</w:t>
            </w:r>
            <w:r w:rsidRPr="00C903F8">
              <w:rPr>
                <w:rFonts w:cs="Arial"/>
                <w:position w:val="6"/>
                <w:sz w:val="16"/>
                <w:szCs w:val="20"/>
                <w:lang w:val="en-US"/>
              </w:rPr>
              <w:t>*)</w:t>
            </w:r>
          </w:p>
          <w:p w:rsidR="009C13A9" w:rsidRPr="00C903F8" w:rsidRDefault="009C13A9" w:rsidP="009C13A9">
            <w:pPr>
              <w:tabs>
                <w:tab w:val="left" w:leader="dot" w:pos="2268"/>
                <w:tab w:val="left" w:leader="dot" w:pos="3402"/>
                <w:tab w:val="left" w:leader="dot" w:pos="8505"/>
              </w:tabs>
              <w:overflowPunct w:val="0"/>
              <w:adjustRightInd w:val="0"/>
              <w:ind w:left="57" w:firstLine="0"/>
              <w:jc w:val="left"/>
              <w:textAlignment w:val="baseline"/>
              <w:rPr>
                <w:rFonts w:cs="Arial"/>
                <w:sz w:val="18"/>
                <w:szCs w:val="20"/>
                <w:lang w:val="en-US"/>
              </w:rPr>
            </w:pPr>
            <w:r w:rsidRPr="00C903F8">
              <w:rPr>
                <w:rFonts w:cs="Arial"/>
                <w:sz w:val="18"/>
                <w:szCs w:val="20"/>
                <w:lang w:val="en-US"/>
              </w:rPr>
              <w:t xml:space="preserve">until </w:t>
            </w:r>
            <w:r w:rsidRPr="00C903F8">
              <w:rPr>
                <w:rFonts w:cs="Arial"/>
                <w:sz w:val="18"/>
                <w:szCs w:val="20"/>
                <w:lang w:val="en-US"/>
              </w:rPr>
              <w:tab/>
              <w:t xml:space="preserve"> .</w:t>
            </w:r>
          </w:p>
          <w:p w:rsidR="009C13A9" w:rsidRPr="00C903F8" w:rsidRDefault="009C13A9" w:rsidP="00083603">
            <w:pPr>
              <w:tabs>
                <w:tab w:val="left" w:pos="57"/>
                <w:tab w:val="left" w:leader="dot" w:pos="3969"/>
                <w:tab w:val="left" w:leader="dot" w:pos="6237"/>
                <w:tab w:val="left" w:leader="dot" w:pos="8505"/>
              </w:tabs>
              <w:overflowPunct w:val="0"/>
              <w:adjustRightInd w:val="0"/>
              <w:spacing w:before="20"/>
              <w:ind w:left="57" w:firstLine="0"/>
              <w:jc w:val="left"/>
              <w:textAlignment w:val="baseline"/>
              <w:rPr>
                <w:rFonts w:cs="Arial"/>
                <w:sz w:val="18"/>
                <w:szCs w:val="20"/>
                <w:lang w:val="en-US"/>
              </w:rPr>
            </w:pPr>
            <w:r w:rsidRPr="00C903F8">
              <w:rPr>
                <w:rFonts w:cs="Arial"/>
                <w:sz w:val="18"/>
                <w:szCs w:val="20"/>
                <w:lang w:val="en-US"/>
              </w:rPr>
              <w:tab/>
              <w:t xml:space="preserve">, </w:t>
            </w:r>
            <w:r w:rsidRPr="00C903F8">
              <w:rPr>
                <w:rFonts w:cs="Arial"/>
                <w:sz w:val="18"/>
                <w:szCs w:val="20"/>
                <w:lang w:val="en-US"/>
              </w:rPr>
              <w:tab/>
            </w:r>
          </w:p>
          <w:p w:rsidR="009C13A9" w:rsidRPr="00C903F8" w:rsidRDefault="009C13A9" w:rsidP="009C13A9">
            <w:pPr>
              <w:tabs>
                <w:tab w:val="center" w:pos="2041"/>
                <w:tab w:val="center" w:pos="5216"/>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6"/>
                <w:szCs w:val="20"/>
                <w:lang w:val="en-US"/>
              </w:rPr>
              <w:t>(Place)</w:t>
            </w:r>
            <w:r w:rsidRPr="00C903F8">
              <w:rPr>
                <w:rFonts w:cs="Arial"/>
                <w:sz w:val="18"/>
                <w:szCs w:val="20"/>
                <w:lang w:val="en-US"/>
              </w:rPr>
              <w:tab/>
            </w:r>
            <w:r w:rsidRPr="00C903F8">
              <w:rPr>
                <w:rFonts w:cs="Arial"/>
                <w:sz w:val="16"/>
                <w:szCs w:val="20"/>
                <w:lang w:val="en-US"/>
              </w:rPr>
              <w:t>(date)</w:t>
            </w:r>
          </w:p>
          <w:p w:rsidR="009C13A9" w:rsidRPr="00C903F8" w:rsidRDefault="009C13A9" w:rsidP="009C13A9">
            <w:pPr>
              <w:tabs>
                <w:tab w:val="left" w:pos="4820"/>
                <w:tab w:val="left" w:leader="dot" w:pos="8505"/>
              </w:tabs>
              <w:overflowPunct w:val="0"/>
              <w:adjustRightInd w:val="0"/>
              <w:spacing w:before="120"/>
              <w:ind w:left="57"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1985"/>
                <w:tab w:val="center" w:pos="6662"/>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00313B91" w:rsidRPr="00C903F8">
              <w:rPr>
                <w:rFonts w:cs="Arial"/>
                <w:sz w:val="16"/>
                <w:szCs w:val="20"/>
                <w:lang w:val="en-US"/>
              </w:rPr>
              <w:t>Stamp</w:t>
            </w:r>
            <w:r w:rsidRPr="00C903F8">
              <w:rPr>
                <w:rFonts w:cs="Arial"/>
                <w:sz w:val="18"/>
                <w:szCs w:val="20"/>
                <w:lang w:val="en-US"/>
              </w:rPr>
              <w:tab/>
            </w:r>
            <w:r w:rsidRPr="00C903F8">
              <w:rPr>
                <w:rFonts w:cs="Arial"/>
                <w:sz w:val="16"/>
                <w:szCs w:val="20"/>
                <w:lang w:val="en-US"/>
              </w:rPr>
              <w:t>Inspection Body</w:t>
            </w:r>
          </w:p>
          <w:p w:rsidR="009C13A9" w:rsidRPr="00C903F8" w:rsidRDefault="009C13A9" w:rsidP="009C13A9">
            <w:pPr>
              <w:tabs>
                <w:tab w:val="left" w:pos="4820"/>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6662"/>
              </w:tabs>
              <w:overflowPunct w:val="0"/>
              <w:adjustRightInd w:val="0"/>
              <w:ind w:left="57" w:firstLine="0"/>
              <w:jc w:val="left"/>
              <w:textAlignment w:val="baseline"/>
              <w:rPr>
                <w:rFonts w:cs="Arial"/>
                <w:sz w:val="16"/>
                <w:szCs w:val="20"/>
                <w:lang w:val="en-US"/>
              </w:rPr>
            </w:pPr>
            <w:r w:rsidRPr="00C903F8">
              <w:rPr>
                <w:rFonts w:cs="Arial"/>
                <w:sz w:val="18"/>
                <w:szCs w:val="20"/>
                <w:lang w:val="en-US"/>
              </w:rPr>
              <w:t>______________________</w:t>
            </w:r>
            <w:r w:rsidRPr="00C903F8">
              <w:rPr>
                <w:rFonts w:cs="Arial"/>
                <w:sz w:val="18"/>
                <w:szCs w:val="20"/>
                <w:lang w:val="en-US"/>
              </w:rPr>
              <w:tab/>
            </w:r>
            <w:r w:rsidRPr="00C903F8">
              <w:rPr>
                <w:rFonts w:cs="Arial"/>
                <w:sz w:val="16"/>
                <w:szCs w:val="20"/>
                <w:lang w:val="en-US"/>
              </w:rPr>
              <w:t>(Signature)</w:t>
            </w:r>
          </w:p>
          <w:p w:rsidR="009C13A9" w:rsidRPr="00C903F8" w:rsidRDefault="009C13A9" w:rsidP="009C13A9">
            <w:pPr>
              <w:tabs>
                <w:tab w:val="left" w:pos="57"/>
                <w:tab w:val="left" w:pos="227"/>
                <w:tab w:val="left" w:pos="5670"/>
                <w:tab w:val="left" w:leader="dot" w:pos="8505"/>
              </w:tabs>
              <w:overflowPunct w:val="0"/>
              <w:adjustRightInd w:val="0"/>
              <w:spacing w:after="40"/>
              <w:ind w:left="57" w:hanging="57"/>
              <w:jc w:val="left"/>
              <w:textAlignment w:val="baseline"/>
              <w:rPr>
                <w:rFonts w:cs="Arial"/>
                <w:sz w:val="18"/>
                <w:szCs w:val="20"/>
              </w:rPr>
            </w:pPr>
            <w:r w:rsidRPr="00C903F8">
              <w:rPr>
                <w:rFonts w:cs="Arial"/>
                <w:position w:val="4"/>
                <w:sz w:val="16"/>
                <w:szCs w:val="20"/>
                <w:vertAlign w:val="superscript"/>
              </w:rPr>
              <w:t>*)</w:t>
            </w:r>
            <w:r w:rsidRPr="00C903F8">
              <w:rPr>
                <w:rFonts w:cs="Arial"/>
                <w:sz w:val="16"/>
                <w:szCs w:val="20"/>
              </w:rPr>
              <w:tab/>
              <w:t>Delete as appropriate</w:t>
            </w:r>
          </w:p>
        </w:tc>
      </w:tr>
      <w:tr w:rsidR="009C13A9" w:rsidRPr="00C903F8" w:rsidTr="00E3172D">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60"/>
              <w:ind w:left="0" w:firstLine="0"/>
              <w:jc w:val="left"/>
              <w:textAlignment w:val="baseline"/>
              <w:rPr>
                <w:rFonts w:cs="Arial"/>
                <w:sz w:val="18"/>
                <w:szCs w:val="20"/>
              </w:rPr>
            </w:pPr>
            <w:r w:rsidRPr="00C903F8">
              <w:rPr>
                <w:rFonts w:cs="Arial"/>
                <w:sz w:val="18"/>
                <w:szCs w:val="20"/>
              </w:rPr>
              <w:t>49.</w:t>
            </w:r>
          </w:p>
        </w:tc>
        <w:tc>
          <w:tcPr>
            <w:tcW w:w="8902" w:type="dxa"/>
            <w:tcBorders>
              <w:top w:val="single" w:sz="6" w:space="0" w:color="auto"/>
              <w:bottom w:val="single" w:sz="6" w:space="0" w:color="auto"/>
              <w:right w:val="single" w:sz="6" w:space="0" w:color="auto"/>
            </w:tcBorders>
          </w:tcPr>
          <w:p w:rsidR="009C13A9" w:rsidRPr="00C903F8" w:rsidRDefault="009C13A9" w:rsidP="009C13A9">
            <w:pPr>
              <w:tabs>
                <w:tab w:val="left" w:pos="4310"/>
                <w:tab w:val="left" w:leader="dot" w:pos="8505"/>
              </w:tabs>
              <w:overflowPunct w:val="0"/>
              <w:adjustRightInd w:val="0"/>
              <w:spacing w:before="60"/>
              <w:ind w:left="57" w:firstLine="0"/>
              <w:jc w:val="left"/>
              <w:textAlignment w:val="baseline"/>
              <w:rPr>
                <w:rFonts w:cs="Arial"/>
                <w:b/>
                <w:position w:val="6"/>
                <w:sz w:val="16"/>
                <w:szCs w:val="20"/>
                <w:lang w:val="en-US"/>
              </w:rPr>
            </w:pPr>
            <w:r w:rsidRPr="00C903F8">
              <w:rPr>
                <w:rFonts w:cs="Arial"/>
                <w:b/>
                <w:sz w:val="18"/>
                <w:szCs w:val="20"/>
                <w:lang w:val="en-US"/>
              </w:rPr>
              <w:t xml:space="preserve">Extension/confirmation </w:t>
            </w:r>
            <w:r w:rsidRPr="00C903F8">
              <w:rPr>
                <w:rFonts w:cs="Arial"/>
                <w:b/>
                <w:position w:val="6"/>
                <w:sz w:val="16"/>
                <w:szCs w:val="20"/>
                <w:lang w:val="en-US"/>
              </w:rPr>
              <w:t>*)</w:t>
            </w:r>
            <w:r w:rsidRPr="00C903F8">
              <w:rPr>
                <w:rFonts w:cs="Arial"/>
                <w:b/>
                <w:sz w:val="18"/>
                <w:szCs w:val="20"/>
                <w:lang w:val="en-US"/>
              </w:rPr>
              <w:t xml:space="preserve"> of </w:t>
            </w:r>
            <w:r w:rsidR="007E2E18" w:rsidRPr="007E2E18">
              <w:rPr>
                <w:rFonts w:cs="Arial"/>
                <w:b/>
                <w:sz w:val="18"/>
                <w:szCs w:val="20"/>
                <w:lang w:val="en-US"/>
              </w:rPr>
              <w:t xml:space="preserve">inland navigation vessel certificate </w:t>
            </w:r>
            <w:r w:rsidRPr="00C903F8">
              <w:rPr>
                <w:rFonts w:cs="Arial"/>
                <w:b/>
                <w:sz w:val="18"/>
                <w:szCs w:val="20"/>
                <w:lang w:val="en-US"/>
              </w:rPr>
              <w:t>validity</w:t>
            </w:r>
            <w:r w:rsidRPr="00C903F8">
              <w:rPr>
                <w:rFonts w:cs="Arial"/>
                <w:b/>
                <w:position w:val="6"/>
                <w:sz w:val="16"/>
                <w:szCs w:val="20"/>
                <w:lang w:val="en-US"/>
              </w:rPr>
              <w:t>*)</w:t>
            </w:r>
            <w:r w:rsidR="007E2E18">
              <w:rPr>
                <w:rFonts w:cs="Arial"/>
                <w:b/>
                <w:sz w:val="18"/>
                <w:szCs w:val="20"/>
                <w:lang w:val="en-US"/>
              </w:rPr>
              <w:t xml:space="preserve"> </w:t>
            </w:r>
            <w:r w:rsidRPr="00C903F8">
              <w:rPr>
                <w:rFonts w:cs="Arial"/>
                <w:b/>
                <w:sz w:val="18"/>
                <w:szCs w:val="20"/>
                <w:lang w:val="en-US"/>
              </w:rPr>
              <w:t>Periodical - special</w:t>
            </w:r>
            <w:r w:rsidRPr="00C903F8">
              <w:rPr>
                <w:rFonts w:cs="Arial"/>
                <w:b/>
                <w:position w:val="6"/>
                <w:sz w:val="16"/>
                <w:szCs w:val="20"/>
                <w:lang w:val="en-US"/>
              </w:rPr>
              <w:t xml:space="preserve">*) </w:t>
            </w:r>
            <w:r w:rsidRPr="00C903F8">
              <w:rPr>
                <w:rFonts w:cs="Arial"/>
                <w:b/>
                <w:sz w:val="18"/>
                <w:szCs w:val="20"/>
                <w:lang w:val="en-US"/>
              </w:rPr>
              <w:t>inspection</w:t>
            </w:r>
          </w:p>
          <w:p w:rsidR="009C13A9" w:rsidRPr="00C903F8" w:rsidRDefault="009C13A9" w:rsidP="00083603">
            <w:pPr>
              <w:tabs>
                <w:tab w:val="left" w:leader="dot" w:pos="5103"/>
                <w:tab w:val="left" w:leader="dot" w:pos="8505"/>
              </w:tabs>
              <w:overflowPunct w:val="0"/>
              <w:adjustRightInd w:val="0"/>
              <w:spacing w:before="20"/>
              <w:ind w:left="57" w:firstLine="0"/>
              <w:jc w:val="left"/>
              <w:textAlignment w:val="baseline"/>
              <w:rPr>
                <w:rFonts w:cs="Arial"/>
                <w:sz w:val="18"/>
                <w:szCs w:val="20"/>
                <w:lang w:val="en-US"/>
              </w:rPr>
            </w:pPr>
            <w:r w:rsidRPr="00C903F8">
              <w:rPr>
                <w:rFonts w:cs="Arial"/>
                <w:sz w:val="18"/>
                <w:szCs w:val="20"/>
                <w:lang w:val="en-US"/>
              </w:rPr>
              <w:t>The Inspection Body inspected the vessel on</w:t>
            </w:r>
            <w:r w:rsidRPr="00C903F8">
              <w:rPr>
                <w:rFonts w:cs="Arial"/>
                <w:sz w:val="18"/>
                <w:szCs w:val="20"/>
                <w:lang w:val="en-US"/>
              </w:rPr>
              <w:tab/>
            </w:r>
            <w:r w:rsidRPr="00C903F8">
              <w:rPr>
                <w:rFonts w:cs="Arial"/>
                <w:position w:val="6"/>
                <w:sz w:val="16"/>
                <w:szCs w:val="20"/>
                <w:lang w:val="en-US"/>
              </w:rPr>
              <w:t>*)</w:t>
            </w:r>
            <w:r w:rsidRPr="00C903F8">
              <w:rPr>
                <w:rFonts w:cs="Arial"/>
                <w:sz w:val="18"/>
                <w:szCs w:val="20"/>
                <w:lang w:val="en-US"/>
              </w:rPr>
              <w:t>.</w:t>
            </w:r>
          </w:p>
          <w:p w:rsidR="009C13A9" w:rsidRPr="00C903F8" w:rsidRDefault="009C13A9" w:rsidP="00083603">
            <w:pPr>
              <w:tabs>
                <w:tab w:val="left" w:leader="dot" w:pos="3686"/>
                <w:tab w:val="left" w:leader="dot" w:pos="8505"/>
              </w:tabs>
              <w:overflowPunct w:val="0"/>
              <w:adjustRightInd w:val="0"/>
              <w:spacing w:after="20"/>
              <w:ind w:left="57" w:firstLine="0"/>
              <w:jc w:val="left"/>
              <w:textAlignment w:val="baseline"/>
              <w:rPr>
                <w:rFonts w:cs="Arial"/>
                <w:sz w:val="18"/>
                <w:szCs w:val="20"/>
                <w:lang w:val="en-US"/>
              </w:rPr>
            </w:pPr>
            <w:r w:rsidRPr="00C903F8">
              <w:rPr>
                <w:rFonts w:cs="Arial"/>
                <w:sz w:val="18"/>
                <w:szCs w:val="20"/>
                <w:lang w:val="en-US"/>
              </w:rPr>
              <w:t>A certificate dated</w:t>
            </w:r>
            <w:r w:rsidRPr="00C903F8">
              <w:rPr>
                <w:rFonts w:cs="Arial"/>
                <w:sz w:val="18"/>
                <w:szCs w:val="20"/>
                <w:lang w:val="en-US"/>
              </w:rPr>
              <w:tab/>
            </w:r>
            <w:r w:rsidRPr="00C903F8">
              <w:rPr>
                <w:noProof/>
                <w:sz w:val="18"/>
                <w:szCs w:val="20"/>
                <w:lang w:val="en-US" w:eastAsia="fr-BE"/>
              </w:rPr>
              <w:t xml:space="preserve">from the </w:t>
            </w:r>
            <w:r w:rsidR="004E1AD0" w:rsidRPr="00C903F8">
              <w:rPr>
                <w:rFonts w:cs="Arial"/>
                <w:szCs w:val="20"/>
                <w:lang w:val="en-US"/>
              </w:rPr>
              <w:t>recognised</w:t>
            </w:r>
            <w:r w:rsidRPr="00C903F8">
              <w:rPr>
                <w:noProof/>
                <w:sz w:val="18"/>
                <w:szCs w:val="20"/>
                <w:lang w:val="en-US" w:eastAsia="fr-BE"/>
              </w:rPr>
              <w:t xml:space="preserve"> classification society</w:t>
            </w:r>
            <w:r w:rsidRPr="00C903F8">
              <w:rPr>
                <w:rFonts w:cs="Arial"/>
                <w:sz w:val="18"/>
                <w:szCs w:val="20"/>
                <w:lang w:val="en-US"/>
              </w:rPr>
              <w:tab/>
            </w:r>
          </w:p>
          <w:p w:rsidR="009C13A9" w:rsidRPr="00C903F8" w:rsidRDefault="009C13A9" w:rsidP="009C13A9">
            <w:pPr>
              <w:tabs>
                <w:tab w:val="left" w:leader="dot" w:pos="8505"/>
              </w:tabs>
              <w:overflowPunct w:val="0"/>
              <w:adjustRightInd w:val="0"/>
              <w:ind w:lef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overflowPunct w:val="0"/>
              <w:adjustRightInd w:val="0"/>
              <w:spacing w:after="20"/>
              <w:ind w:left="57" w:firstLine="0"/>
              <w:jc w:val="left"/>
              <w:textAlignment w:val="baseline"/>
              <w:rPr>
                <w:rFonts w:cs="Arial"/>
                <w:sz w:val="18"/>
                <w:szCs w:val="20"/>
                <w:lang w:val="en-US"/>
              </w:rPr>
            </w:pPr>
            <w:r w:rsidRPr="00C903F8">
              <w:rPr>
                <w:noProof/>
                <w:sz w:val="18"/>
                <w:szCs w:val="20"/>
                <w:lang w:val="en-US" w:eastAsia="fr-BE"/>
              </w:rPr>
              <w:t>was presented to the Inspection Body</w:t>
            </w:r>
            <w:r w:rsidRPr="00C903F8">
              <w:rPr>
                <w:rFonts w:cs="Arial"/>
                <w:position w:val="6"/>
                <w:sz w:val="16"/>
                <w:szCs w:val="20"/>
                <w:lang w:val="en-US"/>
              </w:rPr>
              <w:t>*)</w:t>
            </w:r>
            <w:r w:rsidRPr="00C903F8">
              <w:rPr>
                <w:rFonts w:cs="Arial"/>
                <w:sz w:val="18"/>
                <w:szCs w:val="20"/>
                <w:lang w:val="en-US"/>
              </w:rPr>
              <w:t>.</w:t>
            </w:r>
          </w:p>
          <w:p w:rsidR="009C13A9" w:rsidRPr="00C903F8" w:rsidRDefault="009C13A9" w:rsidP="009C13A9">
            <w:pPr>
              <w:overflowPunct w:val="0"/>
              <w:adjustRightInd w:val="0"/>
              <w:spacing w:after="20"/>
              <w:ind w:left="57" w:firstLine="0"/>
              <w:jc w:val="left"/>
              <w:textAlignment w:val="baseline"/>
              <w:rPr>
                <w:rFonts w:cs="Arial"/>
                <w:sz w:val="18"/>
                <w:szCs w:val="20"/>
                <w:lang w:val="en-US"/>
              </w:rPr>
            </w:pPr>
            <w:r w:rsidRPr="00C903F8">
              <w:rPr>
                <w:noProof/>
                <w:sz w:val="18"/>
                <w:szCs w:val="20"/>
                <w:lang w:val="en-US" w:eastAsia="fr-BE"/>
              </w:rPr>
              <w:t>Reason for the inspection/certificate</w:t>
            </w:r>
            <w:r w:rsidRPr="00C903F8">
              <w:rPr>
                <w:rFonts w:cs="Arial"/>
                <w:position w:val="6"/>
                <w:sz w:val="16"/>
                <w:szCs w:val="20"/>
                <w:lang w:val="en-US"/>
              </w:rPr>
              <w:t>*)</w:t>
            </w:r>
            <w:r w:rsidRPr="00C903F8">
              <w:rPr>
                <w:rFonts w:cs="Arial"/>
                <w:sz w:val="18"/>
                <w:szCs w:val="20"/>
                <w:lang w:val="en-US"/>
              </w:rPr>
              <w:t>:</w:t>
            </w:r>
          </w:p>
          <w:p w:rsidR="009C13A9" w:rsidRPr="00C903F8" w:rsidRDefault="009C13A9" w:rsidP="00083603">
            <w:pPr>
              <w:tabs>
                <w:tab w:val="left" w:leader="dot" w:pos="8505"/>
              </w:tabs>
              <w:overflowPunct w:val="0"/>
              <w:adjustRightInd w:val="0"/>
              <w:spacing w:after="80"/>
              <w:ind w:left="57" w:firstLine="0"/>
              <w:jc w:val="left"/>
              <w:textAlignment w:val="baseline"/>
              <w:rPr>
                <w:rFonts w:cs="Arial"/>
                <w:position w:val="6"/>
                <w:sz w:val="16"/>
                <w:szCs w:val="20"/>
                <w:lang w:val="en-US"/>
              </w:rPr>
            </w:pPr>
            <w:r w:rsidRPr="00C903F8">
              <w:rPr>
                <w:rFonts w:cs="Arial"/>
                <w:position w:val="6"/>
                <w:sz w:val="16"/>
                <w:szCs w:val="20"/>
                <w:lang w:val="en-US"/>
              </w:rPr>
              <w:tab/>
            </w:r>
          </w:p>
          <w:p w:rsidR="009C13A9" w:rsidRPr="00C903F8" w:rsidRDefault="009C13A9" w:rsidP="009C13A9">
            <w:pPr>
              <w:tabs>
                <w:tab w:val="left" w:leader="dot" w:pos="8505"/>
              </w:tabs>
              <w:overflowPunct w:val="0"/>
              <w:adjustRightInd w:val="0"/>
              <w:ind w:left="57" w:firstLine="0"/>
              <w:jc w:val="left"/>
              <w:textAlignment w:val="baseline"/>
              <w:rPr>
                <w:rFonts w:cs="Arial"/>
                <w:position w:val="6"/>
                <w:sz w:val="16"/>
                <w:szCs w:val="20"/>
                <w:lang w:val="en-US"/>
              </w:rPr>
            </w:pPr>
            <w:r w:rsidRPr="00C903F8">
              <w:rPr>
                <w:rFonts w:cs="Arial"/>
                <w:position w:val="6"/>
                <w:sz w:val="16"/>
                <w:szCs w:val="20"/>
                <w:lang w:val="en-US"/>
              </w:rPr>
              <w:tab/>
            </w:r>
          </w:p>
          <w:p w:rsidR="009C13A9" w:rsidRPr="00C903F8" w:rsidRDefault="009C13A9" w:rsidP="009C13A9">
            <w:pPr>
              <w:tabs>
                <w:tab w:val="left" w:leader="dot" w:pos="8505"/>
              </w:tabs>
              <w:overflowPunct w:val="0"/>
              <w:adjustRightInd w:val="0"/>
              <w:ind w:left="57" w:firstLine="0"/>
              <w:jc w:val="left"/>
              <w:textAlignment w:val="baseline"/>
              <w:rPr>
                <w:rFonts w:cs="Arial"/>
                <w:position w:val="6"/>
                <w:sz w:val="16"/>
                <w:szCs w:val="20"/>
                <w:lang w:val="en-US"/>
              </w:rPr>
            </w:pPr>
            <w:r w:rsidRPr="00C903F8">
              <w:rPr>
                <w:rFonts w:cs="Arial"/>
                <w:sz w:val="18"/>
                <w:szCs w:val="20"/>
                <w:lang w:val="en-US"/>
              </w:rPr>
              <w:t xml:space="preserve">In view of – the inspection result - certificate - *), the period of validity of the </w:t>
            </w:r>
            <w:r w:rsidR="007E2E18" w:rsidRPr="007E2E18">
              <w:rPr>
                <w:rFonts w:cs="Arial"/>
                <w:sz w:val="18"/>
                <w:szCs w:val="20"/>
                <w:lang w:val="en-US"/>
              </w:rPr>
              <w:t xml:space="preserve">inland navigation vessel certificate </w:t>
            </w:r>
            <w:r w:rsidRPr="00C903F8">
              <w:rPr>
                <w:rFonts w:cs="Arial"/>
                <w:sz w:val="18"/>
                <w:szCs w:val="20"/>
                <w:lang w:val="en-US"/>
              </w:rPr>
              <w:t>is maintained – extended -</w:t>
            </w:r>
            <w:r w:rsidRPr="00C903F8">
              <w:rPr>
                <w:rFonts w:cs="Arial"/>
                <w:position w:val="6"/>
                <w:sz w:val="16"/>
                <w:szCs w:val="20"/>
                <w:lang w:val="en-US"/>
              </w:rPr>
              <w:t>*)</w:t>
            </w:r>
          </w:p>
          <w:p w:rsidR="009C13A9" w:rsidRPr="00C903F8" w:rsidRDefault="009C13A9" w:rsidP="009C13A9">
            <w:pPr>
              <w:tabs>
                <w:tab w:val="left" w:leader="dot" w:pos="2268"/>
                <w:tab w:val="left" w:leader="dot" w:pos="3402"/>
                <w:tab w:val="left" w:leader="dot" w:pos="8505"/>
              </w:tabs>
              <w:overflowPunct w:val="0"/>
              <w:adjustRightInd w:val="0"/>
              <w:ind w:left="57" w:firstLine="0"/>
              <w:jc w:val="left"/>
              <w:textAlignment w:val="baseline"/>
              <w:rPr>
                <w:rFonts w:cs="Arial"/>
                <w:sz w:val="18"/>
                <w:szCs w:val="20"/>
                <w:lang w:val="en-US"/>
              </w:rPr>
            </w:pPr>
            <w:r w:rsidRPr="00C903F8">
              <w:rPr>
                <w:rFonts w:cs="Arial"/>
                <w:sz w:val="18"/>
                <w:szCs w:val="20"/>
                <w:lang w:val="en-US"/>
              </w:rPr>
              <w:t xml:space="preserve">until </w:t>
            </w:r>
            <w:r w:rsidRPr="00C903F8">
              <w:rPr>
                <w:rFonts w:cs="Arial"/>
                <w:sz w:val="18"/>
                <w:szCs w:val="20"/>
                <w:lang w:val="en-US"/>
              </w:rPr>
              <w:tab/>
              <w:t xml:space="preserve"> .</w:t>
            </w:r>
          </w:p>
          <w:p w:rsidR="009C13A9" w:rsidRPr="00C903F8" w:rsidRDefault="009C13A9" w:rsidP="00083603">
            <w:pPr>
              <w:tabs>
                <w:tab w:val="left" w:pos="57"/>
                <w:tab w:val="left" w:leader="dot" w:pos="3969"/>
                <w:tab w:val="left" w:leader="dot" w:pos="6237"/>
                <w:tab w:val="left" w:leader="dot" w:pos="8505"/>
              </w:tabs>
              <w:overflowPunct w:val="0"/>
              <w:adjustRightInd w:val="0"/>
              <w:spacing w:before="20"/>
              <w:ind w:left="57" w:firstLine="0"/>
              <w:jc w:val="left"/>
              <w:textAlignment w:val="baseline"/>
              <w:rPr>
                <w:rFonts w:cs="Arial"/>
                <w:sz w:val="18"/>
                <w:szCs w:val="20"/>
                <w:lang w:val="en-US"/>
              </w:rPr>
            </w:pPr>
            <w:r w:rsidRPr="00C903F8">
              <w:rPr>
                <w:rFonts w:cs="Arial"/>
                <w:sz w:val="18"/>
                <w:szCs w:val="20"/>
                <w:lang w:val="en-US"/>
              </w:rPr>
              <w:tab/>
              <w:t xml:space="preserve">, </w:t>
            </w:r>
            <w:r w:rsidRPr="00C903F8">
              <w:rPr>
                <w:rFonts w:cs="Arial"/>
                <w:sz w:val="18"/>
                <w:szCs w:val="20"/>
                <w:lang w:val="en-US"/>
              </w:rPr>
              <w:tab/>
            </w:r>
          </w:p>
          <w:p w:rsidR="009C13A9" w:rsidRPr="00C903F8" w:rsidRDefault="009C13A9" w:rsidP="009C13A9">
            <w:pPr>
              <w:tabs>
                <w:tab w:val="center" w:pos="2041"/>
                <w:tab w:val="center" w:pos="5216"/>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6"/>
                <w:szCs w:val="20"/>
                <w:lang w:val="en-US"/>
              </w:rPr>
              <w:t>(Place)</w:t>
            </w:r>
            <w:r w:rsidRPr="00C903F8">
              <w:rPr>
                <w:rFonts w:cs="Arial"/>
                <w:sz w:val="18"/>
                <w:szCs w:val="20"/>
                <w:lang w:val="en-US"/>
              </w:rPr>
              <w:tab/>
            </w:r>
            <w:r w:rsidRPr="00C903F8">
              <w:rPr>
                <w:rFonts w:cs="Arial"/>
                <w:sz w:val="16"/>
                <w:szCs w:val="20"/>
                <w:lang w:val="en-US"/>
              </w:rPr>
              <w:t>(date)</w:t>
            </w:r>
          </w:p>
          <w:p w:rsidR="009C13A9" w:rsidRPr="00C903F8" w:rsidRDefault="009C13A9" w:rsidP="009C13A9">
            <w:pPr>
              <w:tabs>
                <w:tab w:val="left" w:pos="4820"/>
                <w:tab w:val="left" w:leader="dot" w:pos="8505"/>
              </w:tabs>
              <w:overflowPunct w:val="0"/>
              <w:adjustRightInd w:val="0"/>
              <w:spacing w:before="120"/>
              <w:ind w:left="57"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1985"/>
                <w:tab w:val="center" w:pos="6662"/>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00313B91" w:rsidRPr="00C903F8">
              <w:rPr>
                <w:rFonts w:cs="Arial"/>
                <w:sz w:val="16"/>
                <w:szCs w:val="20"/>
                <w:lang w:val="en-US"/>
              </w:rPr>
              <w:t>Stamp</w:t>
            </w:r>
            <w:r w:rsidRPr="00C903F8">
              <w:rPr>
                <w:rFonts w:cs="Arial"/>
                <w:sz w:val="18"/>
                <w:szCs w:val="20"/>
                <w:lang w:val="en-US"/>
              </w:rPr>
              <w:tab/>
            </w:r>
            <w:r w:rsidRPr="00C903F8">
              <w:rPr>
                <w:rFonts w:cs="Arial"/>
                <w:sz w:val="16"/>
                <w:szCs w:val="20"/>
                <w:lang w:val="en-US"/>
              </w:rPr>
              <w:t>Inspection Body</w:t>
            </w:r>
          </w:p>
          <w:p w:rsidR="009C13A9" w:rsidRPr="00C903F8" w:rsidRDefault="009C13A9" w:rsidP="009C13A9">
            <w:pPr>
              <w:tabs>
                <w:tab w:val="left" w:pos="4820"/>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6662"/>
              </w:tabs>
              <w:overflowPunct w:val="0"/>
              <w:adjustRightInd w:val="0"/>
              <w:ind w:left="57" w:firstLine="0"/>
              <w:jc w:val="left"/>
              <w:textAlignment w:val="baseline"/>
              <w:rPr>
                <w:rFonts w:cs="Arial"/>
                <w:sz w:val="16"/>
                <w:szCs w:val="20"/>
                <w:lang w:val="en-US"/>
              </w:rPr>
            </w:pPr>
            <w:r w:rsidRPr="00C903F8">
              <w:rPr>
                <w:rFonts w:cs="Arial"/>
                <w:sz w:val="18"/>
                <w:szCs w:val="20"/>
                <w:lang w:val="en-US"/>
              </w:rPr>
              <w:t>______________________</w:t>
            </w:r>
            <w:r w:rsidRPr="00C903F8">
              <w:rPr>
                <w:rFonts w:cs="Arial"/>
                <w:sz w:val="18"/>
                <w:szCs w:val="20"/>
                <w:lang w:val="en-US"/>
              </w:rPr>
              <w:tab/>
            </w:r>
            <w:r w:rsidRPr="00C903F8">
              <w:rPr>
                <w:rFonts w:cs="Arial"/>
                <w:sz w:val="16"/>
                <w:szCs w:val="20"/>
                <w:lang w:val="en-US"/>
              </w:rPr>
              <w:t>(Signature)</w:t>
            </w:r>
          </w:p>
          <w:p w:rsidR="009C13A9" w:rsidRPr="00C903F8" w:rsidRDefault="009C13A9" w:rsidP="009C13A9">
            <w:pPr>
              <w:tabs>
                <w:tab w:val="left" w:pos="57"/>
                <w:tab w:val="left" w:pos="227"/>
                <w:tab w:val="left" w:pos="5670"/>
                <w:tab w:val="left" w:leader="dot" w:pos="8505"/>
              </w:tabs>
              <w:overflowPunct w:val="0"/>
              <w:adjustRightInd w:val="0"/>
              <w:spacing w:after="40"/>
              <w:ind w:left="57" w:hanging="57"/>
              <w:jc w:val="left"/>
              <w:textAlignment w:val="baseline"/>
              <w:rPr>
                <w:rFonts w:cs="Arial"/>
                <w:sz w:val="18"/>
                <w:szCs w:val="20"/>
              </w:rPr>
            </w:pPr>
            <w:r w:rsidRPr="00C903F8">
              <w:rPr>
                <w:rFonts w:cs="Arial"/>
                <w:position w:val="4"/>
                <w:sz w:val="16"/>
                <w:szCs w:val="20"/>
                <w:vertAlign w:val="superscript"/>
              </w:rPr>
              <w:t>*)</w:t>
            </w:r>
            <w:r w:rsidRPr="00C903F8">
              <w:rPr>
                <w:rFonts w:cs="Arial"/>
                <w:sz w:val="16"/>
                <w:szCs w:val="20"/>
              </w:rPr>
              <w:tab/>
              <w:t>Delete as appropriate</w:t>
            </w:r>
          </w:p>
        </w:tc>
      </w:tr>
    </w:tbl>
    <w:p w:rsidR="009C13A9" w:rsidRPr="00C903F8" w:rsidRDefault="009C13A9" w:rsidP="009C13A9">
      <w:pPr>
        <w:tabs>
          <w:tab w:val="left" w:leader="dot" w:pos="2835"/>
          <w:tab w:val="left" w:leader="dot" w:pos="7371"/>
        </w:tabs>
        <w:overflowPunct w:val="0"/>
        <w:adjustRightInd w:val="0"/>
        <w:ind w:left="0" w:firstLine="0"/>
        <w:jc w:val="center"/>
        <w:textAlignment w:val="baseline"/>
        <w:rPr>
          <w:rFonts w:cs="Arial"/>
          <w:szCs w:val="20"/>
        </w:rPr>
        <w:sectPr w:rsidR="009C13A9" w:rsidRPr="00C903F8" w:rsidSect="00A50F11">
          <w:headerReference w:type="default" r:id="rId44"/>
          <w:footerReference w:type="default" r:id="rId45"/>
          <w:footnotePr>
            <w:numRestart w:val="eachPage"/>
          </w:footnotePr>
          <w:pgSz w:w="11907" w:h="16840"/>
          <w:pgMar w:top="1191" w:right="1418" w:bottom="1077" w:left="1418" w:header="720" w:footer="720" w:gutter="0"/>
          <w:cols w:space="720"/>
        </w:sectPr>
      </w:pPr>
    </w:p>
    <w:p w:rsidR="009C13A9" w:rsidRPr="00C903F8" w:rsidRDefault="00E3172D" w:rsidP="00E3172D">
      <w:pPr>
        <w:tabs>
          <w:tab w:val="left" w:leader="dot" w:pos="2835"/>
          <w:tab w:val="left" w:leader="dot" w:pos="5103"/>
        </w:tabs>
        <w:overflowPunct w:val="0"/>
        <w:adjustRightInd w:val="0"/>
        <w:ind w:left="0" w:firstLine="0"/>
        <w:textAlignment w:val="baseline"/>
        <w:rPr>
          <w:rFonts w:cs="Arial"/>
          <w:szCs w:val="20"/>
          <w:lang w:val="en-US"/>
        </w:rPr>
      </w:pPr>
      <w:r w:rsidRPr="00AA5614">
        <w:rPr>
          <w:rFonts w:cs="Arial"/>
          <w:szCs w:val="20"/>
          <w:lang w:val="en-US"/>
        </w:rPr>
        <w:lastRenderedPageBreak/>
        <w:t xml:space="preserve">Inland navigation vessel certificate </w:t>
      </w:r>
      <w:r>
        <w:rPr>
          <w:rFonts w:cs="Arial"/>
          <w:szCs w:val="20"/>
          <w:lang w:val="en-GB"/>
        </w:rPr>
        <w:t xml:space="preserve">No </w:t>
      </w:r>
      <w:r w:rsidRPr="00AA5614">
        <w:rPr>
          <w:rFonts w:cs="Arial"/>
          <w:szCs w:val="20"/>
          <w:lang w:val="en-GB"/>
        </w:rPr>
        <w:tab/>
        <w:t xml:space="preserve"> of the Inspection body </w:t>
      </w:r>
      <w:r w:rsidRPr="00AA5614">
        <w:rPr>
          <w:rFonts w:cs="Arial"/>
          <w:szCs w:val="20"/>
          <w:lang w:val="en-GB"/>
        </w:rPr>
        <w:tab/>
      </w:r>
    </w:p>
    <w:tbl>
      <w:tblPr>
        <w:tblW w:w="9187" w:type="dxa"/>
        <w:jc w:val="center"/>
        <w:tblLayout w:type="fixed"/>
        <w:tblCellMar>
          <w:left w:w="0" w:type="dxa"/>
          <w:right w:w="0" w:type="dxa"/>
        </w:tblCellMar>
        <w:tblLook w:val="0000" w:firstRow="0" w:lastRow="0" w:firstColumn="0" w:lastColumn="0" w:noHBand="0" w:noVBand="0"/>
      </w:tblPr>
      <w:tblGrid>
        <w:gridCol w:w="284"/>
        <w:gridCol w:w="1418"/>
        <w:gridCol w:w="1191"/>
        <w:gridCol w:w="1247"/>
        <w:gridCol w:w="1758"/>
        <w:gridCol w:w="1134"/>
        <w:gridCol w:w="1758"/>
        <w:gridCol w:w="397"/>
      </w:tblGrid>
      <w:tr w:rsidR="009C13A9" w:rsidRPr="00296858" w:rsidTr="009C13A9">
        <w:trPr>
          <w:cantSplit/>
          <w:jc w:val="center"/>
        </w:trPr>
        <w:tc>
          <w:tcPr>
            <w:tcW w:w="284" w:type="dxa"/>
            <w:tcBorders>
              <w:top w:val="single" w:sz="6" w:space="0" w:color="auto"/>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50.</w:t>
            </w:r>
          </w:p>
        </w:tc>
        <w:tc>
          <w:tcPr>
            <w:tcW w:w="8903" w:type="dxa"/>
            <w:gridSpan w:val="7"/>
            <w:tcBorders>
              <w:top w:val="single" w:sz="6" w:space="0" w:color="auto"/>
              <w:right w:val="single" w:sz="6" w:space="0" w:color="auto"/>
            </w:tcBorders>
          </w:tcPr>
          <w:p w:rsidR="009C13A9" w:rsidRPr="00C903F8" w:rsidRDefault="009C13A9" w:rsidP="009C13A9">
            <w:pPr>
              <w:tabs>
                <w:tab w:val="left" w:pos="57"/>
                <w:tab w:val="left" w:leader="dot" w:pos="8505"/>
              </w:tabs>
              <w:overflowPunct w:val="0"/>
              <w:adjustRightInd w:val="0"/>
              <w:spacing w:before="120"/>
              <w:ind w:left="0" w:firstLine="0"/>
              <w:jc w:val="left"/>
              <w:textAlignment w:val="baseline"/>
              <w:rPr>
                <w:rFonts w:cs="Arial"/>
                <w:b/>
                <w:sz w:val="18"/>
                <w:szCs w:val="20"/>
                <w:lang w:val="en-US"/>
              </w:rPr>
            </w:pPr>
            <w:r w:rsidRPr="00C903F8">
              <w:rPr>
                <w:rFonts w:cs="Arial"/>
                <w:b/>
                <w:sz w:val="18"/>
                <w:szCs w:val="20"/>
                <w:lang w:val="en-US"/>
              </w:rPr>
              <w:t>Attestation relating to liquefied gas installation(s)</w:t>
            </w:r>
          </w:p>
          <w:p w:rsidR="009C13A9" w:rsidRPr="00C903F8" w:rsidRDefault="009C13A9" w:rsidP="009C13A9">
            <w:pPr>
              <w:tabs>
                <w:tab w:val="left" w:pos="57"/>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The liquefied gas installation(s) on board the craft has/have been inspected by the expert</w:t>
            </w:r>
            <w:r w:rsidRPr="00C903F8">
              <w:rPr>
                <w:rFonts w:cs="Arial"/>
                <w:position w:val="6"/>
                <w:sz w:val="16"/>
                <w:szCs w:val="20"/>
                <w:lang w:val="en-US"/>
              </w:rPr>
              <w:t>*)</w:t>
            </w:r>
            <w:r w:rsidRPr="00C903F8">
              <w:rPr>
                <w:rFonts w:cs="Arial"/>
                <w:sz w:val="18"/>
                <w:szCs w:val="20"/>
                <w:lang w:val="en-US"/>
              </w:rPr>
              <w:t xml:space="preserve"> </w:t>
            </w:r>
            <w:r w:rsidRPr="00C903F8">
              <w:rPr>
                <w:rFonts w:cs="Arial"/>
                <w:sz w:val="18"/>
                <w:szCs w:val="20"/>
                <w:lang w:val="en-US"/>
              </w:rPr>
              <w:tab/>
            </w:r>
          </w:p>
          <w:p w:rsidR="009C13A9" w:rsidRPr="00C903F8" w:rsidRDefault="009C13A9" w:rsidP="009C13A9">
            <w:pPr>
              <w:tabs>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pos="57"/>
                <w:tab w:val="left" w:leader="dot" w:pos="5103"/>
                <w:tab w:val="left" w:leader="dot" w:pos="5670"/>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 xml:space="preserve">and according to his </w:t>
            </w:r>
            <w:r w:rsidR="00B3315E" w:rsidRPr="00C903F8">
              <w:rPr>
                <w:rFonts w:cs="Arial"/>
                <w:sz w:val="18"/>
                <w:szCs w:val="20"/>
                <w:lang w:val="en-US"/>
              </w:rPr>
              <w:t>inspection attestation</w:t>
            </w:r>
            <w:r w:rsidRPr="00C903F8">
              <w:rPr>
                <w:rFonts w:cs="Arial"/>
                <w:sz w:val="18"/>
                <w:szCs w:val="20"/>
                <w:lang w:val="en-US"/>
              </w:rPr>
              <w:t xml:space="preserve"> dated</w:t>
            </w:r>
            <w:r w:rsidRPr="00C903F8">
              <w:rPr>
                <w:rFonts w:cs="Arial"/>
                <w:sz w:val="18"/>
                <w:szCs w:val="20"/>
                <w:lang w:val="en-US"/>
              </w:rPr>
              <w:tab/>
            </w:r>
            <w:r w:rsidRPr="00C903F8">
              <w:rPr>
                <w:rFonts w:cs="Arial"/>
                <w:position w:val="6"/>
                <w:sz w:val="16"/>
                <w:szCs w:val="20"/>
                <w:lang w:val="en-US"/>
              </w:rPr>
              <w:t xml:space="preserve">*) </w:t>
            </w:r>
            <w:r w:rsidRPr="00C903F8">
              <w:rPr>
                <w:rFonts w:cs="Arial"/>
                <w:sz w:val="18"/>
                <w:szCs w:val="20"/>
                <w:lang w:val="en-US"/>
              </w:rPr>
              <w:t>fulfil(s) the conditions laid down.</w:t>
            </w:r>
          </w:p>
          <w:p w:rsidR="009C13A9" w:rsidRPr="00C903F8" w:rsidRDefault="009C13A9" w:rsidP="009C13A9">
            <w:pPr>
              <w:tabs>
                <w:tab w:val="left" w:pos="57"/>
                <w:tab w:val="left" w:leader="dot" w:pos="5103"/>
                <w:tab w:val="left" w:leader="dot" w:pos="5670"/>
                <w:tab w:val="left" w:leader="dot" w:pos="8505"/>
              </w:tabs>
              <w:overflowPunct w:val="0"/>
              <w:adjustRightInd w:val="0"/>
              <w:spacing w:before="120" w:after="40"/>
              <w:ind w:left="0" w:firstLine="0"/>
              <w:jc w:val="left"/>
              <w:textAlignment w:val="baseline"/>
              <w:rPr>
                <w:rFonts w:cs="Arial"/>
                <w:sz w:val="18"/>
                <w:szCs w:val="20"/>
                <w:lang w:val="en-US"/>
              </w:rPr>
            </w:pPr>
            <w:r w:rsidRPr="00C903F8">
              <w:rPr>
                <w:rFonts w:cs="Arial"/>
                <w:sz w:val="18"/>
                <w:szCs w:val="20"/>
                <w:lang w:val="en-US"/>
              </w:rPr>
              <w:t xml:space="preserve">The plant(s) include(s) the following gas-consuming appliances </w:t>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lang w:val="en-US"/>
              </w:rPr>
            </w:pPr>
          </w:p>
        </w:tc>
        <w:tc>
          <w:tcPr>
            <w:tcW w:w="1418" w:type="dxa"/>
            <w:tcBorders>
              <w:top w:val="single" w:sz="6" w:space="0" w:color="auto"/>
              <w:left w:val="single" w:sz="6" w:space="0" w:color="auto"/>
              <w:right w:val="single" w:sz="6" w:space="0" w:color="auto"/>
            </w:tcBorders>
            <w:vAlign w:val="center"/>
          </w:tcPr>
          <w:p w:rsidR="009C13A9" w:rsidRPr="00C903F8" w:rsidRDefault="009C13A9" w:rsidP="009C13A9">
            <w:pPr>
              <w:jc w:val="center"/>
              <w:rPr>
                <w:sz w:val="18"/>
              </w:rPr>
            </w:pPr>
            <w:r w:rsidRPr="00C903F8">
              <w:rPr>
                <w:sz w:val="18"/>
              </w:rPr>
              <w:t>Plant</w:t>
            </w:r>
          </w:p>
        </w:tc>
        <w:tc>
          <w:tcPr>
            <w:tcW w:w="1191" w:type="dxa"/>
            <w:tcBorders>
              <w:top w:val="single" w:sz="6" w:space="0" w:color="auto"/>
              <w:left w:val="single" w:sz="6" w:space="0" w:color="auto"/>
              <w:right w:val="single" w:sz="6" w:space="0" w:color="auto"/>
            </w:tcBorders>
            <w:vAlign w:val="center"/>
          </w:tcPr>
          <w:p w:rsidR="009C13A9" w:rsidRPr="00C903F8" w:rsidRDefault="009C13A9" w:rsidP="009C13A9">
            <w:pPr>
              <w:jc w:val="center"/>
              <w:rPr>
                <w:sz w:val="18"/>
              </w:rPr>
            </w:pPr>
            <w:r w:rsidRPr="00C903F8">
              <w:rPr>
                <w:sz w:val="18"/>
              </w:rPr>
              <w:t>Serial No</w:t>
            </w:r>
          </w:p>
        </w:tc>
        <w:tc>
          <w:tcPr>
            <w:tcW w:w="1247" w:type="dxa"/>
            <w:tcBorders>
              <w:top w:val="single" w:sz="6" w:space="0" w:color="auto"/>
              <w:left w:val="single" w:sz="6" w:space="0" w:color="auto"/>
              <w:right w:val="single" w:sz="6" w:space="0" w:color="auto"/>
            </w:tcBorders>
            <w:vAlign w:val="center"/>
          </w:tcPr>
          <w:p w:rsidR="009C13A9" w:rsidRPr="00C903F8" w:rsidRDefault="009C13A9" w:rsidP="009C13A9">
            <w:pPr>
              <w:jc w:val="center"/>
              <w:rPr>
                <w:sz w:val="18"/>
              </w:rPr>
            </w:pPr>
            <w:r w:rsidRPr="00C903F8">
              <w:rPr>
                <w:sz w:val="18"/>
              </w:rPr>
              <w:t>Model</w:t>
            </w:r>
          </w:p>
        </w:tc>
        <w:tc>
          <w:tcPr>
            <w:tcW w:w="1758" w:type="dxa"/>
            <w:tcBorders>
              <w:top w:val="single" w:sz="6" w:space="0" w:color="auto"/>
              <w:left w:val="single" w:sz="6" w:space="0" w:color="auto"/>
              <w:right w:val="single" w:sz="6" w:space="0" w:color="auto"/>
            </w:tcBorders>
            <w:vAlign w:val="center"/>
          </w:tcPr>
          <w:p w:rsidR="009C13A9" w:rsidRPr="00C903F8" w:rsidRDefault="009C13A9" w:rsidP="009C13A9">
            <w:pPr>
              <w:jc w:val="center"/>
              <w:rPr>
                <w:sz w:val="18"/>
              </w:rPr>
            </w:pPr>
            <w:r w:rsidRPr="00C903F8">
              <w:rPr>
                <w:sz w:val="18"/>
              </w:rPr>
              <w:t>Make</w:t>
            </w:r>
          </w:p>
        </w:tc>
        <w:tc>
          <w:tcPr>
            <w:tcW w:w="1134" w:type="dxa"/>
            <w:tcBorders>
              <w:top w:val="single" w:sz="6" w:space="0" w:color="auto"/>
              <w:left w:val="single" w:sz="6" w:space="0" w:color="auto"/>
              <w:right w:val="single" w:sz="6" w:space="0" w:color="auto"/>
            </w:tcBorders>
            <w:vAlign w:val="center"/>
          </w:tcPr>
          <w:p w:rsidR="009C13A9" w:rsidRPr="00C903F8" w:rsidRDefault="009C13A9" w:rsidP="009C13A9">
            <w:pPr>
              <w:jc w:val="center"/>
              <w:rPr>
                <w:sz w:val="18"/>
              </w:rPr>
            </w:pPr>
            <w:r w:rsidRPr="00C903F8">
              <w:rPr>
                <w:sz w:val="18"/>
              </w:rPr>
              <w:t>Type</w:t>
            </w:r>
          </w:p>
        </w:tc>
        <w:tc>
          <w:tcPr>
            <w:tcW w:w="1758" w:type="dxa"/>
            <w:tcBorders>
              <w:top w:val="single" w:sz="6" w:space="0" w:color="auto"/>
              <w:left w:val="single" w:sz="6" w:space="0" w:color="auto"/>
              <w:right w:val="single" w:sz="6" w:space="0" w:color="auto"/>
            </w:tcBorders>
            <w:vAlign w:val="center"/>
          </w:tcPr>
          <w:p w:rsidR="009C13A9" w:rsidRPr="00C903F8" w:rsidRDefault="009C13A9" w:rsidP="009C13A9">
            <w:pPr>
              <w:jc w:val="center"/>
              <w:rPr>
                <w:sz w:val="18"/>
              </w:rPr>
            </w:pPr>
            <w:r w:rsidRPr="00C903F8">
              <w:rPr>
                <w:sz w:val="18"/>
              </w:rPr>
              <w:t>Position</w:t>
            </w: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p>
        </w:tc>
        <w:tc>
          <w:tcPr>
            <w:tcW w:w="141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3969"/>
                <w:tab w:val="left" w:leader="dot" w:pos="8505"/>
              </w:tabs>
              <w:overflowPunct w:val="0"/>
              <w:adjustRightInd w:val="0"/>
              <w:ind w:left="57" w:hanging="57"/>
              <w:jc w:val="left"/>
              <w:textAlignment w:val="baseline"/>
              <w:rPr>
                <w:rFonts w:cs="Arial"/>
                <w:sz w:val="18"/>
                <w:szCs w:val="20"/>
              </w:rPr>
            </w:pPr>
          </w:p>
        </w:tc>
        <w:tc>
          <w:tcPr>
            <w:tcW w:w="1191" w:type="dxa"/>
            <w:tcBorders>
              <w:top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24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13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p>
        </w:tc>
        <w:tc>
          <w:tcPr>
            <w:tcW w:w="141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3969"/>
                <w:tab w:val="left" w:leader="dot" w:pos="8505"/>
              </w:tabs>
              <w:overflowPunct w:val="0"/>
              <w:adjustRightInd w:val="0"/>
              <w:spacing w:before="120"/>
              <w:ind w:left="57" w:hanging="57"/>
              <w:jc w:val="left"/>
              <w:textAlignment w:val="baseline"/>
              <w:rPr>
                <w:rFonts w:cs="Arial"/>
                <w:sz w:val="18"/>
                <w:szCs w:val="20"/>
              </w:rPr>
            </w:pPr>
          </w:p>
        </w:tc>
        <w:tc>
          <w:tcPr>
            <w:tcW w:w="1191" w:type="dxa"/>
            <w:tcBorders>
              <w:top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24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13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12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p>
        </w:tc>
        <w:tc>
          <w:tcPr>
            <w:tcW w:w="141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3969"/>
                <w:tab w:val="left" w:leader="dot" w:pos="8505"/>
              </w:tabs>
              <w:overflowPunct w:val="0"/>
              <w:adjustRightInd w:val="0"/>
              <w:ind w:left="57" w:hanging="57"/>
              <w:jc w:val="left"/>
              <w:textAlignment w:val="baseline"/>
              <w:rPr>
                <w:rFonts w:cs="Arial"/>
                <w:sz w:val="18"/>
                <w:szCs w:val="20"/>
              </w:rPr>
            </w:pPr>
          </w:p>
        </w:tc>
        <w:tc>
          <w:tcPr>
            <w:tcW w:w="1191" w:type="dxa"/>
            <w:tcBorders>
              <w:top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24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13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p>
        </w:tc>
        <w:tc>
          <w:tcPr>
            <w:tcW w:w="141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3969"/>
                <w:tab w:val="left" w:leader="dot" w:pos="8505"/>
              </w:tabs>
              <w:overflowPunct w:val="0"/>
              <w:adjustRightInd w:val="0"/>
              <w:spacing w:before="120"/>
              <w:ind w:left="57" w:hanging="57"/>
              <w:jc w:val="left"/>
              <w:textAlignment w:val="baseline"/>
              <w:rPr>
                <w:rFonts w:cs="Arial"/>
                <w:sz w:val="18"/>
                <w:szCs w:val="20"/>
              </w:rPr>
            </w:pPr>
          </w:p>
        </w:tc>
        <w:tc>
          <w:tcPr>
            <w:tcW w:w="1191" w:type="dxa"/>
            <w:tcBorders>
              <w:top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24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13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12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p>
        </w:tc>
        <w:tc>
          <w:tcPr>
            <w:tcW w:w="141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3969"/>
                <w:tab w:val="left" w:leader="dot" w:pos="8505"/>
              </w:tabs>
              <w:overflowPunct w:val="0"/>
              <w:adjustRightInd w:val="0"/>
              <w:ind w:left="57" w:hanging="57"/>
              <w:jc w:val="left"/>
              <w:textAlignment w:val="baseline"/>
              <w:rPr>
                <w:rFonts w:cs="Arial"/>
                <w:sz w:val="18"/>
                <w:szCs w:val="20"/>
              </w:rPr>
            </w:pPr>
          </w:p>
        </w:tc>
        <w:tc>
          <w:tcPr>
            <w:tcW w:w="1191" w:type="dxa"/>
            <w:tcBorders>
              <w:top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24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13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p>
        </w:tc>
        <w:tc>
          <w:tcPr>
            <w:tcW w:w="141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3969"/>
                <w:tab w:val="left" w:leader="dot" w:pos="8505"/>
              </w:tabs>
              <w:overflowPunct w:val="0"/>
              <w:adjustRightInd w:val="0"/>
              <w:spacing w:before="120"/>
              <w:ind w:left="57" w:hanging="57"/>
              <w:jc w:val="left"/>
              <w:textAlignment w:val="baseline"/>
              <w:rPr>
                <w:rFonts w:cs="Arial"/>
                <w:sz w:val="18"/>
                <w:szCs w:val="20"/>
              </w:rPr>
            </w:pPr>
          </w:p>
        </w:tc>
        <w:tc>
          <w:tcPr>
            <w:tcW w:w="1191" w:type="dxa"/>
            <w:tcBorders>
              <w:top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24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13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12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p>
        </w:tc>
        <w:tc>
          <w:tcPr>
            <w:tcW w:w="141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3969"/>
                <w:tab w:val="left" w:leader="dot" w:pos="8505"/>
              </w:tabs>
              <w:overflowPunct w:val="0"/>
              <w:adjustRightInd w:val="0"/>
              <w:ind w:left="57" w:hanging="57"/>
              <w:jc w:val="left"/>
              <w:textAlignment w:val="baseline"/>
              <w:rPr>
                <w:rFonts w:cs="Arial"/>
                <w:sz w:val="18"/>
                <w:szCs w:val="20"/>
              </w:rPr>
            </w:pPr>
          </w:p>
        </w:tc>
        <w:tc>
          <w:tcPr>
            <w:tcW w:w="1191" w:type="dxa"/>
            <w:tcBorders>
              <w:top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24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13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p>
        </w:tc>
        <w:tc>
          <w:tcPr>
            <w:tcW w:w="141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3969"/>
                <w:tab w:val="left" w:leader="dot" w:pos="8505"/>
              </w:tabs>
              <w:overflowPunct w:val="0"/>
              <w:adjustRightInd w:val="0"/>
              <w:spacing w:before="120"/>
              <w:ind w:left="57" w:hanging="57"/>
              <w:jc w:val="left"/>
              <w:textAlignment w:val="baseline"/>
              <w:rPr>
                <w:rFonts w:cs="Arial"/>
                <w:sz w:val="18"/>
                <w:szCs w:val="20"/>
              </w:rPr>
            </w:pPr>
          </w:p>
        </w:tc>
        <w:tc>
          <w:tcPr>
            <w:tcW w:w="1191" w:type="dxa"/>
            <w:tcBorders>
              <w:top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24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13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12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p>
        </w:tc>
        <w:tc>
          <w:tcPr>
            <w:tcW w:w="141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3969"/>
                <w:tab w:val="left" w:leader="dot" w:pos="8505"/>
              </w:tabs>
              <w:overflowPunct w:val="0"/>
              <w:adjustRightInd w:val="0"/>
              <w:ind w:left="57" w:hanging="57"/>
              <w:jc w:val="left"/>
              <w:textAlignment w:val="baseline"/>
              <w:rPr>
                <w:rFonts w:cs="Arial"/>
                <w:sz w:val="18"/>
                <w:szCs w:val="20"/>
              </w:rPr>
            </w:pPr>
          </w:p>
        </w:tc>
        <w:tc>
          <w:tcPr>
            <w:tcW w:w="1191" w:type="dxa"/>
            <w:tcBorders>
              <w:top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24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13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ind w:left="57" w:hanging="57"/>
              <w:jc w:val="left"/>
              <w:textAlignment w:val="baseline"/>
              <w:rPr>
                <w:rFonts w:cs="Arial"/>
                <w:sz w:val="18"/>
                <w:szCs w:val="20"/>
              </w:rPr>
            </w:pP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p>
        </w:tc>
        <w:tc>
          <w:tcPr>
            <w:tcW w:w="141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3969"/>
                <w:tab w:val="left" w:leader="dot" w:pos="8505"/>
              </w:tabs>
              <w:overflowPunct w:val="0"/>
              <w:adjustRightInd w:val="0"/>
              <w:spacing w:before="120"/>
              <w:ind w:left="57" w:hanging="57"/>
              <w:jc w:val="left"/>
              <w:textAlignment w:val="baseline"/>
              <w:rPr>
                <w:rFonts w:cs="Arial"/>
                <w:sz w:val="18"/>
                <w:szCs w:val="20"/>
              </w:rPr>
            </w:pPr>
          </w:p>
        </w:tc>
        <w:tc>
          <w:tcPr>
            <w:tcW w:w="1191" w:type="dxa"/>
            <w:tcBorders>
              <w:top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24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13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12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p>
        </w:tc>
        <w:tc>
          <w:tcPr>
            <w:tcW w:w="141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3969"/>
                <w:tab w:val="left" w:leader="dot" w:pos="8505"/>
              </w:tabs>
              <w:overflowPunct w:val="0"/>
              <w:adjustRightInd w:val="0"/>
              <w:spacing w:before="120"/>
              <w:ind w:left="57" w:hanging="57"/>
              <w:jc w:val="left"/>
              <w:textAlignment w:val="baseline"/>
              <w:rPr>
                <w:rFonts w:cs="Arial"/>
                <w:sz w:val="18"/>
                <w:szCs w:val="20"/>
              </w:rPr>
            </w:pPr>
          </w:p>
        </w:tc>
        <w:tc>
          <w:tcPr>
            <w:tcW w:w="1191" w:type="dxa"/>
            <w:tcBorders>
              <w:top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247"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134"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175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12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p>
        </w:tc>
        <w:tc>
          <w:tcPr>
            <w:tcW w:w="8903" w:type="dxa"/>
            <w:gridSpan w:val="7"/>
            <w:tcBorders>
              <w:bottom w:val="single" w:sz="6" w:space="0" w:color="auto"/>
              <w:right w:val="single" w:sz="6" w:space="0" w:color="auto"/>
            </w:tcBorders>
          </w:tcPr>
          <w:p w:rsidR="009C13A9" w:rsidRPr="00C903F8" w:rsidRDefault="009C13A9" w:rsidP="009C13A9">
            <w:pPr>
              <w:tabs>
                <w:tab w:val="left" w:pos="57"/>
                <w:tab w:val="left" w:leader="dot" w:pos="8505"/>
              </w:tabs>
              <w:overflowPunct w:val="0"/>
              <w:adjustRightInd w:val="0"/>
              <w:ind w:left="0" w:firstLine="0"/>
              <w:jc w:val="left"/>
              <w:textAlignment w:val="baseline"/>
              <w:rPr>
                <w:rFonts w:cs="Arial"/>
                <w:sz w:val="18"/>
                <w:szCs w:val="20"/>
                <w:lang w:val="en-US"/>
              </w:rPr>
            </w:pPr>
          </w:p>
          <w:p w:rsidR="009C13A9" w:rsidRPr="00C903F8" w:rsidRDefault="009C13A9" w:rsidP="009C13A9">
            <w:pPr>
              <w:tabs>
                <w:tab w:val="left" w:pos="57"/>
                <w:tab w:val="left" w:leader="dot" w:pos="8505"/>
              </w:tabs>
              <w:overflowPunct w:val="0"/>
              <w:adjustRightInd w:val="0"/>
              <w:ind w:left="0" w:firstLine="0"/>
              <w:jc w:val="left"/>
              <w:textAlignment w:val="baseline"/>
              <w:rPr>
                <w:rFonts w:cs="Arial"/>
                <w:sz w:val="18"/>
                <w:szCs w:val="20"/>
                <w:lang w:val="en-US"/>
              </w:rPr>
            </w:pPr>
            <w:r w:rsidRPr="00C903F8">
              <w:rPr>
                <w:rFonts w:cs="Arial"/>
                <w:sz w:val="18"/>
                <w:szCs w:val="20"/>
                <w:lang w:val="en-US"/>
              </w:rPr>
              <w:t>This attestation is valid until</w:t>
            </w:r>
            <w:r w:rsidRPr="00C903F8">
              <w:rPr>
                <w:rFonts w:cs="Arial"/>
                <w:sz w:val="18"/>
                <w:szCs w:val="20"/>
                <w:lang w:val="en-US"/>
              </w:rPr>
              <w:tab/>
            </w:r>
          </w:p>
          <w:p w:rsidR="009C13A9" w:rsidRPr="00C903F8" w:rsidRDefault="009C13A9" w:rsidP="009C13A9">
            <w:pPr>
              <w:tabs>
                <w:tab w:val="left" w:pos="57"/>
                <w:tab w:val="left" w:leader="dot" w:pos="3969"/>
                <w:tab w:val="left" w:leader="dot" w:pos="6237"/>
                <w:tab w:val="left" w:leader="dot" w:pos="8505"/>
              </w:tabs>
              <w:overflowPunct w:val="0"/>
              <w:adjustRightInd w:val="0"/>
              <w:spacing w:before="120"/>
              <w:ind w:left="57" w:hanging="57"/>
              <w:jc w:val="left"/>
              <w:textAlignment w:val="baseline"/>
              <w:rPr>
                <w:rFonts w:cs="Arial"/>
                <w:sz w:val="18"/>
                <w:szCs w:val="20"/>
                <w:lang w:val="en-US"/>
              </w:rPr>
            </w:pPr>
          </w:p>
          <w:p w:rsidR="009C13A9" w:rsidRPr="00C903F8" w:rsidRDefault="009C13A9" w:rsidP="009C13A9">
            <w:pPr>
              <w:tabs>
                <w:tab w:val="left" w:leader="dot" w:pos="3969"/>
                <w:tab w:val="left" w:leader="dot" w:pos="6237"/>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b/>
              <w:t xml:space="preserve">, </w:t>
            </w:r>
            <w:r w:rsidRPr="00C903F8">
              <w:rPr>
                <w:rFonts w:cs="Arial"/>
                <w:sz w:val="18"/>
                <w:szCs w:val="20"/>
                <w:lang w:val="en-US"/>
              </w:rPr>
              <w:tab/>
            </w:r>
          </w:p>
          <w:p w:rsidR="009C13A9" w:rsidRPr="00C903F8" w:rsidRDefault="009C13A9" w:rsidP="009C13A9">
            <w:pPr>
              <w:tabs>
                <w:tab w:val="left" w:pos="57"/>
                <w:tab w:val="center" w:pos="5302"/>
                <w:tab w:val="left" w:leader="dot" w:pos="6237"/>
                <w:tab w:val="left" w:leader="dot" w:pos="8505"/>
              </w:tabs>
              <w:overflowPunct w:val="0"/>
              <w:adjustRightInd w:val="0"/>
              <w:ind w:left="0" w:firstLine="0"/>
              <w:jc w:val="left"/>
              <w:textAlignment w:val="baseline"/>
              <w:rPr>
                <w:rFonts w:cs="Arial"/>
                <w:sz w:val="18"/>
                <w:szCs w:val="20"/>
                <w:lang w:val="en-US"/>
              </w:rPr>
            </w:pPr>
            <w:r w:rsidRPr="00C903F8">
              <w:rPr>
                <w:rFonts w:cs="Arial"/>
                <w:sz w:val="16"/>
                <w:szCs w:val="20"/>
                <w:lang w:val="en-US"/>
              </w:rPr>
              <w:t>(Place)</w:t>
            </w:r>
            <w:r w:rsidRPr="00C903F8">
              <w:rPr>
                <w:rFonts w:cs="Arial"/>
                <w:sz w:val="18"/>
                <w:szCs w:val="20"/>
                <w:lang w:val="en-US"/>
              </w:rPr>
              <w:tab/>
            </w:r>
            <w:r w:rsidRPr="00C903F8">
              <w:rPr>
                <w:rFonts w:cs="Arial"/>
                <w:sz w:val="16"/>
                <w:szCs w:val="20"/>
                <w:lang w:val="en-US"/>
              </w:rPr>
              <w:t>(Date)</w:t>
            </w:r>
          </w:p>
          <w:p w:rsidR="009C13A9" w:rsidRPr="00C903F8" w:rsidRDefault="009C13A9" w:rsidP="009C13A9">
            <w:pPr>
              <w:tabs>
                <w:tab w:val="left" w:pos="57"/>
                <w:tab w:val="left" w:leader="dot" w:pos="8505"/>
              </w:tabs>
              <w:overflowPunct w:val="0"/>
              <w:adjustRightInd w:val="0"/>
              <w:ind w:left="57" w:hanging="57"/>
              <w:jc w:val="left"/>
              <w:textAlignment w:val="baseline"/>
              <w:rPr>
                <w:rFonts w:cs="Arial"/>
                <w:sz w:val="18"/>
                <w:szCs w:val="20"/>
                <w:lang w:val="en-US"/>
              </w:rPr>
            </w:pPr>
          </w:p>
          <w:p w:rsidR="009C13A9" w:rsidRPr="00C903F8" w:rsidRDefault="009C13A9" w:rsidP="009C13A9">
            <w:pPr>
              <w:tabs>
                <w:tab w:val="left" w:pos="3402"/>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5869"/>
                <w:tab w:val="left" w:leader="dot" w:pos="8505"/>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6"/>
                <w:szCs w:val="20"/>
                <w:lang w:val="en-US"/>
              </w:rPr>
              <w:t>Inspection body</w:t>
            </w:r>
          </w:p>
          <w:p w:rsidR="009C13A9" w:rsidRPr="00C903F8" w:rsidRDefault="009C13A9" w:rsidP="009C13A9">
            <w:pPr>
              <w:tabs>
                <w:tab w:val="left" w:pos="57"/>
                <w:tab w:val="left" w:pos="3402"/>
                <w:tab w:val="left" w:leader="dot" w:pos="8505"/>
              </w:tabs>
              <w:overflowPunct w:val="0"/>
              <w:adjustRightInd w:val="0"/>
              <w:spacing w:before="120"/>
              <w:ind w:left="57" w:hanging="57"/>
              <w:jc w:val="left"/>
              <w:textAlignment w:val="baseline"/>
              <w:rPr>
                <w:rFonts w:cs="Arial"/>
                <w:sz w:val="18"/>
                <w:szCs w:val="20"/>
                <w:lang w:val="en-US"/>
              </w:rPr>
            </w:pPr>
          </w:p>
          <w:p w:rsidR="009C13A9" w:rsidRPr="00C903F8" w:rsidRDefault="009C13A9" w:rsidP="009C13A9">
            <w:pPr>
              <w:tabs>
                <w:tab w:val="left" w:pos="57"/>
                <w:tab w:val="center" w:pos="2326"/>
                <w:tab w:val="left" w:pos="3402"/>
                <w:tab w:val="left" w:leader="dot" w:pos="8505"/>
              </w:tabs>
              <w:overflowPunct w:val="0"/>
              <w:adjustRightInd w:val="0"/>
              <w:spacing w:before="120"/>
              <w:ind w:left="57" w:hanging="57"/>
              <w:jc w:val="left"/>
              <w:textAlignment w:val="baseline"/>
              <w:rPr>
                <w:rFonts w:cs="Arial"/>
                <w:sz w:val="16"/>
                <w:szCs w:val="16"/>
                <w:lang w:val="en-US"/>
              </w:rPr>
            </w:pPr>
            <w:r w:rsidRPr="00C903F8">
              <w:rPr>
                <w:rFonts w:cs="Arial"/>
                <w:sz w:val="18"/>
                <w:szCs w:val="20"/>
                <w:lang w:val="en-US"/>
              </w:rPr>
              <w:tab/>
            </w:r>
            <w:r w:rsidRPr="00C903F8">
              <w:rPr>
                <w:rFonts w:cs="Arial"/>
                <w:sz w:val="18"/>
                <w:szCs w:val="20"/>
                <w:lang w:val="en-US"/>
              </w:rPr>
              <w:tab/>
            </w:r>
            <w:r w:rsidR="00E41D8E" w:rsidRPr="00C903F8">
              <w:rPr>
                <w:rFonts w:cs="Arial"/>
                <w:sz w:val="16"/>
                <w:szCs w:val="16"/>
                <w:lang w:val="en-US"/>
              </w:rPr>
              <w:t>Stamp</w:t>
            </w:r>
            <w:r w:rsidRPr="00C903F8">
              <w:rPr>
                <w:rFonts w:cs="Arial"/>
                <w:sz w:val="16"/>
                <w:szCs w:val="16"/>
                <w:lang w:val="en-US"/>
              </w:rPr>
              <w:tab/>
            </w:r>
            <w:r w:rsidRPr="00C903F8">
              <w:rPr>
                <w:rFonts w:cs="Arial"/>
                <w:sz w:val="16"/>
                <w:szCs w:val="16"/>
                <w:lang w:val="en-US"/>
              </w:rPr>
              <w:tab/>
            </w:r>
          </w:p>
          <w:p w:rsidR="009C13A9" w:rsidRPr="00C903F8" w:rsidRDefault="009C13A9" w:rsidP="009C13A9">
            <w:pPr>
              <w:tabs>
                <w:tab w:val="left" w:pos="57"/>
                <w:tab w:val="left" w:pos="5670"/>
                <w:tab w:val="left" w:leader="dot" w:pos="8505"/>
              </w:tabs>
              <w:overflowPunct w:val="0"/>
              <w:adjustRightInd w:val="0"/>
              <w:ind w:left="57" w:hanging="57"/>
              <w:jc w:val="left"/>
              <w:textAlignment w:val="baseline"/>
              <w:rPr>
                <w:rFonts w:cs="Arial"/>
                <w:sz w:val="18"/>
                <w:szCs w:val="20"/>
              </w:rPr>
            </w:pPr>
            <w:r w:rsidRPr="00C903F8">
              <w:rPr>
                <w:rFonts w:cs="Arial"/>
                <w:sz w:val="18"/>
                <w:szCs w:val="20"/>
                <w:lang w:val="en-US"/>
              </w:rPr>
              <w:tab/>
            </w:r>
            <w:r w:rsidRPr="00C903F8">
              <w:rPr>
                <w:rFonts w:cs="Arial"/>
                <w:sz w:val="18"/>
                <w:szCs w:val="20"/>
                <w:lang w:val="en-US"/>
              </w:rPr>
              <w:tab/>
            </w:r>
            <w:r w:rsidRPr="00C903F8">
              <w:rPr>
                <w:rFonts w:cs="Arial"/>
                <w:sz w:val="16"/>
                <w:szCs w:val="20"/>
              </w:rPr>
              <w:t>(Signature)</w:t>
            </w:r>
          </w:p>
          <w:p w:rsidR="009C13A9" w:rsidRPr="00C903F8" w:rsidRDefault="009C13A9" w:rsidP="009C13A9">
            <w:pPr>
              <w:tabs>
                <w:tab w:val="left" w:pos="57"/>
                <w:tab w:val="left" w:pos="5103"/>
              </w:tabs>
              <w:overflowPunct w:val="0"/>
              <w:adjustRightInd w:val="0"/>
              <w:ind w:left="0" w:firstLine="0"/>
              <w:jc w:val="left"/>
              <w:textAlignment w:val="baseline"/>
              <w:rPr>
                <w:rFonts w:cs="Arial"/>
                <w:sz w:val="18"/>
                <w:szCs w:val="20"/>
              </w:rPr>
            </w:pPr>
          </w:p>
          <w:p w:rsidR="009C13A9" w:rsidRPr="00C903F8" w:rsidRDefault="009C13A9" w:rsidP="009C13A9">
            <w:pPr>
              <w:tabs>
                <w:tab w:val="left" w:pos="57"/>
                <w:tab w:val="left" w:pos="5103"/>
              </w:tabs>
              <w:overflowPunct w:val="0"/>
              <w:adjustRightInd w:val="0"/>
              <w:spacing w:after="12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w:t>
            </w:r>
            <w:r w:rsidRPr="00C903F8">
              <w:rPr>
                <w:rFonts w:cs="Arial"/>
                <w:sz w:val="18"/>
                <w:szCs w:val="20"/>
              </w:rPr>
              <w:br/>
            </w:r>
            <w:r w:rsidRPr="00C903F8">
              <w:rPr>
                <w:rFonts w:cs="Arial"/>
                <w:sz w:val="18"/>
                <w:szCs w:val="20"/>
              </w:rPr>
              <w:br/>
            </w:r>
          </w:p>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p>
          <w:p w:rsidR="009C13A9" w:rsidRPr="00C903F8" w:rsidRDefault="009C13A9" w:rsidP="009C13A9">
            <w:pPr>
              <w:tabs>
                <w:tab w:val="left" w:pos="57"/>
              </w:tabs>
              <w:overflowPunct w:val="0"/>
              <w:adjustRightInd w:val="0"/>
              <w:spacing w:before="160"/>
              <w:ind w:left="0" w:firstLine="0"/>
              <w:jc w:val="left"/>
              <w:textAlignment w:val="baseline"/>
              <w:rPr>
                <w:rFonts w:cs="Arial"/>
                <w:sz w:val="18"/>
                <w:szCs w:val="20"/>
              </w:rPr>
            </w:pPr>
            <w:r w:rsidRPr="00C903F8">
              <w:rPr>
                <w:rFonts w:cs="Arial"/>
                <w:sz w:val="18"/>
                <w:szCs w:val="20"/>
              </w:rPr>
              <w:tab/>
              <w:t>*)</w:t>
            </w:r>
          </w:p>
        </w:tc>
        <w:tc>
          <w:tcPr>
            <w:tcW w:w="8903" w:type="dxa"/>
            <w:gridSpan w:val="7"/>
            <w:tcBorders>
              <w:bottom w:val="single" w:sz="6" w:space="0" w:color="auto"/>
              <w:right w:val="single" w:sz="6" w:space="0" w:color="auto"/>
            </w:tcBorders>
          </w:tcPr>
          <w:p w:rsidR="009C13A9" w:rsidRPr="00C903F8" w:rsidRDefault="009C13A9" w:rsidP="009C13A9">
            <w:pPr>
              <w:tabs>
                <w:tab w:val="left" w:pos="57"/>
                <w:tab w:val="left" w:leader="dot" w:pos="3686"/>
              </w:tabs>
              <w:overflowPunct w:val="0"/>
              <w:adjustRightInd w:val="0"/>
              <w:spacing w:before="80" w:after="80"/>
              <w:ind w:left="57" w:right="57" w:firstLine="0"/>
              <w:jc w:val="left"/>
              <w:textAlignment w:val="baseline"/>
              <w:rPr>
                <w:rFonts w:cs="Arial"/>
                <w:sz w:val="18"/>
                <w:szCs w:val="20"/>
                <w:lang w:val="en-US"/>
              </w:rPr>
            </w:pPr>
            <w:r w:rsidRPr="00C903F8">
              <w:rPr>
                <w:noProof/>
                <w:sz w:val="18"/>
                <w:szCs w:val="20"/>
                <w:lang w:val="en-US" w:eastAsia="fr-BE"/>
              </w:rPr>
              <w:t>Amendment to item(s):</w:t>
            </w:r>
            <w:r w:rsidRPr="00C903F8">
              <w:rPr>
                <w:rFonts w:cs="Arial"/>
                <w:sz w:val="18"/>
                <w:szCs w:val="20"/>
                <w:lang w:val="en-US"/>
              </w:rPr>
              <w:t xml:space="preserve"> ....................</w:t>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noProof/>
                <w:sz w:val="18"/>
                <w:szCs w:val="20"/>
                <w:lang w:val="en-US" w:eastAsia="fr-BE"/>
              </w:rPr>
              <w:t>New text:</w:t>
            </w: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This page has been replaced.</w:t>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 xml:space="preserve">Place, date </w:t>
            </w:r>
            <w:r w:rsidRPr="00C903F8">
              <w:rPr>
                <w:rFonts w:cs="Arial"/>
                <w:sz w:val="18"/>
                <w:szCs w:val="20"/>
                <w:lang w:val="en-US"/>
              </w:rPr>
              <w:tab/>
            </w:r>
            <w:r w:rsidRPr="00C903F8">
              <w:rPr>
                <w:rFonts w:cs="Arial"/>
                <w:sz w:val="18"/>
                <w:szCs w:val="20"/>
                <w:lang w:val="en-US"/>
              </w:rPr>
              <w:tab/>
              <w:t>Inspection body</w:t>
            </w:r>
          </w:p>
          <w:p w:rsidR="009C13A9" w:rsidRPr="00C903F8" w:rsidRDefault="009C13A9" w:rsidP="009C13A9">
            <w:pPr>
              <w:tabs>
                <w:tab w:val="left" w:pos="5103"/>
                <w:tab w:val="left" w:leader="dot" w:pos="8505"/>
              </w:tabs>
              <w:overflowPunct w:val="0"/>
              <w:adjustRightInd w:val="0"/>
              <w:ind w:left="0" w:firstLine="0"/>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1701"/>
              </w:tabs>
              <w:overflowPunct w:val="0"/>
              <w:adjustRightInd w:val="0"/>
              <w:spacing w:after="80"/>
              <w:ind w:left="0" w:firstLine="0"/>
              <w:textAlignment w:val="baseline"/>
              <w:rPr>
                <w:rFonts w:cs="Arial"/>
                <w:sz w:val="18"/>
                <w:szCs w:val="20"/>
                <w:lang w:val="en-US"/>
              </w:rPr>
            </w:pPr>
            <w:r w:rsidRPr="00C903F8">
              <w:rPr>
                <w:rFonts w:cs="Arial"/>
                <w:sz w:val="18"/>
                <w:szCs w:val="20"/>
                <w:lang w:val="en-US"/>
              </w:rPr>
              <w:tab/>
            </w:r>
            <w:r w:rsidR="00313B91" w:rsidRPr="00C903F8">
              <w:rPr>
                <w:rFonts w:cs="Arial"/>
                <w:sz w:val="18"/>
                <w:szCs w:val="20"/>
                <w:lang w:val="en-US"/>
              </w:rPr>
              <w:t>Stamp</w:t>
            </w:r>
          </w:p>
          <w:p w:rsidR="009C13A9" w:rsidRPr="00C903F8" w:rsidRDefault="009C13A9" w:rsidP="009C13A9">
            <w:pPr>
              <w:tabs>
                <w:tab w:val="left" w:pos="5103"/>
                <w:tab w:val="left" w:leader="dot" w:pos="8505"/>
              </w:tabs>
              <w:overflowPunct w:val="0"/>
              <w:adjustRightInd w:val="0"/>
              <w:ind w:left="0" w:firstLine="0"/>
              <w:textAlignment w:val="baseline"/>
              <w:rPr>
                <w:rFonts w:cs="Arial"/>
                <w:szCs w:val="20"/>
                <w:lang w:val="en-US"/>
              </w:rPr>
            </w:pPr>
            <w:r w:rsidRPr="00C903F8">
              <w:rPr>
                <w:rFonts w:cs="Arial"/>
                <w:szCs w:val="20"/>
                <w:lang w:val="en-US"/>
              </w:rPr>
              <w:tab/>
            </w:r>
            <w:r w:rsidRPr="00C903F8">
              <w:rPr>
                <w:rFonts w:cs="Arial"/>
                <w:szCs w:val="20"/>
                <w:lang w:val="en-US"/>
              </w:rPr>
              <w:tab/>
            </w:r>
          </w:p>
          <w:p w:rsidR="009C13A9" w:rsidRPr="00C903F8" w:rsidRDefault="009C13A9" w:rsidP="009C13A9">
            <w:pPr>
              <w:tabs>
                <w:tab w:val="center" w:pos="6862"/>
              </w:tabs>
              <w:overflowPunct w:val="0"/>
              <w:adjustRightInd w:val="0"/>
              <w:ind w:left="0" w:firstLine="0"/>
              <w:textAlignment w:val="baseline"/>
              <w:rPr>
                <w:rFonts w:cs="Arial"/>
                <w:sz w:val="16"/>
                <w:szCs w:val="20"/>
                <w:lang w:val="en-US"/>
              </w:rPr>
            </w:pPr>
            <w:r w:rsidRPr="00C903F8">
              <w:rPr>
                <w:rFonts w:cs="Arial"/>
                <w:szCs w:val="20"/>
                <w:lang w:val="en-US"/>
              </w:rPr>
              <w:tab/>
            </w:r>
            <w:r w:rsidRPr="00C903F8">
              <w:rPr>
                <w:rFonts w:cs="Arial"/>
                <w:sz w:val="16"/>
                <w:szCs w:val="20"/>
                <w:lang w:val="en-US"/>
              </w:rPr>
              <w:t>(Signature)</w:t>
            </w:r>
          </w:p>
          <w:p w:rsidR="009C13A9" w:rsidRPr="00C903F8" w:rsidRDefault="009C13A9" w:rsidP="009C13A9">
            <w:pPr>
              <w:tabs>
                <w:tab w:val="left" w:pos="113"/>
                <w:tab w:val="left" w:pos="397"/>
                <w:tab w:val="left" w:pos="6237"/>
                <w:tab w:val="left" w:leader="dot" w:pos="9356"/>
              </w:tabs>
              <w:overflowPunct w:val="0"/>
              <w:adjustRightInd w:val="0"/>
              <w:ind w:left="0" w:firstLine="0"/>
              <w:textAlignment w:val="baseline"/>
              <w:rPr>
                <w:rFonts w:cs="Arial"/>
                <w:sz w:val="16"/>
                <w:szCs w:val="20"/>
              </w:rPr>
            </w:pPr>
            <w:r w:rsidRPr="00C903F8">
              <w:rPr>
                <w:rFonts w:cs="Arial"/>
                <w:sz w:val="18"/>
                <w:szCs w:val="20"/>
              </w:rPr>
              <w:t>_______________________</w:t>
            </w:r>
          </w:p>
          <w:p w:rsidR="009C13A9" w:rsidRPr="00C903F8" w:rsidRDefault="009C13A9" w:rsidP="009C13A9">
            <w:pPr>
              <w:tabs>
                <w:tab w:val="left" w:pos="284"/>
              </w:tabs>
              <w:overflowPunct w:val="0"/>
              <w:adjustRightInd w:val="0"/>
              <w:spacing w:after="40"/>
              <w:ind w:left="57" w:firstLine="0"/>
              <w:jc w:val="left"/>
              <w:textAlignment w:val="baseline"/>
              <w:rPr>
                <w:rFonts w:cs="Arial"/>
                <w:sz w:val="18"/>
                <w:szCs w:val="20"/>
              </w:rPr>
            </w:pPr>
            <w:r w:rsidRPr="00C903F8">
              <w:rPr>
                <w:rFonts w:cs="Arial"/>
                <w:position w:val="4"/>
                <w:sz w:val="16"/>
                <w:szCs w:val="20"/>
              </w:rPr>
              <w:t>*)</w:t>
            </w:r>
            <w:r w:rsidRPr="00C903F8">
              <w:rPr>
                <w:rFonts w:cs="Arial"/>
                <w:sz w:val="18"/>
                <w:szCs w:val="20"/>
              </w:rPr>
              <w:tab/>
            </w:r>
            <w:r w:rsidRPr="00C903F8">
              <w:rPr>
                <w:rFonts w:cs="Arial"/>
                <w:sz w:val="16"/>
                <w:szCs w:val="20"/>
              </w:rPr>
              <w:t>Delete as appropriate</w:t>
            </w:r>
          </w:p>
        </w:tc>
      </w:tr>
    </w:tbl>
    <w:p w:rsidR="009C13A9" w:rsidRPr="00C903F8" w:rsidRDefault="009C13A9" w:rsidP="009C13A9">
      <w:pPr>
        <w:overflowPunct w:val="0"/>
        <w:adjustRightInd w:val="0"/>
        <w:ind w:left="0" w:firstLine="0"/>
        <w:jc w:val="left"/>
        <w:textAlignment w:val="baseline"/>
        <w:rPr>
          <w:rFonts w:cs="Arial"/>
          <w:szCs w:val="20"/>
        </w:rPr>
      </w:pPr>
    </w:p>
    <w:p w:rsidR="009C13A9" w:rsidRPr="00C903F8" w:rsidRDefault="009C13A9" w:rsidP="00E3172D">
      <w:pPr>
        <w:tabs>
          <w:tab w:val="left" w:leader="dot" w:pos="2835"/>
          <w:tab w:val="left" w:leader="dot" w:pos="5103"/>
        </w:tabs>
        <w:overflowPunct w:val="0"/>
        <w:adjustRightInd w:val="0"/>
        <w:ind w:left="0" w:firstLine="0"/>
        <w:textAlignment w:val="baseline"/>
        <w:rPr>
          <w:rFonts w:cs="Arial"/>
          <w:szCs w:val="20"/>
          <w:lang w:val="en-US"/>
        </w:rPr>
      </w:pPr>
      <w:r w:rsidRPr="00C903F8">
        <w:rPr>
          <w:rFonts w:cs="Arial"/>
          <w:szCs w:val="20"/>
          <w:lang w:val="en-US"/>
        </w:rPr>
        <w:br w:type="page"/>
      </w:r>
      <w:r w:rsidR="00E3172D" w:rsidRPr="00AA5614">
        <w:rPr>
          <w:rFonts w:cs="Arial"/>
          <w:szCs w:val="20"/>
          <w:lang w:val="en-US"/>
        </w:rPr>
        <w:lastRenderedPageBreak/>
        <w:t xml:space="preserve">Inland navigation vessel certificate </w:t>
      </w:r>
      <w:r w:rsidR="00E3172D">
        <w:rPr>
          <w:rFonts w:cs="Arial"/>
          <w:szCs w:val="20"/>
          <w:lang w:val="en-GB"/>
        </w:rPr>
        <w:t xml:space="preserve">No </w:t>
      </w:r>
      <w:r w:rsidR="00E3172D" w:rsidRPr="00AA5614">
        <w:rPr>
          <w:rFonts w:cs="Arial"/>
          <w:szCs w:val="20"/>
          <w:lang w:val="en-GB"/>
        </w:rPr>
        <w:tab/>
        <w:t xml:space="preserve"> of the Inspection body </w:t>
      </w:r>
      <w:r w:rsidR="00E3172D" w:rsidRPr="00AA5614">
        <w:rPr>
          <w:rFonts w:cs="Arial"/>
          <w:szCs w:val="20"/>
          <w:lang w:val="en-GB"/>
        </w:rPr>
        <w:tab/>
      </w:r>
    </w:p>
    <w:tbl>
      <w:tblPr>
        <w:tblW w:w="0" w:type="auto"/>
        <w:jc w:val="center"/>
        <w:tblLayout w:type="fixed"/>
        <w:tblCellMar>
          <w:left w:w="0" w:type="dxa"/>
          <w:right w:w="0" w:type="dxa"/>
        </w:tblCellMar>
        <w:tblLook w:val="0000" w:firstRow="0" w:lastRow="0" w:firstColumn="0" w:lastColumn="0" w:noHBand="0" w:noVBand="0"/>
      </w:tblPr>
      <w:tblGrid>
        <w:gridCol w:w="284"/>
        <w:gridCol w:w="8902"/>
      </w:tblGrid>
      <w:tr w:rsidR="009C13A9" w:rsidRPr="00C903F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51.</w:t>
            </w:r>
          </w:p>
        </w:tc>
        <w:tc>
          <w:tcPr>
            <w:tcW w:w="8902" w:type="dxa"/>
            <w:tcBorders>
              <w:top w:val="single" w:sz="6" w:space="0" w:color="auto"/>
              <w:bottom w:val="single" w:sz="6" w:space="0" w:color="auto"/>
              <w:right w:val="single" w:sz="6" w:space="0" w:color="auto"/>
            </w:tcBorders>
          </w:tcPr>
          <w:p w:rsidR="009C13A9" w:rsidRPr="00C903F8" w:rsidRDefault="009C13A9" w:rsidP="009C13A9">
            <w:pPr>
              <w:tabs>
                <w:tab w:val="left" w:leader="dot" w:pos="8505"/>
              </w:tabs>
              <w:overflowPunct w:val="0"/>
              <w:adjustRightInd w:val="0"/>
              <w:spacing w:before="120"/>
              <w:ind w:left="114" w:hanging="57"/>
              <w:jc w:val="left"/>
              <w:textAlignment w:val="baseline"/>
              <w:rPr>
                <w:rFonts w:cs="Arial"/>
                <w:b/>
                <w:position w:val="6"/>
                <w:sz w:val="16"/>
                <w:szCs w:val="20"/>
                <w:lang w:val="en-US"/>
              </w:rPr>
            </w:pPr>
            <w:r w:rsidRPr="00C903F8">
              <w:rPr>
                <w:rFonts w:cs="Arial"/>
                <w:b/>
                <w:noProof/>
                <w:sz w:val="18"/>
                <w:szCs w:val="20"/>
                <w:lang w:val="en-US"/>
              </w:rPr>
              <w:t>Extension of the attestation relating to liquefied gas installation(s)</w:t>
            </w:r>
          </w:p>
          <w:p w:rsidR="009C13A9" w:rsidRPr="00C903F8" w:rsidRDefault="009C13A9" w:rsidP="009C13A9">
            <w:pPr>
              <w:tabs>
                <w:tab w:val="left" w:leader="dot" w:pos="4453"/>
                <w:tab w:val="left" w:leader="dot" w:pos="8505"/>
              </w:tabs>
              <w:overflowPunct w:val="0"/>
              <w:adjustRightInd w:val="0"/>
              <w:spacing w:after="120"/>
              <w:ind w:left="114" w:hanging="57"/>
              <w:jc w:val="left"/>
              <w:textAlignment w:val="baseline"/>
              <w:rPr>
                <w:rFonts w:cs="Arial"/>
                <w:noProof/>
                <w:sz w:val="18"/>
                <w:szCs w:val="20"/>
                <w:lang w:val="en-US"/>
              </w:rPr>
            </w:pPr>
            <w:r w:rsidRPr="00C903F8">
              <w:rPr>
                <w:rFonts w:cs="Arial"/>
                <w:noProof/>
                <w:sz w:val="18"/>
                <w:szCs w:val="20"/>
                <w:lang w:val="en-US"/>
              </w:rPr>
              <w:t>The period covered by the attestation relating to liquefied gas installation(s)</w:t>
            </w:r>
          </w:p>
          <w:p w:rsidR="009C13A9" w:rsidRPr="00C903F8" w:rsidRDefault="009C13A9" w:rsidP="009C13A9">
            <w:pPr>
              <w:tabs>
                <w:tab w:val="left" w:leader="dot" w:pos="4453"/>
                <w:tab w:val="left" w:leader="dot" w:pos="8505"/>
              </w:tabs>
              <w:overflowPunct w:val="0"/>
              <w:adjustRightInd w:val="0"/>
              <w:spacing w:after="120"/>
              <w:ind w:left="114" w:hanging="57"/>
              <w:jc w:val="left"/>
              <w:textAlignment w:val="baseline"/>
              <w:rPr>
                <w:rFonts w:cs="Arial"/>
                <w:sz w:val="18"/>
                <w:szCs w:val="20"/>
                <w:lang w:val="en-US"/>
              </w:rPr>
            </w:pPr>
            <w:r w:rsidRPr="00C903F8">
              <w:rPr>
                <w:noProof/>
                <w:sz w:val="18"/>
                <w:szCs w:val="20"/>
                <w:lang w:val="en-US" w:eastAsia="fr-BE"/>
              </w:rPr>
              <w:t>dated</w:t>
            </w:r>
            <w:r w:rsidRPr="00C903F8">
              <w:rPr>
                <w:rFonts w:cs="Arial"/>
                <w:sz w:val="18"/>
                <w:szCs w:val="20"/>
                <w:lang w:val="en-US"/>
              </w:rPr>
              <w:tab/>
              <w:t xml:space="preserve"> </w:t>
            </w:r>
            <w:r w:rsidRPr="00C903F8">
              <w:rPr>
                <w:rFonts w:cs="Arial"/>
                <w:noProof/>
                <w:sz w:val="18"/>
                <w:szCs w:val="20"/>
                <w:lang w:val="en-US"/>
              </w:rPr>
              <w:t>valid until</w:t>
            </w:r>
            <w:r w:rsidRPr="00C903F8">
              <w:rPr>
                <w:rFonts w:cs="Arial"/>
                <w:sz w:val="18"/>
                <w:szCs w:val="20"/>
                <w:lang w:val="en-US"/>
              </w:rPr>
              <w:tab/>
              <w:t xml:space="preserve"> </w:t>
            </w:r>
          </w:p>
          <w:p w:rsidR="009C13A9" w:rsidRPr="00C903F8" w:rsidRDefault="009C13A9" w:rsidP="009C13A9">
            <w:pPr>
              <w:tabs>
                <w:tab w:val="left" w:pos="227"/>
                <w:tab w:val="left" w:leader="dot" w:pos="8505"/>
              </w:tabs>
              <w:overflowPunct w:val="0"/>
              <w:adjustRightInd w:val="0"/>
              <w:spacing w:after="120"/>
              <w:ind w:left="114" w:hanging="57"/>
              <w:jc w:val="left"/>
              <w:textAlignment w:val="baseline"/>
              <w:rPr>
                <w:rFonts w:cs="Arial"/>
                <w:sz w:val="18"/>
                <w:szCs w:val="20"/>
                <w:lang w:val="en-US"/>
              </w:rPr>
            </w:pPr>
            <w:r w:rsidRPr="00C903F8">
              <w:rPr>
                <w:rFonts w:cs="Arial"/>
                <w:noProof/>
                <w:sz w:val="18"/>
                <w:szCs w:val="20"/>
                <w:lang w:val="en-US"/>
              </w:rPr>
              <w:t>is extended</w:t>
            </w:r>
          </w:p>
          <w:p w:rsidR="009C13A9" w:rsidRPr="00C903F8" w:rsidRDefault="009C13A9" w:rsidP="009C13A9">
            <w:pPr>
              <w:tabs>
                <w:tab w:val="left" w:pos="227"/>
                <w:tab w:val="left" w:leader="dot" w:pos="8505"/>
              </w:tabs>
              <w:overflowPunct w:val="0"/>
              <w:adjustRightInd w:val="0"/>
              <w:spacing w:after="100"/>
              <w:ind w:left="114" w:hanging="57"/>
              <w:jc w:val="left"/>
              <w:textAlignment w:val="baseline"/>
              <w:rPr>
                <w:rFonts w:cs="Arial"/>
                <w:sz w:val="18"/>
                <w:szCs w:val="20"/>
                <w:lang w:val="en-US"/>
              </w:rPr>
            </w:pPr>
            <w:r w:rsidRPr="00C903F8">
              <w:rPr>
                <w:rFonts w:cs="Arial"/>
                <w:sz w:val="18"/>
                <w:szCs w:val="20"/>
                <w:lang w:val="en-US"/>
              </w:rPr>
              <w:t>-</w:t>
            </w:r>
            <w:r w:rsidRPr="00C903F8">
              <w:rPr>
                <w:rFonts w:cs="Arial"/>
                <w:sz w:val="18"/>
                <w:szCs w:val="20"/>
                <w:lang w:val="en-US"/>
              </w:rPr>
              <w:tab/>
            </w:r>
            <w:r w:rsidRPr="00C903F8">
              <w:rPr>
                <w:rFonts w:cs="Arial"/>
                <w:noProof/>
                <w:sz w:val="18"/>
                <w:szCs w:val="20"/>
                <w:lang w:val="en-US"/>
              </w:rPr>
              <w:t>following the periodical inspection by the expert</w:t>
            </w:r>
            <w:r w:rsidRPr="00C903F8">
              <w:rPr>
                <w:rFonts w:cs="Arial"/>
                <w:sz w:val="18"/>
                <w:szCs w:val="20"/>
                <w:lang w:val="en-US"/>
              </w:rPr>
              <w:tab/>
            </w:r>
          </w:p>
          <w:p w:rsidR="009C13A9" w:rsidRPr="00C903F8" w:rsidRDefault="009C13A9" w:rsidP="009C13A9">
            <w:pPr>
              <w:tabs>
                <w:tab w:val="left" w:pos="227"/>
                <w:tab w:val="left" w:leader="dot" w:pos="4734"/>
                <w:tab w:val="left" w:pos="4876"/>
                <w:tab w:val="left" w:leader="dot" w:pos="6861"/>
              </w:tabs>
              <w:overflowPunct w:val="0"/>
              <w:adjustRightInd w:val="0"/>
              <w:spacing w:after="120"/>
              <w:ind w:left="114" w:hanging="57"/>
              <w:jc w:val="left"/>
              <w:textAlignment w:val="baseline"/>
              <w:rPr>
                <w:rFonts w:cs="Arial"/>
                <w:sz w:val="18"/>
                <w:szCs w:val="20"/>
                <w:lang w:val="en-US"/>
              </w:rPr>
            </w:pPr>
            <w:r w:rsidRPr="00C903F8">
              <w:rPr>
                <w:rFonts w:cs="Arial"/>
                <w:sz w:val="18"/>
                <w:szCs w:val="20"/>
                <w:lang w:val="en-US"/>
              </w:rPr>
              <w:t>-</w:t>
            </w:r>
            <w:r w:rsidRPr="00C903F8">
              <w:rPr>
                <w:rFonts w:cs="Arial"/>
                <w:sz w:val="18"/>
                <w:szCs w:val="20"/>
                <w:lang w:val="en-US"/>
              </w:rPr>
              <w:tab/>
            </w:r>
            <w:r w:rsidRPr="00C903F8">
              <w:rPr>
                <w:rFonts w:cs="Arial"/>
                <w:noProof/>
                <w:sz w:val="18"/>
                <w:szCs w:val="20"/>
                <w:lang w:val="en-US"/>
              </w:rPr>
              <w:t xml:space="preserve">on presentation of the </w:t>
            </w:r>
            <w:r w:rsidR="000C1DB3" w:rsidRPr="00C903F8">
              <w:rPr>
                <w:rFonts w:cs="Arial"/>
                <w:noProof/>
                <w:sz w:val="18"/>
                <w:szCs w:val="20"/>
                <w:lang w:val="en-US"/>
              </w:rPr>
              <w:t>inspection attestation</w:t>
            </w:r>
            <w:r w:rsidRPr="00C903F8">
              <w:rPr>
                <w:rFonts w:cs="Arial"/>
                <w:noProof/>
                <w:sz w:val="18"/>
                <w:szCs w:val="20"/>
                <w:lang w:val="en-US"/>
              </w:rPr>
              <w:t xml:space="preserve"> dated</w:t>
            </w:r>
            <w:r w:rsidRPr="00C903F8">
              <w:rPr>
                <w:rFonts w:cs="Arial"/>
                <w:noProof/>
                <w:sz w:val="18"/>
                <w:szCs w:val="20"/>
                <w:lang w:val="en-US"/>
              </w:rPr>
              <w:tab/>
            </w:r>
            <w:r w:rsidRPr="00C903F8">
              <w:rPr>
                <w:rFonts w:cs="Arial"/>
                <w:sz w:val="18"/>
                <w:szCs w:val="20"/>
                <w:lang w:val="en-US"/>
              </w:rPr>
              <w:t xml:space="preserve"> </w:t>
            </w:r>
            <w:r w:rsidRPr="00C903F8">
              <w:rPr>
                <w:rFonts w:cs="Arial"/>
                <w:sz w:val="18"/>
                <w:szCs w:val="20"/>
                <w:lang w:val="en-US"/>
              </w:rPr>
              <w:tab/>
            </w:r>
          </w:p>
          <w:p w:rsidR="009C13A9" w:rsidRPr="00C903F8" w:rsidRDefault="009C13A9" w:rsidP="009C13A9">
            <w:pPr>
              <w:tabs>
                <w:tab w:val="left" w:pos="57"/>
                <w:tab w:val="left" w:pos="227"/>
                <w:tab w:val="left" w:leader="dot" w:pos="5103"/>
                <w:tab w:val="left" w:leader="dot" w:pos="8505"/>
              </w:tabs>
              <w:overflowPunct w:val="0"/>
              <w:adjustRightInd w:val="0"/>
              <w:spacing w:after="120"/>
              <w:ind w:left="114" w:hanging="57"/>
              <w:jc w:val="left"/>
              <w:textAlignment w:val="baseline"/>
              <w:rPr>
                <w:rFonts w:cs="Arial"/>
                <w:sz w:val="18"/>
                <w:szCs w:val="20"/>
                <w:lang w:val="en-US"/>
              </w:rPr>
            </w:pPr>
            <w:r w:rsidRPr="00C903F8">
              <w:rPr>
                <w:rFonts w:cs="Arial"/>
                <w:noProof/>
                <w:sz w:val="18"/>
                <w:szCs w:val="20"/>
                <w:lang w:val="en-US"/>
              </w:rPr>
              <w:t>until</w:t>
            </w:r>
            <w:r w:rsidRPr="00C903F8">
              <w:rPr>
                <w:rFonts w:cs="Arial"/>
                <w:sz w:val="18"/>
                <w:szCs w:val="20"/>
                <w:lang w:val="en-US"/>
              </w:rPr>
              <w:t xml:space="preserve"> </w:t>
            </w: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ind w:left="57" w:hanging="57"/>
              <w:jc w:val="left"/>
              <w:textAlignment w:val="baseline"/>
              <w:rPr>
                <w:rFonts w:cs="Arial"/>
                <w:sz w:val="18"/>
                <w:szCs w:val="20"/>
                <w:lang w:val="en-US"/>
              </w:rPr>
            </w:pPr>
          </w:p>
          <w:p w:rsidR="009C13A9" w:rsidRPr="00C903F8" w:rsidRDefault="009C13A9" w:rsidP="009C13A9">
            <w:pPr>
              <w:tabs>
                <w:tab w:val="left" w:leader="dot" w:pos="3969"/>
                <w:tab w:val="left" w:leader="dot" w:pos="6237"/>
                <w:tab w:val="left" w:leader="dot" w:pos="8505"/>
              </w:tabs>
              <w:overflowPunct w:val="0"/>
              <w:adjustRightInd w:val="0"/>
              <w:spacing w:before="40"/>
              <w:ind w:left="114" w:hanging="57"/>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r w:rsidRPr="00C903F8">
              <w:rPr>
                <w:rFonts w:cs="Arial"/>
                <w:noProof/>
                <w:sz w:val="18"/>
                <w:szCs w:val="20"/>
                <w:lang w:val="en-US"/>
              </w:rPr>
              <w:t>,</w:t>
            </w:r>
            <w:r w:rsidRPr="00C903F8">
              <w:rPr>
                <w:rFonts w:cs="Arial"/>
                <w:sz w:val="18"/>
                <w:szCs w:val="20"/>
                <w:lang w:val="en-US"/>
              </w:rPr>
              <w:t xml:space="preserve"> </w:t>
            </w:r>
            <w:r w:rsidRPr="00C903F8">
              <w:rPr>
                <w:rFonts w:cs="Arial"/>
                <w:sz w:val="18"/>
                <w:szCs w:val="20"/>
                <w:lang w:val="en-US"/>
              </w:rPr>
              <w:tab/>
            </w:r>
          </w:p>
          <w:p w:rsidR="009C13A9" w:rsidRPr="00C903F8" w:rsidRDefault="009C13A9" w:rsidP="009C13A9">
            <w:pPr>
              <w:tabs>
                <w:tab w:val="center" w:pos="2041"/>
                <w:tab w:val="center" w:pos="5216"/>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noProof/>
                <w:sz w:val="16"/>
                <w:szCs w:val="20"/>
                <w:lang w:val="en-US"/>
              </w:rPr>
              <w:t>(Place)</w:t>
            </w:r>
            <w:r w:rsidRPr="00C903F8">
              <w:rPr>
                <w:rFonts w:cs="Arial"/>
                <w:noProof/>
                <w:sz w:val="18"/>
                <w:szCs w:val="20"/>
                <w:lang w:val="en-US"/>
              </w:rPr>
              <w:tab/>
            </w:r>
            <w:r w:rsidRPr="00C903F8">
              <w:rPr>
                <w:rFonts w:cs="Arial"/>
                <w:noProof/>
                <w:sz w:val="16"/>
                <w:szCs w:val="20"/>
                <w:lang w:val="en-US"/>
              </w:rPr>
              <w:t>(Date)</w:t>
            </w:r>
          </w:p>
          <w:p w:rsidR="009C13A9" w:rsidRPr="00C903F8" w:rsidRDefault="009C13A9" w:rsidP="009C13A9">
            <w:pPr>
              <w:tabs>
                <w:tab w:val="left" w:pos="4820"/>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6719"/>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noProof/>
                <w:sz w:val="16"/>
                <w:szCs w:val="20"/>
                <w:lang w:val="en-US"/>
              </w:rPr>
              <w:t>Inspection body</w:t>
            </w:r>
          </w:p>
          <w:p w:rsidR="009C13A9" w:rsidRPr="00C903F8" w:rsidRDefault="009C13A9" w:rsidP="009C13A9">
            <w:pPr>
              <w:tabs>
                <w:tab w:val="center" w:pos="198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b/>
            </w:r>
            <w:r w:rsidR="00313B91" w:rsidRPr="00C903F8">
              <w:rPr>
                <w:rFonts w:cs="Arial"/>
                <w:noProof/>
                <w:sz w:val="16"/>
                <w:szCs w:val="20"/>
                <w:lang w:val="en-US"/>
              </w:rPr>
              <w:t>Stamp</w:t>
            </w:r>
          </w:p>
          <w:p w:rsidR="009C13A9" w:rsidRPr="00C903F8" w:rsidRDefault="009C13A9" w:rsidP="009C13A9">
            <w:pPr>
              <w:tabs>
                <w:tab w:val="left" w:pos="4820"/>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6719"/>
              </w:tabs>
              <w:overflowPunct w:val="0"/>
              <w:adjustRightInd w:val="0"/>
              <w:ind w:left="0" w:firstLine="0"/>
              <w:jc w:val="left"/>
              <w:textAlignment w:val="baseline"/>
              <w:rPr>
                <w:rFonts w:cs="Arial"/>
                <w:sz w:val="18"/>
                <w:szCs w:val="20"/>
              </w:rPr>
            </w:pPr>
            <w:r w:rsidRPr="00C903F8">
              <w:rPr>
                <w:rFonts w:cs="Arial"/>
                <w:sz w:val="18"/>
                <w:szCs w:val="20"/>
                <w:lang w:val="en-US"/>
              </w:rPr>
              <w:tab/>
            </w:r>
            <w:r w:rsidRPr="00C903F8">
              <w:rPr>
                <w:rFonts w:cs="Arial"/>
                <w:noProof/>
                <w:sz w:val="16"/>
                <w:szCs w:val="20"/>
              </w:rPr>
              <w:t>(Signature)</w:t>
            </w:r>
          </w:p>
          <w:p w:rsidR="009C13A9" w:rsidRPr="00C903F8" w:rsidRDefault="009C13A9" w:rsidP="009C13A9">
            <w:pPr>
              <w:tabs>
                <w:tab w:val="left" w:pos="57"/>
                <w:tab w:val="left" w:pos="5670"/>
                <w:tab w:val="left" w:leader="dot" w:pos="8505"/>
              </w:tabs>
              <w:overflowPunct w:val="0"/>
              <w:adjustRightInd w:val="0"/>
              <w:ind w:left="57" w:hanging="57"/>
              <w:jc w:val="left"/>
              <w:textAlignment w:val="baseline"/>
              <w:rPr>
                <w:rFonts w:cs="Arial"/>
                <w:sz w:val="18"/>
                <w:szCs w:val="20"/>
              </w:rPr>
            </w:pPr>
          </w:p>
        </w:tc>
      </w:tr>
      <w:tr w:rsidR="009C13A9" w:rsidRPr="00C903F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51.</w:t>
            </w:r>
          </w:p>
        </w:tc>
        <w:tc>
          <w:tcPr>
            <w:tcW w:w="8902" w:type="dxa"/>
            <w:tcBorders>
              <w:top w:val="single" w:sz="6" w:space="0" w:color="auto"/>
              <w:bottom w:val="single" w:sz="6" w:space="0" w:color="auto"/>
              <w:right w:val="single" w:sz="6" w:space="0" w:color="auto"/>
            </w:tcBorders>
          </w:tcPr>
          <w:p w:rsidR="009C13A9" w:rsidRPr="00C903F8" w:rsidRDefault="009C13A9" w:rsidP="009C13A9">
            <w:pPr>
              <w:tabs>
                <w:tab w:val="left" w:leader="dot" w:pos="8505"/>
              </w:tabs>
              <w:overflowPunct w:val="0"/>
              <w:adjustRightInd w:val="0"/>
              <w:spacing w:before="120"/>
              <w:ind w:left="114" w:hanging="57"/>
              <w:jc w:val="left"/>
              <w:textAlignment w:val="baseline"/>
              <w:rPr>
                <w:rFonts w:cs="Arial"/>
                <w:b/>
                <w:position w:val="6"/>
                <w:sz w:val="16"/>
                <w:szCs w:val="20"/>
                <w:lang w:val="en-US"/>
              </w:rPr>
            </w:pPr>
            <w:r w:rsidRPr="00C903F8">
              <w:rPr>
                <w:rFonts w:cs="Arial"/>
                <w:b/>
                <w:noProof/>
                <w:sz w:val="18"/>
                <w:szCs w:val="20"/>
                <w:lang w:val="en-US"/>
              </w:rPr>
              <w:t>Extension of the attestation relating to liquefied gas installation(s)</w:t>
            </w:r>
          </w:p>
          <w:p w:rsidR="009C13A9" w:rsidRPr="00C903F8" w:rsidRDefault="009C13A9" w:rsidP="009C13A9">
            <w:pPr>
              <w:tabs>
                <w:tab w:val="left" w:leader="dot" w:pos="4453"/>
                <w:tab w:val="left" w:leader="dot" w:pos="8505"/>
              </w:tabs>
              <w:overflowPunct w:val="0"/>
              <w:adjustRightInd w:val="0"/>
              <w:spacing w:after="120"/>
              <w:ind w:left="114" w:hanging="57"/>
              <w:jc w:val="left"/>
              <w:textAlignment w:val="baseline"/>
              <w:rPr>
                <w:rFonts w:cs="Arial"/>
                <w:noProof/>
                <w:sz w:val="18"/>
                <w:szCs w:val="20"/>
                <w:lang w:val="en-US"/>
              </w:rPr>
            </w:pPr>
            <w:r w:rsidRPr="00C903F8">
              <w:rPr>
                <w:rFonts w:cs="Arial"/>
                <w:noProof/>
                <w:sz w:val="18"/>
                <w:szCs w:val="20"/>
                <w:lang w:val="en-US"/>
              </w:rPr>
              <w:t>The period covered by the attestation relating to liquefied gas installation(s)</w:t>
            </w:r>
          </w:p>
          <w:p w:rsidR="009C13A9" w:rsidRPr="00C903F8" w:rsidRDefault="009C13A9" w:rsidP="009C13A9">
            <w:pPr>
              <w:tabs>
                <w:tab w:val="left" w:leader="dot" w:pos="4453"/>
                <w:tab w:val="left" w:leader="dot" w:pos="8505"/>
              </w:tabs>
              <w:overflowPunct w:val="0"/>
              <w:adjustRightInd w:val="0"/>
              <w:spacing w:after="120"/>
              <w:ind w:left="114" w:hanging="57"/>
              <w:jc w:val="left"/>
              <w:textAlignment w:val="baseline"/>
              <w:rPr>
                <w:rFonts w:cs="Arial"/>
                <w:sz w:val="18"/>
                <w:szCs w:val="20"/>
                <w:lang w:val="en-US"/>
              </w:rPr>
            </w:pPr>
            <w:r w:rsidRPr="00C903F8">
              <w:rPr>
                <w:noProof/>
                <w:sz w:val="18"/>
                <w:szCs w:val="20"/>
                <w:lang w:val="en-US" w:eastAsia="fr-BE"/>
              </w:rPr>
              <w:t>dated</w:t>
            </w:r>
            <w:r w:rsidRPr="00C903F8">
              <w:rPr>
                <w:rFonts w:cs="Arial"/>
                <w:sz w:val="18"/>
                <w:szCs w:val="20"/>
                <w:lang w:val="en-US"/>
              </w:rPr>
              <w:tab/>
              <w:t xml:space="preserve"> </w:t>
            </w:r>
            <w:r w:rsidRPr="00C903F8">
              <w:rPr>
                <w:rFonts w:cs="Arial"/>
                <w:noProof/>
                <w:sz w:val="18"/>
                <w:szCs w:val="20"/>
                <w:lang w:val="en-US"/>
              </w:rPr>
              <w:t>valid until</w:t>
            </w:r>
            <w:r w:rsidRPr="00C903F8">
              <w:rPr>
                <w:rFonts w:cs="Arial"/>
                <w:sz w:val="18"/>
                <w:szCs w:val="20"/>
                <w:lang w:val="en-US"/>
              </w:rPr>
              <w:tab/>
              <w:t xml:space="preserve"> </w:t>
            </w:r>
          </w:p>
          <w:p w:rsidR="009C13A9" w:rsidRPr="00C903F8" w:rsidRDefault="009C13A9" w:rsidP="009C13A9">
            <w:pPr>
              <w:tabs>
                <w:tab w:val="left" w:pos="227"/>
                <w:tab w:val="left" w:leader="dot" w:pos="8505"/>
              </w:tabs>
              <w:overflowPunct w:val="0"/>
              <w:adjustRightInd w:val="0"/>
              <w:spacing w:after="120"/>
              <w:ind w:left="114" w:hanging="57"/>
              <w:jc w:val="left"/>
              <w:textAlignment w:val="baseline"/>
              <w:rPr>
                <w:rFonts w:cs="Arial"/>
                <w:sz w:val="18"/>
                <w:szCs w:val="20"/>
                <w:lang w:val="en-US"/>
              </w:rPr>
            </w:pPr>
            <w:r w:rsidRPr="00C903F8">
              <w:rPr>
                <w:rFonts w:cs="Arial"/>
                <w:noProof/>
                <w:sz w:val="18"/>
                <w:szCs w:val="20"/>
                <w:lang w:val="en-US"/>
              </w:rPr>
              <w:t>is extended</w:t>
            </w:r>
          </w:p>
          <w:p w:rsidR="009C13A9" w:rsidRPr="00C903F8" w:rsidRDefault="009C13A9" w:rsidP="009C13A9">
            <w:pPr>
              <w:tabs>
                <w:tab w:val="left" w:pos="227"/>
                <w:tab w:val="left" w:leader="dot" w:pos="8505"/>
              </w:tabs>
              <w:overflowPunct w:val="0"/>
              <w:adjustRightInd w:val="0"/>
              <w:spacing w:after="100"/>
              <w:ind w:left="114" w:hanging="57"/>
              <w:jc w:val="left"/>
              <w:textAlignment w:val="baseline"/>
              <w:rPr>
                <w:rFonts w:cs="Arial"/>
                <w:sz w:val="18"/>
                <w:szCs w:val="20"/>
                <w:lang w:val="en-US"/>
              </w:rPr>
            </w:pPr>
            <w:r w:rsidRPr="00C903F8">
              <w:rPr>
                <w:rFonts w:cs="Arial"/>
                <w:sz w:val="18"/>
                <w:szCs w:val="20"/>
                <w:lang w:val="en-US"/>
              </w:rPr>
              <w:t>-</w:t>
            </w:r>
            <w:r w:rsidRPr="00C903F8">
              <w:rPr>
                <w:rFonts w:cs="Arial"/>
                <w:sz w:val="18"/>
                <w:szCs w:val="20"/>
                <w:lang w:val="en-US"/>
              </w:rPr>
              <w:tab/>
            </w:r>
            <w:r w:rsidRPr="00C903F8">
              <w:rPr>
                <w:rFonts w:cs="Arial"/>
                <w:noProof/>
                <w:sz w:val="18"/>
                <w:szCs w:val="20"/>
                <w:lang w:val="en-US"/>
              </w:rPr>
              <w:t>following the periodical inspection by the expert</w:t>
            </w:r>
            <w:r w:rsidRPr="00C903F8">
              <w:rPr>
                <w:rFonts w:cs="Arial"/>
                <w:sz w:val="18"/>
                <w:szCs w:val="20"/>
                <w:lang w:val="en-US"/>
              </w:rPr>
              <w:tab/>
            </w:r>
          </w:p>
          <w:p w:rsidR="009C13A9" w:rsidRPr="00C903F8" w:rsidRDefault="009C13A9" w:rsidP="009C13A9">
            <w:pPr>
              <w:tabs>
                <w:tab w:val="left" w:pos="227"/>
                <w:tab w:val="left" w:leader="dot" w:pos="4734"/>
                <w:tab w:val="left" w:pos="4876"/>
                <w:tab w:val="left" w:leader="dot" w:pos="6861"/>
              </w:tabs>
              <w:overflowPunct w:val="0"/>
              <w:adjustRightInd w:val="0"/>
              <w:spacing w:after="120"/>
              <w:ind w:left="114" w:hanging="57"/>
              <w:jc w:val="left"/>
              <w:textAlignment w:val="baseline"/>
              <w:rPr>
                <w:rFonts w:cs="Arial"/>
                <w:sz w:val="18"/>
                <w:szCs w:val="20"/>
                <w:lang w:val="en-US"/>
              </w:rPr>
            </w:pPr>
            <w:r w:rsidRPr="00C903F8">
              <w:rPr>
                <w:rFonts w:cs="Arial"/>
                <w:sz w:val="18"/>
                <w:szCs w:val="20"/>
                <w:lang w:val="en-US"/>
              </w:rPr>
              <w:t>-</w:t>
            </w:r>
            <w:r w:rsidRPr="00C903F8">
              <w:rPr>
                <w:rFonts w:cs="Arial"/>
                <w:sz w:val="18"/>
                <w:szCs w:val="20"/>
                <w:lang w:val="en-US"/>
              </w:rPr>
              <w:tab/>
            </w:r>
            <w:r w:rsidRPr="00C903F8">
              <w:rPr>
                <w:rFonts w:cs="Arial"/>
                <w:noProof/>
                <w:sz w:val="18"/>
                <w:szCs w:val="20"/>
                <w:lang w:val="en-US"/>
              </w:rPr>
              <w:t xml:space="preserve">on presentation of the </w:t>
            </w:r>
            <w:r w:rsidR="00B3315E" w:rsidRPr="00C903F8">
              <w:rPr>
                <w:rFonts w:cs="Arial"/>
                <w:sz w:val="18"/>
                <w:szCs w:val="20"/>
                <w:lang w:val="en-US"/>
              </w:rPr>
              <w:t>inspection attestation</w:t>
            </w:r>
            <w:r w:rsidR="00B3315E" w:rsidRPr="00C903F8">
              <w:rPr>
                <w:rFonts w:cs="Arial"/>
                <w:noProof/>
                <w:sz w:val="18"/>
                <w:szCs w:val="20"/>
                <w:lang w:val="en-US"/>
              </w:rPr>
              <w:t xml:space="preserve"> </w:t>
            </w:r>
            <w:r w:rsidRPr="00C903F8">
              <w:rPr>
                <w:rFonts w:cs="Arial"/>
                <w:noProof/>
                <w:sz w:val="18"/>
                <w:szCs w:val="20"/>
                <w:lang w:val="en-US"/>
              </w:rPr>
              <w:t>dated</w:t>
            </w:r>
            <w:r w:rsidRPr="00C903F8">
              <w:rPr>
                <w:rFonts w:cs="Arial"/>
                <w:noProof/>
                <w:sz w:val="18"/>
                <w:szCs w:val="20"/>
                <w:lang w:val="en-US"/>
              </w:rPr>
              <w:tab/>
            </w:r>
            <w:r w:rsidRPr="00C903F8">
              <w:rPr>
                <w:rFonts w:cs="Arial"/>
                <w:sz w:val="18"/>
                <w:szCs w:val="20"/>
                <w:lang w:val="en-US"/>
              </w:rPr>
              <w:t xml:space="preserve"> </w:t>
            </w:r>
            <w:r w:rsidRPr="00C903F8">
              <w:rPr>
                <w:rFonts w:cs="Arial"/>
                <w:sz w:val="18"/>
                <w:szCs w:val="20"/>
                <w:lang w:val="en-US"/>
              </w:rPr>
              <w:tab/>
            </w:r>
          </w:p>
          <w:p w:rsidR="009C13A9" w:rsidRPr="00C903F8" w:rsidRDefault="009C13A9" w:rsidP="009C13A9">
            <w:pPr>
              <w:tabs>
                <w:tab w:val="left" w:pos="57"/>
                <w:tab w:val="left" w:pos="227"/>
                <w:tab w:val="left" w:leader="dot" w:pos="5103"/>
                <w:tab w:val="left" w:leader="dot" w:pos="8505"/>
              </w:tabs>
              <w:overflowPunct w:val="0"/>
              <w:adjustRightInd w:val="0"/>
              <w:spacing w:after="120"/>
              <w:ind w:left="114" w:hanging="57"/>
              <w:jc w:val="left"/>
              <w:textAlignment w:val="baseline"/>
              <w:rPr>
                <w:rFonts w:cs="Arial"/>
                <w:sz w:val="18"/>
                <w:szCs w:val="20"/>
                <w:lang w:val="en-US"/>
              </w:rPr>
            </w:pPr>
            <w:r w:rsidRPr="00C903F8">
              <w:rPr>
                <w:rFonts w:cs="Arial"/>
                <w:noProof/>
                <w:sz w:val="18"/>
                <w:szCs w:val="20"/>
                <w:lang w:val="en-US"/>
              </w:rPr>
              <w:t>until</w:t>
            </w:r>
            <w:r w:rsidRPr="00C903F8">
              <w:rPr>
                <w:rFonts w:cs="Arial"/>
                <w:sz w:val="18"/>
                <w:szCs w:val="20"/>
                <w:lang w:val="en-US"/>
              </w:rPr>
              <w:t xml:space="preserve"> </w:t>
            </w: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ind w:left="57" w:hanging="57"/>
              <w:jc w:val="left"/>
              <w:textAlignment w:val="baseline"/>
              <w:rPr>
                <w:rFonts w:cs="Arial"/>
                <w:sz w:val="18"/>
                <w:szCs w:val="20"/>
                <w:lang w:val="en-US"/>
              </w:rPr>
            </w:pPr>
          </w:p>
          <w:p w:rsidR="009C13A9" w:rsidRPr="00C903F8" w:rsidRDefault="009C13A9" w:rsidP="009C13A9">
            <w:pPr>
              <w:tabs>
                <w:tab w:val="left" w:leader="dot" w:pos="3969"/>
                <w:tab w:val="left" w:leader="dot" w:pos="6237"/>
                <w:tab w:val="left" w:leader="dot" w:pos="8505"/>
              </w:tabs>
              <w:overflowPunct w:val="0"/>
              <w:adjustRightInd w:val="0"/>
              <w:spacing w:before="40"/>
              <w:ind w:left="114" w:hanging="57"/>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r w:rsidRPr="00C903F8">
              <w:rPr>
                <w:rFonts w:cs="Arial"/>
                <w:noProof/>
                <w:sz w:val="18"/>
                <w:szCs w:val="20"/>
                <w:lang w:val="en-US"/>
              </w:rPr>
              <w:t>,</w:t>
            </w:r>
            <w:r w:rsidRPr="00C903F8">
              <w:rPr>
                <w:rFonts w:cs="Arial"/>
                <w:sz w:val="18"/>
                <w:szCs w:val="20"/>
                <w:lang w:val="en-US"/>
              </w:rPr>
              <w:t xml:space="preserve"> </w:t>
            </w:r>
            <w:r w:rsidRPr="00C903F8">
              <w:rPr>
                <w:rFonts w:cs="Arial"/>
                <w:sz w:val="18"/>
                <w:szCs w:val="20"/>
                <w:lang w:val="en-US"/>
              </w:rPr>
              <w:tab/>
            </w:r>
          </w:p>
          <w:p w:rsidR="009C13A9" w:rsidRPr="00C903F8" w:rsidRDefault="009C13A9" w:rsidP="009C13A9">
            <w:pPr>
              <w:tabs>
                <w:tab w:val="center" w:pos="2041"/>
                <w:tab w:val="center" w:pos="5216"/>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noProof/>
                <w:sz w:val="16"/>
                <w:szCs w:val="20"/>
                <w:lang w:val="en-US"/>
              </w:rPr>
              <w:t>(Place)</w:t>
            </w:r>
            <w:r w:rsidRPr="00C903F8">
              <w:rPr>
                <w:rFonts w:cs="Arial"/>
                <w:noProof/>
                <w:sz w:val="18"/>
                <w:szCs w:val="20"/>
                <w:lang w:val="en-US"/>
              </w:rPr>
              <w:tab/>
            </w:r>
            <w:r w:rsidRPr="00C903F8">
              <w:rPr>
                <w:rFonts w:cs="Arial"/>
                <w:noProof/>
                <w:sz w:val="16"/>
                <w:szCs w:val="20"/>
                <w:lang w:val="en-US"/>
              </w:rPr>
              <w:t>(Date)</w:t>
            </w:r>
          </w:p>
          <w:p w:rsidR="009C13A9" w:rsidRPr="00C903F8" w:rsidRDefault="009C13A9" w:rsidP="009C13A9">
            <w:pPr>
              <w:tabs>
                <w:tab w:val="left" w:pos="4820"/>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6719"/>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noProof/>
                <w:sz w:val="16"/>
                <w:szCs w:val="20"/>
                <w:lang w:val="en-US"/>
              </w:rPr>
              <w:t>Inspection body</w:t>
            </w:r>
          </w:p>
          <w:p w:rsidR="009C13A9" w:rsidRPr="00C903F8" w:rsidRDefault="009C13A9" w:rsidP="009C13A9">
            <w:pPr>
              <w:tabs>
                <w:tab w:val="center" w:pos="198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b/>
            </w:r>
            <w:r w:rsidR="00313B91" w:rsidRPr="00C903F8">
              <w:rPr>
                <w:rFonts w:cs="Arial"/>
                <w:noProof/>
                <w:sz w:val="16"/>
                <w:szCs w:val="20"/>
                <w:lang w:val="en-US"/>
              </w:rPr>
              <w:t>Stamp</w:t>
            </w:r>
          </w:p>
          <w:p w:rsidR="009C13A9" w:rsidRPr="00C903F8" w:rsidRDefault="009C13A9" w:rsidP="009C13A9">
            <w:pPr>
              <w:tabs>
                <w:tab w:val="left" w:pos="4820"/>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6719"/>
              </w:tabs>
              <w:overflowPunct w:val="0"/>
              <w:adjustRightInd w:val="0"/>
              <w:ind w:left="0" w:firstLine="0"/>
              <w:jc w:val="left"/>
              <w:textAlignment w:val="baseline"/>
              <w:rPr>
                <w:rFonts w:cs="Arial"/>
                <w:sz w:val="18"/>
                <w:szCs w:val="20"/>
              </w:rPr>
            </w:pPr>
            <w:r w:rsidRPr="00C903F8">
              <w:rPr>
                <w:rFonts w:cs="Arial"/>
                <w:sz w:val="18"/>
                <w:szCs w:val="20"/>
                <w:lang w:val="en-US"/>
              </w:rPr>
              <w:tab/>
            </w:r>
            <w:r w:rsidRPr="00C903F8">
              <w:rPr>
                <w:rFonts w:cs="Arial"/>
                <w:noProof/>
                <w:sz w:val="16"/>
                <w:szCs w:val="20"/>
              </w:rPr>
              <w:t>(Signature)</w:t>
            </w:r>
          </w:p>
          <w:p w:rsidR="009C13A9" w:rsidRPr="00C903F8" w:rsidRDefault="009C13A9" w:rsidP="009C13A9">
            <w:pPr>
              <w:tabs>
                <w:tab w:val="center" w:pos="6719"/>
              </w:tabs>
              <w:overflowPunct w:val="0"/>
              <w:adjustRightInd w:val="0"/>
              <w:ind w:left="0" w:firstLine="0"/>
              <w:jc w:val="left"/>
              <w:textAlignment w:val="baseline"/>
              <w:rPr>
                <w:rFonts w:cs="Arial"/>
                <w:sz w:val="18"/>
                <w:szCs w:val="20"/>
              </w:rPr>
            </w:pPr>
          </w:p>
          <w:p w:rsidR="009C13A9" w:rsidRPr="00C903F8" w:rsidRDefault="009C13A9" w:rsidP="009C13A9">
            <w:pPr>
              <w:tabs>
                <w:tab w:val="left" w:pos="57"/>
                <w:tab w:val="left" w:pos="5670"/>
                <w:tab w:val="left" w:leader="dot" w:pos="8505"/>
              </w:tabs>
              <w:overflowPunct w:val="0"/>
              <w:adjustRightInd w:val="0"/>
              <w:ind w:left="57" w:hanging="57"/>
              <w:jc w:val="left"/>
              <w:textAlignment w:val="baseline"/>
              <w:rPr>
                <w:rFonts w:cs="Arial"/>
                <w:sz w:val="18"/>
                <w:szCs w:val="20"/>
              </w:rPr>
            </w:pPr>
          </w:p>
        </w:tc>
      </w:tr>
      <w:tr w:rsidR="009C13A9" w:rsidRPr="00C903F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51.</w:t>
            </w:r>
          </w:p>
        </w:tc>
        <w:tc>
          <w:tcPr>
            <w:tcW w:w="8902" w:type="dxa"/>
            <w:tcBorders>
              <w:top w:val="single" w:sz="6" w:space="0" w:color="auto"/>
              <w:bottom w:val="single" w:sz="6" w:space="0" w:color="auto"/>
              <w:right w:val="single" w:sz="6" w:space="0" w:color="auto"/>
            </w:tcBorders>
          </w:tcPr>
          <w:p w:rsidR="009C13A9" w:rsidRPr="00C903F8" w:rsidRDefault="009C13A9" w:rsidP="009C13A9">
            <w:pPr>
              <w:tabs>
                <w:tab w:val="left" w:leader="dot" w:pos="8505"/>
              </w:tabs>
              <w:overflowPunct w:val="0"/>
              <w:adjustRightInd w:val="0"/>
              <w:spacing w:before="120"/>
              <w:ind w:left="114" w:hanging="57"/>
              <w:jc w:val="left"/>
              <w:textAlignment w:val="baseline"/>
              <w:rPr>
                <w:rFonts w:cs="Arial"/>
                <w:b/>
                <w:position w:val="6"/>
                <w:sz w:val="16"/>
                <w:szCs w:val="20"/>
                <w:lang w:val="en-US"/>
              </w:rPr>
            </w:pPr>
            <w:r w:rsidRPr="00C903F8">
              <w:rPr>
                <w:rFonts w:cs="Arial"/>
                <w:b/>
                <w:noProof/>
                <w:sz w:val="18"/>
                <w:szCs w:val="20"/>
                <w:lang w:val="en-US"/>
              </w:rPr>
              <w:t>Extension of the attestation relating to liquefied gas installation(s)</w:t>
            </w:r>
          </w:p>
          <w:p w:rsidR="009C13A9" w:rsidRPr="00C903F8" w:rsidRDefault="009C13A9" w:rsidP="009C13A9">
            <w:pPr>
              <w:tabs>
                <w:tab w:val="left" w:leader="dot" w:pos="4453"/>
                <w:tab w:val="left" w:leader="dot" w:pos="8505"/>
              </w:tabs>
              <w:overflowPunct w:val="0"/>
              <w:adjustRightInd w:val="0"/>
              <w:spacing w:after="120"/>
              <w:ind w:left="114" w:hanging="57"/>
              <w:jc w:val="left"/>
              <w:textAlignment w:val="baseline"/>
              <w:rPr>
                <w:rFonts w:cs="Arial"/>
                <w:noProof/>
                <w:sz w:val="18"/>
                <w:szCs w:val="20"/>
                <w:lang w:val="en-US"/>
              </w:rPr>
            </w:pPr>
            <w:r w:rsidRPr="00C903F8">
              <w:rPr>
                <w:rFonts w:cs="Arial"/>
                <w:noProof/>
                <w:sz w:val="18"/>
                <w:szCs w:val="20"/>
                <w:lang w:val="en-US"/>
              </w:rPr>
              <w:t>The period covered by the attestation relating to liquefied gas installation(s)</w:t>
            </w:r>
          </w:p>
          <w:p w:rsidR="009C13A9" w:rsidRPr="00C903F8" w:rsidRDefault="009C13A9" w:rsidP="009C13A9">
            <w:pPr>
              <w:tabs>
                <w:tab w:val="left" w:leader="dot" w:pos="4453"/>
                <w:tab w:val="left" w:leader="dot" w:pos="8505"/>
              </w:tabs>
              <w:overflowPunct w:val="0"/>
              <w:adjustRightInd w:val="0"/>
              <w:spacing w:after="120"/>
              <w:ind w:left="114" w:hanging="57"/>
              <w:jc w:val="left"/>
              <w:textAlignment w:val="baseline"/>
              <w:rPr>
                <w:rFonts w:cs="Arial"/>
                <w:sz w:val="18"/>
                <w:szCs w:val="20"/>
                <w:lang w:val="en-US"/>
              </w:rPr>
            </w:pPr>
            <w:r w:rsidRPr="00C903F8">
              <w:rPr>
                <w:noProof/>
                <w:sz w:val="18"/>
                <w:szCs w:val="20"/>
                <w:lang w:val="en-US" w:eastAsia="fr-BE"/>
              </w:rPr>
              <w:t>dated</w:t>
            </w:r>
            <w:r w:rsidRPr="00C903F8">
              <w:rPr>
                <w:rFonts w:cs="Arial"/>
                <w:sz w:val="18"/>
                <w:szCs w:val="20"/>
                <w:lang w:val="en-US"/>
              </w:rPr>
              <w:tab/>
              <w:t xml:space="preserve"> </w:t>
            </w:r>
            <w:r w:rsidRPr="00C903F8">
              <w:rPr>
                <w:rFonts w:cs="Arial"/>
                <w:noProof/>
                <w:sz w:val="18"/>
                <w:szCs w:val="20"/>
                <w:lang w:val="en-US"/>
              </w:rPr>
              <w:t>valid until</w:t>
            </w:r>
            <w:r w:rsidRPr="00C903F8">
              <w:rPr>
                <w:rFonts w:cs="Arial"/>
                <w:sz w:val="18"/>
                <w:szCs w:val="20"/>
                <w:lang w:val="en-US"/>
              </w:rPr>
              <w:tab/>
              <w:t xml:space="preserve"> </w:t>
            </w:r>
          </w:p>
          <w:p w:rsidR="009C13A9" w:rsidRPr="00C903F8" w:rsidRDefault="009C13A9" w:rsidP="009C13A9">
            <w:pPr>
              <w:tabs>
                <w:tab w:val="left" w:pos="227"/>
                <w:tab w:val="left" w:leader="dot" w:pos="8505"/>
              </w:tabs>
              <w:overflowPunct w:val="0"/>
              <w:adjustRightInd w:val="0"/>
              <w:spacing w:after="120"/>
              <w:ind w:left="114" w:hanging="57"/>
              <w:jc w:val="left"/>
              <w:textAlignment w:val="baseline"/>
              <w:rPr>
                <w:rFonts w:cs="Arial"/>
                <w:sz w:val="18"/>
                <w:szCs w:val="20"/>
                <w:lang w:val="en-US"/>
              </w:rPr>
            </w:pPr>
            <w:r w:rsidRPr="00C903F8">
              <w:rPr>
                <w:rFonts w:cs="Arial"/>
                <w:noProof/>
                <w:sz w:val="18"/>
                <w:szCs w:val="20"/>
                <w:lang w:val="en-US"/>
              </w:rPr>
              <w:t>is extended</w:t>
            </w:r>
          </w:p>
          <w:p w:rsidR="009C13A9" w:rsidRPr="00C903F8" w:rsidRDefault="009C13A9" w:rsidP="009C13A9">
            <w:pPr>
              <w:tabs>
                <w:tab w:val="left" w:pos="227"/>
                <w:tab w:val="left" w:leader="dot" w:pos="8505"/>
              </w:tabs>
              <w:overflowPunct w:val="0"/>
              <w:adjustRightInd w:val="0"/>
              <w:spacing w:after="100"/>
              <w:ind w:left="114" w:hanging="57"/>
              <w:jc w:val="left"/>
              <w:textAlignment w:val="baseline"/>
              <w:rPr>
                <w:rFonts w:cs="Arial"/>
                <w:sz w:val="18"/>
                <w:szCs w:val="20"/>
                <w:lang w:val="en-US"/>
              </w:rPr>
            </w:pPr>
            <w:r w:rsidRPr="00C903F8">
              <w:rPr>
                <w:rFonts w:cs="Arial"/>
                <w:sz w:val="18"/>
                <w:szCs w:val="20"/>
                <w:lang w:val="en-US"/>
              </w:rPr>
              <w:t>-</w:t>
            </w:r>
            <w:r w:rsidRPr="00C903F8">
              <w:rPr>
                <w:rFonts w:cs="Arial"/>
                <w:sz w:val="18"/>
                <w:szCs w:val="20"/>
                <w:lang w:val="en-US"/>
              </w:rPr>
              <w:tab/>
            </w:r>
            <w:r w:rsidRPr="00C903F8">
              <w:rPr>
                <w:rFonts w:cs="Arial"/>
                <w:noProof/>
                <w:sz w:val="18"/>
                <w:szCs w:val="20"/>
                <w:lang w:val="en-US"/>
              </w:rPr>
              <w:t>following the periodical inspection by the expert</w:t>
            </w:r>
            <w:r w:rsidRPr="00C903F8">
              <w:rPr>
                <w:rFonts w:cs="Arial"/>
                <w:sz w:val="18"/>
                <w:szCs w:val="20"/>
                <w:lang w:val="en-US"/>
              </w:rPr>
              <w:tab/>
            </w:r>
          </w:p>
          <w:p w:rsidR="009C13A9" w:rsidRPr="00C903F8" w:rsidRDefault="009C13A9" w:rsidP="009C13A9">
            <w:pPr>
              <w:tabs>
                <w:tab w:val="left" w:pos="227"/>
                <w:tab w:val="left" w:leader="dot" w:pos="4734"/>
                <w:tab w:val="left" w:pos="4876"/>
                <w:tab w:val="left" w:leader="dot" w:pos="6861"/>
              </w:tabs>
              <w:overflowPunct w:val="0"/>
              <w:adjustRightInd w:val="0"/>
              <w:spacing w:after="120"/>
              <w:ind w:left="114" w:hanging="57"/>
              <w:jc w:val="left"/>
              <w:textAlignment w:val="baseline"/>
              <w:rPr>
                <w:rFonts w:cs="Arial"/>
                <w:sz w:val="18"/>
                <w:szCs w:val="20"/>
                <w:lang w:val="en-US"/>
              </w:rPr>
            </w:pPr>
            <w:r w:rsidRPr="00C903F8">
              <w:rPr>
                <w:rFonts w:cs="Arial"/>
                <w:sz w:val="18"/>
                <w:szCs w:val="20"/>
                <w:lang w:val="en-US"/>
              </w:rPr>
              <w:t>-</w:t>
            </w:r>
            <w:r w:rsidRPr="00C903F8">
              <w:rPr>
                <w:rFonts w:cs="Arial"/>
                <w:sz w:val="18"/>
                <w:szCs w:val="20"/>
                <w:lang w:val="en-US"/>
              </w:rPr>
              <w:tab/>
            </w:r>
            <w:r w:rsidRPr="00C903F8">
              <w:rPr>
                <w:rFonts w:cs="Arial"/>
                <w:noProof/>
                <w:sz w:val="18"/>
                <w:szCs w:val="20"/>
                <w:lang w:val="en-US"/>
              </w:rPr>
              <w:t xml:space="preserve">on presentation of the </w:t>
            </w:r>
            <w:r w:rsidR="00B3315E" w:rsidRPr="00C903F8">
              <w:rPr>
                <w:rFonts w:cs="Arial"/>
                <w:sz w:val="18"/>
                <w:szCs w:val="20"/>
                <w:lang w:val="en-US"/>
              </w:rPr>
              <w:t>inspection attestation</w:t>
            </w:r>
            <w:r w:rsidRPr="00C903F8">
              <w:rPr>
                <w:rFonts w:cs="Arial"/>
                <w:noProof/>
                <w:sz w:val="18"/>
                <w:szCs w:val="20"/>
                <w:lang w:val="en-US"/>
              </w:rPr>
              <w:t xml:space="preserve"> dated</w:t>
            </w:r>
            <w:r w:rsidRPr="00C903F8">
              <w:rPr>
                <w:rFonts w:cs="Arial"/>
                <w:noProof/>
                <w:sz w:val="18"/>
                <w:szCs w:val="20"/>
                <w:lang w:val="en-US"/>
              </w:rPr>
              <w:tab/>
            </w:r>
            <w:r w:rsidRPr="00C903F8">
              <w:rPr>
                <w:rFonts w:cs="Arial"/>
                <w:sz w:val="18"/>
                <w:szCs w:val="20"/>
                <w:lang w:val="en-US"/>
              </w:rPr>
              <w:t xml:space="preserve"> </w:t>
            </w:r>
            <w:r w:rsidRPr="00C903F8">
              <w:rPr>
                <w:rFonts w:cs="Arial"/>
                <w:sz w:val="18"/>
                <w:szCs w:val="20"/>
                <w:lang w:val="en-US"/>
              </w:rPr>
              <w:tab/>
            </w:r>
          </w:p>
          <w:p w:rsidR="009C13A9" w:rsidRPr="00C903F8" w:rsidRDefault="009C13A9" w:rsidP="009C13A9">
            <w:pPr>
              <w:tabs>
                <w:tab w:val="left" w:pos="57"/>
                <w:tab w:val="left" w:pos="227"/>
                <w:tab w:val="left" w:leader="dot" w:pos="5103"/>
                <w:tab w:val="left" w:leader="dot" w:pos="8505"/>
              </w:tabs>
              <w:overflowPunct w:val="0"/>
              <w:adjustRightInd w:val="0"/>
              <w:spacing w:after="120"/>
              <w:ind w:left="114" w:hanging="57"/>
              <w:jc w:val="left"/>
              <w:textAlignment w:val="baseline"/>
              <w:rPr>
                <w:rFonts w:cs="Arial"/>
                <w:sz w:val="18"/>
                <w:szCs w:val="20"/>
                <w:lang w:val="en-US"/>
              </w:rPr>
            </w:pPr>
            <w:r w:rsidRPr="00C903F8">
              <w:rPr>
                <w:rFonts w:cs="Arial"/>
                <w:noProof/>
                <w:sz w:val="18"/>
                <w:szCs w:val="20"/>
                <w:lang w:val="en-US"/>
              </w:rPr>
              <w:t>until</w:t>
            </w:r>
            <w:r w:rsidRPr="00C903F8">
              <w:rPr>
                <w:rFonts w:cs="Arial"/>
                <w:sz w:val="18"/>
                <w:szCs w:val="20"/>
                <w:lang w:val="en-US"/>
              </w:rPr>
              <w:t xml:space="preserve"> </w:t>
            </w: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ind w:left="57" w:hanging="57"/>
              <w:jc w:val="left"/>
              <w:textAlignment w:val="baseline"/>
              <w:rPr>
                <w:rFonts w:cs="Arial"/>
                <w:sz w:val="18"/>
                <w:szCs w:val="20"/>
                <w:lang w:val="en-US"/>
              </w:rPr>
            </w:pPr>
          </w:p>
          <w:p w:rsidR="009C13A9" w:rsidRPr="00C903F8" w:rsidRDefault="009C13A9" w:rsidP="009C13A9">
            <w:pPr>
              <w:tabs>
                <w:tab w:val="left" w:leader="dot" w:pos="3969"/>
                <w:tab w:val="left" w:leader="dot" w:pos="6237"/>
                <w:tab w:val="left" w:leader="dot" w:pos="8505"/>
              </w:tabs>
              <w:overflowPunct w:val="0"/>
              <w:adjustRightInd w:val="0"/>
              <w:spacing w:before="40"/>
              <w:ind w:left="114" w:hanging="57"/>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r w:rsidRPr="00C903F8">
              <w:rPr>
                <w:rFonts w:cs="Arial"/>
                <w:noProof/>
                <w:sz w:val="18"/>
                <w:szCs w:val="20"/>
                <w:lang w:val="en-US"/>
              </w:rPr>
              <w:t>,</w:t>
            </w:r>
            <w:r w:rsidRPr="00C903F8">
              <w:rPr>
                <w:rFonts w:cs="Arial"/>
                <w:sz w:val="18"/>
                <w:szCs w:val="20"/>
                <w:lang w:val="en-US"/>
              </w:rPr>
              <w:t xml:space="preserve"> </w:t>
            </w:r>
            <w:r w:rsidRPr="00C903F8">
              <w:rPr>
                <w:rFonts w:cs="Arial"/>
                <w:sz w:val="18"/>
                <w:szCs w:val="20"/>
                <w:lang w:val="en-US"/>
              </w:rPr>
              <w:tab/>
            </w:r>
          </w:p>
          <w:p w:rsidR="009C13A9" w:rsidRPr="00C903F8" w:rsidRDefault="009C13A9" w:rsidP="009C13A9">
            <w:pPr>
              <w:tabs>
                <w:tab w:val="center" w:pos="2041"/>
                <w:tab w:val="center" w:pos="5216"/>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noProof/>
                <w:sz w:val="16"/>
                <w:szCs w:val="20"/>
                <w:lang w:val="en-US"/>
              </w:rPr>
              <w:t>(Place)</w:t>
            </w:r>
            <w:r w:rsidRPr="00C903F8">
              <w:rPr>
                <w:rFonts w:cs="Arial"/>
                <w:noProof/>
                <w:sz w:val="18"/>
                <w:szCs w:val="20"/>
                <w:lang w:val="en-US"/>
              </w:rPr>
              <w:tab/>
            </w:r>
            <w:r w:rsidRPr="00C903F8">
              <w:rPr>
                <w:rFonts w:cs="Arial"/>
                <w:noProof/>
                <w:sz w:val="16"/>
                <w:szCs w:val="20"/>
                <w:lang w:val="en-US"/>
              </w:rPr>
              <w:t>(Date)</w:t>
            </w:r>
          </w:p>
          <w:p w:rsidR="009C13A9" w:rsidRPr="00C903F8" w:rsidRDefault="009C13A9" w:rsidP="009C13A9">
            <w:pPr>
              <w:tabs>
                <w:tab w:val="left" w:pos="4820"/>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6719"/>
              </w:tabs>
              <w:overflowPunct w:val="0"/>
              <w:adjustRightInd w:val="0"/>
              <w:ind w:left="0" w:firstLine="0"/>
              <w:jc w:val="left"/>
              <w:textAlignment w:val="baseline"/>
              <w:rPr>
                <w:rFonts w:cs="Arial"/>
                <w:sz w:val="18"/>
                <w:szCs w:val="20"/>
                <w:lang w:val="en-US"/>
              </w:rPr>
            </w:pPr>
            <w:r w:rsidRPr="00C903F8">
              <w:rPr>
                <w:rFonts w:cs="Arial"/>
                <w:sz w:val="18"/>
                <w:szCs w:val="20"/>
                <w:lang w:val="en-US"/>
              </w:rPr>
              <w:tab/>
            </w:r>
            <w:r w:rsidRPr="00C903F8">
              <w:rPr>
                <w:rFonts w:cs="Arial"/>
                <w:noProof/>
                <w:sz w:val="16"/>
                <w:szCs w:val="20"/>
                <w:lang w:val="en-US"/>
              </w:rPr>
              <w:t>Inspection body</w:t>
            </w:r>
          </w:p>
          <w:p w:rsidR="009C13A9" w:rsidRPr="00C903F8" w:rsidRDefault="009C13A9" w:rsidP="009C13A9">
            <w:pPr>
              <w:tabs>
                <w:tab w:val="center" w:pos="198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b/>
            </w:r>
            <w:r w:rsidR="00313B91" w:rsidRPr="00C903F8">
              <w:rPr>
                <w:rFonts w:cs="Arial"/>
                <w:noProof/>
                <w:sz w:val="16"/>
                <w:szCs w:val="20"/>
                <w:lang w:val="en-US"/>
              </w:rPr>
              <w:t>Stamp</w:t>
            </w:r>
          </w:p>
          <w:p w:rsidR="009C13A9" w:rsidRPr="00C903F8" w:rsidRDefault="009C13A9" w:rsidP="009C13A9">
            <w:pPr>
              <w:tabs>
                <w:tab w:val="left" w:pos="4820"/>
                <w:tab w:val="left" w:leader="dot" w:pos="8505"/>
              </w:tabs>
              <w:overflowPunct w:val="0"/>
              <w:adjustRightInd w:val="0"/>
              <w:spacing w:before="12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6719"/>
              </w:tabs>
              <w:overflowPunct w:val="0"/>
              <w:adjustRightInd w:val="0"/>
              <w:ind w:left="0" w:firstLine="0"/>
              <w:jc w:val="left"/>
              <w:textAlignment w:val="baseline"/>
              <w:rPr>
                <w:rFonts w:cs="Arial"/>
                <w:sz w:val="18"/>
                <w:szCs w:val="20"/>
              </w:rPr>
            </w:pPr>
            <w:r w:rsidRPr="00C903F8">
              <w:rPr>
                <w:rFonts w:cs="Arial"/>
                <w:sz w:val="18"/>
                <w:szCs w:val="20"/>
                <w:lang w:val="en-US"/>
              </w:rPr>
              <w:tab/>
            </w:r>
            <w:r w:rsidRPr="00C903F8">
              <w:rPr>
                <w:rFonts w:cs="Arial"/>
                <w:noProof/>
                <w:sz w:val="16"/>
                <w:szCs w:val="20"/>
              </w:rPr>
              <w:t>(Signature)</w:t>
            </w:r>
          </w:p>
          <w:p w:rsidR="009C13A9" w:rsidRPr="00C903F8" w:rsidRDefault="009C13A9" w:rsidP="009C13A9">
            <w:pPr>
              <w:tabs>
                <w:tab w:val="left" w:pos="57"/>
                <w:tab w:val="left" w:pos="5103"/>
              </w:tabs>
              <w:overflowPunct w:val="0"/>
              <w:adjustRightInd w:val="0"/>
              <w:spacing w:after="120"/>
              <w:ind w:left="0" w:firstLine="0"/>
              <w:jc w:val="left"/>
              <w:textAlignment w:val="baseline"/>
              <w:rPr>
                <w:rFonts w:cs="Arial"/>
                <w:sz w:val="18"/>
                <w:szCs w:val="20"/>
              </w:rPr>
            </w:pPr>
          </w:p>
        </w:tc>
      </w:tr>
    </w:tbl>
    <w:p w:rsidR="009C13A9" w:rsidRPr="00C903F8" w:rsidRDefault="009C13A9" w:rsidP="009C13A9">
      <w:pPr>
        <w:overflowPunct w:val="0"/>
        <w:adjustRightInd w:val="0"/>
        <w:ind w:left="0" w:firstLine="0"/>
        <w:jc w:val="left"/>
        <w:textAlignment w:val="baseline"/>
        <w:rPr>
          <w:rFonts w:cs="Arial"/>
          <w:sz w:val="16"/>
          <w:szCs w:val="20"/>
        </w:rPr>
        <w:sectPr w:rsidR="009C13A9" w:rsidRPr="00C903F8" w:rsidSect="009C13A9">
          <w:footnotePr>
            <w:numRestart w:val="eachPage"/>
          </w:footnotePr>
          <w:pgSz w:w="11907" w:h="16840"/>
          <w:pgMar w:top="851" w:right="1418" w:bottom="851" w:left="1418" w:header="720" w:footer="720" w:gutter="0"/>
          <w:cols w:space="720"/>
        </w:sectPr>
      </w:pPr>
    </w:p>
    <w:p w:rsidR="009C13A9" w:rsidRPr="00C903F8" w:rsidRDefault="009C13A9" w:rsidP="00E3172D">
      <w:pPr>
        <w:tabs>
          <w:tab w:val="left" w:leader="dot" w:pos="2835"/>
          <w:tab w:val="left" w:leader="dot" w:pos="5103"/>
        </w:tabs>
        <w:overflowPunct w:val="0"/>
        <w:adjustRightInd w:val="0"/>
        <w:ind w:left="0" w:firstLine="0"/>
        <w:textAlignment w:val="baseline"/>
        <w:rPr>
          <w:rFonts w:cs="Arial"/>
          <w:szCs w:val="20"/>
          <w:lang w:val="en-US"/>
        </w:rPr>
      </w:pPr>
      <w:r w:rsidRPr="00C903F8">
        <w:rPr>
          <w:rFonts w:cs="Arial"/>
          <w:szCs w:val="20"/>
          <w:lang w:val="en-US"/>
        </w:rPr>
        <w:br w:type="page"/>
      </w:r>
      <w:r w:rsidR="00E3172D" w:rsidRPr="00AA5614">
        <w:rPr>
          <w:rFonts w:cs="Arial"/>
          <w:szCs w:val="20"/>
          <w:lang w:val="en-US"/>
        </w:rPr>
        <w:lastRenderedPageBreak/>
        <w:t xml:space="preserve">Inland navigation vessel certificate </w:t>
      </w:r>
      <w:r w:rsidR="00E3172D">
        <w:rPr>
          <w:rFonts w:cs="Arial"/>
          <w:szCs w:val="20"/>
          <w:lang w:val="en-GB"/>
        </w:rPr>
        <w:t xml:space="preserve">No </w:t>
      </w:r>
      <w:r w:rsidR="00E3172D" w:rsidRPr="00AA5614">
        <w:rPr>
          <w:rFonts w:cs="Arial"/>
          <w:szCs w:val="20"/>
          <w:lang w:val="en-GB"/>
        </w:rPr>
        <w:tab/>
        <w:t xml:space="preserve"> of the Inspection body </w:t>
      </w:r>
      <w:r w:rsidR="00E3172D" w:rsidRPr="00AA5614">
        <w:rPr>
          <w:rFonts w:cs="Arial"/>
          <w:szCs w:val="20"/>
          <w:lang w:val="en-GB"/>
        </w:rPr>
        <w:tab/>
      </w:r>
    </w:p>
    <w:tbl>
      <w:tblPr>
        <w:tblW w:w="9186" w:type="dxa"/>
        <w:jc w:val="center"/>
        <w:tblLayout w:type="fixed"/>
        <w:tblCellMar>
          <w:left w:w="0" w:type="dxa"/>
          <w:right w:w="0" w:type="dxa"/>
        </w:tblCellMar>
        <w:tblLook w:val="0000" w:firstRow="0" w:lastRow="0" w:firstColumn="0" w:lastColumn="0" w:noHBand="0" w:noVBand="0"/>
      </w:tblPr>
      <w:tblGrid>
        <w:gridCol w:w="284"/>
        <w:gridCol w:w="8902"/>
      </w:tblGrid>
      <w:tr w:rsidR="009C13A9" w:rsidRPr="00946CF6"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52.</w:t>
            </w:r>
          </w:p>
        </w:tc>
        <w:tc>
          <w:tcPr>
            <w:tcW w:w="8902" w:type="dxa"/>
            <w:tcBorders>
              <w:top w:val="single" w:sz="6" w:space="0" w:color="auto"/>
              <w:bottom w:val="single" w:sz="6" w:space="0" w:color="auto"/>
              <w:right w:val="single" w:sz="6" w:space="0" w:color="auto"/>
            </w:tcBorders>
          </w:tcPr>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 xml:space="preserve">Annex to </w:t>
            </w:r>
            <w:r w:rsidR="00E3172D" w:rsidRPr="00677052">
              <w:rPr>
                <w:rFonts w:cs="Arial"/>
                <w:sz w:val="18"/>
                <w:szCs w:val="18"/>
                <w:lang w:val="en-US"/>
              </w:rPr>
              <w:t>inland navigation vessel certificate</w:t>
            </w:r>
            <w:r w:rsidR="00E3172D" w:rsidRPr="0095291A">
              <w:rPr>
                <w:rFonts w:cs="Arial"/>
                <w:szCs w:val="20"/>
                <w:lang w:val="en-US"/>
              </w:rPr>
              <w:t xml:space="preserve"> </w:t>
            </w:r>
            <w:r w:rsidRPr="00E3172D">
              <w:rPr>
                <w:rFonts w:cs="Arial"/>
                <w:sz w:val="18"/>
                <w:szCs w:val="20"/>
                <w:lang w:val="en-GB"/>
              </w:rPr>
              <w:t xml:space="preserve">No </w:t>
            </w: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8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0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ind w:left="57" w:firstLine="0"/>
              <w:jc w:val="left"/>
              <w:textAlignment w:val="baseline"/>
              <w:rPr>
                <w:rFonts w:cs="Arial"/>
                <w:sz w:val="18"/>
                <w:szCs w:val="20"/>
                <w:lang w:val="en-GB"/>
              </w:rPr>
            </w:pPr>
            <w:r w:rsidRPr="00E3172D">
              <w:rPr>
                <w:rFonts w:cs="Arial"/>
                <w:sz w:val="18"/>
                <w:szCs w:val="20"/>
                <w:lang w:val="en-GB"/>
              </w:rPr>
              <w:tab/>
            </w:r>
          </w:p>
          <w:p w:rsidR="009C13A9" w:rsidRPr="00E3172D" w:rsidRDefault="009C13A9" w:rsidP="009C13A9">
            <w:pPr>
              <w:tabs>
                <w:tab w:val="left" w:leader="dot" w:pos="8505"/>
              </w:tabs>
              <w:overflowPunct w:val="0"/>
              <w:adjustRightInd w:val="0"/>
              <w:spacing w:before="120" w:after="40"/>
              <w:ind w:left="57" w:firstLine="0"/>
              <w:jc w:val="left"/>
              <w:textAlignment w:val="baseline"/>
              <w:rPr>
                <w:rFonts w:cs="Arial"/>
                <w:sz w:val="18"/>
                <w:szCs w:val="20"/>
                <w:lang w:val="en-GB"/>
              </w:rPr>
            </w:pPr>
            <w:r w:rsidRPr="00E3172D">
              <w:rPr>
                <w:rFonts w:cs="Arial"/>
                <w:sz w:val="18"/>
                <w:szCs w:val="20"/>
                <w:lang w:val="en-GB"/>
              </w:rPr>
              <w:tab/>
            </w:r>
          </w:p>
        </w:tc>
      </w:tr>
      <w:tr w:rsidR="009C13A9" w:rsidRPr="00C903F8" w:rsidTr="009C13A9">
        <w:trPr>
          <w:cantSplit/>
          <w:jc w:val="center"/>
        </w:trPr>
        <w:tc>
          <w:tcPr>
            <w:tcW w:w="284" w:type="dxa"/>
            <w:tcBorders>
              <w:left w:val="single" w:sz="6" w:space="0" w:color="auto"/>
              <w:bottom w:val="single" w:sz="6" w:space="0" w:color="auto"/>
            </w:tcBorders>
          </w:tcPr>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w:t>
            </w:r>
            <w:r w:rsidRPr="00C903F8">
              <w:rPr>
                <w:rFonts w:cs="Arial"/>
                <w:sz w:val="18"/>
                <w:szCs w:val="20"/>
              </w:rPr>
              <w:br/>
            </w:r>
            <w:r w:rsidRPr="00C903F8">
              <w:rPr>
                <w:rFonts w:cs="Arial"/>
                <w:sz w:val="18"/>
                <w:szCs w:val="20"/>
              </w:rPr>
              <w:br/>
            </w:r>
          </w:p>
          <w:p w:rsidR="009C13A9" w:rsidRPr="00C903F8" w:rsidRDefault="009C13A9" w:rsidP="009C13A9">
            <w:pPr>
              <w:tabs>
                <w:tab w:val="left" w:pos="57"/>
              </w:tabs>
              <w:overflowPunct w:val="0"/>
              <w:adjustRightInd w:val="0"/>
              <w:spacing w:before="80"/>
              <w:ind w:left="0" w:firstLine="0"/>
              <w:jc w:val="left"/>
              <w:textAlignment w:val="baseline"/>
              <w:rPr>
                <w:rFonts w:cs="Arial"/>
                <w:sz w:val="18"/>
                <w:szCs w:val="20"/>
              </w:rPr>
            </w:pPr>
          </w:p>
          <w:p w:rsidR="009C13A9" w:rsidRPr="00C903F8" w:rsidRDefault="009C13A9" w:rsidP="009C13A9">
            <w:pPr>
              <w:tabs>
                <w:tab w:val="left" w:pos="57"/>
              </w:tabs>
              <w:overflowPunct w:val="0"/>
              <w:adjustRightInd w:val="0"/>
              <w:spacing w:before="160"/>
              <w:ind w:left="0" w:firstLine="0"/>
              <w:jc w:val="left"/>
              <w:textAlignment w:val="baseline"/>
              <w:rPr>
                <w:rFonts w:cs="Arial"/>
                <w:sz w:val="18"/>
                <w:szCs w:val="20"/>
              </w:rPr>
            </w:pPr>
            <w:r w:rsidRPr="00C903F8">
              <w:rPr>
                <w:rFonts w:cs="Arial"/>
                <w:sz w:val="18"/>
                <w:szCs w:val="20"/>
              </w:rPr>
              <w:tab/>
              <w:t>*)</w:t>
            </w:r>
          </w:p>
        </w:tc>
        <w:tc>
          <w:tcPr>
            <w:tcW w:w="8902" w:type="dxa"/>
            <w:tcBorders>
              <w:bottom w:val="single" w:sz="6" w:space="0" w:color="auto"/>
              <w:right w:val="single" w:sz="6" w:space="0" w:color="auto"/>
            </w:tcBorders>
          </w:tcPr>
          <w:p w:rsidR="009C13A9" w:rsidRPr="00C903F8" w:rsidRDefault="009C13A9" w:rsidP="009C13A9">
            <w:pPr>
              <w:tabs>
                <w:tab w:val="left" w:pos="57"/>
                <w:tab w:val="left" w:leader="dot" w:pos="3686"/>
              </w:tabs>
              <w:overflowPunct w:val="0"/>
              <w:adjustRightInd w:val="0"/>
              <w:spacing w:before="80" w:after="80"/>
              <w:ind w:left="57" w:right="57" w:firstLine="0"/>
              <w:jc w:val="left"/>
              <w:textAlignment w:val="baseline"/>
              <w:rPr>
                <w:rFonts w:cs="Arial"/>
                <w:sz w:val="18"/>
                <w:szCs w:val="20"/>
                <w:lang w:val="en-US"/>
              </w:rPr>
            </w:pPr>
            <w:r w:rsidRPr="00C903F8">
              <w:rPr>
                <w:noProof/>
                <w:sz w:val="18"/>
                <w:szCs w:val="20"/>
                <w:lang w:val="en-US" w:eastAsia="fr-BE"/>
              </w:rPr>
              <w:t>Amendment to item(s):</w:t>
            </w:r>
            <w:r w:rsidRPr="00C903F8">
              <w:rPr>
                <w:rFonts w:cs="Arial"/>
                <w:sz w:val="18"/>
                <w:szCs w:val="20"/>
                <w:lang w:val="en-US"/>
              </w:rPr>
              <w:t xml:space="preserve"> ....................</w:t>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noProof/>
                <w:sz w:val="18"/>
                <w:szCs w:val="20"/>
                <w:lang w:val="en-US" w:eastAsia="fr-BE"/>
              </w:rPr>
              <w:t>New text:</w:t>
            </w: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pos="57"/>
                <w:tab w:val="left" w:leader="dot" w:pos="8505"/>
              </w:tabs>
              <w:overflowPunct w:val="0"/>
              <w:adjustRightInd w:val="0"/>
              <w:spacing w:after="60"/>
              <w:ind w:left="57" w:right="57" w:firstLine="0"/>
              <w:jc w:val="left"/>
              <w:textAlignment w:val="baseline"/>
              <w:rPr>
                <w:rFonts w:cs="Arial"/>
                <w:sz w:val="18"/>
                <w:szCs w:val="20"/>
                <w:lang w:val="en-US"/>
              </w:rPr>
            </w:pPr>
            <w:r w:rsidRPr="00C903F8">
              <w:rPr>
                <w:rFonts w:cs="Arial"/>
                <w:sz w:val="18"/>
                <w:szCs w:val="20"/>
                <w:lang w:val="en-US"/>
              </w:rPr>
              <w:tab/>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This page has been replaced.</w:t>
            </w:r>
          </w:p>
          <w:p w:rsidR="009C13A9" w:rsidRPr="00C903F8" w:rsidRDefault="009C13A9" w:rsidP="009C13A9">
            <w:pPr>
              <w:tabs>
                <w:tab w:val="left" w:leader="dot" w:pos="4536"/>
                <w:tab w:val="center" w:pos="6862"/>
              </w:tabs>
              <w:overflowPunct w:val="0"/>
              <w:adjustRightInd w:val="0"/>
              <w:spacing w:after="80"/>
              <w:ind w:left="57" w:right="57" w:firstLine="0"/>
              <w:textAlignment w:val="baseline"/>
              <w:rPr>
                <w:rFonts w:cs="Arial"/>
                <w:sz w:val="18"/>
                <w:szCs w:val="20"/>
                <w:lang w:val="en-US"/>
              </w:rPr>
            </w:pPr>
            <w:r w:rsidRPr="00C903F8">
              <w:rPr>
                <w:rFonts w:cs="Arial"/>
                <w:sz w:val="18"/>
                <w:szCs w:val="20"/>
                <w:lang w:val="en-US"/>
              </w:rPr>
              <w:t xml:space="preserve">Place, date </w:t>
            </w:r>
            <w:r w:rsidRPr="00C903F8">
              <w:rPr>
                <w:rFonts w:cs="Arial"/>
                <w:sz w:val="18"/>
                <w:szCs w:val="20"/>
                <w:lang w:val="en-US"/>
              </w:rPr>
              <w:tab/>
            </w:r>
            <w:r w:rsidRPr="00C903F8">
              <w:rPr>
                <w:rFonts w:cs="Arial"/>
                <w:sz w:val="18"/>
                <w:szCs w:val="20"/>
                <w:lang w:val="en-US"/>
              </w:rPr>
              <w:tab/>
              <w:t>Inspection body</w:t>
            </w:r>
          </w:p>
          <w:p w:rsidR="009C13A9" w:rsidRPr="00C903F8" w:rsidRDefault="009C13A9" w:rsidP="009C13A9">
            <w:pPr>
              <w:tabs>
                <w:tab w:val="left" w:pos="5103"/>
                <w:tab w:val="left" w:leader="dot" w:pos="8505"/>
              </w:tabs>
              <w:overflowPunct w:val="0"/>
              <w:adjustRightInd w:val="0"/>
              <w:ind w:left="0" w:firstLine="0"/>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1701"/>
              </w:tabs>
              <w:overflowPunct w:val="0"/>
              <w:adjustRightInd w:val="0"/>
              <w:spacing w:after="80"/>
              <w:ind w:left="0" w:firstLine="0"/>
              <w:textAlignment w:val="baseline"/>
              <w:rPr>
                <w:rFonts w:cs="Arial"/>
                <w:sz w:val="18"/>
                <w:szCs w:val="20"/>
                <w:lang w:val="en-US"/>
              </w:rPr>
            </w:pPr>
            <w:r w:rsidRPr="00C903F8">
              <w:rPr>
                <w:rFonts w:cs="Arial"/>
                <w:sz w:val="18"/>
                <w:szCs w:val="20"/>
                <w:lang w:val="en-US"/>
              </w:rPr>
              <w:tab/>
            </w:r>
            <w:r w:rsidR="00313B91" w:rsidRPr="00C903F8">
              <w:rPr>
                <w:rFonts w:cs="Arial"/>
                <w:sz w:val="18"/>
                <w:szCs w:val="20"/>
                <w:lang w:val="en-US"/>
              </w:rPr>
              <w:t>Stamp</w:t>
            </w:r>
          </w:p>
          <w:p w:rsidR="009C13A9" w:rsidRPr="00C903F8" w:rsidRDefault="009C13A9" w:rsidP="009C13A9">
            <w:pPr>
              <w:tabs>
                <w:tab w:val="left" w:pos="5103"/>
                <w:tab w:val="left" w:leader="dot" w:pos="8505"/>
              </w:tabs>
              <w:overflowPunct w:val="0"/>
              <w:adjustRightInd w:val="0"/>
              <w:ind w:left="0" w:firstLine="0"/>
              <w:textAlignment w:val="baseline"/>
              <w:rPr>
                <w:rFonts w:cs="Arial"/>
                <w:szCs w:val="20"/>
                <w:lang w:val="en-US"/>
              </w:rPr>
            </w:pPr>
            <w:r w:rsidRPr="00C903F8">
              <w:rPr>
                <w:rFonts w:cs="Arial"/>
                <w:szCs w:val="20"/>
                <w:lang w:val="en-US"/>
              </w:rPr>
              <w:tab/>
            </w:r>
            <w:r w:rsidRPr="00C903F8">
              <w:rPr>
                <w:rFonts w:cs="Arial"/>
                <w:szCs w:val="20"/>
                <w:lang w:val="en-US"/>
              </w:rPr>
              <w:tab/>
            </w:r>
          </w:p>
          <w:p w:rsidR="009C13A9" w:rsidRPr="00C903F8" w:rsidRDefault="009C13A9" w:rsidP="009C13A9">
            <w:pPr>
              <w:tabs>
                <w:tab w:val="center" w:pos="6862"/>
              </w:tabs>
              <w:overflowPunct w:val="0"/>
              <w:adjustRightInd w:val="0"/>
              <w:ind w:left="0" w:firstLine="0"/>
              <w:textAlignment w:val="baseline"/>
              <w:rPr>
                <w:rFonts w:cs="Arial"/>
                <w:sz w:val="16"/>
                <w:szCs w:val="20"/>
                <w:lang w:val="en-US"/>
              </w:rPr>
            </w:pPr>
            <w:r w:rsidRPr="00C903F8">
              <w:rPr>
                <w:rFonts w:cs="Arial"/>
                <w:szCs w:val="20"/>
                <w:lang w:val="en-US"/>
              </w:rPr>
              <w:tab/>
            </w:r>
            <w:r w:rsidRPr="00C903F8">
              <w:rPr>
                <w:rFonts w:cs="Arial"/>
                <w:sz w:val="16"/>
                <w:szCs w:val="20"/>
                <w:lang w:val="en-US"/>
              </w:rPr>
              <w:t>(Signature)</w:t>
            </w:r>
          </w:p>
          <w:p w:rsidR="009C13A9" w:rsidRPr="00C903F8" w:rsidRDefault="009C13A9" w:rsidP="009C13A9">
            <w:pPr>
              <w:tabs>
                <w:tab w:val="left" w:pos="113"/>
                <w:tab w:val="left" w:pos="397"/>
                <w:tab w:val="left" w:pos="6237"/>
                <w:tab w:val="left" w:leader="dot" w:pos="9356"/>
              </w:tabs>
              <w:overflowPunct w:val="0"/>
              <w:adjustRightInd w:val="0"/>
              <w:ind w:left="0" w:firstLine="0"/>
              <w:textAlignment w:val="baseline"/>
              <w:rPr>
                <w:rFonts w:cs="Arial"/>
                <w:sz w:val="16"/>
                <w:szCs w:val="20"/>
              </w:rPr>
            </w:pPr>
            <w:r w:rsidRPr="00C903F8">
              <w:rPr>
                <w:rFonts w:cs="Arial"/>
                <w:sz w:val="18"/>
                <w:szCs w:val="20"/>
              </w:rPr>
              <w:t>_______________________</w:t>
            </w:r>
          </w:p>
          <w:p w:rsidR="009C13A9" w:rsidRPr="00C903F8" w:rsidRDefault="009C13A9" w:rsidP="009C13A9">
            <w:pPr>
              <w:tabs>
                <w:tab w:val="left" w:pos="284"/>
              </w:tabs>
              <w:overflowPunct w:val="0"/>
              <w:adjustRightInd w:val="0"/>
              <w:spacing w:after="40"/>
              <w:ind w:left="57" w:firstLine="0"/>
              <w:jc w:val="left"/>
              <w:textAlignment w:val="baseline"/>
              <w:rPr>
                <w:rFonts w:cs="Arial"/>
                <w:sz w:val="18"/>
                <w:szCs w:val="20"/>
              </w:rPr>
            </w:pPr>
            <w:r w:rsidRPr="00C903F8">
              <w:rPr>
                <w:rFonts w:cs="Arial"/>
                <w:position w:val="4"/>
                <w:sz w:val="16"/>
                <w:szCs w:val="20"/>
              </w:rPr>
              <w:t>*)</w:t>
            </w:r>
            <w:r w:rsidRPr="00C903F8">
              <w:rPr>
                <w:rFonts w:cs="Arial"/>
                <w:sz w:val="18"/>
                <w:szCs w:val="20"/>
              </w:rPr>
              <w:tab/>
            </w:r>
            <w:r w:rsidRPr="00C903F8">
              <w:rPr>
                <w:rFonts w:cs="Arial"/>
                <w:sz w:val="16"/>
                <w:szCs w:val="20"/>
              </w:rPr>
              <w:t>Delete as appropriate</w:t>
            </w:r>
          </w:p>
        </w:tc>
      </w:tr>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 xml:space="preserve"> </w:t>
            </w:r>
          </w:p>
        </w:tc>
        <w:tc>
          <w:tcPr>
            <w:tcW w:w="8902" w:type="dxa"/>
            <w:tcBorders>
              <w:top w:val="single" w:sz="6" w:space="0" w:color="auto"/>
              <w:bottom w:val="single" w:sz="6" w:space="0" w:color="auto"/>
              <w:right w:val="single" w:sz="6" w:space="0" w:color="auto"/>
            </w:tcBorders>
          </w:tcPr>
          <w:p w:rsidR="009C13A9" w:rsidRPr="00C903F8" w:rsidRDefault="009C13A9" w:rsidP="00430B47">
            <w:pPr>
              <w:tabs>
                <w:tab w:val="left" w:pos="57"/>
                <w:tab w:val="left" w:pos="6295"/>
                <w:tab w:val="left" w:leader="dot" w:pos="8505"/>
              </w:tabs>
              <w:overflowPunct w:val="0"/>
              <w:adjustRightInd w:val="0"/>
              <w:spacing w:before="120" w:after="40"/>
              <w:ind w:left="0" w:firstLine="0"/>
              <w:jc w:val="left"/>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r w:rsidR="00430B47">
              <w:rPr>
                <w:rFonts w:cs="Arial"/>
                <w:sz w:val="18"/>
                <w:szCs w:val="20"/>
                <w:lang w:val="en-US"/>
              </w:rPr>
              <w:t xml:space="preserve">Continued on </w:t>
            </w:r>
            <w:r w:rsidRPr="00C903F8">
              <w:rPr>
                <w:rFonts w:cs="Arial"/>
                <w:sz w:val="18"/>
                <w:szCs w:val="20"/>
                <w:lang w:val="en-US"/>
              </w:rPr>
              <w:t>page</w:t>
            </w:r>
            <w:r w:rsidR="00430B47" w:rsidRPr="00C903F8">
              <w:rPr>
                <w:rFonts w:cs="Arial"/>
                <w:position w:val="4"/>
                <w:sz w:val="16"/>
                <w:szCs w:val="20"/>
                <w:vertAlign w:val="superscript"/>
                <w:lang w:val="en-US"/>
              </w:rPr>
              <w:t>*)</w:t>
            </w:r>
            <w:r w:rsidR="00430B47">
              <w:rPr>
                <w:rFonts w:cs="Arial"/>
                <w:sz w:val="18"/>
                <w:szCs w:val="20"/>
                <w:lang w:val="en-US"/>
              </w:rPr>
              <w:tab/>
            </w:r>
            <w:r w:rsidRPr="00430B47">
              <w:rPr>
                <w:rFonts w:cs="Arial"/>
                <w:position w:val="4"/>
                <w:sz w:val="16"/>
                <w:szCs w:val="20"/>
                <w:lang w:val="en-US"/>
              </w:rPr>
              <w:br/>
            </w:r>
            <w:r w:rsidRPr="00C903F8">
              <w:rPr>
                <w:rFonts w:cs="Arial"/>
                <w:position w:val="4"/>
                <w:sz w:val="16"/>
                <w:szCs w:val="20"/>
                <w:lang w:val="en-US"/>
              </w:rPr>
              <w:tab/>
            </w:r>
            <w:r w:rsidRPr="00C903F8">
              <w:rPr>
                <w:rFonts w:cs="Arial"/>
                <w:position w:val="4"/>
                <w:sz w:val="16"/>
                <w:szCs w:val="20"/>
                <w:lang w:val="en-US"/>
              </w:rPr>
              <w:tab/>
            </w:r>
            <w:r w:rsidR="002A46AD" w:rsidRPr="00C903F8">
              <w:rPr>
                <w:rFonts w:cs="Arial"/>
                <w:position w:val="4"/>
                <w:sz w:val="18"/>
                <w:szCs w:val="20"/>
                <w:lang w:val="en-US"/>
              </w:rPr>
              <w:t>End of the certificate</w:t>
            </w:r>
            <w:r w:rsidRPr="00C903F8">
              <w:rPr>
                <w:rFonts w:cs="Arial"/>
                <w:position w:val="4"/>
                <w:sz w:val="16"/>
                <w:szCs w:val="20"/>
                <w:vertAlign w:val="superscript"/>
                <w:lang w:val="en-US"/>
              </w:rPr>
              <w:t>*)</w:t>
            </w:r>
          </w:p>
        </w:tc>
      </w:tr>
    </w:tbl>
    <w:p w:rsidR="009C13A9" w:rsidRPr="00C903F8" w:rsidRDefault="009C13A9" w:rsidP="009C13A9">
      <w:pPr>
        <w:overflowPunct w:val="0"/>
        <w:adjustRightInd w:val="0"/>
        <w:ind w:left="0" w:firstLine="0"/>
        <w:jc w:val="left"/>
        <w:textAlignment w:val="baseline"/>
        <w:rPr>
          <w:rFonts w:cs="Arial"/>
          <w:sz w:val="16"/>
          <w:szCs w:val="16"/>
          <w:lang w:val="en-US"/>
        </w:rPr>
      </w:pPr>
    </w:p>
    <w:p w:rsidR="009C13A9" w:rsidRPr="00C903F8" w:rsidRDefault="009C13A9" w:rsidP="009C13A9">
      <w:pPr>
        <w:overflowPunct w:val="0"/>
        <w:adjustRightInd w:val="0"/>
        <w:ind w:left="0" w:firstLine="0"/>
        <w:jc w:val="left"/>
        <w:textAlignment w:val="baseline"/>
        <w:rPr>
          <w:rFonts w:cs="Arial"/>
          <w:sz w:val="16"/>
          <w:szCs w:val="16"/>
          <w:lang w:val="en-US"/>
        </w:rPr>
      </w:pPr>
      <w:r w:rsidRPr="00C903F8">
        <w:rPr>
          <w:rFonts w:cs="Arial"/>
          <w:sz w:val="16"/>
          <w:szCs w:val="16"/>
          <w:lang w:val="en-US"/>
        </w:rPr>
        <w:br w:type="page"/>
      </w:r>
    </w:p>
    <w:p w:rsidR="009C13A9" w:rsidRPr="00C903F8" w:rsidRDefault="009C13A9" w:rsidP="009C13A9">
      <w:pPr>
        <w:overflowPunct w:val="0"/>
        <w:adjustRightInd w:val="0"/>
        <w:ind w:left="0" w:firstLine="0"/>
        <w:jc w:val="left"/>
        <w:textAlignment w:val="baseline"/>
        <w:rPr>
          <w:rFonts w:cs="Arial"/>
          <w:sz w:val="16"/>
          <w:szCs w:val="16"/>
          <w:lang w:val="en-US"/>
        </w:rPr>
      </w:pPr>
    </w:p>
    <w:p w:rsidR="009C13A9" w:rsidRPr="00C903F8" w:rsidRDefault="009C13A9" w:rsidP="009C13A9">
      <w:pPr>
        <w:overflowPunct w:val="0"/>
        <w:adjustRightInd w:val="0"/>
        <w:ind w:left="0" w:firstLine="0"/>
        <w:jc w:val="left"/>
        <w:textAlignment w:val="baseline"/>
        <w:rPr>
          <w:rFonts w:cs="Arial"/>
          <w:sz w:val="16"/>
          <w:szCs w:val="16"/>
          <w:lang w:val="en-US"/>
        </w:rPr>
      </w:pPr>
    </w:p>
    <w:p w:rsidR="009C13A9" w:rsidRPr="00C903F8" w:rsidRDefault="009C13A9" w:rsidP="009C13A9">
      <w:pPr>
        <w:overflowPunct w:val="0"/>
        <w:adjustRightInd w:val="0"/>
        <w:ind w:left="0" w:firstLine="0"/>
        <w:jc w:val="left"/>
        <w:textAlignment w:val="baseline"/>
        <w:rPr>
          <w:rFonts w:cs="Arial"/>
          <w:sz w:val="16"/>
          <w:szCs w:val="16"/>
          <w:lang w:val="en-US"/>
        </w:rPr>
      </w:pPr>
    </w:p>
    <w:p w:rsidR="009C13A9" w:rsidRPr="00C903F8" w:rsidRDefault="009C13A9" w:rsidP="001865DF">
      <w:pPr>
        <w:pStyle w:val="ESgauche"/>
        <w:rPr>
          <w:lang w:val="en-US"/>
        </w:rPr>
      </w:pPr>
      <w:r w:rsidRPr="00C903F8">
        <w:rPr>
          <w:lang w:val="en-US"/>
        </w:rPr>
        <w:br w:type="page"/>
      </w:r>
    </w:p>
    <w:p w:rsidR="009C13A9" w:rsidRPr="00C903F8" w:rsidRDefault="00925755" w:rsidP="00857FC2">
      <w:pPr>
        <w:pStyle w:val="ES-Titre3"/>
        <w:rPr>
          <w:noProof/>
          <w:lang w:val="en-US"/>
        </w:rPr>
      </w:pPr>
      <w:bookmarkStart w:id="319" w:name="_Toc491854297"/>
      <w:r w:rsidRPr="00C903F8">
        <w:rPr>
          <w:noProof/>
          <w:lang w:val="en-US"/>
        </w:rPr>
        <w:lastRenderedPageBreak/>
        <w:t>Section</w:t>
      </w:r>
      <w:r w:rsidR="009C13A9" w:rsidRPr="00C903F8">
        <w:rPr>
          <w:noProof/>
          <w:lang w:val="en-US"/>
        </w:rPr>
        <w:t xml:space="preserve"> II</w:t>
      </w:r>
      <w:bookmarkEnd w:id="319"/>
    </w:p>
    <w:p w:rsidR="009C13A9" w:rsidRPr="00C903F8" w:rsidRDefault="009C13A9" w:rsidP="00857FC2">
      <w:pPr>
        <w:pStyle w:val="ES-Titre3a"/>
        <w:rPr>
          <w:noProof/>
          <w:lang w:val="en-US"/>
        </w:rPr>
      </w:pPr>
      <w:bookmarkStart w:id="320" w:name="_Toc491854298"/>
      <w:r w:rsidRPr="00C903F8">
        <w:rPr>
          <w:noProof/>
          <w:lang w:val="en-US"/>
        </w:rPr>
        <w:t xml:space="preserve">Model </w:t>
      </w:r>
      <w:r w:rsidR="00963883" w:rsidRPr="00C903F8">
        <w:rPr>
          <w:noProof/>
          <w:lang w:val="en-US"/>
        </w:rPr>
        <w:t xml:space="preserve">of </w:t>
      </w:r>
      <w:r w:rsidRPr="00C903F8">
        <w:rPr>
          <w:noProof/>
          <w:lang w:val="en-US"/>
        </w:rPr>
        <w:t>provisional inland navigation vessel certificate</w:t>
      </w:r>
      <w:bookmarkEnd w:id="320"/>
    </w:p>
    <w:p w:rsidR="009C13A9" w:rsidRPr="00C903F8" w:rsidRDefault="009C13A9" w:rsidP="009C13A9">
      <w:pPr>
        <w:tabs>
          <w:tab w:val="center" w:pos="8080"/>
        </w:tabs>
        <w:overflowPunct w:val="0"/>
        <w:adjustRightInd w:val="0"/>
        <w:ind w:left="0" w:firstLine="0"/>
        <w:jc w:val="left"/>
        <w:textAlignment w:val="baseline"/>
        <w:rPr>
          <w:rFonts w:cs="Arial"/>
          <w:szCs w:val="20"/>
          <w:lang w:val="en-US"/>
        </w:rPr>
      </w:pPr>
    </w:p>
    <w:p w:rsidR="009C13A9" w:rsidRPr="00C903F8" w:rsidRDefault="009C13A9" w:rsidP="009C13A9">
      <w:pPr>
        <w:tabs>
          <w:tab w:val="left" w:pos="284"/>
          <w:tab w:val="left" w:leader="dot" w:pos="9356"/>
        </w:tabs>
        <w:overflowPunct w:val="0"/>
        <w:adjustRightInd w:val="0"/>
        <w:ind w:left="0" w:firstLine="0"/>
        <w:jc w:val="center"/>
        <w:textAlignment w:val="baseline"/>
        <w:rPr>
          <w:rFonts w:cs="Arial"/>
          <w:b/>
          <w:sz w:val="22"/>
          <w:szCs w:val="22"/>
          <w:lang w:val="en-US"/>
        </w:rPr>
      </w:pPr>
      <w:r w:rsidRPr="00C903F8">
        <w:rPr>
          <w:rFonts w:cs="Arial"/>
          <w:b/>
          <w:sz w:val="22"/>
          <w:szCs w:val="22"/>
          <w:lang w:val="en-US"/>
        </w:rPr>
        <w:t>Name of State / Seal</w:t>
      </w:r>
    </w:p>
    <w:p w:rsidR="009C13A9" w:rsidRPr="00C903F8" w:rsidRDefault="009C13A9" w:rsidP="009C13A9">
      <w:pPr>
        <w:tabs>
          <w:tab w:val="center" w:pos="8080"/>
        </w:tabs>
        <w:overflowPunct w:val="0"/>
        <w:adjustRightInd w:val="0"/>
        <w:ind w:left="0" w:firstLine="0"/>
        <w:jc w:val="left"/>
        <w:textAlignment w:val="baseline"/>
        <w:rPr>
          <w:rFonts w:cs="Arial"/>
          <w:szCs w:val="20"/>
          <w:lang w:val="en-US"/>
        </w:rPr>
      </w:pPr>
    </w:p>
    <w:p w:rsidR="00E3172D" w:rsidRPr="009C481C" w:rsidRDefault="00E3172D" w:rsidP="00E3172D">
      <w:pPr>
        <w:tabs>
          <w:tab w:val="left" w:pos="284"/>
          <w:tab w:val="left" w:leader="dot" w:pos="9356"/>
        </w:tabs>
        <w:overflowPunct w:val="0"/>
        <w:adjustRightInd w:val="0"/>
        <w:jc w:val="center"/>
        <w:textAlignment w:val="baseline"/>
        <w:rPr>
          <w:rFonts w:cs="Arial"/>
          <w:b/>
          <w:sz w:val="22"/>
          <w:szCs w:val="22"/>
          <w:lang w:val="en-US"/>
        </w:rPr>
      </w:pPr>
      <w:r w:rsidRPr="009C481C">
        <w:rPr>
          <w:rFonts w:cs="Arial"/>
          <w:b/>
          <w:sz w:val="22"/>
          <w:szCs w:val="22"/>
          <w:lang w:val="en-US"/>
        </w:rPr>
        <w:t xml:space="preserve">Provisional </w:t>
      </w:r>
      <w:r w:rsidRPr="00677052">
        <w:rPr>
          <w:rFonts w:cs="Arial"/>
          <w:b/>
          <w:sz w:val="22"/>
          <w:szCs w:val="22"/>
          <w:lang w:val="en-US"/>
        </w:rPr>
        <w:t>inland navigation vessel certificate</w:t>
      </w:r>
    </w:p>
    <w:p w:rsidR="009C13A9" w:rsidRPr="00C903F8" w:rsidRDefault="009C13A9" w:rsidP="009C13A9">
      <w:pPr>
        <w:overflowPunct w:val="0"/>
        <w:adjustRightInd w:val="0"/>
        <w:ind w:left="0" w:firstLine="0"/>
        <w:jc w:val="center"/>
        <w:textAlignment w:val="baseline"/>
        <w:rPr>
          <w:rFonts w:cs="Arial"/>
          <w:sz w:val="22"/>
          <w:szCs w:val="22"/>
        </w:rPr>
      </w:pPr>
    </w:p>
    <w:p w:rsidR="009C13A9" w:rsidRPr="00C903F8" w:rsidRDefault="009C13A9" w:rsidP="009C13A9">
      <w:pPr>
        <w:overflowPunct w:val="0"/>
        <w:adjustRightInd w:val="0"/>
        <w:ind w:left="0" w:firstLine="0"/>
        <w:jc w:val="center"/>
        <w:textAlignment w:val="baseline"/>
        <w:rPr>
          <w:rFonts w:cs="Arial"/>
          <w:sz w:val="22"/>
          <w:szCs w:val="22"/>
        </w:rPr>
      </w:pPr>
      <w:r w:rsidRPr="00C903F8">
        <w:rPr>
          <w:rFonts w:cs="Arial"/>
          <w:b/>
          <w:sz w:val="22"/>
          <w:szCs w:val="22"/>
        </w:rPr>
        <w:t>n</w:t>
      </w:r>
      <w:r w:rsidRPr="00C903F8">
        <w:rPr>
          <w:rFonts w:cs="Arial"/>
          <w:b/>
          <w:sz w:val="22"/>
          <w:szCs w:val="22"/>
        </w:rPr>
        <w:sym w:font="Symbol" w:char="F0B0"/>
      </w:r>
      <w:r w:rsidRPr="00C903F8">
        <w:rPr>
          <w:rFonts w:cs="Arial"/>
          <w:b/>
          <w:sz w:val="22"/>
          <w:szCs w:val="22"/>
        </w:rPr>
        <w:t xml:space="preserve"> …..............</w:t>
      </w:r>
    </w:p>
    <w:tbl>
      <w:tblPr>
        <w:tblW w:w="9188" w:type="dxa"/>
        <w:jc w:val="center"/>
        <w:tblLayout w:type="fixed"/>
        <w:tblCellMar>
          <w:left w:w="0" w:type="dxa"/>
          <w:right w:w="0" w:type="dxa"/>
        </w:tblCellMar>
        <w:tblLook w:val="0000" w:firstRow="0" w:lastRow="0" w:firstColumn="0" w:lastColumn="0" w:noHBand="0" w:noVBand="0"/>
      </w:tblPr>
      <w:tblGrid>
        <w:gridCol w:w="284"/>
        <w:gridCol w:w="2778"/>
        <w:gridCol w:w="1475"/>
        <w:gridCol w:w="1418"/>
        <w:gridCol w:w="169"/>
        <w:gridCol w:w="1249"/>
        <w:gridCol w:w="1418"/>
        <w:gridCol w:w="397"/>
      </w:tblGrid>
      <w:tr w:rsidR="009C13A9" w:rsidRPr="00C903F8" w:rsidTr="009C13A9">
        <w:trPr>
          <w:cantSplit/>
          <w:jc w:val="center"/>
        </w:trPr>
        <w:tc>
          <w:tcPr>
            <w:tcW w:w="284" w:type="dxa"/>
            <w:tcBorders>
              <w:top w:val="single" w:sz="6" w:space="0" w:color="auto"/>
              <w:left w:val="single" w:sz="6" w:space="0" w:color="auto"/>
            </w:tcBorders>
          </w:tcPr>
          <w:p w:rsidR="009C13A9" w:rsidRPr="00C903F8" w:rsidRDefault="009C13A9" w:rsidP="009C13A9">
            <w:pPr>
              <w:tabs>
                <w:tab w:val="left" w:pos="57"/>
              </w:tabs>
              <w:overflowPunct w:val="0"/>
              <w:adjustRightInd w:val="0"/>
              <w:spacing w:before="40"/>
              <w:ind w:left="0" w:firstLine="0"/>
              <w:jc w:val="left"/>
              <w:textAlignment w:val="baseline"/>
              <w:rPr>
                <w:rFonts w:cs="Arial"/>
                <w:sz w:val="18"/>
                <w:szCs w:val="20"/>
              </w:rPr>
            </w:pPr>
            <w:r w:rsidRPr="00C903F8">
              <w:rPr>
                <w:rFonts w:cs="Arial"/>
                <w:sz w:val="18"/>
                <w:szCs w:val="20"/>
              </w:rPr>
              <w:tab/>
              <w:t>1.</w:t>
            </w:r>
          </w:p>
        </w:tc>
        <w:tc>
          <w:tcPr>
            <w:tcW w:w="2778" w:type="dxa"/>
            <w:tcBorders>
              <w:top w:val="single" w:sz="6" w:space="0" w:color="auto"/>
              <w:bottom w:val="single" w:sz="6" w:space="0" w:color="auto"/>
              <w:right w:val="single" w:sz="6" w:space="0" w:color="auto"/>
            </w:tcBorders>
          </w:tcPr>
          <w:p w:rsidR="009C13A9" w:rsidRPr="00C903F8" w:rsidRDefault="009C13A9" w:rsidP="009C13A9">
            <w:pPr>
              <w:tabs>
                <w:tab w:val="left" w:pos="57"/>
              </w:tabs>
              <w:overflowPunct w:val="0"/>
              <w:adjustRightInd w:val="0"/>
              <w:spacing w:before="40"/>
              <w:ind w:left="0" w:firstLine="0"/>
              <w:jc w:val="left"/>
              <w:textAlignment w:val="baseline"/>
              <w:rPr>
                <w:rFonts w:cs="Arial"/>
                <w:sz w:val="18"/>
                <w:szCs w:val="20"/>
              </w:rPr>
            </w:pPr>
            <w:r w:rsidRPr="00C903F8">
              <w:rPr>
                <w:rFonts w:cs="Arial"/>
                <w:sz w:val="18"/>
                <w:szCs w:val="20"/>
              </w:rPr>
              <w:t>Name of craft</w:t>
            </w:r>
            <w:r w:rsidRPr="00C903F8">
              <w:rPr>
                <w:rFonts w:cs="Arial"/>
                <w:sz w:val="18"/>
                <w:szCs w:val="20"/>
              </w:rPr>
              <w:br/>
            </w:r>
            <w:r w:rsidRPr="00C903F8">
              <w:rPr>
                <w:rFonts w:cs="Arial"/>
                <w:sz w:val="18"/>
                <w:szCs w:val="20"/>
              </w:rPr>
              <w:br/>
            </w:r>
            <w:r w:rsidRPr="00C903F8">
              <w:rPr>
                <w:rFonts w:cs="Arial"/>
                <w:sz w:val="18"/>
                <w:szCs w:val="20"/>
              </w:rPr>
              <w:br/>
            </w:r>
          </w:p>
        </w:tc>
        <w:tc>
          <w:tcPr>
            <w:tcW w:w="3062" w:type="dxa"/>
            <w:gridSpan w:val="3"/>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57"/>
                <w:tab w:val="left" w:pos="227"/>
              </w:tabs>
              <w:overflowPunct w:val="0"/>
              <w:adjustRightInd w:val="0"/>
              <w:spacing w:before="40"/>
              <w:ind w:left="0" w:firstLine="0"/>
              <w:jc w:val="left"/>
              <w:textAlignment w:val="baseline"/>
              <w:rPr>
                <w:rFonts w:cs="Arial"/>
                <w:sz w:val="18"/>
                <w:szCs w:val="20"/>
              </w:rPr>
            </w:pPr>
            <w:r w:rsidRPr="00C903F8">
              <w:rPr>
                <w:rFonts w:cs="Arial"/>
                <w:sz w:val="18"/>
                <w:szCs w:val="20"/>
              </w:rPr>
              <w:tab/>
              <w:t>2.</w:t>
            </w:r>
            <w:r w:rsidRPr="00C903F8">
              <w:rPr>
                <w:rFonts w:cs="Arial"/>
                <w:sz w:val="18"/>
                <w:szCs w:val="20"/>
              </w:rPr>
              <w:tab/>
              <w:t>Type of craft</w:t>
            </w:r>
          </w:p>
        </w:tc>
        <w:tc>
          <w:tcPr>
            <w:tcW w:w="3064" w:type="dxa"/>
            <w:gridSpan w:val="3"/>
            <w:tcBorders>
              <w:top w:val="single" w:sz="6" w:space="0" w:color="auto"/>
              <w:bottom w:val="single" w:sz="6" w:space="0" w:color="auto"/>
              <w:right w:val="single" w:sz="6" w:space="0" w:color="auto"/>
            </w:tcBorders>
          </w:tcPr>
          <w:p w:rsidR="009C13A9" w:rsidRPr="00C903F8" w:rsidRDefault="009C13A9" w:rsidP="006D37CC">
            <w:pPr>
              <w:tabs>
                <w:tab w:val="left" w:pos="57"/>
                <w:tab w:val="left" w:pos="284"/>
              </w:tabs>
              <w:overflowPunct w:val="0"/>
              <w:adjustRightInd w:val="0"/>
              <w:spacing w:before="40"/>
              <w:ind w:left="284" w:hanging="284"/>
              <w:jc w:val="left"/>
              <w:textAlignment w:val="baseline"/>
              <w:rPr>
                <w:rFonts w:cs="Arial"/>
                <w:sz w:val="18"/>
                <w:szCs w:val="20"/>
              </w:rPr>
            </w:pPr>
            <w:r w:rsidRPr="00C903F8">
              <w:rPr>
                <w:rFonts w:cs="Arial"/>
                <w:sz w:val="18"/>
                <w:szCs w:val="20"/>
              </w:rPr>
              <w:tab/>
              <w:t>3.</w:t>
            </w:r>
            <w:r w:rsidRPr="00C903F8">
              <w:rPr>
                <w:rFonts w:cs="Arial"/>
                <w:sz w:val="18"/>
                <w:szCs w:val="20"/>
              </w:rPr>
              <w:tab/>
            </w:r>
            <w:r w:rsidRPr="00C903F8">
              <w:rPr>
                <w:rFonts w:cs="Arial"/>
                <w:noProof/>
                <w:sz w:val="18"/>
                <w:szCs w:val="18"/>
              </w:rPr>
              <w:t xml:space="preserve">Unique European </w:t>
            </w:r>
            <w:r w:rsidR="006D37CC" w:rsidRPr="00C903F8">
              <w:rPr>
                <w:rFonts w:cs="Arial"/>
                <w:noProof/>
                <w:sz w:val="18"/>
                <w:szCs w:val="18"/>
              </w:rPr>
              <w:t>v</w:t>
            </w:r>
            <w:r w:rsidRPr="00C903F8">
              <w:rPr>
                <w:rFonts w:cs="Arial"/>
                <w:noProof/>
                <w:sz w:val="18"/>
                <w:szCs w:val="18"/>
              </w:rPr>
              <w:t xml:space="preserve">essel </w:t>
            </w:r>
            <w:r w:rsidR="006D37CC" w:rsidRPr="00C903F8">
              <w:rPr>
                <w:rFonts w:cs="Arial"/>
                <w:noProof/>
                <w:sz w:val="18"/>
                <w:szCs w:val="18"/>
              </w:rPr>
              <w:t>i</w:t>
            </w:r>
            <w:r w:rsidRPr="00C903F8">
              <w:rPr>
                <w:rFonts w:cs="Arial"/>
                <w:noProof/>
                <w:sz w:val="18"/>
                <w:szCs w:val="18"/>
              </w:rPr>
              <w:t xml:space="preserve">dentification </w:t>
            </w:r>
            <w:r w:rsidR="006D37CC" w:rsidRPr="00C903F8">
              <w:rPr>
                <w:rFonts w:cs="Arial"/>
                <w:noProof/>
                <w:sz w:val="18"/>
                <w:szCs w:val="18"/>
              </w:rPr>
              <w:t>n</w:t>
            </w:r>
            <w:r w:rsidRPr="00C903F8">
              <w:rPr>
                <w:rFonts w:cs="Arial"/>
                <w:noProof/>
                <w:sz w:val="18"/>
                <w:szCs w:val="18"/>
              </w:rPr>
              <w:t>umber</w:t>
            </w:r>
          </w:p>
        </w:tc>
      </w:tr>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40"/>
              <w:ind w:left="0" w:firstLine="0"/>
              <w:jc w:val="left"/>
              <w:textAlignment w:val="baseline"/>
              <w:rPr>
                <w:rFonts w:cs="Arial"/>
                <w:sz w:val="18"/>
                <w:szCs w:val="20"/>
              </w:rPr>
            </w:pPr>
            <w:r w:rsidRPr="00C903F8">
              <w:rPr>
                <w:rFonts w:cs="Arial"/>
                <w:sz w:val="18"/>
                <w:szCs w:val="20"/>
              </w:rPr>
              <w:tab/>
              <w:t>4.</w:t>
            </w:r>
          </w:p>
        </w:tc>
        <w:tc>
          <w:tcPr>
            <w:tcW w:w="8904" w:type="dxa"/>
            <w:gridSpan w:val="7"/>
            <w:tcBorders>
              <w:top w:val="single" w:sz="6" w:space="0" w:color="auto"/>
              <w:bottom w:val="single" w:sz="6" w:space="0" w:color="auto"/>
              <w:right w:val="single" w:sz="6" w:space="0" w:color="auto"/>
            </w:tcBorders>
          </w:tcPr>
          <w:p w:rsidR="009C13A9" w:rsidRPr="00C903F8" w:rsidRDefault="009C13A9" w:rsidP="009C13A9">
            <w:pPr>
              <w:tabs>
                <w:tab w:val="left" w:pos="57"/>
                <w:tab w:val="left" w:pos="227"/>
              </w:tabs>
              <w:overflowPunct w:val="0"/>
              <w:adjustRightInd w:val="0"/>
              <w:spacing w:before="40"/>
              <w:ind w:left="57" w:firstLine="0"/>
              <w:jc w:val="left"/>
              <w:textAlignment w:val="baseline"/>
              <w:rPr>
                <w:rFonts w:cs="Arial"/>
                <w:sz w:val="18"/>
                <w:szCs w:val="20"/>
                <w:lang w:val="en-US"/>
              </w:rPr>
            </w:pPr>
            <w:r w:rsidRPr="00C903F8">
              <w:rPr>
                <w:rFonts w:cs="Arial"/>
                <w:sz w:val="18"/>
                <w:szCs w:val="20"/>
                <w:lang w:val="en-US"/>
              </w:rPr>
              <w:t>Name and address of owner</w:t>
            </w:r>
            <w:r w:rsidRPr="00C903F8">
              <w:rPr>
                <w:rFonts w:cs="Arial"/>
                <w:sz w:val="18"/>
                <w:szCs w:val="20"/>
                <w:lang w:val="en-US"/>
              </w:rPr>
              <w:br/>
            </w:r>
            <w:r w:rsidRPr="00C903F8">
              <w:rPr>
                <w:rFonts w:cs="Arial"/>
                <w:sz w:val="18"/>
                <w:szCs w:val="20"/>
                <w:lang w:val="en-US"/>
              </w:rPr>
              <w:br/>
            </w:r>
            <w:r w:rsidRPr="00C903F8">
              <w:rPr>
                <w:rFonts w:cs="Arial"/>
                <w:sz w:val="18"/>
                <w:szCs w:val="20"/>
                <w:lang w:val="en-US"/>
              </w:rPr>
              <w:br/>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s>
              <w:overflowPunct w:val="0"/>
              <w:adjustRightInd w:val="0"/>
              <w:spacing w:before="40"/>
              <w:ind w:left="0" w:firstLine="0"/>
              <w:jc w:val="left"/>
              <w:textAlignment w:val="baseline"/>
              <w:rPr>
                <w:rFonts w:cs="Arial"/>
                <w:sz w:val="18"/>
                <w:szCs w:val="20"/>
              </w:rPr>
            </w:pPr>
            <w:r w:rsidRPr="00C903F8">
              <w:rPr>
                <w:rFonts w:cs="Arial"/>
                <w:sz w:val="18"/>
                <w:szCs w:val="20"/>
                <w:lang w:val="en-US"/>
              </w:rPr>
              <w:tab/>
            </w:r>
            <w:r w:rsidRPr="00C903F8">
              <w:rPr>
                <w:rFonts w:cs="Arial"/>
                <w:sz w:val="18"/>
                <w:szCs w:val="20"/>
              </w:rPr>
              <w:t>5.</w:t>
            </w:r>
          </w:p>
        </w:tc>
        <w:tc>
          <w:tcPr>
            <w:tcW w:w="8904" w:type="dxa"/>
            <w:gridSpan w:val="7"/>
            <w:tcBorders>
              <w:top w:val="single" w:sz="6" w:space="0" w:color="auto"/>
              <w:bottom w:val="single" w:sz="6" w:space="0" w:color="auto"/>
              <w:right w:val="single" w:sz="6" w:space="0" w:color="auto"/>
            </w:tcBorders>
          </w:tcPr>
          <w:p w:rsidR="009C13A9" w:rsidRPr="00C903F8" w:rsidRDefault="009C13A9" w:rsidP="009C13A9">
            <w:pPr>
              <w:tabs>
                <w:tab w:val="left" w:pos="57"/>
                <w:tab w:val="left" w:pos="227"/>
                <w:tab w:val="left" w:leader="dot" w:pos="2835"/>
                <w:tab w:val="left" w:pos="3686"/>
                <w:tab w:val="left" w:leader="dot" w:pos="5670"/>
                <w:tab w:val="left" w:leader="dot" w:pos="8505"/>
              </w:tabs>
              <w:overflowPunct w:val="0"/>
              <w:adjustRightInd w:val="0"/>
              <w:spacing w:before="40"/>
              <w:ind w:left="57" w:firstLine="0"/>
              <w:jc w:val="left"/>
              <w:textAlignment w:val="baseline"/>
              <w:rPr>
                <w:rFonts w:cs="Arial"/>
                <w:sz w:val="18"/>
                <w:szCs w:val="20"/>
                <w:lang w:val="en-US"/>
              </w:rPr>
            </w:pPr>
            <w:r w:rsidRPr="00C903F8">
              <w:rPr>
                <w:rFonts w:cs="Arial"/>
                <w:sz w:val="18"/>
                <w:szCs w:val="20"/>
                <w:lang w:val="en-US"/>
              </w:rPr>
              <w:t>Leng</w:t>
            </w:r>
            <w:r w:rsidR="00DE66D2">
              <w:rPr>
                <w:rFonts w:cs="Arial"/>
                <w:sz w:val="18"/>
                <w:szCs w:val="20"/>
                <w:lang w:val="en-US"/>
              </w:rPr>
              <w:t>t</w:t>
            </w:r>
            <w:r w:rsidRPr="00C903F8">
              <w:rPr>
                <w:rFonts w:cs="Arial"/>
                <w:sz w:val="18"/>
                <w:szCs w:val="20"/>
                <w:lang w:val="en-US"/>
              </w:rPr>
              <w:t xml:space="preserve">h </w:t>
            </w:r>
            <m:oMath>
              <m:r>
                <w:rPr>
                  <w:rFonts w:ascii="Cambria Math" w:hAnsi="Cambria Math" w:cs="Arial"/>
                  <w:sz w:val="18"/>
                  <w:szCs w:val="20"/>
                  <w:lang w:val="en-US"/>
                </w:rPr>
                <m:t>L</m:t>
              </m:r>
            </m:oMath>
            <w:r w:rsidRPr="00C903F8">
              <w:rPr>
                <w:rFonts w:cs="Arial"/>
                <w:sz w:val="18"/>
                <w:szCs w:val="20"/>
                <w:lang w:val="en-US"/>
              </w:rPr>
              <w:t xml:space="preserve">/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L</m:t>
                  </m:r>
                </m:e>
                <m:sub>
                  <m:r>
                    <w:rPr>
                      <w:rFonts w:ascii="Cambria Math" w:hAnsi="Cambria Math" w:cs="Arial"/>
                      <w:noProof/>
                      <w:sz w:val="18"/>
                      <w:szCs w:val="18"/>
                      <w:lang w:val="en-US"/>
                    </w:rPr>
                    <m:t>WL</m:t>
                  </m:r>
                </m:sub>
              </m:sSub>
            </m:oMath>
            <w:r w:rsidRPr="00C903F8">
              <w:rPr>
                <w:rFonts w:cs="Arial"/>
                <w:sz w:val="16"/>
                <w:szCs w:val="20"/>
                <w:vertAlign w:val="superscript"/>
                <w:lang w:val="en-US"/>
              </w:rPr>
              <w:t>*)</w:t>
            </w:r>
            <w:r w:rsidRPr="00C903F8">
              <w:rPr>
                <w:rFonts w:cs="Arial"/>
                <w:sz w:val="16"/>
                <w:szCs w:val="20"/>
                <w:lang w:val="en-US"/>
              </w:rPr>
              <w:tab/>
            </w:r>
            <w:r w:rsidR="002D7949" w:rsidRPr="00C903F8">
              <w:rPr>
                <w:rFonts w:cs="Arial"/>
                <w:sz w:val="16"/>
                <w:szCs w:val="20"/>
                <w:vertAlign w:val="superscript"/>
                <w:lang w:val="en-US"/>
              </w:rPr>
              <w:t xml:space="preserve"> </w:t>
            </w:r>
            <w:r w:rsidRPr="00C903F8">
              <w:rPr>
                <w:rFonts w:cs="Arial"/>
                <w:sz w:val="18"/>
                <w:szCs w:val="20"/>
                <w:lang w:val="en-US"/>
              </w:rPr>
              <w:t>Number of passengers</w:t>
            </w:r>
            <w:r w:rsidRPr="00C903F8">
              <w:rPr>
                <w:rFonts w:cs="Arial"/>
                <w:sz w:val="18"/>
                <w:szCs w:val="20"/>
                <w:lang w:val="en-US"/>
              </w:rPr>
              <w:tab/>
            </w:r>
          </w:p>
          <w:p w:rsidR="009C13A9" w:rsidRPr="00C903F8" w:rsidRDefault="009C13A9" w:rsidP="009C13A9">
            <w:pPr>
              <w:tabs>
                <w:tab w:val="left" w:pos="57"/>
                <w:tab w:val="left" w:pos="227"/>
                <w:tab w:val="left" w:leader="dot" w:pos="2835"/>
                <w:tab w:val="left" w:pos="3686"/>
                <w:tab w:val="left" w:leader="dot" w:pos="5670"/>
                <w:tab w:val="left" w:leader="dot" w:pos="8505"/>
              </w:tabs>
              <w:overflowPunct w:val="0"/>
              <w:adjustRightInd w:val="0"/>
              <w:spacing w:before="40" w:after="80"/>
              <w:ind w:left="57" w:firstLine="0"/>
              <w:jc w:val="left"/>
              <w:textAlignment w:val="baseline"/>
              <w:rPr>
                <w:rFonts w:cs="Arial"/>
                <w:sz w:val="18"/>
                <w:szCs w:val="20"/>
              </w:rPr>
            </w:pPr>
            <w:r w:rsidRPr="00C903F8">
              <w:rPr>
                <w:rFonts w:cs="Arial"/>
                <w:sz w:val="18"/>
                <w:szCs w:val="20"/>
              </w:rPr>
              <w:t>Number of berths</w:t>
            </w:r>
            <w:r w:rsidRPr="00C903F8">
              <w:rPr>
                <w:rFonts w:cs="Arial"/>
                <w:sz w:val="16"/>
                <w:szCs w:val="20"/>
                <w:vertAlign w:val="superscript"/>
              </w:rPr>
              <w:t>*)</w:t>
            </w:r>
            <w:r w:rsidRPr="00C903F8">
              <w:rPr>
                <w:rFonts w:cs="Arial"/>
                <w:sz w:val="18"/>
                <w:szCs w:val="20"/>
              </w:rPr>
              <w:t xml:space="preserve"> </w:t>
            </w:r>
            <w:r w:rsidRPr="00C903F8">
              <w:rPr>
                <w:rFonts w:cs="Arial"/>
                <w:sz w:val="18"/>
                <w:szCs w:val="20"/>
              </w:rPr>
              <w:tab/>
            </w:r>
          </w:p>
        </w:tc>
      </w:tr>
      <w:tr w:rsidR="009C13A9" w:rsidRPr="00C903F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40"/>
              <w:ind w:left="0" w:firstLine="0"/>
              <w:jc w:val="left"/>
              <w:textAlignment w:val="baseline"/>
              <w:rPr>
                <w:rFonts w:cs="Arial"/>
                <w:sz w:val="18"/>
                <w:szCs w:val="20"/>
              </w:rPr>
            </w:pPr>
            <w:r w:rsidRPr="00C903F8">
              <w:rPr>
                <w:rFonts w:cs="Arial"/>
                <w:sz w:val="18"/>
                <w:szCs w:val="20"/>
              </w:rPr>
              <w:tab/>
              <w:t>6.</w:t>
            </w:r>
          </w:p>
        </w:tc>
        <w:tc>
          <w:tcPr>
            <w:tcW w:w="8904" w:type="dxa"/>
            <w:gridSpan w:val="7"/>
            <w:tcBorders>
              <w:top w:val="single" w:sz="6" w:space="0" w:color="auto"/>
              <w:bottom w:val="single" w:sz="6" w:space="0" w:color="auto"/>
              <w:right w:val="single" w:sz="6" w:space="0" w:color="auto"/>
            </w:tcBorders>
          </w:tcPr>
          <w:p w:rsidR="009C13A9" w:rsidRPr="00C903F8" w:rsidRDefault="009C13A9" w:rsidP="00166C9D">
            <w:pPr>
              <w:tabs>
                <w:tab w:val="left" w:pos="57"/>
                <w:tab w:val="left" w:pos="227"/>
                <w:tab w:val="left" w:leader="dot" w:pos="8505"/>
              </w:tabs>
              <w:overflowPunct w:val="0"/>
              <w:adjustRightInd w:val="0"/>
              <w:spacing w:before="40"/>
              <w:ind w:left="57" w:firstLine="0"/>
              <w:jc w:val="left"/>
              <w:textAlignment w:val="baseline"/>
              <w:rPr>
                <w:rFonts w:cs="Arial"/>
                <w:sz w:val="18"/>
                <w:szCs w:val="20"/>
              </w:rPr>
            </w:pPr>
            <w:r w:rsidRPr="00C903F8">
              <w:rPr>
                <w:rFonts w:cs="Arial"/>
                <w:sz w:val="18"/>
                <w:szCs w:val="20"/>
              </w:rPr>
              <w:t xml:space="preserve">Crew: </w:t>
            </w:r>
            <w:r w:rsidRPr="00C903F8">
              <w:rPr>
                <w:rFonts w:cs="Arial"/>
                <w:sz w:val="18"/>
                <w:szCs w:val="20"/>
              </w:rPr>
              <w:tab/>
            </w:r>
            <w:r w:rsidRPr="00C903F8">
              <w:rPr>
                <w:rFonts w:cs="Arial"/>
                <w:sz w:val="18"/>
                <w:szCs w:val="20"/>
              </w:rPr>
              <w:br/>
            </w:r>
          </w:p>
        </w:tc>
      </w:tr>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6.1</w:t>
            </w:r>
          </w:p>
        </w:tc>
        <w:tc>
          <w:tcPr>
            <w:tcW w:w="8904" w:type="dxa"/>
            <w:gridSpan w:val="7"/>
            <w:tcBorders>
              <w:top w:val="single" w:sz="6" w:space="0" w:color="auto"/>
              <w:bottom w:val="single" w:sz="6" w:space="0" w:color="auto"/>
              <w:right w:val="single" w:sz="6" w:space="0" w:color="auto"/>
            </w:tcBorders>
          </w:tcPr>
          <w:p w:rsidR="009C13A9" w:rsidRPr="00C903F8" w:rsidRDefault="009C13A9" w:rsidP="001C4EBD">
            <w:pPr>
              <w:ind w:left="57" w:right="57" w:firstLine="0"/>
              <w:rPr>
                <w:sz w:val="18"/>
                <w:lang w:val="en-US"/>
              </w:rPr>
            </w:pPr>
          </w:p>
          <w:p w:rsidR="009C13A9" w:rsidRPr="00C903F8" w:rsidRDefault="009C13A9" w:rsidP="001C4EBD">
            <w:pPr>
              <w:ind w:left="57" w:right="57" w:firstLine="0"/>
              <w:rPr>
                <w:rFonts w:cs="Arial"/>
                <w:sz w:val="18"/>
                <w:szCs w:val="18"/>
                <w:lang w:val="en-US"/>
              </w:rPr>
            </w:pPr>
            <w:r w:rsidRPr="00C903F8">
              <w:rPr>
                <w:sz w:val="18"/>
                <w:lang w:val="en-US"/>
              </w:rPr>
              <w:t>[The vessel is accepted for operating mode A1</w:t>
            </w:r>
            <w:r w:rsidRPr="00C903F8">
              <w:rPr>
                <w:sz w:val="16"/>
                <w:vertAlign w:val="superscript"/>
                <w:lang w:val="en-US"/>
              </w:rPr>
              <w:t>*)</w:t>
            </w:r>
            <w:r w:rsidRPr="00C903F8">
              <w:rPr>
                <w:sz w:val="18"/>
                <w:lang w:val="en-US"/>
              </w:rPr>
              <w:t>, A2</w:t>
            </w:r>
            <w:r w:rsidRPr="00C903F8">
              <w:rPr>
                <w:sz w:val="16"/>
                <w:vertAlign w:val="superscript"/>
                <w:lang w:val="en-US"/>
              </w:rPr>
              <w:t>*)</w:t>
            </w:r>
            <w:r w:rsidRPr="00C903F8">
              <w:rPr>
                <w:sz w:val="18"/>
                <w:lang w:val="en-US"/>
              </w:rPr>
              <w:t>, B</w:t>
            </w:r>
            <w:r w:rsidRPr="00C903F8">
              <w:rPr>
                <w:sz w:val="16"/>
                <w:vertAlign w:val="superscript"/>
                <w:lang w:val="en-US"/>
              </w:rPr>
              <w:t>*)</w:t>
            </w:r>
            <w:r w:rsidRPr="00C903F8">
              <w:rPr>
                <w:sz w:val="18"/>
                <w:lang w:val="en-US"/>
              </w:rPr>
              <w:t xml:space="preserve"> / Heading referring to the operating modes in accordance with national and international requirements.]</w:t>
            </w:r>
          </w:p>
        </w:tc>
      </w:tr>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6.2</w:t>
            </w:r>
          </w:p>
        </w:tc>
        <w:tc>
          <w:tcPr>
            <w:tcW w:w="8904" w:type="dxa"/>
            <w:gridSpan w:val="7"/>
            <w:tcBorders>
              <w:top w:val="single" w:sz="6" w:space="0" w:color="auto"/>
              <w:bottom w:val="single" w:sz="6" w:space="0" w:color="auto"/>
              <w:right w:val="single" w:sz="6" w:space="0" w:color="auto"/>
            </w:tcBorders>
          </w:tcPr>
          <w:p w:rsidR="009C13A9" w:rsidRPr="00C903F8" w:rsidRDefault="009C13A9" w:rsidP="001C4EBD">
            <w:pPr>
              <w:ind w:left="57" w:right="57" w:firstLine="0"/>
              <w:rPr>
                <w:rFonts w:cs="Arial"/>
                <w:sz w:val="18"/>
                <w:szCs w:val="18"/>
                <w:lang w:val="en-US"/>
              </w:rPr>
            </w:pPr>
            <w:r w:rsidRPr="00C903F8">
              <w:rPr>
                <w:noProof/>
                <w:sz w:val="18"/>
                <w:szCs w:val="20"/>
                <w:lang w:val="en-US" w:eastAsia="fr-BE"/>
              </w:rPr>
              <w:t xml:space="preserve">Vessel equipment in accordance with Article </w:t>
            </w:r>
            <w:r w:rsidRPr="00C903F8">
              <w:rPr>
                <w:rFonts w:cs="Arial"/>
                <w:sz w:val="18"/>
                <w:szCs w:val="18"/>
                <w:lang w:val="en-US"/>
              </w:rPr>
              <w:t>31.01.</w:t>
            </w:r>
            <w:r w:rsidRPr="00C903F8">
              <w:rPr>
                <w:rFonts w:cs="Arial"/>
                <w:sz w:val="18"/>
                <w:szCs w:val="18"/>
                <w:lang w:val="en-US"/>
              </w:rPr>
              <w:br/>
              <w:t>The vessel complies</w:t>
            </w:r>
            <w:r w:rsidRPr="00C903F8">
              <w:rPr>
                <w:rFonts w:cs="Arial"/>
                <w:position w:val="6"/>
                <w:sz w:val="16"/>
                <w:szCs w:val="16"/>
                <w:lang w:val="en-US"/>
              </w:rPr>
              <w:t xml:space="preserve"> *)</w:t>
            </w:r>
            <w:r w:rsidRPr="00C903F8">
              <w:rPr>
                <w:rFonts w:cs="Arial"/>
                <w:sz w:val="18"/>
                <w:szCs w:val="18"/>
                <w:lang w:val="en-US"/>
              </w:rPr>
              <w:t xml:space="preserve"> / does not comply </w:t>
            </w:r>
            <w:r w:rsidRPr="00C903F8">
              <w:rPr>
                <w:rFonts w:cs="Arial"/>
                <w:position w:val="6"/>
                <w:sz w:val="16"/>
                <w:szCs w:val="16"/>
                <w:lang w:val="en-US"/>
              </w:rPr>
              <w:t>*)</w:t>
            </w:r>
            <w:r w:rsidRPr="00C903F8">
              <w:rPr>
                <w:rFonts w:cs="Arial"/>
                <w:sz w:val="18"/>
                <w:szCs w:val="18"/>
                <w:lang w:val="en-US"/>
              </w:rPr>
              <w:t xml:space="preserve"> with Article 31.02 (Standard S1)</w:t>
            </w:r>
            <w:r w:rsidRPr="00C903F8">
              <w:rPr>
                <w:rFonts w:cs="Arial"/>
                <w:position w:val="6"/>
                <w:sz w:val="16"/>
                <w:szCs w:val="16"/>
                <w:lang w:val="en-US"/>
              </w:rPr>
              <w:t>*)</w:t>
            </w:r>
            <w:r w:rsidRPr="00C903F8">
              <w:rPr>
                <w:rFonts w:cs="Arial"/>
                <w:sz w:val="18"/>
                <w:szCs w:val="18"/>
                <w:lang w:val="en-US"/>
              </w:rPr>
              <w:t xml:space="preserve"> / Article 31.03 (Standard S2)</w:t>
            </w:r>
            <w:r w:rsidRPr="00C903F8">
              <w:rPr>
                <w:rFonts w:cs="Arial"/>
                <w:position w:val="6"/>
                <w:sz w:val="16"/>
                <w:szCs w:val="16"/>
                <w:lang w:val="en-US"/>
              </w:rPr>
              <w:t>*)</w:t>
            </w:r>
            <w:r w:rsidRPr="00C903F8">
              <w:rPr>
                <w:rFonts w:cs="Arial"/>
                <w:sz w:val="18"/>
                <w:szCs w:val="18"/>
                <w:lang w:val="en-US"/>
              </w:rPr>
              <w:t>.</w:t>
            </w:r>
            <w:r w:rsidRPr="00C903F8">
              <w:rPr>
                <w:rFonts w:cs="Arial"/>
                <w:sz w:val="18"/>
                <w:szCs w:val="18"/>
                <w:lang w:val="en-US"/>
              </w:rPr>
              <w:br/>
              <w:t>[</w:t>
            </w:r>
            <w:r w:rsidRPr="00C903F8">
              <w:rPr>
                <w:sz w:val="18"/>
                <w:lang w:val="en-US"/>
              </w:rPr>
              <w:t>In accordance with article 3.18 of the Regulations for Rhine navigation personnel / In accordance with national or international requirements], the minimum crew needs to be increased as follows</w:t>
            </w:r>
            <w:r w:rsidRPr="00C903F8">
              <w:rPr>
                <w:position w:val="6"/>
                <w:sz w:val="16"/>
                <w:lang w:val="en-US"/>
              </w:rPr>
              <w:t>*)</w:t>
            </w:r>
            <w:r w:rsidRPr="00C903F8">
              <w:rPr>
                <w:sz w:val="18"/>
                <w:lang w:val="en-US"/>
              </w:rPr>
              <w:t xml:space="preserve"> / does not need to be increased</w:t>
            </w:r>
            <w:r w:rsidRPr="00C903F8">
              <w:rPr>
                <w:rFonts w:cs="Arial"/>
                <w:position w:val="6"/>
                <w:sz w:val="16"/>
                <w:szCs w:val="16"/>
                <w:lang w:val="en-US"/>
              </w:rPr>
              <w:t>*)</w:t>
            </w:r>
            <w:r w:rsidRPr="00C903F8">
              <w:rPr>
                <w:rFonts w:cs="Arial"/>
                <w:sz w:val="18"/>
                <w:szCs w:val="18"/>
                <w:lang w:val="en-US"/>
              </w:rPr>
              <w:t>:</w:t>
            </w:r>
            <w:r w:rsidRPr="00C903F8">
              <w:rPr>
                <w:rFonts w:cs="Arial"/>
                <w:sz w:val="18"/>
                <w:szCs w:val="18"/>
                <w:vertAlign w:val="superscript"/>
              </w:rPr>
              <w:footnoteReference w:id="51"/>
            </w:r>
          </w:p>
        </w:tc>
      </w:tr>
      <w:tr w:rsidR="009C13A9" w:rsidRPr="0029685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lang w:val="en-US"/>
              </w:rPr>
            </w:pPr>
          </w:p>
        </w:tc>
        <w:tc>
          <w:tcPr>
            <w:tcW w:w="4253" w:type="dxa"/>
            <w:gridSpan w:val="2"/>
            <w:tcBorders>
              <w:top w:val="single" w:sz="6" w:space="0" w:color="auto"/>
              <w:bottom w:val="single" w:sz="4" w:space="0" w:color="auto"/>
            </w:tcBorders>
          </w:tcPr>
          <w:p w:rsidR="009C13A9" w:rsidRPr="00C903F8" w:rsidRDefault="009C13A9" w:rsidP="009C13A9">
            <w:pPr>
              <w:tabs>
                <w:tab w:val="left" w:pos="57"/>
                <w:tab w:val="left" w:leader="dot" w:pos="8505"/>
              </w:tabs>
              <w:overflowPunct w:val="0"/>
              <w:adjustRightInd w:val="0"/>
              <w:spacing w:before="120"/>
              <w:ind w:left="57" w:hanging="57"/>
              <w:jc w:val="left"/>
              <w:textAlignment w:val="baseline"/>
              <w:rPr>
                <w:rFonts w:cs="Arial"/>
                <w:sz w:val="18"/>
                <w:szCs w:val="20"/>
                <w:lang w:val="en-US"/>
              </w:rPr>
            </w:pPr>
          </w:p>
        </w:tc>
        <w:tc>
          <w:tcPr>
            <w:tcW w:w="4254" w:type="dxa"/>
            <w:gridSpan w:val="4"/>
            <w:tcBorders>
              <w:top w:val="single" w:sz="6" w:space="0" w:color="auto"/>
              <w:bottom w:val="single" w:sz="4" w:space="0" w:color="auto"/>
            </w:tcBorders>
          </w:tcPr>
          <w:p w:rsidR="009C13A9" w:rsidRPr="00C903F8" w:rsidRDefault="009C13A9" w:rsidP="009C13A9">
            <w:pPr>
              <w:tabs>
                <w:tab w:val="left" w:pos="1134"/>
              </w:tabs>
              <w:overflowPunct w:val="0"/>
              <w:adjustRightInd w:val="0"/>
              <w:spacing w:before="120"/>
              <w:ind w:left="57" w:hanging="57"/>
              <w:jc w:val="left"/>
              <w:textAlignment w:val="baseline"/>
              <w:rPr>
                <w:rFonts w:cs="Arial"/>
                <w:sz w:val="18"/>
                <w:szCs w:val="20"/>
                <w:lang w:val="en-US"/>
              </w:rPr>
            </w:pPr>
          </w:p>
        </w:tc>
        <w:tc>
          <w:tcPr>
            <w:tcW w:w="397" w:type="dxa"/>
            <w:tcBorders>
              <w:left w:val="nil"/>
              <w:right w:val="single" w:sz="6" w:space="0" w:color="auto"/>
            </w:tcBorders>
          </w:tcPr>
          <w:p w:rsidR="009C13A9" w:rsidRPr="00C903F8" w:rsidRDefault="009C13A9" w:rsidP="009C13A9">
            <w:pPr>
              <w:tabs>
                <w:tab w:val="left" w:pos="57"/>
                <w:tab w:val="left" w:pos="5103"/>
              </w:tabs>
              <w:overflowPunct w:val="0"/>
              <w:adjustRightInd w:val="0"/>
              <w:ind w:left="0" w:firstLine="0"/>
              <w:jc w:val="left"/>
              <w:textAlignment w:val="baseline"/>
              <w:rPr>
                <w:rFonts w:cs="Arial"/>
                <w:sz w:val="18"/>
                <w:szCs w:val="20"/>
                <w:lang w:val="en-US"/>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lang w:val="en-US"/>
              </w:rPr>
            </w:pPr>
          </w:p>
        </w:tc>
        <w:tc>
          <w:tcPr>
            <w:tcW w:w="4253" w:type="dxa"/>
            <w:gridSpan w:val="2"/>
            <w:tcBorders>
              <w:top w:val="single" w:sz="4" w:space="0" w:color="auto"/>
              <w:left w:val="single" w:sz="6" w:space="0" w:color="auto"/>
              <w:right w:val="single" w:sz="6" w:space="0" w:color="auto"/>
            </w:tcBorders>
          </w:tcPr>
          <w:p w:rsidR="009C13A9" w:rsidRPr="00C903F8" w:rsidRDefault="009C13A9" w:rsidP="009C13A9">
            <w:pPr>
              <w:tabs>
                <w:tab w:val="left" w:pos="57"/>
                <w:tab w:val="left" w:leader="dot" w:pos="8505"/>
              </w:tabs>
              <w:overflowPunct w:val="0"/>
              <w:adjustRightInd w:val="0"/>
              <w:spacing w:before="120"/>
              <w:ind w:left="57" w:hanging="57"/>
              <w:jc w:val="left"/>
              <w:textAlignment w:val="baseline"/>
              <w:rPr>
                <w:rFonts w:cs="Arial"/>
                <w:sz w:val="18"/>
                <w:szCs w:val="20"/>
                <w:lang w:val="en-US"/>
              </w:rPr>
            </w:pPr>
          </w:p>
        </w:tc>
        <w:tc>
          <w:tcPr>
            <w:tcW w:w="4254" w:type="dxa"/>
            <w:gridSpan w:val="4"/>
            <w:tcBorders>
              <w:top w:val="single" w:sz="4" w:space="0" w:color="auto"/>
              <w:left w:val="single" w:sz="6" w:space="0" w:color="auto"/>
              <w:right w:val="single" w:sz="6" w:space="0" w:color="auto"/>
            </w:tcBorders>
          </w:tcPr>
          <w:p w:rsidR="009C13A9" w:rsidRPr="00C903F8" w:rsidRDefault="009C13A9" w:rsidP="009C13A9">
            <w:pPr>
              <w:tabs>
                <w:tab w:val="left" w:pos="1134"/>
              </w:tabs>
              <w:overflowPunct w:val="0"/>
              <w:adjustRightInd w:val="0"/>
              <w:spacing w:before="120"/>
              <w:ind w:left="57" w:hanging="57"/>
              <w:jc w:val="left"/>
              <w:textAlignment w:val="baseline"/>
              <w:rPr>
                <w:rFonts w:cs="Arial"/>
                <w:sz w:val="18"/>
                <w:szCs w:val="20"/>
              </w:rPr>
            </w:pPr>
            <w:r w:rsidRPr="00C903F8">
              <w:rPr>
                <w:rFonts w:cs="Arial"/>
                <w:sz w:val="18"/>
                <w:szCs w:val="20"/>
                <w:lang w:val="en-US"/>
              </w:rPr>
              <w:tab/>
            </w:r>
            <w:r w:rsidRPr="00C903F8">
              <w:rPr>
                <w:rFonts w:cs="Arial"/>
                <w:sz w:val="18"/>
                <w:szCs w:val="20"/>
                <w:lang w:val="en-US"/>
              </w:rPr>
              <w:tab/>
            </w:r>
            <w:r w:rsidRPr="00C903F8">
              <w:rPr>
                <w:rFonts w:cs="Arial"/>
                <w:sz w:val="18"/>
                <w:szCs w:val="20"/>
              </w:rPr>
              <w:t>Operating modes</w:t>
            </w: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ind w:left="0" w:firstLine="0"/>
              <w:jc w:val="left"/>
              <w:textAlignment w:val="baseline"/>
              <w:rPr>
                <w:rFonts w:cs="Arial"/>
                <w:sz w:val="18"/>
                <w:szCs w:val="20"/>
              </w:rPr>
            </w:pP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40" w:after="40"/>
              <w:ind w:left="0" w:firstLine="0"/>
              <w:jc w:val="left"/>
              <w:textAlignment w:val="baseline"/>
              <w:rPr>
                <w:rFonts w:cs="Arial"/>
                <w:sz w:val="18"/>
                <w:szCs w:val="20"/>
              </w:rPr>
            </w:pPr>
          </w:p>
        </w:tc>
        <w:tc>
          <w:tcPr>
            <w:tcW w:w="4253" w:type="dxa"/>
            <w:gridSpan w:val="2"/>
            <w:tcBorders>
              <w:top w:val="single" w:sz="6" w:space="0" w:color="auto"/>
              <w:left w:val="single" w:sz="6" w:space="0" w:color="auto"/>
              <w:right w:val="single" w:sz="6" w:space="0" w:color="auto"/>
            </w:tcBorders>
          </w:tcPr>
          <w:p w:rsidR="009C13A9" w:rsidRPr="00C903F8" w:rsidRDefault="009C13A9" w:rsidP="009C13A9">
            <w:pPr>
              <w:tabs>
                <w:tab w:val="left" w:pos="57"/>
                <w:tab w:val="left" w:leader="dot" w:pos="3969"/>
                <w:tab w:val="left" w:leader="dot" w:pos="8505"/>
              </w:tabs>
              <w:overflowPunct w:val="0"/>
              <w:adjustRightInd w:val="0"/>
              <w:spacing w:before="40" w:after="40"/>
              <w:ind w:left="57" w:hanging="57"/>
              <w:jc w:val="left"/>
              <w:textAlignment w:val="baseline"/>
              <w:rPr>
                <w:rFonts w:cs="Arial"/>
                <w:sz w:val="18"/>
                <w:szCs w:val="20"/>
              </w:rPr>
            </w:pPr>
          </w:p>
        </w:tc>
        <w:tc>
          <w:tcPr>
            <w:tcW w:w="1418" w:type="dxa"/>
            <w:tcBorders>
              <w:top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spacing w:before="40" w:after="40"/>
              <w:ind w:left="57" w:hanging="57"/>
              <w:jc w:val="left"/>
              <w:textAlignment w:val="baseline"/>
              <w:rPr>
                <w:rFonts w:cs="Arial"/>
                <w:sz w:val="18"/>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spacing w:before="40" w:after="40"/>
              <w:ind w:left="57" w:hanging="57"/>
              <w:jc w:val="left"/>
              <w:textAlignment w:val="baseline"/>
              <w:rPr>
                <w:rFonts w:cs="Arial"/>
                <w:sz w:val="18"/>
                <w:szCs w:val="20"/>
                <w:lang w:val="en-GB"/>
              </w:rPr>
            </w:pPr>
          </w:p>
        </w:tc>
        <w:tc>
          <w:tcPr>
            <w:tcW w:w="1418" w:type="dxa"/>
            <w:tcBorders>
              <w:top w:val="single" w:sz="6" w:space="0" w:color="auto"/>
              <w:left w:val="single" w:sz="6" w:space="0" w:color="auto"/>
              <w:bottom w:val="single" w:sz="6" w:space="0" w:color="auto"/>
              <w:right w:val="single" w:sz="6" w:space="0" w:color="auto"/>
            </w:tcBorders>
          </w:tcPr>
          <w:p w:rsidR="009C13A9" w:rsidRPr="00C903F8" w:rsidRDefault="009C13A9" w:rsidP="009C13A9">
            <w:pPr>
              <w:tabs>
                <w:tab w:val="left" w:pos="454"/>
              </w:tabs>
              <w:overflowPunct w:val="0"/>
              <w:adjustRightInd w:val="0"/>
              <w:spacing w:before="40" w:after="40"/>
              <w:ind w:left="57" w:hanging="57"/>
              <w:jc w:val="left"/>
              <w:textAlignment w:val="baseline"/>
              <w:rPr>
                <w:rFonts w:cs="Arial"/>
                <w:sz w:val="18"/>
                <w:szCs w:val="20"/>
                <w:lang w:val="en-GB"/>
              </w:rPr>
            </w:pP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40" w:after="40"/>
              <w:ind w:left="0" w:firstLine="0"/>
              <w:jc w:val="left"/>
              <w:textAlignment w:val="baseline"/>
              <w:rPr>
                <w:rFonts w:cs="Arial"/>
                <w:sz w:val="18"/>
                <w:szCs w:val="20"/>
                <w:lang w:val="en-GB"/>
              </w:rPr>
            </w:pPr>
            <w:r w:rsidRPr="00C903F8">
              <w:rPr>
                <w:rFonts w:cs="Arial"/>
                <w:sz w:val="18"/>
                <w:szCs w:val="20"/>
                <w:lang w:val="en-GB"/>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lang w:val="en-GB"/>
              </w:rPr>
            </w:pPr>
          </w:p>
        </w:tc>
        <w:tc>
          <w:tcPr>
            <w:tcW w:w="4253" w:type="dxa"/>
            <w:gridSpan w:val="2"/>
            <w:tcBorders>
              <w:left w:val="single" w:sz="6" w:space="0" w:color="auto"/>
              <w:right w:val="single" w:sz="6" w:space="0" w:color="auto"/>
            </w:tcBorders>
          </w:tcPr>
          <w:p w:rsidR="009C13A9" w:rsidRPr="00C903F8" w:rsidRDefault="009C13A9" w:rsidP="009C13A9">
            <w:pPr>
              <w:tabs>
                <w:tab w:val="left" w:pos="57"/>
                <w:tab w:val="left" w:leader="dot" w:pos="3969"/>
                <w:tab w:val="left" w:leader="dot" w:pos="8505"/>
              </w:tabs>
              <w:overflowPunct w:val="0"/>
              <w:adjustRightInd w:val="0"/>
              <w:spacing w:before="120"/>
              <w:ind w:left="114" w:hanging="57"/>
              <w:jc w:val="left"/>
              <w:textAlignment w:val="baseline"/>
              <w:rPr>
                <w:rFonts w:cs="Arial"/>
                <w:sz w:val="18"/>
                <w:szCs w:val="20"/>
              </w:rPr>
            </w:pPr>
          </w:p>
        </w:tc>
        <w:tc>
          <w:tcPr>
            <w:tcW w:w="1418" w:type="dxa"/>
            <w:tcBorders>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lang w:val="en-GB"/>
              </w:rPr>
            </w:pPr>
            <w:r w:rsidRPr="00C903F8">
              <w:rPr>
                <w:rFonts w:cs="Arial"/>
                <w:sz w:val="18"/>
                <w:szCs w:val="20"/>
                <w:lang w:val="en-GB"/>
              </w:rPr>
              <w:tab/>
            </w:r>
            <w:r w:rsidRPr="00C903F8">
              <w:rPr>
                <w:rFonts w:cs="Arial"/>
                <w:sz w:val="18"/>
                <w:szCs w:val="20"/>
                <w:lang w:val="en-GB"/>
              </w:rPr>
              <w:tab/>
            </w:r>
          </w:p>
        </w:tc>
        <w:tc>
          <w:tcPr>
            <w:tcW w:w="1418" w:type="dxa"/>
            <w:gridSpan w:val="2"/>
            <w:tcBorders>
              <w:left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lang w:val="en-GB"/>
              </w:rPr>
            </w:pPr>
            <w:r w:rsidRPr="00C903F8">
              <w:rPr>
                <w:rFonts w:cs="Arial"/>
                <w:sz w:val="18"/>
                <w:szCs w:val="20"/>
                <w:lang w:val="en-GB"/>
              </w:rPr>
              <w:tab/>
            </w:r>
            <w:r w:rsidRPr="00C903F8">
              <w:rPr>
                <w:rFonts w:cs="Arial"/>
                <w:sz w:val="18"/>
                <w:szCs w:val="20"/>
                <w:lang w:val="en-GB"/>
              </w:rPr>
              <w:tab/>
            </w:r>
          </w:p>
        </w:tc>
        <w:tc>
          <w:tcPr>
            <w:tcW w:w="1418" w:type="dxa"/>
            <w:tcBorders>
              <w:left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lang w:val="en-GB"/>
              </w:rPr>
            </w:pPr>
            <w:r w:rsidRPr="00C903F8">
              <w:rPr>
                <w:rFonts w:cs="Arial"/>
                <w:sz w:val="18"/>
                <w:szCs w:val="20"/>
                <w:lang w:val="en-GB"/>
              </w:rPr>
              <w:tab/>
            </w:r>
            <w:r w:rsidRPr="00C903F8">
              <w:rPr>
                <w:rFonts w:cs="Arial"/>
                <w:sz w:val="18"/>
                <w:szCs w:val="20"/>
                <w:lang w:val="en-GB"/>
              </w:rPr>
              <w:tab/>
            </w: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120"/>
              <w:ind w:left="0" w:firstLine="0"/>
              <w:jc w:val="left"/>
              <w:textAlignment w:val="baseline"/>
              <w:rPr>
                <w:rFonts w:cs="Arial"/>
                <w:sz w:val="18"/>
                <w:szCs w:val="20"/>
                <w:lang w:val="en-GB"/>
              </w:rPr>
            </w:pPr>
            <w:r w:rsidRPr="00C903F8">
              <w:rPr>
                <w:rFonts w:cs="Arial"/>
                <w:sz w:val="18"/>
                <w:szCs w:val="20"/>
                <w:lang w:val="en-GB"/>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lang w:val="en-GB"/>
              </w:rPr>
            </w:pPr>
          </w:p>
        </w:tc>
        <w:tc>
          <w:tcPr>
            <w:tcW w:w="4253" w:type="dxa"/>
            <w:gridSpan w:val="2"/>
            <w:tcBorders>
              <w:left w:val="single" w:sz="6" w:space="0" w:color="auto"/>
              <w:bottom w:val="single" w:sz="6" w:space="0" w:color="auto"/>
              <w:right w:val="single" w:sz="6" w:space="0" w:color="auto"/>
            </w:tcBorders>
          </w:tcPr>
          <w:p w:rsidR="009C13A9" w:rsidRPr="00C903F8" w:rsidRDefault="009C13A9" w:rsidP="009C13A9">
            <w:pPr>
              <w:tabs>
                <w:tab w:val="left" w:pos="57"/>
                <w:tab w:val="left" w:leader="dot" w:pos="3969"/>
                <w:tab w:val="left" w:leader="dot" w:pos="8505"/>
              </w:tabs>
              <w:overflowPunct w:val="0"/>
              <w:adjustRightInd w:val="0"/>
              <w:spacing w:before="120"/>
              <w:ind w:left="114" w:hanging="57"/>
              <w:jc w:val="left"/>
              <w:textAlignment w:val="baseline"/>
              <w:rPr>
                <w:rFonts w:cs="Arial"/>
                <w:sz w:val="18"/>
                <w:szCs w:val="20"/>
              </w:rPr>
            </w:pPr>
          </w:p>
        </w:tc>
        <w:tc>
          <w:tcPr>
            <w:tcW w:w="1418" w:type="dxa"/>
            <w:tcBorders>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r w:rsidRPr="00C903F8">
              <w:rPr>
                <w:rFonts w:cs="Arial"/>
                <w:sz w:val="18"/>
                <w:szCs w:val="20"/>
              </w:rPr>
              <w:tab/>
            </w:r>
            <w:r w:rsidRPr="00C903F8">
              <w:rPr>
                <w:rFonts w:cs="Arial"/>
                <w:sz w:val="18"/>
                <w:szCs w:val="20"/>
              </w:rPr>
              <w:tab/>
            </w:r>
          </w:p>
        </w:tc>
        <w:tc>
          <w:tcPr>
            <w:tcW w:w="1418" w:type="dxa"/>
            <w:gridSpan w:val="2"/>
            <w:tcBorders>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r w:rsidRPr="00C903F8">
              <w:rPr>
                <w:rFonts w:cs="Arial"/>
                <w:sz w:val="18"/>
                <w:szCs w:val="20"/>
              </w:rPr>
              <w:tab/>
            </w:r>
            <w:r w:rsidRPr="00C903F8">
              <w:rPr>
                <w:rFonts w:cs="Arial"/>
                <w:sz w:val="18"/>
                <w:szCs w:val="20"/>
              </w:rPr>
              <w:tab/>
            </w:r>
          </w:p>
        </w:tc>
        <w:tc>
          <w:tcPr>
            <w:tcW w:w="1418" w:type="dxa"/>
            <w:tcBorders>
              <w:left w:val="single" w:sz="6" w:space="0" w:color="auto"/>
              <w:bottom w:val="single" w:sz="6" w:space="0" w:color="auto"/>
              <w:right w:val="single" w:sz="6" w:space="0" w:color="auto"/>
            </w:tcBorders>
          </w:tcPr>
          <w:p w:rsidR="009C13A9" w:rsidRPr="00C903F8" w:rsidRDefault="009C13A9" w:rsidP="009C13A9">
            <w:pPr>
              <w:tabs>
                <w:tab w:val="left" w:pos="57"/>
                <w:tab w:val="left" w:leader="dot" w:pos="1134"/>
                <w:tab w:val="left" w:leader="dot" w:pos="8505"/>
              </w:tabs>
              <w:overflowPunct w:val="0"/>
              <w:adjustRightInd w:val="0"/>
              <w:spacing w:before="120"/>
              <w:ind w:left="57" w:hanging="57"/>
              <w:jc w:val="left"/>
              <w:textAlignment w:val="baseline"/>
              <w:rPr>
                <w:rFonts w:cs="Arial"/>
                <w:sz w:val="18"/>
                <w:szCs w:val="20"/>
              </w:rPr>
            </w:pPr>
            <w:r w:rsidRPr="00C903F8">
              <w:rPr>
                <w:rFonts w:cs="Arial"/>
                <w:sz w:val="18"/>
                <w:szCs w:val="20"/>
              </w:rPr>
              <w:tab/>
            </w:r>
            <w:r w:rsidRPr="00C903F8">
              <w:rPr>
                <w:rFonts w:cs="Arial"/>
                <w:sz w:val="18"/>
                <w:szCs w:val="20"/>
              </w:rPr>
              <w:tab/>
            </w:r>
          </w:p>
        </w:tc>
        <w:tc>
          <w:tcPr>
            <w:tcW w:w="397" w:type="dxa"/>
            <w:tcBorders>
              <w:right w:val="single" w:sz="6" w:space="0" w:color="auto"/>
            </w:tcBorders>
          </w:tcPr>
          <w:p w:rsidR="009C13A9" w:rsidRPr="00C903F8" w:rsidRDefault="009C13A9" w:rsidP="009C13A9">
            <w:pPr>
              <w:tabs>
                <w:tab w:val="left" w:pos="57"/>
                <w:tab w:val="left" w:pos="5103"/>
              </w:tabs>
              <w:overflowPunct w:val="0"/>
              <w:adjustRightInd w:val="0"/>
              <w:spacing w:before="120"/>
              <w:ind w:left="0" w:firstLine="0"/>
              <w:jc w:val="left"/>
              <w:textAlignment w:val="baseline"/>
              <w:rPr>
                <w:rFonts w:cs="Arial"/>
                <w:sz w:val="18"/>
                <w:szCs w:val="20"/>
              </w:rPr>
            </w:pPr>
            <w:r w:rsidRPr="00C903F8">
              <w:rPr>
                <w:rFonts w:cs="Arial"/>
                <w:sz w:val="18"/>
                <w:szCs w:val="20"/>
              </w:rPr>
              <w:tab/>
            </w:r>
          </w:p>
        </w:tc>
      </w:tr>
      <w:tr w:rsidR="009C13A9" w:rsidRPr="00C903F8" w:rsidTr="009C13A9">
        <w:trPr>
          <w:cantSplit/>
          <w:jc w:val="center"/>
        </w:trPr>
        <w:tc>
          <w:tcPr>
            <w:tcW w:w="284" w:type="dxa"/>
            <w:tcBorders>
              <w:left w:val="single" w:sz="6" w:space="0" w:color="auto"/>
            </w:tcBorders>
          </w:tcPr>
          <w:p w:rsidR="009C13A9" w:rsidRPr="00C903F8" w:rsidRDefault="009C13A9" w:rsidP="009C13A9">
            <w:pPr>
              <w:tabs>
                <w:tab w:val="left" w:pos="57"/>
                <w:tab w:val="left" w:pos="227"/>
              </w:tabs>
              <w:overflowPunct w:val="0"/>
              <w:adjustRightInd w:val="0"/>
              <w:spacing w:before="40"/>
              <w:ind w:left="0" w:firstLine="0"/>
              <w:jc w:val="left"/>
              <w:textAlignment w:val="baseline"/>
              <w:rPr>
                <w:rFonts w:cs="Arial"/>
                <w:sz w:val="18"/>
                <w:szCs w:val="20"/>
              </w:rPr>
            </w:pPr>
          </w:p>
        </w:tc>
        <w:tc>
          <w:tcPr>
            <w:tcW w:w="8904" w:type="dxa"/>
            <w:gridSpan w:val="7"/>
            <w:tcBorders>
              <w:right w:val="single" w:sz="6" w:space="0" w:color="auto"/>
            </w:tcBorders>
          </w:tcPr>
          <w:p w:rsidR="009C13A9" w:rsidRPr="00C903F8" w:rsidRDefault="009C13A9" w:rsidP="009C13A9">
            <w:pPr>
              <w:tabs>
                <w:tab w:val="left" w:leader="dot" w:pos="8505"/>
              </w:tabs>
              <w:overflowPunct w:val="0"/>
              <w:adjustRightInd w:val="0"/>
              <w:spacing w:before="80"/>
              <w:ind w:left="57" w:firstLine="0"/>
              <w:jc w:val="left"/>
              <w:textAlignment w:val="baseline"/>
              <w:rPr>
                <w:rFonts w:cs="Arial"/>
                <w:sz w:val="18"/>
                <w:szCs w:val="20"/>
              </w:rPr>
            </w:pPr>
            <w:r w:rsidRPr="00C903F8">
              <w:rPr>
                <w:noProof/>
                <w:sz w:val="18"/>
                <w:szCs w:val="20"/>
                <w:lang w:eastAsia="fr-BE"/>
              </w:rPr>
              <w:t>Observations and special conditions:</w:t>
            </w:r>
            <w:r w:rsidRPr="00C903F8">
              <w:rPr>
                <w:rFonts w:cs="Arial"/>
                <w:sz w:val="18"/>
                <w:szCs w:val="20"/>
              </w:rPr>
              <w:br/>
            </w:r>
            <w:r w:rsidRPr="00C903F8">
              <w:rPr>
                <w:rFonts w:cs="Arial"/>
                <w:sz w:val="18"/>
                <w:szCs w:val="20"/>
              </w:rPr>
              <w:tab/>
            </w:r>
            <w:r w:rsidRPr="00C903F8">
              <w:rPr>
                <w:rFonts w:cs="Arial"/>
                <w:sz w:val="18"/>
                <w:szCs w:val="20"/>
              </w:rPr>
              <w:br/>
            </w:r>
            <w:r w:rsidRPr="00C903F8">
              <w:rPr>
                <w:rFonts w:cs="Arial"/>
                <w:sz w:val="18"/>
                <w:szCs w:val="20"/>
              </w:rPr>
              <w:tab/>
            </w:r>
          </w:p>
        </w:tc>
      </w:tr>
      <w:tr w:rsidR="009C13A9" w:rsidRPr="00296858" w:rsidTr="009C13A9">
        <w:trPr>
          <w:cantSplit/>
          <w:jc w:val="center"/>
        </w:trPr>
        <w:tc>
          <w:tcPr>
            <w:tcW w:w="284" w:type="dxa"/>
            <w:tcBorders>
              <w:top w:val="single" w:sz="6" w:space="0" w:color="auto"/>
              <w:left w:val="single" w:sz="6" w:space="0" w:color="auto"/>
            </w:tcBorders>
          </w:tcPr>
          <w:p w:rsidR="009C13A9" w:rsidRPr="00C903F8" w:rsidRDefault="009C13A9" w:rsidP="009C13A9">
            <w:pPr>
              <w:tabs>
                <w:tab w:val="left" w:pos="57"/>
                <w:tab w:val="left" w:pos="227"/>
              </w:tabs>
              <w:overflowPunct w:val="0"/>
              <w:adjustRightInd w:val="0"/>
              <w:spacing w:before="120"/>
              <w:ind w:left="0" w:firstLine="0"/>
              <w:jc w:val="left"/>
              <w:textAlignment w:val="baseline"/>
              <w:rPr>
                <w:rFonts w:cs="Arial"/>
                <w:sz w:val="18"/>
                <w:szCs w:val="20"/>
              </w:rPr>
            </w:pPr>
            <w:r w:rsidRPr="00C903F8">
              <w:rPr>
                <w:rFonts w:cs="Arial"/>
                <w:sz w:val="18"/>
                <w:szCs w:val="20"/>
              </w:rPr>
              <w:t>6.3</w:t>
            </w:r>
          </w:p>
        </w:tc>
        <w:tc>
          <w:tcPr>
            <w:tcW w:w="8904" w:type="dxa"/>
            <w:gridSpan w:val="7"/>
            <w:tcBorders>
              <w:top w:val="single" w:sz="6" w:space="0" w:color="auto"/>
              <w:right w:val="single" w:sz="6" w:space="0" w:color="auto"/>
            </w:tcBorders>
          </w:tcPr>
          <w:p w:rsidR="009C13A9" w:rsidRPr="00C903F8" w:rsidRDefault="009C13A9" w:rsidP="00166C9D">
            <w:pPr>
              <w:tabs>
                <w:tab w:val="left" w:pos="57"/>
                <w:tab w:val="left" w:leader="dot" w:pos="8505"/>
              </w:tabs>
              <w:overflowPunct w:val="0"/>
              <w:adjustRightInd w:val="0"/>
              <w:spacing w:before="120" w:after="120"/>
              <w:ind w:left="57" w:firstLine="0"/>
              <w:jc w:val="left"/>
              <w:textAlignment w:val="baseline"/>
              <w:rPr>
                <w:rFonts w:cs="Arial"/>
                <w:sz w:val="18"/>
                <w:szCs w:val="20"/>
                <w:lang w:val="en-US"/>
              </w:rPr>
            </w:pPr>
            <w:r w:rsidRPr="00C903F8">
              <w:rPr>
                <w:sz w:val="18"/>
                <w:lang w:val="en-US"/>
              </w:rPr>
              <w:t>Minimum crew [according to article 3.19 of the Regulations for Rhine navigation personnel / in accordance with national or international requirements</w:t>
            </w:r>
            <w:r w:rsidRPr="00C903F8">
              <w:rPr>
                <w:rFonts w:cs="Arial"/>
                <w:sz w:val="18"/>
                <w:szCs w:val="18"/>
                <w:lang w:val="en-US"/>
              </w:rPr>
              <w:t>]</w:t>
            </w:r>
            <w:r w:rsidRPr="00C903F8">
              <w:rPr>
                <w:rFonts w:cs="Arial"/>
                <w:sz w:val="18"/>
                <w:szCs w:val="20"/>
                <w:lang w:val="en-US"/>
              </w:rPr>
              <w:t xml:space="preserve">: </w:t>
            </w:r>
            <w:r w:rsidRPr="00C903F8">
              <w:rPr>
                <w:rFonts w:cs="Arial"/>
                <w:sz w:val="18"/>
                <w:szCs w:val="20"/>
                <w:lang w:val="en-US"/>
              </w:rPr>
              <w:tab/>
            </w:r>
            <w:r w:rsidRPr="00C903F8">
              <w:rPr>
                <w:rFonts w:cs="Arial"/>
                <w:sz w:val="18"/>
                <w:szCs w:val="20"/>
                <w:lang w:val="en-US"/>
              </w:rPr>
              <w:br/>
            </w:r>
            <w:r w:rsidRPr="00C903F8">
              <w:rPr>
                <w:rFonts w:cs="Arial"/>
                <w:sz w:val="18"/>
                <w:szCs w:val="20"/>
                <w:lang w:val="en-US"/>
              </w:rPr>
              <w:tab/>
            </w:r>
          </w:p>
        </w:tc>
      </w:tr>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80"/>
              <w:ind w:left="0" w:firstLine="0"/>
              <w:jc w:val="left"/>
              <w:textAlignment w:val="baseline"/>
              <w:rPr>
                <w:rFonts w:cs="Arial"/>
                <w:sz w:val="18"/>
                <w:szCs w:val="20"/>
              </w:rPr>
            </w:pPr>
            <w:r w:rsidRPr="00C903F8">
              <w:rPr>
                <w:rFonts w:cs="Arial"/>
                <w:sz w:val="18"/>
                <w:szCs w:val="20"/>
                <w:lang w:val="en-US"/>
              </w:rPr>
              <w:t xml:space="preserve"> </w:t>
            </w:r>
            <w:r w:rsidRPr="00C903F8">
              <w:rPr>
                <w:rFonts w:cs="Arial"/>
                <w:sz w:val="18"/>
                <w:szCs w:val="20"/>
              </w:rPr>
              <w:t>7.</w:t>
            </w:r>
          </w:p>
        </w:tc>
        <w:tc>
          <w:tcPr>
            <w:tcW w:w="8904" w:type="dxa"/>
            <w:gridSpan w:val="7"/>
            <w:tcBorders>
              <w:top w:val="single" w:sz="6" w:space="0" w:color="auto"/>
              <w:bottom w:val="single" w:sz="6" w:space="0" w:color="auto"/>
              <w:right w:val="single" w:sz="6" w:space="0" w:color="auto"/>
            </w:tcBorders>
          </w:tcPr>
          <w:p w:rsidR="009C13A9" w:rsidRPr="00C903F8" w:rsidRDefault="009C13A9" w:rsidP="009C13A9">
            <w:pPr>
              <w:tabs>
                <w:tab w:val="left" w:pos="57"/>
                <w:tab w:val="left" w:leader="dot" w:pos="4536"/>
                <w:tab w:val="left" w:pos="5103"/>
              </w:tabs>
              <w:overflowPunct w:val="0"/>
              <w:adjustRightInd w:val="0"/>
              <w:spacing w:before="80" w:after="120"/>
              <w:ind w:left="57" w:firstLine="0"/>
              <w:jc w:val="left"/>
              <w:textAlignment w:val="baseline"/>
              <w:rPr>
                <w:rFonts w:cs="Arial"/>
                <w:sz w:val="18"/>
                <w:szCs w:val="20"/>
                <w:lang w:val="en-US"/>
              </w:rPr>
            </w:pPr>
            <w:r w:rsidRPr="00C903F8">
              <w:rPr>
                <w:noProof/>
                <w:sz w:val="18"/>
                <w:szCs w:val="20"/>
                <w:lang w:val="en-US" w:eastAsia="fr-BE"/>
              </w:rPr>
              <w:t>Liquefied gas installation(s)</w:t>
            </w:r>
            <w:r w:rsidRPr="00C903F8">
              <w:rPr>
                <w:rFonts w:cs="Arial"/>
                <w:sz w:val="18"/>
                <w:szCs w:val="20"/>
                <w:lang w:val="en-US"/>
              </w:rPr>
              <w:br/>
              <w:t>Attestation valid until</w:t>
            </w:r>
            <w:r w:rsidRPr="00C903F8">
              <w:rPr>
                <w:rFonts w:cs="Arial"/>
                <w:sz w:val="18"/>
                <w:szCs w:val="20"/>
                <w:lang w:val="en-US"/>
              </w:rPr>
              <w:tab/>
            </w:r>
          </w:p>
        </w:tc>
      </w:tr>
      <w:tr w:rsidR="009C13A9" w:rsidRPr="00C903F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40"/>
              <w:ind w:left="0" w:firstLine="0"/>
              <w:jc w:val="left"/>
              <w:textAlignment w:val="baseline"/>
              <w:rPr>
                <w:rFonts w:cs="Arial"/>
                <w:sz w:val="18"/>
                <w:szCs w:val="20"/>
              </w:rPr>
            </w:pPr>
            <w:r w:rsidRPr="00C903F8">
              <w:rPr>
                <w:rFonts w:cs="Arial"/>
                <w:sz w:val="18"/>
                <w:szCs w:val="20"/>
                <w:lang w:val="en-US"/>
              </w:rPr>
              <w:t xml:space="preserve"> </w:t>
            </w:r>
            <w:r w:rsidRPr="00C903F8">
              <w:rPr>
                <w:rFonts w:cs="Arial"/>
                <w:sz w:val="18"/>
                <w:szCs w:val="20"/>
              </w:rPr>
              <w:t>8.</w:t>
            </w:r>
          </w:p>
        </w:tc>
        <w:tc>
          <w:tcPr>
            <w:tcW w:w="8904" w:type="dxa"/>
            <w:gridSpan w:val="7"/>
            <w:tcBorders>
              <w:top w:val="single" w:sz="6" w:space="0" w:color="auto"/>
              <w:bottom w:val="single" w:sz="6" w:space="0" w:color="auto"/>
              <w:right w:val="single" w:sz="6" w:space="0" w:color="auto"/>
            </w:tcBorders>
          </w:tcPr>
          <w:p w:rsidR="009C13A9" w:rsidRPr="00C903F8" w:rsidRDefault="009C13A9" w:rsidP="009C13A9">
            <w:pPr>
              <w:tabs>
                <w:tab w:val="left" w:pos="57"/>
                <w:tab w:val="left" w:pos="5103"/>
              </w:tabs>
              <w:overflowPunct w:val="0"/>
              <w:adjustRightInd w:val="0"/>
              <w:spacing w:before="40" w:after="120"/>
              <w:ind w:left="57" w:firstLine="0"/>
              <w:jc w:val="left"/>
              <w:textAlignment w:val="baseline"/>
              <w:rPr>
                <w:rFonts w:cs="Arial"/>
                <w:sz w:val="18"/>
                <w:szCs w:val="20"/>
              </w:rPr>
            </w:pPr>
            <w:r w:rsidRPr="00C903F8">
              <w:rPr>
                <w:rFonts w:cs="Arial"/>
                <w:sz w:val="18"/>
                <w:szCs w:val="20"/>
              </w:rPr>
              <w:t>Special conditions</w:t>
            </w:r>
            <w:r w:rsidRPr="00C903F8">
              <w:rPr>
                <w:rFonts w:cs="Arial"/>
                <w:sz w:val="18"/>
                <w:szCs w:val="20"/>
              </w:rPr>
              <w:br/>
            </w:r>
          </w:p>
        </w:tc>
      </w:tr>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80"/>
              <w:ind w:left="0" w:firstLine="0"/>
              <w:jc w:val="left"/>
              <w:textAlignment w:val="baseline"/>
              <w:rPr>
                <w:rFonts w:cs="Arial"/>
                <w:sz w:val="18"/>
                <w:szCs w:val="20"/>
              </w:rPr>
            </w:pPr>
            <w:r w:rsidRPr="00C903F8">
              <w:rPr>
                <w:rFonts w:cs="Arial"/>
                <w:sz w:val="18"/>
                <w:szCs w:val="20"/>
              </w:rPr>
              <w:t xml:space="preserve"> </w:t>
            </w:r>
            <w:r w:rsidR="00312D29" w:rsidRPr="00C903F8">
              <w:rPr>
                <w:rFonts w:cs="Arial"/>
                <w:sz w:val="18"/>
                <w:szCs w:val="20"/>
              </w:rPr>
              <w:t>[</w:t>
            </w:r>
            <w:r w:rsidRPr="00C903F8">
              <w:rPr>
                <w:rFonts w:cs="Arial"/>
                <w:sz w:val="18"/>
                <w:szCs w:val="20"/>
              </w:rPr>
              <w:t>9.</w:t>
            </w:r>
          </w:p>
        </w:tc>
        <w:tc>
          <w:tcPr>
            <w:tcW w:w="8904" w:type="dxa"/>
            <w:gridSpan w:val="7"/>
            <w:tcBorders>
              <w:top w:val="single" w:sz="6" w:space="0" w:color="auto"/>
              <w:bottom w:val="single" w:sz="6" w:space="0" w:color="auto"/>
              <w:right w:val="single" w:sz="6" w:space="0" w:color="auto"/>
            </w:tcBorders>
          </w:tcPr>
          <w:p w:rsidR="009C13A9" w:rsidRPr="00C903F8" w:rsidRDefault="009C13A9" w:rsidP="009C13A9">
            <w:pPr>
              <w:tabs>
                <w:tab w:val="left" w:pos="57"/>
                <w:tab w:val="left" w:pos="5103"/>
              </w:tabs>
              <w:overflowPunct w:val="0"/>
              <w:adjustRightInd w:val="0"/>
              <w:spacing w:before="80" w:after="120"/>
              <w:ind w:left="57" w:firstLine="0"/>
              <w:jc w:val="left"/>
              <w:textAlignment w:val="baseline"/>
              <w:rPr>
                <w:rFonts w:cs="Arial"/>
                <w:sz w:val="18"/>
                <w:szCs w:val="20"/>
                <w:lang w:val="en-US"/>
              </w:rPr>
            </w:pPr>
            <w:r w:rsidRPr="00C903F8">
              <w:rPr>
                <w:rFonts w:cs="Arial"/>
                <w:sz w:val="18"/>
                <w:szCs w:val="20"/>
                <w:lang w:val="en-US"/>
              </w:rPr>
              <w:t>Carriage of dangerous goods, see Provisional certificate of approval</w:t>
            </w:r>
            <w:r w:rsidR="00374BB2" w:rsidRPr="00C903F8">
              <w:rPr>
                <w:rFonts w:cs="Arial"/>
                <w:sz w:val="16"/>
                <w:szCs w:val="20"/>
                <w:vertAlign w:val="superscript"/>
                <w:lang w:val="en-US"/>
              </w:rPr>
              <w:t xml:space="preserve"> *)</w:t>
            </w:r>
            <w:r w:rsidR="00312D29" w:rsidRPr="00C903F8">
              <w:rPr>
                <w:rFonts w:cs="Arial"/>
                <w:sz w:val="18"/>
                <w:szCs w:val="20"/>
                <w:lang w:val="en-US"/>
              </w:rPr>
              <w:t>]</w:t>
            </w:r>
          </w:p>
        </w:tc>
      </w:tr>
      <w:tr w:rsidR="009C13A9" w:rsidRPr="00296858" w:rsidTr="009C13A9">
        <w:trPr>
          <w:cantSplit/>
          <w:jc w:val="center"/>
        </w:trPr>
        <w:tc>
          <w:tcPr>
            <w:tcW w:w="284" w:type="dxa"/>
            <w:tcBorders>
              <w:top w:val="single" w:sz="6" w:space="0" w:color="auto"/>
              <w:left w:val="single" w:sz="6" w:space="0" w:color="auto"/>
              <w:bottom w:val="single" w:sz="6" w:space="0" w:color="auto"/>
            </w:tcBorders>
          </w:tcPr>
          <w:p w:rsidR="009C13A9" w:rsidRPr="00C903F8" w:rsidRDefault="009C13A9" w:rsidP="009C13A9">
            <w:pPr>
              <w:tabs>
                <w:tab w:val="left" w:pos="57"/>
                <w:tab w:val="left" w:pos="227"/>
              </w:tabs>
              <w:overflowPunct w:val="0"/>
              <w:adjustRightInd w:val="0"/>
              <w:spacing w:before="80"/>
              <w:ind w:left="0" w:firstLine="0"/>
              <w:jc w:val="left"/>
              <w:textAlignment w:val="baseline"/>
              <w:rPr>
                <w:rFonts w:cs="Arial"/>
                <w:sz w:val="18"/>
                <w:szCs w:val="20"/>
              </w:rPr>
            </w:pPr>
            <w:r w:rsidRPr="00C903F8">
              <w:rPr>
                <w:rFonts w:cs="Arial"/>
                <w:sz w:val="18"/>
                <w:szCs w:val="20"/>
              </w:rPr>
              <w:lastRenderedPageBreak/>
              <w:t>10.</w:t>
            </w:r>
          </w:p>
        </w:tc>
        <w:tc>
          <w:tcPr>
            <w:tcW w:w="8904" w:type="dxa"/>
            <w:gridSpan w:val="7"/>
            <w:tcBorders>
              <w:top w:val="single" w:sz="6" w:space="0" w:color="auto"/>
              <w:bottom w:val="single" w:sz="6" w:space="0" w:color="auto"/>
              <w:right w:val="single" w:sz="6" w:space="0" w:color="auto"/>
            </w:tcBorders>
          </w:tcPr>
          <w:p w:rsidR="009C13A9" w:rsidRPr="00C903F8" w:rsidRDefault="009C13A9" w:rsidP="00E3172D">
            <w:pPr>
              <w:tabs>
                <w:tab w:val="left" w:pos="57"/>
                <w:tab w:val="left" w:leader="dot" w:pos="2835"/>
                <w:tab w:val="left" w:pos="6296"/>
                <w:tab w:val="left" w:leader="dot" w:pos="8564"/>
              </w:tabs>
              <w:overflowPunct w:val="0"/>
              <w:adjustRightInd w:val="0"/>
              <w:spacing w:before="80" w:after="20"/>
              <w:ind w:left="57" w:firstLine="0"/>
              <w:jc w:val="left"/>
              <w:textAlignment w:val="baseline"/>
              <w:rPr>
                <w:rFonts w:cs="Arial"/>
                <w:sz w:val="16"/>
                <w:szCs w:val="20"/>
                <w:lang w:val="en-US"/>
              </w:rPr>
            </w:pPr>
            <w:r w:rsidRPr="00C903F8">
              <w:rPr>
                <w:rFonts w:cs="Arial"/>
                <w:sz w:val="18"/>
                <w:szCs w:val="20"/>
                <w:lang w:val="en-US"/>
              </w:rPr>
              <w:t>Validity</w:t>
            </w:r>
            <w:r w:rsidRPr="00C903F8">
              <w:rPr>
                <w:rFonts w:cs="Arial"/>
                <w:sz w:val="18"/>
                <w:szCs w:val="20"/>
                <w:lang w:val="en-US"/>
              </w:rPr>
              <w:br/>
            </w:r>
            <w:r w:rsidR="00E3172D" w:rsidRPr="00E3172D">
              <w:rPr>
                <w:rFonts w:cs="Arial"/>
                <w:sz w:val="18"/>
                <w:szCs w:val="20"/>
                <w:lang w:val="en-US"/>
              </w:rPr>
              <w:t>Provisional inland navigation ves</w:t>
            </w:r>
            <w:r w:rsidR="00E3172D">
              <w:rPr>
                <w:rFonts w:cs="Arial"/>
                <w:sz w:val="18"/>
                <w:szCs w:val="20"/>
                <w:lang w:val="en-US"/>
              </w:rPr>
              <w:t>sel certificate is valid until ………………………………………………………</w:t>
            </w:r>
            <w:r w:rsidRPr="00C903F8">
              <w:rPr>
                <w:rFonts w:cs="Arial"/>
                <w:sz w:val="18"/>
                <w:szCs w:val="20"/>
                <w:lang w:val="en-US"/>
              </w:rPr>
              <w:br/>
              <w:t>for navigation</w:t>
            </w:r>
            <w:r w:rsidRPr="00C903F8">
              <w:rPr>
                <w:rFonts w:cs="Arial"/>
                <w:sz w:val="16"/>
                <w:szCs w:val="20"/>
                <w:vertAlign w:val="superscript"/>
                <w:lang w:val="en-US"/>
              </w:rPr>
              <w:t>*)</w:t>
            </w:r>
            <w:r w:rsidRPr="00C903F8">
              <w:rPr>
                <w:rFonts w:cs="Arial"/>
                <w:sz w:val="18"/>
                <w:szCs w:val="20"/>
                <w:lang w:val="en-US"/>
              </w:rPr>
              <w:t xml:space="preserve"> / for a single voyage</w:t>
            </w:r>
            <w:r w:rsidRPr="00C903F8">
              <w:rPr>
                <w:rFonts w:cs="Arial"/>
                <w:sz w:val="16"/>
                <w:szCs w:val="20"/>
                <w:vertAlign w:val="superscript"/>
                <w:lang w:val="en-US"/>
              </w:rPr>
              <w:t>*)</w:t>
            </w:r>
            <w:r w:rsidR="00E3172D">
              <w:rPr>
                <w:rFonts w:cs="Arial"/>
                <w:sz w:val="18"/>
                <w:szCs w:val="20"/>
                <w:lang w:val="en-US"/>
              </w:rPr>
              <w:tab/>
            </w:r>
            <w:r w:rsidRPr="00C903F8">
              <w:rPr>
                <w:rFonts w:cs="Arial"/>
                <w:sz w:val="18"/>
                <w:szCs w:val="20"/>
                <w:lang w:val="en-US"/>
              </w:rPr>
              <w:t xml:space="preserve"> </w:t>
            </w:r>
            <w:r w:rsidRPr="00C903F8">
              <w:rPr>
                <w:rFonts w:cs="Arial"/>
                <w:sz w:val="16"/>
                <w:szCs w:val="20"/>
                <w:lang w:val="en-US"/>
              </w:rPr>
              <w:t>(Date)</w:t>
            </w:r>
          </w:p>
          <w:p w:rsidR="009C13A9" w:rsidRPr="00C903F8" w:rsidRDefault="009C13A9" w:rsidP="009C13A9">
            <w:pPr>
              <w:tabs>
                <w:tab w:val="left" w:pos="342"/>
                <w:tab w:val="left" w:leader="dot" w:pos="3969"/>
                <w:tab w:val="left" w:pos="4253"/>
                <w:tab w:val="left" w:leader="dot" w:pos="8505"/>
              </w:tabs>
              <w:overflowPunct w:val="0"/>
              <w:adjustRightInd w:val="0"/>
              <w:ind w:left="0" w:firstLine="0"/>
              <w:jc w:val="left"/>
              <w:textAlignment w:val="baseline"/>
              <w:rPr>
                <w:noProof/>
                <w:position w:val="6"/>
                <w:sz w:val="16"/>
                <w:lang w:val="en-US"/>
              </w:rPr>
            </w:pPr>
            <w:r w:rsidRPr="00C903F8">
              <w:rPr>
                <w:noProof/>
                <w:sz w:val="18"/>
                <w:lang w:val="en-US"/>
              </w:rPr>
              <w:t>-</w:t>
            </w:r>
            <w:r w:rsidRPr="00C903F8">
              <w:rPr>
                <w:noProof/>
                <w:sz w:val="18"/>
                <w:lang w:val="en-US"/>
              </w:rPr>
              <w:tab/>
              <w:t>on the Rhine </w:t>
            </w:r>
            <w:r w:rsidRPr="00C903F8">
              <w:rPr>
                <w:noProof/>
                <w:position w:val="6"/>
                <w:sz w:val="16"/>
                <w:lang w:val="en-US"/>
              </w:rPr>
              <w:t>(*)</w:t>
            </w:r>
          </w:p>
          <w:p w:rsidR="009C13A9" w:rsidRPr="00C903F8" w:rsidRDefault="009C13A9" w:rsidP="009C13A9">
            <w:pPr>
              <w:tabs>
                <w:tab w:val="left" w:pos="57"/>
                <w:tab w:val="left" w:leader="dot" w:pos="3969"/>
                <w:tab w:val="left" w:pos="4253"/>
                <w:tab w:val="left" w:leader="dot" w:pos="8505"/>
              </w:tabs>
              <w:overflowPunct w:val="0"/>
              <w:adjustRightInd w:val="0"/>
              <w:ind w:left="0" w:firstLine="0"/>
              <w:jc w:val="left"/>
              <w:textAlignment w:val="baseline"/>
              <w:rPr>
                <w:rFonts w:cs="Arial"/>
                <w:position w:val="6"/>
                <w:sz w:val="16"/>
                <w:szCs w:val="20"/>
                <w:lang w:val="en-US"/>
              </w:rPr>
            </w:pPr>
            <w:r w:rsidRPr="00C903F8">
              <w:rPr>
                <w:rFonts w:cs="Arial"/>
                <w:sz w:val="18"/>
                <w:szCs w:val="20"/>
                <w:lang w:val="en-US"/>
              </w:rPr>
              <w:t xml:space="preserve">between </w:t>
            </w:r>
            <w:r w:rsidRPr="00C903F8">
              <w:rPr>
                <w:rFonts w:cs="Arial"/>
                <w:sz w:val="18"/>
                <w:szCs w:val="20"/>
                <w:lang w:val="en-US"/>
              </w:rPr>
              <w:tab/>
            </w:r>
            <w:r w:rsidRPr="00C903F8">
              <w:rPr>
                <w:rFonts w:cs="Arial"/>
                <w:sz w:val="18"/>
                <w:szCs w:val="20"/>
                <w:lang w:val="en-US"/>
              </w:rPr>
              <w:tab/>
            </w:r>
            <w:r w:rsidRPr="00C903F8">
              <w:rPr>
                <w:rFonts w:cs="Arial"/>
                <w:sz w:val="18"/>
                <w:szCs w:val="20"/>
                <w:lang w:val="en-US"/>
              </w:rPr>
              <w:tab/>
            </w:r>
            <w:r w:rsidRPr="00C903F8">
              <w:rPr>
                <w:rFonts w:cs="Arial"/>
                <w:position w:val="6"/>
                <w:sz w:val="16"/>
                <w:szCs w:val="20"/>
                <w:lang w:val="en-US"/>
              </w:rPr>
              <w:t>*)</w:t>
            </w:r>
          </w:p>
          <w:p w:rsidR="009C13A9" w:rsidRPr="00C903F8" w:rsidRDefault="009C13A9" w:rsidP="009C13A9">
            <w:pPr>
              <w:tabs>
                <w:tab w:val="left" w:pos="57"/>
                <w:tab w:val="left" w:leader="dot" w:pos="3969"/>
                <w:tab w:val="left" w:pos="4253"/>
                <w:tab w:val="left" w:leader="dot" w:pos="8505"/>
              </w:tabs>
              <w:overflowPunct w:val="0"/>
              <w:adjustRightInd w:val="0"/>
              <w:ind w:left="0" w:firstLine="0"/>
              <w:jc w:val="left"/>
              <w:textAlignment w:val="baseline"/>
              <w:rPr>
                <w:rFonts w:cs="Arial"/>
                <w:sz w:val="18"/>
                <w:szCs w:val="20"/>
                <w:lang w:val="en-US"/>
              </w:rPr>
            </w:pPr>
          </w:p>
          <w:p w:rsidR="009C13A9" w:rsidRPr="00C903F8" w:rsidRDefault="009C13A9" w:rsidP="009C13A9">
            <w:pPr>
              <w:tabs>
                <w:tab w:val="left" w:pos="340"/>
                <w:tab w:val="left" w:leader="dot" w:pos="8564"/>
                <w:tab w:val="left" w:leader="dot" w:pos="8789"/>
              </w:tabs>
              <w:overflowPunct w:val="0"/>
              <w:adjustRightInd w:val="0"/>
              <w:ind w:left="0" w:firstLine="0"/>
              <w:jc w:val="left"/>
              <w:textAlignment w:val="baseline"/>
              <w:rPr>
                <w:noProof/>
                <w:position w:val="6"/>
                <w:sz w:val="16"/>
                <w:lang w:val="en-US"/>
              </w:rPr>
            </w:pPr>
            <w:r w:rsidRPr="00C903F8">
              <w:rPr>
                <w:noProof/>
                <w:sz w:val="18"/>
                <w:lang w:val="en-US"/>
              </w:rPr>
              <w:t>-</w:t>
            </w:r>
            <w:r w:rsidRPr="00C903F8">
              <w:rPr>
                <w:noProof/>
                <w:sz w:val="18"/>
                <w:lang w:val="en-US"/>
              </w:rPr>
              <w:tab/>
              <w:t xml:space="preserve">on EU waterways in Zone(s) </w:t>
            </w:r>
            <w:r w:rsidRPr="00C903F8">
              <w:rPr>
                <w:noProof/>
                <w:position w:val="6"/>
                <w:sz w:val="16"/>
                <w:lang w:val="en-US"/>
              </w:rPr>
              <w:t xml:space="preserve">(*) </w:t>
            </w:r>
            <w:r w:rsidRPr="00C903F8">
              <w:rPr>
                <w:noProof/>
                <w:sz w:val="16"/>
                <w:lang w:val="en-US"/>
              </w:rPr>
              <w:tab/>
            </w:r>
          </w:p>
          <w:p w:rsidR="009C13A9" w:rsidRPr="00C903F8" w:rsidRDefault="009C13A9" w:rsidP="009C13A9">
            <w:pPr>
              <w:tabs>
                <w:tab w:val="left" w:leader="dot" w:pos="8564"/>
                <w:tab w:val="left" w:leader="dot" w:pos="8789"/>
              </w:tabs>
              <w:overflowPunct w:val="0"/>
              <w:adjustRightInd w:val="0"/>
              <w:ind w:left="342" w:hanging="342"/>
              <w:jc w:val="left"/>
              <w:textAlignment w:val="baseline"/>
              <w:rPr>
                <w:noProof/>
                <w:sz w:val="18"/>
                <w:szCs w:val="20"/>
                <w:lang w:val="en-US"/>
              </w:rPr>
            </w:pPr>
            <w:r w:rsidRPr="00C903F8">
              <w:rPr>
                <w:noProof/>
                <w:sz w:val="18"/>
                <w:szCs w:val="20"/>
                <w:lang w:val="en-US"/>
              </w:rPr>
              <w:tab/>
            </w:r>
            <w:r w:rsidRPr="00C903F8">
              <w:rPr>
                <w:noProof/>
                <w:sz w:val="18"/>
                <w:szCs w:val="20"/>
                <w:lang w:val="en-US"/>
              </w:rPr>
              <w:tab/>
            </w:r>
          </w:p>
          <w:p w:rsidR="009C13A9" w:rsidRPr="00C903F8" w:rsidRDefault="009C13A9" w:rsidP="009C13A9">
            <w:pPr>
              <w:tabs>
                <w:tab w:val="left" w:leader="dot" w:pos="8564"/>
                <w:tab w:val="left" w:leader="dot" w:pos="8789"/>
              </w:tabs>
              <w:overflowPunct w:val="0"/>
              <w:adjustRightInd w:val="0"/>
              <w:ind w:left="342" w:hanging="342"/>
              <w:jc w:val="left"/>
              <w:textAlignment w:val="baseline"/>
              <w:rPr>
                <w:noProof/>
                <w:sz w:val="18"/>
                <w:lang w:val="en-US"/>
              </w:rPr>
            </w:pPr>
          </w:p>
          <w:p w:rsidR="009C13A9" w:rsidRPr="00C903F8" w:rsidRDefault="009C13A9" w:rsidP="009C13A9">
            <w:pPr>
              <w:tabs>
                <w:tab w:val="left" w:leader="dot" w:pos="8564"/>
                <w:tab w:val="left" w:leader="dot" w:pos="8789"/>
              </w:tabs>
              <w:overflowPunct w:val="0"/>
              <w:adjustRightInd w:val="0"/>
              <w:ind w:left="342" w:hanging="342"/>
              <w:jc w:val="left"/>
              <w:textAlignment w:val="baseline"/>
              <w:rPr>
                <w:noProof/>
                <w:sz w:val="18"/>
                <w:lang w:val="en-US"/>
              </w:rPr>
            </w:pPr>
            <w:r w:rsidRPr="00C903F8">
              <w:rPr>
                <w:noProof/>
                <w:sz w:val="18"/>
                <w:lang w:val="en-US"/>
              </w:rPr>
              <w:t>-</w:t>
            </w:r>
            <w:r w:rsidRPr="00C903F8">
              <w:rPr>
                <w:noProof/>
                <w:sz w:val="18"/>
                <w:lang w:val="en-US"/>
              </w:rPr>
              <w:tab/>
              <w:t xml:space="preserve">on the waterways in Zone(s) </w:t>
            </w:r>
            <w:r w:rsidRPr="00C903F8">
              <w:rPr>
                <w:noProof/>
                <w:position w:val="6"/>
                <w:sz w:val="16"/>
                <w:lang w:val="en-US"/>
              </w:rPr>
              <w:t xml:space="preserve">(*) </w:t>
            </w:r>
            <w:r w:rsidRPr="00C903F8">
              <w:rPr>
                <w:noProof/>
                <w:sz w:val="18"/>
                <w:lang w:val="en-US"/>
              </w:rPr>
              <w:tab/>
            </w:r>
          </w:p>
          <w:p w:rsidR="009C13A9" w:rsidRPr="00C903F8" w:rsidRDefault="009C13A9" w:rsidP="009C13A9">
            <w:pPr>
              <w:tabs>
                <w:tab w:val="right" w:pos="342"/>
                <w:tab w:val="left" w:leader="dot" w:pos="8564"/>
              </w:tabs>
              <w:overflowPunct w:val="0"/>
              <w:adjustRightInd w:val="0"/>
              <w:ind w:left="0" w:firstLine="0"/>
              <w:jc w:val="left"/>
              <w:textAlignment w:val="baseline"/>
              <w:rPr>
                <w:noProof/>
                <w:sz w:val="18"/>
                <w:lang w:val="en-US"/>
              </w:rPr>
            </w:pPr>
            <w:r w:rsidRPr="00C903F8">
              <w:rPr>
                <w:noProof/>
                <w:sz w:val="18"/>
                <w:lang w:val="en-US"/>
              </w:rPr>
              <w:tab/>
              <w:t>.</w:t>
            </w:r>
            <w:r w:rsidRPr="00C903F8">
              <w:rPr>
                <w:noProof/>
                <w:sz w:val="18"/>
                <w:lang w:val="en-US"/>
              </w:rPr>
              <w:tab/>
            </w:r>
          </w:p>
          <w:p w:rsidR="009C13A9" w:rsidRPr="00C903F8" w:rsidRDefault="009C13A9" w:rsidP="009C13A9">
            <w:pPr>
              <w:tabs>
                <w:tab w:val="left" w:leader="dot" w:pos="8564"/>
                <w:tab w:val="left" w:leader="dot" w:pos="8789"/>
              </w:tabs>
              <w:overflowPunct w:val="0"/>
              <w:adjustRightInd w:val="0"/>
              <w:spacing w:before="120"/>
              <w:ind w:left="0" w:firstLine="0"/>
              <w:jc w:val="left"/>
              <w:textAlignment w:val="baseline"/>
              <w:rPr>
                <w:noProof/>
                <w:sz w:val="18"/>
                <w:lang w:val="en-US"/>
              </w:rPr>
            </w:pPr>
            <w:r w:rsidRPr="00C903F8">
              <w:rPr>
                <w:noProof/>
                <w:sz w:val="18"/>
                <w:lang w:val="en-US"/>
              </w:rPr>
              <w:t>in [Name of States </w:t>
            </w:r>
            <w:r w:rsidRPr="00C903F8">
              <w:rPr>
                <w:noProof/>
                <w:position w:val="6"/>
                <w:sz w:val="16"/>
                <w:lang w:val="en-US"/>
              </w:rPr>
              <w:t>(*)</w:t>
            </w:r>
            <w:r w:rsidRPr="00C903F8">
              <w:rPr>
                <w:noProof/>
                <w:sz w:val="18"/>
                <w:lang w:val="en-US"/>
              </w:rPr>
              <w:t xml:space="preserve">] </w:t>
            </w:r>
          </w:p>
          <w:p w:rsidR="009C13A9" w:rsidRPr="00C903F8" w:rsidRDefault="009C13A9" w:rsidP="009C13A9">
            <w:pPr>
              <w:tabs>
                <w:tab w:val="left" w:leader="dot" w:pos="8564"/>
                <w:tab w:val="left" w:leader="dot" w:pos="8789"/>
              </w:tabs>
              <w:overflowPunct w:val="0"/>
              <w:adjustRightInd w:val="0"/>
              <w:ind w:left="0" w:firstLine="0"/>
              <w:jc w:val="left"/>
              <w:textAlignment w:val="baseline"/>
              <w:rPr>
                <w:noProof/>
                <w:sz w:val="18"/>
                <w:lang w:val="en-US"/>
              </w:rPr>
            </w:pPr>
            <w:r w:rsidRPr="00C903F8">
              <w:rPr>
                <w:noProof/>
                <w:sz w:val="18"/>
                <w:lang w:val="en-US"/>
              </w:rPr>
              <w:tab/>
            </w:r>
            <w:r w:rsidRPr="00C903F8">
              <w:rPr>
                <w:noProof/>
                <w:sz w:val="18"/>
                <w:lang w:val="en-US"/>
              </w:rPr>
              <w:br/>
            </w:r>
            <w:r w:rsidRPr="00C903F8">
              <w:rPr>
                <w:noProof/>
                <w:sz w:val="18"/>
                <w:lang w:val="en-US"/>
              </w:rPr>
              <w:tab/>
            </w:r>
            <w:r w:rsidRPr="00C903F8">
              <w:rPr>
                <w:noProof/>
                <w:sz w:val="18"/>
                <w:szCs w:val="20"/>
                <w:lang w:val="en-US"/>
              </w:rPr>
              <w:br/>
            </w:r>
            <w:r w:rsidRPr="00C903F8">
              <w:rPr>
                <w:noProof/>
                <w:sz w:val="18"/>
                <w:lang w:val="en-US"/>
              </w:rPr>
              <w:t xml:space="preserve">except for: </w:t>
            </w:r>
            <w:r w:rsidRPr="00C903F8">
              <w:rPr>
                <w:noProof/>
                <w:sz w:val="18"/>
                <w:lang w:val="en-US"/>
              </w:rPr>
              <w:tab/>
            </w:r>
            <w:r w:rsidRPr="00C903F8">
              <w:rPr>
                <w:noProof/>
                <w:sz w:val="18"/>
                <w:szCs w:val="20"/>
                <w:lang w:val="en-US"/>
              </w:rPr>
              <w:br/>
            </w:r>
            <w:r w:rsidRPr="00C903F8">
              <w:rPr>
                <w:noProof/>
                <w:sz w:val="18"/>
                <w:lang w:val="en-US"/>
              </w:rPr>
              <w:tab/>
            </w:r>
          </w:p>
          <w:p w:rsidR="009C13A9" w:rsidRPr="00C903F8" w:rsidRDefault="009C13A9" w:rsidP="009C13A9">
            <w:pPr>
              <w:tabs>
                <w:tab w:val="left" w:leader="dot" w:pos="8564"/>
                <w:tab w:val="left" w:leader="dot" w:pos="8789"/>
              </w:tabs>
              <w:overflowPunct w:val="0"/>
              <w:adjustRightInd w:val="0"/>
              <w:ind w:left="0" w:firstLine="0"/>
              <w:jc w:val="left"/>
              <w:textAlignment w:val="baseline"/>
              <w:rPr>
                <w:noProof/>
                <w:sz w:val="18"/>
                <w:lang w:val="en-US"/>
              </w:rPr>
            </w:pPr>
            <w:r w:rsidRPr="00C903F8">
              <w:rPr>
                <w:noProof/>
                <w:sz w:val="18"/>
                <w:lang w:val="en-US"/>
              </w:rPr>
              <w:tab/>
            </w:r>
          </w:p>
          <w:p w:rsidR="009C13A9" w:rsidRPr="00C903F8" w:rsidRDefault="009C13A9" w:rsidP="009C13A9">
            <w:pPr>
              <w:tabs>
                <w:tab w:val="left" w:pos="57"/>
                <w:tab w:val="left" w:pos="345"/>
                <w:tab w:val="left" w:leader="dot" w:pos="8505"/>
              </w:tabs>
              <w:overflowPunct w:val="0"/>
              <w:adjustRightInd w:val="0"/>
              <w:spacing w:before="120" w:after="120"/>
              <w:ind w:left="0" w:firstLine="0"/>
              <w:jc w:val="left"/>
              <w:textAlignment w:val="baseline"/>
              <w:rPr>
                <w:noProof/>
                <w:sz w:val="18"/>
                <w:lang w:val="en-US"/>
              </w:rPr>
            </w:pPr>
            <w:r w:rsidRPr="00C903F8">
              <w:rPr>
                <w:noProof/>
                <w:sz w:val="18"/>
                <w:lang w:val="en-US"/>
              </w:rPr>
              <w:t>-</w:t>
            </w:r>
            <w:r w:rsidRPr="00C903F8">
              <w:rPr>
                <w:noProof/>
                <w:sz w:val="18"/>
                <w:lang w:val="en-US"/>
              </w:rPr>
              <w:tab/>
              <w:t>on the following waterways in [Name of the State </w:t>
            </w:r>
            <w:r w:rsidRPr="00C903F8">
              <w:rPr>
                <w:noProof/>
                <w:position w:val="6"/>
                <w:sz w:val="16"/>
                <w:lang w:val="en-US"/>
              </w:rPr>
              <w:t>(*)</w:t>
            </w:r>
            <w:r w:rsidRPr="00C903F8">
              <w:rPr>
                <w:noProof/>
                <w:sz w:val="18"/>
                <w:lang w:val="en-US"/>
              </w:rPr>
              <w:t>]</w:t>
            </w:r>
            <w:r w:rsidRPr="00C903F8">
              <w:rPr>
                <w:noProof/>
                <w:sz w:val="18"/>
                <w:lang w:val="en-US"/>
              </w:rPr>
              <w:tab/>
            </w:r>
          </w:p>
          <w:p w:rsidR="009C13A9" w:rsidRPr="00C903F8" w:rsidRDefault="009C13A9" w:rsidP="009C13A9">
            <w:pPr>
              <w:tabs>
                <w:tab w:val="left" w:leader="dot" w:pos="8505"/>
              </w:tabs>
              <w:overflowPunct w:val="0"/>
              <w:adjustRightInd w:val="0"/>
              <w:spacing w:after="120"/>
              <w:ind w:left="342" w:firstLine="0"/>
              <w:jc w:val="left"/>
              <w:textAlignment w:val="baseline"/>
              <w:rPr>
                <w:rFonts w:cs="Arial"/>
                <w:sz w:val="18"/>
                <w:szCs w:val="20"/>
                <w:lang w:val="en-US"/>
              </w:rPr>
            </w:pPr>
            <w:r w:rsidRPr="00C903F8">
              <w:rPr>
                <w:noProof/>
                <w:sz w:val="18"/>
                <w:lang w:val="en-US"/>
              </w:rPr>
              <w:tab/>
            </w:r>
            <w:r w:rsidRPr="00C903F8">
              <w:rPr>
                <w:noProof/>
                <w:sz w:val="18"/>
                <w:szCs w:val="20"/>
                <w:lang w:val="en-US"/>
              </w:rPr>
              <w:br/>
            </w:r>
            <w:r w:rsidRPr="00C903F8">
              <w:rPr>
                <w:noProof/>
                <w:sz w:val="18"/>
                <w:lang w:val="en-US"/>
              </w:rPr>
              <w:tab/>
            </w:r>
            <w:r w:rsidRPr="00C903F8">
              <w:rPr>
                <w:noProof/>
                <w:sz w:val="18"/>
                <w:szCs w:val="20"/>
                <w:lang w:val="en-US"/>
              </w:rPr>
              <w:br/>
            </w:r>
            <w:r w:rsidRPr="00C903F8">
              <w:rPr>
                <w:noProof/>
                <w:sz w:val="18"/>
                <w:lang w:val="en-US"/>
              </w:rPr>
              <w:tab/>
            </w:r>
          </w:p>
        </w:tc>
      </w:tr>
      <w:tr w:rsidR="009C13A9" w:rsidRPr="00C903F8" w:rsidTr="009C13A9">
        <w:trPr>
          <w:cantSplit/>
          <w:jc w:val="center"/>
        </w:trPr>
        <w:tc>
          <w:tcPr>
            <w:tcW w:w="284" w:type="dxa"/>
            <w:tcBorders>
              <w:top w:val="single" w:sz="6" w:space="0" w:color="auto"/>
              <w:left w:val="single" w:sz="6" w:space="0" w:color="auto"/>
              <w:bottom w:val="single" w:sz="6" w:space="0" w:color="auto"/>
            </w:tcBorders>
          </w:tcPr>
          <w:p w:rsidR="009C13A9" w:rsidRPr="00E3172D" w:rsidRDefault="009C13A9" w:rsidP="009C13A9">
            <w:pPr>
              <w:tabs>
                <w:tab w:val="left" w:pos="57"/>
                <w:tab w:val="left" w:pos="227"/>
              </w:tabs>
              <w:overflowPunct w:val="0"/>
              <w:adjustRightInd w:val="0"/>
              <w:spacing w:before="100"/>
              <w:ind w:left="0" w:firstLine="0"/>
              <w:jc w:val="left"/>
              <w:textAlignment w:val="baseline"/>
              <w:rPr>
                <w:rFonts w:cs="Arial"/>
                <w:sz w:val="18"/>
                <w:szCs w:val="20"/>
                <w:lang w:val="en-GB"/>
              </w:rPr>
            </w:pPr>
            <w:r w:rsidRPr="00E3172D">
              <w:rPr>
                <w:rFonts w:cs="Arial"/>
                <w:sz w:val="18"/>
                <w:szCs w:val="20"/>
                <w:lang w:val="en-GB"/>
              </w:rPr>
              <w:t>11.</w:t>
            </w:r>
          </w:p>
        </w:tc>
        <w:tc>
          <w:tcPr>
            <w:tcW w:w="8904" w:type="dxa"/>
            <w:gridSpan w:val="7"/>
            <w:tcBorders>
              <w:top w:val="single" w:sz="6" w:space="0" w:color="auto"/>
              <w:bottom w:val="single" w:sz="6" w:space="0" w:color="auto"/>
              <w:right w:val="single" w:sz="6" w:space="0" w:color="auto"/>
            </w:tcBorders>
          </w:tcPr>
          <w:p w:rsidR="009C13A9" w:rsidRPr="00C903F8" w:rsidRDefault="009C13A9" w:rsidP="009C13A9">
            <w:pPr>
              <w:tabs>
                <w:tab w:val="left" w:leader="dot" w:pos="4536"/>
                <w:tab w:val="center" w:pos="6862"/>
              </w:tabs>
              <w:overflowPunct w:val="0"/>
              <w:adjustRightInd w:val="0"/>
              <w:spacing w:before="100" w:after="80"/>
              <w:ind w:left="57" w:right="57" w:firstLine="0"/>
              <w:textAlignment w:val="baseline"/>
              <w:rPr>
                <w:rFonts w:cs="Arial"/>
                <w:sz w:val="18"/>
                <w:szCs w:val="20"/>
                <w:lang w:val="en-US"/>
              </w:rPr>
            </w:pPr>
            <w:r w:rsidRPr="00C903F8">
              <w:rPr>
                <w:rFonts w:cs="Arial"/>
                <w:sz w:val="18"/>
                <w:szCs w:val="20"/>
                <w:lang w:val="en-US"/>
              </w:rPr>
              <w:t xml:space="preserve">Place, date </w:t>
            </w:r>
            <w:r w:rsidRPr="00C903F8">
              <w:rPr>
                <w:rFonts w:cs="Arial"/>
                <w:sz w:val="18"/>
                <w:szCs w:val="20"/>
                <w:lang w:val="en-US"/>
              </w:rPr>
              <w:tab/>
            </w:r>
            <w:r w:rsidRPr="00C903F8">
              <w:rPr>
                <w:rFonts w:cs="Arial"/>
                <w:sz w:val="18"/>
                <w:szCs w:val="20"/>
                <w:lang w:val="en-US"/>
              </w:rPr>
              <w:tab/>
              <w:t>Inspection body</w:t>
            </w:r>
          </w:p>
          <w:p w:rsidR="009C13A9" w:rsidRPr="00C903F8" w:rsidRDefault="009C13A9" w:rsidP="009C13A9">
            <w:pPr>
              <w:tabs>
                <w:tab w:val="left" w:pos="5103"/>
                <w:tab w:val="left" w:leader="dot" w:pos="8505"/>
              </w:tabs>
              <w:overflowPunct w:val="0"/>
              <w:adjustRightInd w:val="0"/>
              <w:ind w:left="0" w:firstLine="0"/>
              <w:textAlignment w:val="baseline"/>
              <w:rPr>
                <w:rFonts w:cs="Arial"/>
                <w:sz w:val="18"/>
                <w:szCs w:val="20"/>
                <w:lang w:val="en-US"/>
              </w:rPr>
            </w:pPr>
            <w:r w:rsidRPr="00C903F8">
              <w:rPr>
                <w:rFonts w:cs="Arial"/>
                <w:sz w:val="18"/>
                <w:szCs w:val="20"/>
                <w:lang w:val="en-US"/>
              </w:rPr>
              <w:tab/>
            </w:r>
            <w:r w:rsidRPr="00C903F8">
              <w:rPr>
                <w:rFonts w:cs="Arial"/>
                <w:sz w:val="18"/>
                <w:szCs w:val="20"/>
                <w:lang w:val="en-US"/>
              </w:rPr>
              <w:tab/>
            </w:r>
          </w:p>
          <w:p w:rsidR="009C13A9" w:rsidRPr="00C903F8" w:rsidRDefault="009C13A9" w:rsidP="009C13A9">
            <w:pPr>
              <w:tabs>
                <w:tab w:val="center" w:pos="1701"/>
              </w:tabs>
              <w:overflowPunct w:val="0"/>
              <w:adjustRightInd w:val="0"/>
              <w:spacing w:after="80"/>
              <w:ind w:left="0" w:firstLine="0"/>
              <w:textAlignment w:val="baseline"/>
              <w:rPr>
                <w:rFonts w:cs="Arial"/>
                <w:sz w:val="18"/>
                <w:szCs w:val="20"/>
                <w:lang w:val="en-US"/>
              </w:rPr>
            </w:pPr>
            <w:r w:rsidRPr="00C903F8">
              <w:rPr>
                <w:rFonts w:cs="Arial"/>
                <w:sz w:val="18"/>
                <w:szCs w:val="20"/>
                <w:lang w:val="en-US"/>
              </w:rPr>
              <w:tab/>
            </w:r>
            <w:r w:rsidR="00313B91" w:rsidRPr="00C903F8">
              <w:rPr>
                <w:rFonts w:cs="Arial"/>
                <w:sz w:val="18"/>
                <w:szCs w:val="20"/>
                <w:lang w:val="en-US"/>
              </w:rPr>
              <w:t>Stamp</w:t>
            </w:r>
          </w:p>
          <w:p w:rsidR="009C13A9" w:rsidRPr="00C903F8" w:rsidRDefault="009C13A9" w:rsidP="009C13A9">
            <w:pPr>
              <w:tabs>
                <w:tab w:val="left" w:pos="5103"/>
                <w:tab w:val="left" w:leader="dot" w:pos="8505"/>
              </w:tabs>
              <w:overflowPunct w:val="0"/>
              <w:adjustRightInd w:val="0"/>
              <w:ind w:left="0" w:firstLine="0"/>
              <w:textAlignment w:val="baseline"/>
              <w:rPr>
                <w:rFonts w:cs="Arial"/>
                <w:szCs w:val="20"/>
                <w:lang w:val="en-US"/>
              </w:rPr>
            </w:pPr>
            <w:r w:rsidRPr="00C903F8">
              <w:rPr>
                <w:rFonts w:cs="Arial"/>
                <w:szCs w:val="20"/>
                <w:lang w:val="en-US"/>
              </w:rPr>
              <w:tab/>
            </w:r>
            <w:r w:rsidRPr="00C903F8">
              <w:rPr>
                <w:rFonts w:cs="Arial"/>
                <w:szCs w:val="20"/>
                <w:lang w:val="en-US"/>
              </w:rPr>
              <w:tab/>
            </w:r>
          </w:p>
          <w:p w:rsidR="009C13A9" w:rsidRPr="00C903F8" w:rsidRDefault="009C13A9" w:rsidP="009C13A9">
            <w:pPr>
              <w:tabs>
                <w:tab w:val="center" w:pos="6862"/>
              </w:tabs>
              <w:overflowPunct w:val="0"/>
              <w:adjustRightInd w:val="0"/>
              <w:ind w:left="0" w:firstLine="0"/>
              <w:textAlignment w:val="baseline"/>
              <w:rPr>
                <w:rFonts w:cs="Arial"/>
                <w:sz w:val="16"/>
                <w:szCs w:val="20"/>
                <w:lang w:val="en-US"/>
              </w:rPr>
            </w:pPr>
            <w:r w:rsidRPr="00C903F8">
              <w:rPr>
                <w:rFonts w:cs="Arial"/>
                <w:szCs w:val="20"/>
                <w:lang w:val="en-US"/>
              </w:rPr>
              <w:tab/>
            </w:r>
            <w:r w:rsidRPr="00C903F8">
              <w:rPr>
                <w:rFonts w:cs="Arial"/>
                <w:sz w:val="16"/>
                <w:szCs w:val="20"/>
                <w:lang w:val="en-US"/>
              </w:rPr>
              <w:t>(Signature)</w:t>
            </w:r>
          </w:p>
          <w:p w:rsidR="009C13A9" w:rsidRPr="00C903F8" w:rsidRDefault="009C13A9" w:rsidP="009C13A9">
            <w:pPr>
              <w:tabs>
                <w:tab w:val="left" w:pos="113"/>
                <w:tab w:val="left" w:pos="397"/>
                <w:tab w:val="left" w:pos="6237"/>
                <w:tab w:val="left" w:leader="dot" w:pos="9356"/>
              </w:tabs>
              <w:overflowPunct w:val="0"/>
              <w:adjustRightInd w:val="0"/>
              <w:ind w:left="0" w:firstLine="0"/>
              <w:textAlignment w:val="baseline"/>
              <w:rPr>
                <w:rFonts w:cs="Arial"/>
                <w:sz w:val="16"/>
                <w:szCs w:val="20"/>
              </w:rPr>
            </w:pPr>
            <w:r w:rsidRPr="00C903F8">
              <w:rPr>
                <w:rFonts w:cs="Arial"/>
                <w:sz w:val="18"/>
                <w:szCs w:val="20"/>
              </w:rPr>
              <w:t>_______________________</w:t>
            </w:r>
          </w:p>
          <w:p w:rsidR="009C13A9" w:rsidRPr="00C903F8" w:rsidRDefault="009C13A9" w:rsidP="009C13A9">
            <w:pPr>
              <w:tabs>
                <w:tab w:val="left" w:pos="284"/>
              </w:tabs>
              <w:overflowPunct w:val="0"/>
              <w:adjustRightInd w:val="0"/>
              <w:spacing w:before="80"/>
              <w:ind w:left="0" w:firstLine="0"/>
              <w:jc w:val="left"/>
              <w:textAlignment w:val="baseline"/>
              <w:rPr>
                <w:rFonts w:cs="Arial"/>
                <w:sz w:val="18"/>
                <w:szCs w:val="20"/>
              </w:rPr>
            </w:pPr>
            <w:r w:rsidRPr="00C903F8">
              <w:rPr>
                <w:rFonts w:cs="Arial"/>
                <w:position w:val="4"/>
                <w:sz w:val="16"/>
                <w:szCs w:val="20"/>
              </w:rPr>
              <w:t>*)</w:t>
            </w:r>
            <w:r w:rsidRPr="00C903F8">
              <w:rPr>
                <w:rFonts w:cs="Arial"/>
                <w:sz w:val="18"/>
                <w:szCs w:val="20"/>
              </w:rPr>
              <w:tab/>
            </w:r>
            <w:r w:rsidRPr="00C903F8">
              <w:rPr>
                <w:rFonts w:cs="Arial"/>
                <w:sz w:val="16"/>
                <w:szCs w:val="20"/>
              </w:rPr>
              <w:t>Delete as appropriate</w:t>
            </w:r>
          </w:p>
        </w:tc>
      </w:tr>
    </w:tbl>
    <w:p w:rsidR="009C13A9" w:rsidRPr="00C903F8" w:rsidRDefault="009C13A9" w:rsidP="009C13A9">
      <w:pPr>
        <w:overflowPunct w:val="0"/>
        <w:adjustRightInd w:val="0"/>
        <w:ind w:left="0" w:firstLine="0"/>
        <w:textAlignment w:val="baseline"/>
        <w:rPr>
          <w:rFonts w:cs="Arial"/>
          <w:szCs w:val="20"/>
        </w:rPr>
      </w:pPr>
    </w:p>
    <w:p w:rsidR="009C13A9" w:rsidRPr="00C903F8" w:rsidRDefault="009C13A9" w:rsidP="009C13A9">
      <w:pPr>
        <w:overflowPunct w:val="0"/>
        <w:adjustRightInd w:val="0"/>
        <w:ind w:left="0" w:firstLine="0"/>
        <w:textAlignment w:val="baseline"/>
        <w:rPr>
          <w:rFonts w:cs="Arial"/>
          <w:szCs w:val="20"/>
        </w:rPr>
      </w:pPr>
    </w:p>
    <w:p w:rsidR="009C13A9" w:rsidRPr="00C903F8" w:rsidRDefault="009C13A9" w:rsidP="009C13A9">
      <w:pPr>
        <w:spacing w:line="240" w:lineRule="atLeast"/>
        <w:ind w:left="567" w:hanging="567"/>
        <w:rPr>
          <w:noProof/>
        </w:rPr>
      </w:pPr>
      <w:r w:rsidRPr="00C903F8">
        <w:rPr>
          <w:noProof/>
        </w:rPr>
        <w:br w:type="page"/>
      </w:r>
    </w:p>
    <w:p w:rsidR="009C13A9" w:rsidRPr="00C903F8" w:rsidRDefault="00925755" w:rsidP="00857FC2">
      <w:pPr>
        <w:pStyle w:val="ES-Titre3"/>
        <w:rPr>
          <w:noProof/>
          <w:lang w:val="en-US"/>
        </w:rPr>
      </w:pPr>
      <w:bookmarkStart w:id="321" w:name="_Toc491854299"/>
      <w:r w:rsidRPr="00C903F8">
        <w:rPr>
          <w:noProof/>
          <w:lang w:val="en-US"/>
        </w:rPr>
        <w:lastRenderedPageBreak/>
        <w:t>Section</w:t>
      </w:r>
      <w:r w:rsidR="009C13A9" w:rsidRPr="00C903F8">
        <w:rPr>
          <w:noProof/>
          <w:lang w:val="en-US"/>
        </w:rPr>
        <w:t xml:space="preserve"> III</w:t>
      </w:r>
      <w:bookmarkEnd w:id="321"/>
    </w:p>
    <w:p w:rsidR="009C13A9" w:rsidRPr="00C903F8" w:rsidRDefault="009C13A9" w:rsidP="00857FC2">
      <w:pPr>
        <w:pStyle w:val="ES-Titre3a"/>
        <w:rPr>
          <w:noProof/>
          <w:lang w:val="en-US"/>
        </w:rPr>
      </w:pPr>
      <w:bookmarkStart w:id="322" w:name="_Toc491854300"/>
      <w:r w:rsidRPr="00C903F8">
        <w:rPr>
          <w:noProof/>
          <w:lang w:val="en-US"/>
        </w:rPr>
        <w:t xml:space="preserve">Model </w:t>
      </w:r>
      <w:r w:rsidR="00312D29" w:rsidRPr="00C903F8">
        <w:rPr>
          <w:noProof/>
          <w:lang w:val="en-US"/>
        </w:rPr>
        <w:t xml:space="preserve">of </w:t>
      </w:r>
      <w:r w:rsidRPr="00C903F8">
        <w:rPr>
          <w:noProof/>
          <w:lang w:val="en-US"/>
        </w:rPr>
        <w:t>supplementary Union inland navigation certificate</w:t>
      </w:r>
      <w:bookmarkEnd w:id="322"/>
    </w:p>
    <w:p w:rsidR="009C13A9" w:rsidRPr="00C903F8" w:rsidRDefault="009C13A9" w:rsidP="009C13A9">
      <w:pPr>
        <w:widowControl w:val="0"/>
        <w:spacing w:line="240" w:lineRule="atLeast"/>
        <w:jc w:val="center"/>
        <w:rPr>
          <w:noProof/>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9C13A9" w:rsidRPr="00946CF6" w:rsidTr="009C13A9">
        <w:tc>
          <w:tcPr>
            <w:tcW w:w="9286" w:type="dxa"/>
            <w:vAlign w:val="center"/>
          </w:tcPr>
          <w:p w:rsidR="009C13A9" w:rsidRPr="00C903F8" w:rsidRDefault="00E3172D" w:rsidP="007233FE">
            <w:pPr>
              <w:widowControl w:val="0"/>
              <w:tabs>
                <w:tab w:val="left" w:leader="dot" w:pos="7655"/>
              </w:tabs>
              <w:spacing w:before="80" w:after="80" w:line="240" w:lineRule="atLeast"/>
              <w:ind w:left="0" w:firstLine="0"/>
              <w:jc w:val="left"/>
              <w:rPr>
                <w:noProof/>
                <w:szCs w:val="20"/>
                <w:lang w:val="en-US"/>
              </w:rPr>
            </w:pPr>
            <w:r w:rsidRPr="00D466AE">
              <w:rPr>
                <w:noProof/>
                <w:lang w:val="en-US"/>
              </w:rPr>
              <w:t xml:space="preserve">Annex to </w:t>
            </w:r>
            <w:r w:rsidRPr="00677052">
              <w:rPr>
                <w:noProof/>
                <w:lang w:val="en-US"/>
              </w:rPr>
              <w:t>inland navigation vessel certificate</w:t>
            </w:r>
            <w:r w:rsidRPr="00D466AE">
              <w:rPr>
                <w:noProof/>
                <w:lang w:val="en-US"/>
              </w:rPr>
              <w:t xml:space="preserve"> </w:t>
            </w:r>
            <w:r w:rsidR="009C13A9" w:rsidRPr="00C903F8">
              <w:rPr>
                <w:noProof/>
                <w:lang w:val="en-US"/>
              </w:rPr>
              <w:t>No</w:t>
            </w:r>
            <w:r w:rsidR="007233FE">
              <w:rPr>
                <w:noProof/>
                <w:lang w:val="en-US"/>
              </w:rPr>
              <w:t xml:space="preserve"> </w:t>
            </w:r>
            <w:r w:rsidR="009C13A9" w:rsidRPr="00C903F8">
              <w:rPr>
                <w:lang w:val="en-US"/>
              </w:rPr>
              <w:tab/>
            </w:r>
          </w:p>
        </w:tc>
      </w:tr>
      <w:tr w:rsidR="009C13A9" w:rsidRPr="00946CF6" w:rsidTr="009C13A9">
        <w:tc>
          <w:tcPr>
            <w:tcW w:w="9286" w:type="dxa"/>
          </w:tcPr>
          <w:p w:rsidR="009C13A9" w:rsidRPr="00C903F8" w:rsidRDefault="009C13A9" w:rsidP="009C13A9">
            <w:pPr>
              <w:widowControl w:val="0"/>
              <w:spacing w:before="120" w:line="240" w:lineRule="atLeast"/>
              <w:ind w:left="0" w:firstLine="0"/>
              <w:jc w:val="center"/>
              <w:rPr>
                <w:b/>
                <w:noProof/>
                <w:szCs w:val="20"/>
                <w:lang w:val="en-GB"/>
              </w:rPr>
            </w:pPr>
            <w:r w:rsidRPr="00C903F8">
              <w:rPr>
                <w:b/>
                <w:noProof/>
                <w:szCs w:val="20"/>
                <w:lang w:val="en-GB"/>
              </w:rPr>
              <w:t>Supplementary Union inland navigation certificate</w:t>
            </w:r>
          </w:p>
          <w:p w:rsidR="009C13A9" w:rsidRPr="00C903F8" w:rsidRDefault="009C13A9" w:rsidP="009C13A9">
            <w:pPr>
              <w:widowControl w:val="0"/>
              <w:spacing w:line="240" w:lineRule="atLeast"/>
              <w:ind w:left="0" w:firstLine="0"/>
              <w:jc w:val="center"/>
              <w:rPr>
                <w:noProof/>
                <w:szCs w:val="20"/>
                <w:lang w:val="en-GB"/>
              </w:rPr>
            </w:pPr>
          </w:p>
          <w:p w:rsidR="009C13A9" w:rsidRPr="00C903F8" w:rsidRDefault="009C13A9" w:rsidP="009C13A9">
            <w:pPr>
              <w:widowControl w:val="0"/>
              <w:spacing w:line="240" w:lineRule="atLeast"/>
              <w:ind w:left="0" w:firstLine="0"/>
              <w:jc w:val="center"/>
              <w:rPr>
                <w:noProof/>
                <w:szCs w:val="20"/>
                <w:lang w:val="en-GB"/>
              </w:rPr>
            </w:pPr>
          </w:p>
          <w:p w:rsidR="009C13A9" w:rsidRPr="00C903F8" w:rsidRDefault="009C13A9" w:rsidP="009C13A9">
            <w:pPr>
              <w:widowControl w:val="0"/>
              <w:spacing w:line="240" w:lineRule="atLeast"/>
              <w:ind w:left="0" w:firstLine="0"/>
              <w:jc w:val="center"/>
              <w:rPr>
                <w:b/>
                <w:noProof/>
                <w:sz w:val="22"/>
                <w:szCs w:val="20"/>
                <w:lang w:val="en-GB"/>
              </w:rPr>
            </w:pPr>
            <w:r w:rsidRPr="00C903F8">
              <w:rPr>
                <w:b/>
                <w:noProof/>
                <w:sz w:val="22"/>
                <w:szCs w:val="20"/>
                <w:lang w:val="en-GB"/>
              </w:rPr>
              <w:t>Name of State / Seal</w:t>
            </w:r>
          </w:p>
          <w:p w:rsidR="009C13A9" w:rsidRPr="00C903F8" w:rsidRDefault="009C13A9" w:rsidP="009C13A9">
            <w:pPr>
              <w:widowControl w:val="0"/>
              <w:spacing w:line="240" w:lineRule="atLeast"/>
              <w:ind w:left="0" w:firstLine="0"/>
              <w:jc w:val="center"/>
              <w:rPr>
                <w:noProof/>
                <w:szCs w:val="20"/>
                <w:lang w:val="en-GB"/>
              </w:rPr>
            </w:pPr>
          </w:p>
          <w:p w:rsidR="009C13A9" w:rsidRPr="00C903F8" w:rsidRDefault="009C13A9" w:rsidP="009C13A9">
            <w:pPr>
              <w:widowControl w:val="0"/>
              <w:spacing w:line="240" w:lineRule="atLeast"/>
              <w:ind w:left="0" w:firstLine="0"/>
              <w:jc w:val="center"/>
              <w:rPr>
                <w:noProof/>
                <w:szCs w:val="20"/>
                <w:lang w:val="en-GB"/>
              </w:rPr>
            </w:pPr>
          </w:p>
          <w:p w:rsidR="009C13A9" w:rsidRPr="00C903F8" w:rsidRDefault="009C13A9" w:rsidP="009C13A9">
            <w:pPr>
              <w:widowControl w:val="0"/>
              <w:spacing w:line="240" w:lineRule="atLeast"/>
              <w:ind w:left="0" w:firstLine="0"/>
              <w:jc w:val="center"/>
              <w:rPr>
                <w:noProof/>
                <w:szCs w:val="20"/>
                <w:lang w:val="en-GB"/>
              </w:rPr>
            </w:pPr>
            <w:r w:rsidRPr="00C903F8">
              <w:rPr>
                <w:noProof/>
                <w:szCs w:val="20"/>
                <w:lang w:val="en-GB"/>
              </w:rPr>
              <w:t>Name and address of the competent authority issuing the supplementary certificate</w:t>
            </w:r>
          </w:p>
          <w:p w:rsidR="009C13A9" w:rsidRPr="00C903F8" w:rsidRDefault="009C13A9" w:rsidP="009C13A9">
            <w:pPr>
              <w:widowControl w:val="0"/>
              <w:spacing w:line="240" w:lineRule="atLeast"/>
              <w:ind w:left="0" w:firstLine="0"/>
              <w:jc w:val="center"/>
              <w:rPr>
                <w:noProof/>
                <w:lang w:val="en-US"/>
              </w:rPr>
            </w:pPr>
          </w:p>
          <w:p w:rsidR="009C13A9" w:rsidRPr="00C903F8" w:rsidRDefault="009C13A9" w:rsidP="009C13A9">
            <w:pPr>
              <w:widowControl w:val="0"/>
              <w:tabs>
                <w:tab w:val="left" w:pos="851"/>
                <w:tab w:val="right" w:leader="dot" w:pos="8931"/>
              </w:tabs>
              <w:spacing w:line="360" w:lineRule="auto"/>
              <w:jc w:val="left"/>
              <w:rPr>
                <w:noProof/>
                <w:szCs w:val="20"/>
                <w:lang w:val="en-US"/>
              </w:rPr>
            </w:pPr>
            <w:r w:rsidRPr="00C903F8">
              <w:rPr>
                <w:noProof/>
                <w:lang w:val="en-US"/>
              </w:rPr>
              <w:t>1.</w:t>
            </w:r>
            <w:r w:rsidRPr="00C903F8">
              <w:rPr>
                <w:lang w:val="en-US"/>
              </w:rPr>
              <w:tab/>
              <w:t>Name of vessel</w:t>
            </w:r>
            <w:r w:rsidRPr="00C903F8">
              <w:rPr>
                <w:noProof/>
                <w:lang w:val="en-US"/>
              </w:rPr>
              <w:t xml:space="preserve">: </w:t>
            </w:r>
            <w:r w:rsidRPr="00C903F8">
              <w:rPr>
                <w:noProof/>
                <w:lang w:val="en-US"/>
              </w:rPr>
              <w:tab/>
            </w:r>
          </w:p>
          <w:p w:rsidR="009C13A9" w:rsidRPr="00C903F8" w:rsidRDefault="009C13A9" w:rsidP="009C13A9">
            <w:pPr>
              <w:widowControl w:val="0"/>
              <w:tabs>
                <w:tab w:val="left" w:pos="851"/>
                <w:tab w:val="right" w:leader="dot" w:pos="8931"/>
              </w:tabs>
              <w:spacing w:line="360" w:lineRule="auto"/>
              <w:jc w:val="left"/>
              <w:rPr>
                <w:noProof/>
                <w:lang w:val="en-US"/>
              </w:rPr>
            </w:pPr>
            <w:r w:rsidRPr="00C903F8">
              <w:rPr>
                <w:noProof/>
                <w:lang w:val="en-US"/>
              </w:rPr>
              <w:t>2.</w:t>
            </w:r>
            <w:r w:rsidRPr="00C903F8">
              <w:rPr>
                <w:noProof/>
                <w:lang w:val="en-US"/>
              </w:rPr>
              <w:tab/>
              <w:t xml:space="preserve">Unique European </w:t>
            </w:r>
            <w:r w:rsidR="006D37CC" w:rsidRPr="00C903F8">
              <w:rPr>
                <w:noProof/>
                <w:lang w:val="en-US"/>
              </w:rPr>
              <w:t>v</w:t>
            </w:r>
            <w:r w:rsidRPr="00C903F8">
              <w:rPr>
                <w:noProof/>
                <w:lang w:val="en-US"/>
              </w:rPr>
              <w:t xml:space="preserve">essel </w:t>
            </w:r>
            <w:r w:rsidR="006D37CC" w:rsidRPr="00C903F8">
              <w:rPr>
                <w:noProof/>
                <w:lang w:val="en-US"/>
              </w:rPr>
              <w:t>i</w:t>
            </w:r>
            <w:r w:rsidRPr="00C903F8">
              <w:rPr>
                <w:noProof/>
                <w:lang w:val="en-US"/>
              </w:rPr>
              <w:t xml:space="preserve">dentification </w:t>
            </w:r>
            <w:r w:rsidR="006D37CC" w:rsidRPr="00C903F8">
              <w:rPr>
                <w:noProof/>
                <w:lang w:val="en-US"/>
              </w:rPr>
              <w:t>n</w:t>
            </w:r>
            <w:r w:rsidRPr="00C903F8">
              <w:rPr>
                <w:noProof/>
                <w:lang w:val="en-US"/>
              </w:rPr>
              <w:t xml:space="preserve">umber: </w:t>
            </w:r>
            <w:r w:rsidRPr="00C903F8">
              <w:rPr>
                <w:noProof/>
                <w:lang w:val="en-US"/>
              </w:rPr>
              <w:tab/>
            </w:r>
          </w:p>
          <w:p w:rsidR="009C13A9" w:rsidRPr="00C903F8" w:rsidRDefault="009C13A9" w:rsidP="009C13A9">
            <w:pPr>
              <w:widowControl w:val="0"/>
              <w:tabs>
                <w:tab w:val="left" w:pos="851"/>
                <w:tab w:val="right" w:leader="dot" w:pos="8931"/>
              </w:tabs>
              <w:spacing w:line="360" w:lineRule="auto"/>
              <w:jc w:val="left"/>
              <w:rPr>
                <w:noProof/>
                <w:lang w:val="en-US"/>
              </w:rPr>
            </w:pPr>
            <w:r w:rsidRPr="00C903F8">
              <w:rPr>
                <w:noProof/>
                <w:lang w:val="en-US"/>
              </w:rPr>
              <w:t>3.</w:t>
            </w:r>
            <w:r w:rsidRPr="00C903F8">
              <w:rPr>
                <w:noProof/>
                <w:lang w:val="en-US"/>
              </w:rPr>
              <w:tab/>
              <w:t xml:space="preserve">Place of registration and registration number: </w:t>
            </w:r>
            <w:r w:rsidRPr="00C903F8">
              <w:rPr>
                <w:noProof/>
                <w:lang w:val="en-US"/>
              </w:rPr>
              <w:tab/>
            </w:r>
          </w:p>
          <w:p w:rsidR="009C13A9" w:rsidRPr="00C903F8" w:rsidRDefault="009C13A9" w:rsidP="009C13A9">
            <w:pPr>
              <w:widowControl w:val="0"/>
              <w:tabs>
                <w:tab w:val="left" w:pos="851"/>
                <w:tab w:val="right" w:leader="dot" w:pos="8931"/>
              </w:tabs>
              <w:spacing w:line="360" w:lineRule="auto"/>
              <w:jc w:val="left"/>
              <w:rPr>
                <w:noProof/>
                <w:szCs w:val="20"/>
                <w:lang w:val="en-US"/>
              </w:rPr>
            </w:pPr>
            <w:r w:rsidRPr="00C903F8">
              <w:rPr>
                <w:noProof/>
                <w:lang w:val="en-US"/>
              </w:rPr>
              <w:t>4.</w:t>
            </w:r>
            <w:r w:rsidRPr="00C903F8">
              <w:rPr>
                <w:lang w:val="en-US"/>
              </w:rPr>
              <w:tab/>
              <w:t>Country of registration and/or home port</w:t>
            </w:r>
            <w:r w:rsidRPr="00C903F8">
              <w:rPr>
                <w:noProof/>
                <w:lang w:val="en-US"/>
              </w:rPr>
              <w:t xml:space="preserve">: </w:t>
            </w:r>
            <w:r w:rsidRPr="00C903F8">
              <w:rPr>
                <w:noProof/>
                <w:vertAlign w:val="superscript"/>
                <w:lang w:val="en-US"/>
              </w:rPr>
              <w:t xml:space="preserve">(1) </w:t>
            </w:r>
            <w:r w:rsidRPr="00C903F8">
              <w:rPr>
                <w:noProof/>
                <w:lang w:val="en-US"/>
              </w:rPr>
              <w:tab/>
            </w:r>
          </w:p>
          <w:p w:rsidR="009C13A9" w:rsidRPr="00C903F8" w:rsidRDefault="009C13A9" w:rsidP="009C13A9">
            <w:pPr>
              <w:widowControl w:val="0"/>
              <w:tabs>
                <w:tab w:val="left" w:pos="851"/>
                <w:tab w:val="right" w:leader="dot" w:pos="7230"/>
              </w:tabs>
              <w:spacing w:line="360" w:lineRule="auto"/>
              <w:jc w:val="left"/>
              <w:rPr>
                <w:noProof/>
                <w:szCs w:val="20"/>
                <w:lang w:val="en-US"/>
              </w:rPr>
            </w:pPr>
            <w:r w:rsidRPr="00C903F8">
              <w:rPr>
                <w:noProof/>
                <w:lang w:val="en-US"/>
              </w:rPr>
              <w:t>5.</w:t>
            </w:r>
            <w:r w:rsidRPr="00C903F8">
              <w:rPr>
                <w:lang w:val="en-US"/>
              </w:rPr>
              <w:tab/>
            </w:r>
            <w:r w:rsidR="00E3172D" w:rsidRPr="003953FC">
              <w:rPr>
                <w:lang w:val="en-US"/>
              </w:rPr>
              <w:t xml:space="preserve">Having regard to </w:t>
            </w:r>
            <w:r w:rsidR="00E3172D" w:rsidRPr="00677052">
              <w:rPr>
                <w:lang w:val="en-US"/>
              </w:rPr>
              <w:t>the inland navigation vessel certificate</w:t>
            </w:r>
            <w:r w:rsidR="00E3172D" w:rsidRPr="003953FC">
              <w:rPr>
                <w:lang w:val="en-US"/>
              </w:rPr>
              <w:t xml:space="preserve"> </w:t>
            </w:r>
            <w:r w:rsidRPr="00C903F8">
              <w:rPr>
                <w:lang w:val="en-US"/>
              </w:rPr>
              <w:t>No</w:t>
            </w:r>
            <w:r w:rsidRPr="00C903F8">
              <w:rPr>
                <w:noProof/>
                <w:lang w:val="en-US"/>
              </w:rPr>
              <w:t xml:space="preserve"> </w:t>
            </w:r>
            <w:r w:rsidRPr="00C903F8">
              <w:rPr>
                <w:noProof/>
                <w:lang w:val="en-US"/>
              </w:rPr>
              <w:tab/>
            </w:r>
          </w:p>
          <w:p w:rsidR="009C13A9" w:rsidRPr="00C903F8" w:rsidRDefault="009C13A9" w:rsidP="009C13A9">
            <w:pPr>
              <w:widowControl w:val="0"/>
              <w:tabs>
                <w:tab w:val="left" w:pos="851"/>
                <w:tab w:val="right" w:leader="dot" w:pos="8931"/>
              </w:tabs>
              <w:spacing w:line="360" w:lineRule="auto"/>
              <w:ind w:firstLine="1"/>
              <w:jc w:val="left"/>
              <w:rPr>
                <w:noProof/>
                <w:szCs w:val="20"/>
                <w:lang w:val="en-US"/>
              </w:rPr>
            </w:pPr>
            <w:r w:rsidRPr="00C903F8">
              <w:rPr>
                <w:noProof/>
                <w:lang w:val="en-US"/>
              </w:rPr>
              <w:t xml:space="preserve">dated …………….………………….. valid until </w:t>
            </w:r>
            <w:r w:rsidRPr="00C903F8">
              <w:rPr>
                <w:noProof/>
                <w:lang w:val="en-US"/>
              </w:rPr>
              <w:tab/>
            </w:r>
          </w:p>
          <w:p w:rsidR="009C13A9" w:rsidRPr="00C903F8" w:rsidRDefault="009C13A9" w:rsidP="009C13A9">
            <w:pPr>
              <w:widowControl w:val="0"/>
              <w:tabs>
                <w:tab w:val="left" w:pos="851"/>
                <w:tab w:val="right" w:leader="dot" w:pos="8931"/>
              </w:tabs>
              <w:spacing w:line="360" w:lineRule="auto"/>
              <w:jc w:val="left"/>
              <w:rPr>
                <w:noProof/>
                <w:szCs w:val="20"/>
                <w:lang w:val="en-US"/>
              </w:rPr>
            </w:pPr>
            <w:r w:rsidRPr="00C903F8">
              <w:rPr>
                <w:noProof/>
                <w:lang w:val="en-US"/>
              </w:rPr>
              <w:t>6.</w:t>
            </w:r>
            <w:r w:rsidRPr="00C903F8">
              <w:rPr>
                <w:lang w:val="en-US"/>
              </w:rPr>
              <w:tab/>
            </w:r>
            <w:r w:rsidRPr="00C903F8">
              <w:rPr>
                <w:noProof/>
                <w:lang w:val="en-US"/>
              </w:rPr>
              <w:t xml:space="preserve">Having regard to the result of the inspection </w:t>
            </w:r>
            <w:r w:rsidRPr="00C903F8">
              <w:rPr>
                <w:noProof/>
                <w:lang w:val="en-US"/>
              </w:rPr>
              <w:tab/>
            </w:r>
          </w:p>
          <w:p w:rsidR="009C13A9" w:rsidRPr="00C903F8" w:rsidRDefault="009C13A9" w:rsidP="009C13A9">
            <w:pPr>
              <w:widowControl w:val="0"/>
              <w:tabs>
                <w:tab w:val="left" w:leader="dot" w:pos="3686"/>
                <w:tab w:val="left" w:pos="3969"/>
                <w:tab w:val="right" w:leader="dot" w:pos="8931"/>
              </w:tabs>
              <w:spacing w:line="360" w:lineRule="auto"/>
              <w:ind w:firstLine="0"/>
              <w:jc w:val="left"/>
              <w:rPr>
                <w:noProof/>
                <w:szCs w:val="20"/>
                <w:lang w:val="en-US"/>
              </w:rPr>
            </w:pPr>
            <w:r w:rsidRPr="00C903F8">
              <w:rPr>
                <w:noProof/>
                <w:lang w:val="en-US"/>
              </w:rPr>
              <w:tab/>
            </w:r>
            <w:r w:rsidRPr="00C903F8">
              <w:rPr>
                <w:noProof/>
                <w:lang w:val="en-US"/>
              </w:rPr>
              <w:tab/>
              <w:t xml:space="preserve">on </w:t>
            </w:r>
            <w:r w:rsidRPr="00C903F8">
              <w:rPr>
                <w:noProof/>
                <w:lang w:val="en-US"/>
              </w:rPr>
              <w:tab/>
            </w:r>
          </w:p>
          <w:p w:rsidR="009C13A9" w:rsidRPr="00C903F8" w:rsidRDefault="009C13A9" w:rsidP="009C13A9">
            <w:pPr>
              <w:widowControl w:val="0"/>
              <w:tabs>
                <w:tab w:val="left" w:pos="851"/>
                <w:tab w:val="right" w:leader="dot" w:pos="8789"/>
              </w:tabs>
              <w:spacing w:line="360" w:lineRule="auto"/>
              <w:jc w:val="left"/>
              <w:rPr>
                <w:noProof/>
                <w:szCs w:val="20"/>
                <w:lang w:val="en-US"/>
              </w:rPr>
            </w:pPr>
            <w:r w:rsidRPr="00C903F8">
              <w:rPr>
                <w:noProof/>
                <w:lang w:val="en-US"/>
              </w:rPr>
              <w:t>7.</w:t>
            </w:r>
            <w:r w:rsidRPr="00C903F8">
              <w:rPr>
                <w:lang w:val="en-US"/>
              </w:rPr>
              <w:tab/>
            </w:r>
            <w:r w:rsidRPr="00C903F8">
              <w:rPr>
                <w:noProof/>
                <w:lang w:val="en-US"/>
              </w:rPr>
              <w:t>the abovementioned vessel is deemed fit to operate on the EU waterways of Zone(s)</w:t>
            </w:r>
          </w:p>
          <w:p w:rsidR="009C13A9" w:rsidRPr="00C903F8" w:rsidRDefault="009C13A9" w:rsidP="009C13A9">
            <w:pPr>
              <w:widowControl w:val="0"/>
              <w:tabs>
                <w:tab w:val="left" w:pos="426"/>
                <w:tab w:val="right" w:leader="dot" w:pos="8931"/>
              </w:tabs>
              <w:spacing w:line="360" w:lineRule="auto"/>
              <w:ind w:firstLine="1"/>
              <w:jc w:val="left"/>
              <w:rPr>
                <w:noProof/>
                <w:lang w:val="en-US"/>
              </w:rPr>
            </w:pPr>
            <w:r w:rsidRPr="00C903F8">
              <w:rPr>
                <w:noProof/>
                <w:lang w:val="en-US"/>
              </w:rPr>
              <w:tab/>
            </w:r>
          </w:p>
          <w:p w:rsidR="009C13A9" w:rsidRPr="00C903F8" w:rsidRDefault="009C13A9" w:rsidP="009C13A9">
            <w:pPr>
              <w:widowControl w:val="0"/>
              <w:tabs>
                <w:tab w:val="left" w:pos="426"/>
                <w:tab w:val="right" w:leader="dot" w:pos="8931"/>
              </w:tabs>
              <w:spacing w:line="360" w:lineRule="auto"/>
              <w:jc w:val="left"/>
              <w:rPr>
                <w:noProof/>
                <w:szCs w:val="20"/>
                <w:lang w:val="en-US"/>
              </w:rPr>
            </w:pPr>
            <w:r w:rsidRPr="00C903F8">
              <w:rPr>
                <w:noProof/>
                <w:lang w:val="en-US"/>
              </w:rPr>
              <w:t>8.</w:t>
            </w:r>
            <w:r w:rsidRPr="00C903F8">
              <w:rPr>
                <w:lang w:val="en-US"/>
              </w:rPr>
              <w:tab/>
            </w:r>
            <w:r w:rsidRPr="00C903F8">
              <w:rPr>
                <w:noProof/>
                <w:lang w:val="en-US"/>
              </w:rPr>
              <w:t xml:space="preserve">This supplementary certificate expires on </w:t>
            </w:r>
            <w:r w:rsidRPr="00C903F8">
              <w:rPr>
                <w:noProof/>
                <w:lang w:val="en-US"/>
              </w:rPr>
              <w:tab/>
            </w:r>
          </w:p>
          <w:p w:rsidR="009C13A9" w:rsidRPr="00C903F8" w:rsidRDefault="009C13A9" w:rsidP="009C13A9">
            <w:pPr>
              <w:widowControl w:val="0"/>
              <w:tabs>
                <w:tab w:val="left" w:pos="851"/>
                <w:tab w:val="left" w:leader="dot" w:pos="3969"/>
                <w:tab w:val="right" w:leader="dot" w:pos="8931"/>
              </w:tabs>
              <w:spacing w:line="360" w:lineRule="auto"/>
              <w:jc w:val="left"/>
              <w:rPr>
                <w:noProof/>
                <w:szCs w:val="20"/>
                <w:lang w:val="en-US"/>
              </w:rPr>
            </w:pPr>
            <w:r w:rsidRPr="00C903F8">
              <w:rPr>
                <w:noProof/>
                <w:lang w:val="en-US"/>
              </w:rPr>
              <w:t>9.</w:t>
            </w:r>
            <w:r w:rsidRPr="00C903F8">
              <w:rPr>
                <w:lang w:val="en-US"/>
              </w:rPr>
              <w:tab/>
            </w:r>
            <w:r w:rsidRPr="00C903F8">
              <w:rPr>
                <w:noProof/>
                <w:lang w:val="en-US"/>
              </w:rPr>
              <w:t xml:space="preserve">Issued in </w:t>
            </w:r>
            <w:r w:rsidRPr="00C903F8">
              <w:rPr>
                <w:noProof/>
                <w:lang w:val="en-US"/>
              </w:rPr>
              <w:tab/>
              <w:t xml:space="preserve">, on </w:t>
            </w:r>
            <w:r w:rsidRPr="00C903F8">
              <w:rPr>
                <w:noProof/>
                <w:lang w:val="en-US"/>
              </w:rPr>
              <w:tab/>
            </w:r>
          </w:p>
          <w:p w:rsidR="009C13A9" w:rsidRPr="00C903F8" w:rsidRDefault="00074E15" w:rsidP="009C13A9">
            <w:pPr>
              <w:widowControl w:val="0"/>
              <w:tabs>
                <w:tab w:val="left" w:pos="5954"/>
                <w:tab w:val="left" w:leader="dot" w:pos="8789"/>
              </w:tabs>
              <w:spacing w:line="360" w:lineRule="auto"/>
              <w:jc w:val="left"/>
              <w:rPr>
                <w:lang w:val="en-US"/>
              </w:rPr>
            </w:pPr>
            <w:r w:rsidRPr="00C903F8">
              <w:rPr>
                <w:lang w:val="en-US"/>
              </w:rPr>
              <w:t>10.</w:t>
            </w:r>
          </w:p>
          <w:p w:rsidR="009C13A9" w:rsidRPr="00C903F8" w:rsidRDefault="009C13A9" w:rsidP="009C13A9">
            <w:pPr>
              <w:widowControl w:val="0"/>
              <w:tabs>
                <w:tab w:val="center" w:pos="6804"/>
                <w:tab w:val="left" w:leader="dot" w:pos="8789"/>
              </w:tabs>
              <w:spacing w:line="360" w:lineRule="auto"/>
              <w:ind w:left="0" w:firstLine="0"/>
              <w:jc w:val="left"/>
              <w:rPr>
                <w:noProof/>
                <w:szCs w:val="20"/>
                <w:lang w:val="en-US"/>
              </w:rPr>
            </w:pPr>
            <w:r w:rsidRPr="00C903F8">
              <w:rPr>
                <w:lang w:val="en-US"/>
              </w:rPr>
              <w:tab/>
            </w:r>
            <w:r w:rsidRPr="00C903F8">
              <w:rPr>
                <w:noProof/>
                <w:lang w:val="en-US"/>
              </w:rPr>
              <w:t>…………………………………….</w:t>
            </w:r>
          </w:p>
          <w:p w:rsidR="009C13A9" w:rsidRPr="00C903F8" w:rsidRDefault="009C13A9" w:rsidP="009C13A9">
            <w:pPr>
              <w:widowControl w:val="0"/>
              <w:tabs>
                <w:tab w:val="center" w:pos="6804"/>
                <w:tab w:val="left" w:leader="dot" w:pos="8789"/>
              </w:tabs>
              <w:spacing w:after="240" w:line="360" w:lineRule="auto"/>
              <w:ind w:left="0" w:firstLine="0"/>
              <w:jc w:val="left"/>
              <w:rPr>
                <w:noProof/>
                <w:lang w:val="en-US"/>
              </w:rPr>
            </w:pPr>
            <w:r w:rsidRPr="00C903F8">
              <w:rPr>
                <w:lang w:val="en-US"/>
              </w:rPr>
              <w:tab/>
            </w:r>
            <w:r w:rsidRPr="00C903F8">
              <w:rPr>
                <w:noProof/>
                <w:lang w:val="en-US"/>
              </w:rPr>
              <w:t>(</w:t>
            </w:r>
            <w:r w:rsidR="00D11A51" w:rsidRPr="00C903F8">
              <w:rPr>
                <w:noProof/>
                <w:lang w:val="en-US"/>
              </w:rPr>
              <w:t>Inspection body</w:t>
            </w:r>
            <w:r w:rsidRPr="00C903F8">
              <w:rPr>
                <w:noProof/>
                <w:lang w:val="en-US"/>
              </w:rPr>
              <w:t>)</w:t>
            </w:r>
          </w:p>
          <w:p w:rsidR="009C13A9" w:rsidRPr="00C903F8" w:rsidRDefault="00313B91" w:rsidP="009C13A9">
            <w:pPr>
              <w:widowControl w:val="0"/>
              <w:tabs>
                <w:tab w:val="center" w:pos="6804"/>
                <w:tab w:val="left" w:leader="dot" w:pos="8789"/>
              </w:tabs>
              <w:spacing w:line="240" w:lineRule="atLeast"/>
              <w:ind w:left="1134" w:firstLine="0"/>
              <w:jc w:val="left"/>
              <w:rPr>
                <w:noProof/>
                <w:szCs w:val="20"/>
                <w:lang w:val="en-US"/>
              </w:rPr>
            </w:pPr>
            <w:r w:rsidRPr="00C903F8">
              <w:rPr>
                <w:noProof/>
                <w:lang w:val="en-US"/>
              </w:rPr>
              <w:t>Stamp</w:t>
            </w:r>
          </w:p>
          <w:p w:rsidR="009C13A9" w:rsidRPr="00C903F8" w:rsidRDefault="009C13A9" w:rsidP="009C13A9">
            <w:pPr>
              <w:widowControl w:val="0"/>
              <w:tabs>
                <w:tab w:val="center" w:pos="6804"/>
                <w:tab w:val="left" w:leader="dot" w:pos="8789"/>
              </w:tabs>
              <w:spacing w:line="360" w:lineRule="auto"/>
              <w:ind w:left="0" w:firstLine="0"/>
              <w:jc w:val="left"/>
              <w:rPr>
                <w:noProof/>
                <w:szCs w:val="20"/>
                <w:lang w:val="en-US"/>
              </w:rPr>
            </w:pPr>
            <w:r w:rsidRPr="00C903F8">
              <w:rPr>
                <w:lang w:val="en-US"/>
              </w:rPr>
              <w:tab/>
            </w:r>
            <w:r w:rsidRPr="00C903F8">
              <w:rPr>
                <w:noProof/>
                <w:lang w:val="en-US"/>
              </w:rPr>
              <w:t>…………………………………….</w:t>
            </w:r>
          </w:p>
          <w:p w:rsidR="009C13A9" w:rsidRPr="00C903F8" w:rsidRDefault="009C13A9" w:rsidP="009C13A9">
            <w:pPr>
              <w:widowControl w:val="0"/>
              <w:tabs>
                <w:tab w:val="center" w:pos="6804"/>
                <w:tab w:val="left" w:leader="dot" w:pos="8789"/>
              </w:tabs>
              <w:spacing w:after="240" w:line="360" w:lineRule="auto"/>
              <w:ind w:left="0" w:firstLine="0"/>
              <w:jc w:val="left"/>
              <w:rPr>
                <w:noProof/>
                <w:sz w:val="16"/>
                <w:szCs w:val="20"/>
                <w:lang w:val="en-US"/>
              </w:rPr>
            </w:pPr>
            <w:r w:rsidRPr="00C903F8">
              <w:rPr>
                <w:lang w:val="en-US"/>
              </w:rPr>
              <w:tab/>
            </w:r>
            <w:r w:rsidRPr="00C903F8">
              <w:rPr>
                <w:noProof/>
                <w:lang w:val="en-US"/>
              </w:rPr>
              <w:t>(Signature)</w:t>
            </w:r>
          </w:p>
          <w:p w:rsidR="009C13A9" w:rsidRPr="00C903F8" w:rsidRDefault="009C13A9" w:rsidP="009C13A9">
            <w:pPr>
              <w:widowControl w:val="0"/>
              <w:tabs>
                <w:tab w:val="left" w:pos="6946"/>
                <w:tab w:val="left" w:leader="dot" w:pos="8789"/>
              </w:tabs>
              <w:spacing w:line="360" w:lineRule="auto"/>
              <w:jc w:val="left"/>
              <w:rPr>
                <w:noProof/>
                <w:sz w:val="16"/>
                <w:szCs w:val="20"/>
                <w:vertAlign w:val="superscript"/>
                <w:lang w:val="en-US"/>
              </w:rPr>
            </w:pPr>
          </w:p>
          <w:p w:rsidR="009C13A9" w:rsidRPr="00C903F8" w:rsidRDefault="009C13A9" w:rsidP="009C13A9">
            <w:pPr>
              <w:widowControl w:val="0"/>
              <w:tabs>
                <w:tab w:val="left" w:pos="6946"/>
                <w:tab w:val="left" w:leader="dot" w:pos="8789"/>
              </w:tabs>
              <w:spacing w:line="360" w:lineRule="auto"/>
              <w:jc w:val="left"/>
              <w:rPr>
                <w:noProof/>
                <w:sz w:val="16"/>
                <w:szCs w:val="20"/>
                <w:vertAlign w:val="superscript"/>
                <w:lang w:val="en-US"/>
              </w:rPr>
            </w:pPr>
            <w:r w:rsidRPr="00C903F8">
              <w:rPr>
                <w:noProof/>
                <w:sz w:val="16"/>
                <w:vertAlign w:val="superscript"/>
                <w:lang w:val="en-US"/>
              </w:rPr>
              <w:t>_________________</w:t>
            </w:r>
          </w:p>
          <w:p w:rsidR="009C13A9" w:rsidRPr="00C903F8" w:rsidRDefault="009C13A9" w:rsidP="009C13A9">
            <w:pPr>
              <w:widowControl w:val="0"/>
              <w:tabs>
                <w:tab w:val="left" w:pos="6946"/>
                <w:tab w:val="left" w:leader="dot" w:pos="8789"/>
              </w:tabs>
              <w:spacing w:line="360" w:lineRule="auto"/>
              <w:jc w:val="left"/>
              <w:rPr>
                <w:b/>
                <w:noProof/>
                <w:szCs w:val="20"/>
                <w:lang w:val="en-US"/>
              </w:rPr>
            </w:pPr>
            <w:r w:rsidRPr="00C903F8">
              <w:rPr>
                <w:noProof/>
                <w:sz w:val="16"/>
                <w:vertAlign w:val="superscript"/>
                <w:lang w:val="en-US"/>
              </w:rPr>
              <w:t>(1)</w:t>
            </w:r>
            <w:r w:rsidRPr="00C903F8">
              <w:rPr>
                <w:noProof/>
                <w:sz w:val="16"/>
                <w:lang w:val="en-US"/>
              </w:rPr>
              <w:t xml:space="preserve"> Delete as appropriate.</w:t>
            </w:r>
          </w:p>
        </w:tc>
      </w:tr>
    </w:tbl>
    <w:p w:rsidR="009C13A9" w:rsidRPr="00C903F8" w:rsidRDefault="009C13A9" w:rsidP="009C13A9">
      <w:pPr>
        <w:widowControl w:val="0"/>
        <w:spacing w:line="360" w:lineRule="auto"/>
        <w:jc w:val="left"/>
        <w:rPr>
          <w:noProof/>
          <w:szCs w:val="20"/>
          <w:lang w:val="en-US"/>
        </w:rPr>
      </w:pPr>
    </w:p>
    <w:p w:rsidR="009C13A9" w:rsidRPr="00C903F8" w:rsidRDefault="009C13A9" w:rsidP="009C13A9">
      <w:pPr>
        <w:widowControl w:val="0"/>
        <w:jc w:val="left"/>
        <w:rPr>
          <w:noProof/>
          <w:szCs w:val="20"/>
          <w:lang w:val="en-US"/>
        </w:rPr>
      </w:pPr>
      <w:r w:rsidRPr="00C903F8">
        <w:rPr>
          <w:lang w:val="en-US"/>
        </w:rPr>
        <w:br w:type="page"/>
      </w:r>
    </w:p>
    <w:tbl>
      <w:tblPr>
        <w:tblW w:w="9322"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9C13A9" w:rsidRPr="00946CF6" w:rsidTr="009C13A9">
        <w:tc>
          <w:tcPr>
            <w:tcW w:w="9322" w:type="dxa"/>
            <w:tcBorders>
              <w:left w:val="single" w:sz="4" w:space="0" w:color="auto"/>
              <w:bottom w:val="nil"/>
            </w:tcBorders>
          </w:tcPr>
          <w:p w:rsidR="009C13A9" w:rsidRPr="00C903F8" w:rsidRDefault="009C13A9" w:rsidP="009C13A9">
            <w:pPr>
              <w:widowControl w:val="0"/>
              <w:spacing w:before="60" w:after="60" w:line="240" w:lineRule="atLeast"/>
              <w:ind w:left="0" w:firstLine="0"/>
              <w:jc w:val="left"/>
              <w:rPr>
                <w:noProof/>
                <w:szCs w:val="20"/>
                <w:lang w:val="en-US"/>
              </w:rPr>
            </w:pPr>
            <w:r w:rsidRPr="00C903F8">
              <w:rPr>
                <w:lang w:val="en-US"/>
              </w:rPr>
              <w:lastRenderedPageBreak/>
              <w:br w:type="page"/>
            </w:r>
            <w:r w:rsidRPr="00C903F8">
              <w:rPr>
                <w:noProof/>
                <w:lang w:val="en-US"/>
              </w:rPr>
              <w:t xml:space="preserve">Annex to </w:t>
            </w:r>
            <w:r w:rsidR="00677052" w:rsidRPr="00677052">
              <w:rPr>
                <w:noProof/>
                <w:lang w:val="en-US"/>
              </w:rPr>
              <w:t>inland navigation vessel certificate</w:t>
            </w:r>
            <w:r w:rsidR="00677052" w:rsidRPr="00D466AE">
              <w:rPr>
                <w:noProof/>
                <w:lang w:val="en-US"/>
              </w:rPr>
              <w:t xml:space="preserve"> </w:t>
            </w:r>
            <w:r w:rsidRPr="00C903F8">
              <w:rPr>
                <w:noProof/>
                <w:lang w:val="en-US"/>
              </w:rPr>
              <w:t>No ……………………….</w:t>
            </w:r>
          </w:p>
        </w:tc>
      </w:tr>
      <w:tr w:rsidR="009C13A9" w:rsidRPr="00946CF6" w:rsidTr="009C13A9">
        <w:trPr>
          <w:cantSplit/>
        </w:trPr>
        <w:tc>
          <w:tcPr>
            <w:tcW w:w="9322" w:type="dxa"/>
            <w:tcBorders>
              <w:left w:val="single" w:sz="4" w:space="0" w:color="auto"/>
              <w:bottom w:val="nil"/>
            </w:tcBorders>
          </w:tcPr>
          <w:p w:rsidR="009C13A9" w:rsidRPr="00C903F8" w:rsidRDefault="009C13A9" w:rsidP="009C13A9">
            <w:pPr>
              <w:widowControl w:val="0"/>
              <w:tabs>
                <w:tab w:val="left" w:leader="dot" w:pos="2835"/>
                <w:tab w:val="left" w:leader="dot" w:pos="7371"/>
              </w:tabs>
              <w:spacing w:line="360" w:lineRule="auto"/>
              <w:ind w:left="284"/>
              <w:jc w:val="left"/>
              <w:rPr>
                <w:noProof/>
                <w:sz w:val="18"/>
                <w:szCs w:val="20"/>
                <w:lang w:val="en-US"/>
              </w:rPr>
            </w:pPr>
          </w:p>
        </w:tc>
      </w:tr>
      <w:tr w:rsidR="009C13A9" w:rsidRPr="00C903F8" w:rsidTr="009C13A9">
        <w:tc>
          <w:tcPr>
            <w:tcW w:w="9322" w:type="dxa"/>
            <w:tcBorders>
              <w:top w:val="nil"/>
              <w:left w:val="single" w:sz="4" w:space="0" w:color="auto"/>
              <w:bottom w:val="nil"/>
            </w:tcBorders>
          </w:tcPr>
          <w:p w:rsidR="009C13A9" w:rsidRPr="00C903F8" w:rsidRDefault="009C13A9" w:rsidP="009C13A9">
            <w:pPr>
              <w:tabs>
                <w:tab w:val="left" w:pos="57"/>
                <w:tab w:val="left" w:pos="345"/>
                <w:tab w:val="left" w:leader="dot" w:pos="8505"/>
              </w:tabs>
              <w:overflowPunct w:val="0"/>
              <w:adjustRightInd w:val="0"/>
              <w:spacing w:line="240" w:lineRule="atLeast"/>
              <w:ind w:left="0" w:firstLine="0"/>
              <w:jc w:val="left"/>
              <w:textAlignment w:val="baseline"/>
              <w:rPr>
                <w:rFonts w:eastAsia="Calibri" w:cs="Arial"/>
                <w:sz w:val="18"/>
                <w:szCs w:val="20"/>
                <w:lang w:val="de-DE"/>
              </w:rPr>
            </w:pPr>
            <w:r w:rsidRPr="00C903F8">
              <w:rPr>
                <w:rFonts w:eastAsia="Calibri" w:cs="Arial"/>
                <w:sz w:val="18"/>
                <w:szCs w:val="20"/>
                <w:lang w:val="de-DE"/>
              </w:rPr>
              <w:t>11.</w:t>
            </w:r>
          </w:p>
        </w:tc>
      </w:tr>
      <w:tr w:rsidR="009C13A9" w:rsidRPr="00C903F8" w:rsidTr="009C13A9">
        <w:tc>
          <w:tcPr>
            <w:tcW w:w="9322" w:type="dxa"/>
            <w:tcBorders>
              <w:top w:val="nil"/>
              <w:left w:val="single" w:sz="4" w:space="0" w:color="auto"/>
              <w:bottom w:val="nil"/>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2041"/>
              <w:gridCol w:w="1021"/>
              <w:gridCol w:w="1021"/>
              <w:gridCol w:w="1021"/>
              <w:gridCol w:w="1021"/>
              <w:gridCol w:w="1021"/>
              <w:gridCol w:w="236"/>
            </w:tblGrid>
            <w:tr w:rsidR="009C13A9" w:rsidRPr="00C903F8" w:rsidTr="009C13A9">
              <w:trPr>
                <w:jc w:val="center"/>
              </w:trPr>
              <w:tc>
                <w:tcPr>
                  <w:tcW w:w="1077" w:type="dxa"/>
                  <w:tcBorders>
                    <w:top w:val="nil"/>
                    <w:left w:val="nil"/>
                    <w:bottom w:val="nil"/>
                    <w:right w:val="nil"/>
                  </w:tcBorders>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p>
              </w:tc>
              <w:tc>
                <w:tcPr>
                  <w:tcW w:w="2041" w:type="dxa"/>
                  <w:tcBorders>
                    <w:top w:val="nil"/>
                    <w:left w:val="nil"/>
                    <w:bottom w:val="nil"/>
                  </w:tcBorders>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p>
              </w:tc>
              <w:tc>
                <w:tcPr>
                  <w:tcW w:w="5105" w:type="dxa"/>
                  <w:gridSpan w:val="5"/>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center"/>
                    <w:textAlignment w:val="baseline"/>
                    <w:rPr>
                      <w:rFonts w:eastAsia="Calibri" w:cs="Arial"/>
                      <w:sz w:val="18"/>
                      <w:szCs w:val="20"/>
                      <w:lang w:val="de-DE"/>
                    </w:rPr>
                  </w:pPr>
                  <w:r w:rsidRPr="00C903F8">
                    <w:rPr>
                      <w:noProof/>
                      <w:sz w:val="18"/>
                    </w:rPr>
                    <w:t xml:space="preserve">Zone and / or waterways </w:t>
                  </w:r>
                  <w:r w:rsidRPr="00C903F8">
                    <w:rPr>
                      <w:rFonts w:eastAsia="Calibri" w:cs="Arial"/>
                      <w:sz w:val="18"/>
                      <w:szCs w:val="20"/>
                      <w:vertAlign w:val="superscript"/>
                      <w:lang w:val="de-DE" w:eastAsia="en-US"/>
                    </w:rPr>
                    <w:t>(1)</w:t>
                  </w:r>
                </w:p>
              </w:tc>
              <w:tc>
                <w:tcPr>
                  <w:tcW w:w="170" w:type="dxa"/>
                  <w:tcBorders>
                    <w:top w:val="nil"/>
                    <w:bottom w:val="nil"/>
                    <w:right w:val="nil"/>
                  </w:tcBorders>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Cs w:val="20"/>
                      <w:lang w:val="de-DE"/>
                    </w:rPr>
                  </w:pPr>
                </w:p>
              </w:tc>
            </w:tr>
            <w:tr w:rsidR="009C13A9" w:rsidRPr="00C903F8" w:rsidTr="009C13A9">
              <w:trPr>
                <w:jc w:val="center"/>
              </w:trPr>
              <w:tc>
                <w:tcPr>
                  <w:tcW w:w="1077" w:type="dxa"/>
                  <w:tcBorders>
                    <w:top w:val="nil"/>
                    <w:left w:val="nil"/>
                    <w:bottom w:val="single" w:sz="4" w:space="0" w:color="auto"/>
                    <w:right w:val="nil"/>
                  </w:tcBorders>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p>
              </w:tc>
              <w:tc>
                <w:tcPr>
                  <w:tcW w:w="2041" w:type="dxa"/>
                  <w:tcBorders>
                    <w:top w:val="nil"/>
                    <w:left w:val="nil"/>
                    <w:bottom w:val="single" w:sz="4" w:space="0" w:color="auto"/>
                  </w:tcBorders>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p>
              </w:tc>
              <w:tc>
                <w:tcPr>
                  <w:tcW w:w="1021" w:type="dxa"/>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center"/>
                    <w:textAlignment w:val="baseline"/>
                    <w:rPr>
                      <w:rFonts w:eastAsia="Calibri" w:cs="Arial"/>
                      <w:sz w:val="18"/>
                      <w:szCs w:val="20"/>
                      <w:lang w:val="de-DE"/>
                    </w:rPr>
                  </w:pPr>
                  <w:r w:rsidRPr="00C903F8">
                    <w:rPr>
                      <w:rFonts w:eastAsia="Calibri" w:cs="Arial"/>
                      <w:sz w:val="18"/>
                      <w:szCs w:val="20"/>
                      <w:lang w:val="de-DE"/>
                    </w:rPr>
                    <w:t>4</w:t>
                  </w:r>
                </w:p>
              </w:tc>
              <w:tc>
                <w:tcPr>
                  <w:tcW w:w="1021" w:type="dxa"/>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center"/>
                    <w:textAlignment w:val="baseline"/>
                    <w:rPr>
                      <w:rFonts w:eastAsia="Calibri" w:cs="Arial"/>
                      <w:sz w:val="18"/>
                      <w:szCs w:val="20"/>
                      <w:lang w:val="de-DE"/>
                    </w:rPr>
                  </w:pPr>
                  <w:r w:rsidRPr="00C903F8">
                    <w:rPr>
                      <w:rFonts w:eastAsia="Calibri" w:cs="Arial"/>
                      <w:sz w:val="18"/>
                      <w:szCs w:val="20"/>
                      <w:lang w:val="de-DE"/>
                    </w:rPr>
                    <w:t>3</w:t>
                  </w:r>
                </w:p>
              </w:tc>
              <w:tc>
                <w:tcPr>
                  <w:tcW w:w="1021" w:type="dxa"/>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center"/>
                    <w:textAlignment w:val="baseline"/>
                    <w:rPr>
                      <w:rFonts w:eastAsia="Calibri" w:cs="Arial"/>
                      <w:sz w:val="18"/>
                      <w:szCs w:val="20"/>
                      <w:lang w:val="de-DE"/>
                    </w:rPr>
                  </w:pPr>
                  <w:r w:rsidRPr="00C903F8">
                    <w:rPr>
                      <w:rFonts w:eastAsia="Calibri" w:cs="Arial"/>
                      <w:sz w:val="18"/>
                      <w:szCs w:val="20"/>
                      <w:lang w:val="de-DE"/>
                    </w:rPr>
                    <w:t>2</w:t>
                  </w:r>
                </w:p>
              </w:tc>
              <w:tc>
                <w:tcPr>
                  <w:tcW w:w="1021" w:type="dxa"/>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center"/>
                    <w:textAlignment w:val="baseline"/>
                    <w:rPr>
                      <w:rFonts w:eastAsia="Calibri" w:cs="Arial"/>
                      <w:sz w:val="18"/>
                      <w:szCs w:val="20"/>
                      <w:lang w:val="de-DE"/>
                    </w:rPr>
                  </w:pPr>
                  <w:r w:rsidRPr="00C903F8">
                    <w:rPr>
                      <w:rFonts w:eastAsia="Calibri" w:cs="Arial"/>
                      <w:sz w:val="18"/>
                      <w:szCs w:val="20"/>
                      <w:lang w:val="de-DE"/>
                    </w:rPr>
                    <w:t>1</w:t>
                  </w:r>
                </w:p>
              </w:tc>
              <w:tc>
                <w:tcPr>
                  <w:tcW w:w="1021" w:type="dxa"/>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p>
              </w:tc>
              <w:tc>
                <w:tcPr>
                  <w:tcW w:w="170" w:type="dxa"/>
                  <w:tcBorders>
                    <w:top w:val="nil"/>
                    <w:bottom w:val="nil"/>
                    <w:right w:val="nil"/>
                  </w:tcBorders>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Cs w:val="20"/>
                      <w:lang w:val="de-DE"/>
                    </w:rPr>
                  </w:pPr>
                </w:p>
              </w:tc>
            </w:tr>
            <w:tr w:rsidR="009C13A9" w:rsidRPr="00C903F8" w:rsidTr="009C13A9">
              <w:trPr>
                <w:jc w:val="center"/>
              </w:trPr>
              <w:tc>
                <w:tcPr>
                  <w:tcW w:w="1077" w:type="dxa"/>
                  <w:tcBorders>
                    <w:top w:val="single" w:sz="4" w:space="0" w:color="auto"/>
                    <w:bottom w:val="nil"/>
                  </w:tcBorders>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r w:rsidRPr="00C903F8">
                    <w:rPr>
                      <w:noProof/>
                      <w:sz w:val="18"/>
                    </w:rPr>
                    <w:t xml:space="preserve">Freeboard </w:t>
                  </w:r>
                  <w:r w:rsidRPr="00C903F8">
                    <w:rPr>
                      <w:rFonts w:eastAsia="Calibri" w:cs="Arial"/>
                      <w:sz w:val="18"/>
                      <w:szCs w:val="20"/>
                      <w:lang w:val="de-DE"/>
                    </w:rPr>
                    <w:t>(cm)</w:t>
                  </w:r>
                </w:p>
              </w:tc>
              <w:tc>
                <w:tcPr>
                  <w:tcW w:w="2041" w:type="dxa"/>
                  <w:tcBorders>
                    <w:top w:val="single" w:sz="4" w:space="0" w:color="auto"/>
                  </w:tcBorders>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r w:rsidRPr="00C903F8">
                    <w:rPr>
                      <w:noProof/>
                      <w:sz w:val="18"/>
                    </w:rPr>
                    <w:t>with hold closed</w:t>
                  </w:r>
                </w:p>
              </w:tc>
              <w:tc>
                <w:tcPr>
                  <w:tcW w:w="1021" w:type="dxa"/>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p>
              </w:tc>
              <w:tc>
                <w:tcPr>
                  <w:tcW w:w="1021" w:type="dxa"/>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p>
              </w:tc>
              <w:tc>
                <w:tcPr>
                  <w:tcW w:w="1021" w:type="dxa"/>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p>
              </w:tc>
              <w:tc>
                <w:tcPr>
                  <w:tcW w:w="1021" w:type="dxa"/>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p>
              </w:tc>
              <w:tc>
                <w:tcPr>
                  <w:tcW w:w="1021" w:type="dxa"/>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p>
              </w:tc>
              <w:tc>
                <w:tcPr>
                  <w:tcW w:w="170" w:type="dxa"/>
                  <w:tcBorders>
                    <w:top w:val="nil"/>
                    <w:bottom w:val="nil"/>
                    <w:right w:val="nil"/>
                  </w:tcBorders>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Cs w:val="20"/>
                      <w:lang w:val="de-DE"/>
                    </w:rPr>
                  </w:pPr>
                </w:p>
              </w:tc>
            </w:tr>
            <w:tr w:rsidR="009C13A9" w:rsidRPr="00C903F8" w:rsidTr="009C13A9">
              <w:trPr>
                <w:jc w:val="center"/>
              </w:trPr>
              <w:tc>
                <w:tcPr>
                  <w:tcW w:w="1077" w:type="dxa"/>
                  <w:tcBorders>
                    <w:top w:val="nil"/>
                  </w:tcBorders>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p>
              </w:tc>
              <w:tc>
                <w:tcPr>
                  <w:tcW w:w="2041" w:type="dxa"/>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r w:rsidRPr="00C903F8">
                    <w:rPr>
                      <w:noProof/>
                      <w:sz w:val="18"/>
                    </w:rPr>
                    <w:t>with hold open</w:t>
                  </w:r>
                </w:p>
              </w:tc>
              <w:tc>
                <w:tcPr>
                  <w:tcW w:w="1021" w:type="dxa"/>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p>
              </w:tc>
              <w:tc>
                <w:tcPr>
                  <w:tcW w:w="1021" w:type="dxa"/>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p>
              </w:tc>
              <w:tc>
                <w:tcPr>
                  <w:tcW w:w="1021" w:type="dxa"/>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p>
              </w:tc>
              <w:tc>
                <w:tcPr>
                  <w:tcW w:w="1021" w:type="dxa"/>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p>
              </w:tc>
              <w:tc>
                <w:tcPr>
                  <w:tcW w:w="1021" w:type="dxa"/>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 w:val="18"/>
                      <w:szCs w:val="20"/>
                      <w:lang w:val="de-DE"/>
                    </w:rPr>
                  </w:pPr>
                </w:p>
              </w:tc>
              <w:tc>
                <w:tcPr>
                  <w:tcW w:w="170" w:type="dxa"/>
                  <w:tcBorders>
                    <w:top w:val="nil"/>
                    <w:bottom w:val="nil"/>
                    <w:right w:val="nil"/>
                  </w:tcBorders>
                  <w:shd w:val="clear" w:color="auto" w:fill="auto"/>
                </w:tcPr>
                <w:p w:rsidR="009C13A9" w:rsidRPr="00C903F8" w:rsidRDefault="009C13A9" w:rsidP="009C13A9">
                  <w:pPr>
                    <w:tabs>
                      <w:tab w:val="left" w:pos="57"/>
                      <w:tab w:val="left" w:pos="345"/>
                      <w:tab w:val="left" w:leader="dot" w:pos="8505"/>
                    </w:tabs>
                    <w:overflowPunct w:val="0"/>
                    <w:adjustRightInd w:val="0"/>
                    <w:spacing w:before="60" w:after="60" w:line="240" w:lineRule="atLeast"/>
                    <w:ind w:left="0" w:firstLine="0"/>
                    <w:jc w:val="left"/>
                    <w:textAlignment w:val="baseline"/>
                    <w:rPr>
                      <w:rFonts w:eastAsia="Calibri" w:cs="Arial"/>
                      <w:szCs w:val="20"/>
                      <w:lang w:val="de-DE"/>
                    </w:rPr>
                  </w:pPr>
                </w:p>
              </w:tc>
            </w:tr>
          </w:tbl>
          <w:p w:rsidR="009C13A9" w:rsidRPr="00C903F8" w:rsidRDefault="009C13A9" w:rsidP="009C13A9">
            <w:pPr>
              <w:widowControl w:val="0"/>
              <w:tabs>
                <w:tab w:val="left" w:pos="426"/>
                <w:tab w:val="right" w:pos="8789"/>
              </w:tabs>
              <w:spacing w:before="240" w:line="360" w:lineRule="auto"/>
              <w:ind w:left="426" w:hanging="426"/>
              <w:jc w:val="left"/>
              <w:rPr>
                <w:noProof/>
                <w:lang w:val="en-US"/>
              </w:rPr>
            </w:pPr>
          </w:p>
        </w:tc>
      </w:tr>
      <w:tr w:rsidR="009C13A9" w:rsidRPr="00C903F8" w:rsidTr="009C13A9">
        <w:tc>
          <w:tcPr>
            <w:tcW w:w="9322" w:type="dxa"/>
            <w:tcBorders>
              <w:top w:val="nil"/>
              <w:left w:val="single" w:sz="4" w:space="0" w:color="auto"/>
              <w:bottom w:val="single" w:sz="4" w:space="0" w:color="auto"/>
            </w:tcBorders>
          </w:tcPr>
          <w:p w:rsidR="009C13A9" w:rsidRPr="00C903F8" w:rsidRDefault="009C13A9" w:rsidP="009C13A9">
            <w:pPr>
              <w:widowControl w:val="0"/>
              <w:tabs>
                <w:tab w:val="left" w:pos="426"/>
                <w:tab w:val="right" w:pos="8789"/>
              </w:tabs>
              <w:spacing w:before="240" w:line="360" w:lineRule="auto"/>
              <w:ind w:left="426" w:hanging="426"/>
              <w:jc w:val="left"/>
              <w:rPr>
                <w:noProof/>
                <w:szCs w:val="20"/>
                <w:lang w:val="en-US"/>
              </w:rPr>
            </w:pPr>
            <w:r w:rsidRPr="00C903F8">
              <w:rPr>
                <w:noProof/>
                <w:lang w:val="en-US"/>
              </w:rPr>
              <w:t>12.</w:t>
            </w:r>
            <w:r w:rsidRPr="00C903F8">
              <w:rPr>
                <w:lang w:val="en-US"/>
              </w:rPr>
              <w:tab/>
            </w:r>
            <w:r w:rsidR="00E3172D" w:rsidRPr="00C903F8">
              <w:rPr>
                <w:noProof/>
                <w:lang w:val="en-US"/>
              </w:rPr>
              <w:t xml:space="preserve">Derogations from </w:t>
            </w:r>
            <w:r w:rsidR="00E3172D" w:rsidRPr="00677052">
              <w:rPr>
                <w:noProof/>
                <w:lang w:val="en-US"/>
              </w:rPr>
              <w:t>inland navigation vessel certificate</w:t>
            </w:r>
            <w:r w:rsidR="00E3172D" w:rsidRPr="00505E69">
              <w:rPr>
                <w:noProof/>
                <w:lang w:val="en-US"/>
              </w:rPr>
              <w:t xml:space="preserve"> </w:t>
            </w:r>
            <w:r w:rsidR="00E3172D" w:rsidRPr="00C903F8">
              <w:rPr>
                <w:noProof/>
                <w:lang w:val="en-US"/>
              </w:rPr>
              <w:t xml:space="preserve">No </w:t>
            </w:r>
            <w:r w:rsidRPr="00C903F8">
              <w:rPr>
                <w:noProof/>
                <w:lang w:val="en-US"/>
              </w:rPr>
              <w:t>……………………….</w:t>
            </w:r>
          </w:p>
          <w:p w:rsidR="009C13A9" w:rsidRPr="00C903F8" w:rsidRDefault="009C13A9" w:rsidP="009C13A9">
            <w:pPr>
              <w:widowControl w:val="0"/>
              <w:tabs>
                <w:tab w:val="right" w:leader="dot" w:pos="8789"/>
              </w:tabs>
              <w:spacing w:line="360" w:lineRule="auto"/>
              <w:ind w:left="426" w:firstLine="0"/>
              <w:jc w:val="left"/>
              <w:rPr>
                <w:noProof/>
                <w:lang w:val="en-US"/>
              </w:rPr>
            </w:pPr>
            <w:r w:rsidRPr="00C903F8">
              <w:rPr>
                <w:noProof/>
                <w:lang w:val="en-US"/>
              </w:rPr>
              <w:tab/>
            </w:r>
          </w:p>
          <w:p w:rsidR="009C13A9" w:rsidRPr="00C903F8" w:rsidRDefault="009C13A9" w:rsidP="009C13A9">
            <w:pPr>
              <w:widowControl w:val="0"/>
              <w:tabs>
                <w:tab w:val="right" w:leader="dot" w:pos="8789"/>
              </w:tabs>
              <w:spacing w:line="360" w:lineRule="auto"/>
              <w:ind w:left="426" w:firstLine="0"/>
              <w:jc w:val="left"/>
              <w:rPr>
                <w:noProof/>
                <w:lang w:val="en-US"/>
              </w:rPr>
            </w:pPr>
            <w:r w:rsidRPr="00C903F8">
              <w:rPr>
                <w:noProof/>
                <w:lang w:val="en-US"/>
              </w:rPr>
              <w:tab/>
            </w:r>
          </w:p>
          <w:p w:rsidR="009C13A9" w:rsidRPr="00C903F8" w:rsidRDefault="009C13A9" w:rsidP="009C13A9">
            <w:pPr>
              <w:widowControl w:val="0"/>
              <w:tabs>
                <w:tab w:val="right" w:leader="dot" w:pos="8789"/>
              </w:tabs>
              <w:spacing w:line="360" w:lineRule="auto"/>
              <w:ind w:left="426" w:firstLine="0"/>
              <w:jc w:val="left"/>
              <w:rPr>
                <w:noProof/>
                <w:lang w:val="en-US"/>
              </w:rPr>
            </w:pPr>
            <w:r w:rsidRPr="00C903F8">
              <w:rPr>
                <w:noProof/>
                <w:lang w:val="en-US"/>
              </w:rPr>
              <w:tab/>
            </w:r>
          </w:p>
          <w:p w:rsidR="009C13A9" w:rsidRPr="00C903F8" w:rsidRDefault="009C13A9" w:rsidP="009C13A9">
            <w:pPr>
              <w:widowControl w:val="0"/>
              <w:tabs>
                <w:tab w:val="right" w:leader="dot" w:pos="8789"/>
              </w:tabs>
              <w:spacing w:line="360" w:lineRule="auto"/>
              <w:ind w:left="426" w:firstLine="0"/>
              <w:jc w:val="left"/>
              <w:rPr>
                <w:noProof/>
                <w:lang w:val="en-US"/>
              </w:rPr>
            </w:pPr>
            <w:r w:rsidRPr="00C903F8">
              <w:rPr>
                <w:noProof/>
                <w:lang w:val="en-US"/>
              </w:rPr>
              <w:tab/>
            </w:r>
          </w:p>
          <w:p w:rsidR="009C13A9" w:rsidRPr="00C903F8" w:rsidRDefault="009C13A9" w:rsidP="009C13A9">
            <w:pPr>
              <w:widowControl w:val="0"/>
              <w:tabs>
                <w:tab w:val="right" w:leader="dot" w:pos="8789"/>
              </w:tabs>
              <w:spacing w:line="360" w:lineRule="auto"/>
              <w:ind w:left="426" w:firstLine="0"/>
              <w:jc w:val="left"/>
              <w:rPr>
                <w:noProof/>
                <w:lang w:val="en-US"/>
              </w:rPr>
            </w:pPr>
            <w:r w:rsidRPr="00C903F8">
              <w:rPr>
                <w:noProof/>
                <w:lang w:val="en-US"/>
              </w:rPr>
              <w:tab/>
            </w:r>
          </w:p>
          <w:p w:rsidR="009C13A9" w:rsidRPr="00C903F8" w:rsidRDefault="009C13A9" w:rsidP="009C13A9">
            <w:pPr>
              <w:widowControl w:val="0"/>
              <w:tabs>
                <w:tab w:val="right" w:leader="dot" w:pos="8789"/>
              </w:tabs>
              <w:spacing w:line="360" w:lineRule="auto"/>
              <w:ind w:left="426" w:firstLine="0"/>
              <w:jc w:val="left"/>
              <w:rPr>
                <w:noProof/>
                <w:lang w:val="en-US"/>
              </w:rPr>
            </w:pPr>
            <w:r w:rsidRPr="00C903F8">
              <w:rPr>
                <w:noProof/>
                <w:lang w:val="en-US"/>
              </w:rPr>
              <w:tab/>
            </w:r>
          </w:p>
          <w:p w:rsidR="009C13A9" w:rsidRPr="00677052" w:rsidRDefault="009C13A9" w:rsidP="009C13A9">
            <w:pPr>
              <w:widowControl w:val="0"/>
              <w:tabs>
                <w:tab w:val="right" w:pos="8789"/>
              </w:tabs>
              <w:spacing w:line="360" w:lineRule="auto"/>
              <w:ind w:left="426" w:hanging="426"/>
              <w:jc w:val="left"/>
              <w:rPr>
                <w:noProof/>
                <w:szCs w:val="20"/>
                <w:lang w:val="en-US"/>
              </w:rPr>
            </w:pPr>
            <w:r w:rsidRPr="00C903F8">
              <w:rPr>
                <w:noProof/>
                <w:lang w:val="en-US"/>
              </w:rPr>
              <w:t>13.</w:t>
            </w:r>
            <w:r w:rsidRPr="00C903F8">
              <w:rPr>
                <w:lang w:val="en-US"/>
              </w:rPr>
              <w:tab/>
            </w:r>
            <w:r w:rsidR="00E3172D" w:rsidRPr="00C903F8">
              <w:rPr>
                <w:noProof/>
                <w:lang w:val="en-US"/>
              </w:rPr>
              <w:t xml:space="preserve">The entries concerning the number of crew members in the </w:t>
            </w:r>
            <w:r w:rsidR="00E3172D" w:rsidRPr="00677052">
              <w:rPr>
                <w:noProof/>
                <w:lang w:val="en-US"/>
              </w:rPr>
              <w:t>inland navigation vessel certificate do not apply.</w:t>
            </w:r>
          </w:p>
          <w:p w:rsidR="009C13A9" w:rsidRPr="00C903F8" w:rsidRDefault="009C13A9" w:rsidP="009C13A9">
            <w:pPr>
              <w:widowControl w:val="0"/>
              <w:tabs>
                <w:tab w:val="right" w:leader="dot" w:pos="6804"/>
              </w:tabs>
              <w:spacing w:line="360" w:lineRule="auto"/>
              <w:jc w:val="left"/>
              <w:rPr>
                <w:noProof/>
                <w:szCs w:val="20"/>
                <w:lang w:val="en-US"/>
              </w:rPr>
            </w:pPr>
            <w:r w:rsidRPr="00677052">
              <w:rPr>
                <w:noProof/>
                <w:lang w:val="en-US"/>
              </w:rPr>
              <w:t>14.</w:t>
            </w:r>
            <w:r w:rsidRPr="00677052">
              <w:rPr>
                <w:lang w:val="en-US"/>
              </w:rPr>
              <w:tab/>
            </w:r>
            <w:r w:rsidR="00E3172D" w:rsidRPr="00677052">
              <w:rPr>
                <w:noProof/>
                <w:lang w:val="en-US"/>
              </w:rPr>
              <w:t>Having regard to inland navigation vessel certificate No</w:t>
            </w:r>
            <w:r w:rsidRPr="00C903F8">
              <w:rPr>
                <w:noProof/>
                <w:lang w:val="en-US"/>
              </w:rPr>
              <w:tab/>
            </w:r>
          </w:p>
          <w:p w:rsidR="009C13A9" w:rsidRPr="00C903F8" w:rsidRDefault="009C13A9" w:rsidP="009C13A9">
            <w:pPr>
              <w:widowControl w:val="0"/>
              <w:tabs>
                <w:tab w:val="left" w:pos="709"/>
                <w:tab w:val="left" w:leader="dot" w:pos="3686"/>
                <w:tab w:val="right" w:leader="dot" w:pos="8789"/>
              </w:tabs>
              <w:spacing w:line="360" w:lineRule="auto"/>
              <w:ind w:left="426" w:firstLine="0"/>
              <w:jc w:val="left"/>
              <w:rPr>
                <w:noProof/>
                <w:szCs w:val="20"/>
                <w:lang w:val="en-US"/>
              </w:rPr>
            </w:pPr>
            <w:r w:rsidRPr="00C903F8">
              <w:rPr>
                <w:noProof/>
                <w:lang w:val="en-US"/>
              </w:rPr>
              <w:t xml:space="preserve">dated </w:t>
            </w:r>
            <w:r w:rsidRPr="00C903F8">
              <w:rPr>
                <w:noProof/>
                <w:lang w:val="en-US"/>
              </w:rPr>
              <w:tab/>
              <w:t xml:space="preserve"> valid until </w:t>
            </w:r>
            <w:r w:rsidRPr="00C903F8">
              <w:rPr>
                <w:noProof/>
                <w:lang w:val="en-US"/>
              </w:rPr>
              <w:tab/>
            </w:r>
          </w:p>
          <w:p w:rsidR="009C13A9" w:rsidRPr="00C903F8" w:rsidRDefault="009C13A9" w:rsidP="009C13A9">
            <w:pPr>
              <w:widowControl w:val="0"/>
              <w:tabs>
                <w:tab w:val="left" w:pos="709"/>
                <w:tab w:val="right" w:leader="dot" w:pos="8789"/>
              </w:tabs>
              <w:spacing w:line="360" w:lineRule="auto"/>
              <w:ind w:left="426" w:firstLine="0"/>
              <w:jc w:val="left"/>
              <w:rPr>
                <w:noProof/>
                <w:lang w:val="en-US"/>
              </w:rPr>
            </w:pPr>
            <w:r w:rsidRPr="00C903F8">
              <w:rPr>
                <w:noProof/>
                <w:lang w:val="en-US"/>
              </w:rPr>
              <w:t xml:space="preserve">Having regard to the result of the inspection </w:t>
            </w:r>
            <w:r w:rsidRPr="00C903F8">
              <w:rPr>
                <w:noProof/>
                <w:lang w:val="en-US"/>
              </w:rPr>
              <w:tab/>
              <w:t>,</w:t>
            </w:r>
          </w:p>
          <w:p w:rsidR="009C13A9" w:rsidRPr="00C903F8" w:rsidRDefault="009C13A9" w:rsidP="009C13A9">
            <w:pPr>
              <w:widowControl w:val="0"/>
              <w:tabs>
                <w:tab w:val="left" w:pos="709"/>
                <w:tab w:val="right" w:leader="dot" w:pos="8789"/>
              </w:tabs>
              <w:spacing w:line="360" w:lineRule="auto"/>
              <w:ind w:left="426" w:firstLine="0"/>
              <w:jc w:val="left"/>
              <w:rPr>
                <w:noProof/>
                <w:szCs w:val="20"/>
                <w:lang w:val="en-US"/>
              </w:rPr>
            </w:pPr>
            <w:r w:rsidRPr="00C903F8">
              <w:rPr>
                <w:noProof/>
                <w:lang w:val="en-US"/>
              </w:rPr>
              <w:t>on ………………………….,</w:t>
            </w:r>
          </w:p>
          <w:p w:rsidR="009C13A9" w:rsidRPr="00C903F8" w:rsidRDefault="009C13A9" w:rsidP="009C13A9">
            <w:pPr>
              <w:widowControl w:val="0"/>
              <w:tabs>
                <w:tab w:val="right" w:leader="dot" w:pos="8789"/>
              </w:tabs>
              <w:spacing w:line="360" w:lineRule="auto"/>
              <w:ind w:left="426" w:firstLine="0"/>
              <w:jc w:val="left"/>
              <w:rPr>
                <w:noProof/>
                <w:lang w:val="en-US"/>
              </w:rPr>
            </w:pPr>
            <w:r w:rsidRPr="00C903F8">
              <w:rPr>
                <w:noProof/>
                <w:lang w:val="en-US"/>
              </w:rPr>
              <w:t xml:space="preserve">This supplementary certificate is extended/renewed </w:t>
            </w:r>
            <w:r w:rsidRPr="00C903F8">
              <w:rPr>
                <w:noProof/>
                <w:vertAlign w:val="superscript"/>
                <w:lang w:val="en-US"/>
              </w:rPr>
              <w:t>(1)</w:t>
            </w:r>
            <w:r w:rsidRPr="00C903F8">
              <w:rPr>
                <w:noProof/>
                <w:lang w:val="en-US"/>
              </w:rPr>
              <w:t xml:space="preserve"> until </w:t>
            </w:r>
            <w:r w:rsidRPr="00C903F8">
              <w:rPr>
                <w:noProof/>
                <w:lang w:val="en-US"/>
              </w:rPr>
              <w:tab/>
            </w:r>
          </w:p>
          <w:p w:rsidR="009C13A9" w:rsidRPr="00C903F8" w:rsidRDefault="009C13A9" w:rsidP="009C13A9">
            <w:pPr>
              <w:widowControl w:val="0"/>
              <w:tabs>
                <w:tab w:val="right" w:leader="dot" w:pos="8789"/>
              </w:tabs>
              <w:spacing w:line="360" w:lineRule="auto"/>
              <w:ind w:left="284" w:firstLine="0"/>
              <w:jc w:val="left"/>
              <w:rPr>
                <w:lang w:val="en-US"/>
              </w:rPr>
            </w:pPr>
            <w:r w:rsidRPr="00C903F8">
              <w:rPr>
                <w:lang w:val="en-US"/>
              </w:rPr>
              <w:tab/>
            </w:r>
          </w:p>
          <w:p w:rsidR="009C13A9" w:rsidRPr="00C903F8" w:rsidRDefault="009C13A9" w:rsidP="009C13A9">
            <w:pPr>
              <w:widowControl w:val="0"/>
              <w:tabs>
                <w:tab w:val="right" w:leader="dot" w:pos="8789"/>
              </w:tabs>
              <w:spacing w:line="360" w:lineRule="auto"/>
              <w:ind w:left="284" w:firstLine="0"/>
              <w:jc w:val="left"/>
              <w:rPr>
                <w:lang w:val="en-US"/>
              </w:rPr>
            </w:pPr>
          </w:p>
          <w:p w:rsidR="009C13A9" w:rsidRPr="00C903F8" w:rsidRDefault="009C13A9" w:rsidP="009C13A9">
            <w:pPr>
              <w:widowControl w:val="0"/>
              <w:tabs>
                <w:tab w:val="left" w:pos="5954"/>
                <w:tab w:val="left" w:leader="dot" w:pos="8789"/>
              </w:tabs>
              <w:spacing w:line="240" w:lineRule="atLeast"/>
              <w:ind w:left="0" w:firstLine="0"/>
              <w:jc w:val="left"/>
              <w:rPr>
                <w:noProof/>
                <w:lang w:val="en-US"/>
              </w:rPr>
            </w:pPr>
            <w:r w:rsidRPr="00C903F8">
              <w:rPr>
                <w:noProof/>
                <w:lang w:val="en-US"/>
              </w:rPr>
              <w:tab/>
            </w:r>
            <w:r w:rsidRPr="00C903F8">
              <w:rPr>
                <w:noProof/>
                <w:lang w:val="en-US"/>
              </w:rPr>
              <w:tab/>
              <w:t>,</w:t>
            </w:r>
          </w:p>
          <w:p w:rsidR="009C13A9" w:rsidRPr="00C903F8" w:rsidRDefault="009C13A9" w:rsidP="009C13A9">
            <w:pPr>
              <w:widowControl w:val="0"/>
              <w:tabs>
                <w:tab w:val="left" w:pos="6804"/>
                <w:tab w:val="left" w:leader="dot" w:pos="8789"/>
              </w:tabs>
              <w:spacing w:after="240" w:line="360" w:lineRule="auto"/>
              <w:ind w:left="0" w:firstLine="0"/>
              <w:jc w:val="left"/>
              <w:rPr>
                <w:noProof/>
                <w:lang w:val="en-US"/>
              </w:rPr>
            </w:pPr>
            <w:r w:rsidRPr="00C903F8">
              <w:rPr>
                <w:noProof/>
                <w:sz w:val="16"/>
                <w:lang w:val="en-US"/>
              </w:rPr>
              <w:tab/>
            </w:r>
            <w:r w:rsidRPr="00C903F8">
              <w:rPr>
                <w:noProof/>
                <w:lang w:val="en-US"/>
              </w:rPr>
              <w:t>(Place) (Date)</w:t>
            </w:r>
          </w:p>
          <w:p w:rsidR="009C13A9" w:rsidRPr="00C903F8" w:rsidRDefault="009C13A9" w:rsidP="009C13A9">
            <w:pPr>
              <w:widowControl w:val="0"/>
              <w:tabs>
                <w:tab w:val="left" w:pos="5954"/>
                <w:tab w:val="left" w:leader="dot" w:pos="8789"/>
              </w:tabs>
              <w:spacing w:line="240" w:lineRule="atLeast"/>
              <w:ind w:left="0" w:firstLine="0"/>
              <w:jc w:val="left"/>
              <w:rPr>
                <w:noProof/>
                <w:szCs w:val="20"/>
                <w:lang w:val="en-US"/>
              </w:rPr>
            </w:pPr>
            <w:r w:rsidRPr="00C903F8">
              <w:rPr>
                <w:lang w:val="en-US"/>
              </w:rPr>
              <w:tab/>
            </w:r>
            <w:r w:rsidRPr="00C903F8">
              <w:rPr>
                <w:noProof/>
                <w:lang w:val="en-US"/>
              </w:rPr>
              <w:t>…………………………………….</w:t>
            </w:r>
          </w:p>
          <w:p w:rsidR="009C13A9" w:rsidRPr="00C903F8" w:rsidRDefault="009C13A9" w:rsidP="009C13A9">
            <w:pPr>
              <w:widowControl w:val="0"/>
              <w:tabs>
                <w:tab w:val="left" w:pos="6521"/>
                <w:tab w:val="left" w:leader="dot" w:pos="8789"/>
              </w:tabs>
              <w:spacing w:after="240" w:line="360" w:lineRule="auto"/>
              <w:ind w:left="0" w:firstLine="0"/>
              <w:jc w:val="left"/>
              <w:rPr>
                <w:noProof/>
                <w:lang w:val="en-US"/>
              </w:rPr>
            </w:pPr>
            <w:r w:rsidRPr="00C903F8">
              <w:rPr>
                <w:lang w:val="en-US"/>
              </w:rPr>
              <w:tab/>
            </w:r>
            <w:r w:rsidRPr="00C903F8">
              <w:rPr>
                <w:noProof/>
                <w:lang w:val="en-US"/>
              </w:rPr>
              <w:t>(</w:t>
            </w:r>
            <w:r w:rsidR="00D11A51" w:rsidRPr="00C903F8">
              <w:rPr>
                <w:noProof/>
                <w:lang w:val="en-US"/>
              </w:rPr>
              <w:t>Inspection body</w:t>
            </w:r>
            <w:r w:rsidRPr="00C903F8">
              <w:rPr>
                <w:noProof/>
                <w:lang w:val="en-US"/>
              </w:rPr>
              <w:t>)</w:t>
            </w:r>
          </w:p>
          <w:p w:rsidR="009C13A9" w:rsidRPr="00C903F8" w:rsidRDefault="00313B91" w:rsidP="009C13A9">
            <w:pPr>
              <w:widowControl w:val="0"/>
              <w:tabs>
                <w:tab w:val="center" w:pos="6804"/>
                <w:tab w:val="left" w:leader="dot" w:pos="8789"/>
              </w:tabs>
              <w:spacing w:line="240" w:lineRule="atLeast"/>
              <w:ind w:left="1134" w:firstLine="0"/>
              <w:jc w:val="left"/>
              <w:rPr>
                <w:noProof/>
                <w:szCs w:val="20"/>
                <w:lang w:val="en-US"/>
              </w:rPr>
            </w:pPr>
            <w:r w:rsidRPr="00C903F8">
              <w:rPr>
                <w:noProof/>
                <w:lang w:val="en-US"/>
              </w:rPr>
              <w:t>Stamp</w:t>
            </w:r>
          </w:p>
          <w:p w:rsidR="009C13A9" w:rsidRPr="00C903F8" w:rsidRDefault="009C13A9" w:rsidP="009C13A9">
            <w:pPr>
              <w:widowControl w:val="0"/>
              <w:tabs>
                <w:tab w:val="left" w:pos="5954"/>
                <w:tab w:val="left" w:leader="dot" w:pos="8789"/>
              </w:tabs>
              <w:spacing w:line="240" w:lineRule="atLeast"/>
              <w:ind w:left="0" w:firstLine="0"/>
              <w:jc w:val="left"/>
              <w:rPr>
                <w:noProof/>
                <w:szCs w:val="20"/>
                <w:lang w:val="en-US"/>
              </w:rPr>
            </w:pPr>
            <w:r w:rsidRPr="00C903F8">
              <w:rPr>
                <w:lang w:val="en-US"/>
              </w:rPr>
              <w:tab/>
            </w:r>
            <w:r w:rsidRPr="00C903F8">
              <w:rPr>
                <w:noProof/>
                <w:lang w:val="en-US"/>
              </w:rPr>
              <w:t>…………………………………….</w:t>
            </w:r>
          </w:p>
          <w:p w:rsidR="009C13A9" w:rsidRPr="00C903F8" w:rsidRDefault="009C13A9" w:rsidP="009C13A9">
            <w:pPr>
              <w:widowControl w:val="0"/>
              <w:tabs>
                <w:tab w:val="left" w:pos="7088"/>
                <w:tab w:val="left" w:leader="dot" w:pos="8789"/>
              </w:tabs>
              <w:spacing w:after="240" w:line="360" w:lineRule="auto"/>
              <w:ind w:left="0" w:firstLine="0"/>
              <w:jc w:val="left"/>
              <w:rPr>
                <w:noProof/>
                <w:sz w:val="16"/>
                <w:szCs w:val="20"/>
              </w:rPr>
            </w:pPr>
            <w:r w:rsidRPr="00C903F8">
              <w:rPr>
                <w:lang w:val="en-US"/>
              </w:rPr>
              <w:tab/>
            </w:r>
            <w:r w:rsidRPr="00C903F8">
              <w:rPr>
                <w:noProof/>
              </w:rPr>
              <w:t>(Signature)</w:t>
            </w:r>
          </w:p>
          <w:p w:rsidR="009C13A9" w:rsidRPr="00C903F8" w:rsidRDefault="009C13A9" w:rsidP="009C13A9">
            <w:pPr>
              <w:widowControl w:val="0"/>
              <w:tabs>
                <w:tab w:val="left" w:pos="6946"/>
                <w:tab w:val="left" w:leader="dot" w:pos="8789"/>
              </w:tabs>
              <w:spacing w:before="960" w:line="240" w:lineRule="atLeast"/>
              <w:ind w:left="284" w:hanging="284"/>
              <w:jc w:val="left"/>
              <w:rPr>
                <w:noProof/>
                <w:sz w:val="16"/>
                <w:szCs w:val="20"/>
                <w:vertAlign w:val="superscript"/>
              </w:rPr>
            </w:pPr>
            <w:r w:rsidRPr="00C903F8">
              <w:rPr>
                <w:noProof/>
                <w:sz w:val="16"/>
                <w:vertAlign w:val="superscript"/>
              </w:rPr>
              <w:t>_________________</w:t>
            </w:r>
          </w:p>
          <w:p w:rsidR="009C13A9" w:rsidRPr="00C903F8" w:rsidRDefault="009C13A9" w:rsidP="00FF6A33">
            <w:pPr>
              <w:widowControl w:val="0"/>
              <w:tabs>
                <w:tab w:val="right" w:pos="8789"/>
              </w:tabs>
              <w:spacing w:line="360" w:lineRule="auto"/>
              <w:ind w:left="284" w:hanging="284"/>
              <w:jc w:val="left"/>
              <w:rPr>
                <w:noProof/>
                <w:szCs w:val="20"/>
              </w:rPr>
            </w:pPr>
            <w:r w:rsidRPr="00C903F8">
              <w:rPr>
                <w:noProof/>
                <w:sz w:val="16"/>
                <w:vertAlign w:val="superscript"/>
              </w:rPr>
              <w:t>(1)</w:t>
            </w:r>
            <w:r w:rsidRPr="00C903F8">
              <w:rPr>
                <w:noProof/>
                <w:sz w:val="16"/>
              </w:rPr>
              <w:t xml:space="preserve"> Delete </w:t>
            </w:r>
            <w:r w:rsidR="00FF6A33">
              <w:rPr>
                <w:noProof/>
                <w:sz w:val="16"/>
              </w:rPr>
              <w:t>as appropriate</w:t>
            </w:r>
            <w:r w:rsidRPr="00C903F8">
              <w:rPr>
                <w:noProof/>
                <w:sz w:val="16"/>
              </w:rPr>
              <w:t>.</w:t>
            </w:r>
          </w:p>
        </w:tc>
      </w:tr>
    </w:tbl>
    <w:p w:rsidR="009C13A9" w:rsidRPr="00C903F8" w:rsidRDefault="009C13A9" w:rsidP="00857FC2">
      <w:pPr>
        <w:pStyle w:val="ES-Titre3"/>
        <w:rPr>
          <w:noProof/>
          <w:lang w:val="en-GB"/>
        </w:rPr>
      </w:pPr>
      <w:r w:rsidRPr="00C903F8">
        <w:rPr>
          <w:rFonts w:ascii="Times New Roman" w:hAnsi="Times New Roman"/>
          <w:szCs w:val="20"/>
        </w:rPr>
        <w:br w:type="page"/>
      </w:r>
      <w:bookmarkStart w:id="323" w:name="_Toc491854301"/>
      <w:r w:rsidR="00925755" w:rsidRPr="00C903F8">
        <w:rPr>
          <w:noProof/>
        </w:rPr>
        <w:lastRenderedPageBreak/>
        <w:t>Section</w:t>
      </w:r>
      <w:r w:rsidRPr="00C903F8">
        <w:rPr>
          <w:noProof/>
        </w:rPr>
        <w:t xml:space="preserve"> IV</w:t>
      </w:r>
      <w:bookmarkEnd w:id="323"/>
    </w:p>
    <w:p w:rsidR="009C13A9" w:rsidRPr="00C903F8" w:rsidRDefault="009C13A9" w:rsidP="00857FC2">
      <w:pPr>
        <w:pStyle w:val="ES-Titre3a"/>
        <w:rPr>
          <w:noProof/>
          <w:lang w:val="en-US"/>
        </w:rPr>
      </w:pPr>
      <w:bookmarkStart w:id="324" w:name="_Toc491854302"/>
      <w:r w:rsidRPr="00C903F8">
        <w:rPr>
          <w:noProof/>
          <w:lang w:val="en-US"/>
        </w:rPr>
        <w:t xml:space="preserve">Model </w:t>
      </w:r>
      <w:r w:rsidR="005A1994" w:rsidRPr="00C903F8">
        <w:rPr>
          <w:noProof/>
          <w:lang w:val="en-US"/>
        </w:rPr>
        <w:t xml:space="preserve">of </w:t>
      </w:r>
      <w:r w:rsidRPr="00C903F8">
        <w:rPr>
          <w:noProof/>
          <w:lang w:val="en-US"/>
        </w:rPr>
        <w:t>certificate for sea-going vessel operating on the Rhine</w:t>
      </w:r>
      <w:bookmarkEnd w:id="324"/>
    </w:p>
    <w:p w:rsidR="009C13A9" w:rsidRPr="00DE404B" w:rsidRDefault="009C13A9" w:rsidP="00DE404B">
      <w:pPr>
        <w:pStyle w:val="ESch"/>
        <w:rPr>
          <w:lang w:val="en-US"/>
        </w:rPr>
      </w:pPr>
    </w:p>
    <w:p w:rsidR="009C13A9" w:rsidRPr="00C903F8" w:rsidRDefault="009C13A9" w:rsidP="009C13A9">
      <w:pPr>
        <w:tabs>
          <w:tab w:val="left" w:pos="284"/>
          <w:tab w:val="left" w:leader="dot" w:pos="9356"/>
        </w:tabs>
        <w:overflowPunct w:val="0"/>
        <w:adjustRightInd w:val="0"/>
        <w:ind w:left="0" w:firstLine="0"/>
        <w:jc w:val="center"/>
        <w:textAlignment w:val="baseline"/>
        <w:rPr>
          <w:rFonts w:cs="Arial"/>
          <w:b/>
          <w:sz w:val="22"/>
          <w:szCs w:val="22"/>
          <w:lang w:val="en-US"/>
        </w:rPr>
      </w:pPr>
      <w:r w:rsidRPr="00C903F8">
        <w:rPr>
          <w:rFonts w:cs="Arial"/>
          <w:b/>
          <w:sz w:val="22"/>
          <w:szCs w:val="22"/>
          <w:lang w:val="en-US"/>
        </w:rPr>
        <w:t>Name of State / Seal</w:t>
      </w:r>
    </w:p>
    <w:p w:rsidR="009C13A9" w:rsidRPr="00DE404B" w:rsidRDefault="009C13A9" w:rsidP="00DE404B">
      <w:pPr>
        <w:pStyle w:val="ESch"/>
        <w:rPr>
          <w:lang w:val="en-US"/>
        </w:rPr>
      </w:pPr>
    </w:p>
    <w:p w:rsidR="009C13A9" w:rsidRPr="00C903F8" w:rsidRDefault="009C13A9" w:rsidP="009C13A9">
      <w:pPr>
        <w:overflowPunct w:val="0"/>
        <w:adjustRightInd w:val="0"/>
        <w:jc w:val="center"/>
        <w:textAlignment w:val="baseline"/>
        <w:rPr>
          <w:rFonts w:cs="Arial"/>
          <w:b/>
          <w:lang w:val="en-US"/>
        </w:rPr>
      </w:pPr>
      <w:r w:rsidRPr="00C903F8">
        <w:rPr>
          <w:b/>
          <w:lang w:val="en-US"/>
        </w:rPr>
        <w:t>Certificate for sea-going vessel operating on the Rhine</w:t>
      </w:r>
    </w:p>
    <w:p w:rsidR="009C13A9" w:rsidRPr="00C903F8" w:rsidRDefault="009C13A9" w:rsidP="009C13A9">
      <w:pPr>
        <w:overflowPunct w:val="0"/>
        <w:adjustRightInd w:val="0"/>
        <w:jc w:val="center"/>
        <w:textAlignment w:val="baseline"/>
        <w:rPr>
          <w:rFonts w:cs="Arial"/>
          <w:b/>
          <w:lang w:val="en-US"/>
        </w:rPr>
      </w:pPr>
      <w:r w:rsidRPr="00C903F8">
        <w:rPr>
          <w:b/>
          <w:lang w:val="en-US"/>
        </w:rPr>
        <w:t>n</w:t>
      </w:r>
      <w:r w:rsidRPr="00C903F8">
        <w:rPr>
          <w:rFonts w:cs="Arial"/>
          <w:b/>
        </w:rPr>
        <w:sym w:font="Symbol" w:char="F0B0"/>
      </w:r>
      <w:r w:rsidRPr="00C903F8">
        <w:rPr>
          <w:b/>
          <w:lang w:val="en-US"/>
        </w:rPr>
        <w:t xml:space="preserve"> ........................</w:t>
      </w:r>
    </w:p>
    <w:p w:rsidR="009C13A9" w:rsidRPr="00C903F8" w:rsidRDefault="009C13A9" w:rsidP="009C13A9">
      <w:pPr>
        <w:tabs>
          <w:tab w:val="left" w:pos="284"/>
          <w:tab w:val="left" w:leader="dot" w:pos="9072"/>
        </w:tabs>
        <w:ind w:left="284" w:hanging="284"/>
        <w:rPr>
          <w:lang w:val="en-US"/>
        </w:rPr>
      </w:pPr>
    </w:p>
    <w:p w:rsidR="009C13A9" w:rsidRPr="00C903F8" w:rsidRDefault="009C13A9" w:rsidP="009C13A9">
      <w:pPr>
        <w:tabs>
          <w:tab w:val="left" w:leader="dot" w:pos="5954"/>
          <w:tab w:val="left" w:leader="dot" w:pos="9072"/>
        </w:tabs>
        <w:ind w:left="0" w:firstLine="0"/>
        <w:rPr>
          <w:lang w:val="en-US"/>
        </w:rPr>
      </w:pPr>
      <w:r w:rsidRPr="00C903F8">
        <w:rPr>
          <w:lang w:val="en-US"/>
        </w:rPr>
        <w:t xml:space="preserve">The inspection body </w:t>
      </w:r>
      <w:r w:rsidRPr="00C903F8">
        <w:rPr>
          <w:lang w:val="en-US"/>
        </w:rPr>
        <w:tab/>
        <w:t xml:space="preserve"> hereby certifies that the seagoing vessel </w:t>
      </w:r>
    </w:p>
    <w:p w:rsidR="009C13A9" w:rsidRPr="00C903F8" w:rsidRDefault="009C13A9" w:rsidP="00DE404B">
      <w:pPr>
        <w:pStyle w:val="ESch"/>
        <w:rPr>
          <w:lang w:val="en-US"/>
        </w:rPr>
      </w:pPr>
    </w:p>
    <w:p w:rsidR="009C13A9" w:rsidRPr="00C903F8" w:rsidRDefault="009C13A9" w:rsidP="009C13A9">
      <w:pPr>
        <w:tabs>
          <w:tab w:val="left" w:pos="284"/>
          <w:tab w:val="left" w:leader="dot" w:pos="9072"/>
        </w:tabs>
        <w:spacing w:after="120"/>
        <w:ind w:left="284" w:hanging="284"/>
        <w:rPr>
          <w:lang w:val="en-US"/>
        </w:rPr>
      </w:pPr>
      <w:r w:rsidRPr="00C903F8">
        <w:rPr>
          <w:lang w:val="en-US"/>
        </w:rPr>
        <w:t xml:space="preserve">Name: </w:t>
      </w:r>
      <w:r w:rsidRPr="00C903F8">
        <w:rPr>
          <w:lang w:val="en-US"/>
        </w:rPr>
        <w:tab/>
      </w:r>
    </w:p>
    <w:p w:rsidR="009C13A9" w:rsidRPr="00C903F8" w:rsidRDefault="009C13A9" w:rsidP="009C13A9">
      <w:pPr>
        <w:tabs>
          <w:tab w:val="left" w:pos="284"/>
          <w:tab w:val="left" w:leader="dot" w:pos="9072"/>
        </w:tabs>
        <w:spacing w:after="120"/>
        <w:ind w:left="284" w:hanging="284"/>
        <w:rPr>
          <w:lang w:val="en-US"/>
        </w:rPr>
      </w:pPr>
      <w:r w:rsidRPr="00C903F8">
        <w:rPr>
          <w:lang w:val="en-US"/>
        </w:rPr>
        <w:t xml:space="preserve">Vessel registration number or letters: </w:t>
      </w:r>
      <w:r w:rsidRPr="00C903F8">
        <w:rPr>
          <w:lang w:val="en-US"/>
        </w:rPr>
        <w:tab/>
      </w:r>
    </w:p>
    <w:p w:rsidR="009C13A9" w:rsidRPr="00C903F8" w:rsidRDefault="009C13A9" w:rsidP="009C13A9">
      <w:pPr>
        <w:tabs>
          <w:tab w:val="left" w:pos="284"/>
          <w:tab w:val="left" w:leader="dot" w:pos="9072"/>
        </w:tabs>
        <w:spacing w:after="120"/>
        <w:ind w:left="284" w:hanging="284"/>
        <w:rPr>
          <w:lang w:val="en-US"/>
        </w:rPr>
      </w:pPr>
      <w:r w:rsidRPr="00C903F8">
        <w:rPr>
          <w:lang w:val="en-US"/>
        </w:rPr>
        <w:t xml:space="preserve">Place of registration: </w:t>
      </w:r>
      <w:r w:rsidRPr="00C903F8">
        <w:rPr>
          <w:lang w:val="en-US"/>
        </w:rPr>
        <w:tab/>
      </w:r>
    </w:p>
    <w:p w:rsidR="009C13A9" w:rsidRPr="00C903F8" w:rsidRDefault="009C13A9" w:rsidP="009C13A9">
      <w:pPr>
        <w:tabs>
          <w:tab w:val="left" w:pos="284"/>
          <w:tab w:val="left" w:leader="dot" w:pos="9072"/>
        </w:tabs>
        <w:spacing w:after="120"/>
        <w:ind w:left="284" w:hanging="284"/>
        <w:rPr>
          <w:lang w:val="en-US"/>
        </w:rPr>
      </w:pPr>
      <w:r w:rsidRPr="00C903F8">
        <w:rPr>
          <w:lang w:val="en-US"/>
        </w:rPr>
        <w:t xml:space="preserve">Year of construction: </w:t>
      </w:r>
      <w:r w:rsidRPr="00C903F8">
        <w:rPr>
          <w:lang w:val="en-US"/>
        </w:rPr>
        <w:tab/>
      </w:r>
    </w:p>
    <w:p w:rsidR="009C13A9" w:rsidRPr="00C903F8" w:rsidRDefault="009C13A9" w:rsidP="009C13A9">
      <w:pPr>
        <w:tabs>
          <w:tab w:val="left" w:pos="284"/>
          <w:tab w:val="left" w:leader="dot" w:pos="9072"/>
        </w:tabs>
        <w:spacing w:after="120"/>
        <w:ind w:left="284" w:hanging="284"/>
        <w:rPr>
          <w:lang w:val="en-US"/>
        </w:rPr>
      </w:pPr>
      <w:r w:rsidRPr="00C903F8">
        <w:rPr>
          <w:lang w:val="en-US"/>
        </w:rPr>
        <w:t xml:space="preserve">Vessel length: </w:t>
      </w:r>
      <w:r w:rsidRPr="00C903F8">
        <w:rPr>
          <w:lang w:val="en-US"/>
        </w:rPr>
        <w:tab/>
      </w:r>
    </w:p>
    <w:p w:rsidR="009C13A9" w:rsidRPr="00C903F8" w:rsidRDefault="009C13A9" w:rsidP="00DE404B">
      <w:pPr>
        <w:tabs>
          <w:tab w:val="left" w:leader="dot" w:pos="4536"/>
          <w:tab w:val="left" w:leader="dot" w:pos="9072"/>
        </w:tabs>
        <w:spacing w:before="80" w:after="80" w:line="240" w:lineRule="atLeast"/>
        <w:ind w:left="0" w:right="-1" w:firstLine="0"/>
        <w:rPr>
          <w:lang w:val="en-US"/>
        </w:rPr>
      </w:pPr>
      <w:r w:rsidRPr="00C903F8">
        <w:rPr>
          <w:lang w:val="en-US"/>
        </w:rPr>
        <w:t xml:space="preserve">once the inspection has been carried out, the </w:t>
      </w:r>
      <w:r w:rsidRPr="00C903F8">
        <w:rPr>
          <w:lang w:val="en-US"/>
        </w:rPr>
        <w:tab/>
        <w:t xml:space="preserve"> is recognised as fit to navigate the Rhine and is authorised to do so subject to the special conditions stipulated below.</w:t>
      </w:r>
    </w:p>
    <w:p w:rsidR="009C13A9" w:rsidRPr="00C903F8" w:rsidRDefault="009C13A9" w:rsidP="00DE404B">
      <w:pPr>
        <w:tabs>
          <w:tab w:val="left" w:leader="dot" w:pos="9072"/>
        </w:tabs>
        <w:spacing w:line="240" w:lineRule="atLeast"/>
        <w:rPr>
          <w:lang w:val="en-US"/>
        </w:rPr>
      </w:pPr>
      <w:r w:rsidRPr="00C903F8">
        <w:rPr>
          <w:lang w:val="en-US"/>
        </w:rPr>
        <w:t xml:space="preserve">Special conditions: </w:t>
      </w:r>
      <w:r w:rsidRPr="00C903F8">
        <w:rPr>
          <w:lang w:val="en-US"/>
        </w:rPr>
        <w:tab/>
      </w:r>
    </w:p>
    <w:p w:rsidR="009C13A9" w:rsidRPr="00C903F8" w:rsidRDefault="009C13A9" w:rsidP="00DE404B">
      <w:pPr>
        <w:tabs>
          <w:tab w:val="left" w:leader="dot" w:pos="9072"/>
        </w:tabs>
        <w:spacing w:line="240" w:lineRule="atLeast"/>
        <w:ind w:left="0" w:firstLine="0"/>
        <w:rPr>
          <w:lang w:val="en-US"/>
        </w:rPr>
      </w:pPr>
      <w:r w:rsidRPr="00C903F8">
        <w:rPr>
          <w:lang w:val="en-US"/>
        </w:rPr>
        <w:tab/>
      </w:r>
    </w:p>
    <w:p w:rsidR="009C13A9" w:rsidRPr="00C903F8" w:rsidRDefault="009C13A9" w:rsidP="00DE404B">
      <w:pPr>
        <w:tabs>
          <w:tab w:val="left" w:leader="dot" w:pos="9072"/>
        </w:tabs>
        <w:spacing w:line="240" w:lineRule="atLeast"/>
        <w:ind w:left="0" w:firstLine="0"/>
        <w:rPr>
          <w:lang w:val="en-US"/>
        </w:rPr>
      </w:pPr>
      <w:r w:rsidRPr="00C903F8">
        <w:rPr>
          <w:lang w:val="en-US"/>
        </w:rPr>
        <w:tab/>
      </w:r>
    </w:p>
    <w:p w:rsidR="009C13A9" w:rsidRPr="00C903F8" w:rsidRDefault="009C13A9" w:rsidP="00DE404B">
      <w:pPr>
        <w:tabs>
          <w:tab w:val="left" w:leader="dot" w:pos="9072"/>
        </w:tabs>
        <w:spacing w:line="240" w:lineRule="atLeast"/>
        <w:ind w:left="0" w:firstLine="0"/>
        <w:rPr>
          <w:lang w:val="en-US"/>
        </w:rPr>
      </w:pPr>
      <w:r w:rsidRPr="00C903F8">
        <w:rPr>
          <w:lang w:val="en-US"/>
        </w:rPr>
        <w:tab/>
      </w:r>
    </w:p>
    <w:p w:rsidR="00DE404B" w:rsidRPr="00DE404B" w:rsidRDefault="00DE404B" w:rsidP="00DE404B">
      <w:pPr>
        <w:pStyle w:val="ESch"/>
        <w:rPr>
          <w:lang w:val="en-US"/>
        </w:rPr>
      </w:pPr>
    </w:p>
    <w:p w:rsidR="009C13A9" w:rsidRPr="00C903F8" w:rsidRDefault="009C13A9" w:rsidP="009C13A9">
      <w:pPr>
        <w:tabs>
          <w:tab w:val="left" w:leader="dot" w:pos="9072"/>
        </w:tabs>
        <w:spacing w:before="60" w:after="40" w:line="240" w:lineRule="atLeast"/>
        <w:ind w:left="0" w:right="-1" w:firstLine="0"/>
        <w:rPr>
          <w:lang w:val="en-US"/>
        </w:rPr>
      </w:pPr>
      <w:r w:rsidRPr="00C903F8">
        <w:rPr>
          <w:noProof/>
          <w:snapToGrid w:val="0"/>
          <w:lang w:val="en-US"/>
        </w:rPr>
        <w:t>This certificate is only valid on condition that the vessel is in possession of valid maritime or coastal navigation certificates and shall not not valid later than</w:t>
      </w:r>
      <w:r w:rsidRPr="00C903F8">
        <w:rPr>
          <w:lang w:val="en-US"/>
        </w:rPr>
        <w:t xml:space="preserve"> </w:t>
      </w:r>
      <w:r w:rsidRPr="00C903F8">
        <w:rPr>
          <w:lang w:val="en-US"/>
        </w:rPr>
        <w:tab/>
      </w:r>
    </w:p>
    <w:p w:rsidR="009C13A9" w:rsidRPr="00C903F8" w:rsidRDefault="009C13A9" w:rsidP="009C13A9">
      <w:pPr>
        <w:tabs>
          <w:tab w:val="left" w:pos="284"/>
          <w:tab w:val="left" w:leader="dot" w:pos="9072"/>
        </w:tabs>
        <w:ind w:left="284" w:hanging="284"/>
        <w:rPr>
          <w:lang w:val="en-US"/>
        </w:rPr>
      </w:pPr>
    </w:p>
    <w:p w:rsidR="009C13A9" w:rsidRPr="00C903F8" w:rsidRDefault="009C13A9" w:rsidP="009C13A9">
      <w:pPr>
        <w:tabs>
          <w:tab w:val="left" w:pos="2835"/>
          <w:tab w:val="left" w:leader="dot" w:pos="5670"/>
          <w:tab w:val="left" w:leader="dot" w:pos="9072"/>
        </w:tabs>
        <w:ind w:left="284" w:hanging="284"/>
        <w:rPr>
          <w:lang w:val="en-US"/>
        </w:rPr>
      </w:pPr>
      <w:r w:rsidRPr="00C903F8">
        <w:rPr>
          <w:lang w:val="en-US"/>
        </w:rPr>
        <w:tab/>
      </w:r>
      <w:r w:rsidRPr="00C903F8">
        <w:rPr>
          <w:lang w:val="en-US"/>
        </w:rPr>
        <w:tab/>
      </w:r>
      <w:r w:rsidRPr="00C903F8">
        <w:rPr>
          <w:lang w:val="en-US"/>
        </w:rPr>
        <w:tab/>
        <w:t xml:space="preserve">, </w:t>
      </w:r>
      <w:r w:rsidRPr="00C903F8">
        <w:rPr>
          <w:lang w:val="en-US"/>
        </w:rPr>
        <w:tab/>
      </w:r>
    </w:p>
    <w:p w:rsidR="009C13A9" w:rsidRPr="00C903F8" w:rsidRDefault="009C13A9" w:rsidP="009C13A9">
      <w:pPr>
        <w:tabs>
          <w:tab w:val="center" w:pos="4253"/>
          <w:tab w:val="center" w:pos="7513"/>
          <w:tab w:val="left" w:leader="dot" w:pos="9072"/>
        </w:tabs>
        <w:ind w:left="284" w:hanging="284"/>
        <w:rPr>
          <w:lang w:val="en-US"/>
        </w:rPr>
      </w:pPr>
      <w:r w:rsidRPr="00C903F8">
        <w:rPr>
          <w:lang w:val="en-US"/>
        </w:rPr>
        <w:tab/>
      </w:r>
      <w:r w:rsidRPr="00C903F8">
        <w:rPr>
          <w:lang w:val="en-US"/>
        </w:rPr>
        <w:tab/>
        <w:t xml:space="preserve">(Place) </w:t>
      </w:r>
      <w:r w:rsidRPr="00C903F8">
        <w:rPr>
          <w:lang w:val="en-US"/>
        </w:rPr>
        <w:tab/>
        <w:t>(Date)</w:t>
      </w:r>
    </w:p>
    <w:p w:rsidR="009C13A9" w:rsidRPr="00C903F8" w:rsidRDefault="009C13A9" w:rsidP="00DE404B">
      <w:pPr>
        <w:pStyle w:val="ESch"/>
        <w:rPr>
          <w:lang w:val="en-US"/>
        </w:rPr>
      </w:pPr>
    </w:p>
    <w:p w:rsidR="009C13A9" w:rsidRPr="00C903F8" w:rsidRDefault="009C13A9" w:rsidP="009C13A9">
      <w:pPr>
        <w:tabs>
          <w:tab w:val="left" w:pos="5103"/>
          <w:tab w:val="left" w:leader="dot" w:pos="9072"/>
        </w:tabs>
        <w:ind w:left="284" w:hanging="284"/>
        <w:rPr>
          <w:lang w:val="en-US"/>
        </w:rPr>
      </w:pPr>
      <w:r w:rsidRPr="00C903F8">
        <w:rPr>
          <w:lang w:val="en-US"/>
        </w:rPr>
        <w:tab/>
      </w:r>
      <w:r w:rsidRPr="00C903F8">
        <w:rPr>
          <w:lang w:val="en-US"/>
        </w:rPr>
        <w:tab/>
      </w:r>
      <w:r w:rsidRPr="00C903F8">
        <w:rPr>
          <w:lang w:val="en-US"/>
        </w:rPr>
        <w:tab/>
      </w:r>
    </w:p>
    <w:p w:rsidR="009C13A9" w:rsidRPr="00C903F8" w:rsidRDefault="00313B91" w:rsidP="00313B91">
      <w:pPr>
        <w:tabs>
          <w:tab w:val="center" w:pos="7088"/>
          <w:tab w:val="left" w:leader="dot" w:pos="9072"/>
        </w:tabs>
        <w:ind w:left="1560"/>
        <w:rPr>
          <w:lang w:val="en-US"/>
        </w:rPr>
      </w:pPr>
      <w:r w:rsidRPr="00C903F8">
        <w:rPr>
          <w:lang w:val="en-US"/>
        </w:rPr>
        <w:t>Stamp</w:t>
      </w:r>
      <w:r w:rsidR="009C13A9" w:rsidRPr="00C903F8">
        <w:rPr>
          <w:lang w:val="en-US"/>
        </w:rPr>
        <w:tab/>
        <w:t>(Inspection body)</w:t>
      </w:r>
    </w:p>
    <w:p w:rsidR="009C13A9" w:rsidRPr="00C903F8" w:rsidRDefault="009C13A9" w:rsidP="009C13A9">
      <w:pPr>
        <w:tabs>
          <w:tab w:val="left" w:pos="5103"/>
          <w:tab w:val="left" w:leader="dot" w:pos="9072"/>
        </w:tabs>
        <w:ind w:left="284" w:hanging="284"/>
        <w:rPr>
          <w:lang w:val="en-US"/>
        </w:rPr>
      </w:pPr>
      <w:r w:rsidRPr="00C903F8">
        <w:rPr>
          <w:lang w:val="en-US"/>
        </w:rPr>
        <w:tab/>
      </w:r>
      <w:r w:rsidRPr="00C903F8">
        <w:rPr>
          <w:lang w:val="en-US"/>
        </w:rPr>
        <w:tab/>
      </w:r>
      <w:r w:rsidRPr="00C903F8">
        <w:rPr>
          <w:lang w:val="en-US"/>
        </w:rPr>
        <w:tab/>
      </w:r>
    </w:p>
    <w:p w:rsidR="009C13A9" w:rsidRPr="00C903F8" w:rsidRDefault="009C13A9" w:rsidP="009C13A9">
      <w:pPr>
        <w:tabs>
          <w:tab w:val="center" w:pos="7088"/>
          <w:tab w:val="left" w:leader="dot" w:pos="9072"/>
        </w:tabs>
        <w:ind w:left="284" w:hanging="284"/>
        <w:rPr>
          <w:lang w:val="en-US"/>
        </w:rPr>
      </w:pPr>
      <w:r w:rsidRPr="00C903F8">
        <w:rPr>
          <w:lang w:val="en-US"/>
        </w:rPr>
        <w:tab/>
      </w:r>
      <w:r w:rsidRPr="00C903F8">
        <w:rPr>
          <w:lang w:val="en-US"/>
        </w:rPr>
        <w:tab/>
        <w:t>(Signature)</w:t>
      </w:r>
    </w:p>
    <w:p w:rsidR="009C13A9" w:rsidRPr="00C903F8" w:rsidRDefault="009C13A9" w:rsidP="009C13A9">
      <w:pPr>
        <w:tabs>
          <w:tab w:val="left" w:pos="2579"/>
        </w:tabs>
        <w:rPr>
          <w:lang w:val="en-US"/>
        </w:rPr>
      </w:pPr>
      <w:r w:rsidRPr="00C903F8">
        <w:rPr>
          <w:lang w:val="en-US"/>
        </w:rPr>
        <w:br w:type="page"/>
      </w:r>
    </w:p>
    <w:p w:rsidR="001865DF" w:rsidRPr="00C903F8" w:rsidRDefault="001865DF" w:rsidP="009C13A9">
      <w:pPr>
        <w:tabs>
          <w:tab w:val="left" w:pos="2579"/>
        </w:tabs>
        <w:rPr>
          <w:lang w:val="en-US"/>
        </w:rPr>
      </w:pPr>
    </w:p>
    <w:p w:rsidR="001865DF" w:rsidRPr="00C903F8" w:rsidRDefault="001865DF" w:rsidP="009C13A9">
      <w:pPr>
        <w:tabs>
          <w:tab w:val="left" w:pos="2579"/>
        </w:tabs>
        <w:rPr>
          <w:lang w:val="en-US"/>
        </w:rPr>
      </w:pPr>
    </w:p>
    <w:p w:rsidR="001865DF" w:rsidRPr="00C903F8" w:rsidRDefault="001865DF" w:rsidP="009C13A9">
      <w:pPr>
        <w:tabs>
          <w:tab w:val="left" w:pos="2579"/>
        </w:tabs>
        <w:rPr>
          <w:lang w:val="en-US"/>
        </w:rPr>
      </w:pPr>
      <w:r w:rsidRPr="00C903F8">
        <w:rPr>
          <w:lang w:val="en-US"/>
        </w:rPr>
        <w:br w:type="page"/>
      </w:r>
    </w:p>
    <w:p w:rsidR="009C13A9" w:rsidRPr="00C903F8" w:rsidRDefault="00925755" w:rsidP="00857FC2">
      <w:pPr>
        <w:pStyle w:val="ES-Titre3"/>
        <w:rPr>
          <w:noProof/>
          <w:lang w:val="en-US"/>
        </w:rPr>
      </w:pPr>
      <w:bookmarkStart w:id="325" w:name="_Toc491854303"/>
      <w:r w:rsidRPr="00C903F8">
        <w:rPr>
          <w:noProof/>
          <w:lang w:val="en-US"/>
        </w:rPr>
        <w:lastRenderedPageBreak/>
        <w:t>Section</w:t>
      </w:r>
      <w:r w:rsidR="009C13A9" w:rsidRPr="00C903F8">
        <w:rPr>
          <w:noProof/>
          <w:lang w:val="en-US"/>
        </w:rPr>
        <w:t xml:space="preserve"> V</w:t>
      </w:r>
      <w:bookmarkEnd w:id="325"/>
    </w:p>
    <w:p w:rsidR="009C13A9" w:rsidRPr="00C903F8" w:rsidRDefault="00E3172D" w:rsidP="00677052">
      <w:pPr>
        <w:pStyle w:val="ES-Titre3a"/>
        <w:rPr>
          <w:rFonts w:cs="Arial"/>
          <w:color w:val="000000"/>
          <w:lang w:val="en-US"/>
        </w:rPr>
      </w:pPr>
      <w:bookmarkStart w:id="326" w:name="_Toc491854304"/>
      <w:r w:rsidRPr="00E3172D">
        <w:rPr>
          <w:lang w:val="en-US"/>
        </w:rPr>
        <w:t>Model annex “Traditional craft” to the inland navigation certificate according to chapter 24</w:t>
      </w:r>
      <w:bookmarkEnd w:id="326"/>
    </w:p>
    <w:p w:rsidR="009C13A9" w:rsidRDefault="009C13A9" w:rsidP="009C13A9">
      <w:pPr>
        <w:tabs>
          <w:tab w:val="center" w:pos="8222"/>
        </w:tabs>
        <w:rPr>
          <w:lang w:val="en-US"/>
        </w:rPr>
      </w:pP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3"/>
        <w:gridCol w:w="4592"/>
      </w:tblGrid>
      <w:tr w:rsidR="00E3172D" w:rsidRPr="006F497D" w:rsidTr="001077F3">
        <w:tc>
          <w:tcPr>
            <w:tcW w:w="10188" w:type="dxa"/>
            <w:gridSpan w:val="2"/>
            <w:tcBorders>
              <w:bottom w:val="nil"/>
            </w:tcBorders>
          </w:tcPr>
          <w:p w:rsidR="00E3172D" w:rsidRPr="00486A70" w:rsidRDefault="00E3172D" w:rsidP="001077F3">
            <w:pPr>
              <w:spacing w:before="60" w:after="60" w:line="240" w:lineRule="atLeast"/>
              <w:jc w:val="center"/>
              <w:rPr>
                <w:rFonts w:cs="Arial"/>
                <w:b/>
                <w:color w:val="000000"/>
              </w:rPr>
            </w:pPr>
            <w:r w:rsidRPr="00486A70">
              <w:rPr>
                <w:b/>
                <w:color w:val="000000"/>
              </w:rPr>
              <w:t>Traditional craft Annex</w:t>
            </w:r>
          </w:p>
          <w:p w:rsidR="00E3172D" w:rsidRPr="00486A70" w:rsidRDefault="00E3172D" w:rsidP="001077F3">
            <w:pPr>
              <w:spacing w:before="60" w:after="60" w:line="240" w:lineRule="atLeast"/>
              <w:jc w:val="center"/>
              <w:rPr>
                <w:rFonts w:cs="Arial"/>
                <w:color w:val="000000"/>
              </w:rPr>
            </w:pPr>
          </w:p>
        </w:tc>
      </w:tr>
      <w:tr w:rsidR="00E3172D" w:rsidRPr="006F497D" w:rsidTr="001077F3">
        <w:tc>
          <w:tcPr>
            <w:tcW w:w="10188" w:type="dxa"/>
            <w:gridSpan w:val="2"/>
            <w:tcBorders>
              <w:top w:val="nil"/>
              <w:bottom w:val="nil"/>
            </w:tcBorders>
          </w:tcPr>
          <w:p w:rsidR="00E3172D" w:rsidRPr="00486A70" w:rsidRDefault="00E3172D" w:rsidP="001077F3">
            <w:pPr>
              <w:spacing w:before="60" w:after="60" w:line="240" w:lineRule="atLeast"/>
              <w:jc w:val="center"/>
              <w:rPr>
                <w:rFonts w:cs="Arial"/>
                <w:b/>
                <w:color w:val="000000"/>
              </w:rPr>
            </w:pPr>
            <w:r w:rsidRPr="00486A70">
              <w:rPr>
                <w:b/>
                <w:bCs/>
                <w:sz w:val="22"/>
                <w:szCs w:val="22"/>
              </w:rPr>
              <w:t>Name of State / Seal</w:t>
            </w:r>
          </w:p>
          <w:p w:rsidR="00E3172D" w:rsidRPr="00486A70" w:rsidRDefault="00E3172D" w:rsidP="001077F3">
            <w:pPr>
              <w:spacing w:before="60" w:after="60" w:line="240" w:lineRule="atLeast"/>
              <w:jc w:val="center"/>
              <w:rPr>
                <w:rFonts w:cs="Arial"/>
                <w:b/>
                <w:color w:val="000000"/>
              </w:rPr>
            </w:pPr>
          </w:p>
        </w:tc>
      </w:tr>
      <w:tr w:rsidR="00E3172D" w:rsidRPr="00296858" w:rsidTr="001077F3">
        <w:tc>
          <w:tcPr>
            <w:tcW w:w="10188" w:type="dxa"/>
            <w:gridSpan w:val="2"/>
            <w:tcBorders>
              <w:top w:val="nil"/>
            </w:tcBorders>
          </w:tcPr>
          <w:p w:rsidR="00E3172D" w:rsidRPr="00486A70" w:rsidRDefault="00E3172D" w:rsidP="001077F3">
            <w:pPr>
              <w:spacing w:before="60" w:after="60" w:line="240" w:lineRule="atLeast"/>
              <w:jc w:val="center"/>
              <w:rPr>
                <w:rFonts w:cs="Arial"/>
                <w:color w:val="000000"/>
                <w:lang w:val="en-US"/>
              </w:rPr>
            </w:pPr>
            <w:r w:rsidRPr="00486A70">
              <w:rPr>
                <w:b/>
                <w:color w:val="000000"/>
                <w:lang w:val="en-US"/>
              </w:rPr>
              <w:t>Annex to the</w:t>
            </w:r>
            <w:r w:rsidRPr="00486A70">
              <w:rPr>
                <w:lang w:val="en-US"/>
              </w:rPr>
              <w:t xml:space="preserve"> </w:t>
            </w:r>
            <w:r w:rsidRPr="00486A70">
              <w:rPr>
                <w:b/>
                <w:color w:val="000000"/>
                <w:lang w:val="en-US"/>
              </w:rPr>
              <w:t xml:space="preserve">inland navigation vessel certificate No </w:t>
            </w:r>
            <w:r w:rsidRPr="00486A70">
              <w:rPr>
                <w:color w:val="000000"/>
                <w:lang w:val="en-US"/>
              </w:rPr>
              <w:t>…………….</w:t>
            </w:r>
          </w:p>
          <w:p w:rsidR="00E3172D" w:rsidRPr="00486A70" w:rsidRDefault="00E3172D" w:rsidP="001077F3">
            <w:pPr>
              <w:spacing w:before="60" w:after="60" w:line="240" w:lineRule="atLeast"/>
              <w:jc w:val="center"/>
              <w:rPr>
                <w:rFonts w:cs="Arial"/>
                <w:color w:val="000000"/>
                <w:lang w:val="en-US"/>
              </w:rPr>
            </w:pPr>
          </w:p>
        </w:tc>
      </w:tr>
      <w:tr w:rsidR="00E3172D" w:rsidRPr="006F497D" w:rsidTr="001077F3">
        <w:tc>
          <w:tcPr>
            <w:tcW w:w="5094" w:type="dxa"/>
          </w:tcPr>
          <w:p w:rsidR="00E3172D" w:rsidRPr="00486A70" w:rsidRDefault="00E3172D" w:rsidP="001077F3">
            <w:pPr>
              <w:tabs>
                <w:tab w:val="left" w:pos="284"/>
                <w:tab w:val="left" w:leader="dot" w:pos="4253"/>
              </w:tabs>
              <w:spacing w:before="80" w:line="360" w:lineRule="auto"/>
              <w:rPr>
                <w:rFonts w:cs="Arial"/>
                <w:color w:val="000000"/>
                <w:lang w:val="en-US"/>
              </w:rPr>
            </w:pPr>
            <w:r w:rsidRPr="00486A70">
              <w:rPr>
                <w:color w:val="000000"/>
                <w:sz w:val="18"/>
                <w:lang w:val="en-US"/>
              </w:rPr>
              <w:t>1.</w:t>
            </w:r>
            <w:r w:rsidRPr="00486A70">
              <w:rPr>
                <w:color w:val="000000"/>
                <w:sz w:val="18"/>
                <w:lang w:val="en-US"/>
              </w:rPr>
              <w:tab/>
              <w:t>Name of the traditional craft:</w:t>
            </w:r>
            <w:r w:rsidRPr="00486A70">
              <w:rPr>
                <w:color w:val="000000"/>
                <w:sz w:val="18"/>
                <w:lang w:val="en-US"/>
              </w:rPr>
              <w:br/>
            </w:r>
            <w:r w:rsidRPr="00486A70">
              <w:rPr>
                <w:color w:val="000000"/>
                <w:sz w:val="18"/>
                <w:lang w:val="en-US"/>
              </w:rPr>
              <w:tab/>
            </w:r>
            <w:r w:rsidRPr="00486A70">
              <w:rPr>
                <w:color w:val="000000"/>
                <w:sz w:val="18"/>
                <w:lang w:val="en-US"/>
              </w:rPr>
              <w:tab/>
            </w:r>
          </w:p>
        </w:tc>
        <w:tc>
          <w:tcPr>
            <w:tcW w:w="5094" w:type="dxa"/>
          </w:tcPr>
          <w:p w:rsidR="00E3172D" w:rsidRPr="00486A70" w:rsidRDefault="00E3172D" w:rsidP="001077F3">
            <w:pPr>
              <w:tabs>
                <w:tab w:val="left" w:pos="227"/>
                <w:tab w:val="left" w:leader="dot" w:pos="4196"/>
              </w:tabs>
              <w:spacing w:before="80"/>
              <w:ind w:left="227" w:hanging="227"/>
              <w:rPr>
                <w:rFonts w:cs="Arial"/>
                <w:color w:val="000000"/>
                <w:sz w:val="18"/>
              </w:rPr>
            </w:pPr>
            <w:r w:rsidRPr="00486A70">
              <w:rPr>
                <w:sz w:val="18"/>
                <w:szCs w:val="18"/>
              </w:rPr>
              <w:t>2.</w:t>
            </w:r>
            <w:r w:rsidRPr="00486A70">
              <w:rPr>
                <w:sz w:val="18"/>
                <w:szCs w:val="18"/>
              </w:rPr>
              <w:tab/>
              <w:t>Unique European Vessel Identification Number</w:t>
            </w:r>
          </w:p>
          <w:p w:rsidR="00E3172D" w:rsidRPr="00486A70" w:rsidRDefault="00E3172D" w:rsidP="001077F3">
            <w:pPr>
              <w:tabs>
                <w:tab w:val="left" w:pos="227"/>
                <w:tab w:val="left" w:leader="dot" w:pos="4196"/>
              </w:tabs>
              <w:spacing w:before="80" w:line="360" w:lineRule="auto"/>
              <w:ind w:left="227" w:hanging="227"/>
              <w:rPr>
                <w:rFonts w:cs="Arial"/>
                <w:color w:val="000000"/>
              </w:rPr>
            </w:pPr>
            <w:r w:rsidRPr="00486A70">
              <w:rPr>
                <w:color w:val="000000"/>
                <w:sz w:val="18"/>
              </w:rPr>
              <w:tab/>
            </w:r>
            <w:r w:rsidRPr="00486A70">
              <w:rPr>
                <w:color w:val="000000"/>
                <w:sz w:val="18"/>
              </w:rPr>
              <w:tab/>
            </w:r>
          </w:p>
        </w:tc>
      </w:tr>
      <w:tr w:rsidR="00E3172D" w:rsidRPr="006F497D" w:rsidTr="001077F3">
        <w:tc>
          <w:tcPr>
            <w:tcW w:w="5094" w:type="dxa"/>
          </w:tcPr>
          <w:p w:rsidR="00E3172D" w:rsidRPr="00486A70" w:rsidRDefault="00E3172D" w:rsidP="001077F3">
            <w:pPr>
              <w:tabs>
                <w:tab w:val="left" w:pos="284"/>
                <w:tab w:val="left" w:leader="dot" w:pos="4253"/>
              </w:tabs>
              <w:spacing w:before="80" w:line="360" w:lineRule="auto"/>
              <w:rPr>
                <w:rFonts w:cs="Arial"/>
                <w:color w:val="000000"/>
                <w:sz w:val="18"/>
                <w:lang w:val="en-US"/>
              </w:rPr>
            </w:pPr>
            <w:r w:rsidRPr="00486A70">
              <w:rPr>
                <w:color w:val="000000"/>
                <w:sz w:val="18"/>
                <w:lang w:val="en-US"/>
              </w:rPr>
              <w:t>3.</w:t>
            </w:r>
            <w:r w:rsidRPr="00486A70">
              <w:rPr>
                <w:color w:val="000000"/>
                <w:sz w:val="18"/>
                <w:lang w:val="en-US"/>
              </w:rPr>
              <w:tab/>
              <w:t>Type of craft before the recognition</w:t>
            </w:r>
            <w:r w:rsidRPr="00486A70">
              <w:rPr>
                <w:color w:val="000000"/>
                <w:sz w:val="18"/>
                <w:lang w:val="en-US"/>
              </w:rPr>
              <w:br/>
            </w:r>
            <w:r w:rsidRPr="00486A70">
              <w:rPr>
                <w:color w:val="000000"/>
                <w:sz w:val="18"/>
                <w:lang w:val="en-US"/>
              </w:rPr>
              <w:tab/>
            </w:r>
            <w:r w:rsidRPr="00486A70">
              <w:rPr>
                <w:color w:val="000000"/>
                <w:sz w:val="18"/>
                <w:lang w:val="en-US"/>
              </w:rPr>
              <w:tab/>
            </w:r>
          </w:p>
        </w:tc>
        <w:tc>
          <w:tcPr>
            <w:tcW w:w="5094" w:type="dxa"/>
          </w:tcPr>
          <w:p w:rsidR="00E3172D" w:rsidRPr="00486A70" w:rsidRDefault="00E3172D" w:rsidP="001077F3">
            <w:pPr>
              <w:tabs>
                <w:tab w:val="left" w:pos="293"/>
                <w:tab w:val="left" w:leader="dot" w:pos="4196"/>
              </w:tabs>
              <w:spacing w:before="80" w:line="360" w:lineRule="auto"/>
              <w:rPr>
                <w:rFonts w:cs="Arial"/>
                <w:color w:val="000000"/>
                <w:sz w:val="18"/>
              </w:rPr>
            </w:pPr>
            <w:r w:rsidRPr="00486A70">
              <w:rPr>
                <w:color w:val="000000"/>
                <w:sz w:val="18"/>
              </w:rPr>
              <w:t>4.</w:t>
            </w:r>
            <w:r w:rsidRPr="00486A70">
              <w:rPr>
                <w:color w:val="000000"/>
                <w:sz w:val="18"/>
              </w:rPr>
              <w:tab/>
              <w:t>Historical time period</w:t>
            </w:r>
            <w:r w:rsidRPr="00486A70">
              <w:rPr>
                <w:color w:val="000000"/>
                <w:sz w:val="18"/>
              </w:rPr>
              <w:br/>
            </w:r>
            <w:r w:rsidRPr="00486A70">
              <w:rPr>
                <w:color w:val="000000"/>
                <w:sz w:val="18"/>
              </w:rPr>
              <w:tab/>
            </w:r>
            <w:r w:rsidRPr="00486A70">
              <w:rPr>
                <w:color w:val="000000"/>
                <w:sz w:val="18"/>
              </w:rPr>
              <w:tab/>
            </w:r>
          </w:p>
        </w:tc>
      </w:tr>
      <w:tr w:rsidR="00E3172D" w:rsidRPr="006F497D" w:rsidTr="001077F3">
        <w:tc>
          <w:tcPr>
            <w:tcW w:w="10188" w:type="dxa"/>
            <w:gridSpan w:val="2"/>
          </w:tcPr>
          <w:p w:rsidR="00E3172D" w:rsidRPr="00486A70" w:rsidRDefault="00E3172D" w:rsidP="001077F3">
            <w:pPr>
              <w:tabs>
                <w:tab w:val="left" w:pos="284"/>
              </w:tabs>
              <w:spacing w:before="120" w:line="360" w:lineRule="auto"/>
              <w:ind w:left="284" w:hanging="284"/>
              <w:rPr>
                <w:rFonts w:cs="Arial"/>
                <w:color w:val="000000"/>
                <w:sz w:val="18"/>
                <w:lang w:val="en-US"/>
              </w:rPr>
            </w:pPr>
            <w:r w:rsidRPr="00486A70">
              <w:rPr>
                <w:color w:val="000000"/>
                <w:sz w:val="18"/>
                <w:lang w:val="en-US"/>
              </w:rPr>
              <w:t>5.</w:t>
            </w:r>
            <w:r w:rsidRPr="00486A70">
              <w:rPr>
                <w:color w:val="000000"/>
                <w:sz w:val="18"/>
                <w:lang w:val="en-US"/>
              </w:rPr>
              <w:tab/>
              <w:t xml:space="preserve">The conformity of the traditional craft described above has been established, based on </w:t>
            </w:r>
          </w:p>
          <w:p w:rsidR="00E3172D" w:rsidRPr="00486A70" w:rsidRDefault="00E3172D" w:rsidP="00486A70">
            <w:pPr>
              <w:tabs>
                <w:tab w:val="left" w:pos="284"/>
                <w:tab w:val="left" w:leader="dot" w:pos="4820"/>
              </w:tabs>
              <w:spacing w:before="120" w:line="360" w:lineRule="auto"/>
              <w:ind w:left="284" w:firstLine="0"/>
              <w:rPr>
                <w:rFonts w:cs="Arial"/>
                <w:color w:val="000000"/>
                <w:sz w:val="18"/>
                <w:lang w:val="en-US"/>
              </w:rPr>
            </w:pPr>
            <w:r w:rsidRPr="00486A70">
              <w:rPr>
                <w:color w:val="000000"/>
                <w:sz w:val="18"/>
                <w:lang w:val="en-US"/>
              </w:rPr>
              <w:t xml:space="preserve">an inspection of </w:t>
            </w:r>
            <w:r w:rsidRPr="00486A70">
              <w:rPr>
                <w:color w:val="000000"/>
                <w:sz w:val="18"/>
                <w:lang w:val="en-US"/>
              </w:rPr>
              <w:tab/>
              <w:t>,</w:t>
            </w:r>
          </w:p>
          <w:p w:rsidR="00E3172D" w:rsidRPr="00486A70" w:rsidRDefault="00E3172D" w:rsidP="00486A70">
            <w:pPr>
              <w:tabs>
                <w:tab w:val="left" w:pos="720"/>
              </w:tabs>
              <w:spacing w:line="360" w:lineRule="auto"/>
              <w:ind w:left="284" w:firstLine="0"/>
              <w:rPr>
                <w:rFonts w:cs="Arial"/>
                <w:color w:val="000000"/>
                <w:lang w:val="en-US"/>
              </w:rPr>
            </w:pPr>
            <w:r w:rsidRPr="00486A70">
              <w:rPr>
                <w:color w:val="000000"/>
                <w:sz w:val="18"/>
                <w:lang w:val="en-US"/>
              </w:rPr>
              <w:t>as well as the expert report of the heritage conservation authority / of the traditional craft expert</w:t>
            </w:r>
            <w:r w:rsidRPr="00486A70">
              <w:rPr>
                <w:color w:val="000000"/>
                <w:vertAlign w:val="superscript"/>
                <w:lang w:val="en-US"/>
              </w:rPr>
              <w:t>*)</w:t>
            </w:r>
          </w:p>
          <w:p w:rsidR="00E3172D" w:rsidRPr="00486A70" w:rsidRDefault="00E3172D" w:rsidP="00486A70">
            <w:pPr>
              <w:tabs>
                <w:tab w:val="left" w:pos="284"/>
                <w:tab w:val="left" w:leader="dot" w:pos="5812"/>
                <w:tab w:val="left" w:leader="dot" w:pos="8789"/>
              </w:tabs>
              <w:spacing w:line="360" w:lineRule="auto"/>
              <w:ind w:left="284" w:firstLine="0"/>
              <w:rPr>
                <w:rFonts w:cs="Arial"/>
                <w:color w:val="000000"/>
                <w:sz w:val="18"/>
                <w:lang w:val="en-US"/>
              </w:rPr>
            </w:pPr>
            <w:r w:rsidRPr="00486A70">
              <w:rPr>
                <w:color w:val="000000"/>
                <w:sz w:val="18"/>
                <w:lang w:val="en-US"/>
              </w:rPr>
              <w:tab/>
              <w:t xml:space="preserve"> dated </w:t>
            </w:r>
            <w:r w:rsidRPr="00486A70">
              <w:rPr>
                <w:color w:val="000000"/>
                <w:sz w:val="18"/>
                <w:lang w:val="en-US"/>
              </w:rPr>
              <w:tab/>
            </w:r>
          </w:p>
          <w:p w:rsidR="00E3172D" w:rsidRPr="00486A70" w:rsidRDefault="00E3172D" w:rsidP="00486A70">
            <w:pPr>
              <w:spacing w:line="360" w:lineRule="auto"/>
              <w:ind w:left="284" w:firstLine="0"/>
              <w:rPr>
                <w:rFonts w:cs="Arial"/>
                <w:color w:val="000000"/>
                <w:lang w:val="en-US"/>
              </w:rPr>
            </w:pPr>
            <w:r w:rsidRPr="00486A70">
              <w:rPr>
                <w:color w:val="000000"/>
                <w:sz w:val="18"/>
                <w:lang w:val="en-US"/>
              </w:rPr>
              <w:t xml:space="preserve">with </w:t>
            </w:r>
          </w:p>
          <w:p w:rsidR="00E3172D" w:rsidRPr="00486A70" w:rsidRDefault="00E3172D" w:rsidP="001077F3">
            <w:pPr>
              <w:spacing w:line="360" w:lineRule="auto"/>
              <w:ind w:left="709"/>
              <w:rPr>
                <w:rFonts w:cs="Arial"/>
                <w:color w:val="000000"/>
                <w:lang w:val="en-US"/>
              </w:rPr>
            </w:pPr>
            <w:r w:rsidRPr="00486A70">
              <w:rPr>
                <w:color w:val="000000"/>
                <w:sz w:val="18"/>
                <w:lang w:val="en-US"/>
              </w:rPr>
              <w:t>-</w:t>
            </w:r>
            <w:r w:rsidRPr="00486A70">
              <w:rPr>
                <w:color w:val="000000"/>
                <w:sz w:val="18"/>
                <w:lang w:val="en-US"/>
              </w:rPr>
              <w:tab/>
              <w:t>the deviations listed in item 6, and</w:t>
            </w:r>
          </w:p>
          <w:p w:rsidR="00E3172D" w:rsidRPr="00486A70" w:rsidRDefault="00E3172D" w:rsidP="001077F3">
            <w:pPr>
              <w:spacing w:line="360" w:lineRule="auto"/>
              <w:ind w:left="709"/>
              <w:rPr>
                <w:rFonts w:cs="Arial"/>
                <w:color w:val="000000"/>
                <w:lang w:val="en-US"/>
              </w:rPr>
            </w:pPr>
            <w:r w:rsidRPr="00486A70">
              <w:rPr>
                <w:color w:val="000000"/>
                <w:sz w:val="18"/>
                <w:lang w:val="en-US"/>
              </w:rPr>
              <w:t>-</w:t>
            </w:r>
            <w:r w:rsidRPr="00486A70">
              <w:rPr>
                <w:color w:val="000000"/>
                <w:sz w:val="18"/>
                <w:lang w:val="en-US"/>
              </w:rPr>
              <w:tab/>
              <w:t>the additional requirements given in item 7</w:t>
            </w:r>
          </w:p>
          <w:p w:rsidR="00E3172D" w:rsidRPr="00486A70" w:rsidRDefault="00E3172D" w:rsidP="00486A70">
            <w:pPr>
              <w:spacing w:line="360" w:lineRule="auto"/>
              <w:ind w:left="284" w:firstLine="0"/>
              <w:rPr>
                <w:rFonts w:cs="Arial"/>
                <w:color w:val="000000"/>
              </w:rPr>
            </w:pPr>
            <w:r w:rsidRPr="00486A70">
              <w:rPr>
                <w:color w:val="000000"/>
                <w:sz w:val="18"/>
              </w:rPr>
              <w:t>deemed appropriate.</w:t>
            </w:r>
          </w:p>
        </w:tc>
      </w:tr>
      <w:tr w:rsidR="00E3172D" w:rsidRPr="006F497D" w:rsidTr="001077F3">
        <w:tc>
          <w:tcPr>
            <w:tcW w:w="10188" w:type="dxa"/>
            <w:gridSpan w:val="2"/>
          </w:tcPr>
          <w:p w:rsidR="00E3172D" w:rsidRPr="00486A70" w:rsidRDefault="00E3172D" w:rsidP="001077F3">
            <w:pPr>
              <w:rPr>
                <w:rFonts w:cs="Arial"/>
                <w:color w:val="000000"/>
                <w:lang w:val="en-US"/>
              </w:rPr>
            </w:pPr>
          </w:p>
          <w:p w:rsidR="00E3172D" w:rsidRPr="00486A70" w:rsidRDefault="00E3172D" w:rsidP="00486A70">
            <w:pPr>
              <w:tabs>
                <w:tab w:val="left" w:leader="dot" w:pos="3969"/>
                <w:tab w:val="left" w:leader="dot" w:pos="6237"/>
                <w:tab w:val="left" w:leader="dot" w:pos="8789"/>
              </w:tabs>
              <w:ind w:left="284" w:firstLine="0"/>
              <w:rPr>
                <w:rFonts w:cs="Arial"/>
                <w:color w:val="000000"/>
                <w:lang w:val="en-US"/>
              </w:rPr>
            </w:pPr>
            <w:r w:rsidRPr="00486A70">
              <w:rPr>
                <w:color w:val="000000"/>
                <w:lang w:val="en-US"/>
              </w:rPr>
              <w:tab/>
              <w:t xml:space="preserve">, </w:t>
            </w:r>
            <w:r w:rsidRPr="00486A70">
              <w:rPr>
                <w:color w:val="000000"/>
                <w:lang w:val="en-US"/>
              </w:rPr>
              <w:tab/>
            </w:r>
          </w:p>
          <w:p w:rsidR="00E3172D" w:rsidRPr="00486A70" w:rsidRDefault="00E3172D" w:rsidP="00486A70">
            <w:pPr>
              <w:tabs>
                <w:tab w:val="center" w:pos="2127"/>
                <w:tab w:val="center" w:pos="5103"/>
                <w:tab w:val="center" w:pos="8080"/>
              </w:tabs>
              <w:ind w:firstLine="1"/>
              <w:rPr>
                <w:rFonts w:cs="Arial"/>
                <w:color w:val="000000"/>
                <w:lang w:val="en-US"/>
              </w:rPr>
            </w:pPr>
            <w:r w:rsidRPr="00486A70">
              <w:rPr>
                <w:color w:val="000000"/>
                <w:sz w:val="16"/>
                <w:lang w:val="en-US"/>
              </w:rPr>
              <w:tab/>
              <w:t>(Place)</w:t>
            </w:r>
            <w:r w:rsidRPr="00486A70">
              <w:rPr>
                <w:color w:val="000000"/>
                <w:sz w:val="16"/>
                <w:lang w:val="en-US"/>
              </w:rPr>
              <w:tab/>
              <w:t>(date)</w:t>
            </w:r>
          </w:p>
          <w:p w:rsidR="00E3172D" w:rsidRPr="00486A70" w:rsidRDefault="00E3172D" w:rsidP="001077F3">
            <w:pPr>
              <w:rPr>
                <w:rFonts w:cs="Arial"/>
                <w:color w:val="000000"/>
                <w:lang w:val="en-US"/>
              </w:rPr>
            </w:pPr>
          </w:p>
          <w:p w:rsidR="00E3172D" w:rsidRPr="00486A70" w:rsidRDefault="00E3172D" w:rsidP="00486A70">
            <w:pPr>
              <w:tabs>
                <w:tab w:val="left" w:pos="4820"/>
                <w:tab w:val="left" w:leader="dot" w:pos="8789"/>
              </w:tabs>
              <w:ind w:firstLine="1"/>
              <w:rPr>
                <w:rFonts w:cs="Arial"/>
                <w:color w:val="000000"/>
                <w:lang w:val="en-US"/>
              </w:rPr>
            </w:pPr>
            <w:r w:rsidRPr="00486A70">
              <w:rPr>
                <w:rFonts w:cs="Arial"/>
                <w:color w:val="000000"/>
                <w:lang w:val="en-US"/>
              </w:rPr>
              <w:tab/>
            </w:r>
            <w:r w:rsidRPr="00486A70">
              <w:rPr>
                <w:rFonts w:cs="Arial"/>
                <w:color w:val="000000"/>
                <w:lang w:val="en-US"/>
              </w:rPr>
              <w:tab/>
            </w:r>
          </w:p>
          <w:p w:rsidR="00E3172D" w:rsidRPr="00486A70" w:rsidRDefault="00E3172D" w:rsidP="00486A70">
            <w:pPr>
              <w:tabs>
                <w:tab w:val="center" w:pos="6804"/>
              </w:tabs>
              <w:ind w:firstLine="1"/>
              <w:rPr>
                <w:rFonts w:cs="Arial"/>
                <w:color w:val="000000"/>
                <w:lang w:val="en-US"/>
              </w:rPr>
            </w:pPr>
            <w:r w:rsidRPr="00486A70">
              <w:rPr>
                <w:color w:val="000000"/>
                <w:sz w:val="16"/>
                <w:lang w:val="en-US"/>
              </w:rPr>
              <w:tab/>
              <w:t>Inspection body</w:t>
            </w:r>
          </w:p>
          <w:p w:rsidR="00E3172D" w:rsidRPr="00486A70" w:rsidRDefault="00E3172D" w:rsidP="00486A70">
            <w:pPr>
              <w:tabs>
                <w:tab w:val="center" w:pos="1985"/>
              </w:tabs>
              <w:spacing w:before="120" w:line="240" w:lineRule="atLeast"/>
              <w:ind w:firstLine="1"/>
              <w:rPr>
                <w:rFonts w:cs="Arial"/>
                <w:color w:val="000000"/>
                <w:sz w:val="18"/>
                <w:szCs w:val="18"/>
                <w:lang w:val="en-US"/>
              </w:rPr>
            </w:pPr>
            <w:r w:rsidRPr="00486A70">
              <w:rPr>
                <w:color w:val="000000"/>
                <w:sz w:val="18"/>
                <w:szCs w:val="18"/>
                <w:lang w:val="en-US"/>
              </w:rPr>
              <w:tab/>
              <w:t>Stamp</w:t>
            </w:r>
          </w:p>
          <w:p w:rsidR="00E3172D" w:rsidRPr="00486A70" w:rsidRDefault="00E3172D" w:rsidP="00486A70">
            <w:pPr>
              <w:tabs>
                <w:tab w:val="left" w:pos="4820"/>
                <w:tab w:val="left" w:leader="dot" w:pos="8789"/>
              </w:tabs>
              <w:spacing w:before="120" w:line="240" w:lineRule="atLeast"/>
              <w:ind w:firstLine="1"/>
              <w:rPr>
                <w:rFonts w:cs="Arial"/>
                <w:color w:val="000000"/>
                <w:lang w:val="en-US"/>
              </w:rPr>
            </w:pPr>
            <w:r w:rsidRPr="00486A70">
              <w:rPr>
                <w:rFonts w:cs="Arial"/>
                <w:color w:val="000000"/>
                <w:lang w:val="en-US"/>
              </w:rPr>
              <w:tab/>
            </w:r>
            <w:r w:rsidRPr="00486A70">
              <w:rPr>
                <w:rFonts w:cs="Arial"/>
                <w:color w:val="000000"/>
                <w:lang w:val="en-US"/>
              </w:rPr>
              <w:tab/>
            </w:r>
          </w:p>
          <w:p w:rsidR="00E3172D" w:rsidRPr="00486A70" w:rsidRDefault="00E3172D" w:rsidP="00486A70">
            <w:pPr>
              <w:tabs>
                <w:tab w:val="center" w:pos="6804"/>
              </w:tabs>
              <w:ind w:firstLine="1"/>
              <w:rPr>
                <w:rFonts w:cs="Arial"/>
                <w:color w:val="000000"/>
                <w:sz w:val="16"/>
                <w:lang w:val="en-US"/>
              </w:rPr>
            </w:pPr>
            <w:r w:rsidRPr="00486A70">
              <w:rPr>
                <w:color w:val="000000"/>
                <w:sz w:val="16"/>
                <w:lang w:val="en-US"/>
              </w:rPr>
              <w:tab/>
              <w:t>(signature)</w:t>
            </w:r>
          </w:p>
          <w:p w:rsidR="00E3172D" w:rsidRPr="00486A70" w:rsidRDefault="00E3172D" w:rsidP="00486A70">
            <w:pPr>
              <w:ind w:left="0" w:firstLine="1"/>
              <w:rPr>
                <w:rFonts w:cs="Arial"/>
                <w:color w:val="000000"/>
                <w:lang w:val="en-US"/>
              </w:rPr>
            </w:pPr>
          </w:p>
          <w:p w:rsidR="00E3172D" w:rsidRPr="00486A70" w:rsidRDefault="00E3172D" w:rsidP="00486A70">
            <w:pPr>
              <w:ind w:left="0" w:firstLine="1"/>
              <w:rPr>
                <w:rFonts w:cs="Arial"/>
                <w:color w:val="000000"/>
                <w:lang w:val="en-US"/>
              </w:rPr>
            </w:pPr>
          </w:p>
          <w:p w:rsidR="00E3172D" w:rsidRPr="00486A70" w:rsidRDefault="00E3172D" w:rsidP="00486A70">
            <w:pPr>
              <w:tabs>
                <w:tab w:val="left" w:leader="dot" w:pos="8789"/>
              </w:tabs>
              <w:ind w:left="3261" w:firstLine="0"/>
              <w:rPr>
                <w:rFonts w:cs="Arial"/>
                <w:color w:val="000000"/>
                <w:sz w:val="16"/>
                <w:lang w:val="en-US"/>
              </w:rPr>
            </w:pPr>
            <w:r w:rsidRPr="00486A70">
              <w:rPr>
                <w:color w:val="000000"/>
                <w:sz w:val="16"/>
                <w:lang w:val="en-US"/>
              </w:rPr>
              <w:tab/>
            </w:r>
          </w:p>
          <w:p w:rsidR="00E3172D" w:rsidRPr="00486A70" w:rsidRDefault="00E3172D" w:rsidP="00486A70">
            <w:pPr>
              <w:ind w:left="4111" w:firstLine="0"/>
              <w:rPr>
                <w:rFonts w:cs="Arial"/>
                <w:color w:val="000000"/>
                <w:sz w:val="16"/>
                <w:lang w:val="en-US"/>
              </w:rPr>
            </w:pPr>
            <w:r w:rsidRPr="00486A70">
              <w:rPr>
                <w:color w:val="000000"/>
                <w:sz w:val="16"/>
                <w:lang w:val="en-US"/>
              </w:rPr>
              <w:t>Name/address of the traditional craft expert</w:t>
            </w:r>
          </w:p>
          <w:p w:rsidR="00E3172D" w:rsidRPr="00486A70" w:rsidRDefault="00E3172D" w:rsidP="00486A70">
            <w:pPr>
              <w:ind w:left="0" w:firstLine="1"/>
              <w:rPr>
                <w:rFonts w:cs="Arial"/>
                <w:color w:val="000000"/>
                <w:lang w:val="en-US"/>
              </w:rPr>
            </w:pPr>
          </w:p>
          <w:p w:rsidR="00E3172D" w:rsidRPr="00486A70" w:rsidRDefault="00E3172D" w:rsidP="001077F3">
            <w:pPr>
              <w:rPr>
                <w:rFonts w:cs="Arial"/>
                <w:color w:val="000000"/>
                <w:sz w:val="12"/>
              </w:rPr>
            </w:pPr>
            <w:r w:rsidRPr="00486A70">
              <w:rPr>
                <w:color w:val="000000"/>
                <w:sz w:val="12"/>
              </w:rPr>
              <w:t>___________________________________</w:t>
            </w:r>
          </w:p>
          <w:p w:rsidR="00E3172D" w:rsidRPr="00486A70" w:rsidRDefault="00E3172D" w:rsidP="001077F3">
            <w:pPr>
              <w:spacing w:before="40" w:after="40" w:line="240" w:lineRule="atLeast"/>
              <w:ind w:left="284" w:hanging="284"/>
              <w:rPr>
                <w:rFonts w:cs="Arial"/>
                <w:color w:val="000000"/>
                <w:sz w:val="16"/>
                <w:szCs w:val="16"/>
              </w:rPr>
            </w:pPr>
            <w:r w:rsidRPr="00486A70">
              <w:rPr>
                <w:sz w:val="16"/>
              </w:rPr>
              <w:t>*)</w:t>
            </w:r>
            <w:r w:rsidRPr="00486A70">
              <w:rPr>
                <w:color w:val="000000"/>
                <w:sz w:val="16"/>
                <w:szCs w:val="16"/>
              </w:rPr>
              <w:tab/>
              <w:t xml:space="preserve">Delete as appropriate. </w:t>
            </w:r>
          </w:p>
        </w:tc>
      </w:tr>
    </w:tbl>
    <w:p w:rsidR="00E3172D" w:rsidRPr="00C903F8" w:rsidRDefault="00E3172D" w:rsidP="009C13A9">
      <w:pPr>
        <w:tabs>
          <w:tab w:val="center" w:pos="8222"/>
        </w:tabs>
        <w:rPr>
          <w:lang w:val="en-US"/>
        </w:rPr>
      </w:pPr>
    </w:p>
    <w:p w:rsidR="009C13A9" w:rsidRPr="00C903F8" w:rsidRDefault="009C13A9" w:rsidP="009C13A9">
      <w:pPr>
        <w:tabs>
          <w:tab w:val="center" w:pos="8222"/>
        </w:tabs>
        <w:rPr>
          <w:lang w:val="en-US"/>
        </w:rPr>
      </w:pPr>
    </w:p>
    <w:p w:rsidR="00A50F11" w:rsidRPr="00C903F8" w:rsidRDefault="00A50F11" w:rsidP="009C13A9">
      <w:pPr>
        <w:tabs>
          <w:tab w:val="center" w:pos="8222"/>
        </w:tabs>
        <w:rPr>
          <w:lang w:val="en-US"/>
        </w:rPr>
      </w:pPr>
      <w:r w:rsidRPr="00C903F8">
        <w:rPr>
          <w:lang w:val="en-US"/>
        </w:rPr>
        <w:br w:type="page"/>
      </w:r>
    </w:p>
    <w:p w:rsidR="00A50F11" w:rsidRPr="00C903F8" w:rsidRDefault="00A50F11" w:rsidP="009C13A9">
      <w:pPr>
        <w:tabs>
          <w:tab w:val="center" w:pos="8222"/>
        </w:tabs>
        <w:rPr>
          <w:lang w:val="en-US"/>
        </w:rPr>
      </w:pPr>
    </w:p>
    <w:p w:rsidR="000F600A" w:rsidRPr="0091173E" w:rsidRDefault="000F600A" w:rsidP="000F600A">
      <w:pPr>
        <w:tabs>
          <w:tab w:val="left" w:leader="dot" w:pos="8364"/>
        </w:tabs>
        <w:spacing w:line="240" w:lineRule="atLeast"/>
        <w:jc w:val="center"/>
        <w:rPr>
          <w:b/>
          <w:color w:val="000000"/>
          <w:sz w:val="18"/>
          <w:szCs w:val="18"/>
          <w:lang w:val="en-US"/>
        </w:rPr>
      </w:pPr>
      <w:r w:rsidRPr="0091173E">
        <w:rPr>
          <w:b/>
          <w:color w:val="000000"/>
          <w:lang w:val="en-US"/>
        </w:rPr>
        <w:t xml:space="preserve">Annex to the inland navigation vessel certificate No </w:t>
      </w:r>
      <w:r w:rsidRPr="0091173E">
        <w:rPr>
          <w:color w:val="000000"/>
          <w:sz w:val="18"/>
          <w:szCs w:val="18"/>
          <w:lang w:val="en-US"/>
        </w:rPr>
        <w:tab/>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3"/>
        <w:gridCol w:w="4592"/>
      </w:tblGrid>
      <w:tr w:rsidR="000F600A" w:rsidRPr="00296858" w:rsidTr="001077F3">
        <w:tc>
          <w:tcPr>
            <w:tcW w:w="5063" w:type="dxa"/>
            <w:tcBorders>
              <w:bottom w:val="nil"/>
            </w:tcBorders>
          </w:tcPr>
          <w:p w:rsidR="000F600A" w:rsidRPr="0091173E" w:rsidRDefault="000F600A" w:rsidP="001077F3">
            <w:pPr>
              <w:spacing w:before="80" w:after="60" w:line="240" w:lineRule="atLeast"/>
              <w:ind w:left="284" w:hanging="284"/>
              <w:rPr>
                <w:rFonts w:cs="Arial"/>
                <w:color w:val="000000"/>
                <w:sz w:val="18"/>
                <w:szCs w:val="18"/>
                <w:lang w:val="en-US"/>
              </w:rPr>
            </w:pPr>
            <w:r w:rsidRPr="0091173E">
              <w:rPr>
                <w:color w:val="000000"/>
                <w:sz w:val="18"/>
                <w:szCs w:val="18"/>
                <w:lang w:val="en-US"/>
              </w:rPr>
              <w:t>6.</w:t>
            </w:r>
            <w:r w:rsidRPr="0091173E">
              <w:rPr>
                <w:color w:val="000000"/>
                <w:sz w:val="18"/>
                <w:szCs w:val="18"/>
                <w:lang w:val="en-US"/>
              </w:rPr>
              <w:tab/>
              <w:t>List of the deviations in the technical condition from the condition of the applicable Standard for the chosen historical time period at the time of the recognition:</w:t>
            </w:r>
          </w:p>
        </w:tc>
        <w:tc>
          <w:tcPr>
            <w:tcW w:w="5063" w:type="dxa"/>
            <w:tcBorders>
              <w:bottom w:val="nil"/>
            </w:tcBorders>
          </w:tcPr>
          <w:p w:rsidR="000F600A" w:rsidRPr="0091173E" w:rsidRDefault="000F600A" w:rsidP="001077F3">
            <w:pPr>
              <w:spacing w:before="80" w:after="60" w:line="240" w:lineRule="atLeast"/>
              <w:ind w:left="284" w:hanging="284"/>
              <w:rPr>
                <w:rFonts w:cs="Arial"/>
                <w:color w:val="000000"/>
                <w:sz w:val="18"/>
                <w:szCs w:val="18"/>
                <w:lang w:val="en-US"/>
              </w:rPr>
            </w:pPr>
            <w:r w:rsidRPr="0091173E">
              <w:rPr>
                <w:color w:val="000000"/>
                <w:sz w:val="18"/>
                <w:szCs w:val="18"/>
                <w:lang w:val="en-US"/>
              </w:rPr>
              <w:t>7.</w:t>
            </w:r>
            <w:r w:rsidRPr="0091173E">
              <w:rPr>
                <w:color w:val="000000"/>
                <w:sz w:val="18"/>
                <w:szCs w:val="18"/>
                <w:lang w:val="en-US"/>
              </w:rPr>
              <w:tab/>
              <w:t>Additional requirements resulting from item 6:</w:t>
            </w:r>
          </w:p>
        </w:tc>
      </w:tr>
      <w:tr w:rsidR="000F600A" w:rsidRPr="00296858" w:rsidTr="001077F3">
        <w:tc>
          <w:tcPr>
            <w:tcW w:w="5063" w:type="dxa"/>
            <w:tcBorders>
              <w:top w:val="nil"/>
            </w:tcBorders>
          </w:tcPr>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253"/>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tc>
        <w:tc>
          <w:tcPr>
            <w:tcW w:w="5063" w:type="dxa"/>
            <w:tcBorders>
              <w:top w:val="nil"/>
            </w:tcBorders>
          </w:tcPr>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tabs>
                <w:tab w:val="left" w:leader="dot" w:pos="4196"/>
              </w:tabs>
              <w:spacing w:line="360" w:lineRule="auto"/>
              <w:ind w:left="284"/>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tc>
      </w:tr>
      <w:tr w:rsidR="000F600A" w:rsidRPr="0091173E" w:rsidTr="001077F3">
        <w:tc>
          <w:tcPr>
            <w:tcW w:w="10126" w:type="dxa"/>
            <w:gridSpan w:val="2"/>
          </w:tcPr>
          <w:p w:rsidR="000F600A" w:rsidRPr="0091173E" w:rsidRDefault="000F600A" w:rsidP="001077F3">
            <w:pPr>
              <w:spacing w:before="80"/>
              <w:ind w:left="284" w:hanging="284"/>
              <w:rPr>
                <w:rFonts w:cs="Arial"/>
                <w:sz w:val="18"/>
                <w:szCs w:val="18"/>
              </w:rPr>
            </w:pPr>
            <w:r w:rsidRPr="0091173E">
              <w:rPr>
                <w:sz w:val="18"/>
                <w:szCs w:val="18"/>
              </w:rPr>
              <w:t>8.</w:t>
            </w:r>
            <w:r w:rsidRPr="0091173E">
              <w:rPr>
                <w:sz w:val="18"/>
                <w:szCs w:val="18"/>
              </w:rPr>
              <w:tab/>
              <w:t>Other conditions:</w:t>
            </w:r>
          </w:p>
          <w:p w:rsidR="000F600A" w:rsidRPr="0091173E" w:rsidRDefault="000F600A" w:rsidP="001077F3">
            <w:pPr>
              <w:tabs>
                <w:tab w:val="left" w:leader="dot" w:pos="8789"/>
              </w:tabs>
              <w:spacing w:before="40" w:line="360" w:lineRule="auto"/>
              <w:ind w:left="284"/>
              <w:rPr>
                <w:rFonts w:cs="Arial"/>
                <w:color w:val="000000"/>
                <w:sz w:val="18"/>
                <w:szCs w:val="18"/>
              </w:rPr>
            </w:pPr>
            <w:r w:rsidRPr="0091173E">
              <w:rPr>
                <w:color w:val="000000"/>
                <w:sz w:val="18"/>
                <w:szCs w:val="18"/>
              </w:rPr>
              <w:tab/>
            </w:r>
            <w:r w:rsidRPr="0091173E">
              <w:rPr>
                <w:color w:val="000000"/>
                <w:sz w:val="18"/>
                <w:szCs w:val="18"/>
                <w:lang w:val="en-US"/>
              </w:rPr>
              <w:tab/>
            </w:r>
          </w:p>
          <w:p w:rsidR="000F600A" w:rsidRPr="0091173E" w:rsidRDefault="000F600A" w:rsidP="001077F3">
            <w:pPr>
              <w:tabs>
                <w:tab w:val="left" w:leader="dot" w:pos="8789"/>
              </w:tabs>
              <w:spacing w:before="40" w:line="360" w:lineRule="auto"/>
              <w:ind w:left="284"/>
              <w:rPr>
                <w:rFonts w:cs="Arial"/>
                <w:color w:val="000000"/>
                <w:sz w:val="18"/>
                <w:szCs w:val="18"/>
              </w:rPr>
            </w:pPr>
            <w:r w:rsidRPr="0091173E">
              <w:rPr>
                <w:color w:val="000000"/>
                <w:sz w:val="18"/>
                <w:szCs w:val="18"/>
              </w:rPr>
              <w:tab/>
            </w:r>
            <w:r w:rsidRPr="0091173E">
              <w:rPr>
                <w:color w:val="000000"/>
                <w:sz w:val="18"/>
                <w:szCs w:val="18"/>
                <w:lang w:val="en-US"/>
              </w:rPr>
              <w:tab/>
            </w:r>
          </w:p>
        </w:tc>
      </w:tr>
      <w:tr w:rsidR="000F600A" w:rsidRPr="0091173E" w:rsidTr="001077F3">
        <w:tc>
          <w:tcPr>
            <w:tcW w:w="10126" w:type="dxa"/>
            <w:gridSpan w:val="2"/>
          </w:tcPr>
          <w:p w:rsidR="000F600A" w:rsidRPr="0091173E" w:rsidRDefault="000F600A" w:rsidP="001077F3">
            <w:pPr>
              <w:spacing w:before="80"/>
              <w:ind w:left="284" w:hanging="284"/>
              <w:rPr>
                <w:rFonts w:cs="Arial"/>
                <w:sz w:val="18"/>
                <w:szCs w:val="18"/>
              </w:rPr>
            </w:pPr>
            <w:r w:rsidRPr="0091173E">
              <w:rPr>
                <w:sz w:val="18"/>
                <w:szCs w:val="18"/>
              </w:rPr>
              <w:t>9.</w:t>
            </w:r>
            <w:r w:rsidRPr="0091173E">
              <w:rPr>
                <w:sz w:val="18"/>
                <w:szCs w:val="18"/>
              </w:rPr>
              <w:tab/>
              <w:t>Remarks:</w:t>
            </w:r>
          </w:p>
          <w:p w:rsidR="000F600A" w:rsidRPr="0091173E" w:rsidRDefault="000F600A" w:rsidP="001077F3">
            <w:pPr>
              <w:tabs>
                <w:tab w:val="left" w:leader="dot" w:pos="8789"/>
              </w:tabs>
              <w:spacing w:before="40" w:line="360" w:lineRule="auto"/>
              <w:ind w:left="284"/>
              <w:rPr>
                <w:rFonts w:cs="Arial"/>
                <w:color w:val="000000"/>
                <w:sz w:val="18"/>
                <w:szCs w:val="18"/>
              </w:rPr>
            </w:pPr>
            <w:r w:rsidRPr="0091173E">
              <w:rPr>
                <w:color w:val="000000"/>
                <w:sz w:val="18"/>
                <w:szCs w:val="18"/>
              </w:rPr>
              <w:tab/>
            </w:r>
            <w:r w:rsidRPr="0091173E">
              <w:rPr>
                <w:color w:val="000000"/>
                <w:sz w:val="18"/>
                <w:szCs w:val="18"/>
                <w:lang w:val="en-US"/>
              </w:rPr>
              <w:tab/>
            </w:r>
          </w:p>
          <w:p w:rsidR="000F600A" w:rsidRPr="0091173E" w:rsidRDefault="000F600A" w:rsidP="001077F3">
            <w:pPr>
              <w:tabs>
                <w:tab w:val="left" w:leader="dot" w:pos="8789"/>
              </w:tabs>
              <w:spacing w:before="40" w:line="360" w:lineRule="auto"/>
              <w:ind w:left="284"/>
              <w:rPr>
                <w:rFonts w:cs="Arial"/>
                <w:color w:val="000000"/>
                <w:sz w:val="18"/>
                <w:szCs w:val="18"/>
              </w:rPr>
            </w:pPr>
            <w:r w:rsidRPr="0091173E">
              <w:rPr>
                <w:color w:val="000000"/>
                <w:sz w:val="18"/>
                <w:szCs w:val="18"/>
              </w:rPr>
              <w:tab/>
            </w:r>
            <w:r w:rsidRPr="0091173E">
              <w:rPr>
                <w:color w:val="000000"/>
                <w:sz w:val="18"/>
                <w:szCs w:val="18"/>
                <w:lang w:val="en-US"/>
              </w:rPr>
              <w:tab/>
            </w:r>
          </w:p>
        </w:tc>
      </w:tr>
      <w:tr w:rsidR="000F600A" w:rsidRPr="006F497D" w:rsidTr="001077F3">
        <w:tc>
          <w:tcPr>
            <w:tcW w:w="10126" w:type="dxa"/>
            <w:gridSpan w:val="2"/>
          </w:tcPr>
          <w:p w:rsidR="000F600A" w:rsidRPr="0091173E" w:rsidRDefault="000F600A" w:rsidP="001077F3">
            <w:pPr>
              <w:spacing w:before="80"/>
              <w:rPr>
                <w:rFonts w:cs="Arial"/>
                <w:color w:val="000000"/>
                <w:sz w:val="18"/>
                <w:szCs w:val="18"/>
                <w:lang w:val="en-US"/>
              </w:rPr>
            </w:pPr>
            <w:r w:rsidRPr="0091173E">
              <w:rPr>
                <w:sz w:val="18"/>
                <w:szCs w:val="18"/>
                <w:lang w:val="en-US"/>
              </w:rPr>
              <w:t>This page was issued / replaced (*)</w:t>
            </w:r>
          </w:p>
          <w:p w:rsidR="000F600A" w:rsidRPr="0091173E" w:rsidRDefault="000F600A" w:rsidP="001077F3">
            <w:pPr>
              <w:rPr>
                <w:rFonts w:cs="Arial"/>
                <w:color w:val="000000"/>
                <w:sz w:val="18"/>
                <w:szCs w:val="18"/>
                <w:lang w:val="en-US"/>
              </w:rPr>
            </w:pPr>
          </w:p>
          <w:p w:rsidR="000F600A" w:rsidRPr="0091173E" w:rsidRDefault="000F600A" w:rsidP="001077F3">
            <w:pPr>
              <w:tabs>
                <w:tab w:val="left" w:leader="dot" w:pos="4536"/>
                <w:tab w:val="center" w:pos="7088"/>
              </w:tabs>
              <w:spacing w:after="80" w:line="240" w:lineRule="atLeast"/>
              <w:rPr>
                <w:color w:val="000000"/>
                <w:sz w:val="18"/>
                <w:szCs w:val="18"/>
                <w:lang w:val="en-US"/>
              </w:rPr>
            </w:pPr>
            <w:r w:rsidRPr="0091173E">
              <w:rPr>
                <w:color w:val="000000"/>
                <w:sz w:val="18"/>
                <w:szCs w:val="18"/>
                <w:lang w:val="en-US"/>
              </w:rPr>
              <w:t xml:space="preserve">Place, date </w:t>
            </w:r>
            <w:r w:rsidRPr="0091173E">
              <w:rPr>
                <w:color w:val="000000"/>
                <w:sz w:val="18"/>
                <w:szCs w:val="18"/>
                <w:lang w:val="en-US"/>
              </w:rPr>
              <w:tab/>
            </w:r>
            <w:r w:rsidRPr="0091173E">
              <w:rPr>
                <w:color w:val="000000"/>
                <w:sz w:val="18"/>
                <w:szCs w:val="18"/>
                <w:lang w:val="en-US"/>
              </w:rPr>
              <w:tab/>
              <w:t>Inspection body</w:t>
            </w:r>
          </w:p>
          <w:p w:rsidR="000F600A" w:rsidRPr="0091173E" w:rsidRDefault="000F600A" w:rsidP="001077F3">
            <w:pPr>
              <w:tabs>
                <w:tab w:val="left" w:pos="5387"/>
                <w:tab w:val="left" w:leader="dot" w:pos="8789"/>
              </w:tabs>
              <w:rPr>
                <w:rFonts w:cs="Arial"/>
                <w:color w:val="000000"/>
                <w:sz w:val="18"/>
                <w:szCs w:val="18"/>
                <w:lang w:val="en-US"/>
              </w:rPr>
            </w:pPr>
            <w:r w:rsidRPr="0091173E">
              <w:rPr>
                <w:color w:val="000000"/>
                <w:sz w:val="18"/>
                <w:szCs w:val="18"/>
                <w:lang w:val="en-US"/>
              </w:rPr>
              <w:tab/>
            </w:r>
            <w:r w:rsidRPr="0091173E">
              <w:rPr>
                <w:color w:val="000000"/>
                <w:sz w:val="18"/>
                <w:szCs w:val="18"/>
                <w:lang w:val="en-US"/>
              </w:rPr>
              <w:tab/>
            </w:r>
          </w:p>
          <w:p w:rsidR="000F600A" w:rsidRPr="0091173E" w:rsidRDefault="000F600A" w:rsidP="001077F3">
            <w:pPr>
              <w:rPr>
                <w:rFonts w:cs="Arial"/>
                <w:color w:val="000000"/>
                <w:sz w:val="18"/>
                <w:szCs w:val="18"/>
                <w:lang w:val="en-US"/>
              </w:rPr>
            </w:pPr>
          </w:p>
          <w:p w:rsidR="000F600A" w:rsidRPr="0091173E" w:rsidRDefault="000F600A" w:rsidP="001077F3">
            <w:pPr>
              <w:tabs>
                <w:tab w:val="center" w:pos="1985"/>
              </w:tabs>
              <w:rPr>
                <w:rFonts w:cs="Arial"/>
                <w:color w:val="000000"/>
                <w:sz w:val="18"/>
                <w:szCs w:val="18"/>
                <w:lang w:val="en-US"/>
              </w:rPr>
            </w:pPr>
            <w:r w:rsidRPr="0091173E">
              <w:rPr>
                <w:color w:val="000000"/>
                <w:sz w:val="18"/>
                <w:szCs w:val="18"/>
                <w:lang w:val="en-US"/>
              </w:rPr>
              <w:tab/>
              <w:t>Stamp</w:t>
            </w:r>
          </w:p>
          <w:p w:rsidR="000F600A" w:rsidRPr="0091173E" w:rsidRDefault="000F600A" w:rsidP="001077F3">
            <w:pPr>
              <w:tabs>
                <w:tab w:val="left" w:leader="dot" w:pos="8789"/>
              </w:tabs>
              <w:ind w:left="5387"/>
              <w:rPr>
                <w:rFonts w:cs="Arial"/>
                <w:color w:val="000000"/>
                <w:lang w:val="en-US"/>
              </w:rPr>
            </w:pPr>
            <w:r w:rsidRPr="0091173E">
              <w:rPr>
                <w:color w:val="000000"/>
                <w:lang w:val="en-US"/>
              </w:rPr>
              <w:tab/>
            </w:r>
            <w:r w:rsidRPr="0091173E">
              <w:rPr>
                <w:color w:val="000000"/>
                <w:sz w:val="18"/>
                <w:szCs w:val="18"/>
                <w:lang w:val="en-US"/>
              </w:rPr>
              <w:tab/>
            </w:r>
          </w:p>
          <w:p w:rsidR="000F600A" w:rsidRPr="0091173E" w:rsidRDefault="000F600A" w:rsidP="001077F3">
            <w:pPr>
              <w:tabs>
                <w:tab w:val="center" w:pos="7088"/>
              </w:tabs>
              <w:rPr>
                <w:rFonts w:cs="Arial"/>
                <w:color w:val="000000"/>
                <w:sz w:val="16"/>
                <w:lang w:val="en-US"/>
              </w:rPr>
            </w:pPr>
            <w:r w:rsidRPr="0091173E">
              <w:rPr>
                <w:color w:val="000000"/>
                <w:sz w:val="16"/>
                <w:lang w:val="en-US"/>
              </w:rPr>
              <w:tab/>
            </w:r>
            <w:r w:rsidRPr="0091173E">
              <w:rPr>
                <w:color w:val="000000"/>
                <w:sz w:val="18"/>
                <w:szCs w:val="18"/>
                <w:lang w:val="en-US"/>
              </w:rPr>
              <w:tab/>
            </w:r>
            <w:r w:rsidRPr="0091173E">
              <w:rPr>
                <w:color w:val="000000"/>
                <w:sz w:val="16"/>
                <w:lang w:val="en-US"/>
              </w:rPr>
              <w:t xml:space="preserve"> (Signature)</w:t>
            </w:r>
          </w:p>
          <w:p w:rsidR="000F600A" w:rsidRPr="0091173E" w:rsidRDefault="000F600A" w:rsidP="001077F3">
            <w:pPr>
              <w:rPr>
                <w:rFonts w:cs="Arial"/>
                <w:color w:val="000000"/>
                <w:lang w:val="en-US"/>
              </w:rPr>
            </w:pPr>
          </w:p>
          <w:p w:rsidR="000F600A" w:rsidRPr="0091173E" w:rsidRDefault="000F600A" w:rsidP="001077F3">
            <w:pPr>
              <w:rPr>
                <w:rFonts w:cs="Arial"/>
                <w:color w:val="000000"/>
                <w:sz w:val="12"/>
                <w:lang w:val="en-US"/>
              </w:rPr>
            </w:pPr>
            <w:r w:rsidRPr="0091173E">
              <w:rPr>
                <w:color w:val="000000"/>
                <w:sz w:val="12"/>
                <w:lang w:val="en-US"/>
              </w:rPr>
              <w:t>___________________________________</w:t>
            </w:r>
          </w:p>
          <w:p w:rsidR="000F600A" w:rsidRPr="0091173E" w:rsidRDefault="000F600A" w:rsidP="001077F3">
            <w:pPr>
              <w:spacing w:before="40" w:after="40" w:line="240" w:lineRule="atLeast"/>
              <w:ind w:left="284" w:hanging="284"/>
              <w:rPr>
                <w:rFonts w:cs="Arial"/>
                <w:color w:val="000000"/>
                <w:sz w:val="18"/>
                <w:szCs w:val="18"/>
                <w:lang w:val="en-US"/>
              </w:rPr>
            </w:pPr>
            <w:r w:rsidRPr="0091173E">
              <w:rPr>
                <w:sz w:val="16"/>
                <w:lang w:val="en-US"/>
              </w:rPr>
              <w:t>*)</w:t>
            </w:r>
            <w:r w:rsidRPr="0091173E">
              <w:rPr>
                <w:color w:val="000000"/>
                <w:sz w:val="16"/>
                <w:szCs w:val="16"/>
                <w:lang w:val="en-US"/>
              </w:rPr>
              <w:tab/>
              <w:t>Delete as appropriate</w:t>
            </w:r>
          </w:p>
        </w:tc>
      </w:tr>
      <w:tr w:rsidR="000F600A" w:rsidRPr="00296858" w:rsidTr="001077F3">
        <w:tc>
          <w:tcPr>
            <w:tcW w:w="10126" w:type="dxa"/>
            <w:gridSpan w:val="2"/>
          </w:tcPr>
          <w:p w:rsidR="000F600A" w:rsidRPr="0091173E" w:rsidRDefault="000F600A" w:rsidP="005F2D46">
            <w:pPr>
              <w:tabs>
                <w:tab w:val="left" w:pos="5670"/>
                <w:tab w:val="left" w:leader="dot" w:pos="8789"/>
              </w:tabs>
              <w:spacing w:before="120" w:after="40"/>
              <w:ind w:left="5670"/>
              <w:rPr>
                <w:rFonts w:cs="Arial"/>
                <w:color w:val="000000"/>
                <w:sz w:val="18"/>
                <w:szCs w:val="18"/>
                <w:lang w:val="en-US"/>
              </w:rPr>
            </w:pPr>
            <w:r w:rsidRPr="0091173E">
              <w:rPr>
                <w:color w:val="000000"/>
                <w:sz w:val="18"/>
                <w:szCs w:val="18"/>
                <w:lang w:val="en-US"/>
              </w:rPr>
              <w:t>Continued on page</w:t>
            </w:r>
            <w:r w:rsidRPr="0091173E">
              <w:rPr>
                <w:sz w:val="16"/>
                <w:lang w:val="en-US"/>
              </w:rPr>
              <w:t xml:space="preserve">*) </w:t>
            </w:r>
            <w:r w:rsidRPr="0091173E">
              <w:rPr>
                <w:color w:val="000000"/>
                <w:sz w:val="18"/>
                <w:szCs w:val="18"/>
                <w:lang w:val="en-US"/>
              </w:rPr>
              <w:tab/>
            </w:r>
            <w:r w:rsidRPr="0091173E">
              <w:rPr>
                <w:color w:val="000000"/>
                <w:sz w:val="18"/>
                <w:szCs w:val="18"/>
                <w:lang w:val="en-US"/>
              </w:rPr>
              <w:br/>
              <w:t>End of traditional craft annex</w:t>
            </w:r>
            <w:r w:rsidRPr="0091173E">
              <w:rPr>
                <w:sz w:val="16"/>
                <w:lang w:val="en-US"/>
              </w:rPr>
              <w:t>*)</w:t>
            </w:r>
          </w:p>
        </w:tc>
      </w:tr>
    </w:tbl>
    <w:p w:rsidR="000F600A" w:rsidRPr="00E727A2" w:rsidRDefault="000F600A" w:rsidP="000F600A">
      <w:pPr>
        <w:jc w:val="right"/>
        <w:outlineLvl w:val="0"/>
        <w:rPr>
          <w:lang w:val="en-US"/>
        </w:rPr>
      </w:pPr>
      <w:r w:rsidRPr="00195562">
        <w:rPr>
          <w:lang w:val="en-US"/>
        </w:rPr>
        <w:t> </w:t>
      </w:r>
      <w:r>
        <w:rPr>
          <w:lang w:val="en-US"/>
        </w:rPr>
        <w:t>“</w:t>
      </w:r>
    </w:p>
    <w:p w:rsidR="000F600A" w:rsidRPr="006F497D" w:rsidRDefault="000F600A" w:rsidP="000F600A">
      <w:pPr>
        <w:spacing w:line="240" w:lineRule="atLeast"/>
        <w:ind w:left="851"/>
        <w:rPr>
          <w:rFonts w:cs="Arial"/>
          <w:bCs/>
          <w:i/>
          <w:sz w:val="22"/>
          <w:szCs w:val="22"/>
          <w:lang w:val="en-US"/>
        </w:rPr>
      </w:pPr>
    </w:p>
    <w:p w:rsidR="000F600A" w:rsidRDefault="000F600A" w:rsidP="000F600A">
      <w:pPr>
        <w:rPr>
          <w:rFonts w:cs="Arial"/>
          <w:szCs w:val="20"/>
          <w:lang w:val="en-US"/>
        </w:rPr>
      </w:pPr>
      <w:r>
        <w:rPr>
          <w:rFonts w:cs="Arial"/>
          <w:szCs w:val="20"/>
          <w:lang w:val="en-US"/>
        </w:rPr>
        <w:br w:type="page"/>
      </w:r>
    </w:p>
    <w:p w:rsidR="001077F3" w:rsidRDefault="001077F3" w:rsidP="0091173E">
      <w:pPr>
        <w:pStyle w:val="ESch"/>
        <w:rPr>
          <w:noProof/>
          <w:lang w:val="en-US"/>
        </w:rPr>
      </w:pPr>
    </w:p>
    <w:p w:rsidR="00A50F11" w:rsidRPr="00C903F8" w:rsidRDefault="00A50F11" w:rsidP="00A50F11">
      <w:pPr>
        <w:pStyle w:val="ES-Titre3"/>
        <w:rPr>
          <w:noProof/>
          <w:lang w:val="en-US"/>
        </w:rPr>
      </w:pPr>
      <w:bookmarkStart w:id="327" w:name="_Toc491854305"/>
      <w:r w:rsidRPr="00C903F8">
        <w:rPr>
          <w:noProof/>
          <w:lang w:val="en-US"/>
        </w:rPr>
        <w:t>Section VI</w:t>
      </w:r>
      <w:bookmarkEnd w:id="327"/>
    </w:p>
    <w:p w:rsidR="00A50F11" w:rsidRPr="00C903F8" w:rsidRDefault="00A50F11" w:rsidP="00A50F11">
      <w:pPr>
        <w:pStyle w:val="ES-Titre3a"/>
        <w:rPr>
          <w:lang w:val="en-US"/>
        </w:rPr>
      </w:pPr>
      <w:bookmarkStart w:id="328" w:name="_Toc491854306"/>
      <w:r w:rsidRPr="00C903F8">
        <w:rPr>
          <w:lang w:val="en-US"/>
        </w:rPr>
        <w:t>Model of register of inland navigation vessel certificates</w:t>
      </w:r>
      <w:bookmarkEnd w:id="328"/>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jc w:val="center"/>
        <w:textAlignment w:val="baseline"/>
        <w:rPr>
          <w:rFonts w:cs="Arial"/>
          <w:szCs w:val="20"/>
          <w:lang w:val="en-US"/>
        </w:rPr>
      </w:pPr>
      <w:r w:rsidRPr="00C903F8">
        <w:rPr>
          <w:rFonts w:cs="Arial"/>
          <w:b/>
          <w:sz w:val="24"/>
          <w:szCs w:val="20"/>
          <w:lang w:val="en-US"/>
        </w:rPr>
        <w:t>Register of inland navigation vessel certificates</w:t>
      </w: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tabs>
          <w:tab w:val="left" w:leader="dot" w:pos="5670"/>
        </w:tabs>
        <w:overflowPunct w:val="0"/>
        <w:adjustRightInd w:val="0"/>
        <w:ind w:left="0" w:firstLine="0"/>
        <w:jc w:val="center"/>
        <w:textAlignment w:val="baseline"/>
        <w:rPr>
          <w:rFonts w:cs="Arial"/>
          <w:szCs w:val="20"/>
          <w:lang w:val="en-US"/>
        </w:rPr>
      </w:pPr>
      <w:r w:rsidRPr="00C903F8">
        <w:rPr>
          <w:rFonts w:cs="Arial"/>
          <w:szCs w:val="20"/>
          <w:lang w:val="en-US"/>
        </w:rPr>
        <w:t>Competent authority/Inspection body</w:t>
      </w:r>
      <w:r w:rsidRPr="00C903F8">
        <w:rPr>
          <w:rFonts w:cs="Arial"/>
          <w:szCs w:val="20"/>
          <w:lang w:val="en-US"/>
        </w:rPr>
        <w:tab/>
      </w:r>
    </w:p>
    <w:p w:rsidR="00A50F11" w:rsidRPr="00C903F8" w:rsidRDefault="00A50F11" w:rsidP="00A50F11">
      <w:pPr>
        <w:tabs>
          <w:tab w:val="left" w:leader="dot" w:pos="5670"/>
        </w:tabs>
        <w:overflowPunct w:val="0"/>
        <w:adjustRightInd w:val="0"/>
        <w:ind w:left="0" w:firstLine="0"/>
        <w:jc w:val="center"/>
        <w:textAlignment w:val="baseline"/>
        <w:rPr>
          <w:rFonts w:cs="Arial"/>
          <w:szCs w:val="20"/>
          <w:lang w:val="en-US"/>
        </w:rPr>
      </w:pPr>
    </w:p>
    <w:p w:rsidR="00A50F11" w:rsidRPr="00C903F8" w:rsidRDefault="00A50F11" w:rsidP="00A50F11">
      <w:pPr>
        <w:tabs>
          <w:tab w:val="left" w:leader="dot" w:pos="5670"/>
        </w:tabs>
        <w:overflowPunct w:val="0"/>
        <w:adjustRightInd w:val="0"/>
        <w:ind w:left="0" w:firstLine="0"/>
        <w:jc w:val="center"/>
        <w:textAlignment w:val="baseline"/>
        <w:rPr>
          <w:rFonts w:cs="Arial"/>
          <w:szCs w:val="20"/>
          <w:lang w:val="en-US"/>
        </w:rPr>
      </w:pPr>
    </w:p>
    <w:p w:rsidR="00A50F11" w:rsidRPr="00C903F8" w:rsidRDefault="00A50F11" w:rsidP="00A50F11">
      <w:pPr>
        <w:tabs>
          <w:tab w:val="left" w:leader="dot" w:pos="5670"/>
        </w:tabs>
        <w:overflowPunct w:val="0"/>
        <w:adjustRightInd w:val="0"/>
        <w:ind w:left="0" w:firstLine="0"/>
        <w:jc w:val="center"/>
        <w:textAlignment w:val="baseline"/>
        <w:rPr>
          <w:rFonts w:cs="Arial"/>
          <w:szCs w:val="20"/>
          <w:lang w:val="en-US"/>
        </w:rPr>
      </w:pPr>
    </w:p>
    <w:p w:rsidR="00A50F11" w:rsidRPr="00C903F8" w:rsidRDefault="00A50F11" w:rsidP="00A50F11">
      <w:pPr>
        <w:tabs>
          <w:tab w:val="left" w:leader="dot" w:pos="5670"/>
        </w:tabs>
        <w:overflowPunct w:val="0"/>
        <w:adjustRightInd w:val="0"/>
        <w:ind w:left="0" w:firstLine="0"/>
        <w:jc w:val="center"/>
        <w:textAlignment w:val="baseline"/>
        <w:rPr>
          <w:rFonts w:cs="Arial"/>
          <w:szCs w:val="20"/>
          <w:lang w:val="en-US"/>
        </w:rPr>
      </w:pPr>
      <w:r w:rsidRPr="00C903F8">
        <w:rPr>
          <w:rFonts w:cs="Arial"/>
          <w:szCs w:val="20"/>
          <w:lang w:val="en-US"/>
        </w:rPr>
        <w:t>Register of certificates</w:t>
      </w:r>
    </w:p>
    <w:p w:rsidR="00A50F11" w:rsidRPr="00C903F8" w:rsidRDefault="00A50F11" w:rsidP="00A50F11">
      <w:pPr>
        <w:tabs>
          <w:tab w:val="left" w:leader="dot" w:pos="5670"/>
        </w:tabs>
        <w:overflowPunct w:val="0"/>
        <w:adjustRightInd w:val="0"/>
        <w:ind w:left="0" w:firstLine="0"/>
        <w:jc w:val="center"/>
        <w:textAlignment w:val="baseline"/>
        <w:rPr>
          <w:rFonts w:cs="Arial"/>
          <w:szCs w:val="20"/>
          <w:lang w:val="en-US"/>
        </w:rPr>
      </w:pPr>
    </w:p>
    <w:p w:rsidR="00A50F11" w:rsidRPr="00C903F8" w:rsidRDefault="00A50F11" w:rsidP="00A50F11">
      <w:pPr>
        <w:tabs>
          <w:tab w:val="left" w:leader="dot" w:pos="5670"/>
        </w:tabs>
        <w:overflowPunct w:val="0"/>
        <w:adjustRightInd w:val="0"/>
        <w:ind w:left="0" w:firstLine="0"/>
        <w:jc w:val="center"/>
        <w:textAlignment w:val="baseline"/>
        <w:rPr>
          <w:rFonts w:cs="Arial"/>
          <w:szCs w:val="20"/>
          <w:lang w:val="en-US"/>
        </w:rPr>
      </w:pPr>
    </w:p>
    <w:p w:rsidR="00A50F11" w:rsidRPr="00C903F8" w:rsidRDefault="00A50F11" w:rsidP="00A50F11">
      <w:pPr>
        <w:tabs>
          <w:tab w:val="left" w:leader="dot" w:pos="5670"/>
        </w:tabs>
        <w:overflowPunct w:val="0"/>
        <w:adjustRightInd w:val="0"/>
        <w:ind w:left="0" w:firstLine="0"/>
        <w:jc w:val="center"/>
        <w:textAlignment w:val="baseline"/>
        <w:rPr>
          <w:rFonts w:cs="Arial"/>
          <w:szCs w:val="20"/>
          <w:lang w:val="en-US"/>
        </w:rPr>
      </w:pPr>
    </w:p>
    <w:p w:rsidR="00A50F11" w:rsidRPr="00C903F8" w:rsidRDefault="00A50F11" w:rsidP="00A50F11">
      <w:pPr>
        <w:tabs>
          <w:tab w:val="left" w:leader="dot" w:pos="1701"/>
        </w:tabs>
        <w:overflowPunct w:val="0"/>
        <w:adjustRightInd w:val="0"/>
        <w:ind w:left="0" w:firstLine="0"/>
        <w:jc w:val="center"/>
        <w:textAlignment w:val="baseline"/>
        <w:rPr>
          <w:rFonts w:cs="Arial"/>
          <w:szCs w:val="20"/>
          <w:lang w:val="en-US"/>
        </w:rPr>
      </w:pPr>
      <w:r w:rsidRPr="00C903F8">
        <w:rPr>
          <w:rFonts w:cs="Arial"/>
          <w:szCs w:val="20"/>
          <w:lang w:val="en-US"/>
        </w:rPr>
        <w:t xml:space="preserve">Year </w:t>
      </w:r>
      <w:r w:rsidRPr="00C903F8">
        <w:rPr>
          <w:rFonts w:cs="Arial"/>
          <w:szCs w:val="20"/>
          <w:lang w:val="en-US"/>
        </w:rPr>
        <w:tab/>
      </w:r>
    </w:p>
    <w:p w:rsidR="00A50F11" w:rsidRPr="00C903F8" w:rsidRDefault="00A50F11" w:rsidP="00A50F11">
      <w:pPr>
        <w:overflowPunct w:val="0"/>
        <w:adjustRightInd w:val="0"/>
        <w:spacing w:line="240" w:lineRule="atLeast"/>
        <w:ind w:left="0" w:firstLine="0"/>
        <w:jc w:val="center"/>
        <w:textAlignment w:val="baseline"/>
        <w:rPr>
          <w:rFonts w:eastAsia="Calibri"/>
          <w:b/>
          <w:i/>
          <w:caps/>
          <w:sz w:val="24"/>
          <w:szCs w:val="28"/>
          <w:lang w:val="en-US" w:eastAsia="en-US"/>
        </w:rPr>
      </w:pPr>
    </w:p>
    <w:p w:rsidR="00A50F11" w:rsidRPr="00C903F8" w:rsidRDefault="00A50F11" w:rsidP="00A50F11">
      <w:pPr>
        <w:tabs>
          <w:tab w:val="center" w:pos="8647"/>
        </w:tabs>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A50F11">
      <w:pPr>
        <w:overflowPunct w:val="0"/>
        <w:adjustRightInd w:val="0"/>
        <w:ind w:left="0" w:firstLine="0"/>
        <w:jc w:val="left"/>
        <w:textAlignment w:val="baseline"/>
        <w:rPr>
          <w:rFonts w:cs="Arial"/>
          <w:szCs w:val="20"/>
          <w:lang w:val="en-US"/>
        </w:rPr>
      </w:pPr>
    </w:p>
    <w:p w:rsidR="00A50F11" w:rsidRPr="00C903F8" w:rsidRDefault="00A50F11" w:rsidP="00C92875">
      <w:pPr>
        <w:tabs>
          <w:tab w:val="left" w:leader="dot" w:pos="1701"/>
        </w:tabs>
        <w:overflowPunct w:val="0"/>
        <w:adjustRightInd w:val="0"/>
        <w:ind w:left="0" w:firstLine="0"/>
        <w:textAlignment w:val="baseline"/>
        <w:rPr>
          <w:rFonts w:cs="Arial"/>
          <w:b/>
          <w:szCs w:val="20"/>
          <w:lang w:val="en-US"/>
        </w:rPr>
      </w:pPr>
    </w:p>
    <w:p w:rsidR="00A50F11" w:rsidRPr="00C903F8" w:rsidRDefault="00A50F11" w:rsidP="00A50F11">
      <w:pPr>
        <w:tabs>
          <w:tab w:val="left" w:leader="dot" w:pos="1701"/>
        </w:tabs>
        <w:overflowPunct w:val="0"/>
        <w:adjustRightInd w:val="0"/>
        <w:ind w:left="0" w:firstLine="0"/>
        <w:jc w:val="left"/>
        <w:textAlignment w:val="baseline"/>
        <w:rPr>
          <w:rFonts w:cs="Arial"/>
          <w:b/>
          <w:szCs w:val="20"/>
          <w:lang w:val="en-US"/>
        </w:rPr>
      </w:pPr>
    </w:p>
    <w:p w:rsidR="00A50F11" w:rsidRPr="00C903F8" w:rsidRDefault="00A50F11" w:rsidP="00A50F11">
      <w:pPr>
        <w:rPr>
          <w:rFonts w:cs="Arial"/>
          <w:b/>
          <w:szCs w:val="20"/>
          <w:lang w:val="en-US"/>
        </w:rPr>
      </w:pPr>
    </w:p>
    <w:p w:rsidR="00A50F11" w:rsidRPr="00C903F8" w:rsidRDefault="00A50F11" w:rsidP="00A50F11">
      <w:pPr>
        <w:tabs>
          <w:tab w:val="left" w:pos="3930"/>
        </w:tabs>
        <w:rPr>
          <w:rFonts w:cs="Arial"/>
          <w:b/>
          <w:szCs w:val="20"/>
          <w:lang w:val="en-US"/>
        </w:rPr>
      </w:pPr>
    </w:p>
    <w:p w:rsidR="00A50F11" w:rsidRPr="00C903F8" w:rsidRDefault="00A50F11" w:rsidP="00A50F11">
      <w:pPr>
        <w:rPr>
          <w:rFonts w:cs="Arial"/>
          <w:b/>
          <w:szCs w:val="20"/>
          <w:lang w:val="en-US"/>
        </w:rPr>
      </w:pPr>
    </w:p>
    <w:p w:rsidR="00A50F11" w:rsidRPr="00C903F8" w:rsidRDefault="00A50F11" w:rsidP="00A50F11">
      <w:pPr>
        <w:rPr>
          <w:rFonts w:cs="Arial"/>
          <w:b/>
          <w:szCs w:val="20"/>
          <w:lang w:val="en-US"/>
        </w:rPr>
        <w:sectPr w:rsidR="00A50F11" w:rsidRPr="00C903F8" w:rsidSect="0042206B">
          <w:headerReference w:type="default" r:id="rId46"/>
          <w:footerReference w:type="default" r:id="rId47"/>
          <w:footnotePr>
            <w:numRestart w:val="eachPage"/>
          </w:footnotePr>
          <w:type w:val="continuous"/>
          <w:pgSz w:w="11907" w:h="16840"/>
          <w:pgMar w:top="1418" w:right="1418" w:bottom="1418" w:left="1418" w:header="720" w:footer="720" w:gutter="0"/>
          <w:cols w:space="720"/>
          <w:docGrid w:linePitch="272"/>
        </w:sectPr>
      </w:pPr>
    </w:p>
    <w:p w:rsidR="00A50F11" w:rsidRPr="00C903F8" w:rsidRDefault="00A50F11" w:rsidP="00A50F11">
      <w:pPr>
        <w:tabs>
          <w:tab w:val="left" w:leader="dot" w:pos="1701"/>
        </w:tabs>
        <w:overflowPunct w:val="0"/>
        <w:adjustRightInd w:val="0"/>
        <w:spacing w:before="60" w:after="60"/>
        <w:ind w:left="0" w:firstLine="0"/>
        <w:jc w:val="center"/>
        <w:textAlignment w:val="baseline"/>
        <w:rPr>
          <w:rFonts w:cs="Arial"/>
          <w:szCs w:val="20"/>
        </w:rPr>
      </w:pPr>
      <w:r w:rsidRPr="00C903F8">
        <w:rPr>
          <w:rFonts w:cs="Arial"/>
          <w:szCs w:val="20"/>
        </w:rPr>
        <w:lastRenderedPageBreak/>
        <w:t>(Left-hand page)</w:t>
      </w:r>
    </w:p>
    <w:tbl>
      <w:tblPr>
        <w:tblW w:w="1417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31"/>
        <w:gridCol w:w="831"/>
        <w:gridCol w:w="833"/>
        <w:gridCol w:w="1985"/>
        <w:gridCol w:w="1985"/>
        <w:gridCol w:w="1474"/>
        <w:gridCol w:w="2212"/>
        <w:gridCol w:w="1190"/>
        <w:gridCol w:w="1193"/>
        <w:gridCol w:w="1644"/>
      </w:tblGrid>
      <w:tr w:rsidR="00A50F11" w:rsidRPr="00C903F8" w:rsidTr="00FC0393">
        <w:tc>
          <w:tcPr>
            <w:tcW w:w="2495" w:type="dxa"/>
            <w:gridSpan w:val="3"/>
            <w:vAlign w:val="center"/>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rPr>
              <w:t>Inland navigation vessel certificates</w:t>
            </w:r>
          </w:p>
        </w:tc>
        <w:tc>
          <w:tcPr>
            <w:tcW w:w="1985" w:type="dxa"/>
            <w:tcBorders>
              <w:bottom w:val="nil"/>
            </w:tcBorders>
            <w:vAlign w:val="center"/>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noProof/>
                <w:sz w:val="18"/>
                <w:szCs w:val="20"/>
                <w:lang w:eastAsia="fr-BE"/>
              </w:rPr>
              <w:t>Name of vessel</w:t>
            </w:r>
          </w:p>
        </w:tc>
        <w:tc>
          <w:tcPr>
            <w:tcW w:w="1985" w:type="dxa"/>
            <w:tcBorders>
              <w:bottom w:val="nil"/>
            </w:tcBorders>
            <w:vAlign w:val="center"/>
          </w:tcPr>
          <w:p w:rsidR="00A50F11" w:rsidRPr="00C903F8" w:rsidRDefault="00A50F11" w:rsidP="006D37CC">
            <w:pPr>
              <w:tabs>
                <w:tab w:val="left" w:leader="dot" w:pos="1701"/>
              </w:tabs>
              <w:overflowPunct w:val="0"/>
              <w:adjustRightInd w:val="0"/>
              <w:spacing w:before="40"/>
              <w:ind w:left="0" w:firstLine="0"/>
              <w:jc w:val="center"/>
              <w:textAlignment w:val="baseline"/>
              <w:rPr>
                <w:rFonts w:cs="Arial"/>
                <w:sz w:val="18"/>
                <w:szCs w:val="18"/>
                <w:lang w:val="en-US"/>
              </w:rPr>
            </w:pPr>
            <w:r w:rsidRPr="00C903F8">
              <w:rPr>
                <w:rFonts w:cs="Arial"/>
                <w:noProof/>
                <w:sz w:val="18"/>
                <w:szCs w:val="18"/>
                <w:lang w:val="en-US"/>
              </w:rPr>
              <w:t xml:space="preserve">Unique European </w:t>
            </w:r>
            <w:r w:rsidR="006D37CC" w:rsidRPr="00C903F8">
              <w:rPr>
                <w:rFonts w:cs="Arial"/>
                <w:noProof/>
                <w:sz w:val="18"/>
                <w:szCs w:val="18"/>
                <w:lang w:val="en-US"/>
              </w:rPr>
              <w:t>v</w:t>
            </w:r>
            <w:r w:rsidRPr="00C903F8">
              <w:rPr>
                <w:rFonts w:cs="Arial"/>
                <w:noProof/>
                <w:sz w:val="18"/>
                <w:szCs w:val="18"/>
                <w:lang w:val="en-US"/>
              </w:rPr>
              <w:t xml:space="preserve">essel </w:t>
            </w:r>
            <w:r w:rsidR="006D37CC" w:rsidRPr="00C903F8">
              <w:rPr>
                <w:rFonts w:cs="Arial"/>
                <w:noProof/>
                <w:sz w:val="18"/>
                <w:szCs w:val="18"/>
                <w:lang w:val="en-US"/>
              </w:rPr>
              <w:t>i</w:t>
            </w:r>
            <w:r w:rsidRPr="00C903F8">
              <w:rPr>
                <w:rFonts w:cs="Arial"/>
                <w:noProof/>
                <w:sz w:val="18"/>
                <w:szCs w:val="18"/>
                <w:lang w:val="en-US"/>
              </w:rPr>
              <w:t xml:space="preserve">dentification </w:t>
            </w:r>
          </w:p>
        </w:tc>
        <w:tc>
          <w:tcPr>
            <w:tcW w:w="3686" w:type="dxa"/>
            <w:gridSpan w:val="2"/>
            <w:vAlign w:val="center"/>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lang w:val="en-US"/>
              </w:rPr>
            </w:pPr>
            <w:r w:rsidRPr="00C903F8">
              <w:rPr>
                <w:rFonts w:cs="Arial"/>
                <w:sz w:val="18"/>
                <w:szCs w:val="20"/>
                <w:lang w:val="en-US"/>
              </w:rPr>
              <w:t>Owner</w:t>
            </w:r>
          </w:p>
        </w:tc>
        <w:tc>
          <w:tcPr>
            <w:tcW w:w="2383" w:type="dxa"/>
            <w:gridSpan w:val="2"/>
            <w:vAlign w:val="center"/>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lang w:val="en-US"/>
              </w:rPr>
            </w:pPr>
            <w:r w:rsidRPr="00C903F8">
              <w:rPr>
                <w:rFonts w:cs="Arial"/>
                <w:sz w:val="18"/>
                <w:szCs w:val="20"/>
                <w:lang w:val="en-US"/>
              </w:rPr>
              <w:t>Vessel register</w:t>
            </w:r>
          </w:p>
        </w:tc>
        <w:tc>
          <w:tcPr>
            <w:tcW w:w="1644" w:type="dxa"/>
            <w:tcBorders>
              <w:bottom w:val="nil"/>
            </w:tcBorders>
            <w:vAlign w:val="center"/>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lang w:val="en-US"/>
              </w:rPr>
            </w:pPr>
            <w:r w:rsidRPr="00C903F8">
              <w:rPr>
                <w:rFonts w:cs="Arial"/>
                <w:sz w:val="18"/>
                <w:szCs w:val="20"/>
                <w:lang w:val="en-US"/>
              </w:rPr>
              <w:t>Type of vessel</w:t>
            </w:r>
          </w:p>
        </w:tc>
      </w:tr>
      <w:tr w:rsidR="00A50F11" w:rsidRPr="00C903F8" w:rsidTr="00FC0393">
        <w:tc>
          <w:tcPr>
            <w:tcW w:w="831" w:type="dxa"/>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rPr>
              <w:t>No</w:t>
            </w:r>
          </w:p>
        </w:tc>
        <w:tc>
          <w:tcPr>
            <w:tcW w:w="831" w:type="dxa"/>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rPr>
              <w:t>Day</w:t>
            </w:r>
          </w:p>
        </w:tc>
        <w:tc>
          <w:tcPr>
            <w:tcW w:w="833" w:type="dxa"/>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rPr>
              <w:t>Month</w:t>
            </w:r>
          </w:p>
        </w:tc>
        <w:tc>
          <w:tcPr>
            <w:tcW w:w="1985" w:type="dxa"/>
            <w:tcBorders>
              <w:top w:val="nil"/>
            </w:tcBorders>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p>
        </w:tc>
        <w:tc>
          <w:tcPr>
            <w:tcW w:w="1985" w:type="dxa"/>
            <w:tcBorders>
              <w:top w:val="nil"/>
            </w:tcBorders>
          </w:tcPr>
          <w:p w:rsidR="00A50F11" w:rsidRPr="00C903F8" w:rsidRDefault="006D37CC" w:rsidP="00FC0393">
            <w:pPr>
              <w:tabs>
                <w:tab w:val="left" w:leader="dot" w:pos="1701"/>
              </w:tabs>
              <w:overflowPunct w:val="0"/>
              <w:adjustRightInd w:val="0"/>
              <w:spacing w:after="40"/>
              <w:ind w:left="0" w:firstLine="0"/>
              <w:jc w:val="center"/>
              <w:textAlignment w:val="baseline"/>
              <w:rPr>
                <w:rFonts w:cs="Arial"/>
                <w:sz w:val="18"/>
                <w:szCs w:val="20"/>
              </w:rPr>
            </w:pPr>
            <w:r w:rsidRPr="00C903F8">
              <w:rPr>
                <w:rFonts w:cs="Arial"/>
                <w:noProof/>
                <w:sz w:val="18"/>
                <w:szCs w:val="18"/>
                <w:lang w:val="en-US"/>
              </w:rPr>
              <w:t>n</w:t>
            </w:r>
            <w:r w:rsidR="00A50F11" w:rsidRPr="00C903F8">
              <w:rPr>
                <w:rFonts w:cs="Arial"/>
                <w:noProof/>
                <w:sz w:val="18"/>
                <w:szCs w:val="18"/>
                <w:lang w:val="en-US"/>
              </w:rPr>
              <w:t>umber</w:t>
            </w:r>
          </w:p>
        </w:tc>
        <w:tc>
          <w:tcPr>
            <w:tcW w:w="1474" w:type="dxa"/>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rPr>
              <w:t>Name</w:t>
            </w:r>
          </w:p>
        </w:tc>
        <w:tc>
          <w:tcPr>
            <w:tcW w:w="2212" w:type="dxa"/>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rPr>
              <w:t>Address</w:t>
            </w:r>
          </w:p>
        </w:tc>
        <w:tc>
          <w:tcPr>
            <w:tcW w:w="1190" w:type="dxa"/>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rPr>
              <w:t>Place</w:t>
            </w:r>
          </w:p>
        </w:tc>
        <w:tc>
          <w:tcPr>
            <w:tcW w:w="1193" w:type="dxa"/>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rPr>
              <w:t>No</w:t>
            </w:r>
          </w:p>
        </w:tc>
        <w:tc>
          <w:tcPr>
            <w:tcW w:w="1644" w:type="dxa"/>
            <w:tcBorders>
              <w:top w:val="nil"/>
            </w:tcBorders>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p>
        </w:tc>
      </w:tr>
      <w:tr w:rsidR="00A50F11" w:rsidRPr="00C903F8" w:rsidTr="00FC0393">
        <w:tc>
          <w:tcPr>
            <w:tcW w:w="831" w:type="dxa"/>
          </w:tcPr>
          <w:p w:rsidR="00A50F11" w:rsidRPr="00C903F8" w:rsidRDefault="00A50F11" w:rsidP="00FC0393">
            <w:pPr>
              <w:tabs>
                <w:tab w:val="left" w:leader="dot" w:pos="1701"/>
              </w:tabs>
              <w:overflowPunct w:val="0"/>
              <w:adjustRightInd w:val="0"/>
              <w:ind w:left="0" w:firstLine="0"/>
              <w:jc w:val="center"/>
              <w:textAlignment w:val="baseline"/>
              <w:rPr>
                <w:rFonts w:cs="Arial"/>
                <w:sz w:val="18"/>
                <w:szCs w:val="20"/>
              </w:rPr>
            </w:pP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p>
        </w:tc>
        <w:tc>
          <w:tcPr>
            <w:tcW w:w="831" w:type="dxa"/>
          </w:tcPr>
          <w:p w:rsidR="00A50F11" w:rsidRPr="00C903F8" w:rsidRDefault="00A50F11" w:rsidP="00FC0393">
            <w:pPr>
              <w:tabs>
                <w:tab w:val="left" w:leader="dot" w:pos="1701"/>
              </w:tabs>
              <w:overflowPunct w:val="0"/>
              <w:adjustRightInd w:val="0"/>
              <w:ind w:left="0" w:firstLine="0"/>
              <w:jc w:val="center"/>
              <w:textAlignment w:val="baseline"/>
              <w:rPr>
                <w:rFonts w:cs="Arial"/>
                <w:sz w:val="18"/>
                <w:szCs w:val="20"/>
              </w:rPr>
            </w:pPr>
          </w:p>
        </w:tc>
        <w:tc>
          <w:tcPr>
            <w:tcW w:w="833" w:type="dxa"/>
          </w:tcPr>
          <w:p w:rsidR="00A50F11" w:rsidRPr="00C903F8" w:rsidRDefault="00A50F11" w:rsidP="00FC0393">
            <w:pPr>
              <w:tabs>
                <w:tab w:val="left" w:leader="dot" w:pos="1701"/>
              </w:tabs>
              <w:overflowPunct w:val="0"/>
              <w:adjustRightInd w:val="0"/>
              <w:ind w:left="0" w:firstLine="0"/>
              <w:jc w:val="center"/>
              <w:textAlignment w:val="baseline"/>
              <w:rPr>
                <w:rFonts w:cs="Arial"/>
                <w:sz w:val="18"/>
                <w:szCs w:val="20"/>
              </w:rPr>
            </w:pPr>
          </w:p>
        </w:tc>
        <w:tc>
          <w:tcPr>
            <w:tcW w:w="1985" w:type="dxa"/>
          </w:tcPr>
          <w:p w:rsidR="00A50F11" w:rsidRPr="00C903F8" w:rsidRDefault="00A50F11" w:rsidP="00FC0393">
            <w:pPr>
              <w:tabs>
                <w:tab w:val="left" w:leader="dot" w:pos="1701"/>
              </w:tabs>
              <w:overflowPunct w:val="0"/>
              <w:adjustRightInd w:val="0"/>
              <w:ind w:left="0" w:firstLine="0"/>
              <w:jc w:val="center"/>
              <w:textAlignment w:val="baseline"/>
              <w:rPr>
                <w:rFonts w:cs="Arial"/>
                <w:sz w:val="18"/>
                <w:szCs w:val="20"/>
              </w:rPr>
            </w:pPr>
          </w:p>
        </w:tc>
        <w:tc>
          <w:tcPr>
            <w:tcW w:w="1985" w:type="dxa"/>
          </w:tcPr>
          <w:p w:rsidR="00A50F11" w:rsidRPr="00C903F8" w:rsidRDefault="00A50F11" w:rsidP="00FC0393">
            <w:pPr>
              <w:tabs>
                <w:tab w:val="left" w:leader="dot" w:pos="1701"/>
              </w:tabs>
              <w:overflowPunct w:val="0"/>
              <w:adjustRightInd w:val="0"/>
              <w:ind w:left="0" w:firstLine="0"/>
              <w:jc w:val="center"/>
              <w:textAlignment w:val="baseline"/>
              <w:rPr>
                <w:rFonts w:cs="Arial"/>
                <w:sz w:val="18"/>
                <w:szCs w:val="20"/>
              </w:rPr>
            </w:pPr>
          </w:p>
        </w:tc>
        <w:tc>
          <w:tcPr>
            <w:tcW w:w="1474" w:type="dxa"/>
          </w:tcPr>
          <w:p w:rsidR="00A50F11" w:rsidRPr="00C903F8" w:rsidRDefault="00A50F11" w:rsidP="00FC0393">
            <w:pPr>
              <w:tabs>
                <w:tab w:val="left" w:leader="dot" w:pos="1701"/>
              </w:tabs>
              <w:overflowPunct w:val="0"/>
              <w:adjustRightInd w:val="0"/>
              <w:ind w:left="0" w:firstLine="0"/>
              <w:jc w:val="center"/>
              <w:textAlignment w:val="baseline"/>
              <w:rPr>
                <w:rFonts w:cs="Arial"/>
                <w:sz w:val="18"/>
                <w:szCs w:val="20"/>
              </w:rPr>
            </w:pPr>
          </w:p>
        </w:tc>
        <w:tc>
          <w:tcPr>
            <w:tcW w:w="2212" w:type="dxa"/>
          </w:tcPr>
          <w:p w:rsidR="00A50F11" w:rsidRPr="00C903F8" w:rsidRDefault="00A50F11" w:rsidP="00FC0393">
            <w:pPr>
              <w:tabs>
                <w:tab w:val="left" w:leader="dot" w:pos="1701"/>
              </w:tabs>
              <w:overflowPunct w:val="0"/>
              <w:adjustRightInd w:val="0"/>
              <w:ind w:left="0" w:firstLine="0"/>
              <w:jc w:val="center"/>
              <w:textAlignment w:val="baseline"/>
              <w:rPr>
                <w:rFonts w:cs="Arial"/>
                <w:sz w:val="18"/>
                <w:szCs w:val="20"/>
              </w:rPr>
            </w:pPr>
          </w:p>
        </w:tc>
        <w:tc>
          <w:tcPr>
            <w:tcW w:w="1190" w:type="dxa"/>
          </w:tcPr>
          <w:p w:rsidR="00A50F11" w:rsidRPr="00C903F8" w:rsidRDefault="00A50F11" w:rsidP="00FC0393">
            <w:pPr>
              <w:tabs>
                <w:tab w:val="left" w:leader="dot" w:pos="1701"/>
              </w:tabs>
              <w:overflowPunct w:val="0"/>
              <w:adjustRightInd w:val="0"/>
              <w:ind w:left="0" w:firstLine="0"/>
              <w:jc w:val="center"/>
              <w:textAlignment w:val="baseline"/>
              <w:rPr>
                <w:rFonts w:cs="Arial"/>
                <w:sz w:val="18"/>
                <w:szCs w:val="20"/>
              </w:rPr>
            </w:pPr>
          </w:p>
        </w:tc>
        <w:tc>
          <w:tcPr>
            <w:tcW w:w="1193" w:type="dxa"/>
          </w:tcPr>
          <w:p w:rsidR="00A50F11" w:rsidRPr="00C903F8" w:rsidRDefault="00A50F11" w:rsidP="00FC0393">
            <w:pPr>
              <w:tabs>
                <w:tab w:val="left" w:leader="dot" w:pos="1701"/>
              </w:tabs>
              <w:overflowPunct w:val="0"/>
              <w:adjustRightInd w:val="0"/>
              <w:ind w:left="0" w:firstLine="0"/>
              <w:jc w:val="center"/>
              <w:textAlignment w:val="baseline"/>
              <w:rPr>
                <w:rFonts w:cs="Arial"/>
                <w:sz w:val="18"/>
                <w:szCs w:val="20"/>
              </w:rPr>
            </w:pPr>
          </w:p>
        </w:tc>
        <w:tc>
          <w:tcPr>
            <w:tcW w:w="1644" w:type="dxa"/>
          </w:tcPr>
          <w:p w:rsidR="00A50F11" w:rsidRPr="00C903F8" w:rsidRDefault="00A50F11" w:rsidP="00FC0393">
            <w:pPr>
              <w:tabs>
                <w:tab w:val="left" w:leader="dot" w:pos="1701"/>
              </w:tabs>
              <w:overflowPunct w:val="0"/>
              <w:adjustRightInd w:val="0"/>
              <w:ind w:left="0" w:firstLine="0"/>
              <w:jc w:val="center"/>
              <w:textAlignment w:val="baseline"/>
              <w:rPr>
                <w:rFonts w:cs="Arial"/>
                <w:sz w:val="18"/>
                <w:szCs w:val="20"/>
              </w:rPr>
            </w:pPr>
          </w:p>
        </w:tc>
      </w:tr>
    </w:tbl>
    <w:p w:rsidR="00A50F11" w:rsidRPr="00C903F8" w:rsidRDefault="00A50F11" w:rsidP="00A50F11">
      <w:pPr>
        <w:tabs>
          <w:tab w:val="left" w:leader="dot" w:pos="1701"/>
        </w:tabs>
        <w:overflowPunct w:val="0"/>
        <w:adjustRightInd w:val="0"/>
        <w:ind w:left="0" w:firstLine="0"/>
        <w:jc w:val="left"/>
        <w:textAlignment w:val="baseline"/>
        <w:rPr>
          <w:rFonts w:cs="Arial"/>
          <w:szCs w:val="20"/>
        </w:rPr>
      </w:pPr>
    </w:p>
    <w:p w:rsidR="00A50F11" w:rsidRPr="00C903F8" w:rsidRDefault="00A50F11" w:rsidP="00A50F11">
      <w:pPr>
        <w:tabs>
          <w:tab w:val="left" w:leader="dot" w:pos="1701"/>
        </w:tabs>
        <w:overflowPunct w:val="0"/>
        <w:adjustRightInd w:val="0"/>
        <w:ind w:left="0" w:firstLine="0"/>
        <w:jc w:val="center"/>
        <w:textAlignment w:val="baseline"/>
        <w:rPr>
          <w:rFonts w:cs="Arial"/>
          <w:szCs w:val="20"/>
        </w:rPr>
      </w:pPr>
      <w:r w:rsidRPr="00C903F8">
        <w:rPr>
          <w:rFonts w:cs="Arial"/>
          <w:szCs w:val="20"/>
          <w:lang w:val="en-US"/>
        </w:rPr>
        <w:br w:type="page"/>
      </w:r>
      <w:r w:rsidRPr="00C903F8">
        <w:rPr>
          <w:rFonts w:cs="Arial"/>
          <w:szCs w:val="20"/>
        </w:rPr>
        <w:lastRenderedPageBreak/>
        <w:t>(right-hand page)</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90"/>
        <w:gridCol w:w="1190"/>
        <w:gridCol w:w="1192"/>
        <w:gridCol w:w="1757"/>
        <w:gridCol w:w="1758"/>
        <w:gridCol w:w="2948"/>
        <w:gridCol w:w="2325"/>
        <w:gridCol w:w="1758"/>
      </w:tblGrid>
      <w:tr w:rsidR="00A50F11" w:rsidRPr="00C903F8" w:rsidTr="00FC0393">
        <w:tc>
          <w:tcPr>
            <w:tcW w:w="3572" w:type="dxa"/>
            <w:gridSpan w:val="3"/>
            <w:vAlign w:val="center"/>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lang w:val="en-US"/>
              </w:rPr>
            </w:pPr>
            <w:r w:rsidRPr="00C903F8">
              <w:rPr>
                <w:rFonts w:cs="Arial"/>
                <w:sz w:val="18"/>
                <w:szCs w:val="20"/>
                <w:lang w:val="en-US"/>
              </w:rPr>
              <w:t>Deadweight according to measurement certificate or displacement*)</w:t>
            </w:r>
          </w:p>
        </w:tc>
        <w:tc>
          <w:tcPr>
            <w:tcW w:w="3515" w:type="dxa"/>
            <w:gridSpan w:val="2"/>
            <w:vAlign w:val="center"/>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lang w:val="en-US"/>
              </w:rPr>
            </w:pPr>
            <w:r w:rsidRPr="00C903F8">
              <w:rPr>
                <w:rFonts w:cs="Arial"/>
                <w:sz w:val="18"/>
                <w:szCs w:val="20"/>
                <w:lang w:val="en-US"/>
              </w:rPr>
              <w:t>Zones or stretch of inland waterway,</w:t>
            </w:r>
            <w:r w:rsidRPr="00C903F8">
              <w:rPr>
                <w:rFonts w:cs="Arial"/>
                <w:sz w:val="18"/>
                <w:szCs w:val="20"/>
                <w:lang w:val="en-US"/>
              </w:rPr>
              <w:br/>
              <w:t>where appropriate</w:t>
            </w:r>
          </w:p>
        </w:tc>
        <w:tc>
          <w:tcPr>
            <w:tcW w:w="2948" w:type="dxa"/>
            <w:tcBorders>
              <w:bottom w:val="nil"/>
            </w:tcBorders>
            <w:vAlign w:val="center"/>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lang w:val="en-US"/>
              </w:rPr>
            </w:pPr>
            <w:r w:rsidRPr="00C903F8">
              <w:rPr>
                <w:rFonts w:cs="Arial"/>
                <w:sz w:val="18"/>
                <w:szCs w:val="20"/>
                <w:lang w:val="en-US"/>
              </w:rPr>
              <w:t xml:space="preserve">Endorsements concerning periodical or special inspections, withdrawal and annulment </w:t>
            </w:r>
          </w:p>
        </w:tc>
        <w:tc>
          <w:tcPr>
            <w:tcW w:w="2325" w:type="dxa"/>
            <w:tcBorders>
              <w:bottom w:val="nil"/>
            </w:tcBorders>
            <w:vAlign w:val="center"/>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lang w:val="en-US"/>
              </w:rPr>
              <w:br/>
            </w:r>
            <w:r w:rsidRPr="00C903F8">
              <w:rPr>
                <w:rFonts w:cs="Arial"/>
                <w:sz w:val="18"/>
                <w:szCs w:val="20"/>
              </w:rPr>
              <w:t xml:space="preserve">Certificate </w:t>
            </w:r>
          </w:p>
        </w:tc>
        <w:tc>
          <w:tcPr>
            <w:tcW w:w="1758" w:type="dxa"/>
            <w:tcBorders>
              <w:bottom w:val="nil"/>
            </w:tcBorders>
            <w:vAlign w:val="center"/>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rPr>
              <w:br/>
              <w:t xml:space="preserve">Other comments </w:t>
            </w:r>
          </w:p>
        </w:tc>
      </w:tr>
      <w:tr w:rsidR="00A50F11" w:rsidRPr="00C903F8" w:rsidTr="00FC0393">
        <w:tc>
          <w:tcPr>
            <w:tcW w:w="1190" w:type="dxa"/>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rPr>
              <w:t>date du certificat</w:t>
            </w:r>
          </w:p>
        </w:tc>
        <w:tc>
          <w:tcPr>
            <w:tcW w:w="1190" w:type="dxa"/>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rPr>
              <w:t>signe de</w:t>
            </w:r>
            <w:r w:rsidRPr="00C903F8">
              <w:rPr>
                <w:rFonts w:cs="Arial"/>
                <w:sz w:val="18"/>
                <w:szCs w:val="20"/>
              </w:rPr>
              <w:br/>
              <w:t>jauge</w:t>
            </w:r>
          </w:p>
        </w:tc>
        <w:tc>
          <w:tcPr>
            <w:tcW w:w="1192" w:type="dxa"/>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rPr>
              <w:t>t ou</w:t>
            </w:r>
            <w:r w:rsidRPr="00C903F8">
              <w:rPr>
                <w:rFonts w:cs="Arial"/>
                <w:sz w:val="18"/>
                <w:szCs w:val="20"/>
              </w:rPr>
              <w:br/>
              <w:t>m</w:t>
            </w:r>
            <w:r w:rsidRPr="00C903F8">
              <w:rPr>
                <w:rFonts w:cs="Arial"/>
                <w:position w:val="4"/>
                <w:sz w:val="16"/>
                <w:szCs w:val="20"/>
                <w:vertAlign w:val="superscript"/>
              </w:rPr>
              <w:t>3</w:t>
            </w:r>
          </w:p>
        </w:tc>
        <w:tc>
          <w:tcPr>
            <w:tcW w:w="1757" w:type="dxa"/>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rPr>
              <w:t>entre</w:t>
            </w:r>
          </w:p>
        </w:tc>
        <w:tc>
          <w:tcPr>
            <w:tcW w:w="1758" w:type="dxa"/>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rPr>
              <w:t>et</w:t>
            </w:r>
          </w:p>
        </w:tc>
        <w:tc>
          <w:tcPr>
            <w:tcW w:w="2948" w:type="dxa"/>
            <w:tcBorders>
              <w:top w:val="nil"/>
            </w:tcBorders>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rPr>
              <w:t>of the certificate</w:t>
            </w:r>
          </w:p>
        </w:tc>
        <w:tc>
          <w:tcPr>
            <w:tcW w:w="2325" w:type="dxa"/>
            <w:tcBorders>
              <w:top w:val="nil"/>
            </w:tcBorders>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r w:rsidRPr="00C903F8">
              <w:rPr>
                <w:rFonts w:cs="Arial"/>
                <w:sz w:val="18"/>
                <w:szCs w:val="20"/>
              </w:rPr>
              <w:t>valid until</w:t>
            </w:r>
          </w:p>
        </w:tc>
        <w:tc>
          <w:tcPr>
            <w:tcW w:w="1758" w:type="dxa"/>
            <w:tcBorders>
              <w:top w:val="nil"/>
            </w:tcBorders>
          </w:tcPr>
          <w:p w:rsidR="00A50F11" w:rsidRPr="00C903F8" w:rsidRDefault="00A50F11" w:rsidP="00FC0393">
            <w:pPr>
              <w:tabs>
                <w:tab w:val="left" w:leader="dot" w:pos="1701"/>
              </w:tabs>
              <w:overflowPunct w:val="0"/>
              <w:adjustRightInd w:val="0"/>
              <w:spacing w:before="40" w:after="40"/>
              <w:ind w:left="0" w:firstLine="0"/>
              <w:jc w:val="center"/>
              <w:textAlignment w:val="baseline"/>
              <w:rPr>
                <w:rFonts w:cs="Arial"/>
                <w:sz w:val="18"/>
                <w:szCs w:val="20"/>
              </w:rPr>
            </w:pPr>
          </w:p>
        </w:tc>
      </w:tr>
      <w:tr w:rsidR="00A50F11" w:rsidRPr="00C903F8" w:rsidTr="00FC0393">
        <w:tc>
          <w:tcPr>
            <w:tcW w:w="1190" w:type="dxa"/>
          </w:tcPr>
          <w:p w:rsidR="00A50F11" w:rsidRPr="00C903F8" w:rsidRDefault="00A50F11" w:rsidP="00C92875">
            <w:pPr>
              <w:tabs>
                <w:tab w:val="left" w:leader="dot" w:pos="1701"/>
              </w:tabs>
              <w:overflowPunct w:val="0"/>
              <w:adjustRightInd w:val="0"/>
              <w:ind w:left="0" w:firstLine="0"/>
              <w:jc w:val="center"/>
              <w:textAlignment w:val="baseline"/>
              <w:rPr>
                <w:rFonts w:cs="Arial"/>
                <w:sz w:val="18"/>
                <w:szCs w:val="20"/>
              </w:rPr>
            </w:pP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Pr="00C903F8">
              <w:rPr>
                <w:rFonts w:cs="Arial"/>
                <w:sz w:val="18"/>
                <w:szCs w:val="20"/>
              </w:rPr>
              <w:br/>
            </w:r>
            <w:r w:rsidR="00C92875">
              <w:rPr>
                <w:rFonts w:cs="Arial"/>
                <w:sz w:val="18"/>
                <w:szCs w:val="20"/>
              </w:rPr>
              <w:br/>
            </w:r>
            <w:r w:rsidRPr="00C903F8">
              <w:rPr>
                <w:rFonts w:cs="Arial"/>
                <w:sz w:val="18"/>
                <w:szCs w:val="20"/>
              </w:rPr>
              <w:br/>
            </w:r>
          </w:p>
        </w:tc>
        <w:tc>
          <w:tcPr>
            <w:tcW w:w="1190" w:type="dxa"/>
          </w:tcPr>
          <w:p w:rsidR="00A50F11" w:rsidRPr="00C903F8" w:rsidRDefault="00A50F11" w:rsidP="00FC0393">
            <w:pPr>
              <w:tabs>
                <w:tab w:val="left" w:leader="dot" w:pos="1701"/>
              </w:tabs>
              <w:overflowPunct w:val="0"/>
              <w:adjustRightInd w:val="0"/>
              <w:ind w:left="0" w:firstLine="0"/>
              <w:jc w:val="center"/>
              <w:textAlignment w:val="baseline"/>
              <w:rPr>
                <w:rFonts w:cs="Arial"/>
                <w:sz w:val="18"/>
                <w:szCs w:val="20"/>
              </w:rPr>
            </w:pPr>
          </w:p>
        </w:tc>
        <w:tc>
          <w:tcPr>
            <w:tcW w:w="1192" w:type="dxa"/>
          </w:tcPr>
          <w:p w:rsidR="00A50F11" w:rsidRPr="00C903F8" w:rsidRDefault="00A50F11" w:rsidP="00FC0393">
            <w:pPr>
              <w:tabs>
                <w:tab w:val="left" w:leader="dot" w:pos="1701"/>
              </w:tabs>
              <w:overflowPunct w:val="0"/>
              <w:adjustRightInd w:val="0"/>
              <w:ind w:left="0" w:firstLine="0"/>
              <w:jc w:val="center"/>
              <w:textAlignment w:val="baseline"/>
              <w:rPr>
                <w:rFonts w:cs="Arial"/>
                <w:sz w:val="18"/>
                <w:szCs w:val="20"/>
              </w:rPr>
            </w:pPr>
          </w:p>
        </w:tc>
        <w:tc>
          <w:tcPr>
            <w:tcW w:w="1757" w:type="dxa"/>
          </w:tcPr>
          <w:p w:rsidR="00A50F11" w:rsidRPr="00C903F8" w:rsidRDefault="00A50F11" w:rsidP="00FC0393">
            <w:pPr>
              <w:tabs>
                <w:tab w:val="left" w:leader="dot" w:pos="1701"/>
              </w:tabs>
              <w:overflowPunct w:val="0"/>
              <w:adjustRightInd w:val="0"/>
              <w:spacing w:before="120"/>
              <w:ind w:left="0" w:firstLine="0"/>
              <w:jc w:val="center"/>
              <w:textAlignment w:val="baseline"/>
              <w:rPr>
                <w:rFonts w:cs="Arial"/>
                <w:sz w:val="18"/>
                <w:szCs w:val="20"/>
              </w:rPr>
            </w:pPr>
          </w:p>
        </w:tc>
        <w:tc>
          <w:tcPr>
            <w:tcW w:w="1758" w:type="dxa"/>
          </w:tcPr>
          <w:p w:rsidR="00A50F11" w:rsidRPr="00C903F8" w:rsidRDefault="00A50F11" w:rsidP="00FC0393">
            <w:pPr>
              <w:tabs>
                <w:tab w:val="left" w:leader="dot" w:pos="1701"/>
              </w:tabs>
              <w:overflowPunct w:val="0"/>
              <w:adjustRightInd w:val="0"/>
              <w:spacing w:before="120"/>
              <w:ind w:left="0" w:firstLine="0"/>
              <w:jc w:val="center"/>
              <w:textAlignment w:val="baseline"/>
              <w:rPr>
                <w:rFonts w:cs="Arial"/>
                <w:sz w:val="18"/>
                <w:szCs w:val="20"/>
              </w:rPr>
            </w:pPr>
          </w:p>
        </w:tc>
        <w:tc>
          <w:tcPr>
            <w:tcW w:w="2948" w:type="dxa"/>
          </w:tcPr>
          <w:p w:rsidR="00A50F11" w:rsidRPr="00C903F8" w:rsidRDefault="00A50F11" w:rsidP="00FC0393">
            <w:pPr>
              <w:tabs>
                <w:tab w:val="left" w:leader="dot" w:pos="1701"/>
              </w:tabs>
              <w:overflowPunct w:val="0"/>
              <w:adjustRightInd w:val="0"/>
              <w:ind w:left="0" w:firstLine="0"/>
              <w:jc w:val="center"/>
              <w:textAlignment w:val="baseline"/>
              <w:rPr>
                <w:rFonts w:cs="Arial"/>
                <w:sz w:val="18"/>
                <w:szCs w:val="20"/>
              </w:rPr>
            </w:pPr>
          </w:p>
        </w:tc>
        <w:tc>
          <w:tcPr>
            <w:tcW w:w="2325" w:type="dxa"/>
          </w:tcPr>
          <w:p w:rsidR="00A50F11" w:rsidRPr="00C903F8" w:rsidRDefault="00A50F11" w:rsidP="00FC0393">
            <w:pPr>
              <w:tabs>
                <w:tab w:val="left" w:leader="dot" w:pos="1701"/>
              </w:tabs>
              <w:overflowPunct w:val="0"/>
              <w:adjustRightInd w:val="0"/>
              <w:ind w:left="0" w:firstLine="0"/>
              <w:jc w:val="center"/>
              <w:textAlignment w:val="baseline"/>
              <w:rPr>
                <w:rFonts w:cs="Arial"/>
                <w:sz w:val="18"/>
                <w:szCs w:val="20"/>
              </w:rPr>
            </w:pPr>
          </w:p>
        </w:tc>
        <w:tc>
          <w:tcPr>
            <w:tcW w:w="1758" w:type="dxa"/>
          </w:tcPr>
          <w:p w:rsidR="00A50F11" w:rsidRPr="00C903F8" w:rsidRDefault="00A50F11" w:rsidP="00FC0393">
            <w:pPr>
              <w:tabs>
                <w:tab w:val="left" w:leader="dot" w:pos="1701"/>
              </w:tabs>
              <w:overflowPunct w:val="0"/>
              <w:adjustRightInd w:val="0"/>
              <w:ind w:left="0" w:firstLine="0"/>
              <w:jc w:val="center"/>
              <w:textAlignment w:val="baseline"/>
              <w:rPr>
                <w:rFonts w:cs="Arial"/>
                <w:sz w:val="18"/>
                <w:szCs w:val="20"/>
              </w:rPr>
            </w:pPr>
          </w:p>
        </w:tc>
      </w:tr>
    </w:tbl>
    <w:p w:rsidR="00A50F11" w:rsidRPr="00C903F8" w:rsidRDefault="00A50F11" w:rsidP="00C92875">
      <w:pPr>
        <w:tabs>
          <w:tab w:val="left" w:pos="284"/>
          <w:tab w:val="left" w:leader="dot" w:pos="1701"/>
        </w:tabs>
        <w:overflowPunct w:val="0"/>
        <w:adjustRightInd w:val="0"/>
        <w:spacing w:before="60"/>
        <w:ind w:left="0" w:firstLine="0"/>
        <w:jc w:val="left"/>
        <w:textAlignment w:val="baseline"/>
        <w:rPr>
          <w:rFonts w:cs="Arial"/>
          <w:sz w:val="16"/>
          <w:szCs w:val="20"/>
          <w:lang w:val="en-US"/>
        </w:rPr>
      </w:pPr>
      <w:r w:rsidRPr="00C903F8">
        <w:rPr>
          <w:rFonts w:cs="Arial"/>
          <w:sz w:val="18"/>
          <w:szCs w:val="20"/>
          <w:lang w:val="en-US"/>
        </w:rPr>
        <w:t>*)</w:t>
      </w:r>
      <w:r w:rsidRPr="00C903F8">
        <w:rPr>
          <w:rFonts w:cs="Arial"/>
          <w:sz w:val="18"/>
          <w:szCs w:val="20"/>
          <w:lang w:val="en-US"/>
        </w:rPr>
        <w:tab/>
      </w:r>
      <w:r w:rsidRPr="00C903F8">
        <w:rPr>
          <w:rFonts w:cs="Arial"/>
          <w:sz w:val="16"/>
          <w:szCs w:val="20"/>
          <w:lang w:val="en-US"/>
        </w:rPr>
        <w:t>If no measurement certificate is available, estimate the deadweight or displacement.</w:t>
      </w:r>
    </w:p>
    <w:p w:rsidR="00C92875" w:rsidRDefault="00C92875">
      <w:pPr>
        <w:autoSpaceDE/>
        <w:autoSpaceDN/>
        <w:ind w:left="0" w:firstLine="0"/>
        <w:jc w:val="left"/>
        <w:rPr>
          <w:rFonts w:cs="Arial"/>
          <w:sz w:val="18"/>
          <w:szCs w:val="20"/>
          <w:lang w:val="en-US"/>
        </w:rPr>
      </w:pPr>
      <w:r>
        <w:rPr>
          <w:rFonts w:cs="Arial"/>
          <w:sz w:val="18"/>
          <w:szCs w:val="20"/>
          <w:lang w:val="en-US"/>
        </w:rPr>
        <w:br w:type="page"/>
      </w:r>
    </w:p>
    <w:p w:rsidR="00402237" w:rsidRPr="00C903F8" w:rsidRDefault="00402237" w:rsidP="00C92875">
      <w:pPr>
        <w:tabs>
          <w:tab w:val="left" w:pos="284"/>
          <w:tab w:val="left" w:leader="dot" w:pos="1701"/>
        </w:tabs>
        <w:overflowPunct w:val="0"/>
        <w:adjustRightInd w:val="0"/>
        <w:ind w:left="0" w:firstLine="0"/>
        <w:jc w:val="left"/>
        <w:textAlignment w:val="baseline"/>
        <w:rPr>
          <w:rFonts w:cs="Arial"/>
          <w:sz w:val="18"/>
          <w:szCs w:val="20"/>
          <w:lang w:val="en-US"/>
        </w:rPr>
      </w:pPr>
    </w:p>
    <w:p w:rsidR="00A50F11" w:rsidRPr="00C903F8" w:rsidRDefault="00A50F11" w:rsidP="00A50F11">
      <w:pPr>
        <w:tabs>
          <w:tab w:val="left" w:pos="284"/>
          <w:tab w:val="left" w:leader="dot" w:pos="1701"/>
        </w:tabs>
        <w:overflowPunct w:val="0"/>
        <w:adjustRightInd w:val="0"/>
        <w:ind w:left="0" w:firstLine="0"/>
        <w:jc w:val="left"/>
        <w:textAlignment w:val="baseline"/>
        <w:rPr>
          <w:rFonts w:cs="Arial"/>
          <w:sz w:val="18"/>
          <w:szCs w:val="20"/>
          <w:lang w:val="en-US"/>
        </w:rPr>
      </w:pPr>
    </w:p>
    <w:p w:rsidR="00A50F11" w:rsidRPr="00C903F8" w:rsidRDefault="00A50F11" w:rsidP="00A50F11">
      <w:pPr>
        <w:tabs>
          <w:tab w:val="left" w:pos="284"/>
          <w:tab w:val="left" w:leader="dot" w:pos="1701"/>
        </w:tabs>
        <w:overflowPunct w:val="0"/>
        <w:adjustRightInd w:val="0"/>
        <w:ind w:left="0" w:firstLine="0"/>
        <w:jc w:val="left"/>
        <w:textAlignment w:val="baseline"/>
        <w:rPr>
          <w:rFonts w:cs="Arial"/>
          <w:sz w:val="18"/>
          <w:szCs w:val="20"/>
          <w:lang w:val="en-US"/>
        </w:rPr>
      </w:pPr>
    </w:p>
    <w:p w:rsidR="009C13A9" w:rsidRPr="00C903F8" w:rsidRDefault="009C13A9" w:rsidP="00A50F11">
      <w:pPr>
        <w:tabs>
          <w:tab w:val="left" w:pos="284"/>
          <w:tab w:val="left" w:leader="dot" w:pos="1701"/>
        </w:tabs>
        <w:overflowPunct w:val="0"/>
        <w:adjustRightInd w:val="0"/>
        <w:ind w:left="0" w:firstLine="0"/>
        <w:jc w:val="left"/>
        <w:textAlignment w:val="baseline"/>
        <w:rPr>
          <w:lang w:val="en-US"/>
        </w:rPr>
      </w:pPr>
    </w:p>
    <w:p w:rsidR="009C13A9" w:rsidRPr="00C903F8" w:rsidRDefault="009C13A9" w:rsidP="009C13A9">
      <w:pPr>
        <w:tabs>
          <w:tab w:val="center" w:pos="8222"/>
        </w:tabs>
        <w:rPr>
          <w:lang w:val="en-US"/>
        </w:rPr>
      </w:pPr>
    </w:p>
    <w:p w:rsidR="009C13A9" w:rsidRPr="00C903F8" w:rsidRDefault="009C13A9" w:rsidP="009C13A9">
      <w:pPr>
        <w:tabs>
          <w:tab w:val="center" w:pos="7088"/>
          <w:tab w:val="left" w:leader="dot" w:pos="9072"/>
        </w:tabs>
        <w:ind w:left="284" w:hanging="284"/>
        <w:rPr>
          <w:sz w:val="18"/>
          <w:lang w:val="en-US"/>
        </w:rPr>
      </w:pPr>
    </w:p>
    <w:p w:rsidR="009C13A9" w:rsidRPr="00C903F8" w:rsidRDefault="009C13A9" w:rsidP="009C13A9">
      <w:pPr>
        <w:tabs>
          <w:tab w:val="center" w:pos="7088"/>
          <w:tab w:val="left" w:leader="dot" w:pos="9072"/>
        </w:tabs>
        <w:ind w:left="284" w:hanging="284"/>
        <w:rPr>
          <w:sz w:val="18"/>
          <w:lang w:val="en-US"/>
        </w:rPr>
        <w:sectPr w:rsidR="009C13A9" w:rsidRPr="00C903F8" w:rsidSect="00FB55E9">
          <w:headerReference w:type="default" r:id="rId48"/>
          <w:footerReference w:type="default" r:id="rId49"/>
          <w:footerReference w:type="first" r:id="rId50"/>
          <w:footnotePr>
            <w:numRestart w:val="eachPage"/>
          </w:footnotePr>
          <w:pgSz w:w="16840" w:h="11907" w:orient="landscape" w:code="9"/>
          <w:pgMar w:top="1418" w:right="1418" w:bottom="1418" w:left="1418" w:header="680" w:footer="680" w:gutter="0"/>
          <w:cols w:space="720"/>
          <w:docGrid w:linePitch="326"/>
        </w:sectPr>
      </w:pPr>
    </w:p>
    <w:p w:rsidR="009C13A9" w:rsidRPr="00C903F8" w:rsidRDefault="009C13A9" w:rsidP="00857FC2">
      <w:pPr>
        <w:pStyle w:val="ES-Titre1"/>
      </w:pPr>
      <w:bookmarkStart w:id="329" w:name="_Toc491854307"/>
      <w:r w:rsidRPr="00C903F8">
        <w:lastRenderedPageBreak/>
        <w:t>PART II</w:t>
      </w:r>
      <w:r w:rsidRPr="00C903F8">
        <w:br/>
        <w:t>ADDITIONAL REQUIREMENTS FOR SPECIFIC EQUIPMENT USED ON BOARD</w:t>
      </w:r>
      <w:bookmarkEnd w:id="329"/>
    </w:p>
    <w:p w:rsidR="009C13A9" w:rsidRPr="00C903F8" w:rsidRDefault="009C13A9" w:rsidP="009C13A9">
      <w:pPr>
        <w:overflowPunct w:val="0"/>
        <w:adjustRightInd w:val="0"/>
        <w:ind w:left="0" w:firstLine="0"/>
        <w:jc w:val="left"/>
        <w:textAlignment w:val="baseline"/>
        <w:rPr>
          <w:rFonts w:cs="Arial"/>
          <w:szCs w:val="20"/>
          <w:lang w:val="en-US"/>
        </w:rPr>
      </w:pPr>
    </w:p>
    <w:p w:rsidR="009C13A9" w:rsidRPr="00C903F8" w:rsidRDefault="009C13A9" w:rsidP="009C13A9">
      <w:pPr>
        <w:overflowPunct w:val="0"/>
        <w:adjustRightInd w:val="0"/>
        <w:ind w:left="0" w:firstLine="0"/>
        <w:jc w:val="left"/>
        <w:textAlignment w:val="baseline"/>
        <w:rPr>
          <w:rFonts w:cs="Arial"/>
          <w:szCs w:val="20"/>
          <w:lang w:val="en-US"/>
        </w:rPr>
      </w:pPr>
    </w:p>
    <w:p w:rsidR="009C13A9" w:rsidRPr="00C903F8" w:rsidRDefault="009C13A9" w:rsidP="00857FC2">
      <w:pPr>
        <w:pStyle w:val="ES-Titre2"/>
        <w:pageBreakBefore w:val="0"/>
      </w:pPr>
      <w:bookmarkStart w:id="330" w:name="_Toc491854308"/>
      <w:r w:rsidRPr="00C903F8">
        <w:t xml:space="preserve">Annex </w:t>
      </w:r>
      <w:r w:rsidR="00955727" w:rsidRPr="00C903F8">
        <w:t>4</w:t>
      </w:r>
      <w:r w:rsidRPr="00C903F8">
        <w:br/>
        <w:t>Safety Signs</w:t>
      </w:r>
      <w:bookmarkEnd w:id="330"/>
    </w:p>
    <w:p w:rsidR="009C13A9" w:rsidRPr="00C903F8" w:rsidRDefault="009C13A9" w:rsidP="009C13A9">
      <w:pPr>
        <w:overflowPunct w:val="0"/>
        <w:adjustRightInd w:val="0"/>
        <w:ind w:left="0" w:firstLine="0"/>
        <w:jc w:val="left"/>
        <w:textAlignment w:val="baseline"/>
        <w:rPr>
          <w:rFonts w:cs="Arial"/>
          <w:szCs w:val="20"/>
        </w:rPr>
      </w:pPr>
    </w:p>
    <w:p w:rsidR="009C13A9" w:rsidRPr="00C903F8" w:rsidRDefault="009C13A9" w:rsidP="009C13A9">
      <w:pPr>
        <w:overflowPunct w:val="0"/>
        <w:adjustRightInd w:val="0"/>
        <w:ind w:left="0" w:firstLine="0"/>
        <w:jc w:val="left"/>
        <w:textAlignment w:val="baseline"/>
        <w:rPr>
          <w:rFonts w:cs="Arial"/>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31"/>
        <w:gridCol w:w="2551"/>
        <w:gridCol w:w="3328"/>
      </w:tblGrid>
      <w:tr w:rsidR="009C13A9" w:rsidRPr="00C903F8" w:rsidTr="009C13A9">
        <w:tc>
          <w:tcPr>
            <w:tcW w:w="3331" w:type="dxa"/>
            <w:vAlign w:val="center"/>
          </w:tcPr>
          <w:p w:rsidR="009C13A9" w:rsidRPr="00C903F8" w:rsidRDefault="009C13A9" w:rsidP="009C13A9">
            <w:pPr>
              <w:tabs>
                <w:tab w:val="left" w:pos="454"/>
                <w:tab w:val="left" w:pos="907"/>
                <w:tab w:val="left" w:pos="1361"/>
                <w:tab w:val="left" w:pos="1814"/>
              </w:tabs>
              <w:overflowPunct w:val="0"/>
              <w:adjustRightInd w:val="0"/>
              <w:spacing w:before="240" w:line="240" w:lineRule="exact"/>
              <w:ind w:left="0" w:firstLine="0"/>
              <w:textAlignment w:val="baseline"/>
              <w:rPr>
                <w:rFonts w:cs="Arial"/>
                <w:noProof/>
                <w:szCs w:val="20"/>
                <w:lang w:val="en-GB" w:eastAsia="fr-BE"/>
              </w:rPr>
            </w:pPr>
            <w:r w:rsidRPr="00C903F8">
              <w:rPr>
                <w:rFonts w:cs="Arial"/>
                <w:noProof/>
                <w:szCs w:val="20"/>
                <w:lang w:val="en-GB" w:eastAsia="fr-BE"/>
              </w:rPr>
              <w:t>Figure 1</w:t>
            </w:r>
          </w:p>
          <w:p w:rsidR="009C13A9" w:rsidRPr="00C903F8" w:rsidRDefault="009C13A9" w:rsidP="009C13A9">
            <w:pPr>
              <w:overflowPunct w:val="0"/>
              <w:adjustRightInd w:val="0"/>
              <w:ind w:left="0" w:firstLine="0"/>
              <w:jc w:val="left"/>
              <w:textAlignment w:val="baseline"/>
              <w:rPr>
                <w:rFonts w:cs="Arial"/>
                <w:szCs w:val="20"/>
                <w:lang w:val="en-US"/>
              </w:rPr>
            </w:pPr>
            <w:r w:rsidRPr="00C903F8">
              <w:rPr>
                <w:rFonts w:cs="Arial"/>
                <w:noProof/>
                <w:szCs w:val="20"/>
                <w:lang w:val="en-GB" w:eastAsia="fr-BE"/>
              </w:rPr>
              <w:t>No entry for unauthorised persons</w:t>
            </w:r>
          </w:p>
        </w:tc>
        <w:tc>
          <w:tcPr>
            <w:tcW w:w="2551" w:type="dxa"/>
          </w:tcPr>
          <w:p w:rsidR="009C13A9" w:rsidRPr="00C903F8" w:rsidRDefault="009C13A9" w:rsidP="009C13A9">
            <w:pPr>
              <w:overflowPunct w:val="0"/>
              <w:adjustRightInd w:val="0"/>
              <w:ind w:left="0" w:firstLine="0"/>
              <w:jc w:val="left"/>
              <w:textAlignment w:val="baseline"/>
              <w:rPr>
                <w:rFonts w:cs="Arial"/>
                <w:sz w:val="18"/>
                <w:szCs w:val="20"/>
                <w:lang w:val="en-US"/>
              </w:rPr>
            </w:pPr>
          </w:p>
          <w:p w:rsidR="009C13A9" w:rsidRPr="00C903F8" w:rsidRDefault="002C0BA5" w:rsidP="009C13A9">
            <w:pPr>
              <w:overflowPunct w:val="0"/>
              <w:adjustRightInd w:val="0"/>
              <w:ind w:left="0" w:firstLine="0"/>
              <w:jc w:val="center"/>
              <w:textAlignment w:val="baseline"/>
              <w:rPr>
                <w:rFonts w:cs="Arial"/>
                <w:sz w:val="18"/>
                <w:szCs w:val="20"/>
              </w:rPr>
            </w:pPr>
            <w:r>
              <w:rPr>
                <w:rFonts w:cs="Arial"/>
                <w:b/>
                <w:noProof/>
                <w:szCs w:val="20"/>
              </w:rPr>
              <w:drawing>
                <wp:inline distT="0" distB="0" distL="0" distR="0" wp14:anchorId="16EA296E" wp14:editId="30442EE3">
                  <wp:extent cx="1282700" cy="1282700"/>
                  <wp:effectExtent l="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p w:rsidR="009C13A9" w:rsidRPr="00C903F8" w:rsidRDefault="009C13A9" w:rsidP="009C13A9">
            <w:pPr>
              <w:overflowPunct w:val="0"/>
              <w:adjustRightInd w:val="0"/>
              <w:ind w:left="0" w:firstLine="0"/>
              <w:jc w:val="left"/>
              <w:textAlignment w:val="baseline"/>
              <w:rPr>
                <w:rFonts w:cs="Arial"/>
                <w:sz w:val="18"/>
                <w:szCs w:val="20"/>
              </w:rPr>
            </w:pPr>
          </w:p>
        </w:tc>
        <w:tc>
          <w:tcPr>
            <w:tcW w:w="3328" w:type="dxa"/>
            <w:vAlign w:val="center"/>
          </w:tcPr>
          <w:p w:rsidR="009C13A9" w:rsidRPr="00C903F8" w:rsidRDefault="009C13A9" w:rsidP="009C13A9">
            <w:pPr>
              <w:overflowPunct w:val="0"/>
              <w:adjustRightInd w:val="0"/>
              <w:ind w:left="0" w:firstLine="0"/>
              <w:jc w:val="left"/>
              <w:textAlignment w:val="baseline"/>
              <w:rPr>
                <w:rFonts w:cs="Arial"/>
                <w:szCs w:val="20"/>
              </w:rPr>
            </w:pPr>
            <w:r w:rsidRPr="00C903F8">
              <w:rPr>
                <w:rFonts w:cs="Arial"/>
                <w:noProof/>
                <w:szCs w:val="20"/>
                <w:lang w:eastAsia="fr-BE"/>
              </w:rPr>
              <w:t>Colour: red / white / black</w:t>
            </w:r>
          </w:p>
        </w:tc>
      </w:tr>
      <w:tr w:rsidR="009C13A9" w:rsidRPr="00C903F8" w:rsidTr="009C13A9">
        <w:tc>
          <w:tcPr>
            <w:tcW w:w="3331" w:type="dxa"/>
            <w:vAlign w:val="center"/>
          </w:tcPr>
          <w:p w:rsidR="009C13A9" w:rsidRPr="00C903F8" w:rsidRDefault="009C13A9" w:rsidP="009C13A9">
            <w:pPr>
              <w:overflowPunct w:val="0"/>
              <w:adjustRightInd w:val="0"/>
              <w:ind w:left="0" w:firstLine="0"/>
              <w:jc w:val="left"/>
              <w:textAlignment w:val="baseline"/>
              <w:rPr>
                <w:rFonts w:cs="Arial"/>
                <w:szCs w:val="20"/>
                <w:lang w:val="en-US"/>
              </w:rPr>
            </w:pPr>
            <w:r w:rsidRPr="00C903F8">
              <w:rPr>
                <w:rFonts w:cs="Arial"/>
                <w:szCs w:val="20"/>
                <w:lang w:val="en-US"/>
              </w:rPr>
              <w:t>Figure 2</w:t>
            </w:r>
          </w:p>
          <w:p w:rsidR="009C13A9" w:rsidRPr="00C903F8" w:rsidRDefault="009C13A9" w:rsidP="009C13A9">
            <w:pPr>
              <w:overflowPunct w:val="0"/>
              <w:adjustRightInd w:val="0"/>
              <w:ind w:left="0" w:firstLine="0"/>
              <w:jc w:val="left"/>
              <w:textAlignment w:val="baseline"/>
              <w:rPr>
                <w:rFonts w:cs="Arial"/>
                <w:szCs w:val="20"/>
                <w:lang w:val="en-US"/>
              </w:rPr>
            </w:pPr>
            <w:r w:rsidRPr="00C903F8">
              <w:rPr>
                <w:rFonts w:cs="Arial"/>
                <w:szCs w:val="20"/>
                <w:lang w:val="en-US"/>
              </w:rPr>
              <w:t>Fire, naked flame and smoking prohibited</w:t>
            </w:r>
          </w:p>
        </w:tc>
        <w:tc>
          <w:tcPr>
            <w:tcW w:w="2551" w:type="dxa"/>
          </w:tcPr>
          <w:p w:rsidR="009C13A9" w:rsidRPr="00C903F8" w:rsidRDefault="009C13A9" w:rsidP="009C13A9">
            <w:pPr>
              <w:overflowPunct w:val="0"/>
              <w:adjustRightInd w:val="0"/>
              <w:ind w:left="0" w:firstLine="0"/>
              <w:jc w:val="left"/>
              <w:textAlignment w:val="baseline"/>
              <w:rPr>
                <w:rFonts w:cs="Arial"/>
                <w:sz w:val="18"/>
                <w:szCs w:val="20"/>
                <w:lang w:val="en-US"/>
              </w:rPr>
            </w:pPr>
          </w:p>
          <w:p w:rsidR="009C13A9" w:rsidRPr="00C903F8" w:rsidRDefault="002C0BA5" w:rsidP="009C13A9">
            <w:pPr>
              <w:overflowPunct w:val="0"/>
              <w:adjustRightInd w:val="0"/>
              <w:ind w:left="0" w:firstLine="0"/>
              <w:jc w:val="center"/>
              <w:textAlignment w:val="baseline"/>
              <w:rPr>
                <w:rFonts w:cs="Arial"/>
                <w:sz w:val="18"/>
                <w:szCs w:val="20"/>
              </w:rPr>
            </w:pPr>
            <w:r>
              <w:rPr>
                <w:rFonts w:cs="Arial"/>
                <w:noProof/>
                <w:szCs w:val="20"/>
              </w:rPr>
              <w:drawing>
                <wp:inline distT="0" distB="0" distL="0" distR="0" wp14:anchorId="42C790B5" wp14:editId="7D074C36">
                  <wp:extent cx="1282700" cy="1282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p w:rsidR="009C13A9" w:rsidRPr="00C903F8" w:rsidRDefault="009C13A9" w:rsidP="009C13A9">
            <w:pPr>
              <w:overflowPunct w:val="0"/>
              <w:adjustRightInd w:val="0"/>
              <w:ind w:left="0" w:firstLine="0"/>
              <w:jc w:val="left"/>
              <w:textAlignment w:val="baseline"/>
              <w:rPr>
                <w:rFonts w:cs="Arial"/>
                <w:sz w:val="18"/>
                <w:szCs w:val="20"/>
              </w:rPr>
            </w:pPr>
          </w:p>
        </w:tc>
        <w:tc>
          <w:tcPr>
            <w:tcW w:w="3328" w:type="dxa"/>
            <w:vAlign w:val="center"/>
          </w:tcPr>
          <w:p w:rsidR="009C13A9" w:rsidRPr="00C903F8" w:rsidRDefault="009C13A9" w:rsidP="009C13A9">
            <w:pPr>
              <w:overflowPunct w:val="0"/>
              <w:adjustRightInd w:val="0"/>
              <w:ind w:left="0" w:firstLine="0"/>
              <w:jc w:val="left"/>
              <w:textAlignment w:val="baseline"/>
              <w:rPr>
                <w:rFonts w:cs="Arial"/>
                <w:szCs w:val="20"/>
              </w:rPr>
            </w:pPr>
            <w:r w:rsidRPr="00C903F8">
              <w:rPr>
                <w:rFonts w:cs="Arial"/>
                <w:noProof/>
                <w:szCs w:val="20"/>
                <w:lang w:eastAsia="fr-BE"/>
              </w:rPr>
              <w:t>Colour: red / white / black</w:t>
            </w:r>
          </w:p>
        </w:tc>
      </w:tr>
      <w:tr w:rsidR="009C13A9" w:rsidRPr="00C903F8" w:rsidTr="009C13A9">
        <w:tc>
          <w:tcPr>
            <w:tcW w:w="3331" w:type="dxa"/>
            <w:vAlign w:val="center"/>
          </w:tcPr>
          <w:p w:rsidR="009C13A9" w:rsidRPr="00C903F8" w:rsidRDefault="009C13A9" w:rsidP="009C13A9">
            <w:pPr>
              <w:tabs>
                <w:tab w:val="left" w:pos="454"/>
                <w:tab w:val="left" w:pos="907"/>
                <w:tab w:val="left" w:pos="1361"/>
                <w:tab w:val="left" w:pos="1814"/>
              </w:tabs>
              <w:overflowPunct w:val="0"/>
              <w:adjustRightInd w:val="0"/>
              <w:spacing w:before="240" w:line="240" w:lineRule="exact"/>
              <w:ind w:left="0" w:firstLine="0"/>
              <w:textAlignment w:val="baseline"/>
              <w:rPr>
                <w:rFonts w:cs="Arial"/>
                <w:noProof/>
                <w:szCs w:val="20"/>
                <w:lang w:val="en-GB" w:eastAsia="fr-BE"/>
              </w:rPr>
            </w:pPr>
            <w:r w:rsidRPr="00C903F8">
              <w:rPr>
                <w:rFonts w:cs="Arial"/>
                <w:noProof/>
                <w:szCs w:val="20"/>
                <w:lang w:val="en-GB" w:eastAsia="fr-BE"/>
              </w:rPr>
              <w:t>Figure 3</w:t>
            </w:r>
          </w:p>
          <w:p w:rsidR="009C13A9" w:rsidRPr="00C903F8" w:rsidRDefault="009C13A9" w:rsidP="009C13A9">
            <w:pPr>
              <w:overflowPunct w:val="0"/>
              <w:adjustRightInd w:val="0"/>
              <w:ind w:left="0" w:firstLine="0"/>
              <w:jc w:val="left"/>
              <w:textAlignment w:val="baseline"/>
              <w:rPr>
                <w:rFonts w:cs="Arial"/>
                <w:szCs w:val="20"/>
              </w:rPr>
            </w:pPr>
            <w:r w:rsidRPr="00C903F8">
              <w:rPr>
                <w:rFonts w:cs="Arial"/>
                <w:noProof/>
                <w:szCs w:val="20"/>
                <w:lang w:val="en-GB" w:eastAsia="fr-BE"/>
              </w:rPr>
              <w:t>Fire extinguisher</w:t>
            </w:r>
          </w:p>
        </w:tc>
        <w:tc>
          <w:tcPr>
            <w:tcW w:w="2551" w:type="dxa"/>
          </w:tcPr>
          <w:p w:rsidR="009C13A9" w:rsidRPr="00C903F8" w:rsidRDefault="009C13A9" w:rsidP="009C13A9">
            <w:pPr>
              <w:overflowPunct w:val="0"/>
              <w:adjustRightInd w:val="0"/>
              <w:ind w:left="0" w:firstLine="0"/>
              <w:jc w:val="left"/>
              <w:textAlignment w:val="baseline"/>
              <w:rPr>
                <w:rFonts w:cs="Arial"/>
                <w:sz w:val="18"/>
                <w:szCs w:val="20"/>
              </w:rPr>
            </w:pPr>
          </w:p>
          <w:p w:rsidR="009C13A9" w:rsidRPr="00C903F8" w:rsidRDefault="002C0BA5" w:rsidP="009C13A9">
            <w:pPr>
              <w:overflowPunct w:val="0"/>
              <w:adjustRightInd w:val="0"/>
              <w:ind w:left="0" w:firstLine="0"/>
              <w:jc w:val="center"/>
              <w:textAlignment w:val="baseline"/>
              <w:rPr>
                <w:rFonts w:cs="Arial"/>
                <w:sz w:val="18"/>
                <w:szCs w:val="20"/>
              </w:rPr>
            </w:pPr>
            <w:r>
              <w:rPr>
                <w:rFonts w:cs="Arial"/>
                <w:noProof/>
                <w:szCs w:val="20"/>
              </w:rPr>
              <w:drawing>
                <wp:inline distT="0" distB="0" distL="0" distR="0" wp14:anchorId="1C03B95E" wp14:editId="55EB0777">
                  <wp:extent cx="1282700" cy="1282700"/>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p w:rsidR="009C13A9" w:rsidRPr="00C903F8" w:rsidRDefault="009C13A9" w:rsidP="009C13A9">
            <w:pPr>
              <w:overflowPunct w:val="0"/>
              <w:adjustRightInd w:val="0"/>
              <w:ind w:left="0" w:firstLine="0"/>
              <w:jc w:val="left"/>
              <w:textAlignment w:val="baseline"/>
              <w:rPr>
                <w:rFonts w:cs="Arial"/>
                <w:sz w:val="18"/>
                <w:szCs w:val="20"/>
              </w:rPr>
            </w:pPr>
          </w:p>
        </w:tc>
        <w:tc>
          <w:tcPr>
            <w:tcW w:w="3328" w:type="dxa"/>
            <w:vAlign w:val="center"/>
          </w:tcPr>
          <w:p w:rsidR="009C13A9" w:rsidRPr="00C903F8" w:rsidRDefault="009C13A9" w:rsidP="009C13A9">
            <w:pPr>
              <w:overflowPunct w:val="0"/>
              <w:adjustRightInd w:val="0"/>
              <w:ind w:left="0" w:firstLine="0"/>
              <w:jc w:val="left"/>
              <w:textAlignment w:val="baseline"/>
              <w:rPr>
                <w:rFonts w:cs="Arial"/>
                <w:szCs w:val="20"/>
              </w:rPr>
            </w:pPr>
            <w:r w:rsidRPr="00C903F8">
              <w:rPr>
                <w:rFonts w:cs="Arial"/>
                <w:noProof/>
                <w:szCs w:val="20"/>
                <w:lang w:eastAsia="fr-BE"/>
              </w:rPr>
              <w:t>Colour: red / white</w:t>
            </w:r>
          </w:p>
        </w:tc>
      </w:tr>
      <w:tr w:rsidR="009C13A9" w:rsidRPr="00C903F8" w:rsidTr="009C13A9">
        <w:tc>
          <w:tcPr>
            <w:tcW w:w="3331" w:type="dxa"/>
            <w:vAlign w:val="center"/>
          </w:tcPr>
          <w:p w:rsidR="009C13A9" w:rsidRPr="00C903F8" w:rsidRDefault="009C13A9" w:rsidP="009C13A9">
            <w:pPr>
              <w:tabs>
                <w:tab w:val="left" w:pos="454"/>
                <w:tab w:val="left" w:pos="907"/>
                <w:tab w:val="left" w:pos="1361"/>
                <w:tab w:val="left" w:pos="1814"/>
              </w:tabs>
              <w:overflowPunct w:val="0"/>
              <w:adjustRightInd w:val="0"/>
              <w:spacing w:before="240" w:line="240" w:lineRule="exact"/>
              <w:textAlignment w:val="baseline"/>
              <w:rPr>
                <w:rFonts w:cs="Arial"/>
                <w:noProof/>
                <w:szCs w:val="20"/>
                <w:lang w:eastAsia="fr-BE"/>
              </w:rPr>
            </w:pPr>
            <w:r w:rsidRPr="00C903F8">
              <w:rPr>
                <w:rFonts w:cs="Arial"/>
                <w:noProof/>
                <w:szCs w:val="20"/>
                <w:lang w:eastAsia="fr-BE"/>
              </w:rPr>
              <w:t>Figure 4</w:t>
            </w:r>
          </w:p>
          <w:p w:rsidR="009C13A9" w:rsidRPr="00C903F8" w:rsidRDefault="009C13A9" w:rsidP="009C13A9">
            <w:pPr>
              <w:overflowPunct w:val="0"/>
              <w:adjustRightInd w:val="0"/>
              <w:ind w:left="0" w:firstLine="0"/>
              <w:jc w:val="left"/>
              <w:textAlignment w:val="baseline"/>
              <w:rPr>
                <w:rFonts w:cs="Arial"/>
                <w:szCs w:val="20"/>
              </w:rPr>
            </w:pPr>
            <w:r w:rsidRPr="00C903F8">
              <w:rPr>
                <w:rFonts w:cs="Arial"/>
                <w:noProof/>
                <w:szCs w:val="20"/>
                <w:lang w:eastAsia="fr-BE"/>
              </w:rPr>
              <w:t>General danger warning</w:t>
            </w:r>
          </w:p>
        </w:tc>
        <w:tc>
          <w:tcPr>
            <w:tcW w:w="2551" w:type="dxa"/>
          </w:tcPr>
          <w:p w:rsidR="009C13A9" w:rsidRPr="00C903F8" w:rsidRDefault="009C13A9" w:rsidP="009C13A9">
            <w:pPr>
              <w:overflowPunct w:val="0"/>
              <w:adjustRightInd w:val="0"/>
              <w:ind w:left="0" w:firstLine="0"/>
              <w:jc w:val="left"/>
              <w:textAlignment w:val="baseline"/>
              <w:rPr>
                <w:rFonts w:cs="Arial"/>
                <w:sz w:val="18"/>
                <w:szCs w:val="20"/>
              </w:rPr>
            </w:pPr>
          </w:p>
          <w:p w:rsidR="009C13A9" w:rsidRPr="00C903F8" w:rsidRDefault="002C0BA5" w:rsidP="009C13A9">
            <w:pPr>
              <w:overflowPunct w:val="0"/>
              <w:adjustRightInd w:val="0"/>
              <w:ind w:left="0" w:firstLine="0"/>
              <w:jc w:val="center"/>
              <w:textAlignment w:val="baseline"/>
              <w:rPr>
                <w:rFonts w:cs="Arial"/>
                <w:sz w:val="18"/>
                <w:szCs w:val="20"/>
              </w:rPr>
            </w:pPr>
            <w:r>
              <w:rPr>
                <w:rFonts w:cs="Arial"/>
                <w:noProof/>
                <w:szCs w:val="20"/>
              </w:rPr>
              <w:drawing>
                <wp:inline distT="0" distB="0" distL="0" distR="0" wp14:anchorId="348A428A" wp14:editId="37276799">
                  <wp:extent cx="1460500" cy="128270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0500" cy="1282700"/>
                          </a:xfrm>
                          <a:prstGeom prst="rect">
                            <a:avLst/>
                          </a:prstGeom>
                          <a:noFill/>
                          <a:ln>
                            <a:noFill/>
                          </a:ln>
                        </pic:spPr>
                      </pic:pic>
                    </a:graphicData>
                  </a:graphic>
                </wp:inline>
              </w:drawing>
            </w:r>
          </w:p>
          <w:p w:rsidR="009C13A9" w:rsidRPr="00C903F8" w:rsidRDefault="009C13A9" w:rsidP="009C13A9">
            <w:pPr>
              <w:overflowPunct w:val="0"/>
              <w:adjustRightInd w:val="0"/>
              <w:ind w:left="0" w:firstLine="0"/>
              <w:jc w:val="left"/>
              <w:textAlignment w:val="baseline"/>
              <w:rPr>
                <w:rFonts w:cs="Arial"/>
                <w:sz w:val="18"/>
                <w:szCs w:val="20"/>
              </w:rPr>
            </w:pPr>
          </w:p>
        </w:tc>
        <w:tc>
          <w:tcPr>
            <w:tcW w:w="3328" w:type="dxa"/>
            <w:vAlign w:val="center"/>
          </w:tcPr>
          <w:p w:rsidR="009C13A9" w:rsidRPr="00C903F8" w:rsidRDefault="009C13A9" w:rsidP="009C13A9">
            <w:pPr>
              <w:overflowPunct w:val="0"/>
              <w:adjustRightInd w:val="0"/>
              <w:ind w:left="0" w:firstLine="0"/>
              <w:jc w:val="left"/>
              <w:textAlignment w:val="baseline"/>
              <w:rPr>
                <w:rFonts w:cs="Arial"/>
                <w:szCs w:val="20"/>
              </w:rPr>
            </w:pPr>
            <w:r w:rsidRPr="00C903F8">
              <w:rPr>
                <w:rFonts w:cs="Arial"/>
                <w:noProof/>
                <w:szCs w:val="20"/>
                <w:lang w:eastAsia="fr-BE"/>
              </w:rPr>
              <w:t>Colour: black / yellow</w:t>
            </w:r>
          </w:p>
        </w:tc>
      </w:tr>
    </w:tbl>
    <w:p w:rsidR="009C13A9" w:rsidRPr="00C903F8" w:rsidRDefault="009C13A9" w:rsidP="009C13A9">
      <w:pPr>
        <w:overflowPunct w:val="0"/>
        <w:adjustRightInd w:val="0"/>
        <w:ind w:left="0" w:firstLine="0"/>
        <w:jc w:val="left"/>
        <w:textAlignment w:val="baseline"/>
        <w:rPr>
          <w:rFonts w:cs="Arial"/>
          <w:szCs w:val="20"/>
        </w:rPr>
      </w:pPr>
    </w:p>
    <w:p w:rsidR="009C13A9" w:rsidRPr="00C903F8" w:rsidRDefault="009C13A9" w:rsidP="009C13A9">
      <w:pPr>
        <w:overflowPunct w:val="0"/>
        <w:adjustRightInd w:val="0"/>
        <w:ind w:left="0" w:firstLine="0"/>
        <w:jc w:val="left"/>
        <w:textAlignment w:val="baseline"/>
        <w:rPr>
          <w:rFonts w:cs="Arial"/>
          <w:szCs w:val="20"/>
        </w:rPr>
      </w:pPr>
    </w:p>
    <w:p w:rsidR="009C13A9" w:rsidRPr="00C903F8" w:rsidRDefault="009C13A9" w:rsidP="009C13A9">
      <w:pPr>
        <w:overflowPunct w:val="0"/>
        <w:adjustRightInd w:val="0"/>
        <w:ind w:left="0" w:firstLine="0"/>
        <w:jc w:val="left"/>
        <w:textAlignment w:val="baseline"/>
        <w:rPr>
          <w:rFonts w:cs="Arial"/>
          <w:szCs w:val="20"/>
        </w:rPr>
      </w:pPr>
    </w:p>
    <w:p w:rsidR="009C13A9" w:rsidRPr="00C903F8" w:rsidRDefault="009C13A9" w:rsidP="009C13A9">
      <w:pPr>
        <w:overflowPunct w:val="0"/>
        <w:adjustRightInd w:val="0"/>
        <w:ind w:left="0" w:firstLine="0"/>
        <w:jc w:val="left"/>
        <w:textAlignment w:val="baseline"/>
        <w:rPr>
          <w:rFonts w:cs="Arial"/>
          <w:szCs w:val="20"/>
        </w:rPr>
      </w:pPr>
      <w:r w:rsidRPr="00C903F8">
        <w:rPr>
          <w:rFonts w:cs="Arial"/>
          <w:szCs w:val="20"/>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31"/>
        <w:gridCol w:w="2551"/>
        <w:gridCol w:w="3328"/>
      </w:tblGrid>
      <w:tr w:rsidR="009C13A9" w:rsidRPr="00C903F8" w:rsidTr="009C13A9">
        <w:tc>
          <w:tcPr>
            <w:tcW w:w="3331" w:type="dxa"/>
            <w:vAlign w:val="center"/>
          </w:tcPr>
          <w:p w:rsidR="009C13A9" w:rsidRPr="00C903F8" w:rsidRDefault="009C13A9" w:rsidP="009C13A9">
            <w:pPr>
              <w:tabs>
                <w:tab w:val="left" w:pos="454"/>
                <w:tab w:val="left" w:pos="907"/>
                <w:tab w:val="left" w:pos="1361"/>
                <w:tab w:val="left" w:pos="1814"/>
              </w:tabs>
              <w:overflowPunct w:val="0"/>
              <w:adjustRightInd w:val="0"/>
              <w:spacing w:before="240" w:line="240" w:lineRule="exact"/>
              <w:textAlignment w:val="baseline"/>
              <w:rPr>
                <w:rFonts w:cs="Arial"/>
                <w:noProof/>
                <w:szCs w:val="20"/>
                <w:lang w:eastAsia="fr-BE"/>
              </w:rPr>
            </w:pPr>
            <w:r w:rsidRPr="00C903F8">
              <w:rPr>
                <w:rFonts w:cs="Arial"/>
                <w:noProof/>
                <w:szCs w:val="20"/>
                <w:lang w:eastAsia="fr-BE"/>
              </w:rPr>
              <w:lastRenderedPageBreak/>
              <w:t>Figure 5</w:t>
            </w:r>
          </w:p>
          <w:p w:rsidR="009C13A9" w:rsidRPr="00C903F8" w:rsidRDefault="009C13A9" w:rsidP="009C13A9">
            <w:pPr>
              <w:overflowPunct w:val="0"/>
              <w:adjustRightInd w:val="0"/>
              <w:ind w:left="0" w:firstLine="0"/>
              <w:jc w:val="left"/>
              <w:textAlignment w:val="baseline"/>
              <w:rPr>
                <w:rFonts w:cs="Arial"/>
                <w:szCs w:val="20"/>
              </w:rPr>
            </w:pPr>
            <w:r w:rsidRPr="00C903F8">
              <w:rPr>
                <w:rFonts w:cs="Arial"/>
                <w:noProof/>
                <w:szCs w:val="20"/>
                <w:lang w:eastAsia="fr-BE"/>
              </w:rPr>
              <w:t>Extinguisher hose</w:t>
            </w:r>
          </w:p>
        </w:tc>
        <w:tc>
          <w:tcPr>
            <w:tcW w:w="2551" w:type="dxa"/>
          </w:tcPr>
          <w:p w:rsidR="009C13A9" w:rsidRPr="00C903F8" w:rsidRDefault="009C13A9" w:rsidP="009C13A9">
            <w:pPr>
              <w:overflowPunct w:val="0"/>
              <w:adjustRightInd w:val="0"/>
              <w:ind w:left="0" w:firstLine="0"/>
              <w:jc w:val="left"/>
              <w:textAlignment w:val="baseline"/>
              <w:rPr>
                <w:rFonts w:cs="Arial"/>
                <w:sz w:val="18"/>
                <w:szCs w:val="20"/>
              </w:rPr>
            </w:pPr>
          </w:p>
          <w:p w:rsidR="009C13A9" w:rsidRPr="00C903F8" w:rsidRDefault="002C0BA5" w:rsidP="009C13A9">
            <w:pPr>
              <w:overflowPunct w:val="0"/>
              <w:adjustRightInd w:val="0"/>
              <w:ind w:left="0" w:firstLine="0"/>
              <w:jc w:val="center"/>
              <w:textAlignment w:val="baseline"/>
              <w:rPr>
                <w:rFonts w:cs="Arial"/>
                <w:sz w:val="18"/>
                <w:szCs w:val="20"/>
              </w:rPr>
            </w:pPr>
            <w:r>
              <w:rPr>
                <w:rFonts w:cs="Arial"/>
                <w:noProof/>
                <w:szCs w:val="20"/>
              </w:rPr>
              <w:drawing>
                <wp:inline distT="0" distB="0" distL="0" distR="0" wp14:anchorId="7DBE2CA6" wp14:editId="03C3D4DE">
                  <wp:extent cx="1282700" cy="12827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p w:rsidR="009C13A9" w:rsidRPr="00C903F8" w:rsidRDefault="009C13A9" w:rsidP="009C13A9">
            <w:pPr>
              <w:overflowPunct w:val="0"/>
              <w:adjustRightInd w:val="0"/>
              <w:ind w:left="0" w:firstLine="0"/>
              <w:jc w:val="left"/>
              <w:textAlignment w:val="baseline"/>
              <w:rPr>
                <w:rFonts w:cs="Arial"/>
                <w:sz w:val="18"/>
                <w:szCs w:val="20"/>
              </w:rPr>
            </w:pPr>
          </w:p>
        </w:tc>
        <w:tc>
          <w:tcPr>
            <w:tcW w:w="3328" w:type="dxa"/>
            <w:vAlign w:val="center"/>
          </w:tcPr>
          <w:p w:rsidR="009C13A9" w:rsidRPr="00C903F8" w:rsidRDefault="009C13A9" w:rsidP="009C13A9">
            <w:pPr>
              <w:overflowPunct w:val="0"/>
              <w:adjustRightInd w:val="0"/>
              <w:ind w:left="0" w:firstLine="0"/>
              <w:jc w:val="left"/>
              <w:textAlignment w:val="baseline"/>
              <w:rPr>
                <w:rFonts w:cs="Arial"/>
                <w:szCs w:val="20"/>
              </w:rPr>
            </w:pPr>
            <w:r w:rsidRPr="00C903F8">
              <w:rPr>
                <w:rFonts w:cs="Arial"/>
                <w:noProof/>
                <w:szCs w:val="20"/>
                <w:lang w:eastAsia="fr-BE"/>
              </w:rPr>
              <w:t>Colour: red / white</w:t>
            </w:r>
          </w:p>
        </w:tc>
      </w:tr>
      <w:tr w:rsidR="009C13A9" w:rsidRPr="00C903F8" w:rsidTr="009C13A9">
        <w:tc>
          <w:tcPr>
            <w:tcW w:w="3331" w:type="dxa"/>
            <w:vAlign w:val="center"/>
          </w:tcPr>
          <w:p w:rsidR="009C13A9" w:rsidRPr="00C903F8" w:rsidRDefault="009C13A9" w:rsidP="009C13A9">
            <w:pPr>
              <w:tabs>
                <w:tab w:val="left" w:pos="454"/>
                <w:tab w:val="left" w:pos="907"/>
                <w:tab w:val="left" w:pos="1361"/>
                <w:tab w:val="left" w:pos="1814"/>
              </w:tabs>
              <w:overflowPunct w:val="0"/>
              <w:adjustRightInd w:val="0"/>
              <w:spacing w:before="240" w:line="240" w:lineRule="exact"/>
              <w:textAlignment w:val="baseline"/>
              <w:rPr>
                <w:rFonts w:cs="Arial"/>
                <w:noProof/>
                <w:szCs w:val="20"/>
                <w:lang w:eastAsia="fr-BE"/>
              </w:rPr>
            </w:pPr>
            <w:r w:rsidRPr="00C903F8">
              <w:rPr>
                <w:rFonts w:cs="Arial"/>
                <w:noProof/>
                <w:szCs w:val="20"/>
                <w:lang w:eastAsia="fr-BE"/>
              </w:rPr>
              <w:t>Figure 6</w:t>
            </w:r>
          </w:p>
          <w:p w:rsidR="009C13A9" w:rsidRPr="00C903F8" w:rsidRDefault="009C13A9" w:rsidP="009C13A9">
            <w:pPr>
              <w:overflowPunct w:val="0"/>
              <w:adjustRightInd w:val="0"/>
              <w:ind w:left="0" w:firstLine="0"/>
              <w:jc w:val="left"/>
              <w:textAlignment w:val="baseline"/>
              <w:rPr>
                <w:rFonts w:cs="Arial"/>
                <w:szCs w:val="20"/>
              </w:rPr>
            </w:pPr>
            <w:r w:rsidRPr="00C903F8">
              <w:rPr>
                <w:rFonts w:cs="Arial"/>
                <w:noProof/>
                <w:szCs w:val="20"/>
                <w:lang w:eastAsia="fr-BE"/>
              </w:rPr>
              <w:t>Fire-fighting installation</w:t>
            </w:r>
          </w:p>
        </w:tc>
        <w:tc>
          <w:tcPr>
            <w:tcW w:w="2551" w:type="dxa"/>
          </w:tcPr>
          <w:p w:rsidR="009C13A9" w:rsidRPr="00C903F8" w:rsidRDefault="009C13A9" w:rsidP="009C13A9">
            <w:pPr>
              <w:overflowPunct w:val="0"/>
              <w:adjustRightInd w:val="0"/>
              <w:ind w:left="0" w:firstLine="0"/>
              <w:jc w:val="left"/>
              <w:textAlignment w:val="baseline"/>
              <w:rPr>
                <w:rFonts w:cs="Arial"/>
                <w:sz w:val="18"/>
                <w:szCs w:val="20"/>
              </w:rPr>
            </w:pPr>
          </w:p>
          <w:p w:rsidR="009C13A9" w:rsidRPr="00C903F8" w:rsidRDefault="002C0BA5" w:rsidP="009C13A9">
            <w:pPr>
              <w:overflowPunct w:val="0"/>
              <w:adjustRightInd w:val="0"/>
              <w:ind w:left="0" w:firstLine="0"/>
              <w:jc w:val="center"/>
              <w:textAlignment w:val="baseline"/>
              <w:rPr>
                <w:rFonts w:cs="Arial"/>
                <w:sz w:val="18"/>
                <w:szCs w:val="20"/>
              </w:rPr>
            </w:pPr>
            <w:r>
              <w:rPr>
                <w:rFonts w:cs="Arial"/>
                <w:noProof/>
                <w:szCs w:val="20"/>
              </w:rPr>
              <w:drawing>
                <wp:inline distT="0" distB="0" distL="0" distR="0" wp14:anchorId="0ACA062B" wp14:editId="035B57F9">
                  <wp:extent cx="1282700" cy="1282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p w:rsidR="009C13A9" w:rsidRPr="00C903F8" w:rsidRDefault="009C13A9" w:rsidP="009C13A9">
            <w:pPr>
              <w:overflowPunct w:val="0"/>
              <w:adjustRightInd w:val="0"/>
              <w:ind w:left="0" w:firstLine="0"/>
              <w:jc w:val="left"/>
              <w:textAlignment w:val="baseline"/>
              <w:rPr>
                <w:rFonts w:cs="Arial"/>
                <w:sz w:val="18"/>
                <w:szCs w:val="20"/>
              </w:rPr>
            </w:pPr>
          </w:p>
        </w:tc>
        <w:tc>
          <w:tcPr>
            <w:tcW w:w="3328" w:type="dxa"/>
            <w:vAlign w:val="center"/>
          </w:tcPr>
          <w:p w:rsidR="009C13A9" w:rsidRPr="00C903F8" w:rsidRDefault="009C13A9" w:rsidP="009C13A9">
            <w:pPr>
              <w:overflowPunct w:val="0"/>
              <w:adjustRightInd w:val="0"/>
              <w:ind w:left="0" w:firstLine="0"/>
              <w:jc w:val="left"/>
              <w:textAlignment w:val="baseline"/>
              <w:rPr>
                <w:rFonts w:cs="Arial"/>
                <w:szCs w:val="20"/>
              </w:rPr>
            </w:pPr>
            <w:r w:rsidRPr="00C903F8">
              <w:rPr>
                <w:rFonts w:cs="Arial"/>
                <w:noProof/>
                <w:szCs w:val="20"/>
                <w:lang w:eastAsia="fr-BE"/>
              </w:rPr>
              <w:t>Colour: red / white</w:t>
            </w:r>
          </w:p>
        </w:tc>
      </w:tr>
      <w:tr w:rsidR="009C13A9" w:rsidRPr="00C903F8" w:rsidTr="009C13A9">
        <w:tc>
          <w:tcPr>
            <w:tcW w:w="3331" w:type="dxa"/>
            <w:vAlign w:val="center"/>
          </w:tcPr>
          <w:p w:rsidR="009C13A9" w:rsidRPr="00C903F8" w:rsidRDefault="009C13A9" w:rsidP="009C13A9">
            <w:pPr>
              <w:tabs>
                <w:tab w:val="left" w:pos="454"/>
                <w:tab w:val="left" w:pos="907"/>
                <w:tab w:val="left" w:pos="1361"/>
                <w:tab w:val="left" w:pos="1814"/>
              </w:tabs>
              <w:overflowPunct w:val="0"/>
              <w:adjustRightInd w:val="0"/>
              <w:spacing w:before="240" w:line="240" w:lineRule="exact"/>
              <w:textAlignment w:val="baseline"/>
              <w:rPr>
                <w:rFonts w:cs="Arial"/>
                <w:noProof/>
                <w:szCs w:val="20"/>
                <w:lang w:val="en-US" w:eastAsia="fr-BE"/>
              </w:rPr>
            </w:pPr>
            <w:r w:rsidRPr="00C903F8">
              <w:rPr>
                <w:rFonts w:cs="Arial"/>
                <w:noProof/>
                <w:szCs w:val="20"/>
                <w:lang w:val="en-US" w:eastAsia="fr-BE"/>
              </w:rPr>
              <w:t>Figure 7</w:t>
            </w:r>
          </w:p>
          <w:p w:rsidR="009C13A9" w:rsidRPr="00C903F8" w:rsidRDefault="009C13A9" w:rsidP="009C13A9">
            <w:pPr>
              <w:overflowPunct w:val="0"/>
              <w:adjustRightInd w:val="0"/>
              <w:ind w:left="0" w:firstLine="0"/>
              <w:jc w:val="left"/>
              <w:textAlignment w:val="baseline"/>
              <w:rPr>
                <w:rFonts w:cs="Arial"/>
                <w:szCs w:val="20"/>
                <w:lang w:val="en-US"/>
              </w:rPr>
            </w:pPr>
            <w:r w:rsidRPr="00C903F8">
              <w:rPr>
                <w:rFonts w:cs="Arial"/>
                <w:noProof/>
                <w:szCs w:val="20"/>
                <w:lang w:val="en-US" w:eastAsia="fr-BE"/>
              </w:rPr>
              <w:t>Wear acoustic protection device</w:t>
            </w:r>
          </w:p>
        </w:tc>
        <w:tc>
          <w:tcPr>
            <w:tcW w:w="2551" w:type="dxa"/>
          </w:tcPr>
          <w:p w:rsidR="009C13A9" w:rsidRPr="00C903F8" w:rsidRDefault="009C13A9" w:rsidP="009C13A9">
            <w:pPr>
              <w:overflowPunct w:val="0"/>
              <w:adjustRightInd w:val="0"/>
              <w:ind w:left="0" w:firstLine="0"/>
              <w:jc w:val="left"/>
              <w:textAlignment w:val="baseline"/>
              <w:rPr>
                <w:rFonts w:cs="Arial"/>
                <w:sz w:val="18"/>
                <w:szCs w:val="20"/>
                <w:lang w:val="en-US"/>
              </w:rPr>
            </w:pPr>
          </w:p>
          <w:p w:rsidR="009C13A9" w:rsidRPr="00C903F8" w:rsidRDefault="002C0BA5" w:rsidP="009C13A9">
            <w:pPr>
              <w:overflowPunct w:val="0"/>
              <w:adjustRightInd w:val="0"/>
              <w:ind w:left="0" w:firstLine="0"/>
              <w:jc w:val="center"/>
              <w:textAlignment w:val="baseline"/>
              <w:rPr>
                <w:rFonts w:cs="Arial"/>
                <w:sz w:val="18"/>
                <w:szCs w:val="20"/>
              </w:rPr>
            </w:pPr>
            <w:r>
              <w:rPr>
                <w:rFonts w:cs="Arial"/>
                <w:noProof/>
                <w:szCs w:val="20"/>
              </w:rPr>
              <w:drawing>
                <wp:inline distT="0" distB="0" distL="0" distR="0" wp14:anchorId="624A8F59" wp14:editId="616A2365">
                  <wp:extent cx="1282700" cy="12827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p w:rsidR="009C13A9" w:rsidRPr="00C903F8" w:rsidRDefault="009C13A9" w:rsidP="009C13A9">
            <w:pPr>
              <w:overflowPunct w:val="0"/>
              <w:adjustRightInd w:val="0"/>
              <w:ind w:left="0" w:firstLine="0"/>
              <w:jc w:val="left"/>
              <w:textAlignment w:val="baseline"/>
              <w:rPr>
                <w:rFonts w:cs="Arial"/>
                <w:sz w:val="18"/>
                <w:szCs w:val="20"/>
              </w:rPr>
            </w:pPr>
          </w:p>
        </w:tc>
        <w:tc>
          <w:tcPr>
            <w:tcW w:w="3328" w:type="dxa"/>
            <w:vAlign w:val="center"/>
          </w:tcPr>
          <w:p w:rsidR="009C13A9" w:rsidRPr="00C903F8" w:rsidRDefault="009C13A9" w:rsidP="009C13A9">
            <w:pPr>
              <w:overflowPunct w:val="0"/>
              <w:adjustRightInd w:val="0"/>
              <w:ind w:left="0" w:firstLine="0"/>
              <w:jc w:val="left"/>
              <w:textAlignment w:val="baseline"/>
              <w:rPr>
                <w:rFonts w:cs="Arial"/>
                <w:szCs w:val="20"/>
              </w:rPr>
            </w:pPr>
            <w:r w:rsidRPr="00C903F8">
              <w:rPr>
                <w:rFonts w:cs="Arial"/>
                <w:noProof/>
                <w:szCs w:val="20"/>
                <w:lang w:eastAsia="fr-BE"/>
              </w:rPr>
              <w:t>Colour: blue / white</w:t>
            </w:r>
          </w:p>
        </w:tc>
      </w:tr>
      <w:tr w:rsidR="009C13A9" w:rsidRPr="00C903F8" w:rsidTr="009C13A9">
        <w:tc>
          <w:tcPr>
            <w:tcW w:w="3331" w:type="dxa"/>
            <w:tcBorders>
              <w:bottom w:val="single" w:sz="6" w:space="0" w:color="auto"/>
            </w:tcBorders>
            <w:vAlign w:val="center"/>
          </w:tcPr>
          <w:p w:rsidR="009C13A9" w:rsidRPr="00C903F8" w:rsidRDefault="009C13A9" w:rsidP="009C13A9">
            <w:pPr>
              <w:tabs>
                <w:tab w:val="left" w:pos="454"/>
                <w:tab w:val="left" w:pos="907"/>
                <w:tab w:val="left" w:pos="1361"/>
                <w:tab w:val="left" w:pos="1814"/>
              </w:tabs>
              <w:overflowPunct w:val="0"/>
              <w:adjustRightInd w:val="0"/>
              <w:spacing w:before="240" w:line="240" w:lineRule="exact"/>
              <w:textAlignment w:val="baseline"/>
              <w:rPr>
                <w:rFonts w:cs="Arial"/>
                <w:noProof/>
                <w:szCs w:val="20"/>
                <w:lang w:val="de-CH" w:eastAsia="fr-BE"/>
              </w:rPr>
            </w:pPr>
            <w:r w:rsidRPr="00C903F8">
              <w:rPr>
                <w:rFonts w:cs="Arial"/>
                <w:noProof/>
                <w:szCs w:val="20"/>
                <w:lang w:val="de-CH" w:eastAsia="fr-BE"/>
              </w:rPr>
              <w:t>Figure 8</w:t>
            </w:r>
          </w:p>
          <w:p w:rsidR="009C13A9" w:rsidRPr="00C903F8" w:rsidRDefault="009C13A9" w:rsidP="009C13A9">
            <w:pPr>
              <w:overflowPunct w:val="0"/>
              <w:adjustRightInd w:val="0"/>
              <w:ind w:left="0" w:firstLine="0"/>
              <w:jc w:val="left"/>
              <w:textAlignment w:val="baseline"/>
              <w:rPr>
                <w:rFonts w:cs="Arial"/>
                <w:szCs w:val="20"/>
              </w:rPr>
            </w:pPr>
            <w:r w:rsidRPr="00C903F8">
              <w:rPr>
                <w:rFonts w:cs="Arial"/>
                <w:noProof/>
                <w:szCs w:val="20"/>
                <w:lang w:val="de-CH" w:eastAsia="fr-BE"/>
              </w:rPr>
              <w:t>First-aid kit</w:t>
            </w:r>
          </w:p>
        </w:tc>
        <w:tc>
          <w:tcPr>
            <w:tcW w:w="2551" w:type="dxa"/>
            <w:tcBorders>
              <w:bottom w:val="single" w:sz="6" w:space="0" w:color="auto"/>
            </w:tcBorders>
          </w:tcPr>
          <w:p w:rsidR="009C13A9" w:rsidRPr="00C903F8" w:rsidRDefault="00014931" w:rsidP="009C13A9">
            <w:pPr>
              <w:overflowPunct w:val="0"/>
              <w:adjustRightInd w:val="0"/>
              <w:spacing w:line="240" w:lineRule="atLeast"/>
              <w:ind w:left="0" w:firstLine="0"/>
              <w:jc w:val="left"/>
              <w:textAlignment w:val="baseline"/>
              <w:rPr>
                <w:rFonts w:cs="Arial"/>
                <w:sz w:val="18"/>
                <w:szCs w:val="20"/>
              </w:rPr>
            </w:pPr>
            <w:r w:rsidRPr="00C903F8">
              <w:rPr>
                <w:rFonts w:cs="Arial"/>
                <w:noProof/>
                <w:sz w:val="18"/>
                <w:szCs w:val="20"/>
              </w:rPr>
              <w:drawing>
                <wp:inline distT="0" distB="0" distL="0" distR="0" wp14:anchorId="3FDCC045" wp14:editId="12C8E419">
                  <wp:extent cx="1438275" cy="1438275"/>
                  <wp:effectExtent l="0" t="0" r="9525" b="9525"/>
                  <wp:docPr id="70" name="Image 70" descr="Verbandska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erbandskast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c>
          <w:tcPr>
            <w:tcW w:w="3328" w:type="dxa"/>
            <w:tcBorders>
              <w:bottom w:val="single" w:sz="6" w:space="0" w:color="auto"/>
            </w:tcBorders>
            <w:vAlign w:val="center"/>
          </w:tcPr>
          <w:p w:rsidR="009C13A9" w:rsidRPr="00C903F8" w:rsidRDefault="009C13A9" w:rsidP="009C13A9">
            <w:pPr>
              <w:overflowPunct w:val="0"/>
              <w:adjustRightInd w:val="0"/>
              <w:ind w:left="0" w:firstLine="0"/>
              <w:jc w:val="left"/>
              <w:textAlignment w:val="baseline"/>
              <w:rPr>
                <w:rFonts w:cs="Arial"/>
                <w:szCs w:val="20"/>
              </w:rPr>
            </w:pPr>
            <w:r w:rsidRPr="00C903F8">
              <w:rPr>
                <w:rFonts w:cs="Arial"/>
                <w:noProof/>
                <w:szCs w:val="20"/>
                <w:lang w:eastAsia="fr-BE"/>
              </w:rPr>
              <w:t>Colour: green / white</w:t>
            </w:r>
          </w:p>
        </w:tc>
      </w:tr>
      <w:tr w:rsidR="009C13A9" w:rsidRPr="00C903F8" w:rsidTr="009C13A9">
        <w:tc>
          <w:tcPr>
            <w:tcW w:w="3331" w:type="dxa"/>
            <w:tcBorders>
              <w:bottom w:val="single" w:sz="4" w:space="0" w:color="auto"/>
            </w:tcBorders>
            <w:vAlign w:val="center"/>
          </w:tcPr>
          <w:p w:rsidR="009C13A9" w:rsidRPr="00C903F8" w:rsidRDefault="009C13A9" w:rsidP="009C13A9">
            <w:pPr>
              <w:jc w:val="left"/>
              <w:rPr>
                <w:rFonts w:cs="Arial"/>
                <w:noProof/>
                <w:szCs w:val="20"/>
                <w:lang w:val="en-US"/>
              </w:rPr>
            </w:pPr>
            <w:r w:rsidRPr="00C903F8">
              <w:rPr>
                <w:rFonts w:cs="Arial"/>
                <w:noProof/>
                <w:szCs w:val="20"/>
                <w:lang w:val="en-US"/>
              </w:rPr>
              <w:t>Figure 9</w:t>
            </w:r>
          </w:p>
          <w:p w:rsidR="009C13A9" w:rsidRPr="00C903F8" w:rsidRDefault="009C13A9" w:rsidP="009C13A9">
            <w:pPr>
              <w:overflowPunct w:val="0"/>
              <w:adjustRightInd w:val="0"/>
              <w:ind w:left="0" w:firstLine="0"/>
              <w:jc w:val="left"/>
              <w:textAlignment w:val="baseline"/>
              <w:rPr>
                <w:rFonts w:cs="Arial"/>
                <w:szCs w:val="20"/>
                <w:lang w:val="en-US"/>
              </w:rPr>
            </w:pPr>
            <w:r w:rsidRPr="00C903F8">
              <w:rPr>
                <w:rFonts w:cs="Arial"/>
                <w:noProof/>
                <w:szCs w:val="20"/>
                <w:lang w:val="en-US"/>
              </w:rPr>
              <w:t>Quick-closing valve on the tank </w:t>
            </w:r>
          </w:p>
        </w:tc>
        <w:tc>
          <w:tcPr>
            <w:tcW w:w="2551" w:type="dxa"/>
            <w:tcBorders>
              <w:bottom w:val="single" w:sz="4" w:space="0" w:color="auto"/>
            </w:tcBorders>
          </w:tcPr>
          <w:p w:rsidR="009C13A9" w:rsidRPr="00C903F8" w:rsidRDefault="00014931" w:rsidP="009C13A9">
            <w:pPr>
              <w:overflowPunct w:val="0"/>
              <w:adjustRightInd w:val="0"/>
              <w:spacing w:line="240" w:lineRule="atLeast"/>
              <w:ind w:left="0" w:firstLine="0"/>
              <w:jc w:val="left"/>
              <w:textAlignment w:val="baseline"/>
              <w:rPr>
                <w:rFonts w:cs="Arial"/>
                <w:sz w:val="18"/>
                <w:szCs w:val="20"/>
                <w:lang w:val="en-US"/>
              </w:rPr>
            </w:pPr>
            <w:r w:rsidRPr="00C903F8">
              <w:rPr>
                <w:rFonts w:cs="Arial"/>
                <w:noProof/>
                <w:sz w:val="18"/>
                <w:szCs w:val="20"/>
              </w:rPr>
              <w:drawing>
                <wp:anchor distT="0" distB="0" distL="0" distR="0" simplePos="0" relativeHeight="251648000" behindDoc="0" locked="0" layoutInCell="1" allowOverlap="1" wp14:anchorId="3FE33C11" wp14:editId="0B843FBB">
                  <wp:simplePos x="0" y="0"/>
                  <wp:positionH relativeFrom="column">
                    <wp:posOffset>34290</wp:posOffset>
                  </wp:positionH>
                  <wp:positionV relativeFrom="paragraph">
                    <wp:posOffset>-1162050</wp:posOffset>
                  </wp:positionV>
                  <wp:extent cx="1463040" cy="1167765"/>
                  <wp:effectExtent l="0" t="0" r="3810" b="0"/>
                  <wp:wrapTopAndBottom/>
                  <wp:docPr id="28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3040" cy="1167765"/>
                          </a:xfrm>
                          <a:prstGeom prst="rect">
                            <a:avLst/>
                          </a:prstGeom>
                          <a:solidFill>
                            <a:srgbClr val="FFFFFF"/>
                          </a:solidFill>
                          <a:ln>
                            <a:noFill/>
                          </a:ln>
                        </pic:spPr>
                      </pic:pic>
                    </a:graphicData>
                  </a:graphic>
                </wp:anchor>
              </w:drawing>
            </w:r>
          </w:p>
        </w:tc>
        <w:tc>
          <w:tcPr>
            <w:tcW w:w="3328" w:type="dxa"/>
            <w:tcBorders>
              <w:bottom w:val="single" w:sz="4" w:space="0" w:color="auto"/>
            </w:tcBorders>
            <w:vAlign w:val="center"/>
          </w:tcPr>
          <w:p w:rsidR="009C13A9" w:rsidRPr="00C903F8" w:rsidRDefault="009C13A9" w:rsidP="009C13A9">
            <w:pPr>
              <w:overflowPunct w:val="0"/>
              <w:adjustRightInd w:val="0"/>
              <w:ind w:left="0" w:firstLine="0"/>
              <w:jc w:val="left"/>
              <w:textAlignment w:val="baseline"/>
              <w:rPr>
                <w:rFonts w:cs="Arial"/>
                <w:szCs w:val="20"/>
                <w:lang w:val="en-US"/>
              </w:rPr>
            </w:pPr>
            <w:r w:rsidRPr="00C903F8">
              <w:rPr>
                <w:rFonts w:cs="Arial"/>
                <w:noProof/>
                <w:szCs w:val="20"/>
              </w:rPr>
              <w:t>Colour: brown / white</w:t>
            </w:r>
          </w:p>
        </w:tc>
      </w:tr>
    </w:tbl>
    <w:p w:rsidR="009C13A9" w:rsidRPr="00C903F8" w:rsidRDefault="009C13A9" w:rsidP="009C13A9">
      <w:pPr>
        <w:overflowPunct w:val="0"/>
        <w:adjustRightInd w:val="0"/>
        <w:ind w:left="0" w:firstLine="0"/>
        <w:jc w:val="left"/>
        <w:textAlignment w:val="baseline"/>
        <w:rPr>
          <w:rFonts w:cs="Arial"/>
          <w:szCs w:val="20"/>
          <w:lang w:val="en-US"/>
        </w:rPr>
      </w:pPr>
    </w:p>
    <w:p w:rsidR="009C13A9" w:rsidRPr="00C903F8" w:rsidRDefault="009C13A9" w:rsidP="009C13A9">
      <w:pPr>
        <w:overflowPunct w:val="0"/>
        <w:adjustRightInd w:val="0"/>
        <w:ind w:left="0" w:firstLine="0"/>
        <w:jc w:val="left"/>
        <w:textAlignment w:val="baseline"/>
        <w:rPr>
          <w:rFonts w:cs="Arial"/>
          <w:szCs w:val="20"/>
          <w:lang w:val="en-US"/>
        </w:rPr>
      </w:pPr>
      <w:r w:rsidRPr="00C903F8">
        <w:rPr>
          <w:rFonts w:cs="Arial"/>
          <w:szCs w:val="20"/>
          <w:lang w:val="en-US"/>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31"/>
        <w:gridCol w:w="2551"/>
        <w:gridCol w:w="3328"/>
      </w:tblGrid>
      <w:tr w:rsidR="009C13A9" w:rsidRPr="00C903F8" w:rsidTr="009C13A9">
        <w:trPr>
          <w:trHeight w:val="2552"/>
        </w:trPr>
        <w:tc>
          <w:tcPr>
            <w:tcW w:w="3331" w:type="dxa"/>
            <w:tcBorders>
              <w:top w:val="single" w:sz="6" w:space="0" w:color="auto"/>
              <w:left w:val="single" w:sz="6" w:space="0" w:color="auto"/>
              <w:bottom w:val="single" w:sz="6" w:space="0" w:color="auto"/>
              <w:right w:val="single" w:sz="6" w:space="0" w:color="auto"/>
            </w:tcBorders>
            <w:vAlign w:val="center"/>
          </w:tcPr>
          <w:p w:rsidR="009C13A9" w:rsidRPr="00C903F8" w:rsidRDefault="009C13A9" w:rsidP="009C13A9">
            <w:pPr>
              <w:jc w:val="left"/>
              <w:rPr>
                <w:rFonts w:cs="Arial"/>
                <w:noProof/>
                <w:szCs w:val="20"/>
                <w:lang w:val="en-US"/>
              </w:rPr>
            </w:pPr>
            <w:r w:rsidRPr="00C903F8">
              <w:rPr>
                <w:rFonts w:cs="Arial"/>
                <w:noProof/>
                <w:szCs w:val="20"/>
                <w:lang w:val="en-US"/>
              </w:rPr>
              <w:lastRenderedPageBreak/>
              <w:t>Figure 10</w:t>
            </w:r>
          </w:p>
          <w:p w:rsidR="009C13A9" w:rsidRPr="00C903F8" w:rsidRDefault="009C13A9" w:rsidP="009C13A9">
            <w:pPr>
              <w:overflowPunct w:val="0"/>
              <w:adjustRightInd w:val="0"/>
              <w:ind w:left="0" w:firstLine="0"/>
              <w:jc w:val="left"/>
              <w:textAlignment w:val="baseline"/>
              <w:rPr>
                <w:rFonts w:cs="Arial"/>
                <w:szCs w:val="20"/>
                <w:lang w:val="en-US"/>
              </w:rPr>
            </w:pPr>
            <w:r w:rsidRPr="00C903F8">
              <w:rPr>
                <w:rFonts w:cs="Arial"/>
                <w:noProof/>
                <w:szCs w:val="20"/>
                <w:lang w:val="en-US"/>
              </w:rPr>
              <w:t>Wear life jacket</w:t>
            </w:r>
          </w:p>
        </w:tc>
        <w:tc>
          <w:tcPr>
            <w:tcW w:w="2551" w:type="dxa"/>
            <w:tcBorders>
              <w:top w:val="single" w:sz="6" w:space="0" w:color="auto"/>
              <w:left w:val="single" w:sz="6" w:space="0" w:color="auto"/>
              <w:bottom w:val="single" w:sz="6" w:space="0" w:color="auto"/>
              <w:right w:val="single" w:sz="6" w:space="0" w:color="auto"/>
            </w:tcBorders>
          </w:tcPr>
          <w:p w:rsidR="009C13A9" w:rsidRPr="00C903F8" w:rsidRDefault="00014931" w:rsidP="009C13A9">
            <w:pPr>
              <w:overflowPunct w:val="0"/>
              <w:adjustRightInd w:val="0"/>
              <w:spacing w:line="240" w:lineRule="atLeast"/>
              <w:ind w:left="0" w:firstLine="0"/>
              <w:jc w:val="left"/>
              <w:textAlignment w:val="baseline"/>
              <w:rPr>
                <w:rFonts w:cs="Arial"/>
                <w:noProof/>
                <w:sz w:val="18"/>
                <w:szCs w:val="20"/>
                <w:lang w:val="en-US" w:eastAsia="ko-KR"/>
              </w:rPr>
            </w:pPr>
            <w:r w:rsidRPr="00C903F8">
              <w:rPr>
                <w:rFonts w:cs="Arial"/>
                <w:noProof/>
                <w:sz w:val="18"/>
                <w:szCs w:val="20"/>
              </w:rPr>
              <w:drawing>
                <wp:anchor distT="0" distB="0" distL="114300" distR="114300" simplePos="0" relativeHeight="251649024" behindDoc="0" locked="0" layoutInCell="1" allowOverlap="1" wp14:anchorId="6B8D9D75" wp14:editId="32DE7802">
                  <wp:simplePos x="0" y="0"/>
                  <wp:positionH relativeFrom="column">
                    <wp:posOffset>-3810</wp:posOffset>
                  </wp:positionH>
                  <wp:positionV relativeFrom="paragraph">
                    <wp:posOffset>51435</wp:posOffset>
                  </wp:positionV>
                  <wp:extent cx="1530985" cy="1530985"/>
                  <wp:effectExtent l="0" t="0" r="0" b="0"/>
                  <wp:wrapNone/>
                  <wp:docPr id="28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30985" cy="1530985"/>
                          </a:xfrm>
                          <a:prstGeom prst="rect">
                            <a:avLst/>
                          </a:prstGeom>
                          <a:noFill/>
                          <a:ln>
                            <a:noFill/>
                          </a:ln>
                        </pic:spPr>
                      </pic:pic>
                    </a:graphicData>
                  </a:graphic>
                </wp:anchor>
              </w:drawing>
            </w:r>
          </w:p>
        </w:tc>
        <w:tc>
          <w:tcPr>
            <w:tcW w:w="3328" w:type="dxa"/>
            <w:tcBorders>
              <w:top w:val="single" w:sz="6" w:space="0" w:color="auto"/>
              <w:left w:val="single" w:sz="6" w:space="0" w:color="auto"/>
              <w:bottom w:val="single" w:sz="6" w:space="0" w:color="auto"/>
              <w:right w:val="single" w:sz="6" w:space="0" w:color="auto"/>
            </w:tcBorders>
            <w:vAlign w:val="center"/>
          </w:tcPr>
          <w:p w:rsidR="009C13A9" w:rsidRPr="00C903F8" w:rsidRDefault="009C13A9" w:rsidP="005C7DB3">
            <w:pPr>
              <w:jc w:val="left"/>
              <w:rPr>
                <w:rFonts w:cs="Arial"/>
                <w:szCs w:val="20"/>
                <w:lang w:val="en-US"/>
              </w:rPr>
            </w:pPr>
            <w:r w:rsidRPr="00C903F8">
              <w:rPr>
                <w:rFonts w:cs="Arial"/>
                <w:noProof/>
                <w:szCs w:val="20"/>
              </w:rPr>
              <w:t>Colour</w:t>
            </w:r>
            <w:r w:rsidR="005C7DB3" w:rsidRPr="00C903F8">
              <w:rPr>
                <w:rFonts w:cs="Arial"/>
                <w:noProof/>
                <w:szCs w:val="20"/>
              </w:rPr>
              <w:t>: b</w:t>
            </w:r>
            <w:r w:rsidRPr="00C903F8">
              <w:rPr>
                <w:rFonts w:cs="Arial"/>
                <w:noProof/>
                <w:szCs w:val="20"/>
              </w:rPr>
              <w:t>lue / white</w:t>
            </w:r>
          </w:p>
        </w:tc>
      </w:tr>
      <w:tr w:rsidR="005C7DB3" w:rsidRPr="00C903F8" w:rsidTr="009C13A9">
        <w:trPr>
          <w:trHeight w:val="2552"/>
        </w:trPr>
        <w:tc>
          <w:tcPr>
            <w:tcW w:w="3331" w:type="dxa"/>
            <w:tcBorders>
              <w:top w:val="single" w:sz="6" w:space="0" w:color="auto"/>
              <w:left w:val="single" w:sz="6" w:space="0" w:color="auto"/>
              <w:bottom w:val="single" w:sz="6" w:space="0" w:color="auto"/>
              <w:right w:val="single" w:sz="6" w:space="0" w:color="auto"/>
            </w:tcBorders>
            <w:vAlign w:val="center"/>
          </w:tcPr>
          <w:p w:rsidR="005C7DB3" w:rsidRPr="00C903F8" w:rsidRDefault="005C7DB3" w:rsidP="00A94102">
            <w:pPr>
              <w:tabs>
                <w:tab w:val="left" w:pos="454"/>
                <w:tab w:val="left" w:pos="907"/>
                <w:tab w:val="left" w:pos="1361"/>
                <w:tab w:val="left" w:pos="1814"/>
              </w:tabs>
              <w:overflowPunct w:val="0"/>
              <w:adjustRightInd w:val="0"/>
              <w:spacing w:before="240" w:line="240" w:lineRule="exact"/>
              <w:textAlignment w:val="baseline"/>
              <w:rPr>
                <w:noProof/>
                <w:szCs w:val="20"/>
                <w:lang w:eastAsia="fr-BE"/>
              </w:rPr>
            </w:pPr>
            <w:r w:rsidRPr="00C903F8">
              <w:rPr>
                <w:noProof/>
                <w:szCs w:val="20"/>
                <w:lang w:eastAsia="fr-BE"/>
              </w:rPr>
              <w:t>Figure 11</w:t>
            </w:r>
          </w:p>
          <w:p w:rsidR="005C7DB3" w:rsidRPr="00C903F8" w:rsidRDefault="005C7DB3" w:rsidP="00A94102">
            <w:pPr>
              <w:overflowPunct w:val="0"/>
              <w:adjustRightInd w:val="0"/>
              <w:textAlignment w:val="baseline"/>
              <w:rPr>
                <w:szCs w:val="20"/>
              </w:rPr>
            </w:pPr>
            <w:r w:rsidRPr="00C903F8">
              <w:rPr>
                <w:noProof/>
                <w:szCs w:val="20"/>
                <w:lang w:eastAsia="fr-BE"/>
              </w:rPr>
              <w:t>LNG warning</w:t>
            </w:r>
          </w:p>
        </w:tc>
        <w:tc>
          <w:tcPr>
            <w:tcW w:w="2551" w:type="dxa"/>
            <w:tcBorders>
              <w:top w:val="single" w:sz="6" w:space="0" w:color="auto"/>
              <w:left w:val="single" w:sz="6" w:space="0" w:color="auto"/>
              <w:bottom w:val="single" w:sz="6" w:space="0" w:color="auto"/>
              <w:right w:val="single" w:sz="6" w:space="0" w:color="auto"/>
            </w:tcBorders>
          </w:tcPr>
          <w:p w:rsidR="005C7DB3" w:rsidRPr="00C903F8" w:rsidRDefault="005C7DB3" w:rsidP="00A94102">
            <w:pPr>
              <w:overflowPunct w:val="0"/>
              <w:adjustRightInd w:val="0"/>
              <w:jc w:val="center"/>
              <w:textAlignment w:val="baseline"/>
              <w:rPr>
                <w:szCs w:val="20"/>
              </w:rPr>
            </w:pPr>
            <w:r w:rsidRPr="00C903F8">
              <w:rPr>
                <w:noProof/>
                <w:szCs w:val="20"/>
              </w:rPr>
              <w:drawing>
                <wp:inline distT="0" distB="0" distL="0" distR="0" wp14:anchorId="1BAEAAC9" wp14:editId="16DAB47E">
                  <wp:extent cx="1585240" cy="1457325"/>
                  <wp:effectExtent l="0" t="0" r="0" b="0"/>
                  <wp:docPr id="4" name="Image 4" descr="panneau L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neau L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93290" cy="1464725"/>
                          </a:xfrm>
                          <a:prstGeom prst="rect">
                            <a:avLst/>
                          </a:prstGeom>
                          <a:noFill/>
                          <a:ln>
                            <a:noFill/>
                          </a:ln>
                        </pic:spPr>
                      </pic:pic>
                    </a:graphicData>
                  </a:graphic>
                </wp:inline>
              </w:drawing>
            </w:r>
          </w:p>
        </w:tc>
        <w:tc>
          <w:tcPr>
            <w:tcW w:w="3328" w:type="dxa"/>
            <w:tcBorders>
              <w:top w:val="single" w:sz="6" w:space="0" w:color="auto"/>
              <w:left w:val="single" w:sz="6" w:space="0" w:color="auto"/>
              <w:bottom w:val="single" w:sz="6" w:space="0" w:color="auto"/>
              <w:right w:val="single" w:sz="6" w:space="0" w:color="auto"/>
            </w:tcBorders>
            <w:vAlign w:val="center"/>
          </w:tcPr>
          <w:p w:rsidR="005C7DB3" w:rsidRPr="00C903F8" w:rsidRDefault="005C7DB3" w:rsidP="00A94102">
            <w:pPr>
              <w:overflowPunct w:val="0"/>
              <w:adjustRightInd w:val="0"/>
              <w:textAlignment w:val="baseline"/>
              <w:rPr>
                <w:szCs w:val="20"/>
              </w:rPr>
            </w:pPr>
            <w:r w:rsidRPr="00C903F8">
              <w:rPr>
                <w:noProof/>
                <w:szCs w:val="20"/>
                <w:lang w:eastAsia="fr-BE"/>
              </w:rPr>
              <w:t>Colour: black / yellow</w:t>
            </w:r>
          </w:p>
        </w:tc>
      </w:tr>
    </w:tbl>
    <w:p w:rsidR="009C13A9" w:rsidRPr="00C903F8" w:rsidRDefault="009C13A9" w:rsidP="009C13A9">
      <w:pPr>
        <w:tabs>
          <w:tab w:val="left" w:pos="6237"/>
        </w:tabs>
        <w:overflowPunct w:val="0"/>
        <w:adjustRightInd w:val="0"/>
        <w:ind w:left="0" w:firstLine="0"/>
        <w:jc w:val="left"/>
        <w:textAlignment w:val="baseline"/>
        <w:rPr>
          <w:rFonts w:cs="Arial"/>
          <w:sz w:val="18"/>
          <w:szCs w:val="20"/>
          <w:lang w:val="en-US"/>
        </w:rPr>
      </w:pPr>
    </w:p>
    <w:p w:rsidR="009C13A9" w:rsidRPr="00C903F8" w:rsidRDefault="009C13A9" w:rsidP="009C13A9">
      <w:pPr>
        <w:tabs>
          <w:tab w:val="left" w:pos="284"/>
          <w:tab w:val="left" w:leader="dot" w:pos="3402"/>
          <w:tab w:val="left" w:pos="4536"/>
          <w:tab w:val="left" w:leader="dot" w:pos="8505"/>
        </w:tabs>
        <w:overflowPunct w:val="0"/>
        <w:adjustRightInd w:val="0"/>
        <w:ind w:left="0" w:firstLine="0"/>
        <w:textAlignment w:val="baseline"/>
        <w:rPr>
          <w:rFonts w:cs="Arial"/>
          <w:szCs w:val="20"/>
          <w:lang w:val="en-US"/>
        </w:rPr>
      </w:pPr>
      <w:r w:rsidRPr="00C903F8">
        <w:rPr>
          <w:rFonts w:cs="Arial"/>
          <w:szCs w:val="20"/>
          <w:lang w:val="en-US"/>
        </w:rPr>
        <w:t>The symbols actually used may slightly differ from or be more detailed than the graphical representations in this Annex, provided the meaning is not changed and differences and modifications do not render the meaning incomprehensible.</w:t>
      </w:r>
    </w:p>
    <w:p w:rsidR="009C13A9" w:rsidRPr="00C903F8" w:rsidRDefault="009C13A9" w:rsidP="009C13A9">
      <w:pPr>
        <w:tabs>
          <w:tab w:val="left" w:pos="284"/>
          <w:tab w:val="left" w:leader="dot" w:pos="3402"/>
          <w:tab w:val="left" w:pos="4536"/>
          <w:tab w:val="left" w:leader="dot" w:pos="8505"/>
        </w:tabs>
        <w:overflowPunct w:val="0"/>
        <w:adjustRightInd w:val="0"/>
        <w:ind w:left="0" w:firstLine="0"/>
        <w:jc w:val="left"/>
        <w:textAlignment w:val="baseline"/>
        <w:rPr>
          <w:rFonts w:cs="Arial"/>
          <w:szCs w:val="20"/>
          <w:lang w:val="en-US"/>
        </w:rPr>
      </w:pPr>
    </w:p>
    <w:p w:rsidR="009C13A9" w:rsidRPr="00C903F8" w:rsidRDefault="009C13A9" w:rsidP="009C13A9">
      <w:pPr>
        <w:tabs>
          <w:tab w:val="left" w:pos="284"/>
          <w:tab w:val="left" w:leader="dot" w:pos="3402"/>
          <w:tab w:val="left" w:pos="4536"/>
          <w:tab w:val="left" w:leader="dot" w:pos="8505"/>
        </w:tabs>
        <w:overflowPunct w:val="0"/>
        <w:adjustRightInd w:val="0"/>
        <w:ind w:left="0" w:firstLine="0"/>
        <w:jc w:val="left"/>
        <w:textAlignment w:val="baseline"/>
        <w:rPr>
          <w:rFonts w:cs="Arial"/>
          <w:szCs w:val="20"/>
          <w:lang w:val="en-US"/>
        </w:rPr>
      </w:pPr>
      <w:r w:rsidRPr="00C903F8">
        <w:rPr>
          <w:rFonts w:cs="Arial"/>
          <w:szCs w:val="20"/>
          <w:lang w:val="en-US"/>
        </w:rPr>
        <w:br w:type="page"/>
      </w:r>
    </w:p>
    <w:p w:rsidR="009C13A9" w:rsidRPr="00C903F8" w:rsidRDefault="009C13A9" w:rsidP="009C13A9">
      <w:pPr>
        <w:tabs>
          <w:tab w:val="left" w:pos="284"/>
          <w:tab w:val="left" w:leader="dot" w:pos="3402"/>
          <w:tab w:val="left" w:pos="4536"/>
          <w:tab w:val="left" w:leader="dot" w:pos="8505"/>
        </w:tabs>
        <w:overflowPunct w:val="0"/>
        <w:adjustRightInd w:val="0"/>
        <w:ind w:left="0" w:firstLine="0"/>
        <w:jc w:val="left"/>
        <w:textAlignment w:val="baseline"/>
        <w:rPr>
          <w:rFonts w:cs="Arial"/>
          <w:szCs w:val="20"/>
          <w:lang w:val="en-US"/>
        </w:rPr>
      </w:pPr>
    </w:p>
    <w:p w:rsidR="009C13A9" w:rsidRPr="00C903F8" w:rsidRDefault="009C13A9" w:rsidP="009C13A9">
      <w:pPr>
        <w:tabs>
          <w:tab w:val="left" w:pos="284"/>
          <w:tab w:val="left" w:leader="dot" w:pos="3402"/>
          <w:tab w:val="left" w:pos="4536"/>
          <w:tab w:val="left" w:leader="dot" w:pos="8505"/>
        </w:tabs>
        <w:overflowPunct w:val="0"/>
        <w:adjustRightInd w:val="0"/>
        <w:ind w:left="0" w:firstLine="0"/>
        <w:jc w:val="left"/>
        <w:textAlignment w:val="baseline"/>
        <w:rPr>
          <w:rFonts w:cs="Arial"/>
          <w:szCs w:val="20"/>
          <w:lang w:val="en-US"/>
        </w:rPr>
      </w:pPr>
    </w:p>
    <w:p w:rsidR="009C13A9" w:rsidRPr="00C903F8" w:rsidRDefault="009C13A9" w:rsidP="009C13A9">
      <w:pPr>
        <w:tabs>
          <w:tab w:val="left" w:pos="284"/>
          <w:tab w:val="left" w:leader="dot" w:pos="3402"/>
          <w:tab w:val="left" w:pos="4536"/>
          <w:tab w:val="left" w:leader="dot" w:pos="8505"/>
        </w:tabs>
        <w:overflowPunct w:val="0"/>
        <w:adjustRightInd w:val="0"/>
        <w:ind w:left="0" w:firstLine="0"/>
        <w:jc w:val="left"/>
        <w:textAlignment w:val="baseline"/>
        <w:rPr>
          <w:rFonts w:cs="Arial"/>
          <w:szCs w:val="20"/>
          <w:lang w:val="en-US"/>
        </w:rPr>
      </w:pPr>
    </w:p>
    <w:p w:rsidR="009C13A9" w:rsidRPr="00C903F8" w:rsidRDefault="009C13A9" w:rsidP="009C13A9">
      <w:pPr>
        <w:overflowPunct w:val="0"/>
        <w:adjustRightInd w:val="0"/>
        <w:ind w:left="0" w:firstLine="0"/>
        <w:textAlignment w:val="baseline"/>
        <w:rPr>
          <w:rFonts w:ascii="Times New Roman" w:hAnsi="Times New Roman"/>
          <w:szCs w:val="20"/>
          <w:lang w:val="en-US"/>
        </w:rPr>
      </w:pPr>
      <w:r w:rsidRPr="00C903F8">
        <w:rPr>
          <w:rFonts w:cs="Arial"/>
          <w:szCs w:val="20"/>
          <w:lang w:val="en-US"/>
        </w:rPr>
        <w:br w:type="page"/>
      </w:r>
    </w:p>
    <w:p w:rsidR="009C13A9" w:rsidRPr="00C903F8" w:rsidRDefault="009C13A9" w:rsidP="00857FC2">
      <w:pPr>
        <w:pStyle w:val="ES-Titre2"/>
        <w:pageBreakBefore w:val="0"/>
      </w:pPr>
      <w:bookmarkStart w:id="331" w:name="_Toc491854309"/>
      <w:r w:rsidRPr="00C903F8">
        <w:lastRenderedPageBreak/>
        <w:t xml:space="preserve">Annex </w:t>
      </w:r>
      <w:r w:rsidR="00955727" w:rsidRPr="00C903F8">
        <w:t>5</w:t>
      </w:r>
      <w:r w:rsidRPr="00C903F8">
        <w:br/>
      </w:r>
      <w:r w:rsidR="00B430B9" w:rsidRPr="00C903F8">
        <w:t>Navigation and information equipment</w:t>
      </w:r>
      <w:bookmarkEnd w:id="331"/>
    </w:p>
    <w:p w:rsidR="009C13A9" w:rsidRPr="00C903F8" w:rsidRDefault="009C13A9" w:rsidP="009C13A9">
      <w:pPr>
        <w:overflowPunct w:val="0"/>
        <w:adjustRightInd w:val="0"/>
        <w:ind w:left="0" w:firstLine="0"/>
        <w:jc w:val="left"/>
        <w:textAlignment w:val="baseline"/>
        <w:rPr>
          <w:rFonts w:cs="Arial"/>
          <w:szCs w:val="20"/>
          <w:lang w:val="en-US"/>
        </w:rPr>
      </w:pPr>
    </w:p>
    <w:p w:rsidR="009C13A9" w:rsidRPr="00C903F8" w:rsidRDefault="009C13A9" w:rsidP="009C13A9">
      <w:pPr>
        <w:overflowPunct w:val="0"/>
        <w:adjustRightInd w:val="0"/>
        <w:spacing w:line="240" w:lineRule="atLeast"/>
        <w:ind w:left="0" w:firstLine="0"/>
        <w:jc w:val="center"/>
        <w:textAlignment w:val="baseline"/>
        <w:rPr>
          <w:rFonts w:cs="Arial"/>
          <w:bCs/>
          <w:szCs w:val="22"/>
          <w:lang w:val="en-US"/>
        </w:rPr>
      </w:pPr>
    </w:p>
    <w:p w:rsidR="009C13A9" w:rsidRPr="00C903F8" w:rsidRDefault="009C13A9" w:rsidP="009C13A9">
      <w:pPr>
        <w:overflowPunct w:val="0"/>
        <w:adjustRightInd w:val="0"/>
        <w:spacing w:line="240" w:lineRule="atLeast"/>
        <w:ind w:left="0" w:firstLine="0"/>
        <w:jc w:val="center"/>
        <w:textAlignment w:val="baseline"/>
        <w:rPr>
          <w:rFonts w:cs="Arial"/>
          <w:b/>
          <w:bCs/>
          <w:sz w:val="22"/>
          <w:szCs w:val="22"/>
          <w:lang w:val="en-US"/>
        </w:rPr>
      </w:pPr>
      <w:r w:rsidRPr="00C903F8">
        <w:rPr>
          <w:rFonts w:cs="Arial"/>
          <w:b/>
          <w:bCs/>
          <w:noProof/>
          <w:sz w:val="22"/>
          <w:szCs w:val="22"/>
          <w:lang w:val="en-US"/>
        </w:rPr>
        <w:t>Contents</w:t>
      </w:r>
    </w:p>
    <w:p w:rsidR="009C13A9" w:rsidRPr="00C903F8" w:rsidRDefault="009C13A9" w:rsidP="009C13A9">
      <w:pPr>
        <w:overflowPunct w:val="0"/>
        <w:adjustRightInd w:val="0"/>
        <w:spacing w:line="240" w:lineRule="atLeast"/>
        <w:ind w:left="0" w:firstLine="0"/>
        <w:jc w:val="center"/>
        <w:textAlignment w:val="baseline"/>
        <w:rPr>
          <w:rFonts w:cs="Arial"/>
          <w:sz w:val="22"/>
          <w:szCs w:val="22"/>
          <w:lang w:val="en-US"/>
        </w:rPr>
      </w:pPr>
    </w:p>
    <w:p w:rsidR="009C13A9" w:rsidRPr="00C903F8" w:rsidRDefault="009C13A9" w:rsidP="009C13A9">
      <w:pPr>
        <w:overflowPunct w:val="0"/>
        <w:adjustRightInd w:val="0"/>
        <w:spacing w:line="240" w:lineRule="atLeast"/>
        <w:ind w:left="1134" w:hanging="1134"/>
        <w:textAlignment w:val="baseline"/>
        <w:rPr>
          <w:rFonts w:cs="Arial"/>
          <w:b/>
          <w:bCs/>
          <w:noProof/>
          <w:szCs w:val="20"/>
          <w:lang w:val="en-US"/>
        </w:rPr>
      </w:pPr>
      <w:r w:rsidRPr="00C903F8">
        <w:rPr>
          <w:rFonts w:cs="Arial"/>
          <w:b/>
          <w:bCs/>
          <w:noProof/>
          <w:szCs w:val="20"/>
          <w:lang w:val="en-US"/>
        </w:rPr>
        <w:t>Definitions</w:t>
      </w:r>
    </w:p>
    <w:p w:rsidR="009C13A9" w:rsidRPr="00C903F8" w:rsidRDefault="009C13A9" w:rsidP="009C13A9">
      <w:pPr>
        <w:overflowPunct w:val="0"/>
        <w:adjustRightInd w:val="0"/>
        <w:spacing w:line="240" w:lineRule="atLeast"/>
        <w:ind w:left="1134" w:hanging="1134"/>
        <w:textAlignment w:val="baseline"/>
        <w:rPr>
          <w:rFonts w:cs="Arial"/>
          <w:b/>
          <w:bCs/>
          <w:noProof/>
          <w:szCs w:val="20"/>
          <w:lang w:val="en-US"/>
        </w:rPr>
      </w:pPr>
    </w:p>
    <w:p w:rsidR="009C13A9" w:rsidRDefault="00925755" w:rsidP="009C13A9">
      <w:pPr>
        <w:overflowPunct w:val="0"/>
        <w:adjustRightInd w:val="0"/>
        <w:spacing w:line="240" w:lineRule="atLeast"/>
        <w:ind w:left="1134" w:hanging="1134"/>
        <w:textAlignment w:val="baseline"/>
        <w:rPr>
          <w:rFonts w:cs="Arial"/>
          <w:noProof/>
          <w:szCs w:val="20"/>
          <w:lang w:val="en-US"/>
        </w:rPr>
      </w:pPr>
      <w:r w:rsidRPr="00C903F8">
        <w:rPr>
          <w:rFonts w:cs="Arial"/>
          <w:b/>
          <w:bCs/>
          <w:noProof/>
          <w:szCs w:val="20"/>
          <w:lang w:val="en-US"/>
        </w:rPr>
        <w:t>Section</w:t>
      </w:r>
      <w:r w:rsidR="009C13A9" w:rsidRPr="00C903F8">
        <w:rPr>
          <w:rFonts w:cs="Arial"/>
          <w:b/>
          <w:bCs/>
          <w:noProof/>
          <w:szCs w:val="20"/>
          <w:lang w:val="en-US"/>
        </w:rPr>
        <w:t xml:space="preserve"> I</w:t>
      </w:r>
      <w:r w:rsidR="009C13A9" w:rsidRPr="00C903F8">
        <w:rPr>
          <w:rFonts w:cs="Arial"/>
          <w:b/>
          <w:bCs/>
          <w:noProof/>
          <w:szCs w:val="20"/>
          <w:lang w:val="en-US"/>
        </w:rPr>
        <w:tab/>
      </w:r>
      <w:r w:rsidR="009C13A9" w:rsidRPr="00C903F8">
        <w:rPr>
          <w:rFonts w:cs="Arial"/>
          <w:noProof/>
          <w:szCs w:val="20"/>
          <w:lang w:val="en-US"/>
        </w:rPr>
        <w:t xml:space="preserve">Minimum requirements and test conditions for navigational radar </w:t>
      </w:r>
      <w:r w:rsidR="00D52D51" w:rsidRPr="00C903F8">
        <w:rPr>
          <w:rFonts w:cs="Arial"/>
          <w:noProof/>
          <w:szCs w:val="20"/>
          <w:lang w:val="en-US"/>
        </w:rPr>
        <w:t>installation</w:t>
      </w:r>
      <w:r w:rsidR="00FD55F0" w:rsidRPr="00C903F8">
        <w:rPr>
          <w:rFonts w:cs="Arial"/>
          <w:noProof/>
          <w:szCs w:val="20"/>
          <w:lang w:val="en-US"/>
        </w:rPr>
        <w:t>s</w:t>
      </w:r>
      <w:r w:rsidR="009C13A9" w:rsidRPr="00C903F8">
        <w:rPr>
          <w:rFonts w:cs="Arial"/>
          <w:noProof/>
          <w:szCs w:val="20"/>
          <w:lang w:val="en-US"/>
        </w:rPr>
        <w:t xml:space="preserve"> in inland navigation</w:t>
      </w:r>
    </w:p>
    <w:p w:rsidR="001077F3" w:rsidRPr="00C903F8" w:rsidRDefault="001077F3" w:rsidP="00C92875">
      <w:pPr>
        <w:overflowPunct w:val="0"/>
        <w:adjustRightInd w:val="0"/>
        <w:spacing w:line="240" w:lineRule="atLeast"/>
        <w:ind w:left="2410" w:hanging="1276"/>
        <w:textAlignment w:val="baseline"/>
        <w:rPr>
          <w:rFonts w:cs="Arial"/>
          <w:szCs w:val="20"/>
          <w:lang w:val="en-US"/>
        </w:rPr>
      </w:pPr>
      <w:r w:rsidRPr="00C92875">
        <w:rPr>
          <w:rFonts w:cs="Arial"/>
          <w:noProof/>
          <w:szCs w:val="20"/>
          <w:lang w:val="en-US"/>
        </w:rPr>
        <w:t>Appendix:</w:t>
      </w:r>
      <w:r w:rsidRPr="00C92875">
        <w:rPr>
          <w:rFonts w:cs="Arial"/>
          <w:noProof/>
          <w:szCs w:val="20"/>
          <w:lang w:val="en-US"/>
        </w:rPr>
        <w:tab/>
        <w:t>Inland ECDIS equipment, standalone equipment connected to the radar equipment</w:t>
      </w:r>
    </w:p>
    <w:p w:rsidR="009C13A9" w:rsidRPr="00C903F8" w:rsidRDefault="009C13A9" w:rsidP="009C13A9">
      <w:pPr>
        <w:overflowPunct w:val="0"/>
        <w:adjustRightInd w:val="0"/>
        <w:spacing w:line="240" w:lineRule="atLeast"/>
        <w:ind w:left="1134" w:hanging="1134"/>
        <w:textAlignment w:val="baseline"/>
        <w:rPr>
          <w:rFonts w:cs="Arial"/>
          <w:szCs w:val="20"/>
          <w:lang w:val="en-US"/>
        </w:rPr>
      </w:pPr>
    </w:p>
    <w:p w:rsidR="009C13A9" w:rsidRPr="00C903F8" w:rsidRDefault="00925755" w:rsidP="009C13A9">
      <w:pPr>
        <w:overflowPunct w:val="0"/>
        <w:adjustRightInd w:val="0"/>
        <w:spacing w:line="240" w:lineRule="atLeast"/>
        <w:ind w:left="1134" w:hanging="1134"/>
        <w:textAlignment w:val="baseline"/>
        <w:rPr>
          <w:rFonts w:cs="Arial"/>
          <w:szCs w:val="20"/>
          <w:lang w:val="en-US"/>
        </w:rPr>
      </w:pPr>
      <w:r w:rsidRPr="00C903F8">
        <w:rPr>
          <w:rFonts w:cs="Arial"/>
          <w:b/>
          <w:bCs/>
          <w:noProof/>
          <w:szCs w:val="20"/>
          <w:lang w:val="en-US"/>
        </w:rPr>
        <w:t>Section</w:t>
      </w:r>
      <w:r w:rsidR="009C13A9" w:rsidRPr="00C903F8">
        <w:rPr>
          <w:rFonts w:cs="Arial"/>
          <w:b/>
          <w:bCs/>
          <w:noProof/>
          <w:szCs w:val="20"/>
          <w:lang w:val="en-US"/>
        </w:rPr>
        <w:t xml:space="preserve"> II</w:t>
      </w:r>
      <w:r w:rsidR="009C13A9" w:rsidRPr="00C903F8">
        <w:rPr>
          <w:rFonts w:cs="Arial"/>
          <w:b/>
          <w:bCs/>
          <w:noProof/>
          <w:szCs w:val="20"/>
          <w:lang w:val="en-US"/>
        </w:rPr>
        <w:tab/>
      </w:r>
      <w:r w:rsidR="009C13A9" w:rsidRPr="00C903F8">
        <w:rPr>
          <w:rFonts w:cs="Arial"/>
          <w:noProof/>
          <w:szCs w:val="20"/>
          <w:lang w:val="en-US"/>
        </w:rPr>
        <w:t>Minimum requirements and test conditions for rate-of-turn indicators in inland navigation</w:t>
      </w:r>
    </w:p>
    <w:p w:rsidR="009C13A9" w:rsidRPr="00C903F8" w:rsidRDefault="009C13A9" w:rsidP="009C13A9">
      <w:pPr>
        <w:overflowPunct w:val="0"/>
        <w:adjustRightInd w:val="0"/>
        <w:spacing w:line="240" w:lineRule="atLeast"/>
        <w:ind w:left="2410" w:hanging="1276"/>
        <w:textAlignment w:val="baseline"/>
        <w:rPr>
          <w:rFonts w:cs="Arial"/>
          <w:szCs w:val="20"/>
          <w:lang w:val="en-US"/>
        </w:rPr>
      </w:pPr>
      <w:r w:rsidRPr="00C903F8">
        <w:rPr>
          <w:rFonts w:cs="Arial"/>
          <w:noProof/>
          <w:szCs w:val="20"/>
          <w:lang w:val="en-US"/>
        </w:rPr>
        <w:t>Chapter 1</w:t>
      </w:r>
      <w:r w:rsidRPr="00C903F8">
        <w:rPr>
          <w:rFonts w:cs="Arial"/>
          <w:szCs w:val="20"/>
          <w:lang w:val="en-US"/>
        </w:rPr>
        <w:tab/>
      </w:r>
      <w:r w:rsidRPr="00C903F8">
        <w:rPr>
          <w:rFonts w:cs="Arial"/>
          <w:noProof/>
          <w:szCs w:val="20"/>
          <w:lang w:val="en-US"/>
        </w:rPr>
        <w:t>General</w:t>
      </w:r>
    </w:p>
    <w:p w:rsidR="009C13A9" w:rsidRPr="00C903F8" w:rsidRDefault="009C13A9" w:rsidP="009C13A9">
      <w:pPr>
        <w:tabs>
          <w:tab w:val="left" w:pos="2410"/>
        </w:tabs>
        <w:overflowPunct w:val="0"/>
        <w:adjustRightInd w:val="0"/>
        <w:spacing w:before="60" w:line="240" w:lineRule="atLeast"/>
        <w:ind w:left="2410" w:hanging="1276"/>
        <w:textAlignment w:val="baseline"/>
        <w:rPr>
          <w:rFonts w:cs="Arial"/>
          <w:szCs w:val="20"/>
          <w:lang w:val="en-US"/>
        </w:rPr>
      </w:pPr>
      <w:r w:rsidRPr="00C903F8">
        <w:rPr>
          <w:rFonts w:cs="Arial"/>
          <w:noProof/>
          <w:szCs w:val="20"/>
          <w:lang w:val="en-US"/>
        </w:rPr>
        <w:t>Chapter 2</w:t>
      </w:r>
      <w:r w:rsidRPr="00C903F8">
        <w:rPr>
          <w:rFonts w:cs="Arial"/>
          <w:szCs w:val="20"/>
          <w:lang w:val="en-US"/>
        </w:rPr>
        <w:t xml:space="preserve"> </w:t>
      </w:r>
      <w:r w:rsidRPr="00C903F8">
        <w:rPr>
          <w:rFonts w:cs="Arial"/>
          <w:szCs w:val="20"/>
          <w:lang w:val="en-US"/>
        </w:rPr>
        <w:tab/>
      </w:r>
      <w:r w:rsidRPr="00C903F8">
        <w:rPr>
          <w:rFonts w:cs="Arial"/>
          <w:noProof/>
          <w:szCs w:val="20"/>
          <w:lang w:val="en-US"/>
        </w:rPr>
        <w:t>General minimum requirements for rate-of-turn indicators</w:t>
      </w:r>
    </w:p>
    <w:p w:rsidR="009C13A9" w:rsidRPr="00C903F8" w:rsidRDefault="009C13A9" w:rsidP="009C13A9">
      <w:pPr>
        <w:tabs>
          <w:tab w:val="left" w:pos="2410"/>
        </w:tabs>
        <w:overflowPunct w:val="0"/>
        <w:adjustRightInd w:val="0"/>
        <w:spacing w:before="60" w:line="240" w:lineRule="atLeast"/>
        <w:ind w:left="2410" w:hanging="1276"/>
        <w:textAlignment w:val="baseline"/>
        <w:rPr>
          <w:rFonts w:cs="Arial"/>
          <w:szCs w:val="20"/>
          <w:lang w:val="en-US"/>
        </w:rPr>
      </w:pPr>
      <w:r w:rsidRPr="00C903F8">
        <w:rPr>
          <w:rFonts w:cs="Arial"/>
          <w:noProof/>
          <w:szCs w:val="20"/>
          <w:lang w:val="en-US"/>
        </w:rPr>
        <w:t>Chapter 3</w:t>
      </w:r>
      <w:r w:rsidRPr="00C903F8">
        <w:rPr>
          <w:rFonts w:cs="Arial"/>
          <w:szCs w:val="20"/>
          <w:lang w:val="en-US"/>
        </w:rPr>
        <w:t xml:space="preserve"> </w:t>
      </w:r>
      <w:r w:rsidRPr="00C903F8">
        <w:rPr>
          <w:rFonts w:cs="Arial"/>
          <w:szCs w:val="20"/>
          <w:lang w:val="en-US"/>
        </w:rPr>
        <w:tab/>
      </w:r>
      <w:r w:rsidRPr="00C903F8">
        <w:rPr>
          <w:rFonts w:cs="Arial"/>
          <w:noProof/>
          <w:szCs w:val="20"/>
          <w:lang w:val="en-US"/>
        </w:rPr>
        <w:t>Minimum operational requirements for rate-of-turn indicators</w:t>
      </w:r>
    </w:p>
    <w:p w:rsidR="009C13A9" w:rsidRPr="00C903F8" w:rsidRDefault="009C13A9" w:rsidP="009C13A9">
      <w:pPr>
        <w:tabs>
          <w:tab w:val="left" w:pos="2410"/>
        </w:tabs>
        <w:overflowPunct w:val="0"/>
        <w:adjustRightInd w:val="0"/>
        <w:spacing w:before="60" w:line="240" w:lineRule="atLeast"/>
        <w:ind w:left="2410" w:hanging="1276"/>
        <w:textAlignment w:val="baseline"/>
        <w:rPr>
          <w:rFonts w:cs="Arial"/>
          <w:szCs w:val="20"/>
          <w:lang w:val="en-US"/>
        </w:rPr>
      </w:pPr>
      <w:r w:rsidRPr="00C903F8">
        <w:rPr>
          <w:rFonts w:cs="Arial"/>
          <w:noProof/>
          <w:szCs w:val="20"/>
          <w:lang w:val="en-US"/>
        </w:rPr>
        <w:t>Chapter 4</w:t>
      </w:r>
      <w:r w:rsidRPr="00C903F8">
        <w:rPr>
          <w:rFonts w:cs="Arial"/>
          <w:szCs w:val="20"/>
          <w:lang w:val="en-US"/>
        </w:rPr>
        <w:t xml:space="preserve"> </w:t>
      </w:r>
      <w:r w:rsidRPr="00C903F8">
        <w:rPr>
          <w:rFonts w:cs="Arial"/>
          <w:szCs w:val="20"/>
          <w:lang w:val="en-US"/>
        </w:rPr>
        <w:tab/>
      </w:r>
      <w:r w:rsidRPr="00C903F8">
        <w:rPr>
          <w:rFonts w:cs="Arial"/>
          <w:noProof/>
          <w:szCs w:val="20"/>
          <w:lang w:val="en-US"/>
        </w:rPr>
        <w:t>Minimum technical requirements for rate-of-turn indicators</w:t>
      </w:r>
    </w:p>
    <w:p w:rsidR="009C13A9" w:rsidRPr="00C903F8" w:rsidRDefault="009C13A9" w:rsidP="009C13A9">
      <w:pPr>
        <w:tabs>
          <w:tab w:val="left" w:pos="2410"/>
        </w:tabs>
        <w:overflowPunct w:val="0"/>
        <w:adjustRightInd w:val="0"/>
        <w:spacing w:before="60" w:line="240" w:lineRule="atLeast"/>
        <w:ind w:left="2410" w:hanging="1276"/>
        <w:textAlignment w:val="baseline"/>
        <w:rPr>
          <w:rFonts w:cs="Arial"/>
          <w:szCs w:val="20"/>
          <w:lang w:val="en-US"/>
        </w:rPr>
      </w:pPr>
      <w:r w:rsidRPr="00C903F8">
        <w:rPr>
          <w:rFonts w:cs="Arial"/>
          <w:noProof/>
          <w:szCs w:val="20"/>
          <w:lang w:val="en-US"/>
        </w:rPr>
        <w:t>Chapter 5</w:t>
      </w:r>
      <w:r w:rsidRPr="00C903F8">
        <w:rPr>
          <w:rFonts w:cs="Arial"/>
          <w:szCs w:val="20"/>
          <w:lang w:val="en-US"/>
        </w:rPr>
        <w:t xml:space="preserve"> </w:t>
      </w:r>
      <w:r w:rsidRPr="00C903F8">
        <w:rPr>
          <w:rFonts w:cs="Arial"/>
          <w:szCs w:val="20"/>
          <w:lang w:val="en-US"/>
        </w:rPr>
        <w:tab/>
      </w:r>
      <w:r w:rsidRPr="00C903F8">
        <w:rPr>
          <w:rFonts w:cs="Arial"/>
          <w:noProof/>
          <w:szCs w:val="20"/>
          <w:lang w:val="en-US"/>
        </w:rPr>
        <w:t>Test conditions and procedures for rate-of-turn indicators</w:t>
      </w:r>
    </w:p>
    <w:p w:rsidR="009C13A9" w:rsidRPr="00C903F8" w:rsidRDefault="009C13A9" w:rsidP="002052A6">
      <w:pPr>
        <w:tabs>
          <w:tab w:val="left" w:pos="1418"/>
          <w:tab w:val="left" w:pos="3544"/>
        </w:tabs>
        <w:overflowPunct w:val="0"/>
        <w:adjustRightInd w:val="0"/>
        <w:spacing w:before="60" w:line="240" w:lineRule="atLeast"/>
        <w:ind w:left="3544" w:hanging="1134"/>
        <w:textAlignment w:val="baseline"/>
        <w:rPr>
          <w:rFonts w:cs="Arial"/>
          <w:noProof/>
          <w:szCs w:val="20"/>
          <w:lang w:val="en-US"/>
        </w:rPr>
      </w:pPr>
      <w:r w:rsidRPr="00C903F8">
        <w:rPr>
          <w:rFonts w:cs="Arial"/>
          <w:noProof/>
          <w:szCs w:val="20"/>
          <w:lang w:val="en-US"/>
        </w:rPr>
        <w:t>Appendix:</w:t>
      </w:r>
      <w:r w:rsidRPr="00C903F8">
        <w:rPr>
          <w:rFonts w:cs="Arial"/>
          <w:noProof/>
          <w:szCs w:val="20"/>
          <w:lang w:val="en-US"/>
        </w:rPr>
        <w:tab/>
        <w:t>Maximum tolerances for indication errors of rate-of-turn indicators</w:t>
      </w:r>
    </w:p>
    <w:p w:rsidR="009C13A9" w:rsidRPr="00C903F8" w:rsidRDefault="009C13A9" w:rsidP="009C13A9">
      <w:pPr>
        <w:overflowPunct w:val="0"/>
        <w:adjustRightInd w:val="0"/>
        <w:spacing w:line="240" w:lineRule="atLeast"/>
        <w:ind w:left="1134" w:hanging="1134"/>
        <w:textAlignment w:val="baseline"/>
        <w:rPr>
          <w:rFonts w:cs="Arial"/>
          <w:szCs w:val="20"/>
          <w:lang w:val="en-US"/>
        </w:rPr>
      </w:pPr>
    </w:p>
    <w:p w:rsidR="009C13A9" w:rsidRPr="00C903F8" w:rsidRDefault="00925755" w:rsidP="009C13A9">
      <w:pPr>
        <w:overflowPunct w:val="0"/>
        <w:adjustRightInd w:val="0"/>
        <w:spacing w:line="240" w:lineRule="atLeast"/>
        <w:ind w:left="1134" w:hanging="1134"/>
        <w:textAlignment w:val="baseline"/>
        <w:rPr>
          <w:rFonts w:cs="Arial"/>
          <w:szCs w:val="20"/>
          <w:lang w:val="en-US"/>
        </w:rPr>
      </w:pPr>
      <w:r w:rsidRPr="00C903F8">
        <w:rPr>
          <w:rFonts w:cs="Arial"/>
          <w:b/>
          <w:bCs/>
          <w:noProof/>
          <w:szCs w:val="20"/>
          <w:lang w:val="en-US"/>
        </w:rPr>
        <w:t>Section</w:t>
      </w:r>
      <w:r w:rsidR="009C13A9" w:rsidRPr="00C903F8">
        <w:rPr>
          <w:rFonts w:cs="Arial"/>
          <w:b/>
          <w:bCs/>
          <w:noProof/>
          <w:szCs w:val="20"/>
          <w:lang w:val="en-US"/>
        </w:rPr>
        <w:t xml:space="preserve"> III</w:t>
      </w:r>
      <w:r w:rsidR="009C13A9" w:rsidRPr="00C903F8">
        <w:rPr>
          <w:rFonts w:cs="Arial"/>
          <w:b/>
          <w:bCs/>
          <w:noProof/>
          <w:szCs w:val="20"/>
          <w:lang w:val="en-US"/>
        </w:rPr>
        <w:tab/>
      </w:r>
      <w:r w:rsidR="009C13A9" w:rsidRPr="00C903F8">
        <w:rPr>
          <w:rFonts w:cs="Arial"/>
          <w:noProof/>
          <w:szCs w:val="20"/>
          <w:lang w:val="en-US"/>
        </w:rPr>
        <w:t>Requirements for installation and performance tests for</w:t>
      </w:r>
      <w:r w:rsidR="00D52D51" w:rsidRPr="00C903F8">
        <w:rPr>
          <w:rFonts w:cs="Arial"/>
          <w:noProof/>
          <w:szCs w:val="20"/>
          <w:lang w:val="en-US"/>
        </w:rPr>
        <w:t xml:space="preserve"> navigational</w:t>
      </w:r>
      <w:r w:rsidR="009C13A9" w:rsidRPr="00C903F8">
        <w:rPr>
          <w:rFonts w:cs="Arial"/>
          <w:noProof/>
          <w:szCs w:val="20"/>
          <w:lang w:val="en-US"/>
        </w:rPr>
        <w:t xml:space="preserve"> radar </w:t>
      </w:r>
      <w:r w:rsidR="00D52D51" w:rsidRPr="00C903F8">
        <w:rPr>
          <w:rFonts w:cs="Arial"/>
          <w:noProof/>
          <w:szCs w:val="20"/>
          <w:lang w:val="en-US"/>
        </w:rPr>
        <w:t>installation</w:t>
      </w:r>
      <w:r w:rsidR="00FD55F0" w:rsidRPr="00C903F8">
        <w:rPr>
          <w:rFonts w:cs="Arial"/>
          <w:noProof/>
          <w:szCs w:val="20"/>
          <w:lang w:val="en-US"/>
        </w:rPr>
        <w:t>s</w:t>
      </w:r>
      <w:r w:rsidR="009C13A9" w:rsidRPr="00C903F8">
        <w:rPr>
          <w:rFonts w:cs="Arial"/>
          <w:noProof/>
          <w:szCs w:val="20"/>
          <w:lang w:val="en-US"/>
        </w:rPr>
        <w:t xml:space="preserve"> and rate-of-turn indicators in inland navigation</w:t>
      </w:r>
    </w:p>
    <w:p w:rsidR="009C13A9" w:rsidRPr="00C903F8" w:rsidRDefault="009C13A9" w:rsidP="009C13A9">
      <w:pPr>
        <w:overflowPunct w:val="0"/>
        <w:adjustRightInd w:val="0"/>
        <w:spacing w:line="240" w:lineRule="atLeast"/>
        <w:ind w:left="1134" w:hanging="1134"/>
        <w:textAlignment w:val="baseline"/>
        <w:rPr>
          <w:rFonts w:cs="Arial"/>
          <w:szCs w:val="20"/>
          <w:lang w:val="en-US"/>
        </w:rPr>
      </w:pPr>
    </w:p>
    <w:p w:rsidR="009C13A9" w:rsidRPr="00C903F8" w:rsidRDefault="00925755" w:rsidP="009C13A9">
      <w:pPr>
        <w:overflowPunct w:val="0"/>
        <w:adjustRightInd w:val="0"/>
        <w:spacing w:line="240" w:lineRule="atLeast"/>
        <w:ind w:left="1134" w:hanging="1134"/>
        <w:textAlignment w:val="baseline"/>
        <w:rPr>
          <w:rFonts w:cs="Arial"/>
          <w:noProof/>
          <w:szCs w:val="20"/>
          <w:lang w:val="en-US"/>
        </w:rPr>
      </w:pPr>
      <w:r w:rsidRPr="00C903F8">
        <w:rPr>
          <w:rFonts w:cs="Arial"/>
          <w:b/>
          <w:bCs/>
          <w:noProof/>
          <w:szCs w:val="20"/>
          <w:lang w:val="en-US"/>
        </w:rPr>
        <w:t>Section</w:t>
      </w:r>
      <w:r w:rsidR="009C13A9" w:rsidRPr="00C903F8">
        <w:rPr>
          <w:rFonts w:cs="Arial"/>
          <w:b/>
          <w:bCs/>
          <w:noProof/>
          <w:szCs w:val="20"/>
          <w:lang w:val="en-US"/>
        </w:rPr>
        <w:t xml:space="preserve"> IV</w:t>
      </w:r>
      <w:r w:rsidR="009C13A9" w:rsidRPr="00C903F8">
        <w:rPr>
          <w:rFonts w:cs="Arial"/>
          <w:b/>
          <w:bCs/>
          <w:noProof/>
          <w:szCs w:val="20"/>
          <w:lang w:val="en-US"/>
        </w:rPr>
        <w:tab/>
      </w:r>
      <w:r w:rsidR="009C13A9" w:rsidRPr="00C903F8">
        <w:rPr>
          <w:rFonts w:cs="Arial"/>
          <w:noProof/>
          <w:szCs w:val="20"/>
          <w:lang w:val="en-US"/>
        </w:rPr>
        <w:t>Minimum requirements, requirements for installation and performance tests for Inland AIS equipment in inland navigation</w:t>
      </w:r>
    </w:p>
    <w:p w:rsidR="009C13A9" w:rsidRPr="00C903F8" w:rsidRDefault="009C13A9" w:rsidP="009C13A9">
      <w:pPr>
        <w:overflowPunct w:val="0"/>
        <w:adjustRightInd w:val="0"/>
        <w:spacing w:line="240" w:lineRule="atLeast"/>
        <w:ind w:left="1134" w:hanging="1134"/>
        <w:textAlignment w:val="baseline"/>
        <w:rPr>
          <w:rFonts w:cs="Arial"/>
          <w:noProof/>
          <w:szCs w:val="20"/>
          <w:lang w:val="en-US"/>
        </w:rPr>
      </w:pPr>
    </w:p>
    <w:p w:rsidR="009C13A9" w:rsidRPr="00C903F8" w:rsidRDefault="00925755" w:rsidP="00925755">
      <w:pPr>
        <w:tabs>
          <w:tab w:val="left" w:pos="284"/>
        </w:tabs>
        <w:overflowPunct w:val="0"/>
        <w:adjustRightInd w:val="0"/>
        <w:ind w:left="1134" w:hanging="1134"/>
        <w:textAlignment w:val="baseline"/>
        <w:rPr>
          <w:rFonts w:cs="Arial"/>
          <w:noProof/>
          <w:szCs w:val="20"/>
          <w:lang w:val="en-US"/>
        </w:rPr>
      </w:pPr>
      <w:r w:rsidRPr="00C903F8">
        <w:rPr>
          <w:rFonts w:cs="Arial"/>
          <w:b/>
          <w:noProof/>
          <w:color w:val="000000"/>
          <w:szCs w:val="20"/>
          <w:lang w:val="en-US"/>
        </w:rPr>
        <w:t>Section</w:t>
      </w:r>
      <w:r w:rsidR="009C13A9" w:rsidRPr="00C903F8">
        <w:rPr>
          <w:rFonts w:cs="Arial"/>
          <w:b/>
          <w:noProof/>
          <w:color w:val="000000"/>
          <w:szCs w:val="20"/>
          <w:lang w:val="en-US"/>
        </w:rPr>
        <w:t xml:space="preserve"> V</w:t>
      </w:r>
      <w:r w:rsidR="009C13A9" w:rsidRPr="00C903F8">
        <w:rPr>
          <w:rFonts w:cs="Arial"/>
          <w:b/>
          <w:noProof/>
          <w:color w:val="000000"/>
          <w:szCs w:val="20"/>
          <w:lang w:val="en-US"/>
        </w:rPr>
        <w:tab/>
      </w:r>
      <w:r w:rsidR="009C13A9" w:rsidRPr="00C903F8">
        <w:rPr>
          <w:rFonts w:cs="Arial"/>
          <w:noProof/>
          <w:szCs w:val="20"/>
          <w:lang w:val="en-US"/>
        </w:rPr>
        <w:t>Minimum requirements, requirements for installation and performance tests for tachographs in inland navigation</w:t>
      </w:r>
    </w:p>
    <w:p w:rsidR="009C13A9" w:rsidRPr="00C903F8" w:rsidRDefault="009C13A9" w:rsidP="009C13A9">
      <w:pPr>
        <w:tabs>
          <w:tab w:val="left" w:pos="284"/>
          <w:tab w:val="left" w:leader="dot" w:pos="9072"/>
        </w:tabs>
        <w:overflowPunct w:val="0"/>
        <w:adjustRightInd w:val="0"/>
        <w:ind w:left="1134" w:hanging="1134"/>
        <w:textAlignment w:val="baseline"/>
        <w:rPr>
          <w:rFonts w:cs="Arial"/>
          <w:szCs w:val="20"/>
          <w:lang w:val="en-US"/>
        </w:rPr>
      </w:pPr>
    </w:p>
    <w:p w:rsidR="009C13A9" w:rsidRPr="00C903F8" w:rsidRDefault="00925755" w:rsidP="009C13A9">
      <w:pPr>
        <w:overflowPunct w:val="0"/>
        <w:adjustRightInd w:val="0"/>
        <w:spacing w:line="240" w:lineRule="atLeast"/>
        <w:ind w:left="1134" w:hanging="1134"/>
        <w:textAlignment w:val="baseline"/>
        <w:rPr>
          <w:rFonts w:cs="Arial"/>
          <w:noProof/>
          <w:szCs w:val="20"/>
          <w:lang w:val="en-US"/>
        </w:rPr>
      </w:pPr>
      <w:r w:rsidRPr="00C903F8">
        <w:rPr>
          <w:rFonts w:cs="Arial"/>
          <w:b/>
          <w:bCs/>
          <w:noProof/>
          <w:szCs w:val="20"/>
          <w:lang w:val="en-US"/>
        </w:rPr>
        <w:t>Section</w:t>
      </w:r>
      <w:r w:rsidR="009C13A9" w:rsidRPr="00C903F8">
        <w:rPr>
          <w:rFonts w:cs="Arial"/>
          <w:b/>
          <w:bCs/>
          <w:noProof/>
          <w:szCs w:val="20"/>
          <w:lang w:val="en-US"/>
        </w:rPr>
        <w:t xml:space="preserve"> VI</w:t>
      </w:r>
      <w:r w:rsidR="009C13A9" w:rsidRPr="00C903F8">
        <w:rPr>
          <w:rFonts w:cs="Arial"/>
          <w:b/>
          <w:bCs/>
          <w:noProof/>
          <w:szCs w:val="20"/>
          <w:lang w:val="en-US"/>
        </w:rPr>
        <w:tab/>
      </w:r>
      <w:r w:rsidR="009C13A9" w:rsidRPr="00C903F8">
        <w:rPr>
          <w:rFonts w:cs="Arial"/>
          <w:noProof/>
          <w:szCs w:val="20"/>
          <w:lang w:val="en-US"/>
        </w:rPr>
        <w:t>Installation and performance certificate</w:t>
      </w:r>
      <w:r w:rsidR="00181116" w:rsidRPr="00C903F8">
        <w:rPr>
          <w:rFonts w:cs="Arial"/>
          <w:noProof/>
          <w:szCs w:val="20"/>
          <w:lang w:val="en-US"/>
        </w:rPr>
        <w:t xml:space="preserve"> for navigational radar installation</w:t>
      </w:r>
      <w:r w:rsidR="00FD55F0" w:rsidRPr="00C903F8">
        <w:rPr>
          <w:rFonts w:cs="Arial"/>
          <w:noProof/>
          <w:szCs w:val="20"/>
          <w:lang w:val="en-US"/>
        </w:rPr>
        <w:t>s</w:t>
      </w:r>
      <w:r w:rsidR="00181116" w:rsidRPr="00C903F8">
        <w:rPr>
          <w:rFonts w:cs="Arial"/>
          <w:noProof/>
          <w:szCs w:val="20"/>
          <w:lang w:val="en-US"/>
        </w:rPr>
        <w:t xml:space="preserve"> and rate­of­turn indicators, for Inland AIS equipment and for tachographs in inland navigation</w:t>
      </w:r>
    </w:p>
    <w:p w:rsidR="009C13A9" w:rsidRPr="00C903F8" w:rsidRDefault="009C13A9" w:rsidP="009C13A9">
      <w:pPr>
        <w:overflowPunct w:val="0"/>
        <w:adjustRightInd w:val="0"/>
        <w:spacing w:line="240" w:lineRule="atLeast"/>
        <w:ind w:left="1134" w:hanging="1134"/>
        <w:textAlignment w:val="baseline"/>
        <w:rPr>
          <w:rFonts w:cs="Arial"/>
          <w:szCs w:val="20"/>
          <w:lang w:val="en-US"/>
        </w:rPr>
      </w:pPr>
    </w:p>
    <w:p w:rsidR="009C13A9" w:rsidRDefault="009C13A9" w:rsidP="009C13A9">
      <w:pPr>
        <w:overflowPunct w:val="0"/>
        <w:adjustRightInd w:val="0"/>
        <w:spacing w:line="240" w:lineRule="atLeast"/>
        <w:ind w:left="1134" w:hanging="1134"/>
        <w:textAlignment w:val="baseline"/>
        <w:rPr>
          <w:rFonts w:cs="Arial"/>
          <w:szCs w:val="20"/>
          <w:lang w:val="en-US"/>
        </w:rPr>
      </w:pPr>
    </w:p>
    <w:p w:rsidR="00C92875" w:rsidRPr="00C903F8" w:rsidRDefault="00C92875" w:rsidP="009C13A9">
      <w:pPr>
        <w:overflowPunct w:val="0"/>
        <w:adjustRightInd w:val="0"/>
        <w:spacing w:line="240" w:lineRule="atLeast"/>
        <w:ind w:left="1134" w:hanging="1134"/>
        <w:textAlignment w:val="baseline"/>
        <w:rPr>
          <w:rFonts w:cs="Arial"/>
          <w:szCs w:val="20"/>
          <w:lang w:val="en-US"/>
        </w:rPr>
      </w:pPr>
    </w:p>
    <w:p w:rsidR="009C13A9" w:rsidRPr="00C903F8" w:rsidRDefault="009C13A9" w:rsidP="009C13A9">
      <w:pPr>
        <w:overflowPunct w:val="0"/>
        <w:adjustRightInd w:val="0"/>
        <w:spacing w:line="240" w:lineRule="exact"/>
        <w:ind w:left="0" w:firstLine="0"/>
        <w:jc w:val="center"/>
        <w:textAlignment w:val="baseline"/>
        <w:rPr>
          <w:rFonts w:eastAsia="Calibri"/>
          <w:b/>
          <w:noProof/>
          <w:sz w:val="22"/>
          <w:szCs w:val="22"/>
          <w:lang w:val="en-US" w:eastAsia="en-US"/>
        </w:rPr>
      </w:pPr>
      <w:r w:rsidRPr="00C903F8">
        <w:rPr>
          <w:rFonts w:eastAsia="Calibri"/>
          <w:b/>
          <w:noProof/>
          <w:sz w:val="22"/>
          <w:szCs w:val="22"/>
          <w:lang w:val="en-US" w:eastAsia="en-US"/>
        </w:rPr>
        <w:t>Definitions</w:t>
      </w:r>
    </w:p>
    <w:p w:rsidR="009C13A9" w:rsidRPr="00C903F8" w:rsidRDefault="009C13A9" w:rsidP="009C13A9">
      <w:pPr>
        <w:overflowPunct w:val="0"/>
        <w:adjustRightInd w:val="0"/>
        <w:spacing w:line="240" w:lineRule="atLeast"/>
        <w:ind w:left="1134" w:hanging="1134"/>
        <w:textAlignment w:val="baseline"/>
        <w:rPr>
          <w:rFonts w:cs="Arial"/>
          <w:szCs w:val="2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1.</w:t>
      </w:r>
      <w:r w:rsidRPr="00C903F8">
        <w:rPr>
          <w:rFonts w:cs="Arial"/>
          <w:color w:val="000000"/>
          <w:lang w:val="en-US"/>
        </w:rPr>
        <w:tab/>
        <w:t xml:space="preserve">'Type test' means the test procedure as referred to in </w:t>
      </w:r>
      <w:r w:rsidR="00925755" w:rsidRPr="00C903F8">
        <w:rPr>
          <w:rFonts w:cs="Arial"/>
          <w:color w:val="000000"/>
          <w:lang w:val="en-US"/>
        </w:rPr>
        <w:t>Section</w:t>
      </w:r>
      <w:r w:rsidRPr="00C903F8">
        <w:rPr>
          <w:rFonts w:cs="Arial"/>
          <w:color w:val="000000"/>
          <w:lang w:val="en-US"/>
        </w:rPr>
        <w:t xml:space="preserve"> I Article 4 or </w:t>
      </w:r>
      <w:r w:rsidR="00925755" w:rsidRPr="00C903F8">
        <w:rPr>
          <w:rFonts w:cs="Arial"/>
          <w:color w:val="000000"/>
          <w:lang w:val="en-US"/>
        </w:rPr>
        <w:t>Section</w:t>
      </w:r>
      <w:r w:rsidRPr="00C903F8">
        <w:rPr>
          <w:rFonts w:cs="Arial"/>
          <w:color w:val="000000"/>
          <w:lang w:val="en-US"/>
        </w:rPr>
        <w:t xml:space="preserve"> II Article 1.03 which the technical service uses to test for compliance with the requirements according to this Annex. The type test forms an int</w:t>
      </w:r>
      <w:r w:rsidR="00107B2C" w:rsidRPr="00C903F8">
        <w:rPr>
          <w:rFonts w:cs="Arial"/>
          <w:color w:val="000000"/>
          <w:lang w:val="en-US"/>
        </w:rPr>
        <w:t>egral part of the type approval.</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2.</w:t>
      </w:r>
      <w:r w:rsidRPr="00C903F8">
        <w:rPr>
          <w:rFonts w:cs="Arial"/>
          <w:color w:val="000000"/>
          <w:lang w:val="en-US"/>
        </w:rPr>
        <w:tab/>
        <w:t>'Type approval' means the administrative procedure according, by which a Member State confirms that equipment complies with</w:t>
      </w:r>
      <w:r w:rsidR="005E5D49" w:rsidRPr="00C903F8">
        <w:rPr>
          <w:rFonts w:cs="Arial"/>
          <w:color w:val="000000"/>
          <w:lang w:val="en-US"/>
        </w:rPr>
        <w:t xml:space="preserve"> the requirements of this Annex</w:t>
      </w:r>
      <w:r w:rsidR="00107B2C" w:rsidRPr="00C903F8">
        <w:rPr>
          <w:rFonts w:cs="Arial"/>
          <w:color w:val="000000"/>
          <w:lang w:val="en-US"/>
        </w:rPr>
        <w:t>.</w:t>
      </w:r>
    </w:p>
    <w:p w:rsidR="009C13A9" w:rsidRPr="00C903F8" w:rsidRDefault="009C13A9" w:rsidP="009C13A9">
      <w:pPr>
        <w:spacing w:line="240" w:lineRule="atLeast"/>
        <w:rPr>
          <w:rFonts w:cs="Arial"/>
          <w:strike/>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br w:type="page"/>
      </w: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lastRenderedPageBreak/>
        <w:t>3.</w:t>
      </w:r>
      <w:r w:rsidRPr="00C903F8">
        <w:rPr>
          <w:rFonts w:cs="Arial"/>
          <w:noProof/>
          <w:color w:val="000000"/>
          <w:lang w:val="en-US"/>
        </w:rPr>
        <w:tab/>
        <w:t>'Test certificate' means the document in which the typ</w:t>
      </w:r>
      <w:r w:rsidR="00107B2C" w:rsidRPr="00C903F8">
        <w:rPr>
          <w:rFonts w:cs="Arial"/>
          <w:noProof/>
          <w:color w:val="000000"/>
          <w:lang w:val="en-US"/>
        </w:rPr>
        <w:t>e testing results are laid down.</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4.</w:t>
      </w:r>
      <w:r w:rsidRPr="00C903F8">
        <w:rPr>
          <w:rFonts w:cs="Arial"/>
          <w:noProof/>
          <w:color w:val="000000"/>
          <w:lang w:val="en-US"/>
        </w:rPr>
        <w:tab/>
        <w:t>'Applicant' or 'manufacturer' means any legal or natural person under whose name, trademark or any other form of identification the equipment submitted for testing is manufactured or marketed and who is responsible for all matters as regards the type testing and type approval procedure in respect of the technical ser</w:t>
      </w:r>
      <w:r w:rsidR="00107B2C" w:rsidRPr="00C903F8">
        <w:rPr>
          <w:rFonts w:cs="Arial"/>
          <w:noProof/>
          <w:color w:val="000000"/>
          <w:lang w:val="en-US"/>
        </w:rPr>
        <w:t>vice and the approval authority.</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5.</w:t>
      </w:r>
      <w:r w:rsidRPr="00C903F8">
        <w:rPr>
          <w:rFonts w:cs="Arial"/>
          <w:noProof/>
          <w:color w:val="000000"/>
          <w:lang w:val="en-US"/>
        </w:rPr>
        <w:tab/>
        <w:t>'Technical service' means the institution, authority or organisation that does the type tes</w:t>
      </w:r>
      <w:r w:rsidR="00107B2C" w:rsidRPr="00C903F8">
        <w:rPr>
          <w:rFonts w:cs="Arial"/>
          <w:noProof/>
          <w:color w:val="000000"/>
          <w:lang w:val="en-US"/>
        </w:rPr>
        <w:t>ting.</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6.</w:t>
      </w:r>
      <w:r w:rsidRPr="00C903F8">
        <w:rPr>
          <w:rFonts w:cs="Arial"/>
          <w:noProof/>
          <w:color w:val="000000"/>
          <w:lang w:val="en-US"/>
        </w:rPr>
        <w:tab/>
        <w:t>'Manufacturer's declaration' means the declaration by which a manufacturer gives the assurance that the equipment meets the prevailing minimum requirements and that is identical in every respect to</w:t>
      </w:r>
      <w:r w:rsidR="00107B2C" w:rsidRPr="00C903F8">
        <w:rPr>
          <w:rFonts w:cs="Arial"/>
          <w:noProof/>
          <w:color w:val="000000"/>
          <w:lang w:val="en-US"/>
        </w:rPr>
        <w:t xml:space="preserve"> the type submitted for testing.</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2875">
        <w:rPr>
          <w:rFonts w:cs="Arial"/>
          <w:noProof/>
          <w:color w:val="000000"/>
          <w:lang w:val="en-US"/>
        </w:rPr>
        <w:t>7.</w:t>
      </w:r>
      <w:r w:rsidRPr="00C92875">
        <w:rPr>
          <w:rFonts w:cs="Arial"/>
          <w:noProof/>
          <w:color w:val="000000"/>
          <w:lang w:val="en-US"/>
        </w:rPr>
        <w:tab/>
      </w:r>
      <w:r w:rsidR="001077F3" w:rsidRPr="00C92875">
        <w:rPr>
          <w:rFonts w:cs="Arial"/>
          <w:noProof/>
          <w:color w:val="000000"/>
          <w:lang w:val="en-US"/>
        </w:rPr>
        <w:t xml:space="preserve">'Declaration of conformity according to Directive </w:t>
      </w:r>
      <w:r w:rsidR="001077F3" w:rsidRPr="00C92875">
        <w:rPr>
          <w:rFonts w:cs="Arial"/>
          <w:color w:val="000000"/>
          <w:lang w:val="en-US"/>
        </w:rPr>
        <w:t>2014/53/EU</w:t>
      </w:r>
      <w:r w:rsidR="001077F3" w:rsidRPr="00C92875">
        <w:rPr>
          <w:noProof/>
          <w:vertAlign w:val="superscript"/>
          <w:lang w:eastAsia="nl-NL"/>
        </w:rPr>
        <w:footnoteReference w:id="52"/>
      </w:r>
      <w:r w:rsidR="001077F3" w:rsidRPr="00C92875">
        <w:rPr>
          <w:rFonts w:cs="Arial"/>
          <w:noProof/>
          <w:color w:val="000000"/>
          <w:lang w:val="en-US"/>
        </w:rPr>
        <w:t xml:space="preserve">' means the declaration according to Directive </w:t>
      </w:r>
      <w:r w:rsidR="001077F3" w:rsidRPr="00C92875">
        <w:rPr>
          <w:rFonts w:cs="Arial"/>
          <w:color w:val="000000"/>
          <w:lang w:val="en-US"/>
        </w:rPr>
        <w:t>2014/53</w:t>
      </w:r>
      <w:r w:rsidR="001077F3" w:rsidRPr="00C92875">
        <w:rPr>
          <w:rFonts w:cs="Arial"/>
          <w:noProof/>
          <w:color w:val="000000"/>
          <w:lang w:val="en-US"/>
        </w:rPr>
        <w:t>/EU Annex II(4),</w:t>
      </w:r>
      <w:r w:rsidR="001077F3" w:rsidRPr="008C4D18">
        <w:rPr>
          <w:rFonts w:cs="Arial"/>
          <w:noProof/>
          <w:color w:val="000000"/>
          <w:lang w:val="en-US"/>
        </w:rPr>
        <w:t xml:space="preserve"> by which the manufacturer confirms that the products in question meet the applicable requirements of the Directive</w:t>
      </w:r>
      <w:r w:rsidR="001077F3">
        <w:rPr>
          <w:rFonts w:cs="Arial"/>
          <w:noProof/>
          <w:color w:val="000000"/>
          <w:lang w:val="en-US"/>
        </w:rPr>
        <w:t>.</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color w:val="000000"/>
          <w:szCs w:val="20"/>
          <w:lang w:val="en-US"/>
        </w:rPr>
      </w:pPr>
    </w:p>
    <w:p w:rsidR="009C13A9" w:rsidRPr="00C903F8" w:rsidRDefault="009C13A9" w:rsidP="009C13A9">
      <w:pPr>
        <w:overflowPunct w:val="0"/>
        <w:adjustRightInd w:val="0"/>
        <w:spacing w:line="240" w:lineRule="atLeast"/>
        <w:ind w:left="1134" w:hanging="1134"/>
        <w:textAlignment w:val="baseline"/>
        <w:rPr>
          <w:rFonts w:cs="Arial"/>
          <w:szCs w:val="20"/>
          <w:lang w:val="en-US"/>
        </w:rPr>
      </w:pPr>
    </w:p>
    <w:p w:rsidR="009C13A9" w:rsidRPr="00C903F8" w:rsidRDefault="009C13A9" w:rsidP="009C13A9">
      <w:pPr>
        <w:overflowPunct w:val="0"/>
        <w:adjustRightInd w:val="0"/>
        <w:spacing w:line="240" w:lineRule="atLeast"/>
        <w:ind w:left="1134" w:hanging="1134"/>
        <w:textAlignment w:val="baseline"/>
        <w:rPr>
          <w:rFonts w:cs="Arial"/>
          <w:szCs w:val="20"/>
          <w:lang w:val="en-US"/>
        </w:rPr>
      </w:pPr>
    </w:p>
    <w:p w:rsidR="009C13A9" w:rsidRPr="00C903F8" w:rsidRDefault="009C13A9" w:rsidP="009C13A9">
      <w:pPr>
        <w:overflowPunct w:val="0"/>
        <w:adjustRightInd w:val="0"/>
        <w:spacing w:line="240" w:lineRule="atLeast"/>
        <w:ind w:left="0" w:firstLine="0"/>
        <w:jc w:val="center"/>
        <w:textAlignment w:val="baseline"/>
        <w:rPr>
          <w:rFonts w:cs="Arial"/>
          <w:szCs w:val="20"/>
          <w:lang w:val="en-US"/>
        </w:rPr>
        <w:sectPr w:rsidR="009C13A9" w:rsidRPr="00C903F8" w:rsidSect="00FB55E9">
          <w:headerReference w:type="default" r:id="rId62"/>
          <w:footerReference w:type="default" r:id="rId63"/>
          <w:footnotePr>
            <w:numRestart w:val="eachPage"/>
          </w:footnotePr>
          <w:pgSz w:w="11907" w:h="16840" w:code="9"/>
          <w:pgMar w:top="1361" w:right="1418" w:bottom="1361" w:left="1418" w:header="680" w:footer="680" w:gutter="0"/>
          <w:cols w:space="720"/>
          <w:docGrid w:linePitch="326"/>
        </w:sectPr>
      </w:pPr>
    </w:p>
    <w:p w:rsidR="009C13A9" w:rsidRPr="00C903F8" w:rsidRDefault="009C13A9" w:rsidP="009C13A9">
      <w:pPr>
        <w:overflowPunct w:val="0"/>
        <w:adjustRightInd w:val="0"/>
        <w:spacing w:line="240" w:lineRule="atLeast"/>
        <w:ind w:left="0" w:firstLine="0"/>
        <w:jc w:val="center"/>
        <w:textAlignment w:val="baseline"/>
        <w:rPr>
          <w:rFonts w:cs="Arial"/>
          <w:szCs w:val="20"/>
          <w:lang w:val="en-US"/>
        </w:rPr>
      </w:pPr>
    </w:p>
    <w:p w:rsidR="009C13A9" w:rsidRPr="00C903F8" w:rsidRDefault="00925755" w:rsidP="00C50DA9">
      <w:pPr>
        <w:pStyle w:val="ES-Titre3"/>
        <w:rPr>
          <w:noProof/>
          <w:lang w:val="en-US"/>
        </w:rPr>
      </w:pPr>
      <w:bookmarkStart w:id="332" w:name="_Toc491854310"/>
      <w:r w:rsidRPr="00C903F8">
        <w:rPr>
          <w:noProof/>
          <w:lang w:val="en-US"/>
        </w:rPr>
        <w:t>Section</w:t>
      </w:r>
      <w:r w:rsidR="009C13A9" w:rsidRPr="00C903F8">
        <w:rPr>
          <w:noProof/>
          <w:lang w:val="en-US"/>
        </w:rPr>
        <w:t xml:space="preserve"> I</w:t>
      </w:r>
      <w:bookmarkEnd w:id="332"/>
    </w:p>
    <w:p w:rsidR="009C13A9" w:rsidRPr="00C903F8" w:rsidRDefault="009C13A9" w:rsidP="00C50DA9">
      <w:pPr>
        <w:pStyle w:val="ES-Titre3a"/>
        <w:rPr>
          <w:rFonts w:cs="Arial"/>
          <w:bCs/>
          <w:szCs w:val="20"/>
          <w:lang w:val="en-US"/>
        </w:rPr>
      </w:pPr>
      <w:bookmarkStart w:id="333" w:name="_Toc491854311"/>
      <w:r w:rsidRPr="00C903F8">
        <w:rPr>
          <w:noProof/>
          <w:lang w:val="en-US"/>
        </w:rPr>
        <w:t xml:space="preserve">Minimum requirements and test conditions for navigational radar </w:t>
      </w:r>
      <w:r w:rsidR="00D52D51" w:rsidRPr="00C903F8">
        <w:rPr>
          <w:noProof/>
          <w:lang w:val="en-US"/>
        </w:rPr>
        <w:t>installation</w:t>
      </w:r>
      <w:r w:rsidR="00FD55F0" w:rsidRPr="00C903F8">
        <w:rPr>
          <w:noProof/>
          <w:lang w:val="en-US"/>
        </w:rPr>
        <w:t>s</w:t>
      </w:r>
      <w:r w:rsidRPr="00C903F8">
        <w:rPr>
          <w:noProof/>
          <w:lang w:val="en-US"/>
        </w:rPr>
        <w:t xml:space="preserve"> in inland navigation</w:t>
      </w:r>
      <w:bookmarkEnd w:id="333"/>
    </w:p>
    <w:p w:rsidR="009C13A9" w:rsidRPr="00C903F8" w:rsidRDefault="009C13A9" w:rsidP="009C13A9">
      <w:pPr>
        <w:tabs>
          <w:tab w:val="right" w:pos="9072"/>
        </w:tabs>
        <w:overflowPunct w:val="0"/>
        <w:adjustRightInd w:val="0"/>
        <w:spacing w:line="240" w:lineRule="atLeast"/>
        <w:ind w:left="0" w:firstLine="0"/>
        <w:jc w:val="left"/>
        <w:textAlignment w:val="baseline"/>
        <w:rPr>
          <w:rFonts w:cs="Arial"/>
          <w:szCs w:val="20"/>
          <w:lang w:val="en-US"/>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1</w:t>
      </w:r>
      <w:r w:rsidRPr="00C903F8">
        <w:rPr>
          <w:rFonts w:cs="Arial"/>
          <w:b/>
          <w:noProof/>
          <w:lang w:val="en-US"/>
        </w:rPr>
        <w:br/>
      </w:r>
      <w:r w:rsidRPr="00C903F8">
        <w:rPr>
          <w:rFonts w:cs="Arial"/>
          <w:i/>
          <w:noProof/>
          <w:lang w:val="en-US"/>
        </w:rPr>
        <w:t>Scope</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 xml:space="preserve">These provisions set out the minimum requirements for navigational radar </w:t>
      </w:r>
      <w:r w:rsidR="00D52D51" w:rsidRPr="00C903F8">
        <w:rPr>
          <w:rFonts w:cs="Arial"/>
          <w:noProof/>
          <w:lang w:val="en-US"/>
        </w:rPr>
        <w:t>installation</w:t>
      </w:r>
      <w:r w:rsidR="00FD55F0" w:rsidRPr="00C903F8">
        <w:rPr>
          <w:rFonts w:cs="Arial"/>
          <w:noProof/>
          <w:lang w:val="en-US"/>
        </w:rPr>
        <w:t>s</w:t>
      </w:r>
      <w:r w:rsidRPr="00C903F8">
        <w:rPr>
          <w:rFonts w:cs="Arial"/>
          <w:noProof/>
          <w:lang w:val="en-US"/>
        </w:rPr>
        <w:t xml:space="preserve"> used in inland navigation as well as the conditions for testing conformity with these minimum requirements. </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2</w:t>
      </w:r>
      <w:r w:rsidRPr="00C903F8">
        <w:rPr>
          <w:rFonts w:cs="Arial"/>
          <w:b/>
          <w:noProof/>
          <w:lang w:val="en-US"/>
        </w:rPr>
        <w:br/>
      </w:r>
      <w:r w:rsidRPr="00C903F8">
        <w:rPr>
          <w:rFonts w:cs="Arial"/>
          <w:i/>
          <w:noProof/>
          <w:lang w:val="en-US"/>
        </w:rPr>
        <w:t xml:space="preserve">Purpose of the navigational radar </w:t>
      </w:r>
      <w:r w:rsidR="00D52D51" w:rsidRPr="00C903F8">
        <w:rPr>
          <w:rFonts w:cs="Arial"/>
          <w:i/>
          <w:noProof/>
          <w:lang w:val="en-US"/>
        </w:rPr>
        <w:t>installation</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 xml:space="preserve">The navigational radar </w:t>
      </w:r>
      <w:r w:rsidR="00D52D51" w:rsidRPr="00C903F8">
        <w:rPr>
          <w:rFonts w:cs="Arial"/>
          <w:noProof/>
          <w:lang w:val="en-US"/>
        </w:rPr>
        <w:t>installation</w:t>
      </w:r>
      <w:r w:rsidR="00FD55F0" w:rsidRPr="00C903F8">
        <w:rPr>
          <w:rFonts w:cs="Arial"/>
          <w:noProof/>
          <w:lang w:val="en-US"/>
        </w:rPr>
        <w:t>s</w:t>
      </w:r>
      <w:r w:rsidRPr="00C903F8">
        <w:rPr>
          <w:rFonts w:cs="Arial"/>
          <w:noProof/>
          <w:lang w:val="en-US"/>
        </w:rPr>
        <w:t xml:space="preserve"> shall facilitate the navigation of the vessel by providing an intelligible radar picture of its position in relation to buoys shorelines and navigational structures, as well as permitting the reliable and timely recognition of other vessels and obstructions protruding above the surface of the waterway.</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3</w:t>
      </w:r>
      <w:r w:rsidRPr="00C903F8">
        <w:rPr>
          <w:rFonts w:cs="Arial"/>
          <w:b/>
          <w:noProof/>
          <w:lang w:val="en-US"/>
        </w:rPr>
        <w:br/>
      </w:r>
      <w:r w:rsidRPr="00C903F8">
        <w:rPr>
          <w:rFonts w:cs="Arial"/>
          <w:i/>
          <w:noProof/>
          <w:lang w:val="en-US"/>
        </w:rPr>
        <w:t>Minimum requirements</w:t>
      </w:r>
    </w:p>
    <w:p w:rsidR="009C13A9" w:rsidRPr="00C903F8" w:rsidRDefault="009C13A9" w:rsidP="009C13A9">
      <w:pPr>
        <w:spacing w:line="240" w:lineRule="atLeast"/>
        <w:ind w:left="0" w:firstLine="0"/>
        <w:jc w:val="center"/>
        <w:rPr>
          <w:rFonts w:cs="Arial"/>
          <w:noProof/>
          <w:lang w:val="en-US"/>
        </w:rPr>
      </w:pPr>
    </w:p>
    <w:p w:rsidR="001077F3" w:rsidRPr="00C92875" w:rsidRDefault="001077F3" w:rsidP="001077F3">
      <w:pPr>
        <w:autoSpaceDE/>
        <w:autoSpaceDN/>
        <w:spacing w:line="240" w:lineRule="atLeast"/>
        <w:ind w:left="426" w:hanging="426"/>
        <w:jc w:val="left"/>
        <w:rPr>
          <w:rFonts w:eastAsia="Batang" w:cs="Arial"/>
          <w:noProof/>
          <w:color w:val="000000"/>
          <w:lang w:val="en-US" w:eastAsia="ko-KR"/>
        </w:rPr>
      </w:pPr>
      <w:r w:rsidRPr="001077F3">
        <w:rPr>
          <w:rFonts w:eastAsia="Batang" w:cs="Arial"/>
          <w:color w:val="000000"/>
          <w:lang w:val="en-US" w:eastAsia="ko-KR"/>
        </w:rPr>
        <w:t>1.</w:t>
      </w:r>
      <w:r w:rsidRPr="001077F3">
        <w:rPr>
          <w:rFonts w:eastAsia="Batang" w:cs="Arial"/>
          <w:color w:val="000000"/>
          <w:lang w:val="en-US" w:eastAsia="ko-KR"/>
        </w:rPr>
        <w:tab/>
        <w:t>Navigational r</w:t>
      </w:r>
      <w:r w:rsidRPr="001077F3">
        <w:rPr>
          <w:rFonts w:eastAsia="Batang" w:cs="Arial"/>
          <w:noProof/>
          <w:color w:val="000000"/>
          <w:lang w:val="en-US" w:eastAsia="ko-KR"/>
        </w:rPr>
        <w:t xml:space="preserve">adar installations shall </w:t>
      </w:r>
      <w:r w:rsidRPr="00C92875">
        <w:rPr>
          <w:rFonts w:eastAsia="Batang" w:cs="Arial"/>
          <w:noProof/>
          <w:color w:val="000000"/>
          <w:lang w:val="en-US" w:eastAsia="ko-KR"/>
        </w:rPr>
        <w:t xml:space="preserve">meet the requirements of Directive </w:t>
      </w:r>
      <w:r w:rsidRPr="00C92875">
        <w:rPr>
          <w:rFonts w:ascii="ArialMT" w:eastAsiaTheme="minorHAnsi" w:hAnsi="ArialMT" w:cs="ArialMT"/>
          <w:szCs w:val="20"/>
          <w:lang w:val="en-US" w:eastAsia="en-US"/>
        </w:rPr>
        <w:t>2014/53/EU</w:t>
      </w:r>
      <w:r w:rsidRPr="00C92875">
        <w:rPr>
          <w:rFonts w:eastAsia="Batang" w:cs="Arial"/>
          <w:noProof/>
          <w:color w:val="000000"/>
          <w:lang w:val="en-US" w:eastAsia="ko-KR"/>
        </w:rPr>
        <w:t>.</w:t>
      </w:r>
    </w:p>
    <w:p w:rsidR="001077F3" w:rsidRPr="00C92875" w:rsidRDefault="001077F3" w:rsidP="001077F3">
      <w:pPr>
        <w:autoSpaceDE/>
        <w:autoSpaceDN/>
        <w:spacing w:line="240" w:lineRule="atLeast"/>
        <w:ind w:left="426" w:hanging="426"/>
        <w:jc w:val="left"/>
        <w:rPr>
          <w:rFonts w:eastAsia="Batang" w:cs="Arial"/>
          <w:noProof/>
          <w:color w:val="000000"/>
          <w:lang w:val="en-US" w:eastAsia="ko-KR"/>
        </w:rPr>
      </w:pPr>
    </w:p>
    <w:p w:rsidR="001077F3" w:rsidRPr="00C92875" w:rsidRDefault="001077F3" w:rsidP="001077F3">
      <w:pPr>
        <w:spacing w:line="240" w:lineRule="atLeast"/>
        <w:ind w:left="426" w:hanging="426"/>
        <w:rPr>
          <w:rFonts w:cs="Arial"/>
          <w:noProof/>
          <w:color w:val="000000"/>
          <w:lang w:val="en-US"/>
        </w:rPr>
      </w:pPr>
      <w:r w:rsidRPr="00C92875">
        <w:rPr>
          <w:rFonts w:cs="Arial"/>
          <w:color w:val="000000"/>
          <w:lang w:val="en-US"/>
        </w:rPr>
        <w:t>2.</w:t>
      </w:r>
      <w:r w:rsidRPr="00C92875">
        <w:rPr>
          <w:rFonts w:cs="Arial"/>
          <w:color w:val="000000"/>
          <w:lang w:val="en-US"/>
        </w:rPr>
        <w:tab/>
        <w:t>Navigational r</w:t>
      </w:r>
      <w:r w:rsidRPr="00C92875">
        <w:rPr>
          <w:rFonts w:cs="Arial"/>
          <w:noProof/>
          <w:color w:val="000000"/>
          <w:lang w:val="en-US"/>
        </w:rPr>
        <w:t xml:space="preserve">adar installations </w:t>
      </w:r>
      <w:r w:rsidRPr="00C92875">
        <w:rPr>
          <w:rFonts w:cs="Arial"/>
          <w:color w:val="000000"/>
          <w:lang w:val="en-US"/>
        </w:rPr>
        <w:t xml:space="preserve">shall also meet the requirements of the European Standard </w:t>
      </w:r>
      <w:r w:rsidRPr="00C92875">
        <w:rPr>
          <w:rFonts w:cs="Arial"/>
          <w:noProof/>
          <w:color w:val="000000"/>
          <w:lang w:val="en-US"/>
        </w:rPr>
        <w:t>EN 302 194-1 : 2006 Electromagnetic compatibility and Radio spectrum Matters (ERM); Navigational radar used on inland waterways:</w:t>
      </w:r>
      <w:r w:rsidRPr="00C92875">
        <w:rPr>
          <w:rFonts w:cs="Arial"/>
          <w:color w:val="000000"/>
          <w:lang w:val="en-US"/>
        </w:rPr>
        <w:t xml:space="preserve"> </w:t>
      </w:r>
      <w:r w:rsidRPr="00C92875">
        <w:rPr>
          <w:rFonts w:cs="Arial"/>
          <w:noProof/>
          <w:color w:val="000000"/>
          <w:lang w:val="en-US"/>
        </w:rPr>
        <w:t>Part 1:</w:t>
      </w:r>
      <w:r w:rsidRPr="00C92875">
        <w:rPr>
          <w:rFonts w:cs="Arial"/>
          <w:color w:val="000000"/>
          <w:lang w:val="en-US"/>
        </w:rPr>
        <w:t xml:space="preserve"> </w:t>
      </w:r>
      <w:r w:rsidRPr="00C92875">
        <w:rPr>
          <w:rFonts w:cs="Arial"/>
          <w:noProof/>
          <w:color w:val="000000"/>
          <w:lang w:val="en-US"/>
        </w:rPr>
        <w:t>Technical characteristics and methods of measurement.</w:t>
      </w:r>
    </w:p>
    <w:p w:rsidR="001077F3" w:rsidRPr="00C92875" w:rsidRDefault="001077F3" w:rsidP="001077F3">
      <w:pPr>
        <w:spacing w:line="240" w:lineRule="atLeast"/>
        <w:ind w:left="426" w:hanging="426"/>
        <w:rPr>
          <w:rFonts w:cs="Arial"/>
          <w:noProof/>
          <w:color w:val="000000"/>
          <w:lang w:val="en-US"/>
        </w:rPr>
      </w:pPr>
    </w:p>
    <w:p w:rsidR="001077F3" w:rsidRPr="00C92875" w:rsidRDefault="001077F3" w:rsidP="001077F3">
      <w:pPr>
        <w:spacing w:line="240" w:lineRule="atLeast"/>
        <w:ind w:left="426" w:hanging="426"/>
        <w:rPr>
          <w:rFonts w:cs="Arial"/>
          <w:color w:val="000000"/>
          <w:lang w:val="en-US"/>
        </w:rPr>
      </w:pPr>
      <w:r w:rsidRPr="00C92875">
        <w:rPr>
          <w:rFonts w:cs="Arial"/>
          <w:color w:val="000000"/>
          <w:lang w:val="en-US"/>
        </w:rPr>
        <w:t>3.</w:t>
      </w:r>
      <w:r w:rsidRPr="00C92875">
        <w:rPr>
          <w:rFonts w:cs="Arial"/>
          <w:color w:val="000000"/>
          <w:lang w:val="en-US"/>
        </w:rPr>
        <w:tab/>
        <w:t>(2) above does not apply to Inland ECDIS equipment hardware operated in navigation mode in system configuration 2 or 3 in accordance with the Inland ECDIS standard, section 1 item 5.2 in conjunction with section 4 item 2.2.2 or 2.2.3 if a manufacturer's certificate of conformity is produced. This certificate of conformity must confirm that the hardware:</w:t>
      </w:r>
    </w:p>
    <w:p w:rsidR="001077F3" w:rsidRPr="00C92875" w:rsidRDefault="001077F3" w:rsidP="00C92875">
      <w:pPr>
        <w:tabs>
          <w:tab w:val="left" w:pos="0"/>
        </w:tabs>
        <w:overflowPunct w:val="0"/>
        <w:adjustRightInd w:val="0"/>
        <w:spacing w:before="60" w:line="240" w:lineRule="atLeast"/>
        <w:ind w:left="850"/>
        <w:textAlignment w:val="baseline"/>
        <w:rPr>
          <w:rFonts w:cs="Arial"/>
          <w:szCs w:val="20"/>
          <w:lang w:val="en-GB" w:eastAsia="en-GB"/>
        </w:rPr>
      </w:pPr>
      <w:r w:rsidRPr="00C92875">
        <w:rPr>
          <w:rFonts w:cs="Arial"/>
          <w:color w:val="000000"/>
          <w:szCs w:val="20"/>
          <w:lang w:val="en-GB" w:eastAsia="en-GB"/>
        </w:rPr>
        <w:t>a)</w:t>
      </w:r>
      <w:r w:rsidRPr="00C92875">
        <w:rPr>
          <w:rFonts w:cs="Arial"/>
          <w:color w:val="000000"/>
          <w:szCs w:val="20"/>
          <w:lang w:val="en-GB" w:eastAsia="en-GB"/>
        </w:rPr>
        <w:tab/>
        <w:t>is designed and manufactured to withstand the typical stresses and environmental conditions prevailing aboard a vessel, without loss of quality or reliability and</w:t>
      </w:r>
    </w:p>
    <w:p w:rsidR="001077F3" w:rsidRPr="00C92875" w:rsidRDefault="001077F3" w:rsidP="00C92875">
      <w:pPr>
        <w:tabs>
          <w:tab w:val="left" w:pos="0"/>
        </w:tabs>
        <w:overflowPunct w:val="0"/>
        <w:adjustRightInd w:val="0"/>
        <w:spacing w:before="60" w:line="240" w:lineRule="atLeast"/>
        <w:ind w:left="850"/>
        <w:textAlignment w:val="baseline"/>
        <w:rPr>
          <w:rFonts w:cs="Arial"/>
          <w:color w:val="000000"/>
          <w:szCs w:val="20"/>
          <w:lang w:val="en-GB" w:eastAsia="en-GB"/>
        </w:rPr>
      </w:pPr>
      <w:r w:rsidRPr="00C92875">
        <w:rPr>
          <w:rFonts w:cs="Arial"/>
          <w:szCs w:val="20"/>
          <w:lang w:val="en-GB" w:eastAsia="en-GB"/>
        </w:rPr>
        <w:t>b)</w:t>
      </w:r>
      <w:r w:rsidRPr="00C92875">
        <w:rPr>
          <w:rFonts w:cs="Arial"/>
          <w:szCs w:val="20"/>
          <w:lang w:val="en-GB" w:eastAsia="en-GB"/>
        </w:rPr>
        <w:tab/>
      </w:r>
      <w:r w:rsidRPr="00C92875">
        <w:rPr>
          <w:rFonts w:cs="Arial"/>
          <w:color w:val="000000"/>
          <w:szCs w:val="20"/>
          <w:lang w:val="en-GB" w:eastAsia="en-GB"/>
        </w:rPr>
        <w:t>does not interfere with the operation of other onboard communication and navigation equipment.</w:t>
      </w:r>
    </w:p>
    <w:p w:rsidR="001077F3" w:rsidRPr="00C92875" w:rsidRDefault="001077F3" w:rsidP="001077F3">
      <w:pPr>
        <w:tabs>
          <w:tab w:val="left" w:pos="495"/>
        </w:tabs>
        <w:overflowPunct w:val="0"/>
        <w:adjustRightInd w:val="0"/>
        <w:spacing w:line="240" w:lineRule="atLeast"/>
        <w:ind w:left="426" w:hanging="426"/>
        <w:jc w:val="left"/>
        <w:textAlignment w:val="baseline"/>
        <w:rPr>
          <w:rFonts w:cs="Arial"/>
          <w:b/>
          <w:bCs/>
          <w:noProof/>
          <w:szCs w:val="20"/>
          <w:lang w:val="en-US" w:eastAsia="en-US"/>
        </w:rPr>
      </w:pPr>
    </w:p>
    <w:p w:rsidR="001077F3" w:rsidRPr="001077F3" w:rsidRDefault="001077F3" w:rsidP="00C92875">
      <w:pPr>
        <w:spacing w:line="240" w:lineRule="atLeast"/>
        <w:ind w:left="426" w:firstLine="0"/>
        <w:rPr>
          <w:rFonts w:cs="Arial"/>
          <w:color w:val="000000"/>
          <w:lang w:val="en-US" w:eastAsia="en-US"/>
        </w:rPr>
      </w:pPr>
      <w:r w:rsidRPr="00C92875">
        <w:rPr>
          <w:rFonts w:eastAsiaTheme="minorHAnsi" w:cstheme="minorBidi"/>
          <w:color w:val="000000"/>
          <w:lang w:val="en-US" w:eastAsia="en-US"/>
        </w:rPr>
        <w:t>The first sentence does not apply to visual display units operated in navigation mode in system configuration 3 nor to hardware components used for providing radar information from the radar processor for display on the Inland ECDIS equipment screen.</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p>
    <w:p w:rsidR="001077F3" w:rsidRDefault="001077F3">
      <w:pPr>
        <w:autoSpaceDE/>
        <w:autoSpaceDN/>
        <w:ind w:left="0" w:firstLine="0"/>
        <w:jc w:val="left"/>
        <w:rPr>
          <w:rFonts w:cs="Arial"/>
          <w:b/>
          <w:noProof/>
          <w:lang w:val="en-US"/>
        </w:rPr>
      </w:pPr>
      <w:r>
        <w:rPr>
          <w:rFonts w:cs="Arial"/>
          <w:b/>
          <w:noProof/>
          <w:lang w:val="en-US"/>
        </w:rPr>
        <w:br w:type="page"/>
      </w:r>
    </w:p>
    <w:p w:rsidR="001077F3" w:rsidRDefault="001077F3" w:rsidP="009C13A9">
      <w:pPr>
        <w:spacing w:line="240" w:lineRule="atLeast"/>
        <w:ind w:left="0" w:firstLine="0"/>
        <w:jc w:val="center"/>
        <w:rPr>
          <w:rFonts w:cs="Arial"/>
          <w:b/>
          <w:noProof/>
          <w:lang w:val="en-US"/>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4</w:t>
      </w:r>
      <w:r w:rsidRPr="00C903F8">
        <w:rPr>
          <w:rFonts w:cs="Arial"/>
          <w:b/>
          <w:noProof/>
          <w:lang w:val="en-US"/>
        </w:rPr>
        <w:br/>
      </w:r>
      <w:r w:rsidRPr="00C903F8">
        <w:rPr>
          <w:rFonts w:cs="Arial"/>
          <w:i/>
          <w:noProof/>
          <w:lang w:val="en-US"/>
        </w:rPr>
        <w:t>Type tests</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Compliance with the minimum requirements as specified in Article 3(2) shall be established by means of a type test</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If the equipment passes the type test the technical service shall issue a test certificate. If the equipment fails to meet the minimum requirements, the applicant shall be notified in writing of the reasons for its rejection.</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5</w:t>
      </w:r>
      <w:r w:rsidRPr="00C903F8">
        <w:rPr>
          <w:rFonts w:cs="Arial"/>
          <w:b/>
          <w:noProof/>
          <w:lang w:val="en-US"/>
        </w:rPr>
        <w:br/>
      </w:r>
      <w:r w:rsidRPr="00C903F8">
        <w:rPr>
          <w:rFonts w:cs="Arial"/>
          <w:i/>
          <w:noProof/>
          <w:lang w:val="en-US"/>
        </w:rPr>
        <w:t>Application for a type test</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1.</w:t>
      </w:r>
      <w:r w:rsidRPr="00C903F8">
        <w:rPr>
          <w:rFonts w:cs="Arial"/>
          <w:noProof/>
          <w:color w:val="000000"/>
          <w:lang w:val="en-US"/>
        </w:rPr>
        <w:tab/>
        <w:t xml:space="preserve">Applications for a type test of </w:t>
      </w:r>
      <w:r w:rsidR="00A379E7" w:rsidRPr="00C903F8">
        <w:rPr>
          <w:rFonts w:cs="Arial"/>
          <w:noProof/>
          <w:color w:val="000000"/>
          <w:lang w:val="en-US"/>
        </w:rPr>
        <w:t xml:space="preserve">the </w:t>
      </w:r>
      <w:r w:rsidRPr="00C903F8">
        <w:rPr>
          <w:rFonts w:cs="Arial"/>
          <w:noProof/>
          <w:color w:val="000000"/>
          <w:lang w:val="en-US"/>
        </w:rPr>
        <w:t xml:space="preserve">navigational radar </w:t>
      </w:r>
      <w:r w:rsidR="00D52D51" w:rsidRPr="00C903F8">
        <w:rPr>
          <w:rFonts w:cs="Arial"/>
          <w:noProof/>
          <w:color w:val="000000"/>
          <w:lang w:val="en-US"/>
        </w:rPr>
        <w:t>installation</w:t>
      </w:r>
      <w:r w:rsidRPr="00C903F8">
        <w:rPr>
          <w:rFonts w:cs="Arial"/>
          <w:noProof/>
          <w:color w:val="000000"/>
          <w:lang w:val="en-US"/>
        </w:rPr>
        <w:t xml:space="preserve"> shall be submitted to a competent technical service.</w:t>
      </w:r>
    </w:p>
    <w:p w:rsidR="009C13A9" w:rsidRPr="00C903F8" w:rsidRDefault="009C13A9" w:rsidP="001077F3">
      <w:pPr>
        <w:spacing w:line="240" w:lineRule="atLeast"/>
        <w:ind w:left="0" w:firstLine="0"/>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2.</w:t>
      </w:r>
      <w:r w:rsidRPr="00C903F8">
        <w:rPr>
          <w:rFonts w:cs="Arial"/>
          <w:noProof/>
          <w:color w:val="000000"/>
          <w:lang w:val="en-US"/>
        </w:rPr>
        <w:tab/>
        <w:t>Each application shall be accompanied by the following documents</w:t>
      </w:r>
    </w:p>
    <w:p w:rsidR="009C13A9" w:rsidRPr="00C903F8" w:rsidRDefault="009C13A9" w:rsidP="009C13A9">
      <w:pPr>
        <w:spacing w:before="60" w:line="240" w:lineRule="atLeast"/>
        <w:ind w:left="851"/>
        <w:rPr>
          <w:rFonts w:cs="Arial"/>
          <w:noProof/>
          <w:szCs w:val="22"/>
          <w:lang w:val="en-US" w:eastAsia="zh-CN"/>
        </w:rPr>
      </w:pPr>
      <w:r w:rsidRPr="00C903F8">
        <w:rPr>
          <w:rFonts w:cs="Arial"/>
          <w:noProof/>
          <w:szCs w:val="22"/>
          <w:lang w:val="en-US" w:eastAsia="zh-CN"/>
        </w:rPr>
        <w:t>a)</w:t>
      </w:r>
      <w:r w:rsidRPr="00C903F8">
        <w:rPr>
          <w:rFonts w:cs="Arial"/>
          <w:noProof/>
          <w:szCs w:val="22"/>
          <w:lang w:val="en-US" w:eastAsia="zh-CN"/>
        </w:rPr>
        <w:tab/>
        <w:t>Two detailed technical descriptions;</w:t>
      </w:r>
    </w:p>
    <w:p w:rsidR="009C13A9" w:rsidRPr="00C903F8" w:rsidRDefault="009C13A9" w:rsidP="009C13A9">
      <w:pPr>
        <w:spacing w:before="60" w:line="240" w:lineRule="atLeast"/>
        <w:ind w:left="851"/>
        <w:rPr>
          <w:rFonts w:cs="Arial"/>
          <w:noProof/>
          <w:szCs w:val="22"/>
          <w:lang w:val="en-US" w:eastAsia="zh-CN"/>
        </w:rPr>
      </w:pPr>
      <w:r w:rsidRPr="00C903F8">
        <w:rPr>
          <w:rFonts w:cs="Arial"/>
          <w:noProof/>
          <w:szCs w:val="22"/>
          <w:lang w:val="en-US" w:eastAsia="zh-CN"/>
        </w:rPr>
        <w:t>b)</w:t>
      </w:r>
      <w:r w:rsidRPr="00C903F8">
        <w:rPr>
          <w:rFonts w:cs="Arial"/>
          <w:noProof/>
          <w:szCs w:val="22"/>
          <w:lang w:val="en-US" w:eastAsia="zh-CN"/>
        </w:rPr>
        <w:tab/>
        <w:t>two complete sets of installation and service documents;</w:t>
      </w:r>
    </w:p>
    <w:p w:rsidR="009C13A9" w:rsidRPr="00C903F8" w:rsidRDefault="009C13A9" w:rsidP="009C13A9">
      <w:pPr>
        <w:spacing w:before="60" w:line="240" w:lineRule="atLeast"/>
        <w:ind w:left="851"/>
        <w:rPr>
          <w:rFonts w:cs="Arial"/>
          <w:noProof/>
          <w:szCs w:val="22"/>
          <w:lang w:val="en-US" w:eastAsia="zh-CN"/>
        </w:rPr>
      </w:pPr>
      <w:r w:rsidRPr="00C903F8">
        <w:rPr>
          <w:rFonts w:cs="Arial"/>
          <w:noProof/>
          <w:szCs w:val="22"/>
          <w:lang w:val="en-US" w:eastAsia="zh-CN"/>
        </w:rPr>
        <w:t>c)</w:t>
      </w:r>
      <w:r w:rsidRPr="00C903F8">
        <w:rPr>
          <w:rFonts w:cs="Arial"/>
          <w:noProof/>
          <w:szCs w:val="22"/>
          <w:lang w:val="en-US" w:eastAsia="zh-CN"/>
        </w:rPr>
        <w:tab/>
        <w:t xml:space="preserve">two detailed operator’s manuals; </w:t>
      </w:r>
    </w:p>
    <w:p w:rsidR="009C13A9" w:rsidRPr="00C903F8" w:rsidRDefault="009C13A9" w:rsidP="009C13A9">
      <w:pPr>
        <w:spacing w:before="60" w:line="240" w:lineRule="atLeast"/>
        <w:ind w:left="851"/>
        <w:rPr>
          <w:rFonts w:cs="Arial"/>
          <w:noProof/>
          <w:szCs w:val="22"/>
          <w:lang w:val="en-US" w:eastAsia="zh-CN"/>
        </w:rPr>
      </w:pPr>
      <w:r w:rsidRPr="00C903F8">
        <w:rPr>
          <w:rFonts w:cs="Arial"/>
          <w:noProof/>
          <w:szCs w:val="22"/>
          <w:lang w:val="en-US" w:eastAsia="zh-CN"/>
        </w:rPr>
        <w:t>d)</w:t>
      </w:r>
      <w:r w:rsidRPr="00C903F8">
        <w:rPr>
          <w:rFonts w:cs="Arial"/>
          <w:noProof/>
          <w:szCs w:val="22"/>
          <w:lang w:val="en-US" w:eastAsia="zh-CN"/>
        </w:rPr>
        <w:tab/>
        <w:t>two short operator’s manual; and</w:t>
      </w:r>
    </w:p>
    <w:p w:rsidR="009C13A9" w:rsidRPr="00C903F8" w:rsidRDefault="009C13A9" w:rsidP="009C13A9">
      <w:pPr>
        <w:spacing w:before="60" w:line="240" w:lineRule="atLeast"/>
        <w:ind w:left="851"/>
        <w:rPr>
          <w:rFonts w:cs="Arial"/>
          <w:noProof/>
          <w:szCs w:val="22"/>
          <w:lang w:val="en-US" w:eastAsia="zh-CN"/>
        </w:rPr>
      </w:pPr>
      <w:r w:rsidRPr="00C903F8">
        <w:rPr>
          <w:rFonts w:cs="Arial"/>
          <w:noProof/>
          <w:szCs w:val="22"/>
          <w:lang w:val="en-US" w:eastAsia="zh-CN"/>
        </w:rPr>
        <w:t>e)</w:t>
      </w:r>
      <w:r w:rsidRPr="00C903F8">
        <w:rPr>
          <w:rFonts w:cs="Arial"/>
          <w:noProof/>
          <w:szCs w:val="22"/>
          <w:lang w:val="en-US" w:eastAsia="zh-CN"/>
        </w:rPr>
        <w:tab/>
        <w:t>where applicable, evidence of previously completed tests.</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3.</w:t>
      </w:r>
      <w:r w:rsidRPr="00C903F8">
        <w:rPr>
          <w:rFonts w:cs="Arial"/>
          <w:noProof/>
          <w:color w:val="000000"/>
          <w:lang w:val="en-US"/>
        </w:rPr>
        <w:tab/>
      </w:r>
      <w:r w:rsidR="001077F3" w:rsidRPr="000748A2">
        <w:rPr>
          <w:rFonts w:cs="Arial"/>
          <w:noProof/>
          <w:color w:val="000000"/>
          <w:lang w:val="en-US"/>
        </w:rPr>
        <w:t xml:space="preserve">In case it </w:t>
      </w:r>
      <w:r w:rsidR="001077F3" w:rsidRPr="002043D6">
        <w:rPr>
          <w:rFonts w:cs="Arial"/>
          <w:noProof/>
          <w:color w:val="000000"/>
          <w:lang w:val="en-US"/>
        </w:rPr>
        <w:t xml:space="preserve">is not intended by the applicant to have the Declaration of Conformity pursuant to Directive </w:t>
      </w:r>
      <w:r w:rsidR="001077F3" w:rsidRPr="002043D6">
        <w:rPr>
          <w:rFonts w:cs="Arial"/>
          <w:color w:val="000000"/>
          <w:lang w:val="en-US"/>
        </w:rPr>
        <w:t>2014/53</w:t>
      </w:r>
      <w:r w:rsidR="001077F3" w:rsidRPr="002043D6">
        <w:rPr>
          <w:rFonts w:cs="Arial"/>
          <w:noProof/>
          <w:color w:val="000000"/>
          <w:lang w:val="en-US"/>
        </w:rPr>
        <w:t>/EU established</w:t>
      </w:r>
      <w:r w:rsidR="001077F3" w:rsidRPr="000748A2">
        <w:rPr>
          <w:rFonts w:cs="Arial"/>
          <w:noProof/>
          <w:color w:val="000000"/>
          <w:lang w:val="en-US"/>
        </w:rPr>
        <w:t xml:space="preserve"> concurrently with the type-approval, a Declaration of Conformity shall be submitted together with the application for a type test</w:t>
      </w:r>
      <w:r w:rsidR="001077F3">
        <w:rPr>
          <w:rFonts w:cs="Arial"/>
          <w:noProof/>
          <w:color w:val="000000"/>
          <w:lang w:val="en-US"/>
        </w:rPr>
        <w:t>.</w:t>
      </w:r>
    </w:p>
    <w:p w:rsidR="009C13A9" w:rsidRPr="00C903F8" w:rsidRDefault="009C13A9" w:rsidP="009C13A9">
      <w:pPr>
        <w:spacing w:line="240" w:lineRule="atLeast"/>
        <w:rPr>
          <w:rFonts w:cs="Arial"/>
          <w:noProof/>
          <w:color w:val="000000"/>
          <w:lang w:val="en-US"/>
        </w:rPr>
      </w:pPr>
    </w:p>
    <w:p w:rsidR="001077F3" w:rsidRDefault="001077F3" w:rsidP="009C13A9">
      <w:pPr>
        <w:spacing w:line="240" w:lineRule="atLeast"/>
        <w:ind w:left="0" w:firstLine="0"/>
        <w:jc w:val="center"/>
        <w:rPr>
          <w:rFonts w:cs="Arial"/>
          <w:b/>
          <w:noProof/>
          <w:lang w:val="en-US"/>
        </w:rPr>
      </w:pPr>
    </w:p>
    <w:p w:rsidR="009C13A9" w:rsidRPr="00C903F8" w:rsidRDefault="009C13A9" w:rsidP="009C13A9">
      <w:pPr>
        <w:spacing w:line="240" w:lineRule="atLeast"/>
        <w:ind w:left="0" w:firstLine="0"/>
        <w:jc w:val="center"/>
        <w:rPr>
          <w:rFonts w:cs="Arial"/>
          <w:i/>
          <w:noProof/>
          <w:lang w:val="en-GB"/>
        </w:rPr>
      </w:pPr>
      <w:r w:rsidRPr="00C903F8">
        <w:rPr>
          <w:rFonts w:cs="Arial"/>
          <w:b/>
          <w:noProof/>
          <w:lang w:val="en-GB"/>
        </w:rPr>
        <w:t>Article 6</w:t>
      </w:r>
      <w:r w:rsidRPr="00C903F8">
        <w:rPr>
          <w:rFonts w:cs="Arial"/>
          <w:b/>
          <w:noProof/>
          <w:lang w:val="en-GB"/>
        </w:rPr>
        <w:br/>
      </w:r>
      <w:r w:rsidRPr="00C903F8">
        <w:rPr>
          <w:rFonts w:cs="Arial"/>
          <w:i/>
          <w:noProof/>
          <w:lang w:val="en-GB"/>
        </w:rPr>
        <w:t>Type-approval</w:t>
      </w:r>
    </w:p>
    <w:p w:rsidR="009C13A9" w:rsidRPr="00C903F8" w:rsidRDefault="009C13A9" w:rsidP="009C13A9">
      <w:pPr>
        <w:spacing w:line="240" w:lineRule="atLeast"/>
        <w:rPr>
          <w:rFonts w:cs="Arial"/>
          <w:noProof/>
          <w:color w:val="000000"/>
          <w:lang w:val="en-GB"/>
        </w:rPr>
      </w:pPr>
    </w:p>
    <w:p w:rsidR="009C13A9" w:rsidRPr="00C903F8" w:rsidRDefault="009C13A9" w:rsidP="009C13A9">
      <w:pPr>
        <w:spacing w:line="240" w:lineRule="atLeast"/>
        <w:rPr>
          <w:rFonts w:cs="Arial"/>
          <w:noProof/>
          <w:color w:val="000000"/>
          <w:lang w:val="en-GB"/>
        </w:rPr>
      </w:pPr>
      <w:r w:rsidRPr="00C903F8">
        <w:rPr>
          <w:rFonts w:cs="Arial"/>
          <w:noProof/>
          <w:color w:val="000000"/>
          <w:lang w:val="en-GB"/>
        </w:rPr>
        <w:t>1.</w:t>
      </w:r>
      <w:r w:rsidRPr="00C903F8">
        <w:rPr>
          <w:rFonts w:cs="Arial"/>
          <w:noProof/>
          <w:color w:val="000000"/>
          <w:lang w:val="en-GB"/>
        </w:rPr>
        <w:tab/>
        <w:t xml:space="preserve">Type-approval shall be granted by the competent authority pursuant to the test certificate. </w:t>
      </w:r>
    </w:p>
    <w:p w:rsidR="009C13A9" w:rsidRPr="00C903F8" w:rsidRDefault="009C13A9" w:rsidP="009C13A9">
      <w:pPr>
        <w:ind w:left="851"/>
        <w:rPr>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2.</w:t>
      </w:r>
      <w:r w:rsidRPr="00C903F8">
        <w:rPr>
          <w:rFonts w:cs="Arial"/>
          <w:noProof/>
          <w:color w:val="000000"/>
          <w:lang w:val="en-US"/>
        </w:rPr>
        <w:tab/>
        <w:t>Each competent authority or the technical service designated by the competent authority shall be entitled to select equipment from the production series at any time for inspection</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If this inspection reveals defects in the equipment, type-approval may be withdrawn.</w:t>
      </w:r>
    </w:p>
    <w:p w:rsidR="009C13A9" w:rsidRPr="00C903F8" w:rsidRDefault="009C13A9" w:rsidP="009C13A9">
      <w:pPr>
        <w:ind w:left="850"/>
        <w:rPr>
          <w:noProof/>
          <w:lang w:val="en-US"/>
        </w:rPr>
      </w:pPr>
    </w:p>
    <w:p w:rsidR="009C13A9" w:rsidRPr="00C903F8" w:rsidRDefault="009C13A9" w:rsidP="009C13A9">
      <w:pPr>
        <w:spacing w:line="240" w:lineRule="atLeast"/>
        <w:ind w:left="426" w:firstLine="0"/>
        <w:rPr>
          <w:noProof/>
          <w:lang w:val="en-US" w:eastAsia="nl-NL"/>
        </w:rPr>
      </w:pPr>
      <w:r w:rsidRPr="00C903F8">
        <w:rPr>
          <w:noProof/>
          <w:lang w:val="en-US" w:eastAsia="nl-NL"/>
        </w:rPr>
        <w:t>The type-approval shall be withdrawn by the authority that issued it.</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7</w:t>
      </w:r>
      <w:r w:rsidRPr="00C903F8">
        <w:rPr>
          <w:rFonts w:cs="Arial"/>
          <w:b/>
          <w:noProof/>
          <w:lang w:val="en-US"/>
        </w:rPr>
        <w:br/>
      </w:r>
      <w:r w:rsidRPr="00C903F8">
        <w:rPr>
          <w:rFonts w:cs="Arial"/>
          <w:i/>
          <w:noProof/>
          <w:lang w:val="en-US"/>
        </w:rPr>
        <w:t>Marking of the equipment and type approval number</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1.</w:t>
      </w:r>
      <w:r w:rsidRPr="00C903F8">
        <w:rPr>
          <w:rFonts w:cs="Arial"/>
          <w:noProof/>
          <w:color w:val="000000"/>
          <w:lang w:val="en-US"/>
        </w:rPr>
        <w:tab/>
        <w:t>Each component of the equipment shall be marked indelibly with the name of the manufacturer, the trade designation of the equipment, the type of equipment and the serial number.</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2.</w:t>
      </w:r>
      <w:r w:rsidRPr="00C903F8">
        <w:rPr>
          <w:rFonts w:cs="Arial"/>
          <w:noProof/>
          <w:color w:val="000000"/>
          <w:lang w:val="en-US"/>
        </w:rPr>
        <w:tab/>
        <w:t>The type-approval number assigned by the competent authority shall be affixed indelibly to the display unit in such a way that it remains clearly visible after the equipment has been installed.</w:t>
      </w:r>
    </w:p>
    <w:p w:rsidR="009C13A9" w:rsidRPr="00C903F8" w:rsidRDefault="009C13A9" w:rsidP="009C13A9">
      <w:pPr>
        <w:spacing w:line="240" w:lineRule="atLeast"/>
        <w:ind w:left="426" w:firstLine="0"/>
        <w:rPr>
          <w:noProof/>
          <w:lang w:val="en-US" w:eastAsia="nl-NL"/>
        </w:rPr>
      </w:pPr>
    </w:p>
    <w:p w:rsidR="001077F3" w:rsidRDefault="001077F3">
      <w:pPr>
        <w:autoSpaceDE/>
        <w:autoSpaceDN/>
        <w:ind w:left="0" w:firstLine="0"/>
        <w:jc w:val="left"/>
        <w:rPr>
          <w:noProof/>
          <w:lang w:val="en-US" w:eastAsia="nl-NL"/>
        </w:rPr>
      </w:pPr>
      <w:r>
        <w:rPr>
          <w:noProof/>
          <w:lang w:val="en-US" w:eastAsia="nl-NL"/>
        </w:rPr>
        <w:br w:type="page"/>
      </w:r>
    </w:p>
    <w:p w:rsidR="009C13A9" w:rsidRPr="00C903F8" w:rsidRDefault="009C13A9" w:rsidP="009C13A9">
      <w:pPr>
        <w:spacing w:line="240" w:lineRule="atLeast"/>
        <w:ind w:left="426" w:firstLine="0"/>
        <w:rPr>
          <w:lang w:val="en-US" w:eastAsia="nl-NL"/>
        </w:rPr>
      </w:pPr>
      <w:r w:rsidRPr="00C903F8">
        <w:rPr>
          <w:noProof/>
          <w:lang w:val="en-US" w:eastAsia="nl-NL"/>
        </w:rPr>
        <w:lastRenderedPageBreak/>
        <w:t>Composition of a type-approval number: R-NN-NNN or e-NN-NNN</w:t>
      </w:r>
    </w:p>
    <w:p w:rsidR="009C13A9" w:rsidRPr="00C903F8" w:rsidRDefault="009C13A9" w:rsidP="009C13A9">
      <w:pPr>
        <w:tabs>
          <w:tab w:val="left" w:pos="993"/>
        </w:tabs>
        <w:spacing w:before="60" w:line="240" w:lineRule="atLeast"/>
        <w:ind w:left="1418" w:hanging="993"/>
        <w:rPr>
          <w:rFonts w:cs="Arial"/>
          <w:noProof/>
          <w:szCs w:val="20"/>
          <w:lang w:val="en-US" w:eastAsia="nl-NL"/>
        </w:rPr>
      </w:pPr>
      <w:r w:rsidRPr="00C903F8">
        <w:rPr>
          <w:rFonts w:cs="Arial"/>
          <w:noProof/>
          <w:szCs w:val="20"/>
          <w:lang w:val="en-US" w:eastAsia="nl-NL"/>
        </w:rPr>
        <w:t>R</w:t>
      </w:r>
      <w:r w:rsidRPr="00C903F8">
        <w:rPr>
          <w:rFonts w:cs="Arial"/>
          <w:szCs w:val="20"/>
          <w:lang w:val="en-US" w:eastAsia="nl-NL"/>
        </w:rPr>
        <w:tab/>
        <w:t>=</w:t>
      </w:r>
      <w:r w:rsidRPr="00C903F8">
        <w:rPr>
          <w:rFonts w:cs="Arial"/>
          <w:szCs w:val="20"/>
          <w:lang w:val="en-US" w:eastAsia="nl-NL"/>
        </w:rPr>
        <w:tab/>
      </w:r>
      <w:r w:rsidRPr="00C903F8">
        <w:rPr>
          <w:rFonts w:cs="Arial"/>
          <w:noProof/>
          <w:szCs w:val="20"/>
          <w:lang w:val="en-US" w:eastAsia="nl-NL"/>
        </w:rPr>
        <w:t>Rhine</w:t>
      </w:r>
    </w:p>
    <w:p w:rsidR="009C13A9" w:rsidRPr="00C903F8" w:rsidRDefault="009C13A9" w:rsidP="009C13A9">
      <w:pPr>
        <w:tabs>
          <w:tab w:val="left" w:pos="993"/>
        </w:tabs>
        <w:spacing w:before="60" w:line="240" w:lineRule="atLeast"/>
        <w:ind w:left="1418" w:hanging="993"/>
        <w:rPr>
          <w:noProof/>
          <w:lang w:val="en-US" w:eastAsia="nl-NL"/>
        </w:rPr>
      </w:pPr>
      <w:r w:rsidRPr="00C903F8">
        <w:rPr>
          <w:noProof/>
          <w:lang w:val="en-US" w:eastAsia="nl-NL"/>
        </w:rPr>
        <w:t>e</w:t>
      </w:r>
      <w:r w:rsidRPr="00C903F8">
        <w:rPr>
          <w:noProof/>
          <w:lang w:val="en-US" w:eastAsia="nl-NL"/>
        </w:rPr>
        <w:tab/>
        <w:t>=</w:t>
      </w:r>
      <w:r w:rsidRPr="00C903F8">
        <w:rPr>
          <w:noProof/>
          <w:lang w:val="en-US" w:eastAsia="nl-NL"/>
        </w:rPr>
        <w:tab/>
        <w:t>European Union</w:t>
      </w:r>
    </w:p>
    <w:p w:rsidR="009C13A9" w:rsidRPr="00C903F8" w:rsidRDefault="009C13A9" w:rsidP="009C13A9">
      <w:pPr>
        <w:tabs>
          <w:tab w:val="left" w:pos="993"/>
        </w:tabs>
        <w:spacing w:before="60" w:line="240" w:lineRule="atLeast"/>
        <w:ind w:left="1418" w:hanging="993"/>
        <w:rPr>
          <w:noProof/>
          <w:lang w:val="en-US" w:eastAsia="nl-NL"/>
        </w:rPr>
      </w:pPr>
      <w:r w:rsidRPr="00C903F8">
        <w:rPr>
          <w:noProof/>
          <w:lang w:val="en-US" w:eastAsia="nl-NL"/>
        </w:rPr>
        <w:t>NN</w:t>
      </w:r>
      <w:r w:rsidRPr="00C903F8">
        <w:rPr>
          <w:noProof/>
          <w:lang w:val="en-US" w:eastAsia="nl-NL"/>
        </w:rPr>
        <w:tab/>
        <w:t>=</w:t>
      </w:r>
      <w:r w:rsidRPr="00C903F8">
        <w:rPr>
          <w:noProof/>
          <w:lang w:val="en-US" w:eastAsia="nl-NL"/>
        </w:rPr>
        <w:tab/>
        <w:t>number for the country of type-approval, where</w:t>
      </w:r>
    </w:p>
    <w:p w:rsidR="009C13A9" w:rsidRPr="00C903F8" w:rsidRDefault="009C13A9" w:rsidP="009C13A9">
      <w:pPr>
        <w:spacing w:line="240" w:lineRule="atLeast"/>
        <w:ind w:left="426" w:firstLine="0"/>
        <w:rPr>
          <w:noProof/>
          <w:lang w:val="en-US" w:eastAsia="nl-NL"/>
        </w:rPr>
      </w:pPr>
    </w:p>
    <w:tbl>
      <w:tblPr>
        <w:tblW w:w="7587" w:type="dxa"/>
        <w:jc w:val="center"/>
        <w:tblLayout w:type="fixed"/>
        <w:tblLook w:val="0000" w:firstRow="0" w:lastRow="0" w:firstColumn="0" w:lastColumn="0" w:noHBand="0" w:noVBand="0"/>
      </w:tblPr>
      <w:tblGrid>
        <w:gridCol w:w="720"/>
        <w:gridCol w:w="360"/>
        <w:gridCol w:w="3162"/>
        <w:gridCol w:w="724"/>
        <w:gridCol w:w="416"/>
        <w:gridCol w:w="2205"/>
      </w:tblGrid>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01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Germany</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19</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w:t>
            </w:r>
          </w:p>
        </w:tc>
        <w:tc>
          <w:tcPr>
            <w:tcW w:w="2205" w:type="dxa"/>
          </w:tcPr>
          <w:p w:rsidR="009C13A9" w:rsidRPr="00C903F8" w:rsidRDefault="009C13A9" w:rsidP="009C13A9">
            <w:pPr>
              <w:spacing w:before="40" w:after="40" w:line="240" w:lineRule="atLeast"/>
              <w:rPr>
                <w:noProof/>
                <w:szCs w:val="20"/>
                <w:lang w:bidi="fr-FR"/>
              </w:rPr>
            </w:pPr>
            <w:r w:rsidRPr="00C903F8">
              <w:rPr>
                <w:noProof/>
                <w:lang w:val="en-US"/>
              </w:rPr>
              <w:t>Romania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02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France </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20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Poland </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03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Italy</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21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Portugal </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04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Netherlands </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23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noProof/>
                <w:lang w:val="en-US"/>
              </w:rPr>
              <w:t>Greece</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05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Sweden</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24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noProof/>
                <w:lang w:val="en-US"/>
              </w:rPr>
              <w:t>Ireland</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06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Belgium </w:t>
            </w:r>
          </w:p>
        </w:tc>
        <w:tc>
          <w:tcPr>
            <w:tcW w:w="724" w:type="dxa"/>
            <w:vAlign w:val="center"/>
          </w:tcPr>
          <w:p w:rsidR="009C13A9" w:rsidRPr="00C903F8" w:rsidRDefault="009C13A9" w:rsidP="009C13A9">
            <w:pPr>
              <w:spacing w:before="40" w:after="40" w:line="240" w:lineRule="atLeast"/>
              <w:rPr>
                <w:noProof/>
                <w:szCs w:val="20"/>
                <w:lang w:bidi="fr-FR"/>
              </w:rPr>
            </w:pPr>
            <w:r w:rsidRPr="00C903F8">
              <w:rPr>
                <w:rFonts w:eastAsia="Arial" w:cs="Arial"/>
                <w:color w:val="000000"/>
                <w:szCs w:val="20"/>
                <w:lang w:val="de-DE" w:eastAsia="ar-SA"/>
              </w:rPr>
              <w:t>25</w:t>
            </w:r>
          </w:p>
        </w:tc>
        <w:tc>
          <w:tcPr>
            <w:tcW w:w="416" w:type="dxa"/>
            <w:vAlign w:val="center"/>
          </w:tcPr>
          <w:p w:rsidR="009C13A9" w:rsidRPr="00C903F8" w:rsidRDefault="009C13A9" w:rsidP="009C13A9">
            <w:pPr>
              <w:spacing w:before="40" w:after="40" w:line="240" w:lineRule="atLeast"/>
              <w:rPr>
                <w:noProof/>
                <w:szCs w:val="20"/>
                <w:lang w:bidi="fr-FR"/>
              </w:rPr>
            </w:pPr>
            <w:r w:rsidRPr="00C903F8">
              <w:rPr>
                <w:rFonts w:eastAsia="Arial" w:cs="Arial"/>
                <w:color w:val="000000"/>
                <w:szCs w:val="20"/>
                <w:lang w:val="de-DE" w:eastAsia="ar-SA"/>
              </w:rPr>
              <w:t>=</w:t>
            </w:r>
          </w:p>
        </w:tc>
        <w:tc>
          <w:tcPr>
            <w:tcW w:w="2205" w:type="dxa"/>
            <w:vAlign w:val="center"/>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Croatia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07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Hungary</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26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Slovenia</w:t>
            </w:r>
          </w:p>
        </w:tc>
      </w:tr>
      <w:tr w:rsidR="009C13A9" w:rsidRPr="00C903F8" w:rsidTr="009C13A9">
        <w:trPr>
          <w:jc w:val="center"/>
        </w:trPr>
        <w:tc>
          <w:tcPr>
            <w:tcW w:w="720" w:type="dxa"/>
          </w:tcPr>
          <w:p w:rsidR="009C13A9" w:rsidRPr="00C903F8" w:rsidRDefault="009C13A9" w:rsidP="009C13A9">
            <w:pPr>
              <w:spacing w:before="40" w:after="160" w:line="240" w:lineRule="atLeast"/>
              <w:rPr>
                <w:noProof/>
                <w:szCs w:val="20"/>
                <w:lang w:bidi="fr-FR"/>
              </w:rPr>
            </w:pPr>
            <w:r w:rsidRPr="00C903F8">
              <w:rPr>
                <w:noProof/>
                <w:szCs w:val="20"/>
                <w:lang w:bidi="fr-FR"/>
              </w:rPr>
              <w:t xml:space="preserve">08 </w:t>
            </w:r>
          </w:p>
        </w:tc>
        <w:tc>
          <w:tcPr>
            <w:tcW w:w="360" w:type="dxa"/>
          </w:tcPr>
          <w:p w:rsidR="009C13A9" w:rsidRPr="00C903F8" w:rsidRDefault="009C13A9" w:rsidP="009C13A9">
            <w:pPr>
              <w:spacing w:before="40" w:after="16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160" w:line="240" w:lineRule="atLeast"/>
              <w:rPr>
                <w:noProof/>
                <w:szCs w:val="20"/>
                <w:lang w:bidi="fr-FR"/>
              </w:rPr>
            </w:pPr>
            <w:r w:rsidRPr="00C903F8">
              <w:rPr>
                <w:rFonts w:cs="Arial"/>
                <w:noProof/>
                <w:snapToGrid w:val="0"/>
                <w:szCs w:val="20"/>
                <w:lang w:val="en-US"/>
              </w:rPr>
              <w:t>Czech Republic</w:t>
            </w:r>
          </w:p>
        </w:tc>
        <w:tc>
          <w:tcPr>
            <w:tcW w:w="724" w:type="dxa"/>
          </w:tcPr>
          <w:p w:rsidR="009C13A9" w:rsidRPr="00C903F8" w:rsidRDefault="009C13A9" w:rsidP="009C13A9">
            <w:pPr>
              <w:spacing w:before="40" w:after="160" w:line="240" w:lineRule="atLeast"/>
              <w:rPr>
                <w:noProof/>
                <w:szCs w:val="20"/>
                <w:lang w:bidi="fr-FR"/>
              </w:rPr>
            </w:pPr>
            <w:r w:rsidRPr="00C903F8">
              <w:rPr>
                <w:noProof/>
                <w:szCs w:val="20"/>
                <w:lang w:bidi="fr-FR"/>
              </w:rPr>
              <w:t xml:space="preserve">27 </w:t>
            </w:r>
          </w:p>
        </w:tc>
        <w:tc>
          <w:tcPr>
            <w:tcW w:w="416" w:type="dxa"/>
          </w:tcPr>
          <w:p w:rsidR="009C13A9" w:rsidRPr="00C903F8" w:rsidRDefault="009C13A9" w:rsidP="009C13A9">
            <w:pPr>
              <w:spacing w:before="40" w:after="16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160" w:line="240" w:lineRule="atLeast"/>
              <w:rPr>
                <w:noProof/>
                <w:szCs w:val="20"/>
                <w:lang w:bidi="fr-FR"/>
              </w:rPr>
            </w:pPr>
            <w:r w:rsidRPr="00C903F8">
              <w:rPr>
                <w:noProof/>
                <w:lang w:val="en-US"/>
              </w:rPr>
              <w:t>Slovakia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09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Spain </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29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Estonia</w:t>
            </w:r>
          </w:p>
        </w:tc>
      </w:tr>
    </w:tbl>
    <w:p w:rsidR="009C13A9" w:rsidRPr="00C903F8" w:rsidRDefault="009C13A9" w:rsidP="001077F3">
      <w:pPr>
        <w:ind w:left="0" w:firstLine="0"/>
      </w:pPr>
    </w:p>
    <w:tbl>
      <w:tblPr>
        <w:tblW w:w="7587" w:type="dxa"/>
        <w:jc w:val="center"/>
        <w:tblLayout w:type="fixed"/>
        <w:tblLook w:val="0000" w:firstRow="0" w:lastRow="0" w:firstColumn="0" w:lastColumn="0" w:noHBand="0" w:noVBand="0"/>
      </w:tblPr>
      <w:tblGrid>
        <w:gridCol w:w="720"/>
        <w:gridCol w:w="360"/>
        <w:gridCol w:w="3162"/>
        <w:gridCol w:w="724"/>
        <w:gridCol w:w="416"/>
        <w:gridCol w:w="2205"/>
      </w:tblGrid>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11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lang w:val="en-US"/>
              </w:rPr>
              <w:t>United Kingdom</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32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Latvia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12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Austria</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34</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w:t>
            </w:r>
          </w:p>
        </w:tc>
        <w:tc>
          <w:tcPr>
            <w:tcW w:w="2205" w:type="dxa"/>
          </w:tcPr>
          <w:p w:rsidR="009C13A9" w:rsidRPr="00C903F8" w:rsidRDefault="009C13A9" w:rsidP="009C13A9">
            <w:pPr>
              <w:spacing w:before="40" w:after="40" w:line="240" w:lineRule="atLeast"/>
              <w:rPr>
                <w:noProof/>
                <w:szCs w:val="20"/>
                <w:lang w:bidi="fr-FR"/>
              </w:rPr>
            </w:pPr>
            <w:r w:rsidRPr="00C903F8">
              <w:rPr>
                <w:noProof/>
                <w:lang w:val="en-US"/>
              </w:rPr>
              <w:t>Bulgaria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13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Luxembourg </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36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Lithuania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14</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Switzerland</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49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noProof/>
                <w:lang w:val="en-US"/>
              </w:rPr>
              <w:t>Cyprus</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17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Finland</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50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Malta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18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Denmark </w:t>
            </w:r>
          </w:p>
        </w:tc>
        <w:tc>
          <w:tcPr>
            <w:tcW w:w="724" w:type="dxa"/>
          </w:tcPr>
          <w:p w:rsidR="009C13A9" w:rsidRPr="00C903F8" w:rsidRDefault="009C13A9" w:rsidP="009C13A9">
            <w:pPr>
              <w:spacing w:before="40" w:after="40" w:line="240" w:lineRule="atLeast"/>
              <w:rPr>
                <w:noProof/>
                <w:szCs w:val="20"/>
                <w:lang w:bidi="fr-FR"/>
              </w:rPr>
            </w:pPr>
          </w:p>
        </w:tc>
        <w:tc>
          <w:tcPr>
            <w:tcW w:w="416" w:type="dxa"/>
          </w:tcPr>
          <w:p w:rsidR="009C13A9" w:rsidRPr="00C903F8" w:rsidRDefault="009C13A9" w:rsidP="009C13A9">
            <w:pPr>
              <w:spacing w:before="40" w:after="40" w:line="240" w:lineRule="atLeast"/>
              <w:rPr>
                <w:noProof/>
                <w:szCs w:val="20"/>
                <w:lang w:bidi="fr-FR"/>
              </w:rPr>
            </w:pPr>
          </w:p>
        </w:tc>
        <w:tc>
          <w:tcPr>
            <w:tcW w:w="2205" w:type="dxa"/>
          </w:tcPr>
          <w:p w:rsidR="009C13A9" w:rsidRPr="00C903F8" w:rsidRDefault="009C13A9" w:rsidP="009C13A9">
            <w:pPr>
              <w:spacing w:before="40" w:after="40" w:line="240" w:lineRule="atLeast"/>
              <w:rPr>
                <w:noProof/>
                <w:szCs w:val="20"/>
                <w:lang w:bidi="fr-FR"/>
              </w:rPr>
            </w:pPr>
          </w:p>
        </w:tc>
      </w:tr>
    </w:tbl>
    <w:p w:rsidR="009C13A9" w:rsidRPr="00C903F8" w:rsidRDefault="009C13A9" w:rsidP="009C13A9">
      <w:pPr>
        <w:tabs>
          <w:tab w:val="left" w:pos="993"/>
        </w:tabs>
        <w:spacing w:line="240" w:lineRule="atLeast"/>
        <w:ind w:left="1418" w:hanging="992"/>
        <w:rPr>
          <w:noProof/>
          <w:lang w:eastAsia="nl-NL" w:bidi="fr-FR"/>
        </w:rPr>
      </w:pPr>
    </w:p>
    <w:p w:rsidR="009C13A9" w:rsidRPr="00C903F8" w:rsidRDefault="009C13A9" w:rsidP="009C13A9">
      <w:pPr>
        <w:tabs>
          <w:tab w:val="left" w:pos="993"/>
        </w:tabs>
        <w:spacing w:line="240" w:lineRule="atLeast"/>
        <w:ind w:left="1418" w:hanging="992"/>
        <w:rPr>
          <w:noProof/>
          <w:lang w:val="en-US" w:eastAsia="nl-NL" w:bidi="fr-FR"/>
        </w:rPr>
      </w:pPr>
      <w:r w:rsidRPr="00C903F8">
        <w:rPr>
          <w:noProof/>
          <w:lang w:val="en-US" w:eastAsia="nl-NL" w:bidi="fr-FR"/>
        </w:rPr>
        <w:t>NNN</w:t>
      </w:r>
      <w:r w:rsidRPr="00C903F8">
        <w:rPr>
          <w:noProof/>
          <w:lang w:val="en-US" w:eastAsia="nl-NL" w:bidi="fr-FR"/>
        </w:rPr>
        <w:tab/>
        <w:t>=</w:t>
      </w:r>
      <w:r w:rsidRPr="00C903F8">
        <w:rPr>
          <w:noProof/>
          <w:lang w:val="en-US" w:eastAsia="nl-NL" w:bidi="fr-FR"/>
        </w:rPr>
        <w:tab/>
        <w:t>three-digit number, to be determined by the competent authority.</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3.</w:t>
      </w:r>
      <w:r w:rsidRPr="00C903F8">
        <w:rPr>
          <w:rFonts w:cs="Arial"/>
          <w:noProof/>
          <w:color w:val="000000"/>
          <w:lang w:val="en-US"/>
        </w:rPr>
        <w:tab/>
        <w:t xml:space="preserve">The type-approval number shall be used only in conjunction with the associated type-approval. </w:t>
      </w:r>
    </w:p>
    <w:p w:rsidR="009C13A9" w:rsidRPr="00C903F8" w:rsidRDefault="009C13A9" w:rsidP="009C13A9">
      <w:pPr>
        <w:spacing w:line="240" w:lineRule="atLeast"/>
        <w:ind w:left="426" w:firstLine="0"/>
        <w:rPr>
          <w:noProof/>
          <w:lang w:val="en-US" w:eastAsia="nl-NL"/>
        </w:rPr>
      </w:pPr>
      <w:r w:rsidRPr="00C903F8">
        <w:rPr>
          <w:noProof/>
          <w:lang w:val="en-US" w:eastAsia="nl-NL"/>
        </w:rPr>
        <w:t>It shall be the responsibility of the applicant to produce and affix the type-approval number.</w:t>
      </w:r>
    </w:p>
    <w:p w:rsidR="009C13A9" w:rsidRPr="00C903F8" w:rsidRDefault="009C13A9" w:rsidP="009C13A9">
      <w:pPr>
        <w:tabs>
          <w:tab w:val="left" w:leader="dot" w:pos="9072"/>
        </w:tabs>
        <w:spacing w:line="240" w:lineRule="atLeast"/>
        <w:ind w:left="0" w:firstLine="0"/>
        <w:rPr>
          <w:rFonts w:cs="Arial"/>
          <w:lang w:val="en-US"/>
        </w:rPr>
      </w:pPr>
    </w:p>
    <w:p w:rsidR="009C13A9" w:rsidRPr="00C903F8" w:rsidRDefault="009C13A9" w:rsidP="009C13A9">
      <w:pPr>
        <w:tabs>
          <w:tab w:val="left" w:leader="dot" w:pos="9072"/>
        </w:tabs>
        <w:spacing w:line="240" w:lineRule="atLeast"/>
        <w:ind w:left="0" w:firstLine="0"/>
        <w:rPr>
          <w:rFonts w:cs="Arial"/>
          <w:lang w:val="en-US"/>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8</w:t>
      </w:r>
      <w:r w:rsidRPr="00C903F8">
        <w:rPr>
          <w:rFonts w:cs="Arial"/>
          <w:b/>
          <w:noProof/>
          <w:lang w:val="en-US"/>
        </w:rPr>
        <w:br/>
      </w:r>
      <w:r w:rsidRPr="00C903F8">
        <w:rPr>
          <w:rFonts w:cs="Arial"/>
          <w:i/>
          <w:noProof/>
          <w:lang w:val="en-US"/>
        </w:rPr>
        <w:t>Manufacturer’s declaration</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Each unit of equipment shall be accompanied by a manufacturer's declaration.</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9</w:t>
      </w:r>
      <w:r w:rsidRPr="00C903F8">
        <w:rPr>
          <w:rFonts w:cs="Arial"/>
          <w:b/>
          <w:noProof/>
          <w:lang w:val="en-US"/>
        </w:rPr>
        <w:br/>
      </w:r>
      <w:r w:rsidRPr="00C903F8">
        <w:rPr>
          <w:rFonts w:cs="Arial"/>
          <w:i/>
          <w:noProof/>
          <w:lang w:val="en-US"/>
        </w:rPr>
        <w:t>Modifications to type-approved equipment</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1.</w:t>
      </w:r>
      <w:r w:rsidRPr="00C903F8">
        <w:rPr>
          <w:rFonts w:cs="Arial"/>
          <w:noProof/>
          <w:color w:val="000000"/>
          <w:lang w:val="en-US"/>
        </w:rPr>
        <w:tab/>
        <w:t xml:space="preserve">Any modification made to equipment already approved shall cause the type-approval to be </w:t>
      </w:r>
      <w:r w:rsidR="00D052FA" w:rsidRPr="00C903F8">
        <w:rPr>
          <w:rFonts w:cs="Arial"/>
          <w:noProof/>
          <w:color w:val="000000"/>
          <w:lang w:val="en-US"/>
        </w:rPr>
        <w:t>forfeit</w:t>
      </w:r>
      <w:r w:rsidRPr="00C903F8">
        <w:rPr>
          <w:rFonts w:cs="Arial"/>
          <w:noProof/>
          <w:color w:val="000000"/>
          <w:lang w:val="en-US"/>
        </w:rPr>
        <w:t xml:space="preserve">. </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Whenever modifications are planned, details shall be sent in writing to the competent technical service.</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2.</w:t>
      </w:r>
      <w:r w:rsidRPr="00C903F8">
        <w:rPr>
          <w:rFonts w:cs="Arial"/>
          <w:noProof/>
          <w:color w:val="000000"/>
          <w:lang w:val="en-US"/>
        </w:rPr>
        <w:tab/>
        <w:t>The competent authority shall decide following consultation with the technical service whether the type-approval still applies or whether an inspection or new type test is necessary</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If a new type test is granted, a new type-approval number shall be assigned.</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br w:type="page"/>
      </w:r>
    </w:p>
    <w:p w:rsidR="009C13A9" w:rsidRPr="00C903F8" w:rsidRDefault="009C13A9" w:rsidP="009C13A9">
      <w:pPr>
        <w:spacing w:line="240" w:lineRule="atLeast"/>
        <w:ind w:left="426" w:firstLine="0"/>
        <w:rPr>
          <w:noProof/>
          <w:lang w:val="en-US" w:eastAsia="nl-NL"/>
        </w:rPr>
      </w:pPr>
    </w:p>
    <w:p w:rsidR="001077F3" w:rsidRPr="002043D6" w:rsidRDefault="001077F3" w:rsidP="001077F3">
      <w:pPr>
        <w:overflowPunct w:val="0"/>
        <w:adjustRightInd w:val="0"/>
        <w:spacing w:line="240" w:lineRule="atLeast"/>
        <w:jc w:val="center"/>
        <w:textAlignment w:val="baseline"/>
        <w:rPr>
          <w:rFonts w:cs="Arial"/>
          <w:b/>
          <w:bCs/>
          <w:noProof/>
          <w:lang w:val="en-US"/>
        </w:rPr>
      </w:pPr>
      <w:r w:rsidRPr="002043D6">
        <w:rPr>
          <w:rFonts w:cs="Arial"/>
          <w:b/>
          <w:bCs/>
          <w:noProof/>
          <w:lang w:val="en-US"/>
        </w:rPr>
        <w:t>Appendix</w:t>
      </w:r>
    </w:p>
    <w:p w:rsidR="001077F3" w:rsidRPr="002043D6" w:rsidRDefault="001077F3" w:rsidP="001077F3">
      <w:pPr>
        <w:tabs>
          <w:tab w:val="left" w:pos="0"/>
        </w:tabs>
        <w:suppressAutoHyphens/>
        <w:spacing w:line="240" w:lineRule="atLeast"/>
        <w:ind w:left="1276" w:hanging="992"/>
        <w:jc w:val="center"/>
        <w:rPr>
          <w:b/>
          <w:szCs w:val="20"/>
          <w:lang w:val="en-GB" w:eastAsia="en-GB"/>
        </w:rPr>
      </w:pPr>
      <w:r w:rsidRPr="002043D6">
        <w:rPr>
          <w:b/>
          <w:szCs w:val="20"/>
          <w:lang w:val="en-GB" w:eastAsia="en-GB"/>
        </w:rPr>
        <w:t>Figure 1:</w:t>
      </w:r>
      <w:r w:rsidRPr="002043D6">
        <w:rPr>
          <w:b/>
          <w:szCs w:val="20"/>
          <w:lang w:val="en-GB" w:eastAsia="en-GB"/>
        </w:rPr>
        <w:tab/>
        <w:t>Inland ECDIS equipment, standalone equipment connected to the radar equipment (system configuration 2)</w:t>
      </w:r>
    </w:p>
    <w:p w:rsidR="001077F3" w:rsidRPr="002043D6" w:rsidRDefault="001077F3" w:rsidP="001077F3">
      <w:pPr>
        <w:tabs>
          <w:tab w:val="left" w:pos="0"/>
        </w:tabs>
        <w:suppressAutoHyphens/>
        <w:spacing w:line="240" w:lineRule="atLeast"/>
        <w:ind w:left="993" w:hanging="709"/>
        <w:rPr>
          <w:b/>
          <w:i/>
          <w:sz w:val="18"/>
          <w:lang w:val="en-GB" w:eastAsia="en-GB"/>
        </w:rPr>
      </w:pPr>
    </w:p>
    <w:p w:rsidR="001077F3" w:rsidRPr="002043D6" w:rsidRDefault="001077F3" w:rsidP="001077F3">
      <w:pPr>
        <w:tabs>
          <w:tab w:val="left" w:pos="0"/>
        </w:tabs>
        <w:suppressAutoHyphens/>
        <w:spacing w:line="240" w:lineRule="atLeast"/>
        <w:ind w:left="993" w:hanging="709"/>
        <w:rPr>
          <w:b/>
          <w:i/>
          <w:sz w:val="18"/>
          <w:lang w:val="en-GB" w:eastAsia="en-GB"/>
        </w:rPr>
      </w:pPr>
      <w:r w:rsidRPr="002043D6">
        <w:rPr>
          <w:noProof/>
        </w:rPr>
        <mc:AlternateContent>
          <mc:Choice Requires="wps">
            <w:drawing>
              <wp:anchor distT="0" distB="0" distL="114300" distR="114300" simplePos="0" relativeHeight="251682816" behindDoc="0" locked="0" layoutInCell="1" allowOverlap="1" wp14:anchorId="5F4B0696" wp14:editId="5C4886E7">
                <wp:simplePos x="0" y="0"/>
                <wp:positionH relativeFrom="column">
                  <wp:posOffset>252095</wp:posOffset>
                </wp:positionH>
                <wp:positionV relativeFrom="paragraph">
                  <wp:posOffset>130175</wp:posOffset>
                </wp:positionV>
                <wp:extent cx="2333625" cy="3438525"/>
                <wp:effectExtent l="0" t="0" r="28575" b="285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438525"/>
                        </a:xfrm>
                        <a:prstGeom prst="rect">
                          <a:avLst/>
                        </a:prstGeom>
                        <a:noFill/>
                        <a:ln w="25400">
                          <a:solidFill>
                            <a:srgbClr val="F79646"/>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B7C0F5" id="Rectangle 4" o:spid="_x0000_s1026" style="position:absolute;margin-left:19.85pt;margin-top:10.25pt;width:183.75pt;height:27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" filled="f" strokecolor="#f79646" strokeweight="2pt">
                <v:stroke dashstyle="dash"/>
              </v:rect>
            </w:pict>
          </mc:Fallback>
        </mc:AlternateContent>
      </w:r>
      <w:r w:rsidRPr="002043D6">
        <w:rPr>
          <w:b/>
          <w:i/>
          <w:noProof/>
          <w:sz w:val="18"/>
        </w:rPr>
        <w:drawing>
          <wp:inline distT="0" distB="0" distL="0" distR="0" wp14:anchorId="656C20A9" wp14:editId="002DDDF2">
            <wp:extent cx="5362575" cy="3913309"/>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67317" cy="3916769"/>
                    </a:xfrm>
                    <a:prstGeom prst="rect">
                      <a:avLst/>
                    </a:prstGeom>
                    <a:noFill/>
                  </pic:spPr>
                </pic:pic>
              </a:graphicData>
            </a:graphic>
          </wp:inline>
        </w:drawing>
      </w:r>
    </w:p>
    <w:p w:rsidR="001077F3" w:rsidRPr="00C15BF5" w:rsidRDefault="001077F3" w:rsidP="001077F3">
      <w:pPr>
        <w:tabs>
          <w:tab w:val="left" w:pos="0"/>
        </w:tabs>
        <w:suppressAutoHyphens/>
        <w:spacing w:line="240" w:lineRule="atLeast"/>
        <w:ind w:left="1276" w:hanging="992"/>
        <w:rPr>
          <w:b/>
          <w:szCs w:val="20"/>
          <w:lang w:val="en-GB" w:eastAsia="en-GB"/>
        </w:rPr>
      </w:pPr>
      <w:r w:rsidRPr="002043D6">
        <w:rPr>
          <w:b/>
          <w:szCs w:val="20"/>
          <w:lang w:val="en-GB" w:eastAsia="en-GB"/>
        </w:rPr>
        <w:t>Figure 2:</w:t>
      </w:r>
      <w:r w:rsidRPr="002043D6">
        <w:rPr>
          <w:b/>
          <w:szCs w:val="20"/>
          <w:lang w:val="en-GB" w:eastAsia="en-GB"/>
        </w:rPr>
        <w:tab/>
        <w:t>Inland ECDIS equipment, standalone equipment connected to the radar installation and shared monitor (system configuration 3)</w:t>
      </w:r>
    </w:p>
    <w:p w:rsidR="001077F3" w:rsidRPr="00C15BF5" w:rsidRDefault="001077F3" w:rsidP="001077F3">
      <w:pPr>
        <w:tabs>
          <w:tab w:val="left" w:pos="0"/>
        </w:tabs>
        <w:suppressAutoHyphens/>
        <w:spacing w:line="240" w:lineRule="atLeast"/>
        <w:ind w:left="1276" w:hanging="992"/>
        <w:rPr>
          <w:b/>
          <w:i/>
          <w:sz w:val="18"/>
          <w:lang w:val="en-GB" w:eastAsia="en-GB"/>
        </w:rPr>
      </w:pPr>
    </w:p>
    <w:p w:rsidR="001077F3" w:rsidRPr="00C15BF5" w:rsidRDefault="001077F3" w:rsidP="001077F3">
      <w:pPr>
        <w:tabs>
          <w:tab w:val="left" w:pos="0"/>
        </w:tabs>
        <w:suppressAutoHyphens/>
        <w:spacing w:line="240" w:lineRule="atLeast"/>
        <w:ind w:left="993" w:hanging="709"/>
        <w:rPr>
          <w:rFonts w:cs="Arial"/>
          <w:b/>
          <w:i/>
          <w:sz w:val="18"/>
          <w:szCs w:val="18"/>
          <w:lang w:val="en-GB" w:eastAsia="en-GB"/>
        </w:rPr>
      </w:pPr>
      <w:r w:rsidRPr="00C15BF5">
        <w:rPr>
          <w:noProof/>
        </w:rPr>
        <mc:AlternateContent>
          <mc:Choice Requires="wps">
            <w:drawing>
              <wp:anchor distT="0" distB="0" distL="114300" distR="114300" simplePos="0" relativeHeight="251683840" behindDoc="0" locked="0" layoutInCell="1" allowOverlap="1" wp14:anchorId="7AA84BA0" wp14:editId="256A3A9B">
                <wp:simplePos x="0" y="0"/>
                <wp:positionH relativeFrom="column">
                  <wp:posOffset>213995</wp:posOffset>
                </wp:positionH>
                <wp:positionV relativeFrom="paragraph">
                  <wp:posOffset>84455</wp:posOffset>
                </wp:positionV>
                <wp:extent cx="2133600" cy="2867025"/>
                <wp:effectExtent l="0" t="0" r="19050" b="28575"/>
                <wp:wrapNone/>
                <wp:docPr id="28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2867025"/>
                        </a:xfrm>
                        <a:custGeom>
                          <a:avLst/>
                          <a:gdLst>
                            <a:gd name="T0" fmla="*/ 0 w 2019300"/>
                            <a:gd name="T1" fmla="*/ 1466850 h 2867025"/>
                            <a:gd name="T2" fmla="*/ 0 w 2019300"/>
                            <a:gd name="T3" fmla="*/ 0 h 2867025"/>
                            <a:gd name="T4" fmla="*/ 781050 w 2019300"/>
                            <a:gd name="T5" fmla="*/ 0 h 2867025"/>
                            <a:gd name="T6" fmla="*/ 771525 w 2019300"/>
                            <a:gd name="T7" fmla="*/ 1457325 h 2867025"/>
                            <a:gd name="T8" fmla="*/ 2019300 w 2019300"/>
                            <a:gd name="T9" fmla="*/ 1466850 h 2867025"/>
                            <a:gd name="T10" fmla="*/ 2019300 w 2019300"/>
                            <a:gd name="T11" fmla="*/ 2867025 h 2867025"/>
                            <a:gd name="T12" fmla="*/ 0 w 2019300"/>
                            <a:gd name="T13" fmla="*/ 2867025 h 2867025"/>
                            <a:gd name="T14" fmla="*/ 0 w 2019300"/>
                            <a:gd name="T15" fmla="*/ 1466850 h 28670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19300" h="2867025">
                              <a:moveTo>
                                <a:pt x="0" y="1466850"/>
                              </a:moveTo>
                              <a:lnTo>
                                <a:pt x="0" y="0"/>
                              </a:lnTo>
                              <a:lnTo>
                                <a:pt x="781050" y="0"/>
                              </a:lnTo>
                              <a:lnTo>
                                <a:pt x="771525" y="1457325"/>
                              </a:lnTo>
                              <a:lnTo>
                                <a:pt x="2019300" y="1466850"/>
                              </a:lnTo>
                              <a:lnTo>
                                <a:pt x="2019300" y="2867025"/>
                              </a:lnTo>
                              <a:lnTo>
                                <a:pt x="0" y="2867025"/>
                              </a:lnTo>
                              <a:lnTo>
                                <a:pt x="0" y="1466850"/>
                              </a:lnTo>
                              <a:close/>
                            </a:path>
                          </a:pathLst>
                        </a:custGeom>
                        <a:noFill/>
                        <a:ln w="25400">
                          <a:solidFill>
                            <a:srgbClr val="F7964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6980E" id="Rectangle 5" o:spid="_x0000_s1026" style="position:absolute;margin-left:16.85pt;margin-top:6.65pt;width:168pt;height:22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0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" path="m,1466850l,,781050,r-9525,1457325l2019300,1466850r,1400175l,2867025,,1466850xe" filled="f" strokecolor="#f79646" strokeweight="2pt">
                <v:stroke dashstyle="dash"/>
                <v:path arrowok="t" o:connecttype="custom" o:connectlocs="0,1466850;0,0;825260,0;815196,1457325;2133600,1466850;2133600,2867025;0,2867025;0,1466850" o:connectangles="0,0,0,0,0,0,0,0"/>
              </v:shape>
            </w:pict>
          </mc:Fallback>
        </mc:AlternateContent>
      </w:r>
      <w:r w:rsidRPr="00C15BF5">
        <w:rPr>
          <w:rFonts w:cs="Arial"/>
          <w:b/>
          <w:i/>
          <w:noProof/>
          <w:sz w:val="18"/>
          <w:szCs w:val="18"/>
        </w:rPr>
        <w:drawing>
          <wp:inline distT="0" distB="0" distL="0" distR="0" wp14:anchorId="7757095F" wp14:editId="610F8323">
            <wp:extent cx="5362575" cy="3005907"/>
            <wp:effectExtent l="0" t="0" r="0" b="4445"/>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62939" cy="3006111"/>
                    </a:xfrm>
                    <a:prstGeom prst="rect">
                      <a:avLst/>
                    </a:prstGeom>
                    <a:noFill/>
                  </pic:spPr>
                </pic:pic>
              </a:graphicData>
            </a:graphic>
          </wp:inline>
        </w:drawing>
      </w:r>
    </w:p>
    <w:p w:rsidR="001077F3" w:rsidRPr="00C15BF5" w:rsidRDefault="001077F3" w:rsidP="001077F3">
      <w:pPr>
        <w:adjustRightInd w:val="0"/>
        <w:spacing w:line="240" w:lineRule="atLeast"/>
        <w:jc w:val="center"/>
        <w:rPr>
          <w:rFonts w:ascii="Times New Roman" w:hAnsi="Times New Roman"/>
          <w:sz w:val="24"/>
          <w:lang w:val="en-GB" w:eastAsia="en-GB"/>
        </w:rPr>
      </w:pPr>
      <w:r w:rsidRPr="00C15BF5">
        <w:rPr>
          <w:noProof/>
        </w:rPr>
        <mc:AlternateContent>
          <mc:Choice Requires="wps">
            <w:drawing>
              <wp:anchor distT="0" distB="0" distL="114300" distR="114300" simplePos="0" relativeHeight="251681792" behindDoc="0" locked="0" layoutInCell="1" allowOverlap="1" wp14:anchorId="2B26B8D9" wp14:editId="078E1C3A">
                <wp:simplePos x="0" y="0"/>
                <wp:positionH relativeFrom="column">
                  <wp:posOffset>194945</wp:posOffset>
                </wp:positionH>
                <wp:positionV relativeFrom="paragraph">
                  <wp:posOffset>125095</wp:posOffset>
                </wp:positionV>
                <wp:extent cx="1943100" cy="304800"/>
                <wp:effectExtent l="0" t="0" r="19050" b="19050"/>
                <wp:wrapNone/>
                <wp:docPr id="29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04800"/>
                        </a:xfrm>
                        <a:prstGeom prst="rect">
                          <a:avLst/>
                        </a:prstGeom>
                        <a:noFill/>
                        <a:ln w="25400">
                          <a:solidFill>
                            <a:srgbClr val="F7964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C60AC1" w:rsidRPr="00CC14C6" w:rsidRDefault="00C60AC1" w:rsidP="001077F3">
                            <w:pPr>
                              <w:rPr>
                                <w:szCs w:val="20"/>
                              </w:rPr>
                            </w:pPr>
                            <w:r w:rsidRPr="00CC14C6">
                              <w:rPr>
                                <w:szCs w:val="20"/>
                              </w:rPr>
                              <w:t xml:space="preserve">Inland AIS </w:t>
                            </w:r>
                            <w:r w:rsidRPr="002C7569">
                              <w:rPr>
                                <w:sz w:val="16"/>
                                <w:szCs w:val="16"/>
                                <w:lang w:val="en-GB" w:eastAsia="en-GB"/>
                              </w:rPr>
                              <w:t>equipment</w:t>
                            </w:r>
                            <w:r w:rsidRPr="00C15BF5">
                              <w:rPr>
                                <w:b/>
                                <w:szCs w:val="20"/>
                                <w:lang w:val="en-GB" w:eastAsia="en-GB"/>
                              </w:rPr>
                              <w:t xml:space="preserve"> </w:t>
                            </w:r>
                            <w:r w:rsidRPr="002C7569">
                              <w:rPr>
                                <w:sz w:val="16"/>
                                <w:szCs w:val="16"/>
                                <w:lang w:val="en-GB" w:eastAsia="en-GB"/>
                              </w:rPr>
                              <w:t>hardware</w:t>
                            </w:r>
                            <w:r>
                              <w:rPr>
                                <w:sz w:val="16"/>
                                <w:szCs w:val="16"/>
                                <w:lang w:val="en-GB" w:eastAsia="en-GB"/>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B26B8D9" id="Rectangle 7" o:spid="_x0000_s1028" style="position:absolute;left:0;text-align:left;margin-left:15.35pt;margin-top:9.85pt;width:153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" filled="f" strokecolor="#f79646" strokeweight="2pt">
                <v:stroke dashstyle="dash"/>
                <v:textbox>
                  <w:txbxContent>
                    <w:p w:rsidR="00C60AC1" w:rsidRPr="00CC14C6" w:rsidRDefault="00C60AC1" w:rsidP="001077F3">
                      <w:pPr>
                        <w:rPr>
                          <w:szCs w:val="20"/>
                        </w:rPr>
                      </w:pPr>
                      <w:proofErr w:type="spellStart"/>
                      <w:r w:rsidRPr="00CC14C6">
                        <w:rPr>
                          <w:szCs w:val="20"/>
                        </w:rPr>
                        <w:t>Inland</w:t>
                      </w:r>
                      <w:proofErr w:type="spellEnd"/>
                      <w:r w:rsidRPr="00CC14C6">
                        <w:rPr>
                          <w:szCs w:val="20"/>
                        </w:rPr>
                        <w:t xml:space="preserve"> AIS </w:t>
                      </w:r>
                      <w:r w:rsidRPr="002C7569">
                        <w:rPr>
                          <w:sz w:val="16"/>
                          <w:szCs w:val="16"/>
                          <w:lang w:val="en-GB" w:eastAsia="en-GB"/>
                        </w:rPr>
                        <w:t>equipment</w:t>
                      </w:r>
                      <w:r w:rsidRPr="00C15BF5">
                        <w:rPr>
                          <w:b/>
                          <w:szCs w:val="20"/>
                          <w:lang w:val="en-GB" w:eastAsia="en-GB"/>
                        </w:rPr>
                        <w:t xml:space="preserve"> </w:t>
                      </w:r>
                      <w:r w:rsidRPr="002C7569">
                        <w:rPr>
                          <w:sz w:val="16"/>
                          <w:szCs w:val="16"/>
                          <w:lang w:val="en-GB" w:eastAsia="en-GB"/>
                        </w:rPr>
                        <w:t>hardware</w:t>
                      </w:r>
                      <w:r>
                        <w:rPr>
                          <w:sz w:val="16"/>
                          <w:szCs w:val="16"/>
                          <w:lang w:val="en-GB" w:eastAsia="en-GB"/>
                        </w:rPr>
                        <w:t>”</w:t>
                      </w:r>
                    </w:p>
                  </w:txbxContent>
                </v:textbox>
              </v:rect>
            </w:pict>
          </mc:Fallback>
        </mc:AlternateContent>
      </w:r>
    </w:p>
    <w:p w:rsidR="001077F3" w:rsidRPr="00C15BF5" w:rsidRDefault="001077F3" w:rsidP="001077F3">
      <w:pPr>
        <w:tabs>
          <w:tab w:val="left" w:pos="1985"/>
        </w:tabs>
        <w:suppressAutoHyphens/>
        <w:spacing w:line="240" w:lineRule="atLeast"/>
        <w:ind w:left="1985" w:hanging="1276"/>
        <w:rPr>
          <w:rFonts w:ascii="Times New Roman" w:hAnsi="Times New Roman"/>
          <w:sz w:val="24"/>
          <w:lang w:val="en-GB" w:eastAsia="en-GB"/>
        </w:rPr>
      </w:pPr>
    </w:p>
    <w:p w:rsidR="001077F3" w:rsidRDefault="001077F3" w:rsidP="001077F3">
      <w:pPr>
        <w:spacing w:line="240" w:lineRule="atLeast"/>
        <w:ind w:left="851"/>
        <w:rPr>
          <w:rFonts w:cs="Arial"/>
          <w:bCs/>
          <w:i/>
          <w:sz w:val="22"/>
          <w:szCs w:val="22"/>
          <w:lang w:val="en-GB"/>
        </w:rPr>
      </w:pPr>
    </w:p>
    <w:p w:rsidR="002043D6" w:rsidRDefault="002043D6">
      <w:pPr>
        <w:autoSpaceDE/>
        <w:autoSpaceDN/>
        <w:ind w:left="0" w:firstLine="0"/>
        <w:jc w:val="left"/>
        <w:rPr>
          <w:rFonts w:cs="Arial"/>
          <w:b/>
          <w:bCs/>
          <w:szCs w:val="20"/>
          <w:lang w:val="en-US"/>
        </w:rPr>
      </w:pPr>
      <w:r>
        <w:rPr>
          <w:rFonts w:cs="Arial"/>
          <w:b/>
          <w:bCs/>
          <w:szCs w:val="20"/>
          <w:lang w:val="en-US"/>
        </w:rPr>
        <w:br w:type="page"/>
      </w:r>
    </w:p>
    <w:p w:rsidR="009C13A9" w:rsidRPr="00C903F8" w:rsidRDefault="009C13A9" w:rsidP="007D3F2F">
      <w:pPr>
        <w:tabs>
          <w:tab w:val="right" w:pos="9072"/>
        </w:tabs>
        <w:overflowPunct w:val="0"/>
        <w:adjustRightInd w:val="0"/>
        <w:spacing w:line="240" w:lineRule="atLeast"/>
        <w:ind w:left="0" w:firstLine="0"/>
        <w:textAlignment w:val="baseline"/>
        <w:rPr>
          <w:rFonts w:cs="Arial"/>
          <w:b/>
          <w:bCs/>
          <w:szCs w:val="20"/>
          <w:lang w:val="en-US"/>
        </w:rPr>
      </w:pPr>
    </w:p>
    <w:p w:rsidR="009C13A9" w:rsidRPr="00C903F8" w:rsidRDefault="00925755" w:rsidP="00C50DA9">
      <w:pPr>
        <w:pStyle w:val="ES-Titre3"/>
        <w:rPr>
          <w:noProof/>
          <w:lang w:val="en-US"/>
        </w:rPr>
      </w:pPr>
      <w:bookmarkStart w:id="334" w:name="_Toc491854312"/>
      <w:r w:rsidRPr="00C903F8">
        <w:rPr>
          <w:noProof/>
          <w:lang w:val="en-US"/>
        </w:rPr>
        <w:t>Section</w:t>
      </w:r>
      <w:r w:rsidR="009C13A9" w:rsidRPr="00C903F8">
        <w:rPr>
          <w:noProof/>
          <w:lang w:val="en-US"/>
        </w:rPr>
        <w:t xml:space="preserve"> II</w:t>
      </w:r>
      <w:bookmarkEnd w:id="334"/>
      <w:r w:rsidR="009C13A9" w:rsidRPr="00C903F8">
        <w:rPr>
          <w:noProof/>
          <w:lang w:val="en-US"/>
        </w:rPr>
        <w:t xml:space="preserve"> </w:t>
      </w:r>
    </w:p>
    <w:p w:rsidR="009C13A9" w:rsidRPr="00C903F8" w:rsidRDefault="009C13A9" w:rsidP="00C50DA9">
      <w:pPr>
        <w:pStyle w:val="ES-Titre3a"/>
        <w:rPr>
          <w:rFonts w:cs="Arial"/>
          <w:szCs w:val="20"/>
          <w:lang w:val="en-US"/>
        </w:rPr>
      </w:pPr>
      <w:bookmarkStart w:id="335" w:name="_Toc491854313"/>
      <w:r w:rsidRPr="00C903F8">
        <w:rPr>
          <w:noProof/>
          <w:lang w:val="en-US"/>
        </w:rPr>
        <w:t>Minimum requirements and test conditions for rate-of-turn indicators in inland navigation</w:t>
      </w:r>
      <w:bookmarkEnd w:id="335"/>
    </w:p>
    <w:p w:rsidR="009C13A9" w:rsidRPr="00C903F8" w:rsidRDefault="009C13A9" w:rsidP="009C13A9">
      <w:pPr>
        <w:tabs>
          <w:tab w:val="right" w:pos="9072"/>
        </w:tabs>
        <w:overflowPunct w:val="0"/>
        <w:adjustRightInd w:val="0"/>
        <w:spacing w:line="240" w:lineRule="atLeast"/>
        <w:ind w:left="0" w:firstLine="0"/>
        <w:jc w:val="left"/>
        <w:textAlignment w:val="baseline"/>
        <w:rPr>
          <w:rFonts w:cs="Arial"/>
          <w:szCs w:val="20"/>
          <w:lang w:val="en-US"/>
        </w:rPr>
      </w:pPr>
    </w:p>
    <w:p w:rsidR="009C13A9" w:rsidRPr="00C903F8" w:rsidRDefault="009C13A9" w:rsidP="009C13A9">
      <w:pPr>
        <w:spacing w:line="240" w:lineRule="atLeast"/>
        <w:ind w:left="0" w:firstLine="0"/>
        <w:jc w:val="center"/>
        <w:rPr>
          <w:rFonts w:cs="Arial"/>
          <w:b/>
          <w:noProof/>
          <w:lang w:val="en-US"/>
        </w:rPr>
      </w:pPr>
      <w:r w:rsidRPr="00C903F8">
        <w:rPr>
          <w:rFonts w:cs="Arial"/>
          <w:b/>
          <w:noProof/>
          <w:lang w:val="en-US"/>
        </w:rPr>
        <w:t>Chapitre 1</w:t>
      </w:r>
    </w:p>
    <w:p w:rsidR="009C13A9" w:rsidRPr="00C903F8" w:rsidRDefault="009C13A9" w:rsidP="009C13A9">
      <w:pPr>
        <w:spacing w:line="240" w:lineRule="atLeast"/>
        <w:ind w:left="0" w:firstLine="0"/>
        <w:jc w:val="center"/>
        <w:rPr>
          <w:rFonts w:cs="Arial"/>
          <w:b/>
          <w:caps/>
          <w:noProof/>
          <w:lang w:val="en-US"/>
        </w:rPr>
      </w:pPr>
      <w:r w:rsidRPr="00C903F8">
        <w:rPr>
          <w:rFonts w:cs="Arial"/>
          <w:b/>
          <w:noProof/>
          <w:lang w:val="en-US"/>
        </w:rPr>
        <w:t>General</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p>
    <w:p w:rsidR="009C13A9" w:rsidRPr="00C903F8" w:rsidRDefault="009C13A9" w:rsidP="009C13A9">
      <w:pPr>
        <w:spacing w:line="240" w:lineRule="atLeast"/>
        <w:ind w:left="0" w:firstLine="0"/>
        <w:jc w:val="center"/>
        <w:rPr>
          <w:rFonts w:cs="Arial"/>
          <w:b/>
          <w:noProof/>
          <w:lang w:val="en-US"/>
        </w:rPr>
      </w:pPr>
      <w:r w:rsidRPr="00C903F8">
        <w:rPr>
          <w:rFonts w:cs="Arial"/>
          <w:b/>
          <w:noProof/>
          <w:lang w:val="en-US"/>
        </w:rPr>
        <w:t>Article 1.01</w:t>
      </w:r>
    </w:p>
    <w:p w:rsidR="009C13A9" w:rsidRPr="00C903F8" w:rsidRDefault="009C13A9" w:rsidP="009C13A9">
      <w:pPr>
        <w:spacing w:line="240" w:lineRule="atLeast"/>
        <w:ind w:left="0" w:firstLine="0"/>
        <w:jc w:val="center"/>
        <w:rPr>
          <w:rFonts w:cs="Arial"/>
          <w:i/>
          <w:noProof/>
          <w:lang w:val="en-US"/>
        </w:rPr>
      </w:pPr>
      <w:r w:rsidRPr="00C903F8">
        <w:rPr>
          <w:rFonts w:cs="Arial"/>
          <w:i/>
          <w:iCs/>
          <w:noProof/>
          <w:lang w:val="en-US"/>
        </w:rPr>
        <w:t>Scope</w:t>
      </w: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tabs>
          <w:tab w:val="left" w:leader="dot" w:pos="9072"/>
        </w:tabs>
        <w:spacing w:line="240" w:lineRule="atLeast"/>
        <w:ind w:left="0" w:firstLine="0"/>
        <w:rPr>
          <w:rFonts w:cs="Arial"/>
          <w:szCs w:val="20"/>
          <w:lang w:val="en-US"/>
        </w:rPr>
      </w:pPr>
      <w:r w:rsidRPr="00C903F8">
        <w:rPr>
          <w:rFonts w:cs="Arial"/>
          <w:noProof/>
          <w:lang w:val="en-US"/>
        </w:rPr>
        <w:t>These provisions set out the minimum requirements for rate-of-turn indicators in inland navigation, as well as the conditions for testing conformity with these minimum requirements.</w:t>
      </w:r>
    </w:p>
    <w:p w:rsidR="009C13A9" w:rsidRPr="00C903F8" w:rsidRDefault="009C13A9" w:rsidP="009C13A9">
      <w:pPr>
        <w:tabs>
          <w:tab w:val="left" w:leader="dot" w:pos="9072"/>
        </w:tabs>
        <w:spacing w:line="240" w:lineRule="atLeast"/>
        <w:ind w:left="0" w:firstLine="0"/>
        <w:rPr>
          <w:rFonts w:cs="Arial"/>
          <w:szCs w:val="20"/>
          <w:lang w:val="en-US"/>
        </w:rPr>
      </w:pPr>
    </w:p>
    <w:p w:rsidR="009C13A9" w:rsidRPr="00C903F8" w:rsidRDefault="009C13A9" w:rsidP="009C13A9">
      <w:pPr>
        <w:tabs>
          <w:tab w:val="left" w:leader="dot" w:pos="9072"/>
        </w:tabs>
        <w:spacing w:line="240" w:lineRule="atLeast"/>
        <w:ind w:left="0" w:firstLine="0"/>
        <w:rPr>
          <w:rFonts w:cs="Arial"/>
          <w:szCs w:val="20"/>
          <w:lang w:val="en-US"/>
        </w:rPr>
      </w:pPr>
    </w:p>
    <w:p w:rsidR="009C13A9" w:rsidRPr="00C903F8" w:rsidRDefault="009C13A9" w:rsidP="009C13A9">
      <w:pPr>
        <w:spacing w:line="240" w:lineRule="atLeast"/>
        <w:ind w:left="0" w:firstLine="0"/>
        <w:jc w:val="center"/>
        <w:rPr>
          <w:rFonts w:cs="Arial"/>
          <w:b/>
          <w:noProof/>
          <w:lang w:val="en-US"/>
        </w:rPr>
      </w:pPr>
      <w:r w:rsidRPr="00C903F8">
        <w:rPr>
          <w:rFonts w:cs="Arial"/>
          <w:b/>
          <w:noProof/>
          <w:lang w:val="en-US"/>
        </w:rPr>
        <w:t>Article 1.02</w:t>
      </w:r>
    </w:p>
    <w:p w:rsidR="009C13A9" w:rsidRPr="00C903F8" w:rsidRDefault="009C13A9" w:rsidP="009C13A9">
      <w:pPr>
        <w:overflowPunct w:val="0"/>
        <w:adjustRightInd w:val="0"/>
        <w:ind w:left="0" w:firstLine="0"/>
        <w:jc w:val="center"/>
        <w:textAlignment w:val="baseline"/>
        <w:rPr>
          <w:rFonts w:cs="Arial"/>
          <w:szCs w:val="20"/>
          <w:lang w:val="en-US"/>
        </w:rPr>
      </w:pPr>
      <w:r w:rsidRPr="00C903F8">
        <w:rPr>
          <w:rFonts w:cs="Arial"/>
          <w:i/>
          <w:iCs/>
          <w:noProof/>
          <w:lang w:val="en-US"/>
        </w:rPr>
        <w:t>Purpose of the rate-of-turn indicator</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szCs w:val="20"/>
          <w:lang w:val="en-US"/>
        </w:rPr>
      </w:pPr>
      <w:r w:rsidRPr="00C903F8">
        <w:rPr>
          <w:rFonts w:cs="Arial"/>
          <w:noProof/>
          <w:lang w:val="en-US"/>
        </w:rPr>
        <w:t>The rate-of-turn indicator is intended to facilitate radar navigation, and to measure and indicate the rate of turn of the vessel to port or starboard.</w:t>
      </w:r>
    </w:p>
    <w:p w:rsidR="009C13A9" w:rsidRPr="00C903F8" w:rsidRDefault="009C13A9" w:rsidP="009C13A9">
      <w:pPr>
        <w:tabs>
          <w:tab w:val="left" w:leader="dot" w:pos="9072"/>
        </w:tabs>
        <w:spacing w:line="240" w:lineRule="atLeast"/>
        <w:ind w:left="0" w:firstLine="0"/>
        <w:rPr>
          <w:rFonts w:cs="Arial"/>
          <w:szCs w:val="20"/>
          <w:lang w:val="en-US"/>
        </w:rPr>
      </w:pPr>
    </w:p>
    <w:p w:rsidR="009C13A9" w:rsidRPr="00C903F8" w:rsidRDefault="009C13A9" w:rsidP="009C13A9">
      <w:pPr>
        <w:tabs>
          <w:tab w:val="left" w:leader="dot" w:pos="9072"/>
        </w:tabs>
        <w:spacing w:line="240" w:lineRule="atLeast"/>
        <w:ind w:left="0" w:firstLine="0"/>
        <w:rPr>
          <w:rFonts w:cs="Arial"/>
          <w:szCs w:val="20"/>
          <w:lang w:val="en-US"/>
        </w:rPr>
      </w:pPr>
    </w:p>
    <w:p w:rsidR="009C13A9" w:rsidRPr="00C903F8" w:rsidRDefault="009C13A9" w:rsidP="009C13A9">
      <w:pPr>
        <w:spacing w:line="240" w:lineRule="atLeast"/>
        <w:ind w:left="0" w:firstLine="0"/>
        <w:jc w:val="center"/>
        <w:rPr>
          <w:rFonts w:cs="Arial"/>
          <w:b/>
          <w:noProof/>
          <w:lang w:val="en-US"/>
        </w:rPr>
      </w:pPr>
      <w:r w:rsidRPr="00C903F8">
        <w:rPr>
          <w:rFonts w:cs="Arial"/>
          <w:b/>
          <w:noProof/>
          <w:lang w:val="en-US"/>
        </w:rPr>
        <w:t>Article 1.03</w:t>
      </w:r>
    </w:p>
    <w:p w:rsidR="009C13A9" w:rsidRPr="00C903F8" w:rsidRDefault="009C13A9" w:rsidP="009C13A9">
      <w:pPr>
        <w:spacing w:line="240" w:lineRule="atLeast"/>
        <w:ind w:left="0" w:firstLine="0"/>
        <w:jc w:val="center"/>
        <w:rPr>
          <w:rFonts w:cs="Arial"/>
          <w:noProof/>
          <w:lang w:val="en-US"/>
        </w:rPr>
      </w:pPr>
      <w:r w:rsidRPr="00C903F8">
        <w:rPr>
          <w:rFonts w:cs="Arial"/>
          <w:i/>
          <w:iCs/>
          <w:noProof/>
          <w:lang w:val="en-US"/>
        </w:rPr>
        <w:t>Type test</w:t>
      </w: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spacing w:line="240" w:lineRule="atLeast"/>
        <w:rPr>
          <w:rFonts w:cs="Arial"/>
          <w:noProof/>
          <w:color w:val="000000"/>
          <w:lang w:val="en-US" w:bidi="fr-FR"/>
        </w:rPr>
      </w:pPr>
      <w:r w:rsidRPr="00C903F8">
        <w:rPr>
          <w:rFonts w:cs="Arial"/>
          <w:noProof/>
          <w:color w:val="000000"/>
          <w:lang w:val="en-US" w:bidi="fr-FR"/>
        </w:rPr>
        <w:t>1.</w:t>
      </w:r>
      <w:r w:rsidRPr="00C903F8">
        <w:rPr>
          <w:rFonts w:cs="Arial"/>
          <w:noProof/>
          <w:color w:val="000000"/>
          <w:lang w:val="en-US" w:bidi="fr-FR"/>
        </w:rPr>
        <w:tab/>
        <w:t>Compliance with the minimum requirements for rate-of-turn indicators pursuant to Chapters 2 to 4 shall be established by means of a type test.</w:t>
      </w:r>
    </w:p>
    <w:p w:rsidR="009C13A9" w:rsidRPr="00C903F8" w:rsidRDefault="009C13A9" w:rsidP="009C13A9">
      <w:pPr>
        <w:spacing w:line="240" w:lineRule="atLeast"/>
        <w:rPr>
          <w:rFonts w:cs="Arial"/>
          <w:noProof/>
          <w:color w:val="000000"/>
          <w:lang w:val="en-US" w:bidi="fr-FR"/>
        </w:rPr>
      </w:pPr>
    </w:p>
    <w:p w:rsidR="009C13A9" w:rsidRPr="00C903F8" w:rsidRDefault="009C13A9" w:rsidP="009C13A9">
      <w:pPr>
        <w:spacing w:line="240" w:lineRule="atLeast"/>
        <w:rPr>
          <w:rFonts w:cs="Arial"/>
          <w:noProof/>
          <w:color w:val="000000"/>
          <w:szCs w:val="20"/>
          <w:lang w:val="en-US"/>
        </w:rPr>
      </w:pPr>
      <w:r w:rsidRPr="00C903F8">
        <w:rPr>
          <w:rFonts w:cs="Arial"/>
          <w:noProof/>
          <w:color w:val="000000"/>
          <w:lang w:val="en-US" w:bidi="fr-FR"/>
        </w:rPr>
        <w:t>2.</w:t>
      </w:r>
      <w:r w:rsidRPr="00C903F8">
        <w:rPr>
          <w:rFonts w:cs="Arial"/>
          <w:noProof/>
          <w:color w:val="000000"/>
          <w:lang w:val="en-US" w:bidi="fr-FR"/>
        </w:rPr>
        <w:tab/>
        <w:t>If the equipment passes the type test the technical service shall issue a test certificate. If the equipment fails to meet the minimum requirements, the applicant shall be notified in writing of the reasons for its rejection.</w:t>
      </w:r>
    </w:p>
    <w:p w:rsidR="009C13A9" w:rsidRPr="00C903F8" w:rsidRDefault="009C13A9" w:rsidP="009C13A9">
      <w:pPr>
        <w:spacing w:line="240" w:lineRule="atLeast"/>
        <w:ind w:left="567" w:hanging="567"/>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spacing w:line="240" w:lineRule="atLeast"/>
        <w:ind w:left="0" w:firstLine="0"/>
        <w:jc w:val="center"/>
        <w:rPr>
          <w:rFonts w:cs="Arial"/>
          <w:b/>
          <w:noProof/>
          <w:lang w:val="en-US"/>
        </w:rPr>
      </w:pPr>
      <w:r w:rsidRPr="00C903F8">
        <w:rPr>
          <w:rFonts w:cs="Arial"/>
          <w:b/>
          <w:noProof/>
          <w:lang w:val="en-US"/>
        </w:rPr>
        <w:t>Article 1.04</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i/>
          <w:iCs/>
          <w:noProof/>
          <w:lang w:val="en-US"/>
        </w:rPr>
      </w:pPr>
      <w:r w:rsidRPr="00C903F8">
        <w:rPr>
          <w:rFonts w:cs="Arial"/>
          <w:i/>
          <w:iCs/>
          <w:noProof/>
          <w:lang w:val="en-US"/>
        </w:rPr>
        <w:t>Application for a type test</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1.</w:t>
      </w:r>
      <w:r w:rsidRPr="00C903F8">
        <w:rPr>
          <w:rFonts w:cs="Arial"/>
          <w:noProof/>
          <w:color w:val="000000"/>
          <w:lang w:val="en-US"/>
        </w:rPr>
        <w:tab/>
        <w:t>Applications for a type test of a rate-of-turn indicator shall be submitted to a</w:t>
      </w:r>
      <w:r w:rsidR="00181BB6" w:rsidRPr="00C903F8">
        <w:rPr>
          <w:rFonts w:cs="Arial"/>
          <w:noProof/>
          <w:color w:val="000000"/>
          <w:lang w:val="en-US"/>
        </w:rPr>
        <w:t xml:space="preserve"> competent</w:t>
      </w:r>
      <w:r w:rsidRPr="00C903F8">
        <w:rPr>
          <w:rFonts w:cs="Arial"/>
          <w:noProof/>
          <w:color w:val="000000"/>
          <w:lang w:val="en-US"/>
        </w:rPr>
        <w:t xml:space="preserve"> technical service.</w:t>
      </w:r>
    </w:p>
    <w:p w:rsidR="009C13A9" w:rsidRPr="00C903F8" w:rsidRDefault="009C13A9" w:rsidP="009C13A9">
      <w:pPr>
        <w:spacing w:line="240" w:lineRule="atLeast"/>
        <w:rPr>
          <w:rFonts w:cs="Arial"/>
          <w:color w:val="000000"/>
          <w:szCs w:val="2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2.</w:t>
      </w:r>
      <w:r w:rsidRPr="00C903F8">
        <w:rPr>
          <w:rFonts w:cs="Arial"/>
          <w:color w:val="000000"/>
          <w:lang w:val="en-US"/>
        </w:rPr>
        <w:tab/>
      </w:r>
      <w:r w:rsidRPr="00C903F8">
        <w:rPr>
          <w:rFonts w:cs="Arial"/>
          <w:noProof/>
          <w:color w:val="000000"/>
          <w:lang w:val="en-US"/>
        </w:rPr>
        <w:t>Each application shall be accompanied by the following documents:</w:t>
      </w:r>
    </w:p>
    <w:p w:rsidR="009C13A9" w:rsidRPr="00C903F8" w:rsidRDefault="009C13A9" w:rsidP="009C13A9">
      <w:pPr>
        <w:spacing w:before="60" w:line="240" w:lineRule="atLeast"/>
        <w:ind w:left="851"/>
        <w:rPr>
          <w:rFonts w:cs="Arial"/>
          <w:noProof/>
          <w:szCs w:val="22"/>
          <w:lang w:val="en-US" w:eastAsia="zh-CN"/>
        </w:rPr>
      </w:pPr>
      <w:r w:rsidRPr="00C903F8">
        <w:rPr>
          <w:rFonts w:cs="Arial"/>
          <w:noProof/>
          <w:szCs w:val="22"/>
          <w:lang w:val="en-US" w:eastAsia="zh-CN"/>
        </w:rPr>
        <w:t>a)</w:t>
      </w:r>
      <w:r w:rsidRPr="00C903F8">
        <w:rPr>
          <w:rFonts w:cs="Arial"/>
          <w:noProof/>
          <w:szCs w:val="22"/>
          <w:lang w:val="en-US" w:eastAsia="zh-CN"/>
        </w:rPr>
        <w:tab/>
        <w:t>two detailed technical descriptions;</w:t>
      </w:r>
    </w:p>
    <w:p w:rsidR="009C13A9" w:rsidRPr="00C903F8" w:rsidRDefault="009C13A9" w:rsidP="009C13A9">
      <w:pPr>
        <w:spacing w:before="60" w:line="240" w:lineRule="atLeast"/>
        <w:ind w:left="851"/>
        <w:rPr>
          <w:rFonts w:cs="Arial"/>
          <w:noProof/>
          <w:szCs w:val="22"/>
          <w:lang w:val="en-US" w:eastAsia="zh-CN"/>
        </w:rPr>
      </w:pPr>
      <w:r w:rsidRPr="00C903F8">
        <w:rPr>
          <w:rFonts w:cs="Arial"/>
          <w:noProof/>
          <w:szCs w:val="22"/>
          <w:lang w:val="en-US" w:eastAsia="zh-CN"/>
        </w:rPr>
        <w:t>b)</w:t>
      </w:r>
      <w:r w:rsidRPr="00C903F8">
        <w:rPr>
          <w:rFonts w:cs="Arial"/>
          <w:noProof/>
          <w:szCs w:val="22"/>
          <w:lang w:val="en-US" w:eastAsia="zh-CN"/>
        </w:rPr>
        <w:tab/>
        <w:t>two complete sets of installation and service documents</w:t>
      </w:r>
    </w:p>
    <w:p w:rsidR="009C13A9" w:rsidRPr="00C903F8" w:rsidRDefault="009C13A9" w:rsidP="009C13A9">
      <w:pPr>
        <w:spacing w:before="60" w:line="240" w:lineRule="atLeast"/>
        <w:ind w:left="851"/>
        <w:rPr>
          <w:rFonts w:cs="Arial"/>
          <w:noProof/>
          <w:szCs w:val="22"/>
          <w:lang w:val="en-US" w:eastAsia="zh-CN"/>
        </w:rPr>
      </w:pPr>
      <w:r w:rsidRPr="00C903F8">
        <w:rPr>
          <w:rFonts w:cs="Arial"/>
          <w:noProof/>
          <w:szCs w:val="22"/>
          <w:lang w:val="en-US" w:eastAsia="zh-CN"/>
        </w:rPr>
        <w:t>c)</w:t>
      </w:r>
      <w:r w:rsidRPr="00C903F8">
        <w:rPr>
          <w:rFonts w:cs="Arial"/>
          <w:noProof/>
          <w:szCs w:val="22"/>
          <w:lang w:val="en-US" w:eastAsia="zh-CN"/>
        </w:rPr>
        <w:tab/>
      </w:r>
      <w:r w:rsidR="00181BB6" w:rsidRPr="00C903F8">
        <w:rPr>
          <w:rFonts w:cs="Arial"/>
          <w:noProof/>
          <w:szCs w:val="22"/>
          <w:lang w:val="en-US" w:eastAsia="zh-CN"/>
        </w:rPr>
        <w:t xml:space="preserve">two </w:t>
      </w:r>
      <w:r w:rsidRPr="00C903F8">
        <w:rPr>
          <w:rFonts w:cs="Arial"/>
          <w:noProof/>
          <w:szCs w:val="22"/>
          <w:lang w:val="en-US" w:eastAsia="zh-CN"/>
        </w:rPr>
        <w:t>operating instructions.</w:t>
      </w:r>
    </w:p>
    <w:p w:rsidR="009C13A9" w:rsidRPr="00C903F8" w:rsidRDefault="009C13A9" w:rsidP="009C13A9">
      <w:pPr>
        <w:overflowPunct w:val="0"/>
        <w:adjustRightInd w:val="0"/>
        <w:ind w:left="0" w:firstLine="0"/>
        <w:jc w:val="left"/>
        <w:textAlignment w:val="baseline"/>
        <w:rPr>
          <w:rFonts w:cs="Arial"/>
          <w:szCs w:val="2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3.</w:t>
      </w:r>
      <w:r w:rsidRPr="00C903F8">
        <w:rPr>
          <w:rFonts w:cs="Arial"/>
          <w:color w:val="000000"/>
          <w:lang w:val="en-US"/>
        </w:rPr>
        <w:tab/>
        <w:t>By means of tests, the applicant shall establish or have it established that the equipment meets the minimum requirements of these provisions.</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ind w:left="426" w:firstLine="0"/>
        <w:rPr>
          <w:lang w:val="en-US" w:eastAsia="nl-NL"/>
        </w:rPr>
      </w:pPr>
      <w:r w:rsidRPr="00C903F8">
        <w:rPr>
          <w:lang w:val="en-US" w:eastAsia="nl-NL"/>
        </w:rPr>
        <w:t>The results of the test and the measurement reports shall be attached to the application.</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szCs w:val="20"/>
          <w:lang w:val="en-US" w:eastAsia="nl-NL"/>
        </w:rPr>
      </w:pPr>
      <w:r w:rsidRPr="00C903F8">
        <w:rPr>
          <w:lang w:val="en-US" w:eastAsia="nl-NL"/>
        </w:rPr>
        <w:t>These documents and the information obtained during testing shall be kept by the competent authority.</w:t>
      </w:r>
    </w:p>
    <w:p w:rsidR="009C13A9" w:rsidRPr="00C903F8" w:rsidRDefault="009C13A9" w:rsidP="009C13A9">
      <w:pPr>
        <w:tabs>
          <w:tab w:val="left" w:pos="425"/>
        </w:tabs>
        <w:overflowPunct w:val="0"/>
        <w:adjustRightInd w:val="0"/>
        <w:spacing w:line="240" w:lineRule="atLeast"/>
        <w:textAlignment w:val="baseline"/>
        <w:rPr>
          <w:rFonts w:cs="Arial"/>
          <w:szCs w:val="20"/>
          <w:lang w:val="en-US"/>
        </w:rPr>
      </w:pPr>
      <w:r w:rsidRPr="00C903F8">
        <w:rPr>
          <w:rFonts w:cs="Arial"/>
          <w:szCs w:val="20"/>
          <w:lang w:val="en-US"/>
        </w:rPr>
        <w:br w:type="page"/>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szCs w:val="20"/>
          <w:lang w:val="en-US"/>
        </w:rPr>
      </w:pPr>
      <w:r w:rsidRPr="00C903F8">
        <w:rPr>
          <w:rFonts w:cs="Arial"/>
          <w:b/>
          <w:bCs/>
          <w:noProof/>
          <w:szCs w:val="20"/>
          <w:lang w:val="en-US"/>
        </w:rPr>
        <w:lastRenderedPageBreak/>
        <w:t>Article 1.05</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r w:rsidRPr="00C903F8">
        <w:rPr>
          <w:rFonts w:cs="Arial"/>
          <w:i/>
          <w:iCs/>
          <w:noProof/>
          <w:szCs w:val="20"/>
          <w:lang w:val="en-US"/>
        </w:rPr>
        <w:t>Type approval</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1.</w:t>
      </w:r>
      <w:r w:rsidRPr="00C903F8">
        <w:rPr>
          <w:rFonts w:cs="Arial"/>
          <w:color w:val="000000"/>
          <w:lang w:val="en-US"/>
        </w:rPr>
        <w:tab/>
        <w:t>Type approval shall be granted by the competent authority pursuant to the test certificate.</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rPr>
          <w:rFonts w:cs="Arial"/>
          <w:noProof/>
          <w:color w:val="000000"/>
          <w:lang w:val="en-US"/>
        </w:rPr>
      </w:pPr>
      <w:r w:rsidRPr="00C903F8">
        <w:rPr>
          <w:rFonts w:cs="Arial"/>
          <w:color w:val="000000"/>
          <w:lang w:val="en-US"/>
        </w:rPr>
        <w:t>2.</w:t>
      </w:r>
      <w:r w:rsidRPr="00C903F8">
        <w:rPr>
          <w:rFonts w:cs="Arial"/>
          <w:color w:val="000000"/>
          <w:lang w:val="en-US"/>
        </w:rPr>
        <w:tab/>
      </w:r>
      <w:r w:rsidRPr="00C903F8">
        <w:rPr>
          <w:rFonts w:cs="Arial"/>
          <w:noProof/>
          <w:color w:val="000000"/>
          <w:lang w:val="en-US"/>
        </w:rPr>
        <w:t>Each competent authority or the technical service designated by the competent authority shall be entitled to select equipment from the production series at any time for inspection.</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ind w:left="426" w:firstLine="0"/>
        <w:rPr>
          <w:noProof/>
          <w:lang w:val="en-US" w:eastAsia="nl-NL"/>
        </w:rPr>
      </w:pPr>
      <w:r w:rsidRPr="00C903F8">
        <w:rPr>
          <w:noProof/>
          <w:lang w:val="en-US" w:eastAsia="nl-NL"/>
        </w:rPr>
        <w:t>If this inspection reveals defects in the equipment, type approval may be withdrawn.</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szCs w:val="20"/>
          <w:lang w:val="en-US" w:eastAsia="nl-NL"/>
        </w:rPr>
      </w:pPr>
      <w:r w:rsidRPr="00C903F8">
        <w:rPr>
          <w:noProof/>
          <w:lang w:val="en-US" w:eastAsia="nl-NL"/>
        </w:rPr>
        <w:t>The type-approval shall be withdrawn by the authority that issued it.</w:t>
      </w:r>
    </w:p>
    <w:p w:rsidR="009C13A9" w:rsidRPr="00C903F8" w:rsidRDefault="009C13A9" w:rsidP="009C13A9">
      <w:pPr>
        <w:tabs>
          <w:tab w:val="left" w:leader="dot" w:pos="9072"/>
        </w:tabs>
        <w:spacing w:line="240" w:lineRule="atLeast"/>
        <w:ind w:left="0" w:firstLine="0"/>
        <w:rPr>
          <w:rFonts w:cs="Arial"/>
          <w:lang w:val="en-US"/>
        </w:rPr>
      </w:pPr>
    </w:p>
    <w:p w:rsidR="009C13A9" w:rsidRPr="00C903F8" w:rsidRDefault="009C13A9" w:rsidP="009C13A9">
      <w:pPr>
        <w:tabs>
          <w:tab w:val="left" w:leader="dot" w:pos="9072"/>
        </w:tabs>
        <w:spacing w:line="240" w:lineRule="atLeast"/>
        <w:ind w:left="0" w:firstLine="0"/>
        <w:rPr>
          <w:rFonts w:cs="Arial"/>
          <w:lang w:val="en-US"/>
        </w:rPr>
      </w:pP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1.06</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i/>
          <w:iCs/>
          <w:noProof/>
          <w:szCs w:val="20"/>
          <w:lang w:val="en-US"/>
        </w:rPr>
      </w:pPr>
      <w:r w:rsidRPr="00C903F8">
        <w:rPr>
          <w:rFonts w:cs="Arial"/>
          <w:i/>
          <w:iCs/>
          <w:noProof/>
          <w:szCs w:val="20"/>
          <w:lang w:val="en-US"/>
        </w:rPr>
        <w:t>Marking of the equipment and type approval number</w:t>
      </w:r>
    </w:p>
    <w:p w:rsidR="009C13A9" w:rsidRPr="00C903F8" w:rsidRDefault="009C13A9" w:rsidP="009C13A9">
      <w:pPr>
        <w:tabs>
          <w:tab w:val="left" w:leader="dot" w:pos="9072"/>
        </w:tabs>
        <w:spacing w:line="240" w:lineRule="atLeast"/>
        <w:ind w:left="0" w:firstLine="0"/>
        <w:rPr>
          <w:rFonts w:cs="Arial"/>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1.</w:t>
      </w:r>
      <w:r w:rsidRPr="00C903F8">
        <w:rPr>
          <w:rFonts w:cs="Arial"/>
          <w:color w:val="000000"/>
          <w:lang w:val="en-US"/>
        </w:rPr>
        <w:tab/>
      </w:r>
      <w:r w:rsidRPr="00C903F8">
        <w:rPr>
          <w:rFonts w:cs="Arial"/>
          <w:noProof/>
          <w:color w:val="000000"/>
          <w:lang w:val="en-US"/>
        </w:rPr>
        <w:t xml:space="preserve">Each component of the equipment shall be marked indelibly with the name of the manufacturer, </w:t>
      </w:r>
      <w:r w:rsidRPr="00C903F8">
        <w:rPr>
          <w:rFonts w:cs="Arial"/>
          <w:noProof/>
          <w:color w:val="000000"/>
          <w:lang w:val="en-US"/>
        </w:rPr>
        <w:tab/>
        <w:t xml:space="preserve">the trade designation of the equipment, </w:t>
      </w:r>
      <w:r w:rsidRPr="00C903F8">
        <w:rPr>
          <w:rFonts w:cs="Arial"/>
          <w:noProof/>
          <w:color w:val="000000"/>
          <w:lang w:val="en-US"/>
        </w:rPr>
        <w:tab/>
        <w:t>the type of equipment and the serial number.</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noProof/>
          <w:color w:val="000000"/>
          <w:lang w:val="en-US"/>
        </w:rPr>
      </w:pPr>
      <w:r w:rsidRPr="00C903F8">
        <w:rPr>
          <w:rFonts w:cs="Arial"/>
          <w:color w:val="000000"/>
          <w:lang w:val="en-US"/>
        </w:rPr>
        <w:t>2.</w:t>
      </w:r>
      <w:r w:rsidRPr="00C903F8">
        <w:rPr>
          <w:rFonts w:cs="Arial"/>
          <w:color w:val="000000"/>
          <w:lang w:val="en-US"/>
        </w:rPr>
        <w:tab/>
      </w:r>
      <w:r w:rsidRPr="00C903F8">
        <w:rPr>
          <w:rFonts w:cs="Arial"/>
          <w:noProof/>
          <w:color w:val="000000"/>
          <w:lang w:val="en-US"/>
        </w:rPr>
        <w:t>The type-approval number assigned by the competent authority shall be affixed indelibly to the control unit in such a way that it remains clearly visible after the equipment has been installed.</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ind w:left="426" w:firstLine="0"/>
        <w:rPr>
          <w:lang w:val="en-US" w:eastAsia="nl-NL"/>
        </w:rPr>
      </w:pPr>
      <w:r w:rsidRPr="00C903F8">
        <w:rPr>
          <w:noProof/>
          <w:lang w:val="en-US" w:eastAsia="nl-NL"/>
        </w:rPr>
        <w:t>Composition of a type-approval number: R-NN-NNN or e-NN-NNN</w:t>
      </w:r>
    </w:p>
    <w:p w:rsidR="009C13A9" w:rsidRPr="00C903F8" w:rsidRDefault="009C13A9" w:rsidP="009C13A9">
      <w:pPr>
        <w:tabs>
          <w:tab w:val="left" w:pos="425"/>
          <w:tab w:val="left" w:pos="993"/>
          <w:tab w:val="left" w:pos="1418"/>
        </w:tabs>
        <w:overflowPunct w:val="0"/>
        <w:adjustRightInd w:val="0"/>
        <w:spacing w:before="60" w:line="240" w:lineRule="atLeast"/>
        <w:ind w:left="992" w:hanging="567"/>
        <w:textAlignment w:val="baseline"/>
        <w:rPr>
          <w:rFonts w:cs="Arial"/>
          <w:noProof/>
          <w:szCs w:val="20"/>
          <w:lang w:val="en-US"/>
        </w:rPr>
      </w:pPr>
      <w:r w:rsidRPr="00C903F8">
        <w:rPr>
          <w:rFonts w:cs="Arial"/>
          <w:noProof/>
          <w:szCs w:val="20"/>
          <w:lang w:val="en-US"/>
        </w:rPr>
        <w:t>R</w:t>
      </w:r>
      <w:r w:rsidRPr="00C903F8">
        <w:rPr>
          <w:rFonts w:cs="Arial"/>
          <w:szCs w:val="20"/>
          <w:lang w:val="en-US"/>
        </w:rPr>
        <w:tab/>
        <w:t>=</w:t>
      </w:r>
      <w:r w:rsidRPr="00C903F8">
        <w:rPr>
          <w:rFonts w:cs="Arial"/>
          <w:szCs w:val="20"/>
          <w:lang w:val="en-US"/>
        </w:rPr>
        <w:tab/>
      </w:r>
      <w:r w:rsidRPr="00C903F8">
        <w:rPr>
          <w:rFonts w:cs="Arial"/>
          <w:noProof/>
          <w:szCs w:val="20"/>
          <w:lang w:val="en-US"/>
        </w:rPr>
        <w:t>Rhine</w:t>
      </w:r>
    </w:p>
    <w:p w:rsidR="009C13A9" w:rsidRPr="00C903F8" w:rsidRDefault="009C13A9" w:rsidP="009C13A9">
      <w:pPr>
        <w:tabs>
          <w:tab w:val="left" w:pos="993"/>
          <w:tab w:val="left" w:pos="1418"/>
        </w:tabs>
        <w:ind w:left="992" w:hanging="567"/>
        <w:rPr>
          <w:noProof/>
          <w:lang w:val="en-US"/>
        </w:rPr>
      </w:pPr>
      <w:r w:rsidRPr="00C903F8">
        <w:rPr>
          <w:noProof/>
          <w:lang w:val="en-US"/>
        </w:rPr>
        <w:t>e</w:t>
      </w:r>
      <w:r w:rsidRPr="00C903F8">
        <w:rPr>
          <w:noProof/>
          <w:lang w:val="en-US"/>
        </w:rPr>
        <w:tab/>
        <w:t>=</w:t>
      </w:r>
      <w:r w:rsidRPr="00C903F8">
        <w:rPr>
          <w:noProof/>
          <w:lang w:val="en-US"/>
        </w:rPr>
        <w:tab/>
        <w:t>European Union</w:t>
      </w:r>
    </w:p>
    <w:p w:rsidR="009C13A9" w:rsidRPr="00C903F8" w:rsidRDefault="009C13A9" w:rsidP="009C13A9">
      <w:pPr>
        <w:tabs>
          <w:tab w:val="left" w:pos="993"/>
          <w:tab w:val="left" w:pos="1418"/>
        </w:tabs>
        <w:ind w:left="992" w:hanging="567"/>
        <w:rPr>
          <w:noProof/>
          <w:lang w:val="en-US"/>
        </w:rPr>
      </w:pPr>
      <w:r w:rsidRPr="00C903F8">
        <w:rPr>
          <w:noProof/>
          <w:lang w:val="en-US"/>
        </w:rPr>
        <w:t>NN</w:t>
      </w:r>
      <w:r w:rsidRPr="00C903F8">
        <w:rPr>
          <w:noProof/>
          <w:lang w:val="en-US"/>
        </w:rPr>
        <w:tab/>
        <w:t>=</w:t>
      </w:r>
      <w:r w:rsidRPr="00C903F8">
        <w:rPr>
          <w:noProof/>
          <w:lang w:val="en-US"/>
        </w:rPr>
        <w:tab/>
        <w:t>number for the country of type-approval, where</w:t>
      </w:r>
    </w:p>
    <w:p w:rsidR="009C13A9" w:rsidRPr="00C903F8" w:rsidRDefault="009C13A9" w:rsidP="009C13A9">
      <w:pPr>
        <w:ind w:left="850"/>
        <w:rPr>
          <w:noProof/>
          <w:lang w:val="en-US" w:bidi="fr-FR"/>
        </w:rPr>
      </w:pPr>
    </w:p>
    <w:tbl>
      <w:tblPr>
        <w:tblW w:w="7587" w:type="dxa"/>
        <w:jc w:val="center"/>
        <w:tblLayout w:type="fixed"/>
        <w:tblLook w:val="0000" w:firstRow="0" w:lastRow="0" w:firstColumn="0" w:lastColumn="0" w:noHBand="0" w:noVBand="0"/>
      </w:tblPr>
      <w:tblGrid>
        <w:gridCol w:w="720"/>
        <w:gridCol w:w="360"/>
        <w:gridCol w:w="3162"/>
        <w:gridCol w:w="724"/>
        <w:gridCol w:w="416"/>
        <w:gridCol w:w="2205"/>
      </w:tblGrid>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01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Germany</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19</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w:t>
            </w:r>
          </w:p>
        </w:tc>
        <w:tc>
          <w:tcPr>
            <w:tcW w:w="2205" w:type="dxa"/>
          </w:tcPr>
          <w:p w:rsidR="009C13A9" w:rsidRPr="00C903F8" w:rsidRDefault="009C13A9" w:rsidP="009C13A9">
            <w:pPr>
              <w:spacing w:before="40" w:after="40" w:line="240" w:lineRule="atLeast"/>
              <w:rPr>
                <w:noProof/>
                <w:szCs w:val="20"/>
                <w:lang w:bidi="fr-FR"/>
              </w:rPr>
            </w:pPr>
            <w:r w:rsidRPr="00C903F8">
              <w:rPr>
                <w:noProof/>
                <w:lang w:val="en-US"/>
              </w:rPr>
              <w:t>Romania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02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France </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20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Poland </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03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Italy</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21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Portugal </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04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Netherlands </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23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noProof/>
                <w:lang w:val="en-US"/>
              </w:rPr>
              <w:t>Greece</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05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Sweden</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24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noProof/>
                <w:lang w:val="en-US"/>
              </w:rPr>
              <w:t>Ireland</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06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Belgium </w:t>
            </w:r>
          </w:p>
        </w:tc>
        <w:tc>
          <w:tcPr>
            <w:tcW w:w="724" w:type="dxa"/>
            <w:vAlign w:val="center"/>
          </w:tcPr>
          <w:p w:rsidR="009C13A9" w:rsidRPr="00C903F8" w:rsidRDefault="009C13A9" w:rsidP="009C13A9">
            <w:pPr>
              <w:spacing w:before="40" w:after="40" w:line="240" w:lineRule="atLeast"/>
              <w:rPr>
                <w:noProof/>
                <w:szCs w:val="20"/>
                <w:lang w:bidi="fr-FR"/>
              </w:rPr>
            </w:pPr>
            <w:r w:rsidRPr="00C903F8">
              <w:rPr>
                <w:rFonts w:eastAsia="Arial" w:cs="Arial"/>
                <w:color w:val="000000"/>
                <w:szCs w:val="20"/>
                <w:lang w:val="de-DE" w:eastAsia="ar-SA"/>
              </w:rPr>
              <w:t>25</w:t>
            </w:r>
          </w:p>
        </w:tc>
        <w:tc>
          <w:tcPr>
            <w:tcW w:w="416" w:type="dxa"/>
            <w:vAlign w:val="center"/>
          </w:tcPr>
          <w:p w:rsidR="009C13A9" w:rsidRPr="00C903F8" w:rsidRDefault="009C13A9" w:rsidP="009C13A9">
            <w:pPr>
              <w:spacing w:before="40" w:after="40" w:line="240" w:lineRule="atLeast"/>
              <w:rPr>
                <w:noProof/>
                <w:szCs w:val="20"/>
                <w:lang w:bidi="fr-FR"/>
              </w:rPr>
            </w:pPr>
            <w:r w:rsidRPr="00C903F8">
              <w:rPr>
                <w:rFonts w:eastAsia="Arial" w:cs="Arial"/>
                <w:color w:val="000000"/>
                <w:szCs w:val="20"/>
                <w:lang w:val="de-DE" w:eastAsia="ar-SA"/>
              </w:rPr>
              <w:t>=</w:t>
            </w:r>
          </w:p>
        </w:tc>
        <w:tc>
          <w:tcPr>
            <w:tcW w:w="2205" w:type="dxa"/>
            <w:vAlign w:val="center"/>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Croatia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07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Hungary</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26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Slovenia</w:t>
            </w:r>
          </w:p>
        </w:tc>
      </w:tr>
      <w:tr w:rsidR="009C13A9" w:rsidRPr="00C903F8" w:rsidTr="009C13A9">
        <w:trPr>
          <w:jc w:val="center"/>
        </w:trPr>
        <w:tc>
          <w:tcPr>
            <w:tcW w:w="720" w:type="dxa"/>
          </w:tcPr>
          <w:p w:rsidR="009C13A9" w:rsidRPr="00C903F8" w:rsidRDefault="009C13A9" w:rsidP="009C13A9">
            <w:pPr>
              <w:spacing w:before="40" w:after="160" w:line="240" w:lineRule="atLeast"/>
              <w:rPr>
                <w:noProof/>
                <w:szCs w:val="20"/>
                <w:lang w:bidi="fr-FR"/>
              </w:rPr>
            </w:pPr>
            <w:r w:rsidRPr="00C903F8">
              <w:rPr>
                <w:noProof/>
                <w:szCs w:val="20"/>
                <w:lang w:bidi="fr-FR"/>
              </w:rPr>
              <w:t xml:space="preserve">08 </w:t>
            </w:r>
          </w:p>
        </w:tc>
        <w:tc>
          <w:tcPr>
            <w:tcW w:w="360" w:type="dxa"/>
          </w:tcPr>
          <w:p w:rsidR="009C13A9" w:rsidRPr="00C903F8" w:rsidRDefault="009C13A9" w:rsidP="009C13A9">
            <w:pPr>
              <w:spacing w:before="40" w:after="16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160" w:line="240" w:lineRule="atLeast"/>
              <w:rPr>
                <w:noProof/>
                <w:szCs w:val="20"/>
                <w:lang w:bidi="fr-FR"/>
              </w:rPr>
            </w:pPr>
            <w:r w:rsidRPr="00C903F8">
              <w:rPr>
                <w:rFonts w:cs="Arial"/>
                <w:noProof/>
                <w:snapToGrid w:val="0"/>
                <w:szCs w:val="20"/>
                <w:lang w:val="en-US"/>
              </w:rPr>
              <w:t>Czech Republic</w:t>
            </w:r>
          </w:p>
        </w:tc>
        <w:tc>
          <w:tcPr>
            <w:tcW w:w="724" w:type="dxa"/>
          </w:tcPr>
          <w:p w:rsidR="009C13A9" w:rsidRPr="00C903F8" w:rsidRDefault="009C13A9" w:rsidP="009C13A9">
            <w:pPr>
              <w:spacing w:before="40" w:after="160" w:line="240" w:lineRule="atLeast"/>
              <w:rPr>
                <w:noProof/>
                <w:szCs w:val="20"/>
                <w:lang w:bidi="fr-FR"/>
              </w:rPr>
            </w:pPr>
            <w:r w:rsidRPr="00C903F8">
              <w:rPr>
                <w:noProof/>
                <w:szCs w:val="20"/>
                <w:lang w:bidi="fr-FR"/>
              </w:rPr>
              <w:t xml:space="preserve">27 </w:t>
            </w:r>
          </w:p>
        </w:tc>
        <w:tc>
          <w:tcPr>
            <w:tcW w:w="416" w:type="dxa"/>
          </w:tcPr>
          <w:p w:rsidR="009C13A9" w:rsidRPr="00C903F8" w:rsidRDefault="009C13A9" w:rsidP="009C13A9">
            <w:pPr>
              <w:spacing w:before="40" w:after="16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160" w:line="240" w:lineRule="atLeast"/>
              <w:rPr>
                <w:noProof/>
                <w:szCs w:val="20"/>
                <w:lang w:bidi="fr-FR"/>
              </w:rPr>
            </w:pPr>
            <w:r w:rsidRPr="00C903F8">
              <w:rPr>
                <w:noProof/>
                <w:lang w:val="en-US"/>
              </w:rPr>
              <w:t>Slovakia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09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Spain </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29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Estonia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11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lang w:val="en-US"/>
              </w:rPr>
              <w:t>United Kingdom</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32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Latvia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12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Austria</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34</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w:t>
            </w:r>
          </w:p>
        </w:tc>
        <w:tc>
          <w:tcPr>
            <w:tcW w:w="2205" w:type="dxa"/>
          </w:tcPr>
          <w:p w:rsidR="009C13A9" w:rsidRPr="00C903F8" w:rsidRDefault="009C13A9" w:rsidP="009C13A9">
            <w:pPr>
              <w:spacing w:before="40" w:after="40" w:line="240" w:lineRule="atLeast"/>
              <w:rPr>
                <w:noProof/>
                <w:szCs w:val="20"/>
                <w:lang w:bidi="fr-FR"/>
              </w:rPr>
            </w:pPr>
            <w:r w:rsidRPr="00C903F8">
              <w:rPr>
                <w:noProof/>
                <w:lang w:val="en-US"/>
              </w:rPr>
              <w:t>Bulgaria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13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Luxembourg </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36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Lithuania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14</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Switzerland</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49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noProof/>
                <w:lang w:val="en-US"/>
              </w:rPr>
              <w:t>Cyprus</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17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Finland</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50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Malta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18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Denmark </w:t>
            </w:r>
          </w:p>
        </w:tc>
        <w:tc>
          <w:tcPr>
            <w:tcW w:w="724" w:type="dxa"/>
          </w:tcPr>
          <w:p w:rsidR="009C13A9" w:rsidRPr="00C903F8" w:rsidRDefault="009C13A9" w:rsidP="009C13A9">
            <w:pPr>
              <w:spacing w:before="40" w:after="40" w:line="240" w:lineRule="atLeast"/>
              <w:rPr>
                <w:noProof/>
                <w:szCs w:val="20"/>
                <w:lang w:bidi="fr-FR"/>
              </w:rPr>
            </w:pPr>
          </w:p>
        </w:tc>
        <w:tc>
          <w:tcPr>
            <w:tcW w:w="416" w:type="dxa"/>
          </w:tcPr>
          <w:p w:rsidR="009C13A9" w:rsidRPr="00C903F8" w:rsidRDefault="009C13A9" w:rsidP="009C13A9">
            <w:pPr>
              <w:spacing w:before="40" w:after="40" w:line="240" w:lineRule="atLeast"/>
              <w:rPr>
                <w:noProof/>
                <w:szCs w:val="20"/>
                <w:lang w:bidi="fr-FR"/>
              </w:rPr>
            </w:pPr>
          </w:p>
        </w:tc>
        <w:tc>
          <w:tcPr>
            <w:tcW w:w="2205" w:type="dxa"/>
          </w:tcPr>
          <w:p w:rsidR="009C13A9" w:rsidRPr="00C903F8" w:rsidRDefault="009C13A9" w:rsidP="009C13A9">
            <w:pPr>
              <w:spacing w:before="40" w:after="40" w:line="240" w:lineRule="atLeast"/>
              <w:rPr>
                <w:noProof/>
                <w:szCs w:val="20"/>
                <w:lang w:bidi="fr-FR"/>
              </w:rPr>
            </w:pPr>
          </w:p>
        </w:tc>
      </w:tr>
    </w:tbl>
    <w:p w:rsidR="009C13A9" w:rsidRPr="00C903F8" w:rsidRDefault="009C13A9" w:rsidP="009C13A9">
      <w:pPr>
        <w:tabs>
          <w:tab w:val="left" w:pos="993"/>
        </w:tabs>
        <w:spacing w:line="240" w:lineRule="atLeast"/>
        <w:ind w:left="1418" w:hanging="992"/>
        <w:rPr>
          <w:noProof/>
          <w:lang w:eastAsia="nl-NL" w:bidi="fr-FR"/>
        </w:rPr>
      </w:pPr>
    </w:p>
    <w:p w:rsidR="009C13A9" w:rsidRPr="00C903F8" w:rsidRDefault="009C13A9" w:rsidP="009C13A9">
      <w:pPr>
        <w:tabs>
          <w:tab w:val="left" w:pos="993"/>
        </w:tabs>
        <w:spacing w:line="240" w:lineRule="atLeast"/>
        <w:ind w:left="1418" w:hanging="992"/>
        <w:rPr>
          <w:noProof/>
          <w:lang w:val="en-US" w:eastAsia="nl-NL" w:bidi="fr-FR"/>
        </w:rPr>
      </w:pPr>
      <w:r w:rsidRPr="00C903F8">
        <w:rPr>
          <w:noProof/>
          <w:lang w:val="en-US" w:eastAsia="nl-NL" w:bidi="fr-FR"/>
        </w:rPr>
        <w:t>NNN</w:t>
      </w:r>
      <w:r w:rsidRPr="00C903F8">
        <w:rPr>
          <w:noProof/>
          <w:lang w:val="en-US" w:eastAsia="nl-NL" w:bidi="fr-FR"/>
        </w:rPr>
        <w:tab/>
        <w:t>=</w:t>
      </w:r>
      <w:r w:rsidRPr="00C903F8">
        <w:rPr>
          <w:noProof/>
          <w:lang w:val="en-US" w:eastAsia="nl-NL" w:bidi="fr-FR"/>
        </w:rPr>
        <w:tab/>
        <w:t>three-digit number, to be determined by the competent authority</w:t>
      </w:r>
    </w:p>
    <w:p w:rsidR="009C13A9" w:rsidRPr="00C903F8" w:rsidRDefault="009C13A9" w:rsidP="009C13A9">
      <w:pPr>
        <w:tabs>
          <w:tab w:val="left" w:pos="288"/>
          <w:tab w:val="left" w:pos="432"/>
        </w:tabs>
        <w:overflowPunct w:val="0"/>
        <w:adjustRightInd w:val="0"/>
        <w:ind w:left="0" w:firstLine="0"/>
        <w:jc w:val="left"/>
        <w:textAlignment w:val="baseline"/>
        <w:rPr>
          <w:rFonts w:cs="Arial"/>
          <w:szCs w:val="20"/>
          <w:lang w:val="en-US"/>
        </w:rPr>
      </w:pPr>
    </w:p>
    <w:p w:rsidR="009C13A9" w:rsidRPr="00B70FC2" w:rsidRDefault="009C13A9" w:rsidP="00B70FC2">
      <w:pPr>
        <w:pStyle w:val="Esannch"/>
        <w:rPr>
          <w:noProof/>
          <w:lang w:val="en-US"/>
        </w:rPr>
      </w:pPr>
      <w:r w:rsidRPr="00B70FC2">
        <w:rPr>
          <w:noProof/>
          <w:lang w:val="en-US"/>
        </w:rPr>
        <w:t>3.</w:t>
      </w:r>
      <w:r w:rsidRPr="00B70FC2">
        <w:rPr>
          <w:noProof/>
          <w:lang w:val="en-US"/>
        </w:rPr>
        <w:tab/>
        <w:t xml:space="preserve">The type-approval number shall be used only in conjunction with the associated type-approval. </w:t>
      </w:r>
    </w:p>
    <w:p w:rsidR="009C13A9" w:rsidRPr="00C903F8" w:rsidRDefault="009C13A9" w:rsidP="009C13A9">
      <w:pPr>
        <w:spacing w:line="240" w:lineRule="atLeast"/>
        <w:ind w:left="426" w:firstLine="0"/>
        <w:rPr>
          <w:noProof/>
          <w:lang w:val="en-US" w:eastAsia="nl-NL"/>
        </w:rPr>
      </w:pPr>
      <w:r w:rsidRPr="00C903F8">
        <w:rPr>
          <w:noProof/>
          <w:lang w:val="en-US" w:eastAsia="nl-NL"/>
        </w:rPr>
        <w:t>It shall be the responsibility of the applicant to produce and affix the type-approval number.</w:t>
      </w:r>
    </w:p>
    <w:p w:rsidR="009C13A9" w:rsidRPr="00C903F8" w:rsidRDefault="009C13A9" w:rsidP="009C13A9">
      <w:pPr>
        <w:tabs>
          <w:tab w:val="left" w:pos="288"/>
          <w:tab w:val="left" w:pos="432"/>
        </w:tabs>
        <w:overflowPunct w:val="0"/>
        <w:adjustRightInd w:val="0"/>
        <w:ind w:left="0" w:firstLine="0"/>
        <w:jc w:val="left"/>
        <w:textAlignment w:val="baseline"/>
        <w:rPr>
          <w:rFonts w:cs="Arial"/>
          <w:szCs w:val="20"/>
          <w:lang w:val="en-US"/>
        </w:rPr>
      </w:pPr>
    </w:p>
    <w:p w:rsidR="00B70FC2" w:rsidRDefault="00B70FC2">
      <w:pPr>
        <w:autoSpaceDE/>
        <w:autoSpaceDN/>
        <w:ind w:left="0" w:firstLine="0"/>
        <w:jc w:val="left"/>
        <w:rPr>
          <w:rFonts w:cs="Arial"/>
          <w:szCs w:val="20"/>
          <w:lang w:val="en-US"/>
        </w:rPr>
      </w:pPr>
      <w:r>
        <w:rPr>
          <w:rFonts w:cs="Arial"/>
          <w:szCs w:val="20"/>
          <w:lang w:val="en-US"/>
        </w:rPr>
        <w:br w:type="page"/>
      </w:r>
    </w:p>
    <w:p w:rsidR="009C13A9" w:rsidRPr="00C903F8" w:rsidRDefault="009C13A9" w:rsidP="009C13A9">
      <w:pPr>
        <w:tabs>
          <w:tab w:val="left" w:pos="288"/>
          <w:tab w:val="left" w:pos="432"/>
        </w:tabs>
        <w:overflowPunct w:val="0"/>
        <w:adjustRightInd w:val="0"/>
        <w:ind w:left="0" w:firstLine="0"/>
        <w:jc w:val="left"/>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1.07</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r w:rsidRPr="00C903F8">
        <w:rPr>
          <w:rFonts w:cs="Arial"/>
          <w:i/>
          <w:iCs/>
          <w:noProof/>
          <w:szCs w:val="20"/>
          <w:lang w:val="en-US"/>
        </w:rPr>
        <w:t>Manufacturer's declaration</w:t>
      </w:r>
    </w:p>
    <w:p w:rsidR="009C13A9" w:rsidRPr="00C903F8" w:rsidRDefault="009C13A9" w:rsidP="009C13A9">
      <w:pPr>
        <w:tabs>
          <w:tab w:val="left" w:pos="288"/>
          <w:tab w:val="left" w:pos="432"/>
        </w:tabs>
        <w:overflowPunct w:val="0"/>
        <w:adjustRightInd w:val="0"/>
        <w:ind w:left="0" w:firstLine="0"/>
        <w:jc w:val="left"/>
        <w:textAlignment w:val="baseline"/>
        <w:rPr>
          <w:rFonts w:cs="Arial"/>
          <w:szCs w:val="20"/>
          <w:lang w:val="en-US"/>
        </w:rPr>
      </w:pPr>
    </w:p>
    <w:p w:rsidR="009C13A9" w:rsidRPr="00C903F8" w:rsidRDefault="009C13A9" w:rsidP="009C13A9">
      <w:pPr>
        <w:tabs>
          <w:tab w:val="left" w:leader="dot" w:pos="9072"/>
        </w:tabs>
        <w:spacing w:line="240" w:lineRule="atLeast"/>
        <w:ind w:left="0" w:firstLine="0"/>
        <w:rPr>
          <w:rFonts w:cs="Arial"/>
          <w:szCs w:val="20"/>
          <w:lang w:val="en-US"/>
        </w:rPr>
      </w:pPr>
      <w:r w:rsidRPr="00C903F8">
        <w:rPr>
          <w:rFonts w:cs="Arial"/>
          <w:noProof/>
          <w:lang w:val="en-US"/>
        </w:rPr>
        <w:t>Each unit of equipment shall be accompanied by a manufacturer's declaration.</w:t>
      </w:r>
    </w:p>
    <w:p w:rsidR="009C13A9" w:rsidRPr="00C903F8" w:rsidRDefault="009C13A9" w:rsidP="009C13A9">
      <w:pPr>
        <w:tabs>
          <w:tab w:val="left" w:leader="dot" w:pos="9072"/>
        </w:tabs>
        <w:spacing w:line="240" w:lineRule="atLeast"/>
        <w:ind w:left="0" w:firstLine="0"/>
        <w:rPr>
          <w:rFonts w:cs="Arial"/>
          <w:lang w:val="en-US"/>
        </w:rPr>
      </w:pPr>
    </w:p>
    <w:p w:rsidR="009C13A9" w:rsidRPr="00C903F8" w:rsidRDefault="009C13A9" w:rsidP="009C13A9">
      <w:pPr>
        <w:tabs>
          <w:tab w:val="left" w:leader="dot" w:pos="9072"/>
        </w:tabs>
        <w:spacing w:line="240" w:lineRule="atLeast"/>
        <w:ind w:left="0" w:firstLine="0"/>
        <w:rPr>
          <w:rFonts w:cs="Arial"/>
          <w:lang w:val="en-US"/>
        </w:rPr>
      </w:pP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1.08</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i/>
          <w:iCs/>
          <w:noProof/>
          <w:szCs w:val="20"/>
          <w:lang w:val="en-US"/>
        </w:rPr>
      </w:pPr>
      <w:r w:rsidRPr="00C903F8">
        <w:rPr>
          <w:rFonts w:cs="Arial"/>
          <w:i/>
          <w:iCs/>
          <w:noProof/>
          <w:szCs w:val="20"/>
          <w:lang w:val="en-US"/>
        </w:rPr>
        <w:t>Modifications to type-approved equipment</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1.</w:t>
      </w:r>
      <w:r w:rsidRPr="00C903F8">
        <w:rPr>
          <w:rFonts w:cs="Arial"/>
          <w:color w:val="000000"/>
          <w:lang w:val="en-US"/>
        </w:rPr>
        <w:tab/>
        <w:t xml:space="preserve">Any modification made to equipment already approved shall cause the type-approval to be </w:t>
      </w:r>
      <w:r w:rsidR="00F84742" w:rsidRPr="00C903F8">
        <w:rPr>
          <w:rFonts w:cs="Arial"/>
          <w:color w:val="000000"/>
          <w:lang w:val="en-US"/>
        </w:rPr>
        <w:t>forfeit</w:t>
      </w:r>
      <w:r w:rsidRPr="00C903F8">
        <w:rPr>
          <w:rFonts w:cs="Arial"/>
          <w:color w:val="000000"/>
          <w:lang w:val="en-US"/>
        </w:rPr>
        <w:t>.</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lang w:val="en-US" w:eastAsia="nl-NL"/>
        </w:rPr>
      </w:pPr>
      <w:r w:rsidRPr="00C903F8">
        <w:rPr>
          <w:lang w:val="en-US" w:eastAsia="nl-NL"/>
        </w:rPr>
        <w:t>Whenever modifications are planned, details shall be sent in writing to the competent technical service.</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2.</w:t>
      </w:r>
      <w:r w:rsidRPr="00C903F8">
        <w:rPr>
          <w:rFonts w:cs="Arial"/>
          <w:color w:val="000000"/>
          <w:lang w:val="en-US"/>
        </w:rPr>
        <w:tab/>
        <w:t>The competent authority shall decide following consultation with the technical service whether the type-approval still applies or whether an inspection or new type test is necessary.</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szCs w:val="20"/>
          <w:lang w:val="en-US" w:eastAsia="nl-NL"/>
        </w:rPr>
      </w:pPr>
      <w:r w:rsidRPr="00C903F8">
        <w:rPr>
          <w:lang w:val="en-US" w:eastAsia="nl-NL"/>
        </w:rPr>
        <w:t>If a new type test is granted, a new type approval number shall be assigned.</w:t>
      </w: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overflowPunct w:val="0"/>
        <w:adjustRightInd w:val="0"/>
        <w:ind w:left="0" w:firstLine="0"/>
        <w:jc w:val="center"/>
        <w:textAlignment w:val="baseline"/>
        <w:rPr>
          <w:rFonts w:cs="Arial"/>
          <w:b/>
          <w:bCs/>
          <w:szCs w:val="20"/>
          <w:lang w:val="en-US"/>
        </w:rPr>
      </w:pPr>
      <w:r w:rsidRPr="00C903F8">
        <w:rPr>
          <w:rFonts w:cs="Arial"/>
          <w:b/>
          <w:bCs/>
          <w:noProof/>
          <w:szCs w:val="20"/>
          <w:lang w:val="en-US"/>
        </w:rPr>
        <w:t>Chap</w:t>
      </w:r>
      <w:r w:rsidR="00F84742" w:rsidRPr="00C903F8">
        <w:rPr>
          <w:rFonts w:cs="Arial"/>
          <w:b/>
          <w:bCs/>
          <w:noProof/>
          <w:szCs w:val="20"/>
          <w:lang w:val="en-US"/>
        </w:rPr>
        <w:t>ter</w:t>
      </w:r>
      <w:r w:rsidRPr="00C903F8">
        <w:rPr>
          <w:rFonts w:cs="Arial"/>
          <w:b/>
          <w:bCs/>
          <w:noProof/>
          <w:szCs w:val="20"/>
          <w:lang w:val="en-US"/>
        </w:rPr>
        <w:t xml:space="preserve"> 2</w:t>
      </w:r>
    </w:p>
    <w:p w:rsidR="009C13A9" w:rsidRPr="00C903F8" w:rsidRDefault="009C13A9" w:rsidP="009C13A9">
      <w:pPr>
        <w:overflowPunct w:val="0"/>
        <w:adjustRightInd w:val="0"/>
        <w:ind w:left="0" w:firstLine="0"/>
        <w:jc w:val="center"/>
        <w:textAlignment w:val="baseline"/>
        <w:rPr>
          <w:rFonts w:cs="Arial"/>
          <w:b/>
          <w:bCs/>
          <w:caps/>
          <w:szCs w:val="20"/>
          <w:lang w:val="en-US"/>
        </w:rPr>
      </w:pPr>
      <w:r w:rsidRPr="00C903F8">
        <w:rPr>
          <w:rFonts w:cs="Arial"/>
          <w:b/>
          <w:bCs/>
          <w:noProof/>
          <w:szCs w:val="20"/>
          <w:lang w:val="en-US"/>
        </w:rPr>
        <w:t>General minimum requirements for rate-of-turn indicators</w:t>
      </w:r>
    </w:p>
    <w:p w:rsidR="009C13A9" w:rsidRPr="00C903F8" w:rsidRDefault="009C13A9" w:rsidP="009C13A9">
      <w:pPr>
        <w:overflowPunct w:val="0"/>
        <w:adjustRightInd w:val="0"/>
        <w:ind w:left="0" w:firstLine="0"/>
        <w:jc w:val="center"/>
        <w:textAlignment w:val="baseline"/>
        <w:rPr>
          <w:rFonts w:cs="Arial"/>
          <w:szCs w:val="20"/>
          <w:lang w:val="en-US"/>
        </w:rPr>
      </w:pPr>
    </w:p>
    <w:p w:rsidR="009C13A9" w:rsidRPr="00C903F8" w:rsidRDefault="009C13A9" w:rsidP="009C13A9">
      <w:pPr>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2.01</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i/>
          <w:iCs/>
          <w:noProof/>
          <w:szCs w:val="20"/>
          <w:lang w:val="en-US"/>
        </w:rPr>
      </w:pPr>
      <w:r w:rsidRPr="00C903F8">
        <w:rPr>
          <w:rFonts w:cs="Arial"/>
          <w:i/>
          <w:iCs/>
          <w:noProof/>
          <w:szCs w:val="20"/>
          <w:lang w:val="en-US"/>
        </w:rPr>
        <w:t>Construction, design</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p>
    <w:p w:rsidR="009C13A9" w:rsidRPr="00C903F8" w:rsidRDefault="009C13A9" w:rsidP="009C13A9">
      <w:pPr>
        <w:spacing w:line="240" w:lineRule="atLeast"/>
        <w:rPr>
          <w:rFonts w:cs="Arial"/>
          <w:snapToGrid w:val="0"/>
          <w:color w:val="000000"/>
          <w:lang w:val="en-US"/>
        </w:rPr>
      </w:pPr>
      <w:r w:rsidRPr="00C903F8">
        <w:rPr>
          <w:rFonts w:cs="Arial"/>
          <w:snapToGrid w:val="0"/>
          <w:color w:val="000000"/>
          <w:lang w:val="en-US"/>
        </w:rPr>
        <w:t>1.</w:t>
      </w:r>
      <w:r w:rsidRPr="00C903F8">
        <w:rPr>
          <w:rFonts w:cs="Arial"/>
          <w:snapToGrid w:val="0"/>
          <w:color w:val="000000"/>
          <w:lang w:val="en-US"/>
        </w:rPr>
        <w:tab/>
      </w:r>
      <w:r w:rsidRPr="00C903F8">
        <w:rPr>
          <w:rFonts w:cs="Arial"/>
          <w:noProof/>
          <w:snapToGrid w:val="0"/>
          <w:color w:val="000000"/>
          <w:lang w:val="en-US"/>
        </w:rPr>
        <w:t>Rate-of-turn indicators shall be suitable for operation on board inland navigation vessels.</w:t>
      </w:r>
    </w:p>
    <w:p w:rsidR="009C13A9" w:rsidRPr="00C903F8" w:rsidRDefault="009C13A9" w:rsidP="009C13A9">
      <w:pPr>
        <w:spacing w:line="240" w:lineRule="atLeast"/>
        <w:rPr>
          <w:rFonts w:cs="Arial"/>
          <w:snapToGrid w:val="0"/>
          <w:color w:val="000000"/>
          <w:lang w:val="en-US"/>
        </w:rPr>
      </w:pPr>
    </w:p>
    <w:p w:rsidR="009C13A9" w:rsidRPr="00C903F8" w:rsidRDefault="009C13A9" w:rsidP="009C13A9">
      <w:pPr>
        <w:spacing w:line="240" w:lineRule="atLeast"/>
        <w:rPr>
          <w:rFonts w:cs="Arial"/>
          <w:snapToGrid w:val="0"/>
          <w:color w:val="000000"/>
          <w:lang w:val="en-US"/>
        </w:rPr>
      </w:pPr>
      <w:r w:rsidRPr="00C903F8">
        <w:rPr>
          <w:rFonts w:cs="Arial"/>
          <w:snapToGrid w:val="0"/>
          <w:color w:val="000000"/>
          <w:lang w:val="en-US"/>
        </w:rPr>
        <w:t>2.</w:t>
      </w:r>
      <w:r w:rsidRPr="00C903F8">
        <w:rPr>
          <w:rFonts w:cs="Arial"/>
          <w:snapToGrid w:val="0"/>
          <w:color w:val="000000"/>
          <w:lang w:val="en-US"/>
        </w:rPr>
        <w:tab/>
      </w:r>
      <w:r w:rsidRPr="00C903F8">
        <w:rPr>
          <w:rFonts w:cs="Arial"/>
          <w:noProof/>
          <w:snapToGrid w:val="0"/>
          <w:color w:val="000000"/>
          <w:lang w:val="en-US"/>
        </w:rPr>
        <w:t>The construction and design of the equipment shall be in accordance with current good engineering practice, both mechanically and electrically.</w:t>
      </w:r>
    </w:p>
    <w:p w:rsidR="009C13A9" w:rsidRPr="00C903F8" w:rsidRDefault="009C13A9" w:rsidP="009C13A9">
      <w:pPr>
        <w:tabs>
          <w:tab w:val="left" w:leader="dot" w:pos="9072"/>
        </w:tabs>
        <w:spacing w:line="240" w:lineRule="atLeast"/>
        <w:ind w:left="0" w:firstLine="0"/>
        <w:rPr>
          <w:rFonts w:cs="Arial"/>
          <w:snapToGrid w:val="0"/>
          <w:lang w:val="en-US"/>
        </w:rPr>
      </w:pPr>
    </w:p>
    <w:p w:rsidR="009C13A9" w:rsidRPr="00C903F8" w:rsidRDefault="009C13A9" w:rsidP="009C13A9">
      <w:pPr>
        <w:spacing w:line="240" w:lineRule="atLeast"/>
        <w:rPr>
          <w:rFonts w:cs="Arial"/>
          <w:snapToGrid w:val="0"/>
          <w:color w:val="000000"/>
          <w:lang w:val="en-US"/>
        </w:rPr>
      </w:pPr>
      <w:r w:rsidRPr="00C903F8">
        <w:rPr>
          <w:rFonts w:cs="Arial"/>
          <w:snapToGrid w:val="0"/>
          <w:color w:val="000000"/>
          <w:lang w:val="en-US"/>
        </w:rPr>
        <w:t>3.</w:t>
      </w:r>
      <w:r w:rsidRPr="00C903F8">
        <w:rPr>
          <w:rFonts w:cs="Arial"/>
          <w:snapToGrid w:val="0"/>
          <w:color w:val="000000"/>
          <w:lang w:val="en-US"/>
        </w:rPr>
        <w:tab/>
      </w:r>
      <w:r w:rsidRPr="00C903F8">
        <w:rPr>
          <w:rFonts w:cs="Arial"/>
          <w:noProof/>
          <w:color w:val="000000"/>
          <w:lang w:val="en-US"/>
        </w:rPr>
        <w:t>In the absence of any specific provision in this Standard, the requirements and test methods contained in European Standard EN 60945 : 2002 shall apply to power supply, safety, mutual interference of ship borne equipment, compass safe distance, resistance to climatic influences, mechanical strength, environmental influences, audible noise emission and equipment markings.</w:t>
      </w:r>
    </w:p>
    <w:p w:rsidR="009C13A9" w:rsidRPr="00C903F8" w:rsidRDefault="009C13A9" w:rsidP="009C13A9">
      <w:pPr>
        <w:spacing w:line="240" w:lineRule="atLeast"/>
        <w:ind w:left="426" w:firstLine="0"/>
        <w:rPr>
          <w:noProof/>
          <w:snapToGrid w:val="0"/>
          <w:lang w:val="en-US" w:eastAsia="nl-NL"/>
        </w:rPr>
      </w:pPr>
    </w:p>
    <w:p w:rsidR="009C13A9" w:rsidRPr="00C903F8" w:rsidRDefault="009C13A9" w:rsidP="009C13A9">
      <w:pPr>
        <w:spacing w:line="240" w:lineRule="atLeast"/>
        <w:ind w:left="426" w:firstLine="0"/>
        <w:rPr>
          <w:snapToGrid w:val="0"/>
          <w:lang w:val="en-US" w:eastAsia="nl-NL"/>
        </w:rPr>
      </w:pPr>
      <w:r w:rsidRPr="00C903F8">
        <w:rPr>
          <w:noProof/>
          <w:snapToGrid w:val="0"/>
          <w:lang w:val="en-US" w:eastAsia="nl-NL"/>
        </w:rPr>
        <w:t>The equipment shall satisfy all requirements of this Annex at ambient temperatures between 0 °C and + 40 °C.</w:t>
      </w: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r w:rsidRPr="00C903F8">
        <w:rPr>
          <w:rFonts w:cs="Arial"/>
          <w:szCs w:val="20"/>
          <w:lang w:val="en-US"/>
        </w:rPr>
        <w:br w:type="page"/>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szCs w:val="20"/>
          <w:lang w:val="en-US"/>
        </w:rPr>
      </w:pPr>
      <w:r w:rsidRPr="00C903F8">
        <w:rPr>
          <w:rFonts w:cs="Arial"/>
          <w:b/>
          <w:bCs/>
          <w:noProof/>
          <w:szCs w:val="20"/>
          <w:lang w:val="en-US"/>
        </w:rPr>
        <w:lastRenderedPageBreak/>
        <w:t>Article 2.02</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r w:rsidRPr="00C903F8">
        <w:rPr>
          <w:rFonts w:cs="Arial"/>
          <w:i/>
          <w:iCs/>
          <w:noProof/>
          <w:szCs w:val="20"/>
          <w:lang w:val="en-US"/>
        </w:rPr>
        <w:t>Spurious emissions and electromagnetic compatibility</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1.</w:t>
      </w:r>
      <w:r w:rsidRPr="00C903F8">
        <w:rPr>
          <w:rFonts w:cs="Arial"/>
          <w:color w:val="000000"/>
          <w:lang w:val="en-US"/>
        </w:rPr>
        <w:tab/>
      </w:r>
      <w:r w:rsidRPr="00C903F8">
        <w:rPr>
          <w:rFonts w:cs="Arial"/>
          <w:noProof/>
          <w:color w:val="000000"/>
          <w:w w:val="103"/>
          <w:lang w:val="en-US"/>
        </w:rPr>
        <w:t>General requirements</w:t>
      </w:r>
    </w:p>
    <w:p w:rsidR="009C13A9" w:rsidRPr="00C903F8" w:rsidRDefault="009C13A9" w:rsidP="009C13A9">
      <w:pPr>
        <w:spacing w:line="240" w:lineRule="atLeast"/>
        <w:rPr>
          <w:rFonts w:cs="Arial"/>
          <w:color w:val="000000"/>
          <w:szCs w:val="20"/>
          <w:lang w:val="en-US"/>
        </w:rPr>
      </w:pPr>
    </w:p>
    <w:p w:rsidR="001077F3" w:rsidRPr="00C903F8" w:rsidRDefault="001077F3" w:rsidP="001077F3">
      <w:pPr>
        <w:spacing w:line="240" w:lineRule="atLeast"/>
        <w:ind w:firstLine="0"/>
        <w:rPr>
          <w:szCs w:val="20"/>
          <w:lang w:val="en-US" w:eastAsia="nl-NL"/>
        </w:rPr>
      </w:pPr>
      <w:r w:rsidRPr="00C903F8">
        <w:rPr>
          <w:noProof/>
          <w:lang w:val="en-US" w:eastAsia="nl-NL"/>
        </w:rPr>
        <w:t xml:space="preserve">Rate-of-turn indicators shall meet the requirements of </w:t>
      </w:r>
      <w:r w:rsidRPr="002043D6">
        <w:rPr>
          <w:noProof/>
          <w:lang w:val="en-US" w:eastAsia="nl-NL"/>
        </w:rPr>
        <w:t>Directive 2014/30/EU</w:t>
      </w:r>
      <w:r w:rsidRPr="002043D6">
        <w:rPr>
          <w:noProof/>
          <w:vertAlign w:val="superscript"/>
          <w:lang w:eastAsia="nl-NL"/>
        </w:rPr>
        <w:footnoteReference w:id="53"/>
      </w:r>
      <w:r w:rsidRPr="002043D6">
        <w:rPr>
          <w:noProof/>
          <w:lang w:val="en-US" w:eastAsia="nl-NL"/>
        </w:rPr>
        <w:t>.</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2.</w:t>
      </w:r>
      <w:r w:rsidRPr="00C903F8">
        <w:rPr>
          <w:rFonts w:cs="Arial"/>
          <w:color w:val="000000"/>
          <w:lang w:val="en-US"/>
        </w:rPr>
        <w:tab/>
      </w:r>
      <w:r w:rsidRPr="00C903F8">
        <w:rPr>
          <w:rFonts w:cs="Arial"/>
          <w:noProof/>
          <w:color w:val="000000"/>
          <w:lang w:val="en-US"/>
        </w:rPr>
        <w:t>Spurious emissions</w:t>
      </w:r>
    </w:p>
    <w:p w:rsidR="009C13A9" w:rsidRPr="00C903F8" w:rsidRDefault="009C13A9" w:rsidP="009C13A9">
      <w:pPr>
        <w:spacing w:line="240" w:lineRule="atLeast"/>
        <w:rPr>
          <w:rFonts w:cs="Arial"/>
          <w:color w:val="000000"/>
          <w:szCs w:val="20"/>
          <w:lang w:val="en-US"/>
        </w:rPr>
      </w:pPr>
    </w:p>
    <w:p w:rsidR="009C13A9" w:rsidRPr="00C903F8" w:rsidRDefault="009C13A9" w:rsidP="009C13A9">
      <w:pPr>
        <w:spacing w:line="240" w:lineRule="atLeast"/>
        <w:ind w:left="426" w:firstLine="0"/>
        <w:rPr>
          <w:lang w:val="en-US" w:eastAsia="nl-NL"/>
        </w:rPr>
      </w:pPr>
      <w:r w:rsidRPr="00C903F8">
        <w:rPr>
          <w:noProof/>
          <w:lang w:val="en-US" w:eastAsia="nl-NL"/>
        </w:rPr>
        <w:t xml:space="preserve">In the frequency ranges of 156-165 MHz, 450-470 MHz and 1,53-1,544 GHz, the field strength shall not exceed a value of 15 </w:t>
      </w:r>
      <w:r w:rsidRPr="00C903F8">
        <w:rPr>
          <w:noProof/>
          <w:lang w:eastAsia="nl-NL"/>
        </w:rPr>
        <w:t>μ</w:t>
      </w:r>
      <w:r w:rsidRPr="00C903F8">
        <w:rPr>
          <w:noProof/>
          <w:lang w:val="en-US" w:eastAsia="nl-NL"/>
        </w:rPr>
        <w:t>V/m. These field strengths shall apply at a test distance of 3</w:t>
      </w:r>
      <w:r w:rsidR="006F3EE0" w:rsidRPr="00C903F8">
        <w:rPr>
          <w:noProof/>
          <w:lang w:val="en-US" w:eastAsia="nl-NL"/>
        </w:rPr>
        <w:t> </w:t>
      </w:r>
      <w:r w:rsidRPr="00C903F8">
        <w:rPr>
          <w:noProof/>
          <w:lang w:val="en-US" w:eastAsia="nl-NL"/>
        </w:rPr>
        <w:t>metres from the equipment under test.</w:t>
      </w:r>
    </w:p>
    <w:p w:rsidR="009C13A9" w:rsidRPr="00C903F8" w:rsidRDefault="009C13A9" w:rsidP="009C13A9">
      <w:pPr>
        <w:tabs>
          <w:tab w:val="left" w:pos="425"/>
        </w:tabs>
        <w:overflowPunct w:val="0"/>
        <w:adjustRightInd w:val="0"/>
        <w:spacing w:line="240" w:lineRule="atLeast"/>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2.03</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r w:rsidRPr="00C903F8">
        <w:rPr>
          <w:rFonts w:cs="Arial"/>
          <w:i/>
          <w:iCs/>
          <w:noProof/>
          <w:szCs w:val="20"/>
          <w:lang w:val="en-US"/>
        </w:rPr>
        <w:t>Operation</w:t>
      </w: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spacing w:line="240" w:lineRule="atLeast"/>
        <w:rPr>
          <w:rFonts w:cs="Arial"/>
          <w:noProof/>
          <w:color w:val="000000"/>
          <w:lang w:val="en-US"/>
        </w:rPr>
      </w:pPr>
      <w:r w:rsidRPr="00C903F8">
        <w:rPr>
          <w:rFonts w:cs="Arial"/>
          <w:color w:val="000000"/>
          <w:lang w:val="en-US"/>
        </w:rPr>
        <w:t>1.</w:t>
      </w:r>
      <w:r w:rsidRPr="00C903F8">
        <w:rPr>
          <w:rFonts w:cs="Arial"/>
          <w:color w:val="000000"/>
          <w:lang w:val="en-US"/>
        </w:rPr>
        <w:tab/>
        <w:t>The equipment shall not have more control units than are necessary for its correct operation.</w:t>
      </w:r>
    </w:p>
    <w:p w:rsidR="009C13A9" w:rsidRPr="00C903F8" w:rsidRDefault="009C13A9" w:rsidP="009C13A9">
      <w:pPr>
        <w:tabs>
          <w:tab w:val="left" w:pos="425"/>
        </w:tabs>
        <w:overflowPunct w:val="0"/>
        <w:adjustRightInd w:val="0"/>
        <w:spacing w:line="240" w:lineRule="atLeast"/>
        <w:textAlignment w:val="baseline"/>
        <w:rPr>
          <w:rFonts w:cs="Arial"/>
          <w:szCs w:val="20"/>
          <w:lang w:val="en-US"/>
        </w:rPr>
      </w:pPr>
    </w:p>
    <w:p w:rsidR="009C13A9" w:rsidRPr="00C903F8" w:rsidRDefault="009C13A9" w:rsidP="009C13A9">
      <w:pPr>
        <w:spacing w:line="240" w:lineRule="atLeast"/>
        <w:ind w:left="426" w:firstLine="0"/>
        <w:rPr>
          <w:lang w:val="en-US" w:eastAsia="nl-NL"/>
        </w:rPr>
      </w:pPr>
      <w:r w:rsidRPr="00C903F8">
        <w:rPr>
          <w:lang w:val="en-US" w:eastAsia="nl-NL"/>
        </w:rPr>
        <w:t xml:space="preserve">The design, markings and manipulation of the control units shall be such as to permit their simple, unambiguous and fast operation. </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lang w:val="en-US" w:eastAsia="nl-NL"/>
        </w:rPr>
      </w:pPr>
      <w:r w:rsidRPr="00C903F8">
        <w:rPr>
          <w:lang w:val="en-US" w:eastAsia="nl-NL"/>
        </w:rPr>
        <w:t>Their arrangement shall be such as to prevent operational mistakes as far as possible</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Control units that are not necessary for normal operation shall not be immediately accessible.</w:t>
      </w:r>
    </w:p>
    <w:p w:rsidR="009C13A9" w:rsidRPr="00C903F8" w:rsidRDefault="009C13A9" w:rsidP="009C13A9">
      <w:pPr>
        <w:tabs>
          <w:tab w:val="left" w:pos="425"/>
        </w:tabs>
        <w:overflowPunct w:val="0"/>
        <w:adjustRightInd w:val="0"/>
        <w:spacing w:line="240" w:lineRule="atLeast"/>
        <w:textAlignment w:val="baseline"/>
        <w:rPr>
          <w:rFonts w:cs="Arial"/>
          <w:szCs w:val="20"/>
          <w:lang w:val="en-US"/>
        </w:rPr>
      </w:pPr>
    </w:p>
    <w:p w:rsidR="009C13A9" w:rsidRPr="00C903F8" w:rsidRDefault="009C13A9" w:rsidP="009C13A9">
      <w:pPr>
        <w:spacing w:line="240" w:lineRule="atLeast"/>
        <w:rPr>
          <w:rFonts w:cs="Arial"/>
          <w:noProof/>
          <w:color w:val="000000"/>
          <w:lang w:val="en-US"/>
        </w:rPr>
      </w:pPr>
      <w:r w:rsidRPr="00C903F8">
        <w:rPr>
          <w:rFonts w:cs="Arial"/>
          <w:color w:val="000000"/>
          <w:lang w:val="en-US"/>
        </w:rPr>
        <w:t xml:space="preserve">2. </w:t>
      </w:r>
      <w:r w:rsidRPr="00C903F8">
        <w:rPr>
          <w:rFonts w:cs="Arial"/>
          <w:color w:val="000000"/>
          <w:lang w:val="en-US"/>
        </w:rPr>
        <w:tab/>
      </w:r>
      <w:r w:rsidR="001077F3" w:rsidRPr="00B26BAE">
        <w:rPr>
          <w:rFonts w:ascii="ArialMT" w:hAnsi="ArialMT" w:cs="ArialMT"/>
          <w:szCs w:val="20"/>
          <w:lang w:val="en-US" w:eastAsia="de-DE"/>
        </w:rPr>
        <w:t xml:space="preserve">All controls and indicators shall be provided with </w:t>
      </w:r>
      <w:r w:rsidR="001077F3" w:rsidRPr="002043D6">
        <w:rPr>
          <w:rFonts w:ascii="ArialMT" w:hAnsi="ArialMT" w:cs="ArialMT"/>
          <w:szCs w:val="20"/>
          <w:lang w:val="en-US" w:eastAsia="de-DE"/>
        </w:rPr>
        <w:t>symbols and/or markings in English. Symbols shall meet the requirements of European Standard EN 60417: 2002 (graphical</w:t>
      </w:r>
      <w:r w:rsidR="001077F3" w:rsidRPr="00B26BAE">
        <w:rPr>
          <w:rFonts w:ascii="ArialMT" w:hAnsi="ArialMT" w:cs="ArialMT"/>
          <w:szCs w:val="20"/>
          <w:lang w:val="en-US" w:eastAsia="de-DE"/>
        </w:rPr>
        <w:t xml:space="preserve"> symbols for use on electrical equipment</w:t>
      </w:r>
      <w:r w:rsidR="001077F3">
        <w:rPr>
          <w:rFonts w:ascii="ArialMT" w:hAnsi="ArialMT" w:cs="ArialMT"/>
          <w:szCs w:val="20"/>
          <w:lang w:val="en-US" w:eastAsia="de-DE"/>
        </w:rPr>
        <w:t>).</w:t>
      </w:r>
    </w:p>
    <w:p w:rsidR="009C13A9" w:rsidRPr="00C903F8" w:rsidRDefault="009C13A9" w:rsidP="009C13A9">
      <w:pPr>
        <w:tabs>
          <w:tab w:val="left" w:pos="425"/>
        </w:tabs>
        <w:overflowPunct w:val="0"/>
        <w:adjustRightInd w:val="0"/>
        <w:spacing w:line="240" w:lineRule="atLeast"/>
        <w:textAlignment w:val="baseline"/>
        <w:rPr>
          <w:rFonts w:cs="Arial"/>
          <w:szCs w:val="20"/>
          <w:lang w:val="en-US"/>
        </w:rPr>
      </w:pPr>
    </w:p>
    <w:p w:rsidR="009C13A9" w:rsidRPr="00C903F8" w:rsidRDefault="009C13A9" w:rsidP="009C13A9">
      <w:pPr>
        <w:spacing w:line="240" w:lineRule="atLeast"/>
        <w:ind w:left="426" w:firstLine="0"/>
        <w:rPr>
          <w:lang w:val="en-US" w:eastAsia="nl-NL"/>
        </w:rPr>
      </w:pPr>
      <w:r w:rsidRPr="00C903F8">
        <w:rPr>
          <w:noProof/>
          <w:lang w:val="en-US" w:eastAsia="nl-NL"/>
        </w:rPr>
        <w:t>All numerals and letters shall be at least 4 mm high. If it can be demonstrated that, for technical reasons, numerals and letters 4 mm high are not possible and if for the purposes of operation smaller numerals and letters are acceptable, a redu</w:t>
      </w:r>
      <w:r w:rsidR="00943EAD">
        <w:rPr>
          <w:noProof/>
          <w:lang w:val="en-US" w:eastAsia="nl-NL"/>
        </w:rPr>
        <w:t>ction to 3 mm shall be allowed.</w:t>
      </w:r>
    </w:p>
    <w:p w:rsidR="009C13A9" w:rsidRPr="00C903F8" w:rsidRDefault="009C13A9" w:rsidP="009C13A9">
      <w:pPr>
        <w:tabs>
          <w:tab w:val="left" w:pos="425"/>
        </w:tabs>
        <w:overflowPunct w:val="0"/>
        <w:adjustRightInd w:val="0"/>
        <w:spacing w:line="240" w:lineRule="atLeast"/>
        <w:textAlignment w:val="baseline"/>
        <w:rPr>
          <w:rFonts w:cs="Arial"/>
          <w:szCs w:val="2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3.</w:t>
      </w:r>
      <w:r w:rsidRPr="00C903F8">
        <w:rPr>
          <w:rFonts w:cs="Arial"/>
          <w:color w:val="000000"/>
          <w:lang w:val="en-US"/>
        </w:rPr>
        <w:tab/>
      </w:r>
      <w:r w:rsidRPr="00C903F8">
        <w:rPr>
          <w:rFonts w:cs="Arial"/>
          <w:noProof/>
          <w:color w:val="000000"/>
          <w:lang w:val="en-US"/>
        </w:rPr>
        <w:t>The equipment shall be designed in such a way that operating mistakes cannot cause its failure.</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4.</w:t>
      </w:r>
      <w:r w:rsidRPr="00C903F8">
        <w:rPr>
          <w:rFonts w:cs="Arial"/>
          <w:color w:val="000000"/>
          <w:lang w:val="en-US"/>
        </w:rPr>
        <w:tab/>
      </w:r>
      <w:r w:rsidRPr="00C903F8">
        <w:rPr>
          <w:rFonts w:cs="Arial"/>
          <w:noProof/>
          <w:color w:val="000000"/>
          <w:lang w:val="en-US"/>
        </w:rPr>
        <w:t>Any functions over and above the minimum requirements, such as facilities for connection to other equipment, shall be provided in such a way that the equipment meets the minimum requirements under all conditions.</w:t>
      </w:r>
    </w:p>
    <w:p w:rsidR="009C13A9" w:rsidRPr="00C903F8" w:rsidRDefault="009C13A9" w:rsidP="009C13A9">
      <w:pPr>
        <w:tabs>
          <w:tab w:val="right" w:pos="9072"/>
        </w:tabs>
        <w:overflowPunct w:val="0"/>
        <w:adjustRightInd w:val="0"/>
        <w:spacing w:line="240" w:lineRule="atLeast"/>
        <w:ind w:left="0" w:firstLine="0"/>
        <w:jc w:val="left"/>
        <w:textAlignment w:val="baseline"/>
        <w:rPr>
          <w:rFonts w:cs="Arial"/>
          <w:szCs w:val="20"/>
          <w:lang w:val="en-US"/>
        </w:rPr>
      </w:pPr>
    </w:p>
    <w:p w:rsidR="009C13A9" w:rsidRPr="00C903F8" w:rsidRDefault="009C13A9" w:rsidP="009C13A9">
      <w:pPr>
        <w:tabs>
          <w:tab w:val="right" w:pos="9072"/>
        </w:tabs>
        <w:overflowPunct w:val="0"/>
        <w:adjustRightInd w:val="0"/>
        <w:spacing w:line="240" w:lineRule="atLeast"/>
        <w:ind w:left="0" w:firstLine="0"/>
        <w:jc w:val="left"/>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2.04</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r w:rsidRPr="00C903F8">
        <w:rPr>
          <w:rFonts w:cs="Arial"/>
          <w:i/>
          <w:iCs/>
          <w:noProof/>
          <w:szCs w:val="20"/>
          <w:lang w:val="en-US"/>
        </w:rPr>
        <w:t>Operator’s manual</w:t>
      </w:r>
    </w:p>
    <w:p w:rsidR="009C13A9" w:rsidRPr="00C903F8" w:rsidRDefault="009C13A9" w:rsidP="009C13A9">
      <w:pPr>
        <w:tabs>
          <w:tab w:val="left" w:leader="dot" w:pos="9072"/>
        </w:tabs>
        <w:spacing w:line="240" w:lineRule="atLeast"/>
        <w:ind w:left="0" w:firstLine="0"/>
        <w:rPr>
          <w:rFonts w:cs="Arial"/>
          <w:lang w:val="en-US"/>
        </w:rPr>
      </w:pPr>
    </w:p>
    <w:p w:rsidR="009C13A9" w:rsidRPr="00C903F8" w:rsidRDefault="009C13A9" w:rsidP="009C13A9">
      <w:pPr>
        <w:tabs>
          <w:tab w:val="left" w:leader="dot" w:pos="9072"/>
        </w:tabs>
        <w:spacing w:line="240" w:lineRule="atLeast"/>
        <w:ind w:left="0" w:firstLine="0"/>
        <w:rPr>
          <w:rFonts w:cs="Arial"/>
          <w:lang w:val="en-US"/>
        </w:rPr>
      </w:pPr>
      <w:r w:rsidRPr="00C903F8">
        <w:rPr>
          <w:rFonts w:cs="Arial"/>
          <w:lang w:val="en-US"/>
        </w:rPr>
        <w:t>A detailed operator's manual shall be supplied with each unit. It shall be available in Dutch, English, French and German and shall contain at least the following information:</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a)</w:t>
      </w:r>
      <w:r w:rsidRPr="00C903F8">
        <w:rPr>
          <w:rFonts w:cs="Arial"/>
          <w:noProof/>
          <w:szCs w:val="22"/>
          <w:lang w:val="en-US"/>
        </w:rPr>
        <w:tab/>
        <w:t>activation and operation;</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b)</w:t>
      </w:r>
      <w:r w:rsidRPr="00C903F8">
        <w:rPr>
          <w:rFonts w:cs="Arial"/>
          <w:noProof/>
          <w:szCs w:val="22"/>
          <w:lang w:val="en-US"/>
        </w:rPr>
        <w:tab/>
        <w:t>maintenance and servicing;</w:t>
      </w:r>
    </w:p>
    <w:p w:rsidR="009C13A9" w:rsidRPr="00C903F8" w:rsidRDefault="009C13A9" w:rsidP="009C13A9">
      <w:pPr>
        <w:spacing w:before="60" w:line="240" w:lineRule="atLeast"/>
        <w:rPr>
          <w:rFonts w:cs="Arial"/>
          <w:noProof/>
          <w:szCs w:val="20"/>
          <w:lang w:val="en-US"/>
        </w:rPr>
      </w:pPr>
      <w:r w:rsidRPr="00C903F8">
        <w:rPr>
          <w:rFonts w:cs="Arial"/>
          <w:noProof/>
          <w:szCs w:val="22"/>
          <w:lang w:val="en-US"/>
        </w:rPr>
        <w:t>c)</w:t>
      </w:r>
      <w:r w:rsidRPr="00C903F8">
        <w:rPr>
          <w:rFonts w:cs="Arial"/>
          <w:noProof/>
          <w:szCs w:val="22"/>
          <w:lang w:val="en-US"/>
        </w:rPr>
        <w:tab/>
        <w:t>general safety provisions.</w:t>
      </w: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r w:rsidRPr="00C903F8">
        <w:rPr>
          <w:rFonts w:cs="Arial"/>
          <w:szCs w:val="20"/>
          <w:lang w:val="en-US"/>
        </w:rPr>
        <w:br w:type="page"/>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szCs w:val="20"/>
          <w:lang w:val="en-US"/>
        </w:rPr>
      </w:pPr>
      <w:r w:rsidRPr="00C903F8">
        <w:rPr>
          <w:rFonts w:cs="Arial"/>
          <w:b/>
          <w:bCs/>
          <w:noProof/>
          <w:szCs w:val="20"/>
          <w:lang w:val="en-US"/>
        </w:rPr>
        <w:lastRenderedPageBreak/>
        <w:t>Article 2.05</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r w:rsidRPr="00C903F8">
        <w:rPr>
          <w:rFonts w:cs="Arial"/>
          <w:i/>
          <w:iCs/>
          <w:noProof/>
          <w:szCs w:val="20"/>
          <w:lang w:val="en-US"/>
        </w:rPr>
        <w:t>Installation of the sensor</w:t>
      </w:r>
    </w:p>
    <w:p w:rsidR="009C13A9" w:rsidRPr="00C903F8" w:rsidRDefault="009C13A9" w:rsidP="009C13A9">
      <w:pPr>
        <w:tabs>
          <w:tab w:val="left" w:pos="425"/>
        </w:tabs>
        <w:overflowPunct w:val="0"/>
        <w:adjustRightInd w:val="0"/>
        <w:spacing w:line="240" w:lineRule="atLeast"/>
        <w:textAlignment w:val="baseline"/>
        <w:rPr>
          <w:rFonts w:eastAsia="Batang" w:cs="Arial"/>
          <w:lang w:val="en-US" w:eastAsia="ko-KR"/>
        </w:rPr>
      </w:pPr>
    </w:p>
    <w:p w:rsidR="009C13A9" w:rsidRPr="00C903F8" w:rsidRDefault="009C13A9" w:rsidP="009C13A9">
      <w:pPr>
        <w:tabs>
          <w:tab w:val="left" w:leader="dot" w:pos="9072"/>
        </w:tabs>
        <w:spacing w:line="240" w:lineRule="atLeast"/>
        <w:ind w:left="0" w:firstLine="0"/>
        <w:rPr>
          <w:rFonts w:cs="Arial"/>
          <w:szCs w:val="20"/>
          <w:lang w:val="en-US"/>
        </w:rPr>
      </w:pPr>
      <w:r w:rsidRPr="00C903F8">
        <w:rPr>
          <w:rFonts w:eastAsia="Batang" w:cs="Arial"/>
          <w:lang w:val="en-US" w:eastAsia="ko-KR"/>
        </w:rPr>
        <w:t>The direction of installation in relation to the keel line shall be indicated on the rate-of-turn indicator's sensor unit. Installation instructions shall be provided to ensure maximum insensitivity to other normal movements of the vessel.</w:t>
      </w:r>
    </w:p>
    <w:p w:rsidR="009C13A9" w:rsidRPr="00C903F8" w:rsidRDefault="009C13A9" w:rsidP="009C13A9">
      <w:pPr>
        <w:tabs>
          <w:tab w:val="left" w:pos="425"/>
        </w:tabs>
        <w:overflowPunct w:val="0"/>
        <w:adjustRightInd w:val="0"/>
        <w:spacing w:line="240" w:lineRule="atLeast"/>
        <w:textAlignment w:val="baseline"/>
        <w:rPr>
          <w:rFonts w:cs="Arial"/>
          <w:szCs w:val="20"/>
          <w:lang w:val="en-US"/>
        </w:rPr>
      </w:pPr>
    </w:p>
    <w:p w:rsidR="009C13A9" w:rsidRPr="00C903F8" w:rsidRDefault="009C13A9" w:rsidP="009C13A9">
      <w:pPr>
        <w:tabs>
          <w:tab w:val="left" w:pos="425"/>
        </w:tabs>
        <w:overflowPunct w:val="0"/>
        <w:adjustRightInd w:val="0"/>
        <w:spacing w:line="240" w:lineRule="atLeast"/>
        <w:textAlignment w:val="baseline"/>
        <w:rPr>
          <w:rFonts w:cs="Arial"/>
          <w:szCs w:val="20"/>
          <w:lang w:val="en-US"/>
        </w:rPr>
      </w:pPr>
    </w:p>
    <w:p w:rsidR="009C13A9" w:rsidRPr="00C903F8" w:rsidRDefault="009C13A9" w:rsidP="009C13A9">
      <w:pPr>
        <w:overflowPunct w:val="0"/>
        <w:adjustRightInd w:val="0"/>
        <w:spacing w:line="240" w:lineRule="atLeast"/>
        <w:ind w:left="0" w:firstLine="0"/>
        <w:jc w:val="center"/>
        <w:textAlignment w:val="baseline"/>
        <w:rPr>
          <w:rFonts w:cs="Arial"/>
          <w:b/>
          <w:bCs/>
          <w:szCs w:val="20"/>
          <w:lang w:val="en-US"/>
        </w:rPr>
      </w:pPr>
      <w:r w:rsidRPr="00C903F8">
        <w:rPr>
          <w:rFonts w:cs="Arial"/>
          <w:b/>
          <w:bCs/>
          <w:noProof/>
          <w:szCs w:val="20"/>
          <w:lang w:val="en-US"/>
        </w:rPr>
        <w:t>Chapter 3</w:t>
      </w:r>
    </w:p>
    <w:p w:rsidR="009C13A9" w:rsidRPr="00C903F8" w:rsidRDefault="009C13A9" w:rsidP="009C13A9">
      <w:pPr>
        <w:overflowPunct w:val="0"/>
        <w:adjustRightInd w:val="0"/>
        <w:ind w:left="0" w:firstLine="0"/>
        <w:jc w:val="center"/>
        <w:textAlignment w:val="baseline"/>
        <w:rPr>
          <w:rFonts w:cs="Arial"/>
          <w:b/>
          <w:bCs/>
          <w:noProof/>
          <w:szCs w:val="20"/>
          <w:lang w:val="en-US"/>
        </w:rPr>
      </w:pPr>
      <w:r w:rsidRPr="00C903F8">
        <w:rPr>
          <w:rFonts w:cs="Arial"/>
          <w:b/>
          <w:bCs/>
          <w:noProof/>
          <w:szCs w:val="20"/>
          <w:lang w:val="en-US"/>
        </w:rPr>
        <w:t>Minimum operational requirements for rate-of-turn indicators</w:t>
      </w:r>
    </w:p>
    <w:p w:rsidR="009C13A9" w:rsidRPr="00C903F8" w:rsidRDefault="009C13A9" w:rsidP="009C13A9">
      <w:pPr>
        <w:overflowPunct w:val="0"/>
        <w:adjustRightInd w:val="0"/>
        <w:ind w:left="0" w:firstLine="0"/>
        <w:jc w:val="center"/>
        <w:textAlignment w:val="baseline"/>
        <w:rPr>
          <w:rFonts w:cs="Arial"/>
          <w:szCs w:val="20"/>
          <w:lang w:val="en-US"/>
        </w:rPr>
      </w:pPr>
    </w:p>
    <w:p w:rsidR="009C13A9" w:rsidRPr="00C903F8" w:rsidRDefault="009C13A9" w:rsidP="009C13A9">
      <w:pPr>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3.01</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i/>
          <w:iCs/>
          <w:noProof/>
          <w:szCs w:val="20"/>
          <w:lang w:val="en-US"/>
        </w:rPr>
      </w:pPr>
      <w:r w:rsidRPr="00C903F8">
        <w:rPr>
          <w:rFonts w:cs="Arial"/>
          <w:i/>
          <w:iCs/>
          <w:noProof/>
          <w:szCs w:val="20"/>
          <w:lang w:val="en-US"/>
        </w:rPr>
        <w:t>Operational readiness of the rate-of-turn indicator</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1.</w:t>
      </w:r>
      <w:r w:rsidRPr="00C903F8">
        <w:rPr>
          <w:rFonts w:cs="Arial"/>
          <w:color w:val="000000"/>
          <w:lang w:val="en-US"/>
        </w:rPr>
        <w:tab/>
      </w:r>
      <w:r w:rsidRPr="00C903F8">
        <w:rPr>
          <w:rFonts w:cs="Arial"/>
          <w:noProof/>
          <w:color w:val="000000"/>
          <w:lang w:val="en-US"/>
        </w:rPr>
        <w:t>From a cold start, the rate-of-turn indicator shall be fully operational within 4 minutes and shall operate to within the required accuracy tolerances.</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2.</w:t>
      </w:r>
      <w:r w:rsidRPr="00C903F8">
        <w:rPr>
          <w:rFonts w:cs="Arial"/>
          <w:color w:val="000000"/>
          <w:lang w:val="en-US"/>
        </w:rPr>
        <w:tab/>
      </w:r>
      <w:r w:rsidRPr="00C903F8">
        <w:rPr>
          <w:rFonts w:cs="Arial"/>
          <w:noProof/>
          <w:color w:val="000000"/>
          <w:lang w:val="en-US"/>
        </w:rPr>
        <w:t>A warning signal shall indicate that the indicator is switched on. It shall be possible to observe and operate the rate-of-turn indicator simultaneously.</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3.</w:t>
      </w:r>
      <w:r w:rsidRPr="00C903F8">
        <w:rPr>
          <w:rFonts w:cs="Arial"/>
          <w:color w:val="000000"/>
          <w:lang w:val="en-US"/>
        </w:rPr>
        <w:tab/>
      </w:r>
      <w:r w:rsidRPr="00C903F8">
        <w:rPr>
          <w:rFonts w:cs="Arial"/>
          <w:noProof/>
          <w:color w:val="000000"/>
          <w:lang w:val="en-US"/>
        </w:rPr>
        <w:t>Cordless remote controls shall not be permitted.</w:t>
      </w: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3.02</w:t>
      </w:r>
    </w:p>
    <w:p w:rsidR="009C13A9" w:rsidRPr="00C903F8" w:rsidRDefault="009C13A9" w:rsidP="00C50DA9">
      <w:pPr>
        <w:tabs>
          <w:tab w:val="left" w:pos="284"/>
          <w:tab w:val="left" w:pos="454"/>
          <w:tab w:val="left" w:pos="680"/>
          <w:tab w:val="left" w:pos="1021"/>
        </w:tabs>
        <w:overflowPunct w:val="0"/>
        <w:adjustRightInd w:val="0"/>
        <w:ind w:left="0" w:firstLine="0"/>
        <w:jc w:val="center"/>
        <w:textAlignment w:val="baseline"/>
        <w:rPr>
          <w:rFonts w:cs="Arial"/>
          <w:i/>
          <w:iCs/>
          <w:noProof/>
          <w:szCs w:val="20"/>
          <w:lang w:val="en-US"/>
        </w:rPr>
      </w:pPr>
      <w:r w:rsidRPr="00C903F8">
        <w:rPr>
          <w:rFonts w:cs="Arial"/>
          <w:i/>
          <w:iCs/>
          <w:noProof/>
          <w:szCs w:val="20"/>
          <w:lang w:val="en-US"/>
        </w:rPr>
        <w:t>Indication of the rate of turn</w:t>
      </w:r>
    </w:p>
    <w:p w:rsidR="00C50DA9" w:rsidRPr="00C903F8" w:rsidRDefault="00C50D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1.</w:t>
      </w:r>
      <w:r w:rsidRPr="00C903F8">
        <w:rPr>
          <w:rFonts w:cs="Arial"/>
          <w:color w:val="000000"/>
          <w:lang w:val="en-US"/>
        </w:rPr>
        <w:tab/>
      </w:r>
      <w:r w:rsidRPr="00C903F8">
        <w:rPr>
          <w:rFonts w:cs="Arial"/>
          <w:noProof/>
          <w:color w:val="000000"/>
          <w:lang w:val="en-US"/>
        </w:rPr>
        <w:t>The rate of turn shall be indicated on a linear graduated scale having the zero point situated in the middle. It shall be possible to read the direction and extent of the rate of turn with the necessary accuracy. Indicators other than needle indicators and bar-graphs shall not be permitted.</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2.</w:t>
      </w:r>
      <w:r w:rsidRPr="00C903F8">
        <w:rPr>
          <w:rFonts w:cs="Arial"/>
          <w:color w:val="000000"/>
          <w:lang w:val="en-US"/>
        </w:rPr>
        <w:tab/>
      </w:r>
      <w:r w:rsidRPr="00C903F8">
        <w:rPr>
          <w:rFonts w:cs="Arial"/>
          <w:noProof/>
          <w:color w:val="000000"/>
          <w:lang w:val="en-US"/>
        </w:rPr>
        <w:t>The indicator scale shall be at least 20 cm long and may be circular or rectilinear.</w:t>
      </w:r>
    </w:p>
    <w:p w:rsidR="009C13A9" w:rsidRPr="00C903F8" w:rsidRDefault="009C13A9" w:rsidP="009C13A9">
      <w:pPr>
        <w:tabs>
          <w:tab w:val="left" w:pos="425"/>
        </w:tabs>
        <w:overflowPunct w:val="0"/>
        <w:adjustRightInd w:val="0"/>
        <w:spacing w:line="240" w:lineRule="atLeast"/>
        <w:textAlignment w:val="baseline"/>
        <w:rPr>
          <w:rFonts w:cs="Arial"/>
          <w:szCs w:val="20"/>
          <w:lang w:val="en-US"/>
        </w:rPr>
      </w:pPr>
    </w:p>
    <w:p w:rsidR="009C13A9" w:rsidRPr="00C903F8" w:rsidRDefault="009C13A9" w:rsidP="009C13A9">
      <w:pPr>
        <w:tabs>
          <w:tab w:val="left" w:pos="425"/>
        </w:tabs>
        <w:overflowPunct w:val="0"/>
        <w:adjustRightInd w:val="0"/>
        <w:spacing w:line="240" w:lineRule="atLeast"/>
        <w:textAlignment w:val="baseline"/>
        <w:rPr>
          <w:noProof/>
          <w:lang w:val="en-US" w:eastAsia="nl-NL"/>
        </w:rPr>
      </w:pPr>
      <w:r w:rsidRPr="00C903F8">
        <w:rPr>
          <w:noProof/>
          <w:lang w:val="en-US" w:eastAsia="nl-NL"/>
        </w:rPr>
        <w:tab/>
        <w:t>Rectilinear scales may be arranged horizontally only.</w:t>
      </w:r>
    </w:p>
    <w:p w:rsidR="009C13A9" w:rsidRPr="00C903F8" w:rsidRDefault="009C13A9" w:rsidP="009C13A9">
      <w:pPr>
        <w:tabs>
          <w:tab w:val="left" w:pos="425"/>
        </w:tabs>
        <w:overflowPunct w:val="0"/>
        <w:adjustRightInd w:val="0"/>
        <w:spacing w:line="240" w:lineRule="atLeast"/>
        <w:textAlignment w:val="baseline"/>
        <w:rPr>
          <w:rFonts w:cs="Arial"/>
          <w:szCs w:val="2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3.</w:t>
      </w:r>
      <w:r w:rsidRPr="00C903F8">
        <w:rPr>
          <w:rFonts w:cs="Arial"/>
          <w:noProof/>
          <w:color w:val="000000"/>
          <w:lang w:val="en-US"/>
        </w:rPr>
        <w:tab/>
        <w:t>Digital-only indicators will not be accepted.</w:t>
      </w:r>
    </w:p>
    <w:p w:rsidR="009C13A9" w:rsidRPr="00C903F8" w:rsidRDefault="009C13A9" w:rsidP="009C13A9">
      <w:pPr>
        <w:tabs>
          <w:tab w:val="left" w:pos="284"/>
          <w:tab w:val="left" w:pos="454"/>
          <w:tab w:val="left" w:pos="680"/>
          <w:tab w:val="left" w:pos="1021"/>
        </w:tabs>
        <w:overflowPunct w:val="0"/>
        <w:adjustRightInd w:val="0"/>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3.03</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i/>
          <w:iCs/>
          <w:noProof/>
          <w:szCs w:val="20"/>
          <w:lang w:val="en-US"/>
        </w:rPr>
      </w:pPr>
      <w:r w:rsidRPr="00C903F8">
        <w:rPr>
          <w:rFonts w:cs="Arial"/>
          <w:i/>
          <w:iCs/>
          <w:noProof/>
          <w:szCs w:val="20"/>
          <w:lang w:val="en-US"/>
        </w:rPr>
        <w:t>Measuring ranges</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p>
    <w:p w:rsidR="009C13A9" w:rsidRPr="00C903F8" w:rsidRDefault="009C13A9" w:rsidP="009C13A9">
      <w:pPr>
        <w:tabs>
          <w:tab w:val="left" w:leader="dot" w:pos="9072"/>
        </w:tabs>
        <w:spacing w:line="240" w:lineRule="atLeast"/>
        <w:ind w:left="0" w:firstLine="0"/>
        <w:rPr>
          <w:rFonts w:cs="Arial"/>
          <w:lang w:val="en-US"/>
        </w:rPr>
      </w:pPr>
      <w:r w:rsidRPr="00C903F8">
        <w:rPr>
          <w:rFonts w:cs="Arial"/>
          <w:noProof/>
          <w:lang w:val="en-US"/>
        </w:rPr>
        <w:t>Rate-of-turn indicators may be provided with one or more measuring ranges. The following measuring ranges are recommended:</w:t>
      </w:r>
    </w:p>
    <w:p w:rsidR="009C13A9" w:rsidRPr="00C903F8" w:rsidRDefault="008872E2" w:rsidP="009C13A9">
      <w:pPr>
        <w:tabs>
          <w:tab w:val="left" w:pos="-340"/>
          <w:tab w:val="decimal" w:pos="709"/>
          <w:tab w:val="left" w:pos="851"/>
        </w:tabs>
        <w:overflowPunct w:val="0"/>
        <w:adjustRightInd w:val="0"/>
        <w:ind w:left="0" w:firstLine="0"/>
        <w:textAlignment w:val="baseline"/>
        <w:rPr>
          <w:rFonts w:cs="Arial"/>
          <w:szCs w:val="20"/>
          <w:lang w:val="en-US"/>
        </w:rPr>
      </w:pPr>
      <w:r w:rsidRPr="00C903F8">
        <w:rPr>
          <w:rFonts w:cs="Arial"/>
          <w:szCs w:val="20"/>
          <w:lang w:val="en-US"/>
        </w:rPr>
        <w:tab/>
        <w:t>30</w:t>
      </w:r>
      <w:r w:rsidR="009C13A9" w:rsidRPr="00C903F8">
        <w:rPr>
          <w:rFonts w:cs="Arial"/>
          <w:noProof/>
          <w:szCs w:val="20"/>
          <w:lang w:val="en-US"/>
        </w:rPr>
        <w:t>°/min</w:t>
      </w:r>
    </w:p>
    <w:p w:rsidR="009C13A9" w:rsidRPr="00C903F8" w:rsidRDefault="008872E2" w:rsidP="009C13A9">
      <w:pPr>
        <w:tabs>
          <w:tab w:val="left" w:pos="-340"/>
          <w:tab w:val="decimal" w:pos="709"/>
          <w:tab w:val="left" w:pos="851"/>
        </w:tabs>
        <w:overflowPunct w:val="0"/>
        <w:adjustRightInd w:val="0"/>
        <w:ind w:left="0" w:firstLine="0"/>
        <w:textAlignment w:val="baseline"/>
        <w:rPr>
          <w:rFonts w:cs="Arial"/>
          <w:szCs w:val="20"/>
          <w:lang w:val="en-US"/>
        </w:rPr>
      </w:pPr>
      <w:r w:rsidRPr="00C903F8">
        <w:rPr>
          <w:rFonts w:cs="Arial"/>
          <w:szCs w:val="20"/>
          <w:lang w:val="en-US"/>
        </w:rPr>
        <w:tab/>
        <w:t>60</w:t>
      </w:r>
      <w:r w:rsidR="009C13A9" w:rsidRPr="00C903F8">
        <w:rPr>
          <w:rFonts w:cs="Arial"/>
          <w:noProof/>
          <w:szCs w:val="20"/>
          <w:lang w:val="en-US"/>
        </w:rPr>
        <w:t>°/min</w:t>
      </w:r>
    </w:p>
    <w:p w:rsidR="009C13A9" w:rsidRPr="00C903F8" w:rsidRDefault="008872E2" w:rsidP="009C13A9">
      <w:pPr>
        <w:tabs>
          <w:tab w:val="left" w:pos="-340"/>
          <w:tab w:val="decimal" w:pos="709"/>
          <w:tab w:val="left" w:pos="851"/>
        </w:tabs>
        <w:overflowPunct w:val="0"/>
        <w:adjustRightInd w:val="0"/>
        <w:ind w:left="0" w:firstLine="0"/>
        <w:textAlignment w:val="baseline"/>
        <w:rPr>
          <w:rFonts w:cs="Arial"/>
          <w:szCs w:val="20"/>
          <w:lang w:val="en-US"/>
        </w:rPr>
      </w:pPr>
      <w:r w:rsidRPr="00C903F8">
        <w:rPr>
          <w:rFonts w:cs="Arial"/>
          <w:szCs w:val="20"/>
          <w:lang w:val="en-US"/>
        </w:rPr>
        <w:tab/>
        <w:t>90</w:t>
      </w:r>
      <w:r w:rsidR="009C13A9" w:rsidRPr="00C903F8">
        <w:rPr>
          <w:rFonts w:cs="Arial"/>
          <w:szCs w:val="20"/>
          <w:lang w:val="en-US"/>
        </w:rPr>
        <w:t>°</w:t>
      </w:r>
      <w:r w:rsidRPr="00C903F8">
        <w:rPr>
          <w:rFonts w:cs="Arial"/>
          <w:noProof/>
          <w:szCs w:val="20"/>
          <w:lang w:val="en-US"/>
        </w:rPr>
        <w:t>/min</w:t>
      </w:r>
    </w:p>
    <w:p w:rsidR="009C13A9" w:rsidRPr="00C903F8" w:rsidRDefault="008872E2" w:rsidP="009C13A9">
      <w:pPr>
        <w:tabs>
          <w:tab w:val="left" w:pos="-340"/>
          <w:tab w:val="decimal" w:pos="709"/>
          <w:tab w:val="left" w:pos="851"/>
        </w:tabs>
        <w:overflowPunct w:val="0"/>
        <w:adjustRightInd w:val="0"/>
        <w:ind w:left="0" w:firstLine="0"/>
        <w:textAlignment w:val="baseline"/>
        <w:rPr>
          <w:rFonts w:cs="Arial"/>
          <w:szCs w:val="20"/>
          <w:lang w:val="en-US"/>
        </w:rPr>
      </w:pPr>
      <w:r w:rsidRPr="00C903F8">
        <w:rPr>
          <w:rFonts w:cs="Arial"/>
          <w:szCs w:val="20"/>
          <w:lang w:val="en-US"/>
        </w:rPr>
        <w:tab/>
        <w:t>180</w:t>
      </w:r>
      <w:r w:rsidRPr="00C903F8">
        <w:rPr>
          <w:rFonts w:cs="Arial"/>
          <w:noProof/>
          <w:szCs w:val="20"/>
          <w:lang w:val="en-US"/>
        </w:rPr>
        <w:t>°/min</w:t>
      </w:r>
    </w:p>
    <w:p w:rsidR="009C13A9" w:rsidRPr="00C903F8" w:rsidRDefault="008872E2" w:rsidP="009C13A9">
      <w:pPr>
        <w:tabs>
          <w:tab w:val="left" w:pos="-340"/>
          <w:tab w:val="decimal" w:pos="709"/>
          <w:tab w:val="left" w:pos="851"/>
        </w:tabs>
        <w:overflowPunct w:val="0"/>
        <w:adjustRightInd w:val="0"/>
        <w:ind w:left="0" w:firstLine="0"/>
        <w:textAlignment w:val="baseline"/>
        <w:rPr>
          <w:rFonts w:cs="Arial"/>
          <w:szCs w:val="20"/>
          <w:lang w:val="en-US"/>
        </w:rPr>
      </w:pPr>
      <w:r w:rsidRPr="00C903F8">
        <w:rPr>
          <w:rFonts w:cs="Arial"/>
          <w:szCs w:val="20"/>
          <w:lang w:val="en-US"/>
        </w:rPr>
        <w:tab/>
        <w:t>300</w:t>
      </w:r>
      <w:r w:rsidR="009C13A9" w:rsidRPr="00C903F8">
        <w:rPr>
          <w:rFonts w:cs="Arial"/>
          <w:szCs w:val="20"/>
          <w:lang w:val="en-US"/>
        </w:rPr>
        <w:t>°</w:t>
      </w:r>
      <w:r w:rsidRPr="00C903F8">
        <w:rPr>
          <w:rFonts w:cs="Arial"/>
          <w:noProof/>
          <w:szCs w:val="20"/>
          <w:lang w:val="en-US"/>
        </w:rPr>
        <w:t>/min</w:t>
      </w:r>
      <w:r w:rsidR="009C13A9" w:rsidRPr="00C903F8">
        <w:rPr>
          <w:rFonts w:cs="Arial"/>
          <w:noProof/>
          <w:szCs w:val="20"/>
          <w:lang w:val="en-US"/>
        </w:rPr>
        <w:t>.</w:t>
      </w:r>
    </w:p>
    <w:p w:rsidR="009C13A9" w:rsidRPr="00C903F8" w:rsidRDefault="009C13A9" w:rsidP="009C13A9">
      <w:pPr>
        <w:tabs>
          <w:tab w:val="right" w:pos="9072"/>
        </w:tabs>
        <w:overflowPunct w:val="0"/>
        <w:adjustRightInd w:val="0"/>
        <w:spacing w:line="240" w:lineRule="atLeast"/>
        <w:ind w:left="0" w:firstLine="0"/>
        <w:jc w:val="left"/>
        <w:textAlignment w:val="baseline"/>
        <w:rPr>
          <w:rFonts w:cs="Arial"/>
          <w:szCs w:val="20"/>
          <w:lang w:val="en-US"/>
        </w:rPr>
      </w:pPr>
    </w:p>
    <w:p w:rsidR="009C13A9" w:rsidRPr="00C903F8" w:rsidRDefault="009C13A9" w:rsidP="009C13A9">
      <w:pPr>
        <w:tabs>
          <w:tab w:val="right" w:pos="9072"/>
        </w:tabs>
        <w:overflowPunct w:val="0"/>
        <w:adjustRightInd w:val="0"/>
        <w:spacing w:line="240" w:lineRule="atLeast"/>
        <w:ind w:left="0" w:firstLine="0"/>
        <w:jc w:val="left"/>
        <w:textAlignment w:val="baseline"/>
        <w:rPr>
          <w:rFonts w:cs="Arial"/>
          <w:szCs w:val="20"/>
          <w:lang w:val="en-US"/>
        </w:rPr>
      </w:pPr>
      <w:r w:rsidRPr="00C903F8">
        <w:rPr>
          <w:rFonts w:cs="Arial"/>
          <w:szCs w:val="20"/>
          <w:lang w:val="en-US"/>
        </w:rPr>
        <w:br w:type="page"/>
      </w:r>
    </w:p>
    <w:p w:rsidR="009C13A9" w:rsidRPr="00C903F8" w:rsidRDefault="009C13A9" w:rsidP="009C13A9">
      <w:pPr>
        <w:overflowPunct w:val="0"/>
        <w:adjustRightInd w:val="0"/>
        <w:ind w:left="0" w:firstLine="0"/>
        <w:jc w:val="center"/>
        <w:textAlignment w:val="baseline"/>
        <w:rPr>
          <w:rFonts w:cs="Arial"/>
          <w:b/>
          <w:bCs/>
          <w:szCs w:val="20"/>
          <w:lang w:val="en-US"/>
        </w:rPr>
      </w:pPr>
      <w:r w:rsidRPr="00C903F8">
        <w:rPr>
          <w:rFonts w:cs="Arial"/>
          <w:b/>
          <w:bCs/>
          <w:noProof/>
          <w:szCs w:val="20"/>
          <w:lang w:val="en-US"/>
        </w:rPr>
        <w:lastRenderedPageBreak/>
        <w:t>Article 3.04</w:t>
      </w:r>
    </w:p>
    <w:p w:rsidR="009C13A9" w:rsidRPr="00C903F8" w:rsidRDefault="009C13A9" w:rsidP="009C13A9">
      <w:pPr>
        <w:tabs>
          <w:tab w:val="left" w:leader="dot" w:pos="9072"/>
        </w:tabs>
        <w:spacing w:line="240" w:lineRule="atLeast"/>
        <w:ind w:left="0" w:firstLine="0"/>
        <w:jc w:val="center"/>
        <w:rPr>
          <w:rFonts w:cs="Arial"/>
          <w:i/>
          <w:iCs/>
          <w:noProof/>
          <w:szCs w:val="20"/>
          <w:lang w:val="en-US"/>
        </w:rPr>
      </w:pPr>
      <w:r w:rsidRPr="00C903F8">
        <w:rPr>
          <w:rFonts w:cs="Arial"/>
          <w:i/>
          <w:iCs/>
          <w:noProof/>
          <w:szCs w:val="20"/>
          <w:lang w:val="en-US"/>
        </w:rPr>
        <w:t>Accuracy of the indicated rate of turn</w:t>
      </w:r>
    </w:p>
    <w:p w:rsidR="009C13A9" w:rsidRPr="00C903F8" w:rsidRDefault="009C13A9" w:rsidP="009C13A9">
      <w:pPr>
        <w:tabs>
          <w:tab w:val="left" w:leader="dot" w:pos="9072"/>
        </w:tabs>
        <w:spacing w:line="240" w:lineRule="atLeast"/>
        <w:ind w:left="0" w:firstLine="0"/>
        <w:jc w:val="center"/>
        <w:rPr>
          <w:rFonts w:cs="Arial"/>
          <w:lang w:val="en-US"/>
        </w:rPr>
      </w:pPr>
    </w:p>
    <w:p w:rsidR="009C13A9" w:rsidRPr="00C903F8" w:rsidRDefault="009C13A9" w:rsidP="009C13A9">
      <w:pPr>
        <w:tabs>
          <w:tab w:val="left" w:leader="dot" w:pos="9072"/>
        </w:tabs>
        <w:spacing w:line="240" w:lineRule="atLeast"/>
        <w:ind w:left="0" w:firstLine="0"/>
        <w:rPr>
          <w:rFonts w:cs="Arial"/>
          <w:lang w:val="en-US"/>
        </w:rPr>
      </w:pPr>
      <w:r w:rsidRPr="00C903F8">
        <w:rPr>
          <w:rFonts w:cs="Arial"/>
          <w:noProof/>
          <w:lang w:val="en-US"/>
        </w:rPr>
        <w:t>The indicated rate of turn shall not differ by more than 2</w:t>
      </w:r>
      <w:r w:rsidR="00B405CE" w:rsidRPr="00C903F8">
        <w:rPr>
          <w:rFonts w:cs="Arial"/>
          <w:noProof/>
          <w:lang w:val="en-US"/>
        </w:rPr>
        <w:t> </w:t>
      </w:r>
      <w:r w:rsidRPr="00C903F8">
        <w:rPr>
          <w:rFonts w:cs="Arial"/>
          <w:noProof/>
          <w:lang w:val="en-US"/>
        </w:rPr>
        <w:t>% from the measurable maximum value or by more than 10 % from the actual value; whichever is the greater (see Appendix).</w:t>
      </w:r>
    </w:p>
    <w:p w:rsidR="009C13A9" w:rsidRPr="00C903F8" w:rsidRDefault="009C13A9" w:rsidP="009C13A9">
      <w:pPr>
        <w:tabs>
          <w:tab w:val="left" w:leader="dot" w:pos="9072"/>
        </w:tabs>
        <w:spacing w:line="240" w:lineRule="atLeast"/>
        <w:ind w:left="0" w:firstLine="0"/>
        <w:rPr>
          <w:rFonts w:cs="Arial"/>
          <w:lang w:val="en-US"/>
        </w:rPr>
      </w:pPr>
    </w:p>
    <w:p w:rsidR="009C13A9" w:rsidRPr="00C903F8" w:rsidRDefault="009C13A9" w:rsidP="009C13A9">
      <w:pPr>
        <w:tabs>
          <w:tab w:val="left" w:leader="dot" w:pos="9072"/>
        </w:tabs>
        <w:spacing w:line="240" w:lineRule="atLeast"/>
        <w:ind w:left="0" w:firstLine="0"/>
        <w:rPr>
          <w:rFonts w:cs="Arial"/>
          <w:lang w:val="en-US"/>
        </w:rPr>
      </w:pP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3.05</w:t>
      </w:r>
    </w:p>
    <w:p w:rsidR="009C13A9" w:rsidRPr="00C903F8" w:rsidRDefault="009C13A9" w:rsidP="009C13A9">
      <w:pPr>
        <w:tabs>
          <w:tab w:val="left" w:leader="dot" w:pos="9072"/>
        </w:tabs>
        <w:spacing w:line="240" w:lineRule="atLeast"/>
        <w:ind w:left="0" w:firstLine="0"/>
        <w:jc w:val="center"/>
        <w:rPr>
          <w:rFonts w:cs="Arial"/>
          <w:lang w:val="en-US"/>
        </w:rPr>
      </w:pPr>
      <w:r w:rsidRPr="00C903F8">
        <w:rPr>
          <w:rFonts w:cs="Arial"/>
          <w:i/>
          <w:iCs/>
          <w:noProof/>
          <w:szCs w:val="20"/>
          <w:lang w:val="en-US"/>
        </w:rPr>
        <w:t>Sensitivity</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lang w:val="en-US"/>
        </w:rPr>
      </w:pPr>
      <w:r w:rsidRPr="00C903F8">
        <w:rPr>
          <w:rFonts w:cs="Arial"/>
          <w:noProof/>
          <w:lang w:val="en-US"/>
        </w:rPr>
        <w:t>The operating threshold shall be less than or equal to a change in angular speed equivalent to 1 % of the indicated value.</w:t>
      </w:r>
    </w:p>
    <w:p w:rsidR="009C13A9" w:rsidRPr="00C903F8" w:rsidRDefault="009C13A9" w:rsidP="009C13A9">
      <w:pPr>
        <w:tabs>
          <w:tab w:val="left" w:leader="dot" w:pos="9072"/>
        </w:tabs>
        <w:spacing w:line="240" w:lineRule="atLeast"/>
        <w:ind w:left="0" w:firstLine="0"/>
        <w:rPr>
          <w:rFonts w:cs="Arial"/>
          <w:lang w:val="en-US"/>
        </w:rPr>
      </w:pPr>
    </w:p>
    <w:p w:rsidR="009C13A9" w:rsidRPr="00C903F8" w:rsidRDefault="009C13A9" w:rsidP="009C13A9">
      <w:pPr>
        <w:tabs>
          <w:tab w:val="left" w:leader="dot" w:pos="9072"/>
        </w:tabs>
        <w:spacing w:line="240" w:lineRule="atLeast"/>
        <w:ind w:left="0" w:firstLine="0"/>
        <w:rPr>
          <w:rFonts w:cs="Arial"/>
          <w:lang w:val="en-US"/>
        </w:rPr>
      </w:pP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3.06</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r w:rsidRPr="00C903F8">
        <w:rPr>
          <w:rFonts w:cs="Arial"/>
          <w:i/>
          <w:iCs/>
          <w:noProof/>
          <w:szCs w:val="20"/>
          <w:lang w:val="en-US"/>
        </w:rPr>
        <w:t>Monitoring of operation</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1.</w:t>
      </w:r>
      <w:r w:rsidRPr="00C903F8">
        <w:rPr>
          <w:rFonts w:cs="Arial"/>
          <w:color w:val="000000"/>
          <w:lang w:val="en-US"/>
        </w:rPr>
        <w:tab/>
      </w:r>
      <w:r w:rsidRPr="00C903F8">
        <w:rPr>
          <w:rFonts w:cs="Arial"/>
          <w:noProof/>
          <w:color w:val="000000"/>
          <w:lang w:val="en-US"/>
        </w:rPr>
        <w:t>If the rate-of-turn indicator does not operate within the required accuracy range, this shall be indicated.</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2.</w:t>
      </w:r>
      <w:r w:rsidRPr="00C903F8">
        <w:rPr>
          <w:rFonts w:cs="Arial"/>
          <w:color w:val="000000"/>
          <w:lang w:val="en-US"/>
        </w:rPr>
        <w:tab/>
      </w:r>
      <w:r w:rsidRPr="00C903F8">
        <w:rPr>
          <w:rFonts w:cs="Arial"/>
          <w:noProof/>
          <w:color w:val="000000"/>
          <w:lang w:val="en-US"/>
        </w:rPr>
        <w:t>If a gyroscope is used, any critical fall in the rate of rotation of the gyroscope shall be signalled by an indicator. A critical fall in the rate of rotation of the gyroscope is one which lowers accuracy by 10 %.</w:t>
      </w: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3.07</w:t>
      </w:r>
    </w:p>
    <w:p w:rsidR="009C13A9" w:rsidRPr="00C903F8" w:rsidRDefault="009C13A9" w:rsidP="00C50DA9">
      <w:pPr>
        <w:tabs>
          <w:tab w:val="left" w:pos="284"/>
          <w:tab w:val="left" w:pos="454"/>
          <w:tab w:val="left" w:pos="680"/>
          <w:tab w:val="left" w:pos="1021"/>
        </w:tabs>
        <w:overflowPunct w:val="0"/>
        <w:adjustRightInd w:val="0"/>
        <w:ind w:left="0" w:firstLine="0"/>
        <w:jc w:val="center"/>
        <w:textAlignment w:val="baseline"/>
        <w:rPr>
          <w:rFonts w:cs="Arial"/>
          <w:i/>
          <w:iCs/>
          <w:noProof/>
          <w:szCs w:val="20"/>
          <w:lang w:val="en-US"/>
        </w:rPr>
      </w:pPr>
      <w:r w:rsidRPr="00C903F8">
        <w:rPr>
          <w:rFonts w:cs="Arial"/>
          <w:i/>
          <w:iCs/>
          <w:noProof/>
          <w:szCs w:val="20"/>
          <w:lang w:val="en-US"/>
        </w:rPr>
        <w:t>Insensitivity to normal movements of the vessel</w:t>
      </w:r>
    </w:p>
    <w:p w:rsidR="00C50DA9" w:rsidRPr="00C903F8" w:rsidRDefault="00C50D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1.</w:t>
      </w:r>
      <w:r w:rsidRPr="00C903F8">
        <w:rPr>
          <w:rFonts w:cs="Arial"/>
          <w:color w:val="000000"/>
          <w:lang w:val="en-US"/>
        </w:rPr>
        <w:tab/>
        <w:t xml:space="preserve">Rolling of the vessel of up to 10° </w:t>
      </w:r>
      <w:r w:rsidRPr="00C903F8">
        <w:rPr>
          <w:rFonts w:cs="Arial"/>
          <w:noProof/>
          <w:color w:val="000000"/>
          <w:lang w:val="en-US"/>
        </w:rPr>
        <w:t xml:space="preserve">at a rate of turn of up to 4°/s </w:t>
      </w:r>
      <w:r w:rsidRPr="00C903F8">
        <w:rPr>
          <w:rFonts w:cs="Arial"/>
          <w:color w:val="000000"/>
          <w:lang w:val="en-US"/>
        </w:rPr>
        <w:t>shall not give rise to measurement errors in excess of the stipulated tolerances.</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2.</w:t>
      </w:r>
      <w:r w:rsidRPr="00C903F8">
        <w:rPr>
          <w:rFonts w:cs="Arial"/>
          <w:color w:val="000000"/>
          <w:lang w:val="en-US"/>
        </w:rPr>
        <w:tab/>
      </w:r>
      <w:r w:rsidRPr="00C903F8">
        <w:rPr>
          <w:rFonts w:cs="Arial"/>
          <w:noProof/>
          <w:color w:val="000000"/>
          <w:lang w:val="en-US"/>
        </w:rPr>
        <w:t>Impacts such as those that may occur during berthing shall not give rise to measurement errors in excess of the stipulated tolerances.</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p>
    <w:p w:rsidR="009C13A9" w:rsidRPr="00C903F8" w:rsidRDefault="009C13A9" w:rsidP="009C13A9">
      <w:pPr>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3.08</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r w:rsidRPr="00C903F8">
        <w:rPr>
          <w:rFonts w:cs="Arial"/>
          <w:i/>
          <w:iCs/>
          <w:noProof/>
          <w:szCs w:val="20"/>
          <w:lang w:val="en-US"/>
        </w:rPr>
        <w:t>Insensitivity to magnetic fields</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szCs w:val="20"/>
          <w:lang w:val="en-US"/>
        </w:rPr>
      </w:pPr>
      <w:r w:rsidRPr="00C903F8">
        <w:rPr>
          <w:rFonts w:cs="Arial"/>
          <w:noProof/>
          <w:lang w:val="en-US"/>
        </w:rPr>
        <w:t>The rate-of-turn indicator shall be insensitive to magnetic fields which typically occur on board the vessel.</w:t>
      </w: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3.09</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i/>
          <w:iCs/>
          <w:noProof/>
          <w:szCs w:val="20"/>
          <w:lang w:val="en-US"/>
        </w:rPr>
      </w:pPr>
      <w:r w:rsidRPr="00C903F8">
        <w:rPr>
          <w:rFonts w:cs="Arial"/>
          <w:i/>
          <w:iCs/>
          <w:noProof/>
          <w:szCs w:val="20"/>
          <w:lang w:val="en-US"/>
        </w:rPr>
        <w:t>Slave indicators</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Slave indicators shall comply with all requirements applicable to rate-of-turn indicators</w:t>
      </w:r>
    </w:p>
    <w:p w:rsidR="009C13A9" w:rsidRPr="00C903F8" w:rsidRDefault="009C13A9" w:rsidP="009C13A9">
      <w:pPr>
        <w:tabs>
          <w:tab w:val="left" w:leader="dot" w:pos="9072"/>
        </w:tabs>
        <w:spacing w:line="240" w:lineRule="atLeast"/>
        <w:ind w:left="0" w:firstLine="0"/>
        <w:rPr>
          <w:rFonts w:cs="Arial"/>
          <w:lang w:val="en-US"/>
        </w:rPr>
      </w:pPr>
    </w:p>
    <w:p w:rsidR="009C13A9" w:rsidRPr="00C903F8" w:rsidRDefault="009C13A9" w:rsidP="009C13A9">
      <w:pPr>
        <w:tabs>
          <w:tab w:val="right" w:pos="9072"/>
        </w:tabs>
        <w:overflowPunct w:val="0"/>
        <w:adjustRightInd w:val="0"/>
        <w:spacing w:line="240" w:lineRule="atLeast"/>
        <w:ind w:left="0" w:firstLine="0"/>
        <w:jc w:val="left"/>
        <w:textAlignment w:val="baseline"/>
        <w:rPr>
          <w:rFonts w:cs="Arial"/>
          <w:szCs w:val="20"/>
          <w:lang w:val="en-US"/>
        </w:rPr>
      </w:pPr>
      <w:r w:rsidRPr="00C903F8">
        <w:rPr>
          <w:rFonts w:cs="Arial"/>
          <w:szCs w:val="20"/>
          <w:lang w:val="en-US"/>
        </w:rPr>
        <w:br w:type="page"/>
      </w:r>
    </w:p>
    <w:p w:rsidR="009C13A9" w:rsidRPr="00C903F8" w:rsidRDefault="009C13A9" w:rsidP="009C13A9">
      <w:pPr>
        <w:tabs>
          <w:tab w:val="left" w:pos="284"/>
          <w:tab w:val="left" w:pos="454"/>
          <w:tab w:val="left" w:pos="680"/>
          <w:tab w:val="left" w:pos="1021"/>
        </w:tabs>
        <w:overflowPunct w:val="0"/>
        <w:adjustRightInd w:val="0"/>
        <w:spacing w:line="240" w:lineRule="atLeast"/>
        <w:ind w:left="0" w:firstLine="0"/>
        <w:jc w:val="center"/>
        <w:textAlignment w:val="baseline"/>
        <w:rPr>
          <w:rFonts w:cs="Arial"/>
          <w:b/>
          <w:bCs/>
          <w:szCs w:val="20"/>
          <w:lang w:val="en-US"/>
        </w:rPr>
      </w:pPr>
      <w:r w:rsidRPr="00C903F8">
        <w:rPr>
          <w:rFonts w:cs="Arial"/>
          <w:b/>
          <w:bCs/>
          <w:noProof/>
          <w:szCs w:val="20"/>
          <w:lang w:val="en-US"/>
        </w:rPr>
        <w:lastRenderedPageBreak/>
        <w:t>Chapitre 4</w:t>
      </w:r>
    </w:p>
    <w:p w:rsidR="009C13A9" w:rsidRPr="00C903F8" w:rsidRDefault="009C13A9" w:rsidP="009C13A9">
      <w:pPr>
        <w:tabs>
          <w:tab w:val="left" w:pos="284"/>
          <w:tab w:val="left" w:pos="454"/>
          <w:tab w:val="left" w:pos="680"/>
          <w:tab w:val="left" w:pos="1021"/>
        </w:tabs>
        <w:overflowPunct w:val="0"/>
        <w:adjustRightInd w:val="0"/>
        <w:spacing w:line="240" w:lineRule="atLeast"/>
        <w:ind w:left="0" w:firstLine="0"/>
        <w:jc w:val="center"/>
        <w:textAlignment w:val="baseline"/>
        <w:rPr>
          <w:rFonts w:cs="Arial"/>
          <w:szCs w:val="20"/>
          <w:lang w:val="en-US"/>
        </w:rPr>
      </w:pPr>
      <w:r w:rsidRPr="00C903F8">
        <w:rPr>
          <w:rFonts w:cs="Arial"/>
          <w:b/>
          <w:bCs/>
          <w:noProof/>
          <w:szCs w:val="20"/>
          <w:lang w:val="en-US"/>
        </w:rPr>
        <w:t>Minimum technical requirements for rate-of-turn indicators</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noProof/>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4.01</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i/>
          <w:iCs/>
          <w:noProof/>
          <w:szCs w:val="20"/>
          <w:lang w:val="en-US"/>
        </w:rPr>
      </w:pPr>
      <w:r w:rsidRPr="00C903F8">
        <w:rPr>
          <w:rFonts w:cs="Arial"/>
          <w:i/>
          <w:iCs/>
          <w:noProof/>
          <w:szCs w:val="20"/>
          <w:lang w:val="en-US"/>
        </w:rPr>
        <w:t>Operation</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p>
    <w:p w:rsidR="009C13A9" w:rsidRPr="00C903F8" w:rsidRDefault="009C13A9" w:rsidP="009C13A9">
      <w:pPr>
        <w:rPr>
          <w:noProof/>
          <w:lang w:val="en-US"/>
        </w:rPr>
      </w:pPr>
      <w:r w:rsidRPr="00C903F8">
        <w:rPr>
          <w:lang w:val="en-US"/>
        </w:rPr>
        <w:t>1.</w:t>
      </w:r>
      <w:r w:rsidRPr="00C903F8">
        <w:rPr>
          <w:lang w:val="en-US"/>
        </w:rPr>
        <w:tab/>
      </w:r>
      <w:r w:rsidRPr="00C903F8">
        <w:rPr>
          <w:noProof/>
          <w:lang w:val="en-US"/>
        </w:rPr>
        <w:t>All controls shall be so arranged that during their operation no information is concealed from view and radar navigation remains unimpaired.</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2.</w:t>
      </w:r>
      <w:r w:rsidRPr="00C903F8">
        <w:rPr>
          <w:rFonts w:cs="Arial"/>
          <w:color w:val="000000"/>
          <w:lang w:val="en-US"/>
        </w:rPr>
        <w:tab/>
      </w:r>
      <w:r w:rsidRPr="00C903F8">
        <w:rPr>
          <w:rFonts w:cs="Arial"/>
          <w:noProof/>
          <w:color w:val="000000"/>
          <w:lang w:val="en-US"/>
        </w:rPr>
        <w:t>All control units and indicators shall be provided with a dazzle-free source of lighting appropriate for all ambient lighting conditions and adjustable down to zero by means of an independent control.</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3.</w:t>
      </w:r>
      <w:r w:rsidRPr="00C903F8">
        <w:rPr>
          <w:rFonts w:cs="Arial"/>
          <w:color w:val="000000"/>
          <w:lang w:val="en-US"/>
        </w:rPr>
        <w:tab/>
      </w:r>
      <w:r w:rsidRPr="00C903F8">
        <w:rPr>
          <w:rFonts w:cs="Arial"/>
          <w:noProof/>
          <w:color w:val="000000"/>
          <w:lang w:val="en-US"/>
        </w:rPr>
        <w:t>Adjustment of control units shall be such that movements to the right or upwards have a positive effect on the variable and movements to the left or downwards a negative effect.</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4.</w:t>
      </w:r>
      <w:r w:rsidRPr="00C903F8">
        <w:rPr>
          <w:rFonts w:cs="Arial"/>
          <w:color w:val="000000"/>
          <w:lang w:val="en-US"/>
        </w:rPr>
        <w:tab/>
      </w:r>
      <w:r w:rsidRPr="00C903F8">
        <w:rPr>
          <w:rFonts w:cs="Arial"/>
          <w:noProof/>
          <w:color w:val="000000"/>
          <w:lang w:val="en-US"/>
        </w:rPr>
        <w:t>If push-buttons are used, it shall be possible to locate and operate them by touch. They shall also have clearly perceptible contact release. If pushbuttons have multiple functions, it must be apparent which hierarchical level is active.</w:t>
      </w: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4.02</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r w:rsidRPr="00C903F8">
        <w:rPr>
          <w:i/>
          <w:noProof/>
          <w:lang w:val="en-US"/>
        </w:rPr>
        <w:t>Damping devices</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1.</w:t>
      </w:r>
      <w:r w:rsidRPr="00C903F8">
        <w:rPr>
          <w:rFonts w:cs="Arial"/>
          <w:color w:val="000000"/>
          <w:lang w:val="en-US"/>
        </w:rPr>
        <w:tab/>
      </w:r>
      <w:r w:rsidRPr="00C903F8">
        <w:rPr>
          <w:rFonts w:cs="Arial"/>
          <w:noProof/>
          <w:color w:val="000000"/>
          <w:lang w:val="en-US"/>
        </w:rPr>
        <w:t>The sensor system shall be damped for critical values. The damping constant (63 % of the limit value) shall not exceed 0,4 seconds.</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noProof/>
          <w:color w:val="000000"/>
          <w:lang w:val="en-US"/>
        </w:rPr>
      </w:pPr>
      <w:r w:rsidRPr="00C903F8">
        <w:rPr>
          <w:rFonts w:cs="Arial"/>
          <w:color w:val="000000"/>
          <w:lang w:val="en-US"/>
        </w:rPr>
        <w:t>2.</w:t>
      </w:r>
      <w:r w:rsidRPr="00C903F8">
        <w:rPr>
          <w:rFonts w:cs="Arial"/>
          <w:color w:val="000000"/>
          <w:lang w:val="en-US"/>
        </w:rPr>
        <w:tab/>
      </w:r>
      <w:r w:rsidRPr="00C903F8">
        <w:rPr>
          <w:rFonts w:cs="Arial"/>
          <w:noProof/>
          <w:color w:val="000000"/>
          <w:lang w:val="en-US"/>
        </w:rPr>
        <w:t>The indicator shall be damped for critical values.</w:t>
      </w:r>
    </w:p>
    <w:p w:rsidR="009C13A9" w:rsidRPr="00C903F8" w:rsidRDefault="009C13A9" w:rsidP="009C13A9">
      <w:pPr>
        <w:spacing w:line="240" w:lineRule="atLeast"/>
        <w:ind w:left="426" w:firstLine="0"/>
        <w:rPr>
          <w:noProof/>
          <w:lang w:val="en-US" w:eastAsia="nl-NL"/>
        </w:rPr>
      </w:pPr>
      <w:r w:rsidRPr="00C903F8">
        <w:rPr>
          <w:noProof/>
          <w:lang w:val="en-US" w:eastAsia="nl-NL"/>
        </w:rPr>
        <w:t>Control units for increasing damping shall be permitted.</w:t>
      </w:r>
    </w:p>
    <w:p w:rsidR="009C13A9" w:rsidRPr="00C903F8" w:rsidRDefault="009C13A9" w:rsidP="009C13A9">
      <w:pPr>
        <w:spacing w:line="240" w:lineRule="atLeast"/>
        <w:ind w:left="426" w:firstLine="0"/>
        <w:rPr>
          <w:lang w:val="en-US" w:eastAsia="nl-NL"/>
        </w:rPr>
      </w:pPr>
      <w:r w:rsidRPr="00C903F8">
        <w:rPr>
          <w:noProof/>
          <w:lang w:val="en-US" w:eastAsia="nl-NL"/>
        </w:rPr>
        <w:t>Under no circumstances shall the damping constant exceed 5 seconds.</w:t>
      </w:r>
    </w:p>
    <w:p w:rsidR="009C13A9" w:rsidRPr="00C903F8" w:rsidRDefault="009C13A9" w:rsidP="009C13A9">
      <w:pPr>
        <w:tabs>
          <w:tab w:val="left" w:pos="425"/>
        </w:tabs>
        <w:overflowPunct w:val="0"/>
        <w:adjustRightInd w:val="0"/>
        <w:spacing w:line="240" w:lineRule="atLeast"/>
        <w:textAlignment w:val="baseline"/>
        <w:rPr>
          <w:rFonts w:cs="Arial"/>
          <w:szCs w:val="20"/>
          <w:lang w:val="en-US"/>
        </w:rPr>
      </w:pPr>
    </w:p>
    <w:p w:rsidR="009C13A9" w:rsidRPr="00C903F8" w:rsidRDefault="009C13A9" w:rsidP="009C13A9">
      <w:pPr>
        <w:tabs>
          <w:tab w:val="right" w:pos="9072"/>
        </w:tabs>
        <w:overflowPunct w:val="0"/>
        <w:adjustRightInd w:val="0"/>
        <w:spacing w:line="240" w:lineRule="atLeast"/>
        <w:ind w:left="0" w:firstLine="0"/>
        <w:jc w:val="left"/>
        <w:textAlignment w:val="baseline"/>
        <w:rPr>
          <w:rFonts w:cs="Arial"/>
          <w:szCs w:val="20"/>
          <w:lang w:val="en-US"/>
        </w:rPr>
      </w:pPr>
    </w:p>
    <w:p w:rsidR="009C13A9" w:rsidRPr="00C903F8" w:rsidRDefault="009C13A9" w:rsidP="009C13A9">
      <w:pPr>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4.03</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i/>
          <w:noProof/>
          <w:lang w:val="en-US"/>
        </w:rPr>
      </w:pPr>
      <w:r w:rsidRPr="00C903F8">
        <w:rPr>
          <w:i/>
          <w:noProof/>
          <w:lang w:val="en-US"/>
        </w:rPr>
        <w:t>Connection of additional equipment</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p>
    <w:p w:rsidR="009C13A9" w:rsidRPr="00C903F8" w:rsidRDefault="009C13A9" w:rsidP="009C13A9">
      <w:pPr>
        <w:spacing w:line="240" w:lineRule="atLeast"/>
        <w:rPr>
          <w:rFonts w:cs="Arial"/>
          <w:noProof/>
          <w:color w:val="000000"/>
          <w:lang w:val="en-US"/>
        </w:rPr>
      </w:pPr>
      <w:r w:rsidRPr="00C903F8">
        <w:rPr>
          <w:rFonts w:cs="Arial"/>
          <w:color w:val="000000"/>
          <w:lang w:val="en-US"/>
        </w:rPr>
        <w:t xml:space="preserve">1. </w:t>
      </w:r>
      <w:r w:rsidRPr="00C903F8">
        <w:rPr>
          <w:rFonts w:cs="Arial"/>
          <w:color w:val="000000"/>
          <w:lang w:val="en-US"/>
        </w:rPr>
        <w:tab/>
      </w:r>
      <w:r w:rsidRPr="00C903F8">
        <w:rPr>
          <w:rFonts w:cs="Arial"/>
          <w:noProof/>
          <w:color w:val="000000"/>
          <w:lang w:val="en-US"/>
        </w:rPr>
        <w:t>If the rate-of-turn indicator can be connected to slave indicators or similar equipment, the rate</w:t>
      </w:r>
      <w:r w:rsidR="00C50DA9" w:rsidRPr="00C903F8">
        <w:rPr>
          <w:rFonts w:cs="Arial"/>
          <w:noProof/>
          <w:color w:val="000000"/>
          <w:lang w:val="en-US"/>
        </w:rPr>
        <w:t>­</w:t>
      </w:r>
      <w:r w:rsidRPr="00C903F8">
        <w:rPr>
          <w:rFonts w:cs="Arial"/>
          <w:noProof/>
          <w:color w:val="000000"/>
          <w:lang w:val="en-US"/>
        </w:rPr>
        <w:t>of</w:t>
      </w:r>
      <w:r w:rsidR="00C50DA9" w:rsidRPr="00C903F8">
        <w:rPr>
          <w:rFonts w:cs="Arial"/>
          <w:noProof/>
          <w:color w:val="000000"/>
          <w:lang w:val="en-US"/>
        </w:rPr>
        <w:t>­</w:t>
      </w:r>
      <w:r w:rsidRPr="00C903F8">
        <w:rPr>
          <w:rFonts w:cs="Arial"/>
          <w:noProof/>
          <w:color w:val="000000"/>
          <w:lang w:val="en-US"/>
        </w:rPr>
        <w:t>turn indication shall remain usable as an analogue electric signal. In addition, the rate-of-turn indicator may possess a digital interface in accordance with (2).</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ind w:left="426" w:firstLine="0"/>
        <w:rPr>
          <w:lang w:val="en-US" w:eastAsia="nl-NL"/>
        </w:rPr>
      </w:pPr>
      <w:r w:rsidRPr="00C903F8">
        <w:rPr>
          <w:noProof/>
          <w:lang w:val="en-US" w:eastAsia="nl-NL"/>
        </w:rPr>
        <w:t xml:space="preserve">The rate of turn shall continue to be indicated with galvanic earth insulation and the equivalent to an analogue voltage of 20 mV/°/min ± 5 % and a maximum internal resistance of </w:t>
      </w:r>
      <w:r w:rsidRPr="00C903F8">
        <w:rPr>
          <w:noProof/>
          <w:szCs w:val="20"/>
          <w:lang w:val="en-US" w:eastAsia="nl-NL"/>
        </w:rPr>
        <w:t>100</w:t>
      </w:r>
      <w:r w:rsidRPr="00C903F8">
        <w:rPr>
          <w:rFonts w:eastAsia="TimesNewRoman"/>
          <w:szCs w:val="20"/>
          <w:lang w:val="en-US" w:eastAsia="nl-NL"/>
        </w:rPr>
        <w:t xml:space="preserve"> </w:t>
      </w:r>
      <w:r w:rsidRPr="00C903F8">
        <w:rPr>
          <w:rFonts w:eastAsia="TimesNewRoman"/>
          <w:szCs w:val="20"/>
          <w:lang w:eastAsia="nl-NL"/>
        </w:rPr>
        <w:sym w:font="Symbol" w:char="F057"/>
      </w:r>
      <w:r w:rsidRPr="00C903F8">
        <w:rPr>
          <w:noProof/>
          <w:lang w:val="en-US" w:eastAsia="nl-NL"/>
        </w:rPr>
        <w:t>.</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Polarity shall be positive when the vessel is turning to starboard and negative when it is turning to port.</w:t>
      </w:r>
    </w:p>
    <w:p w:rsidR="009C13A9" w:rsidRPr="00C903F8" w:rsidRDefault="009C13A9" w:rsidP="009C13A9">
      <w:pPr>
        <w:tabs>
          <w:tab w:val="left" w:pos="425"/>
        </w:tabs>
        <w:overflowPunct w:val="0"/>
        <w:adjustRightInd w:val="0"/>
        <w:spacing w:line="240" w:lineRule="atLeast"/>
        <w:ind w:firstLine="1"/>
        <w:textAlignment w:val="baseline"/>
        <w:rPr>
          <w:rFonts w:cs="Arial"/>
          <w:szCs w:val="20"/>
          <w:lang w:val="en-US"/>
        </w:rPr>
      </w:pPr>
      <w:r w:rsidRPr="00C903F8">
        <w:rPr>
          <w:rFonts w:cs="Arial"/>
          <w:szCs w:val="20"/>
          <w:lang w:val="en-US"/>
        </w:rPr>
        <w:br w:type="page"/>
      </w:r>
    </w:p>
    <w:p w:rsidR="009C13A9" w:rsidRPr="00C903F8" w:rsidRDefault="009C13A9" w:rsidP="009C13A9">
      <w:pPr>
        <w:spacing w:line="240" w:lineRule="atLeast"/>
        <w:ind w:left="426" w:firstLine="0"/>
        <w:rPr>
          <w:noProof/>
          <w:lang w:val="en-US" w:eastAsia="nl-NL"/>
        </w:rPr>
      </w:pPr>
      <w:r w:rsidRPr="00C903F8">
        <w:rPr>
          <w:noProof/>
          <w:lang w:val="en-US" w:eastAsia="nl-NL"/>
        </w:rPr>
        <w:lastRenderedPageBreak/>
        <w:t>The operating threshold shall not exceed 0,3°/min.</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lang w:val="en-US" w:eastAsia="nl-NL"/>
        </w:rPr>
      </w:pPr>
      <w:r w:rsidRPr="00C903F8">
        <w:rPr>
          <w:noProof/>
          <w:lang w:val="en-US" w:eastAsia="nl-NL"/>
        </w:rPr>
        <w:t>Zero error shall not exceed 1°/min at temperatures from 0 °C to 40 °C.</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With the indicator switched on and the sensor not exposed to the effects of movement, the spurious voltage at the output signal measured with a 10 Hz pass-band low-pass filter shall not exceed 10 mV.</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The rate-of-turn signal shall be received without additional damping beyond the limits referred to in Article 4.02(1).</w:t>
      </w:r>
    </w:p>
    <w:p w:rsidR="009C13A9" w:rsidRPr="00C903F8" w:rsidRDefault="009C13A9" w:rsidP="009C13A9">
      <w:pPr>
        <w:tabs>
          <w:tab w:val="left" w:pos="425"/>
        </w:tabs>
        <w:overflowPunct w:val="0"/>
        <w:adjustRightInd w:val="0"/>
        <w:spacing w:line="240" w:lineRule="atLeast"/>
        <w:textAlignment w:val="baseline"/>
        <w:rPr>
          <w:rFonts w:cs="Arial"/>
          <w:noProof/>
          <w:szCs w:val="2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2.</w:t>
      </w:r>
      <w:r w:rsidRPr="00C903F8">
        <w:rPr>
          <w:rFonts w:cs="Arial"/>
          <w:color w:val="000000"/>
          <w:lang w:val="en-US"/>
        </w:rPr>
        <w:tab/>
      </w:r>
      <w:r w:rsidR="001077F3" w:rsidRPr="00F21CA2">
        <w:rPr>
          <w:rFonts w:eastAsia="Calibri" w:cs="Arial"/>
          <w:color w:val="000000"/>
          <w:szCs w:val="22"/>
          <w:lang w:val="en-US" w:eastAsia="en-US"/>
        </w:rPr>
        <w:t xml:space="preserve">A digital interface shall be designed </w:t>
      </w:r>
      <w:r w:rsidR="001077F3" w:rsidRPr="002043D6">
        <w:rPr>
          <w:rFonts w:eastAsia="Calibri" w:cs="Arial"/>
          <w:color w:val="000000"/>
          <w:szCs w:val="22"/>
          <w:lang w:val="en-US" w:eastAsia="en-US"/>
        </w:rPr>
        <w:t>pursuant to European Standards EN 61162­1: 2011, EN 61162-2: 1998 and EN 61162-3 : 2014.</w:t>
      </w:r>
    </w:p>
    <w:p w:rsidR="009C13A9" w:rsidRPr="00C903F8" w:rsidRDefault="009C13A9" w:rsidP="009C13A9">
      <w:pPr>
        <w:spacing w:line="240" w:lineRule="atLeast"/>
        <w:rPr>
          <w:rFonts w:cs="Arial"/>
          <w:color w:val="000000"/>
          <w:szCs w:val="20"/>
          <w:lang w:val="en-US"/>
        </w:rPr>
      </w:pPr>
    </w:p>
    <w:p w:rsidR="009C13A9" w:rsidRPr="00C903F8" w:rsidRDefault="009C13A9" w:rsidP="009C13A9">
      <w:pPr>
        <w:spacing w:line="240" w:lineRule="atLeast"/>
        <w:rPr>
          <w:rFonts w:cs="Arial"/>
          <w:noProof/>
          <w:color w:val="000000"/>
          <w:lang w:val="en-US"/>
        </w:rPr>
      </w:pPr>
      <w:r w:rsidRPr="00C903F8">
        <w:rPr>
          <w:rFonts w:cs="Arial"/>
          <w:color w:val="000000"/>
          <w:szCs w:val="20"/>
          <w:lang w:val="en-US"/>
        </w:rPr>
        <w:t>3.</w:t>
      </w:r>
      <w:r w:rsidRPr="00C903F8">
        <w:rPr>
          <w:rFonts w:cs="Arial"/>
          <w:color w:val="000000"/>
          <w:szCs w:val="20"/>
          <w:lang w:val="en-US"/>
        </w:rPr>
        <w:tab/>
      </w:r>
      <w:r w:rsidRPr="00C903F8">
        <w:rPr>
          <w:rFonts w:cs="Arial"/>
          <w:noProof/>
          <w:color w:val="000000"/>
          <w:lang w:val="en-US"/>
        </w:rPr>
        <w:t>An external alarm switch shall be provided. The switch shall be installed as a galvanic insulation break-switch for the indicator.</w:t>
      </w:r>
    </w:p>
    <w:p w:rsidR="008761B8" w:rsidRDefault="008761B8"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The external alarm shall be triggered by contact closure:</w:t>
      </w:r>
    </w:p>
    <w:p w:rsidR="009C13A9" w:rsidRPr="00C903F8" w:rsidRDefault="009C13A9" w:rsidP="009C13A9">
      <w:pPr>
        <w:spacing w:before="60" w:line="240" w:lineRule="atLeast"/>
        <w:ind w:left="851"/>
        <w:rPr>
          <w:rFonts w:cs="Arial"/>
          <w:noProof/>
          <w:szCs w:val="22"/>
          <w:lang w:val="en-US" w:eastAsia="zh-CN"/>
        </w:rPr>
      </w:pPr>
      <w:r w:rsidRPr="00C903F8">
        <w:rPr>
          <w:rFonts w:cs="Arial"/>
          <w:noProof/>
          <w:szCs w:val="22"/>
          <w:lang w:val="en-US" w:eastAsia="zh-CN"/>
        </w:rPr>
        <w:t>a)</w:t>
      </w:r>
      <w:r w:rsidRPr="00C903F8">
        <w:rPr>
          <w:rFonts w:cs="Arial"/>
          <w:noProof/>
          <w:szCs w:val="22"/>
          <w:lang w:val="en-US" w:eastAsia="zh-CN"/>
        </w:rPr>
        <w:tab/>
        <w:t>if the rate-of-turn indicator is disconnected; or</w:t>
      </w:r>
    </w:p>
    <w:p w:rsidR="009C13A9" w:rsidRPr="00C903F8" w:rsidRDefault="009C13A9" w:rsidP="009C13A9">
      <w:pPr>
        <w:spacing w:before="60" w:line="240" w:lineRule="atLeast"/>
        <w:ind w:left="851"/>
        <w:rPr>
          <w:rFonts w:cs="Arial"/>
          <w:noProof/>
          <w:szCs w:val="22"/>
          <w:lang w:val="en-US" w:eastAsia="zh-CN"/>
        </w:rPr>
      </w:pPr>
      <w:r w:rsidRPr="00C903F8">
        <w:rPr>
          <w:rFonts w:cs="Arial"/>
          <w:noProof/>
          <w:szCs w:val="22"/>
          <w:lang w:val="en-US" w:eastAsia="zh-CN"/>
        </w:rPr>
        <w:t>b)</w:t>
      </w:r>
      <w:r w:rsidRPr="00C903F8">
        <w:rPr>
          <w:rFonts w:cs="Arial"/>
          <w:noProof/>
          <w:szCs w:val="22"/>
          <w:lang w:val="en-US" w:eastAsia="zh-CN"/>
        </w:rPr>
        <w:tab/>
        <w:t>if the rate-of-turn indicator is not in operation; or</w:t>
      </w:r>
    </w:p>
    <w:p w:rsidR="009C13A9" w:rsidRPr="00C903F8" w:rsidRDefault="009C13A9" w:rsidP="009C13A9">
      <w:pPr>
        <w:spacing w:before="60" w:line="240" w:lineRule="atLeast"/>
        <w:ind w:left="851"/>
        <w:rPr>
          <w:rFonts w:cs="Arial"/>
          <w:noProof/>
          <w:szCs w:val="22"/>
          <w:lang w:val="en-US" w:eastAsia="zh-CN"/>
        </w:rPr>
      </w:pPr>
      <w:r w:rsidRPr="00C903F8">
        <w:rPr>
          <w:rFonts w:cs="Arial"/>
          <w:noProof/>
          <w:szCs w:val="22"/>
          <w:lang w:val="en-US" w:eastAsia="zh-CN"/>
        </w:rPr>
        <w:t>c)</w:t>
      </w:r>
      <w:r w:rsidRPr="00C903F8">
        <w:rPr>
          <w:rFonts w:cs="Arial"/>
          <w:noProof/>
          <w:szCs w:val="22"/>
          <w:lang w:val="en-US" w:eastAsia="zh-CN"/>
        </w:rPr>
        <w:tab/>
        <w:t>if the operating control has reacted following an excessive error (Article 3.06).</w:t>
      </w:r>
    </w:p>
    <w:p w:rsidR="009C13A9" w:rsidRPr="00C903F8" w:rsidRDefault="009C13A9" w:rsidP="009C13A9">
      <w:pPr>
        <w:tabs>
          <w:tab w:val="left" w:pos="425"/>
        </w:tabs>
        <w:overflowPunct w:val="0"/>
        <w:adjustRightInd w:val="0"/>
        <w:spacing w:line="240" w:lineRule="atLeast"/>
        <w:textAlignment w:val="baseline"/>
        <w:rPr>
          <w:rFonts w:cs="Arial"/>
          <w:szCs w:val="20"/>
          <w:lang w:val="en-GB"/>
        </w:rPr>
      </w:pP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spacing w:line="240" w:lineRule="atLeast"/>
        <w:ind w:left="0" w:firstLine="0"/>
        <w:jc w:val="center"/>
        <w:textAlignment w:val="baseline"/>
        <w:rPr>
          <w:rFonts w:cs="Arial"/>
          <w:b/>
          <w:bCs/>
          <w:szCs w:val="20"/>
          <w:lang w:val="en-US"/>
        </w:rPr>
      </w:pPr>
      <w:r w:rsidRPr="00C903F8">
        <w:rPr>
          <w:rFonts w:cs="Arial"/>
          <w:b/>
          <w:bCs/>
          <w:noProof/>
          <w:szCs w:val="20"/>
          <w:lang w:val="en-US"/>
        </w:rPr>
        <w:t>Chapter 5</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r w:rsidRPr="00C903F8">
        <w:rPr>
          <w:rFonts w:cs="Arial"/>
          <w:b/>
          <w:bCs/>
          <w:noProof/>
          <w:szCs w:val="20"/>
          <w:lang w:val="en-US"/>
        </w:rPr>
        <w:t>Test conditions and procedures for rate-of-turn indicators</w:t>
      </w:r>
    </w:p>
    <w:p w:rsidR="009C13A9" w:rsidRPr="00C903F8" w:rsidRDefault="009C13A9" w:rsidP="009C13A9">
      <w:pPr>
        <w:spacing w:line="240" w:lineRule="atLeast"/>
        <w:rPr>
          <w:rFonts w:cs="Arial"/>
          <w:noProof/>
          <w:color w:val="000000"/>
          <w:lang w:val="en-US"/>
        </w:rPr>
      </w:pP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5.01</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r w:rsidRPr="00C903F8">
        <w:rPr>
          <w:rFonts w:cs="Arial"/>
          <w:i/>
          <w:iCs/>
          <w:noProof/>
          <w:szCs w:val="20"/>
          <w:lang w:val="en-US"/>
        </w:rPr>
        <w:t>Safety, load capacity and electromagnetic compatibility</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 xml:space="preserve">Power supply, safety, mutual interference of ship borne equipment, compass safe distance, resistance to climatic influences, mechanical strength, environmental impact, audible noise emission and electromagnetic compatibility shall be tested in accordance with European Standard EN 60945: 2002. </w:t>
      </w: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5.02</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r w:rsidRPr="00C903F8">
        <w:rPr>
          <w:i/>
          <w:noProof/>
          <w:lang w:val="en-US"/>
        </w:rPr>
        <w:t>Spurious emissions</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 xml:space="preserve">Spurious emissions shall be measured in accordance with European Standard EN 60945 : 2002 in the frequency range of 30 to 2000 MHz. </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The requirements of Article 2.02(2) shall be met.</w:t>
      </w:r>
    </w:p>
    <w:p w:rsidR="009C13A9" w:rsidRPr="00C903F8" w:rsidRDefault="009C13A9" w:rsidP="009C13A9">
      <w:pPr>
        <w:tabs>
          <w:tab w:val="left" w:pos="425"/>
        </w:tabs>
        <w:overflowPunct w:val="0"/>
        <w:adjustRightInd w:val="0"/>
        <w:spacing w:line="240" w:lineRule="atLeast"/>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textAlignment w:val="baseline"/>
        <w:rPr>
          <w:rFonts w:cs="Arial"/>
          <w:szCs w:val="20"/>
          <w:lang w:val="en-US"/>
        </w:rPr>
      </w:pP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b/>
          <w:bCs/>
          <w:szCs w:val="20"/>
          <w:lang w:val="en-US"/>
        </w:rPr>
      </w:pPr>
      <w:r w:rsidRPr="00C903F8">
        <w:rPr>
          <w:rFonts w:cs="Arial"/>
          <w:b/>
          <w:bCs/>
          <w:noProof/>
          <w:szCs w:val="20"/>
          <w:lang w:val="en-US"/>
        </w:rPr>
        <w:t>Article 5.03</w:t>
      </w:r>
    </w:p>
    <w:p w:rsidR="009C13A9" w:rsidRPr="00C903F8" w:rsidRDefault="009C13A9" w:rsidP="009C13A9">
      <w:pPr>
        <w:tabs>
          <w:tab w:val="left" w:pos="284"/>
          <w:tab w:val="left" w:pos="454"/>
          <w:tab w:val="left" w:pos="680"/>
          <w:tab w:val="left" w:pos="1021"/>
        </w:tabs>
        <w:overflowPunct w:val="0"/>
        <w:adjustRightInd w:val="0"/>
        <w:ind w:left="0" w:firstLine="0"/>
        <w:jc w:val="center"/>
        <w:textAlignment w:val="baseline"/>
        <w:rPr>
          <w:rFonts w:cs="Arial"/>
          <w:szCs w:val="20"/>
          <w:lang w:val="en-US"/>
        </w:rPr>
      </w:pPr>
      <w:r w:rsidRPr="00C903F8">
        <w:rPr>
          <w:rFonts w:cs="Arial"/>
          <w:i/>
          <w:iCs/>
          <w:noProof/>
          <w:szCs w:val="20"/>
          <w:lang w:val="en-US"/>
        </w:rPr>
        <w:t>Test procedure</w:t>
      </w:r>
    </w:p>
    <w:p w:rsidR="009C13A9" w:rsidRPr="00C903F8" w:rsidRDefault="009C13A9" w:rsidP="009C13A9">
      <w:pPr>
        <w:overflowPunct w:val="0"/>
        <w:adjustRightInd w:val="0"/>
        <w:ind w:left="426" w:hanging="426"/>
        <w:textAlignment w:val="baseline"/>
        <w:rPr>
          <w:rFonts w:cs="Arial"/>
          <w:szCs w:val="20"/>
          <w:lang w:val="en-US"/>
        </w:rPr>
      </w:pPr>
    </w:p>
    <w:p w:rsidR="009C13A9" w:rsidRPr="00C903F8" w:rsidRDefault="009C13A9" w:rsidP="009C13A9">
      <w:pPr>
        <w:spacing w:line="240" w:lineRule="atLeast"/>
        <w:rPr>
          <w:rFonts w:cs="Arial"/>
          <w:noProof/>
          <w:color w:val="000000"/>
          <w:lang w:val="en-US"/>
        </w:rPr>
      </w:pPr>
      <w:r w:rsidRPr="00C903F8">
        <w:rPr>
          <w:rFonts w:cs="Arial"/>
          <w:snapToGrid w:val="0"/>
          <w:color w:val="000000"/>
          <w:lang w:val="en-US"/>
        </w:rPr>
        <w:t>1.</w:t>
      </w:r>
      <w:r w:rsidRPr="00C903F8">
        <w:rPr>
          <w:rFonts w:cs="Arial"/>
          <w:snapToGrid w:val="0"/>
          <w:color w:val="000000"/>
          <w:lang w:val="en-US"/>
        </w:rPr>
        <w:tab/>
      </w:r>
      <w:r w:rsidRPr="00C903F8">
        <w:rPr>
          <w:rFonts w:cs="Arial"/>
          <w:noProof/>
          <w:color w:val="000000"/>
          <w:lang w:val="en-US"/>
        </w:rPr>
        <w:t>Rate-of-turn indicators shall be tested under nominal and boundary conditions. In this regard, the influence of the operating voltage and of the ambient temperature shall be tested as far as the prescribed limit value.</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In addition, radio transmitters shall be used to set up the maximum magnetic fields in the vicinity of the indicators.</w:t>
      </w:r>
    </w:p>
    <w:p w:rsidR="009C13A9" w:rsidRPr="00C903F8" w:rsidRDefault="009C13A9" w:rsidP="009C13A9">
      <w:pPr>
        <w:spacing w:line="240" w:lineRule="atLeast"/>
        <w:rPr>
          <w:rFonts w:cs="Arial"/>
          <w:color w:val="000000"/>
          <w:szCs w:val="20"/>
          <w:lang w:val="en-US"/>
        </w:rPr>
      </w:pPr>
    </w:p>
    <w:p w:rsidR="009C13A9" w:rsidRPr="00C903F8" w:rsidRDefault="009C13A9" w:rsidP="009C13A9">
      <w:pPr>
        <w:overflowPunct w:val="0"/>
        <w:adjustRightInd w:val="0"/>
        <w:ind w:left="426" w:hanging="426"/>
        <w:jc w:val="left"/>
        <w:textAlignment w:val="baseline"/>
        <w:rPr>
          <w:rFonts w:cs="Arial"/>
          <w:szCs w:val="20"/>
          <w:lang w:val="en-US"/>
        </w:rPr>
      </w:pPr>
      <w:r w:rsidRPr="00C903F8">
        <w:rPr>
          <w:rFonts w:cs="Arial"/>
          <w:szCs w:val="20"/>
          <w:lang w:val="en-US"/>
        </w:rPr>
        <w:br w:type="page"/>
      </w:r>
    </w:p>
    <w:p w:rsidR="009C13A9" w:rsidRPr="00C903F8" w:rsidRDefault="009C13A9" w:rsidP="009C13A9">
      <w:pPr>
        <w:spacing w:line="240" w:lineRule="atLeast"/>
        <w:rPr>
          <w:rFonts w:cs="Arial"/>
          <w:snapToGrid w:val="0"/>
          <w:color w:val="000000"/>
          <w:lang w:val="en-US"/>
        </w:rPr>
      </w:pPr>
      <w:r w:rsidRPr="00C903F8">
        <w:rPr>
          <w:rFonts w:cs="Arial"/>
          <w:snapToGrid w:val="0"/>
          <w:color w:val="000000"/>
          <w:lang w:val="en-US"/>
        </w:rPr>
        <w:lastRenderedPageBreak/>
        <w:t>2.</w:t>
      </w:r>
      <w:r w:rsidRPr="00C903F8">
        <w:rPr>
          <w:rFonts w:cs="Arial"/>
          <w:snapToGrid w:val="0"/>
          <w:color w:val="000000"/>
          <w:lang w:val="en-US"/>
        </w:rPr>
        <w:tab/>
      </w:r>
      <w:r w:rsidRPr="00C903F8">
        <w:rPr>
          <w:rFonts w:cs="Arial"/>
          <w:noProof/>
          <w:color w:val="000000"/>
          <w:lang w:val="en-US"/>
        </w:rPr>
        <w:t xml:space="preserve">Under the conditions described in </w:t>
      </w:r>
      <w:r w:rsidR="007E1D94" w:rsidRPr="00C903F8">
        <w:rPr>
          <w:rFonts w:cs="Arial"/>
          <w:noProof/>
          <w:color w:val="000000"/>
          <w:lang w:val="en-US"/>
        </w:rPr>
        <w:t>(</w:t>
      </w:r>
      <w:r w:rsidRPr="00C903F8">
        <w:rPr>
          <w:rFonts w:cs="Arial"/>
          <w:noProof/>
          <w:color w:val="000000"/>
          <w:lang w:val="en-US"/>
        </w:rPr>
        <w:t>1</w:t>
      </w:r>
      <w:r w:rsidR="007E1D94" w:rsidRPr="00C903F8">
        <w:rPr>
          <w:rFonts w:cs="Arial"/>
          <w:noProof/>
          <w:color w:val="000000"/>
          <w:lang w:val="en-US"/>
        </w:rPr>
        <w:t>)</w:t>
      </w:r>
      <w:r w:rsidRPr="00C903F8">
        <w:rPr>
          <w:rFonts w:cs="Arial"/>
          <w:noProof/>
          <w:color w:val="000000"/>
          <w:lang w:val="en-US"/>
        </w:rPr>
        <w:t>, indicator errors shall remain within the tolerances indicated in the Appendix.</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All minimum requirements of Chapters 2 to 4 shall be met.</w:t>
      </w:r>
    </w:p>
    <w:p w:rsidR="009C13A9" w:rsidRPr="00C903F8" w:rsidRDefault="009C13A9" w:rsidP="009C13A9">
      <w:pPr>
        <w:spacing w:line="240" w:lineRule="atLeast"/>
        <w:ind w:left="426" w:firstLine="0"/>
        <w:rPr>
          <w:lang w:val="en-US" w:eastAsia="nl-NL"/>
        </w:rPr>
      </w:pPr>
    </w:p>
    <w:p w:rsidR="009C13A9" w:rsidRPr="00C903F8" w:rsidRDefault="009C13A9" w:rsidP="009C13A9">
      <w:pPr>
        <w:tabs>
          <w:tab w:val="right" w:pos="9072"/>
        </w:tabs>
        <w:overflowPunct w:val="0"/>
        <w:adjustRightInd w:val="0"/>
        <w:spacing w:line="240" w:lineRule="atLeast"/>
        <w:ind w:left="0" w:firstLine="0"/>
        <w:jc w:val="center"/>
        <w:textAlignment w:val="baseline"/>
        <w:rPr>
          <w:rFonts w:cs="Arial"/>
          <w:b/>
          <w:bCs/>
          <w:szCs w:val="20"/>
          <w:lang w:val="en-US"/>
        </w:rPr>
      </w:pPr>
      <w:r w:rsidRPr="00C903F8">
        <w:rPr>
          <w:rFonts w:cs="Arial"/>
          <w:b/>
          <w:bCs/>
          <w:noProof/>
          <w:szCs w:val="20"/>
          <w:lang w:val="en-US"/>
        </w:rPr>
        <w:t>Appendi</w:t>
      </w:r>
      <w:r w:rsidR="00D87E14" w:rsidRPr="00C903F8">
        <w:rPr>
          <w:rFonts w:cs="Arial"/>
          <w:b/>
          <w:bCs/>
          <w:noProof/>
          <w:szCs w:val="20"/>
          <w:lang w:val="en-US"/>
        </w:rPr>
        <w:t>x</w:t>
      </w:r>
    </w:p>
    <w:p w:rsidR="009C13A9" w:rsidRPr="00C903F8" w:rsidRDefault="009C13A9" w:rsidP="009C13A9">
      <w:pPr>
        <w:tabs>
          <w:tab w:val="decimal" w:pos="7056"/>
          <w:tab w:val="decimal" w:pos="9504"/>
        </w:tabs>
        <w:overflowPunct w:val="0"/>
        <w:adjustRightInd w:val="0"/>
        <w:ind w:left="0" w:firstLine="0"/>
        <w:jc w:val="center"/>
        <w:textAlignment w:val="baseline"/>
        <w:rPr>
          <w:rFonts w:cs="Arial"/>
          <w:b/>
          <w:bCs/>
          <w:szCs w:val="20"/>
          <w:lang w:val="en-US"/>
        </w:rPr>
      </w:pPr>
      <w:r w:rsidRPr="00C903F8">
        <w:rPr>
          <w:rFonts w:cs="Arial"/>
          <w:b/>
          <w:bCs/>
          <w:noProof/>
          <w:szCs w:val="20"/>
          <w:lang w:val="en-US"/>
        </w:rPr>
        <w:t>Figure 1:</w:t>
      </w:r>
      <w:r w:rsidRPr="00C903F8">
        <w:rPr>
          <w:rFonts w:cs="Arial"/>
          <w:b/>
          <w:bCs/>
          <w:szCs w:val="20"/>
          <w:lang w:val="en-US"/>
        </w:rPr>
        <w:t xml:space="preserve"> </w:t>
      </w:r>
      <w:r w:rsidR="00D87E14" w:rsidRPr="00C903F8">
        <w:rPr>
          <w:rFonts w:cs="Arial"/>
          <w:b/>
          <w:bCs/>
          <w:noProof/>
          <w:szCs w:val="20"/>
          <w:lang w:val="en-US"/>
        </w:rPr>
        <w:t xml:space="preserve">Maximum tolerances for indication errors </w:t>
      </w:r>
      <w:r w:rsidR="00D87E14" w:rsidRPr="00C903F8">
        <w:rPr>
          <w:rFonts w:cs="Arial"/>
          <w:b/>
          <w:bCs/>
          <w:noProof/>
          <w:szCs w:val="20"/>
          <w:lang w:val="en-US"/>
        </w:rPr>
        <w:br/>
        <w:t>of rate-of-turn indicators</w:t>
      </w:r>
    </w:p>
    <w:p w:rsidR="009C13A9" w:rsidRPr="00C903F8" w:rsidRDefault="009C13A9" w:rsidP="009C13A9">
      <w:pPr>
        <w:tabs>
          <w:tab w:val="decimal" w:pos="7056"/>
          <w:tab w:val="decimal" w:pos="9504"/>
        </w:tabs>
        <w:overflowPunct w:val="0"/>
        <w:adjustRightInd w:val="0"/>
        <w:ind w:left="0" w:firstLine="0"/>
        <w:jc w:val="center"/>
        <w:textAlignment w:val="baseline"/>
        <w:rPr>
          <w:rFonts w:cs="Arial"/>
          <w:b/>
          <w:bCs/>
          <w:szCs w:val="20"/>
          <w:lang w:val="en-US"/>
        </w:rPr>
      </w:pPr>
    </w:p>
    <w:p w:rsidR="009C13A9" w:rsidRPr="00C903F8" w:rsidRDefault="00014931" w:rsidP="009C13A9">
      <w:pPr>
        <w:tabs>
          <w:tab w:val="decimal" w:pos="7056"/>
          <w:tab w:val="decimal" w:pos="9504"/>
        </w:tabs>
        <w:overflowPunct w:val="0"/>
        <w:adjustRightInd w:val="0"/>
        <w:ind w:left="0" w:firstLine="0"/>
        <w:jc w:val="center"/>
        <w:textAlignment w:val="baseline"/>
        <w:rPr>
          <w:rFonts w:cs="Arial"/>
          <w:b/>
          <w:bCs/>
          <w:szCs w:val="20"/>
        </w:rPr>
      </w:pPr>
      <w:r w:rsidRPr="00C903F8">
        <w:rPr>
          <w:noProof/>
        </w:rPr>
        <w:drawing>
          <wp:inline distT="0" distB="0" distL="0" distR="0" wp14:anchorId="71DD83CE" wp14:editId="5A167284">
            <wp:extent cx="5038725" cy="7334250"/>
            <wp:effectExtent l="0" t="0" r="952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8725" cy="7334250"/>
                    </a:xfrm>
                    <a:prstGeom prst="rect">
                      <a:avLst/>
                    </a:prstGeom>
                    <a:noFill/>
                    <a:ln>
                      <a:noFill/>
                    </a:ln>
                  </pic:spPr>
                </pic:pic>
              </a:graphicData>
            </a:graphic>
          </wp:inline>
        </w:drawing>
      </w:r>
    </w:p>
    <w:p w:rsidR="009C13A9" w:rsidRPr="00C903F8" w:rsidRDefault="009C13A9" w:rsidP="009C13A9">
      <w:pPr>
        <w:tabs>
          <w:tab w:val="decimal" w:pos="7056"/>
          <w:tab w:val="decimal" w:pos="9504"/>
        </w:tabs>
        <w:overflowPunct w:val="0"/>
        <w:adjustRightInd w:val="0"/>
        <w:ind w:left="0" w:firstLine="0"/>
        <w:jc w:val="center"/>
        <w:textAlignment w:val="baseline"/>
        <w:rPr>
          <w:rFonts w:cs="Arial"/>
          <w:b/>
          <w:bCs/>
          <w:szCs w:val="20"/>
        </w:rPr>
      </w:pPr>
    </w:p>
    <w:p w:rsidR="009C13A9" w:rsidRPr="00C903F8" w:rsidRDefault="009C13A9" w:rsidP="009C13A9">
      <w:pPr>
        <w:tabs>
          <w:tab w:val="decimal" w:pos="7056"/>
          <w:tab w:val="decimal" w:pos="9504"/>
        </w:tabs>
        <w:overflowPunct w:val="0"/>
        <w:adjustRightInd w:val="0"/>
        <w:ind w:left="0" w:firstLine="0"/>
        <w:jc w:val="center"/>
        <w:textAlignment w:val="baseline"/>
        <w:rPr>
          <w:rFonts w:cs="Arial"/>
          <w:b/>
          <w:bCs/>
          <w:szCs w:val="20"/>
        </w:rPr>
      </w:pPr>
    </w:p>
    <w:p w:rsidR="009C13A9" w:rsidRPr="00C903F8" w:rsidRDefault="009C13A9" w:rsidP="009C13A9">
      <w:pPr>
        <w:tabs>
          <w:tab w:val="decimal" w:pos="7056"/>
          <w:tab w:val="decimal" w:pos="9504"/>
        </w:tabs>
        <w:overflowPunct w:val="0"/>
        <w:adjustRightInd w:val="0"/>
        <w:ind w:left="0" w:firstLine="0"/>
        <w:jc w:val="center"/>
        <w:textAlignment w:val="baseline"/>
        <w:rPr>
          <w:rFonts w:cs="Arial"/>
          <w:b/>
          <w:bCs/>
          <w:szCs w:val="20"/>
        </w:rPr>
      </w:pPr>
    </w:p>
    <w:p w:rsidR="009C13A9" w:rsidRPr="00C903F8" w:rsidRDefault="009C13A9" w:rsidP="009C13A9">
      <w:pPr>
        <w:tabs>
          <w:tab w:val="decimal" w:pos="7056"/>
          <w:tab w:val="decimal" w:pos="9504"/>
        </w:tabs>
        <w:overflowPunct w:val="0"/>
        <w:adjustRightInd w:val="0"/>
        <w:ind w:left="0" w:firstLine="0"/>
        <w:jc w:val="center"/>
        <w:textAlignment w:val="baseline"/>
        <w:rPr>
          <w:rFonts w:cs="Arial"/>
          <w:b/>
          <w:bCs/>
          <w:szCs w:val="20"/>
        </w:rPr>
      </w:pPr>
    </w:p>
    <w:p w:rsidR="009C13A9" w:rsidRPr="00C903F8" w:rsidRDefault="009C13A9" w:rsidP="009C13A9">
      <w:pPr>
        <w:tabs>
          <w:tab w:val="decimal" w:pos="7056"/>
          <w:tab w:val="decimal" w:pos="9504"/>
        </w:tabs>
        <w:overflowPunct w:val="0"/>
        <w:adjustRightInd w:val="0"/>
        <w:ind w:left="0" w:firstLine="0"/>
        <w:jc w:val="center"/>
        <w:textAlignment w:val="baseline"/>
        <w:rPr>
          <w:rFonts w:cs="Arial"/>
          <w:b/>
          <w:bCs/>
          <w:szCs w:val="20"/>
        </w:rPr>
      </w:pPr>
    </w:p>
    <w:p w:rsidR="009C13A9" w:rsidRPr="00C903F8" w:rsidRDefault="009C13A9" w:rsidP="009C13A9">
      <w:pPr>
        <w:tabs>
          <w:tab w:val="decimal" w:pos="7056"/>
          <w:tab w:val="decimal" w:pos="9504"/>
        </w:tabs>
        <w:overflowPunct w:val="0"/>
        <w:adjustRightInd w:val="0"/>
        <w:ind w:left="0" w:firstLine="0"/>
        <w:jc w:val="center"/>
        <w:textAlignment w:val="baseline"/>
        <w:rPr>
          <w:rFonts w:cs="Arial"/>
          <w:b/>
          <w:bCs/>
          <w:szCs w:val="20"/>
        </w:rPr>
      </w:pPr>
    </w:p>
    <w:p w:rsidR="009C13A9" w:rsidRPr="00C903F8" w:rsidRDefault="009C13A9" w:rsidP="009C13A9">
      <w:pPr>
        <w:tabs>
          <w:tab w:val="decimal" w:pos="7056"/>
          <w:tab w:val="decimal" w:pos="9504"/>
        </w:tabs>
        <w:overflowPunct w:val="0"/>
        <w:adjustRightInd w:val="0"/>
        <w:ind w:left="0" w:firstLine="0"/>
        <w:jc w:val="center"/>
        <w:textAlignment w:val="baseline"/>
        <w:rPr>
          <w:rFonts w:cs="Arial"/>
          <w:b/>
          <w:bCs/>
          <w:szCs w:val="20"/>
        </w:rPr>
      </w:pPr>
    </w:p>
    <w:p w:rsidR="009C13A9" w:rsidRPr="00C903F8" w:rsidRDefault="009C13A9" w:rsidP="009C13A9">
      <w:pPr>
        <w:tabs>
          <w:tab w:val="decimal" w:pos="7056"/>
          <w:tab w:val="decimal" w:pos="9504"/>
        </w:tabs>
        <w:overflowPunct w:val="0"/>
        <w:adjustRightInd w:val="0"/>
        <w:ind w:left="0" w:firstLine="0"/>
        <w:jc w:val="center"/>
        <w:textAlignment w:val="baseline"/>
        <w:rPr>
          <w:rFonts w:cs="Arial"/>
          <w:b/>
          <w:bCs/>
          <w:szCs w:val="20"/>
        </w:rPr>
      </w:pPr>
    </w:p>
    <w:p w:rsidR="009C13A9" w:rsidRPr="00C903F8" w:rsidRDefault="009C13A9" w:rsidP="009C13A9">
      <w:pPr>
        <w:tabs>
          <w:tab w:val="decimal" w:pos="7056"/>
          <w:tab w:val="decimal" w:pos="9504"/>
        </w:tabs>
        <w:overflowPunct w:val="0"/>
        <w:adjustRightInd w:val="0"/>
        <w:ind w:left="0" w:firstLine="0"/>
        <w:jc w:val="center"/>
        <w:textAlignment w:val="baseline"/>
        <w:rPr>
          <w:rFonts w:cs="Arial"/>
          <w:b/>
          <w:bCs/>
          <w:szCs w:val="20"/>
        </w:rPr>
      </w:pPr>
    </w:p>
    <w:p w:rsidR="009C13A9" w:rsidRPr="00C903F8" w:rsidRDefault="009C13A9" w:rsidP="009C13A9">
      <w:pPr>
        <w:tabs>
          <w:tab w:val="decimal" w:pos="7056"/>
          <w:tab w:val="decimal" w:pos="9504"/>
        </w:tabs>
        <w:overflowPunct w:val="0"/>
        <w:adjustRightInd w:val="0"/>
        <w:ind w:left="0" w:firstLine="0"/>
        <w:jc w:val="center"/>
        <w:textAlignment w:val="baseline"/>
        <w:rPr>
          <w:rFonts w:cs="Arial"/>
          <w:b/>
          <w:bCs/>
          <w:szCs w:val="20"/>
        </w:rPr>
      </w:pPr>
    </w:p>
    <w:p w:rsidR="009C13A9" w:rsidRPr="00C903F8" w:rsidRDefault="009C13A9" w:rsidP="009C13A9">
      <w:pPr>
        <w:tabs>
          <w:tab w:val="decimal" w:pos="7056"/>
          <w:tab w:val="decimal" w:pos="9504"/>
        </w:tabs>
        <w:overflowPunct w:val="0"/>
        <w:adjustRightInd w:val="0"/>
        <w:ind w:left="0" w:firstLine="0"/>
        <w:jc w:val="center"/>
        <w:textAlignment w:val="baseline"/>
        <w:rPr>
          <w:rFonts w:cs="Arial"/>
          <w:b/>
          <w:bCs/>
          <w:szCs w:val="20"/>
        </w:rPr>
      </w:pPr>
    </w:p>
    <w:p w:rsidR="009C13A9" w:rsidRPr="00C903F8" w:rsidRDefault="009C13A9" w:rsidP="009C13A9">
      <w:pPr>
        <w:tabs>
          <w:tab w:val="decimal" w:pos="7056"/>
          <w:tab w:val="decimal" w:pos="9504"/>
        </w:tabs>
        <w:overflowPunct w:val="0"/>
        <w:adjustRightInd w:val="0"/>
        <w:ind w:left="0" w:firstLine="0"/>
        <w:jc w:val="center"/>
        <w:textAlignment w:val="baseline"/>
        <w:rPr>
          <w:rFonts w:cs="Arial"/>
          <w:b/>
          <w:bCs/>
          <w:szCs w:val="20"/>
        </w:rPr>
      </w:pPr>
    </w:p>
    <w:p w:rsidR="009C13A9" w:rsidRPr="00C903F8" w:rsidRDefault="009C13A9" w:rsidP="009C13A9">
      <w:pPr>
        <w:tabs>
          <w:tab w:val="right" w:pos="9072"/>
        </w:tabs>
        <w:overflowPunct w:val="0"/>
        <w:adjustRightInd w:val="0"/>
        <w:spacing w:line="240" w:lineRule="atLeast"/>
        <w:ind w:left="0" w:firstLine="0"/>
        <w:jc w:val="left"/>
        <w:textAlignment w:val="baseline"/>
        <w:rPr>
          <w:rFonts w:cs="Arial"/>
          <w:szCs w:val="20"/>
        </w:rPr>
      </w:pPr>
    </w:p>
    <w:p w:rsidR="009C13A9" w:rsidRPr="00C903F8" w:rsidRDefault="009C13A9" w:rsidP="009C13A9">
      <w:pPr>
        <w:spacing w:line="240" w:lineRule="atLeast"/>
        <w:ind w:left="567" w:hanging="567"/>
      </w:pPr>
      <w:r w:rsidRPr="00C903F8">
        <w:br w:type="page"/>
      </w:r>
    </w:p>
    <w:p w:rsidR="009C13A9" w:rsidRPr="00C903F8" w:rsidRDefault="00925755" w:rsidP="00C50DA9">
      <w:pPr>
        <w:pStyle w:val="ES-Titre3"/>
        <w:rPr>
          <w:noProof/>
          <w:lang w:val="en-US"/>
        </w:rPr>
      </w:pPr>
      <w:bookmarkStart w:id="336" w:name="_Toc491854314"/>
      <w:r w:rsidRPr="00C903F8">
        <w:rPr>
          <w:noProof/>
          <w:lang w:val="en-US"/>
        </w:rPr>
        <w:lastRenderedPageBreak/>
        <w:t>Section</w:t>
      </w:r>
      <w:r w:rsidR="009C13A9" w:rsidRPr="00C903F8">
        <w:rPr>
          <w:noProof/>
          <w:lang w:val="en-US"/>
        </w:rPr>
        <w:t xml:space="preserve"> III</w:t>
      </w:r>
      <w:bookmarkEnd w:id="336"/>
      <w:r w:rsidR="009C13A9" w:rsidRPr="00C903F8">
        <w:rPr>
          <w:noProof/>
          <w:lang w:val="en-US"/>
        </w:rPr>
        <w:t xml:space="preserve"> </w:t>
      </w:r>
    </w:p>
    <w:p w:rsidR="009C13A9" w:rsidRPr="00C903F8" w:rsidRDefault="009C13A9" w:rsidP="00C50DA9">
      <w:pPr>
        <w:pStyle w:val="ES-Titre3a"/>
        <w:rPr>
          <w:rFonts w:cs="Arial"/>
          <w:szCs w:val="20"/>
          <w:lang w:val="en-US"/>
        </w:rPr>
      </w:pPr>
      <w:bookmarkStart w:id="337" w:name="_Toc491854315"/>
      <w:r w:rsidRPr="00C903F8">
        <w:rPr>
          <w:noProof/>
          <w:lang w:val="en-US"/>
        </w:rPr>
        <w:t xml:space="preserve">Requirements for installation and performance tests for </w:t>
      </w:r>
      <w:r w:rsidR="00D52D51" w:rsidRPr="00C903F8">
        <w:rPr>
          <w:noProof/>
          <w:lang w:val="en-US"/>
        </w:rPr>
        <w:t xml:space="preserve">navigational </w:t>
      </w:r>
      <w:r w:rsidRPr="00C903F8">
        <w:rPr>
          <w:noProof/>
          <w:lang w:val="en-US"/>
        </w:rPr>
        <w:t xml:space="preserve">radar </w:t>
      </w:r>
      <w:r w:rsidR="00D52D51" w:rsidRPr="00C903F8">
        <w:rPr>
          <w:noProof/>
          <w:lang w:val="en-US"/>
        </w:rPr>
        <w:t>installation</w:t>
      </w:r>
      <w:r w:rsidR="00A379E7" w:rsidRPr="00C903F8">
        <w:rPr>
          <w:noProof/>
          <w:lang w:val="en-US"/>
        </w:rPr>
        <w:t>s</w:t>
      </w:r>
      <w:r w:rsidRPr="00C903F8">
        <w:rPr>
          <w:noProof/>
          <w:lang w:val="en-US"/>
        </w:rPr>
        <w:t xml:space="preserve"> and rate</w:t>
      </w:r>
      <w:r w:rsidR="00C50DA9" w:rsidRPr="00C903F8">
        <w:rPr>
          <w:noProof/>
          <w:lang w:val="en-US"/>
        </w:rPr>
        <w:t>­</w:t>
      </w:r>
      <w:r w:rsidRPr="00C903F8">
        <w:rPr>
          <w:noProof/>
          <w:lang w:val="en-US"/>
        </w:rPr>
        <w:t>of</w:t>
      </w:r>
      <w:r w:rsidR="00C50DA9" w:rsidRPr="00C903F8">
        <w:rPr>
          <w:noProof/>
          <w:lang w:val="en-US"/>
        </w:rPr>
        <w:t>­</w:t>
      </w:r>
      <w:r w:rsidRPr="00C903F8">
        <w:rPr>
          <w:noProof/>
          <w:lang w:val="en-US"/>
        </w:rPr>
        <w:t>turn indicators in inland navigation</w:t>
      </w:r>
      <w:bookmarkEnd w:id="337"/>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1</w:t>
      </w:r>
      <w:r w:rsidRPr="00C903F8">
        <w:rPr>
          <w:rFonts w:cs="Arial"/>
          <w:b/>
          <w:noProof/>
          <w:lang w:val="en-US"/>
        </w:rPr>
        <w:br/>
      </w:r>
      <w:r w:rsidRPr="00C903F8">
        <w:rPr>
          <w:rFonts w:cs="Arial"/>
          <w:i/>
          <w:noProof/>
          <w:lang w:val="en-US"/>
        </w:rPr>
        <w:t>General</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1.</w:t>
      </w:r>
      <w:r w:rsidRPr="00C903F8">
        <w:rPr>
          <w:rFonts w:cs="Arial"/>
          <w:noProof/>
          <w:color w:val="000000"/>
          <w:lang w:val="en-US"/>
        </w:rPr>
        <w:tab/>
        <w:t xml:space="preserve">Installation and performance tests of navigational radar </w:t>
      </w:r>
      <w:r w:rsidR="00D52D51" w:rsidRPr="00C903F8">
        <w:rPr>
          <w:rFonts w:cs="Arial"/>
          <w:noProof/>
          <w:color w:val="000000"/>
          <w:lang w:val="en-US"/>
        </w:rPr>
        <w:t>installation</w:t>
      </w:r>
      <w:r w:rsidR="00A379E7" w:rsidRPr="00C903F8">
        <w:rPr>
          <w:rFonts w:cs="Arial"/>
          <w:noProof/>
          <w:color w:val="000000"/>
          <w:lang w:val="en-US"/>
        </w:rPr>
        <w:t>s</w:t>
      </w:r>
      <w:r w:rsidRPr="00C903F8">
        <w:rPr>
          <w:rFonts w:cs="Arial"/>
          <w:noProof/>
          <w:color w:val="000000"/>
          <w:lang w:val="en-US"/>
        </w:rPr>
        <w:t xml:space="preserve"> and rate-of-turn indicator systems must take place according to the following provisions.</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2.</w:t>
      </w:r>
      <w:r w:rsidRPr="00C903F8">
        <w:rPr>
          <w:rFonts w:cs="Arial"/>
          <w:noProof/>
          <w:color w:val="000000"/>
          <w:lang w:val="en-US"/>
        </w:rPr>
        <w:tab/>
        <w:t xml:space="preserve">Only equipment with a type approval according to </w:t>
      </w:r>
      <w:r w:rsidR="00925755" w:rsidRPr="00C903F8">
        <w:rPr>
          <w:rFonts w:cs="Arial"/>
          <w:noProof/>
          <w:color w:val="000000"/>
          <w:lang w:val="en-US"/>
        </w:rPr>
        <w:t>Section</w:t>
      </w:r>
      <w:r w:rsidRPr="00C903F8">
        <w:rPr>
          <w:rFonts w:cs="Arial"/>
          <w:noProof/>
          <w:color w:val="000000"/>
          <w:lang w:val="en-US"/>
        </w:rPr>
        <w:t xml:space="preserve"> I Article 6 or </w:t>
      </w:r>
      <w:r w:rsidR="00925755" w:rsidRPr="00C903F8">
        <w:rPr>
          <w:rFonts w:cs="Arial"/>
          <w:noProof/>
          <w:color w:val="000000"/>
          <w:lang w:val="en-US"/>
        </w:rPr>
        <w:t>Section</w:t>
      </w:r>
      <w:r w:rsidRPr="00C903F8">
        <w:rPr>
          <w:rFonts w:cs="Arial"/>
          <w:noProof/>
          <w:color w:val="000000"/>
          <w:lang w:val="en-US"/>
        </w:rPr>
        <w:t xml:space="preserve"> II Article</w:t>
      </w:r>
      <w:r w:rsidR="0006780B" w:rsidRPr="00C903F8">
        <w:rPr>
          <w:rFonts w:cs="Arial"/>
          <w:noProof/>
          <w:color w:val="000000"/>
          <w:lang w:val="en-US"/>
        </w:rPr>
        <w:t> </w:t>
      </w:r>
      <w:r w:rsidRPr="00C903F8">
        <w:rPr>
          <w:rFonts w:cs="Arial"/>
          <w:noProof/>
          <w:color w:val="000000"/>
          <w:lang w:val="en-US"/>
        </w:rPr>
        <w:t>1.05, or with a type approval recognised as equivalent shall be authorised for installation.</w:t>
      </w:r>
    </w:p>
    <w:p w:rsidR="009C13A9" w:rsidRPr="00C903F8" w:rsidRDefault="009C13A9" w:rsidP="009C13A9">
      <w:pPr>
        <w:spacing w:line="240" w:lineRule="atLeast"/>
        <w:rPr>
          <w:rFonts w:cs="Arial"/>
          <w:noProof/>
          <w:color w:val="000000"/>
          <w:lang w:val="en-US"/>
        </w:rPr>
      </w:pPr>
    </w:p>
    <w:p w:rsidR="001077F3" w:rsidRPr="001077F3" w:rsidRDefault="001077F3" w:rsidP="001077F3">
      <w:pPr>
        <w:spacing w:line="240" w:lineRule="atLeast"/>
        <w:rPr>
          <w:rFonts w:cs="Arial"/>
          <w:noProof/>
          <w:color w:val="000000"/>
          <w:lang w:val="en-US"/>
        </w:rPr>
      </w:pPr>
      <w:r w:rsidRPr="001077F3">
        <w:rPr>
          <w:rFonts w:cs="Arial"/>
          <w:noProof/>
          <w:color w:val="000000"/>
          <w:lang w:val="en-US"/>
        </w:rPr>
        <w:t>3.</w:t>
      </w:r>
      <w:r w:rsidRPr="001077F3">
        <w:rPr>
          <w:rFonts w:cs="Arial"/>
          <w:noProof/>
          <w:color w:val="000000"/>
          <w:lang w:val="en-US"/>
        </w:rPr>
        <w:tab/>
        <w:t>All that is permitted to be connected to the navigational radar installations are type-approved external sensors. External sensors connected to the navigational radar installation must be type-approved in accordance with the following maritime Standards:</w:t>
      </w:r>
    </w:p>
    <w:p w:rsidR="001077F3" w:rsidRPr="00F21CA2" w:rsidRDefault="001077F3" w:rsidP="001077F3">
      <w:pPr>
        <w:ind w:left="426" w:hanging="426"/>
        <w:rPr>
          <w:rFonts w:cs="Arial"/>
          <w:noProof/>
          <w:color w:val="000000"/>
          <w:highlight w:val="lightGray"/>
          <w:lang w:val="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7"/>
        <w:gridCol w:w="2860"/>
        <w:gridCol w:w="2976"/>
      </w:tblGrid>
      <w:tr w:rsidR="001077F3" w:rsidRPr="00296858" w:rsidTr="001077F3">
        <w:trPr>
          <w:trHeight w:val="595"/>
          <w:jc w:val="right"/>
        </w:trPr>
        <w:tc>
          <w:tcPr>
            <w:tcW w:w="2917" w:type="dxa"/>
            <w:vMerge w:val="restart"/>
            <w:shd w:val="clear" w:color="auto" w:fill="auto"/>
          </w:tcPr>
          <w:p w:rsidR="001077F3" w:rsidRPr="003D0163" w:rsidRDefault="001077F3" w:rsidP="001077F3">
            <w:pPr>
              <w:spacing w:before="60" w:after="60" w:line="240" w:lineRule="atLeast"/>
              <w:jc w:val="center"/>
              <w:rPr>
                <w:sz w:val="18"/>
                <w:szCs w:val="18"/>
                <w:lang w:val="en-US"/>
              </w:rPr>
            </w:pPr>
          </w:p>
          <w:p w:rsidR="001077F3" w:rsidRPr="003D0163" w:rsidRDefault="001077F3" w:rsidP="001077F3">
            <w:pPr>
              <w:spacing w:before="60" w:after="60" w:line="240" w:lineRule="atLeast"/>
              <w:jc w:val="center"/>
              <w:rPr>
                <w:b/>
                <w:sz w:val="18"/>
                <w:szCs w:val="18"/>
              </w:rPr>
            </w:pPr>
            <w:r w:rsidRPr="003D0163">
              <w:rPr>
                <w:b/>
                <w:sz w:val="18"/>
                <w:szCs w:val="18"/>
              </w:rPr>
              <w:t>Sensor</w:t>
            </w:r>
          </w:p>
        </w:tc>
        <w:tc>
          <w:tcPr>
            <w:tcW w:w="5836" w:type="dxa"/>
            <w:gridSpan w:val="2"/>
            <w:shd w:val="clear" w:color="auto" w:fill="auto"/>
          </w:tcPr>
          <w:p w:rsidR="001077F3" w:rsidRPr="003D0163" w:rsidRDefault="001077F3" w:rsidP="001077F3">
            <w:pPr>
              <w:spacing w:before="60" w:after="60" w:line="240" w:lineRule="atLeast"/>
              <w:jc w:val="center"/>
              <w:rPr>
                <w:sz w:val="18"/>
                <w:szCs w:val="18"/>
                <w:lang w:val="en-US"/>
              </w:rPr>
            </w:pPr>
            <w:r w:rsidRPr="003D0163">
              <w:rPr>
                <w:b/>
                <w:sz w:val="18"/>
                <w:szCs w:val="18"/>
                <w:lang w:val="en-US"/>
              </w:rPr>
              <w:t>Minimum requirements in accordance with</w:t>
            </w:r>
          </w:p>
        </w:tc>
      </w:tr>
      <w:tr w:rsidR="001077F3" w:rsidRPr="00F21CA2" w:rsidTr="001077F3">
        <w:trPr>
          <w:trHeight w:val="516"/>
          <w:jc w:val="right"/>
        </w:trPr>
        <w:tc>
          <w:tcPr>
            <w:tcW w:w="2917" w:type="dxa"/>
            <w:vMerge/>
            <w:shd w:val="clear" w:color="auto" w:fill="auto"/>
          </w:tcPr>
          <w:p w:rsidR="001077F3" w:rsidRPr="003D0163" w:rsidRDefault="001077F3" w:rsidP="001077F3">
            <w:pPr>
              <w:spacing w:before="60" w:after="60" w:line="240" w:lineRule="atLeast"/>
              <w:jc w:val="center"/>
              <w:rPr>
                <w:color w:val="000000"/>
                <w:sz w:val="18"/>
                <w:szCs w:val="18"/>
                <w:lang w:val="en-US"/>
              </w:rPr>
            </w:pPr>
          </w:p>
        </w:tc>
        <w:tc>
          <w:tcPr>
            <w:tcW w:w="2860" w:type="dxa"/>
            <w:shd w:val="clear" w:color="auto" w:fill="auto"/>
          </w:tcPr>
          <w:p w:rsidR="001077F3" w:rsidRPr="003D0163" w:rsidRDefault="001077F3" w:rsidP="001077F3">
            <w:pPr>
              <w:spacing w:before="60" w:after="60" w:line="240" w:lineRule="atLeast"/>
              <w:jc w:val="center"/>
              <w:rPr>
                <w:b/>
                <w:color w:val="000000"/>
                <w:sz w:val="18"/>
                <w:szCs w:val="18"/>
              </w:rPr>
            </w:pPr>
            <w:r w:rsidRPr="003D0163">
              <w:rPr>
                <w:b/>
                <w:sz w:val="18"/>
                <w:szCs w:val="18"/>
              </w:rPr>
              <w:t>Standard (IMO)</w:t>
            </w:r>
          </w:p>
        </w:tc>
        <w:tc>
          <w:tcPr>
            <w:tcW w:w="2976" w:type="dxa"/>
            <w:shd w:val="clear" w:color="auto" w:fill="auto"/>
          </w:tcPr>
          <w:p w:rsidR="001077F3" w:rsidRPr="003D0163" w:rsidRDefault="001077F3" w:rsidP="001077F3">
            <w:pPr>
              <w:spacing w:before="60" w:after="60" w:line="240" w:lineRule="atLeast"/>
              <w:jc w:val="center"/>
              <w:rPr>
                <w:b/>
                <w:color w:val="000000"/>
                <w:sz w:val="18"/>
                <w:szCs w:val="18"/>
              </w:rPr>
            </w:pPr>
            <w:r w:rsidRPr="003D0163">
              <w:rPr>
                <w:b/>
                <w:sz w:val="18"/>
                <w:szCs w:val="18"/>
              </w:rPr>
              <w:t>ISO / IEC Standard</w:t>
            </w:r>
          </w:p>
        </w:tc>
      </w:tr>
      <w:tr w:rsidR="001077F3" w:rsidRPr="00F21CA2" w:rsidTr="001077F3">
        <w:trPr>
          <w:jc w:val="right"/>
        </w:trPr>
        <w:tc>
          <w:tcPr>
            <w:tcW w:w="2917" w:type="dxa"/>
            <w:shd w:val="clear" w:color="auto" w:fill="auto"/>
          </w:tcPr>
          <w:p w:rsidR="001077F3" w:rsidRPr="003D0163" w:rsidRDefault="001077F3" w:rsidP="001077F3">
            <w:pPr>
              <w:spacing w:before="60" w:after="60" w:line="240" w:lineRule="atLeast"/>
              <w:rPr>
                <w:color w:val="000000"/>
                <w:sz w:val="18"/>
                <w:szCs w:val="18"/>
              </w:rPr>
            </w:pPr>
            <w:r w:rsidRPr="003D0163">
              <w:rPr>
                <w:sz w:val="18"/>
                <w:szCs w:val="18"/>
              </w:rPr>
              <w:t>GPS</w:t>
            </w:r>
          </w:p>
        </w:tc>
        <w:tc>
          <w:tcPr>
            <w:tcW w:w="2860" w:type="dxa"/>
            <w:shd w:val="clear" w:color="auto" w:fill="auto"/>
          </w:tcPr>
          <w:p w:rsidR="001077F3" w:rsidRPr="003D0163" w:rsidRDefault="001077F3" w:rsidP="001077F3">
            <w:pPr>
              <w:spacing w:before="60" w:after="60" w:line="240" w:lineRule="atLeast"/>
              <w:jc w:val="center"/>
              <w:rPr>
                <w:color w:val="000000"/>
                <w:sz w:val="18"/>
                <w:szCs w:val="18"/>
              </w:rPr>
            </w:pPr>
            <w:r w:rsidRPr="003D0163">
              <w:rPr>
                <w:sz w:val="18"/>
                <w:szCs w:val="18"/>
              </w:rPr>
              <w:t>MSC.112(73)</w:t>
            </w:r>
            <w:r w:rsidRPr="003D0163">
              <w:rPr>
                <w:sz w:val="18"/>
                <w:szCs w:val="18"/>
                <w:vertAlign w:val="superscript"/>
              </w:rPr>
              <w:footnoteReference w:id="54"/>
            </w:r>
          </w:p>
        </w:tc>
        <w:tc>
          <w:tcPr>
            <w:tcW w:w="2976" w:type="dxa"/>
            <w:shd w:val="clear" w:color="auto" w:fill="auto"/>
          </w:tcPr>
          <w:p w:rsidR="001077F3" w:rsidRPr="003D0163" w:rsidRDefault="001077F3" w:rsidP="001077F3">
            <w:pPr>
              <w:spacing w:before="60" w:after="60" w:line="240" w:lineRule="atLeast"/>
              <w:jc w:val="center"/>
              <w:rPr>
                <w:color w:val="000000"/>
                <w:sz w:val="18"/>
                <w:szCs w:val="18"/>
              </w:rPr>
            </w:pPr>
            <w:r w:rsidRPr="003D0163">
              <w:rPr>
                <w:sz w:val="18"/>
                <w:szCs w:val="18"/>
              </w:rPr>
              <w:t>IEC 61108-1: 2003</w:t>
            </w:r>
          </w:p>
        </w:tc>
      </w:tr>
      <w:tr w:rsidR="001077F3" w:rsidRPr="00F21CA2" w:rsidTr="001077F3">
        <w:trPr>
          <w:jc w:val="right"/>
        </w:trPr>
        <w:tc>
          <w:tcPr>
            <w:tcW w:w="2917" w:type="dxa"/>
            <w:shd w:val="clear" w:color="auto" w:fill="auto"/>
          </w:tcPr>
          <w:p w:rsidR="001077F3" w:rsidRPr="003D0163" w:rsidRDefault="001077F3" w:rsidP="001077F3">
            <w:pPr>
              <w:spacing w:before="60" w:after="60" w:line="240" w:lineRule="atLeast"/>
              <w:rPr>
                <w:color w:val="000000"/>
                <w:sz w:val="18"/>
                <w:szCs w:val="18"/>
              </w:rPr>
            </w:pPr>
            <w:r w:rsidRPr="003D0163">
              <w:rPr>
                <w:sz w:val="18"/>
                <w:szCs w:val="18"/>
              </w:rPr>
              <w:t>DGPS/DGLONASS</w:t>
            </w:r>
          </w:p>
        </w:tc>
        <w:tc>
          <w:tcPr>
            <w:tcW w:w="2860" w:type="dxa"/>
            <w:shd w:val="clear" w:color="auto" w:fill="auto"/>
          </w:tcPr>
          <w:p w:rsidR="001077F3" w:rsidRPr="003D0163" w:rsidRDefault="001077F3" w:rsidP="001077F3">
            <w:pPr>
              <w:spacing w:before="60" w:after="60" w:line="240" w:lineRule="atLeast"/>
              <w:jc w:val="center"/>
              <w:rPr>
                <w:color w:val="000000"/>
                <w:sz w:val="18"/>
                <w:szCs w:val="18"/>
              </w:rPr>
            </w:pPr>
            <w:r w:rsidRPr="003D0163">
              <w:rPr>
                <w:sz w:val="18"/>
                <w:szCs w:val="18"/>
              </w:rPr>
              <w:t>MSC.114(73)</w:t>
            </w:r>
            <w:r w:rsidRPr="003D0163">
              <w:rPr>
                <w:sz w:val="18"/>
                <w:szCs w:val="18"/>
                <w:vertAlign w:val="superscript"/>
              </w:rPr>
              <w:footnoteReference w:id="55"/>
            </w:r>
          </w:p>
        </w:tc>
        <w:tc>
          <w:tcPr>
            <w:tcW w:w="2976" w:type="dxa"/>
            <w:shd w:val="clear" w:color="auto" w:fill="auto"/>
          </w:tcPr>
          <w:p w:rsidR="001077F3" w:rsidRPr="003D0163" w:rsidRDefault="001077F3" w:rsidP="001077F3">
            <w:pPr>
              <w:spacing w:before="60" w:after="60" w:line="240" w:lineRule="atLeast"/>
              <w:jc w:val="center"/>
              <w:rPr>
                <w:color w:val="000000"/>
                <w:sz w:val="18"/>
                <w:szCs w:val="18"/>
              </w:rPr>
            </w:pPr>
            <w:r w:rsidRPr="003D0163">
              <w:rPr>
                <w:sz w:val="18"/>
                <w:szCs w:val="18"/>
              </w:rPr>
              <w:t>IEC 61108-4: 2004</w:t>
            </w:r>
          </w:p>
        </w:tc>
      </w:tr>
      <w:tr w:rsidR="001077F3" w:rsidRPr="00F21CA2" w:rsidTr="001077F3">
        <w:trPr>
          <w:jc w:val="right"/>
        </w:trPr>
        <w:tc>
          <w:tcPr>
            <w:tcW w:w="2917" w:type="dxa"/>
            <w:shd w:val="clear" w:color="auto" w:fill="auto"/>
          </w:tcPr>
          <w:p w:rsidR="001077F3" w:rsidRPr="003D0163" w:rsidRDefault="001077F3" w:rsidP="001077F3">
            <w:pPr>
              <w:spacing w:before="60" w:after="60" w:line="240" w:lineRule="atLeast"/>
              <w:rPr>
                <w:color w:val="000000"/>
                <w:sz w:val="18"/>
                <w:szCs w:val="18"/>
              </w:rPr>
            </w:pPr>
            <w:r w:rsidRPr="003D0163">
              <w:rPr>
                <w:sz w:val="18"/>
                <w:szCs w:val="18"/>
              </w:rPr>
              <w:t>Galileo</w:t>
            </w:r>
          </w:p>
        </w:tc>
        <w:tc>
          <w:tcPr>
            <w:tcW w:w="2860" w:type="dxa"/>
            <w:shd w:val="clear" w:color="auto" w:fill="auto"/>
          </w:tcPr>
          <w:p w:rsidR="001077F3" w:rsidRPr="003D0163" w:rsidRDefault="001077F3" w:rsidP="001077F3">
            <w:pPr>
              <w:spacing w:before="60" w:after="60" w:line="240" w:lineRule="atLeast"/>
              <w:jc w:val="center"/>
              <w:rPr>
                <w:color w:val="000000"/>
                <w:sz w:val="18"/>
                <w:szCs w:val="18"/>
              </w:rPr>
            </w:pPr>
            <w:r w:rsidRPr="003D0163">
              <w:rPr>
                <w:sz w:val="18"/>
                <w:szCs w:val="18"/>
              </w:rPr>
              <w:t>MSC.233(82)</w:t>
            </w:r>
            <w:r w:rsidRPr="003D0163">
              <w:rPr>
                <w:sz w:val="18"/>
                <w:szCs w:val="18"/>
                <w:vertAlign w:val="superscript"/>
              </w:rPr>
              <w:footnoteReference w:id="56"/>
            </w:r>
          </w:p>
        </w:tc>
        <w:tc>
          <w:tcPr>
            <w:tcW w:w="2976" w:type="dxa"/>
            <w:shd w:val="clear" w:color="auto" w:fill="auto"/>
          </w:tcPr>
          <w:p w:rsidR="001077F3" w:rsidRPr="003D0163" w:rsidRDefault="001077F3" w:rsidP="001077F3">
            <w:pPr>
              <w:spacing w:before="60" w:after="60" w:line="240" w:lineRule="atLeast"/>
              <w:jc w:val="center"/>
              <w:rPr>
                <w:color w:val="000000"/>
                <w:sz w:val="18"/>
                <w:szCs w:val="18"/>
              </w:rPr>
            </w:pPr>
            <w:r w:rsidRPr="003D0163">
              <w:rPr>
                <w:sz w:val="18"/>
                <w:szCs w:val="18"/>
              </w:rPr>
              <w:t>IEC 61108-3: 2010</w:t>
            </w:r>
          </w:p>
        </w:tc>
      </w:tr>
      <w:tr w:rsidR="001077F3" w:rsidRPr="00F21CA2" w:rsidTr="001077F3">
        <w:trPr>
          <w:jc w:val="right"/>
        </w:trPr>
        <w:tc>
          <w:tcPr>
            <w:tcW w:w="2917" w:type="dxa"/>
            <w:shd w:val="clear" w:color="auto" w:fill="auto"/>
          </w:tcPr>
          <w:p w:rsidR="001077F3" w:rsidRPr="003D0163" w:rsidRDefault="001077F3" w:rsidP="001077F3">
            <w:pPr>
              <w:spacing w:before="60" w:after="60" w:line="240" w:lineRule="atLeast"/>
              <w:rPr>
                <w:color w:val="000000"/>
                <w:sz w:val="18"/>
                <w:szCs w:val="18"/>
              </w:rPr>
            </w:pPr>
            <w:r w:rsidRPr="003D0163">
              <w:rPr>
                <w:sz w:val="18"/>
                <w:szCs w:val="18"/>
              </w:rPr>
              <w:t>Heading/GPS Compass</w:t>
            </w:r>
          </w:p>
        </w:tc>
        <w:tc>
          <w:tcPr>
            <w:tcW w:w="2860" w:type="dxa"/>
            <w:shd w:val="clear" w:color="auto" w:fill="auto"/>
          </w:tcPr>
          <w:p w:rsidR="001077F3" w:rsidRPr="003D0163" w:rsidRDefault="001077F3" w:rsidP="001077F3">
            <w:pPr>
              <w:spacing w:before="60" w:after="60" w:line="240" w:lineRule="atLeast"/>
              <w:jc w:val="center"/>
              <w:rPr>
                <w:color w:val="000000"/>
                <w:sz w:val="18"/>
                <w:szCs w:val="18"/>
              </w:rPr>
            </w:pPr>
            <w:r w:rsidRPr="003D0163">
              <w:rPr>
                <w:sz w:val="18"/>
                <w:szCs w:val="18"/>
              </w:rPr>
              <w:t>MSC.116(73)</w:t>
            </w:r>
            <w:r w:rsidRPr="003D0163">
              <w:rPr>
                <w:sz w:val="18"/>
                <w:szCs w:val="18"/>
                <w:vertAlign w:val="superscript"/>
              </w:rPr>
              <w:footnoteReference w:id="57"/>
            </w:r>
          </w:p>
        </w:tc>
        <w:tc>
          <w:tcPr>
            <w:tcW w:w="2976" w:type="dxa"/>
            <w:shd w:val="clear" w:color="auto" w:fill="auto"/>
          </w:tcPr>
          <w:p w:rsidR="001077F3" w:rsidRPr="003D0163" w:rsidRDefault="001077F3" w:rsidP="001077F3">
            <w:pPr>
              <w:spacing w:before="60" w:after="60" w:line="240" w:lineRule="atLeast"/>
              <w:jc w:val="center"/>
              <w:rPr>
                <w:color w:val="000000"/>
                <w:sz w:val="18"/>
                <w:szCs w:val="18"/>
              </w:rPr>
            </w:pPr>
            <w:r w:rsidRPr="003D0163">
              <w:rPr>
                <w:sz w:val="18"/>
                <w:szCs w:val="18"/>
              </w:rPr>
              <w:t>ISO 22090-3: 2014</w:t>
            </w:r>
            <w:r w:rsidRPr="003D0163">
              <w:rPr>
                <w:sz w:val="18"/>
                <w:szCs w:val="18"/>
              </w:rPr>
              <w:br/>
              <w:t>Part 3: GNSS principles</w:t>
            </w:r>
          </w:p>
        </w:tc>
      </w:tr>
    </w:tbl>
    <w:p w:rsidR="001077F3" w:rsidRPr="001077F3" w:rsidRDefault="001077F3" w:rsidP="001077F3">
      <w:pPr>
        <w:spacing w:line="240" w:lineRule="atLeast"/>
        <w:rPr>
          <w:rFonts w:cs="Arial"/>
          <w:color w:val="000000"/>
          <w:highlight w:val="lightGray"/>
          <w:lang w:val="en-GB"/>
        </w:rPr>
      </w:pPr>
    </w:p>
    <w:p w:rsidR="001077F3" w:rsidRPr="001077F3" w:rsidRDefault="001077F3" w:rsidP="001077F3">
      <w:pPr>
        <w:spacing w:line="240" w:lineRule="atLeast"/>
        <w:rPr>
          <w:rFonts w:cs="Arial"/>
          <w:noProof/>
          <w:color w:val="000000"/>
          <w:lang w:val="en-US"/>
        </w:rPr>
      </w:pPr>
      <w:r w:rsidRPr="001077F3">
        <w:rPr>
          <w:rFonts w:cs="Arial"/>
          <w:noProof/>
          <w:color w:val="000000"/>
          <w:lang w:val="en-US"/>
        </w:rPr>
        <w:t>4.</w:t>
      </w:r>
      <w:r w:rsidRPr="001077F3">
        <w:rPr>
          <w:rFonts w:cs="Arial"/>
          <w:noProof/>
          <w:color w:val="000000"/>
          <w:lang w:val="en-US"/>
        </w:rPr>
        <w:tab/>
        <w:t>If an Inland AIS equipment is connected to a navigational radar installation not fitted with an electronic inland navigation card for displaying AIS symbols, an approved compass must also be connected in order to comply with the requirement in Annex 5 Section I (2).</w:t>
      </w:r>
    </w:p>
    <w:p w:rsidR="009C13A9" w:rsidRPr="00C903F8" w:rsidRDefault="009C13A9" w:rsidP="009C13A9">
      <w:pPr>
        <w:spacing w:line="240" w:lineRule="atLeast"/>
        <w:rPr>
          <w:rFonts w:cs="Arial"/>
          <w:noProof/>
          <w:color w:val="000000"/>
          <w:lang w:val="en-US"/>
        </w:rPr>
      </w:pPr>
    </w:p>
    <w:p w:rsidR="001077F3" w:rsidRDefault="001077F3" w:rsidP="009C13A9">
      <w:pPr>
        <w:spacing w:line="240" w:lineRule="atLeast"/>
        <w:ind w:left="0" w:firstLine="0"/>
        <w:jc w:val="center"/>
        <w:rPr>
          <w:rFonts w:cs="Arial"/>
          <w:b/>
          <w:noProof/>
          <w:lang w:val="en-US"/>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2</w:t>
      </w:r>
      <w:r w:rsidRPr="00C903F8">
        <w:rPr>
          <w:rFonts w:cs="Arial"/>
          <w:b/>
          <w:noProof/>
          <w:lang w:val="en-US"/>
        </w:rPr>
        <w:br/>
      </w:r>
      <w:r w:rsidRPr="00C903F8">
        <w:rPr>
          <w:rFonts w:cs="Arial"/>
          <w:i/>
          <w:noProof/>
          <w:lang w:val="en-US"/>
        </w:rPr>
        <w:t>Approved specialist firms</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1.</w:t>
      </w:r>
      <w:r w:rsidRPr="00C903F8">
        <w:rPr>
          <w:rFonts w:cs="Arial"/>
          <w:noProof/>
          <w:color w:val="000000"/>
          <w:lang w:val="en-US"/>
        </w:rPr>
        <w:tab/>
        <w:t xml:space="preserve">The installation, replacement, repair or maintenance of navigational radar </w:t>
      </w:r>
      <w:r w:rsidR="00D52D51" w:rsidRPr="00C903F8">
        <w:rPr>
          <w:rFonts w:cs="Arial"/>
          <w:noProof/>
          <w:color w:val="000000"/>
          <w:lang w:val="en-US"/>
        </w:rPr>
        <w:t>installation</w:t>
      </w:r>
      <w:r w:rsidR="00A379E7" w:rsidRPr="00C903F8">
        <w:rPr>
          <w:rFonts w:cs="Arial"/>
          <w:noProof/>
          <w:color w:val="000000"/>
          <w:lang w:val="en-US"/>
        </w:rPr>
        <w:t>s</w:t>
      </w:r>
      <w:r w:rsidRPr="00C903F8">
        <w:rPr>
          <w:rFonts w:cs="Arial"/>
          <w:noProof/>
          <w:color w:val="000000"/>
          <w:lang w:val="en-US"/>
        </w:rPr>
        <w:t xml:space="preserve"> and rate-of-turn indicators shall be carried out only by specialist firms approved by the competent authority. </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2.</w:t>
      </w:r>
      <w:r w:rsidRPr="00C903F8">
        <w:rPr>
          <w:rFonts w:cs="Arial"/>
          <w:noProof/>
          <w:color w:val="000000"/>
          <w:lang w:val="en-US"/>
        </w:rPr>
        <w:tab/>
        <w:t>Approval may be withdrawn by the competent authority.</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p>
    <w:p w:rsidR="001077F3" w:rsidRDefault="001077F3">
      <w:pPr>
        <w:autoSpaceDE/>
        <w:autoSpaceDN/>
        <w:ind w:left="0" w:firstLine="0"/>
        <w:jc w:val="left"/>
        <w:rPr>
          <w:rFonts w:cs="Arial"/>
          <w:b/>
          <w:noProof/>
          <w:lang w:val="en-US"/>
        </w:rPr>
      </w:pPr>
      <w:r>
        <w:rPr>
          <w:rFonts w:cs="Arial"/>
          <w:b/>
          <w:noProof/>
          <w:lang w:val="en-US"/>
        </w:rPr>
        <w:br w:type="page"/>
      </w:r>
    </w:p>
    <w:p w:rsidR="001077F3" w:rsidRDefault="001077F3" w:rsidP="009C13A9">
      <w:pPr>
        <w:spacing w:line="240" w:lineRule="atLeast"/>
        <w:ind w:left="0" w:firstLine="0"/>
        <w:jc w:val="center"/>
        <w:rPr>
          <w:rFonts w:cs="Arial"/>
          <w:b/>
          <w:noProof/>
          <w:lang w:val="en-US"/>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3</w:t>
      </w:r>
      <w:r w:rsidRPr="00C903F8">
        <w:rPr>
          <w:rFonts w:cs="Arial"/>
          <w:b/>
          <w:noProof/>
          <w:lang w:val="en-US"/>
        </w:rPr>
        <w:br/>
      </w:r>
      <w:r w:rsidRPr="00C903F8">
        <w:rPr>
          <w:rFonts w:cs="Arial"/>
          <w:i/>
          <w:noProof/>
          <w:lang w:val="en-US"/>
        </w:rPr>
        <w:t>Requirements for on-board power supply</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 xml:space="preserve">All power supply leads for navigational radar </w:t>
      </w:r>
      <w:r w:rsidR="00D52D51" w:rsidRPr="00C903F8">
        <w:rPr>
          <w:rFonts w:cs="Arial"/>
          <w:noProof/>
          <w:lang w:val="en-US"/>
        </w:rPr>
        <w:t>installation</w:t>
      </w:r>
      <w:r w:rsidR="00A379E7" w:rsidRPr="00C903F8">
        <w:rPr>
          <w:rFonts w:cs="Arial"/>
          <w:noProof/>
          <w:lang w:val="en-US"/>
        </w:rPr>
        <w:t>s</w:t>
      </w:r>
      <w:r w:rsidRPr="00C903F8">
        <w:rPr>
          <w:rFonts w:cs="Arial"/>
          <w:noProof/>
          <w:lang w:val="en-US"/>
        </w:rPr>
        <w:t xml:space="preserve"> and rate-of-turn indicators shall have their own separate safety device and, if possible, be fail-safe.</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szCs w:val="20"/>
          <w:lang w:val="en-US"/>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4</w:t>
      </w:r>
      <w:r w:rsidRPr="00C903F8">
        <w:rPr>
          <w:rFonts w:cs="Arial"/>
          <w:b/>
          <w:noProof/>
          <w:lang w:val="en-US"/>
        </w:rPr>
        <w:br/>
      </w:r>
      <w:r w:rsidRPr="00C903F8">
        <w:rPr>
          <w:rFonts w:cs="Arial"/>
          <w:i/>
          <w:noProof/>
          <w:lang w:val="en-US"/>
        </w:rPr>
        <w:t>Installation of the radar antenna</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1.</w:t>
      </w:r>
      <w:r w:rsidRPr="00C903F8">
        <w:rPr>
          <w:rFonts w:cs="Arial"/>
          <w:noProof/>
          <w:color w:val="000000"/>
          <w:lang w:val="en-US"/>
        </w:rPr>
        <w:tab/>
        <w:t xml:space="preserve">The radar antenna shall be installed as close as possible to the fore-and-aft-line. There shall be no obstruction in the vicinity of the antenna causing false echoes or unwanted shadows; if necessary, the antenna shall be mounted on the forecastle. The mounting and attachment of the radar antenna in its operational position shall be sufficiently stable to enable the navigational radar </w:t>
      </w:r>
      <w:r w:rsidR="00D52D51" w:rsidRPr="00C903F8">
        <w:rPr>
          <w:rFonts w:cs="Arial"/>
          <w:noProof/>
          <w:color w:val="000000"/>
          <w:lang w:val="en-US"/>
        </w:rPr>
        <w:t>installation</w:t>
      </w:r>
      <w:r w:rsidRPr="00C903F8">
        <w:rPr>
          <w:rFonts w:cs="Arial"/>
          <w:noProof/>
          <w:color w:val="000000"/>
          <w:lang w:val="en-US"/>
        </w:rPr>
        <w:t xml:space="preserve"> to perform within the required accuracy limits.</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2.</w:t>
      </w:r>
      <w:r w:rsidRPr="00C903F8">
        <w:rPr>
          <w:rFonts w:cs="Arial"/>
          <w:noProof/>
          <w:color w:val="000000"/>
          <w:lang w:val="en-US"/>
        </w:rPr>
        <w:tab/>
        <w:t>After the angular error in the mounting has been corrected and the equipment has been switched on, the difference between lubber line and fore-and-aft-line shall not be greater than 1</w:t>
      </w:r>
      <w:r w:rsidR="00C50DA9" w:rsidRPr="00C903F8">
        <w:rPr>
          <w:rFonts w:cs="Arial"/>
          <w:noProof/>
          <w:color w:val="000000"/>
          <w:lang w:val="en-US"/>
        </w:rPr>
        <w:t>°</w:t>
      </w:r>
      <w:r w:rsidRPr="00C903F8">
        <w:rPr>
          <w:rFonts w:cs="Arial"/>
          <w:noProof/>
          <w:color w:val="000000"/>
          <w:lang w:val="en-US"/>
        </w:rPr>
        <w:t>.</w:t>
      </w:r>
    </w:p>
    <w:p w:rsidR="009C13A9" w:rsidRPr="00C903F8" w:rsidRDefault="009C13A9" w:rsidP="009C13A9">
      <w:pPr>
        <w:spacing w:line="240" w:lineRule="atLeast"/>
        <w:rPr>
          <w:rFonts w:cs="Arial"/>
          <w:noProof/>
          <w:color w:val="000000"/>
          <w:lang w:val="en-US"/>
        </w:rPr>
      </w:pPr>
    </w:p>
    <w:p w:rsidR="009C13A9" w:rsidRPr="00C903F8" w:rsidRDefault="009C13A9" w:rsidP="001077F3">
      <w:pPr>
        <w:spacing w:line="240" w:lineRule="atLeast"/>
        <w:ind w:left="0" w:firstLine="0"/>
        <w:rPr>
          <w:rFonts w:cs="Arial"/>
          <w:noProof/>
          <w:color w:val="000000"/>
          <w:lang w:val="en-US"/>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5</w:t>
      </w:r>
      <w:r w:rsidRPr="00C903F8">
        <w:rPr>
          <w:rFonts w:cs="Arial"/>
          <w:b/>
          <w:noProof/>
          <w:lang w:val="en-US"/>
        </w:rPr>
        <w:br/>
      </w:r>
      <w:r w:rsidRPr="00C903F8">
        <w:rPr>
          <w:rFonts w:cs="Arial"/>
          <w:i/>
          <w:noProof/>
          <w:lang w:val="en-US"/>
        </w:rPr>
        <w:t>Installation of the display unit and the control unit</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rPr>
        <w:t>1.</w:t>
      </w:r>
      <w:r w:rsidRPr="00C903F8">
        <w:rPr>
          <w:rFonts w:cs="Arial"/>
          <w:noProof/>
          <w:color w:val="000000"/>
          <w:lang w:val="en-US"/>
        </w:rPr>
        <w:tab/>
        <w:t xml:space="preserve">The display unit and control unit shall be installed in the wheelhouse in such a way that the evaluation of the radar image and the operation of the navigational radar </w:t>
      </w:r>
      <w:r w:rsidR="00D52D51" w:rsidRPr="00C903F8">
        <w:rPr>
          <w:rFonts w:cs="Arial"/>
          <w:noProof/>
          <w:color w:val="000000"/>
          <w:lang w:val="en-US"/>
        </w:rPr>
        <w:t>installation</w:t>
      </w:r>
      <w:r w:rsidRPr="00C903F8">
        <w:rPr>
          <w:rFonts w:cs="Arial"/>
          <w:noProof/>
          <w:color w:val="000000"/>
          <w:lang w:val="en-US"/>
        </w:rPr>
        <w:t xml:space="preserve"> present no difficulty. The azimuthal orientation of the radar image shall be in accordance with the normal situation of the surroundings. </w:t>
      </w:r>
      <w:r w:rsidRPr="00C903F8">
        <w:rPr>
          <w:rFonts w:cs="Arial"/>
          <w:noProof/>
          <w:color w:val="000000"/>
          <w:lang w:val="en-US" w:eastAsia="en-GB"/>
        </w:rPr>
        <w:t>Holders and adjustable consoles shall be constructed in a way that they can be fixed in each position free of vibration.</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2.</w:t>
      </w:r>
      <w:r w:rsidRPr="00C903F8">
        <w:rPr>
          <w:rFonts w:cs="Arial"/>
          <w:noProof/>
          <w:color w:val="000000"/>
          <w:lang w:val="en-US"/>
        </w:rPr>
        <w:tab/>
        <w:t>During radar navigation, artificial lighting shall not be reflected in the direction of the radar operator.</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3.</w:t>
      </w:r>
      <w:r w:rsidRPr="00C903F8">
        <w:rPr>
          <w:rFonts w:cs="Arial"/>
          <w:noProof/>
          <w:color w:val="000000"/>
          <w:lang w:val="en-US"/>
        </w:rPr>
        <w:tab/>
        <w:t>When the control unit is not part of the display unit, it shall be located in housing within 1 metre of the display unit. Cordless remote controls shall not be permitted.</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4.</w:t>
      </w:r>
      <w:r w:rsidRPr="00C903F8">
        <w:rPr>
          <w:rFonts w:cs="Arial"/>
          <w:noProof/>
          <w:color w:val="000000"/>
          <w:lang w:val="en-US"/>
        </w:rPr>
        <w:tab/>
        <w:t xml:space="preserve">If slave indicators are installed, they shall satisfy the requirements which apply to navigational radar </w:t>
      </w:r>
      <w:r w:rsidR="00D52D51" w:rsidRPr="00C903F8">
        <w:rPr>
          <w:rFonts w:cs="Arial"/>
          <w:noProof/>
          <w:color w:val="000000"/>
          <w:lang w:val="en-US"/>
        </w:rPr>
        <w:t>installation</w:t>
      </w:r>
      <w:r w:rsidR="00A379E7" w:rsidRPr="00C903F8">
        <w:rPr>
          <w:rFonts w:cs="Arial"/>
          <w:noProof/>
          <w:color w:val="000000"/>
          <w:lang w:val="en-US"/>
        </w:rPr>
        <w:t>s</w:t>
      </w:r>
      <w:r w:rsidRPr="00C903F8">
        <w:rPr>
          <w:rFonts w:cs="Arial"/>
          <w:noProof/>
          <w:color w:val="000000"/>
          <w:lang w:val="en-US"/>
        </w:rPr>
        <w:t>.</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6</w:t>
      </w:r>
      <w:r w:rsidRPr="00C903F8">
        <w:rPr>
          <w:rFonts w:cs="Arial"/>
          <w:b/>
          <w:noProof/>
          <w:lang w:val="en-US"/>
        </w:rPr>
        <w:br/>
      </w:r>
      <w:r w:rsidRPr="00C903F8">
        <w:rPr>
          <w:rFonts w:cs="Arial"/>
          <w:i/>
          <w:noProof/>
          <w:lang w:val="en-US"/>
        </w:rPr>
        <w:t>Installation of the rate-of-turn indicator</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1.</w:t>
      </w:r>
      <w:r w:rsidRPr="00C903F8">
        <w:rPr>
          <w:rFonts w:cs="Arial"/>
          <w:noProof/>
          <w:color w:val="000000"/>
          <w:lang w:val="en-US"/>
        </w:rPr>
        <w:tab/>
        <w:t>The rate-of-turn indicator shall be located ahead of the helmsman and within their field of vision.</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2.</w:t>
      </w:r>
      <w:r w:rsidRPr="00C903F8">
        <w:rPr>
          <w:rFonts w:cs="Arial"/>
          <w:noProof/>
          <w:color w:val="000000"/>
          <w:lang w:val="en-US"/>
        </w:rPr>
        <w:tab/>
        <w:t>The sensor system shall be installed as far as possible amidships, horizontal and aligned with the ship's fore-and aft-line. The installation site shall as far as possible be free of vibration and be liable only to modest temperature variations. The indicator unit shall if possible be installed directly above the radar display.</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3.</w:t>
      </w:r>
      <w:r w:rsidRPr="00C903F8">
        <w:rPr>
          <w:rFonts w:cs="Arial"/>
          <w:noProof/>
          <w:color w:val="000000"/>
          <w:lang w:val="en-US"/>
        </w:rPr>
        <w:tab/>
        <w:t>If slave indicators are installed, they shall satisfy the requirements which apply to rate-of-turn indicators.</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p>
    <w:p w:rsidR="001077F3" w:rsidRDefault="001077F3">
      <w:pPr>
        <w:autoSpaceDE/>
        <w:autoSpaceDN/>
        <w:ind w:left="0" w:firstLine="0"/>
        <w:jc w:val="left"/>
        <w:rPr>
          <w:rFonts w:cs="Arial"/>
          <w:b/>
          <w:noProof/>
          <w:lang w:val="en-US"/>
        </w:rPr>
      </w:pPr>
      <w:r>
        <w:rPr>
          <w:rFonts w:cs="Arial"/>
          <w:b/>
          <w:noProof/>
          <w:lang w:val="en-US"/>
        </w:rPr>
        <w:br w:type="page"/>
      </w:r>
    </w:p>
    <w:p w:rsidR="001077F3" w:rsidRDefault="001077F3" w:rsidP="009C13A9">
      <w:pPr>
        <w:spacing w:line="240" w:lineRule="atLeast"/>
        <w:ind w:left="0" w:firstLine="0"/>
        <w:jc w:val="center"/>
        <w:rPr>
          <w:rFonts w:cs="Arial"/>
          <w:b/>
          <w:noProof/>
          <w:lang w:val="en-US"/>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7</w:t>
      </w:r>
      <w:r w:rsidRPr="00C903F8">
        <w:rPr>
          <w:rFonts w:cs="Arial"/>
          <w:b/>
          <w:noProof/>
          <w:lang w:val="en-US"/>
        </w:rPr>
        <w:br/>
      </w:r>
      <w:r w:rsidRPr="00C903F8">
        <w:rPr>
          <w:rFonts w:cs="Arial"/>
          <w:i/>
          <w:noProof/>
          <w:lang w:val="en-US"/>
        </w:rPr>
        <w:t>Installation of the position sensor</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For inland ECDIS equipment which is operated in navigation mode, the position sensor (e.g. DGPS antenna) must be installed in such a way as to ensure that it operates with the greatest possible degree of accuracy and is not adversely affected by superstructures and transmitting equipment on board ship.</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8</w:t>
      </w:r>
      <w:r w:rsidRPr="00C903F8">
        <w:rPr>
          <w:rFonts w:cs="Arial"/>
          <w:b/>
          <w:noProof/>
          <w:lang w:val="en-US"/>
        </w:rPr>
        <w:br/>
      </w:r>
      <w:r w:rsidRPr="00C903F8">
        <w:rPr>
          <w:rFonts w:cs="Arial"/>
          <w:i/>
          <w:noProof/>
          <w:lang w:val="en-US"/>
        </w:rPr>
        <w:t>Installation and performance test</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Before the equipment is switched on for the first time after installation, in case of periodical inspection in order to extend the validity of the inland navigation certificate, as well as after each modification of the vessel likely to affect the operating conditions of the equipment, an installation and performance test shall be carried out by the competent authority or by a specialist firm authorised in accordance with Article 2. For this purpose, the following conditions shall be fulfilled:</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a)</w:t>
      </w:r>
      <w:r w:rsidRPr="00C903F8">
        <w:rPr>
          <w:rFonts w:cs="Arial"/>
          <w:noProof/>
          <w:szCs w:val="22"/>
          <w:lang w:val="en-US"/>
        </w:rPr>
        <w:tab/>
        <w:t>the power supply shall have a separate safety device;</w:t>
      </w:r>
    </w:p>
    <w:p w:rsidR="009C13A9" w:rsidRPr="00C903F8" w:rsidRDefault="009C13A9" w:rsidP="001077F3">
      <w:pPr>
        <w:spacing w:before="60" w:line="240" w:lineRule="atLeast"/>
        <w:rPr>
          <w:rFonts w:cs="Arial"/>
          <w:noProof/>
          <w:szCs w:val="22"/>
          <w:lang w:val="en-US"/>
        </w:rPr>
      </w:pPr>
      <w:r w:rsidRPr="00C903F8">
        <w:rPr>
          <w:rFonts w:cs="Arial"/>
          <w:noProof/>
          <w:szCs w:val="22"/>
          <w:lang w:val="en-US"/>
        </w:rPr>
        <w:t>b)</w:t>
      </w:r>
      <w:r w:rsidRPr="00C903F8">
        <w:rPr>
          <w:rFonts w:cs="Arial"/>
          <w:noProof/>
          <w:szCs w:val="22"/>
          <w:lang w:val="en-US"/>
        </w:rPr>
        <w:tab/>
        <w:t>the operating voltage shall be within the tolerance;</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c)</w:t>
      </w:r>
      <w:r w:rsidRPr="00C903F8">
        <w:rPr>
          <w:rFonts w:cs="Arial"/>
          <w:noProof/>
          <w:szCs w:val="22"/>
          <w:lang w:val="en-US"/>
        </w:rPr>
        <w:tab/>
        <w:t xml:space="preserve">the cabling and its installation shall satisfy the provisions of this Standard and, if applicable ADN; </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d)</w:t>
      </w:r>
      <w:r w:rsidRPr="00C903F8">
        <w:rPr>
          <w:rFonts w:cs="Arial"/>
          <w:noProof/>
          <w:szCs w:val="22"/>
          <w:lang w:val="en-US"/>
        </w:rPr>
        <w:tab/>
        <w:t>the rate of antenna revolutions shall reach at least 24 rpm;</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e)</w:t>
      </w:r>
      <w:r w:rsidRPr="00C903F8">
        <w:rPr>
          <w:rFonts w:cs="Arial"/>
          <w:noProof/>
          <w:szCs w:val="22"/>
          <w:lang w:val="en-US"/>
        </w:rPr>
        <w:tab/>
        <w:t>there shall be no obstruction in the vicinity of the antenna which impairs navigation;</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f)</w:t>
      </w:r>
      <w:r w:rsidRPr="00C903F8">
        <w:rPr>
          <w:rFonts w:cs="Arial"/>
          <w:noProof/>
          <w:szCs w:val="22"/>
          <w:lang w:val="en-US"/>
        </w:rPr>
        <w:tab/>
        <w:t>the safety switch of the antenna, if provided, shall be in good working order;</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g)</w:t>
      </w:r>
      <w:r w:rsidRPr="00C903F8">
        <w:rPr>
          <w:rFonts w:cs="Arial"/>
          <w:noProof/>
          <w:szCs w:val="22"/>
          <w:lang w:val="en-US"/>
        </w:rPr>
        <w:tab/>
        <w:t>the arrangement of display units, rate-of-turn indicators and control units shall be ergonomic and user-friendly;</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h)</w:t>
      </w:r>
      <w:r w:rsidRPr="00C903F8">
        <w:rPr>
          <w:rFonts w:cs="Arial"/>
          <w:noProof/>
          <w:szCs w:val="22"/>
          <w:lang w:val="en-US"/>
        </w:rPr>
        <w:tab/>
        <w:t xml:space="preserve">the lubber line of the navigational radar </w:t>
      </w:r>
      <w:r w:rsidR="00D52D51" w:rsidRPr="00C903F8">
        <w:rPr>
          <w:rFonts w:cs="Arial"/>
          <w:noProof/>
          <w:szCs w:val="22"/>
          <w:lang w:val="en-US"/>
        </w:rPr>
        <w:t>installation</w:t>
      </w:r>
      <w:r w:rsidRPr="00C903F8">
        <w:rPr>
          <w:rFonts w:cs="Arial"/>
          <w:noProof/>
          <w:szCs w:val="22"/>
          <w:lang w:val="en-US"/>
        </w:rPr>
        <w:t xml:space="preserve"> shall not deviate from the ship's fore-and-aft-line by more than 1 ;</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i)</w:t>
      </w:r>
      <w:r w:rsidRPr="00C903F8">
        <w:rPr>
          <w:rFonts w:cs="Arial"/>
          <w:noProof/>
          <w:szCs w:val="22"/>
          <w:lang w:val="en-US"/>
        </w:rPr>
        <w:tab/>
        <w:t>the accuracy of the range and azimuthal displays shall satisfy the requirements (measurements using known targets;</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j)</w:t>
      </w:r>
      <w:r w:rsidRPr="00C903F8">
        <w:rPr>
          <w:rFonts w:cs="Arial"/>
          <w:noProof/>
          <w:szCs w:val="22"/>
          <w:lang w:val="en-US"/>
        </w:rPr>
        <w:tab/>
        <w:t>linearity in short ranges shall be correct (pushing and pulling;</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k)</w:t>
      </w:r>
      <w:r w:rsidRPr="00C903F8">
        <w:rPr>
          <w:rFonts w:cs="Arial"/>
          <w:noProof/>
          <w:szCs w:val="22"/>
          <w:lang w:val="en-US"/>
        </w:rPr>
        <w:tab/>
        <w:t>the displayed minimum range shall be 15 metres or less;</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l)</w:t>
      </w:r>
      <w:r w:rsidRPr="00C903F8">
        <w:rPr>
          <w:rFonts w:cs="Arial"/>
          <w:noProof/>
          <w:szCs w:val="22"/>
          <w:lang w:val="en-US"/>
        </w:rPr>
        <w:tab/>
        <w:t>the centre of the picture shall be visible and its diameter shall not exceed 1 mm;</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m)</w:t>
      </w:r>
      <w:r w:rsidRPr="00C903F8">
        <w:rPr>
          <w:rFonts w:cs="Arial"/>
          <w:noProof/>
          <w:szCs w:val="22"/>
          <w:lang w:val="en-US"/>
        </w:rPr>
        <w:tab/>
        <w:t>false echoes caused by reflections and unwanted shadows on the lubber line shall not occur or shall not impair the safety of navigation;</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n)</w:t>
      </w:r>
      <w:r w:rsidRPr="00C903F8">
        <w:rPr>
          <w:rFonts w:cs="Arial"/>
          <w:noProof/>
          <w:szCs w:val="22"/>
          <w:lang w:val="en-US"/>
        </w:rPr>
        <w:tab/>
        <w:t>sea-clutter and rain-clutter suppressors (STC and FTC preset) and the associated controls shall perform correctly;</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o)</w:t>
      </w:r>
      <w:r w:rsidRPr="00C903F8">
        <w:rPr>
          <w:rFonts w:cs="Arial"/>
          <w:noProof/>
          <w:szCs w:val="22"/>
          <w:lang w:val="en-US"/>
        </w:rPr>
        <w:tab/>
        <w:t>the gain adjustment shall be in proper working order;</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p)</w:t>
      </w:r>
      <w:r w:rsidRPr="00C903F8">
        <w:rPr>
          <w:rFonts w:cs="Arial"/>
          <w:noProof/>
          <w:szCs w:val="22"/>
          <w:lang w:val="en-US"/>
        </w:rPr>
        <w:tab/>
        <w:t>focus and picture definition shall be correct;</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q)</w:t>
      </w:r>
      <w:r w:rsidRPr="00C903F8">
        <w:rPr>
          <w:rFonts w:cs="Arial"/>
          <w:noProof/>
          <w:szCs w:val="22"/>
          <w:lang w:val="en-US"/>
        </w:rPr>
        <w:tab/>
        <w:t>the ship's turning direction shall be as indicated on the rate-of-turn indicator and the zero position at dead ahead shall be correct;</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r)</w:t>
      </w:r>
      <w:r w:rsidRPr="00C903F8">
        <w:rPr>
          <w:rFonts w:cs="Arial"/>
          <w:noProof/>
          <w:szCs w:val="22"/>
          <w:lang w:val="en-US"/>
        </w:rPr>
        <w:tab/>
        <w:t xml:space="preserve">the navigational radar </w:t>
      </w:r>
      <w:r w:rsidR="00D52D51" w:rsidRPr="00C903F8">
        <w:rPr>
          <w:rFonts w:cs="Arial"/>
          <w:noProof/>
          <w:szCs w:val="22"/>
          <w:lang w:val="en-US"/>
        </w:rPr>
        <w:t>installation</w:t>
      </w:r>
      <w:r w:rsidRPr="00C903F8">
        <w:rPr>
          <w:rFonts w:cs="Arial"/>
          <w:noProof/>
          <w:szCs w:val="22"/>
          <w:lang w:val="en-US"/>
        </w:rPr>
        <w:t xml:space="preserve"> shall not be sensitive to transmissions by the ship's radio equipment or to interference from other on-board sources;</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s)</w:t>
      </w:r>
      <w:r w:rsidRPr="00C903F8">
        <w:rPr>
          <w:rFonts w:cs="Arial"/>
          <w:noProof/>
          <w:szCs w:val="22"/>
          <w:lang w:val="en-US"/>
        </w:rPr>
        <w:tab/>
        <w:t xml:space="preserve">the navigational radar </w:t>
      </w:r>
      <w:r w:rsidR="00D52D51" w:rsidRPr="00C903F8">
        <w:rPr>
          <w:rFonts w:cs="Arial"/>
          <w:noProof/>
          <w:szCs w:val="22"/>
          <w:lang w:val="en-US"/>
        </w:rPr>
        <w:t>installation</w:t>
      </w:r>
      <w:r w:rsidRPr="00C903F8">
        <w:rPr>
          <w:rFonts w:cs="Arial"/>
          <w:noProof/>
          <w:szCs w:val="22"/>
          <w:lang w:val="en-US"/>
        </w:rPr>
        <w:t xml:space="preserve"> or rate-of-turn indicator shall not interfere with other on-board equipment.</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Furthermore, in the case of inland ECDIS equipment:</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t)</w:t>
      </w:r>
      <w:r w:rsidRPr="00C903F8">
        <w:rPr>
          <w:rFonts w:cs="Arial"/>
          <w:noProof/>
          <w:szCs w:val="22"/>
          <w:lang w:val="en-US"/>
        </w:rPr>
        <w:tab/>
        <w:t>the statistical positional error affecting the chart shall not exceed 2 m;</w:t>
      </w:r>
    </w:p>
    <w:p w:rsidR="009C13A9" w:rsidRPr="00C903F8" w:rsidRDefault="009C13A9" w:rsidP="009C13A9">
      <w:pPr>
        <w:spacing w:before="60" w:line="240" w:lineRule="atLeast"/>
        <w:rPr>
          <w:rFonts w:cs="Arial"/>
          <w:noProof/>
          <w:szCs w:val="22"/>
          <w:lang w:val="en-US"/>
        </w:rPr>
      </w:pPr>
      <w:r w:rsidRPr="00C903F8">
        <w:rPr>
          <w:rFonts w:cs="Arial"/>
          <w:noProof/>
          <w:szCs w:val="22"/>
          <w:lang w:val="en-US"/>
        </w:rPr>
        <w:t>u)</w:t>
      </w:r>
      <w:r w:rsidRPr="00C903F8">
        <w:rPr>
          <w:rFonts w:cs="Arial"/>
          <w:noProof/>
          <w:szCs w:val="22"/>
          <w:lang w:val="en-US"/>
        </w:rPr>
        <w:tab/>
        <w:t>the statistical phase angle error affecting the chart shall not exceed 1°.</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p>
    <w:p w:rsidR="001077F3" w:rsidRDefault="001077F3">
      <w:pPr>
        <w:autoSpaceDE/>
        <w:autoSpaceDN/>
        <w:ind w:left="0" w:firstLine="0"/>
        <w:jc w:val="left"/>
        <w:rPr>
          <w:rFonts w:cs="Arial"/>
          <w:b/>
          <w:noProof/>
          <w:lang w:val="en-US"/>
        </w:rPr>
      </w:pPr>
      <w:r>
        <w:rPr>
          <w:rFonts w:cs="Arial"/>
          <w:b/>
          <w:noProof/>
          <w:lang w:val="en-US"/>
        </w:rPr>
        <w:br w:type="page"/>
      </w:r>
    </w:p>
    <w:p w:rsidR="001077F3" w:rsidRDefault="001077F3" w:rsidP="009C13A9">
      <w:pPr>
        <w:spacing w:line="240" w:lineRule="atLeast"/>
        <w:ind w:left="0" w:firstLine="0"/>
        <w:jc w:val="center"/>
        <w:rPr>
          <w:rFonts w:cs="Arial"/>
          <w:b/>
          <w:noProof/>
          <w:lang w:val="en-US"/>
        </w:rPr>
      </w:pPr>
    </w:p>
    <w:p w:rsidR="009C13A9" w:rsidRPr="00C903F8" w:rsidRDefault="009C13A9" w:rsidP="009C13A9">
      <w:pPr>
        <w:spacing w:line="240" w:lineRule="atLeast"/>
        <w:ind w:left="0" w:firstLine="0"/>
        <w:jc w:val="center"/>
        <w:rPr>
          <w:rFonts w:cs="Arial"/>
          <w:i/>
          <w:noProof/>
          <w:lang w:val="en-US"/>
        </w:rPr>
      </w:pPr>
      <w:r w:rsidRPr="00C903F8">
        <w:rPr>
          <w:rFonts w:cs="Arial"/>
          <w:b/>
          <w:noProof/>
          <w:lang w:val="en-US"/>
        </w:rPr>
        <w:t>Article 9</w:t>
      </w:r>
      <w:r w:rsidRPr="00C903F8">
        <w:rPr>
          <w:rFonts w:cs="Arial"/>
          <w:b/>
          <w:noProof/>
          <w:lang w:val="en-US"/>
        </w:rPr>
        <w:br/>
      </w:r>
      <w:r w:rsidRPr="00C903F8">
        <w:rPr>
          <w:rFonts w:cs="Arial"/>
          <w:i/>
          <w:noProof/>
          <w:lang w:val="en-US"/>
        </w:rPr>
        <w:t>Installation and performance certificate</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 xml:space="preserve">After successful completion of a test in accordance with Article 8, the competent authority or the approved specialist firm shall issue a certificate based on the model according to </w:t>
      </w:r>
      <w:r w:rsidR="00B0625C" w:rsidRPr="00C903F8">
        <w:rPr>
          <w:rFonts w:cs="Arial"/>
          <w:noProof/>
          <w:lang w:val="en-US"/>
        </w:rPr>
        <w:t>Annex 5</w:t>
      </w:r>
      <w:r w:rsidRPr="00C903F8">
        <w:rPr>
          <w:rFonts w:cs="Arial"/>
          <w:noProof/>
          <w:lang w:val="en-US"/>
        </w:rPr>
        <w:t xml:space="preserve"> </w:t>
      </w:r>
      <w:r w:rsidR="00925755" w:rsidRPr="00C903F8">
        <w:rPr>
          <w:rFonts w:cs="Arial"/>
          <w:noProof/>
          <w:lang w:val="en-US"/>
        </w:rPr>
        <w:t>Section</w:t>
      </w:r>
      <w:r w:rsidRPr="00C903F8">
        <w:rPr>
          <w:rFonts w:cs="Arial"/>
          <w:noProof/>
          <w:lang w:val="en-US"/>
        </w:rPr>
        <w:t xml:space="preserve"> V. This certificate shall be kept permanently on board.</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If the test conditions have not been met, a list of defects shall be drawn up. Any existing certificate shall be withdrawn or sent to the competent authority or the approved firm.</w:t>
      </w:r>
    </w:p>
    <w:p w:rsidR="009C13A9" w:rsidRPr="00C903F8" w:rsidRDefault="009C13A9" w:rsidP="009C13A9">
      <w:pPr>
        <w:tabs>
          <w:tab w:val="left" w:pos="170"/>
        </w:tabs>
        <w:overflowPunct w:val="0"/>
        <w:adjustRightInd w:val="0"/>
        <w:spacing w:line="240" w:lineRule="exact"/>
        <w:ind w:left="0" w:firstLine="0"/>
        <w:jc w:val="left"/>
        <w:textAlignment w:val="baseline"/>
        <w:rPr>
          <w:rFonts w:cs="Arial"/>
          <w:szCs w:val="20"/>
          <w:lang w:val="en-US"/>
        </w:rPr>
      </w:pPr>
    </w:p>
    <w:p w:rsidR="009C13A9" w:rsidRPr="00C903F8" w:rsidRDefault="009C13A9" w:rsidP="009C13A9">
      <w:pPr>
        <w:tabs>
          <w:tab w:val="left" w:pos="170"/>
        </w:tabs>
        <w:overflowPunct w:val="0"/>
        <w:adjustRightInd w:val="0"/>
        <w:spacing w:line="240" w:lineRule="exact"/>
        <w:ind w:left="0" w:firstLine="0"/>
        <w:jc w:val="left"/>
        <w:textAlignment w:val="baseline"/>
        <w:rPr>
          <w:rFonts w:cs="Arial"/>
          <w:szCs w:val="20"/>
          <w:lang w:val="en-US"/>
        </w:rPr>
      </w:pPr>
    </w:p>
    <w:p w:rsidR="009C13A9" w:rsidRPr="00C903F8" w:rsidRDefault="009C13A9" w:rsidP="009C13A9">
      <w:pPr>
        <w:tabs>
          <w:tab w:val="left" w:pos="170"/>
        </w:tabs>
        <w:overflowPunct w:val="0"/>
        <w:adjustRightInd w:val="0"/>
        <w:spacing w:line="240" w:lineRule="exact"/>
        <w:ind w:left="0" w:firstLine="0"/>
        <w:jc w:val="left"/>
        <w:textAlignment w:val="baseline"/>
        <w:rPr>
          <w:rFonts w:cs="Arial"/>
          <w:szCs w:val="20"/>
          <w:lang w:val="en-US"/>
        </w:rPr>
      </w:pPr>
      <w:r w:rsidRPr="00C903F8">
        <w:rPr>
          <w:rFonts w:cs="Arial"/>
          <w:szCs w:val="20"/>
          <w:lang w:val="en-US"/>
        </w:rPr>
        <w:br w:type="page"/>
      </w:r>
    </w:p>
    <w:p w:rsidR="00C50DA9" w:rsidRPr="00C903F8" w:rsidRDefault="00C50DA9" w:rsidP="009C13A9">
      <w:pPr>
        <w:tabs>
          <w:tab w:val="left" w:pos="170"/>
        </w:tabs>
        <w:overflowPunct w:val="0"/>
        <w:adjustRightInd w:val="0"/>
        <w:spacing w:line="240" w:lineRule="exact"/>
        <w:ind w:left="0" w:firstLine="0"/>
        <w:jc w:val="left"/>
        <w:textAlignment w:val="baseline"/>
        <w:rPr>
          <w:rFonts w:cs="Arial"/>
          <w:szCs w:val="20"/>
          <w:lang w:val="en-US"/>
        </w:rPr>
      </w:pPr>
    </w:p>
    <w:p w:rsidR="009C13A9" w:rsidRPr="00C903F8" w:rsidRDefault="00925755" w:rsidP="00C50DA9">
      <w:pPr>
        <w:pStyle w:val="ES-Titre3"/>
        <w:rPr>
          <w:noProof/>
          <w:lang w:val="en-US"/>
        </w:rPr>
      </w:pPr>
      <w:bookmarkStart w:id="338" w:name="_Toc491854316"/>
      <w:r w:rsidRPr="00C903F8">
        <w:rPr>
          <w:noProof/>
          <w:lang w:val="en-US"/>
        </w:rPr>
        <w:t>Section</w:t>
      </w:r>
      <w:r w:rsidR="009C13A9" w:rsidRPr="00C903F8">
        <w:rPr>
          <w:noProof/>
          <w:lang w:val="en-US"/>
        </w:rPr>
        <w:t xml:space="preserve"> IV</w:t>
      </w:r>
      <w:bookmarkEnd w:id="338"/>
    </w:p>
    <w:p w:rsidR="009C13A9" w:rsidRPr="00C903F8" w:rsidRDefault="009C13A9" w:rsidP="00AD0A30">
      <w:pPr>
        <w:pStyle w:val="ES-Titre3a"/>
        <w:rPr>
          <w:noProof/>
          <w:lang w:val="en-US"/>
        </w:rPr>
      </w:pPr>
      <w:bookmarkStart w:id="339" w:name="_Toc491854317"/>
      <w:r w:rsidRPr="00C903F8">
        <w:rPr>
          <w:noProof/>
          <w:lang w:val="en-US"/>
        </w:rPr>
        <w:t>Minimum requirements, requirements for installation and performance tests for Inland AIS equipment in inland navigation</w:t>
      </w:r>
      <w:bookmarkEnd w:id="339"/>
    </w:p>
    <w:p w:rsidR="009C13A9" w:rsidRPr="00C903F8" w:rsidRDefault="009C13A9" w:rsidP="009C13A9">
      <w:pPr>
        <w:tabs>
          <w:tab w:val="right" w:pos="9072"/>
        </w:tabs>
        <w:overflowPunct w:val="0"/>
        <w:adjustRightInd w:val="0"/>
        <w:spacing w:line="240" w:lineRule="atLeast"/>
        <w:ind w:left="0" w:firstLine="0"/>
        <w:textAlignment w:val="baseline"/>
        <w:rPr>
          <w:rFonts w:cs="Arial"/>
          <w:szCs w:val="20"/>
          <w:lang w:val="en-US"/>
        </w:rPr>
      </w:pPr>
    </w:p>
    <w:p w:rsidR="009C13A9" w:rsidRPr="00C903F8" w:rsidRDefault="009C13A9" w:rsidP="009C13A9">
      <w:pPr>
        <w:spacing w:line="240" w:lineRule="atLeast"/>
        <w:ind w:left="0" w:firstLine="0"/>
        <w:jc w:val="center"/>
        <w:rPr>
          <w:rFonts w:cs="Arial"/>
          <w:b/>
          <w:bCs/>
          <w:i/>
          <w:iCs/>
          <w:noProof/>
          <w:lang w:val="en-US"/>
        </w:rPr>
      </w:pPr>
      <w:r w:rsidRPr="00C903F8">
        <w:rPr>
          <w:rFonts w:cs="Arial"/>
          <w:b/>
          <w:noProof/>
          <w:lang w:val="en-US"/>
        </w:rPr>
        <w:t>Article 1</w:t>
      </w:r>
    </w:p>
    <w:p w:rsidR="009C13A9" w:rsidRPr="00C903F8" w:rsidRDefault="009C13A9" w:rsidP="009C13A9">
      <w:pPr>
        <w:spacing w:line="240" w:lineRule="atLeast"/>
        <w:ind w:left="0" w:firstLine="0"/>
        <w:jc w:val="center"/>
        <w:rPr>
          <w:rFonts w:cs="Arial"/>
          <w:bCs/>
          <w:i/>
          <w:iCs/>
          <w:noProof/>
          <w:lang w:val="en-US"/>
        </w:rPr>
      </w:pPr>
      <w:r w:rsidRPr="00C903F8">
        <w:rPr>
          <w:rFonts w:cs="Arial"/>
          <w:bCs/>
          <w:i/>
          <w:iCs/>
          <w:noProof/>
          <w:lang w:val="en-US"/>
        </w:rPr>
        <w:t>Approval of Inland AIS equipment</w:t>
      </w:r>
    </w:p>
    <w:p w:rsidR="009C13A9" w:rsidRPr="00C903F8" w:rsidRDefault="009C13A9" w:rsidP="009C13A9">
      <w:pPr>
        <w:tabs>
          <w:tab w:val="right" w:pos="9072"/>
        </w:tabs>
        <w:overflowPunct w:val="0"/>
        <w:adjustRightInd w:val="0"/>
        <w:spacing w:line="240" w:lineRule="atLeast"/>
        <w:ind w:left="0" w:firstLine="0"/>
        <w:jc w:val="center"/>
        <w:textAlignment w:val="baseline"/>
        <w:rPr>
          <w:rFonts w:cs="Arial"/>
          <w:bCs/>
          <w:i/>
          <w:iCs/>
          <w:noProof/>
          <w:szCs w:val="20"/>
          <w:lang w:val="en-US"/>
        </w:rPr>
      </w:pPr>
    </w:p>
    <w:p w:rsidR="001077F3" w:rsidRPr="008D4AAD" w:rsidRDefault="001077F3" w:rsidP="003D0163">
      <w:pPr>
        <w:pStyle w:val="ESgauche"/>
        <w:rPr>
          <w:lang w:val="en-US"/>
        </w:rPr>
      </w:pPr>
      <w:r w:rsidRPr="008D4AAD">
        <w:rPr>
          <w:lang w:val="en-US"/>
        </w:rPr>
        <w:t xml:space="preserve">Inland AIS equipment must comply with the requirements </w:t>
      </w:r>
      <w:r w:rsidRPr="003D0163">
        <w:rPr>
          <w:lang w:val="en-US"/>
        </w:rPr>
        <w:t xml:space="preserve">of the </w:t>
      </w:r>
      <w:r w:rsidR="00271E61">
        <w:rPr>
          <w:rFonts w:eastAsiaTheme="minorHAnsi" w:cstheme="minorBidi"/>
          <w:lang w:val="en-US" w:eastAsia="en-US"/>
        </w:rPr>
        <w:t>T</w:t>
      </w:r>
      <w:r w:rsidR="00271E61" w:rsidRPr="003D0163">
        <w:rPr>
          <w:rFonts w:eastAsiaTheme="minorHAnsi" w:cstheme="minorBidi"/>
          <w:lang w:val="en-US" w:eastAsia="en-US"/>
        </w:rPr>
        <w:t xml:space="preserve">est </w:t>
      </w:r>
      <w:r w:rsidR="00271E61">
        <w:rPr>
          <w:rFonts w:eastAsiaTheme="minorHAnsi" w:cstheme="minorBidi"/>
          <w:lang w:val="en-US" w:eastAsia="en-US"/>
        </w:rPr>
        <w:t>S</w:t>
      </w:r>
      <w:r w:rsidR="00271E61" w:rsidRPr="003D0163">
        <w:rPr>
          <w:rFonts w:eastAsiaTheme="minorHAnsi" w:cstheme="minorBidi"/>
          <w:lang w:val="en-US" w:eastAsia="en-US"/>
        </w:rPr>
        <w:t>tandard</w:t>
      </w:r>
      <w:r w:rsidR="00271E61">
        <w:rPr>
          <w:rFonts w:eastAsiaTheme="minorHAnsi" w:cstheme="minorBidi"/>
          <w:lang w:val="en-US" w:eastAsia="en-US"/>
        </w:rPr>
        <w:t xml:space="preserve"> for</w:t>
      </w:r>
      <w:r w:rsidR="00271E61" w:rsidRPr="003D0163">
        <w:rPr>
          <w:rFonts w:eastAsiaTheme="minorHAnsi" w:cstheme="minorBidi"/>
          <w:lang w:val="en-US" w:eastAsia="en-US"/>
        </w:rPr>
        <w:t xml:space="preserve"> </w:t>
      </w:r>
      <w:r w:rsidRPr="003D0163">
        <w:rPr>
          <w:rFonts w:eastAsiaTheme="minorHAnsi" w:cstheme="minorBidi"/>
          <w:lang w:val="en-US" w:eastAsia="en-US"/>
        </w:rPr>
        <w:t>Inland AIS</w:t>
      </w:r>
      <w:r w:rsidRPr="008D4AAD">
        <w:rPr>
          <w:rFonts w:eastAsiaTheme="minorHAnsi" w:cstheme="minorBidi"/>
          <w:lang w:val="en-US" w:eastAsia="en-US"/>
        </w:rPr>
        <w:t xml:space="preserve">, </w:t>
      </w:r>
      <w:r w:rsidRPr="008D4AAD">
        <w:rPr>
          <w:lang w:val="en-US"/>
        </w:rPr>
        <w:t>Compliance is certified by an examination of type approval by a competent authority.</w:t>
      </w:r>
    </w:p>
    <w:p w:rsidR="009C13A9" w:rsidRPr="00C903F8" w:rsidRDefault="009C13A9" w:rsidP="003D0163">
      <w:pPr>
        <w:pStyle w:val="ESch"/>
        <w:rPr>
          <w:lang w:val="en-US"/>
        </w:rPr>
      </w:pPr>
    </w:p>
    <w:p w:rsidR="009C13A9" w:rsidRPr="00C903F8" w:rsidRDefault="009C13A9" w:rsidP="009C13A9">
      <w:pPr>
        <w:spacing w:line="240" w:lineRule="atLeast"/>
        <w:ind w:left="0" w:firstLine="0"/>
        <w:jc w:val="center"/>
        <w:rPr>
          <w:rFonts w:cs="Arial"/>
          <w:b/>
          <w:noProof/>
          <w:lang w:val="en-US"/>
        </w:rPr>
      </w:pPr>
      <w:r w:rsidRPr="00C903F8">
        <w:rPr>
          <w:rFonts w:cs="Arial"/>
          <w:b/>
          <w:noProof/>
          <w:lang w:val="en-US"/>
        </w:rPr>
        <w:t>Article 2</w:t>
      </w:r>
    </w:p>
    <w:p w:rsidR="001077F3" w:rsidRPr="008D4AAD" w:rsidRDefault="001077F3" w:rsidP="001077F3">
      <w:pPr>
        <w:spacing w:line="240" w:lineRule="atLeast"/>
        <w:ind w:left="851"/>
        <w:jc w:val="center"/>
        <w:rPr>
          <w:rFonts w:cs="Arial"/>
          <w:noProof/>
          <w:lang w:val="en-US"/>
        </w:rPr>
      </w:pPr>
      <w:r w:rsidRPr="008D4AAD">
        <w:rPr>
          <w:rFonts w:cs="Arial"/>
          <w:i/>
          <w:noProof/>
          <w:lang w:val="en-US"/>
        </w:rPr>
        <w:t>Installation and performance tests of shipborne Inland AIS equipment</w:t>
      </w:r>
    </w:p>
    <w:p w:rsidR="001077F3" w:rsidRPr="008D4AAD" w:rsidRDefault="001077F3" w:rsidP="003D0163">
      <w:pPr>
        <w:pStyle w:val="ESch"/>
        <w:rPr>
          <w:lang w:val="en-US"/>
        </w:rPr>
      </w:pPr>
    </w:p>
    <w:p w:rsidR="001077F3" w:rsidRPr="008D4AAD" w:rsidRDefault="001077F3" w:rsidP="001077F3">
      <w:pPr>
        <w:tabs>
          <w:tab w:val="left" w:leader="dot" w:pos="9072"/>
        </w:tabs>
        <w:spacing w:line="240" w:lineRule="atLeast"/>
        <w:rPr>
          <w:rFonts w:cs="Arial"/>
          <w:noProof/>
          <w:lang w:val="en-US"/>
        </w:rPr>
      </w:pPr>
      <w:r w:rsidRPr="008D4AAD">
        <w:rPr>
          <w:rFonts w:cs="Arial"/>
          <w:noProof/>
          <w:lang w:val="en-US"/>
        </w:rPr>
        <w:t>The following conditions are to be complied with when installing shipborne Inland AIS equipment:</w:t>
      </w:r>
    </w:p>
    <w:p w:rsidR="001077F3" w:rsidRPr="008D4AAD" w:rsidRDefault="001077F3" w:rsidP="001077F3">
      <w:pPr>
        <w:spacing w:line="240" w:lineRule="atLeast"/>
        <w:ind w:left="851"/>
        <w:jc w:val="center"/>
        <w:rPr>
          <w:rFonts w:cs="Arial"/>
          <w:noProof/>
          <w:color w:val="000000"/>
          <w:szCs w:val="20"/>
          <w:lang w:val="en-US" w:eastAsia="en-US"/>
        </w:rPr>
      </w:pPr>
    </w:p>
    <w:p w:rsidR="001077F3" w:rsidRPr="008D4AAD" w:rsidRDefault="001077F3" w:rsidP="001077F3">
      <w:pPr>
        <w:spacing w:line="240" w:lineRule="atLeast"/>
        <w:rPr>
          <w:rFonts w:cs="Arial"/>
          <w:color w:val="000000"/>
          <w:lang w:val="en-US"/>
        </w:rPr>
      </w:pPr>
      <w:r w:rsidRPr="008D4AAD">
        <w:rPr>
          <w:rFonts w:cs="Arial"/>
          <w:color w:val="000000"/>
          <w:lang w:val="en-US"/>
        </w:rPr>
        <w:t>1.</w:t>
      </w:r>
      <w:r w:rsidRPr="008D4AAD">
        <w:rPr>
          <w:rFonts w:cs="Arial"/>
          <w:color w:val="000000"/>
          <w:lang w:val="en-US"/>
        </w:rPr>
        <w:tab/>
        <w:t xml:space="preserve">Shipboard Inland AIS equipment can only be installed by specialist firms approved by the competent authority. </w:t>
      </w:r>
    </w:p>
    <w:p w:rsidR="001077F3" w:rsidRPr="008D4AAD" w:rsidRDefault="001077F3" w:rsidP="001077F3">
      <w:pPr>
        <w:spacing w:line="240" w:lineRule="atLeast"/>
        <w:rPr>
          <w:rFonts w:cs="Arial"/>
          <w:color w:val="000000"/>
          <w:lang w:val="en-US"/>
        </w:rPr>
      </w:pPr>
    </w:p>
    <w:p w:rsidR="001077F3" w:rsidRPr="008D4AAD" w:rsidRDefault="001077F3" w:rsidP="001077F3">
      <w:pPr>
        <w:spacing w:line="240" w:lineRule="atLeast"/>
        <w:rPr>
          <w:rFonts w:cs="Arial"/>
          <w:color w:val="000000"/>
          <w:lang w:val="en-US"/>
        </w:rPr>
      </w:pPr>
      <w:r w:rsidRPr="008D4AAD">
        <w:rPr>
          <w:rFonts w:cs="Arial"/>
          <w:color w:val="000000"/>
          <w:lang w:val="en-US"/>
        </w:rPr>
        <w:t>2.</w:t>
      </w:r>
      <w:r w:rsidRPr="008D4AAD">
        <w:rPr>
          <w:rFonts w:cs="Arial"/>
          <w:color w:val="000000"/>
          <w:lang w:val="en-US"/>
        </w:rPr>
        <w:tab/>
        <w:t>The Inland AIS equipment must be installed in the wheelhouse or other readily accessible location.</w:t>
      </w:r>
    </w:p>
    <w:p w:rsidR="009C13A9" w:rsidRPr="00C903F8" w:rsidRDefault="009C13A9" w:rsidP="009C13A9">
      <w:pPr>
        <w:spacing w:line="240" w:lineRule="atLeast"/>
        <w:rPr>
          <w:rFonts w:cs="Arial"/>
          <w:color w:val="000000"/>
          <w:lang w:val="en-US"/>
        </w:rPr>
      </w:pPr>
    </w:p>
    <w:p w:rsidR="001077F3" w:rsidRDefault="001077F3" w:rsidP="001077F3">
      <w:pPr>
        <w:spacing w:line="240" w:lineRule="atLeast"/>
        <w:rPr>
          <w:rFonts w:cs="Arial"/>
          <w:color w:val="000000"/>
          <w:lang w:val="en-US"/>
        </w:rPr>
      </w:pPr>
      <w:r w:rsidRPr="008D4AAD">
        <w:rPr>
          <w:rFonts w:cs="Arial"/>
          <w:color w:val="000000"/>
          <w:lang w:val="en-US"/>
        </w:rPr>
        <w:t>3.</w:t>
      </w:r>
      <w:r w:rsidRPr="008D4AAD">
        <w:rPr>
          <w:rFonts w:cs="Arial"/>
          <w:color w:val="000000"/>
          <w:lang w:val="en-US"/>
        </w:rPr>
        <w:tab/>
        <w:t>The functionality of an MKD (integrated capture and display device) must be accessible to the boatmaster. The warning and Inland AIS equipment status information must be located within the helmsman's direct field of view. Other devices used for navigation purposes may however take priority as regards their direct visibility. All warning indicator lights must remain visible after installation.</w:t>
      </w:r>
    </w:p>
    <w:p w:rsidR="001077F3" w:rsidRPr="008D4AAD" w:rsidRDefault="001077F3" w:rsidP="001077F3">
      <w:pPr>
        <w:spacing w:line="240" w:lineRule="atLeast"/>
        <w:rPr>
          <w:rFonts w:cs="Arial"/>
          <w:color w:val="000000"/>
          <w:lang w:val="en-US"/>
        </w:rPr>
      </w:pPr>
    </w:p>
    <w:p w:rsidR="001077F3" w:rsidRPr="008D4AAD" w:rsidRDefault="001077F3" w:rsidP="001077F3">
      <w:pPr>
        <w:spacing w:line="240" w:lineRule="atLeast"/>
        <w:rPr>
          <w:rFonts w:cs="Arial"/>
          <w:color w:val="000000"/>
          <w:lang w:val="en-US"/>
        </w:rPr>
      </w:pPr>
      <w:r w:rsidRPr="008D4AAD">
        <w:rPr>
          <w:rFonts w:cs="Arial"/>
          <w:color w:val="000000"/>
          <w:lang w:val="en-US"/>
        </w:rPr>
        <w:t>4.</w:t>
      </w:r>
      <w:r w:rsidRPr="008D4AAD">
        <w:rPr>
          <w:rFonts w:cs="Arial"/>
          <w:color w:val="000000"/>
          <w:lang w:val="en-US"/>
        </w:rPr>
        <w:tab/>
        <w:t>It must be possible to establish visually whether the equipment is operating. The equipment must be permanently supplied with electric power by means of an uninterrupted power supply circuit with its own fuse protection and connected directly to this power supply.</w:t>
      </w:r>
    </w:p>
    <w:p w:rsidR="001077F3" w:rsidRPr="008D4AAD" w:rsidRDefault="001077F3" w:rsidP="001077F3">
      <w:pPr>
        <w:spacing w:line="240" w:lineRule="atLeast"/>
        <w:rPr>
          <w:rFonts w:cs="Arial"/>
          <w:color w:val="000000"/>
          <w:lang w:val="en-US"/>
        </w:rPr>
      </w:pPr>
    </w:p>
    <w:p w:rsidR="001077F3" w:rsidRPr="008D4AAD" w:rsidRDefault="001077F3" w:rsidP="001077F3">
      <w:pPr>
        <w:spacing w:line="240" w:lineRule="atLeast"/>
        <w:rPr>
          <w:rFonts w:cs="Arial"/>
          <w:color w:val="000000"/>
          <w:lang w:val="en-US"/>
        </w:rPr>
      </w:pPr>
      <w:r w:rsidRPr="008D4AAD">
        <w:rPr>
          <w:rFonts w:cs="Arial"/>
          <w:color w:val="000000"/>
          <w:lang w:val="en-US"/>
        </w:rPr>
        <w:t>5.</w:t>
      </w:r>
      <w:r w:rsidRPr="008D4AAD">
        <w:rPr>
          <w:rFonts w:cs="Arial"/>
          <w:color w:val="000000"/>
          <w:lang w:val="en-US"/>
        </w:rPr>
        <w:tab/>
        <w:t>Inland AIS equipment antennas must be installed and connected to the stations so as to ensure that these stations operate reliably under all normal conditions of use. Other equipment may only be connected if the interfaces of the two equipment are compatible.</w:t>
      </w:r>
    </w:p>
    <w:p w:rsidR="009C13A9" w:rsidRDefault="009C13A9" w:rsidP="009C13A9">
      <w:pPr>
        <w:spacing w:line="240" w:lineRule="atLeast"/>
        <w:rPr>
          <w:rFonts w:cs="Arial"/>
          <w:color w:val="000000"/>
          <w:lang w:val="en-US"/>
        </w:rPr>
      </w:pPr>
    </w:p>
    <w:p w:rsidR="004706D2" w:rsidRDefault="004706D2">
      <w:pPr>
        <w:autoSpaceDE/>
        <w:autoSpaceDN/>
        <w:ind w:left="0" w:firstLine="0"/>
        <w:jc w:val="left"/>
        <w:rPr>
          <w:rFonts w:cs="Arial"/>
          <w:color w:val="000000"/>
          <w:lang w:val="en-US"/>
        </w:rPr>
      </w:pPr>
      <w:r>
        <w:rPr>
          <w:rFonts w:cs="Arial"/>
          <w:color w:val="000000"/>
          <w:lang w:val="en-US"/>
        </w:rPr>
        <w:br w:type="page"/>
      </w:r>
    </w:p>
    <w:p w:rsidR="004706D2" w:rsidRPr="00C903F8" w:rsidRDefault="004706D2" w:rsidP="009C13A9">
      <w:pPr>
        <w:spacing w:line="240" w:lineRule="atLeast"/>
        <w:rPr>
          <w:rFonts w:cs="Arial"/>
          <w:color w:val="000000"/>
          <w:lang w:val="en-US"/>
        </w:rPr>
      </w:pPr>
    </w:p>
    <w:p w:rsidR="009C13A9" w:rsidRPr="00C903F8" w:rsidRDefault="009C13A9" w:rsidP="009C13A9">
      <w:pPr>
        <w:spacing w:line="240" w:lineRule="atLeast"/>
        <w:rPr>
          <w:rFonts w:cs="Arial"/>
          <w:noProof/>
          <w:color w:val="000000"/>
          <w:lang w:val="en-US"/>
        </w:rPr>
      </w:pPr>
      <w:r w:rsidRPr="00C903F8">
        <w:rPr>
          <w:rFonts w:cs="Arial"/>
          <w:color w:val="000000"/>
          <w:lang w:val="en-US"/>
        </w:rPr>
        <w:t>6.</w:t>
      </w:r>
      <w:r w:rsidRPr="00C903F8">
        <w:rPr>
          <w:rFonts w:cs="Arial"/>
          <w:color w:val="000000"/>
          <w:lang w:val="en-US"/>
        </w:rPr>
        <w:tab/>
      </w:r>
      <w:r w:rsidR="001077F3" w:rsidRPr="008D4AAD">
        <w:rPr>
          <w:rFonts w:cs="Arial"/>
          <w:noProof/>
          <w:color w:val="000000"/>
          <w:lang w:val="en-US"/>
        </w:rPr>
        <w:t>All that is permitted to be connected to the Inland AIS equipment are type-approved external sensors. External sensors connected to the Inland AIS equipment must be type-approved in accordance with the following maritime Standards:</w:t>
      </w:r>
    </w:p>
    <w:p w:rsidR="009C13A9" w:rsidRPr="00C903F8" w:rsidRDefault="009C13A9" w:rsidP="009C13A9">
      <w:pPr>
        <w:spacing w:before="60" w:line="240" w:lineRule="atLeast"/>
        <w:rPr>
          <w:rFonts w:cs="Arial"/>
          <w:noProof/>
          <w:szCs w:val="22"/>
          <w:lang w:val="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3119"/>
        <w:gridCol w:w="3225"/>
      </w:tblGrid>
      <w:tr w:rsidR="001077F3" w:rsidRPr="00296858" w:rsidTr="003D0163">
        <w:trPr>
          <w:jc w:val="right"/>
        </w:trPr>
        <w:tc>
          <w:tcPr>
            <w:tcW w:w="2409" w:type="dxa"/>
            <w:vMerge w:val="restart"/>
            <w:shd w:val="clear" w:color="auto" w:fill="auto"/>
            <w:vAlign w:val="center"/>
          </w:tcPr>
          <w:p w:rsidR="001077F3" w:rsidRPr="003D0163" w:rsidRDefault="001077F3" w:rsidP="001077F3">
            <w:pPr>
              <w:spacing w:before="40" w:after="40" w:line="240" w:lineRule="atLeast"/>
              <w:jc w:val="center"/>
              <w:rPr>
                <w:b/>
                <w:sz w:val="18"/>
                <w:szCs w:val="18"/>
              </w:rPr>
            </w:pPr>
            <w:r w:rsidRPr="003D0163">
              <w:rPr>
                <w:b/>
                <w:sz w:val="18"/>
                <w:szCs w:val="18"/>
              </w:rPr>
              <w:t>Sensor</w:t>
            </w:r>
          </w:p>
        </w:tc>
        <w:tc>
          <w:tcPr>
            <w:tcW w:w="6344" w:type="dxa"/>
            <w:gridSpan w:val="2"/>
            <w:shd w:val="clear" w:color="auto" w:fill="auto"/>
          </w:tcPr>
          <w:p w:rsidR="001077F3" w:rsidRPr="003D0163" w:rsidRDefault="001077F3" w:rsidP="001077F3">
            <w:pPr>
              <w:spacing w:before="40" w:after="40" w:line="240" w:lineRule="atLeast"/>
              <w:jc w:val="center"/>
              <w:rPr>
                <w:sz w:val="18"/>
                <w:szCs w:val="18"/>
                <w:lang w:val="en-US"/>
              </w:rPr>
            </w:pPr>
            <w:r w:rsidRPr="003D0163">
              <w:rPr>
                <w:rFonts w:eastAsiaTheme="minorHAnsi" w:cstheme="minorBidi"/>
                <w:b/>
                <w:sz w:val="18"/>
                <w:szCs w:val="18"/>
                <w:lang w:val="en-US" w:eastAsia="en-US"/>
              </w:rPr>
              <w:t>Minimum requirements in accordance with</w:t>
            </w:r>
          </w:p>
        </w:tc>
      </w:tr>
      <w:tr w:rsidR="001077F3" w:rsidRPr="008D4AAD" w:rsidTr="003D0163">
        <w:trPr>
          <w:jc w:val="right"/>
        </w:trPr>
        <w:tc>
          <w:tcPr>
            <w:tcW w:w="2409" w:type="dxa"/>
            <w:vMerge/>
            <w:shd w:val="clear" w:color="auto" w:fill="auto"/>
          </w:tcPr>
          <w:p w:rsidR="001077F3" w:rsidRPr="003D0163" w:rsidRDefault="001077F3" w:rsidP="001077F3">
            <w:pPr>
              <w:spacing w:before="40" w:after="40" w:line="240" w:lineRule="atLeast"/>
              <w:jc w:val="center"/>
              <w:rPr>
                <w:color w:val="000000"/>
                <w:sz w:val="18"/>
                <w:szCs w:val="18"/>
                <w:lang w:val="en-US"/>
              </w:rPr>
            </w:pPr>
          </w:p>
        </w:tc>
        <w:tc>
          <w:tcPr>
            <w:tcW w:w="3119" w:type="dxa"/>
            <w:shd w:val="clear" w:color="auto" w:fill="auto"/>
          </w:tcPr>
          <w:p w:rsidR="001077F3" w:rsidRPr="003D0163" w:rsidRDefault="001077F3" w:rsidP="001077F3">
            <w:pPr>
              <w:spacing w:before="40" w:after="40" w:line="240" w:lineRule="atLeast"/>
              <w:jc w:val="center"/>
              <w:rPr>
                <w:color w:val="000000"/>
                <w:sz w:val="18"/>
                <w:szCs w:val="18"/>
              </w:rPr>
            </w:pPr>
            <w:r w:rsidRPr="003D0163">
              <w:rPr>
                <w:b/>
                <w:sz w:val="18"/>
                <w:szCs w:val="18"/>
              </w:rPr>
              <w:t>Standard (IMO)</w:t>
            </w:r>
          </w:p>
        </w:tc>
        <w:tc>
          <w:tcPr>
            <w:tcW w:w="3225" w:type="dxa"/>
            <w:shd w:val="clear" w:color="auto" w:fill="auto"/>
            <w:vAlign w:val="center"/>
          </w:tcPr>
          <w:p w:rsidR="001077F3" w:rsidRPr="008D4AAD" w:rsidRDefault="001077F3" w:rsidP="001077F3">
            <w:pPr>
              <w:spacing w:before="40" w:after="40" w:line="240" w:lineRule="atLeast"/>
              <w:jc w:val="center"/>
              <w:rPr>
                <w:b/>
                <w:color w:val="000000"/>
                <w:sz w:val="18"/>
                <w:szCs w:val="18"/>
              </w:rPr>
            </w:pPr>
            <w:r w:rsidRPr="008D4AAD">
              <w:rPr>
                <w:b/>
                <w:sz w:val="18"/>
                <w:szCs w:val="18"/>
              </w:rPr>
              <w:t>ISO/IEC Standard</w:t>
            </w:r>
          </w:p>
        </w:tc>
      </w:tr>
      <w:tr w:rsidR="001077F3" w:rsidRPr="008D4AAD" w:rsidTr="003D0163">
        <w:trPr>
          <w:jc w:val="right"/>
        </w:trPr>
        <w:tc>
          <w:tcPr>
            <w:tcW w:w="2409" w:type="dxa"/>
            <w:shd w:val="clear" w:color="auto" w:fill="auto"/>
          </w:tcPr>
          <w:p w:rsidR="001077F3" w:rsidRPr="003D0163" w:rsidRDefault="001077F3" w:rsidP="001077F3">
            <w:pPr>
              <w:spacing w:before="40" w:after="40" w:line="240" w:lineRule="atLeast"/>
              <w:rPr>
                <w:color w:val="000000"/>
                <w:sz w:val="18"/>
                <w:szCs w:val="18"/>
              </w:rPr>
            </w:pPr>
            <w:r w:rsidRPr="003D0163">
              <w:rPr>
                <w:sz w:val="18"/>
                <w:szCs w:val="18"/>
              </w:rPr>
              <w:t>GPS</w:t>
            </w:r>
          </w:p>
        </w:tc>
        <w:tc>
          <w:tcPr>
            <w:tcW w:w="3119" w:type="dxa"/>
            <w:shd w:val="clear" w:color="auto" w:fill="auto"/>
          </w:tcPr>
          <w:p w:rsidR="001077F3" w:rsidRPr="003D0163" w:rsidRDefault="001077F3" w:rsidP="003D0163">
            <w:pPr>
              <w:spacing w:before="40" w:after="40" w:line="240" w:lineRule="atLeast"/>
              <w:jc w:val="center"/>
              <w:rPr>
                <w:sz w:val="18"/>
                <w:szCs w:val="18"/>
              </w:rPr>
            </w:pPr>
            <w:r w:rsidRPr="003D0163">
              <w:rPr>
                <w:sz w:val="18"/>
                <w:szCs w:val="18"/>
              </w:rPr>
              <w:t>MSC.112(73)</w:t>
            </w:r>
            <w:r w:rsidRPr="003D0163">
              <w:rPr>
                <w:sz w:val="18"/>
                <w:szCs w:val="18"/>
                <w:vertAlign w:val="superscript"/>
              </w:rPr>
              <w:footnoteReference w:id="58"/>
            </w:r>
          </w:p>
        </w:tc>
        <w:tc>
          <w:tcPr>
            <w:tcW w:w="3225" w:type="dxa"/>
            <w:shd w:val="clear" w:color="auto" w:fill="auto"/>
          </w:tcPr>
          <w:p w:rsidR="001077F3" w:rsidRPr="003D0163" w:rsidRDefault="001077F3" w:rsidP="003D0163">
            <w:pPr>
              <w:spacing w:before="40" w:after="40" w:line="240" w:lineRule="atLeast"/>
              <w:jc w:val="center"/>
              <w:rPr>
                <w:sz w:val="18"/>
                <w:szCs w:val="18"/>
              </w:rPr>
            </w:pPr>
            <w:r w:rsidRPr="003D0163">
              <w:rPr>
                <w:sz w:val="18"/>
                <w:szCs w:val="18"/>
              </w:rPr>
              <w:t>IEC 61108-1: 2003</w:t>
            </w:r>
          </w:p>
        </w:tc>
      </w:tr>
      <w:tr w:rsidR="001077F3" w:rsidRPr="008D4AAD" w:rsidTr="003D0163">
        <w:trPr>
          <w:jc w:val="right"/>
        </w:trPr>
        <w:tc>
          <w:tcPr>
            <w:tcW w:w="2409" w:type="dxa"/>
            <w:shd w:val="clear" w:color="auto" w:fill="auto"/>
          </w:tcPr>
          <w:p w:rsidR="001077F3" w:rsidRPr="003D0163" w:rsidRDefault="001077F3" w:rsidP="001077F3">
            <w:pPr>
              <w:spacing w:before="40" w:after="40" w:line="240" w:lineRule="atLeast"/>
              <w:rPr>
                <w:color w:val="000000"/>
                <w:sz w:val="18"/>
                <w:szCs w:val="18"/>
              </w:rPr>
            </w:pPr>
            <w:r w:rsidRPr="003D0163">
              <w:rPr>
                <w:sz w:val="18"/>
                <w:szCs w:val="18"/>
              </w:rPr>
              <w:t>DGPS/DGLONASS</w:t>
            </w:r>
          </w:p>
        </w:tc>
        <w:tc>
          <w:tcPr>
            <w:tcW w:w="3119" w:type="dxa"/>
            <w:shd w:val="clear" w:color="auto" w:fill="auto"/>
          </w:tcPr>
          <w:p w:rsidR="001077F3" w:rsidRPr="003D0163" w:rsidRDefault="001077F3" w:rsidP="003D0163">
            <w:pPr>
              <w:spacing w:before="40" w:after="40" w:line="240" w:lineRule="atLeast"/>
              <w:jc w:val="center"/>
              <w:rPr>
                <w:sz w:val="18"/>
                <w:szCs w:val="18"/>
              </w:rPr>
            </w:pPr>
            <w:r w:rsidRPr="003D0163">
              <w:rPr>
                <w:sz w:val="18"/>
                <w:szCs w:val="18"/>
              </w:rPr>
              <w:t>MSC.114(73)</w:t>
            </w:r>
            <w:r w:rsidRPr="003D0163">
              <w:rPr>
                <w:sz w:val="18"/>
                <w:szCs w:val="18"/>
                <w:vertAlign w:val="superscript"/>
              </w:rPr>
              <w:footnoteReference w:id="59"/>
            </w:r>
          </w:p>
        </w:tc>
        <w:tc>
          <w:tcPr>
            <w:tcW w:w="3225" w:type="dxa"/>
            <w:shd w:val="clear" w:color="auto" w:fill="auto"/>
          </w:tcPr>
          <w:p w:rsidR="001077F3" w:rsidRPr="003D0163" w:rsidRDefault="001077F3" w:rsidP="003D0163">
            <w:pPr>
              <w:spacing w:before="40" w:after="40" w:line="240" w:lineRule="atLeast"/>
              <w:jc w:val="center"/>
              <w:rPr>
                <w:sz w:val="18"/>
                <w:szCs w:val="18"/>
              </w:rPr>
            </w:pPr>
            <w:r w:rsidRPr="003D0163">
              <w:rPr>
                <w:sz w:val="18"/>
                <w:szCs w:val="18"/>
              </w:rPr>
              <w:t>IEC 61108-4: 2004</w:t>
            </w:r>
          </w:p>
        </w:tc>
      </w:tr>
      <w:tr w:rsidR="001077F3" w:rsidRPr="008D4AAD" w:rsidTr="003D0163">
        <w:trPr>
          <w:jc w:val="right"/>
        </w:trPr>
        <w:tc>
          <w:tcPr>
            <w:tcW w:w="2409" w:type="dxa"/>
            <w:shd w:val="clear" w:color="auto" w:fill="auto"/>
          </w:tcPr>
          <w:p w:rsidR="001077F3" w:rsidRPr="008D4AAD" w:rsidRDefault="001077F3" w:rsidP="001077F3">
            <w:pPr>
              <w:spacing w:before="40" w:after="40" w:line="240" w:lineRule="atLeast"/>
              <w:rPr>
                <w:color w:val="000000"/>
                <w:sz w:val="18"/>
                <w:szCs w:val="18"/>
              </w:rPr>
            </w:pPr>
            <w:r w:rsidRPr="008D4AAD">
              <w:rPr>
                <w:sz w:val="18"/>
                <w:szCs w:val="18"/>
              </w:rPr>
              <w:t>Galileo</w:t>
            </w:r>
          </w:p>
        </w:tc>
        <w:tc>
          <w:tcPr>
            <w:tcW w:w="3119" w:type="dxa"/>
            <w:shd w:val="clear" w:color="auto" w:fill="auto"/>
          </w:tcPr>
          <w:p w:rsidR="001077F3" w:rsidRPr="003D0163" w:rsidRDefault="001077F3" w:rsidP="003D0163">
            <w:pPr>
              <w:spacing w:before="40" w:after="40" w:line="240" w:lineRule="atLeast"/>
              <w:jc w:val="center"/>
              <w:rPr>
                <w:sz w:val="18"/>
                <w:szCs w:val="18"/>
              </w:rPr>
            </w:pPr>
            <w:r w:rsidRPr="003D0163">
              <w:rPr>
                <w:sz w:val="18"/>
                <w:szCs w:val="18"/>
              </w:rPr>
              <w:t>MSC.233(82)</w:t>
            </w:r>
            <w:r w:rsidRPr="003D0163">
              <w:rPr>
                <w:sz w:val="18"/>
                <w:szCs w:val="18"/>
                <w:vertAlign w:val="superscript"/>
              </w:rPr>
              <w:footnoteReference w:id="60"/>
            </w:r>
          </w:p>
        </w:tc>
        <w:tc>
          <w:tcPr>
            <w:tcW w:w="3225" w:type="dxa"/>
            <w:shd w:val="clear" w:color="auto" w:fill="auto"/>
          </w:tcPr>
          <w:p w:rsidR="001077F3" w:rsidRPr="003D0163" w:rsidRDefault="001077F3" w:rsidP="003D0163">
            <w:pPr>
              <w:spacing w:before="40" w:after="40" w:line="240" w:lineRule="atLeast"/>
              <w:jc w:val="center"/>
              <w:rPr>
                <w:sz w:val="18"/>
                <w:szCs w:val="18"/>
              </w:rPr>
            </w:pPr>
            <w:r w:rsidRPr="003D0163">
              <w:rPr>
                <w:sz w:val="18"/>
                <w:szCs w:val="18"/>
              </w:rPr>
              <w:t>IEC 61108-3: 2010</w:t>
            </w:r>
          </w:p>
        </w:tc>
      </w:tr>
      <w:tr w:rsidR="001077F3" w:rsidRPr="008D4AAD" w:rsidTr="003D0163">
        <w:trPr>
          <w:jc w:val="right"/>
        </w:trPr>
        <w:tc>
          <w:tcPr>
            <w:tcW w:w="2409" w:type="dxa"/>
            <w:shd w:val="clear" w:color="auto" w:fill="auto"/>
          </w:tcPr>
          <w:p w:rsidR="001077F3" w:rsidRPr="008D4AAD" w:rsidRDefault="001077F3" w:rsidP="001077F3">
            <w:pPr>
              <w:spacing w:before="40" w:after="40" w:line="240" w:lineRule="atLeast"/>
              <w:rPr>
                <w:color w:val="000000"/>
                <w:sz w:val="18"/>
                <w:szCs w:val="18"/>
              </w:rPr>
            </w:pPr>
            <w:r w:rsidRPr="008D4AAD">
              <w:rPr>
                <w:sz w:val="18"/>
                <w:szCs w:val="18"/>
              </w:rPr>
              <w:t>Heading/GPS Compass</w:t>
            </w:r>
          </w:p>
        </w:tc>
        <w:tc>
          <w:tcPr>
            <w:tcW w:w="3119" w:type="dxa"/>
            <w:shd w:val="clear" w:color="auto" w:fill="auto"/>
          </w:tcPr>
          <w:p w:rsidR="001077F3" w:rsidRPr="003D0163" w:rsidRDefault="001077F3" w:rsidP="003D0163">
            <w:pPr>
              <w:spacing w:before="40" w:after="40" w:line="240" w:lineRule="atLeast"/>
              <w:jc w:val="center"/>
              <w:rPr>
                <w:sz w:val="18"/>
                <w:szCs w:val="18"/>
              </w:rPr>
            </w:pPr>
            <w:r w:rsidRPr="003D0163">
              <w:rPr>
                <w:sz w:val="18"/>
                <w:szCs w:val="18"/>
              </w:rPr>
              <w:t>MSC.116(73)</w:t>
            </w:r>
            <w:r w:rsidRPr="003D0163">
              <w:rPr>
                <w:sz w:val="18"/>
                <w:szCs w:val="18"/>
                <w:vertAlign w:val="superscript"/>
              </w:rPr>
              <w:footnoteReference w:id="61"/>
            </w:r>
          </w:p>
        </w:tc>
        <w:tc>
          <w:tcPr>
            <w:tcW w:w="3225" w:type="dxa"/>
            <w:shd w:val="clear" w:color="auto" w:fill="auto"/>
          </w:tcPr>
          <w:p w:rsidR="001077F3" w:rsidRPr="003D0163" w:rsidRDefault="001077F3" w:rsidP="003D0163">
            <w:pPr>
              <w:spacing w:before="40" w:after="40" w:line="240" w:lineRule="atLeast"/>
              <w:ind w:left="34" w:hanging="34"/>
              <w:jc w:val="center"/>
              <w:rPr>
                <w:sz w:val="18"/>
                <w:szCs w:val="18"/>
              </w:rPr>
            </w:pPr>
            <w:r w:rsidRPr="003D0163">
              <w:rPr>
                <w:sz w:val="18"/>
                <w:szCs w:val="18"/>
              </w:rPr>
              <w:t>ISO 22090-3: 2014</w:t>
            </w:r>
            <w:r w:rsidRPr="003D0163">
              <w:rPr>
                <w:sz w:val="18"/>
                <w:szCs w:val="18"/>
              </w:rPr>
              <w:br/>
              <w:t>Part 3: GNSS principles</w:t>
            </w:r>
          </w:p>
        </w:tc>
      </w:tr>
    </w:tbl>
    <w:p w:rsidR="009C13A9" w:rsidRPr="00C903F8" w:rsidRDefault="009C13A9" w:rsidP="009C13A9">
      <w:pPr>
        <w:spacing w:line="240" w:lineRule="atLeast"/>
        <w:rPr>
          <w:rFonts w:cs="Arial"/>
          <w:color w:val="000000"/>
          <w:lang w:val="nl-NL"/>
        </w:rPr>
      </w:pPr>
    </w:p>
    <w:p w:rsidR="00F04CAF" w:rsidRPr="008D4AAD" w:rsidRDefault="00F04CAF" w:rsidP="00F04CAF">
      <w:pPr>
        <w:spacing w:line="240" w:lineRule="atLeast"/>
        <w:rPr>
          <w:rFonts w:cs="Arial"/>
          <w:color w:val="000000"/>
          <w:lang w:val="en-US"/>
        </w:rPr>
      </w:pPr>
      <w:r w:rsidRPr="008D4AAD">
        <w:rPr>
          <w:rFonts w:cs="Arial"/>
          <w:color w:val="000000"/>
          <w:lang w:val="en-US"/>
        </w:rPr>
        <w:t>7.</w:t>
      </w:r>
      <w:r w:rsidRPr="008D4AAD">
        <w:rPr>
          <w:rFonts w:cs="Arial"/>
          <w:color w:val="000000"/>
          <w:lang w:val="en-US"/>
        </w:rPr>
        <w:tab/>
        <w:t>Prior to post-installation commissioning, in the event of the inland navigation vessel certificate being renewed or extended and any conversion of the vessel likely to affect the conditions in which the equipment operate</w:t>
      </w:r>
      <w:r w:rsidR="006F6077">
        <w:rPr>
          <w:rFonts w:cs="Arial"/>
          <w:color w:val="000000"/>
          <w:lang w:val="en-US"/>
        </w:rPr>
        <w:t>s</w:t>
      </w:r>
      <w:r w:rsidRPr="008D4AAD">
        <w:rPr>
          <w:rFonts w:cs="Arial"/>
          <w:color w:val="000000"/>
          <w:lang w:val="en-US"/>
        </w:rPr>
        <w:t>, a competent authority or approved specialist firm must undertake an installation check and operating test.</w:t>
      </w:r>
    </w:p>
    <w:p w:rsidR="00F04CAF" w:rsidRPr="008D4AAD" w:rsidRDefault="00F04CAF" w:rsidP="00F04CAF">
      <w:pPr>
        <w:spacing w:line="240" w:lineRule="atLeast"/>
        <w:rPr>
          <w:rFonts w:cs="Arial"/>
          <w:color w:val="000000"/>
          <w:lang w:val="en-US"/>
        </w:rPr>
      </w:pPr>
    </w:p>
    <w:p w:rsidR="00F04CAF" w:rsidRPr="008D4AAD" w:rsidRDefault="00F04CAF" w:rsidP="00F04CAF">
      <w:pPr>
        <w:spacing w:line="240" w:lineRule="atLeast"/>
        <w:rPr>
          <w:rFonts w:cs="Arial"/>
          <w:color w:val="000000"/>
          <w:lang w:val="en-US"/>
        </w:rPr>
      </w:pPr>
      <w:r w:rsidRPr="008D4AAD">
        <w:rPr>
          <w:rFonts w:cs="Arial"/>
          <w:color w:val="000000"/>
          <w:lang w:val="en-US"/>
        </w:rPr>
        <w:t>8.</w:t>
      </w:r>
      <w:r w:rsidRPr="008D4AAD">
        <w:rPr>
          <w:rFonts w:cs="Arial"/>
          <w:color w:val="000000"/>
          <w:lang w:val="en-US"/>
        </w:rPr>
        <w:tab/>
        <w:t>The approved specialist firm that has carried out the installation and operating test issues a certificate in accordance with Annex 5, Section VI, regarding the specific characteristics and correct operation of the Inland AIS equipment.</w:t>
      </w:r>
    </w:p>
    <w:p w:rsidR="00F04CAF" w:rsidRPr="008D4AAD" w:rsidRDefault="00F04CAF" w:rsidP="00F04CAF">
      <w:pPr>
        <w:spacing w:line="240" w:lineRule="atLeast"/>
        <w:rPr>
          <w:rFonts w:cs="Arial"/>
          <w:color w:val="000000"/>
          <w:lang w:val="en-US"/>
        </w:rPr>
      </w:pPr>
    </w:p>
    <w:p w:rsidR="00F04CAF" w:rsidRPr="008D4AAD" w:rsidRDefault="00F04CAF" w:rsidP="00F04CAF">
      <w:pPr>
        <w:spacing w:line="240" w:lineRule="atLeast"/>
        <w:rPr>
          <w:rFonts w:cs="Arial"/>
          <w:color w:val="000000"/>
          <w:lang w:val="en-US"/>
        </w:rPr>
      </w:pPr>
      <w:r w:rsidRPr="008D4AAD">
        <w:rPr>
          <w:rFonts w:cs="Arial"/>
          <w:color w:val="000000"/>
          <w:lang w:val="en-US"/>
        </w:rPr>
        <w:t>9.</w:t>
      </w:r>
      <w:r w:rsidRPr="008D4AAD">
        <w:rPr>
          <w:rFonts w:cs="Arial"/>
          <w:color w:val="000000"/>
          <w:lang w:val="en-US"/>
        </w:rPr>
        <w:tab/>
        <w:t>The certificate must be permanently retained onboard.</w:t>
      </w:r>
    </w:p>
    <w:p w:rsidR="00F04CAF" w:rsidRPr="008D4AAD" w:rsidRDefault="00F04CAF" w:rsidP="00F04CAF">
      <w:pPr>
        <w:spacing w:line="240" w:lineRule="atLeast"/>
        <w:rPr>
          <w:rFonts w:cs="Arial"/>
          <w:color w:val="000000"/>
          <w:lang w:val="en-US"/>
        </w:rPr>
      </w:pPr>
    </w:p>
    <w:p w:rsidR="00F04CAF" w:rsidRDefault="00F04CAF" w:rsidP="00F04CAF">
      <w:pPr>
        <w:spacing w:line="240" w:lineRule="atLeast"/>
        <w:rPr>
          <w:rFonts w:cs="Arial"/>
          <w:color w:val="000000"/>
          <w:lang w:val="en-US"/>
        </w:rPr>
      </w:pPr>
      <w:r w:rsidRPr="008D4AAD">
        <w:rPr>
          <w:rFonts w:cs="Arial"/>
          <w:color w:val="000000"/>
          <w:lang w:val="en-US"/>
        </w:rPr>
        <w:t>10.</w:t>
      </w:r>
      <w:r w:rsidRPr="008D4AAD">
        <w:rPr>
          <w:rFonts w:cs="Arial"/>
          <w:color w:val="000000"/>
          <w:lang w:val="en-US"/>
        </w:rPr>
        <w:tab/>
        <w:t>User instructions must be handed over for retention on board. This must be mentioned on the shipboard installation certificate.</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szCs w:val="22"/>
          <w:lang w:val="en-US"/>
        </w:rPr>
      </w:pPr>
    </w:p>
    <w:p w:rsidR="009C13A9" w:rsidRPr="00C903F8" w:rsidRDefault="009C13A9" w:rsidP="009C13A9">
      <w:pPr>
        <w:spacing w:line="240" w:lineRule="atLeast"/>
        <w:rPr>
          <w:rFonts w:cs="Arial"/>
          <w:color w:val="000000"/>
          <w:lang w:val="en-US"/>
        </w:rPr>
      </w:pPr>
    </w:p>
    <w:p w:rsidR="009C13A9" w:rsidRPr="00C903F8" w:rsidRDefault="009C13A9" w:rsidP="009C13A9">
      <w:pPr>
        <w:tabs>
          <w:tab w:val="right" w:pos="9072"/>
        </w:tabs>
        <w:spacing w:line="240" w:lineRule="atLeast"/>
        <w:rPr>
          <w:rFonts w:cs="Arial"/>
          <w:szCs w:val="20"/>
          <w:lang w:val="en-US"/>
        </w:rPr>
      </w:pPr>
      <w:r w:rsidRPr="00C903F8">
        <w:rPr>
          <w:lang w:val="en-US"/>
        </w:rPr>
        <w:br w:type="page"/>
      </w:r>
    </w:p>
    <w:p w:rsidR="009C13A9" w:rsidRPr="00C903F8" w:rsidRDefault="00925755" w:rsidP="00C92BD2">
      <w:pPr>
        <w:pStyle w:val="ES-Titre3"/>
        <w:rPr>
          <w:noProof/>
          <w:lang w:val="en-US"/>
        </w:rPr>
      </w:pPr>
      <w:bookmarkStart w:id="340" w:name="_Toc491854318"/>
      <w:r w:rsidRPr="00C903F8">
        <w:rPr>
          <w:noProof/>
          <w:lang w:val="en-US"/>
        </w:rPr>
        <w:lastRenderedPageBreak/>
        <w:t>Section</w:t>
      </w:r>
      <w:r w:rsidR="009C13A9" w:rsidRPr="00C903F8">
        <w:rPr>
          <w:noProof/>
          <w:lang w:val="en-US"/>
        </w:rPr>
        <w:t xml:space="preserve"> V</w:t>
      </w:r>
      <w:bookmarkEnd w:id="340"/>
    </w:p>
    <w:p w:rsidR="009C13A9" w:rsidRPr="00C903F8" w:rsidRDefault="009C13A9" w:rsidP="00C92BD2">
      <w:pPr>
        <w:pStyle w:val="ES-Titre3a"/>
        <w:rPr>
          <w:rFonts w:cs="Arial"/>
          <w:szCs w:val="20"/>
          <w:lang w:val="en-US"/>
        </w:rPr>
      </w:pPr>
      <w:bookmarkStart w:id="341" w:name="_Toc491854319"/>
      <w:r w:rsidRPr="00C903F8">
        <w:rPr>
          <w:noProof/>
          <w:lang w:val="en-US"/>
        </w:rPr>
        <w:t>Minimum requirements, requirements for installation and performance tests for tachographs in inland navigation</w:t>
      </w:r>
      <w:bookmarkEnd w:id="341"/>
    </w:p>
    <w:p w:rsidR="009C13A9" w:rsidRPr="00C903F8" w:rsidRDefault="009C13A9" w:rsidP="009C13A9">
      <w:pPr>
        <w:tabs>
          <w:tab w:val="left" w:pos="284"/>
          <w:tab w:val="left" w:leader="dot" w:pos="9072"/>
        </w:tabs>
        <w:overflowPunct w:val="0"/>
        <w:adjustRightInd w:val="0"/>
        <w:ind w:left="284" w:hanging="284"/>
        <w:textAlignment w:val="baseline"/>
        <w:rPr>
          <w:rFonts w:cs="Arial"/>
          <w:szCs w:val="20"/>
          <w:lang w:val="en-US"/>
        </w:rPr>
      </w:pPr>
    </w:p>
    <w:p w:rsidR="00F04CAF" w:rsidRPr="003D0163" w:rsidRDefault="00F04CAF" w:rsidP="00F04CAF">
      <w:pPr>
        <w:tabs>
          <w:tab w:val="left" w:leader="dot" w:pos="9072"/>
        </w:tabs>
        <w:spacing w:line="240" w:lineRule="atLeast"/>
        <w:jc w:val="center"/>
        <w:rPr>
          <w:rFonts w:cs="Arial"/>
          <w:b/>
          <w:noProof/>
          <w:lang w:val="en-US"/>
        </w:rPr>
      </w:pPr>
      <w:r w:rsidRPr="003D0163">
        <w:rPr>
          <w:rFonts w:cs="Arial"/>
          <w:b/>
          <w:noProof/>
          <w:lang w:val="en-US"/>
        </w:rPr>
        <w:t>Article 1</w:t>
      </w:r>
    </w:p>
    <w:p w:rsidR="00F04CAF" w:rsidRPr="003D0163" w:rsidRDefault="00F04CAF" w:rsidP="00F04CAF">
      <w:pPr>
        <w:tabs>
          <w:tab w:val="left" w:leader="dot" w:pos="9072"/>
        </w:tabs>
        <w:spacing w:line="240" w:lineRule="atLeast"/>
        <w:jc w:val="center"/>
        <w:rPr>
          <w:rFonts w:cs="Arial"/>
          <w:i/>
          <w:noProof/>
          <w:lang w:val="en-US"/>
        </w:rPr>
      </w:pPr>
      <w:r w:rsidRPr="003D0163">
        <w:rPr>
          <w:rFonts w:cs="Arial"/>
          <w:i/>
          <w:noProof/>
          <w:lang w:val="en-US"/>
        </w:rPr>
        <w:t>Approval of tachographs</w:t>
      </w:r>
    </w:p>
    <w:p w:rsidR="00F04CAF" w:rsidRPr="003D0163" w:rsidRDefault="00F04CAF" w:rsidP="00F04CAF">
      <w:pPr>
        <w:tabs>
          <w:tab w:val="left" w:leader="dot" w:pos="9072"/>
        </w:tabs>
        <w:spacing w:line="240" w:lineRule="atLeast"/>
        <w:rPr>
          <w:rFonts w:cs="Arial"/>
          <w:noProof/>
          <w:lang w:val="en-US"/>
        </w:rPr>
      </w:pPr>
    </w:p>
    <w:p w:rsidR="00F04CAF" w:rsidRPr="00F04CAF" w:rsidRDefault="00F04CAF" w:rsidP="003D0163">
      <w:pPr>
        <w:pStyle w:val="ESgauche"/>
        <w:rPr>
          <w:lang w:val="en-US"/>
        </w:rPr>
      </w:pPr>
      <w:r w:rsidRPr="003D0163">
        <w:rPr>
          <w:lang w:val="en-US"/>
        </w:rPr>
        <w:t>The tachographs must comply with the requirements of this section. Compliance is certified by an examination of type approval by a competent authority.</w:t>
      </w:r>
    </w:p>
    <w:p w:rsidR="00F04CAF" w:rsidRDefault="00F04CAF" w:rsidP="003D0163">
      <w:pPr>
        <w:pStyle w:val="ESch"/>
        <w:rPr>
          <w:noProof/>
          <w:lang w:val="en-US"/>
        </w:rPr>
      </w:pPr>
    </w:p>
    <w:p w:rsidR="009C13A9" w:rsidRPr="00C903F8" w:rsidRDefault="00F04CAF" w:rsidP="009C13A9">
      <w:pPr>
        <w:spacing w:line="240" w:lineRule="atLeast"/>
        <w:ind w:left="0" w:firstLine="0"/>
        <w:jc w:val="center"/>
        <w:rPr>
          <w:rFonts w:cs="Arial"/>
          <w:b/>
          <w:noProof/>
          <w:lang w:val="en-US"/>
        </w:rPr>
      </w:pPr>
      <w:r>
        <w:rPr>
          <w:rFonts w:cs="Arial"/>
          <w:b/>
          <w:noProof/>
          <w:lang w:val="en-US"/>
        </w:rPr>
        <w:t>Article 2</w:t>
      </w:r>
    </w:p>
    <w:p w:rsidR="009C13A9" w:rsidRPr="00C903F8" w:rsidRDefault="009C13A9" w:rsidP="009C13A9">
      <w:pPr>
        <w:spacing w:line="240" w:lineRule="atLeast"/>
        <w:ind w:left="0" w:firstLine="0"/>
        <w:jc w:val="center"/>
        <w:rPr>
          <w:rFonts w:cs="Arial"/>
          <w:i/>
          <w:noProof/>
          <w:lang w:val="en-US"/>
        </w:rPr>
      </w:pPr>
      <w:r w:rsidRPr="00C903F8">
        <w:rPr>
          <w:rFonts w:cs="Arial"/>
          <w:i/>
          <w:noProof/>
          <w:lang w:val="en-US"/>
        </w:rPr>
        <w:t>Requirements to be complied with by tachographs</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1.</w:t>
      </w:r>
      <w:r w:rsidRPr="00C903F8">
        <w:rPr>
          <w:rFonts w:cs="Arial"/>
          <w:color w:val="000000"/>
          <w:lang w:val="en-US"/>
        </w:rPr>
        <w:tab/>
        <w:t>Ascertaining the vessel's navigation time</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lang w:val="en-US" w:eastAsia="nl-NL"/>
        </w:rPr>
      </w:pPr>
      <w:r w:rsidRPr="00C903F8">
        <w:rPr>
          <w:lang w:val="en-US" w:eastAsia="nl-NL"/>
        </w:rPr>
        <w:t>To determine navigation according to the criterion yes/no, the rotation of the propeller must be measured at an appropriate place. Where propulsion is other than by propeller, the vessel's movement must be ascertained in an equivalent manner at appropriate place. Where there are two or more propeller shafts, it must be ensured that recording will operate even if only one of the shafts is turning.</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2.</w:t>
      </w:r>
      <w:r w:rsidRPr="00C903F8">
        <w:rPr>
          <w:rFonts w:cs="Arial"/>
          <w:color w:val="000000"/>
          <w:lang w:val="en-US"/>
        </w:rPr>
        <w:tab/>
        <w:t>Vessel identification</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lang w:val="en-US" w:eastAsia="nl-NL"/>
        </w:rPr>
      </w:pPr>
      <w:r w:rsidRPr="00C903F8">
        <w:rPr>
          <w:lang w:val="en-US" w:eastAsia="nl-NL"/>
        </w:rPr>
        <w:t xml:space="preserve">The unique European </w:t>
      </w:r>
      <w:r w:rsidR="006D37CC" w:rsidRPr="00C903F8">
        <w:rPr>
          <w:lang w:val="en-US" w:eastAsia="nl-NL"/>
        </w:rPr>
        <w:t xml:space="preserve">vessel </w:t>
      </w:r>
      <w:r w:rsidRPr="00C903F8">
        <w:rPr>
          <w:lang w:val="en-US" w:eastAsia="nl-NL"/>
        </w:rPr>
        <w:t>identification number or official vessel number must be indelibly recorded on the data medium and be readable from it.</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3.</w:t>
      </w:r>
      <w:r w:rsidRPr="00C903F8">
        <w:rPr>
          <w:rFonts w:cs="Arial"/>
          <w:color w:val="000000"/>
          <w:lang w:val="en-US"/>
        </w:rPr>
        <w:tab/>
        <w:t>Recording on the data medium</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lang w:val="en-US" w:eastAsia="nl-NL"/>
        </w:rPr>
      </w:pPr>
      <w:r w:rsidRPr="00C903F8">
        <w:rPr>
          <w:lang w:val="en-US" w:eastAsia="nl-NL"/>
        </w:rPr>
        <w:t>The following items of information must be recorded on the data medium such as to be tamper-proof and readable from it: the vessel's operating mode, the date and time at which the tachograph was operating and ceased operating, the insertion and removal of the data medium and other actions performed on the device. The tachograph must automatically record the time, insertion and removal of the data medium, the opening and closure of the device as well as any interruption to its power supply.</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4.</w:t>
      </w:r>
      <w:r w:rsidRPr="00C903F8">
        <w:rPr>
          <w:rFonts w:cs="Arial"/>
          <w:color w:val="000000"/>
          <w:lang w:val="en-US"/>
        </w:rPr>
        <w:tab/>
        <w:t>Recording time per day</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lang w:val="en-US" w:eastAsia="nl-NL"/>
        </w:rPr>
      </w:pPr>
      <w:r w:rsidRPr="00C903F8">
        <w:rPr>
          <w:lang w:val="en-US" w:eastAsia="nl-NL"/>
        </w:rPr>
        <w:t>The date and time at which the shaft starts and stops rotating must be continuously recorded daily between 00.00 and 24.00.</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rPr>
          <w:rFonts w:cs="Arial"/>
          <w:color w:val="000000"/>
          <w:lang w:val="en-US"/>
        </w:rPr>
      </w:pPr>
      <w:r w:rsidRPr="00C903F8">
        <w:rPr>
          <w:rFonts w:cs="Arial"/>
          <w:color w:val="000000"/>
          <w:lang w:val="en-US"/>
        </w:rPr>
        <w:t>5.</w:t>
      </w:r>
      <w:r w:rsidRPr="00C903F8">
        <w:rPr>
          <w:rFonts w:cs="Arial"/>
          <w:color w:val="000000"/>
          <w:lang w:val="en-US"/>
        </w:rPr>
        <w:tab/>
        <w:t>Reading the recording</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lang w:val="en-US" w:eastAsia="nl-NL"/>
        </w:rPr>
      </w:pPr>
      <w:r w:rsidRPr="00C903F8">
        <w:rPr>
          <w:lang w:val="en-US" w:eastAsia="nl-NL"/>
        </w:rPr>
        <w:t>The recording must be unequivocal, easy to read and clearly comprehensible. It must be possible to read the recording at any moment without any special auxiliary devices.</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6.</w:t>
      </w:r>
      <w:r w:rsidRPr="00C903F8">
        <w:rPr>
          <w:rFonts w:cs="Arial"/>
          <w:color w:val="000000"/>
          <w:lang w:val="en-US"/>
        </w:rPr>
        <w:tab/>
        <w:t>Printing the recording</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lang w:val="en-US" w:eastAsia="nl-NL"/>
        </w:rPr>
      </w:pPr>
      <w:r w:rsidRPr="00C903F8">
        <w:rPr>
          <w:lang w:val="en-US" w:eastAsia="nl-NL"/>
        </w:rPr>
        <w:t>It must be possible for the recordings to be provided at any time as a readily transparent printout.</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7.</w:t>
      </w:r>
      <w:r w:rsidRPr="00C903F8">
        <w:rPr>
          <w:rFonts w:cs="Arial"/>
          <w:color w:val="000000"/>
          <w:lang w:val="en-US"/>
        </w:rPr>
        <w:tab/>
        <w:t>Security of the recording</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lang w:val="en-US" w:eastAsia="nl-NL"/>
        </w:rPr>
      </w:pPr>
      <w:r w:rsidRPr="00C903F8">
        <w:rPr>
          <w:lang w:val="en-US" w:eastAsia="nl-NL"/>
        </w:rPr>
        <w:t>The rotation of the propeller must be recorded in a way that cannot be tampered with.</w:t>
      </w:r>
    </w:p>
    <w:p w:rsidR="009C13A9" w:rsidRPr="00C903F8" w:rsidRDefault="009C13A9" w:rsidP="009C13A9">
      <w:pPr>
        <w:spacing w:line="240" w:lineRule="atLeast"/>
        <w:rPr>
          <w:rFonts w:cs="Arial"/>
          <w:color w:val="000000"/>
          <w:lang w:val="en-US"/>
        </w:rPr>
      </w:pPr>
    </w:p>
    <w:p w:rsidR="00F04CAF" w:rsidRDefault="00F04CAF">
      <w:pPr>
        <w:autoSpaceDE/>
        <w:autoSpaceDN/>
        <w:ind w:left="0" w:firstLine="0"/>
        <w:jc w:val="left"/>
        <w:rPr>
          <w:rFonts w:cs="Arial"/>
          <w:color w:val="000000"/>
          <w:lang w:val="en-US"/>
        </w:rPr>
      </w:pPr>
      <w:r>
        <w:rPr>
          <w:rFonts w:cs="Arial"/>
          <w:color w:val="000000"/>
          <w:lang w:val="en-US"/>
        </w:rPr>
        <w:br w:type="page"/>
      </w:r>
    </w:p>
    <w:p w:rsidR="00F04CAF" w:rsidRDefault="00F04CAF"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8.</w:t>
      </w:r>
      <w:r w:rsidRPr="00C903F8">
        <w:rPr>
          <w:rFonts w:cs="Arial"/>
          <w:color w:val="000000"/>
          <w:lang w:val="en-US"/>
        </w:rPr>
        <w:tab/>
        <w:t>Accuracy of the recording</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lang w:val="en-US" w:eastAsia="nl-NL"/>
        </w:rPr>
      </w:pPr>
      <w:r w:rsidRPr="00C903F8">
        <w:rPr>
          <w:lang w:val="en-US" w:eastAsia="nl-NL"/>
        </w:rPr>
        <w:t>The rotation of the propeller must be recorded in a way that is accurate in time. The recording must be readable with an accuracy of 5 minutes.</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9.</w:t>
      </w:r>
      <w:r w:rsidRPr="00C903F8">
        <w:rPr>
          <w:rFonts w:cs="Arial"/>
          <w:color w:val="000000"/>
          <w:lang w:val="en-US"/>
        </w:rPr>
        <w:tab/>
        <w:t>Operating voltages</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lang w:val="en-US" w:eastAsia="nl-NL"/>
        </w:rPr>
      </w:pPr>
      <w:r w:rsidRPr="00C903F8">
        <w:rPr>
          <w:lang w:val="en-US" w:eastAsia="nl-NL"/>
        </w:rPr>
        <w:t xml:space="preserve">Voltage fluctuations of up to </w:t>
      </w:r>
      <w:r w:rsidRPr="00C903F8">
        <w:rPr>
          <w:lang w:val="en-US" w:eastAsia="nl-NL"/>
        </w:rPr>
        <w:sym w:font="Symbol" w:char="F0B1"/>
      </w:r>
      <w:r w:rsidRPr="00C903F8">
        <w:rPr>
          <w:lang w:val="en-US" w:eastAsia="nl-NL"/>
        </w:rPr>
        <w:t xml:space="preserve"> 10 % of the nominal value must not hinder the proper functioning of the device. Moreover, the installation must be capable of withstanding a 25 % increase in the supply voltage relative to the nominal voltage without its serviceability being impaired in any way.</w:t>
      </w:r>
    </w:p>
    <w:p w:rsidR="009C13A9" w:rsidRPr="00C903F8" w:rsidRDefault="009C13A9" w:rsidP="009C13A9">
      <w:pPr>
        <w:tabs>
          <w:tab w:val="left" w:pos="284"/>
          <w:tab w:val="left" w:leader="dot" w:pos="8505"/>
        </w:tabs>
        <w:ind w:left="284" w:hanging="284"/>
        <w:rPr>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10.</w:t>
      </w:r>
      <w:r w:rsidRPr="00C903F8">
        <w:rPr>
          <w:rFonts w:cs="Arial"/>
          <w:color w:val="000000"/>
          <w:lang w:val="en-US"/>
        </w:rPr>
        <w:tab/>
        <w:t>Operating conditions</w:t>
      </w:r>
    </w:p>
    <w:p w:rsidR="009C13A9" w:rsidRPr="00C903F8" w:rsidRDefault="009C13A9" w:rsidP="009C13A9">
      <w:pPr>
        <w:tabs>
          <w:tab w:val="left" w:pos="284"/>
          <w:tab w:val="left" w:leader="dot" w:pos="8505"/>
        </w:tabs>
        <w:ind w:left="284" w:hanging="284"/>
        <w:rPr>
          <w:lang w:val="en-US"/>
        </w:rPr>
      </w:pPr>
    </w:p>
    <w:p w:rsidR="009C13A9" w:rsidRPr="00C903F8" w:rsidRDefault="009C13A9" w:rsidP="009C13A9">
      <w:pPr>
        <w:spacing w:line="240" w:lineRule="atLeast"/>
        <w:ind w:left="426" w:firstLine="0"/>
        <w:rPr>
          <w:lang w:val="en-US" w:eastAsia="nl-NL"/>
        </w:rPr>
      </w:pPr>
      <w:r w:rsidRPr="00C903F8">
        <w:rPr>
          <w:lang w:val="en-US" w:eastAsia="nl-NL"/>
        </w:rPr>
        <w:t>The devices or device components must operate faultlessly under the following conditions:</w:t>
      </w:r>
    </w:p>
    <w:p w:rsidR="009C13A9" w:rsidRPr="00C903F8" w:rsidRDefault="009C13A9" w:rsidP="009C13A9">
      <w:pPr>
        <w:tabs>
          <w:tab w:val="left" w:pos="851"/>
        </w:tabs>
        <w:spacing w:before="60" w:line="240" w:lineRule="atLeast"/>
        <w:ind w:left="3544" w:hanging="3118"/>
        <w:rPr>
          <w:rFonts w:cs="Arial"/>
          <w:noProof/>
          <w:szCs w:val="22"/>
          <w:lang w:val="en-US" w:eastAsia="zh-CN"/>
        </w:rPr>
      </w:pPr>
      <w:r w:rsidRPr="00C903F8">
        <w:rPr>
          <w:rFonts w:cs="Arial"/>
          <w:noProof/>
          <w:szCs w:val="22"/>
          <w:lang w:val="en-US" w:eastAsia="zh-CN"/>
        </w:rPr>
        <w:t>-</w:t>
      </w:r>
      <w:r w:rsidRPr="00C903F8">
        <w:rPr>
          <w:rFonts w:cs="Arial"/>
          <w:noProof/>
          <w:szCs w:val="22"/>
          <w:lang w:val="en-US" w:eastAsia="zh-CN"/>
        </w:rPr>
        <w:tab/>
        <w:t>ambient temperature:</w:t>
      </w:r>
      <w:r w:rsidRPr="00C903F8">
        <w:rPr>
          <w:rFonts w:cs="Arial"/>
          <w:noProof/>
          <w:szCs w:val="22"/>
          <w:lang w:val="en-US" w:eastAsia="zh-CN"/>
        </w:rPr>
        <w:tab/>
        <w:t xml:space="preserve">0 </w:t>
      </w:r>
      <w:r w:rsidRPr="00C903F8">
        <w:rPr>
          <w:rFonts w:cs="Arial"/>
          <w:noProof/>
          <w:szCs w:val="22"/>
          <w:lang w:val="nl-NL" w:eastAsia="zh-CN"/>
        </w:rPr>
        <w:sym w:font="Symbol" w:char="F0B0"/>
      </w:r>
      <w:r w:rsidRPr="00C903F8">
        <w:rPr>
          <w:rFonts w:cs="Arial"/>
          <w:noProof/>
          <w:szCs w:val="22"/>
          <w:lang w:val="en-US" w:eastAsia="zh-CN"/>
        </w:rPr>
        <w:t xml:space="preserve">C to + 40 </w:t>
      </w:r>
      <w:r w:rsidRPr="00C903F8">
        <w:rPr>
          <w:rFonts w:cs="Arial"/>
          <w:noProof/>
          <w:szCs w:val="22"/>
          <w:lang w:val="nl-NL" w:eastAsia="zh-CN"/>
        </w:rPr>
        <w:sym w:font="Symbol" w:char="F0B0"/>
      </w:r>
      <w:r w:rsidRPr="00C903F8">
        <w:rPr>
          <w:rFonts w:cs="Arial"/>
          <w:noProof/>
          <w:szCs w:val="22"/>
          <w:lang w:val="en-US" w:eastAsia="zh-CN"/>
        </w:rPr>
        <w:t>C</w:t>
      </w:r>
    </w:p>
    <w:p w:rsidR="009C13A9" w:rsidRPr="00C903F8" w:rsidRDefault="009C13A9" w:rsidP="009C13A9">
      <w:pPr>
        <w:tabs>
          <w:tab w:val="left" w:pos="851"/>
        </w:tabs>
        <w:spacing w:before="60" w:line="240" w:lineRule="atLeast"/>
        <w:ind w:left="3544" w:hanging="3118"/>
        <w:rPr>
          <w:rFonts w:cs="Arial"/>
          <w:noProof/>
          <w:szCs w:val="22"/>
          <w:lang w:val="en-US" w:eastAsia="zh-CN"/>
        </w:rPr>
      </w:pPr>
      <w:r w:rsidRPr="00C903F8">
        <w:rPr>
          <w:rFonts w:cs="Arial"/>
          <w:noProof/>
          <w:szCs w:val="22"/>
          <w:lang w:val="en-US" w:eastAsia="zh-CN"/>
        </w:rPr>
        <w:t>-</w:t>
      </w:r>
      <w:r w:rsidRPr="00C903F8">
        <w:rPr>
          <w:rFonts w:cs="Arial"/>
          <w:noProof/>
          <w:szCs w:val="22"/>
          <w:lang w:val="en-US" w:eastAsia="zh-CN"/>
        </w:rPr>
        <w:tab/>
        <w:t>humidity:</w:t>
      </w:r>
      <w:r w:rsidRPr="00C903F8">
        <w:rPr>
          <w:rFonts w:cs="Arial"/>
          <w:noProof/>
          <w:szCs w:val="22"/>
          <w:lang w:val="en-US" w:eastAsia="zh-CN"/>
        </w:rPr>
        <w:tab/>
        <w:t>up to 85 % relative air humidity</w:t>
      </w:r>
    </w:p>
    <w:p w:rsidR="009C13A9" w:rsidRPr="00C903F8" w:rsidRDefault="009C13A9" w:rsidP="009C13A9">
      <w:pPr>
        <w:tabs>
          <w:tab w:val="left" w:pos="851"/>
        </w:tabs>
        <w:spacing w:before="60" w:line="240" w:lineRule="atLeast"/>
        <w:ind w:left="3544" w:hanging="3118"/>
        <w:rPr>
          <w:rFonts w:cs="Arial"/>
          <w:noProof/>
          <w:szCs w:val="22"/>
          <w:lang w:val="en-US" w:eastAsia="zh-CN"/>
        </w:rPr>
      </w:pPr>
      <w:r w:rsidRPr="00C903F8">
        <w:rPr>
          <w:rFonts w:cs="Arial"/>
          <w:noProof/>
          <w:szCs w:val="22"/>
          <w:lang w:val="en-US" w:eastAsia="zh-CN"/>
        </w:rPr>
        <w:t>-</w:t>
      </w:r>
      <w:r w:rsidRPr="00C903F8">
        <w:rPr>
          <w:rFonts w:cs="Arial"/>
          <w:noProof/>
          <w:szCs w:val="22"/>
          <w:lang w:val="en-US" w:eastAsia="zh-CN"/>
        </w:rPr>
        <w:tab/>
        <w:t>type of electrical protection:</w:t>
      </w:r>
      <w:r w:rsidRPr="00C903F8">
        <w:rPr>
          <w:rFonts w:cs="Arial"/>
          <w:noProof/>
          <w:szCs w:val="22"/>
          <w:lang w:val="en-US" w:eastAsia="zh-CN"/>
        </w:rPr>
        <w:tab/>
        <w:t>IP 54 in accordance with the International Standard IEC 529</w:t>
      </w:r>
    </w:p>
    <w:p w:rsidR="009C13A9" w:rsidRPr="00C903F8" w:rsidRDefault="009C13A9" w:rsidP="009C13A9">
      <w:pPr>
        <w:tabs>
          <w:tab w:val="left" w:pos="851"/>
        </w:tabs>
        <w:spacing w:before="60" w:line="240" w:lineRule="atLeast"/>
        <w:ind w:left="3544" w:hanging="3118"/>
        <w:rPr>
          <w:rFonts w:cs="Arial"/>
          <w:noProof/>
          <w:szCs w:val="22"/>
          <w:lang w:val="en-US" w:eastAsia="zh-CN"/>
        </w:rPr>
      </w:pPr>
      <w:r w:rsidRPr="00C903F8">
        <w:rPr>
          <w:rFonts w:cs="Arial"/>
          <w:noProof/>
          <w:szCs w:val="22"/>
          <w:lang w:val="en-US" w:eastAsia="zh-CN"/>
        </w:rPr>
        <w:t>-</w:t>
      </w:r>
      <w:r w:rsidRPr="00C903F8">
        <w:rPr>
          <w:rFonts w:cs="Arial"/>
          <w:noProof/>
          <w:szCs w:val="22"/>
          <w:lang w:val="en-US" w:eastAsia="zh-CN"/>
        </w:rPr>
        <w:tab/>
        <w:t>oil resistance:</w:t>
      </w:r>
      <w:r w:rsidRPr="00C903F8">
        <w:rPr>
          <w:rFonts w:cs="Arial"/>
          <w:noProof/>
          <w:szCs w:val="22"/>
          <w:lang w:val="en-US" w:eastAsia="zh-CN"/>
        </w:rPr>
        <w:tab/>
        <w:t>although intended to be installed in the engine room, the devices or device components must be oil resistant</w:t>
      </w:r>
    </w:p>
    <w:p w:rsidR="009C13A9" w:rsidRPr="00C903F8" w:rsidRDefault="009C13A9" w:rsidP="009C13A9">
      <w:pPr>
        <w:tabs>
          <w:tab w:val="left" w:pos="851"/>
        </w:tabs>
        <w:spacing w:before="60" w:line="240" w:lineRule="atLeast"/>
        <w:ind w:left="3544" w:hanging="3118"/>
        <w:rPr>
          <w:rFonts w:cs="Arial"/>
          <w:noProof/>
          <w:szCs w:val="22"/>
          <w:lang w:val="en-US" w:eastAsia="zh-CN"/>
        </w:rPr>
      </w:pPr>
      <w:r w:rsidRPr="00C903F8">
        <w:rPr>
          <w:rFonts w:cs="Arial"/>
          <w:noProof/>
          <w:szCs w:val="22"/>
          <w:lang w:val="en-US" w:eastAsia="zh-CN"/>
        </w:rPr>
        <w:t>-</w:t>
      </w:r>
      <w:r w:rsidRPr="00C903F8">
        <w:rPr>
          <w:rFonts w:cs="Arial"/>
          <w:noProof/>
          <w:szCs w:val="22"/>
          <w:lang w:val="en-US" w:eastAsia="zh-CN"/>
        </w:rPr>
        <w:tab/>
        <w:t>permissible time recording</w:t>
      </w:r>
    </w:p>
    <w:p w:rsidR="009C13A9" w:rsidRPr="00C903F8" w:rsidRDefault="009C13A9" w:rsidP="009C13A9">
      <w:pPr>
        <w:tabs>
          <w:tab w:val="left" w:pos="851"/>
        </w:tabs>
        <w:spacing w:line="240" w:lineRule="atLeast"/>
        <w:ind w:left="3544" w:hanging="2693"/>
        <w:rPr>
          <w:rFonts w:cs="Arial"/>
          <w:noProof/>
          <w:szCs w:val="22"/>
          <w:lang w:val="en-US" w:eastAsia="zh-CN"/>
        </w:rPr>
      </w:pPr>
      <w:r w:rsidRPr="00C903F8">
        <w:rPr>
          <w:rFonts w:cs="Arial"/>
          <w:noProof/>
          <w:szCs w:val="22"/>
          <w:lang w:val="en-US" w:eastAsia="zh-CN"/>
        </w:rPr>
        <w:t>tolerances:</w:t>
      </w:r>
      <w:r w:rsidRPr="00C903F8">
        <w:rPr>
          <w:rFonts w:cs="Arial"/>
          <w:noProof/>
          <w:szCs w:val="22"/>
          <w:lang w:val="en-US" w:eastAsia="zh-CN"/>
        </w:rPr>
        <w:tab/>
      </w:r>
      <w:r w:rsidRPr="00C903F8">
        <w:rPr>
          <w:rFonts w:cs="Arial"/>
          <w:noProof/>
          <w:szCs w:val="22"/>
          <w:lang w:val="nl-NL" w:eastAsia="zh-CN"/>
        </w:rPr>
        <w:sym w:font="Symbol" w:char="F0B1"/>
      </w:r>
      <w:r w:rsidRPr="00C903F8">
        <w:rPr>
          <w:rFonts w:cs="Arial"/>
          <w:noProof/>
          <w:szCs w:val="22"/>
          <w:lang w:val="en-US" w:eastAsia="zh-CN"/>
        </w:rPr>
        <w:t xml:space="preserve"> 2 minutes per 24 hours.</w:t>
      </w:r>
    </w:p>
    <w:p w:rsidR="009C13A9" w:rsidRPr="00C903F8" w:rsidRDefault="009C13A9" w:rsidP="009C13A9">
      <w:pPr>
        <w:tabs>
          <w:tab w:val="left" w:pos="284"/>
          <w:tab w:val="left" w:leader="dot" w:pos="8505"/>
        </w:tabs>
        <w:ind w:left="284" w:hanging="284"/>
        <w:rPr>
          <w:lang w:val="en-US"/>
        </w:rPr>
      </w:pPr>
    </w:p>
    <w:p w:rsidR="009C13A9" w:rsidRPr="00C903F8" w:rsidRDefault="009C13A9" w:rsidP="009C13A9">
      <w:pPr>
        <w:tabs>
          <w:tab w:val="left" w:pos="284"/>
          <w:tab w:val="left" w:leader="dot" w:pos="8505"/>
        </w:tabs>
        <w:ind w:left="284" w:hanging="284"/>
        <w:rPr>
          <w:lang w:val="en-US"/>
        </w:rPr>
      </w:pPr>
    </w:p>
    <w:p w:rsidR="009C13A9" w:rsidRPr="00C903F8" w:rsidRDefault="00F04CAF" w:rsidP="009C13A9">
      <w:pPr>
        <w:spacing w:line="240" w:lineRule="atLeast"/>
        <w:ind w:left="0" w:firstLine="0"/>
        <w:jc w:val="center"/>
        <w:rPr>
          <w:rFonts w:cs="Arial"/>
          <w:b/>
          <w:noProof/>
          <w:lang w:val="en-US"/>
        </w:rPr>
      </w:pPr>
      <w:r>
        <w:rPr>
          <w:rFonts w:cs="Arial"/>
          <w:b/>
          <w:noProof/>
          <w:lang w:val="en-US"/>
        </w:rPr>
        <w:t>Article 3</w:t>
      </w:r>
    </w:p>
    <w:p w:rsidR="009C13A9" w:rsidRPr="00C903F8" w:rsidRDefault="009C13A9" w:rsidP="009C13A9">
      <w:pPr>
        <w:spacing w:line="240" w:lineRule="atLeast"/>
        <w:ind w:left="0" w:firstLine="0"/>
        <w:jc w:val="center"/>
        <w:rPr>
          <w:rFonts w:cs="Arial"/>
          <w:i/>
          <w:noProof/>
          <w:lang w:val="en-US"/>
        </w:rPr>
      </w:pPr>
      <w:r w:rsidRPr="00C903F8">
        <w:rPr>
          <w:rFonts w:cs="Arial"/>
          <w:i/>
          <w:noProof/>
          <w:lang w:val="en-US"/>
        </w:rPr>
        <w:t>Requirements for installing shipboard tachographs</w:t>
      </w:r>
    </w:p>
    <w:p w:rsidR="009C13A9" w:rsidRPr="00C903F8" w:rsidRDefault="009C13A9" w:rsidP="009C13A9">
      <w:pPr>
        <w:tabs>
          <w:tab w:val="left" w:pos="284"/>
          <w:tab w:val="left" w:leader="dot" w:pos="8505"/>
        </w:tabs>
        <w:ind w:left="284" w:hanging="284"/>
        <w:rPr>
          <w:lang w:val="en-US"/>
        </w:rPr>
      </w:pPr>
    </w:p>
    <w:p w:rsidR="009C13A9" w:rsidRPr="00C903F8" w:rsidRDefault="009C13A9" w:rsidP="009C13A9">
      <w:pPr>
        <w:tabs>
          <w:tab w:val="left" w:pos="284"/>
          <w:tab w:val="left" w:leader="dot" w:pos="8505"/>
        </w:tabs>
        <w:ind w:left="284" w:hanging="284"/>
        <w:rPr>
          <w:lang w:val="en-US"/>
        </w:rPr>
      </w:pPr>
      <w:r w:rsidRPr="00C903F8">
        <w:rPr>
          <w:lang w:val="en-US"/>
        </w:rPr>
        <w:t>The following conditions are to be complied with when installing shipboard tachographs:</w:t>
      </w:r>
    </w:p>
    <w:p w:rsidR="009C13A9" w:rsidRPr="00C903F8" w:rsidRDefault="009C13A9" w:rsidP="009C13A9">
      <w:pPr>
        <w:tabs>
          <w:tab w:val="left" w:pos="284"/>
          <w:tab w:val="left" w:leader="dot" w:pos="8505"/>
        </w:tabs>
        <w:ind w:left="284" w:hanging="284"/>
        <w:rPr>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1.</w:t>
      </w:r>
      <w:r w:rsidRPr="00C903F8">
        <w:rPr>
          <w:rFonts w:cs="Arial"/>
          <w:color w:val="000000"/>
          <w:lang w:val="en-US"/>
        </w:rPr>
        <w:tab/>
        <w:t>Shipboard tachographs can only be installed by specialist firms approved by the competent authority.</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2.</w:t>
      </w:r>
      <w:r w:rsidRPr="00C903F8">
        <w:rPr>
          <w:rFonts w:cs="Arial"/>
          <w:color w:val="000000"/>
          <w:lang w:val="en-US"/>
        </w:rPr>
        <w:tab/>
        <w:t>The tachograph must be installed in the wheelhouse or other readily accessible location.</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3.</w:t>
      </w:r>
      <w:r w:rsidRPr="00C903F8">
        <w:rPr>
          <w:rFonts w:cs="Arial"/>
          <w:color w:val="000000"/>
          <w:lang w:val="en-US"/>
        </w:rPr>
        <w:tab/>
        <w:t>It must be possible to establish visually whether the device is operating. The device must be permanently supplied with electric power by means of an uninterrupted power supply circuit with its own fuse protection and connected directly to this power supply.</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4.</w:t>
      </w:r>
      <w:r w:rsidRPr="00C903F8">
        <w:rPr>
          <w:rFonts w:cs="Arial"/>
          <w:color w:val="000000"/>
          <w:lang w:val="en-US"/>
        </w:rPr>
        <w:tab/>
        <w:t>Information concerning the vessel's movement, namely whether the vessel is “underway” or “not underway” is derived from the movement of the propulsion system. The corresponding signal must originate from the rotation of the propeller, from the propeller shaft or from the operation of the propulsion machinery. In the case of different propulsion systems, an equivalent solution must be achieved.</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5.</w:t>
      </w:r>
      <w:r w:rsidRPr="00C903F8">
        <w:rPr>
          <w:rFonts w:cs="Arial"/>
          <w:color w:val="000000"/>
          <w:lang w:val="en-US"/>
        </w:rPr>
        <w:tab/>
        <w:t>The technical equipment for capturing the movement of the vessel must be installed so as to be as operationally reliable as possible and immune from unauthorised interventions. To this end, the signal transmission circuit (including the signal generator and device inlet terminal), from the propulsion system to the device must be protected by appropriate means with monitoring to detect any interruption of the circuit. Appropriate for this purpose are for example seals bearing identification markings and visible cable runs or monitoring circuits.</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br w:type="page"/>
      </w:r>
    </w:p>
    <w:p w:rsidR="00B70FC2" w:rsidRDefault="00B70FC2"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6.</w:t>
      </w:r>
      <w:r w:rsidRPr="00C903F8">
        <w:rPr>
          <w:rFonts w:cs="Arial"/>
          <w:color w:val="000000"/>
          <w:lang w:val="en-US"/>
        </w:rPr>
        <w:tab/>
        <w:t>Upon completion of the installation, the specialist firm which has carried out or supervised the installation carries out an operating test. It issues a certificate attesting to the characteristics of the installation (in particular the location and type of seals and their markings, location and type of monitoring equipment) and that it is operating correctly; the certificate must also provide information on the type of approved device. A new operating test is required after any replacement, modification or repair; this test must be referred to on the certificate.</w:t>
      </w:r>
    </w:p>
    <w:p w:rsidR="009C13A9" w:rsidRPr="00C903F8" w:rsidRDefault="009C13A9" w:rsidP="009C13A9">
      <w:pPr>
        <w:tabs>
          <w:tab w:val="left" w:pos="284"/>
          <w:tab w:val="left" w:leader="dot" w:pos="8505"/>
        </w:tabs>
        <w:ind w:left="284" w:hanging="284"/>
        <w:rPr>
          <w:lang w:val="en-US"/>
        </w:rPr>
      </w:pPr>
    </w:p>
    <w:p w:rsidR="009C13A9" w:rsidRPr="00C903F8" w:rsidRDefault="009C13A9" w:rsidP="009C13A9">
      <w:pPr>
        <w:spacing w:line="240" w:lineRule="atLeast"/>
        <w:ind w:left="426" w:firstLine="0"/>
        <w:rPr>
          <w:lang w:val="en-US" w:eastAsia="nl-NL"/>
        </w:rPr>
      </w:pPr>
      <w:r w:rsidRPr="00C903F8">
        <w:rPr>
          <w:lang w:val="en-US" w:eastAsia="nl-NL"/>
        </w:rPr>
        <w:t>The certificate must at a minimum comprise the following data:</w:t>
      </w:r>
    </w:p>
    <w:p w:rsidR="009C13A9" w:rsidRPr="00C903F8" w:rsidRDefault="009C13A9" w:rsidP="009C13A9">
      <w:pPr>
        <w:spacing w:before="60" w:line="240" w:lineRule="atLeast"/>
        <w:ind w:left="851"/>
        <w:rPr>
          <w:rFonts w:cs="Arial"/>
          <w:noProof/>
          <w:szCs w:val="22"/>
          <w:lang w:val="en-US" w:eastAsia="zh-CN"/>
        </w:rPr>
      </w:pPr>
      <w:r w:rsidRPr="00C903F8">
        <w:rPr>
          <w:rFonts w:cs="Arial"/>
          <w:noProof/>
          <w:szCs w:val="22"/>
          <w:lang w:val="en-US" w:eastAsia="zh-CN"/>
        </w:rPr>
        <w:t>-</w:t>
      </w:r>
      <w:r w:rsidRPr="00C903F8">
        <w:rPr>
          <w:rFonts w:cs="Arial"/>
          <w:noProof/>
          <w:szCs w:val="22"/>
          <w:lang w:val="en-US" w:eastAsia="zh-CN"/>
        </w:rPr>
        <w:tab/>
        <w:t>name, address and unique reference of the approved specialist firm that has carried out or supervised the installation;</w:t>
      </w:r>
    </w:p>
    <w:p w:rsidR="009C13A9" w:rsidRPr="00C903F8" w:rsidRDefault="009C13A9" w:rsidP="009C13A9">
      <w:pPr>
        <w:spacing w:before="60" w:line="240" w:lineRule="atLeast"/>
        <w:ind w:left="851"/>
        <w:rPr>
          <w:rFonts w:cs="Arial"/>
          <w:noProof/>
          <w:szCs w:val="22"/>
          <w:lang w:val="en-US" w:eastAsia="zh-CN"/>
        </w:rPr>
      </w:pPr>
      <w:r w:rsidRPr="00C903F8">
        <w:rPr>
          <w:rFonts w:cs="Arial"/>
          <w:noProof/>
          <w:szCs w:val="22"/>
          <w:lang w:val="en-US" w:eastAsia="zh-CN"/>
        </w:rPr>
        <w:t>-</w:t>
      </w:r>
      <w:r w:rsidRPr="00C903F8">
        <w:rPr>
          <w:rFonts w:cs="Arial"/>
          <w:noProof/>
          <w:szCs w:val="22"/>
          <w:lang w:val="en-US" w:eastAsia="zh-CN"/>
        </w:rPr>
        <w:tab/>
        <w:t>name, address and telephone number of the competent authority that approved the company;</w:t>
      </w:r>
    </w:p>
    <w:p w:rsidR="009C13A9" w:rsidRPr="00C903F8" w:rsidRDefault="009C13A9" w:rsidP="009C13A9">
      <w:pPr>
        <w:spacing w:before="60" w:line="240" w:lineRule="atLeast"/>
        <w:ind w:left="851"/>
        <w:rPr>
          <w:rFonts w:cs="Arial"/>
          <w:noProof/>
          <w:szCs w:val="22"/>
          <w:lang w:val="en-US" w:eastAsia="zh-CN"/>
        </w:rPr>
      </w:pPr>
      <w:r w:rsidRPr="00C903F8">
        <w:rPr>
          <w:rFonts w:cs="Arial"/>
          <w:noProof/>
          <w:szCs w:val="22"/>
          <w:lang w:val="en-US" w:eastAsia="zh-CN"/>
        </w:rPr>
        <w:t>-</w:t>
      </w:r>
      <w:r w:rsidRPr="00C903F8">
        <w:rPr>
          <w:rFonts w:cs="Arial"/>
          <w:noProof/>
          <w:szCs w:val="22"/>
          <w:lang w:val="en-US" w:eastAsia="zh-CN"/>
        </w:rPr>
        <w:tab/>
        <w:t>unique European</w:t>
      </w:r>
      <w:r w:rsidR="006D37CC" w:rsidRPr="00C903F8">
        <w:rPr>
          <w:rFonts w:cs="Arial"/>
          <w:noProof/>
          <w:szCs w:val="22"/>
          <w:lang w:val="en-US" w:eastAsia="zh-CN"/>
        </w:rPr>
        <w:t xml:space="preserve"> vessel</w:t>
      </w:r>
      <w:r w:rsidRPr="00C903F8">
        <w:rPr>
          <w:rFonts w:cs="Arial"/>
          <w:noProof/>
          <w:szCs w:val="22"/>
          <w:lang w:val="en-US" w:eastAsia="zh-CN"/>
        </w:rPr>
        <w:t xml:space="preserve"> identification number of the vessels or official number of the vessel;</w:t>
      </w:r>
    </w:p>
    <w:p w:rsidR="009C13A9" w:rsidRPr="00C903F8" w:rsidRDefault="009C13A9" w:rsidP="009C13A9">
      <w:pPr>
        <w:spacing w:before="60" w:line="240" w:lineRule="atLeast"/>
        <w:ind w:left="851"/>
        <w:rPr>
          <w:rFonts w:cs="Arial"/>
          <w:noProof/>
          <w:szCs w:val="22"/>
          <w:lang w:val="en-US" w:eastAsia="zh-CN"/>
        </w:rPr>
      </w:pPr>
      <w:r w:rsidRPr="00C903F8">
        <w:rPr>
          <w:rFonts w:cs="Arial"/>
          <w:noProof/>
          <w:szCs w:val="22"/>
          <w:lang w:val="en-US" w:eastAsia="zh-CN"/>
        </w:rPr>
        <w:t>-</w:t>
      </w:r>
      <w:r w:rsidRPr="00C903F8">
        <w:rPr>
          <w:rFonts w:cs="Arial"/>
          <w:noProof/>
          <w:szCs w:val="22"/>
          <w:lang w:val="en-US" w:eastAsia="zh-CN"/>
        </w:rPr>
        <w:tab/>
        <w:t>tachograph type and serial number;</w:t>
      </w:r>
    </w:p>
    <w:p w:rsidR="009C13A9" w:rsidRPr="00C903F8" w:rsidRDefault="009C13A9" w:rsidP="009C13A9">
      <w:pPr>
        <w:spacing w:before="60" w:line="240" w:lineRule="atLeast"/>
        <w:ind w:left="851"/>
        <w:rPr>
          <w:rFonts w:cs="Arial"/>
          <w:noProof/>
          <w:szCs w:val="22"/>
          <w:lang w:val="en-US" w:eastAsia="zh-CN"/>
        </w:rPr>
      </w:pPr>
      <w:r w:rsidRPr="00C903F8">
        <w:rPr>
          <w:rFonts w:cs="Arial"/>
          <w:noProof/>
          <w:szCs w:val="22"/>
          <w:lang w:val="en-US" w:eastAsia="zh-CN"/>
        </w:rPr>
        <w:t>-</w:t>
      </w:r>
      <w:r w:rsidRPr="00C903F8">
        <w:rPr>
          <w:rFonts w:cs="Arial"/>
          <w:noProof/>
          <w:szCs w:val="22"/>
          <w:lang w:val="en-US" w:eastAsia="zh-CN"/>
        </w:rPr>
        <w:tab/>
        <w:t>date of the operating test.</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lang w:val="en-US" w:eastAsia="nl-NL"/>
        </w:rPr>
      </w:pPr>
      <w:r w:rsidRPr="00C903F8">
        <w:rPr>
          <w:lang w:val="en-US" w:eastAsia="nl-NL"/>
        </w:rPr>
        <w:t>The certificate is valid for 5 years.</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426" w:firstLine="0"/>
        <w:rPr>
          <w:lang w:val="en-US" w:eastAsia="nl-NL"/>
        </w:rPr>
      </w:pPr>
      <w:r w:rsidRPr="00C903F8">
        <w:rPr>
          <w:lang w:val="en-US" w:eastAsia="nl-NL"/>
        </w:rPr>
        <w:t>The purpose of the certificate is to prove that the device is approved, installed by an approved specialist firm and has been tested for correct operation.</w:t>
      </w:r>
    </w:p>
    <w:p w:rsidR="009C13A9" w:rsidRPr="00C903F8" w:rsidRDefault="009C13A9" w:rsidP="009C13A9">
      <w:pPr>
        <w:tabs>
          <w:tab w:val="left" w:pos="284"/>
          <w:tab w:val="left" w:pos="567"/>
        </w:tabs>
        <w:ind w:left="284" w:hanging="284"/>
        <w:rPr>
          <w:lang w:val="en-US"/>
        </w:rPr>
      </w:pPr>
    </w:p>
    <w:p w:rsidR="009C13A9" w:rsidRPr="00C903F8" w:rsidRDefault="009C13A9" w:rsidP="009C13A9">
      <w:pPr>
        <w:tabs>
          <w:tab w:val="left" w:pos="284"/>
          <w:tab w:val="left" w:pos="567"/>
        </w:tabs>
        <w:ind w:left="284" w:hanging="284"/>
        <w:rPr>
          <w:lang w:val="en-US"/>
        </w:rPr>
      </w:pPr>
      <w:r w:rsidRPr="00C903F8">
        <w:rPr>
          <w:lang w:val="en-US"/>
        </w:rPr>
        <w:t>7.</w:t>
      </w:r>
      <w:r w:rsidRPr="00C903F8">
        <w:rPr>
          <w:lang w:val="en-US"/>
        </w:rPr>
        <w:tab/>
        <w:t>The vessel's command must be trained in the use of the device by the approved company and user instructions must be handed over for retention on board. This must be mentioned on the shipboard installation certificate.</w:t>
      </w:r>
    </w:p>
    <w:p w:rsidR="009C13A9" w:rsidRPr="00C903F8" w:rsidRDefault="009C13A9" w:rsidP="009C13A9">
      <w:pPr>
        <w:tabs>
          <w:tab w:val="left" w:pos="284"/>
          <w:tab w:val="left" w:pos="567"/>
        </w:tabs>
        <w:ind w:left="284" w:hanging="284"/>
        <w:rPr>
          <w:lang w:val="en-US"/>
        </w:rPr>
      </w:pPr>
    </w:p>
    <w:p w:rsidR="009C13A9" w:rsidRPr="00C903F8" w:rsidRDefault="009C13A9" w:rsidP="009C13A9">
      <w:pPr>
        <w:tabs>
          <w:tab w:val="left" w:pos="284"/>
          <w:tab w:val="left" w:pos="567"/>
        </w:tabs>
        <w:ind w:left="284" w:hanging="284"/>
        <w:rPr>
          <w:lang w:val="en-US"/>
        </w:rPr>
      </w:pPr>
    </w:p>
    <w:p w:rsidR="009C13A9" w:rsidRPr="00C903F8" w:rsidRDefault="009C13A9" w:rsidP="009C13A9">
      <w:pPr>
        <w:tabs>
          <w:tab w:val="left" w:pos="284"/>
          <w:tab w:val="left" w:pos="567"/>
        </w:tabs>
        <w:ind w:left="284" w:hanging="284"/>
        <w:rPr>
          <w:lang w:val="en-US"/>
        </w:rPr>
      </w:pPr>
      <w:r w:rsidRPr="00C903F8">
        <w:rPr>
          <w:lang w:val="en-US"/>
        </w:rPr>
        <w:br w:type="page"/>
      </w:r>
    </w:p>
    <w:p w:rsidR="009C13A9" w:rsidRPr="00C903F8" w:rsidRDefault="009C13A9" w:rsidP="009C13A9">
      <w:pPr>
        <w:tabs>
          <w:tab w:val="left" w:pos="284"/>
          <w:tab w:val="left" w:pos="567"/>
        </w:tabs>
        <w:ind w:left="284" w:hanging="284"/>
        <w:rPr>
          <w:lang w:val="en-US"/>
        </w:rPr>
      </w:pPr>
    </w:p>
    <w:p w:rsidR="009C13A9" w:rsidRPr="00C903F8" w:rsidRDefault="009C13A9" w:rsidP="009C13A9">
      <w:pPr>
        <w:tabs>
          <w:tab w:val="left" w:pos="284"/>
          <w:tab w:val="left" w:pos="567"/>
        </w:tabs>
        <w:ind w:left="284" w:hanging="284"/>
        <w:rPr>
          <w:lang w:val="en-US"/>
        </w:rPr>
      </w:pPr>
    </w:p>
    <w:p w:rsidR="009C13A9" w:rsidRPr="00C903F8" w:rsidRDefault="009C13A9" w:rsidP="009C13A9">
      <w:pPr>
        <w:tabs>
          <w:tab w:val="left" w:pos="284"/>
          <w:tab w:val="left" w:pos="567"/>
        </w:tabs>
        <w:ind w:left="284" w:hanging="284"/>
        <w:rPr>
          <w:lang w:val="en-US"/>
        </w:rPr>
      </w:pPr>
    </w:p>
    <w:p w:rsidR="009C13A9" w:rsidRPr="00C903F8" w:rsidRDefault="009C13A9" w:rsidP="009C13A9">
      <w:pPr>
        <w:tabs>
          <w:tab w:val="left" w:pos="284"/>
          <w:tab w:val="left" w:pos="567"/>
        </w:tabs>
        <w:ind w:left="284" w:hanging="284"/>
        <w:rPr>
          <w:lang w:val="en-US"/>
        </w:rPr>
      </w:pPr>
    </w:p>
    <w:p w:rsidR="009C13A9" w:rsidRPr="00C903F8" w:rsidRDefault="009C13A9" w:rsidP="009C13A9">
      <w:pPr>
        <w:tabs>
          <w:tab w:val="left" w:pos="284"/>
          <w:tab w:val="left" w:pos="567"/>
        </w:tabs>
        <w:ind w:left="284" w:hanging="284"/>
        <w:rPr>
          <w:lang w:val="en-US"/>
        </w:rPr>
      </w:pPr>
      <w:r w:rsidRPr="00C903F8">
        <w:rPr>
          <w:lang w:val="en-US"/>
        </w:rPr>
        <w:br w:type="page"/>
      </w:r>
    </w:p>
    <w:p w:rsidR="009C13A9" w:rsidRPr="00C903F8" w:rsidRDefault="00925755" w:rsidP="00C92BD2">
      <w:pPr>
        <w:pStyle w:val="ES-Titre3"/>
        <w:rPr>
          <w:noProof/>
          <w:lang w:val="en-US"/>
        </w:rPr>
      </w:pPr>
      <w:bookmarkStart w:id="342" w:name="_Toc491854320"/>
      <w:r w:rsidRPr="00C903F8">
        <w:rPr>
          <w:noProof/>
          <w:lang w:val="en-US"/>
        </w:rPr>
        <w:lastRenderedPageBreak/>
        <w:t>Section</w:t>
      </w:r>
      <w:r w:rsidR="009C13A9" w:rsidRPr="00C903F8">
        <w:rPr>
          <w:noProof/>
          <w:lang w:val="en-US"/>
        </w:rPr>
        <w:t xml:space="preserve"> VI</w:t>
      </w:r>
      <w:bookmarkEnd w:id="342"/>
    </w:p>
    <w:p w:rsidR="009C13A9" w:rsidRPr="00C903F8" w:rsidRDefault="009C13A9" w:rsidP="00C92BD2">
      <w:pPr>
        <w:pStyle w:val="ES-Titre3a"/>
        <w:rPr>
          <w:noProof/>
          <w:lang w:val="en-US"/>
        </w:rPr>
      </w:pPr>
      <w:bookmarkStart w:id="343" w:name="_Toc491854321"/>
      <w:r w:rsidRPr="00C903F8">
        <w:rPr>
          <w:noProof/>
          <w:lang w:val="en-US"/>
        </w:rPr>
        <w:t xml:space="preserve">Installation and performance certificate </w:t>
      </w:r>
      <w:r w:rsidR="00181116" w:rsidRPr="00C903F8">
        <w:rPr>
          <w:noProof/>
          <w:lang w:val="en-US"/>
        </w:rPr>
        <w:t>for navigational radar installation</w:t>
      </w:r>
      <w:r w:rsidR="00A379E7" w:rsidRPr="00C903F8">
        <w:rPr>
          <w:noProof/>
          <w:lang w:val="en-US"/>
        </w:rPr>
        <w:t>s</w:t>
      </w:r>
      <w:r w:rsidR="007C1DAC" w:rsidRPr="00C903F8">
        <w:rPr>
          <w:noProof/>
          <w:lang w:val="en-US"/>
        </w:rPr>
        <w:t>,</w:t>
      </w:r>
      <w:r w:rsidR="00181116" w:rsidRPr="00C903F8">
        <w:rPr>
          <w:noProof/>
          <w:lang w:val="en-US"/>
        </w:rPr>
        <w:t xml:space="preserve"> rate-of-turn indicators, for Inland AIS equipment and for tachographs in inland navigation</w:t>
      </w:r>
      <w:bookmarkEnd w:id="343"/>
    </w:p>
    <w:p w:rsidR="009C13A9" w:rsidRPr="00C903F8" w:rsidRDefault="009C13A9" w:rsidP="009C13A9">
      <w:pPr>
        <w:overflowPunct w:val="0"/>
        <w:adjustRightInd w:val="0"/>
        <w:spacing w:line="240" w:lineRule="exact"/>
        <w:ind w:left="0" w:firstLine="0"/>
        <w:jc w:val="center"/>
        <w:textAlignment w:val="baseline"/>
        <w:rPr>
          <w:rFonts w:eastAsia="Calibri"/>
          <w:szCs w:val="20"/>
          <w:lang w:val="en-US" w:eastAsia="en-US"/>
        </w:rPr>
      </w:pPr>
      <w:r w:rsidRPr="00C903F8">
        <w:rPr>
          <w:rFonts w:eastAsia="Calibri"/>
          <w:noProof/>
          <w:szCs w:val="20"/>
          <w:lang w:val="en-US" w:eastAsia="en-US"/>
        </w:rPr>
        <w:t>(Model)</w:t>
      </w:r>
    </w:p>
    <w:p w:rsidR="009C13A9" w:rsidRPr="00C903F8" w:rsidRDefault="009C13A9" w:rsidP="009C13A9">
      <w:pPr>
        <w:tabs>
          <w:tab w:val="left" w:leader="dot" w:pos="9072"/>
        </w:tabs>
        <w:spacing w:line="240" w:lineRule="atLeast"/>
        <w:ind w:left="0" w:firstLine="0"/>
        <w:rPr>
          <w:rFonts w:cs="Arial"/>
          <w:snapToGrid w:val="0"/>
          <w:lang w:val="en-US"/>
        </w:rPr>
      </w:pPr>
    </w:p>
    <w:p w:rsidR="009C13A9" w:rsidRPr="00C903F8" w:rsidRDefault="009C13A9" w:rsidP="009C13A9">
      <w:pPr>
        <w:tabs>
          <w:tab w:val="left" w:leader="dot" w:pos="9072"/>
        </w:tabs>
        <w:autoSpaceDE/>
        <w:autoSpaceDN/>
        <w:spacing w:after="120"/>
        <w:ind w:left="0" w:firstLine="0"/>
        <w:rPr>
          <w:rFonts w:cs="Arial"/>
          <w:noProof/>
          <w:szCs w:val="20"/>
          <w:lang w:val="en-GB" w:eastAsia="en-US"/>
        </w:rPr>
      </w:pPr>
      <w:r w:rsidRPr="00C903F8">
        <w:rPr>
          <w:rFonts w:cs="Arial"/>
          <w:noProof/>
          <w:szCs w:val="20"/>
          <w:lang w:val="en-GB" w:eastAsia="en-US"/>
        </w:rPr>
        <w:t xml:space="preserve">Vessel name/type: </w:t>
      </w:r>
      <w:r w:rsidRPr="00C903F8">
        <w:rPr>
          <w:rFonts w:cs="Arial"/>
          <w:noProof/>
          <w:szCs w:val="20"/>
          <w:lang w:val="en-GB" w:eastAsia="en-US"/>
        </w:rPr>
        <w:tab/>
      </w:r>
    </w:p>
    <w:p w:rsidR="009C13A9" w:rsidRPr="00C903F8" w:rsidRDefault="006D37CC" w:rsidP="009C13A9">
      <w:pPr>
        <w:tabs>
          <w:tab w:val="left" w:leader="dot" w:pos="9072"/>
        </w:tabs>
        <w:autoSpaceDE/>
        <w:autoSpaceDN/>
        <w:spacing w:after="120"/>
        <w:ind w:left="0" w:firstLine="0"/>
        <w:rPr>
          <w:rFonts w:cs="Arial"/>
          <w:noProof/>
          <w:szCs w:val="20"/>
          <w:lang w:val="en-US" w:eastAsia="en-US"/>
        </w:rPr>
      </w:pPr>
      <w:r w:rsidRPr="00C903F8">
        <w:rPr>
          <w:rFonts w:cs="Arial"/>
          <w:iCs/>
          <w:noProof/>
          <w:szCs w:val="20"/>
          <w:lang w:val="en-US" w:eastAsia="en-US"/>
        </w:rPr>
        <w:t xml:space="preserve">Unique </w:t>
      </w:r>
      <w:r w:rsidR="009C13A9" w:rsidRPr="00C903F8">
        <w:rPr>
          <w:rFonts w:cs="Arial"/>
          <w:iCs/>
          <w:noProof/>
          <w:szCs w:val="20"/>
          <w:lang w:val="en-US" w:eastAsia="en-US"/>
        </w:rPr>
        <w:t>European</w:t>
      </w:r>
      <w:r w:rsidR="009C13A9" w:rsidRPr="00C903F8">
        <w:rPr>
          <w:rFonts w:cs="Arial"/>
          <w:i/>
          <w:noProof/>
          <w:szCs w:val="20"/>
          <w:lang w:val="en-US" w:eastAsia="en-US"/>
        </w:rPr>
        <w:t xml:space="preserve"> </w:t>
      </w:r>
      <w:r w:rsidRPr="00C903F8">
        <w:rPr>
          <w:rFonts w:cs="Arial"/>
          <w:noProof/>
          <w:szCs w:val="20"/>
          <w:lang w:val="en-US" w:eastAsia="en-US"/>
        </w:rPr>
        <w:t>v</w:t>
      </w:r>
      <w:r w:rsidR="009C13A9" w:rsidRPr="00C903F8">
        <w:rPr>
          <w:rFonts w:cs="Arial"/>
          <w:noProof/>
          <w:szCs w:val="20"/>
          <w:lang w:val="en-US" w:eastAsia="en-US"/>
        </w:rPr>
        <w:t xml:space="preserve">essel </w:t>
      </w:r>
      <w:r w:rsidRPr="00C903F8">
        <w:rPr>
          <w:rFonts w:cs="Arial"/>
          <w:noProof/>
          <w:szCs w:val="20"/>
          <w:lang w:val="en-US" w:eastAsia="en-US"/>
        </w:rPr>
        <w:t>i</w:t>
      </w:r>
      <w:r w:rsidR="009C13A9" w:rsidRPr="00C903F8">
        <w:rPr>
          <w:rFonts w:cs="Arial"/>
          <w:noProof/>
          <w:szCs w:val="20"/>
          <w:lang w:val="en-US" w:eastAsia="en-US"/>
        </w:rPr>
        <w:t xml:space="preserve">dentification </w:t>
      </w:r>
      <w:r w:rsidRPr="00C903F8">
        <w:rPr>
          <w:rFonts w:cs="Arial"/>
          <w:noProof/>
          <w:szCs w:val="20"/>
          <w:lang w:val="en-US" w:eastAsia="en-US"/>
        </w:rPr>
        <w:t>n</w:t>
      </w:r>
      <w:r w:rsidR="009C13A9" w:rsidRPr="00C903F8">
        <w:rPr>
          <w:rFonts w:cs="Arial"/>
          <w:noProof/>
          <w:szCs w:val="20"/>
          <w:lang w:val="en-US" w:eastAsia="en-US"/>
        </w:rPr>
        <w:t xml:space="preserve">umber: </w:t>
      </w:r>
      <w:r w:rsidR="009C13A9" w:rsidRPr="00C903F8">
        <w:rPr>
          <w:rFonts w:cs="Arial"/>
          <w:noProof/>
          <w:szCs w:val="20"/>
          <w:lang w:val="en-US" w:eastAsia="en-US"/>
        </w:rPr>
        <w:tab/>
      </w:r>
    </w:p>
    <w:p w:rsidR="009C13A9" w:rsidRPr="00C903F8" w:rsidRDefault="009C13A9" w:rsidP="009C13A9">
      <w:pPr>
        <w:tabs>
          <w:tab w:val="left" w:leader="dot" w:pos="9072"/>
        </w:tabs>
        <w:autoSpaceDE/>
        <w:autoSpaceDN/>
        <w:spacing w:after="120"/>
        <w:ind w:left="0" w:firstLine="0"/>
        <w:rPr>
          <w:rFonts w:cs="Arial"/>
          <w:noProof/>
          <w:szCs w:val="20"/>
          <w:lang w:val="en-GB" w:eastAsia="en-US"/>
        </w:rPr>
      </w:pPr>
      <w:r w:rsidRPr="00C903F8">
        <w:rPr>
          <w:rFonts w:cs="Arial"/>
          <w:b/>
          <w:noProof/>
          <w:szCs w:val="20"/>
          <w:lang w:val="en-GB" w:eastAsia="en-US"/>
        </w:rPr>
        <w:t>Vessel owner:</w:t>
      </w:r>
      <w:r w:rsidRPr="00C903F8">
        <w:rPr>
          <w:rFonts w:cs="Arial"/>
          <w:noProof/>
          <w:szCs w:val="20"/>
          <w:lang w:val="en-GB" w:eastAsia="en-US"/>
        </w:rPr>
        <w:t xml:space="preserve"> </w:t>
      </w:r>
    </w:p>
    <w:p w:rsidR="009C13A9" w:rsidRPr="00C903F8" w:rsidRDefault="009C13A9" w:rsidP="009C13A9">
      <w:pPr>
        <w:tabs>
          <w:tab w:val="left" w:leader="dot" w:pos="4536"/>
        </w:tabs>
        <w:autoSpaceDE/>
        <w:autoSpaceDN/>
        <w:spacing w:after="120"/>
        <w:ind w:left="0" w:firstLine="0"/>
        <w:rPr>
          <w:rFonts w:cs="Arial"/>
          <w:noProof/>
          <w:szCs w:val="20"/>
          <w:lang w:val="en-GB" w:eastAsia="en-US"/>
        </w:rPr>
      </w:pPr>
      <w:r w:rsidRPr="00C903F8">
        <w:rPr>
          <w:rFonts w:cs="Arial"/>
          <w:noProof/>
          <w:szCs w:val="20"/>
          <w:lang w:val="en-GB" w:eastAsia="en-US"/>
        </w:rPr>
        <w:t xml:space="preserve">Name: </w:t>
      </w:r>
      <w:r w:rsidRPr="00C903F8">
        <w:rPr>
          <w:rFonts w:cs="Arial"/>
          <w:noProof/>
          <w:szCs w:val="20"/>
          <w:lang w:val="en-GB" w:eastAsia="en-US"/>
        </w:rPr>
        <w:tab/>
      </w:r>
    </w:p>
    <w:p w:rsidR="009C13A9" w:rsidRPr="00C903F8" w:rsidRDefault="009C13A9" w:rsidP="009C13A9">
      <w:pPr>
        <w:tabs>
          <w:tab w:val="left" w:leader="dot" w:pos="9072"/>
        </w:tabs>
        <w:autoSpaceDE/>
        <w:autoSpaceDN/>
        <w:spacing w:after="120"/>
        <w:ind w:left="0" w:firstLine="0"/>
        <w:rPr>
          <w:rFonts w:cs="Arial"/>
          <w:noProof/>
          <w:szCs w:val="20"/>
          <w:lang w:val="en-GB" w:eastAsia="en-US"/>
        </w:rPr>
      </w:pPr>
      <w:r w:rsidRPr="00C903F8">
        <w:rPr>
          <w:rFonts w:cs="Arial"/>
          <w:noProof/>
          <w:szCs w:val="20"/>
          <w:lang w:val="en-GB" w:eastAsia="en-US"/>
        </w:rPr>
        <w:t xml:space="preserve">Address: </w:t>
      </w:r>
      <w:r w:rsidRPr="00C903F8">
        <w:rPr>
          <w:rFonts w:cs="Arial"/>
          <w:noProof/>
          <w:szCs w:val="20"/>
          <w:lang w:val="en-GB" w:eastAsia="en-US"/>
        </w:rPr>
        <w:tab/>
      </w:r>
    </w:p>
    <w:p w:rsidR="009C13A9" w:rsidRPr="00C903F8" w:rsidRDefault="009C13A9" w:rsidP="005C3F09">
      <w:pPr>
        <w:tabs>
          <w:tab w:val="left" w:leader="dot" w:pos="3119"/>
        </w:tabs>
        <w:autoSpaceDE/>
        <w:autoSpaceDN/>
        <w:ind w:left="0" w:firstLine="0"/>
        <w:rPr>
          <w:rFonts w:cs="Arial"/>
          <w:noProof/>
          <w:szCs w:val="20"/>
          <w:lang w:val="en-GB" w:eastAsia="en-US"/>
        </w:rPr>
      </w:pPr>
      <w:r w:rsidRPr="00C903F8">
        <w:rPr>
          <w:rFonts w:cs="Arial"/>
          <w:noProof/>
          <w:szCs w:val="20"/>
          <w:lang w:val="en-GB" w:eastAsia="en-US"/>
        </w:rPr>
        <w:t xml:space="preserve">Telephone: </w:t>
      </w:r>
      <w:r w:rsidRPr="00C903F8">
        <w:rPr>
          <w:rFonts w:cs="Arial"/>
          <w:noProof/>
          <w:szCs w:val="20"/>
          <w:lang w:val="en-GB" w:eastAsia="en-US"/>
        </w:rPr>
        <w:tab/>
      </w:r>
    </w:p>
    <w:p w:rsidR="009C13A9" w:rsidRPr="00C903F8" w:rsidRDefault="009C13A9" w:rsidP="003E6750">
      <w:pPr>
        <w:tabs>
          <w:tab w:val="left" w:leader="dot" w:pos="9072"/>
        </w:tabs>
        <w:spacing w:line="240" w:lineRule="atLeast"/>
        <w:ind w:left="0" w:firstLine="0"/>
        <w:rPr>
          <w:rFonts w:cs="Arial"/>
          <w:snapToGrid w:val="0"/>
          <w:lang w:val="en-US"/>
        </w:rPr>
      </w:pPr>
    </w:p>
    <w:p w:rsidR="009C13A9" w:rsidRPr="00C903F8" w:rsidRDefault="009C13A9" w:rsidP="003E6750">
      <w:pPr>
        <w:tabs>
          <w:tab w:val="left" w:pos="284"/>
          <w:tab w:val="left" w:pos="5670"/>
          <w:tab w:val="left" w:leader="dot" w:pos="7655"/>
        </w:tabs>
        <w:overflowPunct w:val="0"/>
        <w:adjustRightInd w:val="0"/>
        <w:ind w:left="0" w:firstLine="0"/>
        <w:textAlignment w:val="baseline"/>
        <w:rPr>
          <w:rFonts w:cs="Arial"/>
          <w:snapToGrid w:val="0"/>
          <w:szCs w:val="20"/>
          <w:lang w:val="en-US"/>
        </w:rPr>
      </w:pPr>
      <w:r w:rsidRPr="00C903F8">
        <w:rPr>
          <w:rFonts w:cs="Arial"/>
          <w:b/>
          <w:bCs/>
          <w:noProof/>
          <w:snapToGrid w:val="0"/>
          <w:szCs w:val="20"/>
          <w:lang w:val="en-US"/>
        </w:rPr>
        <w:t xml:space="preserve">Navigational radar </w:t>
      </w:r>
      <w:r w:rsidR="00D52D51" w:rsidRPr="00C903F8">
        <w:rPr>
          <w:rFonts w:cs="Arial"/>
          <w:b/>
          <w:bCs/>
          <w:noProof/>
          <w:snapToGrid w:val="0"/>
          <w:szCs w:val="20"/>
          <w:lang w:val="en-US"/>
        </w:rPr>
        <w:t>installation</w:t>
      </w:r>
      <w:r w:rsidR="00A379E7" w:rsidRPr="00C903F8">
        <w:rPr>
          <w:rFonts w:cs="Arial"/>
          <w:b/>
          <w:bCs/>
          <w:noProof/>
          <w:snapToGrid w:val="0"/>
          <w:szCs w:val="20"/>
          <w:lang w:val="en-US"/>
        </w:rPr>
        <w:t>s</w:t>
      </w:r>
      <w:r w:rsidRPr="00C903F8">
        <w:rPr>
          <w:rFonts w:cs="Arial"/>
          <w:b/>
          <w:bCs/>
          <w:noProof/>
          <w:snapToGrid w:val="0"/>
          <w:szCs w:val="20"/>
          <w:lang w:val="en-US"/>
        </w:rPr>
        <w:t>:</w:t>
      </w:r>
      <w:r w:rsidRPr="00C903F8">
        <w:rPr>
          <w:rFonts w:cs="Arial"/>
          <w:snapToGrid w:val="0"/>
          <w:szCs w:val="20"/>
          <w:lang w:val="en-US"/>
        </w:rPr>
        <w:tab/>
      </w:r>
      <w:r w:rsidRPr="00C903F8">
        <w:rPr>
          <w:rFonts w:cs="Arial"/>
          <w:noProof/>
          <w:snapToGrid w:val="0"/>
          <w:szCs w:val="20"/>
          <w:lang w:val="en-US"/>
        </w:rPr>
        <w:t>Number:</w:t>
      </w:r>
      <w:r w:rsidRPr="00C903F8">
        <w:rPr>
          <w:rFonts w:cs="Arial"/>
          <w:snapToGrid w:val="0"/>
          <w:szCs w:val="20"/>
          <w:lang w:val="en-US"/>
        </w:rPr>
        <w:t xml:space="preserve"> </w:t>
      </w:r>
      <w:r w:rsidRPr="00C903F8">
        <w:rPr>
          <w:rFonts w:cs="Arial"/>
          <w:snapToGrid w:val="0"/>
          <w:szCs w:val="20"/>
          <w:lang w:val="en-US"/>
        </w:rPr>
        <w:tab/>
      </w:r>
    </w:p>
    <w:p w:rsidR="009C13A9" w:rsidRPr="00C903F8" w:rsidRDefault="009C13A9" w:rsidP="009C13A9">
      <w:pPr>
        <w:tabs>
          <w:tab w:val="left" w:leader="dot" w:pos="9072"/>
        </w:tabs>
        <w:spacing w:line="240" w:lineRule="atLeast"/>
        <w:ind w:left="0" w:firstLine="0"/>
        <w:rPr>
          <w:rFonts w:cs="Arial"/>
          <w:snapToGrid w:val="0"/>
          <w:lang w:val="en-US"/>
        </w:rPr>
      </w:pPr>
    </w:p>
    <w:tbl>
      <w:tblPr>
        <w:tblW w:w="0" w:type="auto"/>
        <w:tblLayout w:type="fixed"/>
        <w:tblCellMar>
          <w:left w:w="70" w:type="dxa"/>
          <w:right w:w="70" w:type="dxa"/>
        </w:tblCellMar>
        <w:tblLook w:val="0000" w:firstRow="0" w:lastRow="0" w:firstColumn="0" w:lastColumn="0" w:noHBand="0" w:noVBand="0"/>
      </w:tblPr>
      <w:tblGrid>
        <w:gridCol w:w="1814"/>
        <w:gridCol w:w="1814"/>
        <w:gridCol w:w="1814"/>
        <w:gridCol w:w="1814"/>
        <w:gridCol w:w="1814"/>
      </w:tblGrid>
      <w:tr w:rsidR="009C13A9" w:rsidRPr="00C903F8" w:rsidTr="009C13A9">
        <w:trPr>
          <w:cantSplit/>
        </w:trPr>
        <w:tc>
          <w:tcPr>
            <w:tcW w:w="1814" w:type="dxa"/>
            <w:tcBorders>
              <w:bottom w:val="single" w:sz="6" w:space="0" w:color="auto"/>
              <w:right w:val="single" w:sz="6" w:space="0" w:color="auto"/>
            </w:tcBorders>
          </w:tcPr>
          <w:p w:rsidR="009C13A9" w:rsidRPr="00C903F8" w:rsidRDefault="009C13A9" w:rsidP="009C13A9">
            <w:pPr>
              <w:jc w:val="center"/>
              <w:rPr>
                <w:noProof/>
                <w:sz w:val="16"/>
                <w:szCs w:val="20"/>
                <w:lang w:val="en-US"/>
              </w:rPr>
            </w:pPr>
            <w:r w:rsidRPr="00C903F8">
              <w:rPr>
                <w:noProof/>
                <w:sz w:val="16"/>
                <w:szCs w:val="20"/>
                <w:lang w:val="en-US"/>
              </w:rPr>
              <w:t>Item No</w:t>
            </w:r>
          </w:p>
        </w:tc>
        <w:tc>
          <w:tcPr>
            <w:tcW w:w="1814" w:type="dxa"/>
            <w:tcBorders>
              <w:left w:val="single" w:sz="6" w:space="0" w:color="auto"/>
              <w:bottom w:val="single" w:sz="6" w:space="0" w:color="auto"/>
              <w:right w:val="single" w:sz="6" w:space="0" w:color="auto"/>
            </w:tcBorders>
          </w:tcPr>
          <w:p w:rsidR="009C13A9" w:rsidRPr="00C903F8" w:rsidRDefault="009C13A9" w:rsidP="009C13A9">
            <w:pPr>
              <w:jc w:val="center"/>
              <w:rPr>
                <w:noProof/>
                <w:sz w:val="16"/>
                <w:szCs w:val="20"/>
                <w:lang w:val="en-US"/>
              </w:rPr>
            </w:pPr>
            <w:r w:rsidRPr="00C903F8">
              <w:rPr>
                <w:noProof/>
                <w:sz w:val="16"/>
                <w:szCs w:val="20"/>
                <w:lang w:val="en-US"/>
              </w:rPr>
              <w:t>Type</w:t>
            </w:r>
          </w:p>
        </w:tc>
        <w:tc>
          <w:tcPr>
            <w:tcW w:w="1814" w:type="dxa"/>
            <w:tcBorders>
              <w:left w:val="single" w:sz="6" w:space="0" w:color="auto"/>
              <w:bottom w:val="single" w:sz="6" w:space="0" w:color="auto"/>
              <w:right w:val="single" w:sz="6" w:space="0" w:color="auto"/>
            </w:tcBorders>
          </w:tcPr>
          <w:p w:rsidR="009C13A9" w:rsidRPr="00C903F8" w:rsidRDefault="009C13A9" w:rsidP="009C13A9">
            <w:pPr>
              <w:jc w:val="center"/>
              <w:rPr>
                <w:noProof/>
                <w:sz w:val="16"/>
                <w:szCs w:val="20"/>
                <w:lang w:val="en-US"/>
              </w:rPr>
            </w:pPr>
            <w:r w:rsidRPr="00C903F8">
              <w:rPr>
                <w:noProof/>
                <w:sz w:val="16"/>
                <w:szCs w:val="20"/>
                <w:lang w:val="en-US"/>
              </w:rPr>
              <w:t>Manufacturer</w:t>
            </w:r>
          </w:p>
        </w:tc>
        <w:tc>
          <w:tcPr>
            <w:tcW w:w="1814" w:type="dxa"/>
            <w:tcBorders>
              <w:left w:val="single" w:sz="6" w:space="0" w:color="auto"/>
              <w:bottom w:val="single" w:sz="6" w:space="0" w:color="auto"/>
              <w:right w:val="single" w:sz="6" w:space="0" w:color="auto"/>
            </w:tcBorders>
          </w:tcPr>
          <w:p w:rsidR="009C13A9" w:rsidRPr="00C903F8" w:rsidRDefault="009C13A9" w:rsidP="009C13A9">
            <w:pPr>
              <w:jc w:val="center"/>
              <w:rPr>
                <w:noProof/>
                <w:sz w:val="16"/>
                <w:szCs w:val="20"/>
              </w:rPr>
            </w:pPr>
            <w:r w:rsidRPr="00C903F8">
              <w:rPr>
                <w:noProof/>
                <w:sz w:val="16"/>
                <w:szCs w:val="20"/>
                <w:lang w:val="en-US"/>
              </w:rPr>
              <w:t>Type-appr</w:t>
            </w:r>
            <w:r w:rsidRPr="00C903F8">
              <w:rPr>
                <w:noProof/>
                <w:sz w:val="16"/>
                <w:szCs w:val="20"/>
              </w:rPr>
              <w:t>oval number</w:t>
            </w:r>
          </w:p>
        </w:tc>
        <w:tc>
          <w:tcPr>
            <w:tcW w:w="1814" w:type="dxa"/>
            <w:tcBorders>
              <w:left w:val="single" w:sz="6" w:space="0" w:color="auto"/>
              <w:bottom w:val="single" w:sz="6" w:space="0" w:color="auto"/>
            </w:tcBorders>
          </w:tcPr>
          <w:p w:rsidR="009C13A9" w:rsidRPr="00C903F8" w:rsidRDefault="009C13A9" w:rsidP="009C13A9">
            <w:pPr>
              <w:jc w:val="center"/>
              <w:rPr>
                <w:noProof/>
                <w:sz w:val="16"/>
                <w:szCs w:val="20"/>
              </w:rPr>
            </w:pPr>
            <w:r w:rsidRPr="00C903F8">
              <w:rPr>
                <w:noProof/>
                <w:sz w:val="16"/>
                <w:szCs w:val="20"/>
              </w:rPr>
              <w:t>Serial number</w:t>
            </w:r>
          </w:p>
        </w:tc>
      </w:tr>
      <w:tr w:rsidR="009C13A9" w:rsidRPr="00C903F8" w:rsidTr="009C13A9">
        <w:trPr>
          <w:cantSplit/>
        </w:trPr>
        <w:tc>
          <w:tcPr>
            <w:tcW w:w="1814" w:type="dxa"/>
            <w:tcBorders>
              <w:top w:val="single" w:sz="6" w:space="0" w:color="auto"/>
              <w:right w:val="single" w:sz="6" w:space="0" w:color="auto"/>
            </w:tcBorders>
          </w:tcPr>
          <w:p w:rsidR="009C13A9" w:rsidRPr="00C903F8" w:rsidRDefault="009C13A9" w:rsidP="009C13A9">
            <w:pPr>
              <w:tabs>
                <w:tab w:val="left" w:pos="284"/>
              </w:tabs>
              <w:overflowPunct w:val="0"/>
              <w:adjustRightInd w:val="0"/>
              <w:ind w:left="0" w:hanging="397"/>
              <w:jc w:val="center"/>
              <w:textAlignment w:val="baseline"/>
              <w:rPr>
                <w:rFonts w:cs="Arial"/>
                <w:snapToGrid w:val="0"/>
                <w:sz w:val="22"/>
                <w:szCs w:val="20"/>
              </w:rPr>
            </w:pPr>
          </w:p>
        </w:tc>
        <w:tc>
          <w:tcPr>
            <w:tcW w:w="1814" w:type="dxa"/>
            <w:tcBorders>
              <w:top w:val="single" w:sz="6" w:space="0" w:color="auto"/>
              <w:left w:val="single" w:sz="6" w:space="0" w:color="auto"/>
              <w:right w:val="single" w:sz="6" w:space="0" w:color="auto"/>
            </w:tcBorders>
          </w:tcPr>
          <w:p w:rsidR="009C13A9" w:rsidRPr="00C903F8" w:rsidRDefault="009C13A9" w:rsidP="009C13A9">
            <w:pPr>
              <w:tabs>
                <w:tab w:val="left" w:pos="284"/>
              </w:tabs>
              <w:overflowPunct w:val="0"/>
              <w:adjustRightInd w:val="0"/>
              <w:ind w:left="0" w:hanging="397"/>
              <w:jc w:val="center"/>
              <w:textAlignment w:val="baseline"/>
              <w:rPr>
                <w:rFonts w:cs="Arial"/>
                <w:snapToGrid w:val="0"/>
                <w:sz w:val="16"/>
                <w:szCs w:val="16"/>
              </w:rPr>
            </w:pPr>
          </w:p>
        </w:tc>
        <w:tc>
          <w:tcPr>
            <w:tcW w:w="1814" w:type="dxa"/>
            <w:tcBorders>
              <w:top w:val="single" w:sz="6" w:space="0" w:color="auto"/>
              <w:left w:val="single" w:sz="6" w:space="0" w:color="auto"/>
              <w:right w:val="single" w:sz="6" w:space="0" w:color="auto"/>
            </w:tcBorders>
          </w:tcPr>
          <w:p w:rsidR="009C13A9" w:rsidRPr="00C903F8" w:rsidRDefault="009C13A9" w:rsidP="009C13A9">
            <w:pPr>
              <w:tabs>
                <w:tab w:val="left" w:pos="284"/>
              </w:tabs>
              <w:overflowPunct w:val="0"/>
              <w:adjustRightInd w:val="0"/>
              <w:ind w:left="0" w:hanging="397"/>
              <w:jc w:val="center"/>
              <w:textAlignment w:val="baseline"/>
              <w:rPr>
                <w:rFonts w:cs="Arial"/>
                <w:snapToGrid w:val="0"/>
                <w:sz w:val="22"/>
                <w:szCs w:val="20"/>
              </w:rPr>
            </w:pPr>
          </w:p>
        </w:tc>
        <w:tc>
          <w:tcPr>
            <w:tcW w:w="1814" w:type="dxa"/>
            <w:tcBorders>
              <w:top w:val="single" w:sz="6" w:space="0" w:color="auto"/>
              <w:left w:val="single" w:sz="6" w:space="0" w:color="auto"/>
              <w:right w:val="single" w:sz="6" w:space="0" w:color="auto"/>
            </w:tcBorders>
          </w:tcPr>
          <w:p w:rsidR="009C13A9" w:rsidRPr="00C903F8" w:rsidRDefault="009C13A9" w:rsidP="009C13A9">
            <w:pPr>
              <w:tabs>
                <w:tab w:val="left" w:pos="284"/>
              </w:tabs>
              <w:overflowPunct w:val="0"/>
              <w:adjustRightInd w:val="0"/>
              <w:ind w:left="0" w:hanging="397"/>
              <w:jc w:val="center"/>
              <w:textAlignment w:val="baseline"/>
              <w:rPr>
                <w:rFonts w:cs="Arial"/>
                <w:snapToGrid w:val="0"/>
                <w:sz w:val="22"/>
                <w:szCs w:val="20"/>
              </w:rPr>
            </w:pPr>
          </w:p>
        </w:tc>
        <w:tc>
          <w:tcPr>
            <w:tcW w:w="1814" w:type="dxa"/>
            <w:tcBorders>
              <w:top w:val="single" w:sz="6" w:space="0" w:color="auto"/>
              <w:left w:val="single" w:sz="6" w:space="0" w:color="auto"/>
            </w:tcBorders>
          </w:tcPr>
          <w:p w:rsidR="009C13A9" w:rsidRPr="00C903F8" w:rsidRDefault="009C13A9" w:rsidP="009C13A9">
            <w:pPr>
              <w:tabs>
                <w:tab w:val="left" w:pos="284"/>
              </w:tabs>
              <w:overflowPunct w:val="0"/>
              <w:adjustRightInd w:val="0"/>
              <w:ind w:left="0" w:hanging="397"/>
              <w:jc w:val="center"/>
              <w:textAlignment w:val="baseline"/>
              <w:rPr>
                <w:rFonts w:cs="Arial"/>
                <w:snapToGrid w:val="0"/>
                <w:sz w:val="22"/>
                <w:szCs w:val="20"/>
              </w:rPr>
            </w:pPr>
          </w:p>
        </w:tc>
      </w:tr>
    </w:tbl>
    <w:p w:rsidR="009C13A9" w:rsidRPr="00C903F8" w:rsidRDefault="009C13A9" w:rsidP="009C13A9">
      <w:pPr>
        <w:tabs>
          <w:tab w:val="left" w:leader="dot" w:pos="9072"/>
        </w:tabs>
        <w:spacing w:line="240" w:lineRule="atLeast"/>
        <w:ind w:left="0" w:firstLine="0"/>
        <w:rPr>
          <w:rFonts w:cs="Arial"/>
          <w:lang w:val="nl-NL"/>
        </w:rPr>
      </w:pPr>
    </w:p>
    <w:p w:rsidR="009C13A9" w:rsidRPr="00C903F8" w:rsidRDefault="009C13A9" w:rsidP="009C13A9">
      <w:pPr>
        <w:tabs>
          <w:tab w:val="left" w:pos="284"/>
          <w:tab w:val="left" w:pos="5670"/>
          <w:tab w:val="left" w:leader="dot" w:pos="7655"/>
        </w:tabs>
        <w:overflowPunct w:val="0"/>
        <w:adjustRightInd w:val="0"/>
        <w:ind w:left="0" w:firstLine="0"/>
        <w:textAlignment w:val="baseline"/>
        <w:rPr>
          <w:rFonts w:cs="Arial"/>
          <w:snapToGrid w:val="0"/>
          <w:szCs w:val="20"/>
          <w:lang w:val="en-US"/>
        </w:rPr>
      </w:pPr>
      <w:r w:rsidRPr="00C903F8">
        <w:rPr>
          <w:rFonts w:cs="Arial"/>
          <w:b/>
          <w:bCs/>
          <w:noProof/>
          <w:snapToGrid w:val="0"/>
          <w:szCs w:val="20"/>
          <w:lang w:val="en-US"/>
        </w:rPr>
        <w:t>Rate-of-turn indicators</w:t>
      </w:r>
      <w:r w:rsidRPr="00C903F8">
        <w:rPr>
          <w:rFonts w:cs="Arial"/>
          <w:noProof/>
          <w:snapToGrid w:val="0"/>
          <w:szCs w:val="20"/>
          <w:lang w:val="en-US"/>
        </w:rPr>
        <w:t>:</w:t>
      </w:r>
      <w:r w:rsidRPr="00C903F8">
        <w:rPr>
          <w:rFonts w:cs="Arial"/>
          <w:snapToGrid w:val="0"/>
          <w:szCs w:val="20"/>
          <w:lang w:val="en-US"/>
        </w:rPr>
        <w:tab/>
      </w:r>
      <w:r w:rsidRPr="00C903F8">
        <w:rPr>
          <w:rFonts w:cs="Arial"/>
          <w:noProof/>
          <w:snapToGrid w:val="0"/>
          <w:szCs w:val="20"/>
          <w:lang w:val="en-US"/>
        </w:rPr>
        <w:t>Number:</w:t>
      </w:r>
      <w:r w:rsidRPr="00C903F8">
        <w:rPr>
          <w:rFonts w:cs="Arial"/>
          <w:snapToGrid w:val="0"/>
          <w:szCs w:val="20"/>
          <w:lang w:val="en-US"/>
        </w:rPr>
        <w:t xml:space="preserve"> </w:t>
      </w:r>
      <w:r w:rsidRPr="00C903F8">
        <w:rPr>
          <w:rFonts w:cs="Arial"/>
          <w:snapToGrid w:val="0"/>
          <w:szCs w:val="20"/>
          <w:lang w:val="en-US"/>
        </w:rPr>
        <w:tab/>
      </w:r>
    </w:p>
    <w:p w:rsidR="009C13A9" w:rsidRPr="00C903F8" w:rsidRDefault="009C13A9" w:rsidP="009C13A9">
      <w:pPr>
        <w:tabs>
          <w:tab w:val="left" w:leader="dot" w:pos="9072"/>
        </w:tabs>
        <w:spacing w:line="240" w:lineRule="atLeast"/>
        <w:ind w:left="0" w:firstLine="0"/>
        <w:rPr>
          <w:rFonts w:cs="Arial"/>
          <w:snapToGrid w:val="0"/>
          <w:lang w:val="en-US"/>
        </w:rPr>
      </w:pPr>
    </w:p>
    <w:tbl>
      <w:tblPr>
        <w:tblW w:w="0" w:type="auto"/>
        <w:tblLayout w:type="fixed"/>
        <w:tblCellMar>
          <w:left w:w="70" w:type="dxa"/>
          <w:right w:w="70" w:type="dxa"/>
        </w:tblCellMar>
        <w:tblLook w:val="0000" w:firstRow="0" w:lastRow="0" w:firstColumn="0" w:lastColumn="0" w:noHBand="0" w:noVBand="0"/>
      </w:tblPr>
      <w:tblGrid>
        <w:gridCol w:w="1814"/>
        <w:gridCol w:w="1814"/>
        <w:gridCol w:w="1814"/>
        <w:gridCol w:w="1814"/>
        <w:gridCol w:w="1814"/>
      </w:tblGrid>
      <w:tr w:rsidR="009C13A9" w:rsidRPr="00C903F8" w:rsidTr="009C13A9">
        <w:trPr>
          <w:cantSplit/>
        </w:trPr>
        <w:tc>
          <w:tcPr>
            <w:tcW w:w="1814" w:type="dxa"/>
            <w:tcBorders>
              <w:bottom w:val="single" w:sz="6" w:space="0" w:color="auto"/>
              <w:right w:val="single" w:sz="6" w:space="0" w:color="auto"/>
            </w:tcBorders>
          </w:tcPr>
          <w:p w:rsidR="009C13A9" w:rsidRPr="00C903F8" w:rsidRDefault="009C13A9" w:rsidP="009C13A9">
            <w:pPr>
              <w:jc w:val="center"/>
              <w:rPr>
                <w:noProof/>
                <w:sz w:val="16"/>
                <w:szCs w:val="20"/>
              </w:rPr>
            </w:pPr>
            <w:r w:rsidRPr="00C903F8">
              <w:rPr>
                <w:noProof/>
                <w:sz w:val="16"/>
                <w:szCs w:val="20"/>
              </w:rPr>
              <w:t>Item No</w:t>
            </w:r>
          </w:p>
        </w:tc>
        <w:tc>
          <w:tcPr>
            <w:tcW w:w="1814" w:type="dxa"/>
            <w:tcBorders>
              <w:left w:val="single" w:sz="6" w:space="0" w:color="auto"/>
              <w:bottom w:val="single" w:sz="6" w:space="0" w:color="auto"/>
              <w:right w:val="single" w:sz="6" w:space="0" w:color="auto"/>
            </w:tcBorders>
          </w:tcPr>
          <w:p w:rsidR="009C13A9" w:rsidRPr="00C903F8" w:rsidRDefault="009C13A9" w:rsidP="009C13A9">
            <w:pPr>
              <w:jc w:val="center"/>
              <w:rPr>
                <w:noProof/>
                <w:sz w:val="16"/>
                <w:szCs w:val="20"/>
              </w:rPr>
            </w:pPr>
            <w:r w:rsidRPr="00C903F8">
              <w:rPr>
                <w:noProof/>
                <w:sz w:val="16"/>
                <w:szCs w:val="20"/>
              </w:rPr>
              <w:t>Type</w:t>
            </w:r>
          </w:p>
        </w:tc>
        <w:tc>
          <w:tcPr>
            <w:tcW w:w="1814" w:type="dxa"/>
            <w:tcBorders>
              <w:left w:val="single" w:sz="6" w:space="0" w:color="auto"/>
              <w:bottom w:val="single" w:sz="6" w:space="0" w:color="auto"/>
              <w:right w:val="single" w:sz="6" w:space="0" w:color="auto"/>
            </w:tcBorders>
          </w:tcPr>
          <w:p w:rsidR="009C13A9" w:rsidRPr="00C903F8" w:rsidRDefault="009C13A9" w:rsidP="009C13A9">
            <w:pPr>
              <w:jc w:val="center"/>
              <w:rPr>
                <w:noProof/>
                <w:sz w:val="16"/>
                <w:szCs w:val="20"/>
              </w:rPr>
            </w:pPr>
            <w:r w:rsidRPr="00C903F8">
              <w:rPr>
                <w:noProof/>
                <w:sz w:val="16"/>
                <w:szCs w:val="20"/>
              </w:rPr>
              <w:t>Manufacturer</w:t>
            </w:r>
          </w:p>
        </w:tc>
        <w:tc>
          <w:tcPr>
            <w:tcW w:w="1814" w:type="dxa"/>
            <w:tcBorders>
              <w:left w:val="single" w:sz="6" w:space="0" w:color="auto"/>
              <w:bottom w:val="single" w:sz="6" w:space="0" w:color="auto"/>
              <w:right w:val="single" w:sz="6" w:space="0" w:color="auto"/>
            </w:tcBorders>
          </w:tcPr>
          <w:p w:rsidR="009C13A9" w:rsidRPr="00C903F8" w:rsidRDefault="009C13A9" w:rsidP="009C13A9">
            <w:pPr>
              <w:jc w:val="center"/>
              <w:rPr>
                <w:noProof/>
                <w:sz w:val="16"/>
                <w:szCs w:val="20"/>
              </w:rPr>
            </w:pPr>
            <w:r w:rsidRPr="00C903F8">
              <w:rPr>
                <w:noProof/>
                <w:sz w:val="16"/>
                <w:szCs w:val="20"/>
              </w:rPr>
              <w:t>Type-approval number</w:t>
            </w:r>
          </w:p>
        </w:tc>
        <w:tc>
          <w:tcPr>
            <w:tcW w:w="1814" w:type="dxa"/>
            <w:tcBorders>
              <w:left w:val="single" w:sz="6" w:space="0" w:color="auto"/>
              <w:bottom w:val="single" w:sz="6" w:space="0" w:color="auto"/>
            </w:tcBorders>
          </w:tcPr>
          <w:p w:rsidR="009C13A9" w:rsidRPr="00C903F8" w:rsidRDefault="009C13A9" w:rsidP="009C13A9">
            <w:pPr>
              <w:jc w:val="center"/>
              <w:rPr>
                <w:noProof/>
                <w:sz w:val="16"/>
                <w:szCs w:val="20"/>
              </w:rPr>
            </w:pPr>
            <w:r w:rsidRPr="00C903F8">
              <w:rPr>
                <w:noProof/>
                <w:sz w:val="16"/>
                <w:szCs w:val="20"/>
              </w:rPr>
              <w:t>Serial number</w:t>
            </w:r>
          </w:p>
        </w:tc>
      </w:tr>
      <w:tr w:rsidR="009C13A9" w:rsidRPr="00C903F8" w:rsidTr="009C13A9">
        <w:trPr>
          <w:cantSplit/>
        </w:trPr>
        <w:tc>
          <w:tcPr>
            <w:tcW w:w="1814" w:type="dxa"/>
            <w:tcBorders>
              <w:top w:val="single" w:sz="6" w:space="0" w:color="auto"/>
              <w:right w:val="single" w:sz="6" w:space="0" w:color="auto"/>
            </w:tcBorders>
          </w:tcPr>
          <w:p w:rsidR="009C13A9" w:rsidRPr="00C903F8" w:rsidRDefault="009C13A9" w:rsidP="009C13A9">
            <w:pPr>
              <w:tabs>
                <w:tab w:val="left" w:pos="284"/>
              </w:tabs>
              <w:overflowPunct w:val="0"/>
              <w:adjustRightInd w:val="0"/>
              <w:ind w:left="0" w:hanging="397"/>
              <w:jc w:val="center"/>
              <w:textAlignment w:val="baseline"/>
              <w:rPr>
                <w:rFonts w:cs="Arial"/>
                <w:snapToGrid w:val="0"/>
                <w:sz w:val="22"/>
                <w:szCs w:val="20"/>
              </w:rPr>
            </w:pPr>
          </w:p>
        </w:tc>
        <w:tc>
          <w:tcPr>
            <w:tcW w:w="1814" w:type="dxa"/>
            <w:tcBorders>
              <w:top w:val="single" w:sz="6" w:space="0" w:color="auto"/>
              <w:left w:val="single" w:sz="6" w:space="0" w:color="auto"/>
              <w:right w:val="single" w:sz="6" w:space="0" w:color="auto"/>
            </w:tcBorders>
          </w:tcPr>
          <w:p w:rsidR="009C13A9" w:rsidRPr="00C903F8" w:rsidRDefault="009C13A9" w:rsidP="009C13A9">
            <w:pPr>
              <w:tabs>
                <w:tab w:val="left" w:pos="284"/>
              </w:tabs>
              <w:overflowPunct w:val="0"/>
              <w:adjustRightInd w:val="0"/>
              <w:ind w:left="0" w:hanging="397"/>
              <w:jc w:val="center"/>
              <w:textAlignment w:val="baseline"/>
              <w:rPr>
                <w:rFonts w:cs="Arial"/>
                <w:snapToGrid w:val="0"/>
                <w:sz w:val="16"/>
                <w:szCs w:val="16"/>
              </w:rPr>
            </w:pPr>
          </w:p>
        </w:tc>
        <w:tc>
          <w:tcPr>
            <w:tcW w:w="1814" w:type="dxa"/>
            <w:tcBorders>
              <w:top w:val="single" w:sz="6" w:space="0" w:color="auto"/>
              <w:left w:val="single" w:sz="6" w:space="0" w:color="auto"/>
              <w:right w:val="single" w:sz="6" w:space="0" w:color="auto"/>
            </w:tcBorders>
          </w:tcPr>
          <w:p w:rsidR="009C13A9" w:rsidRPr="00C903F8" w:rsidRDefault="009C13A9" w:rsidP="009C13A9">
            <w:pPr>
              <w:tabs>
                <w:tab w:val="left" w:pos="284"/>
              </w:tabs>
              <w:overflowPunct w:val="0"/>
              <w:adjustRightInd w:val="0"/>
              <w:ind w:left="0" w:hanging="397"/>
              <w:jc w:val="center"/>
              <w:textAlignment w:val="baseline"/>
              <w:rPr>
                <w:rFonts w:cs="Arial"/>
                <w:snapToGrid w:val="0"/>
                <w:sz w:val="22"/>
                <w:szCs w:val="20"/>
              </w:rPr>
            </w:pPr>
          </w:p>
        </w:tc>
        <w:tc>
          <w:tcPr>
            <w:tcW w:w="1814" w:type="dxa"/>
            <w:tcBorders>
              <w:top w:val="single" w:sz="6" w:space="0" w:color="auto"/>
              <w:left w:val="single" w:sz="6" w:space="0" w:color="auto"/>
              <w:right w:val="single" w:sz="6" w:space="0" w:color="auto"/>
            </w:tcBorders>
          </w:tcPr>
          <w:p w:rsidR="009C13A9" w:rsidRPr="00C903F8" w:rsidRDefault="009C13A9" w:rsidP="009C13A9">
            <w:pPr>
              <w:tabs>
                <w:tab w:val="left" w:pos="284"/>
              </w:tabs>
              <w:overflowPunct w:val="0"/>
              <w:adjustRightInd w:val="0"/>
              <w:ind w:left="0" w:hanging="397"/>
              <w:jc w:val="center"/>
              <w:textAlignment w:val="baseline"/>
              <w:rPr>
                <w:rFonts w:cs="Arial"/>
                <w:snapToGrid w:val="0"/>
                <w:sz w:val="22"/>
                <w:szCs w:val="20"/>
              </w:rPr>
            </w:pPr>
          </w:p>
        </w:tc>
        <w:tc>
          <w:tcPr>
            <w:tcW w:w="1814" w:type="dxa"/>
            <w:tcBorders>
              <w:top w:val="single" w:sz="6" w:space="0" w:color="auto"/>
              <w:left w:val="single" w:sz="6" w:space="0" w:color="auto"/>
            </w:tcBorders>
          </w:tcPr>
          <w:p w:rsidR="009C13A9" w:rsidRPr="00C903F8" w:rsidRDefault="009C13A9" w:rsidP="009C13A9">
            <w:pPr>
              <w:tabs>
                <w:tab w:val="left" w:pos="284"/>
              </w:tabs>
              <w:overflowPunct w:val="0"/>
              <w:adjustRightInd w:val="0"/>
              <w:ind w:left="0" w:hanging="397"/>
              <w:jc w:val="center"/>
              <w:textAlignment w:val="baseline"/>
              <w:rPr>
                <w:rFonts w:cs="Arial"/>
                <w:snapToGrid w:val="0"/>
                <w:sz w:val="22"/>
                <w:szCs w:val="20"/>
              </w:rPr>
            </w:pPr>
          </w:p>
        </w:tc>
      </w:tr>
    </w:tbl>
    <w:p w:rsidR="009C13A9" w:rsidRPr="00C903F8" w:rsidRDefault="009C13A9" w:rsidP="009C13A9">
      <w:pPr>
        <w:tabs>
          <w:tab w:val="left" w:leader="dot" w:pos="9072"/>
        </w:tabs>
        <w:spacing w:line="240" w:lineRule="atLeast"/>
        <w:ind w:left="0" w:firstLine="0"/>
        <w:rPr>
          <w:rFonts w:cs="Arial"/>
          <w:snapToGrid w:val="0"/>
          <w:lang w:val="nl-NL"/>
        </w:rPr>
      </w:pPr>
    </w:p>
    <w:p w:rsidR="009C13A9" w:rsidRPr="00C903F8" w:rsidRDefault="009C13A9" w:rsidP="009C13A9">
      <w:pPr>
        <w:tabs>
          <w:tab w:val="left" w:pos="284"/>
          <w:tab w:val="left" w:pos="5670"/>
          <w:tab w:val="left" w:leader="dot" w:pos="7655"/>
        </w:tabs>
        <w:overflowPunct w:val="0"/>
        <w:adjustRightInd w:val="0"/>
        <w:ind w:left="0" w:firstLine="0"/>
        <w:textAlignment w:val="baseline"/>
        <w:rPr>
          <w:rFonts w:cs="Arial"/>
          <w:snapToGrid w:val="0"/>
          <w:color w:val="000000"/>
          <w:szCs w:val="20"/>
        </w:rPr>
      </w:pPr>
      <w:r w:rsidRPr="00C903F8">
        <w:rPr>
          <w:rFonts w:cs="Arial"/>
          <w:b/>
          <w:noProof/>
          <w:snapToGrid w:val="0"/>
          <w:color w:val="000000"/>
          <w:szCs w:val="20"/>
        </w:rPr>
        <w:t>Inland AIS equipment:</w:t>
      </w:r>
    </w:p>
    <w:p w:rsidR="009C13A9" w:rsidRPr="00C903F8" w:rsidRDefault="009C13A9" w:rsidP="009C13A9">
      <w:pPr>
        <w:tabs>
          <w:tab w:val="left" w:pos="284"/>
        </w:tabs>
        <w:overflowPunct w:val="0"/>
        <w:adjustRightInd w:val="0"/>
        <w:ind w:left="0" w:firstLine="0"/>
        <w:textAlignment w:val="baseline"/>
        <w:rPr>
          <w:rFonts w:cs="Arial"/>
          <w:snapToGrid w:val="0"/>
          <w:color w:val="000000"/>
          <w:szCs w:val="20"/>
        </w:rPr>
      </w:pPr>
    </w:p>
    <w:tbl>
      <w:tblPr>
        <w:tblW w:w="0" w:type="auto"/>
        <w:tblLayout w:type="fixed"/>
        <w:tblCellMar>
          <w:left w:w="70" w:type="dxa"/>
          <w:right w:w="70" w:type="dxa"/>
        </w:tblCellMar>
        <w:tblLook w:val="0000" w:firstRow="0" w:lastRow="0" w:firstColumn="0" w:lastColumn="0" w:noHBand="0" w:noVBand="0"/>
      </w:tblPr>
      <w:tblGrid>
        <w:gridCol w:w="1814"/>
        <w:gridCol w:w="1814"/>
        <w:gridCol w:w="1814"/>
        <w:gridCol w:w="1814"/>
        <w:gridCol w:w="1814"/>
      </w:tblGrid>
      <w:tr w:rsidR="005C3F09" w:rsidRPr="00C903F8" w:rsidTr="005C3F09">
        <w:trPr>
          <w:cantSplit/>
        </w:trPr>
        <w:tc>
          <w:tcPr>
            <w:tcW w:w="1814" w:type="dxa"/>
            <w:tcBorders>
              <w:bottom w:val="single" w:sz="6" w:space="0" w:color="auto"/>
              <w:right w:val="single" w:sz="6" w:space="0" w:color="auto"/>
            </w:tcBorders>
          </w:tcPr>
          <w:p w:rsidR="005C3F09" w:rsidRPr="00C903F8" w:rsidRDefault="005C3F09" w:rsidP="005C3F09">
            <w:pPr>
              <w:jc w:val="center"/>
              <w:rPr>
                <w:noProof/>
                <w:sz w:val="16"/>
                <w:szCs w:val="20"/>
              </w:rPr>
            </w:pPr>
            <w:r w:rsidRPr="00C903F8">
              <w:rPr>
                <w:noProof/>
                <w:sz w:val="16"/>
                <w:szCs w:val="20"/>
              </w:rPr>
              <w:t>Item No</w:t>
            </w:r>
          </w:p>
        </w:tc>
        <w:tc>
          <w:tcPr>
            <w:tcW w:w="1814" w:type="dxa"/>
            <w:tcBorders>
              <w:left w:val="single" w:sz="6" w:space="0" w:color="auto"/>
              <w:bottom w:val="single" w:sz="6" w:space="0" w:color="auto"/>
              <w:right w:val="single" w:sz="6" w:space="0" w:color="auto"/>
            </w:tcBorders>
          </w:tcPr>
          <w:p w:rsidR="005C3F09" w:rsidRPr="00C903F8" w:rsidRDefault="005C3F09" w:rsidP="005C3F09">
            <w:pPr>
              <w:jc w:val="center"/>
              <w:rPr>
                <w:noProof/>
                <w:sz w:val="16"/>
                <w:szCs w:val="20"/>
              </w:rPr>
            </w:pPr>
            <w:r w:rsidRPr="00C903F8">
              <w:rPr>
                <w:noProof/>
                <w:sz w:val="16"/>
                <w:szCs w:val="20"/>
              </w:rPr>
              <w:t>Type</w:t>
            </w:r>
          </w:p>
        </w:tc>
        <w:tc>
          <w:tcPr>
            <w:tcW w:w="1814" w:type="dxa"/>
            <w:tcBorders>
              <w:left w:val="single" w:sz="6" w:space="0" w:color="auto"/>
              <w:bottom w:val="single" w:sz="6" w:space="0" w:color="auto"/>
              <w:right w:val="single" w:sz="6" w:space="0" w:color="auto"/>
            </w:tcBorders>
          </w:tcPr>
          <w:p w:rsidR="005C3F09" w:rsidRPr="00C903F8" w:rsidRDefault="005C3F09" w:rsidP="005C3F09">
            <w:pPr>
              <w:jc w:val="center"/>
              <w:rPr>
                <w:noProof/>
                <w:sz w:val="16"/>
                <w:szCs w:val="20"/>
              </w:rPr>
            </w:pPr>
            <w:r w:rsidRPr="00C903F8">
              <w:rPr>
                <w:noProof/>
                <w:sz w:val="16"/>
                <w:szCs w:val="20"/>
              </w:rPr>
              <w:t>Manufacturer</w:t>
            </w:r>
          </w:p>
        </w:tc>
        <w:tc>
          <w:tcPr>
            <w:tcW w:w="1814" w:type="dxa"/>
            <w:tcBorders>
              <w:left w:val="single" w:sz="6" w:space="0" w:color="auto"/>
              <w:bottom w:val="single" w:sz="6" w:space="0" w:color="auto"/>
              <w:right w:val="single" w:sz="6" w:space="0" w:color="auto"/>
            </w:tcBorders>
          </w:tcPr>
          <w:p w:rsidR="005C3F09" w:rsidRPr="00C903F8" w:rsidRDefault="005C3F09" w:rsidP="005C3F09">
            <w:pPr>
              <w:jc w:val="center"/>
              <w:rPr>
                <w:noProof/>
                <w:sz w:val="16"/>
                <w:szCs w:val="20"/>
              </w:rPr>
            </w:pPr>
            <w:r w:rsidRPr="00C903F8">
              <w:rPr>
                <w:noProof/>
                <w:sz w:val="16"/>
                <w:szCs w:val="20"/>
              </w:rPr>
              <w:t>Type-approval number</w:t>
            </w:r>
          </w:p>
        </w:tc>
        <w:tc>
          <w:tcPr>
            <w:tcW w:w="1814" w:type="dxa"/>
            <w:tcBorders>
              <w:left w:val="single" w:sz="6" w:space="0" w:color="auto"/>
              <w:bottom w:val="single" w:sz="6" w:space="0" w:color="auto"/>
            </w:tcBorders>
          </w:tcPr>
          <w:p w:rsidR="005C3F09" w:rsidRPr="00C903F8" w:rsidRDefault="005C3F09" w:rsidP="005C3F09">
            <w:pPr>
              <w:jc w:val="center"/>
              <w:rPr>
                <w:noProof/>
                <w:sz w:val="16"/>
                <w:szCs w:val="20"/>
              </w:rPr>
            </w:pPr>
            <w:r w:rsidRPr="00C903F8">
              <w:rPr>
                <w:noProof/>
                <w:sz w:val="16"/>
                <w:szCs w:val="20"/>
              </w:rPr>
              <w:t>Serial number</w:t>
            </w:r>
          </w:p>
        </w:tc>
      </w:tr>
      <w:tr w:rsidR="005C3F09" w:rsidRPr="00C903F8" w:rsidTr="005C3F09">
        <w:trPr>
          <w:cantSplit/>
        </w:trPr>
        <w:tc>
          <w:tcPr>
            <w:tcW w:w="1814" w:type="dxa"/>
            <w:tcBorders>
              <w:top w:val="single" w:sz="6" w:space="0" w:color="auto"/>
              <w:right w:val="single" w:sz="6" w:space="0" w:color="auto"/>
            </w:tcBorders>
          </w:tcPr>
          <w:p w:rsidR="005C3F09" w:rsidRPr="00C903F8" w:rsidRDefault="005C3F09" w:rsidP="005C3F09">
            <w:pPr>
              <w:tabs>
                <w:tab w:val="left" w:pos="284"/>
              </w:tabs>
              <w:overflowPunct w:val="0"/>
              <w:adjustRightInd w:val="0"/>
              <w:ind w:left="0" w:hanging="397"/>
              <w:jc w:val="center"/>
              <w:textAlignment w:val="baseline"/>
              <w:rPr>
                <w:rFonts w:cs="Arial"/>
                <w:snapToGrid w:val="0"/>
                <w:sz w:val="22"/>
                <w:szCs w:val="20"/>
              </w:rPr>
            </w:pPr>
          </w:p>
        </w:tc>
        <w:tc>
          <w:tcPr>
            <w:tcW w:w="1814" w:type="dxa"/>
            <w:tcBorders>
              <w:top w:val="single" w:sz="6" w:space="0" w:color="auto"/>
              <w:left w:val="single" w:sz="6" w:space="0" w:color="auto"/>
              <w:right w:val="single" w:sz="6" w:space="0" w:color="auto"/>
            </w:tcBorders>
          </w:tcPr>
          <w:p w:rsidR="005C3F09" w:rsidRPr="00C903F8" w:rsidRDefault="005C3F09" w:rsidP="005C3F09">
            <w:pPr>
              <w:tabs>
                <w:tab w:val="left" w:pos="284"/>
              </w:tabs>
              <w:overflowPunct w:val="0"/>
              <w:adjustRightInd w:val="0"/>
              <w:ind w:left="0" w:hanging="397"/>
              <w:jc w:val="center"/>
              <w:textAlignment w:val="baseline"/>
              <w:rPr>
                <w:rFonts w:cs="Arial"/>
                <w:snapToGrid w:val="0"/>
                <w:sz w:val="16"/>
                <w:szCs w:val="16"/>
              </w:rPr>
            </w:pPr>
          </w:p>
        </w:tc>
        <w:tc>
          <w:tcPr>
            <w:tcW w:w="1814" w:type="dxa"/>
            <w:tcBorders>
              <w:top w:val="single" w:sz="6" w:space="0" w:color="auto"/>
              <w:left w:val="single" w:sz="6" w:space="0" w:color="auto"/>
              <w:right w:val="single" w:sz="6" w:space="0" w:color="auto"/>
            </w:tcBorders>
          </w:tcPr>
          <w:p w:rsidR="005C3F09" w:rsidRPr="00C903F8" w:rsidRDefault="005C3F09" w:rsidP="005C3F09">
            <w:pPr>
              <w:tabs>
                <w:tab w:val="left" w:pos="284"/>
              </w:tabs>
              <w:overflowPunct w:val="0"/>
              <w:adjustRightInd w:val="0"/>
              <w:ind w:left="0" w:hanging="397"/>
              <w:jc w:val="center"/>
              <w:textAlignment w:val="baseline"/>
              <w:rPr>
                <w:rFonts w:cs="Arial"/>
                <w:snapToGrid w:val="0"/>
                <w:sz w:val="22"/>
                <w:szCs w:val="20"/>
              </w:rPr>
            </w:pPr>
          </w:p>
        </w:tc>
        <w:tc>
          <w:tcPr>
            <w:tcW w:w="1814" w:type="dxa"/>
            <w:tcBorders>
              <w:top w:val="single" w:sz="6" w:space="0" w:color="auto"/>
              <w:left w:val="single" w:sz="6" w:space="0" w:color="auto"/>
              <w:right w:val="single" w:sz="6" w:space="0" w:color="auto"/>
            </w:tcBorders>
          </w:tcPr>
          <w:p w:rsidR="005C3F09" w:rsidRPr="00C903F8" w:rsidRDefault="005C3F09" w:rsidP="005C3F09">
            <w:pPr>
              <w:tabs>
                <w:tab w:val="left" w:pos="284"/>
              </w:tabs>
              <w:overflowPunct w:val="0"/>
              <w:adjustRightInd w:val="0"/>
              <w:ind w:left="0" w:hanging="397"/>
              <w:jc w:val="center"/>
              <w:textAlignment w:val="baseline"/>
              <w:rPr>
                <w:rFonts w:cs="Arial"/>
                <w:snapToGrid w:val="0"/>
                <w:sz w:val="22"/>
                <w:szCs w:val="20"/>
              </w:rPr>
            </w:pPr>
          </w:p>
        </w:tc>
        <w:tc>
          <w:tcPr>
            <w:tcW w:w="1814" w:type="dxa"/>
            <w:tcBorders>
              <w:top w:val="single" w:sz="6" w:space="0" w:color="auto"/>
              <w:left w:val="single" w:sz="6" w:space="0" w:color="auto"/>
            </w:tcBorders>
          </w:tcPr>
          <w:p w:rsidR="005C3F09" w:rsidRPr="00C903F8" w:rsidRDefault="005C3F09" w:rsidP="005C3F09">
            <w:pPr>
              <w:tabs>
                <w:tab w:val="left" w:pos="284"/>
              </w:tabs>
              <w:overflowPunct w:val="0"/>
              <w:adjustRightInd w:val="0"/>
              <w:ind w:left="0" w:hanging="397"/>
              <w:jc w:val="center"/>
              <w:textAlignment w:val="baseline"/>
              <w:rPr>
                <w:rFonts w:cs="Arial"/>
                <w:snapToGrid w:val="0"/>
                <w:sz w:val="22"/>
                <w:szCs w:val="20"/>
              </w:rPr>
            </w:pPr>
          </w:p>
        </w:tc>
      </w:tr>
    </w:tbl>
    <w:p w:rsidR="005C3F09" w:rsidRPr="00C903F8" w:rsidRDefault="005C3F09" w:rsidP="009C13A9">
      <w:pPr>
        <w:tabs>
          <w:tab w:val="left" w:pos="284"/>
        </w:tabs>
        <w:overflowPunct w:val="0"/>
        <w:adjustRightInd w:val="0"/>
        <w:ind w:left="0" w:firstLine="0"/>
        <w:textAlignment w:val="baseline"/>
        <w:rPr>
          <w:rFonts w:cs="Arial"/>
          <w:snapToGrid w:val="0"/>
          <w:color w:val="000000"/>
          <w:szCs w:val="20"/>
        </w:rPr>
      </w:pPr>
    </w:p>
    <w:p w:rsidR="005C3F09" w:rsidRPr="00C903F8" w:rsidRDefault="005C3F09" w:rsidP="009C13A9">
      <w:pPr>
        <w:tabs>
          <w:tab w:val="left" w:leader="dot" w:pos="9072"/>
        </w:tabs>
        <w:spacing w:line="240" w:lineRule="atLeast"/>
        <w:ind w:left="0" w:firstLine="0"/>
        <w:rPr>
          <w:noProof/>
          <w:lang w:val="en-US"/>
        </w:rPr>
      </w:pPr>
      <w:r w:rsidRPr="00C903F8">
        <w:rPr>
          <w:b/>
          <w:noProof/>
          <w:lang w:val="en-US"/>
        </w:rPr>
        <w:t>Tachographs</w:t>
      </w:r>
    </w:p>
    <w:p w:rsidR="005C3F09" w:rsidRPr="00C903F8" w:rsidRDefault="005C3F09" w:rsidP="009C13A9">
      <w:pPr>
        <w:tabs>
          <w:tab w:val="left" w:leader="dot" w:pos="9072"/>
        </w:tabs>
        <w:spacing w:line="240" w:lineRule="atLeast"/>
        <w:ind w:left="0" w:firstLine="0"/>
        <w:rPr>
          <w:rFonts w:cs="Arial"/>
          <w:noProof/>
          <w:lang w:val="en-US"/>
        </w:rPr>
      </w:pPr>
      <w:r w:rsidRPr="00C903F8">
        <w:rPr>
          <w:rFonts w:cs="Arial"/>
          <w:noProof/>
          <w:lang w:val="en-US"/>
        </w:rPr>
        <w:t>…</w:t>
      </w:r>
    </w:p>
    <w:p w:rsidR="005C3F09" w:rsidRPr="00C903F8" w:rsidRDefault="005C3F0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lang w:val="en-US"/>
        </w:rPr>
      </w:pPr>
      <w:r w:rsidRPr="00C903F8">
        <w:rPr>
          <w:rFonts w:cs="Arial"/>
          <w:noProof/>
          <w:lang w:val="en-US"/>
        </w:rPr>
        <w:t xml:space="preserve">It is hereby certified that the </w:t>
      </w:r>
      <w:r w:rsidR="001A7DAB" w:rsidRPr="00C903F8">
        <w:rPr>
          <w:rFonts w:cs="Arial"/>
          <w:szCs w:val="20"/>
          <w:lang w:val="en-US"/>
        </w:rPr>
        <w:t xml:space="preserve">vessel's </w:t>
      </w:r>
      <w:r w:rsidRPr="00C903F8">
        <w:rPr>
          <w:rFonts w:cs="Arial"/>
          <w:noProof/>
          <w:lang w:val="en-US"/>
        </w:rPr>
        <w:t xml:space="preserve">navigational radar </w:t>
      </w:r>
      <w:r w:rsidR="00D52D51" w:rsidRPr="00C903F8">
        <w:rPr>
          <w:rFonts w:cs="Arial"/>
          <w:noProof/>
          <w:lang w:val="en-US"/>
        </w:rPr>
        <w:t>installation</w:t>
      </w:r>
      <w:r w:rsidR="00521221" w:rsidRPr="00C903F8">
        <w:rPr>
          <w:rFonts w:cs="Arial"/>
          <w:noProof/>
          <w:lang w:val="en-US"/>
        </w:rPr>
        <w:t>s</w:t>
      </w:r>
      <w:r w:rsidRPr="00C903F8">
        <w:rPr>
          <w:rFonts w:cs="Arial"/>
          <w:noProof/>
          <w:lang w:val="en-US"/>
        </w:rPr>
        <w:t xml:space="preserve">, rate-of-turn indicators and Inland AIS </w:t>
      </w:r>
      <w:r w:rsidR="00A9523F">
        <w:rPr>
          <w:rFonts w:cs="Arial"/>
          <w:noProof/>
          <w:lang w:val="en-US"/>
        </w:rPr>
        <w:t>equipment</w:t>
      </w:r>
      <w:r w:rsidRPr="00C903F8">
        <w:rPr>
          <w:rFonts w:cs="Arial"/>
          <w:noProof/>
          <w:lang w:val="en-US"/>
        </w:rPr>
        <w:t xml:space="preserve">, referred to </w:t>
      </w:r>
      <w:r w:rsidR="00521221" w:rsidRPr="00C903F8">
        <w:rPr>
          <w:rFonts w:cs="Arial"/>
          <w:szCs w:val="20"/>
          <w:lang w:val="en-US"/>
        </w:rPr>
        <w:t>above</w:t>
      </w:r>
      <w:r w:rsidRPr="00C903F8">
        <w:rPr>
          <w:rFonts w:cs="Arial"/>
          <w:noProof/>
          <w:lang w:val="en-US"/>
        </w:rPr>
        <w:t xml:space="preserve">, </w:t>
      </w:r>
      <w:r w:rsidR="00521221" w:rsidRPr="00C903F8">
        <w:rPr>
          <w:rFonts w:cs="Arial"/>
          <w:szCs w:val="20"/>
          <w:lang w:val="en-US"/>
        </w:rPr>
        <w:t>comply</w:t>
      </w:r>
      <w:r w:rsidR="00521221" w:rsidRPr="00C903F8">
        <w:rPr>
          <w:rFonts w:cs="Arial"/>
          <w:noProof/>
          <w:lang w:val="en-US"/>
        </w:rPr>
        <w:t xml:space="preserve"> </w:t>
      </w:r>
      <w:r w:rsidRPr="00C903F8">
        <w:rPr>
          <w:rFonts w:cs="Arial"/>
          <w:noProof/>
          <w:lang w:val="en-US"/>
        </w:rPr>
        <w:t xml:space="preserve">with the requirements of </w:t>
      </w:r>
      <w:r w:rsidR="00521221" w:rsidRPr="00C903F8">
        <w:rPr>
          <w:rFonts w:cs="Arial"/>
          <w:szCs w:val="20"/>
          <w:lang w:val="en-US"/>
        </w:rPr>
        <w:t xml:space="preserve">Annex </w:t>
      </w:r>
      <w:r w:rsidR="00B0625C" w:rsidRPr="00C903F8">
        <w:rPr>
          <w:rFonts w:cs="Arial"/>
          <w:szCs w:val="20"/>
          <w:lang w:val="en-US"/>
        </w:rPr>
        <w:t>5</w:t>
      </w:r>
      <w:r w:rsidR="002D7949" w:rsidRPr="00C903F8">
        <w:rPr>
          <w:rFonts w:cs="Arial"/>
          <w:szCs w:val="20"/>
          <w:lang w:val="en-US"/>
        </w:rPr>
        <w:t xml:space="preserve"> of the European Standard</w:t>
      </w:r>
      <w:r w:rsidR="00521221" w:rsidRPr="00C903F8">
        <w:rPr>
          <w:rFonts w:cs="Arial"/>
          <w:szCs w:val="20"/>
          <w:lang w:val="en-US"/>
        </w:rPr>
        <w:t xml:space="preserve"> laying down technical requirements for inland navigation vessels (ES-TRIN) for the installation and performance testing</w:t>
      </w:r>
      <w:r w:rsidR="00521221" w:rsidRPr="00C903F8" w:rsidDel="00521221">
        <w:rPr>
          <w:rFonts w:cs="Arial"/>
          <w:noProof/>
          <w:lang w:val="en-US"/>
        </w:rPr>
        <w:t xml:space="preserve"> </w:t>
      </w:r>
      <w:r w:rsidRPr="00C903F8">
        <w:rPr>
          <w:rFonts w:cs="Arial"/>
          <w:noProof/>
          <w:lang w:val="en-US"/>
        </w:rPr>
        <w:t xml:space="preserve">of navigational radar </w:t>
      </w:r>
      <w:r w:rsidR="00D52D51" w:rsidRPr="00C903F8">
        <w:rPr>
          <w:rFonts w:cs="Arial"/>
          <w:noProof/>
          <w:lang w:val="en-US"/>
        </w:rPr>
        <w:t>installation</w:t>
      </w:r>
      <w:r w:rsidR="00521221" w:rsidRPr="00C903F8">
        <w:rPr>
          <w:rFonts w:cs="Arial"/>
          <w:noProof/>
          <w:lang w:val="en-US"/>
        </w:rPr>
        <w:t>s</w:t>
      </w:r>
      <w:r w:rsidRPr="00C903F8">
        <w:rPr>
          <w:rFonts w:cs="Arial"/>
          <w:noProof/>
          <w:lang w:val="en-US"/>
        </w:rPr>
        <w:t>, rate-of-turn indicators and Inland AIS equipment</w:t>
      </w:r>
      <w:r w:rsidR="00521221" w:rsidRPr="00C903F8">
        <w:rPr>
          <w:rFonts w:cs="Arial"/>
          <w:noProof/>
          <w:lang w:val="en-US"/>
        </w:rPr>
        <w:t xml:space="preserve"> </w:t>
      </w:r>
      <w:r w:rsidR="00521221" w:rsidRPr="00C903F8">
        <w:rPr>
          <w:rFonts w:cs="Arial"/>
          <w:szCs w:val="20"/>
          <w:lang w:val="en-US"/>
        </w:rPr>
        <w:t>for inland navigation</w:t>
      </w:r>
      <w:r w:rsidRPr="00C903F8">
        <w:rPr>
          <w:rFonts w:cs="Arial"/>
          <w:noProof/>
          <w:lang w:val="en-US"/>
        </w:rPr>
        <w:t>.</w:t>
      </w:r>
    </w:p>
    <w:p w:rsidR="001A7DAB" w:rsidRPr="00C903F8" w:rsidRDefault="001A7DAB" w:rsidP="009C13A9">
      <w:pPr>
        <w:tabs>
          <w:tab w:val="left" w:leader="dot" w:pos="9072"/>
        </w:tabs>
        <w:spacing w:line="240" w:lineRule="atLeast"/>
        <w:ind w:left="0" w:firstLine="0"/>
        <w:rPr>
          <w:rFonts w:cs="Arial"/>
          <w:szCs w:val="20"/>
          <w:lang w:val="en-US"/>
        </w:rPr>
      </w:pPr>
    </w:p>
    <w:p w:rsidR="009C13A9" w:rsidRPr="00C903F8" w:rsidRDefault="009C13A9" w:rsidP="009C13A9">
      <w:pPr>
        <w:tabs>
          <w:tab w:val="left" w:pos="284"/>
          <w:tab w:val="left" w:pos="5670"/>
        </w:tabs>
        <w:overflowPunct w:val="0"/>
        <w:adjustRightInd w:val="0"/>
        <w:ind w:left="0" w:firstLine="0"/>
        <w:textAlignment w:val="baseline"/>
        <w:rPr>
          <w:rFonts w:cs="Arial"/>
          <w:b/>
          <w:snapToGrid w:val="0"/>
          <w:color w:val="000000"/>
          <w:szCs w:val="20"/>
          <w:lang w:val="en-US"/>
        </w:rPr>
      </w:pPr>
      <w:r w:rsidRPr="00C903F8">
        <w:rPr>
          <w:rFonts w:cs="Arial"/>
          <w:b/>
          <w:noProof/>
          <w:snapToGrid w:val="0"/>
          <w:color w:val="000000"/>
          <w:szCs w:val="20"/>
          <w:lang w:val="en-US"/>
        </w:rPr>
        <w:t>Approved specialist firm</w:t>
      </w:r>
    </w:p>
    <w:p w:rsidR="009C13A9" w:rsidRPr="00C903F8" w:rsidRDefault="009C13A9" w:rsidP="009C13A9">
      <w:pPr>
        <w:tabs>
          <w:tab w:val="left" w:leader="dot" w:pos="5103"/>
        </w:tabs>
        <w:overflowPunct w:val="0"/>
        <w:adjustRightInd w:val="0"/>
        <w:spacing w:before="120"/>
        <w:ind w:left="0" w:firstLine="0"/>
        <w:textAlignment w:val="baseline"/>
        <w:rPr>
          <w:rFonts w:cs="Arial"/>
          <w:snapToGrid w:val="0"/>
          <w:color w:val="000000"/>
          <w:szCs w:val="20"/>
          <w:lang w:val="en-US"/>
        </w:rPr>
      </w:pPr>
      <w:r w:rsidRPr="00C903F8">
        <w:rPr>
          <w:rFonts w:cs="Arial"/>
          <w:noProof/>
          <w:snapToGrid w:val="0"/>
          <w:color w:val="000000"/>
          <w:szCs w:val="20"/>
          <w:lang w:val="en-US"/>
        </w:rPr>
        <w:t xml:space="preserve">Name: </w:t>
      </w:r>
      <w:r w:rsidRPr="00C903F8">
        <w:rPr>
          <w:rFonts w:cs="Arial"/>
          <w:snapToGrid w:val="0"/>
          <w:szCs w:val="20"/>
          <w:lang w:val="en-US"/>
        </w:rPr>
        <w:tab/>
      </w:r>
    </w:p>
    <w:p w:rsidR="009C13A9" w:rsidRPr="00C903F8" w:rsidRDefault="009C13A9" w:rsidP="009C13A9">
      <w:pPr>
        <w:tabs>
          <w:tab w:val="left" w:leader="dot" w:pos="9072"/>
        </w:tabs>
        <w:overflowPunct w:val="0"/>
        <w:adjustRightInd w:val="0"/>
        <w:spacing w:before="120"/>
        <w:ind w:left="0" w:firstLine="0"/>
        <w:textAlignment w:val="baseline"/>
        <w:rPr>
          <w:rFonts w:cs="Arial"/>
          <w:snapToGrid w:val="0"/>
          <w:color w:val="000000"/>
          <w:szCs w:val="20"/>
          <w:lang w:val="en-US"/>
        </w:rPr>
      </w:pPr>
      <w:r w:rsidRPr="00C903F8">
        <w:rPr>
          <w:rFonts w:cs="Arial"/>
          <w:noProof/>
          <w:snapToGrid w:val="0"/>
          <w:color w:val="000000"/>
          <w:szCs w:val="20"/>
          <w:lang w:val="en-US"/>
        </w:rPr>
        <w:t xml:space="preserve">Address: </w:t>
      </w:r>
      <w:r w:rsidRPr="00C903F8">
        <w:rPr>
          <w:rFonts w:cs="Arial"/>
          <w:snapToGrid w:val="0"/>
          <w:szCs w:val="20"/>
          <w:lang w:val="en-US"/>
        </w:rPr>
        <w:tab/>
      </w:r>
    </w:p>
    <w:p w:rsidR="009C13A9" w:rsidRPr="00C903F8" w:rsidRDefault="009C13A9" w:rsidP="009C13A9">
      <w:pPr>
        <w:tabs>
          <w:tab w:val="left" w:leader="dot" w:pos="3402"/>
        </w:tabs>
        <w:overflowPunct w:val="0"/>
        <w:adjustRightInd w:val="0"/>
        <w:spacing w:before="120"/>
        <w:ind w:left="0" w:firstLine="0"/>
        <w:textAlignment w:val="baseline"/>
        <w:rPr>
          <w:rFonts w:cs="Arial"/>
          <w:snapToGrid w:val="0"/>
          <w:color w:val="000000"/>
          <w:szCs w:val="20"/>
          <w:lang w:val="en-US"/>
        </w:rPr>
      </w:pPr>
      <w:r w:rsidRPr="00C903F8">
        <w:rPr>
          <w:rFonts w:cs="Arial"/>
          <w:noProof/>
          <w:snapToGrid w:val="0"/>
          <w:color w:val="000000"/>
          <w:szCs w:val="20"/>
          <w:lang w:val="en-US"/>
        </w:rPr>
        <w:t xml:space="preserve">Telephone: </w:t>
      </w:r>
      <w:r w:rsidRPr="00C903F8">
        <w:rPr>
          <w:rFonts w:cs="Arial"/>
          <w:snapToGrid w:val="0"/>
          <w:szCs w:val="20"/>
          <w:lang w:val="en-US"/>
        </w:rPr>
        <w:tab/>
      </w:r>
    </w:p>
    <w:p w:rsidR="009C13A9" w:rsidRPr="00C903F8" w:rsidRDefault="009C13A9" w:rsidP="009C13A9">
      <w:pPr>
        <w:tabs>
          <w:tab w:val="left" w:pos="284"/>
        </w:tabs>
        <w:overflowPunct w:val="0"/>
        <w:adjustRightInd w:val="0"/>
        <w:spacing w:before="120"/>
        <w:ind w:left="0" w:firstLine="0"/>
        <w:textAlignment w:val="baseline"/>
        <w:rPr>
          <w:rFonts w:cs="Arial"/>
          <w:snapToGrid w:val="0"/>
          <w:color w:val="000000"/>
          <w:szCs w:val="20"/>
          <w:lang w:val="en-US"/>
        </w:rPr>
      </w:pPr>
    </w:p>
    <w:p w:rsidR="009C13A9" w:rsidRPr="00C903F8" w:rsidRDefault="009C13A9" w:rsidP="003E6750">
      <w:pPr>
        <w:tabs>
          <w:tab w:val="center" w:pos="1134"/>
          <w:tab w:val="left" w:pos="3969"/>
          <w:tab w:val="left" w:leader="dot" w:pos="6237"/>
          <w:tab w:val="left" w:pos="6521"/>
          <w:tab w:val="left" w:leader="dot" w:pos="9072"/>
        </w:tabs>
        <w:overflowPunct w:val="0"/>
        <w:adjustRightInd w:val="0"/>
        <w:ind w:left="0" w:firstLine="0"/>
        <w:textAlignment w:val="baseline"/>
        <w:rPr>
          <w:rFonts w:cs="Arial"/>
          <w:snapToGrid w:val="0"/>
          <w:color w:val="000000"/>
          <w:szCs w:val="20"/>
          <w:lang w:val="en-US"/>
        </w:rPr>
      </w:pPr>
      <w:r w:rsidRPr="00C903F8">
        <w:rPr>
          <w:rFonts w:cs="Arial"/>
          <w:snapToGrid w:val="0"/>
          <w:szCs w:val="20"/>
          <w:lang w:val="en-US"/>
        </w:rPr>
        <w:tab/>
      </w:r>
      <w:r w:rsidRPr="00C903F8">
        <w:rPr>
          <w:rFonts w:cs="Arial"/>
          <w:noProof/>
          <w:snapToGrid w:val="0"/>
          <w:color w:val="000000"/>
          <w:szCs w:val="20"/>
          <w:lang w:val="en-US"/>
        </w:rPr>
        <w:t>Stamp</w:t>
      </w:r>
      <w:r w:rsidRPr="00C903F8">
        <w:rPr>
          <w:rFonts w:cs="Arial"/>
          <w:snapToGrid w:val="0"/>
          <w:szCs w:val="20"/>
          <w:lang w:val="en-US"/>
        </w:rPr>
        <w:tab/>
      </w:r>
      <w:r w:rsidRPr="00C903F8">
        <w:rPr>
          <w:rFonts w:cs="Arial"/>
          <w:noProof/>
          <w:snapToGrid w:val="0"/>
          <w:color w:val="000000"/>
          <w:szCs w:val="20"/>
          <w:lang w:val="en-US"/>
        </w:rPr>
        <w:t xml:space="preserve">Place </w:t>
      </w:r>
      <w:r w:rsidRPr="00C903F8">
        <w:rPr>
          <w:rFonts w:cs="Arial"/>
          <w:snapToGrid w:val="0"/>
          <w:szCs w:val="20"/>
          <w:lang w:val="en-US"/>
        </w:rPr>
        <w:tab/>
      </w:r>
      <w:r w:rsidRPr="00C903F8">
        <w:rPr>
          <w:rFonts w:cs="Arial"/>
          <w:snapToGrid w:val="0"/>
          <w:color w:val="000000"/>
          <w:szCs w:val="20"/>
          <w:lang w:val="en-US"/>
        </w:rPr>
        <w:t xml:space="preserve"> </w:t>
      </w:r>
      <w:r w:rsidRPr="00C903F8">
        <w:rPr>
          <w:rFonts w:cs="Arial"/>
          <w:snapToGrid w:val="0"/>
          <w:szCs w:val="20"/>
          <w:lang w:val="en-US"/>
        </w:rPr>
        <w:tab/>
      </w:r>
      <w:r w:rsidRPr="00C903F8">
        <w:rPr>
          <w:rFonts w:cs="Arial"/>
          <w:noProof/>
          <w:snapToGrid w:val="0"/>
          <w:color w:val="000000"/>
          <w:szCs w:val="20"/>
          <w:lang w:val="en-US"/>
        </w:rPr>
        <w:t>Date</w:t>
      </w:r>
      <w:r w:rsidRPr="00C903F8">
        <w:rPr>
          <w:rFonts w:cs="Arial"/>
          <w:snapToGrid w:val="0"/>
          <w:color w:val="000000"/>
          <w:szCs w:val="20"/>
          <w:lang w:val="en-US"/>
        </w:rPr>
        <w:t xml:space="preserve"> </w:t>
      </w:r>
      <w:r w:rsidRPr="00C903F8">
        <w:rPr>
          <w:rFonts w:cs="Arial"/>
          <w:snapToGrid w:val="0"/>
          <w:szCs w:val="20"/>
          <w:lang w:val="en-US"/>
        </w:rPr>
        <w:tab/>
      </w:r>
    </w:p>
    <w:p w:rsidR="009C13A9" w:rsidRPr="00C903F8" w:rsidRDefault="009C13A9" w:rsidP="009C13A9">
      <w:pPr>
        <w:tabs>
          <w:tab w:val="center" w:pos="1134"/>
          <w:tab w:val="left" w:pos="6521"/>
        </w:tabs>
        <w:overflowPunct w:val="0"/>
        <w:adjustRightInd w:val="0"/>
        <w:spacing w:before="120"/>
        <w:ind w:left="0" w:firstLine="0"/>
        <w:textAlignment w:val="baseline"/>
        <w:rPr>
          <w:rFonts w:cs="Arial"/>
          <w:snapToGrid w:val="0"/>
          <w:color w:val="000000"/>
          <w:szCs w:val="20"/>
          <w:lang w:val="en-US"/>
        </w:rPr>
      </w:pPr>
      <w:r w:rsidRPr="00C903F8">
        <w:rPr>
          <w:rFonts w:cs="Arial"/>
          <w:snapToGrid w:val="0"/>
          <w:szCs w:val="20"/>
          <w:lang w:val="en-US"/>
        </w:rPr>
        <w:tab/>
      </w:r>
      <w:r w:rsidRPr="00C903F8">
        <w:rPr>
          <w:rFonts w:cs="Arial"/>
          <w:noProof/>
          <w:snapToGrid w:val="0"/>
          <w:color w:val="000000"/>
          <w:szCs w:val="20"/>
          <w:lang w:val="en-US"/>
        </w:rPr>
        <w:t>Signature</w:t>
      </w:r>
    </w:p>
    <w:p w:rsidR="009C13A9" w:rsidRPr="00C903F8" w:rsidRDefault="009C13A9" w:rsidP="003E6750">
      <w:pPr>
        <w:tabs>
          <w:tab w:val="left" w:pos="284"/>
          <w:tab w:val="left" w:pos="4536"/>
          <w:tab w:val="left" w:pos="6521"/>
        </w:tabs>
        <w:overflowPunct w:val="0"/>
        <w:adjustRightInd w:val="0"/>
        <w:ind w:left="0" w:firstLine="0"/>
        <w:textAlignment w:val="baseline"/>
        <w:rPr>
          <w:rFonts w:cs="Arial"/>
          <w:snapToGrid w:val="0"/>
          <w:color w:val="000000"/>
          <w:szCs w:val="20"/>
          <w:lang w:val="en-US"/>
        </w:rPr>
      </w:pPr>
    </w:p>
    <w:p w:rsidR="009C13A9" w:rsidRPr="00C903F8" w:rsidRDefault="009C13A9" w:rsidP="003E6750">
      <w:pPr>
        <w:tabs>
          <w:tab w:val="left" w:pos="284"/>
          <w:tab w:val="left" w:pos="4536"/>
          <w:tab w:val="left" w:pos="6521"/>
        </w:tabs>
        <w:overflowPunct w:val="0"/>
        <w:adjustRightInd w:val="0"/>
        <w:ind w:left="0" w:firstLine="0"/>
        <w:textAlignment w:val="baseline"/>
        <w:rPr>
          <w:rFonts w:cs="Arial"/>
          <w:b/>
          <w:snapToGrid w:val="0"/>
          <w:color w:val="000000"/>
          <w:szCs w:val="20"/>
          <w:lang w:val="en-US"/>
        </w:rPr>
      </w:pPr>
      <w:r w:rsidRPr="00C903F8">
        <w:rPr>
          <w:rFonts w:cs="Arial"/>
          <w:b/>
          <w:noProof/>
          <w:snapToGrid w:val="0"/>
          <w:color w:val="000000"/>
          <w:szCs w:val="20"/>
          <w:lang w:val="en-US"/>
        </w:rPr>
        <w:t>Competent authority for the approval of the specialist firm</w:t>
      </w:r>
    </w:p>
    <w:p w:rsidR="009C13A9" w:rsidRPr="00C903F8" w:rsidRDefault="009C13A9" w:rsidP="009C13A9">
      <w:pPr>
        <w:tabs>
          <w:tab w:val="left" w:leader="dot" w:pos="5103"/>
        </w:tabs>
        <w:overflowPunct w:val="0"/>
        <w:adjustRightInd w:val="0"/>
        <w:spacing w:before="120"/>
        <w:ind w:left="0" w:firstLine="0"/>
        <w:textAlignment w:val="baseline"/>
        <w:rPr>
          <w:rFonts w:cs="Arial"/>
          <w:snapToGrid w:val="0"/>
          <w:color w:val="000000"/>
          <w:szCs w:val="20"/>
          <w:lang w:val="en-US"/>
        </w:rPr>
      </w:pPr>
      <w:r w:rsidRPr="00C903F8">
        <w:rPr>
          <w:rFonts w:cs="Arial"/>
          <w:noProof/>
          <w:snapToGrid w:val="0"/>
          <w:color w:val="000000"/>
          <w:szCs w:val="20"/>
          <w:lang w:val="en-US"/>
        </w:rPr>
        <w:t xml:space="preserve">Name: </w:t>
      </w:r>
      <w:r w:rsidRPr="00C903F8">
        <w:rPr>
          <w:rFonts w:cs="Arial"/>
          <w:snapToGrid w:val="0"/>
          <w:szCs w:val="20"/>
          <w:lang w:val="en-US"/>
        </w:rPr>
        <w:tab/>
      </w:r>
    </w:p>
    <w:p w:rsidR="009C13A9" w:rsidRPr="00C903F8" w:rsidRDefault="009C13A9" w:rsidP="009C13A9">
      <w:pPr>
        <w:tabs>
          <w:tab w:val="left" w:leader="dot" w:pos="9072"/>
        </w:tabs>
        <w:overflowPunct w:val="0"/>
        <w:adjustRightInd w:val="0"/>
        <w:spacing w:before="120"/>
        <w:ind w:left="0" w:firstLine="0"/>
        <w:textAlignment w:val="baseline"/>
        <w:rPr>
          <w:rFonts w:cs="Arial"/>
          <w:snapToGrid w:val="0"/>
          <w:color w:val="000000"/>
          <w:szCs w:val="20"/>
          <w:lang w:val="en-US"/>
        </w:rPr>
      </w:pPr>
      <w:r w:rsidRPr="00C903F8">
        <w:rPr>
          <w:rFonts w:cs="Arial"/>
          <w:noProof/>
          <w:snapToGrid w:val="0"/>
          <w:color w:val="000000"/>
          <w:szCs w:val="20"/>
          <w:lang w:val="en-US"/>
        </w:rPr>
        <w:t xml:space="preserve">Address: </w:t>
      </w:r>
      <w:r w:rsidRPr="00C903F8">
        <w:rPr>
          <w:rFonts w:cs="Arial"/>
          <w:snapToGrid w:val="0"/>
          <w:szCs w:val="20"/>
          <w:lang w:val="en-US"/>
        </w:rPr>
        <w:tab/>
      </w:r>
    </w:p>
    <w:p w:rsidR="009C13A9" w:rsidRPr="00C903F8" w:rsidRDefault="009C13A9" w:rsidP="009C13A9">
      <w:pPr>
        <w:tabs>
          <w:tab w:val="left" w:leader="dot" w:pos="3402"/>
        </w:tabs>
        <w:overflowPunct w:val="0"/>
        <w:adjustRightInd w:val="0"/>
        <w:spacing w:before="120"/>
        <w:ind w:left="0" w:firstLine="0"/>
        <w:textAlignment w:val="baseline"/>
        <w:rPr>
          <w:rFonts w:cs="Arial"/>
          <w:snapToGrid w:val="0"/>
          <w:color w:val="000000"/>
          <w:szCs w:val="20"/>
          <w:lang w:val="en-US"/>
        </w:rPr>
      </w:pPr>
      <w:r w:rsidRPr="00C903F8">
        <w:rPr>
          <w:rFonts w:cs="Arial"/>
          <w:noProof/>
          <w:snapToGrid w:val="0"/>
          <w:color w:val="000000"/>
          <w:szCs w:val="20"/>
          <w:lang w:val="en-US"/>
        </w:rPr>
        <w:lastRenderedPageBreak/>
        <w:t xml:space="preserve">Telephone: </w:t>
      </w:r>
      <w:r w:rsidRPr="00C903F8">
        <w:rPr>
          <w:rFonts w:cs="Arial"/>
          <w:snapToGrid w:val="0"/>
          <w:szCs w:val="20"/>
          <w:lang w:val="en-US"/>
        </w:rPr>
        <w:tab/>
      </w:r>
    </w:p>
    <w:p w:rsidR="009C13A9" w:rsidRPr="00C903F8" w:rsidRDefault="009C13A9" w:rsidP="009C13A9">
      <w:pPr>
        <w:tabs>
          <w:tab w:val="right" w:pos="9072"/>
        </w:tabs>
        <w:spacing w:line="240" w:lineRule="atLeast"/>
        <w:rPr>
          <w:lang w:val="en-US"/>
        </w:rPr>
      </w:pPr>
      <w:r w:rsidRPr="00C903F8">
        <w:rPr>
          <w:lang w:val="en-US"/>
        </w:rPr>
        <w:br w:type="page"/>
      </w:r>
    </w:p>
    <w:p w:rsidR="009C13A9" w:rsidRPr="00C903F8" w:rsidRDefault="009C13A9" w:rsidP="009C13A9">
      <w:pPr>
        <w:tabs>
          <w:tab w:val="right" w:pos="9072"/>
        </w:tabs>
        <w:spacing w:line="240" w:lineRule="atLeast"/>
        <w:rPr>
          <w:lang w:val="en-US"/>
        </w:rPr>
      </w:pPr>
    </w:p>
    <w:p w:rsidR="009C13A9" w:rsidRPr="00C903F8" w:rsidRDefault="009C13A9" w:rsidP="009C13A9">
      <w:pPr>
        <w:tabs>
          <w:tab w:val="right" w:pos="9072"/>
        </w:tabs>
        <w:spacing w:line="240" w:lineRule="atLeast"/>
        <w:rPr>
          <w:lang w:val="en-US"/>
        </w:rPr>
      </w:pPr>
    </w:p>
    <w:p w:rsidR="009C13A9" w:rsidRPr="00C903F8" w:rsidRDefault="009C13A9" w:rsidP="009C13A9">
      <w:pPr>
        <w:tabs>
          <w:tab w:val="right" w:pos="9072"/>
        </w:tabs>
        <w:spacing w:line="240" w:lineRule="atLeast"/>
        <w:rPr>
          <w:lang w:val="en-US"/>
        </w:rPr>
      </w:pPr>
    </w:p>
    <w:p w:rsidR="009C13A9" w:rsidRPr="00C903F8" w:rsidRDefault="009C13A9" w:rsidP="009C13A9">
      <w:pPr>
        <w:tabs>
          <w:tab w:val="left" w:pos="284"/>
          <w:tab w:val="left" w:pos="5670"/>
        </w:tabs>
        <w:overflowPunct w:val="0"/>
        <w:adjustRightInd w:val="0"/>
        <w:ind w:left="0" w:firstLine="0"/>
        <w:textAlignment w:val="baseline"/>
        <w:rPr>
          <w:rFonts w:cs="Arial"/>
          <w:snapToGrid w:val="0"/>
          <w:szCs w:val="20"/>
          <w:lang w:val="en-US"/>
        </w:rPr>
      </w:pPr>
    </w:p>
    <w:p w:rsidR="009C13A9" w:rsidRPr="00C903F8" w:rsidRDefault="009C13A9" w:rsidP="009C13A9">
      <w:pPr>
        <w:overflowPunct w:val="0"/>
        <w:adjustRightInd w:val="0"/>
        <w:ind w:left="426" w:hanging="426"/>
        <w:textAlignment w:val="baseline"/>
        <w:rPr>
          <w:rFonts w:cs="Arial"/>
          <w:szCs w:val="20"/>
          <w:lang w:val="en-US"/>
        </w:rPr>
      </w:pPr>
    </w:p>
    <w:p w:rsidR="009C13A9" w:rsidRPr="00C903F8" w:rsidRDefault="009C13A9" w:rsidP="009C13A9">
      <w:pPr>
        <w:overflowPunct w:val="0"/>
        <w:adjustRightInd w:val="0"/>
        <w:ind w:left="426" w:hanging="426"/>
        <w:textAlignment w:val="baseline"/>
        <w:rPr>
          <w:rFonts w:cs="Arial"/>
          <w:szCs w:val="20"/>
          <w:lang w:val="en-US"/>
        </w:rPr>
      </w:pPr>
    </w:p>
    <w:p w:rsidR="009C13A9" w:rsidRPr="00C903F8" w:rsidRDefault="009C13A9" w:rsidP="009C13A9">
      <w:pPr>
        <w:overflowPunct w:val="0"/>
        <w:adjustRightInd w:val="0"/>
        <w:ind w:left="426" w:hanging="426"/>
        <w:textAlignment w:val="baseline"/>
        <w:rPr>
          <w:rFonts w:cs="Arial"/>
          <w:szCs w:val="20"/>
          <w:lang w:val="en-US"/>
        </w:rPr>
      </w:pPr>
    </w:p>
    <w:p w:rsidR="009C13A9" w:rsidRPr="00C903F8" w:rsidRDefault="009C13A9" w:rsidP="009C13A9">
      <w:pPr>
        <w:spacing w:line="240" w:lineRule="atLeast"/>
        <w:ind w:left="0" w:firstLine="0"/>
        <w:rPr>
          <w:rFonts w:cs="Arial"/>
          <w:noProof/>
          <w:szCs w:val="20"/>
          <w:lang w:val="en-US" w:bidi="fr-FR"/>
        </w:rPr>
      </w:pPr>
    </w:p>
    <w:p w:rsidR="009C13A9" w:rsidRPr="00C903F8" w:rsidRDefault="009C13A9" w:rsidP="009C13A9">
      <w:pPr>
        <w:tabs>
          <w:tab w:val="center" w:pos="7797"/>
        </w:tabs>
        <w:ind w:right="288"/>
        <w:rPr>
          <w:rFonts w:cs="Arial"/>
          <w:szCs w:val="20"/>
          <w:lang w:val="en-US"/>
        </w:rPr>
        <w:sectPr w:rsidR="009C13A9" w:rsidRPr="00C903F8" w:rsidSect="00FB55E9">
          <w:headerReference w:type="default" r:id="rId67"/>
          <w:footerReference w:type="default" r:id="rId68"/>
          <w:footnotePr>
            <w:numRestart w:val="eachPage"/>
          </w:footnotePr>
          <w:pgSz w:w="11907" w:h="16840" w:code="9"/>
          <w:pgMar w:top="1361" w:right="1418" w:bottom="1361" w:left="1418" w:header="680" w:footer="680" w:gutter="0"/>
          <w:cols w:space="720"/>
          <w:docGrid w:linePitch="326"/>
        </w:sectPr>
      </w:pPr>
    </w:p>
    <w:p w:rsidR="009C13A9" w:rsidRPr="00C903F8" w:rsidRDefault="009C13A9" w:rsidP="009C13A9">
      <w:pPr>
        <w:tabs>
          <w:tab w:val="left" w:leader="dot" w:pos="9072"/>
        </w:tabs>
        <w:spacing w:line="240" w:lineRule="atLeast"/>
        <w:ind w:left="0" w:firstLine="0"/>
        <w:rPr>
          <w:rFonts w:cs="Arial"/>
          <w:lang w:val="en-US"/>
        </w:rPr>
      </w:pPr>
    </w:p>
    <w:p w:rsidR="009C13A9" w:rsidRPr="00C903F8" w:rsidRDefault="009C13A9" w:rsidP="00C92BD2">
      <w:pPr>
        <w:pStyle w:val="ES-Titre2"/>
        <w:pageBreakBefore w:val="0"/>
      </w:pPr>
      <w:bookmarkStart w:id="344" w:name="_Toc491854322"/>
      <w:r w:rsidRPr="00C903F8">
        <w:t xml:space="preserve">Annex </w:t>
      </w:r>
      <w:r w:rsidR="00560299" w:rsidRPr="00C903F8">
        <w:t>6</w:t>
      </w:r>
      <w:r w:rsidRPr="00C903F8">
        <w:br/>
        <w:t>Engine parameter protocol</w:t>
      </w:r>
      <w:bookmarkEnd w:id="344"/>
    </w:p>
    <w:p w:rsidR="009C13A9" w:rsidRPr="00C903F8" w:rsidRDefault="009C13A9" w:rsidP="009C13A9">
      <w:pPr>
        <w:spacing w:line="240" w:lineRule="atLeast"/>
        <w:jc w:val="center"/>
        <w:rPr>
          <w:rFonts w:cs="Arial"/>
          <w:color w:val="000000"/>
          <w:lang w:val="en-US"/>
        </w:rPr>
      </w:pPr>
      <w:r w:rsidRPr="00C903F8">
        <w:rPr>
          <w:rFonts w:cs="Arial"/>
          <w:color w:val="000000"/>
          <w:lang w:val="en-US"/>
        </w:rPr>
        <w:t>(Model)</w:t>
      </w:r>
    </w:p>
    <w:p w:rsidR="009C13A9" w:rsidRPr="00C903F8" w:rsidRDefault="009C13A9" w:rsidP="009C13A9">
      <w:pPr>
        <w:spacing w:line="240" w:lineRule="atLeast"/>
        <w:rPr>
          <w:rFonts w:cs="Arial"/>
          <w:b/>
          <w:noProof/>
          <w:color w:val="000000"/>
          <w:lang w:val="en-US" w:eastAsia="de-DE"/>
        </w:rPr>
      </w:pPr>
    </w:p>
    <w:tbl>
      <w:tblPr>
        <w:tblW w:w="0" w:type="auto"/>
        <w:tblLayout w:type="fixed"/>
        <w:tblLook w:val="01E0" w:firstRow="1" w:lastRow="1" w:firstColumn="1" w:lastColumn="1" w:noHBand="0" w:noVBand="0"/>
      </w:tblPr>
      <w:tblGrid>
        <w:gridCol w:w="737"/>
        <w:gridCol w:w="5131"/>
        <w:gridCol w:w="3360"/>
      </w:tblGrid>
      <w:tr w:rsidR="009C13A9" w:rsidRPr="00C903F8" w:rsidTr="009C13A9">
        <w:tc>
          <w:tcPr>
            <w:tcW w:w="737" w:type="dxa"/>
            <w:shd w:val="clear" w:color="auto" w:fill="auto"/>
          </w:tcPr>
          <w:p w:rsidR="009C13A9" w:rsidRPr="00C903F8" w:rsidRDefault="009C13A9" w:rsidP="009C13A9">
            <w:pPr>
              <w:spacing w:line="240" w:lineRule="atLeast"/>
              <w:rPr>
                <w:b/>
                <w:bCs/>
                <w:noProof/>
                <w:szCs w:val="20"/>
                <w:lang w:eastAsia="de-DE"/>
              </w:rPr>
            </w:pPr>
            <w:r w:rsidRPr="00C903F8">
              <w:rPr>
                <w:b/>
                <w:bCs/>
                <w:noProof/>
                <w:szCs w:val="20"/>
                <w:lang w:eastAsia="de-DE"/>
              </w:rPr>
              <w:t>0</w:t>
            </w:r>
          </w:p>
        </w:tc>
        <w:tc>
          <w:tcPr>
            <w:tcW w:w="8491" w:type="dxa"/>
            <w:gridSpan w:val="2"/>
            <w:shd w:val="clear" w:color="auto" w:fill="auto"/>
          </w:tcPr>
          <w:p w:rsidR="009C13A9" w:rsidRPr="00C903F8" w:rsidRDefault="009C13A9" w:rsidP="009C13A9">
            <w:pPr>
              <w:tabs>
                <w:tab w:val="right" w:leader="underscore" w:pos="8263"/>
              </w:tabs>
              <w:spacing w:line="240" w:lineRule="atLeast"/>
              <w:rPr>
                <w:b/>
                <w:bCs/>
                <w:noProof/>
                <w:szCs w:val="20"/>
                <w:lang w:eastAsia="de-DE"/>
              </w:rPr>
            </w:pPr>
            <w:r w:rsidRPr="00C903F8">
              <w:rPr>
                <w:b/>
                <w:bCs/>
                <w:noProof/>
                <w:szCs w:val="20"/>
                <w:lang w:eastAsia="de-DE"/>
              </w:rPr>
              <w:t>General</w:t>
            </w:r>
          </w:p>
          <w:p w:rsidR="009C13A9" w:rsidRPr="00C903F8" w:rsidRDefault="009C13A9" w:rsidP="009C13A9">
            <w:pPr>
              <w:tabs>
                <w:tab w:val="right" w:leader="underscore" w:pos="8263"/>
              </w:tabs>
              <w:spacing w:line="240" w:lineRule="atLeast"/>
              <w:rPr>
                <w:b/>
                <w:bCs/>
                <w:noProof/>
                <w:szCs w:val="20"/>
                <w:lang w:eastAsia="de-DE"/>
              </w:rPr>
            </w:pPr>
          </w:p>
        </w:tc>
      </w:tr>
      <w:tr w:rsidR="009C13A9" w:rsidRPr="00C903F8" w:rsidTr="009C13A9">
        <w:tc>
          <w:tcPr>
            <w:tcW w:w="737" w:type="dxa"/>
            <w:shd w:val="clear" w:color="auto" w:fill="auto"/>
          </w:tcPr>
          <w:p w:rsidR="009C13A9" w:rsidRPr="00C903F8" w:rsidRDefault="009C13A9" w:rsidP="009C13A9">
            <w:pPr>
              <w:spacing w:before="40" w:line="240" w:lineRule="atLeast"/>
              <w:outlineLvl w:val="0"/>
              <w:rPr>
                <w:noProof/>
                <w:szCs w:val="20"/>
                <w:lang w:eastAsia="de-DE"/>
              </w:rPr>
            </w:pPr>
            <w:r w:rsidRPr="00C903F8">
              <w:rPr>
                <w:noProof/>
                <w:szCs w:val="20"/>
                <w:lang w:eastAsia="de-DE"/>
              </w:rPr>
              <w:t>0.1</w:t>
            </w:r>
          </w:p>
        </w:tc>
        <w:tc>
          <w:tcPr>
            <w:tcW w:w="8491" w:type="dxa"/>
            <w:gridSpan w:val="2"/>
            <w:shd w:val="clear" w:color="auto" w:fill="auto"/>
          </w:tcPr>
          <w:p w:rsidR="009C13A9" w:rsidRPr="00C903F8" w:rsidRDefault="009C13A9" w:rsidP="009C13A9">
            <w:pPr>
              <w:tabs>
                <w:tab w:val="right" w:leader="underscore" w:pos="8263"/>
              </w:tabs>
              <w:spacing w:before="40" w:line="240" w:lineRule="atLeast"/>
              <w:outlineLvl w:val="0"/>
              <w:rPr>
                <w:noProof/>
                <w:szCs w:val="20"/>
                <w:lang w:eastAsia="de-DE"/>
              </w:rPr>
            </w:pPr>
            <w:r w:rsidRPr="00C903F8">
              <w:rPr>
                <w:noProof/>
                <w:szCs w:val="20"/>
                <w:lang w:eastAsia="de-DE"/>
              </w:rPr>
              <w:t>Engine information</w:t>
            </w:r>
          </w:p>
        </w:tc>
      </w:tr>
      <w:tr w:rsidR="009C13A9" w:rsidRPr="00C903F8" w:rsidTr="009C13A9">
        <w:tc>
          <w:tcPr>
            <w:tcW w:w="737" w:type="dxa"/>
            <w:shd w:val="clear" w:color="auto" w:fill="auto"/>
          </w:tcPr>
          <w:p w:rsidR="009C13A9" w:rsidRPr="00C903F8" w:rsidRDefault="009C13A9" w:rsidP="009C13A9">
            <w:pPr>
              <w:spacing w:before="40" w:line="240" w:lineRule="atLeast"/>
              <w:outlineLvl w:val="0"/>
              <w:rPr>
                <w:noProof/>
                <w:szCs w:val="20"/>
                <w:lang w:eastAsia="de-DE"/>
              </w:rPr>
            </w:pPr>
            <w:r w:rsidRPr="00C903F8">
              <w:rPr>
                <w:noProof/>
                <w:szCs w:val="20"/>
                <w:lang w:eastAsia="de-DE"/>
              </w:rPr>
              <w:t>0.1.1</w:t>
            </w:r>
          </w:p>
        </w:tc>
        <w:tc>
          <w:tcPr>
            <w:tcW w:w="8491" w:type="dxa"/>
            <w:gridSpan w:val="2"/>
            <w:shd w:val="clear" w:color="auto" w:fill="auto"/>
          </w:tcPr>
          <w:p w:rsidR="009C13A9" w:rsidRPr="00C903F8" w:rsidRDefault="009C13A9" w:rsidP="009C13A9">
            <w:pPr>
              <w:tabs>
                <w:tab w:val="right" w:leader="dot" w:pos="8263"/>
              </w:tabs>
              <w:spacing w:before="40" w:line="240" w:lineRule="atLeast"/>
              <w:outlineLvl w:val="0"/>
              <w:rPr>
                <w:noProof/>
                <w:szCs w:val="20"/>
                <w:lang w:eastAsia="de-DE"/>
              </w:rPr>
            </w:pPr>
            <w:r w:rsidRPr="00C903F8">
              <w:rPr>
                <w:noProof/>
                <w:szCs w:val="20"/>
                <w:lang w:eastAsia="de-DE"/>
              </w:rPr>
              <w:t xml:space="preserve">Make: </w:t>
            </w:r>
            <w:r w:rsidRPr="00C903F8">
              <w:rPr>
                <w:noProof/>
                <w:szCs w:val="20"/>
                <w:lang w:eastAsia="de-DE"/>
              </w:rPr>
              <w:tab/>
            </w:r>
          </w:p>
        </w:tc>
      </w:tr>
      <w:tr w:rsidR="009C13A9" w:rsidRPr="00C903F8" w:rsidTr="009C13A9">
        <w:tc>
          <w:tcPr>
            <w:tcW w:w="737" w:type="dxa"/>
            <w:shd w:val="clear" w:color="auto" w:fill="auto"/>
          </w:tcPr>
          <w:p w:rsidR="009C13A9" w:rsidRPr="00C903F8" w:rsidRDefault="009C13A9" w:rsidP="009C13A9">
            <w:pPr>
              <w:spacing w:before="40" w:line="240" w:lineRule="atLeast"/>
              <w:outlineLvl w:val="0"/>
              <w:rPr>
                <w:noProof/>
                <w:szCs w:val="20"/>
                <w:lang w:eastAsia="de-DE"/>
              </w:rPr>
            </w:pPr>
            <w:r w:rsidRPr="00C903F8">
              <w:rPr>
                <w:noProof/>
                <w:szCs w:val="20"/>
                <w:lang w:eastAsia="de-DE"/>
              </w:rPr>
              <w:t>0.1.2</w:t>
            </w:r>
          </w:p>
        </w:tc>
        <w:tc>
          <w:tcPr>
            <w:tcW w:w="8491" w:type="dxa"/>
            <w:gridSpan w:val="2"/>
            <w:shd w:val="clear" w:color="auto" w:fill="auto"/>
          </w:tcPr>
          <w:p w:rsidR="009C13A9" w:rsidRPr="00C903F8" w:rsidRDefault="009C13A9" w:rsidP="009C13A9">
            <w:pPr>
              <w:tabs>
                <w:tab w:val="right" w:leader="dot" w:pos="8263"/>
              </w:tabs>
              <w:spacing w:before="40" w:line="240" w:lineRule="atLeast"/>
              <w:outlineLvl w:val="0"/>
              <w:rPr>
                <w:noProof/>
                <w:szCs w:val="20"/>
                <w:lang w:eastAsia="de-DE"/>
              </w:rPr>
            </w:pPr>
            <w:r w:rsidRPr="00C903F8">
              <w:rPr>
                <w:noProof/>
                <w:szCs w:val="20"/>
                <w:lang w:eastAsia="de-DE"/>
              </w:rPr>
              <w:t xml:space="preserve">Manufacturer’s description: </w:t>
            </w:r>
            <w:r w:rsidRPr="00C903F8">
              <w:rPr>
                <w:noProof/>
                <w:szCs w:val="20"/>
                <w:lang w:eastAsia="de-DE"/>
              </w:rPr>
              <w:tab/>
            </w:r>
          </w:p>
        </w:tc>
      </w:tr>
      <w:tr w:rsidR="009C13A9" w:rsidRPr="00C903F8" w:rsidTr="009C13A9">
        <w:tc>
          <w:tcPr>
            <w:tcW w:w="737" w:type="dxa"/>
            <w:shd w:val="clear" w:color="auto" w:fill="auto"/>
          </w:tcPr>
          <w:p w:rsidR="009C13A9" w:rsidRPr="00C903F8" w:rsidRDefault="009C13A9" w:rsidP="009C13A9">
            <w:pPr>
              <w:spacing w:before="40" w:line="240" w:lineRule="atLeast"/>
              <w:outlineLvl w:val="0"/>
              <w:rPr>
                <w:noProof/>
                <w:szCs w:val="20"/>
                <w:lang w:eastAsia="de-DE"/>
              </w:rPr>
            </w:pPr>
            <w:r w:rsidRPr="00C903F8">
              <w:rPr>
                <w:noProof/>
                <w:szCs w:val="20"/>
                <w:lang w:eastAsia="de-DE"/>
              </w:rPr>
              <w:t>0.1.3</w:t>
            </w:r>
          </w:p>
        </w:tc>
        <w:tc>
          <w:tcPr>
            <w:tcW w:w="8491" w:type="dxa"/>
            <w:gridSpan w:val="2"/>
            <w:shd w:val="clear" w:color="auto" w:fill="auto"/>
          </w:tcPr>
          <w:p w:rsidR="009C13A9" w:rsidRPr="00C903F8" w:rsidRDefault="009C13A9" w:rsidP="009C13A9">
            <w:pPr>
              <w:tabs>
                <w:tab w:val="right" w:leader="dot" w:pos="8263"/>
              </w:tabs>
              <w:spacing w:before="40" w:line="240" w:lineRule="atLeast"/>
              <w:outlineLvl w:val="0"/>
              <w:rPr>
                <w:noProof/>
                <w:szCs w:val="20"/>
                <w:lang w:eastAsia="de-DE"/>
              </w:rPr>
            </w:pPr>
            <w:r w:rsidRPr="00C903F8">
              <w:rPr>
                <w:noProof/>
                <w:szCs w:val="20"/>
                <w:lang w:eastAsia="de-DE"/>
              </w:rPr>
              <w:t xml:space="preserve">Type-approval number: </w:t>
            </w:r>
            <w:r w:rsidRPr="00C903F8">
              <w:rPr>
                <w:noProof/>
                <w:szCs w:val="20"/>
                <w:lang w:eastAsia="de-DE"/>
              </w:rPr>
              <w:tab/>
            </w:r>
          </w:p>
        </w:tc>
      </w:tr>
      <w:tr w:rsidR="009C13A9" w:rsidRPr="00C903F8" w:rsidTr="009C13A9">
        <w:tc>
          <w:tcPr>
            <w:tcW w:w="737" w:type="dxa"/>
            <w:shd w:val="clear" w:color="auto" w:fill="auto"/>
          </w:tcPr>
          <w:p w:rsidR="009C13A9" w:rsidRPr="00C903F8" w:rsidRDefault="009C13A9" w:rsidP="009C13A9">
            <w:pPr>
              <w:spacing w:before="40" w:line="240" w:lineRule="atLeast"/>
              <w:outlineLvl w:val="0"/>
              <w:rPr>
                <w:noProof/>
                <w:szCs w:val="20"/>
                <w:lang w:eastAsia="de-DE"/>
              </w:rPr>
            </w:pPr>
            <w:r w:rsidRPr="00C903F8">
              <w:rPr>
                <w:noProof/>
                <w:szCs w:val="20"/>
                <w:lang w:eastAsia="de-DE"/>
              </w:rPr>
              <w:t>0.1.4</w:t>
            </w:r>
          </w:p>
        </w:tc>
        <w:tc>
          <w:tcPr>
            <w:tcW w:w="8491" w:type="dxa"/>
            <w:gridSpan w:val="2"/>
            <w:shd w:val="clear" w:color="auto" w:fill="auto"/>
          </w:tcPr>
          <w:p w:rsidR="009C13A9" w:rsidRPr="00C903F8" w:rsidRDefault="009C13A9" w:rsidP="009C13A9">
            <w:pPr>
              <w:tabs>
                <w:tab w:val="right" w:leader="dot" w:pos="8263"/>
              </w:tabs>
              <w:spacing w:before="40" w:line="240" w:lineRule="atLeast"/>
              <w:outlineLvl w:val="0"/>
              <w:rPr>
                <w:noProof/>
                <w:szCs w:val="20"/>
                <w:lang w:eastAsia="de-DE"/>
              </w:rPr>
            </w:pPr>
            <w:r w:rsidRPr="00C903F8">
              <w:rPr>
                <w:noProof/>
                <w:szCs w:val="20"/>
                <w:lang w:eastAsia="de-DE"/>
              </w:rPr>
              <w:t xml:space="preserve">Engine identification number: </w:t>
            </w:r>
            <w:r w:rsidRPr="00C903F8">
              <w:rPr>
                <w:noProof/>
                <w:szCs w:val="20"/>
                <w:lang w:eastAsia="de-DE"/>
              </w:rPr>
              <w:tab/>
            </w:r>
          </w:p>
        </w:tc>
      </w:tr>
      <w:tr w:rsidR="009C13A9" w:rsidRPr="00C903F8" w:rsidTr="009C13A9">
        <w:tc>
          <w:tcPr>
            <w:tcW w:w="737" w:type="dxa"/>
            <w:shd w:val="clear" w:color="auto" w:fill="auto"/>
          </w:tcPr>
          <w:p w:rsidR="009C13A9" w:rsidRPr="00C903F8" w:rsidRDefault="009C13A9" w:rsidP="009C13A9">
            <w:pPr>
              <w:outlineLvl w:val="0"/>
              <w:rPr>
                <w:noProof/>
                <w:szCs w:val="20"/>
                <w:lang w:eastAsia="de-DE"/>
              </w:rPr>
            </w:pPr>
          </w:p>
        </w:tc>
        <w:tc>
          <w:tcPr>
            <w:tcW w:w="8491" w:type="dxa"/>
            <w:gridSpan w:val="2"/>
            <w:shd w:val="clear" w:color="auto" w:fill="auto"/>
          </w:tcPr>
          <w:p w:rsidR="009C13A9" w:rsidRPr="00C903F8" w:rsidRDefault="009C13A9" w:rsidP="009C13A9">
            <w:pPr>
              <w:tabs>
                <w:tab w:val="right" w:leader="underscore" w:pos="8263"/>
              </w:tabs>
              <w:outlineLvl w:val="0"/>
              <w:rPr>
                <w:noProof/>
                <w:szCs w:val="20"/>
                <w:lang w:eastAsia="de-DE"/>
              </w:rPr>
            </w:pPr>
          </w:p>
        </w:tc>
      </w:tr>
      <w:tr w:rsidR="009C13A9" w:rsidRPr="00C903F8" w:rsidTr="009C13A9">
        <w:tc>
          <w:tcPr>
            <w:tcW w:w="737" w:type="dxa"/>
            <w:shd w:val="clear" w:color="auto" w:fill="auto"/>
          </w:tcPr>
          <w:p w:rsidR="009C13A9" w:rsidRPr="00C903F8" w:rsidRDefault="009C13A9" w:rsidP="009C13A9">
            <w:pPr>
              <w:outlineLvl w:val="0"/>
              <w:rPr>
                <w:noProof/>
                <w:szCs w:val="20"/>
                <w:lang w:eastAsia="de-DE"/>
              </w:rPr>
            </w:pPr>
            <w:r w:rsidRPr="00C903F8">
              <w:rPr>
                <w:noProof/>
                <w:szCs w:val="20"/>
                <w:lang w:eastAsia="de-DE"/>
              </w:rPr>
              <w:t>0.2</w:t>
            </w:r>
          </w:p>
        </w:tc>
        <w:tc>
          <w:tcPr>
            <w:tcW w:w="8491" w:type="dxa"/>
            <w:gridSpan w:val="2"/>
            <w:shd w:val="clear" w:color="auto" w:fill="auto"/>
          </w:tcPr>
          <w:p w:rsidR="009C13A9" w:rsidRPr="00C903F8" w:rsidRDefault="009C13A9" w:rsidP="009C13A9">
            <w:pPr>
              <w:tabs>
                <w:tab w:val="right" w:leader="underscore" w:pos="8263"/>
              </w:tabs>
              <w:outlineLvl w:val="0"/>
              <w:rPr>
                <w:noProof/>
                <w:szCs w:val="20"/>
                <w:lang w:eastAsia="de-DE"/>
              </w:rPr>
            </w:pPr>
            <w:r w:rsidRPr="00C903F8">
              <w:rPr>
                <w:noProof/>
                <w:szCs w:val="20"/>
                <w:lang w:eastAsia="de-DE"/>
              </w:rPr>
              <w:t>Documentation</w:t>
            </w:r>
          </w:p>
        </w:tc>
      </w:tr>
      <w:tr w:rsidR="009C13A9" w:rsidRPr="00296858" w:rsidTr="009C13A9">
        <w:tc>
          <w:tcPr>
            <w:tcW w:w="737" w:type="dxa"/>
            <w:shd w:val="clear" w:color="auto" w:fill="auto"/>
          </w:tcPr>
          <w:p w:rsidR="009C13A9" w:rsidRPr="00C903F8" w:rsidRDefault="009C13A9" w:rsidP="009C13A9">
            <w:pPr>
              <w:outlineLvl w:val="0"/>
              <w:rPr>
                <w:noProof/>
                <w:szCs w:val="20"/>
                <w:lang w:eastAsia="de-DE"/>
              </w:rPr>
            </w:pPr>
          </w:p>
        </w:tc>
        <w:tc>
          <w:tcPr>
            <w:tcW w:w="8491" w:type="dxa"/>
            <w:gridSpan w:val="2"/>
            <w:shd w:val="clear" w:color="auto" w:fill="auto"/>
          </w:tcPr>
          <w:p w:rsidR="009C13A9" w:rsidRPr="00C903F8" w:rsidRDefault="009C13A9" w:rsidP="009C13A9">
            <w:pPr>
              <w:tabs>
                <w:tab w:val="right" w:leader="underscore" w:pos="8263"/>
              </w:tabs>
              <w:outlineLvl w:val="0"/>
              <w:rPr>
                <w:noProof/>
                <w:szCs w:val="20"/>
                <w:lang w:val="en-US" w:eastAsia="de-DE"/>
              </w:rPr>
            </w:pPr>
          </w:p>
          <w:p w:rsidR="009C13A9" w:rsidRPr="00C903F8" w:rsidRDefault="009C13A9" w:rsidP="009C13A9">
            <w:pPr>
              <w:tabs>
                <w:tab w:val="left" w:leader="dot" w:pos="9072"/>
              </w:tabs>
              <w:spacing w:line="240" w:lineRule="atLeast"/>
              <w:ind w:left="0" w:firstLine="0"/>
              <w:rPr>
                <w:rFonts w:cs="Arial"/>
                <w:noProof/>
                <w:lang w:val="en-US" w:eastAsia="de-DE"/>
              </w:rPr>
            </w:pPr>
            <w:r w:rsidRPr="00C903F8">
              <w:rPr>
                <w:rFonts w:cs="Arial"/>
                <w:noProof/>
                <w:lang w:val="en-US" w:eastAsia="de-DE"/>
              </w:rPr>
              <w:t>The engine parameters should be tested and the test results documented. The documentation should consist of separate sheets, individually numbered, signed by the controller and attached to this protocol.</w:t>
            </w:r>
          </w:p>
          <w:p w:rsidR="009C13A9" w:rsidRPr="00C903F8" w:rsidRDefault="009C13A9" w:rsidP="009C13A9">
            <w:pPr>
              <w:tabs>
                <w:tab w:val="left" w:leader="dot" w:pos="9072"/>
              </w:tabs>
              <w:spacing w:line="240" w:lineRule="atLeast"/>
              <w:ind w:left="0" w:firstLine="0"/>
              <w:rPr>
                <w:rFonts w:cs="Arial"/>
                <w:noProof/>
                <w:lang w:val="en-US" w:eastAsia="de-DE"/>
              </w:rPr>
            </w:pPr>
          </w:p>
        </w:tc>
      </w:tr>
      <w:tr w:rsidR="009C13A9" w:rsidRPr="00C903F8" w:rsidTr="009C13A9">
        <w:tc>
          <w:tcPr>
            <w:tcW w:w="737" w:type="dxa"/>
            <w:shd w:val="clear" w:color="auto" w:fill="auto"/>
          </w:tcPr>
          <w:p w:rsidR="009C13A9" w:rsidRPr="00C903F8" w:rsidRDefault="009C13A9" w:rsidP="009C13A9">
            <w:pPr>
              <w:outlineLvl w:val="0"/>
              <w:rPr>
                <w:noProof/>
                <w:szCs w:val="20"/>
                <w:lang w:eastAsia="de-DE"/>
              </w:rPr>
            </w:pPr>
            <w:r w:rsidRPr="00C903F8">
              <w:rPr>
                <w:noProof/>
                <w:szCs w:val="20"/>
                <w:lang w:eastAsia="de-DE"/>
              </w:rPr>
              <w:t>0.3</w:t>
            </w:r>
          </w:p>
        </w:tc>
        <w:tc>
          <w:tcPr>
            <w:tcW w:w="8491" w:type="dxa"/>
            <w:gridSpan w:val="2"/>
            <w:shd w:val="clear" w:color="auto" w:fill="auto"/>
          </w:tcPr>
          <w:p w:rsidR="009C13A9" w:rsidRPr="00C903F8" w:rsidRDefault="009C13A9" w:rsidP="009C13A9">
            <w:pPr>
              <w:tabs>
                <w:tab w:val="right" w:leader="underscore" w:pos="8263"/>
              </w:tabs>
              <w:outlineLvl w:val="0"/>
              <w:rPr>
                <w:noProof/>
                <w:szCs w:val="20"/>
                <w:lang w:eastAsia="de-DE"/>
              </w:rPr>
            </w:pPr>
            <w:r w:rsidRPr="00C903F8">
              <w:rPr>
                <w:noProof/>
                <w:szCs w:val="20"/>
                <w:lang w:eastAsia="de-DE"/>
              </w:rPr>
              <w:t>Test</w:t>
            </w:r>
          </w:p>
          <w:p w:rsidR="009C13A9" w:rsidRPr="00C903F8" w:rsidRDefault="009C13A9" w:rsidP="009C13A9">
            <w:pPr>
              <w:tabs>
                <w:tab w:val="right" w:leader="underscore" w:pos="8263"/>
              </w:tabs>
              <w:outlineLvl w:val="0"/>
              <w:rPr>
                <w:noProof/>
                <w:szCs w:val="20"/>
                <w:lang w:eastAsia="de-DE"/>
              </w:rPr>
            </w:pPr>
          </w:p>
        </w:tc>
      </w:tr>
      <w:tr w:rsidR="009C13A9" w:rsidRPr="00296858" w:rsidTr="009C13A9">
        <w:tc>
          <w:tcPr>
            <w:tcW w:w="737" w:type="dxa"/>
            <w:shd w:val="clear" w:color="auto" w:fill="auto"/>
          </w:tcPr>
          <w:p w:rsidR="009C13A9" w:rsidRPr="00C903F8" w:rsidRDefault="009C13A9" w:rsidP="009C13A9">
            <w:pPr>
              <w:outlineLvl w:val="0"/>
              <w:rPr>
                <w:noProof/>
                <w:szCs w:val="20"/>
                <w:lang w:eastAsia="de-DE"/>
              </w:rPr>
            </w:pPr>
          </w:p>
        </w:tc>
        <w:tc>
          <w:tcPr>
            <w:tcW w:w="8491" w:type="dxa"/>
            <w:gridSpan w:val="2"/>
            <w:shd w:val="clear" w:color="auto" w:fill="auto"/>
          </w:tcPr>
          <w:p w:rsidR="009C13A9" w:rsidRPr="00C903F8" w:rsidRDefault="009C13A9" w:rsidP="009C13A9">
            <w:pPr>
              <w:tabs>
                <w:tab w:val="left" w:leader="dot" w:pos="9072"/>
              </w:tabs>
              <w:spacing w:line="240" w:lineRule="atLeast"/>
              <w:ind w:left="0" w:firstLine="0"/>
              <w:rPr>
                <w:rFonts w:cs="Arial"/>
                <w:noProof/>
                <w:lang w:val="en-US" w:eastAsia="de-DE"/>
              </w:rPr>
            </w:pPr>
            <w:r w:rsidRPr="00C903F8">
              <w:rPr>
                <w:rFonts w:cs="Arial"/>
                <w:noProof/>
                <w:lang w:val="en-US" w:eastAsia="de-DE"/>
              </w:rPr>
              <w:t>The test should be carried out on the basis of the Engine manufacturer's instructions on monitoring the components and engine parameters of relevance in an exhaust gas context. In duly motivated cases controllers may, at their own discretion, dispense with checks on certain engine parameters.</w:t>
            </w:r>
          </w:p>
          <w:p w:rsidR="009C13A9" w:rsidRPr="00C903F8" w:rsidRDefault="009C13A9" w:rsidP="009C13A9">
            <w:pPr>
              <w:tabs>
                <w:tab w:val="left" w:leader="dot" w:pos="9072"/>
              </w:tabs>
              <w:spacing w:line="240" w:lineRule="atLeast"/>
              <w:ind w:left="0" w:firstLine="0"/>
              <w:rPr>
                <w:rFonts w:cs="Arial"/>
                <w:noProof/>
                <w:lang w:val="en-US" w:eastAsia="de-DE"/>
              </w:rPr>
            </w:pPr>
          </w:p>
        </w:tc>
      </w:tr>
      <w:tr w:rsidR="009C13A9" w:rsidRPr="00C903F8" w:rsidTr="009C13A9">
        <w:tc>
          <w:tcPr>
            <w:tcW w:w="737" w:type="dxa"/>
            <w:shd w:val="clear" w:color="auto" w:fill="auto"/>
          </w:tcPr>
          <w:p w:rsidR="009C13A9" w:rsidRPr="00C903F8" w:rsidRDefault="009C13A9" w:rsidP="009C13A9">
            <w:pPr>
              <w:outlineLvl w:val="0"/>
              <w:rPr>
                <w:noProof/>
                <w:szCs w:val="20"/>
                <w:lang w:eastAsia="de-DE"/>
              </w:rPr>
            </w:pPr>
            <w:r w:rsidRPr="00C903F8">
              <w:rPr>
                <w:noProof/>
                <w:szCs w:val="20"/>
                <w:lang w:eastAsia="de-DE"/>
              </w:rPr>
              <w:t>0.4</w:t>
            </w:r>
          </w:p>
        </w:tc>
        <w:tc>
          <w:tcPr>
            <w:tcW w:w="8491" w:type="dxa"/>
            <w:gridSpan w:val="2"/>
            <w:shd w:val="clear" w:color="auto" w:fill="auto"/>
          </w:tcPr>
          <w:p w:rsidR="009C13A9" w:rsidRPr="00C903F8" w:rsidRDefault="009C13A9" w:rsidP="009C13A9">
            <w:pPr>
              <w:tabs>
                <w:tab w:val="left" w:leader="dot" w:pos="9072"/>
              </w:tabs>
              <w:spacing w:line="240" w:lineRule="atLeast"/>
              <w:ind w:left="0" w:firstLine="0"/>
              <w:rPr>
                <w:rFonts w:cs="Arial"/>
                <w:noProof/>
                <w:lang w:val="nl-NL" w:eastAsia="de-DE"/>
              </w:rPr>
            </w:pPr>
            <w:r w:rsidRPr="00C903F8">
              <w:rPr>
                <w:rFonts w:cs="Arial"/>
                <w:noProof/>
                <w:lang w:val="en-US" w:eastAsia="de-DE"/>
              </w:rPr>
              <w:t>This engine parameter protocol, including the accompanying chart readings, comes to a total of … </w:t>
            </w:r>
            <w:r w:rsidRPr="00C903F8">
              <w:rPr>
                <w:rFonts w:cs="Arial"/>
                <w:noProof/>
                <w:lang w:val="nl-NL" w:eastAsia="de-DE"/>
              </w:rPr>
              <w:t>* pages.</w:t>
            </w:r>
          </w:p>
          <w:p w:rsidR="009C13A9" w:rsidRPr="00C903F8" w:rsidRDefault="009C13A9" w:rsidP="009C13A9">
            <w:pPr>
              <w:tabs>
                <w:tab w:val="right" w:leader="underscore" w:pos="8263"/>
              </w:tabs>
              <w:outlineLvl w:val="0"/>
              <w:rPr>
                <w:noProof/>
                <w:szCs w:val="20"/>
                <w:lang w:eastAsia="de-DE"/>
              </w:rPr>
            </w:pPr>
          </w:p>
        </w:tc>
      </w:tr>
      <w:tr w:rsidR="009C13A9" w:rsidRPr="00C903F8" w:rsidTr="009C13A9">
        <w:tc>
          <w:tcPr>
            <w:tcW w:w="737" w:type="dxa"/>
            <w:shd w:val="clear" w:color="auto" w:fill="auto"/>
          </w:tcPr>
          <w:p w:rsidR="009C13A9" w:rsidRPr="00C903F8" w:rsidRDefault="009C13A9" w:rsidP="009C13A9">
            <w:pPr>
              <w:outlineLvl w:val="0"/>
              <w:rPr>
                <w:noProof/>
                <w:szCs w:val="20"/>
                <w:lang w:eastAsia="de-DE"/>
              </w:rPr>
            </w:pPr>
            <w:r w:rsidRPr="00C903F8">
              <w:rPr>
                <w:b/>
                <w:bCs/>
                <w:noProof/>
                <w:szCs w:val="20"/>
                <w:lang w:eastAsia="de-DE"/>
              </w:rPr>
              <w:t>1.</w:t>
            </w:r>
          </w:p>
        </w:tc>
        <w:tc>
          <w:tcPr>
            <w:tcW w:w="8491" w:type="dxa"/>
            <w:gridSpan w:val="2"/>
            <w:shd w:val="clear" w:color="auto" w:fill="auto"/>
          </w:tcPr>
          <w:p w:rsidR="009C13A9" w:rsidRPr="00C903F8" w:rsidRDefault="009C13A9" w:rsidP="009C13A9">
            <w:pPr>
              <w:tabs>
                <w:tab w:val="right" w:leader="underscore" w:pos="8263"/>
              </w:tabs>
              <w:outlineLvl w:val="0"/>
              <w:rPr>
                <w:b/>
                <w:bCs/>
                <w:noProof/>
                <w:szCs w:val="20"/>
                <w:lang w:eastAsia="de-DE"/>
              </w:rPr>
            </w:pPr>
            <w:r w:rsidRPr="00C903F8">
              <w:rPr>
                <w:b/>
                <w:bCs/>
                <w:noProof/>
                <w:szCs w:val="20"/>
                <w:lang w:eastAsia="de-DE"/>
              </w:rPr>
              <w:t>Engine parameters</w:t>
            </w:r>
          </w:p>
          <w:p w:rsidR="009C13A9" w:rsidRPr="00C903F8" w:rsidRDefault="009C13A9" w:rsidP="009C13A9">
            <w:pPr>
              <w:tabs>
                <w:tab w:val="right" w:leader="underscore" w:pos="8263"/>
              </w:tabs>
              <w:outlineLvl w:val="0"/>
              <w:rPr>
                <w:noProof/>
                <w:szCs w:val="20"/>
                <w:lang w:eastAsia="de-DE"/>
              </w:rPr>
            </w:pPr>
          </w:p>
        </w:tc>
      </w:tr>
      <w:tr w:rsidR="009C13A9" w:rsidRPr="00296858" w:rsidTr="009C13A9">
        <w:tc>
          <w:tcPr>
            <w:tcW w:w="737" w:type="dxa"/>
            <w:shd w:val="clear" w:color="auto" w:fill="auto"/>
          </w:tcPr>
          <w:p w:rsidR="009C13A9" w:rsidRPr="00C903F8" w:rsidRDefault="009C13A9" w:rsidP="009C13A9">
            <w:pPr>
              <w:outlineLvl w:val="0"/>
              <w:rPr>
                <w:b/>
                <w:bCs/>
                <w:noProof/>
                <w:szCs w:val="20"/>
                <w:lang w:eastAsia="de-DE"/>
              </w:rPr>
            </w:pPr>
          </w:p>
        </w:tc>
        <w:tc>
          <w:tcPr>
            <w:tcW w:w="8491" w:type="dxa"/>
            <w:gridSpan w:val="2"/>
            <w:shd w:val="clear" w:color="auto" w:fill="auto"/>
          </w:tcPr>
          <w:p w:rsidR="009C13A9" w:rsidRPr="00C903F8" w:rsidRDefault="009C13A9" w:rsidP="009C13A9">
            <w:pPr>
              <w:tabs>
                <w:tab w:val="left" w:leader="dot" w:pos="9072"/>
              </w:tabs>
              <w:spacing w:line="240" w:lineRule="atLeast"/>
              <w:ind w:left="0" w:firstLine="0"/>
              <w:rPr>
                <w:rFonts w:cs="Arial"/>
                <w:noProof/>
                <w:lang w:val="en-US" w:eastAsia="de-DE"/>
              </w:rPr>
            </w:pPr>
            <w:r w:rsidRPr="00C903F8">
              <w:rPr>
                <w:rFonts w:cs="Arial"/>
                <w:noProof/>
                <w:lang w:val="en-US" w:eastAsia="de-DE"/>
              </w:rPr>
              <w:t>This is to certify that the engine under test does not deviate excessively from the prescribed parameters.</w:t>
            </w:r>
          </w:p>
          <w:p w:rsidR="009C13A9" w:rsidRPr="00C903F8" w:rsidRDefault="009C13A9" w:rsidP="009C13A9">
            <w:pPr>
              <w:tabs>
                <w:tab w:val="left" w:leader="dot" w:pos="9072"/>
              </w:tabs>
              <w:spacing w:line="240" w:lineRule="atLeast"/>
              <w:ind w:left="0" w:firstLine="0"/>
              <w:rPr>
                <w:rFonts w:cs="Arial"/>
                <w:b/>
                <w:bCs/>
                <w:noProof/>
                <w:lang w:val="en-US" w:eastAsia="de-DE"/>
              </w:rPr>
            </w:pPr>
          </w:p>
        </w:tc>
      </w:tr>
      <w:tr w:rsidR="009C13A9" w:rsidRPr="00C903F8" w:rsidTr="009C13A9">
        <w:tc>
          <w:tcPr>
            <w:tcW w:w="737" w:type="dxa"/>
            <w:shd w:val="clear" w:color="auto" w:fill="auto"/>
          </w:tcPr>
          <w:p w:rsidR="009C13A9" w:rsidRPr="00C903F8" w:rsidRDefault="009C13A9" w:rsidP="009C13A9">
            <w:pPr>
              <w:outlineLvl w:val="0"/>
              <w:rPr>
                <w:b/>
                <w:bCs/>
                <w:noProof/>
                <w:szCs w:val="20"/>
                <w:lang w:eastAsia="de-DE"/>
              </w:rPr>
            </w:pPr>
            <w:r w:rsidRPr="00C903F8">
              <w:rPr>
                <w:noProof/>
                <w:szCs w:val="20"/>
                <w:lang w:eastAsia="de-DE"/>
              </w:rPr>
              <w:t>1.1</w:t>
            </w:r>
          </w:p>
        </w:tc>
        <w:tc>
          <w:tcPr>
            <w:tcW w:w="8491" w:type="dxa"/>
            <w:gridSpan w:val="2"/>
            <w:shd w:val="clear" w:color="auto" w:fill="auto"/>
          </w:tcPr>
          <w:p w:rsidR="009C13A9" w:rsidRPr="00C903F8" w:rsidRDefault="009C13A9" w:rsidP="009C13A9">
            <w:pPr>
              <w:tabs>
                <w:tab w:val="right" w:leader="underscore" w:pos="8263"/>
              </w:tabs>
              <w:outlineLvl w:val="0"/>
              <w:rPr>
                <w:noProof/>
                <w:szCs w:val="20"/>
                <w:lang w:eastAsia="de-DE"/>
              </w:rPr>
            </w:pPr>
            <w:r w:rsidRPr="00C903F8">
              <w:rPr>
                <w:noProof/>
                <w:szCs w:val="20"/>
                <w:lang w:eastAsia="de-DE"/>
              </w:rPr>
              <w:t>Installation inspection</w:t>
            </w:r>
          </w:p>
        </w:tc>
      </w:tr>
      <w:tr w:rsidR="009C13A9" w:rsidRPr="00296858" w:rsidTr="009C13A9">
        <w:tc>
          <w:tcPr>
            <w:tcW w:w="737" w:type="dxa"/>
            <w:shd w:val="clear" w:color="auto" w:fill="auto"/>
          </w:tcPr>
          <w:p w:rsidR="009C13A9" w:rsidRPr="00C903F8" w:rsidRDefault="009C13A9" w:rsidP="009C13A9">
            <w:pPr>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val="en-US" w:eastAsia="de-DE"/>
              </w:rPr>
            </w:pPr>
            <w:r w:rsidRPr="00C903F8">
              <w:rPr>
                <w:noProof/>
                <w:szCs w:val="20"/>
                <w:lang w:val="en-US" w:eastAsia="de-DE"/>
              </w:rPr>
              <w:t xml:space="preserve">Name and address of the technical service: </w:t>
            </w: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r w:rsidRPr="00C903F8">
              <w:rPr>
                <w:noProof/>
                <w:szCs w:val="20"/>
                <w:lang w:val="en-US" w:eastAsia="de-DE"/>
              </w:rPr>
              <w:tab/>
            </w:r>
          </w:p>
        </w:tc>
      </w:tr>
      <w:tr w:rsidR="009C13A9" w:rsidRPr="00C903F8" w:rsidTr="009C13A9">
        <w:tc>
          <w:tcPr>
            <w:tcW w:w="737" w:type="dxa"/>
            <w:shd w:val="clear" w:color="auto" w:fill="auto"/>
          </w:tcPr>
          <w:p w:rsidR="009C13A9" w:rsidRPr="00C903F8" w:rsidRDefault="009C13A9" w:rsidP="009C13A9">
            <w:pPr>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Name of the controller:</w:t>
            </w:r>
            <w:r w:rsidRPr="00C903F8">
              <w:rPr>
                <w:noProof/>
                <w:szCs w:val="20"/>
                <w:lang w:eastAsia="de-DE"/>
              </w:rPr>
              <w:tab/>
            </w:r>
          </w:p>
        </w:tc>
      </w:tr>
      <w:tr w:rsidR="009C13A9" w:rsidRPr="00C903F8" w:rsidTr="009C13A9">
        <w:tc>
          <w:tcPr>
            <w:tcW w:w="737" w:type="dxa"/>
            <w:shd w:val="clear" w:color="auto" w:fill="auto"/>
          </w:tcPr>
          <w:p w:rsidR="009C13A9" w:rsidRPr="00C903F8" w:rsidRDefault="009C13A9" w:rsidP="009C13A9">
            <w:pPr>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Place and date:</w:t>
            </w:r>
            <w:r w:rsidRPr="00C903F8">
              <w:rPr>
                <w:noProof/>
                <w:szCs w:val="20"/>
                <w:lang w:eastAsia="de-DE"/>
              </w:rPr>
              <w:tab/>
            </w:r>
          </w:p>
        </w:tc>
      </w:tr>
      <w:tr w:rsidR="009C13A9" w:rsidRPr="00C903F8" w:rsidTr="009C13A9">
        <w:tc>
          <w:tcPr>
            <w:tcW w:w="737" w:type="dxa"/>
            <w:shd w:val="clear" w:color="auto" w:fill="auto"/>
          </w:tcPr>
          <w:p w:rsidR="009C13A9" w:rsidRPr="00C903F8" w:rsidRDefault="009C13A9" w:rsidP="009C13A9">
            <w:pPr>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Signature:</w:t>
            </w:r>
            <w:r w:rsidRPr="00C903F8">
              <w:rPr>
                <w:noProof/>
                <w:szCs w:val="20"/>
                <w:lang w:eastAsia="de-DE"/>
              </w:rPr>
              <w:tab/>
            </w:r>
          </w:p>
        </w:tc>
      </w:tr>
      <w:tr w:rsidR="009C13A9" w:rsidRPr="00C903F8" w:rsidTr="009C13A9">
        <w:tc>
          <w:tcPr>
            <w:tcW w:w="737" w:type="dxa"/>
            <w:shd w:val="clear" w:color="auto" w:fill="auto"/>
          </w:tcPr>
          <w:p w:rsidR="009C13A9" w:rsidRPr="00C903F8" w:rsidRDefault="009C13A9" w:rsidP="009C13A9">
            <w:pPr>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eastAsia="de-DE"/>
              </w:rPr>
            </w:pPr>
          </w:p>
        </w:tc>
      </w:tr>
      <w:tr w:rsidR="009C13A9" w:rsidRPr="00296858" w:rsidTr="009C13A9">
        <w:tc>
          <w:tcPr>
            <w:tcW w:w="737" w:type="dxa"/>
            <w:shd w:val="clear" w:color="auto" w:fill="auto"/>
          </w:tcPr>
          <w:p w:rsidR="009C13A9" w:rsidRPr="00C903F8" w:rsidRDefault="009C13A9" w:rsidP="009C13A9">
            <w:pPr>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val="en-US" w:eastAsia="de-DE"/>
              </w:rPr>
            </w:pPr>
            <w:r w:rsidRPr="00C903F8">
              <w:rPr>
                <w:noProof/>
                <w:szCs w:val="20"/>
                <w:lang w:val="en-US" w:eastAsia="de-DE"/>
              </w:rPr>
              <w:t>Test recognised by competent authority:</w:t>
            </w: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p>
        </w:tc>
      </w:tr>
      <w:tr w:rsidR="009C13A9" w:rsidRPr="00C903F8" w:rsidTr="009C13A9">
        <w:tc>
          <w:tcPr>
            <w:tcW w:w="737" w:type="dxa"/>
            <w:shd w:val="clear" w:color="auto" w:fill="auto"/>
          </w:tcPr>
          <w:p w:rsidR="009C13A9" w:rsidRPr="00C903F8" w:rsidRDefault="009C13A9" w:rsidP="009C13A9">
            <w:pPr>
              <w:outlineLvl w:val="0"/>
              <w:rPr>
                <w:noProof/>
                <w:szCs w:val="20"/>
                <w:lang w:val="en-US" w:eastAsia="de-DE"/>
              </w:rPr>
            </w:pPr>
          </w:p>
        </w:tc>
        <w:tc>
          <w:tcPr>
            <w:tcW w:w="5131" w:type="dxa"/>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Place and date:</w:t>
            </w:r>
            <w:r w:rsidRPr="00C903F8">
              <w:rPr>
                <w:noProof/>
                <w:szCs w:val="20"/>
                <w:lang w:eastAsia="de-DE"/>
              </w:rPr>
              <w:tab/>
            </w:r>
          </w:p>
        </w:tc>
        <w:tc>
          <w:tcPr>
            <w:tcW w:w="3360" w:type="dxa"/>
            <w:shd w:val="clear" w:color="auto" w:fill="auto"/>
          </w:tcPr>
          <w:p w:rsidR="009C13A9" w:rsidRPr="00C903F8" w:rsidRDefault="009C13A9" w:rsidP="009C13A9">
            <w:pPr>
              <w:tabs>
                <w:tab w:val="right" w:leader="dot" w:pos="8263"/>
              </w:tabs>
              <w:spacing w:line="240" w:lineRule="atLeast"/>
              <w:jc w:val="center"/>
              <w:outlineLvl w:val="0"/>
              <w:rPr>
                <w:noProof/>
                <w:sz w:val="16"/>
                <w:szCs w:val="20"/>
                <w:lang w:eastAsia="de-DE"/>
              </w:rPr>
            </w:pPr>
            <w:r w:rsidRPr="00C903F8">
              <w:rPr>
                <w:noProof/>
                <w:sz w:val="16"/>
                <w:szCs w:val="20"/>
                <w:lang w:eastAsia="de-DE"/>
              </w:rPr>
              <w:t>Seal of the competent</w:t>
            </w:r>
          </w:p>
        </w:tc>
      </w:tr>
      <w:tr w:rsidR="009C13A9" w:rsidRPr="00C903F8" w:rsidTr="009C13A9">
        <w:tc>
          <w:tcPr>
            <w:tcW w:w="737" w:type="dxa"/>
            <w:shd w:val="clear" w:color="auto" w:fill="auto"/>
          </w:tcPr>
          <w:p w:rsidR="009C13A9" w:rsidRPr="00C903F8" w:rsidRDefault="009C13A9" w:rsidP="009C13A9">
            <w:pPr>
              <w:outlineLvl w:val="0"/>
              <w:rPr>
                <w:noProof/>
                <w:szCs w:val="20"/>
                <w:lang w:eastAsia="de-DE"/>
              </w:rPr>
            </w:pPr>
          </w:p>
        </w:tc>
        <w:tc>
          <w:tcPr>
            <w:tcW w:w="5131" w:type="dxa"/>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Signature:</w:t>
            </w:r>
            <w:r w:rsidRPr="00C903F8">
              <w:rPr>
                <w:noProof/>
                <w:szCs w:val="20"/>
                <w:lang w:eastAsia="de-DE"/>
              </w:rPr>
              <w:tab/>
            </w:r>
          </w:p>
        </w:tc>
        <w:tc>
          <w:tcPr>
            <w:tcW w:w="3360" w:type="dxa"/>
            <w:shd w:val="clear" w:color="auto" w:fill="auto"/>
          </w:tcPr>
          <w:p w:rsidR="009C13A9" w:rsidRPr="00C903F8" w:rsidRDefault="009C13A9" w:rsidP="009C13A9">
            <w:pPr>
              <w:tabs>
                <w:tab w:val="right" w:leader="dot" w:pos="8263"/>
              </w:tabs>
              <w:spacing w:line="240" w:lineRule="atLeast"/>
              <w:jc w:val="center"/>
              <w:outlineLvl w:val="0"/>
              <w:rPr>
                <w:noProof/>
                <w:sz w:val="16"/>
                <w:szCs w:val="20"/>
                <w:lang w:eastAsia="de-DE"/>
              </w:rPr>
            </w:pPr>
            <w:r w:rsidRPr="00C903F8">
              <w:rPr>
                <w:noProof/>
                <w:sz w:val="16"/>
                <w:szCs w:val="20"/>
                <w:lang w:eastAsia="de-DE"/>
              </w:rPr>
              <w:t>authority</w:t>
            </w:r>
          </w:p>
        </w:tc>
      </w:tr>
    </w:tbl>
    <w:p w:rsidR="009C13A9" w:rsidRPr="00C903F8" w:rsidRDefault="009C13A9" w:rsidP="009C13A9">
      <w:pPr>
        <w:tabs>
          <w:tab w:val="left" w:pos="737"/>
          <w:tab w:val="left" w:pos="2835"/>
        </w:tabs>
        <w:rPr>
          <w:noProof/>
          <w:szCs w:val="20"/>
          <w:lang w:eastAsia="de-DE"/>
        </w:rPr>
      </w:pPr>
    </w:p>
    <w:p w:rsidR="009C13A9" w:rsidRPr="00C903F8" w:rsidRDefault="009C13A9" w:rsidP="009C13A9">
      <w:pPr>
        <w:tabs>
          <w:tab w:val="left" w:pos="737"/>
          <w:tab w:val="left" w:pos="2835"/>
        </w:tabs>
        <w:rPr>
          <w:noProof/>
          <w:szCs w:val="20"/>
          <w:lang w:eastAsia="de-DE"/>
        </w:rPr>
      </w:pPr>
    </w:p>
    <w:p w:rsidR="009C13A9" w:rsidRPr="00C903F8" w:rsidRDefault="009C13A9" w:rsidP="009C13A9">
      <w:pPr>
        <w:tabs>
          <w:tab w:val="left" w:pos="737"/>
          <w:tab w:val="left" w:pos="2835"/>
        </w:tabs>
        <w:rPr>
          <w:noProof/>
          <w:szCs w:val="20"/>
          <w:lang w:eastAsia="de-DE"/>
        </w:rPr>
      </w:pPr>
    </w:p>
    <w:p w:rsidR="009C13A9" w:rsidRPr="00C903F8" w:rsidRDefault="009C13A9" w:rsidP="009C13A9">
      <w:pPr>
        <w:tabs>
          <w:tab w:val="left" w:pos="737"/>
          <w:tab w:val="left" w:pos="2835"/>
        </w:tabs>
        <w:rPr>
          <w:noProof/>
          <w:szCs w:val="20"/>
          <w:lang w:eastAsia="de-DE"/>
        </w:rPr>
      </w:pPr>
    </w:p>
    <w:p w:rsidR="009C13A9" w:rsidRPr="00C903F8" w:rsidRDefault="009C13A9" w:rsidP="009C13A9">
      <w:pPr>
        <w:tabs>
          <w:tab w:val="left" w:pos="737"/>
          <w:tab w:val="left" w:pos="2835"/>
        </w:tabs>
        <w:rPr>
          <w:noProof/>
          <w:szCs w:val="20"/>
          <w:lang w:eastAsia="de-DE"/>
        </w:rPr>
      </w:pPr>
    </w:p>
    <w:p w:rsidR="009C13A9" w:rsidRDefault="009C13A9" w:rsidP="009C13A9">
      <w:pPr>
        <w:tabs>
          <w:tab w:val="left" w:pos="737"/>
          <w:tab w:val="left" w:pos="2835"/>
        </w:tabs>
        <w:rPr>
          <w:noProof/>
          <w:szCs w:val="20"/>
          <w:lang w:eastAsia="de-DE"/>
        </w:rPr>
      </w:pPr>
    </w:p>
    <w:p w:rsidR="0042206B" w:rsidRPr="00C903F8" w:rsidRDefault="0042206B" w:rsidP="009C13A9">
      <w:pPr>
        <w:tabs>
          <w:tab w:val="left" w:pos="737"/>
          <w:tab w:val="left" w:pos="2835"/>
        </w:tabs>
        <w:rPr>
          <w:noProof/>
          <w:szCs w:val="20"/>
          <w:lang w:eastAsia="de-DE"/>
        </w:rPr>
      </w:pPr>
    </w:p>
    <w:p w:rsidR="009C13A9" w:rsidRPr="00C903F8" w:rsidRDefault="009C13A9" w:rsidP="009C13A9">
      <w:pPr>
        <w:tabs>
          <w:tab w:val="left" w:pos="737"/>
          <w:tab w:val="left" w:pos="2835"/>
        </w:tabs>
        <w:rPr>
          <w:noProof/>
          <w:szCs w:val="20"/>
          <w:lang w:eastAsia="de-DE"/>
        </w:rPr>
      </w:pPr>
    </w:p>
    <w:p w:rsidR="009C13A9" w:rsidRPr="00C903F8" w:rsidRDefault="009C13A9" w:rsidP="009C13A9">
      <w:pPr>
        <w:tabs>
          <w:tab w:val="left" w:pos="737"/>
          <w:tab w:val="left" w:pos="2835"/>
        </w:tabs>
        <w:rPr>
          <w:noProof/>
          <w:szCs w:val="20"/>
          <w:lang w:eastAsia="de-DE"/>
        </w:rPr>
      </w:pPr>
      <w:r w:rsidRPr="00C903F8">
        <w:rPr>
          <w:noProof/>
          <w:szCs w:val="20"/>
          <w:lang w:eastAsia="de-DE"/>
        </w:rPr>
        <w:t>-----------------</w:t>
      </w:r>
    </w:p>
    <w:p w:rsidR="009C13A9" w:rsidRPr="00C903F8" w:rsidRDefault="009C13A9" w:rsidP="009C13A9">
      <w:pPr>
        <w:tabs>
          <w:tab w:val="left" w:pos="284"/>
        </w:tabs>
        <w:ind w:left="284" w:hanging="284"/>
        <w:rPr>
          <w:noProof/>
          <w:sz w:val="16"/>
          <w:szCs w:val="20"/>
          <w:lang w:val="en-US" w:eastAsia="de-DE"/>
        </w:rPr>
      </w:pPr>
      <w:r w:rsidRPr="00C903F8">
        <w:rPr>
          <w:noProof/>
          <w:szCs w:val="20"/>
          <w:lang w:val="en-US" w:eastAsia="de-DE"/>
        </w:rPr>
        <w:t>*</w:t>
      </w:r>
      <w:r w:rsidRPr="00C903F8">
        <w:rPr>
          <w:noProof/>
          <w:szCs w:val="20"/>
          <w:lang w:val="en-US" w:eastAsia="de-DE"/>
        </w:rPr>
        <w:tab/>
      </w:r>
      <w:r w:rsidRPr="00C903F8">
        <w:rPr>
          <w:noProof/>
          <w:sz w:val="16"/>
          <w:szCs w:val="20"/>
          <w:lang w:val="en-US" w:eastAsia="de-DE"/>
        </w:rPr>
        <w:t>To be filled in by the controller.</w:t>
      </w:r>
    </w:p>
    <w:p w:rsidR="009C13A9" w:rsidRPr="00C903F8" w:rsidRDefault="009C13A9" w:rsidP="009C13A9">
      <w:pPr>
        <w:tabs>
          <w:tab w:val="left" w:leader="dot" w:pos="9072"/>
        </w:tabs>
        <w:spacing w:line="240" w:lineRule="atLeast"/>
        <w:ind w:left="0" w:firstLine="0"/>
        <w:rPr>
          <w:rFonts w:cs="Arial"/>
          <w:noProof/>
          <w:lang w:val="en-US" w:eastAsia="de-DE"/>
        </w:rPr>
      </w:pPr>
      <w:r w:rsidRPr="00C903F8">
        <w:rPr>
          <w:rFonts w:cs="Arial"/>
          <w:noProof/>
          <w:lang w:val="en-US" w:eastAsia="de-DE"/>
        </w:rPr>
        <w:br w:type="page"/>
      </w:r>
    </w:p>
    <w:tbl>
      <w:tblPr>
        <w:tblW w:w="0" w:type="auto"/>
        <w:tblLayout w:type="fixed"/>
        <w:tblLook w:val="01E0" w:firstRow="1" w:lastRow="1" w:firstColumn="1" w:lastColumn="1" w:noHBand="0" w:noVBand="0"/>
      </w:tblPr>
      <w:tblGrid>
        <w:gridCol w:w="737"/>
        <w:gridCol w:w="5131"/>
        <w:gridCol w:w="3360"/>
      </w:tblGrid>
      <w:tr w:rsidR="009C13A9" w:rsidRPr="00C903F8" w:rsidTr="009C13A9">
        <w:tc>
          <w:tcPr>
            <w:tcW w:w="737" w:type="dxa"/>
            <w:shd w:val="clear" w:color="auto" w:fill="auto"/>
          </w:tcPr>
          <w:p w:rsidR="009C13A9" w:rsidRPr="00C903F8" w:rsidRDefault="009C13A9" w:rsidP="009C13A9">
            <w:pPr>
              <w:spacing w:line="240" w:lineRule="atLeast"/>
              <w:rPr>
                <w:b/>
                <w:bCs/>
                <w:noProof/>
                <w:szCs w:val="20"/>
                <w:lang w:eastAsia="de-DE"/>
              </w:rPr>
            </w:pPr>
            <w:r w:rsidRPr="00C903F8">
              <w:rPr>
                <w:noProof/>
                <w:szCs w:val="20"/>
                <w:lang w:eastAsia="de-DE"/>
              </w:rPr>
              <w:lastRenderedPageBreak/>
              <w:t>1.2</w:t>
            </w:r>
          </w:p>
        </w:tc>
        <w:tc>
          <w:tcPr>
            <w:tcW w:w="8491" w:type="dxa"/>
            <w:gridSpan w:val="2"/>
            <w:shd w:val="clear" w:color="auto" w:fill="auto"/>
          </w:tcPr>
          <w:p w:rsidR="009C13A9" w:rsidRPr="00C903F8" w:rsidRDefault="00475311" w:rsidP="009C13A9">
            <w:pPr>
              <w:spacing w:line="240" w:lineRule="atLeast"/>
              <w:rPr>
                <w:b/>
                <w:bCs/>
                <w:noProof/>
                <w:szCs w:val="20"/>
                <w:lang w:eastAsia="de-DE"/>
              </w:rPr>
            </w:pPr>
            <w:r w:rsidRPr="00C903F8">
              <w:rPr>
                <w:noProof/>
                <w:szCs w:val="20"/>
                <w:lang w:eastAsia="de-DE"/>
              </w:rPr>
              <w:fldChar w:fldCharType="begin">
                <w:ffData>
                  <w:name w:val="Kontrollkästchen1"/>
                  <w:enabled/>
                  <w:calcOnExit w:val="0"/>
                  <w:checkBox>
                    <w:size w:val="20"/>
                    <w:default w:val="0"/>
                  </w:checkBox>
                </w:ffData>
              </w:fldChar>
            </w:r>
            <w:r w:rsidR="009C13A9" w:rsidRPr="00C903F8">
              <w:rPr>
                <w:noProof/>
                <w:szCs w:val="20"/>
                <w:lang w:eastAsia="de-DE"/>
              </w:rPr>
              <w:instrText xml:space="preserve"> FORMCHECKBOX </w:instrText>
            </w:r>
            <w:r w:rsidR="00F12BAF">
              <w:rPr>
                <w:noProof/>
                <w:szCs w:val="20"/>
                <w:lang w:eastAsia="de-DE"/>
              </w:rPr>
            </w:r>
            <w:r w:rsidR="00F12BAF">
              <w:rPr>
                <w:noProof/>
                <w:szCs w:val="20"/>
                <w:lang w:eastAsia="de-DE"/>
              </w:rPr>
              <w:fldChar w:fldCharType="separate"/>
            </w:r>
            <w:r w:rsidRPr="00C903F8">
              <w:rPr>
                <w:noProof/>
                <w:szCs w:val="20"/>
                <w:lang w:eastAsia="de-DE"/>
              </w:rPr>
              <w:fldChar w:fldCharType="end"/>
            </w:r>
            <w:r w:rsidR="009C13A9" w:rsidRPr="00C903F8">
              <w:rPr>
                <w:noProof/>
                <w:szCs w:val="20"/>
                <w:lang w:eastAsia="de-DE"/>
              </w:rPr>
              <w:t xml:space="preserve"> Intermediate test</w:t>
            </w:r>
            <w:r w:rsidR="009C13A9" w:rsidRPr="00C903F8">
              <w:rPr>
                <w:noProof/>
                <w:szCs w:val="20"/>
                <w:lang w:eastAsia="de-DE"/>
              </w:rPr>
              <w:tab/>
            </w:r>
            <w:r w:rsidRPr="00C903F8">
              <w:rPr>
                <w:noProof/>
                <w:szCs w:val="20"/>
                <w:lang w:eastAsia="de-DE"/>
              </w:rPr>
              <w:fldChar w:fldCharType="begin">
                <w:ffData>
                  <w:name w:val="Kontrollkästchen1"/>
                  <w:enabled/>
                  <w:calcOnExit w:val="0"/>
                  <w:checkBox>
                    <w:size w:val="20"/>
                    <w:default w:val="0"/>
                  </w:checkBox>
                </w:ffData>
              </w:fldChar>
            </w:r>
            <w:r w:rsidR="009C13A9" w:rsidRPr="00C903F8">
              <w:rPr>
                <w:noProof/>
                <w:szCs w:val="20"/>
                <w:lang w:eastAsia="de-DE"/>
              </w:rPr>
              <w:instrText xml:space="preserve"> FORMCHECKBOX </w:instrText>
            </w:r>
            <w:r w:rsidR="00F12BAF">
              <w:rPr>
                <w:noProof/>
                <w:szCs w:val="20"/>
                <w:lang w:eastAsia="de-DE"/>
              </w:rPr>
            </w:r>
            <w:r w:rsidR="00F12BAF">
              <w:rPr>
                <w:noProof/>
                <w:szCs w:val="20"/>
                <w:lang w:eastAsia="de-DE"/>
              </w:rPr>
              <w:fldChar w:fldCharType="separate"/>
            </w:r>
            <w:r w:rsidRPr="00C903F8">
              <w:rPr>
                <w:noProof/>
                <w:szCs w:val="20"/>
                <w:lang w:eastAsia="de-DE"/>
              </w:rPr>
              <w:fldChar w:fldCharType="end"/>
            </w:r>
            <w:r w:rsidR="009C13A9" w:rsidRPr="00C903F8">
              <w:rPr>
                <w:noProof/>
                <w:szCs w:val="20"/>
                <w:lang w:eastAsia="de-DE"/>
              </w:rPr>
              <w:t xml:space="preserve"> Special test</w:t>
            </w:r>
            <w:r w:rsidR="001705E4">
              <w:rPr>
                <w:rStyle w:val="FootnoteReference"/>
                <w:noProof/>
                <w:szCs w:val="20"/>
                <w:lang w:eastAsia="de-DE"/>
              </w:rPr>
              <w:footnoteReference w:id="62"/>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val="en-US" w:eastAsia="de-DE"/>
              </w:rPr>
            </w:pPr>
            <w:r w:rsidRPr="00C903F8">
              <w:rPr>
                <w:noProof/>
                <w:szCs w:val="20"/>
                <w:lang w:val="en-US" w:eastAsia="de-DE"/>
              </w:rPr>
              <w:t xml:space="preserve">Name and address of the technical service: </w:t>
            </w: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r w:rsidRPr="00C903F8">
              <w:rPr>
                <w:noProof/>
                <w:szCs w:val="20"/>
                <w:lang w:val="en-US" w:eastAsia="de-DE"/>
              </w:rPr>
              <w:tab/>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 xml:space="preserve">Name of the controller: </w:t>
            </w:r>
            <w:r w:rsidRPr="00C903F8">
              <w:rPr>
                <w:noProof/>
                <w:szCs w:val="20"/>
                <w:lang w:eastAsia="de-DE"/>
              </w:rPr>
              <w:tab/>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 xml:space="preserve">Place and date: </w:t>
            </w:r>
            <w:r w:rsidRPr="00C903F8">
              <w:rPr>
                <w:noProof/>
                <w:szCs w:val="20"/>
                <w:lang w:eastAsia="de-DE"/>
              </w:rPr>
              <w:tab/>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 xml:space="preserve">Signature: </w:t>
            </w:r>
            <w:r w:rsidRPr="00C903F8">
              <w:rPr>
                <w:noProof/>
                <w:szCs w:val="20"/>
                <w:lang w:eastAsia="de-DE"/>
              </w:rPr>
              <w:tab/>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eastAsia="de-DE"/>
              </w:rPr>
            </w:pP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val="en-US" w:eastAsia="de-DE"/>
              </w:rPr>
            </w:pPr>
            <w:r w:rsidRPr="00C903F8">
              <w:rPr>
                <w:noProof/>
                <w:szCs w:val="20"/>
                <w:lang w:val="en-US" w:eastAsia="de-DE"/>
              </w:rPr>
              <w:t xml:space="preserve">Test recognised by competent authority: </w:t>
            </w: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5131" w:type="dxa"/>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 xml:space="preserve">Place and date: </w:t>
            </w:r>
            <w:r w:rsidRPr="00C903F8">
              <w:rPr>
                <w:noProof/>
                <w:szCs w:val="20"/>
                <w:lang w:eastAsia="de-DE"/>
              </w:rPr>
              <w:tab/>
            </w:r>
          </w:p>
        </w:tc>
        <w:tc>
          <w:tcPr>
            <w:tcW w:w="3360" w:type="dxa"/>
            <w:shd w:val="clear" w:color="auto" w:fill="auto"/>
          </w:tcPr>
          <w:p w:rsidR="009C13A9" w:rsidRPr="00C903F8" w:rsidRDefault="009C13A9" w:rsidP="009C13A9">
            <w:pPr>
              <w:tabs>
                <w:tab w:val="right" w:leader="dot" w:pos="8263"/>
              </w:tabs>
              <w:spacing w:line="240" w:lineRule="atLeast"/>
              <w:jc w:val="center"/>
              <w:outlineLvl w:val="0"/>
              <w:rPr>
                <w:noProof/>
                <w:sz w:val="16"/>
                <w:szCs w:val="20"/>
                <w:lang w:eastAsia="de-DE"/>
              </w:rPr>
            </w:pPr>
            <w:r w:rsidRPr="00C903F8">
              <w:rPr>
                <w:noProof/>
                <w:sz w:val="16"/>
                <w:szCs w:val="20"/>
                <w:lang w:eastAsia="de-DE"/>
              </w:rPr>
              <w:t>Seal of the competent</w:t>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5131" w:type="dxa"/>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 xml:space="preserve">Signature: </w:t>
            </w:r>
            <w:r w:rsidRPr="00C903F8">
              <w:rPr>
                <w:noProof/>
                <w:szCs w:val="20"/>
                <w:lang w:eastAsia="de-DE"/>
              </w:rPr>
              <w:tab/>
            </w:r>
          </w:p>
        </w:tc>
        <w:tc>
          <w:tcPr>
            <w:tcW w:w="3360" w:type="dxa"/>
            <w:shd w:val="clear" w:color="auto" w:fill="auto"/>
          </w:tcPr>
          <w:p w:rsidR="009C13A9" w:rsidRPr="00C903F8" w:rsidRDefault="009C13A9" w:rsidP="009C13A9">
            <w:pPr>
              <w:tabs>
                <w:tab w:val="right" w:leader="dot" w:pos="8263"/>
              </w:tabs>
              <w:spacing w:line="240" w:lineRule="atLeast"/>
              <w:jc w:val="center"/>
              <w:outlineLvl w:val="0"/>
              <w:rPr>
                <w:noProof/>
                <w:sz w:val="16"/>
                <w:szCs w:val="20"/>
                <w:lang w:eastAsia="de-DE"/>
              </w:rPr>
            </w:pPr>
            <w:r w:rsidRPr="00C903F8">
              <w:rPr>
                <w:noProof/>
                <w:sz w:val="16"/>
                <w:szCs w:val="20"/>
                <w:lang w:eastAsia="de-DE"/>
              </w:rPr>
              <w:t>authority</w:t>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p w:rsidR="009C13A9" w:rsidRPr="00C903F8" w:rsidRDefault="009C13A9" w:rsidP="009C13A9">
            <w:pPr>
              <w:spacing w:line="240" w:lineRule="atLeast"/>
              <w:outlineLvl w:val="0"/>
              <w:rPr>
                <w:noProof/>
                <w:szCs w:val="20"/>
                <w:lang w:eastAsia="de-DE"/>
              </w:rPr>
            </w:pPr>
          </w:p>
          <w:p w:rsidR="009C13A9" w:rsidRPr="00C903F8" w:rsidRDefault="009C13A9" w:rsidP="009C13A9">
            <w:pPr>
              <w:spacing w:line="240" w:lineRule="atLeast"/>
              <w:outlineLvl w:val="0"/>
              <w:rPr>
                <w:noProof/>
                <w:szCs w:val="20"/>
                <w:lang w:eastAsia="de-DE"/>
              </w:rPr>
            </w:pPr>
          </w:p>
        </w:tc>
        <w:tc>
          <w:tcPr>
            <w:tcW w:w="5131" w:type="dxa"/>
            <w:shd w:val="clear" w:color="auto" w:fill="auto"/>
          </w:tcPr>
          <w:p w:rsidR="009C13A9" w:rsidRPr="00C903F8" w:rsidRDefault="009C13A9" w:rsidP="009C13A9">
            <w:pPr>
              <w:tabs>
                <w:tab w:val="right" w:leader="dot" w:pos="8263"/>
              </w:tabs>
              <w:spacing w:line="240" w:lineRule="atLeast"/>
              <w:outlineLvl w:val="0"/>
              <w:rPr>
                <w:noProof/>
                <w:szCs w:val="20"/>
                <w:lang w:eastAsia="de-DE"/>
              </w:rPr>
            </w:pPr>
          </w:p>
        </w:tc>
        <w:tc>
          <w:tcPr>
            <w:tcW w:w="3360" w:type="dxa"/>
            <w:shd w:val="clear" w:color="auto" w:fill="auto"/>
          </w:tcPr>
          <w:p w:rsidR="009C13A9" w:rsidRPr="00C903F8" w:rsidRDefault="009C13A9" w:rsidP="009C13A9">
            <w:pPr>
              <w:tabs>
                <w:tab w:val="right" w:leader="dot" w:pos="8263"/>
              </w:tabs>
              <w:spacing w:line="240" w:lineRule="atLeast"/>
              <w:jc w:val="center"/>
              <w:outlineLvl w:val="0"/>
              <w:rPr>
                <w:noProof/>
                <w:sz w:val="16"/>
                <w:szCs w:val="20"/>
                <w:lang w:eastAsia="de-DE"/>
              </w:rPr>
            </w:pPr>
          </w:p>
        </w:tc>
      </w:tr>
      <w:tr w:rsidR="009C13A9" w:rsidRPr="00C903F8" w:rsidTr="009C13A9">
        <w:tc>
          <w:tcPr>
            <w:tcW w:w="737" w:type="dxa"/>
            <w:shd w:val="clear" w:color="auto" w:fill="auto"/>
          </w:tcPr>
          <w:p w:rsidR="009C13A9" w:rsidRPr="00C903F8" w:rsidRDefault="009C13A9" w:rsidP="009C13A9">
            <w:pPr>
              <w:spacing w:line="240" w:lineRule="atLeast"/>
              <w:rPr>
                <w:b/>
                <w:bCs/>
                <w:noProof/>
                <w:szCs w:val="20"/>
                <w:lang w:eastAsia="de-DE"/>
              </w:rPr>
            </w:pPr>
            <w:r w:rsidRPr="00C903F8">
              <w:rPr>
                <w:noProof/>
                <w:szCs w:val="20"/>
                <w:lang w:eastAsia="de-DE"/>
              </w:rPr>
              <w:t>1.2</w:t>
            </w:r>
          </w:p>
        </w:tc>
        <w:tc>
          <w:tcPr>
            <w:tcW w:w="8491" w:type="dxa"/>
            <w:gridSpan w:val="2"/>
            <w:shd w:val="clear" w:color="auto" w:fill="auto"/>
          </w:tcPr>
          <w:p w:rsidR="009C13A9" w:rsidRPr="00C903F8" w:rsidRDefault="00475311" w:rsidP="009C13A9">
            <w:pPr>
              <w:spacing w:line="240" w:lineRule="atLeast"/>
              <w:rPr>
                <w:b/>
                <w:bCs/>
                <w:noProof/>
                <w:szCs w:val="20"/>
                <w:lang w:eastAsia="de-DE"/>
              </w:rPr>
            </w:pPr>
            <w:r w:rsidRPr="00C903F8">
              <w:rPr>
                <w:noProof/>
                <w:szCs w:val="20"/>
                <w:lang w:eastAsia="de-DE"/>
              </w:rPr>
              <w:fldChar w:fldCharType="begin">
                <w:ffData>
                  <w:name w:val="Kontrollkästchen1"/>
                  <w:enabled/>
                  <w:calcOnExit w:val="0"/>
                  <w:checkBox>
                    <w:size w:val="20"/>
                    <w:default w:val="0"/>
                  </w:checkBox>
                </w:ffData>
              </w:fldChar>
            </w:r>
            <w:r w:rsidR="009C13A9" w:rsidRPr="00C903F8">
              <w:rPr>
                <w:noProof/>
                <w:szCs w:val="20"/>
                <w:lang w:eastAsia="de-DE"/>
              </w:rPr>
              <w:instrText xml:space="preserve"> FORMCHECKBOX </w:instrText>
            </w:r>
            <w:r w:rsidR="00F12BAF">
              <w:rPr>
                <w:noProof/>
                <w:szCs w:val="20"/>
                <w:lang w:eastAsia="de-DE"/>
              </w:rPr>
            </w:r>
            <w:r w:rsidR="00F12BAF">
              <w:rPr>
                <w:noProof/>
                <w:szCs w:val="20"/>
                <w:lang w:eastAsia="de-DE"/>
              </w:rPr>
              <w:fldChar w:fldCharType="separate"/>
            </w:r>
            <w:r w:rsidRPr="00C903F8">
              <w:rPr>
                <w:noProof/>
                <w:szCs w:val="20"/>
                <w:lang w:eastAsia="de-DE"/>
              </w:rPr>
              <w:fldChar w:fldCharType="end"/>
            </w:r>
            <w:r w:rsidR="009C13A9" w:rsidRPr="00C903F8">
              <w:rPr>
                <w:noProof/>
                <w:szCs w:val="20"/>
                <w:lang w:eastAsia="de-DE"/>
              </w:rPr>
              <w:t xml:space="preserve"> Intermediate test</w:t>
            </w:r>
            <w:r w:rsidR="009C13A9" w:rsidRPr="00C903F8">
              <w:rPr>
                <w:noProof/>
                <w:szCs w:val="20"/>
                <w:lang w:eastAsia="de-DE"/>
              </w:rPr>
              <w:tab/>
            </w:r>
            <w:r w:rsidRPr="00C903F8">
              <w:rPr>
                <w:noProof/>
                <w:szCs w:val="20"/>
                <w:lang w:eastAsia="de-DE"/>
              </w:rPr>
              <w:fldChar w:fldCharType="begin">
                <w:ffData>
                  <w:name w:val="Kontrollkästchen1"/>
                  <w:enabled/>
                  <w:calcOnExit w:val="0"/>
                  <w:checkBox>
                    <w:size w:val="20"/>
                    <w:default w:val="0"/>
                  </w:checkBox>
                </w:ffData>
              </w:fldChar>
            </w:r>
            <w:r w:rsidR="009C13A9" w:rsidRPr="00C903F8">
              <w:rPr>
                <w:noProof/>
                <w:szCs w:val="20"/>
                <w:lang w:eastAsia="de-DE"/>
              </w:rPr>
              <w:instrText xml:space="preserve"> FORMCHECKBOX </w:instrText>
            </w:r>
            <w:r w:rsidR="00F12BAF">
              <w:rPr>
                <w:noProof/>
                <w:szCs w:val="20"/>
                <w:lang w:eastAsia="de-DE"/>
              </w:rPr>
            </w:r>
            <w:r w:rsidR="00F12BAF">
              <w:rPr>
                <w:noProof/>
                <w:szCs w:val="20"/>
                <w:lang w:eastAsia="de-DE"/>
              </w:rPr>
              <w:fldChar w:fldCharType="separate"/>
            </w:r>
            <w:r w:rsidRPr="00C903F8">
              <w:rPr>
                <w:noProof/>
                <w:szCs w:val="20"/>
                <w:lang w:eastAsia="de-DE"/>
              </w:rPr>
              <w:fldChar w:fldCharType="end"/>
            </w:r>
            <w:r w:rsidR="009C13A9" w:rsidRPr="00C903F8">
              <w:rPr>
                <w:noProof/>
                <w:szCs w:val="20"/>
                <w:lang w:eastAsia="de-DE"/>
              </w:rPr>
              <w:t xml:space="preserve"> Special test</w:t>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val="en-US" w:eastAsia="de-DE"/>
              </w:rPr>
            </w:pPr>
            <w:r w:rsidRPr="00C903F8">
              <w:rPr>
                <w:noProof/>
                <w:szCs w:val="20"/>
                <w:lang w:val="en-US" w:eastAsia="de-DE"/>
              </w:rPr>
              <w:t xml:space="preserve">Name and address of the technical service: </w:t>
            </w: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r w:rsidRPr="00C903F8">
              <w:rPr>
                <w:noProof/>
                <w:szCs w:val="20"/>
                <w:lang w:val="en-US" w:eastAsia="de-DE"/>
              </w:rPr>
              <w:tab/>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 xml:space="preserve">Name of the controller: </w:t>
            </w:r>
            <w:r w:rsidRPr="00C903F8">
              <w:rPr>
                <w:noProof/>
                <w:szCs w:val="20"/>
                <w:lang w:eastAsia="de-DE"/>
              </w:rPr>
              <w:tab/>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 xml:space="preserve">Place and date: </w:t>
            </w:r>
            <w:r w:rsidRPr="00C903F8">
              <w:rPr>
                <w:noProof/>
                <w:szCs w:val="20"/>
                <w:lang w:eastAsia="de-DE"/>
              </w:rPr>
              <w:tab/>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 xml:space="preserve">Signature: </w:t>
            </w:r>
            <w:r w:rsidRPr="00C903F8">
              <w:rPr>
                <w:noProof/>
                <w:szCs w:val="20"/>
                <w:lang w:eastAsia="de-DE"/>
              </w:rPr>
              <w:tab/>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eastAsia="de-DE"/>
              </w:rPr>
            </w:pP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val="en-US" w:eastAsia="de-DE"/>
              </w:rPr>
            </w:pPr>
            <w:r w:rsidRPr="00C903F8">
              <w:rPr>
                <w:noProof/>
                <w:szCs w:val="20"/>
                <w:lang w:val="en-US" w:eastAsia="de-DE"/>
              </w:rPr>
              <w:t xml:space="preserve">Test recognised by competent authority: </w:t>
            </w: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5131" w:type="dxa"/>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 xml:space="preserve">Place and date: </w:t>
            </w:r>
            <w:r w:rsidRPr="00C903F8">
              <w:rPr>
                <w:noProof/>
                <w:szCs w:val="20"/>
                <w:lang w:eastAsia="de-DE"/>
              </w:rPr>
              <w:tab/>
            </w:r>
          </w:p>
        </w:tc>
        <w:tc>
          <w:tcPr>
            <w:tcW w:w="3360" w:type="dxa"/>
            <w:shd w:val="clear" w:color="auto" w:fill="auto"/>
          </w:tcPr>
          <w:p w:rsidR="009C13A9" w:rsidRPr="00C903F8" w:rsidRDefault="009C13A9" w:rsidP="009C13A9">
            <w:pPr>
              <w:tabs>
                <w:tab w:val="right" w:leader="dot" w:pos="8263"/>
              </w:tabs>
              <w:spacing w:line="240" w:lineRule="atLeast"/>
              <w:jc w:val="center"/>
              <w:outlineLvl w:val="0"/>
              <w:rPr>
                <w:noProof/>
                <w:sz w:val="16"/>
                <w:szCs w:val="20"/>
                <w:lang w:eastAsia="de-DE"/>
              </w:rPr>
            </w:pPr>
            <w:r w:rsidRPr="00C903F8">
              <w:rPr>
                <w:noProof/>
                <w:sz w:val="16"/>
                <w:szCs w:val="20"/>
                <w:lang w:eastAsia="de-DE"/>
              </w:rPr>
              <w:t>Seal of the competent</w:t>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5131" w:type="dxa"/>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 xml:space="preserve">Signature: </w:t>
            </w:r>
            <w:r w:rsidRPr="00C903F8">
              <w:rPr>
                <w:noProof/>
                <w:szCs w:val="20"/>
                <w:lang w:eastAsia="de-DE"/>
              </w:rPr>
              <w:tab/>
            </w:r>
          </w:p>
        </w:tc>
        <w:tc>
          <w:tcPr>
            <w:tcW w:w="3360" w:type="dxa"/>
            <w:shd w:val="clear" w:color="auto" w:fill="auto"/>
          </w:tcPr>
          <w:p w:rsidR="009C13A9" w:rsidRPr="00C903F8" w:rsidRDefault="009C13A9" w:rsidP="009C13A9">
            <w:pPr>
              <w:tabs>
                <w:tab w:val="right" w:leader="dot" w:pos="8263"/>
              </w:tabs>
              <w:spacing w:line="240" w:lineRule="atLeast"/>
              <w:jc w:val="center"/>
              <w:outlineLvl w:val="0"/>
              <w:rPr>
                <w:noProof/>
                <w:sz w:val="16"/>
                <w:szCs w:val="20"/>
                <w:lang w:eastAsia="de-DE"/>
              </w:rPr>
            </w:pPr>
            <w:r w:rsidRPr="00C903F8">
              <w:rPr>
                <w:noProof/>
                <w:sz w:val="16"/>
                <w:szCs w:val="20"/>
                <w:lang w:eastAsia="de-DE"/>
              </w:rPr>
              <w:t>authority</w:t>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p w:rsidR="009C13A9" w:rsidRPr="00C903F8" w:rsidRDefault="009C13A9" w:rsidP="009C13A9">
            <w:pPr>
              <w:spacing w:line="240" w:lineRule="atLeast"/>
              <w:outlineLvl w:val="0"/>
              <w:rPr>
                <w:noProof/>
                <w:szCs w:val="20"/>
                <w:lang w:eastAsia="de-DE"/>
              </w:rPr>
            </w:pPr>
          </w:p>
          <w:p w:rsidR="009C13A9" w:rsidRPr="00C903F8" w:rsidRDefault="009C13A9" w:rsidP="009C13A9">
            <w:pPr>
              <w:spacing w:line="240" w:lineRule="atLeast"/>
              <w:outlineLvl w:val="0"/>
              <w:rPr>
                <w:noProof/>
                <w:szCs w:val="20"/>
                <w:lang w:eastAsia="de-DE"/>
              </w:rPr>
            </w:pPr>
          </w:p>
        </w:tc>
        <w:tc>
          <w:tcPr>
            <w:tcW w:w="5131" w:type="dxa"/>
            <w:shd w:val="clear" w:color="auto" w:fill="auto"/>
          </w:tcPr>
          <w:p w:rsidR="009C13A9" w:rsidRPr="00C903F8" w:rsidRDefault="009C13A9" w:rsidP="009C13A9">
            <w:pPr>
              <w:tabs>
                <w:tab w:val="right" w:leader="dot" w:pos="8263"/>
              </w:tabs>
              <w:spacing w:line="240" w:lineRule="atLeast"/>
              <w:outlineLvl w:val="0"/>
              <w:rPr>
                <w:noProof/>
                <w:szCs w:val="20"/>
                <w:lang w:eastAsia="de-DE"/>
              </w:rPr>
            </w:pPr>
          </w:p>
        </w:tc>
        <w:tc>
          <w:tcPr>
            <w:tcW w:w="3360" w:type="dxa"/>
            <w:shd w:val="clear" w:color="auto" w:fill="auto"/>
          </w:tcPr>
          <w:p w:rsidR="009C13A9" w:rsidRPr="00C903F8" w:rsidRDefault="009C13A9" w:rsidP="009C13A9">
            <w:pPr>
              <w:tabs>
                <w:tab w:val="right" w:leader="dot" w:pos="8263"/>
              </w:tabs>
              <w:spacing w:line="240" w:lineRule="atLeast"/>
              <w:jc w:val="center"/>
              <w:outlineLvl w:val="0"/>
              <w:rPr>
                <w:noProof/>
                <w:sz w:val="16"/>
                <w:szCs w:val="20"/>
                <w:lang w:eastAsia="de-DE"/>
              </w:rPr>
            </w:pPr>
          </w:p>
        </w:tc>
      </w:tr>
      <w:tr w:rsidR="009C13A9" w:rsidRPr="00C903F8" w:rsidTr="009C13A9">
        <w:tc>
          <w:tcPr>
            <w:tcW w:w="737" w:type="dxa"/>
            <w:shd w:val="clear" w:color="auto" w:fill="auto"/>
          </w:tcPr>
          <w:p w:rsidR="009C13A9" w:rsidRPr="00C903F8" w:rsidRDefault="009C13A9" w:rsidP="009C13A9">
            <w:pPr>
              <w:spacing w:line="240" w:lineRule="atLeast"/>
              <w:rPr>
                <w:b/>
                <w:bCs/>
                <w:noProof/>
                <w:szCs w:val="20"/>
                <w:lang w:eastAsia="de-DE"/>
              </w:rPr>
            </w:pPr>
            <w:r w:rsidRPr="00C903F8">
              <w:rPr>
                <w:noProof/>
                <w:szCs w:val="20"/>
                <w:lang w:eastAsia="de-DE"/>
              </w:rPr>
              <w:t>1.2</w:t>
            </w:r>
          </w:p>
        </w:tc>
        <w:tc>
          <w:tcPr>
            <w:tcW w:w="8491" w:type="dxa"/>
            <w:gridSpan w:val="2"/>
            <w:shd w:val="clear" w:color="auto" w:fill="auto"/>
          </w:tcPr>
          <w:p w:rsidR="009C13A9" w:rsidRPr="00C903F8" w:rsidRDefault="00475311" w:rsidP="009C13A9">
            <w:pPr>
              <w:spacing w:line="240" w:lineRule="atLeast"/>
              <w:rPr>
                <w:b/>
                <w:bCs/>
                <w:noProof/>
                <w:szCs w:val="20"/>
                <w:lang w:eastAsia="de-DE"/>
              </w:rPr>
            </w:pPr>
            <w:r w:rsidRPr="00C903F8">
              <w:rPr>
                <w:noProof/>
                <w:szCs w:val="20"/>
                <w:lang w:eastAsia="de-DE"/>
              </w:rPr>
              <w:fldChar w:fldCharType="begin">
                <w:ffData>
                  <w:name w:val="Kontrollkästchen1"/>
                  <w:enabled/>
                  <w:calcOnExit w:val="0"/>
                  <w:checkBox>
                    <w:size w:val="20"/>
                    <w:default w:val="0"/>
                  </w:checkBox>
                </w:ffData>
              </w:fldChar>
            </w:r>
            <w:r w:rsidR="009C13A9" w:rsidRPr="00C903F8">
              <w:rPr>
                <w:noProof/>
                <w:szCs w:val="20"/>
                <w:lang w:eastAsia="de-DE"/>
              </w:rPr>
              <w:instrText xml:space="preserve"> FORMCHECKBOX </w:instrText>
            </w:r>
            <w:r w:rsidR="00F12BAF">
              <w:rPr>
                <w:noProof/>
                <w:szCs w:val="20"/>
                <w:lang w:eastAsia="de-DE"/>
              </w:rPr>
            </w:r>
            <w:r w:rsidR="00F12BAF">
              <w:rPr>
                <w:noProof/>
                <w:szCs w:val="20"/>
                <w:lang w:eastAsia="de-DE"/>
              </w:rPr>
              <w:fldChar w:fldCharType="separate"/>
            </w:r>
            <w:r w:rsidRPr="00C903F8">
              <w:rPr>
                <w:noProof/>
                <w:szCs w:val="20"/>
                <w:lang w:eastAsia="de-DE"/>
              </w:rPr>
              <w:fldChar w:fldCharType="end"/>
            </w:r>
            <w:r w:rsidR="009C13A9" w:rsidRPr="00C903F8">
              <w:rPr>
                <w:noProof/>
                <w:szCs w:val="20"/>
                <w:lang w:eastAsia="de-DE"/>
              </w:rPr>
              <w:t xml:space="preserve"> Intermediate test</w:t>
            </w:r>
            <w:r w:rsidR="009C13A9" w:rsidRPr="00C903F8">
              <w:rPr>
                <w:noProof/>
                <w:szCs w:val="20"/>
                <w:lang w:eastAsia="de-DE"/>
              </w:rPr>
              <w:tab/>
            </w:r>
            <w:r w:rsidRPr="00C903F8">
              <w:rPr>
                <w:noProof/>
                <w:szCs w:val="20"/>
                <w:lang w:eastAsia="de-DE"/>
              </w:rPr>
              <w:fldChar w:fldCharType="begin">
                <w:ffData>
                  <w:name w:val="Kontrollkästchen1"/>
                  <w:enabled/>
                  <w:calcOnExit w:val="0"/>
                  <w:checkBox>
                    <w:size w:val="20"/>
                    <w:default w:val="0"/>
                  </w:checkBox>
                </w:ffData>
              </w:fldChar>
            </w:r>
            <w:r w:rsidR="009C13A9" w:rsidRPr="00C903F8">
              <w:rPr>
                <w:noProof/>
                <w:szCs w:val="20"/>
                <w:lang w:eastAsia="de-DE"/>
              </w:rPr>
              <w:instrText xml:space="preserve"> FORMCHECKBOX </w:instrText>
            </w:r>
            <w:r w:rsidR="00F12BAF">
              <w:rPr>
                <w:noProof/>
                <w:szCs w:val="20"/>
                <w:lang w:eastAsia="de-DE"/>
              </w:rPr>
            </w:r>
            <w:r w:rsidR="00F12BAF">
              <w:rPr>
                <w:noProof/>
                <w:szCs w:val="20"/>
                <w:lang w:eastAsia="de-DE"/>
              </w:rPr>
              <w:fldChar w:fldCharType="separate"/>
            </w:r>
            <w:r w:rsidRPr="00C903F8">
              <w:rPr>
                <w:noProof/>
                <w:szCs w:val="20"/>
                <w:lang w:eastAsia="de-DE"/>
              </w:rPr>
              <w:fldChar w:fldCharType="end"/>
            </w:r>
            <w:r w:rsidR="009C13A9" w:rsidRPr="00C903F8">
              <w:rPr>
                <w:noProof/>
                <w:szCs w:val="20"/>
                <w:lang w:eastAsia="de-DE"/>
              </w:rPr>
              <w:t xml:space="preserve"> Special test</w:t>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val="en-US" w:eastAsia="de-DE"/>
              </w:rPr>
            </w:pPr>
            <w:r w:rsidRPr="00C903F8">
              <w:rPr>
                <w:noProof/>
                <w:szCs w:val="20"/>
                <w:lang w:val="en-US" w:eastAsia="de-DE"/>
              </w:rPr>
              <w:t xml:space="preserve">Name and address of the the technical service: </w:t>
            </w: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r w:rsidRPr="00C903F8">
              <w:rPr>
                <w:noProof/>
                <w:szCs w:val="20"/>
                <w:lang w:val="en-US" w:eastAsia="de-DE"/>
              </w:rPr>
              <w:tab/>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 xml:space="preserve">Name of the controller: </w:t>
            </w:r>
            <w:r w:rsidRPr="00C903F8">
              <w:rPr>
                <w:noProof/>
                <w:szCs w:val="20"/>
                <w:lang w:eastAsia="de-DE"/>
              </w:rPr>
              <w:tab/>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 xml:space="preserve">Place and date: </w:t>
            </w:r>
            <w:r w:rsidRPr="00C903F8">
              <w:rPr>
                <w:noProof/>
                <w:szCs w:val="20"/>
                <w:lang w:eastAsia="de-DE"/>
              </w:rPr>
              <w:tab/>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 xml:space="preserve">Signature: </w:t>
            </w:r>
            <w:r w:rsidRPr="00C903F8">
              <w:rPr>
                <w:noProof/>
                <w:szCs w:val="20"/>
                <w:lang w:eastAsia="de-DE"/>
              </w:rPr>
              <w:tab/>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eastAsia="de-DE"/>
              </w:rPr>
            </w:pP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outlineLvl w:val="0"/>
              <w:rPr>
                <w:noProof/>
                <w:szCs w:val="20"/>
                <w:lang w:val="en-US" w:eastAsia="de-DE"/>
              </w:rPr>
            </w:pPr>
            <w:r w:rsidRPr="00C903F8">
              <w:rPr>
                <w:noProof/>
                <w:szCs w:val="20"/>
                <w:lang w:val="en-US" w:eastAsia="de-DE"/>
              </w:rPr>
              <w:t xml:space="preserve">Test recognised by competent authority: </w:t>
            </w: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r w:rsidRPr="00C903F8">
              <w:rPr>
                <w:noProof/>
                <w:szCs w:val="20"/>
                <w:lang w:val="en-US" w:eastAsia="de-DE"/>
              </w:rPr>
              <w:tab/>
            </w:r>
          </w:p>
        </w:tc>
      </w:tr>
      <w:tr w:rsidR="009C13A9" w:rsidRPr="0029685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8491" w:type="dxa"/>
            <w:gridSpan w:val="2"/>
            <w:shd w:val="clear" w:color="auto" w:fill="auto"/>
          </w:tcPr>
          <w:p w:rsidR="009C13A9" w:rsidRPr="00C903F8" w:rsidRDefault="009C13A9" w:rsidP="009C13A9">
            <w:pPr>
              <w:tabs>
                <w:tab w:val="right" w:leader="dot" w:pos="8263"/>
              </w:tabs>
              <w:spacing w:line="240" w:lineRule="atLeast"/>
              <w:ind w:left="0" w:firstLine="0"/>
              <w:outlineLvl w:val="0"/>
              <w:rPr>
                <w:noProof/>
                <w:szCs w:val="20"/>
                <w:lang w:val="en-US" w:eastAsia="de-DE"/>
              </w:rPr>
            </w:pP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val="en-US" w:eastAsia="de-DE"/>
              </w:rPr>
            </w:pPr>
          </w:p>
        </w:tc>
        <w:tc>
          <w:tcPr>
            <w:tcW w:w="5131" w:type="dxa"/>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 xml:space="preserve">Place and date: </w:t>
            </w:r>
            <w:r w:rsidRPr="00C903F8">
              <w:rPr>
                <w:noProof/>
                <w:szCs w:val="20"/>
                <w:lang w:eastAsia="de-DE"/>
              </w:rPr>
              <w:tab/>
            </w:r>
          </w:p>
        </w:tc>
        <w:tc>
          <w:tcPr>
            <w:tcW w:w="3360" w:type="dxa"/>
            <w:shd w:val="clear" w:color="auto" w:fill="auto"/>
          </w:tcPr>
          <w:p w:rsidR="009C13A9" w:rsidRPr="00C903F8" w:rsidRDefault="009C13A9" w:rsidP="009C13A9">
            <w:pPr>
              <w:tabs>
                <w:tab w:val="right" w:leader="dot" w:pos="8263"/>
              </w:tabs>
              <w:spacing w:line="240" w:lineRule="atLeast"/>
              <w:jc w:val="center"/>
              <w:outlineLvl w:val="0"/>
              <w:rPr>
                <w:noProof/>
                <w:sz w:val="16"/>
                <w:szCs w:val="20"/>
                <w:lang w:eastAsia="de-DE"/>
              </w:rPr>
            </w:pPr>
            <w:r w:rsidRPr="00C903F8">
              <w:rPr>
                <w:noProof/>
                <w:sz w:val="16"/>
                <w:szCs w:val="20"/>
                <w:lang w:eastAsia="de-DE"/>
              </w:rPr>
              <w:t>Seal of the competent</w:t>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5131" w:type="dxa"/>
            <w:shd w:val="clear" w:color="auto" w:fill="auto"/>
          </w:tcPr>
          <w:p w:rsidR="009C13A9" w:rsidRPr="00C903F8" w:rsidRDefault="009C13A9" w:rsidP="009C13A9">
            <w:pPr>
              <w:tabs>
                <w:tab w:val="right" w:leader="dot" w:pos="8263"/>
              </w:tabs>
              <w:spacing w:line="240" w:lineRule="atLeast"/>
              <w:outlineLvl w:val="0"/>
              <w:rPr>
                <w:noProof/>
                <w:szCs w:val="20"/>
                <w:lang w:eastAsia="de-DE"/>
              </w:rPr>
            </w:pPr>
            <w:r w:rsidRPr="00C903F8">
              <w:rPr>
                <w:noProof/>
                <w:szCs w:val="20"/>
                <w:lang w:eastAsia="de-DE"/>
              </w:rPr>
              <w:t xml:space="preserve">Signature: </w:t>
            </w:r>
            <w:r w:rsidRPr="00C903F8">
              <w:rPr>
                <w:noProof/>
                <w:szCs w:val="20"/>
                <w:lang w:eastAsia="de-DE"/>
              </w:rPr>
              <w:tab/>
            </w:r>
          </w:p>
        </w:tc>
        <w:tc>
          <w:tcPr>
            <w:tcW w:w="3360" w:type="dxa"/>
            <w:shd w:val="clear" w:color="auto" w:fill="auto"/>
          </w:tcPr>
          <w:p w:rsidR="009C13A9" w:rsidRPr="00C903F8" w:rsidRDefault="009C13A9" w:rsidP="009C13A9">
            <w:pPr>
              <w:tabs>
                <w:tab w:val="right" w:leader="dot" w:pos="8263"/>
              </w:tabs>
              <w:spacing w:line="240" w:lineRule="atLeast"/>
              <w:jc w:val="center"/>
              <w:outlineLvl w:val="0"/>
              <w:rPr>
                <w:noProof/>
                <w:sz w:val="16"/>
                <w:szCs w:val="20"/>
                <w:lang w:eastAsia="de-DE"/>
              </w:rPr>
            </w:pPr>
            <w:r w:rsidRPr="00C903F8">
              <w:rPr>
                <w:noProof/>
                <w:sz w:val="16"/>
                <w:szCs w:val="20"/>
                <w:lang w:eastAsia="de-DE"/>
              </w:rPr>
              <w:t>authority</w:t>
            </w:r>
          </w:p>
        </w:tc>
      </w:tr>
      <w:tr w:rsidR="009C13A9" w:rsidRPr="00C903F8" w:rsidTr="009C13A9">
        <w:tc>
          <w:tcPr>
            <w:tcW w:w="737" w:type="dxa"/>
            <w:shd w:val="clear" w:color="auto" w:fill="auto"/>
          </w:tcPr>
          <w:p w:rsidR="009C13A9" w:rsidRPr="00C903F8" w:rsidRDefault="009C13A9" w:rsidP="009C13A9">
            <w:pPr>
              <w:spacing w:line="240" w:lineRule="atLeast"/>
              <w:outlineLvl w:val="0"/>
              <w:rPr>
                <w:noProof/>
                <w:szCs w:val="20"/>
                <w:lang w:eastAsia="de-DE"/>
              </w:rPr>
            </w:pPr>
          </w:p>
        </w:tc>
        <w:tc>
          <w:tcPr>
            <w:tcW w:w="5131" w:type="dxa"/>
            <w:shd w:val="clear" w:color="auto" w:fill="auto"/>
          </w:tcPr>
          <w:p w:rsidR="009C13A9" w:rsidRPr="00C903F8" w:rsidRDefault="009C13A9" w:rsidP="009C13A9">
            <w:pPr>
              <w:tabs>
                <w:tab w:val="right" w:leader="dot" w:pos="8263"/>
              </w:tabs>
              <w:spacing w:line="240" w:lineRule="atLeast"/>
              <w:outlineLvl w:val="0"/>
              <w:rPr>
                <w:noProof/>
                <w:szCs w:val="20"/>
                <w:lang w:eastAsia="de-DE"/>
              </w:rPr>
            </w:pPr>
          </w:p>
        </w:tc>
        <w:tc>
          <w:tcPr>
            <w:tcW w:w="3360" w:type="dxa"/>
            <w:shd w:val="clear" w:color="auto" w:fill="auto"/>
          </w:tcPr>
          <w:p w:rsidR="009C13A9" w:rsidRPr="00C903F8" w:rsidRDefault="009C13A9" w:rsidP="009C13A9">
            <w:pPr>
              <w:tabs>
                <w:tab w:val="right" w:leader="dot" w:pos="8263"/>
              </w:tabs>
              <w:spacing w:line="240" w:lineRule="atLeast"/>
              <w:jc w:val="center"/>
              <w:outlineLvl w:val="0"/>
              <w:rPr>
                <w:noProof/>
                <w:sz w:val="16"/>
                <w:szCs w:val="20"/>
                <w:lang w:eastAsia="de-DE"/>
              </w:rPr>
            </w:pPr>
          </w:p>
        </w:tc>
      </w:tr>
    </w:tbl>
    <w:p w:rsidR="009C13A9" w:rsidRPr="00C903F8" w:rsidRDefault="009C13A9" w:rsidP="009C13A9">
      <w:pPr>
        <w:tabs>
          <w:tab w:val="left" w:pos="737"/>
          <w:tab w:val="left" w:pos="2835"/>
        </w:tabs>
        <w:rPr>
          <w:noProof/>
          <w:szCs w:val="20"/>
          <w:lang w:eastAsia="de-DE"/>
        </w:rPr>
      </w:pPr>
    </w:p>
    <w:p w:rsidR="009C13A9" w:rsidRPr="00C903F8" w:rsidRDefault="009C13A9" w:rsidP="009C13A9">
      <w:pPr>
        <w:rPr>
          <w:noProof/>
          <w:sz w:val="4"/>
          <w:szCs w:val="4"/>
          <w:lang w:eastAsia="de-DE"/>
        </w:rPr>
        <w:sectPr w:rsidR="009C13A9" w:rsidRPr="00C903F8" w:rsidSect="009C13A9">
          <w:headerReference w:type="default" r:id="rId69"/>
          <w:footnotePr>
            <w:numRestart w:val="eachPage"/>
          </w:footnotePr>
          <w:pgSz w:w="11907" w:h="16839"/>
          <w:pgMar w:top="1134" w:right="1417" w:bottom="1134" w:left="1417" w:header="709" w:footer="709" w:gutter="0"/>
          <w:cols w:space="708"/>
          <w:docGrid w:linePitch="360"/>
        </w:sectPr>
      </w:pPr>
    </w:p>
    <w:tbl>
      <w:tblPr>
        <w:tblW w:w="9215" w:type="dxa"/>
        <w:tblLayout w:type="fixed"/>
        <w:tblCellMar>
          <w:left w:w="70" w:type="dxa"/>
          <w:right w:w="70" w:type="dxa"/>
        </w:tblCellMar>
        <w:tblLook w:val="0000" w:firstRow="0" w:lastRow="0" w:firstColumn="0" w:lastColumn="0" w:noHBand="0" w:noVBand="0"/>
      </w:tblPr>
      <w:tblGrid>
        <w:gridCol w:w="70"/>
        <w:gridCol w:w="356"/>
        <w:gridCol w:w="567"/>
        <w:gridCol w:w="283"/>
        <w:gridCol w:w="284"/>
        <w:gridCol w:w="425"/>
        <w:gridCol w:w="567"/>
        <w:gridCol w:w="283"/>
        <w:gridCol w:w="142"/>
        <w:gridCol w:w="142"/>
        <w:gridCol w:w="43"/>
        <w:gridCol w:w="382"/>
        <w:gridCol w:w="425"/>
        <w:gridCol w:w="142"/>
        <w:gridCol w:w="425"/>
        <w:gridCol w:w="142"/>
        <w:gridCol w:w="140"/>
        <w:gridCol w:w="569"/>
        <w:gridCol w:w="567"/>
        <w:gridCol w:w="135"/>
        <w:gridCol w:w="7"/>
        <w:gridCol w:w="298"/>
        <w:gridCol w:w="127"/>
        <w:gridCol w:w="567"/>
        <w:gridCol w:w="47"/>
        <w:gridCol w:w="214"/>
        <w:gridCol w:w="306"/>
        <w:gridCol w:w="496"/>
        <w:gridCol w:w="23"/>
        <w:gridCol w:w="190"/>
        <w:gridCol w:w="555"/>
        <w:gridCol w:w="296"/>
      </w:tblGrid>
      <w:tr w:rsidR="009C13A9" w:rsidRPr="00C903F8" w:rsidTr="009C13A9">
        <w:trPr>
          <w:gridBefore w:val="1"/>
          <w:gridAfter w:val="1"/>
          <w:wBefore w:w="70" w:type="dxa"/>
          <w:wAfter w:w="296" w:type="dxa"/>
          <w:cantSplit/>
          <w:trHeight w:hRule="exact" w:val="160"/>
        </w:trPr>
        <w:tc>
          <w:tcPr>
            <w:tcW w:w="8849" w:type="dxa"/>
            <w:gridSpan w:val="30"/>
            <w:vAlign w:val="center"/>
          </w:tcPr>
          <w:p w:rsidR="009C13A9" w:rsidRPr="00C903F8" w:rsidRDefault="009C13A9" w:rsidP="009C13A9">
            <w:pPr>
              <w:autoSpaceDE/>
              <w:autoSpaceDN/>
              <w:ind w:left="0" w:firstLine="0"/>
              <w:jc w:val="left"/>
              <w:rPr>
                <w:noProof/>
                <w:lang w:val="en-US" w:eastAsia="de-DE"/>
              </w:rPr>
            </w:pPr>
          </w:p>
        </w:tc>
      </w:tr>
      <w:tr w:rsidR="009C13A9" w:rsidRPr="00C903F8" w:rsidTr="009C13A9">
        <w:tblPrEx>
          <w:jc w:val="center"/>
        </w:tblPrEx>
        <w:trPr>
          <w:cantSplit/>
          <w:jc w:val="center"/>
        </w:trPr>
        <w:tc>
          <w:tcPr>
            <w:tcW w:w="9215" w:type="dxa"/>
            <w:gridSpan w:val="32"/>
            <w:vAlign w:val="center"/>
          </w:tcPr>
          <w:p w:rsidR="009C13A9" w:rsidRPr="00C903F8" w:rsidRDefault="009C13A9" w:rsidP="009C13A9">
            <w:pPr>
              <w:tabs>
                <w:tab w:val="center" w:pos="7316"/>
              </w:tabs>
              <w:overflowPunct w:val="0"/>
              <w:adjustRightInd w:val="0"/>
              <w:spacing w:line="240" w:lineRule="atLeast"/>
              <w:ind w:left="0" w:firstLine="0"/>
              <w:jc w:val="center"/>
              <w:textAlignment w:val="baseline"/>
              <w:rPr>
                <w:rFonts w:cs="Arial"/>
                <w:bCs/>
                <w:sz w:val="16"/>
                <w:szCs w:val="18"/>
                <w:lang w:val="en-US"/>
              </w:rPr>
            </w:pPr>
            <w:r w:rsidRPr="00C903F8">
              <w:rPr>
                <w:rFonts w:cs="Arial"/>
                <w:szCs w:val="20"/>
                <w:lang w:val="en-US"/>
              </w:rPr>
              <w:br w:type="page"/>
            </w:r>
            <w:r w:rsidRPr="00C903F8">
              <w:rPr>
                <w:rFonts w:cs="Arial"/>
                <w:b/>
                <w:bCs/>
                <w:szCs w:val="18"/>
                <w:lang w:val="en-US"/>
              </w:rPr>
              <w:t xml:space="preserve">Appendix 1 </w:t>
            </w:r>
          </w:p>
          <w:p w:rsidR="009C13A9" w:rsidRPr="00C903F8" w:rsidRDefault="009C13A9" w:rsidP="009C13A9">
            <w:pPr>
              <w:overflowPunct w:val="0"/>
              <w:adjustRightInd w:val="0"/>
              <w:ind w:left="0" w:right="57" w:firstLine="0"/>
              <w:jc w:val="center"/>
              <w:textAlignment w:val="baseline"/>
              <w:rPr>
                <w:rFonts w:cs="Arial"/>
                <w:b/>
                <w:bCs/>
                <w:szCs w:val="22"/>
                <w:lang w:val="en-US"/>
              </w:rPr>
            </w:pPr>
            <w:r w:rsidRPr="00C903F8">
              <w:rPr>
                <w:rFonts w:cs="Arial"/>
                <w:b/>
                <w:bCs/>
                <w:szCs w:val="22"/>
                <w:lang w:val="en-US"/>
              </w:rPr>
              <w:t>Annex to the engine parameter protocol</w:t>
            </w:r>
          </w:p>
          <w:p w:rsidR="009C13A9" w:rsidRPr="00C903F8" w:rsidRDefault="009C13A9" w:rsidP="009C13A9">
            <w:pPr>
              <w:overflowPunct w:val="0"/>
              <w:adjustRightInd w:val="0"/>
              <w:ind w:left="0" w:right="57" w:firstLine="0"/>
              <w:jc w:val="center"/>
              <w:textAlignment w:val="baseline"/>
              <w:rPr>
                <w:rFonts w:cs="Arial"/>
                <w:b/>
                <w:bCs/>
                <w:caps/>
                <w:szCs w:val="20"/>
              </w:rPr>
            </w:pPr>
            <w:r w:rsidRPr="00C903F8">
              <w:rPr>
                <w:rFonts w:cs="Arial"/>
                <w:bCs/>
                <w:sz w:val="18"/>
                <w:szCs w:val="18"/>
              </w:rPr>
              <w:t>(Model)</w:t>
            </w:r>
          </w:p>
        </w:tc>
      </w:tr>
      <w:tr w:rsidR="009C13A9" w:rsidRPr="00C903F8" w:rsidTr="009C13A9">
        <w:tblPrEx>
          <w:jc w:val="center"/>
        </w:tblPrEx>
        <w:trPr>
          <w:cantSplit/>
          <w:trHeight w:hRule="exact" w:val="160"/>
          <w:jc w:val="center"/>
        </w:trPr>
        <w:tc>
          <w:tcPr>
            <w:tcW w:w="9215" w:type="dxa"/>
            <w:gridSpan w:val="32"/>
            <w:vAlign w:val="center"/>
          </w:tcPr>
          <w:p w:rsidR="009C13A9" w:rsidRPr="00C903F8" w:rsidRDefault="009C13A9" w:rsidP="009C13A9">
            <w:pPr>
              <w:overflowPunct w:val="0"/>
              <w:adjustRightInd w:val="0"/>
              <w:ind w:left="0" w:right="57" w:firstLine="0"/>
              <w:jc w:val="left"/>
              <w:textAlignment w:val="baseline"/>
              <w:rPr>
                <w:rFonts w:cs="Arial"/>
                <w:szCs w:val="20"/>
              </w:rPr>
            </w:pPr>
          </w:p>
          <w:p w:rsidR="009C13A9" w:rsidRPr="00C903F8" w:rsidRDefault="009C13A9" w:rsidP="009C13A9">
            <w:pPr>
              <w:overflowPunct w:val="0"/>
              <w:adjustRightInd w:val="0"/>
              <w:ind w:left="0" w:right="57" w:firstLine="0"/>
              <w:jc w:val="left"/>
              <w:textAlignment w:val="baseline"/>
              <w:rPr>
                <w:rFonts w:cs="Arial"/>
                <w:szCs w:val="20"/>
              </w:rPr>
            </w:pPr>
          </w:p>
        </w:tc>
      </w:tr>
      <w:tr w:rsidR="009C13A9" w:rsidRPr="00C903F8" w:rsidTr="009C13A9">
        <w:tblPrEx>
          <w:jc w:val="center"/>
        </w:tblPrEx>
        <w:trPr>
          <w:cantSplit/>
          <w:jc w:val="center"/>
        </w:trPr>
        <w:tc>
          <w:tcPr>
            <w:tcW w:w="1560" w:type="dxa"/>
            <w:gridSpan w:val="5"/>
            <w:vAlign w:val="center"/>
          </w:tcPr>
          <w:p w:rsidR="009C13A9" w:rsidRPr="00C903F8" w:rsidRDefault="009C13A9" w:rsidP="009C13A9">
            <w:pPr>
              <w:overflowPunct w:val="0"/>
              <w:adjustRightInd w:val="0"/>
              <w:ind w:left="0" w:right="57" w:firstLine="0"/>
              <w:jc w:val="left"/>
              <w:textAlignment w:val="baseline"/>
              <w:rPr>
                <w:rFonts w:cs="Arial"/>
                <w:sz w:val="16"/>
                <w:szCs w:val="16"/>
              </w:rPr>
            </w:pPr>
            <w:r w:rsidRPr="00C903F8">
              <w:rPr>
                <w:rFonts w:cs="Arial"/>
                <w:sz w:val="16"/>
                <w:szCs w:val="16"/>
              </w:rPr>
              <w:t>Craft name:</w:t>
            </w:r>
          </w:p>
        </w:tc>
        <w:tc>
          <w:tcPr>
            <w:tcW w:w="2551" w:type="dxa"/>
            <w:gridSpan w:val="9"/>
            <w:vAlign w:val="center"/>
          </w:tcPr>
          <w:p w:rsidR="009C13A9" w:rsidRPr="00C903F8" w:rsidRDefault="009C13A9" w:rsidP="009C13A9">
            <w:pPr>
              <w:tabs>
                <w:tab w:val="center" w:pos="4819"/>
              </w:tabs>
              <w:overflowPunct w:val="0"/>
              <w:adjustRightInd w:val="0"/>
              <w:ind w:left="0" w:right="57" w:firstLine="0"/>
              <w:jc w:val="left"/>
              <w:textAlignment w:val="baseline"/>
              <w:rPr>
                <w:rFonts w:cs="Arial"/>
                <w:sz w:val="16"/>
                <w:szCs w:val="16"/>
              </w:rPr>
            </w:pPr>
            <w:r w:rsidRPr="00C903F8">
              <w:rPr>
                <w:rFonts w:cs="Arial"/>
                <w:sz w:val="16"/>
                <w:szCs w:val="16"/>
              </w:rPr>
              <w:t>……………………………….</w:t>
            </w:r>
          </w:p>
        </w:tc>
        <w:tc>
          <w:tcPr>
            <w:tcW w:w="2977" w:type="dxa"/>
            <w:gridSpan w:val="10"/>
            <w:vAlign w:val="center"/>
          </w:tcPr>
          <w:p w:rsidR="009C13A9" w:rsidRPr="00C903F8" w:rsidRDefault="006D37CC" w:rsidP="006D37CC">
            <w:pPr>
              <w:overflowPunct w:val="0"/>
              <w:adjustRightInd w:val="0"/>
              <w:ind w:left="0" w:right="57" w:firstLine="0"/>
              <w:jc w:val="left"/>
              <w:textAlignment w:val="baseline"/>
              <w:rPr>
                <w:rFonts w:cs="Arial"/>
                <w:sz w:val="16"/>
                <w:szCs w:val="16"/>
              </w:rPr>
            </w:pPr>
            <w:r w:rsidRPr="00C903F8">
              <w:rPr>
                <w:rFonts w:cs="Arial"/>
                <w:noProof/>
                <w:sz w:val="16"/>
                <w:szCs w:val="16"/>
              </w:rPr>
              <w:t xml:space="preserve">Unique </w:t>
            </w:r>
            <w:r w:rsidR="009C13A9" w:rsidRPr="00C903F8">
              <w:rPr>
                <w:rFonts w:cs="Arial"/>
                <w:noProof/>
                <w:sz w:val="16"/>
                <w:szCs w:val="16"/>
              </w:rPr>
              <w:t xml:space="preserve">European </w:t>
            </w:r>
            <w:r w:rsidRPr="00C903F8">
              <w:rPr>
                <w:rFonts w:cs="Arial"/>
                <w:noProof/>
                <w:sz w:val="16"/>
                <w:szCs w:val="16"/>
              </w:rPr>
              <w:t>v</w:t>
            </w:r>
            <w:r w:rsidR="009C13A9" w:rsidRPr="00C903F8">
              <w:rPr>
                <w:rFonts w:cs="Arial"/>
                <w:noProof/>
                <w:sz w:val="16"/>
                <w:szCs w:val="16"/>
              </w:rPr>
              <w:t xml:space="preserve">essel </w:t>
            </w:r>
            <w:r w:rsidRPr="00C903F8">
              <w:rPr>
                <w:rFonts w:cs="Arial"/>
                <w:noProof/>
                <w:sz w:val="16"/>
                <w:szCs w:val="16"/>
              </w:rPr>
              <w:t>i</w:t>
            </w:r>
            <w:r w:rsidR="009C13A9" w:rsidRPr="00C903F8">
              <w:rPr>
                <w:rFonts w:cs="Arial"/>
                <w:noProof/>
                <w:sz w:val="16"/>
                <w:szCs w:val="16"/>
              </w:rPr>
              <w:t xml:space="preserve">dentification </w:t>
            </w:r>
            <w:r w:rsidRPr="00C903F8">
              <w:rPr>
                <w:rFonts w:cs="Arial"/>
                <w:noProof/>
                <w:sz w:val="16"/>
                <w:szCs w:val="16"/>
              </w:rPr>
              <w:t>n</w:t>
            </w:r>
            <w:r w:rsidR="009C13A9" w:rsidRPr="00C903F8">
              <w:rPr>
                <w:rFonts w:cs="Arial"/>
                <w:noProof/>
                <w:sz w:val="16"/>
                <w:szCs w:val="16"/>
              </w:rPr>
              <w:t>umber:</w:t>
            </w:r>
          </w:p>
        </w:tc>
        <w:tc>
          <w:tcPr>
            <w:tcW w:w="2127" w:type="dxa"/>
            <w:gridSpan w:val="8"/>
            <w:vAlign w:val="center"/>
          </w:tcPr>
          <w:p w:rsidR="009C13A9" w:rsidRPr="00C903F8" w:rsidRDefault="009C13A9" w:rsidP="009C13A9">
            <w:pPr>
              <w:overflowPunct w:val="0"/>
              <w:adjustRightInd w:val="0"/>
              <w:ind w:left="0" w:right="57" w:firstLine="0"/>
              <w:jc w:val="left"/>
              <w:textAlignment w:val="baseline"/>
              <w:rPr>
                <w:rFonts w:cs="Arial"/>
                <w:sz w:val="16"/>
                <w:szCs w:val="16"/>
              </w:rPr>
            </w:pPr>
            <w:r w:rsidRPr="00C903F8">
              <w:rPr>
                <w:rFonts w:cs="Arial"/>
                <w:sz w:val="16"/>
                <w:szCs w:val="16"/>
              </w:rPr>
              <w:t>…………………………</w:t>
            </w:r>
          </w:p>
        </w:tc>
      </w:tr>
      <w:tr w:rsidR="009C13A9" w:rsidRPr="00C903F8" w:rsidTr="009C13A9">
        <w:tblPrEx>
          <w:jc w:val="center"/>
        </w:tblPrEx>
        <w:trPr>
          <w:cantSplit/>
          <w:jc w:val="center"/>
        </w:trPr>
        <w:tc>
          <w:tcPr>
            <w:tcW w:w="9215" w:type="dxa"/>
            <w:gridSpan w:val="32"/>
            <w:vAlign w:val="center"/>
          </w:tcPr>
          <w:p w:rsidR="009C13A9" w:rsidRPr="00C903F8" w:rsidRDefault="009C13A9" w:rsidP="009C13A9">
            <w:pPr>
              <w:tabs>
                <w:tab w:val="center" w:pos="4819"/>
              </w:tabs>
              <w:overflowPunct w:val="0"/>
              <w:adjustRightInd w:val="0"/>
              <w:spacing w:line="100" w:lineRule="exact"/>
              <w:ind w:left="0" w:right="57" w:firstLine="0"/>
              <w:jc w:val="left"/>
              <w:textAlignment w:val="baseline"/>
              <w:rPr>
                <w:rFonts w:cs="Arial"/>
                <w:szCs w:val="20"/>
              </w:rPr>
            </w:pPr>
          </w:p>
        </w:tc>
      </w:tr>
      <w:tr w:rsidR="009C13A9" w:rsidRPr="00C903F8" w:rsidTr="009C13A9">
        <w:tblPrEx>
          <w:jc w:val="center"/>
        </w:tblPrEx>
        <w:trPr>
          <w:jc w:val="center"/>
        </w:trPr>
        <w:tc>
          <w:tcPr>
            <w:tcW w:w="426" w:type="dxa"/>
            <w:gridSpan w:val="2"/>
            <w:vAlign w:val="center"/>
          </w:tcPr>
          <w:p w:rsidR="009C13A9" w:rsidRPr="00C903F8" w:rsidRDefault="00475311" w:rsidP="009C13A9">
            <w:pPr>
              <w:overflowPunct w:val="0"/>
              <w:adjustRightInd w:val="0"/>
              <w:ind w:left="0" w:right="57" w:firstLine="0"/>
              <w:jc w:val="center"/>
              <w:textAlignment w:val="baseline"/>
              <w:rPr>
                <w:rFonts w:cs="Arial"/>
                <w:sz w:val="12"/>
                <w:szCs w:val="12"/>
              </w:rPr>
            </w:pPr>
            <w:r w:rsidRPr="00C903F8">
              <w:rPr>
                <w:rFonts w:cs="Arial"/>
                <w:sz w:val="16"/>
                <w:szCs w:val="16"/>
              </w:rPr>
              <w:fldChar w:fldCharType="begin">
                <w:ffData>
                  <w:name w:val="Kontrollkästchen4"/>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p>
        </w:tc>
        <w:tc>
          <w:tcPr>
            <w:tcW w:w="2736" w:type="dxa"/>
            <w:gridSpan w:val="9"/>
            <w:tcBorders>
              <w:left w:val="nil"/>
            </w:tcBorders>
            <w:vAlign w:val="center"/>
          </w:tcPr>
          <w:p w:rsidR="009C13A9" w:rsidRPr="00C903F8" w:rsidRDefault="009C13A9" w:rsidP="009C13A9">
            <w:pPr>
              <w:tabs>
                <w:tab w:val="center" w:pos="4819"/>
              </w:tabs>
              <w:overflowPunct w:val="0"/>
              <w:adjustRightInd w:val="0"/>
              <w:ind w:left="0" w:right="57" w:firstLine="0"/>
              <w:jc w:val="left"/>
              <w:textAlignment w:val="baseline"/>
              <w:rPr>
                <w:rFonts w:cs="Arial"/>
                <w:sz w:val="18"/>
                <w:szCs w:val="18"/>
              </w:rPr>
            </w:pPr>
            <w:r w:rsidRPr="00C903F8">
              <w:rPr>
                <w:rFonts w:cs="Arial"/>
                <w:sz w:val="16"/>
                <w:szCs w:val="16"/>
              </w:rPr>
              <w:t xml:space="preserve">Installation inspection </w:t>
            </w:r>
            <w:r w:rsidRPr="00C903F8">
              <w:rPr>
                <w:rFonts w:cs="Arial"/>
                <w:sz w:val="18"/>
                <w:szCs w:val="18"/>
                <w:vertAlign w:val="superscript"/>
              </w:rPr>
              <w:t>1)</w:t>
            </w:r>
          </w:p>
        </w:tc>
        <w:tc>
          <w:tcPr>
            <w:tcW w:w="807" w:type="dxa"/>
            <w:gridSpan w:val="2"/>
            <w:vAlign w:val="center"/>
          </w:tcPr>
          <w:p w:rsidR="009C13A9" w:rsidRPr="00C903F8" w:rsidRDefault="00475311" w:rsidP="009C13A9">
            <w:pPr>
              <w:overflowPunct w:val="0"/>
              <w:adjustRightInd w:val="0"/>
              <w:ind w:left="0" w:right="57" w:firstLine="0"/>
              <w:jc w:val="center"/>
              <w:textAlignment w:val="baseline"/>
              <w:rPr>
                <w:rFonts w:cs="Arial"/>
                <w:sz w:val="12"/>
                <w:szCs w:val="12"/>
              </w:rPr>
            </w:pPr>
            <w:r w:rsidRPr="00C903F8">
              <w:rPr>
                <w:rFonts w:cs="Arial"/>
                <w:sz w:val="16"/>
                <w:szCs w:val="16"/>
              </w:rPr>
              <w:fldChar w:fldCharType="begin">
                <w:ffData>
                  <w:name w:val="Kontrollkästchen4"/>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p>
        </w:tc>
        <w:tc>
          <w:tcPr>
            <w:tcW w:w="2425" w:type="dxa"/>
            <w:gridSpan w:val="9"/>
            <w:tcBorders>
              <w:left w:val="nil"/>
            </w:tcBorders>
            <w:vAlign w:val="center"/>
          </w:tcPr>
          <w:p w:rsidR="009C13A9" w:rsidRPr="00C903F8" w:rsidRDefault="009C13A9" w:rsidP="009C13A9">
            <w:pPr>
              <w:overflowPunct w:val="0"/>
              <w:adjustRightInd w:val="0"/>
              <w:ind w:left="0" w:right="57" w:firstLine="0"/>
              <w:jc w:val="left"/>
              <w:textAlignment w:val="baseline"/>
              <w:rPr>
                <w:rFonts w:cs="Arial"/>
                <w:sz w:val="18"/>
                <w:szCs w:val="18"/>
              </w:rPr>
            </w:pPr>
            <w:r w:rsidRPr="00C903F8">
              <w:rPr>
                <w:rFonts w:cs="Arial"/>
                <w:sz w:val="16"/>
                <w:szCs w:val="16"/>
              </w:rPr>
              <w:t xml:space="preserve">Intermediate test </w:t>
            </w:r>
            <w:r w:rsidRPr="00C903F8">
              <w:rPr>
                <w:rFonts w:cs="Arial"/>
                <w:sz w:val="18"/>
                <w:szCs w:val="18"/>
                <w:vertAlign w:val="superscript"/>
              </w:rPr>
              <w:t>1)</w:t>
            </w:r>
          </w:p>
        </w:tc>
        <w:tc>
          <w:tcPr>
            <w:tcW w:w="694" w:type="dxa"/>
            <w:gridSpan w:val="2"/>
            <w:vAlign w:val="center"/>
          </w:tcPr>
          <w:p w:rsidR="009C13A9" w:rsidRPr="00C903F8" w:rsidRDefault="00475311" w:rsidP="009C13A9">
            <w:pPr>
              <w:overflowPunct w:val="0"/>
              <w:adjustRightInd w:val="0"/>
              <w:ind w:left="0" w:right="57" w:firstLine="0"/>
              <w:jc w:val="center"/>
              <w:textAlignment w:val="baseline"/>
              <w:rPr>
                <w:rFonts w:cs="Arial"/>
                <w:sz w:val="12"/>
                <w:szCs w:val="12"/>
              </w:rPr>
            </w:pPr>
            <w:r w:rsidRPr="00C903F8">
              <w:rPr>
                <w:rFonts w:cs="Arial"/>
                <w:sz w:val="16"/>
                <w:szCs w:val="16"/>
              </w:rPr>
              <w:fldChar w:fldCharType="begin">
                <w:ffData>
                  <w:name w:val="Kontrollkästchen4"/>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p>
        </w:tc>
        <w:tc>
          <w:tcPr>
            <w:tcW w:w="2127" w:type="dxa"/>
            <w:gridSpan w:val="8"/>
            <w:tcBorders>
              <w:left w:val="nil"/>
            </w:tcBorders>
            <w:vAlign w:val="center"/>
          </w:tcPr>
          <w:p w:rsidR="009C13A9" w:rsidRPr="00C903F8" w:rsidRDefault="009C13A9" w:rsidP="009C13A9">
            <w:pPr>
              <w:overflowPunct w:val="0"/>
              <w:adjustRightInd w:val="0"/>
              <w:ind w:left="0" w:right="57" w:firstLine="0"/>
              <w:jc w:val="left"/>
              <w:textAlignment w:val="baseline"/>
              <w:rPr>
                <w:rFonts w:cs="Arial"/>
                <w:sz w:val="18"/>
                <w:szCs w:val="18"/>
              </w:rPr>
            </w:pPr>
            <w:bookmarkStart w:id="345" w:name="Kontrollkästchen3"/>
            <w:bookmarkStart w:id="346" w:name="Kontrollkästchen2"/>
            <w:bookmarkStart w:id="347" w:name="Kontrollkästchen1"/>
            <w:r w:rsidRPr="00C903F8">
              <w:rPr>
                <w:rFonts w:cs="Arial"/>
                <w:sz w:val="16"/>
                <w:szCs w:val="16"/>
              </w:rPr>
              <w:t xml:space="preserve">Special test </w:t>
            </w:r>
            <w:r w:rsidRPr="00C903F8">
              <w:rPr>
                <w:rFonts w:cs="Arial"/>
                <w:sz w:val="18"/>
                <w:szCs w:val="18"/>
                <w:vertAlign w:val="superscript"/>
              </w:rPr>
              <w:t>1)</w:t>
            </w:r>
            <w:bookmarkEnd w:id="345"/>
            <w:bookmarkEnd w:id="346"/>
            <w:bookmarkEnd w:id="347"/>
          </w:p>
        </w:tc>
      </w:tr>
      <w:tr w:rsidR="009C13A9" w:rsidRPr="00C903F8" w:rsidTr="009C13A9">
        <w:tblPrEx>
          <w:jc w:val="center"/>
          <w:tblCellMar>
            <w:left w:w="28" w:type="dxa"/>
            <w:right w:w="28" w:type="dxa"/>
          </w:tblCellMar>
        </w:tblPrEx>
        <w:trPr>
          <w:cantSplit/>
          <w:trHeight w:hRule="exact" w:val="160"/>
          <w:jc w:val="center"/>
        </w:trPr>
        <w:tc>
          <w:tcPr>
            <w:tcW w:w="9215" w:type="dxa"/>
            <w:gridSpan w:val="32"/>
            <w:vAlign w:val="center"/>
          </w:tcPr>
          <w:p w:rsidR="009C13A9" w:rsidRPr="00C903F8" w:rsidRDefault="009C13A9" w:rsidP="009C13A9">
            <w:pPr>
              <w:overflowPunct w:val="0"/>
              <w:adjustRightInd w:val="0"/>
              <w:spacing w:before="60" w:after="60"/>
              <w:ind w:left="0" w:right="57" w:firstLine="0"/>
              <w:jc w:val="left"/>
              <w:textAlignment w:val="baseline"/>
              <w:rPr>
                <w:rFonts w:cs="Arial"/>
                <w:szCs w:val="20"/>
              </w:rPr>
            </w:pPr>
          </w:p>
        </w:tc>
      </w:tr>
      <w:tr w:rsidR="009C13A9" w:rsidRPr="00C903F8" w:rsidTr="009C13A9">
        <w:tblPrEx>
          <w:jc w:val="center"/>
          <w:tblCellMar>
            <w:left w:w="28" w:type="dxa"/>
            <w:right w:w="28" w:type="dxa"/>
          </w:tblCellMar>
        </w:tblPrEx>
        <w:trPr>
          <w:jc w:val="center"/>
        </w:trPr>
        <w:tc>
          <w:tcPr>
            <w:tcW w:w="1276" w:type="dxa"/>
            <w:gridSpan w:val="4"/>
            <w:vAlign w:val="center"/>
          </w:tcPr>
          <w:p w:rsidR="009C13A9" w:rsidRPr="00C903F8" w:rsidRDefault="009C13A9" w:rsidP="009C13A9">
            <w:pPr>
              <w:overflowPunct w:val="0"/>
              <w:adjustRightInd w:val="0"/>
              <w:ind w:left="0" w:right="57" w:firstLine="0"/>
              <w:jc w:val="left"/>
              <w:textAlignment w:val="baseline"/>
              <w:rPr>
                <w:rFonts w:cs="Arial"/>
                <w:sz w:val="16"/>
                <w:szCs w:val="16"/>
              </w:rPr>
            </w:pPr>
            <w:r w:rsidRPr="00C903F8">
              <w:rPr>
                <w:rFonts w:cs="Arial"/>
                <w:sz w:val="16"/>
                <w:szCs w:val="16"/>
              </w:rPr>
              <w:t>Manufacturer:</w:t>
            </w:r>
          </w:p>
        </w:tc>
        <w:tc>
          <w:tcPr>
            <w:tcW w:w="3402" w:type="dxa"/>
            <w:gridSpan w:val="12"/>
            <w:vAlign w:val="center"/>
          </w:tcPr>
          <w:p w:rsidR="009C13A9" w:rsidRPr="00C903F8" w:rsidRDefault="009C13A9" w:rsidP="009C13A9">
            <w:pPr>
              <w:overflowPunct w:val="0"/>
              <w:adjustRightInd w:val="0"/>
              <w:ind w:left="0" w:right="57" w:firstLine="0"/>
              <w:jc w:val="left"/>
              <w:textAlignment w:val="baseline"/>
              <w:rPr>
                <w:rFonts w:cs="Arial"/>
                <w:sz w:val="16"/>
                <w:szCs w:val="16"/>
              </w:rPr>
            </w:pPr>
            <w:r w:rsidRPr="00C903F8">
              <w:rPr>
                <w:rFonts w:cs="Arial"/>
                <w:sz w:val="16"/>
                <w:szCs w:val="16"/>
              </w:rPr>
              <w:t>…………………………………………</w:t>
            </w:r>
          </w:p>
        </w:tc>
        <w:tc>
          <w:tcPr>
            <w:tcW w:w="1276" w:type="dxa"/>
            <w:gridSpan w:val="3"/>
            <w:vAlign w:val="center"/>
          </w:tcPr>
          <w:p w:rsidR="009C13A9" w:rsidRPr="00C903F8" w:rsidRDefault="009C13A9" w:rsidP="009C13A9">
            <w:pPr>
              <w:overflowPunct w:val="0"/>
              <w:adjustRightInd w:val="0"/>
              <w:ind w:left="0" w:right="57" w:firstLine="0"/>
              <w:jc w:val="left"/>
              <w:textAlignment w:val="baseline"/>
              <w:rPr>
                <w:rFonts w:cs="Arial"/>
                <w:sz w:val="16"/>
                <w:szCs w:val="16"/>
              </w:rPr>
            </w:pPr>
            <w:bookmarkStart w:id="348" w:name="Text14"/>
            <w:bookmarkStart w:id="349" w:name="Text15"/>
            <w:r w:rsidRPr="00C903F8">
              <w:rPr>
                <w:rFonts w:cs="Arial"/>
                <w:sz w:val="16"/>
                <w:szCs w:val="16"/>
              </w:rPr>
              <w:t>Engine type:</w:t>
            </w:r>
            <w:bookmarkEnd w:id="348"/>
            <w:bookmarkEnd w:id="349"/>
          </w:p>
        </w:tc>
        <w:tc>
          <w:tcPr>
            <w:tcW w:w="3261" w:type="dxa"/>
            <w:gridSpan w:val="13"/>
            <w:vAlign w:val="center"/>
          </w:tcPr>
          <w:p w:rsidR="009C13A9" w:rsidRPr="00C903F8" w:rsidRDefault="009C13A9" w:rsidP="009C13A9">
            <w:pPr>
              <w:overflowPunct w:val="0"/>
              <w:adjustRightInd w:val="0"/>
              <w:ind w:left="0" w:right="57" w:firstLine="0"/>
              <w:jc w:val="left"/>
              <w:textAlignment w:val="baseline"/>
              <w:rPr>
                <w:rFonts w:cs="Arial"/>
                <w:sz w:val="16"/>
                <w:szCs w:val="16"/>
              </w:rPr>
            </w:pPr>
            <w:r w:rsidRPr="00C903F8">
              <w:rPr>
                <w:rFonts w:cs="Arial"/>
                <w:sz w:val="16"/>
                <w:szCs w:val="16"/>
              </w:rPr>
              <w:t>……………………………………….</w:t>
            </w:r>
          </w:p>
        </w:tc>
      </w:tr>
      <w:tr w:rsidR="009C13A9" w:rsidRPr="00C903F8" w:rsidTr="009C13A9">
        <w:tblPrEx>
          <w:jc w:val="center"/>
          <w:tblCellMar>
            <w:left w:w="28" w:type="dxa"/>
            <w:right w:w="28" w:type="dxa"/>
          </w:tblCellMar>
        </w:tblPrEx>
        <w:trPr>
          <w:jc w:val="center"/>
        </w:trPr>
        <w:tc>
          <w:tcPr>
            <w:tcW w:w="1276" w:type="dxa"/>
            <w:gridSpan w:val="4"/>
            <w:vAlign w:val="center"/>
          </w:tcPr>
          <w:p w:rsidR="009C13A9" w:rsidRPr="00C903F8" w:rsidRDefault="009C13A9" w:rsidP="009C13A9">
            <w:pPr>
              <w:overflowPunct w:val="0"/>
              <w:adjustRightInd w:val="0"/>
              <w:ind w:left="0" w:right="57" w:firstLine="0"/>
              <w:jc w:val="left"/>
              <w:textAlignment w:val="baseline"/>
              <w:rPr>
                <w:rFonts w:cs="Arial"/>
                <w:szCs w:val="20"/>
              </w:rPr>
            </w:pPr>
          </w:p>
        </w:tc>
        <w:tc>
          <w:tcPr>
            <w:tcW w:w="3402" w:type="dxa"/>
            <w:gridSpan w:val="12"/>
            <w:tcBorders>
              <w:bottom w:val="nil"/>
            </w:tcBorders>
            <w:vAlign w:val="center"/>
          </w:tcPr>
          <w:p w:rsidR="009C13A9" w:rsidRPr="00C903F8" w:rsidRDefault="009C13A9" w:rsidP="009C13A9">
            <w:pPr>
              <w:overflowPunct w:val="0"/>
              <w:adjustRightInd w:val="0"/>
              <w:ind w:left="0" w:right="57" w:firstLine="0"/>
              <w:jc w:val="left"/>
              <w:textAlignment w:val="baseline"/>
              <w:rPr>
                <w:rFonts w:cs="Arial"/>
                <w:sz w:val="12"/>
                <w:szCs w:val="12"/>
                <w:lang w:val="en-US"/>
              </w:rPr>
            </w:pPr>
            <w:r w:rsidRPr="00C903F8">
              <w:rPr>
                <w:rFonts w:cs="Arial"/>
                <w:sz w:val="12"/>
                <w:szCs w:val="12"/>
                <w:lang w:val="en-US"/>
              </w:rPr>
              <w:t>(Trade name/trade mark/trade name of the manufacturer)</w:t>
            </w:r>
          </w:p>
        </w:tc>
        <w:tc>
          <w:tcPr>
            <w:tcW w:w="1276" w:type="dxa"/>
            <w:gridSpan w:val="3"/>
            <w:vAlign w:val="center"/>
          </w:tcPr>
          <w:p w:rsidR="009C13A9" w:rsidRPr="00C903F8" w:rsidRDefault="009C13A9" w:rsidP="009C13A9">
            <w:pPr>
              <w:overflowPunct w:val="0"/>
              <w:adjustRightInd w:val="0"/>
              <w:ind w:left="0" w:right="57" w:firstLine="0"/>
              <w:jc w:val="left"/>
              <w:textAlignment w:val="baseline"/>
              <w:rPr>
                <w:rFonts w:cs="Arial"/>
                <w:szCs w:val="20"/>
                <w:lang w:val="en-US"/>
              </w:rPr>
            </w:pPr>
          </w:p>
        </w:tc>
        <w:tc>
          <w:tcPr>
            <w:tcW w:w="3261" w:type="dxa"/>
            <w:gridSpan w:val="13"/>
            <w:tcBorders>
              <w:bottom w:val="nil"/>
            </w:tcBorders>
            <w:vAlign w:val="center"/>
          </w:tcPr>
          <w:p w:rsidR="009C13A9" w:rsidRPr="00C903F8" w:rsidRDefault="009C13A9" w:rsidP="009C13A9">
            <w:pPr>
              <w:overflowPunct w:val="0"/>
              <w:adjustRightInd w:val="0"/>
              <w:ind w:left="0" w:right="57" w:firstLine="0"/>
              <w:jc w:val="left"/>
              <w:textAlignment w:val="baseline"/>
              <w:rPr>
                <w:rFonts w:cs="Arial"/>
                <w:sz w:val="12"/>
                <w:szCs w:val="12"/>
              </w:rPr>
            </w:pPr>
            <w:r w:rsidRPr="00C903F8">
              <w:rPr>
                <w:rFonts w:cs="Arial"/>
                <w:sz w:val="12"/>
                <w:szCs w:val="12"/>
              </w:rPr>
              <w:t>(Engine family/manufacturer’s description)</w:t>
            </w:r>
          </w:p>
        </w:tc>
      </w:tr>
      <w:tr w:rsidR="009C13A9" w:rsidRPr="00C903F8" w:rsidTr="009C13A9">
        <w:tblPrEx>
          <w:jc w:val="center"/>
          <w:tblCellMar>
            <w:left w:w="28" w:type="dxa"/>
            <w:right w:w="28" w:type="dxa"/>
          </w:tblCellMar>
        </w:tblPrEx>
        <w:trPr>
          <w:cantSplit/>
          <w:trHeight w:hRule="exact" w:val="57"/>
          <w:jc w:val="center"/>
        </w:trPr>
        <w:tc>
          <w:tcPr>
            <w:tcW w:w="9215" w:type="dxa"/>
            <w:gridSpan w:val="32"/>
            <w:vAlign w:val="center"/>
          </w:tcPr>
          <w:p w:rsidR="009C13A9" w:rsidRPr="00C903F8" w:rsidRDefault="009C13A9" w:rsidP="009C13A9">
            <w:pPr>
              <w:overflowPunct w:val="0"/>
              <w:adjustRightInd w:val="0"/>
              <w:spacing w:before="60" w:after="60"/>
              <w:ind w:left="0" w:right="57" w:firstLine="0"/>
              <w:jc w:val="left"/>
              <w:textAlignment w:val="baseline"/>
              <w:rPr>
                <w:rFonts w:cs="Arial"/>
                <w:szCs w:val="20"/>
              </w:rPr>
            </w:pPr>
          </w:p>
        </w:tc>
      </w:tr>
      <w:tr w:rsidR="009C13A9" w:rsidRPr="00C903F8" w:rsidTr="009C13A9">
        <w:tblPrEx>
          <w:jc w:val="center"/>
          <w:tblCellMar>
            <w:left w:w="28" w:type="dxa"/>
            <w:right w:w="28" w:type="dxa"/>
          </w:tblCellMar>
        </w:tblPrEx>
        <w:trPr>
          <w:jc w:val="center"/>
        </w:trPr>
        <w:tc>
          <w:tcPr>
            <w:tcW w:w="1985" w:type="dxa"/>
            <w:gridSpan w:val="6"/>
            <w:vAlign w:val="center"/>
          </w:tcPr>
          <w:p w:rsidR="009C13A9" w:rsidRPr="00C903F8" w:rsidRDefault="009635C7" w:rsidP="009C13A9">
            <w:pPr>
              <w:tabs>
                <w:tab w:val="center" w:pos="4819"/>
              </w:tabs>
              <w:overflowPunct w:val="0"/>
              <w:adjustRightInd w:val="0"/>
              <w:ind w:left="0" w:right="57" w:firstLine="0"/>
              <w:jc w:val="left"/>
              <w:textAlignment w:val="baseline"/>
              <w:rPr>
                <w:rFonts w:cs="Arial"/>
                <w:sz w:val="16"/>
                <w:szCs w:val="16"/>
              </w:rPr>
            </w:pPr>
            <w:r w:rsidRPr="00C903F8">
              <w:rPr>
                <w:rFonts w:cs="Arial"/>
                <w:sz w:val="16"/>
                <w:szCs w:val="16"/>
              </w:rPr>
              <w:t>Rated power (kW)</w:t>
            </w:r>
            <w:r w:rsidR="009C13A9" w:rsidRPr="00C903F8">
              <w:rPr>
                <w:rFonts w:cs="Arial"/>
                <w:sz w:val="16"/>
                <w:szCs w:val="16"/>
              </w:rPr>
              <w:t>:</w:t>
            </w:r>
          </w:p>
        </w:tc>
        <w:tc>
          <w:tcPr>
            <w:tcW w:w="992" w:type="dxa"/>
            <w:gridSpan w:val="3"/>
            <w:vAlign w:val="center"/>
          </w:tcPr>
          <w:p w:rsidR="009C13A9" w:rsidRPr="00C903F8" w:rsidRDefault="009C13A9" w:rsidP="009C13A9">
            <w:pPr>
              <w:overflowPunct w:val="0"/>
              <w:adjustRightInd w:val="0"/>
              <w:ind w:left="0" w:right="57" w:firstLine="0"/>
              <w:jc w:val="left"/>
              <w:textAlignment w:val="baseline"/>
              <w:rPr>
                <w:rFonts w:cs="Arial"/>
                <w:sz w:val="18"/>
                <w:szCs w:val="18"/>
              </w:rPr>
            </w:pPr>
            <w:r w:rsidRPr="00C903F8">
              <w:rPr>
                <w:rFonts w:cs="Arial"/>
                <w:sz w:val="18"/>
                <w:szCs w:val="18"/>
              </w:rPr>
              <w:t>…………..</w:t>
            </w:r>
          </w:p>
        </w:tc>
        <w:tc>
          <w:tcPr>
            <w:tcW w:w="2410" w:type="dxa"/>
            <w:gridSpan w:val="9"/>
            <w:vAlign w:val="center"/>
          </w:tcPr>
          <w:p w:rsidR="009C13A9" w:rsidRPr="00C903F8" w:rsidRDefault="009C13A9" w:rsidP="009C13A9">
            <w:pPr>
              <w:overflowPunct w:val="0"/>
              <w:adjustRightInd w:val="0"/>
              <w:ind w:left="0" w:right="57" w:firstLine="0"/>
              <w:jc w:val="left"/>
              <w:textAlignment w:val="baseline"/>
              <w:rPr>
                <w:rFonts w:cs="Arial"/>
                <w:sz w:val="18"/>
                <w:szCs w:val="18"/>
              </w:rPr>
            </w:pPr>
            <w:r w:rsidRPr="00C903F8">
              <w:rPr>
                <w:rFonts w:cs="Arial"/>
                <w:sz w:val="16"/>
                <w:szCs w:val="16"/>
              </w:rPr>
              <w:t>Rated speed (rpm)</w:t>
            </w:r>
            <w:r w:rsidRPr="00C903F8">
              <w:rPr>
                <w:rFonts w:cs="Arial"/>
                <w:sz w:val="18"/>
                <w:szCs w:val="18"/>
              </w:rPr>
              <w:t>:</w:t>
            </w:r>
          </w:p>
        </w:tc>
        <w:tc>
          <w:tcPr>
            <w:tcW w:w="1134" w:type="dxa"/>
            <w:gridSpan w:val="5"/>
            <w:vAlign w:val="center"/>
          </w:tcPr>
          <w:p w:rsidR="009C13A9" w:rsidRPr="00C903F8" w:rsidRDefault="009C13A9" w:rsidP="009C13A9">
            <w:pPr>
              <w:overflowPunct w:val="0"/>
              <w:adjustRightInd w:val="0"/>
              <w:ind w:left="0" w:right="57" w:firstLine="0"/>
              <w:jc w:val="left"/>
              <w:textAlignment w:val="baseline"/>
              <w:rPr>
                <w:rFonts w:cs="Arial"/>
                <w:sz w:val="18"/>
                <w:szCs w:val="18"/>
              </w:rPr>
            </w:pPr>
            <w:r w:rsidRPr="00C903F8">
              <w:rPr>
                <w:rFonts w:cs="Arial"/>
                <w:sz w:val="18"/>
                <w:szCs w:val="18"/>
              </w:rPr>
              <w:t>…………….</w:t>
            </w:r>
          </w:p>
        </w:tc>
        <w:tc>
          <w:tcPr>
            <w:tcW w:w="1843" w:type="dxa"/>
            <w:gridSpan w:val="7"/>
            <w:vAlign w:val="center"/>
          </w:tcPr>
          <w:p w:rsidR="009C13A9" w:rsidRPr="00C903F8" w:rsidRDefault="009C13A9" w:rsidP="009C13A9">
            <w:pPr>
              <w:overflowPunct w:val="0"/>
              <w:adjustRightInd w:val="0"/>
              <w:ind w:left="0" w:right="57" w:firstLine="0"/>
              <w:jc w:val="left"/>
              <w:textAlignment w:val="baseline"/>
              <w:rPr>
                <w:rFonts w:cs="Arial"/>
                <w:sz w:val="16"/>
                <w:szCs w:val="16"/>
              </w:rPr>
            </w:pPr>
            <w:bookmarkStart w:id="350" w:name="Text16"/>
            <w:bookmarkStart w:id="351" w:name="Text17"/>
            <w:bookmarkStart w:id="352" w:name="Text18"/>
            <w:r w:rsidRPr="00C903F8">
              <w:rPr>
                <w:rFonts w:cs="Arial"/>
                <w:sz w:val="16"/>
                <w:szCs w:val="16"/>
              </w:rPr>
              <w:t>Number of cylinders:</w:t>
            </w:r>
            <w:bookmarkEnd w:id="350"/>
            <w:bookmarkEnd w:id="351"/>
            <w:bookmarkEnd w:id="352"/>
          </w:p>
        </w:tc>
        <w:tc>
          <w:tcPr>
            <w:tcW w:w="851" w:type="dxa"/>
            <w:gridSpan w:val="2"/>
            <w:vAlign w:val="center"/>
          </w:tcPr>
          <w:p w:rsidR="009C13A9" w:rsidRPr="00C903F8" w:rsidRDefault="009C13A9" w:rsidP="009C13A9">
            <w:pPr>
              <w:overflowPunct w:val="0"/>
              <w:adjustRightInd w:val="0"/>
              <w:ind w:left="0" w:right="57" w:firstLine="0"/>
              <w:jc w:val="left"/>
              <w:textAlignment w:val="baseline"/>
              <w:rPr>
                <w:rFonts w:cs="Arial"/>
                <w:sz w:val="18"/>
                <w:szCs w:val="18"/>
              </w:rPr>
            </w:pPr>
            <w:r w:rsidRPr="00C903F8">
              <w:rPr>
                <w:rFonts w:cs="Arial"/>
                <w:sz w:val="18"/>
                <w:szCs w:val="18"/>
              </w:rPr>
              <w:t>………..</w:t>
            </w:r>
          </w:p>
        </w:tc>
      </w:tr>
      <w:tr w:rsidR="009C13A9" w:rsidRPr="00C903F8" w:rsidTr="009C13A9">
        <w:tblPrEx>
          <w:jc w:val="center"/>
          <w:tblCellMar>
            <w:left w:w="28" w:type="dxa"/>
            <w:right w:w="28" w:type="dxa"/>
          </w:tblCellMar>
        </w:tblPrEx>
        <w:trPr>
          <w:cantSplit/>
          <w:trHeight w:hRule="exact" w:val="160"/>
          <w:jc w:val="center"/>
        </w:trPr>
        <w:tc>
          <w:tcPr>
            <w:tcW w:w="9215" w:type="dxa"/>
            <w:gridSpan w:val="32"/>
            <w:vAlign w:val="center"/>
          </w:tcPr>
          <w:p w:rsidR="009C13A9" w:rsidRPr="00C903F8" w:rsidRDefault="009C13A9" w:rsidP="009C13A9">
            <w:pPr>
              <w:overflowPunct w:val="0"/>
              <w:adjustRightInd w:val="0"/>
              <w:spacing w:before="60" w:after="60"/>
              <w:ind w:left="0" w:right="57" w:firstLine="0"/>
              <w:jc w:val="left"/>
              <w:textAlignment w:val="baseline"/>
              <w:rPr>
                <w:rFonts w:cs="Arial"/>
                <w:szCs w:val="20"/>
              </w:rPr>
            </w:pPr>
          </w:p>
        </w:tc>
      </w:tr>
      <w:tr w:rsidR="009C13A9" w:rsidRPr="00C903F8" w:rsidTr="009C13A9">
        <w:tblPrEx>
          <w:jc w:val="center"/>
          <w:tblCellMar>
            <w:left w:w="28" w:type="dxa"/>
            <w:right w:w="28" w:type="dxa"/>
          </w:tblCellMar>
        </w:tblPrEx>
        <w:trPr>
          <w:cantSplit/>
          <w:jc w:val="center"/>
        </w:trPr>
        <w:tc>
          <w:tcPr>
            <w:tcW w:w="3544" w:type="dxa"/>
            <w:gridSpan w:val="12"/>
            <w:vAlign w:val="center"/>
          </w:tcPr>
          <w:p w:rsidR="009C13A9" w:rsidRPr="00C903F8" w:rsidRDefault="009C13A9" w:rsidP="009C13A9">
            <w:pPr>
              <w:tabs>
                <w:tab w:val="center" w:pos="4819"/>
              </w:tabs>
              <w:overflowPunct w:val="0"/>
              <w:adjustRightInd w:val="0"/>
              <w:ind w:left="0" w:right="57" w:firstLine="0"/>
              <w:jc w:val="left"/>
              <w:textAlignment w:val="baseline"/>
              <w:rPr>
                <w:rFonts w:cs="Arial"/>
                <w:sz w:val="16"/>
                <w:szCs w:val="16"/>
                <w:lang w:val="en-US"/>
              </w:rPr>
            </w:pPr>
            <w:bookmarkStart w:id="353" w:name="Text32"/>
            <w:r w:rsidRPr="00C903F8">
              <w:rPr>
                <w:rFonts w:cs="Arial"/>
                <w:sz w:val="16"/>
                <w:szCs w:val="16"/>
                <w:lang w:val="en-US"/>
              </w:rPr>
              <w:t>Use for which the engine is intended:</w:t>
            </w:r>
            <w:bookmarkEnd w:id="353"/>
          </w:p>
        </w:tc>
        <w:tc>
          <w:tcPr>
            <w:tcW w:w="5671" w:type="dxa"/>
            <w:gridSpan w:val="20"/>
            <w:vAlign w:val="center"/>
          </w:tcPr>
          <w:p w:rsidR="009C13A9" w:rsidRPr="00C903F8" w:rsidRDefault="009C13A9" w:rsidP="009C13A9">
            <w:pPr>
              <w:overflowPunct w:val="0"/>
              <w:adjustRightInd w:val="0"/>
              <w:ind w:left="0" w:right="57" w:firstLine="0"/>
              <w:jc w:val="left"/>
              <w:textAlignment w:val="baseline"/>
              <w:rPr>
                <w:rFonts w:cs="Arial"/>
                <w:sz w:val="16"/>
                <w:szCs w:val="16"/>
              </w:rPr>
            </w:pPr>
            <w:r w:rsidRPr="00C903F8">
              <w:rPr>
                <w:rFonts w:cs="Arial"/>
                <w:sz w:val="16"/>
                <w:szCs w:val="16"/>
              </w:rPr>
              <w:t>………………………………………………………………………..</w:t>
            </w:r>
          </w:p>
        </w:tc>
      </w:tr>
      <w:tr w:rsidR="009C13A9" w:rsidRPr="00C903F8" w:rsidTr="009C13A9">
        <w:tblPrEx>
          <w:jc w:val="center"/>
          <w:tblCellMar>
            <w:left w:w="28" w:type="dxa"/>
            <w:right w:w="28" w:type="dxa"/>
          </w:tblCellMar>
        </w:tblPrEx>
        <w:trPr>
          <w:cantSplit/>
          <w:jc w:val="center"/>
        </w:trPr>
        <w:tc>
          <w:tcPr>
            <w:tcW w:w="3544" w:type="dxa"/>
            <w:gridSpan w:val="12"/>
            <w:vAlign w:val="center"/>
          </w:tcPr>
          <w:p w:rsidR="009C13A9" w:rsidRPr="00C903F8" w:rsidRDefault="009C13A9" w:rsidP="009C13A9">
            <w:pPr>
              <w:tabs>
                <w:tab w:val="center" w:pos="4819"/>
              </w:tabs>
              <w:overflowPunct w:val="0"/>
              <w:adjustRightInd w:val="0"/>
              <w:ind w:left="0" w:right="57" w:firstLine="0"/>
              <w:jc w:val="left"/>
              <w:textAlignment w:val="baseline"/>
              <w:rPr>
                <w:rFonts w:cs="Arial"/>
                <w:szCs w:val="20"/>
              </w:rPr>
            </w:pPr>
          </w:p>
        </w:tc>
        <w:tc>
          <w:tcPr>
            <w:tcW w:w="5671" w:type="dxa"/>
            <w:gridSpan w:val="20"/>
            <w:tcBorders>
              <w:bottom w:val="nil"/>
            </w:tcBorders>
            <w:vAlign w:val="center"/>
          </w:tcPr>
          <w:p w:rsidR="009C13A9" w:rsidRPr="00C903F8" w:rsidRDefault="009C13A9" w:rsidP="009C13A9">
            <w:pPr>
              <w:overflowPunct w:val="0"/>
              <w:adjustRightInd w:val="0"/>
              <w:ind w:left="0" w:right="57" w:firstLine="0"/>
              <w:jc w:val="left"/>
              <w:textAlignment w:val="baseline"/>
              <w:rPr>
                <w:rFonts w:cs="Arial"/>
                <w:sz w:val="12"/>
                <w:szCs w:val="12"/>
              </w:rPr>
            </w:pPr>
            <w:r w:rsidRPr="00C903F8">
              <w:rPr>
                <w:rFonts w:cs="Arial"/>
                <w:sz w:val="12"/>
                <w:szCs w:val="12"/>
              </w:rPr>
              <w:t>(Craft main propulsion/Generator propulsion/forward beam propulsion/auxiliary engine, etc.)</w:t>
            </w:r>
          </w:p>
        </w:tc>
      </w:tr>
      <w:tr w:rsidR="009C13A9" w:rsidRPr="00C903F8" w:rsidTr="009C13A9">
        <w:tblPrEx>
          <w:jc w:val="center"/>
          <w:tblCellMar>
            <w:left w:w="28" w:type="dxa"/>
            <w:right w:w="28" w:type="dxa"/>
          </w:tblCellMar>
        </w:tblPrEx>
        <w:trPr>
          <w:cantSplit/>
          <w:trHeight w:hRule="exact" w:val="57"/>
          <w:jc w:val="center"/>
        </w:trPr>
        <w:tc>
          <w:tcPr>
            <w:tcW w:w="9215" w:type="dxa"/>
            <w:gridSpan w:val="32"/>
            <w:vAlign w:val="center"/>
          </w:tcPr>
          <w:p w:rsidR="009C13A9" w:rsidRPr="00C903F8" w:rsidRDefault="009C13A9" w:rsidP="009C13A9">
            <w:pPr>
              <w:overflowPunct w:val="0"/>
              <w:adjustRightInd w:val="0"/>
              <w:spacing w:before="60" w:after="60"/>
              <w:ind w:left="0" w:right="57" w:firstLine="0"/>
              <w:jc w:val="left"/>
              <w:textAlignment w:val="baseline"/>
              <w:rPr>
                <w:rFonts w:cs="Arial"/>
                <w:szCs w:val="20"/>
              </w:rPr>
            </w:pPr>
          </w:p>
        </w:tc>
      </w:tr>
      <w:tr w:rsidR="009C13A9" w:rsidRPr="00C903F8" w:rsidTr="009C13A9">
        <w:tblPrEx>
          <w:jc w:val="center"/>
          <w:tblCellMar>
            <w:left w:w="28" w:type="dxa"/>
            <w:right w:w="28" w:type="dxa"/>
          </w:tblCellMar>
        </w:tblPrEx>
        <w:trPr>
          <w:cantSplit/>
          <w:jc w:val="center"/>
        </w:trPr>
        <w:tc>
          <w:tcPr>
            <w:tcW w:w="2552" w:type="dxa"/>
            <w:gridSpan w:val="7"/>
            <w:vAlign w:val="center"/>
          </w:tcPr>
          <w:p w:rsidR="009C13A9" w:rsidRPr="00C903F8" w:rsidRDefault="009C13A9" w:rsidP="009C13A9">
            <w:pPr>
              <w:tabs>
                <w:tab w:val="center" w:pos="4819"/>
              </w:tabs>
              <w:overflowPunct w:val="0"/>
              <w:adjustRightInd w:val="0"/>
              <w:ind w:left="0" w:right="57" w:firstLine="0"/>
              <w:jc w:val="left"/>
              <w:textAlignment w:val="baseline"/>
              <w:rPr>
                <w:rFonts w:cs="Arial"/>
                <w:sz w:val="16"/>
                <w:szCs w:val="16"/>
              </w:rPr>
            </w:pPr>
            <w:r w:rsidRPr="00C903F8">
              <w:rPr>
                <w:rFonts w:cs="Arial"/>
                <w:sz w:val="16"/>
                <w:szCs w:val="16"/>
              </w:rPr>
              <w:t>Type approval number:</w:t>
            </w:r>
          </w:p>
        </w:tc>
        <w:tc>
          <w:tcPr>
            <w:tcW w:w="3544" w:type="dxa"/>
            <w:gridSpan w:val="14"/>
            <w:vAlign w:val="center"/>
          </w:tcPr>
          <w:p w:rsidR="009C13A9" w:rsidRPr="00C903F8" w:rsidRDefault="009C13A9" w:rsidP="009C13A9">
            <w:pPr>
              <w:overflowPunct w:val="0"/>
              <w:adjustRightInd w:val="0"/>
              <w:ind w:left="0" w:right="57" w:firstLine="0"/>
              <w:jc w:val="left"/>
              <w:textAlignment w:val="baseline"/>
              <w:rPr>
                <w:rFonts w:cs="Arial"/>
                <w:sz w:val="16"/>
                <w:szCs w:val="16"/>
              </w:rPr>
            </w:pPr>
            <w:r w:rsidRPr="00C903F8">
              <w:rPr>
                <w:rFonts w:cs="Arial"/>
                <w:sz w:val="16"/>
                <w:szCs w:val="16"/>
              </w:rPr>
              <w:t>……………………………………………</w:t>
            </w:r>
          </w:p>
        </w:tc>
        <w:tc>
          <w:tcPr>
            <w:tcW w:w="1559" w:type="dxa"/>
            <w:gridSpan w:val="6"/>
            <w:vAlign w:val="center"/>
          </w:tcPr>
          <w:p w:rsidR="009C13A9" w:rsidRPr="00C903F8" w:rsidRDefault="009C13A9" w:rsidP="009C13A9">
            <w:pPr>
              <w:tabs>
                <w:tab w:val="center" w:pos="4819"/>
              </w:tabs>
              <w:overflowPunct w:val="0"/>
              <w:adjustRightInd w:val="0"/>
              <w:ind w:left="0" w:right="57" w:firstLine="0"/>
              <w:jc w:val="left"/>
              <w:textAlignment w:val="baseline"/>
              <w:rPr>
                <w:rFonts w:cs="Arial"/>
                <w:sz w:val="16"/>
                <w:szCs w:val="16"/>
              </w:rPr>
            </w:pPr>
            <w:bookmarkStart w:id="354" w:name="Text19"/>
            <w:bookmarkStart w:id="355" w:name="Text41"/>
            <w:r w:rsidRPr="00C903F8">
              <w:rPr>
                <w:rFonts w:cs="Arial"/>
                <w:sz w:val="16"/>
                <w:szCs w:val="16"/>
              </w:rPr>
              <w:t>Year of engine construction:</w:t>
            </w:r>
            <w:bookmarkEnd w:id="354"/>
            <w:bookmarkEnd w:id="355"/>
          </w:p>
        </w:tc>
        <w:tc>
          <w:tcPr>
            <w:tcW w:w="1560" w:type="dxa"/>
            <w:gridSpan w:val="5"/>
            <w:vAlign w:val="center"/>
          </w:tcPr>
          <w:p w:rsidR="009C13A9" w:rsidRPr="00C903F8" w:rsidRDefault="009C13A9" w:rsidP="009C13A9">
            <w:pPr>
              <w:overflowPunct w:val="0"/>
              <w:adjustRightInd w:val="0"/>
              <w:ind w:left="0" w:right="57" w:firstLine="0"/>
              <w:jc w:val="left"/>
              <w:textAlignment w:val="baseline"/>
              <w:rPr>
                <w:rFonts w:cs="Arial"/>
                <w:sz w:val="16"/>
                <w:szCs w:val="16"/>
              </w:rPr>
            </w:pPr>
            <w:r w:rsidRPr="00C903F8">
              <w:rPr>
                <w:rFonts w:cs="Arial"/>
                <w:sz w:val="16"/>
                <w:szCs w:val="16"/>
              </w:rPr>
              <w:t>…………………</w:t>
            </w:r>
          </w:p>
        </w:tc>
      </w:tr>
      <w:tr w:rsidR="009C13A9" w:rsidRPr="00C903F8" w:rsidTr="009C13A9">
        <w:tblPrEx>
          <w:jc w:val="center"/>
          <w:tblCellMar>
            <w:left w:w="28" w:type="dxa"/>
            <w:right w:w="28" w:type="dxa"/>
          </w:tblCellMar>
        </w:tblPrEx>
        <w:trPr>
          <w:cantSplit/>
          <w:trHeight w:hRule="exact" w:val="57"/>
          <w:jc w:val="center"/>
        </w:trPr>
        <w:tc>
          <w:tcPr>
            <w:tcW w:w="9215" w:type="dxa"/>
            <w:gridSpan w:val="32"/>
            <w:vAlign w:val="center"/>
          </w:tcPr>
          <w:p w:rsidR="009C13A9" w:rsidRPr="00C903F8" w:rsidRDefault="009C13A9" w:rsidP="009C13A9">
            <w:pPr>
              <w:overflowPunct w:val="0"/>
              <w:adjustRightInd w:val="0"/>
              <w:spacing w:before="60" w:after="60"/>
              <w:ind w:left="0" w:right="57" w:firstLine="0"/>
              <w:jc w:val="left"/>
              <w:textAlignment w:val="baseline"/>
              <w:rPr>
                <w:rFonts w:cs="Arial"/>
                <w:szCs w:val="20"/>
              </w:rPr>
            </w:pPr>
          </w:p>
        </w:tc>
      </w:tr>
      <w:tr w:rsidR="009C13A9" w:rsidRPr="00C903F8" w:rsidTr="009C13A9">
        <w:tblPrEx>
          <w:jc w:val="center"/>
          <w:tblCellMar>
            <w:left w:w="28" w:type="dxa"/>
            <w:right w:w="28" w:type="dxa"/>
          </w:tblCellMar>
        </w:tblPrEx>
        <w:trPr>
          <w:cantSplit/>
          <w:jc w:val="center"/>
        </w:trPr>
        <w:tc>
          <w:tcPr>
            <w:tcW w:w="2835" w:type="dxa"/>
            <w:gridSpan w:val="8"/>
            <w:vAlign w:val="center"/>
          </w:tcPr>
          <w:p w:rsidR="009C13A9" w:rsidRPr="00C903F8" w:rsidRDefault="00DD67E3" w:rsidP="009C13A9">
            <w:pPr>
              <w:tabs>
                <w:tab w:val="center" w:pos="4819"/>
              </w:tabs>
              <w:overflowPunct w:val="0"/>
              <w:adjustRightInd w:val="0"/>
              <w:ind w:left="0" w:right="57" w:firstLine="0"/>
              <w:jc w:val="left"/>
              <w:textAlignment w:val="baseline"/>
              <w:rPr>
                <w:rFonts w:cs="Arial"/>
                <w:sz w:val="16"/>
                <w:szCs w:val="16"/>
              </w:rPr>
            </w:pPr>
            <w:r w:rsidRPr="00C903F8">
              <w:rPr>
                <w:rFonts w:cs="Arial"/>
                <w:sz w:val="16"/>
                <w:szCs w:val="16"/>
              </w:rPr>
              <w:t>Engine identification number</w:t>
            </w:r>
            <w:r w:rsidR="009C13A9" w:rsidRPr="00C903F8">
              <w:rPr>
                <w:rFonts w:cs="Arial"/>
                <w:sz w:val="16"/>
                <w:szCs w:val="16"/>
              </w:rPr>
              <w:t>:</w:t>
            </w:r>
          </w:p>
        </w:tc>
        <w:tc>
          <w:tcPr>
            <w:tcW w:w="3254" w:type="dxa"/>
            <w:gridSpan w:val="12"/>
            <w:vAlign w:val="center"/>
          </w:tcPr>
          <w:p w:rsidR="009C13A9" w:rsidRPr="00C903F8" w:rsidRDefault="009C13A9" w:rsidP="009C13A9">
            <w:pPr>
              <w:overflowPunct w:val="0"/>
              <w:adjustRightInd w:val="0"/>
              <w:ind w:left="0" w:right="57" w:firstLine="0"/>
              <w:jc w:val="left"/>
              <w:textAlignment w:val="baseline"/>
              <w:rPr>
                <w:rFonts w:cs="Arial"/>
                <w:sz w:val="16"/>
                <w:szCs w:val="16"/>
              </w:rPr>
            </w:pPr>
            <w:r w:rsidRPr="00C903F8">
              <w:rPr>
                <w:rFonts w:cs="Arial"/>
                <w:sz w:val="16"/>
                <w:szCs w:val="16"/>
              </w:rPr>
              <w:t>…………………………………………….</w:t>
            </w:r>
          </w:p>
        </w:tc>
        <w:tc>
          <w:tcPr>
            <w:tcW w:w="1260" w:type="dxa"/>
            <w:gridSpan w:val="6"/>
            <w:vAlign w:val="center"/>
          </w:tcPr>
          <w:p w:rsidR="009C13A9" w:rsidRPr="00C903F8" w:rsidRDefault="009C13A9" w:rsidP="009C13A9">
            <w:pPr>
              <w:overflowPunct w:val="0"/>
              <w:adjustRightInd w:val="0"/>
              <w:ind w:left="0" w:right="57" w:firstLine="0"/>
              <w:jc w:val="left"/>
              <w:textAlignment w:val="baseline"/>
              <w:rPr>
                <w:rFonts w:cs="Arial"/>
                <w:sz w:val="16"/>
                <w:szCs w:val="16"/>
              </w:rPr>
            </w:pPr>
            <w:r w:rsidRPr="00C903F8">
              <w:rPr>
                <w:rFonts w:cs="Arial"/>
                <w:sz w:val="16"/>
                <w:szCs w:val="16"/>
              </w:rPr>
              <w:t>Place of installation:</w:t>
            </w:r>
          </w:p>
        </w:tc>
        <w:tc>
          <w:tcPr>
            <w:tcW w:w="1866" w:type="dxa"/>
            <w:gridSpan w:val="6"/>
            <w:vAlign w:val="center"/>
          </w:tcPr>
          <w:p w:rsidR="009C13A9" w:rsidRPr="00C903F8" w:rsidRDefault="009C13A9" w:rsidP="009C13A9">
            <w:pPr>
              <w:overflowPunct w:val="0"/>
              <w:adjustRightInd w:val="0"/>
              <w:ind w:left="0" w:right="57" w:firstLine="0"/>
              <w:jc w:val="left"/>
              <w:textAlignment w:val="baseline"/>
              <w:rPr>
                <w:rFonts w:cs="Arial"/>
                <w:sz w:val="16"/>
                <w:szCs w:val="16"/>
              </w:rPr>
            </w:pPr>
            <w:r w:rsidRPr="00C903F8">
              <w:rPr>
                <w:rFonts w:cs="Arial"/>
                <w:sz w:val="16"/>
                <w:szCs w:val="16"/>
              </w:rPr>
              <w:t>……………………...</w:t>
            </w:r>
          </w:p>
        </w:tc>
      </w:tr>
      <w:tr w:rsidR="009C13A9" w:rsidRPr="00C903F8" w:rsidTr="009C13A9">
        <w:tblPrEx>
          <w:jc w:val="center"/>
          <w:tblCellMar>
            <w:left w:w="28" w:type="dxa"/>
            <w:right w:w="28" w:type="dxa"/>
          </w:tblCellMar>
        </w:tblPrEx>
        <w:trPr>
          <w:cantSplit/>
          <w:jc w:val="center"/>
        </w:trPr>
        <w:tc>
          <w:tcPr>
            <w:tcW w:w="2835" w:type="dxa"/>
            <w:gridSpan w:val="8"/>
            <w:vAlign w:val="center"/>
          </w:tcPr>
          <w:p w:rsidR="009C13A9" w:rsidRPr="00C903F8" w:rsidRDefault="009C13A9" w:rsidP="009C13A9">
            <w:pPr>
              <w:overflowPunct w:val="0"/>
              <w:adjustRightInd w:val="0"/>
              <w:ind w:left="0" w:right="57" w:firstLine="0"/>
              <w:jc w:val="left"/>
              <w:textAlignment w:val="baseline"/>
              <w:rPr>
                <w:rFonts w:cs="Arial"/>
                <w:szCs w:val="20"/>
              </w:rPr>
            </w:pPr>
          </w:p>
        </w:tc>
        <w:tc>
          <w:tcPr>
            <w:tcW w:w="6380" w:type="dxa"/>
            <w:gridSpan w:val="24"/>
            <w:tcBorders>
              <w:bottom w:val="nil"/>
            </w:tcBorders>
            <w:vAlign w:val="center"/>
          </w:tcPr>
          <w:p w:rsidR="009C13A9" w:rsidRPr="00C903F8" w:rsidRDefault="009C13A9" w:rsidP="009C13A9">
            <w:pPr>
              <w:overflowPunct w:val="0"/>
              <w:adjustRightInd w:val="0"/>
              <w:ind w:left="0" w:right="57" w:firstLine="0"/>
              <w:jc w:val="left"/>
              <w:textAlignment w:val="baseline"/>
              <w:rPr>
                <w:rFonts w:cs="Arial"/>
                <w:sz w:val="12"/>
                <w:szCs w:val="12"/>
              </w:rPr>
            </w:pPr>
            <w:r w:rsidRPr="00C903F8">
              <w:rPr>
                <w:rFonts w:cs="Arial"/>
                <w:noProof/>
                <w:sz w:val="12"/>
                <w:szCs w:val="12"/>
              </w:rPr>
              <w:t>(</w:t>
            </w:r>
            <w:r w:rsidRPr="00C903F8">
              <w:rPr>
                <w:rFonts w:cs="Arial"/>
                <w:sz w:val="12"/>
                <w:szCs w:val="12"/>
              </w:rPr>
              <w:t>Serial number/unique identification number</w:t>
            </w:r>
            <w:r w:rsidRPr="00C903F8">
              <w:rPr>
                <w:rFonts w:cs="Arial"/>
                <w:noProof/>
                <w:sz w:val="12"/>
                <w:szCs w:val="12"/>
              </w:rPr>
              <w:t>)</w:t>
            </w:r>
          </w:p>
        </w:tc>
      </w:tr>
      <w:tr w:rsidR="009C13A9" w:rsidRPr="00C903F8" w:rsidTr="009C13A9">
        <w:tblPrEx>
          <w:jc w:val="center"/>
          <w:tblCellMar>
            <w:left w:w="28" w:type="dxa"/>
            <w:right w:w="28" w:type="dxa"/>
          </w:tblCellMar>
        </w:tblPrEx>
        <w:trPr>
          <w:cantSplit/>
          <w:trHeight w:hRule="exact" w:val="57"/>
          <w:jc w:val="center"/>
        </w:trPr>
        <w:tc>
          <w:tcPr>
            <w:tcW w:w="9215" w:type="dxa"/>
            <w:gridSpan w:val="32"/>
            <w:vAlign w:val="center"/>
          </w:tcPr>
          <w:p w:rsidR="009C13A9" w:rsidRPr="00C903F8" w:rsidRDefault="009C13A9" w:rsidP="009C13A9">
            <w:pPr>
              <w:tabs>
                <w:tab w:val="center" w:pos="4819"/>
              </w:tabs>
              <w:overflowPunct w:val="0"/>
              <w:adjustRightInd w:val="0"/>
              <w:spacing w:before="60" w:after="60"/>
              <w:ind w:left="0" w:right="57" w:firstLine="0"/>
              <w:jc w:val="left"/>
              <w:textAlignment w:val="baseline"/>
              <w:rPr>
                <w:rFonts w:cs="Arial"/>
                <w:szCs w:val="20"/>
              </w:rPr>
            </w:pPr>
          </w:p>
        </w:tc>
      </w:tr>
      <w:tr w:rsidR="009C13A9" w:rsidRPr="00296858" w:rsidTr="009C13A9">
        <w:tblPrEx>
          <w:jc w:val="center"/>
          <w:tblCellMar>
            <w:left w:w="28" w:type="dxa"/>
            <w:right w:w="28" w:type="dxa"/>
          </w:tblCellMar>
        </w:tblPrEx>
        <w:trPr>
          <w:cantSplit/>
          <w:jc w:val="center"/>
        </w:trPr>
        <w:tc>
          <w:tcPr>
            <w:tcW w:w="9215" w:type="dxa"/>
            <w:gridSpan w:val="32"/>
            <w:vAlign w:val="center"/>
          </w:tcPr>
          <w:p w:rsidR="009C13A9" w:rsidRPr="00C903F8" w:rsidRDefault="009C13A9" w:rsidP="009C13A9">
            <w:pPr>
              <w:overflowPunct w:val="0"/>
              <w:adjustRightInd w:val="0"/>
              <w:ind w:left="0" w:right="57" w:firstLine="0"/>
              <w:textAlignment w:val="baseline"/>
              <w:rPr>
                <w:rFonts w:cs="Arial"/>
                <w:sz w:val="16"/>
                <w:szCs w:val="16"/>
                <w:lang w:val="en-US"/>
              </w:rPr>
            </w:pPr>
            <w:r w:rsidRPr="00C903F8">
              <w:rPr>
                <w:rFonts w:cs="Arial"/>
                <w:sz w:val="16"/>
                <w:szCs w:val="16"/>
                <w:lang w:val="en-US"/>
              </w:rPr>
              <w:t>The engine and engine components of relevance in an exhaust gas context have been identified on the basis of the data plate details.</w:t>
            </w:r>
          </w:p>
          <w:p w:rsidR="009C13A9" w:rsidRPr="00C903F8" w:rsidRDefault="009C13A9" w:rsidP="009C13A9">
            <w:pPr>
              <w:overflowPunct w:val="0"/>
              <w:adjustRightInd w:val="0"/>
              <w:ind w:left="0" w:right="57" w:firstLine="0"/>
              <w:textAlignment w:val="baseline"/>
              <w:rPr>
                <w:rFonts w:cs="Arial"/>
                <w:sz w:val="16"/>
                <w:szCs w:val="16"/>
                <w:lang w:val="en-US"/>
              </w:rPr>
            </w:pPr>
            <w:r w:rsidRPr="00C903F8">
              <w:rPr>
                <w:rFonts w:cs="Arial"/>
                <w:sz w:val="16"/>
                <w:szCs w:val="16"/>
                <w:lang w:val="en-US"/>
              </w:rPr>
              <w:t>The test has been carried out on the basis of the Engine manufacturer's instructions on monitoring the components and engine parameters of relevance in an exhaust gas context.</w:t>
            </w:r>
          </w:p>
        </w:tc>
      </w:tr>
      <w:tr w:rsidR="009C13A9" w:rsidRPr="00296858" w:rsidTr="009C13A9">
        <w:tblPrEx>
          <w:jc w:val="center"/>
          <w:tblCellMar>
            <w:left w:w="28" w:type="dxa"/>
            <w:right w:w="28" w:type="dxa"/>
          </w:tblCellMar>
        </w:tblPrEx>
        <w:trPr>
          <w:cantSplit/>
          <w:trHeight w:val="57"/>
          <w:jc w:val="center"/>
        </w:trPr>
        <w:tc>
          <w:tcPr>
            <w:tcW w:w="9215" w:type="dxa"/>
            <w:gridSpan w:val="32"/>
            <w:vAlign w:val="center"/>
          </w:tcPr>
          <w:p w:rsidR="009C13A9" w:rsidRPr="00C903F8" w:rsidRDefault="009C13A9" w:rsidP="009C13A9">
            <w:pPr>
              <w:overflowPunct w:val="0"/>
              <w:adjustRightInd w:val="0"/>
              <w:spacing w:line="100" w:lineRule="exact"/>
              <w:ind w:left="0" w:right="57" w:firstLine="0"/>
              <w:jc w:val="left"/>
              <w:textAlignment w:val="baseline"/>
              <w:rPr>
                <w:rFonts w:cs="Arial"/>
                <w:sz w:val="12"/>
                <w:szCs w:val="12"/>
                <w:lang w:val="en-US"/>
              </w:rPr>
            </w:pPr>
          </w:p>
        </w:tc>
      </w:tr>
      <w:tr w:rsidR="009C13A9" w:rsidRPr="00296858" w:rsidTr="009C13A9">
        <w:tblPrEx>
          <w:jc w:val="center"/>
        </w:tblPrEx>
        <w:trPr>
          <w:cantSplit/>
          <w:jc w:val="center"/>
        </w:trPr>
        <w:tc>
          <w:tcPr>
            <w:tcW w:w="9215" w:type="dxa"/>
            <w:gridSpan w:val="32"/>
            <w:vAlign w:val="center"/>
          </w:tcPr>
          <w:p w:rsidR="009C13A9" w:rsidRPr="00C903F8" w:rsidRDefault="009C13A9" w:rsidP="009C13A9">
            <w:pPr>
              <w:overflowPunct w:val="0"/>
              <w:adjustRightInd w:val="0"/>
              <w:ind w:left="286" w:hanging="286"/>
              <w:jc w:val="left"/>
              <w:textAlignment w:val="baseline"/>
              <w:rPr>
                <w:rFonts w:cs="Arial"/>
                <w:b/>
                <w:sz w:val="18"/>
                <w:szCs w:val="18"/>
                <w:lang w:val="en-US"/>
              </w:rPr>
            </w:pPr>
            <w:r w:rsidRPr="00C903F8">
              <w:rPr>
                <w:rFonts w:cs="Arial"/>
                <w:b/>
                <w:sz w:val="18"/>
                <w:szCs w:val="18"/>
                <w:lang w:val="en-US"/>
              </w:rPr>
              <w:t>A)</w:t>
            </w:r>
            <w:r w:rsidRPr="00C903F8">
              <w:rPr>
                <w:rFonts w:cs="Arial"/>
                <w:b/>
                <w:sz w:val="18"/>
                <w:szCs w:val="18"/>
                <w:lang w:val="en-US"/>
              </w:rPr>
              <w:tab/>
              <w:t>Component test</w:t>
            </w:r>
          </w:p>
          <w:p w:rsidR="009C13A9" w:rsidRPr="00C903F8" w:rsidRDefault="009C13A9" w:rsidP="009C13A9">
            <w:pPr>
              <w:overflowPunct w:val="0"/>
              <w:adjustRightInd w:val="0"/>
              <w:spacing w:after="80"/>
              <w:ind w:left="284" w:right="57" w:firstLine="0"/>
              <w:textAlignment w:val="baseline"/>
              <w:rPr>
                <w:rFonts w:cs="Arial"/>
                <w:sz w:val="16"/>
                <w:szCs w:val="16"/>
                <w:lang w:val="en-US"/>
              </w:rPr>
            </w:pPr>
            <w:r w:rsidRPr="00C903F8">
              <w:rPr>
                <w:rFonts w:cs="Arial"/>
                <w:sz w:val="16"/>
                <w:szCs w:val="16"/>
                <w:lang w:val="en-US"/>
              </w:rPr>
              <w:t>Additional components of relevance in an exhaust gas context and listed in the Engine manufacturer's instructions on monitoring the components and engine parameters of relevance in an exhaust gas context should be included in the table.</w:t>
            </w:r>
          </w:p>
        </w:tc>
      </w:tr>
      <w:tr w:rsidR="009C13A9" w:rsidRPr="00C903F8" w:rsidTr="009C13A9">
        <w:tblPrEx>
          <w:jc w:val="center"/>
        </w:tblPrEx>
        <w:trPr>
          <w:jc w:val="center"/>
        </w:trPr>
        <w:tc>
          <w:tcPr>
            <w:tcW w:w="426" w:type="dxa"/>
            <w:gridSpan w:val="2"/>
            <w:tcBorders>
              <w:right w:val="single" w:sz="4" w:space="0" w:color="auto"/>
            </w:tcBorders>
            <w:vAlign w:val="center"/>
          </w:tcPr>
          <w:p w:rsidR="009C13A9" w:rsidRPr="00C903F8" w:rsidRDefault="009C13A9" w:rsidP="009C13A9">
            <w:pPr>
              <w:overflowPunct w:val="0"/>
              <w:adjustRightInd w:val="0"/>
              <w:spacing w:before="40" w:after="40"/>
              <w:ind w:left="0" w:right="57" w:firstLine="0"/>
              <w:jc w:val="left"/>
              <w:textAlignment w:val="baseline"/>
              <w:rPr>
                <w:rFonts w:cs="Arial"/>
                <w:sz w:val="18"/>
                <w:szCs w:val="18"/>
                <w:lang w:val="en-US"/>
              </w:rPr>
            </w:pPr>
          </w:p>
        </w:tc>
        <w:tc>
          <w:tcPr>
            <w:tcW w:w="2693" w:type="dxa"/>
            <w:gridSpan w:val="8"/>
            <w:tcBorders>
              <w:top w:val="single" w:sz="4" w:space="0" w:color="auto"/>
              <w:left w:val="nil"/>
              <w:bottom w:val="single" w:sz="4" w:space="0" w:color="auto"/>
              <w:right w:val="single" w:sz="4" w:space="0" w:color="auto"/>
            </w:tcBorders>
            <w:vAlign w:val="center"/>
          </w:tcPr>
          <w:p w:rsidR="009C13A9" w:rsidRPr="00C903F8" w:rsidRDefault="009C13A9" w:rsidP="009C13A9">
            <w:pPr>
              <w:spacing w:before="60" w:after="60"/>
              <w:jc w:val="center"/>
              <w:rPr>
                <w:noProof/>
                <w:sz w:val="16"/>
                <w:szCs w:val="18"/>
                <w:lang w:eastAsia="de-DE"/>
              </w:rPr>
            </w:pPr>
            <w:r w:rsidRPr="00C903F8">
              <w:rPr>
                <w:noProof/>
                <w:sz w:val="16"/>
                <w:szCs w:val="18"/>
                <w:lang w:eastAsia="de-DE"/>
              </w:rPr>
              <w:t>Component</w:t>
            </w:r>
          </w:p>
        </w:tc>
        <w:tc>
          <w:tcPr>
            <w:tcW w:w="2977" w:type="dxa"/>
            <w:gridSpan w:val="11"/>
            <w:tcBorders>
              <w:top w:val="single" w:sz="4" w:space="0" w:color="auto"/>
              <w:left w:val="nil"/>
              <w:bottom w:val="single" w:sz="4" w:space="0" w:color="auto"/>
              <w:right w:val="single" w:sz="4" w:space="0" w:color="auto"/>
            </w:tcBorders>
            <w:vAlign w:val="center"/>
          </w:tcPr>
          <w:p w:rsidR="009C13A9" w:rsidRPr="00C903F8" w:rsidRDefault="009C13A9" w:rsidP="009C13A9">
            <w:pPr>
              <w:spacing w:before="60" w:after="60"/>
              <w:jc w:val="center"/>
              <w:rPr>
                <w:noProof/>
                <w:sz w:val="18"/>
                <w:szCs w:val="18"/>
                <w:lang w:eastAsia="de-DE"/>
              </w:rPr>
            </w:pPr>
            <w:r w:rsidRPr="00C903F8">
              <w:rPr>
                <w:bCs/>
                <w:noProof/>
                <w:sz w:val="16"/>
                <w:szCs w:val="18"/>
                <w:lang w:eastAsia="de-DE"/>
              </w:rPr>
              <w:t>Component number recorded</w:t>
            </w:r>
          </w:p>
        </w:tc>
        <w:tc>
          <w:tcPr>
            <w:tcW w:w="3119" w:type="dxa"/>
            <w:gridSpan w:val="11"/>
            <w:tcBorders>
              <w:top w:val="single" w:sz="4" w:space="0" w:color="auto"/>
              <w:left w:val="nil"/>
              <w:bottom w:val="single" w:sz="4" w:space="0" w:color="auto"/>
              <w:right w:val="single" w:sz="4" w:space="0" w:color="auto"/>
            </w:tcBorders>
            <w:vAlign w:val="center"/>
          </w:tcPr>
          <w:p w:rsidR="009C13A9" w:rsidRPr="00C903F8" w:rsidRDefault="009C13A9" w:rsidP="009C13A9">
            <w:pPr>
              <w:overflowPunct w:val="0"/>
              <w:adjustRightInd w:val="0"/>
              <w:spacing w:before="40" w:after="40"/>
              <w:ind w:left="0" w:right="57" w:firstLine="0"/>
              <w:jc w:val="center"/>
              <w:textAlignment w:val="baseline"/>
              <w:rPr>
                <w:rFonts w:cs="Arial"/>
                <w:bCs/>
                <w:sz w:val="18"/>
                <w:szCs w:val="18"/>
              </w:rPr>
            </w:pPr>
            <w:r w:rsidRPr="00C903F8">
              <w:rPr>
                <w:noProof/>
                <w:sz w:val="16"/>
                <w:szCs w:val="18"/>
                <w:lang w:eastAsia="de-DE"/>
              </w:rPr>
              <w:t>Conformity</w:t>
            </w:r>
            <w:r w:rsidRPr="00C903F8">
              <w:rPr>
                <w:noProof/>
                <w:sz w:val="18"/>
                <w:szCs w:val="18"/>
                <w:lang w:eastAsia="de-DE"/>
              </w:rPr>
              <w:t xml:space="preserve"> </w:t>
            </w:r>
            <w:r w:rsidRPr="00C903F8">
              <w:rPr>
                <w:rFonts w:cs="Arial"/>
                <w:bCs/>
                <w:sz w:val="18"/>
                <w:szCs w:val="18"/>
                <w:vertAlign w:val="superscript"/>
              </w:rPr>
              <w:t>1</w:t>
            </w:r>
            <w:r w:rsidRPr="00C903F8">
              <w:rPr>
                <w:rFonts w:cs="Arial"/>
                <w:sz w:val="18"/>
                <w:szCs w:val="18"/>
                <w:vertAlign w:val="superscript"/>
              </w:rPr>
              <w:t>)</w:t>
            </w:r>
          </w:p>
        </w:tc>
      </w:tr>
      <w:tr w:rsidR="009C13A9" w:rsidRPr="00C903F8" w:rsidTr="009C13A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9C13A9" w:rsidRPr="00C903F8" w:rsidRDefault="009C13A9" w:rsidP="009C13A9">
            <w:pPr>
              <w:overflowPunct w:val="0"/>
              <w:adjustRightInd w:val="0"/>
              <w:ind w:left="0" w:right="57" w:firstLine="0"/>
              <w:jc w:val="left"/>
              <w:textAlignment w:val="baseline"/>
              <w:rPr>
                <w:rFonts w:cs="Arial"/>
                <w:sz w:val="18"/>
                <w:szCs w:val="18"/>
              </w:rPr>
            </w:pPr>
          </w:p>
        </w:tc>
        <w:tc>
          <w:tcPr>
            <w:tcW w:w="2693" w:type="dxa"/>
            <w:gridSpan w:val="8"/>
            <w:tcBorders>
              <w:top w:val="nil"/>
              <w:left w:val="nil"/>
              <w:bottom w:val="single" w:sz="4" w:space="0" w:color="auto"/>
              <w:right w:val="single" w:sz="4" w:space="0" w:color="auto"/>
            </w:tcBorders>
            <w:vAlign w:val="center"/>
          </w:tcPr>
          <w:p w:rsidR="009C13A9" w:rsidRPr="00C903F8" w:rsidRDefault="009C13A9" w:rsidP="009C13A9">
            <w:pPr>
              <w:spacing w:before="40" w:after="40"/>
              <w:rPr>
                <w:noProof/>
                <w:sz w:val="16"/>
                <w:lang w:eastAsia="de-DE"/>
              </w:rPr>
            </w:pPr>
            <w:r w:rsidRPr="00C903F8">
              <w:rPr>
                <w:noProof/>
                <w:sz w:val="16"/>
                <w:szCs w:val="18"/>
                <w:lang w:eastAsia="de-DE"/>
              </w:rPr>
              <w:t>Camshaft/piston</w:t>
            </w:r>
          </w:p>
        </w:tc>
        <w:tc>
          <w:tcPr>
            <w:tcW w:w="2977" w:type="dxa"/>
            <w:gridSpan w:val="11"/>
            <w:tcBorders>
              <w:top w:val="nil"/>
              <w:left w:val="single" w:sz="4" w:space="0" w:color="auto"/>
              <w:bottom w:val="single" w:sz="4" w:space="0" w:color="auto"/>
              <w:right w:val="single" w:sz="4" w:space="0" w:color="auto"/>
            </w:tcBorders>
            <w:vAlign w:val="center"/>
          </w:tcPr>
          <w:p w:rsidR="009C13A9" w:rsidRPr="00C903F8" w:rsidRDefault="009C13A9" w:rsidP="009C13A9">
            <w:pPr>
              <w:overflowPunct w:val="0"/>
              <w:adjustRightInd w:val="0"/>
              <w:ind w:left="0" w:right="57" w:firstLine="0"/>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4"/>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Yes</w:t>
            </w:r>
          </w:p>
        </w:tc>
        <w:tc>
          <w:tcPr>
            <w:tcW w:w="1039" w:type="dxa"/>
            <w:gridSpan w:val="4"/>
            <w:tcBorders>
              <w:top w:val="single" w:sz="4" w:space="0" w:color="auto"/>
              <w:left w:val="nil"/>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5"/>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No</w:t>
            </w:r>
          </w:p>
        </w:tc>
        <w:tc>
          <w:tcPr>
            <w:tcW w:w="1041" w:type="dxa"/>
            <w:gridSpan w:val="3"/>
            <w:tcBorders>
              <w:top w:val="single" w:sz="4" w:space="0" w:color="auto"/>
              <w:left w:val="nil"/>
              <w:bottom w:val="single" w:sz="4" w:space="0" w:color="auto"/>
              <w:right w:val="single" w:sz="4" w:space="0" w:color="auto"/>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6"/>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N/A</w:t>
            </w:r>
          </w:p>
        </w:tc>
      </w:tr>
      <w:tr w:rsidR="009C13A9" w:rsidRPr="00C903F8" w:rsidTr="009C13A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9C13A9" w:rsidRPr="00C903F8" w:rsidRDefault="009C13A9" w:rsidP="009C13A9">
            <w:pPr>
              <w:overflowPunct w:val="0"/>
              <w:adjustRightInd w:val="0"/>
              <w:ind w:left="0" w:right="57" w:firstLine="0"/>
              <w:jc w:val="left"/>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9C13A9" w:rsidRPr="00C903F8" w:rsidRDefault="009C13A9" w:rsidP="009C13A9">
            <w:pPr>
              <w:spacing w:before="40" w:after="40"/>
              <w:rPr>
                <w:noProof/>
                <w:sz w:val="16"/>
                <w:lang w:eastAsia="de-DE"/>
              </w:rPr>
            </w:pPr>
            <w:r w:rsidRPr="00C903F8">
              <w:rPr>
                <w:noProof/>
                <w:sz w:val="16"/>
                <w:szCs w:val="18"/>
                <w:lang w:eastAsia="de-DE"/>
              </w:rPr>
              <w:t>Injection valve</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9C13A9" w:rsidRPr="00C903F8" w:rsidRDefault="009C13A9" w:rsidP="009C13A9">
            <w:pPr>
              <w:overflowPunct w:val="0"/>
              <w:adjustRightInd w:val="0"/>
              <w:ind w:left="0" w:right="57" w:firstLine="0"/>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7"/>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Yes</w:t>
            </w:r>
          </w:p>
        </w:tc>
        <w:tc>
          <w:tcPr>
            <w:tcW w:w="1039" w:type="dxa"/>
            <w:gridSpan w:val="4"/>
            <w:tcBorders>
              <w:top w:val="single" w:sz="4" w:space="0" w:color="auto"/>
              <w:left w:val="nil"/>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8"/>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No</w:t>
            </w:r>
          </w:p>
        </w:tc>
        <w:tc>
          <w:tcPr>
            <w:tcW w:w="1041" w:type="dxa"/>
            <w:gridSpan w:val="3"/>
            <w:tcBorders>
              <w:top w:val="single" w:sz="4" w:space="0" w:color="auto"/>
              <w:left w:val="nil"/>
              <w:bottom w:val="single" w:sz="4" w:space="0" w:color="auto"/>
              <w:right w:val="single" w:sz="4" w:space="0" w:color="auto"/>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9"/>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N/A</w:t>
            </w:r>
          </w:p>
        </w:tc>
      </w:tr>
      <w:tr w:rsidR="009C13A9" w:rsidRPr="00C903F8" w:rsidTr="009C13A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9C13A9" w:rsidRPr="00C903F8" w:rsidRDefault="009C13A9" w:rsidP="009C13A9">
            <w:pPr>
              <w:overflowPunct w:val="0"/>
              <w:adjustRightInd w:val="0"/>
              <w:ind w:left="0" w:right="57" w:firstLine="0"/>
              <w:jc w:val="left"/>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9C13A9" w:rsidRPr="00C903F8" w:rsidRDefault="009C13A9" w:rsidP="009C13A9">
            <w:pPr>
              <w:spacing w:before="40" w:after="40"/>
              <w:rPr>
                <w:noProof/>
                <w:sz w:val="16"/>
                <w:lang w:eastAsia="de-DE"/>
              </w:rPr>
            </w:pPr>
            <w:r w:rsidRPr="00C903F8">
              <w:rPr>
                <w:noProof/>
                <w:sz w:val="16"/>
                <w:szCs w:val="18"/>
                <w:lang w:eastAsia="de-DE"/>
              </w:rPr>
              <w:t>Data set/software number</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9C13A9" w:rsidRPr="00C903F8" w:rsidRDefault="009C13A9" w:rsidP="009C13A9">
            <w:pPr>
              <w:overflowPunct w:val="0"/>
              <w:adjustRightInd w:val="0"/>
              <w:ind w:left="0" w:right="57" w:firstLine="0"/>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7"/>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Yes</w:t>
            </w:r>
          </w:p>
        </w:tc>
        <w:tc>
          <w:tcPr>
            <w:tcW w:w="1039" w:type="dxa"/>
            <w:gridSpan w:val="4"/>
            <w:tcBorders>
              <w:top w:val="single" w:sz="4" w:space="0" w:color="auto"/>
              <w:left w:val="nil"/>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8"/>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No</w:t>
            </w:r>
          </w:p>
        </w:tc>
        <w:tc>
          <w:tcPr>
            <w:tcW w:w="1041" w:type="dxa"/>
            <w:gridSpan w:val="3"/>
            <w:tcBorders>
              <w:top w:val="single" w:sz="4" w:space="0" w:color="auto"/>
              <w:left w:val="nil"/>
              <w:bottom w:val="single" w:sz="4" w:space="0" w:color="auto"/>
              <w:right w:val="single" w:sz="4" w:space="0" w:color="auto"/>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9"/>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N/A </w:t>
            </w:r>
          </w:p>
        </w:tc>
      </w:tr>
      <w:tr w:rsidR="009C13A9" w:rsidRPr="00C903F8" w:rsidTr="009C13A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9C13A9" w:rsidRPr="00C903F8" w:rsidRDefault="009C13A9" w:rsidP="009C13A9">
            <w:pPr>
              <w:overflowPunct w:val="0"/>
              <w:adjustRightInd w:val="0"/>
              <w:ind w:left="0" w:right="57" w:firstLine="0"/>
              <w:jc w:val="left"/>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9C13A9" w:rsidRPr="00C903F8" w:rsidRDefault="009C13A9" w:rsidP="009C13A9">
            <w:pPr>
              <w:spacing w:before="40" w:after="40"/>
              <w:rPr>
                <w:noProof/>
                <w:sz w:val="16"/>
                <w:lang w:eastAsia="de-DE"/>
              </w:rPr>
            </w:pPr>
            <w:r w:rsidRPr="00C903F8">
              <w:rPr>
                <w:noProof/>
                <w:sz w:val="16"/>
                <w:szCs w:val="18"/>
                <w:lang w:eastAsia="de-DE"/>
              </w:rPr>
              <w:t>Injection pump</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9C13A9" w:rsidRPr="00C903F8" w:rsidRDefault="009C13A9" w:rsidP="009C13A9">
            <w:pPr>
              <w:overflowPunct w:val="0"/>
              <w:adjustRightInd w:val="0"/>
              <w:ind w:left="0" w:right="57" w:firstLine="0"/>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7"/>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Yes</w:t>
            </w:r>
          </w:p>
        </w:tc>
        <w:tc>
          <w:tcPr>
            <w:tcW w:w="1039" w:type="dxa"/>
            <w:gridSpan w:val="4"/>
            <w:tcBorders>
              <w:top w:val="single" w:sz="4" w:space="0" w:color="auto"/>
              <w:left w:val="nil"/>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8"/>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No</w:t>
            </w:r>
          </w:p>
        </w:tc>
        <w:tc>
          <w:tcPr>
            <w:tcW w:w="1041" w:type="dxa"/>
            <w:gridSpan w:val="3"/>
            <w:tcBorders>
              <w:top w:val="single" w:sz="4" w:space="0" w:color="auto"/>
              <w:left w:val="nil"/>
              <w:bottom w:val="single" w:sz="4" w:space="0" w:color="auto"/>
              <w:right w:val="single" w:sz="4" w:space="0" w:color="auto"/>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9"/>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N/A</w:t>
            </w:r>
          </w:p>
        </w:tc>
      </w:tr>
      <w:tr w:rsidR="009C13A9" w:rsidRPr="00C903F8" w:rsidTr="009C13A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9C13A9" w:rsidRPr="00C903F8" w:rsidRDefault="009C13A9" w:rsidP="009C13A9">
            <w:pPr>
              <w:overflowPunct w:val="0"/>
              <w:adjustRightInd w:val="0"/>
              <w:ind w:left="0" w:right="57" w:firstLine="0"/>
              <w:jc w:val="left"/>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9C13A9" w:rsidRPr="00C903F8" w:rsidRDefault="009C13A9" w:rsidP="009C13A9">
            <w:pPr>
              <w:spacing w:before="40" w:after="40"/>
              <w:rPr>
                <w:noProof/>
                <w:sz w:val="16"/>
                <w:lang w:eastAsia="de-DE"/>
              </w:rPr>
            </w:pPr>
            <w:r w:rsidRPr="00C903F8">
              <w:rPr>
                <w:noProof/>
                <w:sz w:val="16"/>
                <w:szCs w:val="18"/>
                <w:lang w:eastAsia="de-DE"/>
              </w:rPr>
              <w:t>cylinder head</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9C13A9" w:rsidRPr="00C903F8" w:rsidRDefault="009C13A9" w:rsidP="009C13A9">
            <w:pPr>
              <w:overflowPunct w:val="0"/>
              <w:adjustRightInd w:val="0"/>
              <w:ind w:left="0" w:right="57" w:firstLine="0"/>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13"/>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Yes</w:t>
            </w:r>
          </w:p>
        </w:tc>
        <w:tc>
          <w:tcPr>
            <w:tcW w:w="1039" w:type="dxa"/>
            <w:gridSpan w:val="4"/>
            <w:tcBorders>
              <w:top w:val="single" w:sz="4" w:space="0" w:color="auto"/>
              <w:left w:val="nil"/>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14"/>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No</w:t>
            </w:r>
          </w:p>
        </w:tc>
        <w:tc>
          <w:tcPr>
            <w:tcW w:w="1041" w:type="dxa"/>
            <w:gridSpan w:val="3"/>
            <w:tcBorders>
              <w:top w:val="single" w:sz="4" w:space="0" w:color="auto"/>
              <w:left w:val="nil"/>
              <w:bottom w:val="single" w:sz="4" w:space="0" w:color="auto"/>
              <w:right w:val="single" w:sz="4" w:space="0" w:color="auto"/>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15"/>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N/A</w:t>
            </w:r>
          </w:p>
        </w:tc>
      </w:tr>
      <w:tr w:rsidR="009C13A9" w:rsidRPr="00C903F8" w:rsidTr="009C13A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9C13A9" w:rsidRPr="00C903F8" w:rsidRDefault="009C13A9" w:rsidP="009C13A9">
            <w:pPr>
              <w:overflowPunct w:val="0"/>
              <w:adjustRightInd w:val="0"/>
              <w:ind w:left="0" w:right="57" w:firstLine="0"/>
              <w:jc w:val="left"/>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9C13A9" w:rsidRPr="00C903F8" w:rsidRDefault="009C13A9" w:rsidP="009C13A9">
            <w:pPr>
              <w:spacing w:before="40" w:after="40"/>
              <w:rPr>
                <w:noProof/>
                <w:sz w:val="16"/>
                <w:lang w:eastAsia="de-DE"/>
              </w:rPr>
            </w:pPr>
            <w:r w:rsidRPr="00C903F8">
              <w:rPr>
                <w:noProof/>
                <w:sz w:val="16"/>
                <w:szCs w:val="18"/>
                <w:lang w:eastAsia="de-DE"/>
              </w:rPr>
              <w:t>Exhaust-gas turbocharger</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9C13A9" w:rsidRPr="00C903F8" w:rsidRDefault="009C13A9" w:rsidP="009C13A9">
            <w:pPr>
              <w:overflowPunct w:val="0"/>
              <w:adjustRightInd w:val="0"/>
              <w:ind w:left="0" w:right="57" w:firstLine="0"/>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7"/>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Yes</w:t>
            </w:r>
          </w:p>
        </w:tc>
        <w:tc>
          <w:tcPr>
            <w:tcW w:w="1039" w:type="dxa"/>
            <w:gridSpan w:val="4"/>
            <w:tcBorders>
              <w:top w:val="single" w:sz="4" w:space="0" w:color="auto"/>
              <w:left w:val="nil"/>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8"/>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No</w:t>
            </w:r>
          </w:p>
        </w:tc>
        <w:tc>
          <w:tcPr>
            <w:tcW w:w="1041" w:type="dxa"/>
            <w:gridSpan w:val="3"/>
            <w:tcBorders>
              <w:top w:val="single" w:sz="4" w:space="0" w:color="auto"/>
              <w:left w:val="nil"/>
              <w:bottom w:val="single" w:sz="4" w:space="0" w:color="auto"/>
              <w:right w:val="single" w:sz="4" w:space="0" w:color="auto"/>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9"/>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N/A</w:t>
            </w:r>
          </w:p>
        </w:tc>
      </w:tr>
      <w:tr w:rsidR="009C13A9" w:rsidRPr="00C903F8" w:rsidTr="009C13A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9C13A9" w:rsidRPr="00C903F8" w:rsidRDefault="009C13A9" w:rsidP="009C13A9">
            <w:pPr>
              <w:overflowPunct w:val="0"/>
              <w:adjustRightInd w:val="0"/>
              <w:ind w:left="0" w:right="57" w:firstLine="0"/>
              <w:jc w:val="left"/>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9C13A9" w:rsidRPr="00C903F8" w:rsidRDefault="009C13A9" w:rsidP="009C13A9">
            <w:pPr>
              <w:spacing w:before="40" w:after="40"/>
              <w:rPr>
                <w:noProof/>
                <w:sz w:val="16"/>
                <w:lang w:eastAsia="de-DE"/>
              </w:rPr>
            </w:pPr>
            <w:r w:rsidRPr="00C903F8">
              <w:rPr>
                <w:noProof/>
                <w:sz w:val="16"/>
                <w:szCs w:val="18"/>
                <w:lang w:eastAsia="de-DE"/>
              </w:rPr>
              <w:t>Charge air cooler</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9C13A9" w:rsidRPr="00C903F8" w:rsidRDefault="009C13A9" w:rsidP="009C13A9">
            <w:pPr>
              <w:overflowPunct w:val="0"/>
              <w:adjustRightInd w:val="0"/>
              <w:ind w:left="0" w:right="57" w:firstLine="0"/>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16"/>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Yes</w:t>
            </w:r>
          </w:p>
        </w:tc>
        <w:tc>
          <w:tcPr>
            <w:tcW w:w="1039" w:type="dxa"/>
            <w:gridSpan w:val="4"/>
            <w:tcBorders>
              <w:top w:val="single" w:sz="4" w:space="0" w:color="auto"/>
              <w:left w:val="nil"/>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17"/>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No</w:t>
            </w:r>
          </w:p>
        </w:tc>
        <w:tc>
          <w:tcPr>
            <w:tcW w:w="1041" w:type="dxa"/>
            <w:gridSpan w:val="3"/>
            <w:tcBorders>
              <w:top w:val="single" w:sz="4" w:space="0" w:color="auto"/>
              <w:left w:val="nil"/>
              <w:bottom w:val="single" w:sz="4" w:space="0" w:color="auto"/>
              <w:right w:val="single" w:sz="4" w:space="0" w:color="auto"/>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18"/>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N/A</w:t>
            </w:r>
          </w:p>
        </w:tc>
      </w:tr>
      <w:tr w:rsidR="009C13A9" w:rsidRPr="00C903F8" w:rsidTr="009C13A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9C13A9" w:rsidRPr="00C903F8" w:rsidRDefault="009C13A9" w:rsidP="009C13A9">
            <w:pPr>
              <w:overflowPunct w:val="0"/>
              <w:adjustRightInd w:val="0"/>
              <w:ind w:left="0" w:right="57" w:firstLine="0"/>
              <w:jc w:val="left"/>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9C13A9" w:rsidRPr="00C903F8" w:rsidRDefault="009C13A9" w:rsidP="009C13A9">
            <w:pPr>
              <w:overflowPunct w:val="0"/>
              <w:adjustRightInd w:val="0"/>
              <w:ind w:left="0" w:right="57" w:firstLine="0"/>
              <w:jc w:val="left"/>
              <w:textAlignment w:val="baseline"/>
              <w:rPr>
                <w:rFonts w:cs="Arial"/>
                <w:sz w:val="18"/>
                <w:szCs w:val="18"/>
              </w:rPr>
            </w:pP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9C13A9" w:rsidRPr="00C903F8" w:rsidRDefault="009C13A9" w:rsidP="009C13A9">
            <w:pPr>
              <w:overflowPunct w:val="0"/>
              <w:adjustRightInd w:val="0"/>
              <w:ind w:left="0" w:right="57" w:firstLine="0"/>
              <w:jc w:val="center"/>
              <w:textAlignment w:val="baseline"/>
              <w:rPr>
                <w:rFonts w:cs="Arial"/>
                <w:sz w:val="18"/>
                <w:szCs w:val="18"/>
              </w:rPr>
            </w:pPr>
          </w:p>
        </w:tc>
        <w:bookmarkStart w:id="356" w:name="Kontrollkästchen19"/>
        <w:tc>
          <w:tcPr>
            <w:tcW w:w="1039" w:type="dxa"/>
            <w:gridSpan w:val="4"/>
            <w:tcBorders>
              <w:top w:val="single" w:sz="4" w:space="0" w:color="auto"/>
              <w:left w:val="single" w:sz="4" w:space="0" w:color="auto"/>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19"/>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bookmarkEnd w:id="356"/>
            <w:r w:rsidR="009C13A9" w:rsidRPr="00C903F8">
              <w:rPr>
                <w:rFonts w:cs="Arial"/>
                <w:noProof/>
                <w:sz w:val="16"/>
                <w:szCs w:val="16"/>
              </w:rPr>
              <w:t>Yes</w:t>
            </w:r>
          </w:p>
        </w:tc>
        <w:bookmarkStart w:id="357" w:name="Kontrollkästchen20"/>
        <w:tc>
          <w:tcPr>
            <w:tcW w:w="1039" w:type="dxa"/>
            <w:gridSpan w:val="4"/>
            <w:tcBorders>
              <w:top w:val="single" w:sz="4" w:space="0" w:color="auto"/>
              <w:left w:val="nil"/>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20"/>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No</w:t>
            </w:r>
            <w:bookmarkEnd w:id="357"/>
          </w:p>
        </w:tc>
        <w:bookmarkStart w:id="358" w:name="Kontrollkästchen21"/>
        <w:tc>
          <w:tcPr>
            <w:tcW w:w="1041" w:type="dxa"/>
            <w:gridSpan w:val="3"/>
            <w:tcBorders>
              <w:top w:val="single" w:sz="4" w:space="0" w:color="auto"/>
              <w:left w:val="nil"/>
              <w:bottom w:val="single" w:sz="4" w:space="0" w:color="auto"/>
              <w:right w:val="single" w:sz="4" w:space="0" w:color="auto"/>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21"/>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bookmarkEnd w:id="358"/>
            <w:r w:rsidR="009C13A9" w:rsidRPr="00C903F8">
              <w:rPr>
                <w:rFonts w:cs="Arial"/>
                <w:sz w:val="16"/>
                <w:szCs w:val="16"/>
              </w:rPr>
              <w:t>N/A</w:t>
            </w:r>
          </w:p>
        </w:tc>
      </w:tr>
      <w:tr w:rsidR="009C13A9" w:rsidRPr="00C903F8" w:rsidTr="009C13A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9C13A9" w:rsidRPr="00C903F8" w:rsidRDefault="009C13A9" w:rsidP="009C13A9">
            <w:pPr>
              <w:overflowPunct w:val="0"/>
              <w:adjustRightInd w:val="0"/>
              <w:ind w:left="0" w:right="57" w:firstLine="0"/>
              <w:jc w:val="left"/>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9C13A9" w:rsidRPr="00C903F8" w:rsidRDefault="009C13A9" w:rsidP="009C13A9">
            <w:pPr>
              <w:overflowPunct w:val="0"/>
              <w:adjustRightInd w:val="0"/>
              <w:ind w:left="0" w:right="57" w:firstLine="0"/>
              <w:jc w:val="left"/>
              <w:textAlignment w:val="baseline"/>
              <w:rPr>
                <w:rFonts w:cs="Arial"/>
                <w:sz w:val="18"/>
                <w:szCs w:val="18"/>
              </w:rPr>
            </w:pP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9C13A9" w:rsidRPr="00C903F8" w:rsidRDefault="009C13A9" w:rsidP="009C13A9">
            <w:pPr>
              <w:overflowPunct w:val="0"/>
              <w:adjustRightInd w:val="0"/>
              <w:ind w:left="0" w:right="57" w:firstLine="0"/>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19"/>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Yes</w:t>
            </w:r>
          </w:p>
        </w:tc>
        <w:tc>
          <w:tcPr>
            <w:tcW w:w="1039" w:type="dxa"/>
            <w:gridSpan w:val="4"/>
            <w:tcBorders>
              <w:top w:val="single" w:sz="4" w:space="0" w:color="auto"/>
              <w:left w:val="nil"/>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20"/>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No</w:t>
            </w:r>
          </w:p>
        </w:tc>
        <w:tc>
          <w:tcPr>
            <w:tcW w:w="1041" w:type="dxa"/>
            <w:gridSpan w:val="3"/>
            <w:tcBorders>
              <w:top w:val="single" w:sz="4" w:space="0" w:color="auto"/>
              <w:left w:val="nil"/>
              <w:bottom w:val="single" w:sz="4" w:space="0" w:color="auto"/>
              <w:right w:val="single" w:sz="4" w:space="0" w:color="auto"/>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21"/>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N/A</w:t>
            </w:r>
          </w:p>
        </w:tc>
      </w:tr>
      <w:tr w:rsidR="009C13A9" w:rsidRPr="00C903F8" w:rsidTr="009C13A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9C13A9" w:rsidRPr="00C903F8" w:rsidRDefault="009C13A9" w:rsidP="009C13A9">
            <w:pPr>
              <w:overflowPunct w:val="0"/>
              <w:adjustRightInd w:val="0"/>
              <w:ind w:left="0" w:right="57" w:firstLine="0"/>
              <w:jc w:val="left"/>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9C13A9" w:rsidRPr="00C903F8" w:rsidRDefault="009C13A9" w:rsidP="009C13A9">
            <w:pPr>
              <w:overflowPunct w:val="0"/>
              <w:adjustRightInd w:val="0"/>
              <w:ind w:left="0" w:right="57" w:firstLine="0"/>
              <w:jc w:val="left"/>
              <w:textAlignment w:val="baseline"/>
              <w:rPr>
                <w:rFonts w:cs="Arial"/>
                <w:sz w:val="18"/>
                <w:szCs w:val="18"/>
              </w:rPr>
            </w:pP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9C13A9" w:rsidRPr="00C903F8" w:rsidRDefault="009C13A9" w:rsidP="009C13A9">
            <w:pPr>
              <w:overflowPunct w:val="0"/>
              <w:adjustRightInd w:val="0"/>
              <w:ind w:left="0" w:right="57" w:firstLine="0"/>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19"/>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Yes</w:t>
            </w:r>
          </w:p>
        </w:tc>
        <w:tc>
          <w:tcPr>
            <w:tcW w:w="1039" w:type="dxa"/>
            <w:gridSpan w:val="4"/>
            <w:tcBorders>
              <w:top w:val="single" w:sz="4" w:space="0" w:color="auto"/>
              <w:left w:val="nil"/>
              <w:bottom w:val="single" w:sz="4" w:space="0" w:color="auto"/>
              <w:right w:val="nil"/>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20"/>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No</w:t>
            </w:r>
          </w:p>
        </w:tc>
        <w:tc>
          <w:tcPr>
            <w:tcW w:w="1041" w:type="dxa"/>
            <w:gridSpan w:val="3"/>
            <w:tcBorders>
              <w:top w:val="single" w:sz="4" w:space="0" w:color="auto"/>
              <w:left w:val="nil"/>
              <w:bottom w:val="single" w:sz="4" w:space="0" w:color="auto"/>
              <w:right w:val="single" w:sz="4" w:space="0" w:color="auto"/>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21"/>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N/A</w:t>
            </w:r>
          </w:p>
        </w:tc>
      </w:tr>
      <w:tr w:rsidR="009C13A9" w:rsidRPr="00C903F8" w:rsidTr="009C13A9">
        <w:tblPrEx>
          <w:jc w:val="center"/>
        </w:tblPrEx>
        <w:trPr>
          <w:cantSplit/>
          <w:trHeight w:hRule="exact" w:val="160"/>
          <w:jc w:val="center"/>
        </w:trPr>
        <w:tc>
          <w:tcPr>
            <w:tcW w:w="9215" w:type="dxa"/>
            <w:gridSpan w:val="32"/>
            <w:vAlign w:val="center"/>
          </w:tcPr>
          <w:p w:rsidR="009C13A9" w:rsidRPr="00C903F8" w:rsidRDefault="009C13A9" w:rsidP="009C13A9">
            <w:pPr>
              <w:overflowPunct w:val="0"/>
              <w:adjustRightInd w:val="0"/>
              <w:ind w:left="0" w:right="57" w:firstLine="0"/>
              <w:jc w:val="left"/>
              <w:textAlignment w:val="baseline"/>
              <w:rPr>
                <w:rFonts w:cs="Arial"/>
                <w:sz w:val="18"/>
                <w:szCs w:val="18"/>
              </w:rPr>
            </w:pPr>
          </w:p>
        </w:tc>
      </w:tr>
      <w:tr w:rsidR="009C13A9" w:rsidRPr="00296858" w:rsidTr="009C13A9">
        <w:tblPrEx>
          <w:jc w:val="center"/>
        </w:tblPrEx>
        <w:trPr>
          <w:cantSplit/>
          <w:jc w:val="center"/>
        </w:trPr>
        <w:tc>
          <w:tcPr>
            <w:tcW w:w="9215" w:type="dxa"/>
            <w:gridSpan w:val="32"/>
            <w:vAlign w:val="center"/>
          </w:tcPr>
          <w:p w:rsidR="009C13A9" w:rsidRPr="00C903F8" w:rsidRDefault="009C13A9" w:rsidP="009C13A9">
            <w:pPr>
              <w:overflowPunct w:val="0"/>
              <w:adjustRightInd w:val="0"/>
              <w:ind w:left="286" w:hanging="286"/>
              <w:jc w:val="left"/>
              <w:textAlignment w:val="baseline"/>
              <w:rPr>
                <w:rFonts w:cs="Arial"/>
                <w:b/>
                <w:sz w:val="18"/>
                <w:szCs w:val="18"/>
                <w:lang w:val="en-US"/>
              </w:rPr>
            </w:pPr>
            <w:r w:rsidRPr="00C903F8">
              <w:rPr>
                <w:rFonts w:cs="Arial"/>
                <w:b/>
                <w:sz w:val="18"/>
                <w:szCs w:val="18"/>
                <w:lang w:val="en-US"/>
              </w:rPr>
              <w:t>B)</w:t>
            </w:r>
            <w:r w:rsidRPr="00C903F8">
              <w:rPr>
                <w:rFonts w:cs="Arial"/>
                <w:b/>
                <w:sz w:val="18"/>
                <w:szCs w:val="18"/>
                <w:lang w:val="en-US"/>
              </w:rPr>
              <w:tab/>
              <w:t>Visual inspection of the adjustable features and engine parameters</w:t>
            </w:r>
          </w:p>
        </w:tc>
      </w:tr>
      <w:tr w:rsidR="009C13A9" w:rsidRPr="00C903F8" w:rsidTr="009C13A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9C13A9" w:rsidRPr="00C903F8" w:rsidRDefault="009C13A9" w:rsidP="009C13A9">
            <w:pPr>
              <w:overflowPunct w:val="0"/>
              <w:adjustRightInd w:val="0"/>
              <w:spacing w:before="20" w:after="20"/>
              <w:ind w:left="0" w:right="57" w:firstLine="0"/>
              <w:jc w:val="center"/>
              <w:textAlignment w:val="baseline"/>
              <w:rPr>
                <w:rFonts w:cs="Arial"/>
                <w:sz w:val="16"/>
                <w:szCs w:val="18"/>
                <w:lang w:val="en-US"/>
              </w:rPr>
            </w:pPr>
          </w:p>
        </w:tc>
        <w:tc>
          <w:tcPr>
            <w:tcW w:w="3543" w:type="dxa"/>
            <w:gridSpan w:val="11"/>
            <w:tcBorders>
              <w:top w:val="single" w:sz="4" w:space="0" w:color="auto"/>
              <w:left w:val="nil"/>
              <w:bottom w:val="single" w:sz="4" w:space="0" w:color="auto"/>
              <w:right w:val="single" w:sz="4" w:space="0" w:color="auto"/>
            </w:tcBorders>
            <w:vAlign w:val="center"/>
          </w:tcPr>
          <w:p w:rsidR="009C13A9" w:rsidRPr="00C903F8" w:rsidRDefault="009C13A9" w:rsidP="009C13A9">
            <w:pPr>
              <w:overflowPunct w:val="0"/>
              <w:adjustRightInd w:val="0"/>
              <w:spacing w:before="20" w:after="20"/>
              <w:ind w:left="0" w:right="57" w:firstLine="0"/>
              <w:jc w:val="center"/>
              <w:textAlignment w:val="baseline"/>
              <w:rPr>
                <w:rFonts w:cs="Arial"/>
                <w:bCs/>
                <w:sz w:val="16"/>
                <w:szCs w:val="18"/>
              </w:rPr>
            </w:pPr>
            <w:r w:rsidRPr="00C903F8">
              <w:rPr>
                <w:rFonts w:cs="Arial"/>
                <w:bCs/>
                <w:sz w:val="16"/>
                <w:szCs w:val="18"/>
              </w:rPr>
              <w:t>Parameter</w:t>
            </w:r>
          </w:p>
        </w:tc>
        <w:tc>
          <w:tcPr>
            <w:tcW w:w="3119" w:type="dxa"/>
            <w:gridSpan w:val="11"/>
            <w:tcBorders>
              <w:top w:val="single" w:sz="4" w:space="0" w:color="auto"/>
              <w:left w:val="single" w:sz="4" w:space="0" w:color="auto"/>
              <w:bottom w:val="single" w:sz="4" w:space="0" w:color="auto"/>
              <w:right w:val="single" w:sz="4" w:space="0" w:color="auto"/>
            </w:tcBorders>
            <w:vAlign w:val="center"/>
          </w:tcPr>
          <w:p w:rsidR="009C13A9" w:rsidRPr="00C903F8" w:rsidRDefault="009C13A9" w:rsidP="009C13A9">
            <w:pPr>
              <w:overflowPunct w:val="0"/>
              <w:adjustRightInd w:val="0"/>
              <w:spacing w:before="20" w:after="20"/>
              <w:ind w:left="0" w:right="57" w:firstLine="0"/>
              <w:jc w:val="center"/>
              <w:textAlignment w:val="baseline"/>
              <w:rPr>
                <w:rFonts w:cs="Arial"/>
                <w:bCs/>
                <w:sz w:val="16"/>
                <w:szCs w:val="18"/>
              </w:rPr>
            </w:pPr>
            <w:r w:rsidRPr="00C903F8">
              <w:rPr>
                <w:bCs/>
                <w:noProof/>
                <w:sz w:val="16"/>
                <w:szCs w:val="18"/>
                <w:lang w:eastAsia="de-DE"/>
              </w:rPr>
              <w:t>Value recorded</w:t>
            </w:r>
          </w:p>
        </w:tc>
        <w:tc>
          <w:tcPr>
            <w:tcW w:w="2127" w:type="dxa"/>
            <w:gridSpan w:val="8"/>
            <w:tcBorders>
              <w:top w:val="single" w:sz="4" w:space="0" w:color="auto"/>
              <w:left w:val="single" w:sz="4" w:space="0" w:color="auto"/>
              <w:bottom w:val="single" w:sz="4" w:space="0" w:color="auto"/>
              <w:right w:val="single" w:sz="4" w:space="0" w:color="auto"/>
            </w:tcBorders>
            <w:vAlign w:val="center"/>
          </w:tcPr>
          <w:p w:rsidR="009C13A9" w:rsidRPr="00C903F8" w:rsidRDefault="009C13A9" w:rsidP="009C13A9">
            <w:pPr>
              <w:overflowPunct w:val="0"/>
              <w:adjustRightInd w:val="0"/>
              <w:spacing w:before="20" w:after="20"/>
              <w:ind w:left="0" w:right="57" w:firstLine="0"/>
              <w:jc w:val="center"/>
              <w:textAlignment w:val="baseline"/>
              <w:rPr>
                <w:rFonts w:cs="Arial"/>
                <w:bCs/>
                <w:sz w:val="16"/>
                <w:szCs w:val="18"/>
              </w:rPr>
            </w:pPr>
            <w:r w:rsidRPr="00C903F8">
              <w:rPr>
                <w:rFonts w:cs="Arial"/>
                <w:bCs/>
                <w:sz w:val="16"/>
                <w:szCs w:val="18"/>
              </w:rPr>
              <w:t>Conformity</w:t>
            </w:r>
            <w:r w:rsidRPr="00C903F8">
              <w:rPr>
                <w:rFonts w:cs="Arial"/>
                <w:bCs/>
                <w:sz w:val="16"/>
                <w:szCs w:val="18"/>
                <w:vertAlign w:val="superscript"/>
              </w:rPr>
              <w:t>1</w:t>
            </w:r>
            <w:r w:rsidRPr="00C903F8">
              <w:rPr>
                <w:rFonts w:cs="Arial"/>
                <w:sz w:val="16"/>
                <w:szCs w:val="18"/>
                <w:vertAlign w:val="superscript"/>
              </w:rPr>
              <w:t>)</w:t>
            </w:r>
          </w:p>
        </w:tc>
      </w:tr>
      <w:tr w:rsidR="009C13A9" w:rsidRPr="00C903F8" w:rsidTr="009C13A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9C13A9" w:rsidRPr="00C903F8" w:rsidRDefault="009C13A9" w:rsidP="009C13A9">
            <w:pPr>
              <w:overflowPunct w:val="0"/>
              <w:adjustRightInd w:val="0"/>
              <w:spacing w:before="20" w:after="20"/>
              <w:ind w:left="0" w:right="57" w:firstLine="0"/>
              <w:jc w:val="center"/>
              <w:textAlignment w:val="baseline"/>
              <w:rPr>
                <w:rFonts w:cs="Arial"/>
                <w:sz w:val="16"/>
                <w:szCs w:val="16"/>
              </w:rPr>
            </w:pPr>
          </w:p>
        </w:tc>
        <w:tc>
          <w:tcPr>
            <w:tcW w:w="3543" w:type="dxa"/>
            <w:gridSpan w:val="11"/>
            <w:tcBorders>
              <w:top w:val="single" w:sz="4" w:space="0" w:color="auto"/>
              <w:left w:val="nil"/>
              <w:bottom w:val="single" w:sz="4" w:space="0" w:color="auto"/>
              <w:right w:val="single" w:sz="4" w:space="0" w:color="auto"/>
            </w:tcBorders>
            <w:vAlign w:val="center"/>
          </w:tcPr>
          <w:p w:rsidR="009C13A9" w:rsidRPr="00C903F8" w:rsidRDefault="009C13A9" w:rsidP="009C13A9">
            <w:pPr>
              <w:overflowPunct w:val="0"/>
              <w:adjustRightInd w:val="0"/>
              <w:spacing w:before="20" w:after="20"/>
              <w:ind w:left="0" w:right="57" w:firstLine="0"/>
              <w:jc w:val="center"/>
              <w:textAlignment w:val="baseline"/>
              <w:rPr>
                <w:rFonts w:cs="Arial"/>
                <w:sz w:val="16"/>
                <w:szCs w:val="16"/>
              </w:rPr>
            </w:pPr>
            <w:r w:rsidRPr="00C903F8">
              <w:rPr>
                <w:rFonts w:cs="Arial"/>
                <w:sz w:val="16"/>
                <w:szCs w:val="16"/>
              </w:rPr>
              <w:t>Injection timing, injection period</w:t>
            </w:r>
          </w:p>
        </w:tc>
        <w:tc>
          <w:tcPr>
            <w:tcW w:w="3119" w:type="dxa"/>
            <w:gridSpan w:val="11"/>
            <w:tcBorders>
              <w:top w:val="single" w:sz="4" w:space="0" w:color="auto"/>
              <w:left w:val="single" w:sz="4" w:space="0" w:color="auto"/>
              <w:bottom w:val="single" w:sz="4" w:space="0" w:color="auto"/>
              <w:right w:val="single" w:sz="4" w:space="0" w:color="auto"/>
            </w:tcBorders>
            <w:vAlign w:val="center"/>
          </w:tcPr>
          <w:p w:rsidR="009C13A9" w:rsidRPr="00C903F8" w:rsidRDefault="009C13A9" w:rsidP="009C13A9">
            <w:pPr>
              <w:overflowPunct w:val="0"/>
              <w:adjustRightInd w:val="0"/>
              <w:spacing w:before="20" w:after="20"/>
              <w:ind w:left="0" w:right="57" w:firstLine="0"/>
              <w:jc w:val="center"/>
              <w:textAlignment w:val="baseline"/>
              <w:rPr>
                <w:rFonts w:cs="Arial"/>
                <w:sz w:val="16"/>
                <w:szCs w:val="16"/>
              </w:rPr>
            </w:pPr>
          </w:p>
        </w:tc>
        <w:tc>
          <w:tcPr>
            <w:tcW w:w="1063" w:type="dxa"/>
            <w:gridSpan w:val="4"/>
            <w:tcBorders>
              <w:top w:val="single" w:sz="4" w:space="0" w:color="auto"/>
              <w:left w:val="single" w:sz="4" w:space="0" w:color="auto"/>
              <w:bottom w:val="single" w:sz="4" w:space="0" w:color="auto"/>
              <w:right w:val="single" w:sz="4" w:space="0" w:color="auto"/>
            </w:tcBorders>
            <w:vAlign w:val="center"/>
          </w:tcPr>
          <w:p w:rsidR="009C13A9" w:rsidRPr="00C903F8" w:rsidRDefault="00475311" w:rsidP="009C13A9">
            <w:pPr>
              <w:overflowPunct w:val="0"/>
              <w:adjustRightInd w:val="0"/>
              <w:spacing w:before="20" w:after="20"/>
              <w:ind w:left="0" w:right="57" w:firstLine="0"/>
              <w:jc w:val="center"/>
              <w:textAlignment w:val="baseline"/>
              <w:rPr>
                <w:rFonts w:cs="Arial"/>
                <w:sz w:val="16"/>
                <w:szCs w:val="16"/>
              </w:rPr>
            </w:pPr>
            <w:r w:rsidRPr="00C903F8">
              <w:rPr>
                <w:rFonts w:cs="Arial"/>
                <w:sz w:val="16"/>
                <w:szCs w:val="16"/>
              </w:rPr>
              <w:fldChar w:fldCharType="begin">
                <w:ffData>
                  <w:name w:val=""/>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Yes</w:t>
            </w:r>
          </w:p>
        </w:tc>
        <w:tc>
          <w:tcPr>
            <w:tcW w:w="1064" w:type="dxa"/>
            <w:gridSpan w:val="4"/>
            <w:tcBorders>
              <w:top w:val="single" w:sz="4" w:space="0" w:color="auto"/>
              <w:left w:val="single" w:sz="4" w:space="0" w:color="auto"/>
              <w:bottom w:val="single" w:sz="4" w:space="0" w:color="auto"/>
              <w:right w:val="single" w:sz="4" w:space="0" w:color="auto"/>
            </w:tcBorders>
            <w:vAlign w:val="center"/>
          </w:tcPr>
          <w:p w:rsidR="009C13A9" w:rsidRPr="00C903F8" w:rsidRDefault="00475311" w:rsidP="009C13A9">
            <w:pPr>
              <w:overflowPunct w:val="0"/>
              <w:adjustRightInd w:val="0"/>
              <w:spacing w:before="20" w:after="20"/>
              <w:ind w:left="0" w:right="57" w:firstLine="0"/>
              <w:jc w:val="center"/>
              <w:textAlignment w:val="baseline"/>
              <w:rPr>
                <w:rFonts w:cs="Arial"/>
                <w:sz w:val="16"/>
                <w:szCs w:val="16"/>
              </w:rPr>
            </w:pPr>
            <w:r w:rsidRPr="00C903F8">
              <w:rPr>
                <w:rFonts w:cs="Arial"/>
                <w:sz w:val="16"/>
                <w:szCs w:val="16"/>
              </w:rPr>
              <w:fldChar w:fldCharType="begin">
                <w:ffData>
                  <w:name w:val="Kontrollkästchen20"/>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r w:rsidR="009C13A9" w:rsidRPr="00C903F8">
              <w:rPr>
                <w:rFonts w:cs="Arial"/>
                <w:sz w:val="16"/>
                <w:szCs w:val="16"/>
              </w:rPr>
              <w:t xml:space="preserve"> </w:t>
            </w:r>
            <w:r w:rsidR="009C13A9" w:rsidRPr="00C903F8">
              <w:rPr>
                <w:rFonts w:cs="Arial"/>
                <w:noProof/>
                <w:sz w:val="16"/>
                <w:szCs w:val="16"/>
              </w:rPr>
              <w:t>No</w:t>
            </w:r>
          </w:p>
        </w:tc>
      </w:tr>
      <w:tr w:rsidR="009C13A9" w:rsidRPr="00C903F8" w:rsidTr="009C13A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60"/>
          <w:jc w:val="center"/>
        </w:trPr>
        <w:tc>
          <w:tcPr>
            <w:tcW w:w="9215" w:type="dxa"/>
            <w:gridSpan w:val="32"/>
            <w:tcBorders>
              <w:top w:val="nil"/>
              <w:left w:val="nil"/>
              <w:bottom w:val="nil"/>
              <w:right w:val="nil"/>
            </w:tcBorders>
            <w:vAlign w:val="center"/>
          </w:tcPr>
          <w:p w:rsidR="009C13A9" w:rsidRPr="00C903F8" w:rsidRDefault="009C13A9" w:rsidP="009C13A9">
            <w:pPr>
              <w:overflowPunct w:val="0"/>
              <w:adjustRightInd w:val="0"/>
              <w:ind w:left="0" w:right="57" w:firstLine="0"/>
              <w:jc w:val="left"/>
              <w:textAlignment w:val="baseline"/>
              <w:rPr>
                <w:rFonts w:cs="Arial"/>
                <w:sz w:val="18"/>
                <w:szCs w:val="18"/>
              </w:rPr>
            </w:pPr>
          </w:p>
        </w:tc>
      </w:tr>
      <w:tr w:rsidR="009C13A9" w:rsidRPr="00296858" w:rsidTr="009C13A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215" w:type="dxa"/>
            <w:gridSpan w:val="32"/>
            <w:tcBorders>
              <w:top w:val="nil"/>
              <w:left w:val="nil"/>
              <w:bottom w:val="nil"/>
              <w:right w:val="nil"/>
            </w:tcBorders>
            <w:vAlign w:val="center"/>
          </w:tcPr>
          <w:p w:rsidR="009C13A9" w:rsidRPr="00C903F8" w:rsidRDefault="009C13A9" w:rsidP="009C13A9">
            <w:pPr>
              <w:autoSpaceDE/>
              <w:autoSpaceDN/>
              <w:spacing w:before="40" w:after="40"/>
              <w:ind w:left="286" w:right="57" w:hanging="286"/>
              <w:jc w:val="left"/>
              <w:outlineLvl w:val="4"/>
              <w:rPr>
                <w:rFonts w:cs="Arial"/>
                <w:b/>
                <w:bCs/>
                <w:snapToGrid w:val="0"/>
                <w:sz w:val="18"/>
                <w:szCs w:val="18"/>
                <w:lang w:val="en-US"/>
              </w:rPr>
            </w:pPr>
            <w:r w:rsidRPr="00C903F8">
              <w:rPr>
                <w:rFonts w:cs="Arial"/>
                <w:b/>
                <w:bCs/>
                <w:snapToGrid w:val="0"/>
                <w:sz w:val="18"/>
                <w:szCs w:val="18"/>
                <w:lang w:val="en-US"/>
              </w:rPr>
              <w:t>C)</w:t>
            </w:r>
            <w:r w:rsidRPr="00C903F8">
              <w:rPr>
                <w:rFonts w:cs="Arial"/>
                <w:b/>
                <w:bCs/>
                <w:snapToGrid w:val="0"/>
                <w:sz w:val="18"/>
                <w:szCs w:val="18"/>
                <w:lang w:val="en-US"/>
              </w:rPr>
              <w:tab/>
              <w:t>Inspection of the air intake and the exhaust system</w:t>
            </w:r>
          </w:p>
        </w:tc>
      </w:tr>
      <w:tr w:rsidR="009C13A9" w:rsidRPr="00296858" w:rsidTr="009C13A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9C13A9" w:rsidRPr="00C903F8" w:rsidRDefault="009C13A9" w:rsidP="009C13A9">
            <w:pPr>
              <w:overflowPunct w:val="0"/>
              <w:adjustRightInd w:val="0"/>
              <w:ind w:left="0" w:right="57" w:firstLine="0"/>
              <w:jc w:val="center"/>
              <w:textAlignment w:val="baseline"/>
              <w:rPr>
                <w:rFonts w:cs="Arial"/>
                <w:sz w:val="18"/>
                <w:szCs w:val="18"/>
                <w:lang w:val="en-US"/>
              </w:rPr>
            </w:pPr>
          </w:p>
        </w:tc>
        <w:tc>
          <w:tcPr>
            <w:tcW w:w="567" w:type="dxa"/>
            <w:tcBorders>
              <w:top w:val="single" w:sz="4" w:space="0" w:color="auto"/>
              <w:left w:val="nil"/>
              <w:bottom w:val="single" w:sz="4" w:space="0" w:color="auto"/>
              <w:right w:val="single" w:sz="4" w:space="0" w:color="auto"/>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25"/>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p>
        </w:tc>
        <w:tc>
          <w:tcPr>
            <w:tcW w:w="8222" w:type="dxa"/>
            <w:gridSpan w:val="29"/>
            <w:tcBorders>
              <w:top w:val="single" w:sz="4" w:space="0" w:color="auto"/>
              <w:left w:val="single" w:sz="4" w:space="0" w:color="auto"/>
              <w:bottom w:val="single" w:sz="4" w:space="0" w:color="auto"/>
              <w:right w:val="single" w:sz="4" w:space="0" w:color="auto"/>
            </w:tcBorders>
            <w:vAlign w:val="center"/>
          </w:tcPr>
          <w:p w:rsidR="009C13A9" w:rsidRPr="00C903F8" w:rsidRDefault="009C13A9" w:rsidP="009C13A9">
            <w:pPr>
              <w:overflowPunct w:val="0"/>
              <w:adjustRightInd w:val="0"/>
              <w:ind w:left="0" w:right="113" w:firstLine="0"/>
              <w:jc w:val="left"/>
              <w:textAlignment w:val="baseline"/>
              <w:rPr>
                <w:rFonts w:cs="Arial"/>
                <w:sz w:val="16"/>
                <w:szCs w:val="16"/>
                <w:lang w:val="en-US"/>
              </w:rPr>
            </w:pPr>
            <w:r w:rsidRPr="00C903F8">
              <w:rPr>
                <w:rFonts w:cs="Arial"/>
                <w:sz w:val="16"/>
                <w:szCs w:val="16"/>
                <w:lang w:val="en-US"/>
              </w:rPr>
              <w:t>Measurements have been taken in order to verify compliance with the authorised values</w:t>
            </w:r>
          </w:p>
          <w:p w:rsidR="009C13A9" w:rsidRPr="00C903F8" w:rsidRDefault="009C13A9" w:rsidP="009C13A9">
            <w:pPr>
              <w:overflowPunct w:val="0"/>
              <w:adjustRightInd w:val="0"/>
              <w:ind w:left="0" w:right="113" w:firstLine="0"/>
              <w:jc w:val="left"/>
              <w:textAlignment w:val="baseline"/>
              <w:rPr>
                <w:rFonts w:cs="Arial"/>
                <w:sz w:val="16"/>
                <w:szCs w:val="16"/>
                <w:lang w:val="en-US"/>
              </w:rPr>
            </w:pPr>
            <w:r w:rsidRPr="00C903F8">
              <w:rPr>
                <w:rFonts w:cs="Arial"/>
                <w:sz w:val="16"/>
                <w:szCs w:val="16"/>
                <w:lang w:val="en-US"/>
              </w:rPr>
              <w:t>Intake under pressure:</w:t>
            </w:r>
            <w:r w:rsidRPr="00C903F8">
              <w:rPr>
                <w:rFonts w:cs="Arial"/>
                <w:sz w:val="16"/>
                <w:szCs w:val="16"/>
                <w:lang w:val="en-US"/>
              </w:rPr>
              <w:tab/>
              <w:t>……….. kPa at rated speed and full load</w:t>
            </w:r>
          </w:p>
          <w:p w:rsidR="009C13A9" w:rsidRPr="00C903F8" w:rsidRDefault="009C13A9" w:rsidP="009C13A9">
            <w:pPr>
              <w:autoSpaceDE/>
              <w:autoSpaceDN/>
              <w:ind w:left="0" w:right="57" w:firstLine="0"/>
              <w:jc w:val="left"/>
              <w:rPr>
                <w:rFonts w:cs="Arial"/>
                <w:snapToGrid w:val="0"/>
                <w:sz w:val="16"/>
                <w:szCs w:val="16"/>
                <w:lang w:val="en-US"/>
              </w:rPr>
            </w:pPr>
            <w:r w:rsidRPr="00C903F8">
              <w:rPr>
                <w:rFonts w:cs="Arial"/>
                <w:snapToGrid w:val="0"/>
                <w:sz w:val="16"/>
                <w:szCs w:val="16"/>
                <w:lang w:val="en-US"/>
              </w:rPr>
              <w:t>Exhaust gas back pressure:</w:t>
            </w:r>
            <w:r w:rsidRPr="00C903F8">
              <w:rPr>
                <w:rFonts w:cs="Arial"/>
                <w:snapToGrid w:val="0"/>
                <w:sz w:val="16"/>
                <w:szCs w:val="16"/>
                <w:lang w:val="en-US"/>
              </w:rPr>
              <w:tab/>
              <w:t xml:space="preserve"> ……….. kPa at rated speed and full load</w:t>
            </w:r>
          </w:p>
        </w:tc>
      </w:tr>
      <w:tr w:rsidR="009C13A9" w:rsidRPr="00296858" w:rsidTr="009C13A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9C13A9" w:rsidRPr="00C903F8" w:rsidRDefault="009C13A9" w:rsidP="009C13A9">
            <w:pPr>
              <w:overflowPunct w:val="0"/>
              <w:adjustRightInd w:val="0"/>
              <w:ind w:left="0" w:right="57" w:firstLine="0"/>
              <w:jc w:val="center"/>
              <w:textAlignment w:val="baseline"/>
              <w:rPr>
                <w:rFonts w:cs="Arial"/>
                <w:sz w:val="16"/>
                <w:szCs w:val="16"/>
                <w:lang w:val="en-US"/>
              </w:rPr>
            </w:pPr>
          </w:p>
        </w:tc>
        <w:tc>
          <w:tcPr>
            <w:tcW w:w="567" w:type="dxa"/>
            <w:tcBorders>
              <w:top w:val="single" w:sz="4" w:space="0" w:color="auto"/>
              <w:left w:val="nil"/>
              <w:bottom w:val="single" w:sz="4" w:space="0" w:color="auto"/>
              <w:right w:val="single" w:sz="4" w:space="0" w:color="auto"/>
            </w:tcBorders>
            <w:vAlign w:val="center"/>
          </w:tcPr>
          <w:p w:rsidR="009C13A9" w:rsidRPr="00C903F8" w:rsidRDefault="00475311" w:rsidP="009C13A9">
            <w:pPr>
              <w:overflowPunct w:val="0"/>
              <w:adjustRightInd w:val="0"/>
              <w:ind w:left="0" w:right="57" w:firstLine="0"/>
              <w:jc w:val="center"/>
              <w:textAlignment w:val="baseline"/>
              <w:rPr>
                <w:rFonts w:cs="Arial"/>
                <w:sz w:val="16"/>
                <w:szCs w:val="16"/>
              </w:rPr>
            </w:pPr>
            <w:r w:rsidRPr="00C903F8">
              <w:rPr>
                <w:rFonts w:cs="Arial"/>
                <w:sz w:val="16"/>
                <w:szCs w:val="16"/>
              </w:rPr>
              <w:fldChar w:fldCharType="begin">
                <w:ffData>
                  <w:name w:val="Kontrollkästchen25"/>
                  <w:enabled/>
                  <w:calcOnExit w:val="0"/>
                  <w:checkBox>
                    <w:sizeAuto/>
                    <w:default w:val="0"/>
                  </w:checkBox>
                </w:ffData>
              </w:fldChar>
            </w:r>
            <w:r w:rsidR="009C13A9" w:rsidRPr="00C903F8">
              <w:rPr>
                <w:rFonts w:cs="Arial"/>
                <w:sz w:val="16"/>
                <w:szCs w:val="16"/>
              </w:rPr>
              <w:instrText xml:space="preserve"> FORMCHECKBOX _</w:instrText>
            </w:r>
            <w:r w:rsidR="00F12BAF">
              <w:rPr>
                <w:rFonts w:cs="Arial"/>
                <w:sz w:val="16"/>
                <w:szCs w:val="16"/>
              </w:rPr>
            </w:r>
            <w:r w:rsidR="00F12BAF">
              <w:rPr>
                <w:rFonts w:cs="Arial"/>
                <w:sz w:val="16"/>
                <w:szCs w:val="16"/>
              </w:rPr>
              <w:fldChar w:fldCharType="separate"/>
            </w:r>
            <w:r w:rsidRPr="00C903F8">
              <w:rPr>
                <w:rFonts w:cs="Arial"/>
                <w:sz w:val="16"/>
                <w:szCs w:val="16"/>
              </w:rPr>
              <w:fldChar w:fldCharType="end"/>
            </w:r>
          </w:p>
        </w:tc>
        <w:tc>
          <w:tcPr>
            <w:tcW w:w="8222" w:type="dxa"/>
            <w:gridSpan w:val="29"/>
            <w:tcBorders>
              <w:top w:val="single" w:sz="4" w:space="0" w:color="auto"/>
              <w:left w:val="single" w:sz="4" w:space="0" w:color="auto"/>
              <w:bottom w:val="single" w:sz="4" w:space="0" w:color="auto"/>
              <w:right w:val="single" w:sz="4" w:space="0" w:color="auto"/>
            </w:tcBorders>
            <w:vAlign w:val="center"/>
          </w:tcPr>
          <w:p w:rsidR="009C13A9" w:rsidRPr="00C903F8" w:rsidRDefault="009C13A9" w:rsidP="009C13A9">
            <w:pPr>
              <w:autoSpaceDE/>
              <w:autoSpaceDN/>
              <w:ind w:left="0" w:right="57" w:firstLine="0"/>
              <w:rPr>
                <w:rFonts w:cs="Arial"/>
                <w:snapToGrid w:val="0"/>
                <w:sz w:val="16"/>
                <w:szCs w:val="16"/>
                <w:lang w:val="en-US"/>
              </w:rPr>
            </w:pPr>
            <w:bookmarkStart w:id="359" w:name="Kontrollkästchen25"/>
            <w:r w:rsidRPr="00C903F8">
              <w:rPr>
                <w:rFonts w:cs="Arial"/>
                <w:snapToGrid w:val="0"/>
                <w:sz w:val="16"/>
                <w:szCs w:val="16"/>
                <w:lang w:val="en-US"/>
              </w:rPr>
              <w:t>A visual inspection of the air intake and exhaust gas system has been carried out. No abnormalities were detected that would suggest non-compliance with the authorised values.</w:t>
            </w:r>
            <w:bookmarkEnd w:id="359"/>
          </w:p>
        </w:tc>
      </w:tr>
      <w:tr w:rsidR="009C13A9" w:rsidRPr="00296858" w:rsidTr="009C13A9">
        <w:tblPrEx>
          <w:jc w:val="center"/>
        </w:tblPrEx>
        <w:trPr>
          <w:cantSplit/>
          <w:trHeight w:hRule="exact" w:val="57"/>
          <w:jc w:val="center"/>
        </w:trPr>
        <w:tc>
          <w:tcPr>
            <w:tcW w:w="9215" w:type="dxa"/>
            <w:gridSpan w:val="32"/>
            <w:vAlign w:val="center"/>
          </w:tcPr>
          <w:p w:rsidR="009C13A9" w:rsidRPr="00C903F8" w:rsidRDefault="009C13A9" w:rsidP="009C13A9">
            <w:pPr>
              <w:overflowPunct w:val="0"/>
              <w:adjustRightInd w:val="0"/>
              <w:ind w:left="0" w:right="57" w:firstLine="0"/>
              <w:jc w:val="left"/>
              <w:textAlignment w:val="baseline"/>
              <w:rPr>
                <w:rFonts w:cs="Arial"/>
                <w:b/>
                <w:bCs/>
                <w:sz w:val="16"/>
                <w:szCs w:val="16"/>
                <w:lang w:val="en-US"/>
              </w:rPr>
            </w:pPr>
          </w:p>
        </w:tc>
      </w:tr>
      <w:tr w:rsidR="009C13A9" w:rsidRPr="00C903F8" w:rsidTr="009C13A9">
        <w:tblPrEx>
          <w:jc w:val="center"/>
        </w:tblPrEx>
        <w:trPr>
          <w:cantSplit/>
          <w:jc w:val="center"/>
        </w:trPr>
        <w:tc>
          <w:tcPr>
            <w:tcW w:w="1985" w:type="dxa"/>
            <w:gridSpan w:val="6"/>
            <w:vAlign w:val="center"/>
          </w:tcPr>
          <w:p w:rsidR="009C13A9" w:rsidRPr="00C903F8" w:rsidRDefault="009C13A9" w:rsidP="009635C7">
            <w:pPr>
              <w:overflowPunct w:val="0"/>
              <w:adjustRightInd w:val="0"/>
              <w:ind w:left="286" w:right="57" w:hanging="286"/>
              <w:jc w:val="left"/>
              <w:textAlignment w:val="baseline"/>
              <w:rPr>
                <w:rFonts w:cs="Arial"/>
                <w:sz w:val="18"/>
                <w:szCs w:val="18"/>
              </w:rPr>
            </w:pPr>
            <w:bookmarkStart w:id="360" w:name="Text28"/>
            <w:r w:rsidRPr="00C903F8">
              <w:rPr>
                <w:rFonts w:cs="Arial"/>
                <w:b/>
                <w:bCs/>
                <w:sz w:val="18"/>
                <w:szCs w:val="18"/>
              </w:rPr>
              <w:t>D)</w:t>
            </w:r>
            <w:r w:rsidRPr="00C903F8">
              <w:rPr>
                <w:rFonts w:cs="Arial"/>
                <w:b/>
                <w:bCs/>
                <w:sz w:val="18"/>
                <w:szCs w:val="18"/>
              </w:rPr>
              <w:tab/>
              <w:t>Comments:</w:t>
            </w:r>
            <w:bookmarkEnd w:id="360"/>
          </w:p>
        </w:tc>
        <w:tc>
          <w:tcPr>
            <w:tcW w:w="7230" w:type="dxa"/>
            <w:gridSpan w:val="26"/>
            <w:tcBorders>
              <w:bottom w:val="dashed" w:sz="4" w:space="0" w:color="auto"/>
            </w:tcBorders>
            <w:vAlign w:val="center"/>
          </w:tcPr>
          <w:p w:rsidR="009C13A9" w:rsidRPr="00C903F8" w:rsidRDefault="009C13A9" w:rsidP="009C13A9">
            <w:pPr>
              <w:overflowPunct w:val="0"/>
              <w:adjustRightInd w:val="0"/>
              <w:ind w:left="0" w:right="57" w:firstLine="0"/>
              <w:jc w:val="left"/>
              <w:textAlignment w:val="baseline"/>
              <w:rPr>
                <w:rFonts w:cs="Arial"/>
                <w:sz w:val="18"/>
                <w:szCs w:val="18"/>
              </w:rPr>
            </w:pPr>
          </w:p>
        </w:tc>
      </w:tr>
      <w:tr w:rsidR="009C13A9" w:rsidRPr="00296858" w:rsidTr="009C13A9">
        <w:tblPrEx>
          <w:jc w:val="center"/>
        </w:tblPrEx>
        <w:trPr>
          <w:cantSplit/>
          <w:jc w:val="center"/>
        </w:trPr>
        <w:tc>
          <w:tcPr>
            <w:tcW w:w="1985" w:type="dxa"/>
            <w:gridSpan w:val="6"/>
            <w:vAlign w:val="center"/>
          </w:tcPr>
          <w:p w:rsidR="009C13A9" w:rsidRPr="00C903F8" w:rsidRDefault="009C13A9" w:rsidP="009C13A9">
            <w:pPr>
              <w:overflowPunct w:val="0"/>
              <w:adjustRightInd w:val="0"/>
              <w:ind w:left="0" w:right="57" w:firstLine="0"/>
              <w:jc w:val="left"/>
              <w:textAlignment w:val="baseline"/>
              <w:rPr>
                <w:rFonts w:cs="Arial"/>
                <w:b/>
                <w:bCs/>
                <w:szCs w:val="20"/>
              </w:rPr>
            </w:pPr>
          </w:p>
        </w:tc>
        <w:tc>
          <w:tcPr>
            <w:tcW w:w="7230" w:type="dxa"/>
            <w:gridSpan w:val="26"/>
            <w:tcBorders>
              <w:top w:val="dashed" w:sz="4" w:space="0" w:color="auto"/>
              <w:bottom w:val="nil"/>
            </w:tcBorders>
            <w:vAlign w:val="center"/>
          </w:tcPr>
          <w:p w:rsidR="009C13A9" w:rsidRPr="00C903F8" w:rsidRDefault="009C13A9" w:rsidP="009C13A9">
            <w:pPr>
              <w:overflowPunct w:val="0"/>
              <w:adjustRightInd w:val="0"/>
              <w:ind w:left="0" w:right="57" w:firstLine="0"/>
              <w:jc w:val="left"/>
              <w:textAlignment w:val="baseline"/>
              <w:rPr>
                <w:rFonts w:cs="Arial"/>
                <w:sz w:val="12"/>
                <w:szCs w:val="12"/>
                <w:lang w:val="en-US"/>
              </w:rPr>
            </w:pPr>
            <w:r w:rsidRPr="00C903F8">
              <w:rPr>
                <w:rFonts w:cs="Arial"/>
                <w:noProof/>
                <w:sz w:val="12"/>
                <w:szCs w:val="12"/>
                <w:lang w:val="en-US"/>
              </w:rPr>
              <w:t>(</w:t>
            </w:r>
            <w:r w:rsidRPr="00C903F8">
              <w:rPr>
                <w:rFonts w:cs="Arial"/>
                <w:sz w:val="12"/>
                <w:szCs w:val="12"/>
                <w:lang w:val="en-US"/>
              </w:rPr>
              <w:t>The following divergent settings, modifications or changes to the installed engine were noted.</w:t>
            </w:r>
            <w:r w:rsidRPr="00C903F8">
              <w:rPr>
                <w:rFonts w:cs="Arial"/>
                <w:noProof/>
                <w:sz w:val="12"/>
                <w:szCs w:val="12"/>
                <w:lang w:val="en-US"/>
              </w:rPr>
              <w:t>)</w:t>
            </w:r>
          </w:p>
        </w:tc>
      </w:tr>
      <w:tr w:rsidR="009C13A9" w:rsidRPr="00296858" w:rsidTr="009C13A9">
        <w:tblPrEx>
          <w:jc w:val="center"/>
        </w:tblPrEx>
        <w:trPr>
          <w:cantSplit/>
          <w:jc w:val="center"/>
        </w:trPr>
        <w:tc>
          <w:tcPr>
            <w:tcW w:w="1985" w:type="dxa"/>
            <w:gridSpan w:val="6"/>
            <w:vAlign w:val="center"/>
          </w:tcPr>
          <w:p w:rsidR="009C13A9" w:rsidRPr="00C903F8" w:rsidRDefault="009C13A9" w:rsidP="009C13A9">
            <w:pPr>
              <w:overflowPunct w:val="0"/>
              <w:adjustRightInd w:val="0"/>
              <w:ind w:left="0" w:right="57" w:firstLine="0"/>
              <w:jc w:val="left"/>
              <w:textAlignment w:val="baseline"/>
              <w:rPr>
                <w:rFonts w:cs="Arial"/>
                <w:sz w:val="18"/>
                <w:szCs w:val="18"/>
                <w:lang w:val="en-US"/>
              </w:rPr>
            </w:pPr>
          </w:p>
        </w:tc>
        <w:tc>
          <w:tcPr>
            <w:tcW w:w="7230" w:type="dxa"/>
            <w:gridSpan w:val="26"/>
            <w:tcBorders>
              <w:bottom w:val="dashed" w:sz="4" w:space="0" w:color="auto"/>
            </w:tcBorders>
            <w:vAlign w:val="center"/>
          </w:tcPr>
          <w:p w:rsidR="009C13A9" w:rsidRPr="00C903F8" w:rsidRDefault="009C13A9" w:rsidP="009C13A9">
            <w:pPr>
              <w:overflowPunct w:val="0"/>
              <w:adjustRightInd w:val="0"/>
              <w:ind w:left="0" w:right="57" w:firstLine="0"/>
              <w:jc w:val="left"/>
              <w:textAlignment w:val="baseline"/>
              <w:rPr>
                <w:rFonts w:cs="Arial"/>
                <w:sz w:val="18"/>
                <w:szCs w:val="18"/>
                <w:lang w:val="en-US"/>
              </w:rPr>
            </w:pPr>
          </w:p>
        </w:tc>
      </w:tr>
      <w:tr w:rsidR="009C13A9" w:rsidRPr="00296858" w:rsidTr="009C13A9">
        <w:tblPrEx>
          <w:jc w:val="center"/>
        </w:tblPrEx>
        <w:trPr>
          <w:cantSplit/>
          <w:jc w:val="center"/>
        </w:trPr>
        <w:tc>
          <w:tcPr>
            <w:tcW w:w="1985" w:type="dxa"/>
            <w:gridSpan w:val="6"/>
            <w:vAlign w:val="center"/>
          </w:tcPr>
          <w:p w:rsidR="009C13A9" w:rsidRPr="00C903F8" w:rsidRDefault="009C13A9" w:rsidP="009C13A9">
            <w:pPr>
              <w:overflowPunct w:val="0"/>
              <w:adjustRightInd w:val="0"/>
              <w:ind w:left="0" w:right="57" w:firstLine="0"/>
              <w:jc w:val="left"/>
              <w:textAlignment w:val="baseline"/>
              <w:rPr>
                <w:rFonts w:cs="Arial"/>
                <w:sz w:val="18"/>
                <w:szCs w:val="18"/>
                <w:lang w:val="en-US"/>
              </w:rPr>
            </w:pPr>
          </w:p>
        </w:tc>
        <w:tc>
          <w:tcPr>
            <w:tcW w:w="7230" w:type="dxa"/>
            <w:gridSpan w:val="26"/>
            <w:tcBorders>
              <w:top w:val="dashed" w:sz="4" w:space="0" w:color="auto"/>
              <w:bottom w:val="dashed" w:sz="4" w:space="0" w:color="auto"/>
            </w:tcBorders>
            <w:vAlign w:val="center"/>
          </w:tcPr>
          <w:p w:rsidR="009C13A9" w:rsidRPr="00C903F8" w:rsidRDefault="009C13A9" w:rsidP="009C13A9">
            <w:pPr>
              <w:overflowPunct w:val="0"/>
              <w:adjustRightInd w:val="0"/>
              <w:ind w:left="0" w:right="57" w:firstLine="0"/>
              <w:jc w:val="left"/>
              <w:textAlignment w:val="baseline"/>
              <w:rPr>
                <w:rFonts w:cs="Arial"/>
                <w:sz w:val="18"/>
                <w:szCs w:val="18"/>
                <w:lang w:val="en-US"/>
              </w:rPr>
            </w:pPr>
          </w:p>
        </w:tc>
      </w:tr>
      <w:tr w:rsidR="009C13A9" w:rsidRPr="00296858" w:rsidTr="009C13A9">
        <w:tblPrEx>
          <w:jc w:val="center"/>
        </w:tblPrEx>
        <w:trPr>
          <w:cantSplit/>
          <w:jc w:val="center"/>
        </w:trPr>
        <w:tc>
          <w:tcPr>
            <w:tcW w:w="1985" w:type="dxa"/>
            <w:gridSpan w:val="6"/>
            <w:vAlign w:val="center"/>
          </w:tcPr>
          <w:p w:rsidR="009C13A9" w:rsidRPr="00C903F8" w:rsidRDefault="009C13A9" w:rsidP="009C13A9">
            <w:pPr>
              <w:overflowPunct w:val="0"/>
              <w:adjustRightInd w:val="0"/>
              <w:ind w:left="0" w:right="57" w:firstLine="0"/>
              <w:jc w:val="left"/>
              <w:textAlignment w:val="baseline"/>
              <w:rPr>
                <w:rFonts w:cs="Arial"/>
                <w:sz w:val="18"/>
                <w:szCs w:val="18"/>
                <w:lang w:val="en-US"/>
              </w:rPr>
            </w:pPr>
          </w:p>
        </w:tc>
        <w:tc>
          <w:tcPr>
            <w:tcW w:w="7230" w:type="dxa"/>
            <w:gridSpan w:val="26"/>
            <w:tcBorders>
              <w:top w:val="dashed" w:sz="4" w:space="0" w:color="auto"/>
              <w:bottom w:val="dashed" w:sz="4" w:space="0" w:color="auto"/>
            </w:tcBorders>
            <w:vAlign w:val="center"/>
          </w:tcPr>
          <w:p w:rsidR="009C13A9" w:rsidRPr="00C903F8" w:rsidRDefault="009C13A9" w:rsidP="009C13A9">
            <w:pPr>
              <w:overflowPunct w:val="0"/>
              <w:adjustRightInd w:val="0"/>
              <w:ind w:left="0" w:right="57" w:firstLine="0"/>
              <w:jc w:val="left"/>
              <w:textAlignment w:val="baseline"/>
              <w:rPr>
                <w:rFonts w:cs="Arial"/>
                <w:sz w:val="18"/>
                <w:szCs w:val="18"/>
                <w:lang w:val="en-US"/>
              </w:rPr>
            </w:pPr>
          </w:p>
        </w:tc>
      </w:tr>
      <w:tr w:rsidR="009C13A9" w:rsidRPr="00296858" w:rsidTr="009C13A9">
        <w:tblPrEx>
          <w:jc w:val="center"/>
        </w:tblPrEx>
        <w:trPr>
          <w:cantSplit/>
          <w:trHeight w:hRule="exact" w:val="160"/>
          <w:jc w:val="center"/>
        </w:trPr>
        <w:tc>
          <w:tcPr>
            <w:tcW w:w="9215" w:type="dxa"/>
            <w:gridSpan w:val="32"/>
            <w:vAlign w:val="center"/>
          </w:tcPr>
          <w:p w:rsidR="009C13A9" w:rsidRPr="00C903F8" w:rsidRDefault="009C13A9" w:rsidP="009C13A9">
            <w:pPr>
              <w:overflowPunct w:val="0"/>
              <w:adjustRightInd w:val="0"/>
              <w:ind w:left="0" w:right="57" w:firstLine="0"/>
              <w:jc w:val="left"/>
              <w:textAlignment w:val="baseline"/>
              <w:rPr>
                <w:rFonts w:cs="Arial"/>
                <w:szCs w:val="20"/>
                <w:lang w:val="en-US"/>
              </w:rPr>
            </w:pPr>
          </w:p>
        </w:tc>
      </w:tr>
      <w:tr w:rsidR="009C13A9" w:rsidRPr="00C903F8" w:rsidTr="009C13A9">
        <w:tblPrEx>
          <w:jc w:val="center"/>
        </w:tblPrEx>
        <w:trPr>
          <w:cantSplit/>
          <w:jc w:val="center"/>
        </w:trPr>
        <w:tc>
          <w:tcPr>
            <w:tcW w:w="2552" w:type="dxa"/>
            <w:gridSpan w:val="7"/>
            <w:vAlign w:val="center"/>
          </w:tcPr>
          <w:p w:rsidR="009C13A9" w:rsidRPr="00C903F8" w:rsidRDefault="009C13A9" w:rsidP="009C13A9">
            <w:pPr>
              <w:overflowPunct w:val="0"/>
              <w:adjustRightInd w:val="0"/>
              <w:ind w:left="0" w:right="57" w:firstLine="0"/>
              <w:jc w:val="left"/>
              <w:textAlignment w:val="baseline"/>
              <w:rPr>
                <w:rFonts w:cs="Arial"/>
                <w:szCs w:val="20"/>
                <w:lang w:val="en-US"/>
              </w:rPr>
            </w:pPr>
          </w:p>
        </w:tc>
        <w:tc>
          <w:tcPr>
            <w:tcW w:w="1984" w:type="dxa"/>
            <w:gridSpan w:val="8"/>
            <w:vAlign w:val="center"/>
          </w:tcPr>
          <w:p w:rsidR="009C13A9" w:rsidRPr="00C903F8" w:rsidRDefault="009C13A9" w:rsidP="009C13A9">
            <w:pPr>
              <w:tabs>
                <w:tab w:val="center" w:pos="4819"/>
              </w:tabs>
              <w:overflowPunct w:val="0"/>
              <w:adjustRightInd w:val="0"/>
              <w:ind w:left="0" w:right="57" w:firstLine="0"/>
              <w:jc w:val="left"/>
              <w:textAlignment w:val="baseline"/>
              <w:rPr>
                <w:rFonts w:cs="Arial"/>
                <w:sz w:val="16"/>
                <w:szCs w:val="16"/>
              </w:rPr>
            </w:pPr>
            <w:bookmarkStart w:id="361" w:name="Text30"/>
            <w:r w:rsidRPr="00C903F8">
              <w:rPr>
                <w:rFonts w:cs="Arial"/>
                <w:sz w:val="16"/>
                <w:szCs w:val="16"/>
              </w:rPr>
              <w:t>Name of the controller:</w:t>
            </w:r>
            <w:bookmarkEnd w:id="361"/>
          </w:p>
        </w:tc>
        <w:tc>
          <w:tcPr>
            <w:tcW w:w="4679" w:type="dxa"/>
            <w:gridSpan w:val="17"/>
            <w:vAlign w:val="center"/>
          </w:tcPr>
          <w:p w:rsidR="009C13A9" w:rsidRPr="00C903F8" w:rsidRDefault="009C13A9" w:rsidP="009C13A9">
            <w:pPr>
              <w:overflowPunct w:val="0"/>
              <w:adjustRightInd w:val="0"/>
              <w:ind w:left="0" w:right="57" w:firstLine="0"/>
              <w:jc w:val="left"/>
              <w:textAlignment w:val="baseline"/>
              <w:rPr>
                <w:rFonts w:cs="Arial"/>
                <w:sz w:val="18"/>
                <w:szCs w:val="18"/>
              </w:rPr>
            </w:pPr>
            <w:r w:rsidRPr="00C903F8">
              <w:rPr>
                <w:rFonts w:cs="Arial"/>
                <w:sz w:val="18"/>
                <w:szCs w:val="18"/>
              </w:rPr>
              <w:t>………………………………………………………………...</w:t>
            </w:r>
          </w:p>
        </w:tc>
      </w:tr>
      <w:tr w:rsidR="009C13A9" w:rsidRPr="00C903F8" w:rsidTr="009C13A9">
        <w:tblPrEx>
          <w:jc w:val="center"/>
        </w:tblPrEx>
        <w:trPr>
          <w:cantSplit/>
          <w:trHeight w:hRule="exact" w:val="57"/>
          <w:jc w:val="center"/>
        </w:trPr>
        <w:tc>
          <w:tcPr>
            <w:tcW w:w="9215" w:type="dxa"/>
            <w:gridSpan w:val="32"/>
            <w:vAlign w:val="center"/>
          </w:tcPr>
          <w:p w:rsidR="009C13A9" w:rsidRPr="00C903F8" w:rsidRDefault="009C13A9" w:rsidP="009C13A9">
            <w:pPr>
              <w:overflowPunct w:val="0"/>
              <w:adjustRightInd w:val="0"/>
              <w:ind w:left="0" w:right="57" w:firstLine="0"/>
              <w:jc w:val="left"/>
              <w:textAlignment w:val="baseline"/>
              <w:rPr>
                <w:rFonts w:cs="Arial"/>
                <w:sz w:val="16"/>
                <w:szCs w:val="16"/>
              </w:rPr>
            </w:pPr>
          </w:p>
        </w:tc>
      </w:tr>
      <w:tr w:rsidR="009C13A9" w:rsidRPr="00C903F8" w:rsidTr="009C13A9">
        <w:tblPrEx>
          <w:jc w:val="center"/>
        </w:tblPrEx>
        <w:trPr>
          <w:cantSplit/>
          <w:jc w:val="center"/>
        </w:trPr>
        <w:tc>
          <w:tcPr>
            <w:tcW w:w="2552" w:type="dxa"/>
            <w:gridSpan w:val="7"/>
            <w:vAlign w:val="center"/>
          </w:tcPr>
          <w:p w:rsidR="009C13A9" w:rsidRPr="00C903F8" w:rsidRDefault="009C13A9" w:rsidP="009C13A9">
            <w:pPr>
              <w:overflowPunct w:val="0"/>
              <w:adjustRightInd w:val="0"/>
              <w:ind w:left="0" w:right="57" w:firstLine="0"/>
              <w:jc w:val="left"/>
              <w:textAlignment w:val="baseline"/>
              <w:rPr>
                <w:rFonts w:cs="Arial"/>
                <w:szCs w:val="20"/>
              </w:rPr>
            </w:pPr>
          </w:p>
        </w:tc>
        <w:tc>
          <w:tcPr>
            <w:tcW w:w="1984" w:type="dxa"/>
            <w:gridSpan w:val="8"/>
            <w:vAlign w:val="center"/>
          </w:tcPr>
          <w:p w:rsidR="009C13A9" w:rsidRPr="00C903F8" w:rsidRDefault="009C13A9" w:rsidP="009C13A9">
            <w:pPr>
              <w:overflowPunct w:val="0"/>
              <w:adjustRightInd w:val="0"/>
              <w:ind w:left="0" w:right="57" w:firstLine="0"/>
              <w:jc w:val="left"/>
              <w:textAlignment w:val="baseline"/>
              <w:rPr>
                <w:rFonts w:cs="Arial"/>
                <w:sz w:val="16"/>
                <w:szCs w:val="16"/>
                <w:lang w:val="de-DE"/>
              </w:rPr>
            </w:pPr>
            <w:bookmarkStart w:id="362" w:name="Text31"/>
            <w:r w:rsidRPr="00C903F8">
              <w:rPr>
                <w:rFonts w:cs="Arial"/>
                <w:sz w:val="16"/>
                <w:szCs w:val="16"/>
              </w:rPr>
              <w:t>Place and date:</w:t>
            </w:r>
            <w:bookmarkEnd w:id="362"/>
          </w:p>
        </w:tc>
        <w:tc>
          <w:tcPr>
            <w:tcW w:w="4679" w:type="dxa"/>
            <w:gridSpan w:val="17"/>
            <w:vAlign w:val="center"/>
          </w:tcPr>
          <w:p w:rsidR="009C13A9" w:rsidRPr="00C903F8" w:rsidRDefault="009C13A9" w:rsidP="009C13A9">
            <w:pPr>
              <w:overflowPunct w:val="0"/>
              <w:adjustRightInd w:val="0"/>
              <w:ind w:left="0" w:right="57" w:firstLine="0"/>
              <w:jc w:val="left"/>
              <w:textAlignment w:val="baseline"/>
              <w:rPr>
                <w:rFonts w:cs="Arial"/>
                <w:szCs w:val="20"/>
              </w:rPr>
            </w:pPr>
            <w:r w:rsidRPr="00C903F8">
              <w:rPr>
                <w:rFonts w:cs="Arial"/>
                <w:szCs w:val="20"/>
              </w:rPr>
              <w:t>……………………………….</w:t>
            </w:r>
          </w:p>
        </w:tc>
      </w:tr>
      <w:tr w:rsidR="009C13A9" w:rsidRPr="00C903F8" w:rsidTr="009C13A9">
        <w:tblPrEx>
          <w:jc w:val="center"/>
        </w:tblPrEx>
        <w:trPr>
          <w:cantSplit/>
          <w:trHeight w:hRule="exact" w:val="57"/>
          <w:jc w:val="center"/>
        </w:trPr>
        <w:tc>
          <w:tcPr>
            <w:tcW w:w="9215" w:type="dxa"/>
            <w:gridSpan w:val="32"/>
            <w:vAlign w:val="center"/>
          </w:tcPr>
          <w:p w:rsidR="009C13A9" w:rsidRPr="00C903F8" w:rsidRDefault="009C13A9" w:rsidP="009C13A9">
            <w:pPr>
              <w:overflowPunct w:val="0"/>
              <w:adjustRightInd w:val="0"/>
              <w:ind w:left="0" w:right="57" w:firstLine="0"/>
              <w:jc w:val="left"/>
              <w:textAlignment w:val="baseline"/>
              <w:rPr>
                <w:rFonts w:cs="Arial"/>
                <w:sz w:val="16"/>
                <w:szCs w:val="16"/>
              </w:rPr>
            </w:pPr>
          </w:p>
        </w:tc>
      </w:tr>
      <w:tr w:rsidR="009C13A9" w:rsidRPr="00C903F8" w:rsidTr="009C13A9">
        <w:tblPrEx>
          <w:jc w:val="center"/>
        </w:tblPrEx>
        <w:trPr>
          <w:cantSplit/>
          <w:jc w:val="center"/>
        </w:trPr>
        <w:tc>
          <w:tcPr>
            <w:tcW w:w="2552" w:type="dxa"/>
            <w:gridSpan w:val="7"/>
            <w:vAlign w:val="center"/>
          </w:tcPr>
          <w:p w:rsidR="009C13A9" w:rsidRPr="00C903F8" w:rsidRDefault="009C13A9" w:rsidP="009C13A9">
            <w:pPr>
              <w:overflowPunct w:val="0"/>
              <w:adjustRightInd w:val="0"/>
              <w:ind w:left="0" w:right="57" w:firstLine="0"/>
              <w:jc w:val="left"/>
              <w:textAlignment w:val="baseline"/>
              <w:rPr>
                <w:rFonts w:cs="Arial"/>
                <w:szCs w:val="20"/>
              </w:rPr>
            </w:pPr>
          </w:p>
        </w:tc>
        <w:tc>
          <w:tcPr>
            <w:tcW w:w="1984" w:type="dxa"/>
            <w:gridSpan w:val="8"/>
            <w:vAlign w:val="center"/>
          </w:tcPr>
          <w:p w:rsidR="009C13A9" w:rsidRPr="00C903F8" w:rsidRDefault="009C13A9" w:rsidP="009635C7">
            <w:pPr>
              <w:overflowPunct w:val="0"/>
              <w:adjustRightInd w:val="0"/>
              <w:ind w:left="0" w:right="57" w:firstLine="0"/>
              <w:jc w:val="left"/>
              <w:textAlignment w:val="baseline"/>
              <w:rPr>
                <w:rFonts w:cs="Arial"/>
                <w:sz w:val="16"/>
                <w:szCs w:val="16"/>
              </w:rPr>
            </w:pPr>
            <w:r w:rsidRPr="00C903F8">
              <w:rPr>
                <w:rFonts w:cs="Arial"/>
                <w:sz w:val="16"/>
                <w:szCs w:val="16"/>
              </w:rPr>
              <w:t>Signature:</w:t>
            </w:r>
          </w:p>
        </w:tc>
        <w:tc>
          <w:tcPr>
            <w:tcW w:w="4679" w:type="dxa"/>
            <w:gridSpan w:val="17"/>
            <w:vAlign w:val="center"/>
          </w:tcPr>
          <w:p w:rsidR="009C13A9" w:rsidRPr="00C903F8" w:rsidRDefault="009C13A9" w:rsidP="009C13A9">
            <w:pPr>
              <w:overflowPunct w:val="0"/>
              <w:adjustRightInd w:val="0"/>
              <w:ind w:left="0" w:right="57" w:firstLine="0"/>
              <w:jc w:val="left"/>
              <w:textAlignment w:val="baseline"/>
              <w:rPr>
                <w:rFonts w:cs="Arial"/>
                <w:szCs w:val="20"/>
              </w:rPr>
            </w:pPr>
          </w:p>
        </w:tc>
      </w:tr>
      <w:tr w:rsidR="009C13A9" w:rsidRPr="00296858" w:rsidTr="009C13A9">
        <w:tblPrEx>
          <w:jc w:val="center"/>
        </w:tblPrEx>
        <w:trPr>
          <w:jc w:val="center"/>
        </w:trPr>
        <w:tc>
          <w:tcPr>
            <w:tcW w:w="4818" w:type="dxa"/>
            <w:gridSpan w:val="17"/>
            <w:vAlign w:val="center"/>
          </w:tcPr>
          <w:p w:rsidR="009C13A9" w:rsidRPr="00C903F8" w:rsidRDefault="009C13A9" w:rsidP="009C13A9">
            <w:pPr>
              <w:tabs>
                <w:tab w:val="center" w:pos="4536"/>
                <w:tab w:val="right" w:pos="9072"/>
              </w:tabs>
              <w:overflowPunct w:val="0"/>
              <w:adjustRightInd w:val="0"/>
              <w:ind w:left="0" w:right="57" w:firstLine="0"/>
              <w:jc w:val="left"/>
              <w:textAlignment w:val="baseline"/>
              <w:rPr>
                <w:rFonts w:cs="Arial"/>
                <w:b/>
                <w:bCs/>
                <w:szCs w:val="20"/>
                <w:u w:val="single"/>
                <w:lang w:val="en-US"/>
              </w:rPr>
            </w:pPr>
            <w:r w:rsidRPr="00C903F8">
              <w:rPr>
                <w:rFonts w:cs="Arial"/>
                <w:sz w:val="16"/>
                <w:szCs w:val="20"/>
                <w:vertAlign w:val="superscript"/>
                <w:lang w:val="en-US"/>
              </w:rPr>
              <w:t>1)</w:t>
            </w:r>
            <w:r w:rsidRPr="00C903F8">
              <w:rPr>
                <w:rFonts w:cs="Arial"/>
                <w:szCs w:val="20"/>
                <w:lang w:val="en-US"/>
              </w:rPr>
              <w:t xml:space="preserve"> </w:t>
            </w:r>
            <w:r w:rsidRPr="00C903F8">
              <w:rPr>
                <w:rFonts w:cs="Arial"/>
                <w:sz w:val="14"/>
                <w:szCs w:val="12"/>
                <w:lang w:val="en-US"/>
              </w:rPr>
              <w:t>Place a cross in the appropriate box.</w:t>
            </w:r>
          </w:p>
        </w:tc>
        <w:tc>
          <w:tcPr>
            <w:tcW w:w="4397" w:type="dxa"/>
            <w:gridSpan w:val="15"/>
            <w:vAlign w:val="center"/>
          </w:tcPr>
          <w:p w:rsidR="009C13A9" w:rsidRPr="00C903F8" w:rsidRDefault="009C13A9" w:rsidP="009C13A9">
            <w:pPr>
              <w:tabs>
                <w:tab w:val="center" w:pos="4536"/>
                <w:tab w:val="right" w:pos="9072"/>
              </w:tabs>
              <w:overflowPunct w:val="0"/>
              <w:adjustRightInd w:val="0"/>
              <w:ind w:left="0" w:right="57" w:firstLine="0"/>
              <w:jc w:val="right"/>
              <w:textAlignment w:val="baseline"/>
              <w:rPr>
                <w:rFonts w:cs="Arial"/>
                <w:szCs w:val="20"/>
                <w:lang w:val="en-US"/>
              </w:rPr>
            </w:pPr>
          </w:p>
        </w:tc>
      </w:tr>
    </w:tbl>
    <w:p w:rsidR="009C13A9" w:rsidRPr="00C903F8" w:rsidRDefault="009C13A9" w:rsidP="009C13A9">
      <w:pPr>
        <w:ind w:left="0" w:firstLine="0"/>
        <w:rPr>
          <w:rFonts w:cs="Arial"/>
          <w:noProof/>
          <w:sz w:val="16"/>
          <w:szCs w:val="20"/>
          <w:lang w:val="en-US" w:bidi="fr-FR"/>
        </w:rPr>
      </w:pPr>
    </w:p>
    <w:p w:rsidR="009C13A9" w:rsidRPr="00C903F8" w:rsidRDefault="009C13A9" w:rsidP="009C13A9">
      <w:pPr>
        <w:ind w:left="0" w:firstLine="0"/>
        <w:rPr>
          <w:rFonts w:cs="Arial"/>
          <w:noProof/>
          <w:sz w:val="16"/>
          <w:szCs w:val="20"/>
          <w:lang w:val="en-US" w:bidi="fr-FR"/>
        </w:rPr>
      </w:pPr>
      <w:r w:rsidRPr="00C903F8">
        <w:rPr>
          <w:rFonts w:cs="Arial"/>
          <w:noProof/>
          <w:sz w:val="16"/>
          <w:szCs w:val="20"/>
          <w:lang w:val="en-US" w:bidi="fr-FR"/>
        </w:rPr>
        <w:br w:type="page"/>
      </w:r>
    </w:p>
    <w:p w:rsidR="009C13A9" w:rsidRPr="00C903F8" w:rsidRDefault="009C13A9" w:rsidP="009C13A9">
      <w:pPr>
        <w:ind w:left="0" w:firstLine="0"/>
        <w:rPr>
          <w:rFonts w:cs="Arial"/>
          <w:noProof/>
          <w:sz w:val="16"/>
          <w:szCs w:val="20"/>
          <w:lang w:val="en-US" w:bidi="fr-FR"/>
        </w:rPr>
      </w:pPr>
    </w:p>
    <w:p w:rsidR="009C13A9" w:rsidRPr="00C903F8" w:rsidRDefault="009C13A9" w:rsidP="009C13A9">
      <w:pPr>
        <w:ind w:left="0" w:firstLine="0"/>
        <w:rPr>
          <w:rFonts w:cs="Arial"/>
          <w:noProof/>
          <w:sz w:val="16"/>
          <w:szCs w:val="20"/>
          <w:lang w:val="en-US" w:bidi="fr-FR"/>
        </w:rPr>
      </w:pPr>
    </w:p>
    <w:p w:rsidR="009C13A9" w:rsidRPr="00C903F8" w:rsidRDefault="009C13A9" w:rsidP="009C13A9">
      <w:pPr>
        <w:ind w:left="0" w:firstLine="0"/>
        <w:rPr>
          <w:rFonts w:cs="Arial"/>
          <w:noProof/>
          <w:sz w:val="16"/>
          <w:szCs w:val="20"/>
          <w:lang w:val="en-US" w:bidi="fr-FR"/>
        </w:rPr>
      </w:pPr>
    </w:p>
    <w:p w:rsidR="009C13A9" w:rsidRPr="00C903F8" w:rsidRDefault="009C13A9" w:rsidP="009C13A9">
      <w:pPr>
        <w:ind w:left="0" w:firstLine="0"/>
        <w:rPr>
          <w:rFonts w:cs="Arial"/>
          <w:noProof/>
          <w:sz w:val="16"/>
          <w:szCs w:val="20"/>
          <w:lang w:val="en-US" w:bidi="fr-FR"/>
        </w:rPr>
      </w:pPr>
    </w:p>
    <w:p w:rsidR="009C13A9" w:rsidRPr="00C903F8" w:rsidRDefault="009C13A9" w:rsidP="009C13A9">
      <w:pPr>
        <w:ind w:left="0" w:firstLine="0"/>
        <w:rPr>
          <w:rFonts w:cs="Arial"/>
          <w:noProof/>
          <w:sz w:val="16"/>
          <w:szCs w:val="20"/>
          <w:lang w:val="en-US" w:bidi="fr-FR"/>
        </w:rPr>
      </w:pPr>
    </w:p>
    <w:p w:rsidR="009C13A9" w:rsidRPr="00C903F8" w:rsidRDefault="009C13A9" w:rsidP="009C13A9">
      <w:pPr>
        <w:ind w:left="0" w:firstLine="0"/>
        <w:rPr>
          <w:rFonts w:cs="Arial"/>
          <w:noProof/>
          <w:sz w:val="16"/>
          <w:szCs w:val="20"/>
          <w:lang w:val="en-US" w:bidi="fr-FR"/>
        </w:rPr>
      </w:pPr>
    </w:p>
    <w:p w:rsidR="001705E4" w:rsidRDefault="001705E4" w:rsidP="00611BF5">
      <w:pPr>
        <w:pStyle w:val="ES-Titre2"/>
        <w:pageBreakBefore w:val="0"/>
        <w:sectPr w:rsidR="001705E4" w:rsidSect="00FB55E9">
          <w:headerReference w:type="default" r:id="rId70"/>
          <w:footerReference w:type="default" r:id="rId71"/>
          <w:footnotePr>
            <w:numRestart w:val="eachPage"/>
          </w:footnotePr>
          <w:pgSz w:w="11907" w:h="16840" w:code="9"/>
          <w:pgMar w:top="1361" w:right="1418" w:bottom="1361" w:left="1418" w:header="680" w:footer="680" w:gutter="0"/>
          <w:cols w:space="720"/>
          <w:docGrid w:linePitch="326"/>
        </w:sectPr>
      </w:pPr>
    </w:p>
    <w:p w:rsidR="009C13A9" w:rsidRPr="00C903F8" w:rsidRDefault="009C13A9" w:rsidP="00611BF5">
      <w:pPr>
        <w:pStyle w:val="ES-Titre2"/>
        <w:pageBreakBefore w:val="0"/>
        <w:rPr>
          <w:szCs w:val="20"/>
        </w:rPr>
      </w:pPr>
      <w:bookmarkStart w:id="363" w:name="_Toc491854323"/>
      <w:r w:rsidRPr="00C903F8">
        <w:lastRenderedPageBreak/>
        <w:t xml:space="preserve">Annex </w:t>
      </w:r>
      <w:r w:rsidR="00560299" w:rsidRPr="00C903F8">
        <w:t>7</w:t>
      </w:r>
      <w:r w:rsidRPr="00C903F8">
        <w:br/>
        <w:t>On-board sewage treatment plants</w:t>
      </w:r>
      <w:bookmarkEnd w:id="363"/>
      <w:r w:rsidRPr="00C903F8">
        <w:t xml:space="preserve"> </w:t>
      </w:r>
    </w:p>
    <w:p w:rsidR="009C13A9" w:rsidRPr="00C903F8" w:rsidRDefault="009C13A9" w:rsidP="009C13A9">
      <w:pPr>
        <w:tabs>
          <w:tab w:val="left" w:pos="2552"/>
        </w:tabs>
        <w:suppressAutoHyphens/>
        <w:autoSpaceDE/>
        <w:autoSpaceDN/>
        <w:spacing w:line="240" w:lineRule="atLeast"/>
        <w:ind w:left="0" w:firstLine="0"/>
        <w:jc w:val="center"/>
        <w:rPr>
          <w:rFonts w:cs="Arial"/>
          <w:b/>
          <w:szCs w:val="20"/>
          <w:lang w:val="en-US" w:eastAsia="ar-SA"/>
        </w:rPr>
      </w:pPr>
    </w:p>
    <w:p w:rsidR="009C13A9" w:rsidRPr="00C903F8" w:rsidRDefault="009C13A9" w:rsidP="009C13A9">
      <w:pPr>
        <w:overflowPunct w:val="0"/>
        <w:adjustRightInd w:val="0"/>
        <w:spacing w:line="240" w:lineRule="atLeast"/>
        <w:ind w:left="0" w:firstLine="0"/>
        <w:jc w:val="center"/>
        <w:textAlignment w:val="baseline"/>
        <w:rPr>
          <w:rFonts w:cs="Arial"/>
          <w:b/>
          <w:bCs/>
          <w:noProof/>
          <w:sz w:val="22"/>
          <w:szCs w:val="22"/>
          <w:lang w:val="en-US"/>
        </w:rPr>
      </w:pPr>
      <w:r w:rsidRPr="00C903F8">
        <w:rPr>
          <w:rFonts w:cs="Arial"/>
          <w:b/>
          <w:bCs/>
          <w:noProof/>
          <w:sz w:val="22"/>
          <w:szCs w:val="22"/>
          <w:lang w:val="en-US"/>
        </w:rPr>
        <w:t>Table of contents</w:t>
      </w:r>
    </w:p>
    <w:p w:rsidR="009C13A9" w:rsidRPr="00C903F8" w:rsidRDefault="009C13A9" w:rsidP="009C13A9">
      <w:pPr>
        <w:tabs>
          <w:tab w:val="left" w:pos="284"/>
          <w:tab w:val="left" w:pos="1134"/>
          <w:tab w:val="left" w:pos="1701"/>
        </w:tabs>
        <w:suppressAutoHyphens/>
        <w:autoSpaceDE/>
        <w:autoSpaceDN/>
        <w:spacing w:line="240" w:lineRule="atLeast"/>
        <w:ind w:left="0" w:firstLine="0"/>
        <w:jc w:val="left"/>
        <w:rPr>
          <w:rFonts w:cs="Arial"/>
          <w:szCs w:val="20"/>
          <w:lang w:val="en-US" w:eastAsia="ar-SA"/>
        </w:rPr>
      </w:pPr>
    </w:p>
    <w:p w:rsidR="009C13A9" w:rsidRPr="00C903F8" w:rsidRDefault="00925755" w:rsidP="009C13A9">
      <w:pPr>
        <w:tabs>
          <w:tab w:val="left" w:pos="1701"/>
        </w:tabs>
        <w:suppressAutoHyphens/>
        <w:autoSpaceDE/>
        <w:autoSpaceDN/>
        <w:spacing w:line="240" w:lineRule="atLeast"/>
        <w:ind w:left="1134" w:hanging="1134"/>
        <w:rPr>
          <w:rFonts w:cs="Arial"/>
          <w:szCs w:val="20"/>
          <w:lang w:val="en-US" w:eastAsia="ar-SA"/>
        </w:rPr>
      </w:pPr>
      <w:r w:rsidRPr="00C903F8">
        <w:rPr>
          <w:rFonts w:cs="Arial"/>
          <w:b/>
          <w:szCs w:val="20"/>
          <w:lang w:val="en-US" w:eastAsia="ar-SA"/>
        </w:rPr>
        <w:t>Section</w:t>
      </w:r>
      <w:r w:rsidR="009C13A9" w:rsidRPr="00C903F8">
        <w:rPr>
          <w:rFonts w:cs="Arial"/>
          <w:b/>
          <w:szCs w:val="20"/>
          <w:lang w:val="en-US" w:eastAsia="ar-SA"/>
        </w:rPr>
        <w:t xml:space="preserve"> I</w:t>
      </w:r>
      <w:r w:rsidR="009C13A9" w:rsidRPr="00C903F8">
        <w:rPr>
          <w:rFonts w:cs="Arial"/>
          <w:b/>
          <w:szCs w:val="20"/>
          <w:lang w:val="en-US" w:eastAsia="ar-SA"/>
        </w:rPr>
        <w:tab/>
      </w:r>
      <w:r w:rsidR="009C13A9" w:rsidRPr="00C903F8">
        <w:rPr>
          <w:rFonts w:cs="Arial"/>
          <w:szCs w:val="20"/>
          <w:lang w:val="en-US" w:eastAsia="ar-SA"/>
        </w:rPr>
        <w:t>Supplementary provisions</w:t>
      </w:r>
    </w:p>
    <w:p w:rsidR="009C13A9" w:rsidRPr="00C903F8" w:rsidRDefault="009C13A9" w:rsidP="009C13A9">
      <w:pPr>
        <w:suppressAutoHyphens/>
        <w:autoSpaceDE/>
        <w:autoSpaceDN/>
        <w:spacing w:line="240" w:lineRule="atLeast"/>
        <w:ind w:left="1134" w:hanging="1134"/>
        <w:rPr>
          <w:rFonts w:cs="Arial"/>
          <w:b/>
          <w:szCs w:val="20"/>
          <w:lang w:val="en-US" w:eastAsia="ar-SA"/>
        </w:rPr>
      </w:pPr>
    </w:p>
    <w:p w:rsidR="009C13A9" w:rsidRPr="00C903F8" w:rsidRDefault="009C13A9" w:rsidP="009C13A9">
      <w:pPr>
        <w:suppressAutoHyphens/>
        <w:overflowPunct w:val="0"/>
        <w:autoSpaceDN/>
        <w:spacing w:line="240" w:lineRule="atLeast"/>
        <w:ind w:left="1560" w:hanging="426"/>
        <w:textAlignment w:val="baseline"/>
        <w:rPr>
          <w:rFonts w:cs="Arial"/>
          <w:szCs w:val="20"/>
          <w:lang w:val="en-US" w:eastAsia="ar-SA"/>
        </w:rPr>
      </w:pPr>
      <w:r w:rsidRPr="00C903F8">
        <w:rPr>
          <w:rFonts w:cs="Arial"/>
          <w:szCs w:val="20"/>
          <w:lang w:val="en-US" w:eastAsia="ar-SA"/>
        </w:rPr>
        <w:t>1.</w:t>
      </w:r>
      <w:r w:rsidRPr="00C903F8">
        <w:rPr>
          <w:rFonts w:cs="Arial"/>
          <w:szCs w:val="20"/>
          <w:lang w:val="en-US" w:eastAsia="ar-SA"/>
        </w:rPr>
        <w:tab/>
        <w:t>Marking of on-board sewage treatment plants</w:t>
      </w:r>
    </w:p>
    <w:p w:rsidR="009C13A9" w:rsidRPr="00C903F8" w:rsidRDefault="009C13A9" w:rsidP="009C13A9">
      <w:pPr>
        <w:suppressAutoHyphens/>
        <w:overflowPunct w:val="0"/>
        <w:autoSpaceDN/>
        <w:spacing w:line="240" w:lineRule="atLeast"/>
        <w:ind w:left="1560" w:hanging="426"/>
        <w:textAlignment w:val="baseline"/>
        <w:rPr>
          <w:rFonts w:cs="Arial"/>
          <w:szCs w:val="20"/>
          <w:lang w:val="en-US" w:eastAsia="ar-SA"/>
        </w:rPr>
      </w:pPr>
      <w:r w:rsidRPr="00C903F8">
        <w:rPr>
          <w:rFonts w:cs="Arial"/>
          <w:szCs w:val="20"/>
          <w:lang w:val="en-US" w:eastAsia="ar-SA"/>
        </w:rPr>
        <w:t>2.</w:t>
      </w:r>
      <w:r w:rsidRPr="00C903F8">
        <w:rPr>
          <w:rFonts w:cs="Arial"/>
          <w:szCs w:val="20"/>
          <w:lang w:val="en-US" w:eastAsia="ar-SA"/>
        </w:rPr>
        <w:tab/>
        <w:t>Testing</w:t>
      </w:r>
    </w:p>
    <w:p w:rsidR="009C13A9" w:rsidRPr="00C903F8" w:rsidRDefault="009C13A9" w:rsidP="009C13A9">
      <w:pPr>
        <w:suppressAutoHyphens/>
        <w:overflowPunct w:val="0"/>
        <w:autoSpaceDN/>
        <w:spacing w:line="240" w:lineRule="atLeast"/>
        <w:ind w:left="1560" w:hanging="426"/>
        <w:textAlignment w:val="baseline"/>
        <w:rPr>
          <w:rFonts w:cs="Arial"/>
          <w:szCs w:val="20"/>
          <w:lang w:val="en-US" w:eastAsia="ar-SA"/>
        </w:rPr>
      </w:pPr>
      <w:r w:rsidRPr="00C903F8">
        <w:rPr>
          <w:rFonts w:cs="Arial"/>
          <w:szCs w:val="20"/>
          <w:lang w:val="en-US" w:eastAsia="ar-SA"/>
        </w:rPr>
        <w:t>3.</w:t>
      </w:r>
      <w:r w:rsidRPr="00C903F8">
        <w:rPr>
          <w:rFonts w:cs="Arial"/>
          <w:szCs w:val="20"/>
          <w:lang w:val="en-US" w:eastAsia="ar-SA"/>
        </w:rPr>
        <w:tab/>
        <w:t>Evaluation of conformity of production</w:t>
      </w:r>
    </w:p>
    <w:p w:rsidR="009C13A9" w:rsidRPr="00C903F8" w:rsidRDefault="009C13A9" w:rsidP="009C13A9">
      <w:pPr>
        <w:suppressAutoHyphens/>
        <w:autoSpaceDE/>
        <w:autoSpaceDN/>
        <w:spacing w:line="240" w:lineRule="atLeast"/>
        <w:ind w:left="1134" w:hanging="1134"/>
        <w:rPr>
          <w:rFonts w:cs="Arial"/>
          <w:szCs w:val="20"/>
          <w:lang w:val="en-US" w:eastAsia="ar-SA"/>
        </w:rPr>
      </w:pPr>
    </w:p>
    <w:p w:rsidR="009C13A9" w:rsidRPr="00C903F8" w:rsidRDefault="00925755" w:rsidP="009C13A9">
      <w:pPr>
        <w:suppressAutoHyphens/>
        <w:autoSpaceDE/>
        <w:autoSpaceDN/>
        <w:spacing w:line="240" w:lineRule="atLeast"/>
        <w:ind w:left="1134" w:hanging="1134"/>
        <w:rPr>
          <w:rFonts w:cs="Arial"/>
          <w:szCs w:val="20"/>
          <w:lang w:val="en-US" w:eastAsia="ar-SA"/>
        </w:rPr>
      </w:pPr>
      <w:r w:rsidRPr="00C903F8">
        <w:rPr>
          <w:rFonts w:cs="Arial"/>
          <w:b/>
          <w:szCs w:val="20"/>
          <w:lang w:val="en-US" w:eastAsia="ar-SA"/>
        </w:rPr>
        <w:t>Section</w:t>
      </w:r>
      <w:r w:rsidR="009C13A9" w:rsidRPr="00C903F8">
        <w:rPr>
          <w:rFonts w:cs="Arial"/>
          <w:b/>
          <w:szCs w:val="20"/>
          <w:lang w:val="en-US" w:eastAsia="ar-SA"/>
        </w:rPr>
        <w:t xml:space="preserve"> II</w:t>
      </w:r>
      <w:r w:rsidR="009C13A9" w:rsidRPr="00C903F8">
        <w:rPr>
          <w:rFonts w:cs="Arial"/>
          <w:b/>
          <w:szCs w:val="20"/>
          <w:lang w:val="en-US" w:eastAsia="ar-SA"/>
        </w:rPr>
        <w:tab/>
      </w:r>
      <w:r w:rsidR="009C13A9" w:rsidRPr="00C903F8">
        <w:rPr>
          <w:rFonts w:cs="Arial"/>
          <w:szCs w:val="20"/>
          <w:lang w:val="en-US" w:eastAsia="ar-SA"/>
        </w:rPr>
        <w:t xml:space="preserve">Information document </w:t>
      </w:r>
      <w:r w:rsidR="00422169" w:rsidRPr="00C903F8">
        <w:rPr>
          <w:rFonts w:cs="Arial"/>
          <w:szCs w:val="20"/>
          <w:lang w:val="en-US" w:eastAsia="ar-SA"/>
        </w:rPr>
        <w:t xml:space="preserve">No … relating to type approval of on-board sewage treatment plants intended for installation in inland waterway vessels </w:t>
      </w:r>
      <w:r w:rsidR="009C13A9" w:rsidRPr="00C903F8">
        <w:rPr>
          <w:rFonts w:cs="Arial"/>
          <w:szCs w:val="20"/>
          <w:lang w:val="en-US" w:eastAsia="ar-SA"/>
        </w:rPr>
        <w:t>(model)</w:t>
      </w:r>
    </w:p>
    <w:p w:rsidR="009C13A9" w:rsidRPr="00C903F8" w:rsidRDefault="009C13A9" w:rsidP="009C13A9">
      <w:pPr>
        <w:suppressAutoHyphens/>
        <w:autoSpaceDE/>
        <w:autoSpaceDN/>
        <w:spacing w:line="240" w:lineRule="atLeast"/>
        <w:ind w:left="1134" w:hanging="1134"/>
        <w:rPr>
          <w:rFonts w:cs="Arial"/>
          <w:szCs w:val="20"/>
          <w:lang w:val="en-US" w:eastAsia="ar-SA"/>
        </w:rPr>
      </w:pPr>
    </w:p>
    <w:p w:rsidR="009C13A9" w:rsidRPr="00C903F8" w:rsidRDefault="009C13A9" w:rsidP="009C13A9">
      <w:pPr>
        <w:suppressAutoHyphens/>
        <w:overflowPunct w:val="0"/>
        <w:autoSpaceDN/>
        <w:spacing w:line="240" w:lineRule="atLeast"/>
        <w:ind w:left="1134" w:firstLine="0"/>
        <w:textAlignment w:val="baseline"/>
        <w:rPr>
          <w:rFonts w:cs="Arial"/>
          <w:szCs w:val="20"/>
          <w:lang w:val="en-US" w:eastAsia="ar-SA"/>
        </w:rPr>
      </w:pPr>
      <w:r w:rsidRPr="00C903F8">
        <w:rPr>
          <w:rFonts w:cs="Arial"/>
          <w:szCs w:val="20"/>
          <w:lang w:val="en-US" w:eastAsia="ar-SA"/>
        </w:rPr>
        <w:t xml:space="preserve">Appendix 1 - </w:t>
      </w:r>
      <w:r w:rsidRPr="00C903F8">
        <w:rPr>
          <w:noProof/>
          <w:lang w:val="en-US"/>
        </w:rPr>
        <w:t>Main characteristics of the on-board sewage treatment plant type (model)</w:t>
      </w:r>
    </w:p>
    <w:p w:rsidR="009C13A9" w:rsidRPr="00C903F8" w:rsidRDefault="009C13A9" w:rsidP="009C13A9">
      <w:pPr>
        <w:suppressAutoHyphens/>
        <w:autoSpaceDE/>
        <w:autoSpaceDN/>
        <w:spacing w:line="240" w:lineRule="atLeast"/>
        <w:ind w:left="1134" w:hanging="1134"/>
        <w:rPr>
          <w:rFonts w:cs="Arial"/>
          <w:szCs w:val="20"/>
          <w:lang w:val="en-US" w:eastAsia="ar-SA"/>
        </w:rPr>
      </w:pPr>
    </w:p>
    <w:p w:rsidR="009C13A9" w:rsidRPr="00C903F8" w:rsidRDefault="00925755" w:rsidP="009C13A9">
      <w:pPr>
        <w:suppressAutoHyphens/>
        <w:autoSpaceDE/>
        <w:autoSpaceDN/>
        <w:spacing w:line="240" w:lineRule="atLeast"/>
        <w:ind w:left="1134" w:hanging="1134"/>
        <w:rPr>
          <w:rFonts w:cs="Arial"/>
          <w:szCs w:val="20"/>
          <w:lang w:val="en-US" w:eastAsia="ar-SA"/>
        </w:rPr>
      </w:pPr>
      <w:r w:rsidRPr="00C903F8">
        <w:rPr>
          <w:rFonts w:cs="Arial"/>
          <w:b/>
          <w:szCs w:val="20"/>
          <w:lang w:val="en-US" w:eastAsia="ar-SA"/>
        </w:rPr>
        <w:t>Section</w:t>
      </w:r>
      <w:r w:rsidR="009C13A9" w:rsidRPr="00C903F8">
        <w:rPr>
          <w:rFonts w:cs="Arial"/>
          <w:b/>
          <w:szCs w:val="20"/>
          <w:lang w:val="en-US" w:eastAsia="ar-SA"/>
        </w:rPr>
        <w:t xml:space="preserve"> III</w:t>
      </w:r>
      <w:r w:rsidR="009C13A9" w:rsidRPr="00C903F8">
        <w:rPr>
          <w:rFonts w:cs="Arial"/>
          <w:b/>
          <w:szCs w:val="20"/>
          <w:lang w:val="en-US" w:eastAsia="ar-SA"/>
        </w:rPr>
        <w:tab/>
      </w:r>
      <w:r w:rsidR="009C13A9" w:rsidRPr="00C903F8">
        <w:rPr>
          <w:rFonts w:cs="Arial"/>
          <w:szCs w:val="20"/>
          <w:lang w:val="en-US" w:eastAsia="ar-SA"/>
        </w:rPr>
        <w:t>Type approval certificate (model)</w:t>
      </w:r>
    </w:p>
    <w:p w:rsidR="009C13A9" w:rsidRPr="00C903F8" w:rsidRDefault="009C13A9" w:rsidP="009C13A9">
      <w:pPr>
        <w:suppressAutoHyphens/>
        <w:autoSpaceDE/>
        <w:autoSpaceDN/>
        <w:spacing w:line="240" w:lineRule="atLeast"/>
        <w:ind w:left="1134" w:hanging="1134"/>
        <w:rPr>
          <w:rFonts w:cs="Arial"/>
          <w:szCs w:val="20"/>
          <w:lang w:val="en-US" w:eastAsia="ar-SA"/>
        </w:rPr>
      </w:pPr>
    </w:p>
    <w:p w:rsidR="009C13A9" w:rsidRPr="00C903F8" w:rsidRDefault="009C13A9" w:rsidP="009C13A9">
      <w:pPr>
        <w:suppressAutoHyphens/>
        <w:overflowPunct w:val="0"/>
        <w:autoSpaceDN/>
        <w:spacing w:line="240" w:lineRule="atLeast"/>
        <w:ind w:left="1134" w:firstLine="0"/>
        <w:textAlignment w:val="baseline"/>
        <w:rPr>
          <w:rFonts w:cs="Arial"/>
          <w:szCs w:val="20"/>
          <w:lang w:val="en-US" w:eastAsia="ar-SA"/>
        </w:rPr>
      </w:pPr>
      <w:r w:rsidRPr="00C903F8">
        <w:rPr>
          <w:rFonts w:cs="Arial"/>
          <w:szCs w:val="20"/>
          <w:lang w:val="en-US" w:eastAsia="ar-SA"/>
        </w:rPr>
        <w:t>Appendix 1 - Test results for type approval (model)</w:t>
      </w:r>
    </w:p>
    <w:p w:rsidR="009C13A9" w:rsidRPr="00C903F8" w:rsidRDefault="009C13A9" w:rsidP="009C13A9">
      <w:pPr>
        <w:suppressAutoHyphens/>
        <w:autoSpaceDE/>
        <w:autoSpaceDN/>
        <w:spacing w:line="240" w:lineRule="atLeast"/>
        <w:ind w:left="1134" w:hanging="1134"/>
        <w:rPr>
          <w:rFonts w:cs="Arial"/>
          <w:szCs w:val="20"/>
          <w:lang w:val="en-US" w:eastAsia="ar-SA"/>
        </w:rPr>
      </w:pPr>
    </w:p>
    <w:p w:rsidR="009C13A9" w:rsidRPr="00C903F8" w:rsidRDefault="00925755" w:rsidP="009C13A9">
      <w:pPr>
        <w:suppressAutoHyphens/>
        <w:autoSpaceDE/>
        <w:autoSpaceDN/>
        <w:spacing w:line="240" w:lineRule="atLeast"/>
        <w:ind w:left="1134" w:hanging="1134"/>
        <w:rPr>
          <w:rFonts w:cs="Arial"/>
          <w:szCs w:val="20"/>
          <w:lang w:val="en-US" w:eastAsia="ar-SA"/>
        </w:rPr>
      </w:pPr>
      <w:r w:rsidRPr="00C903F8">
        <w:rPr>
          <w:rFonts w:cs="Arial"/>
          <w:b/>
          <w:szCs w:val="20"/>
          <w:lang w:val="en-US" w:eastAsia="ar-SA"/>
        </w:rPr>
        <w:t>Section</w:t>
      </w:r>
      <w:r w:rsidR="009C13A9" w:rsidRPr="00C903F8">
        <w:rPr>
          <w:rFonts w:cs="Arial"/>
          <w:b/>
          <w:szCs w:val="20"/>
          <w:lang w:val="en-US" w:eastAsia="ar-SA"/>
        </w:rPr>
        <w:t xml:space="preserve"> IV</w:t>
      </w:r>
      <w:r w:rsidR="009C13A9" w:rsidRPr="00C903F8">
        <w:rPr>
          <w:rFonts w:cs="Arial"/>
          <w:b/>
          <w:szCs w:val="20"/>
          <w:lang w:val="en-US" w:eastAsia="ar-SA"/>
        </w:rPr>
        <w:tab/>
      </w:r>
      <w:r w:rsidR="009C13A9" w:rsidRPr="00C903F8">
        <w:rPr>
          <w:rFonts w:cs="Arial"/>
          <w:szCs w:val="20"/>
          <w:lang w:val="en-US" w:eastAsia="ar-SA"/>
        </w:rPr>
        <w:t>Type approvals</w:t>
      </w:r>
      <w:r w:rsidR="009E363E" w:rsidRPr="00C903F8">
        <w:rPr>
          <w:rFonts w:cs="Arial"/>
          <w:szCs w:val="20"/>
          <w:lang w:val="en-US" w:eastAsia="ar-SA"/>
        </w:rPr>
        <w:t>’</w:t>
      </w:r>
      <w:r w:rsidR="009C13A9" w:rsidRPr="00C903F8">
        <w:rPr>
          <w:rFonts w:cs="Arial"/>
          <w:szCs w:val="20"/>
          <w:lang w:val="en-US" w:eastAsia="ar-SA"/>
        </w:rPr>
        <w:t xml:space="preserve"> numbering system</w:t>
      </w:r>
    </w:p>
    <w:p w:rsidR="009C13A9" w:rsidRPr="00C903F8" w:rsidRDefault="009C13A9" w:rsidP="009C13A9">
      <w:pPr>
        <w:suppressAutoHyphens/>
        <w:autoSpaceDE/>
        <w:autoSpaceDN/>
        <w:spacing w:line="240" w:lineRule="atLeast"/>
        <w:ind w:left="1134" w:hanging="1134"/>
        <w:rPr>
          <w:rFonts w:cs="Arial"/>
          <w:szCs w:val="20"/>
          <w:lang w:val="en-US" w:eastAsia="ar-SA"/>
        </w:rPr>
      </w:pPr>
    </w:p>
    <w:p w:rsidR="009C13A9" w:rsidRPr="00C903F8" w:rsidRDefault="00925755" w:rsidP="009C13A9">
      <w:pPr>
        <w:suppressAutoHyphens/>
        <w:autoSpaceDE/>
        <w:autoSpaceDN/>
        <w:spacing w:line="240" w:lineRule="atLeast"/>
        <w:ind w:left="1134" w:hanging="1134"/>
        <w:rPr>
          <w:rFonts w:cs="Arial"/>
          <w:szCs w:val="20"/>
          <w:lang w:val="en-US" w:eastAsia="ar-SA"/>
        </w:rPr>
      </w:pPr>
      <w:r w:rsidRPr="00C903F8">
        <w:rPr>
          <w:rFonts w:cs="Arial"/>
          <w:b/>
          <w:szCs w:val="20"/>
          <w:lang w:val="en-US" w:eastAsia="ar-SA"/>
        </w:rPr>
        <w:t>Section</w:t>
      </w:r>
      <w:r w:rsidR="009C13A9" w:rsidRPr="00C903F8">
        <w:rPr>
          <w:rFonts w:cs="Arial"/>
          <w:b/>
          <w:szCs w:val="20"/>
          <w:lang w:val="en-US" w:eastAsia="ar-SA"/>
        </w:rPr>
        <w:t xml:space="preserve"> V</w:t>
      </w:r>
      <w:r w:rsidR="009C13A9" w:rsidRPr="00C903F8">
        <w:rPr>
          <w:rFonts w:cs="Arial"/>
          <w:b/>
          <w:szCs w:val="20"/>
          <w:lang w:val="en-US" w:eastAsia="ar-SA"/>
        </w:rPr>
        <w:tab/>
      </w:r>
      <w:r w:rsidR="009C13A9" w:rsidRPr="00C903F8">
        <w:rPr>
          <w:rFonts w:cs="Arial"/>
          <w:szCs w:val="20"/>
          <w:lang w:val="en-US" w:eastAsia="ar-SA"/>
        </w:rPr>
        <w:t>Summary of type approvals for on-board sewage treatment plant types</w:t>
      </w:r>
    </w:p>
    <w:p w:rsidR="009C13A9" w:rsidRPr="00C903F8" w:rsidRDefault="009C13A9" w:rsidP="009C13A9">
      <w:pPr>
        <w:suppressAutoHyphens/>
        <w:autoSpaceDE/>
        <w:autoSpaceDN/>
        <w:spacing w:line="240" w:lineRule="atLeast"/>
        <w:ind w:left="1134" w:hanging="1134"/>
        <w:rPr>
          <w:rFonts w:cs="Arial"/>
          <w:szCs w:val="20"/>
          <w:lang w:val="en-US" w:eastAsia="ar-SA"/>
        </w:rPr>
      </w:pPr>
    </w:p>
    <w:p w:rsidR="009C13A9" w:rsidRPr="00C903F8" w:rsidRDefault="00925755" w:rsidP="009C13A9">
      <w:pPr>
        <w:suppressAutoHyphens/>
        <w:autoSpaceDE/>
        <w:autoSpaceDN/>
        <w:spacing w:line="240" w:lineRule="atLeast"/>
        <w:ind w:left="1134" w:hanging="1134"/>
        <w:rPr>
          <w:rFonts w:cs="Arial"/>
          <w:szCs w:val="20"/>
          <w:lang w:val="en-US" w:eastAsia="ar-SA"/>
        </w:rPr>
      </w:pPr>
      <w:r w:rsidRPr="00C903F8">
        <w:rPr>
          <w:rFonts w:cs="Arial"/>
          <w:b/>
          <w:szCs w:val="20"/>
          <w:lang w:val="en-US" w:eastAsia="ar-SA"/>
        </w:rPr>
        <w:t>Section</w:t>
      </w:r>
      <w:r w:rsidR="009C13A9" w:rsidRPr="00C903F8">
        <w:rPr>
          <w:rFonts w:cs="Arial"/>
          <w:b/>
          <w:szCs w:val="20"/>
          <w:lang w:val="en-US" w:eastAsia="ar-SA"/>
        </w:rPr>
        <w:t xml:space="preserve"> VI</w:t>
      </w:r>
      <w:r w:rsidR="009C13A9" w:rsidRPr="00C903F8">
        <w:rPr>
          <w:rFonts w:cs="Arial"/>
          <w:b/>
          <w:szCs w:val="20"/>
          <w:lang w:val="en-US" w:eastAsia="ar-SA"/>
        </w:rPr>
        <w:tab/>
      </w:r>
      <w:r w:rsidR="009C13A9" w:rsidRPr="00C903F8">
        <w:rPr>
          <w:rFonts w:cs="Arial"/>
          <w:szCs w:val="20"/>
          <w:lang w:val="en-US" w:eastAsia="ar-SA"/>
        </w:rPr>
        <w:t>Summary of on-board sewage treatment plants manufactured (model)</w:t>
      </w:r>
    </w:p>
    <w:p w:rsidR="009C13A9" w:rsidRPr="00C903F8" w:rsidRDefault="009C13A9" w:rsidP="009C13A9">
      <w:pPr>
        <w:suppressAutoHyphens/>
        <w:autoSpaceDE/>
        <w:autoSpaceDN/>
        <w:spacing w:line="240" w:lineRule="atLeast"/>
        <w:ind w:left="1134" w:hanging="1134"/>
        <w:rPr>
          <w:rFonts w:cs="Arial"/>
          <w:szCs w:val="20"/>
          <w:lang w:val="en-US" w:eastAsia="ar-SA"/>
        </w:rPr>
      </w:pPr>
    </w:p>
    <w:p w:rsidR="009C13A9" w:rsidRPr="00C903F8" w:rsidRDefault="00925755" w:rsidP="009C13A9">
      <w:pPr>
        <w:suppressAutoHyphens/>
        <w:autoSpaceDE/>
        <w:autoSpaceDN/>
        <w:spacing w:line="240" w:lineRule="atLeast"/>
        <w:ind w:left="1134" w:hanging="1134"/>
        <w:rPr>
          <w:rFonts w:cs="Arial"/>
          <w:szCs w:val="20"/>
          <w:lang w:val="en-US" w:eastAsia="ar-SA"/>
        </w:rPr>
      </w:pPr>
      <w:r w:rsidRPr="00C903F8">
        <w:rPr>
          <w:rFonts w:cs="Arial"/>
          <w:b/>
          <w:szCs w:val="20"/>
          <w:lang w:val="en-US" w:eastAsia="ar-SA"/>
        </w:rPr>
        <w:t>Section</w:t>
      </w:r>
      <w:r w:rsidR="009C13A9" w:rsidRPr="00C903F8">
        <w:rPr>
          <w:rFonts w:cs="Arial"/>
          <w:b/>
          <w:szCs w:val="20"/>
          <w:lang w:val="en-US" w:eastAsia="ar-SA"/>
        </w:rPr>
        <w:t xml:space="preserve"> VII</w:t>
      </w:r>
      <w:r w:rsidR="009C13A9" w:rsidRPr="00C903F8">
        <w:rPr>
          <w:rFonts w:cs="Arial"/>
          <w:b/>
          <w:szCs w:val="20"/>
          <w:lang w:val="en-US" w:eastAsia="ar-SA"/>
        </w:rPr>
        <w:tab/>
      </w:r>
      <w:r w:rsidR="009C13A9" w:rsidRPr="00C903F8">
        <w:rPr>
          <w:rFonts w:cs="Arial"/>
          <w:szCs w:val="20"/>
          <w:lang w:val="en-US" w:eastAsia="ar-SA"/>
        </w:rPr>
        <w:t>Data sheet for on-board sewage treatment plants with type approval (model)</w:t>
      </w:r>
    </w:p>
    <w:p w:rsidR="009C13A9" w:rsidRPr="00C903F8" w:rsidRDefault="009C13A9" w:rsidP="009C13A9">
      <w:pPr>
        <w:suppressAutoHyphens/>
        <w:autoSpaceDE/>
        <w:autoSpaceDN/>
        <w:spacing w:line="240" w:lineRule="atLeast"/>
        <w:ind w:left="1134" w:hanging="1134"/>
        <w:rPr>
          <w:rFonts w:cs="Arial"/>
          <w:szCs w:val="20"/>
          <w:lang w:val="en-US" w:eastAsia="ar-SA"/>
        </w:rPr>
      </w:pPr>
    </w:p>
    <w:p w:rsidR="009C13A9" w:rsidRPr="00C903F8" w:rsidRDefault="00925755" w:rsidP="009C13A9">
      <w:pPr>
        <w:suppressAutoHyphens/>
        <w:autoSpaceDE/>
        <w:autoSpaceDN/>
        <w:spacing w:line="240" w:lineRule="atLeast"/>
        <w:ind w:left="1134" w:hanging="1134"/>
        <w:rPr>
          <w:rFonts w:cs="Arial"/>
          <w:szCs w:val="20"/>
          <w:lang w:val="en-US" w:eastAsia="ar-SA"/>
        </w:rPr>
      </w:pPr>
      <w:r w:rsidRPr="00C903F8">
        <w:rPr>
          <w:rFonts w:cs="Arial"/>
          <w:b/>
          <w:szCs w:val="20"/>
          <w:lang w:val="en-US" w:eastAsia="ar-SA"/>
        </w:rPr>
        <w:t>Section</w:t>
      </w:r>
      <w:r w:rsidR="009C13A9" w:rsidRPr="00C903F8">
        <w:rPr>
          <w:rFonts w:cs="Arial"/>
          <w:b/>
          <w:szCs w:val="20"/>
          <w:lang w:val="en-US" w:eastAsia="ar-SA"/>
        </w:rPr>
        <w:t xml:space="preserve"> VIII</w:t>
      </w:r>
      <w:r w:rsidR="009C13A9" w:rsidRPr="00C903F8">
        <w:rPr>
          <w:rFonts w:cs="Arial"/>
          <w:b/>
          <w:szCs w:val="20"/>
          <w:lang w:val="en-US" w:eastAsia="ar-SA"/>
        </w:rPr>
        <w:tab/>
      </w:r>
      <w:r w:rsidR="009C13A9" w:rsidRPr="00C903F8">
        <w:rPr>
          <w:rFonts w:cs="Arial"/>
          <w:szCs w:val="20"/>
          <w:lang w:val="en-US" w:eastAsia="ar-SA"/>
        </w:rPr>
        <w:t>On-board sewage treatment plant parameters record for special test (model)</w:t>
      </w:r>
    </w:p>
    <w:p w:rsidR="009C13A9" w:rsidRPr="00C903F8" w:rsidRDefault="009C13A9" w:rsidP="009C13A9">
      <w:pPr>
        <w:suppressAutoHyphens/>
        <w:overflowPunct w:val="0"/>
        <w:autoSpaceDN/>
        <w:spacing w:line="240" w:lineRule="atLeast"/>
        <w:ind w:left="1134" w:hanging="1134"/>
        <w:textAlignment w:val="baseline"/>
        <w:rPr>
          <w:rFonts w:cs="Arial"/>
          <w:szCs w:val="20"/>
          <w:lang w:val="en-US" w:eastAsia="ar-SA"/>
        </w:rPr>
      </w:pPr>
    </w:p>
    <w:p w:rsidR="009C13A9" w:rsidRPr="00C903F8" w:rsidRDefault="009C13A9" w:rsidP="009C13A9">
      <w:pPr>
        <w:suppressAutoHyphens/>
        <w:overflowPunct w:val="0"/>
        <w:autoSpaceDN/>
        <w:spacing w:line="240" w:lineRule="atLeast"/>
        <w:ind w:left="1134" w:firstLine="0"/>
        <w:textAlignment w:val="baseline"/>
        <w:rPr>
          <w:rFonts w:cs="Arial"/>
          <w:szCs w:val="20"/>
          <w:lang w:val="en-US" w:eastAsia="ar-SA"/>
        </w:rPr>
      </w:pPr>
      <w:r w:rsidRPr="00C903F8">
        <w:rPr>
          <w:rFonts w:cs="Arial"/>
          <w:szCs w:val="20"/>
          <w:lang w:val="en-US" w:eastAsia="ar-SA"/>
        </w:rPr>
        <w:t>Appendix 1 - Appendix to the on-board sewage treatment plant parameters record</w:t>
      </w:r>
    </w:p>
    <w:p w:rsidR="009C13A9" w:rsidRPr="00C903F8" w:rsidRDefault="009C13A9" w:rsidP="009C13A9">
      <w:pPr>
        <w:suppressAutoHyphens/>
        <w:overflowPunct w:val="0"/>
        <w:autoSpaceDN/>
        <w:spacing w:line="240" w:lineRule="atLeast"/>
        <w:ind w:left="1134" w:firstLine="0"/>
        <w:textAlignment w:val="baseline"/>
        <w:rPr>
          <w:rFonts w:cs="Arial"/>
          <w:szCs w:val="20"/>
          <w:lang w:val="en-US" w:eastAsia="ar-SA"/>
        </w:rPr>
      </w:pPr>
    </w:p>
    <w:p w:rsidR="009E363E" w:rsidRPr="00C903F8" w:rsidRDefault="009E363E" w:rsidP="009E363E">
      <w:pPr>
        <w:suppressAutoHyphens/>
        <w:autoSpaceDE/>
        <w:autoSpaceDN/>
        <w:spacing w:line="240" w:lineRule="atLeast"/>
        <w:ind w:left="1134" w:hanging="1134"/>
        <w:rPr>
          <w:rFonts w:cs="Arial"/>
          <w:szCs w:val="20"/>
          <w:lang w:val="en-US" w:eastAsia="ar-SA"/>
        </w:rPr>
      </w:pPr>
      <w:r w:rsidRPr="00C903F8">
        <w:rPr>
          <w:rFonts w:cs="Arial"/>
          <w:b/>
          <w:szCs w:val="20"/>
          <w:lang w:val="en-US" w:eastAsia="ar-SA"/>
        </w:rPr>
        <w:t>Section IX</w:t>
      </w:r>
      <w:r w:rsidRPr="00C903F8">
        <w:rPr>
          <w:rFonts w:cs="Arial"/>
          <w:b/>
          <w:szCs w:val="20"/>
          <w:lang w:val="en-US" w:eastAsia="ar-SA"/>
        </w:rPr>
        <w:tab/>
      </w:r>
      <w:r w:rsidRPr="00C903F8">
        <w:rPr>
          <w:rFonts w:cs="Arial"/>
          <w:noProof/>
          <w:color w:val="000000"/>
          <w:lang w:val="en-US"/>
        </w:rPr>
        <w:t>Test procedure</w:t>
      </w:r>
    </w:p>
    <w:p w:rsidR="009C13A9" w:rsidRPr="00C903F8" w:rsidRDefault="009C13A9" w:rsidP="009C13A9">
      <w:pPr>
        <w:suppressAutoHyphens/>
        <w:overflowPunct w:val="0"/>
        <w:autoSpaceDN/>
        <w:spacing w:line="240" w:lineRule="atLeast"/>
        <w:ind w:left="1134" w:firstLine="0"/>
        <w:textAlignment w:val="baseline"/>
        <w:rPr>
          <w:rFonts w:cs="Arial"/>
          <w:szCs w:val="20"/>
          <w:lang w:val="en-US" w:eastAsia="ar-SA"/>
        </w:rPr>
      </w:pPr>
    </w:p>
    <w:p w:rsidR="009C13A9" w:rsidRPr="00C903F8" w:rsidRDefault="009C13A9" w:rsidP="009C13A9">
      <w:pPr>
        <w:suppressAutoHyphens/>
        <w:overflowPunct w:val="0"/>
        <w:autoSpaceDN/>
        <w:spacing w:line="240" w:lineRule="atLeast"/>
        <w:ind w:left="1134" w:firstLine="0"/>
        <w:textAlignment w:val="baseline"/>
        <w:rPr>
          <w:rFonts w:cs="Arial"/>
          <w:szCs w:val="20"/>
          <w:lang w:val="en-US" w:eastAsia="ar-SA"/>
        </w:rPr>
      </w:pPr>
    </w:p>
    <w:p w:rsidR="009C13A9" w:rsidRPr="00C903F8" w:rsidRDefault="009C13A9" w:rsidP="009C13A9">
      <w:pPr>
        <w:suppressAutoHyphens/>
        <w:overflowPunct w:val="0"/>
        <w:autoSpaceDN/>
        <w:spacing w:line="240" w:lineRule="atLeast"/>
        <w:ind w:left="1134" w:firstLine="0"/>
        <w:textAlignment w:val="baseline"/>
        <w:rPr>
          <w:rFonts w:cs="Arial"/>
          <w:szCs w:val="20"/>
          <w:lang w:val="en-US" w:eastAsia="ar-SA"/>
        </w:rPr>
      </w:pPr>
      <w:r w:rsidRPr="00C903F8">
        <w:rPr>
          <w:rFonts w:cs="Arial"/>
          <w:szCs w:val="20"/>
          <w:lang w:val="en-US" w:eastAsia="ar-SA"/>
        </w:rPr>
        <w:br w:type="page"/>
      </w:r>
    </w:p>
    <w:p w:rsidR="009C13A9" w:rsidRPr="00C903F8" w:rsidRDefault="009C13A9" w:rsidP="009C13A9">
      <w:pPr>
        <w:suppressAutoHyphens/>
        <w:overflowPunct w:val="0"/>
        <w:autoSpaceDN/>
        <w:spacing w:line="240" w:lineRule="atLeast"/>
        <w:ind w:left="1134" w:firstLine="0"/>
        <w:textAlignment w:val="baseline"/>
        <w:rPr>
          <w:rFonts w:cs="Arial"/>
          <w:szCs w:val="20"/>
          <w:lang w:val="en-US" w:eastAsia="ar-SA"/>
        </w:rPr>
      </w:pPr>
    </w:p>
    <w:p w:rsidR="009C13A9" w:rsidRPr="00C903F8" w:rsidRDefault="009C13A9" w:rsidP="009C13A9">
      <w:pPr>
        <w:suppressAutoHyphens/>
        <w:overflowPunct w:val="0"/>
        <w:autoSpaceDN/>
        <w:spacing w:line="240" w:lineRule="atLeast"/>
        <w:ind w:left="1134" w:firstLine="0"/>
        <w:textAlignment w:val="baseline"/>
        <w:rPr>
          <w:rFonts w:cs="Arial"/>
          <w:szCs w:val="20"/>
          <w:lang w:val="en-US" w:eastAsia="ar-SA"/>
        </w:rPr>
      </w:pPr>
    </w:p>
    <w:p w:rsidR="009C13A9" w:rsidRPr="00C903F8" w:rsidRDefault="009C13A9" w:rsidP="009C13A9">
      <w:pPr>
        <w:suppressAutoHyphens/>
        <w:overflowPunct w:val="0"/>
        <w:autoSpaceDN/>
        <w:spacing w:line="240" w:lineRule="atLeast"/>
        <w:ind w:left="1134" w:firstLine="0"/>
        <w:textAlignment w:val="baseline"/>
        <w:rPr>
          <w:rFonts w:cs="Arial"/>
          <w:szCs w:val="20"/>
          <w:lang w:val="en-US" w:eastAsia="ar-SA"/>
        </w:rPr>
      </w:pPr>
    </w:p>
    <w:p w:rsidR="009C13A9" w:rsidRPr="00C903F8" w:rsidRDefault="009C13A9" w:rsidP="009C13A9">
      <w:pPr>
        <w:suppressAutoHyphens/>
        <w:overflowPunct w:val="0"/>
        <w:autoSpaceDN/>
        <w:spacing w:line="240" w:lineRule="atLeast"/>
        <w:ind w:left="1134" w:firstLine="0"/>
        <w:textAlignment w:val="baseline"/>
        <w:rPr>
          <w:rFonts w:cs="Arial"/>
          <w:szCs w:val="20"/>
          <w:lang w:val="en-US" w:eastAsia="ar-SA"/>
        </w:rPr>
      </w:pPr>
    </w:p>
    <w:p w:rsidR="009C13A9" w:rsidRPr="00C903F8" w:rsidRDefault="009C13A9" w:rsidP="009C13A9">
      <w:pPr>
        <w:suppressAutoHyphens/>
        <w:overflowPunct w:val="0"/>
        <w:autoSpaceDN/>
        <w:spacing w:line="240" w:lineRule="atLeast"/>
        <w:ind w:left="1134" w:firstLine="0"/>
        <w:textAlignment w:val="baseline"/>
        <w:rPr>
          <w:rFonts w:cs="Arial"/>
          <w:szCs w:val="20"/>
          <w:lang w:val="en-US" w:eastAsia="ar-SA"/>
        </w:rPr>
      </w:pPr>
    </w:p>
    <w:p w:rsidR="009C13A9" w:rsidRPr="00C903F8" w:rsidRDefault="009C13A9" w:rsidP="009C13A9">
      <w:pPr>
        <w:tabs>
          <w:tab w:val="center" w:pos="7956"/>
        </w:tabs>
        <w:suppressAutoHyphens/>
        <w:autoSpaceDE/>
        <w:autoSpaceDN/>
        <w:spacing w:line="240" w:lineRule="atLeast"/>
        <w:ind w:left="0" w:firstLine="0"/>
        <w:jc w:val="right"/>
        <w:rPr>
          <w:rFonts w:cs="Arial"/>
          <w:b/>
          <w:szCs w:val="20"/>
          <w:lang w:val="it-CH" w:eastAsia="ar-SA"/>
        </w:rPr>
        <w:sectPr w:rsidR="009C13A9" w:rsidRPr="00C903F8" w:rsidSect="00FB55E9">
          <w:footnotePr>
            <w:numRestart w:val="eachPage"/>
          </w:footnotePr>
          <w:pgSz w:w="11907" w:h="16840" w:code="9"/>
          <w:pgMar w:top="1361" w:right="1418" w:bottom="1361" w:left="1418" w:header="680" w:footer="680" w:gutter="0"/>
          <w:cols w:space="720"/>
          <w:docGrid w:linePitch="326"/>
        </w:sectPr>
      </w:pPr>
    </w:p>
    <w:p w:rsidR="009C13A9" w:rsidRPr="00C903F8" w:rsidRDefault="00925755" w:rsidP="00684B1D">
      <w:pPr>
        <w:pStyle w:val="ES-Titre3"/>
        <w:rPr>
          <w:noProof/>
          <w:lang w:val="en-US"/>
        </w:rPr>
      </w:pPr>
      <w:bookmarkStart w:id="364" w:name="_Toc491854324"/>
      <w:r w:rsidRPr="00C903F8">
        <w:rPr>
          <w:noProof/>
          <w:lang w:val="en-US"/>
        </w:rPr>
        <w:lastRenderedPageBreak/>
        <w:t>Section</w:t>
      </w:r>
      <w:r w:rsidR="009C13A9" w:rsidRPr="00C903F8">
        <w:rPr>
          <w:noProof/>
          <w:lang w:val="en-US"/>
        </w:rPr>
        <w:t xml:space="preserve"> I</w:t>
      </w:r>
      <w:bookmarkEnd w:id="364"/>
    </w:p>
    <w:p w:rsidR="009C13A9" w:rsidRPr="00C903F8" w:rsidRDefault="009C13A9" w:rsidP="00684B1D">
      <w:pPr>
        <w:pStyle w:val="ES-Titre3a"/>
        <w:rPr>
          <w:noProof/>
          <w:lang w:val="en-US"/>
        </w:rPr>
      </w:pPr>
      <w:bookmarkStart w:id="365" w:name="_Toc491854325"/>
      <w:r w:rsidRPr="00C903F8">
        <w:rPr>
          <w:noProof/>
          <w:lang w:val="en-US"/>
        </w:rPr>
        <w:t>Supplementary provisions</w:t>
      </w:r>
      <w:bookmarkEnd w:id="365"/>
    </w:p>
    <w:p w:rsidR="009C13A9" w:rsidRPr="00C903F8" w:rsidRDefault="009C13A9" w:rsidP="009C13A9">
      <w:pPr>
        <w:ind w:left="709" w:hanging="709"/>
        <w:rPr>
          <w:noProof/>
          <w:lang w:val="en-US"/>
        </w:rPr>
      </w:pPr>
    </w:p>
    <w:p w:rsidR="009C13A9" w:rsidRPr="00C903F8" w:rsidRDefault="009C13A9" w:rsidP="009C13A9">
      <w:pPr>
        <w:spacing w:line="240" w:lineRule="atLeast"/>
        <w:ind w:left="709" w:hanging="709"/>
        <w:rPr>
          <w:b/>
          <w:noProof/>
          <w:lang w:val="en-US"/>
        </w:rPr>
      </w:pPr>
      <w:r w:rsidRPr="00C903F8">
        <w:rPr>
          <w:b/>
          <w:noProof/>
          <w:lang w:val="en-US"/>
        </w:rPr>
        <w:t>1.</w:t>
      </w:r>
      <w:r w:rsidRPr="00C903F8">
        <w:rPr>
          <w:b/>
          <w:noProof/>
          <w:lang w:val="en-US"/>
        </w:rPr>
        <w:tab/>
        <w:t>Marking of on-board sewage treatment plants</w:t>
      </w:r>
    </w:p>
    <w:p w:rsidR="009C13A9" w:rsidRPr="00C903F8" w:rsidRDefault="009C13A9" w:rsidP="009C13A9">
      <w:pPr>
        <w:spacing w:line="240" w:lineRule="atLeast"/>
        <w:ind w:left="709" w:hanging="709"/>
        <w:rPr>
          <w:noProof/>
          <w:lang w:val="en-US"/>
        </w:rPr>
      </w:pPr>
    </w:p>
    <w:p w:rsidR="009C13A9" w:rsidRPr="00C903F8" w:rsidRDefault="009C13A9" w:rsidP="009C13A9">
      <w:pPr>
        <w:spacing w:line="240" w:lineRule="atLeast"/>
        <w:ind w:left="709" w:hanging="709"/>
        <w:rPr>
          <w:noProof/>
          <w:lang w:val="en-US"/>
        </w:rPr>
      </w:pPr>
      <w:r w:rsidRPr="00C903F8">
        <w:rPr>
          <w:noProof/>
          <w:lang w:val="en-US"/>
        </w:rPr>
        <w:t>1.1</w:t>
      </w:r>
      <w:r w:rsidRPr="00C903F8">
        <w:rPr>
          <w:noProof/>
          <w:lang w:val="en-US"/>
        </w:rPr>
        <w:tab/>
        <w:t>The type</w:t>
      </w:r>
      <w:r w:rsidRPr="00C903F8">
        <w:rPr>
          <w:noProof/>
          <w:lang w:val="en-US"/>
        </w:rPr>
        <w:noBreakHyphen/>
        <w:t>tested on-board sewage treatment plant must bear the following information (marking):</w:t>
      </w:r>
    </w:p>
    <w:p w:rsidR="009C13A9" w:rsidRPr="00C903F8" w:rsidRDefault="009C13A9" w:rsidP="009C13A9">
      <w:pPr>
        <w:tabs>
          <w:tab w:val="left" w:leader="dot" w:pos="9072"/>
        </w:tabs>
        <w:spacing w:line="240" w:lineRule="atLeast"/>
        <w:ind w:left="709" w:hanging="709"/>
        <w:rPr>
          <w:rFonts w:cs="Arial"/>
          <w:noProof/>
          <w:lang w:val="en-US"/>
        </w:rPr>
      </w:pPr>
    </w:p>
    <w:p w:rsidR="009C13A9" w:rsidRPr="00C903F8" w:rsidRDefault="009C13A9" w:rsidP="009C13A9">
      <w:pPr>
        <w:spacing w:line="240" w:lineRule="atLeast"/>
        <w:ind w:left="709" w:hanging="709"/>
        <w:rPr>
          <w:noProof/>
          <w:lang w:val="en-US"/>
        </w:rPr>
      </w:pPr>
      <w:r w:rsidRPr="00C903F8">
        <w:rPr>
          <w:noProof/>
          <w:lang w:val="en-US"/>
        </w:rPr>
        <w:t>1.1.1</w:t>
      </w:r>
      <w:r w:rsidRPr="00C903F8">
        <w:rPr>
          <w:noProof/>
          <w:lang w:val="en-US"/>
        </w:rPr>
        <w:tab/>
        <w:t>manufacturer's trademark or trade name;</w:t>
      </w:r>
    </w:p>
    <w:p w:rsidR="009C13A9" w:rsidRPr="00C903F8" w:rsidRDefault="009C13A9" w:rsidP="009C13A9">
      <w:pPr>
        <w:spacing w:line="240" w:lineRule="atLeast"/>
        <w:ind w:left="709" w:hanging="709"/>
        <w:rPr>
          <w:noProof/>
          <w:lang w:val="en-US"/>
        </w:rPr>
      </w:pPr>
    </w:p>
    <w:p w:rsidR="009C13A9" w:rsidRPr="00C903F8" w:rsidRDefault="009C13A9" w:rsidP="009C13A9">
      <w:pPr>
        <w:spacing w:line="240" w:lineRule="atLeast"/>
        <w:ind w:left="709" w:hanging="709"/>
        <w:rPr>
          <w:noProof/>
          <w:lang w:val="en-US"/>
        </w:rPr>
      </w:pPr>
      <w:r w:rsidRPr="00C903F8">
        <w:rPr>
          <w:noProof/>
          <w:lang w:val="en-US"/>
        </w:rPr>
        <w:t>1.1.2</w:t>
      </w:r>
      <w:r w:rsidRPr="00C903F8">
        <w:rPr>
          <w:noProof/>
          <w:lang w:val="en-US"/>
        </w:rPr>
        <w:tab/>
        <w:t>on-board sewage treatment plant type and serial number of the plant;</w:t>
      </w:r>
    </w:p>
    <w:p w:rsidR="009C13A9" w:rsidRPr="00C903F8" w:rsidRDefault="009C13A9" w:rsidP="009C13A9">
      <w:pPr>
        <w:spacing w:line="240" w:lineRule="atLeast"/>
        <w:ind w:left="709" w:hanging="709"/>
        <w:rPr>
          <w:noProof/>
          <w:lang w:val="en-US"/>
        </w:rPr>
      </w:pPr>
    </w:p>
    <w:p w:rsidR="009C13A9" w:rsidRPr="00C903F8" w:rsidRDefault="009C13A9" w:rsidP="009C13A9">
      <w:pPr>
        <w:spacing w:line="240" w:lineRule="atLeast"/>
        <w:ind w:left="709" w:hanging="709"/>
        <w:rPr>
          <w:noProof/>
          <w:lang w:val="en-US"/>
        </w:rPr>
      </w:pPr>
      <w:r w:rsidRPr="00C903F8">
        <w:rPr>
          <w:noProof/>
          <w:lang w:val="en-US"/>
        </w:rPr>
        <w:t>1.1.3</w:t>
      </w:r>
      <w:r w:rsidRPr="00C903F8">
        <w:rPr>
          <w:noProof/>
          <w:lang w:val="en-US"/>
        </w:rPr>
        <w:tab/>
        <w:t xml:space="preserve">number of the type approval in accordance with </w:t>
      </w:r>
      <w:r w:rsidR="00925755" w:rsidRPr="00C903F8">
        <w:rPr>
          <w:noProof/>
          <w:lang w:val="en-US"/>
        </w:rPr>
        <w:t>Section</w:t>
      </w:r>
      <w:r w:rsidRPr="00C903F8">
        <w:rPr>
          <w:noProof/>
          <w:lang w:val="en-US"/>
        </w:rPr>
        <w:t xml:space="preserve"> IV of this Annex;</w:t>
      </w:r>
    </w:p>
    <w:p w:rsidR="009C13A9" w:rsidRPr="00C903F8" w:rsidRDefault="009C13A9" w:rsidP="009C13A9">
      <w:pPr>
        <w:spacing w:line="240" w:lineRule="atLeast"/>
        <w:ind w:left="709" w:hanging="709"/>
        <w:rPr>
          <w:noProof/>
          <w:lang w:val="en-US"/>
        </w:rPr>
      </w:pPr>
    </w:p>
    <w:p w:rsidR="009C13A9" w:rsidRPr="00C903F8" w:rsidRDefault="009C13A9" w:rsidP="009C13A9">
      <w:pPr>
        <w:spacing w:line="240" w:lineRule="atLeast"/>
        <w:ind w:left="709" w:hanging="709"/>
        <w:rPr>
          <w:noProof/>
          <w:lang w:val="en-US"/>
        </w:rPr>
      </w:pPr>
      <w:r w:rsidRPr="00C903F8">
        <w:rPr>
          <w:noProof/>
          <w:lang w:val="en-US"/>
        </w:rPr>
        <w:t>1.1.4</w:t>
      </w:r>
      <w:r w:rsidRPr="00C903F8">
        <w:rPr>
          <w:noProof/>
          <w:lang w:val="en-US"/>
        </w:rPr>
        <w:tab/>
        <w:t>year of construction of the on-board sewage treatment plant.</w:t>
      </w:r>
    </w:p>
    <w:p w:rsidR="009C13A9" w:rsidRPr="00C903F8" w:rsidRDefault="009C13A9" w:rsidP="009C13A9">
      <w:pPr>
        <w:spacing w:line="240" w:lineRule="atLeast"/>
        <w:ind w:left="709" w:hanging="709"/>
        <w:rPr>
          <w:noProof/>
          <w:lang w:val="en-US"/>
        </w:rPr>
      </w:pPr>
    </w:p>
    <w:p w:rsidR="009C13A9" w:rsidRPr="00C903F8" w:rsidRDefault="009C13A9" w:rsidP="009C13A9">
      <w:pPr>
        <w:spacing w:line="240" w:lineRule="atLeast"/>
        <w:ind w:left="709" w:hanging="709"/>
        <w:rPr>
          <w:noProof/>
          <w:lang w:val="en-US"/>
        </w:rPr>
      </w:pPr>
      <w:r w:rsidRPr="00C903F8">
        <w:rPr>
          <w:noProof/>
          <w:lang w:val="en-US"/>
        </w:rPr>
        <w:t>1.2</w:t>
      </w:r>
      <w:r w:rsidRPr="00C903F8">
        <w:rPr>
          <w:noProof/>
          <w:lang w:val="en-US"/>
        </w:rPr>
        <w:tab/>
        <w:t xml:space="preserve">The marking in accordance with </w:t>
      </w:r>
      <w:r w:rsidR="007261E0" w:rsidRPr="00C903F8">
        <w:rPr>
          <w:noProof/>
          <w:lang w:val="en-US"/>
        </w:rPr>
        <w:t>(</w:t>
      </w:r>
      <w:r w:rsidRPr="00C903F8">
        <w:rPr>
          <w:noProof/>
          <w:lang w:val="en-US"/>
        </w:rPr>
        <w:t>1.1</w:t>
      </w:r>
      <w:r w:rsidR="007261E0" w:rsidRPr="00C903F8">
        <w:rPr>
          <w:noProof/>
          <w:lang w:val="en-US"/>
        </w:rPr>
        <w:t>)</w:t>
      </w:r>
      <w:r w:rsidRPr="00C903F8">
        <w:rPr>
          <w:noProof/>
          <w:lang w:val="en-US"/>
        </w:rPr>
        <w:t xml:space="preserve"> must be durable, clearly legible and indelible throughout the working life of the on</w:t>
      </w:r>
      <w:r w:rsidR="00433D99" w:rsidRPr="00C903F8">
        <w:rPr>
          <w:noProof/>
          <w:lang w:val="en-US"/>
        </w:rPr>
        <w:t>-</w:t>
      </w:r>
      <w:r w:rsidRPr="00C903F8">
        <w:rPr>
          <w:noProof/>
          <w:lang w:val="en-US"/>
        </w:rPr>
        <w:t>board sewage treatment plant. If adhesive labels or plates are used, they must be affixed so as to stay on throughout the working life of the on</w:t>
      </w:r>
      <w:r w:rsidR="00433D99" w:rsidRPr="00C903F8">
        <w:rPr>
          <w:noProof/>
          <w:lang w:val="en-US"/>
        </w:rPr>
        <w:t>­</w:t>
      </w:r>
      <w:r w:rsidRPr="00C903F8">
        <w:rPr>
          <w:noProof/>
          <w:lang w:val="en-US"/>
        </w:rPr>
        <w:t>board sewage treatment plant and in such a way that they cannot be removed without being destroyed or rendered indecipherable.</w:t>
      </w:r>
    </w:p>
    <w:p w:rsidR="009C13A9" w:rsidRPr="00C903F8" w:rsidRDefault="009C13A9" w:rsidP="009C13A9">
      <w:pPr>
        <w:spacing w:line="240" w:lineRule="atLeast"/>
        <w:ind w:left="709" w:hanging="709"/>
        <w:rPr>
          <w:noProof/>
          <w:lang w:val="en-US"/>
        </w:rPr>
      </w:pPr>
    </w:p>
    <w:p w:rsidR="009C13A9" w:rsidRPr="00C903F8" w:rsidRDefault="009C13A9" w:rsidP="009C13A9">
      <w:pPr>
        <w:spacing w:line="240" w:lineRule="atLeast"/>
        <w:ind w:left="709" w:hanging="709"/>
        <w:rPr>
          <w:noProof/>
          <w:lang w:val="en-US"/>
        </w:rPr>
      </w:pPr>
      <w:r w:rsidRPr="00C903F8">
        <w:rPr>
          <w:noProof/>
          <w:lang w:val="en-US"/>
        </w:rPr>
        <w:t>1.3</w:t>
      </w:r>
      <w:r w:rsidRPr="00C903F8">
        <w:rPr>
          <w:noProof/>
          <w:lang w:val="en-US"/>
        </w:rPr>
        <w:tab/>
        <w:t>The marking must be affixed to a part of the on-board sewage treatment plant necessary for normal operation of the on-board sewage treatment plant and not normally requiring replacement during the working life of the on-board sewage treatment plant.</w:t>
      </w:r>
    </w:p>
    <w:p w:rsidR="009C13A9" w:rsidRPr="00C903F8" w:rsidRDefault="009C13A9" w:rsidP="009C13A9">
      <w:pPr>
        <w:spacing w:line="240" w:lineRule="atLeast"/>
        <w:ind w:left="709" w:hanging="709"/>
        <w:rPr>
          <w:noProof/>
          <w:lang w:val="en-US"/>
        </w:rPr>
      </w:pPr>
    </w:p>
    <w:p w:rsidR="009C13A9" w:rsidRPr="00C903F8" w:rsidRDefault="009C13A9" w:rsidP="009C13A9">
      <w:pPr>
        <w:spacing w:line="240" w:lineRule="atLeast"/>
        <w:ind w:left="709" w:hanging="709"/>
        <w:rPr>
          <w:noProof/>
          <w:lang w:val="en-US"/>
        </w:rPr>
      </w:pPr>
      <w:r w:rsidRPr="00C903F8">
        <w:rPr>
          <w:noProof/>
          <w:lang w:val="en-US"/>
        </w:rPr>
        <w:t>1.3.1</w:t>
      </w:r>
      <w:r w:rsidRPr="00C903F8">
        <w:rPr>
          <w:noProof/>
          <w:lang w:val="en-US"/>
        </w:rPr>
        <w:tab/>
        <w:t>The marking must be affixed in such a way that it is clearly visible after the on</w:t>
      </w:r>
      <w:r w:rsidR="00433D99" w:rsidRPr="00C903F8">
        <w:rPr>
          <w:noProof/>
          <w:lang w:val="en-US"/>
        </w:rPr>
        <w:t>-</w:t>
      </w:r>
      <w:r w:rsidRPr="00C903F8">
        <w:rPr>
          <w:noProof/>
          <w:lang w:val="en-US"/>
        </w:rPr>
        <w:t>board sewage treatment plant has been fitted with all the auxiliary equipment necessary for its operation.</w:t>
      </w:r>
    </w:p>
    <w:p w:rsidR="009C13A9" w:rsidRPr="00C903F8" w:rsidRDefault="009C13A9" w:rsidP="009C13A9">
      <w:pPr>
        <w:spacing w:line="240" w:lineRule="atLeast"/>
        <w:ind w:left="709" w:hanging="709"/>
        <w:rPr>
          <w:noProof/>
          <w:lang w:val="en-US"/>
        </w:rPr>
      </w:pPr>
    </w:p>
    <w:p w:rsidR="009C13A9" w:rsidRPr="00C903F8" w:rsidRDefault="009C13A9" w:rsidP="009C13A9">
      <w:pPr>
        <w:spacing w:line="240" w:lineRule="atLeast"/>
        <w:ind w:left="709" w:hanging="709"/>
        <w:rPr>
          <w:noProof/>
          <w:lang w:val="en-US"/>
        </w:rPr>
      </w:pPr>
      <w:r w:rsidRPr="00C903F8">
        <w:rPr>
          <w:noProof/>
          <w:lang w:val="en-US"/>
        </w:rPr>
        <w:t>1.3.2</w:t>
      </w:r>
      <w:r w:rsidRPr="00C903F8">
        <w:rPr>
          <w:noProof/>
          <w:lang w:val="en-US"/>
        </w:rPr>
        <w:tab/>
        <w:t xml:space="preserve">If necessary, the on-board sewage treatment plant must bear an additional removable plate made of a durable material which must contain all the information in referred to in </w:t>
      </w:r>
      <w:r w:rsidR="007261E0" w:rsidRPr="00C903F8">
        <w:rPr>
          <w:noProof/>
          <w:lang w:val="en-US"/>
        </w:rPr>
        <w:t>(</w:t>
      </w:r>
      <w:r w:rsidRPr="00C903F8">
        <w:rPr>
          <w:noProof/>
          <w:lang w:val="en-US"/>
        </w:rPr>
        <w:t>1.1</w:t>
      </w:r>
      <w:r w:rsidR="007261E0" w:rsidRPr="00C903F8">
        <w:rPr>
          <w:noProof/>
          <w:lang w:val="en-US"/>
        </w:rPr>
        <w:t>)</w:t>
      </w:r>
      <w:r w:rsidRPr="00C903F8">
        <w:rPr>
          <w:noProof/>
          <w:lang w:val="en-US"/>
        </w:rPr>
        <w:t xml:space="preserve"> and which shall be affixed in such a way that that information is clearly legible and easily accessible after the on-board sewage treatment plant has been installed in a craft.</w:t>
      </w:r>
    </w:p>
    <w:p w:rsidR="009C13A9" w:rsidRPr="00C903F8" w:rsidRDefault="009C13A9" w:rsidP="009C13A9">
      <w:pPr>
        <w:spacing w:line="240" w:lineRule="atLeast"/>
        <w:ind w:left="709" w:hanging="709"/>
        <w:rPr>
          <w:noProof/>
          <w:lang w:val="en-US"/>
        </w:rPr>
      </w:pPr>
    </w:p>
    <w:p w:rsidR="009C13A9" w:rsidRPr="00C903F8" w:rsidRDefault="009C13A9" w:rsidP="009C13A9">
      <w:pPr>
        <w:spacing w:line="240" w:lineRule="atLeast"/>
        <w:ind w:left="709" w:hanging="709"/>
        <w:rPr>
          <w:noProof/>
          <w:lang w:val="en-US"/>
        </w:rPr>
      </w:pPr>
      <w:r w:rsidRPr="00C903F8">
        <w:rPr>
          <w:noProof/>
          <w:lang w:val="en-US"/>
        </w:rPr>
        <w:t>1.4</w:t>
      </w:r>
      <w:r w:rsidRPr="00C903F8">
        <w:rPr>
          <w:noProof/>
          <w:lang w:val="en-US"/>
        </w:rPr>
        <w:tab/>
        <w:t>All parts of the on-board sewage treatment plant which may have an effect on the treatment of sewage must be clearly marked and identified.</w:t>
      </w:r>
    </w:p>
    <w:p w:rsidR="009C13A9" w:rsidRPr="00C903F8" w:rsidRDefault="009C13A9" w:rsidP="009C13A9">
      <w:pPr>
        <w:spacing w:line="240" w:lineRule="atLeast"/>
        <w:ind w:left="709" w:hanging="709"/>
        <w:rPr>
          <w:noProof/>
          <w:lang w:val="en-US"/>
        </w:rPr>
      </w:pPr>
    </w:p>
    <w:p w:rsidR="009C13A9" w:rsidRPr="00C903F8" w:rsidRDefault="009C13A9" w:rsidP="009C13A9">
      <w:pPr>
        <w:spacing w:line="240" w:lineRule="atLeast"/>
        <w:ind w:left="709" w:hanging="709"/>
        <w:rPr>
          <w:noProof/>
          <w:lang w:val="en-US"/>
        </w:rPr>
      </w:pPr>
      <w:r w:rsidRPr="00C903F8">
        <w:rPr>
          <w:noProof/>
          <w:lang w:val="en-US"/>
        </w:rPr>
        <w:t>1.5</w:t>
      </w:r>
      <w:r w:rsidRPr="00C903F8">
        <w:rPr>
          <w:noProof/>
          <w:lang w:val="en-US"/>
        </w:rPr>
        <w:tab/>
        <w:t xml:space="preserve">The exact location of the marking referred to in </w:t>
      </w:r>
      <w:r w:rsidR="007261E0" w:rsidRPr="00C903F8">
        <w:rPr>
          <w:noProof/>
          <w:lang w:val="en-US"/>
        </w:rPr>
        <w:t>(</w:t>
      </w:r>
      <w:r w:rsidRPr="00C903F8">
        <w:rPr>
          <w:noProof/>
          <w:lang w:val="en-US"/>
        </w:rPr>
        <w:t>1.1</w:t>
      </w:r>
      <w:r w:rsidR="007261E0" w:rsidRPr="00C903F8">
        <w:rPr>
          <w:noProof/>
          <w:lang w:val="en-US"/>
        </w:rPr>
        <w:t>)</w:t>
      </w:r>
      <w:r w:rsidRPr="00C903F8">
        <w:rPr>
          <w:noProof/>
          <w:lang w:val="en-US"/>
        </w:rPr>
        <w:t xml:space="preserve"> shall be indicated in Section I of the type approval certificate.</w:t>
      </w:r>
    </w:p>
    <w:p w:rsidR="009C13A9" w:rsidRPr="00C903F8" w:rsidRDefault="009C13A9" w:rsidP="009C13A9">
      <w:pPr>
        <w:suppressAutoHyphens/>
        <w:autoSpaceDE/>
        <w:autoSpaceDN/>
        <w:spacing w:line="240" w:lineRule="atLeast"/>
        <w:ind w:left="709" w:hanging="709"/>
        <w:jc w:val="left"/>
        <w:rPr>
          <w:rFonts w:cs="Arial"/>
          <w:szCs w:val="20"/>
          <w:lang w:val="en-US" w:eastAsia="ar-SA"/>
        </w:rPr>
      </w:pPr>
    </w:p>
    <w:p w:rsidR="009C13A9" w:rsidRPr="00C903F8" w:rsidRDefault="009C13A9" w:rsidP="009C13A9">
      <w:pPr>
        <w:spacing w:line="240" w:lineRule="atLeast"/>
        <w:ind w:left="709" w:hanging="709"/>
        <w:outlineLvl w:val="0"/>
        <w:rPr>
          <w:b/>
          <w:noProof/>
          <w:szCs w:val="20"/>
          <w:lang w:val="en-US"/>
        </w:rPr>
      </w:pPr>
      <w:r w:rsidRPr="00C903F8">
        <w:rPr>
          <w:b/>
          <w:noProof/>
          <w:szCs w:val="20"/>
          <w:lang w:val="en-US"/>
        </w:rPr>
        <w:t>2.</w:t>
      </w:r>
      <w:r w:rsidRPr="00C903F8">
        <w:rPr>
          <w:b/>
          <w:noProof/>
          <w:szCs w:val="20"/>
          <w:lang w:val="en-US"/>
        </w:rPr>
        <w:tab/>
        <w:t>Testing</w:t>
      </w:r>
    </w:p>
    <w:p w:rsidR="009C13A9" w:rsidRPr="00C903F8" w:rsidRDefault="009C13A9" w:rsidP="009C13A9">
      <w:pPr>
        <w:spacing w:line="240" w:lineRule="atLeast"/>
        <w:ind w:left="709" w:hanging="709"/>
        <w:rPr>
          <w:noProof/>
          <w:szCs w:val="20"/>
          <w:lang w:val="en-US"/>
        </w:rPr>
      </w:pPr>
    </w:p>
    <w:p w:rsidR="009C13A9" w:rsidRPr="00C903F8" w:rsidRDefault="009C13A9" w:rsidP="009C13A9">
      <w:pPr>
        <w:spacing w:line="240" w:lineRule="atLeast"/>
        <w:ind w:left="709" w:firstLine="0"/>
        <w:rPr>
          <w:noProof/>
          <w:szCs w:val="20"/>
          <w:lang w:val="en-US"/>
        </w:rPr>
      </w:pPr>
      <w:r w:rsidRPr="00C903F8">
        <w:rPr>
          <w:noProof/>
          <w:szCs w:val="20"/>
          <w:lang w:val="en-US"/>
        </w:rPr>
        <w:t xml:space="preserve">The procedure for testing an on-board sewage treatment plant is laid down in </w:t>
      </w:r>
      <w:r w:rsidR="00B0625C" w:rsidRPr="00C903F8">
        <w:rPr>
          <w:noProof/>
          <w:szCs w:val="20"/>
          <w:lang w:val="en-US"/>
        </w:rPr>
        <w:t>Section IX</w:t>
      </w:r>
      <w:r w:rsidRPr="00C903F8">
        <w:rPr>
          <w:noProof/>
          <w:szCs w:val="20"/>
          <w:lang w:val="en-US"/>
        </w:rPr>
        <w:t xml:space="preserve">. </w:t>
      </w:r>
    </w:p>
    <w:p w:rsidR="009C13A9" w:rsidRPr="00C903F8" w:rsidRDefault="009C13A9" w:rsidP="009C13A9">
      <w:pPr>
        <w:spacing w:line="240" w:lineRule="atLeast"/>
        <w:ind w:left="709" w:hanging="709"/>
        <w:rPr>
          <w:noProof/>
          <w:szCs w:val="20"/>
          <w:lang w:val="en-US"/>
        </w:rPr>
      </w:pPr>
    </w:p>
    <w:p w:rsidR="009C13A9" w:rsidRPr="00C903F8" w:rsidRDefault="009C13A9" w:rsidP="009C13A9">
      <w:pPr>
        <w:spacing w:line="240" w:lineRule="atLeast"/>
        <w:ind w:left="709" w:hanging="709"/>
        <w:rPr>
          <w:noProof/>
          <w:szCs w:val="20"/>
          <w:lang w:val="en-US"/>
        </w:rPr>
      </w:pPr>
      <w:r w:rsidRPr="00C903F8">
        <w:rPr>
          <w:noProof/>
          <w:szCs w:val="20"/>
          <w:lang w:val="en-US"/>
        </w:rPr>
        <w:br w:type="page"/>
      </w:r>
    </w:p>
    <w:p w:rsidR="009C13A9" w:rsidRPr="00C903F8" w:rsidRDefault="009C13A9" w:rsidP="009C13A9">
      <w:pPr>
        <w:spacing w:line="240" w:lineRule="atLeast"/>
        <w:ind w:left="709" w:hanging="709"/>
        <w:outlineLvl w:val="0"/>
        <w:rPr>
          <w:b/>
          <w:noProof/>
          <w:szCs w:val="20"/>
          <w:lang w:val="en-US"/>
        </w:rPr>
      </w:pPr>
      <w:r w:rsidRPr="00C903F8">
        <w:rPr>
          <w:b/>
          <w:noProof/>
          <w:szCs w:val="20"/>
          <w:lang w:val="en-US"/>
        </w:rPr>
        <w:lastRenderedPageBreak/>
        <w:t>3.</w:t>
      </w:r>
      <w:r w:rsidRPr="00C903F8">
        <w:rPr>
          <w:b/>
          <w:noProof/>
          <w:szCs w:val="20"/>
          <w:lang w:val="en-US"/>
        </w:rPr>
        <w:tab/>
        <w:t>Evaluation of conformity of production</w:t>
      </w:r>
    </w:p>
    <w:p w:rsidR="009C13A9" w:rsidRPr="00C903F8" w:rsidRDefault="009C13A9" w:rsidP="009C13A9">
      <w:pPr>
        <w:spacing w:line="240" w:lineRule="atLeast"/>
        <w:ind w:left="709" w:hanging="709"/>
        <w:outlineLvl w:val="0"/>
        <w:rPr>
          <w:b/>
          <w:noProof/>
          <w:szCs w:val="20"/>
          <w:lang w:val="en-US"/>
        </w:rPr>
      </w:pPr>
    </w:p>
    <w:p w:rsidR="009C13A9" w:rsidRPr="00C903F8" w:rsidRDefault="009C13A9" w:rsidP="009C13A9">
      <w:pPr>
        <w:spacing w:line="240" w:lineRule="atLeast"/>
        <w:ind w:left="709" w:hanging="709"/>
        <w:rPr>
          <w:noProof/>
          <w:szCs w:val="20"/>
          <w:lang w:val="en-US"/>
        </w:rPr>
      </w:pPr>
      <w:r w:rsidRPr="00C903F8">
        <w:rPr>
          <w:noProof/>
          <w:szCs w:val="20"/>
          <w:lang w:val="en-US"/>
        </w:rPr>
        <w:t>3.1</w:t>
      </w:r>
      <w:r w:rsidRPr="00C903F8">
        <w:rPr>
          <w:noProof/>
          <w:szCs w:val="20"/>
          <w:lang w:val="en-US"/>
        </w:rPr>
        <w:tab/>
      </w:r>
      <w:r w:rsidR="00F04CAF" w:rsidRPr="00935539">
        <w:rPr>
          <w:rFonts w:ascii="ArialMT" w:hAnsi="ArialMT" w:cs="ArialMT"/>
          <w:szCs w:val="20"/>
          <w:lang w:val="en-US" w:eastAsia="de-DE"/>
        </w:rPr>
        <w:t xml:space="preserve">With regard to the verification of the existence of satisfactory arrangements and procedures for ensuring effective </w:t>
      </w:r>
      <w:r w:rsidR="00F04CAF" w:rsidRPr="003D0163">
        <w:rPr>
          <w:rFonts w:ascii="ArialMT" w:hAnsi="ArialMT" w:cs="ArialMT"/>
          <w:szCs w:val="20"/>
          <w:lang w:val="en-US" w:eastAsia="de-DE"/>
        </w:rPr>
        <w:t>control of production conformity before granting type approval, the competent authority must accept the manufacturer's registration to harmonised European Standard EN ISO 9001: 2015</w:t>
      </w:r>
      <w:r w:rsidR="00F04CAF" w:rsidRPr="00935539">
        <w:rPr>
          <w:rFonts w:ascii="ArialMT" w:hAnsi="ArialMT" w:cs="ArialMT"/>
          <w:szCs w:val="20"/>
          <w:lang w:val="en-US" w:eastAsia="de-DE"/>
        </w:rPr>
        <w:t xml:space="preserve"> (whose scope covers the production of the on-board sewage treatment plants concerned) or an equivalent accreditation standard as satisfying the requirements</w:t>
      </w:r>
      <w:r w:rsidR="00F04CAF">
        <w:rPr>
          <w:rFonts w:ascii="ArialMT" w:hAnsi="ArialMT" w:cs="ArialMT"/>
          <w:szCs w:val="20"/>
          <w:lang w:val="en-US" w:eastAsia="de-DE"/>
        </w:rPr>
        <w:t xml:space="preserve">. </w:t>
      </w:r>
      <w:r w:rsidRPr="00C903F8">
        <w:rPr>
          <w:noProof/>
          <w:szCs w:val="20"/>
          <w:lang w:val="en-US"/>
        </w:rPr>
        <w:t xml:space="preserve">The manufacturer must provide details of the registration and undertake to inform the competent authority of any revisions to its validity or scope. Appropriate production inspections shall be carried out in order to ensure that the requirements of Article 18.01(2) to (5) are consistently being fulfilled. </w:t>
      </w:r>
    </w:p>
    <w:p w:rsidR="009C13A9" w:rsidRPr="00C903F8" w:rsidRDefault="009C13A9" w:rsidP="009C13A9">
      <w:pPr>
        <w:spacing w:line="240" w:lineRule="atLeast"/>
        <w:ind w:left="709" w:hanging="709"/>
        <w:rPr>
          <w:noProof/>
          <w:szCs w:val="20"/>
          <w:lang w:val="en-US"/>
        </w:rPr>
      </w:pPr>
    </w:p>
    <w:p w:rsidR="009C13A9" w:rsidRPr="00C903F8" w:rsidRDefault="009C13A9" w:rsidP="009C13A9">
      <w:pPr>
        <w:spacing w:line="240" w:lineRule="atLeast"/>
        <w:ind w:left="709" w:hanging="709"/>
        <w:rPr>
          <w:noProof/>
          <w:szCs w:val="20"/>
          <w:lang w:val="en-US"/>
        </w:rPr>
      </w:pPr>
      <w:r w:rsidRPr="00C903F8">
        <w:rPr>
          <w:noProof/>
          <w:szCs w:val="20"/>
          <w:lang w:val="en-US"/>
        </w:rPr>
        <w:t>3.2</w:t>
      </w:r>
      <w:r w:rsidRPr="00C903F8">
        <w:rPr>
          <w:noProof/>
          <w:szCs w:val="20"/>
          <w:lang w:val="en-US"/>
        </w:rPr>
        <w:tab/>
        <w:t>The holder of the type approval must:</w:t>
      </w:r>
    </w:p>
    <w:p w:rsidR="009C13A9" w:rsidRPr="00C903F8" w:rsidRDefault="009C13A9" w:rsidP="009C13A9">
      <w:pPr>
        <w:spacing w:line="240" w:lineRule="atLeast"/>
        <w:ind w:left="709" w:hanging="709"/>
        <w:rPr>
          <w:noProof/>
          <w:szCs w:val="20"/>
          <w:lang w:val="en-US"/>
        </w:rPr>
      </w:pPr>
    </w:p>
    <w:p w:rsidR="009C13A9" w:rsidRPr="00C903F8" w:rsidRDefault="009C13A9" w:rsidP="009C13A9">
      <w:pPr>
        <w:spacing w:line="240" w:lineRule="atLeast"/>
        <w:ind w:left="709" w:hanging="709"/>
        <w:rPr>
          <w:noProof/>
          <w:szCs w:val="20"/>
          <w:lang w:val="en-US"/>
        </w:rPr>
      </w:pPr>
      <w:r w:rsidRPr="00C903F8">
        <w:rPr>
          <w:noProof/>
          <w:szCs w:val="20"/>
          <w:lang w:val="en-US"/>
        </w:rPr>
        <w:t>3.2.1</w:t>
      </w:r>
      <w:r w:rsidRPr="00C903F8">
        <w:rPr>
          <w:noProof/>
          <w:szCs w:val="20"/>
          <w:lang w:val="en-US"/>
        </w:rPr>
        <w:tab/>
        <w:t xml:space="preserve">ensure that procedures are in place for the effective control of the quality of the product; </w:t>
      </w:r>
    </w:p>
    <w:p w:rsidR="009C13A9" w:rsidRPr="00C903F8" w:rsidRDefault="009C13A9" w:rsidP="009C13A9">
      <w:pPr>
        <w:spacing w:line="240" w:lineRule="atLeast"/>
        <w:ind w:left="709" w:hanging="709"/>
        <w:rPr>
          <w:noProof/>
          <w:szCs w:val="20"/>
          <w:lang w:val="en-US"/>
        </w:rPr>
      </w:pPr>
    </w:p>
    <w:p w:rsidR="009C13A9" w:rsidRPr="00C903F8" w:rsidRDefault="009C13A9" w:rsidP="009C13A9">
      <w:pPr>
        <w:spacing w:line="240" w:lineRule="atLeast"/>
        <w:ind w:left="709" w:hanging="709"/>
        <w:rPr>
          <w:noProof/>
          <w:szCs w:val="20"/>
          <w:lang w:val="en-US"/>
        </w:rPr>
      </w:pPr>
      <w:r w:rsidRPr="00C903F8">
        <w:rPr>
          <w:noProof/>
          <w:szCs w:val="20"/>
          <w:lang w:val="en-US"/>
        </w:rPr>
        <w:t>3.2.2</w:t>
      </w:r>
      <w:r w:rsidRPr="00C903F8">
        <w:rPr>
          <w:noProof/>
          <w:szCs w:val="20"/>
          <w:lang w:val="en-US"/>
        </w:rPr>
        <w:tab/>
        <w:t>have access to the testing equipment necessary for checking conformity with each type</w:t>
      </w:r>
      <w:r w:rsidR="00977812" w:rsidRPr="00C903F8">
        <w:rPr>
          <w:noProof/>
          <w:szCs w:val="20"/>
          <w:lang w:val="en-US"/>
        </w:rPr>
        <w:t>­</w:t>
      </w:r>
      <w:r w:rsidRPr="00C903F8">
        <w:rPr>
          <w:noProof/>
          <w:szCs w:val="20"/>
          <w:lang w:val="en-US"/>
        </w:rPr>
        <w:t xml:space="preserve">approved type; </w:t>
      </w:r>
    </w:p>
    <w:p w:rsidR="009C13A9" w:rsidRPr="00C903F8" w:rsidRDefault="009C13A9" w:rsidP="009C13A9">
      <w:pPr>
        <w:ind w:left="850" w:hanging="850"/>
        <w:rPr>
          <w:noProof/>
          <w:szCs w:val="20"/>
          <w:lang w:val="en-US"/>
        </w:rPr>
      </w:pPr>
    </w:p>
    <w:p w:rsidR="009C13A9" w:rsidRPr="00C903F8" w:rsidRDefault="009C13A9" w:rsidP="009C13A9">
      <w:pPr>
        <w:spacing w:line="240" w:lineRule="atLeast"/>
        <w:ind w:left="709" w:hanging="709"/>
        <w:rPr>
          <w:noProof/>
          <w:szCs w:val="20"/>
          <w:lang w:val="en-US"/>
        </w:rPr>
      </w:pPr>
      <w:r w:rsidRPr="00C903F8">
        <w:rPr>
          <w:noProof/>
          <w:szCs w:val="20"/>
          <w:lang w:val="en-US"/>
        </w:rPr>
        <w:t>3.2.3</w:t>
      </w:r>
      <w:r w:rsidRPr="00C903F8">
        <w:rPr>
          <w:noProof/>
          <w:szCs w:val="20"/>
          <w:lang w:val="en-US"/>
        </w:rPr>
        <w:tab/>
        <w:t xml:space="preserve">ensure that the results of the tests are recorded and that these records and the relevant documentation remain available for a period to be agreed with the competent authority; </w:t>
      </w:r>
    </w:p>
    <w:p w:rsidR="009C13A9" w:rsidRPr="00C903F8" w:rsidRDefault="009C13A9" w:rsidP="009C13A9">
      <w:pPr>
        <w:spacing w:line="240" w:lineRule="atLeast"/>
        <w:ind w:left="709" w:hanging="709"/>
        <w:rPr>
          <w:noProof/>
          <w:szCs w:val="20"/>
          <w:lang w:val="en-US"/>
        </w:rPr>
      </w:pPr>
    </w:p>
    <w:p w:rsidR="009C13A9" w:rsidRPr="00C903F8" w:rsidRDefault="009C13A9" w:rsidP="009C13A9">
      <w:pPr>
        <w:spacing w:line="240" w:lineRule="atLeast"/>
        <w:ind w:left="709" w:hanging="709"/>
        <w:rPr>
          <w:noProof/>
          <w:szCs w:val="20"/>
          <w:lang w:val="en-US"/>
        </w:rPr>
      </w:pPr>
      <w:r w:rsidRPr="00C903F8">
        <w:rPr>
          <w:noProof/>
          <w:szCs w:val="20"/>
          <w:lang w:val="en-US"/>
        </w:rPr>
        <w:t>3.2.4</w:t>
      </w:r>
      <w:r w:rsidRPr="00C903F8">
        <w:rPr>
          <w:noProof/>
          <w:szCs w:val="20"/>
          <w:lang w:val="en-US"/>
        </w:rPr>
        <w:tab/>
        <w:t xml:space="preserve">analyse closely the results of each type of test, in order to verify and ensure the consistency of the on-board sewage treatment plant's characteristics, making allowance for normal variations in series production; </w:t>
      </w:r>
    </w:p>
    <w:p w:rsidR="009C13A9" w:rsidRPr="00C903F8" w:rsidRDefault="009C13A9" w:rsidP="009C13A9">
      <w:pPr>
        <w:spacing w:line="240" w:lineRule="atLeast"/>
        <w:ind w:left="709" w:hanging="709"/>
        <w:rPr>
          <w:noProof/>
          <w:szCs w:val="20"/>
          <w:lang w:val="en-US"/>
        </w:rPr>
      </w:pPr>
    </w:p>
    <w:p w:rsidR="009C13A9" w:rsidRPr="00C903F8" w:rsidRDefault="009C13A9" w:rsidP="009C13A9">
      <w:pPr>
        <w:spacing w:line="240" w:lineRule="atLeast"/>
        <w:ind w:left="709" w:hanging="709"/>
        <w:rPr>
          <w:noProof/>
          <w:szCs w:val="20"/>
          <w:lang w:val="en-US"/>
        </w:rPr>
      </w:pPr>
      <w:r w:rsidRPr="00C903F8">
        <w:rPr>
          <w:noProof/>
          <w:szCs w:val="20"/>
          <w:lang w:val="en-US"/>
        </w:rPr>
        <w:t>3.2.5</w:t>
      </w:r>
      <w:r w:rsidRPr="00C903F8">
        <w:rPr>
          <w:noProof/>
          <w:szCs w:val="20"/>
          <w:lang w:val="en-US"/>
        </w:rPr>
        <w:tab/>
        <w:t>ensure that any samples from on-board sewage treatment plants or test pieces revealing apparent non-conformity in the type of test in question give rise to further sampling and testing, all necessary measures being taken to restore conformity of production.</w:t>
      </w:r>
    </w:p>
    <w:p w:rsidR="009C13A9" w:rsidRPr="00C903F8" w:rsidRDefault="009C13A9" w:rsidP="009C13A9">
      <w:pPr>
        <w:spacing w:line="240" w:lineRule="atLeast"/>
        <w:ind w:left="709" w:hanging="709"/>
        <w:rPr>
          <w:noProof/>
          <w:szCs w:val="20"/>
          <w:lang w:val="en-US"/>
        </w:rPr>
      </w:pPr>
    </w:p>
    <w:p w:rsidR="009C13A9" w:rsidRPr="00C903F8" w:rsidRDefault="009C13A9" w:rsidP="009C13A9">
      <w:pPr>
        <w:spacing w:line="240" w:lineRule="atLeast"/>
        <w:ind w:left="709" w:hanging="709"/>
        <w:rPr>
          <w:noProof/>
          <w:szCs w:val="20"/>
          <w:lang w:val="en-US"/>
        </w:rPr>
      </w:pPr>
      <w:r w:rsidRPr="00C903F8">
        <w:rPr>
          <w:noProof/>
          <w:szCs w:val="20"/>
          <w:lang w:val="en-US"/>
        </w:rPr>
        <w:t>3.3</w:t>
      </w:r>
      <w:r w:rsidRPr="00C903F8">
        <w:rPr>
          <w:noProof/>
          <w:szCs w:val="20"/>
          <w:lang w:val="en-US"/>
        </w:rPr>
        <w:tab/>
        <w:t>The competent authority which has granted type approval may at any time verify the conformity control methods applied at each production works.</w:t>
      </w:r>
    </w:p>
    <w:p w:rsidR="009C13A9" w:rsidRPr="00C903F8" w:rsidRDefault="009C13A9" w:rsidP="009C13A9">
      <w:pPr>
        <w:spacing w:line="240" w:lineRule="atLeast"/>
        <w:ind w:left="709" w:hanging="709"/>
        <w:rPr>
          <w:noProof/>
          <w:szCs w:val="20"/>
          <w:lang w:val="en-US"/>
        </w:rPr>
      </w:pPr>
    </w:p>
    <w:p w:rsidR="009C13A9" w:rsidRPr="00C903F8" w:rsidRDefault="009C13A9" w:rsidP="009C13A9">
      <w:pPr>
        <w:spacing w:line="240" w:lineRule="atLeast"/>
        <w:ind w:left="709" w:hanging="709"/>
        <w:rPr>
          <w:noProof/>
          <w:szCs w:val="20"/>
          <w:lang w:val="en-US"/>
        </w:rPr>
      </w:pPr>
      <w:r w:rsidRPr="00C903F8">
        <w:rPr>
          <w:noProof/>
          <w:szCs w:val="20"/>
          <w:lang w:val="en-US"/>
        </w:rPr>
        <w:t>3.3.1</w:t>
      </w:r>
      <w:r w:rsidRPr="00C903F8">
        <w:rPr>
          <w:noProof/>
          <w:szCs w:val="20"/>
          <w:lang w:val="en-US"/>
        </w:rPr>
        <w:tab/>
        <w:t>The test and production documentation shall be made available to the tester at each test.</w:t>
      </w:r>
    </w:p>
    <w:p w:rsidR="009C13A9" w:rsidRPr="00C903F8" w:rsidRDefault="009C13A9" w:rsidP="009C13A9">
      <w:pPr>
        <w:spacing w:line="240" w:lineRule="atLeast"/>
        <w:ind w:left="709" w:hanging="709"/>
        <w:rPr>
          <w:noProof/>
          <w:szCs w:val="20"/>
          <w:lang w:val="en-US"/>
        </w:rPr>
      </w:pPr>
    </w:p>
    <w:p w:rsidR="009C13A9" w:rsidRPr="00C903F8" w:rsidRDefault="009C13A9" w:rsidP="009C13A9">
      <w:pPr>
        <w:spacing w:line="240" w:lineRule="atLeast"/>
        <w:ind w:left="709" w:hanging="709"/>
        <w:rPr>
          <w:noProof/>
          <w:szCs w:val="20"/>
          <w:lang w:val="en-US"/>
        </w:rPr>
      </w:pPr>
      <w:r w:rsidRPr="00C903F8">
        <w:rPr>
          <w:noProof/>
          <w:szCs w:val="20"/>
          <w:lang w:val="en-US"/>
        </w:rPr>
        <w:t>3.3.2</w:t>
      </w:r>
      <w:r w:rsidRPr="00C903F8">
        <w:rPr>
          <w:noProof/>
          <w:szCs w:val="20"/>
          <w:lang w:val="en-US"/>
        </w:rPr>
        <w:tab/>
        <w:t>If the quality of the tests appears unsatisfactory, the following procedure shall be applied:</w:t>
      </w:r>
    </w:p>
    <w:p w:rsidR="009C13A9" w:rsidRPr="00C903F8" w:rsidRDefault="009C13A9" w:rsidP="009C13A9">
      <w:pPr>
        <w:spacing w:line="240" w:lineRule="atLeast"/>
        <w:ind w:left="709" w:hanging="709"/>
        <w:rPr>
          <w:noProof/>
          <w:szCs w:val="20"/>
          <w:lang w:val="en-US"/>
        </w:rPr>
      </w:pPr>
    </w:p>
    <w:p w:rsidR="009C13A9" w:rsidRPr="00C903F8" w:rsidRDefault="009C13A9" w:rsidP="009C13A9">
      <w:pPr>
        <w:spacing w:line="240" w:lineRule="atLeast"/>
        <w:ind w:left="709" w:hanging="709"/>
        <w:rPr>
          <w:noProof/>
          <w:szCs w:val="20"/>
          <w:lang w:val="en-US"/>
        </w:rPr>
      </w:pPr>
      <w:r w:rsidRPr="00C903F8">
        <w:rPr>
          <w:noProof/>
          <w:szCs w:val="20"/>
          <w:lang w:val="en-US"/>
        </w:rPr>
        <w:t>3.3.2.1</w:t>
      </w:r>
      <w:r w:rsidRPr="00C903F8">
        <w:rPr>
          <w:noProof/>
          <w:szCs w:val="20"/>
          <w:lang w:val="en-US"/>
        </w:rPr>
        <w:tab/>
        <w:t>one on-board sewage treatment plant shall be taken from the series and tested by means of random sample measurements in the normal load</w:t>
      </w:r>
      <w:r w:rsidR="002E3EAE" w:rsidRPr="00C903F8">
        <w:rPr>
          <w:noProof/>
          <w:szCs w:val="20"/>
          <w:lang w:val="en-US"/>
        </w:rPr>
        <w:t>ing</w:t>
      </w:r>
      <w:r w:rsidRPr="00C903F8">
        <w:rPr>
          <w:noProof/>
          <w:szCs w:val="20"/>
          <w:lang w:val="en-US"/>
        </w:rPr>
        <w:t xml:space="preserve"> condition of the </w:t>
      </w:r>
      <w:r w:rsidR="00B0625C" w:rsidRPr="00C903F8">
        <w:rPr>
          <w:noProof/>
          <w:szCs w:val="20"/>
          <w:lang w:val="en-US"/>
        </w:rPr>
        <w:t>Section IX</w:t>
      </w:r>
      <w:r w:rsidRPr="00C903F8">
        <w:rPr>
          <w:noProof/>
          <w:szCs w:val="20"/>
          <w:lang w:val="en-US"/>
        </w:rPr>
        <w:t xml:space="preserve"> after one day operation. The treated sewage must according to the test methods in </w:t>
      </w:r>
      <w:r w:rsidR="00B0625C" w:rsidRPr="00C903F8">
        <w:rPr>
          <w:noProof/>
          <w:szCs w:val="20"/>
          <w:lang w:val="en-US"/>
        </w:rPr>
        <w:t>Section IX</w:t>
      </w:r>
      <w:r w:rsidRPr="00C903F8">
        <w:rPr>
          <w:noProof/>
          <w:szCs w:val="20"/>
          <w:lang w:val="en-US"/>
        </w:rPr>
        <w:t xml:space="preserve"> not exceed the values set out in </w:t>
      </w:r>
      <w:r w:rsidR="00A45A5D" w:rsidRPr="00C903F8">
        <w:rPr>
          <w:noProof/>
          <w:szCs w:val="20"/>
          <w:lang w:val="en-US"/>
        </w:rPr>
        <w:t>Article 18.01(2), Table 2.</w:t>
      </w:r>
    </w:p>
    <w:p w:rsidR="009C13A9" w:rsidRPr="00C903F8" w:rsidRDefault="009C13A9" w:rsidP="009C13A9">
      <w:pPr>
        <w:tabs>
          <w:tab w:val="left" w:pos="709"/>
          <w:tab w:val="left" w:pos="851"/>
        </w:tabs>
        <w:suppressAutoHyphens/>
        <w:autoSpaceDE/>
        <w:autoSpaceDN/>
        <w:spacing w:line="240" w:lineRule="atLeast"/>
        <w:ind w:left="709" w:hanging="709"/>
        <w:rPr>
          <w:noProof/>
          <w:szCs w:val="20"/>
          <w:lang w:val="en-US"/>
        </w:rPr>
      </w:pPr>
    </w:p>
    <w:p w:rsidR="009C13A9" w:rsidRPr="00C903F8" w:rsidRDefault="009C13A9" w:rsidP="009C13A9">
      <w:pPr>
        <w:tabs>
          <w:tab w:val="left" w:pos="709"/>
          <w:tab w:val="left" w:pos="851"/>
        </w:tabs>
        <w:suppressAutoHyphens/>
        <w:autoSpaceDE/>
        <w:autoSpaceDN/>
        <w:spacing w:line="240" w:lineRule="atLeast"/>
        <w:ind w:left="709" w:hanging="709"/>
        <w:rPr>
          <w:noProof/>
          <w:szCs w:val="20"/>
          <w:lang w:val="en-US"/>
        </w:rPr>
      </w:pPr>
      <w:r w:rsidRPr="00C903F8">
        <w:rPr>
          <w:noProof/>
          <w:szCs w:val="20"/>
          <w:lang w:val="en-US"/>
        </w:rPr>
        <w:br w:type="page"/>
      </w:r>
    </w:p>
    <w:p w:rsidR="009C13A9" w:rsidRDefault="009C13A9" w:rsidP="009C13A9">
      <w:pPr>
        <w:tabs>
          <w:tab w:val="left" w:pos="709"/>
          <w:tab w:val="left" w:pos="851"/>
        </w:tabs>
        <w:suppressAutoHyphens/>
        <w:autoSpaceDE/>
        <w:autoSpaceDN/>
        <w:spacing w:line="240" w:lineRule="atLeast"/>
        <w:ind w:left="709" w:hanging="709"/>
        <w:rPr>
          <w:noProof/>
          <w:szCs w:val="20"/>
          <w:lang w:val="en-US"/>
        </w:rPr>
      </w:pPr>
      <w:r w:rsidRPr="00C903F8">
        <w:rPr>
          <w:noProof/>
          <w:szCs w:val="20"/>
          <w:lang w:val="en-US"/>
        </w:rPr>
        <w:lastRenderedPageBreak/>
        <w:t>3.3.2.2</w:t>
      </w:r>
      <w:r w:rsidRPr="00C903F8">
        <w:rPr>
          <w:noProof/>
          <w:szCs w:val="20"/>
          <w:lang w:val="en-US"/>
        </w:rPr>
        <w:tab/>
        <w:t xml:space="preserve">should any on-board sewage treatment plant taken from the series fail to satisfy the requirements laid down in </w:t>
      </w:r>
      <w:r w:rsidR="007261E0" w:rsidRPr="00C903F8">
        <w:rPr>
          <w:noProof/>
          <w:szCs w:val="20"/>
          <w:lang w:val="en-US"/>
        </w:rPr>
        <w:t>(</w:t>
      </w:r>
      <w:r w:rsidRPr="00C903F8">
        <w:rPr>
          <w:noProof/>
          <w:szCs w:val="20"/>
          <w:lang w:val="en-US"/>
        </w:rPr>
        <w:t>3.3.2.1</w:t>
      </w:r>
      <w:r w:rsidR="007261E0" w:rsidRPr="00C903F8">
        <w:rPr>
          <w:noProof/>
          <w:szCs w:val="20"/>
          <w:lang w:val="en-US"/>
        </w:rPr>
        <w:t>)</w:t>
      </w:r>
      <w:r w:rsidRPr="00C903F8">
        <w:rPr>
          <w:noProof/>
          <w:szCs w:val="20"/>
          <w:lang w:val="en-US"/>
        </w:rPr>
        <w:t xml:space="preserve"> the manufacturer may ask for random sample measurements to be carried out on a number of on-board sewage treatment plants of the same specification taken from the series. This new sample must include the on-board sewage treatment plant originally taken. </w:t>
      </w:r>
    </w:p>
    <w:p w:rsidR="00FF6A33" w:rsidRPr="00C903F8" w:rsidRDefault="00FF6A33" w:rsidP="009C13A9">
      <w:pPr>
        <w:tabs>
          <w:tab w:val="left" w:pos="709"/>
          <w:tab w:val="left" w:pos="851"/>
        </w:tabs>
        <w:suppressAutoHyphens/>
        <w:autoSpaceDE/>
        <w:autoSpaceDN/>
        <w:spacing w:line="240" w:lineRule="atLeast"/>
        <w:ind w:left="709" w:hanging="709"/>
        <w:rPr>
          <w:noProof/>
          <w:szCs w:val="20"/>
          <w:lang w:val="en-US"/>
        </w:rPr>
      </w:pPr>
    </w:p>
    <w:p w:rsidR="009C13A9" w:rsidRPr="00C903F8" w:rsidRDefault="009C13A9" w:rsidP="009C13A9">
      <w:pPr>
        <w:tabs>
          <w:tab w:val="left" w:pos="709"/>
        </w:tabs>
        <w:suppressAutoHyphens/>
        <w:autoSpaceDE/>
        <w:autoSpaceDN/>
        <w:spacing w:line="240" w:lineRule="atLeast"/>
        <w:ind w:left="709" w:firstLine="0"/>
        <w:rPr>
          <w:noProof/>
          <w:szCs w:val="20"/>
          <w:lang w:val="en-US"/>
        </w:rPr>
      </w:pPr>
      <w:r w:rsidRPr="00C903F8">
        <w:rPr>
          <w:noProof/>
          <w:szCs w:val="20"/>
          <w:lang w:val="en-US"/>
        </w:rPr>
        <w:t>The manufacturer shall determine the scope</w:t>
      </w:r>
      <w:r w:rsidR="007D3F2F" w:rsidRPr="00C903F8">
        <w:rPr>
          <w:noProof/>
          <w:szCs w:val="20"/>
          <w:lang w:val="en-US"/>
        </w:rPr>
        <w:t xml:space="preserve"> </w:t>
      </w:r>
      <m:oMath>
        <m:r>
          <w:rPr>
            <w:rFonts w:ascii="Cambria Math" w:hAnsi="Cambria Math"/>
            <w:noProof/>
            <w:szCs w:val="20"/>
            <w:lang w:val="en-US"/>
          </w:rPr>
          <m:t>'n'</m:t>
        </m:r>
      </m:oMath>
      <w:r w:rsidRPr="00C903F8">
        <w:rPr>
          <w:noProof/>
          <w:szCs w:val="20"/>
          <w:lang w:val="en-US"/>
        </w:rPr>
        <w:t xml:space="preserve"> of the series in consultation with the competent authority. The on-board sewage treatment plants shall undergo testing by means of random sample measurement with the exception of the plant originally taken. The arithmetical mean</w:t>
      </w:r>
      <w:r w:rsidR="007D3F2F" w:rsidRPr="00C903F8">
        <w:rPr>
          <w:noProof/>
          <w:szCs w:val="20"/>
          <w:lang w:val="en-US"/>
        </w:rPr>
        <w:t xml:space="preserve"> </w:t>
      </w:r>
      <m:oMath>
        <m:r>
          <w:rPr>
            <w:rFonts w:ascii="Cambria Math" w:hAnsi="Cambria Math"/>
            <w:noProof/>
            <w:szCs w:val="20"/>
            <w:lang w:val="en-US"/>
          </w:rPr>
          <m:t>(</m:t>
        </m:r>
        <m:acc>
          <m:accPr>
            <m:chr m:val="̅"/>
            <m:ctrlPr>
              <w:rPr>
                <w:rFonts w:ascii="Cambria Math" w:hAnsi="Cambria Math"/>
                <w:i/>
                <w:noProof/>
                <w:szCs w:val="20"/>
                <w:lang w:val="en-US"/>
              </w:rPr>
            </m:ctrlPr>
          </m:accPr>
          <m:e>
            <m:r>
              <w:rPr>
                <w:rFonts w:ascii="Cambria Math" w:hAnsi="Cambria Math"/>
                <w:noProof/>
                <w:szCs w:val="20"/>
                <w:lang w:val="en-US"/>
              </w:rPr>
              <m:t>x</m:t>
            </m:r>
          </m:e>
        </m:acc>
        <m:r>
          <w:rPr>
            <w:rFonts w:ascii="Cambria Math" w:hAnsi="Cambria Math"/>
            <w:noProof/>
            <w:szCs w:val="20"/>
            <w:lang w:val="en-US"/>
          </w:rPr>
          <m:t>)</m:t>
        </m:r>
      </m:oMath>
      <w:r w:rsidRPr="00C903F8">
        <w:rPr>
          <w:noProof/>
          <w:szCs w:val="20"/>
          <w:lang w:val="en-US"/>
        </w:rPr>
        <w:t xml:space="preserve"> of the results obtained with the random sample of the on-board sewage treatment plant must then be determined. The series production shall be regarded as conforming with requirements if the following condition is fulfilled:</w:t>
      </w:r>
    </w:p>
    <w:p w:rsidR="009C13A9" w:rsidRPr="00C903F8" w:rsidRDefault="009C13A9" w:rsidP="007D3F2F">
      <w:pPr>
        <w:suppressAutoHyphens/>
        <w:autoSpaceDE/>
        <w:autoSpaceDN/>
        <w:spacing w:line="240" w:lineRule="atLeast"/>
        <w:ind w:left="0" w:firstLine="0"/>
        <w:rPr>
          <w:noProof/>
          <w:szCs w:val="20"/>
          <w:lang w:val="en-US"/>
        </w:rPr>
      </w:pPr>
    </w:p>
    <w:p w:rsidR="007D3F2F" w:rsidRPr="00C903F8" w:rsidRDefault="00F12BAF" w:rsidP="007D3F2F">
      <w:pPr>
        <w:suppressAutoHyphens/>
        <w:autoSpaceDE/>
        <w:autoSpaceDN/>
        <w:spacing w:line="240" w:lineRule="atLeast"/>
        <w:ind w:left="0" w:firstLine="0"/>
        <w:rPr>
          <w:noProof/>
          <w:szCs w:val="20"/>
          <w:lang w:val="en-US"/>
        </w:rPr>
      </w:pPr>
      <m:oMathPara>
        <m:oMath>
          <m:acc>
            <m:accPr>
              <m:chr m:val="̅"/>
              <m:ctrlPr>
                <w:rPr>
                  <w:rFonts w:ascii="Cambria Math" w:hAnsi="Cambria Math"/>
                  <w:i/>
                  <w:noProof/>
                  <w:szCs w:val="20"/>
                  <w:lang w:val="en-US"/>
                </w:rPr>
              </m:ctrlPr>
            </m:accPr>
            <m:e>
              <m:r>
                <w:rPr>
                  <w:rFonts w:ascii="Cambria Math" w:hAnsi="Cambria Math"/>
                  <w:noProof/>
                  <w:szCs w:val="20"/>
                  <w:lang w:val="en-US"/>
                </w:rPr>
                <m:t>x</m:t>
              </m:r>
            </m:e>
          </m:acc>
          <m:r>
            <w:rPr>
              <w:rFonts w:ascii="Cambria Math" w:hAnsi="Cambria Math"/>
              <w:noProof/>
              <w:szCs w:val="20"/>
              <w:lang w:val="en-US"/>
            </w:rPr>
            <m:t xml:space="preserve">+k ∙  </m:t>
          </m:r>
          <m:sSub>
            <m:sSubPr>
              <m:ctrlPr>
                <w:rPr>
                  <w:rFonts w:ascii="Cambria Math" w:hAnsi="Cambria Math"/>
                  <w:i/>
                  <w:noProof/>
                  <w:szCs w:val="20"/>
                  <w:lang w:val="en-US"/>
                </w:rPr>
              </m:ctrlPr>
            </m:sSubPr>
            <m:e>
              <m:r>
                <w:rPr>
                  <w:rFonts w:ascii="Cambria Math" w:hAnsi="Cambria Math"/>
                  <w:noProof/>
                  <w:szCs w:val="20"/>
                  <w:lang w:val="en-US"/>
                </w:rPr>
                <m:t>S</m:t>
              </m:r>
            </m:e>
            <m:sub>
              <m:r>
                <w:rPr>
                  <w:rFonts w:ascii="Cambria Math" w:hAnsi="Cambria Math"/>
                  <w:noProof/>
                  <w:szCs w:val="20"/>
                  <w:lang w:val="en-US"/>
                </w:rPr>
                <m:t>t</m:t>
              </m:r>
            </m:sub>
          </m:sSub>
          <m:r>
            <w:rPr>
              <w:rFonts w:ascii="Cambria Math" w:hAnsi="Cambria Math"/>
              <w:noProof/>
              <w:szCs w:val="20"/>
              <w:lang w:val="en-US"/>
            </w:rPr>
            <m:t xml:space="preserve"> ≤L</m:t>
          </m:r>
        </m:oMath>
      </m:oMathPara>
    </w:p>
    <w:p w:rsidR="007D3F2F" w:rsidRPr="00C903F8" w:rsidRDefault="007D3F2F" w:rsidP="009C13A9">
      <w:pPr>
        <w:tabs>
          <w:tab w:val="left" w:pos="709"/>
        </w:tabs>
        <w:suppressAutoHyphens/>
        <w:overflowPunct w:val="0"/>
        <w:autoSpaceDN/>
        <w:spacing w:line="240" w:lineRule="atLeast"/>
        <w:ind w:left="709" w:firstLine="0"/>
        <w:textAlignment w:val="baseline"/>
        <w:rPr>
          <w:rFonts w:cs="Arial"/>
          <w:szCs w:val="20"/>
          <w:lang w:val="en-US" w:eastAsia="ar-SA"/>
        </w:rPr>
      </w:pPr>
    </w:p>
    <w:p w:rsidR="009C13A9" w:rsidRPr="00C903F8" w:rsidRDefault="009C13A9" w:rsidP="009C13A9">
      <w:pPr>
        <w:tabs>
          <w:tab w:val="left" w:pos="709"/>
        </w:tabs>
        <w:suppressAutoHyphens/>
        <w:overflowPunct w:val="0"/>
        <w:autoSpaceDN/>
        <w:spacing w:line="240" w:lineRule="atLeast"/>
        <w:ind w:left="709" w:firstLine="0"/>
        <w:textAlignment w:val="baseline"/>
        <w:rPr>
          <w:rFonts w:cs="Arial"/>
          <w:szCs w:val="20"/>
          <w:lang w:val="en-US" w:eastAsia="ar-SA"/>
        </w:rPr>
      </w:pPr>
      <w:r w:rsidRPr="00C903F8">
        <w:rPr>
          <w:rFonts w:cs="Arial"/>
          <w:szCs w:val="20"/>
          <w:lang w:val="en-US" w:eastAsia="ar-SA"/>
        </w:rPr>
        <w:t>Where:</w:t>
      </w:r>
    </w:p>
    <w:p w:rsidR="009C13A9" w:rsidRPr="00C903F8" w:rsidRDefault="009C13A9" w:rsidP="009C13A9">
      <w:pPr>
        <w:tabs>
          <w:tab w:val="left" w:pos="709"/>
          <w:tab w:val="left" w:pos="851"/>
        </w:tabs>
        <w:suppressAutoHyphens/>
        <w:autoSpaceDE/>
        <w:autoSpaceDN/>
        <w:spacing w:line="240" w:lineRule="atLeast"/>
        <w:ind w:left="709" w:hanging="709"/>
        <w:rPr>
          <w:rFonts w:cs="Arial"/>
          <w:szCs w:val="20"/>
          <w:lang w:val="en-US" w:eastAsia="ar-SA"/>
        </w:rPr>
      </w:pPr>
      <w:r w:rsidRPr="00C903F8">
        <w:rPr>
          <w:rFonts w:cs="Arial"/>
          <w:szCs w:val="20"/>
          <w:lang w:val="en-US" w:eastAsia="ar-SA"/>
        </w:rPr>
        <w:tab/>
      </w:r>
      <m:oMath>
        <m:r>
          <w:rPr>
            <w:rFonts w:ascii="Cambria Math" w:hAnsi="Cambria Math" w:cs="Arial"/>
            <w:szCs w:val="20"/>
            <w:lang w:val="en-US" w:eastAsia="ar-SA"/>
          </w:rPr>
          <m:t>k</m:t>
        </m:r>
      </m:oMath>
      <w:r w:rsidRPr="00C903F8">
        <w:rPr>
          <w:rFonts w:cs="Arial"/>
          <w:szCs w:val="20"/>
          <w:lang w:val="en-US" w:eastAsia="ar-SA"/>
        </w:rPr>
        <w:t>:</w:t>
      </w:r>
      <w:r w:rsidRPr="00C903F8">
        <w:rPr>
          <w:rFonts w:cs="Arial"/>
          <w:szCs w:val="20"/>
          <w:lang w:val="en-US" w:eastAsia="ar-SA"/>
        </w:rPr>
        <w:tab/>
        <w:t xml:space="preserve">is a statistical factor which is dependent on </w:t>
      </w:r>
      <m:oMath>
        <m:r>
          <w:rPr>
            <w:rFonts w:ascii="Cambria Math" w:hAnsi="Cambria Math"/>
            <w:noProof/>
            <w:szCs w:val="20"/>
            <w:lang w:val="en-US"/>
          </w:rPr>
          <m:t>'n'</m:t>
        </m:r>
      </m:oMath>
      <w:r w:rsidR="007D3F2F" w:rsidRPr="00C903F8">
        <w:rPr>
          <w:noProof/>
          <w:szCs w:val="20"/>
          <w:lang w:val="en-US"/>
        </w:rPr>
        <w:t xml:space="preserve"> </w:t>
      </w:r>
      <w:r w:rsidRPr="00C903F8">
        <w:rPr>
          <w:rFonts w:cs="Arial"/>
          <w:szCs w:val="20"/>
          <w:lang w:val="en-US" w:eastAsia="ar-SA"/>
        </w:rPr>
        <w:t>and is given in the following table:</w:t>
      </w:r>
    </w:p>
    <w:p w:rsidR="009C13A9" w:rsidRPr="00C903F8" w:rsidRDefault="009C13A9" w:rsidP="009C13A9">
      <w:pPr>
        <w:tabs>
          <w:tab w:val="left" w:pos="709"/>
          <w:tab w:val="left" w:pos="851"/>
        </w:tabs>
        <w:suppressAutoHyphens/>
        <w:autoSpaceDE/>
        <w:autoSpaceDN/>
        <w:spacing w:line="240" w:lineRule="atLeast"/>
        <w:ind w:left="709" w:hanging="709"/>
        <w:rPr>
          <w:rFonts w:cs="Arial"/>
          <w:szCs w:val="20"/>
          <w:lang w:val="en-US" w:eastAsia="ar-SA"/>
        </w:rPr>
      </w:pPr>
    </w:p>
    <w:tbl>
      <w:tblPr>
        <w:tblW w:w="0" w:type="auto"/>
        <w:jc w:val="center"/>
        <w:tblLayout w:type="fixed"/>
        <w:tblCellMar>
          <w:left w:w="70" w:type="dxa"/>
          <w:right w:w="70" w:type="dxa"/>
        </w:tblCellMar>
        <w:tblLook w:val="0000" w:firstRow="0" w:lastRow="0" w:firstColumn="0" w:lastColumn="0" w:noHBand="0" w:noVBand="0"/>
      </w:tblPr>
      <w:tblGrid>
        <w:gridCol w:w="709"/>
        <w:gridCol w:w="850"/>
        <w:gridCol w:w="851"/>
        <w:gridCol w:w="850"/>
        <w:gridCol w:w="851"/>
        <w:gridCol w:w="850"/>
        <w:gridCol w:w="851"/>
        <w:gridCol w:w="850"/>
        <w:gridCol w:w="851"/>
        <w:gridCol w:w="975"/>
      </w:tblGrid>
      <w:tr w:rsidR="009C13A9" w:rsidRPr="00C903F8" w:rsidTr="009C13A9">
        <w:trPr>
          <w:jc w:val="center"/>
        </w:trPr>
        <w:tc>
          <w:tcPr>
            <w:tcW w:w="709" w:type="dxa"/>
            <w:tcBorders>
              <w:top w:val="single" w:sz="4" w:space="0" w:color="000000"/>
              <w:left w:val="single" w:sz="4" w:space="0" w:color="000000"/>
              <w:bottom w:val="single" w:sz="4" w:space="0" w:color="000000"/>
            </w:tcBorders>
          </w:tcPr>
          <w:p w:rsidR="009C13A9" w:rsidRPr="00C903F8" w:rsidRDefault="007D3F2F" w:rsidP="009C13A9">
            <w:pPr>
              <w:suppressAutoHyphens/>
              <w:autoSpaceDE/>
              <w:autoSpaceDN/>
              <w:snapToGrid w:val="0"/>
              <w:spacing w:before="60" w:after="60" w:line="240" w:lineRule="atLeast"/>
              <w:ind w:left="0" w:firstLine="0"/>
              <w:jc w:val="center"/>
              <w:rPr>
                <w:rFonts w:cs="Arial"/>
                <w:sz w:val="18"/>
                <w:szCs w:val="20"/>
                <w:lang w:val="de-DE" w:eastAsia="ar-SA"/>
              </w:rPr>
            </w:pPr>
            <m:oMathPara>
              <m:oMath>
                <m:r>
                  <w:rPr>
                    <w:rFonts w:ascii="Cambria Math" w:hAnsi="Cambria Math"/>
                    <w:noProof/>
                    <w:szCs w:val="20"/>
                    <w:lang w:val="en-US"/>
                  </w:rPr>
                  <m:t>n</m:t>
                </m:r>
              </m:oMath>
            </m:oMathPara>
          </w:p>
        </w:tc>
        <w:tc>
          <w:tcPr>
            <w:tcW w:w="850"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2</w:t>
            </w:r>
          </w:p>
        </w:tc>
        <w:tc>
          <w:tcPr>
            <w:tcW w:w="851"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3</w:t>
            </w:r>
          </w:p>
        </w:tc>
        <w:tc>
          <w:tcPr>
            <w:tcW w:w="850"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4</w:t>
            </w:r>
          </w:p>
        </w:tc>
        <w:tc>
          <w:tcPr>
            <w:tcW w:w="851"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5</w:t>
            </w:r>
          </w:p>
        </w:tc>
        <w:tc>
          <w:tcPr>
            <w:tcW w:w="850"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6</w:t>
            </w:r>
          </w:p>
        </w:tc>
        <w:tc>
          <w:tcPr>
            <w:tcW w:w="851"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7</w:t>
            </w:r>
          </w:p>
        </w:tc>
        <w:tc>
          <w:tcPr>
            <w:tcW w:w="850"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8</w:t>
            </w:r>
          </w:p>
        </w:tc>
        <w:tc>
          <w:tcPr>
            <w:tcW w:w="851"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9</w:t>
            </w:r>
          </w:p>
        </w:tc>
        <w:tc>
          <w:tcPr>
            <w:tcW w:w="975" w:type="dxa"/>
            <w:tcBorders>
              <w:top w:val="single" w:sz="4" w:space="0" w:color="000000"/>
              <w:left w:val="single" w:sz="4" w:space="0" w:color="000000"/>
              <w:bottom w:val="single" w:sz="4" w:space="0" w:color="000000"/>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10</w:t>
            </w:r>
          </w:p>
        </w:tc>
      </w:tr>
      <w:tr w:rsidR="009C13A9" w:rsidRPr="00C903F8" w:rsidTr="009C13A9">
        <w:trPr>
          <w:jc w:val="center"/>
        </w:trPr>
        <w:tc>
          <w:tcPr>
            <w:tcW w:w="709" w:type="dxa"/>
            <w:tcBorders>
              <w:top w:val="single" w:sz="4" w:space="0" w:color="000000"/>
              <w:left w:val="single" w:sz="4" w:space="0" w:color="000000"/>
              <w:bottom w:val="double" w:sz="4" w:space="0" w:color="auto"/>
              <w:right w:val="single" w:sz="4" w:space="0" w:color="000000"/>
            </w:tcBorders>
          </w:tcPr>
          <w:p w:rsidR="009C13A9" w:rsidRPr="00C903F8" w:rsidRDefault="007D3F2F" w:rsidP="009C13A9">
            <w:pPr>
              <w:suppressAutoHyphens/>
              <w:autoSpaceDE/>
              <w:autoSpaceDN/>
              <w:snapToGrid w:val="0"/>
              <w:spacing w:before="60" w:after="60" w:line="240" w:lineRule="atLeast"/>
              <w:ind w:left="0" w:firstLine="0"/>
              <w:jc w:val="center"/>
              <w:rPr>
                <w:rFonts w:cs="Arial"/>
                <w:sz w:val="18"/>
                <w:szCs w:val="20"/>
                <w:lang w:val="de-DE" w:eastAsia="ar-SA"/>
              </w:rPr>
            </w:pPr>
            <m:oMathPara>
              <m:oMath>
                <m:r>
                  <w:rPr>
                    <w:rFonts w:ascii="Cambria Math" w:hAnsi="Cambria Math" w:cs="Arial"/>
                    <w:szCs w:val="20"/>
                    <w:lang w:val="en-US" w:eastAsia="ar-SA"/>
                  </w:rPr>
                  <m:t>k</m:t>
                </m:r>
              </m:oMath>
            </m:oMathPara>
          </w:p>
        </w:tc>
        <w:tc>
          <w:tcPr>
            <w:tcW w:w="850" w:type="dxa"/>
            <w:tcBorders>
              <w:top w:val="single" w:sz="4" w:space="0" w:color="000000"/>
              <w:left w:val="single" w:sz="4" w:space="0" w:color="000000"/>
              <w:bottom w:val="double" w:sz="4" w:space="0" w:color="auto"/>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0,973</w:t>
            </w:r>
          </w:p>
        </w:tc>
        <w:tc>
          <w:tcPr>
            <w:tcW w:w="851" w:type="dxa"/>
            <w:tcBorders>
              <w:top w:val="single" w:sz="4" w:space="0" w:color="000000"/>
              <w:left w:val="single" w:sz="4" w:space="0" w:color="000000"/>
              <w:bottom w:val="double" w:sz="4" w:space="0" w:color="auto"/>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0,613</w:t>
            </w:r>
          </w:p>
        </w:tc>
        <w:tc>
          <w:tcPr>
            <w:tcW w:w="850" w:type="dxa"/>
            <w:tcBorders>
              <w:top w:val="single" w:sz="4" w:space="0" w:color="000000"/>
              <w:left w:val="single" w:sz="4" w:space="0" w:color="000000"/>
              <w:bottom w:val="double" w:sz="4" w:space="0" w:color="auto"/>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0,489</w:t>
            </w:r>
          </w:p>
        </w:tc>
        <w:tc>
          <w:tcPr>
            <w:tcW w:w="851" w:type="dxa"/>
            <w:tcBorders>
              <w:top w:val="single" w:sz="4" w:space="0" w:color="000000"/>
              <w:left w:val="single" w:sz="4" w:space="0" w:color="000000"/>
              <w:bottom w:val="double" w:sz="4" w:space="0" w:color="auto"/>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0,421</w:t>
            </w:r>
          </w:p>
        </w:tc>
        <w:tc>
          <w:tcPr>
            <w:tcW w:w="850" w:type="dxa"/>
            <w:tcBorders>
              <w:top w:val="single" w:sz="4" w:space="0" w:color="000000"/>
              <w:left w:val="single" w:sz="4" w:space="0" w:color="000000"/>
              <w:bottom w:val="double" w:sz="4" w:space="0" w:color="auto"/>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0,376</w:t>
            </w:r>
          </w:p>
        </w:tc>
        <w:tc>
          <w:tcPr>
            <w:tcW w:w="851" w:type="dxa"/>
            <w:tcBorders>
              <w:top w:val="single" w:sz="4" w:space="0" w:color="000000"/>
              <w:left w:val="single" w:sz="4" w:space="0" w:color="000000"/>
              <w:bottom w:val="double" w:sz="4" w:space="0" w:color="auto"/>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0,342</w:t>
            </w:r>
          </w:p>
        </w:tc>
        <w:tc>
          <w:tcPr>
            <w:tcW w:w="850" w:type="dxa"/>
            <w:tcBorders>
              <w:top w:val="single" w:sz="4" w:space="0" w:color="000000"/>
              <w:left w:val="single" w:sz="4" w:space="0" w:color="000000"/>
              <w:bottom w:val="double" w:sz="4" w:space="0" w:color="auto"/>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0,317</w:t>
            </w:r>
          </w:p>
        </w:tc>
        <w:tc>
          <w:tcPr>
            <w:tcW w:w="851" w:type="dxa"/>
            <w:tcBorders>
              <w:top w:val="single" w:sz="4" w:space="0" w:color="000000"/>
              <w:left w:val="single" w:sz="4" w:space="0" w:color="000000"/>
              <w:bottom w:val="double" w:sz="4" w:space="0" w:color="auto"/>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0,296</w:t>
            </w:r>
          </w:p>
        </w:tc>
        <w:tc>
          <w:tcPr>
            <w:tcW w:w="975" w:type="dxa"/>
            <w:tcBorders>
              <w:top w:val="single" w:sz="4" w:space="0" w:color="000000"/>
              <w:left w:val="single" w:sz="4" w:space="0" w:color="000000"/>
              <w:bottom w:val="double" w:sz="4" w:space="0" w:color="auto"/>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0,279</w:t>
            </w:r>
          </w:p>
        </w:tc>
      </w:tr>
      <w:tr w:rsidR="009C13A9" w:rsidRPr="00C903F8" w:rsidTr="009C13A9">
        <w:trPr>
          <w:jc w:val="center"/>
        </w:trPr>
        <w:tc>
          <w:tcPr>
            <w:tcW w:w="709" w:type="dxa"/>
            <w:tcBorders>
              <w:top w:val="double" w:sz="4" w:space="0" w:color="auto"/>
              <w:left w:val="single" w:sz="4" w:space="0" w:color="000000"/>
              <w:bottom w:val="single" w:sz="4" w:space="0" w:color="000000"/>
              <w:right w:val="single" w:sz="4" w:space="0" w:color="000000"/>
            </w:tcBorders>
          </w:tcPr>
          <w:p w:rsidR="009C13A9" w:rsidRPr="00C903F8" w:rsidRDefault="007D3F2F" w:rsidP="009C13A9">
            <w:pPr>
              <w:suppressAutoHyphens/>
              <w:autoSpaceDE/>
              <w:autoSpaceDN/>
              <w:snapToGrid w:val="0"/>
              <w:spacing w:before="60" w:after="60" w:line="240" w:lineRule="atLeast"/>
              <w:ind w:left="0" w:firstLine="0"/>
              <w:jc w:val="center"/>
              <w:rPr>
                <w:rFonts w:cs="Arial"/>
                <w:sz w:val="18"/>
                <w:szCs w:val="20"/>
                <w:lang w:val="de-DE" w:eastAsia="ar-SA"/>
              </w:rPr>
            </w:pPr>
            <m:oMathPara>
              <m:oMath>
                <m:r>
                  <w:rPr>
                    <w:rFonts w:ascii="Cambria Math" w:hAnsi="Cambria Math"/>
                    <w:noProof/>
                    <w:szCs w:val="20"/>
                    <w:lang w:val="en-US"/>
                  </w:rPr>
                  <m:t>n</m:t>
                </m:r>
              </m:oMath>
            </m:oMathPara>
          </w:p>
        </w:tc>
        <w:tc>
          <w:tcPr>
            <w:tcW w:w="850" w:type="dxa"/>
            <w:tcBorders>
              <w:top w:val="double" w:sz="4" w:space="0" w:color="auto"/>
              <w:left w:val="single" w:sz="4" w:space="0" w:color="000000"/>
              <w:bottom w:val="single" w:sz="4" w:space="0" w:color="000000"/>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11</w:t>
            </w:r>
          </w:p>
        </w:tc>
        <w:tc>
          <w:tcPr>
            <w:tcW w:w="851" w:type="dxa"/>
            <w:tcBorders>
              <w:top w:val="double" w:sz="4" w:space="0" w:color="auto"/>
              <w:left w:val="single" w:sz="4" w:space="0" w:color="000000"/>
              <w:bottom w:val="single" w:sz="4" w:space="0" w:color="000000"/>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12</w:t>
            </w:r>
          </w:p>
        </w:tc>
        <w:tc>
          <w:tcPr>
            <w:tcW w:w="850" w:type="dxa"/>
            <w:tcBorders>
              <w:top w:val="double" w:sz="4" w:space="0" w:color="auto"/>
              <w:left w:val="single" w:sz="4" w:space="0" w:color="000000"/>
              <w:bottom w:val="single" w:sz="4" w:space="0" w:color="000000"/>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13</w:t>
            </w:r>
          </w:p>
        </w:tc>
        <w:tc>
          <w:tcPr>
            <w:tcW w:w="851" w:type="dxa"/>
            <w:tcBorders>
              <w:top w:val="double" w:sz="4" w:space="0" w:color="auto"/>
              <w:left w:val="single" w:sz="4" w:space="0" w:color="000000"/>
              <w:bottom w:val="single" w:sz="4" w:space="0" w:color="000000"/>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14</w:t>
            </w:r>
          </w:p>
        </w:tc>
        <w:tc>
          <w:tcPr>
            <w:tcW w:w="850" w:type="dxa"/>
            <w:tcBorders>
              <w:top w:val="double" w:sz="4" w:space="0" w:color="auto"/>
              <w:left w:val="single" w:sz="4" w:space="0" w:color="000000"/>
              <w:bottom w:val="single" w:sz="4" w:space="0" w:color="000000"/>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15</w:t>
            </w:r>
          </w:p>
        </w:tc>
        <w:tc>
          <w:tcPr>
            <w:tcW w:w="851" w:type="dxa"/>
            <w:tcBorders>
              <w:top w:val="double" w:sz="4" w:space="0" w:color="auto"/>
              <w:left w:val="single" w:sz="4" w:space="0" w:color="000000"/>
              <w:bottom w:val="single" w:sz="4" w:space="0" w:color="000000"/>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16</w:t>
            </w:r>
          </w:p>
        </w:tc>
        <w:tc>
          <w:tcPr>
            <w:tcW w:w="850" w:type="dxa"/>
            <w:tcBorders>
              <w:top w:val="double" w:sz="4" w:space="0" w:color="auto"/>
              <w:left w:val="single" w:sz="4" w:space="0" w:color="000000"/>
              <w:bottom w:val="single" w:sz="4" w:space="0" w:color="000000"/>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17</w:t>
            </w:r>
          </w:p>
        </w:tc>
        <w:tc>
          <w:tcPr>
            <w:tcW w:w="851" w:type="dxa"/>
            <w:tcBorders>
              <w:top w:val="double" w:sz="4" w:space="0" w:color="auto"/>
              <w:left w:val="single" w:sz="4" w:space="0" w:color="000000"/>
              <w:bottom w:val="single" w:sz="4" w:space="0" w:color="000000"/>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18</w:t>
            </w:r>
          </w:p>
        </w:tc>
        <w:tc>
          <w:tcPr>
            <w:tcW w:w="975" w:type="dxa"/>
            <w:tcBorders>
              <w:top w:val="double" w:sz="4" w:space="0" w:color="auto"/>
              <w:left w:val="single" w:sz="4" w:space="0" w:color="000000"/>
              <w:bottom w:val="single" w:sz="4" w:space="0" w:color="000000"/>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19</w:t>
            </w:r>
          </w:p>
        </w:tc>
      </w:tr>
      <w:tr w:rsidR="009C13A9" w:rsidRPr="00C903F8" w:rsidTr="009C13A9">
        <w:trPr>
          <w:jc w:val="center"/>
        </w:trPr>
        <w:tc>
          <w:tcPr>
            <w:tcW w:w="709" w:type="dxa"/>
            <w:tcBorders>
              <w:top w:val="single" w:sz="4" w:space="0" w:color="000000"/>
              <w:left w:val="single" w:sz="4" w:space="0" w:color="000000"/>
              <w:bottom w:val="single" w:sz="4" w:space="0" w:color="000000"/>
            </w:tcBorders>
          </w:tcPr>
          <w:p w:rsidR="009C13A9" w:rsidRPr="00C903F8" w:rsidRDefault="007D3F2F" w:rsidP="009C13A9">
            <w:pPr>
              <w:suppressAutoHyphens/>
              <w:autoSpaceDE/>
              <w:autoSpaceDN/>
              <w:snapToGrid w:val="0"/>
              <w:spacing w:before="60" w:after="60" w:line="240" w:lineRule="atLeast"/>
              <w:ind w:left="0" w:firstLine="0"/>
              <w:jc w:val="center"/>
              <w:rPr>
                <w:rFonts w:cs="Arial"/>
                <w:sz w:val="18"/>
                <w:szCs w:val="20"/>
                <w:lang w:val="de-DE" w:eastAsia="ar-SA"/>
              </w:rPr>
            </w:pPr>
            <m:oMathPara>
              <m:oMath>
                <m:r>
                  <w:rPr>
                    <w:rFonts w:ascii="Cambria Math" w:hAnsi="Cambria Math" w:cs="Arial"/>
                    <w:szCs w:val="20"/>
                    <w:lang w:val="en-US" w:eastAsia="ar-SA"/>
                  </w:rPr>
                  <m:t>k</m:t>
                </m:r>
              </m:oMath>
            </m:oMathPara>
          </w:p>
        </w:tc>
        <w:tc>
          <w:tcPr>
            <w:tcW w:w="850"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0,265</w:t>
            </w:r>
          </w:p>
        </w:tc>
        <w:tc>
          <w:tcPr>
            <w:tcW w:w="851"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0,253</w:t>
            </w:r>
          </w:p>
        </w:tc>
        <w:tc>
          <w:tcPr>
            <w:tcW w:w="850"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0,242</w:t>
            </w:r>
          </w:p>
        </w:tc>
        <w:tc>
          <w:tcPr>
            <w:tcW w:w="851"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0,233</w:t>
            </w:r>
          </w:p>
        </w:tc>
        <w:tc>
          <w:tcPr>
            <w:tcW w:w="850"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0,224</w:t>
            </w:r>
          </w:p>
        </w:tc>
        <w:tc>
          <w:tcPr>
            <w:tcW w:w="851"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0,216</w:t>
            </w:r>
          </w:p>
        </w:tc>
        <w:tc>
          <w:tcPr>
            <w:tcW w:w="850"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0,210</w:t>
            </w:r>
          </w:p>
        </w:tc>
        <w:tc>
          <w:tcPr>
            <w:tcW w:w="851"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0,203</w:t>
            </w:r>
          </w:p>
        </w:tc>
        <w:tc>
          <w:tcPr>
            <w:tcW w:w="975" w:type="dxa"/>
            <w:tcBorders>
              <w:top w:val="single" w:sz="4" w:space="0" w:color="000000"/>
              <w:left w:val="single" w:sz="4" w:space="0" w:color="000000"/>
              <w:bottom w:val="single" w:sz="4" w:space="0" w:color="000000"/>
              <w:right w:val="single" w:sz="4" w:space="0" w:color="000000"/>
            </w:tcBorders>
          </w:tcPr>
          <w:p w:rsidR="009C13A9" w:rsidRPr="00C903F8" w:rsidRDefault="009C13A9" w:rsidP="009C13A9">
            <w:pPr>
              <w:suppressAutoHyphens/>
              <w:autoSpaceDE/>
              <w:autoSpaceDN/>
              <w:snapToGrid w:val="0"/>
              <w:spacing w:before="60" w:after="60" w:line="240" w:lineRule="atLeast"/>
              <w:ind w:left="0" w:firstLine="0"/>
              <w:jc w:val="center"/>
              <w:rPr>
                <w:rFonts w:cs="Arial"/>
                <w:sz w:val="18"/>
                <w:szCs w:val="20"/>
                <w:lang w:val="de-DE" w:eastAsia="ar-SA"/>
              </w:rPr>
            </w:pPr>
            <w:r w:rsidRPr="00C903F8">
              <w:rPr>
                <w:rFonts w:cs="Arial"/>
                <w:sz w:val="18"/>
                <w:szCs w:val="20"/>
                <w:lang w:val="de-DE" w:eastAsia="ar-SA"/>
              </w:rPr>
              <w:t>0,198</w:t>
            </w:r>
          </w:p>
        </w:tc>
      </w:tr>
    </w:tbl>
    <w:p w:rsidR="009C13A9" w:rsidRPr="00C903F8" w:rsidRDefault="009C13A9" w:rsidP="009C13A9">
      <w:pPr>
        <w:suppressAutoHyphens/>
        <w:autoSpaceDE/>
        <w:autoSpaceDN/>
        <w:spacing w:line="240" w:lineRule="atLeast"/>
        <w:ind w:left="851" w:hanging="851"/>
        <w:jc w:val="left"/>
        <w:rPr>
          <w:rFonts w:cs="Arial"/>
          <w:szCs w:val="20"/>
          <w:lang w:val="nl-NL" w:eastAsia="ar-SA"/>
        </w:rPr>
      </w:pPr>
    </w:p>
    <w:p w:rsidR="007D3F2F" w:rsidRPr="00C903F8" w:rsidRDefault="007D3F2F" w:rsidP="009C13A9">
      <w:pPr>
        <w:suppressAutoHyphens/>
        <w:autoSpaceDE/>
        <w:autoSpaceDN/>
        <w:spacing w:line="240" w:lineRule="atLeast"/>
        <w:ind w:left="851" w:hanging="851"/>
        <w:jc w:val="left"/>
        <w:rPr>
          <w:rFonts w:cs="Arial"/>
          <w:szCs w:val="20"/>
          <w:lang w:val="nl-NL" w:eastAsia="ar-SA"/>
        </w:rPr>
      </w:pPr>
    </w:p>
    <w:p w:rsidR="007D3F2F" w:rsidRPr="00C903F8" w:rsidRDefault="00F12BAF" w:rsidP="007D3F2F">
      <w:pPr>
        <w:suppressAutoHyphens/>
        <w:autoSpaceDE/>
        <w:autoSpaceDN/>
        <w:spacing w:line="240" w:lineRule="atLeast"/>
        <w:ind w:left="851" w:hanging="851"/>
        <w:jc w:val="center"/>
        <w:rPr>
          <w:rFonts w:cs="Arial"/>
          <w:szCs w:val="20"/>
          <w:lang w:val="nl-NL" w:eastAsia="ar-SA"/>
        </w:rPr>
      </w:pPr>
      <m:oMath>
        <m:func>
          <m:funcPr>
            <m:ctrlPr>
              <w:rPr>
                <w:rFonts w:ascii="Cambria Math" w:hAnsi="Cambria Math" w:cs="Arial"/>
                <w:i/>
                <w:szCs w:val="20"/>
                <w:lang w:val="nl-NL" w:eastAsia="ar-SA"/>
              </w:rPr>
            </m:ctrlPr>
          </m:funcPr>
          <m:fName>
            <m:r>
              <m:rPr>
                <m:sty m:val="p"/>
              </m:rPr>
              <w:rPr>
                <w:rFonts w:ascii="Cambria Math" w:hAnsi="Cambria Math" w:cs="Arial"/>
                <w:szCs w:val="20"/>
                <w:lang w:val="nl-NL" w:eastAsia="ar-SA"/>
              </w:rPr>
              <m:t>si n</m:t>
            </m:r>
          </m:fName>
          <m:e>
            <m:r>
              <w:rPr>
                <w:rFonts w:ascii="Cambria Math" w:hAnsi="Cambria Math" w:cs="Arial"/>
                <w:szCs w:val="20"/>
                <w:lang w:val="nl-NL" w:eastAsia="ar-SA"/>
              </w:rPr>
              <m:t>≥</m:t>
            </m:r>
          </m:e>
        </m:func>
        <m:r>
          <w:rPr>
            <w:rFonts w:ascii="Cambria Math" w:hAnsi="Cambria Math" w:cs="Arial"/>
            <w:szCs w:val="20"/>
            <w:lang w:val="nl-NL" w:eastAsia="ar-SA"/>
          </w:rPr>
          <m:t xml:space="preserve"> 20</m:t>
        </m:r>
      </m:oMath>
      <w:r w:rsidR="007D3F2F" w:rsidRPr="00C903F8">
        <w:rPr>
          <w:rFonts w:cs="Arial"/>
          <w:szCs w:val="20"/>
          <w:lang w:val="nl-NL" w:eastAsia="ar-SA"/>
        </w:rPr>
        <w:t xml:space="preserve">, </w:t>
      </w:r>
      <m:oMath>
        <m:r>
          <w:rPr>
            <w:rFonts w:ascii="Cambria Math" w:hAnsi="Cambria Math" w:cs="Arial"/>
            <w:sz w:val="22"/>
            <w:szCs w:val="20"/>
            <w:lang w:val="nl-NL" w:eastAsia="ar-SA"/>
          </w:rPr>
          <m:t xml:space="preserve">k= </m:t>
        </m:r>
        <m:f>
          <m:fPr>
            <m:ctrlPr>
              <w:rPr>
                <w:rFonts w:ascii="Cambria Math" w:hAnsi="Cambria Math" w:cs="Arial"/>
                <w:i/>
                <w:sz w:val="22"/>
                <w:szCs w:val="20"/>
                <w:lang w:val="nl-NL" w:eastAsia="ar-SA"/>
              </w:rPr>
            </m:ctrlPr>
          </m:fPr>
          <m:num>
            <m:r>
              <w:rPr>
                <w:rFonts w:ascii="Cambria Math" w:hAnsi="Cambria Math" w:cs="Arial"/>
                <w:sz w:val="22"/>
                <w:szCs w:val="20"/>
                <w:lang w:val="nl-NL" w:eastAsia="ar-SA"/>
              </w:rPr>
              <m:t>0,860</m:t>
            </m:r>
          </m:num>
          <m:den>
            <m:rad>
              <m:radPr>
                <m:degHide m:val="1"/>
                <m:ctrlPr>
                  <w:rPr>
                    <w:rFonts w:ascii="Cambria Math" w:hAnsi="Cambria Math" w:cs="Arial"/>
                    <w:i/>
                    <w:sz w:val="22"/>
                    <w:szCs w:val="20"/>
                    <w:lang w:val="nl-NL" w:eastAsia="ar-SA"/>
                  </w:rPr>
                </m:ctrlPr>
              </m:radPr>
              <m:deg/>
              <m:e>
                <m:r>
                  <w:rPr>
                    <w:rFonts w:ascii="Cambria Math" w:hAnsi="Cambria Math" w:cs="Arial"/>
                    <w:sz w:val="22"/>
                    <w:szCs w:val="20"/>
                    <w:lang w:val="nl-NL" w:eastAsia="ar-SA"/>
                  </w:rPr>
                  <m:t>n</m:t>
                </m:r>
              </m:e>
            </m:rad>
          </m:den>
        </m:f>
      </m:oMath>
    </w:p>
    <w:p w:rsidR="009C13A9" w:rsidRPr="00C903F8" w:rsidRDefault="009C13A9" w:rsidP="009C13A9">
      <w:pPr>
        <w:suppressAutoHyphens/>
        <w:autoSpaceDE/>
        <w:autoSpaceDN/>
        <w:spacing w:line="240" w:lineRule="atLeast"/>
        <w:ind w:left="851" w:hanging="851"/>
        <w:jc w:val="center"/>
        <w:rPr>
          <w:rFonts w:cs="Arial"/>
          <w:szCs w:val="20"/>
          <w:lang w:eastAsia="ar-SA"/>
        </w:rPr>
      </w:pPr>
    </w:p>
    <w:p w:rsidR="009C13A9" w:rsidRPr="00C903F8" w:rsidRDefault="00F12BAF" w:rsidP="008A5402">
      <w:pPr>
        <w:tabs>
          <w:tab w:val="left" w:pos="1276"/>
        </w:tabs>
        <w:suppressAutoHyphens/>
        <w:overflowPunct w:val="0"/>
        <w:autoSpaceDN/>
        <w:spacing w:line="240" w:lineRule="atLeast"/>
        <w:ind w:left="709" w:firstLine="0"/>
        <w:textAlignment w:val="baseline"/>
        <w:rPr>
          <w:rFonts w:cs="Arial"/>
          <w:szCs w:val="20"/>
          <w:lang w:val="en-US" w:eastAsia="ar-SA"/>
        </w:rPr>
      </w:pPr>
      <m:oMathPara>
        <m:oMathParaPr>
          <m:jc m:val="center"/>
        </m:oMathParaPr>
        <m:oMath>
          <m:sSub>
            <m:sSubPr>
              <m:ctrlPr>
                <w:rPr>
                  <w:rFonts w:ascii="Cambria Math" w:hAnsi="Cambria Math" w:cs="Arial"/>
                  <w:i/>
                  <w:szCs w:val="20"/>
                  <w:lang w:val="en-US" w:eastAsia="ar-SA"/>
                </w:rPr>
              </m:ctrlPr>
            </m:sSubPr>
            <m:e>
              <m:r>
                <w:rPr>
                  <w:rFonts w:ascii="Cambria Math" w:hAnsi="Cambria Math" w:cs="Arial"/>
                  <w:szCs w:val="20"/>
                  <w:lang w:val="en-US" w:eastAsia="ar-SA"/>
                </w:rPr>
                <m:t>S</m:t>
              </m:r>
            </m:e>
            <m:sub>
              <m:r>
                <w:rPr>
                  <w:rFonts w:ascii="Cambria Math" w:hAnsi="Cambria Math" w:cs="Arial"/>
                  <w:szCs w:val="20"/>
                  <w:lang w:val="en-US" w:eastAsia="ar-SA"/>
                </w:rPr>
                <m:t>t</m:t>
              </m:r>
            </m:sub>
          </m:sSub>
          <m:r>
            <w:rPr>
              <w:rFonts w:ascii="Cambria Math" w:hAnsi="Cambria Math" w:cs="Arial"/>
              <w:szCs w:val="20"/>
              <w:lang w:val="en-US" w:eastAsia="ar-SA"/>
            </w:rPr>
            <m:t xml:space="preserve"> : </m:t>
          </m:r>
          <m:rad>
            <m:radPr>
              <m:degHide m:val="1"/>
              <m:ctrlPr>
                <w:rPr>
                  <w:rFonts w:ascii="Cambria Math" w:hAnsi="Cambria Math" w:cs="Arial"/>
                  <w:i/>
                  <w:szCs w:val="20"/>
                  <w:lang w:val="en-US" w:eastAsia="ar-SA"/>
                </w:rPr>
              </m:ctrlPr>
            </m:radPr>
            <m:deg/>
            <m:e>
              <m:nary>
                <m:naryPr>
                  <m:chr m:val="∑"/>
                  <m:limLoc m:val="undOvr"/>
                  <m:ctrlPr>
                    <w:rPr>
                      <w:rFonts w:ascii="Cambria Math" w:hAnsi="Cambria Math" w:cs="Arial"/>
                      <w:i/>
                      <w:szCs w:val="20"/>
                      <w:lang w:val="en-US" w:eastAsia="ar-SA"/>
                    </w:rPr>
                  </m:ctrlPr>
                </m:naryPr>
                <m:sub>
                  <m:r>
                    <w:rPr>
                      <w:rFonts w:ascii="Cambria Math" w:hAnsi="Cambria Math" w:cs="Arial"/>
                      <w:szCs w:val="20"/>
                      <w:lang w:val="en-US" w:eastAsia="ar-SA"/>
                    </w:rPr>
                    <m:t>i=1</m:t>
                  </m:r>
                </m:sub>
                <m:sup>
                  <m:r>
                    <w:rPr>
                      <w:rFonts w:ascii="Cambria Math" w:hAnsi="Cambria Math" w:cs="Arial"/>
                      <w:szCs w:val="20"/>
                      <w:lang w:val="en-US" w:eastAsia="ar-SA"/>
                    </w:rPr>
                    <m:t>n</m:t>
                  </m:r>
                </m:sup>
                <m:e>
                  <m:f>
                    <m:fPr>
                      <m:ctrlPr>
                        <w:rPr>
                          <w:rFonts w:ascii="Cambria Math" w:hAnsi="Cambria Math" w:cs="Arial"/>
                          <w:i/>
                          <w:szCs w:val="20"/>
                          <w:lang w:val="en-US" w:eastAsia="ar-SA"/>
                        </w:rPr>
                      </m:ctrlPr>
                    </m:fPr>
                    <m:num>
                      <m:d>
                        <m:dPr>
                          <m:ctrlPr>
                            <w:rPr>
                              <w:rFonts w:ascii="Cambria Math" w:hAnsi="Cambria Math" w:cs="Arial"/>
                              <w:i/>
                              <w:szCs w:val="20"/>
                              <w:lang w:val="en-US" w:eastAsia="ar-SA"/>
                            </w:rPr>
                          </m:ctrlPr>
                        </m:dPr>
                        <m:e>
                          <m:sSub>
                            <m:sSubPr>
                              <m:ctrlPr>
                                <w:rPr>
                                  <w:rFonts w:ascii="Cambria Math" w:hAnsi="Cambria Math" w:cs="Arial"/>
                                  <w:i/>
                                  <w:szCs w:val="20"/>
                                  <w:lang w:val="en-US" w:eastAsia="ar-SA"/>
                                </w:rPr>
                              </m:ctrlPr>
                            </m:sSubPr>
                            <m:e>
                              <m:r>
                                <w:rPr>
                                  <w:rFonts w:ascii="Cambria Math" w:hAnsi="Cambria Math" w:cs="Arial"/>
                                  <w:szCs w:val="20"/>
                                  <w:lang w:val="en-US" w:eastAsia="ar-SA"/>
                                </w:rPr>
                                <m:t>x</m:t>
                              </m:r>
                            </m:e>
                            <m:sub>
                              <m:r>
                                <w:rPr>
                                  <w:rFonts w:ascii="Cambria Math" w:hAnsi="Cambria Math" w:cs="Arial"/>
                                  <w:szCs w:val="20"/>
                                  <w:lang w:val="en-US" w:eastAsia="ar-SA"/>
                                </w:rPr>
                                <m:t>i</m:t>
                              </m:r>
                            </m:sub>
                          </m:sSub>
                          <m:r>
                            <w:rPr>
                              <w:rFonts w:ascii="Cambria Math" w:hAnsi="Cambria Math" w:cs="Arial"/>
                              <w:szCs w:val="20"/>
                              <w:lang w:val="en-US" w:eastAsia="ar-SA"/>
                            </w:rPr>
                            <m:t xml:space="preserve">- </m:t>
                          </m:r>
                          <m:acc>
                            <m:accPr>
                              <m:chr m:val="̅"/>
                              <m:ctrlPr>
                                <w:rPr>
                                  <w:rFonts w:ascii="Cambria Math" w:hAnsi="Cambria Math" w:cs="Arial"/>
                                  <w:i/>
                                  <w:szCs w:val="20"/>
                                  <w:lang w:val="en-US" w:eastAsia="ar-SA"/>
                                </w:rPr>
                              </m:ctrlPr>
                            </m:accPr>
                            <m:e>
                              <m:r>
                                <w:rPr>
                                  <w:rFonts w:ascii="Cambria Math" w:hAnsi="Cambria Math" w:cs="Arial"/>
                                  <w:szCs w:val="20"/>
                                  <w:lang w:val="en-US" w:eastAsia="ar-SA"/>
                                </w:rPr>
                                <m:t>x</m:t>
                              </m:r>
                            </m:e>
                          </m:acc>
                        </m:e>
                      </m:d>
                    </m:num>
                    <m:den>
                      <m:r>
                        <w:rPr>
                          <w:rFonts w:ascii="Cambria Math" w:hAnsi="Cambria Math" w:cs="Arial"/>
                          <w:szCs w:val="20"/>
                          <w:lang w:val="en-US" w:eastAsia="ar-SA"/>
                        </w:rPr>
                        <m:t>n-1</m:t>
                      </m:r>
                    </m:den>
                  </m:f>
                </m:e>
              </m:nary>
            </m:e>
          </m:rad>
          <m:r>
            <m:rPr>
              <m:sty m:val="p"/>
            </m:rPr>
            <w:rPr>
              <w:rFonts w:cs="Arial"/>
              <w:szCs w:val="20"/>
              <w:lang w:val="en-US" w:eastAsia="ar-SA"/>
            </w:rPr>
            <w:br/>
          </m:r>
        </m:oMath>
      </m:oMathPara>
      <w:r w:rsidR="009C13A9" w:rsidRPr="00C903F8">
        <w:rPr>
          <w:rFonts w:cs="Arial"/>
          <w:szCs w:val="20"/>
          <w:lang w:val="en-US" w:eastAsia="ar-SA"/>
        </w:rPr>
        <w:t>where</w:t>
      </w:r>
      <w:r w:rsidR="008A5402" w:rsidRPr="00C903F8">
        <w:rPr>
          <w:rFonts w:cs="Arial"/>
          <w:szCs w:val="20"/>
          <w:lang w:val="en-US" w:eastAsia="ar-SA"/>
        </w:rPr>
        <w:t xml:space="preserve"> </w:t>
      </w:r>
      <m:oMath>
        <m:sSub>
          <m:sSubPr>
            <m:ctrlPr>
              <w:rPr>
                <w:rFonts w:ascii="Cambria Math" w:hAnsi="Cambria Math" w:cs="Arial"/>
                <w:i/>
                <w:szCs w:val="20"/>
                <w:lang w:val="en-US" w:eastAsia="ar-SA"/>
              </w:rPr>
            </m:ctrlPr>
          </m:sSubPr>
          <m:e>
            <m:r>
              <w:rPr>
                <w:rFonts w:ascii="Cambria Math" w:hAnsi="Cambria Math" w:cs="Arial"/>
                <w:szCs w:val="20"/>
                <w:lang w:val="en-US" w:eastAsia="ar-SA"/>
              </w:rPr>
              <m:t>x</m:t>
            </m:r>
          </m:e>
          <m:sub>
            <m:r>
              <w:rPr>
                <w:rFonts w:ascii="Cambria Math" w:hAnsi="Cambria Math" w:cs="Arial"/>
                <w:szCs w:val="20"/>
                <w:lang w:val="en-US" w:eastAsia="ar-SA"/>
              </w:rPr>
              <m:t>i</m:t>
            </m:r>
          </m:sub>
        </m:sSub>
      </m:oMath>
      <w:r w:rsidR="009C13A9" w:rsidRPr="00C903F8">
        <w:rPr>
          <w:rFonts w:cs="Arial"/>
          <w:szCs w:val="20"/>
          <w:lang w:val="en-US" w:eastAsia="ar-SA"/>
        </w:rPr>
        <w:t xml:space="preserve"> is any individual result obtained from the random sample </w:t>
      </w:r>
      <m:oMath>
        <m:r>
          <w:rPr>
            <w:rFonts w:ascii="Cambria Math" w:hAnsi="Cambria Math"/>
            <w:noProof/>
            <w:szCs w:val="20"/>
            <w:lang w:val="en-US"/>
          </w:rPr>
          <m:t>n</m:t>
        </m:r>
      </m:oMath>
    </w:p>
    <w:p w:rsidR="009C13A9" w:rsidRPr="00C903F8" w:rsidRDefault="007D3F2F" w:rsidP="00C036E3">
      <w:pPr>
        <w:tabs>
          <w:tab w:val="left" w:pos="1134"/>
        </w:tabs>
        <w:suppressAutoHyphens/>
        <w:overflowPunct w:val="0"/>
        <w:autoSpaceDN/>
        <w:spacing w:line="240" w:lineRule="atLeast"/>
        <w:ind w:left="1134"/>
        <w:textAlignment w:val="baseline"/>
        <w:rPr>
          <w:rFonts w:cs="Arial"/>
          <w:szCs w:val="20"/>
          <w:lang w:val="en-US" w:eastAsia="ar-SA"/>
        </w:rPr>
      </w:pPr>
      <m:oMath>
        <m:r>
          <w:rPr>
            <w:rFonts w:ascii="Cambria Math" w:hAnsi="Cambria Math" w:cs="Arial"/>
            <w:szCs w:val="20"/>
            <w:lang w:val="en-US" w:eastAsia="ar-SA"/>
          </w:rPr>
          <m:t>L</m:t>
        </m:r>
      </m:oMath>
      <w:r w:rsidR="009C13A9" w:rsidRPr="00C903F8">
        <w:rPr>
          <w:rFonts w:cs="Arial"/>
          <w:szCs w:val="20"/>
          <w:lang w:val="en-US" w:eastAsia="ar-SA"/>
        </w:rPr>
        <w:t>:</w:t>
      </w:r>
      <w:r w:rsidR="009C13A9" w:rsidRPr="00C903F8">
        <w:rPr>
          <w:rFonts w:cs="Arial"/>
          <w:szCs w:val="20"/>
          <w:lang w:val="en-US" w:eastAsia="ar-SA"/>
        </w:rPr>
        <w:tab/>
      </w:r>
      <w:r w:rsidR="009C13A9" w:rsidRPr="00C903F8">
        <w:rPr>
          <w:noProof/>
          <w:szCs w:val="20"/>
          <w:lang w:val="en-US"/>
        </w:rPr>
        <w:t>is the admissible limit value set out in</w:t>
      </w:r>
      <w:r w:rsidR="009C13A9" w:rsidRPr="00C903F8">
        <w:rPr>
          <w:rFonts w:cs="Arial"/>
          <w:szCs w:val="20"/>
          <w:lang w:val="en-US" w:eastAsia="ar-SA"/>
        </w:rPr>
        <w:t xml:space="preserve"> Article 18.01</w:t>
      </w:r>
      <w:r w:rsidR="00216BFB" w:rsidRPr="00C903F8">
        <w:rPr>
          <w:rFonts w:cs="Arial"/>
          <w:szCs w:val="20"/>
          <w:lang w:val="en-US" w:eastAsia="ar-SA"/>
        </w:rPr>
        <w:t>(</w:t>
      </w:r>
      <w:r w:rsidR="009C13A9" w:rsidRPr="00C903F8">
        <w:rPr>
          <w:rFonts w:cs="Arial"/>
          <w:szCs w:val="20"/>
          <w:lang w:val="en-US" w:eastAsia="ar-SA"/>
        </w:rPr>
        <w:t>2</w:t>
      </w:r>
      <w:r w:rsidR="00216BFB" w:rsidRPr="00C903F8">
        <w:rPr>
          <w:rFonts w:cs="Arial"/>
          <w:szCs w:val="20"/>
          <w:lang w:val="en-US" w:eastAsia="ar-SA"/>
        </w:rPr>
        <w:t>)</w:t>
      </w:r>
      <w:r w:rsidR="009C13A9" w:rsidRPr="00C903F8">
        <w:rPr>
          <w:rFonts w:cs="Arial"/>
          <w:szCs w:val="20"/>
          <w:lang w:val="en-US" w:eastAsia="ar-SA"/>
        </w:rPr>
        <w:t xml:space="preserve">, </w:t>
      </w:r>
      <w:r w:rsidR="00216BFB" w:rsidRPr="00C903F8">
        <w:rPr>
          <w:rFonts w:cs="Arial"/>
          <w:szCs w:val="20"/>
          <w:lang w:val="en-US" w:eastAsia="ar-SA"/>
        </w:rPr>
        <w:t>T</w:t>
      </w:r>
      <w:r w:rsidR="009C13A9" w:rsidRPr="00C903F8">
        <w:rPr>
          <w:rFonts w:cs="Arial"/>
          <w:szCs w:val="20"/>
          <w:lang w:val="en-US" w:eastAsia="ar-SA"/>
        </w:rPr>
        <w:t>abl</w:t>
      </w:r>
      <w:r w:rsidR="00216BFB" w:rsidRPr="00C903F8">
        <w:rPr>
          <w:rFonts w:cs="Arial"/>
          <w:szCs w:val="20"/>
          <w:lang w:val="en-US" w:eastAsia="ar-SA"/>
        </w:rPr>
        <w:t>e</w:t>
      </w:r>
      <w:r w:rsidR="009C13A9" w:rsidRPr="00C903F8">
        <w:rPr>
          <w:rFonts w:cs="Arial"/>
          <w:szCs w:val="20"/>
          <w:lang w:val="en-US" w:eastAsia="ar-SA"/>
        </w:rPr>
        <w:t xml:space="preserve"> 2, for each pollutant studied;</w:t>
      </w:r>
    </w:p>
    <w:p w:rsidR="009C13A9" w:rsidRPr="00C903F8" w:rsidRDefault="009C13A9" w:rsidP="009C13A9">
      <w:pPr>
        <w:tabs>
          <w:tab w:val="left" w:pos="709"/>
        </w:tabs>
        <w:suppressAutoHyphens/>
        <w:overflowPunct w:val="0"/>
        <w:autoSpaceDN/>
        <w:spacing w:line="240" w:lineRule="atLeast"/>
        <w:ind w:left="709" w:hanging="709"/>
        <w:textAlignment w:val="baseline"/>
        <w:rPr>
          <w:rFonts w:cs="Arial"/>
          <w:szCs w:val="20"/>
          <w:lang w:val="en-US" w:eastAsia="ar-SA"/>
        </w:rPr>
      </w:pPr>
    </w:p>
    <w:p w:rsidR="009C13A9" w:rsidRPr="00C903F8" w:rsidRDefault="009C13A9" w:rsidP="009C13A9">
      <w:pPr>
        <w:tabs>
          <w:tab w:val="left" w:pos="709"/>
        </w:tabs>
        <w:spacing w:line="240" w:lineRule="atLeast"/>
        <w:ind w:left="709" w:hanging="709"/>
        <w:rPr>
          <w:noProof/>
          <w:szCs w:val="20"/>
          <w:lang w:val="en-US"/>
        </w:rPr>
      </w:pPr>
      <w:r w:rsidRPr="00C903F8">
        <w:rPr>
          <w:noProof/>
          <w:szCs w:val="20"/>
          <w:lang w:val="en-US"/>
        </w:rPr>
        <w:t>3.3.3</w:t>
      </w:r>
      <w:r w:rsidRPr="00C903F8">
        <w:rPr>
          <w:noProof/>
          <w:szCs w:val="20"/>
          <w:lang w:val="en-US"/>
        </w:rPr>
        <w:tab/>
        <w:t xml:space="preserve">if the values as set out in Article 18.01(2), Table 2 are not complied with, a new test shall be carried out according to </w:t>
      </w:r>
      <w:r w:rsidR="007261E0" w:rsidRPr="00C903F8">
        <w:rPr>
          <w:noProof/>
          <w:szCs w:val="20"/>
          <w:lang w:val="en-US"/>
        </w:rPr>
        <w:t>(</w:t>
      </w:r>
      <w:r w:rsidRPr="00C903F8">
        <w:rPr>
          <w:noProof/>
          <w:szCs w:val="20"/>
          <w:lang w:val="en-US"/>
        </w:rPr>
        <w:t>3.3.2.1</w:t>
      </w:r>
      <w:r w:rsidR="007261E0" w:rsidRPr="00C903F8">
        <w:rPr>
          <w:noProof/>
          <w:szCs w:val="20"/>
          <w:lang w:val="en-US"/>
        </w:rPr>
        <w:t>)</w:t>
      </w:r>
      <w:r w:rsidRPr="00C903F8">
        <w:rPr>
          <w:noProof/>
          <w:szCs w:val="20"/>
          <w:lang w:val="en-US"/>
        </w:rPr>
        <w:t xml:space="preserve"> and, in case that tests has no positive results, in accordance with </w:t>
      </w:r>
      <w:r w:rsidR="007261E0" w:rsidRPr="00C903F8">
        <w:rPr>
          <w:noProof/>
          <w:szCs w:val="20"/>
          <w:lang w:val="en-US"/>
        </w:rPr>
        <w:t>(</w:t>
      </w:r>
      <w:r w:rsidRPr="00C903F8">
        <w:rPr>
          <w:noProof/>
          <w:szCs w:val="20"/>
          <w:lang w:val="en-US"/>
        </w:rPr>
        <w:t>3.3.2.2</w:t>
      </w:r>
      <w:r w:rsidR="007261E0" w:rsidRPr="00C903F8">
        <w:rPr>
          <w:noProof/>
          <w:szCs w:val="20"/>
          <w:lang w:val="en-US"/>
        </w:rPr>
        <w:t>)</w:t>
      </w:r>
      <w:r w:rsidRPr="00C903F8">
        <w:rPr>
          <w:noProof/>
          <w:szCs w:val="20"/>
          <w:lang w:val="en-US"/>
        </w:rPr>
        <w:t xml:space="preserve"> a full test is carried out, following the test procedure provided in </w:t>
      </w:r>
      <w:r w:rsidR="0039092B" w:rsidRPr="00C903F8">
        <w:rPr>
          <w:noProof/>
          <w:szCs w:val="20"/>
          <w:lang w:val="en-US"/>
        </w:rPr>
        <w:t>Annex 9</w:t>
      </w:r>
      <w:r w:rsidRPr="00C903F8">
        <w:rPr>
          <w:noProof/>
          <w:szCs w:val="20"/>
          <w:lang w:val="en-US"/>
        </w:rPr>
        <w:t>. The limit values as set out in Article 18.01(2), Table 1 may not be exceeded for either the composite sample or the random sample.</w:t>
      </w:r>
    </w:p>
    <w:p w:rsidR="009C13A9" w:rsidRPr="00C903F8" w:rsidRDefault="009C13A9" w:rsidP="009C13A9">
      <w:pPr>
        <w:tabs>
          <w:tab w:val="left" w:pos="709"/>
        </w:tabs>
        <w:spacing w:line="240" w:lineRule="atLeast"/>
        <w:ind w:left="709" w:hanging="709"/>
        <w:rPr>
          <w:noProof/>
          <w:szCs w:val="20"/>
          <w:lang w:val="en-US"/>
        </w:rPr>
      </w:pPr>
    </w:p>
    <w:p w:rsidR="009C13A9" w:rsidRPr="00C903F8" w:rsidRDefault="009C13A9" w:rsidP="009C13A9">
      <w:pPr>
        <w:tabs>
          <w:tab w:val="left" w:pos="709"/>
        </w:tabs>
        <w:spacing w:line="240" w:lineRule="atLeast"/>
        <w:ind w:left="709" w:hanging="709"/>
        <w:rPr>
          <w:noProof/>
          <w:szCs w:val="20"/>
          <w:lang w:val="en-US"/>
        </w:rPr>
      </w:pPr>
      <w:r w:rsidRPr="00C903F8">
        <w:rPr>
          <w:noProof/>
          <w:szCs w:val="20"/>
          <w:lang w:val="en-US"/>
        </w:rPr>
        <w:t>3.3.4</w:t>
      </w:r>
      <w:r w:rsidRPr="00C903F8">
        <w:rPr>
          <w:noProof/>
          <w:szCs w:val="20"/>
          <w:lang w:val="en-US"/>
        </w:rPr>
        <w:tab/>
        <w:t>The competent authority must carry out the tests on on-board sewage treatment plants which are partially or fully functional according to the information supplied by the manufacturer.</w:t>
      </w:r>
    </w:p>
    <w:p w:rsidR="009C13A9" w:rsidRPr="00C903F8" w:rsidRDefault="009C13A9" w:rsidP="009C13A9">
      <w:pPr>
        <w:tabs>
          <w:tab w:val="left" w:pos="709"/>
        </w:tabs>
        <w:spacing w:line="240" w:lineRule="atLeast"/>
        <w:ind w:left="709" w:hanging="709"/>
        <w:rPr>
          <w:noProof/>
          <w:szCs w:val="20"/>
          <w:lang w:val="en-US"/>
        </w:rPr>
      </w:pPr>
    </w:p>
    <w:p w:rsidR="009C13A9" w:rsidRPr="00C903F8" w:rsidRDefault="009C13A9" w:rsidP="009C13A9">
      <w:pPr>
        <w:tabs>
          <w:tab w:val="left" w:pos="709"/>
        </w:tabs>
        <w:spacing w:line="240" w:lineRule="atLeast"/>
        <w:ind w:left="709" w:hanging="709"/>
        <w:rPr>
          <w:noProof/>
          <w:szCs w:val="20"/>
          <w:lang w:val="en-US"/>
        </w:rPr>
      </w:pPr>
      <w:r w:rsidRPr="00C903F8">
        <w:rPr>
          <w:noProof/>
          <w:szCs w:val="20"/>
          <w:lang w:val="en-US"/>
        </w:rPr>
        <w:t>3.3.5</w:t>
      </w:r>
      <w:r w:rsidRPr="00C903F8">
        <w:rPr>
          <w:noProof/>
          <w:szCs w:val="20"/>
          <w:lang w:val="en-US"/>
        </w:rPr>
        <w:tab/>
        <w:t xml:space="preserve">The normal frequency of tests of conformity of production which the competent authority is entitled to conduct shall be one per year. In case of non-compliance with the requirements of </w:t>
      </w:r>
      <w:r w:rsidR="007261E0" w:rsidRPr="00C903F8">
        <w:rPr>
          <w:noProof/>
          <w:szCs w:val="20"/>
          <w:lang w:val="en-US"/>
        </w:rPr>
        <w:t>(</w:t>
      </w:r>
      <w:r w:rsidRPr="00C903F8">
        <w:rPr>
          <w:noProof/>
          <w:szCs w:val="20"/>
          <w:lang w:val="en-US"/>
        </w:rPr>
        <w:t>3.3.3</w:t>
      </w:r>
      <w:r w:rsidR="007261E0" w:rsidRPr="00C903F8">
        <w:rPr>
          <w:noProof/>
          <w:szCs w:val="20"/>
          <w:lang w:val="en-US"/>
        </w:rPr>
        <w:t>)</w:t>
      </w:r>
      <w:r w:rsidRPr="00C903F8">
        <w:rPr>
          <w:noProof/>
          <w:szCs w:val="20"/>
          <w:lang w:val="en-US"/>
        </w:rPr>
        <w:t xml:space="preserve"> the competent authority shall ensure that all necessary steps are taken to restore production conformity without delay.</w:t>
      </w:r>
    </w:p>
    <w:p w:rsidR="009C13A9" w:rsidRPr="00C903F8" w:rsidRDefault="009C13A9" w:rsidP="009C13A9">
      <w:pPr>
        <w:tabs>
          <w:tab w:val="left" w:pos="709"/>
        </w:tabs>
        <w:suppressAutoHyphens/>
        <w:overflowPunct w:val="0"/>
        <w:autoSpaceDN/>
        <w:spacing w:line="240" w:lineRule="atLeast"/>
        <w:ind w:left="709" w:hanging="709"/>
        <w:textAlignment w:val="baseline"/>
        <w:rPr>
          <w:rFonts w:cs="Arial"/>
          <w:szCs w:val="20"/>
          <w:lang w:val="en-US" w:eastAsia="ar-SA"/>
        </w:rPr>
      </w:pPr>
    </w:p>
    <w:p w:rsidR="009C13A9" w:rsidRPr="00C903F8" w:rsidRDefault="009C13A9" w:rsidP="009C13A9">
      <w:pPr>
        <w:tabs>
          <w:tab w:val="left" w:pos="709"/>
          <w:tab w:val="left" w:pos="1134"/>
        </w:tabs>
        <w:suppressAutoHyphens/>
        <w:overflowPunct w:val="0"/>
        <w:autoSpaceDN/>
        <w:spacing w:line="240" w:lineRule="atLeast"/>
        <w:ind w:left="709" w:hanging="709"/>
        <w:textAlignment w:val="baseline"/>
        <w:rPr>
          <w:rFonts w:cs="Arial"/>
          <w:szCs w:val="20"/>
          <w:lang w:val="en-US" w:eastAsia="ar-SA"/>
        </w:rPr>
      </w:pPr>
      <w:r w:rsidRPr="00C903F8">
        <w:rPr>
          <w:rFonts w:cs="Arial"/>
          <w:szCs w:val="20"/>
          <w:lang w:val="en-US" w:eastAsia="ar-SA"/>
        </w:rPr>
        <w:br w:type="page"/>
      </w:r>
    </w:p>
    <w:p w:rsidR="009C13A9" w:rsidRPr="00C903F8" w:rsidRDefault="009C13A9" w:rsidP="009C13A9">
      <w:pPr>
        <w:tabs>
          <w:tab w:val="left" w:pos="709"/>
          <w:tab w:val="left" w:pos="1134"/>
        </w:tabs>
        <w:suppressAutoHyphens/>
        <w:overflowPunct w:val="0"/>
        <w:autoSpaceDN/>
        <w:spacing w:line="240" w:lineRule="atLeast"/>
        <w:ind w:left="709" w:hanging="709"/>
        <w:textAlignment w:val="baseline"/>
        <w:rPr>
          <w:rFonts w:cs="Arial"/>
          <w:szCs w:val="20"/>
          <w:lang w:val="en-US" w:eastAsia="ar-SA"/>
        </w:rPr>
      </w:pPr>
    </w:p>
    <w:p w:rsidR="009C13A9" w:rsidRPr="00C903F8" w:rsidRDefault="009C13A9" w:rsidP="009C13A9">
      <w:pPr>
        <w:tabs>
          <w:tab w:val="left" w:pos="709"/>
          <w:tab w:val="left" w:pos="1134"/>
        </w:tabs>
        <w:suppressAutoHyphens/>
        <w:overflowPunct w:val="0"/>
        <w:autoSpaceDN/>
        <w:spacing w:line="240" w:lineRule="atLeast"/>
        <w:ind w:left="709" w:hanging="709"/>
        <w:textAlignment w:val="baseline"/>
        <w:rPr>
          <w:rFonts w:cs="Arial"/>
          <w:szCs w:val="20"/>
          <w:lang w:val="en-US" w:eastAsia="ar-SA"/>
        </w:rPr>
      </w:pPr>
    </w:p>
    <w:p w:rsidR="009C13A9" w:rsidRPr="00C903F8" w:rsidRDefault="009C13A9" w:rsidP="009C13A9">
      <w:pPr>
        <w:tabs>
          <w:tab w:val="left" w:pos="709"/>
          <w:tab w:val="left" w:pos="1134"/>
        </w:tabs>
        <w:suppressAutoHyphens/>
        <w:overflowPunct w:val="0"/>
        <w:autoSpaceDN/>
        <w:spacing w:line="240" w:lineRule="atLeast"/>
        <w:ind w:left="709" w:hanging="709"/>
        <w:textAlignment w:val="baseline"/>
        <w:rPr>
          <w:rFonts w:cs="Arial"/>
          <w:szCs w:val="20"/>
          <w:lang w:val="en-US" w:eastAsia="ar-SA"/>
        </w:rPr>
      </w:pPr>
    </w:p>
    <w:p w:rsidR="009C13A9" w:rsidRPr="00C903F8" w:rsidRDefault="009C13A9" w:rsidP="009C13A9">
      <w:pPr>
        <w:tabs>
          <w:tab w:val="left" w:pos="709"/>
          <w:tab w:val="left" w:pos="1134"/>
        </w:tabs>
        <w:suppressAutoHyphens/>
        <w:overflowPunct w:val="0"/>
        <w:autoSpaceDN/>
        <w:spacing w:line="240" w:lineRule="atLeast"/>
        <w:ind w:left="709" w:hanging="709"/>
        <w:textAlignment w:val="baseline"/>
        <w:rPr>
          <w:rFonts w:cs="Arial"/>
          <w:szCs w:val="20"/>
          <w:lang w:val="en-US" w:eastAsia="ar-SA"/>
        </w:rPr>
      </w:pPr>
      <w:r w:rsidRPr="00C903F8">
        <w:rPr>
          <w:rFonts w:cs="Arial"/>
          <w:szCs w:val="20"/>
          <w:lang w:val="en-US" w:eastAsia="ar-SA"/>
        </w:rPr>
        <w:br w:type="page"/>
      </w:r>
    </w:p>
    <w:p w:rsidR="009C13A9" w:rsidRPr="00C903F8" w:rsidRDefault="00925755" w:rsidP="00684B1D">
      <w:pPr>
        <w:pStyle w:val="ES-Titre3"/>
        <w:rPr>
          <w:noProof/>
        </w:rPr>
      </w:pPr>
      <w:bookmarkStart w:id="366" w:name="_Toc491854326"/>
      <w:r w:rsidRPr="00C903F8">
        <w:rPr>
          <w:noProof/>
        </w:rPr>
        <w:lastRenderedPageBreak/>
        <w:t>Section</w:t>
      </w:r>
      <w:r w:rsidR="00684B1D" w:rsidRPr="00C903F8">
        <w:rPr>
          <w:noProof/>
        </w:rPr>
        <w:t xml:space="preserve"> II</w:t>
      </w:r>
      <w:bookmarkEnd w:id="366"/>
    </w:p>
    <w:p w:rsidR="009C13A9" w:rsidRPr="00C903F8" w:rsidRDefault="009C13A9" w:rsidP="00684B1D">
      <w:pPr>
        <w:pStyle w:val="ES-Titre3a"/>
        <w:rPr>
          <w:noProof/>
          <w:lang w:val="en-US"/>
        </w:rPr>
      </w:pPr>
      <w:bookmarkStart w:id="367" w:name="_Toc491854327"/>
      <w:r w:rsidRPr="00C903F8">
        <w:rPr>
          <w:noProof/>
        </w:rPr>
        <w:t>Information Document No …</w:t>
      </w:r>
      <w:r w:rsidRPr="00C903F8">
        <w:rPr>
          <w:noProof/>
          <w:vertAlign w:val="superscript"/>
        </w:rPr>
        <w:footnoteReference w:id="63"/>
      </w:r>
      <w:r w:rsidR="00684B1D" w:rsidRPr="00C903F8">
        <w:rPr>
          <w:noProof/>
          <w:vertAlign w:val="superscript"/>
        </w:rPr>
        <w:t xml:space="preserve"> </w:t>
      </w:r>
      <w:r w:rsidRPr="00C903F8">
        <w:rPr>
          <w:noProof/>
          <w:lang w:val="en-US"/>
        </w:rPr>
        <w:t>relating to type approval of on-board sewage treatment plants</w:t>
      </w:r>
      <w:r w:rsidR="00684B1D" w:rsidRPr="00C903F8">
        <w:rPr>
          <w:noProof/>
          <w:lang w:val="en-US"/>
        </w:rPr>
        <w:t xml:space="preserve"> </w:t>
      </w:r>
      <w:r w:rsidRPr="00C903F8">
        <w:rPr>
          <w:noProof/>
          <w:lang w:val="en-US"/>
        </w:rPr>
        <w:t>intended for installation in inland waterway vessels</w:t>
      </w:r>
      <w:bookmarkEnd w:id="367"/>
    </w:p>
    <w:p w:rsidR="009C13A9" w:rsidRPr="00C903F8" w:rsidRDefault="009C13A9" w:rsidP="009C13A9">
      <w:pPr>
        <w:overflowPunct w:val="0"/>
        <w:adjustRightInd w:val="0"/>
        <w:spacing w:line="240" w:lineRule="exact"/>
        <w:ind w:left="0" w:firstLine="0"/>
        <w:jc w:val="center"/>
        <w:textAlignment w:val="baseline"/>
        <w:rPr>
          <w:rFonts w:eastAsia="Calibri"/>
          <w:szCs w:val="22"/>
          <w:lang w:val="en-US" w:eastAsia="en-US"/>
        </w:rPr>
      </w:pPr>
      <w:r w:rsidRPr="00C903F8">
        <w:rPr>
          <w:rFonts w:eastAsia="Calibri"/>
          <w:szCs w:val="22"/>
          <w:lang w:val="en-US" w:eastAsia="en-US"/>
        </w:rPr>
        <w:t>(Model)</w:t>
      </w:r>
    </w:p>
    <w:p w:rsidR="009C13A9" w:rsidRPr="00C903F8" w:rsidRDefault="009C13A9" w:rsidP="009C13A9">
      <w:pPr>
        <w:tabs>
          <w:tab w:val="left" w:leader="dot" w:pos="9214"/>
        </w:tabs>
        <w:suppressAutoHyphens/>
        <w:autoSpaceDE/>
        <w:autoSpaceDN/>
        <w:spacing w:line="240" w:lineRule="atLeast"/>
        <w:ind w:firstLine="0"/>
        <w:jc w:val="left"/>
        <w:rPr>
          <w:rFonts w:cs="Arial"/>
          <w:szCs w:val="20"/>
          <w:lang w:val="en-US" w:eastAsia="ar-SA"/>
        </w:rPr>
      </w:pPr>
    </w:p>
    <w:p w:rsidR="009C13A9" w:rsidRPr="00C903F8" w:rsidRDefault="009C13A9" w:rsidP="009C13A9">
      <w:pPr>
        <w:tabs>
          <w:tab w:val="left" w:leader="dot" w:pos="9072"/>
        </w:tabs>
        <w:ind w:left="850" w:hanging="850"/>
        <w:jc w:val="left"/>
        <w:rPr>
          <w:noProof/>
          <w:szCs w:val="20"/>
          <w:lang w:val="en-US"/>
        </w:rPr>
      </w:pPr>
      <w:r w:rsidRPr="00C903F8">
        <w:rPr>
          <w:noProof/>
          <w:szCs w:val="20"/>
          <w:lang w:val="en-US"/>
        </w:rPr>
        <w:t xml:space="preserve">On-board sewage treatment plant type: </w:t>
      </w:r>
      <w:r w:rsidRPr="00C903F8">
        <w:rPr>
          <w:noProof/>
          <w:szCs w:val="20"/>
          <w:lang w:val="en-US"/>
        </w:rPr>
        <w:tab/>
      </w:r>
    </w:p>
    <w:p w:rsidR="009C13A9" w:rsidRPr="00C903F8" w:rsidRDefault="009C13A9" w:rsidP="009C13A9">
      <w:pPr>
        <w:tabs>
          <w:tab w:val="left" w:leader="dot" w:pos="9072"/>
        </w:tabs>
        <w:ind w:left="567" w:hanging="567"/>
        <w:rPr>
          <w:noProof/>
          <w:szCs w:val="20"/>
          <w:lang w:val="en-US"/>
        </w:rPr>
      </w:pPr>
    </w:p>
    <w:p w:rsidR="009C13A9" w:rsidRPr="00C903F8" w:rsidRDefault="009C13A9" w:rsidP="009C13A9">
      <w:pPr>
        <w:tabs>
          <w:tab w:val="left" w:leader="dot" w:pos="9072"/>
        </w:tabs>
        <w:spacing w:line="240" w:lineRule="atLeast"/>
        <w:ind w:left="567" w:hanging="567"/>
        <w:rPr>
          <w:noProof/>
          <w:szCs w:val="20"/>
          <w:lang w:val="en-US"/>
        </w:rPr>
      </w:pPr>
      <w:r w:rsidRPr="00C903F8">
        <w:rPr>
          <w:noProof/>
          <w:szCs w:val="20"/>
          <w:lang w:val="en-US"/>
        </w:rPr>
        <w:t>0.</w:t>
      </w:r>
      <w:r w:rsidRPr="00C903F8">
        <w:rPr>
          <w:noProof/>
          <w:szCs w:val="20"/>
          <w:lang w:val="en-US"/>
        </w:rPr>
        <w:tab/>
        <w:t>General</w:t>
      </w:r>
    </w:p>
    <w:p w:rsidR="009C13A9" w:rsidRPr="00C903F8" w:rsidRDefault="009C13A9" w:rsidP="009C13A9">
      <w:pPr>
        <w:tabs>
          <w:tab w:val="left" w:leader="dot" w:pos="9072"/>
        </w:tabs>
        <w:spacing w:line="240" w:lineRule="atLeast"/>
        <w:ind w:left="567" w:hanging="567"/>
        <w:rPr>
          <w:noProof/>
          <w:szCs w:val="20"/>
          <w:lang w:val="en-US"/>
        </w:rPr>
      </w:pPr>
    </w:p>
    <w:p w:rsidR="009C13A9" w:rsidRPr="00C903F8" w:rsidRDefault="009C13A9" w:rsidP="009C13A9">
      <w:pPr>
        <w:tabs>
          <w:tab w:val="left" w:leader="dot" w:pos="9072"/>
        </w:tabs>
        <w:spacing w:line="240" w:lineRule="atLeast"/>
        <w:ind w:left="567" w:hanging="567"/>
        <w:jc w:val="left"/>
        <w:rPr>
          <w:noProof/>
          <w:szCs w:val="20"/>
          <w:lang w:val="en-US"/>
        </w:rPr>
      </w:pPr>
      <w:r w:rsidRPr="00C903F8">
        <w:rPr>
          <w:noProof/>
          <w:szCs w:val="20"/>
          <w:lang w:val="en-US"/>
        </w:rPr>
        <w:t>0.1</w:t>
      </w:r>
      <w:r w:rsidRPr="00C903F8">
        <w:rPr>
          <w:noProof/>
          <w:szCs w:val="20"/>
          <w:lang w:val="en-US"/>
        </w:rPr>
        <w:tab/>
        <w:t xml:space="preserve">Make (manufacturer’s company name): </w:t>
      </w:r>
      <w:r w:rsidRPr="00C903F8">
        <w:rPr>
          <w:noProof/>
          <w:szCs w:val="20"/>
          <w:lang w:val="en-US"/>
        </w:rPr>
        <w:tab/>
      </w:r>
    </w:p>
    <w:p w:rsidR="009C13A9" w:rsidRPr="00C903F8" w:rsidRDefault="009C13A9" w:rsidP="009C13A9">
      <w:pPr>
        <w:tabs>
          <w:tab w:val="left" w:leader="dot" w:pos="9072"/>
        </w:tabs>
        <w:spacing w:line="240" w:lineRule="atLeast"/>
        <w:ind w:left="567" w:hanging="567"/>
        <w:jc w:val="left"/>
        <w:rPr>
          <w:noProof/>
          <w:szCs w:val="20"/>
          <w:lang w:val="en-US"/>
        </w:rPr>
      </w:pPr>
    </w:p>
    <w:p w:rsidR="009C13A9" w:rsidRPr="00C903F8" w:rsidRDefault="009C13A9" w:rsidP="009C13A9">
      <w:pPr>
        <w:tabs>
          <w:tab w:val="left" w:leader="dot" w:pos="9072"/>
        </w:tabs>
        <w:spacing w:line="240" w:lineRule="atLeast"/>
        <w:ind w:left="567" w:hanging="567"/>
        <w:jc w:val="left"/>
        <w:rPr>
          <w:noProof/>
          <w:szCs w:val="20"/>
          <w:lang w:val="en-US"/>
        </w:rPr>
      </w:pPr>
      <w:r w:rsidRPr="00C903F8">
        <w:rPr>
          <w:noProof/>
          <w:szCs w:val="20"/>
          <w:lang w:val="en-US"/>
        </w:rPr>
        <w:t>0.2</w:t>
      </w:r>
      <w:r w:rsidRPr="00C903F8">
        <w:rPr>
          <w:noProof/>
          <w:szCs w:val="20"/>
          <w:lang w:val="en-US"/>
        </w:rPr>
        <w:tab/>
        <w:t xml:space="preserve">Manufacturer’s designation for the on-board sewage treatment plant type: </w:t>
      </w:r>
      <w:r w:rsidRPr="00C903F8">
        <w:rPr>
          <w:noProof/>
          <w:szCs w:val="20"/>
          <w:lang w:val="en-US"/>
        </w:rPr>
        <w:tab/>
      </w:r>
    </w:p>
    <w:p w:rsidR="009C13A9" w:rsidRPr="00C903F8" w:rsidRDefault="009C13A9" w:rsidP="009C13A9">
      <w:pPr>
        <w:tabs>
          <w:tab w:val="left" w:leader="dot" w:pos="9072"/>
        </w:tabs>
        <w:spacing w:line="240" w:lineRule="atLeast"/>
        <w:ind w:left="567" w:firstLine="0"/>
        <w:rPr>
          <w:noProof/>
          <w:szCs w:val="20"/>
          <w:lang w:val="en-US"/>
        </w:rPr>
      </w:pPr>
      <w:r w:rsidRPr="00C903F8">
        <w:rPr>
          <w:noProof/>
          <w:szCs w:val="20"/>
          <w:lang w:val="en-US"/>
        </w:rPr>
        <w:tab/>
      </w:r>
    </w:p>
    <w:p w:rsidR="009C13A9" w:rsidRPr="00C903F8" w:rsidRDefault="009C13A9" w:rsidP="009C13A9">
      <w:pPr>
        <w:tabs>
          <w:tab w:val="left" w:leader="dot" w:pos="9072"/>
        </w:tabs>
        <w:spacing w:line="240" w:lineRule="atLeast"/>
        <w:ind w:left="567" w:hanging="567"/>
        <w:jc w:val="left"/>
        <w:rPr>
          <w:noProof/>
          <w:szCs w:val="20"/>
          <w:lang w:val="en-US"/>
        </w:rPr>
      </w:pPr>
    </w:p>
    <w:p w:rsidR="009C13A9" w:rsidRPr="00C903F8" w:rsidRDefault="009C13A9" w:rsidP="009C13A9">
      <w:pPr>
        <w:tabs>
          <w:tab w:val="left" w:leader="dot" w:pos="9072"/>
        </w:tabs>
        <w:spacing w:line="240" w:lineRule="atLeast"/>
        <w:ind w:left="567" w:hanging="567"/>
        <w:jc w:val="left"/>
        <w:rPr>
          <w:noProof/>
          <w:szCs w:val="20"/>
          <w:lang w:val="en-US"/>
        </w:rPr>
      </w:pPr>
      <w:r w:rsidRPr="00C903F8">
        <w:rPr>
          <w:noProof/>
          <w:szCs w:val="20"/>
          <w:lang w:val="en-US"/>
        </w:rPr>
        <w:t>0.3</w:t>
      </w:r>
      <w:r w:rsidRPr="00C903F8">
        <w:rPr>
          <w:noProof/>
          <w:szCs w:val="20"/>
          <w:lang w:val="en-US"/>
        </w:rPr>
        <w:tab/>
        <w:t xml:space="preserve">Manufacturer’s type code corresponding to the information given on the on-board sewage treatment plant: </w:t>
      </w:r>
      <w:r w:rsidRPr="00C903F8">
        <w:rPr>
          <w:noProof/>
          <w:szCs w:val="20"/>
          <w:lang w:val="en-US"/>
        </w:rPr>
        <w:tab/>
      </w:r>
    </w:p>
    <w:p w:rsidR="009C13A9" w:rsidRPr="00C903F8" w:rsidRDefault="009C13A9" w:rsidP="009C13A9">
      <w:pPr>
        <w:tabs>
          <w:tab w:val="left" w:leader="dot" w:pos="9072"/>
        </w:tabs>
        <w:spacing w:line="240" w:lineRule="atLeast"/>
        <w:ind w:left="567" w:firstLine="0"/>
        <w:rPr>
          <w:noProof/>
          <w:szCs w:val="20"/>
          <w:lang w:val="en-US"/>
        </w:rPr>
      </w:pPr>
      <w:r w:rsidRPr="00C903F8">
        <w:rPr>
          <w:noProof/>
          <w:szCs w:val="20"/>
          <w:lang w:val="en-US"/>
        </w:rPr>
        <w:tab/>
      </w:r>
    </w:p>
    <w:p w:rsidR="009C13A9" w:rsidRPr="00C903F8" w:rsidRDefault="009C13A9" w:rsidP="009C13A9">
      <w:pPr>
        <w:tabs>
          <w:tab w:val="left" w:leader="dot" w:pos="9072"/>
        </w:tabs>
        <w:spacing w:line="240" w:lineRule="atLeast"/>
        <w:ind w:left="567" w:hanging="567"/>
        <w:jc w:val="left"/>
        <w:rPr>
          <w:noProof/>
          <w:szCs w:val="20"/>
          <w:lang w:val="en-US"/>
        </w:rPr>
      </w:pPr>
    </w:p>
    <w:p w:rsidR="009C13A9" w:rsidRPr="00C903F8" w:rsidRDefault="009C13A9" w:rsidP="009C13A9">
      <w:pPr>
        <w:tabs>
          <w:tab w:val="left" w:leader="dot" w:pos="9072"/>
        </w:tabs>
        <w:spacing w:line="240" w:lineRule="atLeast"/>
        <w:ind w:left="567" w:hanging="567"/>
        <w:jc w:val="left"/>
        <w:rPr>
          <w:noProof/>
          <w:szCs w:val="20"/>
          <w:lang w:val="en-US"/>
        </w:rPr>
      </w:pPr>
      <w:r w:rsidRPr="00C903F8">
        <w:rPr>
          <w:noProof/>
          <w:szCs w:val="20"/>
          <w:lang w:val="en-US"/>
        </w:rPr>
        <w:t>0.4</w:t>
      </w:r>
      <w:r w:rsidRPr="00C903F8">
        <w:rPr>
          <w:noProof/>
          <w:szCs w:val="20"/>
          <w:lang w:val="en-US"/>
        </w:rPr>
        <w:tab/>
        <w:t xml:space="preserve">Manufacturer’s name and address: </w:t>
      </w:r>
      <w:r w:rsidRPr="00C903F8">
        <w:rPr>
          <w:noProof/>
          <w:szCs w:val="20"/>
          <w:lang w:val="en-US"/>
        </w:rPr>
        <w:tab/>
      </w:r>
    </w:p>
    <w:p w:rsidR="009C13A9" w:rsidRPr="00C903F8" w:rsidRDefault="009C13A9" w:rsidP="009C13A9">
      <w:pPr>
        <w:tabs>
          <w:tab w:val="left" w:leader="dot" w:pos="9072"/>
        </w:tabs>
        <w:spacing w:line="240" w:lineRule="atLeast"/>
        <w:ind w:left="567" w:firstLine="0"/>
        <w:jc w:val="left"/>
        <w:rPr>
          <w:noProof/>
          <w:szCs w:val="20"/>
          <w:lang w:val="en-US"/>
        </w:rPr>
      </w:pPr>
      <w:r w:rsidRPr="00C903F8">
        <w:rPr>
          <w:noProof/>
          <w:szCs w:val="20"/>
          <w:lang w:val="en-US"/>
        </w:rPr>
        <w:t xml:space="preserve">Name and address of manufacturer’s authorised representative, if any: </w:t>
      </w:r>
      <w:r w:rsidRPr="00C903F8">
        <w:rPr>
          <w:noProof/>
          <w:szCs w:val="20"/>
          <w:lang w:val="en-US"/>
        </w:rPr>
        <w:tab/>
      </w:r>
    </w:p>
    <w:p w:rsidR="009C13A9" w:rsidRPr="00C903F8" w:rsidRDefault="009C13A9" w:rsidP="009C13A9">
      <w:pPr>
        <w:tabs>
          <w:tab w:val="left" w:leader="dot" w:pos="9072"/>
        </w:tabs>
        <w:spacing w:line="240" w:lineRule="atLeast"/>
        <w:ind w:left="567" w:firstLine="0"/>
        <w:rPr>
          <w:noProof/>
          <w:szCs w:val="20"/>
          <w:lang w:val="en-US"/>
        </w:rPr>
      </w:pPr>
      <w:r w:rsidRPr="00C903F8">
        <w:rPr>
          <w:noProof/>
          <w:szCs w:val="20"/>
          <w:lang w:val="en-US"/>
        </w:rPr>
        <w:tab/>
      </w:r>
    </w:p>
    <w:p w:rsidR="009C13A9" w:rsidRPr="00C903F8" w:rsidRDefault="009C13A9" w:rsidP="009C13A9">
      <w:pPr>
        <w:tabs>
          <w:tab w:val="left" w:leader="dot" w:pos="9072"/>
        </w:tabs>
        <w:spacing w:line="240" w:lineRule="atLeast"/>
        <w:ind w:left="567" w:hanging="567"/>
        <w:jc w:val="left"/>
        <w:rPr>
          <w:noProof/>
          <w:szCs w:val="20"/>
          <w:lang w:val="en-US"/>
        </w:rPr>
      </w:pPr>
    </w:p>
    <w:p w:rsidR="009C13A9" w:rsidRPr="00C903F8" w:rsidRDefault="009C13A9" w:rsidP="009C13A9">
      <w:pPr>
        <w:tabs>
          <w:tab w:val="left" w:leader="dot" w:pos="9072"/>
        </w:tabs>
        <w:spacing w:line="240" w:lineRule="atLeast"/>
        <w:ind w:left="567" w:hanging="567"/>
        <w:jc w:val="left"/>
        <w:rPr>
          <w:noProof/>
          <w:szCs w:val="20"/>
          <w:lang w:val="en-US"/>
        </w:rPr>
      </w:pPr>
      <w:r w:rsidRPr="00C903F8">
        <w:rPr>
          <w:noProof/>
          <w:szCs w:val="20"/>
          <w:lang w:val="en-US"/>
        </w:rPr>
        <w:t>0.5</w:t>
      </w:r>
      <w:r w:rsidRPr="00C903F8">
        <w:rPr>
          <w:noProof/>
          <w:szCs w:val="20"/>
          <w:lang w:val="en-US"/>
        </w:rPr>
        <w:tab/>
        <w:t xml:space="preserve">Position, coding and method of attachment of the on-board sewage treatment plant's serial number: </w:t>
      </w:r>
      <w:r w:rsidRPr="00C903F8">
        <w:rPr>
          <w:noProof/>
          <w:szCs w:val="20"/>
          <w:lang w:val="en-US"/>
        </w:rPr>
        <w:tab/>
      </w:r>
    </w:p>
    <w:p w:rsidR="009C13A9" w:rsidRPr="00C903F8" w:rsidRDefault="009C13A9" w:rsidP="009C13A9">
      <w:pPr>
        <w:tabs>
          <w:tab w:val="left" w:leader="dot" w:pos="9072"/>
        </w:tabs>
        <w:spacing w:line="240" w:lineRule="atLeast"/>
        <w:ind w:left="567" w:firstLine="0"/>
        <w:rPr>
          <w:noProof/>
          <w:szCs w:val="20"/>
          <w:lang w:val="en-US"/>
        </w:rPr>
      </w:pPr>
      <w:r w:rsidRPr="00C903F8">
        <w:rPr>
          <w:noProof/>
          <w:szCs w:val="20"/>
          <w:lang w:val="en-US"/>
        </w:rPr>
        <w:tab/>
      </w:r>
    </w:p>
    <w:p w:rsidR="009C13A9" w:rsidRPr="00C903F8" w:rsidRDefault="009C13A9" w:rsidP="009C13A9">
      <w:pPr>
        <w:tabs>
          <w:tab w:val="left" w:leader="dot" w:pos="9072"/>
        </w:tabs>
        <w:spacing w:line="240" w:lineRule="atLeast"/>
        <w:ind w:left="567" w:hanging="567"/>
        <w:jc w:val="left"/>
        <w:rPr>
          <w:noProof/>
          <w:szCs w:val="20"/>
          <w:lang w:val="en-US"/>
        </w:rPr>
      </w:pPr>
    </w:p>
    <w:p w:rsidR="009C13A9" w:rsidRPr="00C903F8" w:rsidRDefault="009C13A9" w:rsidP="009C13A9">
      <w:pPr>
        <w:tabs>
          <w:tab w:val="left" w:leader="dot" w:pos="9072"/>
        </w:tabs>
        <w:spacing w:line="240" w:lineRule="atLeast"/>
        <w:ind w:left="567" w:hanging="567"/>
        <w:jc w:val="left"/>
        <w:rPr>
          <w:noProof/>
          <w:szCs w:val="20"/>
          <w:lang w:val="en-US"/>
        </w:rPr>
      </w:pPr>
      <w:r w:rsidRPr="00C903F8">
        <w:rPr>
          <w:noProof/>
          <w:szCs w:val="20"/>
          <w:lang w:val="en-US"/>
        </w:rPr>
        <w:t>0.6</w:t>
      </w:r>
      <w:r w:rsidRPr="00C903F8">
        <w:rPr>
          <w:noProof/>
          <w:szCs w:val="20"/>
          <w:lang w:val="en-US"/>
        </w:rPr>
        <w:tab/>
        <w:t xml:space="preserve">Position and method of attachment of the type approval number: </w:t>
      </w:r>
      <w:r w:rsidRPr="00C903F8">
        <w:rPr>
          <w:noProof/>
          <w:szCs w:val="20"/>
          <w:lang w:val="en-US"/>
        </w:rPr>
        <w:tab/>
      </w:r>
    </w:p>
    <w:p w:rsidR="009C13A9" w:rsidRPr="00C903F8" w:rsidRDefault="009C13A9" w:rsidP="009C13A9">
      <w:pPr>
        <w:tabs>
          <w:tab w:val="left" w:leader="dot" w:pos="9072"/>
        </w:tabs>
        <w:spacing w:line="240" w:lineRule="atLeast"/>
        <w:ind w:left="567" w:firstLine="0"/>
        <w:rPr>
          <w:noProof/>
          <w:szCs w:val="20"/>
          <w:lang w:val="en-US"/>
        </w:rPr>
      </w:pPr>
      <w:r w:rsidRPr="00C903F8">
        <w:rPr>
          <w:noProof/>
          <w:szCs w:val="20"/>
          <w:lang w:val="en-US"/>
        </w:rPr>
        <w:tab/>
      </w:r>
    </w:p>
    <w:p w:rsidR="009C13A9" w:rsidRPr="00C903F8" w:rsidRDefault="009C13A9" w:rsidP="009C13A9">
      <w:pPr>
        <w:tabs>
          <w:tab w:val="left" w:leader="dot" w:pos="9072"/>
        </w:tabs>
        <w:spacing w:line="240" w:lineRule="atLeast"/>
        <w:ind w:left="567" w:hanging="567"/>
        <w:jc w:val="left"/>
        <w:rPr>
          <w:noProof/>
          <w:szCs w:val="20"/>
          <w:lang w:val="en-US"/>
        </w:rPr>
      </w:pPr>
    </w:p>
    <w:p w:rsidR="009C13A9" w:rsidRPr="00C903F8" w:rsidRDefault="009C13A9" w:rsidP="009C13A9">
      <w:pPr>
        <w:tabs>
          <w:tab w:val="left" w:leader="dot" w:pos="9072"/>
        </w:tabs>
        <w:spacing w:line="240" w:lineRule="atLeast"/>
        <w:ind w:left="567" w:hanging="567"/>
        <w:jc w:val="left"/>
        <w:rPr>
          <w:noProof/>
          <w:szCs w:val="20"/>
          <w:lang w:val="en-US"/>
        </w:rPr>
      </w:pPr>
      <w:r w:rsidRPr="00C903F8">
        <w:rPr>
          <w:noProof/>
          <w:szCs w:val="20"/>
          <w:lang w:val="en-US"/>
        </w:rPr>
        <w:t>0.7</w:t>
      </w:r>
      <w:r w:rsidRPr="00C903F8">
        <w:rPr>
          <w:noProof/>
          <w:szCs w:val="20"/>
          <w:lang w:val="en-US"/>
        </w:rPr>
        <w:tab/>
        <w:t xml:space="preserve">Address(es) of production works: </w:t>
      </w:r>
      <w:r w:rsidRPr="00C903F8">
        <w:rPr>
          <w:noProof/>
          <w:szCs w:val="20"/>
          <w:lang w:val="en-US"/>
        </w:rPr>
        <w:tab/>
      </w:r>
    </w:p>
    <w:p w:rsidR="009C13A9" w:rsidRPr="00C903F8" w:rsidRDefault="009C13A9" w:rsidP="009C13A9">
      <w:pPr>
        <w:tabs>
          <w:tab w:val="left" w:leader="dot" w:pos="9072"/>
        </w:tabs>
        <w:spacing w:line="240" w:lineRule="atLeast"/>
        <w:ind w:left="567" w:firstLine="0"/>
        <w:rPr>
          <w:noProof/>
          <w:szCs w:val="20"/>
          <w:lang w:val="en-US"/>
        </w:rPr>
      </w:pPr>
      <w:r w:rsidRPr="00C903F8">
        <w:rPr>
          <w:noProof/>
          <w:szCs w:val="20"/>
          <w:lang w:val="en-US"/>
        </w:rPr>
        <w:tab/>
      </w:r>
    </w:p>
    <w:p w:rsidR="009C13A9" w:rsidRPr="00C903F8" w:rsidRDefault="009C13A9" w:rsidP="009C13A9">
      <w:pPr>
        <w:spacing w:line="240" w:lineRule="atLeast"/>
        <w:ind w:left="850" w:hanging="850"/>
        <w:outlineLvl w:val="0"/>
        <w:rPr>
          <w:noProof/>
          <w:szCs w:val="20"/>
          <w:lang w:val="en-US"/>
        </w:rPr>
      </w:pPr>
    </w:p>
    <w:p w:rsidR="009C13A9" w:rsidRPr="00F04CAF" w:rsidRDefault="009C13A9" w:rsidP="009C13A9">
      <w:pPr>
        <w:spacing w:line="240" w:lineRule="atLeast"/>
        <w:ind w:left="850" w:hanging="850"/>
        <w:outlineLvl w:val="0"/>
        <w:rPr>
          <w:b/>
          <w:noProof/>
          <w:szCs w:val="20"/>
          <w:lang w:val="en-US"/>
        </w:rPr>
      </w:pPr>
      <w:r w:rsidRPr="00F04CAF">
        <w:rPr>
          <w:b/>
          <w:noProof/>
          <w:szCs w:val="20"/>
          <w:lang w:val="en-US"/>
        </w:rPr>
        <w:t>Appendi</w:t>
      </w:r>
      <w:r w:rsidR="003D0163">
        <w:rPr>
          <w:b/>
          <w:noProof/>
          <w:szCs w:val="20"/>
          <w:lang w:val="en-US"/>
        </w:rPr>
        <w:t>c</w:t>
      </w:r>
      <w:r w:rsidRPr="00F04CAF">
        <w:rPr>
          <w:b/>
          <w:noProof/>
          <w:szCs w:val="20"/>
          <w:lang w:val="en-US"/>
        </w:rPr>
        <w:t xml:space="preserve">es </w:t>
      </w:r>
    </w:p>
    <w:p w:rsidR="009C13A9" w:rsidRPr="00C903F8" w:rsidRDefault="009C13A9" w:rsidP="009C13A9">
      <w:pPr>
        <w:spacing w:line="240" w:lineRule="atLeast"/>
        <w:ind w:left="850" w:hanging="850"/>
        <w:outlineLvl w:val="0"/>
        <w:rPr>
          <w:noProof/>
          <w:szCs w:val="20"/>
          <w:lang w:val="en-US"/>
        </w:rPr>
      </w:pPr>
    </w:p>
    <w:p w:rsidR="009C13A9" w:rsidRPr="00C903F8" w:rsidRDefault="009C13A9" w:rsidP="009C13A9">
      <w:pPr>
        <w:spacing w:line="240" w:lineRule="atLeast"/>
        <w:ind w:left="567" w:hanging="567"/>
        <w:rPr>
          <w:noProof/>
          <w:szCs w:val="20"/>
          <w:lang w:val="en-US"/>
        </w:rPr>
      </w:pPr>
      <w:r w:rsidRPr="00C903F8">
        <w:rPr>
          <w:noProof/>
          <w:szCs w:val="20"/>
          <w:lang w:val="en-US"/>
        </w:rPr>
        <w:t>1.</w:t>
      </w:r>
      <w:r w:rsidRPr="00C903F8">
        <w:rPr>
          <w:noProof/>
          <w:szCs w:val="20"/>
          <w:lang w:val="en-US"/>
        </w:rPr>
        <w:tab/>
        <w:t xml:space="preserve">Main characteristics of the on-board sewage treatment plant type </w:t>
      </w:r>
    </w:p>
    <w:p w:rsidR="009C13A9" w:rsidRPr="00C903F8" w:rsidRDefault="009C13A9" w:rsidP="009C13A9">
      <w:pPr>
        <w:spacing w:before="60" w:line="240" w:lineRule="atLeast"/>
        <w:ind w:left="567" w:hanging="567"/>
        <w:rPr>
          <w:noProof/>
          <w:szCs w:val="20"/>
          <w:lang w:val="en-US"/>
        </w:rPr>
      </w:pPr>
      <w:r w:rsidRPr="00C903F8">
        <w:rPr>
          <w:noProof/>
          <w:szCs w:val="20"/>
          <w:lang w:val="en-US"/>
        </w:rPr>
        <w:t>2.</w:t>
      </w:r>
      <w:r w:rsidRPr="00C903F8">
        <w:rPr>
          <w:noProof/>
          <w:szCs w:val="20"/>
          <w:lang w:val="en-US"/>
        </w:rPr>
        <w:tab/>
        <w:t xml:space="preserve">Design and dimensioning criteria, dimensioning specifications and regulations applied </w:t>
      </w:r>
    </w:p>
    <w:p w:rsidR="009C13A9" w:rsidRPr="00C903F8" w:rsidRDefault="009C13A9" w:rsidP="009C13A9">
      <w:pPr>
        <w:spacing w:before="60" w:line="240" w:lineRule="atLeast"/>
        <w:ind w:left="567" w:hanging="567"/>
        <w:rPr>
          <w:noProof/>
          <w:szCs w:val="20"/>
          <w:lang w:val="en-US"/>
        </w:rPr>
      </w:pPr>
      <w:r w:rsidRPr="00C903F8">
        <w:rPr>
          <w:noProof/>
          <w:szCs w:val="20"/>
          <w:lang w:val="en-US"/>
        </w:rPr>
        <w:t>3.</w:t>
      </w:r>
      <w:r w:rsidRPr="00C903F8">
        <w:rPr>
          <w:noProof/>
          <w:szCs w:val="20"/>
          <w:lang w:val="en-US"/>
        </w:rPr>
        <w:tab/>
        <w:t>Schematic diagram of the on-board treatment plant with parts list</w:t>
      </w:r>
    </w:p>
    <w:p w:rsidR="009C13A9" w:rsidRPr="00C903F8" w:rsidRDefault="009C13A9" w:rsidP="009C13A9">
      <w:pPr>
        <w:spacing w:before="60" w:line="240" w:lineRule="atLeast"/>
        <w:ind w:left="567" w:hanging="567"/>
        <w:rPr>
          <w:noProof/>
          <w:szCs w:val="20"/>
          <w:lang w:val="en-US"/>
        </w:rPr>
      </w:pPr>
      <w:r w:rsidRPr="00C903F8">
        <w:rPr>
          <w:noProof/>
          <w:szCs w:val="20"/>
          <w:lang w:val="en-US"/>
        </w:rPr>
        <w:t>4.</w:t>
      </w:r>
      <w:r w:rsidRPr="00C903F8">
        <w:rPr>
          <w:noProof/>
          <w:szCs w:val="20"/>
          <w:lang w:val="en-US"/>
        </w:rPr>
        <w:tab/>
        <w:t xml:space="preserve">Schematic diagram of the test plant with parts list </w:t>
      </w:r>
    </w:p>
    <w:p w:rsidR="009C13A9" w:rsidRPr="00C903F8" w:rsidRDefault="009C13A9" w:rsidP="009C13A9">
      <w:pPr>
        <w:spacing w:before="60" w:line="240" w:lineRule="atLeast"/>
        <w:ind w:left="567" w:hanging="567"/>
        <w:rPr>
          <w:noProof/>
          <w:szCs w:val="20"/>
          <w:lang w:val="en-US"/>
        </w:rPr>
      </w:pPr>
      <w:r w:rsidRPr="00C903F8">
        <w:rPr>
          <w:noProof/>
          <w:szCs w:val="20"/>
          <w:lang w:val="en-US"/>
        </w:rPr>
        <w:t>5</w:t>
      </w:r>
      <w:r w:rsidRPr="00C903F8">
        <w:rPr>
          <w:noProof/>
          <w:szCs w:val="20"/>
          <w:lang w:val="en-US"/>
        </w:rPr>
        <w:tab/>
        <w:t xml:space="preserve">Electrical wiring diagrams (P/I diagram) </w:t>
      </w:r>
    </w:p>
    <w:p w:rsidR="009C13A9" w:rsidRPr="00C903F8" w:rsidRDefault="009C13A9" w:rsidP="009C13A9">
      <w:pPr>
        <w:spacing w:before="60" w:line="240" w:lineRule="atLeast"/>
        <w:ind w:left="567" w:hanging="567"/>
        <w:rPr>
          <w:noProof/>
          <w:szCs w:val="20"/>
          <w:lang w:val="en-US"/>
        </w:rPr>
      </w:pPr>
      <w:r w:rsidRPr="00C903F8">
        <w:rPr>
          <w:noProof/>
          <w:szCs w:val="20"/>
          <w:lang w:val="en-US"/>
        </w:rPr>
        <w:t>6.</w:t>
      </w:r>
      <w:r w:rsidRPr="00C903F8">
        <w:rPr>
          <w:noProof/>
          <w:szCs w:val="20"/>
          <w:lang w:val="en-US"/>
        </w:rPr>
        <w:tab/>
        <w:t xml:space="preserve">Statement that all specifications regarding the mechanical, electrical and technical safety of sewage treatment plants and specifications concerning ship safety have been observed </w:t>
      </w:r>
    </w:p>
    <w:p w:rsidR="009C13A9" w:rsidRPr="00C903F8" w:rsidRDefault="009C13A9" w:rsidP="009C13A9">
      <w:pPr>
        <w:spacing w:before="60" w:line="240" w:lineRule="atLeast"/>
        <w:ind w:left="567" w:hanging="567"/>
        <w:rPr>
          <w:noProof/>
          <w:szCs w:val="20"/>
          <w:lang w:val="en-US"/>
        </w:rPr>
      </w:pPr>
      <w:r w:rsidRPr="00C903F8">
        <w:rPr>
          <w:noProof/>
          <w:szCs w:val="20"/>
          <w:lang w:val="en-US"/>
        </w:rPr>
        <w:t>7.</w:t>
      </w:r>
      <w:r w:rsidRPr="00C903F8">
        <w:rPr>
          <w:noProof/>
          <w:szCs w:val="20"/>
          <w:lang w:val="en-US"/>
        </w:rPr>
        <w:tab/>
        <w:t xml:space="preserve">Characteristics of any parts of the vessel that are connected with the on-board sewage treatment plant </w:t>
      </w:r>
    </w:p>
    <w:p w:rsidR="009C13A9" w:rsidRPr="00C903F8" w:rsidRDefault="009C13A9" w:rsidP="009C13A9">
      <w:pPr>
        <w:spacing w:before="60" w:line="240" w:lineRule="atLeast"/>
        <w:ind w:left="567" w:hanging="567"/>
        <w:rPr>
          <w:noProof/>
          <w:szCs w:val="20"/>
          <w:lang w:val="en-US"/>
        </w:rPr>
      </w:pPr>
      <w:r w:rsidRPr="00C903F8">
        <w:rPr>
          <w:noProof/>
          <w:szCs w:val="20"/>
          <w:lang w:val="en-US"/>
        </w:rPr>
        <w:t>8.</w:t>
      </w:r>
      <w:r w:rsidRPr="00C903F8">
        <w:rPr>
          <w:noProof/>
          <w:szCs w:val="20"/>
          <w:lang w:val="en-US"/>
        </w:rPr>
        <w:tab/>
        <w:t xml:space="preserve">Manufacturer's guide to checking the components and parameters of the on-board sewage treatment plant relevant to sewage treatment in accordance with Article </w:t>
      </w:r>
      <w:r w:rsidRPr="00C903F8">
        <w:rPr>
          <w:rFonts w:cs="Arial"/>
          <w:szCs w:val="20"/>
          <w:lang w:val="en-US" w:eastAsia="ar-SA"/>
        </w:rPr>
        <w:t>1.01 (9.10)</w:t>
      </w:r>
    </w:p>
    <w:p w:rsidR="009C13A9" w:rsidRPr="00C903F8" w:rsidRDefault="009C13A9" w:rsidP="009C13A9">
      <w:pPr>
        <w:spacing w:line="240" w:lineRule="atLeast"/>
        <w:ind w:left="567" w:hanging="567"/>
        <w:rPr>
          <w:noProof/>
          <w:szCs w:val="20"/>
          <w:lang w:val="en-US"/>
        </w:rPr>
      </w:pPr>
      <w:r w:rsidRPr="00C903F8">
        <w:rPr>
          <w:noProof/>
          <w:szCs w:val="20"/>
          <w:lang w:val="en-US"/>
        </w:rPr>
        <w:br w:type="page"/>
      </w:r>
    </w:p>
    <w:p w:rsidR="009C13A9" w:rsidRPr="00C903F8" w:rsidRDefault="009C13A9" w:rsidP="009C13A9">
      <w:pPr>
        <w:spacing w:line="240" w:lineRule="atLeast"/>
        <w:ind w:left="567" w:hanging="567"/>
        <w:rPr>
          <w:noProof/>
          <w:szCs w:val="20"/>
          <w:lang w:val="en-US"/>
        </w:rPr>
      </w:pPr>
      <w:r w:rsidRPr="00C903F8">
        <w:rPr>
          <w:noProof/>
          <w:szCs w:val="20"/>
          <w:lang w:val="en-US"/>
        </w:rPr>
        <w:lastRenderedPageBreak/>
        <w:t>9.</w:t>
      </w:r>
      <w:r w:rsidRPr="00C903F8">
        <w:rPr>
          <w:noProof/>
          <w:szCs w:val="20"/>
          <w:lang w:val="en-US"/>
        </w:rPr>
        <w:tab/>
        <w:t>Photographs of the on-board sewage treatment plant</w:t>
      </w:r>
    </w:p>
    <w:p w:rsidR="009C13A9" w:rsidRPr="00C903F8" w:rsidRDefault="009C13A9" w:rsidP="009C13A9">
      <w:pPr>
        <w:spacing w:before="60" w:line="240" w:lineRule="atLeast"/>
        <w:ind w:left="567" w:hanging="567"/>
        <w:rPr>
          <w:noProof/>
          <w:szCs w:val="20"/>
          <w:lang w:val="en-US"/>
        </w:rPr>
      </w:pPr>
      <w:r w:rsidRPr="00C903F8">
        <w:rPr>
          <w:noProof/>
          <w:szCs w:val="20"/>
          <w:lang w:val="en-US"/>
        </w:rPr>
        <w:t>10.</w:t>
      </w:r>
      <w:r w:rsidRPr="00C903F8">
        <w:rPr>
          <w:noProof/>
          <w:szCs w:val="20"/>
          <w:lang w:val="en-US"/>
        </w:rPr>
        <w:tab/>
        <w:t>Operating concepts</w:t>
      </w:r>
      <w:r w:rsidRPr="00C903F8">
        <w:rPr>
          <w:noProof/>
          <w:szCs w:val="20"/>
          <w:vertAlign w:val="superscript"/>
          <w:lang w:val="en-US"/>
        </w:rPr>
        <w:t>(</w:t>
      </w:r>
      <w:r w:rsidRPr="00C903F8">
        <w:rPr>
          <w:noProof/>
          <w:szCs w:val="20"/>
          <w:vertAlign w:val="superscript"/>
          <w:lang w:val="en-US"/>
        </w:rPr>
        <w:footnoteReference w:id="64"/>
      </w:r>
      <w:r w:rsidRPr="00C903F8">
        <w:rPr>
          <w:noProof/>
          <w:szCs w:val="20"/>
          <w:vertAlign w:val="superscript"/>
          <w:lang w:val="en-US"/>
        </w:rPr>
        <w:t>)</w:t>
      </w:r>
    </w:p>
    <w:p w:rsidR="009C13A9" w:rsidRPr="00C903F8" w:rsidRDefault="009C13A9" w:rsidP="009C13A9">
      <w:pPr>
        <w:spacing w:before="60" w:line="240" w:lineRule="atLeast"/>
        <w:ind w:left="567" w:hanging="567"/>
        <w:rPr>
          <w:noProof/>
          <w:szCs w:val="20"/>
          <w:lang w:val="en-US"/>
        </w:rPr>
      </w:pPr>
      <w:r w:rsidRPr="00C903F8">
        <w:rPr>
          <w:noProof/>
          <w:szCs w:val="20"/>
          <w:lang w:val="en-US"/>
        </w:rPr>
        <w:t>10.1</w:t>
      </w:r>
      <w:r w:rsidRPr="00C903F8">
        <w:rPr>
          <w:noProof/>
          <w:szCs w:val="20"/>
          <w:lang w:val="en-US"/>
        </w:rPr>
        <w:tab/>
        <w:t xml:space="preserve">Instructions for manual operation of the on-board sewage treatment plant </w:t>
      </w:r>
    </w:p>
    <w:p w:rsidR="009C13A9" w:rsidRPr="00C903F8" w:rsidRDefault="009C13A9" w:rsidP="009C13A9">
      <w:pPr>
        <w:spacing w:before="60" w:line="240" w:lineRule="atLeast"/>
        <w:ind w:left="567" w:hanging="567"/>
        <w:rPr>
          <w:noProof/>
          <w:szCs w:val="20"/>
          <w:lang w:val="en-US"/>
        </w:rPr>
      </w:pPr>
      <w:r w:rsidRPr="00C903F8">
        <w:rPr>
          <w:noProof/>
          <w:szCs w:val="20"/>
          <w:lang w:val="en-US"/>
        </w:rPr>
        <w:t>10.2</w:t>
      </w:r>
      <w:r w:rsidRPr="00C903F8">
        <w:rPr>
          <w:noProof/>
          <w:szCs w:val="20"/>
          <w:lang w:val="en-US"/>
        </w:rPr>
        <w:tab/>
        <w:t>Notes on excess sludge management (discharge intervals)</w:t>
      </w:r>
    </w:p>
    <w:p w:rsidR="009C13A9" w:rsidRPr="00C903F8" w:rsidRDefault="009C13A9" w:rsidP="009C13A9">
      <w:pPr>
        <w:spacing w:before="60" w:line="240" w:lineRule="atLeast"/>
        <w:ind w:left="567" w:hanging="567"/>
        <w:rPr>
          <w:noProof/>
          <w:szCs w:val="20"/>
          <w:lang w:val="en-US"/>
        </w:rPr>
      </w:pPr>
      <w:r w:rsidRPr="00C903F8">
        <w:rPr>
          <w:noProof/>
          <w:szCs w:val="20"/>
          <w:lang w:val="en-US"/>
        </w:rPr>
        <w:t>10.3</w:t>
      </w:r>
      <w:r w:rsidRPr="00C903F8">
        <w:rPr>
          <w:noProof/>
          <w:szCs w:val="20"/>
          <w:lang w:val="en-US"/>
        </w:rPr>
        <w:tab/>
        <w:t>Notes on maintenance and repair</w:t>
      </w:r>
    </w:p>
    <w:p w:rsidR="009C13A9" w:rsidRPr="00C903F8" w:rsidRDefault="009C13A9" w:rsidP="009C13A9">
      <w:pPr>
        <w:spacing w:before="60" w:line="240" w:lineRule="atLeast"/>
        <w:ind w:left="567" w:hanging="567"/>
        <w:rPr>
          <w:noProof/>
          <w:szCs w:val="20"/>
          <w:lang w:val="en-US"/>
        </w:rPr>
      </w:pPr>
      <w:r w:rsidRPr="00C903F8">
        <w:rPr>
          <w:noProof/>
          <w:szCs w:val="20"/>
          <w:lang w:val="en-US"/>
        </w:rPr>
        <w:t>10.4</w:t>
      </w:r>
      <w:r w:rsidRPr="00C903F8">
        <w:rPr>
          <w:noProof/>
          <w:szCs w:val="20"/>
          <w:lang w:val="en-US"/>
        </w:rPr>
        <w:tab/>
        <w:t>Notes on action necessary in the case of stand-by operation of the on-board sewage treatment plant</w:t>
      </w:r>
    </w:p>
    <w:p w:rsidR="009C13A9" w:rsidRPr="00C903F8" w:rsidRDefault="009C13A9" w:rsidP="009C13A9">
      <w:pPr>
        <w:spacing w:before="60" w:line="240" w:lineRule="atLeast"/>
        <w:ind w:left="567" w:hanging="567"/>
        <w:rPr>
          <w:noProof/>
          <w:szCs w:val="20"/>
          <w:lang w:val="en-US"/>
        </w:rPr>
      </w:pPr>
      <w:r w:rsidRPr="00C903F8">
        <w:rPr>
          <w:noProof/>
          <w:szCs w:val="20"/>
          <w:lang w:val="en-US"/>
        </w:rPr>
        <w:t>10.5</w:t>
      </w:r>
      <w:r w:rsidRPr="00C903F8">
        <w:rPr>
          <w:noProof/>
          <w:szCs w:val="20"/>
          <w:lang w:val="en-US"/>
        </w:rPr>
        <w:tab/>
        <w:t>Notes on action necessary in the case of emergency operation of the on-board sewage treatment plant</w:t>
      </w:r>
    </w:p>
    <w:p w:rsidR="009C13A9" w:rsidRPr="00C903F8" w:rsidRDefault="009C13A9" w:rsidP="009C13A9">
      <w:pPr>
        <w:spacing w:before="60" w:line="240" w:lineRule="atLeast"/>
        <w:ind w:left="567" w:hanging="567"/>
        <w:rPr>
          <w:noProof/>
          <w:szCs w:val="20"/>
          <w:lang w:val="en-US"/>
        </w:rPr>
      </w:pPr>
      <w:r w:rsidRPr="00C903F8">
        <w:rPr>
          <w:noProof/>
          <w:szCs w:val="20"/>
          <w:lang w:val="en-US"/>
        </w:rPr>
        <w:t>10.6</w:t>
      </w:r>
      <w:r w:rsidRPr="00C903F8">
        <w:rPr>
          <w:noProof/>
          <w:szCs w:val="20"/>
          <w:lang w:val="en-US"/>
        </w:rPr>
        <w:tab/>
        <w:t>Notes on run</w:t>
      </w:r>
      <w:r w:rsidR="00433D99" w:rsidRPr="00C903F8">
        <w:rPr>
          <w:noProof/>
          <w:szCs w:val="20"/>
          <w:lang w:val="en-US"/>
        </w:rPr>
        <w:t>-</w:t>
      </w:r>
      <w:r w:rsidRPr="00C903F8">
        <w:rPr>
          <w:noProof/>
          <w:szCs w:val="20"/>
          <w:lang w:val="en-US"/>
        </w:rPr>
        <w:t>down, standstill and restart operation of the on-board sewage treatment plant</w:t>
      </w:r>
    </w:p>
    <w:p w:rsidR="009C13A9" w:rsidRPr="00C903F8" w:rsidRDefault="009C13A9" w:rsidP="009C13A9">
      <w:pPr>
        <w:spacing w:before="60" w:line="240" w:lineRule="atLeast"/>
        <w:ind w:left="567" w:hanging="567"/>
        <w:rPr>
          <w:noProof/>
          <w:szCs w:val="20"/>
          <w:lang w:val="en-US"/>
        </w:rPr>
      </w:pPr>
      <w:r w:rsidRPr="00C903F8">
        <w:rPr>
          <w:noProof/>
          <w:szCs w:val="20"/>
          <w:lang w:val="en-US"/>
        </w:rPr>
        <w:t>10.7</w:t>
      </w:r>
      <w:r w:rsidRPr="00C903F8">
        <w:rPr>
          <w:noProof/>
          <w:szCs w:val="20"/>
          <w:lang w:val="en-US"/>
        </w:rPr>
        <w:tab/>
        <w:t xml:space="preserve">Notes on requirements for pre-treatment of galley waste water </w:t>
      </w:r>
    </w:p>
    <w:p w:rsidR="009C13A9" w:rsidRPr="00C903F8" w:rsidRDefault="009C13A9" w:rsidP="009C13A9">
      <w:pPr>
        <w:spacing w:before="60" w:line="240" w:lineRule="atLeast"/>
        <w:ind w:left="567" w:hanging="567"/>
        <w:rPr>
          <w:noProof/>
          <w:szCs w:val="20"/>
          <w:lang w:val="en-US"/>
        </w:rPr>
      </w:pPr>
      <w:r w:rsidRPr="00C903F8">
        <w:rPr>
          <w:noProof/>
          <w:szCs w:val="20"/>
          <w:lang w:val="en-US"/>
        </w:rPr>
        <w:t>11.</w:t>
      </w:r>
      <w:r w:rsidRPr="00C903F8">
        <w:rPr>
          <w:noProof/>
          <w:szCs w:val="20"/>
          <w:lang w:val="en-US"/>
        </w:rPr>
        <w:tab/>
        <w:t>Other equipment (list here)</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p>
    <w:p w:rsidR="009C13A9" w:rsidRPr="00C903F8" w:rsidRDefault="009C13A9" w:rsidP="009C13A9">
      <w:pPr>
        <w:outlineLvl w:val="0"/>
        <w:rPr>
          <w:b/>
          <w:noProof/>
          <w:szCs w:val="20"/>
          <w:lang w:val="en-US"/>
        </w:rPr>
      </w:pPr>
      <w:r w:rsidRPr="00C903F8">
        <w:rPr>
          <w:b/>
          <w:noProof/>
          <w:szCs w:val="20"/>
          <w:lang w:val="en-US"/>
        </w:rPr>
        <w:t>Date, signature of on-board sewage treatment plant manufacturer</w:t>
      </w:r>
    </w:p>
    <w:p w:rsidR="009C13A9" w:rsidRPr="00C903F8" w:rsidRDefault="009C13A9" w:rsidP="009C13A9">
      <w:pPr>
        <w:spacing w:line="240" w:lineRule="atLeast"/>
        <w:rPr>
          <w:rFonts w:cs="Arial"/>
          <w:noProof/>
          <w:color w:val="000000"/>
          <w:lang w:val="en-US"/>
        </w:rPr>
      </w:pPr>
    </w:p>
    <w:p w:rsidR="009C13A9" w:rsidRPr="00C903F8" w:rsidRDefault="009C13A9" w:rsidP="009C13A9">
      <w:pPr>
        <w:rPr>
          <w:noProof/>
          <w:szCs w:val="20"/>
          <w:lang w:val="en-US"/>
        </w:rPr>
      </w:pPr>
      <w:r w:rsidRPr="00C903F8">
        <w:rPr>
          <w:noProof/>
          <w:szCs w:val="20"/>
          <w:lang w:val="en-US"/>
        </w:rPr>
        <w:t>……………………………………………</w:t>
      </w:r>
      <w:r w:rsidRPr="00C903F8">
        <w:rPr>
          <w:noProof/>
          <w:szCs w:val="20"/>
          <w:lang w:val="en-US"/>
        </w:rPr>
        <w:tab/>
        <w:t>………………………………………….</w:t>
      </w:r>
    </w:p>
    <w:p w:rsidR="009C13A9" w:rsidRPr="00C903F8" w:rsidRDefault="009C13A9" w:rsidP="009C13A9">
      <w:pPr>
        <w:rPr>
          <w:noProof/>
          <w:szCs w:val="20"/>
          <w:lang w:val="en-US"/>
        </w:rPr>
      </w:pPr>
    </w:p>
    <w:p w:rsidR="009C13A9" w:rsidRPr="00C903F8" w:rsidRDefault="009C13A9" w:rsidP="009C13A9">
      <w:pPr>
        <w:tabs>
          <w:tab w:val="left" w:pos="142"/>
        </w:tabs>
        <w:suppressAutoHyphens/>
        <w:autoSpaceDE/>
        <w:autoSpaceDN/>
        <w:spacing w:line="240" w:lineRule="atLeast"/>
        <w:ind w:left="0" w:firstLine="0"/>
        <w:jc w:val="left"/>
        <w:rPr>
          <w:rFonts w:cs="Arial"/>
          <w:szCs w:val="20"/>
          <w:lang w:val="en-US" w:eastAsia="ar-SA"/>
        </w:rPr>
      </w:pPr>
    </w:p>
    <w:p w:rsidR="009C13A9" w:rsidRPr="00C903F8" w:rsidRDefault="009C13A9" w:rsidP="009C13A9">
      <w:pPr>
        <w:tabs>
          <w:tab w:val="center" w:pos="7655"/>
        </w:tabs>
        <w:suppressAutoHyphens/>
        <w:autoSpaceDE/>
        <w:autoSpaceDN/>
        <w:spacing w:line="240" w:lineRule="atLeast"/>
        <w:ind w:left="0" w:firstLine="0"/>
        <w:jc w:val="center"/>
        <w:rPr>
          <w:rFonts w:cs="Arial"/>
          <w:b/>
          <w:szCs w:val="22"/>
          <w:lang w:val="en-US" w:eastAsia="ar-SA"/>
        </w:rPr>
      </w:pPr>
      <w:r w:rsidRPr="00C903F8">
        <w:rPr>
          <w:rFonts w:cs="Arial"/>
          <w:b/>
          <w:szCs w:val="22"/>
          <w:lang w:val="en-US" w:eastAsia="ar-SA"/>
        </w:rPr>
        <w:t>Appendix 1</w:t>
      </w:r>
    </w:p>
    <w:p w:rsidR="009C13A9" w:rsidRPr="00C903F8" w:rsidRDefault="009C13A9" w:rsidP="009C13A9">
      <w:pPr>
        <w:tabs>
          <w:tab w:val="center" w:pos="7655"/>
        </w:tabs>
        <w:suppressAutoHyphens/>
        <w:autoSpaceDE/>
        <w:autoSpaceDN/>
        <w:spacing w:line="240" w:lineRule="atLeast"/>
        <w:ind w:left="0" w:firstLine="0"/>
        <w:jc w:val="center"/>
        <w:rPr>
          <w:rFonts w:cs="Arial"/>
          <w:szCs w:val="20"/>
          <w:lang w:val="en-US" w:eastAsia="ar-SA"/>
        </w:rPr>
      </w:pPr>
      <w:r w:rsidRPr="00C903F8">
        <w:rPr>
          <w:rFonts w:cs="Arial"/>
          <w:b/>
          <w:szCs w:val="20"/>
          <w:lang w:val="en-US" w:eastAsia="ar-SA"/>
        </w:rPr>
        <w:t xml:space="preserve">Main characteristics of the on-board sewage treatment plant type </w:t>
      </w:r>
      <w:r w:rsidRPr="00C903F8">
        <w:rPr>
          <w:rFonts w:cs="Arial"/>
          <w:b/>
          <w:szCs w:val="20"/>
          <w:lang w:val="en-US" w:eastAsia="ar-SA"/>
        </w:rPr>
        <w:br/>
      </w:r>
      <w:r w:rsidRPr="00C903F8">
        <w:rPr>
          <w:rFonts w:cs="Arial"/>
          <w:szCs w:val="20"/>
          <w:lang w:val="en-US" w:eastAsia="ar-SA"/>
        </w:rPr>
        <w:t>(Model)</w:t>
      </w:r>
    </w:p>
    <w:p w:rsidR="009C13A9" w:rsidRPr="00C903F8" w:rsidRDefault="009C13A9" w:rsidP="009C13A9">
      <w:pPr>
        <w:suppressAutoHyphens/>
        <w:autoSpaceDE/>
        <w:autoSpaceDN/>
        <w:spacing w:line="240" w:lineRule="atLeast"/>
        <w:ind w:left="993" w:hanging="993"/>
        <w:jc w:val="left"/>
        <w:rPr>
          <w:rFonts w:cs="Arial"/>
          <w:szCs w:val="20"/>
          <w:lang w:val="en-US" w:eastAsia="ar-SA"/>
        </w:rPr>
      </w:pPr>
    </w:p>
    <w:p w:rsidR="009C13A9" w:rsidRPr="00C903F8" w:rsidRDefault="009C13A9" w:rsidP="009C13A9">
      <w:pPr>
        <w:ind w:left="850" w:hanging="850"/>
        <w:outlineLvl w:val="0"/>
        <w:rPr>
          <w:b/>
          <w:noProof/>
          <w:szCs w:val="20"/>
          <w:lang w:val="en-US" w:eastAsia="en-GB"/>
        </w:rPr>
      </w:pPr>
      <w:r w:rsidRPr="00C903F8">
        <w:rPr>
          <w:b/>
          <w:noProof/>
          <w:szCs w:val="20"/>
          <w:lang w:val="en-US" w:eastAsia="en-GB"/>
        </w:rPr>
        <w:t>1.</w:t>
      </w:r>
      <w:r w:rsidRPr="00C903F8">
        <w:rPr>
          <w:b/>
          <w:noProof/>
          <w:szCs w:val="20"/>
          <w:lang w:val="en-US" w:eastAsia="en-GB"/>
        </w:rPr>
        <w:tab/>
        <w:t>Description of the on-board sewage treatment plant</w:t>
      </w:r>
    </w:p>
    <w:p w:rsidR="009C13A9" w:rsidRPr="00C903F8" w:rsidRDefault="009C13A9" w:rsidP="00C036E3">
      <w:pPr>
        <w:tabs>
          <w:tab w:val="left" w:leader="dot" w:pos="9072"/>
        </w:tabs>
        <w:ind w:left="851" w:hanging="851"/>
        <w:rPr>
          <w:noProof/>
          <w:szCs w:val="20"/>
          <w:lang w:val="en-US" w:eastAsia="en-GB"/>
        </w:rPr>
      </w:pPr>
      <w:r w:rsidRPr="00C903F8">
        <w:rPr>
          <w:noProof/>
          <w:szCs w:val="20"/>
          <w:lang w:val="en-US" w:eastAsia="en-GB"/>
        </w:rPr>
        <w:t>1.1</w:t>
      </w:r>
      <w:r w:rsidRPr="00C903F8">
        <w:rPr>
          <w:noProof/>
          <w:szCs w:val="20"/>
          <w:lang w:val="en-US" w:eastAsia="en-GB"/>
        </w:rPr>
        <w:tab/>
        <w:t xml:space="preserve">Manufacturer: </w:t>
      </w:r>
      <w:r w:rsidR="00C036E3" w:rsidRPr="00C903F8">
        <w:rPr>
          <w:noProof/>
          <w:szCs w:val="20"/>
          <w:lang w:val="en-US" w:eastAsia="en-GB"/>
        </w:rPr>
        <w:tab/>
      </w:r>
    </w:p>
    <w:p w:rsidR="009C13A9" w:rsidRPr="00C903F8" w:rsidRDefault="009C13A9" w:rsidP="00C036E3">
      <w:pPr>
        <w:tabs>
          <w:tab w:val="left" w:leader="dot" w:pos="9072"/>
        </w:tabs>
        <w:ind w:left="851" w:hanging="851"/>
        <w:jc w:val="left"/>
        <w:rPr>
          <w:noProof/>
          <w:szCs w:val="20"/>
          <w:lang w:val="en-US" w:eastAsia="en-GB"/>
        </w:rPr>
      </w:pPr>
      <w:r w:rsidRPr="00C903F8">
        <w:rPr>
          <w:noProof/>
          <w:szCs w:val="20"/>
          <w:lang w:val="en-US" w:eastAsia="en-GB"/>
        </w:rPr>
        <w:t>1.2</w:t>
      </w:r>
      <w:r w:rsidRPr="00C903F8">
        <w:rPr>
          <w:noProof/>
          <w:szCs w:val="20"/>
          <w:lang w:val="en-US" w:eastAsia="en-GB"/>
        </w:rPr>
        <w:tab/>
        <w:t xml:space="preserve">Serial number of the plant: </w:t>
      </w:r>
      <w:r w:rsidR="00C036E3" w:rsidRPr="00C903F8">
        <w:rPr>
          <w:noProof/>
          <w:szCs w:val="20"/>
          <w:lang w:val="en-US" w:eastAsia="en-GB"/>
        </w:rPr>
        <w:tab/>
      </w:r>
    </w:p>
    <w:p w:rsidR="009C13A9" w:rsidRPr="00C903F8" w:rsidRDefault="009C13A9" w:rsidP="009C13A9">
      <w:pPr>
        <w:ind w:left="850" w:hanging="850"/>
        <w:rPr>
          <w:noProof/>
          <w:szCs w:val="20"/>
          <w:lang w:val="en-US" w:eastAsia="en-GB"/>
        </w:rPr>
      </w:pPr>
      <w:r w:rsidRPr="00C903F8">
        <w:rPr>
          <w:noProof/>
          <w:szCs w:val="20"/>
          <w:lang w:val="en-US" w:eastAsia="en-GB"/>
        </w:rPr>
        <w:t>1.3</w:t>
      </w:r>
      <w:r w:rsidRPr="00C903F8">
        <w:rPr>
          <w:noProof/>
          <w:szCs w:val="20"/>
          <w:lang w:val="en-US" w:eastAsia="en-GB"/>
        </w:rPr>
        <w:tab/>
        <w:t xml:space="preserve">Mode of treatment: biological or mechanical/chemical </w:t>
      </w:r>
      <w:r w:rsidRPr="00C903F8">
        <w:rPr>
          <w:noProof/>
          <w:szCs w:val="20"/>
          <w:vertAlign w:val="superscript"/>
          <w:lang w:val="en-US" w:eastAsia="en-GB"/>
        </w:rPr>
        <w:t>(</w:t>
      </w:r>
      <w:r w:rsidRPr="00C903F8">
        <w:rPr>
          <w:noProof/>
          <w:szCs w:val="20"/>
          <w:vertAlign w:val="superscript"/>
          <w:lang w:val="en-US" w:eastAsia="en-GB"/>
        </w:rPr>
        <w:footnoteReference w:id="65"/>
      </w:r>
      <w:r w:rsidRPr="00C903F8">
        <w:rPr>
          <w:noProof/>
          <w:szCs w:val="20"/>
          <w:vertAlign w:val="superscript"/>
          <w:lang w:val="en-US" w:eastAsia="en-GB"/>
        </w:rPr>
        <w:t>)</w:t>
      </w:r>
    </w:p>
    <w:p w:rsidR="009C13A9" w:rsidRPr="00C903F8" w:rsidRDefault="009C13A9" w:rsidP="009C13A9">
      <w:pPr>
        <w:ind w:left="850" w:hanging="850"/>
        <w:rPr>
          <w:noProof/>
          <w:szCs w:val="20"/>
          <w:lang w:val="en-US"/>
        </w:rPr>
      </w:pPr>
      <w:r w:rsidRPr="00C903F8">
        <w:rPr>
          <w:noProof/>
          <w:szCs w:val="20"/>
          <w:lang w:val="en-US" w:eastAsia="en-GB"/>
        </w:rPr>
        <w:t>1.4</w:t>
      </w:r>
      <w:r w:rsidRPr="00C903F8">
        <w:rPr>
          <w:noProof/>
          <w:szCs w:val="20"/>
          <w:lang w:val="en-US" w:eastAsia="en-GB"/>
        </w:rPr>
        <w:tab/>
        <w:t>Upstream waste water storage tank? Yes, … m³ / No</w:t>
      </w:r>
      <w:r w:rsidRPr="00C903F8">
        <w:rPr>
          <w:noProof/>
          <w:szCs w:val="20"/>
          <w:vertAlign w:val="superscript"/>
          <w:lang w:val="en-US" w:eastAsia="en-GB"/>
        </w:rPr>
        <w:t>(2)</w:t>
      </w:r>
    </w:p>
    <w:p w:rsidR="009C13A9" w:rsidRPr="00C903F8" w:rsidRDefault="009C13A9" w:rsidP="009C13A9">
      <w:pPr>
        <w:ind w:left="850" w:hanging="850"/>
        <w:outlineLvl w:val="0"/>
        <w:rPr>
          <w:b/>
          <w:bCs/>
          <w:noProof/>
          <w:szCs w:val="20"/>
          <w:lang w:val="en-US" w:eastAsia="en-GB"/>
        </w:rPr>
      </w:pPr>
    </w:p>
    <w:p w:rsidR="009C13A9" w:rsidRPr="00C903F8" w:rsidRDefault="009C13A9" w:rsidP="009C13A9">
      <w:pPr>
        <w:ind w:left="850" w:hanging="850"/>
        <w:outlineLvl w:val="0"/>
        <w:rPr>
          <w:b/>
          <w:bCs/>
          <w:noProof/>
          <w:szCs w:val="20"/>
          <w:lang w:val="en-US" w:eastAsia="en-GB"/>
        </w:rPr>
      </w:pPr>
      <w:r w:rsidRPr="00C903F8">
        <w:rPr>
          <w:b/>
          <w:bCs/>
          <w:noProof/>
          <w:szCs w:val="20"/>
          <w:lang w:val="en-US" w:eastAsia="en-GB"/>
        </w:rPr>
        <w:t>2.</w:t>
      </w:r>
      <w:r w:rsidRPr="00C903F8">
        <w:rPr>
          <w:b/>
          <w:bCs/>
          <w:noProof/>
          <w:szCs w:val="20"/>
          <w:lang w:val="en-US" w:eastAsia="en-GB"/>
        </w:rPr>
        <w:tab/>
        <w:t xml:space="preserve">Design and dimensioning criteria (including any special installation instructions or restrictions on use) </w:t>
      </w:r>
    </w:p>
    <w:p w:rsidR="009C13A9" w:rsidRPr="00C903F8" w:rsidRDefault="009C13A9" w:rsidP="00C036E3">
      <w:pPr>
        <w:tabs>
          <w:tab w:val="left" w:leader="dot" w:pos="9072"/>
        </w:tabs>
        <w:ind w:left="851" w:hanging="851"/>
        <w:rPr>
          <w:noProof/>
          <w:szCs w:val="20"/>
          <w:lang w:val="en-US" w:eastAsia="en-GB"/>
        </w:rPr>
      </w:pPr>
      <w:r w:rsidRPr="00C903F8">
        <w:rPr>
          <w:noProof/>
          <w:szCs w:val="20"/>
          <w:lang w:val="en-US" w:eastAsia="en-GB"/>
        </w:rPr>
        <w:t>2.1</w:t>
      </w:r>
      <w:r w:rsidRPr="00C903F8">
        <w:rPr>
          <w:noProof/>
          <w:szCs w:val="20"/>
          <w:lang w:val="en-US" w:eastAsia="en-GB"/>
        </w:rPr>
        <w:tab/>
      </w:r>
      <w:r w:rsidR="00C036E3" w:rsidRPr="00C903F8">
        <w:rPr>
          <w:noProof/>
          <w:szCs w:val="20"/>
          <w:lang w:val="en-US" w:eastAsia="en-GB"/>
        </w:rPr>
        <w:tab/>
      </w:r>
    </w:p>
    <w:p w:rsidR="009C13A9" w:rsidRPr="00C903F8" w:rsidRDefault="009C13A9" w:rsidP="00C036E3">
      <w:pPr>
        <w:tabs>
          <w:tab w:val="left" w:leader="dot" w:pos="9072"/>
        </w:tabs>
        <w:ind w:left="851" w:hanging="851"/>
        <w:rPr>
          <w:noProof/>
          <w:szCs w:val="20"/>
          <w:lang w:val="en-US" w:eastAsia="en-GB"/>
        </w:rPr>
      </w:pPr>
      <w:r w:rsidRPr="00C903F8">
        <w:rPr>
          <w:noProof/>
          <w:szCs w:val="20"/>
          <w:lang w:val="en-US" w:eastAsia="en-GB"/>
        </w:rPr>
        <w:t>2.2</w:t>
      </w:r>
      <w:r w:rsidRPr="00C903F8">
        <w:rPr>
          <w:noProof/>
          <w:szCs w:val="20"/>
          <w:lang w:val="en-US" w:eastAsia="en-GB"/>
        </w:rPr>
        <w:tab/>
      </w:r>
      <w:r w:rsidR="00C036E3" w:rsidRPr="00C903F8">
        <w:rPr>
          <w:noProof/>
          <w:szCs w:val="20"/>
          <w:lang w:val="en-US" w:eastAsia="en-GB"/>
        </w:rPr>
        <w:tab/>
      </w:r>
    </w:p>
    <w:p w:rsidR="009C13A9" w:rsidRPr="00C903F8" w:rsidRDefault="009C13A9" w:rsidP="009C13A9">
      <w:pPr>
        <w:ind w:left="850" w:hanging="850"/>
        <w:rPr>
          <w:noProof/>
          <w:szCs w:val="20"/>
          <w:lang w:val="en-US" w:eastAsia="en-GB"/>
        </w:rPr>
      </w:pPr>
    </w:p>
    <w:p w:rsidR="009C13A9" w:rsidRPr="00C903F8" w:rsidRDefault="009C13A9" w:rsidP="009C13A9">
      <w:pPr>
        <w:ind w:left="850" w:hanging="850"/>
        <w:outlineLvl w:val="0"/>
        <w:rPr>
          <w:b/>
          <w:bCs/>
          <w:noProof/>
          <w:szCs w:val="20"/>
          <w:lang w:val="en-US" w:eastAsia="en-GB"/>
        </w:rPr>
      </w:pPr>
      <w:r w:rsidRPr="00C903F8">
        <w:rPr>
          <w:b/>
          <w:bCs/>
          <w:noProof/>
          <w:szCs w:val="20"/>
          <w:lang w:val="en-US" w:eastAsia="en-GB"/>
        </w:rPr>
        <w:t>3.</w:t>
      </w:r>
      <w:r w:rsidRPr="00C903F8">
        <w:rPr>
          <w:b/>
          <w:bCs/>
          <w:noProof/>
          <w:szCs w:val="20"/>
          <w:lang w:val="en-US" w:eastAsia="en-GB"/>
        </w:rPr>
        <w:tab/>
        <w:t>Dimensioning of the on-board sewage treatment plant</w:t>
      </w:r>
    </w:p>
    <w:p w:rsidR="009C13A9" w:rsidRPr="00C903F8" w:rsidRDefault="009C13A9" w:rsidP="00C036E3">
      <w:pPr>
        <w:tabs>
          <w:tab w:val="left" w:leader="dot" w:pos="9072"/>
        </w:tabs>
        <w:ind w:left="851" w:hanging="851"/>
        <w:jc w:val="left"/>
        <w:rPr>
          <w:noProof/>
          <w:szCs w:val="20"/>
          <w:lang w:val="en-US" w:eastAsia="en-GB"/>
        </w:rPr>
      </w:pPr>
      <w:r w:rsidRPr="00C903F8">
        <w:rPr>
          <w:noProof/>
          <w:szCs w:val="20"/>
          <w:lang w:val="en-US" w:eastAsia="en-GB"/>
        </w:rPr>
        <w:t>3.1</w:t>
      </w:r>
      <w:r w:rsidRPr="00C903F8">
        <w:rPr>
          <w:noProof/>
          <w:szCs w:val="20"/>
          <w:lang w:val="en-US" w:eastAsia="en-GB"/>
        </w:rPr>
        <w:tab/>
        <w:t xml:space="preserve">Maximum daily volumetric flow rate of sewage </w:t>
      </w:r>
      <m:oMath>
        <m:sSub>
          <m:sSubPr>
            <m:ctrlPr>
              <w:rPr>
                <w:rFonts w:ascii="Cambria Math" w:hAnsi="Cambria Math" w:cs="Arial"/>
                <w:i/>
                <w:szCs w:val="20"/>
                <w:lang w:val="de-DE" w:eastAsia="nl-NL"/>
              </w:rPr>
            </m:ctrlPr>
          </m:sSubPr>
          <m:e>
            <m:r>
              <w:rPr>
                <w:rFonts w:ascii="Cambria Math" w:hAnsi="Cambria Math" w:cs="Arial"/>
                <w:szCs w:val="20"/>
                <w:lang w:val="de-DE" w:eastAsia="nl-NL"/>
              </w:rPr>
              <m:t>Q</m:t>
            </m:r>
          </m:e>
          <m:sub>
            <m:r>
              <w:rPr>
                <w:rFonts w:ascii="Cambria Math" w:hAnsi="Cambria Math" w:cs="Arial"/>
                <w:szCs w:val="20"/>
                <w:lang w:val="de-DE" w:eastAsia="nl-NL"/>
              </w:rPr>
              <m:t>d</m:t>
            </m:r>
          </m:sub>
        </m:sSub>
      </m:oMath>
      <w:r w:rsidRPr="00C903F8">
        <w:rPr>
          <w:noProof/>
          <w:szCs w:val="20"/>
          <w:lang w:val="en-US" w:eastAsia="en-GB"/>
        </w:rPr>
        <w:t xml:space="preserve"> (m³/d): </w:t>
      </w:r>
      <w:r w:rsidR="00C036E3" w:rsidRPr="00C903F8">
        <w:rPr>
          <w:noProof/>
          <w:szCs w:val="20"/>
          <w:lang w:val="en-US" w:eastAsia="en-GB"/>
        </w:rPr>
        <w:tab/>
      </w:r>
    </w:p>
    <w:p w:rsidR="009C13A9" w:rsidRPr="00C903F8" w:rsidRDefault="009C13A9" w:rsidP="00C036E3">
      <w:pPr>
        <w:tabs>
          <w:tab w:val="left" w:leader="dot" w:pos="9072"/>
        </w:tabs>
        <w:ind w:left="851" w:hanging="851"/>
        <w:jc w:val="left"/>
        <w:rPr>
          <w:noProof/>
          <w:szCs w:val="20"/>
          <w:lang w:val="en-US" w:eastAsia="en-GB"/>
        </w:rPr>
      </w:pPr>
      <w:r w:rsidRPr="00C903F8">
        <w:rPr>
          <w:noProof/>
          <w:szCs w:val="20"/>
          <w:lang w:val="en-US" w:eastAsia="en-GB"/>
        </w:rPr>
        <w:t>3.2</w:t>
      </w:r>
      <w:r w:rsidRPr="00C903F8">
        <w:rPr>
          <w:noProof/>
          <w:szCs w:val="20"/>
          <w:lang w:val="en-US" w:eastAsia="en-GB"/>
        </w:rPr>
        <w:tab/>
        <w:t xml:space="preserve">Daily </w:t>
      </w:r>
      <m:oMath>
        <m:sSub>
          <m:sSubPr>
            <m:ctrlPr>
              <w:rPr>
                <w:rFonts w:ascii="Cambria Math" w:hAnsi="Cambria Math"/>
                <w:i/>
                <w:noProof/>
                <w:lang w:val="en-US" w:eastAsia="nl-NL"/>
              </w:rPr>
            </m:ctrlPr>
          </m:sSubPr>
          <m:e>
            <m:r>
              <w:rPr>
                <w:rFonts w:ascii="Cambria Math" w:hAnsi="Cambria Math"/>
                <w:noProof/>
                <w:lang w:val="en-US" w:eastAsia="nl-NL"/>
              </w:rPr>
              <m:t>BOD</m:t>
            </m:r>
          </m:e>
          <m:sub>
            <m:r>
              <w:rPr>
                <w:rFonts w:ascii="Cambria Math" w:hAnsi="Cambria Math"/>
                <w:noProof/>
                <w:lang w:val="en-US" w:eastAsia="nl-NL"/>
              </w:rPr>
              <m:t>5</m:t>
            </m:r>
          </m:sub>
        </m:sSub>
      </m:oMath>
      <w:r w:rsidRPr="00C903F8">
        <w:rPr>
          <w:noProof/>
          <w:szCs w:val="20"/>
          <w:lang w:val="en-US" w:eastAsia="en-GB"/>
        </w:rPr>
        <w:t xml:space="preserve"> pollution load (kg/d): </w:t>
      </w:r>
      <w:r w:rsidR="00C036E3" w:rsidRPr="00C903F8">
        <w:rPr>
          <w:noProof/>
          <w:szCs w:val="20"/>
          <w:lang w:val="en-US" w:eastAsia="en-GB"/>
        </w:rPr>
        <w:tab/>
      </w:r>
    </w:p>
    <w:p w:rsidR="009C13A9" w:rsidRPr="00C903F8" w:rsidRDefault="009C13A9" w:rsidP="009C13A9">
      <w:pPr>
        <w:ind w:left="850" w:hanging="850"/>
        <w:jc w:val="left"/>
        <w:rPr>
          <w:noProof/>
          <w:szCs w:val="20"/>
          <w:lang w:val="en-US" w:eastAsia="en-GB"/>
        </w:rPr>
      </w:pPr>
    </w:p>
    <w:p w:rsidR="009C13A9" w:rsidRPr="00C903F8" w:rsidRDefault="009C13A9" w:rsidP="009C13A9">
      <w:pPr>
        <w:ind w:left="850" w:hanging="850"/>
        <w:jc w:val="left"/>
        <w:rPr>
          <w:noProof/>
          <w:szCs w:val="20"/>
          <w:lang w:val="en-US" w:eastAsia="en-GB"/>
        </w:rPr>
      </w:pPr>
    </w:p>
    <w:p w:rsidR="009C13A9" w:rsidRPr="00C903F8" w:rsidRDefault="009C13A9" w:rsidP="009C13A9">
      <w:pPr>
        <w:ind w:left="850" w:hanging="850"/>
        <w:jc w:val="left"/>
        <w:rPr>
          <w:noProof/>
          <w:szCs w:val="20"/>
          <w:lang w:val="en-US" w:eastAsia="en-GB"/>
        </w:rPr>
      </w:pPr>
    </w:p>
    <w:p w:rsidR="009C13A9" w:rsidRPr="00C903F8" w:rsidRDefault="009C13A9" w:rsidP="009C13A9">
      <w:pPr>
        <w:tabs>
          <w:tab w:val="center" w:pos="7956"/>
        </w:tabs>
        <w:suppressAutoHyphens/>
        <w:autoSpaceDE/>
        <w:autoSpaceDN/>
        <w:spacing w:line="240" w:lineRule="atLeast"/>
        <w:ind w:left="0" w:firstLine="0"/>
        <w:jc w:val="right"/>
        <w:rPr>
          <w:rFonts w:cs="Arial"/>
          <w:szCs w:val="20"/>
          <w:lang w:val="en-US" w:eastAsia="ar-SA"/>
        </w:rPr>
      </w:pPr>
      <w:r w:rsidRPr="00C903F8">
        <w:rPr>
          <w:rFonts w:cs="Arial"/>
          <w:szCs w:val="20"/>
          <w:lang w:val="en-US" w:eastAsia="ar-SA"/>
        </w:rPr>
        <w:br w:type="page"/>
      </w:r>
    </w:p>
    <w:p w:rsidR="009C13A9" w:rsidRPr="00C903F8" w:rsidRDefault="00925755" w:rsidP="00684B1D">
      <w:pPr>
        <w:pStyle w:val="ES-Titre3"/>
        <w:rPr>
          <w:noProof/>
          <w:lang w:val="en-US"/>
        </w:rPr>
      </w:pPr>
      <w:bookmarkStart w:id="368" w:name="_Toc491854328"/>
      <w:r w:rsidRPr="00C903F8">
        <w:rPr>
          <w:noProof/>
          <w:lang w:val="en-US"/>
        </w:rPr>
        <w:lastRenderedPageBreak/>
        <w:t>Section</w:t>
      </w:r>
      <w:r w:rsidR="009C13A9" w:rsidRPr="00C903F8">
        <w:rPr>
          <w:noProof/>
          <w:lang w:val="en-US"/>
        </w:rPr>
        <w:t xml:space="preserve"> III</w:t>
      </w:r>
      <w:bookmarkEnd w:id="368"/>
    </w:p>
    <w:p w:rsidR="00684B1D" w:rsidRPr="00C903F8" w:rsidRDefault="009C13A9" w:rsidP="00684B1D">
      <w:pPr>
        <w:pStyle w:val="ES-Titre3a"/>
        <w:rPr>
          <w:noProof/>
          <w:lang w:val="en-US"/>
        </w:rPr>
      </w:pPr>
      <w:bookmarkStart w:id="369" w:name="_Toc491854329"/>
      <w:r w:rsidRPr="00C903F8">
        <w:rPr>
          <w:noProof/>
          <w:lang w:val="en-US"/>
        </w:rPr>
        <w:t>Type approval certificate</w:t>
      </w:r>
      <w:bookmarkEnd w:id="369"/>
      <w:r w:rsidRPr="00C903F8">
        <w:rPr>
          <w:noProof/>
          <w:lang w:val="en-US"/>
        </w:rPr>
        <w:t xml:space="preserve"> </w:t>
      </w:r>
    </w:p>
    <w:p w:rsidR="009C13A9" w:rsidRPr="00C903F8" w:rsidRDefault="009C13A9" w:rsidP="009C13A9">
      <w:pPr>
        <w:overflowPunct w:val="0"/>
        <w:adjustRightInd w:val="0"/>
        <w:spacing w:line="240" w:lineRule="exact"/>
        <w:ind w:left="0" w:firstLine="0"/>
        <w:jc w:val="center"/>
        <w:textAlignment w:val="baseline"/>
        <w:rPr>
          <w:rFonts w:eastAsia="Calibri"/>
          <w:noProof/>
          <w:szCs w:val="22"/>
          <w:lang w:val="en-US" w:eastAsia="en-US"/>
        </w:rPr>
      </w:pPr>
      <w:r w:rsidRPr="00C903F8">
        <w:rPr>
          <w:rFonts w:eastAsia="Calibri"/>
          <w:szCs w:val="22"/>
          <w:lang w:val="en-US" w:eastAsia="en-US"/>
        </w:rPr>
        <w:t>(Model)</w:t>
      </w:r>
    </w:p>
    <w:p w:rsidR="009C13A9" w:rsidRPr="00C903F8" w:rsidRDefault="009C13A9" w:rsidP="009C13A9">
      <w:pPr>
        <w:suppressAutoHyphens/>
        <w:autoSpaceDE/>
        <w:autoSpaceDN/>
        <w:spacing w:line="240" w:lineRule="atLeast"/>
        <w:ind w:left="0" w:firstLine="0"/>
        <w:rPr>
          <w:rFonts w:cs="Arial"/>
          <w:szCs w:val="20"/>
          <w:lang w:val="en-US" w:eastAsia="ar-SA"/>
        </w:rPr>
      </w:pPr>
    </w:p>
    <w:p w:rsidR="009C13A9" w:rsidRPr="00C903F8" w:rsidRDefault="009C13A9" w:rsidP="009C13A9">
      <w:pPr>
        <w:jc w:val="right"/>
        <w:rPr>
          <w:b/>
          <w:noProof/>
          <w:szCs w:val="20"/>
          <w:lang w:val="en-US"/>
        </w:rPr>
      </w:pPr>
      <w:r w:rsidRPr="00C903F8">
        <w:rPr>
          <w:noProof/>
          <w:szCs w:val="20"/>
          <w:lang w:val="en-US"/>
        </w:rPr>
        <w:t>Seal of the competent authority</w:t>
      </w:r>
    </w:p>
    <w:p w:rsidR="009C13A9" w:rsidRPr="00C903F8" w:rsidRDefault="009C13A9" w:rsidP="009C13A9">
      <w:pPr>
        <w:rPr>
          <w:b/>
          <w:noProof/>
          <w:szCs w:val="20"/>
          <w:lang w:val="en-US"/>
        </w:rPr>
      </w:pPr>
    </w:p>
    <w:p w:rsidR="009C13A9" w:rsidRPr="00C903F8" w:rsidRDefault="009C13A9" w:rsidP="009C13A9">
      <w:pPr>
        <w:tabs>
          <w:tab w:val="left" w:leader="dot" w:pos="4253"/>
          <w:tab w:val="left" w:pos="4536"/>
          <w:tab w:val="left" w:leader="dot" w:pos="9072"/>
        </w:tabs>
        <w:ind w:left="851" w:hanging="851"/>
        <w:outlineLvl w:val="0"/>
        <w:rPr>
          <w:noProof/>
          <w:szCs w:val="20"/>
          <w:lang w:val="en-US" w:eastAsia="en-GB"/>
        </w:rPr>
      </w:pPr>
      <w:r w:rsidRPr="00C903F8">
        <w:rPr>
          <w:b/>
          <w:noProof/>
          <w:szCs w:val="20"/>
          <w:lang w:val="en-US" w:eastAsia="en-GB"/>
        </w:rPr>
        <w:t>Type approval No.</w:t>
      </w:r>
      <w:r w:rsidRPr="00C903F8">
        <w:rPr>
          <w:noProof/>
          <w:szCs w:val="20"/>
          <w:lang w:val="en-US" w:eastAsia="en-GB"/>
        </w:rPr>
        <w:t xml:space="preserve">: </w:t>
      </w:r>
      <w:r w:rsidRPr="00C903F8">
        <w:rPr>
          <w:noProof/>
          <w:szCs w:val="20"/>
          <w:lang w:val="en-US" w:eastAsia="en-GB"/>
        </w:rPr>
        <w:tab/>
      </w:r>
      <w:r w:rsidRPr="00C903F8">
        <w:rPr>
          <w:noProof/>
          <w:szCs w:val="20"/>
          <w:lang w:val="en-US" w:eastAsia="en-GB"/>
        </w:rPr>
        <w:tab/>
      </w:r>
      <w:r w:rsidRPr="00C903F8">
        <w:rPr>
          <w:b/>
          <w:noProof/>
          <w:szCs w:val="20"/>
          <w:lang w:val="en-US" w:eastAsia="en-GB"/>
        </w:rPr>
        <w:t>Extension No.</w:t>
      </w:r>
      <w:r w:rsidRPr="00C903F8">
        <w:rPr>
          <w:noProof/>
          <w:szCs w:val="20"/>
          <w:lang w:val="en-US" w:eastAsia="en-GB"/>
        </w:rPr>
        <w:t xml:space="preserve">: </w:t>
      </w:r>
      <w:r w:rsidRPr="00C903F8">
        <w:rPr>
          <w:noProof/>
          <w:szCs w:val="20"/>
          <w:lang w:val="en-US" w:eastAsia="en-GB"/>
        </w:rPr>
        <w:tab/>
      </w:r>
    </w:p>
    <w:p w:rsidR="009C13A9" w:rsidRPr="00C903F8" w:rsidRDefault="009C13A9" w:rsidP="009C13A9">
      <w:pPr>
        <w:ind w:left="850" w:hanging="850"/>
        <w:rPr>
          <w:noProof/>
          <w:szCs w:val="20"/>
          <w:lang w:val="en-US" w:eastAsia="en-GB"/>
        </w:rPr>
      </w:pPr>
    </w:p>
    <w:p w:rsidR="009C13A9" w:rsidRPr="00C903F8" w:rsidRDefault="009C13A9" w:rsidP="009C13A9">
      <w:pPr>
        <w:tabs>
          <w:tab w:val="left" w:leader="dot" w:pos="9072"/>
        </w:tabs>
        <w:spacing w:line="240" w:lineRule="atLeast"/>
        <w:ind w:left="0" w:firstLine="0"/>
        <w:rPr>
          <w:rFonts w:cs="Arial"/>
          <w:noProof/>
          <w:lang w:val="en-US" w:eastAsia="en-GB"/>
        </w:rPr>
      </w:pPr>
      <w:r w:rsidRPr="00C903F8">
        <w:rPr>
          <w:rFonts w:cs="Arial"/>
          <w:noProof/>
          <w:lang w:val="en-US" w:eastAsia="en-GB"/>
        </w:rPr>
        <w:t xml:space="preserve">Notification of </w:t>
      </w: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t>-</w:t>
      </w:r>
      <w:r w:rsidRPr="00C903F8">
        <w:rPr>
          <w:rFonts w:cs="Arial"/>
          <w:noProof/>
          <w:color w:val="000000"/>
          <w:lang w:val="en-US" w:eastAsia="en-GB"/>
        </w:rPr>
        <w:tab/>
        <w:t>issuance/extension/refusal/withdrawal</w:t>
      </w:r>
      <w:r w:rsidRPr="00C903F8">
        <w:rPr>
          <w:rFonts w:cs="Arial"/>
          <w:noProof/>
          <w:color w:val="000000"/>
          <w:szCs w:val="20"/>
          <w:vertAlign w:val="superscript"/>
          <w:lang w:val="nl-NL"/>
        </w:rPr>
        <w:footnoteReference w:id="66"/>
      </w:r>
      <w:r w:rsidRPr="00C903F8">
        <w:rPr>
          <w:rFonts w:cs="Arial"/>
          <w:noProof/>
          <w:color w:val="000000"/>
          <w:lang w:val="en-US" w:eastAsia="en-GB"/>
        </w:rPr>
        <w:t xml:space="preserve"> </w:t>
      </w:r>
    </w:p>
    <w:p w:rsidR="009C13A9" w:rsidRPr="00C903F8" w:rsidRDefault="009C13A9" w:rsidP="009C13A9">
      <w:pPr>
        <w:tabs>
          <w:tab w:val="left" w:leader="dot" w:pos="9072"/>
        </w:tabs>
        <w:spacing w:line="240" w:lineRule="atLeast"/>
        <w:ind w:left="0" w:firstLine="0"/>
        <w:rPr>
          <w:rFonts w:cs="Arial"/>
          <w:noProof/>
          <w:lang w:val="en-US" w:eastAsia="en-GB"/>
        </w:rPr>
      </w:pPr>
      <w:r w:rsidRPr="00C903F8">
        <w:rPr>
          <w:rFonts w:cs="Arial"/>
          <w:noProof/>
          <w:lang w:val="en-US" w:eastAsia="en-GB"/>
        </w:rPr>
        <w:t>of type approval for an on</w:t>
      </w:r>
      <w:r w:rsidR="00433D99" w:rsidRPr="00C903F8">
        <w:rPr>
          <w:rFonts w:cs="Arial"/>
          <w:noProof/>
          <w:lang w:val="en-US" w:eastAsia="en-GB"/>
        </w:rPr>
        <w:t>-</w:t>
      </w:r>
      <w:r w:rsidRPr="00C903F8">
        <w:rPr>
          <w:rFonts w:cs="Arial"/>
          <w:noProof/>
          <w:lang w:val="en-US" w:eastAsia="en-GB"/>
        </w:rPr>
        <w:t xml:space="preserve">board sewage treatment plant type in accordance with the European Standard laying down technical requirements for inland navigation vessels (ES-TRIN) </w:t>
      </w:r>
    </w:p>
    <w:p w:rsidR="009C13A9" w:rsidRPr="00C903F8" w:rsidRDefault="009C13A9" w:rsidP="009C13A9">
      <w:pPr>
        <w:ind w:left="850" w:hanging="850"/>
        <w:jc w:val="left"/>
        <w:rPr>
          <w:noProof/>
          <w:szCs w:val="20"/>
          <w:lang w:val="en-US" w:eastAsia="en-GB"/>
        </w:rPr>
      </w:pPr>
    </w:p>
    <w:p w:rsidR="009C13A9" w:rsidRPr="00C903F8" w:rsidRDefault="009C13A9" w:rsidP="009C13A9">
      <w:pPr>
        <w:tabs>
          <w:tab w:val="left" w:leader="dot" w:pos="9072"/>
        </w:tabs>
        <w:ind w:left="851" w:hanging="851"/>
        <w:jc w:val="left"/>
        <w:rPr>
          <w:noProof/>
          <w:szCs w:val="20"/>
          <w:lang w:val="en-US" w:eastAsia="en-GB"/>
        </w:rPr>
      </w:pPr>
      <w:r w:rsidRPr="00C903F8">
        <w:rPr>
          <w:noProof/>
          <w:szCs w:val="20"/>
          <w:lang w:val="en-US" w:eastAsia="en-GB"/>
        </w:rPr>
        <w:t xml:space="preserve">Reason for extension, if applicable: </w:t>
      </w:r>
      <w:r w:rsidRPr="00C903F8">
        <w:rPr>
          <w:noProof/>
          <w:szCs w:val="20"/>
          <w:lang w:val="en-US" w:eastAsia="en-GB"/>
        </w:rPr>
        <w:tab/>
      </w:r>
    </w:p>
    <w:p w:rsidR="009C13A9" w:rsidRPr="00C903F8" w:rsidRDefault="009C13A9" w:rsidP="009C13A9">
      <w:pPr>
        <w:ind w:left="850" w:hanging="850"/>
        <w:rPr>
          <w:noProof/>
          <w:szCs w:val="20"/>
          <w:lang w:val="en-US" w:eastAsia="en-GB"/>
        </w:rPr>
      </w:pPr>
    </w:p>
    <w:p w:rsidR="009C13A9" w:rsidRPr="00C903F8" w:rsidRDefault="009C13A9" w:rsidP="009C13A9">
      <w:pPr>
        <w:ind w:left="850" w:hanging="850"/>
        <w:rPr>
          <w:noProof/>
          <w:szCs w:val="20"/>
          <w:lang w:val="en-US" w:eastAsia="en-GB"/>
        </w:rPr>
      </w:pPr>
    </w:p>
    <w:p w:rsidR="009C13A9" w:rsidRPr="00C903F8" w:rsidRDefault="009C13A9" w:rsidP="009C13A9">
      <w:pPr>
        <w:ind w:left="850" w:hanging="850"/>
        <w:outlineLvl w:val="0"/>
        <w:rPr>
          <w:b/>
          <w:bCs/>
          <w:noProof/>
          <w:szCs w:val="20"/>
          <w:lang w:val="en-US" w:eastAsia="en-GB"/>
        </w:rPr>
      </w:pPr>
      <w:r w:rsidRPr="00C903F8">
        <w:rPr>
          <w:b/>
          <w:bCs/>
          <w:noProof/>
          <w:szCs w:val="20"/>
          <w:lang w:val="en-US" w:eastAsia="en-GB"/>
        </w:rPr>
        <w:t>Section I</w:t>
      </w:r>
    </w:p>
    <w:p w:rsidR="009C13A9" w:rsidRPr="00C903F8" w:rsidRDefault="009C13A9" w:rsidP="009C13A9">
      <w:pPr>
        <w:ind w:left="850" w:hanging="850"/>
        <w:rPr>
          <w:noProof/>
          <w:szCs w:val="20"/>
          <w:lang w:val="en-US" w:eastAsia="en-GB"/>
        </w:rPr>
      </w:pPr>
    </w:p>
    <w:p w:rsidR="009C13A9" w:rsidRPr="00C903F8" w:rsidRDefault="009C13A9" w:rsidP="009C13A9">
      <w:pPr>
        <w:tabs>
          <w:tab w:val="left" w:leader="dot" w:pos="9072"/>
        </w:tabs>
        <w:spacing w:line="240" w:lineRule="atLeast"/>
        <w:ind w:left="709" w:hanging="709"/>
        <w:rPr>
          <w:noProof/>
          <w:szCs w:val="20"/>
          <w:lang w:val="en-US" w:eastAsia="en-GB"/>
        </w:rPr>
      </w:pPr>
      <w:r w:rsidRPr="00C903F8">
        <w:rPr>
          <w:noProof/>
          <w:szCs w:val="20"/>
          <w:lang w:val="en-US" w:eastAsia="en-GB"/>
        </w:rPr>
        <w:t>0.</w:t>
      </w:r>
      <w:r w:rsidRPr="00C903F8">
        <w:rPr>
          <w:noProof/>
          <w:szCs w:val="20"/>
          <w:lang w:val="en-US" w:eastAsia="en-GB"/>
        </w:rPr>
        <w:tab/>
        <w:t>General</w:t>
      </w:r>
    </w:p>
    <w:p w:rsidR="009C13A9" w:rsidRPr="00C903F8" w:rsidRDefault="009C13A9" w:rsidP="009C13A9">
      <w:pPr>
        <w:tabs>
          <w:tab w:val="left" w:leader="dot" w:pos="9072"/>
        </w:tabs>
        <w:spacing w:before="60" w:line="240" w:lineRule="atLeast"/>
        <w:ind w:left="709" w:hanging="709"/>
        <w:rPr>
          <w:noProof/>
          <w:szCs w:val="20"/>
          <w:lang w:val="en-US" w:eastAsia="en-GB"/>
        </w:rPr>
      </w:pPr>
      <w:r w:rsidRPr="00C903F8">
        <w:rPr>
          <w:noProof/>
          <w:szCs w:val="20"/>
          <w:lang w:val="en-US" w:eastAsia="en-GB"/>
        </w:rPr>
        <w:t>0.1</w:t>
      </w:r>
      <w:r w:rsidRPr="00C903F8">
        <w:rPr>
          <w:noProof/>
          <w:szCs w:val="20"/>
          <w:lang w:val="en-US" w:eastAsia="en-GB"/>
        </w:rPr>
        <w:tab/>
        <w:t xml:space="preserve">Make (manufacturer’s company name): </w:t>
      </w:r>
      <w:r w:rsidRPr="00C903F8">
        <w:rPr>
          <w:noProof/>
          <w:szCs w:val="20"/>
          <w:lang w:val="en-US" w:eastAsia="en-GB"/>
        </w:rPr>
        <w:tab/>
      </w:r>
    </w:p>
    <w:p w:rsidR="009C13A9" w:rsidRPr="00C903F8" w:rsidRDefault="009C13A9" w:rsidP="009C13A9">
      <w:pPr>
        <w:tabs>
          <w:tab w:val="left" w:leader="dot" w:pos="9072"/>
        </w:tabs>
        <w:spacing w:before="60" w:line="240" w:lineRule="atLeast"/>
        <w:ind w:left="720" w:hanging="709"/>
        <w:rPr>
          <w:noProof/>
          <w:szCs w:val="20"/>
          <w:lang w:val="en-US" w:eastAsia="en-GB"/>
        </w:rPr>
      </w:pPr>
      <w:r w:rsidRPr="00C903F8">
        <w:rPr>
          <w:noProof/>
          <w:szCs w:val="20"/>
          <w:lang w:val="en-US" w:eastAsia="en-GB"/>
        </w:rPr>
        <w:t>0.2</w:t>
      </w:r>
      <w:r w:rsidRPr="00C903F8">
        <w:rPr>
          <w:noProof/>
          <w:szCs w:val="20"/>
          <w:lang w:val="en-US" w:eastAsia="en-GB"/>
        </w:rPr>
        <w:tab/>
        <w:t xml:space="preserve">Manufacturer’s designation for the on-board sewage treatment plant type: </w:t>
      </w:r>
      <w:r w:rsidRPr="00C903F8">
        <w:rPr>
          <w:noProof/>
          <w:szCs w:val="20"/>
          <w:lang w:val="en-US" w:eastAsia="en-GB"/>
        </w:rPr>
        <w:tab/>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ab/>
      </w:r>
    </w:p>
    <w:p w:rsidR="009C13A9" w:rsidRPr="00C903F8" w:rsidRDefault="009C13A9" w:rsidP="009C13A9">
      <w:pPr>
        <w:tabs>
          <w:tab w:val="left" w:leader="dot" w:pos="9072"/>
        </w:tabs>
        <w:spacing w:before="60" w:line="240" w:lineRule="atLeast"/>
        <w:ind w:left="709" w:hanging="709"/>
        <w:rPr>
          <w:noProof/>
          <w:szCs w:val="20"/>
          <w:lang w:val="en-US" w:eastAsia="en-GB"/>
        </w:rPr>
      </w:pPr>
      <w:r w:rsidRPr="00C903F8">
        <w:rPr>
          <w:noProof/>
          <w:szCs w:val="20"/>
          <w:lang w:val="en-US" w:eastAsia="en-GB"/>
        </w:rPr>
        <w:t>0.3</w:t>
      </w:r>
      <w:r w:rsidRPr="00C903F8">
        <w:rPr>
          <w:noProof/>
          <w:szCs w:val="20"/>
          <w:lang w:val="en-US" w:eastAsia="en-GB"/>
        </w:rPr>
        <w:tab/>
        <w:t xml:space="preserve">Manufacturer’s type code corresponding to the information affixed to the on-board treatment plant: </w:t>
      </w:r>
      <w:r w:rsidRPr="00C903F8">
        <w:rPr>
          <w:noProof/>
          <w:szCs w:val="20"/>
          <w:lang w:val="en-US" w:eastAsia="en-GB"/>
        </w:rPr>
        <w:tab/>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ab/>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 xml:space="preserve">Position: </w:t>
      </w:r>
      <w:r w:rsidRPr="00C903F8">
        <w:rPr>
          <w:noProof/>
          <w:szCs w:val="20"/>
          <w:lang w:val="en-US" w:eastAsia="en-GB"/>
        </w:rPr>
        <w:tab/>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 xml:space="preserve">Method of attachment: </w:t>
      </w:r>
      <w:r w:rsidRPr="00C903F8">
        <w:rPr>
          <w:noProof/>
          <w:szCs w:val="20"/>
          <w:lang w:val="en-US" w:eastAsia="en-GB"/>
        </w:rPr>
        <w:tab/>
      </w:r>
    </w:p>
    <w:p w:rsidR="009C13A9" w:rsidRPr="00C903F8" w:rsidRDefault="009C13A9" w:rsidP="009C13A9">
      <w:pPr>
        <w:tabs>
          <w:tab w:val="left" w:leader="dot" w:pos="9072"/>
        </w:tabs>
        <w:spacing w:before="60" w:line="240" w:lineRule="atLeast"/>
        <w:ind w:left="709" w:hanging="709"/>
        <w:rPr>
          <w:noProof/>
          <w:szCs w:val="20"/>
          <w:lang w:val="en-US" w:eastAsia="en-GB"/>
        </w:rPr>
      </w:pPr>
      <w:r w:rsidRPr="00C903F8">
        <w:rPr>
          <w:noProof/>
          <w:szCs w:val="20"/>
          <w:lang w:val="en-US" w:eastAsia="en-GB"/>
        </w:rPr>
        <w:t>0.4</w:t>
      </w:r>
      <w:r w:rsidRPr="00C903F8">
        <w:rPr>
          <w:noProof/>
          <w:szCs w:val="20"/>
          <w:lang w:val="en-US" w:eastAsia="en-GB"/>
        </w:rPr>
        <w:tab/>
        <w:t xml:space="preserve">Manufacturer’s name and address: </w:t>
      </w:r>
      <w:r w:rsidRPr="00C903F8">
        <w:rPr>
          <w:noProof/>
          <w:szCs w:val="20"/>
          <w:lang w:val="en-US" w:eastAsia="en-GB"/>
        </w:rPr>
        <w:tab/>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ab/>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 xml:space="preserve">Name and address of manufacturer’s authorised representative, if any: </w:t>
      </w:r>
      <w:r w:rsidRPr="00C903F8">
        <w:rPr>
          <w:noProof/>
          <w:szCs w:val="20"/>
          <w:lang w:val="en-US" w:eastAsia="en-GB"/>
        </w:rPr>
        <w:tab/>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ab/>
      </w:r>
    </w:p>
    <w:p w:rsidR="009C13A9" w:rsidRPr="00C903F8" w:rsidRDefault="009C13A9" w:rsidP="009C13A9">
      <w:pPr>
        <w:tabs>
          <w:tab w:val="left" w:leader="dot" w:pos="9072"/>
        </w:tabs>
        <w:spacing w:before="60" w:line="240" w:lineRule="atLeast"/>
        <w:ind w:left="709" w:hanging="709"/>
        <w:rPr>
          <w:noProof/>
          <w:szCs w:val="20"/>
          <w:lang w:val="en-US" w:eastAsia="en-GB"/>
        </w:rPr>
      </w:pPr>
      <w:r w:rsidRPr="00C903F8">
        <w:rPr>
          <w:noProof/>
          <w:szCs w:val="20"/>
          <w:lang w:val="en-US" w:eastAsia="en-GB"/>
        </w:rPr>
        <w:t>0.5</w:t>
      </w:r>
      <w:r w:rsidRPr="00C903F8">
        <w:rPr>
          <w:noProof/>
          <w:szCs w:val="20"/>
          <w:lang w:val="en-US" w:eastAsia="en-GB"/>
        </w:rPr>
        <w:tab/>
        <w:t xml:space="preserve">Position, coding and method of attachment of the serial number of the on-board sewage treatment plant: </w:t>
      </w:r>
      <w:r w:rsidRPr="00C903F8">
        <w:rPr>
          <w:noProof/>
          <w:szCs w:val="20"/>
          <w:lang w:val="en-US" w:eastAsia="en-GB"/>
        </w:rPr>
        <w:tab/>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ab/>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ab/>
      </w:r>
    </w:p>
    <w:p w:rsidR="009C13A9" w:rsidRPr="00C903F8" w:rsidRDefault="009C13A9" w:rsidP="009C13A9">
      <w:pPr>
        <w:tabs>
          <w:tab w:val="left" w:leader="dot" w:pos="9072"/>
        </w:tabs>
        <w:spacing w:before="60" w:line="240" w:lineRule="atLeast"/>
        <w:ind w:left="709" w:hanging="709"/>
        <w:rPr>
          <w:noProof/>
          <w:szCs w:val="20"/>
          <w:lang w:val="en-US" w:eastAsia="en-GB"/>
        </w:rPr>
      </w:pPr>
      <w:r w:rsidRPr="00C903F8">
        <w:rPr>
          <w:noProof/>
          <w:szCs w:val="20"/>
          <w:lang w:val="en-US" w:eastAsia="en-GB"/>
        </w:rPr>
        <w:t>0.6</w:t>
      </w:r>
      <w:r w:rsidRPr="00C903F8">
        <w:rPr>
          <w:noProof/>
          <w:szCs w:val="20"/>
          <w:lang w:val="en-US" w:eastAsia="en-GB"/>
        </w:rPr>
        <w:tab/>
        <w:t xml:space="preserve">Position and method of attachment of the type approval number: </w:t>
      </w:r>
      <w:r w:rsidRPr="00C903F8">
        <w:rPr>
          <w:noProof/>
          <w:szCs w:val="20"/>
          <w:lang w:val="en-US" w:eastAsia="en-GB"/>
        </w:rPr>
        <w:tab/>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ab/>
      </w:r>
    </w:p>
    <w:p w:rsidR="009C13A9" w:rsidRPr="00C903F8" w:rsidRDefault="009C13A9" w:rsidP="009C13A9">
      <w:pPr>
        <w:tabs>
          <w:tab w:val="left" w:leader="dot" w:pos="9072"/>
        </w:tabs>
        <w:spacing w:before="60" w:line="240" w:lineRule="atLeast"/>
        <w:ind w:left="709" w:hanging="709"/>
        <w:rPr>
          <w:noProof/>
          <w:szCs w:val="20"/>
          <w:lang w:val="en-US" w:eastAsia="en-GB"/>
        </w:rPr>
      </w:pPr>
      <w:r w:rsidRPr="00C903F8">
        <w:rPr>
          <w:noProof/>
          <w:szCs w:val="20"/>
          <w:lang w:val="en-US" w:eastAsia="en-GB"/>
        </w:rPr>
        <w:t>0.7</w:t>
      </w:r>
      <w:r w:rsidRPr="00C903F8">
        <w:rPr>
          <w:noProof/>
          <w:szCs w:val="20"/>
          <w:lang w:val="en-US" w:eastAsia="en-GB"/>
        </w:rPr>
        <w:tab/>
        <w:t xml:space="preserve">Address(es) of production works: </w:t>
      </w:r>
      <w:r w:rsidRPr="00C903F8">
        <w:rPr>
          <w:noProof/>
          <w:szCs w:val="20"/>
          <w:lang w:val="en-US" w:eastAsia="en-GB"/>
        </w:rPr>
        <w:tab/>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ab/>
      </w:r>
    </w:p>
    <w:p w:rsidR="009C13A9" w:rsidRPr="00C903F8" w:rsidRDefault="009C13A9" w:rsidP="009C13A9">
      <w:pPr>
        <w:ind w:left="850" w:hanging="850"/>
        <w:outlineLvl w:val="0"/>
        <w:rPr>
          <w:b/>
          <w:bCs/>
          <w:noProof/>
          <w:szCs w:val="20"/>
          <w:lang w:val="en-US" w:eastAsia="en-GB"/>
        </w:rPr>
      </w:pPr>
    </w:p>
    <w:p w:rsidR="009C13A9" w:rsidRPr="00C903F8" w:rsidRDefault="009C13A9" w:rsidP="009C13A9">
      <w:pPr>
        <w:ind w:left="850" w:hanging="850"/>
        <w:outlineLvl w:val="0"/>
        <w:rPr>
          <w:b/>
          <w:bCs/>
          <w:noProof/>
          <w:szCs w:val="20"/>
          <w:lang w:val="en-US" w:eastAsia="en-GB"/>
        </w:rPr>
      </w:pPr>
      <w:r w:rsidRPr="00C903F8">
        <w:rPr>
          <w:b/>
          <w:bCs/>
          <w:noProof/>
          <w:szCs w:val="20"/>
          <w:lang w:val="en-US" w:eastAsia="en-GB"/>
        </w:rPr>
        <w:lastRenderedPageBreak/>
        <w:br w:type="page"/>
      </w:r>
    </w:p>
    <w:p w:rsidR="009C13A9" w:rsidRPr="00C903F8" w:rsidRDefault="009C13A9" w:rsidP="009C13A9">
      <w:pPr>
        <w:ind w:left="850" w:hanging="850"/>
        <w:outlineLvl w:val="0"/>
        <w:rPr>
          <w:b/>
          <w:bCs/>
          <w:noProof/>
          <w:szCs w:val="20"/>
          <w:lang w:val="en-US" w:eastAsia="en-GB"/>
        </w:rPr>
      </w:pPr>
      <w:r w:rsidRPr="00C903F8">
        <w:rPr>
          <w:b/>
          <w:bCs/>
          <w:noProof/>
          <w:szCs w:val="20"/>
          <w:lang w:val="en-US" w:eastAsia="en-GB"/>
        </w:rPr>
        <w:lastRenderedPageBreak/>
        <w:t>Section II</w:t>
      </w:r>
    </w:p>
    <w:p w:rsidR="009C13A9" w:rsidRPr="00C903F8" w:rsidRDefault="009C13A9" w:rsidP="009C13A9">
      <w:pPr>
        <w:ind w:left="850" w:hanging="850"/>
        <w:rPr>
          <w:noProof/>
          <w:szCs w:val="20"/>
          <w:lang w:val="en-US" w:eastAsia="en-GB"/>
        </w:rPr>
      </w:pPr>
    </w:p>
    <w:p w:rsidR="009C13A9" w:rsidRPr="00C903F8" w:rsidRDefault="009C13A9" w:rsidP="009C13A9">
      <w:pPr>
        <w:tabs>
          <w:tab w:val="left" w:leader="dot" w:pos="9072"/>
        </w:tabs>
        <w:spacing w:before="60" w:line="240" w:lineRule="atLeast"/>
        <w:ind w:left="709" w:hanging="709"/>
        <w:rPr>
          <w:noProof/>
          <w:szCs w:val="20"/>
          <w:lang w:val="en-US" w:eastAsia="en-GB"/>
        </w:rPr>
      </w:pPr>
      <w:r w:rsidRPr="00C903F8">
        <w:rPr>
          <w:noProof/>
          <w:szCs w:val="20"/>
          <w:lang w:val="en-US" w:eastAsia="en-GB"/>
        </w:rPr>
        <w:t>1.</w:t>
      </w:r>
      <w:r w:rsidRPr="00C903F8">
        <w:rPr>
          <w:noProof/>
          <w:szCs w:val="20"/>
          <w:lang w:val="en-US" w:eastAsia="en-GB"/>
        </w:rPr>
        <w:tab/>
        <w:t xml:space="preserve">Any restrictions on use: </w:t>
      </w:r>
      <w:r w:rsidRPr="00C903F8">
        <w:rPr>
          <w:noProof/>
          <w:szCs w:val="20"/>
          <w:lang w:val="en-US" w:eastAsia="en-GB"/>
        </w:rPr>
        <w:tab/>
      </w:r>
    </w:p>
    <w:p w:rsidR="009C13A9" w:rsidRPr="00C903F8" w:rsidRDefault="009C13A9" w:rsidP="009C13A9">
      <w:pPr>
        <w:tabs>
          <w:tab w:val="left" w:leader="dot" w:pos="9072"/>
        </w:tabs>
        <w:spacing w:before="60" w:line="240" w:lineRule="atLeast"/>
        <w:ind w:left="709" w:hanging="709"/>
        <w:rPr>
          <w:noProof/>
          <w:szCs w:val="20"/>
          <w:lang w:val="en-US" w:eastAsia="en-GB"/>
        </w:rPr>
      </w:pPr>
      <w:r w:rsidRPr="00C903F8">
        <w:rPr>
          <w:noProof/>
          <w:szCs w:val="20"/>
          <w:lang w:val="en-US" w:eastAsia="en-GB"/>
        </w:rPr>
        <w:t>1.1</w:t>
      </w:r>
      <w:r w:rsidRPr="00C903F8">
        <w:rPr>
          <w:noProof/>
          <w:szCs w:val="20"/>
          <w:lang w:val="en-US" w:eastAsia="en-GB"/>
        </w:rPr>
        <w:tab/>
        <w:t>Particularities to be observed when installing the on-board sewage treatment plant in a craft:</w:t>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ab/>
      </w:r>
    </w:p>
    <w:p w:rsidR="009C13A9" w:rsidRPr="00C903F8" w:rsidRDefault="009C13A9" w:rsidP="009C13A9">
      <w:pPr>
        <w:tabs>
          <w:tab w:val="left" w:leader="dot" w:pos="9072"/>
        </w:tabs>
        <w:spacing w:before="60" w:line="240" w:lineRule="atLeast"/>
        <w:ind w:left="709" w:hanging="709"/>
        <w:rPr>
          <w:noProof/>
          <w:szCs w:val="20"/>
          <w:lang w:val="en-US" w:eastAsia="en-GB"/>
        </w:rPr>
      </w:pPr>
      <w:r w:rsidRPr="00C903F8">
        <w:rPr>
          <w:noProof/>
          <w:szCs w:val="20"/>
          <w:lang w:val="en-US" w:eastAsia="en-GB"/>
        </w:rPr>
        <w:t xml:space="preserve">1.1.1 </w:t>
      </w:r>
      <w:r w:rsidRPr="00C903F8">
        <w:rPr>
          <w:noProof/>
          <w:szCs w:val="20"/>
          <w:lang w:val="en-US" w:eastAsia="en-GB"/>
        </w:rPr>
        <w:tab/>
      </w:r>
      <w:r w:rsidRPr="00C903F8">
        <w:rPr>
          <w:noProof/>
          <w:szCs w:val="20"/>
          <w:lang w:val="en-US" w:eastAsia="en-GB"/>
        </w:rPr>
        <w:tab/>
      </w:r>
    </w:p>
    <w:p w:rsidR="009C13A9" w:rsidRPr="00C903F8" w:rsidRDefault="009C13A9" w:rsidP="009C13A9">
      <w:pPr>
        <w:tabs>
          <w:tab w:val="left" w:leader="dot" w:pos="9072"/>
        </w:tabs>
        <w:spacing w:before="60" w:line="240" w:lineRule="atLeast"/>
        <w:ind w:left="709" w:hanging="709"/>
        <w:rPr>
          <w:noProof/>
          <w:szCs w:val="20"/>
          <w:lang w:val="en-US" w:eastAsia="en-GB"/>
        </w:rPr>
      </w:pPr>
      <w:r w:rsidRPr="00C903F8">
        <w:rPr>
          <w:noProof/>
          <w:szCs w:val="20"/>
          <w:lang w:val="en-US" w:eastAsia="en-GB"/>
        </w:rPr>
        <w:t xml:space="preserve">1.1.2 </w:t>
      </w:r>
      <w:r w:rsidRPr="00C903F8">
        <w:rPr>
          <w:noProof/>
          <w:szCs w:val="20"/>
          <w:lang w:val="en-US" w:eastAsia="en-GB"/>
        </w:rPr>
        <w:tab/>
      </w:r>
      <w:r w:rsidRPr="00C903F8">
        <w:rPr>
          <w:noProof/>
          <w:szCs w:val="20"/>
          <w:lang w:val="en-US" w:eastAsia="en-GB"/>
        </w:rPr>
        <w:tab/>
      </w:r>
    </w:p>
    <w:p w:rsidR="009C13A9" w:rsidRPr="00C903F8" w:rsidRDefault="009C13A9" w:rsidP="009C13A9">
      <w:pPr>
        <w:tabs>
          <w:tab w:val="left" w:leader="dot" w:pos="9072"/>
        </w:tabs>
        <w:spacing w:line="240" w:lineRule="atLeast"/>
        <w:ind w:left="709" w:hanging="709"/>
        <w:rPr>
          <w:noProof/>
          <w:szCs w:val="20"/>
          <w:lang w:val="en-US" w:eastAsia="en-GB"/>
        </w:rPr>
      </w:pPr>
    </w:p>
    <w:p w:rsidR="009C13A9" w:rsidRPr="00C903F8" w:rsidRDefault="009C13A9" w:rsidP="009C13A9">
      <w:pPr>
        <w:tabs>
          <w:tab w:val="left" w:leader="dot" w:pos="9072"/>
        </w:tabs>
        <w:spacing w:line="240" w:lineRule="atLeast"/>
        <w:ind w:left="709" w:hanging="709"/>
        <w:rPr>
          <w:noProof/>
          <w:szCs w:val="20"/>
          <w:lang w:val="en-US" w:eastAsia="en-GB"/>
        </w:rPr>
      </w:pPr>
      <w:r w:rsidRPr="00C903F8">
        <w:rPr>
          <w:noProof/>
          <w:szCs w:val="20"/>
          <w:lang w:val="en-US" w:eastAsia="en-GB"/>
        </w:rPr>
        <w:t>2.</w:t>
      </w:r>
      <w:r w:rsidRPr="00C903F8">
        <w:rPr>
          <w:noProof/>
          <w:szCs w:val="20"/>
          <w:lang w:val="en-US" w:eastAsia="en-GB"/>
        </w:rPr>
        <w:tab/>
        <w:t>Technical service responsible for carrying out the tests</w:t>
      </w:r>
      <w:r w:rsidRPr="00C903F8">
        <w:rPr>
          <w:noProof/>
          <w:szCs w:val="20"/>
          <w:vertAlign w:val="superscript"/>
        </w:rPr>
        <w:footnoteReference w:id="67"/>
      </w:r>
      <w:r w:rsidR="00684B1D" w:rsidRPr="00C903F8">
        <w:rPr>
          <w:noProof/>
          <w:szCs w:val="20"/>
          <w:lang w:val="en-US" w:eastAsia="en-GB"/>
        </w:rPr>
        <w:t>:</w:t>
      </w:r>
      <w:r w:rsidRPr="00C903F8">
        <w:rPr>
          <w:noProof/>
          <w:szCs w:val="20"/>
          <w:lang w:val="en-US" w:eastAsia="en-GB"/>
        </w:rPr>
        <w:t xml:space="preserve"> </w:t>
      </w:r>
      <w:r w:rsidRPr="00C903F8">
        <w:rPr>
          <w:noProof/>
          <w:szCs w:val="20"/>
          <w:lang w:val="en-US" w:eastAsia="en-GB"/>
        </w:rPr>
        <w:tab/>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ab/>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ab/>
      </w:r>
    </w:p>
    <w:p w:rsidR="009C13A9" w:rsidRPr="00C903F8" w:rsidRDefault="009C13A9" w:rsidP="009C13A9">
      <w:pPr>
        <w:tabs>
          <w:tab w:val="left" w:leader="dot" w:pos="9072"/>
        </w:tabs>
        <w:spacing w:line="240" w:lineRule="atLeast"/>
        <w:ind w:left="709" w:hanging="709"/>
        <w:rPr>
          <w:noProof/>
          <w:szCs w:val="20"/>
          <w:lang w:val="en-US" w:eastAsia="en-GB"/>
        </w:rPr>
      </w:pPr>
    </w:p>
    <w:p w:rsidR="009C13A9" w:rsidRPr="00C903F8" w:rsidRDefault="009C13A9" w:rsidP="009C13A9">
      <w:pPr>
        <w:tabs>
          <w:tab w:val="left" w:leader="dot" w:pos="9072"/>
        </w:tabs>
        <w:spacing w:line="240" w:lineRule="atLeast"/>
        <w:ind w:left="709" w:hanging="709"/>
        <w:rPr>
          <w:noProof/>
          <w:szCs w:val="20"/>
          <w:lang w:val="en-US" w:eastAsia="en-GB"/>
        </w:rPr>
      </w:pPr>
      <w:r w:rsidRPr="00C903F8">
        <w:rPr>
          <w:noProof/>
          <w:szCs w:val="20"/>
          <w:lang w:val="en-US" w:eastAsia="en-GB"/>
        </w:rPr>
        <w:t>3.</w:t>
      </w:r>
      <w:r w:rsidRPr="00C903F8">
        <w:rPr>
          <w:noProof/>
          <w:szCs w:val="20"/>
          <w:lang w:val="en-US" w:eastAsia="en-GB"/>
        </w:rPr>
        <w:tab/>
        <w:t xml:space="preserve">Date of test report: </w:t>
      </w:r>
      <w:r w:rsidRPr="00C903F8">
        <w:rPr>
          <w:noProof/>
          <w:szCs w:val="20"/>
          <w:lang w:val="en-US" w:eastAsia="en-GB"/>
        </w:rPr>
        <w:tab/>
      </w:r>
    </w:p>
    <w:p w:rsidR="009C13A9" w:rsidRPr="00C903F8" w:rsidRDefault="009C13A9" w:rsidP="009C13A9">
      <w:pPr>
        <w:tabs>
          <w:tab w:val="left" w:leader="dot" w:pos="9072"/>
        </w:tabs>
        <w:spacing w:line="240" w:lineRule="atLeast"/>
        <w:ind w:left="709" w:hanging="709"/>
        <w:rPr>
          <w:noProof/>
          <w:szCs w:val="20"/>
          <w:lang w:val="en-US" w:eastAsia="en-GB"/>
        </w:rPr>
      </w:pPr>
    </w:p>
    <w:p w:rsidR="009C13A9" w:rsidRPr="00C903F8" w:rsidRDefault="009C13A9" w:rsidP="009C13A9">
      <w:pPr>
        <w:tabs>
          <w:tab w:val="left" w:leader="dot" w:pos="9072"/>
        </w:tabs>
        <w:spacing w:line="240" w:lineRule="atLeast"/>
        <w:ind w:left="709" w:hanging="709"/>
        <w:rPr>
          <w:noProof/>
          <w:szCs w:val="20"/>
          <w:lang w:val="en-US" w:eastAsia="en-GB"/>
        </w:rPr>
      </w:pPr>
      <w:r w:rsidRPr="00C903F8">
        <w:rPr>
          <w:noProof/>
          <w:szCs w:val="20"/>
          <w:lang w:val="en-US" w:eastAsia="en-GB"/>
        </w:rPr>
        <w:t>4.</w:t>
      </w:r>
      <w:r w:rsidRPr="00C903F8">
        <w:rPr>
          <w:noProof/>
          <w:szCs w:val="20"/>
          <w:lang w:val="en-US" w:eastAsia="en-GB"/>
        </w:rPr>
        <w:tab/>
        <w:t xml:space="preserve">Number of test report: </w:t>
      </w:r>
      <w:r w:rsidRPr="00C903F8">
        <w:rPr>
          <w:noProof/>
          <w:szCs w:val="20"/>
          <w:lang w:val="en-US" w:eastAsia="en-GB"/>
        </w:rPr>
        <w:tab/>
      </w:r>
    </w:p>
    <w:p w:rsidR="009C13A9" w:rsidRPr="00C903F8" w:rsidRDefault="009C13A9" w:rsidP="009C13A9">
      <w:pPr>
        <w:tabs>
          <w:tab w:val="left" w:leader="dot" w:pos="9072"/>
        </w:tabs>
        <w:spacing w:line="240" w:lineRule="atLeast"/>
        <w:ind w:left="709" w:hanging="709"/>
        <w:rPr>
          <w:noProof/>
          <w:szCs w:val="20"/>
          <w:lang w:val="en-US" w:eastAsia="en-GB"/>
        </w:rPr>
      </w:pPr>
    </w:p>
    <w:p w:rsidR="009C13A9" w:rsidRPr="00C903F8" w:rsidRDefault="009C13A9" w:rsidP="009C13A9">
      <w:pPr>
        <w:tabs>
          <w:tab w:val="left" w:leader="dot" w:pos="9072"/>
        </w:tabs>
        <w:spacing w:line="240" w:lineRule="atLeast"/>
        <w:ind w:left="709" w:hanging="709"/>
        <w:rPr>
          <w:noProof/>
          <w:szCs w:val="20"/>
          <w:lang w:val="en-US" w:eastAsia="en-GB"/>
        </w:rPr>
      </w:pPr>
      <w:r w:rsidRPr="00C903F8">
        <w:rPr>
          <w:noProof/>
          <w:szCs w:val="20"/>
          <w:lang w:val="en-US" w:eastAsia="en-GB"/>
        </w:rPr>
        <w:t>5.</w:t>
      </w:r>
      <w:r w:rsidRPr="00C903F8">
        <w:rPr>
          <w:noProof/>
          <w:szCs w:val="20"/>
          <w:lang w:val="en-US" w:eastAsia="en-GB"/>
        </w:rPr>
        <w:tab/>
        <w:t xml:space="preserve">The undersigned hereby certifies the accuracy of the manufacturer information in the annexed information document for the above mentioned on-board sewage treatment plant in accordance with Annex </w:t>
      </w:r>
      <w:r w:rsidR="00B0625C" w:rsidRPr="00C903F8">
        <w:rPr>
          <w:noProof/>
          <w:szCs w:val="20"/>
          <w:lang w:val="en-US" w:eastAsia="en-GB"/>
        </w:rPr>
        <w:t>7 Section IX</w:t>
      </w:r>
      <w:r w:rsidRPr="00C903F8">
        <w:rPr>
          <w:noProof/>
          <w:szCs w:val="20"/>
          <w:lang w:val="en-US" w:eastAsia="en-GB"/>
        </w:rPr>
        <w:t xml:space="preserve"> of the European Standard laying down technical requirements for inland navigation vessels (ES-TRIN) and the validity of the annexed test results in relation to the on</w:t>
      </w:r>
      <w:r w:rsidR="00433D99" w:rsidRPr="00C903F8">
        <w:rPr>
          <w:noProof/>
          <w:szCs w:val="20"/>
          <w:lang w:val="en-US" w:eastAsia="en-GB"/>
        </w:rPr>
        <w:t>-</w:t>
      </w:r>
      <w:r w:rsidRPr="00C903F8">
        <w:rPr>
          <w:noProof/>
          <w:szCs w:val="20"/>
          <w:lang w:val="en-US" w:eastAsia="en-GB"/>
        </w:rPr>
        <w:t>board sewage treatment plant type. The sample(s) has (have) been selected by the manufacturer with the agreement of the competent authority and submitted by the manufacturer as the design type of the on-board sewage treatment plant:</w:t>
      </w:r>
    </w:p>
    <w:p w:rsidR="009C13A9" w:rsidRPr="00C903F8" w:rsidRDefault="009C13A9" w:rsidP="009C13A9">
      <w:pPr>
        <w:tabs>
          <w:tab w:val="left" w:leader="dot" w:pos="9072"/>
        </w:tabs>
        <w:spacing w:line="240" w:lineRule="atLeast"/>
        <w:ind w:left="709" w:hanging="709"/>
        <w:rPr>
          <w:noProof/>
          <w:szCs w:val="20"/>
          <w:lang w:val="en-US" w:eastAsia="en-GB"/>
        </w:rPr>
      </w:pPr>
    </w:p>
    <w:p w:rsidR="009C13A9" w:rsidRPr="00C903F8" w:rsidRDefault="009C13A9" w:rsidP="009C13A9">
      <w:pPr>
        <w:tabs>
          <w:tab w:val="left" w:leader="dot" w:pos="9072"/>
        </w:tabs>
        <w:spacing w:line="240" w:lineRule="atLeast"/>
        <w:ind w:left="709" w:firstLine="0"/>
        <w:rPr>
          <w:noProof/>
          <w:szCs w:val="20"/>
          <w:lang w:val="en-US" w:eastAsia="en-GB"/>
        </w:rPr>
      </w:pPr>
      <w:r w:rsidRPr="00C903F8">
        <w:rPr>
          <w:noProof/>
          <w:szCs w:val="20"/>
          <w:lang w:val="en-US" w:eastAsia="en-GB"/>
        </w:rPr>
        <w:t>The type approval is issued/extended/refused/withdrawn</w:t>
      </w:r>
      <w:r w:rsidRPr="00C903F8">
        <w:rPr>
          <w:noProof/>
          <w:szCs w:val="20"/>
          <w:vertAlign w:val="superscript"/>
        </w:rPr>
        <w:footnoteReference w:id="68"/>
      </w:r>
      <w:r w:rsidRPr="00C903F8">
        <w:rPr>
          <w:noProof/>
          <w:szCs w:val="20"/>
          <w:lang w:val="en-US" w:eastAsia="en-GB"/>
        </w:rPr>
        <w:t>:</w:t>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 xml:space="preserve">Place: </w:t>
      </w:r>
      <w:r w:rsidRPr="00C903F8">
        <w:rPr>
          <w:noProof/>
          <w:szCs w:val="20"/>
          <w:lang w:val="en-US" w:eastAsia="en-GB"/>
        </w:rPr>
        <w:tab/>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 xml:space="preserve">Date: </w:t>
      </w:r>
      <w:r w:rsidRPr="00C903F8">
        <w:rPr>
          <w:noProof/>
          <w:szCs w:val="20"/>
          <w:lang w:val="en-US" w:eastAsia="en-GB"/>
        </w:rPr>
        <w:tab/>
      </w:r>
    </w:p>
    <w:p w:rsidR="009C13A9" w:rsidRPr="00C903F8" w:rsidRDefault="009C13A9" w:rsidP="009C13A9">
      <w:pPr>
        <w:tabs>
          <w:tab w:val="left" w:leader="dot" w:pos="9072"/>
        </w:tabs>
        <w:spacing w:before="60" w:line="240" w:lineRule="atLeast"/>
        <w:ind w:left="709" w:firstLine="0"/>
        <w:rPr>
          <w:noProof/>
          <w:szCs w:val="20"/>
          <w:lang w:val="en-US" w:eastAsia="en-GB"/>
        </w:rPr>
      </w:pPr>
      <w:r w:rsidRPr="00C903F8">
        <w:rPr>
          <w:noProof/>
          <w:szCs w:val="20"/>
          <w:lang w:val="en-US" w:eastAsia="en-GB"/>
        </w:rPr>
        <w:t xml:space="preserve">Signature: </w:t>
      </w:r>
      <w:r w:rsidRPr="00C903F8">
        <w:rPr>
          <w:noProof/>
          <w:szCs w:val="20"/>
          <w:lang w:val="en-US" w:eastAsia="en-GB"/>
        </w:rPr>
        <w:tab/>
      </w:r>
    </w:p>
    <w:p w:rsidR="009C13A9" w:rsidRPr="00C903F8" w:rsidRDefault="009C13A9" w:rsidP="009C13A9">
      <w:pPr>
        <w:tabs>
          <w:tab w:val="left" w:leader="dot" w:pos="9072"/>
        </w:tabs>
        <w:spacing w:before="60" w:line="240" w:lineRule="atLeast"/>
        <w:ind w:left="709" w:firstLine="0"/>
        <w:rPr>
          <w:i/>
          <w:noProof/>
          <w:szCs w:val="20"/>
          <w:lang w:val="en-US" w:eastAsia="en-GB"/>
        </w:rPr>
      </w:pPr>
    </w:p>
    <w:p w:rsidR="009C13A9" w:rsidRPr="00C903F8" w:rsidRDefault="009C13A9" w:rsidP="009C13A9">
      <w:pPr>
        <w:tabs>
          <w:tab w:val="left" w:leader="dot" w:pos="9072"/>
        </w:tabs>
        <w:spacing w:before="60" w:line="240" w:lineRule="atLeast"/>
        <w:ind w:left="709" w:firstLine="0"/>
        <w:rPr>
          <w:noProof/>
          <w:szCs w:val="20"/>
          <w:lang w:val="en-US" w:eastAsia="en-GB"/>
        </w:rPr>
      </w:pPr>
    </w:p>
    <w:p w:rsidR="009C13A9" w:rsidRPr="00C903F8" w:rsidRDefault="009C13A9" w:rsidP="009C13A9">
      <w:pPr>
        <w:tabs>
          <w:tab w:val="left" w:pos="1276"/>
          <w:tab w:val="left" w:leader="dot" w:pos="9072"/>
        </w:tabs>
        <w:spacing w:before="60" w:line="240" w:lineRule="atLeast"/>
        <w:ind w:left="0" w:firstLine="0"/>
        <w:rPr>
          <w:noProof/>
          <w:szCs w:val="20"/>
          <w:lang w:val="en-US" w:eastAsia="en-GB"/>
        </w:rPr>
      </w:pPr>
      <w:r w:rsidRPr="00C903F8">
        <w:rPr>
          <w:noProof/>
          <w:szCs w:val="20"/>
          <w:lang w:val="en-US" w:eastAsia="en-GB"/>
        </w:rPr>
        <w:t>Appendices:</w:t>
      </w:r>
      <w:r w:rsidRPr="00C903F8">
        <w:rPr>
          <w:noProof/>
          <w:szCs w:val="20"/>
          <w:lang w:val="en-US" w:eastAsia="en-GB"/>
        </w:rPr>
        <w:tab/>
        <w:t>Information folder</w:t>
      </w:r>
    </w:p>
    <w:p w:rsidR="009C13A9" w:rsidRPr="00C903F8" w:rsidRDefault="009C13A9" w:rsidP="009C13A9">
      <w:pPr>
        <w:tabs>
          <w:tab w:val="left" w:leader="dot" w:pos="9072"/>
        </w:tabs>
        <w:spacing w:before="60" w:line="240" w:lineRule="atLeast"/>
        <w:ind w:left="1276" w:firstLine="0"/>
        <w:rPr>
          <w:noProof/>
          <w:szCs w:val="20"/>
          <w:lang w:val="en-US" w:eastAsia="en-GB"/>
        </w:rPr>
      </w:pPr>
      <w:r w:rsidRPr="00C903F8">
        <w:rPr>
          <w:noProof/>
          <w:szCs w:val="20"/>
          <w:lang w:val="en-US" w:eastAsia="en-GB"/>
        </w:rPr>
        <w:t>Test results (see Appendix 1)</w:t>
      </w:r>
    </w:p>
    <w:p w:rsidR="009C13A9" w:rsidRPr="00C903F8" w:rsidRDefault="009C13A9" w:rsidP="009C13A9">
      <w:pPr>
        <w:suppressAutoHyphens/>
        <w:autoSpaceDE/>
        <w:autoSpaceDN/>
        <w:spacing w:line="240" w:lineRule="atLeast"/>
        <w:ind w:left="0" w:firstLine="0"/>
        <w:jc w:val="center"/>
        <w:rPr>
          <w:rFonts w:cs="Arial"/>
          <w:szCs w:val="20"/>
          <w:lang w:val="en-US" w:eastAsia="ar-SA"/>
        </w:rPr>
      </w:pPr>
      <w:r w:rsidRPr="00C903F8">
        <w:rPr>
          <w:rFonts w:cs="Arial"/>
          <w:szCs w:val="20"/>
          <w:lang w:val="en-US" w:eastAsia="ar-SA"/>
        </w:rPr>
        <w:br w:type="page"/>
      </w:r>
    </w:p>
    <w:p w:rsidR="009C13A9" w:rsidRPr="00C903F8" w:rsidRDefault="009C13A9" w:rsidP="009C13A9">
      <w:pPr>
        <w:suppressAutoHyphens/>
        <w:autoSpaceDE/>
        <w:autoSpaceDN/>
        <w:spacing w:line="240" w:lineRule="atLeast"/>
        <w:ind w:left="0" w:firstLine="0"/>
        <w:jc w:val="center"/>
        <w:rPr>
          <w:rFonts w:cs="Arial"/>
          <w:b/>
          <w:szCs w:val="20"/>
          <w:lang w:val="en-US" w:eastAsia="ar-SA"/>
        </w:rPr>
      </w:pPr>
      <w:r w:rsidRPr="00C903F8">
        <w:rPr>
          <w:rFonts w:cs="Arial"/>
          <w:b/>
          <w:szCs w:val="20"/>
          <w:lang w:val="en-US" w:eastAsia="ar-SA"/>
        </w:rPr>
        <w:lastRenderedPageBreak/>
        <w:t>Appendix 1</w:t>
      </w:r>
    </w:p>
    <w:p w:rsidR="009C13A9" w:rsidRPr="00C903F8" w:rsidRDefault="009C13A9" w:rsidP="009C13A9">
      <w:pPr>
        <w:tabs>
          <w:tab w:val="center" w:pos="7513"/>
          <w:tab w:val="center" w:pos="8222"/>
        </w:tabs>
        <w:suppressAutoHyphens/>
        <w:autoSpaceDE/>
        <w:autoSpaceDN/>
        <w:spacing w:line="240" w:lineRule="atLeast"/>
        <w:ind w:left="0" w:firstLine="0"/>
        <w:jc w:val="center"/>
        <w:rPr>
          <w:rFonts w:cs="Arial"/>
          <w:szCs w:val="20"/>
          <w:lang w:val="en-US" w:eastAsia="ar-SA"/>
        </w:rPr>
      </w:pPr>
      <w:r w:rsidRPr="00C903F8">
        <w:rPr>
          <w:rFonts w:cs="Arial"/>
          <w:b/>
          <w:szCs w:val="20"/>
          <w:lang w:val="en-US" w:eastAsia="ar-SA"/>
        </w:rPr>
        <w:t xml:space="preserve">Test results for type approval </w:t>
      </w:r>
      <w:r w:rsidRPr="00C903F8">
        <w:rPr>
          <w:rFonts w:cs="Arial"/>
          <w:b/>
          <w:szCs w:val="20"/>
          <w:lang w:val="en-US" w:eastAsia="ar-SA"/>
        </w:rPr>
        <w:br/>
      </w:r>
      <w:r w:rsidRPr="00C903F8">
        <w:rPr>
          <w:rFonts w:cs="Arial"/>
          <w:szCs w:val="20"/>
          <w:lang w:val="en-US" w:eastAsia="ar-SA"/>
        </w:rPr>
        <w:t>(Model)</w:t>
      </w:r>
    </w:p>
    <w:p w:rsidR="009C13A9" w:rsidRPr="00C903F8" w:rsidRDefault="009C13A9" w:rsidP="009C13A9">
      <w:pPr>
        <w:spacing w:line="240" w:lineRule="atLeast"/>
        <w:ind w:left="709" w:hanging="709"/>
        <w:rPr>
          <w:rFonts w:cs="Arial"/>
          <w:color w:val="000000"/>
          <w:szCs w:val="20"/>
          <w:lang w:val="en-US" w:eastAsia="ar-SA"/>
        </w:rPr>
      </w:pPr>
    </w:p>
    <w:p w:rsidR="009C13A9" w:rsidRPr="00C903F8" w:rsidRDefault="009C13A9" w:rsidP="009C13A9">
      <w:pPr>
        <w:spacing w:line="240" w:lineRule="atLeast"/>
        <w:ind w:left="709" w:hanging="709"/>
        <w:rPr>
          <w:rFonts w:cs="Arial"/>
          <w:color w:val="000000"/>
          <w:szCs w:val="20"/>
          <w:lang w:val="en-US" w:eastAsia="ar-SA"/>
        </w:rPr>
      </w:pPr>
    </w:p>
    <w:p w:rsidR="009C13A9" w:rsidRPr="00C903F8" w:rsidRDefault="009C13A9" w:rsidP="009C13A9">
      <w:pPr>
        <w:spacing w:line="240" w:lineRule="atLeast"/>
        <w:ind w:left="709" w:hanging="709"/>
        <w:rPr>
          <w:rFonts w:cs="Arial"/>
          <w:noProof/>
          <w:color w:val="000000"/>
          <w:szCs w:val="20"/>
          <w:lang w:val="en-US" w:eastAsia="en-GB"/>
        </w:rPr>
      </w:pPr>
      <w:r w:rsidRPr="00C903F8">
        <w:rPr>
          <w:rFonts w:cs="Arial"/>
          <w:noProof/>
          <w:color w:val="000000"/>
          <w:szCs w:val="20"/>
          <w:lang w:val="en-US" w:eastAsia="en-GB"/>
        </w:rPr>
        <w:t>0.</w:t>
      </w:r>
      <w:r w:rsidRPr="00C903F8">
        <w:rPr>
          <w:rFonts w:cs="Arial"/>
          <w:noProof/>
          <w:color w:val="000000"/>
          <w:szCs w:val="20"/>
          <w:lang w:val="en-US" w:eastAsia="en-GB"/>
        </w:rPr>
        <w:tab/>
        <w:t>General</w:t>
      </w:r>
    </w:p>
    <w:p w:rsidR="009C13A9" w:rsidRPr="00C903F8" w:rsidRDefault="009C13A9" w:rsidP="009C13A9">
      <w:pPr>
        <w:tabs>
          <w:tab w:val="left" w:leader="dot" w:pos="9072"/>
        </w:tabs>
        <w:spacing w:before="60" w:line="240" w:lineRule="atLeast"/>
        <w:ind w:left="709" w:hanging="709"/>
        <w:rPr>
          <w:rFonts w:cs="Arial"/>
          <w:noProof/>
          <w:color w:val="000000"/>
          <w:szCs w:val="20"/>
          <w:lang w:val="en-US" w:eastAsia="en-GB"/>
        </w:rPr>
      </w:pPr>
      <w:r w:rsidRPr="00C903F8">
        <w:rPr>
          <w:rFonts w:cs="Arial"/>
          <w:noProof/>
          <w:color w:val="000000"/>
          <w:szCs w:val="20"/>
          <w:lang w:val="en-US" w:eastAsia="en-GB"/>
        </w:rPr>
        <w:t>0.1</w:t>
      </w:r>
      <w:r w:rsidRPr="00C903F8">
        <w:rPr>
          <w:rFonts w:cs="Arial"/>
          <w:noProof/>
          <w:color w:val="000000"/>
          <w:szCs w:val="20"/>
          <w:lang w:val="en-US" w:eastAsia="en-GB"/>
        </w:rPr>
        <w:tab/>
        <w:t xml:space="preserve">Make (manufacturer’s company name): </w:t>
      </w:r>
      <w:r w:rsidRPr="00C903F8">
        <w:rPr>
          <w:rFonts w:cs="Arial"/>
          <w:noProof/>
          <w:color w:val="000000"/>
          <w:szCs w:val="20"/>
          <w:lang w:val="en-US" w:eastAsia="en-GB"/>
        </w:rPr>
        <w:tab/>
      </w:r>
    </w:p>
    <w:p w:rsidR="009C13A9" w:rsidRPr="00C903F8" w:rsidRDefault="009C13A9" w:rsidP="009C13A9">
      <w:pPr>
        <w:tabs>
          <w:tab w:val="left" w:leader="dot" w:pos="9072"/>
        </w:tabs>
        <w:spacing w:before="60" w:line="240" w:lineRule="atLeast"/>
        <w:ind w:left="709" w:hanging="709"/>
        <w:rPr>
          <w:rFonts w:cs="Arial"/>
          <w:noProof/>
          <w:color w:val="000000"/>
          <w:szCs w:val="20"/>
          <w:lang w:val="en-US" w:eastAsia="en-GB"/>
        </w:rPr>
      </w:pPr>
      <w:r w:rsidRPr="00C903F8">
        <w:rPr>
          <w:rFonts w:cs="Arial"/>
          <w:noProof/>
          <w:color w:val="000000"/>
          <w:szCs w:val="20"/>
          <w:lang w:val="en-US" w:eastAsia="en-GB"/>
        </w:rPr>
        <w:t>0.2</w:t>
      </w:r>
      <w:r w:rsidRPr="00C903F8">
        <w:rPr>
          <w:rFonts w:cs="Arial"/>
          <w:noProof/>
          <w:color w:val="000000"/>
          <w:szCs w:val="20"/>
          <w:lang w:val="en-US" w:eastAsia="en-GB"/>
        </w:rPr>
        <w:tab/>
        <w:t xml:space="preserve">Manufacturer’s designation for the on-board sewage treatment plant type: </w:t>
      </w:r>
      <w:r w:rsidRPr="00C903F8">
        <w:rPr>
          <w:rFonts w:cs="Arial"/>
          <w:noProof/>
          <w:color w:val="000000"/>
          <w:szCs w:val="20"/>
          <w:lang w:val="en-US" w:eastAsia="en-GB"/>
        </w:rPr>
        <w:tab/>
      </w:r>
    </w:p>
    <w:p w:rsidR="009C13A9" w:rsidRPr="00C903F8" w:rsidRDefault="009C13A9" w:rsidP="009C13A9">
      <w:pPr>
        <w:tabs>
          <w:tab w:val="left" w:leader="dot" w:pos="9072"/>
        </w:tabs>
        <w:spacing w:line="240" w:lineRule="atLeast"/>
        <w:ind w:left="709" w:hanging="709"/>
        <w:rPr>
          <w:rFonts w:cs="Arial"/>
          <w:noProof/>
          <w:color w:val="000000"/>
          <w:szCs w:val="20"/>
          <w:lang w:val="en-US" w:eastAsia="en-GB"/>
        </w:rPr>
      </w:pPr>
    </w:p>
    <w:p w:rsidR="009C13A9" w:rsidRPr="00C903F8" w:rsidRDefault="009C13A9" w:rsidP="009C13A9">
      <w:pPr>
        <w:tabs>
          <w:tab w:val="left" w:leader="dot" w:pos="9072"/>
        </w:tabs>
        <w:spacing w:line="240" w:lineRule="atLeast"/>
        <w:ind w:left="709" w:hanging="709"/>
        <w:rPr>
          <w:rFonts w:cs="Arial"/>
          <w:noProof/>
          <w:color w:val="000000"/>
          <w:szCs w:val="20"/>
          <w:vertAlign w:val="superscript"/>
          <w:lang w:val="en-US" w:eastAsia="en-GB"/>
        </w:rPr>
      </w:pPr>
      <w:r w:rsidRPr="00C903F8">
        <w:rPr>
          <w:rFonts w:cs="Arial"/>
          <w:noProof/>
          <w:color w:val="000000"/>
          <w:szCs w:val="20"/>
          <w:lang w:val="en-US" w:eastAsia="en-GB"/>
        </w:rPr>
        <w:t>1.</w:t>
      </w:r>
      <w:r w:rsidRPr="00C903F8">
        <w:rPr>
          <w:rFonts w:cs="Arial"/>
          <w:noProof/>
          <w:color w:val="000000"/>
          <w:szCs w:val="20"/>
          <w:lang w:val="en-US" w:eastAsia="en-GB"/>
        </w:rPr>
        <w:tab/>
      </w:r>
      <w:r w:rsidRPr="00C903F8">
        <w:rPr>
          <w:rFonts w:cs="Arial"/>
          <w:b/>
          <w:noProof/>
          <w:color w:val="000000"/>
          <w:szCs w:val="20"/>
          <w:lang w:val="en-US" w:eastAsia="en-GB"/>
        </w:rPr>
        <w:t>Information on the implementation of the test(s)</w:t>
      </w:r>
      <w:r w:rsidRPr="00C903F8">
        <w:rPr>
          <w:rFonts w:cs="Arial"/>
          <w:noProof/>
          <w:color w:val="000000"/>
          <w:szCs w:val="20"/>
          <w:vertAlign w:val="superscript"/>
          <w:lang w:val="nl-NL"/>
        </w:rPr>
        <w:footnoteReference w:id="69"/>
      </w:r>
      <w:r w:rsidRPr="00C903F8">
        <w:rPr>
          <w:rFonts w:cs="Arial"/>
          <w:noProof/>
          <w:color w:val="000000"/>
          <w:szCs w:val="20"/>
          <w:lang w:val="en-US" w:eastAsia="en-GB"/>
        </w:rPr>
        <w:t>.</w:t>
      </w:r>
      <w:r w:rsidRPr="00C903F8">
        <w:rPr>
          <w:rFonts w:cs="Arial"/>
          <w:noProof/>
          <w:color w:val="000000"/>
          <w:szCs w:val="20"/>
          <w:vertAlign w:val="superscript"/>
          <w:lang w:val="en-US" w:eastAsia="en-GB"/>
        </w:rPr>
        <w:t xml:space="preserve"> </w:t>
      </w:r>
    </w:p>
    <w:p w:rsidR="009C13A9" w:rsidRPr="00C903F8" w:rsidRDefault="009C13A9" w:rsidP="009C13A9">
      <w:pPr>
        <w:tabs>
          <w:tab w:val="left" w:leader="dot" w:pos="9072"/>
        </w:tabs>
        <w:spacing w:before="60" w:line="240" w:lineRule="atLeast"/>
        <w:ind w:left="709" w:hanging="709"/>
        <w:rPr>
          <w:rFonts w:cs="Arial"/>
          <w:noProof/>
          <w:color w:val="000000"/>
          <w:szCs w:val="20"/>
          <w:lang w:val="en-US" w:eastAsia="en-GB"/>
        </w:rPr>
      </w:pPr>
      <w:r w:rsidRPr="00C903F8">
        <w:rPr>
          <w:rFonts w:cs="Arial"/>
          <w:noProof/>
          <w:color w:val="000000"/>
          <w:szCs w:val="20"/>
          <w:lang w:val="en-US" w:eastAsia="en-GB"/>
        </w:rPr>
        <w:t>1.1</w:t>
      </w:r>
      <w:r w:rsidRPr="00C903F8">
        <w:rPr>
          <w:rFonts w:cs="Arial"/>
          <w:noProof/>
          <w:color w:val="000000"/>
          <w:szCs w:val="20"/>
          <w:lang w:val="en-US" w:eastAsia="en-GB"/>
        </w:rPr>
        <w:tab/>
        <w:t>Inflow values</w:t>
      </w:r>
    </w:p>
    <w:p w:rsidR="009C13A9" w:rsidRPr="00C903F8" w:rsidRDefault="009C13A9" w:rsidP="009C13A9">
      <w:pPr>
        <w:tabs>
          <w:tab w:val="left" w:leader="dot" w:pos="9072"/>
        </w:tabs>
        <w:spacing w:before="60" w:line="240" w:lineRule="atLeast"/>
        <w:ind w:left="709" w:hanging="709"/>
        <w:rPr>
          <w:rFonts w:cs="Arial"/>
          <w:noProof/>
          <w:color w:val="000000"/>
          <w:szCs w:val="20"/>
          <w:lang w:val="en-US" w:eastAsia="en-GB"/>
        </w:rPr>
      </w:pPr>
      <w:r w:rsidRPr="00C903F8">
        <w:rPr>
          <w:rFonts w:cs="Arial"/>
          <w:noProof/>
          <w:color w:val="000000"/>
          <w:szCs w:val="20"/>
          <w:lang w:val="en-US" w:eastAsia="en-GB"/>
        </w:rPr>
        <w:t>1.1.1</w:t>
      </w:r>
      <w:r w:rsidRPr="00C903F8">
        <w:rPr>
          <w:rFonts w:cs="Arial"/>
          <w:noProof/>
          <w:color w:val="000000"/>
          <w:szCs w:val="20"/>
          <w:lang w:val="en-US" w:eastAsia="en-GB"/>
        </w:rPr>
        <w:tab/>
        <w:t xml:space="preserve">Daily volumetric flow rate of sewage </w:t>
      </w:r>
      <m:oMath>
        <m:sSub>
          <m:sSubPr>
            <m:ctrlPr>
              <w:rPr>
                <w:rFonts w:ascii="Cambria Math" w:hAnsi="Cambria Math" w:cs="Arial"/>
                <w:i/>
                <w:szCs w:val="20"/>
                <w:lang w:val="de-DE" w:eastAsia="nl-NL"/>
              </w:rPr>
            </m:ctrlPr>
          </m:sSubPr>
          <m:e>
            <m:r>
              <w:rPr>
                <w:rFonts w:ascii="Cambria Math" w:hAnsi="Cambria Math" w:cs="Arial"/>
                <w:szCs w:val="20"/>
                <w:lang w:val="de-DE" w:eastAsia="nl-NL"/>
              </w:rPr>
              <m:t>Q</m:t>
            </m:r>
          </m:e>
          <m:sub>
            <m:r>
              <w:rPr>
                <w:rFonts w:ascii="Cambria Math" w:hAnsi="Cambria Math" w:cs="Arial"/>
                <w:szCs w:val="20"/>
                <w:lang w:val="de-DE" w:eastAsia="nl-NL"/>
              </w:rPr>
              <m:t>d</m:t>
            </m:r>
          </m:sub>
        </m:sSub>
      </m:oMath>
      <w:r w:rsidRPr="00C903F8">
        <w:rPr>
          <w:rFonts w:cs="Arial"/>
          <w:noProof/>
          <w:color w:val="000000"/>
          <w:szCs w:val="20"/>
          <w:lang w:val="en-US" w:eastAsia="en-GB"/>
        </w:rPr>
        <w:t xml:space="preserve"> (m³/d): </w:t>
      </w:r>
      <w:r w:rsidRPr="00C903F8">
        <w:rPr>
          <w:rFonts w:cs="Arial"/>
          <w:noProof/>
          <w:color w:val="000000"/>
          <w:szCs w:val="20"/>
          <w:lang w:val="en-US" w:eastAsia="en-GB"/>
        </w:rPr>
        <w:tab/>
      </w:r>
    </w:p>
    <w:p w:rsidR="009C13A9" w:rsidRPr="00C903F8" w:rsidRDefault="009C13A9" w:rsidP="009C13A9">
      <w:pPr>
        <w:tabs>
          <w:tab w:val="left" w:leader="dot" w:pos="9072"/>
        </w:tabs>
        <w:spacing w:before="60" w:line="240" w:lineRule="atLeast"/>
        <w:ind w:left="709" w:hanging="709"/>
        <w:rPr>
          <w:rFonts w:cs="Arial"/>
          <w:noProof/>
          <w:color w:val="000000"/>
          <w:szCs w:val="20"/>
          <w:lang w:val="en-US" w:eastAsia="en-GB"/>
        </w:rPr>
      </w:pPr>
      <w:r w:rsidRPr="00C903F8">
        <w:rPr>
          <w:rFonts w:cs="Arial"/>
          <w:noProof/>
          <w:color w:val="000000"/>
          <w:szCs w:val="20"/>
          <w:lang w:val="en-US" w:eastAsia="en-GB"/>
        </w:rPr>
        <w:t>1.1.2</w:t>
      </w:r>
      <w:r w:rsidRPr="00C903F8">
        <w:rPr>
          <w:rFonts w:cs="Arial"/>
          <w:noProof/>
          <w:color w:val="000000"/>
          <w:szCs w:val="20"/>
          <w:lang w:val="en-US" w:eastAsia="en-GB"/>
        </w:rPr>
        <w:tab/>
        <w:t xml:space="preserve">Daily </w:t>
      </w:r>
      <m:oMath>
        <m:sSub>
          <m:sSubPr>
            <m:ctrlPr>
              <w:rPr>
                <w:rFonts w:ascii="Cambria Math" w:hAnsi="Cambria Math"/>
                <w:i/>
                <w:noProof/>
                <w:lang w:val="en-US" w:eastAsia="nl-NL"/>
              </w:rPr>
            </m:ctrlPr>
          </m:sSubPr>
          <m:e>
            <m:r>
              <w:rPr>
                <w:rFonts w:ascii="Cambria Math" w:hAnsi="Cambria Math"/>
                <w:noProof/>
                <w:lang w:val="en-US" w:eastAsia="nl-NL"/>
              </w:rPr>
              <m:t>BOD</m:t>
            </m:r>
          </m:e>
          <m:sub>
            <m:r>
              <w:rPr>
                <w:rFonts w:ascii="Cambria Math" w:hAnsi="Cambria Math"/>
                <w:noProof/>
                <w:lang w:val="en-US" w:eastAsia="nl-NL"/>
              </w:rPr>
              <m:t>5</m:t>
            </m:r>
          </m:sub>
        </m:sSub>
      </m:oMath>
      <w:r w:rsidRPr="00C903F8">
        <w:rPr>
          <w:rFonts w:cs="Arial"/>
          <w:noProof/>
          <w:color w:val="000000"/>
          <w:szCs w:val="20"/>
          <w:lang w:val="en-US" w:eastAsia="en-GB"/>
        </w:rPr>
        <w:t xml:space="preserve"> pollution load (kg/d): </w:t>
      </w:r>
      <w:r w:rsidRPr="00C903F8">
        <w:rPr>
          <w:rFonts w:cs="Arial"/>
          <w:noProof/>
          <w:color w:val="000000"/>
          <w:szCs w:val="20"/>
          <w:lang w:val="en-US" w:eastAsia="en-GB"/>
        </w:rPr>
        <w:tab/>
      </w:r>
    </w:p>
    <w:p w:rsidR="009C13A9" w:rsidRPr="00C903F8" w:rsidRDefault="009C13A9" w:rsidP="009C13A9">
      <w:pPr>
        <w:spacing w:before="60" w:line="240" w:lineRule="atLeast"/>
        <w:ind w:left="709" w:hanging="709"/>
        <w:rPr>
          <w:rFonts w:cs="Arial"/>
          <w:noProof/>
          <w:color w:val="000000"/>
          <w:szCs w:val="20"/>
          <w:lang w:val="en-US" w:eastAsia="en-GB"/>
        </w:rPr>
      </w:pPr>
      <w:r w:rsidRPr="00C903F8">
        <w:rPr>
          <w:rFonts w:cs="Arial"/>
          <w:noProof/>
          <w:color w:val="000000"/>
          <w:szCs w:val="20"/>
          <w:lang w:val="en-US" w:eastAsia="en-GB"/>
        </w:rPr>
        <w:t>1.2</w:t>
      </w:r>
      <w:r w:rsidRPr="00C903F8">
        <w:rPr>
          <w:rFonts w:cs="Arial"/>
          <w:noProof/>
          <w:color w:val="000000"/>
          <w:szCs w:val="20"/>
          <w:lang w:val="en-US" w:eastAsia="en-GB"/>
        </w:rPr>
        <w:tab/>
        <w:t>Purification efficiency</w:t>
      </w:r>
    </w:p>
    <w:p w:rsidR="009C13A9" w:rsidRPr="00C903F8" w:rsidRDefault="009C13A9" w:rsidP="009C13A9">
      <w:pPr>
        <w:spacing w:before="60" w:line="240" w:lineRule="atLeast"/>
        <w:ind w:left="709" w:hanging="709"/>
        <w:rPr>
          <w:rFonts w:cs="Arial"/>
          <w:noProof/>
          <w:color w:val="000000"/>
          <w:szCs w:val="20"/>
          <w:lang w:val="en-US" w:eastAsia="en-GB"/>
        </w:rPr>
      </w:pPr>
      <w:r w:rsidRPr="00C903F8">
        <w:rPr>
          <w:rFonts w:cs="Arial"/>
          <w:noProof/>
          <w:color w:val="000000"/>
          <w:szCs w:val="20"/>
          <w:lang w:val="en-US" w:eastAsia="en-GB"/>
        </w:rPr>
        <w:t>1.2.1</w:t>
      </w:r>
      <w:r w:rsidRPr="00C903F8">
        <w:rPr>
          <w:rFonts w:cs="Arial"/>
          <w:noProof/>
          <w:color w:val="000000"/>
          <w:szCs w:val="20"/>
          <w:lang w:val="en-US" w:eastAsia="en-GB"/>
        </w:rPr>
        <w:tab/>
        <w:t>Evaluation of outflow values</w:t>
      </w:r>
    </w:p>
    <w:p w:rsidR="009C13A9" w:rsidRPr="00C903F8" w:rsidRDefault="009C13A9" w:rsidP="009C13A9">
      <w:pPr>
        <w:spacing w:line="240" w:lineRule="atLeast"/>
        <w:rPr>
          <w:rFonts w:cs="Arial"/>
          <w:color w:val="000000"/>
          <w:lang w:val="en-US"/>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 xml:space="preserve">Evaluation of outflow values </w:t>
      </w:r>
      <m:oMath>
        <m:sSub>
          <m:sSubPr>
            <m:ctrlPr>
              <w:rPr>
                <w:rFonts w:ascii="Cambria Math" w:hAnsi="Cambria Math"/>
                <w:b/>
                <w:i/>
                <w:noProof/>
                <w:lang w:val="en-US" w:eastAsia="nl-NL"/>
              </w:rPr>
            </m:ctrlPr>
          </m:sSubPr>
          <m:e>
            <m:r>
              <m:rPr>
                <m:sty m:val="bi"/>
              </m:rPr>
              <w:rPr>
                <w:rFonts w:ascii="Cambria Math" w:hAnsi="Cambria Math"/>
                <w:noProof/>
                <w:lang w:val="en-US" w:eastAsia="nl-NL"/>
              </w:rPr>
              <m:t>BOD</m:t>
            </m:r>
          </m:e>
          <m:sub>
            <m:r>
              <m:rPr>
                <m:sty m:val="bi"/>
              </m:rPr>
              <w:rPr>
                <w:rFonts w:ascii="Cambria Math" w:hAnsi="Cambria Math"/>
                <w:noProof/>
                <w:lang w:val="en-US" w:eastAsia="nl-NL"/>
              </w:rPr>
              <m:t>5</m:t>
            </m:r>
          </m:sub>
        </m:sSub>
      </m:oMath>
      <w:r w:rsidRPr="00C903F8">
        <w:rPr>
          <w:rFonts w:cs="Arial"/>
          <w:noProof/>
          <w:lang w:val="en-US"/>
        </w:rPr>
        <w:t xml:space="preserve"> (mg/l)</w:t>
      </w:r>
    </w:p>
    <w:p w:rsidR="009C13A9" w:rsidRPr="00C903F8" w:rsidRDefault="009C13A9" w:rsidP="009C13A9">
      <w:pPr>
        <w:tabs>
          <w:tab w:val="left" w:leader="dot" w:pos="9072"/>
        </w:tabs>
        <w:spacing w:line="240" w:lineRule="atLeast"/>
        <w:ind w:left="0" w:firstLine="0"/>
        <w:rPr>
          <w:rFonts w:cs="Arial"/>
          <w:noProof/>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1058"/>
        <w:gridCol w:w="992"/>
        <w:gridCol w:w="1069"/>
        <w:gridCol w:w="1134"/>
        <w:gridCol w:w="1134"/>
      </w:tblGrid>
      <w:tr w:rsidR="009C13A9" w:rsidRPr="00C903F8" w:rsidTr="009C13A9">
        <w:trPr>
          <w:trHeight w:val="300"/>
        </w:trPr>
        <w:tc>
          <w:tcPr>
            <w:tcW w:w="1560" w:type="dxa"/>
            <w:vMerge w:val="restart"/>
          </w:tcPr>
          <w:p w:rsidR="009C13A9" w:rsidRPr="00C903F8" w:rsidRDefault="00390107" w:rsidP="009C13A9">
            <w:pPr>
              <w:spacing w:before="60" w:after="60"/>
              <w:ind w:left="0" w:firstLine="0"/>
              <w:rPr>
                <w:noProof/>
                <w:sz w:val="18"/>
                <w:szCs w:val="18"/>
              </w:rPr>
            </w:pPr>
            <w:r w:rsidRPr="00C903F8">
              <w:rPr>
                <w:noProof/>
                <w:sz w:val="18"/>
                <w:szCs w:val="18"/>
              </w:rPr>
              <w:t>Location</w:t>
            </w:r>
          </w:p>
        </w:tc>
        <w:tc>
          <w:tcPr>
            <w:tcW w:w="1842" w:type="dxa"/>
            <w:vMerge w:val="restart"/>
          </w:tcPr>
          <w:p w:rsidR="009C13A9" w:rsidRPr="00C903F8" w:rsidRDefault="009C13A9" w:rsidP="009C13A9">
            <w:pPr>
              <w:spacing w:before="60" w:after="60"/>
              <w:ind w:left="0" w:firstLine="0"/>
              <w:jc w:val="center"/>
              <w:rPr>
                <w:noProof/>
                <w:sz w:val="18"/>
                <w:szCs w:val="18"/>
              </w:rPr>
            </w:pPr>
            <w:r w:rsidRPr="00C903F8">
              <w:rPr>
                <w:noProof/>
                <w:sz w:val="18"/>
                <w:szCs w:val="18"/>
              </w:rPr>
              <w:t>Sample type</w:t>
            </w:r>
          </w:p>
        </w:tc>
        <w:tc>
          <w:tcPr>
            <w:tcW w:w="1058" w:type="dxa"/>
            <w:vMerge w:val="restart"/>
          </w:tcPr>
          <w:p w:rsidR="009C13A9" w:rsidRPr="00C903F8" w:rsidRDefault="009C13A9" w:rsidP="009C13A9">
            <w:pPr>
              <w:spacing w:before="60" w:after="60"/>
              <w:ind w:left="0" w:firstLine="0"/>
              <w:jc w:val="center"/>
              <w:rPr>
                <w:noProof/>
                <w:sz w:val="18"/>
                <w:szCs w:val="18"/>
                <w:lang w:val="en-US"/>
              </w:rPr>
            </w:pPr>
            <w:r w:rsidRPr="00C903F8">
              <w:rPr>
                <w:noProof/>
                <w:sz w:val="18"/>
                <w:szCs w:val="18"/>
                <w:lang w:val="en-US"/>
              </w:rPr>
              <w:t>Number of tests that meet the limit-values</w:t>
            </w:r>
          </w:p>
        </w:tc>
        <w:tc>
          <w:tcPr>
            <w:tcW w:w="992" w:type="dxa"/>
            <w:vMerge w:val="restart"/>
          </w:tcPr>
          <w:p w:rsidR="009C13A9" w:rsidRPr="00C903F8" w:rsidRDefault="009C13A9" w:rsidP="009C13A9">
            <w:pPr>
              <w:spacing w:before="60" w:after="60"/>
              <w:ind w:left="0" w:firstLine="0"/>
              <w:jc w:val="center"/>
              <w:rPr>
                <w:noProof/>
                <w:sz w:val="18"/>
                <w:szCs w:val="18"/>
              </w:rPr>
            </w:pPr>
            <w:r w:rsidRPr="00C903F8">
              <w:rPr>
                <w:noProof/>
                <w:sz w:val="18"/>
                <w:szCs w:val="18"/>
              </w:rPr>
              <w:t>Min</w:t>
            </w:r>
          </w:p>
        </w:tc>
        <w:tc>
          <w:tcPr>
            <w:tcW w:w="2203" w:type="dxa"/>
            <w:gridSpan w:val="2"/>
          </w:tcPr>
          <w:p w:rsidR="009C13A9" w:rsidRPr="00C903F8" w:rsidRDefault="009C13A9" w:rsidP="009C13A9">
            <w:pPr>
              <w:spacing w:before="60" w:after="60"/>
              <w:ind w:left="0" w:firstLine="0"/>
              <w:jc w:val="center"/>
              <w:rPr>
                <w:noProof/>
                <w:sz w:val="18"/>
                <w:szCs w:val="18"/>
              </w:rPr>
            </w:pPr>
            <w:r w:rsidRPr="00C903F8">
              <w:rPr>
                <w:noProof/>
                <w:sz w:val="18"/>
                <w:szCs w:val="18"/>
              </w:rPr>
              <w:t>Max</w:t>
            </w:r>
          </w:p>
        </w:tc>
        <w:tc>
          <w:tcPr>
            <w:tcW w:w="1134" w:type="dxa"/>
            <w:vMerge w:val="restart"/>
          </w:tcPr>
          <w:p w:rsidR="009C13A9" w:rsidRPr="00C903F8" w:rsidRDefault="009C13A9" w:rsidP="009C13A9">
            <w:pPr>
              <w:spacing w:before="60" w:after="60"/>
              <w:ind w:left="0" w:firstLine="0"/>
              <w:jc w:val="center"/>
              <w:rPr>
                <w:noProof/>
                <w:sz w:val="18"/>
                <w:szCs w:val="18"/>
              </w:rPr>
            </w:pPr>
            <w:r w:rsidRPr="00C903F8">
              <w:rPr>
                <w:noProof/>
                <w:sz w:val="18"/>
                <w:szCs w:val="18"/>
              </w:rPr>
              <w:t>Mean</w:t>
            </w:r>
          </w:p>
        </w:tc>
      </w:tr>
      <w:tr w:rsidR="009C13A9" w:rsidRPr="00C903F8" w:rsidTr="009C13A9">
        <w:trPr>
          <w:trHeight w:val="300"/>
        </w:trPr>
        <w:tc>
          <w:tcPr>
            <w:tcW w:w="1560" w:type="dxa"/>
            <w:vMerge/>
          </w:tcPr>
          <w:p w:rsidR="009C13A9" w:rsidRPr="00C903F8" w:rsidRDefault="009C13A9" w:rsidP="009C13A9">
            <w:pPr>
              <w:spacing w:before="60" w:after="60"/>
              <w:ind w:left="0" w:firstLine="0"/>
              <w:rPr>
                <w:noProof/>
                <w:sz w:val="18"/>
                <w:szCs w:val="18"/>
              </w:rPr>
            </w:pPr>
          </w:p>
        </w:tc>
        <w:tc>
          <w:tcPr>
            <w:tcW w:w="1842" w:type="dxa"/>
            <w:vMerge/>
          </w:tcPr>
          <w:p w:rsidR="009C13A9" w:rsidRPr="00C903F8" w:rsidRDefault="009C13A9" w:rsidP="009C13A9">
            <w:pPr>
              <w:spacing w:before="60" w:after="60"/>
              <w:ind w:left="0" w:firstLine="0"/>
              <w:rPr>
                <w:noProof/>
                <w:sz w:val="18"/>
                <w:szCs w:val="18"/>
              </w:rPr>
            </w:pPr>
          </w:p>
        </w:tc>
        <w:tc>
          <w:tcPr>
            <w:tcW w:w="1058" w:type="dxa"/>
            <w:vMerge/>
          </w:tcPr>
          <w:p w:rsidR="009C13A9" w:rsidRPr="00C903F8" w:rsidRDefault="009C13A9" w:rsidP="009C13A9">
            <w:pPr>
              <w:spacing w:before="60" w:after="60"/>
              <w:ind w:left="0" w:firstLine="0"/>
              <w:rPr>
                <w:noProof/>
                <w:sz w:val="18"/>
                <w:szCs w:val="18"/>
              </w:rPr>
            </w:pPr>
          </w:p>
        </w:tc>
        <w:tc>
          <w:tcPr>
            <w:tcW w:w="992" w:type="dxa"/>
            <w:vMerge/>
          </w:tcPr>
          <w:p w:rsidR="009C13A9" w:rsidRPr="00C903F8" w:rsidRDefault="009C13A9" w:rsidP="009C13A9">
            <w:pPr>
              <w:spacing w:before="60" w:after="60"/>
              <w:ind w:left="0" w:firstLine="0"/>
              <w:rPr>
                <w:noProof/>
                <w:sz w:val="18"/>
                <w:szCs w:val="18"/>
              </w:rPr>
            </w:pPr>
          </w:p>
        </w:tc>
        <w:tc>
          <w:tcPr>
            <w:tcW w:w="1069" w:type="dxa"/>
          </w:tcPr>
          <w:p w:rsidR="009C13A9" w:rsidRPr="00C903F8" w:rsidRDefault="009C13A9" w:rsidP="009C13A9">
            <w:pPr>
              <w:spacing w:before="60" w:after="60"/>
              <w:ind w:left="0" w:firstLine="0"/>
              <w:jc w:val="center"/>
              <w:rPr>
                <w:noProof/>
                <w:sz w:val="18"/>
                <w:szCs w:val="18"/>
              </w:rPr>
            </w:pPr>
            <w:r w:rsidRPr="00C903F8">
              <w:rPr>
                <w:noProof/>
                <w:sz w:val="18"/>
                <w:szCs w:val="18"/>
              </w:rPr>
              <w:t>Value</w:t>
            </w:r>
          </w:p>
        </w:tc>
        <w:tc>
          <w:tcPr>
            <w:tcW w:w="1134" w:type="dxa"/>
          </w:tcPr>
          <w:p w:rsidR="009C13A9" w:rsidRPr="00C903F8" w:rsidRDefault="009C13A9" w:rsidP="009C13A9">
            <w:pPr>
              <w:spacing w:before="60" w:after="60"/>
              <w:ind w:left="0" w:firstLine="0"/>
              <w:jc w:val="center"/>
              <w:rPr>
                <w:noProof/>
                <w:sz w:val="18"/>
                <w:szCs w:val="18"/>
              </w:rPr>
            </w:pPr>
            <w:r w:rsidRPr="00C903F8">
              <w:rPr>
                <w:noProof/>
                <w:sz w:val="18"/>
                <w:szCs w:val="18"/>
              </w:rPr>
              <w:t>Phase</w:t>
            </w:r>
          </w:p>
        </w:tc>
        <w:tc>
          <w:tcPr>
            <w:tcW w:w="1134" w:type="dxa"/>
            <w:vMerge/>
          </w:tcPr>
          <w:p w:rsidR="009C13A9" w:rsidRPr="00C903F8" w:rsidRDefault="009C13A9" w:rsidP="009C13A9">
            <w:pPr>
              <w:spacing w:before="60" w:after="60"/>
              <w:ind w:left="0" w:firstLine="0"/>
              <w:rPr>
                <w:noProof/>
                <w:sz w:val="18"/>
                <w:szCs w:val="18"/>
              </w:rPr>
            </w:pPr>
          </w:p>
        </w:tc>
      </w:tr>
      <w:tr w:rsidR="009C13A9" w:rsidRPr="00C903F8" w:rsidTr="009C13A9">
        <w:tc>
          <w:tcPr>
            <w:tcW w:w="1560" w:type="dxa"/>
            <w:vAlign w:val="center"/>
          </w:tcPr>
          <w:p w:rsidR="009C13A9" w:rsidRPr="00C903F8" w:rsidRDefault="009C13A9" w:rsidP="009C13A9">
            <w:pPr>
              <w:spacing w:before="60" w:after="60"/>
              <w:ind w:left="0" w:firstLine="0"/>
              <w:rPr>
                <w:noProof/>
                <w:sz w:val="18"/>
                <w:szCs w:val="18"/>
              </w:rPr>
            </w:pPr>
            <w:r w:rsidRPr="00C903F8">
              <w:rPr>
                <w:noProof/>
                <w:sz w:val="18"/>
                <w:szCs w:val="18"/>
              </w:rPr>
              <w:t>Inflow</w:t>
            </w:r>
          </w:p>
        </w:tc>
        <w:tc>
          <w:tcPr>
            <w:tcW w:w="1842" w:type="dxa"/>
            <w:vAlign w:val="center"/>
          </w:tcPr>
          <w:p w:rsidR="009C13A9" w:rsidRPr="00C903F8" w:rsidRDefault="009C13A9" w:rsidP="009C13A9">
            <w:pPr>
              <w:spacing w:before="60" w:after="60"/>
              <w:ind w:left="0" w:firstLine="0"/>
              <w:jc w:val="left"/>
              <w:rPr>
                <w:noProof/>
                <w:sz w:val="18"/>
                <w:szCs w:val="18"/>
              </w:rPr>
            </w:pPr>
            <w:r w:rsidRPr="00C903F8">
              <w:rPr>
                <w:noProof/>
                <w:sz w:val="18"/>
                <w:szCs w:val="18"/>
              </w:rPr>
              <w:t>24h composite samples</w:t>
            </w:r>
          </w:p>
        </w:tc>
        <w:tc>
          <w:tcPr>
            <w:tcW w:w="1058" w:type="dxa"/>
            <w:vAlign w:val="center"/>
          </w:tcPr>
          <w:p w:rsidR="009C13A9" w:rsidRPr="00C903F8" w:rsidRDefault="009C13A9" w:rsidP="00704BED">
            <w:pPr>
              <w:spacing w:before="60" w:after="60"/>
              <w:ind w:left="0" w:firstLine="0"/>
              <w:jc w:val="center"/>
              <w:rPr>
                <w:noProof/>
                <w:sz w:val="18"/>
                <w:szCs w:val="18"/>
              </w:rPr>
            </w:pPr>
            <w:r w:rsidRPr="00C903F8">
              <w:rPr>
                <w:noProof/>
                <w:sz w:val="18"/>
                <w:szCs w:val="18"/>
              </w:rPr>
              <w:t>--</w:t>
            </w:r>
          </w:p>
        </w:tc>
        <w:tc>
          <w:tcPr>
            <w:tcW w:w="992" w:type="dxa"/>
            <w:vAlign w:val="center"/>
          </w:tcPr>
          <w:p w:rsidR="009C13A9" w:rsidRPr="00C903F8" w:rsidRDefault="009C13A9" w:rsidP="009C13A9">
            <w:pPr>
              <w:spacing w:before="60" w:after="60"/>
              <w:ind w:left="0" w:firstLine="0"/>
              <w:rPr>
                <w:noProof/>
                <w:sz w:val="18"/>
                <w:szCs w:val="18"/>
              </w:rPr>
            </w:pPr>
          </w:p>
        </w:tc>
        <w:tc>
          <w:tcPr>
            <w:tcW w:w="1069"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r>
      <w:tr w:rsidR="009C13A9" w:rsidRPr="00C903F8" w:rsidTr="009C13A9">
        <w:tc>
          <w:tcPr>
            <w:tcW w:w="1560" w:type="dxa"/>
          </w:tcPr>
          <w:p w:rsidR="009C13A9" w:rsidRPr="00C903F8" w:rsidRDefault="009C13A9" w:rsidP="009C13A9">
            <w:pPr>
              <w:spacing w:before="60" w:after="60"/>
              <w:ind w:left="0" w:firstLine="0"/>
              <w:rPr>
                <w:noProof/>
                <w:sz w:val="18"/>
                <w:szCs w:val="18"/>
              </w:rPr>
            </w:pPr>
            <w:r w:rsidRPr="00C903F8">
              <w:rPr>
                <w:noProof/>
                <w:sz w:val="18"/>
                <w:szCs w:val="18"/>
              </w:rPr>
              <w:t>Outflow</w:t>
            </w:r>
          </w:p>
        </w:tc>
        <w:tc>
          <w:tcPr>
            <w:tcW w:w="1842" w:type="dxa"/>
            <w:vAlign w:val="center"/>
          </w:tcPr>
          <w:p w:rsidR="009C13A9" w:rsidRPr="00C903F8" w:rsidRDefault="009C13A9" w:rsidP="009C13A9">
            <w:pPr>
              <w:spacing w:before="60" w:after="60"/>
              <w:ind w:left="0" w:firstLine="0"/>
              <w:jc w:val="left"/>
              <w:rPr>
                <w:noProof/>
                <w:sz w:val="18"/>
                <w:szCs w:val="18"/>
              </w:rPr>
            </w:pPr>
            <w:r w:rsidRPr="00C903F8">
              <w:rPr>
                <w:noProof/>
                <w:sz w:val="18"/>
                <w:szCs w:val="18"/>
              </w:rPr>
              <w:t>24h composite samples</w:t>
            </w:r>
          </w:p>
        </w:tc>
        <w:tc>
          <w:tcPr>
            <w:tcW w:w="1058" w:type="dxa"/>
            <w:vAlign w:val="center"/>
          </w:tcPr>
          <w:p w:rsidR="009C13A9" w:rsidRPr="00C903F8" w:rsidRDefault="009C13A9" w:rsidP="009C13A9">
            <w:pPr>
              <w:spacing w:before="60" w:after="60"/>
              <w:ind w:left="0" w:firstLine="0"/>
              <w:rPr>
                <w:noProof/>
                <w:sz w:val="18"/>
                <w:szCs w:val="18"/>
              </w:rPr>
            </w:pPr>
          </w:p>
        </w:tc>
        <w:tc>
          <w:tcPr>
            <w:tcW w:w="992" w:type="dxa"/>
            <w:vAlign w:val="center"/>
          </w:tcPr>
          <w:p w:rsidR="009C13A9" w:rsidRPr="00C903F8" w:rsidRDefault="009C13A9" w:rsidP="009C13A9">
            <w:pPr>
              <w:spacing w:before="60" w:after="60"/>
              <w:ind w:left="0" w:firstLine="0"/>
              <w:rPr>
                <w:noProof/>
                <w:sz w:val="18"/>
                <w:szCs w:val="18"/>
              </w:rPr>
            </w:pPr>
          </w:p>
        </w:tc>
        <w:tc>
          <w:tcPr>
            <w:tcW w:w="1069"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c>
          <w:tcPr>
            <w:tcW w:w="1134" w:type="dxa"/>
          </w:tcPr>
          <w:p w:rsidR="009C13A9" w:rsidRPr="00C903F8" w:rsidRDefault="009C13A9" w:rsidP="009C13A9">
            <w:pPr>
              <w:spacing w:before="60" w:after="60"/>
              <w:ind w:left="0" w:firstLine="0"/>
              <w:rPr>
                <w:noProof/>
                <w:sz w:val="18"/>
                <w:szCs w:val="18"/>
              </w:rPr>
            </w:pPr>
          </w:p>
        </w:tc>
      </w:tr>
      <w:tr w:rsidR="009C13A9" w:rsidRPr="00C903F8" w:rsidTr="009C13A9">
        <w:tc>
          <w:tcPr>
            <w:tcW w:w="1560" w:type="dxa"/>
            <w:vAlign w:val="center"/>
          </w:tcPr>
          <w:p w:rsidR="009C13A9" w:rsidRPr="00C903F8" w:rsidRDefault="009C13A9" w:rsidP="009C13A9">
            <w:pPr>
              <w:spacing w:before="60" w:after="60"/>
              <w:ind w:left="0" w:firstLine="0"/>
              <w:rPr>
                <w:noProof/>
                <w:sz w:val="18"/>
                <w:szCs w:val="18"/>
              </w:rPr>
            </w:pPr>
            <w:r w:rsidRPr="00C903F8">
              <w:rPr>
                <w:noProof/>
                <w:sz w:val="18"/>
                <w:szCs w:val="18"/>
              </w:rPr>
              <w:t>Inflow</w:t>
            </w:r>
          </w:p>
        </w:tc>
        <w:tc>
          <w:tcPr>
            <w:tcW w:w="1842" w:type="dxa"/>
            <w:vAlign w:val="center"/>
          </w:tcPr>
          <w:p w:rsidR="009C13A9" w:rsidRPr="00C903F8" w:rsidRDefault="009C13A9" w:rsidP="009C13A9">
            <w:pPr>
              <w:spacing w:before="60" w:after="60"/>
              <w:ind w:left="0" w:firstLine="0"/>
              <w:rPr>
                <w:noProof/>
                <w:sz w:val="18"/>
                <w:szCs w:val="18"/>
              </w:rPr>
            </w:pPr>
            <w:r w:rsidRPr="00C903F8">
              <w:rPr>
                <w:noProof/>
                <w:sz w:val="18"/>
                <w:szCs w:val="18"/>
              </w:rPr>
              <w:t>Random samples</w:t>
            </w:r>
          </w:p>
        </w:tc>
        <w:tc>
          <w:tcPr>
            <w:tcW w:w="1058" w:type="dxa"/>
            <w:vAlign w:val="center"/>
          </w:tcPr>
          <w:p w:rsidR="009C13A9" w:rsidRPr="00C903F8" w:rsidRDefault="009C13A9" w:rsidP="009C13A9">
            <w:pPr>
              <w:spacing w:before="60" w:after="60"/>
              <w:ind w:left="0" w:firstLine="0"/>
              <w:jc w:val="center"/>
              <w:rPr>
                <w:noProof/>
                <w:sz w:val="18"/>
                <w:szCs w:val="18"/>
              </w:rPr>
            </w:pPr>
            <w:r w:rsidRPr="00C903F8">
              <w:rPr>
                <w:noProof/>
                <w:sz w:val="18"/>
                <w:szCs w:val="18"/>
              </w:rPr>
              <w:t>--</w:t>
            </w:r>
          </w:p>
        </w:tc>
        <w:tc>
          <w:tcPr>
            <w:tcW w:w="992" w:type="dxa"/>
            <w:vAlign w:val="center"/>
          </w:tcPr>
          <w:p w:rsidR="009C13A9" w:rsidRPr="00C903F8" w:rsidRDefault="009C13A9" w:rsidP="009C13A9">
            <w:pPr>
              <w:spacing w:before="60" w:after="60"/>
              <w:ind w:left="0" w:firstLine="0"/>
              <w:rPr>
                <w:noProof/>
                <w:sz w:val="18"/>
                <w:szCs w:val="18"/>
              </w:rPr>
            </w:pPr>
          </w:p>
        </w:tc>
        <w:tc>
          <w:tcPr>
            <w:tcW w:w="1069"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r>
      <w:tr w:rsidR="009C13A9" w:rsidRPr="00C903F8" w:rsidTr="009C13A9">
        <w:tc>
          <w:tcPr>
            <w:tcW w:w="1560" w:type="dxa"/>
          </w:tcPr>
          <w:p w:rsidR="009C13A9" w:rsidRPr="00C903F8" w:rsidRDefault="009C13A9" w:rsidP="009C13A9">
            <w:pPr>
              <w:spacing w:before="60" w:after="60"/>
              <w:ind w:left="0" w:firstLine="0"/>
              <w:rPr>
                <w:noProof/>
                <w:sz w:val="18"/>
                <w:szCs w:val="18"/>
              </w:rPr>
            </w:pPr>
            <w:r w:rsidRPr="00C903F8">
              <w:rPr>
                <w:noProof/>
                <w:sz w:val="18"/>
                <w:szCs w:val="18"/>
              </w:rPr>
              <w:t>Outflow</w:t>
            </w:r>
          </w:p>
        </w:tc>
        <w:tc>
          <w:tcPr>
            <w:tcW w:w="1842" w:type="dxa"/>
            <w:vAlign w:val="center"/>
          </w:tcPr>
          <w:p w:rsidR="009C13A9" w:rsidRPr="00C903F8" w:rsidRDefault="009C13A9" w:rsidP="009C13A9">
            <w:pPr>
              <w:spacing w:before="60" w:after="60"/>
              <w:ind w:left="0" w:firstLine="0"/>
              <w:rPr>
                <w:noProof/>
                <w:sz w:val="18"/>
                <w:szCs w:val="18"/>
              </w:rPr>
            </w:pPr>
            <w:r w:rsidRPr="00C903F8">
              <w:rPr>
                <w:noProof/>
                <w:sz w:val="18"/>
                <w:szCs w:val="18"/>
              </w:rPr>
              <w:t>Random samples</w:t>
            </w:r>
          </w:p>
        </w:tc>
        <w:tc>
          <w:tcPr>
            <w:tcW w:w="1058" w:type="dxa"/>
            <w:vAlign w:val="center"/>
          </w:tcPr>
          <w:p w:rsidR="009C13A9" w:rsidRPr="00C903F8" w:rsidRDefault="009C13A9" w:rsidP="009C13A9">
            <w:pPr>
              <w:spacing w:before="60" w:after="60"/>
              <w:ind w:left="0" w:firstLine="0"/>
              <w:rPr>
                <w:noProof/>
                <w:sz w:val="18"/>
                <w:szCs w:val="18"/>
              </w:rPr>
            </w:pPr>
          </w:p>
        </w:tc>
        <w:tc>
          <w:tcPr>
            <w:tcW w:w="992" w:type="dxa"/>
            <w:vAlign w:val="center"/>
          </w:tcPr>
          <w:p w:rsidR="009C13A9" w:rsidRPr="00C903F8" w:rsidRDefault="009C13A9" w:rsidP="009C13A9">
            <w:pPr>
              <w:spacing w:before="60" w:after="60"/>
              <w:ind w:left="0" w:firstLine="0"/>
              <w:rPr>
                <w:noProof/>
                <w:sz w:val="18"/>
                <w:szCs w:val="18"/>
              </w:rPr>
            </w:pPr>
          </w:p>
        </w:tc>
        <w:tc>
          <w:tcPr>
            <w:tcW w:w="1069"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c>
          <w:tcPr>
            <w:tcW w:w="1134" w:type="dxa"/>
          </w:tcPr>
          <w:p w:rsidR="009C13A9" w:rsidRPr="00C903F8" w:rsidRDefault="009C13A9" w:rsidP="009C13A9">
            <w:pPr>
              <w:spacing w:before="60" w:after="60"/>
              <w:ind w:left="0" w:firstLine="0"/>
              <w:rPr>
                <w:noProof/>
                <w:sz w:val="18"/>
                <w:szCs w:val="18"/>
              </w:rPr>
            </w:pPr>
          </w:p>
        </w:tc>
      </w:tr>
    </w:tbl>
    <w:p w:rsidR="009C13A9" w:rsidRPr="00C903F8" w:rsidRDefault="009C13A9" w:rsidP="009C13A9">
      <w:pPr>
        <w:spacing w:line="240" w:lineRule="atLeast"/>
        <w:rPr>
          <w:rFonts w:cs="Arial"/>
          <w:noProof/>
          <w:color w:val="000000"/>
          <w:lang w:val="nl-NL"/>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 xml:space="preserve">Evaluation of outflow values </w:t>
      </w:r>
      <w:r w:rsidRPr="00C903F8">
        <w:rPr>
          <w:rFonts w:cs="Arial"/>
          <w:b/>
          <w:noProof/>
          <w:color w:val="000000"/>
          <w:lang w:val="en-US"/>
        </w:rPr>
        <w:t xml:space="preserve">COD </w:t>
      </w:r>
      <w:r w:rsidRPr="00C903F8">
        <w:rPr>
          <w:rFonts w:cs="Arial"/>
          <w:noProof/>
          <w:color w:val="000000"/>
          <w:lang w:val="en-US"/>
        </w:rPr>
        <w:t>(mg/l)</w:t>
      </w:r>
    </w:p>
    <w:p w:rsidR="009C13A9" w:rsidRPr="00C903F8" w:rsidRDefault="009C13A9" w:rsidP="009C13A9">
      <w:pPr>
        <w:spacing w:line="240" w:lineRule="atLeast"/>
        <w:rPr>
          <w:rFonts w:cs="Arial"/>
          <w:noProof/>
          <w:color w:val="00000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1058"/>
        <w:gridCol w:w="992"/>
        <w:gridCol w:w="1069"/>
        <w:gridCol w:w="1134"/>
        <w:gridCol w:w="1134"/>
      </w:tblGrid>
      <w:tr w:rsidR="009C13A9" w:rsidRPr="00C903F8" w:rsidTr="009C13A9">
        <w:tc>
          <w:tcPr>
            <w:tcW w:w="1560" w:type="dxa"/>
            <w:vMerge w:val="restart"/>
          </w:tcPr>
          <w:p w:rsidR="009C13A9" w:rsidRPr="00C903F8" w:rsidRDefault="00390107" w:rsidP="009C13A9">
            <w:pPr>
              <w:spacing w:before="60" w:after="60"/>
              <w:ind w:left="0" w:firstLine="0"/>
              <w:rPr>
                <w:noProof/>
                <w:sz w:val="18"/>
                <w:szCs w:val="18"/>
              </w:rPr>
            </w:pPr>
            <w:r w:rsidRPr="00C903F8">
              <w:rPr>
                <w:noProof/>
                <w:sz w:val="18"/>
                <w:szCs w:val="18"/>
              </w:rPr>
              <w:t>Location</w:t>
            </w:r>
          </w:p>
        </w:tc>
        <w:tc>
          <w:tcPr>
            <w:tcW w:w="1842" w:type="dxa"/>
            <w:vMerge w:val="restart"/>
          </w:tcPr>
          <w:p w:rsidR="009C13A9" w:rsidRPr="00C903F8" w:rsidRDefault="009C13A9" w:rsidP="009C13A9">
            <w:pPr>
              <w:spacing w:before="60" w:after="60"/>
              <w:ind w:left="0" w:firstLine="0"/>
              <w:jc w:val="center"/>
              <w:rPr>
                <w:noProof/>
                <w:sz w:val="18"/>
                <w:szCs w:val="18"/>
              </w:rPr>
            </w:pPr>
            <w:r w:rsidRPr="00C903F8">
              <w:rPr>
                <w:noProof/>
                <w:sz w:val="18"/>
                <w:szCs w:val="18"/>
              </w:rPr>
              <w:t>Sample type</w:t>
            </w:r>
          </w:p>
        </w:tc>
        <w:tc>
          <w:tcPr>
            <w:tcW w:w="1058" w:type="dxa"/>
            <w:vMerge w:val="restart"/>
          </w:tcPr>
          <w:p w:rsidR="009C13A9" w:rsidRPr="00C903F8" w:rsidRDefault="009C13A9" w:rsidP="009C13A9">
            <w:pPr>
              <w:spacing w:before="60" w:after="60"/>
              <w:ind w:left="0" w:firstLine="0"/>
              <w:jc w:val="center"/>
              <w:rPr>
                <w:noProof/>
                <w:sz w:val="18"/>
                <w:szCs w:val="18"/>
                <w:lang w:val="en-US"/>
              </w:rPr>
            </w:pPr>
            <w:r w:rsidRPr="00C903F8">
              <w:rPr>
                <w:noProof/>
                <w:sz w:val="18"/>
                <w:szCs w:val="18"/>
                <w:lang w:val="en-US"/>
              </w:rPr>
              <w:t>Number of tests that meet the limit-values</w:t>
            </w:r>
          </w:p>
        </w:tc>
        <w:tc>
          <w:tcPr>
            <w:tcW w:w="992" w:type="dxa"/>
            <w:vMerge w:val="restart"/>
          </w:tcPr>
          <w:p w:rsidR="009C13A9" w:rsidRPr="00C903F8" w:rsidRDefault="009C13A9" w:rsidP="009C13A9">
            <w:pPr>
              <w:spacing w:before="60" w:after="60"/>
              <w:ind w:left="0" w:firstLine="0"/>
              <w:jc w:val="center"/>
              <w:rPr>
                <w:noProof/>
                <w:sz w:val="18"/>
                <w:szCs w:val="18"/>
              </w:rPr>
            </w:pPr>
            <w:r w:rsidRPr="00C903F8">
              <w:rPr>
                <w:noProof/>
                <w:sz w:val="18"/>
                <w:szCs w:val="18"/>
              </w:rPr>
              <w:t>Min</w:t>
            </w:r>
          </w:p>
        </w:tc>
        <w:tc>
          <w:tcPr>
            <w:tcW w:w="2203" w:type="dxa"/>
            <w:gridSpan w:val="2"/>
          </w:tcPr>
          <w:p w:rsidR="009C13A9" w:rsidRPr="00C903F8" w:rsidRDefault="009C13A9" w:rsidP="009C13A9">
            <w:pPr>
              <w:spacing w:before="60" w:after="60"/>
              <w:ind w:left="0" w:firstLine="0"/>
              <w:jc w:val="center"/>
              <w:rPr>
                <w:noProof/>
                <w:sz w:val="18"/>
                <w:szCs w:val="18"/>
              </w:rPr>
            </w:pPr>
            <w:r w:rsidRPr="00C903F8">
              <w:rPr>
                <w:noProof/>
                <w:sz w:val="18"/>
                <w:szCs w:val="18"/>
              </w:rPr>
              <w:t>Max</w:t>
            </w:r>
          </w:p>
        </w:tc>
        <w:tc>
          <w:tcPr>
            <w:tcW w:w="1134" w:type="dxa"/>
            <w:vMerge w:val="restart"/>
          </w:tcPr>
          <w:p w:rsidR="009C13A9" w:rsidRPr="00C903F8" w:rsidRDefault="009C13A9" w:rsidP="009C13A9">
            <w:pPr>
              <w:spacing w:before="60" w:after="60"/>
              <w:ind w:left="0" w:firstLine="0"/>
              <w:jc w:val="center"/>
              <w:rPr>
                <w:noProof/>
                <w:sz w:val="18"/>
                <w:szCs w:val="18"/>
              </w:rPr>
            </w:pPr>
            <w:r w:rsidRPr="00C903F8">
              <w:rPr>
                <w:noProof/>
                <w:sz w:val="18"/>
                <w:szCs w:val="18"/>
              </w:rPr>
              <w:t>Mean</w:t>
            </w:r>
          </w:p>
        </w:tc>
      </w:tr>
      <w:tr w:rsidR="009C13A9" w:rsidRPr="00C903F8" w:rsidTr="009C13A9">
        <w:tc>
          <w:tcPr>
            <w:tcW w:w="1560" w:type="dxa"/>
            <w:vMerge/>
          </w:tcPr>
          <w:p w:rsidR="009C13A9" w:rsidRPr="00C903F8" w:rsidRDefault="009C13A9" w:rsidP="009C13A9">
            <w:pPr>
              <w:spacing w:before="60" w:after="60"/>
              <w:ind w:left="0" w:firstLine="0"/>
              <w:rPr>
                <w:noProof/>
                <w:sz w:val="18"/>
                <w:szCs w:val="18"/>
              </w:rPr>
            </w:pPr>
          </w:p>
        </w:tc>
        <w:tc>
          <w:tcPr>
            <w:tcW w:w="1842" w:type="dxa"/>
            <w:vMerge/>
          </w:tcPr>
          <w:p w:rsidR="009C13A9" w:rsidRPr="00C903F8" w:rsidRDefault="009C13A9" w:rsidP="009C13A9">
            <w:pPr>
              <w:spacing w:before="60" w:after="60"/>
              <w:ind w:left="0" w:firstLine="0"/>
              <w:rPr>
                <w:noProof/>
                <w:sz w:val="18"/>
                <w:szCs w:val="18"/>
              </w:rPr>
            </w:pPr>
          </w:p>
        </w:tc>
        <w:tc>
          <w:tcPr>
            <w:tcW w:w="1058" w:type="dxa"/>
            <w:vMerge/>
          </w:tcPr>
          <w:p w:rsidR="009C13A9" w:rsidRPr="00C903F8" w:rsidRDefault="009C13A9" w:rsidP="009C13A9">
            <w:pPr>
              <w:spacing w:before="60" w:after="60"/>
              <w:ind w:left="0" w:firstLine="0"/>
              <w:rPr>
                <w:noProof/>
                <w:sz w:val="18"/>
                <w:szCs w:val="18"/>
              </w:rPr>
            </w:pPr>
          </w:p>
        </w:tc>
        <w:tc>
          <w:tcPr>
            <w:tcW w:w="992" w:type="dxa"/>
            <w:vMerge/>
          </w:tcPr>
          <w:p w:rsidR="009C13A9" w:rsidRPr="00C903F8" w:rsidRDefault="009C13A9" w:rsidP="009C13A9">
            <w:pPr>
              <w:spacing w:before="60" w:after="60"/>
              <w:ind w:left="0" w:firstLine="0"/>
              <w:rPr>
                <w:noProof/>
                <w:sz w:val="18"/>
                <w:szCs w:val="18"/>
              </w:rPr>
            </w:pPr>
          </w:p>
        </w:tc>
        <w:tc>
          <w:tcPr>
            <w:tcW w:w="1069" w:type="dxa"/>
          </w:tcPr>
          <w:p w:rsidR="009C13A9" w:rsidRPr="00C903F8" w:rsidRDefault="009C13A9" w:rsidP="009C13A9">
            <w:pPr>
              <w:spacing w:before="60" w:after="60"/>
              <w:ind w:left="0" w:firstLine="0"/>
              <w:jc w:val="center"/>
              <w:rPr>
                <w:noProof/>
                <w:sz w:val="18"/>
                <w:szCs w:val="18"/>
              </w:rPr>
            </w:pPr>
            <w:r w:rsidRPr="00C903F8">
              <w:rPr>
                <w:noProof/>
                <w:sz w:val="18"/>
                <w:szCs w:val="18"/>
              </w:rPr>
              <w:t>Value</w:t>
            </w:r>
          </w:p>
        </w:tc>
        <w:tc>
          <w:tcPr>
            <w:tcW w:w="1134" w:type="dxa"/>
          </w:tcPr>
          <w:p w:rsidR="009C13A9" w:rsidRPr="00C903F8" w:rsidRDefault="009C13A9" w:rsidP="009C13A9">
            <w:pPr>
              <w:spacing w:before="60" w:after="60"/>
              <w:ind w:left="0" w:firstLine="0"/>
              <w:jc w:val="center"/>
              <w:rPr>
                <w:noProof/>
                <w:sz w:val="18"/>
                <w:szCs w:val="18"/>
              </w:rPr>
            </w:pPr>
            <w:r w:rsidRPr="00C903F8">
              <w:rPr>
                <w:noProof/>
                <w:sz w:val="18"/>
                <w:szCs w:val="18"/>
              </w:rPr>
              <w:t>Phase</w:t>
            </w:r>
          </w:p>
        </w:tc>
        <w:tc>
          <w:tcPr>
            <w:tcW w:w="1134" w:type="dxa"/>
            <w:vMerge/>
          </w:tcPr>
          <w:p w:rsidR="009C13A9" w:rsidRPr="00C903F8" w:rsidRDefault="009C13A9" w:rsidP="009C13A9">
            <w:pPr>
              <w:spacing w:before="60" w:after="60"/>
              <w:ind w:left="0" w:firstLine="0"/>
              <w:rPr>
                <w:noProof/>
                <w:sz w:val="18"/>
                <w:szCs w:val="18"/>
              </w:rPr>
            </w:pPr>
          </w:p>
        </w:tc>
      </w:tr>
      <w:tr w:rsidR="009C13A9" w:rsidRPr="00C903F8" w:rsidTr="009C13A9">
        <w:tc>
          <w:tcPr>
            <w:tcW w:w="1560" w:type="dxa"/>
            <w:vAlign w:val="center"/>
          </w:tcPr>
          <w:p w:rsidR="009C13A9" w:rsidRPr="00C903F8" w:rsidRDefault="009C13A9" w:rsidP="009C13A9">
            <w:pPr>
              <w:spacing w:before="60" w:after="60"/>
              <w:ind w:left="0" w:firstLine="0"/>
              <w:rPr>
                <w:noProof/>
                <w:sz w:val="18"/>
                <w:szCs w:val="18"/>
              </w:rPr>
            </w:pPr>
            <w:r w:rsidRPr="00C903F8">
              <w:rPr>
                <w:noProof/>
                <w:sz w:val="18"/>
                <w:szCs w:val="18"/>
              </w:rPr>
              <w:t>Inflow</w:t>
            </w:r>
          </w:p>
        </w:tc>
        <w:tc>
          <w:tcPr>
            <w:tcW w:w="1842" w:type="dxa"/>
            <w:vAlign w:val="center"/>
          </w:tcPr>
          <w:p w:rsidR="009C13A9" w:rsidRPr="00C903F8" w:rsidRDefault="009C13A9" w:rsidP="009C13A9">
            <w:pPr>
              <w:spacing w:before="60" w:after="60"/>
              <w:ind w:left="0" w:firstLine="0"/>
              <w:jc w:val="left"/>
              <w:rPr>
                <w:noProof/>
                <w:sz w:val="18"/>
                <w:szCs w:val="18"/>
              </w:rPr>
            </w:pPr>
            <w:r w:rsidRPr="00C903F8">
              <w:rPr>
                <w:noProof/>
                <w:sz w:val="18"/>
                <w:szCs w:val="18"/>
              </w:rPr>
              <w:t>24h composite samples</w:t>
            </w:r>
          </w:p>
        </w:tc>
        <w:tc>
          <w:tcPr>
            <w:tcW w:w="1058" w:type="dxa"/>
            <w:vAlign w:val="center"/>
          </w:tcPr>
          <w:p w:rsidR="009C13A9" w:rsidRPr="00C903F8" w:rsidRDefault="009C13A9" w:rsidP="009C13A9">
            <w:pPr>
              <w:spacing w:before="60" w:after="60"/>
              <w:ind w:left="0" w:firstLine="0"/>
              <w:jc w:val="center"/>
              <w:rPr>
                <w:noProof/>
                <w:sz w:val="18"/>
                <w:szCs w:val="18"/>
              </w:rPr>
            </w:pPr>
            <w:r w:rsidRPr="00C903F8">
              <w:rPr>
                <w:noProof/>
                <w:sz w:val="18"/>
                <w:szCs w:val="18"/>
              </w:rPr>
              <w:t>--</w:t>
            </w:r>
          </w:p>
        </w:tc>
        <w:tc>
          <w:tcPr>
            <w:tcW w:w="992" w:type="dxa"/>
            <w:vAlign w:val="center"/>
          </w:tcPr>
          <w:p w:rsidR="009C13A9" w:rsidRPr="00C903F8" w:rsidRDefault="009C13A9" w:rsidP="009C13A9">
            <w:pPr>
              <w:spacing w:before="60" w:after="60"/>
              <w:ind w:left="0" w:firstLine="0"/>
              <w:rPr>
                <w:noProof/>
                <w:sz w:val="18"/>
                <w:szCs w:val="18"/>
              </w:rPr>
            </w:pPr>
          </w:p>
        </w:tc>
        <w:tc>
          <w:tcPr>
            <w:tcW w:w="1069"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r>
      <w:tr w:rsidR="009C13A9" w:rsidRPr="00C903F8" w:rsidTr="009C13A9">
        <w:tc>
          <w:tcPr>
            <w:tcW w:w="1560" w:type="dxa"/>
          </w:tcPr>
          <w:p w:rsidR="009C13A9" w:rsidRPr="00C903F8" w:rsidRDefault="009C13A9" w:rsidP="009C13A9">
            <w:pPr>
              <w:spacing w:before="60" w:after="60"/>
              <w:ind w:left="0" w:firstLine="0"/>
              <w:rPr>
                <w:noProof/>
                <w:sz w:val="18"/>
                <w:szCs w:val="18"/>
              </w:rPr>
            </w:pPr>
            <w:r w:rsidRPr="00C903F8">
              <w:rPr>
                <w:noProof/>
                <w:sz w:val="18"/>
                <w:szCs w:val="18"/>
              </w:rPr>
              <w:t>Outflow</w:t>
            </w:r>
          </w:p>
        </w:tc>
        <w:tc>
          <w:tcPr>
            <w:tcW w:w="1842" w:type="dxa"/>
            <w:vAlign w:val="center"/>
          </w:tcPr>
          <w:p w:rsidR="009C13A9" w:rsidRPr="00C903F8" w:rsidRDefault="009C13A9" w:rsidP="009C13A9">
            <w:pPr>
              <w:spacing w:before="60" w:after="60"/>
              <w:ind w:left="0" w:firstLine="0"/>
              <w:jc w:val="left"/>
              <w:rPr>
                <w:noProof/>
                <w:sz w:val="18"/>
                <w:szCs w:val="18"/>
              </w:rPr>
            </w:pPr>
            <w:r w:rsidRPr="00C903F8">
              <w:rPr>
                <w:noProof/>
                <w:sz w:val="18"/>
                <w:szCs w:val="18"/>
              </w:rPr>
              <w:t>24h composite samples</w:t>
            </w:r>
          </w:p>
        </w:tc>
        <w:tc>
          <w:tcPr>
            <w:tcW w:w="1058" w:type="dxa"/>
            <w:vAlign w:val="center"/>
          </w:tcPr>
          <w:p w:rsidR="009C13A9" w:rsidRPr="00C903F8" w:rsidRDefault="009C13A9" w:rsidP="009C13A9">
            <w:pPr>
              <w:spacing w:before="60" w:after="60"/>
              <w:ind w:left="0" w:firstLine="0"/>
              <w:rPr>
                <w:noProof/>
                <w:sz w:val="18"/>
                <w:szCs w:val="18"/>
              </w:rPr>
            </w:pPr>
          </w:p>
        </w:tc>
        <w:tc>
          <w:tcPr>
            <w:tcW w:w="992" w:type="dxa"/>
            <w:vAlign w:val="center"/>
          </w:tcPr>
          <w:p w:rsidR="009C13A9" w:rsidRPr="00C903F8" w:rsidRDefault="009C13A9" w:rsidP="009C13A9">
            <w:pPr>
              <w:spacing w:before="60" w:after="60"/>
              <w:ind w:left="0" w:firstLine="0"/>
              <w:rPr>
                <w:noProof/>
                <w:sz w:val="18"/>
                <w:szCs w:val="18"/>
              </w:rPr>
            </w:pPr>
          </w:p>
        </w:tc>
        <w:tc>
          <w:tcPr>
            <w:tcW w:w="1069"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r>
      <w:tr w:rsidR="009C13A9" w:rsidRPr="00C903F8" w:rsidTr="009C13A9">
        <w:tc>
          <w:tcPr>
            <w:tcW w:w="1560" w:type="dxa"/>
            <w:vAlign w:val="center"/>
          </w:tcPr>
          <w:p w:rsidR="009C13A9" w:rsidRPr="00C903F8" w:rsidRDefault="009C13A9" w:rsidP="009C13A9">
            <w:pPr>
              <w:spacing w:before="60" w:after="60"/>
              <w:ind w:left="0" w:firstLine="0"/>
              <w:rPr>
                <w:noProof/>
                <w:sz w:val="18"/>
                <w:szCs w:val="18"/>
              </w:rPr>
            </w:pPr>
            <w:r w:rsidRPr="00C903F8">
              <w:rPr>
                <w:noProof/>
                <w:sz w:val="18"/>
                <w:szCs w:val="18"/>
              </w:rPr>
              <w:t>Inflow</w:t>
            </w:r>
          </w:p>
        </w:tc>
        <w:tc>
          <w:tcPr>
            <w:tcW w:w="1842" w:type="dxa"/>
            <w:vAlign w:val="center"/>
          </w:tcPr>
          <w:p w:rsidR="009C13A9" w:rsidRPr="00C903F8" w:rsidRDefault="009C13A9" w:rsidP="009C13A9">
            <w:pPr>
              <w:spacing w:before="60" w:after="60"/>
              <w:ind w:left="0" w:firstLine="0"/>
              <w:rPr>
                <w:noProof/>
                <w:sz w:val="18"/>
                <w:szCs w:val="18"/>
              </w:rPr>
            </w:pPr>
            <w:r w:rsidRPr="00C903F8">
              <w:rPr>
                <w:noProof/>
                <w:sz w:val="18"/>
                <w:szCs w:val="18"/>
              </w:rPr>
              <w:t>Random samples</w:t>
            </w:r>
          </w:p>
        </w:tc>
        <w:tc>
          <w:tcPr>
            <w:tcW w:w="1058" w:type="dxa"/>
            <w:vAlign w:val="center"/>
          </w:tcPr>
          <w:p w:rsidR="009C13A9" w:rsidRPr="00C903F8" w:rsidRDefault="009C13A9" w:rsidP="009C13A9">
            <w:pPr>
              <w:spacing w:before="60" w:after="60"/>
              <w:ind w:left="0" w:firstLine="0"/>
              <w:jc w:val="center"/>
              <w:rPr>
                <w:noProof/>
                <w:sz w:val="18"/>
                <w:szCs w:val="18"/>
              </w:rPr>
            </w:pPr>
            <w:r w:rsidRPr="00C903F8">
              <w:rPr>
                <w:noProof/>
                <w:sz w:val="18"/>
                <w:szCs w:val="18"/>
              </w:rPr>
              <w:t>--</w:t>
            </w:r>
          </w:p>
        </w:tc>
        <w:tc>
          <w:tcPr>
            <w:tcW w:w="992" w:type="dxa"/>
            <w:vAlign w:val="center"/>
          </w:tcPr>
          <w:p w:rsidR="009C13A9" w:rsidRPr="00C903F8" w:rsidRDefault="009C13A9" w:rsidP="009C13A9">
            <w:pPr>
              <w:spacing w:before="60" w:after="60"/>
              <w:ind w:left="0" w:firstLine="0"/>
              <w:rPr>
                <w:noProof/>
                <w:sz w:val="18"/>
                <w:szCs w:val="18"/>
              </w:rPr>
            </w:pPr>
          </w:p>
        </w:tc>
        <w:tc>
          <w:tcPr>
            <w:tcW w:w="1069"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r>
      <w:tr w:rsidR="009C13A9" w:rsidRPr="00C903F8" w:rsidTr="009C13A9">
        <w:tc>
          <w:tcPr>
            <w:tcW w:w="1560" w:type="dxa"/>
          </w:tcPr>
          <w:p w:rsidR="009C13A9" w:rsidRPr="00C903F8" w:rsidRDefault="009C13A9" w:rsidP="009C13A9">
            <w:pPr>
              <w:spacing w:before="60" w:after="60"/>
              <w:ind w:left="0" w:firstLine="0"/>
              <w:rPr>
                <w:noProof/>
                <w:sz w:val="18"/>
                <w:szCs w:val="18"/>
              </w:rPr>
            </w:pPr>
            <w:r w:rsidRPr="00C903F8">
              <w:rPr>
                <w:noProof/>
                <w:sz w:val="18"/>
                <w:szCs w:val="18"/>
              </w:rPr>
              <w:t>Outflow</w:t>
            </w:r>
          </w:p>
        </w:tc>
        <w:tc>
          <w:tcPr>
            <w:tcW w:w="1842" w:type="dxa"/>
            <w:vAlign w:val="center"/>
          </w:tcPr>
          <w:p w:rsidR="009C13A9" w:rsidRPr="00C903F8" w:rsidRDefault="009C13A9" w:rsidP="009C13A9">
            <w:pPr>
              <w:spacing w:before="60" w:after="60"/>
              <w:ind w:left="0" w:firstLine="0"/>
              <w:rPr>
                <w:noProof/>
                <w:sz w:val="18"/>
                <w:szCs w:val="18"/>
              </w:rPr>
            </w:pPr>
            <w:r w:rsidRPr="00C903F8">
              <w:rPr>
                <w:noProof/>
                <w:sz w:val="18"/>
                <w:szCs w:val="18"/>
              </w:rPr>
              <w:t>Random samples</w:t>
            </w:r>
          </w:p>
        </w:tc>
        <w:tc>
          <w:tcPr>
            <w:tcW w:w="1058" w:type="dxa"/>
            <w:vAlign w:val="center"/>
          </w:tcPr>
          <w:p w:rsidR="009C13A9" w:rsidRPr="00C903F8" w:rsidRDefault="009C13A9" w:rsidP="009C13A9">
            <w:pPr>
              <w:spacing w:before="60" w:after="60"/>
              <w:ind w:left="0" w:firstLine="0"/>
              <w:rPr>
                <w:noProof/>
                <w:sz w:val="18"/>
                <w:szCs w:val="18"/>
              </w:rPr>
            </w:pPr>
          </w:p>
        </w:tc>
        <w:tc>
          <w:tcPr>
            <w:tcW w:w="992" w:type="dxa"/>
            <w:vAlign w:val="center"/>
          </w:tcPr>
          <w:p w:rsidR="009C13A9" w:rsidRPr="00C903F8" w:rsidRDefault="009C13A9" w:rsidP="009C13A9">
            <w:pPr>
              <w:spacing w:before="60" w:after="60"/>
              <w:ind w:left="0" w:firstLine="0"/>
              <w:rPr>
                <w:noProof/>
                <w:sz w:val="18"/>
                <w:szCs w:val="18"/>
              </w:rPr>
            </w:pPr>
          </w:p>
        </w:tc>
        <w:tc>
          <w:tcPr>
            <w:tcW w:w="1069"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r>
    </w:tbl>
    <w:p w:rsidR="009C13A9" w:rsidRPr="00C903F8" w:rsidRDefault="009C13A9" w:rsidP="009C13A9">
      <w:pPr>
        <w:spacing w:line="240" w:lineRule="atLeast"/>
        <w:rPr>
          <w:rFonts w:cs="Arial"/>
          <w:noProof/>
          <w:color w:val="000000"/>
          <w:lang w:val="nl-NL"/>
        </w:rPr>
      </w:pPr>
    </w:p>
    <w:p w:rsidR="009C13A9" w:rsidRPr="00C903F8" w:rsidRDefault="009C13A9" w:rsidP="009C13A9">
      <w:pPr>
        <w:spacing w:line="240" w:lineRule="atLeast"/>
        <w:rPr>
          <w:rFonts w:cs="Arial"/>
          <w:noProof/>
          <w:color w:val="000000"/>
          <w:lang w:val="nl-NL"/>
        </w:rPr>
      </w:pPr>
      <w:r w:rsidRPr="00C903F8">
        <w:rPr>
          <w:rFonts w:cs="Arial"/>
          <w:noProof/>
          <w:color w:val="000000"/>
          <w:lang w:val="nl-NL"/>
        </w:rPr>
        <w:br w:type="page"/>
      </w: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lastRenderedPageBreak/>
        <w:t xml:space="preserve">Evaluation of outflow values </w:t>
      </w:r>
      <w:r w:rsidRPr="00C903F8">
        <w:rPr>
          <w:rFonts w:cs="Arial"/>
          <w:b/>
          <w:noProof/>
          <w:color w:val="000000"/>
          <w:lang w:val="en-US"/>
        </w:rPr>
        <w:t xml:space="preserve">TOC </w:t>
      </w:r>
      <w:r w:rsidRPr="00C903F8">
        <w:rPr>
          <w:rFonts w:cs="Arial"/>
          <w:noProof/>
          <w:color w:val="000000"/>
          <w:lang w:val="en-US"/>
        </w:rPr>
        <w:t>(mg/l)</w:t>
      </w:r>
    </w:p>
    <w:p w:rsidR="009C13A9" w:rsidRPr="00C903F8" w:rsidRDefault="009C13A9" w:rsidP="009C13A9">
      <w:pPr>
        <w:spacing w:line="240" w:lineRule="atLeast"/>
        <w:rPr>
          <w:rFonts w:cs="Arial"/>
          <w:noProof/>
          <w:color w:val="00000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1058"/>
        <w:gridCol w:w="992"/>
        <w:gridCol w:w="1069"/>
        <w:gridCol w:w="1134"/>
        <w:gridCol w:w="1134"/>
      </w:tblGrid>
      <w:tr w:rsidR="009C13A9" w:rsidRPr="00C903F8" w:rsidTr="009C13A9">
        <w:tc>
          <w:tcPr>
            <w:tcW w:w="1560" w:type="dxa"/>
            <w:vMerge w:val="restart"/>
          </w:tcPr>
          <w:p w:rsidR="009C13A9" w:rsidRPr="00C903F8" w:rsidRDefault="00390107" w:rsidP="009C13A9">
            <w:pPr>
              <w:spacing w:before="60" w:after="60"/>
              <w:ind w:left="0" w:firstLine="0"/>
              <w:rPr>
                <w:noProof/>
                <w:sz w:val="18"/>
                <w:szCs w:val="18"/>
              </w:rPr>
            </w:pPr>
            <w:r w:rsidRPr="00C903F8">
              <w:rPr>
                <w:noProof/>
                <w:sz w:val="18"/>
                <w:szCs w:val="18"/>
              </w:rPr>
              <w:t>Location</w:t>
            </w:r>
          </w:p>
        </w:tc>
        <w:tc>
          <w:tcPr>
            <w:tcW w:w="1842" w:type="dxa"/>
            <w:vMerge w:val="restart"/>
          </w:tcPr>
          <w:p w:rsidR="009C13A9" w:rsidRPr="00C903F8" w:rsidRDefault="009C13A9" w:rsidP="009C13A9">
            <w:pPr>
              <w:spacing w:before="60" w:after="60"/>
              <w:ind w:left="0" w:firstLine="0"/>
              <w:jc w:val="center"/>
              <w:rPr>
                <w:noProof/>
                <w:sz w:val="18"/>
                <w:szCs w:val="18"/>
              </w:rPr>
            </w:pPr>
            <w:r w:rsidRPr="00C903F8">
              <w:rPr>
                <w:noProof/>
                <w:sz w:val="18"/>
                <w:szCs w:val="18"/>
              </w:rPr>
              <w:t>Sample type</w:t>
            </w:r>
          </w:p>
        </w:tc>
        <w:tc>
          <w:tcPr>
            <w:tcW w:w="1058" w:type="dxa"/>
            <w:vMerge w:val="restart"/>
          </w:tcPr>
          <w:p w:rsidR="009C13A9" w:rsidRPr="00C903F8" w:rsidRDefault="009C13A9" w:rsidP="009C13A9">
            <w:pPr>
              <w:spacing w:before="60" w:after="60"/>
              <w:ind w:left="0" w:firstLine="0"/>
              <w:jc w:val="center"/>
              <w:rPr>
                <w:noProof/>
                <w:sz w:val="18"/>
                <w:szCs w:val="18"/>
                <w:lang w:val="en-US"/>
              </w:rPr>
            </w:pPr>
            <w:r w:rsidRPr="00C903F8">
              <w:rPr>
                <w:noProof/>
                <w:sz w:val="18"/>
                <w:szCs w:val="18"/>
                <w:lang w:val="en-US"/>
              </w:rPr>
              <w:t>Number of tests that meet the limit-values</w:t>
            </w:r>
          </w:p>
        </w:tc>
        <w:tc>
          <w:tcPr>
            <w:tcW w:w="992" w:type="dxa"/>
            <w:vMerge w:val="restart"/>
          </w:tcPr>
          <w:p w:rsidR="009C13A9" w:rsidRPr="00C903F8" w:rsidRDefault="009C13A9" w:rsidP="009C13A9">
            <w:pPr>
              <w:spacing w:before="60" w:after="60"/>
              <w:ind w:left="0" w:firstLine="0"/>
              <w:jc w:val="center"/>
              <w:rPr>
                <w:noProof/>
                <w:sz w:val="18"/>
                <w:szCs w:val="18"/>
              </w:rPr>
            </w:pPr>
            <w:r w:rsidRPr="00C903F8">
              <w:rPr>
                <w:noProof/>
                <w:sz w:val="18"/>
                <w:szCs w:val="18"/>
              </w:rPr>
              <w:t>Min</w:t>
            </w:r>
          </w:p>
        </w:tc>
        <w:tc>
          <w:tcPr>
            <w:tcW w:w="2203" w:type="dxa"/>
            <w:gridSpan w:val="2"/>
          </w:tcPr>
          <w:p w:rsidR="009C13A9" w:rsidRPr="00C903F8" w:rsidRDefault="009C13A9" w:rsidP="009C13A9">
            <w:pPr>
              <w:spacing w:before="60" w:after="60"/>
              <w:ind w:left="0" w:firstLine="0"/>
              <w:jc w:val="center"/>
              <w:rPr>
                <w:noProof/>
                <w:sz w:val="18"/>
                <w:szCs w:val="18"/>
              </w:rPr>
            </w:pPr>
            <w:r w:rsidRPr="00C903F8">
              <w:rPr>
                <w:noProof/>
                <w:sz w:val="18"/>
                <w:szCs w:val="18"/>
              </w:rPr>
              <w:t>Max</w:t>
            </w:r>
          </w:p>
        </w:tc>
        <w:tc>
          <w:tcPr>
            <w:tcW w:w="1134" w:type="dxa"/>
            <w:vMerge w:val="restart"/>
          </w:tcPr>
          <w:p w:rsidR="009C13A9" w:rsidRPr="00C903F8" w:rsidRDefault="009C13A9" w:rsidP="009C13A9">
            <w:pPr>
              <w:spacing w:before="60" w:after="60"/>
              <w:ind w:left="0" w:firstLine="0"/>
              <w:jc w:val="center"/>
              <w:rPr>
                <w:noProof/>
                <w:sz w:val="18"/>
                <w:szCs w:val="18"/>
              </w:rPr>
            </w:pPr>
            <w:r w:rsidRPr="00C903F8">
              <w:rPr>
                <w:noProof/>
                <w:sz w:val="18"/>
                <w:szCs w:val="18"/>
              </w:rPr>
              <w:t>Mean</w:t>
            </w:r>
          </w:p>
        </w:tc>
      </w:tr>
      <w:tr w:rsidR="009C13A9" w:rsidRPr="00C903F8" w:rsidTr="009C13A9">
        <w:tc>
          <w:tcPr>
            <w:tcW w:w="1560" w:type="dxa"/>
            <w:vMerge/>
          </w:tcPr>
          <w:p w:rsidR="009C13A9" w:rsidRPr="00C903F8" w:rsidRDefault="009C13A9" w:rsidP="009C13A9">
            <w:pPr>
              <w:spacing w:before="60" w:after="60"/>
              <w:ind w:left="0" w:firstLine="0"/>
              <w:rPr>
                <w:noProof/>
                <w:sz w:val="18"/>
                <w:szCs w:val="18"/>
              </w:rPr>
            </w:pPr>
          </w:p>
        </w:tc>
        <w:tc>
          <w:tcPr>
            <w:tcW w:w="1842" w:type="dxa"/>
            <w:vMerge/>
          </w:tcPr>
          <w:p w:rsidR="009C13A9" w:rsidRPr="00C903F8" w:rsidRDefault="009C13A9" w:rsidP="009C13A9">
            <w:pPr>
              <w:spacing w:before="60" w:after="60"/>
              <w:ind w:left="0" w:firstLine="0"/>
              <w:rPr>
                <w:noProof/>
                <w:sz w:val="18"/>
                <w:szCs w:val="18"/>
              </w:rPr>
            </w:pPr>
          </w:p>
        </w:tc>
        <w:tc>
          <w:tcPr>
            <w:tcW w:w="1058" w:type="dxa"/>
            <w:vMerge/>
          </w:tcPr>
          <w:p w:rsidR="009C13A9" w:rsidRPr="00C903F8" w:rsidRDefault="009C13A9" w:rsidP="009C13A9">
            <w:pPr>
              <w:spacing w:before="60" w:after="60"/>
              <w:ind w:left="0" w:firstLine="0"/>
              <w:rPr>
                <w:noProof/>
                <w:sz w:val="18"/>
                <w:szCs w:val="18"/>
              </w:rPr>
            </w:pPr>
          </w:p>
        </w:tc>
        <w:tc>
          <w:tcPr>
            <w:tcW w:w="992" w:type="dxa"/>
            <w:vMerge/>
          </w:tcPr>
          <w:p w:rsidR="009C13A9" w:rsidRPr="00C903F8" w:rsidRDefault="009C13A9" w:rsidP="009C13A9">
            <w:pPr>
              <w:spacing w:before="60" w:after="60"/>
              <w:ind w:left="0" w:firstLine="0"/>
              <w:rPr>
                <w:noProof/>
                <w:sz w:val="18"/>
                <w:szCs w:val="18"/>
              </w:rPr>
            </w:pPr>
          </w:p>
        </w:tc>
        <w:tc>
          <w:tcPr>
            <w:tcW w:w="1069" w:type="dxa"/>
          </w:tcPr>
          <w:p w:rsidR="009C13A9" w:rsidRPr="00C903F8" w:rsidRDefault="009C13A9" w:rsidP="009C13A9">
            <w:pPr>
              <w:spacing w:before="60" w:after="60"/>
              <w:ind w:left="0" w:firstLine="0"/>
              <w:jc w:val="center"/>
              <w:rPr>
                <w:noProof/>
                <w:sz w:val="18"/>
                <w:szCs w:val="18"/>
              </w:rPr>
            </w:pPr>
            <w:r w:rsidRPr="00C903F8">
              <w:rPr>
                <w:noProof/>
                <w:sz w:val="18"/>
                <w:szCs w:val="18"/>
              </w:rPr>
              <w:t>Value</w:t>
            </w:r>
          </w:p>
        </w:tc>
        <w:tc>
          <w:tcPr>
            <w:tcW w:w="1134" w:type="dxa"/>
          </w:tcPr>
          <w:p w:rsidR="009C13A9" w:rsidRPr="00C903F8" w:rsidRDefault="009C13A9" w:rsidP="009C13A9">
            <w:pPr>
              <w:spacing w:before="60" w:after="60"/>
              <w:ind w:left="0" w:firstLine="0"/>
              <w:jc w:val="center"/>
              <w:rPr>
                <w:noProof/>
                <w:sz w:val="18"/>
                <w:szCs w:val="18"/>
              </w:rPr>
            </w:pPr>
            <w:r w:rsidRPr="00C903F8">
              <w:rPr>
                <w:noProof/>
                <w:sz w:val="18"/>
                <w:szCs w:val="18"/>
              </w:rPr>
              <w:t>Phase</w:t>
            </w:r>
          </w:p>
        </w:tc>
        <w:tc>
          <w:tcPr>
            <w:tcW w:w="1134" w:type="dxa"/>
            <w:vMerge/>
          </w:tcPr>
          <w:p w:rsidR="009C13A9" w:rsidRPr="00C903F8" w:rsidRDefault="009C13A9" w:rsidP="009C13A9">
            <w:pPr>
              <w:spacing w:before="60" w:after="60"/>
              <w:ind w:left="0" w:firstLine="0"/>
              <w:rPr>
                <w:noProof/>
                <w:sz w:val="18"/>
                <w:szCs w:val="18"/>
              </w:rPr>
            </w:pPr>
          </w:p>
        </w:tc>
      </w:tr>
      <w:tr w:rsidR="009C13A9" w:rsidRPr="00C903F8" w:rsidTr="009C13A9">
        <w:tc>
          <w:tcPr>
            <w:tcW w:w="1560" w:type="dxa"/>
            <w:vAlign w:val="center"/>
          </w:tcPr>
          <w:p w:rsidR="009C13A9" w:rsidRPr="00C903F8" w:rsidRDefault="009C13A9" w:rsidP="009C13A9">
            <w:pPr>
              <w:spacing w:before="60" w:after="60"/>
              <w:ind w:left="0" w:firstLine="0"/>
              <w:rPr>
                <w:noProof/>
                <w:sz w:val="18"/>
                <w:szCs w:val="18"/>
              </w:rPr>
            </w:pPr>
            <w:r w:rsidRPr="00C903F8">
              <w:rPr>
                <w:noProof/>
                <w:sz w:val="18"/>
                <w:szCs w:val="18"/>
              </w:rPr>
              <w:t>Inflow</w:t>
            </w:r>
          </w:p>
        </w:tc>
        <w:tc>
          <w:tcPr>
            <w:tcW w:w="1842" w:type="dxa"/>
            <w:vAlign w:val="center"/>
          </w:tcPr>
          <w:p w:rsidR="009C13A9" w:rsidRPr="00C903F8" w:rsidRDefault="009C13A9" w:rsidP="009C13A9">
            <w:pPr>
              <w:spacing w:before="60" w:after="60"/>
              <w:ind w:left="0" w:firstLine="0"/>
              <w:jc w:val="left"/>
              <w:rPr>
                <w:noProof/>
                <w:sz w:val="18"/>
                <w:szCs w:val="18"/>
              </w:rPr>
            </w:pPr>
            <w:r w:rsidRPr="00C903F8">
              <w:rPr>
                <w:noProof/>
                <w:sz w:val="18"/>
                <w:szCs w:val="18"/>
              </w:rPr>
              <w:t>24h composite samples</w:t>
            </w:r>
          </w:p>
        </w:tc>
        <w:tc>
          <w:tcPr>
            <w:tcW w:w="1058" w:type="dxa"/>
            <w:vAlign w:val="center"/>
          </w:tcPr>
          <w:p w:rsidR="009C13A9" w:rsidRPr="00C903F8" w:rsidRDefault="009C13A9" w:rsidP="009C13A9">
            <w:pPr>
              <w:spacing w:before="60" w:after="60"/>
              <w:ind w:left="0" w:firstLine="0"/>
              <w:jc w:val="center"/>
              <w:rPr>
                <w:noProof/>
                <w:sz w:val="18"/>
                <w:szCs w:val="18"/>
              </w:rPr>
            </w:pPr>
            <w:r w:rsidRPr="00C903F8">
              <w:rPr>
                <w:noProof/>
                <w:sz w:val="18"/>
                <w:szCs w:val="18"/>
              </w:rPr>
              <w:t>--</w:t>
            </w:r>
          </w:p>
        </w:tc>
        <w:tc>
          <w:tcPr>
            <w:tcW w:w="992" w:type="dxa"/>
            <w:vAlign w:val="center"/>
          </w:tcPr>
          <w:p w:rsidR="009C13A9" w:rsidRPr="00C903F8" w:rsidRDefault="009C13A9" w:rsidP="009C13A9">
            <w:pPr>
              <w:spacing w:before="60" w:after="60"/>
              <w:ind w:left="0" w:firstLine="0"/>
              <w:rPr>
                <w:noProof/>
                <w:sz w:val="18"/>
                <w:szCs w:val="18"/>
              </w:rPr>
            </w:pPr>
          </w:p>
        </w:tc>
        <w:tc>
          <w:tcPr>
            <w:tcW w:w="1069"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r>
      <w:tr w:rsidR="009C13A9" w:rsidRPr="00C903F8" w:rsidTr="009C13A9">
        <w:tc>
          <w:tcPr>
            <w:tcW w:w="1560" w:type="dxa"/>
          </w:tcPr>
          <w:p w:rsidR="009C13A9" w:rsidRPr="00C903F8" w:rsidRDefault="009C13A9" w:rsidP="009C13A9">
            <w:pPr>
              <w:spacing w:before="60" w:after="60"/>
              <w:ind w:left="0" w:firstLine="0"/>
              <w:rPr>
                <w:noProof/>
                <w:sz w:val="18"/>
                <w:szCs w:val="18"/>
              </w:rPr>
            </w:pPr>
            <w:r w:rsidRPr="00C903F8">
              <w:rPr>
                <w:noProof/>
                <w:sz w:val="18"/>
                <w:szCs w:val="18"/>
              </w:rPr>
              <w:t>Outflow</w:t>
            </w:r>
          </w:p>
        </w:tc>
        <w:tc>
          <w:tcPr>
            <w:tcW w:w="1842" w:type="dxa"/>
            <w:vAlign w:val="center"/>
          </w:tcPr>
          <w:p w:rsidR="009C13A9" w:rsidRPr="00C903F8" w:rsidRDefault="009C13A9" w:rsidP="009C13A9">
            <w:pPr>
              <w:spacing w:before="60" w:after="60"/>
              <w:ind w:left="0" w:firstLine="0"/>
              <w:jc w:val="left"/>
              <w:rPr>
                <w:noProof/>
                <w:sz w:val="18"/>
                <w:szCs w:val="18"/>
              </w:rPr>
            </w:pPr>
            <w:r w:rsidRPr="00C903F8">
              <w:rPr>
                <w:noProof/>
                <w:sz w:val="18"/>
                <w:szCs w:val="18"/>
              </w:rPr>
              <w:t>24h composite samples</w:t>
            </w:r>
          </w:p>
        </w:tc>
        <w:tc>
          <w:tcPr>
            <w:tcW w:w="1058" w:type="dxa"/>
            <w:vAlign w:val="center"/>
          </w:tcPr>
          <w:p w:rsidR="009C13A9" w:rsidRPr="00C903F8" w:rsidRDefault="009C13A9" w:rsidP="009C13A9">
            <w:pPr>
              <w:spacing w:before="60" w:after="60"/>
              <w:ind w:left="0" w:firstLine="0"/>
              <w:rPr>
                <w:noProof/>
                <w:sz w:val="18"/>
                <w:szCs w:val="18"/>
              </w:rPr>
            </w:pPr>
          </w:p>
        </w:tc>
        <w:tc>
          <w:tcPr>
            <w:tcW w:w="992" w:type="dxa"/>
            <w:vAlign w:val="center"/>
          </w:tcPr>
          <w:p w:rsidR="009C13A9" w:rsidRPr="00C903F8" w:rsidRDefault="009C13A9" w:rsidP="009C13A9">
            <w:pPr>
              <w:spacing w:before="60" w:after="60"/>
              <w:ind w:left="0" w:firstLine="0"/>
              <w:rPr>
                <w:noProof/>
                <w:sz w:val="18"/>
                <w:szCs w:val="18"/>
              </w:rPr>
            </w:pPr>
          </w:p>
        </w:tc>
        <w:tc>
          <w:tcPr>
            <w:tcW w:w="1069"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r>
      <w:tr w:rsidR="009C13A9" w:rsidRPr="00C903F8" w:rsidTr="009C13A9">
        <w:tc>
          <w:tcPr>
            <w:tcW w:w="1560" w:type="dxa"/>
            <w:vAlign w:val="center"/>
          </w:tcPr>
          <w:p w:rsidR="009C13A9" w:rsidRPr="00C903F8" w:rsidRDefault="009C13A9" w:rsidP="009C13A9">
            <w:pPr>
              <w:spacing w:before="60" w:after="60"/>
              <w:ind w:left="0" w:firstLine="0"/>
              <w:rPr>
                <w:noProof/>
                <w:sz w:val="18"/>
                <w:szCs w:val="18"/>
              </w:rPr>
            </w:pPr>
            <w:r w:rsidRPr="00C903F8">
              <w:rPr>
                <w:noProof/>
                <w:sz w:val="18"/>
                <w:szCs w:val="18"/>
              </w:rPr>
              <w:t>Inflow</w:t>
            </w:r>
          </w:p>
        </w:tc>
        <w:tc>
          <w:tcPr>
            <w:tcW w:w="1842" w:type="dxa"/>
            <w:vAlign w:val="center"/>
          </w:tcPr>
          <w:p w:rsidR="009C13A9" w:rsidRPr="00C903F8" w:rsidRDefault="009C13A9" w:rsidP="009C13A9">
            <w:pPr>
              <w:spacing w:before="60" w:after="60"/>
              <w:ind w:left="0" w:firstLine="0"/>
              <w:rPr>
                <w:noProof/>
                <w:sz w:val="18"/>
                <w:szCs w:val="18"/>
              </w:rPr>
            </w:pPr>
            <w:r w:rsidRPr="00C903F8">
              <w:rPr>
                <w:noProof/>
                <w:sz w:val="18"/>
                <w:szCs w:val="18"/>
              </w:rPr>
              <w:t>Random samples</w:t>
            </w:r>
          </w:p>
        </w:tc>
        <w:tc>
          <w:tcPr>
            <w:tcW w:w="1058" w:type="dxa"/>
            <w:vAlign w:val="center"/>
          </w:tcPr>
          <w:p w:rsidR="009C13A9" w:rsidRPr="00C903F8" w:rsidRDefault="009C13A9" w:rsidP="009C13A9">
            <w:pPr>
              <w:spacing w:before="60" w:after="60"/>
              <w:ind w:left="0" w:firstLine="0"/>
              <w:jc w:val="center"/>
              <w:rPr>
                <w:noProof/>
                <w:sz w:val="18"/>
                <w:szCs w:val="18"/>
              </w:rPr>
            </w:pPr>
            <w:r w:rsidRPr="00C903F8">
              <w:rPr>
                <w:noProof/>
                <w:sz w:val="18"/>
                <w:szCs w:val="18"/>
              </w:rPr>
              <w:t>--</w:t>
            </w:r>
          </w:p>
        </w:tc>
        <w:tc>
          <w:tcPr>
            <w:tcW w:w="992" w:type="dxa"/>
            <w:vAlign w:val="center"/>
          </w:tcPr>
          <w:p w:rsidR="009C13A9" w:rsidRPr="00C903F8" w:rsidRDefault="009C13A9" w:rsidP="009C13A9">
            <w:pPr>
              <w:spacing w:before="60" w:after="60"/>
              <w:ind w:left="0" w:firstLine="0"/>
              <w:rPr>
                <w:noProof/>
                <w:sz w:val="18"/>
                <w:szCs w:val="18"/>
              </w:rPr>
            </w:pPr>
          </w:p>
        </w:tc>
        <w:tc>
          <w:tcPr>
            <w:tcW w:w="1069"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r>
      <w:tr w:rsidR="009C13A9" w:rsidRPr="00C903F8" w:rsidTr="009C13A9">
        <w:tc>
          <w:tcPr>
            <w:tcW w:w="1560" w:type="dxa"/>
          </w:tcPr>
          <w:p w:rsidR="009C13A9" w:rsidRPr="00C903F8" w:rsidRDefault="009C13A9" w:rsidP="009C13A9">
            <w:pPr>
              <w:spacing w:before="60" w:after="60"/>
              <w:ind w:left="0" w:firstLine="0"/>
              <w:rPr>
                <w:noProof/>
                <w:sz w:val="18"/>
                <w:szCs w:val="18"/>
              </w:rPr>
            </w:pPr>
            <w:r w:rsidRPr="00C903F8">
              <w:rPr>
                <w:noProof/>
                <w:sz w:val="18"/>
                <w:szCs w:val="18"/>
              </w:rPr>
              <w:t>Outflow</w:t>
            </w:r>
          </w:p>
        </w:tc>
        <w:tc>
          <w:tcPr>
            <w:tcW w:w="1842" w:type="dxa"/>
            <w:vAlign w:val="center"/>
          </w:tcPr>
          <w:p w:rsidR="009C13A9" w:rsidRPr="00C903F8" w:rsidRDefault="009C13A9" w:rsidP="009C13A9">
            <w:pPr>
              <w:spacing w:before="60" w:after="60"/>
              <w:ind w:left="0" w:firstLine="0"/>
              <w:rPr>
                <w:noProof/>
                <w:sz w:val="18"/>
                <w:szCs w:val="18"/>
              </w:rPr>
            </w:pPr>
            <w:r w:rsidRPr="00C903F8">
              <w:rPr>
                <w:noProof/>
                <w:sz w:val="18"/>
                <w:szCs w:val="18"/>
              </w:rPr>
              <w:t>Random samples</w:t>
            </w:r>
          </w:p>
        </w:tc>
        <w:tc>
          <w:tcPr>
            <w:tcW w:w="1058" w:type="dxa"/>
            <w:vAlign w:val="center"/>
          </w:tcPr>
          <w:p w:rsidR="009C13A9" w:rsidRPr="00C903F8" w:rsidRDefault="009C13A9" w:rsidP="009C13A9">
            <w:pPr>
              <w:spacing w:before="60" w:after="60"/>
              <w:ind w:left="0" w:firstLine="0"/>
              <w:rPr>
                <w:noProof/>
                <w:sz w:val="18"/>
                <w:szCs w:val="18"/>
              </w:rPr>
            </w:pPr>
          </w:p>
        </w:tc>
        <w:tc>
          <w:tcPr>
            <w:tcW w:w="992" w:type="dxa"/>
            <w:vAlign w:val="center"/>
          </w:tcPr>
          <w:p w:rsidR="009C13A9" w:rsidRPr="00C903F8" w:rsidRDefault="009C13A9" w:rsidP="009C13A9">
            <w:pPr>
              <w:spacing w:before="60" w:after="60"/>
              <w:ind w:left="0" w:firstLine="0"/>
              <w:rPr>
                <w:noProof/>
                <w:sz w:val="18"/>
                <w:szCs w:val="18"/>
              </w:rPr>
            </w:pPr>
          </w:p>
        </w:tc>
        <w:tc>
          <w:tcPr>
            <w:tcW w:w="1069"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c>
          <w:tcPr>
            <w:tcW w:w="1134" w:type="dxa"/>
            <w:vAlign w:val="center"/>
          </w:tcPr>
          <w:p w:rsidR="009C13A9" w:rsidRPr="00C903F8" w:rsidRDefault="009C13A9" w:rsidP="009C13A9">
            <w:pPr>
              <w:spacing w:before="60" w:after="60"/>
              <w:ind w:left="0" w:firstLine="0"/>
              <w:rPr>
                <w:noProof/>
                <w:sz w:val="18"/>
                <w:szCs w:val="18"/>
              </w:rPr>
            </w:pPr>
          </w:p>
        </w:tc>
      </w:tr>
    </w:tbl>
    <w:p w:rsidR="009C13A9" w:rsidRPr="00C903F8" w:rsidRDefault="009C13A9" w:rsidP="009C13A9">
      <w:pPr>
        <w:spacing w:line="240" w:lineRule="atLeast"/>
        <w:rPr>
          <w:rFonts w:cs="Arial"/>
          <w:noProof/>
          <w:color w:val="000000"/>
          <w:lang w:val="nl-NL"/>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 xml:space="preserve">Evaluation of outflow values </w:t>
      </w:r>
      <w:r w:rsidRPr="00C903F8">
        <w:rPr>
          <w:rFonts w:cs="Arial"/>
          <w:b/>
          <w:noProof/>
          <w:color w:val="000000"/>
          <w:lang w:val="en-US"/>
        </w:rPr>
        <w:t xml:space="preserve">SRF </w:t>
      </w:r>
      <w:r w:rsidRPr="00C903F8">
        <w:rPr>
          <w:rFonts w:cs="Arial"/>
          <w:noProof/>
          <w:color w:val="000000"/>
          <w:lang w:val="en-US"/>
        </w:rPr>
        <w:t>(mg/l)</w:t>
      </w:r>
    </w:p>
    <w:p w:rsidR="009C13A9" w:rsidRPr="00C903F8" w:rsidRDefault="009C13A9" w:rsidP="009C13A9">
      <w:pPr>
        <w:spacing w:line="240" w:lineRule="atLeast"/>
        <w:rPr>
          <w:rFonts w:cs="Arial"/>
          <w:noProof/>
          <w:color w:val="00000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1058"/>
        <w:gridCol w:w="992"/>
        <w:gridCol w:w="1069"/>
        <w:gridCol w:w="1134"/>
        <w:gridCol w:w="1134"/>
      </w:tblGrid>
      <w:tr w:rsidR="009C13A9" w:rsidRPr="00C903F8" w:rsidTr="009C13A9">
        <w:tc>
          <w:tcPr>
            <w:tcW w:w="1560" w:type="dxa"/>
            <w:vMerge w:val="restart"/>
          </w:tcPr>
          <w:p w:rsidR="009C13A9" w:rsidRPr="00C903F8" w:rsidRDefault="00390107" w:rsidP="009C13A9">
            <w:pPr>
              <w:spacing w:before="60" w:after="60"/>
              <w:ind w:left="0" w:firstLine="0"/>
              <w:rPr>
                <w:noProof/>
                <w:sz w:val="18"/>
              </w:rPr>
            </w:pPr>
            <w:r w:rsidRPr="00C903F8">
              <w:rPr>
                <w:noProof/>
                <w:sz w:val="18"/>
                <w:szCs w:val="22"/>
              </w:rPr>
              <w:t>Location</w:t>
            </w:r>
          </w:p>
        </w:tc>
        <w:tc>
          <w:tcPr>
            <w:tcW w:w="1842" w:type="dxa"/>
            <w:vMerge w:val="restart"/>
          </w:tcPr>
          <w:p w:rsidR="009C13A9" w:rsidRPr="00C903F8" w:rsidRDefault="009C13A9" w:rsidP="009C13A9">
            <w:pPr>
              <w:spacing w:before="60" w:after="60"/>
              <w:ind w:left="0" w:firstLine="0"/>
              <w:jc w:val="center"/>
              <w:rPr>
                <w:noProof/>
                <w:sz w:val="18"/>
              </w:rPr>
            </w:pPr>
            <w:r w:rsidRPr="00C903F8">
              <w:rPr>
                <w:noProof/>
                <w:sz w:val="18"/>
                <w:szCs w:val="22"/>
              </w:rPr>
              <w:t>Sample type</w:t>
            </w:r>
          </w:p>
        </w:tc>
        <w:tc>
          <w:tcPr>
            <w:tcW w:w="1058" w:type="dxa"/>
            <w:vMerge w:val="restart"/>
          </w:tcPr>
          <w:p w:rsidR="009C13A9" w:rsidRPr="00C903F8" w:rsidRDefault="009C13A9" w:rsidP="009C13A9">
            <w:pPr>
              <w:spacing w:before="60" w:after="60"/>
              <w:ind w:left="0" w:firstLine="0"/>
              <w:jc w:val="center"/>
              <w:rPr>
                <w:noProof/>
                <w:sz w:val="18"/>
                <w:lang w:val="en-US"/>
              </w:rPr>
            </w:pPr>
            <w:r w:rsidRPr="00C903F8">
              <w:rPr>
                <w:noProof/>
                <w:sz w:val="18"/>
                <w:szCs w:val="22"/>
                <w:lang w:val="en-US"/>
              </w:rPr>
              <w:t>Number of tests that meet the limit-values</w:t>
            </w:r>
          </w:p>
        </w:tc>
        <w:tc>
          <w:tcPr>
            <w:tcW w:w="992" w:type="dxa"/>
            <w:vMerge w:val="restart"/>
          </w:tcPr>
          <w:p w:rsidR="009C13A9" w:rsidRPr="00C903F8" w:rsidRDefault="009C13A9" w:rsidP="009C13A9">
            <w:pPr>
              <w:spacing w:before="60" w:after="60"/>
              <w:ind w:left="0" w:firstLine="0"/>
              <w:jc w:val="center"/>
              <w:rPr>
                <w:noProof/>
                <w:sz w:val="18"/>
              </w:rPr>
            </w:pPr>
            <w:r w:rsidRPr="00C903F8">
              <w:rPr>
                <w:noProof/>
                <w:sz w:val="18"/>
                <w:szCs w:val="22"/>
              </w:rPr>
              <w:t>Min</w:t>
            </w:r>
          </w:p>
        </w:tc>
        <w:tc>
          <w:tcPr>
            <w:tcW w:w="2203" w:type="dxa"/>
            <w:gridSpan w:val="2"/>
          </w:tcPr>
          <w:p w:rsidR="009C13A9" w:rsidRPr="00C903F8" w:rsidRDefault="009C13A9" w:rsidP="009C13A9">
            <w:pPr>
              <w:spacing w:before="60" w:after="60"/>
              <w:ind w:left="0" w:firstLine="0"/>
              <w:jc w:val="center"/>
              <w:rPr>
                <w:noProof/>
                <w:sz w:val="18"/>
              </w:rPr>
            </w:pPr>
            <w:r w:rsidRPr="00C903F8">
              <w:rPr>
                <w:noProof/>
                <w:sz w:val="18"/>
                <w:szCs w:val="22"/>
              </w:rPr>
              <w:t>Max</w:t>
            </w:r>
          </w:p>
        </w:tc>
        <w:tc>
          <w:tcPr>
            <w:tcW w:w="1134" w:type="dxa"/>
            <w:vMerge w:val="restart"/>
          </w:tcPr>
          <w:p w:rsidR="009C13A9" w:rsidRPr="00C903F8" w:rsidRDefault="009C13A9" w:rsidP="009C13A9">
            <w:pPr>
              <w:spacing w:before="60" w:after="60"/>
              <w:ind w:left="0" w:firstLine="0"/>
              <w:jc w:val="center"/>
              <w:rPr>
                <w:noProof/>
                <w:sz w:val="18"/>
              </w:rPr>
            </w:pPr>
            <w:r w:rsidRPr="00C903F8">
              <w:rPr>
                <w:noProof/>
                <w:sz w:val="18"/>
                <w:szCs w:val="22"/>
              </w:rPr>
              <w:t>Mean</w:t>
            </w:r>
          </w:p>
        </w:tc>
      </w:tr>
      <w:tr w:rsidR="009C13A9" w:rsidRPr="00C903F8" w:rsidTr="009C13A9">
        <w:tc>
          <w:tcPr>
            <w:tcW w:w="1560" w:type="dxa"/>
            <w:vMerge/>
          </w:tcPr>
          <w:p w:rsidR="009C13A9" w:rsidRPr="00C903F8" w:rsidRDefault="009C13A9" w:rsidP="009C13A9">
            <w:pPr>
              <w:spacing w:before="60" w:after="60"/>
              <w:ind w:left="0" w:firstLine="0"/>
              <w:rPr>
                <w:noProof/>
                <w:sz w:val="18"/>
              </w:rPr>
            </w:pPr>
          </w:p>
        </w:tc>
        <w:tc>
          <w:tcPr>
            <w:tcW w:w="1842" w:type="dxa"/>
            <w:vMerge/>
          </w:tcPr>
          <w:p w:rsidR="009C13A9" w:rsidRPr="00C903F8" w:rsidRDefault="009C13A9" w:rsidP="009C13A9">
            <w:pPr>
              <w:spacing w:before="60" w:after="60"/>
              <w:ind w:left="0" w:firstLine="0"/>
              <w:rPr>
                <w:noProof/>
                <w:sz w:val="18"/>
              </w:rPr>
            </w:pPr>
          </w:p>
        </w:tc>
        <w:tc>
          <w:tcPr>
            <w:tcW w:w="1058" w:type="dxa"/>
            <w:vMerge/>
          </w:tcPr>
          <w:p w:rsidR="009C13A9" w:rsidRPr="00C903F8" w:rsidRDefault="009C13A9" w:rsidP="009C13A9">
            <w:pPr>
              <w:spacing w:before="60" w:after="60"/>
              <w:ind w:left="0" w:firstLine="0"/>
              <w:rPr>
                <w:noProof/>
                <w:sz w:val="18"/>
              </w:rPr>
            </w:pPr>
          </w:p>
        </w:tc>
        <w:tc>
          <w:tcPr>
            <w:tcW w:w="992" w:type="dxa"/>
            <w:vMerge/>
          </w:tcPr>
          <w:p w:rsidR="009C13A9" w:rsidRPr="00C903F8" w:rsidRDefault="009C13A9" w:rsidP="009C13A9">
            <w:pPr>
              <w:spacing w:before="60" w:after="60"/>
              <w:ind w:left="0" w:firstLine="0"/>
              <w:rPr>
                <w:noProof/>
                <w:sz w:val="18"/>
              </w:rPr>
            </w:pPr>
          </w:p>
        </w:tc>
        <w:tc>
          <w:tcPr>
            <w:tcW w:w="1069" w:type="dxa"/>
          </w:tcPr>
          <w:p w:rsidR="009C13A9" w:rsidRPr="00C903F8" w:rsidRDefault="009C13A9" w:rsidP="009C13A9">
            <w:pPr>
              <w:spacing w:before="60" w:after="60"/>
              <w:ind w:left="0" w:firstLine="0"/>
              <w:jc w:val="center"/>
              <w:rPr>
                <w:noProof/>
                <w:sz w:val="18"/>
              </w:rPr>
            </w:pPr>
            <w:r w:rsidRPr="00C903F8">
              <w:rPr>
                <w:noProof/>
                <w:sz w:val="18"/>
                <w:szCs w:val="22"/>
              </w:rPr>
              <w:t>Value</w:t>
            </w:r>
          </w:p>
        </w:tc>
        <w:tc>
          <w:tcPr>
            <w:tcW w:w="1134" w:type="dxa"/>
          </w:tcPr>
          <w:p w:rsidR="009C13A9" w:rsidRPr="00C903F8" w:rsidRDefault="009C13A9" w:rsidP="009C13A9">
            <w:pPr>
              <w:spacing w:before="60" w:after="60"/>
              <w:ind w:left="0" w:firstLine="0"/>
              <w:jc w:val="center"/>
              <w:rPr>
                <w:noProof/>
                <w:sz w:val="18"/>
              </w:rPr>
            </w:pPr>
            <w:r w:rsidRPr="00C903F8">
              <w:rPr>
                <w:noProof/>
                <w:sz w:val="18"/>
                <w:szCs w:val="22"/>
              </w:rPr>
              <w:t>Phase</w:t>
            </w:r>
          </w:p>
        </w:tc>
        <w:tc>
          <w:tcPr>
            <w:tcW w:w="1134" w:type="dxa"/>
            <w:vMerge/>
          </w:tcPr>
          <w:p w:rsidR="009C13A9" w:rsidRPr="00C903F8" w:rsidRDefault="009C13A9" w:rsidP="009C13A9">
            <w:pPr>
              <w:spacing w:before="60" w:after="60"/>
              <w:ind w:left="0" w:firstLine="0"/>
              <w:rPr>
                <w:noProof/>
                <w:sz w:val="18"/>
              </w:rPr>
            </w:pPr>
          </w:p>
        </w:tc>
      </w:tr>
      <w:tr w:rsidR="009C13A9" w:rsidRPr="00C903F8" w:rsidTr="009C13A9">
        <w:tc>
          <w:tcPr>
            <w:tcW w:w="1560" w:type="dxa"/>
            <w:vAlign w:val="center"/>
          </w:tcPr>
          <w:p w:rsidR="009C13A9" w:rsidRPr="00C903F8" w:rsidRDefault="009C13A9" w:rsidP="009C13A9">
            <w:pPr>
              <w:spacing w:before="60" w:after="60"/>
              <w:ind w:left="0" w:firstLine="0"/>
              <w:rPr>
                <w:noProof/>
                <w:sz w:val="18"/>
              </w:rPr>
            </w:pPr>
            <w:r w:rsidRPr="00C903F8">
              <w:rPr>
                <w:noProof/>
                <w:sz w:val="18"/>
                <w:szCs w:val="22"/>
              </w:rPr>
              <w:t>Inflow</w:t>
            </w:r>
          </w:p>
        </w:tc>
        <w:tc>
          <w:tcPr>
            <w:tcW w:w="1842" w:type="dxa"/>
            <w:vAlign w:val="center"/>
          </w:tcPr>
          <w:p w:rsidR="009C13A9" w:rsidRPr="00C903F8" w:rsidRDefault="009C13A9" w:rsidP="009C13A9">
            <w:pPr>
              <w:spacing w:before="60" w:after="60"/>
              <w:ind w:left="0" w:firstLine="0"/>
              <w:jc w:val="left"/>
              <w:rPr>
                <w:noProof/>
                <w:sz w:val="18"/>
                <w:szCs w:val="22"/>
              </w:rPr>
            </w:pPr>
            <w:r w:rsidRPr="00C903F8">
              <w:rPr>
                <w:noProof/>
                <w:sz w:val="18"/>
                <w:szCs w:val="22"/>
              </w:rPr>
              <w:t>24h composite samples</w:t>
            </w:r>
          </w:p>
        </w:tc>
        <w:tc>
          <w:tcPr>
            <w:tcW w:w="1058" w:type="dxa"/>
            <w:vAlign w:val="center"/>
          </w:tcPr>
          <w:p w:rsidR="009C13A9" w:rsidRPr="00C903F8" w:rsidRDefault="009C13A9" w:rsidP="009C13A9">
            <w:pPr>
              <w:spacing w:before="60" w:after="60"/>
              <w:ind w:left="0" w:firstLine="0"/>
              <w:jc w:val="center"/>
              <w:rPr>
                <w:noProof/>
                <w:sz w:val="18"/>
              </w:rPr>
            </w:pPr>
            <w:r w:rsidRPr="00C903F8">
              <w:rPr>
                <w:noProof/>
                <w:sz w:val="18"/>
              </w:rPr>
              <w:t>--</w:t>
            </w:r>
          </w:p>
        </w:tc>
        <w:tc>
          <w:tcPr>
            <w:tcW w:w="992" w:type="dxa"/>
            <w:vAlign w:val="center"/>
          </w:tcPr>
          <w:p w:rsidR="009C13A9" w:rsidRPr="00C903F8" w:rsidRDefault="009C13A9" w:rsidP="009C13A9">
            <w:pPr>
              <w:spacing w:before="60" w:after="60"/>
              <w:ind w:left="0" w:firstLine="0"/>
              <w:rPr>
                <w:noProof/>
                <w:sz w:val="18"/>
              </w:rPr>
            </w:pPr>
          </w:p>
        </w:tc>
        <w:tc>
          <w:tcPr>
            <w:tcW w:w="1069" w:type="dxa"/>
            <w:vAlign w:val="center"/>
          </w:tcPr>
          <w:p w:rsidR="009C13A9" w:rsidRPr="00C903F8" w:rsidRDefault="009C13A9" w:rsidP="009C13A9">
            <w:pPr>
              <w:spacing w:before="60" w:after="60"/>
              <w:ind w:left="0" w:firstLine="0"/>
              <w:rPr>
                <w:noProof/>
                <w:sz w:val="18"/>
              </w:rPr>
            </w:pPr>
          </w:p>
        </w:tc>
        <w:tc>
          <w:tcPr>
            <w:tcW w:w="1134" w:type="dxa"/>
            <w:vAlign w:val="center"/>
          </w:tcPr>
          <w:p w:rsidR="009C13A9" w:rsidRPr="00C903F8" w:rsidRDefault="009C13A9" w:rsidP="009C13A9">
            <w:pPr>
              <w:spacing w:before="60" w:after="60"/>
              <w:ind w:left="0" w:firstLine="0"/>
              <w:rPr>
                <w:noProof/>
                <w:sz w:val="18"/>
              </w:rPr>
            </w:pPr>
          </w:p>
        </w:tc>
        <w:tc>
          <w:tcPr>
            <w:tcW w:w="1134" w:type="dxa"/>
            <w:vAlign w:val="center"/>
          </w:tcPr>
          <w:p w:rsidR="009C13A9" w:rsidRPr="00C903F8" w:rsidRDefault="009C13A9" w:rsidP="009C13A9">
            <w:pPr>
              <w:spacing w:before="60" w:after="60"/>
              <w:ind w:left="0" w:firstLine="0"/>
              <w:rPr>
                <w:noProof/>
                <w:sz w:val="18"/>
              </w:rPr>
            </w:pPr>
          </w:p>
        </w:tc>
      </w:tr>
      <w:tr w:rsidR="009C13A9" w:rsidRPr="00C903F8" w:rsidTr="009C13A9">
        <w:tc>
          <w:tcPr>
            <w:tcW w:w="1560" w:type="dxa"/>
          </w:tcPr>
          <w:p w:rsidR="009C13A9" w:rsidRPr="00C903F8" w:rsidRDefault="009C13A9" w:rsidP="009C13A9">
            <w:pPr>
              <w:spacing w:before="60" w:after="60"/>
              <w:ind w:left="0" w:firstLine="0"/>
              <w:rPr>
                <w:noProof/>
                <w:sz w:val="18"/>
              </w:rPr>
            </w:pPr>
            <w:r w:rsidRPr="00C903F8">
              <w:rPr>
                <w:noProof/>
                <w:sz w:val="18"/>
                <w:szCs w:val="22"/>
              </w:rPr>
              <w:t>Outflow</w:t>
            </w:r>
          </w:p>
        </w:tc>
        <w:tc>
          <w:tcPr>
            <w:tcW w:w="1842" w:type="dxa"/>
            <w:vAlign w:val="center"/>
          </w:tcPr>
          <w:p w:rsidR="009C13A9" w:rsidRPr="00C903F8" w:rsidRDefault="009C13A9" w:rsidP="009C13A9">
            <w:pPr>
              <w:spacing w:before="60" w:after="60"/>
              <w:ind w:left="0" w:firstLine="0"/>
              <w:jc w:val="left"/>
              <w:rPr>
                <w:noProof/>
                <w:sz w:val="18"/>
                <w:szCs w:val="22"/>
              </w:rPr>
            </w:pPr>
            <w:r w:rsidRPr="00C903F8">
              <w:rPr>
                <w:noProof/>
                <w:sz w:val="18"/>
                <w:szCs w:val="22"/>
              </w:rPr>
              <w:t>24h composite samples</w:t>
            </w:r>
          </w:p>
        </w:tc>
        <w:tc>
          <w:tcPr>
            <w:tcW w:w="1058" w:type="dxa"/>
            <w:vAlign w:val="center"/>
          </w:tcPr>
          <w:p w:rsidR="009C13A9" w:rsidRPr="00C903F8" w:rsidRDefault="009C13A9" w:rsidP="009C13A9">
            <w:pPr>
              <w:spacing w:before="60" w:after="60"/>
              <w:ind w:left="0" w:firstLine="0"/>
              <w:rPr>
                <w:noProof/>
                <w:sz w:val="18"/>
              </w:rPr>
            </w:pPr>
          </w:p>
        </w:tc>
        <w:tc>
          <w:tcPr>
            <w:tcW w:w="992" w:type="dxa"/>
            <w:vAlign w:val="center"/>
          </w:tcPr>
          <w:p w:rsidR="009C13A9" w:rsidRPr="00C903F8" w:rsidRDefault="009C13A9" w:rsidP="009C13A9">
            <w:pPr>
              <w:spacing w:before="60" w:after="60"/>
              <w:ind w:left="0" w:firstLine="0"/>
              <w:rPr>
                <w:noProof/>
                <w:sz w:val="18"/>
              </w:rPr>
            </w:pPr>
          </w:p>
        </w:tc>
        <w:tc>
          <w:tcPr>
            <w:tcW w:w="1069" w:type="dxa"/>
            <w:vAlign w:val="center"/>
          </w:tcPr>
          <w:p w:rsidR="009C13A9" w:rsidRPr="00C903F8" w:rsidRDefault="009C13A9" w:rsidP="009C13A9">
            <w:pPr>
              <w:spacing w:before="60" w:after="60"/>
              <w:ind w:left="0" w:firstLine="0"/>
              <w:rPr>
                <w:noProof/>
                <w:sz w:val="18"/>
              </w:rPr>
            </w:pPr>
          </w:p>
        </w:tc>
        <w:tc>
          <w:tcPr>
            <w:tcW w:w="1134" w:type="dxa"/>
            <w:vAlign w:val="center"/>
          </w:tcPr>
          <w:p w:rsidR="009C13A9" w:rsidRPr="00C903F8" w:rsidRDefault="009C13A9" w:rsidP="009C13A9">
            <w:pPr>
              <w:spacing w:before="60" w:after="60"/>
              <w:ind w:left="0" w:firstLine="0"/>
              <w:rPr>
                <w:noProof/>
                <w:sz w:val="18"/>
              </w:rPr>
            </w:pPr>
          </w:p>
        </w:tc>
        <w:tc>
          <w:tcPr>
            <w:tcW w:w="1134" w:type="dxa"/>
            <w:vAlign w:val="center"/>
          </w:tcPr>
          <w:p w:rsidR="009C13A9" w:rsidRPr="00C903F8" w:rsidRDefault="009C13A9" w:rsidP="009C13A9">
            <w:pPr>
              <w:spacing w:before="60" w:after="60"/>
              <w:ind w:left="0" w:firstLine="0"/>
              <w:rPr>
                <w:noProof/>
                <w:sz w:val="18"/>
              </w:rPr>
            </w:pPr>
          </w:p>
        </w:tc>
      </w:tr>
      <w:tr w:rsidR="009C13A9" w:rsidRPr="00C903F8" w:rsidTr="009C13A9">
        <w:tc>
          <w:tcPr>
            <w:tcW w:w="1560" w:type="dxa"/>
            <w:vAlign w:val="center"/>
          </w:tcPr>
          <w:p w:rsidR="009C13A9" w:rsidRPr="00C903F8" w:rsidRDefault="009C13A9" w:rsidP="009C13A9">
            <w:pPr>
              <w:spacing w:before="60" w:after="60"/>
              <w:ind w:left="0" w:firstLine="0"/>
              <w:rPr>
                <w:noProof/>
                <w:sz w:val="18"/>
              </w:rPr>
            </w:pPr>
            <w:r w:rsidRPr="00C903F8">
              <w:rPr>
                <w:noProof/>
                <w:sz w:val="18"/>
                <w:szCs w:val="22"/>
              </w:rPr>
              <w:t>Inflow</w:t>
            </w:r>
          </w:p>
        </w:tc>
        <w:tc>
          <w:tcPr>
            <w:tcW w:w="1842" w:type="dxa"/>
            <w:vAlign w:val="center"/>
          </w:tcPr>
          <w:p w:rsidR="009C13A9" w:rsidRPr="00C903F8" w:rsidRDefault="009C13A9" w:rsidP="009C13A9">
            <w:pPr>
              <w:spacing w:before="60" w:after="60"/>
              <w:ind w:left="0" w:firstLine="0"/>
              <w:rPr>
                <w:noProof/>
                <w:sz w:val="18"/>
                <w:szCs w:val="22"/>
              </w:rPr>
            </w:pPr>
            <w:r w:rsidRPr="00C903F8">
              <w:rPr>
                <w:noProof/>
                <w:sz w:val="18"/>
                <w:szCs w:val="22"/>
              </w:rPr>
              <w:t>Random samples</w:t>
            </w:r>
          </w:p>
        </w:tc>
        <w:tc>
          <w:tcPr>
            <w:tcW w:w="1058" w:type="dxa"/>
            <w:vAlign w:val="center"/>
          </w:tcPr>
          <w:p w:rsidR="009C13A9" w:rsidRPr="00C903F8" w:rsidRDefault="009C13A9" w:rsidP="009C13A9">
            <w:pPr>
              <w:spacing w:before="60" w:after="60"/>
              <w:ind w:left="0" w:firstLine="0"/>
              <w:jc w:val="center"/>
              <w:rPr>
                <w:noProof/>
                <w:sz w:val="18"/>
              </w:rPr>
            </w:pPr>
            <w:r w:rsidRPr="00C903F8">
              <w:rPr>
                <w:noProof/>
                <w:sz w:val="18"/>
              </w:rPr>
              <w:t>--</w:t>
            </w:r>
          </w:p>
        </w:tc>
        <w:tc>
          <w:tcPr>
            <w:tcW w:w="992" w:type="dxa"/>
            <w:vAlign w:val="center"/>
          </w:tcPr>
          <w:p w:rsidR="009C13A9" w:rsidRPr="00C903F8" w:rsidRDefault="009C13A9" w:rsidP="009C13A9">
            <w:pPr>
              <w:spacing w:before="60" w:after="60"/>
              <w:ind w:left="0" w:firstLine="0"/>
              <w:rPr>
                <w:noProof/>
                <w:sz w:val="18"/>
              </w:rPr>
            </w:pPr>
          </w:p>
        </w:tc>
        <w:tc>
          <w:tcPr>
            <w:tcW w:w="1069" w:type="dxa"/>
            <w:vAlign w:val="center"/>
          </w:tcPr>
          <w:p w:rsidR="009C13A9" w:rsidRPr="00C903F8" w:rsidRDefault="009C13A9" w:rsidP="009C13A9">
            <w:pPr>
              <w:spacing w:before="60" w:after="60"/>
              <w:ind w:left="0" w:firstLine="0"/>
              <w:rPr>
                <w:noProof/>
                <w:sz w:val="18"/>
              </w:rPr>
            </w:pPr>
          </w:p>
        </w:tc>
        <w:tc>
          <w:tcPr>
            <w:tcW w:w="1134" w:type="dxa"/>
            <w:vAlign w:val="center"/>
          </w:tcPr>
          <w:p w:rsidR="009C13A9" w:rsidRPr="00C903F8" w:rsidRDefault="009C13A9" w:rsidP="009C13A9">
            <w:pPr>
              <w:spacing w:before="60" w:after="60"/>
              <w:ind w:left="0" w:firstLine="0"/>
              <w:rPr>
                <w:noProof/>
                <w:sz w:val="18"/>
              </w:rPr>
            </w:pPr>
          </w:p>
        </w:tc>
        <w:tc>
          <w:tcPr>
            <w:tcW w:w="1134" w:type="dxa"/>
            <w:vAlign w:val="center"/>
          </w:tcPr>
          <w:p w:rsidR="009C13A9" w:rsidRPr="00C903F8" w:rsidRDefault="009C13A9" w:rsidP="009C13A9">
            <w:pPr>
              <w:spacing w:before="60" w:after="60"/>
              <w:ind w:left="0" w:firstLine="0"/>
              <w:rPr>
                <w:noProof/>
                <w:sz w:val="18"/>
              </w:rPr>
            </w:pPr>
          </w:p>
        </w:tc>
      </w:tr>
      <w:tr w:rsidR="009C13A9" w:rsidRPr="00C903F8" w:rsidTr="009C13A9">
        <w:tc>
          <w:tcPr>
            <w:tcW w:w="1560" w:type="dxa"/>
          </w:tcPr>
          <w:p w:rsidR="009C13A9" w:rsidRPr="00C903F8" w:rsidRDefault="009C13A9" w:rsidP="009C13A9">
            <w:pPr>
              <w:spacing w:before="60" w:after="60"/>
              <w:ind w:left="0" w:firstLine="0"/>
              <w:rPr>
                <w:noProof/>
                <w:sz w:val="18"/>
              </w:rPr>
            </w:pPr>
            <w:r w:rsidRPr="00C903F8">
              <w:rPr>
                <w:noProof/>
                <w:sz w:val="18"/>
                <w:szCs w:val="22"/>
              </w:rPr>
              <w:t>Outflow</w:t>
            </w:r>
          </w:p>
        </w:tc>
        <w:tc>
          <w:tcPr>
            <w:tcW w:w="1842" w:type="dxa"/>
            <w:vAlign w:val="center"/>
          </w:tcPr>
          <w:p w:rsidR="009C13A9" w:rsidRPr="00C903F8" w:rsidRDefault="009C13A9" w:rsidP="009C13A9">
            <w:pPr>
              <w:spacing w:before="60" w:after="60"/>
              <w:ind w:left="0" w:firstLine="0"/>
              <w:rPr>
                <w:noProof/>
                <w:sz w:val="18"/>
                <w:szCs w:val="22"/>
              </w:rPr>
            </w:pPr>
            <w:r w:rsidRPr="00C903F8">
              <w:rPr>
                <w:noProof/>
                <w:sz w:val="18"/>
                <w:szCs w:val="22"/>
              </w:rPr>
              <w:t>Random samples</w:t>
            </w:r>
          </w:p>
        </w:tc>
        <w:tc>
          <w:tcPr>
            <w:tcW w:w="1058" w:type="dxa"/>
            <w:vAlign w:val="center"/>
          </w:tcPr>
          <w:p w:rsidR="009C13A9" w:rsidRPr="00C903F8" w:rsidRDefault="009C13A9" w:rsidP="009C13A9">
            <w:pPr>
              <w:spacing w:before="60" w:after="60"/>
              <w:ind w:left="0" w:firstLine="0"/>
              <w:rPr>
                <w:noProof/>
                <w:sz w:val="18"/>
              </w:rPr>
            </w:pPr>
          </w:p>
        </w:tc>
        <w:tc>
          <w:tcPr>
            <w:tcW w:w="992" w:type="dxa"/>
            <w:vAlign w:val="center"/>
          </w:tcPr>
          <w:p w:rsidR="009C13A9" w:rsidRPr="00C903F8" w:rsidRDefault="009C13A9" w:rsidP="009C13A9">
            <w:pPr>
              <w:spacing w:before="60" w:after="60"/>
              <w:ind w:left="0" w:firstLine="0"/>
              <w:rPr>
                <w:noProof/>
                <w:sz w:val="18"/>
              </w:rPr>
            </w:pPr>
          </w:p>
        </w:tc>
        <w:tc>
          <w:tcPr>
            <w:tcW w:w="1069" w:type="dxa"/>
            <w:vAlign w:val="center"/>
          </w:tcPr>
          <w:p w:rsidR="009C13A9" w:rsidRPr="00C903F8" w:rsidRDefault="009C13A9" w:rsidP="009C13A9">
            <w:pPr>
              <w:spacing w:before="60" w:after="60"/>
              <w:ind w:left="0" w:firstLine="0"/>
              <w:rPr>
                <w:noProof/>
                <w:sz w:val="18"/>
              </w:rPr>
            </w:pPr>
          </w:p>
        </w:tc>
        <w:tc>
          <w:tcPr>
            <w:tcW w:w="1134" w:type="dxa"/>
            <w:vAlign w:val="center"/>
          </w:tcPr>
          <w:p w:rsidR="009C13A9" w:rsidRPr="00C903F8" w:rsidRDefault="009C13A9" w:rsidP="009C13A9">
            <w:pPr>
              <w:spacing w:before="60" w:after="60"/>
              <w:ind w:left="0" w:firstLine="0"/>
              <w:rPr>
                <w:noProof/>
                <w:sz w:val="18"/>
              </w:rPr>
            </w:pPr>
          </w:p>
        </w:tc>
        <w:tc>
          <w:tcPr>
            <w:tcW w:w="1134" w:type="dxa"/>
            <w:vAlign w:val="center"/>
          </w:tcPr>
          <w:p w:rsidR="009C13A9" w:rsidRPr="00C903F8" w:rsidRDefault="009C13A9" w:rsidP="009C13A9">
            <w:pPr>
              <w:spacing w:before="60" w:after="60"/>
              <w:ind w:left="0" w:firstLine="0"/>
              <w:rPr>
                <w:noProof/>
                <w:sz w:val="18"/>
              </w:rPr>
            </w:pPr>
          </w:p>
        </w:tc>
      </w:tr>
    </w:tbl>
    <w:p w:rsidR="009C13A9" w:rsidRPr="00C903F8" w:rsidRDefault="009C13A9" w:rsidP="009C13A9">
      <w:pPr>
        <w:spacing w:line="240" w:lineRule="atLeast"/>
        <w:rPr>
          <w:rFonts w:cs="Arial"/>
          <w:noProof/>
          <w:color w:val="000000"/>
          <w:lang w:val="nl-NL" w:eastAsia="en-GB"/>
        </w:rPr>
      </w:pPr>
    </w:p>
    <w:p w:rsidR="009C13A9" w:rsidRPr="00C903F8" w:rsidRDefault="009C13A9" w:rsidP="009C13A9">
      <w:pPr>
        <w:spacing w:line="240" w:lineRule="atLeast"/>
        <w:rPr>
          <w:rFonts w:cs="Arial"/>
          <w:noProof/>
          <w:color w:val="000000"/>
          <w:lang w:val="nl-NL" w:eastAsia="en-GB"/>
        </w:rPr>
      </w:pPr>
      <w:r w:rsidRPr="00C903F8">
        <w:rPr>
          <w:rFonts w:cs="Arial"/>
          <w:noProof/>
          <w:color w:val="000000"/>
          <w:lang w:val="nl-NL" w:eastAsia="en-GB"/>
        </w:rPr>
        <w:br w:type="page"/>
      </w:r>
    </w:p>
    <w:p w:rsidR="009C13A9" w:rsidRPr="00C903F8" w:rsidRDefault="009C13A9" w:rsidP="009C13A9">
      <w:pPr>
        <w:spacing w:line="240" w:lineRule="atLeast"/>
        <w:ind w:left="709" w:hanging="709"/>
        <w:rPr>
          <w:rFonts w:cs="Arial"/>
          <w:noProof/>
          <w:color w:val="000000"/>
          <w:lang w:val="nl-NL" w:eastAsia="en-GB"/>
        </w:rPr>
      </w:pPr>
      <w:r w:rsidRPr="00C903F8">
        <w:rPr>
          <w:rFonts w:cs="Arial"/>
          <w:noProof/>
          <w:color w:val="000000"/>
          <w:lang w:val="nl-NL" w:eastAsia="en-GB"/>
        </w:rPr>
        <w:lastRenderedPageBreak/>
        <w:t>1.2.2</w:t>
      </w:r>
      <w:r w:rsidRPr="00C903F8">
        <w:rPr>
          <w:rFonts w:cs="Arial"/>
          <w:noProof/>
          <w:color w:val="000000"/>
          <w:lang w:val="nl-NL" w:eastAsia="en-GB"/>
        </w:rPr>
        <w:tab/>
        <w:t xml:space="preserve">Purification efficiency (elimination efficiency) </w:t>
      </w:r>
    </w:p>
    <w:p w:rsidR="009C13A9" w:rsidRPr="00C903F8" w:rsidRDefault="009C13A9" w:rsidP="009C13A9">
      <w:pPr>
        <w:spacing w:line="240" w:lineRule="atLeast"/>
        <w:rPr>
          <w:rFonts w:cs="Arial"/>
          <w:noProof/>
          <w:color w:val="000000"/>
          <w:lang w:val="nl-NL" w:eastAsia="en-GB"/>
        </w:rPr>
      </w:pPr>
    </w:p>
    <w:tbl>
      <w:tblPr>
        <w:tblW w:w="6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876"/>
        <w:gridCol w:w="1046"/>
        <w:gridCol w:w="1065"/>
        <w:gridCol w:w="1134"/>
      </w:tblGrid>
      <w:tr w:rsidR="009C13A9" w:rsidRPr="00C903F8" w:rsidTr="009C13A9">
        <w:trPr>
          <w:jc w:val="center"/>
        </w:trPr>
        <w:tc>
          <w:tcPr>
            <w:tcW w:w="1526" w:type="dxa"/>
            <w:vAlign w:val="center"/>
          </w:tcPr>
          <w:p w:rsidR="009C13A9" w:rsidRPr="00C903F8" w:rsidRDefault="009C13A9" w:rsidP="009C13A9">
            <w:pPr>
              <w:spacing w:before="60" w:after="60"/>
              <w:ind w:left="0" w:firstLine="0"/>
              <w:rPr>
                <w:noProof/>
                <w:sz w:val="18"/>
                <w:szCs w:val="22"/>
              </w:rPr>
            </w:pPr>
            <w:r w:rsidRPr="00C903F8">
              <w:rPr>
                <w:noProof/>
                <w:sz w:val="18"/>
                <w:szCs w:val="22"/>
              </w:rPr>
              <w:t>Parameter</w:t>
            </w:r>
          </w:p>
        </w:tc>
        <w:tc>
          <w:tcPr>
            <w:tcW w:w="1876" w:type="dxa"/>
            <w:vAlign w:val="center"/>
          </w:tcPr>
          <w:p w:rsidR="009C13A9" w:rsidRPr="00C903F8" w:rsidRDefault="009C13A9" w:rsidP="009C13A9">
            <w:pPr>
              <w:spacing w:before="60" w:after="60"/>
              <w:ind w:left="0" w:firstLine="0"/>
              <w:rPr>
                <w:noProof/>
                <w:sz w:val="18"/>
                <w:szCs w:val="22"/>
              </w:rPr>
            </w:pPr>
            <w:r w:rsidRPr="00C903F8">
              <w:rPr>
                <w:noProof/>
                <w:sz w:val="18"/>
                <w:szCs w:val="22"/>
              </w:rPr>
              <w:t>Sample type</w:t>
            </w:r>
          </w:p>
        </w:tc>
        <w:tc>
          <w:tcPr>
            <w:tcW w:w="1046" w:type="dxa"/>
            <w:vAlign w:val="center"/>
          </w:tcPr>
          <w:p w:rsidR="009C13A9" w:rsidRPr="00C903F8" w:rsidRDefault="009C13A9" w:rsidP="009C13A9">
            <w:pPr>
              <w:spacing w:before="60" w:after="60"/>
              <w:ind w:left="0" w:firstLine="0"/>
              <w:jc w:val="center"/>
              <w:rPr>
                <w:noProof/>
                <w:sz w:val="18"/>
                <w:szCs w:val="22"/>
              </w:rPr>
            </w:pPr>
            <w:r w:rsidRPr="00C903F8">
              <w:rPr>
                <w:noProof/>
                <w:sz w:val="18"/>
                <w:szCs w:val="22"/>
              </w:rPr>
              <w:t>Min</w:t>
            </w:r>
          </w:p>
        </w:tc>
        <w:tc>
          <w:tcPr>
            <w:tcW w:w="1065" w:type="dxa"/>
            <w:vAlign w:val="center"/>
          </w:tcPr>
          <w:p w:rsidR="009C13A9" w:rsidRPr="00C903F8" w:rsidRDefault="009C13A9" w:rsidP="009C13A9">
            <w:pPr>
              <w:spacing w:before="60" w:after="60"/>
              <w:ind w:left="0" w:firstLine="0"/>
              <w:jc w:val="center"/>
              <w:rPr>
                <w:noProof/>
                <w:sz w:val="18"/>
                <w:szCs w:val="22"/>
              </w:rPr>
            </w:pPr>
            <w:r w:rsidRPr="00C903F8">
              <w:rPr>
                <w:noProof/>
                <w:sz w:val="18"/>
                <w:szCs w:val="22"/>
              </w:rPr>
              <w:t>Max</w:t>
            </w:r>
          </w:p>
        </w:tc>
        <w:tc>
          <w:tcPr>
            <w:tcW w:w="1134" w:type="dxa"/>
            <w:vAlign w:val="center"/>
          </w:tcPr>
          <w:p w:rsidR="009C13A9" w:rsidRPr="00C903F8" w:rsidRDefault="009C13A9" w:rsidP="009C13A9">
            <w:pPr>
              <w:spacing w:before="60" w:after="60"/>
              <w:ind w:left="0" w:firstLine="0"/>
              <w:jc w:val="center"/>
              <w:rPr>
                <w:noProof/>
                <w:sz w:val="18"/>
                <w:szCs w:val="22"/>
              </w:rPr>
            </w:pPr>
            <w:r w:rsidRPr="00C903F8">
              <w:rPr>
                <w:noProof/>
                <w:sz w:val="18"/>
                <w:szCs w:val="22"/>
              </w:rPr>
              <w:t>Mean</w:t>
            </w:r>
          </w:p>
        </w:tc>
      </w:tr>
      <w:tr w:rsidR="009C13A9" w:rsidRPr="00C903F8" w:rsidTr="009C13A9">
        <w:trPr>
          <w:jc w:val="center"/>
        </w:trPr>
        <w:tc>
          <w:tcPr>
            <w:tcW w:w="1526" w:type="dxa"/>
            <w:vAlign w:val="center"/>
          </w:tcPr>
          <w:p w:rsidR="009C13A9" w:rsidRPr="00C903F8" w:rsidRDefault="00F12BAF" w:rsidP="009C13A9">
            <w:pPr>
              <w:spacing w:before="60" w:after="60"/>
              <w:ind w:left="0" w:firstLine="0"/>
              <w:rPr>
                <w:noProof/>
                <w:sz w:val="18"/>
                <w:szCs w:val="18"/>
              </w:rPr>
            </w:pPr>
            <m:oMathPara>
              <m:oMathParaPr>
                <m:jc m:val="left"/>
              </m:oMathParaPr>
              <m:oMath>
                <m:sSub>
                  <m:sSubPr>
                    <m:ctrlPr>
                      <w:rPr>
                        <w:rFonts w:ascii="Cambria Math" w:hAnsi="Cambria Math"/>
                        <w:i/>
                        <w:noProof/>
                        <w:sz w:val="18"/>
                        <w:szCs w:val="18"/>
                        <w:lang w:val="en-US" w:eastAsia="nl-NL"/>
                      </w:rPr>
                    </m:ctrlPr>
                  </m:sSubPr>
                  <m:e>
                    <m:r>
                      <w:rPr>
                        <w:rFonts w:ascii="Cambria Math" w:hAnsi="Cambria Math"/>
                        <w:noProof/>
                        <w:sz w:val="18"/>
                        <w:szCs w:val="18"/>
                        <w:lang w:val="en-US" w:eastAsia="nl-NL"/>
                      </w:rPr>
                      <m:t>BOD</m:t>
                    </m:r>
                  </m:e>
                  <m:sub>
                    <m:r>
                      <w:rPr>
                        <w:rFonts w:ascii="Cambria Math" w:hAnsi="Cambria Math"/>
                        <w:noProof/>
                        <w:sz w:val="18"/>
                        <w:szCs w:val="18"/>
                        <w:lang w:val="en-US" w:eastAsia="nl-NL"/>
                      </w:rPr>
                      <m:t>5</m:t>
                    </m:r>
                  </m:sub>
                </m:sSub>
              </m:oMath>
            </m:oMathPara>
          </w:p>
        </w:tc>
        <w:tc>
          <w:tcPr>
            <w:tcW w:w="1876" w:type="dxa"/>
            <w:vAlign w:val="center"/>
          </w:tcPr>
          <w:p w:rsidR="009C13A9" w:rsidRPr="00C903F8" w:rsidRDefault="009C13A9" w:rsidP="009C13A9">
            <w:pPr>
              <w:spacing w:before="60" w:after="60"/>
              <w:ind w:left="0" w:firstLine="0"/>
              <w:jc w:val="left"/>
              <w:rPr>
                <w:noProof/>
                <w:sz w:val="18"/>
                <w:szCs w:val="22"/>
              </w:rPr>
            </w:pPr>
            <w:r w:rsidRPr="00C903F8">
              <w:rPr>
                <w:noProof/>
                <w:sz w:val="18"/>
                <w:szCs w:val="22"/>
              </w:rPr>
              <w:t>24h composite samples</w:t>
            </w:r>
          </w:p>
        </w:tc>
        <w:tc>
          <w:tcPr>
            <w:tcW w:w="1046" w:type="dxa"/>
            <w:vAlign w:val="center"/>
          </w:tcPr>
          <w:p w:rsidR="009C13A9" w:rsidRPr="00C903F8" w:rsidRDefault="009C13A9" w:rsidP="009C13A9">
            <w:pPr>
              <w:spacing w:before="60" w:after="60"/>
              <w:ind w:left="0" w:firstLine="0"/>
              <w:rPr>
                <w:noProof/>
                <w:sz w:val="18"/>
                <w:szCs w:val="22"/>
              </w:rPr>
            </w:pPr>
          </w:p>
        </w:tc>
        <w:tc>
          <w:tcPr>
            <w:tcW w:w="1065" w:type="dxa"/>
            <w:vAlign w:val="center"/>
          </w:tcPr>
          <w:p w:rsidR="009C13A9" w:rsidRPr="00C903F8" w:rsidRDefault="009C13A9" w:rsidP="009C13A9">
            <w:pPr>
              <w:spacing w:before="60" w:after="60"/>
              <w:ind w:left="0" w:firstLine="0"/>
              <w:rPr>
                <w:noProof/>
                <w:sz w:val="18"/>
                <w:szCs w:val="22"/>
              </w:rPr>
            </w:pPr>
          </w:p>
        </w:tc>
        <w:tc>
          <w:tcPr>
            <w:tcW w:w="1134" w:type="dxa"/>
            <w:vAlign w:val="center"/>
          </w:tcPr>
          <w:p w:rsidR="009C13A9" w:rsidRPr="00C903F8" w:rsidRDefault="009C13A9" w:rsidP="009C13A9">
            <w:pPr>
              <w:spacing w:before="60" w:after="60"/>
              <w:ind w:left="0" w:firstLine="0"/>
              <w:rPr>
                <w:noProof/>
                <w:sz w:val="18"/>
                <w:szCs w:val="22"/>
              </w:rPr>
            </w:pPr>
          </w:p>
        </w:tc>
      </w:tr>
      <w:tr w:rsidR="009C13A9" w:rsidRPr="00C903F8" w:rsidTr="009C13A9">
        <w:trPr>
          <w:jc w:val="center"/>
        </w:trPr>
        <w:tc>
          <w:tcPr>
            <w:tcW w:w="1526" w:type="dxa"/>
            <w:vAlign w:val="center"/>
          </w:tcPr>
          <w:p w:rsidR="009C13A9" w:rsidRPr="00C903F8" w:rsidRDefault="00F12BAF" w:rsidP="009C13A9">
            <w:pPr>
              <w:spacing w:before="60" w:after="60"/>
              <w:ind w:left="0" w:firstLine="0"/>
              <w:rPr>
                <w:noProof/>
                <w:sz w:val="18"/>
                <w:szCs w:val="18"/>
              </w:rPr>
            </w:pPr>
            <m:oMathPara>
              <m:oMathParaPr>
                <m:jc m:val="left"/>
              </m:oMathParaPr>
              <m:oMath>
                <m:sSub>
                  <m:sSubPr>
                    <m:ctrlPr>
                      <w:rPr>
                        <w:rFonts w:ascii="Cambria Math" w:hAnsi="Cambria Math"/>
                        <w:i/>
                        <w:noProof/>
                        <w:sz w:val="18"/>
                        <w:szCs w:val="18"/>
                        <w:lang w:val="en-US" w:eastAsia="nl-NL"/>
                      </w:rPr>
                    </m:ctrlPr>
                  </m:sSubPr>
                  <m:e>
                    <m:r>
                      <w:rPr>
                        <w:rFonts w:ascii="Cambria Math" w:hAnsi="Cambria Math"/>
                        <w:noProof/>
                        <w:sz w:val="18"/>
                        <w:szCs w:val="18"/>
                        <w:lang w:val="en-US" w:eastAsia="nl-NL"/>
                      </w:rPr>
                      <m:t>BOD</m:t>
                    </m:r>
                  </m:e>
                  <m:sub>
                    <m:r>
                      <w:rPr>
                        <w:rFonts w:ascii="Cambria Math" w:hAnsi="Cambria Math"/>
                        <w:noProof/>
                        <w:sz w:val="18"/>
                        <w:szCs w:val="18"/>
                        <w:lang w:val="en-US" w:eastAsia="nl-NL"/>
                      </w:rPr>
                      <m:t>5</m:t>
                    </m:r>
                  </m:sub>
                </m:sSub>
              </m:oMath>
            </m:oMathPara>
          </w:p>
        </w:tc>
        <w:tc>
          <w:tcPr>
            <w:tcW w:w="1876" w:type="dxa"/>
            <w:vAlign w:val="center"/>
          </w:tcPr>
          <w:p w:rsidR="009C13A9" w:rsidRPr="00C903F8" w:rsidRDefault="009C13A9" w:rsidP="009C13A9">
            <w:pPr>
              <w:spacing w:before="60" w:after="60"/>
              <w:ind w:left="0" w:firstLine="0"/>
              <w:rPr>
                <w:noProof/>
                <w:sz w:val="18"/>
                <w:szCs w:val="22"/>
              </w:rPr>
            </w:pPr>
            <w:r w:rsidRPr="00C903F8">
              <w:rPr>
                <w:noProof/>
                <w:sz w:val="18"/>
                <w:szCs w:val="22"/>
              </w:rPr>
              <w:t>Random samples</w:t>
            </w:r>
          </w:p>
        </w:tc>
        <w:tc>
          <w:tcPr>
            <w:tcW w:w="1046" w:type="dxa"/>
            <w:vAlign w:val="center"/>
          </w:tcPr>
          <w:p w:rsidR="009C13A9" w:rsidRPr="00C903F8" w:rsidRDefault="009C13A9" w:rsidP="009C13A9">
            <w:pPr>
              <w:spacing w:before="60" w:after="60"/>
              <w:ind w:left="0" w:firstLine="0"/>
              <w:rPr>
                <w:noProof/>
                <w:sz w:val="18"/>
                <w:szCs w:val="22"/>
              </w:rPr>
            </w:pPr>
          </w:p>
        </w:tc>
        <w:tc>
          <w:tcPr>
            <w:tcW w:w="1065" w:type="dxa"/>
            <w:vAlign w:val="center"/>
          </w:tcPr>
          <w:p w:rsidR="009C13A9" w:rsidRPr="00C903F8" w:rsidRDefault="009C13A9" w:rsidP="009C13A9">
            <w:pPr>
              <w:spacing w:before="60" w:after="60"/>
              <w:ind w:left="0" w:firstLine="0"/>
              <w:rPr>
                <w:noProof/>
                <w:sz w:val="18"/>
                <w:szCs w:val="22"/>
              </w:rPr>
            </w:pPr>
          </w:p>
        </w:tc>
        <w:tc>
          <w:tcPr>
            <w:tcW w:w="1134" w:type="dxa"/>
            <w:vAlign w:val="center"/>
          </w:tcPr>
          <w:p w:rsidR="009C13A9" w:rsidRPr="00C903F8" w:rsidRDefault="009C13A9" w:rsidP="009C13A9">
            <w:pPr>
              <w:spacing w:before="60" w:after="60"/>
              <w:ind w:left="0" w:firstLine="0"/>
              <w:rPr>
                <w:noProof/>
                <w:sz w:val="18"/>
                <w:szCs w:val="22"/>
              </w:rPr>
            </w:pPr>
          </w:p>
        </w:tc>
      </w:tr>
      <w:tr w:rsidR="009C13A9" w:rsidRPr="00C903F8" w:rsidTr="009C13A9">
        <w:trPr>
          <w:jc w:val="center"/>
        </w:trPr>
        <w:tc>
          <w:tcPr>
            <w:tcW w:w="1526" w:type="dxa"/>
          </w:tcPr>
          <w:p w:rsidR="009C13A9" w:rsidRPr="00C903F8" w:rsidRDefault="009C13A9" w:rsidP="009C13A9">
            <w:pPr>
              <w:spacing w:before="60" w:after="60"/>
              <w:ind w:left="0" w:firstLine="0"/>
              <w:rPr>
                <w:noProof/>
                <w:sz w:val="18"/>
                <w:szCs w:val="22"/>
              </w:rPr>
            </w:pPr>
            <w:r w:rsidRPr="00C903F8">
              <w:rPr>
                <w:noProof/>
                <w:sz w:val="18"/>
                <w:szCs w:val="22"/>
              </w:rPr>
              <w:t>COD</w:t>
            </w:r>
          </w:p>
        </w:tc>
        <w:tc>
          <w:tcPr>
            <w:tcW w:w="1876" w:type="dxa"/>
          </w:tcPr>
          <w:p w:rsidR="009C13A9" w:rsidRPr="00C903F8" w:rsidRDefault="009C13A9" w:rsidP="009C13A9">
            <w:pPr>
              <w:spacing w:before="60" w:after="60"/>
              <w:ind w:left="0" w:firstLine="0"/>
              <w:jc w:val="left"/>
              <w:rPr>
                <w:noProof/>
                <w:sz w:val="18"/>
                <w:szCs w:val="22"/>
              </w:rPr>
            </w:pPr>
            <w:r w:rsidRPr="00C903F8">
              <w:rPr>
                <w:noProof/>
                <w:sz w:val="18"/>
                <w:szCs w:val="22"/>
              </w:rPr>
              <w:t>24h composite samples</w:t>
            </w:r>
          </w:p>
        </w:tc>
        <w:tc>
          <w:tcPr>
            <w:tcW w:w="1046" w:type="dxa"/>
          </w:tcPr>
          <w:p w:rsidR="009C13A9" w:rsidRPr="00C903F8" w:rsidRDefault="009C13A9" w:rsidP="009C13A9">
            <w:pPr>
              <w:spacing w:before="60" w:after="60"/>
              <w:ind w:left="0" w:firstLine="0"/>
              <w:rPr>
                <w:noProof/>
                <w:sz w:val="18"/>
                <w:szCs w:val="22"/>
              </w:rPr>
            </w:pPr>
          </w:p>
        </w:tc>
        <w:tc>
          <w:tcPr>
            <w:tcW w:w="1065" w:type="dxa"/>
          </w:tcPr>
          <w:p w:rsidR="009C13A9" w:rsidRPr="00C903F8" w:rsidRDefault="009C13A9" w:rsidP="009C13A9">
            <w:pPr>
              <w:spacing w:before="60" w:after="60"/>
              <w:ind w:left="0" w:firstLine="0"/>
              <w:rPr>
                <w:noProof/>
                <w:sz w:val="18"/>
                <w:szCs w:val="22"/>
              </w:rPr>
            </w:pPr>
          </w:p>
        </w:tc>
        <w:tc>
          <w:tcPr>
            <w:tcW w:w="1134" w:type="dxa"/>
          </w:tcPr>
          <w:p w:rsidR="009C13A9" w:rsidRPr="00C903F8" w:rsidRDefault="009C13A9" w:rsidP="009C13A9">
            <w:pPr>
              <w:spacing w:before="60" w:after="60"/>
              <w:ind w:left="0" w:firstLine="0"/>
              <w:rPr>
                <w:noProof/>
                <w:sz w:val="18"/>
                <w:szCs w:val="22"/>
              </w:rPr>
            </w:pPr>
          </w:p>
        </w:tc>
      </w:tr>
      <w:tr w:rsidR="009C13A9" w:rsidRPr="00C903F8" w:rsidTr="009C13A9">
        <w:trPr>
          <w:jc w:val="center"/>
        </w:trPr>
        <w:tc>
          <w:tcPr>
            <w:tcW w:w="1526" w:type="dxa"/>
          </w:tcPr>
          <w:p w:rsidR="009C13A9" w:rsidRPr="00C903F8" w:rsidRDefault="009C13A9" w:rsidP="009C13A9">
            <w:pPr>
              <w:spacing w:before="60" w:after="60"/>
              <w:ind w:left="0" w:firstLine="0"/>
              <w:rPr>
                <w:noProof/>
                <w:sz w:val="18"/>
                <w:szCs w:val="22"/>
              </w:rPr>
            </w:pPr>
            <w:r w:rsidRPr="00C903F8">
              <w:rPr>
                <w:noProof/>
                <w:sz w:val="18"/>
                <w:szCs w:val="22"/>
              </w:rPr>
              <w:t>COD</w:t>
            </w:r>
          </w:p>
        </w:tc>
        <w:tc>
          <w:tcPr>
            <w:tcW w:w="1876" w:type="dxa"/>
          </w:tcPr>
          <w:p w:rsidR="009C13A9" w:rsidRPr="00C903F8" w:rsidRDefault="009C13A9" w:rsidP="009C13A9">
            <w:pPr>
              <w:spacing w:before="60" w:after="60"/>
              <w:ind w:left="0" w:firstLine="0"/>
              <w:rPr>
                <w:noProof/>
                <w:sz w:val="18"/>
                <w:szCs w:val="22"/>
              </w:rPr>
            </w:pPr>
            <w:r w:rsidRPr="00C903F8">
              <w:rPr>
                <w:noProof/>
                <w:sz w:val="18"/>
                <w:szCs w:val="22"/>
              </w:rPr>
              <w:t>Random samples</w:t>
            </w:r>
          </w:p>
        </w:tc>
        <w:tc>
          <w:tcPr>
            <w:tcW w:w="1046" w:type="dxa"/>
          </w:tcPr>
          <w:p w:rsidR="009C13A9" w:rsidRPr="00C903F8" w:rsidRDefault="009C13A9" w:rsidP="009C13A9">
            <w:pPr>
              <w:spacing w:before="60" w:after="60"/>
              <w:ind w:left="0" w:firstLine="0"/>
              <w:rPr>
                <w:noProof/>
                <w:sz w:val="18"/>
                <w:szCs w:val="22"/>
              </w:rPr>
            </w:pPr>
          </w:p>
        </w:tc>
        <w:tc>
          <w:tcPr>
            <w:tcW w:w="1065" w:type="dxa"/>
          </w:tcPr>
          <w:p w:rsidR="009C13A9" w:rsidRPr="00C903F8" w:rsidRDefault="009C13A9" w:rsidP="009C13A9">
            <w:pPr>
              <w:spacing w:before="60" w:after="60"/>
              <w:ind w:left="0" w:firstLine="0"/>
              <w:rPr>
                <w:noProof/>
                <w:sz w:val="18"/>
                <w:szCs w:val="22"/>
              </w:rPr>
            </w:pPr>
          </w:p>
        </w:tc>
        <w:tc>
          <w:tcPr>
            <w:tcW w:w="1134" w:type="dxa"/>
          </w:tcPr>
          <w:p w:rsidR="009C13A9" w:rsidRPr="00C903F8" w:rsidRDefault="009C13A9" w:rsidP="009C13A9">
            <w:pPr>
              <w:spacing w:before="60" w:after="60"/>
              <w:ind w:left="0" w:firstLine="0"/>
              <w:rPr>
                <w:noProof/>
                <w:sz w:val="18"/>
                <w:szCs w:val="22"/>
              </w:rPr>
            </w:pPr>
          </w:p>
        </w:tc>
      </w:tr>
      <w:tr w:rsidR="009C13A9" w:rsidRPr="00C903F8" w:rsidTr="009C13A9">
        <w:trPr>
          <w:jc w:val="center"/>
        </w:trPr>
        <w:tc>
          <w:tcPr>
            <w:tcW w:w="1526" w:type="dxa"/>
          </w:tcPr>
          <w:p w:rsidR="009C13A9" w:rsidRPr="00C903F8" w:rsidRDefault="009C13A9" w:rsidP="009C13A9">
            <w:pPr>
              <w:spacing w:before="60" w:after="60"/>
              <w:ind w:left="0" w:firstLine="0"/>
              <w:rPr>
                <w:noProof/>
                <w:sz w:val="18"/>
                <w:szCs w:val="22"/>
              </w:rPr>
            </w:pPr>
            <w:r w:rsidRPr="00C903F8">
              <w:rPr>
                <w:noProof/>
                <w:sz w:val="18"/>
              </w:rPr>
              <w:t>TOC</w:t>
            </w:r>
          </w:p>
        </w:tc>
        <w:tc>
          <w:tcPr>
            <w:tcW w:w="1876" w:type="dxa"/>
          </w:tcPr>
          <w:p w:rsidR="009C13A9" w:rsidRPr="00C903F8" w:rsidRDefault="009C13A9" w:rsidP="009C13A9">
            <w:pPr>
              <w:spacing w:before="60" w:after="60"/>
              <w:ind w:left="0" w:firstLine="0"/>
              <w:jc w:val="left"/>
              <w:rPr>
                <w:noProof/>
                <w:sz w:val="18"/>
                <w:szCs w:val="22"/>
              </w:rPr>
            </w:pPr>
            <w:r w:rsidRPr="00C903F8">
              <w:rPr>
                <w:noProof/>
                <w:sz w:val="18"/>
                <w:szCs w:val="22"/>
              </w:rPr>
              <w:t>24h composite samples</w:t>
            </w:r>
          </w:p>
        </w:tc>
        <w:tc>
          <w:tcPr>
            <w:tcW w:w="1046" w:type="dxa"/>
          </w:tcPr>
          <w:p w:rsidR="009C13A9" w:rsidRPr="00C903F8" w:rsidRDefault="009C13A9" w:rsidP="009C13A9">
            <w:pPr>
              <w:spacing w:before="60" w:after="60"/>
              <w:ind w:left="0" w:firstLine="0"/>
              <w:rPr>
                <w:noProof/>
                <w:sz w:val="18"/>
                <w:szCs w:val="22"/>
              </w:rPr>
            </w:pPr>
          </w:p>
        </w:tc>
        <w:tc>
          <w:tcPr>
            <w:tcW w:w="1065" w:type="dxa"/>
          </w:tcPr>
          <w:p w:rsidR="009C13A9" w:rsidRPr="00C903F8" w:rsidRDefault="009C13A9" w:rsidP="009C13A9">
            <w:pPr>
              <w:spacing w:before="60" w:after="60"/>
              <w:ind w:left="0" w:firstLine="0"/>
              <w:rPr>
                <w:noProof/>
                <w:sz w:val="18"/>
                <w:szCs w:val="22"/>
              </w:rPr>
            </w:pPr>
          </w:p>
        </w:tc>
        <w:tc>
          <w:tcPr>
            <w:tcW w:w="1134" w:type="dxa"/>
          </w:tcPr>
          <w:p w:rsidR="009C13A9" w:rsidRPr="00C903F8" w:rsidRDefault="009C13A9" w:rsidP="009C13A9">
            <w:pPr>
              <w:spacing w:before="60" w:after="60"/>
              <w:ind w:left="0" w:firstLine="0"/>
              <w:rPr>
                <w:noProof/>
                <w:sz w:val="18"/>
                <w:szCs w:val="22"/>
              </w:rPr>
            </w:pPr>
          </w:p>
        </w:tc>
      </w:tr>
      <w:tr w:rsidR="009C13A9" w:rsidRPr="00C903F8" w:rsidTr="009C13A9">
        <w:trPr>
          <w:jc w:val="center"/>
        </w:trPr>
        <w:tc>
          <w:tcPr>
            <w:tcW w:w="1526" w:type="dxa"/>
          </w:tcPr>
          <w:p w:rsidR="009C13A9" w:rsidRPr="00C903F8" w:rsidRDefault="009C13A9" w:rsidP="009C13A9">
            <w:pPr>
              <w:spacing w:before="60" w:after="60"/>
              <w:ind w:left="0" w:firstLine="0"/>
              <w:rPr>
                <w:noProof/>
                <w:sz w:val="18"/>
                <w:szCs w:val="22"/>
              </w:rPr>
            </w:pPr>
            <w:r w:rsidRPr="00C903F8">
              <w:rPr>
                <w:noProof/>
                <w:sz w:val="18"/>
              </w:rPr>
              <w:t>TOC</w:t>
            </w:r>
          </w:p>
        </w:tc>
        <w:tc>
          <w:tcPr>
            <w:tcW w:w="1876" w:type="dxa"/>
          </w:tcPr>
          <w:p w:rsidR="009C13A9" w:rsidRPr="00C903F8" w:rsidRDefault="009C13A9" w:rsidP="009C13A9">
            <w:pPr>
              <w:spacing w:before="60" w:after="60"/>
              <w:ind w:left="0" w:firstLine="0"/>
              <w:rPr>
                <w:noProof/>
                <w:sz w:val="18"/>
                <w:szCs w:val="22"/>
              </w:rPr>
            </w:pPr>
            <w:r w:rsidRPr="00C903F8">
              <w:rPr>
                <w:noProof/>
                <w:sz w:val="18"/>
                <w:szCs w:val="22"/>
              </w:rPr>
              <w:t>Random samples</w:t>
            </w:r>
          </w:p>
        </w:tc>
        <w:tc>
          <w:tcPr>
            <w:tcW w:w="1046" w:type="dxa"/>
          </w:tcPr>
          <w:p w:rsidR="009C13A9" w:rsidRPr="00C903F8" w:rsidRDefault="009C13A9" w:rsidP="009C13A9">
            <w:pPr>
              <w:spacing w:before="60" w:after="60"/>
              <w:ind w:left="0" w:firstLine="0"/>
              <w:rPr>
                <w:noProof/>
                <w:sz w:val="18"/>
                <w:szCs w:val="22"/>
              </w:rPr>
            </w:pPr>
          </w:p>
        </w:tc>
        <w:tc>
          <w:tcPr>
            <w:tcW w:w="1065" w:type="dxa"/>
          </w:tcPr>
          <w:p w:rsidR="009C13A9" w:rsidRPr="00C903F8" w:rsidRDefault="009C13A9" w:rsidP="009C13A9">
            <w:pPr>
              <w:spacing w:before="60" w:after="60"/>
              <w:ind w:left="0" w:firstLine="0"/>
              <w:rPr>
                <w:noProof/>
                <w:sz w:val="18"/>
                <w:szCs w:val="22"/>
              </w:rPr>
            </w:pPr>
          </w:p>
        </w:tc>
        <w:tc>
          <w:tcPr>
            <w:tcW w:w="1134" w:type="dxa"/>
          </w:tcPr>
          <w:p w:rsidR="009C13A9" w:rsidRPr="00C903F8" w:rsidRDefault="009C13A9" w:rsidP="009C13A9">
            <w:pPr>
              <w:spacing w:before="60" w:after="60"/>
              <w:ind w:left="0" w:firstLine="0"/>
              <w:rPr>
                <w:noProof/>
                <w:sz w:val="18"/>
                <w:szCs w:val="22"/>
              </w:rPr>
            </w:pPr>
          </w:p>
        </w:tc>
      </w:tr>
      <w:tr w:rsidR="009C13A9" w:rsidRPr="00C903F8" w:rsidTr="009C13A9">
        <w:trPr>
          <w:jc w:val="center"/>
        </w:trPr>
        <w:tc>
          <w:tcPr>
            <w:tcW w:w="1526" w:type="dxa"/>
          </w:tcPr>
          <w:p w:rsidR="009C13A9" w:rsidRPr="00C903F8" w:rsidRDefault="009C13A9" w:rsidP="009C13A9">
            <w:pPr>
              <w:spacing w:before="60" w:after="60"/>
              <w:ind w:left="0" w:firstLine="0"/>
              <w:rPr>
                <w:noProof/>
                <w:sz w:val="18"/>
              </w:rPr>
            </w:pPr>
            <w:r w:rsidRPr="00C903F8">
              <w:rPr>
                <w:noProof/>
                <w:sz w:val="18"/>
              </w:rPr>
              <w:t>SRF</w:t>
            </w:r>
          </w:p>
        </w:tc>
        <w:tc>
          <w:tcPr>
            <w:tcW w:w="1876" w:type="dxa"/>
          </w:tcPr>
          <w:p w:rsidR="009C13A9" w:rsidRPr="00C903F8" w:rsidRDefault="009C13A9" w:rsidP="009C13A9">
            <w:pPr>
              <w:spacing w:before="60" w:after="60"/>
              <w:ind w:left="0" w:firstLine="0"/>
              <w:jc w:val="left"/>
              <w:rPr>
                <w:noProof/>
                <w:sz w:val="18"/>
                <w:szCs w:val="22"/>
              </w:rPr>
            </w:pPr>
            <w:r w:rsidRPr="00C903F8">
              <w:rPr>
                <w:noProof/>
                <w:sz w:val="18"/>
                <w:szCs w:val="22"/>
              </w:rPr>
              <w:t>24h composite samples</w:t>
            </w:r>
          </w:p>
        </w:tc>
        <w:tc>
          <w:tcPr>
            <w:tcW w:w="1046" w:type="dxa"/>
          </w:tcPr>
          <w:p w:rsidR="009C13A9" w:rsidRPr="00C903F8" w:rsidRDefault="009C13A9" w:rsidP="009C13A9">
            <w:pPr>
              <w:spacing w:before="60" w:after="60"/>
              <w:ind w:left="0" w:firstLine="0"/>
              <w:rPr>
                <w:noProof/>
                <w:sz w:val="18"/>
                <w:szCs w:val="22"/>
              </w:rPr>
            </w:pPr>
          </w:p>
        </w:tc>
        <w:tc>
          <w:tcPr>
            <w:tcW w:w="1065" w:type="dxa"/>
          </w:tcPr>
          <w:p w:rsidR="009C13A9" w:rsidRPr="00C903F8" w:rsidRDefault="009C13A9" w:rsidP="009C13A9">
            <w:pPr>
              <w:spacing w:before="60" w:after="60"/>
              <w:ind w:left="0" w:firstLine="0"/>
              <w:rPr>
                <w:noProof/>
                <w:sz w:val="18"/>
                <w:szCs w:val="22"/>
              </w:rPr>
            </w:pPr>
          </w:p>
        </w:tc>
        <w:tc>
          <w:tcPr>
            <w:tcW w:w="1134" w:type="dxa"/>
          </w:tcPr>
          <w:p w:rsidR="009C13A9" w:rsidRPr="00C903F8" w:rsidRDefault="009C13A9" w:rsidP="009C13A9">
            <w:pPr>
              <w:spacing w:before="60" w:after="60"/>
              <w:ind w:left="0" w:firstLine="0"/>
              <w:rPr>
                <w:noProof/>
                <w:sz w:val="18"/>
                <w:szCs w:val="22"/>
              </w:rPr>
            </w:pPr>
          </w:p>
        </w:tc>
      </w:tr>
      <w:tr w:rsidR="009C13A9" w:rsidRPr="00C903F8" w:rsidTr="009C13A9">
        <w:trPr>
          <w:jc w:val="center"/>
        </w:trPr>
        <w:tc>
          <w:tcPr>
            <w:tcW w:w="1526" w:type="dxa"/>
          </w:tcPr>
          <w:p w:rsidR="009C13A9" w:rsidRPr="00C903F8" w:rsidRDefault="009C13A9" w:rsidP="009C13A9">
            <w:pPr>
              <w:spacing w:before="60" w:after="60"/>
              <w:ind w:left="0" w:firstLine="0"/>
              <w:rPr>
                <w:noProof/>
                <w:sz w:val="18"/>
              </w:rPr>
            </w:pPr>
            <w:r w:rsidRPr="00C903F8">
              <w:rPr>
                <w:noProof/>
                <w:sz w:val="18"/>
              </w:rPr>
              <w:t>SRF</w:t>
            </w:r>
          </w:p>
        </w:tc>
        <w:tc>
          <w:tcPr>
            <w:tcW w:w="1876" w:type="dxa"/>
          </w:tcPr>
          <w:p w:rsidR="009C13A9" w:rsidRPr="00C903F8" w:rsidRDefault="009C13A9" w:rsidP="009C13A9">
            <w:pPr>
              <w:spacing w:before="60" w:after="60"/>
              <w:ind w:left="0" w:firstLine="0"/>
              <w:rPr>
                <w:noProof/>
                <w:sz w:val="18"/>
                <w:szCs w:val="22"/>
              </w:rPr>
            </w:pPr>
            <w:r w:rsidRPr="00C903F8">
              <w:rPr>
                <w:noProof/>
                <w:sz w:val="18"/>
                <w:szCs w:val="22"/>
              </w:rPr>
              <w:t>Random samples</w:t>
            </w:r>
          </w:p>
        </w:tc>
        <w:tc>
          <w:tcPr>
            <w:tcW w:w="1046" w:type="dxa"/>
          </w:tcPr>
          <w:p w:rsidR="009C13A9" w:rsidRPr="00C903F8" w:rsidRDefault="009C13A9" w:rsidP="009C13A9">
            <w:pPr>
              <w:spacing w:before="60" w:after="60"/>
              <w:ind w:left="0" w:firstLine="0"/>
              <w:rPr>
                <w:noProof/>
                <w:sz w:val="18"/>
                <w:szCs w:val="22"/>
              </w:rPr>
            </w:pPr>
          </w:p>
        </w:tc>
        <w:tc>
          <w:tcPr>
            <w:tcW w:w="1065" w:type="dxa"/>
          </w:tcPr>
          <w:p w:rsidR="009C13A9" w:rsidRPr="00C903F8" w:rsidRDefault="009C13A9" w:rsidP="009C13A9">
            <w:pPr>
              <w:spacing w:before="60" w:after="60"/>
              <w:ind w:left="0" w:firstLine="0"/>
              <w:rPr>
                <w:noProof/>
                <w:sz w:val="18"/>
                <w:szCs w:val="22"/>
              </w:rPr>
            </w:pPr>
          </w:p>
        </w:tc>
        <w:tc>
          <w:tcPr>
            <w:tcW w:w="1134" w:type="dxa"/>
          </w:tcPr>
          <w:p w:rsidR="009C13A9" w:rsidRPr="00C903F8" w:rsidRDefault="009C13A9" w:rsidP="009C13A9">
            <w:pPr>
              <w:spacing w:before="60" w:after="60"/>
              <w:ind w:left="0" w:firstLine="0"/>
              <w:rPr>
                <w:noProof/>
                <w:sz w:val="18"/>
                <w:szCs w:val="22"/>
              </w:rPr>
            </w:pPr>
          </w:p>
        </w:tc>
      </w:tr>
    </w:tbl>
    <w:p w:rsidR="009C13A9" w:rsidRPr="00C903F8" w:rsidRDefault="009C13A9" w:rsidP="009C13A9">
      <w:pPr>
        <w:spacing w:line="240" w:lineRule="atLeast"/>
        <w:rPr>
          <w:rFonts w:cs="Arial"/>
          <w:noProof/>
          <w:color w:val="000000"/>
          <w:lang w:val="nl-NL"/>
        </w:rPr>
      </w:pPr>
    </w:p>
    <w:p w:rsidR="009C13A9" w:rsidRPr="00C903F8" w:rsidRDefault="009C13A9" w:rsidP="009C13A9">
      <w:pPr>
        <w:spacing w:line="240" w:lineRule="atLeast"/>
        <w:ind w:left="709" w:hanging="709"/>
        <w:rPr>
          <w:rFonts w:cs="Arial"/>
          <w:noProof/>
          <w:color w:val="000000"/>
          <w:lang w:val="nl-NL" w:eastAsia="en-GB"/>
        </w:rPr>
      </w:pPr>
      <w:r w:rsidRPr="00C903F8">
        <w:rPr>
          <w:rFonts w:cs="Arial"/>
          <w:noProof/>
          <w:color w:val="000000"/>
          <w:lang w:val="nl-NL" w:eastAsia="en-GB"/>
        </w:rPr>
        <w:t>1.3</w:t>
      </w:r>
      <w:r w:rsidRPr="00C903F8">
        <w:rPr>
          <w:rFonts w:cs="Arial"/>
          <w:noProof/>
          <w:color w:val="000000"/>
          <w:lang w:val="nl-NL" w:eastAsia="en-GB"/>
        </w:rPr>
        <w:tab/>
        <w:t xml:space="preserve">Further parameters measured </w:t>
      </w:r>
    </w:p>
    <w:p w:rsidR="009C13A9" w:rsidRPr="00C903F8" w:rsidRDefault="009C13A9" w:rsidP="009C13A9">
      <w:pPr>
        <w:spacing w:line="240" w:lineRule="atLeast"/>
        <w:ind w:left="709" w:hanging="709"/>
        <w:rPr>
          <w:rFonts w:cs="Arial"/>
          <w:noProof/>
          <w:color w:val="000000"/>
          <w:lang w:val="nl-NL" w:eastAsia="en-GB"/>
        </w:rPr>
      </w:pPr>
    </w:p>
    <w:p w:rsidR="009C13A9" w:rsidRPr="00C903F8" w:rsidRDefault="009C13A9" w:rsidP="009C13A9">
      <w:pPr>
        <w:spacing w:line="240" w:lineRule="atLeast"/>
        <w:ind w:left="709" w:hanging="709"/>
        <w:rPr>
          <w:rFonts w:cs="Arial"/>
          <w:noProof/>
          <w:color w:val="000000"/>
          <w:lang w:val="en-US" w:eastAsia="en-GB"/>
        </w:rPr>
      </w:pPr>
      <w:r w:rsidRPr="00C903F8">
        <w:rPr>
          <w:rFonts w:cs="Arial"/>
          <w:noProof/>
          <w:color w:val="000000"/>
          <w:lang w:val="en-US" w:eastAsia="en-GB"/>
        </w:rPr>
        <w:t>1.3.1</w:t>
      </w:r>
      <w:r w:rsidRPr="00C903F8">
        <w:rPr>
          <w:rFonts w:cs="Arial"/>
          <w:noProof/>
          <w:color w:val="000000"/>
          <w:lang w:val="en-US" w:eastAsia="en-GB"/>
        </w:rPr>
        <w:tab/>
        <w:t>Additional inflow and outflow parameters:</w:t>
      </w:r>
    </w:p>
    <w:p w:rsidR="009C13A9" w:rsidRPr="00C903F8" w:rsidRDefault="009C13A9" w:rsidP="009C13A9">
      <w:pPr>
        <w:spacing w:line="240" w:lineRule="atLeast"/>
        <w:rPr>
          <w:rFonts w:cs="Arial"/>
          <w:noProof/>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417"/>
        <w:gridCol w:w="1639"/>
      </w:tblGrid>
      <w:tr w:rsidR="009C13A9" w:rsidRPr="00C903F8" w:rsidTr="009C13A9">
        <w:trPr>
          <w:jc w:val="center"/>
        </w:trPr>
        <w:tc>
          <w:tcPr>
            <w:tcW w:w="5103" w:type="dxa"/>
            <w:shd w:val="clear" w:color="auto" w:fill="auto"/>
          </w:tcPr>
          <w:p w:rsidR="009C13A9" w:rsidRPr="00C903F8" w:rsidRDefault="009C13A9" w:rsidP="009C13A9">
            <w:pPr>
              <w:spacing w:before="60" w:after="60"/>
              <w:ind w:left="0" w:firstLine="0"/>
              <w:rPr>
                <w:noProof/>
                <w:sz w:val="18"/>
                <w:szCs w:val="22"/>
              </w:rPr>
            </w:pPr>
            <w:r w:rsidRPr="00C903F8">
              <w:rPr>
                <w:noProof/>
                <w:sz w:val="18"/>
                <w:szCs w:val="22"/>
              </w:rPr>
              <w:t>Parameter</w:t>
            </w:r>
          </w:p>
        </w:tc>
        <w:tc>
          <w:tcPr>
            <w:tcW w:w="1417" w:type="dxa"/>
            <w:shd w:val="clear" w:color="auto" w:fill="auto"/>
          </w:tcPr>
          <w:p w:rsidR="009C13A9" w:rsidRPr="00C903F8" w:rsidRDefault="009C13A9" w:rsidP="009C13A9">
            <w:pPr>
              <w:spacing w:before="60" w:after="60"/>
              <w:ind w:left="0" w:firstLine="0"/>
              <w:jc w:val="center"/>
              <w:rPr>
                <w:noProof/>
                <w:sz w:val="18"/>
                <w:szCs w:val="22"/>
              </w:rPr>
            </w:pPr>
            <w:r w:rsidRPr="00C903F8">
              <w:rPr>
                <w:noProof/>
                <w:sz w:val="18"/>
                <w:szCs w:val="22"/>
              </w:rPr>
              <w:t>Inflow</w:t>
            </w:r>
          </w:p>
        </w:tc>
        <w:tc>
          <w:tcPr>
            <w:tcW w:w="1639" w:type="dxa"/>
            <w:shd w:val="clear" w:color="auto" w:fill="auto"/>
          </w:tcPr>
          <w:p w:rsidR="009C13A9" w:rsidRPr="00C903F8" w:rsidRDefault="009C13A9" w:rsidP="009C13A9">
            <w:pPr>
              <w:spacing w:before="60" w:after="60"/>
              <w:ind w:left="0" w:firstLine="0"/>
              <w:jc w:val="center"/>
              <w:rPr>
                <w:noProof/>
                <w:sz w:val="18"/>
                <w:szCs w:val="22"/>
              </w:rPr>
            </w:pPr>
            <w:r w:rsidRPr="00C903F8">
              <w:rPr>
                <w:noProof/>
                <w:sz w:val="18"/>
                <w:szCs w:val="22"/>
              </w:rPr>
              <w:t>Outflow</w:t>
            </w:r>
          </w:p>
        </w:tc>
      </w:tr>
      <w:tr w:rsidR="009C13A9" w:rsidRPr="00C903F8" w:rsidTr="009C13A9">
        <w:trPr>
          <w:jc w:val="center"/>
        </w:trPr>
        <w:tc>
          <w:tcPr>
            <w:tcW w:w="5103" w:type="dxa"/>
            <w:shd w:val="clear" w:color="auto" w:fill="auto"/>
          </w:tcPr>
          <w:p w:rsidR="009C13A9" w:rsidRPr="00C903F8" w:rsidRDefault="009C13A9" w:rsidP="009C13A9">
            <w:pPr>
              <w:spacing w:before="60" w:after="60"/>
              <w:ind w:left="0" w:firstLine="0"/>
              <w:rPr>
                <w:noProof/>
                <w:sz w:val="18"/>
                <w:szCs w:val="22"/>
              </w:rPr>
            </w:pPr>
            <w:r w:rsidRPr="00C903F8">
              <w:rPr>
                <w:noProof/>
                <w:sz w:val="18"/>
                <w:szCs w:val="22"/>
              </w:rPr>
              <w:t>pH</w:t>
            </w:r>
          </w:p>
        </w:tc>
        <w:tc>
          <w:tcPr>
            <w:tcW w:w="1417" w:type="dxa"/>
            <w:shd w:val="clear" w:color="auto" w:fill="auto"/>
          </w:tcPr>
          <w:p w:rsidR="009C13A9" w:rsidRPr="00C903F8" w:rsidRDefault="009C13A9" w:rsidP="009C13A9">
            <w:pPr>
              <w:spacing w:before="60" w:after="60"/>
              <w:ind w:left="0" w:firstLine="0"/>
              <w:rPr>
                <w:noProof/>
                <w:sz w:val="18"/>
                <w:szCs w:val="22"/>
              </w:rPr>
            </w:pPr>
          </w:p>
        </w:tc>
        <w:tc>
          <w:tcPr>
            <w:tcW w:w="1639" w:type="dxa"/>
            <w:shd w:val="clear" w:color="auto" w:fill="auto"/>
          </w:tcPr>
          <w:p w:rsidR="009C13A9" w:rsidRPr="00C903F8" w:rsidRDefault="009C13A9" w:rsidP="009C13A9">
            <w:pPr>
              <w:spacing w:before="60" w:after="60"/>
              <w:ind w:left="0" w:firstLine="0"/>
              <w:rPr>
                <w:noProof/>
                <w:sz w:val="18"/>
                <w:szCs w:val="22"/>
              </w:rPr>
            </w:pPr>
          </w:p>
        </w:tc>
      </w:tr>
      <w:tr w:rsidR="009C13A9" w:rsidRPr="00C903F8" w:rsidTr="009C13A9">
        <w:trPr>
          <w:jc w:val="center"/>
        </w:trPr>
        <w:tc>
          <w:tcPr>
            <w:tcW w:w="5103" w:type="dxa"/>
            <w:shd w:val="clear" w:color="auto" w:fill="auto"/>
          </w:tcPr>
          <w:p w:rsidR="009C13A9" w:rsidRPr="00C903F8" w:rsidRDefault="009C13A9" w:rsidP="009C13A9">
            <w:pPr>
              <w:spacing w:before="60" w:after="60"/>
              <w:ind w:left="0" w:firstLine="0"/>
              <w:rPr>
                <w:noProof/>
                <w:sz w:val="18"/>
                <w:szCs w:val="22"/>
              </w:rPr>
            </w:pPr>
            <w:r w:rsidRPr="00C903F8">
              <w:rPr>
                <w:noProof/>
                <w:sz w:val="18"/>
                <w:szCs w:val="22"/>
              </w:rPr>
              <w:t>Conductivity</w:t>
            </w:r>
          </w:p>
        </w:tc>
        <w:tc>
          <w:tcPr>
            <w:tcW w:w="1417" w:type="dxa"/>
            <w:shd w:val="clear" w:color="auto" w:fill="auto"/>
          </w:tcPr>
          <w:p w:rsidR="009C13A9" w:rsidRPr="00C903F8" w:rsidRDefault="009C13A9" w:rsidP="009C13A9">
            <w:pPr>
              <w:spacing w:before="60" w:after="60"/>
              <w:ind w:left="0" w:firstLine="0"/>
              <w:rPr>
                <w:noProof/>
                <w:sz w:val="18"/>
                <w:szCs w:val="22"/>
              </w:rPr>
            </w:pPr>
          </w:p>
        </w:tc>
        <w:tc>
          <w:tcPr>
            <w:tcW w:w="1639" w:type="dxa"/>
            <w:shd w:val="clear" w:color="auto" w:fill="auto"/>
          </w:tcPr>
          <w:p w:rsidR="009C13A9" w:rsidRPr="00C903F8" w:rsidRDefault="009C13A9" w:rsidP="009C13A9">
            <w:pPr>
              <w:spacing w:before="60" w:after="60"/>
              <w:ind w:left="0" w:firstLine="0"/>
              <w:rPr>
                <w:noProof/>
                <w:sz w:val="18"/>
                <w:szCs w:val="22"/>
              </w:rPr>
            </w:pPr>
          </w:p>
        </w:tc>
      </w:tr>
      <w:tr w:rsidR="009C13A9" w:rsidRPr="00C903F8" w:rsidTr="009C13A9">
        <w:trPr>
          <w:jc w:val="center"/>
        </w:trPr>
        <w:tc>
          <w:tcPr>
            <w:tcW w:w="5103" w:type="dxa"/>
            <w:shd w:val="clear" w:color="auto" w:fill="auto"/>
          </w:tcPr>
          <w:p w:rsidR="009C13A9" w:rsidRPr="00C903F8" w:rsidRDefault="009C13A9" w:rsidP="009C13A9">
            <w:pPr>
              <w:spacing w:before="60" w:after="60"/>
              <w:ind w:left="0" w:firstLine="0"/>
              <w:rPr>
                <w:noProof/>
                <w:sz w:val="18"/>
                <w:szCs w:val="22"/>
              </w:rPr>
            </w:pPr>
            <w:r w:rsidRPr="00C903F8">
              <w:rPr>
                <w:noProof/>
                <w:sz w:val="18"/>
                <w:szCs w:val="22"/>
              </w:rPr>
              <w:t>Temperature of liquid phases</w:t>
            </w:r>
          </w:p>
        </w:tc>
        <w:tc>
          <w:tcPr>
            <w:tcW w:w="1417" w:type="dxa"/>
            <w:shd w:val="clear" w:color="auto" w:fill="auto"/>
          </w:tcPr>
          <w:p w:rsidR="009C13A9" w:rsidRPr="00C903F8" w:rsidRDefault="009C13A9" w:rsidP="009C13A9">
            <w:pPr>
              <w:spacing w:before="60" w:after="60"/>
              <w:ind w:left="0" w:firstLine="0"/>
              <w:rPr>
                <w:noProof/>
                <w:sz w:val="18"/>
                <w:szCs w:val="22"/>
              </w:rPr>
            </w:pPr>
          </w:p>
        </w:tc>
        <w:tc>
          <w:tcPr>
            <w:tcW w:w="1639" w:type="dxa"/>
            <w:shd w:val="clear" w:color="auto" w:fill="auto"/>
          </w:tcPr>
          <w:p w:rsidR="009C13A9" w:rsidRPr="00C903F8" w:rsidRDefault="009C13A9" w:rsidP="009C13A9">
            <w:pPr>
              <w:spacing w:before="60" w:after="60"/>
              <w:ind w:left="0" w:firstLine="0"/>
              <w:rPr>
                <w:noProof/>
                <w:sz w:val="18"/>
                <w:szCs w:val="22"/>
              </w:rPr>
            </w:pPr>
          </w:p>
        </w:tc>
      </w:tr>
    </w:tbl>
    <w:p w:rsidR="009C13A9" w:rsidRPr="00C903F8" w:rsidRDefault="009C13A9" w:rsidP="009C13A9">
      <w:pPr>
        <w:spacing w:line="240" w:lineRule="atLeast"/>
        <w:ind w:left="709" w:hanging="709"/>
        <w:rPr>
          <w:rFonts w:cs="Arial"/>
          <w:noProof/>
          <w:color w:val="000000"/>
          <w:lang w:val="nl-NL"/>
        </w:rPr>
      </w:pPr>
    </w:p>
    <w:p w:rsidR="009C13A9" w:rsidRPr="00C903F8" w:rsidRDefault="009C13A9" w:rsidP="009C13A9">
      <w:pPr>
        <w:spacing w:line="240" w:lineRule="atLeast"/>
        <w:ind w:left="709" w:hanging="709"/>
        <w:rPr>
          <w:rFonts w:cs="Arial"/>
          <w:noProof/>
          <w:color w:val="000000"/>
          <w:lang w:val="en-US"/>
        </w:rPr>
      </w:pPr>
      <w:r w:rsidRPr="00C903F8">
        <w:rPr>
          <w:rFonts w:cs="Arial"/>
          <w:noProof/>
          <w:color w:val="000000"/>
          <w:lang w:val="en-US"/>
        </w:rPr>
        <w:t>1.3.2</w:t>
      </w:r>
      <w:r w:rsidRPr="00C903F8">
        <w:rPr>
          <w:rFonts w:cs="Arial"/>
          <w:noProof/>
          <w:color w:val="000000"/>
          <w:lang w:val="en-US"/>
        </w:rPr>
        <w:tab/>
        <w:t>The following operating parameters are – when available - to be recorded during sampling:</w:t>
      </w:r>
    </w:p>
    <w:p w:rsidR="009C13A9" w:rsidRPr="00C903F8" w:rsidRDefault="009C13A9" w:rsidP="009C13A9">
      <w:pPr>
        <w:spacing w:line="240" w:lineRule="atLeast"/>
        <w:ind w:left="709" w:hanging="709"/>
        <w:rPr>
          <w:rFonts w:cs="Arial"/>
          <w:noProof/>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417"/>
      </w:tblGrid>
      <w:tr w:rsidR="009C13A9" w:rsidRPr="00296858" w:rsidTr="009C13A9">
        <w:trPr>
          <w:jc w:val="center"/>
        </w:trPr>
        <w:tc>
          <w:tcPr>
            <w:tcW w:w="5103" w:type="dxa"/>
            <w:shd w:val="clear" w:color="auto" w:fill="auto"/>
          </w:tcPr>
          <w:p w:rsidR="009C13A9" w:rsidRPr="00C903F8" w:rsidRDefault="009C13A9" w:rsidP="009C13A9">
            <w:pPr>
              <w:spacing w:before="60" w:after="60" w:line="240" w:lineRule="atLeast"/>
              <w:ind w:left="0" w:firstLine="0"/>
              <w:rPr>
                <w:rFonts w:cs="Arial"/>
                <w:noProof/>
                <w:color w:val="000000"/>
                <w:sz w:val="18"/>
                <w:lang w:val="en-US"/>
              </w:rPr>
            </w:pPr>
            <w:r w:rsidRPr="00C903F8">
              <w:rPr>
                <w:rFonts w:cs="Arial"/>
                <w:noProof/>
                <w:color w:val="000000"/>
                <w:sz w:val="18"/>
                <w:lang w:val="en-US"/>
              </w:rPr>
              <w:t>Concentration of dissolved oxygen in the bioreactor</w:t>
            </w:r>
          </w:p>
        </w:tc>
        <w:tc>
          <w:tcPr>
            <w:tcW w:w="1417" w:type="dxa"/>
            <w:shd w:val="clear" w:color="auto" w:fill="auto"/>
          </w:tcPr>
          <w:p w:rsidR="009C13A9" w:rsidRPr="00C903F8" w:rsidRDefault="009C13A9" w:rsidP="009C13A9">
            <w:pPr>
              <w:spacing w:before="60" w:after="60" w:line="240" w:lineRule="atLeast"/>
              <w:ind w:left="0" w:firstLine="0"/>
              <w:rPr>
                <w:rFonts w:cs="Arial"/>
                <w:noProof/>
                <w:color w:val="000000"/>
                <w:sz w:val="18"/>
                <w:lang w:val="en-US"/>
              </w:rPr>
            </w:pPr>
          </w:p>
        </w:tc>
      </w:tr>
      <w:tr w:rsidR="009C13A9" w:rsidRPr="00296858" w:rsidTr="009C13A9">
        <w:trPr>
          <w:jc w:val="center"/>
        </w:trPr>
        <w:tc>
          <w:tcPr>
            <w:tcW w:w="5103" w:type="dxa"/>
            <w:shd w:val="clear" w:color="auto" w:fill="auto"/>
          </w:tcPr>
          <w:p w:rsidR="009C13A9" w:rsidRPr="00C903F8" w:rsidRDefault="009C13A9" w:rsidP="009C13A9">
            <w:pPr>
              <w:spacing w:before="60" w:after="60" w:line="240" w:lineRule="atLeast"/>
              <w:ind w:left="0" w:firstLine="0"/>
              <w:rPr>
                <w:rFonts w:cs="Arial"/>
                <w:noProof/>
                <w:color w:val="000000"/>
                <w:sz w:val="18"/>
                <w:lang w:val="en-US"/>
              </w:rPr>
            </w:pPr>
            <w:r w:rsidRPr="00C903F8">
              <w:rPr>
                <w:rFonts w:cs="Arial"/>
                <w:noProof/>
                <w:color w:val="000000"/>
                <w:sz w:val="18"/>
                <w:lang w:val="en-US"/>
              </w:rPr>
              <w:t>Dry matter content in the bioreactor</w:t>
            </w:r>
          </w:p>
        </w:tc>
        <w:tc>
          <w:tcPr>
            <w:tcW w:w="1417" w:type="dxa"/>
            <w:shd w:val="clear" w:color="auto" w:fill="auto"/>
          </w:tcPr>
          <w:p w:rsidR="009C13A9" w:rsidRPr="00C903F8" w:rsidRDefault="009C13A9" w:rsidP="009C13A9">
            <w:pPr>
              <w:spacing w:before="60" w:after="60" w:line="240" w:lineRule="atLeast"/>
              <w:ind w:left="0" w:firstLine="0"/>
              <w:rPr>
                <w:rFonts w:cs="Arial"/>
                <w:noProof/>
                <w:color w:val="000000"/>
                <w:sz w:val="18"/>
                <w:lang w:val="en-US"/>
              </w:rPr>
            </w:pPr>
          </w:p>
        </w:tc>
      </w:tr>
      <w:tr w:rsidR="009C13A9" w:rsidRPr="00C903F8" w:rsidTr="009C13A9">
        <w:trPr>
          <w:jc w:val="center"/>
        </w:trPr>
        <w:tc>
          <w:tcPr>
            <w:tcW w:w="5103" w:type="dxa"/>
            <w:shd w:val="clear" w:color="auto" w:fill="auto"/>
          </w:tcPr>
          <w:p w:rsidR="009C13A9" w:rsidRPr="00C903F8" w:rsidRDefault="009C13A9" w:rsidP="009C13A9">
            <w:pPr>
              <w:spacing w:before="60" w:after="60" w:line="240" w:lineRule="atLeast"/>
              <w:ind w:left="0" w:firstLine="0"/>
              <w:rPr>
                <w:rFonts w:cs="Arial"/>
                <w:noProof/>
                <w:color w:val="000000"/>
                <w:sz w:val="18"/>
                <w:lang w:val="nl-NL"/>
              </w:rPr>
            </w:pPr>
            <w:r w:rsidRPr="00C903F8">
              <w:rPr>
                <w:rFonts w:cs="Arial"/>
                <w:noProof/>
                <w:color w:val="000000"/>
                <w:sz w:val="18"/>
                <w:lang w:val="nl-NL"/>
              </w:rPr>
              <w:t>Temperature in the bioreactor</w:t>
            </w:r>
          </w:p>
        </w:tc>
        <w:tc>
          <w:tcPr>
            <w:tcW w:w="1417" w:type="dxa"/>
            <w:shd w:val="clear" w:color="auto" w:fill="auto"/>
          </w:tcPr>
          <w:p w:rsidR="009C13A9" w:rsidRPr="00C903F8" w:rsidRDefault="009C13A9" w:rsidP="009C13A9">
            <w:pPr>
              <w:spacing w:before="60" w:after="60" w:line="240" w:lineRule="atLeast"/>
              <w:ind w:left="0" w:firstLine="0"/>
              <w:rPr>
                <w:rFonts w:cs="Arial"/>
                <w:noProof/>
                <w:color w:val="000000"/>
                <w:sz w:val="18"/>
                <w:lang w:val="nl-NL"/>
              </w:rPr>
            </w:pPr>
          </w:p>
        </w:tc>
      </w:tr>
      <w:tr w:rsidR="009C13A9" w:rsidRPr="00C903F8" w:rsidTr="009C13A9">
        <w:trPr>
          <w:jc w:val="center"/>
        </w:trPr>
        <w:tc>
          <w:tcPr>
            <w:tcW w:w="5103" w:type="dxa"/>
            <w:shd w:val="clear" w:color="auto" w:fill="auto"/>
          </w:tcPr>
          <w:p w:rsidR="009C13A9" w:rsidRPr="00C903F8" w:rsidRDefault="009C13A9" w:rsidP="009C13A9">
            <w:pPr>
              <w:spacing w:before="60" w:after="60" w:line="240" w:lineRule="atLeast"/>
              <w:ind w:left="0" w:firstLine="0"/>
              <w:rPr>
                <w:rFonts w:cs="Arial"/>
                <w:noProof/>
                <w:color w:val="000000"/>
                <w:sz w:val="18"/>
                <w:lang w:val="nl-NL"/>
              </w:rPr>
            </w:pPr>
            <w:r w:rsidRPr="00C903F8">
              <w:rPr>
                <w:rFonts w:cs="Arial"/>
                <w:noProof/>
                <w:color w:val="000000"/>
                <w:sz w:val="18"/>
                <w:lang w:val="nl-NL"/>
              </w:rPr>
              <w:t>Ambient temperature</w:t>
            </w:r>
          </w:p>
        </w:tc>
        <w:tc>
          <w:tcPr>
            <w:tcW w:w="1417" w:type="dxa"/>
            <w:shd w:val="clear" w:color="auto" w:fill="auto"/>
          </w:tcPr>
          <w:p w:rsidR="009C13A9" w:rsidRPr="00C903F8" w:rsidRDefault="009C13A9" w:rsidP="009C13A9">
            <w:pPr>
              <w:spacing w:before="60" w:after="60" w:line="240" w:lineRule="atLeast"/>
              <w:ind w:left="0" w:firstLine="0"/>
              <w:rPr>
                <w:rFonts w:cs="Arial"/>
                <w:noProof/>
                <w:color w:val="000000"/>
                <w:sz w:val="18"/>
                <w:lang w:val="nl-NL"/>
              </w:rPr>
            </w:pPr>
          </w:p>
        </w:tc>
      </w:tr>
    </w:tbl>
    <w:p w:rsidR="009C13A9" w:rsidRPr="00C903F8" w:rsidRDefault="009C13A9" w:rsidP="009C13A9">
      <w:pPr>
        <w:spacing w:line="240" w:lineRule="atLeast"/>
        <w:ind w:left="709" w:hanging="709"/>
        <w:rPr>
          <w:rFonts w:cs="Arial"/>
          <w:noProof/>
          <w:color w:val="000000"/>
          <w:lang w:val="nl-NL"/>
        </w:rPr>
      </w:pPr>
    </w:p>
    <w:p w:rsidR="009C13A9" w:rsidRPr="00C903F8" w:rsidRDefault="009C13A9" w:rsidP="009C13A9">
      <w:pPr>
        <w:spacing w:line="240" w:lineRule="atLeast"/>
        <w:ind w:left="709" w:hanging="709"/>
        <w:rPr>
          <w:rFonts w:cs="Arial"/>
          <w:noProof/>
          <w:color w:val="000000"/>
          <w:lang w:val="en-US"/>
        </w:rPr>
      </w:pPr>
      <w:r w:rsidRPr="00C903F8">
        <w:rPr>
          <w:rFonts w:cs="Arial"/>
          <w:noProof/>
          <w:color w:val="000000"/>
          <w:lang w:val="en-US"/>
        </w:rPr>
        <w:t>1.3.3</w:t>
      </w:r>
      <w:r w:rsidRPr="00C903F8">
        <w:rPr>
          <w:rFonts w:cs="Arial"/>
          <w:noProof/>
          <w:color w:val="000000"/>
          <w:lang w:val="en-US"/>
        </w:rPr>
        <w:tab/>
        <w:t>Further operating parameters according to the manufacturer's operating instructions</w:t>
      </w:r>
    </w:p>
    <w:p w:rsidR="009C13A9" w:rsidRPr="00C903F8" w:rsidRDefault="009C13A9" w:rsidP="009C13A9">
      <w:pPr>
        <w:tabs>
          <w:tab w:val="left" w:leader="dot" w:pos="9072"/>
        </w:tabs>
        <w:spacing w:before="60" w:line="240" w:lineRule="atLeast"/>
        <w:ind w:left="709" w:firstLine="0"/>
        <w:rPr>
          <w:rFonts w:cs="Arial"/>
          <w:noProof/>
          <w:color w:val="000000"/>
          <w:lang w:val="en-US"/>
        </w:rPr>
      </w:pPr>
      <w:r w:rsidRPr="00C903F8">
        <w:rPr>
          <w:rFonts w:cs="Arial"/>
          <w:noProof/>
          <w:color w:val="000000"/>
          <w:lang w:val="en-US"/>
        </w:rPr>
        <w:tab/>
      </w:r>
    </w:p>
    <w:p w:rsidR="009C13A9" w:rsidRPr="00C903F8" w:rsidRDefault="009C13A9" w:rsidP="009C13A9">
      <w:pPr>
        <w:tabs>
          <w:tab w:val="left" w:leader="dot" w:pos="9072"/>
        </w:tabs>
        <w:spacing w:before="60" w:line="240" w:lineRule="atLeast"/>
        <w:ind w:left="709" w:firstLine="0"/>
        <w:rPr>
          <w:rFonts w:cs="Arial"/>
          <w:noProof/>
          <w:color w:val="000000"/>
          <w:lang w:val="en-US"/>
        </w:rPr>
      </w:pPr>
      <w:r w:rsidRPr="00C903F8">
        <w:rPr>
          <w:rFonts w:cs="Arial"/>
          <w:noProof/>
          <w:color w:val="000000"/>
          <w:lang w:val="en-US"/>
        </w:rPr>
        <w:tab/>
      </w:r>
    </w:p>
    <w:p w:rsidR="009C13A9" w:rsidRPr="00C903F8" w:rsidRDefault="009C13A9" w:rsidP="009C13A9">
      <w:pPr>
        <w:tabs>
          <w:tab w:val="left" w:leader="dot" w:pos="9072"/>
        </w:tabs>
        <w:spacing w:before="60" w:line="240" w:lineRule="atLeast"/>
        <w:ind w:left="709" w:firstLine="0"/>
        <w:rPr>
          <w:rFonts w:cs="Arial"/>
          <w:noProof/>
          <w:color w:val="000000"/>
          <w:lang w:val="en-US"/>
        </w:rPr>
      </w:pPr>
      <w:r w:rsidRPr="00C903F8">
        <w:rPr>
          <w:rFonts w:cs="Arial"/>
          <w:noProof/>
          <w:color w:val="000000"/>
          <w:lang w:val="en-US"/>
        </w:rPr>
        <w:tab/>
      </w:r>
    </w:p>
    <w:p w:rsidR="009C13A9" w:rsidRPr="00C903F8" w:rsidRDefault="009C13A9" w:rsidP="009C13A9">
      <w:pPr>
        <w:tabs>
          <w:tab w:val="left" w:leader="dot" w:pos="9072"/>
        </w:tabs>
        <w:spacing w:before="60" w:line="240" w:lineRule="atLeast"/>
        <w:ind w:left="709" w:firstLine="0"/>
        <w:rPr>
          <w:rFonts w:cs="Arial"/>
          <w:noProof/>
          <w:color w:val="000000"/>
          <w:lang w:val="en-US"/>
        </w:rPr>
      </w:pPr>
      <w:r w:rsidRPr="00C903F8">
        <w:rPr>
          <w:rFonts w:cs="Arial"/>
          <w:noProof/>
          <w:color w:val="000000"/>
          <w:lang w:val="en-US"/>
        </w:rPr>
        <w:tab/>
      </w:r>
    </w:p>
    <w:p w:rsidR="009C13A9" w:rsidRPr="00C903F8" w:rsidRDefault="009C13A9" w:rsidP="009C13A9">
      <w:pPr>
        <w:spacing w:line="240" w:lineRule="atLeast"/>
        <w:ind w:left="709" w:hanging="709"/>
        <w:rPr>
          <w:rFonts w:cs="Arial"/>
          <w:noProof/>
          <w:color w:val="000000"/>
          <w:lang w:val="en-US"/>
        </w:rPr>
      </w:pPr>
    </w:p>
    <w:p w:rsidR="009C13A9" w:rsidRPr="00C903F8" w:rsidRDefault="009C13A9" w:rsidP="009C13A9">
      <w:pPr>
        <w:spacing w:line="240" w:lineRule="atLeast"/>
        <w:ind w:left="709" w:hanging="709"/>
        <w:rPr>
          <w:rFonts w:cs="Arial"/>
          <w:noProof/>
          <w:color w:val="000000"/>
          <w:lang w:val="en-US"/>
        </w:rPr>
      </w:pPr>
      <w:r w:rsidRPr="00C903F8">
        <w:rPr>
          <w:rFonts w:cs="Arial"/>
          <w:noProof/>
          <w:color w:val="000000"/>
          <w:lang w:val="en-US"/>
        </w:rPr>
        <w:t>1.4</w:t>
      </w:r>
      <w:r w:rsidRPr="00C903F8">
        <w:rPr>
          <w:rFonts w:cs="Arial"/>
          <w:noProof/>
          <w:color w:val="000000"/>
          <w:lang w:val="en-US"/>
        </w:rPr>
        <w:tab/>
        <w:t>Competent authority or Technical service:</w:t>
      </w:r>
    </w:p>
    <w:p w:rsidR="009C13A9" w:rsidRPr="00C903F8" w:rsidRDefault="009C13A9" w:rsidP="009C13A9">
      <w:pPr>
        <w:spacing w:line="240" w:lineRule="atLeast"/>
        <w:ind w:left="709" w:hanging="709"/>
        <w:rPr>
          <w:rFonts w:cs="Arial"/>
          <w:noProof/>
          <w:color w:val="000000"/>
          <w:lang w:val="en-US"/>
        </w:rPr>
      </w:pPr>
    </w:p>
    <w:p w:rsidR="009C13A9" w:rsidRPr="00C903F8" w:rsidRDefault="009C13A9" w:rsidP="009C13A9">
      <w:pPr>
        <w:spacing w:line="240" w:lineRule="atLeast"/>
        <w:ind w:left="709" w:hanging="709"/>
        <w:rPr>
          <w:rFonts w:cs="Arial"/>
          <w:noProof/>
          <w:color w:val="000000"/>
          <w:lang w:val="en-US"/>
        </w:rPr>
      </w:pPr>
    </w:p>
    <w:p w:rsidR="009C13A9" w:rsidRPr="00C903F8" w:rsidRDefault="009C13A9" w:rsidP="009C13A9">
      <w:pPr>
        <w:tabs>
          <w:tab w:val="left" w:leader="dot" w:pos="3828"/>
          <w:tab w:val="left" w:pos="4111"/>
          <w:tab w:val="left" w:leader="dot" w:pos="9072"/>
        </w:tabs>
        <w:spacing w:line="240" w:lineRule="atLeast"/>
        <w:ind w:left="0" w:firstLine="0"/>
        <w:rPr>
          <w:rFonts w:cs="Arial"/>
          <w:noProof/>
          <w:color w:val="000000"/>
          <w:lang w:val="en-US"/>
        </w:rPr>
      </w:pPr>
      <w:r w:rsidRPr="00C903F8">
        <w:rPr>
          <w:rFonts w:cs="Arial"/>
          <w:noProof/>
          <w:color w:val="000000"/>
          <w:lang w:val="en-US"/>
        </w:rPr>
        <w:t xml:space="preserve">Place, date: </w:t>
      </w:r>
      <w:r w:rsidRPr="00C903F8">
        <w:rPr>
          <w:rFonts w:cs="Arial"/>
          <w:noProof/>
          <w:color w:val="000000"/>
          <w:lang w:val="en-US"/>
        </w:rPr>
        <w:tab/>
      </w:r>
      <w:r w:rsidRPr="00C903F8">
        <w:rPr>
          <w:rFonts w:cs="Arial"/>
          <w:noProof/>
          <w:color w:val="000000"/>
          <w:lang w:val="en-US"/>
        </w:rPr>
        <w:tab/>
        <w:t xml:space="preserve">Signature: </w:t>
      </w:r>
      <w:r w:rsidRPr="00C903F8">
        <w:rPr>
          <w:rFonts w:cs="Arial"/>
          <w:noProof/>
          <w:color w:val="000000"/>
          <w:lang w:val="en-US"/>
        </w:rPr>
        <w:tab/>
      </w:r>
    </w:p>
    <w:p w:rsidR="009C13A9" w:rsidRPr="00C903F8" w:rsidRDefault="009C13A9" w:rsidP="009C13A9">
      <w:pPr>
        <w:spacing w:line="240" w:lineRule="atLeast"/>
        <w:ind w:left="709" w:hanging="709"/>
        <w:rPr>
          <w:rFonts w:cs="Arial"/>
          <w:noProof/>
          <w:color w:val="000000"/>
          <w:lang w:val="en-US"/>
        </w:rPr>
      </w:pPr>
    </w:p>
    <w:p w:rsidR="009C13A9" w:rsidRPr="00C903F8" w:rsidRDefault="009C13A9" w:rsidP="009C13A9">
      <w:pPr>
        <w:spacing w:line="240" w:lineRule="atLeast"/>
        <w:ind w:left="709" w:hanging="709"/>
        <w:rPr>
          <w:rFonts w:cs="Arial"/>
          <w:noProof/>
          <w:color w:val="000000"/>
          <w:lang w:val="en-US"/>
        </w:rPr>
      </w:pPr>
    </w:p>
    <w:p w:rsidR="009C13A9" w:rsidRPr="00C903F8" w:rsidRDefault="009C13A9" w:rsidP="009C13A9">
      <w:pPr>
        <w:spacing w:line="240" w:lineRule="atLeast"/>
        <w:ind w:left="709" w:hanging="709"/>
        <w:rPr>
          <w:rFonts w:cs="Arial"/>
          <w:noProof/>
          <w:color w:val="000000"/>
          <w:lang w:val="en-US"/>
        </w:rPr>
      </w:pPr>
    </w:p>
    <w:p w:rsidR="009C13A9" w:rsidRPr="00C903F8" w:rsidRDefault="009C13A9" w:rsidP="009C13A9">
      <w:pPr>
        <w:spacing w:line="240" w:lineRule="atLeast"/>
        <w:ind w:left="709" w:hanging="709"/>
        <w:rPr>
          <w:rFonts w:cs="Arial"/>
          <w:noProof/>
          <w:color w:val="000000"/>
          <w:lang w:val="en-US"/>
        </w:rPr>
      </w:pPr>
      <w:r w:rsidRPr="00C903F8">
        <w:rPr>
          <w:rFonts w:cs="Arial"/>
          <w:noProof/>
          <w:color w:val="000000"/>
          <w:lang w:val="en-US"/>
        </w:rPr>
        <w:br w:type="page"/>
      </w:r>
    </w:p>
    <w:p w:rsidR="00390107" w:rsidRPr="00C903F8" w:rsidRDefault="00390107" w:rsidP="009C13A9">
      <w:pPr>
        <w:spacing w:line="240" w:lineRule="atLeast"/>
        <w:ind w:left="709" w:hanging="709"/>
        <w:rPr>
          <w:rFonts w:cs="Arial"/>
          <w:noProof/>
          <w:color w:val="000000"/>
          <w:lang w:val="en-US"/>
        </w:rPr>
      </w:pPr>
    </w:p>
    <w:p w:rsidR="00390107" w:rsidRPr="00C903F8" w:rsidRDefault="00390107" w:rsidP="009C13A9">
      <w:pPr>
        <w:spacing w:line="240" w:lineRule="atLeast"/>
        <w:ind w:left="709" w:hanging="709"/>
        <w:rPr>
          <w:rFonts w:cs="Arial"/>
          <w:noProof/>
          <w:color w:val="000000"/>
          <w:lang w:val="en-US"/>
        </w:rPr>
      </w:pPr>
    </w:p>
    <w:p w:rsidR="009C13A9" w:rsidRPr="00C903F8" w:rsidRDefault="009C13A9" w:rsidP="009C13A9">
      <w:pPr>
        <w:spacing w:line="240" w:lineRule="atLeast"/>
        <w:ind w:left="709" w:hanging="709"/>
        <w:rPr>
          <w:rFonts w:cs="Arial"/>
          <w:noProof/>
          <w:color w:val="000000"/>
          <w:lang w:val="en-US"/>
        </w:rPr>
      </w:pPr>
    </w:p>
    <w:p w:rsidR="009C13A9" w:rsidRPr="00C903F8" w:rsidRDefault="009C13A9" w:rsidP="009C13A9">
      <w:pPr>
        <w:spacing w:line="240" w:lineRule="atLeast"/>
        <w:rPr>
          <w:rFonts w:cs="Arial"/>
          <w:color w:val="000000"/>
          <w:lang w:val="en-US" w:eastAsia="ar-SA"/>
        </w:rPr>
      </w:pPr>
      <w:r w:rsidRPr="00C903F8">
        <w:rPr>
          <w:rFonts w:cs="Arial"/>
          <w:color w:val="000000"/>
          <w:lang w:val="en-US" w:eastAsia="ar-SA"/>
        </w:rPr>
        <w:br w:type="page"/>
      </w:r>
    </w:p>
    <w:p w:rsidR="009C13A9" w:rsidRPr="00C903F8" w:rsidRDefault="00925755" w:rsidP="00390107">
      <w:pPr>
        <w:pStyle w:val="ES-Titre3"/>
        <w:rPr>
          <w:noProof/>
          <w:lang w:val="en-US"/>
        </w:rPr>
      </w:pPr>
      <w:bookmarkStart w:id="370" w:name="_Toc491854330"/>
      <w:r w:rsidRPr="00C903F8">
        <w:rPr>
          <w:noProof/>
          <w:lang w:val="en-US"/>
        </w:rPr>
        <w:lastRenderedPageBreak/>
        <w:t>Section</w:t>
      </w:r>
      <w:r w:rsidR="009C13A9" w:rsidRPr="00C903F8">
        <w:rPr>
          <w:noProof/>
          <w:lang w:val="en-US"/>
        </w:rPr>
        <w:t xml:space="preserve"> IV</w:t>
      </w:r>
      <w:bookmarkEnd w:id="370"/>
    </w:p>
    <w:p w:rsidR="009C13A9" w:rsidRPr="00C903F8" w:rsidRDefault="00390107" w:rsidP="00390107">
      <w:pPr>
        <w:pStyle w:val="ES-Titre3a"/>
        <w:rPr>
          <w:noProof/>
          <w:lang w:val="en-US"/>
        </w:rPr>
      </w:pPr>
      <w:bookmarkStart w:id="371" w:name="_Toc491854331"/>
      <w:r w:rsidRPr="00C903F8">
        <w:rPr>
          <w:noProof/>
          <w:lang w:val="en-US"/>
        </w:rPr>
        <w:t>Type approvals numbering system</w:t>
      </w:r>
      <w:bookmarkEnd w:id="371"/>
    </w:p>
    <w:p w:rsidR="009C13A9" w:rsidRPr="00C903F8" w:rsidRDefault="009C13A9" w:rsidP="009C13A9">
      <w:pPr>
        <w:overflowPunct w:val="0"/>
        <w:adjustRightInd w:val="0"/>
        <w:spacing w:line="240" w:lineRule="exact"/>
        <w:ind w:left="0" w:firstLine="0"/>
        <w:jc w:val="center"/>
        <w:textAlignment w:val="baseline"/>
        <w:rPr>
          <w:rFonts w:eastAsia="Calibri"/>
          <w:szCs w:val="22"/>
          <w:lang w:val="en-US" w:eastAsia="en-US"/>
        </w:rPr>
      </w:pPr>
      <w:r w:rsidRPr="00C903F8">
        <w:rPr>
          <w:rFonts w:eastAsia="Calibri"/>
          <w:szCs w:val="22"/>
          <w:lang w:val="en-US" w:eastAsia="en-US"/>
        </w:rPr>
        <w:t>(Model)</w:t>
      </w:r>
    </w:p>
    <w:p w:rsidR="009C13A9" w:rsidRPr="00C903F8" w:rsidRDefault="009C13A9" w:rsidP="009C13A9">
      <w:pPr>
        <w:spacing w:line="240" w:lineRule="atLeast"/>
        <w:rPr>
          <w:rFonts w:cs="Arial"/>
          <w:color w:val="000000"/>
          <w:lang w:val="en-US" w:eastAsia="ar-SA"/>
        </w:rPr>
      </w:pPr>
    </w:p>
    <w:p w:rsidR="009C13A9" w:rsidRPr="00C903F8" w:rsidRDefault="009C13A9" w:rsidP="009C13A9">
      <w:pPr>
        <w:spacing w:line="240" w:lineRule="atLeast"/>
        <w:rPr>
          <w:rFonts w:cs="Arial"/>
          <w:color w:val="000000"/>
          <w:lang w:val="en-US" w:eastAsia="ar-SA"/>
        </w:rPr>
      </w:pPr>
      <w:r w:rsidRPr="00C903F8">
        <w:rPr>
          <w:rFonts w:cs="Arial"/>
          <w:color w:val="000000"/>
          <w:lang w:val="en-US" w:eastAsia="ar-SA"/>
        </w:rPr>
        <w:t>1.</w:t>
      </w:r>
      <w:r w:rsidRPr="00C903F8">
        <w:rPr>
          <w:rFonts w:cs="Arial"/>
          <w:color w:val="000000"/>
          <w:lang w:val="en-US" w:eastAsia="ar-SA"/>
        </w:rPr>
        <w:tab/>
        <w:t>System</w:t>
      </w:r>
    </w:p>
    <w:p w:rsidR="009C13A9" w:rsidRPr="00C903F8" w:rsidRDefault="009C13A9" w:rsidP="009C13A9">
      <w:pPr>
        <w:spacing w:line="240" w:lineRule="atLeast"/>
        <w:rPr>
          <w:rFonts w:cs="Arial"/>
          <w:color w:val="000000"/>
          <w:lang w:val="en-US" w:eastAsia="ar-SA"/>
        </w:rPr>
      </w:pPr>
    </w:p>
    <w:p w:rsidR="009C13A9" w:rsidRPr="00C903F8" w:rsidRDefault="009C13A9" w:rsidP="009C13A9">
      <w:pPr>
        <w:spacing w:line="240" w:lineRule="atLeast"/>
        <w:ind w:left="426" w:firstLine="0"/>
        <w:rPr>
          <w:lang w:val="en-US" w:eastAsia="nl-NL"/>
        </w:rPr>
      </w:pPr>
      <w:r w:rsidRPr="00C903F8">
        <w:rPr>
          <w:lang w:val="en-US" w:eastAsia="nl-NL"/>
        </w:rPr>
        <w:t>The number shall consist of four sections separated by the '*' character.</w:t>
      </w:r>
    </w:p>
    <w:p w:rsidR="009C13A9" w:rsidRPr="00C903F8" w:rsidRDefault="009C13A9" w:rsidP="009C13A9">
      <w:pPr>
        <w:spacing w:line="240" w:lineRule="atLeast"/>
        <w:ind w:left="426" w:firstLine="0"/>
        <w:rPr>
          <w:lang w:val="en-US" w:eastAsia="nl-NL"/>
        </w:rPr>
      </w:pPr>
    </w:p>
    <w:p w:rsidR="009C13A9" w:rsidRPr="00C903F8" w:rsidRDefault="009C13A9" w:rsidP="009C13A9">
      <w:pPr>
        <w:spacing w:line="240" w:lineRule="atLeast"/>
        <w:ind w:left="1560" w:hanging="1134"/>
        <w:rPr>
          <w:lang w:val="en-US" w:eastAsia="nl-NL"/>
        </w:rPr>
      </w:pPr>
      <w:r w:rsidRPr="00C903F8">
        <w:rPr>
          <w:lang w:val="en-US" w:eastAsia="nl-NL"/>
        </w:rPr>
        <w:t>Section 1:</w:t>
      </w:r>
      <w:r w:rsidRPr="00C903F8">
        <w:rPr>
          <w:lang w:val="en-US" w:eastAsia="nl-NL"/>
        </w:rPr>
        <w:tab/>
        <w:t>The small letter 'e' for EU or the letter 'R' followed by the distinguishing number of the State issuing the type approval:</w:t>
      </w:r>
    </w:p>
    <w:p w:rsidR="009C13A9" w:rsidRPr="00C903F8" w:rsidRDefault="009C13A9" w:rsidP="009C13A9">
      <w:pPr>
        <w:ind w:left="850" w:hanging="850"/>
        <w:rPr>
          <w:noProof/>
          <w:lang w:val="en-US"/>
        </w:rPr>
      </w:pPr>
    </w:p>
    <w:tbl>
      <w:tblPr>
        <w:tblW w:w="7587" w:type="dxa"/>
        <w:jc w:val="center"/>
        <w:tblLayout w:type="fixed"/>
        <w:tblLook w:val="0000" w:firstRow="0" w:lastRow="0" w:firstColumn="0" w:lastColumn="0" w:noHBand="0" w:noVBand="0"/>
      </w:tblPr>
      <w:tblGrid>
        <w:gridCol w:w="720"/>
        <w:gridCol w:w="360"/>
        <w:gridCol w:w="3162"/>
        <w:gridCol w:w="724"/>
        <w:gridCol w:w="416"/>
        <w:gridCol w:w="2205"/>
      </w:tblGrid>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01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Germany</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19</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w:t>
            </w:r>
          </w:p>
        </w:tc>
        <w:tc>
          <w:tcPr>
            <w:tcW w:w="2205" w:type="dxa"/>
          </w:tcPr>
          <w:p w:rsidR="009C13A9" w:rsidRPr="00C903F8" w:rsidRDefault="009C13A9" w:rsidP="009C13A9">
            <w:pPr>
              <w:spacing w:before="40" w:after="40" w:line="240" w:lineRule="atLeast"/>
              <w:rPr>
                <w:noProof/>
                <w:szCs w:val="20"/>
                <w:lang w:bidi="fr-FR"/>
              </w:rPr>
            </w:pPr>
            <w:r w:rsidRPr="00C903F8">
              <w:rPr>
                <w:noProof/>
                <w:lang w:val="en-US"/>
              </w:rPr>
              <w:t>Romania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02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France </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20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Poland </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03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Italy</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21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Portugal </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04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Netherlands </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23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noProof/>
                <w:lang w:val="en-US"/>
              </w:rPr>
              <w:t>Greece</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05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Sweden</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24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noProof/>
                <w:lang w:val="en-US"/>
              </w:rPr>
              <w:t>Ireland</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06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Belgium </w:t>
            </w:r>
          </w:p>
        </w:tc>
        <w:tc>
          <w:tcPr>
            <w:tcW w:w="724" w:type="dxa"/>
            <w:vAlign w:val="center"/>
          </w:tcPr>
          <w:p w:rsidR="009C13A9" w:rsidRPr="00C903F8" w:rsidRDefault="009C13A9" w:rsidP="009C13A9">
            <w:pPr>
              <w:spacing w:before="40" w:after="40" w:line="240" w:lineRule="atLeast"/>
              <w:rPr>
                <w:noProof/>
                <w:szCs w:val="20"/>
                <w:lang w:bidi="fr-FR"/>
              </w:rPr>
            </w:pPr>
            <w:r w:rsidRPr="00C903F8">
              <w:rPr>
                <w:rFonts w:eastAsia="Arial" w:cs="Arial"/>
                <w:color w:val="000000"/>
                <w:szCs w:val="20"/>
                <w:lang w:val="de-DE" w:eastAsia="ar-SA"/>
              </w:rPr>
              <w:t>25</w:t>
            </w:r>
          </w:p>
        </w:tc>
        <w:tc>
          <w:tcPr>
            <w:tcW w:w="416" w:type="dxa"/>
            <w:vAlign w:val="center"/>
          </w:tcPr>
          <w:p w:rsidR="009C13A9" w:rsidRPr="00C903F8" w:rsidRDefault="009C13A9" w:rsidP="009C13A9">
            <w:pPr>
              <w:spacing w:before="40" w:after="40" w:line="240" w:lineRule="atLeast"/>
              <w:rPr>
                <w:noProof/>
                <w:szCs w:val="20"/>
                <w:lang w:bidi="fr-FR"/>
              </w:rPr>
            </w:pPr>
            <w:r w:rsidRPr="00C903F8">
              <w:rPr>
                <w:rFonts w:eastAsia="Arial" w:cs="Arial"/>
                <w:color w:val="000000"/>
                <w:szCs w:val="20"/>
                <w:lang w:val="de-DE" w:eastAsia="ar-SA"/>
              </w:rPr>
              <w:t>=</w:t>
            </w:r>
          </w:p>
        </w:tc>
        <w:tc>
          <w:tcPr>
            <w:tcW w:w="2205" w:type="dxa"/>
            <w:vAlign w:val="center"/>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Croatia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07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Hungary</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26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Slovenia</w:t>
            </w:r>
          </w:p>
        </w:tc>
      </w:tr>
      <w:tr w:rsidR="009C13A9" w:rsidRPr="00C903F8" w:rsidTr="009C13A9">
        <w:trPr>
          <w:jc w:val="center"/>
        </w:trPr>
        <w:tc>
          <w:tcPr>
            <w:tcW w:w="720" w:type="dxa"/>
          </w:tcPr>
          <w:p w:rsidR="009C13A9" w:rsidRPr="00C903F8" w:rsidRDefault="009C13A9" w:rsidP="009C13A9">
            <w:pPr>
              <w:spacing w:before="40" w:after="160" w:line="240" w:lineRule="atLeast"/>
              <w:rPr>
                <w:noProof/>
                <w:szCs w:val="20"/>
                <w:lang w:bidi="fr-FR"/>
              </w:rPr>
            </w:pPr>
            <w:r w:rsidRPr="00C903F8">
              <w:rPr>
                <w:noProof/>
                <w:szCs w:val="20"/>
                <w:lang w:bidi="fr-FR"/>
              </w:rPr>
              <w:t xml:space="preserve">08 </w:t>
            </w:r>
          </w:p>
        </w:tc>
        <w:tc>
          <w:tcPr>
            <w:tcW w:w="360" w:type="dxa"/>
          </w:tcPr>
          <w:p w:rsidR="009C13A9" w:rsidRPr="00C903F8" w:rsidRDefault="009C13A9" w:rsidP="009C13A9">
            <w:pPr>
              <w:spacing w:before="40" w:after="16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160" w:line="240" w:lineRule="atLeast"/>
              <w:rPr>
                <w:noProof/>
                <w:szCs w:val="20"/>
                <w:lang w:bidi="fr-FR"/>
              </w:rPr>
            </w:pPr>
            <w:r w:rsidRPr="00C903F8">
              <w:rPr>
                <w:rFonts w:cs="Arial"/>
                <w:noProof/>
                <w:snapToGrid w:val="0"/>
                <w:szCs w:val="20"/>
                <w:lang w:val="en-US"/>
              </w:rPr>
              <w:t>Czech Republic</w:t>
            </w:r>
          </w:p>
        </w:tc>
        <w:tc>
          <w:tcPr>
            <w:tcW w:w="724" w:type="dxa"/>
          </w:tcPr>
          <w:p w:rsidR="009C13A9" w:rsidRPr="00C903F8" w:rsidRDefault="009C13A9" w:rsidP="009C13A9">
            <w:pPr>
              <w:spacing w:before="40" w:after="160" w:line="240" w:lineRule="atLeast"/>
              <w:rPr>
                <w:noProof/>
                <w:szCs w:val="20"/>
                <w:lang w:bidi="fr-FR"/>
              </w:rPr>
            </w:pPr>
            <w:r w:rsidRPr="00C903F8">
              <w:rPr>
                <w:noProof/>
                <w:szCs w:val="20"/>
                <w:lang w:bidi="fr-FR"/>
              </w:rPr>
              <w:t xml:space="preserve">27 </w:t>
            </w:r>
          </w:p>
        </w:tc>
        <w:tc>
          <w:tcPr>
            <w:tcW w:w="416" w:type="dxa"/>
          </w:tcPr>
          <w:p w:rsidR="009C13A9" w:rsidRPr="00C903F8" w:rsidRDefault="009C13A9" w:rsidP="009C13A9">
            <w:pPr>
              <w:spacing w:before="40" w:after="16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160" w:line="240" w:lineRule="atLeast"/>
              <w:rPr>
                <w:noProof/>
                <w:szCs w:val="20"/>
                <w:lang w:bidi="fr-FR"/>
              </w:rPr>
            </w:pPr>
            <w:r w:rsidRPr="00C903F8">
              <w:rPr>
                <w:noProof/>
                <w:lang w:val="en-US"/>
              </w:rPr>
              <w:t>Slovakia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09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Spain </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29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Estonia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11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lang w:val="en-US"/>
              </w:rPr>
              <w:t>United Kingdom</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32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Latvia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12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Austria</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34</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w:t>
            </w:r>
          </w:p>
        </w:tc>
        <w:tc>
          <w:tcPr>
            <w:tcW w:w="2205" w:type="dxa"/>
          </w:tcPr>
          <w:p w:rsidR="009C13A9" w:rsidRPr="00C903F8" w:rsidRDefault="009C13A9" w:rsidP="009C13A9">
            <w:pPr>
              <w:spacing w:before="40" w:after="40" w:line="240" w:lineRule="atLeast"/>
              <w:rPr>
                <w:noProof/>
                <w:szCs w:val="20"/>
                <w:lang w:bidi="fr-FR"/>
              </w:rPr>
            </w:pPr>
            <w:r w:rsidRPr="00C903F8">
              <w:rPr>
                <w:noProof/>
                <w:lang w:val="en-US"/>
              </w:rPr>
              <w:t>Bulgaria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13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Luxembourg </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36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Lithuania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14</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Switzerland</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49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noProof/>
                <w:lang w:val="en-US"/>
              </w:rPr>
              <w:t>Cyprus</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17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Finland</w:t>
            </w:r>
          </w:p>
        </w:tc>
        <w:tc>
          <w:tcPr>
            <w:tcW w:w="724"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50 </w:t>
            </w:r>
          </w:p>
        </w:tc>
        <w:tc>
          <w:tcPr>
            <w:tcW w:w="416"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2205" w:type="dxa"/>
          </w:tcPr>
          <w:p w:rsidR="009C13A9" w:rsidRPr="00C903F8" w:rsidRDefault="009C13A9" w:rsidP="009C13A9">
            <w:pPr>
              <w:spacing w:before="40" w:after="40" w:line="240" w:lineRule="atLeast"/>
              <w:rPr>
                <w:noProof/>
                <w:szCs w:val="20"/>
                <w:lang w:bidi="fr-FR"/>
              </w:rPr>
            </w:pPr>
            <w:r w:rsidRPr="00C903F8">
              <w:rPr>
                <w:rFonts w:cs="Arial"/>
                <w:noProof/>
                <w:snapToGrid w:val="0"/>
                <w:szCs w:val="20"/>
                <w:lang w:val="en-US"/>
              </w:rPr>
              <w:t>Malta</w:t>
            </w:r>
          </w:p>
        </w:tc>
      </w:tr>
      <w:tr w:rsidR="009C13A9" w:rsidRPr="00C903F8" w:rsidTr="009C13A9">
        <w:trPr>
          <w:jc w:val="center"/>
        </w:trPr>
        <w:tc>
          <w:tcPr>
            <w:tcW w:w="72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18 </w:t>
            </w:r>
          </w:p>
        </w:tc>
        <w:tc>
          <w:tcPr>
            <w:tcW w:w="360"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 </w:t>
            </w:r>
          </w:p>
        </w:tc>
        <w:tc>
          <w:tcPr>
            <w:tcW w:w="3162" w:type="dxa"/>
          </w:tcPr>
          <w:p w:rsidR="009C13A9" w:rsidRPr="00C903F8" w:rsidRDefault="009C13A9" w:rsidP="009C13A9">
            <w:pPr>
              <w:spacing w:before="40" w:after="40" w:line="240" w:lineRule="atLeast"/>
              <w:rPr>
                <w:noProof/>
                <w:szCs w:val="20"/>
                <w:lang w:bidi="fr-FR"/>
              </w:rPr>
            </w:pPr>
            <w:r w:rsidRPr="00C903F8">
              <w:rPr>
                <w:noProof/>
                <w:szCs w:val="20"/>
                <w:lang w:bidi="fr-FR"/>
              </w:rPr>
              <w:t xml:space="preserve">Denmark </w:t>
            </w:r>
          </w:p>
        </w:tc>
        <w:tc>
          <w:tcPr>
            <w:tcW w:w="724" w:type="dxa"/>
          </w:tcPr>
          <w:p w:rsidR="009C13A9" w:rsidRPr="00C903F8" w:rsidRDefault="009C13A9" w:rsidP="009C13A9">
            <w:pPr>
              <w:spacing w:before="40" w:after="40" w:line="240" w:lineRule="atLeast"/>
              <w:rPr>
                <w:noProof/>
                <w:szCs w:val="20"/>
                <w:lang w:bidi="fr-FR"/>
              </w:rPr>
            </w:pPr>
          </w:p>
        </w:tc>
        <w:tc>
          <w:tcPr>
            <w:tcW w:w="416" w:type="dxa"/>
          </w:tcPr>
          <w:p w:rsidR="009C13A9" w:rsidRPr="00C903F8" w:rsidRDefault="009C13A9" w:rsidP="009C13A9">
            <w:pPr>
              <w:spacing w:before="40" w:after="40" w:line="240" w:lineRule="atLeast"/>
              <w:rPr>
                <w:noProof/>
                <w:szCs w:val="20"/>
                <w:lang w:bidi="fr-FR"/>
              </w:rPr>
            </w:pPr>
          </w:p>
        </w:tc>
        <w:tc>
          <w:tcPr>
            <w:tcW w:w="2205" w:type="dxa"/>
          </w:tcPr>
          <w:p w:rsidR="009C13A9" w:rsidRPr="00C903F8" w:rsidRDefault="009C13A9" w:rsidP="009C13A9">
            <w:pPr>
              <w:spacing w:before="40" w:after="40" w:line="240" w:lineRule="atLeast"/>
              <w:rPr>
                <w:noProof/>
                <w:szCs w:val="20"/>
                <w:lang w:bidi="fr-FR"/>
              </w:rPr>
            </w:pPr>
          </w:p>
        </w:tc>
      </w:tr>
    </w:tbl>
    <w:p w:rsidR="009C13A9" w:rsidRPr="00C903F8" w:rsidRDefault="009C13A9" w:rsidP="009C13A9">
      <w:pPr>
        <w:ind w:left="850" w:hanging="850"/>
        <w:rPr>
          <w:noProof/>
          <w:lang w:val="en-US"/>
        </w:rPr>
      </w:pPr>
    </w:p>
    <w:p w:rsidR="009C13A9" w:rsidRPr="00C903F8" w:rsidRDefault="009C13A9" w:rsidP="009C13A9">
      <w:pPr>
        <w:ind w:left="850" w:hanging="850"/>
        <w:rPr>
          <w:noProof/>
          <w:lang w:val="en-US"/>
        </w:rPr>
      </w:pPr>
    </w:p>
    <w:p w:rsidR="009C13A9" w:rsidRPr="00C903F8" w:rsidRDefault="009C13A9" w:rsidP="009C13A9">
      <w:pPr>
        <w:spacing w:line="240" w:lineRule="atLeast"/>
        <w:ind w:left="1560" w:hanging="1134"/>
        <w:rPr>
          <w:noProof/>
          <w:lang w:val="en-US" w:eastAsia="nl-NL"/>
        </w:rPr>
      </w:pPr>
      <w:r w:rsidRPr="00C903F8">
        <w:rPr>
          <w:noProof/>
          <w:lang w:val="en-US" w:eastAsia="nl-NL"/>
        </w:rPr>
        <w:t>Section 2:</w:t>
      </w:r>
      <w:r w:rsidRPr="00C903F8">
        <w:rPr>
          <w:noProof/>
          <w:lang w:val="en-US" w:eastAsia="nl-NL"/>
        </w:rPr>
        <w:tab/>
        <w:t>The indication of the requirement level. The requirements regarding purification efficiency are likely to be stepped up in the future. The different</w:t>
      </w:r>
      <w:r w:rsidR="00275ADD" w:rsidRPr="00C903F8">
        <w:rPr>
          <w:noProof/>
          <w:lang w:val="en-US" w:eastAsia="nl-NL"/>
        </w:rPr>
        <w:t xml:space="preserve"> </w:t>
      </w:r>
      <w:r w:rsidRPr="00C903F8">
        <w:rPr>
          <w:noProof/>
          <w:lang w:val="en-US" w:eastAsia="nl-NL"/>
        </w:rPr>
        <w:tab/>
        <w:t>requirement levels are denoted by Roman numerals, starting at level I.</w:t>
      </w:r>
    </w:p>
    <w:p w:rsidR="009C13A9" w:rsidRPr="00C903F8" w:rsidRDefault="009C13A9" w:rsidP="009C13A9">
      <w:pPr>
        <w:spacing w:line="240" w:lineRule="atLeast"/>
        <w:ind w:left="1560" w:hanging="1134"/>
        <w:rPr>
          <w:noProof/>
          <w:lang w:val="en-US" w:eastAsia="nl-NL"/>
        </w:rPr>
      </w:pPr>
    </w:p>
    <w:p w:rsidR="009C13A9" w:rsidRPr="00C903F8" w:rsidRDefault="009C13A9" w:rsidP="009C13A9">
      <w:pPr>
        <w:spacing w:line="240" w:lineRule="atLeast"/>
        <w:ind w:left="1560" w:hanging="1134"/>
        <w:rPr>
          <w:noProof/>
          <w:lang w:val="en-US" w:eastAsia="nl-NL"/>
        </w:rPr>
      </w:pPr>
      <w:r w:rsidRPr="00C903F8">
        <w:rPr>
          <w:noProof/>
          <w:szCs w:val="22"/>
          <w:lang w:val="en-US" w:eastAsia="nl-NL"/>
        </w:rPr>
        <w:t>Section 3:</w:t>
      </w:r>
      <w:r w:rsidRPr="00C903F8">
        <w:rPr>
          <w:noProof/>
          <w:szCs w:val="22"/>
          <w:lang w:val="en-US" w:eastAsia="nl-NL"/>
        </w:rPr>
        <w:tab/>
        <w:t>A four-digit sequential number (with leading zeroes as applicable) to denote the base type-approval number. The sequence shall start from 0001</w:t>
      </w:r>
      <w:r w:rsidRPr="00C903F8">
        <w:rPr>
          <w:noProof/>
          <w:lang w:val="en-US" w:eastAsia="nl-NL"/>
        </w:rPr>
        <w:t>.</w:t>
      </w:r>
    </w:p>
    <w:p w:rsidR="009C13A9" w:rsidRPr="00C903F8" w:rsidRDefault="009C13A9" w:rsidP="009C13A9">
      <w:pPr>
        <w:spacing w:line="240" w:lineRule="atLeast"/>
        <w:ind w:left="1560" w:hanging="1134"/>
        <w:rPr>
          <w:noProof/>
          <w:lang w:val="en-US" w:eastAsia="nl-NL"/>
        </w:rPr>
      </w:pPr>
    </w:p>
    <w:p w:rsidR="009C13A9" w:rsidRPr="00C903F8" w:rsidRDefault="009C13A9" w:rsidP="009C13A9">
      <w:pPr>
        <w:spacing w:line="240" w:lineRule="atLeast"/>
        <w:ind w:left="1560" w:hanging="1134"/>
        <w:rPr>
          <w:noProof/>
          <w:lang w:val="en-US" w:eastAsia="nl-NL"/>
        </w:rPr>
      </w:pPr>
      <w:r w:rsidRPr="00C903F8">
        <w:rPr>
          <w:noProof/>
          <w:szCs w:val="22"/>
          <w:lang w:val="en-US" w:eastAsia="nl-NL"/>
        </w:rPr>
        <w:t>Section 4:</w:t>
      </w:r>
      <w:r w:rsidRPr="00C903F8">
        <w:rPr>
          <w:noProof/>
          <w:szCs w:val="22"/>
          <w:lang w:val="en-US" w:eastAsia="nl-NL"/>
        </w:rPr>
        <w:tab/>
        <w:t>A two-digit sequential number (with leading zero if applicable) to denote the</w:t>
      </w:r>
      <w:r w:rsidR="00275ADD" w:rsidRPr="00C903F8">
        <w:rPr>
          <w:noProof/>
          <w:szCs w:val="22"/>
          <w:lang w:val="en-US" w:eastAsia="nl-NL"/>
        </w:rPr>
        <w:t xml:space="preserve"> </w:t>
      </w:r>
      <w:r w:rsidRPr="00C903F8">
        <w:rPr>
          <w:noProof/>
          <w:szCs w:val="22"/>
          <w:lang w:val="en-US" w:eastAsia="nl-NL"/>
        </w:rPr>
        <w:t>extension. The sequence shall start from 01 for each number</w:t>
      </w:r>
      <w:r w:rsidRPr="00C903F8">
        <w:rPr>
          <w:noProof/>
          <w:lang w:val="en-US" w:eastAsia="nl-NL"/>
        </w:rPr>
        <w:t>.</w:t>
      </w:r>
    </w:p>
    <w:p w:rsidR="009C13A9" w:rsidRPr="00C903F8" w:rsidRDefault="009C13A9" w:rsidP="009C13A9">
      <w:pPr>
        <w:spacing w:line="240" w:lineRule="atLeast"/>
        <w:rPr>
          <w:rFonts w:cs="Arial"/>
          <w:noProof/>
          <w:color w:val="000000"/>
          <w:lang w:val="en-US"/>
        </w:rPr>
      </w:pPr>
    </w:p>
    <w:p w:rsidR="009C13A9" w:rsidRPr="00C903F8" w:rsidRDefault="009C13A9" w:rsidP="009C13A9">
      <w:pPr>
        <w:spacing w:line="240" w:lineRule="atLeast"/>
        <w:rPr>
          <w:rFonts w:cs="Arial"/>
          <w:noProof/>
          <w:color w:val="000000"/>
          <w:lang w:val="en-US"/>
        </w:rPr>
      </w:pPr>
      <w:r w:rsidRPr="00C903F8">
        <w:rPr>
          <w:rFonts w:cs="Arial"/>
          <w:noProof/>
          <w:color w:val="000000"/>
          <w:lang w:val="en-US"/>
        </w:rPr>
        <w:t>2.</w:t>
      </w:r>
      <w:r w:rsidRPr="00C903F8">
        <w:rPr>
          <w:rFonts w:cs="Arial"/>
          <w:noProof/>
          <w:color w:val="000000"/>
          <w:lang w:val="en-US"/>
        </w:rPr>
        <w:tab/>
        <w:t>Examples</w:t>
      </w:r>
    </w:p>
    <w:p w:rsidR="009C13A9" w:rsidRPr="00C903F8" w:rsidRDefault="005C7859" w:rsidP="009C13A9">
      <w:pPr>
        <w:spacing w:before="60" w:line="240" w:lineRule="atLeast"/>
        <w:ind w:left="851"/>
        <w:rPr>
          <w:rFonts w:cs="Arial"/>
          <w:noProof/>
          <w:szCs w:val="22"/>
          <w:lang w:val="en-US" w:eastAsia="zh-CN"/>
        </w:rPr>
      </w:pPr>
      <w:r w:rsidRPr="00C903F8">
        <w:rPr>
          <w:rFonts w:cs="Arial"/>
          <w:noProof/>
          <w:szCs w:val="22"/>
          <w:lang w:val="en-US" w:eastAsia="zh-CN"/>
        </w:rPr>
        <w:t>a)</w:t>
      </w:r>
      <w:r w:rsidR="009C13A9" w:rsidRPr="00C903F8">
        <w:rPr>
          <w:rFonts w:cs="Arial"/>
          <w:noProof/>
          <w:szCs w:val="22"/>
          <w:lang w:val="en-US" w:eastAsia="zh-CN"/>
        </w:rPr>
        <w:tab/>
        <w:t>Third type</w:t>
      </w:r>
      <w:r w:rsidR="00977812" w:rsidRPr="00C903F8">
        <w:rPr>
          <w:rFonts w:cs="Arial"/>
          <w:noProof/>
          <w:szCs w:val="22"/>
          <w:lang w:val="en-US" w:eastAsia="zh-CN"/>
        </w:rPr>
        <w:t>-</w:t>
      </w:r>
      <w:r w:rsidR="009C13A9" w:rsidRPr="00C903F8">
        <w:rPr>
          <w:rFonts w:cs="Arial"/>
          <w:noProof/>
          <w:szCs w:val="22"/>
          <w:lang w:val="en-US" w:eastAsia="zh-CN"/>
        </w:rPr>
        <w:t>approval (with as yet no extension) issued by the Netherlands corresponding to level I:</w:t>
      </w:r>
    </w:p>
    <w:p w:rsidR="009C13A9" w:rsidRPr="00C903F8" w:rsidRDefault="009C13A9" w:rsidP="009C13A9">
      <w:pPr>
        <w:spacing w:before="60" w:line="240" w:lineRule="atLeast"/>
        <w:ind w:left="851"/>
        <w:jc w:val="center"/>
        <w:rPr>
          <w:rFonts w:cs="Arial"/>
          <w:noProof/>
          <w:szCs w:val="22"/>
          <w:lang w:val="en-US" w:eastAsia="zh-CN"/>
        </w:rPr>
      </w:pPr>
      <w:r w:rsidRPr="00C903F8">
        <w:rPr>
          <w:rFonts w:cs="Arial"/>
          <w:noProof/>
          <w:szCs w:val="22"/>
          <w:lang w:val="en-US" w:eastAsia="zh-CN"/>
        </w:rPr>
        <w:t xml:space="preserve">R 4*I*0003*00 </w:t>
      </w:r>
      <w:r w:rsidRPr="00C903F8">
        <w:rPr>
          <w:rFonts w:cs="Arial"/>
          <w:noProof/>
          <w:szCs w:val="20"/>
          <w:lang w:val="en-US" w:eastAsia="zh-CN"/>
        </w:rPr>
        <w:t>or e 4*I*0003*00</w:t>
      </w:r>
    </w:p>
    <w:p w:rsidR="009C13A9" w:rsidRPr="00C903F8" w:rsidRDefault="005C7859" w:rsidP="009C13A9">
      <w:pPr>
        <w:spacing w:before="60" w:line="240" w:lineRule="atLeast"/>
        <w:ind w:left="851"/>
        <w:rPr>
          <w:rFonts w:cs="Arial"/>
          <w:noProof/>
          <w:szCs w:val="22"/>
          <w:lang w:val="en-US" w:eastAsia="zh-CN"/>
        </w:rPr>
      </w:pPr>
      <w:r w:rsidRPr="00C903F8">
        <w:rPr>
          <w:rFonts w:cs="Arial"/>
          <w:noProof/>
          <w:szCs w:val="22"/>
          <w:lang w:val="en-US" w:eastAsia="zh-CN"/>
        </w:rPr>
        <w:t>b)</w:t>
      </w:r>
      <w:r w:rsidR="009C13A9" w:rsidRPr="00C903F8">
        <w:rPr>
          <w:rFonts w:cs="Arial"/>
          <w:noProof/>
          <w:szCs w:val="22"/>
          <w:lang w:val="en-US" w:eastAsia="zh-CN"/>
        </w:rPr>
        <w:tab/>
        <w:t>Second extension to the fourth type</w:t>
      </w:r>
      <w:r w:rsidR="00977812" w:rsidRPr="00C903F8">
        <w:rPr>
          <w:rFonts w:cs="Arial"/>
          <w:noProof/>
          <w:szCs w:val="22"/>
          <w:lang w:val="en-US" w:eastAsia="zh-CN"/>
        </w:rPr>
        <w:t>-</w:t>
      </w:r>
      <w:r w:rsidR="009C13A9" w:rsidRPr="00C903F8">
        <w:rPr>
          <w:rFonts w:cs="Arial"/>
          <w:noProof/>
          <w:szCs w:val="22"/>
          <w:lang w:val="en-US" w:eastAsia="zh-CN"/>
        </w:rPr>
        <w:t>approval issued by Germany corresponding to level II:</w:t>
      </w:r>
    </w:p>
    <w:p w:rsidR="009C13A9" w:rsidRPr="00C903F8" w:rsidRDefault="009C13A9" w:rsidP="009C13A9">
      <w:pPr>
        <w:spacing w:before="60" w:line="240" w:lineRule="atLeast"/>
        <w:ind w:left="851"/>
        <w:jc w:val="center"/>
        <w:rPr>
          <w:rFonts w:cs="Arial"/>
          <w:noProof/>
          <w:szCs w:val="20"/>
          <w:lang w:val="en-US" w:eastAsia="zh-CN"/>
        </w:rPr>
      </w:pPr>
      <w:r w:rsidRPr="00C903F8">
        <w:rPr>
          <w:rFonts w:cs="Arial"/>
          <w:noProof/>
          <w:szCs w:val="22"/>
          <w:lang w:val="en-US" w:eastAsia="zh-CN"/>
        </w:rPr>
        <w:t xml:space="preserve">R 1*II* 0004*02 </w:t>
      </w:r>
      <w:r w:rsidRPr="00C903F8">
        <w:rPr>
          <w:rFonts w:cs="Arial"/>
          <w:noProof/>
          <w:szCs w:val="20"/>
          <w:lang w:val="en-US" w:eastAsia="zh-CN"/>
        </w:rPr>
        <w:t>or e 4*I*0003*00</w:t>
      </w:r>
    </w:p>
    <w:p w:rsidR="009C13A9" w:rsidRPr="00C903F8" w:rsidRDefault="009C13A9" w:rsidP="009C13A9">
      <w:pPr>
        <w:spacing w:before="60" w:line="240" w:lineRule="atLeast"/>
        <w:ind w:left="851"/>
        <w:jc w:val="center"/>
        <w:rPr>
          <w:rFonts w:cs="Arial"/>
          <w:noProof/>
          <w:szCs w:val="22"/>
          <w:lang w:val="en-US" w:eastAsia="zh-CN"/>
        </w:rPr>
      </w:pPr>
    </w:p>
    <w:p w:rsidR="009C13A9" w:rsidRPr="00C903F8" w:rsidRDefault="009C13A9" w:rsidP="009C13A9">
      <w:pPr>
        <w:spacing w:line="240" w:lineRule="atLeast"/>
        <w:rPr>
          <w:rFonts w:cs="Arial"/>
          <w:color w:val="000000"/>
          <w:lang w:val="en-US"/>
        </w:rPr>
      </w:pPr>
      <w:r w:rsidRPr="00C903F8">
        <w:rPr>
          <w:rFonts w:cs="Arial"/>
          <w:color w:val="000000"/>
          <w:lang w:val="en-US"/>
        </w:rPr>
        <w:br w:type="page"/>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noProof/>
          <w:color w:val="000000"/>
          <w:lang w:val="en-US"/>
        </w:rPr>
      </w:pPr>
    </w:p>
    <w:p w:rsidR="009C13A9" w:rsidRPr="00C903F8" w:rsidRDefault="009C13A9" w:rsidP="009C13A9">
      <w:pPr>
        <w:suppressAutoHyphens/>
        <w:autoSpaceDE/>
        <w:autoSpaceDN/>
        <w:spacing w:line="240" w:lineRule="atLeast"/>
        <w:ind w:left="426" w:hanging="426"/>
        <w:jc w:val="center"/>
        <w:rPr>
          <w:rFonts w:cs="Arial"/>
          <w:sz w:val="22"/>
          <w:lang w:val="en-US" w:eastAsia="ar-SA"/>
        </w:rPr>
      </w:pPr>
    </w:p>
    <w:p w:rsidR="009C13A9" w:rsidRPr="00C903F8" w:rsidRDefault="009C13A9" w:rsidP="009C13A9">
      <w:pPr>
        <w:suppressAutoHyphens/>
        <w:autoSpaceDE/>
        <w:autoSpaceDN/>
        <w:ind w:left="0" w:firstLine="0"/>
        <w:jc w:val="left"/>
        <w:rPr>
          <w:rFonts w:cs="Arial"/>
          <w:sz w:val="24"/>
          <w:lang w:val="en-US" w:eastAsia="ar-SA"/>
        </w:rPr>
        <w:sectPr w:rsidR="009C13A9" w:rsidRPr="00C903F8" w:rsidSect="00FB55E9">
          <w:headerReference w:type="default" r:id="rId72"/>
          <w:footerReference w:type="default" r:id="rId73"/>
          <w:footnotePr>
            <w:numRestart w:val="eachPage"/>
          </w:footnotePr>
          <w:pgSz w:w="11907" w:h="16840" w:code="9"/>
          <w:pgMar w:top="1361" w:right="1418" w:bottom="1361" w:left="1418" w:header="680" w:footer="680" w:gutter="0"/>
          <w:cols w:space="720"/>
          <w:docGrid w:linePitch="326"/>
        </w:sectPr>
      </w:pPr>
    </w:p>
    <w:p w:rsidR="009C13A9" w:rsidRPr="00C903F8" w:rsidRDefault="009C13A9" w:rsidP="009C13A9">
      <w:pPr>
        <w:spacing w:line="240" w:lineRule="atLeast"/>
        <w:ind w:left="567" w:hanging="567"/>
        <w:rPr>
          <w:noProof/>
          <w:lang w:val="en-US"/>
        </w:rPr>
      </w:pPr>
    </w:p>
    <w:p w:rsidR="009C13A9" w:rsidRPr="00C903F8" w:rsidRDefault="00925755" w:rsidP="00390107">
      <w:pPr>
        <w:pStyle w:val="ES-Titre3"/>
        <w:rPr>
          <w:noProof/>
          <w:lang w:val="en-US"/>
        </w:rPr>
      </w:pPr>
      <w:bookmarkStart w:id="372" w:name="_Toc491854332"/>
      <w:r w:rsidRPr="00C903F8">
        <w:rPr>
          <w:noProof/>
          <w:lang w:val="en-US"/>
        </w:rPr>
        <w:t>Section</w:t>
      </w:r>
      <w:r w:rsidR="009C13A9" w:rsidRPr="00C903F8">
        <w:rPr>
          <w:noProof/>
          <w:lang w:val="en-US"/>
        </w:rPr>
        <w:t xml:space="preserve"> V</w:t>
      </w:r>
      <w:bookmarkEnd w:id="372"/>
    </w:p>
    <w:p w:rsidR="009C13A9" w:rsidRPr="00C903F8" w:rsidRDefault="009C13A9" w:rsidP="00390107">
      <w:pPr>
        <w:pStyle w:val="ES-Titre3a"/>
        <w:rPr>
          <w:noProof/>
          <w:lang w:val="en-US"/>
        </w:rPr>
      </w:pPr>
      <w:bookmarkStart w:id="373" w:name="_Toc491854333"/>
      <w:r w:rsidRPr="00C903F8">
        <w:rPr>
          <w:noProof/>
          <w:lang w:val="en-US"/>
        </w:rPr>
        <w:t>Summary of type approvals for on-board sewage treatment plant types</w:t>
      </w:r>
      <w:bookmarkEnd w:id="373"/>
      <w:r w:rsidRPr="00C903F8">
        <w:rPr>
          <w:noProof/>
          <w:lang w:val="en-US"/>
        </w:rPr>
        <w:t xml:space="preserve"> </w:t>
      </w:r>
    </w:p>
    <w:p w:rsidR="009C13A9" w:rsidRPr="00C903F8" w:rsidRDefault="009C13A9" w:rsidP="009C13A9">
      <w:pPr>
        <w:overflowPunct w:val="0"/>
        <w:adjustRightInd w:val="0"/>
        <w:spacing w:line="240" w:lineRule="exact"/>
        <w:ind w:left="0" w:firstLine="0"/>
        <w:jc w:val="center"/>
        <w:textAlignment w:val="baseline"/>
        <w:rPr>
          <w:rFonts w:eastAsia="Calibri"/>
          <w:sz w:val="14"/>
          <w:szCs w:val="16"/>
          <w:lang w:val="en-US" w:eastAsia="en-US"/>
        </w:rPr>
      </w:pPr>
      <w:r w:rsidRPr="00C903F8">
        <w:rPr>
          <w:rFonts w:eastAsia="Calibri"/>
          <w:szCs w:val="22"/>
          <w:lang w:val="en-US" w:eastAsia="en-US"/>
        </w:rPr>
        <w:t>(Model)</w:t>
      </w:r>
    </w:p>
    <w:p w:rsidR="009C13A9" w:rsidRPr="00C903F8" w:rsidRDefault="009C13A9" w:rsidP="009C13A9">
      <w:pPr>
        <w:suppressAutoHyphens/>
        <w:autoSpaceDE/>
        <w:autoSpaceDN/>
        <w:spacing w:line="240" w:lineRule="atLeast"/>
        <w:ind w:left="426" w:hanging="426"/>
        <w:jc w:val="left"/>
        <w:rPr>
          <w:rFonts w:cs="Arial"/>
          <w:szCs w:val="20"/>
          <w:lang w:val="en-US" w:eastAsia="ar-SA"/>
        </w:rPr>
      </w:pPr>
    </w:p>
    <w:p w:rsidR="009C13A9" w:rsidRPr="00C903F8" w:rsidRDefault="009C13A9" w:rsidP="009C13A9">
      <w:pPr>
        <w:tabs>
          <w:tab w:val="left" w:pos="11057"/>
        </w:tabs>
        <w:suppressAutoHyphens/>
        <w:autoSpaceDE/>
        <w:autoSpaceDN/>
        <w:spacing w:line="240" w:lineRule="atLeast"/>
        <w:ind w:left="11057" w:firstLine="0"/>
        <w:rPr>
          <w:rFonts w:cs="Arial"/>
          <w:sz w:val="16"/>
          <w:lang w:val="en-US" w:eastAsia="ar-SA"/>
        </w:rPr>
      </w:pPr>
      <w:r w:rsidRPr="00C903F8">
        <w:rPr>
          <w:rFonts w:cs="Arial"/>
          <w:sz w:val="16"/>
          <w:lang w:val="en-US" w:eastAsia="ar-SA"/>
        </w:rPr>
        <w:t>Seal of the competent authority</w:t>
      </w:r>
    </w:p>
    <w:p w:rsidR="009C13A9" w:rsidRPr="00C903F8" w:rsidRDefault="009C13A9" w:rsidP="009C13A9">
      <w:pPr>
        <w:suppressAutoHyphens/>
        <w:autoSpaceDE/>
        <w:autoSpaceDN/>
        <w:ind w:left="0" w:firstLine="0"/>
        <w:jc w:val="center"/>
        <w:rPr>
          <w:rFonts w:cs="Arial"/>
          <w:b/>
          <w:sz w:val="16"/>
          <w:szCs w:val="16"/>
          <w:lang w:val="en-US" w:eastAsia="ar-SA"/>
        </w:rPr>
      </w:pPr>
    </w:p>
    <w:p w:rsidR="009C13A9" w:rsidRPr="00C903F8" w:rsidRDefault="009C13A9" w:rsidP="009C13A9">
      <w:pPr>
        <w:tabs>
          <w:tab w:val="left" w:leader="dot" w:pos="3402"/>
          <w:tab w:val="left" w:leader="dot" w:pos="4536"/>
          <w:tab w:val="left" w:leader="dot" w:pos="5670"/>
        </w:tabs>
        <w:suppressAutoHyphens/>
        <w:autoSpaceDE/>
        <w:autoSpaceDN/>
        <w:spacing w:line="240" w:lineRule="atLeast"/>
        <w:ind w:left="0" w:firstLine="0"/>
        <w:rPr>
          <w:rFonts w:cs="Arial"/>
          <w:lang w:val="en-US" w:eastAsia="ar-SA"/>
        </w:rPr>
      </w:pPr>
      <w:r w:rsidRPr="00C903F8">
        <w:rPr>
          <w:rFonts w:cs="Arial"/>
          <w:lang w:val="en-US" w:eastAsia="ar-SA"/>
        </w:rPr>
        <w:t xml:space="preserve">List No.: </w:t>
      </w:r>
      <w:r w:rsidRPr="00C903F8">
        <w:rPr>
          <w:rFonts w:cs="Arial"/>
          <w:lang w:val="en-US" w:eastAsia="ar-SA"/>
        </w:rPr>
        <w:tab/>
      </w:r>
    </w:p>
    <w:p w:rsidR="009C13A9" w:rsidRPr="00C903F8" w:rsidRDefault="009C13A9" w:rsidP="009C13A9">
      <w:pPr>
        <w:tabs>
          <w:tab w:val="left" w:leader="dot" w:pos="3969"/>
          <w:tab w:val="left" w:pos="4111"/>
          <w:tab w:val="left" w:leader="dot" w:pos="7371"/>
        </w:tabs>
        <w:suppressAutoHyphens/>
        <w:autoSpaceDE/>
        <w:autoSpaceDN/>
        <w:spacing w:line="240" w:lineRule="atLeast"/>
        <w:ind w:left="0" w:firstLine="0"/>
        <w:rPr>
          <w:rFonts w:cs="Arial"/>
          <w:lang w:val="en-US" w:eastAsia="ar-SA"/>
        </w:rPr>
      </w:pPr>
      <w:r w:rsidRPr="00C903F8">
        <w:rPr>
          <w:rFonts w:cs="Arial"/>
          <w:lang w:val="en-US" w:eastAsia="ar-SA"/>
        </w:rPr>
        <w:t xml:space="preserve">Period from </w:t>
      </w:r>
      <w:r w:rsidRPr="00C903F8">
        <w:rPr>
          <w:rFonts w:cs="Arial"/>
          <w:lang w:val="en-US" w:eastAsia="ar-SA"/>
        </w:rPr>
        <w:tab/>
      </w:r>
      <w:r w:rsidRPr="00C903F8">
        <w:rPr>
          <w:rFonts w:cs="Arial"/>
          <w:lang w:val="en-US" w:eastAsia="ar-SA"/>
        </w:rPr>
        <w:tab/>
        <w:t xml:space="preserve">to </w:t>
      </w:r>
      <w:r w:rsidRPr="00C903F8">
        <w:rPr>
          <w:rFonts w:cs="Arial"/>
          <w:lang w:val="en-US" w:eastAsia="ar-SA"/>
        </w:rPr>
        <w:tab/>
      </w:r>
    </w:p>
    <w:p w:rsidR="009C13A9" w:rsidRPr="00C903F8" w:rsidRDefault="009C13A9" w:rsidP="009C13A9">
      <w:pPr>
        <w:suppressAutoHyphens/>
        <w:autoSpaceDE/>
        <w:autoSpaceDN/>
        <w:spacing w:line="240" w:lineRule="atLeast"/>
        <w:ind w:left="0" w:firstLine="0"/>
        <w:jc w:val="left"/>
        <w:rPr>
          <w:rFonts w:cs="Arial"/>
          <w:sz w:val="14"/>
          <w:szCs w:val="16"/>
          <w:lang w:val="en-US" w:eastAsia="ar-SA"/>
        </w:rPr>
      </w:pPr>
    </w:p>
    <w:tbl>
      <w:tblPr>
        <w:tblW w:w="0" w:type="auto"/>
        <w:tblInd w:w="136" w:type="dxa"/>
        <w:tblLayout w:type="fixed"/>
        <w:tblCellMar>
          <w:left w:w="56" w:type="dxa"/>
          <w:right w:w="56" w:type="dxa"/>
        </w:tblCellMar>
        <w:tblLook w:val="0000" w:firstRow="0" w:lastRow="0" w:firstColumn="0" w:lastColumn="0" w:noHBand="0" w:noVBand="0"/>
      </w:tblPr>
      <w:tblGrid>
        <w:gridCol w:w="2126"/>
        <w:gridCol w:w="2410"/>
        <w:gridCol w:w="3147"/>
        <w:gridCol w:w="1361"/>
        <w:gridCol w:w="1361"/>
        <w:gridCol w:w="2608"/>
        <w:gridCol w:w="1440"/>
      </w:tblGrid>
      <w:tr w:rsidR="009C13A9" w:rsidRPr="00C903F8" w:rsidTr="009C13A9">
        <w:tc>
          <w:tcPr>
            <w:tcW w:w="2126"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center"/>
              <w:rPr>
                <w:rFonts w:cs="Arial"/>
                <w:sz w:val="18"/>
                <w:lang w:val="de-DE" w:eastAsia="ar-SA"/>
              </w:rPr>
            </w:pPr>
            <w:r w:rsidRPr="00C903F8">
              <w:rPr>
                <w:rFonts w:cs="Arial"/>
                <w:sz w:val="18"/>
                <w:lang w:val="de-DE" w:eastAsia="ar-SA"/>
              </w:rPr>
              <w:t>1</w:t>
            </w:r>
          </w:p>
        </w:tc>
        <w:tc>
          <w:tcPr>
            <w:tcW w:w="2410"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center"/>
              <w:rPr>
                <w:rFonts w:cs="Arial"/>
                <w:sz w:val="18"/>
                <w:lang w:val="de-DE" w:eastAsia="ar-SA"/>
              </w:rPr>
            </w:pPr>
            <w:r w:rsidRPr="00C903F8">
              <w:rPr>
                <w:rFonts w:cs="Arial"/>
                <w:sz w:val="18"/>
                <w:lang w:val="de-DE" w:eastAsia="ar-SA"/>
              </w:rPr>
              <w:t>2</w:t>
            </w:r>
          </w:p>
        </w:tc>
        <w:tc>
          <w:tcPr>
            <w:tcW w:w="3147"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center"/>
              <w:rPr>
                <w:rFonts w:cs="Arial"/>
                <w:sz w:val="18"/>
                <w:lang w:val="de-DE" w:eastAsia="ar-SA"/>
              </w:rPr>
            </w:pPr>
            <w:r w:rsidRPr="00C903F8">
              <w:rPr>
                <w:rFonts w:cs="Arial"/>
                <w:sz w:val="18"/>
                <w:lang w:val="de-DE" w:eastAsia="ar-SA"/>
              </w:rPr>
              <w:t>3</w:t>
            </w:r>
          </w:p>
        </w:tc>
        <w:tc>
          <w:tcPr>
            <w:tcW w:w="1361"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center"/>
              <w:rPr>
                <w:rFonts w:cs="Arial"/>
                <w:sz w:val="18"/>
                <w:lang w:val="de-DE" w:eastAsia="ar-SA"/>
              </w:rPr>
            </w:pPr>
            <w:r w:rsidRPr="00C903F8">
              <w:rPr>
                <w:rFonts w:cs="Arial"/>
                <w:sz w:val="18"/>
                <w:lang w:val="de-DE" w:eastAsia="ar-SA"/>
              </w:rPr>
              <w:t>4</w:t>
            </w:r>
          </w:p>
        </w:tc>
        <w:tc>
          <w:tcPr>
            <w:tcW w:w="1361"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center"/>
              <w:rPr>
                <w:rFonts w:cs="Arial"/>
                <w:sz w:val="18"/>
                <w:lang w:val="de-DE" w:eastAsia="ar-SA"/>
              </w:rPr>
            </w:pPr>
            <w:r w:rsidRPr="00C903F8">
              <w:rPr>
                <w:rFonts w:cs="Arial"/>
                <w:sz w:val="18"/>
                <w:lang w:val="de-DE" w:eastAsia="ar-SA"/>
              </w:rPr>
              <w:t>5</w:t>
            </w:r>
          </w:p>
        </w:tc>
        <w:tc>
          <w:tcPr>
            <w:tcW w:w="2608" w:type="dxa"/>
            <w:tcBorders>
              <w:top w:val="single" w:sz="4" w:space="0" w:color="000000"/>
              <w:left w:val="single" w:sz="4" w:space="0" w:color="000000"/>
              <w:bottom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center"/>
              <w:rPr>
                <w:rFonts w:cs="Arial"/>
                <w:sz w:val="18"/>
                <w:lang w:val="de-DE" w:eastAsia="ar-SA"/>
              </w:rPr>
            </w:pPr>
            <w:r w:rsidRPr="00C903F8">
              <w:rPr>
                <w:rFonts w:cs="Arial"/>
                <w:sz w:val="18"/>
                <w:lang w:val="de-DE" w:eastAsia="ar-SA"/>
              </w:rPr>
              <w:t>6</w:t>
            </w:r>
          </w:p>
        </w:tc>
        <w:tc>
          <w:tcPr>
            <w:tcW w:w="1440" w:type="dxa"/>
            <w:tcBorders>
              <w:top w:val="single" w:sz="4" w:space="0" w:color="000000"/>
              <w:left w:val="single" w:sz="4" w:space="0" w:color="000000"/>
              <w:bottom w:val="single" w:sz="4" w:space="0" w:color="000000"/>
              <w:righ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center"/>
              <w:rPr>
                <w:rFonts w:cs="Arial"/>
                <w:sz w:val="18"/>
                <w:lang w:val="de-DE" w:eastAsia="ar-SA"/>
              </w:rPr>
            </w:pPr>
            <w:r w:rsidRPr="00C903F8">
              <w:rPr>
                <w:rFonts w:cs="Arial"/>
                <w:sz w:val="18"/>
                <w:lang w:val="de-DE" w:eastAsia="ar-SA"/>
              </w:rPr>
              <w:t>7</w:t>
            </w:r>
          </w:p>
        </w:tc>
      </w:tr>
      <w:tr w:rsidR="009C13A9" w:rsidRPr="00296858" w:rsidTr="009C13A9">
        <w:tc>
          <w:tcPr>
            <w:tcW w:w="2126" w:type="dxa"/>
            <w:tcBorders>
              <w:top w:val="single" w:sz="4" w:space="0" w:color="000000"/>
              <w:left w:val="single" w:sz="4" w:space="0" w:color="000000"/>
              <w:bottom w:val="single" w:sz="4" w:space="0" w:color="000000"/>
            </w:tcBorders>
            <w:vAlign w:val="center"/>
          </w:tcPr>
          <w:p w:rsidR="009C13A9" w:rsidRPr="00C903F8" w:rsidRDefault="009C13A9" w:rsidP="00BE2EE8">
            <w:pPr>
              <w:suppressAutoHyphens/>
              <w:autoSpaceDE/>
              <w:autoSpaceDN/>
              <w:snapToGrid w:val="0"/>
              <w:spacing w:before="40" w:after="40" w:line="240" w:lineRule="atLeast"/>
              <w:ind w:left="0" w:firstLine="0"/>
              <w:jc w:val="center"/>
              <w:rPr>
                <w:rFonts w:cs="Arial"/>
                <w:sz w:val="18"/>
                <w:vertAlign w:val="superscript"/>
                <w:lang w:eastAsia="ar-SA"/>
              </w:rPr>
            </w:pPr>
            <w:r w:rsidRPr="00C903F8">
              <w:rPr>
                <w:rFonts w:cs="Arial"/>
                <w:sz w:val="18"/>
                <w:lang w:eastAsia="ar-SA"/>
              </w:rPr>
              <w:t>Make</w:t>
            </w:r>
            <w:r w:rsidRPr="00C903F8">
              <w:rPr>
                <w:rFonts w:cs="Arial"/>
                <w:sz w:val="18"/>
                <w:vertAlign w:val="superscript"/>
                <w:lang w:eastAsia="ar-SA"/>
              </w:rPr>
              <w:t xml:space="preserve"> (</w:t>
            </w:r>
            <w:r w:rsidR="00BE2EE8">
              <w:rPr>
                <w:rStyle w:val="FootnoteReference"/>
                <w:rFonts w:cs="Arial"/>
                <w:sz w:val="18"/>
                <w:lang w:eastAsia="ar-SA"/>
              </w:rPr>
              <w:footnoteReference w:id="70"/>
            </w:r>
            <w:r w:rsidRPr="00C903F8">
              <w:rPr>
                <w:rFonts w:cs="Arial"/>
                <w:sz w:val="18"/>
                <w:vertAlign w:val="superscript"/>
                <w:lang w:eastAsia="ar-SA"/>
              </w:rPr>
              <w:t>)</w:t>
            </w:r>
          </w:p>
        </w:tc>
        <w:tc>
          <w:tcPr>
            <w:tcW w:w="2410" w:type="dxa"/>
            <w:tcBorders>
              <w:top w:val="single" w:sz="4" w:space="0" w:color="000000"/>
              <w:left w:val="single" w:sz="4" w:space="0" w:color="000000"/>
              <w:bottom w:val="single" w:sz="4" w:space="0" w:color="000000"/>
            </w:tcBorders>
            <w:vAlign w:val="center"/>
          </w:tcPr>
          <w:p w:rsidR="009C13A9" w:rsidRPr="00C903F8" w:rsidRDefault="009C13A9" w:rsidP="009C13A9">
            <w:pPr>
              <w:suppressAutoHyphens/>
              <w:autoSpaceDE/>
              <w:autoSpaceDN/>
              <w:snapToGrid w:val="0"/>
              <w:spacing w:before="40" w:after="40" w:line="240" w:lineRule="atLeast"/>
              <w:ind w:left="0" w:firstLine="0"/>
              <w:jc w:val="center"/>
              <w:rPr>
                <w:rFonts w:cs="Arial"/>
                <w:sz w:val="18"/>
                <w:vertAlign w:val="superscript"/>
                <w:lang w:eastAsia="ar-SA"/>
              </w:rPr>
            </w:pPr>
            <w:r w:rsidRPr="00C903F8">
              <w:rPr>
                <w:rFonts w:cs="Arial"/>
                <w:sz w:val="18"/>
                <w:lang w:val="de-CH" w:eastAsia="ar-SA"/>
              </w:rPr>
              <w:t xml:space="preserve">Manufacturer’s designation </w:t>
            </w:r>
            <w:r w:rsidRPr="00C903F8">
              <w:rPr>
                <w:rFonts w:cs="Arial"/>
                <w:sz w:val="18"/>
                <w:vertAlign w:val="superscript"/>
                <w:lang w:eastAsia="ar-SA"/>
              </w:rPr>
              <w:t>(1)</w:t>
            </w:r>
          </w:p>
        </w:tc>
        <w:tc>
          <w:tcPr>
            <w:tcW w:w="3147" w:type="dxa"/>
            <w:tcBorders>
              <w:top w:val="single" w:sz="4" w:space="0" w:color="000000"/>
              <w:left w:val="single" w:sz="4" w:space="0" w:color="000000"/>
              <w:bottom w:val="single" w:sz="4" w:space="0" w:color="000000"/>
            </w:tcBorders>
            <w:vAlign w:val="center"/>
          </w:tcPr>
          <w:p w:rsidR="009C13A9" w:rsidRPr="00C903F8" w:rsidRDefault="009C13A9" w:rsidP="009C13A9">
            <w:pPr>
              <w:suppressAutoHyphens/>
              <w:autoSpaceDE/>
              <w:autoSpaceDN/>
              <w:snapToGrid w:val="0"/>
              <w:spacing w:before="40" w:after="40" w:line="240" w:lineRule="atLeast"/>
              <w:ind w:left="0" w:firstLine="0"/>
              <w:jc w:val="center"/>
              <w:rPr>
                <w:rFonts w:cs="Arial"/>
                <w:sz w:val="18"/>
                <w:lang w:eastAsia="ar-SA"/>
              </w:rPr>
            </w:pPr>
            <w:r w:rsidRPr="00C903F8">
              <w:rPr>
                <w:rFonts w:cs="Arial"/>
                <w:sz w:val="18"/>
                <w:lang w:eastAsia="ar-SA"/>
              </w:rPr>
              <w:t>Type approval number</w:t>
            </w:r>
          </w:p>
        </w:tc>
        <w:tc>
          <w:tcPr>
            <w:tcW w:w="1361" w:type="dxa"/>
            <w:tcBorders>
              <w:top w:val="single" w:sz="4" w:space="0" w:color="000000"/>
              <w:left w:val="single" w:sz="4" w:space="0" w:color="000000"/>
              <w:bottom w:val="single" w:sz="4" w:space="0" w:color="000000"/>
            </w:tcBorders>
            <w:vAlign w:val="center"/>
          </w:tcPr>
          <w:p w:rsidR="009C13A9" w:rsidRPr="00C903F8" w:rsidRDefault="009C13A9" w:rsidP="009C13A9">
            <w:pPr>
              <w:suppressAutoHyphens/>
              <w:autoSpaceDE/>
              <w:autoSpaceDN/>
              <w:snapToGrid w:val="0"/>
              <w:spacing w:before="40" w:after="40" w:line="240" w:lineRule="atLeast"/>
              <w:ind w:left="0" w:firstLine="0"/>
              <w:jc w:val="center"/>
              <w:rPr>
                <w:rFonts w:cs="Arial"/>
                <w:sz w:val="18"/>
                <w:lang w:eastAsia="ar-SA"/>
              </w:rPr>
            </w:pPr>
            <w:r w:rsidRPr="00C903F8">
              <w:rPr>
                <w:rFonts w:cs="Arial"/>
                <w:sz w:val="18"/>
                <w:lang w:eastAsia="ar-SA"/>
              </w:rPr>
              <w:t>Date of type approval</w:t>
            </w:r>
          </w:p>
        </w:tc>
        <w:tc>
          <w:tcPr>
            <w:tcW w:w="1361" w:type="dxa"/>
            <w:tcBorders>
              <w:top w:val="single" w:sz="4" w:space="0" w:color="000000"/>
              <w:left w:val="single" w:sz="4" w:space="0" w:color="000000"/>
              <w:bottom w:val="single" w:sz="4" w:space="0" w:color="000000"/>
            </w:tcBorders>
            <w:vAlign w:val="center"/>
          </w:tcPr>
          <w:p w:rsidR="009C13A9" w:rsidRPr="00C903F8" w:rsidRDefault="009C13A9" w:rsidP="00BE2EE8">
            <w:pPr>
              <w:suppressAutoHyphens/>
              <w:autoSpaceDE/>
              <w:autoSpaceDN/>
              <w:snapToGrid w:val="0"/>
              <w:spacing w:before="40" w:after="40" w:line="240" w:lineRule="atLeast"/>
              <w:ind w:left="0" w:firstLine="0"/>
              <w:jc w:val="center"/>
              <w:rPr>
                <w:rFonts w:cs="Arial"/>
                <w:sz w:val="18"/>
                <w:vertAlign w:val="superscript"/>
                <w:lang w:eastAsia="ar-SA"/>
              </w:rPr>
            </w:pPr>
            <w:r w:rsidRPr="00C903F8">
              <w:rPr>
                <w:rFonts w:cs="Arial"/>
                <w:sz w:val="18"/>
                <w:lang w:eastAsia="ar-SA"/>
              </w:rPr>
              <w:t>Extension/ refusal/</w:t>
            </w:r>
            <w:r w:rsidRPr="00C903F8">
              <w:rPr>
                <w:rFonts w:cs="Arial"/>
                <w:sz w:val="18"/>
                <w:lang w:eastAsia="ar-SA"/>
              </w:rPr>
              <w:br/>
              <w:t>withdrawal</w:t>
            </w:r>
            <w:r w:rsidRPr="00C903F8">
              <w:rPr>
                <w:rFonts w:cs="Arial"/>
                <w:sz w:val="18"/>
                <w:vertAlign w:val="superscript"/>
                <w:lang w:eastAsia="ar-SA"/>
              </w:rPr>
              <w:t xml:space="preserve"> </w:t>
            </w:r>
            <w:r w:rsidR="00BE2EE8">
              <w:rPr>
                <w:rStyle w:val="FootnoteReference"/>
                <w:rFonts w:cs="Arial"/>
                <w:sz w:val="18"/>
                <w:lang w:eastAsia="ar-SA"/>
              </w:rPr>
              <w:footnoteReference w:id="71"/>
            </w:r>
            <w:r w:rsidRPr="00C903F8">
              <w:rPr>
                <w:rFonts w:cs="Arial"/>
                <w:sz w:val="18"/>
                <w:vertAlign w:val="superscript"/>
                <w:lang w:eastAsia="ar-SA"/>
              </w:rPr>
              <w:t>)</w:t>
            </w:r>
          </w:p>
        </w:tc>
        <w:tc>
          <w:tcPr>
            <w:tcW w:w="2608" w:type="dxa"/>
            <w:tcBorders>
              <w:top w:val="single" w:sz="4" w:space="0" w:color="000000"/>
              <w:left w:val="single" w:sz="4" w:space="0" w:color="000000"/>
              <w:bottom w:val="single" w:sz="4" w:space="0" w:color="000000"/>
            </w:tcBorders>
            <w:vAlign w:val="center"/>
          </w:tcPr>
          <w:p w:rsidR="009C13A9" w:rsidRPr="00C903F8" w:rsidRDefault="009C13A9" w:rsidP="009C13A9">
            <w:pPr>
              <w:suppressAutoHyphens/>
              <w:autoSpaceDE/>
              <w:autoSpaceDN/>
              <w:snapToGrid w:val="0"/>
              <w:spacing w:before="40" w:after="40" w:line="240" w:lineRule="atLeast"/>
              <w:ind w:left="0" w:firstLine="0"/>
              <w:jc w:val="center"/>
              <w:rPr>
                <w:rFonts w:cs="Arial"/>
                <w:sz w:val="18"/>
                <w:lang w:val="en-US" w:eastAsia="ar-SA"/>
              </w:rPr>
            </w:pPr>
            <w:r w:rsidRPr="00C903F8">
              <w:rPr>
                <w:rFonts w:cs="Arial"/>
                <w:sz w:val="18"/>
                <w:lang w:val="en-US" w:eastAsia="ar-SA"/>
              </w:rPr>
              <w:t>Reason for extension/refusal/withdrawal</w:t>
            </w:r>
          </w:p>
        </w:tc>
        <w:tc>
          <w:tcPr>
            <w:tcW w:w="1440" w:type="dxa"/>
            <w:tcBorders>
              <w:top w:val="single" w:sz="4" w:space="0" w:color="000000"/>
              <w:left w:val="single" w:sz="4" w:space="0" w:color="000000"/>
              <w:bottom w:val="single" w:sz="4" w:space="0" w:color="000000"/>
              <w:right w:val="single" w:sz="4" w:space="0" w:color="000000"/>
            </w:tcBorders>
            <w:vAlign w:val="center"/>
          </w:tcPr>
          <w:p w:rsidR="009C13A9" w:rsidRPr="00C903F8" w:rsidRDefault="009C13A9" w:rsidP="009C13A9">
            <w:pPr>
              <w:suppressAutoHyphens/>
              <w:autoSpaceDE/>
              <w:autoSpaceDN/>
              <w:snapToGrid w:val="0"/>
              <w:spacing w:before="40" w:after="40" w:line="240" w:lineRule="atLeast"/>
              <w:ind w:left="0" w:firstLine="0"/>
              <w:jc w:val="center"/>
              <w:rPr>
                <w:rFonts w:cs="Arial"/>
                <w:sz w:val="18"/>
                <w:vertAlign w:val="superscript"/>
                <w:lang w:val="en-US" w:eastAsia="ar-SA"/>
              </w:rPr>
            </w:pPr>
            <w:r w:rsidRPr="00C903F8">
              <w:rPr>
                <w:rFonts w:cs="Arial"/>
                <w:sz w:val="18"/>
                <w:lang w:val="en-US" w:eastAsia="ar-SA"/>
              </w:rPr>
              <w:t>Date of extension/ refusal/</w:t>
            </w:r>
            <w:r w:rsidRPr="00C903F8">
              <w:rPr>
                <w:rFonts w:cs="Arial"/>
                <w:sz w:val="18"/>
                <w:lang w:val="en-US" w:eastAsia="ar-SA"/>
              </w:rPr>
              <w:br/>
              <w:t>withdrawal</w:t>
            </w:r>
            <w:r w:rsidRPr="00C903F8">
              <w:rPr>
                <w:rFonts w:cs="Arial"/>
                <w:sz w:val="18"/>
                <w:vertAlign w:val="superscript"/>
                <w:lang w:val="en-US" w:eastAsia="ar-SA"/>
              </w:rPr>
              <w:t xml:space="preserve"> 2)</w:t>
            </w:r>
          </w:p>
        </w:tc>
      </w:tr>
      <w:tr w:rsidR="009C13A9" w:rsidRPr="00296858" w:rsidTr="009C13A9">
        <w:tc>
          <w:tcPr>
            <w:tcW w:w="2126"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410"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3147"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608"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440" w:type="dxa"/>
            <w:tcBorders>
              <w:left w:val="single" w:sz="4" w:space="0" w:color="000000"/>
              <w:righ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r>
      <w:tr w:rsidR="009C13A9" w:rsidRPr="00296858" w:rsidTr="009C13A9">
        <w:tc>
          <w:tcPr>
            <w:tcW w:w="2126"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410"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3147"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608"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440" w:type="dxa"/>
            <w:tcBorders>
              <w:left w:val="single" w:sz="4" w:space="0" w:color="000000"/>
              <w:righ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r>
      <w:tr w:rsidR="009C13A9" w:rsidRPr="00296858" w:rsidTr="009C13A9">
        <w:tc>
          <w:tcPr>
            <w:tcW w:w="2126"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410"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3147"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608"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440" w:type="dxa"/>
            <w:tcBorders>
              <w:left w:val="single" w:sz="4" w:space="0" w:color="000000"/>
              <w:righ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r>
      <w:tr w:rsidR="009C13A9" w:rsidRPr="00296858" w:rsidTr="009C13A9">
        <w:tc>
          <w:tcPr>
            <w:tcW w:w="2126"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410"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3147"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608"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440" w:type="dxa"/>
            <w:tcBorders>
              <w:left w:val="single" w:sz="4" w:space="0" w:color="000000"/>
              <w:righ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r>
      <w:tr w:rsidR="009C13A9" w:rsidRPr="00296858" w:rsidTr="009C13A9">
        <w:tc>
          <w:tcPr>
            <w:tcW w:w="2126"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410"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3147"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608"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440" w:type="dxa"/>
            <w:tcBorders>
              <w:left w:val="single" w:sz="4" w:space="0" w:color="000000"/>
              <w:righ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r>
      <w:tr w:rsidR="009C13A9" w:rsidRPr="00296858" w:rsidTr="009C13A9">
        <w:tc>
          <w:tcPr>
            <w:tcW w:w="2126"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410"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3147"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608"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440" w:type="dxa"/>
            <w:tcBorders>
              <w:left w:val="single" w:sz="4" w:space="0" w:color="000000"/>
              <w:righ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r>
      <w:tr w:rsidR="009C13A9" w:rsidRPr="00296858" w:rsidTr="009C13A9">
        <w:tc>
          <w:tcPr>
            <w:tcW w:w="2126"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410"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3147"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608"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440" w:type="dxa"/>
            <w:tcBorders>
              <w:left w:val="single" w:sz="4" w:space="0" w:color="000000"/>
              <w:righ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r>
      <w:tr w:rsidR="009C13A9" w:rsidRPr="00296858" w:rsidTr="009C13A9">
        <w:tc>
          <w:tcPr>
            <w:tcW w:w="2126"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410"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3147"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608"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440" w:type="dxa"/>
            <w:tcBorders>
              <w:left w:val="single" w:sz="4" w:space="0" w:color="000000"/>
              <w:righ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r>
      <w:tr w:rsidR="009C13A9" w:rsidRPr="00296858" w:rsidTr="009C13A9">
        <w:tc>
          <w:tcPr>
            <w:tcW w:w="2126"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410"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3147"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608"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440" w:type="dxa"/>
            <w:tcBorders>
              <w:left w:val="single" w:sz="4" w:space="0" w:color="000000"/>
              <w:righ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r>
      <w:tr w:rsidR="009C13A9" w:rsidRPr="00296858" w:rsidTr="009C13A9">
        <w:tc>
          <w:tcPr>
            <w:tcW w:w="2126"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410"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3147"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608"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440" w:type="dxa"/>
            <w:tcBorders>
              <w:left w:val="single" w:sz="4" w:space="0" w:color="000000"/>
              <w:righ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r>
      <w:tr w:rsidR="009C13A9" w:rsidRPr="00296858" w:rsidTr="009C13A9">
        <w:tc>
          <w:tcPr>
            <w:tcW w:w="2126"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410"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3147"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608"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440" w:type="dxa"/>
            <w:tcBorders>
              <w:left w:val="single" w:sz="4" w:space="0" w:color="000000"/>
              <w:righ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r>
      <w:tr w:rsidR="009C13A9" w:rsidRPr="00296858" w:rsidTr="009C13A9">
        <w:tc>
          <w:tcPr>
            <w:tcW w:w="2126"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410"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3147"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361"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2608" w:type="dxa"/>
            <w:tcBorders>
              <w:lef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c>
          <w:tcPr>
            <w:tcW w:w="1440" w:type="dxa"/>
            <w:tcBorders>
              <w:left w:val="single" w:sz="4" w:space="0" w:color="000000"/>
              <w:right w:val="single" w:sz="4" w:space="0" w:color="000000"/>
            </w:tcBorders>
          </w:tcPr>
          <w:p w:rsidR="009C13A9" w:rsidRPr="00C903F8" w:rsidRDefault="009C13A9" w:rsidP="009C13A9">
            <w:pPr>
              <w:suppressAutoHyphens/>
              <w:autoSpaceDE/>
              <w:autoSpaceDN/>
              <w:snapToGrid w:val="0"/>
              <w:spacing w:before="40" w:after="40" w:line="240" w:lineRule="atLeast"/>
              <w:ind w:left="0" w:firstLine="0"/>
              <w:jc w:val="left"/>
              <w:rPr>
                <w:rFonts w:cs="Arial"/>
                <w:sz w:val="18"/>
                <w:lang w:val="en-US" w:eastAsia="ar-SA"/>
              </w:rPr>
            </w:pPr>
          </w:p>
        </w:tc>
      </w:tr>
    </w:tbl>
    <w:p w:rsidR="009C13A9" w:rsidRPr="00C903F8" w:rsidRDefault="009C13A9" w:rsidP="009C13A9">
      <w:pPr>
        <w:suppressAutoHyphens/>
        <w:autoSpaceDE/>
        <w:autoSpaceDN/>
        <w:spacing w:line="240" w:lineRule="atLeast"/>
        <w:ind w:left="426" w:hanging="426"/>
        <w:jc w:val="left"/>
        <w:rPr>
          <w:rFonts w:cs="Arial"/>
          <w:sz w:val="24"/>
          <w:lang w:val="en-US" w:eastAsia="ar-SA"/>
        </w:rPr>
      </w:pPr>
    </w:p>
    <w:p w:rsidR="009C13A9" w:rsidRPr="00C903F8" w:rsidRDefault="009C13A9" w:rsidP="009C13A9">
      <w:pPr>
        <w:suppressAutoHyphens/>
        <w:autoSpaceDE/>
        <w:autoSpaceDN/>
        <w:spacing w:line="240" w:lineRule="atLeast"/>
        <w:ind w:left="426" w:hanging="426"/>
        <w:jc w:val="left"/>
        <w:rPr>
          <w:rFonts w:cs="Arial"/>
          <w:lang w:val="en-US" w:eastAsia="ar-SA"/>
        </w:rPr>
      </w:pPr>
      <w:r w:rsidRPr="00C903F8">
        <w:rPr>
          <w:rFonts w:cs="Arial"/>
          <w:sz w:val="24"/>
          <w:lang w:val="en-US" w:eastAsia="ar-SA"/>
        </w:rPr>
        <w:br w:type="page"/>
      </w:r>
    </w:p>
    <w:p w:rsidR="009C13A9" w:rsidRPr="00C903F8" w:rsidRDefault="009C13A9" w:rsidP="009C13A9">
      <w:pPr>
        <w:suppressAutoHyphens/>
        <w:autoSpaceDE/>
        <w:autoSpaceDN/>
        <w:spacing w:line="240" w:lineRule="atLeast"/>
        <w:ind w:left="426" w:hanging="426"/>
        <w:jc w:val="left"/>
        <w:rPr>
          <w:rFonts w:cs="Arial"/>
          <w:lang w:val="en-US" w:eastAsia="ar-SA"/>
        </w:rPr>
      </w:pPr>
    </w:p>
    <w:p w:rsidR="009C13A9" w:rsidRPr="00C903F8" w:rsidRDefault="009C13A9" w:rsidP="009C13A9">
      <w:pPr>
        <w:suppressAutoHyphens/>
        <w:autoSpaceDE/>
        <w:autoSpaceDN/>
        <w:spacing w:line="240" w:lineRule="atLeast"/>
        <w:ind w:left="426" w:hanging="426"/>
        <w:jc w:val="left"/>
        <w:rPr>
          <w:rFonts w:cs="Arial"/>
          <w:lang w:val="en-US" w:eastAsia="ar-SA"/>
        </w:rPr>
      </w:pPr>
    </w:p>
    <w:p w:rsidR="009C13A9" w:rsidRPr="00C903F8" w:rsidRDefault="009C13A9" w:rsidP="009C13A9">
      <w:pPr>
        <w:suppressAutoHyphens/>
        <w:autoSpaceDE/>
        <w:autoSpaceDN/>
        <w:spacing w:line="240" w:lineRule="atLeast"/>
        <w:ind w:left="426" w:hanging="426"/>
        <w:jc w:val="left"/>
        <w:rPr>
          <w:rFonts w:cs="Arial"/>
          <w:lang w:val="en-US" w:eastAsia="ar-SA"/>
        </w:rPr>
      </w:pPr>
    </w:p>
    <w:p w:rsidR="009C13A9" w:rsidRPr="00C903F8" w:rsidRDefault="009C13A9" w:rsidP="009C13A9">
      <w:pPr>
        <w:suppressAutoHyphens/>
        <w:autoSpaceDE/>
        <w:autoSpaceDN/>
        <w:spacing w:line="240" w:lineRule="atLeast"/>
        <w:ind w:left="426" w:hanging="426"/>
        <w:jc w:val="left"/>
        <w:rPr>
          <w:rFonts w:cs="Arial"/>
          <w:lang w:val="en-US" w:eastAsia="ar-SA"/>
        </w:rPr>
      </w:pPr>
    </w:p>
    <w:p w:rsidR="009C13A9" w:rsidRPr="00C903F8" w:rsidRDefault="009C13A9" w:rsidP="009C13A9">
      <w:pPr>
        <w:suppressAutoHyphens/>
        <w:autoSpaceDE/>
        <w:autoSpaceDN/>
        <w:spacing w:line="240" w:lineRule="atLeast"/>
        <w:ind w:left="426" w:hanging="426"/>
        <w:jc w:val="left"/>
        <w:rPr>
          <w:rFonts w:cs="Arial"/>
          <w:szCs w:val="20"/>
          <w:lang w:val="en-US" w:eastAsia="ar-SA"/>
        </w:rPr>
      </w:pPr>
    </w:p>
    <w:p w:rsidR="009C13A9" w:rsidRPr="00C903F8" w:rsidRDefault="009C13A9" w:rsidP="009C13A9">
      <w:pPr>
        <w:suppressAutoHyphens/>
        <w:autoSpaceDE/>
        <w:autoSpaceDN/>
        <w:spacing w:line="240" w:lineRule="atLeast"/>
        <w:ind w:left="426" w:hanging="426"/>
        <w:jc w:val="left"/>
        <w:rPr>
          <w:rFonts w:cs="Arial"/>
          <w:szCs w:val="20"/>
          <w:lang w:val="en-US" w:eastAsia="ar-SA"/>
        </w:rPr>
      </w:pPr>
    </w:p>
    <w:p w:rsidR="009C13A9" w:rsidRPr="00C903F8" w:rsidRDefault="009C13A9" w:rsidP="009C13A9">
      <w:pPr>
        <w:suppressAutoHyphens/>
        <w:autoSpaceDE/>
        <w:autoSpaceDN/>
        <w:ind w:left="0" w:firstLine="0"/>
        <w:jc w:val="left"/>
        <w:rPr>
          <w:rFonts w:cs="Arial"/>
          <w:sz w:val="24"/>
          <w:lang w:val="en-US" w:eastAsia="ar-SA"/>
        </w:rPr>
        <w:sectPr w:rsidR="009C13A9" w:rsidRPr="00C903F8" w:rsidSect="009C13A9">
          <w:headerReference w:type="even" r:id="rId74"/>
          <w:headerReference w:type="default" r:id="rId75"/>
          <w:footerReference w:type="even" r:id="rId76"/>
          <w:footerReference w:type="default" r:id="rId77"/>
          <w:headerReference w:type="first" r:id="rId78"/>
          <w:footerReference w:type="first" r:id="rId79"/>
          <w:footnotePr>
            <w:numRestart w:val="eachPage"/>
          </w:footnotePr>
          <w:pgSz w:w="16840" w:h="11907" w:orient="landscape" w:code="9"/>
          <w:pgMar w:top="1418" w:right="1418" w:bottom="1418" w:left="1418" w:header="680" w:footer="680" w:gutter="0"/>
          <w:cols w:space="720"/>
          <w:docGrid w:linePitch="360"/>
        </w:sectPr>
      </w:pPr>
    </w:p>
    <w:p w:rsidR="009C13A9" w:rsidRPr="00C903F8" w:rsidRDefault="009C13A9" w:rsidP="009C13A9">
      <w:pPr>
        <w:suppressAutoHyphens/>
        <w:autoSpaceDE/>
        <w:autoSpaceDN/>
        <w:spacing w:line="240" w:lineRule="atLeast"/>
        <w:ind w:left="0" w:firstLine="0"/>
        <w:jc w:val="center"/>
        <w:rPr>
          <w:rFonts w:cs="Arial"/>
          <w:lang w:val="en-US" w:eastAsia="ar-SA"/>
        </w:rPr>
      </w:pPr>
    </w:p>
    <w:p w:rsidR="009C13A9" w:rsidRPr="00C903F8" w:rsidRDefault="00925755" w:rsidP="00390107">
      <w:pPr>
        <w:pStyle w:val="ES-Titre3"/>
        <w:rPr>
          <w:noProof/>
          <w:lang w:val="en-US"/>
        </w:rPr>
      </w:pPr>
      <w:bookmarkStart w:id="374" w:name="_Toc491854334"/>
      <w:r w:rsidRPr="00C903F8">
        <w:rPr>
          <w:noProof/>
          <w:lang w:val="en-US"/>
        </w:rPr>
        <w:t>Section</w:t>
      </w:r>
      <w:r w:rsidR="009C13A9" w:rsidRPr="00C903F8">
        <w:rPr>
          <w:noProof/>
          <w:lang w:val="en-US"/>
        </w:rPr>
        <w:t xml:space="preserve"> VI</w:t>
      </w:r>
      <w:bookmarkEnd w:id="374"/>
    </w:p>
    <w:p w:rsidR="00390107" w:rsidRPr="00C903F8" w:rsidRDefault="009C13A9" w:rsidP="00390107">
      <w:pPr>
        <w:pStyle w:val="ES-Titre3a"/>
        <w:rPr>
          <w:noProof/>
          <w:lang w:val="en-US"/>
        </w:rPr>
      </w:pPr>
      <w:bookmarkStart w:id="375" w:name="_Toc491854335"/>
      <w:r w:rsidRPr="00C903F8">
        <w:rPr>
          <w:noProof/>
          <w:lang w:val="en-US"/>
        </w:rPr>
        <w:t>Summary of on-board sewag</w:t>
      </w:r>
      <w:r w:rsidR="00390107" w:rsidRPr="00C903F8">
        <w:rPr>
          <w:noProof/>
          <w:lang w:val="en-US"/>
        </w:rPr>
        <w:t>e treatment plants manufactured</w:t>
      </w:r>
      <w:bookmarkEnd w:id="375"/>
    </w:p>
    <w:p w:rsidR="009C13A9" w:rsidRPr="00C903F8" w:rsidRDefault="009C13A9" w:rsidP="009C13A9">
      <w:pPr>
        <w:overflowPunct w:val="0"/>
        <w:adjustRightInd w:val="0"/>
        <w:spacing w:line="240" w:lineRule="exact"/>
        <w:ind w:left="0" w:firstLine="0"/>
        <w:jc w:val="center"/>
        <w:textAlignment w:val="baseline"/>
        <w:rPr>
          <w:rFonts w:eastAsia="Calibri" w:cs="Arial"/>
          <w:szCs w:val="20"/>
          <w:lang w:val="en-US" w:eastAsia="ar-SA"/>
        </w:rPr>
      </w:pPr>
      <w:r w:rsidRPr="00C903F8">
        <w:rPr>
          <w:rFonts w:eastAsia="Calibri" w:cs="Arial"/>
          <w:szCs w:val="20"/>
          <w:lang w:val="en-US" w:eastAsia="ar-SA"/>
        </w:rPr>
        <w:t>(Model)</w:t>
      </w:r>
    </w:p>
    <w:p w:rsidR="009C13A9" w:rsidRPr="00C903F8" w:rsidRDefault="009C13A9" w:rsidP="009C13A9">
      <w:pPr>
        <w:suppressAutoHyphens/>
        <w:autoSpaceDE/>
        <w:autoSpaceDN/>
        <w:spacing w:line="240" w:lineRule="atLeast"/>
        <w:ind w:left="0" w:firstLine="0"/>
        <w:jc w:val="left"/>
        <w:rPr>
          <w:rFonts w:cs="Arial"/>
          <w:lang w:val="en-US" w:eastAsia="ar-SA"/>
        </w:rPr>
      </w:pPr>
    </w:p>
    <w:p w:rsidR="009C13A9" w:rsidRPr="00C903F8" w:rsidRDefault="009C13A9" w:rsidP="009C13A9">
      <w:pPr>
        <w:suppressAutoHyphens/>
        <w:autoSpaceDE/>
        <w:autoSpaceDN/>
        <w:spacing w:line="240" w:lineRule="atLeast"/>
        <w:ind w:left="0" w:firstLine="0"/>
        <w:jc w:val="right"/>
        <w:rPr>
          <w:rFonts w:cs="Arial"/>
          <w:szCs w:val="20"/>
          <w:lang w:val="en-US" w:eastAsia="ar-SA"/>
        </w:rPr>
      </w:pPr>
      <w:r w:rsidRPr="00C903F8">
        <w:rPr>
          <w:rFonts w:cs="Arial"/>
          <w:sz w:val="16"/>
          <w:lang w:val="en-US" w:eastAsia="ar-SA"/>
        </w:rPr>
        <w:t>Seal of the competent authority</w:t>
      </w:r>
    </w:p>
    <w:p w:rsidR="009C13A9" w:rsidRPr="00C903F8" w:rsidRDefault="009C13A9" w:rsidP="009C13A9">
      <w:pPr>
        <w:tabs>
          <w:tab w:val="left" w:leader="dot" w:pos="9072"/>
        </w:tabs>
        <w:suppressAutoHyphens/>
        <w:autoSpaceDE/>
        <w:autoSpaceDN/>
        <w:spacing w:line="240" w:lineRule="atLeast"/>
        <w:ind w:left="0" w:firstLine="0"/>
        <w:jc w:val="left"/>
        <w:rPr>
          <w:rFonts w:cs="Arial"/>
          <w:szCs w:val="20"/>
          <w:lang w:val="en-US" w:eastAsia="ar-SA"/>
        </w:rPr>
      </w:pPr>
    </w:p>
    <w:p w:rsidR="009C13A9" w:rsidRPr="00C903F8" w:rsidRDefault="009C13A9" w:rsidP="009C13A9">
      <w:pPr>
        <w:tabs>
          <w:tab w:val="left" w:leader="dot" w:pos="9072"/>
        </w:tabs>
        <w:suppressAutoHyphens/>
        <w:autoSpaceDE/>
        <w:autoSpaceDN/>
        <w:spacing w:line="240" w:lineRule="atLeast"/>
        <w:ind w:left="0" w:firstLine="0"/>
        <w:jc w:val="left"/>
        <w:rPr>
          <w:rFonts w:cs="Arial"/>
          <w:szCs w:val="20"/>
          <w:lang w:val="en-US" w:eastAsia="ar-SA"/>
        </w:rPr>
      </w:pPr>
      <w:r w:rsidRPr="00C903F8">
        <w:rPr>
          <w:rFonts w:cs="Arial"/>
          <w:szCs w:val="20"/>
          <w:lang w:val="en-US" w:eastAsia="ar-SA"/>
        </w:rPr>
        <w:t xml:space="preserve">List No: </w:t>
      </w:r>
      <w:r w:rsidRPr="00C903F8">
        <w:rPr>
          <w:rFonts w:cs="Arial"/>
          <w:szCs w:val="20"/>
          <w:lang w:val="en-US" w:eastAsia="ar-SA"/>
        </w:rPr>
        <w:tab/>
      </w:r>
    </w:p>
    <w:p w:rsidR="009C13A9" w:rsidRPr="00C903F8" w:rsidRDefault="009C13A9" w:rsidP="009C13A9">
      <w:pPr>
        <w:tabs>
          <w:tab w:val="left" w:leader="dot" w:pos="4536"/>
          <w:tab w:val="left" w:leader="dot" w:pos="8505"/>
          <w:tab w:val="left" w:leader="dot" w:pos="9072"/>
        </w:tabs>
        <w:suppressAutoHyphens/>
        <w:autoSpaceDE/>
        <w:autoSpaceDN/>
        <w:spacing w:line="240" w:lineRule="atLeast"/>
        <w:ind w:left="0" w:firstLine="0"/>
        <w:jc w:val="left"/>
        <w:rPr>
          <w:rFonts w:cs="Arial"/>
          <w:szCs w:val="20"/>
          <w:lang w:val="en-US" w:eastAsia="ar-SA"/>
        </w:rPr>
      </w:pPr>
    </w:p>
    <w:p w:rsidR="009C13A9" w:rsidRPr="00C903F8" w:rsidRDefault="009C13A9" w:rsidP="009C13A9">
      <w:pPr>
        <w:tabs>
          <w:tab w:val="left" w:leader="dot" w:pos="4536"/>
          <w:tab w:val="left" w:pos="4678"/>
          <w:tab w:val="left" w:leader="dot" w:pos="9072"/>
        </w:tabs>
        <w:suppressAutoHyphens/>
        <w:autoSpaceDE/>
        <w:autoSpaceDN/>
        <w:spacing w:line="240" w:lineRule="atLeast"/>
        <w:ind w:left="0" w:firstLine="0"/>
        <w:jc w:val="left"/>
        <w:rPr>
          <w:rFonts w:cs="Arial"/>
          <w:szCs w:val="20"/>
          <w:lang w:val="en-US" w:eastAsia="ar-SA"/>
        </w:rPr>
      </w:pPr>
      <w:r w:rsidRPr="00C903F8">
        <w:rPr>
          <w:rFonts w:cs="Arial"/>
          <w:szCs w:val="20"/>
          <w:lang w:val="en-US" w:eastAsia="ar-SA"/>
        </w:rPr>
        <w:t xml:space="preserve">For the period from: </w:t>
      </w:r>
      <w:r w:rsidRPr="00C903F8">
        <w:rPr>
          <w:rFonts w:cs="Arial"/>
          <w:szCs w:val="20"/>
          <w:lang w:val="en-US" w:eastAsia="ar-SA"/>
        </w:rPr>
        <w:tab/>
        <w:t xml:space="preserve"> </w:t>
      </w:r>
      <w:r w:rsidRPr="00C903F8">
        <w:rPr>
          <w:rFonts w:cs="Arial"/>
          <w:szCs w:val="20"/>
          <w:lang w:val="en-US" w:eastAsia="ar-SA"/>
        </w:rPr>
        <w:tab/>
        <w:t xml:space="preserve">to: </w:t>
      </w:r>
      <w:r w:rsidRPr="00C903F8">
        <w:rPr>
          <w:rFonts w:cs="Arial"/>
          <w:szCs w:val="20"/>
          <w:lang w:val="en-US" w:eastAsia="ar-SA"/>
        </w:rPr>
        <w:tab/>
      </w:r>
    </w:p>
    <w:p w:rsidR="009C13A9" w:rsidRPr="00C903F8" w:rsidRDefault="009C13A9" w:rsidP="009C13A9">
      <w:pPr>
        <w:tabs>
          <w:tab w:val="left" w:leader="dot" w:pos="9072"/>
        </w:tabs>
        <w:suppressAutoHyphens/>
        <w:autoSpaceDE/>
        <w:autoSpaceDN/>
        <w:spacing w:line="240" w:lineRule="atLeast"/>
        <w:ind w:left="0" w:firstLine="0"/>
        <w:jc w:val="left"/>
        <w:rPr>
          <w:rFonts w:cs="Arial"/>
          <w:szCs w:val="20"/>
          <w:lang w:val="en-US" w:eastAsia="ar-SA"/>
        </w:rPr>
      </w:pPr>
    </w:p>
    <w:p w:rsidR="009C13A9" w:rsidRPr="00C903F8" w:rsidRDefault="009C13A9" w:rsidP="009C13A9">
      <w:pPr>
        <w:tabs>
          <w:tab w:val="left" w:leader="dot" w:pos="9072"/>
        </w:tabs>
        <w:suppressAutoHyphens/>
        <w:autoSpaceDE/>
        <w:autoSpaceDN/>
        <w:spacing w:line="240" w:lineRule="atLeast"/>
        <w:ind w:left="0" w:firstLine="0"/>
        <w:rPr>
          <w:rFonts w:cs="Arial"/>
          <w:szCs w:val="20"/>
          <w:lang w:val="en-US" w:eastAsia="ar-SA"/>
        </w:rPr>
      </w:pPr>
      <w:r w:rsidRPr="00C903F8">
        <w:rPr>
          <w:rFonts w:cs="Arial"/>
          <w:szCs w:val="20"/>
          <w:lang w:val="en-US" w:eastAsia="ar-SA"/>
        </w:rPr>
        <w:t>The following information is supplied relating to on-board sewage treatment plant types and type approval numbers of on-board sewage treatment plants manufactured within the above period in accordance with the provisions of the</w:t>
      </w:r>
      <w:r w:rsidRPr="00C903F8">
        <w:rPr>
          <w:lang w:val="en-US"/>
        </w:rPr>
        <w:t xml:space="preserve"> </w:t>
      </w:r>
      <w:r w:rsidRPr="00C903F8">
        <w:rPr>
          <w:rFonts w:cs="Arial"/>
          <w:szCs w:val="20"/>
          <w:lang w:val="en-US" w:eastAsia="ar-SA"/>
        </w:rPr>
        <w:t>European Standard laying down technical requirements for inland navigation vessels (ES-TRIN):</w:t>
      </w:r>
    </w:p>
    <w:p w:rsidR="009C13A9" w:rsidRPr="00C903F8" w:rsidRDefault="009C13A9" w:rsidP="009C13A9">
      <w:pPr>
        <w:spacing w:line="240" w:lineRule="atLeast"/>
        <w:rPr>
          <w:rFonts w:cs="Arial"/>
          <w:color w:val="000000"/>
          <w:lang w:val="en-US" w:eastAsia="ar-SA"/>
        </w:rPr>
      </w:pPr>
    </w:p>
    <w:p w:rsidR="009C13A9" w:rsidRPr="00C903F8" w:rsidRDefault="009C13A9" w:rsidP="009C13A9">
      <w:pPr>
        <w:tabs>
          <w:tab w:val="left" w:leader="dot" w:pos="9072"/>
        </w:tabs>
        <w:suppressAutoHyphens/>
        <w:autoSpaceDE/>
        <w:autoSpaceDN/>
        <w:spacing w:line="240" w:lineRule="atLeast"/>
        <w:ind w:left="0" w:firstLine="0"/>
        <w:jc w:val="left"/>
        <w:rPr>
          <w:rFonts w:cs="Arial"/>
          <w:szCs w:val="20"/>
          <w:lang w:val="en-US" w:eastAsia="ar-SA"/>
        </w:rPr>
      </w:pPr>
      <w:r w:rsidRPr="00C903F8">
        <w:rPr>
          <w:noProof/>
          <w:szCs w:val="20"/>
          <w:lang w:val="en-US"/>
        </w:rPr>
        <w:t>Make (manufacturer’s company name</w:t>
      </w:r>
      <w:r w:rsidRPr="00C903F8">
        <w:rPr>
          <w:noProof/>
          <w:sz w:val="22"/>
          <w:lang w:val="en-US"/>
        </w:rPr>
        <w:t>)</w:t>
      </w:r>
      <w:r w:rsidRPr="00C903F8">
        <w:rPr>
          <w:rFonts w:cs="Arial"/>
          <w:szCs w:val="20"/>
          <w:lang w:val="en-US" w:eastAsia="ar-SA"/>
        </w:rPr>
        <w:t xml:space="preserve">: </w:t>
      </w:r>
      <w:r w:rsidRPr="00C903F8">
        <w:rPr>
          <w:rFonts w:cs="Arial"/>
          <w:szCs w:val="20"/>
          <w:lang w:val="en-US" w:eastAsia="ar-SA"/>
        </w:rPr>
        <w:tab/>
      </w:r>
    </w:p>
    <w:p w:rsidR="009C13A9" w:rsidRPr="00C903F8" w:rsidRDefault="009C13A9" w:rsidP="009C13A9">
      <w:pPr>
        <w:tabs>
          <w:tab w:val="left" w:leader="dot" w:pos="9072"/>
        </w:tabs>
        <w:suppressAutoHyphens/>
        <w:autoSpaceDE/>
        <w:autoSpaceDN/>
        <w:spacing w:line="240" w:lineRule="atLeast"/>
        <w:ind w:left="0" w:firstLine="0"/>
        <w:rPr>
          <w:rFonts w:cs="Arial"/>
          <w:szCs w:val="20"/>
          <w:lang w:val="en-US" w:eastAsia="ar-SA"/>
        </w:rPr>
      </w:pPr>
    </w:p>
    <w:p w:rsidR="009C13A9" w:rsidRPr="00C903F8" w:rsidRDefault="009C13A9" w:rsidP="009C13A9">
      <w:pPr>
        <w:tabs>
          <w:tab w:val="left" w:leader="dot" w:pos="9072"/>
        </w:tabs>
        <w:suppressAutoHyphens/>
        <w:autoSpaceDE/>
        <w:autoSpaceDN/>
        <w:spacing w:line="240" w:lineRule="atLeast"/>
        <w:ind w:left="0" w:firstLine="0"/>
        <w:rPr>
          <w:rFonts w:cs="Arial"/>
          <w:szCs w:val="20"/>
          <w:lang w:val="en-US" w:eastAsia="ar-SA"/>
        </w:rPr>
      </w:pPr>
      <w:r w:rsidRPr="00C903F8">
        <w:rPr>
          <w:rFonts w:cs="Arial"/>
          <w:szCs w:val="20"/>
          <w:lang w:val="en-US" w:eastAsia="ar-SA"/>
        </w:rPr>
        <w:t xml:space="preserve">Manufacturer’s designation for the on-board sewage treatment plant type: </w:t>
      </w:r>
      <w:r w:rsidRPr="00C903F8">
        <w:rPr>
          <w:rFonts w:cs="Arial"/>
          <w:szCs w:val="20"/>
          <w:lang w:val="en-US" w:eastAsia="ar-SA"/>
        </w:rPr>
        <w:tab/>
      </w:r>
    </w:p>
    <w:p w:rsidR="009C13A9" w:rsidRPr="00C903F8" w:rsidRDefault="009C13A9" w:rsidP="009C13A9">
      <w:pPr>
        <w:tabs>
          <w:tab w:val="left" w:leader="dot" w:pos="9072"/>
        </w:tabs>
        <w:suppressAutoHyphens/>
        <w:autoSpaceDE/>
        <w:autoSpaceDN/>
        <w:spacing w:line="240" w:lineRule="atLeast"/>
        <w:ind w:left="0" w:firstLine="0"/>
        <w:jc w:val="left"/>
        <w:rPr>
          <w:rFonts w:cs="Arial"/>
          <w:szCs w:val="20"/>
          <w:lang w:val="en-US" w:eastAsia="ar-SA"/>
        </w:rPr>
      </w:pPr>
      <w:r w:rsidRPr="00C903F8">
        <w:rPr>
          <w:rFonts w:cs="Arial"/>
          <w:szCs w:val="20"/>
          <w:lang w:val="en-US" w:eastAsia="ar-SA"/>
        </w:rPr>
        <w:tab/>
      </w:r>
    </w:p>
    <w:p w:rsidR="009C13A9" w:rsidRPr="00C903F8" w:rsidRDefault="009C13A9" w:rsidP="009C13A9">
      <w:pPr>
        <w:tabs>
          <w:tab w:val="left" w:leader="dot" w:pos="9072"/>
        </w:tabs>
        <w:suppressAutoHyphens/>
        <w:autoSpaceDE/>
        <w:autoSpaceDN/>
        <w:spacing w:line="240" w:lineRule="atLeast"/>
        <w:ind w:left="0" w:firstLine="0"/>
        <w:jc w:val="left"/>
        <w:rPr>
          <w:rFonts w:cs="Arial"/>
          <w:szCs w:val="20"/>
          <w:lang w:val="en-US" w:eastAsia="ar-SA"/>
        </w:rPr>
      </w:pPr>
    </w:p>
    <w:p w:rsidR="009C13A9" w:rsidRPr="00C903F8" w:rsidRDefault="009C13A9" w:rsidP="009C13A9">
      <w:pPr>
        <w:tabs>
          <w:tab w:val="left" w:leader="dot" w:pos="9072"/>
        </w:tabs>
        <w:suppressAutoHyphens/>
        <w:autoSpaceDE/>
        <w:autoSpaceDN/>
        <w:spacing w:line="240" w:lineRule="atLeast"/>
        <w:ind w:left="0" w:firstLine="0"/>
        <w:jc w:val="left"/>
        <w:rPr>
          <w:rFonts w:cs="Arial"/>
          <w:szCs w:val="20"/>
          <w:lang w:val="en-US" w:eastAsia="ar-SA"/>
        </w:rPr>
      </w:pPr>
      <w:r w:rsidRPr="00C903F8">
        <w:rPr>
          <w:rFonts w:cs="Arial"/>
          <w:szCs w:val="20"/>
          <w:lang w:val="en-US" w:eastAsia="ar-SA"/>
        </w:rPr>
        <w:t xml:space="preserve">Type approval number: </w:t>
      </w:r>
      <w:r w:rsidRPr="00C903F8">
        <w:rPr>
          <w:rFonts w:cs="Arial"/>
          <w:szCs w:val="20"/>
          <w:lang w:val="en-US" w:eastAsia="ar-SA"/>
        </w:rPr>
        <w:tab/>
      </w:r>
    </w:p>
    <w:p w:rsidR="009C13A9" w:rsidRPr="00C903F8" w:rsidRDefault="009C13A9" w:rsidP="009C13A9">
      <w:pPr>
        <w:tabs>
          <w:tab w:val="left" w:leader="dot" w:pos="9072"/>
        </w:tabs>
        <w:suppressAutoHyphens/>
        <w:autoSpaceDE/>
        <w:autoSpaceDN/>
        <w:spacing w:line="240" w:lineRule="atLeast"/>
        <w:ind w:left="0" w:firstLine="0"/>
        <w:jc w:val="left"/>
        <w:rPr>
          <w:rFonts w:cs="Arial"/>
          <w:szCs w:val="20"/>
          <w:lang w:val="en-US" w:eastAsia="ar-SA"/>
        </w:rPr>
      </w:pPr>
    </w:p>
    <w:p w:rsidR="009C13A9" w:rsidRPr="00C903F8" w:rsidRDefault="009C13A9" w:rsidP="009C13A9">
      <w:pPr>
        <w:tabs>
          <w:tab w:val="left" w:leader="dot" w:pos="9072"/>
        </w:tabs>
        <w:suppressAutoHyphens/>
        <w:autoSpaceDE/>
        <w:autoSpaceDN/>
        <w:spacing w:line="240" w:lineRule="atLeast"/>
        <w:ind w:left="0" w:firstLine="0"/>
        <w:jc w:val="left"/>
        <w:rPr>
          <w:rFonts w:cs="Arial"/>
          <w:szCs w:val="20"/>
          <w:lang w:val="en-US" w:eastAsia="ar-SA"/>
        </w:rPr>
      </w:pPr>
      <w:r w:rsidRPr="00C903F8">
        <w:rPr>
          <w:rFonts w:cs="Arial"/>
          <w:szCs w:val="20"/>
          <w:lang w:val="en-US" w:eastAsia="ar-SA"/>
        </w:rPr>
        <w:t xml:space="preserve">Date of first issue: </w:t>
      </w:r>
      <w:r w:rsidRPr="00C903F8">
        <w:rPr>
          <w:rFonts w:cs="Arial"/>
          <w:szCs w:val="20"/>
          <w:lang w:val="en-US" w:eastAsia="ar-SA"/>
        </w:rPr>
        <w:tab/>
      </w:r>
    </w:p>
    <w:p w:rsidR="009C13A9" w:rsidRPr="00C903F8" w:rsidRDefault="009C13A9" w:rsidP="009C13A9">
      <w:pPr>
        <w:tabs>
          <w:tab w:val="left" w:leader="dot" w:pos="9072"/>
        </w:tabs>
        <w:suppressAutoHyphens/>
        <w:autoSpaceDE/>
        <w:autoSpaceDN/>
        <w:spacing w:line="240" w:lineRule="atLeast"/>
        <w:ind w:left="0" w:firstLine="0"/>
        <w:jc w:val="left"/>
        <w:rPr>
          <w:rFonts w:cs="Arial"/>
          <w:szCs w:val="20"/>
          <w:lang w:val="en-US" w:eastAsia="ar-SA"/>
        </w:rPr>
      </w:pPr>
    </w:p>
    <w:p w:rsidR="009C13A9" w:rsidRPr="00C903F8" w:rsidRDefault="009C13A9" w:rsidP="009C13A9">
      <w:pPr>
        <w:tabs>
          <w:tab w:val="left" w:leader="dot" w:pos="9072"/>
        </w:tabs>
        <w:suppressAutoHyphens/>
        <w:autoSpaceDE/>
        <w:autoSpaceDN/>
        <w:spacing w:line="240" w:lineRule="atLeast"/>
        <w:ind w:left="0" w:firstLine="0"/>
        <w:jc w:val="left"/>
        <w:rPr>
          <w:rFonts w:cs="Arial"/>
          <w:szCs w:val="20"/>
          <w:lang w:val="en-US" w:eastAsia="ar-SA"/>
        </w:rPr>
      </w:pPr>
      <w:r w:rsidRPr="00C903F8">
        <w:rPr>
          <w:rFonts w:cs="Arial"/>
          <w:szCs w:val="20"/>
          <w:lang w:val="en-US" w:eastAsia="ar-SA"/>
        </w:rPr>
        <w:t>Date of first issue (in the case of extensions):</w:t>
      </w:r>
      <w:r w:rsidRPr="00C903F8">
        <w:rPr>
          <w:rFonts w:cs="Arial"/>
          <w:szCs w:val="20"/>
          <w:lang w:val="en-US" w:eastAsia="ar-SA"/>
        </w:rPr>
        <w:tab/>
      </w:r>
    </w:p>
    <w:p w:rsidR="009C13A9" w:rsidRPr="00C903F8" w:rsidRDefault="009C13A9" w:rsidP="009C13A9">
      <w:pPr>
        <w:tabs>
          <w:tab w:val="left" w:leader="dot" w:pos="9072"/>
        </w:tabs>
        <w:suppressAutoHyphens/>
        <w:autoSpaceDE/>
        <w:autoSpaceDN/>
        <w:spacing w:line="240" w:lineRule="atLeast"/>
        <w:ind w:left="567" w:firstLine="0"/>
        <w:jc w:val="left"/>
        <w:rPr>
          <w:rFonts w:cs="Arial"/>
          <w:szCs w:val="20"/>
          <w:lang w:val="en-US" w:eastAsia="ar-SA"/>
        </w:rPr>
      </w:pPr>
    </w:p>
    <w:p w:rsidR="009C13A9" w:rsidRPr="00C903F8" w:rsidRDefault="009C13A9" w:rsidP="009C13A9">
      <w:pPr>
        <w:tabs>
          <w:tab w:val="left" w:pos="4111"/>
          <w:tab w:val="left" w:pos="5812"/>
          <w:tab w:val="left" w:pos="7938"/>
        </w:tabs>
        <w:suppressAutoHyphens/>
        <w:autoSpaceDE/>
        <w:autoSpaceDN/>
        <w:spacing w:line="240" w:lineRule="atLeast"/>
        <w:ind w:left="0" w:firstLine="0"/>
        <w:jc w:val="left"/>
        <w:rPr>
          <w:rFonts w:cs="Arial"/>
          <w:szCs w:val="20"/>
          <w:lang w:val="en-US" w:eastAsia="ar-SA"/>
        </w:rPr>
      </w:pPr>
      <w:r w:rsidRPr="00C903F8">
        <w:rPr>
          <w:rFonts w:cs="Arial"/>
          <w:szCs w:val="20"/>
          <w:lang w:val="en-US" w:eastAsia="ar-SA"/>
        </w:rPr>
        <w:t>Serial number:</w:t>
      </w:r>
      <w:r w:rsidRPr="00C903F8">
        <w:rPr>
          <w:rFonts w:cs="Arial"/>
          <w:szCs w:val="20"/>
          <w:lang w:val="en-US" w:eastAsia="ar-SA"/>
        </w:rPr>
        <w:tab/>
        <w:t>... 001</w:t>
      </w:r>
      <w:r w:rsidRPr="00C903F8">
        <w:rPr>
          <w:rFonts w:cs="Arial"/>
          <w:szCs w:val="20"/>
          <w:lang w:val="en-US" w:eastAsia="ar-SA"/>
        </w:rPr>
        <w:tab/>
        <w:t>... 001</w:t>
      </w:r>
      <w:r w:rsidRPr="00C903F8">
        <w:rPr>
          <w:rFonts w:cs="Arial"/>
          <w:szCs w:val="20"/>
          <w:lang w:val="en-US" w:eastAsia="ar-SA"/>
        </w:rPr>
        <w:tab/>
        <w:t>... 001</w:t>
      </w:r>
    </w:p>
    <w:p w:rsidR="009C13A9" w:rsidRPr="00C903F8" w:rsidRDefault="009C13A9" w:rsidP="009C13A9">
      <w:pPr>
        <w:tabs>
          <w:tab w:val="left" w:pos="4111"/>
          <w:tab w:val="left" w:pos="5812"/>
          <w:tab w:val="left" w:pos="7938"/>
        </w:tabs>
        <w:suppressAutoHyphens/>
        <w:autoSpaceDE/>
        <w:autoSpaceDN/>
        <w:spacing w:line="240" w:lineRule="atLeast"/>
        <w:ind w:left="0" w:firstLine="0"/>
        <w:jc w:val="left"/>
        <w:rPr>
          <w:rFonts w:cs="Arial"/>
          <w:szCs w:val="20"/>
          <w:lang w:val="en-US" w:eastAsia="ar-SA"/>
        </w:rPr>
      </w:pPr>
      <w:r w:rsidRPr="00C903F8">
        <w:rPr>
          <w:rFonts w:cs="Arial"/>
          <w:szCs w:val="20"/>
          <w:lang w:val="en-US" w:eastAsia="ar-SA"/>
        </w:rPr>
        <w:tab/>
      </w:r>
    </w:p>
    <w:p w:rsidR="009C13A9" w:rsidRPr="00C903F8" w:rsidRDefault="009C13A9" w:rsidP="009C13A9">
      <w:pPr>
        <w:tabs>
          <w:tab w:val="left" w:pos="4111"/>
          <w:tab w:val="left" w:pos="5812"/>
          <w:tab w:val="left" w:pos="7938"/>
        </w:tabs>
        <w:suppressAutoHyphens/>
        <w:autoSpaceDE/>
        <w:autoSpaceDN/>
        <w:spacing w:line="240" w:lineRule="atLeast"/>
        <w:ind w:left="4111" w:firstLine="0"/>
        <w:jc w:val="left"/>
        <w:rPr>
          <w:rFonts w:cs="Arial"/>
          <w:szCs w:val="20"/>
          <w:lang w:val="en-US" w:eastAsia="ar-SA"/>
        </w:rPr>
      </w:pPr>
      <w:r w:rsidRPr="00C903F8">
        <w:rPr>
          <w:rFonts w:cs="Arial"/>
          <w:szCs w:val="20"/>
          <w:lang w:val="en-US" w:eastAsia="ar-SA"/>
        </w:rPr>
        <w:t>... 002</w:t>
      </w:r>
      <w:r w:rsidRPr="00C903F8">
        <w:rPr>
          <w:rFonts w:cs="Arial"/>
          <w:szCs w:val="20"/>
          <w:lang w:val="en-US" w:eastAsia="ar-SA"/>
        </w:rPr>
        <w:tab/>
        <w:t>... 002</w:t>
      </w:r>
      <w:r w:rsidRPr="00C903F8">
        <w:rPr>
          <w:rFonts w:cs="Arial"/>
          <w:szCs w:val="20"/>
          <w:lang w:val="en-US" w:eastAsia="ar-SA"/>
        </w:rPr>
        <w:tab/>
        <w:t>... 002</w:t>
      </w:r>
    </w:p>
    <w:p w:rsidR="009C13A9" w:rsidRPr="00C903F8" w:rsidRDefault="009C13A9" w:rsidP="009C13A9">
      <w:pPr>
        <w:tabs>
          <w:tab w:val="left" w:pos="4111"/>
          <w:tab w:val="left" w:pos="5812"/>
          <w:tab w:val="left" w:pos="7938"/>
        </w:tabs>
        <w:suppressAutoHyphens/>
        <w:autoSpaceDE/>
        <w:autoSpaceDN/>
        <w:spacing w:line="240" w:lineRule="atLeast"/>
        <w:ind w:left="4111" w:firstLine="0"/>
        <w:jc w:val="left"/>
        <w:rPr>
          <w:rFonts w:cs="Arial"/>
          <w:szCs w:val="20"/>
          <w:lang w:val="en-US" w:eastAsia="ar-SA"/>
        </w:rPr>
      </w:pPr>
    </w:p>
    <w:p w:rsidR="009C13A9" w:rsidRPr="00C903F8" w:rsidRDefault="009C13A9" w:rsidP="009C13A9">
      <w:pPr>
        <w:tabs>
          <w:tab w:val="left" w:pos="4111"/>
          <w:tab w:val="left" w:pos="5812"/>
          <w:tab w:val="left" w:pos="7938"/>
        </w:tabs>
        <w:suppressAutoHyphens/>
        <w:autoSpaceDE/>
        <w:autoSpaceDN/>
        <w:spacing w:line="240" w:lineRule="atLeast"/>
        <w:ind w:left="4111" w:firstLine="0"/>
        <w:jc w:val="left"/>
        <w:rPr>
          <w:rFonts w:cs="Arial"/>
          <w:szCs w:val="20"/>
          <w:lang w:val="en-US" w:eastAsia="ar-SA"/>
        </w:rPr>
      </w:pPr>
      <w:r w:rsidRPr="00C903F8">
        <w:rPr>
          <w:rFonts w:cs="Arial"/>
          <w:szCs w:val="20"/>
          <w:lang w:val="en-US" w:eastAsia="ar-SA"/>
        </w:rPr>
        <w:t>.</w:t>
      </w:r>
      <w:r w:rsidRPr="00C903F8">
        <w:rPr>
          <w:rFonts w:cs="Arial"/>
          <w:szCs w:val="20"/>
          <w:lang w:val="en-US" w:eastAsia="ar-SA"/>
        </w:rPr>
        <w:tab/>
        <w:t>.</w:t>
      </w:r>
      <w:r w:rsidRPr="00C903F8">
        <w:rPr>
          <w:rFonts w:cs="Arial"/>
          <w:szCs w:val="20"/>
          <w:lang w:val="en-US" w:eastAsia="ar-SA"/>
        </w:rPr>
        <w:tab/>
        <w:t>.</w:t>
      </w:r>
    </w:p>
    <w:p w:rsidR="009C13A9" w:rsidRPr="00C903F8" w:rsidRDefault="009C13A9" w:rsidP="009C13A9">
      <w:pPr>
        <w:tabs>
          <w:tab w:val="left" w:pos="4111"/>
          <w:tab w:val="left" w:pos="5812"/>
          <w:tab w:val="left" w:pos="7938"/>
        </w:tabs>
        <w:suppressAutoHyphens/>
        <w:autoSpaceDE/>
        <w:autoSpaceDN/>
        <w:spacing w:line="240" w:lineRule="atLeast"/>
        <w:ind w:left="4111" w:firstLine="0"/>
        <w:jc w:val="left"/>
        <w:rPr>
          <w:rFonts w:cs="Arial"/>
          <w:szCs w:val="20"/>
          <w:lang w:val="en-US" w:eastAsia="ar-SA"/>
        </w:rPr>
      </w:pPr>
      <w:r w:rsidRPr="00C903F8">
        <w:rPr>
          <w:rFonts w:cs="Arial"/>
          <w:szCs w:val="20"/>
          <w:lang w:val="en-US" w:eastAsia="ar-SA"/>
        </w:rPr>
        <w:t>.</w:t>
      </w:r>
      <w:r w:rsidRPr="00C903F8">
        <w:rPr>
          <w:rFonts w:cs="Arial"/>
          <w:szCs w:val="20"/>
          <w:lang w:val="en-US" w:eastAsia="ar-SA"/>
        </w:rPr>
        <w:tab/>
        <w:t>.</w:t>
      </w:r>
      <w:r w:rsidRPr="00C903F8">
        <w:rPr>
          <w:rFonts w:cs="Arial"/>
          <w:szCs w:val="20"/>
          <w:lang w:val="en-US" w:eastAsia="ar-SA"/>
        </w:rPr>
        <w:tab/>
        <w:t>.</w:t>
      </w:r>
    </w:p>
    <w:p w:rsidR="009C13A9" w:rsidRPr="00C903F8" w:rsidRDefault="009C13A9" w:rsidP="009C13A9">
      <w:pPr>
        <w:tabs>
          <w:tab w:val="left" w:pos="4111"/>
          <w:tab w:val="left" w:pos="5812"/>
          <w:tab w:val="left" w:pos="7938"/>
        </w:tabs>
        <w:suppressAutoHyphens/>
        <w:autoSpaceDE/>
        <w:autoSpaceDN/>
        <w:spacing w:line="240" w:lineRule="atLeast"/>
        <w:ind w:left="4111" w:firstLine="0"/>
        <w:jc w:val="left"/>
        <w:rPr>
          <w:rFonts w:cs="Arial"/>
          <w:szCs w:val="20"/>
          <w:lang w:val="en-US" w:eastAsia="ar-SA"/>
        </w:rPr>
      </w:pPr>
      <w:r w:rsidRPr="00C903F8">
        <w:rPr>
          <w:rFonts w:cs="Arial"/>
          <w:szCs w:val="20"/>
          <w:lang w:val="en-US" w:eastAsia="ar-SA"/>
        </w:rPr>
        <w:t>.</w:t>
      </w:r>
      <w:r w:rsidRPr="00C903F8">
        <w:rPr>
          <w:rFonts w:cs="Arial"/>
          <w:szCs w:val="20"/>
          <w:lang w:val="en-US" w:eastAsia="ar-SA"/>
        </w:rPr>
        <w:tab/>
        <w:t>.</w:t>
      </w:r>
      <w:r w:rsidRPr="00C903F8">
        <w:rPr>
          <w:rFonts w:cs="Arial"/>
          <w:szCs w:val="20"/>
          <w:lang w:val="en-US" w:eastAsia="ar-SA"/>
        </w:rPr>
        <w:tab/>
        <w:t>.</w:t>
      </w:r>
    </w:p>
    <w:p w:rsidR="009C13A9" w:rsidRPr="00C903F8" w:rsidRDefault="009C13A9" w:rsidP="009C13A9">
      <w:pPr>
        <w:tabs>
          <w:tab w:val="left" w:pos="4111"/>
          <w:tab w:val="left" w:pos="5812"/>
          <w:tab w:val="left" w:pos="7938"/>
        </w:tabs>
        <w:suppressAutoHyphens/>
        <w:autoSpaceDE/>
        <w:autoSpaceDN/>
        <w:spacing w:line="240" w:lineRule="atLeast"/>
        <w:ind w:left="4111" w:firstLine="0"/>
        <w:jc w:val="left"/>
        <w:rPr>
          <w:rFonts w:cs="Arial"/>
          <w:szCs w:val="20"/>
          <w:lang w:val="en-US" w:eastAsia="ar-SA"/>
        </w:rPr>
      </w:pPr>
    </w:p>
    <w:p w:rsidR="009C13A9" w:rsidRPr="00C903F8" w:rsidRDefault="009C13A9" w:rsidP="009C13A9">
      <w:pPr>
        <w:tabs>
          <w:tab w:val="left" w:pos="4111"/>
          <w:tab w:val="left" w:pos="5812"/>
          <w:tab w:val="left" w:pos="7938"/>
        </w:tabs>
        <w:suppressAutoHyphens/>
        <w:autoSpaceDE/>
        <w:autoSpaceDN/>
        <w:spacing w:line="240" w:lineRule="atLeast"/>
        <w:ind w:left="4111" w:firstLine="0"/>
        <w:jc w:val="left"/>
        <w:rPr>
          <w:rFonts w:cs="Arial"/>
          <w:szCs w:val="20"/>
          <w:lang w:val="en-US" w:eastAsia="ar-SA"/>
        </w:rPr>
      </w:pPr>
      <w:r w:rsidRPr="00C903F8">
        <w:rPr>
          <w:rFonts w:cs="Arial"/>
          <w:szCs w:val="20"/>
          <w:lang w:val="en-US" w:eastAsia="ar-SA"/>
        </w:rPr>
        <w:t>..... m</w:t>
      </w:r>
      <w:r w:rsidRPr="00C903F8">
        <w:rPr>
          <w:rFonts w:cs="Arial"/>
          <w:szCs w:val="20"/>
          <w:lang w:val="en-US" w:eastAsia="ar-SA"/>
        </w:rPr>
        <w:tab/>
        <w:t>..... p</w:t>
      </w:r>
      <w:r w:rsidRPr="00C903F8">
        <w:rPr>
          <w:rFonts w:cs="Arial"/>
          <w:szCs w:val="20"/>
          <w:lang w:val="en-US" w:eastAsia="ar-SA"/>
        </w:rPr>
        <w:tab/>
        <w:t>..... q</w:t>
      </w:r>
    </w:p>
    <w:p w:rsidR="009C13A9" w:rsidRPr="00C903F8" w:rsidRDefault="009C13A9" w:rsidP="009C13A9">
      <w:pPr>
        <w:tabs>
          <w:tab w:val="left" w:pos="4111"/>
          <w:tab w:val="left" w:pos="5812"/>
          <w:tab w:val="left" w:pos="7938"/>
        </w:tabs>
        <w:suppressAutoHyphens/>
        <w:autoSpaceDE/>
        <w:autoSpaceDN/>
        <w:spacing w:line="240" w:lineRule="atLeast"/>
        <w:ind w:left="4111" w:firstLine="0"/>
        <w:jc w:val="left"/>
        <w:rPr>
          <w:rFonts w:cs="Arial"/>
          <w:szCs w:val="20"/>
          <w:lang w:val="en-US" w:eastAsia="ar-SA"/>
        </w:rPr>
      </w:pPr>
    </w:p>
    <w:p w:rsidR="009C13A9" w:rsidRPr="00C903F8" w:rsidRDefault="009C13A9" w:rsidP="009C13A9">
      <w:pPr>
        <w:tabs>
          <w:tab w:val="left" w:pos="4111"/>
          <w:tab w:val="left" w:pos="5812"/>
          <w:tab w:val="left" w:pos="7938"/>
        </w:tabs>
        <w:suppressAutoHyphens/>
        <w:autoSpaceDE/>
        <w:autoSpaceDN/>
        <w:spacing w:line="240" w:lineRule="atLeast"/>
        <w:ind w:left="4111" w:firstLine="0"/>
        <w:jc w:val="left"/>
        <w:rPr>
          <w:rFonts w:cs="Arial"/>
          <w:szCs w:val="20"/>
          <w:lang w:val="en-US" w:eastAsia="ar-SA"/>
        </w:rPr>
      </w:pPr>
    </w:p>
    <w:p w:rsidR="009C13A9" w:rsidRPr="00C903F8" w:rsidRDefault="009C13A9" w:rsidP="009C13A9">
      <w:pPr>
        <w:suppressAutoHyphens/>
        <w:autoSpaceDE/>
        <w:autoSpaceDN/>
        <w:spacing w:line="240" w:lineRule="atLeast"/>
        <w:ind w:left="0" w:firstLine="0"/>
        <w:jc w:val="left"/>
        <w:rPr>
          <w:rFonts w:cs="Arial"/>
          <w:lang w:val="en-US" w:eastAsia="ar-SA"/>
        </w:rPr>
      </w:pPr>
    </w:p>
    <w:p w:rsidR="009C13A9" w:rsidRPr="00C903F8" w:rsidRDefault="009C13A9" w:rsidP="009C13A9">
      <w:pPr>
        <w:suppressAutoHyphens/>
        <w:autoSpaceDE/>
        <w:autoSpaceDN/>
        <w:spacing w:line="240" w:lineRule="atLeast"/>
        <w:ind w:left="0" w:firstLine="0"/>
        <w:jc w:val="left"/>
        <w:rPr>
          <w:rFonts w:cs="Arial"/>
          <w:lang w:val="en-US" w:eastAsia="ar-SA"/>
        </w:rPr>
      </w:pPr>
    </w:p>
    <w:p w:rsidR="009C13A9" w:rsidRPr="00C903F8" w:rsidRDefault="009C13A9" w:rsidP="009C13A9">
      <w:pPr>
        <w:suppressAutoHyphens/>
        <w:autoSpaceDE/>
        <w:autoSpaceDN/>
        <w:spacing w:line="240" w:lineRule="atLeast"/>
        <w:ind w:left="0" w:firstLine="0"/>
        <w:jc w:val="left"/>
        <w:rPr>
          <w:rFonts w:cs="Arial"/>
          <w:lang w:val="en-US" w:eastAsia="ar-SA"/>
        </w:rPr>
      </w:pPr>
    </w:p>
    <w:p w:rsidR="009C13A9" w:rsidRPr="00C903F8" w:rsidRDefault="009C13A9" w:rsidP="009C13A9">
      <w:pPr>
        <w:suppressAutoHyphens/>
        <w:autoSpaceDE/>
        <w:autoSpaceDN/>
        <w:spacing w:line="240" w:lineRule="atLeast"/>
        <w:ind w:left="0" w:firstLine="0"/>
        <w:jc w:val="left"/>
        <w:rPr>
          <w:rFonts w:cs="Arial"/>
          <w:lang w:val="en-US" w:eastAsia="ar-SA"/>
        </w:rPr>
      </w:pPr>
      <w:r w:rsidRPr="00C903F8">
        <w:rPr>
          <w:rFonts w:cs="Arial"/>
          <w:lang w:val="en-US" w:eastAsia="ar-SA"/>
        </w:rPr>
        <w:br w:type="page"/>
      </w:r>
    </w:p>
    <w:p w:rsidR="009C13A9" w:rsidRPr="00C903F8" w:rsidRDefault="009C13A9" w:rsidP="009C13A9">
      <w:pPr>
        <w:suppressAutoHyphens/>
        <w:autoSpaceDE/>
        <w:autoSpaceDN/>
        <w:spacing w:line="240" w:lineRule="atLeast"/>
        <w:ind w:left="0" w:firstLine="0"/>
        <w:jc w:val="left"/>
        <w:rPr>
          <w:rFonts w:cs="Arial"/>
          <w:lang w:val="en-US" w:eastAsia="ar-SA"/>
        </w:rPr>
      </w:pPr>
    </w:p>
    <w:p w:rsidR="009C13A9" w:rsidRPr="00C903F8" w:rsidRDefault="009C13A9" w:rsidP="009C13A9">
      <w:pPr>
        <w:suppressAutoHyphens/>
        <w:autoSpaceDE/>
        <w:autoSpaceDN/>
        <w:spacing w:line="240" w:lineRule="atLeast"/>
        <w:ind w:left="0" w:firstLine="0"/>
        <w:jc w:val="left"/>
        <w:rPr>
          <w:rFonts w:cs="Arial"/>
          <w:lang w:val="en-US" w:eastAsia="ar-SA"/>
        </w:rPr>
      </w:pPr>
    </w:p>
    <w:p w:rsidR="009C13A9" w:rsidRPr="00C903F8" w:rsidRDefault="009C13A9" w:rsidP="009C13A9">
      <w:pPr>
        <w:tabs>
          <w:tab w:val="left" w:pos="4111"/>
          <w:tab w:val="left" w:pos="5812"/>
          <w:tab w:val="left" w:pos="7938"/>
        </w:tabs>
        <w:suppressAutoHyphens/>
        <w:autoSpaceDE/>
        <w:autoSpaceDN/>
        <w:spacing w:line="240" w:lineRule="atLeast"/>
        <w:ind w:left="0" w:firstLine="0"/>
        <w:jc w:val="left"/>
        <w:rPr>
          <w:rFonts w:cs="Arial"/>
          <w:sz w:val="22"/>
          <w:lang w:val="en-US" w:eastAsia="ar-SA"/>
        </w:rPr>
      </w:pPr>
    </w:p>
    <w:p w:rsidR="009C13A9" w:rsidRPr="00C903F8" w:rsidRDefault="009C13A9" w:rsidP="009C13A9">
      <w:pPr>
        <w:suppressAutoHyphens/>
        <w:autoSpaceDE/>
        <w:autoSpaceDN/>
        <w:ind w:left="0" w:firstLine="0"/>
        <w:jc w:val="left"/>
        <w:rPr>
          <w:rFonts w:cs="Arial"/>
          <w:sz w:val="24"/>
          <w:lang w:val="en-US" w:eastAsia="ar-SA"/>
        </w:rPr>
        <w:sectPr w:rsidR="009C13A9" w:rsidRPr="00C903F8" w:rsidSect="009C13A9">
          <w:headerReference w:type="even" r:id="rId80"/>
          <w:headerReference w:type="default" r:id="rId81"/>
          <w:footerReference w:type="even" r:id="rId82"/>
          <w:footerReference w:type="default" r:id="rId83"/>
          <w:headerReference w:type="first" r:id="rId84"/>
          <w:footerReference w:type="first" r:id="rId85"/>
          <w:footnotePr>
            <w:numRestart w:val="eachPage"/>
          </w:footnotePr>
          <w:pgSz w:w="11907" w:h="16840" w:code="9"/>
          <w:pgMar w:top="1418" w:right="1418" w:bottom="1418" w:left="1418" w:header="680" w:footer="680" w:gutter="0"/>
          <w:cols w:space="720"/>
          <w:docGrid w:linePitch="360"/>
        </w:sectPr>
      </w:pPr>
    </w:p>
    <w:p w:rsidR="009C13A9" w:rsidRPr="00C903F8" w:rsidRDefault="009C13A9" w:rsidP="009C13A9">
      <w:pPr>
        <w:suppressAutoHyphens/>
        <w:autoSpaceDE/>
        <w:autoSpaceDN/>
        <w:spacing w:line="240" w:lineRule="atLeast"/>
        <w:ind w:left="0" w:firstLine="0"/>
        <w:jc w:val="center"/>
        <w:rPr>
          <w:rFonts w:cs="Arial"/>
          <w:sz w:val="18"/>
          <w:lang w:val="en-US" w:eastAsia="ar-SA"/>
        </w:rPr>
      </w:pPr>
    </w:p>
    <w:p w:rsidR="009C13A9" w:rsidRPr="00C903F8" w:rsidRDefault="00925755" w:rsidP="00390107">
      <w:pPr>
        <w:pStyle w:val="ES-Titre3"/>
        <w:rPr>
          <w:noProof/>
          <w:lang w:val="en-US"/>
        </w:rPr>
      </w:pPr>
      <w:bookmarkStart w:id="376" w:name="_Toc491854336"/>
      <w:r w:rsidRPr="00C903F8">
        <w:rPr>
          <w:noProof/>
          <w:lang w:val="en-US"/>
        </w:rPr>
        <w:t>Section</w:t>
      </w:r>
      <w:r w:rsidR="009C13A9" w:rsidRPr="00C903F8">
        <w:rPr>
          <w:noProof/>
          <w:lang w:val="en-US"/>
        </w:rPr>
        <w:t xml:space="preserve"> VII</w:t>
      </w:r>
      <w:bookmarkEnd w:id="376"/>
    </w:p>
    <w:p w:rsidR="009C13A9" w:rsidRPr="00C903F8" w:rsidRDefault="009C13A9" w:rsidP="00390107">
      <w:pPr>
        <w:pStyle w:val="ES-Titre3a"/>
        <w:rPr>
          <w:noProof/>
          <w:lang w:val="en-US"/>
        </w:rPr>
      </w:pPr>
      <w:bookmarkStart w:id="377" w:name="_Toc491854337"/>
      <w:r w:rsidRPr="00C903F8">
        <w:rPr>
          <w:noProof/>
          <w:lang w:val="en-US"/>
        </w:rPr>
        <w:t>Data sheet for on-board sewage treatment plants with type approval</w:t>
      </w:r>
      <w:bookmarkEnd w:id="377"/>
      <w:r w:rsidRPr="00C903F8">
        <w:rPr>
          <w:noProof/>
          <w:lang w:val="en-US"/>
        </w:rPr>
        <w:t xml:space="preserve"> </w:t>
      </w:r>
    </w:p>
    <w:p w:rsidR="009C13A9" w:rsidRPr="00C903F8" w:rsidRDefault="009C13A9" w:rsidP="009C13A9">
      <w:pPr>
        <w:overflowPunct w:val="0"/>
        <w:adjustRightInd w:val="0"/>
        <w:spacing w:line="240" w:lineRule="exact"/>
        <w:ind w:left="0" w:firstLine="0"/>
        <w:jc w:val="center"/>
        <w:textAlignment w:val="baseline"/>
        <w:rPr>
          <w:rFonts w:eastAsia="Calibri" w:cs="Arial"/>
          <w:szCs w:val="20"/>
          <w:lang w:val="en-US" w:eastAsia="ar-SA"/>
        </w:rPr>
      </w:pPr>
      <w:r w:rsidRPr="00C903F8">
        <w:rPr>
          <w:rFonts w:eastAsia="Calibri" w:cs="Arial"/>
          <w:szCs w:val="20"/>
          <w:lang w:val="en-US" w:eastAsia="ar-SA"/>
        </w:rPr>
        <w:t>(Model)</w:t>
      </w:r>
    </w:p>
    <w:p w:rsidR="009C13A9" w:rsidRPr="00C903F8" w:rsidRDefault="009C13A9" w:rsidP="009C13A9">
      <w:pPr>
        <w:suppressAutoHyphens/>
        <w:autoSpaceDE/>
        <w:autoSpaceDN/>
        <w:spacing w:line="240" w:lineRule="atLeast"/>
        <w:ind w:left="0" w:firstLine="0"/>
        <w:jc w:val="left"/>
        <w:rPr>
          <w:rFonts w:cs="Arial"/>
          <w:szCs w:val="20"/>
          <w:lang w:val="en-US" w:eastAsia="ar-SA"/>
        </w:rPr>
      </w:pPr>
    </w:p>
    <w:p w:rsidR="009C13A9" w:rsidRPr="00C903F8" w:rsidRDefault="009C13A9" w:rsidP="009C13A9">
      <w:pPr>
        <w:jc w:val="right"/>
        <w:outlineLvl w:val="0"/>
        <w:rPr>
          <w:b/>
          <w:noProof/>
          <w:sz w:val="16"/>
          <w:lang w:val="en-US"/>
        </w:rPr>
      </w:pPr>
      <w:r w:rsidRPr="00C903F8">
        <w:rPr>
          <w:noProof/>
          <w:sz w:val="16"/>
          <w:lang w:val="en-US"/>
        </w:rPr>
        <w:t>Seal of the competent authority</w:t>
      </w:r>
    </w:p>
    <w:p w:rsidR="009C13A9" w:rsidRPr="00C903F8" w:rsidRDefault="009C13A9" w:rsidP="009C13A9">
      <w:pPr>
        <w:suppressAutoHyphens/>
        <w:autoSpaceDE/>
        <w:autoSpaceDN/>
        <w:spacing w:line="240" w:lineRule="atLeast"/>
        <w:ind w:left="0" w:firstLine="0"/>
        <w:jc w:val="left"/>
        <w:rPr>
          <w:rFonts w:cs="Arial"/>
          <w:lang w:val="en-US" w:eastAsia="ar-SA"/>
        </w:rPr>
      </w:pPr>
    </w:p>
    <w:tbl>
      <w:tblPr>
        <w:tblW w:w="14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
        <w:gridCol w:w="923"/>
        <w:gridCol w:w="1001"/>
        <w:gridCol w:w="780"/>
        <w:gridCol w:w="2178"/>
        <w:gridCol w:w="1302"/>
        <w:gridCol w:w="1006"/>
        <w:gridCol w:w="546"/>
        <w:gridCol w:w="567"/>
        <w:gridCol w:w="992"/>
        <w:gridCol w:w="873"/>
        <w:gridCol w:w="1258"/>
        <w:gridCol w:w="812"/>
        <w:gridCol w:w="1258"/>
        <w:gridCol w:w="812"/>
        <w:gridCol w:w="12"/>
      </w:tblGrid>
      <w:tr w:rsidR="009C13A9" w:rsidRPr="00C903F8" w:rsidTr="009C13A9">
        <w:tc>
          <w:tcPr>
            <w:tcW w:w="5334" w:type="dxa"/>
            <w:gridSpan w:val="5"/>
            <w:shd w:val="clear" w:color="auto" w:fill="auto"/>
          </w:tcPr>
          <w:p w:rsidR="009C13A9" w:rsidRPr="00C903F8" w:rsidRDefault="009C13A9" w:rsidP="009C13A9">
            <w:pPr>
              <w:spacing w:before="120" w:after="120" w:line="240" w:lineRule="atLeast"/>
              <w:ind w:left="0" w:firstLine="0"/>
              <w:jc w:val="center"/>
              <w:rPr>
                <w:b/>
                <w:bCs/>
                <w:noProof/>
                <w:szCs w:val="20"/>
                <w:lang w:val="en-US"/>
              </w:rPr>
            </w:pPr>
          </w:p>
        </w:tc>
        <w:tc>
          <w:tcPr>
            <w:tcW w:w="3421" w:type="dxa"/>
            <w:gridSpan w:val="4"/>
            <w:shd w:val="clear" w:color="auto" w:fill="auto"/>
          </w:tcPr>
          <w:p w:rsidR="009C13A9" w:rsidRPr="00C903F8" w:rsidRDefault="009C13A9" w:rsidP="009C13A9">
            <w:pPr>
              <w:spacing w:before="120" w:after="120" w:line="240" w:lineRule="atLeast"/>
              <w:ind w:left="0" w:firstLine="0"/>
              <w:jc w:val="center"/>
              <w:rPr>
                <w:b/>
                <w:bCs/>
                <w:noProof/>
                <w:szCs w:val="20"/>
                <w:lang w:val="en-US"/>
              </w:rPr>
            </w:pPr>
            <w:r w:rsidRPr="00C903F8">
              <w:rPr>
                <w:b/>
                <w:bCs/>
                <w:noProof/>
                <w:sz w:val="16"/>
                <w:szCs w:val="16"/>
                <w:lang w:val="en-US"/>
              </w:rPr>
              <w:t>On-board sewage treatment plant characteristics</w:t>
            </w:r>
          </w:p>
        </w:tc>
        <w:tc>
          <w:tcPr>
            <w:tcW w:w="6017" w:type="dxa"/>
            <w:gridSpan w:val="7"/>
            <w:shd w:val="clear" w:color="auto" w:fill="auto"/>
          </w:tcPr>
          <w:p w:rsidR="009C13A9" w:rsidRPr="00C903F8" w:rsidRDefault="009C13A9" w:rsidP="009C13A9">
            <w:pPr>
              <w:spacing w:before="120" w:after="120" w:line="240" w:lineRule="atLeast"/>
              <w:ind w:left="0" w:firstLine="0"/>
              <w:jc w:val="center"/>
              <w:rPr>
                <w:b/>
                <w:bCs/>
                <w:noProof/>
                <w:szCs w:val="20"/>
              </w:rPr>
            </w:pPr>
            <w:r w:rsidRPr="00C903F8">
              <w:rPr>
                <w:b/>
                <w:bCs/>
                <w:noProof/>
                <w:sz w:val="16"/>
                <w:szCs w:val="16"/>
              </w:rPr>
              <w:t>Purification efficiency</w:t>
            </w:r>
          </w:p>
        </w:tc>
      </w:tr>
      <w:tr w:rsidR="009C13A9" w:rsidRPr="00C903F8" w:rsidTr="009C13A9">
        <w:trPr>
          <w:gridAfter w:val="1"/>
          <w:wAfter w:w="12" w:type="dxa"/>
        </w:trPr>
        <w:tc>
          <w:tcPr>
            <w:tcW w:w="452" w:type="dxa"/>
            <w:vMerge w:val="restart"/>
            <w:shd w:val="clear" w:color="auto" w:fill="auto"/>
          </w:tcPr>
          <w:p w:rsidR="009C13A9" w:rsidRPr="00C903F8" w:rsidRDefault="009C13A9" w:rsidP="009C13A9">
            <w:pPr>
              <w:spacing w:before="120" w:after="120" w:line="240" w:lineRule="atLeast"/>
              <w:ind w:left="0" w:firstLine="0"/>
              <w:jc w:val="center"/>
              <w:rPr>
                <w:noProof/>
                <w:szCs w:val="20"/>
              </w:rPr>
            </w:pPr>
            <w:r w:rsidRPr="00C903F8">
              <w:rPr>
                <w:noProof/>
                <w:sz w:val="16"/>
                <w:szCs w:val="16"/>
              </w:rPr>
              <w:t>No</w:t>
            </w:r>
          </w:p>
        </w:tc>
        <w:tc>
          <w:tcPr>
            <w:tcW w:w="923" w:type="dxa"/>
            <w:vMerge w:val="restart"/>
            <w:shd w:val="clear" w:color="auto" w:fill="auto"/>
          </w:tcPr>
          <w:p w:rsidR="009C13A9" w:rsidRPr="00C903F8" w:rsidRDefault="009C13A9" w:rsidP="009C13A9">
            <w:pPr>
              <w:spacing w:before="120" w:after="120" w:line="240" w:lineRule="atLeast"/>
              <w:ind w:left="0" w:firstLine="0"/>
              <w:jc w:val="center"/>
              <w:rPr>
                <w:noProof/>
                <w:szCs w:val="20"/>
              </w:rPr>
            </w:pPr>
            <w:r w:rsidRPr="00C903F8">
              <w:rPr>
                <w:noProof/>
                <w:sz w:val="16"/>
                <w:szCs w:val="16"/>
              </w:rPr>
              <w:t xml:space="preserve">Date of </w:t>
            </w:r>
            <w:r w:rsidRPr="00C903F8">
              <w:rPr>
                <w:noProof/>
                <w:sz w:val="16"/>
                <w:szCs w:val="16"/>
              </w:rPr>
              <w:br/>
              <w:t>type approval</w:t>
            </w:r>
          </w:p>
        </w:tc>
        <w:tc>
          <w:tcPr>
            <w:tcW w:w="1001" w:type="dxa"/>
            <w:vMerge w:val="restart"/>
            <w:shd w:val="clear" w:color="auto" w:fill="auto"/>
          </w:tcPr>
          <w:p w:rsidR="009C13A9" w:rsidRPr="00C903F8" w:rsidRDefault="009C13A9" w:rsidP="009C13A9">
            <w:pPr>
              <w:spacing w:before="120" w:after="120" w:line="240" w:lineRule="atLeast"/>
              <w:ind w:left="0" w:firstLine="0"/>
              <w:jc w:val="center"/>
              <w:rPr>
                <w:noProof/>
                <w:szCs w:val="20"/>
              </w:rPr>
            </w:pPr>
            <w:r w:rsidRPr="00C903F8">
              <w:rPr>
                <w:noProof/>
                <w:sz w:val="16"/>
                <w:szCs w:val="16"/>
              </w:rPr>
              <w:t>Type approval number</w:t>
            </w:r>
          </w:p>
        </w:tc>
        <w:tc>
          <w:tcPr>
            <w:tcW w:w="780" w:type="dxa"/>
            <w:vMerge w:val="restart"/>
            <w:shd w:val="clear" w:color="auto" w:fill="auto"/>
          </w:tcPr>
          <w:p w:rsidR="009C13A9" w:rsidRPr="00C903F8" w:rsidRDefault="009C13A9" w:rsidP="009C13A9">
            <w:pPr>
              <w:spacing w:before="120" w:after="120" w:line="240" w:lineRule="atLeast"/>
              <w:ind w:left="0" w:firstLine="0"/>
              <w:jc w:val="center"/>
              <w:rPr>
                <w:noProof/>
                <w:szCs w:val="20"/>
              </w:rPr>
            </w:pPr>
            <w:r w:rsidRPr="00C903F8">
              <w:rPr>
                <w:noProof/>
                <w:sz w:val="16"/>
                <w:szCs w:val="16"/>
              </w:rPr>
              <w:t>Make</w:t>
            </w:r>
          </w:p>
        </w:tc>
        <w:tc>
          <w:tcPr>
            <w:tcW w:w="2178" w:type="dxa"/>
            <w:vMerge w:val="restart"/>
            <w:shd w:val="clear" w:color="auto" w:fill="auto"/>
          </w:tcPr>
          <w:p w:rsidR="009C13A9" w:rsidRPr="00C903F8" w:rsidRDefault="009C13A9" w:rsidP="009C13A9">
            <w:pPr>
              <w:spacing w:before="120" w:after="120" w:line="240" w:lineRule="atLeast"/>
              <w:ind w:left="0" w:firstLine="0"/>
              <w:jc w:val="center"/>
              <w:rPr>
                <w:noProof/>
                <w:szCs w:val="20"/>
                <w:lang w:val="en-US"/>
              </w:rPr>
            </w:pPr>
            <w:r w:rsidRPr="00C903F8">
              <w:rPr>
                <w:noProof/>
                <w:sz w:val="16"/>
                <w:szCs w:val="16"/>
                <w:lang w:val="en-US"/>
              </w:rPr>
              <w:t>On-board sewage treatment plant type</w:t>
            </w:r>
          </w:p>
        </w:tc>
        <w:tc>
          <w:tcPr>
            <w:tcW w:w="1302" w:type="dxa"/>
            <w:vMerge w:val="restart"/>
            <w:shd w:val="clear" w:color="auto" w:fill="auto"/>
          </w:tcPr>
          <w:p w:rsidR="009C13A9" w:rsidRPr="00C903F8" w:rsidRDefault="009C13A9" w:rsidP="009C13A9">
            <w:pPr>
              <w:spacing w:before="120" w:after="120" w:line="240" w:lineRule="atLeast"/>
              <w:ind w:left="0" w:firstLine="0"/>
              <w:jc w:val="center"/>
              <w:rPr>
                <w:noProof/>
                <w:szCs w:val="20"/>
                <w:lang w:val="en-US"/>
              </w:rPr>
            </w:pPr>
            <w:r w:rsidRPr="00C903F8">
              <w:rPr>
                <w:noProof/>
                <w:sz w:val="16"/>
                <w:szCs w:val="16"/>
                <w:lang w:val="en-US"/>
              </w:rPr>
              <w:t xml:space="preserve">Daily vol. flow rate of sewage </w:t>
            </w:r>
            <m:oMath>
              <m:sSub>
                <m:sSubPr>
                  <m:ctrlPr>
                    <w:rPr>
                      <w:rFonts w:ascii="Cambria Math" w:hAnsi="Cambria Math" w:cs="Arial"/>
                      <w:i/>
                      <w:sz w:val="16"/>
                      <w:szCs w:val="16"/>
                      <w:lang w:val="de-DE" w:eastAsia="nl-NL"/>
                    </w:rPr>
                  </m:ctrlPr>
                </m:sSubPr>
                <m:e>
                  <m:r>
                    <w:rPr>
                      <w:rFonts w:ascii="Cambria Math" w:hAnsi="Cambria Math" w:cs="Arial"/>
                      <w:sz w:val="16"/>
                      <w:szCs w:val="16"/>
                      <w:lang w:val="de-DE" w:eastAsia="nl-NL"/>
                    </w:rPr>
                    <m:t>Q</m:t>
                  </m:r>
                </m:e>
                <m:sub>
                  <m:r>
                    <w:rPr>
                      <w:rFonts w:ascii="Cambria Math" w:hAnsi="Cambria Math" w:cs="Arial"/>
                      <w:sz w:val="16"/>
                      <w:szCs w:val="16"/>
                      <w:lang w:val="de-DE" w:eastAsia="nl-NL"/>
                    </w:rPr>
                    <m:t>d</m:t>
                  </m:r>
                </m:sub>
              </m:sSub>
            </m:oMath>
            <w:r w:rsidRPr="00C903F8">
              <w:rPr>
                <w:noProof/>
                <w:sz w:val="16"/>
                <w:szCs w:val="16"/>
                <w:lang w:val="en-US"/>
              </w:rPr>
              <w:t xml:space="preserve"> (m³/d)</w:t>
            </w:r>
          </w:p>
        </w:tc>
        <w:tc>
          <w:tcPr>
            <w:tcW w:w="1006" w:type="dxa"/>
            <w:vMerge w:val="restart"/>
            <w:shd w:val="clear" w:color="auto" w:fill="auto"/>
          </w:tcPr>
          <w:p w:rsidR="009C13A9" w:rsidRPr="00C903F8" w:rsidRDefault="009C13A9" w:rsidP="009C13A9">
            <w:pPr>
              <w:spacing w:before="120" w:after="120" w:line="240" w:lineRule="atLeast"/>
              <w:ind w:left="0" w:firstLine="0"/>
              <w:jc w:val="center"/>
              <w:rPr>
                <w:noProof/>
                <w:szCs w:val="20"/>
                <w:lang w:val="en-US"/>
              </w:rPr>
            </w:pPr>
            <w:r w:rsidRPr="00C903F8">
              <w:rPr>
                <w:noProof/>
                <w:sz w:val="16"/>
                <w:szCs w:val="16"/>
                <w:lang w:val="en-US"/>
              </w:rPr>
              <w:t xml:space="preserve">Daily </w:t>
            </w:r>
            <m:oMath>
              <m:sSub>
                <m:sSubPr>
                  <m:ctrlPr>
                    <w:rPr>
                      <w:rFonts w:ascii="Cambria Math" w:hAnsi="Cambria Math"/>
                      <w:i/>
                      <w:noProof/>
                      <w:sz w:val="16"/>
                      <w:szCs w:val="16"/>
                      <w:lang w:val="en-US" w:eastAsia="nl-NL"/>
                    </w:rPr>
                  </m:ctrlPr>
                </m:sSubPr>
                <m:e>
                  <m:r>
                    <w:rPr>
                      <w:rFonts w:ascii="Cambria Math" w:hAnsi="Cambria Math"/>
                      <w:noProof/>
                      <w:sz w:val="16"/>
                      <w:szCs w:val="16"/>
                      <w:lang w:val="en-US" w:eastAsia="nl-NL"/>
                    </w:rPr>
                    <m:t>BOD</m:t>
                  </m:r>
                </m:e>
                <m:sub>
                  <m:r>
                    <w:rPr>
                      <w:rFonts w:ascii="Cambria Math" w:hAnsi="Cambria Math"/>
                      <w:noProof/>
                      <w:sz w:val="16"/>
                      <w:szCs w:val="16"/>
                      <w:lang w:val="en-US" w:eastAsia="nl-NL"/>
                    </w:rPr>
                    <m:t>5</m:t>
                  </m:r>
                </m:sub>
              </m:sSub>
            </m:oMath>
            <w:r w:rsidRPr="00C903F8">
              <w:rPr>
                <w:noProof/>
                <w:sz w:val="16"/>
                <w:szCs w:val="16"/>
                <w:lang w:val="en-US"/>
              </w:rPr>
              <w:t xml:space="preserve"> pollution load (kg/d)</w:t>
            </w:r>
          </w:p>
        </w:tc>
        <w:tc>
          <w:tcPr>
            <w:tcW w:w="546" w:type="dxa"/>
            <w:vMerge w:val="restart"/>
            <w:shd w:val="clear" w:color="auto" w:fill="auto"/>
          </w:tcPr>
          <w:p w:rsidR="009C13A9" w:rsidRPr="00C903F8" w:rsidRDefault="009C13A9" w:rsidP="009C13A9">
            <w:pPr>
              <w:spacing w:before="120" w:after="120" w:line="240" w:lineRule="atLeast"/>
              <w:ind w:left="0" w:firstLine="0"/>
              <w:jc w:val="center"/>
              <w:rPr>
                <w:noProof/>
                <w:szCs w:val="20"/>
                <w:lang w:val="en-US"/>
              </w:rPr>
            </w:pPr>
          </w:p>
        </w:tc>
        <w:tc>
          <w:tcPr>
            <w:tcW w:w="567" w:type="dxa"/>
            <w:vMerge w:val="restart"/>
            <w:shd w:val="clear" w:color="auto" w:fill="auto"/>
          </w:tcPr>
          <w:p w:rsidR="009C13A9" w:rsidRPr="00C903F8" w:rsidRDefault="009C13A9" w:rsidP="009C13A9">
            <w:pPr>
              <w:spacing w:before="120" w:after="120" w:line="240" w:lineRule="atLeast"/>
              <w:ind w:left="0" w:firstLine="0"/>
              <w:jc w:val="center"/>
              <w:rPr>
                <w:noProof/>
                <w:szCs w:val="20"/>
                <w:lang w:val="en-US"/>
              </w:rPr>
            </w:pPr>
          </w:p>
        </w:tc>
        <w:tc>
          <w:tcPr>
            <w:tcW w:w="1865" w:type="dxa"/>
            <w:gridSpan w:val="2"/>
            <w:shd w:val="clear" w:color="auto" w:fill="auto"/>
          </w:tcPr>
          <w:p w:rsidR="009C13A9" w:rsidRPr="00C903F8" w:rsidRDefault="00F12BAF" w:rsidP="009C13A9">
            <w:pPr>
              <w:spacing w:before="120" w:after="120" w:line="240" w:lineRule="atLeast"/>
              <w:ind w:left="0" w:firstLine="0"/>
              <w:jc w:val="center"/>
              <w:rPr>
                <w:noProof/>
                <w:sz w:val="16"/>
                <w:szCs w:val="16"/>
              </w:rPr>
            </w:pPr>
            <m:oMathPara>
              <m:oMath>
                <m:sSub>
                  <m:sSubPr>
                    <m:ctrlPr>
                      <w:rPr>
                        <w:rFonts w:ascii="Cambria Math" w:hAnsi="Cambria Math"/>
                        <w:i/>
                        <w:noProof/>
                        <w:sz w:val="16"/>
                        <w:szCs w:val="16"/>
                        <w:lang w:val="en-US" w:eastAsia="nl-NL"/>
                      </w:rPr>
                    </m:ctrlPr>
                  </m:sSubPr>
                  <m:e>
                    <m:r>
                      <w:rPr>
                        <w:rFonts w:ascii="Cambria Math" w:hAnsi="Cambria Math"/>
                        <w:noProof/>
                        <w:sz w:val="16"/>
                        <w:szCs w:val="16"/>
                        <w:lang w:val="en-US" w:eastAsia="nl-NL"/>
                      </w:rPr>
                      <m:t>BOD</m:t>
                    </m:r>
                  </m:e>
                  <m:sub>
                    <m:r>
                      <w:rPr>
                        <w:rFonts w:ascii="Cambria Math" w:hAnsi="Cambria Math"/>
                        <w:noProof/>
                        <w:sz w:val="16"/>
                        <w:szCs w:val="16"/>
                        <w:lang w:val="en-US" w:eastAsia="nl-NL"/>
                      </w:rPr>
                      <m:t>5</m:t>
                    </m:r>
                  </m:sub>
                </m:sSub>
              </m:oMath>
            </m:oMathPara>
          </w:p>
        </w:tc>
        <w:tc>
          <w:tcPr>
            <w:tcW w:w="2070" w:type="dxa"/>
            <w:gridSpan w:val="2"/>
            <w:shd w:val="clear" w:color="auto" w:fill="auto"/>
          </w:tcPr>
          <w:p w:rsidR="009C13A9" w:rsidRPr="00C903F8" w:rsidRDefault="009C13A9" w:rsidP="009C13A9">
            <w:pPr>
              <w:spacing w:before="120" w:after="120" w:line="240" w:lineRule="atLeast"/>
              <w:ind w:left="0" w:firstLine="0"/>
              <w:jc w:val="center"/>
              <w:rPr>
                <w:noProof/>
                <w:szCs w:val="20"/>
              </w:rPr>
            </w:pPr>
            <w:r w:rsidRPr="00C903F8">
              <w:rPr>
                <w:noProof/>
                <w:sz w:val="16"/>
                <w:szCs w:val="16"/>
              </w:rPr>
              <w:t>COD</w:t>
            </w:r>
          </w:p>
        </w:tc>
        <w:tc>
          <w:tcPr>
            <w:tcW w:w="2070" w:type="dxa"/>
            <w:gridSpan w:val="2"/>
            <w:shd w:val="clear" w:color="auto" w:fill="auto"/>
          </w:tcPr>
          <w:p w:rsidR="009C13A9" w:rsidRPr="00C903F8" w:rsidRDefault="009C13A9" w:rsidP="009C13A9">
            <w:pPr>
              <w:spacing w:before="120" w:after="120" w:line="240" w:lineRule="atLeast"/>
              <w:ind w:left="0" w:firstLine="0"/>
              <w:jc w:val="center"/>
              <w:rPr>
                <w:noProof/>
                <w:szCs w:val="20"/>
              </w:rPr>
            </w:pPr>
            <w:r w:rsidRPr="00C903F8">
              <w:rPr>
                <w:noProof/>
                <w:sz w:val="16"/>
                <w:szCs w:val="16"/>
              </w:rPr>
              <w:t>TOC</w:t>
            </w:r>
          </w:p>
        </w:tc>
      </w:tr>
      <w:tr w:rsidR="009C13A9" w:rsidRPr="00C903F8" w:rsidTr="009C13A9">
        <w:trPr>
          <w:gridAfter w:val="1"/>
          <w:wAfter w:w="12" w:type="dxa"/>
        </w:trPr>
        <w:tc>
          <w:tcPr>
            <w:tcW w:w="452" w:type="dxa"/>
            <w:vMerge/>
            <w:shd w:val="clear" w:color="auto" w:fill="auto"/>
          </w:tcPr>
          <w:p w:rsidR="009C13A9" w:rsidRPr="00C903F8" w:rsidRDefault="009C13A9" w:rsidP="009C13A9">
            <w:pPr>
              <w:spacing w:before="120" w:after="120" w:line="240" w:lineRule="atLeast"/>
              <w:ind w:left="0" w:firstLine="0"/>
              <w:rPr>
                <w:noProof/>
                <w:szCs w:val="20"/>
              </w:rPr>
            </w:pPr>
          </w:p>
        </w:tc>
        <w:tc>
          <w:tcPr>
            <w:tcW w:w="923" w:type="dxa"/>
            <w:vMerge/>
            <w:shd w:val="clear" w:color="auto" w:fill="auto"/>
          </w:tcPr>
          <w:p w:rsidR="009C13A9" w:rsidRPr="00C903F8" w:rsidRDefault="009C13A9" w:rsidP="009C13A9">
            <w:pPr>
              <w:spacing w:before="120" w:after="120" w:line="240" w:lineRule="atLeast"/>
              <w:ind w:left="0" w:firstLine="0"/>
              <w:rPr>
                <w:noProof/>
                <w:szCs w:val="20"/>
              </w:rPr>
            </w:pPr>
          </w:p>
        </w:tc>
        <w:tc>
          <w:tcPr>
            <w:tcW w:w="1001" w:type="dxa"/>
            <w:vMerge/>
            <w:shd w:val="clear" w:color="auto" w:fill="auto"/>
          </w:tcPr>
          <w:p w:rsidR="009C13A9" w:rsidRPr="00C903F8" w:rsidRDefault="009C13A9" w:rsidP="009C13A9">
            <w:pPr>
              <w:spacing w:before="120" w:after="120" w:line="240" w:lineRule="atLeast"/>
              <w:ind w:left="0" w:firstLine="0"/>
              <w:rPr>
                <w:noProof/>
                <w:szCs w:val="20"/>
              </w:rPr>
            </w:pPr>
          </w:p>
        </w:tc>
        <w:tc>
          <w:tcPr>
            <w:tcW w:w="780" w:type="dxa"/>
            <w:vMerge/>
            <w:shd w:val="clear" w:color="auto" w:fill="auto"/>
          </w:tcPr>
          <w:p w:rsidR="009C13A9" w:rsidRPr="00C903F8" w:rsidRDefault="009C13A9" w:rsidP="009C13A9">
            <w:pPr>
              <w:spacing w:before="120" w:after="120" w:line="240" w:lineRule="atLeast"/>
              <w:ind w:left="0" w:firstLine="0"/>
              <w:rPr>
                <w:noProof/>
                <w:szCs w:val="20"/>
              </w:rPr>
            </w:pPr>
          </w:p>
        </w:tc>
        <w:tc>
          <w:tcPr>
            <w:tcW w:w="2178" w:type="dxa"/>
            <w:vMerge/>
            <w:shd w:val="clear" w:color="auto" w:fill="auto"/>
          </w:tcPr>
          <w:p w:rsidR="009C13A9" w:rsidRPr="00C903F8" w:rsidRDefault="009C13A9" w:rsidP="009C13A9">
            <w:pPr>
              <w:spacing w:before="120" w:after="120" w:line="240" w:lineRule="atLeast"/>
              <w:ind w:left="0" w:firstLine="0"/>
              <w:rPr>
                <w:noProof/>
                <w:szCs w:val="20"/>
              </w:rPr>
            </w:pPr>
          </w:p>
        </w:tc>
        <w:tc>
          <w:tcPr>
            <w:tcW w:w="1302" w:type="dxa"/>
            <w:vMerge/>
            <w:shd w:val="clear" w:color="auto" w:fill="auto"/>
          </w:tcPr>
          <w:p w:rsidR="009C13A9" w:rsidRPr="00C903F8" w:rsidRDefault="009C13A9" w:rsidP="009C13A9">
            <w:pPr>
              <w:spacing w:before="120" w:after="120" w:line="240" w:lineRule="atLeast"/>
              <w:ind w:left="0" w:firstLine="0"/>
              <w:rPr>
                <w:noProof/>
                <w:szCs w:val="20"/>
              </w:rPr>
            </w:pPr>
          </w:p>
        </w:tc>
        <w:tc>
          <w:tcPr>
            <w:tcW w:w="1006" w:type="dxa"/>
            <w:vMerge/>
            <w:shd w:val="clear" w:color="auto" w:fill="auto"/>
          </w:tcPr>
          <w:p w:rsidR="009C13A9" w:rsidRPr="00C903F8" w:rsidRDefault="009C13A9" w:rsidP="009C13A9">
            <w:pPr>
              <w:spacing w:before="120" w:after="120" w:line="240" w:lineRule="atLeast"/>
              <w:ind w:left="0" w:firstLine="0"/>
              <w:rPr>
                <w:noProof/>
                <w:szCs w:val="20"/>
              </w:rPr>
            </w:pPr>
          </w:p>
        </w:tc>
        <w:tc>
          <w:tcPr>
            <w:tcW w:w="546" w:type="dxa"/>
            <w:vMerge/>
            <w:shd w:val="clear" w:color="auto" w:fill="auto"/>
          </w:tcPr>
          <w:p w:rsidR="009C13A9" w:rsidRPr="00C903F8" w:rsidRDefault="009C13A9" w:rsidP="009C13A9">
            <w:pPr>
              <w:spacing w:before="120" w:after="120" w:line="240" w:lineRule="atLeast"/>
              <w:ind w:left="0" w:firstLine="0"/>
              <w:rPr>
                <w:noProof/>
                <w:szCs w:val="20"/>
              </w:rPr>
            </w:pPr>
          </w:p>
        </w:tc>
        <w:tc>
          <w:tcPr>
            <w:tcW w:w="567" w:type="dxa"/>
            <w:vMerge/>
            <w:shd w:val="clear" w:color="auto" w:fill="auto"/>
          </w:tcPr>
          <w:p w:rsidR="009C13A9" w:rsidRPr="00C903F8" w:rsidRDefault="009C13A9" w:rsidP="009C13A9">
            <w:pPr>
              <w:spacing w:before="120" w:after="120" w:line="240" w:lineRule="atLeast"/>
              <w:ind w:left="0" w:firstLine="0"/>
              <w:rPr>
                <w:noProof/>
                <w:szCs w:val="20"/>
              </w:rPr>
            </w:pPr>
          </w:p>
        </w:tc>
        <w:tc>
          <w:tcPr>
            <w:tcW w:w="992" w:type="dxa"/>
            <w:shd w:val="clear" w:color="auto" w:fill="auto"/>
          </w:tcPr>
          <w:p w:rsidR="009C13A9" w:rsidRPr="00C903F8" w:rsidRDefault="009C13A9" w:rsidP="009C13A9">
            <w:pPr>
              <w:spacing w:before="120" w:after="120" w:line="240" w:lineRule="atLeast"/>
              <w:ind w:left="0" w:firstLine="0"/>
              <w:jc w:val="center"/>
              <w:rPr>
                <w:noProof/>
                <w:szCs w:val="20"/>
              </w:rPr>
            </w:pPr>
            <w:r w:rsidRPr="00C903F8">
              <w:rPr>
                <w:noProof/>
                <w:sz w:val="16"/>
                <w:szCs w:val="16"/>
              </w:rPr>
              <w:t>24 h composite sample</w:t>
            </w:r>
          </w:p>
        </w:tc>
        <w:tc>
          <w:tcPr>
            <w:tcW w:w="873" w:type="dxa"/>
            <w:shd w:val="clear" w:color="auto" w:fill="auto"/>
          </w:tcPr>
          <w:p w:rsidR="009C13A9" w:rsidRPr="00C903F8" w:rsidRDefault="009C13A9" w:rsidP="009C13A9">
            <w:pPr>
              <w:spacing w:before="120" w:after="120" w:line="240" w:lineRule="atLeast"/>
              <w:ind w:left="0" w:firstLine="0"/>
              <w:jc w:val="center"/>
              <w:rPr>
                <w:noProof/>
                <w:sz w:val="16"/>
                <w:szCs w:val="16"/>
              </w:rPr>
            </w:pPr>
            <w:r w:rsidRPr="00C903F8">
              <w:rPr>
                <w:noProof/>
                <w:sz w:val="16"/>
                <w:szCs w:val="16"/>
              </w:rPr>
              <w:t>Random-sample</w:t>
            </w:r>
          </w:p>
        </w:tc>
        <w:tc>
          <w:tcPr>
            <w:tcW w:w="1258" w:type="dxa"/>
            <w:shd w:val="clear" w:color="auto" w:fill="auto"/>
          </w:tcPr>
          <w:p w:rsidR="009C13A9" w:rsidRPr="00C903F8" w:rsidRDefault="009C13A9" w:rsidP="009C13A9">
            <w:pPr>
              <w:spacing w:before="120" w:after="120" w:line="240" w:lineRule="atLeast"/>
              <w:ind w:left="0" w:firstLine="0"/>
              <w:jc w:val="center"/>
              <w:rPr>
                <w:noProof/>
                <w:szCs w:val="20"/>
              </w:rPr>
            </w:pPr>
            <w:r w:rsidRPr="00C903F8">
              <w:rPr>
                <w:noProof/>
                <w:sz w:val="16"/>
                <w:szCs w:val="16"/>
              </w:rPr>
              <w:t>24 h composite sample</w:t>
            </w:r>
          </w:p>
        </w:tc>
        <w:tc>
          <w:tcPr>
            <w:tcW w:w="812" w:type="dxa"/>
            <w:shd w:val="clear" w:color="auto" w:fill="auto"/>
          </w:tcPr>
          <w:p w:rsidR="009C13A9" w:rsidRPr="00C903F8" w:rsidRDefault="009C13A9" w:rsidP="009C13A9">
            <w:pPr>
              <w:spacing w:before="120" w:after="120" w:line="240" w:lineRule="atLeast"/>
              <w:ind w:left="0" w:firstLine="0"/>
              <w:jc w:val="center"/>
              <w:rPr>
                <w:noProof/>
                <w:sz w:val="16"/>
                <w:szCs w:val="16"/>
              </w:rPr>
            </w:pPr>
            <w:r w:rsidRPr="00C903F8">
              <w:rPr>
                <w:noProof/>
                <w:sz w:val="16"/>
                <w:szCs w:val="16"/>
              </w:rPr>
              <w:t>Ran</w:t>
            </w:r>
            <w:r w:rsidRPr="00C903F8">
              <w:rPr>
                <w:noProof/>
                <w:sz w:val="16"/>
                <w:szCs w:val="16"/>
              </w:rPr>
              <w:softHyphen/>
              <w:t>dom-sample</w:t>
            </w:r>
          </w:p>
        </w:tc>
        <w:tc>
          <w:tcPr>
            <w:tcW w:w="1258" w:type="dxa"/>
            <w:shd w:val="clear" w:color="auto" w:fill="auto"/>
          </w:tcPr>
          <w:p w:rsidR="009C13A9" w:rsidRPr="00C903F8" w:rsidRDefault="009C13A9" w:rsidP="009C13A9">
            <w:pPr>
              <w:spacing w:before="120" w:after="120" w:line="240" w:lineRule="atLeast"/>
              <w:ind w:left="0" w:firstLine="0"/>
              <w:jc w:val="center"/>
              <w:rPr>
                <w:noProof/>
                <w:szCs w:val="20"/>
              </w:rPr>
            </w:pPr>
            <w:r w:rsidRPr="00C903F8">
              <w:rPr>
                <w:noProof/>
                <w:sz w:val="16"/>
                <w:szCs w:val="16"/>
              </w:rPr>
              <w:t>24 h composite sample</w:t>
            </w:r>
          </w:p>
        </w:tc>
        <w:tc>
          <w:tcPr>
            <w:tcW w:w="812" w:type="dxa"/>
            <w:shd w:val="clear" w:color="auto" w:fill="auto"/>
          </w:tcPr>
          <w:p w:rsidR="009C13A9" w:rsidRPr="00C903F8" w:rsidRDefault="009C13A9" w:rsidP="009C13A9">
            <w:pPr>
              <w:spacing w:before="120" w:after="120" w:line="240" w:lineRule="atLeast"/>
              <w:ind w:left="0" w:firstLine="0"/>
              <w:jc w:val="center"/>
              <w:rPr>
                <w:noProof/>
                <w:sz w:val="16"/>
                <w:szCs w:val="16"/>
              </w:rPr>
            </w:pPr>
            <w:r w:rsidRPr="00C903F8">
              <w:rPr>
                <w:noProof/>
                <w:sz w:val="16"/>
                <w:szCs w:val="16"/>
              </w:rPr>
              <w:t>Ran</w:t>
            </w:r>
            <w:r w:rsidRPr="00C903F8">
              <w:rPr>
                <w:noProof/>
                <w:sz w:val="16"/>
                <w:szCs w:val="16"/>
              </w:rPr>
              <w:softHyphen/>
              <w:t>dom-sample</w:t>
            </w:r>
          </w:p>
        </w:tc>
      </w:tr>
      <w:tr w:rsidR="009C13A9" w:rsidRPr="00C903F8" w:rsidTr="009C13A9">
        <w:trPr>
          <w:gridAfter w:val="1"/>
          <w:wAfter w:w="12" w:type="dxa"/>
        </w:trPr>
        <w:tc>
          <w:tcPr>
            <w:tcW w:w="452" w:type="dxa"/>
            <w:shd w:val="clear" w:color="auto" w:fill="auto"/>
          </w:tcPr>
          <w:p w:rsidR="009C13A9" w:rsidRPr="00C903F8" w:rsidRDefault="009C13A9" w:rsidP="009C13A9">
            <w:pPr>
              <w:spacing w:before="120" w:after="120" w:line="240" w:lineRule="atLeast"/>
              <w:ind w:left="0" w:firstLine="0"/>
              <w:rPr>
                <w:noProof/>
                <w:szCs w:val="20"/>
              </w:rPr>
            </w:pPr>
          </w:p>
        </w:tc>
        <w:tc>
          <w:tcPr>
            <w:tcW w:w="923" w:type="dxa"/>
            <w:shd w:val="clear" w:color="auto" w:fill="auto"/>
          </w:tcPr>
          <w:p w:rsidR="009C13A9" w:rsidRPr="00C903F8" w:rsidRDefault="009C13A9" w:rsidP="009C13A9">
            <w:pPr>
              <w:spacing w:before="120" w:after="120" w:line="240" w:lineRule="atLeast"/>
              <w:ind w:left="0" w:firstLine="0"/>
              <w:rPr>
                <w:noProof/>
                <w:szCs w:val="20"/>
              </w:rPr>
            </w:pPr>
          </w:p>
        </w:tc>
        <w:tc>
          <w:tcPr>
            <w:tcW w:w="1001" w:type="dxa"/>
            <w:shd w:val="clear" w:color="auto" w:fill="auto"/>
          </w:tcPr>
          <w:p w:rsidR="009C13A9" w:rsidRPr="00C903F8" w:rsidRDefault="009C13A9" w:rsidP="009C13A9">
            <w:pPr>
              <w:spacing w:before="120" w:after="120" w:line="240" w:lineRule="atLeast"/>
              <w:ind w:left="0" w:firstLine="0"/>
              <w:rPr>
                <w:noProof/>
                <w:szCs w:val="20"/>
              </w:rPr>
            </w:pPr>
          </w:p>
        </w:tc>
        <w:tc>
          <w:tcPr>
            <w:tcW w:w="780" w:type="dxa"/>
            <w:shd w:val="clear" w:color="auto" w:fill="auto"/>
          </w:tcPr>
          <w:p w:rsidR="009C13A9" w:rsidRPr="00C903F8" w:rsidRDefault="009C13A9" w:rsidP="009C13A9">
            <w:pPr>
              <w:spacing w:before="120" w:after="120" w:line="240" w:lineRule="atLeast"/>
              <w:ind w:left="0" w:firstLine="0"/>
              <w:rPr>
                <w:noProof/>
                <w:szCs w:val="20"/>
              </w:rPr>
            </w:pPr>
          </w:p>
        </w:tc>
        <w:tc>
          <w:tcPr>
            <w:tcW w:w="2178" w:type="dxa"/>
            <w:shd w:val="clear" w:color="auto" w:fill="auto"/>
          </w:tcPr>
          <w:p w:rsidR="009C13A9" w:rsidRPr="00C903F8" w:rsidRDefault="009C13A9" w:rsidP="009C13A9">
            <w:pPr>
              <w:spacing w:before="120" w:after="120" w:line="240" w:lineRule="atLeast"/>
              <w:ind w:left="0" w:firstLine="0"/>
              <w:rPr>
                <w:noProof/>
                <w:szCs w:val="20"/>
              </w:rPr>
            </w:pPr>
          </w:p>
        </w:tc>
        <w:tc>
          <w:tcPr>
            <w:tcW w:w="1302" w:type="dxa"/>
            <w:shd w:val="clear" w:color="auto" w:fill="auto"/>
          </w:tcPr>
          <w:p w:rsidR="009C13A9" w:rsidRPr="00C903F8" w:rsidRDefault="009C13A9" w:rsidP="009C13A9">
            <w:pPr>
              <w:spacing w:before="120" w:after="120" w:line="240" w:lineRule="atLeast"/>
              <w:ind w:left="0" w:firstLine="0"/>
              <w:rPr>
                <w:noProof/>
                <w:szCs w:val="20"/>
              </w:rPr>
            </w:pPr>
          </w:p>
        </w:tc>
        <w:tc>
          <w:tcPr>
            <w:tcW w:w="1006" w:type="dxa"/>
            <w:shd w:val="clear" w:color="auto" w:fill="auto"/>
          </w:tcPr>
          <w:p w:rsidR="009C13A9" w:rsidRPr="00C903F8" w:rsidRDefault="009C13A9" w:rsidP="009C13A9">
            <w:pPr>
              <w:spacing w:before="120" w:after="120" w:line="240" w:lineRule="atLeast"/>
              <w:ind w:left="0" w:firstLine="0"/>
              <w:rPr>
                <w:noProof/>
                <w:szCs w:val="20"/>
              </w:rPr>
            </w:pPr>
          </w:p>
        </w:tc>
        <w:tc>
          <w:tcPr>
            <w:tcW w:w="546" w:type="dxa"/>
            <w:shd w:val="clear" w:color="auto" w:fill="auto"/>
          </w:tcPr>
          <w:p w:rsidR="009C13A9" w:rsidRPr="00C903F8" w:rsidRDefault="009C13A9" w:rsidP="009C13A9">
            <w:pPr>
              <w:spacing w:before="120" w:after="120" w:line="240" w:lineRule="atLeast"/>
              <w:ind w:left="0" w:firstLine="0"/>
              <w:rPr>
                <w:noProof/>
                <w:szCs w:val="20"/>
              </w:rPr>
            </w:pPr>
          </w:p>
        </w:tc>
        <w:tc>
          <w:tcPr>
            <w:tcW w:w="567" w:type="dxa"/>
            <w:shd w:val="clear" w:color="auto" w:fill="auto"/>
          </w:tcPr>
          <w:p w:rsidR="009C13A9" w:rsidRPr="00C903F8" w:rsidRDefault="009C13A9" w:rsidP="009C13A9">
            <w:pPr>
              <w:spacing w:before="120" w:after="120" w:line="240" w:lineRule="atLeast"/>
              <w:ind w:left="0" w:firstLine="0"/>
              <w:rPr>
                <w:noProof/>
                <w:szCs w:val="20"/>
              </w:rPr>
            </w:pPr>
          </w:p>
        </w:tc>
        <w:tc>
          <w:tcPr>
            <w:tcW w:w="992" w:type="dxa"/>
            <w:shd w:val="clear" w:color="auto" w:fill="auto"/>
          </w:tcPr>
          <w:p w:rsidR="009C13A9" w:rsidRPr="00C903F8" w:rsidRDefault="009C13A9" w:rsidP="009C13A9">
            <w:pPr>
              <w:spacing w:before="120" w:after="120" w:line="240" w:lineRule="atLeast"/>
              <w:ind w:left="0" w:firstLine="0"/>
              <w:rPr>
                <w:noProof/>
                <w:szCs w:val="20"/>
              </w:rPr>
            </w:pPr>
          </w:p>
        </w:tc>
        <w:tc>
          <w:tcPr>
            <w:tcW w:w="873" w:type="dxa"/>
            <w:shd w:val="clear" w:color="auto" w:fill="auto"/>
          </w:tcPr>
          <w:p w:rsidR="009C13A9" w:rsidRPr="00C903F8" w:rsidRDefault="009C13A9" w:rsidP="009C13A9">
            <w:pPr>
              <w:spacing w:before="120" w:after="120" w:line="240" w:lineRule="atLeast"/>
              <w:ind w:left="0" w:firstLine="0"/>
              <w:rPr>
                <w:noProof/>
                <w:szCs w:val="20"/>
              </w:rPr>
            </w:pPr>
          </w:p>
        </w:tc>
        <w:tc>
          <w:tcPr>
            <w:tcW w:w="1258" w:type="dxa"/>
            <w:shd w:val="clear" w:color="auto" w:fill="auto"/>
          </w:tcPr>
          <w:p w:rsidR="009C13A9" w:rsidRPr="00C903F8" w:rsidRDefault="009C13A9" w:rsidP="009C13A9">
            <w:pPr>
              <w:spacing w:before="120" w:after="120" w:line="240" w:lineRule="atLeast"/>
              <w:ind w:left="0" w:firstLine="0"/>
              <w:rPr>
                <w:noProof/>
                <w:szCs w:val="20"/>
              </w:rPr>
            </w:pPr>
          </w:p>
        </w:tc>
        <w:tc>
          <w:tcPr>
            <w:tcW w:w="812" w:type="dxa"/>
            <w:shd w:val="clear" w:color="auto" w:fill="auto"/>
          </w:tcPr>
          <w:p w:rsidR="009C13A9" w:rsidRPr="00C903F8" w:rsidRDefault="009C13A9" w:rsidP="009C13A9">
            <w:pPr>
              <w:spacing w:before="120" w:after="120" w:line="240" w:lineRule="atLeast"/>
              <w:ind w:left="0" w:firstLine="0"/>
              <w:rPr>
                <w:noProof/>
                <w:szCs w:val="20"/>
              </w:rPr>
            </w:pPr>
          </w:p>
        </w:tc>
        <w:tc>
          <w:tcPr>
            <w:tcW w:w="1258" w:type="dxa"/>
            <w:shd w:val="clear" w:color="auto" w:fill="auto"/>
          </w:tcPr>
          <w:p w:rsidR="009C13A9" w:rsidRPr="00C903F8" w:rsidRDefault="009C13A9" w:rsidP="009C13A9">
            <w:pPr>
              <w:spacing w:before="120" w:after="120" w:line="240" w:lineRule="atLeast"/>
              <w:ind w:left="0" w:firstLine="0"/>
              <w:rPr>
                <w:noProof/>
                <w:szCs w:val="20"/>
              </w:rPr>
            </w:pPr>
          </w:p>
        </w:tc>
        <w:tc>
          <w:tcPr>
            <w:tcW w:w="812" w:type="dxa"/>
            <w:shd w:val="clear" w:color="auto" w:fill="auto"/>
          </w:tcPr>
          <w:p w:rsidR="009C13A9" w:rsidRPr="00C903F8" w:rsidRDefault="009C13A9" w:rsidP="009C13A9">
            <w:pPr>
              <w:spacing w:before="120" w:after="120" w:line="240" w:lineRule="atLeast"/>
              <w:ind w:left="0" w:firstLine="0"/>
              <w:rPr>
                <w:noProof/>
                <w:szCs w:val="20"/>
              </w:rPr>
            </w:pPr>
          </w:p>
        </w:tc>
      </w:tr>
      <w:tr w:rsidR="009C13A9" w:rsidRPr="00C903F8" w:rsidTr="009C13A9">
        <w:trPr>
          <w:gridAfter w:val="1"/>
          <w:wAfter w:w="12" w:type="dxa"/>
        </w:trPr>
        <w:tc>
          <w:tcPr>
            <w:tcW w:w="452" w:type="dxa"/>
            <w:shd w:val="clear" w:color="auto" w:fill="auto"/>
          </w:tcPr>
          <w:p w:rsidR="009C13A9" w:rsidRPr="00C903F8" w:rsidRDefault="009C13A9" w:rsidP="009C13A9">
            <w:pPr>
              <w:spacing w:before="120" w:after="120" w:line="240" w:lineRule="atLeast"/>
              <w:ind w:left="0" w:firstLine="0"/>
              <w:rPr>
                <w:noProof/>
                <w:szCs w:val="20"/>
              </w:rPr>
            </w:pPr>
          </w:p>
        </w:tc>
        <w:tc>
          <w:tcPr>
            <w:tcW w:w="923" w:type="dxa"/>
            <w:shd w:val="clear" w:color="auto" w:fill="auto"/>
          </w:tcPr>
          <w:p w:rsidR="009C13A9" w:rsidRPr="00C903F8" w:rsidRDefault="009C13A9" w:rsidP="009C13A9">
            <w:pPr>
              <w:spacing w:before="120" w:after="120" w:line="240" w:lineRule="atLeast"/>
              <w:ind w:left="0" w:firstLine="0"/>
              <w:rPr>
                <w:noProof/>
                <w:szCs w:val="20"/>
              </w:rPr>
            </w:pPr>
          </w:p>
        </w:tc>
        <w:tc>
          <w:tcPr>
            <w:tcW w:w="1001" w:type="dxa"/>
            <w:shd w:val="clear" w:color="auto" w:fill="auto"/>
          </w:tcPr>
          <w:p w:rsidR="009C13A9" w:rsidRPr="00C903F8" w:rsidRDefault="009C13A9" w:rsidP="009C13A9">
            <w:pPr>
              <w:spacing w:before="120" w:after="120" w:line="240" w:lineRule="atLeast"/>
              <w:ind w:left="0" w:firstLine="0"/>
              <w:rPr>
                <w:noProof/>
                <w:szCs w:val="20"/>
              </w:rPr>
            </w:pPr>
          </w:p>
        </w:tc>
        <w:tc>
          <w:tcPr>
            <w:tcW w:w="780" w:type="dxa"/>
            <w:shd w:val="clear" w:color="auto" w:fill="auto"/>
          </w:tcPr>
          <w:p w:rsidR="009C13A9" w:rsidRPr="00C903F8" w:rsidRDefault="009C13A9" w:rsidP="009C13A9">
            <w:pPr>
              <w:spacing w:before="120" w:after="120" w:line="240" w:lineRule="atLeast"/>
              <w:ind w:left="0" w:firstLine="0"/>
              <w:rPr>
                <w:noProof/>
                <w:szCs w:val="20"/>
              </w:rPr>
            </w:pPr>
          </w:p>
        </w:tc>
        <w:tc>
          <w:tcPr>
            <w:tcW w:w="2178" w:type="dxa"/>
            <w:shd w:val="clear" w:color="auto" w:fill="auto"/>
          </w:tcPr>
          <w:p w:rsidR="009C13A9" w:rsidRPr="00C903F8" w:rsidRDefault="009C13A9" w:rsidP="009C13A9">
            <w:pPr>
              <w:spacing w:before="120" w:after="120" w:line="240" w:lineRule="atLeast"/>
              <w:ind w:left="0" w:firstLine="0"/>
              <w:rPr>
                <w:noProof/>
                <w:szCs w:val="20"/>
              </w:rPr>
            </w:pPr>
          </w:p>
        </w:tc>
        <w:tc>
          <w:tcPr>
            <w:tcW w:w="1302" w:type="dxa"/>
            <w:shd w:val="clear" w:color="auto" w:fill="auto"/>
          </w:tcPr>
          <w:p w:rsidR="009C13A9" w:rsidRPr="00C903F8" w:rsidRDefault="009C13A9" w:rsidP="009C13A9">
            <w:pPr>
              <w:spacing w:before="120" w:after="120" w:line="240" w:lineRule="atLeast"/>
              <w:ind w:left="0" w:firstLine="0"/>
              <w:rPr>
                <w:noProof/>
                <w:szCs w:val="20"/>
              </w:rPr>
            </w:pPr>
          </w:p>
        </w:tc>
        <w:tc>
          <w:tcPr>
            <w:tcW w:w="1006" w:type="dxa"/>
            <w:shd w:val="clear" w:color="auto" w:fill="auto"/>
          </w:tcPr>
          <w:p w:rsidR="009C13A9" w:rsidRPr="00C903F8" w:rsidRDefault="009C13A9" w:rsidP="009C13A9">
            <w:pPr>
              <w:spacing w:before="120" w:after="120" w:line="240" w:lineRule="atLeast"/>
              <w:ind w:left="0" w:firstLine="0"/>
              <w:rPr>
                <w:noProof/>
                <w:szCs w:val="20"/>
              </w:rPr>
            </w:pPr>
          </w:p>
        </w:tc>
        <w:tc>
          <w:tcPr>
            <w:tcW w:w="546" w:type="dxa"/>
            <w:shd w:val="clear" w:color="auto" w:fill="auto"/>
          </w:tcPr>
          <w:p w:rsidR="009C13A9" w:rsidRPr="00C903F8" w:rsidRDefault="009C13A9" w:rsidP="009C13A9">
            <w:pPr>
              <w:spacing w:before="120" w:after="120" w:line="240" w:lineRule="atLeast"/>
              <w:ind w:left="0" w:firstLine="0"/>
              <w:rPr>
                <w:noProof/>
                <w:szCs w:val="20"/>
              </w:rPr>
            </w:pPr>
          </w:p>
        </w:tc>
        <w:tc>
          <w:tcPr>
            <w:tcW w:w="567" w:type="dxa"/>
            <w:shd w:val="clear" w:color="auto" w:fill="auto"/>
          </w:tcPr>
          <w:p w:rsidR="009C13A9" w:rsidRPr="00C903F8" w:rsidRDefault="009C13A9" w:rsidP="009C13A9">
            <w:pPr>
              <w:spacing w:before="120" w:after="120" w:line="240" w:lineRule="atLeast"/>
              <w:ind w:left="0" w:firstLine="0"/>
              <w:rPr>
                <w:noProof/>
                <w:szCs w:val="20"/>
              </w:rPr>
            </w:pPr>
          </w:p>
        </w:tc>
        <w:tc>
          <w:tcPr>
            <w:tcW w:w="992" w:type="dxa"/>
            <w:shd w:val="clear" w:color="auto" w:fill="auto"/>
          </w:tcPr>
          <w:p w:rsidR="009C13A9" w:rsidRPr="00C903F8" w:rsidRDefault="009C13A9" w:rsidP="009C13A9">
            <w:pPr>
              <w:spacing w:before="120" w:after="120" w:line="240" w:lineRule="atLeast"/>
              <w:ind w:left="0" w:firstLine="0"/>
              <w:rPr>
                <w:noProof/>
                <w:szCs w:val="20"/>
              </w:rPr>
            </w:pPr>
          </w:p>
        </w:tc>
        <w:tc>
          <w:tcPr>
            <w:tcW w:w="873" w:type="dxa"/>
            <w:shd w:val="clear" w:color="auto" w:fill="auto"/>
          </w:tcPr>
          <w:p w:rsidR="009C13A9" w:rsidRPr="00C903F8" w:rsidRDefault="009C13A9" w:rsidP="009C13A9">
            <w:pPr>
              <w:spacing w:before="120" w:after="120" w:line="240" w:lineRule="atLeast"/>
              <w:ind w:left="0" w:firstLine="0"/>
              <w:rPr>
                <w:noProof/>
                <w:szCs w:val="20"/>
              </w:rPr>
            </w:pPr>
          </w:p>
        </w:tc>
        <w:tc>
          <w:tcPr>
            <w:tcW w:w="1258" w:type="dxa"/>
            <w:shd w:val="clear" w:color="auto" w:fill="auto"/>
          </w:tcPr>
          <w:p w:rsidR="009C13A9" w:rsidRPr="00C903F8" w:rsidRDefault="009C13A9" w:rsidP="009C13A9">
            <w:pPr>
              <w:spacing w:before="120" w:after="120" w:line="240" w:lineRule="atLeast"/>
              <w:ind w:left="0" w:firstLine="0"/>
              <w:rPr>
                <w:noProof/>
                <w:szCs w:val="20"/>
              </w:rPr>
            </w:pPr>
          </w:p>
        </w:tc>
        <w:tc>
          <w:tcPr>
            <w:tcW w:w="812" w:type="dxa"/>
            <w:shd w:val="clear" w:color="auto" w:fill="auto"/>
          </w:tcPr>
          <w:p w:rsidR="009C13A9" w:rsidRPr="00C903F8" w:rsidRDefault="009C13A9" w:rsidP="009C13A9">
            <w:pPr>
              <w:spacing w:before="120" w:after="120" w:line="240" w:lineRule="atLeast"/>
              <w:ind w:left="0" w:firstLine="0"/>
              <w:rPr>
                <w:noProof/>
                <w:szCs w:val="20"/>
              </w:rPr>
            </w:pPr>
          </w:p>
        </w:tc>
        <w:tc>
          <w:tcPr>
            <w:tcW w:w="1258" w:type="dxa"/>
            <w:shd w:val="clear" w:color="auto" w:fill="auto"/>
          </w:tcPr>
          <w:p w:rsidR="009C13A9" w:rsidRPr="00C903F8" w:rsidRDefault="009C13A9" w:rsidP="009C13A9">
            <w:pPr>
              <w:spacing w:before="120" w:after="120" w:line="240" w:lineRule="atLeast"/>
              <w:ind w:left="0" w:firstLine="0"/>
              <w:rPr>
                <w:noProof/>
                <w:szCs w:val="20"/>
              </w:rPr>
            </w:pPr>
          </w:p>
        </w:tc>
        <w:tc>
          <w:tcPr>
            <w:tcW w:w="812" w:type="dxa"/>
            <w:shd w:val="clear" w:color="auto" w:fill="auto"/>
          </w:tcPr>
          <w:p w:rsidR="009C13A9" w:rsidRPr="00C903F8" w:rsidRDefault="009C13A9" w:rsidP="009C13A9">
            <w:pPr>
              <w:spacing w:before="120" w:after="120" w:line="240" w:lineRule="atLeast"/>
              <w:ind w:left="0" w:firstLine="0"/>
              <w:rPr>
                <w:noProof/>
                <w:szCs w:val="20"/>
              </w:rPr>
            </w:pPr>
          </w:p>
        </w:tc>
      </w:tr>
      <w:tr w:rsidR="009C13A9" w:rsidRPr="00C903F8" w:rsidTr="009C13A9">
        <w:trPr>
          <w:gridAfter w:val="1"/>
          <w:wAfter w:w="12" w:type="dxa"/>
        </w:trPr>
        <w:tc>
          <w:tcPr>
            <w:tcW w:w="452" w:type="dxa"/>
            <w:shd w:val="clear" w:color="auto" w:fill="auto"/>
          </w:tcPr>
          <w:p w:rsidR="009C13A9" w:rsidRPr="00C903F8" w:rsidRDefault="009C13A9" w:rsidP="009C13A9">
            <w:pPr>
              <w:spacing w:before="120" w:after="120" w:line="240" w:lineRule="atLeast"/>
              <w:ind w:left="0" w:firstLine="0"/>
              <w:rPr>
                <w:noProof/>
                <w:szCs w:val="20"/>
              </w:rPr>
            </w:pPr>
          </w:p>
        </w:tc>
        <w:tc>
          <w:tcPr>
            <w:tcW w:w="923" w:type="dxa"/>
            <w:shd w:val="clear" w:color="auto" w:fill="auto"/>
          </w:tcPr>
          <w:p w:rsidR="009C13A9" w:rsidRPr="00C903F8" w:rsidRDefault="009C13A9" w:rsidP="009C13A9">
            <w:pPr>
              <w:spacing w:before="120" w:after="120" w:line="240" w:lineRule="atLeast"/>
              <w:ind w:left="0" w:firstLine="0"/>
              <w:rPr>
                <w:noProof/>
                <w:szCs w:val="20"/>
              </w:rPr>
            </w:pPr>
          </w:p>
        </w:tc>
        <w:tc>
          <w:tcPr>
            <w:tcW w:w="1001" w:type="dxa"/>
            <w:shd w:val="clear" w:color="auto" w:fill="auto"/>
          </w:tcPr>
          <w:p w:rsidR="009C13A9" w:rsidRPr="00C903F8" w:rsidRDefault="009C13A9" w:rsidP="009C13A9">
            <w:pPr>
              <w:spacing w:before="120" w:after="120" w:line="240" w:lineRule="atLeast"/>
              <w:ind w:left="0" w:firstLine="0"/>
              <w:rPr>
                <w:noProof/>
                <w:szCs w:val="20"/>
              </w:rPr>
            </w:pPr>
          </w:p>
        </w:tc>
        <w:tc>
          <w:tcPr>
            <w:tcW w:w="780" w:type="dxa"/>
            <w:shd w:val="clear" w:color="auto" w:fill="auto"/>
          </w:tcPr>
          <w:p w:rsidR="009C13A9" w:rsidRPr="00C903F8" w:rsidRDefault="009C13A9" w:rsidP="009C13A9">
            <w:pPr>
              <w:spacing w:before="120" w:after="120" w:line="240" w:lineRule="atLeast"/>
              <w:ind w:left="0" w:firstLine="0"/>
              <w:rPr>
                <w:noProof/>
                <w:szCs w:val="20"/>
              </w:rPr>
            </w:pPr>
          </w:p>
        </w:tc>
        <w:tc>
          <w:tcPr>
            <w:tcW w:w="2178" w:type="dxa"/>
            <w:shd w:val="clear" w:color="auto" w:fill="auto"/>
          </w:tcPr>
          <w:p w:rsidR="009C13A9" w:rsidRPr="00C903F8" w:rsidRDefault="009C13A9" w:rsidP="009C13A9">
            <w:pPr>
              <w:spacing w:before="120" w:after="120" w:line="240" w:lineRule="atLeast"/>
              <w:ind w:left="0" w:firstLine="0"/>
              <w:rPr>
                <w:noProof/>
                <w:szCs w:val="20"/>
              </w:rPr>
            </w:pPr>
          </w:p>
        </w:tc>
        <w:tc>
          <w:tcPr>
            <w:tcW w:w="1302" w:type="dxa"/>
            <w:shd w:val="clear" w:color="auto" w:fill="auto"/>
          </w:tcPr>
          <w:p w:rsidR="009C13A9" w:rsidRPr="00C903F8" w:rsidRDefault="009C13A9" w:rsidP="009C13A9">
            <w:pPr>
              <w:spacing w:before="120" w:after="120" w:line="240" w:lineRule="atLeast"/>
              <w:ind w:left="0" w:firstLine="0"/>
              <w:rPr>
                <w:noProof/>
                <w:szCs w:val="20"/>
              </w:rPr>
            </w:pPr>
          </w:p>
        </w:tc>
        <w:tc>
          <w:tcPr>
            <w:tcW w:w="1006" w:type="dxa"/>
            <w:shd w:val="clear" w:color="auto" w:fill="auto"/>
          </w:tcPr>
          <w:p w:rsidR="009C13A9" w:rsidRPr="00C903F8" w:rsidRDefault="009C13A9" w:rsidP="009C13A9">
            <w:pPr>
              <w:spacing w:before="120" w:after="120" w:line="240" w:lineRule="atLeast"/>
              <w:ind w:left="0" w:firstLine="0"/>
              <w:rPr>
                <w:noProof/>
                <w:szCs w:val="20"/>
              </w:rPr>
            </w:pPr>
          </w:p>
        </w:tc>
        <w:tc>
          <w:tcPr>
            <w:tcW w:w="546" w:type="dxa"/>
            <w:shd w:val="clear" w:color="auto" w:fill="auto"/>
          </w:tcPr>
          <w:p w:rsidR="009C13A9" w:rsidRPr="00C903F8" w:rsidRDefault="009C13A9" w:rsidP="009C13A9">
            <w:pPr>
              <w:spacing w:before="120" w:after="120" w:line="240" w:lineRule="atLeast"/>
              <w:ind w:left="0" w:firstLine="0"/>
              <w:rPr>
                <w:noProof/>
                <w:szCs w:val="20"/>
              </w:rPr>
            </w:pPr>
          </w:p>
        </w:tc>
        <w:tc>
          <w:tcPr>
            <w:tcW w:w="567" w:type="dxa"/>
            <w:shd w:val="clear" w:color="auto" w:fill="auto"/>
          </w:tcPr>
          <w:p w:rsidR="009C13A9" w:rsidRPr="00C903F8" w:rsidRDefault="009C13A9" w:rsidP="009C13A9">
            <w:pPr>
              <w:spacing w:before="120" w:after="120" w:line="240" w:lineRule="atLeast"/>
              <w:ind w:left="0" w:firstLine="0"/>
              <w:rPr>
                <w:noProof/>
                <w:szCs w:val="20"/>
              </w:rPr>
            </w:pPr>
          </w:p>
        </w:tc>
        <w:tc>
          <w:tcPr>
            <w:tcW w:w="992" w:type="dxa"/>
            <w:shd w:val="clear" w:color="auto" w:fill="auto"/>
          </w:tcPr>
          <w:p w:rsidR="009C13A9" w:rsidRPr="00C903F8" w:rsidRDefault="009C13A9" w:rsidP="009C13A9">
            <w:pPr>
              <w:spacing w:before="120" w:after="120" w:line="240" w:lineRule="atLeast"/>
              <w:ind w:left="0" w:firstLine="0"/>
              <w:rPr>
                <w:noProof/>
                <w:szCs w:val="20"/>
              </w:rPr>
            </w:pPr>
          </w:p>
        </w:tc>
        <w:tc>
          <w:tcPr>
            <w:tcW w:w="873" w:type="dxa"/>
            <w:shd w:val="clear" w:color="auto" w:fill="auto"/>
          </w:tcPr>
          <w:p w:rsidR="009C13A9" w:rsidRPr="00C903F8" w:rsidRDefault="009C13A9" w:rsidP="009C13A9">
            <w:pPr>
              <w:spacing w:before="120" w:after="120" w:line="240" w:lineRule="atLeast"/>
              <w:ind w:left="0" w:firstLine="0"/>
              <w:rPr>
                <w:noProof/>
                <w:szCs w:val="20"/>
              </w:rPr>
            </w:pPr>
          </w:p>
        </w:tc>
        <w:tc>
          <w:tcPr>
            <w:tcW w:w="1258" w:type="dxa"/>
            <w:shd w:val="clear" w:color="auto" w:fill="auto"/>
          </w:tcPr>
          <w:p w:rsidR="009C13A9" w:rsidRPr="00C903F8" w:rsidRDefault="009C13A9" w:rsidP="009C13A9">
            <w:pPr>
              <w:spacing w:before="120" w:after="120" w:line="240" w:lineRule="atLeast"/>
              <w:ind w:left="0" w:firstLine="0"/>
              <w:rPr>
                <w:noProof/>
                <w:szCs w:val="20"/>
              </w:rPr>
            </w:pPr>
          </w:p>
        </w:tc>
        <w:tc>
          <w:tcPr>
            <w:tcW w:w="812" w:type="dxa"/>
            <w:shd w:val="clear" w:color="auto" w:fill="auto"/>
          </w:tcPr>
          <w:p w:rsidR="009C13A9" w:rsidRPr="00C903F8" w:rsidRDefault="009C13A9" w:rsidP="009C13A9">
            <w:pPr>
              <w:spacing w:before="120" w:after="120" w:line="240" w:lineRule="atLeast"/>
              <w:ind w:left="0" w:firstLine="0"/>
              <w:rPr>
                <w:noProof/>
                <w:szCs w:val="20"/>
              </w:rPr>
            </w:pPr>
          </w:p>
        </w:tc>
        <w:tc>
          <w:tcPr>
            <w:tcW w:w="1258" w:type="dxa"/>
            <w:shd w:val="clear" w:color="auto" w:fill="auto"/>
          </w:tcPr>
          <w:p w:rsidR="009C13A9" w:rsidRPr="00C903F8" w:rsidRDefault="009C13A9" w:rsidP="009C13A9">
            <w:pPr>
              <w:spacing w:before="120" w:after="120" w:line="240" w:lineRule="atLeast"/>
              <w:ind w:left="0" w:firstLine="0"/>
              <w:rPr>
                <w:noProof/>
                <w:szCs w:val="20"/>
              </w:rPr>
            </w:pPr>
          </w:p>
        </w:tc>
        <w:tc>
          <w:tcPr>
            <w:tcW w:w="812" w:type="dxa"/>
            <w:shd w:val="clear" w:color="auto" w:fill="auto"/>
          </w:tcPr>
          <w:p w:rsidR="009C13A9" w:rsidRPr="00C903F8" w:rsidRDefault="009C13A9" w:rsidP="009C13A9">
            <w:pPr>
              <w:spacing w:before="120" w:after="120" w:line="240" w:lineRule="atLeast"/>
              <w:ind w:left="0" w:firstLine="0"/>
              <w:rPr>
                <w:noProof/>
                <w:szCs w:val="20"/>
              </w:rPr>
            </w:pPr>
          </w:p>
        </w:tc>
      </w:tr>
      <w:tr w:rsidR="009C13A9" w:rsidRPr="00C903F8" w:rsidTr="009C13A9">
        <w:trPr>
          <w:gridAfter w:val="1"/>
          <w:wAfter w:w="12" w:type="dxa"/>
        </w:trPr>
        <w:tc>
          <w:tcPr>
            <w:tcW w:w="452" w:type="dxa"/>
            <w:shd w:val="clear" w:color="auto" w:fill="auto"/>
          </w:tcPr>
          <w:p w:rsidR="009C13A9" w:rsidRPr="00C903F8" w:rsidRDefault="009C13A9" w:rsidP="009C13A9">
            <w:pPr>
              <w:spacing w:before="120" w:after="120" w:line="240" w:lineRule="atLeast"/>
              <w:ind w:left="0" w:firstLine="0"/>
              <w:rPr>
                <w:noProof/>
                <w:szCs w:val="20"/>
              </w:rPr>
            </w:pPr>
          </w:p>
        </w:tc>
        <w:tc>
          <w:tcPr>
            <w:tcW w:w="923" w:type="dxa"/>
            <w:shd w:val="clear" w:color="auto" w:fill="auto"/>
          </w:tcPr>
          <w:p w:rsidR="009C13A9" w:rsidRPr="00C903F8" w:rsidRDefault="009C13A9" w:rsidP="009C13A9">
            <w:pPr>
              <w:spacing w:before="120" w:after="120" w:line="240" w:lineRule="atLeast"/>
              <w:ind w:left="0" w:firstLine="0"/>
              <w:rPr>
                <w:noProof/>
                <w:szCs w:val="20"/>
              </w:rPr>
            </w:pPr>
          </w:p>
        </w:tc>
        <w:tc>
          <w:tcPr>
            <w:tcW w:w="1001" w:type="dxa"/>
            <w:shd w:val="clear" w:color="auto" w:fill="auto"/>
          </w:tcPr>
          <w:p w:rsidR="009C13A9" w:rsidRPr="00C903F8" w:rsidRDefault="009C13A9" w:rsidP="009C13A9">
            <w:pPr>
              <w:spacing w:before="120" w:after="120" w:line="240" w:lineRule="atLeast"/>
              <w:ind w:left="0" w:firstLine="0"/>
              <w:rPr>
                <w:noProof/>
                <w:szCs w:val="20"/>
              </w:rPr>
            </w:pPr>
          </w:p>
        </w:tc>
        <w:tc>
          <w:tcPr>
            <w:tcW w:w="780" w:type="dxa"/>
            <w:shd w:val="clear" w:color="auto" w:fill="auto"/>
          </w:tcPr>
          <w:p w:rsidR="009C13A9" w:rsidRPr="00C903F8" w:rsidRDefault="009C13A9" w:rsidP="009C13A9">
            <w:pPr>
              <w:spacing w:before="120" w:after="120" w:line="240" w:lineRule="atLeast"/>
              <w:ind w:left="0" w:firstLine="0"/>
              <w:rPr>
                <w:noProof/>
                <w:szCs w:val="20"/>
              </w:rPr>
            </w:pPr>
          </w:p>
        </w:tc>
        <w:tc>
          <w:tcPr>
            <w:tcW w:w="2178" w:type="dxa"/>
            <w:shd w:val="clear" w:color="auto" w:fill="auto"/>
          </w:tcPr>
          <w:p w:rsidR="009C13A9" w:rsidRPr="00C903F8" w:rsidRDefault="009C13A9" w:rsidP="009C13A9">
            <w:pPr>
              <w:spacing w:before="120" w:after="120" w:line="240" w:lineRule="atLeast"/>
              <w:ind w:left="0" w:firstLine="0"/>
              <w:rPr>
                <w:noProof/>
                <w:szCs w:val="20"/>
              </w:rPr>
            </w:pPr>
          </w:p>
        </w:tc>
        <w:tc>
          <w:tcPr>
            <w:tcW w:w="1302" w:type="dxa"/>
            <w:shd w:val="clear" w:color="auto" w:fill="auto"/>
          </w:tcPr>
          <w:p w:rsidR="009C13A9" w:rsidRPr="00C903F8" w:rsidRDefault="009C13A9" w:rsidP="009C13A9">
            <w:pPr>
              <w:spacing w:before="120" w:after="120" w:line="240" w:lineRule="atLeast"/>
              <w:ind w:left="0" w:firstLine="0"/>
              <w:rPr>
                <w:noProof/>
                <w:szCs w:val="20"/>
              </w:rPr>
            </w:pPr>
          </w:p>
        </w:tc>
        <w:tc>
          <w:tcPr>
            <w:tcW w:w="1006" w:type="dxa"/>
            <w:shd w:val="clear" w:color="auto" w:fill="auto"/>
          </w:tcPr>
          <w:p w:rsidR="009C13A9" w:rsidRPr="00C903F8" w:rsidRDefault="009C13A9" w:rsidP="009C13A9">
            <w:pPr>
              <w:spacing w:before="120" w:after="120" w:line="240" w:lineRule="atLeast"/>
              <w:ind w:left="0" w:firstLine="0"/>
              <w:rPr>
                <w:noProof/>
                <w:szCs w:val="20"/>
              </w:rPr>
            </w:pPr>
          </w:p>
        </w:tc>
        <w:tc>
          <w:tcPr>
            <w:tcW w:w="546" w:type="dxa"/>
            <w:shd w:val="clear" w:color="auto" w:fill="auto"/>
          </w:tcPr>
          <w:p w:rsidR="009C13A9" w:rsidRPr="00C903F8" w:rsidRDefault="009C13A9" w:rsidP="009C13A9">
            <w:pPr>
              <w:spacing w:before="120" w:after="120" w:line="240" w:lineRule="atLeast"/>
              <w:ind w:left="0" w:firstLine="0"/>
              <w:rPr>
                <w:noProof/>
                <w:szCs w:val="20"/>
              </w:rPr>
            </w:pPr>
          </w:p>
        </w:tc>
        <w:tc>
          <w:tcPr>
            <w:tcW w:w="567" w:type="dxa"/>
            <w:shd w:val="clear" w:color="auto" w:fill="auto"/>
          </w:tcPr>
          <w:p w:rsidR="009C13A9" w:rsidRPr="00C903F8" w:rsidRDefault="009C13A9" w:rsidP="009C13A9">
            <w:pPr>
              <w:spacing w:before="120" w:after="120" w:line="240" w:lineRule="atLeast"/>
              <w:ind w:left="0" w:firstLine="0"/>
              <w:rPr>
                <w:noProof/>
                <w:szCs w:val="20"/>
              </w:rPr>
            </w:pPr>
          </w:p>
        </w:tc>
        <w:tc>
          <w:tcPr>
            <w:tcW w:w="992" w:type="dxa"/>
            <w:shd w:val="clear" w:color="auto" w:fill="auto"/>
          </w:tcPr>
          <w:p w:rsidR="009C13A9" w:rsidRPr="00C903F8" w:rsidRDefault="009C13A9" w:rsidP="009C13A9">
            <w:pPr>
              <w:spacing w:before="120" w:after="120" w:line="240" w:lineRule="atLeast"/>
              <w:ind w:left="0" w:firstLine="0"/>
              <w:rPr>
                <w:noProof/>
                <w:szCs w:val="20"/>
              </w:rPr>
            </w:pPr>
          </w:p>
        </w:tc>
        <w:tc>
          <w:tcPr>
            <w:tcW w:w="873" w:type="dxa"/>
            <w:shd w:val="clear" w:color="auto" w:fill="auto"/>
          </w:tcPr>
          <w:p w:rsidR="009C13A9" w:rsidRPr="00C903F8" w:rsidRDefault="009C13A9" w:rsidP="009C13A9">
            <w:pPr>
              <w:spacing w:before="120" w:after="120" w:line="240" w:lineRule="atLeast"/>
              <w:ind w:left="0" w:firstLine="0"/>
              <w:rPr>
                <w:noProof/>
                <w:szCs w:val="20"/>
              </w:rPr>
            </w:pPr>
          </w:p>
        </w:tc>
        <w:tc>
          <w:tcPr>
            <w:tcW w:w="1258" w:type="dxa"/>
            <w:shd w:val="clear" w:color="auto" w:fill="auto"/>
          </w:tcPr>
          <w:p w:rsidR="009C13A9" w:rsidRPr="00C903F8" w:rsidRDefault="009C13A9" w:rsidP="009C13A9">
            <w:pPr>
              <w:spacing w:before="120" w:after="120" w:line="240" w:lineRule="atLeast"/>
              <w:ind w:left="0" w:firstLine="0"/>
              <w:rPr>
                <w:noProof/>
                <w:szCs w:val="20"/>
              </w:rPr>
            </w:pPr>
          </w:p>
        </w:tc>
        <w:tc>
          <w:tcPr>
            <w:tcW w:w="812" w:type="dxa"/>
            <w:shd w:val="clear" w:color="auto" w:fill="auto"/>
          </w:tcPr>
          <w:p w:rsidR="009C13A9" w:rsidRPr="00C903F8" w:rsidRDefault="009C13A9" w:rsidP="009C13A9">
            <w:pPr>
              <w:spacing w:before="120" w:after="120" w:line="240" w:lineRule="atLeast"/>
              <w:ind w:left="0" w:firstLine="0"/>
              <w:rPr>
                <w:noProof/>
                <w:szCs w:val="20"/>
              </w:rPr>
            </w:pPr>
          </w:p>
        </w:tc>
        <w:tc>
          <w:tcPr>
            <w:tcW w:w="1258" w:type="dxa"/>
            <w:shd w:val="clear" w:color="auto" w:fill="auto"/>
          </w:tcPr>
          <w:p w:rsidR="009C13A9" w:rsidRPr="00C903F8" w:rsidRDefault="009C13A9" w:rsidP="009C13A9">
            <w:pPr>
              <w:spacing w:before="120" w:after="120" w:line="240" w:lineRule="atLeast"/>
              <w:ind w:left="0" w:firstLine="0"/>
              <w:rPr>
                <w:noProof/>
                <w:szCs w:val="20"/>
              </w:rPr>
            </w:pPr>
          </w:p>
        </w:tc>
        <w:tc>
          <w:tcPr>
            <w:tcW w:w="812" w:type="dxa"/>
            <w:shd w:val="clear" w:color="auto" w:fill="auto"/>
          </w:tcPr>
          <w:p w:rsidR="009C13A9" w:rsidRPr="00C903F8" w:rsidRDefault="009C13A9" w:rsidP="009C13A9">
            <w:pPr>
              <w:spacing w:before="120" w:after="120" w:line="240" w:lineRule="atLeast"/>
              <w:ind w:left="0" w:firstLine="0"/>
              <w:rPr>
                <w:noProof/>
                <w:szCs w:val="20"/>
              </w:rPr>
            </w:pPr>
          </w:p>
        </w:tc>
      </w:tr>
    </w:tbl>
    <w:p w:rsidR="009C13A9" w:rsidRPr="00C903F8" w:rsidRDefault="009C13A9" w:rsidP="009C13A9">
      <w:pPr>
        <w:spacing w:line="240" w:lineRule="atLeast"/>
        <w:rPr>
          <w:rFonts w:cs="Arial"/>
          <w:color w:val="000000"/>
          <w:lang w:val="nl-NL" w:eastAsia="ar-SA"/>
        </w:rPr>
      </w:pPr>
    </w:p>
    <w:p w:rsidR="009C13A9" w:rsidRPr="00C903F8" w:rsidRDefault="009C13A9" w:rsidP="009C13A9">
      <w:pPr>
        <w:spacing w:line="240" w:lineRule="atLeast"/>
        <w:rPr>
          <w:rFonts w:cs="Arial"/>
          <w:color w:val="000000"/>
          <w:lang w:val="nl-NL" w:eastAsia="ar-SA"/>
        </w:rPr>
      </w:pPr>
    </w:p>
    <w:p w:rsidR="009C13A9" w:rsidRPr="00C903F8" w:rsidRDefault="009C13A9" w:rsidP="009C13A9">
      <w:pPr>
        <w:spacing w:line="240" w:lineRule="atLeast"/>
        <w:rPr>
          <w:rFonts w:cs="Arial"/>
          <w:color w:val="000000"/>
          <w:lang w:val="nl-NL" w:eastAsia="ar-SA"/>
        </w:rPr>
      </w:pPr>
    </w:p>
    <w:p w:rsidR="009C13A9" w:rsidRPr="00C903F8" w:rsidRDefault="009C13A9" w:rsidP="009C13A9">
      <w:pPr>
        <w:spacing w:line="240" w:lineRule="atLeast"/>
        <w:rPr>
          <w:rFonts w:cs="Arial"/>
          <w:color w:val="000000"/>
          <w:lang w:val="nl-NL" w:eastAsia="ar-SA"/>
        </w:rPr>
      </w:pPr>
      <w:r w:rsidRPr="00C903F8">
        <w:rPr>
          <w:rFonts w:cs="Arial"/>
          <w:color w:val="000000"/>
          <w:lang w:val="nl-NL" w:eastAsia="ar-SA"/>
        </w:rPr>
        <w:br w:type="page"/>
      </w:r>
    </w:p>
    <w:p w:rsidR="009C13A9" w:rsidRPr="00C903F8" w:rsidRDefault="009C13A9" w:rsidP="009C13A9">
      <w:pPr>
        <w:spacing w:line="240" w:lineRule="atLeast"/>
        <w:rPr>
          <w:rFonts w:cs="Arial"/>
          <w:color w:val="000000"/>
          <w:lang w:val="nl-NL" w:eastAsia="ar-SA"/>
        </w:rPr>
      </w:pPr>
    </w:p>
    <w:p w:rsidR="009C13A9" w:rsidRPr="00C903F8" w:rsidRDefault="009C13A9" w:rsidP="009C13A9">
      <w:pPr>
        <w:spacing w:line="240" w:lineRule="atLeast"/>
        <w:rPr>
          <w:rFonts w:cs="Arial"/>
          <w:color w:val="000000"/>
          <w:lang w:val="nl-NL" w:eastAsia="ar-SA"/>
        </w:rPr>
      </w:pPr>
    </w:p>
    <w:p w:rsidR="009C13A9" w:rsidRPr="00C903F8" w:rsidRDefault="009C13A9" w:rsidP="009C13A9">
      <w:pPr>
        <w:spacing w:line="240" w:lineRule="atLeast"/>
        <w:rPr>
          <w:rFonts w:cs="Arial"/>
          <w:color w:val="000000"/>
          <w:lang w:val="nl-NL" w:eastAsia="ar-SA"/>
        </w:rPr>
      </w:pPr>
    </w:p>
    <w:p w:rsidR="009C13A9" w:rsidRPr="00C903F8" w:rsidRDefault="009C13A9" w:rsidP="009C13A9">
      <w:pPr>
        <w:spacing w:line="240" w:lineRule="atLeast"/>
        <w:rPr>
          <w:rFonts w:cs="Arial"/>
          <w:color w:val="000000"/>
          <w:lang w:val="nl-NL" w:eastAsia="ar-SA"/>
        </w:rPr>
      </w:pPr>
    </w:p>
    <w:p w:rsidR="009C13A9" w:rsidRPr="00C903F8" w:rsidRDefault="009C13A9" w:rsidP="009C13A9">
      <w:pPr>
        <w:suppressAutoHyphens/>
        <w:autoSpaceDE/>
        <w:autoSpaceDN/>
        <w:ind w:left="0" w:firstLine="0"/>
        <w:jc w:val="left"/>
        <w:rPr>
          <w:rFonts w:cs="Arial"/>
          <w:sz w:val="24"/>
          <w:lang w:val="en-US" w:eastAsia="ar-SA"/>
        </w:rPr>
        <w:sectPr w:rsidR="009C13A9" w:rsidRPr="00C903F8" w:rsidSect="009C13A9">
          <w:headerReference w:type="even" r:id="rId86"/>
          <w:headerReference w:type="default" r:id="rId87"/>
          <w:footerReference w:type="even" r:id="rId88"/>
          <w:footerReference w:type="default" r:id="rId89"/>
          <w:headerReference w:type="first" r:id="rId90"/>
          <w:footerReference w:type="first" r:id="rId91"/>
          <w:footnotePr>
            <w:numRestart w:val="eachPage"/>
          </w:footnotePr>
          <w:pgSz w:w="16840" w:h="11907" w:orient="landscape" w:code="9"/>
          <w:pgMar w:top="1418" w:right="1418" w:bottom="1418" w:left="1418" w:header="680" w:footer="680" w:gutter="0"/>
          <w:cols w:space="720"/>
          <w:docGrid w:linePitch="360"/>
        </w:sectPr>
      </w:pPr>
    </w:p>
    <w:p w:rsidR="009C13A9" w:rsidRPr="00C903F8" w:rsidRDefault="009C13A9" w:rsidP="009C13A9">
      <w:pPr>
        <w:suppressAutoHyphens/>
        <w:autoSpaceDE/>
        <w:autoSpaceDN/>
        <w:spacing w:line="240" w:lineRule="atLeast"/>
        <w:ind w:left="0" w:firstLine="0"/>
        <w:jc w:val="center"/>
        <w:rPr>
          <w:rFonts w:cs="Arial"/>
          <w:b/>
          <w:sz w:val="22"/>
          <w:lang w:val="en-US" w:eastAsia="ar-SA"/>
        </w:rPr>
      </w:pPr>
    </w:p>
    <w:p w:rsidR="009C13A9" w:rsidRPr="008F19E2" w:rsidRDefault="00925755" w:rsidP="00390107">
      <w:pPr>
        <w:pStyle w:val="ES-Titre3"/>
        <w:rPr>
          <w:noProof/>
          <w:lang w:val="en-US"/>
        </w:rPr>
      </w:pPr>
      <w:bookmarkStart w:id="378" w:name="_Toc491854338"/>
      <w:r w:rsidRPr="008F19E2">
        <w:rPr>
          <w:noProof/>
          <w:lang w:val="en-US"/>
        </w:rPr>
        <w:t>Section</w:t>
      </w:r>
      <w:r w:rsidR="009C13A9" w:rsidRPr="008F19E2">
        <w:rPr>
          <w:noProof/>
          <w:lang w:val="en-US"/>
        </w:rPr>
        <w:t xml:space="preserve"> VIII</w:t>
      </w:r>
      <w:bookmarkEnd w:id="378"/>
    </w:p>
    <w:p w:rsidR="009C13A9" w:rsidRPr="00C903F8" w:rsidRDefault="009C13A9" w:rsidP="00390107">
      <w:pPr>
        <w:pStyle w:val="ES-Titre3a"/>
        <w:rPr>
          <w:noProof/>
          <w:lang w:val="en-US"/>
        </w:rPr>
      </w:pPr>
      <w:bookmarkStart w:id="379" w:name="_Toc491854339"/>
      <w:r w:rsidRPr="00C903F8">
        <w:rPr>
          <w:noProof/>
          <w:lang w:val="en-US"/>
        </w:rPr>
        <w:t>On-board sewage treatment plant parameters record for special test</w:t>
      </w:r>
      <w:bookmarkEnd w:id="379"/>
    </w:p>
    <w:p w:rsidR="009C13A9" w:rsidRPr="00C903F8" w:rsidRDefault="009C13A9" w:rsidP="009C13A9">
      <w:pPr>
        <w:overflowPunct w:val="0"/>
        <w:adjustRightInd w:val="0"/>
        <w:spacing w:line="240" w:lineRule="exact"/>
        <w:ind w:left="0" w:firstLine="0"/>
        <w:jc w:val="center"/>
        <w:textAlignment w:val="baseline"/>
        <w:rPr>
          <w:rFonts w:eastAsia="Calibri" w:cs="Arial"/>
          <w:sz w:val="16"/>
          <w:szCs w:val="22"/>
          <w:lang w:val="en-US" w:eastAsia="ar-SA"/>
        </w:rPr>
      </w:pPr>
      <w:r w:rsidRPr="00C903F8">
        <w:rPr>
          <w:rFonts w:eastAsia="Calibri" w:cs="Arial"/>
          <w:szCs w:val="20"/>
          <w:lang w:val="en-US" w:eastAsia="ar-SA"/>
        </w:rPr>
        <w:t>(Model)</w:t>
      </w:r>
    </w:p>
    <w:p w:rsidR="009C13A9" w:rsidRPr="00C903F8" w:rsidRDefault="009C13A9" w:rsidP="009C13A9">
      <w:pPr>
        <w:suppressAutoHyphens/>
        <w:autoSpaceDE/>
        <w:autoSpaceDN/>
        <w:spacing w:line="240" w:lineRule="atLeast"/>
        <w:ind w:left="0" w:firstLine="0"/>
        <w:jc w:val="left"/>
        <w:rPr>
          <w:rFonts w:cs="Arial"/>
          <w:szCs w:val="20"/>
          <w:lang w:val="en-US" w:eastAsia="ar-SA"/>
        </w:rPr>
      </w:pPr>
    </w:p>
    <w:p w:rsidR="009C13A9" w:rsidRPr="00C903F8" w:rsidRDefault="009C13A9" w:rsidP="009C13A9">
      <w:pPr>
        <w:ind w:left="709" w:hanging="709"/>
        <w:outlineLvl w:val="0"/>
        <w:rPr>
          <w:rFonts w:cs="Arial"/>
          <w:b/>
          <w:bCs/>
          <w:noProof/>
          <w:szCs w:val="20"/>
          <w:lang w:val="en-US" w:eastAsia="en-GB"/>
        </w:rPr>
      </w:pPr>
      <w:r w:rsidRPr="00C903F8">
        <w:rPr>
          <w:rFonts w:cs="Arial"/>
          <w:b/>
          <w:bCs/>
          <w:noProof/>
          <w:szCs w:val="20"/>
          <w:lang w:val="en-US" w:eastAsia="en-GB"/>
        </w:rPr>
        <w:t>1.</w:t>
      </w:r>
      <w:r w:rsidRPr="00C903F8">
        <w:rPr>
          <w:rFonts w:cs="Arial"/>
          <w:b/>
          <w:bCs/>
          <w:noProof/>
          <w:szCs w:val="20"/>
          <w:lang w:val="en-US" w:eastAsia="en-GB"/>
        </w:rPr>
        <w:tab/>
        <w:t>General</w:t>
      </w:r>
    </w:p>
    <w:p w:rsidR="009C13A9" w:rsidRPr="00C903F8" w:rsidRDefault="009C13A9" w:rsidP="009C13A9">
      <w:pPr>
        <w:spacing w:before="60" w:line="240" w:lineRule="atLeast"/>
        <w:ind w:left="709" w:hanging="709"/>
        <w:rPr>
          <w:rFonts w:cs="Arial"/>
          <w:noProof/>
          <w:szCs w:val="20"/>
          <w:lang w:val="en-US" w:eastAsia="en-GB"/>
        </w:rPr>
      </w:pPr>
      <w:r w:rsidRPr="00C903F8">
        <w:rPr>
          <w:rFonts w:cs="Arial"/>
          <w:noProof/>
          <w:szCs w:val="20"/>
          <w:lang w:val="en-US" w:eastAsia="en-GB"/>
        </w:rPr>
        <w:t>1.1</w:t>
      </w:r>
      <w:r w:rsidRPr="00C903F8">
        <w:rPr>
          <w:rFonts w:cs="Arial"/>
          <w:noProof/>
          <w:szCs w:val="20"/>
          <w:lang w:val="en-US" w:eastAsia="en-GB"/>
        </w:rPr>
        <w:tab/>
        <w:t xml:space="preserve">Particulars of the on-board sewage treatment plant </w:t>
      </w:r>
    </w:p>
    <w:p w:rsidR="009C13A9" w:rsidRPr="00C903F8" w:rsidRDefault="009C13A9" w:rsidP="009C13A9">
      <w:pPr>
        <w:tabs>
          <w:tab w:val="left" w:leader="dot" w:pos="9072"/>
        </w:tabs>
        <w:spacing w:before="60" w:line="240" w:lineRule="atLeast"/>
        <w:ind w:left="709" w:hanging="709"/>
        <w:rPr>
          <w:rFonts w:cs="Arial"/>
          <w:noProof/>
          <w:szCs w:val="20"/>
          <w:lang w:val="en-US"/>
        </w:rPr>
      </w:pPr>
      <w:r w:rsidRPr="00C903F8">
        <w:rPr>
          <w:rFonts w:cs="Arial"/>
          <w:noProof/>
          <w:szCs w:val="20"/>
          <w:lang w:val="en-US"/>
        </w:rPr>
        <w:t>1.1.1</w:t>
      </w:r>
      <w:r w:rsidRPr="00C903F8">
        <w:rPr>
          <w:rFonts w:cs="Arial"/>
          <w:noProof/>
          <w:szCs w:val="20"/>
          <w:lang w:val="en-US"/>
        </w:rPr>
        <w:tab/>
        <w:t xml:space="preserve">Make: </w:t>
      </w:r>
      <w:r w:rsidRPr="00C903F8">
        <w:rPr>
          <w:rFonts w:cs="Arial"/>
          <w:noProof/>
          <w:szCs w:val="20"/>
          <w:lang w:val="en-US"/>
        </w:rPr>
        <w:tab/>
      </w:r>
    </w:p>
    <w:p w:rsidR="009C13A9" w:rsidRPr="00C903F8" w:rsidRDefault="009C13A9" w:rsidP="009C13A9">
      <w:pPr>
        <w:tabs>
          <w:tab w:val="left" w:leader="dot" w:pos="9072"/>
        </w:tabs>
        <w:spacing w:before="60" w:line="240" w:lineRule="atLeast"/>
        <w:ind w:left="709" w:hanging="709"/>
        <w:jc w:val="left"/>
        <w:rPr>
          <w:rFonts w:cs="Arial"/>
          <w:noProof/>
          <w:szCs w:val="20"/>
          <w:lang w:val="en-US" w:eastAsia="en-GB"/>
        </w:rPr>
      </w:pPr>
      <w:r w:rsidRPr="00C903F8">
        <w:rPr>
          <w:rFonts w:cs="Arial"/>
          <w:noProof/>
          <w:szCs w:val="20"/>
          <w:lang w:val="en-US" w:eastAsia="en-GB"/>
        </w:rPr>
        <w:t>1.1.2</w:t>
      </w:r>
      <w:r w:rsidRPr="00C903F8">
        <w:rPr>
          <w:rFonts w:cs="Arial"/>
          <w:noProof/>
          <w:szCs w:val="20"/>
          <w:lang w:val="en-US" w:eastAsia="en-GB"/>
        </w:rPr>
        <w:tab/>
        <w:t xml:space="preserve">Manufacturer’s designation: </w:t>
      </w:r>
      <w:r w:rsidRPr="00C903F8">
        <w:rPr>
          <w:rFonts w:cs="Arial"/>
          <w:noProof/>
          <w:szCs w:val="20"/>
          <w:lang w:val="en-US" w:eastAsia="en-GB"/>
        </w:rPr>
        <w:tab/>
      </w:r>
    </w:p>
    <w:p w:rsidR="009C13A9" w:rsidRPr="00C903F8" w:rsidRDefault="009C13A9" w:rsidP="009C13A9">
      <w:pPr>
        <w:tabs>
          <w:tab w:val="left" w:leader="dot" w:pos="9072"/>
        </w:tabs>
        <w:spacing w:before="60" w:line="240" w:lineRule="atLeast"/>
        <w:ind w:left="709" w:firstLine="0"/>
        <w:rPr>
          <w:rFonts w:cs="Arial"/>
          <w:noProof/>
          <w:szCs w:val="20"/>
          <w:lang w:val="en-US" w:eastAsia="en-GB"/>
        </w:rPr>
      </w:pPr>
      <w:r w:rsidRPr="00C903F8">
        <w:rPr>
          <w:rFonts w:cs="Arial"/>
          <w:noProof/>
          <w:szCs w:val="20"/>
          <w:lang w:val="en-US" w:eastAsia="en-GB"/>
        </w:rPr>
        <w:tab/>
      </w:r>
    </w:p>
    <w:p w:rsidR="009C13A9" w:rsidRPr="00C903F8" w:rsidRDefault="009C13A9" w:rsidP="009C13A9">
      <w:pPr>
        <w:tabs>
          <w:tab w:val="left" w:leader="dot" w:pos="9072"/>
        </w:tabs>
        <w:spacing w:before="60" w:line="240" w:lineRule="atLeast"/>
        <w:ind w:left="709" w:hanging="709"/>
        <w:rPr>
          <w:rFonts w:cs="Arial"/>
          <w:noProof/>
          <w:szCs w:val="20"/>
          <w:lang w:val="en-US" w:eastAsia="en-GB"/>
        </w:rPr>
      </w:pPr>
      <w:r w:rsidRPr="00C903F8">
        <w:rPr>
          <w:rFonts w:cs="Arial"/>
          <w:noProof/>
          <w:szCs w:val="20"/>
          <w:lang w:val="en-US" w:eastAsia="en-GB"/>
        </w:rPr>
        <w:t>1.1.3</w:t>
      </w:r>
      <w:r w:rsidRPr="00C903F8">
        <w:rPr>
          <w:rFonts w:cs="Arial"/>
          <w:noProof/>
          <w:szCs w:val="20"/>
          <w:lang w:val="en-US" w:eastAsia="en-GB"/>
        </w:rPr>
        <w:tab/>
        <w:t xml:space="preserve">Type approval number: </w:t>
      </w:r>
      <w:r w:rsidRPr="00C903F8">
        <w:rPr>
          <w:rFonts w:cs="Arial"/>
          <w:noProof/>
          <w:szCs w:val="20"/>
          <w:lang w:val="en-US" w:eastAsia="en-GB"/>
        </w:rPr>
        <w:tab/>
      </w:r>
    </w:p>
    <w:p w:rsidR="009C13A9" w:rsidRPr="00C903F8" w:rsidRDefault="009C13A9" w:rsidP="009C13A9">
      <w:pPr>
        <w:tabs>
          <w:tab w:val="left" w:leader="dot" w:pos="9072"/>
        </w:tabs>
        <w:spacing w:before="60" w:line="240" w:lineRule="atLeast"/>
        <w:ind w:left="709" w:hanging="709"/>
        <w:jc w:val="left"/>
        <w:rPr>
          <w:rFonts w:cs="Arial"/>
          <w:noProof/>
          <w:szCs w:val="20"/>
          <w:lang w:val="en-US" w:eastAsia="en-GB"/>
        </w:rPr>
      </w:pPr>
      <w:r w:rsidRPr="00C903F8">
        <w:rPr>
          <w:rFonts w:cs="Arial"/>
          <w:noProof/>
          <w:szCs w:val="20"/>
          <w:lang w:val="en-US" w:eastAsia="en-GB"/>
        </w:rPr>
        <w:t>1.1.4</w:t>
      </w:r>
      <w:r w:rsidRPr="00C903F8">
        <w:rPr>
          <w:rFonts w:cs="Arial"/>
          <w:noProof/>
          <w:szCs w:val="20"/>
          <w:lang w:val="en-US" w:eastAsia="en-GB"/>
        </w:rPr>
        <w:tab/>
        <w:t xml:space="preserve">Serial number of the on-board sewage treatment plant: </w:t>
      </w:r>
      <w:r w:rsidRPr="00C903F8">
        <w:rPr>
          <w:rFonts w:cs="Arial"/>
          <w:noProof/>
          <w:szCs w:val="20"/>
          <w:lang w:val="en-US" w:eastAsia="en-GB"/>
        </w:rPr>
        <w:tab/>
      </w:r>
    </w:p>
    <w:p w:rsidR="009C13A9" w:rsidRPr="00C903F8" w:rsidRDefault="009C13A9" w:rsidP="009C13A9">
      <w:pPr>
        <w:tabs>
          <w:tab w:val="left" w:leader="dot" w:pos="9072"/>
        </w:tabs>
        <w:spacing w:before="60" w:line="240" w:lineRule="atLeast"/>
        <w:ind w:left="709" w:firstLine="0"/>
        <w:rPr>
          <w:rFonts w:cs="Arial"/>
          <w:noProof/>
          <w:szCs w:val="20"/>
          <w:lang w:val="en-US" w:eastAsia="en-GB"/>
        </w:rPr>
      </w:pPr>
      <w:r w:rsidRPr="00C903F8">
        <w:rPr>
          <w:rFonts w:cs="Arial"/>
          <w:noProof/>
          <w:szCs w:val="20"/>
          <w:lang w:val="en-US" w:eastAsia="en-GB"/>
        </w:rPr>
        <w:tab/>
      </w:r>
    </w:p>
    <w:p w:rsidR="009C13A9" w:rsidRPr="00C903F8" w:rsidRDefault="009C13A9" w:rsidP="009C13A9">
      <w:pPr>
        <w:ind w:left="709" w:hanging="709"/>
        <w:rPr>
          <w:rFonts w:cs="Arial"/>
          <w:noProof/>
          <w:szCs w:val="20"/>
          <w:lang w:val="en-US" w:eastAsia="en-GB"/>
        </w:rPr>
      </w:pPr>
    </w:p>
    <w:p w:rsidR="009C13A9" w:rsidRPr="00C903F8" w:rsidRDefault="009C13A9" w:rsidP="009C13A9">
      <w:pPr>
        <w:ind w:left="709" w:hanging="709"/>
        <w:rPr>
          <w:rFonts w:cs="Arial"/>
          <w:noProof/>
          <w:szCs w:val="20"/>
          <w:lang w:val="en-US" w:eastAsia="en-GB"/>
        </w:rPr>
      </w:pPr>
      <w:r w:rsidRPr="00C903F8">
        <w:rPr>
          <w:rFonts w:cs="Arial"/>
          <w:noProof/>
          <w:szCs w:val="20"/>
          <w:lang w:val="en-US" w:eastAsia="en-GB"/>
        </w:rPr>
        <w:t>1.2</w:t>
      </w:r>
      <w:r w:rsidRPr="00C903F8">
        <w:rPr>
          <w:rFonts w:cs="Arial"/>
          <w:noProof/>
          <w:szCs w:val="20"/>
          <w:lang w:val="en-US" w:eastAsia="en-GB"/>
        </w:rPr>
        <w:tab/>
        <w:t>Documentation</w:t>
      </w:r>
    </w:p>
    <w:p w:rsidR="009C13A9" w:rsidRPr="00C903F8" w:rsidRDefault="009C13A9" w:rsidP="009C13A9">
      <w:pPr>
        <w:ind w:left="709" w:hanging="709"/>
        <w:rPr>
          <w:rFonts w:cs="Arial"/>
          <w:noProof/>
          <w:szCs w:val="20"/>
          <w:lang w:val="en-US"/>
        </w:rPr>
      </w:pPr>
    </w:p>
    <w:p w:rsidR="009C13A9" w:rsidRPr="00C903F8" w:rsidRDefault="009C13A9" w:rsidP="009C13A9">
      <w:pPr>
        <w:ind w:left="709" w:firstLine="0"/>
        <w:rPr>
          <w:rFonts w:cs="Arial"/>
          <w:noProof/>
          <w:szCs w:val="20"/>
          <w:lang w:val="en-US"/>
        </w:rPr>
      </w:pPr>
      <w:r w:rsidRPr="00C903F8">
        <w:rPr>
          <w:rFonts w:cs="Arial"/>
          <w:noProof/>
          <w:szCs w:val="20"/>
          <w:lang w:val="en-US"/>
        </w:rPr>
        <w:t>The on-board sewage treatment plant shall be tested and the test results recorded on separate sheets which shall be individually numbered, signed by the inspector and attached to this record.</w:t>
      </w:r>
    </w:p>
    <w:p w:rsidR="009C13A9" w:rsidRPr="00C903F8" w:rsidRDefault="009C13A9" w:rsidP="009C13A9">
      <w:pPr>
        <w:ind w:left="709" w:hanging="709"/>
        <w:rPr>
          <w:rFonts w:cs="Arial"/>
          <w:noProof/>
          <w:szCs w:val="20"/>
          <w:lang w:val="en-US" w:eastAsia="en-GB"/>
        </w:rPr>
      </w:pPr>
    </w:p>
    <w:p w:rsidR="009C13A9" w:rsidRPr="00C903F8" w:rsidRDefault="009C13A9" w:rsidP="009C13A9">
      <w:pPr>
        <w:ind w:left="709" w:hanging="709"/>
        <w:rPr>
          <w:rFonts w:cs="Arial"/>
          <w:noProof/>
          <w:szCs w:val="20"/>
          <w:lang w:val="en-US" w:eastAsia="en-GB"/>
        </w:rPr>
      </w:pPr>
      <w:r w:rsidRPr="00C903F8">
        <w:rPr>
          <w:rFonts w:cs="Arial"/>
          <w:noProof/>
          <w:szCs w:val="20"/>
          <w:lang w:val="en-US" w:eastAsia="en-GB"/>
        </w:rPr>
        <w:t>1.3</w:t>
      </w:r>
      <w:r w:rsidRPr="00C903F8">
        <w:rPr>
          <w:rFonts w:cs="Arial"/>
          <w:noProof/>
          <w:szCs w:val="20"/>
          <w:lang w:val="en-US" w:eastAsia="en-GB"/>
        </w:rPr>
        <w:tab/>
        <w:t>Testing</w:t>
      </w:r>
    </w:p>
    <w:p w:rsidR="009C13A9" w:rsidRPr="00C903F8" w:rsidRDefault="009C13A9" w:rsidP="009C13A9">
      <w:pPr>
        <w:ind w:left="709" w:hanging="709"/>
        <w:rPr>
          <w:rFonts w:cs="Arial"/>
          <w:noProof/>
          <w:szCs w:val="20"/>
          <w:lang w:val="en-US" w:eastAsia="en-GB"/>
        </w:rPr>
      </w:pPr>
    </w:p>
    <w:p w:rsidR="009C13A9" w:rsidRPr="00C903F8" w:rsidRDefault="009C13A9" w:rsidP="009C13A9">
      <w:pPr>
        <w:ind w:left="709" w:firstLine="0"/>
        <w:rPr>
          <w:rFonts w:cs="Arial"/>
          <w:noProof/>
          <w:szCs w:val="20"/>
          <w:lang w:val="en-US" w:eastAsia="en-GB"/>
        </w:rPr>
      </w:pPr>
      <w:r w:rsidRPr="00C903F8">
        <w:rPr>
          <w:rFonts w:cs="Arial"/>
          <w:noProof/>
          <w:szCs w:val="20"/>
          <w:lang w:val="en-US" w:eastAsia="en-GB"/>
        </w:rPr>
        <w:t>Testing shall be carried out on the basis of the manufacturer’s guide to checking the components and parameters of the on-board treatment plant relevant to sewage treatment in accordance with Article 1.01(9.10). In justified individual cases inspectors may at their own discretion dispense with checking certain plant components or parameters.</w:t>
      </w:r>
    </w:p>
    <w:p w:rsidR="009C13A9" w:rsidRPr="00C903F8" w:rsidRDefault="009C13A9" w:rsidP="009C13A9">
      <w:pPr>
        <w:ind w:left="709" w:hanging="709"/>
        <w:rPr>
          <w:rFonts w:cs="Arial"/>
          <w:noProof/>
          <w:szCs w:val="20"/>
          <w:lang w:val="en-US" w:eastAsia="en-GB"/>
        </w:rPr>
      </w:pPr>
    </w:p>
    <w:p w:rsidR="009C13A9" w:rsidRPr="00C903F8" w:rsidRDefault="009C13A9" w:rsidP="009C13A9">
      <w:pPr>
        <w:ind w:left="709" w:firstLine="0"/>
        <w:rPr>
          <w:rFonts w:cs="Arial"/>
          <w:noProof/>
          <w:szCs w:val="20"/>
          <w:lang w:val="en-US" w:eastAsia="en-GB"/>
        </w:rPr>
      </w:pPr>
      <w:r w:rsidRPr="00C903F8">
        <w:rPr>
          <w:rFonts w:cs="Arial"/>
          <w:noProof/>
          <w:szCs w:val="20"/>
          <w:lang w:val="en-US" w:eastAsia="en-GB"/>
        </w:rPr>
        <w:t>During the test at least one random sample shall be taken. The results of the random sample measurement shall be compared with the control values set out in Article 18.01(2), Table 2.</w:t>
      </w:r>
    </w:p>
    <w:p w:rsidR="009C13A9" w:rsidRPr="00C903F8" w:rsidRDefault="009C13A9" w:rsidP="009C13A9">
      <w:pPr>
        <w:ind w:left="709" w:hanging="709"/>
        <w:rPr>
          <w:rFonts w:cs="Arial"/>
          <w:noProof/>
          <w:szCs w:val="20"/>
          <w:lang w:val="en-US" w:eastAsia="en-GB"/>
        </w:rPr>
      </w:pPr>
    </w:p>
    <w:p w:rsidR="009C13A9" w:rsidRPr="00C903F8" w:rsidRDefault="009C13A9" w:rsidP="009C13A9">
      <w:pPr>
        <w:ind w:left="709" w:hanging="709"/>
        <w:rPr>
          <w:rFonts w:cs="Arial"/>
          <w:noProof/>
          <w:szCs w:val="20"/>
          <w:lang w:val="en-US" w:eastAsia="en-GB"/>
        </w:rPr>
      </w:pPr>
      <w:r w:rsidRPr="00C903F8">
        <w:rPr>
          <w:rFonts w:cs="Arial"/>
          <w:noProof/>
          <w:szCs w:val="20"/>
          <w:lang w:val="en-US" w:eastAsia="en-GB"/>
        </w:rPr>
        <w:t>1.4</w:t>
      </w:r>
      <w:r w:rsidRPr="00C903F8">
        <w:rPr>
          <w:rFonts w:cs="Arial"/>
          <w:noProof/>
          <w:szCs w:val="20"/>
          <w:lang w:val="en-US" w:eastAsia="en-GB"/>
        </w:rPr>
        <w:tab/>
        <w:t>This test report, together with the attached records, comprises a total of ...................</w:t>
      </w:r>
      <w:r w:rsidRPr="00C903F8">
        <w:rPr>
          <w:rFonts w:cs="Arial"/>
          <w:noProof/>
          <w:szCs w:val="20"/>
          <w:vertAlign w:val="superscript"/>
        </w:rPr>
        <w:footnoteReference w:id="72"/>
      </w:r>
      <w:r w:rsidRPr="00C903F8">
        <w:rPr>
          <w:rFonts w:cs="Arial"/>
          <w:noProof/>
          <w:szCs w:val="20"/>
          <w:lang w:val="en-US" w:eastAsia="en-GB"/>
        </w:rPr>
        <w:t>..pages.</w:t>
      </w:r>
    </w:p>
    <w:p w:rsidR="009C13A9" w:rsidRPr="00C903F8" w:rsidRDefault="009C13A9" w:rsidP="009C13A9">
      <w:pPr>
        <w:ind w:left="709" w:hanging="709"/>
        <w:jc w:val="left"/>
        <w:rPr>
          <w:rFonts w:cs="Arial"/>
          <w:b/>
          <w:bCs/>
          <w:noProof/>
          <w:szCs w:val="20"/>
          <w:lang w:val="en-US" w:eastAsia="en-GB"/>
        </w:rPr>
      </w:pPr>
    </w:p>
    <w:p w:rsidR="009C13A9" w:rsidRPr="00C903F8" w:rsidRDefault="009C13A9" w:rsidP="009C13A9">
      <w:pPr>
        <w:ind w:left="709" w:hanging="709"/>
        <w:jc w:val="left"/>
        <w:rPr>
          <w:rFonts w:cs="Arial"/>
          <w:b/>
          <w:bCs/>
          <w:noProof/>
          <w:szCs w:val="20"/>
          <w:lang w:val="en-US" w:eastAsia="en-GB"/>
        </w:rPr>
      </w:pPr>
      <w:r w:rsidRPr="00C903F8">
        <w:rPr>
          <w:rFonts w:cs="Arial"/>
          <w:b/>
          <w:bCs/>
          <w:noProof/>
          <w:szCs w:val="20"/>
          <w:lang w:val="en-US" w:eastAsia="en-GB"/>
        </w:rPr>
        <w:t>2.</w:t>
      </w:r>
      <w:r w:rsidRPr="00C903F8">
        <w:rPr>
          <w:rFonts w:cs="Arial"/>
          <w:b/>
          <w:bCs/>
          <w:noProof/>
          <w:szCs w:val="20"/>
          <w:lang w:val="en-US" w:eastAsia="en-GB"/>
        </w:rPr>
        <w:tab/>
        <w:t>Parameters</w:t>
      </w:r>
    </w:p>
    <w:p w:rsidR="009C13A9" w:rsidRPr="00C903F8" w:rsidRDefault="009C13A9" w:rsidP="009C13A9">
      <w:pPr>
        <w:ind w:left="709" w:hanging="709"/>
        <w:rPr>
          <w:rFonts w:cs="Arial"/>
          <w:noProof/>
          <w:szCs w:val="20"/>
          <w:lang w:val="en-US" w:eastAsia="en-GB"/>
        </w:rPr>
      </w:pPr>
    </w:p>
    <w:p w:rsidR="009C13A9" w:rsidRPr="00C903F8" w:rsidRDefault="009C13A9" w:rsidP="009C13A9">
      <w:pPr>
        <w:ind w:left="709" w:firstLine="0"/>
        <w:rPr>
          <w:rFonts w:cs="Arial"/>
          <w:noProof/>
          <w:szCs w:val="20"/>
          <w:lang w:val="en-US" w:eastAsia="en-GB"/>
        </w:rPr>
      </w:pPr>
      <w:r w:rsidRPr="00C903F8">
        <w:rPr>
          <w:rFonts w:cs="Arial"/>
          <w:noProof/>
          <w:szCs w:val="20"/>
          <w:lang w:val="en-US" w:eastAsia="en-GB"/>
        </w:rPr>
        <w:t>This is to certify that the on-board sewage treatment plant tested does not diverge to an inadmissible extent from the parameters and control values for operation specified in Article 18.01(2), Table 2 are not exceeded.</w:t>
      </w:r>
    </w:p>
    <w:p w:rsidR="009C13A9" w:rsidRPr="00C903F8" w:rsidRDefault="009C13A9" w:rsidP="009C13A9">
      <w:pPr>
        <w:ind w:left="709" w:firstLine="0"/>
        <w:jc w:val="left"/>
        <w:rPr>
          <w:rFonts w:cs="Arial"/>
          <w:noProof/>
          <w:szCs w:val="20"/>
          <w:lang w:val="en-US" w:eastAsia="en-GB"/>
        </w:rPr>
      </w:pPr>
    </w:p>
    <w:p w:rsidR="009C13A9" w:rsidRPr="00C903F8" w:rsidRDefault="009C13A9" w:rsidP="009C13A9">
      <w:pPr>
        <w:tabs>
          <w:tab w:val="left" w:leader="dot" w:pos="9072"/>
        </w:tabs>
        <w:ind w:left="709" w:firstLine="0"/>
        <w:jc w:val="left"/>
        <w:rPr>
          <w:rFonts w:cs="Arial"/>
          <w:noProof/>
          <w:szCs w:val="20"/>
          <w:lang w:val="en-US" w:eastAsia="en-GB"/>
        </w:rPr>
      </w:pPr>
      <w:r w:rsidRPr="00C903F8">
        <w:rPr>
          <w:rFonts w:cs="Arial"/>
          <w:noProof/>
          <w:szCs w:val="20"/>
          <w:lang w:val="en-US" w:eastAsia="en-GB"/>
        </w:rPr>
        <w:t xml:space="preserve">Name and address of the technical service: </w:t>
      </w: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ab/>
      </w:r>
    </w:p>
    <w:p w:rsidR="009C13A9" w:rsidRPr="00C903F8" w:rsidRDefault="009C13A9" w:rsidP="009C13A9">
      <w:pPr>
        <w:tabs>
          <w:tab w:val="left" w:leader="dot" w:pos="9072"/>
        </w:tabs>
        <w:ind w:left="709" w:firstLine="0"/>
        <w:jc w:val="left"/>
        <w:rPr>
          <w:rFonts w:cs="Arial"/>
          <w:noProof/>
          <w:szCs w:val="20"/>
          <w:lang w:val="en-US" w:eastAsia="en-GB"/>
        </w:rPr>
      </w:pPr>
      <w:r w:rsidRPr="00C903F8">
        <w:rPr>
          <w:rFonts w:cs="Arial"/>
          <w:noProof/>
          <w:szCs w:val="20"/>
          <w:lang w:val="en-US" w:eastAsia="en-GB"/>
        </w:rPr>
        <w:t xml:space="preserve">Name of inspector: </w:t>
      </w: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 xml:space="preserve">Place and date: </w:t>
      </w: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 xml:space="preserve">Signature: </w:t>
      </w: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p>
    <w:p w:rsidR="009C13A9" w:rsidRPr="00C903F8" w:rsidRDefault="009C13A9" w:rsidP="009C13A9">
      <w:pPr>
        <w:tabs>
          <w:tab w:val="left" w:leader="dot" w:pos="9072"/>
        </w:tabs>
        <w:ind w:left="709" w:firstLine="0"/>
        <w:jc w:val="left"/>
        <w:rPr>
          <w:rFonts w:cs="Arial"/>
          <w:noProof/>
          <w:szCs w:val="20"/>
          <w:lang w:val="en-US" w:eastAsia="en-GB"/>
        </w:rPr>
      </w:pPr>
      <w:r w:rsidRPr="00C903F8">
        <w:rPr>
          <w:rFonts w:cs="Arial"/>
          <w:noProof/>
          <w:szCs w:val="20"/>
          <w:lang w:val="en-US" w:eastAsia="en-GB"/>
        </w:rPr>
        <w:t xml:space="preserve">Test recognised by competent authority: </w:t>
      </w:r>
      <w:r w:rsidRPr="00C903F8">
        <w:rPr>
          <w:rFonts w:cs="Arial"/>
          <w:noProof/>
          <w:szCs w:val="20"/>
          <w:lang w:val="en-US" w:eastAsia="en-GB"/>
        </w:rPr>
        <w:tab/>
      </w:r>
    </w:p>
    <w:p w:rsidR="009C13A9" w:rsidRPr="00C903F8" w:rsidRDefault="009C13A9" w:rsidP="009C13A9">
      <w:pPr>
        <w:tabs>
          <w:tab w:val="left" w:leader="dot" w:pos="9072"/>
        </w:tabs>
        <w:ind w:left="709" w:firstLine="11"/>
        <w:rPr>
          <w:rFonts w:cs="Arial"/>
          <w:noProof/>
          <w:szCs w:val="20"/>
          <w:lang w:val="en-US" w:eastAsia="en-GB"/>
        </w:rPr>
      </w:pP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lastRenderedPageBreak/>
        <w:t xml:space="preserve">Place and date: </w:t>
      </w: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 xml:space="preserve">Signature: </w:t>
      </w:r>
      <w:r w:rsidRPr="00C903F8">
        <w:rPr>
          <w:rFonts w:cs="Arial"/>
          <w:noProof/>
          <w:szCs w:val="20"/>
          <w:lang w:val="en-US" w:eastAsia="en-GB"/>
        </w:rPr>
        <w:tab/>
      </w:r>
    </w:p>
    <w:p w:rsidR="009C13A9" w:rsidRPr="00C903F8" w:rsidRDefault="009C13A9" w:rsidP="009C13A9">
      <w:pPr>
        <w:ind w:left="709" w:firstLine="0"/>
        <w:rPr>
          <w:rFonts w:cs="Arial"/>
          <w:noProof/>
          <w:szCs w:val="20"/>
          <w:lang w:val="en-US" w:eastAsia="en-GB"/>
        </w:rPr>
      </w:pPr>
    </w:p>
    <w:p w:rsidR="009C13A9" w:rsidRPr="00C903F8" w:rsidRDefault="009C13A9" w:rsidP="009C13A9">
      <w:pPr>
        <w:jc w:val="right"/>
        <w:outlineLvl w:val="0"/>
        <w:rPr>
          <w:rFonts w:cs="Arial"/>
          <w:noProof/>
          <w:szCs w:val="20"/>
          <w:lang w:val="en-US"/>
        </w:rPr>
      </w:pPr>
      <w:r w:rsidRPr="00C903F8">
        <w:rPr>
          <w:rFonts w:cs="Arial"/>
          <w:noProof/>
          <w:szCs w:val="20"/>
          <w:lang w:val="en-US"/>
        </w:rPr>
        <w:t>Seal of the competent authority</w:t>
      </w:r>
    </w:p>
    <w:p w:rsidR="009C13A9" w:rsidRPr="00C903F8" w:rsidRDefault="009C13A9" w:rsidP="009C13A9">
      <w:pPr>
        <w:spacing w:line="240" w:lineRule="atLeast"/>
        <w:rPr>
          <w:rFonts w:cs="Arial"/>
          <w:color w:val="000000"/>
          <w:lang w:val="en-US" w:eastAsia="ar-SA"/>
        </w:rPr>
      </w:pPr>
      <w:r w:rsidRPr="00C903F8">
        <w:rPr>
          <w:rFonts w:cs="Arial"/>
          <w:color w:val="000000"/>
          <w:lang w:val="en-US" w:eastAsia="ar-SA"/>
        </w:rPr>
        <w:br w:type="page"/>
      </w:r>
    </w:p>
    <w:p w:rsidR="009C13A9" w:rsidRPr="00C903F8" w:rsidRDefault="009C13A9" w:rsidP="009C13A9">
      <w:pPr>
        <w:tabs>
          <w:tab w:val="left" w:leader="dot" w:pos="9072"/>
        </w:tabs>
        <w:ind w:left="709" w:firstLine="0"/>
        <w:jc w:val="left"/>
        <w:rPr>
          <w:rFonts w:cs="Arial"/>
          <w:noProof/>
          <w:szCs w:val="20"/>
          <w:lang w:val="en-US" w:eastAsia="en-GB"/>
        </w:rPr>
      </w:pPr>
      <w:r w:rsidRPr="00C903F8">
        <w:rPr>
          <w:rFonts w:cs="Arial"/>
          <w:noProof/>
          <w:szCs w:val="20"/>
          <w:lang w:val="en-US" w:eastAsia="en-GB"/>
        </w:rPr>
        <w:lastRenderedPageBreak/>
        <w:t xml:space="preserve">Name and address of the technical service: </w:t>
      </w: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ab/>
      </w:r>
    </w:p>
    <w:p w:rsidR="009C13A9" w:rsidRPr="00C903F8" w:rsidRDefault="009C13A9" w:rsidP="009C13A9">
      <w:pPr>
        <w:tabs>
          <w:tab w:val="left" w:leader="dot" w:pos="9072"/>
        </w:tabs>
        <w:ind w:left="709" w:firstLine="0"/>
        <w:jc w:val="left"/>
        <w:rPr>
          <w:rFonts w:cs="Arial"/>
          <w:noProof/>
          <w:szCs w:val="20"/>
          <w:lang w:val="en-US" w:eastAsia="en-GB"/>
        </w:rPr>
      </w:pPr>
      <w:r w:rsidRPr="00C903F8">
        <w:rPr>
          <w:rFonts w:cs="Arial"/>
          <w:noProof/>
          <w:szCs w:val="20"/>
          <w:lang w:val="en-US" w:eastAsia="en-GB"/>
        </w:rPr>
        <w:t xml:space="preserve">Name of inspector: </w:t>
      </w: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 xml:space="preserve">Place and date: </w:t>
      </w: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 xml:space="preserve">Signature: </w:t>
      </w: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p>
    <w:p w:rsidR="009C13A9" w:rsidRPr="00C903F8" w:rsidRDefault="009C13A9" w:rsidP="009C13A9">
      <w:pPr>
        <w:tabs>
          <w:tab w:val="left" w:leader="dot" w:pos="9072"/>
        </w:tabs>
        <w:ind w:left="709" w:firstLine="0"/>
        <w:jc w:val="left"/>
        <w:rPr>
          <w:rFonts w:cs="Arial"/>
          <w:noProof/>
          <w:szCs w:val="20"/>
          <w:lang w:val="en-US" w:eastAsia="en-GB"/>
        </w:rPr>
      </w:pPr>
      <w:r w:rsidRPr="00C903F8">
        <w:rPr>
          <w:rFonts w:cs="Arial"/>
          <w:noProof/>
          <w:szCs w:val="20"/>
          <w:lang w:val="en-US" w:eastAsia="en-GB"/>
        </w:rPr>
        <w:t xml:space="preserve">Test recognised by competent authority: </w:t>
      </w:r>
      <w:r w:rsidRPr="00C903F8">
        <w:rPr>
          <w:rFonts w:cs="Arial"/>
          <w:noProof/>
          <w:szCs w:val="20"/>
          <w:lang w:val="en-US" w:eastAsia="en-GB"/>
        </w:rPr>
        <w:tab/>
      </w:r>
    </w:p>
    <w:p w:rsidR="009C13A9" w:rsidRPr="00C903F8" w:rsidRDefault="009C13A9" w:rsidP="009C13A9">
      <w:pPr>
        <w:tabs>
          <w:tab w:val="left" w:leader="dot" w:pos="9072"/>
        </w:tabs>
        <w:ind w:left="709" w:firstLine="11"/>
        <w:rPr>
          <w:rFonts w:cs="Arial"/>
          <w:noProof/>
          <w:szCs w:val="20"/>
          <w:lang w:val="en-US" w:eastAsia="en-GB"/>
        </w:rPr>
      </w:pP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 xml:space="preserve">Place and date: </w:t>
      </w: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 xml:space="preserve">Signature: </w:t>
      </w:r>
      <w:r w:rsidRPr="00C903F8">
        <w:rPr>
          <w:rFonts w:cs="Arial"/>
          <w:noProof/>
          <w:szCs w:val="20"/>
          <w:lang w:val="en-US" w:eastAsia="en-GB"/>
        </w:rPr>
        <w:tab/>
      </w:r>
    </w:p>
    <w:p w:rsidR="009C13A9" w:rsidRPr="00C903F8" w:rsidRDefault="009C13A9" w:rsidP="009C13A9">
      <w:pPr>
        <w:ind w:left="709" w:firstLine="0"/>
        <w:rPr>
          <w:rFonts w:cs="Arial"/>
          <w:noProof/>
          <w:szCs w:val="20"/>
          <w:lang w:val="en-US" w:eastAsia="en-GB"/>
        </w:rPr>
      </w:pPr>
    </w:p>
    <w:p w:rsidR="009C13A9" w:rsidRPr="00C903F8" w:rsidRDefault="009C13A9" w:rsidP="009C13A9">
      <w:pPr>
        <w:jc w:val="right"/>
        <w:outlineLvl w:val="0"/>
        <w:rPr>
          <w:rFonts w:cs="Arial"/>
          <w:noProof/>
          <w:szCs w:val="20"/>
          <w:lang w:val="en-US"/>
        </w:rPr>
      </w:pPr>
      <w:r w:rsidRPr="00C903F8">
        <w:rPr>
          <w:rFonts w:cs="Arial"/>
          <w:noProof/>
          <w:szCs w:val="20"/>
          <w:lang w:val="en-US"/>
        </w:rPr>
        <w:t>Seal of the competent authority</w:t>
      </w:r>
    </w:p>
    <w:p w:rsidR="009C13A9" w:rsidRPr="00C903F8" w:rsidRDefault="009C13A9" w:rsidP="009C13A9">
      <w:pPr>
        <w:spacing w:line="240" w:lineRule="atLeast"/>
        <w:rPr>
          <w:rFonts w:cs="Arial"/>
          <w:color w:val="000000"/>
          <w:lang w:val="en-US" w:eastAsia="ar-SA"/>
        </w:rPr>
      </w:pPr>
    </w:p>
    <w:p w:rsidR="009C13A9" w:rsidRPr="00C903F8" w:rsidRDefault="009C13A9" w:rsidP="009C13A9">
      <w:pPr>
        <w:spacing w:line="240" w:lineRule="atLeast"/>
        <w:rPr>
          <w:rFonts w:cs="Arial"/>
          <w:color w:val="000000"/>
          <w:lang w:val="en-US" w:eastAsia="ar-SA"/>
        </w:rPr>
      </w:pPr>
    </w:p>
    <w:p w:rsidR="009C13A9" w:rsidRPr="00C903F8" w:rsidRDefault="009C13A9" w:rsidP="009C13A9">
      <w:pPr>
        <w:spacing w:line="240" w:lineRule="atLeast"/>
        <w:rPr>
          <w:rFonts w:cs="Arial"/>
          <w:color w:val="000000"/>
          <w:lang w:val="en-US" w:eastAsia="ar-SA"/>
        </w:rPr>
      </w:pPr>
    </w:p>
    <w:p w:rsidR="009C13A9" w:rsidRPr="00C903F8" w:rsidRDefault="009C13A9" w:rsidP="009C13A9">
      <w:pPr>
        <w:spacing w:line="240" w:lineRule="atLeast"/>
        <w:rPr>
          <w:rFonts w:cs="Arial"/>
          <w:color w:val="000000"/>
          <w:lang w:val="en-US" w:eastAsia="ar-SA"/>
        </w:rPr>
      </w:pPr>
    </w:p>
    <w:p w:rsidR="009C13A9" w:rsidRPr="00C903F8" w:rsidRDefault="009C13A9" w:rsidP="009C13A9">
      <w:pPr>
        <w:tabs>
          <w:tab w:val="left" w:leader="dot" w:pos="9072"/>
        </w:tabs>
        <w:ind w:left="709" w:firstLine="0"/>
        <w:jc w:val="left"/>
        <w:rPr>
          <w:rFonts w:cs="Arial"/>
          <w:noProof/>
          <w:szCs w:val="20"/>
          <w:lang w:val="en-US" w:eastAsia="en-GB"/>
        </w:rPr>
      </w:pPr>
      <w:r w:rsidRPr="00C903F8">
        <w:rPr>
          <w:rFonts w:cs="Arial"/>
          <w:noProof/>
          <w:szCs w:val="20"/>
          <w:lang w:val="en-US" w:eastAsia="en-GB"/>
        </w:rPr>
        <w:t xml:space="preserve">Name and address of the technical service: </w:t>
      </w: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ab/>
      </w:r>
    </w:p>
    <w:p w:rsidR="009C13A9" w:rsidRPr="00C903F8" w:rsidRDefault="009C13A9" w:rsidP="009C13A9">
      <w:pPr>
        <w:tabs>
          <w:tab w:val="left" w:leader="dot" w:pos="9072"/>
        </w:tabs>
        <w:ind w:left="709" w:firstLine="0"/>
        <w:jc w:val="left"/>
        <w:rPr>
          <w:rFonts w:cs="Arial"/>
          <w:noProof/>
          <w:szCs w:val="20"/>
          <w:lang w:val="en-US" w:eastAsia="en-GB"/>
        </w:rPr>
      </w:pPr>
      <w:r w:rsidRPr="00C903F8">
        <w:rPr>
          <w:rFonts w:cs="Arial"/>
          <w:noProof/>
          <w:szCs w:val="20"/>
          <w:lang w:val="en-US" w:eastAsia="en-GB"/>
        </w:rPr>
        <w:t xml:space="preserve">Name of inspector: </w:t>
      </w: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 xml:space="preserve">Place and date: </w:t>
      </w: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 xml:space="preserve">Signature: </w:t>
      </w: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p>
    <w:p w:rsidR="009C13A9" w:rsidRPr="00C903F8" w:rsidRDefault="009C13A9" w:rsidP="009C13A9">
      <w:pPr>
        <w:tabs>
          <w:tab w:val="left" w:leader="dot" w:pos="9072"/>
        </w:tabs>
        <w:ind w:left="709" w:firstLine="0"/>
        <w:jc w:val="left"/>
        <w:rPr>
          <w:rFonts w:cs="Arial"/>
          <w:noProof/>
          <w:szCs w:val="20"/>
          <w:lang w:val="en-US" w:eastAsia="en-GB"/>
        </w:rPr>
      </w:pPr>
      <w:r w:rsidRPr="00C903F8">
        <w:rPr>
          <w:rFonts w:cs="Arial"/>
          <w:noProof/>
          <w:szCs w:val="20"/>
          <w:lang w:val="en-US" w:eastAsia="en-GB"/>
        </w:rPr>
        <w:t xml:space="preserve">Test recognised by competent authority: </w:t>
      </w:r>
      <w:r w:rsidRPr="00C903F8">
        <w:rPr>
          <w:rFonts w:cs="Arial"/>
          <w:noProof/>
          <w:szCs w:val="20"/>
          <w:lang w:val="en-US" w:eastAsia="en-GB"/>
        </w:rPr>
        <w:tab/>
      </w:r>
    </w:p>
    <w:p w:rsidR="009C13A9" w:rsidRPr="00C903F8" w:rsidRDefault="009C13A9" w:rsidP="009C13A9">
      <w:pPr>
        <w:tabs>
          <w:tab w:val="left" w:leader="dot" w:pos="9072"/>
        </w:tabs>
        <w:ind w:left="709" w:firstLine="11"/>
        <w:rPr>
          <w:rFonts w:cs="Arial"/>
          <w:noProof/>
          <w:szCs w:val="20"/>
          <w:lang w:val="en-US" w:eastAsia="en-GB"/>
        </w:rPr>
      </w:pP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 xml:space="preserve">Place and date: </w:t>
      </w:r>
      <w:r w:rsidRPr="00C903F8">
        <w:rPr>
          <w:rFonts w:cs="Arial"/>
          <w:noProof/>
          <w:szCs w:val="20"/>
          <w:lang w:val="en-US" w:eastAsia="en-GB"/>
        </w:rPr>
        <w:tab/>
      </w:r>
    </w:p>
    <w:p w:rsidR="009C13A9" w:rsidRPr="00C903F8" w:rsidRDefault="009C13A9" w:rsidP="009C13A9">
      <w:pPr>
        <w:tabs>
          <w:tab w:val="left" w:leader="dot" w:pos="9072"/>
        </w:tabs>
        <w:ind w:left="709" w:firstLine="0"/>
        <w:rPr>
          <w:rFonts w:cs="Arial"/>
          <w:noProof/>
          <w:szCs w:val="20"/>
          <w:lang w:val="en-US" w:eastAsia="en-GB"/>
        </w:rPr>
      </w:pPr>
      <w:r w:rsidRPr="00C903F8">
        <w:rPr>
          <w:rFonts w:cs="Arial"/>
          <w:noProof/>
          <w:szCs w:val="20"/>
          <w:lang w:val="en-US" w:eastAsia="en-GB"/>
        </w:rPr>
        <w:t xml:space="preserve">Signature: </w:t>
      </w:r>
      <w:r w:rsidRPr="00C903F8">
        <w:rPr>
          <w:rFonts w:cs="Arial"/>
          <w:noProof/>
          <w:szCs w:val="20"/>
          <w:lang w:val="en-US" w:eastAsia="en-GB"/>
        </w:rPr>
        <w:tab/>
      </w:r>
    </w:p>
    <w:p w:rsidR="009C13A9" w:rsidRPr="00C903F8" w:rsidRDefault="009C13A9" w:rsidP="009C13A9">
      <w:pPr>
        <w:ind w:left="709" w:firstLine="0"/>
        <w:rPr>
          <w:rFonts w:cs="Arial"/>
          <w:noProof/>
          <w:szCs w:val="20"/>
          <w:lang w:val="en-US" w:eastAsia="en-GB"/>
        </w:rPr>
      </w:pPr>
    </w:p>
    <w:p w:rsidR="009C13A9" w:rsidRPr="00C903F8" w:rsidRDefault="009C13A9" w:rsidP="009C13A9">
      <w:pPr>
        <w:jc w:val="right"/>
        <w:outlineLvl w:val="0"/>
        <w:rPr>
          <w:rFonts w:cs="Arial"/>
          <w:noProof/>
          <w:szCs w:val="20"/>
          <w:lang w:val="en-US"/>
        </w:rPr>
      </w:pPr>
      <w:r w:rsidRPr="00C903F8">
        <w:rPr>
          <w:rFonts w:cs="Arial"/>
          <w:noProof/>
          <w:szCs w:val="20"/>
          <w:lang w:val="en-US"/>
        </w:rPr>
        <w:t>Seal of the competent authority</w:t>
      </w:r>
    </w:p>
    <w:p w:rsidR="009C13A9" w:rsidRPr="00C903F8" w:rsidRDefault="009C13A9" w:rsidP="009C13A9">
      <w:pPr>
        <w:spacing w:line="240" w:lineRule="atLeast"/>
        <w:rPr>
          <w:rFonts w:cs="Arial"/>
          <w:color w:val="000000"/>
          <w:lang w:val="en-US" w:eastAsia="ar-SA"/>
        </w:rPr>
      </w:pPr>
    </w:p>
    <w:p w:rsidR="009C13A9" w:rsidRPr="00C903F8" w:rsidRDefault="009C13A9" w:rsidP="009C13A9">
      <w:pPr>
        <w:spacing w:line="240" w:lineRule="atLeast"/>
        <w:rPr>
          <w:rFonts w:cs="Arial"/>
          <w:color w:val="000000"/>
          <w:lang w:val="en-US" w:eastAsia="ar-SA"/>
        </w:rPr>
      </w:pPr>
    </w:p>
    <w:p w:rsidR="009C13A9" w:rsidRPr="00C903F8" w:rsidRDefault="009C13A9" w:rsidP="009C13A9">
      <w:pPr>
        <w:spacing w:line="240" w:lineRule="atLeast"/>
        <w:rPr>
          <w:rFonts w:cs="Arial"/>
          <w:color w:val="000000"/>
          <w:lang w:val="en-US" w:eastAsia="ar-SA"/>
        </w:rPr>
      </w:pPr>
    </w:p>
    <w:p w:rsidR="009C13A9" w:rsidRPr="00C903F8" w:rsidRDefault="009C13A9" w:rsidP="009C13A9">
      <w:pPr>
        <w:spacing w:line="240" w:lineRule="atLeast"/>
        <w:rPr>
          <w:rFonts w:cs="Arial"/>
          <w:color w:val="000000"/>
          <w:lang w:val="en-US" w:eastAsia="ar-SA"/>
        </w:rPr>
      </w:pPr>
      <w:r w:rsidRPr="00C903F8">
        <w:rPr>
          <w:rFonts w:cs="Arial"/>
          <w:color w:val="000000"/>
          <w:lang w:val="en-US" w:eastAsia="ar-SA"/>
        </w:rPr>
        <w:br w:type="page"/>
      </w:r>
    </w:p>
    <w:p w:rsidR="009C13A9" w:rsidRPr="00C903F8" w:rsidRDefault="009C13A9" w:rsidP="009C13A9">
      <w:pPr>
        <w:suppressAutoHyphens/>
        <w:autoSpaceDE/>
        <w:autoSpaceDN/>
        <w:spacing w:line="240" w:lineRule="atLeast"/>
        <w:ind w:left="0" w:firstLine="0"/>
        <w:jc w:val="center"/>
        <w:rPr>
          <w:rFonts w:cs="Arial"/>
          <w:szCs w:val="22"/>
          <w:lang w:val="en-US" w:eastAsia="ar-SA"/>
        </w:rPr>
      </w:pPr>
      <w:r w:rsidRPr="00C903F8">
        <w:rPr>
          <w:rFonts w:cs="Arial"/>
          <w:b/>
          <w:szCs w:val="22"/>
          <w:lang w:val="en-US" w:eastAsia="ar-SA"/>
        </w:rPr>
        <w:lastRenderedPageBreak/>
        <w:t>Appendix 1</w:t>
      </w:r>
    </w:p>
    <w:p w:rsidR="009C13A9" w:rsidRPr="00C903F8" w:rsidRDefault="009C13A9" w:rsidP="009C13A9">
      <w:pPr>
        <w:suppressAutoHyphens/>
        <w:autoSpaceDE/>
        <w:autoSpaceDN/>
        <w:ind w:left="0" w:firstLine="0"/>
        <w:jc w:val="center"/>
        <w:rPr>
          <w:rFonts w:cs="Arial"/>
          <w:b/>
          <w:lang w:val="en-US" w:eastAsia="ar-SA"/>
        </w:rPr>
      </w:pPr>
      <w:r w:rsidRPr="00C903F8">
        <w:rPr>
          <w:rFonts w:cs="Arial"/>
          <w:b/>
          <w:lang w:val="en-US" w:eastAsia="ar-SA"/>
        </w:rPr>
        <w:t>Annex to the on-board sewage treatment plant parameters record</w:t>
      </w:r>
    </w:p>
    <w:p w:rsidR="009C13A9" w:rsidRPr="00C903F8" w:rsidRDefault="009C13A9" w:rsidP="009C13A9">
      <w:pPr>
        <w:spacing w:line="240" w:lineRule="atLeast"/>
        <w:jc w:val="center"/>
        <w:rPr>
          <w:rFonts w:cs="Arial"/>
          <w:b/>
          <w:color w:val="000000"/>
          <w:lang w:val="nl-NL" w:eastAsia="ar-SA"/>
        </w:rPr>
      </w:pPr>
      <w:r w:rsidRPr="00C903F8">
        <w:rPr>
          <w:rFonts w:cs="Arial"/>
          <w:color w:val="000000"/>
          <w:lang w:val="nl-NL" w:eastAsia="ar-SA"/>
        </w:rPr>
        <w:t>(Model)</w:t>
      </w:r>
    </w:p>
    <w:p w:rsidR="009C13A9" w:rsidRPr="00C903F8" w:rsidRDefault="009C13A9" w:rsidP="009C13A9">
      <w:pPr>
        <w:spacing w:line="240" w:lineRule="atLeast"/>
        <w:rPr>
          <w:rFonts w:cs="Arial"/>
          <w:color w:val="000000"/>
          <w:lang w:val="nl-NL" w:eastAsia="ar-SA"/>
        </w:rPr>
      </w:pPr>
    </w:p>
    <w:tbl>
      <w:tblPr>
        <w:tblW w:w="9215" w:type="dxa"/>
        <w:jc w:val="center"/>
        <w:tblLayout w:type="fixed"/>
        <w:tblCellMar>
          <w:left w:w="70" w:type="dxa"/>
          <w:right w:w="70" w:type="dxa"/>
        </w:tblCellMar>
        <w:tblLook w:val="0000" w:firstRow="0" w:lastRow="0" w:firstColumn="0" w:lastColumn="0" w:noHBand="0" w:noVBand="0"/>
      </w:tblPr>
      <w:tblGrid>
        <w:gridCol w:w="426"/>
        <w:gridCol w:w="850"/>
        <w:gridCol w:w="284"/>
        <w:gridCol w:w="476"/>
        <w:gridCol w:w="1083"/>
        <w:gridCol w:w="43"/>
        <w:gridCol w:w="200"/>
        <w:gridCol w:w="607"/>
        <w:gridCol w:w="709"/>
        <w:gridCol w:w="634"/>
        <w:gridCol w:w="784"/>
        <w:gridCol w:w="298"/>
        <w:gridCol w:w="213"/>
        <w:gridCol w:w="265"/>
        <w:gridCol w:w="216"/>
        <w:gridCol w:w="47"/>
        <w:gridCol w:w="39"/>
        <w:gridCol w:w="1000"/>
        <w:gridCol w:w="1041"/>
      </w:tblGrid>
      <w:tr w:rsidR="009C13A9" w:rsidRPr="00C903F8" w:rsidTr="009C13A9">
        <w:trPr>
          <w:cantSplit/>
          <w:jc w:val="center"/>
        </w:trPr>
        <w:tc>
          <w:tcPr>
            <w:tcW w:w="1560" w:type="dxa"/>
            <w:gridSpan w:val="3"/>
            <w:vAlign w:val="center"/>
          </w:tcPr>
          <w:p w:rsidR="009C13A9" w:rsidRPr="00C903F8" w:rsidRDefault="009C13A9" w:rsidP="009C13A9">
            <w:pPr>
              <w:ind w:left="0" w:firstLine="0"/>
              <w:jc w:val="left"/>
              <w:rPr>
                <w:noProof/>
                <w:szCs w:val="18"/>
              </w:rPr>
            </w:pPr>
            <w:r w:rsidRPr="00C903F8">
              <w:rPr>
                <w:noProof/>
                <w:szCs w:val="18"/>
              </w:rPr>
              <w:t>Name of vessel:</w:t>
            </w:r>
          </w:p>
        </w:tc>
        <w:tc>
          <w:tcPr>
            <w:tcW w:w="1802" w:type="dxa"/>
            <w:gridSpan w:val="4"/>
            <w:vAlign w:val="center"/>
          </w:tcPr>
          <w:p w:rsidR="009C13A9" w:rsidRPr="00C903F8" w:rsidRDefault="009C13A9" w:rsidP="009C13A9">
            <w:pPr>
              <w:ind w:left="0" w:firstLine="0"/>
              <w:rPr>
                <w:noProof/>
                <w:szCs w:val="18"/>
              </w:rPr>
            </w:pPr>
            <w:r w:rsidRPr="00C903F8">
              <w:rPr>
                <w:noProof/>
                <w:szCs w:val="18"/>
              </w:rPr>
              <w:t>……………………</w:t>
            </w:r>
          </w:p>
        </w:tc>
        <w:tc>
          <w:tcPr>
            <w:tcW w:w="3726" w:type="dxa"/>
            <w:gridSpan w:val="8"/>
            <w:vAlign w:val="center"/>
          </w:tcPr>
          <w:p w:rsidR="009C13A9" w:rsidRPr="00C903F8" w:rsidRDefault="009C13A9" w:rsidP="006D37CC">
            <w:pPr>
              <w:ind w:left="0" w:firstLine="0"/>
              <w:jc w:val="left"/>
              <w:rPr>
                <w:noProof/>
                <w:szCs w:val="18"/>
              </w:rPr>
            </w:pPr>
            <w:r w:rsidRPr="00C903F8">
              <w:rPr>
                <w:noProof/>
                <w:szCs w:val="18"/>
              </w:rPr>
              <w:t xml:space="preserve">Unique European </w:t>
            </w:r>
            <w:r w:rsidR="006D37CC" w:rsidRPr="00C903F8">
              <w:rPr>
                <w:noProof/>
                <w:szCs w:val="18"/>
              </w:rPr>
              <w:t>v</w:t>
            </w:r>
            <w:r w:rsidRPr="00C903F8">
              <w:rPr>
                <w:noProof/>
                <w:szCs w:val="18"/>
              </w:rPr>
              <w:t xml:space="preserve">essel </w:t>
            </w:r>
            <w:r w:rsidR="006D37CC" w:rsidRPr="00C903F8">
              <w:rPr>
                <w:noProof/>
                <w:szCs w:val="18"/>
              </w:rPr>
              <w:t>i</w:t>
            </w:r>
            <w:r w:rsidRPr="00C903F8">
              <w:rPr>
                <w:noProof/>
                <w:szCs w:val="18"/>
              </w:rPr>
              <w:t xml:space="preserve">dentification </w:t>
            </w:r>
            <w:r w:rsidR="006D37CC" w:rsidRPr="00C903F8">
              <w:rPr>
                <w:noProof/>
                <w:szCs w:val="18"/>
              </w:rPr>
              <w:t>n</w:t>
            </w:r>
            <w:r w:rsidRPr="00C903F8">
              <w:rPr>
                <w:noProof/>
                <w:szCs w:val="18"/>
              </w:rPr>
              <w:t>umber:</w:t>
            </w:r>
          </w:p>
        </w:tc>
        <w:tc>
          <w:tcPr>
            <w:tcW w:w="2127" w:type="dxa"/>
            <w:gridSpan w:val="4"/>
            <w:vAlign w:val="center"/>
          </w:tcPr>
          <w:p w:rsidR="009C13A9" w:rsidRPr="00C903F8" w:rsidRDefault="009C13A9" w:rsidP="009C13A9">
            <w:pPr>
              <w:tabs>
                <w:tab w:val="left" w:leader="dot" w:pos="1987"/>
              </w:tabs>
              <w:ind w:left="0" w:firstLine="0"/>
              <w:rPr>
                <w:noProof/>
                <w:szCs w:val="18"/>
              </w:rPr>
            </w:pPr>
            <w:r w:rsidRPr="00C903F8">
              <w:rPr>
                <w:noProof/>
                <w:szCs w:val="18"/>
              </w:rPr>
              <w:tab/>
            </w:r>
          </w:p>
        </w:tc>
      </w:tr>
      <w:tr w:rsidR="009C13A9" w:rsidRPr="00C903F8" w:rsidTr="009C13A9">
        <w:trPr>
          <w:cantSplit/>
          <w:trHeight w:hRule="exact" w:val="160"/>
          <w:jc w:val="center"/>
        </w:trPr>
        <w:tc>
          <w:tcPr>
            <w:tcW w:w="9215" w:type="dxa"/>
            <w:gridSpan w:val="19"/>
            <w:vAlign w:val="center"/>
          </w:tcPr>
          <w:p w:rsidR="009C13A9" w:rsidRPr="00C903F8" w:rsidRDefault="009C13A9" w:rsidP="009C13A9">
            <w:pPr>
              <w:rPr>
                <w:noProof/>
              </w:rPr>
            </w:pPr>
          </w:p>
        </w:tc>
      </w:tr>
      <w:tr w:rsidR="009C13A9" w:rsidRPr="00C903F8" w:rsidTr="009C13A9">
        <w:trPr>
          <w:jc w:val="center"/>
        </w:trPr>
        <w:tc>
          <w:tcPr>
            <w:tcW w:w="426" w:type="dxa"/>
            <w:vAlign w:val="center"/>
          </w:tcPr>
          <w:p w:rsidR="009C13A9" w:rsidRPr="00C903F8" w:rsidRDefault="009C13A9" w:rsidP="009C13A9">
            <w:pPr>
              <w:rPr>
                <w:noProof/>
                <w:sz w:val="18"/>
                <w:szCs w:val="18"/>
              </w:rPr>
            </w:pPr>
          </w:p>
        </w:tc>
        <w:tc>
          <w:tcPr>
            <w:tcW w:w="2736" w:type="dxa"/>
            <w:gridSpan w:val="5"/>
            <w:tcBorders>
              <w:left w:val="nil"/>
            </w:tcBorders>
            <w:vAlign w:val="center"/>
          </w:tcPr>
          <w:p w:rsidR="009C13A9" w:rsidRPr="00C903F8" w:rsidRDefault="009C13A9" w:rsidP="009C13A9">
            <w:pPr>
              <w:rPr>
                <w:noProof/>
                <w:sz w:val="18"/>
                <w:szCs w:val="18"/>
              </w:rPr>
            </w:pPr>
          </w:p>
        </w:tc>
        <w:tc>
          <w:tcPr>
            <w:tcW w:w="807" w:type="dxa"/>
            <w:gridSpan w:val="2"/>
            <w:vAlign w:val="center"/>
          </w:tcPr>
          <w:p w:rsidR="009C13A9" w:rsidRPr="00C903F8" w:rsidRDefault="009C13A9" w:rsidP="009C13A9">
            <w:pPr>
              <w:rPr>
                <w:noProof/>
              </w:rPr>
            </w:pPr>
          </w:p>
        </w:tc>
        <w:tc>
          <w:tcPr>
            <w:tcW w:w="2425" w:type="dxa"/>
            <w:gridSpan w:val="4"/>
            <w:tcBorders>
              <w:left w:val="nil"/>
            </w:tcBorders>
            <w:vAlign w:val="center"/>
          </w:tcPr>
          <w:p w:rsidR="009C13A9" w:rsidRPr="00C903F8" w:rsidRDefault="009C13A9" w:rsidP="009C13A9">
            <w:pPr>
              <w:rPr>
                <w:noProof/>
                <w:sz w:val="18"/>
                <w:szCs w:val="18"/>
              </w:rPr>
            </w:pPr>
          </w:p>
        </w:tc>
        <w:tc>
          <w:tcPr>
            <w:tcW w:w="694" w:type="dxa"/>
            <w:gridSpan w:val="3"/>
            <w:vAlign w:val="center"/>
          </w:tcPr>
          <w:p w:rsidR="009C13A9" w:rsidRPr="00C903F8" w:rsidRDefault="009C13A9" w:rsidP="009C13A9">
            <w:pPr>
              <w:rPr>
                <w:noProof/>
                <w:sz w:val="18"/>
                <w:szCs w:val="18"/>
              </w:rPr>
            </w:pPr>
          </w:p>
        </w:tc>
        <w:tc>
          <w:tcPr>
            <w:tcW w:w="2127" w:type="dxa"/>
            <w:gridSpan w:val="4"/>
            <w:tcBorders>
              <w:left w:val="nil"/>
            </w:tcBorders>
            <w:vAlign w:val="center"/>
          </w:tcPr>
          <w:p w:rsidR="009C13A9" w:rsidRPr="00C903F8" w:rsidRDefault="009C13A9" w:rsidP="009C13A9">
            <w:pPr>
              <w:rPr>
                <w:noProof/>
                <w:sz w:val="18"/>
                <w:szCs w:val="18"/>
              </w:rPr>
            </w:pPr>
          </w:p>
        </w:tc>
      </w:tr>
      <w:tr w:rsidR="009C13A9" w:rsidRPr="00C903F8" w:rsidTr="009C13A9">
        <w:tblPrEx>
          <w:tblCellMar>
            <w:left w:w="28" w:type="dxa"/>
            <w:right w:w="28" w:type="dxa"/>
          </w:tblCellMar>
        </w:tblPrEx>
        <w:trPr>
          <w:cantSplit/>
          <w:trHeight w:hRule="exact" w:val="160"/>
          <w:jc w:val="center"/>
        </w:trPr>
        <w:tc>
          <w:tcPr>
            <w:tcW w:w="9215" w:type="dxa"/>
            <w:gridSpan w:val="19"/>
            <w:vAlign w:val="center"/>
          </w:tcPr>
          <w:p w:rsidR="009C13A9" w:rsidRPr="00C903F8" w:rsidRDefault="009C13A9" w:rsidP="009C13A9">
            <w:pPr>
              <w:rPr>
                <w:noProof/>
              </w:rPr>
            </w:pPr>
          </w:p>
        </w:tc>
      </w:tr>
      <w:tr w:rsidR="009C13A9" w:rsidRPr="00C903F8" w:rsidTr="009C13A9">
        <w:tblPrEx>
          <w:tblCellMar>
            <w:left w:w="28" w:type="dxa"/>
            <w:right w:w="28" w:type="dxa"/>
          </w:tblCellMar>
        </w:tblPrEx>
        <w:trPr>
          <w:jc w:val="center"/>
        </w:trPr>
        <w:tc>
          <w:tcPr>
            <w:tcW w:w="1276" w:type="dxa"/>
            <w:gridSpan w:val="2"/>
            <w:vAlign w:val="center"/>
          </w:tcPr>
          <w:p w:rsidR="009C13A9" w:rsidRPr="00C903F8" w:rsidRDefault="009C13A9" w:rsidP="009C13A9">
            <w:pPr>
              <w:ind w:left="0" w:firstLine="0"/>
              <w:rPr>
                <w:noProof/>
                <w:szCs w:val="18"/>
              </w:rPr>
            </w:pPr>
            <w:r w:rsidRPr="00C903F8">
              <w:rPr>
                <w:noProof/>
                <w:szCs w:val="18"/>
              </w:rPr>
              <w:t>Manufacturer:</w:t>
            </w:r>
          </w:p>
        </w:tc>
        <w:tc>
          <w:tcPr>
            <w:tcW w:w="3402" w:type="dxa"/>
            <w:gridSpan w:val="7"/>
            <w:vAlign w:val="center"/>
          </w:tcPr>
          <w:p w:rsidR="009C13A9" w:rsidRPr="00C903F8" w:rsidRDefault="009C13A9" w:rsidP="009C13A9">
            <w:pPr>
              <w:ind w:left="0" w:firstLine="0"/>
              <w:rPr>
                <w:noProof/>
                <w:szCs w:val="18"/>
              </w:rPr>
            </w:pPr>
            <w:r w:rsidRPr="00C903F8">
              <w:rPr>
                <w:noProof/>
                <w:szCs w:val="18"/>
              </w:rPr>
              <w:t>………………………………………….</w:t>
            </w:r>
          </w:p>
        </w:tc>
        <w:tc>
          <w:tcPr>
            <w:tcW w:w="1929" w:type="dxa"/>
            <w:gridSpan w:val="4"/>
            <w:vAlign w:val="center"/>
          </w:tcPr>
          <w:p w:rsidR="009C13A9" w:rsidRPr="00C903F8" w:rsidRDefault="009C13A9" w:rsidP="009C13A9">
            <w:pPr>
              <w:ind w:left="0" w:firstLine="0"/>
              <w:rPr>
                <w:noProof/>
                <w:szCs w:val="18"/>
              </w:rPr>
            </w:pPr>
            <w:r w:rsidRPr="00C903F8">
              <w:rPr>
                <w:noProof/>
                <w:szCs w:val="18"/>
              </w:rPr>
              <w:t>Plant type:</w:t>
            </w:r>
          </w:p>
        </w:tc>
        <w:tc>
          <w:tcPr>
            <w:tcW w:w="2608" w:type="dxa"/>
            <w:gridSpan w:val="6"/>
            <w:vAlign w:val="center"/>
          </w:tcPr>
          <w:p w:rsidR="009C13A9" w:rsidRPr="00C903F8" w:rsidRDefault="009C13A9" w:rsidP="009C13A9">
            <w:pPr>
              <w:tabs>
                <w:tab w:val="left" w:leader="dot" w:pos="2552"/>
              </w:tabs>
              <w:ind w:left="0" w:firstLine="0"/>
              <w:rPr>
                <w:noProof/>
                <w:szCs w:val="18"/>
              </w:rPr>
            </w:pPr>
            <w:r w:rsidRPr="00C903F8">
              <w:rPr>
                <w:noProof/>
                <w:szCs w:val="18"/>
              </w:rPr>
              <w:tab/>
            </w:r>
          </w:p>
        </w:tc>
      </w:tr>
      <w:tr w:rsidR="009C13A9" w:rsidRPr="00C903F8" w:rsidTr="009C13A9">
        <w:tblPrEx>
          <w:tblCellMar>
            <w:left w:w="28" w:type="dxa"/>
            <w:right w:w="28" w:type="dxa"/>
          </w:tblCellMar>
        </w:tblPrEx>
        <w:trPr>
          <w:jc w:val="center"/>
        </w:trPr>
        <w:tc>
          <w:tcPr>
            <w:tcW w:w="1276" w:type="dxa"/>
            <w:gridSpan w:val="2"/>
            <w:vAlign w:val="center"/>
          </w:tcPr>
          <w:p w:rsidR="009C13A9" w:rsidRPr="00C903F8" w:rsidRDefault="009C13A9" w:rsidP="009C13A9">
            <w:pPr>
              <w:rPr>
                <w:noProof/>
              </w:rPr>
            </w:pPr>
          </w:p>
        </w:tc>
        <w:tc>
          <w:tcPr>
            <w:tcW w:w="3402" w:type="dxa"/>
            <w:gridSpan w:val="7"/>
            <w:tcBorders>
              <w:bottom w:val="nil"/>
            </w:tcBorders>
            <w:vAlign w:val="center"/>
          </w:tcPr>
          <w:p w:rsidR="009C13A9" w:rsidRPr="00C903F8" w:rsidRDefault="009C13A9" w:rsidP="009C13A9">
            <w:pPr>
              <w:rPr>
                <w:noProof/>
                <w:sz w:val="12"/>
                <w:szCs w:val="12"/>
                <w:lang w:val="en-US"/>
              </w:rPr>
            </w:pPr>
            <w:r w:rsidRPr="00C903F8">
              <w:rPr>
                <w:noProof/>
                <w:sz w:val="12"/>
                <w:szCs w:val="12"/>
                <w:lang w:val="en-US"/>
              </w:rPr>
              <w:t>(Make/trademark/manufacturer's trade name)</w:t>
            </w:r>
          </w:p>
        </w:tc>
        <w:tc>
          <w:tcPr>
            <w:tcW w:w="1929" w:type="dxa"/>
            <w:gridSpan w:val="4"/>
            <w:vAlign w:val="center"/>
          </w:tcPr>
          <w:p w:rsidR="009C13A9" w:rsidRPr="00C903F8" w:rsidRDefault="009C13A9" w:rsidP="009C13A9">
            <w:pPr>
              <w:rPr>
                <w:noProof/>
                <w:lang w:val="en-US"/>
              </w:rPr>
            </w:pPr>
          </w:p>
        </w:tc>
        <w:tc>
          <w:tcPr>
            <w:tcW w:w="2608" w:type="dxa"/>
            <w:gridSpan w:val="6"/>
            <w:tcBorders>
              <w:bottom w:val="nil"/>
            </w:tcBorders>
            <w:vAlign w:val="center"/>
          </w:tcPr>
          <w:p w:rsidR="009C13A9" w:rsidRPr="00C903F8" w:rsidRDefault="009C13A9" w:rsidP="009C13A9">
            <w:pPr>
              <w:rPr>
                <w:noProof/>
                <w:sz w:val="12"/>
                <w:szCs w:val="12"/>
              </w:rPr>
            </w:pPr>
            <w:r w:rsidRPr="00C903F8">
              <w:rPr>
                <w:noProof/>
                <w:sz w:val="12"/>
                <w:szCs w:val="12"/>
              </w:rPr>
              <w:t>(Manufacturer's designation)</w:t>
            </w:r>
          </w:p>
        </w:tc>
      </w:tr>
      <w:tr w:rsidR="009C13A9" w:rsidRPr="00C903F8" w:rsidTr="009C13A9">
        <w:tblPrEx>
          <w:tblCellMar>
            <w:left w:w="28" w:type="dxa"/>
            <w:right w:w="28" w:type="dxa"/>
          </w:tblCellMar>
        </w:tblPrEx>
        <w:trPr>
          <w:cantSplit/>
          <w:trHeight w:hRule="exact" w:val="160"/>
          <w:jc w:val="center"/>
        </w:trPr>
        <w:tc>
          <w:tcPr>
            <w:tcW w:w="9215" w:type="dxa"/>
            <w:gridSpan w:val="19"/>
            <w:vAlign w:val="center"/>
          </w:tcPr>
          <w:p w:rsidR="009C13A9" w:rsidRPr="00C903F8" w:rsidRDefault="009C13A9" w:rsidP="009C13A9">
            <w:pPr>
              <w:rPr>
                <w:noProof/>
              </w:rPr>
            </w:pPr>
          </w:p>
        </w:tc>
      </w:tr>
      <w:tr w:rsidR="009C13A9" w:rsidRPr="00296858" w:rsidTr="009C13A9">
        <w:tblPrEx>
          <w:tblCellMar>
            <w:left w:w="28" w:type="dxa"/>
            <w:right w:w="28" w:type="dxa"/>
          </w:tblCellMar>
        </w:tblPrEx>
        <w:trPr>
          <w:cantSplit/>
          <w:jc w:val="center"/>
        </w:trPr>
        <w:tc>
          <w:tcPr>
            <w:tcW w:w="2036" w:type="dxa"/>
            <w:gridSpan w:val="4"/>
            <w:vAlign w:val="center"/>
          </w:tcPr>
          <w:p w:rsidR="009C13A9" w:rsidRPr="00C903F8" w:rsidRDefault="009C13A9" w:rsidP="009C13A9">
            <w:pPr>
              <w:ind w:left="0" w:firstLine="0"/>
              <w:rPr>
                <w:noProof/>
                <w:szCs w:val="18"/>
              </w:rPr>
            </w:pPr>
            <w:r w:rsidRPr="00C903F8">
              <w:rPr>
                <w:noProof/>
                <w:szCs w:val="18"/>
              </w:rPr>
              <w:t>Type approval No.:</w:t>
            </w:r>
          </w:p>
        </w:tc>
        <w:tc>
          <w:tcPr>
            <w:tcW w:w="3276" w:type="dxa"/>
            <w:gridSpan w:val="6"/>
            <w:vAlign w:val="center"/>
          </w:tcPr>
          <w:p w:rsidR="009C13A9" w:rsidRPr="00C903F8" w:rsidRDefault="009C13A9" w:rsidP="009C13A9">
            <w:pPr>
              <w:ind w:left="0" w:firstLine="0"/>
              <w:rPr>
                <w:noProof/>
                <w:szCs w:val="18"/>
              </w:rPr>
            </w:pPr>
            <w:r w:rsidRPr="00C903F8">
              <w:rPr>
                <w:noProof/>
                <w:szCs w:val="18"/>
              </w:rPr>
              <w:t>………………………………………..</w:t>
            </w:r>
          </w:p>
        </w:tc>
        <w:tc>
          <w:tcPr>
            <w:tcW w:w="1862" w:type="dxa"/>
            <w:gridSpan w:val="7"/>
            <w:vAlign w:val="center"/>
          </w:tcPr>
          <w:p w:rsidR="009C13A9" w:rsidRPr="00C903F8" w:rsidRDefault="009C13A9" w:rsidP="009C13A9">
            <w:pPr>
              <w:ind w:left="0" w:firstLine="0"/>
              <w:jc w:val="left"/>
              <w:rPr>
                <w:noProof/>
                <w:szCs w:val="18"/>
                <w:lang w:val="en-US"/>
              </w:rPr>
            </w:pPr>
            <w:r w:rsidRPr="00C903F8">
              <w:rPr>
                <w:noProof/>
                <w:szCs w:val="18"/>
                <w:lang w:val="en-US"/>
              </w:rPr>
              <w:t>Year of construction of on-board sewage treatment plant:</w:t>
            </w:r>
          </w:p>
        </w:tc>
        <w:tc>
          <w:tcPr>
            <w:tcW w:w="2041" w:type="dxa"/>
            <w:gridSpan w:val="2"/>
            <w:vAlign w:val="center"/>
          </w:tcPr>
          <w:p w:rsidR="009C13A9" w:rsidRPr="00C903F8" w:rsidRDefault="009C13A9" w:rsidP="009C13A9">
            <w:pPr>
              <w:tabs>
                <w:tab w:val="left" w:leader="dot" w:pos="1942"/>
              </w:tabs>
              <w:ind w:left="0" w:firstLine="0"/>
              <w:rPr>
                <w:noProof/>
                <w:szCs w:val="18"/>
                <w:lang w:val="en-US"/>
              </w:rPr>
            </w:pPr>
            <w:r w:rsidRPr="00C903F8">
              <w:rPr>
                <w:noProof/>
                <w:szCs w:val="18"/>
                <w:lang w:val="en-US"/>
              </w:rPr>
              <w:tab/>
            </w:r>
          </w:p>
        </w:tc>
      </w:tr>
      <w:tr w:rsidR="009C13A9" w:rsidRPr="00296858" w:rsidTr="009C13A9">
        <w:tblPrEx>
          <w:tblCellMar>
            <w:left w:w="28" w:type="dxa"/>
            <w:right w:w="28" w:type="dxa"/>
          </w:tblCellMar>
        </w:tblPrEx>
        <w:trPr>
          <w:cantSplit/>
          <w:trHeight w:hRule="exact" w:val="160"/>
          <w:jc w:val="center"/>
        </w:trPr>
        <w:tc>
          <w:tcPr>
            <w:tcW w:w="9215" w:type="dxa"/>
            <w:gridSpan w:val="19"/>
            <w:vAlign w:val="center"/>
          </w:tcPr>
          <w:p w:rsidR="009C13A9" w:rsidRPr="00C903F8" w:rsidRDefault="009C13A9" w:rsidP="009C13A9">
            <w:pPr>
              <w:ind w:left="0" w:firstLine="0"/>
              <w:rPr>
                <w:noProof/>
                <w:lang w:val="en-US"/>
              </w:rPr>
            </w:pPr>
          </w:p>
        </w:tc>
      </w:tr>
      <w:tr w:rsidR="009C13A9" w:rsidRPr="00C903F8" w:rsidTr="009C13A9">
        <w:tblPrEx>
          <w:tblCellMar>
            <w:left w:w="28" w:type="dxa"/>
            <w:right w:w="28" w:type="dxa"/>
          </w:tblCellMar>
        </w:tblPrEx>
        <w:trPr>
          <w:cantSplit/>
          <w:jc w:val="center"/>
        </w:trPr>
        <w:tc>
          <w:tcPr>
            <w:tcW w:w="2036" w:type="dxa"/>
            <w:gridSpan w:val="4"/>
            <w:vAlign w:val="center"/>
          </w:tcPr>
          <w:p w:rsidR="009C13A9" w:rsidRPr="00C903F8" w:rsidRDefault="009C13A9" w:rsidP="00433D99">
            <w:pPr>
              <w:ind w:left="0" w:firstLine="0"/>
              <w:jc w:val="left"/>
              <w:rPr>
                <w:noProof/>
                <w:szCs w:val="18"/>
                <w:lang w:val="en-US"/>
              </w:rPr>
            </w:pPr>
            <w:r w:rsidRPr="00C903F8">
              <w:rPr>
                <w:noProof/>
                <w:szCs w:val="18"/>
                <w:lang w:val="en-US"/>
              </w:rPr>
              <w:t>Serial number of on</w:t>
            </w:r>
            <w:r w:rsidR="00433D99" w:rsidRPr="00C903F8">
              <w:rPr>
                <w:noProof/>
                <w:szCs w:val="18"/>
                <w:lang w:val="en-US"/>
              </w:rPr>
              <w:t>­</w:t>
            </w:r>
            <w:r w:rsidRPr="00C903F8">
              <w:rPr>
                <w:noProof/>
                <w:szCs w:val="18"/>
                <w:lang w:val="en-US"/>
              </w:rPr>
              <w:t>board sewage treatment plant:</w:t>
            </w:r>
          </w:p>
        </w:tc>
        <w:tc>
          <w:tcPr>
            <w:tcW w:w="3276" w:type="dxa"/>
            <w:gridSpan w:val="6"/>
            <w:vAlign w:val="center"/>
          </w:tcPr>
          <w:p w:rsidR="009C13A9" w:rsidRPr="00C903F8" w:rsidRDefault="009C13A9" w:rsidP="009C13A9">
            <w:pPr>
              <w:ind w:left="0" w:firstLine="0"/>
              <w:rPr>
                <w:noProof/>
                <w:szCs w:val="18"/>
              </w:rPr>
            </w:pPr>
            <w:r w:rsidRPr="00C903F8">
              <w:rPr>
                <w:noProof/>
                <w:szCs w:val="18"/>
              </w:rPr>
              <w:t>………………………………………..</w:t>
            </w:r>
          </w:p>
        </w:tc>
        <w:tc>
          <w:tcPr>
            <w:tcW w:w="1560" w:type="dxa"/>
            <w:gridSpan w:val="4"/>
            <w:vAlign w:val="center"/>
          </w:tcPr>
          <w:p w:rsidR="009C13A9" w:rsidRPr="00C903F8" w:rsidRDefault="009C13A9" w:rsidP="009C13A9">
            <w:pPr>
              <w:ind w:left="0" w:firstLine="0"/>
              <w:jc w:val="left"/>
              <w:rPr>
                <w:noProof/>
                <w:szCs w:val="18"/>
              </w:rPr>
            </w:pPr>
            <w:r w:rsidRPr="00C903F8">
              <w:rPr>
                <w:noProof/>
                <w:szCs w:val="18"/>
              </w:rPr>
              <w:t>Site of installation:</w:t>
            </w:r>
          </w:p>
        </w:tc>
        <w:tc>
          <w:tcPr>
            <w:tcW w:w="2343" w:type="dxa"/>
            <w:gridSpan w:val="5"/>
            <w:vAlign w:val="center"/>
          </w:tcPr>
          <w:p w:rsidR="009C13A9" w:rsidRPr="00C903F8" w:rsidRDefault="009C13A9" w:rsidP="009C13A9">
            <w:pPr>
              <w:tabs>
                <w:tab w:val="left" w:leader="dot" w:pos="2244"/>
              </w:tabs>
              <w:ind w:left="0" w:firstLine="0"/>
              <w:rPr>
                <w:noProof/>
                <w:szCs w:val="18"/>
              </w:rPr>
            </w:pPr>
            <w:r w:rsidRPr="00C903F8">
              <w:rPr>
                <w:noProof/>
                <w:szCs w:val="18"/>
              </w:rPr>
              <w:tab/>
            </w:r>
          </w:p>
        </w:tc>
      </w:tr>
      <w:tr w:rsidR="009C13A9" w:rsidRPr="00C903F8" w:rsidTr="009C13A9">
        <w:tblPrEx>
          <w:tblCellMar>
            <w:left w:w="28" w:type="dxa"/>
            <w:right w:w="28" w:type="dxa"/>
          </w:tblCellMar>
        </w:tblPrEx>
        <w:trPr>
          <w:cantSplit/>
          <w:jc w:val="center"/>
        </w:trPr>
        <w:tc>
          <w:tcPr>
            <w:tcW w:w="2036" w:type="dxa"/>
            <w:gridSpan w:val="4"/>
            <w:vAlign w:val="center"/>
          </w:tcPr>
          <w:p w:rsidR="009C13A9" w:rsidRPr="00C903F8" w:rsidRDefault="009C13A9" w:rsidP="009C13A9">
            <w:pPr>
              <w:rPr>
                <w:noProof/>
              </w:rPr>
            </w:pPr>
          </w:p>
        </w:tc>
        <w:tc>
          <w:tcPr>
            <w:tcW w:w="7179" w:type="dxa"/>
            <w:gridSpan w:val="15"/>
            <w:tcBorders>
              <w:bottom w:val="nil"/>
            </w:tcBorders>
            <w:vAlign w:val="center"/>
          </w:tcPr>
          <w:p w:rsidR="009C13A9" w:rsidRPr="00C903F8" w:rsidRDefault="009C13A9" w:rsidP="009C13A9">
            <w:pPr>
              <w:rPr>
                <w:noProof/>
                <w:sz w:val="12"/>
                <w:szCs w:val="12"/>
              </w:rPr>
            </w:pPr>
            <w:r w:rsidRPr="00C903F8">
              <w:rPr>
                <w:noProof/>
                <w:sz w:val="12"/>
                <w:szCs w:val="12"/>
              </w:rPr>
              <w:t xml:space="preserve"> (Serial number)</w:t>
            </w:r>
          </w:p>
        </w:tc>
      </w:tr>
      <w:tr w:rsidR="009C13A9" w:rsidRPr="00C903F8" w:rsidTr="009C13A9">
        <w:tblPrEx>
          <w:tblCellMar>
            <w:left w:w="28" w:type="dxa"/>
            <w:right w:w="28" w:type="dxa"/>
          </w:tblCellMar>
        </w:tblPrEx>
        <w:trPr>
          <w:cantSplit/>
          <w:trHeight w:hRule="exact" w:val="160"/>
          <w:jc w:val="center"/>
        </w:trPr>
        <w:tc>
          <w:tcPr>
            <w:tcW w:w="9215" w:type="dxa"/>
            <w:gridSpan w:val="19"/>
            <w:vAlign w:val="center"/>
          </w:tcPr>
          <w:p w:rsidR="009C13A9" w:rsidRPr="00C903F8" w:rsidRDefault="009C13A9" w:rsidP="009C13A9">
            <w:pPr>
              <w:rPr>
                <w:noProof/>
              </w:rPr>
            </w:pPr>
          </w:p>
        </w:tc>
      </w:tr>
      <w:tr w:rsidR="009C13A9" w:rsidRPr="00296858" w:rsidTr="009C13A9">
        <w:tblPrEx>
          <w:tblCellMar>
            <w:left w:w="28" w:type="dxa"/>
            <w:right w:w="28" w:type="dxa"/>
          </w:tblCellMar>
        </w:tblPrEx>
        <w:trPr>
          <w:cantSplit/>
          <w:jc w:val="center"/>
        </w:trPr>
        <w:tc>
          <w:tcPr>
            <w:tcW w:w="9215" w:type="dxa"/>
            <w:gridSpan w:val="19"/>
            <w:vAlign w:val="center"/>
          </w:tcPr>
          <w:p w:rsidR="009C13A9" w:rsidRPr="00C903F8" w:rsidRDefault="009C13A9" w:rsidP="00E43E4C">
            <w:pPr>
              <w:ind w:left="0" w:firstLine="0"/>
              <w:rPr>
                <w:noProof/>
                <w:szCs w:val="20"/>
                <w:lang w:val="en-US"/>
              </w:rPr>
            </w:pPr>
            <w:r w:rsidRPr="00C903F8">
              <w:rPr>
                <w:noProof/>
                <w:szCs w:val="20"/>
                <w:lang w:val="en-US"/>
              </w:rPr>
              <w:t>The on-board sewage treatment plant and its treatment</w:t>
            </w:r>
            <w:r w:rsidR="00E43E4C" w:rsidRPr="00C903F8">
              <w:rPr>
                <w:noProof/>
                <w:szCs w:val="20"/>
                <w:lang w:val="en-US"/>
              </w:rPr>
              <w:t>-</w:t>
            </w:r>
            <w:r w:rsidRPr="00C903F8">
              <w:rPr>
                <w:noProof/>
                <w:szCs w:val="20"/>
                <w:lang w:val="en-US"/>
              </w:rPr>
              <w:t xml:space="preserve">relevant components were identified from the data plate. The test was carried out on the basis of the manufacturer’s guide to checking the plant components and parameters relevant to sewage treatment. </w:t>
            </w:r>
          </w:p>
        </w:tc>
      </w:tr>
      <w:tr w:rsidR="009C13A9" w:rsidRPr="00296858" w:rsidTr="009C13A9">
        <w:tblPrEx>
          <w:tblCellMar>
            <w:left w:w="28" w:type="dxa"/>
            <w:right w:w="28" w:type="dxa"/>
          </w:tblCellMar>
        </w:tblPrEx>
        <w:trPr>
          <w:cantSplit/>
          <w:jc w:val="center"/>
        </w:trPr>
        <w:tc>
          <w:tcPr>
            <w:tcW w:w="9215" w:type="dxa"/>
            <w:gridSpan w:val="19"/>
            <w:vAlign w:val="center"/>
          </w:tcPr>
          <w:p w:rsidR="009C13A9" w:rsidRPr="00C903F8" w:rsidRDefault="009C13A9" w:rsidP="009C13A9">
            <w:pPr>
              <w:rPr>
                <w:noProof/>
                <w:szCs w:val="20"/>
                <w:lang w:val="en-US"/>
              </w:rPr>
            </w:pPr>
          </w:p>
        </w:tc>
      </w:tr>
      <w:tr w:rsidR="009C13A9" w:rsidRPr="00296858" w:rsidTr="009C13A9">
        <w:trPr>
          <w:cantSplit/>
          <w:jc w:val="center"/>
        </w:trPr>
        <w:tc>
          <w:tcPr>
            <w:tcW w:w="9215" w:type="dxa"/>
            <w:gridSpan w:val="19"/>
            <w:vAlign w:val="center"/>
          </w:tcPr>
          <w:p w:rsidR="009C13A9" w:rsidRPr="00C903F8" w:rsidRDefault="009C13A9" w:rsidP="009C13A9">
            <w:pPr>
              <w:rPr>
                <w:b/>
                <w:noProof/>
                <w:szCs w:val="20"/>
                <w:lang w:val="en-US"/>
              </w:rPr>
            </w:pPr>
            <w:r w:rsidRPr="00C903F8">
              <w:rPr>
                <w:b/>
                <w:noProof/>
                <w:szCs w:val="20"/>
                <w:lang w:val="en-US"/>
              </w:rPr>
              <w:t>A.</w:t>
            </w:r>
            <w:r w:rsidRPr="00C903F8">
              <w:rPr>
                <w:b/>
                <w:noProof/>
                <w:szCs w:val="20"/>
                <w:lang w:val="en-US"/>
              </w:rPr>
              <w:tab/>
              <w:t>Component testing</w:t>
            </w:r>
          </w:p>
          <w:p w:rsidR="009C13A9" w:rsidRPr="00C903F8" w:rsidRDefault="009C13A9" w:rsidP="009C13A9">
            <w:pPr>
              <w:ind w:firstLine="3"/>
              <w:rPr>
                <w:noProof/>
                <w:szCs w:val="20"/>
                <w:lang w:val="en-US"/>
              </w:rPr>
            </w:pPr>
          </w:p>
          <w:p w:rsidR="009C13A9" w:rsidRPr="00C903F8" w:rsidRDefault="009C13A9" w:rsidP="009C13A9">
            <w:pPr>
              <w:ind w:firstLine="3"/>
              <w:rPr>
                <w:noProof/>
                <w:szCs w:val="20"/>
                <w:lang w:val="en-US"/>
              </w:rPr>
            </w:pPr>
            <w:r w:rsidRPr="00C903F8">
              <w:rPr>
                <w:noProof/>
                <w:szCs w:val="20"/>
                <w:lang w:val="en-US"/>
              </w:rPr>
              <w:t>Additional treatment</w:t>
            </w:r>
            <w:r w:rsidR="00E43E4C" w:rsidRPr="00C903F8">
              <w:rPr>
                <w:noProof/>
                <w:szCs w:val="20"/>
                <w:lang w:val="en-US"/>
              </w:rPr>
              <w:t>-</w:t>
            </w:r>
            <w:r w:rsidRPr="00C903F8">
              <w:rPr>
                <w:noProof/>
                <w:szCs w:val="20"/>
                <w:lang w:val="en-US"/>
              </w:rPr>
              <w:t xml:space="preserve">relevant components which are listed in the manufacturer’s guide to checking the plant components and parameters relevant to sewage treatment or </w:t>
            </w:r>
            <w:r w:rsidR="00925755" w:rsidRPr="00C903F8">
              <w:rPr>
                <w:noProof/>
                <w:szCs w:val="20"/>
                <w:lang w:val="en-US"/>
              </w:rPr>
              <w:t>Section</w:t>
            </w:r>
            <w:r w:rsidRPr="00C903F8">
              <w:rPr>
                <w:noProof/>
                <w:szCs w:val="20"/>
                <w:lang w:val="en-US"/>
              </w:rPr>
              <w:t xml:space="preserve"> II Appendix</w:t>
            </w:r>
            <w:r w:rsidR="008A3881" w:rsidRPr="00C903F8">
              <w:rPr>
                <w:noProof/>
                <w:szCs w:val="20"/>
                <w:lang w:val="en-US"/>
              </w:rPr>
              <w:t> </w:t>
            </w:r>
            <w:r w:rsidRPr="00C903F8">
              <w:rPr>
                <w:noProof/>
                <w:szCs w:val="20"/>
                <w:lang w:val="en-US"/>
              </w:rPr>
              <w:t>4 are to be entered here.</w:t>
            </w:r>
          </w:p>
          <w:p w:rsidR="009C13A9" w:rsidRPr="00C903F8" w:rsidRDefault="009C13A9" w:rsidP="009C13A9">
            <w:pPr>
              <w:rPr>
                <w:noProof/>
                <w:szCs w:val="20"/>
                <w:lang w:val="en-US"/>
              </w:rPr>
            </w:pPr>
          </w:p>
        </w:tc>
      </w:tr>
      <w:tr w:rsidR="009C13A9" w:rsidRPr="00C903F8" w:rsidTr="009C13A9">
        <w:trPr>
          <w:jc w:val="center"/>
        </w:trPr>
        <w:tc>
          <w:tcPr>
            <w:tcW w:w="426" w:type="dxa"/>
            <w:tcBorders>
              <w:right w:val="single" w:sz="4" w:space="0" w:color="auto"/>
            </w:tcBorders>
            <w:vAlign w:val="center"/>
          </w:tcPr>
          <w:p w:rsidR="009C13A9" w:rsidRPr="00C903F8" w:rsidRDefault="009C13A9" w:rsidP="009C13A9">
            <w:pPr>
              <w:spacing w:before="60" w:after="60" w:line="240" w:lineRule="atLeast"/>
              <w:rPr>
                <w:noProof/>
                <w:sz w:val="18"/>
                <w:szCs w:val="18"/>
                <w:lang w:val="en-US"/>
              </w:rPr>
            </w:pPr>
          </w:p>
        </w:tc>
        <w:tc>
          <w:tcPr>
            <w:tcW w:w="2693" w:type="dxa"/>
            <w:gridSpan w:val="4"/>
            <w:tcBorders>
              <w:top w:val="single" w:sz="4" w:space="0" w:color="auto"/>
              <w:left w:val="nil"/>
              <w:bottom w:val="single" w:sz="4" w:space="0" w:color="auto"/>
              <w:right w:val="single" w:sz="4" w:space="0" w:color="auto"/>
            </w:tcBorders>
            <w:vAlign w:val="center"/>
          </w:tcPr>
          <w:p w:rsidR="009C13A9" w:rsidRPr="00C903F8" w:rsidRDefault="009C13A9" w:rsidP="009C13A9">
            <w:pPr>
              <w:spacing w:before="60" w:after="60" w:line="240" w:lineRule="atLeast"/>
              <w:jc w:val="center"/>
              <w:rPr>
                <w:noProof/>
                <w:sz w:val="18"/>
                <w:szCs w:val="18"/>
              </w:rPr>
            </w:pPr>
            <w:r w:rsidRPr="00C903F8">
              <w:rPr>
                <w:noProof/>
                <w:sz w:val="18"/>
                <w:szCs w:val="18"/>
              </w:rPr>
              <w:t>Component</w:t>
            </w:r>
          </w:p>
        </w:tc>
        <w:tc>
          <w:tcPr>
            <w:tcW w:w="2977" w:type="dxa"/>
            <w:gridSpan w:val="6"/>
            <w:tcBorders>
              <w:top w:val="single" w:sz="4" w:space="0" w:color="auto"/>
              <w:left w:val="nil"/>
              <w:bottom w:val="single" w:sz="4" w:space="0" w:color="auto"/>
              <w:right w:val="single" w:sz="4" w:space="0" w:color="auto"/>
            </w:tcBorders>
            <w:vAlign w:val="center"/>
          </w:tcPr>
          <w:p w:rsidR="009C13A9" w:rsidRPr="00C903F8" w:rsidRDefault="009C13A9" w:rsidP="009C13A9">
            <w:pPr>
              <w:spacing w:before="60" w:after="60" w:line="240" w:lineRule="atLeast"/>
              <w:jc w:val="center"/>
              <w:rPr>
                <w:bCs/>
                <w:noProof/>
                <w:sz w:val="18"/>
                <w:szCs w:val="18"/>
              </w:rPr>
            </w:pPr>
            <w:r w:rsidRPr="00C903F8">
              <w:rPr>
                <w:bCs/>
                <w:noProof/>
                <w:sz w:val="18"/>
                <w:szCs w:val="18"/>
              </w:rPr>
              <w:t>Identified component number</w:t>
            </w:r>
          </w:p>
        </w:tc>
        <w:tc>
          <w:tcPr>
            <w:tcW w:w="3119" w:type="dxa"/>
            <w:gridSpan w:val="8"/>
            <w:tcBorders>
              <w:top w:val="single" w:sz="4" w:space="0" w:color="auto"/>
              <w:left w:val="nil"/>
              <w:bottom w:val="single" w:sz="4" w:space="0" w:color="auto"/>
              <w:right w:val="single" w:sz="4" w:space="0" w:color="auto"/>
            </w:tcBorders>
            <w:vAlign w:val="center"/>
          </w:tcPr>
          <w:p w:rsidR="009C13A9" w:rsidRPr="00C903F8" w:rsidRDefault="009C13A9" w:rsidP="009C13A9">
            <w:pPr>
              <w:spacing w:before="60" w:after="60" w:line="240" w:lineRule="atLeast"/>
              <w:jc w:val="center"/>
              <w:rPr>
                <w:b/>
                <w:noProof/>
                <w:sz w:val="18"/>
                <w:szCs w:val="18"/>
              </w:rPr>
            </w:pPr>
            <w:r w:rsidRPr="00C903F8">
              <w:rPr>
                <w:noProof/>
                <w:sz w:val="18"/>
                <w:szCs w:val="18"/>
              </w:rPr>
              <w:t>Conformity</w:t>
            </w:r>
            <w:r w:rsidRPr="00C903F8">
              <w:rPr>
                <w:noProof/>
                <w:vertAlign w:val="superscript"/>
              </w:rPr>
              <w:footnoteReference w:id="73"/>
            </w:r>
          </w:p>
        </w:tc>
      </w:tr>
      <w:tr w:rsidR="009C13A9" w:rsidRPr="00C903F8" w:rsidTr="009C1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9C13A9" w:rsidRPr="00C903F8" w:rsidRDefault="009C13A9" w:rsidP="009C13A9">
            <w:pPr>
              <w:spacing w:before="60" w:after="60" w:line="240" w:lineRule="atLeast"/>
              <w:rPr>
                <w:noProof/>
                <w:sz w:val="18"/>
                <w:szCs w:val="18"/>
              </w:rPr>
            </w:pPr>
          </w:p>
        </w:tc>
        <w:tc>
          <w:tcPr>
            <w:tcW w:w="2693" w:type="dxa"/>
            <w:gridSpan w:val="4"/>
            <w:tcBorders>
              <w:top w:val="nil"/>
              <w:left w:val="nil"/>
            </w:tcBorders>
            <w:vAlign w:val="center"/>
          </w:tcPr>
          <w:p w:rsidR="009C13A9" w:rsidRPr="00C903F8" w:rsidRDefault="009C13A9" w:rsidP="009C13A9">
            <w:pPr>
              <w:spacing w:before="60" w:after="60" w:line="240" w:lineRule="atLeast"/>
              <w:rPr>
                <w:noProof/>
                <w:sz w:val="18"/>
                <w:szCs w:val="18"/>
              </w:rPr>
            </w:pPr>
          </w:p>
        </w:tc>
        <w:tc>
          <w:tcPr>
            <w:tcW w:w="2977" w:type="dxa"/>
            <w:gridSpan w:val="6"/>
            <w:tcBorders>
              <w:top w:val="nil"/>
            </w:tcBorders>
            <w:vAlign w:val="center"/>
          </w:tcPr>
          <w:p w:rsidR="009C13A9" w:rsidRPr="00C903F8" w:rsidRDefault="009C13A9" w:rsidP="009C13A9">
            <w:pPr>
              <w:spacing w:before="60" w:after="60" w:line="240" w:lineRule="atLeast"/>
              <w:rPr>
                <w:noProof/>
                <w:sz w:val="18"/>
                <w:szCs w:val="18"/>
              </w:rPr>
            </w:pPr>
          </w:p>
        </w:tc>
        <w:tc>
          <w:tcPr>
            <w:tcW w:w="1039" w:type="dxa"/>
            <w:gridSpan w:val="5"/>
            <w:tcBorders>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1"/>
                  <w:enabled/>
                  <w:calcOnExit w:val="0"/>
                  <w:checkBox>
                    <w:size w:val="20"/>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Yes</w:t>
            </w:r>
          </w:p>
        </w:tc>
        <w:tc>
          <w:tcPr>
            <w:tcW w:w="1039" w:type="dxa"/>
            <w:gridSpan w:val="2"/>
            <w:tcBorders>
              <w:left w:val="nil"/>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5"/>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No</w:t>
            </w:r>
          </w:p>
        </w:tc>
        <w:tc>
          <w:tcPr>
            <w:tcW w:w="1041" w:type="dxa"/>
            <w:tcBorders>
              <w:lef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6"/>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n/a</w:t>
            </w:r>
          </w:p>
        </w:tc>
      </w:tr>
      <w:tr w:rsidR="009C13A9" w:rsidRPr="00C903F8" w:rsidTr="009C1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9C13A9" w:rsidRPr="00C903F8" w:rsidRDefault="009C13A9" w:rsidP="009C13A9">
            <w:pPr>
              <w:spacing w:before="60" w:after="60" w:line="240" w:lineRule="atLeast"/>
              <w:rPr>
                <w:noProof/>
                <w:sz w:val="18"/>
                <w:szCs w:val="18"/>
              </w:rPr>
            </w:pPr>
          </w:p>
        </w:tc>
        <w:tc>
          <w:tcPr>
            <w:tcW w:w="2693" w:type="dxa"/>
            <w:gridSpan w:val="4"/>
            <w:tcBorders>
              <w:left w:val="nil"/>
            </w:tcBorders>
            <w:vAlign w:val="center"/>
          </w:tcPr>
          <w:p w:rsidR="009C13A9" w:rsidRPr="00C903F8" w:rsidRDefault="009C13A9" w:rsidP="009C13A9">
            <w:pPr>
              <w:spacing w:before="60" w:after="60" w:line="240" w:lineRule="atLeast"/>
              <w:rPr>
                <w:noProof/>
                <w:sz w:val="18"/>
                <w:szCs w:val="18"/>
              </w:rPr>
            </w:pPr>
          </w:p>
        </w:tc>
        <w:tc>
          <w:tcPr>
            <w:tcW w:w="2977" w:type="dxa"/>
            <w:gridSpan w:val="6"/>
            <w:vAlign w:val="center"/>
          </w:tcPr>
          <w:p w:rsidR="009C13A9" w:rsidRPr="00C903F8" w:rsidRDefault="009C13A9" w:rsidP="009C13A9">
            <w:pPr>
              <w:spacing w:before="60" w:after="60" w:line="240" w:lineRule="atLeast"/>
              <w:rPr>
                <w:noProof/>
                <w:sz w:val="18"/>
                <w:szCs w:val="18"/>
              </w:rPr>
            </w:pPr>
          </w:p>
        </w:tc>
        <w:tc>
          <w:tcPr>
            <w:tcW w:w="1039" w:type="dxa"/>
            <w:gridSpan w:val="5"/>
            <w:tcBorders>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7"/>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Yes</w:t>
            </w:r>
          </w:p>
        </w:tc>
        <w:tc>
          <w:tcPr>
            <w:tcW w:w="1039" w:type="dxa"/>
            <w:gridSpan w:val="2"/>
            <w:tcBorders>
              <w:left w:val="nil"/>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8"/>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No</w:t>
            </w:r>
          </w:p>
        </w:tc>
        <w:tc>
          <w:tcPr>
            <w:tcW w:w="1041" w:type="dxa"/>
            <w:tcBorders>
              <w:lef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9"/>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n/a</w:t>
            </w:r>
          </w:p>
        </w:tc>
      </w:tr>
      <w:tr w:rsidR="009C13A9" w:rsidRPr="00C903F8" w:rsidTr="009C1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9C13A9" w:rsidRPr="00C903F8" w:rsidRDefault="009C13A9" w:rsidP="009C13A9">
            <w:pPr>
              <w:spacing w:before="60" w:after="60" w:line="240" w:lineRule="atLeast"/>
              <w:rPr>
                <w:noProof/>
                <w:sz w:val="18"/>
                <w:szCs w:val="18"/>
              </w:rPr>
            </w:pPr>
          </w:p>
        </w:tc>
        <w:tc>
          <w:tcPr>
            <w:tcW w:w="2693" w:type="dxa"/>
            <w:gridSpan w:val="4"/>
            <w:tcBorders>
              <w:left w:val="nil"/>
            </w:tcBorders>
            <w:vAlign w:val="center"/>
          </w:tcPr>
          <w:p w:rsidR="009C13A9" w:rsidRPr="00C903F8" w:rsidRDefault="009C13A9" w:rsidP="009C13A9">
            <w:pPr>
              <w:spacing w:before="60" w:after="60" w:line="240" w:lineRule="atLeast"/>
              <w:rPr>
                <w:noProof/>
                <w:sz w:val="18"/>
                <w:szCs w:val="18"/>
              </w:rPr>
            </w:pPr>
          </w:p>
        </w:tc>
        <w:tc>
          <w:tcPr>
            <w:tcW w:w="2977" w:type="dxa"/>
            <w:gridSpan w:val="6"/>
            <w:vAlign w:val="center"/>
          </w:tcPr>
          <w:p w:rsidR="009C13A9" w:rsidRPr="00C903F8" w:rsidRDefault="009C13A9" w:rsidP="009C13A9">
            <w:pPr>
              <w:spacing w:before="60" w:after="60" w:line="240" w:lineRule="atLeast"/>
              <w:rPr>
                <w:noProof/>
                <w:sz w:val="18"/>
                <w:szCs w:val="18"/>
              </w:rPr>
            </w:pPr>
          </w:p>
        </w:tc>
        <w:tc>
          <w:tcPr>
            <w:tcW w:w="1039" w:type="dxa"/>
            <w:gridSpan w:val="5"/>
            <w:tcBorders>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7"/>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Yes</w:t>
            </w:r>
          </w:p>
        </w:tc>
        <w:tc>
          <w:tcPr>
            <w:tcW w:w="1039" w:type="dxa"/>
            <w:gridSpan w:val="2"/>
            <w:tcBorders>
              <w:left w:val="nil"/>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8"/>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No</w:t>
            </w:r>
          </w:p>
        </w:tc>
        <w:tc>
          <w:tcPr>
            <w:tcW w:w="1041" w:type="dxa"/>
            <w:tcBorders>
              <w:lef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9"/>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n/a</w:t>
            </w:r>
          </w:p>
        </w:tc>
      </w:tr>
      <w:tr w:rsidR="009C13A9" w:rsidRPr="00C903F8" w:rsidTr="009C1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9C13A9" w:rsidRPr="00C903F8" w:rsidRDefault="009C13A9" w:rsidP="009C13A9">
            <w:pPr>
              <w:spacing w:before="60" w:after="60" w:line="240" w:lineRule="atLeast"/>
              <w:rPr>
                <w:noProof/>
                <w:sz w:val="18"/>
                <w:szCs w:val="18"/>
              </w:rPr>
            </w:pPr>
          </w:p>
        </w:tc>
        <w:tc>
          <w:tcPr>
            <w:tcW w:w="2693" w:type="dxa"/>
            <w:gridSpan w:val="4"/>
            <w:tcBorders>
              <w:left w:val="nil"/>
            </w:tcBorders>
            <w:vAlign w:val="center"/>
          </w:tcPr>
          <w:p w:rsidR="009C13A9" w:rsidRPr="00C903F8" w:rsidRDefault="009C13A9" w:rsidP="009C13A9">
            <w:pPr>
              <w:spacing w:before="60" w:after="60" w:line="240" w:lineRule="atLeast"/>
              <w:rPr>
                <w:noProof/>
                <w:sz w:val="18"/>
                <w:szCs w:val="18"/>
              </w:rPr>
            </w:pPr>
          </w:p>
        </w:tc>
        <w:tc>
          <w:tcPr>
            <w:tcW w:w="2977" w:type="dxa"/>
            <w:gridSpan w:val="6"/>
            <w:vAlign w:val="center"/>
          </w:tcPr>
          <w:p w:rsidR="009C13A9" w:rsidRPr="00C903F8" w:rsidRDefault="009C13A9" w:rsidP="009C13A9">
            <w:pPr>
              <w:spacing w:before="60" w:after="60" w:line="240" w:lineRule="atLeast"/>
              <w:rPr>
                <w:noProof/>
                <w:sz w:val="18"/>
                <w:szCs w:val="18"/>
              </w:rPr>
            </w:pPr>
          </w:p>
        </w:tc>
        <w:tc>
          <w:tcPr>
            <w:tcW w:w="1039" w:type="dxa"/>
            <w:gridSpan w:val="5"/>
            <w:tcBorders>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7"/>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Yes</w:t>
            </w:r>
          </w:p>
        </w:tc>
        <w:tc>
          <w:tcPr>
            <w:tcW w:w="1039" w:type="dxa"/>
            <w:gridSpan w:val="2"/>
            <w:tcBorders>
              <w:left w:val="nil"/>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8"/>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No</w:t>
            </w:r>
          </w:p>
        </w:tc>
        <w:tc>
          <w:tcPr>
            <w:tcW w:w="1041" w:type="dxa"/>
            <w:tcBorders>
              <w:lef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9"/>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n/a</w:t>
            </w:r>
          </w:p>
        </w:tc>
      </w:tr>
      <w:tr w:rsidR="009C13A9" w:rsidRPr="00C903F8" w:rsidTr="009C1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9C13A9" w:rsidRPr="00C903F8" w:rsidRDefault="009C13A9" w:rsidP="009C13A9">
            <w:pPr>
              <w:spacing w:before="60" w:after="60" w:line="240" w:lineRule="atLeast"/>
              <w:rPr>
                <w:noProof/>
                <w:sz w:val="18"/>
                <w:szCs w:val="18"/>
              </w:rPr>
            </w:pPr>
          </w:p>
        </w:tc>
        <w:tc>
          <w:tcPr>
            <w:tcW w:w="2693" w:type="dxa"/>
            <w:gridSpan w:val="4"/>
            <w:tcBorders>
              <w:left w:val="nil"/>
            </w:tcBorders>
            <w:vAlign w:val="center"/>
          </w:tcPr>
          <w:p w:rsidR="009C13A9" w:rsidRPr="00C903F8" w:rsidRDefault="009C13A9" w:rsidP="009C13A9">
            <w:pPr>
              <w:spacing w:before="60" w:after="60" w:line="240" w:lineRule="atLeast"/>
              <w:rPr>
                <w:noProof/>
                <w:sz w:val="18"/>
                <w:szCs w:val="18"/>
              </w:rPr>
            </w:pPr>
          </w:p>
        </w:tc>
        <w:tc>
          <w:tcPr>
            <w:tcW w:w="2977" w:type="dxa"/>
            <w:gridSpan w:val="6"/>
            <w:vAlign w:val="center"/>
          </w:tcPr>
          <w:p w:rsidR="009C13A9" w:rsidRPr="00C903F8" w:rsidRDefault="009C13A9" w:rsidP="009C13A9">
            <w:pPr>
              <w:spacing w:before="60" w:after="60" w:line="240" w:lineRule="atLeast"/>
              <w:rPr>
                <w:noProof/>
                <w:sz w:val="18"/>
                <w:szCs w:val="18"/>
              </w:rPr>
            </w:pPr>
          </w:p>
        </w:tc>
        <w:tc>
          <w:tcPr>
            <w:tcW w:w="1039" w:type="dxa"/>
            <w:gridSpan w:val="5"/>
            <w:tcBorders>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13"/>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Yes</w:t>
            </w:r>
          </w:p>
        </w:tc>
        <w:tc>
          <w:tcPr>
            <w:tcW w:w="1039" w:type="dxa"/>
            <w:gridSpan w:val="2"/>
            <w:tcBorders>
              <w:left w:val="nil"/>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14"/>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No</w:t>
            </w:r>
          </w:p>
        </w:tc>
        <w:tc>
          <w:tcPr>
            <w:tcW w:w="1041" w:type="dxa"/>
            <w:tcBorders>
              <w:lef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15"/>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n/a</w:t>
            </w:r>
          </w:p>
        </w:tc>
      </w:tr>
      <w:tr w:rsidR="009C13A9" w:rsidRPr="00C903F8" w:rsidTr="009C1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tcBorders>
              <w:top w:val="nil"/>
              <w:left w:val="nil"/>
              <w:bottom w:val="nil"/>
            </w:tcBorders>
          </w:tcPr>
          <w:p w:rsidR="009C13A9" w:rsidRPr="00C903F8" w:rsidRDefault="009C13A9" w:rsidP="009C13A9">
            <w:pPr>
              <w:spacing w:before="60" w:after="60" w:line="240" w:lineRule="atLeast"/>
              <w:rPr>
                <w:noProof/>
                <w:sz w:val="18"/>
                <w:szCs w:val="18"/>
              </w:rPr>
            </w:pPr>
          </w:p>
        </w:tc>
        <w:tc>
          <w:tcPr>
            <w:tcW w:w="2693" w:type="dxa"/>
            <w:gridSpan w:val="4"/>
            <w:tcBorders>
              <w:left w:val="nil"/>
            </w:tcBorders>
            <w:vAlign w:val="center"/>
          </w:tcPr>
          <w:p w:rsidR="009C13A9" w:rsidRPr="00C903F8" w:rsidRDefault="009C13A9" w:rsidP="009C13A9">
            <w:pPr>
              <w:spacing w:before="60" w:after="60" w:line="240" w:lineRule="atLeast"/>
              <w:rPr>
                <w:noProof/>
                <w:sz w:val="18"/>
                <w:szCs w:val="18"/>
              </w:rPr>
            </w:pPr>
          </w:p>
        </w:tc>
        <w:tc>
          <w:tcPr>
            <w:tcW w:w="2977" w:type="dxa"/>
            <w:gridSpan w:val="6"/>
            <w:vAlign w:val="center"/>
          </w:tcPr>
          <w:p w:rsidR="009C13A9" w:rsidRPr="00C903F8" w:rsidRDefault="009C13A9" w:rsidP="009C13A9">
            <w:pPr>
              <w:spacing w:before="60" w:after="60" w:line="240" w:lineRule="atLeast"/>
              <w:rPr>
                <w:noProof/>
                <w:sz w:val="18"/>
                <w:szCs w:val="18"/>
              </w:rPr>
            </w:pPr>
          </w:p>
        </w:tc>
        <w:tc>
          <w:tcPr>
            <w:tcW w:w="1039" w:type="dxa"/>
            <w:gridSpan w:val="5"/>
            <w:tcBorders>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7"/>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Yes</w:t>
            </w:r>
          </w:p>
        </w:tc>
        <w:tc>
          <w:tcPr>
            <w:tcW w:w="1039" w:type="dxa"/>
            <w:gridSpan w:val="2"/>
            <w:tcBorders>
              <w:left w:val="nil"/>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8"/>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No</w:t>
            </w:r>
          </w:p>
        </w:tc>
        <w:tc>
          <w:tcPr>
            <w:tcW w:w="1041" w:type="dxa"/>
            <w:tcBorders>
              <w:lef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9"/>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n/a</w:t>
            </w:r>
          </w:p>
        </w:tc>
      </w:tr>
      <w:tr w:rsidR="009C13A9" w:rsidRPr="00C903F8" w:rsidTr="009C1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9C13A9" w:rsidRPr="00C903F8" w:rsidRDefault="009C13A9" w:rsidP="009C13A9">
            <w:pPr>
              <w:spacing w:before="60" w:after="60" w:line="240" w:lineRule="atLeast"/>
              <w:rPr>
                <w:noProof/>
                <w:sz w:val="18"/>
                <w:szCs w:val="18"/>
              </w:rPr>
            </w:pPr>
          </w:p>
        </w:tc>
        <w:tc>
          <w:tcPr>
            <w:tcW w:w="2693" w:type="dxa"/>
            <w:gridSpan w:val="4"/>
            <w:tcBorders>
              <w:left w:val="nil"/>
            </w:tcBorders>
            <w:vAlign w:val="center"/>
          </w:tcPr>
          <w:p w:rsidR="009C13A9" w:rsidRPr="00C903F8" w:rsidRDefault="009C13A9" w:rsidP="009C13A9">
            <w:pPr>
              <w:spacing w:before="60" w:after="60" w:line="240" w:lineRule="atLeast"/>
              <w:rPr>
                <w:noProof/>
                <w:sz w:val="18"/>
                <w:szCs w:val="18"/>
              </w:rPr>
            </w:pPr>
          </w:p>
        </w:tc>
        <w:tc>
          <w:tcPr>
            <w:tcW w:w="2977" w:type="dxa"/>
            <w:gridSpan w:val="6"/>
            <w:vAlign w:val="center"/>
          </w:tcPr>
          <w:p w:rsidR="009C13A9" w:rsidRPr="00C903F8" w:rsidRDefault="009C13A9" w:rsidP="009C13A9">
            <w:pPr>
              <w:spacing w:before="60" w:after="60" w:line="240" w:lineRule="atLeast"/>
              <w:rPr>
                <w:noProof/>
                <w:sz w:val="18"/>
                <w:szCs w:val="18"/>
              </w:rPr>
            </w:pPr>
          </w:p>
        </w:tc>
        <w:tc>
          <w:tcPr>
            <w:tcW w:w="1039" w:type="dxa"/>
            <w:gridSpan w:val="5"/>
            <w:tcBorders>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16"/>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Yes</w:t>
            </w:r>
          </w:p>
        </w:tc>
        <w:tc>
          <w:tcPr>
            <w:tcW w:w="1039" w:type="dxa"/>
            <w:gridSpan w:val="2"/>
            <w:tcBorders>
              <w:left w:val="nil"/>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17"/>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No</w:t>
            </w:r>
          </w:p>
        </w:tc>
        <w:tc>
          <w:tcPr>
            <w:tcW w:w="1041" w:type="dxa"/>
            <w:tcBorders>
              <w:lef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18"/>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n/a</w:t>
            </w:r>
          </w:p>
        </w:tc>
      </w:tr>
      <w:tr w:rsidR="009C13A9" w:rsidRPr="00C903F8" w:rsidTr="009C1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tcBorders>
              <w:top w:val="nil"/>
              <w:left w:val="nil"/>
              <w:bottom w:val="nil"/>
            </w:tcBorders>
          </w:tcPr>
          <w:p w:rsidR="009C13A9" w:rsidRPr="00C903F8" w:rsidRDefault="009C13A9" w:rsidP="009C13A9">
            <w:pPr>
              <w:spacing w:before="60" w:after="60" w:line="240" w:lineRule="atLeast"/>
              <w:rPr>
                <w:noProof/>
                <w:sz w:val="18"/>
                <w:szCs w:val="18"/>
              </w:rPr>
            </w:pPr>
          </w:p>
        </w:tc>
        <w:tc>
          <w:tcPr>
            <w:tcW w:w="2693" w:type="dxa"/>
            <w:gridSpan w:val="4"/>
            <w:tcBorders>
              <w:left w:val="nil"/>
            </w:tcBorders>
            <w:vAlign w:val="center"/>
          </w:tcPr>
          <w:p w:rsidR="009C13A9" w:rsidRPr="00C903F8" w:rsidRDefault="009C13A9" w:rsidP="009C13A9">
            <w:pPr>
              <w:spacing w:before="60" w:after="60" w:line="240" w:lineRule="atLeast"/>
              <w:rPr>
                <w:noProof/>
                <w:sz w:val="18"/>
                <w:szCs w:val="18"/>
              </w:rPr>
            </w:pPr>
          </w:p>
        </w:tc>
        <w:tc>
          <w:tcPr>
            <w:tcW w:w="2977" w:type="dxa"/>
            <w:gridSpan w:val="6"/>
            <w:vAlign w:val="center"/>
          </w:tcPr>
          <w:p w:rsidR="009C13A9" w:rsidRPr="00C903F8" w:rsidRDefault="009C13A9" w:rsidP="009C13A9">
            <w:pPr>
              <w:spacing w:before="60" w:after="60" w:line="240" w:lineRule="atLeast"/>
              <w:rPr>
                <w:noProof/>
                <w:sz w:val="18"/>
                <w:szCs w:val="18"/>
              </w:rPr>
            </w:pPr>
          </w:p>
        </w:tc>
        <w:tc>
          <w:tcPr>
            <w:tcW w:w="1039" w:type="dxa"/>
            <w:gridSpan w:val="5"/>
            <w:tcBorders>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19"/>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Yes</w:t>
            </w:r>
          </w:p>
        </w:tc>
        <w:tc>
          <w:tcPr>
            <w:tcW w:w="1039" w:type="dxa"/>
            <w:gridSpan w:val="2"/>
            <w:tcBorders>
              <w:left w:val="nil"/>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20"/>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No</w:t>
            </w:r>
          </w:p>
        </w:tc>
        <w:tc>
          <w:tcPr>
            <w:tcW w:w="1041" w:type="dxa"/>
            <w:tcBorders>
              <w:lef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21"/>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n/a</w:t>
            </w:r>
          </w:p>
        </w:tc>
      </w:tr>
      <w:tr w:rsidR="009C13A9" w:rsidRPr="00C903F8" w:rsidTr="009C1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tcBorders>
              <w:top w:val="nil"/>
              <w:left w:val="nil"/>
              <w:bottom w:val="nil"/>
            </w:tcBorders>
          </w:tcPr>
          <w:p w:rsidR="009C13A9" w:rsidRPr="00C903F8" w:rsidRDefault="009C13A9" w:rsidP="009C13A9">
            <w:pPr>
              <w:spacing w:before="60" w:after="60" w:line="240" w:lineRule="atLeast"/>
              <w:rPr>
                <w:noProof/>
                <w:sz w:val="18"/>
                <w:szCs w:val="18"/>
              </w:rPr>
            </w:pPr>
          </w:p>
        </w:tc>
        <w:tc>
          <w:tcPr>
            <w:tcW w:w="2693" w:type="dxa"/>
            <w:gridSpan w:val="4"/>
            <w:tcBorders>
              <w:left w:val="nil"/>
            </w:tcBorders>
            <w:vAlign w:val="center"/>
          </w:tcPr>
          <w:p w:rsidR="009C13A9" w:rsidRPr="00C903F8" w:rsidRDefault="009C13A9" w:rsidP="009C13A9">
            <w:pPr>
              <w:spacing w:before="60" w:after="60" w:line="240" w:lineRule="atLeast"/>
              <w:rPr>
                <w:noProof/>
                <w:sz w:val="18"/>
                <w:szCs w:val="18"/>
              </w:rPr>
            </w:pPr>
          </w:p>
        </w:tc>
        <w:tc>
          <w:tcPr>
            <w:tcW w:w="2977" w:type="dxa"/>
            <w:gridSpan w:val="6"/>
            <w:vAlign w:val="center"/>
          </w:tcPr>
          <w:p w:rsidR="009C13A9" w:rsidRPr="00C903F8" w:rsidRDefault="009C13A9" w:rsidP="009C13A9">
            <w:pPr>
              <w:spacing w:before="60" w:after="60" w:line="240" w:lineRule="atLeast"/>
              <w:rPr>
                <w:noProof/>
                <w:sz w:val="18"/>
                <w:szCs w:val="18"/>
              </w:rPr>
            </w:pPr>
          </w:p>
        </w:tc>
        <w:tc>
          <w:tcPr>
            <w:tcW w:w="1039" w:type="dxa"/>
            <w:gridSpan w:val="5"/>
            <w:tcBorders>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19"/>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Yes</w:t>
            </w:r>
          </w:p>
        </w:tc>
        <w:tc>
          <w:tcPr>
            <w:tcW w:w="1039" w:type="dxa"/>
            <w:gridSpan w:val="2"/>
            <w:tcBorders>
              <w:left w:val="nil"/>
              <w:righ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20"/>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No</w:t>
            </w:r>
          </w:p>
        </w:tc>
        <w:tc>
          <w:tcPr>
            <w:tcW w:w="1041" w:type="dxa"/>
            <w:tcBorders>
              <w:left w:val="nil"/>
            </w:tcBorders>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21"/>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n/a</w:t>
            </w:r>
          </w:p>
        </w:tc>
      </w:tr>
    </w:tbl>
    <w:p w:rsidR="009C13A9" w:rsidRPr="00C903F8" w:rsidRDefault="009C13A9" w:rsidP="009C13A9">
      <w:pPr>
        <w:rPr>
          <w:b/>
          <w:bCs/>
          <w:noProof/>
          <w:sz w:val="18"/>
          <w:szCs w:val="18"/>
          <w:lang w:val="en-US"/>
        </w:rPr>
      </w:pPr>
    </w:p>
    <w:p w:rsidR="009C13A9" w:rsidRPr="00C903F8" w:rsidRDefault="009C13A9" w:rsidP="009C13A9">
      <w:pPr>
        <w:rPr>
          <w:b/>
          <w:bCs/>
          <w:noProof/>
          <w:sz w:val="18"/>
          <w:szCs w:val="18"/>
          <w:lang w:val="en-US"/>
        </w:rPr>
      </w:pPr>
      <w:r w:rsidRPr="00C903F8">
        <w:rPr>
          <w:b/>
          <w:bCs/>
          <w:noProof/>
          <w:sz w:val="18"/>
          <w:szCs w:val="18"/>
          <w:lang w:val="en-US"/>
        </w:rPr>
        <w:br w:type="page"/>
      </w:r>
    </w:p>
    <w:p w:rsidR="009C13A9" w:rsidRPr="00C903F8" w:rsidRDefault="009C13A9" w:rsidP="009C13A9">
      <w:pPr>
        <w:rPr>
          <w:b/>
          <w:bCs/>
          <w:noProof/>
          <w:sz w:val="18"/>
          <w:szCs w:val="18"/>
          <w:lang w:val="en-US"/>
        </w:rPr>
      </w:pPr>
      <w:r w:rsidRPr="00C903F8">
        <w:rPr>
          <w:b/>
          <w:bCs/>
          <w:noProof/>
          <w:sz w:val="18"/>
          <w:szCs w:val="18"/>
          <w:lang w:val="en-US"/>
        </w:rPr>
        <w:lastRenderedPageBreak/>
        <w:t>B.</w:t>
      </w:r>
      <w:r w:rsidRPr="00C903F8">
        <w:rPr>
          <w:b/>
          <w:bCs/>
          <w:noProof/>
          <w:sz w:val="18"/>
          <w:szCs w:val="18"/>
          <w:lang w:val="en-US"/>
        </w:rPr>
        <w:tab/>
        <w:t>Results of random sample measurement:</w:t>
      </w:r>
    </w:p>
    <w:p w:rsidR="009C13A9" w:rsidRPr="00C903F8" w:rsidRDefault="009C13A9" w:rsidP="009C13A9">
      <w:pPr>
        <w:rPr>
          <w:noProof/>
          <w:lang w:val="en-US"/>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6"/>
        <w:gridCol w:w="870"/>
        <w:gridCol w:w="514"/>
        <w:gridCol w:w="195"/>
        <w:gridCol w:w="567"/>
        <w:gridCol w:w="810"/>
        <w:gridCol w:w="998"/>
        <w:gridCol w:w="176"/>
        <w:gridCol w:w="953"/>
        <w:gridCol w:w="409"/>
        <w:gridCol w:w="3317"/>
      </w:tblGrid>
      <w:tr w:rsidR="009C13A9" w:rsidRPr="00C903F8" w:rsidTr="009C13A9">
        <w:trPr>
          <w:gridBefore w:val="1"/>
          <w:gridAfter w:val="2"/>
          <w:wBefore w:w="406" w:type="dxa"/>
          <w:wAfter w:w="3726" w:type="dxa"/>
          <w:cantSplit/>
          <w:jc w:val="center"/>
        </w:trPr>
        <w:tc>
          <w:tcPr>
            <w:tcW w:w="1384" w:type="dxa"/>
            <w:gridSpan w:val="2"/>
            <w:vAlign w:val="center"/>
          </w:tcPr>
          <w:p w:rsidR="009C13A9" w:rsidRPr="00C903F8" w:rsidRDefault="009C13A9" w:rsidP="00390107">
            <w:pPr>
              <w:spacing w:before="60" w:after="60" w:line="240" w:lineRule="atLeast"/>
              <w:jc w:val="center"/>
              <w:rPr>
                <w:noProof/>
                <w:sz w:val="18"/>
                <w:szCs w:val="18"/>
              </w:rPr>
            </w:pPr>
            <w:r w:rsidRPr="00C903F8">
              <w:rPr>
                <w:noProof/>
                <w:sz w:val="18"/>
                <w:szCs w:val="18"/>
              </w:rPr>
              <w:t>Parameter</w:t>
            </w:r>
          </w:p>
        </w:tc>
        <w:tc>
          <w:tcPr>
            <w:tcW w:w="1572" w:type="dxa"/>
            <w:gridSpan w:val="3"/>
            <w:vAlign w:val="center"/>
          </w:tcPr>
          <w:p w:rsidR="009C13A9" w:rsidRPr="00C903F8" w:rsidRDefault="009C13A9" w:rsidP="00390107">
            <w:pPr>
              <w:spacing w:before="60" w:after="60" w:line="240" w:lineRule="atLeast"/>
              <w:jc w:val="center"/>
              <w:rPr>
                <w:noProof/>
                <w:sz w:val="18"/>
                <w:szCs w:val="18"/>
              </w:rPr>
            </w:pPr>
            <w:r w:rsidRPr="00C903F8">
              <w:rPr>
                <w:noProof/>
                <w:sz w:val="18"/>
                <w:szCs w:val="18"/>
              </w:rPr>
              <w:t>Value obtained</w:t>
            </w:r>
          </w:p>
        </w:tc>
        <w:tc>
          <w:tcPr>
            <w:tcW w:w="2127" w:type="dxa"/>
            <w:gridSpan w:val="3"/>
            <w:vAlign w:val="center"/>
          </w:tcPr>
          <w:p w:rsidR="009C13A9" w:rsidRPr="00C903F8" w:rsidRDefault="009C13A9" w:rsidP="00390107">
            <w:pPr>
              <w:spacing w:before="60" w:after="60" w:line="240" w:lineRule="atLeast"/>
              <w:jc w:val="center"/>
              <w:rPr>
                <w:noProof/>
                <w:sz w:val="18"/>
                <w:szCs w:val="18"/>
              </w:rPr>
            </w:pPr>
            <w:r w:rsidRPr="00C903F8">
              <w:rPr>
                <w:noProof/>
                <w:sz w:val="18"/>
                <w:szCs w:val="18"/>
              </w:rPr>
              <w:t>Conformity</w:t>
            </w:r>
            <w:r w:rsidRPr="00C903F8">
              <w:rPr>
                <w:noProof/>
                <w:sz w:val="18"/>
                <w:szCs w:val="18"/>
                <w:vertAlign w:val="superscript"/>
              </w:rPr>
              <w:t>(</w:t>
            </w:r>
            <w:r w:rsidRPr="00C903F8">
              <w:rPr>
                <w:noProof/>
                <w:sz w:val="18"/>
                <w:szCs w:val="18"/>
                <w:vertAlign w:val="superscript"/>
              </w:rPr>
              <w:footnoteReference w:id="74"/>
            </w:r>
            <w:r w:rsidRPr="00C903F8">
              <w:rPr>
                <w:noProof/>
                <w:sz w:val="18"/>
                <w:szCs w:val="18"/>
                <w:vertAlign w:val="superscript"/>
              </w:rPr>
              <w:t>)</w:t>
            </w:r>
          </w:p>
        </w:tc>
      </w:tr>
      <w:tr w:rsidR="009C13A9" w:rsidRPr="00C903F8" w:rsidTr="009C13A9">
        <w:trPr>
          <w:gridBefore w:val="1"/>
          <w:gridAfter w:val="2"/>
          <w:wBefore w:w="406" w:type="dxa"/>
          <w:wAfter w:w="3726" w:type="dxa"/>
          <w:cantSplit/>
          <w:jc w:val="center"/>
        </w:trPr>
        <w:tc>
          <w:tcPr>
            <w:tcW w:w="1384" w:type="dxa"/>
            <w:gridSpan w:val="2"/>
            <w:vAlign w:val="center"/>
          </w:tcPr>
          <w:p w:rsidR="009C13A9" w:rsidRPr="00C903F8" w:rsidRDefault="00F12BAF" w:rsidP="00AF0659">
            <w:pPr>
              <w:spacing w:before="60" w:after="60" w:line="240" w:lineRule="atLeast"/>
              <w:ind w:left="0" w:firstLine="0"/>
              <w:rPr>
                <w:noProof/>
                <w:sz w:val="18"/>
                <w:szCs w:val="18"/>
              </w:rPr>
            </w:pPr>
            <m:oMathPara>
              <m:oMathParaPr>
                <m:jc m:val="left"/>
              </m:oMathParaPr>
              <m:oMath>
                <m:sSub>
                  <m:sSubPr>
                    <m:ctrlPr>
                      <w:rPr>
                        <w:rFonts w:ascii="Cambria Math" w:hAnsi="Cambria Math"/>
                        <w:i/>
                        <w:noProof/>
                        <w:sz w:val="18"/>
                        <w:szCs w:val="18"/>
                        <w:lang w:val="en-US" w:eastAsia="nl-NL"/>
                      </w:rPr>
                    </m:ctrlPr>
                  </m:sSubPr>
                  <m:e>
                    <m:r>
                      <w:rPr>
                        <w:rFonts w:ascii="Cambria Math" w:hAnsi="Cambria Math"/>
                        <w:noProof/>
                        <w:sz w:val="18"/>
                        <w:szCs w:val="18"/>
                        <w:lang w:val="en-US" w:eastAsia="nl-NL"/>
                      </w:rPr>
                      <m:t>BOD</m:t>
                    </m:r>
                  </m:e>
                  <m:sub>
                    <m:r>
                      <w:rPr>
                        <w:rFonts w:ascii="Cambria Math" w:hAnsi="Cambria Math"/>
                        <w:noProof/>
                        <w:sz w:val="18"/>
                        <w:szCs w:val="18"/>
                        <w:lang w:val="en-US" w:eastAsia="nl-NL"/>
                      </w:rPr>
                      <m:t>5</m:t>
                    </m:r>
                  </m:sub>
                </m:sSub>
              </m:oMath>
            </m:oMathPara>
          </w:p>
        </w:tc>
        <w:tc>
          <w:tcPr>
            <w:tcW w:w="1572" w:type="dxa"/>
            <w:gridSpan w:val="3"/>
            <w:vAlign w:val="center"/>
          </w:tcPr>
          <w:p w:rsidR="009C13A9" w:rsidRPr="00C903F8" w:rsidRDefault="009C13A9" w:rsidP="009C13A9">
            <w:pPr>
              <w:spacing w:before="60" w:after="60" w:line="240" w:lineRule="atLeast"/>
              <w:rPr>
                <w:noProof/>
                <w:sz w:val="18"/>
                <w:szCs w:val="18"/>
              </w:rPr>
            </w:pPr>
          </w:p>
        </w:tc>
        <w:tc>
          <w:tcPr>
            <w:tcW w:w="998" w:type="dxa"/>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Yes</w:t>
            </w:r>
          </w:p>
        </w:tc>
        <w:tc>
          <w:tcPr>
            <w:tcW w:w="1129" w:type="dxa"/>
            <w:gridSpan w:val="2"/>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20"/>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No</w:t>
            </w:r>
          </w:p>
        </w:tc>
      </w:tr>
      <w:tr w:rsidR="009C13A9" w:rsidRPr="00C903F8" w:rsidTr="009C13A9">
        <w:trPr>
          <w:gridBefore w:val="1"/>
          <w:gridAfter w:val="2"/>
          <w:wBefore w:w="406" w:type="dxa"/>
          <w:wAfter w:w="3726" w:type="dxa"/>
          <w:cantSplit/>
          <w:jc w:val="center"/>
        </w:trPr>
        <w:tc>
          <w:tcPr>
            <w:tcW w:w="1384" w:type="dxa"/>
            <w:gridSpan w:val="2"/>
            <w:vAlign w:val="center"/>
          </w:tcPr>
          <w:p w:rsidR="009C13A9" w:rsidRPr="00C903F8" w:rsidRDefault="009C13A9" w:rsidP="009C13A9">
            <w:pPr>
              <w:spacing w:before="60" w:after="60" w:line="240" w:lineRule="atLeast"/>
              <w:rPr>
                <w:noProof/>
                <w:sz w:val="18"/>
                <w:szCs w:val="18"/>
              </w:rPr>
            </w:pPr>
            <w:r w:rsidRPr="00C903F8">
              <w:rPr>
                <w:noProof/>
                <w:sz w:val="18"/>
                <w:szCs w:val="18"/>
              </w:rPr>
              <w:t>COD</w:t>
            </w:r>
          </w:p>
        </w:tc>
        <w:tc>
          <w:tcPr>
            <w:tcW w:w="1572" w:type="dxa"/>
            <w:gridSpan w:val="3"/>
            <w:vAlign w:val="center"/>
          </w:tcPr>
          <w:p w:rsidR="009C13A9" w:rsidRPr="00C903F8" w:rsidRDefault="009C13A9" w:rsidP="009C13A9">
            <w:pPr>
              <w:spacing w:before="60" w:after="60" w:line="240" w:lineRule="atLeast"/>
              <w:rPr>
                <w:noProof/>
                <w:sz w:val="18"/>
                <w:szCs w:val="18"/>
              </w:rPr>
            </w:pPr>
          </w:p>
        </w:tc>
        <w:tc>
          <w:tcPr>
            <w:tcW w:w="998" w:type="dxa"/>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Yes</w:t>
            </w:r>
          </w:p>
        </w:tc>
        <w:tc>
          <w:tcPr>
            <w:tcW w:w="1129" w:type="dxa"/>
            <w:gridSpan w:val="2"/>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20"/>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No</w:t>
            </w:r>
          </w:p>
        </w:tc>
      </w:tr>
      <w:tr w:rsidR="009C13A9" w:rsidRPr="00C903F8" w:rsidTr="009C13A9">
        <w:trPr>
          <w:gridBefore w:val="1"/>
          <w:gridAfter w:val="2"/>
          <w:wBefore w:w="406" w:type="dxa"/>
          <w:wAfter w:w="3726" w:type="dxa"/>
          <w:cantSplit/>
          <w:jc w:val="center"/>
        </w:trPr>
        <w:tc>
          <w:tcPr>
            <w:tcW w:w="1384" w:type="dxa"/>
            <w:gridSpan w:val="2"/>
            <w:vAlign w:val="center"/>
          </w:tcPr>
          <w:p w:rsidR="009C13A9" w:rsidRPr="00C903F8" w:rsidRDefault="009C13A9" w:rsidP="009C13A9">
            <w:pPr>
              <w:spacing w:before="60" w:after="60" w:line="240" w:lineRule="atLeast"/>
              <w:rPr>
                <w:noProof/>
                <w:sz w:val="18"/>
                <w:szCs w:val="18"/>
                <w:vertAlign w:val="superscript"/>
              </w:rPr>
            </w:pPr>
            <w:r w:rsidRPr="00C903F8">
              <w:rPr>
                <w:noProof/>
                <w:sz w:val="18"/>
                <w:szCs w:val="18"/>
              </w:rPr>
              <w:t>TOC</w:t>
            </w:r>
            <w:r w:rsidRPr="00C903F8">
              <w:rPr>
                <w:rFonts w:cs="Arial"/>
                <w:sz w:val="18"/>
                <w:szCs w:val="20"/>
                <w:vertAlign w:val="superscript"/>
                <w:lang w:val="de-DE" w:eastAsia="ar-SA"/>
              </w:rPr>
              <w:t>(</w:t>
            </w:r>
            <w:r w:rsidRPr="00C903F8">
              <w:rPr>
                <w:rFonts w:cs="Arial"/>
                <w:b/>
                <w:sz w:val="18"/>
                <w:szCs w:val="20"/>
                <w:vertAlign w:val="superscript"/>
                <w:lang w:val="de-DE" w:eastAsia="ar-SA"/>
              </w:rPr>
              <w:footnoteReference w:id="75"/>
            </w:r>
            <w:r w:rsidRPr="00C903F8">
              <w:rPr>
                <w:rFonts w:cs="Arial"/>
                <w:sz w:val="18"/>
                <w:szCs w:val="20"/>
                <w:vertAlign w:val="superscript"/>
                <w:lang w:val="de-DE" w:eastAsia="ar-SA"/>
              </w:rPr>
              <w:t>)</w:t>
            </w:r>
          </w:p>
        </w:tc>
        <w:tc>
          <w:tcPr>
            <w:tcW w:w="1572" w:type="dxa"/>
            <w:gridSpan w:val="3"/>
            <w:vAlign w:val="center"/>
          </w:tcPr>
          <w:p w:rsidR="009C13A9" w:rsidRPr="00C903F8" w:rsidRDefault="009C13A9" w:rsidP="009C13A9">
            <w:pPr>
              <w:spacing w:before="60" w:after="60" w:line="240" w:lineRule="atLeast"/>
              <w:rPr>
                <w:noProof/>
                <w:sz w:val="18"/>
                <w:szCs w:val="18"/>
              </w:rPr>
            </w:pPr>
          </w:p>
        </w:tc>
        <w:tc>
          <w:tcPr>
            <w:tcW w:w="998" w:type="dxa"/>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Yes</w:t>
            </w:r>
          </w:p>
        </w:tc>
        <w:tc>
          <w:tcPr>
            <w:tcW w:w="1129" w:type="dxa"/>
            <w:gridSpan w:val="2"/>
            <w:vAlign w:val="center"/>
          </w:tcPr>
          <w:p w:rsidR="009C13A9" w:rsidRPr="00C903F8" w:rsidRDefault="00475311" w:rsidP="009C13A9">
            <w:pPr>
              <w:spacing w:before="60" w:after="60" w:line="240" w:lineRule="atLeast"/>
              <w:rPr>
                <w:noProof/>
                <w:sz w:val="18"/>
                <w:szCs w:val="18"/>
              </w:rPr>
            </w:pPr>
            <w:r w:rsidRPr="00C903F8">
              <w:rPr>
                <w:noProof/>
                <w:sz w:val="18"/>
                <w:szCs w:val="18"/>
              </w:rPr>
              <w:fldChar w:fldCharType="begin">
                <w:ffData>
                  <w:name w:val="Kontrollkästchen20"/>
                  <w:enabled/>
                  <w:calcOnExit w:val="0"/>
                  <w:checkBox>
                    <w:sizeAuto/>
                    <w:default w:val="0"/>
                  </w:checkBox>
                </w:ffData>
              </w:fldChar>
            </w:r>
            <w:r w:rsidR="009C13A9" w:rsidRPr="00C903F8">
              <w:rPr>
                <w:noProof/>
                <w:sz w:val="18"/>
                <w:szCs w:val="18"/>
              </w:rPr>
              <w:instrText xml:space="preserve"> FORMCHECKBOX </w:instrText>
            </w:r>
            <w:r w:rsidR="00F12BAF">
              <w:rPr>
                <w:noProof/>
                <w:sz w:val="18"/>
                <w:szCs w:val="18"/>
              </w:rPr>
            </w:r>
            <w:r w:rsidR="00F12BAF">
              <w:rPr>
                <w:noProof/>
                <w:sz w:val="18"/>
                <w:szCs w:val="18"/>
              </w:rPr>
              <w:fldChar w:fldCharType="separate"/>
            </w:r>
            <w:r w:rsidRPr="00C903F8">
              <w:rPr>
                <w:noProof/>
                <w:sz w:val="18"/>
                <w:szCs w:val="18"/>
              </w:rPr>
              <w:fldChar w:fldCharType="end"/>
            </w:r>
            <w:r w:rsidR="009C13A9" w:rsidRPr="00C903F8">
              <w:rPr>
                <w:noProof/>
                <w:sz w:val="18"/>
                <w:szCs w:val="18"/>
              </w:rPr>
              <w:t xml:space="preserve"> No</w:t>
            </w:r>
          </w:p>
        </w:tc>
      </w:tr>
      <w:tr w:rsidR="009C13A9" w:rsidRPr="00C903F8" w:rsidTr="009C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9C13A9" w:rsidRPr="00C903F8" w:rsidRDefault="009C13A9" w:rsidP="009C13A9">
            <w:pPr>
              <w:rPr>
                <w:b/>
                <w:bCs/>
                <w:noProof/>
                <w:sz w:val="18"/>
                <w:szCs w:val="18"/>
              </w:rPr>
            </w:pPr>
          </w:p>
          <w:p w:rsidR="009C13A9" w:rsidRPr="00C903F8" w:rsidRDefault="009C13A9" w:rsidP="009C13A9">
            <w:pPr>
              <w:rPr>
                <w:b/>
                <w:bCs/>
                <w:noProof/>
                <w:sz w:val="18"/>
                <w:szCs w:val="18"/>
              </w:rPr>
            </w:pPr>
            <w:r w:rsidRPr="00C903F8">
              <w:rPr>
                <w:b/>
                <w:bCs/>
                <w:noProof/>
                <w:sz w:val="18"/>
                <w:szCs w:val="18"/>
              </w:rPr>
              <w:t>C.</w:t>
            </w:r>
            <w:r w:rsidRPr="00C903F8">
              <w:rPr>
                <w:b/>
                <w:bCs/>
                <w:noProof/>
                <w:sz w:val="18"/>
                <w:szCs w:val="18"/>
              </w:rPr>
              <w:tab/>
              <w:t>Comments:</w:t>
            </w:r>
          </w:p>
          <w:p w:rsidR="009C13A9" w:rsidRPr="00C903F8" w:rsidRDefault="009C13A9" w:rsidP="009C13A9">
            <w:pPr>
              <w:rPr>
                <w:b/>
                <w:bCs/>
                <w:noProof/>
                <w:sz w:val="18"/>
                <w:szCs w:val="18"/>
              </w:rPr>
            </w:pPr>
          </w:p>
        </w:tc>
        <w:tc>
          <w:tcPr>
            <w:tcW w:w="7230" w:type="dxa"/>
            <w:gridSpan w:val="7"/>
            <w:tcBorders>
              <w:bottom w:val="dotted" w:sz="4" w:space="0" w:color="auto"/>
            </w:tcBorders>
            <w:vAlign w:val="center"/>
          </w:tcPr>
          <w:p w:rsidR="009C13A9" w:rsidRPr="00C903F8" w:rsidRDefault="009C13A9" w:rsidP="009C13A9">
            <w:pPr>
              <w:rPr>
                <w:b/>
                <w:bCs/>
                <w:noProof/>
                <w:sz w:val="18"/>
                <w:szCs w:val="18"/>
              </w:rPr>
            </w:pPr>
          </w:p>
        </w:tc>
      </w:tr>
      <w:tr w:rsidR="009C13A9" w:rsidRPr="00296858" w:rsidTr="009C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9C13A9" w:rsidRPr="00C903F8" w:rsidRDefault="009C13A9" w:rsidP="009C13A9">
            <w:pPr>
              <w:rPr>
                <w:b/>
                <w:noProof/>
              </w:rPr>
            </w:pPr>
          </w:p>
        </w:tc>
        <w:tc>
          <w:tcPr>
            <w:tcW w:w="7230" w:type="dxa"/>
            <w:gridSpan w:val="7"/>
            <w:tcBorders>
              <w:top w:val="dotted" w:sz="4" w:space="0" w:color="auto"/>
              <w:bottom w:val="dotted" w:sz="4" w:space="0" w:color="auto"/>
            </w:tcBorders>
            <w:vAlign w:val="center"/>
          </w:tcPr>
          <w:p w:rsidR="009C13A9" w:rsidRPr="00C903F8" w:rsidRDefault="009C13A9" w:rsidP="009C13A9">
            <w:pPr>
              <w:spacing w:before="20"/>
              <w:ind w:left="0" w:firstLine="0"/>
              <w:rPr>
                <w:noProof/>
                <w:sz w:val="14"/>
                <w:szCs w:val="12"/>
                <w:lang w:val="en-US"/>
              </w:rPr>
            </w:pPr>
            <w:r w:rsidRPr="00C903F8">
              <w:rPr>
                <w:noProof/>
                <w:sz w:val="16"/>
                <w:szCs w:val="12"/>
                <w:lang w:val="en-US"/>
              </w:rPr>
              <w:t>(The following deviating settings, modifications or alterations to the installed on-board sewage treatment plant were found.)</w:t>
            </w:r>
          </w:p>
        </w:tc>
      </w:tr>
      <w:tr w:rsidR="009C13A9" w:rsidRPr="00296858" w:rsidTr="009C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9C13A9" w:rsidRPr="00C903F8" w:rsidRDefault="009C13A9" w:rsidP="009C13A9">
            <w:pPr>
              <w:rPr>
                <w:noProof/>
                <w:lang w:val="en-US"/>
              </w:rPr>
            </w:pPr>
          </w:p>
        </w:tc>
        <w:tc>
          <w:tcPr>
            <w:tcW w:w="7230" w:type="dxa"/>
            <w:gridSpan w:val="7"/>
            <w:tcBorders>
              <w:top w:val="dotted" w:sz="4" w:space="0" w:color="auto"/>
              <w:bottom w:val="dotted" w:sz="4" w:space="0" w:color="auto"/>
            </w:tcBorders>
            <w:vAlign w:val="center"/>
          </w:tcPr>
          <w:p w:rsidR="009C13A9" w:rsidRPr="00C903F8" w:rsidRDefault="009C13A9" w:rsidP="009C13A9">
            <w:pPr>
              <w:rPr>
                <w:noProof/>
                <w:lang w:val="en-US"/>
              </w:rPr>
            </w:pPr>
          </w:p>
        </w:tc>
      </w:tr>
      <w:tr w:rsidR="009C13A9" w:rsidRPr="00296858" w:rsidTr="009C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9C13A9" w:rsidRPr="00C903F8" w:rsidRDefault="009C13A9" w:rsidP="009C13A9">
            <w:pPr>
              <w:rPr>
                <w:noProof/>
                <w:lang w:val="en-US"/>
              </w:rPr>
            </w:pPr>
          </w:p>
        </w:tc>
        <w:tc>
          <w:tcPr>
            <w:tcW w:w="7230" w:type="dxa"/>
            <w:gridSpan w:val="7"/>
            <w:tcBorders>
              <w:top w:val="dotted" w:sz="4" w:space="0" w:color="auto"/>
              <w:bottom w:val="dotted" w:sz="4" w:space="0" w:color="auto"/>
            </w:tcBorders>
            <w:vAlign w:val="center"/>
          </w:tcPr>
          <w:p w:rsidR="009C13A9" w:rsidRPr="00C903F8" w:rsidRDefault="009C13A9" w:rsidP="009C13A9">
            <w:pPr>
              <w:rPr>
                <w:noProof/>
                <w:lang w:val="en-US"/>
              </w:rPr>
            </w:pPr>
          </w:p>
        </w:tc>
      </w:tr>
      <w:tr w:rsidR="009C13A9" w:rsidRPr="00296858" w:rsidTr="009C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9C13A9" w:rsidRPr="00C903F8" w:rsidRDefault="009C13A9" w:rsidP="009C13A9">
            <w:pPr>
              <w:rPr>
                <w:noProof/>
                <w:lang w:val="en-US"/>
              </w:rPr>
            </w:pPr>
          </w:p>
        </w:tc>
        <w:tc>
          <w:tcPr>
            <w:tcW w:w="7230" w:type="dxa"/>
            <w:gridSpan w:val="7"/>
            <w:tcBorders>
              <w:top w:val="dotted" w:sz="4" w:space="0" w:color="auto"/>
              <w:bottom w:val="dotted" w:sz="4" w:space="0" w:color="auto"/>
            </w:tcBorders>
            <w:vAlign w:val="center"/>
          </w:tcPr>
          <w:p w:rsidR="009C13A9" w:rsidRPr="00C903F8" w:rsidRDefault="009C13A9" w:rsidP="009C13A9">
            <w:pPr>
              <w:rPr>
                <w:noProof/>
                <w:lang w:val="en-US"/>
              </w:rPr>
            </w:pPr>
          </w:p>
        </w:tc>
      </w:tr>
      <w:tr w:rsidR="009C13A9" w:rsidRPr="00296858" w:rsidTr="009C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9C13A9" w:rsidRPr="00C903F8" w:rsidRDefault="009C13A9" w:rsidP="009C13A9">
            <w:pPr>
              <w:rPr>
                <w:noProof/>
                <w:lang w:val="en-US"/>
              </w:rPr>
            </w:pPr>
          </w:p>
        </w:tc>
        <w:tc>
          <w:tcPr>
            <w:tcW w:w="7230" w:type="dxa"/>
            <w:gridSpan w:val="7"/>
            <w:tcBorders>
              <w:top w:val="dotted" w:sz="4" w:space="0" w:color="auto"/>
              <w:bottom w:val="dotted" w:sz="4" w:space="0" w:color="auto"/>
            </w:tcBorders>
            <w:vAlign w:val="center"/>
          </w:tcPr>
          <w:p w:rsidR="009C13A9" w:rsidRPr="00C903F8" w:rsidRDefault="009C13A9" w:rsidP="009C13A9">
            <w:pPr>
              <w:rPr>
                <w:noProof/>
                <w:lang w:val="en-US"/>
              </w:rPr>
            </w:pPr>
          </w:p>
        </w:tc>
      </w:tr>
      <w:tr w:rsidR="009C13A9" w:rsidRPr="00296858" w:rsidTr="009C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9C13A9" w:rsidRPr="00C903F8" w:rsidRDefault="009C13A9" w:rsidP="009C13A9">
            <w:pPr>
              <w:rPr>
                <w:noProof/>
                <w:lang w:val="en-US"/>
              </w:rPr>
            </w:pPr>
          </w:p>
        </w:tc>
        <w:tc>
          <w:tcPr>
            <w:tcW w:w="7230" w:type="dxa"/>
            <w:gridSpan w:val="7"/>
            <w:tcBorders>
              <w:top w:val="dotted" w:sz="4" w:space="0" w:color="auto"/>
              <w:bottom w:val="dotted" w:sz="4" w:space="0" w:color="auto"/>
            </w:tcBorders>
            <w:vAlign w:val="center"/>
          </w:tcPr>
          <w:p w:rsidR="009C13A9" w:rsidRPr="00C903F8" w:rsidRDefault="009C13A9" w:rsidP="009C13A9">
            <w:pPr>
              <w:rPr>
                <w:noProof/>
                <w:lang w:val="en-US"/>
              </w:rPr>
            </w:pPr>
          </w:p>
        </w:tc>
      </w:tr>
      <w:tr w:rsidR="009C13A9" w:rsidRPr="00296858" w:rsidTr="009C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60"/>
          <w:jc w:val="center"/>
        </w:trPr>
        <w:tc>
          <w:tcPr>
            <w:tcW w:w="9215" w:type="dxa"/>
            <w:gridSpan w:val="11"/>
            <w:vAlign w:val="center"/>
          </w:tcPr>
          <w:p w:rsidR="009C13A9" w:rsidRPr="00C903F8" w:rsidRDefault="009C13A9" w:rsidP="009C13A9">
            <w:pPr>
              <w:rPr>
                <w:noProof/>
                <w:lang w:val="en-US"/>
              </w:rPr>
            </w:pPr>
          </w:p>
        </w:tc>
      </w:tr>
      <w:tr w:rsidR="009C13A9" w:rsidRPr="00C903F8" w:rsidTr="009C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5"/>
            <w:vAlign w:val="center"/>
          </w:tcPr>
          <w:p w:rsidR="009C13A9" w:rsidRPr="00C903F8" w:rsidRDefault="009C13A9" w:rsidP="009C13A9">
            <w:pPr>
              <w:rPr>
                <w:noProof/>
                <w:sz w:val="18"/>
                <w:szCs w:val="18"/>
                <w:lang w:val="en-US"/>
              </w:rPr>
            </w:pPr>
          </w:p>
        </w:tc>
        <w:tc>
          <w:tcPr>
            <w:tcW w:w="1984" w:type="dxa"/>
            <w:gridSpan w:val="3"/>
            <w:vAlign w:val="center"/>
          </w:tcPr>
          <w:p w:rsidR="009C13A9" w:rsidRPr="00C903F8" w:rsidRDefault="009C13A9" w:rsidP="009C13A9">
            <w:pPr>
              <w:rPr>
                <w:noProof/>
                <w:sz w:val="18"/>
                <w:szCs w:val="18"/>
              </w:rPr>
            </w:pPr>
            <w:r w:rsidRPr="00C903F8">
              <w:rPr>
                <w:noProof/>
                <w:sz w:val="18"/>
                <w:szCs w:val="18"/>
              </w:rPr>
              <w:t>Name of inspector:</w:t>
            </w:r>
          </w:p>
        </w:tc>
        <w:tc>
          <w:tcPr>
            <w:tcW w:w="4679" w:type="dxa"/>
            <w:gridSpan w:val="3"/>
            <w:tcBorders>
              <w:bottom w:val="dotted" w:sz="4" w:space="0" w:color="auto"/>
            </w:tcBorders>
            <w:vAlign w:val="center"/>
          </w:tcPr>
          <w:p w:rsidR="009C13A9" w:rsidRPr="00C903F8" w:rsidRDefault="009C13A9" w:rsidP="009C13A9">
            <w:pPr>
              <w:rPr>
                <w:noProof/>
                <w:sz w:val="18"/>
                <w:szCs w:val="18"/>
              </w:rPr>
            </w:pPr>
          </w:p>
        </w:tc>
      </w:tr>
      <w:tr w:rsidR="009C13A9" w:rsidRPr="00C903F8" w:rsidTr="009C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jc w:val="center"/>
        </w:trPr>
        <w:tc>
          <w:tcPr>
            <w:tcW w:w="9215" w:type="dxa"/>
            <w:gridSpan w:val="11"/>
            <w:vAlign w:val="center"/>
          </w:tcPr>
          <w:p w:rsidR="009C13A9" w:rsidRPr="00C903F8" w:rsidRDefault="009C13A9" w:rsidP="009C13A9">
            <w:pPr>
              <w:rPr>
                <w:noProof/>
              </w:rPr>
            </w:pPr>
          </w:p>
        </w:tc>
      </w:tr>
      <w:tr w:rsidR="009C13A9" w:rsidRPr="00C903F8" w:rsidTr="009C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5"/>
            <w:vAlign w:val="center"/>
          </w:tcPr>
          <w:p w:rsidR="009C13A9" w:rsidRPr="00C903F8" w:rsidRDefault="009C13A9" w:rsidP="009C13A9">
            <w:pPr>
              <w:rPr>
                <w:noProof/>
                <w:sz w:val="18"/>
                <w:szCs w:val="18"/>
              </w:rPr>
            </w:pPr>
          </w:p>
        </w:tc>
        <w:tc>
          <w:tcPr>
            <w:tcW w:w="1984" w:type="dxa"/>
            <w:gridSpan w:val="3"/>
            <w:vAlign w:val="center"/>
          </w:tcPr>
          <w:p w:rsidR="009C13A9" w:rsidRPr="00C903F8" w:rsidRDefault="009C13A9" w:rsidP="009C13A9">
            <w:pPr>
              <w:rPr>
                <w:noProof/>
                <w:sz w:val="18"/>
                <w:szCs w:val="18"/>
              </w:rPr>
            </w:pPr>
            <w:r w:rsidRPr="00C903F8">
              <w:rPr>
                <w:noProof/>
                <w:sz w:val="18"/>
                <w:szCs w:val="18"/>
              </w:rPr>
              <w:t>Place and date:</w:t>
            </w:r>
          </w:p>
        </w:tc>
        <w:tc>
          <w:tcPr>
            <w:tcW w:w="4679" w:type="dxa"/>
            <w:gridSpan w:val="3"/>
            <w:tcBorders>
              <w:bottom w:val="dotted" w:sz="4" w:space="0" w:color="auto"/>
            </w:tcBorders>
            <w:vAlign w:val="center"/>
          </w:tcPr>
          <w:p w:rsidR="009C13A9" w:rsidRPr="00C903F8" w:rsidRDefault="009C13A9" w:rsidP="009C13A9">
            <w:pPr>
              <w:rPr>
                <w:noProof/>
                <w:sz w:val="18"/>
                <w:szCs w:val="18"/>
              </w:rPr>
            </w:pPr>
          </w:p>
        </w:tc>
      </w:tr>
      <w:tr w:rsidR="009C13A9" w:rsidRPr="00C903F8" w:rsidTr="009C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5"/>
            <w:vAlign w:val="center"/>
          </w:tcPr>
          <w:p w:rsidR="009C13A9" w:rsidRPr="00C903F8" w:rsidRDefault="009C13A9" w:rsidP="009C13A9">
            <w:pPr>
              <w:rPr>
                <w:noProof/>
                <w:sz w:val="18"/>
                <w:szCs w:val="18"/>
              </w:rPr>
            </w:pPr>
          </w:p>
        </w:tc>
        <w:tc>
          <w:tcPr>
            <w:tcW w:w="1984" w:type="dxa"/>
            <w:gridSpan w:val="3"/>
            <w:vAlign w:val="center"/>
          </w:tcPr>
          <w:p w:rsidR="009C13A9" w:rsidRPr="00C903F8" w:rsidRDefault="009C13A9" w:rsidP="009C13A9">
            <w:pPr>
              <w:rPr>
                <w:noProof/>
                <w:sz w:val="18"/>
                <w:szCs w:val="18"/>
              </w:rPr>
            </w:pPr>
            <w:r w:rsidRPr="00C903F8">
              <w:rPr>
                <w:noProof/>
                <w:sz w:val="18"/>
                <w:szCs w:val="18"/>
              </w:rPr>
              <w:t>Signature:</w:t>
            </w:r>
          </w:p>
        </w:tc>
        <w:tc>
          <w:tcPr>
            <w:tcW w:w="4679" w:type="dxa"/>
            <w:gridSpan w:val="3"/>
            <w:tcBorders>
              <w:bottom w:val="dotted" w:sz="4" w:space="0" w:color="auto"/>
            </w:tcBorders>
            <w:vAlign w:val="center"/>
          </w:tcPr>
          <w:p w:rsidR="009C13A9" w:rsidRPr="00C903F8" w:rsidRDefault="009C13A9" w:rsidP="009C13A9">
            <w:pPr>
              <w:rPr>
                <w:noProof/>
                <w:sz w:val="18"/>
                <w:szCs w:val="18"/>
              </w:rPr>
            </w:pPr>
          </w:p>
        </w:tc>
      </w:tr>
      <w:tr w:rsidR="009C13A9" w:rsidRPr="00C903F8" w:rsidTr="009C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jc w:val="center"/>
        </w:trPr>
        <w:tc>
          <w:tcPr>
            <w:tcW w:w="9215" w:type="dxa"/>
            <w:gridSpan w:val="11"/>
            <w:vAlign w:val="center"/>
          </w:tcPr>
          <w:p w:rsidR="009C13A9" w:rsidRPr="00C903F8" w:rsidRDefault="009C13A9" w:rsidP="009C13A9">
            <w:pPr>
              <w:rPr>
                <w:noProof/>
              </w:rPr>
            </w:pPr>
          </w:p>
        </w:tc>
      </w:tr>
      <w:tr w:rsidR="009C13A9" w:rsidRPr="00C903F8" w:rsidTr="009C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gridSpan w:val="2"/>
            <w:vAlign w:val="center"/>
          </w:tcPr>
          <w:p w:rsidR="009C13A9" w:rsidRPr="00C903F8" w:rsidRDefault="009C13A9" w:rsidP="009C13A9">
            <w:pPr>
              <w:ind w:left="0" w:firstLine="0"/>
              <w:rPr>
                <w:noProof/>
                <w:sz w:val="18"/>
                <w:szCs w:val="18"/>
              </w:rPr>
            </w:pPr>
          </w:p>
        </w:tc>
        <w:tc>
          <w:tcPr>
            <w:tcW w:w="1276" w:type="dxa"/>
            <w:gridSpan w:val="3"/>
            <w:vAlign w:val="center"/>
          </w:tcPr>
          <w:p w:rsidR="009C13A9" w:rsidRPr="00C903F8" w:rsidRDefault="009C13A9" w:rsidP="009C13A9">
            <w:pPr>
              <w:rPr>
                <w:noProof/>
                <w:sz w:val="18"/>
                <w:szCs w:val="18"/>
              </w:rPr>
            </w:pPr>
          </w:p>
        </w:tc>
        <w:tc>
          <w:tcPr>
            <w:tcW w:w="1984" w:type="dxa"/>
            <w:gridSpan w:val="3"/>
            <w:vAlign w:val="center"/>
          </w:tcPr>
          <w:p w:rsidR="009C13A9" w:rsidRPr="00C903F8" w:rsidRDefault="009C13A9" w:rsidP="009C13A9">
            <w:pPr>
              <w:rPr>
                <w:noProof/>
                <w:sz w:val="18"/>
                <w:szCs w:val="18"/>
              </w:rPr>
            </w:pPr>
          </w:p>
        </w:tc>
        <w:tc>
          <w:tcPr>
            <w:tcW w:w="4679" w:type="dxa"/>
            <w:gridSpan w:val="3"/>
            <w:vAlign w:val="center"/>
          </w:tcPr>
          <w:p w:rsidR="009C13A9" w:rsidRPr="00C903F8" w:rsidRDefault="009C13A9" w:rsidP="009C13A9">
            <w:pPr>
              <w:rPr>
                <w:noProof/>
                <w:sz w:val="18"/>
                <w:szCs w:val="18"/>
              </w:rPr>
            </w:pPr>
          </w:p>
        </w:tc>
      </w:tr>
      <w:tr w:rsidR="009C13A9" w:rsidRPr="00C903F8" w:rsidTr="009C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898" w:type="dxa"/>
            <w:gridSpan w:val="10"/>
            <w:vAlign w:val="center"/>
          </w:tcPr>
          <w:p w:rsidR="009C13A9" w:rsidRPr="00C903F8" w:rsidRDefault="009C13A9" w:rsidP="009C13A9">
            <w:pPr>
              <w:ind w:left="286" w:hanging="286"/>
              <w:rPr>
                <w:noProof/>
                <w:sz w:val="16"/>
                <w:szCs w:val="16"/>
                <w:lang w:val="en-US"/>
              </w:rPr>
            </w:pPr>
          </w:p>
        </w:tc>
        <w:tc>
          <w:tcPr>
            <w:tcW w:w="3317" w:type="dxa"/>
            <w:vAlign w:val="center"/>
          </w:tcPr>
          <w:p w:rsidR="009C13A9" w:rsidRPr="00C903F8" w:rsidRDefault="009C13A9" w:rsidP="009C13A9">
            <w:pPr>
              <w:rPr>
                <w:noProof/>
                <w:lang w:val="en-US"/>
              </w:rPr>
            </w:pPr>
          </w:p>
        </w:tc>
      </w:tr>
      <w:tr w:rsidR="009C13A9" w:rsidRPr="00C903F8" w:rsidTr="009C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898" w:type="dxa"/>
            <w:gridSpan w:val="10"/>
            <w:vAlign w:val="center"/>
          </w:tcPr>
          <w:p w:rsidR="009C13A9" w:rsidRPr="00C903F8" w:rsidRDefault="009C13A9" w:rsidP="009C13A9">
            <w:pPr>
              <w:rPr>
                <w:noProof/>
                <w:sz w:val="16"/>
                <w:szCs w:val="16"/>
                <w:vertAlign w:val="superscript"/>
                <w:lang w:val="en-US"/>
              </w:rPr>
            </w:pPr>
          </w:p>
          <w:p w:rsidR="009C13A9" w:rsidRPr="00C903F8" w:rsidRDefault="009C13A9" w:rsidP="009C13A9">
            <w:pPr>
              <w:rPr>
                <w:noProof/>
                <w:sz w:val="16"/>
                <w:szCs w:val="16"/>
                <w:vertAlign w:val="superscript"/>
                <w:lang w:val="en-US"/>
              </w:rPr>
            </w:pPr>
          </w:p>
        </w:tc>
        <w:tc>
          <w:tcPr>
            <w:tcW w:w="3317" w:type="dxa"/>
            <w:vAlign w:val="center"/>
          </w:tcPr>
          <w:p w:rsidR="009C13A9" w:rsidRPr="00C903F8" w:rsidRDefault="009C13A9" w:rsidP="009C13A9">
            <w:pPr>
              <w:rPr>
                <w:noProof/>
                <w:lang w:val="en-US"/>
              </w:rPr>
            </w:pPr>
          </w:p>
        </w:tc>
      </w:tr>
    </w:tbl>
    <w:p w:rsidR="009C13A9" w:rsidRPr="00C903F8" w:rsidRDefault="009C13A9" w:rsidP="009C13A9">
      <w:pPr>
        <w:tabs>
          <w:tab w:val="left" w:pos="1021"/>
          <w:tab w:val="center" w:pos="8080"/>
        </w:tabs>
        <w:suppressAutoHyphens/>
        <w:autoSpaceDE/>
        <w:autoSpaceDN/>
        <w:spacing w:line="240" w:lineRule="atLeast"/>
        <w:ind w:left="0" w:firstLine="0"/>
        <w:jc w:val="left"/>
        <w:rPr>
          <w:rFonts w:cs="Arial"/>
          <w:sz w:val="24"/>
          <w:lang w:val="en-US" w:eastAsia="ar-SA"/>
        </w:rPr>
        <w:sectPr w:rsidR="009C13A9" w:rsidRPr="00C903F8" w:rsidSect="00FB55E9">
          <w:headerReference w:type="default" r:id="rId92"/>
          <w:footerReference w:type="default" r:id="rId93"/>
          <w:headerReference w:type="first" r:id="rId94"/>
          <w:footerReference w:type="first" r:id="rId95"/>
          <w:footnotePr>
            <w:numRestart w:val="eachPage"/>
          </w:footnotePr>
          <w:pgSz w:w="11907" w:h="16840"/>
          <w:pgMar w:top="1247" w:right="1418" w:bottom="1247" w:left="1418" w:header="720" w:footer="720" w:gutter="0"/>
          <w:cols w:space="720"/>
          <w:docGrid w:linePitch="272"/>
        </w:sectPr>
      </w:pPr>
    </w:p>
    <w:p w:rsidR="009E363E" w:rsidRPr="00C903F8" w:rsidRDefault="009E363E" w:rsidP="009E363E">
      <w:pPr>
        <w:pStyle w:val="ES-Titre3"/>
        <w:rPr>
          <w:noProof/>
          <w:lang w:val="en-US"/>
        </w:rPr>
      </w:pPr>
      <w:bookmarkStart w:id="380" w:name="_Toc491854340"/>
      <w:r w:rsidRPr="00C903F8">
        <w:rPr>
          <w:noProof/>
          <w:lang w:val="en-US"/>
        </w:rPr>
        <w:lastRenderedPageBreak/>
        <w:t>Section I</w:t>
      </w:r>
      <w:r w:rsidR="00F716DC" w:rsidRPr="00C903F8">
        <w:rPr>
          <w:noProof/>
          <w:lang w:val="en-US"/>
        </w:rPr>
        <w:t>X</w:t>
      </w:r>
      <w:bookmarkEnd w:id="380"/>
    </w:p>
    <w:p w:rsidR="009E363E" w:rsidRPr="00C903F8" w:rsidRDefault="00F716DC" w:rsidP="009E363E">
      <w:pPr>
        <w:pStyle w:val="ES-Titre3a"/>
        <w:rPr>
          <w:noProof/>
          <w:lang w:val="en-US"/>
        </w:rPr>
      </w:pPr>
      <w:bookmarkStart w:id="381" w:name="_Toc491854341"/>
      <w:r w:rsidRPr="00C903F8">
        <w:rPr>
          <w:noProof/>
          <w:lang w:val="en-US"/>
        </w:rPr>
        <w:t>Test procedure</w:t>
      </w:r>
      <w:bookmarkEnd w:id="381"/>
    </w:p>
    <w:p w:rsidR="009C13A9" w:rsidRPr="00C903F8" w:rsidRDefault="009C13A9" w:rsidP="009C13A9">
      <w:pPr>
        <w:tabs>
          <w:tab w:val="left" w:pos="1021"/>
          <w:tab w:val="center" w:pos="8080"/>
        </w:tabs>
        <w:suppressAutoHyphens/>
        <w:autoSpaceDE/>
        <w:autoSpaceDN/>
        <w:spacing w:line="240" w:lineRule="atLeast"/>
        <w:ind w:left="0" w:firstLine="0"/>
        <w:rPr>
          <w:rFonts w:cs="Arial"/>
          <w:szCs w:val="20"/>
          <w:lang w:val="en-US" w:eastAsia="ar-SA"/>
        </w:rPr>
      </w:pPr>
    </w:p>
    <w:p w:rsidR="009C13A9" w:rsidRPr="00C903F8" w:rsidRDefault="009C13A9" w:rsidP="009C13A9">
      <w:pPr>
        <w:spacing w:line="240" w:lineRule="atLeast"/>
        <w:rPr>
          <w:rFonts w:cs="Arial"/>
          <w:b/>
          <w:noProof/>
          <w:color w:val="000000"/>
          <w:lang w:val="en-US" w:eastAsia="en-GB"/>
        </w:rPr>
      </w:pPr>
      <w:r w:rsidRPr="00C903F8">
        <w:rPr>
          <w:rFonts w:cs="Arial"/>
          <w:b/>
          <w:noProof/>
          <w:color w:val="000000"/>
          <w:lang w:val="en-US" w:eastAsia="en-GB"/>
        </w:rPr>
        <w:t>1.</w:t>
      </w:r>
      <w:r w:rsidRPr="00C903F8">
        <w:rPr>
          <w:rFonts w:cs="Arial"/>
          <w:b/>
          <w:noProof/>
          <w:color w:val="000000"/>
          <w:lang w:val="en-US" w:eastAsia="en-GB"/>
        </w:rPr>
        <w:tab/>
        <w:t>General</w:t>
      </w:r>
    </w:p>
    <w:p w:rsidR="009C13A9" w:rsidRPr="00C903F8" w:rsidRDefault="009C13A9" w:rsidP="009C13A9">
      <w:pPr>
        <w:spacing w:line="240" w:lineRule="atLeast"/>
        <w:rPr>
          <w:rFonts w:cs="Arial"/>
          <w:noProof/>
          <w:color w:val="000000"/>
          <w:lang w:val="en-US" w:eastAsia="en-GB"/>
        </w:rPr>
      </w:pP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t>1.1</w:t>
      </w:r>
      <w:r w:rsidRPr="00C903F8">
        <w:rPr>
          <w:rFonts w:cs="Arial"/>
          <w:noProof/>
          <w:color w:val="000000"/>
          <w:lang w:val="en-US" w:eastAsia="en-GB"/>
        </w:rPr>
        <w:tab/>
        <w:t>Basics</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 xml:space="preserve">The test specification shall be used to verify the suitability of on-board sewage treatment plants on passenger vessels. </w:t>
      </w:r>
    </w:p>
    <w:p w:rsidR="009C13A9" w:rsidRPr="00C903F8" w:rsidRDefault="009C13A9" w:rsidP="009C13A9">
      <w:pPr>
        <w:spacing w:line="240" w:lineRule="atLeast"/>
        <w:ind w:left="426" w:firstLine="0"/>
        <w:rPr>
          <w:noProof/>
          <w:lang w:val="en-US" w:eastAsia="nl-NL"/>
        </w:rPr>
      </w:pPr>
      <w:r w:rsidRPr="00C903F8">
        <w:rPr>
          <w:noProof/>
          <w:lang w:val="en-US" w:eastAsia="nl-NL"/>
        </w:rPr>
        <w:t>In this procedure, the process and treatment technology used shall be examined and approved by means of a test plant. Conformity of the test plant with the treatment plants in service later is assured by applying identical design and dimensioning criteria.</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t>1.2.</w:t>
      </w:r>
      <w:r w:rsidRPr="00C903F8">
        <w:rPr>
          <w:rFonts w:cs="Arial"/>
          <w:noProof/>
          <w:color w:val="000000"/>
          <w:lang w:val="en-US" w:eastAsia="en-GB"/>
        </w:rPr>
        <w:tab/>
        <w:t>Responsibility and test location</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 xml:space="preserve">The test plant for a range of on-board sewage treatment plant types shall be tested by a technical service. The test conditions at the test site are the responsibility of the technical service and must correspond to the conditions specified here. </w:t>
      </w:r>
    </w:p>
    <w:p w:rsidR="009C13A9" w:rsidRPr="00C903F8" w:rsidRDefault="009C13A9" w:rsidP="009C13A9">
      <w:pPr>
        <w:ind w:left="850" w:hanging="850"/>
        <w:rPr>
          <w:noProof/>
          <w:lang w:val="en-US" w:eastAsia="en-GB"/>
        </w:rPr>
      </w:pP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t>1.3</w:t>
      </w:r>
      <w:r w:rsidRPr="00C903F8">
        <w:rPr>
          <w:rFonts w:cs="Arial"/>
          <w:noProof/>
          <w:color w:val="000000"/>
          <w:lang w:val="en-US" w:eastAsia="en-GB"/>
        </w:rPr>
        <w:tab/>
        <w:t>Documents to be submitted</w:t>
      </w:r>
    </w:p>
    <w:p w:rsidR="009C13A9" w:rsidRPr="00C903F8" w:rsidRDefault="009C13A9" w:rsidP="009C13A9">
      <w:pPr>
        <w:ind w:left="851"/>
        <w:rPr>
          <w:noProof/>
          <w:lang w:val="en-US" w:eastAsia="en-GB"/>
        </w:rPr>
      </w:pPr>
    </w:p>
    <w:p w:rsidR="009C13A9" w:rsidRPr="00C903F8" w:rsidRDefault="009C13A9" w:rsidP="009C13A9">
      <w:pPr>
        <w:spacing w:line="240" w:lineRule="atLeast"/>
        <w:ind w:left="426" w:firstLine="0"/>
        <w:rPr>
          <w:noProof/>
          <w:lang w:val="en-US" w:eastAsia="nl-NL"/>
        </w:rPr>
      </w:pPr>
      <w:r w:rsidRPr="00C903F8">
        <w:rPr>
          <w:noProof/>
          <w:lang w:val="en-US" w:eastAsia="nl-NL"/>
        </w:rPr>
        <w:t>The test shall be carried out on the basis of the information document in accordance with Annex </w:t>
      </w:r>
      <w:r w:rsidR="00B0625C" w:rsidRPr="00C903F8">
        <w:rPr>
          <w:noProof/>
          <w:lang w:val="en-US" w:eastAsia="nl-NL"/>
        </w:rPr>
        <w:t>7</w:t>
      </w:r>
      <w:r w:rsidRPr="00C903F8">
        <w:rPr>
          <w:noProof/>
          <w:lang w:val="en-US" w:eastAsia="nl-NL"/>
        </w:rPr>
        <w:t xml:space="preserve">, </w:t>
      </w:r>
      <w:r w:rsidR="001B6FDF" w:rsidRPr="00C903F8">
        <w:rPr>
          <w:noProof/>
          <w:lang w:val="en-US" w:eastAsia="nl-NL"/>
        </w:rPr>
        <w:t xml:space="preserve">Section </w:t>
      </w:r>
      <w:r w:rsidRPr="00C903F8">
        <w:rPr>
          <w:noProof/>
          <w:lang w:val="en-US" w:eastAsia="nl-NL"/>
        </w:rPr>
        <w:t xml:space="preserve">II. </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t>1.4</w:t>
      </w:r>
      <w:r w:rsidRPr="00C903F8">
        <w:rPr>
          <w:rFonts w:cs="Arial"/>
          <w:noProof/>
          <w:color w:val="000000"/>
          <w:lang w:val="en-US" w:eastAsia="en-GB"/>
        </w:rPr>
        <w:tab/>
        <w:t xml:space="preserve">Plant dimensioning specifications </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The on-board sewage treatment plants shall be dimensioned and designed such that the limit values specified in Article 18.01(2), Tables 1 and 2 in their outflow are not exceeded in the course of their operation.</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rPr>
          <w:rFonts w:cs="Arial"/>
          <w:b/>
          <w:noProof/>
          <w:color w:val="000000"/>
          <w:lang w:val="en-US" w:eastAsia="en-GB"/>
        </w:rPr>
      </w:pPr>
      <w:r w:rsidRPr="00C903F8">
        <w:rPr>
          <w:rFonts w:cs="Arial"/>
          <w:b/>
          <w:noProof/>
          <w:color w:val="000000"/>
          <w:lang w:val="en-US" w:eastAsia="en-GB"/>
        </w:rPr>
        <w:t>2.</w:t>
      </w:r>
      <w:r w:rsidRPr="00C903F8">
        <w:rPr>
          <w:rFonts w:cs="Arial"/>
          <w:b/>
          <w:noProof/>
          <w:color w:val="000000"/>
          <w:lang w:val="en-US" w:eastAsia="en-GB"/>
        </w:rPr>
        <w:tab/>
        <w:t xml:space="preserve">Measures preparatory to testing </w:t>
      </w:r>
    </w:p>
    <w:p w:rsidR="009C13A9" w:rsidRPr="00C903F8" w:rsidRDefault="009C13A9" w:rsidP="009C13A9">
      <w:pPr>
        <w:spacing w:line="240" w:lineRule="atLeast"/>
        <w:rPr>
          <w:rFonts w:cs="Arial"/>
          <w:noProof/>
          <w:color w:val="000000"/>
          <w:lang w:val="en-US" w:eastAsia="en-GB"/>
        </w:rPr>
      </w:pP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t>2.1</w:t>
      </w:r>
      <w:r w:rsidRPr="00C903F8">
        <w:rPr>
          <w:rFonts w:cs="Arial"/>
          <w:noProof/>
          <w:color w:val="000000"/>
          <w:lang w:val="en-US" w:eastAsia="en-GB"/>
        </w:rPr>
        <w:tab/>
        <w:t>General</w:t>
      </w:r>
    </w:p>
    <w:p w:rsidR="009C13A9" w:rsidRPr="00C903F8" w:rsidRDefault="009C13A9" w:rsidP="009C13A9">
      <w:pPr>
        <w:spacing w:line="240" w:lineRule="atLeast"/>
        <w:rPr>
          <w:rFonts w:cs="Arial"/>
          <w:noProof/>
          <w:color w:val="000000"/>
          <w:lang w:val="en-US" w:eastAsia="en-GB"/>
        </w:rPr>
      </w:pPr>
    </w:p>
    <w:p w:rsidR="009C13A9" w:rsidRPr="00C903F8" w:rsidRDefault="009C13A9" w:rsidP="009C13A9">
      <w:pPr>
        <w:spacing w:line="240" w:lineRule="atLeast"/>
        <w:ind w:left="426" w:firstLine="0"/>
        <w:rPr>
          <w:noProof/>
          <w:lang w:val="en-US" w:eastAsia="nl-NL"/>
        </w:rPr>
      </w:pPr>
      <w:r w:rsidRPr="00C903F8">
        <w:rPr>
          <w:noProof/>
          <w:lang w:val="en-US" w:eastAsia="nl-NL"/>
        </w:rPr>
        <w:t xml:space="preserve">Prior to commencement of the test the manufacturer shall supply the technical service with structural and process specifications of the test plant, to include a complete set of drawings and supporting calculations in accordance with Annex </w:t>
      </w:r>
      <w:r w:rsidR="00B0625C" w:rsidRPr="00C903F8">
        <w:rPr>
          <w:noProof/>
          <w:lang w:val="en-US" w:eastAsia="nl-NL"/>
        </w:rPr>
        <w:t>7</w:t>
      </w:r>
      <w:r w:rsidRPr="00C903F8">
        <w:rPr>
          <w:noProof/>
          <w:lang w:val="en-US" w:eastAsia="nl-NL"/>
        </w:rPr>
        <w:t xml:space="preserve">, </w:t>
      </w:r>
      <w:r w:rsidR="00925755" w:rsidRPr="00C903F8">
        <w:rPr>
          <w:noProof/>
          <w:lang w:val="en-US" w:eastAsia="nl-NL"/>
        </w:rPr>
        <w:t>Section</w:t>
      </w:r>
      <w:r w:rsidRPr="00C903F8">
        <w:rPr>
          <w:noProof/>
          <w:lang w:val="en-US" w:eastAsia="nl-NL"/>
        </w:rPr>
        <w:t xml:space="preserve"> II, and shall provide full information on the on-board sewage treatment plant’s requirements in terms of installation, operation and maintenance. The manufacturer shall supply the technical service with information on the mechanical, electrical and technical safety of the on-board sewage treatment plant to be tested.</w:t>
      </w:r>
    </w:p>
    <w:p w:rsidR="009C13A9" w:rsidRPr="00C903F8" w:rsidRDefault="009C13A9" w:rsidP="009C13A9">
      <w:pPr>
        <w:ind w:left="851"/>
        <w:rPr>
          <w:noProof/>
          <w:lang w:val="en-US" w:eastAsia="en-GB"/>
        </w:rPr>
      </w:pP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t>2.2</w:t>
      </w:r>
      <w:r w:rsidRPr="00C903F8">
        <w:rPr>
          <w:rFonts w:cs="Arial"/>
          <w:noProof/>
          <w:color w:val="000000"/>
          <w:lang w:val="en-US" w:eastAsia="en-GB"/>
        </w:rPr>
        <w:tab/>
        <w:t>Installation and putting into service</w:t>
      </w:r>
    </w:p>
    <w:p w:rsidR="009C13A9" w:rsidRPr="00C903F8" w:rsidRDefault="009C13A9" w:rsidP="009C13A9">
      <w:pPr>
        <w:ind w:left="851"/>
        <w:rPr>
          <w:noProof/>
          <w:lang w:val="en-US" w:eastAsia="en-GB"/>
        </w:rPr>
      </w:pPr>
    </w:p>
    <w:p w:rsidR="009C13A9" w:rsidRPr="00C903F8" w:rsidRDefault="009C13A9" w:rsidP="009C13A9">
      <w:pPr>
        <w:spacing w:line="240" w:lineRule="atLeast"/>
        <w:ind w:left="426" w:firstLine="0"/>
        <w:rPr>
          <w:noProof/>
          <w:lang w:val="en-US" w:eastAsia="nl-NL"/>
        </w:rPr>
      </w:pPr>
      <w:r w:rsidRPr="00C903F8">
        <w:rPr>
          <w:noProof/>
          <w:lang w:val="en-US" w:eastAsia="nl-NL"/>
        </w:rPr>
        <w:t xml:space="preserve">For the purpose of the test, the manufacturer shall install the test plant in such a way as to correspond to the intended installation conditions on board passenger vessels. Prior to testing the manufacturer must assemble the on-board sewage treatment plant and put it into service. Start-up must be in accordance with the manufacturer’s operating instructions and shall be checked by the technical service. </w:t>
      </w:r>
    </w:p>
    <w:p w:rsidR="009C13A9" w:rsidRPr="00C903F8" w:rsidRDefault="009C13A9" w:rsidP="009C13A9">
      <w:pPr>
        <w:ind w:left="850" w:hanging="850"/>
        <w:rPr>
          <w:noProof/>
          <w:lang w:val="en-US" w:eastAsia="en-GB"/>
        </w:rPr>
      </w:pPr>
    </w:p>
    <w:p w:rsidR="009C13A9" w:rsidRPr="00C903F8" w:rsidRDefault="009C13A9" w:rsidP="009C13A9">
      <w:pPr>
        <w:ind w:left="850" w:hanging="850"/>
        <w:rPr>
          <w:noProof/>
          <w:lang w:val="en-US" w:eastAsia="en-GB"/>
        </w:rPr>
      </w:pPr>
      <w:r w:rsidRPr="00C903F8">
        <w:rPr>
          <w:noProof/>
          <w:lang w:val="en-US" w:eastAsia="en-GB"/>
        </w:rPr>
        <w:br w:type="page"/>
      </w: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lastRenderedPageBreak/>
        <w:t>2.3</w:t>
      </w:r>
      <w:r w:rsidRPr="00C903F8">
        <w:rPr>
          <w:rFonts w:cs="Arial"/>
          <w:noProof/>
          <w:color w:val="000000"/>
          <w:lang w:val="en-US" w:eastAsia="en-GB"/>
        </w:rPr>
        <w:tab/>
        <w:t>Run-in phase</w:t>
      </w:r>
    </w:p>
    <w:p w:rsidR="009C13A9" w:rsidRPr="00C903F8" w:rsidRDefault="009C13A9" w:rsidP="009C13A9">
      <w:pPr>
        <w:ind w:left="851"/>
        <w:rPr>
          <w:noProof/>
          <w:lang w:val="en-US" w:eastAsia="en-GB"/>
        </w:rPr>
      </w:pPr>
    </w:p>
    <w:p w:rsidR="009C13A9" w:rsidRPr="00C903F8" w:rsidRDefault="009C13A9" w:rsidP="009C13A9">
      <w:pPr>
        <w:spacing w:line="240" w:lineRule="atLeast"/>
        <w:ind w:left="426" w:firstLine="0"/>
        <w:rPr>
          <w:noProof/>
          <w:lang w:val="en-US" w:eastAsia="nl-NL"/>
        </w:rPr>
      </w:pPr>
      <w:r w:rsidRPr="00C903F8">
        <w:rPr>
          <w:noProof/>
          <w:lang w:val="en-US" w:eastAsia="nl-NL"/>
        </w:rPr>
        <w:t>The manufacturer shall notify the technical service of the nominal duration of the run-in phase up to normal operation in weeks. The manufacturer shall specify the point where the run</w:t>
      </w:r>
      <w:r w:rsidRPr="00C903F8">
        <w:rPr>
          <w:noProof/>
          <w:lang w:val="en-US" w:eastAsia="nl-NL"/>
        </w:rPr>
        <w:noBreakHyphen/>
        <w:t>in phase is deemed to be complete and testing may commence.</w:t>
      </w:r>
    </w:p>
    <w:p w:rsidR="009C13A9" w:rsidRPr="00C903F8" w:rsidRDefault="009C13A9" w:rsidP="009C13A9">
      <w:pPr>
        <w:ind w:left="850" w:hanging="850"/>
        <w:rPr>
          <w:noProof/>
          <w:lang w:val="en-US" w:eastAsia="en-GB"/>
        </w:rPr>
      </w:pP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t>2.4</w:t>
      </w:r>
      <w:r w:rsidRPr="00C903F8">
        <w:rPr>
          <w:rFonts w:cs="Arial"/>
          <w:noProof/>
          <w:color w:val="000000"/>
          <w:lang w:val="en-US" w:eastAsia="en-GB"/>
        </w:rPr>
        <w:tab/>
        <w:t>Inflow characteristics</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 xml:space="preserve">Domestic raw sewage shall be used for testing the test plant. The inflow characteristics as regards pollutant concentrations shall be obtained from the on-board sewage treatment plant manufacturer’s dimensioning documentation in accordance with Annex </w:t>
      </w:r>
      <w:r w:rsidR="00B0625C" w:rsidRPr="00C903F8">
        <w:rPr>
          <w:noProof/>
          <w:lang w:val="en-US" w:eastAsia="nl-NL"/>
        </w:rPr>
        <w:t>7</w:t>
      </w:r>
      <w:r w:rsidRPr="00C903F8">
        <w:rPr>
          <w:noProof/>
          <w:lang w:val="en-US" w:eastAsia="nl-NL"/>
        </w:rPr>
        <w:t xml:space="preserve">, </w:t>
      </w:r>
      <w:r w:rsidR="00925755" w:rsidRPr="00C903F8">
        <w:rPr>
          <w:noProof/>
          <w:lang w:val="en-US" w:eastAsia="nl-NL"/>
        </w:rPr>
        <w:t>Section</w:t>
      </w:r>
      <w:r w:rsidRPr="00C903F8">
        <w:rPr>
          <w:noProof/>
          <w:lang w:val="en-US" w:eastAsia="nl-NL"/>
        </w:rPr>
        <w:t xml:space="preserve"> II by forming the quotient for the flow rate of organic substances in the form of a </w:t>
      </w:r>
      <m:oMath>
        <m:sSub>
          <m:sSubPr>
            <m:ctrlPr>
              <w:rPr>
                <w:rFonts w:ascii="Cambria Math" w:hAnsi="Cambria Math"/>
                <w:i/>
                <w:noProof/>
                <w:lang w:val="en-US" w:eastAsia="nl-NL"/>
              </w:rPr>
            </m:ctrlPr>
          </m:sSubPr>
          <m:e>
            <m:r>
              <w:rPr>
                <w:rFonts w:ascii="Cambria Math" w:hAnsi="Cambria Math"/>
                <w:noProof/>
                <w:lang w:val="en-US" w:eastAsia="nl-NL"/>
              </w:rPr>
              <m:t>BOD</m:t>
            </m:r>
          </m:e>
          <m:sub>
            <m:r>
              <w:rPr>
                <w:rFonts w:ascii="Cambria Math" w:hAnsi="Cambria Math"/>
                <w:noProof/>
                <w:lang w:val="en-US" w:eastAsia="nl-NL"/>
              </w:rPr>
              <m:t>5</m:t>
            </m:r>
          </m:sub>
        </m:sSub>
      </m:oMath>
      <w:r w:rsidRPr="00C903F8">
        <w:rPr>
          <w:noProof/>
          <w:lang w:val="en-US" w:eastAsia="nl-NL"/>
        </w:rPr>
        <w:t xml:space="preserve"> load in kg/d and the design flow rate of sewage </w:t>
      </w:r>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d</m:t>
            </m:r>
          </m:sub>
        </m:sSub>
      </m:oMath>
      <w:r w:rsidRPr="00C903F8">
        <w:rPr>
          <w:noProof/>
          <w:lang w:val="en-US" w:eastAsia="nl-NL"/>
        </w:rPr>
        <w:t xml:space="preserve"> in m³/d. The inflow characteristics shall be set acco</w:t>
      </w:r>
      <w:r w:rsidR="005C69BE" w:rsidRPr="00C903F8">
        <w:rPr>
          <w:noProof/>
          <w:lang w:val="en-US" w:eastAsia="nl-NL"/>
        </w:rPr>
        <w:t>rdingly by the inspection body.</w:t>
      </w:r>
    </w:p>
    <w:p w:rsidR="009C13A9" w:rsidRPr="00C903F8" w:rsidRDefault="009C13A9" w:rsidP="009C13A9">
      <w:pPr>
        <w:ind w:left="851"/>
        <w:rPr>
          <w:noProof/>
          <w:lang w:val="en-US" w:eastAsia="en-GB"/>
        </w:rPr>
      </w:pPr>
    </w:p>
    <w:p w:rsidR="009C13A9" w:rsidRPr="00C903F8" w:rsidRDefault="009C13A9" w:rsidP="009C13A9">
      <w:pPr>
        <w:spacing w:line="240" w:lineRule="atLeast"/>
        <w:ind w:left="426" w:firstLine="0"/>
        <w:rPr>
          <w:noProof/>
          <w:lang w:val="en-US" w:eastAsia="nl-NL"/>
        </w:rPr>
      </w:pPr>
      <w:r w:rsidRPr="00C903F8">
        <w:rPr>
          <w:noProof/>
          <w:lang w:val="en-US" w:eastAsia="nl-NL"/>
        </w:rPr>
        <w:t>Formula 1 – Calculation of the inflow characteristics</w:t>
      </w:r>
    </w:p>
    <w:p w:rsidR="00117BDC" w:rsidRPr="00C903F8" w:rsidRDefault="00117BDC" w:rsidP="009C13A9">
      <w:pPr>
        <w:spacing w:line="240" w:lineRule="atLeast"/>
        <w:ind w:left="426" w:firstLine="0"/>
        <w:rPr>
          <w:noProof/>
          <w:lang w:val="en-US" w:eastAsia="nl-NL"/>
        </w:rPr>
      </w:pPr>
    </w:p>
    <w:p w:rsidR="00117BDC" w:rsidRPr="00C903F8" w:rsidRDefault="00F12BAF" w:rsidP="009C13A9">
      <w:pPr>
        <w:spacing w:line="240" w:lineRule="atLeast"/>
        <w:ind w:left="426" w:firstLine="0"/>
        <w:rPr>
          <w:noProof/>
          <w:lang w:val="en-US" w:eastAsia="nl-NL"/>
        </w:rPr>
      </w:pPr>
      <m:oMathPara>
        <m:oMath>
          <m:sSub>
            <m:sSubPr>
              <m:ctrlPr>
                <w:rPr>
                  <w:rFonts w:ascii="Cambria Math" w:hAnsi="Cambria Math"/>
                  <w:i/>
                  <w:noProof/>
                  <w:lang w:val="en-US" w:eastAsia="nl-NL"/>
                </w:rPr>
              </m:ctrlPr>
            </m:sSubPr>
            <m:e>
              <m:r>
                <w:rPr>
                  <w:rFonts w:ascii="Cambria Math" w:hAnsi="Cambria Math"/>
                  <w:noProof/>
                  <w:lang w:val="en-US" w:eastAsia="nl-NL"/>
                </w:rPr>
                <m:t>C</m:t>
              </m:r>
            </m:e>
            <m:sub>
              <m:r>
                <w:rPr>
                  <w:rFonts w:ascii="Cambria Math" w:hAnsi="Cambria Math"/>
                  <w:noProof/>
                  <w:lang w:val="en-US" w:eastAsia="nl-NL"/>
                </w:rPr>
                <m:t>BOD5,mean</m:t>
              </m:r>
            </m:sub>
          </m:sSub>
          <m:r>
            <w:rPr>
              <w:rFonts w:ascii="Cambria Math" w:hAnsi="Cambria Math"/>
              <w:noProof/>
              <w:lang w:val="en-US" w:eastAsia="nl-NL"/>
            </w:rPr>
            <m:t xml:space="preserve">= </m:t>
          </m:r>
          <m:f>
            <m:fPr>
              <m:ctrlPr>
                <w:rPr>
                  <w:rFonts w:ascii="Cambria Math" w:hAnsi="Cambria Math"/>
                  <w:i/>
                  <w:noProof/>
                  <w:lang w:val="en-US" w:eastAsia="nl-NL"/>
                </w:rPr>
              </m:ctrlPr>
            </m:fPr>
            <m:num>
              <m:sSub>
                <m:sSubPr>
                  <m:ctrlPr>
                    <w:rPr>
                      <w:rFonts w:ascii="Cambria Math" w:hAnsi="Cambria Math"/>
                      <w:i/>
                      <w:noProof/>
                      <w:lang w:val="en-US" w:eastAsia="nl-NL"/>
                    </w:rPr>
                  </m:ctrlPr>
                </m:sSubPr>
                <m:e>
                  <m:r>
                    <w:rPr>
                      <w:rFonts w:ascii="Cambria Math" w:hAnsi="Cambria Math"/>
                      <w:noProof/>
                      <w:lang w:val="en-US" w:eastAsia="nl-NL"/>
                    </w:rPr>
                    <m:t>BOD</m:t>
                  </m:r>
                </m:e>
                <m:sub>
                  <m:r>
                    <w:rPr>
                      <w:rFonts w:ascii="Cambria Math" w:hAnsi="Cambria Math"/>
                      <w:noProof/>
                      <w:lang w:val="en-US" w:eastAsia="nl-NL"/>
                    </w:rPr>
                    <m:t>5</m:t>
                  </m:r>
                </m:sub>
              </m:sSub>
            </m:num>
            <m:den>
              <m:sSub>
                <m:sSubPr>
                  <m:ctrlPr>
                    <w:rPr>
                      <w:rFonts w:ascii="Cambria Math" w:hAnsi="Cambria Math"/>
                      <w:i/>
                      <w:noProof/>
                      <w:lang w:val="en-US" w:eastAsia="nl-NL"/>
                    </w:rPr>
                  </m:ctrlPr>
                </m:sSubPr>
                <m:e>
                  <m:r>
                    <w:rPr>
                      <w:rFonts w:ascii="Cambria Math" w:hAnsi="Cambria Math"/>
                      <w:noProof/>
                      <w:lang w:val="en-US" w:eastAsia="nl-NL"/>
                    </w:rPr>
                    <m:t>Q</m:t>
                  </m:r>
                </m:e>
                <m:sub>
                  <m:r>
                    <w:rPr>
                      <w:rFonts w:ascii="Cambria Math" w:hAnsi="Cambria Math"/>
                      <w:noProof/>
                      <w:lang w:val="en-US" w:eastAsia="nl-NL"/>
                    </w:rPr>
                    <m:t>d</m:t>
                  </m:r>
                </m:sub>
              </m:sSub>
            </m:den>
          </m:f>
          <m:r>
            <w:rPr>
              <w:rFonts w:ascii="Cambria Math" w:hAnsi="Cambria Math"/>
              <w:noProof/>
              <w:lang w:val="en-US" w:eastAsia="nl-NL"/>
            </w:rPr>
            <m:t xml:space="preserve"> </m:t>
          </m:r>
          <m:d>
            <m:dPr>
              <m:begChr m:val="["/>
              <m:endChr m:val="]"/>
              <m:ctrlPr>
                <w:rPr>
                  <w:rFonts w:ascii="Cambria Math" w:hAnsi="Cambria Math"/>
                  <w:i/>
                  <w:noProof/>
                  <w:lang w:val="en-US" w:eastAsia="nl-NL"/>
                </w:rPr>
              </m:ctrlPr>
            </m:dPr>
            <m:e>
              <m:f>
                <m:fPr>
                  <m:ctrlPr>
                    <w:rPr>
                      <w:rFonts w:ascii="Cambria Math" w:hAnsi="Cambria Math"/>
                      <w:i/>
                      <w:noProof/>
                      <w:lang w:val="en-US" w:eastAsia="nl-NL"/>
                    </w:rPr>
                  </m:ctrlPr>
                </m:fPr>
                <m:num>
                  <m:r>
                    <w:rPr>
                      <w:rFonts w:ascii="Cambria Math" w:hAnsi="Cambria Math"/>
                      <w:noProof/>
                      <w:lang w:val="en-US" w:eastAsia="nl-NL"/>
                    </w:rPr>
                    <m:t>kg/d</m:t>
                  </m:r>
                </m:num>
                <m:den>
                  <m:sSup>
                    <m:sSupPr>
                      <m:ctrlPr>
                        <w:rPr>
                          <w:rFonts w:ascii="Cambria Math" w:hAnsi="Cambria Math"/>
                          <w:i/>
                          <w:noProof/>
                          <w:lang w:val="en-US" w:eastAsia="nl-NL"/>
                        </w:rPr>
                      </m:ctrlPr>
                    </m:sSupPr>
                    <m:e>
                      <m:r>
                        <w:rPr>
                          <w:rFonts w:ascii="Cambria Math" w:hAnsi="Cambria Math"/>
                          <w:noProof/>
                          <w:lang w:val="en-US" w:eastAsia="nl-NL"/>
                        </w:rPr>
                        <m:t>m</m:t>
                      </m:r>
                    </m:e>
                    <m:sup>
                      <m:r>
                        <w:rPr>
                          <w:rFonts w:ascii="Cambria Math" w:hAnsi="Cambria Math"/>
                          <w:noProof/>
                          <w:lang w:val="en-US" w:eastAsia="nl-NL"/>
                        </w:rPr>
                        <m:t>3</m:t>
                      </m:r>
                    </m:sup>
                  </m:sSup>
                  <m:r>
                    <w:rPr>
                      <w:rFonts w:ascii="Cambria Math" w:hAnsi="Cambria Math"/>
                      <w:noProof/>
                      <w:lang w:val="en-US" w:eastAsia="nl-NL"/>
                    </w:rPr>
                    <m:t>/d</m:t>
                  </m:r>
                </m:den>
              </m:f>
            </m:e>
          </m:d>
        </m:oMath>
      </m:oMathPara>
    </w:p>
    <w:p w:rsidR="009C13A9" w:rsidRPr="00C903F8" w:rsidRDefault="009C13A9" w:rsidP="009C13A9">
      <w:pPr>
        <w:spacing w:line="240" w:lineRule="atLeast"/>
        <w:ind w:left="426" w:firstLine="0"/>
        <w:rPr>
          <w:noProof/>
          <w:lang w:val="en-US" w:eastAsia="nl-NL"/>
        </w:rPr>
      </w:pPr>
    </w:p>
    <w:p w:rsidR="009C13A9" w:rsidRPr="00C903F8" w:rsidRDefault="00A936D2" w:rsidP="00A76137">
      <w:pPr>
        <w:spacing w:line="240" w:lineRule="atLeast"/>
        <w:ind w:firstLine="1"/>
        <w:rPr>
          <w:noProof/>
          <w:lang w:val="en-US" w:eastAsia="nl-NL"/>
        </w:rPr>
      </w:pPr>
      <w:r w:rsidRPr="00C903F8">
        <w:rPr>
          <w:noProof/>
          <w:lang w:val="en-US" w:eastAsia="nl-NL"/>
        </w:rPr>
        <w:t xml:space="preserve">Should the calculation performed in accordance with formula 1 result in an average </w:t>
      </w:r>
      <m:oMath>
        <m:sSub>
          <m:sSubPr>
            <m:ctrlPr>
              <w:rPr>
                <w:rFonts w:ascii="Cambria Math" w:hAnsi="Cambria Math"/>
                <w:i/>
                <w:noProof/>
                <w:lang w:val="en-US" w:eastAsia="nl-NL"/>
              </w:rPr>
            </m:ctrlPr>
          </m:sSubPr>
          <m:e>
            <m:r>
              <w:rPr>
                <w:rFonts w:ascii="Cambria Math" w:hAnsi="Cambria Math"/>
                <w:noProof/>
                <w:lang w:val="en-US" w:eastAsia="nl-NL"/>
              </w:rPr>
              <m:t>BOD</m:t>
            </m:r>
          </m:e>
          <m:sub>
            <m:r>
              <w:rPr>
                <w:rFonts w:ascii="Cambria Math" w:hAnsi="Cambria Math"/>
                <w:noProof/>
                <w:lang w:val="en-US" w:eastAsia="nl-NL"/>
              </w:rPr>
              <m:t>5</m:t>
            </m:r>
          </m:sub>
        </m:sSub>
      </m:oMath>
      <w:r w:rsidRPr="00C903F8">
        <w:rPr>
          <w:noProof/>
          <w:lang w:val="en-US" w:eastAsia="nl-NL"/>
        </w:rPr>
        <w:t xml:space="preserve"> concentration of less than</w:t>
      </w:r>
      <w:r w:rsidR="00A76137" w:rsidRPr="00C903F8">
        <w:rPr>
          <w:noProof/>
          <w:lang w:val="en-US" w:eastAsia="nl-NL"/>
        </w:rPr>
        <w:t xml:space="preserve"> </w:t>
      </w:r>
      <m:oMath>
        <m:sSub>
          <m:sSubPr>
            <m:ctrlPr>
              <w:rPr>
                <w:rFonts w:ascii="Cambria Math" w:hAnsi="Cambria Math" w:cs="Arial"/>
                <w:i/>
                <w:color w:val="000000"/>
                <w:lang w:val="en-US"/>
              </w:rPr>
            </m:ctrlPr>
          </m:sSubPr>
          <m:e>
            <m:r>
              <w:rPr>
                <w:rFonts w:ascii="Cambria Math" w:hAnsi="Cambria Math" w:cs="Arial"/>
                <w:color w:val="000000"/>
                <w:lang w:val="en-US"/>
              </w:rPr>
              <m:t>C</m:t>
            </m:r>
          </m:e>
          <m:sub>
            <m:sSub>
              <m:sSubPr>
                <m:ctrlPr>
                  <w:rPr>
                    <w:rFonts w:ascii="Cambria Math" w:hAnsi="Cambria Math" w:cs="Arial"/>
                    <w:i/>
                    <w:color w:val="000000"/>
                    <w:lang w:val="en-US"/>
                  </w:rPr>
                </m:ctrlPr>
              </m:sSubPr>
              <m:e>
                <m:r>
                  <w:rPr>
                    <w:rFonts w:ascii="Cambria Math" w:hAnsi="Cambria Math" w:cs="Arial"/>
                    <w:color w:val="000000"/>
                    <w:lang w:val="en-US"/>
                  </w:rPr>
                  <m:t>BOD</m:t>
                </m:r>
              </m:e>
              <m:sub>
                <m:r>
                  <w:rPr>
                    <w:rFonts w:ascii="Cambria Math" w:hAnsi="Cambria Math" w:cs="Arial"/>
                    <w:color w:val="000000"/>
                    <w:lang w:val="en-US"/>
                  </w:rPr>
                  <m:t>5, mean</m:t>
                </m:r>
              </m:sub>
            </m:sSub>
          </m:sub>
        </m:sSub>
        <m:r>
          <w:rPr>
            <w:rFonts w:ascii="Cambria Math" w:hAnsi="Cambria Math" w:cs="Arial"/>
            <w:color w:val="000000"/>
            <w:lang w:val="en-US"/>
          </w:rPr>
          <m:t>=500 mg/l</m:t>
        </m:r>
      </m:oMath>
      <w:r w:rsidRPr="00C903F8">
        <w:rPr>
          <w:noProof/>
          <w:lang w:val="en-US" w:eastAsia="nl-NL"/>
        </w:rPr>
        <w:t xml:space="preserve">, a minimum mean </w:t>
      </w:r>
      <m:oMath>
        <m:sSub>
          <m:sSubPr>
            <m:ctrlPr>
              <w:rPr>
                <w:rFonts w:ascii="Cambria Math" w:hAnsi="Cambria Math"/>
                <w:i/>
                <w:noProof/>
                <w:lang w:val="en-US" w:eastAsia="nl-NL"/>
              </w:rPr>
            </m:ctrlPr>
          </m:sSubPr>
          <m:e>
            <m:r>
              <w:rPr>
                <w:rFonts w:ascii="Cambria Math" w:hAnsi="Cambria Math"/>
                <w:noProof/>
                <w:lang w:val="en-US" w:eastAsia="nl-NL"/>
              </w:rPr>
              <m:t>BOD</m:t>
            </m:r>
          </m:e>
          <m:sub>
            <m:r>
              <w:rPr>
                <w:rFonts w:ascii="Cambria Math" w:hAnsi="Cambria Math"/>
                <w:noProof/>
                <w:lang w:val="en-US" w:eastAsia="nl-NL"/>
              </w:rPr>
              <m:t>5</m:t>
            </m:r>
          </m:sub>
        </m:sSub>
      </m:oMath>
      <w:r w:rsidRPr="00C903F8">
        <w:rPr>
          <w:noProof/>
          <w:lang w:val="en-US" w:eastAsia="nl-NL"/>
        </w:rPr>
        <w:t xml:space="preserve"> concentration in the sewage inflow of 500 mg/l shall be observed.</w:t>
      </w:r>
    </w:p>
    <w:p w:rsidR="009C13A9" w:rsidRDefault="009C13A9" w:rsidP="009C13A9">
      <w:pPr>
        <w:spacing w:line="240" w:lineRule="atLeast"/>
        <w:ind w:left="426" w:firstLine="0"/>
        <w:rPr>
          <w:noProof/>
          <w:lang w:val="en-US" w:eastAsia="nl-NL"/>
        </w:rPr>
      </w:pPr>
      <w:r w:rsidRPr="00C903F8">
        <w:rPr>
          <w:noProof/>
          <w:lang w:val="en-US" w:eastAsia="nl-NL"/>
        </w:rPr>
        <w:t xml:space="preserve">The technical service must not break up the inflowing raw sewage in a comminatory. Removal of sand (e.g. by screening out) is permissible. </w:t>
      </w:r>
    </w:p>
    <w:p w:rsidR="001E2A58" w:rsidRPr="00C903F8" w:rsidRDefault="001E2A58" w:rsidP="009C13A9">
      <w:pPr>
        <w:spacing w:line="240" w:lineRule="atLeast"/>
        <w:ind w:left="426" w:firstLine="0"/>
        <w:rPr>
          <w:noProof/>
          <w:lang w:val="en-US" w:eastAsia="nl-NL"/>
        </w:rPr>
      </w:pPr>
    </w:p>
    <w:p w:rsidR="009C13A9" w:rsidRPr="00C903F8" w:rsidRDefault="009C13A9" w:rsidP="009C13A9">
      <w:pPr>
        <w:spacing w:line="240" w:lineRule="atLeast"/>
        <w:rPr>
          <w:rFonts w:cs="Arial"/>
          <w:b/>
          <w:color w:val="000000"/>
          <w:lang w:val="en-US"/>
        </w:rPr>
      </w:pPr>
      <w:r w:rsidRPr="00C903F8">
        <w:rPr>
          <w:rFonts w:cs="Arial"/>
          <w:b/>
          <w:color w:val="000000"/>
          <w:lang w:val="en-US"/>
        </w:rPr>
        <w:t>3.</w:t>
      </w:r>
      <w:r w:rsidRPr="00C903F8">
        <w:rPr>
          <w:rFonts w:cs="Arial"/>
          <w:b/>
          <w:color w:val="000000"/>
          <w:lang w:val="en-US"/>
        </w:rPr>
        <w:tab/>
        <w:t>Test procedure</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rPr>
          <w:rFonts w:cs="Arial"/>
          <w:color w:val="000000"/>
          <w:lang w:val="en-US"/>
        </w:rPr>
      </w:pPr>
      <w:r w:rsidRPr="00C903F8">
        <w:rPr>
          <w:rFonts w:cs="Arial"/>
          <w:color w:val="000000"/>
          <w:lang w:val="en-US"/>
        </w:rPr>
        <w:t>3.1</w:t>
      </w:r>
      <w:r w:rsidRPr="00C903F8">
        <w:rPr>
          <w:rFonts w:cs="Arial"/>
          <w:color w:val="000000"/>
          <w:lang w:val="en-US"/>
        </w:rPr>
        <w:tab/>
        <w:t>Loading phases and hydraulic feeding</w:t>
      </w:r>
    </w:p>
    <w:p w:rsidR="009C13A9" w:rsidRPr="00C903F8" w:rsidRDefault="009C13A9" w:rsidP="009C13A9">
      <w:pPr>
        <w:spacing w:line="240" w:lineRule="atLeast"/>
        <w:rPr>
          <w:rFonts w:cs="Arial"/>
          <w:color w:val="000000"/>
          <w:lang w:val="en-US"/>
        </w:rPr>
      </w:pPr>
    </w:p>
    <w:p w:rsidR="009C13A9" w:rsidRPr="00C903F8" w:rsidRDefault="009C13A9" w:rsidP="009C13A9">
      <w:pPr>
        <w:spacing w:line="240" w:lineRule="atLeast"/>
        <w:ind w:left="426" w:firstLine="0"/>
        <w:rPr>
          <w:noProof/>
          <w:lang w:val="en-US" w:eastAsia="nl-NL"/>
        </w:rPr>
      </w:pPr>
      <w:r w:rsidRPr="00C903F8">
        <w:rPr>
          <w:noProof/>
          <w:lang w:val="en-US" w:eastAsia="nl-NL"/>
        </w:rPr>
        <w:t xml:space="preserve">The test period shall comprise 30 test days. The test plant shall be fed on the test field with domestic waste water in accordance with the loading specified in Table 1. Various loading phases shall be covered, with the test sequence taking account of normal loading phases and special loading phases such as overload, underload and stand-by operation. The duration of each loading phase (number of test days) is set out in Table 1. The mean daily hydraulic load for each loading phase shall be set in accordance with Table 1. The mean pollutant concentration, to be set in accordance with </w:t>
      </w:r>
      <w:r w:rsidR="007261E0" w:rsidRPr="00C903F8">
        <w:rPr>
          <w:noProof/>
          <w:lang w:val="en-US" w:eastAsia="nl-NL"/>
        </w:rPr>
        <w:t>(</w:t>
      </w:r>
      <w:r w:rsidRPr="00C903F8">
        <w:rPr>
          <w:noProof/>
          <w:lang w:val="en-US" w:eastAsia="nl-NL"/>
        </w:rPr>
        <w:t>2.4</w:t>
      </w:r>
      <w:r w:rsidR="007261E0" w:rsidRPr="00C903F8">
        <w:rPr>
          <w:noProof/>
          <w:lang w:val="en-US" w:eastAsia="nl-NL"/>
        </w:rPr>
        <w:t>)</w:t>
      </w:r>
      <w:r w:rsidRPr="00C903F8">
        <w:rPr>
          <w:noProof/>
          <w:lang w:val="en-US" w:eastAsia="nl-NL"/>
        </w:rPr>
        <w:t>, shall be kept constant.</w:t>
      </w:r>
    </w:p>
    <w:p w:rsidR="009C13A9" w:rsidRPr="00C903F8" w:rsidRDefault="009C13A9" w:rsidP="009C13A9">
      <w:pPr>
        <w:spacing w:line="240" w:lineRule="atLeast"/>
        <w:rPr>
          <w:rFonts w:cs="Arial"/>
          <w:color w:val="000000"/>
          <w:lang w:val="en-US" w:eastAsia="ar-SA"/>
        </w:rPr>
      </w:pPr>
    </w:p>
    <w:p w:rsidR="009C13A9" w:rsidRPr="00C903F8" w:rsidRDefault="009C13A9" w:rsidP="009C13A9">
      <w:pPr>
        <w:tabs>
          <w:tab w:val="left" w:pos="1276"/>
        </w:tabs>
        <w:spacing w:line="240" w:lineRule="atLeast"/>
        <w:ind w:left="426" w:firstLine="0"/>
        <w:rPr>
          <w:lang w:val="en-US" w:eastAsia="nl-NL"/>
        </w:rPr>
      </w:pPr>
      <w:r w:rsidRPr="00C903F8">
        <w:rPr>
          <w:spacing w:val="-2"/>
          <w:lang w:val="en-US" w:eastAsia="nl-NL"/>
        </w:rPr>
        <w:t>Table</w:t>
      </w:r>
      <w:r w:rsidRPr="00C903F8">
        <w:rPr>
          <w:lang w:val="en-US" w:eastAsia="nl-NL"/>
        </w:rPr>
        <w:t xml:space="preserve"> </w:t>
      </w:r>
      <w:r w:rsidRPr="00C903F8">
        <w:rPr>
          <w:spacing w:val="-2"/>
          <w:lang w:val="en-US" w:eastAsia="nl-NL"/>
        </w:rPr>
        <w:t>1:</w:t>
      </w:r>
      <w:r w:rsidRPr="00C903F8">
        <w:rPr>
          <w:lang w:val="en-US" w:eastAsia="nl-NL"/>
        </w:rPr>
        <w:tab/>
        <w:t>Load settings for each loading phase</w:t>
      </w:r>
    </w:p>
    <w:p w:rsidR="009C13A9" w:rsidRPr="00C903F8" w:rsidRDefault="009C13A9" w:rsidP="009C13A9">
      <w:pPr>
        <w:tabs>
          <w:tab w:val="left" w:pos="1418"/>
        </w:tabs>
        <w:suppressAutoHyphens/>
        <w:autoSpaceDE/>
        <w:autoSpaceDN/>
        <w:spacing w:line="240" w:lineRule="atLeast"/>
        <w:ind w:left="709" w:hanging="709"/>
        <w:rPr>
          <w:rFonts w:cs="Arial"/>
          <w:szCs w:val="20"/>
          <w:lang w:val="en-US" w:eastAsia="ar-SA"/>
        </w:rPr>
      </w:pPr>
    </w:p>
    <w:tbl>
      <w:tblPr>
        <w:tblW w:w="0" w:type="auto"/>
        <w:jc w:val="center"/>
        <w:tblLayout w:type="fixed"/>
        <w:tblLook w:val="0000" w:firstRow="0" w:lastRow="0" w:firstColumn="0" w:lastColumn="0" w:noHBand="0" w:noVBand="0"/>
      </w:tblPr>
      <w:tblGrid>
        <w:gridCol w:w="1418"/>
        <w:gridCol w:w="1134"/>
        <w:gridCol w:w="2268"/>
        <w:gridCol w:w="3345"/>
      </w:tblGrid>
      <w:tr w:rsidR="009C13A9" w:rsidRPr="00C903F8" w:rsidTr="009C13A9">
        <w:trPr>
          <w:jc w:val="center"/>
        </w:trPr>
        <w:tc>
          <w:tcPr>
            <w:tcW w:w="1418" w:type="dxa"/>
            <w:tcBorders>
              <w:top w:val="single" w:sz="4" w:space="0" w:color="000000"/>
              <w:left w:val="single" w:sz="4" w:space="0" w:color="000000"/>
              <w:bottom w:val="single" w:sz="4" w:space="0" w:color="000000"/>
            </w:tcBorders>
            <w:shd w:val="clear" w:color="auto" w:fill="auto"/>
          </w:tcPr>
          <w:p w:rsidR="009C13A9" w:rsidRPr="00C903F8" w:rsidRDefault="009C13A9" w:rsidP="009C13A9">
            <w:pPr>
              <w:spacing w:before="60" w:after="60" w:line="240" w:lineRule="atLeast"/>
              <w:ind w:left="0" w:firstLine="0"/>
              <w:jc w:val="center"/>
              <w:rPr>
                <w:sz w:val="18"/>
                <w:szCs w:val="18"/>
              </w:rPr>
            </w:pPr>
            <w:r w:rsidRPr="00C903F8">
              <w:rPr>
                <w:sz w:val="18"/>
                <w:szCs w:val="18"/>
              </w:rPr>
              <w:t>Phase</w:t>
            </w:r>
          </w:p>
        </w:tc>
        <w:tc>
          <w:tcPr>
            <w:tcW w:w="1134" w:type="dxa"/>
            <w:tcBorders>
              <w:top w:val="single" w:sz="4" w:space="0" w:color="000000"/>
              <w:left w:val="single" w:sz="4" w:space="0" w:color="000000"/>
              <w:bottom w:val="single" w:sz="4" w:space="0" w:color="000000"/>
            </w:tcBorders>
          </w:tcPr>
          <w:p w:rsidR="009C13A9" w:rsidRPr="00C903F8" w:rsidRDefault="009C13A9" w:rsidP="009C13A9">
            <w:pPr>
              <w:spacing w:before="60" w:after="60" w:line="240" w:lineRule="atLeast"/>
              <w:ind w:left="0" w:firstLine="0"/>
              <w:jc w:val="center"/>
              <w:rPr>
                <w:sz w:val="18"/>
                <w:szCs w:val="18"/>
              </w:rPr>
            </w:pPr>
            <w:r w:rsidRPr="00C903F8">
              <w:rPr>
                <w:sz w:val="18"/>
                <w:szCs w:val="18"/>
              </w:rPr>
              <w:t>Number of test days</w:t>
            </w:r>
          </w:p>
        </w:tc>
        <w:tc>
          <w:tcPr>
            <w:tcW w:w="2268" w:type="dxa"/>
            <w:tcBorders>
              <w:top w:val="single" w:sz="4" w:space="0" w:color="000000"/>
              <w:left w:val="single" w:sz="4" w:space="0" w:color="000000"/>
              <w:bottom w:val="single" w:sz="4" w:space="0" w:color="000000"/>
            </w:tcBorders>
          </w:tcPr>
          <w:p w:rsidR="009C13A9" w:rsidRPr="00C903F8" w:rsidRDefault="009C13A9" w:rsidP="009C13A9">
            <w:pPr>
              <w:spacing w:before="60" w:after="60" w:line="240" w:lineRule="atLeast"/>
              <w:ind w:left="0" w:firstLine="0"/>
              <w:jc w:val="center"/>
              <w:rPr>
                <w:sz w:val="18"/>
                <w:szCs w:val="18"/>
              </w:rPr>
            </w:pPr>
            <w:r w:rsidRPr="00C903F8">
              <w:rPr>
                <w:sz w:val="18"/>
                <w:szCs w:val="18"/>
              </w:rPr>
              <w:t>Daily hydraulic load</w:t>
            </w:r>
          </w:p>
        </w:tc>
        <w:tc>
          <w:tcPr>
            <w:tcW w:w="3345" w:type="dxa"/>
            <w:tcBorders>
              <w:top w:val="single" w:sz="4" w:space="0" w:color="000000"/>
              <w:left w:val="single" w:sz="4" w:space="0" w:color="000000"/>
              <w:bottom w:val="single" w:sz="4" w:space="0" w:color="000000"/>
              <w:right w:val="single" w:sz="4" w:space="0" w:color="000000"/>
            </w:tcBorders>
          </w:tcPr>
          <w:p w:rsidR="009C13A9" w:rsidRPr="00C903F8" w:rsidRDefault="009C13A9" w:rsidP="009C13A9">
            <w:pPr>
              <w:spacing w:before="60" w:after="60" w:line="240" w:lineRule="atLeast"/>
              <w:ind w:left="0" w:firstLine="0"/>
              <w:jc w:val="center"/>
              <w:rPr>
                <w:sz w:val="18"/>
                <w:szCs w:val="18"/>
              </w:rPr>
            </w:pPr>
            <w:r w:rsidRPr="00C903F8">
              <w:rPr>
                <w:sz w:val="18"/>
                <w:szCs w:val="18"/>
              </w:rPr>
              <w:t>Pollutant concentration</w:t>
            </w:r>
          </w:p>
        </w:tc>
      </w:tr>
      <w:tr w:rsidR="009C13A9" w:rsidRPr="00296858" w:rsidTr="009C13A9">
        <w:trPr>
          <w:jc w:val="center"/>
        </w:trPr>
        <w:tc>
          <w:tcPr>
            <w:tcW w:w="1418" w:type="dxa"/>
            <w:tcBorders>
              <w:top w:val="single" w:sz="4" w:space="0" w:color="000000"/>
              <w:left w:val="single" w:sz="4" w:space="0" w:color="000000"/>
              <w:bottom w:val="single" w:sz="4" w:space="0" w:color="000000"/>
            </w:tcBorders>
          </w:tcPr>
          <w:p w:rsidR="009C13A9" w:rsidRPr="00C903F8" w:rsidRDefault="009C13A9" w:rsidP="009C13A9">
            <w:pPr>
              <w:spacing w:before="60" w:after="60" w:line="240" w:lineRule="atLeast"/>
              <w:ind w:left="0" w:firstLine="0"/>
              <w:rPr>
                <w:sz w:val="18"/>
                <w:szCs w:val="18"/>
              </w:rPr>
            </w:pPr>
            <w:r w:rsidRPr="00C903F8">
              <w:rPr>
                <w:sz w:val="18"/>
                <w:szCs w:val="18"/>
              </w:rPr>
              <w:t>Normal load</w:t>
            </w:r>
          </w:p>
        </w:tc>
        <w:tc>
          <w:tcPr>
            <w:tcW w:w="1134" w:type="dxa"/>
            <w:tcBorders>
              <w:top w:val="single" w:sz="4" w:space="0" w:color="000000"/>
              <w:left w:val="single" w:sz="4" w:space="0" w:color="000000"/>
              <w:bottom w:val="single" w:sz="4" w:space="0" w:color="000000"/>
            </w:tcBorders>
          </w:tcPr>
          <w:p w:rsidR="009C13A9" w:rsidRPr="00C903F8" w:rsidRDefault="009C13A9" w:rsidP="009C13A9">
            <w:pPr>
              <w:spacing w:before="60" w:after="60" w:line="240" w:lineRule="atLeast"/>
              <w:ind w:left="0" w:firstLine="0"/>
              <w:rPr>
                <w:sz w:val="18"/>
                <w:szCs w:val="18"/>
              </w:rPr>
            </w:pPr>
            <w:r w:rsidRPr="00C903F8">
              <w:rPr>
                <w:sz w:val="18"/>
                <w:szCs w:val="18"/>
              </w:rPr>
              <w:t>20 days</w:t>
            </w:r>
          </w:p>
        </w:tc>
        <w:tc>
          <w:tcPr>
            <w:tcW w:w="2268" w:type="dxa"/>
            <w:tcBorders>
              <w:top w:val="single" w:sz="4" w:space="0" w:color="000000"/>
              <w:left w:val="single" w:sz="4" w:space="0" w:color="000000"/>
              <w:bottom w:val="single" w:sz="4" w:space="0" w:color="000000"/>
            </w:tcBorders>
          </w:tcPr>
          <w:p w:rsidR="009C13A9" w:rsidRPr="00C903F8" w:rsidRDefault="00F12BAF" w:rsidP="009C13A9">
            <w:pPr>
              <w:spacing w:before="60" w:after="60" w:line="240" w:lineRule="atLeast"/>
              <w:ind w:left="0" w:firstLine="0"/>
              <w:rPr>
                <w:sz w:val="18"/>
                <w:szCs w:val="18"/>
              </w:rPr>
            </w:pPr>
            <m:oMathPara>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d</m:t>
                    </m:r>
                  </m:sub>
                </m:sSub>
              </m:oMath>
            </m:oMathPara>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9C13A9" w:rsidRPr="00C903F8" w:rsidRDefault="00F12BAF" w:rsidP="00A76137">
            <w:pPr>
              <w:spacing w:before="60" w:after="60" w:line="240" w:lineRule="atLeast"/>
              <w:ind w:left="0" w:firstLine="0"/>
              <w:rPr>
                <w:sz w:val="18"/>
                <w:szCs w:val="18"/>
                <w:lang w:val="en-US"/>
              </w:rPr>
            </w:pPr>
            <m:oMath>
              <m:sSub>
                <m:sSubPr>
                  <m:ctrlPr>
                    <w:rPr>
                      <w:rFonts w:ascii="Cambria Math" w:hAnsi="Cambria Math" w:cs="Arial"/>
                      <w:i/>
                      <w:sz w:val="18"/>
                      <w:szCs w:val="20"/>
                      <w:lang w:val="de-DE" w:eastAsia="nl-NL"/>
                    </w:rPr>
                  </m:ctrlPr>
                </m:sSubPr>
                <m:e>
                  <m:r>
                    <w:rPr>
                      <w:rFonts w:ascii="Cambria Math" w:hAnsi="Cambria Math" w:cs="Arial"/>
                      <w:sz w:val="18"/>
                      <w:szCs w:val="20"/>
                      <w:lang w:val="de-DE" w:eastAsia="nl-NL"/>
                    </w:rPr>
                    <m:t>C</m:t>
                  </m:r>
                </m:e>
                <m:sub>
                  <m:sSub>
                    <m:sSubPr>
                      <m:ctrlPr>
                        <w:rPr>
                          <w:rFonts w:ascii="Cambria Math" w:hAnsi="Cambria Math" w:cs="Arial"/>
                          <w:i/>
                          <w:sz w:val="18"/>
                          <w:szCs w:val="20"/>
                          <w:lang w:val="de-DE" w:eastAsia="nl-NL"/>
                        </w:rPr>
                      </m:ctrlPr>
                    </m:sSubPr>
                    <m:e>
                      <m:r>
                        <w:rPr>
                          <w:rFonts w:ascii="Cambria Math" w:hAnsi="Cambria Math" w:cs="Arial"/>
                          <w:sz w:val="18"/>
                          <w:szCs w:val="20"/>
                          <w:lang w:val="de-DE" w:eastAsia="nl-NL"/>
                        </w:rPr>
                        <m:t>BOD</m:t>
                      </m:r>
                    </m:e>
                    <m:sub>
                      <m:r>
                        <w:rPr>
                          <w:rFonts w:ascii="Cambria Math" w:hAnsi="Cambria Math" w:cs="Arial"/>
                          <w:sz w:val="18"/>
                          <w:szCs w:val="20"/>
                          <w:lang w:val="en-US" w:eastAsia="nl-NL"/>
                        </w:rPr>
                        <m:t>5</m:t>
                      </m:r>
                    </m:sub>
                  </m:sSub>
                </m:sub>
              </m:sSub>
            </m:oMath>
            <w:r w:rsidR="009C13A9" w:rsidRPr="00C903F8">
              <w:rPr>
                <w:sz w:val="18"/>
                <w:szCs w:val="18"/>
                <w:lang w:val="en-US"/>
              </w:rPr>
              <w:t xml:space="preserve"> in accordance with 2.4</w:t>
            </w:r>
          </w:p>
        </w:tc>
      </w:tr>
      <w:tr w:rsidR="009C13A9" w:rsidRPr="00296858" w:rsidTr="009C13A9">
        <w:trPr>
          <w:jc w:val="center"/>
        </w:trPr>
        <w:tc>
          <w:tcPr>
            <w:tcW w:w="1418" w:type="dxa"/>
            <w:tcBorders>
              <w:top w:val="single" w:sz="4" w:space="0" w:color="000000"/>
              <w:left w:val="single" w:sz="4" w:space="0" w:color="000000"/>
              <w:bottom w:val="single" w:sz="4" w:space="0" w:color="000000"/>
            </w:tcBorders>
          </w:tcPr>
          <w:p w:rsidR="009C13A9" w:rsidRPr="00C903F8" w:rsidRDefault="009C13A9" w:rsidP="009C13A9">
            <w:pPr>
              <w:spacing w:before="60" w:after="60" w:line="240" w:lineRule="atLeast"/>
              <w:ind w:left="0" w:firstLine="0"/>
              <w:rPr>
                <w:sz w:val="18"/>
                <w:szCs w:val="18"/>
              </w:rPr>
            </w:pPr>
            <w:r w:rsidRPr="00C903F8">
              <w:rPr>
                <w:sz w:val="18"/>
                <w:szCs w:val="18"/>
              </w:rPr>
              <w:t>Overload</w:t>
            </w:r>
          </w:p>
        </w:tc>
        <w:tc>
          <w:tcPr>
            <w:tcW w:w="1134" w:type="dxa"/>
            <w:tcBorders>
              <w:top w:val="single" w:sz="4" w:space="0" w:color="000000"/>
              <w:left w:val="single" w:sz="4" w:space="0" w:color="000000"/>
              <w:bottom w:val="single" w:sz="4" w:space="0" w:color="000000"/>
            </w:tcBorders>
          </w:tcPr>
          <w:p w:rsidR="009C13A9" w:rsidRPr="00C903F8" w:rsidRDefault="009C13A9" w:rsidP="009C13A9">
            <w:pPr>
              <w:spacing w:before="60" w:after="60" w:line="240" w:lineRule="atLeast"/>
              <w:ind w:left="0" w:firstLine="0"/>
              <w:rPr>
                <w:sz w:val="18"/>
                <w:szCs w:val="18"/>
              </w:rPr>
            </w:pPr>
            <w:r w:rsidRPr="00C903F8">
              <w:rPr>
                <w:sz w:val="18"/>
                <w:szCs w:val="18"/>
              </w:rPr>
              <w:t>3 days</w:t>
            </w:r>
          </w:p>
        </w:tc>
        <w:tc>
          <w:tcPr>
            <w:tcW w:w="2268" w:type="dxa"/>
            <w:tcBorders>
              <w:top w:val="single" w:sz="4" w:space="0" w:color="000000"/>
              <w:left w:val="single" w:sz="4" w:space="0" w:color="000000"/>
              <w:bottom w:val="single" w:sz="4" w:space="0" w:color="000000"/>
            </w:tcBorders>
          </w:tcPr>
          <w:p w:rsidR="009C13A9" w:rsidRPr="00C903F8" w:rsidRDefault="00F12BAF" w:rsidP="009C13A9">
            <w:pPr>
              <w:spacing w:before="60" w:after="60" w:line="240" w:lineRule="atLeast"/>
              <w:ind w:left="0" w:firstLine="0"/>
              <w:rPr>
                <w:sz w:val="18"/>
                <w:szCs w:val="18"/>
              </w:rPr>
            </w:pPr>
            <m:oMathPara>
              <m:oMath>
                <m:sSub>
                  <m:sSubPr>
                    <m:ctrlPr>
                      <w:rPr>
                        <w:rFonts w:ascii="Cambria Math" w:hAnsi="Cambria Math"/>
                        <w:i/>
                        <w:sz w:val="18"/>
                        <w:szCs w:val="18"/>
                      </w:rPr>
                    </m:ctrlPr>
                  </m:sSubPr>
                  <m:e>
                    <m:r>
                      <w:rPr>
                        <w:rFonts w:ascii="Cambria Math" w:hAnsi="Cambria Math"/>
                        <w:sz w:val="18"/>
                        <w:szCs w:val="18"/>
                      </w:rPr>
                      <m:t>1,25 Q</m:t>
                    </m:r>
                  </m:e>
                  <m:sub>
                    <m:r>
                      <w:rPr>
                        <w:rFonts w:ascii="Cambria Math" w:hAnsi="Cambria Math"/>
                        <w:sz w:val="18"/>
                        <w:szCs w:val="18"/>
                      </w:rPr>
                      <m:t>d</m:t>
                    </m:r>
                  </m:sub>
                </m:sSub>
              </m:oMath>
            </m:oMathPara>
          </w:p>
        </w:tc>
        <w:tc>
          <w:tcPr>
            <w:tcW w:w="3345" w:type="dxa"/>
            <w:tcBorders>
              <w:top w:val="single" w:sz="4" w:space="0" w:color="000000"/>
              <w:left w:val="single" w:sz="4" w:space="0" w:color="000000"/>
              <w:bottom w:val="single" w:sz="4" w:space="0" w:color="000000"/>
              <w:right w:val="single" w:sz="4" w:space="0" w:color="000000"/>
            </w:tcBorders>
          </w:tcPr>
          <w:p w:rsidR="009C13A9" w:rsidRPr="00C903F8" w:rsidRDefault="00F12BAF" w:rsidP="009C13A9">
            <w:pPr>
              <w:spacing w:before="60" w:after="60" w:line="240" w:lineRule="atLeast"/>
              <w:ind w:left="0" w:firstLine="0"/>
              <w:rPr>
                <w:sz w:val="18"/>
                <w:szCs w:val="18"/>
                <w:lang w:val="en-US"/>
              </w:rPr>
            </w:pPr>
            <m:oMath>
              <m:sSub>
                <m:sSubPr>
                  <m:ctrlPr>
                    <w:rPr>
                      <w:rFonts w:ascii="Cambria Math" w:hAnsi="Cambria Math" w:cs="Arial"/>
                      <w:i/>
                      <w:sz w:val="18"/>
                      <w:szCs w:val="20"/>
                      <w:lang w:val="de-DE" w:eastAsia="nl-NL"/>
                    </w:rPr>
                  </m:ctrlPr>
                </m:sSubPr>
                <m:e>
                  <m:r>
                    <w:rPr>
                      <w:rFonts w:ascii="Cambria Math" w:hAnsi="Cambria Math" w:cs="Arial"/>
                      <w:sz w:val="18"/>
                      <w:szCs w:val="20"/>
                      <w:lang w:val="de-DE" w:eastAsia="nl-NL"/>
                    </w:rPr>
                    <m:t>C</m:t>
                  </m:r>
                </m:e>
                <m:sub>
                  <m:sSub>
                    <m:sSubPr>
                      <m:ctrlPr>
                        <w:rPr>
                          <w:rFonts w:ascii="Cambria Math" w:hAnsi="Cambria Math" w:cs="Arial"/>
                          <w:i/>
                          <w:sz w:val="18"/>
                          <w:szCs w:val="20"/>
                          <w:lang w:val="de-DE" w:eastAsia="nl-NL"/>
                        </w:rPr>
                      </m:ctrlPr>
                    </m:sSubPr>
                    <m:e>
                      <m:r>
                        <w:rPr>
                          <w:rFonts w:ascii="Cambria Math" w:hAnsi="Cambria Math" w:cs="Arial"/>
                          <w:sz w:val="18"/>
                          <w:szCs w:val="20"/>
                          <w:lang w:val="de-DE" w:eastAsia="nl-NL"/>
                        </w:rPr>
                        <m:t>BOD</m:t>
                      </m:r>
                    </m:e>
                    <m:sub>
                      <m:r>
                        <w:rPr>
                          <w:rFonts w:ascii="Cambria Math" w:hAnsi="Cambria Math" w:cs="Arial"/>
                          <w:sz w:val="18"/>
                          <w:szCs w:val="20"/>
                          <w:lang w:val="en-US" w:eastAsia="nl-NL"/>
                        </w:rPr>
                        <m:t>5</m:t>
                      </m:r>
                    </m:sub>
                  </m:sSub>
                </m:sub>
              </m:sSub>
            </m:oMath>
            <w:r w:rsidR="00A76137" w:rsidRPr="00C903F8">
              <w:rPr>
                <w:sz w:val="18"/>
                <w:szCs w:val="20"/>
                <w:lang w:val="en-US" w:eastAsia="nl-NL"/>
              </w:rPr>
              <w:t xml:space="preserve"> </w:t>
            </w:r>
            <w:r w:rsidR="009C13A9" w:rsidRPr="00C903F8">
              <w:rPr>
                <w:sz w:val="18"/>
                <w:szCs w:val="18"/>
                <w:lang w:val="en-US"/>
              </w:rPr>
              <w:t>in accordance with 2.4</w:t>
            </w:r>
          </w:p>
        </w:tc>
      </w:tr>
      <w:tr w:rsidR="009C13A9" w:rsidRPr="00296858" w:rsidTr="009C13A9">
        <w:trPr>
          <w:jc w:val="center"/>
        </w:trPr>
        <w:tc>
          <w:tcPr>
            <w:tcW w:w="1418" w:type="dxa"/>
            <w:tcBorders>
              <w:top w:val="single" w:sz="4" w:space="0" w:color="000000"/>
              <w:left w:val="single" w:sz="4" w:space="0" w:color="000000"/>
              <w:bottom w:val="single" w:sz="4" w:space="0" w:color="000000"/>
            </w:tcBorders>
          </w:tcPr>
          <w:p w:rsidR="009C13A9" w:rsidRPr="00C903F8" w:rsidRDefault="009C13A9" w:rsidP="009C13A9">
            <w:pPr>
              <w:spacing w:before="60" w:after="60" w:line="240" w:lineRule="atLeast"/>
              <w:ind w:left="0" w:firstLine="0"/>
              <w:rPr>
                <w:sz w:val="18"/>
                <w:szCs w:val="18"/>
              </w:rPr>
            </w:pPr>
            <w:r w:rsidRPr="00C903F8">
              <w:rPr>
                <w:sz w:val="18"/>
                <w:szCs w:val="18"/>
              </w:rPr>
              <w:t>Underload</w:t>
            </w:r>
          </w:p>
        </w:tc>
        <w:tc>
          <w:tcPr>
            <w:tcW w:w="1134" w:type="dxa"/>
            <w:tcBorders>
              <w:top w:val="single" w:sz="4" w:space="0" w:color="000000"/>
              <w:left w:val="single" w:sz="4" w:space="0" w:color="000000"/>
              <w:bottom w:val="single" w:sz="4" w:space="0" w:color="000000"/>
            </w:tcBorders>
          </w:tcPr>
          <w:p w:rsidR="009C13A9" w:rsidRPr="00C903F8" w:rsidRDefault="009C13A9" w:rsidP="009C13A9">
            <w:pPr>
              <w:spacing w:before="60" w:after="60" w:line="240" w:lineRule="atLeast"/>
              <w:ind w:left="0" w:firstLine="0"/>
              <w:rPr>
                <w:sz w:val="18"/>
                <w:szCs w:val="18"/>
              </w:rPr>
            </w:pPr>
            <w:r w:rsidRPr="00C903F8">
              <w:rPr>
                <w:sz w:val="18"/>
                <w:szCs w:val="18"/>
              </w:rPr>
              <w:t>3 days</w:t>
            </w:r>
          </w:p>
        </w:tc>
        <w:tc>
          <w:tcPr>
            <w:tcW w:w="2268" w:type="dxa"/>
            <w:tcBorders>
              <w:top w:val="single" w:sz="4" w:space="0" w:color="000000"/>
              <w:left w:val="single" w:sz="4" w:space="0" w:color="000000"/>
              <w:bottom w:val="single" w:sz="4" w:space="0" w:color="000000"/>
            </w:tcBorders>
          </w:tcPr>
          <w:p w:rsidR="009C13A9" w:rsidRPr="00C903F8" w:rsidRDefault="00F12BAF" w:rsidP="00EB3292">
            <w:pPr>
              <w:spacing w:before="60" w:after="60" w:line="240" w:lineRule="atLeast"/>
              <w:ind w:left="0" w:firstLine="0"/>
              <w:rPr>
                <w:sz w:val="18"/>
                <w:szCs w:val="18"/>
              </w:rPr>
            </w:pPr>
            <m:oMathPara>
              <m:oMath>
                <m:sSub>
                  <m:sSubPr>
                    <m:ctrlPr>
                      <w:rPr>
                        <w:rFonts w:ascii="Cambria Math" w:hAnsi="Cambria Math"/>
                        <w:i/>
                        <w:sz w:val="18"/>
                        <w:szCs w:val="18"/>
                      </w:rPr>
                    </m:ctrlPr>
                  </m:sSubPr>
                  <m:e>
                    <m:r>
                      <w:rPr>
                        <w:rFonts w:ascii="Cambria Math" w:hAnsi="Cambria Math"/>
                        <w:sz w:val="18"/>
                        <w:szCs w:val="18"/>
                      </w:rPr>
                      <m:t>0,5 Q</m:t>
                    </m:r>
                  </m:e>
                  <m:sub>
                    <m:r>
                      <w:rPr>
                        <w:rFonts w:ascii="Cambria Math" w:hAnsi="Cambria Math"/>
                        <w:sz w:val="18"/>
                        <w:szCs w:val="18"/>
                      </w:rPr>
                      <m:t>d</m:t>
                    </m:r>
                  </m:sub>
                </m:sSub>
              </m:oMath>
            </m:oMathPara>
          </w:p>
        </w:tc>
        <w:tc>
          <w:tcPr>
            <w:tcW w:w="3345" w:type="dxa"/>
            <w:tcBorders>
              <w:top w:val="single" w:sz="4" w:space="0" w:color="000000"/>
              <w:left w:val="single" w:sz="4" w:space="0" w:color="000000"/>
              <w:bottom w:val="single" w:sz="4" w:space="0" w:color="000000"/>
              <w:right w:val="single" w:sz="4" w:space="0" w:color="000000"/>
            </w:tcBorders>
          </w:tcPr>
          <w:p w:rsidR="009C13A9" w:rsidRPr="00C903F8" w:rsidRDefault="00F12BAF" w:rsidP="009C13A9">
            <w:pPr>
              <w:spacing w:before="60" w:after="60" w:line="240" w:lineRule="atLeast"/>
              <w:ind w:left="0" w:firstLine="0"/>
              <w:rPr>
                <w:sz w:val="18"/>
                <w:szCs w:val="18"/>
                <w:lang w:val="en-US"/>
              </w:rPr>
            </w:pPr>
            <m:oMath>
              <m:sSub>
                <m:sSubPr>
                  <m:ctrlPr>
                    <w:rPr>
                      <w:rFonts w:ascii="Cambria Math" w:hAnsi="Cambria Math" w:cs="Arial"/>
                      <w:i/>
                      <w:sz w:val="18"/>
                      <w:szCs w:val="20"/>
                      <w:lang w:val="de-DE" w:eastAsia="nl-NL"/>
                    </w:rPr>
                  </m:ctrlPr>
                </m:sSubPr>
                <m:e>
                  <m:r>
                    <w:rPr>
                      <w:rFonts w:ascii="Cambria Math" w:hAnsi="Cambria Math" w:cs="Arial"/>
                      <w:sz w:val="18"/>
                      <w:szCs w:val="20"/>
                      <w:lang w:val="de-DE" w:eastAsia="nl-NL"/>
                    </w:rPr>
                    <m:t>C</m:t>
                  </m:r>
                </m:e>
                <m:sub>
                  <m:sSub>
                    <m:sSubPr>
                      <m:ctrlPr>
                        <w:rPr>
                          <w:rFonts w:ascii="Cambria Math" w:hAnsi="Cambria Math" w:cs="Arial"/>
                          <w:i/>
                          <w:sz w:val="18"/>
                          <w:szCs w:val="20"/>
                          <w:lang w:val="de-DE" w:eastAsia="nl-NL"/>
                        </w:rPr>
                      </m:ctrlPr>
                    </m:sSubPr>
                    <m:e>
                      <m:r>
                        <w:rPr>
                          <w:rFonts w:ascii="Cambria Math" w:hAnsi="Cambria Math" w:cs="Arial"/>
                          <w:sz w:val="18"/>
                          <w:szCs w:val="20"/>
                          <w:lang w:val="de-DE" w:eastAsia="nl-NL"/>
                        </w:rPr>
                        <m:t>BOD</m:t>
                      </m:r>
                    </m:e>
                    <m:sub>
                      <m:r>
                        <w:rPr>
                          <w:rFonts w:ascii="Cambria Math" w:hAnsi="Cambria Math" w:cs="Arial"/>
                          <w:sz w:val="18"/>
                          <w:szCs w:val="20"/>
                          <w:lang w:val="en-US" w:eastAsia="nl-NL"/>
                        </w:rPr>
                        <m:t>5</m:t>
                      </m:r>
                    </m:sub>
                  </m:sSub>
                </m:sub>
              </m:sSub>
            </m:oMath>
            <w:r w:rsidR="00A76137" w:rsidRPr="00C903F8">
              <w:rPr>
                <w:sz w:val="18"/>
                <w:szCs w:val="20"/>
                <w:lang w:val="en-US" w:eastAsia="nl-NL"/>
              </w:rPr>
              <w:t xml:space="preserve"> </w:t>
            </w:r>
            <w:r w:rsidR="009C13A9" w:rsidRPr="00C903F8">
              <w:rPr>
                <w:sz w:val="18"/>
                <w:szCs w:val="18"/>
                <w:lang w:val="en-US"/>
              </w:rPr>
              <w:t>in accordance with 2.4</w:t>
            </w:r>
          </w:p>
        </w:tc>
      </w:tr>
      <w:tr w:rsidR="009C13A9" w:rsidRPr="00296858" w:rsidTr="009C13A9">
        <w:trPr>
          <w:jc w:val="center"/>
        </w:trPr>
        <w:tc>
          <w:tcPr>
            <w:tcW w:w="1418" w:type="dxa"/>
            <w:tcBorders>
              <w:top w:val="single" w:sz="4" w:space="0" w:color="000000"/>
              <w:left w:val="single" w:sz="4" w:space="0" w:color="000000"/>
              <w:bottom w:val="single" w:sz="4" w:space="0" w:color="000000"/>
            </w:tcBorders>
          </w:tcPr>
          <w:p w:rsidR="009C13A9" w:rsidRPr="00C903F8" w:rsidRDefault="009C13A9" w:rsidP="009C13A9">
            <w:pPr>
              <w:spacing w:before="60" w:after="60" w:line="240" w:lineRule="atLeast"/>
              <w:ind w:left="0" w:firstLine="0"/>
              <w:rPr>
                <w:sz w:val="18"/>
                <w:szCs w:val="18"/>
              </w:rPr>
            </w:pPr>
            <w:r w:rsidRPr="00C903F8">
              <w:rPr>
                <w:sz w:val="18"/>
                <w:szCs w:val="18"/>
              </w:rPr>
              <w:t>Stand-by</w:t>
            </w:r>
          </w:p>
        </w:tc>
        <w:tc>
          <w:tcPr>
            <w:tcW w:w="1134" w:type="dxa"/>
            <w:tcBorders>
              <w:top w:val="single" w:sz="4" w:space="0" w:color="000000"/>
              <w:left w:val="single" w:sz="4" w:space="0" w:color="000000"/>
              <w:bottom w:val="single" w:sz="4" w:space="0" w:color="000000"/>
            </w:tcBorders>
          </w:tcPr>
          <w:p w:rsidR="009C13A9" w:rsidRPr="00C903F8" w:rsidRDefault="009C13A9" w:rsidP="009C13A9">
            <w:pPr>
              <w:spacing w:before="60" w:after="60" w:line="240" w:lineRule="atLeast"/>
              <w:ind w:left="0" w:firstLine="0"/>
              <w:rPr>
                <w:sz w:val="18"/>
                <w:szCs w:val="18"/>
              </w:rPr>
            </w:pPr>
            <w:r w:rsidRPr="00C903F8">
              <w:rPr>
                <w:sz w:val="18"/>
                <w:szCs w:val="18"/>
              </w:rPr>
              <w:t>4 days</w:t>
            </w:r>
          </w:p>
        </w:tc>
        <w:tc>
          <w:tcPr>
            <w:tcW w:w="2268" w:type="dxa"/>
            <w:tcBorders>
              <w:top w:val="single" w:sz="4" w:space="0" w:color="000000"/>
              <w:left w:val="single" w:sz="4" w:space="0" w:color="000000"/>
              <w:bottom w:val="single" w:sz="4" w:space="0" w:color="000000"/>
            </w:tcBorders>
          </w:tcPr>
          <w:p w:rsidR="00220FB5" w:rsidRPr="00C903F8" w:rsidRDefault="009C13A9" w:rsidP="00EB3292">
            <w:pPr>
              <w:spacing w:before="60" w:after="60" w:line="240" w:lineRule="atLeast"/>
              <w:ind w:left="0" w:firstLine="0"/>
              <w:rPr>
                <w:sz w:val="18"/>
                <w:szCs w:val="18"/>
                <w:lang w:val="en-US"/>
              </w:rPr>
            </w:pPr>
            <w:r w:rsidRPr="00C903F8">
              <w:rPr>
                <w:sz w:val="18"/>
                <w:szCs w:val="18"/>
                <w:lang w:val="en-US"/>
              </w:rPr>
              <w:t xml:space="preserve">Day 1 and day 2: </w:t>
            </w:r>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d</m:t>
                  </m:r>
                </m:sub>
              </m:sSub>
              <m:r>
                <w:rPr>
                  <w:rFonts w:ascii="Cambria Math" w:hAnsi="Cambria Math"/>
                  <w:sz w:val="18"/>
                  <w:szCs w:val="18"/>
                  <w:lang w:val="en-US"/>
                </w:rPr>
                <m:t>=0</m:t>
              </m:r>
            </m:oMath>
            <w:r w:rsidR="00220FB5" w:rsidRPr="00C903F8">
              <w:rPr>
                <w:sz w:val="18"/>
                <w:szCs w:val="18"/>
                <w:lang w:val="en-US"/>
              </w:rPr>
              <w:br/>
              <w:t xml:space="preserve">Day 3 and 4 : </w:t>
            </w:r>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d</m:t>
                  </m:r>
                </m:sub>
              </m:sSub>
            </m:oMath>
          </w:p>
        </w:tc>
        <w:tc>
          <w:tcPr>
            <w:tcW w:w="3345" w:type="dxa"/>
            <w:tcBorders>
              <w:top w:val="single" w:sz="4" w:space="0" w:color="000000"/>
              <w:left w:val="single" w:sz="4" w:space="0" w:color="000000"/>
              <w:bottom w:val="single" w:sz="4" w:space="0" w:color="000000"/>
              <w:right w:val="single" w:sz="4" w:space="0" w:color="000000"/>
            </w:tcBorders>
          </w:tcPr>
          <w:p w:rsidR="009C13A9" w:rsidRPr="00C903F8" w:rsidRDefault="00F12BAF" w:rsidP="009C13A9">
            <w:pPr>
              <w:spacing w:before="60" w:after="60" w:line="240" w:lineRule="atLeast"/>
              <w:ind w:left="0" w:firstLine="0"/>
              <w:rPr>
                <w:sz w:val="18"/>
                <w:szCs w:val="18"/>
                <w:lang w:val="en-US"/>
              </w:rPr>
            </w:pPr>
            <m:oMath>
              <m:sSub>
                <m:sSubPr>
                  <m:ctrlPr>
                    <w:rPr>
                      <w:rFonts w:ascii="Cambria Math" w:hAnsi="Cambria Math" w:cs="Arial"/>
                      <w:i/>
                      <w:sz w:val="18"/>
                      <w:szCs w:val="20"/>
                      <w:lang w:val="de-DE" w:eastAsia="nl-NL"/>
                    </w:rPr>
                  </m:ctrlPr>
                </m:sSubPr>
                <m:e>
                  <m:r>
                    <w:rPr>
                      <w:rFonts w:ascii="Cambria Math" w:hAnsi="Cambria Math" w:cs="Arial"/>
                      <w:sz w:val="18"/>
                      <w:szCs w:val="20"/>
                      <w:lang w:val="de-DE" w:eastAsia="nl-NL"/>
                    </w:rPr>
                    <m:t>C</m:t>
                  </m:r>
                </m:e>
                <m:sub>
                  <m:sSub>
                    <m:sSubPr>
                      <m:ctrlPr>
                        <w:rPr>
                          <w:rFonts w:ascii="Cambria Math" w:hAnsi="Cambria Math" w:cs="Arial"/>
                          <w:i/>
                          <w:sz w:val="18"/>
                          <w:szCs w:val="20"/>
                          <w:lang w:val="de-DE" w:eastAsia="nl-NL"/>
                        </w:rPr>
                      </m:ctrlPr>
                    </m:sSubPr>
                    <m:e>
                      <m:r>
                        <w:rPr>
                          <w:rFonts w:ascii="Cambria Math" w:hAnsi="Cambria Math" w:cs="Arial"/>
                          <w:sz w:val="18"/>
                          <w:szCs w:val="20"/>
                          <w:lang w:val="de-DE" w:eastAsia="nl-NL"/>
                        </w:rPr>
                        <m:t>BOD</m:t>
                      </m:r>
                    </m:e>
                    <m:sub>
                      <m:r>
                        <w:rPr>
                          <w:rFonts w:ascii="Cambria Math" w:hAnsi="Cambria Math" w:cs="Arial"/>
                          <w:sz w:val="18"/>
                          <w:szCs w:val="20"/>
                          <w:lang w:val="en-US" w:eastAsia="nl-NL"/>
                        </w:rPr>
                        <m:t>5</m:t>
                      </m:r>
                    </m:sub>
                  </m:sSub>
                </m:sub>
              </m:sSub>
            </m:oMath>
            <w:r w:rsidR="00A76137" w:rsidRPr="00C903F8">
              <w:rPr>
                <w:sz w:val="18"/>
                <w:szCs w:val="20"/>
                <w:lang w:val="en-US" w:eastAsia="nl-NL"/>
              </w:rPr>
              <w:t xml:space="preserve"> </w:t>
            </w:r>
            <w:r w:rsidR="009C13A9" w:rsidRPr="00C903F8">
              <w:rPr>
                <w:sz w:val="18"/>
                <w:szCs w:val="18"/>
                <w:lang w:val="en-US"/>
              </w:rPr>
              <w:t>in accordance with 2.4</w:t>
            </w:r>
          </w:p>
        </w:tc>
      </w:tr>
    </w:tbl>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br w:type="page"/>
      </w:r>
    </w:p>
    <w:p w:rsidR="009C13A9" w:rsidRPr="00C903F8" w:rsidRDefault="009C13A9" w:rsidP="009C13A9">
      <w:pPr>
        <w:spacing w:line="240" w:lineRule="atLeast"/>
        <w:ind w:left="426" w:firstLine="0"/>
        <w:rPr>
          <w:noProof/>
          <w:lang w:val="en-US" w:eastAsia="nl-NL"/>
        </w:rPr>
      </w:pPr>
      <w:r w:rsidRPr="00C903F8">
        <w:rPr>
          <w:noProof/>
          <w:lang w:val="en-US" w:eastAsia="nl-NL"/>
        </w:rPr>
        <w:lastRenderedPageBreak/>
        <w:t xml:space="preserve">The special load phases overload, underload and stand-by operation shall be carried out consecutively without interruption; the normal load phase shall be divided into several part phases. The test shall start and end with a normal load phase, of at least five days' duration in each case. </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en-GB"/>
        </w:rPr>
      </w:pPr>
      <w:r w:rsidRPr="00C903F8">
        <w:rPr>
          <w:noProof/>
          <w:lang w:val="en-US" w:eastAsia="en-GB"/>
        </w:rPr>
        <w:t>Daily hydraulic feeding hydrographs shall be set, depending on the specified operation of the on</w:t>
      </w:r>
      <w:r w:rsidR="00433D99" w:rsidRPr="00C903F8">
        <w:rPr>
          <w:noProof/>
          <w:lang w:val="en-US" w:eastAsia="en-GB"/>
        </w:rPr>
        <w:t>­</w:t>
      </w:r>
      <w:r w:rsidRPr="00C903F8">
        <w:rPr>
          <w:noProof/>
          <w:lang w:val="en-US" w:eastAsia="en-GB"/>
        </w:rPr>
        <w:t xml:space="preserve">board sewage treatment plant. The daily hydraulic feeding hydrograph shall be selected in accordance with the plant operation concept for the on-board sewage treatment plant. A distinction shall be made according to whether the on-board treatment plant is to be operated with or without an upstream sewage storage tank. The feeding hydrographs (daily hydrographs) are shown in Figure 1 and Figure 2. </w:t>
      </w:r>
    </w:p>
    <w:p w:rsidR="009C13A9" w:rsidRPr="00C903F8" w:rsidRDefault="009C13A9" w:rsidP="009C13A9">
      <w:pPr>
        <w:spacing w:line="240" w:lineRule="atLeast"/>
        <w:ind w:left="426" w:firstLine="0"/>
        <w:rPr>
          <w:noProof/>
          <w:lang w:val="en-US" w:eastAsia="en-GB"/>
        </w:rPr>
      </w:pPr>
    </w:p>
    <w:p w:rsidR="009C13A9" w:rsidRPr="00C903F8" w:rsidRDefault="009C13A9" w:rsidP="009C13A9">
      <w:pPr>
        <w:spacing w:line="240" w:lineRule="atLeast"/>
        <w:ind w:left="426" w:firstLine="0"/>
        <w:rPr>
          <w:noProof/>
          <w:lang w:val="en-US" w:eastAsia="en-GB"/>
        </w:rPr>
      </w:pPr>
      <w:r w:rsidRPr="00C903F8">
        <w:rPr>
          <w:noProof/>
          <w:lang w:val="en-US" w:eastAsia="en-GB"/>
        </w:rPr>
        <w:t>Throughout the entire test period the hourly inflow must remain constant. The mean hourly volumetric flow rate of sewage</w:t>
      </w:r>
      <w:r w:rsidR="004446A0" w:rsidRPr="00C903F8">
        <w:rPr>
          <w:noProof/>
          <w:lang w:val="en-US" w:eastAsia="en-GB"/>
        </w:rPr>
        <w:t xml:space="preserve"> </w:t>
      </w:r>
      <m:oMath>
        <m:sSub>
          <m:sSubPr>
            <m:ctrlPr>
              <w:rPr>
                <w:rFonts w:ascii="Cambria Math" w:hAnsi="Cambria Math"/>
                <w:i/>
                <w:noProof/>
                <w:lang w:val="en-US" w:eastAsia="en-GB"/>
              </w:rPr>
            </m:ctrlPr>
          </m:sSubPr>
          <m:e>
            <m:r>
              <w:rPr>
                <w:rFonts w:ascii="Cambria Math" w:hAnsi="Cambria Math"/>
                <w:noProof/>
                <w:lang w:val="en-US" w:eastAsia="en-GB"/>
              </w:rPr>
              <m:t>Q</m:t>
            </m:r>
          </m:e>
          <m:sub>
            <m:r>
              <w:rPr>
                <w:rFonts w:ascii="Cambria Math" w:hAnsi="Cambria Math"/>
                <w:noProof/>
                <w:lang w:val="en-US" w:eastAsia="en-GB"/>
              </w:rPr>
              <m:t>h, mean</m:t>
            </m:r>
          </m:sub>
        </m:sSub>
      </m:oMath>
      <w:r w:rsidRPr="00C903F8">
        <w:rPr>
          <w:noProof/>
          <w:lang w:val="en-US" w:eastAsia="en-GB"/>
        </w:rPr>
        <w:t xml:space="preserve"> is equivalent to 1/24 of the daily hydraulic load according to Table 1. The inflow shall be measured continuously by the technical service. The daily hydrograph must keep within a ±5</w:t>
      </w:r>
      <w:r w:rsidR="00133F19" w:rsidRPr="00C903F8">
        <w:rPr>
          <w:noProof/>
          <w:lang w:val="en-US" w:eastAsia="en-GB"/>
        </w:rPr>
        <w:t> </w:t>
      </w:r>
      <w:r w:rsidRPr="00C903F8">
        <w:rPr>
          <w:noProof/>
          <w:lang w:val="en-US" w:eastAsia="en-GB"/>
        </w:rPr>
        <w:t>% tolerance.</w:t>
      </w:r>
    </w:p>
    <w:p w:rsidR="009C13A9" w:rsidRDefault="009C13A9" w:rsidP="009C13A9">
      <w:pPr>
        <w:spacing w:line="240" w:lineRule="atLeast"/>
        <w:ind w:left="426" w:firstLine="0"/>
        <w:rPr>
          <w:noProof/>
          <w:lang w:val="en-US" w:eastAsia="en-GB"/>
        </w:rPr>
      </w:pPr>
    </w:p>
    <w:p w:rsidR="00AD0DF4" w:rsidRDefault="00AD0DF4" w:rsidP="009C13A9">
      <w:pPr>
        <w:spacing w:line="240" w:lineRule="atLeast"/>
        <w:ind w:left="426" w:firstLine="0"/>
        <w:rPr>
          <w:noProof/>
          <w:lang w:val="en-US" w:eastAsia="en-GB"/>
        </w:rPr>
      </w:pPr>
    </w:p>
    <w:p w:rsidR="00D74433" w:rsidRDefault="00AD0DF4" w:rsidP="00AD0DF4">
      <w:pPr>
        <w:spacing w:line="240" w:lineRule="atLeast"/>
        <w:ind w:left="426" w:firstLine="0"/>
        <w:jc w:val="center"/>
        <w:rPr>
          <w:noProof/>
          <w:lang w:val="en-US" w:eastAsia="en-GB"/>
        </w:rPr>
      </w:pPr>
      <w:r>
        <w:rPr>
          <w:noProof/>
        </w:rPr>
        <w:drawing>
          <wp:inline distT="0" distB="0" distL="0" distR="0">
            <wp:extent cx="5358384" cy="3267456"/>
            <wp:effectExtent l="0" t="0" r="0" b="9525"/>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in-Fig1en_p369..jpg"/>
                    <pic:cNvPicPr/>
                  </pic:nvPicPr>
                  <pic:blipFill>
                    <a:blip r:embed="rId96">
                      <a:extLst>
                        <a:ext uri="{28A0092B-C50C-407E-A947-70E740481C1C}">
                          <a14:useLocalDpi xmlns:a14="http://schemas.microsoft.com/office/drawing/2010/main" val="0"/>
                        </a:ext>
                      </a:extLst>
                    </a:blip>
                    <a:stretch>
                      <a:fillRect/>
                    </a:stretch>
                  </pic:blipFill>
                  <pic:spPr>
                    <a:xfrm>
                      <a:off x="0" y="0"/>
                      <a:ext cx="5358384" cy="3267456"/>
                    </a:xfrm>
                    <a:prstGeom prst="rect">
                      <a:avLst/>
                    </a:prstGeom>
                  </pic:spPr>
                </pic:pic>
              </a:graphicData>
            </a:graphic>
          </wp:inline>
        </w:drawing>
      </w:r>
    </w:p>
    <w:p w:rsidR="00D74433" w:rsidRPr="00C903F8" w:rsidRDefault="00D74433" w:rsidP="009C13A9">
      <w:pPr>
        <w:spacing w:line="240" w:lineRule="atLeast"/>
        <w:ind w:left="426" w:firstLine="0"/>
        <w:rPr>
          <w:noProof/>
          <w:lang w:val="en-US" w:eastAsia="en-GB"/>
        </w:rPr>
      </w:pPr>
    </w:p>
    <w:p w:rsidR="009C13A9" w:rsidRPr="00C903F8" w:rsidRDefault="009C13A9" w:rsidP="009C13A9">
      <w:pPr>
        <w:ind w:left="1985" w:hanging="1276"/>
        <w:rPr>
          <w:i/>
          <w:noProof/>
          <w:szCs w:val="20"/>
          <w:lang w:val="en-US"/>
        </w:rPr>
      </w:pPr>
      <w:r w:rsidRPr="00C903F8">
        <w:rPr>
          <w:i/>
          <w:noProof/>
          <w:szCs w:val="20"/>
          <w:lang w:val="en-US" w:eastAsia="en-GB"/>
        </w:rPr>
        <w:t xml:space="preserve">Figure </w:t>
      </w:r>
      <w:r w:rsidR="00475311" w:rsidRPr="00C903F8">
        <w:rPr>
          <w:i/>
          <w:noProof/>
          <w:szCs w:val="20"/>
          <w:lang w:eastAsia="en-GB"/>
        </w:rPr>
        <w:fldChar w:fldCharType="begin"/>
      </w:r>
      <w:r w:rsidRPr="00C903F8">
        <w:rPr>
          <w:i/>
          <w:noProof/>
          <w:szCs w:val="20"/>
          <w:lang w:val="en-US" w:eastAsia="en-GB"/>
        </w:rPr>
        <w:instrText xml:space="preserve"> SEQ Abbildung \* ARABIC </w:instrText>
      </w:r>
      <w:r w:rsidR="00475311" w:rsidRPr="00C903F8">
        <w:rPr>
          <w:i/>
          <w:noProof/>
          <w:szCs w:val="20"/>
          <w:lang w:eastAsia="en-GB"/>
        </w:rPr>
        <w:fldChar w:fldCharType="separate"/>
      </w:r>
      <w:r w:rsidR="001B3D1D">
        <w:rPr>
          <w:i/>
          <w:noProof/>
          <w:szCs w:val="20"/>
          <w:lang w:val="en-US" w:eastAsia="en-GB"/>
        </w:rPr>
        <w:t>1</w:t>
      </w:r>
      <w:r w:rsidR="00475311" w:rsidRPr="00C903F8">
        <w:rPr>
          <w:i/>
          <w:noProof/>
          <w:szCs w:val="20"/>
          <w:lang w:eastAsia="en-GB"/>
        </w:rPr>
        <w:fldChar w:fldCharType="end"/>
      </w:r>
      <w:r w:rsidRPr="00C903F8">
        <w:rPr>
          <w:i/>
          <w:noProof/>
          <w:szCs w:val="20"/>
          <w:lang w:val="en-US" w:eastAsia="en-GB"/>
        </w:rPr>
        <w:t>:</w:t>
      </w:r>
      <w:r w:rsidRPr="00C903F8">
        <w:rPr>
          <w:i/>
          <w:noProof/>
          <w:szCs w:val="20"/>
          <w:lang w:val="en-US" w:eastAsia="en-GB"/>
        </w:rPr>
        <w:tab/>
        <w:t>Daily hydrograph for feeding of on-board sewage treatment plant with upstream sewage storage tank</w:t>
      </w:r>
    </w:p>
    <w:p w:rsidR="009C13A9" w:rsidRPr="00C903F8" w:rsidRDefault="009C13A9" w:rsidP="009C13A9">
      <w:pPr>
        <w:rPr>
          <w:noProof/>
          <w:sz w:val="22"/>
          <w:lang w:val="en-US"/>
        </w:rPr>
      </w:pPr>
    </w:p>
    <w:p w:rsidR="00EB3292" w:rsidRPr="00C903F8" w:rsidRDefault="00EB3292" w:rsidP="009C13A9">
      <w:pPr>
        <w:rPr>
          <w:noProof/>
          <w:sz w:val="22"/>
          <w:lang w:val="en-US"/>
        </w:rPr>
      </w:pPr>
    </w:p>
    <w:p w:rsidR="009C13A9" w:rsidRPr="00C903F8" w:rsidRDefault="009C13A9" w:rsidP="009C13A9">
      <w:pPr>
        <w:suppressAutoHyphens/>
        <w:autoSpaceDE/>
        <w:autoSpaceDN/>
        <w:spacing w:line="240" w:lineRule="atLeast"/>
        <w:ind w:left="0" w:firstLine="0"/>
        <w:jc w:val="left"/>
        <w:rPr>
          <w:rFonts w:cs="Arial"/>
          <w:sz w:val="22"/>
          <w:lang w:val="en-US" w:eastAsia="ar-SA"/>
        </w:rPr>
      </w:pPr>
      <w:r w:rsidRPr="00C903F8">
        <w:rPr>
          <w:rFonts w:cs="Arial"/>
          <w:sz w:val="22"/>
          <w:lang w:val="en-US" w:eastAsia="ar-SA"/>
        </w:rPr>
        <w:br w:type="page"/>
      </w:r>
    </w:p>
    <w:p w:rsidR="009C13A9" w:rsidRPr="00C903F8" w:rsidRDefault="009C13A9" w:rsidP="009C13A9">
      <w:pPr>
        <w:suppressAutoHyphens/>
        <w:autoSpaceDE/>
        <w:autoSpaceDN/>
        <w:spacing w:line="240" w:lineRule="atLeast"/>
        <w:ind w:left="0" w:firstLine="0"/>
        <w:rPr>
          <w:rFonts w:cs="Arial"/>
          <w:sz w:val="22"/>
          <w:lang w:val="en-US" w:eastAsia="ar-SA"/>
        </w:rPr>
      </w:pPr>
    </w:p>
    <w:p w:rsidR="009C13A9" w:rsidRPr="00C903F8" w:rsidRDefault="00AD0DF4" w:rsidP="009C13A9">
      <w:pPr>
        <w:spacing w:line="240" w:lineRule="atLeast"/>
        <w:rPr>
          <w:rFonts w:cs="Arial"/>
          <w:noProof/>
          <w:color w:val="000000"/>
          <w:lang w:val="en-US" w:eastAsia="en-GB"/>
        </w:rPr>
      </w:pPr>
      <w:r>
        <w:rPr>
          <w:rFonts w:cs="Arial"/>
          <w:noProof/>
          <w:color w:val="000000"/>
        </w:rPr>
        <w:drawing>
          <wp:inline distT="0" distB="0" distL="0" distR="0">
            <wp:extent cx="5358384" cy="2950464"/>
            <wp:effectExtent l="0" t="0" r="0" b="254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in-Fig2en_p369..jpg"/>
                    <pic:cNvPicPr/>
                  </pic:nvPicPr>
                  <pic:blipFill>
                    <a:blip r:embed="rId97">
                      <a:extLst>
                        <a:ext uri="{28A0092B-C50C-407E-A947-70E740481C1C}">
                          <a14:useLocalDpi xmlns:a14="http://schemas.microsoft.com/office/drawing/2010/main" val="0"/>
                        </a:ext>
                      </a:extLst>
                    </a:blip>
                    <a:stretch>
                      <a:fillRect/>
                    </a:stretch>
                  </pic:blipFill>
                  <pic:spPr>
                    <a:xfrm>
                      <a:off x="0" y="0"/>
                      <a:ext cx="5358384" cy="2950464"/>
                    </a:xfrm>
                    <a:prstGeom prst="rect">
                      <a:avLst/>
                    </a:prstGeom>
                  </pic:spPr>
                </pic:pic>
              </a:graphicData>
            </a:graphic>
          </wp:inline>
        </w:drawing>
      </w:r>
    </w:p>
    <w:p w:rsidR="00AD0DF4" w:rsidRDefault="00AD0DF4" w:rsidP="009C13A9">
      <w:pPr>
        <w:ind w:left="1985" w:hanging="1276"/>
        <w:rPr>
          <w:i/>
          <w:noProof/>
          <w:szCs w:val="20"/>
          <w:lang w:val="en-US" w:eastAsia="en-GB"/>
        </w:rPr>
      </w:pPr>
    </w:p>
    <w:p w:rsidR="009C13A9" w:rsidRPr="00C903F8" w:rsidRDefault="009C13A9" w:rsidP="009C13A9">
      <w:pPr>
        <w:ind w:left="1985" w:hanging="1276"/>
        <w:rPr>
          <w:i/>
          <w:noProof/>
          <w:szCs w:val="20"/>
          <w:lang w:val="en-US" w:eastAsia="en-GB"/>
        </w:rPr>
      </w:pPr>
      <w:r w:rsidRPr="00C903F8">
        <w:rPr>
          <w:i/>
          <w:noProof/>
          <w:szCs w:val="20"/>
          <w:lang w:val="en-US" w:eastAsia="en-GB"/>
        </w:rPr>
        <w:t xml:space="preserve">Figure </w:t>
      </w:r>
      <w:r w:rsidR="00475311" w:rsidRPr="00C903F8">
        <w:rPr>
          <w:i/>
          <w:noProof/>
          <w:szCs w:val="20"/>
          <w:lang w:val="en-US" w:eastAsia="en-GB"/>
        </w:rPr>
        <w:fldChar w:fldCharType="begin"/>
      </w:r>
      <w:r w:rsidRPr="00C903F8">
        <w:rPr>
          <w:i/>
          <w:noProof/>
          <w:szCs w:val="20"/>
          <w:lang w:val="en-US" w:eastAsia="en-GB"/>
        </w:rPr>
        <w:instrText xml:space="preserve"> SEQ Abbildung \* ARABIC </w:instrText>
      </w:r>
      <w:r w:rsidR="00475311" w:rsidRPr="00C903F8">
        <w:rPr>
          <w:i/>
          <w:noProof/>
          <w:szCs w:val="20"/>
          <w:lang w:val="en-US" w:eastAsia="en-GB"/>
        </w:rPr>
        <w:fldChar w:fldCharType="separate"/>
      </w:r>
      <w:r w:rsidR="001B3D1D">
        <w:rPr>
          <w:i/>
          <w:noProof/>
          <w:szCs w:val="20"/>
          <w:lang w:val="en-US" w:eastAsia="en-GB"/>
        </w:rPr>
        <w:t>2</w:t>
      </w:r>
      <w:r w:rsidR="00475311" w:rsidRPr="00C903F8">
        <w:rPr>
          <w:i/>
          <w:noProof/>
          <w:szCs w:val="20"/>
          <w:lang w:val="en-US" w:eastAsia="en-GB"/>
        </w:rPr>
        <w:fldChar w:fldCharType="end"/>
      </w:r>
      <w:r w:rsidRPr="00C903F8">
        <w:rPr>
          <w:i/>
          <w:noProof/>
          <w:szCs w:val="20"/>
          <w:lang w:val="en-US" w:eastAsia="en-GB"/>
        </w:rPr>
        <w:t>:</w:t>
      </w:r>
      <w:r w:rsidRPr="00C903F8">
        <w:rPr>
          <w:i/>
          <w:noProof/>
          <w:szCs w:val="20"/>
          <w:lang w:val="en-US" w:eastAsia="en-GB"/>
        </w:rPr>
        <w:tab/>
        <w:t>Daily hydrograph for feeding of on-board sewage treatment plant without upstream sewage storage tank</w:t>
      </w:r>
    </w:p>
    <w:p w:rsidR="009C13A9" w:rsidRPr="00C903F8" w:rsidRDefault="009C13A9" w:rsidP="009C13A9">
      <w:pPr>
        <w:spacing w:line="240" w:lineRule="atLeast"/>
        <w:rPr>
          <w:rFonts w:cs="Arial"/>
          <w:noProof/>
          <w:color w:val="000000"/>
          <w:lang w:val="en-US" w:eastAsia="en-GB"/>
        </w:rPr>
      </w:pP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t>3.2</w:t>
      </w:r>
      <w:r w:rsidRPr="00C903F8">
        <w:rPr>
          <w:rFonts w:cs="Arial"/>
          <w:noProof/>
          <w:color w:val="000000"/>
          <w:lang w:val="en-US" w:eastAsia="en-GB"/>
        </w:rPr>
        <w:tab/>
        <w:t>Interruption or cancellation of the test</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It may be necessary to interrupt the test if the test plant can no longer be operated properly due to power failure or the malfunction of a subassembly. The test may be interrupted for the duration of the repair. In such cases it is not necessary to repeat the whole of the test, only the loading phase in which the subassembly malfunction took place.</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After the test is interrupted for a second time, the technical service shall decide whether the test may be continued or must be cancelled. The grounds for the decision must be stated and documented in the test report. Should the test be cancelled it must be repeated in full.</w:t>
      </w:r>
    </w:p>
    <w:p w:rsidR="009C13A9" w:rsidRPr="00C903F8" w:rsidRDefault="009C13A9" w:rsidP="009C13A9">
      <w:pPr>
        <w:spacing w:line="240" w:lineRule="atLeast"/>
        <w:rPr>
          <w:rFonts w:cs="Arial"/>
          <w:noProof/>
          <w:color w:val="000000"/>
          <w:lang w:val="en-US" w:eastAsia="en-GB"/>
        </w:rPr>
      </w:pP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t>3.3</w:t>
      </w:r>
      <w:r w:rsidRPr="00C903F8">
        <w:rPr>
          <w:rFonts w:cs="Arial"/>
          <w:noProof/>
          <w:color w:val="000000"/>
          <w:lang w:val="en-US" w:eastAsia="en-GB"/>
        </w:rPr>
        <w:tab/>
        <w:t xml:space="preserve">Examinations of purification efficiency and compliance with outflow limit values </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The technical service shall take samples from the inflow to the test plant and analyse them in order to confirm conformity with the inflow characteristics. Sewage samples shall be taken from the outflow of the test plant and analysed to determine the purification efficiency and compliance with the required outflow limit values. Sampling carried out shall include both simple random samples and 24h composite samples. In the case of the 24h composite samples, either time</w:t>
      </w:r>
      <w:r w:rsidRPr="00C903F8">
        <w:rPr>
          <w:noProof/>
          <w:lang w:val="en-US" w:eastAsia="nl-NL"/>
        </w:rPr>
        <w:noBreakHyphen/>
        <w:t>proportional or flow</w:t>
      </w:r>
      <w:r w:rsidRPr="00C903F8">
        <w:rPr>
          <w:noProof/>
          <w:lang w:val="en-US" w:eastAsia="nl-NL"/>
        </w:rPr>
        <w:noBreakHyphen/>
        <w:t xml:space="preserve">proportional sampling may be carried out. The type of 24h composite sample shall be specified by the inspection body. Sampling in the inflow and outflow shall be carried out simultaneously and to the same degree. </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br w:type="page"/>
      </w:r>
    </w:p>
    <w:p w:rsidR="009C13A9" w:rsidRPr="00C903F8" w:rsidRDefault="009C13A9" w:rsidP="009C13A9">
      <w:pPr>
        <w:spacing w:line="240" w:lineRule="atLeast"/>
        <w:ind w:left="426" w:firstLine="0"/>
        <w:rPr>
          <w:noProof/>
          <w:lang w:val="en-US" w:eastAsia="nl-NL"/>
        </w:rPr>
      </w:pPr>
      <w:r w:rsidRPr="00C903F8">
        <w:rPr>
          <w:noProof/>
          <w:lang w:val="en-US" w:eastAsia="nl-NL"/>
        </w:rPr>
        <w:lastRenderedPageBreak/>
        <w:t xml:space="preserve">In addition to the control parameters </w:t>
      </w:r>
      <m:oMath>
        <m:sSub>
          <m:sSubPr>
            <m:ctrlPr>
              <w:rPr>
                <w:rFonts w:ascii="Cambria Math" w:hAnsi="Cambria Math"/>
                <w:i/>
                <w:noProof/>
                <w:lang w:val="en-US" w:eastAsia="nl-NL"/>
              </w:rPr>
            </m:ctrlPr>
          </m:sSubPr>
          <m:e>
            <m:r>
              <w:rPr>
                <w:rFonts w:ascii="Cambria Math" w:hAnsi="Cambria Math"/>
                <w:noProof/>
                <w:lang w:val="en-US" w:eastAsia="nl-NL"/>
              </w:rPr>
              <m:t>BOD</m:t>
            </m:r>
          </m:e>
          <m:sub>
            <m:r>
              <w:rPr>
                <w:rFonts w:ascii="Cambria Math" w:hAnsi="Cambria Math"/>
                <w:noProof/>
                <w:lang w:val="en-US" w:eastAsia="nl-NL"/>
              </w:rPr>
              <m:t>5</m:t>
            </m:r>
          </m:sub>
        </m:sSub>
      </m:oMath>
      <w:r w:rsidRPr="00C903F8">
        <w:rPr>
          <w:noProof/>
          <w:lang w:val="en-US" w:eastAsia="nl-NL"/>
        </w:rPr>
        <w:t>, COD and TOC</w:t>
      </w:r>
      <w:r w:rsidRPr="00C903F8">
        <w:rPr>
          <w:vertAlign w:val="superscript"/>
          <w:lang w:val="en-US" w:eastAsia="nl-NL"/>
        </w:rPr>
        <w:t>(</w:t>
      </w:r>
      <w:r w:rsidRPr="00C903F8">
        <w:rPr>
          <w:vertAlign w:val="superscript"/>
          <w:lang w:eastAsia="nl-NL"/>
        </w:rPr>
        <w:footnoteReference w:id="76"/>
      </w:r>
      <w:r w:rsidRPr="00C903F8">
        <w:rPr>
          <w:vertAlign w:val="superscript"/>
          <w:lang w:val="en-US" w:eastAsia="nl-NL"/>
        </w:rPr>
        <w:t>)</w:t>
      </w:r>
      <w:r w:rsidRPr="00C903F8">
        <w:rPr>
          <w:noProof/>
          <w:lang w:val="en-US" w:eastAsia="nl-NL"/>
        </w:rPr>
        <w:t xml:space="preserve"> the following parameters for inflow and outflow shall be measured in order to describe and represent the environmental and test conditions:</w:t>
      </w:r>
    </w:p>
    <w:p w:rsidR="009C13A9" w:rsidRPr="00C903F8" w:rsidRDefault="005C7859" w:rsidP="009C13A9">
      <w:pPr>
        <w:spacing w:before="60" w:line="240" w:lineRule="atLeast"/>
        <w:ind w:left="851"/>
        <w:rPr>
          <w:rFonts w:cs="Arial"/>
          <w:noProof/>
          <w:szCs w:val="22"/>
          <w:lang w:val="en-US" w:eastAsia="zh-CN"/>
        </w:rPr>
      </w:pPr>
      <w:r w:rsidRPr="00C903F8">
        <w:rPr>
          <w:rFonts w:cs="Arial"/>
          <w:noProof/>
          <w:szCs w:val="22"/>
          <w:lang w:val="en-US" w:eastAsia="zh-CN"/>
        </w:rPr>
        <w:t>a)</w:t>
      </w:r>
      <w:r w:rsidR="009C13A9" w:rsidRPr="00C903F8">
        <w:rPr>
          <w:rFonts w:cs="Arial"/>
          <w:noProof/>
          <w:szCs w:val="22"/>
          <w:lang w:val="en-US" w:eastAsia="zh-CN"/>
        </w:rPr>
        <w:tab/>
        <w:t>solids removable by filtration (SRF);</w:t>
      </w:r>
    </w:p>
    <w:p w:rsidR="009C13A9" w:rsidRPr="00C903F8" w:rsidRDefault="005C7859" w:rsidP="009C13A9">
      <w:pPr>
        <w:spacing w:before="60" w:line="240" w:lineRule="atLeast"/>
        <w:ind w:left="851"/>
        <w:rPr>
          <w:rFonts w:cs="Arial"/>
          <w:noProof/>
          <w:szCs w:val="22"/>
          <w:lang w:val="en-US" w:eastAsia="en-GB"/>
        </w:rPr>
      </w:pPr>
      <w:r w:rsidRPr="00C903F8">
        <w:rPr>
          <w:rFonts w:cs="Arial"/>
          <w:noProof/>
          <w:szCs w:val="22"/>
          <w:lang w:val="en-US" w:eastAsia="en-GB"/>
        </w:rPr>
        <w:t>b)</w:t>
      </w:r>
      <w:r w:rsidR="009C13A9" w:rsidRPr="00C903F8">
        <w:rPr>
          <w:rFonts w:cs="Arial"/>
          <w:noProof/>
          <w:szCs w:val="22"/>
          <w:lang w:val="en-US" w:eastAsia="en-GB"/>
        </w:rPr>
        <w:tab/>
        <w:t>pH;</w:t>
      </w:r>
    </w:p>
    <w:p w:rsidR="009C13A9" w:rsidRPr="00C903F8" w:rsidRDefault="005C7859" w:rsidP="009C13A9">
      <w:pPr>
        <w:spacing w:before="60" w:line="240" w:lineRule="atLeast"/>
        <w:ind w:left="851"/>
        <w:rPr>
          <w:rFonts w:cs="Arial"/>
          <w:noProof/>
          <w:szCs w:val="22"/>
          <w:lang w:val="en-US" w:eastAsia="en-GB"/>
        </w:rPr>
      </w:pPr>
      <w:r w:rsidRPr="00C903F8">
        <w:rPr>
          <w:rFonts w:cs="Arial"/>
          <w:noProof/>
          <w:szCs w:val="22"/>
          <w:lang w:val="en-US" w:eastAsia="en-GB"/>
        </w:rPr>
        <w:t>c)</w:t>
      </w:r>
      <w:r w:rsidR="009C13A9" w:rsidRPr="00C903F8">
        <w:rPr>
          <w:rFonts w:cs="Arial"/>
          <w:noProof/>
          <w:szCs w:val="22"/>
          <w:lang w:val="en-US" w:eastAsia="en-GB"/>
        </w:rPr>
        <w:tab/>
        <w:t>conductivity;</w:t>
      </w:r>
    </w:p>
    <w:p w:rsidR="009C13A9" w:rsidRPr="00C903F8" w:rsidRDefault="0029453D" w:rsidP="009C13A9">
      <w:pPr>
        <w:spacing w:before="60" w:line="240" w:lineRule="atLeast"/>
        <w:ind w:left="851"/>
        <w:rPr>
          <w:rFonts w:cs="Arial"/>
          <w:noProof/>
          <w:szCs w:val="22"/>
          <w:lang w:val="en-US" w:eastAsia="en-GB"/>
        </w:rPr>
      </w:pPr>
      <w:r w:rsidRPr="00C903F8">
        <w:rPr>
          <w:rFonts w:cs="Arial"/>
          <w:noProof/>
          <w:szCs w:val="22"/>
          <w:lang w:val="en-US" w:eastAsia="en-GB"/>
        </w:rPr>
        <w:t>d)</w:t>
      </w:r>
      <w:r w:rsidR="009C13A9" w:rsidRPr="00C903F8">
        <w:rPr>
          <w:rFonts w:cs="Arial"/>
          <w:noProof/>
          <w:szCs w:val="22"/>
          <w:lang w:val="en-US" w:eastAsia="en-GB"/>
        </w:rPr>
        <w:tab/>
        <w:t xml:space="preserve">temperature of liquid phases. </w:t>
      </w:r>
    </w:p>
    <w:p w:rsidR="009C13A9" w:rsidRPr="00C903F8" w:rsidRDefault="009C13A9" w:rsidP="009C13A9">
      <w:pPr>
        <w:spacing w:before="60" w:line="240" w:lineRule="atLeast"/>
        <w:ind w:left="851"/>
        <w:rPr>
          <w:rFonts w:cs="Arial"/>
          <w:noProof/>
          <w:szCs w:val="22"/>
          <w:lang w:val="en-US" w:eastAsia="en-GB"/>
        </w:rPr>
      </w:pPr>
    </w:p>
    <w:p w:rsidR="009C13A9" w:rsidRPr="00C903F8" w:rsidRDefault="009C13A9" w:rsidP="009C13A9">
      <w:pPr>
        <w:spacing w:line="240" w:lineRule="atLeast"/>
        <w:ind w:left="426" w:firstLine="0"/>
        <w:rPr>
          <w:noProof/>
          <w:lang w:val="en-US" w:eastAsia="nl-NL"/>
        </w:rPr>
      </w:pPr>
      <w:r w:rsidRPr="00C903F8">
        <w:rPr>
          <w:noProof/>
          <w:lang w:val="en-US" w:eastAsia="nl-NL"/>
        </w:rPr>
        <w:t xml:space="preserve">The number of examinations varies according to the relevant loading phase and is set out in Table 2. The number of samplings relates to the inflow or outflow of the test plant. </w:t>
      </w:r>
    </w:p>
    <w:p w:rsidR="009C13A9" w:rsidRPr="00C903F8" w:rsidRDefault="009C13A9" w:rsidP="009C13A9">
      <w:pPr>
        <w:spacing w:line="240" w:lineRule="atLeast"/>
        <w:ind w:left="426" w:firstLine="0"/>
        <w:rPr>
          <w:noProof/>
          <w:lang w:val="en-US" w:eastAsia="nl-NL"/>
        </w:rPr>
      </w:pPr>
    </w:p>
    <w:p w:rsidR="009C13A9" w:rsidRPr="00C903F8" w:rsidRDefault="009C13A9" w:rsidP="00FA5168">
      <w:pPr>
        <w:spacing w:line="240" w:lineRule="atLeast"/>
        <w:ind w:left="1560" w:hanging="851"/>
        <w:rPr>
          <w:rFonts w:cs="Arial"/>
          <w:noProof/>
          <w:color w:val="000000"/>
          <w:lang w:val="en-US" w:eastAsia="en-GB"/>
        </w:rPr>
      </w:pPr>
      <w:r w:rsidRPr="00C903F8">
        <w:rPr>
          <w:rFonts w:cs="Arial"/>
          <w:noProof/>
          <w:color w:val="000000"/>
          <w:lang w:val="en-US" w:eastAsia="en-GB"/>
        </w:rPr>
        <w:t>Table 2:</w:t>
      </w:r>
      <w:r w:rsidRPr="00C903F8">
        <w:rPr>
          <w:rFonts w:cs="Arial"/>
          <w:noProof/>
          <w:color w:val="000000"/>
          <w:lang w:val="en-US" w:eastAsia="en-GB"/>
        </w:rPr>
        <w:tab/>
        <w:t xml:space="preserve">Specification of the number and timing of samplings in the inflow and outflow of the test plant </w:t>
      </w:r>
    </w:p>
    <w:p w:rsidR="009C13A9" w:rsidRPr="00C903F8" w:rsidRDefault="009C13A9" w:rsidP="009C13A9">
      <w:pPr>
        <w:spacing w:line="240" w:lineRule="atLeast"/>
        <w:ind w:left="2127" w:hanging="1418"/>
        <w:rPr>
          <w:rFonts w:cs="Arial"/>
          <w:noProof/>
          <w:color w:val="000000"/>
          <w:lang w:val="en-US" w:eastAsia="en-GB"/>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7"/>
        <w:gridCol w:w="1092"/>
        <w:gridCol w:w="2472"/>
        <w:gridCol w:w="3402"/>
      </w:tblGrid>
      <w:tr w:rsidR="009C13A9" w:rsidRPr="00296858" w:rsidTr="009C13A9">
        <w:tc>
          <w:tcPr>
            <w:tcW w:w="1397" w:type="dxa"/>
          </w:tcPr>
          <w:p w:rsidR="009C13A9" w:rsidRPr="00C903F8" w:rsidRDefault="009C13A9" w:rsidP="009C13A9">
            <w:pPr>
              <w:spacing w:before="60" w:after="60" w:line="240" w:lineRule="atLeast"/>
              <w:ind w:left="0" w:firstLine="0"/>
              <w:rPr>
                <w:noProof/>
                <w:sz w:val="18"/>
                <w:szCs w:val="20"/>
              </w:rPr>
            </w:pPr>
            <w:r w:rsidRPr="00C903F8">
              <w:rPr>
                <w:noProof/>
                <w:sz w:val="18"/>
                <w:szCs w:val="20"/>
              </w:rPr>
              <w:t>Loading phase</w:t>
            </w:r>
          </w:p>
        </w:tc>
        <w:tc>
          <w:tcPr>
            <w:tcW w:w="1092" w:type="dxa"/>
          </w:tcPr>
          <w:p w:rsidR="009C13A9" w:rsidRPr="00C903F8" w:rsidRDefault="009C13A9" w:rsidP="009C13A9">
            <w:pPr>
              <w:spacing w:before="60" w:after="60" w:line="240" w:lineRule="atLeast"/>
              <w:ind w:left="0" w:firstLine="0"/>
              <w:rPr>
                <w:noProof/>
                <w:sz w:val="18"/>
                <w:szCs w:val="20"/>
              </w:rPr>
            </w:pPr>
            <w:r w:rsidRPr="00C903F8">
              <w:rPr>
                <w:noProof/>
                <w:sz w:val="18"/>
                <w:szCs w:val="20"/>
              </w:rPr>
              <w:t>Number of test days</w:t>
            </w:r>
          </w:p>
        </w:tc>
        <w:tc>
          <w:tcPr>
            <w:tcW w:w="2472" w:type="dxa"/>
          </w:tcPr>
          <w:p w:rsidR="009C13A9" w:rsidRPr="00C903F8" w:rsidRDefault="009C13A9" w:rsidP="009C13A9">
            <w:pPr>
              <w:spacing w:before="60" w:after="60" w:line="240" w:lineRule="atLeast"/>
              <w:ind w:left="0" w:firstLine="0"/>
              <w:jc w:val="left"/>
              <w:rPr>
                <w:noProof/>
                <w:sz w:val="18"/>
                <w:szCs w:val="20"/>
              </w:rPr>
            </w:pPr>
            <w:r w:rsidRPr="00C903F8">
              <w:rPr>
                <w:noProof/>
                <w:sz w:val="18"/>
                <w:szCs w:val="20"/>
              </w:rPr>
              <w:t>Number of samplings</w:t>
            </w:r>
          </w:p>
        </w:tc>
        <w:tc>
          <w:tcPr>
            <w:tcW w:w="3402" w:type="dxa"/>
          </w:tcPr>
          <w:p w:rsidR="009C13A9" w:rsidRPr="00C903F8" w:rsidRDefault="009C13A9" w:rsidP="009C13A9">
            <w:pPr>
              <w:spacing w:before="60" w:after="60" w:line="240" w:lineRule="atLeast"/>
              <w:ind w:left="0" w:firstLine="0"/>
              <w:rPr>
                <w:noProof/>
                <w:sz w:val="18"/>
                <w:szCs w:val="20"/>
                <w:lang w:val="en-US"/>
              </w:rPr>
            </w:pPr>
            <w:r w:rsidRPr="00C903F8">
              <w:rPr>
                <w:noProof/>
                <w:sz w:val="18"/>
                <w:szCs w:val="20"/>
                <w:lang w:val="en-US"/>
              </w:rPr>
              <w:t>Specification of timing of samplings</w:t>
            </w:r>
          </w:p>
        </w:tc>
      </w:tr>
      <w:tr w:rsidR="009C13A9" w:rsidRPr="00296858" w:rsidTr="009C13A9">
        <w:tc>
          <w:tcPr>
            <w:tcW w:w="1397" w:type="dxa"/>
          </w:tcPr>
          <w:p w:rsidR="009C13A9" w:rsidRPr="00C903F8" w:rsidRDefault="009C13A9" w:rsidP="009C13A9">
            <w:pPr>
              <w:spacing w:before="60" w:after="60" w:line="240" w:lineRule="atLeast"/>
              <w:ind w:left="0" w:firstLine="0"/>
              <w:rPr>
                <w:noProof/>
                <w:sz w:val="18"/>
                <w:szCs w:val="20"/>
              </w:rPr>
            </w:pPr>
            <w:r w:rsidRPr="00C903F8">
              <w:rPr>
                <w:noProof/>
                <w:sz w:val="18"/>
                <w:szCs w:val="20"/>
              </w:rPr>
              <w:t>Normal load</w:t>
            </w:r>
          </w:p>
        </w:tc>
        <w:tc>
          <w:tcPr>
            <w:tcW w:w="1092" w:type="dxa"/>
          </w:tcPr>
          <w:p w:rsidR="009C13A9" w:rsidRPr="00C903F8" w:rsidRDefault="009C13A9" w:rsidP="009C13A9">
            <w:pPr>
              <w:spacing w:before="60" w:after="60" w:line="240" w:lineRule="atLeast"/>
              <w:ind w:left="0" w:firstLine="0"/>
              <w:rPr>
                <w:noProof/>
                <w:sz w:val="18"/>
                <w:szCs w:val="20"/>
              </w:rPr>
            </w:pPr>
            <w:r w:rsidRPr="00C903F8">
              <w:rPr>
                <w:noProof/>
                <w:sz w:val="18"/>
                <w:szCs w:val="20"/>
              </w:rPr>
              <w:t>20 days</w:t>
            </w:r>
          </w:p>
        </w:tc>
        <w:tc>
          <w:tcPr>
            <w:tcW w:w="2472" w:type="dxa"/>
          </w:tcPr>
          <w:p w:rsidR="009C13A9" w:rsidRPr="00C903F8" w:rsidRDefault="009C13A9" w:rsidP="009C13A9">
            <w:pPr>
              <w:tabs>
                <w:tab w:val="left" w:pos="2081"/>
              </w:tabs>
              <w:spacing w:before="60" w:after="60" w:line="240" w:lineRule="atLeast"/>
              <w:ind w:left="0" w:firstLine="0"/>
              <w:jc w:val="left"/>
              <w:rPr>
                <w:noProof/>
                <w:sz w:val="18"/>
                <w:szCs w:val="20"/>
                <w:lang w:val="pt-PT"/>
              </w:rPr>
            </w:pPr>
            <w:r w:rsidRPr="00C903F8">
              <w:rPr>
                <w:noProof/>
                <w:sz w:val="18"/>
                <w:szCs w:val="20"/>
                <w:lang w:val="pt-PT"/>
              </w:rPr>
              <w:t xml:space="preserve">24h composite samples: </w:t>
            </w:r>
            <w:r w:rsidRPr="00C903F8">
              <w:rPr>
                <w:noProof/>
                <w:sz w:val="18"/>
                <w:szCs w:val="20"/>
                <w:lang w:val="pt-PT"/>
              </w:rPr>
              <w:tab/>
              <w:t>8</w:t>
            </w:r>
            <w:r w:rsidRPr="00C903F8">
              <w:rPr>
                <w:noProof/>
                <w:sz w:val="18"/>
                <w:szCs w:val="20"/>
                <w:lang w:val="pt-PT"/>
              </w:rPr>
              <w:br/>
              <w:t xml:space="preserve">Random samples: </w:t>
            </w:r>
            <w:r w:rsidRPr="00C903F8">
              <w:rPr>
                <w:noProof/>
                <w:sz w:val="18"/>
                <w:szCs w:val="20"/>
                <w:lang w:val="pt-PT"/>
              </w:rPr>
              <w:tab/>
              <w:t>8</w:t>
            </w:r>
          </w:p>
        </w:tc>
        <w:tc>
          <w:tcPr>
            <w:tcW w:w="3402" w:type="dxa"/>
          </w:tcPr>
          <w:p w:rsidR="009C13A9" w:rsidRPr="00C903F8" w:rsidRDefault="009C13A9" w:rsidP="009C13A9">
            <w:pPr>
              <w:spacing w:before="60" w:after="60" w:line="240" w:lineRule="atLeast"/>
              <w:ind w:left="0" w:firstLine="0"/>
              <w:jc w:val="left"/>
              <w:rPr>
                <w:noProof/>
                <w:sz w:val="18"/>
                <w:szCs w:val="20"/>
                <w:lang w:val="en-US"/>
              </w:rPr>
            </w:pPr>
            <w:r w:rsidRPr="00C903F8">
              <w:rPr>
                <w:noProof/>
                <w:sz w:val="18"/>
                <w:szCs w:val="20"/>
                <w:lang w:val="en-US"/>
              </w:rPr>
              <w:t>Sampling at regular intervals throughout the period</w:t>
            </w:r>
          </w:p>
        </w:tc>
      </w:tr>
      <w:tr w:rsidR="009C13A9" w:rsidRPr="00296858" w:rsidTr="009C13A9">
        <w:tc>
          <w:tcPr>
            <w:tcW w:w="1397" w:type="dxa"/>
          </w:tcPr>
          <w:p w:rsidR="009C13A9" w:rsidRPr="00C903F8" w:rsidRDefault="009C13A9" w:rsidP="009C13A9">
            <w:pPr>
              <w:spacing w:before="60" w:after="60" w:line="240" w:lineRule="atLeast"/>
              <w:ind w:left="0" w:firstLine="0"/>
              <w:rPr>
                <w:noProof/>
                <w:sz w:val="18"/>
                <w:szCs w:val="20"/>
                <w:lang w:val="en-US"/>
              </w:rPr>
            </w:pPr>
            <w:r w:rsidRPr="00C903F8">
              <w:rPr>
                <w:noProof/>
                <w:sz w:val="18"/>
                <w:szCs w:val="20"/>
                <w:lang w:val="en-US"/>
              </w:rPr>
              <w:t>Overload</w:t>
            </w:r>
          </w:p>
        </w:tc>
        <w:tc>
          <w:tcPr>
            <w:tcW w:w="1092" w:type="dxa"/>
          </w:tcPr>
          <w:p w:rsidR="009C13A9" w:rsidRPr="00C903F8" w:rsidRDefault="009C13A9" w:rsidP="009C13A9">
            <w:pPr>
              <w:spacing w:before="60" w:after="60" w:line="240" w:lineRule="atLeast"/>
              <w:ind w:left="0" w:firstLine="0"/>
              <w:rPr>
                <w:noProof/>
                <w:sz w:val="18"/>
                <w:szCs w:val="20"/>
                <w:lang w:val="en-US"/>
              </w:rPr>
            </w:pPr>
            <w:r w:rsidRPr="00C903F8">
              <w:rPr>
                <w:noProof/>
                <w:sz w:val="18"/>
                <w:szCs w:val="20"/>
                <w:lang w:val="en-US"/>
              </w:rPr>
              <w:t>3 days</w:t>
            </w:r>
          </w:p>
        </w:tc>
        <w:tc>
          <w:tcPr>
            <w:tcW w:w="2472" w:type="dxa"/>
          </w:tcPr>
          <w:p w:rsidR="009C13A9" w:rsidRPr="00C903F8" w:rsidRDefault="009C13A9" w:rsidP="009C13A9">
            <w:pPr>
              <w:tabs>
                <w:tab w:val="left" w:pos="2081"/>
              </w:tabs>
              <w:spacing w:before="60" w:after="60" w:line="240" w:lineRule="atLeast"/>
              <w:ind w:left="0" w:firstLine="0"/>
              <w:jc w:val="left"/>
              <w:rPr>
                <w:noProof/>
                <w:sz w:val="18"/>
                <w:szCs w:val="20"/>
                <w:lang w:val="pt-PT"/>
              </w:rPr>
            </w:pPr>
            <w:r w:rsidRPr="00C903F8">
              <w:rPr>
                <w:noProof/>
                <w:sz w:val="18"/>
                <w:szCs w:val="20"/>
                <w:lang w:val="pt-PT"/>
              </w:rPr>
              <w:t>24h composite samples:</w:t>
            </w:r>
            <w:r w:rsidRPr="00C903F8">
              <w:rPr>
                <w:noProof/>
                <w:sz w:val="18"/>
                <w:szCs w:val="20"/>
                <w:lang w:val="pt-PT"/>
              </w:rPr>
              <w:tab/>
              <w:t>2</w:t>
            </w:r>
            <w:r w:rsidRPr="00C903F8">
              <w:rPr>
                <w:noProof/>
                <w:sz w:val="18"/>
                <w:szCs w:val="20"/>
                <w:lang w:val="pt-PT"/>
              </w:rPr>
              <w:br/>
              <w:t xml:space="preserve">Random samples: </w:t>
            </w:r>
            <w:r w:rsidRPr="00C903F8">
              <w:rPr>
                <w:noProof/>
                <w:sz w:val="18"/>
                <w:szCs w:val="20"/>
                <w:lang w:val="pt-PT"/>
              </w:rPr>
              <w:tab/>
              <w:t>2</w:t>
            </w:r>
          </w:p>
        </w:tc>
        <w:tc>
          <w:tcPr>
            <w:tcW w:w="3402" w:type="dxa"/>
          </w:tcPr>
          <w:p w:rsidR="009C13A9" w:rsidRPr="00C903F8" w:rsidRDefault="009C13A9" w:rsidP="009C13A9">
            <w:pPr>
              <w:spacing w:before="60" w:after="60" w:line="240" w:lineRule="atLeast"/>
              <w:ind w:left="0" w:firstLine="0"/>
              <w:jc w:val="left"/>
              <w:rPr>
                <w:noProof/>
                <w:sz w:val="18"/>
                <w:szCs w:val="20"/>
                <w:lang w:val="en-US"/>
              </w:rPr>
            </w:pPr>
            <w:r w:rsidRPr="00C903F8">
              <w:rPr>
                <w:noProof/>
                <w:sz w:val="18"/>
                <w:szCs w:val="20"/>
                <w:lang w:val="en-US"/>
              </w:rPr>
              <w:t>Sampling at regular intervals throughout the period</w:t>
            </w:r>
          </w:p>
        </w:tc>
      </w:tr>
      <w:tr w:rsidR="009C13A9" w:rsidRPr="00296858" w:rsidTr="009C13A9">
        <w:tc>
          <w:tcPr>
            <w:tcW w:w="1397" w:type="dxa"/>
          </w:tcPr>
          <w:p w:rsidR="009C13A9" w:rsidRPr="00C903F8" w:rsidRDefault="009C13A9" w:rsidP="009C13A9">
            <w:pPr>
              <w:spacing w:before="60" w:after="60" w:line="240" w:lineRule="atLeast"/>
              <w:ind w:left="0" w:firstLine="0"/>
              <w:rPr>
                <w:noProof/>
                <w:sz w:val="18"/>
                <w:szCs w:val="20"/>
              </w:rPr>
            </w:pPr>
            <w:r w:rsidRPr="00C903F8">
              <w:rPr>
                <w:noProof/>
                <w:sz w:val="18"/>
                <w:szCs w:val="20"/>
              </w:rPr>
              <w:t>Underload</w:t>
            </w:r>
          </w:p>
        </w:tc>
        <w:tc>
          <w:tcPr>
            <w:tcW w:w="1092" w:type="dxa"/>
          </w:tcPr>
          <w:p w:rsidR="009C13A9" w:rsidRPr="00C903F8" w:rsidRDefault="009C13A9" w:rsidP="009C13A9">
            <w:pPr>
              <w:spacing w:before="60" w:after="60" w:line="240" w:lineRule="atLeast"/>
              <w:ind w:left="0" w:firstLine="0"/>
              <w:rPr>
                <w:noProof/>
                <w:sz w:val="18"/>
                <w:szCs w:val="20"/>
              </w:rPr>
            </w:pPr>
            <w:r w:rsidRPr="00C903F8">
              <w:rPr>
                <w:noProof/>
                <w:sz w:val="18"/>
                <w:szCs w:val="20"/>
              </w:rPr>
              <w:t>3 days</w:t>
            </w:r>
          </w:p>
        </w:tc>
        <w:tc>
          <w:tcPr>
            <w:tcW w:w="2472" w:type="dxa"/>
          </w:tcPr>
          <w:p w:rsidR="009C13A9" w:rsidRPr="00C903F8" w:rsidRDefault="009C13A9" w:rsidP="009C13A9">
            <w:pPr>
              <w:tabs>
                <w:tab w:val="left" w:pos="2081"/>
              </w:tabs>
              <w:spacing w:before="60" w:after="60" w:line="240" w:lineRule="atLeast"/>
              <w:ind w:left="0" w:firstLine="0"/>
              <w:jc w:val="left"/>
              <w:rPr>
                <w:noProof/>
                <w:sz w:val="18"/>
                <w:szCs w:val="20"/>
                <w:lang w:val="pt-PT"/>
              </w:rPr>
            </w:pPr>
            <w:r w:rsidRPr="00C903F8">
              <w:rPr>
                <w:noProof/>
                <w:sz w:val="18"/>
                <w:szCs w:val="20"/>
                <w:lang w:val="pt-PT"/>
              </w:rPr>
              <w:t xml:space="preserve">24h composite samples: </w:t>
            </w:r>
            <w:r w:rsidRPr="00C903F8">
              <w:rPr>
                <w:noProof/>
                <w:sz w:val="18"/>
                <w:szCs w:val="20"/>
                <w:lang w:val="pt-PT"/>
              </w:rPr>
              <w:tab/>
              <w:t>2</w:t>
            </w:r>
            <w:r w:rsidRPr="00C903F8">
              <w:rPr>
                <w:noProof/>
                <w:sz w:val="18"/>
                <w:szCs w:val="20"/>
                <w:lang w:val="pt-PT"/>
              </w:rPr>
              <w:br/>
              <w:t xml:space="preserve">Random samples: </w:t>
            </w:r>
            <w:r w:rsidRPr="00C903F8">
              <w:rPr>
                <w:noProof/>
                <w:sz w:val="18"/>
                <w:szCs w:val="20"/>
                <w:lang w:val="pt-PT"/>
              </w:rPr>
              <w:tab/>
              <w:t>2</w:t>
            </w:r>
          </w:p>
        </w:tc>
        <w:tc>
          <w:tcPr>
            <w:tcW w:w="3402" w:type="dxa"/>
          </w:tcPr>
          <w:p w:rsidR="009C13A9" w:rsidRPr="00C903F8" w:rsidRDefault="009C13A9" w:rsidP="009C13A9">
            <w:pPr>
              <w:spacing w:before="60" w:after="60" w:line="240" w:lineRule="atLeast"/>
              <w:ind w:left="0" w:firstLine="0"/>
              <w:jc w:val="left"/>
              <w:rPr>
                <w:noProof/>
                <w:sz w:val="18"/>
                <w:szCs w:val="20"/>
                <w:lang w:val="en-US"/>
              </w:rPr>
            </w:pPr>
            <w:r w:rsidRPr="00C903F8">
              <w:rPr>
                <w:noProof/>
                <w:sz w:val="18"/>
                <w:szCs w:val="20"/>
                <w:lang w:val="en-US"/>
              </w:rPr>
              <w:t>Sampling at regular intervals throughout the period</w:t>
            </w:r>
          </w:p>
        </w:tc>
      </w:tr>
      <w:tr w:rsidR="009C13A9" w:rsidRPr="00296858" w:rsidTr="009C13A9">
        <w:tc>
          <w:tcPr>
            <w:tcW w:w="1397" w:type="dxa"/>
          </w:tcPr>
          <w:p w:rsidR="009C13A9" w:rsidRPr="00C903F8" w:rsidRDefault="009C13A9" w:rsidP="009C13A9">
            <w:pPr>
              <w:spacing w:before="60" w:after="60" w:line="240" w:lineRule="atLeast"/>
              <w:ind w:left="0" w:firstLine="0"/>
              <w:rPr>
                <w:noProof/>
                <w:sz w:val="18"/>
                <w:szCs w:val="20"/>
                <w:lang w:val="en-US"/>
              </w:rPr>
            </w:pPr>
            <w:r w:rsidRPr="00C903F8">
              <w:rPr>
                <w:noProof/>
                <w:sz w:val="18"/>
                <w:szCs w:val="20"/>
                <w:lang w:val="en-US"/>
              </w:rPr>
              <w:t>Stand-by</w:t>
            </w:r>
          </w:p>
        </w:tc>
        <w:tc>
          <w:tcPr>
            <w:tcW w:w="1092" w:type="dxa"/>
          </w:tcPr>
          <w:p w:rsidR="009C13A9" w:rsidRPr="00C903F8" w:rsidRDefault="009C13A9" w:rsidP="009C13A9">
            <w:pPr>
              <w:spacing w:before="60" w:after="60" w:line="240" w:lineRule="atLeast"/>
              <w:ind w:left="0" w:firstLine="0"/>
              <w:rPr>
                <w:noProof/>
                <w:sz w:val="18"/>
                <w:szCs w:val="20"/>
                <w:lang w:val="en-US"/>
              </w:rPr>
            </w:pPr>
            <w:r w:rsidRPr="00C903F8">
              <w:rPr>
                <w:noProof/>
                <w:sz w:val="18"/>
                <w:szCs w:val="20"/>
                <w:lang w:val="en-US"/>
              </w:rPr>
              <w:t>4 days</w:t>
            </w:r>
          </w:p>
        </w:tc>
        <w:tc>
          <w:tcPr>
            <w:tcW w:w="2472" w:type="dxa"/>
          </w:tcPr>
          <w:p w:rsidR="009C13A9" w:rsidRPr="00C903F8" w:rsidRDefault="009C13A9" w:rsidP="009C13A9">
            <w:pPr>
              <w:tabs>
                <w:tab w:val="left" w:pos="2081"/>
              </w:tabs>
              <w:spacing w:before="60" w:after="60" w:line="240" w:lineRule="atLeast"/>
              <w:ind w:left="0" w:firstLine="0"/>
              <w:jc w:val="left"/>
              <w:rPr>
                <w:noProof/>
                <w:sz w:val="18"/>
                <w:szCs w:val="20"/>
                <w:lang w:val="pt-PT"/>
              </w:rPr>
            </w:pPr>
            <w:r w:rsidRPr="00C903F8">
              <w:rPr>
                <w:noProof/>
                <w:sz w:val="18"/>
                <w:szCs w:val="20"/>
                <w:lang w:val="pt-PT"/>
              </w:rPr>
              <w:t xml:space="preserve">24h composite samples: </w:t>
            </w:r>
            <w:r w:rsidRPr="00C903F8">
              <w:rPr>
                <w:noProof/>
                <w:sz w:val="18"/>
                <w:szCs w:val="20"/>
                <w:lang w:val="pt-PT"/>
              </w:rPr>
              <w:tab/>
              <w:t>2</w:t>
            </w:r>
            <w:r w:rsidRPr="00C903F8">
              <w:rPr>
                <w:noProof/>
                <w:sz w:val="18"/>
                <w:szCs w:val="20"/>
                <w:lang w:val="pt-PT"/>
              </w:rPr>
              <w:br/>
              <w:t xml:space="preserve">Random samples: </w:t>
            </w:r>
            <w:r w:rsidRPr="00C903F8">
              <w:rPr>
                <w:noProof/>
                <w:sz w:val="18"/>
                <w:szCs w:val="20"/>
                <w:lang w:val="pt-PT"/>
              </w:rPr>
              <w:tab/>
              <w:t>2</w:t>
            </w:r>
          </w:p>
        </w:tc>
        <w:tc>
          <w:tcPr>
            <w:tcW w:w="3402" w:type="dxa"/>
          </w:tcPr>
          <w:p w:rsidR="009C13A9" w:rsidRPr="00C903F8" w:rsidRDefault="009C13A9" w:rsidP="009C13A9">
            <w:pPr>
              <w:spacing w:before="60" w:after="60" w:line="240" w:lineRule="atLeast"/>
              <w:ind w:left="0" w:firstLine="0"/>
              <w:jc w:val="left"/>
              <w:rPr>
                <w:noProof/>
                <w:sz w:val="18"/>
                <w:szCs w:val="20"/>
                <w:lang w:val="en-US"/>
              </w:rPr>
            </w:pPr>
            <w:r w:rsidRPr="00C903F8">
              <w:rPr>
                <w:noProof/>
                <w:sz w:val="18"/>
                <w:szCs w:val="20"/>
                <w:lang w:val="en-US"/>
              </w:rPr>
              <w:t>24h composite sample: Sampling after inflow switched on and 24h later.</w:t>
            </w:r>
            <w:r w:rsidRPr="00C903F8">
              <w:rPr>
                <w:noProof/>
                <w:sz w:val="18"/>
                <w:szCs w:val="20"/>
                <w:lang w:val="en-US"/>
              </w:rPr>
              <w:br/>
              <w:t>Random sample: 1 hour after inflow switched on and 24h later.</w:t>
            </w:r>
          </w:p>
        </w:tc>
      </w:tr>
      <w:tr w:rsidR="009C13A9" w:rsidRPr="00296858" w:rsidTr="009C13A9">
        <w:tc>
          <w:tcPr>
            <w:tcW w:w="8363" w:type="dxa"/>
            <w:gridSpan w:val="4"/>
          </w:tcPr>
          <w:p w:rsidR="009C13A9" w:rsidRPr="00C903F8" w:rsidRDefault="009C13A9" w:rsidP="009C13A9">
            <w:pPr>
              <w:spacing w:before="60" w:after="60" w:line="240" w:lineRule="atLeast"/>
              <w:ind w:left="0" w:firstLine="0"/>
              <w:rPr>
                <w:noProof/>
                <w:sz w:val="18"/>
                <w:szCs w:val="20"/>
                <w:lang w:val="en-US"/>
              </w:rPr>
            </w:pPr>
            <w:r w:rsidRPr="00C903F8">
              <w:rPr>
                <w:noProof/>
                <w:sz w:val="18"/>
                <w:szCs w:val="20"/>
                <w:lang w:val="en-US"/>
              </w:rPr>
              <w:t>Total number of 24h composite samples: 14</w:t>
            </w:r>
            <w:r w:rsidRPr="00C903F8">
              <w:rPr>
                <w:noProof/>
                <w:sz w:val="18"/>
                <w:szCs w:val="20"/>
                <w:lang w:val="en-US"/>
              </w:rPr>
              <w:tab/>
            </w:r>
            <w:r w:rsidRPr="00C903F8">
              <w:rPr>
                <w:noProof/>
                <w:sz w:val="18"/>
                <w:szCs w:val="20"/>
                <w:lang w:val="en-US"/>
              </w:rPr>
              <w:br/>
              <w:t>Total number of random samples: 14</w:t>
            </w:r>
          </w:p>
        </w:tc>
      </w:tr>
    </w:tbl>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en-GB"/>
        </w:rPr>
      </w:pPr>
      <w:r w:rsidRPr="00C903F8">
        <w:rPr>
          <w:noProof/>
          <w:lang w:val="en-US" w:eastAsia="en-GB"/>
        </w:rPr>
        <w:t>Where applicable, the following operating parameters shall also be measured from the random samples taken:</w:t>
      </w:r>
    </w:p>
    <w:p w:rsidR="009C13A9" w:rsidRPr="00C903F8" w:rsidRDefault="005C7859" w:rsidP="009C13A9">
      <w:pPr>
        <w:spacing w:before="60" w:line="240" w:lineRule="atLeast"/>
        <w:ind w:left="851"/>
        <w:rPr>
          <w:rFonts w:cs="Arial"/>
          <w:noProof/>
          <w:szCs w:val="22"/>
          <w:lang w:val="en-US" w:eastAsia="zh-CN"/>
        </w:rPr>
      </w:pPr>
      <w:r w:rsidRPr="00C903F8">
        <w:rPr>
          <w:rFonts w:cs="Arial"/>
          <w:noProof/>
          <w:szCs w:val="22"/>
          <w:lang w:val="en-US" w:eastAsia="zh-CN"/>
        </w:rPr>
        <w:t>a)</w:t>
      </w:r>
      <w:r w:rsidR="009C13A9" w:rsidRPr="00C903F8">
        <w:rPr>
          <w:rFonts w:cs="Arial"/>
          <w:noProof/>
          <w:szCs w:val="22"/>
          <w:lang w:val="en-US" w:eastAsia="zh-CN"/>
        </w:rPr>
        <w:tab/>
        <w:t>concentration of dissolved oxygen in the bioreactor;</w:t>
      </w:r>
    </w:p>
    <w:p w:rsidR="009C13A9" w:rsidRPr="00C903F8" w:rsidRDefault="005C7859" w:rsidP="009C13A9">
      <w:pPr>
        <w:spacing w:before="60" w:line="240" w:lineRule="atLeast"/>
        <w:ind w:left="851"/>
        <w:rPr>
          <w:rFonts w:cs="Arial"/>
          <w:noProof/>
          <w:szCs w:val="22"/>
          <w:lang w:val="en-US" w:eastAsia="zh-CN"/>
        </w:rPr>
      </w:pPr>
      <w:r w:rsidRPr="00C903F8">
        <w:rPr>
          <w:rFonts w:cs="Arial"/>
          <w:noProof/>
          <w:szCs w:val="22"/>
          <w:lang w:val="en-US" w:eastAsia="zh-CN"/>
        </w:rPr>
        <w:t>b)</w:t>
      </w:r>
      <w:r w:rsidR="009C13A9" w:rsidRPr="00C903F8">
        <w:rPr>
          <w:rFonts w:cs="Arial"/>
          <w:noProof/>
          <w:szCs w:val="22"/>
          <w:lang w:val="en-US" w:eastAsia="zh-CN"/>
        </w:rPr>
        <w:tab/>
        <w:t>dry matter content in the bioreactor;</w:t>
      </w:r>
    </w:p>
    <w:p w:rsidR="009C13A9" w:rsidRPr="00C903F8" w:rsidRDefault="005C7859" w:rsidP="009C13A9">
      <w:pPr>
        <w:spacing w:before="60" w:line="240" w:lineRule="atLeast"/>
        <w:ind w:left="851"/>
        <w:rPr>
          <w:rFonts w:cs="Arial"/>
          <w:noProof/>
          <w:szCs w:val="22"/>
          <w:lang w:val="en-US" w:eastAsia="zh-CN"/>
        </w:rPr>
      </w:pPr>
      <w:r w:rsidRPr="00C903F8">
        <w:rPr>
          <w:rFonts w:cs="Arial"/>
          <w:noProof/>
          <w:szCs w:val="22"/>
          <w:lang w:val="en-US" w:eastAsia="zh-CN"/>
        </w:rPr>
        <w:t>c)</w:t>
      </w:r>
      <w:r w:rsidR="009C13A9" w:rsidRPr="00C903F8">
        <w:rPr>
          <w:rFonts w:cs="Arial"/>
          <w:noProof/>
          <w:szCs w:val="22"/>
          <w:lang w:val="en-US" w:eastAsia="zh-CN"/>
        </w:rPr>
        <w:tab/>
        <w:t>temperature in the bioreactor;</w:t>
      </w:r>
    </w:p>
    <w:p w:rsidR="009C13A9" w:rsidRPr="00C903F8" w:rsidRDefault="0029453D" w:rsidP="009C13A9">
      <w:pPr>
        <w:spacing w:before="60" w:line="240" w:lineRule="atLeast"/>
        <w:ind w:left="851"/>
        <w:rPr>
          <w:rFonts w:cs="Arial"/>
          <w:noProof/>
          <w:szCs w:val="22"/>
          <w:lang w:val="en-US" w:eastAsia="zh-CN"/>
        </w:rPr>
      </w:pPr>
      <w:r w:rsidRPr="00C903F8">
        <w:rPr>
          <w:rFonts w:cs="Arial"/>
          <w:noProof/>
          <w:szCs w:val="22"/>
          <w:lang w:val="en-US" w:eastAsia="zh-CN"/>
        </w:rPr>
        <w:t>d)</w:t>
      </w:r>
      <w:r w:rsidR="009C13A9" w:rsidRPr="00C903F8">
        <w:rPr>
          <w:rFonts w:cs="Arial"/>
          <w:noProof/>
          <w:szCs w:val="22"/>
          <w:lang w:val="en-US" w:eastAsia="zh-CN"/>
        </w:rPr>
        <w:tab/>
        <w:t>ambient temperature;</w:t>
      </w:r>
    </w:p>
    <w:p w:rsidR="009C13A9" w:rsidRPr="00C903F8" w:rsidRDefault="0029453D" w:rsidP="009C13A9">
      <w:pPr>
        <w:spacing w:before="60" w:line="240" w:lineRule="atLeast"/>
        <w:ind w:left="851"/>
        <w:rPr>
          <w:rFonts w:cs="Arial"/>
          <w:noProof/>
          <w:szCs w:val="22"/>
          <w:lang w:val="en-US" w:eastAsia="zh-CN"/>
        </w:rPr>
      </w:pPr>
      <w:r w:rsidRPr="00C903F8">
        <w:rPr>
          <w:rFonts w:cs="Arial"/>
          <w:noProof/>
          <w:szCs w:val="22"/>
          <w:lang w:val="en-US" w:eastAsia="zh-CN"/>
        </w:rPr>
        <w:t>e)</w:t>
      </w:r>
      <w:r w:rsidR="009C13A9" w:rsidRPr="00C903F8">
        <w:rPr>
          <w:rFonts w:cs="Arial"/>
          <w:noProof/>
          <w:szCs w:val="22"/>
          <w:lang w:val="en-US" w:eastAsia="zh-CN"/>
        </w:rPr>
        <w:tab/>
        <w:t>other operating parameters in accordance with the manufacturer’s operating instructions.</w:t>
      </w:r>
    </w:p>
    <w:p w:rsidR="009C13A9" w:rsidRPr="00C903F8" w:rsidRDefault="009C13A9" w:rsidP="009C13A9">
      <w:pPr>
        <w:spacing w:line="240" w:lineRule="atLeast"/>
        <w:rPr>
          <w:rFonts w:cs="Arial"/>
          <w:noProof/>
          <w:color w:val="000000"/>
          <w:lang w:val="en-US" w:eastAsia="en-GB"/>
        </w:rPr>
      </w:pP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br w:type="page"/>
      </w: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lastRenderedPageBreak/>
        <w:t>3.4</w:t>
      </w:r>
      <w:r w:rsidRPr="00C903F8">
        <w:rPr>
          <w:rFonts w:cs="Arial"/>
          <w:noProof/>
          <w:color w:val="000000"/>
          <w:lang w:val="en-US" w:eastAsia="en-GB"/>
        </w:rPr>
        <w:tab/>
        <w:t>Evaluation of examinations</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 xml:space="preserve">In order to document the determined purification efficiency and to check adherence to process limit values, the minimum sample value (Min), the maximum sample value (Max) and the arithmetical mean (Mean) shall be specified as well as the individual measurement results for control parameters </w:t>
      </w:r>
      <m:oMath>
        <m:sSub>
          <m:sSubPr>
            <m:ctrlPr>
              <w:rPr>
                <w:rFonts w:ascii="Cambria Math" w:hAnsi="Cambria Math"/>
                <w:i/>
                <w:noProof/>
                <w:lang w:val="en-US" w:eastAsia="nl-NL"/>
              </w:rPr>
            </m:ctrlPr>
          </m:sSubPr>
          <m:e>
            <m:r>
              <w:rPr>
                <w:rFonts w:ascii="Cambria Math" w:hAnsi="Cambria Math"/>
                <w:noProof/>
                <w:lang w:val="en-US" w:eastAsia="nl-NL"/>
              </w:rPr>
              <m:t>BOD</m:t>
            </m:r>
          </m:e>
          <m:sub>
            <m:r>
              <w:rPr>
                <w:rFonts w:ascii="Cambria Math" w:hAnsi="Cambria Math"/>
                <w:noProof/>
                <w:lang w:val="en-US" w:eastAsia="nl-NL"/>
              </w:rPr>
              <m:t>5</m:t>
            </m:r>
          </m:sub>
        </m:sSub>
      </m:oMath>
      <w:r w:rsidRPr="00C903F8">
        <w:rPr>
          <w:noProof/>
          <w:lang w:val="en-US" w:eastAsia="nl-NL"/>
        </w:rPr>
        <w:t>, COD and TOC.</w:t>
      </w:r>
    </w:p>
    <w:p w:rsidR="009C13A9" w:rsidRPr="00C903F8" w:rsidRDefault="009C13A9" w:rsidP="009C13A9">
      <w:pPr>
        <w:spacing w:line="240" w:lineRule="atLeast"/>
        <w:ind w:left="426" w:firstLine="0"/>
        <w:rPr>
          <w:noProof/>
          <w:lang w:val="en-US" w:eastAsia="nl-NL"/>
        </w:rPr>
      </w:pPr>
    </w:p>
    <w:p w:rsidR="009C13A9" w:rsidRPr="00C903F8" w:rsidRDefault="009C13A9" w:rsidP="009C13A9">
      <w:pPr>
        <w:spacing w:line="240" w:lineRule="atLeast"/>
        <w:ind w:left="426" w:firstLine="0"/>
        <w:rPr>
          <w:noProof/>
          <w:lang w:val="en-US" w:eastAsia="nl-NL"/>
        </w:rPr>
      </w:pPr>
      <w:r w:rsidRPr="00C903F8">
        <w:rPr>
          <w:noProof/>
          <w:lang w:val="en-US" w:eastAsia="nl-NL"/>
        </w:rPr>
        <w:t>The loading phase shall also be given for the maximum sample value. Evaluations shall be carried out for all loading phases jointly. The results shall be processed as shown in the following table:</w:t>
      </w:r>
    </w:p>
    <w:p w:rsidR="009C13A9" w:rsidRPr="00C903F8" w:rsidRDefault="009C13A9" w:rsidP="009C13A9">
      <w:pPr>
        <w:spacing w:line="240" w:lineRule="atLeast"/>
        <w:ind w:left="426" w:firstLine="0"/>
        <w:rPr>
          <w:noProof/>
          <w:lang w:val="en-US" w:eastAsia="nl-NL"/>
        </w:rPr>
      </w:pPr>
    </w:p>
    <w:p w:rsidR="009C13A9" w:rsidRPr="00C903F8" w:rsidRDefault="009C13A9" w:rsidP="00FA5168">
      <w:pPr>
        <w:tabs>
          <w:tab w:val="left" w:pos="709"/>
        </w:tabs>
        <w:suppressAutoHyphens/>
        <w:autoSpaceDE/>
        <w:autoSpaceDN/>
        <w:spacing w:after="120" w:line="240" w:lineRule="atLeast"/>
        <w:ind w:left="1701" w:hanging="992"/>
        <w:rPr>
          <w:rFonts w:cs="Arial"/>
          <w:szCs w:val="20"/>
          <w:lang w:val="en-US" w:eastAsia="ar-SA"/>
        </w:rPr>
      </w:pPr>
      <w:r w:rsidRPr="00C903F8">
        <w:rPr>
          <w:rFonts w:cs="Arial"/>
          <w:szCs w:val="20"/>
          <w:lang w:val="en-US" w:eastAsia="ar-SA"/>
        </w:rPr>
        <w:t>Table 3a:</w:t>
      </w:r>
      <w:r w:rsidRPr="00C903F8">
        <w:rPr>
          <w:rFonts w:cs="Arial"/>
          <w:szCs w:val="20"/>
          <w:lang w:val="en-US" w:eastAsia="ar-SA"/>
        </w:rPr>
        <w:tab/>
        <w:t xml:space="preserve">Specification for the statistical processing of data gathered – evaluation to document compliance with outflow limit values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2325"/>
        <w:gridCol w:w="1057"/>
        <w:gridCol w:w="927"/>
        <w:gridCol w:w="848"/>
        <w:gridCol w:w="852"/>
        <w:gridCol w:w="903"/>
      </w:tblGrid>
      <w:tr w:rsidR="009C13A9" w:rsidRPr="00C903F8" w:rsidTr="00FA5168">
        <w:trPr>
          <w:jc w:val="center"/>
        </w:trPr>
        <w:tc>
          <w:tcPr>
            <w:tcW w:w="1461" w:type="dxa"/>
            <w:vMerge w:val="restart"/>
            <w:vAlign w:val="center"/>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Parameter</w:t>
            </w:r>
          </w:p>
        </w:tc>
        <w:tc>
          <w:tcPr>
            <w:tcW w:w="2325" w:type="dxa"/>
            <w:vMerge w:val="restart"/>
            <w:vAlign w:val="center"/>
          </w:tcPr>
          <w:p w:rsidR="009C13A9" w:rsidRPr="00C903F8" w:rsidRDefault="009C13A9" w:rsidP="009C13A9">
            <w:pPr>
              <w:spacing w:before="60" w:after="60" w:line="240" w:lineRule="atLeast"/>
              <w:ind w:left="0" w:firstLine="0"/>
              <w:jc w:val="center"/>
              <w:rPr>
                <w:rFonts w:cs="Arial"/>
                <w:noProof/>
                <w:sz w:val="18"/>
                <w:szCs w:val="18"/>
              </w:rPr>
            </w:pPr>
            <w:r w:rsidRPr="00C903F8">
              <w:rPr>
                <w:rFonts w:cs="Arial"/>
                <w:noProof/>
                <w:sz w:val="18"/>
                <w:szCs w:val="18"/>
              </w:rPr>
              <w:t>Sampling type</w:t>
            </w:r>
          </w:p>
        </w:tc>
        <w:tc>
          <w:tcPr>
            <w:tcW w:w="1016" w:type="dxa"/>
            <w:vMerge w:val="restart"/>
            <w:vAlign w:val="center"/>
          </w:tcPr>
          <w:p w:rsidR="009C13A9" w:rsidRPr="00C903F8" w:rsidRDefault="009C13A9" w:rsidP="009C13A9">
            <w:pPr>
              <w:spacing w:before="60" w:after="60" w:line="240" w:lineRule="atLeast"/>
              <w:ind w:left="0" w:firstLine="0"/>
              <w:jc w:val="center"/>
              <w:rPr>
                <w:rFonts w:cs="Arial"/>
                <w:noProof/>
                <w:sz w:val="18"/>
                <w:szCs w:val="18"/>
                <w:lang w:val="en-US"/>
              </w:rPr>
            </w:pPr>
            <w:r w:rsidRPr="00C903F8">
              <w:rPr>
                <w:rFonts w:cs="Arial"/>
                <w:noProof/>
                <w:sz w:val="18"/>
                <w:szCs w:val="18"/>
                <w:lang w:val="en-US"/>
              </w:rPr>
              <w:t>Number of test that meet the limitvalues</w:t>
            </w:r>
          </w:p>
        </w:tc>
        <w:tc>
          <w:tcPr>
            <w:tcW w:w="927" w:type="dxa"/>
            <w:vMerge w:val="restart"/>
            <w:vAlign w:val="center"/>
          </w:tcPr>
          <w:p w:rsidR="009C13A9" w:rsidRPr="00C903F8" w:rsidRDefault="009C13A9" w:rsidP="009C13A9">
            <w:pPr>
              <w:spacing w:before="60" w:after="60" w:line="240" w:lineRule="atLeast"/>
              <w:ind w:left="0" w:firstLine="0"/>
              <w:jc w:val="center"/>
              <w:rPr>
                <w:rFonts w:cs="Arial"/>
                <w:noProof/>
                <w:sz w:val="18"/>
                <w:szCs w:val="18"/>
              </w:rPr>
            </w:pPr>
            <w:r w:rsidRPr="00C903F8">
              <w:rPr>
                <w:rFonts w:cs="Arial"/>
                <w:noProof/>
                <w:sz w:val="18"/>
                <w:szCs w:val="18"/>
              </w:rPr>
              <w:t>Mean</w:t>
            </w:r>
          </w:p>
        </w:tc>
        <w:tc>
          <w:tcPr>
            <w:tcW w:w="848" w:type="dxa"/>
            <w:vMerge w:val="restart"/>
            <w:vAlign w:val="center"/>
          </w:tcPr>
          <w:p w:rsidR="009C13A9" w:rsidRPr="00C903F8" w:rsidRDefault="009C13A9" w:rsidP="009C13A9">
            <w:pPr>
              <w:spacing w:before="60" w:after="60" w:line="240" w:lineRule="atLeast"/>
              <w:ind w:left="0" w:firstLine="0"/>
              <w:jc w:val="center"/>
              <w:rPr>
                <w:rFonts w:cs="Arial"/>
                <w:noProof/>
                <w:sz w:val="18"/>
                <w:szCs w:val="18"/>
              </w:rPr>
            </w:pPr>
            <w:r w:rsidRPr="00C903F8">
              <w:rPr>
                <w:rFonts w:cs="Arial"/>
                <w:noProof/>
                <w:sz w:val="18"/>
                <w:szCs w:val="18"/>
              </w:rPr>
              <w:t>Min</w:t>
            </w:r>
          </w:p>
        </w:tc>
        <w:tc>
          <w:tcPr>
            <w:tcW w:w="1755" w:type="dxa"/>
            <w:gridSpan w:val="2"/>
            <w:vAlign w:val="center"/>
          </w:tcPr>
          <w:p w:rsidR="009C13A9" w:rsidRPr="00C903F8" w:rsidRDefault="009C13A9" w:rsidP="009C13A9">
            <w:pPr>
              <w:spacing w:before="60" w:after="60" w:line="240" w:lineRule="atLeast"/>
              <w:ind w:left="0" w:firstLine="0"/>
              <w:jc w:val="center"/>
              <w:rPr>
                <w:rFonts w:cs="Arial"/>
                <w:noProof/>
                <w:sz w:val="18"/>
                <w:szCs w:val="18"/>
              </w:rPr>
            </w:pPr>
            <w:r w:rsidRPr="00C903F8">
              <w:rPr>
                <w:rFonts w:cs="Arial"/>
                <w:noProof/>
                <w:sz w:val="18"/>
                <w:szCs w:val="18"/>
              </w:rPr>
              <w:t>Max</w:t>
            </w:r>
          </w:p>
        </w:tc>
      </w:tr>
      <w:tr w:rsidR="009C13A9" w:rsidRPr="00C903F8" w:rsidTr="00FA5168">
        <w:trPr>
          <w:jc w:val="center"/>
        </w:trPr>
        <w:tc>
          <w:tcPr>
            <w:tcW w:w="1461" w:type="dxa"/>
            <w:vMerge/>
          </w:tcPr>
          <w:p w:rsidR="009C13A9" w:rsidRPr="00C903F8" w:rsidRDefault="009C13A9" w:rsidP="009C13A9">
            <w:pPr>
              <w:spacing w:before="60" w:after="60" w:line="240" w:lineRule="atLeast"/>
              <w:ind w:left="0" w:firstLine="0"/>
              <w:rPr>
                <w:rFonts w:cs="Arial"/>
                <w:noProof/>
                <w:sz w:val="18"/>
                <w:szCs w:val="18"/>
              </w:rPr>
            </w:pPr>
          </w:p>
        </w:tc>
        <w:tc>
          <w:tcPr>
            <w:tcW w:w="2325" w:type="dxa"/>
            <w:vMerge/>
          </w:tcPr>
          <w:p w:rsidR="009C13A9" w:rsidRPr="00C903F8" w:rsidRDefault="009C13A9" w:rsidP="009C13A9">
            <w:pPr>
              <w:spacing w:before="60" w:after="60" w:line="240" w:lineRule="atLeast"/>
              <w:ind w:left="0" w:firstLine="0"/>
              <w:jc w:val="center"/>
              <w:rPr>
                <w:rFonts w:cs="Arial"/>
                <w:noProof/>
                <w:sz w:val="18"/>
                <w:szCs w:val="18"/>
              </w:rPr>
            </w:pPr>
          </w:p>
        </w:tc>
        <w:tc>
          <w:tcPr>
            <w:tcW w:w="1016" w:type="dxa"/>
            <w:vMerge/>
          </w:tcPr>
          <w:p w:rsidR="009C13A9" w:rsidRPr="00C903F8" w:rsidRDefault="009C13A9" w:rsidP="009C13A9">
            <w:pPr>
              <w:spacing w:before="60" w:after="60" w:line="240" w:lineRule="atLeast"/>
              <w:ind w:left="0" w:firstLine="0"/>
              <w:jc w:val="center"/>
              <w:rPr>
                <w:rFonts w:cs="Arial"/>
                <w:noProof/>
                <w:sz w:val="18"/>
                <w:szCs w:val="18"/>
              </w:rPr>
            </w:pPr>
          </w:p>
        </w:tc>
        <w:tc>
          <w:tcPr>
            <w:tcW w:w="927" w:type="dxa"/>
            <w:vMerge/>
          </w:tcPr>
          <w:p w:rsidR="009C13A9" w:rsidRPr="00C903F8" w:rsidRDefault="009C13A9" w:rsidP="009C13A9">
            <w:pPr>
              <w:spacing w:before="60" w:after="60" w:line="240" w:lineRule="atLeast"/>
              <w:ind w:left="0" w:firstLine="0"/>
              <w:jc w:val="center"/>
              <w:rPr>
                <w:rFonts w:cs="Arial"/>
                <w:noProof/>
                <w:sz w:val="18"/>
                <w:szCs w:val="18"/>
              </w:rPr>
            </w:pPr>
          </w:p>
        </w:tc>
        <w:tc>
          <w:tcPr>
            <w:tcW w:w="848" w:type="dxa"/>
            <w:vMerge/>
          </w:tcPr>
          <w:p w:rsidR="009C13A9" w:rsidRPr="00C903F8" w:rsidRDefault="009C13A9" w:rsidP="009C13A9">
            <w:pPr>
              <w:spacing w:before="60" w:after="60" w:line="240" w:lineRule="atLeast"/>
              <w:ind w:left="0" w:firstLine="0"/>
              <w:jc w:val="center"/>
              <w:rPr>
                <w:rFonts w:cs="Arial"/>
                <w:noProof/>
                <w:sz w:val="18"/>
                <w:szCs w:val="18"/>
              </w:rPr>
            </w:pPr>
          </w:p>
        </w:tc>
        <w:tc>
          <w:tcPr>
            <w:tcW w:w="852" w:type="dxa"/>
          </w:tcPr>
          <w:p w:rsidR="009C13A9" w:rsidRPr="00C903F8" w:rsidRDefault="009C13A9" w:rsidP="009C13A9">
            <w:pPr>
              <w:spacing w:before="60" w:after="60" w:line="240" w:lineRule="atLeast"/>
              <w:ind w:left="0" w:firstLine="0"/>
              <w:jc w:val="center"/>
              <w:rPr>
                <w:rFonts w:cs="Arial"/>
                <w:noProof/>
                <w:sz w:val="18"/>
                <w:szCs w:val="18"/>
              </w:rPr>
            </w:pPr>
            <w:r w:rsidRPr="00C903F8">
              <w:rPr>
                <w:rFonts w:cs="Arial"/>
                <w:noProof/>
                <w:sz w:val="18"/>
                <w:szCs w:val="18"/>
              </w:rPr>
              <w:t>Value</w:t>
            </w:r>
          </w:p>
        </w:tc>
        <w:tc>
          <w:tcPr>
            <w:tcW w:w="903" w:type="dxa"/>
          </w:tcPr>
          <w:p w:rsidR="009C13A9" w:rsidRPr="00C903F8" w:rsidRDefault="009C13A9" w:rsidP="009C13A9">
            <w:pPr>
              <w:spacing w:before="60" w:after="60" w:line="240" w:lineRule="atLeast"/>
              <w:ind w:left="0" w:firstLine="0"/>
              <w:jc w:val="center"/>
              <w:rPr>
                <w:rFonts w:cs="Arial"/>
                <w:noProof/>
                <w:sz w:val="18"/>
                <w:szCs w:val="18"/>
              </w:rPr>
            </w:pPr>
            <w:r w:rsidRPr="00C903F8">
              <w:rPr>
                <w:rFonts w:cs="Arial"/>
                <w:noProof/>
                <w:sz w:val="18"/>
                <w:szCs w:val="18"/>
              </w:rPr>
              <w:t>Phase</w:t>
            </w:r>
          </w:p>
        </w:tc>
      </w:tr>
      <w:tr w:rsidR="009C13A9" w:rsidRPr="00C903F8" w:rsidTr="00FA5168">
        <w:trPr>
          <w:jc w:val="center"/>
        </w:trPr>
        <w:tc>
          <w:tcPr>
            <w:tcW w:w="1461" w:type="dxa"/>
            <w:vAlign w:val="center"/>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 xml:space="preserve">Inflow </w:t>
            </w:r>
            <m:oMath>
              <m:sSub>
                <m:sSubPr>
                  <m:ctrlPr>
                    <w:rPr>
                      <w:rFonts w:ascii="Cambria Math" w:hAnsi="Cambria Math"/>
                      <w:i/>
                      <w:noProof/>
                      <w:sz w:val="18"/>
                      <w:lang w:val="en-US" w:eastAsia="nl-NL"/>
                    </w:rPr>
                  </m:ctrlPr>
                </m:sSubPr>
                <m:e>
                  <m:r>
                    <w:rPr>
                      <w:rFonts w:ascii="Cambria Math" w:hAnsi="Cambria Math"/>
                      <w:noProof/>
                      <w:sz w:val="18"/>
                      <w:lang w:val="en-US" w:eastAsia="nl-NL"/>
                    </w:rPr>
                    <m:t>BOD</m:t>
                  </m:r>
                </m:e>
                <m:sub>
                  <m:r>
                    <w:rPr>
                      <w:rFonts w:ascii="Cambria Math" w:hAnsi="Cambria Math"/>
                      <w:noProof/>
                      <w:sz w:val="18"/>
                      <w:lang w:val="en-US" w:eastAsia="nl-NL"/>
                    </w:rPr>
                    <m:t>5</m:t>
                  </m:r>
                </m:sub>
              </m:sSub>
            </m:oMath>
          </w:p>
        </w:tc>
        <w:tc>
          <w:tcPr>
            <w:tcW w:w="2325" w:type="dxa"/>
            <w:vAlign w:val="center"/>
          </w:tcPr>
          <w:p w:rsidR="009C13A9" w:rsidRPr="00C903F8" w:rsidRDefault="009C13A9" w:rsidP="00FA5168">
            <w:pPr>
              <w:spacing w:before="60" w:after="60" w:line="240" w:lineRule="atLeast"/>
              <w:ind w:left="0" w:firstLine="0"/>
              <w:jc w:val="left"/>
              <w:rPr>
                <w:rFonts w:cs="Arial"/>
                <w:noProof/>
                <w:sz w:val="18"/>
                <w:szCs w:val="18"/>
              </w:rPr>
            </w:pPr>
            <w:r w:rsidRPr="00C903F8">
              <w:rPr>
                <w:rFonts w:cs="Arial"/>
                <w:noProof/>
                <w:sz w:val="18"/>
                <w:szCs w:val="18"/>
              </w:rPr>
              <w:t>24h composite samples</w:t>
            </w:r>
          </w:p>
        </w:tc>
        <w:tc>
          <w:tcPr>
            <w:tcW w:w="1016" w:type="dxa"/>
            <w:vAlign w:val="center"/>
          </w:tcPr>
          <w:p w:rsidR="009C13A9" w:rsidRPr="00C903F8" w:rsidRDefault="009C13A9" w:rsidP="00FA5168">
            <w:pPr>
              <w:spacing w:before="60" w:after="60" w:line="240" w:lineRule="atLeast"/>
              <w:ind w:left="0" w:firstLine="0"/>
              <w:jc w:val="center"/>
              <w:rPr>
                <w:rFonts w:cs="Arial"/>
                <w:noProof/>
                <w:sz w:val="18"/>
                <w:szCs w:val="18"/>
              </w:rPr>
            </w:pPr>
            <w:r w:rsidRPr="00C903F8">
              <w:rPr>
                <w:rFonts w:cs="Arial"/>
                <w:noProof/>
                <w:sz w:val="18"/>
                <w:szCs w:val="18"/>
              </w:rPr>
              <w:t>--</w:t>
            </w:r>
          </w:p>
        </w:tc>
        <w:tc>
          <w:tcPr>
            <w:tcW w:w="927" w:type="dxa"/>
            <w:vAlign w:val="center"/>
          </w:tcPr>
          <w:p w:rsidR="009C13A9" w:rsidRPr="00C903F8" w:rsidRDefault="009C13A9" w:rsidP="009C13A9">
            <w:pPr>
              <w:spacing w:before="60" w:after="60" w:line="240" w:lineRule="atLeast"/>
              <w:ind w:left="0" w:firstLine="0"/>
              <w:rPr>
                <w:rFonts w:cs="Arial"/>
                <w:noProof/>
                <w:sz w:val="18"/>
                <w:szCs w:val="18"/>
              </w:rPr>
            </w:pPr>
          </w:p>
        </w:tc>
        <w:tc>
          <w:tcPr>
            <w:tcW w:w="848" w:type="dxa"/>
          </w:tcPr>
          <w:p w:rsidR="009C13A9" w:rsidRPr="00C903F8" w:rsidRDefault="009C13A9" w:rsidP="009C13A9">
            <w:pPr>
              <w:spacing w:before="60" w:after="60" w:line="240" w:lineRule="atLeast"/>
              <w:ind w:left="0" w:firstLine="0"/>
              <w:rPr>
                <w:rFonts w:cs="Arial"/>
                <w:noProof/>
                <w:sz w:val="18"/>
                <w:szCs w:val="18"/>
              </w:rPr>
            </w:pPr>
          </w:p>
        </w:tc>
        <w:tc>
          <w:tcPr>
            <w:tcW w:w="852"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03" w:type="dxa"/>
            <w:vAlign w:val="center"/>
          </w:tcPr>
          <w:p w:rsidR="009C13A9" w:rsidRPr="00C903F8" w:rsidRDefault="009C13A9" w:rsidP="009C13A9">
            <w:pPr>
              <w:spacing w:before="60" w:after="60" w:line="240" w:lineRule="atLeast"/>
              <w:ind w:left="0" w:firstLine="0"/>
              <w:rPr>
                <w:rFonts w:cs="Arial"/>
                <w:noProof/>
                <w:sz w:val="18"/>
                <w:szCs w:val="18"/>
              </w:rPr>
            </w:pPr>
          </w:p>
        </w:tc>
      </w:tr>
      <w:tr w:rsidR="009C13A9" w:rsidRPr="00C903F8" w:rsidTr="00FA5168">
        <w:trPr>
          <w:jc w:val="center"/>
        </w:trPr>
        <w:tc>
          <w:tcPr>
            <w:tcW w:w="1461" w:type="dxa"/>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 xml:space="preserve">Outflow </w:t>
            </w:r>
            <m:oMath>
              <m:sSub>
                <m:sSubPr>
                  <m:ctrlPr>
                    <w:rPr>
                      <w:rFonts w:ascii="Cambria Math" w:hAnsi="Cambria Math"/>
                      <w:i/>
                      <w:noProof/>
                      <w:sz w:val="18"/>
                      <w:lang w:val="en-US" w:eastAsia="nl-NL"/>
                    </w:rPr>
                  </m:ctrlPr>
                </m:sSubPr>
                <m:e>
                  <m:r>
                    <w:rPr>
                      <w:rFonts w:ascii="Cambria Math" w:hAnsi="Cambria Math"/>
                      <w:noProof/>
                      <w:sz w:val="18"/>
                      <w:lang w:val="en-US" w:eastAsia="nl-NL"/>
                    </w:rPr>
                    <m:t>BOD</m:t>
                  </m:r>
                </m:e>
                <m:sub>
                  <m:r>
                    <w:rPr>
                      <w:rFonts w:ascii="Cambria Math" w:hAnsi="Cambria Math"/>
                      <w:noProof/>
                      <w:sz w:val="18"/>
                      <w:lang w:val="en-US" w:eastAsia="nl-NL"/>
                    </w:rPr>
                    <m:t>5</m:t>
                  </m:r>
                </m:sub>
              </m:sSub>
            </m:oMath>
          </w:p>
        </w:tc>
        <w:tc>
          <w:tcPr>
            <w:tcW w:w="2325" w:type="dxa"/>
            <w:vAlign w:val="center"/>
          </w:tcPr>
          <w:p w:rsidR="009C13A9" w:rsidRPr="00C903F8" w:rsidRDefault="009C13A9" w:rsidP="00FA5168">
            <w:pPr>
              <w:spacing w:before="60" w:after="60" w:line="240" w:lineRule="atLeast"/>
              <w:ind w:left="0" w:firstLine="0"/>
              <w:jc w:val="left"/>
              <w:rPr>
                <w:rFonts w:cs="Arial"/>
                <w:noProof/>
                <w:sz w:val="18"/>
                <w:szCs w:val="18"/>
              </w:rPr>
            </w:pPr>
            <w:r w:rsidRPr="00C903F8">
              <w:rPr>
                <w:rFonts w:cs="Arial"/>
                <w:noProof/>
                <w:sz w:val="18"/>
                <w:szCs w:val="18"/>
              </w:rPr>
              <w:t>24h composite samples</w:t>
            </w:r>
          </w:p>
        </w:tc>
        <w:tc>
          <w:tcPr>
            <w:tcW w:w="1016"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27" w:type="dxa"/>
            <w:vAlign w:val="center"/>
          </w:tcPr>
          <w:p w:rsidR="009C13A9" w:rsidRPr="00C903F8" w:rsidRDefault="009C13A9" w:rsidP="009C13A9">
            <w:pPr>
              <w:spacing w:before="60" w:after="60" w:line="240" w:lineRule="atLeast"/>
              <w:ind w:left="0" w:firstLine="0"/>
              <w:rPr>
                <w:rFonts w:cs="Arial"/>
                <w:noProof/>
                <w:sz w:val="18"/>
                <w:szCs w:val="18"/>
              </w:rPr>
            </w:pPr>
          </w:p>
        </w:tc>
        <w:tc>
          <w:tcPr>
            <w:tcW w:w="848" w:type="dxa"/>
          </w:tcPr>
          <w:p w:rsidR="009C13A9" w:rsidRPr="00C903F8" w:rsidRDefault="009C13A9" w:rsidP="009C13A9">
            <w:pPr>
              <w:spacing w:before="60" w:after="60" w:line="240" w:lineRule="atLeast"/>
              <w:ind w:left="0" w:firstLine="0"/>
              <w:rPr>
                <w:rFonts w:cs="Arial"/>
                <w:noProof/>
                <w:sz w:val="18"/>
                <w:szCs w:val="18"/>
              </w:rPr>
            </w:pPr>
          </w:p>
        </w:tc>
        <w:tc>
          <w:tcPr>
            <w:tcW w:w="852"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03" w:type="dxa"/>
            <w:vAlign w:val="center"/>
          </w:tcPr>
          <w:p w:rsidR="009C13A9" w:rsidRPr="00C903F8" w:rsidRDefault="009C13A9" w:rsidP="009C13A9">
            <w:pPr>
              <w:spacing w:before="60" w:after="60" w:line="240" w:lineRule="atLeast"/>
              <w:ind w:left="0" w:firstLine="0"/>
              <w:rPr>
                <w:rFonts w:cs="Arial"/>
                <w:noProof/>
                <w:sz w:val="18"/>
                <w:szCs w:val="18"/>
              </w:rPr>
            </w:pPr>
          </w:p>
        </w:tc>
      </w:tr>
      <w:tr w:rsidR="009C13A9" w:rsidRPr="00C903F8" w:rsidTr="00FA5168">
        <w:trPr>
          <w:jc w:val="center"/>
        </w:trPr>
        <w:tc>
          <w:tcPr>
            <w:tcW w:w="1461" w:type="dxa"/>
            <w:vAlign w:val="center"/>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 xml:space="preserve">Inflow </w:t>
            </w:r>
            <m:oMath>
              <m:sSub>
                <m:sSubPr>
                  <m:ctrlPr>
                    <w:rPr>
                      <w:rFonts w:ascii="Cambria Math" w:hAnsi="Cambria Math"/>
                      <w:i/>
                      <w:noProof/>
                      <w:sz w:val="18"/>
                      <w:lang w:val="en-US" w:eastAsia="nl-NL"/>
                    </w:rPr>
                  </m:ctrlPr>
                </m:sSubPr>
                <m:e>
                  <m:r>
                    <w:rPr>
                      <w:rFonts w:ascii="Cambria Math" w:hAnsi="Cambria Math"/>
                      <w:noProof/>
                      <w:sz w:val="18"/>
                      <w:lang w:val="en-US" w:eastAsia="nl-NL"/>
                    </w:rPr>
                    <m:t>BOD</m:t>
                  </m:r>
                </m:e>
                <m:sub>
                  <m:r>
                    <w:rPr>
                      <w:rFonts w:ascii="Cambria Math" w:hAnsi="Cambria Math"/>
                      <w:noProof/>
                      <w:sz w:val="18"/>
                      <w:lang w:val="en-US" w:eastAsia="nl-NL"/>
                    </w:rPr>
                    <m:t>5</m:t>
                  </m:r>
                </m:sub>
              </m:sSub>
            </m:oMath>
          </w:p>
        </w:tc>
        <w:tc>
          <w:tcPr>
            <w:tcW w:w="2325" w:type="dxa"/>
            <w:vAlign w:val="center"/>
          </w:tcPr>
          <w:p w:rsidR="009C13A9" w:rsidRPr="00C903F8" w:rsidRDefault="009C13A9" w:rsidP="00FA5168">
            <w:pPr>
              <w:spacing w:before="60" w:after="60" w:line="240" w:lineRule="atLeast"/>
              <w:ind w:left="0" w:firstLine="0"/>
              <w:jc w:val="left"/>
              <w:rPr>
                <w:rFonts w:cs="Arial"/>
                <w:noProof/>
                <w:sz w:val="18"/>
                <w:szCs w:val="18"/>
              </w:rPr>
            </w:pPr>
            <w:r w:rsidRPr="00C903F8">
              <w:rPr>
                <w:rFonts w:cs="Arial"/>
                <w:noProof/>
                <w:sz w:val="18"/>
                <w:szCs w:val="18"/>
              </w:rPr>
              <w:t>random samples</w:t>
            </w:r>
          </w:p>
        </w:tc>
        <w:tc>
          <w:tcPr>
            <w:tcW w:w="1016" w:type="dxa"/>
            <w:vAlign w:val="center"/>
          </w:tcPr>
          <w:p w:rsidR="009C13A9" w:rsidRPr="00C903F8" w:rsidRDefault="009C13A9" w:rsidP="009C13A9">
            <w:pPr>
              <w:spacing w:before="60" w:after="60" w:line="240" w:lineRule="atLeast"/>
              <w:ind w:left="0" w:firstLine="0"/>
              <w:jc w:val="center"/>
              <w:rPr>
                <w:rFonts w:cs="Arial"/>
                <w:noProof/>
                <w:sz w:val="18"/>
                <w:szCs w:val="18"/>
              </w:rPr>
            </w:pPr>
            <w:r w:rsidRPr="00C903F8">
              <w:rPr>
                <w:rFonts w:cs="Arial"/>
                <w:noProof/>
                <w:sz w:val="18"/>
                <w:szCs w:val="18"/>
              </w:rPr>
              <w:t>--</w:t>
            </w:r>
          </w:p>
        </w:tc>
        <w:tc>
          <w:tcPr>
            <w:tcW w:w="927" w:type="dxa"/>
            <w:vAlign w:val="center"/>
          </w:tcPr>
          <w:p w:rsidR="009C13A9" w:rsidRPr="00C903F8" w:rsidRDefault="009C13A9" w:rsidP="009C13A9">
            <w:pPr>
              <w:spacing w:before="60" w:after="60" w:line="240" w:lineRule="atLeast"/>
              <w:ind w:left="0" w:firstLine="0"/>
              <w:rPr>
                <w:rFonts w:cs="Arial"/>
                <w:noProof/>
                <w:sz w:val="18"/>
                <w:szCs w:val="18"/>
              </w:rPr>
            </w:pPr>
          </w:p>
        </w:tc>
        <w:tc>
          <w:tcPr>
            <w:tcW w:w="848" w:type="dxa"/>
          </w:tcPr>
          <w:p w:rsidR="009C13A9" w:rsidRPr="00C903F8" w:rsidRDefault="009C13A9" w:rsidP="009C13A9">
            <w:pPr>
              <w:spacing w:before="60" w:after="60" w:line="240" w:lineRule="atLeast"/>
              <w:ind w:left="0" w:firstLine="0"/>
              <w:rPr>
                <w:rFonts w:cs="Arial"/>
                <w:noProof/>
                <w:sz w:val="18"/>
                <w:szCs w:val="18"/>
              </w:rPr>
            </w:pPr>
          </w:p>
        </w:tc>
        <w:tc>
          <w:tcPr>
            <w:tcW w:w="852"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03" w:type="dxa"/>
            <w:vAlign w:val="center"/>
          </w:tcPr>
          <w:p w:rsidR="009C13A9" w:rsidRPr="00C903F8" w:rsidRDefault="009C13A9" w:rsidP="009C13A9">
            <w:pPr>
              <w:spacing w:before="60" w:after="60" w:line="240" w:lineRule="atLeast"/>
              <w:ind w:left="0" w:firstLine="0"/>
              <w:rPr>
                <w:rFonts w:cs="Arial"/>
                <w:noProof/>
                <w:sz w:val="18"/>
                <w:szCs w:val="18"/>
              </w:rPr>
            </w:pPr>
          </w:p>
        </w:tc>
      </w:tr>
      <w:tr w:rsidR="009C13A9" w:rsidRPr="00C903F8" w:rsidTr="00FA5168">
        <w:trPr>
          <w:jc w:val="center"/>
        </w:trPr>
        <w:tc>
          <w:tcPr>
            <w:tcW w:w="1461" w:type="dxa"/>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 xml:space="preserve">Outflow </w:t>
            </w:r>
            <m:oMath>
              <m:sSub>
                <m:sSubPr>
                  <m:ctrlPr>
                    <w:rPr>
                      <w:rFonts w:ascii="Cambria Math" w:hAnsi="Cambria Math"/>
                      <w:i/>
                      <w:noProof/>
                      <w:sz w:val="18"/>
                      <w:lang w:val="en-US" w:eastAsia="nl-NL"/>
                    </w:rPr>
                  </m:ctrlPr>
                </m:sSubPr>
                <m:e>
                  <m:r>
                    <w:rPr>
                      <w:rFonts w:ascii="Cambria Math" w:hAnsi="Cambria Math"/>
                      <w:noProof/>
                      <w:sz w:val="18"/>
                      <w:lang w:val="en-US" w:eastAsia="nl-NL"/>
                    </w:rPr>
                    <m:t>BOD</m:t>
                  </m:r>
                </m:e>
                <m:sub>
                  <m:r>
                    <w:rPr>
                      <w:rFonts w:ascii="Cambria Math" w:hAnsi="Cambria Math"/>
                      <w:noProof/>
                      <w:sz w:val="18"/>
                      <w:lang w:val="en-US" w:eastAsia="nl-NL"/>
                    </w:rPr>
                    <m:t>5</m:t>
                  </m:r>
                </m:sub>
              </m:sSub>
            </m:oMath>
          </w:p>
        </w:tc>
        <w:tc>
          <w:tcPr>
            <w:tcW w:w="2325" w:type="dxa"/>
            <w:vAlign w:val="center"/>
          </w:tcPr>
          <w:p w:rsidR="009C13A9" w:rsidRPr="00C903F8" w:rsidRDefault="009C13A9" w:rsidP="00FA5168">
            <w:pPr>
              <w:spacing w:before="60" w:after="60" w:line="240" w:lineRule="atLeast"/>
              <w:ind w:left="0" w:firstLine="0"/>
              <w:jc w:val="left"/>
              <w:rPr>
                <w:rFonts w:cs="Arial"/>
                <w:noProof/>
                <w:sz w:val="18"/>
                <w:szCs w:val="18"/>
              </w:rPr>
            </w:pPr>
            <w:r w:rsidRPr="00C903F8">
              <w:rPr>
                <w:rFonts w:cs="Arial"/>
                <w:noProof/>
                <w:sz w:val="18"/>
                <w:szCs w:val="18"/>
              </w:rPr>
              <w:t>random samples</w:t>
            </w:r>
          </w:p>
        </w:tc>
        <w:tc>
          <w:tcPr>
            <w:tcW w:w="1016"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27" w:type="dxa"/>
            <w:vAlign w:val="center"/>
          </w:tcPr>
          <w:p w:rsidR="009C13A9" w:rsidRPr="00C903F8" w:rsidRDefault="009C13A9" w:rsidP="009C13A9">
            <w:pPr>
              <w:spacing w:before="60" w:after="60" w:line="240" w:lineRule="atLeast"/>
              <w:ind w:left="0" w:firstLine="0"/>
              <w:rPr>
                <w:rFonts w:cs="Arial"/>
                <w:noProof/>
                <w:sz w:val="18"/>
                <w:szCs w:val="18"/>
              </w:rPr>
            </w:pPr>
          </w:p>
        </w:tc>
        <w:tc>
          <w:tcPr>
            <w:tcW w:w="848" w:type="dxa"/>
          </w:tcPr>
          <w:p w:rsidR="009C13A9" w:rsidRPr="00C903F8" w:rsidRDefault="009C13A9" w:rsidP="009C13A9">
            <w:pPr>
              <w:spacing w:before="60" w:after="60" w:line="240" w:lineRule="atLeast"/>
              <w:ind w:left="0" w:firstLine="0"/>
              <w:rPr>
                <w:rFonts w:cs="Arial"/>
                <w:noProof/>
                <w:sz w:val="18"/>
                <w:szCs w:val="18"/>
              </w:rPr>
            </w:pPr>
          </w:p>
        </w:tc>
        <w:tc>
          <w:tcPr>
            <w:tcW w:w="852"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03" w:type="dxa"/>
            <w:vAlign w:val="center"/>
          </w:tcPr>
          <w:p w:rsidR="009C13A9" w:rsidRPr="00C903F8" w:rsidRDefault="009C13A9" w:rsidP="009C13A9">
            <w:pPr>
              <w:spacing w:before="60" w:after="60" w:line="240" w:lineRule="atLeast"/>
              <w:ind w:left="0" w:firstLine="0"/>
              <w:rPr>
                <w:rFonts w:cs="Arial"/>
                <w:noProof/>
                <w:sz w:val="18"/>
                <w:szCs w:val="18"/>
              </w:rPr>
            </w:pPr>
          </w:p>
        </w:tc>
      </w:tr>
      <w:tr w:rsidR="009C13A9" w:rsidRPr="00C903F8" w:rsidTr="00FA5168">
        <w:trPr>
          <w:jc w:val="center"/>
        </w:trPr>
        <w:tc>
          <w:tcPr>
            <w:tcW w:w="1461" w:type="dxa"/>
            <w:vAlign w:val="center"/>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Inflow COD</w:t>
            </w:r>
          </w:p>
        </w:tc>
        <w:tc>
          <w:tcPr>
            <w:tcW w:w="2325" w:type="dxa"/>
            <w:vAlign w:val="center"/>
          </w:tcPr>
          <w:p w:rsidR="009C13A9" w:rsidRPr="00C903F8" w:rsidRDefault="009C13A9" w:rsidP="00FA5168">
            <w:pPr>
              <w:spacing w:before="60" w:after="60" w:line="240" w:lineRule="atLeast"/>
              <w:ind w:left="0" w:firstLine="0"/>
              <w:jc w:val="left"/>
              <w:rPr>
                <w:rFonts w:cs="Arial"/>
                <w:noProof/>
                <w:sz w:val="18"/>
                <w:szCs w:val="18"/>
              </w:rPr>
            </w:pPr>
            <w:r w:rsidRPr="00C903F8">
              <w:rPr>
                <w:rFonts w:cs="Arial"/>
                <w:noProof/>
                <w:sz w:val="18"/>
                <w:szCs w:val="18"/>
              </w:rPr>
              <w:t>24h composite samples</w:t>
            </w:r>
          </w:p>
        </w:tc>
        <w:tc>
          <w:tcPr>
            <w:tcW w:w="1016" w:type="dxa"/>
            <w:vAlign w:val="center"/>
          </w:tcPr>
          <w:p w:rsidR="009C13A9" w:rsidRPr="00C903F8" w:rsidRDefault="009C13A9" w:rsidP="009C13A9">
            <w:pPr>
              <w:spacing w:before="60" w:after="60" w:line="240" w:lineRule="atLeast"/>
              <w:ind w:left="0" w:firstLine="0"/>
              <w:jc w:val="center"/>
              <w:rPr>
                <w:rFonts w:cs="Arial"/>
                <w:noProof/>
                <w:sz w:val="18"/>
                <w:szCs w:val="18"/>
              </w:rPr>
            </w:pPr>
            <w:r w:rsidRPr="00C903F8">
              <w:rPr>
                <w:rFonts w:cs="Arial"/>
                <w:noProof/>
                <w:sz w:val="18"/>
                <w:szCs w:val="18"/>
              </w:rPr>
              <w:t>--</w:t>
            </w:r>
          </w:p>
        </w:tc>
        <w:tc>
          <w:tcPr>
            <w:tcW w:w="927" w:type="dxa"/>
            <w:vAlign w:val="center"/>
          </w:tcPr>
          <w:p w:rsidR="009C13A9" w:rsidRPr="00C903F8" w:rsidRDefault="009C13A9" w:rsidP="009C13A9">
            <w:pPr>
              <w:spacing w:before="60" w:after="60" w:line="240" w:lineRule="atLeast"/>
              <w:ind w:left="0" w:firstLine="0"/>
              <w:rPr>
                <w:rFonts w:cs="Arial"/>
                <w:noProof/>
                <w:sz w:val="18"/>
                <w:szCs w:val="18"/>
              </w:rPr>
            </w:pPr>
          </w:p>
        </w:tc>
        <w:tc>
          <w:tcPr>
            <w:tcW w:w="848" w:type="dxa"/>
          </w:tcPr>
          <w:p w:rsidR="009C13A9" w:rsidRPr="00C903F8" w:rsidRDefault="009C13A9" w:rsidP="009C13A9">
            <w:pPr>
              <w:spacing w:before="60" w:after="60" w:line="240" w:lineRule="atLeast"/>
              <w:ind w:left="0" w:firstLine="0"/>
              <w:rPr>
                <w:rFonts w:cs="Arial"/>
                <w:noProof/>
                <w:sz w:val="18"/>
                <w:szCs w:val="18"/>
              </w:rPr>
            </w:pPr>
          </w:p>
        </w:tc>
        <w:tc>
          <w:tcPr>
            <w:tcW w:w="852"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03" w:type="dxa"/>
            <w:vAlign w:val="center"/>
          </w:tcPr>
          <w:p w:rsidR="009C13A9" w:rsidRPr="00C903F8" w:rsidRDefault="009C13A9" w:rsidP="009C13A9">
            <w:pPr>
              <w:spacing w:before="60" w:after="60" w:line="240" w:lineRule="atLeast"/>
              <w:ind w:left="0" w:firstLine="0"/>
              <w:rPr>
                <w:rFonts w:cs="Arial"/>
                <w:noProof/>
                <w:sz w:val="18"/>
                <w:szCs w:val="18"/>
              </w:rPr>
            </w:pPr>
          </w:p>
        </w:tc>
      </w:tr>
      <w:tr w:rsidR="009C13A9" w:rsidRPr="00C903F8" w:rsidTr="00FA5168">
        <w:trPr>
          <w:jc w:val="center"/>
        </w:trPr>
        <w:tc>
          <w:tcPr>
            <w:tcW w:w="1461" w:type="dxa"/>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Outflow COD</w:t>
            </w:r>
          </w:p>
        </w:tc>
        <w:tc>
          <w:tcPr>
            <w:tcW w:w="2325" w:type="dxa"/>
            <w:vAlign w:val="center"/>
          </w:tcPr>
          <w:p w:rsidR="009C13A9" w:rsidRPr="00C903F8" w:rsidRDefault="009C13A9" w:rsidP="00FA5168">
            <w:pPr>
              <w:spacing w:before="60" w:after="60" w:line="240" w:lineRule="atLeast"/>
              <w:ind w:left="0" w:firstLine="0"/>
              <w:jc w:val="left"/>
              <w:rPr>
                <w:rFonts w:cs="Arial"/>
                <w:noProof/>
                <w:sz w:val="18"/>
                <w:szCs w:val="18"/>
              </w:rPr>
            </w:pPr>
            <w:r w:rsidRPr="00C903F8">
              <w:rPr>
                <w:rFonts w:cs="Arial"/>
                <w:noProof/>
                <w:sz w:val="18"/>
                <w:szCs w:val="18"/>
              </w:rPr>
              <w:t>24h composite samples</w:t>
            </w:r>
          </w:p>
        </w:tc>
        <w:tc>
          <w:tcPr>
            <w:tcW w:w="1016"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27" w:type="dxa"/>
            <w:vAlign w:val="center"/>
          </w:tcPr>
          <w:p w:rsidR="009C13A9" w:rsidRPr="00C903F8" w:rsidRDefault="009C13A9" w:rsidP="009C13A9">
            <w:pPr>
              <w:spacing w:before="60" w:after="60" w:line="240" w:lineRule="atLeast"/>
              <w:ind w:left="0" w:firstLine="0"/>
              <w:rPr>
                <w:rFonts w:cs="Arial"/>
                <w:noProof/>
                <w:sz w:val="18"/>
                <w:szCs w:val="18"/>
              </w:rPr>
            </w:pPr>
          </w:p>
        </w:tc>
        <w:tc>
          <w:tcPr>
            <w:tcW w:w="848" w:type="dxa"/>
          </w:tcPr>
          <w:p w:rsidR="009C13A9" w:rsidRPr="00C903F8" w:rsidRDefault="009C13A9" w:rsidP="009C13A9">
            <w:pPr>
              <w:spacing w:before="60" w:after="60" w:line="240" w:lineRule="atLeast"/>
              <w:ind w:left="0" w:firstLine="0"/>
              <w:rPr>
                <w:rFonts w:cs="Arial"/>
                <w:noProof/>
                <w:sz w:val="18"/>
                <w:szCs w:val="18"/>
              </w:rPr>
            </w:pPr>
          </w:p>
        </w:tc>
        <w:tc>
          <w:tcPr>
            <w:tcW w:w="852"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03" w:type="dxa"/>
            <w:vAlign w:val="center"/>
          </w:tcPr>
          <w:p w:rsidR="009C13A9" w:rsidRPr="00C903F8" w:rsidRDefault="009C13A9" w:rsidP="009C13A9">
            <w:pPr>
              <w:spacing w:before="60" w:after="60" w:line="240" w:lineRule="atLeast"/>
              <w:ind w:left="0" w:firstLine="0"/>
              <w:rPr>
                <w:rFonts w:cs="Arial"/>
                <w:noProof/>
                <w:sz w:val="18"/>
                <w:szCs w:val="18"/>
              </w:rPr>
            </w:pPr>
          </w:p>
        </w:tc>
      </w:tr>
      <w:tr w:rsidR="009C13A9" w:rsidRPr="00C903F8" w:rsidTr="00FA5168">
        <w:trPr>
          <w:jc w:val="center"/>
        </w:trPr>
        <w:tc>
          <w:tcPr>
            <w:tcW w:w="1461" w:type="dxa"/>
            <w:vAlign w:val="center"/>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Inflow COD</w:t>
            </w:r>
          </w:p>
        </w:tc>
        <w:tc>
          <w:tcPr>
            <w:tcW w:w="2325" w:type="dxa"/>
            <w:vAlign w:val="center"/>
          </w:tcPr>
          <w:p w:rsidR="009C13A9" w:rsidRPr="00C903F8" w:rsidRDefault="009C13A9" w:rsidP="00FA5168">
            <w:pPr>
              <w:spacing w:before="60" w:after="60" w:line="240" w:lineRule="atLeast"/>
              <w:ind w:left="0" w:firstLine="0"/>
              <w:jc w:val="left"/>
              <w:rPr>
                <w:rFonts w:cs="Arial"/>
                <w:noProof/>
                <w:sz w:val="18"/>
                <w:szCs w:val="18"/>
              </w:rPr>
            </w:pPr>
            <w:r w:rsidRPr="00C903F8">
              <w:rPr>
                <w:rFonts w:cs="Arial"/>
                <w:noProof/>
                <w:sz w:val="18"/>
                <w:szCs w:val="18"/>
              </w:rPr>
              <w:t>random samples</w:t>
            </w:r>
          </w:p>
        </w:tc>
        <w:tc>
          <w:tcPr>
            <w:tcW w:w="1016" w:type="dxa"/>
            <w:vAlign w:val="center"/>
          </w:tcPr>
          <w:p w:rsidR="009C13A9" w:rsidRPr="00C903F8" w:rsidRDefault="009C13A9" w:rsidP="009C13A9">
            <w:pPr>
              <w:spacing w:before="60" w:after="60" w:line="240" w:lineRule="atLeast"/>
              <w:ind w:left="0" w:firstLine="0"/>
              <w:jc w:val="center"/>
              <w:rPr>
                <w:rFonts w:cs="Arial"/>
                <w:noProof/>
                <w:sz w:val="18"/>
                <w:szCs w:val="18"/>
              </w:rPr>
            </w:pPr>
            <w:r w:rsidRPr="00C903F8">
              <w:rPr>
                <w:rFonts w:cs="Arial"/>
                <w:noProof/>
                <w:sz w:val="18"/>
                <w:szCs w:val="18"/>
              </w:rPr>
              <w:t>--</w:t>
            </w:r>
          </w:p>
        </w:tc>
        <w:tc>
          <w:tcPr>
            <w:tcW w:w="927" w:type="dxa"/>
            <w:vAlign w:val="center"/>
          </w:tcPr>
          <w:p w:rsidR="009C13A9" w:rsidRPr="00C903F8" w:rsidRDefault="009C13A9" w:rsidP="009C13A9">
            <w:pPr>
              <w:spacing w:before="60" w:after="60" w:line="240" w:lineRule="atLeast"/>
              <w:ind w:left="0" w:firstLine="0"/>
              <w:rPr>
                <w:rFonts w:cs="Arial"/>
                <w:noProof/>
                <w:sz w:val="18"/>
                <w:szCs w:val="18"/>
              </w:rPr>
            </w:pPr>
          </w:p>
        </w:tc>
        <w:tc>
          <w:tcPr>
            <w:tcW w:w="848" w:type="dxa"/>
          </w:tcPr>
          <w:p w:rsidR="009C13A9" w:rsidRPr="00C903F8" w:rsidRDefault="009C13A9" w:rsidP="009C13A9">
            <w:pPr>
              <w:spacing w:before="60" w:after="60" w:line="240" w:lineRule="atLeast"/>
              <w:ind w:left="0" w:firstLine="0"/>
              <w:rPr>
                <w:rFonts w:cs="Arial"/>
                <w:noProof/>
                <w:sz w:val="18"/>
                <w:szCs w:val="18"/>
              </w:rPr>
            </w:pPr>
          </w:p>
        </w:tc>
        <w:tc>
          <w:tcPr>
            <w:tcW w:w="852"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03" w:type="dxa"/>
            <w:vAlign w:val="center"/>
          </w:tcPr>
          <w:p w:rsidR="009C13A9" w:rsidRPr="00C903F8" w:rsidRDefault="009C13A9" w:rsidP="009C13A9">
            <w:pPr>
              <w:spacing w:before="60" w:after="60" w:line="240" w:lineRule="atLeast"/>
              <w:ind w:left="0" w:firstLine="0"/>
              <w:rPr>
                <w:rFonts w:cs="Arial"/>
                <w:noProof/>
                <w:sz w:val="18"/>
                <w:szCs w:val="18"/>
              </w:rPr>
            </w:pPr>
          </w:p>
        </w:tc>
      </w:tr>
      <w:tr w:rsidR="009C13A9" w:rsidRPr="00C903F8" w:rsidTr="00FA5168">
        <w:trPr>
          <w:jc w:val="center"/>
        </w:trPr>
        <w:tc>
          <w:tcPr>
            <w:tcW w:w="1461" w:type="dxa"/>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Outflow COD</w:t>
            </w:r>
          </w:p>
        </w:tc>
        <w:tc>
          <w:tcPr>
            <w:tcW w:w="2325" w:type="dxa"/>
            <w:vAlign w:val="center"/>
          </w:tcPr>
          <w:p w:rsidR="009C13A9" w:rsidRPr="00C903F8" w:rsidRDefault="009C13A9" w:rsidP="00FA5168">
            <w:pPr>
              <w:spacing w:before="60" w:after="60" w:line="240" w:lineRule="atLeast"/>
              <w:ind w:left="0" w:firstLine="0"/>
              <w:jc w:val="left"/>
              <w:rPr>
                <w:rFonts w:cs="Arial"/>
                <w:noProof/>
                <w:sz w:val="18"/>
                <w:szCs w:val="18"/>
              </w:rPr>
            </w:pPr>
            <w:r w:rsidRPr="00C903F8">
              <w:rPr>
                <w:rFonts w:cs="Arial"/>
                <w:noProof/>
                <w:sz w:val="18"/>
                <w:szCs w:val="18"/>
              </w:rPr>
              <w:t>random samples</w:t>
            </w:r>
          </w:p>
        </w:tc>
        <w:tc>
          <w:tcPr>
            <w:tcW w:w="1016"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27" w:type="dxa"/>
            <w:vAlign w:val="center"/>
          </w:tcPr>
          <w:p w:rsidR="009C13A9" w:rsidRPr="00C903F8" w:rsidRDefault="009C13A9" w:rsidP="009C13A9">
            <w:pPr>
              <w:spacing w:before="60" w:after="60" w:line="240" w:lineRule="atLeast"/>
              <w:ind w:left="0" w:firstLine="0"/>
              <w:rPr>
                <w:rFonts w:cs="Arial"/>
                <w:noProof/>
                <w:sz w:val="18"/>
                <w:szCs w:val="18"/>
              </w:rPr>
            </w:pPr>
          </w:p>
        </w:tc>
        <w:tc>
          <w:tcPr>
            <w:tcW w:w="848" w:type="dxa"/>
          </w:tcPr>
          <w:p w:rsidR="009C13A9" w:rsidRPr="00C903F8" w:rsidRDefault="009C13A9" w:rsidP="009C13A9">
            <w:pPr>
              <w:spacing w:before="60" w:after="60" w:line="240" w:lineRule="atLeast"/>
              <w:ind w:left="0" w:firstLine="0"/>
              <w:rPr>
                <w:rFonts w:cs="Arial"/>
                <w:noProof/>
                <w:sz w:val="18"/>
                <w:szCs w:val="18"/>
              </w:rPr>
            </w:pPr>
          </w:p>
        </w:tc>
        <w:tc>
          <w:tcPr>
            <w:tcW w:w="852"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03" w:type="dxa"/>
            <w:vAlign w:val="center"/>
          </w:tcPr>
          <w:p w:rsidR="009C13A9" w:rsidRPr="00C903F8" w:rsidRDefault="009C13A9" w:rsidP="009C13A9">
            <w:pPr>
              <w:spacing w:before="60" w:after="60" w:line="240" w:lineRule="atLeast"/>
              <w:ind w:left="0" w:firstLine="0"/>
              <w:rPr>
                <w:rFonts w:cs="Arial"/>
                <w:noProof/>
                <w:sz w:val="18"/>
                <w:szCs w:val="18"/>
              </w:rPr>
            </w:pPr>
          </w:p>
        </w:tc>
      </w:tr>
      <w:tr w:rsidR="009C13A9" w:rsidRPr="00C903F8" w:rsidTr="00FA5168">
        <w:trPr>
          <w:jc w:val="center"/>
        </w:trPr>
        <w:tc>
          <w:tcPr>
            <w:tcW w:w="1461" w:type="dxa"/>
            <w:vAlign w:val="center"/>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Inflow TOC</w:t>
            </w:r>
          </w:p>
        </w:tc>
        <w:tc>
          <w:tcPr>
            <w:tcW w:w="2325" w:type="dxa"/>
            <w:vAlign w:val="center"/>
          </w:tcPr>
          <w:p w:rsidR="009C13A9" w:rsidRPr="00C903F8" w:rsidRDefault="009C13A9" w:rsidP="00FA5168">
            <w:pPr>
              <w:spacing w:before="60" w:after="60" w:line="240" w:lineRule="atLeast"/>
              <w:ind w:left="0" w:firstLine="0"/>
              <w:jc w:val="left"/>
              <w:rPr>
                <w:rFonts w:cs="Arial"/>
                <w:noProof/>
                <w:sz w:val="18"/>
                <w:szCs w:val="18"/>
              </w:rPr>
            </w:pPr>
            <w:r w:rsidRPr="00C903F8">
              <w:rPr>
                <w:rFonts w:cs="Arial"/>
                <w:noProof/>
                <w:sz w:val="18"/>
                <w:szCs w:val="18"/>
              </w:rPr>
              <w:t>24h composite samples</w:t>
            </w:r>
          </w:p>
        </w:tc>
        <w:tc>
          <w:tcPr>
            <w:tcW w:w="1016" w:type="dxa"/>
            <w:vAlign w:val="center"/>
          </w:tcPr>
          <w:p w:rsidR="009C13A9" w:rsidRPr="00C903F8" w:rsidRDefault="009C13A9" w:rsidP="009C13A9">
            <w:pPr>
              <w:spacing w:before="60" w:after="60" w:line="240" w:lineRule="atLeast"/>
              <w:ind w:left="0" w:firstLine="0"/>
              <w:jc w:val="center"/>
              <w:rPr>
                <w:rFonts w:cs="Arial"/>
                <w:noProof/>
                <w:sz w:val="18"/>
                <w:szCs w:val="18"/>
              </w:rPr>
            </w:pPr>
            <w:r w:rsidRPr="00C903F8">
              <w:rPr>
                <w:rFonts w:cs="Arial"/>
                <w:noProof/>
                <w:sz w:val="18"/>
                <w:szCs w:val="18"/>
              </w:rPr>
              <w:t>--</w:t>
            </w:r>
          </w:p>
        </w:tc>
        <w:tc>
          <w:tcPr>
            <w:tcW w:w="927" w:type="dxa"/>
            <w:vAlign w:val="center"/>
          </w:tcPr>
          <w:p w:rsidR="009C13A9" w:rsidRPr="00C903F8" w:rsidRDefault="009C13A9" w:rsidP="009C13A9">
            <w:pPr>
              <w:spacing w:before="60" w:after="60" w:line="240" w:lineRule="atLeast"/>
              <w:ind w:left="0" w:firstLine="0"/>
              <w:rPr>
                <w:rFonts w:cs="Arial"/>
                <w:noProof/>
                <w:sz w:val="18"/>
                <w:szCs w:val="18"/>
              </w:rPr>
            </w:pPr>
          </w:p>
        </w:tc>
        <w:tc>
          <w:tcPr>
            <w:tcW w:w="848" w:type="dxa"/>
          </w:tcPr>
          <w:p w:rsidR="009C13A9" w:rsidRPr="00C903F8" w:rsidRDefault="009C13A9" w:rsidP="009C13A9">
            <w:pPr>
              <w:spacing w:before="60" w:after="60" w:line="240" w:lineRule="atLeast"/>
              <w:ind w:left="0" w:firstLine="0"/>
              <w:rPr>
                <w:rFonts w:cs="Arial"/>
                <w:noProof/>
                <w:sz w:val="18"/>
                <w:szCs w:val="18"/>
              </w:rPr>
            </w:pPr>
          </w:p>
        </w:tc>
        <w:tc>
          <w:tcPr>
            <w:tcW w:w="852"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03" w:type="dxa"/>
            <w:vAlign w:val="center"/>
          </w:tcPr>
          <w:p w:rsidR="009C13A9" w:rsidRPr="00C903F8" w:rsidRDefault="009C13A9" w:rsidP="009C13A9">
            <w:pPr>
              <w:spacing w:before="60" w:after="60" w:line="240" w:lineRule="atLeast"/>
              <w:ind w:left="0" w:firstLine="0"/>
              <w:rPr>
                <w:rFonts w:cs="Arial"/>
                <w:noProof/>
                <w:sz w:val="18"/>
                <w:szCs w:val="18"/>
              </w:rPr>
            </w:pPr>
          </w:p>
        </w:tc>
      </w:tr>
      <w:tr w:rsidR="009C13A9" w:rsidRPr="00C903F8" w:rsidTr="00FA5168">
        <w:trPr>
          <w:jc w:val="center"/>
        </w:trPr>
        <w:tc>
          <w:tcPr>
            <w:tcW w:w="1461" w:type="dxa"/>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Outflow TOC</w:t>
            </w:r>
          </w:p>
        </w:tc>
        <w:tc>
          <w:tcPr>
            <w:tcW w:w="2325" w:type="dxa"/>
            <w:vAlign w:val="center"/>
          </w:tcPr>
          <w:p w:rsidR="009C13A9" w:rsidRPr="00C903F8" w:rsidRDefault="009C13A9" w:rsidP="00FA5168">
            <w:pPr>
              <w:spacing w:before="60" w:after="60" w:line="240" w:lineRule="atLeast"/>
              <w:ind w:left="0" w:firstLine="0"/>
              <w:jc w:val="left"/>
              <w:rPr>
                <w:rFonts w:cs="Arial"/>
                <w:noProof/>
                <w:sz w:val="18"/>
                <w:szCs w:val="18"/>
              </w:rPr>
            </w:pPr>
            <w:r w:rsidRPr="00C903F8">
              <w:rPr>
                <w:rFonts w:cs="Arial"/>
                <w:noProof/>
                <w:sz w:val="18"/>
                <w:szCs w:val="18"/>
              </w:rPr>
              <w:t>24h composite samples</w:t>
            </w:r>
          </w:p>
        </w:tc>
        <w:tc>
          <w:tcPr>
            <w:tcW w:w="1016"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27" w:type="dxa"/>
            <w:vAlign w:val="center"/>
          </w:tcPr>
          <w:p w:rsidR="009C13A9" w:rsidRPr="00C903F8" w:rsidRDefault="009C13A9" w:rsidP="009C13A9">
            <w:pPr>
              <w:spacing w:before="60" w:after="60" w:line="240" w:lineRule="atLeast"/>
              <w:ind w:left="0" w:firstLine="0"/>
              <w:rPr>
                <w:rFonts w:cs="Arial"/>
                <w:noProof/>
                <w:sz w:val="18"/>
                <w:szCs w:val="18"/>
              </w:rPr>
            </w:pPr>
          </w:p>
        </w:tc>
        <w:tc>
          <w:tcPr>
            <w:tcW w:w="848" w:type="dxa"/>
          </w:tcPr>
          <w:p w:rsidR="009C13A9" w:rsidRPr="00C903F8" w:rsidRDefault="009C13A9" w:rsidP="009C13A9">
            <w:pPr>
              <w:spacing w:before="60" w:after="60" w:line="240" w:lineRule="atLeast"/>
              <w:ind w:left="0" w:firstLine="0"/>
              <w:rPr>
                <w:rFonts w:cs="Arial"/>
                <w:noProof/>
                <w:sz w:val="18"/>
                <w:szCs w:val="18"/>
              </w:rPr>
            </w:pPr>
          </w:p>
        </w:tc>
        <w:tc>
          <w:tcPr>
            <w:tcW w:w="852"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03" w:type="dxa"/>
            <w:vAlign w:val="center"/>
          </w:tcPr>
          <w:p w:rsidR="009C13A9" w:rsidRPr="00C903F8" w:rsidRDefault="009C13A9" w:rsidP="009C13A9">
            <w:pPr>
              <w:spacing w:before="60" w:after="60" w:line="240" w:lineRule="atLeast"/>
              <w:ind w:left="0" w:firstLine="0"/>
              <w:rPr>
                <w:rFonts w:cs="Arial"/>
                <w:noProof/>
                <w:sz w:val="18"/>
                <w:szCs w:val="18"/>
              </w:rPr>
            </w:pPr>
          </w:p>
        </w:tc>
      </w:tr>
      <w:tr w:rsidR="009C13A9" w:rsidRPr="00C903F8" w:rsidTr="00FA5168">
        <w:trPr>
          <w:jc w:val="center"/>
        </w:trPr>
        <w:tc>
          <w:tcPr>
            <w:tcW w:w="1461" w:type="dxa"/>
            <w:vAlign w:val="center"/>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Inflow TOC</w:t>
            </w:r>
          </w:p>
        </w:tc>
        <w:tc>
          <w:tcPr>
            <w:tcW w:w="2325" w:type="dxa"/>
            <w:vAlign w:val="center"/>
          </w:tcPr>
          <w:p w:rsidR="009C13A9" w:rsidRPr="00C903F8" w:rsidRDefault="009C13A9" w:rsidP="00FA5168">
            <w:pPr>
              <w:spacing w:before="60" w:after="60" w:line="240" w:lineRule="atLeast"/>
              <w:ind w:left="0" w:firstLine="0"/>
              <w:jc w:val="left"/>
              <w:rPr>
                <w:rFonts w:cs="Arial"/>
                <w:noProof/>
                <w:sz w:val="18"/>
                <w:szCs w:val="18"/>
              </w:rPr>
            </w:pPr>
            <w:r w:rsidRPr="00C903F8">
              <w:rPr>
                <w:rFonts w:cs="Arial"/>
                <w:noProof/>
                <w:sz w:val="18"/>
                <w:szCs w:val="18"/>
              </w:rPr>
              <w:t>random samples</w:t>
            </w:r>
          </w:p>
        </w:tc>
        <w:tc>
          <w:tcPr>
            <w:tcW w:w="1016" w:type="dxa"/>
            <w:vAlign w:val="center"/>
          </w:tcPr>
          <w:p w:rsidR="009C13A9" w:rsidRPr="00C903F8" w:rsidRDefault="009C13A9" w:rsidP="009C13A9">
            <w:pPr>
              <w:spacing w:before="60" w:after="60" w:line="240" w:lineRule="atLeast"/>
              <w:ind w:left="0" w:firstLine="0"/>
              <w:jc w:val="center"/>
              <w:rPr>
                <w:rFonts w:cs="Arial"/>
                <w:noProof/>
                <w:sz w:val="18"/>
                <w:szCs w:val="18"/>
              </w:rPr>
            </w:pPr>
            <w:r w:rsidRPr="00C903F8">
              <w:rPr>
                <w:rFonts w:cs="Arial"/>
                <w:noProof/>
                <w:sz w:val="18"/>
                <w:szCs w:val="18"/>
              </w:rPr>
              <w:t>--</w:t>
            </w:r>
          </w:p>
        </w:tc>
        <w:tc>
          <w:tcPr>
            <w:tcW w:w="927" w:type="dxa"/>
            <w:vAlign w:val="center"/>
          </w:tcPr>
          <w:p w:rsidR="009C13A9" w:rsidRPr="00C903F8" w:rsidRDefault="009C13A9" w:rsidP="009C13A9">
            <w:pPr>
              <w:spacing w:before="60" w:after="60" w:line="240" w:lineRule="atLeast"/>
              <w:ind w:left="0" w:firstLine="0"/>
              <w:rPr>
                <w:rFonts w:cs="Arial"/>
                <w:noProof/>
                <w:sz w:val="18"/>
                <w:szCs w:val="18"/>
              </w:rPr>
            </w:pPr>
          </w:p>
        </w:tc>
        <w:tc>
          <w:tcPr>
            <w:tcW w:w="848" w:type="dxa"/>
          </w:tcPr>
          <w:p w:rsidR="009C13A9" w:rsidRPr="00C903F8" w:rsidRDefault="009C13A9" w:rsidP="009C13A9">
            <w:pPr>
              <w:spacing w:before="60" w:after="60" w:line="240" w:lineRule="atLeast"/>
              <w:ind w:left="0" w:firstLine="0"/>
              <w:rPr>
                <w:rFonts w:cs="Arial"/>
                <w:noProof/>
                <w:sz w:val="18"/>
                <w:szCs w:val="18"/>
              </w:rPr>
            </w:pPr>
          </w:p>
        </w:tc>
        <w:tc>
          <w:tcPr>
            <w:tcW w:w="852"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03" w:type="dxa"/>
            <w:vAlign w:val="center"/>
          </w:tcPr>
          <w:p w:rsidR="009C13A9" w:rsidRPr="00C903F8" w:rsidRDefault="009C13A9" w:rsidP="009C13A9">
            <w:pPr>
              <w:spacing w:before="60" w:after="60" w:line="240" w:lineRule="atLeast"/>
              <w:ind w:left="0" w:firstLine="0"/>
              <w:rPr>
                <w:rFonts w:cs="Arial"/>
                <w:noProof/>
                <w:sz w:val="18"/>
                <w:szCs w:val="18"/>
              </w:rPr>
            </w:pPr>
          </w:p>
        </w:tc>
      </w:tr>
      <w:tr w:rsidR="009C13A9" w:rsidRPr="00C903F8" w:rsidTr="00FA5168">
        <w:trPr>
          <w:jc w:val="center"/>
        </w:trPr>
        <w:tc>
          <w:tcPr>
            <w:tcW w:w="1461" w:type="dxa"/>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Outflow TOC</w:t>
            </w:r>
          </w:p>
        </w:tc>
        <w:tc>
          <w:tcPr>
            <w:tcW w:w="2325" w:type="dxa"/>
            <w:vAlign w:val="center"/>
          </w:tcPr>
          <w:p w:rsidR="009C13A9" w:rsidRPr="00C903F8" w:rsidRDefault="009C13A9" w:rsidP="00FA5168">
            <w:pPr>
              <w:spacing w:before="60" w:after="60" w:line="240" w:lineRule="atLeast"/>
              <w:ind w:left="0" w:firstLine="0"/>
              <w:jc w:val="left"/>
              <w:rPr>
                <w:rFonts w:cs="Arial"/>
                <w:noProof/>
                <w:sz w:val="18"/>
                <w:szCs w:val="18"/>
              </w:rPr>
            </w:pPr>
            <w:r w:rsidRPr="00C903F8">
              <w:rPr>
                <w:rFonts w:cs="Arial"/>
                <w:noProof/>
                <w:sz w:val="18"/>
                <w:szCs w:val="18"/>
              </w:rPr>
              <w:t>random samples</w:t>
            </w:r>
          </w:p>
        </w:tc>
        <w:tc>
          <w:tcPr>
            <w:tcW w:w="1016"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27" w:type="dxa"/>
            <w:vAlign w:val="center"/>
          </w:tcPr>
          <w:p w:rsidR="009C13A9" w:rsidRPr="00C903F8" w:rsidRDefault="009C13A9" w:rsidP="009C13A9">
            <w:pPr>
              <w:spacing w:before="60" w:after="60" w:line="240" w:lineRule="atLeast"/>
              <w:ind w:left="0" w:firstLine="0"/>
              <w:rPr>
                <w:rFonts w:cs="Arial"/>
                <w:noProof/>
                <w:sz w:val="18"/>
                <w:szCs w:val="18"/>
              </w:rPr>
            </w:pPr>
          </w:p>
        </w:tc>
        <w:tc>
          <w:tcPr>
            <w:tcW w:w="848" w:type="dxa"/>
          </w:tcPr>
          <w:p w:rsidR="009C13A9" w:rsidRPr="00C903F8" w:rsidRDefault="009C13A9" w:rsidP="009C13A9">
            <w:pPr>
              <w:spacing w:before="60" w:after="60" w:line="240" w:lineRule="atLeast"/>
              <w:ind w:left="0" w:firstLine="0"/>
              <w:rPr>
                <w:rFonts w:cs="Arial"/>
                <w:noProof/>
                <w:sz w:val="18"/>
                <w:szCs w:val="18"/>
              </w:rPr>
            </w:pPr>
          </w:p>
        </w:tc>
        <w:tc>
          <w:tcPr>
            <w:tcW w:w="852"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03" w:type="dxa"/>
            <w:vAlign w:val="center"/>
          </w:tcPr>
          <w:p w:rsidR="009C13A9" w:rsidRPr="00C903F8" w:rsidRDefault="009C13A9" w:rsidP="009C13A9">
            <w:pPr>
              <w:spacing w:before="60" w:after="60" w:line="240" w:lineRule="atLeast"/>
              <w:ind w:left="0" w:firstLine="0"/>
              <w:rPr>
                <w:rFonts w:cs="Arial"/>
                <w:noProof/>
                <w:sz w:val="18"/>
                <w:szCs w:val="18"/>
              </w:rPr>
            </w:pPr>
          </w:p>
        </w:tc>
      </w:tr>
      <w:tr w:rsidR="009C13A9" w:rsidRPr="00C903F8" w:rsidTr="00FA5168">
        <w:trPr>
          <w:jc w:val="center"/>
        </w:trPr>
        <w:tc>
          <w:tcPr>
            <w:tcW w:w="1461" w:type="dxa"/>
            <w:vAlign w:val="center"/>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Inflow SRF</w:t>
            </w:r>
          </w:p>
        </w:tc>
        <w:tc>
          <w:tcPr>
            <w:tcW w:w="2325" w:type="dxa"/>
            <w:vAlign w:val="center"/>
          </w:tcPr>
          <w:p w:rsidR="009C13A9" w:rsidRPr="00C903F8" w:rsidRDefault="009C13A9" w:rsidP="00FA5168">
            <w:pPr>
              <w:spacing w:before="60" w:after="60" w:line="240" w:lineRule="atLeast"/>
              <w:ind w:left="0" w:firstLine="0"/>
              <w:jc w:val="left"/>
              <w:rPr>
                <w:rFonts w:cs="Arial"/>
                <w:noProof/>
                <w:sz w:val="18"/>
                <w:szCs w:val="18"/>
              </w:rPr>
            </w:pPr>
            <w:r w:rsidRPr="00C903F8">
              <w:rPr>
                <w:rFonts w:cs="Arial"/>
                <w:noProof/>
                <w:sz w:val="18"/>
                <w:szCs w:val="18"/>
              </w:rPr>
              <w:t>24h composite samples</w:t>
            </w:r>
          </w:p>
        </w:tc>
        <w:tc>
          <w:tcPr>
            <w:tcW w:w="1016" w:type="dxa"/>
            <w:vAlign w:val="center"/>
          </w:tcPr>
          <w:p w:rsidR="009C13A9" w:rsidRPr="00C903F8" w:rsidRDefault="009C13A9" w:rsidP="009C13A9">
            <w:pPr>
              <w:spacing w:before="60" w:after="60" w:line="240" w:lineRule="atLeast"/>
              <w:ind w:left="0" w:firstLine="0"/>
              <w:jc w:val="center"/>
              <w:rPr>
                <w:rFonts w:cs="Arial"/>
                <w:noProof/>
                <w:sz w:val="18"/>
                <w:szCs w:val="18"/>
              </w:rPr>
            </w:pPr>
            <w:r w:rsidRPr="00C903F8">
              <w:rPr>
                <w:rFonts w:cs="Arial"/>
                <w:noProof/>
                <w:sz w:val="18"/>
                <w:szCs w:val="18"/>
              </w:rPr>
              <w:t>--</w:t>
            </w:r>
          </w:p>
        </w:tc>
        <w:tc>
          <w:tcPr>
            <w:tcW w:w="927" w:type="dxa"/>
            <w:vAlign w:val="center"/>
          </w:tcPr>
          <w:p w:rsidR="009C13A9" w:rsidRPr="00C903F8" w:rsidRDefault="009C13A9" w:rsidP="009C13A9">
            <w:pPr>
              <w:spacing w:before="60" w:after="60" w:line="240" w:lineRule="atLeast"/>
              <w:ind w:left="0" w:firstLine="0"/>
              <w:rPr>
                <w:rFonts w:cs="Arial"/>
                <w:noProof/>
                <w:sz w:val="18"/>
                <w:szCs w:val="18"/>
              </w:rPr>
            </w:pPr>
          </w:p>
        </w:tc>
        <w:tc>
          <w:tcPr>
            <w:tcW w:w="848" w:type="dxa"/>
          </w:tcPr>
          <w:p w:rsidR="009C13A9" w:rsidRPr="00C903F8" w:rsidRDefault="009C13A9" w:rsidP="009C13A9">
            <w:pPr>
              <w:spacing w:before="60" w:after="60" w:line="240" w:lineRule="atLeast"/>
              <w:ind w:left="0" w:firstLine="0"/>
              <w:rPr>
                <w:rFonts w:cs="Arial"/>
                <w:noProof/>
                <w:sz w:val="18"/>
                <w:szCs w:val="18"/>
              </w:rPr>
            </w:pPr>
          </w:p>
        </w:tc>
        <w:tc>
          <w:tcPr>
            <w:tcW w:w="852"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03" w:type="dxa"/>
            <w:vAlign w:val="center"/>
          </w:tcPr>
          <w:p w:rsidR="009C13A9" w:rsidRPr="00C903F8" w:rsidRDefault="009C13A9" w:rsidP="009C13A9">
            <w:pPr>
              <w:spacing w:before="60" w:after="60" w:line="240" w:lineRule="atLeast"/>
              <w:ind w:left="0" w:firstLine="0"/>
              <w:rPr>
                <w:rFonts w:cs="Arial"/>
                <w:noProof/>
                <w:sz w:val="18"/>
                <w:szCs w:val="18"/>
              </w:rPr>
            </w:pPr>
          </w:p>
        </w:tc>
      </w:tr>
      <w:tr w:rsidR="009C13A9" w:rsidRPr="00C903F8" w:rsidTr="00FA5168">
        <w:trPr>
          <w:jc w:val="center"/>
        </w:trPr>
        <w:tc>
          <w:tcPr>
            <w:tcW w:w="1461" w:type="dxa"/>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Outflow SRF</w:t>
            </w:r>
          </w:p>
        </w:tc>
        <w:tc>
          <w:tcPr>
            <w:tcW w:w="2325" w:type="dxa"/>
            <w:vAlign w:val="center"/>
          </w:tcPr>
          <w:p w:rsidR="009C13A9" w:rsidRPr="00C903F8" w:rsidRDefault="009C13A9" w:rsidP="00FA5168">
            <w:pPr>
              <w:spacing w:before="60" w:after="60" w:line="240" w:lineRule="atLeast"/>
              <w:ind w:left="0" w:firstLine="0"/>
              <w:jc w:val="left"/>
              <w:rPr>
                <w:rFonts w:cs="Arial"/>
                <w:noProof/>
                <w:sz w:val="18"/>
                <w:szCs w:val="18"/>
              </w:rPr>
            </w:pPr>
            <w:r w:rsidRPr="00C903F8">
              <w:rPr>
                <w:rFonts w:cs="Arial"/>
                <w:noProof/>
                <w:sz w:val="18"/>
                <w:szCs w:val="18"/>
              </w:rPr>
              <w:t>24h composite samples</w:t>
            </w:r>
          </w:p>
        </w:tc>
        <w:tc>
          <w:tcPr>
            <w:tcW w:w="1016"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27" w:type="dxa"/>
            <w:vAlign w:val="center"/>
          </w:tcPr>
          <w:p w:rsidR="009C13A9" w:rsidRPr="00C903F8" w:rsidRDefault="009C13A9" w:rsidP="009C13A9">
            <w:pPr>
              <w:spacing w:before="60" w:after="60" w:line="240" w:lineRule="atLeast"/>
              <w:ind w:left="0" w:firstLine="0"/>
              <w:rPr>
                <w:rFonts w:cs="Arial"/>
                <w:noProof/>
                <w:sz w:val="18"/>
                <w:szCs w:val="18"/>
              </w:rPr>
            </w:pPr>
          </w:p>
        </w:tc>
        <w:tc>
          <w:tcPr>
            <w:tcW w:w="848" w:type="dxa"/>
          </w:tcPr>
          <w:p w:rsidR="009C13A9" w:rsidRPr="00C903F8" w:rsidRDefault="009C13A9" w:rsidP="009C13A9">
            <w:pPr>
              <w:spacing w:before="60" w:after="60" w:line="240" w:lineRule="atLeast"/>
              <w:ind w:left="0" w:firstLine="0"/>
              <w:rPr>
                <w:rFonts w:cs="Arial"/>
                <w:noProof/>
                <w:sz w:val="18"/>
                <w:szCs w:val="18"/>
              </w:rPr>
            </w:pPr>
          </w:p>
        </w:tc>
        <w:tc>
          <w:tcPr>
            <w:tcW w:w="852"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03" w:type="dxa"/>
            <w:vAlign w:val="center"/>
          </w:tcPr>
          <w:p w:rsidR="009C13A9" w:rsidRPr="00C903F8" w:rsidRDefault="009C13A9" w:rsidP="009C13A9">
            <w:pPr>
              <w:spacing w:before="60" w:after="60" w:line="240" w:lineRule="atLeast"/>
              <w:ind w:left="0" w:firstLine="0"/>
              <w:rPr>
                <w:rFonts w:cs="Arial"/>
                <w:noProof/>
                <w:sz w:val="18"/>
                <w:szCs w:val="18"/>
              </w:rPr>
            </w:pPr>
          </w:p>
        </w:tc>
      </w:tr>
      <w:tr w:rsidR="009C13A9" w:rsidRPr="00C903F8" w:rsidTr="00FA5168">
        <w:trPr>
          <w:jc w:val="center"/>
        </w:trPr>
        <w:tc>
          <w:tcPr>
            <w:tcW w:w="1461" w:type="dxa"/>
            <w:vAlign w:val="center"/>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Inflow SRF</w:t>
            </w:r>
          </w:p>
        </w:tc>
        <w:tc>
          <w:tcPr>
            <w:tcW w:w="2325" w:type="dxa"/>
            <w:vAlign w:val="center"/>
          </w:tcPr>
          <w:p w:rsidR="009C13A9" w:rsidRPr="00C903F8" w:rsidRDefault="009C13A9" w:rsidP="00FA5168">
            <w:pPr>
              <w:spacing w:before="60" w:after="60" w:line="240" w:lineRule="atLeast"/>
              <w:ind w:left="0" w:firstLine="0"/>
              <w:jc w:val="left"/>
              <w:rPr>
                <w:rFonts w:cs="Arial"/>
                <w:noProof/>
                <w:sz w:val="18"/>
                <w:szCs w:val="18"/>
              </w:rPr>
            </w:pPr>
            <w:r w:rsidRPr="00C903F8">
              <w:rPr>
                <w:rFonts w:cs="Arial"/>
                <w:noProof/>
                <w:sz w:val="18"/>
                <w:szCs w:val="18"/>
              </w:rPr>
              <w:t>random samples</w:t>
            </w:r>
          </w:p>
        </w:tc>
        <w:tc>
          <w:tcPr>
            <w:tcW w:w="1016" w:type="dxa"/>
            <w:vAlign w:val="center"/>
          </w:tcPr>
          <w:p w:rsidR="009C13A9" w:rsidRPr="00C903F8" w:rsidRDefault="009C13A9" w:rsidP="009C13A9">
            <w:pPr>
              <w:spacing w:before="60" w:after="60" w:line="240" w:lineRule="atLeast"/>
              <w:ind w:left="0" w:firstLine="0"/>
              <w:jc w:val="center"/>
              <w:rPr>
                <w:rFonts w:cs="Arial"/>
                <w:noProof/>
                <w:sz w:val="18"/>
                <w:szCs w:val="18"/>
              </w:rPr>
            </w:pPr>
            <w:r w:rsidRPr="00C903F8">
              <w:rPr>
                <w:rFonts w:cs="Arial"/>
                <w:noProof/>
                <w:sz w:val="18"/>
                <w:szCs w:val="18"/>
              </w:rPr>
              <w:t>--</w:t>
            </w:r>
          </w:p>
        </w:tc>
        <w:tc>
          <w:tcPr>
            <w:tcW w:w="927" w:type="dxa"/>
            <w:vAlign w:val="center"/>
          </w:tcPr>
          <w:p w:rsidR="009C13A9" w:rsidRPr="00C903F8" w:rsidRDefault="009C13A9" w:rsidP="009C13A9">
            <w:pPr>
              <w:spacing w:before="60" w:after="60" w:line="240" w:lineRule="atLeast"/>
              <w:ind w:left="0" w:firstLine="0"/>
              <w:rPr>
                <w:rFonts w:cs="Arial"/>
                <w:noProof/>
                <w:sz w:val="18"/>
                <w:szCs w:val="18"/>
              </w:rPr>
            </w:pPr>
          </w:p>
        </w:tc>
        <w:tc>
          <w:tcPr>
            <w:tcW w:w="848" w:type="dxa"/>
          </w:tcPr>
          <w:p w:rsidR="009C13A9" w:rsidRPr="00C903F8" w:rsidRDefault="009C13A9" w:rsidP="009C13A9">
            <w:pPr>
              <w:spacing w:before="60" w:after="60" w:line="240" w:lineRule="atLeast"/>
              <w:ind w:left="0" w:firstLine="0"/>
              <w:rPr>
                <w:rFonts w:cs="Arial"/>
                <w:noProof/>
                <w:sz w:val="18"/>
                <w:szCs w:val="18"/>
              </w:rPr>
            </w:pPr>
          </w:p>
        </w:tc>
        <w:tc>
          <w:tcPr>
            <w:tcW w:w="852"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03" w:type="dxa"/>
            <w:vAlign w:val="center"/>
          </w:tcPr>
          <w:p w:rsidR="009C13A9" w:rsidRPr="00C903F8" w:rsidRDefault="009C13A9" w:rsidP="009C13A9">
            <w:pPr>
              <w:spacing w:before="60" w:after="60" w:line="240" w:lineRule="atLeast"/>
              <w:ind w:left="0" w:firstLine="0"/>
              <w:rPr>
                <w:rFonts w:cs="Arial"/>
                <w:noProof/>
                <w:sz w:val="18"/>
                <w:szCs w:val="18"/>
              </w:rPr>
            </w:pPr>
          </w:p>
        </w:tc>
      </w:tr>
      <w:tr w:rsidR="009C13A9" w:rsidRPr="00C903F8" w:rsidTr="00FA5168">
        <w:trPr>
          <w:jc w:val="center"/>
        </w:trPr>
        <w:tc>
          <w:tcPr>
            <w:tcW w:w="1461" w:type="dxa"/>
          </w:tcPr>
          <w:p w:rsidR="009C13A9" w:rsidRPr="00C903F8" w:rsidRDefault="009C13A9" w:rsidP="009C13A9">
            <w:pPr>
              <w:spacing w:before="60" w:after="60" w:line="240" w:lineRule="atLeast"/>
              <w:ind w:left="0" w:firstLine="0"/>
              <w:rPr>
                <w:rFonts w:cs="Arial"/>
                <w:noProof/>
                <w:sz w:val="18"/>
                <w:szCs w:val="18"/>
              </w:rPr>
            </w:pPr>
            <w:r w:rsidRPr="00C903F8">
              <w:rPr>
                <w:rFonts w:cs="Arial"/>
                <w:noProof/>
                <w:sz w:val="18"/>
                <w:szCs w:val="18"/>
              </w:rPr>
              <w:t>Outflow SRF</w:t>
            </w:r>
          </w:p>
        </w:tc>
        <w:tc>
          <w:tcPr>
            <w:tcW w:w="2325" w:type="dxa"/>
            <w:vAlign w:val="center"/>
          </w:tcPr>
          <w:p w:rsidR="009C13A9" w:rsidRPr="00C903F8" w:rsidRDefault="009C13A9" w:rsidP="00FA5168">
            <w:pPr>
              <w:spacing w:before="60" w:after="60" w:line="240" w:lineRule="atLeast"/>
              <w:ind w:left="0" w:firstLine="0"/>
              <w:jc w:val="left"/>
              <w:rPr>
                <w:rFonts w:cs="Arial"/>
                <w:noProof/>
                <w:sz w:val="18"/>
                <w:szCs w:val="18"/>
              </w:rPr>
            </w:pPr>
            <w:r w:rsidRPr="00C903F8">
              <w:rPr>
                <w:rFonts w:cs="Arial"/>
                <w:noProof/>
                <w:sz w:val="18"/>
                <w:szCs w:val="18"/>
              </w:rPr>
              <w:t>random samples</w:t>
            </w:r>
          </w:p>
        </w:tc>
        <w:tc>
          <w:tcPr>
            <w:tcW w:w="1016"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27" w:type="dxa"/>
            <w:vAlign w:val="center"/>
          </w:tcPr>
          <w:p w:rsidR="009C13A9" w:rsidRPr="00C903F8" w:rsidRDefault="009C13A9" w:rsidP="009C13A9">
            <w:pPr>
              <w:spacing w:before="60" w:after="60" w:line="240" w:lineRule="atLeast"/>
              <w:ind w:left="0" w:firstLine="0"/>
              <w:rPr>
                <w:rFonts w:cs="Arial"/>
                <w:noProof/>
                <w:sz w:val="18"/>
                <w:szCs w:val="18"/>
              </w:rPr>
            </w:pPr>
          </w:p>
        </w:tc>
        <w:tc>
          <w:tcPr>
            <w:tcW w:w="848" w:type="dxa"/>
          </w:tcPr>
          <w:p w:rsidR="009C13A9" w:rsidRPr="00C903F8" w:rsidRDefault="009C13A9" w:rsidP="009C13A9">
            <w:pPr>
              <w:spacing w:before="60" w:after="60" w:line="240" w:lineRule="atLeast"/>
              <w:ind w:left="0" w:firstLine="0"/>
              <w:rPr>
                <w:rFonts w:cs="Arial"/>
                <w:noProof/>
                <w:sz w:val="18"/>
                <w:szCs w:val="18"/>
              </w:rPr>
            </w:pPr>
          </w:p>
        </w:tc>
        <w:tc>
          <w:tcPr>
            <w:tcW w:w="852" w:type="dxa"/>
            <w:vAlign w:val="center"/>
          </w:tcPr>
          <w:p w:rsidR="009C13A9" w:rsidRPr="00C903F8" w:rsidRDefault="009C13A9" w:rsidP="009C13A9">
            <w:pPr>
              <w:spacing w:before="60" w:after="60" w:line="240" w:lineRule="atLeast"/>
              <w:ind w:left="0" w:firstLine="0"/>
              <w:rPr>
                <w:rFonts w:cs="Arial"/>
                <w:noProof/>
                <w:sz w:val="18"/>
                <w:szCs w:val="18"/>
              </w:rPr>
            </w:pPr>
          </w:p>
        </w:tc>
        <w:tc>
          <w:tcPr>
            <w:tcW w:w="903" w:type="dxa"/>
            <w:vAlign w:val="center"/>
          </w:tcPr>
          <w:p w:rsidR="009C13A9" w:rsidRPr="00C903F8" w:rsidRDefault="009C13A9" w:rsidP="009C13A9">
            <w:pPr>
              <w:spacing w:before="60" w:after="60" w:line="240" w:lineRule="atLeast"/>
              <w:ind w:left="0" w:firstLine="0"/>
              <w:rPr>
                <w:rFonts w:cs="Arial"/>
                <w:noProof/>
                <w:sz w:val="18"/>
                <w:szCs w:val="18"/>
              </w:rPr>
            </w:pPr>
          </w:p>
        </w:tc>
      </w:tr>
    </w:tbl>
    <w:p w:rsidR="009C13A9" w:rsidRPr="00C903F8" w:rsidRDefault="009C13A9" w:rsidP="009C13A9">
      <w:pPr>
        <w:spacing w:line="240" w:lineRule="atLeast"/>
        <w:rPr>
          <w:rFonts w:cs="Arial"/>
          <w:noProof/>
          <w:color w:val="000000"/>
          <w:lang w:val="nl-NL" w:eastAsia="en-GB"/>
        </w:rPr>
      </w:pPr>
      <w:r w:rsidRPr="00C903F8">
        <w:rPr>
          <w:rFonts w:cs="Arial"/>
          <w:noProof/>
          <w:color w:val="000000"/>
          <w:lang w:val="nl-NL" w:eastAsia="en-GB"/>
        </w:rPr>
        <w:br w:type="page"/>
      </w:r>
    </w:p>
    <w:p w:rsidR="009C13A9" w:rsidRPr="00C903F8" w:rsidRDefault="009C13A9" w:rsidP="00FA5168">
      <w:pPr>
        <w:tabs>
          <w:tab w:val="left" w:pos="709"/>
        </w:tabs>
        <w:suppressAutoHyphens/>
        <w:autoSpaceDE/>
        <w:autoSpaceDN/>
        <w:spacing w:after="120" w:line="240" w:lineRule="atLeast"/>
        <w:ind w:left="1701" w:hanging="992"/>
        <w:rPr>
          <w:rFonts w:cs="Arial"/>
          <w:szCs w:val="20"/>
          <w:lang w:val="en-US" w:eastAsia="ar-SA"/>
        </w:rPr>
      </w:pPr>
      <w:r w:rsidRPr="00C903F8">
        <w:rPr>
          <w:rFonts w:cs="Arial"/>
          <w:szCs w:val="20"/>
          <w:lang w:val="en-US" w:eastAsia="ar-SA"/>
        </w:rPr>
        <w:lastRenderedPageBreak/>
        <w:t>Table 3b:</w:t>
      </w:r>
      <w:r w:rsidRPr="00C903F8">
        <w:rPr>
          <w:rFonts w:cs="Arial"/>
          <w:szCs w:val="20"/>
          <w:lang w:val="en-US" w:eastAsia="ar-SA"/>
        </w:rPr>
        <w:tab/>
        <w:t xml:space="preserve">Specification for the statistical processing of data gathered – evaluation to document purification efficiency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2325"/>
        <w:gridCol w:w="936"/>
        <w:gridCol w:w="858"/>
        <w:gridCol w:w="858"/>
      </w:tblGrid>
      <w:tr w:rsidR="009C13A9" w:rsidRPr="00C903F8" w:rsidTr="00EB3292">
        <w:trPr>
          <w:trHeight w:val="760"/>
          <w:jc w:val="center"/>
        </w:trPr>
        <w:tc>
          <w:tcPr>
            <w:tcW w:w="1588" w:type="dxa"/>
            <w:vAlign w:val="center"/>
          </w:tcPr>
          <w:p w:rsidR="009C13A9" w:rsidRPr="00C903F8" w:rsidRDefault="009C13A9" w:rsidP="009C13A9">
            <w:pPr>
              <w:spacing w:before="60" w:after="60" w:line="240" w:lineRule="atLeast"/>
              <w:ind w:left="0" w:firstLine="0"/>
              <w:jc w:val="center"/>
              <w:rPr>
                <w:noProof/>
                <w:sz w:val="18"/>
                <w:szCs w:val="18"/>
              </w:rPr>
            </w:pPr>
            <w:r w:rsidRPr="00C903F8">
              <w:rPr>
                <w:noProof/>
                <w:sz w:val="18"/>
                <w:szCs w:val="18"/>
              </w:rPr>
              <w:t>Parameter</w:t>
            </w:r>
          </w:p>
        </w:tc>
        <w:tc>
          <w:tcPr>
            <w:tcW w:w="2325" w:type="dxa"/>
            <w:vAlign w:val="center"/>
          </w:tcPr>
          <w:p w:rsidR="009C13A9" w:rsidRPr="00C903F8" w:rsidRDefault="009C13A9" w:rsidP="009C13A9">
            <w:pPr>
              <w:spacing w:before="60" w:after="60" w:line="240" w:lineRule="atLeast"/>
              <w:ind w:left="0" w:firstLine="0"/>
              <w:jc w:val="center"/>
              <w:rPr>
                <w:noProof/>
                <w:sz w:val="18"/>
                <w:szCs w:val="18"/>
              </w:rPr>
            </w:pPr>
            <w:r w:rsidRPr="00C903F8">
              <w:rPr>
                <w:noProof/>
                <w:sz w:val="18"/>
                <w:szCs w:val="18"/>
              </w:rPr>
              <w:t>Sampling type</w:t>
            </w:r>
          </w:p>
        </w:tc>
        <w:tc>
          <w:tcPr>
            <w:tcW w:w="936" w:type="dxa"/>
            <w:vAlign w:val="center"/>
          </w:tcPr>
          <w:p w:rsidR="009C13A9" w:rsidRPr="00C903F8" w:rsidRDefault="009C13A9" w:rsidP="009C13A9">
            <w:pPr>
              <w:spacing w:before="60" w:after="60" w:line="240" w:lineRule="atLeast"/>
              <w:ind w:left="0" w:firstLine="0"/>
              <w:jc w:val="center"/>
              <w:rPr>
                <w:noProof/>
                <w:sz w:val="18"/>
                <w:szCs w:val="18"/>
              </w:rPr>
            </w:pPr>
            <w:r w:rsidRPr="00C903F8">
              <w:rPr>
                <w:noProof/>
                <w:sz w:val="18"/>
                <w:szCs w:val="18"/>
              </w:rPr>
              <w:t>Mean</w:t>
            </w:r>
          </w:p>
        </w:tc>
        <w:tc>
          <w:tcPr>
            <w:tcW w:w="858" w:type="dxa"/>
            <w:vAlign w:val="center"/>
          </w:tcPr>
          <w:p w:rsidR="009C13A9" w:rsidRPr="00C903F8" w:rsidRDefault="009C13A9" w:rsidP="009C13A9">
            <w:pPr>
              <w:spacing w:before="60" w:after="60" w:line="240" w:lineRule="atLeast"/>
              <w:ind w:left="0" w:firstLine="0"/>
              <w:jc w:val="center"/>
              <w:rPr>
                <w:noProof/>
                <w:sz w:val="18"/>
                <w:szCs w:val="18"/>
              </w:rPr>
            </w:pPr>
            <w:r w:rsidRPr="00C903F8">
              <w:rPr>
                <w:noProof/>
                <w:sz w:val="18"/>
                <w:szCs w:val="18"/>
              </w:rPr>
              <w:t>Min</w:t>
            </w:r>
          </w:p>
        </w:tc>
        <w:tc>
          <w:tcPr>
            <w:tcW w:w="858" w:type="dxa"/>
            <w:vAlign w:val="center"/>
          </w:tcPr>
          <w:p w:rsidR="009C13A9" w:rsidRPr="00C903F8" w:rsidRDefault="009C13A9" w:rsidP="009C13A9">
            <w:pPr>
              <w:spacing w:before="60" w:after="60" w:line="240" w:lineRule="atLeast"/>
              <w:ind w:left="0" w:firstLine="0"/>
              <w:jc w:val="center"/>
              <w:rPr>
                <w:noProof/>
                <w:sz w:val="18"/>
                <w:szCs w:val="18"/>
              </w:rPr>
            </w:pPr>
            <w:r w:rsidRPr="00C903F8">
              <w:rPr>
                <w:noProof/>
                <w:sz w:val="18"/>
                <w:szCs w:val="18"/>
              </w:rPr>
              <w:t>Max</w:t>
            </w:r>
          </w:p>
        </w:tc>
      </w:tr>
      <w:tr w:rsidR="009C13A9" w:rsidRPr="00C903F8" w:rsidTr="00EB3292">
        <w:trPr>
          <w:jc w:val="center"/>
        </w:trPr>
        <w:tc>
          <w:tcPr>
            <w:tcW w:w="1588" w:type="dxa"/>
          </w:tcPr>
          <w:p w:rsidR="009C13A9" w:rsidRPr="00C903F8" w:rsidRDefault="009C13A9" w:rsidP="009C13A9">
            <w:pPr>
              <w:spacing w:before="60" w:after="60" w:line="240" w:lineRule="atLeast"/>
              <w:ind w:left="0" w:firstLine="0"/>
              <w:jc w:val="left"/>
              <w:rPr>
                <w:noProof/>
                <w:sz w:val="18"/>
                <w:szCs w:val="18"/>
              </w:rPr>
            </w:pPr>
            <w:r w:rsidRPr="00C903F8">
              <w:rPr>
                <w:noProof/>
                <w:sz w:val="18"/>
                <w:szCs w:val="18"/>
              </w:rPr>
              <w:t xml:space="preserve">Elimination efficiency </w:t>
            </w:r>
            <m:oMath>
              <m:sSub>
                <m:sSubPr>
                  <m:ctrlPr>
                    <w:rPr>
                      <w:rFonts w:ascii="Cambria Math" w:hAnsi="Cambria Math"/>
                      <w:i/>
                      <w:noProof/>
                      <w:sz w:val="18"/>
                      <w:szCs w:val="18"/>
                      <w:lang w:val="en-US" w:eastAsia="nl-NL"/>
                    </w:rPr>
                  </m:ctrlPr>
                </m:sSubPr>
                <m:e>
                  <m:r>
                    <w:rPr>
                      <w:rFonts w:ascii="Cambria Math" w:hAnsi="Cambria Math"/>
                      <w:noProof/>
                      <w:sz w:val="18"/>
                      <w:szCs w:val="18"/>
                      <w:lang w:val="en-US" w:eastAsia="nl-NL"/>
                    </w:rPr>
                    <m:t>BOD</m:t>
                  </m:r>
                </m:e>
                <m:sub>
                  <m:r>
                    <w:rPr>
                      <w:rFonts w:ascii="Cambria Math" w:hAnsi="Cambria Math"/>
                      <w:noProof/>
                      <w:sz w:val="18"/>
                      <w:szCs w:val="18"/>
                      <w:lang w:val="en-US" w:eastAsia="nl-NL"/>
                    </w:rPr>
                    <m:t>5</m:t>
                  </m:r>
                </m:sub>
              </m:sSub>
            </m:oMath>
          </w:p>
        </w:tc>
        <w:tc>
          <w:tcPr>
            <w:tcW w:w="2325" w:type="dxa"/>
            <w:vAlign w:val="center"/>
          </w:tcPr>
          <w:p w:rsidR="009C13A9" w:rsidRPr="00C903F8" w:rsidRDefault="009C13A9" w:rsidP="009C13A9">
            <w:pPr>
              <w:spacing w:before="60" w:after="60" w:line="240" w:lineRule="atLeast"/>
              <w:ind w:left="0" w:firstLine="0"/>
              <w:jc w:val="left"/>
              <w:rPr>
                <w:noProof/>
                <w:sz w:val="18"/>
                <w:szCs w:val="18"/>
              </w:rPr>
            </w:pPr>
            <w:r w:rsidRPr="00C903F8">
              <w:rPr>
                <w:noProof/>
                <w:sz w:val="18"/>
                <w:szCs w:val="18"/>
              </w:rPr>
              <w:t>24h composite samples</w:t>
            </w:r>
          </w:p>
        </w:tc>
        <w:tc>
          <w:tcPr>
            <w:tcW w:w="936" w:type="dxa"/>
          </w:tcPr>
          <w:p w:rsidR="009C13A9" w:rsidRPr="00C903F8" w:rsidRDefault="009C13A9" w:rsidP="009C13A9">
            <w:pPr>
              <w:spacing w:before="60" w:after="60" w:line="240" w:lineRule="atLeast"/>
              <w:ind w:left="0" w:firstLine="0"/>
              <w:rPr>
                <w:noProof/>
                <w:sz w:val="18"/>
                <w:szCs w:val="18"/>
              </w:rPr>
            </w:pPr>
          </w:p>
        </w:tc>
        <w:tc>
          <w:tcPr>
            <w:tcW w:w="858" w:type="dxa"/>
          </w:tcPr>
          <w:p w:rsidR="009C13A9" w:rsidRPr="00C903F8" w:rsidRDefault="009C13A9" w:rsidP="009C13A9">
            <w:pPr>
              <w:spacing w:before="60" w:after="60" w:line="240" w:lineRule="atLeast"/>
              <w:ind w:left="0" w:firstLine="0"/>
              <w:rPr>
                <w:noProof/>
                <w:sz w:val="18"/>
                <w:szCs w:val="18"/>
              </w:rPr>
            </w:pPr>
          </w:p>
        </w:tc>
        <w:tc>
          <w:tcPr>
            <w:tcW w:w="858" w:type="dxa"/>
          </w:tcPr>
          <w:p w:rsidR="009C13A9" w:rsidRPr="00C903F8" w:rsidRDefault="009C13A9" w:rsidP="009C13A9">
            <w:pPr>
              <w:spacing w:before="60" w:after="60" w:line="240" w:lineRule="atLeast"/>
              <w:ind w:left="0" w:firstLine="0"/>
              <w:rPr>
                <w:noProof/>
                <w:sz w:val="18"/>
                <w:szCs w:val="18"/>
              </w:rPr>
            </w:pPr>
          </w:p>
        </w:tc>
      </w:tr>
      <w:tr w:rsidR="009C13A9" w:rsidRPr="00C903F8" w:rsidTr="00EB3292">
        <w:trPr>
          <w:jc w:val="center"/>
        </w:trPr>
        <w:tc>
          <w:tcPr>
            <w:tcW w:w="1588" w:type="dxa"/>
          </w:tcPr>
          <w:p w:rsidR="009C13A9" w:rsidRPr="00C903F8" w:rsidRDefault="009C13A9" w:rsidP="009C13A9">
            <w:pPr>
              <w:spacing w:before="60" w:after="60" w:line="240" w:lineRule="atLeast"/>
              <w:ind w:left="0" w:firstLine="0"/>
              <w:jc w:val="left"/>
              <w:rPr>
                <w:noProof/>
                <w:sz w:val="18"/>
                <w:szCs w:val="18"/>
              </w:rPr>
            </w:pPr>
            <w:r w:rsidRPr="00C903F8">
              <w:rPr>
                <w:noProof/>
                <w:sz w:val="18"/>
                <w:szCs w:val="18"/>
              </w:rPr>
              <w:t xml:space="preserve">Elimination efficiency </w:t>
            </w:r>
            <m:oMath>
              <m:sSub>
                <m:sSubPr>
                  <m:ctrlPr>
                    <w:rPr>
                      <w:rFonts w:ascii="Cambria Math" w:hAnsi="Cambria Math"/>
                      <w:i/>
                      <w:noProof/>
                      <w:sz w:val="18"/>
                      <w:szCs w:val="18"/>
                      <w:lang w:val="en-US" w:eastAsia="nl-NL"/>
                    </w:rPr>
                  </m:ctrlPr>
                </m:sSubPr>
                <m:e>
                  <m:r>
                    <w:rPr>
                      <w:rFonts w:ascii="Cambria Math" w:hAnsi="Cambria Math"/>
                      <w:noProof/>
                      <w:sz w:val="18"/>
                      <w:szCs w:val="18"/>
                      <w:lang w:val="en-US" w:eastAsia="nl-NL"/>
                    </w:rPr>
                    <m:t>BOD</m:t>
                  </m:r>
                </m:e>
                <m:sub>
                  <m:r>
                    <w:rPr>
                      <w:rFonts w:ascii="Cambria Math" w:hAnsi="Cambria Math"/>
                      <w:noProof/>
                      <w:sz w:val="18"/>
                      <w:szCs w:val="18"/>
                      <w:lang w:val="en-US" w:eastAsia="nl-NL"/>
                    </w:rPr>
                    <m:t>5</m:t>
                  </m:r>
                </m:sub>
              </m:sSub>
            </m:oMath>
          </w:p>
        </w:tc>
        <w:tc>
          <w:tcPr>
            <w:tcW w:w="2325" w:type="dxa"/>
            <w:vAlign w:val="center"/>
          </w:tcPr>
          <w:p w:rsidR="009C13A9" w:rsidRPr="00C903F8" w:rsidRDefault="009C13A9" w:rsidP="009C13A9">
            <w:pPr>
              <w:spacing w:before="60" w:after="60" w:line="240" w:lineRule="atLeast"/>
              <w:ind w:left="0" w:firstLine="0"/>
              <w:jc w:val="left"/>
              <w:rPr>
                <w:noProof/>
                <w:sz w:val="18"/>
                <w:szCs w:val="18"/>
              </w:rPr>
            </w:pPr>
            <w:r w:rsidRPr="00C903F8">
              <w:rPr>
                <w:noProof/>
                <w:sz w:val="18"/>
                <w:szCs w:val="18"/>
              </w:rPr>
              <w:t>Random samples</w:t>
            </w:r>
          </w:p>
        </w:tc>
        <w:tc>
          <w:tcPr>
            <w:tcW w:w="936" w:type="dxa"/>
          </w:tcPr>
          <w:p w:rsidR="009C13A9" w:rsidRPr="00C903F8" w:rsidRDefault="009C13A9" w:rsidP="009C13A9">
            <w:pPr>
              <w:spacing w:before="60" w:after="60" w:line="240" w:lineRule="atLeast"/>
              <w:ind w:left="0" w:firstLine="0"/>
              <w:rPr>
                <w:noProof/>
                <w:sz w:val="18"/>
                <w:szCs w:val="18"/>
              </w:rPr>
            </w:pPr>
          </w:p>
        </w:tc>
        <w:tc>
          <w:tcPr>
            <w:tcW w:w="858" w:type="dxa"/>
          </w:tcPr>
          <w:p w:rsidR="009C13A9" w:rsidRPr="00C903F8" w:rsidRDefault="009C13A9" w:rsidP="009C13A9">
            <w:pPr>
              <w:spacing w:before="60" w:after="60" w:line="240" w:lineRule="atLeast"/>
              <w:ind w:left="0" w:firstLine="0"/>
              <w:rPr>
                <w:noProof/>
                <w:sz w:val="18"/>
                <w:szCs w:val="18"/>
              </w:rPr>
            </w:pPr>
          </w:p>
        </w:tc>
        <w:tc>
          <w:tcPr>
            <w:tcW w:w="858" w:type="dxa"/>
          </w:tcPr>
          <w:p w:rsidR="009C13A9" w:rsidRPr="00C903F8" w:rsidRDefault="009C13A9" w:rsidP="009C13A9">
            <w:pPr>
              <w:spacing w:before="60" w:after="60" w:line="240" w:lineRule="atLeast"/>
              <w:ind w:left="0" w:firstLine="0"/>
              <w:rPr>
                <w:noProof/>
                <w:sz w:val="18"/>
                <w:szCs w:val="18"/>
              </w:rPr>
            </w:pPr>
          </w:p>
        </w:tc>
      </w:tr>
      <w:tr w:rsidR="009C13A9" w:rsidRPr="00C903F8" w:rsidTr="00EB3292">
        <w:trPr>
          <w:jc w:val="center"/>
        </w:trPr>
        <w:tc>
          <w:tcPr>
            <w:tcW w:w="1588" w:type="dxa"/>
          </w:tcPr>
          <w:p w:rsidR="009C13A9" w:rsidRPr="00C903F8" w:rsidRDefault="009C13A9" w:rsidP="009C13A9">
            <w:pPr>
              <w:spacing w:before="60" w:after="60" w:line="240" w:lineRule="atLeast"/>
              <w:ind w:left="0" w:firstLine="0"/>
              <w:jc w:val="left"/>
              <w:rPr>
                <w:noProof/>
                <w:sz w:val="18"/>
                <w:szCs w:val="18"/>
              </w:rPr>
            </w:pPr>
            <w:r w:rsidRPr="00C903F8">
              <w:rPr>
                <w:noProof/>
                <w:sz w:val="18"/>
                <w:szCs w:val="18"/>
              </w:rPr>
              <w:t>Elimination efficiency COD</w:t>
            </w:r>
          </w:p>
        </w:tc>
        <w:tc>
          <w:tcPr>
            <w:tcW w:w="2325" w:type="dxa"/>
          </w:tcPr>
          <w:p w:rsidR="009C13A9" w:rsidRPr="00C903F8" w:rsidRDefault="009C13A9" w:rsidP="009C13A9">
            <w:pPr>
              <w:spacing w:before="60" w:after="60" w:line="240" w:lineRule="atLeast"/>
              <w:ind w:left="0" w:firstLine="0"/>
              <w:jc w:val="left"/>
              <w:rPr>
                <w:noProof/>
                <w:sz w:val="18"/>
                <w:szCs w:val="18"/>
              </w:rPr>
            </w:pPr>
            <w:r w:rsidRPr="00C903F8">
              <w:rPr>
                <w:noProof/>
                <w:sz w:val="18"/>
                <w:szCs w:val="18"/>
              </w:rPr>
              <w:t>24h composite samples</w:t>
            </w:r>
          </w:p>
        </w:tc>
        <w:tc>
          <w:tcPr>
            <w:tcW w:w="936" w:type="dxa"/>
          </w:tcPr>
          <w:p w:rsidR="009C13A9" w:rsidRPr="00C903F8" w:rsidRDefault="009C13A9" w:rsidP="009C13A9">
            <w:pPr>
              <w:spacing w:before="60" w:after="60" w:line="240" w:lineRule="atLeast"/>
              <w:ind w:left="0" w:firstLine="0"/>
              <w:rPr>
                <w:noProof/>
                <w:sz w:val="18"/>
                <w:szCs w:val="18"/>
              </w:rPr>
            </w:pPr>
          </w:p>
        </w:tc>
        <w:tc>
          <w:tcPr>
            <w:tcW w:w="858" w:type="dxa"/>
          </w:tcPr>
          <w:p w:rsidR="009C13A9" w:rsidRPr="00C903F8" w:rsidRDefault="009C13A9" w:rsidP="009C13A9">
            <w:pPr>
              <w:spacing w:before="60" w:after="60" w:line="240" w:lineRule="atLeast"/>
              <w:ind w:left="0" w:firstLine="0"/>
              <w:rPr>
                <w:noProof/>
                <w:sz w:val="18"/>
                <w:szCs w:val="18"/>
              </w:rPr>
            </w:pPr>
          </w:p>
        </w:tc>
        <w:tc>
          <w:tcPr>
            <w:tcW w:w="858" w:type="dxa"/>
          </w:tcPr>
          <w:p w:rsidR="009C13A9" w:rsidRPr="00C903F8" w:rsidRDefault="009C13A9" w:rsidP="009C13A9">
            <w:pPr>
              <w:spacing w:before="60" w:after="60" w:line="240" w:lineRule="atLeast"/>
              <w:ind w:left="0" w:firstLine="0"/>
              <w:rPr>
                <w:noProof/>
                <w:sz w:val="18"/>
                <w:szCs w:val="18"/>
              </w:rPr>
            </w:pPr>
          </w:p>
        </w:tc>
      </w:tr>
      <w:tr w:rsidR="009C13A9" w:rsidRPr="00C903F8" w:rsidTr="00EB3292">
        <w:trPr>
          <w:jc w:val="center"/>
        </w:trPr>
        <w:tc>
          <w:tcPr>
            <w:tcW w:w="1588" w:type="dxa"/>
          </w:tcPr>
          <w:p w:rsidR="009C13A9" w:rsidRPr="00C903F8" w:rsidRDefault="009C13A9" w:rsidP="009C13A9">
            <w:pPr>
              <w:spacing w:before="60" w:after="60" w:line="240" w:lineRule="atLeast"/>
              <w:ind w:left="0" w:firstLine="0"/>
              <w:jc w:val="left"/>
              <w:rPr>
                <w:noProof/>
                <w:sz w:val="18"/>
                <w:szCs w:val="18"/>
              </w:rPr>
            </w:pPr>
            <w:r w:rsidRPr="00C903F8">
              <w:rPr>
                <w:noProof/>
                <w:sz w:val="18"/>
                <w:szCs w:val="18"/>
              </w:rPr>
              <w:t>Elimination efficiency COD</w:t>
            </w:r>
          </w:p>
        </w:tc>
        <w:tc>
          <w:tcPr>
            <w:tcW w:w="2325" w:type="dxa"/>
          </w:tcPr>
          <w:p w:rsidR="009C13A9" w:rsidRPr="00C903F8" w:rsidRDefault="009C13A9" w:rsidP="009C13A9">
            <w:pPr>
              <w:spacing w:before="60" w:after="60" w:line="240" w:lineRule="atLeast"/>
              <w:ind w:left="0" w:firstLine="0"/>
              <w:jc w:val="left"/>
              <w:rPr>
                <w:noProof/>
                <w:sz w:val="18"/>
                <w:szCs w:val="18"/>
              </w:rPr>
            </w:pPr>
            <w:r w:rsidRPr="00C903F8">
              <w:rPr>
                <w:noProof/>
                <w:sz w:val="18"/>
                <w:szCs w:val="18"/>
              </w:rPr>
              <w:t>Random samples</w:t>
            </w:r>
          </w:p>
        </w:tc>
        <w:tc>
          <w:tcPr>
            <w:tcW w:w="936" w:type="dxa"/>
          </w:tcPr>
          <w:p w:rsidR="009C13A9" w:rsidRPr="00C903F8" w:rsidRDefault="009C13A9" w:rsidP="009C13A9">
            <w:pPr>
              <w:spacing w:before="60" w:after="60" w:line="240" w:lineRule="atLeast"/>
              <w:ind w:left="0" w:firstLine="0"/>
              <w:rPr>
                <w:noProof/>
                <w:sz w:val="18"/>
                <w:szCs w:val="18"/>
              </w:rPr>
            </w:pPr>
          </w:p>
        </w:tc>
        <w:tc>
          <w:tcPr>
            <w:tcW w:w="858" w:type="dxa"/>
          </w:tcPr>
          <w:p w:rsidR="009C13A9" w:rsidRPr="00C903F8" w:rsidRDefault="009C13A9" w:rsidP="009C13A9">
            <w:pPr>
              <w:spacing w:before="60" w:after="60" w:line="240" w:lineRule="atLeast"/>
              <w:ind w:left="0" w:firstLine="0"/>
              <w:rPr>
                <w:noProof/>
                <w:sz w:val="18"/>
                <w:szCs w:val="18"/>
              </w:rPr>
            </w:pPr>
          </w:p>
        </w:tc>
        <w:tc>
          <w:tcPr>
            <w:tcW w:w="858" w:type="dxa"/>
          </w:tcPr>
          <w:p w:rsidR="009C13A9" w:rsidRPr="00C903F8" w:rsidRDefault="009C13A9" w:rsidP="009C13A9">
            <w:pPr>
              <w:spacing w:before="60" w:after="60" w:line="240" w:lineRule="atLeast"/>
              <w:ind w:left="0" w:firstLine="0"/>
              <w:rPr>
                <w:noProof/>
                <w:sz w:val="18"/>
                <w:szCs w:val="18"/>
              </w:rPr>
            </w:pPr>
          </w:p>
        </w:tc>
      </w:tr>
      <w:tr w:rsidR="009C13A9" w:rsidRPr="00C903F8" w:rsidTr="00EB3292">
        <w:trPr>
          <w:jc w:val="center"/>
        </w:trPr>
        <w:tc>
          <w:tcPr>
            <w:tcW w:w="1588" w:type="dxa"/>
          </w:tcPr>
          <w:p w:rsidR="009C13A9" w:rsidRPr="00C903F8" w:rsidRDefault="009C13A9" w:rsidP="009C13A9">
            <w:pPr>
              <w:spacing w:before="60" w:after="60" w:line="240" w:lineRule="atLeast"/>
              <w:ind w:left="0" w:firstLine="0"/>
              <w:jc w:val="left"/>
              <w:rPr>
                <w:noProof/>
                <w:sz w:val="18"/>
                <w:szCs w:val="18"/>
              </w:rPr>
            </w:pPr>
            <w:r w:rsidRPr="00C903F8">
              <w:rPr>
                <w:noProof/>
                <w:sz w:val="18"/>
                <w:szCs w:val="18"/>
              </w:rPr>
              <w:t>Elimination efficiency TOC</w:t>
            </w:r>
          </w:p>
        </w:tc>
        <w:tc>
          <w:tcPr>
            <w:tcW w:w="2325" w:type="dxa"/>
          </w:tcPr>
          <w:p w:rsidR="009C13A9" w:rsidRPr="00C903F8" w:rsidRDefault="009C13A9" w:rsidP="009C13A9">
            <w:pPr>
              <w:spacing w:before="60" w:after="60" w:line="240" w:lineRule="atLeast"/>
              <w:ind w:left="0" w:firstLine="0"/>
              <w:jc w:val="left"/>
              <w:rPr>
                <w:noProof/>
                <w:sz w:val="18"/>
                <w:szCs w:val="18"/>
              </w:rPr>
            </w:pPr>
            <w:r w:rsidRPr="00C903F8">
              <w:rPr>
                <w:noProof/>
                <w:sz w:val="18"/>
                <w:szCs w:val="18"/>
              </w:rPr>
              <w:t>24h composite samples</w:t>
            </w:r>
          </w:p>
        </w:tc>
        <w:tc>
          <w:tcPr>
            <w:tcW w:w="936" w:type="dxa"/>
          </w:tcPr>
          <w:p w:rsidR="009C13A9" w:rsidRPr="00C903F8" w:rsidRDefault="009C13A9" w:rsidP="009C13A9">
            <w:pPr>
              <w:spacing w:before="60" w:after="60" w:line="240" w:lineRule="atLeast"/>
              <w:ind w:left="0" w:firstLine="0"/>
              <w:rPr>
                <w:noProof/>
                <w:sz w:val="18"/>
                <w:szCs w:val="18"/>
              </w:rPr>
            </w:pPr>
          </w:p>
        </w:tc>
        <w:tc>
          <w:tcPr>
            <w:tcW w:w="858" w:type="dxa"/>
          </w:tcPr>
          <w:p w:rsidR="009C13A9" w:rsidRPr="00C903F8" w:rsidRDefault="009C13A9" w:rsidP="009C13A9">
            <w:pPr>
              <w:spacing w:before="60" w:after="60" w:line="240" w:lineRule="atLeast"/>
              <w:ind w:left="0" w:firstLine="0"/>
              <w:rPr>
                <w:noProof/>
                <w:sz w:val="18"/>
                <w:szCs w:val="18"/>
              </w:rPr>
            </w:pPr>
          </w:p>
        </w:tc>
        <w:tc>
          <w:tcPr>
            <w:tcW w:w="858" w:type="dxa"/>
          </w:tcPr>
          <w:p w:rsidR="009C13A9" w:rsidRPr="00C903F8" w:rsidRDefault="009C13A9" w:rsidP="009C13A9">
            <w:pPr>
              <w:spacing w:before="60" w:after="60" w:line="240" w:lineRule="atLeast"/>
              <w:ind w:left="0" w:firstLine="0"/>
              <w:rPr>
                <w:noProof/>
                <w:sz w:val="18"/>
                <w:szCs w:val="18"/>
              </w:rPr>
            </w:pPr>
          </w:p>
        </w:tc>
      </w:tr>
      <w:tr w:rsidR="009C13A9" w:rsidRPr="00C903F8" w:rsidTr="00EB3292">
        <w:trPr>
          <w:jc w:val="center"/>
        </w:trPr>
        <w:tc>
          <w:tcPr>
            <w:tcW w:w="1588" w:type="dxa"/>
          </w:tcPr>
          <w:p w:rsidR="009C13A9" w:rsidRPr="00C903F8" w:rsidRDefault="009C13A9" w:rsidP="009C13A9">
            <w:pPr>
              <w:spacing w:before="60" w:after="60" w:line="240" w:lineRule="atLeast"/>
              <w:ind w:left="0" w:firstLine="0"/>
              <w:jc w:val="left"/>
              <w:rPr>
                <w:noProof/>
                <w:sz w:val="18"/>
                <w:szCs w:val="18"/>
              </w:rPr>
            </w:pPr>
            <w:r w:rsidRPr="00C903F8">
              <w:rPr>
                <w:noProof/>
                <w:sz w:val="18"/>
                <w:szCs w:val="18"/>
              </w:rPr>
              <w:t>Elimination efficiency TOC</w:t>
            </w:r>
          </w:p>
        </w:tc>
        <w:tc>
          <w:tcPr>
            <w:tcW w:w="2325" w:type="dxa"/>
          </w:tcPr>
          <w:p w:rsidR="009C13A9" w:rsidRPr="00C903F8" w:rsidRDefault="009C13A9" w:rsidP="009C13A9">
            <w:pPr>
              <w:spacing w:before="60" w:after="60" w:line="240" w:lineRule="atLeast"/>
              <w:ind w:left="0" w:firstLine="0"/>
              <w:jc w:val="left"/>
              <w:rPr>
                <w:noProof/>
                <w:sz w:val="18"/>
                <w:szCs w:val="18"/>
              </w:rPr>
            </w:pPr>
            <w:r w:rsidRPr="00C903F8">
              <w:rPr>
                <w:noProof/>
                <w:sz w:val="18"/>
                <w:szCs w:val="18"/>
              </w:rPr>
              <w:t>Random samples</w:t>
            </w:r>
          </w:p>
        </w:tc>
        <w:tc>
          <w:tcPr>
            <w:tcW w:w="936" w:type="dxa"/>
          </w:tcPr>
          <w:p w:rsidR="009C13A9" w:rsidRPr="00C903F8" w:rsidRDefault="009C13A9" w:rsidP="009C13A9">
            <w:pPr>
              <w:spacing w:before="60" w:after="60" w:line="240" w:lineRule="atLeast"/>
              <w:ind w:left="0" w:firstLine="0"/>
              <w:rPr>
                <w:noProof/>
                <w:sz w:val="18"/>
                <w:szCs w:val="18"/>
              </w:rPr>
            </w:pPr>
          </w:p>
        </w:tc>
        <w:tc>
          <w:tcPr>
            <w:tcW w:w="858" w:type="dxa"/>
          </w:tcPr>
          <w:p w:rsidR="009C13A9" w:rsidRPr="00C903F8" w:rsidRDefault="009C13A9" w:rsidP="009C13A9">
            <w:pPr>
              <w:spacing w:before="60" w:after="60" w:line="240" w:lineRule="atLeast"/>
              <w:ind w:left="0" w:firstLine="0"/>
              <w:rPr>
                <w:noProof/>
                <w:sz w:val="18"/>
                <w:szCs w:val="18"/>
              </w:rPr>
            </w:pPr>
          </w:p>
        </w:tc>
        <w:tc>
          <w:tcPr>
            <w:tcW w:w="858" w:type="dxa"/>
          </w:tcPr>
          <w:p w:rsidR="009C13A9" w:rsidRPr="00C903F8" w:rsidRDefault="009C13A9" w:rsidP="009C13A9">
            <w:pPr>
              <w:spacing w:before="60" w:after="60" w:line="240" w:lineRule="atLeast"/>
              <w:ind w:left="0" w:firstLine="0"/>
              <w:rPr>
                <w:noProof/>
                <w:sz w:val="18"/>
                <w:szCs w:val="18"/>
              </w:rPr>
            </w:pPr>
          </w:p>
        </w:tc>
      </w:tr>
      <w:tr w:rsidR="009C13A9" w:rsidRPr="00C903F8" w:rsidTr="00EB3292">
        <w:trPr>
          <w:jc w:val="center"/>
        </w:trPr>
        <w:tc>
          <w:tcPr>
            <w:tcW w:w="1588" w:type="dxa"/>
          </w:tcPr>
          <w:p w:rsidR="009C13A9" w:rsidRPr="00C903F8" w:rsidRDefault="009C13A9" w:rsidP="009C13A9">
            <w:pPr>
              <w:spacing w:before="60" w:after="60" w:line="240" w:lineRule="atLeast"/>
              <w:ind w:left="0" w:firstLine="0"/>
              <w:jc w:val="left"/>
              <w:rPr>
                <w:noProof/>
                <w:sz w:val="18"/>
                <w:szCs w:val="18"/>
              </w:rPr>
            </w:pPr>
            <w:r w:rsidRPr="00C903F8">
              <w:rPr>
                <w:noProof/>
                <w:sz w:val="18"/>
                <w:szCs w:val="18"/>
              </w:rPr>
              <w:t>Elimination efficiency SRF</w:t>
            </w:r>
          </w:p>
        </w:tc>
        <w:tc>
          <w:tcPr>
            <w:tcW w:w="2325" w:type="dxa"/>
          </w:tcPr>
          <w:p w:rsidR="009C13A9" w:rsidRPr="00C903F8" w:rsidRDefault="009C13A9" w:rsidP="009C13A9">
            <w:pPr>
              <w:spacing w:before="60" w:after="60" w:line="240" w:lineRule="atLeast"/>
              <w:ind w:left="0" w:firstLine="0"/>
              <w:jc w:val="left"/>
              <w:rPr>
                <w:noProof/>
                <w:sz w:val="18"/>
                <w:szCs w:val="18"/>
              </w:rPr>
            </w:pPr>
            <w:r w:rsidRPr="00C903F8">
              <w:rPr>
                <w:noProof/>
                <w:sz w:val="18"/>
                <w:szCs w:val="18"/>
              </w:rPr>
              <w:t>24h composite samples</w:t>
            </w:r>
          </w:p>
        </w:tc>
        <w:tc>
          <w:tcPr>
            <w:tcW w:w="936" w:type="dxa"/>
          </w:tcPr>
          <w:p w:rsidR="009C13A9" w:rsidRPr="00C903F8" w:rsidRDefault="009C13A9" w:rsidP="009C13A9">
            <w:pPr>
              <w:spacing w:before="60" w:after="60" w:line="240" w:lineRule="atLeast"/>
              <w:ind w:left="0" w:firstLine="0"/>
              <w:rPr>
                <w:noProof/>
                <w:sz w:val="18"/>
                <w:szCs w:val="18"/>
              </w:rPr>
            </w:pPr>
          </w:p>
        </w:tc>
        <w:tc>
          <w:tcPr>
            <w:tcW w:w="858" w:type="dxa"/>
          </w:tcPr>
          <w:p w:rsidR="009C13A9" w:rsidRPr="00C903F8" w:rsidRDefault="009C13A9" w:rsidP="009C13A9">
            <w:pPr>
              <w:spacing w:before="60" w:after="60" w:line="240" w:lineRule="atLeast"/>
              <w:ind w:left="0" w:firstLine="0"/>
              <w:rPr>
                <w:noProof/>
                <w:sz w:val="18"/>
                <w:szCs w:val="18"/>
              </w:rPr>
            </w:pPr>
          </w:p>
        </w:tc>
        <w:tc>
          <w:tcPr>
            <w:tcW w:w="858" w:type="dxa"/>
          </w:tcPr>
          <w:p w:rsidR="009C13A9" w:rsidRPr="00C903F8" w:rsidRDefault="009C13A9" w:rsidP="009C13A9">
            <w:pPr>
              <w:spacing w:before="60" w:after="60" w:line="240" w:lineRule="atLeast"/>
              <w:ind w:left="0" w:firstLine="0"/>
              <w:rPr>
                <w:noProof/>
                <w:sz w:val="18"/>
                <w:szCs w:val="18"/>
              </w:rPr>
            </w:pPr>
          </w:p>
        </w:tc>
      </w:tr>
      <w:tr w:rsidR="009C13A9" w:rsidRPr="00C903F8" w:rsidTr="00EB3292">
        <w:trPr>
          <w:jc w:val="center"/>
        </w:trPr>
        <w:tc>
          <w:tcPr>
            <w:tcW w:w="1588" w:type="dxa"/>
          </w:tcPr>
          <w:p w:rsidR="009C13A9" w:rsidRPr="00C903F8" w:rsidRDefault="009C13A9" w:rsidP="009C13A9">
            <w:pPr>
              <w:spacing w:before="60" w:after="60" w:line="240" w:lineRule="atLeast"/>
              <w:ind w:left="0" w:firstLine="0"/>
              <w:jc w:val="left"/>
              <w:rPr>
                <w:noProof/>
                <w:sz w:val="18"/>
                <w:szCs w:val="18"/>
              </w:rPr>
            </w:pPr>
            <w:r w:rsidRPr="00C903F8">
              <w:rPr>
                <w:noProof/>
                <w:sz w:val="18"/>
                <w:szCs w:val="18"/>
              </w:rPr>
              <w:t>Elimination efficiency SRF</w:t>
            </w:r>
          </w:p>
        </w:tc>
        <w:tc>
          <w:tcPr>
            <w:tcW w:w="2325" w:type="dxa"/>
          </w:tcPr>
          <w:p w:rsidR="009C13A9" w:rsidRPr="00C903F8" w:rsidRDefault="009C13A9" w:rsidP="009C13A9">
            <w:pPr>
              <w:spacing w:before="60" w:after="60" w:line="240" w:lineRule="atLeast"/>
              <w:ind w:left="0" w:firstLine="0"/>
              <w:jc w:val="left"/>
              <w:rPr>
                <w:noProof/>
                <w:sz w:val="18"/>
                <w:szCs w:val="18"/>
              </w:rPr>
            </w:pPr>
            <w:r w:rsidRPr="00C903F8">
              <w:rPr>
                <w:noProof/>
                <w:sz w:val="18"/>
                <w:szCs w:val="18"/>
              </w:rPr>
              <w:t>Random samples</w:t>
            </w:r>
          </w:p>
        </w:tc>
        <w:tc>
          <w:tcPr>
            <w:tcW w:w="936" w:type="dxa"/>
          </w:tcPr>
          <w:p w:rsidR="009C13A9" w:rsidRPr="00C903F8" w:rsidRDefault="009C13A9" w:rsidP="009C13A9">
            <w:pPr>
              <w:spacing w:before="60" w:after="60" w:line="240" w:lineRule="atLeast"/>
              <w:ind w:left="0" w:firstLine="0"/>
              <w:rPr>
                <w:noProof/>
                <w:sz w:val="18"/>
                <w:szCs w:val="18"/>
              </w:rPr>
            </w:pPr>
          </w:p>
        </w:tc>
        <w:tc>
          <w:tcPr>
            <w:tcW w:w="858" w:type="dxa"/>
          </w:tcPr>
          <w:p w:rsidR="009C13A9" w:rsidRPr="00C903F8" w:rsidRDefault="009C13A9" w:rsidP="009C13A9">
            <w:pPr>
              <w:spacing w:before="60" w:after="60" w:line="240" w:lineRule="atLeast"/>
              <w:ind w:left="0" w:firstLine="0"/>
              <w:rPr>
                <w:noProof/>
                <w:sz w:val="18"/>
                <w:szCs w:val="18"/>
              </w:rPr>
            </w:pPr>
          </w:p>
        </w:tc>
        <w:tc>
          <w:tcPr>
            <w:tcW w:w="858" w:type="dxa"/>
          </w:tcPr>
          <w:p w:rsidR="009C13A9" w:rsidRPr="00C903F8" w:rsidRDefault="009C13A9" w:rsidP="009C13A9">
            <w:pPr>
              <w:spacing w:before="60" w:after="60" w:line="240" w:lineRule="atLeast"/>
              <w:ind w:left="0" w:firstLine="0"/>
              <w:rPr>
                <w:noProof/>
                <w:sz w:val="18"/>
                <w:szCs w:val="18"/>
              </w:rPr>
            </w:pPr>
          </w:p>
        </w:tc>
      </w:tr>
    </w:tbl>
    <w:p w:rsidR="009C13A9" w:rsidRPr="00C903F8" w:rsidRDefault="009C13A9" w:rsidP="009C13A9">
      <w:pPr>
        <w:spacing w:line="240" w:lineRule="atLeast"/>
        <w:ind w:left="426" w:firstLine="0"/>
        <w:rPr>
          <w:noProof/>
          <w:lang w:eastAsia="nl-NL"/>
        </w:rPr>
      </w:pPr>
    </w:p>
    <w:p w:rsidR="009C13A9" w:rsidRPr="00C903F8" w:rsidRDefault="009C13A9" w:rsidP="009C13A9">
      <w:pPr>
        <w:spacing w:line="240" w:lineRule="atLeast"/>
        <w:ind w:left="426" w:firstLine="0"/>
        <w:rPr>
          <w:noProof/>
          <w:lang w:val="en-US" w:eastAsia="en-GB"/>
        </w:rPr>
      </w:pPr>
      <w:r w:rsidRPr="00C903F8">
        <w:rPr>
          <w:noProof/>
          <w:lang w:val="en-US" w:eastAsia="en-GB"/>
        </w:rPr>
        <w:t xml:space="preserve">The remaining parameters in accordance with 3.3(b) to (d) and the operating parameters in accordance with 3.3 shall be summarised in a table specifying the minimum sample result (Min), the maximum sample result (Max) and the arithmetical mean (Mean). </w:t>
      </w:r>
    </w:p>
    <w:p w:rsidR="009C13A9" w:rsidRPr="00C903F8" w:rsidRDefault="009C13A9" w:rsidP="009C13A9">
      <w:pPr>
        <w:spacing w:line="240" w:lineRule="atLeast"/>
        <w:ind w:left="426" w:firstLine="0"/>
        <w:rPr>
          <w:noProof/>
          <w:lang w:val="en-US" w:eastAsia="en-GB"/>
        </w:rPr>
      </w:pP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t>3.5</w:t>
      </w:r>
      <w:r w:rsidRPr="00C903F8">
        <w:rPr>
          <w:rFonts w:cs="Arial"/>
          <w:noProof/>
          <w:color w:val="000000"/>
          <w:lang w:val="en-US" w:eastAsia="en-GB"/>
        </w:rPr>
        <w:tab/>
        <w:t xml:space="preserve">Compliance with the requirements of Chapter 18 </w:t>
      </w:r>
    </w:p>
    <w:p w:rsidR="009C13A9" w:rsidRPr="00C903F8" w:rsidRDefault="009C13A9" w:rsidP="009C13A9">
      <w:pPr>
        <w:spacing w:line="240" w:lineRule="atLeast"/>
        <w:rPr>
          <w:rFonts w:cs="Arial"/>
          <w:noProof/>
          <w:color w:val="000000"/>
          <w:lang w:val="en-US" w:eastAsia="en-GB"/>
        </w:rPr>
      </w:pPr>
    </w:p>
    <w:p w:rsidR="009C13A9" w:rsidRPr="00C903F8" w:rsidRDefault="009C13A9" w:rsidP="009C13A9">
      <w:pPr>
        <w:spacing w:line="240" w:lineRule="atLeast"/>
        <w:ind w:left="426" w:firstLine="0"/>
        <w:rPr>
          <w:noProof/>
          <w:lang w:val="en-US" w:eastAsia="en-GB"/>
        </w:rPr>
      </w:pPr>
      <w:r w:rsidRPr="00C903F8">
        <w:rPr>
          <w:noProof/>
          <w:lang w:val="en-US" w:eastAsia="en-GB"/>
        </w:rPr>
        <w:t xml:space="preserve">The limit values in accordance with Article 18.01(2) Tables 1 and 2 shall be deemed to be upheld, when each value for the parameters COD, </w:t>
      </w:r>
      <m:oMath>
        <m:sSub>
          <m:sSubPr>
            <m:ctrlPr>
              <w:rPr>
                <w:rFonts w:ascii="Cambria Math" w:hAnsi="Cambria Math"/>
                <w:i/>
                <w:noProof/>
                <w:lang w:val="en-US" w:eastAsia="nl-NL"/>
              </w:rPr>
            </m:ctrlPr>
          </m:sSubPr>
          <m:e>
            <m:r>
              <w:rPr>
                <w:rFonts w:ascii="Cambria Math" w:hAnsi="Cambria Math"/>
                <w:noProof/>
                <w:lang w:val="en-US" w:eastAsia="nl-NL"/>
              </w:rPr>
              <m:t>BOD</m:t>
            </m:r>
          </m:e>
          <m:sub>
            <m:r>
              <w:rPr>
                <w:rFonts w:ascii="Cambria Math" w:hAnsi="Cambria Math"/>
                <w:noProof/>
                <w:lang w:val="en-US" w:eastAsia="nl-NL"/>
              </w:rPr>
              <m:t>5</m:t>
            </m:r>
          </m:sub>
        </m:sSub>
      </m:oMath>
      <w:r w:rsidR="00EB3292" w:rsidRPr="00C903F8">
        <w:rPr>
          <w:noProof/>
          <w:lang w:val="en-US" w:eastAsia="nl-NL"/>
        </w:rPr>
        <w:t xml:space="preserve"> </w:t>
      </w:r>
      <w:r w:rsidRPr="00C903F8">
        <w:rPr>
          <w:noProof/>
          <w:lang w:val="en-US" w:eastAsia="en-GB"/>
        </w:rPr>
        <w:t>and TOC:</w:t>
      </w:r>
    </w:p>
    <w:p w:rsidR="009C13A9" w:rsidRPr="00C903F8" w:rsidRDefault="005C7859" w:rsidP="009C13A9">
      <w:pPr>
        <w:spacing w:before="60" w:line="240" w:lineRule="atLeast"/>
        <w:ind w:left="851"/>
        <w:rPr>
          <w:rFonts w:cs="Arial"/>
          <w:noProof/>
          <w:szCs w:val="22"/>
          <w:lang w:val="en-US" w:eastAsia="zh-CN"/>
        </w:rPr>
      </w:pPr>
      <w:r w:rsidRPr="00C903F8">
        <w:rPr>
          <w:rFonts w:cs="Arial"/>
          <w:noProof/>
          <w:szCs w:val="22"/>
          <w:lang w:val="en-US" w:eastAsia="zh-CN"/>
        </w:rPr>
        <w:t>a)</w:t>
      </w:r>
      <w:r w:rsidR="009C13A9" w:rsidRPr="00C903F8">
        <w:rPr>
          <w:rFonts w:cs="Arial"/>
          <w:noProof/>
          <w:szCs w:val="22"/>
          <w:lang w:val="en-US" w:eastAsia="zh-CN"/>
        </w:rPr>
        <w:tab/>
        <w:t xml:space="preserve">the mean values of the total of 14 outflow samples, and </w:t>
      </w:r>
    </w:p>
    <w:p w:rsidR="009C13A9" w:rsidRPr="00C903F8" w:rsidRDefault="005C7859" w:rsidP="009C13A9">
      <w:pPr>
        <w:spacing w:before="60" w:line="240" w:lineRule="atLeast"/>
        <w:ind w:left="851"/>
        <w:rPr>
          <w:rFonts w:cs="Arial"/>
          <w:noProof/>
          <w:szCs w:val="22"/>
          <w:lang w:val="en-US" w:eastAsia="zh-CN"/>
        </w:rPr>
      </w:pPr>
      <w:r w:rsidRPr="00C903F8">
        <w:rPr>
          <w:rFonts w:cs="Arial"/>
          <w:noProof/>
          <w:szCs w:val="22"/>
          <w:lang w:val="en-US" w:eastAsia="zh-CN"/>
        </w:rPr>
        <w:t>b)</w:t>
      </w:r>
      <w:r w:rsidR="009C13A9" w:rsidRPr="00C903F8">
        <w:rPr>
          <w:rFonts w:cs="Arial"/>
          <w:noProof/>
          <w:szCs w:val="22"/>
          <w:lang w:val="en-US" w:eastAsia="zh-CN"/>
        </w:rPr>
        <w:tab/>
        <w:t>at least 10 of the total of 14 outflow samples do not exceed the specified limit values for 24h composite samples and random samples.</w:t>
      </w:r>
    </w:p>
    <w:p w:rsidR="009C13A9" w:rsidRPr="00C903F8" w:rsidRDefault="009C13A9" w:rsidP="009C13A9">
      <w:pPr>
        <w:spacing w:line="240" w:lineRule="atLeast"/>
        <w:ind w:left="426" w:firstLine="0"/>
        <w:rPr>
          <w:noProof/>
          <w:lang w:val="en-US" w:eastAsia="en-GB"/>
        </w:rPr>
      </w:pP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t>3.6</w:t>
      </w:r>
      <w:r w:rsidRPr="00C903F8">
        <w:rPr>
          <w:rFonts w:cs="Arial"/>
          <w:noProof/>
          <w:color w:val="000000"/>
          <w:lang w:val="en-US" w:eastAsia="en-GB"/>
        </w:rPr>
        <w:tab/>
        <w:t xml:space="preserve">Operation and maintenance during testing </w:t>
      </w:r>
    </w:p>
    <w:p w:rsidR="009C13A9" w:rsidRPr="00C903F8" w:rsidRDefault="009C13A9" w:rsidP="009C13A9">
      <w:pPr>
        <w:spacing w:line="240" w:lineRule="atLeast"/>
        <w:ind w:left="426" w:firstLine="0"/>
        <w:rPr>
          <w:noProof/>
          <w:lang w:val="en-US" w:eastAsia="en-GB"/>
        </w:rPr>
      </w:pPr>
    </w:p>
    <w:p w:rsidR="009C13A9" w:rsidRPr="00C903F8" w:rsidRDefault="009C13A9" w:rsidP="009C13A9">
      <w:pPr>
        <w:spacing w:line="240" w:lineRule="atLeast"/>
        <w:ind w:left="426" w:firstLine="0"/>
        <w:rPr>
          <w:noProof/>
          <w:lang w:val="en-US" w:eastAsia="en-GB"/>
        </w:rPr>
      </w:pPr>
      <w:r w:rsidRPr="00C903F8">
        <w:rPr>
          <w:noProof/>
          <w:lang w:val="en-US" w:eastAsia="en-GB"/>
        </w:rPr>
        <w:t xml:space="preserve">Throughout the testing the test plant shall be operated in accordance with the manufacturer’s specifications. Routine checks and maintenance work shall be carried out in compliance with the manufacturer’s operation and maintenance instructions. The excess sludge generated by the biological purification process may only be removed from the on-board sewage treatment plant if this is specified by the manufacturer in their operation and maintenance instructions. All maintenance work carried out shall be recorded by the technical service and documented in the test report. During the test no unauthorised persons may have access to the test plant. </w:t>
      </w:r>
    </w:p>
    <w:p w:rsidR="009C13A9" w:rsidRPr="00C903F8" w:rsidRDefault="009C13A9" w:rsidP="009C13A9">
      <w:pPr>
        <w:spacing w:line="240" w:lineRule="atLeast"/>
        <w:ind w:left="426" w:firstLine="0"/>
        <w:rPr>
          <w:noProof/>
          <w:lang w:val="en-US" w:eastAsia="en-GB"/>
        </w:rPr>
      </w:pPr>
    </w:p>
    <w:p w:rsidR="009C13A9" w:rsidRPr="00C903F8" w:rsidRDefault="009C13A9" w:rsidP="009C13A9">
      <w:pPr>
        <w:spacing w:line="240" w:lineRule="atLeast"/>
        <w:ind w:left="426" w:firstLine="0"/>
        <w:rPr>
          <w:noProof/>
          <w:lang w:val="en-US" w:eastAsia="en-GB"/>
        </w:rPr>
      </w:pPr>
      <w:r w:rsidRPr="00C903F8">
        <w:rPr>
          <w:noProof/>
          <w:lang w:val="en-US" w:eastAsia="en-GB"/>
        </w:rPr>
        <w:br w:type="page"/>
      </w: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lastRenderedPageBreak/>
        <w:t>3.7</w:t>
      </w:r>
      <w:r w:rsidRPr="00C903F8">
        <w:rPr>
          <w:rFonts w:cs="Arial"/>
          <w:noProof/>
          <w:color w:val="000000"/>
          <w:lang w:val="en-US" w:eastAsia="en-GB"/>
        </w:rPr>
        <w:tab/>
        <w:t>Sample analysis / analysis method</w:t>
      </w:r>
    </w:p>
    <w:p w:rsidR="009C13A9" w:rsidRPr="00C903F8" w:rsidRDefault="009C13A9" w:rsidP="009C13A9">
      <w:pPr>
        <w:spacing w:line="240" w:lineRule="atLeast"/>
        <w:ind w:left="426" w:firstLine="0"/>
        <w:rPr>
          <w:noProof/>
          <w:lang w:val="en-US" w:eastAsia="en-GB"/>
        </w:rPr>
      </w:pPr>
    </w:p>
    <w:p w:rsidR="009C13A9" w:rsidRPr="00C903F8" w:rsidRDefault="009C13A9" w:rsidP="009C13A9">
      <w:pPr>
        <w:spacing w:line="240" w:lineRule="atLeast"/>
        <w:ind w:left="426" w:firstLine="0"/>
        <w:rPr>
          <w:noProof/>
          <w:lang w:val="en-US" w:eastAsia="en-GB"/>
        </w:rPr>
      </w:pPr>
      <w:r w:rsidRPr="00C903F8">
        <w:rPr>
          <w:noProof/>
          <w:lang w:val="en-US" w:eastAsia="en-GB"/>
        </w:rPr>
        <w:t>The parameters to be studied shall be analysed using approved standard procedures. The standard procedure applied shall be specified.</w:t>
      </w:r>
    </w:p>
    <w:p w:rsidR="009C13A9" w:rsidRPr="00C903F8" w:rsidRDefault="009C13A9" w:rsidP="009C13A9">
      <w:pPr>
        <w:spacing w:line="240" w:lineRule="atLeast"/>
        <w:ind w:left="426" w:firstLine="0"/>
        <w:rPr>
          <w:noProof/>
          <w:lang w:val="en-US" w:eastAsia="en-GB"/>
        </w:rPr>
      </w:pPr>
    </w:p>
    <w:p w:rsidR="009C13A9" w:rsidRPr="001E2A58" w:rsidRDefault="009C13A9" w:rsidP="009C13A9">
      <w:pPr>
        <w:spacing w:line="240" w:lineRule="atLeast"/>
        <w:rPr>
          <w:rFonts w:cs="Arial"/>
          <w:b/>
          <w:noProof/>
          <w:color w:val="000000"/>
          <w:lang w:val="en-US" w:eastAsia="en-GB"/>
        </w:rPr>
      </w:pPr>
      <w:r w:rsidRPr="001E2A58">
        <w:rPr>
          <w:rFonts w:cs="Arial"/>
          <w:b/>
          <w:noProof/>
          <w:color w:val="000000"/>
          <w:lang w:val="en-US" w:eastAsia="en-GB"/>
        </w:rPr>
        <w:t>4</w:t>
      </w:r>
      <w:r w:rsidRPr="001E2A58">
        <w:rPr>
          <w:rFonts w:cs="Arial"/>
          <w:b/>
          <w:noProof/>
          <w:color w:val="000000"/>
          <w:lang w:val="en-US" w:eastAsia="en-GB"/>
        </w:rPr>
        <w:tab/>
        <w:t>Test report</w:t>
      </w:r>
    </w:p>
    <w:p w:rsidR="009C13A9" w:rsidRPr="00C903F8" w:rsidRDefault="009C13A9" w:rsidP="009C13A9">
      <w:pPr>
        <w:spacing w:line="240" w:lineRule="atLeast"/>
        <w:rPr>
          <w:rFonts w:cs="Arial"/>
          <w:noProof/>
          <w:color w:val="000000"/>
          <w:lang w:val="en-US" w:eastAsia="en-GB"/>
        </w:rPr>
      </w:pPr>
    </w:p>
    <w:p w:rsidR="009C13A9" w:rsidRPr="00C903F8" w:rsidRDefault="009C13A9" w:rsidP="009C13A9">
      <w:pPr>
        <w:spacing w:line="240" w:lineRule="atLeast"/>
        <w:rPr>
          <w:rFonts w:cs="Arial"/>
          <w:noProof/>
          <w:color w:val="000000"/>
          <w:lang w:val="en-US" w:eastAsia="en-GB"/>
        </w:rPr>
      </w:pPr>
      <w:r w:rsidRPr="00C903F8">
        <w:rPr>
          <w:rFonts w:cs="Arial"/>
          <w:noProof/>
          <w:color w:val="000000"/>
          <w:lang w:val="en-US" w:eastAsia="en-GB"/>
        </w:rPr>
        <w:t>4.1</w:t>
      </w:r>
      <w:r w:rsidRPr="00C903F8">
        <w:rPr>
          <w:rFonts w:cs="Arial"/>
          <w:noProof/>
          <w:color w:val="000000"/>
          <w:lang w:val="en-US" w:eastAsia="en-GB"/>
        </w:rPr>
        <w:tab/>
        <w:t>The technical service is required to compile a report on the type test carried out. The report shall include at least the following information:</w:t>
      </w:r>
    </w:p>
    <w:p w:rsidR="009C13A9" w:rsidRPr="00C903F8" w:rsidRDefault="005C7859" w:rsidP="009C13A9">
      <w:pPr>
        <w:spacing w:before="60" w:line="240" w:lineRule="atLeast"/>
        <w:ind w:left="851"/>
        <w:rPr>
          <w:rFonts w:cs="Arial"/>
          <w:noProof/>
          <w:szCs w:val="22"/>
          <w:lang w:val="en-US" w:eastAsia="zh-CN"/>
        </w:rPr>
      </w:pPr>
      <w:r w:rsidRPr="00C903F8">
        <w:rPr>
          <w:rFonts w:cs="Arial"/>
          <w:noProof/>
          <w:szCs w:val="22"/>
          <w:lang w:val="en-US" w:eastAsia="zh-CN"/>
        </w:rPr>
        <w:t>a)</w:t>
      </w:r>
      <w:r w:rsidR="009C13A9" w:rsidRPr="00C903F8">
        <w:rPr>
          <w:rFonts w:cs="Arial"/>
          <w:noProof/>
          <w:szCs w:val="22"/>
          <w:lang w:val="en-US" w:eastAsia="zh-CN"/>
        </w:rPr>
        <w:tab/>
        <w:t>details on the plant tested, such as its type, information on the nominal daily pollutant load and the dimensioning principles applied by the manufacturer;</w:t>
      </w:r>
    </w:p>
    <w:p w:rsidR="009C13A9" w:rsidRPr="00C903F8" w:rsidRDefault="005C7859" w:rsidP="009C13A9">
      <w:pPr>
        <w:spacing w:before="60" w:line="240" w:lineRule="atLeast"/>
        <w:ind w:left="851"/>
        <w:rPr>
          <w:rFonts w:cs="Arial"/>
          <w:noProof/>
          <w:szCs w:val="22"/>
          <w:lang w:val="en-US" w:eastAsia="zh-CN"/>
        </w:rPr>
      </w:pPr>
      <w:r w:rsidRPr="00C903F8">
        <w:rPr>
          <w:rFonts w:cs="Arial"/>
          <w:noProof/>
          <w:szCs w:val="22"/>
          <w:lang w:val="en-US" w:eastAsia="zh-CN"/>
        </w:rPr>
        <w:t>b)</w:t>
      </w:r>
      <w:r w:rsidR="009C13A9" w:rsidRPr="00C903F8">
        <w:rPr>
          <w:rFonts w:cs="Arial"/>
          <w:noProof/>
          <w:szCs w:val="22"/>
          <w:lang w:val="en-US" w:eastAsia="zh-CN"/>
        </w:rPr>
        <w:tab/>
        <w:t>information on the conformity of the on-board sewage treatment plant tested with the documentation provided before the testing;</w:t>
      </w:r>
    </w:p>
    <w:p w:rsidR="009C13A9" w:rsidRPr="00C903F8" w:rsidRDefault="005C7859" w:rsidP="009C13A9">
      <w:pPr>
        <w:spacing w:before="60" w:line="240" w:lineRule="atLeast"/>
        <w:ind w:left="851"/>
        <w:rPr>
          <w:rFonts w:cs="Arial"/>
          <w:noProof/>
          <w:szCs w:val="22"/>
          <w:lang w:val="en-US" w:eastAsia="zh-CN"/>
        </w:rPr>
      </w:pPr>
      <w:r w:rsidRPr="00C903F8">
        <w:rPr>
          <w:rFonts w:cs="Arial"/>
          <w:noProof/>
          <w:szCs w:val="22"/>
          <w:lang w:val="en-US" w:eastAsia="zh-CN"/>
        </w:rPr>
        <w:t>c)</w:t>
      </w:r>
      <w:r w:rsidR="009C13A9" w:rsidRPr="00C903F8">
        <w:rPr>
          <w:rFonts w:cs="Arial"/>
          <w:noProof/>
          <w:szCs w:val="22"/>
          <w:lang w:val="en-US" w:eastAsia="zh-CN"/>
        </w:rPr>
        <w:tab/>
        <w:t>information on individual measurement results, as well as on the evaluation of the plant’s purification efficiency and compliance with the required outflow limit values;</w:t>
      </w:r>
    </w:p>
    <w:p w:rsidR="009C13A9" w:rsidRPr="00C903F8" w:rsidRDefault="0029453D" w:rsidP="009C13A9">
      <w:pPr>
        <w:spacing w:before="60" w:line="240" w:lineRule="atLeast"/>
        <w:ind w:left="851"/>
        <w:rPr>
          <w:rFonts w:cs="Arial"/>
          <w:noProof/>
          <w:szCs w:val="22"/>
          <w:lang w:val="en-US" w:eastAsia="zh-CN"/>
        </w:rPr>
      </w:pPr>
      <w:r w:rsidRPr="00C903F8">
        <w:rPr>
          <w:rFonts w:cs="Arial"/>
          <w:noProof/>
          <w:szCs w:val="22"/>
          <w:lang w:val="en-US" w:eastAsia="zh-CN"/>
        </w:rPr>
        <w:t>d)</w:t>
      </w:r>
      <w:r w:rsidR="009C13A9" w:rsidRPr="00C903F8">
        <w:rPr>
          <w:rFonts w:cs="Arial"/>
          <w:noProof/>
          <w:szCs w:val="22"/>
          <w:lang w:val="en-US" w:eastAsia="zh-CN"/>
        </w:rPr>
        <w:tab/>
        <w:t>details on the removal of excess sludge, such as the size of the volumes removed and the frequency of removal;</w:t>
      </w:r>
    </w:p>
    <w:p w:rsidR="009C13A9" w:rsidRPr="00C903F8" w:rsidRDefault="0029453D" w:rsidP="009C13A9">
      <w:pPr>
        <w:spacing w:before="60" w:line="240" w:lineRule="atLeast"/>
        <w:ind w:left="851"/>
        <w:rPr>
          <w:rFonts w:cs="Arial"/>
          <w:noProof/>
          <w:szCs w:val="22"/>
          <w:lang w:val="en-US" w:eastAsia="zh-CN"/>
        </w:rPr>
      </w:pPr>
      <w:r w:rsidRPr="00C903F8">
        <w:rPr>
          <w:rFonts w:cs="Arial"/>
          <w:noProof/>
          <w:szCs w:val="22"/>
          <w:lang w:val="en-US" w:eastAsia="zh-CN"/>
        </w:rPr>
        <w:t>e)</w:t>
      </w:r>
      <w:r w:rsidR="009C13A9" w:rsidRPr="00C903F8">
        <w:rPr>
          <w:rFonts w:cs="Arial"/>
          <w:noProof/>
          <w:szCs w:val="22"/>
          <w:lang w:val="en-US" w:eastAsia="zh-CN"/>
        </w:rPr>
        <w:tab/>
        <w:t>information on all operation, maintenance and repair work carried out during testing;</w:t>
      </w:r>
    </w:p>
    <w:p w:rsidR="009C13A9" w:rsidRPr="00C903F8" w:rsidRDefault="0029453D" w:rsidP="009C13A9">
      <w:pPr>
        <w:spacing w:before="60" w:line="240" w:lineRule="atLeast"/>
        <w:ind w:left="851"/>
        <w:rPr>
          <w:rFonts w:cs="Arial"/>
          <w:noProof/>
          <w:szCs w:val="22"/>
          <w:lang w:val="en-US" w:eastAsia="zh-CN"/>
        </w:rPr>
      </w:pPr>
      <w:r w:rsidRPr="00C903F8">
        <w:rPr>
          <w:rFonts w:cs="Arial"/>
          <w:noProof/>
          <w:szCs w:val="22"/>
          <w:lang w:val="en-US" w:eastAsia="zh-CN"/>
        </w:rPr>
        <w:t>f)</w:t>
      </w:r>
      <w:r w:rsidR="009C13A9" w:rsidRPr="00C903F8">
        <w:rPr>
          <w:rFonts w:cs="Arial"/>
          <w:noProof/>
          <w:szCs w:val="22"/>
          <w:lang w:val="en-US" w:eastAsia="zh-CN"/>
        </w:rPr>
        <w:tab/>
        <w:t>information on any deterioration in the quality of the on-board sewage treatment plant occurring during testing as well as any interruptions of testing;</w:t>
      </w:r>
    </w:p>
    <w:p w:rsidR="009C13A9" w:rsidRPr="00C903F8" w:rsidRDefault="0029453D" w:rsidP="009C13A9">
      <w:pPr>
        <w:spacing w:before="60" w:line="240" w:lineRule="atLeast"/>
        <w:ind w:left="851"/>
        <w:rPr>
          <w:rFonts w:cs="Arial"/>
          <w:noProof/>
          <w:szCs w:val="22"/>
          <w:lang w:val="en-US" w:eastAsia="zh-CN"/>
        </w:rPr>
      </w:pPr>
      <w:r w:rsidRPr="00C903F8">
        <w:rPr>
          <w:rFonts w:cs="Arial"/>
          <w:noProof/>
          <w:szCs w:val="22"/>
          <w:lang w:val="en-US" w:eastAsia="zh-CN"/>
        </w:rPr>
        <w:t>g)</w:t>
      </w:r>
      <w:r w:rsidR="009C13A9" w:rsidRPr="00C903F8">
        <w:rPr>
          <w:rFonts w:cs="Arial"/>
          <w:noProof/>
          <w:szCs w:val="22"/>
          <w:lang w:val="en-US" w:eastAsia="zh-CN"/>
        </w:rPr>
        <w:tab/>
        <w:t>information on any problems arising during testing;</w:t>
      </w:r>
    </w:p>
    <w:p w:rsidR="009C13A9" w:rsidRPr="00C903F8" w:rsidRDefault="0029453D" w:rsidP="009C13A9">
      <w:pPr>
        <w:spacing w:before="60" w:line="240" w:lineRule="atLeast"/>
        <w:ind w:left="851"/>
        <w:rPr>
          <w:rFonts w:cs="Arial"/>
          <w:noProof/>
          <w:szCs w:val="22"/>
          <w:lang w:val="en-US" w:eastAsia="zh-CN"/>
        </w:rPr>
      </w:pPr>
      <w:r w:rsidRPr="00C903F8">
        <w:rPr>
          <w:rFonts w:cs="Arial"/>
          <w:noProof/>
          <w:szCs w:val="22"/>
          <w:lang w:val="en-US" w:eastAsia="zh-CN"/>
        </w:rPr>
        <w:t>h)</w:t>
      </w:r>
      <w:r w:rsidR="009C13A9" w:rsidRPr="00C903F8">
        <w:rPr>
          <w:rFonts w:cs="Arial"/>
          <w:noProof/>
          <w:szCs w:val="22"/>
          <w:lang w:val="en-US" w:eastAsia="zh-CN"/>
        </w:rPr>
        <w:tab/>
        <w:t>a list of responsible persons involved in the type testing of the on-board sewage treatment plant, giving their names and job titles;</w:t>
      </w:r>
    </w:p>
    <w:p w:rsidR="009C13A9" w:rsidRPr="00C903F8" w:rsidRDefault="0029453D" w:rsidP="009C13A9">
      <w:pPr>
        <w:spacing w:before="60" w:line="240" w:lineRule="atLeast"/>
        <w:ind w:left="851"/>
        <w:rPr>
          <w:rFonts w:cs="Arial"/>
          <w:noProof/>
          <w:szCs w:val="22"/>
          <w:lang w:val="en-US" w:eastAsia="zh-CN"/>
        </w:rPr>
      </w:pPr>
      <w:r w:rsidRPr="00C903F8">
        <w:rPr>
          <w:rFonts w:cs="Arial"/>
          <w:noProof/>
          <w:szCs w:val="22"/>
          <w:lang w:val="en-US" w:eastAsia="zh-CN"/>
        </w:rPr>
        <w:t>i)</w:t>
      </w:r>
      <w:r w:rsidR="009C13A9" w:rsidRPr="00C903F8">
        <w:rPr>
          <w:rFonts w:cs="Arial"/>
          <w:noProof/>
          <w:szCs w:val="22"/>
          <w:lang w:val="en-US" w:eastAsia="zh-CN"/>
        </w:rPr>
        <w:tab/>
        <w:t>name and address of the laboratory which carried out the analysis of the waste water samples;</w:t>
      </w:r>
    </w:p>
    <w:p w:rsidR="009C13A9" w:rsidRPr="00C903F8" w:rsidRDefault="0029453D" w:rsidP="009C13A9">
      <w:pPr>
        <w:spacing w:before="60" w:line="240" w:lineRule="atLeast"/>
        <w:ind w:left="851"/>
        <w:rPr>
          <w:rFonts w:cs="Arial"/>
          <w:noProof/>
          <w:szCs w:val="22"/>
          <w:lang w:val="en-US" w:eastAsia="zh-CN"/>
        </w:rPr>
      </w:pPr>
      <w:r w:rsidRPr="00C903F8">
        <w:rPr>
          <w:rFonts w:cs="Arial"/>
          <w:noProof/>
          <w:szCs w:val="22"/>
          <w:lang w:val="en-US" w:eastAsia="zh-CN"/>
        </w:rPr>
        <w:t>j)</w:t>
      </w:r>
      <w:r w:rsidR="009C13A9" w:rsidRPr="00C903F8">
        <w:rPr>
          <w:rFonts w:cs="Arial"/>
          <w:noProof/>
          <w:szCs w:val="22"/>
          <w:lang w:val="en-US" w:eastAsia="zh-CN"/>
        </w:rPr>
        <w:tab/>
        <w:t>analysis methods applied.</w:t>
      </w:r>
    </w:p>
    <w:p w:rsidR="009C13A9" w:rsidRPr="00C903F8" w:rsidRDefault="009C13A9" w:rsidP="009C13A9">
      <w:pPr>
        <w:spacing w:before="60" w:line="240" w:lineRule="atLeast"/>
        <w:ind w:left="851"/>
        <w:rPr>
          <w:rFonts w:cs="Arial"/>
          <w:noProof/>
          <w:szCs w:val="20"/>
          <w:lang w:val="en-US" w:eastAsia="ar-SA"/>
        </w:rPr>
      </w:pPr>
    </w:p>
    <w:p w:rsidR="009C13A9" w:rsidRPr="00C903F8" w:rsidRDefault="009C13A9" w:rsidP="009C13A9">
      <w:pPr>
        <w:tabs>
          <w:tab w:val="left" w:pos="1021"/>
          <w:tab w:val="center" w:pos="8080"/>
        </w:tabs>
        <w:suppressAutoHyphens/>
        <w:autoSpaceDE/>
        <w:autoSpaceDN/>
        <w:spacing w:line="240" w:lineRule="atLeast"/>
        <w:ind w:left="0" w:firstLine="0"/>
        <w:rPr>
          <w:rFonts w:cs="Arial"/>
          <w:szCs w:val="20"/>
          <w:lang w:val="en-US" w:eastAsia="ar-SA"/>
        </w:rPr>
      </w:pPr>
      <w:r w:rsidRPr="00C903F8">
        <w:rPr>
          <w:rFonts w:cs="Arial"/>
          <w:szCs w:val="20"/>
          <w:lang w:val="en-US" w:eastAsia="ar-SA"/>
        </w:rPr>
        <w:br w:type="page"/>
      </w:r>
    </w:p>
    <w:p w:rsidR="009C13A9" w:rsidRPr="00C903F8" w:rsidRDefault="009C13A9" w:rsidP="009C13A9">
      <w:pPr>
        <w:suppressAutoHyphens/>
        <w:autoSpaceDE/>
        <w:autoSpaceDN/>
        <w:spacing w:line="240" w:lineRule="atLeast"/>
        <w:ind w:left="0" w:firstLine="0"/>
        <w:jc w:val="center"/>
        <w:rPr>
          <w:rFonts w:cs="Arial"/>
          <w:b/>
          <w:szCs w:val="22"/>
          <w:lang w:val="en-US" w:eastAsia="ar-SA"/>
        </w:rPr>
      </w:pPr>
      <w:r w:rsidRPr="00C903F8">
        <w:rPr>
          <w:rFonts w:cs="Arial"/>
          <w:b/>
          <w:szCs w:val="22"/>
          <w:lang w:val="en-US" w:eastAsia="ar-SA"/>
        </w:rPr>
        <w:lastRenderedPageBreak/>
        <w:t>Appendix 1</w:t>
      </w:r>
    </w:p>
    <w:p w:rsidR="009C13A9" w:rsidRPr="00C903F8" w:rsidRDefault="009C13A9" w:rsidP="009C13A9">
      <w:pPr>
        <w:tabs>
          <w:tab w:val="left" w:pos="1021"/>
          <w:tab w:val="center" w:pos="8080"/>
        </w:tabs>
        <w:suppressAutoHyphens/>
        <w:autoSpaceDE/>
        <w:autoSpaceDN/>
        <w:spacing w:line="240" w:lineRule="atLeast"/>
        <w:ind w:left="0" w:firstLine="0"/>
        <w:jc w:val="center"/>
        <w:rPr>
          <w:rFonts w:cs="Arial"/>
          <w:b/>
          <w:lang w:val="en-US" w:eastAsia="ar-SA"/>
        </w:rPr>
      </w:pPr>
      <w:r w:rsidRPr="00C903F8">
        <w:rPr>
          <w:rFonts w:cs="Arial"/>
          <w:b/>
          <w:lang w:val="en-US" w:eastAsia="ar-SA"/>
        </w:rPr>
        <w:t>Examples of test sequences</w:t>
      </w:r>
    </w:p>
    <w:p w:rsidR="009C13A9" w:rsidRPr="00C903F8" w:rsidRDefault="009C13A9" w:rsidP="009C13A9">
      <w:pPr>
        <w:tabs>
          <w:tab w:val="left" w:pos="1021"/>
          <w:tab w:val="center" w:pos="8080"/>
        </w:tabs>
        <w:suppressAutoHyphens/>
        <w:autoSpaceDE/>
        <w:autoSpaceDN/>
        <w:spacing w:line="240" w:lineRule="atLeast"/>
        <w:ind w:left="0" w:firstLine="0"/>
        <w:jc w:val="left"/>
        <w:rPr>
          <w:rFonts w:cs="Arial"/>
          <w:b/>
          <w:sz w:val="22"/>
          <w:lang w:val="en-US" w:eastAsia="ar-SA"/>
        </w:rPr>
      </w:pPr>
    </w:p>
    <w:p w:rsidR="009C13A9" w:rsidRPr="00C903F8" w:rsidRDefault="002C0BA5" w:rsidP="009C13A9">
      <w:pPr>
        <w:tabs>
          <w:tab w:val="left" w:leader="dot" w:pos="9072"/>
        </w:tabs>
        <w:spacing w:line="240" w:lineRule="atLeast"/>
        <w:ind w:left="0" w:firstLine="0"/>
        <w:rPr>
          <w:rFonts w:cs="Arial"/>
          <w:sz w:val="22"/>
          <w:lang w:val="en-US" w:eastAsia="ar-SA"/>
        </w:rPr>
      </w:pPr>
      <w:r>
        <w:rPr>
          <w:rFonts w:cs="Arial"/>
          <w:b/>
          <w:noProof/>
        </w:rPr>
        <mc:AlternateContent>
          <mc:Choice Requires="wps">
            <w:drawing>
              <wp:anchor distT="0" distB="0" distL="114300" distR="114300" simplePos="0" relativeHeight="251676672" behindDoc="0" locked="0" layoutInCell="1" allowOverlap="1" wp14:anchorId="502060B2" wp14:editId="052A6D2D">
                <wp:simplePos x="0" y="0"/>
                <wp:positionH relativeFrom="column">
                  <wp:posOffset>1606550</wp:posOffset>
                </wp:positionH>
                <wp:positionV relativeFrom="paragraph">
                  <wp:posOffset>574675</wp:posOffset>
                </wp:positionV>
                <wp:extent cx="386715" cy="349250"/>
                <wp:effectExtent l="0" t="0" r="0" b="0"/>
                <wp:wrapNone/>
                <wp:docPr id="2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9250"/>
                        </a:xfrm>
                        <a:prstGeom prst="rect">
                          <a:avLst/>
                        </a:prstGeom>
                        <a:solidFill>
                          <a:srgbClr val="37EB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FA5168" w:rsidRDefault="00C60AC1" w:rsidP="00716DF3">
                            <w:pPr>
                              <w:ind w:left="0" w:firstLine="0"/>
                              <w:jc w:val="center"/>
                              <w:rPr>
                                <w:sz w:val="16"/>
                              </w:rPr>
                            </w:pPr>
                            <w:r>
                              <w:rPr>
                                <w:sz w:val="16"/>
                              </w:rPr>
                              <w:t>Over-</w:t>
                            </w:r>
                            <w:r>
                              <w:rPr>
                                <w:sz w:val="16"/>
                              </w:rPr>
                              <w:br/>
                            </w:r>
                            <w:r w:rsidRPr="00FA5168">
                              <w:rPr>
                                <w:sz w:val="16"/>
                              </w:rPr>
                              <w:t>load</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2060B2" id="Text Box 273" o:spid="_x0000_s1029" type="#_x0000_t202" style="position:absolute;left:0;text-align:left;margin-left:126.5pt;margin-top:45.25pt;width:30.45pt;height: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" fillcolor="#37eb29" stroked="f">
                <v:textbox inset="0,1mm,0,0">
                  <w:txbxContent>
                    <w:p w:rsidR="00C60AC1" w:rsidRPr="00FA5168" w:rsidRDefault="00C60AC1" w:rsidP="00716DF3">
                      <w:pPr>
                        <w:ind w:left="0" w:firstLine="0"/>
                        <w:jc w:val="center"/>
                        <w:rPr>
                          <w:sz w:val="16"/>
                        </w:rPr>
                      </w:pPr>
                      <w:r>
                        <w:rPr>
                          <w:sz w:val="16"/>
                        </w:rPr>
                        <w:t>Over-</w:t>
                      </w:r>
                      <w:r>
                        <w:rPr>
                          <w:sz w:val="16"/>
                        </w:rPr>
                        <w:br/>
                      </w:r>
                      <w:proofErr w:type="spellStart"/>
                      <w:r w:rsidRPr="00FA5168">
                        <w:rPr>
                          <w:sz w:val="16"/>
                        </w:rPr>
                        <w:t>load</w:t>
                      </w:r>
                      <w:proofErr w:type="spellEnd"/>
                    </w:p>
                  </w:txbxContent>
                </v:textbox>
              </v:shape>
            </w:pict>
          </mc:Fallback>
        </mc:AlternateContent>
      </w:r>
      <w:r>
        <w:rPr>
          <w:rFonts w:cs="Arial"/>
          <w:b/>
          <w:noProof/>
          <w:sz w:val="22"/>
        </w:rPr>
        <mc:AlternateContent>
          <mc:Choice Requires="wps">
            <w:drawing>
              <wp:anchor distT="0" distB="0" distL="114300" distR="114300" simplePos="0" relativeHeight="251677696" behindDoc="0" locked="0" layoutInCell="1" allowOverlap="1" wp14:anchorId="47AB0906" wp14:editId="0786156F">
                <wp:simplePos x="0" y="0"/>
                <wp:positionH relativeFrom="column">
                  <wp:posOffset>2813685</wp:posOffset>
                </wp:positionH>
                <wp:positionV relativeFrom="paragraph">
                  <wp:posOffset>573405</wp:posOffset>
                </wp:positionV>
                <wp:extent cx="386715" cy="349250"/>
                <wp:effectExtent l="0" t="0" r="0" b="0"/>
                <wp:wrapNone/>
                <wp:docPr id="2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9250"/>
                        </a:xfrm>
                        <a:prstGeom prst="rect">
                          <a:avLst/>
                        </a:prstGeom>
                        <a:solidFill>
                          <a:srgbClr val="37EB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FA5168" w:rsidRDefault="00C60AC1" w:rsidP="00716DF3">
                            <w:pPr>
                              <w:ind w:left="0" w:firstLine="0"/>
                              <w:jc w:val="center"/>
                              <w:rPr>
                                <w:sz w:val="16"/>
                              </w:rPr>
                            </w:pPr>
                            <w:r>
                              <w:rPr>
                                <w:sz w:val="16"/>
                              </w:rPr>
                              <w:t>Under-</w:t>
                            </w:r>
                            <w:r>
                              <w:rPr>
                                <w:sz w:val="16"/>
                              </w:rPr>
                              <w:br/>
                            </w:r>
                            <w:r w:rsidRPr="00FA5168">
                              <w:rPr>
                                <w:sz w:val="16"/>
                              </w:rPr>
                              <w:t>load</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B0906" id="Text Box 274" o:spid="_x0000_s1030" type="#_x0000_t202" style="position:absolute;left:0;text-align:left;margin-left:221.55pt;margin-top:45.15pt;width:30.45pt;height: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" fillcolor="#37eb29" stroked="f">
                <v:textbox inset="0,1mm,0,0">
                  <w:txbxContent>
                    <w:p w:rsidR="00C60AC1" w:rsidRPr="00FA5168" w:rsidRDefault="00C60AC1" w:rsidP="00716DF3">
                      <w:pPr>
                        <w:ind w:left="0" w:firstLine="0"/>
                        <w:jc w:val="center"/>
                        <w:rPr>
                          <w:sz w:val="16"/>
                        </w:rPr>
                      </w:pPr>
                      <w:r>
                        <w:rPr>
                          <w:sz w:val="16"/>
                        </w:rPr>
                        <w:t>Under-</w:t>
                      </w:r>
                      <w:r>
                        <w:rPr>
                          <w:sz w:val="16"/>
                        </w:rPr>
                        <w:br/>
                      </w:r>
                      <w:proofErr w:type="spellStart"/>
                      <w:r w:rsidRPr="00FA5168">
                        <w:rPr>
                          <w:sz w:val="16"/>
                        </w:rPr>
                        <w:t>load</w:t>
                      </w:r>
                      <w:proofErr w:type="spellEnd"/>
                    </w:p>
                  </w:txbxContent>
                </v:textbox>
              </v:shape>
            </w:pict>
          </mc:Fallback>
        </mc:AlternateContent>
      </w:r>
      <w:r>
        <w:rPr>
          <w:rFonts w:cs="Arial"/>
          <w:b/>
          <w:noProof/>
        </w:rPr>
        <mc:AlternateContent>
          <mc:Choice Requires="wps">
            <w:drawing>
              <wp:anchor distT="0" distB="0" distL="114300" distR="114300" simplePos="0" relativeHeight="251675648" behindDoc="0" locked="0" layoutInCell="1" allowOverlap="1" wp14:anchorId="3DF0E62B" wp14:editId="5DBAC4DA">
                <wp:simplePos x="0" y="0"/>
                <wp:positionH relativeFrom="column">
                  <wp:posOffset>213995</wp:posOffset>
                </wp:positionH>
                <wp:positionV relativeFrom="paragraph">
                  <wp:posOffset>813435</wp:posOffset>
                </wp:positionV>
                <wp:extent cx="300355" cy="2115820"/>
                <wp:effectExtent l="0" t="0" r="4445" b="0"/>
                <wp:wrapNone/>
                <wp:docPr id="3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115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F9734D" w:rsidRDefault="00C60AC1" w:rsidP="00F9734D">
                            <w:pPr>
                              <w:ind w:left="0" w:firstLine="0"/>
                              <w:jc w:val="center"/>
                              <w:rPr>
                                <w:b/>
                                <w:color w:val="0070C0"/>
                                <w:sz w:val="22"/>
                              </w:rPr>
                            </w:pPr>
                            <w:r w:rsidRPr="00F9734D">
                              <w:rPr>
                                <w:b/>
                                <w:color w:val="0070C0"/>
                                <w:sz w:val="22"/>
                              </w:rPr>
                              <w:t>Hydraulic load Q</w:t>
                            </w:r>
                            <w:r w:rsidRPr="00F9734D">
                              <w:rPr>
                                <w:b/>
                                <w:color w:val="0070C0"/>
                                <w:sz w:val="22"/>
                                <w:vertAlign w:val="subscript"/>
                              </w:rPr>
                              <w:t>d</w:t>
                            </w:r>
                            <w:r w:rsidRPr="00F9734D">
                              <w:rPr>
                                <w:b/>
                                <w:color w:val="0070C0"/>
                                <w:sz w:val="22"/>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0E62B" id="Text Box 266" o:spid="_x0000_s1031" type="#_x0000_t202" style="position:absolute;left:0;text-align:left;margin-left:16.85pt;margin-top:64.05pt;width:23.65pt;height:16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" stroked="f">
                <v:textbox style="layout-flow:vertical;mso-layout-flow-alt:bottom-to-top" inset="0,0,0,0">
                  <w:txbxContent>
                    <w:p w:rsidR="00C60AC1" w:rsidRPr="00F9734D" w:rsidRDefault="00C60AC1" w:rsidP="00F9734D">
                      <w:pPr>
                        <w:ind w:left="0" w:firstLine="0"/>
                        <w:jc w:val="center"/>
                        <w:rPr>
                          <w:b/>
                          <w:color w:val="0070C0"/>
                          <w:sz w:val="22"/>
                        </w:rPr>
                      </w:pPr>
                      <w:proofErr w:type="spellStart"/>
                      <w:r w:rsidRPr="00F9734D">
                        <w:rPr>
                          <w:b/>
                          <w:color w:val="0070C0"/>
                          <w:sz w:val="22"/>
                        </w:rPr>
                        <w:t>Hydraulic</w:t>
                      </w:r>
                      <w:proofErr w:type="spellEnd"/>
                      <w:r w:rsidRPr="00F9734D">
                        <w:rPr>
                          <w:b/>
                          <w:color w:val="0070C0"/>
                          <w:sz w:val="22"/>
                        </w:rPr>
                        <w:t xml:space="preserve"> </w:t>
                      </w:r>
                      <w:proofErr w:type="spellStart"/>
                      <w:r w:rsidRPr="00F9734D">
                        <w:rPr>
                          <w:b/>
                          <w:color w:val="0070C0"/>
                          <w:sz w:val="22"/>
                        </w:rPr>
                        <w:t>load</w:t>
                      </w:r>
                      <w:proofErr w:type="spellEnd"/>
                      <w:r w:rsidRPr="00F9734D">
                        <w:rPr>
                          <w:b/>
                          <w:color w:val="0070C0"/>
                          <w:sz w:val="22"/>
                        </w:rPr>
                        <w:t xml:space="preserve"> Q</w:t>
                      </w:r>
                      <w:r w:rsidRPr="00F9734D">
                        <w:rPr>
                          <w:b/>
                          <w:color w:val="0070C0"/>
                          <w:sz w:val="22"/>
                          <w:vertAlign w:val="subscript"/>
                        </w:rPr>
                        <w:t>d</w:t>
                      </w:r>
                      <w:r w:rsidRPr="00F9734D">
                        <w:rPr>
                          <w:b/>
                          <w:color w:val="0070C0"/>
                          <w:sz w:val="22"/>
                        </w:rPr>
                        <w:t xml:space="preserve"> [%]</w:t>
                      </w:r>
                    </w:p>
                  </w:txbxContent>
                </v:textbox>
              </v:shape>
            </w:pict>
          </mc:Fallback>
        </mc:AlternateContent>
      </w:r>
      <w:r>
        <w:rPr>
          <w:rFonts w:cs="Arial"/>
          <w:b/>
          <w:noProof/>
        </w:rPr>
        <mc:AlternateContent>
          <mc:Choice Requires="wps">
            <w:drawing>
              <wp:anchor distT="0" distB="0" distL="114300" distR="114300" simplePos="0" relativeHeight="251674624" behindDoc="0" locked="0" layoutInCell="1" allowOverlap="1" wp14:anchorId="611ED91A" wp14:editId="777BA896">
                <wp:simplePos x="0" y="0"/>
                <wp:positionH relativeFrom="column">
                  <wp:posOffset>4683760</wp:posOffset>
                </wp:positionH>
                <wp:positionV relativeFrom="paragraph">
                  <wp:posOffset>569595</wp:posOffset>
                </wp:positionV>
                <wp:extent cx="539115" cy="349250"/>
                <wp:effectExtent l="0" t="0" r="0" b="0"/>
                <wp:wrapNone/>
                <wp:docPr id="38"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FA5168" w:rsidRDefault="00C60AC1" w:rsidP="00F9734D">
                            <w:pPr>
                              <w:ind w:left="0" w:firstLine="0"/>
                              <w:jc w:val="center"/>
                              <w:rPr>
                                <w:sz w:val="16"/>
                              </w:rPr>
                            </w:pPr>
                            <w:r w:rsidRPr="00FA5168">
                              <w:rPr>
                                <w:sz w:val="16"/>
                              </w:rPr>
                              <w:t xml:space="preserve">Normal </w:t>
                            </w:r>
                            <w:r>
                              <w:rPr>
                                <w:sz w:val="16"/>
                              </w:rPr>
                              <w:br/>
                            </w:r>
                            <w:r w:rsidRPr="00FA5168">
                              <w:rPr>
                                <w:sz w:val="16"/>
                              </w:rPr>
                              <w:t>load</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1ED91A" id="Text Box 265" o:spid="_x0000_s1032" type="#_x0000_t202" style="position:absolute;left:0;text-align:left;margin-left:368.8pt;margin-top:44.85pt;width:42.45pt;height: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" fillcolor="#59bb9a" stroked="f">
                <v:textbox inset="0,1mm,0,0">
                  <w:txbxContent>
                    <w:p w:rsidR="00C60AC1" w:rsidRPr="00FA5168" w:rsidRDefault="00C60AC1" w:rsidP="00F9734D">
                      <w:pPr>
                        <w:ind w:left="0" w:firstLine="0"/>
                        <w:jc w:val="center"/>
                        <w:rPr>
                          <w:sz w:val="16"/>
                        </w:rPr>
                      </w:pPr>
                      <w:r w:rsidRPr="00FA5168">
                        <w:rPr>
                          <w:sz w:val="16"/>
                        </w:rPr>
                        <w:t xml:space="preserve">Normal </w:t>
                      </w:r>
                      <w:r>
                        <w:rPr>
                          <w:sz w:val="16"/>
                        </w:rPr>
                        <w:br/>
                      </w:r>
                      <w:proofErr w:type="spellStart"/>
                      <w:r w:rsidRPr="00FA5168">
                        <w:rPr>
                          <w:sz w:val="16"/>
                        </w:rPr>
                        <w:t>load</w:t>
                      </w:r>
                      <w:proofErr w:type="spellEnd"/>
                    </w:p>
                  </w:txbxContent>
                </v:textbox>
              </v:shape>
            </w:pict>
          </mc:Fallback>
        </mc:AlternateContent>
      </w:r>
      <w:r>
        <w:rPr>
          <w:rFonts w:cs="Arial"/>
          <w:b/>
          <w:noProof/>
        </w:rPr>
        <mc:AlternateContent>
          <mc:Choice Requires="wps">
            <w:drawing>
              <wp:anchor distT="0" distB="0" distL="114300" distR="114300" simplePos="0" relativeHeight="251673600" behindDoc="0" locked="0" layoutInCell="1" allowOverlap="1" wp14:anchorId="5DFF8324" wp14:editId="2E56F7A3">
                <wp:simplePos x="0" y="0"/>
                <wp:positionH relativeFrom="column">
                  <wp:posOffset>3332480</wp:posOffset>
                </wp:positionH>
                <wp:positionV relativeFrom="paragraph">
                  <wp:posOffset>569595</wp:posOffset>
                </wp:positionV>
                <wp:extent cx="539115" cy="349250"/>
                <wp:effectExtent l="0" t="0" r="0" b="0"/>
                <wp:wrapNone/>
                <wp:docPr id="4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FA5168" w:rsidRDefault="00C60AC1" w:rsidP="00F9734D">
                            <w:pPr>
                              <w:ind w:left="0" w:firstLine="0"/>
                              <w:jc w:val="center"/>
                              <w:rPr>
                                <w:sz w:val="16"/>
                              </w:rPr>
                            </w:pPr>
                            <w:r w:rsidRPr="00FA5168">
                              <w:rPr>
                                <w:sz w:val="16"/>
                              </w:rPr>
                              <w:t xml:space="preserve">Normal </w:t>
                            </w:r>
                            <w:r>
                              <w:rPr>
                                <w:sz w:val="16"/>
                              </w:rPr>
                              <w:br/>
                            </w:r>
                            <w:r w:rsidRPr="00FA5168">
                              <w:rPr>
                                <w:sz w:val="16"/>
                              </w:rPr>
                              <w:t>load</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F8324" id="Text Box 264" o:spid="_x0000_s1033" type="#_x0000_t202" style="position:absolute;left:0;text-align:left;margin-left:262.4pt;margin-top:44.85pt;width:42.45pt;height: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" fillcolor="#59bb9a" stroked="f">
                <v:textbox inset="0,1mm,0,0">
                  <w:txbxContent>
                    <w:p w:rsidR="00C60AC1" w:rsidRPr="00FA5168" w:rsidRDefault="00C60AC1" w:rsidP="00F9734D">
                      <w:pPr>
                        <w:ind w:left="0" w:firstLine="0"/>
                        <w:jc w:val="center"/>
                        <w:rPr>
                          <w:sz w:val="16"/>
                        </w:rPr>
                      </w:pPr>
                      <w:r w:rsidRPr="00FA5168">
                        <w:rPr>
                          <w:sz w:val="16"/>
                        </w:rPr>
                        <w:t xml:space="preserve">Normal </w:t>
                      </w:r>
                      <w:r>
                        <w:rPr>
                          <w:sz w:val="16"/>
                        </w:rPr>
                        <w:br/>
                      </w:r>
                      <w:proofErr w:type="spellStart"/>
                      <w:r w:rsidRPr="00FA5168">
                        <w:rPr>
                          <w:sz w:val="16"/>
                        </w:rPr>
                        <w:t>load</w:t>
                      </w:r>
                      <w:proofErr w:type="spellEnd"/>
                    </w:p>
                  </w:txbxContent>
                </v:textbox>
              </v:shape>
            </w:pict>
          </mc:Fallback>
        </mc:AlternateContent>
      </w:r>
      <w:r>
        <w:rPr>
          <w:rFonts w:cs="Arial"/>
          <w:noProof/>
          <w:szCs w:val="20"/>
        </w:rPr>
        <mc:AlternateContent>
          <mc:Choice Requires="wps">
            <w:drawing>
              <wp:anchor distT="0" distB="0" distL="114300" distR="114300" simplePos="0" relativeHeight="251672576" behindDoc="0" locked="0" layoutInCell="1" allowOverlap="1" wp14:anchorId="5966EFD8" wp14:editId="5D0C242F">
                <wp:simplePos x="0" y="0"/>
                <wp:positionH relativeFrom="column">
                  <wp:posOffset>2131695</wp:posOffset>
                </wp:positionH>
                <wp:positionV relativeFrom="paragraph">
                  <wp:posOffset>569595</wp:posOffset>
                </wp:positionV>
                <wp:extent cx="539115" cy="349250"/>
                <wp:effectExtent l="0" t="0" r="0" b="0"/>
                <wp:wrapNone/>
                <wp:docPr id="4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FA5168" w:rsidRDefault="00C60AC1" w:rsidP="00F9734D">
                            <w:pPr>
                              <w:ind w:left="0" w:firstLine="0"/>
                              <w:jc w:val="center"/>
                              <w:rPr>
                                <w:sz w:val="16"/>
                              </w:rPr>
                            </w:pPr>
                            <w:r w:rsidRPr="00FA5168">
                              <w:rPr>
                                <w:sz w:val="16"/>
                              </w:rPr>
                              <w:t xml:space="preserve">Normal </w:t>
                            </w:r>
                            <w:r>
                              <w:rPr>
                                <w:sz w:val="16"/>
                              </w:rPr>
                              <w:br/>
                            </w:r>
                            <w:r w:rsidRPr="00FA5168">
                              <w:rPr>
                                <w:sz w:val="16"/>
                              </w:rPr>
                              <w:t>load</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66EFD8" id="Text Box 263" o:spid="_x0000_s1034" type="#_x0000_t202" style="position:absolute;left:0;text-align:left;margin-left:167.85pt;margin-top:44.85pt;width:42.45pt;height: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" fillcolor="#59bb9a" stroked="f">
                <v:textbox inset="0,1mm,0,0">
                  <w:txbxContent>
                    <w:p w:rsidR="00C60AC1" w:rsidRPr="00FA5168" w:rsidRDefault="00C60AC1" w:rsidP="00F9734D">
                      <w:pPr>
                        <w:ind w:left="0" w:firstLine="0"/>
                        <w:jc w:val="center"/>
                        <w:rPr>
                          <w:sz w:val="16"/>
                        </w:rPr>
                      </w:pPr>
                      <w:r w:rsidRPr="00FA5168">
                        <w:rPr>
                          <w:sz w:val="16"/>
                        </w:rPr>
                        <w:t xml:space="preserve">Normal </w:t>
                      </w:r>
                      <w:r>
                        <w:rPr>
                          <w:sz w:val="16"/>
                        </w:rPr>
                        <w:br/>
                      </w:r>
                      <w:proofErr w:type="spellStart"/>
                      <w:r w:rsidRPr="00FA5168">
                        <w:rPr>
                          <w:sz w:val="16"/>
                        </w:rPr>
                        <w:t>load</w:t>
                      </w:r>
                      <w:proofErr w:type="spellEnd"/>
                    </w:p>
                  </w:txbxContent>
                </v:textbox>
              </v:shape>
            </w:pict>
          </mc:Fallback>
        </mc:AlternateContent>
      </w:r>
      <w:r>
        <w:rPr>
          <w:rFonts w:cs="Arial"/>
          <w:noProof/>
          <w:szCs w:val="20"/>
        </w:rPr>
        <mc:AlternateContent>
          <mc:Choice Requires="wps">
            <w:drawing>
              <wp:anchor distT="0" distB="0" distL="114300" distR="114300" simplePos="0" relativeHeight="251671552" behindDoc="0" locked="0" layoutInCell="1" allowOverlap="1" wp14:anchorId="35D4FC70" wp14:editId="46E5149A">
                <wp:simplePos x="0" y="0"/>
                <wp:positionH relativeFrom="column">
                  <wp:posOffset>928370</wp:posOffset>
                </wp:positionH>
                <wp:positionV relativeFrom="paragraph">
                  <wp:posOffset>569595</wp:posOffset>
                </wp:positionV>
                <wp:extent cx="539115" cy="349250"/>
                <wp:effectExtent l="0" t="0" r="0" b="0"/>
                <wp:wrapNone/>
                <wp:docPr id="4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FA5168" w:rsidRDefault="00C60AC1" w:rsidP="00FA5168">
                            <w:pPr>
                              <w:ind w:left="0" w:firstLine="0"/>
                              <w:jc w:val="center"/>
                              <w:rPr>
                                <w:sz w:val="16"/>
                              </w:rPr>
                            </w:pPr>
                            <w:r w:rsidRPr="00FA5168">
                              <w:rPr>
                                <w:sz w:val="16"/>
                              </w:rPr>
                              <w:t xml:space="preserve">Normal </w:t>
                            </w:r>
                            <w:r>
                              <w:rPr>
                                <w:sz w:val="16"/>
                              </w:rPr>
                              <w:br/>
                            </w:r>
                            <w:r w:rsidRPr="00FA5168">
                              <w:rPr>
                                <w:sz w:val="16"/>
                              </w:rPr>
                              <w:t>load</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4FC70" id="Text Box 262" o:spid="_x0000_s1035" type="#_x0000_t202" style="position:absolute;left:0;text-align:left;margin-left:73.1pt;margin-top:44.85pt;width:42.45pt;height: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" fillcolor="#59bb9a" stroked="f">
                <v:textbox inset="0,1mm,0,0">
                  <w:txbxContent>
                    <w:p w:rsidR="00C60AC1" w:rsidRPr="00FA5168" w:rsidRDefault="00C60AC1" w:rsidP="00FA5168">
                      <w:pPr>
                        <w:ind w:left="0" w:firstLine="0"/>
                        <w:jc w:val="center"/>
                        <w:rPr>
                          <w:sz w:val="16"/>
                        </w:rPr>
                      </w:pPr>
                      <w:r w:rsidRPr="00FA5168">
                        <w:rPr>
                          <w:sz w:val="16"/>
                        </w:rPr>
                        <w:t xml:space="preserve">Normal </w:t>
                      </w:r>
                      <w:r>
                        <w:rPr>
                          <w:sz w:val="16"/>
                        </w:rPr>
                        <w:br/>
                      </w:r>
                      <w:proofErr w:type="spellStart"/>
                      <w:r w:rsidRPr="00FA5168">
                        <w:rPr>
                          <w:sz w:val="16"/>
                        </w:rPr>
                        <w:t>load</w:t>
                      </w:r>
                      <w:proofErr w:type="spellEnd"/>
                    </w:p>
                  </w:txbxContent>
                </v:textbox>
              </v:shape>
            </w:pict>
          </mc:Fallback>
        </mc:AlternateContent>
      </w:r>
      <w:r w:rsidR="00E43E4C" w:rsidRPr="00C903F8">
        <w:rPr>
          <w:rFonts w:cs="Arial"/>
          <w:noProof/>
          <w:sz w:val="22"/>
        </w:rPr>
        <w:drawing>
          <wp:anchor distT="0" distB="0" distL="0" distR="0" simplePos="0" relativeHeight="251670528" behindDoc="0" locked="0" layoutInCell="1" allowOverlap="1" wp14:anchorId="5D542F76" wp14:editId="01ADA1B4">
            <wp:simplePos x="0" y="0"/>
            <wp:positionH relativeFrom="column">
              <wp:posOffset>9525</wp:posOffset>
            </wp:positionH>
            <wp:positionV relativeFrom="paragraph">
              <wp:posOffset>177165</wp:posOffset>
            </wp:positionV>
            <wp:extent cx="5732780" cy="3655695"/>
            <wp:effectExtent l="0" t="0" r="1270" b="1905"/>
            <wp:wrapTopAndBottom/>
            <wp:docPr id="4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98">
                      <a:extLst>
                        <a:ext uri="{28A0092B-C50C-407E-A947-70E740481C1C}">
                          <a14:useLocalDpi xmlns:a14="http://schemas.microsoft.com/office/drawing/2010/main" val="0"/>
                        </a:ext>
                      </a:extLst>
                    </a:blip>
                    <a:srcRect t="4826" b="4826"/>
                    <a:stretch>
                      <a:fillRect/>
                    </a:stretch>
                  </pic:blipFill>
                  <pic:spPr bwMode="auto">
                    <a:xfrm>
                      <a:off x="0" y="0"/>
                      <a:ext cx="5732780" cy="3655695"/>
                    </a:xfrm>
                    <a:prstGeom prst="rect">
                      <a:avLst/>
                    </a:prstGeom>
                    <a:solidFill>
                      <a:srgbClr val="FFFFFF"/>
                    </a:solidFill>
                    <a:ln>
                      <a:noFill/>
                    </a:ln>
                  </pic:spPr>
                </pic:pic>
              </a:graphicData>
            </a:graphic>
          </wp:anchor>
        </w:drawing>
      </w:r>
      <w:r w:rsidR="00E43E4C" w:rsidRPr="00C903F8">
        <w:rPr>
          <w:rFonts w:cs="Arial"/>
          <w:lang w:val="en-US" w:eastAsia="ar-SA"/>
        </w:rPr>
        <w:t xml:space="preserve">Example </w:t>
      </w:r>
      <w:r w:rsidR="009C13A9" w:rsidRPr="00C903F8">
        <w:rPr>
          <w:rFonts w:cs="Arial"/>
          <w:lang w:val="en-US" w:eastAsia="ar-SA"/>
        </w:rPr>
        <w:t>1</w:t>
      </w:r>
    </w:p>
    <w:p w:rsidR="009C13A9" w:rsidRPr="00C903F8" w:rsidRDefault="002C0BA5" w:rsidP="009C13A9">
      <w:pPr>
        <w:tabs>
          <w:tab w:val="left" w:leader="dot" w:pos="9072"/>
        </w:tabs>
        <w:spacing w:line="240" w:lineRule="atLeast"/>
        <w:ind w:left="0" w:firstLine="0"/>
        <w:rPr>
          <w:rFonts w:cs="Arial"/>
          <w:lang w:val="en-US" w:eastAsia="ar-SA"/>
        </w:rPr>
      </w:pPr>
      <w:r>
        <w:rPr>
          <w:rFonts w:cs="Arial"/>
          <w:b/>
          <w:noProof/>
        </w:rPr>
        <mc:AlternateContent>
          <mc:Choice Requires="wps">
            <w:drawing>
              <wp:anchor distT="0" distB="0" distL="114300" distR="114300" simplePos="0" relativeHeight="251667456" behindDoc="0" locked="0" layoutInCell="1" allowOverlap="1" wp14:anchorId="7D213614" wp14:editId="7E24863D">
                <wp:simplePos x="0" y="0"/>
                <wp:positionH relativeFrom="column">
                  <wp:posOffset>2661285</wp:posOffset>
                </wp:positionH>
                <wp:positionV relativeFrom="paragraph">
                  <wp:posOffset>3399155</wp:posOffset>
                </wp:positionV>
                <wp:extent cx="539115" cy="211455"/>
                <wp:effectExtent l="0" t="0" r="0" b="0"/>
                <wp:wrapNone/>
                <wp:docPr id="2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FA5168" w:rsidRDefault="00C60AC1" w:rsidP="00067BB9">
                            <w:pPr>
                              <w:ind w:left="0" w:firstLine="0"/>
                              <w:jc w:val="center"/>
                              <w:rPr>
                                <w:sz w:val="16"/>
                              </w:rPr>
                            </w:pPr>
                            <w:r>
                              <w:rPr>
                                <w:sz w:val="16"/>
                              </w:rPr>
                              <w:t>Day</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13614" id="Text Box 277" o:spid="_x0000_s1036" type="#_x0000_t202" style="position:absolute;left:0;text-align:left;margin-left:209.55pt;margin-top:267.65pt;width:42.45pt;height:1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" stroked="f">
                <v:textbox inset="0,1mm,0,0">
                  <w:txbxContent>
                    <w:p w:rsidR="00C60AC1" w:rsidRPr="00FA5168" w:rsidRDefault="00C60AC1" w:rsidP="00067BB9">
                      <w:pPr>
                        <w:ind w:left="0" w:firstLine="0"/>
                        <w:jc w:val="center"/>
                        <w:rPr>
                          <w:sz w:val="16"/>
                        </w:rPr>
                      </w:pPr>
                      <w:r>
                        <w:rPr>
                          <w:sz w:val="16"/>
                        </w:rPr>
                        <w:t>Day</w:t>
                      </w:r>
                    </w:p>
                  </w:txbxContent>
                </v:textbox>
              </v:shape>
            </w:pict>
          </mc:Fallback>
        </mc:AlternateContent>
      </w:r>
    </w:p>
    <w:p w:rsidR="009C13A9" w:rsidRPr="00C903F8" w:rsidRDefault="00E43E4C" w:rsidP="009C13A9">
      <w:pPr>
        <w:tabs>
          <w:tab w:val="left" w:leader="dot" w:pos="9072"/>
        </w:tabs>
        <w:spacing w:line="240" w:lineRule="atLeast"/>
        <w:ind w:left="0" w:firstLine="0"/>
        <w:rPr>
          <w:rFonts w:cs="Arial"/>
          <w:sz w:val="22"/>
          <w:lang w:val="en-US" w:eastAsia="ar-SA"/>
        </w:rPr>
      </w:pPr>
      <w:r w:rsidRPr="00C903F8">
        <w:rPr>
          <w:rFonts w:cs="Arial"/>
          <w:noProof/>
          <w:sz w:val="22"/>
        </w:rPr>
        <w:drawing>
          <wp:anchor distT="0" distB="0" distL="0" distR="0" simplePos="0" relativeHeight="251679744" behindDoc="0" locked="0" layoutInCell="1" allowOverlap="1" wp14:anchorId="5A3ED55C" wp14:editId="378C065C">
            <wp:simplePos x="0" y="0"/>
            <wp:positionH relativeFrom="column">
              <wp:posOffset>9525</wp:posOffset>
            </wp:positionH>
            <wp:positionV relativeFrom="paragraph">
              <wp:posOffset>307340</wp:posOffset>
            </wp:positionV>
            <wp:extent cx="5732780" cy="3558540"/>
            <wp:effectExtent l="0" t="0" r="1270" b="3810"/>
            <wp:wrapTopAndBottom/>
            <wp:docPr id="5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2780" cy="3558540"/>
                    </a:xfrm>
                    <a:prstGeom prst="rect">
                      <a:avLst/>
                    </a:prstGeom>
                    <a:solidFill>
                      <a:srgbClr val="FFFFFF"/>
                    </a:solidFill>
                    <a:ln>
                      <a:noFill/>
                    </a:ln>
                  </pic:spPr>
                </pic:pic>
              </a:graphicData>
            </a:graphic>
          </wp:anchor>
        </w:drawing>
      </w:r>
      <w:r w:rsidRPr="00C903F8">
        <w:rPr>
          <w:rFonts w:cs="Arial"/>
          <w:lang w:val="en-US" w:eastAsia="ar-SA"/>
        </w:rPr>
        <w:t xml:space="preserve">Example </w:t>
      </w:r>
      <w:r w:rsidR="009C13A9" w:rsidRPr="00C903F8">
        <w:rPr>
          <w:rFonts w:cs="Arial"/>
          <w:lang w:val="en-US" w:eastAsia="ar-SA"/>
        </w:rPr>
        <w:t>2</w:t>
      </w:r>
    </w:p>
    <w:p w:rsidR="009C13A9" w:rsidRPr="00C903F8" w:rsidRDefault="002C0BA5" w:rsidP="009C13A9">
      <w:pPr>
        <w:spacing w:line="240" w:lineRule="atLeast"/>
        <w:rPr>
          <w:rFonts w:cs="Arial"/>
          <w:color w:val="000000"/>
          <w:lang w:val="en-US" w:eastAsia="ar-SA"/>
        </w:rPr>
      </w:pPr>
      <w:r>
        <w:rPr>
          <w:rFonts w:cs="Arial"/>
          <w:noProof/>
          <w:sz w:val="22"/>
        </w:rPr>
        <mc:AlternateContent>
          <mc:Choice Requires="wps">
            <w:drawing>
              <wp:anchor distT="0" distB="0" distL="114300" distR="114300" simplePos="0" relativeHeight="251668480" behindDoc="0" locked="0" layoutInCell="1" allowOverlap="1" wp14:anchorId="11DCCC65" wp14:editId="5E99F16B">
                <wp:simplePos x="0" y="0"/>
                <wp:positionH relativeFrom="column">
                  <wp:posOffset>2661285</wp:posOffset>
                </wp:positionH>
                <wp:positionV relativeFrom="paragraph">
                  <wp:posOffset>3549650</wp:posOffset>
                </wp:positionV>
                <wp:extent cx="539115" cy="211455"/>
                <wp:effectExtent l="0" t="0" r="0" b="0"/>
                <wp:wrapNone/>
                <wp:docPr id="1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FA5168" w:rsidRDefault="00C60AC1" w:rsidP="00067BB9">
                            <w:pPr>
                              <w:ind w:left="0" w:firstLine="0"/>
                              <w:jc w:val="center"/>
                              <w:rPr>
                                <w:sz w:val="16"/>
                              </w:rPr>
                            </w:pPr>
                            <w:r>
                              <w:rPr>
                                <w:sz w:val="16"/>
                              </w:rPr>
                              <w:t>Day</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CCC65" id="Text Box 278" o:spid="_x0000_s1037" type="#_x0000_t202" style="position:absolute;left:0;text-align:left;margin-left:209.55pt;margin-top:279.5pt;width:42.45pt;height:1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" stroked="f">
                <v:textbox inset="0,1mm,0,0">
                  <w:txbxContent>
                    <w:p w:rsidR="00C60AC1" w:rsidRPr="00FA5168" w:rsidRDefault="00C60AC1" w:rsidP="00067BB9">
                      <w:pPr>
                        <w:ind w:left="0" w:firstLine="0"/>
                        <w:jc w:val="center"/>
                        <w:rPr>
                          <w:sz w:val="16"/>
                        </w:rPr>
                      </w:pPr>
                      <w:r>
                        <w:rPr>
                          <w:sz w:val="16"/>
                        </w:rPr>
                        <w:t>Day</w:t>
                      </w:r>
                    </w:p>
                  </w:txbxContent>
                </v:textbox>
              </v:shape>
            </w:pict>
          </mc:Fallback>
        </mc:AlternateContent>
      </w:r>
      <w:r>
        <w:rPr>
          <w:rFonts w:cs="Arial"/>
          <w:b/>
          <w:noProof/>
          <w:sz w:val="22"/>
        </w:rPr>
        <mc:AlternateContent>
          <mc:Choice Requires="wps">
            <w:drawing>
              <wp:anchor distT="0" distB="0" distL="114300" distR="114300" simplePos="0" relativeHeight="251666432" behindDoc="0" locked="0" layoutInCell="1" allowOverlap="1" wp14:anchorId="52CF6E96" wp14:editId="7AD24CBA">
                <wp:simplePos x="0" y="0"/>
                <wp:positionH relativeFrom="column">
                  <wp:posOffset>2904490</wp:posOffset>
                </wp:positionH>
                <wp:positionV relativeFrom="paragraph">
                  <wp:posOffset>431165</wp:posOffset>
                </wp:positionV>
                <wp:extent cx="386715" cy="349250"/>
                <wp:effectExtent l="0" t="0" r="0" b="0"/>
                <wp:wrapNone/>
                <wp:docPr id="1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9250"/>
                        </a:xfrm>
                        <a:prstGeom prst="rect">
                          <a:avLst/>
                        </a:prstGeom>
                        <a:solidFill>
                          <a:srgbClr val="37EB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FA5168" w:rsidRDefault="00C60AC1" w:rsidP="00716DF3">
                            <w:pPr>
                              <w:ind w:left="0" w:firstLine="0"/>
                              <w:jc w:val="center"/>
                              <w:rPr>
                                <w:sz w:val="16"/>
                              </w:rPr>
                            </w:pPr>
                            <w:r>
                              <w:rPr>
                                <w:sz w:val="16"/>
                              </w:rPr>
                              <w:t>Under-</w:t>
                            </w:r>
                            <w:r>
                              <w:rPr>
                                <w:sz w:val="16"/>
                              </w:rPr>
                              <w:br/>
                            </w:r>
                            <w:r w:rsidRPr="00FA5168">
                              <w:rPr>
                                <w:sz w:val="16"/>
                              </w:rPr>
                              <w:t>load</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F6E96" id="Text Box 276" o:spid="_x0000_s1038" type="#_x0000_t202" style="position:absolute;left:0;text-align:left;margin-left:228.7pt;margin-top:33.95pt;width:30.45pt;height: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" fillcolor="#37eb29" stroked="f">
                <v:textbox inset="0,1mm,0,0">
                  <w:txbxContent>
                    <w:p w:rsidR="00C60AC1" w:rsidRPr="00FA5168" w:rsidRDefault="00C60AC1" w:rsidP="00716DF3">
                      <w:pPr>
                        <w:ind w:left="0" w:firstLine="0"/>
                        <w:jc w:val="center"/>
                        <w:rPr>
                          <w:sz w:val="16"/>
                        </w:rPr>
                      </w:pPr>
                      <w:r>
                        <w:rPr>
                          <w:sz w:val="16"/>
                        </w:rPr>
                        <w:t>Under-</w:t>
                      </w:r>
                      <w:r>
                        <w:rPr>
                          <w:sz w:val="16"/>
                        </w:rPr>
                        <w:br/>
                      </w:r>
                      <w:proofErr w:type="spellStart"/>
                      <w:r w:rsidRPr="00FA5168">
                        <w:rPr>
                          <w:sz w:val="16"/>
                        </w:rPr>
                        <w:t>load</w:t>
                      </w:r>
                      <w:proofErr w:type="spellEnd"/>
                    </w:p>
                  </w:txbxContent>
                </v:textbox>
              </v:shape>
            </w:pict>
          </mc:Fallback>
        </mc:AlternateContent>
      </w:r>
      <w:r>
        <w:rPr>
          <w:rFonts w:cs="Arial"/>
          <w:b/>
          <w:noProof/>
          <w:sz w:val="22"/>
        </w:rPr>
        <mc:AlternateContent>
          <mc:Choice Requires="wps">
            <w:drawing>
              <wp:anchor distT="0" distB="0" distL="114300" distR="114300" simplePos="0" relativeHeight="251665408" behindDoc="0" locked="0" layoutInCell="1" allowOverlap="1" wp14:anchorId="70D66C69" wp14:editId="6D09E743">
                <wp:simplePos x="0" y="0"/>
                <wp:positionH relativeFrom="column">
                  <wp:posOffset>2426970</wp:posOffset>
                </wp:positionH>
                <wp:positionV relativeFrom="paragraph">
                  <wp:posOffset>431165</wp:posOffset>
                </wp:positionV>
                <wp:extent cx="386715" cy="349250"/>
                <wp:effectExtent l="0" t="0" r="0" b="0"/>
                <wp:wrapNone/>
                <wp:docPr id="1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9250"/>
                        </a:xfrm>
                        <a:prstGeom prst="rect">
                          <a:avLst/>
                        </a:prstGeom>
                        <a:solidFill>
                          <a:srgbClr val="37EB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FA5168" w:rsidRDefault="00C60AC1" w:rsidP="00716DF3">
                            <w:pPr>
                              <w:ind w:left="0" w:firstLine="0"/>
                              <w:jc w:val="center"/>
                              <w:rPr>
                                <w:sz w:val="16"/>
                              </w:rPr>
                            </w:pPr>
                            <w:r>
                              <w:rPr>
                                <w:sz w:val="16"/>
                              </w:rPr>
                              <w:t>Over-</w:t>
                            </w:r>
                            <w:r>
                              <w:rPr>
                                <w:sz w:val="16"/>
                              </w:rPr>
                              <w:br/>
                            </w:r>
                            <w:r w:rsidRPr="00FA5168">
                              <w:rPr>
                                <w:sz w:val="16"/>
                              </w:rPr>
                              <w:t>load</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66C69" id="Text Box 275" o:spid="_x0000_s1039" type="#_x0000_t202" style="position:absolute;left:0;text-align:left;margin-left:191.1pt;margin-top:33.95pt;width:30.45pt;height: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" fillcolor="#37eb29" stroked="f">
                <v:textbox inset="0,1mm,0,0">
                  <w:txbxContent>
                    <w:p w:rsidR="00C60AC1" w:rsidRPr="00FA5168" w:rsidRDefault="00C60AC1" w:rsidP="00716DF3">
                      <w:pPr>
                        <w:ind w:left="0" w:firstLine="0"/>
                        <w:jc w:val="center"/>
                        <w:rPr>
                          <w:sz w:val="16"/>
                        </w:rPr>
                      </w:pPr>
                      <w:r>
                        <w:rPr>
                          <w:sz w:val="16"/>
                        </w:rPr>
                        <w:t>Over-</w:t>
                      </w:r>
                      <w:r>
                        <w:rPr>
                          <w:sz w:val="16"/>
                        </w:rPr>
                        <w:br/>
                      </w:r>
                      <w:proofErr w:type="spellStart"/>
                      <w:r w:rsidRPr="00FA5168">
                        <w:rPr>
                          <w:sz w:val="16"/>
                        </w:rPr>
                        <w:t>load</w:t>
                      </w:r>
                      <w:proofErr w:type="spellEnd"/>
                    </w:p>
                  </w:txbxContent>
                </v:textbox>
              </v:shape>
            </w:pict>
          </mc:Fallback>
        </mc:AlternateContent>
      </w:r>
      <w:r>
        <w:rPr>
          <w:rFonts w:cs="Arial"/>
          <w:noProof/>
        </w:rPr>
        <mc:AlternateContent>
          <mc:Choice Requires="wps">
            <w:drawing>
              <wp:anchor distT="0" distB="0" distL="114300" distR="114300" simplePos="0" relativeHeight="251662336" behindDoc="0" locked="0" layoutInCell="1" allowOverlap="1" wp14:anchorId="2FF9DD91" wp14:editId="1FB5D0A1">
                <wp:simplePos x="0" y="0"/>
                <wp:positionH relativeFrom="column">
                  <wp:posOffset>4888230</wp:posOffset>
                </wp:positionH>
                <wp:positionV relativeFrom="paragraph">
                  <wp:posOffset>431165</wp:posOffset>
                </wp:positionV>
                <wp:extent cx="539115" cy="349250"/>
                <wp:effectExtent l="0" t="0" r="0" b="0"/>
                <wp:wrapNone/>
                <wp:docPr id="1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FA5168" w:rsidRDefault="00C60AC1" w:rsidP="00716DF3">
                            <w:pPr>
                              <w:ind w:left="0" w:firstLine="0"/>
                              <w:jc w:val="center"/>
                              <w:rPr>
                                <w:sz w:val="16"/>
                              </w:rPr>
                            </w:pPr>
                            <w:r w:rsidRPr="00FA5168">
                              <w:rPr>
                                <w:sz w:val="16"/>
                              </w:rPr>
                              <w:t xml:space="preserve">Normal </w:t>
                            </w:r>
                            <w:r>
                              <w:rPr>
                                <w:sz w:val="16"/>
                              </w:rPr>
                              <w:br/>
                            </w:r>
                            <w:r w:rsidRPr="00FA5168">
                              <w:rPr>
                                <w:sz w:val="16"/>
                              </w:rPr>
                              <w:t>load</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9DD91" id="Text Box 272" o:spid="_x0000_s1040" type="#_x0000_t202" style="position:absolute;left:0;text-align:left;margin-left:384.9pt;margin-top:33.95pt;width:42.45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" fillcolor="#59bb9a" stroked="f">
                <v:textbox inset="0,1mm,0,0">
                  <w:txbxContent>
                    <w:p w:rsidR="00C60AC1" w:rsidRPr="00FA5168" w:rsidRDefault="00C60AC1" w:rsidP="00716DF3">
                      <w:pPr>
                        <w:ind w:left="0" w:firstLine="0"/>
                        <w:jc w:val="center"/>
                        <w:rPr>
                          <w:sz w:val="16"/>
                        </w:rPr>
                      </w:pPr>
                      <w:r w:rsidRPr="00FA5168">
                        <w:rPr>
                          <w:sz w:val="16"/>
                        </w:rPr>
                        <w:t xml:space="preserve">Normal </w:t>
                      </w:r>
                      <w:r>
                        <w:rPr>
                          <w:sz w:val="16"/>
                        </w:rPr>
                        <w:br/>
                      </w:r>
                      <w:proofErr w:type="spellStart"/>
                      <w:r w:rsidRPr="00FA5168">
                        <w:rPr>
                          <w:sz w:val="16"/>
                        </w:rPr>
                        <w:t>load</w:t>
                      </w:r>
                      <w:proofErr w:type="spellEnd"/>
                    </w:p>
                  </w:txbxContent>
                </v:textbox>
              </v:shape>
            </w:pict>
          </mc:Fallback>
        </mc:AlternateContent>
      </w:r>
      <w:r>
        <w:rPr>
          <w:rFonts w:cs="Arial"/>
          <w:noProof/>
        </w:rPr>
        <mc:AlternateContent>
          <mc:Choice Requires="wps">
            <w:drawing>
              <wp:anchor distT="0" distB="0" distL="114300" distR="114300" simplePos="0" relativeHeight="251661312" behindDoc="0" locked="0" layoutInCell="1" allowOverlap="1" wp14:anchorId="1D1178DF" wp14:editId="4256C852">
                <wp:simplePos x="0" y="0"/>
                <wp:positionH relativeFrom="column">
                  <wp:posOffset>4097020</wp:posOffset>
                </wp:positionH>
                <wp:positionV relativeFrom="paragraph">
                  <wp:posOffset>431165</wp:posOffset>
                </wp:positionV>
                <wp:extent cx="539115" cy="349250"/>
                <wp:effectExtent l="0" t="0" r="0" b="0"/>
                <wp:wrapNone/>
                <wp:docPr id="1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FA5168" w:rsidRDefault="00C60AC1" w:rsidP="00716DF3">
                            <w:pPr>
                              <w:ind w:left="0" w:firstLine="0"/>
                              <w:jc w:val="center"/>
                              <w:rPr>
                                <w:sz w:val="16"/>
                              </w:rPr>
                            </w:pPr>
                            <w:r w:rsidRPr="00FA5168">
                              <w:rPr>
                                <w:sz w:val="16"/>
                              </w:rPr>
                              <w:t xml:space="preserve">Normal </w:t>
                            </w:r>
                            <w:r>
                              <w:rPr>
                                <w:sz w:val="16"/>
                              </w:rPr>
                              <w:br/>
                            </w:r>
                            <w:r w:rsidRPr="00FA5168">
                              <w:rPr>
                                <w:sz w:val="16"/>
                              </w:rPr>
                              <w:t>load</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178DF" id="Text Box 271" o:spid="_x0000_s1041" type="#_x0000_t202" style="position:absolute;left:0;text-align:left;margin-left:322.6pt;margin-top:33.95pt;width:42.45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" fillcolor="#59bb9a" stroked="f">
                <v:textbox inset="0,1mm,0,0">
                  <w:txbxContent>
                    <w:p w:rsidR="00C60AC1" w:rsidRPr="00FA5168" w:rsidRDefault="00C60AC1" w:rsidP="00716DF3">
                      <w:pPr>
                        <w:ind w:left="0" w:firstLine="0"/>
                        <w:jc w:val="center"/>
                        <w:rPr>
                          <w:sz w:val="16"/>
                        </w:rPr>
                      </w:pPr>
                      <w:r w:rsidRPr="00FA5168">
                        <w:rPr>
                          <w:sz w:val="16"/>
                        </w:rPr>
                        <w:t xml:space="preserve">Normal </w:t>
                      </w:r>
                      <w:r>
                        <w:rPr>
                          <w:sz w:val="16"/>
                        </w:rPr>
                        <w:br/>
                      </w:r>
                      <w:proofErr w:type="spellStart"/>
                      <w:r w:rsidRPr="00FA5168">
                        <w:rPr>
                          <w:sz w:val="16"/>
                        </w:rPr>
                        <w:t>load</w:t>
                      </w:r>
                      <w:proofErr w:type="spellEnd"/>
                    </w:p>
                  </w:txbxContent>
                </v:textbox>
              </v:shape>
            </w:pict>
          </mc:Fallback>
        </mc:AlternateContent>
      </w:r>
      <w:r>
        <w:rPr>
          <w:rFonts w:cs="Arial"/>
          <w:noProof/>
        </w:rPr>
        <mc:AlternateContent>
          <mc:Choice Requires="wps">
            <w:drawing>
              <wp:anchor distT="0" distB="0" distL="114300" distR="114300" simplePos="0" relativeHeight="251660288" behindDoc="0" locked="0" layoutInCell="1" allowOverlap="1" wp14:anchorId="164FCC4E" wp14:editId="0E5D9000">
                <wp:simplePos x="0" y="0"/>
                <wp:positionH relativeFrom="column">
                  <wp:posOffset>1722120</wp:posOffset>
                </wp:positionH>
                <wp:positionV relativeFrom="paragraph">
                  <wp:posOffset>431165</wp:posOffset>
                </wp:positionV>
                <wp:extent cx="539115" cy="349250"/>
                <wp:effectExtent l="0" t="0" r="0" b="0"/>
                <wp:wrapNone/>
                <wp:docPr id="1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FA5168" w:rsidRDefault="00C60AC1" w:rsidP="007F3C26">
                            <w:pPr>
                              <w:ind w:left="0" w:firstLine="0"/>
                              <w:jc w:val="center"/>
                              <w:rPr>
                                <w:sz w:val="16"/>
                              </w:rPr>
                            </w:pPr>
                            <w:r w:rsidRPr="00FA5168">
                              <w:rPr>
                                <w:sz w:val="16"/>
                              </w:rPr>
                              <w:t xml:space="preserve">Normal </w:t>
                            </w:r>
                            <w:r>
                              <w:rPr>
                                <w:sz w:val="16"/>
                              </w:rPr>
                              <w:br/>
                            </w:r>
                            <w:r w:rsidRPr="00FA5168">
                              <w:rPr>
                                <w:sz w:val="16"/>
                              </w:rPr>
                              <w:t>load</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FCC4E" id="Text Box 270" o:spid="_x0000_s1042" type="#_x0000_t202" style="position:absolute;left:0;text-align:left;margin-left:135.6pt;margin-top:33.95pt;width:42.45pt;height: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" fillcolor="#59bb9a" stroked="f">
                <v:textbox inset="0,1mm,0,0">
                  <w:txbxContent>
                    <w:p w:rsidR="00C60AC1" w:rsidRPr="00FA5168" w:rsidRDefault="00C60AC1" w:rsidP="007F3C26">
                      <w:pPr>
                        <w:ind w:left="0" w:firstLine="0"/>
                        <w:jc w:val="center"/>
                        <w:rPr>
                          <w:sz w:val="16"/>
                        </w:rPr>
                      </w:pPr>
                      <w:r w:rsidRPr="00FA5168">
                        <w:rPr>
                          <w:sz w:val="16"/>
                        </w:rPr>
                        <w:t xml:space="preserve">Normal </w:t>
                      </w:r>
                      <w:r>
                        <w:rPr>
                          <w:sz w:val="16"/>
                        </w:rPr>
                        <w:br/>
                      </w:r>
                      <w:proofErr w:type="spellStart"/>
                      <w:r w:rsidRPr="00FA5168">
                        <w:rPr>
                          <w:sz w:val="16"/>
                        </w:rPr>
                        <w:t>load</w:t>
                      </w:r>
                      <w:proofErr w:type="spellEnd"/>
                    </w:p>
                  </w:txbxContent>
                </v:textbox>
              </v:shape>
            </w:pict>
          </mc:Fallback>
        </mc:AlternateContent>
      </w:r>
      <w:r>
        <w:rPr>
          <w:rFonts w:cs="Arial"/>
          <w:b/>
          <w:noProof/>
        </w:rPr>
        <mc:AlternateContent>
          <mc:Choice Requires="wps">
            <w:drawing>
              <wp:anchor distT="0" distB="0" distL="114300" distR="114300" simplePos="0" relativeHeight="251659264" behindDoc="0" locked="0" layoutInCell="1" allowOverlap="1" wp14:anchorId="366A044D" wp14:editId="1C33CF92">
                <wp:simplePos x="0" y="0"/>
                <wp:positionH relativeFrom="column">
                  <wp:posOffset>928370</wp:posOffset>
                </wp:positionH>
                <wp:positionV relativeFrom="paragraph">
                  <wp:posOffset>431165</wp:posOffset>
                </wp:positionV>
                <wp:extent cx="539115" cy="349250"/>
                <wp:effectExtent l="0" t="0" r="0" b="0"/>
                <wp:wrapNone/>
                <wp:docPr id="1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FA5168" w:rsidRDefault="00C60AC1" w:rsidP="007F3C26">
                            <w:pPr>
                              <w:ind w:left="0" w:firstLine="0"/>
                              <w:jc w:val="center"/>
                              <w:rPr>
                                <w:sz w:val="16"/>
                              </w:rPr>
                            </w:pPr>
                            <w:r w:rsidRPr="00FA5168">
                              <w:rPr>
                                <w:sz w:val="16"/>
                              </w:rPr>
                              <w:t xml:space="preserve">Normal </w:t>
                            </w:r>
                            <w:r>
                              <w:rPr>
                                <w:sz w:val="16"/>
                              </w:rPr>
                              <w:br/>
                            </w:r>
                            <w:r w:rsidRPr="00FA5168">
                              <w:rPr>
                                <w:sz w:val="16"/>
                              </w:rPr>
                              <w:t>load</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6A044D" id="Text Box 269" o:spid="_x0000_s1043" type="#_x0000_t202" style="position:absolute;left:0;text-align:left;margin-left:73.1pt;margin-top:33.95pt;width:42.45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" fillcolor="#59bb9a" stroked="f">
                <v:textbox inset="0,1mm,0,0">
                  <w:txbxContent>
                    <w:p w:rsidR="00C60AC1" w:rsidRPr="00FA5168" w:rsidRDefault="00C60AC1" w:rsidP="007F3C26">
                      <w:pPr>
                        <w:ind w:left="0" w:firstLine="0"/>
                        <w:jc w:val="center"/>
                        <w:rPr>
                          <w:sz w:val="16"/>
                        </w:rPr>
                      </w:pPr>
                      <w:r w:rsidRPr="00FA5168">
                        <w:rPr>
                          <w:sz w:val="16"/>
                        </w:rPr>
                        <w:t xml:space="preserve">Normal </w:t>
                      </w:r>
                      <w:r>
                        <w:rPr>
                          <w:sz w:val="16"/>
                        </w:rPr>
                        <w:br/>
                      </w:r>
                      <w:proofErr w:type="spellStart"/>
                      <w:r w:rsidRPr="00FA5168">
                        <w:rPr>
                          <w:sz w:val="16"/>
                        </w:rPr>
                        <w:t>load</w:t>
                      </w:r>
                      <w:proofErr w:type="spellEnd"/>
                    </w:p>
                  </w:txbxContent>
                </v:textbox>
              </v:shape>
            </w:pict>
          </mc:Fallback>
        </mc:AlternateContent>
      </w:r>
      <w:r>
        <w:rPr>
          <w:rFonts w:cs="Arial"/>
          <w:b/>
          <w:noProof/>
          <w:sz w:val="22"/>
        </w:rPr>
        <mc:AlternateContent>
          <mc:Choice Requires="wps">
            <w:drawing>
              <wp:anchor distT="0" distB="0" distL="114300" distR="114300" simplePos="0" relativeHeight="251658240" behindDoc="0" locked="0" layoutInCell="1" allowOverlap="1" wp14:anchorId="0AAEE677" wp14:editId="72CC0F36">
                <wp:simplePos x="0" y="0"/>
                <wp:positionH relativeFrom="column">
                  <wp:posOffset>168910</wp:posOffset>
                </wp:positionH>
                <wp:positionV relativeFrom="paragraph">
                  <wp:posOffset>745490</wp:posOffset>
                </wp:positionV>
                <wp:extent cx="300355" cy="2115820"/>
                <wp:effectExtent l="0" t="0" r="4445" b="0"/>
                <wp:wrapNone/>
                <wp:docPr id="1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115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F9734D" w:rsidRDefault="00C60AC1" w:rsidP="007F3C26">
                            <w:pPr>
                              <w:ind w:left="0" w:firstLine="0"/>
                              <w:jc w:val="center"/>
                              <w:rPr>
                                <w:b/>
                                <w:color w:val="0070C0"/>
                                <w:sz w:val="22"/>
                              </w:rPr>
                            </w:pPr>
                            <w:r w:rsidRPr="00F9734D">
                              <w:rPr>
                                <w:b/>
                                <w:color w:val="0070C0"/>
                                <w:sz w:val="22"/>
                              </w:rPr>
                              <w:t>Hydraulic load Q</w:t>
                            </w:r>
                            <w:r w:rsidRPr="00F9734D">
                              <w:rPr>
                                <w:b/>
                                <w:color w:val="0070C0"/>
                                <w:sz w:val="22"/>
                                <w:vertAlign w:val="subscript"/>
                              </w:rPr>
                              <w:t>d</w:t>
                            </w:r>
                            <w:r w:rsidRPr="00F9734D">
                              <w:rPr>
                                <w:b/>
                                <w:color w:val="0070C0"/>
                                <w:sz w:val="22"/>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EE677" id="Text Box 268" o:spid="_x0000_s1044" type="#_x0000_t202" style="position:absolute;left:0;text-align:left;margin-left:13.3pt;margin-top:58.7pt;width:23.65pt;height:16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" stroked="f">
                <v:textbox style="layout-flow:vertical;mso-layout-flow-alt:bottom-to-top" inset="0,0,0,0">
                  <w:txbxContent>
                    <w:p w:rsidR="00C60AC1" w:rsidRPr="00F9734D" w:rsidRDefault="00C60AC1" w:rsidP="007F3C26">
                      <w:pPr>
                        <w:ind w:left="0" w:firstLine="0"/>
                        <w:jc w:val="center"/>
                        <w:rPr>
                          <w:b/>
                          <w:color w:val="0070C0"/>
                          <w:sz w:val="22"/>
                        </w:rPr>
                      </w:pPr>
                      <w:proofErr w:type="spellStart"/>
                      <w:r w:rsidRPr="00F9734D">
                        <w:rPr>
                          <w:b/>
                          <w:color w:val="0070C0"/>
                          <w:sz w:val="22"/>
                        </w:rPr>
                        <w:t>Hydraulic</w:t>
                      </w:r>
                      <w:proofErr w:type="spellEnd"/>
                      <w:r w:rsidRPr="00F9734D">
                        <w:rPr>
                          <w:b/>
                          <w:color w:val="0070C0"/>
                          <w:sz w:val="22"/>
                        </w:rPr>
                        <w:t xml:space="preserve"> </w:t>
                      </w:r>
                      <w:proofErr w:type="spellStart"/>
                      <w:r w:rsidRPr="00F9734D">
                        <w:rPr>
                          <w:b/>
                          <w:color w:val="0070C0"/>
                          <w:sz w:val="22"/>
                        </w:rPr>
                        <w:t>load</w:t>
                      </w:r>
                      <w:proofErr w:type="spellEnd"/>
                      <w:r w:rsidRPr="00F9734D">
                        <w:rPr>
                          <w:b/>
                          <w:color w:val="0070C0"/>
                          <w:sz w:val="22"/>
                        </w:rPr>
                        <w:t xml:space="preserve"> Q</w:t>
                      </w:r>
                      <w:r w:rsidRPr="00F9734D">
                        <w:rPr>
                          <w:b/>
                          <w:color w:val="0070C0"/>
                          <w:sz w:val="22"/>
                          <w:vertAlign w:val="subscript"/>
                        </w:rPr>
                        <w:t>d</w:t>
                      </w:r>
                      <w:r w:rsidRPr="00F9734D">
                        <w:rPr>
                          <w:b/>
                          <w:color w:val="0070C0"/>
                          <w:sz w:val="22"/>
                        </w:rPr>
                        <w:t xml:space="preserve"> [%]</w:t>
                      </w:r>
                    </w:p>
                  </w:txbxContent>
                </v:textbox>
              </v:shape>
            </w:pict>
          </mc:Fallback>
        </mc:AlternateContent>
      </w:r>
      <w:r w:rsidR="009C13A9" w:rsidRPr="00C903F8">
        <w:rPr>
          <w:rFonts w:cs="Arial"/>
          <w:color w:val="000000"/>
          <w:lang w:val="en-US" w:eastAsia="ar-SA"/>
        </w:rPr>
        <w:br w:type="page"/>
      </w:r>
    </w:p>
    <w:p w:rsidR="000323F4" w:rsidRDefault="000323F4" w:rsidP="009C13A9">
      <w:pPr>
        <w:tabs>
          <w:tab w:val="left" w:pos="709"/>
        </w:tabs>
        <w:suppressAutoHyphens/>
        <w:autoSpaceDE/>
        <w:autoSpaceDN/>
        <w:spacing w:line="240" w:lineRule="atLeast"/>
        <w:ind w:left="709" w:hanging="709"/>
        <w:jc w:val="center"/>
        <w:rPr>
          <w:rFonts w:cs="Arial"/>
          <w:b/>
          <w:szCs w:val="20"/>
          <w:lang w:val="en-US" w:eastAsia="ar-SA"/>
        </w:rPr>
        <w:sectPr w:rsidR="000323F4" w:rsidSect="00AC5CC1">
          <w:headerReference w:type="default" r:id="rId100"/>
          <w:footerReference w:type="default" r:id="rId101"/>
          <w:headerReference w:type="first" r:id="rId102"/>
          <w:footerReference w:type="first" r:id="rId103"/>
          <w:footnotePr>
            <w:numRestart w:val="eachPage"/>
          </w:footnotePr>
          <w:pgSz w:w="11906" w:h="16838" w:code="9"/>
          <w:pgMar w:top="1418" w:right="1418" w:bottom="1418" w:left="1418" w:header="709" w:footer="709" w:gutter="0"/>
          <w:cols w:space="709"/>
          <w:titlePg/>
          <w:docGrid w:linePitch="272"/>
        </w:sectPr>
      </w:pPr>
    </w:p>
    <w:p w:rsidR="000323F4" w:rsidRDefault="000323F4" w:rsidP="009C13A9">
      <w:pPr>
        <w:tabs>
          <w:tab w:val="left" w:pos="709"/>
        </w:tabs>
        <w:suppressAutoHyphens/>
        <w:autoSpaceDE/>
        <w:autoSpaceDN/>
        <w:spacing w:line="240" w:lineRule="atLeast"/>
        <w:ind w:left="709" w:hanging="709"/>
        <w:jc w:val="center"/>
        <w:rPr>
          <w:rFonts w:cs="Arial"/>
          <w:b/>
          <w:szCs w:val="20"/>
          <w:lang w:val="en-US" w:eastAsia="ar-SA"/>
        </w:rPr>
        <w:sectPr w:rsidR="000323F4" w:rsidSect="00AC5CC1">
          <w:footnotePr>
            <w:numRestart w:val="eachPage"/>
          </w:footnotePr>
          <w:pgSz w:w="11906" w:h="16838" w:code="9"/>
          <w:pgMar w:top="1418" w:right="1418" w:bottom="1418" w:left="1418" w:header="709" w:footer="709" w:gutter="0"/>
          <w:cols w:space="709"/>
          <w:titlePg/>
          <w:docGrid w:linePitch="272"/>
        </w:sectPr>
      </w:pPr>
    </w:p>
    <w:p w:rsidR="009C13A9" w:rsidRPr="00C903F8" w:rsidRDefault="009C13A9" w:rsidP="009C13A9">
      <w:pPr>
        <w:tabs>
          <w:tab w:val="left" w:pos="709"/>
        </w:tabs>
        <w:suppressAutoHyphens/>
        <w:autoSpaceDE/>
        <w:autoSpaceDN/>
        <w:spacing w:line="240" w:lineRule="atLeast"/>
        <w:ind w:left="709" w:hanging="709"/>
        <w:jc w:val="center"/>
        <w:rPr>
          <w:rFonts w:cs="Arial"/>
          <w:b/>
          <w:szCs w:val="20"/>
          <w:lang w:val="en-US" w:eastAsia="ar-SA"/>
        </w:rPr>
      </w:pPr>
      <w:r w:rsidRPr="00C903F8">
        <w:rPr>
          <w:rFonts w:cs="Arial"/>
          <w:b/>
          <w:szCs w:val="20"/>
          <w:lang w:val="en-US" w:eastAsia="ar-SA"/>
        </w:rPr>
        <w:lastRenderedPageBreak/>
        <w:t>Appendix 2</w:t>
      </w:r>
    </w:p>
    <w:p w:rsidR="009C13A9" w:rsidRPr="00C903F8" w:rsidRDefault="009C13A9" w:rsidP="009C13A9">
      <w:pPr>
        <w:tabs>
          <w:tab w:val="left" w:pos="1021"/>
          <w:tab w:val="center" w:pos="8080"/>
        </w:tabs>
        <w:suppressAutoHyphens/>
        <w:autoSpaceDE/>
        <w:autoSpaceDN/>
        <w:spacing w:line="240" w:lineRule="atLeast"/>
        <w:ind w:left="0" w:firstLine="0"/>
        <w:jc w:val="center"/>
        <w:rPr>
          <w:rFonts w:cs="Arial"/>
          <w:szCs w:val="20"/>
          <w:lang w:val="en-US" w:eastAsia="ar-SA"/>
        </w:rPr>
      </w:pPr>
      <w:r w:rsidRPr="00C903F8">
        <w:rPr>
          <w:rFonts w:cs="Arial"/>
          <w:b/>
          <w:szCs w:val="20"/>
          <w:lang w:val="en-US" w:eastAsia="ar-SA"/>
        </w:rPr>
        <w:t>Notes on determining biochemical oxygen demand after five days (</w:t>
      </w:r>
      <m:oMath>
        <m:sSub>
          <m:sSubPr>
            <m:ctrlPr>
              <w:rPr>
                <w:rFonts w:ascii="Cambria Math" w:hAnsi="Cambria Math"/>
                <w:b/>
                <w:i/>
                <w:noProof/>
                <w:lang w:val="en-US" w:eastAsia="nl-NL"/>
              </w:rPr>
            </m:ctrlPr>
          </m:sSubPr>
          <m:e>
            <m:r>
              <m:rPr>
                <m:sty m:val="bi"/>
              </m:rPr>
              <w:rPr>
                <w:rFonts w:ascii="Cambria Math" w:hAnsi="Cambria Math"/>
                <w:noProof/>
                <w:lang w:val="en-US" w:eastAsia="nl-NL"/>
              </w:rPr>
              <m:t>BOD</m:t>
            </m:r>
          </m:e>
          <m:sub>
            <m:r>
              <m:rPr>
                <m:sty m:val="bi"/>
              </m:rPr>
              <w:rPr>
                <w:rFonts w:ascii="Cambria Math" w:hAnsi="Cambria Math"/>
                <w:noProof/>
                <w:lang w:val="en-US" w:eastAsia="nl-NL"/>
              </w:rPr>
              <m:t>5</m:t>
            </m:r>
          </m:sub>
        </m:sSub>
      </m:oMath>
      <w:r w:rsidRPr="00C903F8">
        <w:rPr>
          <w:rFonts w:cs="Arial"/>
          <w:b/>
          <w:szCs w:val="20"/>
          <w:lang w:val="en-US" w:eastAsia="ar-SA"/>
        </w:rPr>
        <w:t>) in 24h composite samples</w:t>
      </w:r>
    </w:p>
    <w:p w:rsidR="009C13A9" w:rsidRPr="00C903F8" w:rsidRDefault="009C13A9" w:rsidP="009C13A9">
      <w:pPr>
        <w:tabs>
          <w:tab w:val="left" w:pos="709"/>
        </w:tabs>
        <w:suppressAutoHyphens/>
        <w:autoSpaceDE/>
        <w:autoSpaceDN/>
        <w:spacing w:line="240" w:lineRule="atLeast"/>
        <w:ind w:left="0" w:firstLine="0"/>
        <w:rPr>
          <w:rFonts w:cs="Arial"/>
          <w:szCs w:val="20"/>
          <w:lang w:val="en-US" w:eastAsia="ar-SA"/>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 xml:space="preserve">The International Standards ISO 5815 and 5815-2: 2003 stipulate that in order to carry out the analysis to determine biochemical oxygen demand after five days water samples should be stored immediately after sampling and up to the time of analysis in a brim-full, tightly sealed bottle at a temperature of 0–4 °C. The process of determining </w:t>
      </w:r>
      <m:oMath>
        <m:sSub>
          <m:sSubPr>
            <m:ctrlPr>
              <w:rPr>
                <w:rFonts w:ascii="Cambria Math" w:hAnsi="Cambria Math"/>
                <w:i/>
                <w:noProof/>
                <w:lang w:val="en-US" w:eastAsia="nl-NL"/>
              </w:rPr>
            </m:ctrlPr>
          </m:sSubPr>
          <m:e>
            <m:r>
              <w:rPr>
                <w:rFonts w:ascii="Cambria Math" w:hAnsi="Cambria Math"/>
                <w:noProof/>
                <w:lang w:val="en-US" w:eastAsia="nl-NL"/>
              </w:rPr>
              <m:t>BOD</m:t>
            </m:r>
          </m:e>
          <m:sub>
            <m:r>
              <w:rPr>
                <w:rFonts w:ascii="Cambria Math" w:hAnsi="Cambria Math"/>
                <w:noProof/>
                <w:lang w:val="en-US" w:eastAsia="nl-NL"/>
              </w:rPr>
              <m:t>5</m:t>
            </m:r>
          </m:sub>
        </m:sSub>
      </m:oMath>
      <w:r w:rsidRPr="00C903F8">
        <w:rPr>
          <w:rFonts w:cs="Arial"/>
          <w:noProof/>
          <w:vertAlign w:val="subscript"/>
          <w:lang w:val="en-US"/>
        </w:rPr>
        <w:t xml:space="preserve"> </w:t>
      </w:r>
      <w:r w:rsidRPr="00C903F8">
        <w:rPr>
          <w:rFonts w:cs="Arial"/>
          <w:noProof/>
          <w:lang w:val="en-US"/>
        </w:rPr>
        <w:t>should be initiated as soon as possible or at least within twenty-four hours of completion of sampling.</w:t>
      </w:r>
    </w:p>
    <w:p w:rsidR="009C13A9" w:rsidRPr="00C903F8" w:rsidRDefault="009C13A9"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noProof/>
          <w:lang w:val="en-US"/>
        </w:rPr>
      </w:pPr>
      <w:r w:rsidRPr="00C903F8">
        <w:rPr>
          <w:rFonts w:cs="Arial"/>
          <w:noProof/>
          <w:lang w:val="en-US"/>
        </w:rPr>
        <w:t>In order to prevent biochemical degradation processes starting in the 24h composite sample, in practice the water sample is cooled to a maximum of 4 °C while sampling continues, and is stored at this temperature once the sampling process is complete.</w:t>
      </w:r>
    </w:p>
    <w:p w:rsidR="009C13A9" w:rsidRPr="00C903F8" w:rsidRDefault="009C13A9" w:rsidP="009C13A9">
      <w:pPr>
        <w:tabs>
          <w:tab w:val="left" w:leader="dot" w:pos="9072"/>
        </w:tabs>
        <w:spacing w:line="240" w:lineRule="atLeast"/>
        <w:ind w:left="0" w:firstLine="0"/>
        <w:rPr>
          <w:rFonts w:cs="Arial"/>
          <w:noProof/>
          <w:lang w:val="en-US"/>
        </w:rPr>
      </w:pPr>
    </w:p>
    <w:p w:rsidR="009C13A9" w:rsidRDefault="009C13A9" w:rsidP="009C13A9">
      <w:pPr>
        <w:tabs>
          <w:tab w:val="left" w:leader="dot" w:pos="9072"/>
        </w:tabs>
        <w:spacing w:line="240" w:lineRule="atLeast"/>
        <w:ind w:left="0" w:firstLine="0"/>
        <w:rPr>
          <w:rFonts w:cs="Arial"/>
          <w:noProof/>
          <w:lang w:val="en-US"/>
        </w:rPr>
      </w:pPr>
      <w:r w:rsidRPr="00C903F8">
        <w:rPr>
          <w:rFonts w:cs="Arial"/>
          <w:noProof/>
          <w:lang w:val="en-US"/>
        </w:rPr>
        <w:t>Suitable sampling equipment is commercially available.</w:t>
      </w:r>
    </w:p>
    <w:p w:rsidR="000323F4" w:rsidRPr="00C903F8" w:rsidRDefault="000323F4" w:rsidP="009C13A9">
      <w:pPr>
        <w:tabs>
          <w:tab w:val="left" w:leader="dot" w:pos="9072"/>
        </w:tabs>
        <w:spacing w:line="240" w:lineRule="atLeast"/>
        <w:ind w:left="0" w:firstLine="0"/>
        <w:rPr>
          <w:rFonts w:cs="Arial"/>
          <w:noProof/>
          <w:lang w:val="en-US"/>
        </w:rPr>
      </w:pPr>
    </w:p>
    <w:p w:rsidR="009C13A9" w:rsidRPr="00C903F8" w:rsidRDefault="009C13A9" w:rsidP="009C13A9">
      <w:pPr>
        <w:tabs>
          <w:tab w:val="left" w:leader="dot" w:pos="9072"/>
        </w:tabs>
        <w:spacing w:line="240" w:lineRule="atLeast"/>
        <w:ind w:left="0" w:firstLine="0"/>
        <w:rPr>
          <w:rFonts w:cs="Arial"/>
          <w:lang w:val="en-US" w:eastAsia="ar-SA"/>
        </w:rPr>
      </w:pPr>
    </w:p>
    <w:p w:rsidR="0072529F" w:rsidRPr="00C903F8" w:rsidRDefault="0072529F" w:rsidP="009C13A9">
      <w:pPr>
        <w:tabs>
          <w:tab w:val="left" w:leader="dot" w:pos="9072"/>
        </w:tabs>
        <w:spacing w:line="240" w:lineRule="atLeast"/>
        <w:ind w:left="0" w:firstLine="0"/>
        <w:rPr>
          <w:rFonts w:cs="Arial"/>
          <w:lang w:val="en-US" w:eastAsia="ar-SA"/>
        </w:rPr>
        <w:sectPr w:rsidR="0072529F" w:rsidRPr="00C903F8" w:rsidSect="00AC5CC1">
          <w:footnotePr>
            <w:numRestart w:val="eachPage"/>
          </w:footnotePr>
          <w:pgSz w:w="11906" w:h="16838" w:code="9"/>
          <w:pgMar w:top="1418" w:right="1418" w:bottom="1418" w:left="1418" w:header="709" w:footer="709" w:gutter="0"/>
          <w:cols w:space="709"/>
          <w:titlePg/>
          <w:docGrid w:linePitch="272"/>
        </w:sectPr>
      </w:pPr>
    </w:p>
    <w:p w:rsidR="009C13A9" w:rsidRDefault="009C13A9" w:rsidP="009C13A9">
      <w:pPr>
        <w:tabs>
          <w:tab w:val="left" w:pos="709"/>
        </w:tabs>
        <w:suppressAutoHyphens/>
        <w:autoSpaceDE/>
        <w:autoSpaceDN/>
        <w:spacing w:line="240" w:lineRule="atLeast"/>
        <w:ind w:left="0" w:firstLine="0"/>
        <w:rPr>
          <w:rFonts w:cs="Arial"/>
          <w:szCs w:val="20"/>
          <w:lang w:val="en-US" w:eastAsia="ar-SA"/>
        </w:rPr>
      </w:pPr>
    </w:p>
    <w:p w:rsidR="00886F89" w:rsidRDefault="00886F89" w:rsidP="009C13A9">
      <w:pPr>
        <w:tabs>
          <w:tab w:val="left" w:pos="709"/>
        </w:tabs>
        <w:suppressAutoHyphens/>
        <w:autoSpaceDE/>
        <w:autoSpaceDN/>
        <w:spacing w:line="240" w:lineRule="atLeast"/>
        <w:ind w:left="0" w:firstLine="0"/>
        <w:rPr>
          <w:rFonts w:cs="Arial"/>
          <w:szCs w:val="20"/>
          <w:lang w:val="en-US" w:eastAsia="ar-SA"/>
        </w:rPr>
      </w:pPr>
    </w:p>
    <w:p w:rsidR="00886F89" w:rsidRDefault="00886F89" w:rsidP="009C13A9">
      <w:pPr>
        <w:tabs>
          <w:tab w:val="left" w:pos="709"/>
        </w:tabs>
        <w:suppressAutoHyphens/>
        <w:autoSpaceDE/>
        <w:autoSpaceDN/>
        <w:spacing w:line="240" w:lineRule="atLeast"/>
        <w:ind w:left="0" w:firstLine="0"/>
        <w:rPr>
          <w:rFonts w:cs="Arial"/>
          <w:szCs w:val="20"/>
          <w:lang w:val="en-US" w:eastAsia="ar-SA"/>
        </w:rPr>
      </w:pPr>
    </w:p>
    <w:p w:rsidR="00886F89" w:rsidRPr="00C903F8" w:rsidRDefault="00886F89" w:rsidP="009C13A9">
      <w:pPr>
        <w:tabs>
          <w:tab w:val="left" w:pos="709"/>
        </w:tabs>
        <w:suppressAutoHyphens/>
        <w:autoSpaceDE/>
        <w:autoSpaceDN/>
        <w:spacing w:line="240" w:lineRule="atLeast"/>
        <w:ind w:left="0" w:firstLine="0"/>
        <w:rPr>
          <w:rFonts w:cs="Arial"/>
          <w:szCs w:val="20"/>
          <w:lang w:val="en-US" w:eastAsia="ar-SA"/>
        </w:rPr>
      </w:pPr>
    </w:p>
    <w:p w:rsidR="000323F4" w:rsidRDefault="000323F4" w:rsidP="00067BB9">
      <w:pPr>
        <w:pStyle w:val="ES-Titre2"/>
        <w:pageBreakBefore w:val="0"/>
        <w:sectPr w:rsidR="000323F4" w:rsidSect="00AC5CC1">
          <w:footnotePr>
            <w:numRestart w:val="eachPage"/>
          </w:footnotePr>
          <w:pgSz w:w="11906" w:h="16838" w:code="9"/>
          <w:pgMar w:top="1418" w:right="1418" w:bottom="1418" w:left="1418" w:header="709" w:footer="709" w:gutter="0"/>
          <w:cols w:space="709"/>
          <w:titlePg/>
          <w:docGrid w:linePitch="272"/>
        </w:sectPr>
      </w:pPr>
    </w:p>
    <w:p w:rsidR="009C13A9" w:rsidRPr="00C903F8" w:rsidRDefault="00F25585" w:rsidP="00067BB9">
      <w:pPr>
        <w:pStyle w:val="ES-Titre2"/>
        <w:pageBreakBefore w:val="0"/>
      </w:pPr>
      <w:bookmarkStart w:id="382" w:name="_Toc491854342"/>
      <w:r w:rsidRPr="00C903F8">
        <w:lastRenderedPageBreak/>
        <w:t>Annex</w:t>
      </w:r>
      <w:r w:rsidR="009C13A9" w:rsidRPr="00C903F8">
        <w:t xml:space="preserve"> </w:t>
      </w:r>
      <w:r w:rsidR="00F716DC" w:rsidRPr="00C903F8">
        <w:t>8</w:t>
      </w:r>
      <w:r w:rsidR="009C13A9" w:rsidRPr="00C903F8">
        <w:br/>
      </w:r>
      <w:r w:rsidR="00F716DC" w:rsidRPr="00C903F8">
        <w:t xml:space="preserve">Supplementary </w:t>
      </w:r>
      <w:r w:rsidR="009C13A9" w:rsidRPr="00C903F8">
        <w:t xml:space="preserve">provisions applicable to </w:t>
      </w:r>
      <w:r w:rsidR="00676F45">
        <w:t>craft</w:t>
      </w:r>
      <w:r w:rsidR="002722AA">
        <w:t xml:space="preserve"> operating</w:t>
      </w:r>
      <w:r w:rsidR="009C13A9" w:rsidRPr="00C903F8">
        <w:br/>
      </w:r>
      <w:r w:rsidR="009F1B9A" w:rsidRPr="00C903F8">
        <w:t xml:space="preserve">on fuels </w:t>
      </w:r>
      <w:r w:rsidR="009C13A9" w:rsidRPr="00C903F8">
        <w:t xml:space="preserve">with a flashpoint </w:t>
      </w:r>
      <w:r w:rsidR="009F1B9A" w:rsidRPr="00C903F8">
        <w:t xml:space="preserve">equal to or </w:t>
      </w:r>
      <w:r w:rsidR="009C13A9" w:rsidRPr="00C903F8">
        <w:t xml:space="preserve">lower than 55 </w:t>
      </w:r>
      <w:r w:rsidR="009F1B9A" w:rsidRPr="00C903F8">
        <w:t>°</w:t>
      </w:r>
      <w:r w:rsidR="009C13A9" w:rsidRPr="00C903F8">
        <w:t>C</w:t>
      </w:r>
      <w:bookmarkEnd w:id="382"/>
    </w:p>
    <w:p w:rsidR="009C13A9" w:rsidRPr="00C903F8" w:rsidRDefault="009C13A9" w:rsidP="00A94102">
      <w:pPr>
        <w:pStyle w:val="ESch"/>
        <w:rPr>
          <w:lang w:val="en-US" w:eastAsia="ar-SA"/>
        </w:rPr>
      </w:pPr>
    </w:p>
    <w:p w:rsidR="005C7DB3" w:rsidRPr="00C903F8" w:rsidRDefault="005C7DB3" w:rsidP="00A94102">
      <w:pPr>
        <w:pStyle w:val="ES-Titre3"/>
        <w:rPr>
          <w:lang w:val="en-GB"/>
        </w:rPr>
      </w:pPr>
      <w:bookmarkStart w:id="383" w:name="_Toc491854343"/>
      <w:r w:rsidRPr="00C903F8">
        <w:rPr>
          <w:lang w:val="en-GB"/>
        </w:rPr>
        <w:t>Section</w:t>
      </w:r>
      <w:r w:rsidR="005E7B71" w:rsidRPr="00C903F8">
        <w:rPr>
          <w:lang w:val="en-GB"/>
        </w:rPr>
        <w:t xml:space="preserve"> I</w:t>
      </w:r>
      <w:bookmarkEnd w:id="383"/>
    </w:p>
    <w:p w:rsidR="005C7DB3" w:rsidRPr="00C903F8" w:rsidRDefault="005C7DB3" w:rsidP="00A94102">
      <w:pPr>
        <w:pStyle w:val="ES-Titre3a"/>
        <w:rPr>
          <w:lang w:val="en-GB"/>
        </w:rPr>
      </w:pPr>
      <w:bookmarkStart w:id="384" w:name="_Toc491854344"/>
      <w:r w:rsidRPr="00C903F8">
        <w:rPr>
          <w:lang w:val="en-GB"/>
        </w:rPr>
        <w:t>Liquefied Natural Gas</w:t>
      </w:r>
      <w:r w:rsidR="0084166A">
        <w:rPr>
          <w:lang w:val="en-GB"/>
        </w:rPr>
        <w:t xml:space="preserve"> (LNG)</w:t>
      </w:r>
      <w:bookmarkEnd w:id="384"/>
    </w:p>
    <w:p w:rsidR="005C7DB3" w:rsidRPr="00C903F8" w:rsidRDefault="005C7DB3" w:rsidP="005C7DB3">
      <w:pPr>
        <w:adjustRightInd w:val="0"/>
        <w:spacing w:line="240" w:lineRule="atLeast"/>
        <w:ind w:left="0" w:firstLine="0"/>
        <w:jc w:val="left"/>
        <w:rPr>
          <w:rFonts w:cs="Arial"/>
          <w:szCs w:val="20"/>
          <w:lang w:val="en-GB"/>
        </w:rPr>
      </w:pPr>
    </w:p>
    <w:p w:rsidR="005C7DB3" w:rsidRPr="00C903F8" w:rsidRDefault="00A94102" w:rsidP="00A94102">
      <w:pPr>
        <w:pStyle w:val="Esann8titrechap"/>
        <w:rPr>
          <w:lang w:val="en-GB"/>
        </w:rPr>
      </w:pPr>
      <w:r w:rsidRPr="00C903F8">
        <w:rPr>
          <w:lang w:val="en-GB"/>
        </w:rPr>
        <w:t xml:space="preserve">Chapter </w:t>
      </w:r>
      <w:r w:rsidR="005C7DB3" w:rsidRPr="00C903F8">
        <w:rPr>
          <w:lang w:val="en-GB"/>
        </w:rPr>
        <w:t xml:space="preserve">1 </w:t>
      </w:r>
    </w:p>
    <w:p w:rsidR="005C7DB3" w:rsidRPr="00C903F8" w:rsidRDefault="005C7DB3" w:rsidP="00A94102">
      <w:pPr>
        <w:pStyle w:val="Esann8titrechap"/>
        <w:rPr>
          <w:lang w:val="en-GB"/>
        </w:rPr>
      </w:pPr>
      <w:r w:rsidRPr="00C903F8">
        <w:rPr>
          <w:lang w:val="en-GB"/>
        </w:rPr>
        <w:t>General</w:t>
      </w:r>
    </w:p>
    <w:p w:rsidR="005C7DB3" w:rsidRPr="00C903F8" w:rsidRDefault="005C7DB3" w:rsidP="00A94102">
      <w:pPr>
        <w:pStyle w:val="Esann8ch"/>
        <w:rPr>
          <w:lang w:val="en-US"/>
        </w:rPr>
      </w:pPr>
    </w:p>
    <w:p w:rsidR="005C7DB3" w:rsidRPr="00C903F8" w:rsidRDefault="005C7DB3" w:rsidP="00A94102">
      <w:pPr>
        <w:pStyle w:val="Esann8chgras"/>
        <w:rPr>
          <w:lang w:val="en-GB"/>
        </w:rPr>
      </w:pPr>
      <w:r w:rsidRPr="00C903F8">
        <w:rPr>
          <w:lang w:val="en-GB"/>
        </w:rPr>
        <w:t>1.1</w:t>
      </w:r>
      <w:r w:rsidRPr="00C903F8">
        <w:rPr>
          <w:lang w:val="en-GB"/>
        </w:rPr>
        <w:tab/>
        <w:t>Application</w:t>
      </w:r>
    </w:p>
    <w:p w:rsidR="005C7DB3" w:rsidRPr="00C903F8" w:rsidRDefault="005C7DB3" w:rsidP="005C7DB3">
      <w:pPr>
        <w:tabs>
          <w:tab w:val="left" w:pos="720"/>
          <w:tab w:val="left" w:pos="1440"/>
        </w:tabs>
        <w:adjustRightInd w:val="0"/>
        <w:spacing w:line="240" w:lineRule="atLeast"/>
        <w:ind w:left="0" w:firstLine="0"/>
        <w:rPr>
          <w:rFonts w:cs="Arial"/>
          <w:b/>
          <w:bCs/>
          <w:szCs w:val="20"/>
          <w:u w:val="single"/>
          <w:lang w:val="en-GB"/>
        </w:rPr>
      </w:pPr>
    </w:p>
    <w:p w:rsidR="005C7DB3" w:rsidRPr="00C903F8" w:rsidRDefault="005C7DB3" w:rsidP="00A94102">
      <w:pPr>
        <w:pStyle w:val="Esann8ch"/>
        <w:rPr>
          <w:b/>
          <w:bCs/>
          <w:lang w:val="en-GB"/>
        </w:rPr>
      </w:pPr>
      <w:r w:rsidRPr="00C903F8">
        <w:rPr>
          <w:lang w:val="en-GB"/>
        </w:rPr>
        <w:t>1.1.1</w:t>
      </w:r>
      <w:r w:rsidRPr="00C903F8">
        <w:rPr>
          <w:lang w:val="en-GB"/>
        </w:rPr>
        <w:tab/>
        <w:t xml:space="preserve">The provisions of </w:t>
      </w:r>
      <w:r w:rsidR="005E7B71" w:rsidRPr="00C903F8">
        <w:rPr>
          <w:lang w:val="en-GB"/>
        </w:rPr>
        <w:t>Section</w:t>
      </w:r>
      <w:r w:rsidRPr="00C903F8">
        <w:rPr>
          <w:lang w:val="en-GB"/>
        </w:rPr>
        <w:t xml:space="preserve"> I apply to </w:t>
      </w:r>
      <w:r w:rsidR="000A13AD">
        <w:rPr>
          <w:lang w:val="en-GB"/>
        </w:rPr>
        <w:t>craft</w:t>
      </w:r>
      <w:r w:rsidRPr="00C903F8">
        <w:rPr>
          <w:lang w:val="en-GB"/>
        </w:rPr>
        <w:t xml:space="preserve"> </w:t>
      </w:r>
      <w:r w:rsidR="00BC63D4" w:rsidRPr="00BC63D4">
        <w:rPr>
          <w:lang w:val="en-GB"/>
        </w:rPr>
        <w:t xml:space="preserve">equipped with propulsion or auxiliary systems </w:t>
      </w:r>
      <w:r w:rsidRPr="00C903F8">
        <w:rPr>
          <w:lang w:val="en-GB"/>
        </w:rPr>
        <w:t>operating on liquefied natural gas (LNG</w:t>
      </w:r>
      <w:r w:rsidR="0084166A" w:rsidRPr="00C903F8">
        <w:rPr>
          <w:lang w:val="en-GB"/>
        </w:rPr>
        <w:t>)</w:t>
      </w:r>
      <w:r w:rsidR="0084166A">
        <w:rPr>
          <w:lang w:val="en-GB"/>
        </w:rPr>
        <w:t xml:space="preserve"> </w:t>
      </w:r>
      <w:r w:rsidR="0084166A" w:rsidRPr="0084166A">
        <w:rPr>
          <w:lang w:val="en-GB"/>
        </w:rPr>
        <w:t>according to (1.2.1)</w:t>
      </w:r>
      <w:r w:rsidR="0084166A">
        <w:rPr>
          <w:lang w:val="en-GB"/>
        </w:rPr>
        <w:t xml:space="preserve"> </w:t>
      </w:r>
      <w:r w:rsidR="0084166A" w:rsidRPr="00C903F8">
        <w:rPr>
          <w:lang w:val="en-GB"/>
        </w:rPr>
        <w:t>and</w:t>
      </w:r>
      <w:r w:rsidRPr="00C903F8">
        <w:rPr>
          <w:lang w:val="en-GB"/>
        </w:rPr>
        <w:t xml:space="preserve"> address all areas that need special consideration for the usage of </w:t>
      </w:r>
      <w:r w:rsidR="00A26ED8" w:rsidRPr="00C903F8">
        <w:rPr>
          <w:lang w:val="en-GB"/>
        </w:rPr>
        <w:t>liquefied natural gas (</w:t>
      </w:r>
      <w:r w:rsidRPr="00C903F8">
        <w:rPr>
          <w:lang w:val="en-GB"/>
        </w:rPr>
        <w:t>LNG</w:t>
      </w:r>
      <w:r w:rsidR="00A26ED8" w:rsidRPr="00C903F8">
        <w:rPr>
          <w:lang w:val="en-GB"/>
        </w:rPr>
        <w:t>)</w:t>
      </w:r>
      <w:r w:rsidRPr="00C903F8">
        <w:rPr>
          <w:lang w:val="en-GB"/>
        </w:rPr>
        <w:t xml:space="preserve"> as fuel. </w:t>
      </w:r>
    </w:p>
    <w:p w:rsidR="005C7DB3" w:rsidRPr="00C903F8" w:rsidRDefault="005C7DB3" w:rsidP="005C7DB3">
      <w:pPr>
        <w:tabs>
          <w:tab w:val="left" w:pos="720"/>
          <w:tab w:val="left" w:pos="1440"/>
        </w:tabs>
        <w:adjustRightInd w:val="0"/>
        <w:spacing w:line="240" w:lineRule="atLeast"/>
        <w:ind w:left="0" w:firstLine="0"/>
        <w:rPr>
          <w:rFonts w:cs="Arial"/>
          <w:b/>
          <w:bCs/>
          <w:szCs w:val="20"/>
          <w:lang w:val="en-GB"/>
        </w:rPr>
      </w:pPr>
    </w:p>
    <w:p w:rsidR="005C7DB3" w:rsidRPr="00C903F8" w:rsidRDefault="005C7DB3" w:rsidP="00544563">
      <w:pPr>
        <w:pStyle w:val="Esann8chgras"/>
        <w:rPr>
          <w:rFonts w:eastAsia="Calibri"/>
          <w:lang w:val="en-US" w:eastAsia="en-US"/>
        </w:rPr>
      </w:pPr>
      <w:r w:rsidRPr="00C903F8">
        <w:rPr>
          <w:rFonts w:eastAsia="Calibri"/>
          <w:lang w:val="en-US" w:eastAsia="en-US"/>
        </w:rPr>
        <w:t>1.2</w:t>
      </w:r>
      <w:r w:rsidRPr="00C903F8">
        <w:rPr>
          <w:rFonts w:eastAsia="Calibri"/>
          <w:lang w:val="en-US" w:eastAsia="en-US"/>
        </w:rPr>
        <w:tab/>
        <w:t>Definitions</w:t>
      </w:r>
    </w:p>
    <w:p w:rsidR="005C7DB3" w:rsidRPr="00C903F8" w:rsidRDefault="005C7DB3" w:rsidP="005C7DB3">
      <w:pPr>
        <w:adjustRightInd w:val="0"/>
        <w:spacing w:line="240" w:lineRule="atLeast"/>
        <w:ind w:left="0" w:firstLine="0"/>
        <w:rPr>
          <w:rFonts w:cs="Arial"/>
          <w:iCs/>
          <w:szCs w:val="20"/>
          <w:lang w:val="en-US"/>
        </w:rPr>
      </w:pPr>
    </w:p>
    <w:p w:rsidR="00E36B0E" w:rsidRPr="00C903F8" w:rsidRDefault="00E36B0E" w:rsidP="00E36B0E">
      <w:pPr>
        <w:pStyle w:val="Esann8chpar"/>
        <w:rPr>
          <w:lang w:val="en-US"/>
        </w:rPr>
      </w:pPr>
      <w:r w:rsidRPr="00C903F8">
        <w:rPr>
          <w:lang w:val="en-US"/>
        </w:rPr>
        <w:t xml:space="preserve">For the purposes of this </w:t>
      </w:r>
      <w:r w:rsidR="005E7B71" w:rsidRPr="00C903F8">
        <w:rPr>
          <w:lang w:val="en-US"/>
        </w:rPr>
        <w:t>Section</w:t>
      </w:r>
      <w:r w:rsidRPr="00C903F8">
        <w:rPr>
          <w:lang w:val="en-US"/>
        </w:rPr>
        <w:t>, the following definitions shall apply:</w:t>
      </w:r>
    </w:p>
    <w:p w:rsidR="00E36B0E" w:rsidRPr="00C903F8" w:rsidRDefault="00E36B0E" w:rsidP="00E36B0E">
      <w:pPr>
        <w:pStyle w:val="Esann8chpar"/>
        <w:rPr>
          <w:lang w:val="en-US"/>
        </w:rPr>
      </w:pPr>
    </w:p>
    <w:p w:rsidR="00A26ED8" w:rsidRPr="00C903F8" w:rsidRDefault="00A26ED8" w:rsidP="00A26ED8">
      <w:pPr>
        <w:pStyle w:val="Esann8ch"/>
        <w:rPr>
          <w:lang w:val="en-US"/>
        </w:rPr>
      </w:pPr>
      <w:r w:rsidRPr="00C903F8">
        <w:rPr>
          <w:lang w:val="en-US"/>
        </w:rPr>
        <w:t>1.2.1</w:t>
      </w:r>
      <w:r w:rsidRPr="00C903F8">
        <w:rPr>
          <w:lang w:val="en-US"/>
        </w:rPr>
        <w:tab/>
      </w:r>
      <w:r w:rsidRPr="00C903F8">
        <w:rPr>
          <w:i/>
          <w:lang w:val="en-US"/>
        </w:rPr>
        <w:t>Liquefied natural gas (LNG)</w:t>
      </w:r>
      <w:r w:rsidRPr="00C903F8">
        <w:rPr>
          <w:lang w:val="en-US"/>
        </w:rPr>
        <w:t>: natural gas that has been liquefied by cooling it to a temperature of - 161 °C.</w:t>
      </w:r>
    </w:p>
    <w:p w:rsidR="00A26ED8" w:rsidRPr="00C903F8" w:rsidRDefault="00A26ED8" w:rsidP="00A26ED8">
      <w:pPr>
        <w:pStyle w:val="Esann8ch"/>
        <w:rPr>
          <w:lang w:val="en-US"/>
        </w:rPr>
      </w:pPr>
    </w:p>
    <w:p w:rsidR="00A26ED8" w:rsidRPr="00C903F8" w:rsidRDefault="00A26ED8" w:rsidP="00A26ED8">
      <w:pPr>
        <w:pStyle w:val="Esann8ch"/>
        <w:rPr>
          <w:lang w:val="en-US"/>
        </w:rPr>
      </w:pPr>
      <w:r w:rsidRPr="00C903F8">
        <w:rPr>
          <w:lang w:val="en-US"/>
        </w:rPr>
        <w:t>1.2.2</w:t>
      </w:r>
      <w:r w:rsidRPr="00C903F8">
        <w:rPr>
          <w:i/>
          <w:lang w:val="en-US"/>
        </w:rPr>
        <w:t xml:space="preserve"> </w:t>
      </w:r>
      <w:r w:rsidRPr="00C903F8">
        <w:rPr>
          <w:i/>
          <w:lang w:val="en-US"/>
        </w:rPr>
        <w:tab/>
        <w:t>LNG system:</w:t>
      </w:r>
      <w:r w:rsidRPr="00C903F8">
        <w:rPr>
          <w:lang w:val="en-US"/>
        </w:rPr>
        <w:t xml:space="preserve"> all parts of the </w:t>
      </w:r>
      <w:r w:rsidR="000A13AD">
        <w:rPr>
          <w:lang w:val="en-US"/>
        </w:rPr>
        <w:t>craft</w:t>
      </w:r>
      <w:r w:rsidRPr="00C903F8">
        <w:rPr>
          <w:lang w:val="en-US"/>
        </w:rPr>
        <w:t xml:space="preserve"> that may contain liquefied natural gas (LNG) or Natural Gas, such as engines, fuel tanks and bunkering piping.</w:t>
      </w:r>
    </w:p>
    <w:p w:rsidR="00A26ED8" w:rsidRPr="00C903F8" w:rsidRDefault="00A26ED8" w:rsidP="00A26ED8">
      <w:pPr>
        <w:pStyle w:val="Esann8ch"/>
        <w:rPr>
          <w:lang w:val="en-US"/>
        </w:rPr>
      </w:pPr>
    </w:p>
    <w:p w:rsidR="00A26ED8" w:rsidRPr="00C903F8" w:rsidRDefault="00A26ED8" w:rsidP="00A26ED8">
      <w:pPr>
        <w:pStyle w:val="Esann8ch"/>
        <w:rPr>
          <w:lang w:val="en-US"/>
        </w:rPr>
      </w:pPr>
      <w:r w:rsidRPr="00C903F8">
        <w:rPr>
          <w:lang w:val="en-US"/>
        </w:rPr>
        <w:t>1.2.3</w:t>
      </w:r>
      <w:r w:rsidRPr="00C903F8">
        <w:rPr>
          <w:i/>
          <w:lang w:val="en-US"/>
        </w:rPr>
        <w:tab/>
        <w:t>LNG bunkering system:</w:t>
      </w:r>
      <w:r w:rsidRPr="00C903F8">
        <w:rPr>
          <w:lang w:val="en-US"/>
        </w:rPr>
        <w:t xml:space="preserve"> the arrangement for the bunkering of liquefied natural gas (LNG) on board (bunkering station and bunkering piping).</w:t>
      </w:r>
    </w:p>
    <w:p w:rsidR="00A26ED8" w:rsidRPr="00C903F8" w:rsidRDefault="00A26ED8" w:rsidP="00A26ED8">
      <w:pPr>
        <w:pStyle w:val="Esann8ch"/>
        <w:rPr>
          <w:lang w:val="en-US"/>
        </w:rPr>
      </w:pPr>
    </w:p>
    <w:p w:rsidR="00A26ED8" w:rsidRPr="00C903F8" w:rsidRDefault="00A26ED8" w:rsidP="00A26ED8">
      <w:pPr>
        <w:pStyle w:val="Esann8ch"/>
        <w:rPr>
          <w:lang w:val="en-US"/>
        </w:rPr>
      </w:pPr>
      <w:r w:rsidRPr="00C903F8">
        <w:rPr>
          <w:lang w:val="en-US"/>
        </w:rPr>
        <w:t>1.2.4</w:t>
      </w:r>
      <w:r w:rsidRPr="00C903F8">
        <w:rPr>
          <w:lang w:val="en-US"/>
        </w:rPr>
        <w:tab/>
      </w:r>
      <w:r w:rsidRPr="00C903F8">
        <w:rPr>
          <w:i/>
          <w:lang w:val="en-US"/>
        </w:rPr>
        <w:t>Bunkering station:</w:t>
      </w:r>
      <w:r w:rsidRPr="00C903F8">
        <w:rPr>
          <w:lang w:val="en-US"/>
        </w:rPr>
        <w:t xml:space="preserve"> the area on board where all equipment used for bunkering are located, such as manifolds, valves, survey instruments, safety equipment, monitoring station, tools, etc.</w:t>
      </w:r>
    </w:p>
    <w:p w:rsidR="00A26ED8" w:rsidRPr="00C903F8" w:rsidRDefault="00A26ED8" w:rsidP="00A26ED8">
      <w:pPr>
        <w:pStyle w:val="Esann8ch"/>
        <w:rPr>
          <w:lang w:val="en-US"/>
        </w:rPr>
      </w:pPr>
    </w:p>
    <w:p w:rsidR="00A26ED8" w:rsidRPr="00C903F8" w:rsidRDefault="00A26ED8" w:rsidP="00A26ED8">
      <w:pPr>
        <w:pStyle w:val="Esann8ch"/>
        <w:rPr>
          <w:lang w:val="en-US"/>
        </w:rPr>
      </w:pPr>
      <w:r w:rsidRPr="00C903F8">
        <w:rPr>
          <w:lang w:val="en-US"/>
        </w:rPr>
        <w:t>1.2.5</w:t>
      </w:r>
      <w:r w:rsidRPr="00C903F8">
        <w:rPr>
          <w:lang w:val="en-US"/>
        </w:rPr>
        <w:tab/>
      </w:r>
      <w:r w:rsidRPr="00C903F8">
        <w:rPr>
          <w:i/>
          <w:lang w:val="en-US"/>
        </w:rPr>
        <w:t>LNG containment system:</w:t>
      </w:r>
      <w:r w:rsidRPr="00C903F8">
        <w:rPr>
          <w:lang w:val="en-US"/>
        </w:rPr>
        <w:t xml:space="preserve"> the arrangement for the storage of liquefied natural gas (LNG) including tank connections.</w:t>
      </w:r>
    </w:p>
    <w:p w:rsidR="00A26ED8" w:rsidRPr="00C903F8" w:rsidRDefault="00A26ED8" w:rsidP="00A26ED8">
      <w:pPr>
        <w:pStyle w:val="Esann8ch"/>
        <w:rPr>
          <w:lang w:val="en-US"/>
        </w:rPr>
      </w:pPr>
    </w:p>
    <w:p w:rsidR="00A26ED8" w:rsidRPr="00C903F8" w:rsidRDefault="00A26ED8" w:rsidP="00A26ED8">
      <w:pPr>
        <w:pStyle w:val="Esann8ch"/>
        <w:rPr>
          <w:lang w:val="en-US"/>
        </w:rPr>
      </w:pPr>
      <w:r w:rsidRPr="00C903F8">
        <w:rPr>
          <w:lang w:val="en-US"/>
        </w:rPr>
        <w:t>1.2.6</w:t>
      </w:r>
      <w:r w:rsidRPr="00C903F8">
        <w:rPr>
          <w:lang w:val="en-US"/>
        </w:rPr>
        <w:tab/>
      </w:r>
      <w:r w:rsidRPr="00C903F8">
        <w:rPr>
          <w:i/>
          <w:lang w:val="en-US"/>
        </w:rPr>
        <w:t>Gas supply system:</w:t>
      </w:r>
      <w:r w:rsidRPr="00C903F8">
        <w:rPr>
          <w:lang w:val="en-US"/>
        </w:rPr>
        <w:t xml:space="preserve"> the arrangement, including the gas preparation system, gas supply lines and valves, to supply gas on board to all gas consuming equipment.</w:t>
      </w:r>
    </w:p>
    <w:p w:rsidR="00A26ED8" w:rsidRPr="00C903F8" w:rsidRDefault="00A26ED8" w:rsidP="00A26ED8">
      <w:pPr>
        <w:pStyle w:val="Esann8ch"/>
        <w:rPr>
          <w:lang w:val="en-US"/>
        </w:rPr>
      </w:pPr>
    </w:p>
    <w:p w:rsidR="00A26ED8" w:rsidRPr="00C903F8" w:rsidRDefault="00A26ED8" w:rsidP="00A26ED8">
      <w:pPr>
        <w:pStyle w:val="Esann8ch"/>
        <w:rPr>
          <w:lang w:val="en-US"/>
        </w:rPr>
      </w:pPr>
      <w:r w:rsidRPr="00C903F8">
        <w:rPr>
          <w:lang w:val="en-US"/>
        </w:rPr>
        <w:t>1.2.7</w:t>
      </w:r>
      <w:r w:rsidRPr="00C903F8">
        <w:rPr>
          <w:lang w:val="en-US"/>
        </w:rPr>
        <w:tab/>
      </w:r>
      <w:r w:rsidRPr="00C903F8">
        <w:rPr>
          <w:i/>
          <w:lang w:val="en-US"/>
        </w:rPr>
        <w:t>Gas preparation system:</w:t>
      </w:r>
      <w:r w:rsidRPr="00C903F8">
        <w:rPr>
          <w:lang w:val="en-US"/>
        </w:rPr>
        <w:t xml:space="preserve"> the unit used to convert liquefied natural gas (LNG) into Natural Gas, its accessories and its piping.</w:t>
      </w:r>
    </w:p>
    <w:p w:rsidR="005C7DB3" w:rsidRPr="00C903F8" w:rsidRDefault="005C7DB3" w:rsidP="00544563">
      <w:pPr>
        <w:pStyle w:val="Esann8ch"/>
        <w:rPr>
          <w:lang w:val="en-US"/>
        </w:rPr>
      </w:pPr>
    </w:p>
    <w:p w:rsidR="00A26ED8" w:rsidRPr="00C903F8" w:rsidRDefault="00A26ED8" w:rsidP="00A26ED8">
      <w:pPr>
        <w:pStyle w:val="Esann8ch"/>
        <w:rPr>
          <w:lang w:val="en-GB"/>
        </w:rPr>
      </w:pPr>
      <w:r w:rsidRPr="00C903F8">
        <w:rPr>
          <w:iCs/>
          <w:lang w:val="en-US"/>
        </w:rPr>
        <w:t>1.2.8</w:t>
      </w:r>
      <w:r w:rsidRPr="00C903F8">
        <w:rPr>
          <w:iCs/>
          <w:lang w:val="en-US"/>
        </w:rPr>
        <w:tab/>
      </w:r>
      <w:r w:rsidRPr="00C903F8">
        <w:rPr>
          <w:i/>
          <w:lang w:val="en-GB"/>
        </w:rPr>
        <w:t>Hazardous areas</w:t>
      </w:r>
      <w:r w:rsidRPr="00C903F8">
        <w:rPr>
          <w:lang w:val="en-GB"/>
        </w:rPr>
        <w:t>: zones 0, 1 and 2 as classified below:</w:t>
      </w:r>
    </w:p>
    <w:p w:rsidR="00A26ED8" w:rsidRPr="00C903F8" w:rsidRDefault="00A26ED8" w:rsidP="00A26ED8">
      <w:pPr>
        <w:adjustRightInd w:val="0"/>
        <w:spacing w:line="240" w:lineRule="atLeast"/>
        <w:ind w:left="709" w:hanging="709"/>
        <w:rPr>
          <w:rFonts w:cs="Arial"/>
          <w:color w:val="000000"/>
          <w:szCs w:val="20"/>
          <w:lang w:val="en-GB"/>
        </w:rPr>
      </w:pPr>
    </w:p>
    <w:p w:rsidR="00A26ED8" w:rsidRPr="00C903F8" w:rsidRDefault="00A26ED8" w:rsidP="00A26ED8">
      <w:pPr>
        <w:pStyle w:val="Esann8ch"/>
        <w:rPr>
          <w:lang w:val="en-GB"/>
        </w:rPr>
      </w:pPr>
      <w:r w:rsidRPr="00C903F8">
        <w:rPr>
          <w:lang w:val="en-GB"/>
        </w:rPr>
        <w:t>1.2.8.1</w:t>
      </w:r>
      <w:r w:rsidRPr="00C903F8">
        <w:rPr>
          <w:lang w:val="en-GB"/>
        </w:rPr>
        <w:tab/>
        <w:t>Zone 0: area in which an explosive atmosphere consisting of a mixture with air of flammable substances in the form of gas, vapour or mist is present continuously or for long periods or frequently,</w:t>
      </w:r>
    </w:p>
    <w:p w:rsidR="00A26ED8" w:rsidRPr="00C903F8" w:rsidRDefault="00A26ED8" w:rsidP="00A26ED8">
      <w:pPr>
        <w:pStyle w:val="Esann8ch"/>
        <w:rPr>
          <w:lang w:val="en-GB"/>
        </w:rPr>
      </w:pPr>
    </w:p>
    <w:p w:rsidR="00A26ED8" w:rsidRPr="00C903F8" w:rsidRDefault="00A26ED8" w:rsidP="00A26ED8">
      <w:pPr>
        <w:pStyle w:val="Esann8ch"/>
        <w:rPr>
          <w:lang w:val="en-GB"/>
        </w:rPr>
      </w:pPr>
      <w:r w:rsidRPr="00C903F8">
        <w:rPr>
          <w:lang w:val="en-GB"/>
        </w:rPr>
        <w:t>1.2.8.2</w:t>
      </w:r>
      <w:r w:rsidRPr="00C903F8">
        <w:rPr>
          <w:lang w:val="en-GB"/>
        </w:rPr>
        <w:tab/>
        <w:t>Zone 1: area in which an explosive atmosphere consisting of a mixture with air of flammable substances in the form of gas, vapour or mist is likely to occur in normal operation occasionally,</w:t>
      </w:r>
    </w:p>
    <w:p w:rsidR="005C7DB3" w:rsidRPr="00C903F8" w:rsidRDefault="005C7DB3" w:rsidP="00A26ED8">
      <w:pPr>
        <w:pStyle w:val="Esann8ch"/>
        <w:rPr>
          <w:lang w:val="en-GB"/>
        </w:rPr>
      </w:pPr>
    </w:p>
    <w:p w:rsidR="00544563" w:rsidRPr="00C903F8" w:rsidRDefault="00544563">
      <w:pPr>
        <w:autoSpaceDE/>
        <w:autoSpaceDN/>
        <w:ind w:left="0" w:firstLine="0"/>
        <w:jc w:val="left"/>
        <w:rPr>
          <w:rFonts w:eastAsia="Calibri" w:cs="Arial"/>
          <w:color w:val="000000"/>
          <w:szCs w:val="20"/>
          <w:lang w:val="en-GB" w:eastAsia="en-US"/>
        </w:rPr>
      </w:pPr>
      <w:r w:rsidRPr="00C903F8">
        <w:rPr>
          <w:lang w:val="en-GB"/>
        </w:rPr>
        <w:br w:type="page"/>
      </w:r>
    </w:p>
    <w:p w:rsidR="00544563" w:rsidRPr="00C903F8" w:rsidRDefault="00544563" w:rsidP="00544563">
      <w:pPr>
        <w:pStyle w:val="Esann8ch"/>
        <w:rPr>
          <w:lang w:val="en-GB"/>
        </w:rPr>
      </w:pPr>
    </w:p>
    <w:p w:rsidR="00A26ED8" w:rsidRPr="00C903F8" w:rsidRDefault="00A26ED8" w:rsidP="00A26ED8">
      <w:pPr>
        <w:pStyle w:val="Esann8ch"/>
        <w:rPr>
          <w:iCs/>
          <w:lang w:val="en-GB"/>
        </w:rPr>
      </w:pPr>
      <w:r w:rsidRPr="00C903F8">
        <w:rPr>
          <w:lang w:val="en-GB"/>
        </w:rPr>
        <w:t>1.2.8.3</w:t>
      </w:r>
      <w:r w:rsidRPr="00C903F8">
        <w:rPr>
          <w:lang w:val="en-GB"/>
        </w:rPr>
        <w:tab/>
        <w:t>Zone 2: area in which an explosive atmosphere consisting of a mixture with air of flammable substances in the form of gas, vapour or mist is not likely to occur in normal operation but, if it does occur, will persist for a short period only.</w:t>
      </w:r>
    </w:p>
    <w:p w:rsidR="00A26ED8" w:rsidRPr="00C903F8" w:rsidRDefault="00A26ED8" w:rsidP="00A26ED8">
      <w:pPr>
        <w:adjustRightInd w:val="0"/>
        <w:spacing w:line="240" w:lineRule="atLeast"/>
        <w:ind w:left="709" w:hanging="709"/>
        <w:rPr>
          <w:rFonts w:cs="Arial"/>
          <w:i/>
          <w:iCs/>
          <w:szCs w:val="20"/>
          <w:lang w:val="en-GB"/>
        </w:rPr>
      </w:pPr>
    </w:p>
    <w:p w:rsidR="00A26ED8" w:rsidRPr="00C903F8" w:rsidRDefault="00A26ED8" w:rsidP="00A26ED8">
      <w:pPr>
        <w:pStyle w:val="Esann8ch"/>
        <w:rPr>
          <w:lang w:val="en-US"/>
        </w:rPr>
      </w:pPr>
      <w:r w:rsidRPr="00C903F8">
        <w:rPr>
          <w:lang w:val="en-GB"/>
        </w:rPr>
        <w:t>1.2.9</w:t>
      </w:r>
      <w:r w:rsidRPr="00C903F8">
        <w:rPr>
          <w:lang w:val="en-GB"/>
        </w:rPr>
        <w:tab/>
      </w:r>
      <w:r w:rsidRPr="00C903F8">
        <w:rPr>
          <w:i/>
          <w:lang w:val="en-GB"/>
        </w:rPr>
        <w:t>Enclosed room</w:t>
      </w:r>
      <w:r w:rsidRPr="00C903F8">
        <w:rPr>
          <w:lang w:val="en-GB"/>
        </w:rPr>
        <w:t>: any room wit</w:t>
      </w:r>
      <w:r w:rsidRPr="00C903F8">
        <w:rPr>
          <w:lang w:val="en-US"/>
        </w:rPr>
        <w:t>hin which, in the absence of forced ventilation, the ventilation will be limited and any explosive atmosphere will not be dispersed naturally.</w:t>
      </w:r>
    </w:p>
    <w:p w:rsidR="00A26ED8" w:rsidRPr="00C903F8" w:rsidRDefault="00A26ED8" w:rsidP="00A26ED8">
      <w:pPr>
        <w:pStyle w:val="Esann8ch"/>
        <w:rPr>
          <w:i/>
          <w:lang w:val="en-US"/>
        </w:rPr>
      </w:pPr>
    </w:p>
    <w:p w:rsidR="00A26ED8" w:rsidRPr="00C903F8" w:rsidRDefault="00A26ED8" w:rsidP="00A26ED8">
      <w:pPr>
        <w:pStyle w:val="Esann8ch"/>
        <w:rPr>
          <w:lang w:val="en-US"/>
        </w:rPr>
      </w:pPr>
      <w:r w:rsidRPr="00C903F8">
        <w:rPr>
          <w:lang w:val="en-US"/>
        </w:rPr>
        <w:t>1.2.10</w:t>
      </w:r>
      <w:r w:rsidRPr="00C903F8">
        <w:rPr>
          <w:lang w:val="en-US"/>
        </w:rPr>
        <w:tab/>
      </w:r>
      <w:r w:rsidRPr="00C903F8">
        <w:rPr>
          <w:i/>
          <w:lang w:val="en-US"/>
        </w:rPr>
        <w:t>Semi-enclosed room:</w:t>
      </w:r>
      <w:r w:rsidRPr="00C903F8">
        <w:rPr>
          <w:lang w:val="en-US"/>
        </w:rPr>
        <w:t xml:space="preserve"> a room limited by decks or bulkheads in such manner that the natural conditions of ventilation are notably different from those obtained on open deck.</w:t>
      </w:r>
    </w:p>
    <w:p w:rsidR="00A26ED8" w:rsidRPr="00C903F8" w:rsidRDefault="00A26ED8" w:rsidP="00A26ED8">
      <w:pPr>
        <w:pStyle w:val="Esann8ch"/>
        <w:rPr>
          <w:lang w:val="en-US"/>
        </w:rPr>
      </w:pPr>
    </w:p>
    <w:p w:rsidR="00A26ED8" w:rsidRPr="00C903F8" w:rsidRDefault="00A26ED8" w:rsidP="00A26ED8">
      <w:pPr>
        <w:pStyle w:val="Esann8ch"/>
        <w:rPr>
          <w:lang w:val="en-US"/>
        </w:rPr>
      </w:pPr>
      <w:r w:rsidRPr="00C903F8">
        <w:rPr>
          <w:lang w:val="en-US"/>
        </w:rPr>
        <w:t>1.2.11</w:t>
      </w:r>
      <w:r w:rsidRPr="00C903F8">
        <w:rPr>
          <w:lang w:val="en-US"/>
        </w:rPr>
        <w:tab/>
      </w:r>
      <w:r w:rsidRPr="00C903F8">
        <w:rPr>
          <w:i/>
          <w:lang w:val="en-US"/>
        </w:rPr>
        <w:t>Pressure Relief Valve (PRV)</w:t>
      </w:r>
      <w:r w:rsidRPr="00C903F8">
        <w:rPr>
          <w:lang w:val="en-US"/>
        </w:rPr>
        <w:t>: a spring-loaded device which is activated automatically by pressure, the purpose of which is to protect the tank or piping against unacceptable excess internal pressure.</w:t>
      </w:r>
    </w:p>
    <w:p w:rsidR="00A26ED8" w:rsidRPr="00C903F8" w:rsidRDefault="00A26ED8" w:rsidP="00A26ED8">
      <w:pPr>
        <w:pStyle w:val="Esann8ch"/>
        <w:rPr>
          <w:lang w:val="en-US"/>
        </w:rPr>
      </w:pPr>
    </w:p>
    <w:p w:rsidR="00A26ED8" w:rsidRPr="00C903F8" w:rsidRDefault="00A26ED8" w:rsidP="00A26ED8">
      <w:pPr>
        <w:pStyle w:val="Esann8ch"/>
        <w:rPr>
          <w:lang w:val="en-US"/>
        </w:rPr>
      </w:pPr>
      <w:r w:rsidRPr="00C903F8">
        <w:rPr>
          <w:lang w:val="en-US"/>
        </w:rPr>
        <w:t>1.2.12</w:t>
      </w:r>
      <w:r w:rsidRPr="00C903F8">
        <w:rPr>
          <w:lang w:val="en-US"/>
        </w:rPr>
        <w:tab/>
      </w:r>
      <w:r w:rsidRPr="00C903F8">
        <w:rPr>
          <w:i/>
          <w:lang w:val="en-US"/>
        </w:rPr>
        <w:t>Dual fuel engines</w:t>
      </w:r>
      <w:r w:rsidRPr="00C903F8">
        <w:rPr>
          <w:lang w:val="en-US"/>
        </w:rPr>
        <w:t>: engines using liquefied natural gas (LNG) combined with fuel with a flashpoint above 55 °C.</w:t>
      </w:r>
    </w:p>
    <w:p w:rsidR="00A26ED8" w:rsidRPr="00C903F8" w:rsidRDefault="00A26ED8" w:rsidP="00A26ED8">
      <w:pPr>
        <w:pStyle w:val="Esann8ch"/>
        <w:rPr>
          <w:lang w:val="en-US"/>
        </w:rPr>
      </w:pPr>
    </w:p>
    <w:p w:rsidR="00A26ED8" w:rsidRPr="00C903F8" w:rsidRDefault="00A26ED8" w:rsidP="00A26ED8">
      <w:pPr>
        <w:pStyle w:val="Esann8ch"/>
        <w:rPr>
          <w:lang w:val="en-US"/>
        </w:rPr>
      </w:pPr>
      <w:r w:rsidRPr="00C903F8">
        <w:rPr>
          <w:lang w:val="en-US"/>
        </w:rPr>
        <w:t>1.2.13</w:t>
      </w:r>
      <w:r w:rsidRPr="00C903F8">
        <w:rPr>
          <w:i/>
          <w:lang w:val="en-US"/>
        </w:rPr>
        <w:t xml:space="preserve"> </w:t>
      </w:r>
      <w:r w:rsidRPr="00C903F8">
        <w:rPr>
          <w:i/>
          <w:lang w:val="en-US"/>
        </w:rPr>
        <w:tab/>
        <w:t>ESD</w:t>
      </w:r>
      <w:r w:rsidRPr="00C903F8">
        <w:rPr>
          <w:lang w:val="en-US"/>
        </w:rPr>
        <w:t>: emergency shutdown.</w:t>
      </w:r>
    </w:p>
    <w:p w:rsidR="00A26ED8" w:rsidRPr="00C903F8" w:rsidRDefault="00A26ED8" w:rsidP="00A26ED8">
      <w:pPr>
        <w:pStyle w:val="Esann8ch"/>
        <w:rPr>
          <w:lang w:val="en-US"/>
        </w:rPr>
      </w:pPr>
    </w:p>
    <w:p w:rsidR="00A26ED8" w:rsidRPr="00C903F8" w:rsidRDefault="00A26ED8" w:rsidP="00A26ED8">
      <w:pPr>
        <w:pStyle w:val="Esann8ch"/>
        <w:rPr>
          <w:lang w:val="en-US"/>
        </w:rPr>
      </w:pPr>
      <w:r w:rsidRPr="00C903F8">
        <w:rPr>
          <w:lang w:val="en-US"/>
        </w:rPr>
        <w:t>1.2.14</w:t>
      </w:r>
      <w:r w:rsidRPr="00C903F8">
        <w:rPr>
          <w:lang w:val="en-US"/>
        </w:rPr>
        <w:tab/>
      </w:r>
      <w:r w:rsidRPr="00C903F8">
        <w:rPr>
          <w:i/>
          <w:lang w:val="en-GB"/>
        </w:rPr>
        <w:t>Master gas fuel valve</w:t>
      </w:r>
      <w:r w:rsidRPr="00C903F8">
        <w:rPr>
          <w:lang w:val="en-GB"/>
        </w:rPr>
        <w:t>: an automatic shut-off valve in gas supply lines to engines.</w:t>
      </w:r>
    </w:p>
    <w:p w:rsidR="00A26ED8" w:rsidRPr="00C903F8" w:rsidRDefault="00A26ED8" w:rsidP="00A26ED8">
      <w:pPr>
        <w:pStyle w:val="Esann8ch"/>
        <w:rPr>
          <w:lang w:val="en-US"/>
        </w:rPr>
      </w:pPr>
    </w:p>
    <w:p w:rsidR="00A26ED8" w:rsidRPr="00C903F8" w:rsidRDefault="00A26ED8" w:rsidP="00A26ED8">
      <w:pPr>
        <w:pStyle w:val="Esann8ch"/>
        <w:rPr>
          <w:i/>
          <w:lang w:val="en-US"/>
        </w:rPr>
      </w:pPr>
      <w:r w:rsidRPr="00C903F8">
        <w:rPr>
          <w:lang w:val="en-US"/>
        </w:rPr>
        <w:t>1.2.15</w:t>
      </w:r>
      <w:r w:rsidRPr="00C903F8">
        <w:rPr>
          <w:lang w:val="en-US"/>
        </w:rPr>
        <w:tab/>
      </w:r>
      <w:r w:rsidRPr="00C903F8">
        <w:rPr>
          <w:i/>
          <w:lang w:val="en-US"/>
        </w:rPr>
        <w:t>Secondary barrier:</w:t>
      </w:r>
      <w:r w:rsidRPr="00C903F8">
        <w:rPr>
          <w:lang w:val="en-US"/>
        </w:rPr>
        <w:t xml:space="preserve"> the outer element of an LNG containment system or piping designed to afford temporary containment of any envisaged leakage through the primary barrier.</w:t>
      </w:r>
    </w:p>
    <w:p w:rsidR="00A26ED8" w:rsidRPr="00C903F8" w:rsidRDefault="00A26ED8" w:rsidP="00A26ED8">
      <w:pPr>
        <w:pStyle w:val="Esann8ch"/>
        <w:rPr>
          <w:i/>
          <w:lang w:val="en-US"/>
        </w:rPr>
      </w:pPr>
    </w:p>
    <w:p w:rsidR="00A26ED8" w:rsidRPr="00C903F8" w:rsidRDefault="00A26ED8" w:rsidP="00A26ED8">
      <w:pPr>
        <w:pStyle w:val="Esann8ch"/>
        <w:rPr>
          <w:i/>
          <w:lang w:val="en-US"/>
        </w:rPr>
      </w:pPr>
      <w:r w:rsidRPr="00C903F8">
        <w:rPr>
          <w:lang w:val="en-US"/>
        </w:rPr>
        <w:t xml:space="preserve">1.2.16 </w:t>
      </w:r>
      <w:r w:rsidRPr="00C903F8">
        <w:rPr>
          <w:lang w:val="en-US"/>
        </w:rPr>
        <w:tab/>
      </w:r>
      <w:r w:rsidRPr="00C903F8">
        <w:rPr>
          <w:i/>
          <w:lang w:val="en-US"/>
        </w:rPr>
        <w:t>Maximum working pressure</w:t>
      </w:r>
      <w:r w:rsidRPr="00C903F8">
        <w:rPr>
          <w:lang w:val="en-US"/>
        </w:rPr>
        <w:t xml:space="preserve">: the maximum pressure that is acceptable in an LNG fuel tank or piping during operation. This pressure equals the opening pressure of pressure relief valves or devices. </w:t>
      </w:r>
    </w:p>
    <w:p w:rsidR="00A26ED8" w:rsidRPr="00C903F8" w:rsidRDefault="00A26ED8" w:rsidP="00A26ED8">
      <w:pPr>
        <w:pStyle w:val="Esann8ch"/>
        <w:rPr>
          <w:i/>
          <w:lang w:val="en-US"/>
        </w:rPr>
      </w:pPr>
    </w:p>
    <w:p w:rsidR="00A26ED8" w:rsidRPr="00C903F8" w:rsidRDefault="00A26ED8" w:rsidP="00A26ED8">
      <w:pPr>
        <w:pStyle w:val="Esann8ch"/>
        <w:rPr>
          <w:lang w:val="en-US"/>
        </w:rPr>
      </w:pPr>
      <w:r w:rsidRPr="00C903F8">
        <w:rPr>
          <w:lang w:val="en-US"/>
        </w:rPr>
        <w:t xml:space="preserve">1.2.17 </w:t>
      </w:r>
      <w:r w:rsidRPr="00C903F8">
        <w:rPr>
          <w:lang w:val="en-US"/>
        </w:rPr>
        <w:tab/>
      </w:r>
      <w:r w:rsidRPr="00C903F8">
        <w:rPr>
          <w:i/>
          <w:lang w:val="en-US"/>
        </w:rPr>
        <w:t>Design pressure</w:t>
      </w:r>
      <w:r w:rsidRPr="00C903F8">
        <w:rPr>
          <w:lang w:val="en-US"/>
        </w:rPr>
        <w:t>: the pressure on the basis of which the LNG fuel tank or piping has been designed and built.</w:t>
      </w:r>
    </w:p>
    <w:p w:rsidR="00A26ED8" w:rsidRPr="00C903F8" w:rsidRDefault="00A26ED8" w:rsidP="00A26ED8">
      <w:pPr>
        <w:pStyle w:val="Esann8ch"/>
        <w:rPr>
          <w:lang w:val="en-US"/>
        </w:rPr>
      </w:pPr>
    </w:p>
    <w:p w:rsidR="00A26ED8" w:rsidRPr="00C903F8" w:rsidRDefault="00A26ED8" w:rsidP="00A26ED8">
      <w:pPr>
        <w:pStyle w:val="Esann8ch"/>
        <w:rPr>
          <w:lang w:val="en-GB"/>
        </w:rPr>
      </w:pPr>
      <w:r w:rsidRPr="00C903F8">
        <w:rPr>
          <w:lang w:val="en-US"/>
        </w:rPr>
        <w:t>1.2.18</w:t>
      </w:r>
      <w:r w:rsidRPr="00C903F8">
        <w:rPr>
          <w:lang w:val="en-US"/>
        </w:rPr>
        <w:tab/>
      </w:r>
      <w:r w:rsidRPr="00C903F8">
        <w:rPr>
          <w:i/>
          <w:lang w:val="en-GB"/>
        </w:rPr>
        <w:t>Double block and bleed valve</w:t>
      </w:r>
      <w:r w:rsidRPr="00C903F8">
        <w:rPr>
          <w:lang w:val="en-GB"/>
        </w:rPr>
        <w:t xml:space="preserve">: a set of two valves in series in a pipe and a third valve enabling the pressure release from the pipe between those two valves. The arrangement may also consist of a two-way valve and a closing valve instead of three separate valves. </w:t>
      </w:r>
    </w:p>
    <w:p w:rsidR="00A26ED8" w:rsidRPr="00C903F8" w:rsidRDefault="00A26ED8" w:rsidP="00A26ED8">
      <w:pPr>
        <w:pStyle w:val="Esann8ch"/>
        <w:rPr>
          <w:lang w:val="en-GB"/>
        </w:rPr>
      </w:pPr>
    </w:p>
    <w:p w:rsidR="00A26ED8" w:rsidRPr="00C903F8" w:rsidRDefault="00A26ED8" w:rsidP="00A26ED8">
      <w:pPr>
        <w:pStyle w:val="Esann8ch"/>
        <w:rPr>
          <w:lang w:val="en-US"/>
        </w:rPr>
      </w:pPr>
      <w:r w:rsidRPr="00C903F8">
        <w:rPr>
          <w:lang w:val="en-GB"/>
        </w:rPr>
        <w:t>1.2.19</w:t>
      </w:r>
      <w:r w:rsidRPr="00C903F8">
        <w:rPr>
          <w:lang w:val="en-GB"/>
        </w:rPr>
        <w:tab/>
      </w:r>
      <w:r w:rsidRPr="00C903F8">
        <w:rPr>
          <w:i/>
          <w:lang w:val="en-GB"/>
        </w:rPr>
        <w:t>Air lock</w:t>
      </w:r>
      <w:r w:rsidRPr="00C903F8">
        <w:rPr>
          <w:lang w:val="en-GB"/>
        </w:rPr>
        <w:t xml:space="preserve">: </w:t>
      </w:r>
      <w:r w:rsidRPr="00C903F8">
        <w:rPr>
          <w:lang w:val="en-US"/>
        </w:rPr>
        <w:t>a space enclosed by gastight steel bulkheads with two gastight doors, intended to separate a non-hazardous area from a hazardous area.</w:t>
      </w:r>
    </w:p>
    <w:p w:rsidR="00A26ED8" w:rsidRPr="00C903F8" w:rsidRDefault="00A26ED8" w:rsidP="00A26ED8">
      <w:pPr>
        <w:pStyle w:val="Esann8ch"/>
        <w:rPr>
          <w:lang w:val="en-US"/>
        </w:rPr>
      </w:pPr>
    </w:p>
    <w:p w:rsidR="00A26ED8" w:rsidRPr="00C903F8" w:rsidRDefault="00A26ED8" w:rsidP="00A26ED8">
      <w:pPr>
        <w:pStyle w:val="Esann8ch"/>
        <w:rPr>
          <w:lang w:val="en-US"/>
        </w:rPr>
      </w:pPr>
      <w:r w:rsidRPr="00C903F8">
        <w:rPr>
          <w:lang w:val="en-US"/>
        </w:rPr>
        <w:t>1.2.20</w:t>
      </w:r>
      <w:r w:rsidRPr="00C903F8">
        <w:rPr>
          <w:lang w:val="en-US"/>
        </w:rPr>
        <w:tab/>
      </w:r>
      <w:r w:rsidRPr="00C903F8">
        <w:rPr>
          <w:i/>
          <w:lang w:val="en-US"/>
        </w:rPr>
        <w:t>Double wall piping</w:t>
      </w:r>
      <w:r w:rsidRPr="00C903F8">
        <w:rPr>
          <w:lang w:val="en-US"/>
        </w:rPr>
        <w:t>: piping with a double wall design for which the space between the walls is pressurized with inert gas and equipped to detect any leakage of one of the two walls.</w:t>
      </w:r>
    </w:p>
    <w:p w:rsidR="00A26ED8" w:rsidRPr="00C903F8" w:rsidRDefault="00A26ED8" w:rsidP="00A26ED8">
      <w:pPr>
        <w:pStyle w:val="Esann8ch"/>
        <w:rPr>
          <w:lang w:val="en-US"/>
        </w:rPr>
      </w:pPr>
    </w:p>
    <w:p w:rsidR="00A26ED8" w:rsidRPr="00C903F8" w:rsidRDefault="00A26ED8" w:rsidP="00A26ED8">
      <w:pPr>
        <w:pStyle w:val="Esann8ch"/>
        <w:rPr>
          <w:lang w:val="en-US"/>
        </w:rPr>
      </w:pPr>
      <w:r w:rsidRPr="00C903F8">
        <w:rPr>
          <w:lang w:val="en-US"/>
        </w:rPr>
        <w:t>1.2.21</w:t>
      </w:r>
      <w:r w:rsidRPr="00C903F8">
        <w:rPr>
          <w:lang w:val="en-US"/>
        </w:rPr>
        <w:tab/>
      </w:r>
      <w:r w:rsidRPr="00C903F8">
        <w:rPr>
          <w:i/>
          <w:lang w:val="en-US"/>
        </w:rPr>
        <w:t>System components</w:t>
      </w:r>
      <w:r w:rsidRPr="00C903F8">
        <w:rPr>
          <w:lang w:val="en-US"/>
        </w:rPr>
        <w:t>: all components of the installation that may contain liquefied natural gas (LNG) or Natural Gas (NG) (fuel tanks, pipelines, valves, hoses, pistons, pumps, filters, instrumentation, etc.).</w:t>
      </w:r>
    </w:p>
    <w:p w:rsidR="005C7DB3" w:rsidRPr="00C903F8" w:rsidRDefault="005C7DB3" w:rsidP="00544563">
      <w:pPr>
        <w:pStyle w:val="Esann8ch"/>
        <w:rPr>
          <w:lang w:val="en-US"/>
        </w:rPr>
      </w:pPr>
    </w:p>
    <w:p w:rsidR="005E7B71" w:rsidRPr="00C903F8" w:rsidRDefault="005E7B71">
      <w:pPr>
        <w:autoSpaceDE/>
        <w:autoSpaceDN/>
        <w:ind w:left="0" w:firstLine="0"/>
        <w:jc w:val="left"/>
        <w:rPr>
          <w:rFonts w:eastAsia="Calibri" w:cs="Arial"/>
          <w:color w:val="000000"/>
          <w:szCs w:val="20"/>
          <w:lang w:val="en-US" w:eastAsia="en-US"/>
        </w:rPr>
      </w:pPr>
      <w:r w:rsidRPr="00C903F8">
        <w:rPr>
          <w:lang w:val="en-US"/>
        </w:rPr>
        <w:br w:type="page"/>
      </w:r>
    </w:p>
    <w:p w:rsidR="005E7B71" w:rsidRPr="00C903F8" w:rsidRDefault="005E7B71" w:rsidP="00544563">
      <w:pPr>
        <w:pStyle w:val="Esann8ch"/>
        <w:rPr>
          <w:lang w:val="en-US"/>
        </w:rPr>
      </w:pPr>
    </w:p>
    <w:p w:rsidR="00A26ED8" w:rsidRPr="00C903F8" w:rsidRDefault="00A26ED8" w:rsidP="00A26ED8">
      <w:pPr>
        <w:pStyle w:val="Esann8ch"/>
        <w:rPr>
          <w:lang w:val="en-US"/>
        </w:rPr>
      </w:pPr>
      <w:r w:rsidRPr="00C903F8">
        <w:rPr>
          <w:lang w:val="en-US"/>
        </w:rPr>
        <w:t>1.2.22</w:t>
      </w:r>
      <w:r w:rsidRPr="00C903F8">
        <w:rPr>
          <w:lang w:val="en-US"/>
        </w:rPr>
        <w:tab/>
      </w:r>
      <w:r w:rsidRPr="00C903F8">
        <w:rPr>
          <w:i/>
          <w:lang w:val="en-US"/>
        </w:rPr>
        <w:t>Ventilated ducting</w:t>
      </w:r>
      <w:r w:rsidRPr="00C903F8">
        <w:rPr>
          <w:lang w:val="en-US"/>
        </w:rPr>
        <w:t>: a gas pipe installed in a pipe or duct equipped with mechanical exhaust ventilation.</w:t>
      </w:r>
    </w:p>
    <w:p w:rsidR="00A26ED8" w:rsidRPr="00C903F8" w:rsidRDefault="00A26ED8" w:rsidP="00A26ED8">
      <w:pPr>
        <w:pStyle w:val="Esann8ch"/>
        <w:rPr>
          <w:lang w:val="en-US"/>
        </w:rPr>
      </w:pPr>
    </w:p>
    <w:p w:rsidR="00A26ED8" w:rsidRPr="00C903F8" w:rsidRDefault="00A26ED8" w:rsidP="00A26ED8">
      <w:pPr>
        <w:pStyle w:val="Esann8ch"/>
        <w:rPr>
          <w:lang w:val="en-US"/>
        </w:rPr>
      </w:pPr>
      <w:r w:rsidRPr="00C903F8">
        <w:rPr>
          <w:lang w:val="en-US"/>
        </w:rPr>
        <w:t>1.2.23</w:t>
      </w:r>
      <w:r w:rsidRPr="00C903F8">
        <w:rPr>
          <w:lang w:val="en-US"/>
        </w:rPr>
        <w:tab/>
      </w:r>
      <w:r w:rsidRPr="00C903F8">
        <w:rPr>
          <w:i/>
          <w:iCs/>
          <w:lang w:val="en-GB"/>
        </w:rPr>
        <w:t xml:space="preserve">Gas </w:t>
      </w:r>
      <w:r w:rsidR="00344E11">
        <w:rPr>
          <w:i/>
          <w:iCs/>
          <w:lang w:val="en-GB"/>
        </w:rPr>
        <w:t>w</w:t>
      </w:r>
      <w:r w:rsidRPr="00C903F8">
        <w:rPr>
          <w:i/>
          <w:iCs/>
          <w:lang w:val="en-GB"/>
        </w:rPr>
        <w:t xml:space="preserve">arning </w:t>
      </w:r>
      <w:r w:rsidR="00344E11">
        <w:rPr>
          <w:i/>
          <w:iCs/>
          <w:lang w:val="en-GB"/>
        </w:rPr>
        <w:t>e</w:t>
      </w:r>
      <w:r w:rsidRPr="00C903F8">
        <w:rPr>
          <w:i/>
          <w:iCs/>
          <w:lang w:val="en-GB"/>
        </w:rPr>
        <w:t>quipment</w:t>
      </w:r>
      <w:r w:rsidRPr="00C903F8">
        <w:rPr>
          <w:iCs/>
          <w:lang w:val="en-GB"/>
        </w:rPr>
        <w:t xml:space="preserve">: warning equipment </w:t>
      </w:r>
      <w:r w:rsidRPr="00C903F8">
        <w:rPr>
          <w:rStyle w:val="hps"/>
          <w:lang w:val="en"/>
        </w:rPr>
        <w:t>to protect</w:t>
      </w:r>
      <w:r w:rsidRPr="00C903F8">
        <w:rPr>
          <w:lang w:val="en"/>
        </w:rPr>
        <w:t xml:space="preserve"> </w:t>
      </w:r>
      <w:r w:rsidRPr="00C903F8">
        <w:rPr>
          <w:rStyle w:val="hps"/>
          <w:lang w:val="en"/>
        </w:rPr>
        <w:t>people</w:t>
      </w:r>
      <w:r w:rsidRPr="00C903F8">
        <w:rPr>
          <w:lang w:val="en"/>
        </w:rPr>
        <w:t xml:space="preserve"> </w:t>
      </w:r>
      <w:r w:rsidRPr="00C903F8">
        <w:rPr>
          <w:rStyle w:val="hps"/>
          <w:lang w:val="en"/>
        </w:rPr>
        <w:t>and property from</w:t>
      </w:r>
      <w:r w:rsidRPr="00C903F8">
        <w:rPr>
          <w:lang w:val="en"/>
        </w:rPr>
        <w:t xml:space="preserve"> </w:t>
      </w:r>
      <w:r w:rsidRPr="00C903F8">
        <w:rPr>
          <w:rStyle w:val="hps"/>
          <w:lang w:val="en"/>
        </w:rPr>
        <w:t>hazardous gases and</w:t>
      </w:r>
      <w:r w:rsidRPr="00C903F8">
        <w:rPr>
          <w:lang w:val="en"/>
        </w:rPr>
        <w:t xml:space="preserve"> </w:t>
      </w:r>
      <w:r w:rsidRPr="00C903F8">
        <w:rPr>
          <w:rStyle w:val="hps"/>
          <w:lang w:val="en"/>
        </w:rPr>
        <w:t>gas</w:t>
      </w:r>
      <w:r w:rsidRPr="00C903F8">
        <w:rPr>
          <w:rStyle w:val="atn"/>
          <w:lang w:val="en"/>
        </w:rPr>
        <w:t>-</w:t>
      </w:r>
      <w:r w:rsidRPr="00C903F8">
        <w:rPr>
          <w:lang w:val="en"/>
        </w:rPr>
        <w:t xml:space="preserve">air mixtures. It consists of gas detectors to identify gases, </w:t>
      </w:r>
      <w:r w:rsidRPr="00C903F8">
        <w:rPr>
          <w:rStyle w:val="hps"/>
          <w:lang w:val="en"/>
        </w:rPr>
        <w:t>a control unit</w:t>
      </w:r>
      <w:r w:rsidRPr="00C903F8">
        <w:rPr>
          <w:lang w:val="en"/>
        </w:rPr>
        <w:t xml:space="preserve"> </w:t>
      </w:r>
      <w:r w:rsidRPr="00C903F8">
        <w:rPr>
          <w:rStyle w:val="hps"/>
          <w:lang w:val="en"/>
        </w:rPr>
        <w:t>for processing the signals</w:t>
      </w:r>
      <w:r w:rsidRPr="00C903F8">
        <w:rPr>
          <w:lang w:val="en"/>
        </w:rPr>
        <w:t xml:space="preserve"> </w:t>
      </w:r>
      <w:r w:rsidRPr="00C903F8">
        <w:rPr>
          <w:rStyle w:val="hps"/>
          <w:lang w:val="en"/>
        </w:rPr>
        <w:t>and</w:t>
      </w:r>
      <w:r w:rsidRPr="00C903F8">
        <w:rPr>
          <w:lang w:val="en"/>
        </w:rPr>
        <w:t xml:space="preserve"> </w:t>
      </w:r>
      <w:r w:rsidRPr="00C903F8">
        <w:rPr>
          <w:rStyle w:val="hps"/>
          <w:lang w:val="en"/>
        </w:rPr>
        <w:t>a</w:t>
      </w:r>
      <w:r w:rsidRPr="00C903F8">
        <w:rPr>
          <w:lang w:val="en"/>
        </w:rPr>
        <w:t xml:space="preserve"> </w:t>
      </w:r>
      <w:r w:rsidRPr="00C903F8">
        <w:rPr>
          <w:rStyle w:val="hps"/>
          <w:lang w:val="en"/>
        </w:rPr>
        <w:t>display/alarm unit</w:t>
      </w:r>
      <w:r w:rsidRPr="00C903F8">
        <w:rPr>
          <w:lang w:val="en"/>
        </w:rPr>
        <w:t xml:space="preserve"> </w:t>
      </w:r>
      <w:r w:rsidRPr="00C903F8">
        <w:rPr>
          <w:rStyle w:val="hps"/>
          <w:lang w:val="en"/>
        </w:rPr>
        <w:t>for displaying the status</w:t>
      </w:r>
      <w:r w:rsidRPr="00C903F8">
        <w:rPr>
          <w:lang w:val="en"/>
        </w:rPr>
        <w:t xml:space="preserve"> </w:t>
      </w:r>
      <w:r w:rsidRPr="00C903F8">
        <w:rPr>
          <w:rStyle w:val="hps"/>
          <w:lang w:val="en"/>
        </w:rPr>
        <w:t>and</w:t>
      </w:r>
      <w:r w:rsidRPr="00C903F8">
        <w:rPr>
          <w:lang w:val="en"/>
        </w:rPr>
        <w:t xml:space="preserve"> </w:t>
      </w:r>
      <w:r w:rsidRPr="00C903F8">
        <w:rPr>
          <w:rStyle w:val="hps"/>
          <w:lang w:val="en"/>
        </w:rPr>
        <w:t>warning.</w:t>
      </w:r>
    </w:p>
    <w:p w:rsidR="005C7DB3" w:rsidRPr="00C903F8" w:rsidRDefault="005C7DB3" w:rsidP="00A26ED8">
      <w:pPr>
        <w:pStyle w:val="Esann8ch"/>
        <w:rPr>
          <w:lang w:val="en-US"/>
        </w:rPr>
      </w:pPr>
    </w:p>
    <w:p w:rsidR="00A26ED8" w:rsidRPr="00C903F8" w:rsidRDefault="00A26ED8" w:rsidP="00A26ED8">
      <w:pPr>
        <w:pStyle w:val="Esann8chgras"/>
        <w:rPr>
          <w:lang w:val="en-GB"/>
        </w:rPr>
      </w:pPr>
      <w:r w:rsidRPr="00C903F8">
        <w:rPr>
          <w:lang w:val="en-GB"/>
        </w:rPr>
        <w:t>1.3</w:t>
      </w:r>
      <w:r w:rsidRPr="00C903F8">
        <w:rPr>
          <w:lang w:val="en-GB"/>
        </w:rPr>
        <w:tab/>
        <w:t>Risk assessment</w:t>
      </w:r>
    </w:p>
    <w:p w:rsidR="00A26ED8" w:rsidRPr="00C903F8" w:rsidRDefault="00A26ED8" w:rsidP="00A26ED8">
      <w:pPr>
        <w:pStyle w:val="Esann8ch"/>
        <w:rPr>
          <w:lang w:val="en-GB"/>
        </w:rPr>
      </w:pPr>
    </w:p>
    <w:p w:rsidR="00A26ED8" w:rsidRPr="00C903F8" w:rsidRDefault="00A26ED8" w:rsidP="00A26ED8">
      <w:pPr>
        <w:pStyle w:val="Esann8ch"/>
        <w:rPr>
          <w:lang w:val="en-GB"/>
        </w:rPr>
      </w:pPr>
      <w:r w:rsidRPr="00C903F8">
        <w:rPr>
          <w:lang w:val="en-GB"/>
        </w:rPr>
        <w:t>1.3.1</w:t>
      </w:r>
      <w:r w:rsidRPr="00C903F8">
        <w:rPr>
          <w:lang w:val="en-GB"/>
        </w:rPr>
        <w:tab/>
        <w:t xml:space="preserve">A risk assessment shall be conducted on all concepts and configurations which are new or have been significantly modified. The risks arising from the use of </w:t>
      </w:r>
      <w:r w:rsidRPr="00C903F8">
        <w:rPr>
          <w:iCs/>
          <w:lang w:val="en-US"/>
        </w:rPr>
        <w:t>liquefied natural gas (</w:t>
      </w:r>
      <w:r w:rsidRPr="00C903F8">
        <w:rPr>
          <w:lang w:val="en-GB"/>
        </w:rPr>
        <w:t>LNG) affecting people on board including passengers, the environment, the structural strength</w:t>
      </w:r>
      <w:r w:rsidR="000A13AD">
        <w:rPr>
          <w:lang w:val="en-GB"/>
        </w:rPr>
        <w:t xml:space="preserve"> and the integrity of the craft</w:t>
      </w:r>
      <w:r w:rsidRPr="00C903F8">
        <w:rPr>
          <w:lang w:val="en-GB"/>
        </w:rPr>
        <w:t xml:space="preserve"> shall be addressed. Reasonable consideration shall be given to the hazards associated with physical layout, operation, and maintenance, following a failure.</w:t>
      </w:r>
    </w:p>
    <w:p w:rsidR="00A26ED8" w:rsidRPr="00C903F8" w:rsidRDefault="00A26ED8" w:rsidP="00A26ED8">
      <w:pPr>
        <w:pStyle w:val="Esann8ch"/>
        <w:rPr>
          <w:lang w:val="en-GB"/>
        </w:rPr>
      </w:pPr>
    </w:p>
    <w:p w:rsidR="00A26ED8" w:rsidRPr="00C903F8" w:rsidRDefault="00A26ED8" w:rsidP="00A26ED8">
      <w:pPr>
        <w:pStyle w:val="Esann8ch"/>
        <w:rPr>
          <w:lang w:val="en-GB"/>
        </w:rPr>
      </w:pPr>
      <w:r w:rsidRPr="00C903F8">
        <w:rPr>
          <w:lang w:val="en-GB"/>
        </w:rPr>
        <w:t>1.3.2</w:t>
      </w:r>
      <w:r w:rsidRPr="00C903F8">
        <w:rPr>
          <w:lang w:val="en-GB"/>
        </w:rPr>
        <w:tab/>
        <w:t xml:space="preserve">The risks are to be determined and assessed using a risk analysis technique recognised by the inspection body, such as International Standards ISO 31000: 2009 and ISO 31010: 2010. Loss of function, component damage, fire, explosion, tank room flooding, vessel sinking and electric overvoltage shall as a minimum be considered. The analysis must help to ensure that risks are eliminated wherever possible. Risks which cannot be eliminated entirely are to be mitigated to an acceptable level. The major scenarios and measures for eliminating or mitigating risks shall be described. </w:t>
      </w:r>
    </w:p>
    <w:p w:rsidR="00A26ED8" w:rsidRPr="00C903F8" w:rsidRDefault="00A26ED8" w:rsidP="00A26ED8">
      <w:pPr>
        <w:pStyle w:val="Esann8ch"/>
        <w:rPr>
          <w:lang w:val="en-GB"/>
        </w:rPr>
      </w:pPr>
    </w:p>
    <w:p w:rsidR="00A26ED8" w:rsidRPr="00C903F8" w:rsidRDefault="00A26ED8" w:rsidP="00A26ED8">
      <w:pPr>
        <w:pStyle w:val="Esann8ch"/>
        <w:rPr>
          <w:lang w:val="en-GB"/>
        </w:rPr>
      </w:pPr>
      <w:r w:rsidRPr="00C903F8">
        <w:rPr>
          <w:lang w:val="en-GB"/>
        </w:rPr>
        <w:t>1.3.3</w:t>
      </w:r>
      <w:r w:rsidRPr="00C903F8">
        <w:rPr>
          <w:lang w:val="en-GB"/>
        </w:rPr>
        <w:tab/>
        <w:t xml:space="preserve">Classification of hazardous areas on board, divided into zones 0, 1 and 2, according to </w:t>
      </w:r>
      <w:r w:rsidR="002F6788">
        <w:rPr>
          <w:lang w:val="en-GB"/>
        </w:rPr>
        <w:t>(</w:t>
      </w:r>
      <w:r w:rsidRPr="00C903F8">
        <w:rPr>
          <w:lang w:val="en-GB"/>
        </w:rPr>
        <w:t>1.2.8</w:t>
      </w:r>
      <w:r w:rsidR="002F6788">
        <w:rPr>
          <w:lang w:val="en-GB"/>
        </w:rPr>
        <w:t>)</w:t>
      </w:r>
      <w:r w:rsidRPr="00C903F8">
        <w:rPr>
          <w:lang w:val="en-GB"/>
        </w:rPr>
        <w:t xml:space="preserve"> shall be documented in the risk assessment.</w:t>
      </w:r>
    </w:p>
    <w:p w:rsidR="00A26ED8" w:rsidRPr="00C903F8" w:rsidRDefault="00A26ED8" w:rsidP="00A26ED8">
      <w:pPr>
        <w:pStyle w:val="Esann8ch"/>
        <w:rPr>
          <w:b/>
          <w:lang w:val="en-GB"/>
        </w:rPr>
      </w:pPr>
    </w:p>
    <w:p w:rsidR="00A26ED8" w:rsidRPr="00C903F8" w:rsidRDefault="00A26ED8" w:rsidP="00A26ED8">
      <w:pPr>
        <w:pStyle w:val="Esann8chgras"/>
        <w:rPr>
          <w:rFonts w:eastAsia="Calibri"/>
          <w:lang w:val="en-GB"/>
        </w:rPr>
      </w:pPr>
      <w:r w:rsidRPr="00C903F8">
        <w:rPr>
          <w:rFonts w:eastAsia="Calibri"/>
          <w:lang w:val="en-GB"/>
        </w:rPr>
        <w:t>1.4</w:t>
      </w:r>
      <w:r w:rsidRPr="00C903F8">
        <w:rPr>
          <w:rFonts w:eastAsia="Calibri"/>
          <w:lang w:val="en-GB"/>
        </w:rPr>
        <w:tab/>
        <w:t>General requirements</w:t>
      </w:r>
    </w:p>
    <w:p w:rsidR="00A26ED8" w:rsidRPr="00C903F8" w:rsidRDefault="00A26ED8" w:rsidP="00A26ED8">
      <w:pPr>
        <w:pStyle w:val="Esann8ch"/>
        <w:rPr>
          <w:lang w:val="en-GB"/>
        </w:rPr>
      </w:pPr>
    </w:p>
    <w:p w:rsidR="00A26ED8" w:rsidRPr="00C903F8" w:rsidRDefault="00A26ED8" w:rsidP="00A26ED8">
      <w:pPr>
        <w:pStyle w:val="Esann8ch"/>
        <w:rPr>
          <w:lang w:val="en-GB"/>
        </w:rPr>
      </w:pPr>
      <w:r w:rsidRPr="00C903F8">
        <w:rPr>
          <w:lang w:val="en-GB"/>
        </w:rPr>
        <w:t>1.4.1</w:t>
      </w:r>
      <w:r w:rsidRPr="00C903F8">
        <w:rPr>
          <w:lang w:val="en-GB"/>
        </w:rPr>
        <w:tab/>
        <w:t>A single failure in the LNG system shall not lead to an unsafe situation.</w:t>
      </w:r>
    </w:p>
    <w:p w:rsidR="00A26ED8" w:rsidRPr="00C903F8" w:rsidRDefault="00A26ED8" w:rsidP="00A26ED8">
      <w:pPr>
        <w:pStyle w:val="Esann8ch"/>
        <w:rPr>
          <w:lang w:val="en-GB"/>
        </w:rPr>
      </w:pPr>
    </w:p>
    <w:p w:rsidR="00A26ED8" w:rsidRPr="00C903F8" w:rsidRDefault="00A26ED8" w:rsidP="00A26ED8">
      <w:pPr>
        <w:pStyle w:val="Esann8ch"/>
        <w:rPr>
          <w:lang w:val="en-GB"/>
        </w:rPr>
      </w:pPr>
      <w:r w:rsidRPr="00C903F8">
        <w:rPr>
          <w:lang w:val="en-GB"/>
        </w:rPr>
        <w:t>1.4.2</w:t>
      </w:r>
      <w:r w:rsidRPr="00C903F8">
        <w:rPr>
          <w:lang w:val="en-GB"/>
        </w:rPr>
        <w:tab/>
        <w:t xml:space="preserve">The LNG system shall be designed, constructed, installed, maintained and protected to ensure safe and reliable operation. </w:t>
      </w:r>
    </w:p>
    <w:p w:rsidR="00A26ED8" w:rsidRPr="00C903F8" w:rsidRDefault="00A26ED8" w:rsidP="00A26ED8">
      <w:pPr>
        <w:pStyle w:val="Esann8ch"/>
        <w:rPr>
          <w:lang w:val="en-GB"/>
        </w:rPr>
      </w:pPr>
    </w:p>
    <w:p w:rsidR="00A26ED8" w:rsidRPr="00C903F8" w:rsidRDefault="00A26ED8" w:rsidP="00A26ED8">
      <w:pPr>
        <w:pStyle w:val="Esann8ch"/>
        <w:rPr>
          <w:lang w:val="en-GB"/>
        </w:rPr>
      </w:pPr>
      <w:r w:rsidRPr="00C903F8">
        <w:rPr>
          <w:lang w:val="en-GB"/>
        </w:rPr>
        <w:t>1.4.3</w:t>
      </w:r>
      <w:r w:rsidRPr="00C903F8">
        <w:rPr>
          <w:lang w:val="en-GB"/>
        </w:rPr>
        <w:tab/>
        <w:t>Components of the LNG system shall be protected against external damages.</w:t>
      </w:r>
    </w:p>
    <w:p w:rsidR="00A26ED8" w:rsidRPr="00C903F8" w:rsidRDefault="00A26ED8" w:rsidP="00A26ED8">
      <w:pPr>
        <w:pStyle w:val="Esann8ch"/>
        <w:rPr>
          <w:lang w:val="en-GB"/>
        </w:rPr>
      </w:pPr>
    </w:p>
    <w:p w:rsidR="00A26ED8" w:rsidRPr="00C903F8" w:rsidRDefault="00A26ED8" w:rsidP="00A26ED8">
      <w:pPr>
        <w:pStyle w:val="Esann8ch"/>
        <w:rPr>
          <w:lang w:val="en-GB"/>
        </w:rPr>
      </w:pPr>
      <w:r w:rsidRPr="00C903F8">
        <w:rPr>
          <w:lang w:val="en-GB"/>
        </w:rPr>
        <w:t>1.4.4</w:t>
      </w:r>
      <w:r w:rsidRPr="00C903F8">
        <w:rPr>
          <w:lang w:val="en-GB"/>
        </w:rPr>
        <w:tab/>
        <w:t xml:space="preserve">Hazardous areas shall be restricted, as far as practicable, to minimize the potential risks that might affect the safety of the </w:t>
      </w:r>
      <w:r w:rsidR="000A13AD">
        <w:rPr>
          <w:lang w:val="en-GB"/>
        </w:rPr>
        <w:t>craft</w:t>
      </w:r>
      <w:r w:rsidRPr="00C903F8">
        <w:rPr>
          <w:lang w:val="en-GB"/>
        </w:rPr>
        <w:t xml:space="preserve">, people on board, environment and equipment. In particular, hazardous areas are parts of the </w:t>
      </w:r>
      <w:r w:rsidR="00343FC4">
        <w:rPr>
          <w:lang w:val="en-GB"/>
        </w:rPr>
        <w:t>vessel</w:t>
      </w:r>
      <w:r w:rsidRPr="00C903F8">
        <w:rPr>
          <w:lang w:val="en-GB"/>
        </w:rPr>
        <w:t xml:space="preserve"> not intended for passengers as referred to in Article 19.06(11).</w:t>
      </w:r>
    </w:p>
    <w:p w:rsidR="00A26ED8" w:rsidRPr="00C903F8" w:rsidRDefault="00A26ED8" w:rsidP="00A26ED8">
      <w:pPr>
        <w:pStyle w:val="Esann8ch"/>
        <w:rPr>
          <w:lang w:val="en-GB"/>
        </w:rPr>
      </w:pPr>
    </w:p>
    <w:p w:rsidR="00A26ED8" w:rsidRPr="00C903F8" w:rsidRDefault="00A26ED8" w:rsidP="00A26ED8">
      <w:pPr>
        <w:pStyle w:val="Esann8ch"/>
        <w:rPr>
          <w:lang w:val="en-GB"/>
        </w:rPr>
      </w:pPr>
      <w:r w:rsidRPr="00C903F8">
        <w:rPr>
          <w:lang w:val="en-GB"/>
        </w:rPr>
        <w:t xml:space="preserve">1.4.5 </w:t>
      </w:r>
      <w:r w:rsidRPr="00C903F8">
        <w:rPr>
          <w:lang w:val="en-GB"/>
        </w:rPr>
        <w:tab/>
        <w:t>Appropriate measures shall be taken to keep passengers away from hazardous areas.</w:t>
      </w:r>
    </w:p>
    <w:p w:rsidR="00A26ED8" w:rsidRPr="00C903F8" w:rsidRDefault="00A26ED8" w:rsidP="00A26ED8">
      <w:pPr>
        <w:pStyle w:val="Esann8ch"/>
        <w:rPr>
          <w:lang w:val="en-GB"/>
        </w:rPr>
      </w:pPr>
    </w:p>
    <w:p w:rsidR="00A26ED8" w:rsidRPr="00C903F8" w:rsidRDefault="00A26ED8" w:rsidP="00A26ED8">
      <w:pPr>
        <w:pStyle w:val="Esann8ch"/>
        <w:rPr>
          <w:lang w:val="en-GB"/>
        </w:rPr>
      </w:pPr>
      <w:r w:rsidRPr="00C903F8">
        <w:rPr>
          <w:lang w:val="en-GB"/>
        </w:rPr>
        <w:t>1.4.6</w:t>
      </w:r>
      <w:r w:rsidRPr="00C903F8">
        <w:rPr>
          <w:lang w:val="en-GB"/>
        </w:rPr>
        <w:tab/>
        <w:t>Equipment installed in hazardous areas shall be minimized to that required for operational purposes and shall be suitably and appropriately certified.</w:t>
      </w:r>
    </w:p>
    <w:p w:rsidR="00A26ED8" w:rsidRPr="00C903F8" w:rsidRDefault="00A26ED8" w:rsidP="00A26ED8">
      <w:pPr>
        <w:pStyle w:val="Esann8ch"/>
        <w:rPr>
          <w:lang w:val="en-GB"/>
        </w:rPr>
      </w:pPr>
    </w:p>
    <w:p w:rsidR="00A26ED8" w:rsidRPr="00C903F8" w:rsidRDefault="00A26ED8" w:rsidP="00A26ED8">
      <w:pPr>
        <w:pStyle w:val="Esann8ch"/>
        <w:rPr>
          <w:lang w:val="en-GB"/>
        </w:rPr>
      </w:pPr>
      <w:r w:rsidRPr="00C903F8">
        <w:rPr>
          <w:lang w:val="en-GB"/>
        </w:rPr>
        <w:t>1.4.7</w:t>
      </w:r>
      <w:r w:rsidRPr="00C903F8">
        <w:rPr>
          <w:lang w:val="en-GB"/>
        </w:rPr>
        <w:tab/>
        <w:t>Unintended accumulation of explosive or flammable gas concentrations shall be prevented.</w:t>
      </w:r>
    </w:p>
    <w:p w:rsidR="00A26ED8" w:rsidRPr="00C903F8" w:rsidRDefault="00A26ED8" w:rsidP="00544563">
      <w:pPr>
        <w:pStyle w:val="Esann8ch"/>
        <w:rPr>
          <w:lang w:val="en-GB"/>
        </w:rPr>
      </w:pPr>
    </w:p>
    <w:p w:rsidR="00A26ED8" w:rsidRPr="00C903F8" w:rsidRDefault="00A26ED8" w:rsidP="00544563">
      <w:pPr>
        <w:pStyle w:val="Esann8ch"/>
        <w:rPr>
          <w:lang w:val="en-GB"/>
        </w:rPr>
      </w:pPr>
    </w:p>
    <w:p w:rsidR="00ED22AF" w:rsidRPr="00C903F8" w:rsidRDefault="00ED22AF">
      <w:pPr>
        <w:autoSpaceDE/>
        <w:autoSpaceDN/>
        <w:ind w:left="0" w:firstLine="0"/>
        <w:jc w:val="left"/>
        <w:rPr>
          <w:rFonts w:eastAsia="Calibri" w:cs="Arial"/>
          <w:color w:val="000000"/>
          <w:szCs w:val="20"/>
          <w:lang w:val="en-GB" w:eastAsia="en-US"/>
        </w:rPr>
      </w:pPr>
      <w:r w:rsidRPr="00C903F8">
        <w:rPr>
          <w:lang w:val="en-GB"/>
        </w:rPr>
        <w:br w:type="page"/>
      </w:r>
    </w:p>
    <w:p w:rsidR="00ED22AF" w:rsidRPr="00C903F8" w:rsidRDefault="00ED22AF" w:rsidP="00544563">
      <w:pPr>
        <w:pStyle w:val="Esann8ch"/>
        <w:rPr>
          <w:lang w:val="en-GB"/>
        </w:rPr>
      </w:pPr>
    </w:p>
    <w:p w:rsidR="001D0FFC" w:rsidRPr="00C903F8" w:rsidRDefault="001D0FFC" w:rsidP="001D0FFC">
      <w:pPr>
        <w:pStyle w:val="Esann8ch"/>
        <w:rPr>
          <w:lang w:val="en-GB"/>
        </w:rPr>
      </w:pPr>
      <w:r w:rsidRPr="00C903F8">
        <w:rPr>
          <w:lang w:val="en-GB"/>
        </w:rPr>
        <w:t>1.4.8</w:t>
      </w:r>
      <w:r w:rsidRPr="00C903F8">
        <w:rPr>
          <w:lang w:val="en-GB"/>
        </w:rPr>
        <w:tab/>
        <w:t>Sources of ignition in hazardous areas shall be excluded to reduce the probability of explosions.</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1.4.9</w:t>
      </w:r>
      <w:r w:rsidRPr="00C903F8">
        <w:rPr>
          <w:lang w:val="en-GB"/>
        </w:rPr>
        <w:tab/>
        <w:t>A detailed operating manual</w:t>
      </w:r>
      <w:r w:rsidRPr="00C903F8">
        <w:rPr>
          <w:lang w:val="en-US"/>
        </w:rPr>
        <w:t xml:space="preserve"> </w:t>
      </w:r>
      <w:r w:rsidRPr="00C903F8">
        <w:rPr>
          <w:lang w:val="en-GB"/>
        </w:rPr>
        <w:t xml:space="preserve">of the LNG system shall be provided on board </w:t>
      </w:r>
      <w:r w:rsidR="000A13AD">
        <w:rPr>
          <w:lang w:val="en-GB"/>
        </w:rPr>
        <w:t>craft</w:t>
      </w:r>
      <w:r w:rsidRPr="00C903F8">
        <w:rPr>
          <w:lang w:val="en-GB"/>
        </w:rPr>
        <w:t xml:space="preserve"> using </w:t>
      </w:r>
      <w:r w:rsidRPr="00C903F8">
        <w:rPr>
          <w:iCs/>
          <w:lang w:val="en-US"/>
        </w:rPr>
        <w:t>liquefied natural gas (</w:t>
      </w:r>
      <w:r w:rsidRPr="00C903F8">
        <w:rPr>
          <w:lang w:val="en-GB"/>
        </w:rPr>
        <w:t>LNG) as fuel and which as minimum:</w:t>
      </w:r>
    </w:p>
    <w:p w:rsidR="001D0FFC" w:rsidRPr="00C903F8" w:rsidRDefault="001D0FFC" w:rsidP="001D0FFC">
      <w:pPr>
        <w:pStyle w:val="Esann8let"/>
        <w:rPr>
          <w:lang w:val="en-GB"/>
        </w:rPr>
      </w:pPr>
      <w:r w:rsidRPr="00C903F8">
        <w:rPr>
          <w:lang w:val="en-GB"/>
        </w:rPr>
        <w:t>a)</w:t>
      </w:r>
      <w:r w:rsidRPr="00C903F8">
        <w:rPr>
          <w:lang w:val="en-GB"/>
        </w:rPr>
        <w:tab/>
        <w:t>contains practical explanations about LNG bunkering system, LNG containment system, LNG piping system, Gas supply system, engine room, ventilation system, leakage prevention and control, monitoring and safety system,</w:t>
      </w:r>
    </w:p>
    <w:p w:rsidR="001D0FFC" w:rsidRPr="00C903F8" w:rsidRDefault="001D0FFC" w:rsidP="001D0FFC">
      <w:pPr>
        <w:pStyle w:val="Esann8let"/>
        <w:rPr>
          <w:lang w:val="en-GB"/>
        </w:rPr>
      </w:pPr>
      <w:r w:rsidRPr="00C903F8">
        <w:rPr>
          <w:lang w:val="en-GB"/>
        </w:rPr>
        <w:t>b)</w:t>
      </w:r>
      <w:r w:rsidRPr="00C903F8">
        <w:rPr>
          <w:lang w:val="en-GB"/>
        </w:rPr>
        <w:tab/>
        <w:t>describes the bunkering operations, especially valves operation, purging, inerting and gas freeing,</w:t>
      </w:r>
    </w:p>
    <w:p w:rsidR="001D0FFC" w:rsidRPr="00C903F8" w:rsidRDefault="001D0FFC" w:rsidP="001D0FFC">
      <w:pPr>
        <w:pStyle w:val="Esann8let"/>
        <w:rPr>
          <w:lang w:val="en-GB"/>
        </w:rPr>
      </w:pPr>
      <w:r w:rsidRPr="00C903F8">
        <w:rPr>
          <w:lang w:val="en-GB"/>
        </w:rPr>
        <w:t>c)</w:t>
      </w:r>
      <w:r w:rsidRPr="00C903F8">
        <w:rPr>
          <w:lang w:val="en-GB"/>
        </w:rPr>
        <w:tab/>
        <w:t>describes the relevant method of electrical insulation during bunkering operations,</w:t>
      </w:r>
    </w:p>
    <w:p w:rsidR="001D0FFC" w:rsidRPr="00C903F8" w:rsidRDefault="001D0FFC" w:rsidP="001D0FFC">
      <w:pPr>
        <w:pStyle w:val="Esann8let"/>
        <w:rPr>
          <w:lang w:val="en-GB"/>
        </w:rPr>
      </w:pPr>
      <w:r w:rsidRPr="00C903F8">
        <w:rPr>
          <w:lang w:val="en-GB"/>
        </w:rPr>
        <w:t xml:space="preserve">d) </w:t>
      </w:r>
      <w:r w:rsidRPr="00C903F8">
        <w:rPr>
          <w:lang w:val="en-GB"/>
        </w:rPr>
        <w:tab/>
        <w:t xml:space="preserve">describes the details of risks identified in the risk assessment as referred to in </w:t>
      </w:r>
      <w:r w:rsidR="0084166A">
        <w:rPr>
          <w:lang w:val="en-GB"/>
        </w:rPr>
        <w:t>(</w:t>
      </w:r>
      <w:r w:rsidRPr="00C903F8">
        <w:rPr>
          <w:lang w:val="en-GB"/>
        </w:rPr>
        <w:t>1.3</w:t>
      </w:r>
      <w:r w:rsidR="0084166A">
        <w:rPr>
          <w:lang w:val="en-GB"/>
        </w:rPr>
        <w:t>)</w:t>
      </w:r>
      <w:r w:rsidRPr="00C903F8">
        <w:rPr>
          <w:lang w:val="en-GB"/>
        </w:rPr>
        <w:t xml:space="preserve"> and the means by which they are mitigated.</w:t>
      </w:r>
    </w:p>
    <w:p w:rsidR="001D0FFC" w:rsidRPr="00C903F8" w:rsidRDefault="001D0FFC" w:rsidP="001D0FFC">
      <w:pPr>
        <w:adjustRightInd w:val="0"/>
        <w:spacing w:line="240" w:lineRule="atLeast"/>
        <w:ind w:left="709" w:hanging="709"/>
        <w:rPr>
          <w:rFonts w:eastAsia="Calibri" w:cs="Arial"/>
          <w:szCs w:val="20"/>
          <w:lang w:val="en-GB" w:eastAsia="en-US"/>
        </w:rPr>
      </w:pPr>
    </w:p>
    <w:p w:rsidR="001D0FFC" w:rsidRPr="00C903F8" w:rsidRDefault="001D0FFC" w:rsidP="001D0FFC">
      <w:pPr>
        <w:pStyle w:val="Esann8ch"/>
        <w:rPr>
          <w:lang w:val="en-GB"/>
        </w:rPr>
      </w:pPr>
      <w:r w:rsidRPr="00C903F8">
        <w:rPr>
          <w:lang w:val="en-GB"/>
        </w:rPr>
        <w:t>1.4.10</w:t>
      </w:r>
      <w:r w:rsidRPr="00C903F8">
        <w:rPr>
          <w:lang w:val="en-GB"/>
        </w:rPr>
        <w:tab/>
        <w:t>A fire or explosion caused by released gas in LNG containment systems and engine rooms shall not render the essential machinery or equipment in other compartments inoperable.</w:t>
      </w:r>
    </w:p>
    <w:p w:rsidR="001D0FFC" w:rsidRPr="00C903F8" w:rsidRDefault="001D0FFC" w:rsidP="001D0FFC">
      <w:pPr>
        <w:adjustRightInd w:val="0"/>
        <w:spacing w:line="240" w:lineRule="atLeast"/>
        <w:ind w:left="709" w:hanging="709"/>
        <w:rPr>
          <w:rFonts w:eastAsia="Calibri" w:cs="Arial"/>
          <w:szCs w:val="20"/>
          <w:lang w:val="en-GB" w:eastAsia="en-US"/>
        </w:rPr>
      </w:pPr>
    </w:p>
    <w:p w:rsidR="001D0FFC" w:rsidRPr="00C903F8" w:rsidRDefault="001D0FFC" w:rsidP="001D0FFC">
      <w:pPr>
        <w:pStyle w:val="Esann8chgras"/>
        <w:rPr>
          <w:rFonts w:eastAsia="Calibri"/>
          <w:lang w:val="en-US" w:eastAsia="en-US"/>
        </w:rPr>
      </w:pPr>
      <w:r w:rsidRPr="00C903F8">
        <w:rPr>
          <w:rFonts w:eastAsia="Calibri"/>
          <w:lang w:val="en-US" w:eastAsia="en-US"/>
        </w:rPr>
        <w:t>1.5</w:t>
      </w:r>
      <w:r w:rsidRPr="00C903F8">
        <w:rPr>
          <w:rFonts w:eastAsia="Calibri"/>
          <w:lang w:val="en-US" w:eastAsia="en-US"/>
        </w:rPr>
        <w:tab/>
        <w:t xml:space="preserve">Knowledge </w:t>
      </w:r>
      <w:r w:rsidR="007873EA">
        <w:rPr>
          <w:rFonts w:eastAsia="Calibri"/>
          <w:lang w:val="en-US" w:eastAsia="en-US"/>
        </w:rPr>
        <w:t xml:space="preserve">of the </w:t>
      </w:r>
      <w:r w:rsidRPr="00C903F8">
        <w:rPr>
          <w:rFonts w:eastAsia="Calibri"/>
          <w:lang w:val="en-US" w:eastAsia="en-US"/>
        </w:rPr>
        <w:t>technical service</w:t>
      </w:r>
    </w:p>
    <w:p w:rsidR="001D0FFC" w:rsidRPr="00C903F8" w:rsidRDefault="001D0FFC" w:rsidP="001D0FFC">
      <w:pPr>
        <w:autoSpaceDE/>
        <w:autoSpaceDN/>
        <w:spacing w:line="240" w:lineRule="atLeast"/>
        <w:ind w:left="0" w:firstLine="0"/>
        <w:jc w:val="left"/>
        <w:rPr>
          <w:rFonts w:cs="Arial"/>
          <w:b/>
          <w:szCs w:val="20"/>
          <w:lang w:val="en-US"/>
        </w:rPr>
      </w:pPr>
    </w:p>
    <w:p w:rsidR="001D0FFC" w:rsidRPr="00C903F8" w:rsidRDefault="001D0FFC" w:rsidP="001D0FFC">
      <w:pPr>
        <w:pStyle w:val="Esann8chpar"/>
        <w:rPr>
          <w:lang w:val="en-US"/>
        </w:rPr>
      </w:pPr>
      <w:r w:rsidRPr="00C903F8">
        <w:rPr>
          <w:lang w:val="en-US"/>
        </w:rPr>
        <w:t xml:space="preserve">The knowledge of the technical service referred to in Article </w:t>
      </w:r>
      <w:r w:rsidR="00935328" w:rsidRPr="00C903F8">
        <w:rPr>
          <w:lang w:val="en-US"/>
        </w:rPr>
        <w:t>30</w:t>
      </w:r>
      <w:r w:rsidRPr="00C903F8">
        <w:rPr>
          <w:lang w:val="en-US"/>
        </w:rPr>
        <w:t>.01(4) shall cover at least the following areas:</w:t>
      </w:r>
    </w:p>
    <w:p w:rsidR="001D0FFC" w:rsidRPr="00C903F8" w:rsidRDefault="001D0FFC" w:rsidP="001D0FFC">
      <w:pPr>
        <w:pStyle w:val="Esann8let"/>
        <w:rPr>
          <w:lang w:val="en-GB"/>
        </w:rPr>
      </w:pPr>
      <w:r w:rsidRPr="00C903F8">
        <w:rPr>
          <w:lang w:val="en-GB"/>
        </w:rPr>
        <w:t>a)</w:t>
      </w:r>
      <w:r w:rsidRPr="00C903F8">
        <w:rPr>
          <w:lang w:val="en-GB"/>
        </w:rPr>
        <w:tab/>
        <w:t xml:space="preserve">fuel system including tanks, heat exchangers, pipelines, </w:t>
      </w:r>
    </w:p>
    <w:p w:rsidR="001D0FFC" w:rsidRPr="00C903F8" w:rsidRDefault="001D0FFC" w:rsidP="001D0FFC">
      <w:pPr>
        <w:pStyle w:val="Esann8let"/>
        <w:rPr>
          <w:lang w:val="en-GB"/>
        </w:rPr>
      </w:pPr>
      <w:r w:rsidRPr="00C903F8">
        <w:rPr>
          <w:lang w:val="en-GB"/>
        </w:rPr>
        <w:t>b)</w:t>
      </w:r>
      <w:r w:rsidRPr="00C903F8">
        <w:rPr>
          <w:lang w:val="en-GB"/>
        </w:rPr>
        <w:tab/>
        <w:t xml:space="preserve">strength (longitudinal and local) and stability of the </w:t>
      </w:r>
      <w:r w:rsidR="000A13AD">
        <w:rPr>
          <w:lang w:val="en-GB"/>
        </w:rPr>
        <w:t>craft</w:t>
      </w:r>
      <w:r w:rsidRPr="00C903F8">
        <w:rPr>
          <w:lang w:val="en-GB"/>
        </w:rPr>
        <w:t>,</w:t>
      </w:r>
    </w:p>
    <w:p w:rsidR="001D0FFC" w:rsidRPr="00C903F8" w:rsidRDefault="001D0FFC" w:rsidP="001D0FFC">
      <w:pPr>
        <w:pStyle w:val="Esann8let"/>
        <w:rPr>
          <w:lang w:val="en-GB"/>
        </w:rPr>
      </w:pPr>
      <w:r w:rsidRPr="00C903F8">
        <w:rPr>
          <w:lang w:val="en-GB"/>
        </w:rPr>
        <w:t>c)</w:t>
      </w:r>
      <w:r w:rsidRPr="00C903F8">
        <w:rPr>
          <w:lang w:val="en-GB"/>
        </w:rPr>
        <w:tab/>
        <w:t>electrical and control systems,</w:t>
      </w:r>
    </w:p>
    <w:p w:rsidR="001D0FFC" w:rsidRPr="00C903F8" w:rsidRDefault="001D0FFC" w:rsidP="001D0FFC">
      <w:pPr>
        <w:pStyle w:val="Esann8let"/>
        <w:rPr>
          <w:lang w:val="en-GB"/>
        </w:rPr>
      </w:pPr>
      <w:r w:rsidRPr="00C903F8">
        <w:rPr>
          <w:lang w:val="en-GB"/>
        </w:rPr>
        <w:t>d)</w:t>
      </w:r>
      <w:r w:rsidRPr="00C903F8">
        <w:rPr>
          <w:lang w:val="en-GB"/>
        </w:rPr>
        <w:tab/>
        <w:t>ventilation system,</w:t>
      </w:r>
    </w:p>
    <w:p w:rsidR="001D0FFC" w:rsidRPr="00C903F8" w:rsidRDefault="001D0FFC" w:rsidP="001D0FFC">
      <w:pPr>
        <w:pStyle w:val="Esann8let"/>
        <w:rPr>
          <w:lang w:val="en-GB"/>
        </w:rPr>
      </w:pPr>
      <w:r w:rsidRPr="00C903F8">
        <w:rPr>
          <w:lang w:val="en-GB"/>
        </w:rPr>
        <w:t>e)</w:t>
      </w:r>
      <w:r w:rsidRPr="00C903F8">
        <w:rPr>
          <w:lang w:val="en-GB"/>
        </w:rPr>
        <w:tab/>
        <w:t>fire safety,</w:t>
      </w:r>
    </w:p>
    <w:p w:rsidR="001D0FFC" w:rsidRPr="00C903F8" w:rsidRDefault="001D0FFC" w:rsidP="001D0FFC">
      <w:pPr>
        <w:pStyle w:val="Esann8let"/>
        <w:rPr>
          <w:lang w:val="en-GB"/>
        </w:rPr>
      </w:pPr>
      <w:r w:rsidRPr="00C903F8">
        <w:rPr>
          <w:lang w:val="en-GB"/>
        </w:rPr>
        <w:t>f)</w:t>
      </w:r>
      <w:r w:rsidRPr="00C903F8">
        <w:rPr>
          <w:lang w:val="en-GB"/>
        </w:rPr>
        <w:tab/>
        <w:t>gas warning equipment.</w:t>
      </w:r>
    </w:p>
    <w:p w:rsidR="001D0FFC" w:rsidRPr="00C903F8" w:rsidRDefault="001D0FFC" w:rsidP="001D0FFC">
      <w:pPr>
        <w:adjustRightInd w:val="0"/>
        <w:spacing w:line="240" w:lineRule="atLeast"/>
        <w:ind w:left="709" w:hanging="709"/>
        <w:rPr>
          <w:rFonts w:eastAsia="Calibri" w:cs="Arial"/>
          <w:szCs w:val="20"/>
          <w:lang w:val="en-GB" w:eastAsia="en-US"/>
        </w:rPr>
      </w:pPr>
    </w:p>
    <w:p w:rsidR="001D0FFC" w:rsidRPr="00C903F8" w:rsidRDefault="001D0FFC" w:rsidP="001D0FFC">
      <w:pPr>
        <w:pStyle w:val="Esann8chgras"/>
        <w:rPr>
          <w:rFonts w:eastAsia="Calibri"/>
          <w:lang w:val="en-GB" w:eastAsia="en-US"/>
        </w:rPr>
      </w:pPr>
      <w:r w:rsidRPr="00C903F8">
        <w:rPr>
          <w:rFonts w:eastAsia="Calibri"/>
          <w:lang w:val="en-GB" w:eastAsia="en-US"/>
        </w:rPr>
        <w:t>1.6</w:t>
      </w:r>
      <w:r w:rsidRPr="00C903F8">
        <w:rPr>
          <w:rFonts w:eastAsia="Calibri"/>
          <w:lang w:val="en-GB" w:eastAsia="en-US"/>
        </w:rPr>
        <w:tab/>
        <w:t>Marking</w:t>
      </w:r>
    </w:p>
    <w:p w:rsidR="001D0FFC" w:rsidRPr="00C903F8" w:rsidRDefault="001D0FFC" w:rsidP="001D0FFC">
      <w:pPr>
        <w:adjustRightInd w:val="0"/>
        <w:spacing w:line="240" w:lineRule="atLeast"/>
        <w:ind w:left="709" w:hanging="709"/>
        <w:rPr>
          <w:rFonts w:eastAsia="Calibri" w:cs="Arial"/>
          <w:b/>
          <w:szCs w:val="20"/>
          <w:lang w:val="en-GB" w:eastAsia="en-US"/>
        </w:rPr>
      </w:pPr>
    </w:p>
    <w:p w:rsidR="001D0FFC" w:rsidRPr="00C903F8" w:rsidRDefault="001D0FFC" w:rsidP="001D0FFC">
      <w:pPr>
        <w:pStyle w:val="Esann8chpar"/>
        <w:rPr>
          <w:lang w:val="en-GB"/>
        </w:rPr>
      </w:pPr>
      <w:r w:rsidRPr="00C903F8">
        <w:rPr>
          <w:lang w:val="en-GB"/>
        </w:rPr>
        <w:t xml:space="preserve">Doors to rooms where </w:t>
      </w:r>
      <w:r w:rsidRPr="00C903F8">
        <w:rPr>
          <w:iCs/>
          <w:lang w:val="en-US"/>
        </w:rPr>
        <w:t>liquefied natural gas (</w:t>
      </w:r>
      <w:r w:rsidRPr="00C903F8">
        <w:rPr>
          <w:lang w:val="en-GB"/>
        </w:rPr>
        <w:t xml:space="preserve">LNG) is used shall bear on the outside a symbol for “LNG warning” in accordance with Figure 11 of Annex </w:t>
      </w:r>
      <w:r w:rsidR="00935328" w:rsidRPr="00C903F8">
        <w:rPr>
          <w:lang w:val="en-GB"/>
        </w:rPr>
        <w:t>4</w:t>
      </w:r>
      <w:r w:rsidRPr="00C903F8">
        <w:rPr>
          <w:lang w:val="en-GB"/>
        </w:rPr>
        <w:t>, at least 10 cm in height.</w:t>
      </w:r>
    </w:p>
    <w:p w:rsidR="001D0FFC" w:rsidRPr="00C903F8" w:rsidRDefault="001D0FFC" w:rsidP="001D0FFC">
      <w:pPr>
        <w:adjustRightInd w:val="0"/>
        <w:spacing w:line="240" w:lineRule="atLeast"/>
        <w:ind w:left="709" w:hanging="709"/>
        <w:rPr>
          <w:rFonts w:eastAsia="Calibri" w:cs="Arial"/>
          <w:szCs w:val="20"/>
          <w:lang w:val="en-GB" w:eastAsia="en-US"/>
        </w:rPr>
      </w:pPr>
    </w:p>
    <w:p w:rsidR="001D0FFC" w:rsidRPr="00C903F8" w:rsidRDefault="001D0FFC" w:rsidP="001D0FFC">
      <w:pPr>
        <w:autoSpaceDE/>
        <w:autoSpaceDN/>
        <w:ind w:left="0" w:firstLine="0"/>
        <w:jc w:val="left"/>
        <w:rPr>
          <w:rFonts w:cs="Arial"/>
          <w:b/>
          <w:szCs w:val="20"/>
          <w:lang w:val="en-US"/>
        </w:rPr>
      </w:pPr>
    </w:p>
    <w:p w:rsidR="001D0FFC" w:rsidRPr="00C903F8" w:rsidRDefault="001D0FFC" w:rsidP="001D0FFC">
      <w:pPr>
        <w:pStyle w:val="Esann8titrechap"/>
        <w:rPr>
          <w:lang w:val="en-US"/>
        </w:rPr>
      </w:pPr>
      <w:r w:rsidRPr="00C903F8">
        <w:rPr>
          <w:lang w:val="en-US"/>
        </w:rPr>
        <w:t xml:space="preserve">Chapter 2 </w:t>
      </w:r>
    </w:p>
    <w:p w:rsidR="001D0FFC" w:rsidRPr="00C903F8" w:rsidRDefault="001D0FFC" w:rsidP="001D0FFC">
      <w:pPr>
        <w:pStyle w:val="Esann8titrechap"/>
        <w:rPr>
          <w:lang w:val="en-US"/>
        </w:rPr>
      </w:pPr>
      <w:r w:rsidRPr="00C903F8">
        <w:rPr>
          <w:lang w:val="en-US"/>
        </w:rPr>
        <w:t>Vessel Arrangements and System Design</w:t>
      </w:r>
    </w:p>
    <w:p w:rsidR="001D0FFC" w:rsidRPr="00C903F8" w:rsidRDefault="001D0FFC" w:rsidP="001D0FFC">
      <w:pPr>
        <w:pStyle w:val="Esannch"/>
        <w:rPr>
          <w:lang w:val="en-US"/>
        </w:rPr>
      </w:pPr>
    </w:p>
    <w:p w:rsidR="001D0FFC" w:rsidRPr="00C903F8" w:rsidRDefault="001D0FFC" w:rsidP="001D0FFC">
      <w:pPr>
        <w:pStyle w:val="Esann8chgras"/>
        <w:rPr>
          <w:lang w:val="en-GB"/>
        </w:rPr>
      </w:pPr>
      <w:r w:rsidRPr="00C903F8">
        <w:rPr>
          <w:lang w:val="en-GB"/>
        </w:rPr>
        <w:t>2.1</w:t>
      </w:r>
      <w:r w:rsidRPr="00C903F8">
        <w:rPr>
          <w:lang w:val="en-GB"/>
        </w:rPr>
        <w:tab/>
        <w:t xml:space="preserve">LNG containment system </w:t>
      </w:r>
    </w:p>
    <w:p w:rsidR="001D0FFC" w:rsidRPr="00C903F8" w:rsidRDefault="001D0FFC" w:rsidP="001D0FFC">
      <w:pPr>
        <w:adjustRightInd w:val="0"/>
        <w:spacing w:line="240" w:lineRule="atLeast"/>
        <w:ind w:left="709" w:hanging="709"/>
        <w:rPr>
          <w:rFonts w:eastAsia="Calibri" w:cs="Arial"/>
          <w:szCs w:val="20"/>
          <w:lang w:val="en-GB" w:eastAsia="en-US"/>
        </w:rPr>
      </w:pPr>
    </w:p>
    <w:p w:rsidR="001D0FFC" w:rsidRPr="00C903F8" w:rsidRDefault="001D0FFC" w:rsidP="001D0FFC">
      <w:pPr>
        <w:pStyle w:val="Esann8ch"/>
        <w:rPr>
          <w:lang w:val="en-US"/>
        </w:rPr>
      </w:pPr>
      <w:r w:rsidRPr="00C903F8">
        <w:rPr>
          <w:lang w:val="en-US"/>
        </w:rPr>
        <w:t>2.1.1</w:t>
      </w:r>
      <w:r w:rsidRPr="00C903F8">
        <w:rPr>
          <w:lang w:val="en-US"/>
        </w:rPr>
        <w:tab/>
        <w:t>The LNG containment system shall be separated from engine rooms or other high fire risk areas.</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2.1.2</w:t>
      </w:r>
      <w:r w:rsidRPr="00C903F8">
        <w:rPr>
          <w:lang w:val="en-US"/>
        </w:rPr>
        <w:tab/>
        <w:t>LNG fuel tanks shall be located as close as possible to the longitudinal centreline of the vessel.</w:t>
      </w:r>
    </w:p>
    <w:p w:rsidR="005C7DB3" w:rsidRPr="00C903F8" w:rsidRDefault="005C7DB3" w:rsidP="00ED22AF">
      <w:pPr>
        <w:pStyle w:val="Esann8ch"/>
        <w:rPr>
          <w:lang w:val="en-GB"/>
        </w:rPr>
      </w:pPr>
    </w:p>
    <w:p w:rsidR="00ED22AF" w:rsidRPr="00C903F8" w:rsidRDefault="00ED22AF">
      <w:pPr>
        <w:autoSpaceDE/>
        <w:autoSpaceDN/>
        <w:ind w:left="0" w:firstLine="0"/>
        <w:jc w:val="left"/>
        <w:rPr>
          <w:rFonts w:eastAsia="Calibri" w:cs="Arial"/>
          <w:color w:val="000000"/>
          <w:szCs w:val="20"/>
          <w:lang w:val="en-GB" w:eastAsia="en-US"/>
        </w:rPr>
      </w:pPr>
      <w:r w:rsidRPr="00C903F8">
        <w:rPr>
          <w:lang w:val="en-GB"/>
        </w:rPr>
        <w:br w:type="page"/>
      </w:r>
    </w:p>
    <w:p w:rsidR="00ED22AF" w:rsidRPr="00C903F8" w:rsidRDefault="00ED22AF" w:rsidP="00ED22AF">
      <w:pPr>
        <w:pStyle w:val="Esann8ch"/>
        <w:rPr>
          <w:lang w:val="en-GB"/>
        </w:rPr>
      </w:pPr>
    </w:p>
    <w:p w:rsidR="001D0FFC" w:rsidRPr="00C903F8" w:rsidRDefault="001D0FFC" w:rsidP="001D0FFC">
      <w:pPr>
        <w:pStyle w:val="Esann8ch"/>
        <w:rPr>
          <w:lang w:val="en-US"/>
        </w:rPr>
      </w:pPr>
      <w:r w:rsidRPr="00C903F8">
        <w:rPr>
          <w:lang w:val="en-US"/>
        </w:rPr>
        <w:t xml:space="preserve">2.1.3 </w:t>
      </w:r>
      <w:r w:rsidRPr="00C903F8">
        <w:rPr>
          <w:lang w:val="en-US"/>
        </w:rPr>
        <w:tab/>
        <w:t>The distance betwe</w:t>
      </w:r>
      <w:r w:rsidR="000A13AD">
        <w:rPr>
          <w:lang w:val="en-US"/>
        </w:rPr>
        <w:t>en the ship’s wall of the craft</w:t>
      </w:r>
      <w:r w:rsidRPr="00C903F8">
        <w:rPr>
          <w:lang w:val="en-US"/>
        </w:rPr>
        <w:t xml:space="preserve"> and the LNG fuel tank sha</w:t>
      </w:r>
      <w:r w:rsidR="0084166A">
        <w:rPr>
          <w:lang w:val="en-US"/>
        </w:rPr>
        <w:t xml:space="preserve">ll not be less than 1,00 m. </w:t>
      </w:r>
      <w:r w:rsidR="0084166A" w:rsidRPr="00C903F8">
        <w:rPr>
          <w:lang w:val="en-US"/>
        </w:rPr>
        <w:t>If LNG fuel tanks ar</w:t>
      </w:r>
      <w:r w:rsidR="0084166A">
        <w:rPr>
          <w:lang w:val="en-US"/>
        </w:rPr>
        <w:t>e located:</w:t>
      </w:r>
    </w:p>
    <w:p w:rsidR="001D0FFC" w:rsidRPr="00C903F8" w:rsidRDefault="001D0FFC" w:rsidP="001D0FFC">
      <w:pPr>
        <w:pStyle w:val="Esann8let"/>
        <w:rPr>
          <w:lang w:val="en-US"/>
        </w:rPr>
      </w:pPr>
      <w:r w:rsidRPr="00C903F8">
        <w:rPr>
          <w:lang w:val="en-US"/>
        </w:rPr>
        <w:t>a)</w:t>
      </w:r>
      <w:r w:rsidR="0084166A">
        <w:rPr>
          <w:lang w:val="en-US"/>
        </w:rPr>
        <w:tab/>
      </w:r>
      <w:r w:rsidR="000A13AD">
        <w:rPr>
          <w:lang w:val="en-US"/>
        </w:rPr>
        <w:t>below deck, the craft</w:t>
      </w:r>
      <w:r w:rsidRPr="00C903F8">
        <w:rPr>
          <w:lang w:val="en-US"/>
        </w:rPr>
        <w:t xml:space="preserve"> shall have a double wall and a double bottom construction at the location of the LNG fuel tanks. The distance between the ship’s wall </w:t>
      </w:r>
      <w:r w:rsidR="000A13AD">
        <w:rPr>
          <w:lang w:val="en-US"/>
        </w:rPr>
        <w:t>and the inner wall of the craft</w:t>
      </w:r>
      <w:r w:rsidRPr="00C903F8">
        <w:rPr>
          <w:lang w:val="en-US"/>
        </w:rPr>
        <w:t xml:space="preserve"> shall not be less than 0,60 m. The depth of the double bottoms shall not be less than 0,60 m. </w:t>
      </w:r>
    </w:p>
    <w:p w:rsidR="001D0FFC" w:rsidRPr="00C903F8" w:rsidRDefault="0084166A" w:rsidP="001D0FFC">
      <w:pPr>
        <w:pStyle w:val="Esann8let"/>
        <w:rPr>
          <w:lang w:val="en-US"/>
        </w:rPr>
      </w:pPr>
      <w:r>
        <w:rPr>
          <w:lang w:val="en-US"/>
        </w:rPr>
        <w:t>b)</w:t>
      </w:r>
      <w:r>
        <w:rPr>
          <w:lang w:val="en-US"/>
        </w:rPr>
        <w:tab/>
      </w:r>
      <w:r w:rsidR="001D0FFC" w:rsidRPr="00C903F8">
        <w:rPr>
          <w:lang w:val="en-US"/>
        </w:rPr>
        <w:t>on open deck, the distance shall be at least B/5 from the vertical planes defined by the ship’s sides of the</w:t>
      </w:r>
      <w:r w:rsidR="000A13AD">
        <w:rPr>
          <w:lang w:val="en-US"/>
        </w:rPr>
        <w:t xml:space="preserve"> craft</w:t>
      </w:r>
      <w:r w:rsidR="001D0FFC" w:rsidRPr="00C903F8">
        <w:rPr>
          <w:lang w:val="en-US"/>
        </w:rPr>
        <w:t xml:space="preserve">.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2.1.4</w:t>
      </w:r>
      <w:r w:rsidRPr="00C903F8">
        <w:rPr>
          <w:lang w:val="en-US"/>
        </w:rPr>
        <w:tab/>
        <w:t>The LNG fuel tank shall be an independent tank designed in accordance with the European Standards EN 13530: 2002, EN 13458-2: 2002 in combination with dynamic loads, or the IGC-Code (type C tank). The inspection body can accept other equivalent standards of one of the Rhine riparian States and Belgium.</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2.1.5</w:t>
      </w:r>
      <w:r w:rsidRPr="00C903F8">
        <w:rPr>
          <w:lang w:val="en-US"/>
        </w:rPr>
        <w:tab/>
        <w:t xml:space="preserve">Tank connections shall be mounted above the highest liquid level in the tanks. The inspection body can accept connections below the highest liquid level. </w:t>
      </w:r>
    </w:p>
    <w:p w:rsidR="001D0FFC" w:rsidRDefault="001D0FFC" w:rsidP="001D0FFC">
      <w:pPr>
        <w:pStyle w:val="Esann8ch"/>
        <w:rPr>
          <w:lang w:val="en-US"/>
        </w:rPr>
      </w:pPr>
    </w:p>
    <w:p w:rsidR="0084166A" w:rsidRPr="00C903F8" w:rsidRDefault="0084166A" w:rsidP="0084166A">
      <w:pPr>
        <w:pStyle w:val="Esann8ch"/>
        <w:rPr>
          <w:lang w:val="en-US"/>
        </w:rPr>
      </w:pPr>
      <w:r>
        <w:rPr>
          <w:lang w:val="en-US"/>
        </w:rPr>
        <w:t>2.1.6</w:t>
      </w:r>
      <w:r w:rsidRPr="00C903F8">
        <w:rPr>
          <w:lang w:val="en-US"/>
        </w:rPr>
        <w:tab/>
        <w:t>If tank connections are below the highest liquid level of the LNG fuel tanks, drip trays shall be placed below the tanks that meet the following requirements:</w:t>
      </w:r>
    </w:p>
    <w:p w:rsidR="0084166A" w:rsidRPr="00C903F8" w:rsidRDefault="0084166A" w:rsidP="0084166A">
      <w:pPr>
        <w:pStyle w:val="Esann8let"/>
        <w:rPr>
          <w:lang w:val="en-US"/>
        </w:rPr>
      </w:pPr>
      <w:r w:rsidRPr="00C903F8">
        <w:rPr>
          <w:lang w:val="en-US"/>
        </w:rPr>
        <w:t>a)</w:t>
      </w:r>
      <w:r w:rsidRPr="00C903F8">
        <w:rPr>
          <w:lang w:val="en-US"/>
        </w:rPr>
        <w:tab/>
        <w:t>the capacity of the drip tray shall be sufficient to contain the volume which could escape in the event of a pipe connection failure.</w:t>
      </w:r>
    </w:p>
    <w:p w:rsidR="0084166A" w:rsidRPr="00C903F8" w:rsidRDefault="0084166A" w:rsidP="0084166A">
      <w:pPr>
        <w:pStyle w:val="Esann8let"/>
        <w:rPr>
          <w:lang w:val="en-US"/>
        </w:rPr>
      </w:pPr>
      <w:r w:rsidRPr="00C903F8">
        <w:rPr>
          <w:lang w:val="en-US"/>
        </w:rPr>
        <w:t>b)</w:t>
      </w:r>
      <w:r w:rsidRPr="00C903F8">
        <w:rPr>
          <w:lang w:val="en-US"/>
        </w:rPr>
        <w:tab/>
        <w:t xml:space="preserve">the material of the drip tray shall be suitable stainless steel. </w:t>
      </w:r>
    </w:p>
    <w:p w:rsidR="0084166A" w:rsidRPr="00C903F8" w:rsidRDefault="0084166A" w:rsidP="0084166A">
      <w:pPr>
        <w:pStyle w:val="Esann8let"/>
        <w:rPr>
          <w:lang w:val="en-US"/>
        </w:rPr>
      </w:pPr>
      <w:r w:rsidRPr="00C903F8">
        <w:rPr>
          <w:lang w:val="en-US"/>
        </w:rPr>
        <w:t>c)</w:t>
      </w:r>
      <w:r w:rsidRPr="00C903F8">
        <w:rPr>
          <w:lang w:val="en-US"/>
        </w:rPr>
        <w:tab/>
        <w:t xml:space="preserve">the drip tray shall be sufficiently separated or insulated from the hull or deck structures, so that the hull or deck structures are not exposed to unacceptable cooling in case of leakage of </w:t>
      </w:r>
      <w:r w:rsidRPr="00C903F8">
        <w:rPr>
          <w:iCs/>
          <w:lang w:val="en-US"/>
        </w:rPr>
        <w:t>liquefied natural gas (</w:t>
      </w:r>
      <w:r w:rsidRPr="00C903F8">
        <w:rPr>
          <w:lang w:val="en-US"/>
        </w:rPr>
        <w:t>LNG).</w:t>
      </w:r>
    </w:p>
    <w:p w:rsidR="0084166A" w:rsidRDefault="0084166A" w:rsidP="001D0FFC">
      <w:pPr>
        <w:pStyle w:val="Esann8ch"/>
        <w:rPr>
          <w:lang w:val="en-US"/>
        </w:rPr>
      </w:pPr>
    </w:p>
    <w:p w:rsidR="0084166A" w:rsidRPr="00C903F8" w:rsidRDefault="0084166A" w:rsidP="001D0FFC">
      <w:pPr>
        <w:pStyle w:val="Esann8ch"/>
        <w:rPr>
          <w:lang w:val="en-US"/>
        </w:rPr>
      </w:pPr>
    </w:p>
    <w:p w:rsidR="001D0FFC" w:rsidRPr="00C903F8" w:rsidRDefault="0084166A" w:rsidP="001D0FFC">
      <w:pPr>
        <w:pStyle w:val="Esann8ch"/>
        <w:rPr>
          <w:lang w:val="en-US"/>
        </w:rPr>
      </w:pPr>
      <w:r>
        <w:rPr>
          <w:lang w:val="en-US"/>
        </w:rPr>
        <w:t>2.1.7</w:t>
      </w:r>
      <w:r w:rsidR="001D0FFC" w:rsidRPr="00C903F8">
        <w:rPr>
          <w:lang w:val="en-US"/>
        </w:rPr>
        <w:tab/>
        <w:t>The LNG containment system shall be provided with a secondary barrier. No secondary barrier is required for the LNG containment systems where the probability for structural failures and leakages through the primary barrier is extremely low and can be neglected.</w:t>
      </w:r>
    </w:p>
    <w:p w:rsidR="001D0FFC" w:rsidRPr="00C903F8" w:rsidRDefault="001D0FFC" w:rsidP="001D0FFC">
      <w:pPr>
        <w:pStyle w:val="Esann8ch"/>
        <w:rPr>
          <w:lang w:val="en-US"/>
        </w:rPr>
      </w:pPr>
    </w:p>
    <w:p w:rsidR="001D0FFC" w:rsidRPr="00C903F8" w:rsidRDefault="0084166A" w:rsidP="001D0FFC">
      <w:pPr>
        <w:pStyle w:val="Esann8ch"/>
        <w:rPr>
          <w:lang w:val="en-US"/>
        </w:rPr>
      </w:pPr>
      <w:r>
        <w:rPr>
          <w:lang w:val="en-US"/>
        </w:rPr>
        <w:t>2.1.8</w:t>
      </w:r>
      <w:r w:rsidR="001D0FFC" w:rsidRPr="00C903F8">
        <w:rPr>
          <w:lang w:val="en-US"/>
        </w:rPr>
        <w:tab/>
        <w:t>If the secondary barrier of the LNG containment system is part of the hull structure it may be a boundary of the tank room subject to necessary precautions against leakage of cryogenic liquid.</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2.1.9</w:t>
      </w:r>
      <w:r w:rsidRPr="00C903F8">
        <w:rPr>
          <w:lang w:val="en-US"/>
        </w:rPr>
        <w:tab/>
        <w:t>The location and construction of the LNG containment system and the other equipment on open deck shall assure sufficient ventilation. Accumulation of escaped natural gas shall be prevented.</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2.1.10</w:t>
      </w:r>
      <w:r w:rsidRPr="00C903F8">
        <w:rPr>
          <w:lang w:val="en-US"/>
        </w:rPr>
        <w:tab/>
        <w:t xml:space="preserve">If condensation and icing due to cold surfaces of LNG fuel tanks may lead to safety or functional problems, appropriate preventive or remedial measures shall be taken.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2.1.11</w:t>
      </w:r>
      <w:r w:rsidRPr="00C903F8">
        <w:rPr>
          <w:lang w:val="en-US"/>
        </w:rPr>
        <w:tab/>
        <w:t xml:space="preserve">Each LNG fuel tank is to be fitted with at least two </w:t>
      </w:r>
      <w:r w:rsidRPr="00C903F8">
        <w:rPr>
          <w:iCs/>
          <w:lang w:val="en-US"/>
        </w:rPr>
        <w:t>pressure relief valves</w:t>
      </w:r>
      <w:r w:rsidRPr="00C903F8">
        <w:rPr>
          <w:lang w:val="en-US"/>
        </w:rPr>
        <w:t xml:space="preserve"> that can prevent an overpressure if one of the valves is closed off due to malfunctioning, leakage or maintenance.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br w:type="page"/>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2.1.12</w:t>
      </w:r>
      <w:r w:rsidRPr="00C903F8">
        <w:rPr>
          <w:lang w:val="en-US"/>
        </w:rPr>
        <w:tab/>
        <w:t xml:space="preserve">If fuel release into the vacuum space of a vacuum insulated LNG fuel tank cannot be excluded, the vacuum space shall be protected by a suitable pressure relief valve. If LNG fuel tanks are located in enclosed or semi enclosed rooms, the pressure relief device shall be connected to a vent system.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2.1.13</w:t>
      </w:r>
      <w:r w:rsidRPr="00C903F8">
        <w:rPr>
          <w:lang w:val="en-US"/>
        </w:rPr>
        <w:tab/>
        <w:t>The exhaust outlets of the pressure</w:t>
      </w:r>
      <w:r w:rsidRPr="00C903F8">
        <w:rPr>
          <w:iCs/>
          <w:lang w:val="en-US"/>
        </w:rPr>
        <w:t xml:space="preserve"> relief valves</w:t>
      </w:r>
      <w:r w:rsidRPr="00C903F8">
        <w:rPr>
          <w:lang w:val="en-US"/>
        </w:rPr>
        <w:t xml:space="preserve"> shall be located not less than 2,00 m above the deck at a distance of not less than 6,00 m from the accommodation, passenger areas and work stations, which are located outside the hold or the cargo area. This height may be reduced when within a radius of 1,00 m round the p</w:t>
      </w:r>
      <w:r w:rsidRPr="00C903F8">
        <w:rPr>
          <w:iCs/>
          <w:lang w:val="en-US"/>
        </w:rPr>
        <w:t>ressure relief valves</w:t>
      </w:r>
      <w:r w:rsidRPr="00C903F8">
        <w:rPr>
          <w:lang w:val="en-US"/>
        </w:rPr>
        <w:t xml:space="preserve"> outlet there is no equipment, no work is being carried out, signs indicate the area and appropriate measures to protect the deck are being taken.</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2.1.14</w:t>
      </w:r>
      <w:r w:rsidRPr="00C903F8">
        <w:rPr>
          <w:lang w:val="en-US"/>
        </w:rPr>
        <w:tab/>
        <w:t>It shall be possible to safely empty the LNG fuel tanks, even if the LNG system is shut down.</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2.1.15</w:t>
      </w:r>
      <w:r w:rsidRPr="00C903F8">
        <w:rPr>
          <w:lang w:val="en-US"/>
        </w:rPr>
        <w:tab/>
        <w:t xml:space="preserve">It shall be possible to purge gas and vent LNG fuel tanks including gas piping systems. It shall be possible to perform inerting with an inert gas (e.g. nitrogen or argon) prior to venting with dry air, to </w:t>
      </w:r>
      <w:r w:rsidR="0084166A">
        <w:rPr>
          <w:lang w:val="en-US"/>
        </w:rPr>
        <w:t>exclude</w:t>
      </w:r>
      <w:r w:rsidRPr="00C903F8">
        <w:rPr>
          <w:lang w:val="en-US"/>
        </w:rPr>
        <w:t xml:space="preserve"> an explosion hazardous atmosphere in LNG fuel tanks and gas piping.</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2.1.16</w:t>
      </w:r>
      <w:r w:rsidRPr="00C903F8">
        <w:rPr>
          <w:lang w:val="en-US"/>
        </w:rPr>
        <w:tab/>
        <w:t xml:space="preserve">LNG fuel tanks' pressure and temperature shall be maintained at all times within their design range.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2.1.17</w:t>
      </w:r>
      <w:r w:rsidRPr="00C903F8">
        <w:rPr>
          <w:lang w:val="en-US"/>
        </w:rPr>
        <w:tab/>
        <w:t>I</w:t>
      </w:r>
      <w:r w:rsidR="00344E11">
        <w:rPr>
          <w:lang w:val="en-US"/>
        </w:rPr>
        <w:t>f</w:t>
      </w:r>
      <w:r w:rsidRPr="00C903F8">
        <w:rPr>
          <w:lang w:val="en-US"/>
        </w:rPr>
        <w:t xml:space="preserve"> the LNG system </w:t>
      </w:r>
      <w:r w:rsidR="00344E11">
        <w:rPr>
          <w:lang w:val="en-US"/>
        </w:rPr>
        <w:t xml:space="preserve">is </w:t>
      </w:r>
      <w:r w:rsidRPr="00C903F8">
        <w:rPr>
          <w:lang w:val="en-US"/>
        </w:rPr>
        <w:t xml:space="preserve">switched off, the pressure in the LNG fuel tank, shall be maintained below the maximum working pressure of the LNG fuel tank for a period of 15 days. It shall be assumed that LNG fuel tank was filled at filling limits according to 2.9 and that the </w:t>
      </w:r>
      <w:r w:rsidR="000A13AD">
        <w:rPr>
          <w:lang w:val="en-US"/>
        </w:rPr>
        <w:t>craft</w:t>
      </w:r>
      <w:r w:rsidRPr="00C903F8">
        <w:rPr>
          <w:lang w:val="en-US"/>
        </w:rPr>
        <w:t xml:space="preserve"> remains in idle condition.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2.1.18</w:t>
      </w:r>
      <w:r w:rsidRPr="00C903F8">
        <w:rPr>
          <w:lang w:val="en-US"/>
        </w:rPr>
        <w:tab/>
        <w:t xml:space="preserve">LNG fuel tanks shall be electrically bonded to the </w:t>
      </w:r>
      <w:r w:rsidR="00344E11">
        <w:rPr>
          <w:lang w:val="en-US"/>
        </w:rPr>
        <w:t>craft</w:t>
      </w:r>
      <w:r w:rsidRPr="00C903F8">
        <w:rPr>
          <w:lang w:val="en-US"/>
        </w:rPr>
        <w:t>'s structure.</w:t>
      </w:r>
    </w:p>
    <w:p w:rsidR="001D0FFC" w:rsidRPr="00C903F8" w:rsidRDefault="001D0FFC" w:rsidP="001D0FFC">
      <w:pPr>
        <w:pStyle w:val="Esann8ch"/>
        <w:rPr>
          <w:b/>
          <w:bCs/>
          <w:lang w:val="en-US"/>
        </w:rPr>
      </w:pPr>
    </w:p>
    <w:p w:rsidR="001D0FFC" w:rsidRPr="00C903F8" w:rsidRDefault="001D0FFC" w:rsidP="00623DA7">
      <w:pPr>
        <w:pStyle w:val="Esann8chgras"/>
        <w:rPr>
          <w:i/>
          <w:lang w:val="en-US"/>
        </w:rPr>
      </w:pPr>
      <w:r w:rsidRPr="00C903F8">
        <w:rPr>
          <w:lang w:val="en-US"/>
        </w:rPr>
        <w:t>2.2</w:t>
      </w:r>
      <w:r w:rsidRPr="00C903F8">
        <w:rPr>
          <w:lang w:val="en-US"/>
        </w:rPr>
        <w:tab/>
        <w:t>Engine rooms</w:t>
      </w:r>
    </w:p>
    <w:p w:rsidR="001D0FFC" w:rsidRPr="00C903F8" w:rsidRDefault="001D0FFC" w:rsidP="001D0FFC">
      <w:pPr>
        <w:pStyle w:val="Esann8ch"/>
        <w:rPr>
          <w:b/>
          <w:bCs/>
          <w:lang w:val="en-US"/>
        </w:rPr>
      </w:pPr>
    </w:p>
    <w:p w:rsidR="001D0FFC" w:rsidRPr="00C903F8" w:rsidRDefault="001D0FFC" w:rsidP="001D0FFC">
      <w:pPr>
        <w:pStyle w:val="Esann8ch"/>
        <w:rPr>
          <w:lang w:val="en-US"/>
        </w:rPr>
      </w:pPr>
      <w:r w:rsidRPr="00C903F8">
        <w:rPr>
          <w:lang w:val="en-US"/>
        </w:rPr>
        <w:t>2.2.1</w:t>
      </w:r>
      <w:r w:rsidRPr="00C903F8">
        <w:rPr>
          <w:lang w:val="en-US"/>
        </w:rPr>
        <w:tab/>
        <w:t xml:space="preserve">For engine rooms one of the following concepts shall be applied: </w:t>
      </w:r>
    </w:p>
    <w:p w:rsidR="001D0FFC" w:rsidRPr="00C903F8" w:rsidRDefault="001D0FFC" w:rsidP="00623DA7">
      <w:pPr>
        <w:pStyle w:val="Esann8let"/>
        <w:rPr>
          <w:lang w:val="en-US"/>
        </w:rPr>
      </w:pPr>
      <w:r w:rsidRPr="00C903F8">
        <w:rPr>
          <w:lang w:val="en-US"/>
        </w:rPr>
        <w:t xml:space="preserve">a) </w:t>
      </w:r>
      <w:r w:rsidRPr="00C903F8">
        <w:rPr>
          <w:lang w:val="en-US"/>
        </w:rPr>
        <w:tab/>
        <w:t xml:space="preserve">gas safe engine room, </w:t>
      </w:r>
    </w:p>
    <w:p w:rsidR="001D0FFC" w:rsidRPr="00C903F8" w:rsidRDefault="001D0FFC" w:rsidP="00623DA7">
      <w:pPr>
        <w:pStyle w:val="Esann8let"/>
        <w:rPr>
          <w:lang w:val="en-US"/>
        </w:rPr>
      </w:pPr>
      <w:r w:rsidRPr="00C903F8">
        <w:rPr>
          <w:lang w:val="en-US"/>
        </w:rPr>
        <w:t xml:space="preserve">b) </w:t>
      </w:r>
      <w:r w:rsidRPr="00C903F8">
        <w:rPr>
          <w:lang w:val="en-US"/>
        </w:rPr>
        <w:tab/>
        <w:t xml:space="preserve">explosion safe engine room or </w:t>
      </w:r>
    </w:p>
    <w:p w:rsidR="001D0FFC" w:rsidRPr="00C903F8" w:rsidRDefault="001D0FFC" w:rsidP="00623DA7">
      <w:pPr>
        <w:pStyle w:val="Esann8let"/>
        <w:rPr>
          <w:lang w:val="en-US"/>
        </w:rPr>
      </w:pPr>
      <w:r w:rsidRPr="00C903F8">
        <w:rPr>
          <w:lang w:val="en-US"/>
        </w:rPr>
        <w:t xml:space="preserve">c) </w:t>
      </w:r>
      <w:r w:rsidRPr="00C903F8">
        <w:rPr>
          <w:lang w:val="en-US"/>
        </w:rPr>
        <w:tab/>
        <w:t>ESD protected engine room.</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2.2.2</w:t>
      </w:r>
      <w:r w:rsidRPr="00C903F8">
        <w:rPr>
          <w:lang w:val="en-US"/>
        </w:rPr>
        <w:tab/>
        <w:t>Requirements for gas safe engine rooms</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2.2.2.1</w:t>
      </w:r>
      <w:r w:rsidRPr="00C903F8">
        <w:rPr>
          <w:lang w:val="en-US"/>
        </w:rPr>
        <w:tab/>
      </w:r>
      <w:r w:rsidR="0084166A">
        <w:rPr>
          <w:lang w:val="en-US"/>
        </w:rPr>
        <w:t>Gas safe e</w:t>
      </w:r>
      <w:r w:rsidRPr="00C903F8">
        <w:rPr>
          <w:lang w:val="en-US"/>
        </w:rPr>
        <w:t xml:space="preserve">ngine rooms shall be gas safe under all conditions (“inherently gas safe”). A single failure within the LNG system shall not lead to a leakage of gas into the engine room. All gas piping within engine room boundaries shall be enclosed in a gas tight enclosure, e.g. double wall piping or ventilated ducting.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bCs/>
          <w:lang w:val="en-US"/>
        </w:rPr>
        <w:t>2.2.2.2</w:t>
      </w:r>
      <w:r w:rsidRPr="00C903F8">
        <w:rPr>
          <w:bCs/>
          <w:lang w:val="en-US"/>
        </w:rPr>
        <w:tab/>
      </w:r>
      <w:r w:rsidRPr="00C903F8">
        <w:rPr>
          <w:lang w:val="en-US"/>
        </w:rPr>
        <w:t xml:space="preserve">In case one barrier fails, the gas supply to the relevant part of the LNG system shall be shut down automatically. </w:t>
      </w:r>
    </w:p>
    <w:p w:rsidR="001D0FFC" w:rsidRPr="00C903F8" w:rsidRDefault="001D0FFC" w:rsidP="001D0FFC">
      <w:pPr>
        <w:pStyle w:val="Esann8ch"/>
        <w:rPr>
          <w:lang w:val="en-US"/>
        </w:rPr>
      </w:pPr>
    </w:p>
    <w:p w:rsidR="005E7B71" w:rsidRPr="00C903F8" w:rsidRDefault="005E7B71">
      <w:pPr>
        <w:autoSpaceDE/>
        <w:autoSpaceDN/>
        <w:ind w:left="0" w:firstLine="0"/>
        <w:jc w:val="left"/>
        <w:rPr>
          <w:rFonts w:eastAsia="Calibri" w:cs="Arial"/>
          <w:color w:val="000000"/>
          <w:szCs w:val="20"/>
          <w:lang w:val="en-US" w:eastAsia="en-US"/>
        </w:rPr>
      </w:pPr>
      <w:r w:rsidRPr="00C903F8">
        <w:rPr>
          <w:lang w:val="en-US"/>
        </w:rPr>
        <w:br w:type="page"/>
      </w:r>
    </w:p>
    <w:p w:rsidR="005E7B71" w:rsidRPr="00C903F8" w:rsidRDefault="005E7B71" w:rsidP="001D0FFC">
      <w:pPr>
        <w:pStyle w:val="Esann8ch"/>
        <w:rPr>
          <w:lang w:val="en-US"/>
        </w:rPr>
      </w:pPr>
    </w:p>
    <w:p w:rsidR="001D0FFC" w:rsidRPr="00C903F8" w:rsidRDefault="001D0FFC" w:rsidP="001D0FFC">
      <w:pPr>
        <w:pStyle w:val="Esann8ch"/>
        <w:rPr>
          <w:bCs/>
          <w:lang w:val="en-US"/>
        </w:rPr>
      </w:pPr>
      <w:r w:rsidRPr="00C903F8">
        <w:rPr>
          <w:lang w:val="en-US"/>
        </w:rPr>
        <w:t>2.2.2.3</w:t>
      </w:r>
      <w:r w:rsidRPr="00C903F8">
        <w:rPr>
          <w:lang w:val="en-US"/>
        </w:rPr>
        <w:tab/>
      </w:r>
      <w:r w:rsidRPr="00C903F8">
        <w:rPr>
          <w:bCs/>
          <w:lang w:val="en-US"/>
        </w:rPr>
        <w:t>The ventilation system of ventilated ducting shall:</w:t>
      </w:r>
    </w:p>
    <w:p w:rsidR="001D0FFC" w:rsidRPr="00C903F8" w:rsidRDefault="001D0FFC" w:rsidP="00623DA7">
      <w:pPr>
        <w:pStyle w:val="Esann8let"/>
        <w:rPr>
          <w:lang w:val="en-US"/>
        </w:rPr>
      </w:pPr>
      <w:r w:rsidRPr="00C903F8">
        <w:rPr>
          <w:bCs/>
          <w:lang w:val="en-US"/>
        </w:rPr>
        <w:t>a)</w:t>
      </w:r>
      <w:r w:rsidRPr="00C903F8">
        <w:rPr>
          <w:bCs/>
          <w:lang w:val="en-US"/>
        </w:rPr>
        <w:tab/>
        <w:t xml:space="preserve">guarantee </w:t>
      </w:r>
      <w:r w:rsidRPr="00C903F8">
        <w:rPr>
          <w:lang w:val="en-US"/>
        </w:rPr>
        <w:t xml:space="preserve">a sufficient capacity to ensure that </w:t>
      </w:r>
      <w:r w:rsidRPr="00C903F8">
        <w:rPr>
          <w:bCs/>
          <w:lang w:val="en-US"/>
        </w:rPr>
        <w:t>the gross volume of air inside the ventilated ducting</w:t>
      </w:r>
      <w:r w:rsidRPr="00C903F8">
        <w:rPr>
          <w:lang w:val="en-US"/>
        </w:rPr>
        <w:t xml:space="preserve"> can be changed at least 30 times per hour;</w:t>
      </w:r>
    </w:p>
    <w:p w:rsidR="001D0FFC" w:rsidRPr="00C903F8" w:rsidRDefault="001D0FFC" w:rsidP="00623DA7">
      <w:pPr>
        <w:pStyle w:val="Esann8let"/>
        <w:rPr>
          <w:lang w:val="en-US"/>
        </w:rPr>
      </w:pPr>
      <w:r w:rsidRPr="00C903F8">
        <w:rPr>
          <w:bCs/>
          <w:lang w:val="en-US"/>
        </w:rPr>
        <w:t>b)</w:t>
      </w:r>
      <w:r w:rsidRPr="00C903F8">
        <w:rPr>
          <w:bCs/>
          <w:lang w:val="en-US"/>
        </w:rPr>
        <w:tab/>
      </w:r>
      <w:r w:rsidRPr="00C903F8">
        <w:rPr>
          <w:lang w:val="en-US"/>
        </w:rPr>
        <w:t>be equipped to detect gas presence continuously in the space between inner and outer pipes;</w:t>
      </w:r>
    </w:p>
    <w:p w:rsidR="001D0FFC" w:rsidRPr="00C903F8" w:rsidRDefault="001D0FFC" w:rsidP="00623DA7">
      <w:pPr>
        <w:pStyle w:val="Esann8let"/>
        <w:rPr>
          <w:lang w:val="en-US"/>
        </w:rPr>
      </w:pPr>
      <w:r w:rsidRPr="00C903F8">
        <w:rPr>
          <w:bCs/>
          <w:lang w:val="en-US"/>
        </w:rPr>
        <w:t>c)</w:t>
      </w:r>
      <w:r w:rsidRPr="00C903F8">
        <w:rPr>
          <w:bCs/>
          <w:lang w:val="en-US"/>
        </w:rPr>
        <w:tab/>
      </w:r>
      <w:r w:rsidRPr="00C903F8">
        <w:rPr>
          <w:lang w:val="en-US"/>
        </w:rPr>
        <w:t>be independent of all other ventilation systems, in particular the ventilation system of the engine room.</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2.2.2.4</w:t>
      </w:r>
      <w:r w:rsidRPr="00C903F8">
        <w:rPr>
          <w:lang w:val="en-US"/>
        </w:rPr>
        <w:tab/>
        <w:t>A gas safe engine room shall be considered as a non-hazardous area, unless the risk assessment according</w:t>
      </w:r>
      <w:r w:rsidR="0084166A">
        <w:rPr>
          <w:lang w:val="en-US"/>
        </w:rPr>
        <w:t xml:space="preserve"> to</w:t>
      </w:r>
      <w:r w:rsidRPr="00C903F8">
        <w:rPr>
          <w:lang w:val="en-US"/>
        </w:rPr>
        <w:t xml:space="preserve"> (1.3) demonstrates otherwise.</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2.2.3</w:t>
      </w:r>
      <w:r w:rsidRPr="00C903F8">
        <w:rPr>
          <w:lang w:val="en-US"/>
        </w:rPr>
        <w:tab/>
        <w:t>Requirements for explosion safe engine rooms</w:t>
      </w:r>
    </w:p>
    <w:p w:rsidR="001D0FFC" w:rsidRPr="00C903F8" w:rsidRDefault="001D0FFC" w:rsidP="001D0FFC">
      <w:pPr>
        <w:pStyle w:val="Esann8ch"/>
        <w:rPr>
          <w:i/>
          <w:lang w:val="en-US"/>
        </w:rPr>
      </w:pPr>
    </w:p>
    <w:p w:rsidR="001D0FFC" w:rsidRPr="00C903F8" w:rsidRDefault="001D0FFC" w:rsidP="001D0FFC">
      <w:pPr>
        <w:pStyle w:val="Esann8ch"/>
        <w:rPr>
          <w:lang w:val="en-US"/>
        </w:rPr>
      </w:pPr>
      <w:r w:rsidRPr="00C903F8">
        <w:rPr>
          <w:lang w:val="en-US"/>
        </w:rPr>
        <w:t>2.2.3.1</w:t>
      </w:r>
      <w:r w:rsidRPr="00C903F8">
        <w:rPr>
          <w:lang w:val="en-US"/>
        </w:rPr>
        <w:tab/>
        <w:t xml:space="preserve">Arrangements in </w:t>
      </w:r>
      <w:r w:rsidR="0084166A">
        <w:rPr>
          <w:lang w:val="en-US"/>
        </w:rPr>
        <w:t xml:space="preserve">explosion safe </w:t>
      </w:r>
      <w:r w:rsidRPr="00C903F8">
        <w:rPr>
          <w:lang w:val="en-US"/>
        </w:rPr>
        <w:t>engine rooms shall be such that the rooms are considered gas safe under normal conditions. A single failure within the LNG system shall not lead to a gas concentration over 20</w:t>
      </w:r>
      <w:r w:rsidR="0075795F">
        <w:rPr>
          <w:lang w:val="en-US"/>
        </w:rPr>
        <w:t> </w:t>
      </w:r>
      <w:r w:rsidRPr="00C903F8">
        <w:rPr>
          <w:lang w:val="en-US"/>
        </w:rPr>
        <w:t xml:space="preserve">% of the lower explosive limit (LEL) into the engine room.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2.2.3.2</w:t>
      </w:r>
      <w:r w:rsidRPr="00C903F8">
        <w:rPr>
          <w:lang w:val="en-US"/>
        </w:rPr>
        <w:tab/>
        <w:t>In the event of gas being detected or the ventilation system fails, the gas supply to the relevant part of the LNG system shall be shut down automatically.</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2.2.3.3</w:t>
      </w:r>
      <w:r w:rsidRPr="00C903F8">
        <w:rPr>
          <w:lang w:val="en-US"/>
        </w:rPr>
        <w:tab/>
        <w:t>The ventilation system shall:</w:t>
      </w:r>
    </w:p>
    <w:p w:rsidR="001D0FFC" w:rsidRPr="00C903F8" w:rsidRDefault="001D0FFC" w:rsidP="00623DA7">
      <w:pPr>
        <w:pStyle w:val="Esann8let"/>
        <w:rPr>
          <w:lang w:val="en-US"/>
        </w:rPr>
      </w:pPr>
      <w:r w:rsidRPr="00C903F8">
        <w:rPr>
          <w:lang w:val="en-US"/>
        </w:rPr>
        <w:t>a)</w:t>
      </w:r>
      <w:r w:rsidRPr="00C903F8">
        <w:rPr>
          <w:lang w:val="en-US"/>
        </w:rPr>
        <w:tab/>
        <w:t>guarantee a sufficient capacity to maintain gas concentration below 20</w:t>
      </w:r>
      <w:r w:rsidR="0075795F">
        <w:rPr>
          <w:lang w:val="en-US"/>
        </w:rPr>
        <w:t> </w:t>
      </w:r>
      <w:r w:rsidRPr="00C903F8">
        <w:rPr>
          <w:lang w:val="en-US"/>
        </w:rPr>
        <w:t>% of the LEL in the engine room, and to ensure that the gross volume of air inside the engine room can be changed at least 30 times per hour;</w:t>
      </w:r>
    </w:p>
    <w:p w:rsidR="001D0FFC" w:rsidRPr="00C903F8" w:rsidRDefault="001D0FFC" w:rsidP="00623DA7">
      <w:pPr>
        <w:pStyle w:val="Esann8let"/>
        <w:rPr>
          <w:lang w:val="en-US"/>
        </w:rPr>
      </w:pPr>
      <w:r w:rsidRPr="00C903F8">
        <w:rPr>
          <w:lang w:val="en-US"/>
        </w:rPr>
        <w:t>b)</w:t>
      </w:r>
      <w:r w:rsidRPr="00C903F8">
        <w:rPr>
          <w:lang w:val="en-US"/>
        </w:rPr>
        <w:tab/>
        <w:t>be independent of all other ventilation systems.</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2.2.3.4</w:t>
      </w:r>
      <w:r w:rsidRPr="00C903F8">
        <w:rPr>
          <w:lang w:val="en-US"/>
        </w:rPr>
        <w:tab/>
        <w:t>Under normal operation the engine room shall be permanently ventilated with at least 15</w:t>
      </w:r>
      <w:r w:rsidR="00623DA7" w:rsidRPr="00C903F8">
        <w:rPr>
          <w:lang w:val="en-US"/>
        </w:rPr>
        <w:t> </w:t>
      </w:r>
      <w:r w:rsidRPr="00C903F8">
        <w:rPr>
          <w:lang w:val="en-US"/>
        </w:rPr>
        <w:t xml:space="preserve">changes of </w:t>
      </w:r>
      <w:r w:rsidRPr="00C903F8">
        <w:rPr>
          <w:bCs/>
          <w:lang w:val="en-US"/>
        </w:rPr>
        <w:t>the gross volume of air inside the engine room per hour</w:t>
      </w:r>
      <w:r w:rsidRPr="00C903F8">
        <w:rPr>
          <w:lang w:val="en-US"/>
        </w:rPr>
        <w:t xml:space="preserve">. </w:t>
      </w:r>
    </w:p>
    <w:p w:rsidR="001D0FFC" w:rsidRPr="00C903F8" w:rsidRDefault="001D0FFC" w:rsidP="001D0FFC">
      <w:pPr>
        <w:pStyle w:val="Esann8ch"/>
        <w:rPr>
          <w:lang w:val="en-US"/>
        </w:rPr>
      </w:pPr>
    </w:p>
    <w:p w:rsidR="001D0FFC" w:rsidRPr="00C903F8" w:rsidRDefault="00623DA7" w:rsidP="001D0FFC">
      <w:pPr>
        <w:pStyle w:val="Esann8ch"/>
        <w:rPr>
          <w:lang w:val="en-US"/>
        </w:rPr>
      </w:pPr>
      <w:r w:rsidRPr="00C903F8">
        <w:rPr>
          <w:lang w:val="en-US"/>
        </w:rPr>
        <w:t>2.2.3.5</w:t>
      </w:r>
      <w:r w:rsidRPr="00C903F8">
        <w:rPr>
          <w:lang w:val="en-US"/>
        </w:rPr>
        <w:tab/>
      </w:r>
      <w:r w:rsidR="001D0FFC" w:rsidRPr="00C903F8">
        <w:rPr>
          <w:lang w:val="en-US"/>
        </w:rPr>
        <w:t>Explosion safe engine rooms shall be designed to provide a geometrical shape that minimizes the accumulation of gases or formation of gas pockets. A good air circulation shall be ensured.</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2.2.3.6</w:t>
      </w:r>
      <w:r w:rsidRPr="00C903F8">
        <w:rPr>
          <w:lang w:val="en-US"/>
        </w:rPr>
        <w:tab/>
        <w:t xml:space="preserve">An explosion safe engine room shall be considered as Zone 2, unless the risk assessment according </w:t>
      </w:r>
      <w:r w:rsidR="0084166A">
        <w:rPr>
          <w:lang w:val="en-US"/>
        </w:rPr>
        <w:t xml:space="preserve">to </w:t>
      </w:r>
      <w:r w:rsidRPr="00C903F8">
        <w:rPr>
          <w:lang w:val="en-US"/>
        </w:rPr>
        <w:t xml:space="preserve">(1.3) demonstrates otherwise.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2.2.4</w:t>
      </w:r>
      <w:r w:rsidRPr="00C903F8">
        <w:rPr>
          <w:lang w:val="en-US"/>
        </w:rPr>
        <w:tab/>
        <w:t>Requirements for the ESD protected engine rooms</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2.2.4.1</w:t>
      </w:r>
      <w:r w:rsidRPr="00C903F8">
        <w:rPr>
          <w:lang w:val="en-US"/>
        </w:rPr>
        <w:tab/>
        <w:t xml:space="preserve">Arrangements in </w:t>
      </w:r>
      <w:r w:rsidR="0084166A" w:rsidRPr="00C903F8">
        <w:rPr>
          <w:lang w:val="en-US"/>
        </w:rPr>
        <w:t xml:space="preserve">ESD protected </w:t>
      </w:r>
      <w:r w:rsidRPr="00C903F8">
        <w:rPr>
          <w:lang w:val="en-US"/>
        </w:rPr>
        <w:t xml:space="preserve">engine rooms shall be such that the rooms are considered gas safe under normal conditions, but under certain abnormal conditions may have the potential to become subject to gas hazards.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2.2.4.2</w:t>
      </w:r>
      <w:r w:rsidRPr="00C903F8">
        <w:rPr>
          <w:lang w:val="en-US"/>
        </w:rPr>
        <w:tab/>
        <w:t xml:space="preserve">In the event of abnormal conditions involving gas hazards, emergency shutdown (ESD) of non-safe equipment (ignition sources) and gas machinery shall be automatically executed, while equipment or machinery in use or active during these conditions shall be of a certified safe type. </w:t>
      </w:r>
    </w:p>
    <w:p w:rsidR="001D0FFC" w:rsidRPr="00C903F8" w:rsidRDefault="001D0FFC" w:rsidP="001D0FFC">
      <w:pPr>
        <w:pStyle w:val="Esann8ch"/>
        <w:rPr>
          <w:lang w:val="en-US"/>
        </w:rPr>
      </w:pPr>
    </w:p>
    <w:p w:rsidR="005E7B71" w:rsidRPr="00C903F8" w:rsidRDefault="005E7B71">
      <w:pPr>
        <w:autoSpaceDE/>
        <w:autoSpaceDN/>
        <w:ind w:left="0" w:firstLine="0"/>
        <w:jc w:val="left"/>
        <w:rPr>
          <w:rFonts w:eastAsia="Calibri" w:cs="Arial"/>
          <w:color w:val="000000"/>
          <w:szCs w:val="20"/>
          <w:lang w:val="en-US" w:eastAsia="en-US"/>
        </w:rPr>
      </w:pPr>
      <w:r w:rsidRPr="00C903F8">
        <w:rPr>
          <w:lang w:val="en-US"/>
        </w:rPr>
        <w:br w:type="page"/>
      </w:r>
    </w:p>
    <w:p w:rsidR="005E7B71" w:rsidRPr="00C903F8" w:rsidRDefault="005E7B71" w:rsidP="001D0FFC">
      <w:pPr>
        <w:pStyle w:val="Esann8ch"/>
        <w:rPr>
          <w:lang w:val="en-US"/>
        </w:rPr>
      </w:pPr>
    </w:p>
    <w:p w:rsidR="001D0FFC" w:rsidRPr="00C903F8" w:rsidRDefault="001D0FFC" w:rsidP="001D0FFC">
      <w:pPr>
        <w:pStyle w:val="Esann8ch"/>
        <w:rPr>
          <w:lang w:val="en-US"/>
        </w:rPr>
      </w:pPr>
      <w:r w:rsidRPr="00C903F8">
        <w:rPr>
          <w:lang w:val="en-US"/>
        </w:rPr>
        <w:t>2.2.4.3</w:t>
      </w:r>
      <w:r w:rsidRPr="00C903F8">
        <w:rPr>
          <w:lang w:val="en-US"/>
        </w:rPr>
        <w:tab/>
        <w:t>The ventilation system shall:</w:t>
      </w:r>
    </w:p>
    <w:p w:rsidR="001D0FFC" w:rsidRPr="00C903F8" w:rsidRDefault="001D0FFC" w:rsidP="00623DA7">
      <w:pPr>
        <w:pStyle w:val="Esann8let"/>
        <w:rPr>
          <w:lang w:val="en-US"/>
        </w:rPr>
      </w:pPr>
      <w:r w:rsidRPr="00C903F8">
        <w:rPr>
          <w:lang w:val="en-US"/>
        </w:rPr>
        <w:t>a)</w:t>
      </w:r>
      <w:r w:rsidRPr="00C903F8">
        <w:rPr>
          <w:lang w:val="en-US"/>
        </w:rPr>
        <w:tab/>
        <w:t xml:space="preserve">guarantee a sufficient capacity to ensure that the gross volume of air inside the engine room can be changed at least 30 times per hour, </w:t>
      </w:r>
    </w:p>
    <w:p w:rsidR="001D0FFC" w:rsidRPr="00C903F8" w:rsidRDefault="001D0FFC" w:rsidP="00623DA7">
      <w:pPr>
        <w:pStyle w:val="Esann8let"/>
        <w:rPr>
          <w:lang w:val="en-US"/>
        </w:rPr>
      </w:pPr>
      <w:r w:rsidRPr="00C903F8">
        <w:rPr>
          <w:lang w:val="en-US"/>
        </w:rPr>
        <w:t>b)</w:t>
      </w:r>
      <w:r w:rsidRPr="00C903F8">
        <w:rPr>
          <w:lang w:val="en-US"/>
        </w:rPr>
        <w:tab/>
        <w:t>be designed to handle the probable maximum leakage scenario due to technical failures, and</w:t>
      </w:r>
    </w:p>
    <w:p w:rsidR="001D0FFC" w:rsidRPr="00C903F8" w:rsidRDefault="001D0FFC" w:rsidP="00623DA7">
      <w:pPr>
        <w:pStyle w:val="Esann8let"/>
        <w:rPr>
          <w:lang w:val="en-US"/>
        </w:rPr>
      </w:pPr>
      <w:r w:rsidRPr="00C903F8">
        <w:rPr>
          <w:lang w:val="en-US"/>
        </w:rPr>
        <w:t>c)</w:t>
      </w:r>
      <w:r w:rsidRPr="00C903F8">
        <w:rPr>
          <w:lang w:val="en-US"/>
        </w:rPr>
        <w:tab/>
        <w:t>be independent of all other ventilation systems.</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2.2.4.4</w:t>
      </w:r>
      <w:r w:rsidRPr="00C903F8">
        <w:rPr>
          <w:lang w:val="en-US"/>
        </w:rPr>
        <w:tab/>
        <w:t>Under normal operation the engine room shall be permanently ventilated with at least 15</w:t>
      </w:r>
      <w:r w:rsidR="00623DA7" w:rsidRPr="00C903F8">
        <w:rPr>
          <w:lang w:val="en-US"/>
        </w:rPr>
        <w:t> </w:t>
      </w:r>
      <w:r w:rsidRPr="00C903F8">
        <w:rPr>
          <w:lang w:val="en-US"/>
        </w:rPr>
        <w:t>changes of the gross volume of air inside the engine room per hour.</w:t>
      </w:r>
    </w:p>
    <w:p w:rsidR="001D0FFC" w:rsidRPr="00C903F8" w:rsidRDefault="001D0FFC" w:rsidP="00623DA7">
      <w:pPr>
        <w:pStyle w:val="Esann8chpar"/>
        <w:rPr>
          <w:lang w:val="en-US"/>
        </w:rPr>
      </w:pPr>
      <w:r w:rsidRPr="00C903F8">
        <w:rPr>
          <w:lang w:val="en-US"/>
        </w:rPr>
        <w:t xml:space="preserve">If gas is detected in the engine room, the number of air changes shall automatically be increased to 30 changes per hour. </w:t>
      </w:r>
    </w:p>
    <w:p w:rsidR="001D0FFC" w:rsidRPr="00C903F8" w:rsidRDefault="001D0FFC" w:rsidP="001D0FFC">
      <w:pPr>
        <w:pStyle w:val="Esann8ch"/>
        <w:rPr>
          <w:lang w:val="en-US"/>
        </w:rPr>
      </w:pPr>
    </w:p>
    <w:p w:rsidR="001D0FFC" w:rsidRPr="00C903F8" w:rsidRDefault="000A13AD" w:rsidP="001D0FFC">
      <w:pPr>
        <w:pStyle w:val="Esann8ch"/>
        <w:rPr>
          <w:lang w:val="en-US"/>
        </w:rPr>
      </w:pPr>
      <w:r>
        <w:rPr>
          <w:lang w:val="en-US"/>
        </w:rPr>
        <w:t>2.2.4.5</w:t>
      </w:r>
      <w:r>
        <w:rPr>
          <w:lang w:val="en-US"/>
        </w:rPr>
        <w:tab/>
        <w:t>If the craft</w:t>
      </w:r>
      <w:r w:rsidR="001D0FFC" w:rsidRPr="00C903F8">
        <w:rPr>
          <w:lang w:val="en-US"/>
        </w:rPr>
        <w:t xml:space="preserve"> is equipped with more than one propulsion engine, these engines shall be located </w:t>
      </w:r>
      <w:r w:rsidR="00343FC4">
        <w:rPr>
          <w:lang w:val="en-US"/>
        </w:rPr>
        <w:t xml:space="preserve">in </w:t>
      </w:r>
      <w:r w:rsidR="001D0FFC" w:rsidRPr="00C903F8">
        <w:rPr>
          <w:lang w:val="en-US"/>
        </w:rPr>
        <w:t>at least two separate engine rooms. These engine rooms shall have no common partitions. However common partitions may be accepted</w:t>
      </w:r>
      <w:r w:rsidR="007873EA">
        <w:rPr>
          <w:lang w:val="en-US"/>
        </w:rPr>
        <w:t>,</w:t>
      </w:r>
      <w:r w:rsidR="001D0FFC" w:rsidRPr="00C903F8">
        <w:rPr>
          <w:lang w:val="en-US"/>
        </w:rPr>
        <w:t xml:space="preserve"> if it can be documented that consequences of a single failure will not affect both rooms.</w:t>
      </w:r>
      <w:r w:rsidR="001D0FFC" w:rsidRPr="00C903F8">
        <w:rPr>
          <w:vertAlign w:val="superscript"/>
          <w:lang w:val="en-US"/>
        </w:rPr>
        <w:t xml:space="preserve">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2.2.4.6</w:t>
      </w:r>
      <w:r w:rsidRPr="00C903F8">
        <w:rPr>
          <w:lang w:val="en-US"/>
        </w:rPr>
        <w:tab/>
      </w:r>
      <w:r w:rsidR="00343FC4">
        <w:rPr>
          <w:lang w:val="en-US"/>
        </w:rPr>
        <w:t>Fi</w:t>
      </w:r>
      <w:r w:rsidRPr="00C903F8">
        <w:rPr>
          <w:lang w:val="en-US"/>
        </w:rPr>
        <w:t>xed gas warning equipment arranged to automatically shutdown the gas supply to the engine room concerned and to disconnect all non-explosion protected equipment or installations shall be fitted.</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2.2.4.7</w:t>
      </w:r>
      <w:r w:rsidRPr="00C903F8">
        <w:rPr>
          <w:lang w:val="en-US"/>
        </w:rPr>
        <w:tab/>
        <w:t>ESD protected engine rooms shall be designed to provide a geometrical shape that minimizes the accumulation of gases or formation of gas pockets. A good air circulation shall be ensured.</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2.2.4.8</w:t>
      </w:r>
      <w:r w:rsidRPr="00C903F8">
        <w:rPr>
          <w:lang w:val="en-US"/>
        </w:rPr>
        <w:tab/>
        <w:t>An ESD protected engine room shall be considered as Zone 1, unless the risk assessment according</w:t>
      </w:r>
      <w:r w:rsidR="0084166A">
        <w:rPr>
          <w:lang w:val="en-US"/>
        </w:rPr>
        <w:t xml:space="preserve"> to</w:t>
      </w:r>
      <w:r w:rsidRPr="00C903F8">
        <w:rPr>
          <w:lang w:val="en-US"/>
        </w:rPr>
        <w:t xml:space="preserve"> (1.3) demonstrates otherwise.</w:t>
      </w:r>
    </w:p>
    <w:p w:rsidR="001D0FFC" w:rsidRPr="00C903F8" w:rsidRDefault="001D0FFC" w:rsidP="001D0FFC">
      <w:pPr>
        <w:pStyle w:val="Esann8ch"/>
        <w:rPr>
          <w:b/>
          <w:bCs/>
          <w:lang w:val="en-US"/>
        </w:rPr>
      </w:pPr>
    </w:p>
    <w:p w:rsidR="001D0FFC" w:rsidRPr="00C903F8" w:rsidRDefault="001D0FFC" w:rsidP="00623DA7">
      <w:pPr>
        <w:pStyle w:val="Esann8chgras"/>
        <w:rPr>
          <w:lang w:val="en-US"/>
        </w:rPr>
      </w:pPr>
      <w:r w:rsidRPr="00C903F8">
        <w:rPr>
          <w:lang w:val="en-US"/>
        </w:rPr>
        <w:t>2.3</w:t>
      </w:r>
      <w:r w:rsidRPr="00C903F8">
        <w:rPr>
          <w:lang w:val="en-US"/>
        </w:rPr>
        <w:tab/>
      </w:r>
      <w:r w:rsidR="0084166A" w:rsidRPr="0084166A">
        <w:rPr>
          <w:lang w:val="en-US"/>
        </w:rPr>
        <w:t>Liquefied Natural Gas (</w:t>
      </w:r>
      <w:r w:rsidRPr="00C903F8">
        <w:rPr>
          <w:lang w:val="en-US"/>
        </w:rPr>
        <w:t>LNG</w:t>
      </w:r>
      <w:r w:rsidR="0084166A">
        <w:rPr>
          <w:lang w:val="en-US"/>
        </w:rPr>
        <w:t>)</w:t>
      </w:r>
      <w:r w:rsidRPr="00C903F8">
        <w:rPr>
          <w:lang w:val="en-US"/>
        </w:rPr>
        <w:t xml:space="preserve"> and Natural Gas piping systems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2.3.1</w:t>
      </w:r>
      <w:r w:rsidRPr="00C903F8">
        <w:rPr>
          <w:lang w:val="en-US"/>
        </w:rPr>
        <w:tab/>
      </w:r>
      <w:r w:rsidR="0084166A" w:rsidRPr="0084166A">
        <w:rPr>
          <w:lang w:val="en-US"/>
        </w:rPr>
        <w:t>Liquefied Natural Gas (</w:t>
      </w:r>
      <w:r w:rsidRPr="00C903F8">
        <w:rPr>
          <w:lang w:val="en-US"/>
        </w:rPr>
        <w:t>LNG</w:t>
      </w:r>
      <w:r w:rsidR="0084166A">
        <w:rPr>
          <w:lang w:val="en-US"/>
        </w:rPr>
        <w:t>)</w:t>
      </w:r>
      <w:r w:rsidRPr="00C903F8">
        <w:rPr>
          <w:lang w:val="en-US"/>
        </w:rPr>
        <w:t xml:space="preserve"> and Natural Gas piping through other engine rooms or non-hazard</w:t>
      </w:r>
      <w:r w:rsidR="000A13AD">
        <w:rPr>
          <w:lang w:val="en-US"/>
        </w:rPr>
        <w:t>ous enclosed areas of the craft</w:t>
      </w:r>
      <w:r w:rsidRPr="00C903F8">
        <w:rPr>
          <w:lang w:val="en-US"/>
        </w:rPr>
        <w:t xml:space="preserve"> shall be enclosed in double wall piping or ventilated ducting.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2.3.2</w:t>
      </w:r>
      <w:r w:rsidRPr="00C903F8">
        <w:rPr>
          <w:lang w:val="en-US"/>
        </w:rPr>
        <w:tab/>
      </w:r>
      <w:r w:rsidR="0084166A" w:rsidRPr="0084166A">
        <w:rPr>
          <w:lang w:val="en-US"/>
        </w:rPr>
        <w:t>Liquefied Natural Gas (</w:t>
      </w:r>
      <w:r w:rsidRPr="00C903F8">
        <w:rPr>
          <w:lang w:val="en-US"/>
        </w:rPr>
        <w:t>LNG</w:t>
      </w:r>
      <w:r w:rsidR="0084166A">
        <w:rPr>
          <w:lang w:val="en-US"/>
        </w:rPr>
        <w:t>)</w:t>
      </w:r>
      <w:r w:rsidRPr="00C903F8">
        <w:rPr>
          <w:lang w:val="en-US"/>
        </w:rPr>
        <w:t xml:space="preserve"> and Natural Gas piping shall not be located less than 1</w:t>
      </w:r>
      <w:r w:rsidR="00935328" w:rsidRPr="00C903F8">
        <w:rPr>
          <w:lang w:val="en-US"/>
        </w:rPr>
        <w:t>,00</w:t>
      </w:r>
      <w:r w:rsidR="0075795F">
        <w:rPr>
          <w:lang w:val="en-US"/>
        </w:rPr>
        <w:t> </w:t>
      </w:r>
      <w:r w:rsidRPr="00C903F8">
        <w:rPr>
          <w:lang w:val="en-US"/>
        </w:rPr>
        <w:t xml:space="preserve">m from the vessel’s side and 0,60 m from the bottom.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2.3.3</w:t>
      </w:r>
      <w:r w:rsidRPr="00C903F8">
        <w:rPr>
          <w:lang w:val="en-US"/>
        </w:rPr>
        <w:tab/>
        <w:t>All piping and all components which can be isolated with valves from the LNG system in a liquid full condition shall be provided with pressure relief valves.</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2.3.4</w:t>
      </w:r>
      <w:r w:rsidRPr="00C903F8">
        <w:rPr>
          <w:lang w:val="en-US"/>
        </w:rPr>
        <w:tab/>
        <w:t>Piping shall be electrically bonded to the vessel's structure.</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2.3.5</w:t>
      </w:r>
      <w:r w:rsidRPr="00C903F8">
        <w:rPr>
          <w:lang w:val="en-US"/>
        </w:rPr>
        <w:tab/>
        <w:t>Low temperature piping shall be thermally isolated from the adjacent hull structure, where necessary. Protection against accidental contact shall be provided.</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2.3.6</w:t>
      </w:r>
      <w:r w:rsidRPr="00C903F8">
        <w:rPr>
          <w:lang w:val="en-US"/>
        </w:rPr>
        <w:tab/>
        <w:t>The design pressure of piping shall not be less than 150</w:t>
      </w:r>
      <w:r w:rsidR="0075795F">
        <w:rPr>
          <w:lang w:val="en-US"/>
        </w:rPr>
        <w:t> </w:t>
      </w:r>
      <w:r w:rsidRPr="00C903F8">
        <w:rPr>
          <w:lang w:val="en-US"/>
        </w:rPr>
        <w:t>% of the maximum working pressure. The maximum working pressure of piping ins</w:t>
      </w:r>
      <w:r w:rsidR="0075795F">
        <w:rPr>
          <w:lang w:val="en-US"/>
        </w:rPr>
        <w:t>ide rooms shall not exceed 1000 </w:t>
      </w:r>
      <w:r w:rsidRPr="00C903F8">
        <w:rPr>
          <w:lang w:val="en-US"/>
        </w:rPr>
        <w:t xml:space="preserve">kPa. The design pressure of the outer pipe or duct of gas piping systems shall not be less than the design pressure of the inner gas pipe. </w:t>
      </w:r>
    </w:p>
    <w:p w:rsidR="001D0FFC" w:rsidRPr="00C903F8" w:rsidRDefault="001D0FFC" w:rsidP="001D0FFC">
      <w:pPr>
        <w:pStyle w:val="Esann8ch"/>
        <w:rPr>
          <w:lang w:val="en-US"/>
        </w:rPr>
      </w:pPr>
    </w:p>
    <w:p w:rsidR="00D24BFE" w:rsidRPr="00C903F8" w:rsidRDefault="00D24BFE">
      <w:pPr>
        <w:autoSpaceDE/>
        <w:autoSpaceDN/>
        <w:ind w:left="0" w:firstLine="0"/>
        <w:jc w:val="left"/>
        <w:rPr>
          <w:rFonts w:eastAsia="Calibri" w:cs="Arial"/>
          <w:color w:val="000000"/>
          <w:szCs w:val="20"/>
          <w:lang w:val="en-US" w:eastAsia="en-US"/>
        </w:rPr>
      </w:pPr>
      <w:r w:rsidRPr="00C903F8">
        <w:rPr>
          <w:lang w:val="en-US"/>
        </w:rPr>
        <w:br w:type="page"/>
      </w:r>
    </w:p>
    <w:p w:rsidR="00D24BFE" w:rsidRPr="00C903F8" w:rsidRDefault="00D24BFE" w:rsidP="001D0FFC">
      <w:pPr>
        <w:pStyle w:val="Esann8ch"/>
        <w:rPr>
          <w:lang w:val="en-US"/>
        </w:rPr>
      </w:pPr>
    </w:p>
    <w:p w:rsidR="001D0FFC" w:rsidRPr="00C903F8" w:rsidRDefault="001D0FFC" w:rsidP="001D0FFC">
      <w:pPr>
        <w:pStyle w:val="Esann8ch"/>
        <w:rPr>
          <w:lang w:val="en-US"/>
        </w:rPr>
      </w:pPr>
      <w:r w:rsidRPr="00C903F8">
        <w:rPr>
          <w:lang w:val="en-US"/>
        </w:rPr>
        <w:t>2.3.7</w:t>
      </w:r>
      <w:r w:rsidRPr="00C903F8">
        <w:rPr>
          <w:lang w:val="en-US"/>
        </w:rPr>
        <w:tab/>
        <w:t>Gas piping in ESD protected engine rooms shall be located as far away as practicable from the electrical installations and tanks containing flammable liquids.</w:t>
      </w:r>
    </w:p>
    <w:p w:rsidR="001D0FFC" w:rsidRPr="00C903F8" w:rsidRDefault="001D0FFC" w:rsidP="001D0FFC">
      <w:pPr>
        <w:pStyle w:val="Esann8ch"/>
        <w:rPr>
          <w:lang w:val="en-US"/>
        </w:rPr>
      </w:pPr>
    </w:p>
    <w:p w:rsidR="001D0FFC" w:rsidRPr="00C903F8" w:rsidRDefault="001D0FFC" w:rsidP="00623DA7">
      <w:pPr>
        <w:pStyle w:val="Esann8chgras"/>
        <w:rPr>
          <w:lang w:val="en-US"/>
        </w:rPr>
      </w:pPr>
      <w:r w:rsidRPr="00C903F8">
        <w:rPr>
          <w:lang w:val="en-US"/>
        </w:rPr>
        <w:t>2.4</w:t>
      </w:r>
      <w:r w:rsidRPr="00C903F8">
        <w:rPr>
          <w:lang w:val="en-US"/>
        </w:rPr>
        <w:tab/>
        <w:t>Drainage systems</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2.4.1</w:t>
      </w:r>
      <w:r w:rsidRPr="00C903F8">
        <w:rPr>
          <w:lang w:val="en-US"/>
        </w:rPr>
        <w:tab/>
        <w:t xml:space="preserve">Drainage systems for areas where </w:t>
      </w:r>
      <w:r w:rsidRPr="00C903F8">
        <w:rPr>
          <w:iCs/>
          <w:lang w:val="en-US"/>
        </w:rPr>
        <w:t>liquefied natural gas (</w:t>
      </w:r>
      <w:r w:rsidRPr="00C903F8">
        <w:rPr>
          <w:lang w:val="en-US"/>
        </w:rPr>
        <w:t>LNG) or Natural Gas can be present shall:</w:t>
      </w:r>
    </w:p>
    <w:p w:rsidR="001D0FFC" w:rsidRPr="00C903F8" w:rsidRDefault="001D0FFC" w:rsidP="00623DA7">
      <w:pPr>
        <w:pStyle w:val="Esann8let"/>
        <w:rPr>
          <w:lang w:val="en-US"/>
        </w:rPr>
      </w:pPr>
      <w:r w:rsidRPr="00C903F8">
        <w:rPr>
          <w:lang w:val="en-US"/>
        </w:rPr>
        <w:t>a)</w:t>
      </w:r>
      <w:r w:rsidRPr="00C903F8">
        <w:rPr>
          <w:lang w:val="en-US"/>
        </w:rPr>
        <w:tab/>
        <w:t xml:space="preserve">be independent and separate from the drainage system of areas where </w:t>
      </w:r>
      <w:r w:rsidRPr="00C903F8">
        <w:rPr>
          <w:iCs/>
          <w:lang w:val="en-US"/>
        </w:rPr>
        <w:t>liquefied natural gas (</w:t>
      </w:r>
      <w:r w:rsidRPr="00C903F8">
        <w:rPr>
          <w:lang w:val="en-US"/>
        </w:rPr>
        <w:t xml:space="preserve">LNG) and Natural Gas cannot be present, </w:t>
      </w:r>
    </w:p>
    <w:p w:rsidR="001D0FFC" w:rsidRPr="00C903F8" w:rsidRDefault="001D0FFC" w:rsidP="00623DA7">
      <w:pPr>
        <w:pStyle w:val="Esann8let"/>
        <w:rPr>
          <w:b/>
          <w:lang w:val="en-US"/>
        </w:rPr>
      </w:pPr>
      <w:r w:rsidRPr="00C903F8">
        <w:rPr>
          <w:lang w:val="en-US"/>
        </w:rPr>
        <w:t>b)</w:t>
      </w:r>
      <w:r w:rsidRPr="00C903F8">
        <w:rPr>
          <w:lang w:val="en-US"/>
        </w:rPr>
        <w:tab/>
        <w:t>not lead to pumps in non-hazardous areas.</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2.4.2</w:t>
      </w:r>
      <w:r w:rsidRPr="00C903F8">
        <w:rPr>
          <w:lang w:val="en-US"/>
        </w:rPr>
        <w:tab/>
        <w:t xml:space="preserve">Where the LNG containment system does not require a secondary barrier, suitable drainage arrangements for the tank rooms that are not connected to the engine rooms shall be provided. Means of detecting any </w:t>
      </w:r>
      <w:r w:rsidRPr="00C903F8">
        <w:rPr>
          <w:iCs/>
          <w:lang w:val="en-US"/>
        </w:rPr>
        <w:t>liquefied natural gas (</w:t>
      </w:r>
      <w:r w:rsidRPr="00C903F8">
        <w:rPr>
          <w:lang w:val="en-US"/>
        </w:rPr>
        <w:t>LNG) leakage shall be provided.</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2.4.3</w:t>
      </w:r>
      <w:r w:rsidRPr="00C903F8">
        <w:rPr>
          <w:lang w:val="en-US"/>
        </w:rPr>
        <w:tab/>
        <w:t>Where the LNG containment system requires a secondary barrier, suitable drainage arrangements for dealing with any leakage of LNG into the inter</w:t>
      </w:r>
      <w:r w:rsidR="003A4DA0">
        <w:rPr>
          <w:lang w:val="en-US"/>
        </w:rPr>
        <w:t>-</w:t>
      </w:r>
      <w:r w:rsidRPr="00C903F8">
        <w:rPr>
          <w:lang w:val="en-US"/>
        </w:rPr>
        <w:t>barrier spaces shall be provided. Means of detecting such leakage shall be provided.</w:t>
      </w:r>
    </w:p>
    <w:p w:rsidR="001D0FFC" w:rsidRPr="00C903F8" w:rsidRDefault="001D0FFC" w:rsidP="00623DA7">
      <w:pPr>
        <w:pStyle w:val="Esannch"/>
        <w:rPr>
          <w:lang w:val="en-US"/>
        </w:rPr>
      </w:pPr>
    </w:p>
    <w:p w:rsidR="001D0FFC" w:rsidRPr="00C903F8" w:rsidRDefault="001D0FFC" w:rsidP="00623DA7">
      <w:pPr>
        <w:pStyle w:val="Esann8chgras"/>
        <w:rPr>
          <w:lang w:val="en-US"/>
        </w:rPr>
      </w:pPr>
      <w:r w:rsidRPr="00C903F8">
        <w:rPr>
          <w:lang w:val="en-US"/>
        </w:rPr>
        <w:t>2.5</w:t>
      </w:r>
      <w:r w:rsidRPr="00C903F8">
        <w:rPr>
          <w:lang w:val="en-US"/>
        </w:rPr>
        <w:tab/>
        <w:t>Drip trays</w:t>
      </w:r>
    </w:p>
    <w:p w:rsidR="001D0FFC" w:rsidRPr="00C903F8" w:rsidRDefault="001D0FFC" w:rsidP="001D0FFC">
      <w:pPr>
        <w:pStyle w:val="Esann8ch"/>
        <w:rPr>
          <w:lang w:val="en-US"/>
        </w:rPr>
      </w:pPr>
    </w:p>
    <w:p w:rsidR="001D0FFC" w:rsidRPr="00C903F8" w:rsidRDefault="001D0FFC" w:rsidP="001D0FFC">
      <w:pPr>
        <w:pStyle w:val="Esann8ch"/>
        <w:rPr>
          <w:b/>
          <w:lang w:val="en-US"/>
        </w:rPr>
      </w:pPr>
      <w:r w:rsidRPr="00C903F8">
        <w:rPr>
          <w:lang w:val="en-US"/>
        </w:rPr>
        <w:t>2.5.1</w:t>
      </w:r>
      <w:r w:rsidRPr="00C903F8">
        <w:rPr>
          <w:lang w:val="en-US"/>
        </w:rPr>
        <w:tab/>
        <w:t xml:space="preserve">Suitable drip trays shall be fitted where leakage can cause damage to the </w:t>
      </w:r>
      <w:r w:rsidR="00343FC4">
        <w:rPr>
          <w:lang w:val="en-US"/>
        </w:rPr>
        <w:t>craft</w:t>
      </w:r>
      <w:r w:rsidRPr="00C903F8">
        <w:rPr>
          <w:lang w:val="en-US"/>
        </w:rPr>
        <w:t xml:space="preserve">’s structure or where limitation of the area which is </w:t>
      </w:r>
      <w:r w:rsidR="003A4DA0">
        <w:rPr>
          <w:lang w:val="en-US"/>
        </w:rPr>
        <w:t>a</w:t>
      </w:r>
      <w:r w:rsidRPr="00C903F8">
        <w:rPr>
          <w:lang w:val="en-US"/>
        </w:rPr>
        <w:t xml:space="preserve">ffected from a spill is necessary. </w:t>
      </w:r>
    </w:p>
    <w:p w:rsidR="001D0FFC" w:rsidRPr="00C903F8" w:rsidRDefault="001D0FFC" w:rsidP="001D0FFC">
      <w:pPr>
        <w:pStyle w:val="Esann8ch"/>
        <w:rPr>
          <w:b/>
          <w:lang w:val="en-US"/>
        </w:rPr>
      </w:pPr>
    </w:p>
    <w:p w:rsidR="001D0FFC" w:rsidRPr="00C903F8" w:rsidRDefault="001D0FFC" w:rsidP="00623DA7">
      <w:pPr>
        <w:pStyle w:val="Esann8chgras"/>
        <w:rPr>
          <w:lang w:val="en-US"/>
        </w:rPr>
      </w:pPr>
      <w:r w:rsidRPr="00C903F8">
        <w:rPr>
          <w:lang w:val="en-US"/>
        </w:rPr>
        <w:t>2.6</w:t>
      </w:r>
      <w:r w:rsidRPr="00C903F8">
        <w:rPr>
          <w:lang w:val="en-US"/>
        </w:rPr>
        <w:tab/>
        <w:t>Arrangement of entrances and other openings</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2.6.1</w:t>
      </w:r>
      <w:r w:rsidRPr="00C903F8">
        <w:rPr>
          <w:lang w:val="en-US"/>
        </w:rPr>
        <w:tab/>
        <w:t>Entrances and other openings from a non-hazardous area to a hazardous area shall only be permitted to the extent necessary for operational reasons.</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2.6.2</w:t>
      </w:r>
      <w:r w:rsidRPr="00C903F8">
        <w:rPr>
          <w:lang w:val="en-US"/>
        </w:rPr>
        <w:tab/>
        <w:t xml:space="preserve">For entrances and openings to a non-hazardous area within 6,00 m from the LNG containment system, the gas preparation system or the outlet of a pressure relief valve, a suitable airlock shall be provided.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2.6.3</w:t>
      </w:r>
      <w:r w:rsidRPr="00C903F8">
        <w:rPr>
          <w:lang w:val="en-US"/>
        </w:rPr>
        <w:tab/>
        <w:t>Air locks shall be mechanically ventilated at an overpressure relative to the adjacent hazardous area. Doors shall be of self-closing type.</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2.6.4</w:t>
      </w:r>
      <w:r w:rsidRPr="00C903F8">
        <w:rPr>
          <w:lang w:val="en-US"/>
        </w:rPr>
        <w:tab/>
        <w:t xml:space="preserve">Air locks shall be designed in a way that no gas can be released to non-hazardous areas in case of the most critical events in the hazardous areas separated by the air lock. The events shall be evaluated in the risk assessment according to </w:t>
      </w:r>
      <w:r w:rsidR="0084166A">
        <w:rPr>
          <w:lang w:val="en-US"/>
        </w:rPr>
        <w:t>(</w:t>
      </w:r>
      <w:r w:rsidRPr="00C903F8">
        <w:rPr>
          <w:lang w:val="en-US"/>
        </w:rPr>
        <w:t>1.3</w:t>
      </w:r>
      <w:r w:rsidR="0084166A">
        <w:rPr>
          <w:lang w:val="en-US"/>
        </w:rPr>
        <w:t>)</w:t>
      </w:r>
      <w:r w:rsidRPr="00C903F8">
        <w:rPr>
          <w:lang w:val="en-US"/>
        </w:rPr>
        <w:t>.</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2.6.5</w:t>
      </w:r>
      <w:r w:rsidRPr="00C903F8">
        <w:rPr>
          <w:lang w:val="en-US"/>
        </w:rPr>
        <w:tab/>
        <w:t>Air locks shall be free of obstacles, shall provide easy passage and shall not be used for other purposes.</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2.6.6</w:t>
      </w:r>
      <w:r w:rsidRPr="00C903F8">
        <w:rPr>
          <w:lang w:val="en-US"/>
        </w:rPr>
        <w:tab/>
        <w:t>An acoustic and optical alarm shall be given on both sides of the air lock</w:t>
      </w:r>
      <w:r w:rsidR="007873EA">
        <w:rPr>
          <w:lang w:val="en-US"/>
        </w:rPr>
        <w:t>,</w:t>
      </w:r>
      <w:r w:rsidRPr="00C903F8">
        <w:rPr>
          <w:lang w:val="en-US"/>
        </w:rPr>
        <w:t xml:space="preserve"> if more than one door is moved from the closed position or if gas is detected in the air lock.</w:t>
      </w:r>
    </w:p>
    <w:p w:rsidR="001D0FFC" w:rsidRPr="00C903F8" w:rsidRDefault="001D0FFC" w:rsidP="001D0FFC">
      <w:pPr>
        <w:pStyle w:val="Esann8ch"/>
        <w:rPr>
          <w:lang w:val="en-US"/>
        </w:rPr>
      </w:pPr>
    </w:p>
    <w:p w:rsidR="001D0FFC" w:rsidRPr="00C903F8" w:rsidRDefault="001D0FFC" w:rsidP="00623DA7">
      <w:pPr>
        <w:pStyle w:val="Esann8chgras"/>
        <w:rPr>
          <w:lang w:val="en-US"/>
        </w:rPr>
      </w:pPr>
      <w:r w:rsidRPr="00C903F8">
        <w:rPr>
          <w:lang w:val="en-US"/>
        </w:rPr>
        <w:t>2.7</w:t>
      </w:r>
      <w:r w:rsidRPr="00C903F8">
        <w:rPr>
          <w:lang w:val="en-US"/>
        </w:rPr>
        <w:tab/>
        <w:t>Ventilation systems</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2.7.1</w:t>
      </w:r>
      <w:r w:rsidRPr="00C903F8">
        <w:rPr>
          <w:lang w:val="en-US"/>
        </w:rPr>
        <w:tab/>
        <w:t xml:space="preserve">Ventilators in hazardous areas shall be of a certified safe type. </w:t>
      </w:r>
    </w:p>
    <w:p w:rsidR="001D0FFC" w:rsidRPr="00C903F8" w:rsidRDefault="001D0FFC" w:rsidP="001D0FFC">
      <w:pPr>
        <w:pStyle w:val="Esann8ch"/>
        <w:rPr>
          <w:lang w:val="en-US"/>
        </w:rPr>
      </w:pPr>
    </w:p>
    <w:p w:rsidR="00D24BFE" w:rsidRPr="00C903F8" w:rsidRDefault="00D24BFE">
      <w:pPr>
        <w:autoSpaceDE/>
        <w:autoSpaceDN/>
        <w:ind w:left="0" w:firstLine="0"/>
        <w:jc w:val="left"/>
        <w:rPr>
          <w:rFonts w:eastAsia="Calibri" w:cs="Arial"/>
          <w:color w:val="000000"/>
          <w:szCs w:val="20"/>
          <w:lang w:val="en-US" w:eastAsia="en-US"/>
        </w:rPr>
      </w:pPr>
      <w:r w:rsidRPr="00C903F8">
        <w:rPr>
          <w:lang w:val="en-US"/>
        </w:rPr>
        <w:br w:type="page"/>
      </w:r>
    </w:p>
    <w:p w:rsidR="00D24BFE" w:rsidRPr="00C903F8" w:rsidRDefault="00D24BFE" w:rsidP="001D0FFC">
      <w:pPr>
        <w:pStyle w:val="Esann8ch"/>
        <w:rPr>
          <w:lang w:val="en-US"/>
        </w:rPr>
      </w:pPr>
    </w:p>
    <w:p w:rsidR="001D0FFC" w:rsidRPr="00C903F8" w:rsidRDefault="001D0FFC" w:rsidP="001D0FFC">
      <w:pPr>
        <w:pStyle w:val="Esann8ch"/>
        <w:rPr>
          <w:lang w:val="en-US"/>
        </w:rPr>
      </w:pPr>
      <w:r w:rsidRPr="00C903F8">
        <w:rPr>
          <w:lang w:val="en-US"/>
        </w:rPr>
        <w:t xml:space="preserve">2.7.2 </w:t>
      </w:r>
      <w:r w:rsidRPr="00C903F8">
        <w:rPr>
          <w:lang w:val="en-US"/>
        </w:rPr>
        <w:tab/>
        <w:t>Electric motors driving ventilators shall comply with the required explosion protection in the installation area.</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2.7.3</w:t>
      </w:r>
      <w:r w:rsidRPr="00C903F8">
        <w:rPr>
          <w:lang w:val="en-US"/>
        </w:rPr>
        <w:tab/>
        <w:t>An acoustic and optical alarm shall be triggered at a permanently manned location (e.g. wheelhouse) in the event of any loss of the required ventilating capacity.</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2.7.4</w:t>
      </w:r>
      <w:r w:rsidRPr="00C903F8">
        <w:rPr>
          <w:lang w:val="en-US"/>
        </w:rPr>
        <w:tab/>
        <w:t xml:space="preserve">Any ducting used for the ventilation of hazardous areas shall be separate from that used for the ventilation of non-hazardous areas.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2.7.5</w:t>
      </w:r>
      <w:r w:rsidRPr="00C903F8">
        <w:rPr>
          <w:lang w:val="en-US"/>
        </w:rPr>
        <w:tab/>
        <w:t>Required ventilation systems shall have at least two ventilators with independent power supply, each of sufficient capacity, to avoid any gas accumulation.</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2.7.6</w:t>
      </w:r>
      <w:r w:rsidRPr="00C903F8">
        <w:rPr>
          <w:lang w:val="en-US"/>
        </w:rPr>
        <w:tab/>
        <w:t xml:space="preserve">Air for hazardous rooms shall be taken from non-hazardous areas.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 xml:space="preserve">2.7.7 </w:t>
      </w:r>
      <w:r w:rsidRPr="00C903F8">
        <w:rPr>
          <w:lang w:val="en-US"/>
        </w:rPr>
        <w:tab/>
        <w:t xml:space="preserve">Air for non-hazardous rooms shall be taken from non-hazardous areas at least 1,50 m away from the boundaries of any hazardous area.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2.7.8</w:t>
      </w:r>
      <w:r w:rsidRPr="00C903F8">
        <w:rPr>
          <w:lang w:val="en-US"/>
        </w:rPr>
        <w:tab/>
        <w:t xml:space="preserve">Where the inlet duct passes through a hazardous room, the duct shall have over-pressure relative to this room. Overpressure shall not be required when structural measures on the duct ensure that gases will not leak into the duct.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 xml:space="preserve">2.7.9 </w:t>
      </w:r>
      <w:r w:rsidRPr="00C903F8">
        <w:rPr>
          <w:lang w:val="en-US"/>
        </w:rPr>
        <w:tab/>
        <w:t>Air outlets from hazardous rooms shall be located in an open area which is of the same or less hazard than the ventilated room.</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2.7.10</w:t>
      </w:r>
      <w:r w:rsidRPr="00C903F8">
        <w:rPr>
          <w:lang w:val="en-US"/>
        </w:rPr>
        <w:tab/>
        <w:t>Air outlets from non-hazardous rooms shall be located outside hazardous areas.</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2.7.11</w:t>
      </w:r>
      <w:r w:rsidRPr="00C903F8">
        <w:rPr>
          <w:lang w:val="en-US"/>
        </w:rPr>
        <w:tab/>
        <w:t>In enclosed rooms the ventilation exhaust ducts shall be located at the top of these rooms. Air inlets shall be located at the bottom.</w:t>
      </w:r>
    </w:p>
    <w:p w:rsidR="001D0FFC" w:rsidRPr="00C903F8" w:rsidRDefault="001D0FFC" w:rsidP="001D0FFC">
      <w:pPr>
        <w:pStyle w:val="Esann8ch"/>
        <w:rPr>
          <w:bCs/>
          <w:lang w:val="en-US"/>
        </w:rPr>
      </w:pPr>
    </w:p>
    <w:p w:rsidR="001D0FFC" w:rsidRPr="00C903F8" w:rsidRDefault="001D0FFC" w:rsidP="00623DA7">
      <w:pPr>
        <w:pStyle w:val="Esann8chgras"/>
        <w:rPr>
          <w:lang w:val="en-US"/>
        </w:rPr>
      </w:pPr>
      <w:r w:rsidRPr="00C903F8">
        <w:rPr>
          <w:lang w:val="en-US"/>
        </w:rPr>
        <w:t>2.8</w:t>
      </w:r>
      <w:r w:rsidRPr="00C903F8">
        <w:rPr>
          <w:lang w:val="en-US"/>
        </w:rPr>
        <w:tab/>
        <w:t>LNG bunkering system</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2.8.1</w:t>
      </w:r>
      <w:r w:rsidRPr="00C903F8">
        <w:rPr>
          <w:lang w:val="en-US"/>
        </w:rPr>
        <w:tab/>
        <w:t>The LNG bunkering system shall be so arranged that no gas is discharged to the atmosphere during filling of LNG fuel tanks.</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2.8.2</w:t>
      </w:r>
      <w:r w:rsidRPr="00C903F8">
        <w:rPr>
          <w:lang w:val="en-US"/>
        </w:rPr>
        <w:tab/>
        <w:t>The bunkering station and all valves used for bunkering shall be located on open deck so that sufficient natural ventilation is provided.</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2.8.3</w:t>
      </w:r>
      <w:r w:rsidRPr="00C903F8">
        <w:rPr>
          <w:lang w:val="en-US"/>
        </w:rPr>
        <w:tab/>
        <w:t xml:space="preserve">The bunkering station shall be so positioned and arranged that any damage to the gas piping does not cause damage to the </w:t>
      </w:r>
      <w:r w:rsidR="000A13AD">
        <w:rPr>
          <w:lang w:val="en-US"/>
        </w:rPr>
        <w:t>craft</w:t>
      </w:r>
      <w:r w:rsidRPr="00C903F8">
        <w:rPr>
          <w:lang w:val="en-US"/>
        </w:rPr>
        <w:t>'s LNG containment system.</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2.8.4</w:t>
      </w:r>
      <w:r w:rsidRPr="00C903F8">
        <w:rPr>
          <w:lang w:val="en-US"/>
        </w:rPr>
        <w:tab/>
        <w:t>Suitable means shall be provided to relieve the pressure and remove liquid contents from pump suctions and bunker piping.</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2.8.5</w:t>
      </w:r>
      <w:r w:rsidRPr="00C903F8">
        <w:rPr>
          <w:lang w:val="en-US"/>
        </w:rPr>
        <w:tab/>
        <w:t xml:space="preserve">Hoses used for the bunkering of </w:t>
      </w:r>
      <w:r w:rsidRPr="00C903F8">
        <w:rPr>
          <w:iCs/>
          <w:lang w:val="en-US"/>
        </w:rPr>
        <w:t>liquefied natural gas (LNG)</w:t>
      </w:r>
      <w:r w:rsidRPr="00C903F8">
        <w:rPr>
          <w:lang w:val="en-US"/>
        </w:rPr>
        <w:t xml:space="preserve"> shall be:</w:t>
      </w:r>
    </w:p>
    <w:p w:rsidR="001D0FFC" w:rsidRPr="00C903F8" w:rsidRDefault="001D0FFC" w:rsidP="00623DA7">
      <w:pPr>
        <w:pStyle w:val="Esann8let"/>
        <w:rPr>
          <w:lang w:val="en-US"/>
        </w:rPr>
      </w:pPr>
      <w:r w:rsidRPr="00C903F8">
        <w:rPr>
          <w:lang w:val="en-US"/>
        </w:rPr>
        <w:t>a)</w:t>
      </w:r>
      <w:r w:rsidRPr="00C903F8">
        <w:rPr>
          <w:lang w:val="en-US"/>
        </w:rPr>
        <w:tab/>
        <w:t xml:space="preserve">compatible with </w:t>
      </w:r>
      <w:r w:rsidRPr="00C903F8">
        <w:rPr>
          <w:iCs/>
          <w:lang w:val="en-US"/>
        </w:rPr>
        <w:t>liquefied natural gas (</w:t>
      </w:r>
      <w:r w:rsidRPr="00C903F8">
        <w:rPr>
          <w:lang w:val="en-US"/>
        </w:rPr>
        <w:t xml:space="preserve">LNG), in particular suitable for the </w:t>
      </w:r>
      <w:r w:rsidRPr="00C903F8">
        <w:rPr>
          <w:iCs/>
          <w:lang w:val="en-US"/>
        </w:rPr>
        <w:t>liquefied natural gas (</w:t>
      </w:r>
      <w:r w:rsidRPr="00C903F8">
        <w:rPr>
          <w:lang w:val="en-US"/>
        </w:rPr>
        <w:t>LNG) temperature,</w:t>
      </w:r>
    </w:p>
    <w:p w:rsidR="001D0FFC" w:rsidRPr="00C903F8" w:rsidRDefault="001D0FFC" w:rsidP="00623DA7">
      <w:pPr>
        <w:pStyle w:val="Esann8let"/>
        <w:rPr>
          <w:lang w:val="en-US"/>
        </w:rPr>
      </w:pPr>
      <w:r w:rsidRPr="00C903F8">
        <w:rPr>
          <w:lang w:val="en-US"/>
        </w:rPr>
        <w:t>b)</w:t>
      </w:r>
      <w:r w:rsidRPr="00C903F8">
        <w:rPr>
          <w:lang w:val="en-US"/>
        </w:rPr>
        <w:tab/>
        <w:t>designed for a bursting pressure not less than five times the maximum pressure they can be subjected to during bunkering.</w:t>
      </w:r>
    </w:p>
    <w:p w:rsidR="00D24BFE" w:rsidRPr="00C903F8" w:rsidRDefault="00D24BFE">
      <w:pPr>
        <w:autoSpaceDE/>
        <w:autoSpaceDN/>
        <w:ind w:left="0" w:firstLine="0"/>
        <w:jc w:val="left"/>
        <w:rPr>
          <w:rFonts w:eastAsia="Calibri" w:cs="Arial"/>
          <w:color w:val="000000"/>
          <w:szCs w:val="20"/>
          <w:lang w:val="en-US" w:eastAsia="en-US"/>
        </w:rPr>
      </w:pPr>
      <w:r w:rsidRPr="00C903F8">
        <w:rPr>
          <w:lang w:val="en-US"/>
        </w:rPr>
        <w:br w:type="page"/>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2.8.6</w:t>
      </w:r>
      <w:r w:rsidRPr="00C903F8">
        <w:rPr>
          <w:lang w:val="en-US"/>
        </w:rPr>
        <w:tab/>
        <w:t xml:space="preserve">The bunkering manifold shall be designed to withstand normal mechanical loads during bunkering. The connections shall be of dry-disconnect type in accordance with European Standard EN 1474, equipped with appropriate additional safety dry break-away couplings.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2.8.7</w:t>
      </w:r>
      <w:r w:rsidRPr="00C903F8">
        <w:rPr>
          <w:lang w:val="en-US"/>
        </w:rPr>
        <w:tab/>
        <w:t xml:space="preserve">It shall be possible to operate the master LNG bunkering valve during bunkering operations from a safe control station on the </w:t>
      </w:r>
      <w:r w:rsidR="000A13AD">
        <w:rPr>
          <w:lang w:val="en-US"/>
        </w:rPr>
        <w:t>craft</w:t>
      </w:r>
      <w:r w:rsidRPr="00C903F8">
        <w:rPr>
          <w:lang w:val="en-US"/>
        </w:rPr>
        <w:t xml:space="preserve">.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 xml:space="preserve">2.8.8 </w:t>
      </w:r>
      <w:r w:rsidRPr="00C903F8">
        <w:rPr>
          <w:lang w:val="en-US"/>
        </w:rPr>
        <w:tab/>
        <w:t>Bunkering piping shall be arranged for inerting and gas freeing.</w:t>
      </w:r>
    </w:p>
    <w:p w:rsidR="001D0FFC" w:rsidRPr="00C903F8" w:rsidRDefault="001D0FFC" w:rsidP="001D0FFC">
      <w:pPr>
        <w:pStyle w:val="Esann8ch"/>
        <w:rPr>
          <w:b/>
          <w:bCs/>
          <w:lang w:val="en-US"/>
        </w:rPr>
      </w:pPr>
    </w:p>
    <w:p w:rsidR="001D0FFC" w:rsidRPr="00C903F8" w:rsidRDefault="001D0FFC" w:rsidP="00623DA7">
      <w:pPr>
        <w:pStyle w:val="Esann8chgras"/>
        <w:rPr>
          <w:lang w:val="en-US"/>
        </w:rPr>
      </w:pPr>
      <w:r w:rsidRPr="00C903F8">
        <w:rPr>
          <w:lang w:val="en-US"/>
        </w:rPr>
        <w:t>2.9</w:t>
      </w:r>
      <w:r w:rsidRPr="00C903F8">
        <w:rPr>
          <w:lang w:val="en-US"/>
        </w:rPr>
        <w:tab/>
        <w:t>Filling limits of LNG fuel tanks</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2.9.1</w:t>
      </w:r>
      <w:r w:rsidRPr="00C903F8">
        <w:rPr>
          <w:lang w:val="en-US"/>
        </w:rPr>
        <w:tab/>
        <w:t xml:space="preserve">The level of </w:t>
      </w:r>
      <w:r w:rsidRPr="00C903F8">
        <w:rPr>
          <w:iCs/>
          <w:lang w:val="en-US"/>
        </w:rPr>
        <w:t>liquefied natural gas (</w:t>
      </w:r>
      <w:r w:rsidRPr="00C903F8">
        <w:rPr>
          <w:lang w:val="en-US"/>
        </w:rPr>
        <w:t xml:space="preserve">LNG) in the LNG fuel tank shall not exceed the filling limit of 95 % full at the reference temperature. The reference temperature means the temperature corresponding to the vapour pressure of the fuel at the opening pressure of the pressure relief valves. </w:t>
      </w:r>
    </w:p>
    <w:p w:rsidR="001D0FFC" w:rsidRPr="00C903F8" w:rsidRDefault="001D0FFC" w:rsidP="001D0FFC">
      <w:pPr>
        <w:pStyle w:val="Esann8ch"/>
        <w:rPr>
          <w:lang w:val="en-US"/>
        </w:rPr>
      </w:pPr>
    </w:p>
    <w:p w:rsidR="001D0FFC" w:rsidRPr="00C903F8" w:rsidRDefault="001D0FFC" w:rsidP="001D0FFC">
      <w:pPr>
        <w:pStyle w:val="Esann8ch"/>
        <w:rPr>
          <w:lang w:val="en-US"/>
        </w:rPr>
      </w:pPr>
      <w:r w:rsidRPr="00C903F8">
        <w:rPr>
          <w:lang w:val="en-US"/>
        </w:rPr>
        <w:t>2.9.2</w:t>
      </w:r>
      <w:r w:rsidRPr="00C903F8">
        <w:rPr>
          <w:lang w:val="en-US"/>
        </w:rPr>
        <w:tab/>
        <w:t xml:space="preserve">A filling limit curve for </w:t>
      </w:r>
      <w:r w:rsidRPr="00C903F8">
        <w:rPr>
          <w:iCs/>
          <w:lang w:val="en-US"/>
        </w:rPr>
        <w:t>liquefied natural gas (</w:t>
      </w:r>
      <w:r w:rsidRPr="00C903F8">
        <w:rPr>
          <w:lang w:val="en-US"/>
        </w:rPr>
        <w:t>LNG) filling temperatures shall be prepared from the following formula:</w:t>
      </w:r>
    </w:p>
    <w:p w:rsidR="00623DA7" w:rsidRPr="00C903F8" w:rsidRDefault="00623DA7" w:rsidP="00623DA7">
      <w:pPr>
        <w:spacing w:line="240" w:lineRule="atLeast"/>
        <w:ind w:left="851" w:hanging="851"/>
        <w:jc w:val="center"/>
        <w:rPr>
          <w:rFonts w:eastAsia="Calibri" w:cs="Arial"/>
          <w:color w:val="000000"/>
          <w:szCs w:val="20"/>
          <w:lang w:eastAsia="en-US"/>
        </w:rPr>
      </w:pPr>
      <m:oMathPara>
        <m:oMath>
          <m:r>
            <w:rPr>
              <w:rFonts w:ascii="Cambria Math" w:eastAsia="Calibri" w:hAnsi="Cambria Math" w:cs="Arial"/>
              <w:color w:val="000000"/>
              <w:szCs w:val="20"/>
              <w:lang w:eastAsia="en-US"/>
            </w:rPr>
            <m:t xml:space="preserve">LL=FL ∙ </m:t>
          </m:r>
          <m:sSub>
            <m:sSubPr>
              <m:ctrlPr>
                <w:rPr>
                  <w:rFonts w:ascii="Cambria Math" w:eastAsia="Calibri" w:hAnsi="Cambria Math" w:cs="Arial"/>
                  <w:i/>
                  <w:color w:val="000000"/>
                  <w:szCs w:val="20"/>
                  <w:lang w:eastAsia="en-US"/>
                </w:rPr>
              </m:ctrlPr>
            </m:sSubPr>
            <m:e>
              <m:r>
                <w:rPr>
                  <w:rFonts w:ascii="Cambria Math" w:eastAsia="Calibri" w:hAnsi="Cambria Math" w:cs="Arial"/>
                  <w:color w:val="000000"/>
                  <w:szCs w:val="20"/>
                  <w:lang w:eastAsia="en-US"/>
                </w:rPr>
                <m:t>ρ</m:t>
              </m:r>
            </m:e>
            <m:sub>
              <m:r>
                <w:rPr>
                  <w:rFonts w:ascii="Cambria Math" w:eastAsia="Calibri" w:hAnsi="Cambria Math" w:cs="Arial"/>
                  <w:color w:val="000000"/>
                  <w:szCs w:val="20"/>
                  <w:lang w:eastAsia="en-US"/>
                </w:rPr>
                <m:t>R</m:t>
              </m:r>
            </m:sub>
          </m:sSub>
          <m:r>
            <w:rPr>
              <w:rFonts w:ascii="Cambria Math" w:eastAsia="Calibri" w:hAnsi="Cambria Math" w:cs="Arial"/>
              <w:color w:val="000000"/>
              <w:szCs w:val="20"/>
              <w:lang w:eastAsia="en-US"/>
            </w:rPr>
            <m:t>/</m:t>
          </m:r>
          <m:sSub>
            <m:sSubPr>
              <m:ctrlPr>
                <w:rPr>
                  <w:rFonts w:ascii="Cambria Math" w:eastAsia="Calibri" w:hAnsi="Cambria Math" w:cs="Arial"/>
                  <w:i/>
                  <w:color w:val="000000"/>
                  <w:szCs w:val="20"/>
                  <w:lang w:eastAsia="en-US"/>
                </w:rPr>
              </m:ctrlPr>
            </m:sSubPr>
            <m:e>
              <m:r>
                <w:rPr>
                  <w:rFonts w:ascii="Cambria Math" w:eastAsia="Calibri" w:hAnsi="Cambria Math" w:cs="Arial"/>
                  <w:color w:val="000000"/>
                  <w:szCs w:val="20"/>
                  <w:lang w:eastAsia="en-US"/>
                </w:rPr>
                <m:t>ρ</m:t>
              </m:r>
            </m:e>
            <m:sub>
              <m:r>
                <w:rPr>
                  <w:rFonts w:ascii="Cambria Math" w:eastAsia="Calibri" w:hAnsi="Cambria Math" w:cs="Arial"/>
                  <w:color w:val="000000"/>
                  <w:szCs w:val="20"/>
                  <w:lang w:eastAsia="en-US"/>
                </w:rPr>
                <m:t>L</m:t>
              </m:r>
            </m:sub>
          </m:sSub>
        </m:oMath>
      </m:oMathPara>
    </w:p>
    <w:p w:rsidR="001D0FFC" w:rsidRPr="00C903F8" w:rsidRDefault="001D0FFC" w:rsidP="00623DA7">
      <w:pPr>
        <w:pStyle w:val="Esann8chpar"/>
        <w:rPr>
          <w:lang w:val="en-GB"/>
        </w:rPr>
      </w:pPr>
      <w:r w:rsidRPr="00C903F8">
        <w:rPr>
          <w:lang w:val="en-GB"/>
        </w:rPr>
        <w:t>where:</w:t>
      </w:r>
    </w:p>
    <w:p w:rsidR="001D0FFC" w:rsidRPr="00C903F8" w:rsidRDefault="00623DA7" w:rsidP="00623DA7">
      <w:pPr>
        <w:pStyle w:val="Esann8chpar"/>
        <w:tabs>
          <w:tab w:val="left" w:pos="1418"/>
        </w:tabs>
        <w:spacing w:before="60"/>
        <w:ind w:left="1843" w:hanging="992"/>
        <w:rPr>
          <w:lang w:val="en-GB"/>
        </w:rPr>
      </w:pPr>
      <m:oMath>
        <m:r>
          <w:rPr>
            <w:rFonts w:ascii="Cambria Math" w:hAnsi="Cambria Math"/>
            <w:lang w:val="nl-NL"/>
          </w:rPr>
          <m:t>LL</m:t>
        </m:r>
      </m:oMath>
      <w:r w:rsidR="001D0FFC" w:rsidRPr="00C903F8">
        <w:rPr>
          <w:lang w:val="en-GB"/>
        </w:rPr>
        <w:tab/>
        <w:t>=</w:t>
      </w:r>
      <w:r w:rsidR="001D0FFC" w:rsidRPr="00C903F8">
        <w:rPr>
          <w:lang w:val="en-GB"/>
        </w:rPr>
        <w:tab/>
        <w:t>loading limit, maximum allowable liquid volume relative to the LNG fuel tank volume to which the tank may be loaded, expressed in per cent,</w:t>
      </w:r>
    </w:p>
    <w:p w:rsidR="001D0FFC" w:rsidRPr="00C903F8" w:rsidRDefault="00623DA7" w:rsidP="00623DA7">
      <w:pPr>
        <w:pStyle w:val="Esann8chpar"/>
        <w:tabs>
          <w:tab w:val="left" w:pos="1418"/>
        </w:tabs>
        <w:spacing w:before="60"/>
        <w:ind w:left="1843" w:hanging="992"/>
        <w:rPr>
          <w:lang w:val="en-GB"/>
        </w:rPr>
      </w:pPr>
      <m:oMath>
        <m:r>
          <w:rPr>
            <w:rFonts w:ascii="Cambria Math" w:hAnsi="Cambria Math"/>
            <w:lang w:val="nl-NL"/>
          </w:rPr>
          <m:t>FL</m:t>
        </m:r>
      </m:oMath>
      <w:r w:rsidR="001D0FFC" w:rsidRPr="00C903F8">
        <w:rPr>
          <w:lang w:val="en-GB"/>
        </w:rPr>
        <w:tab/>
        <w:t>=</w:t>
      </w:r>
      <w:r w:rsidR="001D0FFC" w:rsidRPr="00C903F8">
        <w:rPr>
          <w:lang w:val="en-GB"/>
        </w:rPr>
        <w:tab/>
        <w:t>filling limit expressed in per cent, here 95 %,</w:t>
      </w:r>
    </w:p>
    <w:p w:rsidR="001D0FFC" w:rsidRPr="00C903F8" w:rsidRDefault="00F12BAF" w:rsidP="00623DA7">
      <w:pPr>
        <w:pStyle w:val="Esann8chpar"/>
        <w:tabs>
          <w:tab w:val="left" w:pos="1418"/>
        </w:tabs>
        <w:spacing w:before="60"/>
        <w:ind w:left="1843" w:hanging="992"/>
        <w:rPr>
          <w:lang w:val="en-GB"/>
        </w:rPr>
      </w:pPr>
      <m:oMath>
        <m:sSub>
          <m:sSubPr>
            <m:ctrlPr>
              <w:rPr>
                <w:rFonts w:ascii="Cambria Math" w:hAnsi="Cambria Math"/>
                <w:i/>
                <w:lang w:val="de-DE"/>
              </w:rPr>
            </m:ctrlPr>
          </m:sSubPr>
          <m:e>
            <m:r>
              <w:rPr>
                <w:rFonts w:ascii="Cambria Math" w:hAnsi="Cambria Math"/>
                <w:lang w:val="de-DE"/>
              </w:rPr>
              <m:t>ρ</m:t>
            </m:r>
          </m:e>
          <m:sub>
            <m:r>
              <w:rPr>
                <w:rFonts w:ascii="Cambria Math" w:hAnsi="Cambria Math"/>
                <w:lang w:val="de-DE"/>
              </w:rPr>
              <m:t>R</m:t>
            </m:r>
          </m:sub>
        </m:sSub>
      </m:oMath>
      <w:r w:rsidR="001D0FFC" w:rsidRPr="00C903F8">
        <w:rPr>
          <w:lang w:val="en-GB"/>
        </w:rPr>
        <w:tab/>
        <w:t>=</w:t>
      </w:r>
      <w:r w:rsidR="001D0FFC" w:rsidRPr="00C903F8">
        <w:rPr>
          <w:lang w:val="en-GB"/>
        </w:rPr>
        <w:tab/>
        <w:t xml:space="preserve">relative density of fuel at the reference temperature, </w:t>
      </w:r>
    </w:p>
    <w:p w:rsidR="001D0FFC" w:rsidRPr="00C903F8" w:rsidRDefault="00F12BAF" w:rsidP="00623DA7">
      <w:pPr>
        <w:pStyle w:val="Esann8chpar"/>
        <w:tabs>
          <w:tab w:val="left" w:pos="1418"/>
        </w:tabs>
        <w:spacing w:before="60"/>
        <w:ind w:left="1843" w:hanging="992"/>
        <w:rPr>
          <w:lang w:val="en-GB"/>
        </w:rPr>
      </w:pPr>
      <m:oMath>
        <m:sSub>
          <m:sSubPr>
            <m:ctrlPr>
              <w:rPr>
                <w:rFonts w:ascii="Cambria Math" w:hAnsi="Cambria Math"/>
                <w:i/>
                <w:lang w:val="de-DE"/>
              </w:rPr>
            </m:ctrlPr>
          </m:sSubPr>
          <m:e>
            <m:r>
              <w:rPr>
                <w:rFonts w:ascii="Cambria Math" w:hAnsi="Cambria Math"/>
                <w:lang w:val="de-DE"/>
              </w:rPr>
              <m:t>ρ</m:t>
            </m:r>
          </m:e>
          <m:sub>
            <m:r>
              <w:rPr>
                <w:rFonts w:ascii="Cambria Math" w:hAnsi="Cambria Math"/>
                <w:lang w:val="de-DE"/>
              </w:rPr>
              <m:t>L</m:t>
            </m:r>
          </m:sub>
        </m:sSub>
      </m:oMath>
      <w:r w:rsidR="001D0FFC" w:rsidRPr="00C903F8">
        <w:rPr>
          <w:lang w:val="en-GB"/>
        </w:rPr>
        <w:tab/>
        <w:t>=</w:t>
      </w:r>
      <w:r w:rsidR="001D0FFC" w:rsidRPr="00C903F8">
        <w:rPr>
          <w:lang w:val="en-GB"/>
        </w:rPr>
        <w:tab/>
        <w:t>relative density of fuel at the loading temperature.</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2.9.3</w:t>
      </w:r>
      <w:r w:rsidRPr="00C903F8">
        <w:rPr>
          <w:lang w:val="en-GB"/>
        </w:rPr>
        <w:tab/>
        <w:t xml:space="preserve">For </w:t>
      </w:r>
      <w:r w:rsidR="000A13AD">
        <w:rPr>
          <w:lang w:val="en-GB"/>
        </w:rPr>
        <w:t>craft</w:t>
      </w:r>
      <w:r w:rsidRPr="00C903F8">
        <w:rPr>
          <w:lang w:val="en-GB"/>
        </w:rPr>
        <w:t xml:space="preserve"> </w:t>
      </w:r>
      <w:r w:rsidR="00343FC4">
        <w:rPr>
          <w:lang w:val="en-GB"/>
        </w:rPr>
        <w:t>exposed</w:t>
      </w:r>
      <w:r w:rsidRPr="00C903F8">
        <w:rPr>
          <w:lang w:val="en-GB"/>
        </w:rPr>
        <w:t xml:space="preserve"> to significant wave heights or significant motion on account of operations, the filling limit curve shall be adapted accordingly, based on the risk assessment according to </w:t>
      </w:r>
      <w:r w:rsidR="0084166A">
        <w:rPr>
          <w:lang w:val="en-GB"/>
        </w:rPr>
        <w:t>(</w:t>
      </w:r>
      <w:r w:rsidRPr="00C903F8">
        <w:rPr>
          <w:lang w:val="en-GB"/>
        </w:rPr>
        <w:t>1.3</w:t>
      </w:r>
      <w:r w:rsidR="0084166A">
        <w:rPr>
          <w:lang w:val="en-GB"/>
        </w:rPr>
        <w:t>)</w:t>
      </w:r>
      <w:r w:rsidRPr="00C903F8">
        <w:rPr>
          <w:lang w:val="en-GB"/>
        </w:rPr>
        <w:t>.</w:t>
      </w:r>
    </w:p>
    <w:p w:rsidR="001D0FFC" w:rsidRPr="00C903F8" w:rsidRDefault="001D0FFC" w:rsidP="001D0FFC">
      <w:pPr>
        <w:pStyle w:val="Esann8ch"/>
        <w:rPr>
          <w:lang w:val="en-GB"/>
        </w:rPr>
      </w:pPr>
    </w:p>
    <w:p w:rsidR="001D0FFC" w:rsidRPr="00C903F8" w:rsidRDefault="001D0FFC" w:rsidP="00623DA7">
      <w:pPr>
        <w:pStyle w:val="Esann8chgras"/>
        <w:rPr>
          <w:lang w:val="en-GB"/>
        </w:rPr>
      </w:pPr>
      <w:r w:rsidRPr="00C903F8">
        <w:rPr>
          <w:lang w:val="en-GB"/>
        </w:rPr>
        <w:t>2.10</w:t>
      </w:r>
      <w:r w:rsidRPr="00C903F8">
        <w:rPr>
          <w:lang w:val="en-GB"/>
        </w:rPr>
        <w:tab/>
        <w:t>Gas supply system</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2.10.1</w:t>
      </w:r>
      <w:r w:rsidRPr="00C903F8">
        <w:rPr>
          <w:lang w:val="en-GB"/>
        </w:rPr>
        <w:tab/>
        <w:t>The gas supply system shall be so arranged that the consequences of any release of gas will be minimized, while providing safe access for operation and inspection.</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2.10.2</w:t>
      </w:r>
      <w:r w:rsidRPr="00C903F8">
        <w:rPr>
          <w:lang w:val="en-GB"/>
        </w:rPr>
        <w:tab/>
        <w:t>The parts of the gas supply system which are located outside the engine room shall be designed in a way that a failure of one barrier cannot lead to a leak from the system into the surrounding area causing immediate danger to the people on boar</w:t>
      </w:r>
      <w:r w:rsidR="000A13AD">
        <w:rPr>
          <w:lang w:val="en-GB"/>
        </w:rPr>
        <w:t>d, the environment or the craft</w:t>
      </w:r>
      <w:r w:rsidRPr="00C903F8">
        <w:rPr>
          <w:lang w:val="en-GB"/>
        </w:rPr>
        <w:t>.</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2.10.3</w:t>
      </w:r>
      <w:r w:rsidRPr="00C903F8">
        <w:rPr>
          <w:lang w:val="en-GB"/>
        </w:rPr>
        <w:tab/>
        <w:t xml:space="preserve">LNG fuel tank inlets and outlets shall be provided with valves located as close to the tank as possible. </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2.10.4</w:t>
      </w:r>
      <w:r w:rsidRPr="00C903F8">
        <w:rPr>
          <w:lang w:val="en-GB"/>
        </w:rPr>
        <w:tab/>
        <w:t>The gas supply system to each engine or set of engines shall be equipped with a master gas fuel valve. The valves shall be situated as close as practicable to the gas preparation system</w:t>
      </w:r>
      <w:r w:rsidR="003A4DA0">
        <w:rPr>
          <w:lang w:val="en-GB"/>
        </w:rPr>
        <w:t>,</w:t>
      </w:r>
      <w:r w:rsidRPr="00C903F8">
        <w:rPr>
          <w:lang w:val="en-GB"/>
        </w:rPr>
        <w:t xml:space="preserve"> but in any case outside the engine room.</w:t>
      </w:r>
    </w:p>
    <w:p w:rsidR="001D0FFC" w:rsidRPr="00C903F8" w:rsidRDefault="001D0FFC" w:rsidP="001D0FFC">
      <w:pPr>
        <w:pStyle w:val="Esann8ch"/>
        <w:rPr>
          <w:lang w:val="en-GB"/>
        </w:rPr>
      </w:pPr>
    </w:p>
    <w:p w:rsidR="00D24BFE" w:rsidRPr="00C903F8" w:rsidRDefault="00D24BFE">
      <w:pPr>
        <w:autoSpaceDE/>
        <w:autoSpaceDN/>
        <w:ind w:left="0" w:firstLine="0"/>
        <w:jc w:val="left"/>
        <w:rPr>
          <w:rFonts w:eastAsia="Calibri" w:cs="Arial"/>
          <w:color w:val="000000"/>
          <w:szCs w:val="20"/>
          <w:lang w:val="en-GB" w:eastAsia="en-US"/>
        </w:rPr>
      </w:pPr>
      <w:r w:rsidRPr="00C903F8">
        <w:rPr>
          <w:lang w:val="en-GB"/>
        </w:rPr>
        <w:br w:type="page"/>
      </w:r>
    </w:p>
    <w:p w:rsidR="00D24BFE" w:rsidRPr="00C903F8" w:rsidRDefault="00D24BFE" w:rsidP="001D0FFC">
      <w:pPr>
        <w:pStyle w:val="Esann8ch"/>
        <w:rPr>
          <w:lang w:val="en-GB"/>
        </w:rPr>
      </w:pPr>
    </w:p>
    <w:p w:rsidR="001D0FFC" w:rsidRPr="00C903F8" w:rsidRDefault="001D0FFC" w:rsidP="001D0FFC">
      <w:pPr>
        <w:pStyle w:val="Esann8ch"/>
        <w:rPr>
          <w:lang w:val="en-GB"/>
        </w:rPr>
      </w:pPr>
      <w:r w:rsidRPr="00C903F8">
        <w:rPr>
          <w:lang w:val="en-GB"/>
        </w:rPr>
        <w:t>2.10.5</w:t>
      </w:r>
      <w:r w:rsidRPr="00C903F8">
        <w:rPr>
          <w:lang w:val="en-GB"/>
        </w:rPr>
        <w:tab/>
        <w:t xml:space="preserve">The master gas fuel valve shall be operable </w:t>
      </w:r>
    </w:p>
    <w:p w:rsidR="001D0FFC" w:rsidRPr="00C903F8" w:rsidRDefault="001D0FFC" w:rsidP="00623DA7">
      <w:pPr>
        <w:pStyle w:val="Esann8let"/>
        <w:rPr>
          <w:lang w:val="en-GB"/>
        </w:rPr>
      </w:pPr>
      <w:r w:rsidRPr="00C903F8">
        <w:rPr>
          <w:lang w:val="en-GB"/>
        </w:rPr>
        <w:t>a)</w:t>
      </w:r>
      <w:r w:rsidRPr="00C903F8">
        <w:rPr>
          <w:lang w:val="en-GB"/>
        </w:rPr>
        <w:tab/>
        <w:t xml:space="preserve">within and outside the engine room, </w:t>
      </w:r>
    </w:p>
    <w:p w:rsidR="001D0FFC" w:rsidRPr="00C903F8" w:rsidRDefault="001D0FFC" w:rsidP="00623DA7">
      <w:pPr>
        <w:pStyle w:val="Esann8let"/>
        <w:rPr>
          <w:lang w:val="en-GB"/>
        </w:rPr>
      </w:pPr>
      <w:r w:rsidRPr="00C903F8">
        <w:rPr>
          <w:lang w:val="en-GB"/>
        </w:rPr>
        <w:t>b)</w:t>
      </w:r>
      <w:r w:rsidRPr="00C903F8">
        <w:rPr>
          <w:lang w:val="en-GB"/>
        </w:rPr>
        <w:tab/>
        <w:t>from the wheelhouse.</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2.10.6</w:t>
      </w:r>
      <w:r w:rsidRPr="00C903F8">
        <w:rPr>
          <w:lang w:val="en-GB"/>
        </w:rPr>
        <w:tab/>
        <w:t>Each gas consuming equipment shall be provided with a set of double block and bleed valves to assure safe isolation of the fuel supply system. The two block valves shall be of the fail-to-close type, while the ventilation valve shall be fail-to-open type.</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2.10.7</w:t>
      </w:r>
      <w:r w:rsidRPr="00C903F8">
        <w:rPr>
          <w:lang w:val="en-GB"/>
        </w:rPr>
        <w:tab/>
        <w:t>For multi-engine installations, where a separate master gas fuel valve is provided for each engine and for one-engine installation, the master gas fuel valve and the double block and bleed valve functions can be combined. One shutdown valve of the double block and bleed valves shall also be manually operated.</w:t>
      </w:r>
    </w:p>
    <w:p w:rsidR="001D0FFC" w:rsidRPr="00C903F8" w:rsidRDefault="001D0FFC" w:rsidP="00623DA7">
      <w:pPr>
        <w:pStyle w:val="Esann8ch"/>
        <w:rPr>
          <w:lang w:val="en-US"/>
        </w:rPr>
      </w:pPr>
    </w:p>
    <w:p w:rsidR="001D0FFC" w:rsidRPr="00C903F8" w:rsidRDefault="001D0FFC" w:rsidP="00623DA7">
      <w:pPr>
        <w:pStyle w:val="Esann8chgras"/>
        <w:rPr>
          <w:lang w:val="en-GB"/>
        </w:rPr>
      </w:pPr>
      <w:r w:rsidRPr="00C903F8">
        <w:rPr>
          <w:lang w:val="en-GB"/>
        </w:rPr>
        <w:t>2.11</w:t>
      </w:r>
      <w:r w:rsidRPr="00C903F8">
        <w:rPr>
          <w:lang w:val="en-GB"/>
        </w:rPr>
        <w:tab/>
        <w:t>Exhaust system and gas supply shut down</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2.11.1</w:t>
      </w:r>
      <w:r w:rsidRPr="00C903F8">
        <w:rPr>
          <w:lang w:val="en-GB"/>
        </w:rPr>
        <w:tab/>
        <w:t>The exhaust system shall be configured to keep accumulation of unburned gaseous fuel as low as possible.</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2.11.2</w:t>
      </w:r>
      <w:r w:rsidRPr="00C903F8">
        <w:rPr>
          <w:lang w:val="en-GB"/>
        </w:rPr>
        <w:tab/>
        <w:t>Unless designed with the strength to withstand the worst case overpressure due to ignited gas leaks, engine components or systems that can contain an ignitable gas and air mixture shall be fitted with suitable p</w:t>
      </w:r>
      <w:r w:rsidRPr="00C903F8">
        <w:rPr>
          <w:iCs/>
          <w:lang w:val="en-US"/>
        </w:rPr>
        <w:t>ressure relief devices</w:t>
      </w:r>
      <w:r w:rsidRPr="00C903F8">
        <w:rPr>
          <w:lang w:val="en-GB"/>
        </w:rPr>
        <w:t>.</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2.11.3</w:t>
      </w:r>
      <w:r w:rsidRPr="00C903F8">
        <w:rPr>
          <w:lang w:val="en-GB"/>
        </w:rPr>
        <w:tab/>
        <w:t>If the gas supply is not changed-over to gasoil before stopping, the gas supply system from the master gas fuel valve to the engine, and the exhaust system shall be purged in order to discharge any residual gas which may be present.</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2.11.4</w:t>
      </w:r>
      <w:r w:rsidRPr="00C903F8">
        <w:rPr>
          <w:lang w:val="en-GB"/>
        </w:rPr>
        <w:tab/>
        <w:t xml:space="preserve">A means shall be provided to monitor and detect incorrect operation of the ignition system, poor combustion or mis-firing that may lead to unburned gaseous fuel in the exhaust system during operation. </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2.11.5</w:t>
      </w:r>
      <w:r w:rsidRPr="00C903F8">
        <w:rPr>
          <w:lang w:val="en-GB"/>
        </w:rPr>
        <w:tab/>
        <w:t>If incorrect operation of the ignition system, poor combustion or mis-firing is detected, the gas supply system shall be shut down automatically.</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2.11.6</w:t>
      </w:r>
      <w:r w:rsidRPr="00C903F8">
        <w:rPr>
          <w:lang w:val="en-GB"/>
        </w:rPr>
        <w:tab/>
        <w:t>The exhaust pipes of gas or dual fuel engines shall not be connected to the exhaust pipes of other engines or systems.</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2.11.7</w:t>
      </w:r>
      <w:r w:rsidRPr="00C903F8">
        <w:rPr>
          <w:lang w:val="en-GB"/>
        </w:rPr>
        <w:tab/>
        <w:t>In case of a normal stop or an ESD, the gas supply system shall be shut off not later than the ignition source. It shall not be possible to shut off the ignition source without first or simultaneously closing the gas supply to each cylinder or to the complete engine.</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2.11.8</w:t>
      </w:r>
      <w:r w:rsidRPr="00C903F8">
        <w:rPr>
          <w:lang w:val="en-GB"/>
        </w:rPr>
        <w:tab/>
        <w:t>In case of shut-off of the gas supply system in a dual fuel engine, the engine shall be capable of continuous operation on gasoil only without interruption.</w:t>
      </w:r>
    </w:p>
    <w:p w:rsidR="001D0FFC" w:rsidRPr="00C903F8" w:rsidRDefault="001D0FFC" w:rsidP="001D0FFC">
      <w:pPr>
        <w:pStyle w:val="Esann8ch"/>
        <w:rPr>
          <w:lang w:val="en-US"/>
        </w:rPr>
      </w:pPr>
    </w:p>
    <w:p w:rsidR="00623DA7" w:rsidRPr="00C903F8" w:rsidRDefault="00623DA7" w:rsidP="001D0FFC">
      <w:pPr>
        <w:pStyle w:val="Esann8ch"/>
        <w:rPr>
          <w:lang w:val="en-US"/>
        </w:rPr>
      </w:pPr>
    </w:p>
    <w:p w:rsidR="00D24BFE" w:rsidRPr="00C903F8" w:rsidRDefault="00D24BFE">
      <w:pPr>
        <w:autoSpaceDE/>
        <w:autoSpaceDN/>
        <w:ind w:left="0" w:firstLine="0"/>
        <w:jc w:val="left"/>
        <w:rPr>
          <w:rFonts w:eastAsia="Calibri" w:cs="Arial"/>
          <w:color w:val="000000"/>
          <w:szCs w:val="20"/>
          <w:lang w:val="en-US" w:eastAsia="en-US"/>
        </w:rPr>
      </w:pPr>
      <w:r w:rsidRPr="00C903F8">
        <w:rPr>
          <w:lang w:val="en-US"/>
        </w:rPr>
        <w:br w:type="page"/>
      </w:r>
    </w:p>
    <w:p w:rsidR="00D24BFE" w:rsidRPr="00C903F8" w:rsidRDefault="00D24BFE" w:rsidP="001D0FFC">
      <w:pPr>
        <w:pStyle w:val="Esann8ch"/>
        <w:rPr>
          <w:lang w:val="en-US"/>
        </w:rPr>
      </w:pPr>
    </w:p>
    <w:p w:rsidR="001D0FFC" w:rsidRPr="00C903F8" w:rsidRDefault="001D0FFC" w:rsidP="001D0FFC">
      <w:pPr>
        <w:pStyle w:val="Esann8titrechap"/>
        <w:rPr>
          <w:lang w:val="en-US"/>
        </w:rPr>
      </w:pPr>
      <w:r w:rsidRPr="00C903F8">
        <w:rPr>
          <w:lang w:val="en-US"/>
        </w:rPr>
        <w:t>Chapter 3</w:t>
      </w:r>
    </w:p>
    <w:p w:rsidR="001D0FFC" w:rsidRPr="00C903F8" w:rsidRDefault="001D0FFC" w:rsidP="001D0FFC">
      <w:pPr>
        <w:pStyle w:val="Esann8titrechap"/>
        <w:rPr>
          <w:lang w:val="en-US"/>
        </w:rPr>
      </w:pPr>
      <w:r w:rsidRPr="00C903F8">
        <w:rPr>
          <w:lang w:val="en-US"/>
        </w:rPr>
        <w:t>Fire Safety</w:t>
      </w:r>
    </w:p>
    <w:p w:rsidR="001D0FFC" w:rsidRPr="00C903F8" w:rsidRDefault="001D0FFC" w:rsidP="001D0FFC">
      <w:pPr>
        <w:pStyle w:val="Esannch"/>
        <w:rPr>
          <w:lang w:val="en-US"/>
        </w:rPr>
      </w:pPr>
    </w:p>
    <w:p w:rsidR="001D0FFC" w:rsidRPr="00C903F8" w:rsidRDefault="001D0FFC" w:rsidP="001D0FFC">
      <w:pPr>
        <w:pStyle w:val="Esann8chgras"/>
        <w:rPr>
          <w:rFonts w:eastAsia="Calibri"/>
          <w:lang w:val="en-GB" w:eastAsia="en-US"/>
        </w:rPr>
      </w:pPr>
      <w:r w:rsidRPr="00C903F8">
        <w:rPr>
          <w:rFonts w:eastAsia="Calibri"/>
          <w:lang w:val="en-GB" w:eastAsia="en-US"/>
        </w:rPr>
        <w:t>3.1</w:t>
      </w:r>
      <w:r w:rsidRPr="00C903F8">
        <w:rPr>
          <w:rFonts w:eastAsia="Calibri"/>
          <w:lang w:val="en-GB" w:eastAsia="en-US"/>
        </w:rPr>
        <w:tab/>
        <w:t>General</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3.1.1</w:t>
      </w:r>
      <w:r w:rsidRPr="00C903F8">
        <w:rPr>
          <w:lang w:val="en-GB"/>
        </w:rPr>
        <w:tab/>
        <w:t>Fire detection, protection and extinction measures appropriate to the hazards concerned shall be provided.</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3.1.2</w:t>
      </w:r>
      <w:r w:rsidRPr="00C903F8">
        <w:rPr>
          <w:lang w:val="en-GB"/>
        </w:rPr>
        <w:tab/>
        <w:t>The gas preparation system shall be regarded as an engine room for fire protection purposes.</w:t>
      </w:r>
    </w:p>
    <w:p w:rsidR="001D0FFC" w:rsidRPr="00C903F8" w:rsidRDefault="001D0FFC" w:rsidP="001D0FFC">
      <w:pPr>
        <w:pStyle w:val="Esann8ch"/>
        <w:rPr>
          <w:lang w:val="en-GB"/>
        </w:rPr>
      </w:pPr>
    </w:p>
    <w:p w:rsidR="001D0FFC" w:rsidRPr="00C903F8" w:rsidRDefault="001D0FFC" w:rsidP="00935328">
      <w:pPr>
        <w:pStyle w:val="Esann8chgras"/>
        <w:rPr>
          <w:lang w:val="en-GB"/>
        </w:rPr>
      </w:pPr>
      <w:r w:rsidRPr="00C903F8">
        <w:rPr>
          <w:lang w:val="en-GB"/>
        </w:rPr>
        <w:t>3.2</w:t>
      </w:r>
      <w:r w:rsidRPr="00C903F8">
        <w:rPr>
          <w:lang w:val="en-GB"/>
        </w:rPr>
        <w:tab/>
        <w:t>Fire alarm system</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3.2.1</w:t>
      </w:r>
      <w:r w:rsidRPr="00C903F8">
        <w:rPr>
          <w:lang w:val="en-GB"/>
        </w:rPr>
        <w:tab/>
        <w:t xml:space="preserve">A suitable fixed fire alarm system shall be provided for all rooms of the LNG system where fire cannot be excluded. </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3.2.2</w:t>
      </w:r>
      <w:r w:rsidRPr="00C903F8">
        <w:rPr>
          <w:lang w:val="en-GB"/>
        </w:rPr>
        <w:tab/>
        <w:t xml:space="preserve">Smoke detectors alone </w:t>
      </w:r>
      <w:r w:rsidR="00BC63D4">
        <w:rPr>
          <w:lang w:val="en-GB"/>
        </w:rPr>
        <w:t>are</w:t>
      </w:r>
      <w:r w:rsidRPr="00C903F8">
        <w:rPr>
          <w:lang w:val="en-GB"/>
        </w:rPr>
        <w:t xml:space="preserve"> not sufficient for rapid detection of a fire.</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3.2.3</w:t>
      </w:r>
      <w:r w:rsidRPr="00C903F8">
        <w:rPr>
          <w:lang w:val="en-GB"/>
        </w:rPr>
        <w:tab/>
        <w:t>The fire detection system shall have the means to identify each detector individually.</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3.2.4</w:t>
      </w:r>
      <w:r w:rsidRPr="00C903F8">
        <w:rPr>
          <w:lang w:val="en-GB"/>
        </w:rPr>
        <w:tab/>
        <w:t>The gas safety system shall shut down the relevant parts of the gas supply system automatically upon fire detection in rooms containing gas installations.</w:t>
      </w:r>
    </w:p>
    <w:p w:rsidR="001D0FFC" w:rsidRPr="00C903F8" w:rsidRDefault="001D0FFC" w:rsidP="001D0FFC">
      <w:pPr>
        <w:pStyle w:val="Esann8ch"/>
        <w:rPr>
          <w:lang w:val="en-GB"/>
        </w:rPr>
      </w:pPr>
    </w:p>
    <w:p w:rsidR="001D0FFC" w:rsidRPr="00C903F8" w:rsidRDefault="001D0FFC" w:rsidP="00935328">
      <w:pPr>
        <w:pStyle w:val="Esann8chgras"/>
        <w:rPr>
          <w:lang w:val="en-GB"/>
        </w:rPr>
      </w:pPr>
      <w:r w:rsidRPr="00C903F8">
        <w:rPr>
          <w:lang w:val="en-GB"/>
        </w:rPr>
        <w:t>3.3</w:t>
      </w:r>
      <w:r w:rsidRPr="00C903F8">
        <w:rPr>
          <w:lang w:val="en-GB"/>
        </w:rPr>
        <w:tab/>
        <w:t xml:space="preserve">Fire protection </w:t>
      </w:r>
    </w:p>
    <w:p w:rsidR="001D0FFC" w:rsidRPr="00C903F8" w:rsidRDefault="001D0FFC" w:rsidP="001D0FFC">
      <w:pPr>
        <w:pStyle w:val="Esann8ch"/>
        <w:rPr>
          <w:lang w:val="en-GB"/>
        </w:rPr>
      </w:pPr>
    </w:p>
    <w:p w:rsidR="001D0FFC" w:rsidRPr="00C903F8" w:rsidRDefault="00935328" w:rsidP="001D0FFC">
      <w:pPr>
        <w:pStyle w:val="Esann8ch"/>
        <w:rPr>
          <w:lang w:val="en-GB"/>
        </w:rPr>
      </w:pPr>
      <w:r w:rsidRPr="00C903F8">
        <w:rPr>
          <w:lang w:val="en-GB"/>
        </w:rPr>
        <w:t>3.3.1</w:t>
      </w:r>
      <w:r w:rsidRPr="00C903F8">
        <w:rPr>
          <w:lang w:val="en-GB"/>
        </w:rPr>
        <w:tab/>
      </w:r>
      <w:r w:rsidR="001D0FFC" w:rsidRPr="00C903F8">
        <w:rPr>
          <w:lang w:val="en-GB"/>
        </w:rPr>
        <w:t>Accommodation, passenger areas, engine rooms and escape routes shall be shielded with Type A60 partitions, where the distance is less than 3,00 m to LNG fuel tanks and bunkering stations located on deck.</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3.3.2</w:t>
      </w:r>
      <w:r w:rsidRPr="00C903F8">
        <w:rPr>
          <w:lang w:val="en-GB"/>
        </w:rPr>
        <w:tab/>
        <w:t>The boundaries of LNG fuel tank rooms and ventilation ducts to such rooms below the bulkhead deck shall comply with Type A60. However, where the room is adjacent to tanks, voids, auxiliary engine rooms of little or no fire risk, sanitary and similar spaces, the insulation may comply with Type A0.</w:t>
      </w:r>
    </w:p>
    <w:p w:rsidR="001D0FFC" w:rsidRPr="00C903F8" w:rsidRDefault="001D0FFC" w:rsidP="001D0FFC">
      <w:pPr>
        <w:pStyle w:val="Esann8ch"/>
        <w:rPr>
          <w:lang w:val="en-GB"/>
        </w:rPr>
      </w:pPr>
    </w:p>
    <w:p w:rsidR="001D0FFC" w:rsidRPr="00C903F8" w:rsidRDefault="001D0FFC" w:rsidP="00935328">
      <w:pPr>
        <w:pStyle w:val="Esann8chgras"/>
        <w:rPr>
          <w:lang w:val="en-GB"/>
        </w:rPr>
      </w:pPr>
      <w:r w:rsidRPr="00C903F8">
        <w:rPr>
          <w:lang w:val="en-GB"/>
        </w:rPr>
        <w:t>3.4</w:t>
      </w:r>
      <w:r w:rsidRPr="00C903F8">
        <w:rPr>
          <w:lang w:val="en-GB"/>
        </w:rPr>
        <w:tab/>
        <w:t>Fire prevention and cooling</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3.4.1</w:t>
      </w:r>
      <w:r w:rsidRPr="00C903F8">
        <w:rPr>
          <w:lang w:val="en-GB"/>
        </w:rPr>
        <w:tab/>
        <w:t>A water spray system shall be installed for cooling and fire prevention to cover exposed parts of LNG fuel tank(s) located on open deck.</w:t>
      </w:r>
      <w:r w:rsidRPr="00C903F8" w:rsidDel="00B4720A">
        <w:rPr>
          <w:lang w:val="en-GB"/>
        </w:rPr>
        <w:t xml:space="preserve"> </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3.4.2</w:t>
      </w:r>
      <w:r w:rsidRPr="00C903F8">
        <w:rPr>
          <w:lang w:val="en-GB"/>
        </w:rPr>
        <w:tab/>
        <w:t xml:space="preserve">If the water spray system is part of the firefighting systems mentioned in Articles </w:t>
      </w:r>
      <w:r w:rsidR="00935328" w:rsidRPr="00C903F8">
        <w:rPr>
          <w:lang w:val="en-GB"/>
        </w:rPr>
        <w:t xml:space="preserve">13.04 </w:t>
      </w:r>
      <w:r w:rsidRPr="00C903F8">
        <w:rPr>
          <w:lang w:val="en-GB"/>
        </w:rPr>
        <w:t xml:space="preserve">or </w:t>
      </w:r>
      <w:r w:rsidR="00935328" w:rsidRPr="00C903F8">
        <w:rPr>
          <w:lang w:val="en-GB"/>
        </w:rPr>
        <w:t>13.05</w:t>
      </w:r>
      <w:r w:rsidRPr="00C903F8">
        <w:rPr>
          <w:lang w:val="en-GB"/>
        </w:rPr>
        <w:t xml:space="preserve">, the required fire pump capacity and working pressure shall be sufficient to ensure the operation of both the required numbers of hydrants and hoses and the water spray system simultaneously. The connection between water spray system and the firefighting systems mentioned in Articles </w:t>
      </w:r>
      <w:r w:rsidR="00935328" w:rsidRPr="00C903F8">
        <w:rPr>
          <w:lang w:val="en-GB"/>
        </w:rPr>
        <w:t>13.04</w:t>
      </w:r>
      <w:r w:rsidRPr="00C903F8">
        <w:rPr>
          <w:lang w:val="en-GB"/>
        </w:rPr>
        <w:t xml:space="preserve"> or </w:t>
      </w:r>
      <w:r w:rsidR="00935328" w:rsidRPr="00C903F8">
        <w:rPr>
          <w:lang w:val="en-GB"/>
        </w:rPr>
        <w:t xml:space="preserve">13.05 </w:t>
      </w:r>
      <w:r w:rsidRPr="00C903F8">
        <w:rPr>
          <w:lang w:val="en-GB"/>
        </w:rPr>
        <w:t>shall be provided through a screw-down non-return valve.</w:t>
      </w:r>
    </w:p>
    <w:p w:rsidR="001D0FFC" w:rsidRPr="00C903F8" w:rsidRDefault="001D0FFC" w:rsidP="001D0FFC">
      <w:pPr>
        <w:pStyle w:val="Esann8ch"/>
        <w:rPr>
          <w:lang w:val="en-GB"/>
        </w:rPr>
      </w:pPr>
    </w:p>
    <w:p w:rsidR="00D24BFE" w:rsidRPr="00C903F8" w:rsidRDefault="00D24BFE">
      <w:pPr>
        <w:autoSpaceDE/>
        <w:autoSpaceDN/>
        <w:ind w:left="0" w:firstLine="0"/>
        <w:jc w:val="left"/>
        <w:rPr>
          <w:rFonts w:eastAsia="Calibri" w:cs="Arial"/>
          <w:color w:val="000000"/>
          <w:szCs w:val="20"/>
          <w:lang w:val="en-GB" w:eastAsia="en-US"/>
        </w:rPr>
      </w:pPr>
      <w:r w:rsidRPr="00C903F8">
        <w:rPr>
          <w:lang w:val="en-GB"/>
        </w:rPr>
        <w:br w:type="page"/>
      </w:r>
    </w:p>
    <w:p w:rsidR="00D24BFE" w:rsidRPr="00C903F8" w:rsidRDefault="00D24BFE" w:rsidP="001D0FFC">
      <w:pPr>
        <w:pStyle w:val="Esann8ch"/>
        <w:rPr>
          <w:lang w:val="en-GB"/>
        </w:rPr>
      </w:pPr>
    </w:p>
    <w:p w:rsidR="001D0FFC" w:rsidRPr="00C903F8" w:rsidRDefault="001D0FFC" w:rsidP="001D0FFC">
      <w:pPr>
        <w:pStyle w:val="Esann8ch"/>
        <w:rPr>
          <w:lang w:val="en-GB"/>
        </w:rPr>
      </w:pPr>
      <w:r w:rsidRPr="00C903F8">
        <w:rPr>
          <w:lang w:val="en-GB"/>
        </w:rPr>
        <w:t>3.4.3</w:t>
      </w:r>
      <w:r w:rsidRPr="00C903F8">
        <w:rPr>
          <w:lang w:val="en-GB"/>
        </w:rPr>
        <w:tab/>
        <w:t xml:space="preserve">If firefighting systems mentioned in Articles </w:t>
      </w:r>
      <w:r w:rsidR="00935328" w:rsidRPr="00C903F8">
        <w:rPr>
          <w:lang w:val="en-GB"/>
        </w:rPr>
        <w:t xml:space="preserve">13.04 </w:t>
      </w:r>
      <w:r w:rsidRPr="00C903F8">
        <w:rPr>
          <w:lang w:val="en-GB"/>
        </w:rPr>
        <w:t xml:space="preserve">or </w:t>
      </w:r>
      <w:r w:rsidR="00935328" w:rsidRPr="00C903F8">
        <w:rPr>
          <w:lang w:val="en-GB"/>
        </w:rPr>
        <w:t xml:space="preserve">13.05 </w:t>
      </w:r>
      <w:r w:rsidRPr="00C903F8">
        <w:rPr>
          <w:lang w:val="en-GB"/>
        </w:rPr>
        <w:t xml:space="preserve">are installed onboard a </w:t>
      </w:r>
      <w:r w:rsidR="000A13AD">
        <w:rPr>
          <w:lang w:val="en-GB"/>
        </w:rPr>
        <w:t>craft</w:t>
      </w:r>
      <w:r w:rsidRPr="00C903F8">
        <w:rPr>
          <w:lang w:val="en-GB"/>
        </w:rPr>
        <w:t xml:space="preserve"> where the LNG fuel tank is located on open deck, isolating valves shall be fitted in the firefighting systems in order to isolate damaged sections of the firefighting systems. Isolation of a section of firefighting systems shall not deprive the fire line ahead of the isolated section of water.</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3.4.4</w:t>
      </w:r>
      <w:r w:rsidRPr="00C903F8">
        <w:rPr>
          <w:lang w:val="en-GB"/>
        </w:rPr>
        <w:tab/>
        <w:t>The water spray system shall also provide coverage for boundaries of the superstructures, unless the tank is located 3,00 m or more from the boundaries.</w:t>
      </w:r>
      <w:r w:rsidRPr="00C903F8" w:rsidDel="00B4720A">
        <w:rPr>
          <w:lang w:val="en-GB"/>
        </w:rPr>
        <w:t xml:space="preserve"> </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3.4.5</w:t>
      </w:r>
      <w:r w:rsidRPr="00C903F8">
        <w:rPr>
          <w:lang w:val="en-GB"/>
        </w:rPr>
        <w:tab/>
        <w:t>The water spray system shall be designed to cover all areas as specified above with an application rate of 10 l/min/m</w:t>
      </w:r>
      <w:r w:rsidRPr="00C903F8">
        <w:rPr>
          <w:vertAlign w:val="superscript"/>
          <w:lang w:val="en-GB"/>
        </w:rPr>
        <w:t>2</w:t>
      </w:r>
      <w:r w:rsidRPr="00C903F8">
        <w:rPr>
          <w:lang w:val="en-GB"/>
        </w:rPr>
        <w:t xml:space="preserve"> for horizontal projected surfaces and 4 l/min/m</w:t>
      </w:r>
      <w:r w:rsidRPr="00C903F8">
        <w:rPr>
          <w:vertAlign w:val="superscript"/>
          <w:lang w:val="en-GB"/>
        </w:rPr>
        <w:t>2</w:t>
      </w:r>
      <w:r w:rsidRPr="00C903F8">
        <w:rPr>
          <w:lang w:val="en-GB"/>
        </w:rPr>
        <w:t xml:space="preserve"> for vertical surfaces.</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3.4.6</w:t>
      </w:r>
      <w:r w:rsidRPr="00C903F8">
        <w:rPr>
          <w:lang w:val="en-GB"/>
        </w:rPr>
        <w:tab/>
        <w:t xml:space="preserve">The water spray system shall be capable of being put into operation from the wheelhouse and from the deck. </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3.4.7</w:t>
      </w:r>
      <w:r w:rsidRPr="00C903F8">
        <w:rPr>
          <w:lang w:val="en-GB"/>
        </w:rPr>
        <w:tab/>
        <w:t>The nozzles shall be arranged to ensure an effective distribution of water throughout the area being protected.</w:t>
      </w:r>
    </w:p>
    <w:p w:rsidR="001D0FFC" w:rsidRPr="00C903F8" w:rsidRDefault="001D0FFC" w:rsidP="001D0FFC">
      <w:pPr>
        <w:pStyle w:val="Esann8ch"/>
        <w:rPr>
          <w:lang w:val="en-GB"/>
        </w:rPr>
      </w:pPr>
    </w:p>
    <w:p w:rsidR="001D0FFC" w:rsidRPr="00C903F8" w:rsidRDefault="001D0FFC" w:rsidP="00935328">
      <w:pPr>
        <w:pStyle w:val="Esann8chgras"/>
        <w:rPr>
          <w:lang w:val="en-GB"/>
        </w:rPr>
      </w:pPr>
      <w:r w:rsidRPr="00C903F8">
        <w:rPr>
          <w:lang w:val="en-GB"/>
        </w:rPr>
        <w:t>3.5</w:t>
      </w:r>
      <w:r w:rsidRPr="00C903F8">
        <w:rPr>
          <w:lang w:val="en-GB"/>
        </w:rPr>
        <w:tab/>
        <w:t>Fire extinguishing</w:t>
      </w:r>
    </w:p>
    <w:p w:rsidR="001D0FFC" w:rsidRPr="00C903F8" w:rsidRDefault="001D0FFC" w:rsidP="001D0FFC">
      <w:pPr>
        <w:pStyle w:val="Esann8ch"/>
        <w:rPr>
          <w:lang w:val="en-GB"/>
        </w:rPr>
      </w:pPr>
    </w:p>
    <w:p w:rsidR="001D0FFC" w:rsidRPr="00C903F8" w:rsidRDefault="001D0FFC" w:rsidP="001D0FFC">
      <w:pPr>
        <w:pStyle w:val="Esann8chpar"/>
        <w:rPr>
          <w:lang w:val="en-GB"/>
        </w:rPr>
      </w:pPr>
      <w:r w:rsidRPr="00C903F8">
        <w:rPr>
          <w:lang w:val="en-GB"/>
        </w:rPr>
        <w:t>In addition to the requirements of Article 1</w:t>
      </w:r>
      <w:r w:rsidR="00935328" w:rsidRPr="00C903F8">
        <w:rPr>
          <w:lang w:val="en-GB"/>
        </w:rPr>
        <w:t>3</w:t>
      </w:r>
      <w:r w:rsidRPr="00C903F8">
        <w:rPr>
          <w:lang w:val="en-GB"/>
        </w:rPr>
        <w:t>.03, two additional portable dry powder fire extinguishers of at least 12 kg capacity shall be located near the bunkering station. They shall be suitable for Class C fires.</w:t>
      </w:r>
    </w:p>
    <w:p w:rsidR="001D0FFC" w:rsidRPr="00C903F8" w:rsidRDefault="001D0FFC" w:rsidP="001D0FFC">
      <w:pPr>
        <w:pStyle w:val="Esann8ch"/>
        <w:rPr>
          <w:lang w:val="en-GB"/>
        </w:rPr>
      </w:pPr>
    </w:p>
    <w:p w:rsidR="001D0FFC" w:rsidRPr="00C903F8" w:rsidRDefault="001D0FFC" w:rsidP="001D0FFC">
      <w:pPr>
        <w:pStyle w:val="Esann8ch"/>
        <w:rPr>
          <w:lang w:val="en-US"/>
        </w:rPr>
      </w:pPr>
    </w:p>
    <w:p w:rsidR="001D0FFC" w:rsidRPr="00C903F8" w:rsidRDefault="001D0FFC" w:rsidP="001D0FFC">
      <w:pPr>
        <w:pStyle w:val="Esann8titrechap"/>
        <w:rPr>
          <w:rFonts w:eastAsia="Calibri"/>
          <w:lang w:val="en-US" w:eastAsia="en-US"/>
        </w:rPr>
      </w:pPr>
      <w:r w:rsidRPr="00C903F8">
        <w:rPr>
          <w:rFonts w:eastAsia="Calibri"/>
          <w:lang w:val="en-US" w:eastAsia="en-US"/>
        </w:rPr>
        <w:t>Chapter 4</w:t>
      </w:r>
    </w:p>
    <w:p w:rsidR="001D0FFC" w:rsidRPr="00C903F8" w:rsidRDefault="001D0FFC" w:rsidP="001D0FFC">
      <w:pPr>
        <w:pStyle w:val="Esann8titrechap"/>
        <w:rPr>
          <w:lang w:val="en-US"/>
        </w:rPr>
      </w:pPr>
      <w:r w:rsidRPr="00C903F8">
        <w:rPr>
          <w:lang w:val="en-US"/>
        </w:rPr>
        <w:t>Electrical Systems</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4.1</w:t>
      </w:r>
      <w:r w:rsidRPr="00C903F8">
        <w:rPr>
          <w:lang w:val="en-GB"/>
        </w:rPr>
        <w:tab/>
        <w:t>Equipment for hazardous areas shall be of an appropriate type according</w:t>
      </w:r>
      <w:r w:rsidRPr="00C903F8">
        <w:rPr>
          <w:lang w:val="en-US"/>
        </w:rPr>
        <w:t xml:space="preserve"> </w:t>
      </w:r>
      <w:r w:rsidRPr="00C903F8">
        <w:rPr>
          <w:lang w:val="en-GB"/>
        </w:rPr>
        <w:t>to zones where such equipment is installed.</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4.2</w:t>
      </w:r>
      <w:r w:rsidRPr="00C903F8">
        <w:rPr>
          <w:lang w:val="en-GB"/>
        </w:rPr>
        <w:tab/>
        <w:t xml:space="preserve">Electrical generation and distribution systems and associated control systems shall be designed such that a single failure will not result in the release of gas. </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4.3</w:t>
      </w:r>
      <w:r w:rsidRPr="00C903F8">
        <w:rPr>
          <w:lang w:val="en-GB"/>
        </w:rPr>
        <w:tab/>
        <w:t>The lighting system in hazardous areas shall be divided between at least two branch circuits. All switches and protective devi</w:t>
      </w:r>
      <w:r w:rsidR="0084166A">
        <w:rPr>
          <w:lang w:val="en-GB"/>
        </w:rPr>
        <w:t>ces shall interrupt all poles and</w:t>
      </w:r>
      <w:r w:rsidRPr="00C903F8">
        <w:rPr>
          <w:lang w:val="en-GB"/>
        </w:rPr>
        <w:t xml:space="preserve"> phases and shall be located in a non-hazardous area.</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4.4</w:t>
      </w:r>
      <w:r w:rsidRPr="00C903F8">
        <w:rPr>
          <w:lang w:val="en-GB"/>
        </w:rPr>
        <w:tab/>
        <w:t>Submerged gas pump motors and their supply cables may be fitted in LNG containment systems. Arrangements shall be made to alarm in low liquid level and automatically shut down the motors in the event of low-low liquid level. The automatic shutdown may be accomplished by sensing low pump discharge pressure, low motor current, or low liquid level. This shutdown shall give an acoustic and optical alarm in the wheelhouse. Gas pump motors shall be capable of being isolated from their electrical supply during gas-freeing operations.</w:t>
      </w:r>
    </w:p>
    <w:p w:rsidR="001D0FFC" w:rsidRPr="00C903F8" w:rsidRDefault="001D0FFC" w:rsidP="001D0FFC">
      <w:pPr>
        <w:pStyle w:val="Esann8ch"/>
        <w:rPr>
          <w:bCs/>
          <w:lang w:val="en-GB"/>
        </w:rPr>
      </w:pPr>
    </w:p>
    <w:p w:rsidR="001D0FFC" w:rsidRPr="00C903F8" w:rsidRDefault="001D0FFC" w:rsidP="001D0FFC">
      <w:pPr>
        <w:pStyle w:val="Esann8ch"/>
        <w:rPr>
          <w:bCs/>
          <w:lang w:val="en-GB"/>
        </w:rPr>
      </w:pPr>
    </w:p>
    <w:p w:rsidR="00D24BFE" w:rsidRPr="00C903F8" w:rsidRDefault="00D24BFE">
      <w:pPr>
        <w:autoSpaceDE/>
        <w:autoSpaceDN/>
        <w:ind w:left="0" w:firstLine="0"/>
        <w:jc w:val="left"/>
        <w:rPr>
          <w:rFonts w:eastAsia="Calibri" w:cs="Arial"/>
          <w:bCs/>
          <w:color w:val="000000"/>
          <w:szCs w:val="20"/>
          <w:lang w:val="en-GB" w:eastAsia="en-US"/>
        </w:rPr>
      </w:pPr>
      <w:r w:rsidRPr="00C903F8">
        <w:rPr>
          <w:bCs/>
          <w:lang w:val="en-GB"/>
        </w:rPr>
        <w:br w:type="page"/>
      </w:r>
    </w:p>
    <w:p w:rsidR="00D24BFE" w:rsidRPr="00C903F8" w:rsidRDefault="00D24BFE" w:rsidP="001D0FFC">
      <w:pPr>
        <w:pStyle w:val="Esann8ch"/>
        <w:rPr>
          <w:bCs/>
          <w:lang w:val="en-GB"/>
        </w:rPr>
      </w:pPr>
    </w:p>
    <w:p w:rsidR="001D0FFC" w:rsidRPr="00C903F8" w:rsidRDefault="001D0FFC" w:rsidP="001D0FFC">
      <w:pPr>
        <w:pStyle w:val="Esann8titrechap"/>
        <w:rPr>
          <w:lang w:val="en-GB"/>
        </w:rPr>
      </w:pPr>
      <w:r w:rsidRPr="00C903F8">
        <w:rPr>
          <w:lang w:val="en-GB"/>
        </w:rPr>
        <w:t>Chapter 5</w:t>
      </w:r>
    </w:p>
    <w:p w:rsidR="001D0FFC" w:rsidRPr="00C903F8" w:rsidRDefault="001D0FFC" w:rsidP="001D0FFC">
      <w:pPr>
        <w:pStyle w:val="Esann8titrechap"/>
        <w:rPr>
          <w:lang w:val="en-GB"/>
        </w:rPr>
      </w:pPr>
      <w:r w:rsidRPr="00C903F8">
        <w:rPr>
          <w:lang w:val="en-GB"/>
        </w:rPr>
        <w:t>Control, Monitoring and Safety Systems</w:t>
      </w:r>
    </w:p>
    <w:p w:rsidR="001D0FFC" w:rsidRPr="00C903F8" w:rsidRDefault="001D0FFC" w:rsidP="001D0FFC">
      <w:pPr>
        <w:pStyle w:val="Esann8ch"/>
        <w:rPr>
          <w:lang w:val="en-GB"/>
        </w:rPr>
      </w:pPr>
    </w:p>
    <w:p w:rsidR="001D0FFC" w:rsidRPr="00C903F8" w:rsidRDefault="001D0FFC" w:rsidP="00935328">
      <w:pPr>
        <w:pStyle w:val="Esann8chgras"/>
        <w:rPr>
          <w:lang w:val="en-GB"/>
        </w:rPr>
      </w:pPr>
      <w:r w:rsidRPr="00C903F8">
        <w:rPr>
          <w:lang w:val="en-GB"/>
        </w:rPr>
        <w:t>5.1</w:t>
      </w:r>
      <w:r w:rsidRPr="00C903F8">
        <w:rPr>
          <w:lang w:val="en-GB"/>
        </w:rPr>
        <w:tab/>
        <w:t>General</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5.1.1</w:t>
      </w:r>
      <w:r w:rsidRPr="00C903F8">
        <w:rPr>
          <w:lang w:val="en-GB"/>
        </w:rPr>
        <w:tab/>
        <w:t>Suitable control, alarm, monitoring and shutdown systems shall be provided to ensure safe and reliable operation.</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5.1.2</w:t>
      </w:r>
      <w:r w:rsidRPr="00C903F8">
        <w:rPr>
          <w:lang w:val="en-GB"/>
        </w:rPr>
        <w:tab/>
        <w:t>The gas supply system shall be fitted with its own set of independent gas control, gas monitoring and gas safety systems. All elements of these systems shall be capable of being functionally tested.</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5.1.3</w:t>
      </w:r>
      <w:r w:rsidRPr="00C903F8">
        <w:rPr>
          <w:lang w:val="en-GB"/>
        </w:rPr>
        <w:tab/>
        <w:t>The gas safety system shall shut down the gas supply system automatically, upon failure in systems essential for the safety and upon fault conditions which may develop too fast for manual intervention.</w:t>
      </w:r>
    </w:p>
    <w:p w:rsidR="001D0FFC" w:rsidRPr="00C903F8" w:rsidRDefault="001D0FFC" w:rsidP="001D0FFC">
      <w:pPr>
        <w:pStyle w:val="Esann8ch"/>
        <w:rPr>
          <w:lang w:val="en-GB"/>
        </w:rPr>
      </w:pPr>
    </w:p>
    <w:p w:rsidR="001D0FFC" w:rsidRPr="00C903F8" w:rsidRDefault="001D0FFC" w:rsidP="001D0FFC">
      <w:pPr>
        <w:pStyle w:val="Esann8ch"/>
        <w:rPr>
          <w:lang w:val="en-US"/>
        </w:rPr>
      </w:pPr>
      <w:r w:rsidRPr="00C903F8">
        <w:rPr>
          <w:lang w:val="en-GB"/>
        </w:rPr>
        <w:t>5.1.4</w:t>
      </w:r>
      <w:r w:rsidRPr="00C903F8">
        <w:rPr>
          <w:lang w:val="en-GB"/>
        </w:rPr>
        <w:tab/>
        <w:t xml:space="preserve">The safety functions shall be arranged in a dedicated gas safety system that is independent of the gas control system. </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5.1.5</w:t>
      </w:r>
      <w:r w:rsidRPr="00C903F8">
        <w:rPr>
          <w:lang w:val="en-GB"/>
        </w:rPr>
        <w:tab/>
        <w:t xml:space="preserve">Instrumentation devices shall be fitted to allow a local and a remote reading of essential parameters, where they are necessary to ensure a safe operation of the whole LNG system including bunkering. </w:t>
      </w:r>
    </w:p>
    <w:p w:rsidR="001D0FFC" w:rsidRPr="00C903F8" w:rsidRDefault="001D0FFC" w:rsidP="001D0FFC">
      <w:pPr>
        <w:pStyle w:val="Esann8ch"/>
        <w:rPr>
          <w:b/>
          <w:bCs/>
          <w:lang w:val="en-GB"/>
        </w:rPr>
      </w:pPr>
    </w:p>
    <w:p w:rsidR="001D0FFC" w:rsidRPr="00C903F8" w:rsidRDefault="001D0FFC" w:rsidP="00935328">
      <w:pPr>
        <w:pStyle w:val="Esann8chgras"/>
        <w:rPr>
          <w:lang w:val="en-GB"/>
        </w:rPr>
      </w:pPr>
      <w:r w:rsidRPr="00C903F8">
        <w:rPr>
          <w:lang w:val="en-GB"/>
        </w:rPr>
        <w:t>5.2</w:t>
      </w:r>
      <w:r w:rsidRPr="00C903F8">
        <w:rPr>
          <w:lang w:val="en-GB"/>
        </w:rPr>
        <w:tab/>
        <w:t>LNG bunkering system and LNG containment system monitoring</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5.2.1</w:t>
      </w:r>
      <w:r w:rsidRPr="00C903F8">
        <w:rPr>
          <w:lang w:val="en-GB"/>
        </w:rPr>
        <w:tab/>
        <w:t>Each LNG fuel tank shall be fitted with:</w:t>
      </w:r>
    </w:p>
    <w:p w:rsidR="001D0FFC" w:rsidRPr="00C903F8" w:rsidRDefault="001D0FFC" w:rsidP="00935328">
      <w:pPr>
        <w:pStyle w:val="Esann8let"/>
        <w:rPr>
          <w:lang w:val="en-GB"/>
        </w:rPr>
      </w:pPr>
      <w:r w:rsidRPr="00C903F8">
        <w:rPr>
          <w:lang w:val="en-GB"/>
        </w:rPr>
        <w:t>a)</w:t>
      </w:r>
      <w:r w:rsidRPr="00C903F8">
        <w:rPr>
          <w:lang w:val="en-GB"/>
        </w:rPr>
        <w:tab/>
        <w:t>at least two liquid level indicators, which shall be arranged so that they can be maintained in an operational condition,</w:t>
      </w:r>
    </w:p>
    <w:p w:rsidR="001D0FFC" w:rsidRPr="00C903F8" w:rsidRDefault="001D0FFC" w:rsidP="00935328">
      <w:pPr>
        <w:pStyle w:val="Esann8let"/>
        <w:rPr>
          <w:lang w:val="en-US"/>
        </w:rPr>
      </w:pPr>
      <w:r w:rsidRPr="00C903F8">
        <w:rPr>
          <w:lang w:val="en-US"/>
        </w:rPr>
        <w:t>b)</w:t>
      </w:r>
      <w:r w:rsidRPr="00C903F8">
        <w:rPr>
          <w:lang w:val="en-US"/>
        </w:rPr>
        <w:tab/>
        <w:t xml:space="preserve">a pressure indicator capable of indicating throughout the operating pressure range and </w:t>
      </w:r>
      <w:r w:rsidRPr="00C903F8">
        <w:rPr>
          <w:lang w:val="en-GB"/>
        </w:rPr>
        <w:t>which is clearly marked with the maximum working pressure of the LNG fuel tank,</w:t>
      </w:r>
    </w:p>
    <w:p w:rsidR="001D0FFC" w:rsidRPr="00C903F8" w:rsidRDefault="001D0FFC" w:rsidP="00935328">
      <w:pPr>
        <w:pStyle w:val="Esann8let"/>
        <w:rPr>
          <w:lang w:val="en-GB"/>
        </w:rPr>
      </w:pPr>
      <w:r w:rsidRPr="00C903F8">
        <w:rPr>
          <w:lang w:val="en-GB"/>
        </w:rPr>
        <w:t>c)</w:t>
      </w:r>
      <w:r w:rsidRPr="00C903F8">
        <w:rPr>
          <w:lang w:val="en-GB"/>
        </w:rPr>
        <w:tab/>
        <w:t>a high liquid level alarm operating independently of other liquid level indicators which shall give an acoustic and optical alarm when activated,</w:t>
      </w:r>
    </w:p>
    <w:p w:rsidR="001D0FFC" w:rsidRPr="00C903F8" w:rsidRDefault="001D0FFC" w:rsidP="00935328">
      <w:pPr>
        <w:pStyle w:val="Esann8let"/>
        <w:rPr>
          <w:lang w:val="en-GB"/>
        </w:rPr>
      </w:pPr>
      <w:r w:rsidRPr="00C903F8">
        <w:rPr>
          <w:lang w:val="en-GB"/>
        </w:rPr>
        <w:t>d)</w:t>
      </w:r>
      <w:r w:rsidRPr="00C903F8">
        <w:rPr>
          <w:lang w:val="en-GB"/>
        </w:rPr>
        <w:tab/>
        <w:t>an additional sensor operating independently of the high liquid level alarm which shall automatically actuate the master LNG bunkering valve in a manner that will both avoid excessive liquid pressure in the bunkering piping and prevent the tank from becoming liquid full.</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5.2.2</w:t>
      </w:r>
      <w:r w:rsidRPr="00C903F8">
        <w:rPr>
          <w:lang w:val="en-GB"/>
        </w:rPr>
        <w:tab/>
        <w:t>Each pump discharge line and each liquid and vapour gas shore connection shall be provided with at least one local pressure indicator. In the pump discharge line, the indicator shall be placed between the pump and the first valve. The permissible maximum pressure or vacuum value shall be indicated on each indicator.</w:t>
      </w:r>
    </w:p>
    <w:p w:rsidR="001D0FFC" w:rsidRPr="00C903F8" w:rsidRDefault="001D0FFC" w:rsidP="001D0FFC">
      <w:pPr>
        <w:pStyle w:val="Esann8ch"/>
        <w:rPr>
          <w:lang w:val="en-GB"/>
        </w:rPr>
      </w:pPr>
    </w:p>
    <w:p w:rsidR="001D0FFC" w:rsidRPr="00C903F8" w:rsidRDefault="001D0FFC" w:rsidP="001D0FFC">
      <w:pPr>
        <w:pStyle w:val="Esann8ch"/>
        <w:rPr>
          <w:lang w:val="en-GB" w:eastAsia="ko-KR"/>
        </w:rPr>
      </w:pPr>
      <w:r w:rsidRPr="00C903F8">
        <w:rPr>
          <w:lang w:val="en-GB"/>
        </w:rPr>
        <w:t>5.2.3</w:t>
      </w:r>
      <w:r w:rsidRPr="00C903F8">
        <w:rPr>
          <w:lang w:val="en-GB"/>
        </w:rPr>
        <w:tab/>
      </w:r>
      <w:r w:rsidRPr="00C903F8">
        <w:rPr>
          <w:lang w:val="en-GB" w:eastAsia="ko-KR"/>
        </w:rPr>
        <w:t>A high-pressure alarm shall be provided at the LNG containment system and at the pump. Where vacuum protection is required, a low-pressure alarm shall be provided.</w:t>
      </w:r>
    </w:p>
    <w:p w:rsidR="001D0FFC" w:rsidRPr="00C903F8" w:rsidRDefault="001D0FFC" w:rsidP="001D0FFC">
      <w:pPr>
        <w:pStyle w:val="Esann8ch"/>
        <w:rPr>
          <w:lang w:val="en-GB"/>
        </w:rPr>
      </w:pPr>
    </w:p>
    <w:p w:rsidR="00D24BFE" w:rsidRPr="00C903F8" w:rsidRDefault="00D24BFE">
      <w:pPr>
        <w:autoSpaceDE/>
        <w:autoSpaceDN/>
        <w:ind w:left="0" w:firstLine="0"/>
        <w:jc w:val="left"/>
        <w:rPr>
          <w:rFonts w:eastAsia="Calibri" w:cs="Arial"/>
          <w:color w:val="000000"/>
          <w:szCs w:val="20"/>
          <w:lang w:val="en-GB" w:eastAsia="en-US"/>
        </w:rPr>
      </w:pPr>
      <w:r w:rsidRPr="00C903F8">
        <w:rPr>
          <w:lang w:val="en-GB"/>
        </w:rPr>
        <w:br w:type="page"/>
      </w:r>
    </w:p>
    <w:p w:rsidR="00D24BFE" w:rsidRPr="00C903F8" w:rsidRDefault="00D24BFE" w:rsidP="001D0FFC">
      <w:pPr>
        <w:pStyle w:val="Esann8ch"/>
        <w:rPr>
          <w:lang w:val="en-GB"/>
        </w:rPr>
      </w:pPr>
    </w:p>
    <w:p w:rsidR="001D0FFC" w:rsidRPr="00C903F8" w:rsidRDefault="001D0FFC" w:rsidP="001D0FFC">
      <w:pPr>
        <w:pStyle w:val="Esann8ch"/>
        <w:rPr>
          <w:lang w:val="en-GB"/>
        </w:rPr>
      </w:pPr>
      <w:r w:rsidRPr="00C903F8">
        <w:rPr>
          <w:lang w:val="en-GB"/>
        </w:rPr>
        <w:t>5.2.4</w:t>
      </w:r>
      <w:r w:rsidRPr="00C903F8">
        <w:rPr>
          <w:lang w:val="en-GB"/>
        </w:rPr>
        <w:tab/>
        <w:t>Control of the bunkering shall be possible from a safe control station remote from the bunkering station. At this control station the LNG fuel tank pressure and level shall be monitored. Overfill alarm, high and low-pressure alarm and automatic shutdown shall be indicated at this control station.</w:t>
      </w:r>
    </w:p>
    <w:p w:rsidR="00D24BFE" w:rsidRPr="00C903F8" w:rsidRDefault="00D24BFE" w:rsidP="001D0FFC">
      <w:pPr>
        <w:pStyle w:val="Esann8ch"/>
        <w:rPr>
          <w:lang w:val="en-GB"/>
        </w:rPr>
      </w:pPr>
    </w:p>
    <w:p w:rsidR="001D0FFC" w:rsidRPr="00C903F8" w:rsidRDefault="001D0FFC" w:rsidP="001D0FFC">
      <w:pPr>
        <w:pStyle w:val="Esann8ch"/>
        <w:rPr>
          <w:lang w:val="en-GB"/>
        </w:rPr>
      </w:pPr>
      <w:r w:rsidRPr="00C903F8">
        <w:rPr>
          <w:lang w:val="en-GB"/>
        </w:rPr>
        <w:t>5.2.5</w:t>
      </w:r>
      <w:r w:rsidRPr="00C903F8">
        <w:rPr>
          <w:lang w:val="en-GB"/>
        </w:rPr>
        <w:tab/>
        <w:t>If the ventilation in the ducting enclosing the bunkering lines stops, an acoustic and optical alarm shall be actuated at the control station.</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5.2.6</w:t>
      </w:r>
      <w:r w:rsidRPr="00C903F8">
        <w:rPr>
          <w:lang w:val="en-GB"/>
        </w:rPr>
        <w:tab/>
        <w:t>If gas is detected in the ducting enclosing the bunkering piping an acoustic and optical alarm and emergency shut-down shall be actuated at the control station.</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 xml:space="preserve">5.2.7 </w:t>
      </w:r>
      <w:r w:rsidRPr="00C903F8">
        <w:rPr>
          <w:lang w:val="en-GB"/>
        </w:rPr>
        <w:tab/>
        <w:t>Appropriate and sufficient suitable protective clothing and equipment for bunkering operations shall be available on board according to operating manual.</w:t>
      </w:r>
    </w:p>
    <w:p w:rsidR="001D0FFC" w:rsidRPr="00C903F8" w:rsidRDefault="001D0FFC" w:rsidP="001D0FFC">
      <w:pPr>
        <w:pStyle w:val="Esann8ch"/>
        <w:rPr>
          <w:lang w:val="en-GB"/>
        </w:rPr>
      </w:pPr>
    </w:p>
    <w:p w:rsidR="001D0FFC" w:rsidRPr="00C903F8" w:rsidRDefault="001D0FFC" w:rsidP="001D0FFC">
      <w:pPr>
        <w:pStyle w:val="Esann8ch"/>
        <w:rPr>
          <w:b/>
          <w:bCs/>
          <w:lang w:val="en-GB"/>
        </w:rPr>
      </w:pPr>
      <w:r w:rsidRPr="00C903F8">
        <w:rPr>
          <w:b/>
          <w:bCs/>
          <w:lang w:val="en-GB"/>
        </w:rPr>
        <w:t>5.3</w:t>
      </w:r>
      <w:r w:rsidRPr="00C903F8">
        <w:rPr>
          <w:b/>
          <w:bCs/>
          <w:lang w:val="en-GB"/>
        </w:rPr>
        <w:tab/>
        <w:t>Engine operation monitoring</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5.3.1</w:t>
      </w:r>
      <w:r w:rsidRPr="00C903F8">
        <w:rPr>
          <w:lang w:val="en-GB"/>
        </w:rPr>
        <w:tab/>
        <w:t>Indicators shall be fitted in the wheelhouse and the engine room for:</w:t>
      </w:r>
    </w:p>
    <w:p w:rsidR="001D0FFC" w:rsidRPr="00C903F8" w:rsidRDefault="001D0FFC" w:rsidP="00935328">
      <w:pPr>
        <w:pStyle w:val="Esann8let"/>
        <w:rPr>
          <w:lang w:val="en-GB"/>
        </w:rPr>
      </w:pPr>
      <w:r w:rsidRPr="00C903F8">
        <w:rPr>
          <w:lang w:val="en-GB"/>
        </w:rPr>
        <w:t>a)</w:t>
      </w:r>
      <w:r w:rsidRPr="00C903F8">
        <w:rPr>
          <w:lang w:val="en-GB"/>
        </w:rPr>
        <w:tab/>
        <w:t>operation of the engine in case of a gas-only engine, or</w:t>
      </w:r>
    </w:p>
    <w:p w:rsidR="001D0FFC" w:rsidRPr="00C903F8" w:rsidRDefault="001D0FFC" w:rsidP="00935328">
      <w:pPr>
        <w:pStyle w:val="Esann8let"/>
        <w:rPr>
          <w:lang w:val="en-GB"/>
        </w:rPr>
      </w:pPr>
      <w:r w:rsidRPr="00C903F8">
        <w:rPr>
          <w:lang w:val="en-GB"/>
        </w:rPr>
        <w:t>b)</w:t>
      </w:r>
      <w:r w:rsidRPr="00C903F8">
        <w:rPr>
          <w:lang w:val="en-GB"/>
        </w:rPr>
        <w:tab/>
        <w:t>operation and mode of operation of the engine in the case of a dual fuel engine.</w:t>
      </w:r>
    </w:p>
    <w:p w:rsidR="001D0FFC" w:rsidRPr="00C903F8" w:rsidRDefault="001D0FFC" w:rsidP="001D0FFC">
      <w:pPr>
        <w:pStyle w:val="Esann8ch"/>
        <w:rPr>
          <w:lang w:val="en-GB"/>
        </w:rPr>
      </w:pPr>
    </w:p>
    <w:p w:rsidR="001D0FFC" w:rsidRPr="00C903F8" w:rsidRDefault="001D0FFC" w:rsidP="00935328">
      <w:pPr>
        <w:pStyle w:val="Esann8chgras"/>
        <w:rPr>
          <w:lang w:val="en-GB"/>
        </w:rPr>
      </w:pPr>
      <w:r w:rsidRPr="00C903F8">
        <w:rPr>
          <w:lang w:val="en-GB"/>
        </w:rPr>
        <w:t>5.4</w:t>
      </w:r>
      <w:r w:rsidRPr="00C903F8">
        <w:rPr>
          <w:lang w:val="en-GB"/>
        </w:rPr>
        <w:tab/>
        <w:t>Gas warning equipment</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5.4.1</w:t>
      </w:r>
      <w:r w:rsidRPr="00C903F8">
        <w:rPr>
          <w:lang w:val="en-GB"/>
        </w:rPr>
        <w:tab/>
        <w:t>Gas warning equipment shall be designed, installed and tested in accordance with a recognized standard, such as European Standard EN 60079-29-1: 2007.</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5.4.2</w:t>
      </w:r>
      <w:r w:rsidRPr="00C903F8">
        <w:rPr>
          <w:lang w:val="en-GB"/>
        </w:rPr>
        <w:tab/>
        <w:t>Permanently installed gas detectors shall be fitted in:</w:t>
      </w:r>
    </w:p>
    <w:p w:rsidR="001D0FFC" w:rsidRPr="00C903F8" w:rsidRDefault="001D0FFC" w:rsidP="00935328">
      <w:pPr>
        <w:pStyle w:val="Esann8let"/>
        <w:rPr>
          <w:lang w:val="en-GB"/>
        </w:rPr>
      </w:pPr>
      <w:r w:rsidRPr="00C903F8">
        <w:rPr>
          <w:lang w:val="en-GB"/>
        </w:rPr>
        <w:t>a)</w:t>
      </w:r>
      <w:r w:rsidRPr="00C903F8">
        <w:rPr>
          <w:lang w:val="en-GB"/>
        </w:rPr>
        <w:tab/>
        <w:t>tank connection areas including fuel tanks, pipe connections and first valves,</w:t>
      </w:r>
    </w:p>
    <w:p w:rsidR="001D0FFC" w:rsidRPr="00C903F8" w:rsidRDefault="001D0FFC" w:rsidP="00935328">
      <w:pPr>
        <w:pStyle w:val="Esann8let"/>
        <w:rPr>
          <w:lang w:val="en-GB"/>
        </w:rPr>
      </w:pPr>
      <w:r w:rsidRPr="00C903F8">
        <w:rPr>
          <w:lang w:val="en-GB"/>
        </w:rPr>
        <w:t>b)</w:t>
      </w:r>
      <w:r w:rsidRPr="00C903F8">
        <w:rPr>
          <w:lang w:val="en-GB"/>
        </w:rPr>
        <w:tab/>
        <w:t>ducts around gas piping,</w:t>
      </w:r>
    </w:p>
    <w:p w:rsidR="001D0FFC" w:rsidRPr="00C903F8" w:rsidRDefault="001D0FFC" w:rsidP="00935328">
      <w:pPr>
        <w:pStyle w:val="Esann8let"/>
        <w:rPr>
          <w:lang w:val="en-GB"/>
        </w:rPr>
      </w:pPr>
      <w:r w:rsidRPr="00C903F8">
        <w:rPr>
          <w:lang w:val="en-GB"/>
        </w:rPr>
        <w:t>c)</w:t>
      </w:r>
      <w:r w:rsidRPr="00C903F8">
        <w:rPr>
          <w:lang w:val="en-GB"/>
        </w:rPr>
        <w:tab/>
        <w:t>engine rooms containing gas piping, gas equipment or gas consuming equipment,</w:t>
      </w:r>
    </w:p>
    <w:p w:rsidR="001D0FFC" w:rsidRPr="00C903F8" w:rsidRDefault="001D0FFC" w:rsidP="00935328">
      <w:pPr>
        <w:pStyle w:val="Esann8let"/>
        <w:rPr>
          <w:lang w:val="en-GB"/>
        </w:rPr>
      </w:pPr>
      <w:r w:rsidRPr="00C903F8">
        <w:rPr>
          <w:lang w:val="en-GB"/>
        </w:rPr>
        <w:t>d)</w:t>
      </w:r>
      <w:r w:rsidRPr="00C903F8">
        <w:rPr>
          <w:lang w:val="en-GB"/>
        </w:rPr>
        <w:tab/>
        <w:t>the room containing the gas preparation system,</w:t>
      </w:r>
    </w:p>
    <w:p w:rsidR="001D0FFC" w:rsidRPr="00C903F8" w:rsidRDefault="001D0FFC" w:rsidP="00935328">
      <w:pPr>
        <w:pStyle w:val="Esann8let"/>
        <w:rPr>
          <w:lang w:val="en-GB"/>
        </w:rPr>
      </w:pPr>
      <w:r w:rsidRPr="00C903F8">
        <w:rPr>
          <w:lang w:val="en-GB"/>
        </w:rPr>
        <w:t>e)</w:t>
      </w:r>
      <w:r w:rsidRPr="00C903F8">
        <w:rPr>
          <w:lang w:val="en-GB"/>
        </w:rPr>
        <w:tab/>
        <w:t>other enclosed rooms containing gas piping or other gas equipment without ducting,</w:t>
      </w:r>
    </w:p>
    <w:p w:rsidR="001D0FFC" w:rsidRPr="00C903F8" w:rsidRDefault="001D0FFC" w:rsidP="00935328">
      <w:pPr>
        <w:pStyle w:val="Esann8let"/>
        <w:rPr>
          <w:lang w:val="en-GB"/>
        </w:rPr>
      </w:pPr>
      <w:r w:rsidRPr="00C903F8">
        <w:rPr>
          <w:lang w:val="en-GB"/>
        </w:rPr>
        <w:t>f)</w:t>
      </w:r>
      <w:r w:rsidRPr="00C903F8">
        <w:rPr>
          <w:lang w:val="en-GB"/>
        </w:rPr>
        <w:tab/>
        <w:t>other enclosed or semi-enclosed rooms where gas vapours may accumulate including interbarrier spaces and tank rooms of independent LNG fuel tanks other than type C,</w:t>
      </w:r>
    </w:p>
    <w:p w:rsidR="001D0FFC" w:rsidRPr="00C903F8" w:rsidRDefault="001D0FFC" w:rsidP="00935328">
      <w:pPr>
        <w:pStyle w:val="Esann8let"/>
        <w:rPr>
          <w:lang w:val="en-GB"/>
        </w:rPr>
      </w:pPr>
      <w:r w:rsidRPr="00C903F8">
        <w:rPr>
          <w:lang w:val="en-GB"/>
        </w:rPr>
        <w:t>g)</w:t>
      </w:r>
      <w:r w:rsidRPr="00C903F8">
        <w:rPr>
          <w:lang w:val="en-GB"/>
        </w:rPr>
        <w:tab/>
        <w:t>air locks, and</w:t>
      </w:r>
    </w:p>
    <w:p w:rsidR="001D0FFC" w:rsidRPr="00C903F8" w:rsidRDefault="001D0FFC" w:rsidP="00935328">
      <w:pPr>
        <w:pStyle w:val="Esann8let"/>
        <w:rPr>
          <w:lang w:val="en-GB"/>
        </w:rPr>
      </w:pPr>
      <w:r w:rsidRPr="00C903F8">
        <w:rPr>
          <w:lang w:val="en-GB"/>
        </w:rPr>
        <w:t>h)</w:t>
      </w:r>
      <w:r w:rsidRPr="00C903F8">
        <w:rPr>
          <w:lang w:val="en-GB"/>
        </w:rPr>
        <w:tab/>
        <w:t>ventilation inlets to rooms in which gas vapours may accumulate.</w:t>
      </w:r>
    </w:p>
    <w:p w:rsidR="001D0FFC" w:rsidRPr="00C903F8" w:rsidRDefault="001D0FFC" w:rsidP="001D0FFC">
      <w:pPr>
        <w:pStyle w:val="Esann8ch"/>
        <w:rPr>
          <w:lang w:val="en-GB"/>
        </w:rPr>
      </w:pPr>
    </w:p>
    <w:p w:rsidR="00D24BFE" w:rsidRPr="00C903F8" w:rsidRDefault="00D24BFE">
      <w:pPr>
        <w:autoSpaceDE/>
        <w:autoSpaceDN/>
        <w:ind w:left="0" w:firstLine="0"/>
        <w:jc w:val="left"/>
        <w:rPr>
          <w:rFonts w:eastAsia="Calibri" w:cs="Arial"/>
          <w:color w:val="000000"/>
          <w:szCs w:val="20"/>
          <w:lang w:val="en-GB" w:eastAsia="en-US"/>
        </w:rPr>
      </w:pPr>
      <w:r w:rsidRPr="00C903F8">
        <w:rPr>
          <w:lang w:val="en-GB"/>
        </w:rPr>
        <w:br w:type="page"/>
      </w:r>
    </w:p>
    <w:p w:rsidR="00D24BFE" w:rsidRPr="00C903F8" w:rsidRDefault="00D24BFE" w:rsidP="001D0FFC">
      <w:pPr>
        <w:pStyle w:val="Esann8ch"/>
        <w:rPr>
          <w:lang w:val="en-GB"/>
        </w:rPr>
      </w:pPr>
    </w:p>
    <w:p w:rsidR="001D0FFC" w:rsidRPr="00C903F8" w:rsidRDefault="001D0FFC" w:rsidP="001D0FFC">
      <w:pPr>
        <w:pStyle w:val="Esann8ch"/>
        <w:rPr>
          <w:lang w:val="en-GB"/>
        </w:rPr>
      </w:pPr>
      <w:r w:rsidRPr="00C903F8">
        <w:rPr>
          <w:lang w:val="en-GB"/>
        </w:rPr>
        <w:t>5.4.3</w:t>
      </w:r>
      <w:r w:rsidRPr="00C903F8">
        <w:rPr>
          <w:lang w:val="en-US"/>
        </w:rPr>
        <w:t xml:space="preserve"> </w:t>
      </w:r>
      <w:r w:rsidRPr="00C903F8">
        <w:rPr>
          <w:lang w:val="en-US"/>
        </w:rPr>
        <w:tab/>
      </w:r>
      <w:r w:rsidRPr="00C903F8">
        <w:rPr>
          <w:lang w:val="en-GB"/>
        </w:rPr>
        <w:t>By derogation to (5.4.2), permanently installed sensors which detect gas by difference of pressure can be used for interbarrier spaces in double wall piping.</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5.4.4</w:t>
      </w:r>
      <w:r w:rsidRPr="00C903F8">
        <w:rPr>
          <w:lang w:val="en-GB"/>
        </w:rPr>
        <w:tab/>
        <w:t>The number and redundancy of gas detectors in each room shall be considered taking size, layout and ventilation of the room into account.</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5.4.5</w:t>
      </w:r>
      <w:r w:rsidRPr="00C903F8">
        <w:rPr>
          <w:lang w:val="en-GB"/>
        </w:rPr>
        <w:tab/>
        <w:t xml:space="preserve">Permanently installed gas detectors shall be located where gas may accumulate and in the ventilation outlets of these rooms. </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 xml:space="preserve">5.4.6 </w:t>
      </w:r>
      <w:r w:rsidRPr="00C903F8">
        <w:rPr>
          <w:lang w:val="en-GB"/>
        </w:rPr>
        <w:tab/>
        <w:t>An acoustic and optical alarm shall be activated before the gas concentration reaches 20</w:t>
      </w:r>
      <w:r w:rsidR="0075795F">
        <w:rPr>
          <w:lang w:val="en-GB"/>
        </w:rPr>
        <w:t> </w:t>
      </w:r>
      <w:r w:rsidRPr="00C903F8">
        <w:rPr>
          <w:lang w:val="en-GB"/>
        </w:rPr>
        <w:t>% of the lower explosive limit. The gas safety system shall be activated at 40</w:t>
      </w:r>
      <w:r w:rsidR="0075795F">
        <w:rPr>
          <w:lang w:val="en-GB"/>
        </w:rPr>
        <w:t> </w:t>
      </w:r>
      <w:r w:rsidRPr="00C903F8">
        <w:rPr>
          <w:lang w:val="en-GB"/>
        </w:rPr>
        <w:t>% of the lower explosive limit.</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5.4.7</w:t>
      </w:r>
      <w:r w:rsidRPr="00C903F8">
        <w:rPr>
          <w:lang w:val="en-GB"/>
        </w:rPr>
        <w:tab/>
        <w:t>Acoustic and optical alarms from the gas warning equipment shall be actuated in the wheelhouse.</w:t>
      </w:r>
    </w:p>
    <w:p w:rsidR="001D0FFC" w:rsidRPr="00C903F8" w:rsidRDefault="001D0FFC" w:rsidP="001D0FFC">
      <w:pPr>
        <w:pStyle w:val="Esann8ch"/>
        <w:rPr>
          <w:lang w:val="en-GB"/>
        </w:rPr>
      </w:pPr>
    </w:p>
    <w:p w:rsidR="001D0FFC" w:rsidRPr="00C903F8" w:rsidRDefault="001D0FFC" w:rsidP="00935328">
      <w:pPr>
        <w:pStyle w:val="Esann8chgras"/>
        <w:rPr>
          <w:lang w:val="en-GB"/>
        </w:rPr>
      </w:pPr>
      <w:r w:rsidRPr="00C903F8">
        <w:rPr>
          <w:lang w:val="en-GB"/>
        </w:rPr>
        <w:t>5.5</w:t>
      </w:r>
      <w:r w:rsidRPr="00C903F8">
        <w:rPr>
          <w:lang w:val="en-GB"/>
        </w:rPr>
        <w:tab/>
        <w:t>Safety functions of gas supply systems</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5.5.1</w:t>
      </w:r>
      <w:r w:rsidRPr="00C903F8">
        <w:rPr>
          <w:lang w:val="en-GB"/>
        </w:rPr>
        <w:tab/>
        <w:t>If the gas supply system is shut off due to activation of an automatic valve, it shall not be opened until the reason for the disconnection is ascertained and the necessary actions taken. Instructions to this effect shall be placed at a prominent position at the control station for the shut-off valves in the gas supply lines.</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5.5.2</w:t>
      </w:r>
      <w:r w:rsidRPr="00C903F8">
        <w:rPr>
          <w:lang w:val="en-GB"/>
        </w:rPr>
        <w:tab/>
        <w:t>If the gas supply system is shut off due to a gas leak, it shall not be opened until the leak has been found and the necessary actions have been taken. Instructions to this effect shall be placed at a prominent position in the engine room.</w:t>
      </w:r>
    </w:p>
    <w:p w:rsidR="001D0FFC" w:rsidRPr="00C903F8" w:rsidRDefault="001D0FFC" w:rsidP="001D0FFC">
      <w:pPr>
        <w:pStyle w:val="Esann8ch"/>
        <w:rPr>
          <w:lang w:val="en-GB"/>
        </w:rPr>
      </w:pPr>
    </w:p>
    <w:p w:rsidR="001D0FFC" w:rsidRPr="00C903F8" w:rsidRDefault="001D0FFC" w:rsidP="001D0FFC">
      <w:pPr>
        <w:pStyle w:val="Esann8ch"/>
        <w:rPr>
          <w:lang w:val="en-GB"/>
        </w:rPr>
      </w:pPr>
      <w:r w:rsidRPr="00C903F8">
        <w:rPr>
          <w:lang w:val="en-GB"/>
        </w:rPr>
        <w:t>5.5.3</w:t>
      </w:r>
      <w:r w:rsidRPr="00C903F8">
        <w:rPr>
          <w:lang w:val="en-GB"/>
        </w:rPr>
        <w:tab/>
        <w:t>The gas supply system shall be arranged for manual remote emergency stop from the following locations as applicable:</w:t>
      </w:r>
    </w:p>
    <w:p w:rsidR="001D0FFC" w:rsidRPr="00C903F8" w:rsidRDefault="001D0FFC" w:rsidP="001D0FFC">
      <w:pPr>
        <w:pStyle w:val="Esann8let"/>
        <w:rPr>
          <w:lang w:val="en-GB"/>
        </w:rPr>
      </w:pPr>
      <w:r w:rsidRPr="00C903F8">
        <w:rPr>
          <w:lang w:val="en-GB"/>
        </w:rPr>
        <w:t>a)</w:t>
      </w:r>
      <w:r w:rsidRPr="00C903F8">
        <w:rPr>
          <w:lang w:val="en-GB"/>
        </w:rPr>
        <w:tab/>
        <w:t>wheelhouse,</w:t>
      </w:r>
    </w:p>
    <w:p w:rsidR="001D0FFC" w:rsidRPr="00C903F8" w:rsidRDefault="001D0FFC" w:rsidP="001D0FFC">
      <w:pPr>
        <w:pStyle w:val="Esann8let"/>
        <w:rPr>
          <w:lang w:val="en-GB"/>
        </w:rPr>
      </w:pPr>
      <w:r w:rsidRPr="00C903F8">
        <w:rPr>
          <w:lang w:val="en-GB"/>
        </w:rPr>
        <w:t>b)</w:t>
      </w:r>
      <w:r w:rsidRPr="00C903F8">
        <w:rPr>
          <w:lang w:val="en-GB"/>
        </w:rPr>
        <w:tab/>
        <w:t>control station of the bunkering station,</w:t>
      </w:r>
    </w:p>
    <w:p w:rsidR="001D0FFC" w:rsidRPr="00C903F8" w:rsidRDefault="001D0FFC" w:rsidP="001D0FFC">
      <w:pPr>
        <w:pStyle w:val="Esann8let"/>
        <w:rPr>
          <w:lang w:val="en-GB"/>
        </w:rPr>
      </w:pPr>
      <w:r w:rsidRPr="00C903F8">
        <w:rPr>
          <w:lang w:val="en-GB"/>
        </w:rPr>
        <w:t>c)</w:t>
      </w:r>
      <w:r w:rsidRPr="00C903F8">
        <w:rPr>
          <w:lang w:val="en-GB"/>
        </w:rPr>
        <w:tab/>
        <w:t>any permanently manned location.</w:t>
      </w:r>
    </w:p>
    <w:p w:rsidR="001D0FFC" w:rsidRPr="00C903F8" w:rsidRDefault="001D0FFC" w:rsidP="00ED22AF">
      <w:pPr>
        <w:pStyle w:val="Esann8ch"/>
        <w:rPr>
          <w:lang w:val="en-GB"/>
        </w:rPr>
      </w:pPr>
    </w:p>
    <w:p w:rsidR="006B78FD" w:rsidRPr="00C903F8" w:rsidRDefault="006B78FD" w:rsidP="009C13A9">
      <w:pPr>
        <w:spacing w:line="240" w:lineRule="atLeast"/>
        <w:ind w:left="0" w:firstLine="0"/>
        <w:rPr>
          <w:rFonts w:cs="Arial"/>
          <w:noProof/>
          <w:szCs w:val="20"/>
          <w:lang w:val="en-US" w:bidi="fr-FR"/>
        </w:rPr>
      </w:pPr>
    </w:p>
    <w:p w:rsidR="006B78FD" w:rsidRPr="00C903F8" w:rsidRDefault="006B78FD" w:rsidP="009C13A9">
      <w:pPr>
        <w:spacing w:line="240" w:lineRule="atLeast"/>
        <w:ind w:left="0" w:firstLine="0"/>
        <w:rPr>
          <w:rFonts w:cs="Arial"/>
          <w:noProof/>
          <w:szCs w:val="20"/>
          <w:lang w:val="en-US" w:bidi="fr-FR"/>
        </w:rPr>
      </w:pPr>
    </w:p>
    <w:p w:rsidR="006B78FD" w:rsidRPr="00C903F8" w:rsidRDefault="006B78FD" w:rsidP="009C13A9">
      <w:pPr>
        <w:spacing w:line="240" w:lineRule="atLeast"/>
        <w:ind w:left="0" w:firstLine="0"/>
        <w:rPr>
          <w:rFonts w:cs="Arial"/>
          <w:noProof/>
          <w:szCs w:val="20"/>
          <w:lang w:val="en-US" w:bidi="fr-FR"/>
        </w:rPr>
        <w:sectPr w:rsidR="006B78FD" w:rsidRPr="00C903F8" w:rsidSect="00AC5CC1">
          <w:headerReference w:type="first" r:id="rId104"/>
          <w:footnotePr>
            <w:numRestart w:val="eachPage"/>
          </w:footnotePr>
          <w:pgSz w:w="11906" w:h="16838" w:code="9"/>
          <w:pgMar w:top="1418" w:right="1418" w:bottom="1418" w:left="1418" w:header="709" w:footer="709" w:gutter="0"/>
          <w:cols w:space="709"/>
          <w:titlePg/>
          <w:docGrid w:linePitch="272"/>
        </w:sectPr>
      </w:pPr>
    </w:p>
    <w:p w:rsidR="009C13A9" w:rsidRDefault="009C13A9" w:rsidP="009C13A9">
      <w:pPr>
        <w:spacing w:line="240" w:lineRule="atLeast"/>
        <w:ind w:left="0" w:firstLine="0"/>
        <w:rPr>
          <w:rFonts w:cs="Arial"/>
          <w:noProof/>
          <w:szCs w:val="20"/>
          <w:lang w:val="en-US" w:bidi="fr-FR"/>
        </w:rPr>
      </w:pPr>
    </w:p>
    <w:p w:rsidR="004F47BB" w:rsidRPr="00C903F8" w:rsidRDefault="004F47BB" w:rsidP="009C13A9">
      <w:pPr>
        <w:spacing w:line="240" w:lineRule="atLeast"/>
        <w:ind w:left="0" w:firstLine="0"/>
        <w:rPr>
          <w:rFonts w:cs="Arial"/>
          <w:noProof/>
          <w:szCs w:val="20"/>
          <w:lang w:val="en-US" w:bidi="fr-FR"/>
        </w:rPr>
      </w:pPr>
    </w:p>
    <w:p w:rsidR="001E2331" w:rsidRPr="00C903F8" w:rsidRDefault="001E2331" w:rsidP="00125490">
      <w:pPr>
        <w:pStyle w:val="ESch"/>
        <w:rPr>
          <w:lang w:val="en-US"/>
        </w:rPr>
      </w:pPr>
    </w:p>
    <w:p w:rsidR="001B6FDF" w:rsidRPr="00C903F8" w:rsidRDefault="001B6FDF" w:rsidP="00125490">
      <w:pPr>
        <w:pStyle w:val="ESch"/>
        <w:rPr>
          <w:lang w:val="en-US"/>
        </w:rPr>
      </w:pPr>
    </w:p>
    <w:p w:rsidR="004F47BB" w:rsidRDefault="004F47BB" w:rsidP="002908AA">
      <w:pPr>
        <w:pStyle w:val="ESgauche"/>
        <w:rPr>
          <w:lang w:val="en-US"/>
        </w:rPr>
        <w:sectPr w:rsidR="004F47BB" w:rsidSect="00AC5CC1">
          <w:footnotePr>
            <w:numRestart w:val="eachPage"/>
          </w:footnotePr>
          <w:pgSz w:w="11906" w:h="16838" w:code="9"/>
          <w:pgMar w:top="1418" w:right="1418" w:bottom="1418" w:left="1418" w:header="709" w:footer="709" w:gutter="0"/>
          <w:cols w:space="709"/>
          <w:titlePg/>
          <w:docGrid w:linePitch="272"/>
        </w:sect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5B46C9"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4F47BB" w:rsidRDefault="004F47BB" w:rsidP="00C859BD">
      <w:pPr>
        <w:pStyle w:val="Es-Titreannexes"/>
        <w:rPr>
          <w:lang w:val="en-US"/>
        </w:rPr>
      </w:pPr>
      <w:bookmarkStart w:id="385" w:name="_Toc491854345"/>
      <w:r w:rsidRPr="004F47BB">
        <w:rPr>
          <w:lang w:val="en-US"/>
        </w:rPr>
        <w:t>Instructions for the application of the technical Standard</w:t>
      </w:r>
      <w:bookmarkEnd w:id="385"/>
      <w:r w:rsidRPr="004F47BB">
        <w:rPr>
          <w:lang w:val="en-US"/>
        </w:rPr>
        <w:t xml:space="preserve"> </w:t>
      </w:r>
    </w:p>
    <w:p w:rsidR="004F47BB" w:rsidRPr="004F47BB"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4F47BB"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4F47BB" w:rsidRDefault="004F47BB" w:rsidP="004F47BB">
      <w:pPr>
        <w:overflowPunct w:val="0"/>
        <w:adjustRightInd w:val="0"/>
        <w:spacing w:line="240" w:lineRule="exact"/>
        <w:ind w:left="0" w:firstLine="0"/>
        <w:jc w:val="center"/>
        <w:textAlignment w:val="baseline"/>
        <w:rPr>
          <w:rFonts w:eastAsia="Calibri"/>
          <w:b/>
          <w:i/>
          <w:sz w:val="22"/>
          <w:szCs w:val="22"/>
          <w:lang w:val="en-US" w:eastAsia="en-US"/>
        </w:rPr>
      </w:pP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0" w:firstLine="0"/>
        <w:rPr>
          <w:lang w:val="en-US"/>
        </w:rPr>
      </w:pPr>
      <w:r w:rsidRPr="004F47BB">
        <w:rPr>
          <w:lang w:val="en-US"/>
        </w:rPr>
        <w:br w:type="page"/>
      </w:r>
    </w:p>
    <w:p w:rsidR="004F47BB" w:rsidRPr="004F47BB" w:rsidRDefault="004F47BB" w:rsidP="004F47BB">
      <w:pPr>
        <w:spacing w:line="240" w:lineRule="atLeast"/>
        <w:ind w:left="0" w:firstLine="0"/>
        <w:rPr>
          <w:lang w:val="en-US"/>
        </w:rPr>
      </w:pPr>
    </w:p>
    <w:p w:rsidR="004F47BB" w:rsidRPr="004F47BB" w:rsidRDefault="004F47BB" w:rsidP="004F47BB">
      <w:pPr>
        <w:spacing w:line="240" w:lineRule="atLeast"/>
        <w:ind w:left="0" w:firstLine="0"/>
        <w:rPr>
          <w:lang w:val="en-US"/>
        </w:rPr>
      </w:pPr>
    </w:p>
    <w:p w:rsidR="004F47BB" w:rsidRPr="004F47BB" w:rsidRDefault="004F47BB" w:rsidP="004F47BB">
      <w:pPr>
        <w:spacing w:line="240" w:lineRule="atLeast"/>
        <w:ind w:left="0" w:firstLine="0"/>
        <w:rPr>
          <w:lang w:val="en-US"/>
        </w:rPr>
        <w:sectPr w:rsidR="004F47BB" w:rsidRPr="004F47BB" w:rsidSect="00D45887">
          <w:headerReference w:type="default" r:id="rId105"/>
          <w:footerReference w:type="default" r:id="rId106"/>
          <w:headerReference w:type="first" r:id="rId107"/>
          <w:footerReference w:type="first" r:id="rId108"/>
          <w:pgSz w:w="11907" w:h="16840" w:code="9"/>
          <w:pgMar w:top="1418" w:right="1418" w:bottom="1418" w:left="1418" w:header="680" w:footer="680" w:gutter="0"/>
          <w:pgNumType w:start="397"/>
          <w:cols w:space="720"/>
          <w:noEndnote/>
          <w:titlePg/>
        </w:sectPr>
      </w:pPr>
    </w:p>
    <w:p w:rsidR="004F47BB" w:rsidRPr="004F47BB" w:rsidRDefault="004F47BB" w:rsidP="00A84512">
      <w:pPr>
        <w:pStyle w:val="ES-Titre1"/>
      </w:pPr>
      <w:bookmarkStart w:id="386" w:name="_Toc405451503"/>
      <w:bookmarkStart w:id="387" w:name="_Toc491854346"/>
      <w:r w:rsidRPr="004F47BB">
        <w:lastRenderedPageBreak/>
        <w:t>PART I</w:t>
      </w:r>
      <w:r w:rsidRPr="004F47BB">
        <w:br/>
      </w:r>
      <w:bookmarkEnd w:id="386"/>
      <w:r w:rsidRPr="004F47BB">
        <w:t>GENERAL</w:t>
      </w:r>
      <w:bookmarkEnd w:id="387"/>
    </w:p>
    <w:p w:rsidR="004F47BB" w:rsidRPr="004F47BB" w:rsidRDefault="004F47BB" w:rsidP="004F47BB">
      <w:pPr>
        <w:tabs>
          <w:tab w:val="left" w:pos="425"/>
        </w:tabs>
        <w:autoSpaceDE/>
        <w:autoSpaceDN/>
        <w:ind w:left="0" w:firstLine="0"/>
        <w:jc w:val="left"/>
        <w:rPr>
          <w:lang w:val="en-US"/>
        </w:rPr>
      </w:pPr>
    </w:p>
    <w:p w:rsidR="004F47BB" w:rsidRPr="004F47BB" w:rsidRDefault="004F47BB" w:rsidP="00A84512">
      <w:pPr>
        <w:pStyle w:val="ES-Titre2ESI"/>
      </w:pPr>
      <w:bookmarkStart w:id="388" w:name="_Toc491854347"/>
      <w:r w:rsidRPr="004F47BB">
        <w:t>ESI-I-1</w:t>
      </w:r>
      <w:r w:rsidRPr="004F47BB">
        <w:br/>
      </w:r>
      <w:r w:rsidRPr="004F47BB">
        <w:rPr>
          <w:noProof/>
        </w:rPr>
        <w:t>Completion of the inland navigation vessel certificates</w:t>
      </w:r>
      <w:bookmarkEnd w:id="388"/>
    </w:p>
    <w:p w:rsidR="004F47BB" w:rsidRPr="004F47BB" w:rsidRDefault="004F47BB" w:rsidP="004F47BB">
      <w:pPr>
        <w:tabs>
          <w:tab w:val="left" w:pos="284"/>
          <w:tab w:val="left" w:pos="567"/>
        </w:tabs>
        <w:autoSpaceDE/>
        <w:autoSpaceDN/>
        <w:ind w:left="284" w:hanging="284"/>
        <w:jc w:val="left"/>
        <w:rPr>
          <w:lang w:val="en-GB"/>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1.</w:t>
      </w:r>
      <w:r w:rsidRPr="004F47BB">
        <w:rPr>
          <w:rFonts w:cs="Arial"/>
          <w:b/>
          <w:noProof/>
          <w:color w:val="000000"/>
          <w:szCs w:val="20"/>
          <w:lang w:val="en-GB" w:eastAsia="en-US"/>
        </w:rPr>
        <w:tab/>
        <w:t>General</w:t>
      </w:r>
    </w:p>
    <w:p w:rsidR="004F47BB" w:rsidRPr="004F47BB" w:rsidRDefault="004F47BB" w:rsidP="004F47BB">
      <w:pPr>
        <w:spacing w:line="240" w:lineRule="atLeast"/>
        <w:ind w:left="567" w:hanging="567"/>
        <w:rPr>
          <w:rFonts w:cs="Arial"/>
          <w:b/>
          <w:noProof/>
          <w:color w:val="000000"/>
          <w:szCs w:val="20"/>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1.1</w:t>
      </w:r>
      <w:r w:rsidRPr="004F47BB">
        <w:rPr>
          <w:rFonts w:cs="Arial"/>
          <w:b/>
          <w:noProof/>
          <w:color w:val="000000"/>
          <w:szCs w:val="20"/>
          <w:lang w:val="en-GB" w:eastAsia="en-US"/>
        </w:rPr>
        <w:tab/>
        <w:t>Forms</w:t>
      </w:r>
    </w:p>
    <w:p w:rsidR="004F47BB" w:rsidRPr="004F47BB" w:rsidRDefault="004F47BB" w:rsidP="004F47BB">
      <w:pPr>
        <w:spacing w:line="240" w:lineRule="atLeast"/>
        <w:ind w:left="567" w:hanging="567"/>
        <w:rPr>
          <w:rFonts w:cs="Arial"/>
          <w:b/>
          <w:noProof/>
          <w:color w:val="000000"/>
          <w:szCs w:val="20"/>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For completion of the inland navigation vessel certificate only forms authorised by the competent authority shall be used. Forms shall be filled in on one side only.</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When issuing a new inland navigation vessel certificate, all pages 1 to 13 shall be included, even if some pages have no entries.</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1.2</w:t>
      </w:r>
      <w:r w:rsidRPr="004F47BB">
        <w:rPr>
          <w:rFonts w:cs="Arial"/>
          <w:b/>
          <w:noProof/>
          <w:color w:val="000000"/>
          <w:szCs w:val="20"/>
          <w:lang w:val="en-GB" w:eastAsia="en-US"/>
        </w:rPr>
        <w:tab/>
        <w:t>Method of entry</w:t>
      </w:r>
    </w:p>
    <w:p w:rsidR="004F47BB" w:rsidRPr="004F47BB" w:rsidRDefault="004F47BB" w:rsidP="004F47BB">
      <w:pPr>
        <w:spacing w:line="240" w:lineRule="atLeast"/>
        <w:ind w:left="567" w:hanging="567"/>
        <w:rPr>
          <w:rFonts w:cs="Arial"/>
          <w:b/>
          <w:noProof/>
          <w:color w:val="000000"/>
          <w:szCs w:val="20"/>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Entries on the inland navigation vessel certificate shall be typewritten or computer-printed. Hand written entries may only be made in exceptional cases. The entries shall be indelible. Font colours shall be black or blue only. Deletions shall be made in red.</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2.</w:t>
      </w:r>
      <w:r w:rsidRPr="004F47BB">
        <w:rPr>
          <w:rFonts w:cs="Arial"/>
          <w:b/>
          <w:noProof/>
          <w:color w:val="000000"/>
          <w:szCs w:val="20"/>
          <w:lang w:val="en-GB" w:eastAsia="en-US"/>
        </w:rPr>
        <w:tab/>
        <w:t>Entries</w:t>
      </w:r>
    </w:p>
    <w:p w:rsidR="004F47BB" w:rsidRPr="004F47BB" w:rsidRDefault="004F47BB" w:rsidP="004F47BB">
      <w:pPr>
        <w:spacing w:line="240" w:lineRule="atLeast"/>
        <w:ind w:left="567" w:hanging="567"/>
        <w:rPr>
          <w:rFonts w:cs="Arial"/>
          <w:b/>
          <w:noProof/>
          <w:color w:val="000000"/>
          <w:szCs w:val="20"/>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2.1</w:t>
      </w:r>
      <w:r w:rsidRPr="004F47BB">
        <w:rPr>
          <w:rFonts w:cs="Arial"/>
          <w:b/>
          <w:noProof/>
          <w:color w:val="000000"/>
          <w:szCs w:val="20"/>
          <w:lang w:val="en-GB" w:eastAsia="en-US"/>
        </w:rPr>
        <w:tab/>
        <w:t>Deletion of alternatives</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 xml:space="preserve">Where entries are marked with </w:t>
      </w:r>
      <w:r w:rsidRPr="004F47BB">
        <w:rPr>
          <w:noProof/>
          <w:vertAlign w:val="superscript"/>
          <w:lang w:val="en-GB" w:eastAsia="en-US"/>
        </w:rPr>
        <w:t>(*)</w:t>
      </w:r>
      <w:r w:rsidRPr="004F47BB">
        <w:rPr>
          <w:noProof/>
          <w:lang w:val="en-GB" w:eastAsia="en-US"/>
        </w:rPr>
        <w:t xml:space="preserve"> those which are not applicable shall be deleted.</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2.2</w:t>
      </w:r>
      <w:r w:rsidRPr="004F47BB">
        <w:rPr>
          <w:rFonts w:cs="Arial"/>
          <w:b/>
          <w:noProof/>
          <w:color w:val="000000"/>
          <w:szCs w:val="20"/>
          <w:lang w:val="en-GB" w:eastAsia="en-US"/>
        </w:rPr>
        <w:tab/>
        <w:t>Items without entry</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If, for any of the items 1 to 48, no entry is either necessary or possible, a line shall be drawn across the entire field.</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2.3</w:t>
      </w:r>
      <w:r w:rsidRPr="004F47BB">
        <w:rPr>
          <w:rFonts w:cs="Arial"/>
          <w:b/>
          <w:noProof/>
          <w:color w:val="000000"/>
          <w:szCs w:val="20"/>
          <w:lang w:val="en-GB" w:eastAsia="en-US"/>
        </w:rPr>
        <w:tab/>
        <w:t>Final page of the inland navigation vessel certificate</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If no additional pages are required after page 13 (see (3.2.3)), the words ‘continued on page’</w:t>
      </w:r>
      <w:r w:rsidRPr="004F47BB">
        <w:rPr>
          <w:noProof/>
          <w:vertAlign w:val="superscript"/>
          <w:lang w:val="en-GB" w:eastAsia="en-US"/>
        </w:rPr>
        <w:footnoteReference w:customMarkFollows="1" w:id="77"/>
        <w:t>(*)</w:t>
      </w:r>
      <w:r w:rsidRPr="004F47BB">
        <w:rPr>
          <w:noProof/>
          <w:lang w:val="en-GB" w:eastAsia="en-US"/>
        </w:rPr>
        <w:t xml:space="preserve"> at the bottom of page 13 shall be deleted.</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2.4</w:t>
      </w:r>
      <w:r w:rsidRPr="004F47BB">
        <w:rPr>
          <w:rFonts w:cs="Arial"/>
          <w:b/>
          <w:noProof/>
          <w:color w:val="000000"/>
          <w:szCs w:val="20"/>
          <w:lang w:val="en-GB" w:eastAsia="en-US"/>
        </w:rPr>
        <w:tab/>
        <w:t>Amendments</w:t>
      </w:r>
    </w:p>
    <w:p w:rsidR="004F47BB" w:rsidRPr="004F47BB" w:rsidRDefault="004F47BB" w:rsidP="004F47BB">
      <w:pPr>
        <w:spacing w:line="240" w:lineRule="atLeast"/>
        <w:ind w:left="567" w:hanging="567"/>
        <w:rPr>
          <w:rFonts w:cs="Arial"/>
          <w:b/>
          <w:noProof/>
          <w:color w:val="000000"/>
          <w:szCs w:val="20"/>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2.4.1</w:t>
      </w:r>
      <w:r w:rsidRPr="004F47BB">
        <w:rPr>
          <w:rFonts w:cs="Arial"/>
          <w:b/>
          <w:noProof/>
          <w:color w:val="000000"/>
          <w:szCs w:val="20"/>
          <w:lang w:val="en-GB" w:eastAsia="en-US"/>
        </w:rPr>
        <w:tab/>
        <w:t>First handwritten amendment on a page</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A page can be amended once only, however, several amendments may be made at that time. A red line shall be drawn through any details to be amended. A previously deleted alternative (see (2.1)) or an item previously without entry (see (2.3)) shall be underlined in red. The new details shall not be entered in the amended field, but on the same page under the heading ‘Amendments’, the line ‘This page has been replaced’ shall be deleted.</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br w:type="page"/>
      </w: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lastRenderedPageBreak/>
        <w:t>2.4.2</w:t>
      </w:r>
      <w:r w:rsidRPr="004F47BB">
        <w:rPr>
          <w:rFonts w:cs="Arial"/>
          <w:b/>
          <w:noProof/>
          <w:color w:val="000000"/>
          <w:szCs w:val="20"/>
          <w:lang w:val="en-GB" w:eastAsia="en-US"/>
        </w:rPr>
        <w:tab/>
        <w:t>Further handwritten amendments on a page</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For further amendments the page shall be replaced and the necessary amendments as well as any earlier amendments shall be entered directly under the appropriate items. Under the heading ‘Amendments’ the line ‘amendments to item(s)’ shall be deleted.</w:t>
      </w:r>
    </w:p>
    <w:p w:rsidR="004F47BB" w:rsidRPr="004F47BB" w:rsidRDefault="004F47BB" w:rsidP="004F47BB">
      <w:pPr>
        <w:spacing w:line="240" w:lineRule="atLeast"/>
        <w:ind w:left="567" w:firstLine="0"/>
        <w:rPr>
          <w:noProof/>
          <w:lang w:val="en-GB" w:eastAsia="en-US"/>
        </w:rPr>
      </w:pPr>
      <w:r w:rsidRPr="004F47BB">
        <w:rPr>
          <w:noProof/>
          <w:lang w:val="en-GB" w:eastAsia="en-US"/>
        </w:rPr>
        <w:t>The old page shall be retained by the inspection body which originally issued the inland navigation vessel certificate.</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2.4.3</w:t>
      </w:r>
      <w:r w:rsidRPr="004F47BB">
        <w:rPr>
          <w:rFonts w:cs="Arial"/>
          <w:b/>
          <w:noProof/>
          <w:color w:val="000000"/>
          <w:szCs w:val="20"/>
          <w:lang w:val="en-GB" w:eastAsia="en-US"/>
        </w:rPr>
        <w:tab/>
        <w:t>Amendments by electronic data processing</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In case of amendments by electronic data processing, the page shall be replaced and the necessary amendments as well as any earlier amendments shall be entered directly under the appropriate items. Under the heading ‘Amendments’ the line ‘amendments to item(s)’ shall be deleted.</w:t>
      </w:r>
    </w:p>
    <w:p w:rsidR="004F47BB" w:rsidRPr="004F47BB" w:rsidRDefault="004F47BB" w:rsidP="004F47BB">
      <w:pPr>
        <w:spacing w:line="240" w:lineRule="atLeast"/>
        <w:ind w:left="567" w:firstLine="0"/>
        <w:rPr>
          <w:noProof/>
          <w:lang w:val="en-GB" w:eastAsia="en-US"/>
        </w:rPr>
      </w:pPr>
      <w:r w:rsidRPr="004F47BB">
        <w:rPr>
          <w:noProof/>
          <w:lang w:val="en-GB" w:eastAsia="en-US"/>
        </w:rPr>
        <w:t>The old page shall be retained by the inspection body which originally issued the inland navigation vessel certificate.</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2.5</w:t>
      </w:r>
      <w:r w:rsidRPr="004F47BB">
        <w:rPr>
          <w:rFonts w:cs="Arial"/>
          <w:b/>
          <w:noProof/>
          <w:color w:val="000000"/>
          <w:szCs w:val="20"/>
          <w:lang w:val="en-GB" w:eastAsia="en-US"/>
        </w:rPr>
        <w:tab/>
        <w:t>Corrections by pasting over</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Pasting over of entries or pasting in further details added to an item is not allowed.</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3.</w:t>
      </w:r>
      <w:r w:rsidRPr="004F47BB">
        <w:rPr>
          <w:rFonts w:cs="Arial"/>
          <w:b/>
          <w:noProof/>
          <w:color w:val="000000"/>
          <w:szCs w:val="20"/>
          <w:lang w:val="en-GB" w:eastAsia="en-US"/>
        </w:rPr>
        <w:tab/>
        <w:t>Replacing and adding pages</w:t>
      </w:r>
    </w:p>
    <w:p w:rsidR="004F47BB" w:rsidRPr="004F47BB" w:rsidRDefault="004F47BB" w:rsidP="004F47BB">
      <w:pPr>
        <w:spacing w:line="240" w:lineRule="atLeast"/>
        <w:ind w:left="567" w:hanging="567"/>
        <w:rPr>
          <w:rFonts w:cs="Arial"/>
          <w:b/>
          <w:noProof/>
          <w:color w:val="000000"/>
          <w:szCs w:val="20"/>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3.1</w:t>
      </w:r>
      <w:r w:rsidRPr="004F47BB">
        <w:rPr>
          <w:rFonts w:cs="Arial"/>
          <w:b/>
          <w:noProof/>
          <w:color w:val="000000"/>
          <w:szCs w:val="20"/>
          <w:lang w:val="en-GB" w:eastAsia="en-US"/>
        </w:rPr>
        <w:tab/>
        <w:t>Replacing pages</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Page 1 of the inland navigation vessel certificate shall never be replaced. For replacing other pages the procedures outlined in (2.4.2) or (2.4.3) shall be applied.</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3.2</w:t>
      </w:r>
      <w:r w:rsidRPr="004F47BB">
        <w:rPr>
          <w:rFonts w:cs="Arial"/>
          <w:b/>
          <w:noProof/>
          <w:color w:val="000000"/>
          <w:szCs w:val="20"/>
          <w:lang w:val="en-GB" w:eastAsia="en-US"/>
        </w:rPr>
        <w:tab/>
        <w:t>Adding pages</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If there is insufficient space for further entries on pages 10, 12 or 13 of the inland navigation vessel certificate, additional pages may be attached.</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3.2.1</w:t>
      </w:r>
      <w:r w:rsidRPr="004F47BB">
        <w:rPr>
          <w:rFonts w:cs="Arial"/>
          <w:b/>
          <w:noProof/>
          <w:color w:val="000000"/>
          <w:szCs w:val="20"/>
          <w:lang w:val="en-GB" w:eastAsia="en-US"/>
        </w:rPr>
        <w:tab/>
        <w:t>Extension/Confirmation of validity</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If further extension is necessary when the certificate has already been extended six times, the words ‘Continued on page 10a’ shall be added at the bottom of page 10, and a further page 10 shall be marked as page 10a and inserted after page 10. The respective entry is then made under item 49 at the top of page 10a. At the bottom of page 10a the entry ‘Continued on page 11’ shall be made.</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3.2.2</w:t>
      </w:r>
      <w:r w:rsidRPr="004F47BB">
        <w:rPr>
          <w:rFonts w:cs="Arial"/>
          <w:b/>
          <w:noProof/>
          <w:color w:val="000000"/>
          <w:szCs w:val="20"/>
          <w:lang w:val="en-GB" w:eastAsia="en-US"/>
        </w:rPr>
        <w:tab/>
        <w:t>Extension of the liquefied gas installation certificate</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A similar procedure to (3.2.1) shall be applied, with page 12a inserted after page 12.</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3.2.3</w:t>
      </w:r>
      <w:r w:rsidRPr="004F47BB">
        <w:rPr>
          <w:rFonts w:cs="Arial"/>
          <w:b/>
          <w:noProof/>
          <w:color w:val="000000"/>
          <w:szCs w:val="20"/>
          <w:lang w:val="en-GB" w:eastAsia="en-US"/>
        </w:rPr>
        <w:tab/>
        <w:t>Annex to the inland navigation vessel certificate</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At the bottom of page 13 the words ‘End of the inland navigation vessel certificate’ shall be deleted in red, the deleted words ‘Continued on page</w:t>
      </w:r>
      <w:r w:rsidRPr="004F47BB">
        <w:rPr>
          <w:noProof/>
          <w:vertAlign w:val="superscript"/>
          <w:lang w:val="en-GB" w:eastAsia="en-US"/>
        </w:rPr>
        <w:footnoteReference w:id="78"/>
      </w:r>
      <w:r w:rsidRPr="004F47BB">
        <w:rPr>
          <w:noProof/>
          <w:lang w:val="en-GB" w:eastAsia="en-US"/>
        </w:rPr>
        <w:t xml:space="preserve">’ shall be underlined in red and behind that the page number 13a shall be entered. This amendment shall carry an official stamp. A further page 13 shall be marked as page 13a and inserted after page 13. The provisions of (2.2) and (2.3) apply to page 13a </w:t>
      </w:r>
      <w:r w:rsidRPr="004F47BB">
        <w:rPr>
          <w:i/>
          <w:iCs/>
          <w:noProof/>
          <w:lang w:val="en-GB" w:eastAsia="en-US"/>
        </w:rPr>
        <w:t>mutatis mutandis</w:t>
      </w:r>
      <w:r w:rsidRPr="004F47BB">
        <w:rPr>
          <w:noProof/>
          <w:lang w:val="en-GB" w:eastAsia="en-US"/>
        </w:rPr>
        <w:t>.</w:t>
      </w:r>
    </w:p>
    <w:p w:rsidR="004F47BB" w:rsidRPr="004F47BB" w:rsidRDefault="004F47BB" w:rsidP="004F47BB">
      <w:pPr>
        <w:spacing w:line="240" w:lineRule="atLeast"/>
        <w:ind w:left="567" w:firstLine="0"/>
        <w:rPr>
          <w:noProof/>
          <w:lang w:val="en-GB" w:eastAsia="en-US"/>
        </w:rPr>
      </w:pPr>
      <w:r w:rsidRPr="004F47BB">
        <w:rPr>
          <w:noProof/>
          <w:lang w:val="en-GB" w:eastAsia="en-US"/>
        </w:rPr>
        <w:t>The same procedure shall be applied for any further annexes (pages 13b, 13c, etc.).</w:t>
      </w:r>
    </w:p>
    <w:p w:rsidR="004F47BB" w:rsidRPr="004F47BB" w:rsidRDefault="004F47BB" w:rsidP="004F47BB">
      <w:pPr>
        <w:spacing w:line="240" w:lineRule="atLeast"/>
        <w:ind w:left="567" w:firstLine="0"/>
        <w:rPr>
          <w:noProof/>
          <w:lang w:val="en-GB" w:eastAsia="en-US"/>
        </w:rPr>
      </w:pPr>
      <w:r w:rsidRPr="004F47BB">
        <w:rPr>
          <w:noProof/>
          <w:lang w:val="en-GB" w:eastAsia="en-US"/>
        </w:rPr>
        <w:br w:type="page"/>
      </w: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lastRenderedPageBreak/>
        <w:t>4.</w:t>
      </w:r>
      <w:r w:rsidRPr="004F47BB">
        <w:rPr>
          <w:rFonts w:cs="Arial"/>
          <w:b/>
          <w:noProof/>
          <w:color w:val="000000"/>
          <w:szCs w:val="20"/>
          <w:lang w:val="en-GB" w:eastAsia="en-US"/>
        </w:rPr>
        <w:tab/>
        <w:t>Explanations of individual items</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Self-explanatory items are not mentioned below.</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2.</w:t>
      </w:r>
      <w:r w:rsidRPr="004F47BB">
        <w:rPr>
          <w:noProof/>
          <w:lang w:val="en-GB" w:eastAsia="en-US"/>
        </w:rPr>
        <w:tab/>
        <w:t>If applicable, insert terms as per Article 1.01. Other vessel types shall be entered with their commonly accepted designation.</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US" w:eastAsia="en-US"/>
        </w:rPr>
      </w:pPr>
      <w:r w:rsidRPr="004F47BB">
        <w:rPr>
          <w:lang w:val="en-US"/>
        </w:rPr>
        <w:t>3.</w:t>
      </w:r>
      <w:r w:rsidRPr="004F47BB">
        <w:rPr>
          <w:lang w:val="en-US"/>
        </w:rPr>
        <w:tab/>
        <w:t>W</w:t>
      </w:r>
      <w:r w:rsidRPr="004F47BB">
        <w:rPr>
          <w:lang w:val="en-US" w:eastAsia="en-US"/>
        </w:rPr>
        <w:t>hen inland navigation vessel certificate is extended the wording “official number” as well as this number shall be deleted, and in case of amendment, the wording “3. unique European vessel identification number” as well as that number shall be entered.</w:t>
      </w:r>
    </w:p>
    <w:p w:rsidR="004F47BB" w:rsidRPr="004F47BB" w:rsidRDefault="004F47BB" w:rsidP="004F47BB">
      <w:pPr>
        <w:tabs>
          <w:tab w:val="left" w:pos="567"/>
          <w:tab w:val="left" w:pos="1418"/>
        </w:tabs>
        <w:autoSpaceDE/>
        <w:autoSpaceDN/>
        <w:spacing w:line="240" w:lineRule="atLeast"/>
        <w:ind w:left="1418" w:hanging="851"/>
        <w:rPr>
          <w:noProof/>
          <w:lang w:val="en-US"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10.</w:t>
      </w:r>
      <w:r w:rsidRPr="004F47BB">
        <w:rPr>
          <w:noProof/>
          <w:lang w:val="en-GB" w:eastAsia="en-US"/>
        </w:rPr>
        <w:tab/>
        <w:t>In respect of vessels with Union inland navigation certificate allowed to navigate on the Rhine, i.e.</w:t>
      </w:r>
    </w:p>
    <w:p w:rsidR="004F47BB" w:rsidRPr="004F47BB" w:rsidRDefault="004F47BB" w:rsidP="004F47BB">
      <w:pPr>
        <w:tabs>
          <w:tab w:val="left" w:pos="1843"/>
        </w:tabs>
        <w:autoSpaceDE/>
        <w:autoSpaceDN/>
        <w:spacing w:before="60" w:line="240" w:lineRule="atLeast"/>
        <w:ind w:left="1843"/>
        <w:rPr>
          <w:noProof/>
          <w:lang w:val="en-GB" w:eastAsia="en-US"/>
        </w:rPr>
      </w:pPr>
      <w:r w:rsidRPr="004F47BB">
        <w:rPr>
          <w:noProof/>
          <w:lang w:val="en-GB" w:eastAsia="en-US"/>
        </w:rPr>
        <w:t>a)</w:t>
      </w:r>
      <w:r w:rsidRPr="004F47BB">
        <w:rPr>
          <w:noProof/>
          <w:lang w:val="en-GB" w:eastAsia="en-US"/>
        </w:rPr>
        <w:tab/>
        <w:t>those which comply fully with requirements of this Standard including the transitional provisions o</w:t>
      </w:r>
      <w:r w:rsidR="00D30C93">
        <w:rPr>
          <w:noProof/>
          <w:lang w:val="en-GB" w:eastAsia="en-US"/>
        </w:rPr>
        <w:t>f</w:t>
      </w:r>
      <w:r w:rsidRPr="004F47BB">
        <w:rPr>
          <w:noProof/>
          <w:lang w:val="en-GB" w:eastAsia="en-US"/>
        </w:rPr>
        <w:t xml:space="preserve"> Chapter 32, and</w:t>
      </w:r>
    </w:p>
    <w:p w:rsidR="004F47BB" w:rsidRPr="004F47BB" w:rsidRDefault="004F47BB" w:rsidP="004F47BB">
      <w:pPr>
        <w:tabs>
          <w:tab w:val="left" w:pos="1843"/>
        </w:tabs>
        <w:autoSpaceDE/>
        <w:autoSpaceDN/>
        <w:spacing w:before="60" w:line="240" w:lineRule="atLeast"/>
        <w:ind w:left="1843"/>
        <w:rPr>
          <w:noProof/>
          <w:lang w:val="en-GB" w:eastAsia="en-US"/>
        </w:rPr>
      </w:pPr>
      <w:r w:rsidRPr="004F47BB">
        <w:rPr>
          <w:noProof/>
          <w:lang w:val="en-GB" w:eastAsia="en-US"/>
        </w:rPr>
        <w:t>b)</w:t>
      </w:r>
      <w:r w:rsidRPr="004F47BB">
        <w:rPr>
          <w:noProof/>
          <w:lang w:val="en-GB" w:eastAsia="en-US"/>
        </w:rPr>
        <w:tab/>
        <w:t>those which make no use of the transitional provisions of Chapter 33 or the reductions provided for zone 4,</w:t>
      </w:r>
    </w:p>
    <w:p w:rsidR="004F47BB" w:rsidRPr="004F47BB" w:rsidRDefault="004F47BB" w:rsidP="004F47BB">
      <w:pPr>
        <w:tabs>
          <w:tab w:val="left" w:pos="1843"/>
        </w:tabs>
        <w:autoSpaceDE/>
        <w:autoSpaceDN/>
        <w:spacing w:before="60" w:line="240" w:lineRule="atLeast"/>
        <w:ind w:left="1843"/>
        <w:rPr>
          <w:noProof/>
          <w:lang w:val="en-GB" w:eastAsia="en-US"/>
        </w:rPr>
      </w:pPr>
      <w:r w:rsidRPr="004F47BB">
        <w:rPr>
          <w:noProof/>
          <w:lang w:val="en-GB" w:eastAsia="en-US"/>
        </w:rPr>
        <w:t>the following is to be added to the indent '- on EU waterways in zone(s)':</w:t>
      </w:r>
    </w:p>
    <w:p w:rsidR="004F47BB" w:rsidRPr="004F47BB" w:rsidRDefault="004F47BB" w:rsidP="004F47BB">
      <w:pPr>
        <w:tabs>
          <w:tab w:val="left" w:pos="1843"/>
        </w:tabs>
        <w:autoSpaceDE/>
        <w:autoSpaceDN/>
        <w:spacing w:before="60" w:line="240" w:lineRule="atLeast"/>
        <w:ind w:left="1843"/>
        <w:rPr>
          <w:noProof/>
          <w:lang w:val="en-GB" w:eastAsia="en-US"/>
        </w:rPr>
      </w:pPr>
      <w:r w:rsidRPr="004F47BB">
        <w:rPr>
          <w:noProof/>
          <w:lang w:val="en-GB" w:eastAsia="en-US"/>
        </w:rPr>
        <w:t>a)</w:t>
      </w:r>
      <w:r w:rsidRPr="004F47BB">
        <w:rPr>
          <w:noProof/>
          <w:lang w:val="en-GB" w:eastAsia="en-US"/>
        </w:rPr>
        <w:tab/>
        <w:t xml:space="preserve">Rhine or </w:t>
      </w:r>
    </w:p>
    <w:p w:rsidR="004F47BB" w:rsidRPr="004F47BB" w:rsidRDefault="004F47BB" w:rsidP="004F47BB">
      <w:pPr>
        <w:tabs>
          <w:tab w:val="left" w:pos="1843"/>
        </w:tabs>
        <w:autoSpaceDE/>
        <w:autoSpaceDN/>
        <w:spacing w:before="60" w:line="240" w:lineRule="atLeast"/>
        <w:ind w:left="1843"/>
        <w:rPr>
          <w:noProof/>
          <w:lang w:val="en-GB" w:eastAsia="en-US"/>
        </w:rPr>
      </w:pPr>
      <w:r w:rsidRPr="004F47BB">
        <w:rPr>
          <w:noProof/>
          <w:lang w:val="en-GB" w:eastAsia="en-US"/>
        </w:rPr>
        <w:t>b)</w:t>
      </w:r>
      <w:r w:rsidRPr="004F47BB">
        <w:rPr>
          <w:noProof/>
          <w:lang w:val="en-GB" w:eastAsia="en-US"/>
        </w:rPr>
        <w:tab/>
        <w:t>zone R.</w:t>
      </w:r>
    </w:p>
    <w:p w:rsidR="004F47BB" w:rsidRPr="004F47BB" w:rsidRDefault="004F47BB" w:rsidP="004F47BB">
      <w:pPr>
        <w:tabs>
          <w:tab w:val="left" w:pos="1843"/>
        </w:tabs>
        <w:autoSpaceDE/>
        <w:autoSpaceDN/>
        <w:spacing w:line="240" w:lineRule="atLeast"/>
        <w:ind w:left="1843"/>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lang w:val="en-US"/>
        </w:rPr>
      </w:pPr>
      <w:r w:rsidRPr="004F47BB">
        <w:rPr>
          <w:lang w:val="en-US"/>
        </w:rPr>
        <w:t>12.</w:t>
      </w:r>
      <w:r w:rsidRPr="004F47BB">
        <w:rPr>
          <w:lang w:val="en-US"/>
        </w:rPr>
        <w:tab/>
        <w:t>When inland navigation vessel certificate is extended the wording “official number” shall be deleted, and in case of amendment, the wording “12. Unique European vessel identification number” as well as that number shall be entered.</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15.</w:t>
      </w:r>
      <w:r w:rsidRPr="004F47BB">
        <w:rPr>
          <w:noProof/>
          <w:lang w:val="en-GB" w:eastAsia="en-US"/>
        </w:rPr>
        <w:tab/>
        <w:t>This section shall only be completed for craft for which at least one of the properties 1.1 or 1.2 or 3 in item 14 is not deleted, otherwise the entire table shall be deleted.</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15.1</w:t>
      </w:r>
      <w:r w:rsidRPr="004F47BB">
        <w:rPr>
          <w:noProof/>
          <w:lang w:val="en-GB" w:eastAsia="en-US"/>
        </w:rPr>
        <w:tab/>
        <w:t>In the column ‘formation figure’ of the table the number(s) of the formations depicted shall be entered. Lines without entry shall be struck through.</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1418"/>
        </w:tabs>
        <w:autoSpaceDE/>
        <w:autoSpaceDN/>
        <w:spacing w:line="240" w:lineRule="atLeast"/>
        <w:ind w:left="1418" w:firstLine="0"/>
        <w:rPr>
          <w:noProof/>
          <w:lang w:val="en-GB" w:eastAsia="en-US"/>
        </w:rPr>
      </w:pPr>
      <w:r w:rsidRPr="004F47BB">
        <w:rPr>
          <w:noProof/>
          <w:lang w:val="en-GB" w:eastAsia="en-US"/>
        </w:rPr>
        <w:t>Further formations may be drawn under ‘Other formations’ and shall be designated 18, 19, 20, etc.</w:t>
      </w:r>
    </w:p>
    <w:p w:rsidR="004F47BB" w:rsidRPr="004F47BB" w:rsidRDefault="004F47BB" w:rsidP="004F47BB">
      <w:pPr>
        <w:tabs>
          <w:tab w:val="left" w:pos="1418"/>
        </w:tabs>
        <w:autoSpaceDE/>
        <w:autoSpaceDN/>
        <w:spacing w:line="240" w:lineRule="atLeast"/>
        <w:ind w:left="1418" w:firstLine="0"/>
        <w:rPr>
          <w:noProof/>
          <w:lang w:val="en-GB" w:eastAsia="en-US"/>
        </w:rPr>
      </w:pPr>
    </w:p>
    <w:p w:rsidR="004F47BB" w:rsidRPr="004F47BB" w:rsidRDefault="004F47BB" w:rsidP="004F47BB">
      <w:pPr>
        <w:tabs>
          <w:tab w:val="left" w:pos="1418"/>
        </w:tabs>
        <w:autoSpaceDE/>
        <w:autoSpaceDN/>
        <w:spacing w:line="240" w:lineRule="atLeast"/>
        <w:ind w:left="1418" w:firstLine="0"/>
        <w:rPr>
          <w:noProof/>
          <w:lang w:val="en-GB" w:eastAsia="en-US"/>
        </w:rPr>
      </w:pPr>
      <w:r w:rsidRPr="004F47BB">
        <w:rPr>
          <w:noProof/>
          <w:lang w:val="en-GB" w:eastAsia="en-US"/>
        </w:rPr>
        <w:t>If it is not apparent from the property ‘fit to push’ in the previous ship certificate which formations are authorised, the entry from the previous inland navigation vessel certificate may be transferred to item 52. ‘See item 52’ shall be entered in line 1 of the table ‘Authorised formations’.</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15.2</w:t>
      </w:r>
      <w:r w:rsidRPr="004F47BB">
        <w:rPr>
          <w:noProof/>
          <w:lang w:val="en-GB" w:eastAsia="en-US"/>
        </w:rPr>
        <w:tab/>
        <w:t>Couplings</w:t>
      </w:r>
    </w:p>
    <w:p w:rsidR="004F47BB" w:rsidRPr="004F47BB" w:rsidRDefault="004F47BB" w:rsidP="004F47BB">
      <w:pPr>
        <w:tabs>
          <w:tab w:val="left" w:pos="1418"/>
        </w:tabs>
        <w:autoSpaceDE/>
        <w:autoSpaceDN/>
        <w:spacing w:line="240" w:lineRule="atLeast"/>
        <w:ind w:left="1418" w:firstLine="0"/>
        <w:rPr>
          <w:noProof/>
          <w:lang w:val="en-US" w:eastAsia="en-US"/>
        </w:rPr>
      </w:pPr>
    </w:p>
    <w:p w:rsidR="004F47BB" w:rsidRPr="004F47BB" w:rsidRDefault="004F47BB" w:rsidP="004F47BB">
      <w:pPr>
        <w:tabs>
          <w:tab w:val="left" w:pos="1418"/>
        </w:tabs>
        <w:autoSpaceDE/>
        <w:autoSpaceDN/>
        <w:spacing w:line="240" w:lineRule="atLeast"/>
        <w:ind w:left="1418" w:firstLine="0"/>
        <w:rPr>
          <w:noProof/>
          <w:lang w:val="en-US" w:eastAsia="en-US"/>
        </w:rPr>
      </w:pPr>
      <w:r w:rsidRPr="004F47BB">
        <w:rPr>
          <w:noProof/>
          <w:lang w:val="en-US" w:eastAsia="en-US"/>
        </w:rPr>
        <w:t>Only the details of the coupling between the pushing craft and the pushed section of the convoy shall be entered.</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17-20.</w:t>
      </w:r>
      <w:r w:rsidRPr="004F47BB">
        <w:rPr>
          <w:noProof/>
          <w:lang w:val="en-GB" w:eastAsia="en-US"/>
        </w:rPr>
        <w:tab/>
        <w:t xml:space="preserve">Details according to the tonnage certificate items 17-19 to two decimal places and item 20 without decimal places. Length overall and breadth overall give the maximum dimensions of the craft, including all projecting fixed parts. Length </w:t>
      </w:r>
      <m:oMath>
        <m:r>
          <w:rPr>
            <w:rFonts w:ascii="Cambria Math" w:hAnsi="Cambria Math"/>
            <w:noProof/>
            <w:lang w:val="en-GB" w:eastAsia="en-US"/>
          </w:rPr>
          <m:t>L</m:t>
        </m:r>
      </m:oMath>
      <w:r w:rsidRPr="004F47BB">
        <w:rPr>
          <w:noProof/>
          <w:lang w:val="en-GB" w:eastAsia="en-US"/>
        </w:rPr>
        <w:t xml:space="preserve"> and Breadth </w:t>
      </w:r>
      <m:oMath>
        <m:r>
          <w:rPr>
            <w:rFonts w:ascii="Cambria Math" w:hAnsi="Cambria Math"/>
            <w:noProof/>
            <w:lang w:val="en-GB" w:eastAsia="en-US"/>
          </w:rPr>
          <m:t>B</m:t>
        </m:r>
      </m:oMath>
      <w:r w:rsidRPr="004F47BB">
        <w:rPr>
          <w:noProof/>
          <w:lang w:val="en-GB" w:eastAsia="en-US"/>
        </w:rPr>
        <w:t xml:space="preserve"> give the maximum hull dimensions (see also Article 1.01 Definitions).</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br w:type="page"/>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lastRenderedPageBreak/>
        <w:t>21.</w:t>
      </w:r>
      <w:r w:rsidRPr="004F47BB">
        <w:rPr>
          <w:noProof/>
          <w:lang w:val="en-GB" w:eastAsia="en-US"/>
        </w:rPr>
        <w:tab/>
        <w:t>Dead weight tonnage for cargo vessels in t according to the measurement certificate for the maximum draught according to item 19.</w:t>
      </w:r>
    </w:p>
    <w:p w:rsidR="004F47BB" w:rsidRPr="004F47BB" w:rsidRDefault="004F47BB" w:rsidP="004F47BB">
      <w:pPr>
        <w:tabs>
          <w:tab w:val="left" w:pos="1418"/>
        </w:tabs>
        <w:autoSpaceDE/>
        <w:autoSpaceDN/>
        <w:spacing w:line="240" w:lineRule="atLeast"/>
        <w:ind w:left="1418" w:firstLine="0"/>
        <w:rPr>
          <w:noProof/>
          <w:lang w:val="en-GB" w:eastAsia="en-US"/>
        </w:rPr>
      </w:pPr>
    </w:p>
    <w:p w:rsidR="004F47BB" w:rsidRPr="004F47BB" w:rsidRDefault="004F47BB" w:rsidP="004F47BB">
      <w:pPr>
        <w:tabs>
          <w:tab w:val="left" w:pos="1418"/>
        </w:tabs>
        <w:autoSpaceDE/>
        <w:autoSpaceDN/>
        <w:spacing w:line="240" w:lineRule="atLeast"/>
        <w:ind w:left="1418" w:firstLine="0"/>
        <w:rPr>
          <w:noProof/>
          <w:lang w:val="en-GB" w:eastAsia="en-US"/>
        </w:rPr>
      </w:pPr>
      <w:r w:rsidRPr="004F47BB">
        <w:rPr>
          <w:noProof/>
          <w:lang w:val="en-GB" w:eastAsia="en-US"/>
        </w:rPr>
        <w:t>Displacement for all other craft in m</w:t>
      </w:r>
      <w:r w:rsidRPr="004F47BB">
        <w:rPr>
          <w:noProof/>
          <w:vertAlign w:val="superscript"/>
          <w:lang w:val="en-GB" w:eastAsia="en-US"/>
        </w:rPr>
        <w:t>3</w:t>
      </w:r>
      <w:r w:rsidRPr="004F47BB">
        <w:rPr>
          <w:noProof/>
          <w:lang w:val="en-GB" w:eastAsia="en-US"/>
        </w:rPr>
        <w:t xml:space="preserve">. If no measurement certificate is available, calculate the displacement from the product of the block coefficient and length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L</m:t>
            </m:r>
          </m:e>
          <m:sub>
            <m:r>
              <w:rPr>
                <w:rFonts w:ascii="Cambria Math" w:hAnsi="Cambria Math" w:cs="Arial"/>
                <w:noProof/>
                <w:sz w:val="18"/>
                <w:szCs w:val="18"/>
                <w:lang w:val="en-US"/>
              </w:rPr>
              <m:t>WL</m:t>
            </m:r>
          </m:sub>
        </m:sSub>
      </m:oMath>
      <w:r w:rsidRPr="004F47BB">
        <w:rPr>
          <w:noProof/>
          <w:lang w:val="en-GB" w:eastAsia="en-US"/>
        </w:rPr>
        <w:t xml:space="preserve">, breadth </w:t>
      </w:r>
      <m:oMath>
        <m:sSub>
          <m:sSubPr>
            <m:ctrlPr>
              <w:rPr>
                <w:rFonts w:ascii="Cambria Math" w:hAnsi="Cambria Math" w:cs="Arial"/>
                <w:i/>
                <w:noProof/>
                <w:sz w:val="18"/>
                <w:szCs w:val="18"/>
                <w:lang w:val="en-US"/>
              </w:rPr>
            </m:ctrlPr>
          </m:sSubPr>
          <m:e>
            <m:r>
              <w:rPr>
                <w:rFonts w:ascii="Cambria Math" w:hAnsi="Cambria Math" w:cs="Arial"/>
                <w:noProof/>
                <w:sz w:val="18"/>
                <w:szCs w:val="18"/>
                <w:lang w:val="en-US"/>
              </w:rPr>
              <m:t>B</m:t>
            </m:r>
          </m:e>
          <m:sub>
            <m:r>
              <w:rPr>
                <w:rFonts w:ascii="Cambria Math" w:hAnsi="Cambria Math" w:cs="Arial"/>
                <w:noProof/>
                <w:sz w:val="18"/>
                <w:szCs w:val="18"/>
                <w:lang w:val="en-US"/>
              </w:rPr>
              <m:t>WL</m:t>
            </m:r>
          </m:sub>
        </m:sSub>
      </m:oMath>
      <w:r w:rsidRPr="004F47BB">
        <w:rPr>
          <w:rFonts w:cs="Arial"/>
          <w:noProof/>
          <w:szCs w:val="20"/>
          <w:lang w:val="en-US"/>
        </w:rPr>
        <w:t xml:space="preserve"> </w:t>
      </w:r>
      <w:r w:rsidRPr="004F47BB">
        <w:rPr>
          <w:noProof/>
          <w:lang w:val="en-GB" w:eastAsia="en-US"/>
        </w:rPr>
        <w:t>and mean draught at maximum immersion.</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23.</w:t>
      </w:r>
      <w:r w:rsidRPr="004F47BB">
        <w:rPr>
          <w:noProof/>
          <w:lang w:val="en-GB" w:eastAsia="en-US"/>
        </w:rPr>
        <w:tab/>
        <w:t>Number of passenger berths available (including folding beds and similar).</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24.</w:t>
      </w:r>
      <w:r w:rsidRPr="004F47BB">
        <w:rPr>
          <w:noProof/>
          <w:lang w:val="en-GB" w:eastAsia="en-US"/>
        </w:rPr>
        <w:tab/>
        <w:t>Only watertight transverse bulkheads extending from one side of the vessel to the other shall be taken into consideration.</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26.</w:t>
      </w:r>
      <w:r w:rsidRPr="004F47BB">
        <w:rPr>
          <w:noProof/>
          <w:lang w:val="en-GB" w:eastAsia="en-US"/>
        </w:rPr>
        <w:tab/>
        <w:t>If applicable, the following terms shall be used:</w:t>
      </w:r>
    </w:p>
    <w:p w:rsidR="004F47BB" w:rsidRPr="004F47BB" w:rsidRDefault="004F47BB" w:rsidP="004F47BB">
      <w:pPr>
        <w:tabs>
          <w:tab w:val="left" w:pos="1843"/>
        </w:tabs>
        <w:spacing w:before="60" w:line="240" w:lineRule="atLeast"/>
        <w:ind w:left="1843"/>
        <w:rPr>
          <w:noProof/>
          <w:lang w:val="en-GB" w:eastAsia="de-DE"/>
        </w:rPr>
      </w:pPr>
      <w:r w:rsidRPr="004F47BB">
        <w:rPr>
          <w:lang w:val="en-GB" w:eastAsia="de-DE"/>
        </w:rPr>
        <w:t>-</w:t>
      </w:r>
      <w:r w:rsidRPr="004F47BB">
        <w:rPr>
          <w:lang w:val="en-GB" w:eastAsia="de-DE"/>
        </w:rPr>
        <w:tab/>
      </w:r>
      <w:r w:rsidRPr="004F47BB">
        <w:rPr>
          <w:noProof/>
          <w:lang w:val="en-GB" w:eastAsia="de-DE"/>
        </w:rPr>
        <w:t>manually operated hatch covers,</w:t>
      </w:r>
    </w:p>
    <w:p w:rsidR="004F47BB" w:rsidRPr="004F47BB" w:rsidRDefault="004F47BB" w:rsidP="004F47BB">
      <w:pPr>
        <w:tabs>
          <w:tab w:val="left" w:pos="1843"/>
        </w:tabs>
        <w:spacing w:before="60" w:line="240" w:lineRule="atLeast"/>
        <w:ind w:left="1843"/>
        <w:rPr>
          <w:noProof/>
          <w:lang w:val="en-GB" w:eastAsia="de-DE"/>
        </w:rPr>
      </w:pPr>
      <w:r w:rsidRPr="004F47BB">
        <w:rPr>
          <w:lang w:val="en-GB" w:eastAsia="de-DE"/>
        </w:rPr>
        <w:t>-</w:t>
      </w:r>
      <w:r w:rsidRPr="004F47BB">
        <w:rPr>
          <w:lang w:val="en-GB" w:eastAsia="de-DE"/>
        </w:rPr>
        <w:tab/>
      </w:r>
      <w:r w:rsidRPr="004F47BB">
        <w:rPr>
          <w:noProof/>
          <w:lang w:val="en-GB" w:eastAsia="de-DE"/>
        </w:rPr>
        <w:t>manually operated rolling hatch covers,</w:t>
      </w:r>
    </w:p>
    <w:p w:rsidR="004F47BB" w:rsidRPr="004F47BB" w:rsidRDefault="004F47BB" w:rsidP="004F47BB">
      <w:pPr>
        <w:tabs>
          <w:tab w:val="left" w:pos="1843"/>
        </w:tabs>
        <w:spacing w:before="60" w:line="240" w:lineRule="atLeast"/>
        <w:ind w:left="1843"/>
        <w:rPr>
          <w:noProof/>
          <w:lang w:val="en-GB" w:eastAsia="de-DE"/>
        </w:rPr>
      </w:pPr>
      <w:r w:rsidRPr="004F47BB">
        <w:rPr>
          <w:lang w:val="en-GB" w:eastAsia="de-DE"/>
        </w:rPr>
        <w:t>-</w:t>
      </w:r>
      <w:r w:rsidRPr="004F47BB">
        <w:rPr>
          <w:lang w:val="en-GB" w:eastAsia="de-DE"/>
        </w:rPr>
        <w:tab/>
      </w:r>
      <w:r w:rsidRPr="004F47BB">
        <w:rPr>
          <w:noProof/>
          <w:lang w:val="en-GB" w:eastAsia="de-DE"/>
        </w:rPr>
        <w:t>manually operated sliding hatch covers,</w:t>
      </w:r>
    </w:p>
    <w:p w:rsidR="004F47BB" w:rsidRPr="004F47BB" w:rsidRDefault="004F47BB" w:rsidP="004F47BB">
      <w:pPr>
        <w:tabs>
          <w:tab w:val="left" w:pos="1843"/>
        </w:tabs>
        <w:spacing w:before="60" w:line="240" w:lineRule="atLeast"/>
        <w:ind w:left="1843"/>
        <w:rPr>
          <w:noProof/>
          <w:lang w:val="en-GB" w:eastAsia="de-DE"/>
        </w:rPr>
      </w:pPr>
      <w:r w:rsidRPr="004F47BB">
        <w:rPr>
          <w:lang w:val="en-GB" w:eastAsia="de-DE"/>
        </w:rPr>
        <w:t>-</w:t>
      </w:r>
      <w:r w:rsidRPr="004F47BB">
        <w:rPr>
          <w:lang w:val="en-GB" w:eastAsia="de-DE"/>
        </w:rPr>
        <w:tab/>
      </w:r>
      <w:r w:rsidRPr="004F47BB">
        <w:rPr>
          <w:noProof/>
          <w:lang w:val="en-GB" w:eastAsia="de-DE"/>
        </w:rPr>
        <w:t>mechanically operated sliding hatch covers,</w:t>
      </w:r>
    </w:p>
    <w:p w:rsidR="004F47BB" w:rsidRPr="004F47BB" w:rsidRDefault="004F47BB" w:rsidP="004F47BB">
      <w:pPr>
        <w:tabs>
          <w:tab w:val="left" w:pos="1843"/>
        </w:tabs>
        <w:spacing w:before="60" w:line="240" w:lineRule="atLeast"/>
        <w:ind w:left="1843"/>
        <w:rPr>
          <w:noProof/>
          <w:lang w:val="en-GB" w:eastAsia="de-DE"/>
        </w:rPr>
      </w:pPr>
      <w:r w:rsidRPr="004F47BB">
        <w:rPr>
          <w:lang w:val="en-GB" w:eastAsia="de-DE"/>
        </w:rPr>
        <w:t>-</w:t>
      </w:r>
      <w:r w:rsidRPr="004F47BB">
        <w:rPr>
          <w:lang w:val="en-GB" w:eastAsia="de-DE"/>
        </w:rPr>
        <w:tab/>
      </w:r>
      <w:r w:rsidRPr="004F47BB">
        <w:rPr>
          <w:noProof/>
          <w:lang w:val="en-GB" w:eastAsia="de-DE"/>
        </w:rPr>
        <w:t>mechanically operated hatch covers.</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1418"/>
        </w:tabs>
        <w:autoSpaceDE/>
        <w:autoSpaceDN/>
        <w:spacing w:line="240" w:lineRule="atLeast"/>
        <w:ind w:left="1418" w:firstLine="0"/>
        <w:rPr>
          <w:noProof/>
          <w:lang w:val="en-GB" w:eastAsia="en-US"/>
        </w:rPr>
      </w:pPr>
      <w:r w:rsidRPr="004F47BB">
        <w:rPr>
          <w:noProof/>
          <w:lang w:val="en-GB" w:eastAsia="en-US"/>
        </w:rPr>
        <w:t>Other types of hatch covers shall be entered with their commonly accepted designation.</w:t>
      </w:r>
    </w:p>
    <w:p w:rsidR="004F47BB" w:rsidRPr="004F47BB" w:rsidRDefault="004F47BB" w:rsidP="004F47BB">
      <w:pPr>
        <w:tabs>
          <w:tab w:val="left" w:pos="1418"/>
        </w:tabs>
        <w:autoSpaceDE/>
        <w:autoSpaceDN/>
        <w:spacing w:line="240" w:lineRule="atLeast"/>
        <w:ind w:left="1418" w:firstLine="0"/>
        <w:rPr>
          <w:noProof/>
          <w:lang w:val="en-GB" w:eastAsia="en-US"/>
        </w:rPr>
      </w:pPr>
    </w:p>
    <w:p w:rsidR="004F47BB" w:rsidRPr="004F47BB" w:rsidRDefault="004F47BB" w:rsidP="004F47BB">
      <w:pPr>
        <w:tabs>
          <w:tab w:val="left" w:pos="1418"/>
        </w:tabs>
        <w:autoSpaceDE/>
        <w:autoSpaceDN/>
        <w:spacing w:line="240" w:lineRule="atLeast"/>
        <w:ind w:left="1418" w:firstLine="0"/>
        <w:rPr>
          <w:noProof/>
          <w:lang w:val="en-GB" w:eastAsia="en-US"/>
        </w:rPr>
      </w:pPr>
      <w:r w:rsidRPr="004F47BB">
        <w:rPr>
          <w:noProof/>
          <w:lang w:val="en-GB" w:eastAsia="en-US"/>
        </w:rPr>
        <w:t>Any holds which do not have a hatch cover shall be listed, e.g. under item 52.</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28.</w:t>
      </w:r>
      <w:r w:rsidRPr="004F47BB">
        <w:rPr>
          <w:noProof/>
          <w:lang w:val="en-GB" w:eastAsia="en-US"/>
        </w:rPr>
        <w:tab/>
        <w:t>Figure without decimal place.</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 xml:space="preserve">30, 31 </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and 33.</w:t>
      </w:r>
      <w:r w:rsidRPr="004F47BB">
        <w:rPr>
          <w:noProof/>
          <w:lang w:val="en-GB" w:eastAsia="en-US"/>
        </w:rPr>
        <w:tab/>
        <w:t>Every winch housing shall be counted as one winch, regardless of the number of anchors or towing cables connected to it.</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34.</w:t>
      </w:r>
      <w:r w:rsidRPr="004F47BB">
        <w:rPr>
          <w:noProof/>
          <w:lang w:val="en-GB" w:eastAsia="en-US"/>
        </w:rPr>
        <w:tab/>
        <w:t>Under ‘Other installations’ systems which do not use rudder blades (e.g. rudder-propeller, cycloidal-propeller, bow-thruster systems) shall be entered.</w:t>
      </w:r>
    </w:p>
    <w:p w:rsidR="004F47BB" w:rsidRPr="004F47BB" w:rsidRDefault="004F47BB" w:rsidP="004F47BB">
      <w:pPr>
        <w:tabs>
          <w:tab w:val="left" w:pos="1418"/>
        </w:tabs>
        <w:autoSpaceDE/>
        <w:autoSpaceDN/>
        <w:spacing w:line="240" w:lineRule="atLeast"/>
        <w:ind w:left="1418" w:firstLine="0"/>
        <w:rPr>
          <w:noProof/>
          <w:lang w:val="en-GB" w:eastAsia="en-US"/>
        </w:rPr>
      </w:pPr>
      <w:r w:rsidRPr="004F47BB">
        <w:rPr>
          <w:noProof/>
          <w:lang w:val="en-GB" w:eastAsia="en-US"/>
        </w:rPr>
        <w:t>Enter also any electrical auxiliary engines for manual actuation.</w:t>
      </w:r>
    </w:p>
    <w:p w:rsidR="004F47BB" w:rsidRPr="004F47BB" w:rsidRDefault="004F47BB" w:rsidP="004F47BB">
      <w:pPr>
        <w:tabs>
          <w:tab w:val="left" w:pos="1418"/>
        </w:tabs>
        <w:autoSpaceDE/>
        <w:autoSpaceDN/>
        <w:spacing w:line="240" w:lineRule="atLeast"/>
        <w:ind w:left="1418" w:firstLine="0"/>
        <w:rPr>
          <w:noProof/>
          <w:lang w:val="en-GB" w:eastAsia="en-US"/>
        </w:rPr>
      </w:pPr>
      <w:r w:rsidRPr="004F47BB">
        <w:rPr>
          <w:noProof/>
          <w:lang w:val="en-GB" w:eastAsia="en-US"/>
        </w:rPr>
        <w:t>With bow-thruster systems, ‘remotely-controlled’ refers only to remote controls operated from the steering position in the wheelhouse.</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US" w:eastAsia="en-US"/>
        </w:rPr>
      </w:pPr>
      <w:r w:rsidRPr="004F47BB">
        <w:rPr>
          <w:noProof/>
          <w:lang w:val="en-GB" w:eastAsia="en-US"/>
        </w:rPr>
        <w:t>35.</w:t>
      </w:r>
      <w:r w:rsidRPr="004F47BB">
        <w:rPr>
          <w:noProof/>
          <w:lang w:val="en-GB" w:eastAsia="en-US"/>
        </w:rPr>
        <w:tab/>
        <w:t xml:space="preserve">Only the theoretical values according to Article 8.08(2) and (3), Article 19.01(1)(c), and Article 19.08(5) shall be entered. For craft whose keels were laid on or before 1.4.1976, the first section is only to be completed in the event of the bilge pumps being replaced and in the event of the inland navigation vessel certificate being extended after 1.1.2015. </w:t>
      </w:r>
      <w:r w:rsidRPr="004F47BB">
        <w:rPr>
          <w:noProof/>
          <w:lang w:val="en-US" w:eastAsia="en-US"/>
        </w:rPr>
        <w:t>For craft whose keels were laid down on or before 31.12.1984 and only operated outside zone R, the section can be left void.</w:t>
      </w:r>
    </w:p>
    <w:p w:rsidR="004F47BB" w:rsidRPr="004F47BB" w:rsidRDefault="004F47BB" w:rsidP="004F47BB">
      <w:pPr>
        <w:tabs>
          <w:tab w:val="left" w:pos="567"/>
          <w:tab w:val="left" w:pos="1418"/>
        </w:tabs>
        <w:autoSpaceDE/>
        <w:autoSpaceDN/>
        <w:spacing w:line="240" w:lineRule="atLeast"/>
        <w:ind w:left="1418" w:hanging="851"/>
        <w:rPr>
          <w:noProof/>
          <w:lang w:val="en-US"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36.</w:t>
      </w:r>
      <w:r w:rsidRPr="004F47BB">
        <w:rPr>
          <w:noProof/>
          <w:lang w:val="en-GB" w:eastAsia="en-US"/>
        </w:rPr>
        <w:tab/>
        <w:t>A sketch may be necessary for clarification.</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37.</w:t>
      </w:r>
      <w:r w:rsidRPr="004F47BB">
        <w:rPr>
          <w:noProof/>
          <w:lang w:val="en-GB" w:eastAsia="en-US"/>
        </w:rPr>
        <w:tab/>
        <w:t>Only the theoretical values without reduction according to Article 13.01(1) to (4) shall be entered.</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br w:type="page"/>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lastRenderedPageBreak/>
        <w:t>38.</w:t>
      </w:r>
      <w:r w:rsidRPr="004F47BB">
        <w:rPr>
          <w:noProof/>
          <w:lang w:val="en-GB" w:eastAsia="en-US"/>
        </w:rPr>
        <w:tab/>
        <w:t>Only the minimum lengths according to Article 13.01(10) and the minimum breaking load according to Article 13.01(11) shall be entered.</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 xml:space="preserve">39. </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and 40.</w:t>
      </w:r>
      <w:r w:rsidRPr="004F47BB">
        <w:rPr>
          <w:noProof/>
          <w:lang w:val="en-GB" w:eastAsia="en-US"/>
        </w:rPr>
        <w:tab/>
        <w:t>Only the minimum lengths and minimum breaking load values recalculated according to Article 13.02(3) shall be entered.</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42.</w:t>
      </w:r>
      <w:r w:rsidRPr="004F47BB">
        <w:rPr>
          <w:noProof/>
          <w:lang w:val="en-GB" w:eastAsia="en-US"/>
        </w:rPr>
        <w:tab/>
        <w:t>The inspection body may add items to the list of necessary equipment. These shall be justified as essential to ship safety for the respective vessel type or its operational area. Additions shall be entered under item 52.</w:t>
      </w:r>
    </w:p>
    <w:p w:rsidR="004F47BB" w:rsidRPr="004F47BB" w:rsidRDefault="004F47BB" w:rsidP="004F47BB">
      <w:pPr>
        <w:tabs>
          <w:tab w:val="left" w:pos="1418"/>
        </w:tabs>
        <w:autoSpaceDE/>
        <w:autoSpaceDN/>
        <w:spacing w:line="240" w:lineRule="atLeast"/>
        <w:ind w:left="1418" w:firstLine="0"/>
        <w:rPr>
          <w:noProof/>
          <w:lang w:val="en-GB" w:eastAsia="en-US"/>
        </w:rPr>
      </w:pPr>
    </w:p>
    <w:p w:rsidR="004F47BB" w:rsidRPr="004F47BB" w:rsidRDefault="004F47BB" w:rsidP="004F47BB">
      <w:pPr>
        <w:tabs>
          <w:tab w:val="left" w:pos="1418"/>
        </w:tabs>
        <w:autoSpaceDE/>
        <w:autoSpaceDN/>
        <w:spacing w:line="240" w:lineRule="atLeast"/>
        <w:ind w:left="1418" w:firstLine="0"/>
        <w:rPr>
          <w:noProof/>
          <w:lang w:val="en-GB" w:eastAsia="en-US"/>
        </w:rPr>
      </w:pPr>
      <w:r w:rsidRPr="004F47BB">
        <w:rPr>
          <w:noProof/>
          <w:lang w:val="en-GB" w:eastAsia="en-US"/>
        </w:rPr>
        <w:t>Left column, row 3 to 5: for passenger vessels the first mentioned item shall be crossed out and for all other vessels the second mentioned item shall be crossed out. The length of the gangway shall be entered if the inspection body has allowed a shorter length than what is foreseen by Article 13.02(3)(d) or by Article 19.06(12).</w:t>
      </w:r>
    </w:p>
    <w:p w:rsidR="004F47BB" w:rsidRPr="004F47BB" w:rsidRDefault="004F47BB" w:rsidP="004F47BB">
      <w:pPr>
        <w:tabs>
          <w:tab w:val="left" w:pos="1418"/>
        </w:tabs>
        <w:autoSpaceDE/>
        <w:autoSpaceDN/>
        <w:spacing w:line="240" w:lineRule="atLeast"/>
        <w:ind w:left="1418" w:firstLine="0"/>
        <w:rPr>
          <w:noProof/>
          <w:lang w:val="en-GB" w:eastAsia="en-US"/>
        </w:rPr>
      </w:pPr>
    </w:p>
    <w:p w:rsidR="004F47BB" w:rsidRPr="004F47BB" w:rsidRDefault="004F47BB" w:rsidP="004F47BB">
      <w:pPr>
        <w:tabs>
          <w:tab w:val="left" w:pos="1418"/>
        </w:tabs>
        <w:autoSpaceDE/>
        <w:autoSpaceDN/>
        <w:spacing w:line="240" w:lineRule="atLeast"/>
        <w:ind w:left="1418" w:firstLine="0"/>
        <w:rPr>
          <w:noProof/>
          <w:lang w:val="en-GB" w:eastAsia="en-US"/>
        </w:rPr>
      </w:pPr>
      <w:r w:rsidRPr="004F47BB">
        <w:rPr>
          <w:noProof/>
          <w:lang w:val="en-GB" w:eastAsia="en-US"/>
        </w:rPr>
        <w:t>Left column, row 7: here the number of the prescribed first aid kits according to Article 13.02(3)(f) and Article 19.08(9) shall be entered.</w:t>
      </w:r>
    </w:p>
    <w:p w:rsidR="004F47BB" w:rsidRPr="004F47BB" w:rsidRDefault="004F47BB" w:rsidP="004F47BB">
      <w:pPr>
        <w:tabs>
          <w:tab w:val="left" w:pos="1418"/>
        </w:tabs>
        <w:autoSpaceDE/>
        <w:autoSpaceDN/>
        <w:spacing w:line="240" w:lineRule="atLeast"/>
        <w:ind w:left="1418" w:firstLine="0"/>
        <w:rPr>
          <w:noProof/>
          <w:lang w:val="en-GB" w:eastAsia="en-US"/>
        </w:rPr>
      </w:pPr>
    </w:p>
    <w:p w:rsidR="004F47BB" w:rsidRPr="004F47BB" w:rsidRDefault="004F47BB" w:rsidP="004F47BB">
      <w:pPr>
        <w:tabs>
          <w:tab w:val="left" w:pos="1418"/>
        </w:tabs>
        <w:autoSpaceDE/>
        <w:autoSpaceDN/>
        <w:spacing w:line="240" w:lineRule="atLeast"/>
        <w:ind w:left="1418" w:firstLine="0"/>
        <w:rPr>
          <w:noProof/>
          <w:lang w:val="en-GB" w:eastAsia="en-US"/>
        </w:rPr>
      </w:pPr>
      <w:r w:rsidRPr="004F47BB">
        <w:rPr>
          <w:noProof/>
          <w:lang w:val="en-GB" w:eastAsia="en-US"/>
        </w:rPr>
        <w:t>Left column, row 11: here the number of the prescribed fire proof receptacles according to Article 13.02(2) shall be entered.</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43.</w:t>
      </w:r>
      <w:r w:rsidRPr="004F47BB">
        <w:rPr>
          <w:noProof/>
          <w:lang w:val="en-GB" w:eastAsia="en-US"/>
        </w:rPr>
        <w:tab/>
        <w:t>Portable fire extinguishers required by other safety regulations, e.g. and regulation, are not included here.</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adjustRightInd w:val="0"/>
        <w:ind w:left="1418" w:hanging="851"/>
        <w:rPr>
          <w:rFonts w:cs="Arial"/>
          <w:szCs w:val="20"/>
          <w:lang w:val="en-US" w:eastAsia="de-DE"/>
        </w:rPr>
      </w:pPr>
      <w:r w:rsidRPr="004F47BB">
        <w:rPr>
          <w:noProof/>
          <w:lang w:val="en-GB" w:eastAsia="en-US"/>
        </w:rPr>
        <w:t>44.</w:t>
      </w:r>
      <w:r w:rsidRPr="004F47BB">
        <w:rPr>
          <w:noProof/>
          <w:lang w:val="en-GB" w:eastAsia="en-US"/>
        </w:rPr>
        <w:tab/>
      </w:r>
      <w:r w:rsidRPr="004F47BB">
        <w:rPr>
          <w:rFonts w:cs="Arial"/>
          <w:szCs w:val="20"/>
          <w:lang w:val="en-US" w:eastAsia="de-DE"/>
        </w:rPr>
        <w:t>Row 3: in inland navigation vessel certificates to be renewed before 1.1.2025 (Chapter 33), the item ‘according to Article 13.08(2)’ shall be crossed if no life vests according to this Standard are onboard.</w:t>
      </w:r>
    </w:p>
    <w:p w:rsidR="004F47BB" w:rsidRPr="004F47BB" w:rsidRDefault="004F47BB" w:rsidP="004F47BB">
      <w:pPr>
        <w:adjustRightInd w:val="0"/>
        <w:ind w:left="1134" w:hanging="283"/>
        <w:rPr>
          <w:rFonts w:cs="Arial"/>
          <w:szCs w:val="20"/>
          <w:lang w:val="en-US" w:eastAsia="de-DE"/>
        </w:rPr>
      </w:pPr>
    </w:p>
    <w:p w:rsidR="004F47BB" w:rsidRPr="004F47BB" w:rsidRDefault="004F47BB" w:rsidP="004F47BB">
      <w:pPr>
        <w:adjustRightInd w:val="0"/>
        <w:ind w:left="1418" w:firstLine="0"/>
        <w:rPr>
          <w:rFonts w:cs="Arial"/>
          <w:szCs w:val="20"/>
          <w:lang w:val="en-US" w:eastAsia="de-DE"/>
        </w:rPr>
      </w:pPr>
      <w:r w:rsidRPr="004F47BB">
        <w:rPr>
          <w:rFonts w:cs="Arial"/>
          <w:szCs w:val="20"/>
          <w:lang w:val="en-US" w:eastAsia="de-DE"/>
        </w:rPr>
        <w:t>Row 4: in inland navigation vessel certificates to be renewed after 1.1.2015, or if a new dinghy is taken onboard, or for newly-built craft, the item ‘with a set of oars, one mooring line and a baler’ shall be crossed. In inland navigation vessel certificates to be renewed after 1.1.2030 (Chapter 33), and if no dinghy according to this Standard is onboard, the item ‘according to Standard EN 1914: 2016’ shall be crossed. In the inland navigation vessel certificate to be renewed before 1.9.2036, if compliance to Standard EN 1994: 1997 is proven, the item ‘2016’ could be crossed.</w:t>
      </w:r>
    </w:p>
    <w:p w:rsidR="004F47BB" w:rsidRPr="004F47BB" w:rsidRDefault="004F47BB" w:rsidP="004F47BB">
      <w:pPr>
        <w:tabs>
          <w:tab w:val="left" w:pos="567"/>
          <w:tab w:val="left" w:pos="1418"/>
        </w:tabs>
        <w:autoSpaceDE/>
        <w:autoSpaceDN/>
        <w:spacing w:line="240" w:lineRule="atLeast"/>
        <w:ind w:left="1418" w:hanging="851"/>
        <w:rPr>
          <w:noProof/>
          <w:lang w:val="en-US"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46.</w:t>
      </w:r>
      <w:r w:rsidRPr="004F47BB">
        <w:rPr>
          <w:noProof/>
          <w:lang w:val="en-GB" w:eastAsia="en-US"/>
        </w:rPr>
        <w:tab/>
        <w:t>As a general rule, continuous operation shall not be inserted if there is a lack of berths or if there are excessive noise levels.</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50.</w:t>
      </w:r>
      <w:r w:rsidRPr="004F47BB">
        <w:rPr>
          <w:noProof/>
          <w:lang w:val="en-GB" w:eastAsia="en-US"/>
        </w:rPr>
        <w:tab/>
        <w:t>The expert shall sign only if he has completed page 11 himself.</w:t>
      </w: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p>
    <w:p w:rsidR="004F47BB" w:rsidRPr="004F47BB" w:rsidRDefault="004F47BB" w:rsidP="004F47BB">
      <w:pPr>
        <w:tabs>
          <w:tab w:val="left" w:pos="567"/>
          <w:tab w:val="left" w:pos="1418"/>
        </w:tabs>
        <w:autoSpaceDE/>
        <w:autoSpaceDN/>
        <w:spacing w:line="240" w:lineRule="atLeast"/>
        <w:ind w:left="1418" w:hanging="851"/>
        <w:rPr>
          <w:noProof/>
          <w:lang w:val="en-GB" w:eastAsia="en-US"/>
        </w:rPr>
      </w:pPr>
      <w:r w:rsidRPr="004F47BB">
        <w:rPr>
          <w:noProof/>
          <w:lang w:val="en-GB" w:eastAsia="en-US"/>
        </w:rPr>
        <w:t>52.</w:t>
      </w:r>
      <w:r w:rsidRPr="004F47BB">
        <w:rPr>
          <w:noProof/>
          <w:lang w:val="en-GB" w:eastAsia="en-US"/>
        </w:rPr>
        <w:tab/>
        <w:t>Here any additional restrictions, exemptions and explanations, or similar, applying to entries under individual items can be given.</w:t>
      </w:r>
    </w:p>
    <w:p w:rsidR="004F47BB" w:rsidRPr="004F47BB" w:rsidRDefault="004F47BB" w:rsidP="004F47BB">
      <w:pPr>
        <w:spacing w:line="240" w:lineRule="atLeast"/>
        <w:ind w:left="567" w:hanging="567"/>
        <w:rPr>
          <w:rFonts w:cs="Arial"/>
          <w:b/>
          <w:noProof/>
          <w:color w:val="000000"/>
          <w:szCs w:val="20"/>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br w:type="page"/>
      </w: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lastRenderedPageBreak/>
        <w:t>5.</w:t>
      </w:r>
      <w:r w:rsidRPr="004F47BB">
        <w:rPr>
          <w:rFonts w:cs="Arial"/>
          <w:b/>
          <w:noProof/>
          <w:color w:val="000000"/>
          <w:szCs w:val="20"/>
          <w:lang w:val="en-GB" w:eastAsia="en-US"/>
        </w:rPr>
        <w:tab/>
        <w:t>Transitional provisions for Union inland navigation vessel certificates</w:t>
      </w:r>
    </w:p>
    <w:p w:rsidR="004F47BB" w:rsidRPr="004F47BB" w:rsidRDefault="004F47BB" w:rsidP="004F47BB">
      <w:pPr>
        <w:spacing w:line="240" w:lineRule="atLeast"/>
        <w:ind w:left="567" w:hanging="567"/>
        <w:rPr>
          <w:rFonts w:cs="Arial"/>
          <w:b/>
          <w:noProof/>
          <w:color w:val="000000"/>
          <w:szCs w:val="20"/>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5.1</w:t>
      </w:r>
      <w:r w:rsidRPr="004F47BB">
        <w:rPr>
          <w:rFonts w:cs="Arial"/>
          <w:b/>
          <w:noProof/>
          <w:color w:val="000000"/>
          <w:szCs w:val="20"/>
          <w:lang w:val="en-GB" w:eastAsia="en-US"/>
        </w:rPr>
        <w:tab/>
        <w:t>Existing Community certificates</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With the exception of the exceptional 6 months extension, no further extensions to existing community certificates shall be granted.</w:t>
      </w:r>
    </w:p>
    <w:p w:rsidR="004F47BB" w:rsidRPr="004F47BB" w:rsidRDefault="004F47BB" w:rsidP="004F47BB">
      <w:pPr>
        <w:spacing w:line="240" w:lineRule="atLeast"/>
        <w:ind w:left="567" w:hanging="567"/>
        <w:rPr>
          <w:rFonts w:cs="Arial"/>
          <w:b/>
          <w:noProof/>
          <w:color w:val="000000"/>
          <w:szCs w:val="20"/>
          <w:lang w:val="en-GB" w:eastAsia="en-US"/>
        </w:rPr>
      </w:pPr>
    </w:p>
    <w:p w:rsidR="004F47BB" w:rsidRPr="004F47BB" w:rsidRDefault="004F47BB" w:rsidP="004F47BB">
      <w:pPr>
        <w:spacing w:line="240" w:lineRule="atLeast"/>
        <w:ind w:left="567" w:hanging="567"/>
        <w:rPr>
          <w:rFonts w:cs="Arial"/>
          <w:b/>
          <w:noProof/>
          <w:color w:val="000000"/>
          <w:szCs w:val="20"/>
          <w:lang w:val="en-GB" w:eastAsia="en-US"/>
        </w:rPr>
      </w:pPr>
      <w:r w:rsidRPr="004F47BB">
        <w:rPr>
          <w:rFonts w:cs="Arial"/>
          <w:b/>
          <w:noProof/>
          <w:color w:val="000000"/>
          <w:szCs w:val="20"/>
          <w:lang w:val="en-GB" w:eastAsia="en-US"/>
        </w:rPr>
        <w:t>5.2</w:t>
      </w:r>
      <w:r w:rsidRPr="004F47BB">
        <w:rPr>
          <w:rFonts w:cs="Arial"/>
          <w:b/>
          <w:noProof/>
          <w:color w:val="000000"/>
          <w:szCs w:val="20"/>
          <w:lang w:val="en-GB" w:eastAsia="en-US"/>
        </w:rPr>
        <w:tab/>
        <w:t>Replacement after a periodical inspection</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After a periodical inspection of a vessel which does not yet have a Union inland navigation certificate in line with the model in Annex 4, a Union inland navigation certificate shall be issued.</w:t>
      </w:r>
    </w:p>
    <w:p w:rsidR="004F47BB" w:rsidRPr="004F47BB" w:rsidRDefault="004F47BB" w:rsidP="004F47BB">
      <w:pPr>
        <w:spacing w:line="240" w:lineRule="atLeast"/>
        <w:rPr>
          <w:rFonts w:ascii="Times New Roman" w:hAnsi="Times New Roman"/>
          <w:sz w:val="24"/>
          <w:lang w:val="en-US"/>
        </w:rPr>
      </w:pPr>
    </w:p>
    <w:p w:rsidR="004F47BB" w:rsidRPr="004F47BB" w:rsidRDefault="004F47BB" w:rsidP="004F47BB">
      <w:pPr>
        <w:jc w:val="center"/>
        <w:rPr>
          <w:rFonts w:cs="Arial"/>
          <w:szCs w:val="20"/>
          <w:lang w:val="en-US"/>
        </w:rPr>
      </w:pPr>
    </w:p>
    <w:p w:rsidR="004F47BB" w:rsidRPr="004F47BB" w:rsidRDefault="004F47BB" w:rsidP="004F47BB">
      <w:pPr>
        <w:jc w:val="center"/>
        <w:rPr>
          <w:rFonts w:cs="Arial"/>
          <w:szCs w:val="20"/>
          <w:lang w:val="en-US"/>
        </w:rPr>
      </w:pPr>
    </w:p>
    <w:p w:rsidR="004F47BB" w:rsidRPr="004F47BB" w:rsidRDefault="004F47BB" w:rsidP="004F47BB">
      <w:pPr>
        <w:jc w:val="center"/>
        <w:rPr>
          <w:rFonts w:cs="Arial"/>
          <w:szCs w:val="20"/>
          <w:lang w:val="en-US"/>
        </w:rPr>
      </w:pPr>
    </w:p>
    <w:p w:rsidR="004F47BB" w:rsidRPr="004F47BB" w:rsidRDefault="004F47BB" w:rsidP="004F47BB">
      <w:pPr>
        <w:jc w:val="center"/>
        <w:rPr>
          <w:rFonts w:cs="Arial"/>
          <w:szCs w:val="20"/>
          <w:lang w:val="en-US"/>
        </w:rPr>
      </w:pPr>
    </w:p>
    <w:p w:rsidR="004F47BB" w:rsidRPr="004F47BB" w:rsidRDefault="004F47BB" w:rsidP="004F47BB">
      <w:pPr>
        <w:overflowPunct w:val="0"/>
        <w:adjustRightInd w:val="0"/>
        <w:spacing w:line="240" w:lineRule="exact"/>
        <w:ind w:left="0" w:firstLine="0"/>
        <w:textAlignment w:val="baseline"/>
        <w:rPr>
          <w:rFonts w:eastAsia="Calibri"/>
          <w:i/>
          <w:szCs w:val="20"/>
          <w:lang w:val="en-US" w:eastAsia="en-US"/>
        </w:rPr>
        <w:sectPr w:rsidR="004F47BB" w:rsidRPr="004F47BB" w:rsidSect="00D45887">
          <w:headerReference w:type="default" r:id="rId109"/>
          <w:headerReference w:type="first" r:id="rId110"/>
          <w:footerReference w:type="first" r:id="rId111"/>
          <w:pgSz w:w="11907" w:h="16840" w:code="9"/>
          <w:pgMar w:top="1418" w:right="1418" w:bottom="1418" w:left="1418" w:header="680" w:footer="680" w:gutter="0"/>
          <w:cols w:space="720"/>
          <w:noEndnote/>
          <w:titlePg/>
        </w:sectPr>
      </w:pPr>
    </w:p>
    <w:p w:rsidR="004F47BB" w:rsidRPr="004F47BB" w:rsidRDefault="004F47BB" w:rsidP="00A84512">
      <w:pPr>
        <w:pStyle w:val="ES-Titre2ESI"/>
        <w:rPr>
          <w:snapToGrid w:val="0"/>
        </w:rPr>
      </w:pPr>
      <w:bookmarkStart w:id="389" w:name="_Toc491854348"/>
      <w:r w:rsidRPr="004F47BB">
        <w:lastRenderedPageBreak/>
        <w:t>ESI-I-2</w:t>
      </w:r>
      <w:r w:rsidRPr="004F47BB">
        <w:br/>
      </w:r>
      <w:r w:rsidRPr="004F47BB">
        <w:rPr>
          <w:noProof/>
          <w:snapToGrid w:val="0"/>
        </w:rPr>
        <w:t>Experts and Competent Persons</w:t>
      </w:r>
      <w:bookmarkEnd w:id="389"/>
    </w:p>
    <w:p w:rsidR="004F47BB" w:rsidRPr="004F47BB" w:rsidRDefault="004F47BB" w:rsidP="00A84512">
      <w:pPr>
        <w:pStyle w:val="ESch"/>
        <w:rPr>
          <w:snapToGrid w:val="0"/>
          <w:lang w:val="en-US"/>
        </w:rPr>
      </w:pPr>
    </w:p>
    <w:p w:rsidR="004F47BB" w:rsidRPr="004F47BB" w:rsidRDefault="004F47BB" w:rsidP="004F47BB">
      <w:pPr>
        <w:suppressAutoHyphens/>
        <w:autoSpaceDE/>
        <w:autoSpaceDN/>
        <w:ind w:left="0" w:firstLine="0"/>
        <w:jc w:val="center"/>
        <w:rPr>
          <w:rFonts w:cs="Arial"/>
          <w:b/>
          <w:snapToGrid w:val="0"/>
          <w:lang w:val="en-US"/>
        </w:rPr>
      </w:pPr>
      <w:r w:rsidRPr="004F47BB">
        <w:rPr>
          <w:rFonts w:cs="Arial"/>
          <w:b/>
          <w:noProof/>
          <w:snapToGrid w:val="0"/>
          <w:lang w:val="en-US"/>
        </w:rPr>
        <w:t>(Article 1.01, 10.3 and 10.4)</w:t>
      </w:r>
    </w:p>
    <w:p w:rsidR="004F47BB" w:rsidRPr="004F47BB" w:rsidRDefault="004F47BB" w:rsidP="004F47BB">
      <w:pPr>
        <w:tabs>
          <w:tab w:val="left" w:pos="425"/>
        </w:tabs>
        <w:suppressAutoHyphens/>
        <w:autoSpaceDE/>
        <w:autoSpaceDN/>
        <w:spacing w:line="240" w:lineRule="atLeast"/>
        <w:rPr>
          <w:rFonts w:cs="Arial"/>
          <w:snapToGrid w:val="0"/>
          <w:lang w:val="en-US"/>
        </w:rPr>
      </w:pPr>
    </w:p>
    <w:p w:rsidR="004F47BB" w:rsidRPr="004F47BB" w:rsidRDefault="004F47BB" w:rsidP="004F47BB">
      <w:pPr>
        <w:spacing w:line="240" w:lineRule="atLeast"/>
        <w:ind w:left="567" w:hanging="567"/>
        <w:rPr>
          <w:b/>
          <w:noProof/>
          <w:lang w:val="en-GB" w:eastAsia="en-US"/>
        </w:rPr>
      </w:pPr>
      <w:r w:rsidRPr="004F47BB">
        <w:rPr>
          <w:b/>
          <w:noProof/>
          <w:lang w:val="en-GB" w:eastAsia="en-US"/>
        </w:rPr>
        <w:t>Experts</w:t>
      </w:r>
    </w:p>
    <w:p w:rsidR="004F47BB" w:rsidRPr="004F47BB" w:rsidRDefault="004F47BB" w:rsidP="004F47BB">
      <w:pPr>
        <w:spacing w:line="240" w:lineRule="atLeast"/>
        <w:ind w:left="0" w:firstLine="0"/>
        <w:rPr>
          <w:noProof/>
          <w:lang w:val="en-GB" w:eastAsia="en-US" w:bidi="fr-FR"/>
        </w:rPr>
      </w:pPr>
    </w:p>
    <w:p w:rsidR="004F47BB" w:rsidRPr="004F47BB" w:rsidRDefault="004F47BB" w:rsidP="004F47BB">
      <w:pPr>
        <w:spacing w:line="240" w:lineRule="atLeast"/>
        <w:ind w:left="0" w:firstLine="0"/>
        <w:rPr>
          <w:noProof/>
          <w:lang w:val="en-GB" w:eastAsia="en-US" w:bidi="fr-FR"/>
        </w:rPr>
      </w:pPr>
      <w:r w:rsidRPr="004F47BB">
        <w:rPr>
          <w:noProof/>
          <w:lang w:val="en-GB" w:eastAsia="en-US" w:bidi="fr-FR"/>
        </w:rPr>
        <w:t xml:space="preserve">Experts are required to carry out acceptance tests which call for specialist knowledge either on account of the complexity of the systems or on account of the safety level required. The following persons or institutions are among those authorised to carry out such acceptance tests: </w:t>
      </w:r>
    </w:p>
    <w:p w:rsidR="004F47BB" w:rsidRPr="004F47BB" w:rsidRDefault="004F47BB" w:rsidP="004F47BB">
      <w:pPr>
        <w:spacing w:before="60" w:line="240" w:lineRule="atLeast"/>
        <w:ind w:left="426" w:hanging="426"/>
        <w:rPr>
          <w:noProof/>
          <w:lang w:val="en-GB" w:eastAsia="de-DE"/>
        </w:rPr>
      </w:pPr>
      <w:r w:rsidRPr="004F47BB">
        <w:rPr>
          <w:noProof/>
          <w:lang w:val="en-GB" w:eastAsia="de-DE"/>
        </w:rPr>
        <w:t>-</w:t>
      </w:r>
      <w:r w:rsidRPr="004F47BB">
        <w:rPr>
          <w:noProof/>
          <w:lang w:val="en-GB" w:eastAsia="de-DE"/>
        </w:rPr>
        <w:tab/>
        <w:t>Classification societies which have the necessary in-house expertise or which bear responsibility, on the basis of their authorisation, for calling in external persons or institutions and have the necessary quality control systems in place in respect of the selection of these persons or institutions;</w:t>
      </w:r>
    </w:p>
    <w:p w:rsidR="004F47BB" w:rsidRPr="004F47BB" w:rsidRDefault="004F47BB" w:rsidP="004F47BB">
      <w:pPr>
        <w:spacing w:before="60" w:line="240" w:lineRule="atLeast"/>
        <w:ind w:left="426" w:hanging="426"/>
        <w:rPr>
          <w:noProof/>
          <w:lang w:val="en-GB" w:eastAsia="de-DE"/>
        </w:rPr>
      </w:pPr>
      <w:r w:rsidRPr="004F47BB">
        <w:rPr>
          <w:noProof/>
          <w:lang w:val="en-GB" w:eastAsia="de-DE"/>
        </w:rPr>
        <w:t>-</w:t>
      </w:r>
      <w:r w:rsidRPr="004F47BB">
        <w:rPr>
          <w:noProof/>
          <w:lang w:val="en-GB" w:eastAsia="de-DE"/>
        </w:rPr>
        <w:tab/>
        <w:t>Members of the inspection bodies or employees of the relevant authorities;</w:t>
      </w:r>
    </w:p>
    <w:p w:rsidR="004F47BB" w:rsidRPr="004F47BB" w:rsidRDefault="004F47BB" w:rsidP="004F47BB">
      <w:pPr>
        <w:spacing w:before="60" w:line="240" w:lineRule="atLeast"/>
        <w:ind w:left="426" w:hanging="426"/>
        <w:rPr>
          <w:noProof/>
          <w:lang w:val="en-GB" w:eastAsia="de-DE"/>
        </w:rPr>
      </w:pPr>
      <w:r w:rsidRPr="004F47BB">
        <w:rPr>
          <w:noProof/>
          <w:lang w:val="en-GB" w:eastAsia="de-DE"/>
        </w:rPr>
        <w:t>-</w:t>
      </w:r>
      <w:r w:rsidRPr="004F47BB">
        <w:rPr>
          <w:noProof/>
          <w:lang w:val="en-GB" w:eastAsia="de-DE"/>
        </w:rPr>
        <w:tab/>
        <w:t>Officially approved persons or institutions with recognised expertise for the scope of inspection in the relevant subject area, whereby the vessel inspection bodies can also issue this approval in their capacity as public agencies, ideally on the basis of a quality assurance system. A person or institution is also deemed to be approved if the latter has passed an official selection procedure which specifically assesses the possession of the required expertise and experience.</w:t>
      </w:r>
    </w:p>
    <w:p w:rsidR="004F47BB" w:rsidRPr="004F47BB" w:rsidRDefault="004F47BB" w:rsidP="004F47BB">
      <w:pPr>
        <w:spacing w:line="240" w:lineRule="atLeast"/>
        <w:ind w:left="567" w:hanging="567"/>
        <w:rPr>
          <w:noProof/>
          <w:lang w:val="en-GB" w:eastAsia="en-US"/>
        </w:rPr>
      </w:pPr>
    </w:p>
    <w:p w:rsidR="004F47BB" w:rsidRPr="004F47BB" w:rsidRDefault="004F47BB" w:rsidP="004F47BB">
      <w:pPr>
        <w:tabs>
          <w:tab w:val="left" w:pos="1418"/>
        </w:tabs>
        <w:autoSpaceDE/>
        <w:autoSpaceDN/>
        <w:spacing w:line="240" w:lineRule="atLeast"/>
        <w:rPr>
          <w:rFonts w:cs="Arial"/>
          <w:b/>
          <w:color w:val="000000"/>
          <w:lang w:val="en-US"/>
        </w:rPr>
      </w:pPr>
      <w:r w:rsidRPr="004F47BB">
        <w:rPr>
          <w:rFonts w:cs="Arial"/>
          <w:b/>
          <w:color w:val="000000"/>
          <w:lang w:val="en-US"/>
        </w:rPr>
        <w:t>Traditional craft expert</w:t>
      </w: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0" w:firstLine="0"/>
        <w:rPr>
          <w:noProof/>
          <w:lang w:val="en-GB" w:eastAsia="en-US" w:bidi="fr-FR"/>
        </w:rPr>
      </w:pPr>
      <w:r w:rsidRPr="004F47BB">
        <w:rPr>
          <w:noProof/>
          <w:lang w:val="en-GB" w:eastAsia="en-US" w:bidi="fr-FR"/>
        </w:rPr>
        <w:t>A person appointed by the competent authority or by an authorised institution of a Member State, who possesses special knowledge in the field of traditional craft due to his or her training and experience in the subject, and who is familiar with the relevant technical requirements and rules, also from the time period of the traditional craft.</w:t>
      </w:r>
    </w:p>
    <w:p w:rsidR="004F47BB" w:rsidRPr="004F47BB" w:rsidRDefault="004F47BB" w:rsidP="004F47BB">
      <w:pPr>
        <w:spacing w:line="240" w:lineRule="atLeast"/>
        <w:ind w:left="567" w:hanging="567"/>
        <w:rPr>
          <w:noProof/>
          <w:lang w:val="en-US" w:eastAsia="en-US"/>
        </w:rPr>
      </w:pPr>
    </w:p>
    <w:p w:rsidR="004F47BB" w:rsidRPr="004F47BB" w:rsidRDefault="004F47BB" w:rsidP="004F47BB">
      <w:pPr>
        <w:spacing w:line="240" w:lineRule="atLeast"/>
        <w:ind w:left="567" w:hanging="567"/>
        <w:rPr>
          <w:b/>
          <w:noProof/>
          <w:lang w:val="en-GB" w:eastAsia="en-US"/>
        </w:rPr>
      </w:pPr>
      <w:r w:rsidRPr="004F47BB">
        <w:rPr>
          <w:b/>
          <w:noProof/>
          <w:lang w:val="en-GB" w:eastAsia="en-US"/>
        </w:rPr>
        <w:t>Competent persons</w:t>
      </w:r>
    </w:p>
    <w:p w:rsidR="004F47BB" w:rsidRPr="004F47BB" w:rsidRDefault="004F47BB" w:rsidP="004F47BB">
      <w:pPr>
        <w:spacing w:line="240" w:lineRule="atLeast"/>
        <w:ind w:left="0" w:firstLine="0"/>
        <w:rPr>
          <w:noProof/>
          <w:lang w:val="en-GB" w:eastAsia="en-US" w:bidi="fr-FR"/>
        </w:rPr>
      </w:pPr>
    </w:p>
    <w:p w:rsidR="004F47BB" w:rsidRPr="004F47BB" w:rsidRDefault="004F47BB" w:rsidP="004F47BB">
      <w:pPr>
        <w:spacing w:line="240" w:lineRule="atLeast"/>
        <w:ind w:left="0" w:firstLine="0"/>
        <w:rPr>
          <w:noProof/>
          <w:lang w:val="en-GB" w:eastAsia="en-US" w:bidi="fr-FR"/>
        </w:rPr>
      </w:pPr>
      <w:r w:rsidRPr="004F47BB">
        <w:rPr>
          <w:noProof/>
          <w:lang w:val="en-GB" w:eastAsia="en-US" w:bidi="fr-FR"/>
        </w:rPr>
        <w:t>Competent persons are required, for example, to conduct regular visual checks and operating checks on safety equipment. The following may be classed as competent persons:</w:t>
      </w:r>
    </w:p>
    <w:p w:rsidR="004F47BB" w:rsidRPr="004F47BB" w:rsidRDefault="004F47BB" w:rsidP="004F47BB">
      <w:pPr>
        <w:spacing w:before="60" w:line="240" w:lineRule="atLeast"/>
        <w:ind w:left="426" w:hanging="426"/>
        <w:rPr>
          <w:noProof/>
          <w:lang w:val="en-GB" w:eastAsia="de-DE"/>
        </w:rPr>
      </w:pPr>
      <w:r w:rsidRPr="004F47BB">
        <w:rPr>
          <w:noProof/>
          <w:lang w:val="en-GB" w:eastAsia="de-DE"/>
        </w:rPr>
        <w:t>-</w:t>
      </w:r>
      <w:r w:rsidRPr="004F47BB">
        <w:rPr>
          <w:noProof/>
          <w:lang w:val="en-GB" w:eastAsia="de-DE"/>
        </w:rPr>
        <w:tab/>
        <w:t>Persons who, on the basis of their professional training and experience, have sufficient expertise to be able to assess specific situations and circumstances, e.g. ship's masters, safety officers in shipping companies, crew members with relevant experience;</w:t>
      </w:r>
    </w:p>
    <w:p w:rsidR="004F47BB" w:rsidRPr="004F47BB" w:rsidRDefault="004F47BB" w:rsidP="004F47BB">
      <w:pPr>
        <w:spacing w:before="60" w:line="240" w:lineRule="atLeast"/>
        <w:ind w:left="426" w:hanging="426"/>
        <w:rPr>
          <w:noProof/>
          <w:lang w:val="en-GB" w:eastAsia="de-DE"/>
        </w:rPr>
      </w:pPr>
      <w:r w:rsidRPr="004F47BB">
        <w:rPr>
          <w:noProof/>
          <w:lang w:val="en-GB" w:eastAsia="de-DE"/>
        </w:rPr>
        <w:t>-</w:t>
      </w:r>
      <w:r w:rsidRPr="004F47BB">
        <w:rPr>
          <w:noProof/>
          <w:lang w:val="en-GB" w:eastAsia="de-DE"/>
        </w:rPr>
        <w:tab/>
        <w:t>Companies which have acquired sufficient specialist knowledge on the basis of their regular work, e.g. shipyards or installation firms;</w:t>
      </w:r>
    </w:p>
    <w:p w:rsidR="004F47BB" w:rsidRPr="004F47BB" w:rsidRDefault="004F47BB" w:rsidP="004F47BB">
      <w:pPr>
        <w:spacing w:before="60" w:line="240" w:lineRule="atLeast"/>
        <w:ind w:left="426" w:hanging="426"/>
        <w:rPr>
          <w:noProof/>
          <w:lang w:val="en-GB" w:eastAsia="de-DE"/>
        </w:rPr>
      </w:pPr>
      <w:r w:rsidRPr="004F47BB">
        <w:rPr>
          <w:noProof/>
          <w:lang w:val="en-GB" w:eastAsia="de-DE"/>
        </w:rPr>
        <w:t>-</w:t>
      </w:r>
      <w:r w:rsidRPr="004F47BB">
        <w:rPr>
          <w:noProof/>
          <w:lang w:val="en-GB" w:eastAsia="de-DE"/>
        </w:rPr>
        <w:tab/>
        <w:t>Manufacturers of special-purpose systems (e.g. fire extinguishing systems, control equipment).</w:t>
      </w:r>
    </w:p>
    <w:p w:rsidR="004F47BB" w:rsidRPr="004F47BB" w:rsidRDefault="004F47BB" w:rsidP="004F47BB">
      <w:pPr>
        <w:spacing w:line="240" w:lineRule="atLeast"/>
        <w:ind w:left="567" w:hanging="567"/>
        <w:rPr>
          <w:noProof/>
          <w:lang w:val="en-US" w:eastAsia="en-US"/>
        </w:rPr>
      </w:pPr>
    </w:p>
    <w:p w:rsidR="004F47BB" w:rsidRPr="004F47BB" w:rsidRDefault="004F47BB" w:rsidP="004F47BB">
      <w:pPr>
        <w:spacing w:line="240" w:lineRule="atLeast"/>
        <w:ind w:left="567" w:hanging="567"/>
        <w:rPr>
          <w:b/>
          <w:noProof/>
          <w:lang w:val="de-DE" w:eastAsia="en-US"/>
        </w:rPr>
      </w:pPr>
      <w:r w:rsidRPr="004F47BB">
        <w:rPr>
          <w:b/>
          <w:noProof/>
          <w:lang w:val="de-DE" w:eastAsia="en-US"/>
        </w:rPr>
        <w:t>Terminology</w:t>
      </w:r>
    </w:p>
    <w:p w:rsidR="004F47BB" w:rsidRPr="004F47BB" w:rsidRDefault="004F47BB" w:rsidP="004F47BB">
      <w:pPr>
        <w:spacing w:line="240" w:lineRule="atLeast"/>
        <w:ind w:left="567" w:hanging="567"/>
        <w:rPr>
          <w:noProof/>
          <w:lang w:val="de-DE"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800"/>
        <w:gridCol w:w="1921"/>
        <w:gridCol w:w="1807"/>
      </w:tblGrid>
      <w:tr w:rsidR="004F47BB" w:rsidRPr="004F47BB" w:rsidTr="00D45887">
        <w:trPr>
          <w:jc w:val="center"/>
        </w:trPr>
        <w:tc>
          <w:tcPr>
            <w:tcW w:w="1859" w:type="dxa"/>
          </w:tcPr>
          <w:p w:rsidR="004F47BB" w:rsidRPr="004F47BB" w:rsidRDefault="004F47BB" w:rsidP="004F47BB">
            <w:pPr>
              <w:autoSpaceDE/>
              <w:autoSpaceDN/>
              <w:spacing w:before="120" w:after="120"/>
              <w:ind w:left="0" w:firstLine="0"/>
              <w:rPr>
                <w:rFonts w:cs="Arial"/>
                <w:noProof/>
                <w:sz w:val="18"/>
                <w:szCs w:val="20"/>
                <w:lang w:val="en-GB" w:eastAsia="en-US"/>
              </w:rPr>
            </w:pPr>
            <w:r w:rsidRPr="004F47BB">
              <w:rPr>
                <w:rFonts w:cs="Arial"/>
                <w:noProof/>
                <w:sz w:val="18"/>
                <w:szCs w:val="20"/>
                <w:lang w:val="en-GB" w:eastAsia="en-US"/>
              </w:rPr>
              <w:t>German</w:t>
            </w:r>
          </w:p>
        </w:tc>
        <w:tc>
          <w:tcPr>
            <w:tcW w:w="1800" w:type="dxa"/>
          </w:tcPr>
          <w:p w:rsidR="004F47BB" w:rsidRPr="004F47BB" w:rsidRDefault="004F47BB" w:rsidP="004F47BB">
            <w:pPr>
              <w:autoSpaceDE/>
              <w:autoSpaceDN/>
              <w:spacing w:before="120" w:after="120"/>
              <w:ind w:left="0" w:firstLine="0"/>
              <w:rPr>
                <w:rFonts w:cs="Arial"/>
                <w:noProof/>
                <w:sz w:val="18"/>
                <w:szCs w:val="20"/>
                <w:lang w:val="en-GB" w:eastAsia="en-US"/>
              </w:rPr>
            </w:pPr>
            <w:r w:rsidRPr="004F47BB">
              <w:rPr>
                <w:rFonts w:cs="Arial"/>
                <w:noProof/>
                <w:sz w:val="18"/>
                <w:szCs w:val="20"/>
                <w:lang w:val="en-GB" w:eastAsia="en-US"/>
              </w:rPr>
              <w:t>English</w:t>
            </w:r>
          </w:p>
        </w:tc>
        <w:tc>
          <w:tcPr>
            <w:tcW w:w="1921" w:type="dxa"/>
          </w:tcPr>
          <w:p w:rsidR="004F47BB" w:rsidRPr="004F47BB" w:rsidRDefault="004F47BB" w:rsidP="004F47BB">
            <w:pPr>
              <w:autoSpaceDE/>
              <w:autoSpaceDN/>
              <w:spacing w:before="120" w:after="120"/>
              <w:ind w:left="0" w:firstLine="0"/>
              <w:rPr>
                <w:rFonts w:cs="Arial"/>
                <w:noProof/>
                <w:sz w:val="18"/>
                <w:szCs w:val="20"/>
                <w:lang w:val="en-GB" w:eastAsia="en-US"/>
              </w:rPr>
            </w:pPr>
            <w:r w:rsidRPr="004F47BB">
              <w:rPr>
                <w:rFonts w:cs="Arial"/>
                <w:noProof/>
                <w:sz w:val="18"/>
                <w:szCs w:val="20"/>
                <w:lang w:val="en-GB" w:eastAsia="en-US"/>
              </w:rPr>
              <w:t>French</w:t>
            </w:r>
          </w:p>
        </w:tc>
        <w:tc>
          <w:tcPr>
            <w:tcW w:w="1807" w:type="dxa"/>
          </w:tcPr>
          <w:p w:rsidR="004F47BB" w:rsidRPr="004F47BB" w:rsidRDefault="004F47BB" w:rsidP="004F47BB">
            <w:pPr>
              <w:autoSpaceDE/>
              <w:autoSpaceDN/>
              <w:spacing w:before="120" w:after="120"/>
              <w:ind w:left="0" w:firstLine="0"/>
              <w:rPr>
                <w:rFonts w:cs="Arial"/>
                <w:noProof/>
                <w:sz w:val="18"/>
                <w:szCs w:val="20"/>
                <w:lang w:val="en-GB" w:eastAsia="en-US"/>
              </w:rPr>
            </w:pPr>
            <w:r w:rsidRPr="004F47BB">
              <w:rPr>
                <w:rFonts w:cs="Arial"/>
                <w:noProof/>
                <w:sz w:val="18"/>
                <w:szCs w:val="20"/>
                <w:lang w:val="en-GB" w:eastAsia="en-US"/>
              </w:rPr>
              <w:t>Dutch</w:t>
            </w:r>
          </w:p>
        </w:tc>
      </w:tr>
      <w:tr w:rsidR="004F47BB" w:rsidRPr="004F47BB" w:rsidTr="00D45887">
        <w:trPr>
          <w:jc w:val="center"/>
        </w:trPr>
        <w:tc>
          <w:tcPr>
            <w:tcW w:w="1859" w:type="dxa"/>
          </w:tcPr>
          <w:p w:rsidR="004F47BB" w:rsidRPr="004F47BB" w:rsidRDefault="004F47BB" w:rsidP="004F47BB">
            <w:pPr>
              <w:autoSpaceDE/>
              <w:autoSpaceDN/>
              <w:spacing w:before="120" w:after="120"/>
              <w:ind w:left="0" w:firstLine="0"/>
              <w:rPr>
                <w:rFonts w:cs="Arial"/>
                <w:noProof/>
                <w:sz w:val="18"/>
                <w:szCs w:val="20"/>
                <w:lang w:val="en-GB" w:eastAsia="en-US"/>
              </w:rPr>
            </w:pPr>
            <w:r w:rsidRPr="004F47BB">
              <w:rPr>
                <w:rFonts w:cs="Arial"/>
                <w:noProof/>
                <w:sz w:val="18"/>
                <w:szCs w:val="20"/>
                <w:lang w:val="en-GB" w:eastAsia="en-US"/>
              </w:rPr>
              <w:t>Sachverständiger</w:t>
            </w:r>
          </w:p>
        </w:tc>
        <w:tc>
          <w:tcPr>
            <w:tcW w:w="1800" w:type="dxa"/>
          </w:tcPr>
          <w:p w:rsidR="004F47BB" w:rsidRPr="004F47BB" w:rsidRDefault="004F47BB" w:rsidP="004F47BB">
            <w:pPr>
              <w:autoSpaceDE/>
              <w:autoSpaceDN/>
              <w:spacing w:before="120" w:after="120"/>
              <w:ind w:left="0" w:firstLine="0"/>
              <w:rPr>
                <w:rFonts w:cs="Arial"/>
                <w:noProof/>
                <w:sz w:val="18"/>
                <w:szCs w:val="20"/>
                <w:lang w:val="en-GB" w:eastAsia="en-US"/>
              </w:rPr>
            </w:pPr>
            <w:r w:rsidRPr="004F47BB">
              <w:rPr>
                <w:rFonts w:cs="Arial"/>
                <w:noProof/>
                <w:sz w:val="18"/>
                <w:szCs w:val="20"/>
                <w:lang w:val="en-GB" w:eastAsia="en-US"/>
              </w:rPr>
              <w:t>expert</w:t>
            </w:r>
          </w:p>
        </w:tc>
        <w:tc>
          <w:tcPr>
            <w:tcW w:w="1921" w:type="dxa"/>
          </w:tcPr>
          <w:p w:rsidR="004F47BB" w:rsidRPr="004F47BB" w:rsidRDefault="004F47BB" w:rsidP="004F47BB">
            <w:pPr>
              <w:autoSpaceDE/>
              <w:autoSpaceDN/>
              <w:spacing w:before="120" w:after="120"/>
              <w:ind w:left="0" w:firstLine="0"/>
              <w:rPr>
                <w:rFonts w:cs="Arial"/>
                <w:noProof/>
                <w:sz w:val="18"/>
                <w:szCs w:val="20"/>
                <w:lang w:val="en-GB" w:eastAsia="en-US"/>
              </w:rPr>
            </w:pPr>
            <w:r w:rsidRPr="004F47BB">
              <w:rPr>
                <w:rFonts w:cs="Arial"/>
                <w:noProof/>
                <w:sz w:val="18"/>
                <w:szCs w:val="20"/>
                <w:lang w:val="en-GB" w:eastAsia="en-US"/>
              </w:rPr>
              <w:t>expert</w:t>
            </w:r>
          </w:p>
        </w:tc>
        <w:tc>
          <w:tcPr>
            <w:tcW w:w="1807" w:type="dxa"/>
          </w:tcPr>
          <w:p w:rsidR="004F47BB" w:rsidRPr="004F47BB" w:rsidRDefault="004F47BB" w:rsidP="004F47BB">
            <w:pPr>
              <w:autoSpaceDE/>
              <w:autoSpaceDN/>
              <w:spacing w:before="120" w:after="120"/>
              <w:ind w:left="0" w:firstLine="0"/>
              <w:rPr>
                <w:rFonts w:cs="Arial"/>
                <w:noProof/>
                <w:sz w:val="18"/>
                <w:szCs w:val="20"/>
                <w:lang w:val="en-GB" w:eastAsia="en-US"/>
              </w:rPr>
            </w:pPr>
            <w:r w:rsidRPr="004F47BB">
              <w:rPr>
                <w:rFonts w:cs="Arial"/>
                <w:noProof/>
                <w:sz w:val="18"/>
                <w:szCs w:val="20"/>
                <w:lang w:val="en-GB" w:eastAsia="en-US"/>
              </w:rPr>
              <w:t>erkend deskundige</w:t>
            </w:r>
          </w:p>
        </w:tc>
      </w:tr>
      <w:tr w:rsidR="004F47BB" w:rsidRPr="004F47BB" w:rsidTr="00D45887">
        <w:trPr>
          <w:jc w:val="center"/>
        </w:trPr>
        <w:tc>
          <w:tcPr>
            <w:tcW w:w="1859" w:type="dxa"/>
          </w:tcPr>
          <w:p w:rsidR="004F47BB" w:rsidRPr="004F47BB" w:rsidRDefault="004F47BB" w:rsidP="004F47BB">
            <w:pPr>
              <w:autoSpaceDE/>
              <w:autoSpaceDN/>
              <w:spacing w:before="120" w:after="120"/>
              <w:ind w:left="0" w:firstLine="0"/>
              <w:rPr>
                <w:rFonts w:cs="Arial"/>
                <w:noProof/>
                <w:sz w:val="18"/>
                <w:szCs w:val="20"/>
                <w:lang w:val="en-GB" w:eastAsia="en-US"/>
              </w:rPr>
            </w:pPr>
            <w:r w:rsidRPr="004F47BB">
              <w:rPr>
                <w:rFonts w:cs="Arial"/>
                <w:noProof/>
                <w:sz w:val="18"/>
                <w:szCs w:val="20"/>
                <w:lang w:val="en-GB" w:eastAsia="en-US"/>
              </w:rPr>
              <w:t>Sachkundiger</w:t>
            </w:r>
          </w:p>
        </w:tc>
        <w:tc>
          <w:tcPr>
            <w:tcW w:w="1800" w:type="dxa"/>
          </w:tcPr>
          <w:p w:rsidR="004F47BB" w:rsidRPr="004F47BB" w:rsidRDefault="004F47BB" w:rsidP="004F47BB">
            <w:pPr>
              <w:autoSpaceDE/>
              <w:autoSpaceDN/>
              <w:spacing w:before="120" w:after="120"/>
              <w:ind w:left="0" w:firstLine="0"/>
              <w:rPr>
                <w:rFonts w:cs="Arial"/>
                <w:noProof/>
                <w:sz w:val="18"/>
                <w:szCs w:val="20"/>
                <w:lang w:val="en-GB" w:eastAsia="en-US"/>
              </w:rPr>
            </w:pPr>
            <w:r w:rsidRPr="004F47BB">
              <w:rPr>
                <w:rFonts w:cs="Arial"/>
                <w:noProof/>
                <w:sz w:val="18"/>
                <w:szCs w:val="20"/>
                <w:lang w:val="en-GB" w:eastAsia="en-US"/>
              </w:rPr>
              <w:t>competent person</w:t>
            </w:r>
          </w:p>
        </w:tc>
        <w:tc>
          <w:tcPr>
            <w:tcW w:w="1921" w:type="dxa"/>
          </w:tcPr>
          <w:p w:rsidR="004F47BB" w:rsidRPr="004F47BB" w:rsidRDefault="004F47BB" w:rsidP="004F47BB">
            <w:pPr>
              <w:autoSpaceDE/>
              <w:autoSpaceDN/>
              <w:spacing w:before="120" w:after="120"/>
              <w:ind w:left="0" w:firstLine="0"/>
              <w:rPr>
                <w:rFonts w:cs="Arial"/>
                <w:noProof/>
                <w:sz w:val="18"/>
                <w:szCs w:val="20"/>
                <w:lang w:val="en-GB" w:eastAsia="en-US"/>
              </w:rPr>
            </w:pPr>
            <w:r w:rsidRPr="004F47BB">
              <w:rPr>
                <w:rFonts w:cs="Arial"/>
                <w:noProof/>
                <w:sz w:val="18"/>
                <w:szCs w:val="20"/>
                <w:lang w:val="en-GB" w:eastAsia="en-US"/>
              </w:rPr>
              <w:t>spécialiste</w:t>
            </w:r>
          </w:p>
        </w:tc>
        <w:tc>
          <w:tcPr>
            <w:tcW w:w="1807" w:type="dxa"/>
          </w:tcPr>
          <w:p w:rsidR="004F47BB" w:rsidRPr="004F47BB" w:rsidRDefault="004F47BB" w:rsidP="004F47BB">
            <w:pPr>
              <w:autoSpaceDE/>
              <w:autoSpaceDN/>
              <w:spacing w:before="120" w:after="120"/>
              <w:ind w:left="0" w:firstLine="0"/>
              <w:rPr>
                <w:rFonts w:cs="Arial"/>
                <w:noProof/>
                <w:sz w:val="18"/>
                <w:szCs w:val="20"/>
                <w:lang w:val="en-GB" w:eastAsia="en-US"/>
              </w:rPr>
            </w:pPr>
            <w:r w:rsidRPr="004F47BB">
              <w:rPr>
                <w:rFonts w:cs="Arial"/>
                <w:noProof/>
                <w:sz w:val="18"/>
                <w:szCs w:val="20"/>
                <w:lang w:val="en-GB" w:eastAsia="en-US"/>
              </w:rPr>
              <w:t>deskundige</w:t>
            </w:r>
          </w:p>
        </w:tc>
      </w:tr>
      <w:tr w:rsidR="004F47BB" w:rsidRPr="004F47BB" w:rsidTr="00D45887">
        <w:trPr>
          <w:jc w:val="center"/>
        </w:trPr>
        <w:tc>
          <w:tcPr>
            <w:tcW w:w="1859" w:type="dxa"/>
          </w:tcPr>
          <w:p w:rsidR="004F47BB" w:rsidRPr="004F47BB" w:rsidRDefault="004F47BB" w:rsidP="004F47BB">
            <w:pPr>
              <w:autoSpaceDE/>
              <w:autoSpaceDN/>
              <w:spacing w:before="120" w:after="120"/>
              <w:ind w:left="0" w:firstLine="0"/>
              <w:rPr>
                <w:rFonts w:cs="Arial"/>
                <w:noProof/>
                <w:sz w:val="18"/>
                <w:szCs w:val="20"/>
                <w:lang w:val="en-GB" w:eastAsia="en-US"/>
              </w:rPr>
            </w:pPr>
            <w:r w:rsidRPr="004F47BB">
              <w:rPr>
                <w:rFonts w:cs="Arial"/>
                <w:noProof/>
                <w:sz w:val="18"/>
                <w:szCs w:val="20"/>
                <w:lang w:val="en-GB" w:eastAsia="en-US"/>
              </w:rPr>
              <w:t>Fachfirma</w:t>
            </w:r>
          </w:p>
        </w:tc>
        <w:tc>
          <w:tcPr>
            <w:tcW w:w="1800" w:type="dxa"/>
          </w:tcPr>
          <w:p w:rsidR="004F47BB" w:rsidRPr="004F47BB" w:rsidRDefault="004F47BB" w:rsidP="004F47BB">
            <w:pPr>
              <w:autoSpaceDE/>
              <w:autoSpaceDN/>
              <w:spacing w:before="120" w:after="120"/>
              <w:ind w:left="0" w:firstLine="0"/>
              <w:rPr>
                <w:rFonts w:cs="Arial"/>
                <w:noProof/>
                <w:sz w:val="18"/>
                <w:szCs w:val="20"/>
                <w:lang w:val="en-GB" w:eastAsia="en-US"/>
              </w:rPr>
            </w:pPr>
            <w:r w:rsidRPr="004F47BB">
              <w:rPr>
                <w:rFonts w:cs="Arial"/>
                <w:noProof/>
                <w:sz w:val="18"/>
                <w:szCs w:val="20"/>
                <w:lang w:val="en-GB" w:eastAsia="en-US"/>
              </w:rPr>
              <w:t>competent firm</w:t>
            </w:r>
          </w:p>
        </w:tc>
        <w:tc>
          <w:tcPr>
            <w:tcW w:w="1921" w:type="dxa"/>
          </w:tcPr>
          <w:p w:rsidR="004F47BB" w:rsidRPr="004F47BB" w:rsidRDefault="004F47BB" w:rsidP="004F47BB">
            <w:pPr>
              <w:autoSpaceDE/>
              <w:autoSpaceDN/>
              <w:spacing w:before="120" w:after="120"/>
              <w:ind w:left="0" w:firstLine="0"/>
              <w:rPr>
                <w:rFonts w:cs="Arial"/>
                <w:noProof/>
                <w:sz w:val="18"/>
                <w:szCs w:val="20"/>
                <w:lang w:val="en-GB" w:eastAsia="en-US"/>
              </w:rPr>
            </w:pPr>
            <w:r w:rsidRPr="004F47BB">
              <w:rPr>
                <w:rFonts w:cs="Arial"/>
                <w:noProof/>
                <w:sz w:val="18"/>
                <w:szCs w:val="20"/>
                <w:lang w:val="en-GB" w:eastAsia="en-US"/>
              </w:rPr>
              <w:t>société spécialisée</w:t>
            </w:r>
          </w:p>
        </w:tc>
        <w:tc>
          <w:tcPr>
            <w:tcW w:w="1807" w:type="dxa"/>
          </w:tcPr>
          <w:p w:rsidR="004F47BB" w:rsidRPr="004F47BB" w:rsidRDefault="004F47BB" w:rsidP="004F47BB">
            <w:pPr>
              <w:autoSpaceDE/>
              <w:autoSpaceDN/>
              <w:spacing w:before="120" w:after="120"/>
              <w:ind w:left="0" w:firstLine="0"/>
              <w:rPr>
                <w:rFonts w:cs="Arial"/>
                <w:noProof/>
                <w:sz w:val="18"/>
                <w:szCs w:val="20"/>
                <w:lang w:val="en-GB" w:eastAsia="en-US"/>
              </w:rPr>
            </w:pPr>
            <w:r w:rsidRPr="004F47BB">
              <w:rPr>
                <w:rFonts w:cs="Arial"/>
                <w:noProof/>
                <w:sz w:val="18"/>
                <w:szCs w:val="20"/>
                <w:lang w:val="en-GB" w:eastAsia="en-US"/>
              </w:rPr>
              <w:t>deskundig bedrijf</w:t>
            </w:r>
          </w:p>
        </w:tc>
      </w:tr>
    </w:tbl>
    <w:p w:rsidR="004F47BB" w:rsidRPr="004F47BB" w:rsidRDefault="004F47BB" w:rsidP="004F47BB">
      <w:pPr>
        <w:spacing w:line="240" w:lineRule="atLeast"/>
        <w:ind w:left="567" w:hanging="567"/>
        <w:rPr>
          <w:noProof/>
          <w:lang w:val="en-GB" w:eastAsia="en-US"/>
        </w:rPr>
      </w:pPr>
    </w:p>
    <w:p w:rsidR="004F47BB" w:rsidRPr="004F47BB" w:rsidRDefault="004F47BB" w:rsidP="004F47BB">
      <w:pPr>
        <w:spacing w:line="240" w:lineRule="atLeast"/>
        <w:ind w:left="567" w:hanging="567"/>
        <w:rPr>
          <w:b/>
          <w:lang w:val="en-GB" w:eastAsia="en-US"/>
        </w:rPr>
      </w:pPr>
      <w:r w:rsidRPr="004F47BB">
        <w:rPr>
          <w:noProof/>
          <w:lang w:val="en-GB" w:eastAsia="en-US"/>
        </w:rPr>
        <w:br w:type="page"/>
      </w:r>
      <w:r w:rsidRPr="004F47BB">
        <w:rPr>
          <w:b/>
          <w:lang w:val="en-GB" w:eastAsia="en-US"/>
        </w:rPr>
        <w:lastRenderedPageBreak/>
        <w:t>Acceptance tests</w:t>
      </w:r>
    </w:p>
    <w:p w:rsidR="004F47BB" w:rsidRPr="004F47BB" w:rsidRDefault="004F47BB" w:rsidP="004F47BB">
      <w:pPr>
        <w:ind w:left="0" w:firstLine="0"/>
        <w:rPr>
          <w:noProof/>
          <w:sz w:val="12"/>
          <w:lang w:val="en-GB" w:eastAsia="en-US" w:bidi="fr-FR"/>
        </w:rPr>
      </w:pPr>
    </w:p>
    <w:p w:rsidR="004F47BB" w:rsidRPr="004F47BB" w:rsidRDefault="004F47BB" w:rsidP="004F47BB">
      <w:pPr>
        <w:spacing w:line="240" w:lineRule="atLeast"/>
        <w:ind w:left="0" w:firstLine="0"/>
        <w:rPr>
          <w:noProof/>
          <w:lang w:val="en-GB" w:eastAsia="en-US" w:bidi="fr-FR"/>
        </w:rPr>
      </w:pPr>
      <w:r w:rsidRPr="004F47BB">
        <w:rPr>
          <w:noProof/>
          <w:lang w:val="en-GB" w:eastAsia="en-US" w:bidi="fr-FR"/>
        </w:rPr>
        <w:t>The table below summarises the schedule of acceptance tests, including their frequency and the type of inspector required to conduct them. This table is for information purposes only.</w:t>
      </w:r>
    </w:p>
    <w:p w:rsidR="004F47BB" w:rsidRPr="004F47BB" w:rsidRDefault="004F47BB" w:rsidP="004F47BB">
      <w:pPr>
        <w:ind w:left="0" w:firstLine="0"/>
        <w:rPr>
          <w:noProof/>
          <w:sz w:val="12"/>
          <w:lang w:val="en-GB" w:eastAsia="en-US" w:bidi="fr-FR"/>
        </w:rPr>
      </w:pPr>
    </w:p>
    <w:tbl>
      <w:tblPr>
        <w:tblW w:w="9118" w:type="dxa"/>
        <w:tblInd w:w="-10" w:type="dxa"/>
        <w:tblLayout w:type="fixed"/>
        <w:tblLook w:val="0000" w:firstRow="0" w:lastRow="0" w:firstColumn="0" w:lastColumn="0" w:noHBand="0" w:noVBand="0"/>
      </w:tblPr>
      <w:tblGrid>
        <w:gridCol w:w="1738"/>
        <w:gridCol w:w="3060"/>
        <w:gridCol w:w="2700"/>
        <w:gridCol w:w="1620"/>
      </w:tblGrid>
      <w:tr w:rsidR="004F47BB" w:rsidRPr="004F47BB" w:rsidTr="00D45887">
        <w:tc>
          <w:tcPr>
            <w:tcW w:w="1738" w:type="dxa"/>
            <w:tcBorders>
              <w:top w:val="single" w:sz="4" w:space="0" w:color="000000"/>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b/>
                <w:bCs/>
                <w:noProof/>
                <w:sz w:val="18"/>
                <w:szCs w:val="18"/>
                <w:lang w:val="en-GB" w:eastAsia="en-US"/>
              </w:rPr>
            </w:pPr>
            <w:r w:rsidRPr="004F47BB">
              <w:rPr>
                <w:rFonts w:cs="Arial"/>
                <w:b/>
                <w:bCs/>
                <w:noProof/>
                <w:sz w:val="18"/>
                <w:szCs w:val="18"/>
                <w:lang w:val="en-GB" w:eastAsia="en-US"/>
              </w:rPr>
              <w:t>Requirement</w:t>
            </w:r>
          </w:p>
        </w:tc>
        <w:tc>
          <w:tcPr>
            <w:tcW w:w="3060" w:type="dxa"/>
            <w:tcBorders>
              <w:top w:val="single" w:sz="4" w:space="0" w:color="000000"/>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b/>
                <w:bCs/>
                <w:noProof/>
                <w:sz w:val="18"/>
                <w:szCs w:val="18"/>
                <w:lang w:val="en-GB" w:eastAsia="en-US"/>
              </w:rPr>
            </w:pPr>
            <w:r w:rsidRPr="004F47BB">
              <w:rPr>
                <w:rFonts w:cs="Arial"/>
                <w:b/>
                <w:bCs/>
                <w:noProof/>
                <w:sz w:val="18"/>
                <w:szCs w:val="18"/>
                <w:lang w:val="en-GB" w:eastAsia="en-US"/>
              </w:rPr>
              <w:t>Subject matter</w:t>
            </w:r>
          </w:p>
        </w:tc>
        <w:tc>
          <w:tcPr>
            <w:tcW w:w="2700" w:type="dxa"/>
            <w:tcBorders>
              <w:top w:val="single" w:sz="4" w:space="0" w:color="000000"/>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b/>
                <w:bCs/>
                <w:noProof/>
                <w:sz w:val="18"/>
                <w:szCs w:val="18"/>
                <w:lang w:val="en-GB" w:eastAsia="en-US"/>
              </w:rPr>
            </w:pPr>
            <w:r w:rsidRPr="004F47BB">
              <w:rPr>
                <w:rFonts w:cs="Arial"/>
                <w:b/>
                <w:bCs/>
                <w:noProof/>
                <w:sz w:val="18"/>
                <w:szCs w:val="18"/>
                <w:lang w:val="en-GB" w:eastAsia="en-US"/>
              </w:rPr>
              <w:t>Maximum test interval</w:t>
            </w:r>
          </w:p>
        </w:tc>
        <w:tc>
          <w:tcPr>
            <w:tcW w:w="1620" w:type="dxa"/>
            <w:tcBorders>
              <w:top w:val="single" w:sz="4" w:space="0" w:color="000000"/>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b/>
                <w:bCs/>
                <w:noProof/>
                <w:sz w:val="18"/>
                <w:szCs w:val="18"/>
                <w:lang w:val="en-GB" w:eastAsia="en-US"/>
              </w:rPr>
            </w:pPr>
            <w:r w:rsidRPr="004F47BB">
              <w:rPr>
                <w:rFonts w:cs="Arial"/>
                <w:b/>
                <w:bCs/>
                <w:noProof/>
                <w:sz w:val="18"/>
                <w:szCs w:val="18"/>
                <w:lang w:val="en-GB" w:eastAsia="en-US"/>
              </w:rPr>
              <w:t>Inspector</w:t>
            </w:r>
          </w:p>
        </w:tc>
      </w:tr>
      <w:tr w:rsidR="004F47BB" w:rsidRPr="004F47BB" w:rsidTr="00D45887">
        <w:tc>
          <w:tcPr>
            <w:tcW w:w="1738"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Article 6.03(5)</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Hydraulic cylinders, pumps and motors</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8 years</w:t>
            </w: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Competent firm</w:t>
            </w:r>
          </w:p>
        </w:tc>
      </w:tr>
      <w:tr w:rsidR="004F47BB" w:rsidRPr="004F47BB" w:rsidTr="00D45887">
        <w:tc>
          <w:tcPr>
            <w:tcW w:w="1738"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Article 6.09(3)</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Motor-driven control equipment</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3 years</w:t>
            </w: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Competent person</w:t>
            </w:r>
          </w:p>
        </w:tc>
      </w:tr>
      <w:tr w:rsidR="004F47BB" w:rsidRPr="004F47BB" w:rsidTr="00D45887">
        <w:tc>
          <w:tcPr>
            <w:tcW w:w="1738" w:type="dxa"/>
            <w:tcBorders>
              <w:left w:val="single" w:sz="4" w:space="0" w:color="000000"/>
              <w:bottom w:val="single" w:sz="4" w:space="0" w:color="000000"/>
            </w:tcBorders>
            <w:vAlign w:val="center"/>
          </w:tcPr>
          <w:p w:rsidR="004F47BB" w:rsidRPr="004F47BB" w:rsidRDefault="004F47BB" w:rsidP="004F47BB">
            <w:pPr>
              <w:spacing w:before="60" w:after="60" w:line="240" w:lineRule="atLeast"/>
              <w:jc w:val="center"/>
              <w:rPr>
                <w:rFonts w:cs="Arial"/>
                <w:sz w:val="18"/>
                <w:szCs w:val="18"/>
                <w:lang w:val="en-GB"/>
              </w:rPr>
            </w:pPr>
            <w:r w:rsidRPr="004F47BB">
              <w:rPr>
                <w:rFonts w:cs="Arial"/>
                <w:sz w:val="18"/>
                <w:szCs w:val="18"/>
                <w:lang w:val="en-GB"/>
              </w:rPr>
              <w:t>Article 7.12(11)</w:t>
            </w:r>
          </w:p>
        </w:tc>
        <w:tc>
          <w:tcPr>
            <w:tcW w:w="3060" w:type="dxa"/>
            <w:tcBorders>
              <w:left w:val="single" w:sz="4" w:space="0" w:color="000000"/>
              <w:bottom w:val="single" w:sz="4" w:space="0" w:color="000000"/>
            </w:tcBorders>
            <w:vAlign w:val="center"/>
          </w:tcPr>
          <w:p w:rsidR="004F47BB" w:rsidRPr="004F47BB" w:rsidRDefault="004F47BB" w:rsidP="004F47BB">
            <w:pPr>
              <w:spacing w:before="60" w:after="60" w:line="240" w:lineRule="atLeast"/>
              <w:ind w:left="0" w:firstLine="0"/>
              <w:rPr>
                <w:rFonts w:cs="Arial"/>
                <w:sz w:val="18"/>
                <w:szCs w:val="18"/>
                <w:lang w:val="en-GB"/>
              </w:rPr>
            </w:pPr>
            <w:r w:rsidRPr="004F47BB">
              <w:rPr>
                <w:rFonts w:cs="Arial"/>
                <w:sz w:val="18"/>
                <w:szCs w:val="18"/>
                <w:lang w:val="en-GB"/>
              </w:rPr>
              <w:t>Elevating wheelhouses and their appliances</w:t>
            </w:r>
          </w:p>
        </w:tc>
        <w:tc>
          <w:tcPr>
            <w:tcW w:w="2700" w:type="dxa"/>
            <w:tcBorders>
              <w:left w:val="single" w:sz="4" w:space="0" w:color="000000"/>
              <w:bottom w:val="single" w:sz="4" w:space="0" w:color="000000"/>
            </w:tcBorders>
            <w:vAlign w:val="center"/>
          </w:tcPr>
          <w:p w:rsidR="004F47BB" w:rsidRPr="004F47BB" w:rsidRDefault="004F47BB" w:rsidP="004F47BB">
            <w:pPr>
              <w:spacing w:before="60" w:after="60" w:line="240" w:lineRule="atLeast"/>
              <w:jc w:val="center"/>
              <w:rPr>
                <w:rFonts w:cs="Arial"/>
                <w:sz w:val="18"/>
                <w:szCs w:val="18"/>
                <w:lang w:val="en-GB"/>
              </w:rPr>
            </w:pPr>
            <w:r w:rsidRPr="004F47BB">
              <w:rPr>
                <w:rFonts w:cs="Arial"/>
                <w:sz w:val="18"/>
                <w:szCs w:val="18"/>
                <w:lang w:val="en-GB"/>
              </w:rPr>
              <w:t>1 year</w:t>
            </w: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spacing w:before="60" w:after="60" w:line="240" w:lineRule="atLeast"/>
              <w:ind w:left="25" w:hanging="25"/>
              <w:jc w:val="center"/>
              <w:rPr>
                <w:rFonts w:cs="Arial"/>
                <w:sz w:val="18"/>
                <w:szCs w:val="18"/>
                <w:lang w:val="en-GB"/>
              </w:rPr>
            </w:pPr>
            <w:r w:rsidRPr="004F47BB">
              <w:rPr>
                <w:rFonts w:cs="Arial"/>
                <w:sz w:val="18"/>
                <w:szCs w:val="18"/>
                <w:lang w:val="en-GB"/>
              </w:rPr>
              <w:t>Competent person</w:t>
            </w:r>
          </w:p>
        </w:tc>
      </w:tr>
      <w:tr w:rsidR="004F47BB" w:rsidRPr="004F47BB" w:rsidTr="00D45887">
        <w:tc>
          <w:tcPr>
            <w:tcW w:w="1738" w:type="dxa"/>
            <w:tcBorders>
              <w:left w:val="single" w:sz="4" w:space="0" w:color="000000"/>
              <w:bottom w:val="single" w:sz="4" w:space="0" w:color="000000"/>
            </w:tcBorders>
            <w:vAlign w:val="center"/>
          </w:tcPr>
          <w:p w:rsidR="004F47BB" w:rsidRPr="004F47BB" w:rsidRDefault="004F47BB" w:rsidP="004F47BB">
            <w:pPr>
              <w:spacing w:before="60" w:after="60" w:line="240" w:lineRule="atLeast"/>
              <w:jc w:val="center"/>
              <w:rPr>
                <w:rFonts w:cs="Arial"/>
                <w:sz w:val="18"/>
                <w:szCs w:val="18"/>
                <w:lang w:val="en-GB"/>
              </w:rPr>
            </w:pPr>
            <w:r w:rsidRPr="004F47BB">
              <w:rPr>
                <w:rFonts w:cs="Arial"/>
                <w:sz w:val="18"/>
                <w:szCs w:val="18"/>
                <w:lang w:val="en-GB"/>
              </w:rPr>
              <w:t>Article 7.12(12)</w:t>
            </w:r>
          </w:p>
        </w:tc>
        <w:tc>
          <w:tcPr>
            <w:tcW w:w="3060" w:type="dxa"/>
            <w:tcBorders>
              <w:left w:val="single" w:sz="4" w:space="0" w:color="000000"/>
              <w:bottom w:val="single" w:sz="4" w:space="0" w:color="000000"/>
            </w:tcBorders>
            <w:vAlign w:val="center"/>
          </w:tcPr>
          <w:p w:rsidR="004F47BB" w:rsidRPr="004F47BB" w:rsidRDefault="004F47BB" w:rsidP="004F47BB">
            <w:pPr>
              <w:spacing w:before="60" w:after="60" w:line="240" w:lineRule="atLeast"/>
              <w:ind w:left="0" w:firstLine="0"/>
              <w:rPr>
                <w:rFonts w:cs="Arial"/>
                <w:sz w:val="18"/>
                <w:szCs w:val="18"/>
                <w:lang w:val="en-GB"/>
              </w:rPr>
            </w:pPr>
            <w:r w:rsidRPr="004F47BB">
              <w:rPr>
                <w:rFonts w:cs="Arial"/>
                <w:sz w:val="18"/>
                <w:szCs w:val="18"/>
                <w:lang w:val="en-GB"/>
              </w:rPr>
              <w:t>Elevating wheelhouses and their appliances</w:t>
            </w:r>
          </w:p>
        </w:tc>
        <w:tc>
          <w:tcPr>
            <w:tcW w:w="2700" w:type="dxa"/>
            <w:tcBorders>
              <w:left w:val="single" w:sz="4" w:space="0" w:color="000000"/>
              <w:bottom w:val="single" w:sz="4" w:space="0" w:color="000000"/>
            </w:tcBorders>
            <w:vAlign w:val="center"/>
          </w:tcPr>
          <w:p w:rsidR="004F47BB" w:rsidRPr="004F47BB" w:rsidRDefault="004F47BB" w:rsidP="004F47BB">
            <w:pPr>
              <w:spacing w:before="60" w:after="60" w:line="240" w:lineRule="atLeast"/>
              <w:jc w:val="center"/>
              <w:rPr>
                <w:rFonts w:cs="Arial"/>
                <w:sz w:val="18"/>
                <w:szCs w:val="18"/>
                <w:lang w:val="en-GB"/>
              </w:rPr>
            </w:pPr>
            <w:r w:rsidRPr="004F47BB">
              <w:rPr>
                <w:rFonts w:cs="Arial"/>
                <w:sz w:val="18"/>
                <w:szCs w:val="18"/>
                <w:lang w:val="en-GB"/>
              </w:rPr>
              <w:t>5 years</w:t>
            </w: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spacing w:before="60" w:after="60" w:line="240" w:lineRule="atLeast"/>
              <w:jc w:val="center"/>
              <w:rPr>
                <w:rFonts w:cs="Arial"/>
                <w:sz w:val="18"/>
                <w:szCs w:val="18"/>
                <w:lang w:val="en-GB"/>
              </w:rPr>
            </w:pPr>
            <w:r w:rsidRPr="004F47BB">
              <w:rPr>
                <w:rFonts w:cs="Arial"/>
                <w:sz w:val="18"/>
                <w:szCs w:val="18"/>
                <w:lang w:val="en-GB"/>
              </w:rPr>
              <w:t>Expert</w:t>
            </w:r>
          </w:p>
        </w:tc>
      </w:tr>
      <w:tr w:rsidR="004F47BB" w:rsidRPr="004F47BB" w:rsidTr="00D45887">
        <w:trPr>
          <w:trHeight w:val="515"/>
        </w:trPr>
        <w:tc>
          <w:tcPr>
            <w:tcW w:w="1738"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Article 8.01(2)</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Pressure vessels</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5 years</w:t>
            </w: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Expert</w:t>
            </w:r>
          </w:p>
        </w:tc>
      </w:tr>
      <w:tr w:rsidR="004F47BB" w:rsidRPr="004F47BB" w:rsidTr="00D45887">
        <w:tc>
          <w:tcPr>
            <w:tcW w:w="1738"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Article 13.03(5)</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Portable fire extinguishers</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2 years</w:t>
            </w: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Competent person</w:t>
            </w:r>
          </w:p>
        </w:tc>
      </w:tr>
      <w:tr w:rsidR="004F47BB" w:rsidRPr="004F47BB" w:rsidTr="00D45887">
        <w:tc>
          <w:tcPr>
            <w:tcW w:w="1738"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Article 13.04(6)(a) to (c)</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Permanently installed firefighting systems</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Expert</w:t>
            </w:r>
          </w:p>
        </w:tc>
      </w:tr>
      <w:tr w:rsidR="004F47BB" w:rsidRPr="00505433" w:rsidTr="00D45887">
        <w:tc>
          <w:tcPr>
            <w:tcW w:w="1738"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Article 13.04(6)(d)</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Permanently installed firefighting systems</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2 years</w:t>
            </w: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Competent person or competent firm</w:t>
            </w:r>
          </w:p>
        </w:tc>
      </w:tr>
      <w:tr w:rsidR="004F47BB" w:rsidRPr="004F47BB" w:rsidTr="00D45887">
        <w:tc>
          <w:tcPr>
            <w:tcW w:w="1738"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Article 13.05(9)(b) (aa) to (cc)</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Permanently installed firefighting systems</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Expert</w:t>
            </w:r>
          </w:p>
        </w:tc>
      </w:tr>
      <w:tr w:rsidR="004F47BB" w:rsidRPr="00505433" w:rsidTr="00D45887">
        <w:tc>
          <w:tcPr>
            <w:tcW w:w="1738"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Article 13.05(9)(b) (dd)</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Permanently installed firefighting systems</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2 years</w:t>
            </w: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Competent person or competent firm</w:t>
            </w:r>
          </w:p>
        </w:tc>
      </w:tr>
      <w:tr w:rsidR="004F47BB" w:rsidRPr="00505433" w:rsidTr="00D45887">
        <w:tc>
          <w:tcPr>
            <w:tcW w:w="1738"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Article 13.07(3)</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Inflatable ship’s boats</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As specified by the manufacturer</w:t>
            </w: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p>
        </w:tc>
      </w:tr>
      <w:tr w:rsidR="004F47BB" w:rsidRPr="00505433" w:rsidTr="00D45887">
        <w:tc>
          <w:tcPr>
            <w:tcW w:w="1738"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Article 13.08(3)</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Lifejackets</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As specified by the manufacturer</w:t>
            </w: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p>
        </w:tc>
      </w:tr>
      <w:tr w:rsidR="004F47BB" w:rsidRPr="004F47BB" w:rsidTr="00D45887">
        <w:tc>
          <w:tcPr>
            <w:tcW w:w="1738"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Article 14.12(6)</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Cranes</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10 years</w:t>
            </w: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Expert</w:t>
            </w:r>
          </w:p>
        </w:tc>
      </w:tr>
      <w:tr w:rsidR="004F47BB" w:rsidRPr="004F47BB" w:rsidTr="00D45887">
        <w:tc>
          <w:tcPr>
            <w:tcW w:w="1738"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Article 14.12(7)</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Cranes</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1 year</w:t>
            </w: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Competent person</w:t>
            </w:r>
          </w:p>
        </w:tc>
      </w:tr>
      <w:tr w:rsidR="004F47BB" w:rsidRPr="004F47BB" w:rsidTr="00D45887">
        <w:tc>
          <w:tcPr>
            <w:tcW w:w="1738"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Article 17.13</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Liquefied gas installations</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3 years</w:t>
            </w: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Expert</w:t>
            </w:r>
          </w:p>
        </w:tc>
      </w:tr>
      <w:tr w:rsidR="004F47BB" w:rsidRPr="00505433" w:rsidTr="00D45887">
        <w:tc>
          <w:tcPr>
            <w:tcW w:w="1738"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Article 19.09(9)</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Life-saving equipment</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As specified by the manufacturer</w:t>
            </w: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p>
        </w:tc>
      </w:tr>
      <w:tr w:rsidR="004F47BB" w:rsidRPr="00505433" w:rsidTr="00D45887">
        <w:tc>
          <w:tcPr>
            <w:tcW w:w="1738"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Article 19.10(9)</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Insulating resistance, earthing</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before expiry of validity of the inland navigation vessel certificate</w:t>
            </w: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p>
        </w:tc>
      </w:tr>
      <w:tr w:rsidR="004F47BB" w:rsidRPr="004F47BB" w:rsidTr="00D45887">
        <w:tc>
          <w:tcPr>
            <w:tcW w:w="1738" w:type="dxa"/>
            <w:tcBorders>
              <w:left w:val="single" w:sz="4" w:space="0" w:color="000000"/>
              <w:bottom w:val="single" w:sz="4" w:space="0" w:color="000000"/>
            </w:tcBorders>
            <w:vAlign w:val="center"/>
          </w:tcPr>
          <w:p w:rsidR="004F47BB" w:rsidRPr="004F47BB" w:rsidDel="008047E6"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Instruction ESI­II­13 section 3.1(a) and (b)</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Fire alarm systems</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Expert</w:t>
            </w:r>
          </w:p>
        </w:tc>
      </w:tr>
      <w:tr w:rsidR="004F47BB" w:rsidRPr="004F47BB" w:rsidTr="00D45887">
        <w:tc>
          <w:tcPr>
            <w:tcW w:w="1738"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eastAsia="en-US"/>
              </w:rPr>
            </w:pPr>
            <w:r w:rsidRPr="004F47BB">
              <w:rPr>
                <w:rFonts w:cs="Arial"/>
                <w:noProof/>
                <w:sz w:val="18"/>
                <w:szCs w:val="18"/>
                <w:lang w:eastAsia="en-US"/>
              </w:rPr>
              <w:t>Instruction ESI­II­13 section 3.1 (c)</w:t>
            </w:r>
          </w:p>
        </w:tc>
        <w:tc>
          <w:tcPr>
            <w:tcW w:w="306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Fire alarm systems</w:t>
            </w:r>
          </w:p>
        </w:tc>
        <w:tc>
          <w:tcPr>
            <w:tcW w:w="2700" w:type="dxa"/>
            <w:tcBorders>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2 years</w:t>
            </w:r>
          </w:p>
        </w:tc>
        <w:tc>
          <w:tcPr>
            <w:tcW w:w="1620" w:type="dxa"/>
            <w:tcBorders>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Expert or competent person</w:t>
            </w:r>
          </w:p>
        </w:tc>
      </w:tr>
      <w:tr w:rsidR="004F47BB" w:rsidRPr="004F47BB" w:rsidTr="00D45887">
        <w:tc>
          <w:tcPr>
            <w:tcW w:w="1738" w:type="dxa"/>
            <w:tcBorders>
              <w:top w:val="single" w:sz="4" w:space="0" w:color="000000"/>
              <w:left w:val="single" w:sz="4" w:space="0" w:color="000000"/>
              <w:bottom w:val="single" w:sz="4" w:space="0" w:color="000000"/>
            </w:tcBorders>
            <w:vAlign w:val="center"/>
          </w:tcPr>
          <w:p w:rsidR="004F47BB" w:rsidRPr="004F47BB" w:rsidDel="008047E6"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Instruction ESI­III­4 section 8.1 (a) and (b)</w:t>
            </w:r>
          </w:p>
        </w:tc>
        <w:tc>
          <w:tcPr>
            <w:tcW w:w="3060" w:type="dxa"/>
            <w:tcBorders>
              <w:top w:val="single" w:sz="4" w:space="0" w:color="000000"/>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Safety guidance systems</w:t>
            </w:r>
          </w:p>
        </w:tc>
        <w:tc>
          <w:tcPr>
            <w:tcW w:w="2700" w:type="dxa"/>
            <w:tcBorders>
              <w:top w:val="single" w:sz="4" w:space="0" w:color="000000"/>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Expert</w:t>
            </w:r>
          </w:p>
        </w:tc>
      </w:tr>
      <w:tr w:rsidR="004F47BB" w:rsidRPr="004F47BB" w:rsidTr="00D45887">
        <w:tc>
          <w:tcPr>
            <w:tcW w:w="1738" w:type="dxa"/>
            <w:tcBorders>
              <w:top w:val="single" w:sz="4" w:space="0" w:color="000000"/>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eastAsia="en-US"/>
              </w:rPr>
            </w:pPr>
            <w:r w:rsidRPr="004F47BB">
              <w:rPr>
                <w:rFonts w:cs="Arial"/>
                <w:noProof/>
                <w:sz w:val="18"/>
                <w:szCs w:val="18"/>
                <w:lang w:eastAsia="en-US"/>
              </w:rPr>
              <w:t xml:space="preserve">Instruction ESI­III­4 section 8.1 (c) </w:t>
            </w:r>
          </w:p>
        </w:tc>
        <w:tc>
          <w:tcPr>
            <w:tcW w:w="3060" w:type="dxa"/>
            <w:tcBorders>
              <w:top w:val="single" w:sz="4" w:space="0" w:color="000000"/>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Safety guidance systems</w:t>
            </w:r>
          </w:p>
        </w:tc>
        <w:tc>
          <w:tcPr>
            <w:tcW w:w="2700" w:type="dxa"/>
            <w:tcBorders>
              <w:top w:val="single" w:sz="4" w:space="0" w:color="000000"/>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5 years</w:t>
            </w:r>
          </w:p>
        </w:tc>
        <w:tc>
          <w:tcPr>
            <w:tcW w:w="1620" w:type="dxa"/>
            <w:tcBorders>
              <w:top w:val="single" w:sz="4" w:space="0" w:color="000000"/>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Expert or competent person</w:t>
            </w:r>
          </w:p>
        </w:tc>
      </w:tr>
      <w:tr w:rsidR="004F47BB" w:rsidRPr="004F47BB" w:rsidTr="00D45887">
        <w:tc>
          <w:tcPr>
            <w:tcW w:w="1738" w:type="dxa"/>
            <w:tcBorders>
              <w:top w:val="single" w:sz="4" w:space="0" w:color="000000"/>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Instruction ESI­III­5</w:t>
            </w:r>
          </w:p>
        </w:tc>
        <w:tc>
          <w:tcPr>
            <w:tcW w:w="3060" w:type="dxa"/>
            <w:tcBorders>
              <w:top w:val="single" w:sz="4" w:space="0" w:color="000000"/>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rPr>
                <w:rFonts w:cs="Arial"/>
                <w:noProof/>
                <w:sz w:val="18"/>
                <w:szCs w:val="18"/>
                <w:lang w:val="en-GB" w:eastAsia="en-US"/>
              </w:rPr>
            </w:pPr>
            <w:r w:rsidRPr="004F47BB">
              <w:rPr>
                <w:rFonts w:cs="Arial"/>
                <w:noProof/>
                <w:sz w:val="18"/>
                <w:szCs w:val="18"/>
                <w:lang w:val="en-GB" w:eastAsia="en-US"/>
              </w:rPr>
              <w:t xml:space="preserve">Gaswarning equipment </w:t>
            </w:r>
          </w:p>
        </w:tc>
        <w:tc>
          <w:tcPr>
            <w:tcW w:w="2700" w:type="dxa"/>
            <w:tcBorders>
              <w:top w:val="single" w:sz="4" w:space="0" w:color="000000"/>
              <w:left w:val="single" w:sz="4" w:space="0" w:color="000000"/>
              <w:bottom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As specified by the manufacturer</w:t>
            </w:r>
          </w:p>
        </w:tc>
        <w:tc>
          <w:tcPr>
            <w:tcW w:w="1620" w:type="dxa"/>
            <w:tcBorders>
              <w:top w:val="single" w:sz="4" w:space="0" w:color="000000"/>
              <w:left w:val="single" w:sz="4" w:space="0" w:color="000000"/>
              <w:bottom w:val="single" w:sz="4" w:space="0" w:color="000000"/>
              <w:right w:val="single" w:sz="4" w:space="0" w:color="000000"/>
            </w:tcBorders>
            <w:vAlign w:val="center"/>
          </w:tcPr>
          <w:p w:rsidR="004F47BB" w:rsidRPr="004F47BB" w:rsidRDefault="004F47BB" w:rsidP="004F47BB">
            <w:pPr>
              <w:autoSpaceDE/>
              <w:autoSpaceDN/>
              <w:snapToGrid w:val="0"/>
              <w:spacing w:line="240" w:lineRule="atLeast"/>
              <w:ind w:left="0" w:firstLine="0"/>
              <w:jc w:val="center"/>
              <w:rPr>
                <w:rFonts w:cs="Arial"/>
                <w:noProof/>
                <w:sz w:val="18"/>
                <w:szCs w:val="18"/>
                <w:lang w:val="en-GB" w:eastAsia="en-US"/>
              </w:rPr>
            </w:pPr>
            <w:r w:rsidRPr="004F47BB">
              <w:rPr>
                <w:rFonts w:cs="Arial"/>
                <w:noProof/>
                <w:sz w:val="18"/>
                <w:szCs w:val="18"/>
                <w:lang w:val="en-GB" w:eastAsia="en-US"/>
              </w:rPr>
              <w:t>Expert or competent person</w:t>
            </w:r>
          </w:p>
        </w:tc>
      </w:tr>
    </w:tbl>
    <w:p w:rsidR="004F47BB" w:rsidRPr="004F47BB" w:rsidRDefault="004F47BB" w:rsidP="004F47BB">
      <w:pPr>
        <w:spacing w:line="240" w:lineRule="atLeast"/>
        <w:ind w:left="567" w:hanging="567"/>
      </w:pPr>
    </w:p>
    <w:p w:rsidR="004F47BB" w:rsidRPr="004F47BB" w:rsidRDefault="004F47BB" w:rsidP="004F47BB">
      <w:pPr>
        <w:spacing w:line="240" w:lineRule="atLeast"/>
        <w:ind w:left="567" w:hanging="567"/>
        <w:sectPr w:rsidR="004F47BB" w:rsidRPr="004F47BB" w:rsidSect="00D45887">
          <w:footerReference w:type="first" r:id="rId112"/>
          <w:pgSz w:w="11907" w:h="16840" w:code="9"/>
          <w:pgMar w:top="1418" w:right="1418" w:bottom="1418" w:left="1418" w:header="680" w:footer="680" w:gutter="0"/>
          <w:cols w:space="720"/>
          <w:noEndnote/>
          <w:titlePg/>
        </w:sectPr>
      </w:pPr>
    </w:p>
    <w:p w:rsidR="004F47BB" w:rsidRPr="004F47BB" w:rsidRDefault="004F47BB" w:rsidP="00A84512">
      <w:pPr>
        <w:pStyle w:val="ES-Titre1"/>
      </w:pPr>
      <w:bookmarkStart w:id="390" w:name="_Toc491854349"/>
      <w:r w:rsidRPr="004F47BB">
        <w:lastRenderedPageBreak/>
        <w:t>PART II</w:t>
      </w:r>
      <w:r w:rsidRPr="004F47BB">
        <w:br/>
        <w:t>PROVISIONS REGARDING SHIPBUILDING, FITTING OUT AND EQUIPMENT</w:t>
      </w:r>
      <w:bookmarkEnd w:id="390"/>
    </w:p>
    <w:p w:rsidR="004F47BB" w:rsidRPr="004F47BB" w:rsidRDefault="004F47BB" w:rsidP="004F47BB">
      <w:pPr>
        <w:spacing w:line="240" w:lineRule="atLeast"/>
        <w:ind w:left="567" w:hanging="567"/>
        <w:rPr>
          <w:lang w:val="en-US"/>
        </w:rPr>
      </w:pPr>
    </w:p>
    <w:p w:rsidR="004F47BB" w:rsidRPr="004F47BB" w:rsidRDefault="004F47BB" w:rsidP="00A84512">
      <w:pPr>
        <w:pStyle w:val="ES-Titre2ESI"/>
      </w:pPr>
      <w:bookmarkStart w:id="391" w:name="_Toc491854350"/>
      <w:r w:rsidRPr="004F47BB">
        <w:t>ESI-II-1</w:t>
      </w:r>
      <w:r w:rsidRPr="004F47BB">
        <w:br/>
        <w:t>Minimum hull thickness of barges</w:t>
      </w:r>
      <w:bookmarkEnd w:id="391"/>
    </w:p>
    <w:p w:rsidR="004F47BB" w:rsidRPr="004F47BB" w:rsidRDefault="004F47BB" w:rsidP="004F47BB">
      <w:pPr>
        <w:spacing w:line="240" w:lineRule="atLeast"/>
        <w:ind w:left="567" w:hanging="567"/>
        <w:rPr>
          <w:lang w:val="en-US"/>
        </w:rPr>
      </w:pPr>
    </w:p>
    <w:p w:rsidR="004F47BB" w:rsidRPr="004F47BB" w:rsidRDefault="004F47BB" w:rsidP="004F47BB">
      <w:pPr>
        <w:tabs>
          <w:tab w:val="left" w:pos="284"/>
          <w:tab w:val="left" w:pos="567"/>
        </w:tabs>
        <w:overflowPunct w:val="0"/>
        <w:adjustRightInd w:val="0"/>
        <w:ind w:left="284" w:hanging="284"/>
        <w:jc w:val="center"/>
        <w:textAlignment w:val="baseline"/>
        <w:rPr>
          <w:b/>
          <w:szCs w:val="20"/>
          <w:lang w:val="en-US"/>
        </w:rPr>
      </w:pPr>
      <w:r w:rsidRPr="004F47BB">
        <w:rPr>
          <w:b/>
          <w:szCs w:val="20"/>
          <w:lang w:val="en-US"/>
        </w:rPr>
        <w:t>(Article 3.02(1))</w:t>
      </w:r>
    </w:p>
    <w:p w:rsidR="004F47BB" w:rsidRPr="004F47BB" w:rsidRDefault="004F47BB" w:rsidP="004F47BB">
      <w:pPr>
        <w:tabs>
          <w:tab w:val="left" w:pos="284"/>
          <w:tab w:val="left" w:pos="567"/>
        </w:tabs>
        <w:overflowPunct w:val="0"/>
        <w:adjustRightInd w:val="0"/>
        <w:ind w:left="284" w:hanging="284"/>
        <w:jc w:val="left"/>
        <w:textAlignment w:val="baseline"/>
        <w:rPr>
          <w:szCs w:val="20"/>
          <w:lang w:val="en-US"/>
        </w:rPr>
      </w:pPr>
    </w:p>
    <w:p w:rsidR="004F47BB" w:rsidRPr="004F47BB" w:rsidRDefault="004F47BB" w:rsidP="004F47BB">
      <w:pPr>
        <w:spacing w:line="240" w:lineRule="atLeast"/>
        <w:ind w:left="0" w:firstLine="0"/>
        <w:rPr>
          <w:noProof/>
          <w:lang w:val="en-US" w:bidi="fr-FR"/>
        </w:rPr>
      </w:pPr>
      <w:r w:rsidRPr="004F47BB">
        <w:rPr>
          <w:noProof/>
          <w:lang w:val="en-US" w:bidi="fr-FR"/>
        </w:rPr>
        <w:t>During periodical inspections of barges which are exclusively towed, the inspection body may allow minor deviations from Article 3.02(1)(b) with respect to the minimum thickness of the shell plating of the hull. The deviation shall not be more than 10 %, and the minimum hull thickness shall not be less than 3 mm.</w:t>
      </w:r>
    </w:p>
    <w:p w:rsidR="004F47BB" w:rsidRPr="004F47BB" w:rsidRDefault="004F47BB" w:rsidP="004F47BB">
      <w:pPr>
        <w:spacing w:line="240" w:lineRule="atLeast"/>
        <w:ind w:left="0" w:firstLine="0"/>
        <w:rPr>
          <w:noProof/>
          <w:lang w:val="en-US" w:bidi="fr-FR"/>
        </w:rPr>
      </w:pPr>
    </w:p>
    <w:p w:rsidR="004F47BB" w:rsidRPr="004F47BB" w:rsidRDefault="004F47BB" w:rsidP="004F47BB">
      <w:pPr>
        <w:spacing w:line="240" w:lineRule="atLeast"/>
        <w:ind w:left="0" w:firstLine="0"/>
        <w:rPr>
          <w:noProof/>
          <w:lang w:val="en-US" w:bidi="fr-FR"/>
        </w:rPr>
      </w:pPr>
      <w:r w:rsidRPr="004F47BB">
        <w:rPr>
          <w:noProof/>
          <w:lang w:val="en-US" w:bidi="fr-FR"/>
        </w:rPr>
        <w:t>The deviations shall be entered in the inland navigation vessel certificate.</w:t>
      </w:r>
    </w:p>
    <w:p w:rsidR="004F47BB" w:rsidRPr="004F47BB" w:rsidRDefault="004F47BB" w:rsidP="004F47BB">
      <w:pPr>
        <w:spacing w:line="240" w:lineRule="atLeast"/>
        <w:ind w:left="0" w:firstLine="0"/>
        <w:rPr>
          <w:noProof/>
          <w:lang w:val="en-US" w:bidi="fr-FR"/>
        </w:rPr>
      </w:pPr>
    </w:p>
    <w:p w:rsidR="004F47BB" w:rsidRPr="004F47BB" w:rsidRDefault="004F47BB" w:rsidP="004F47BB">
      <w:pPr>
        <w:spacing w:line="240" w:lineRule="atLeast"/>
        <w:ind w:left="0" w:firstLine="0"/>
        <w:rPr>
          <w:noProof/>
          <w:lang w:val="en-US" w:bidi="fr-FR"/>
        </w:rPr>
      </w:pPr>
      <w:r w:rsidRPr="004F47BB">
        <w:rPr>
          <w:noProof/>
          <w:lang w:val="en-US" w:bidi="fr-FR"/>
        </w:rPr>
        <w:t>Under item 14 of the inland navigation vessel certificate, only property under item 6.2 ‘Towed as a craft with no motive power of its own’ shall apply</w:t>
      </w:r>
    </w:p>
    <w:p w:rsidR="004F47BB" w:rsidRPr="004F47BB" w:rsidRDefault="004F47BB" w:rsidP="004F47BB">
      <w:pPr>
        <w:spacing w:line="240" w:lineRule="atLeast"/>
        <w:ind w:left="0" w:firstLine="0"/>
        <w:rPr>
          <w:noProof/>
          <w:lang w:val="en-US" w:bidi="fr-FR"/>
        </w:rPr>
      </w:pPr>
    </w:p>
    <w:p w:rsidR="004F47BB" w:rsidRPr="004F47BB" w:rsidRDefault="004F47BB" w:rsidP="004F47BB">
      <w:pPr>
        <w:spacing w:line="240" w:lineRule="atLeast"/>
        <w:ind w:left="0" w:firstLine="0"/>
        <w:rPr>
          <w:noProof/>
          <w:lang w:val="en-US" w:bidi="fr-FR"/>
        </w:rPr>
      </w:pPr>
      <w:r w:rsidRPr="004F47BB">
        <w:rPr>
          <w:noProof/>
          <w:lang w:val="en-US" w:bidi="fr-FR"/>
        </w:rPr>
        <w:t>Properties under items 1 to 5.3 and 6.1 shall be deleted.</w:t>
      </w:r>
    </w:p>
    <w:p w:rsidR="004F47BB" w:rsidRPr="004F47BB" w:rsidRDefault="004F47BB" w:rsidP="004F47BB">
      <w:pPr>
        <w:spacing w:line="240" w:lineRule="atLeast"/>
        <w:ind w:left="0" w:firstLine="0"/>
        <w:rPr>
          <w:noProof/>
          <w:lang w:val="en-US" w:bidi="fr-FR"/>
        </w:rPr>
      </w:pPr>
    </w:p>
    <w:p w:rsidR="004F47BB" w:rsidRPr="004F47BB" w:rsidRDefault="004F47BB" w:rsidP="004F47BB">
      <w:pPr>
        <w:spacing w:line="240" w:lineRule="atLeast"/>
        <w:ind w:left="0" w:firstLine="0"/>
        <w:rPr>
          <w:noProof/>
          <w:lang w:val="en-US" w:bidi="fr-FR"/>
        </w:rPr>
      </w:pPr>
    </w:p>
    <w:p w:rsidR="004F47BB" w:rsidRPr="004F47BB" w:rsidRDefault="004F47BB" w:rsidP="004F47BB">
      <w:pPr>
        <w:spacing w:line="240" w:lineRule="atLeast"/>
        <w:ind w:left="567" w:hanging="567"/>
        <w:rPr>
          <w:lang w:val="en-US"/>
        </w:rPr>
      </w:pPr>
      <w:r w:rsidRPr="004F47BB">
        <w:rPr>
          <w:lang w:val="en-US"/>
        </w:rPr>
        <w:br w:type="page"/>
      </w:r>
    </w:p>
    <w:p w:rsidR="004F47BB" w:rsidRPr="004F47BB" w:rsidRDefault="004F47BB" w:rsidP="004F47BB">
      <w:pPr>
        <w:spacing w:line="240" w:lineRule="atLeast"/>
        <w:ind w:left="567" w:hanging="567"/>
        <w:rPr>
          <w:lang w:val="en-US"/>
        </w:rPr>
      </w:pPr>
    </w:p>
    <w:p w:rsidR="004F47BB" w:rsidRDefault="004F47BB" w:rsidP="004F47BB">
      <w:pPr>
        <w:spacing w:line="240" w:lineRule="atLeast"/>
        <w:ind w:left="567" w:hanging="567"/>
        <w:rPr>
          <w:lang w:val="en-US"/>
        </w:rPr>
      </w:pPr>
    </w:p>
    <w:p w:rsidR="005B46C9" w:rsidRDefault="005B46C9" w:rsidP="004F47BB">
      <w:pPr>
        <w:spacing w:line="240" w:lineRule="atLeast"/>
        <w:ind w:left="567" w:hanging="567"/>
        <w:rPr>
          <w:lang w:val="en-US"/>
        </w:rPr>
      </w:pPr>
    </w:p>
    <w:p w:rsidR="005B46C9" w:rsidRPr="004F47BB" w:rsidRDefault="005B46C9" w:rsidP="004F47BB">
      <w:pPr>
        <w:spacing w:line="240" w:lineRule="atLeast"/>
        <w:ind w:left="567" w:hanging="567"/>
        <w:rPr>
          <w:lang w:val="en-US"/>
        </w:rPr>
        <w:sectPr w:rsidR="005B46C9" w:rsidRPr="004F47BB" w:rsidSect="00D45887">
          <w:footerReference w:type="first" r:id="rId113"/>
          <w:pgSz w:w="11907" w:h="16840" w:code="9"/>
          <w:pgMar w:top="1418" w:right="1418" w:bottom="1418" w:left="1418" w:header="680" w:footer="680" w:gutter="0"/>
          <w:cols w:space="720"/>
          <w:noEndnote/>
          <w:titlePg/>
        </w:sectPr>
      </w:pPr>
    </w:p>
    <w:p w:rsidR="004F47BB" w:rsidRPr="004F47BB" w:rsidRDefault="004F47BB" w:rsidP="005B46C9">
      <w:pPr>
        <w:pStyle w:val="ES-Titre2ESI"/>
      </w:pPr>
      <w:bookmarkStart w:id="392" w:name="_Toc491854351"/>
      <w:r w:rsidRPr="004F47BB">
        <w:lastRenderedPageBreak/>
        <w:t>ESI-II-2</w:t>
      </w:r>
      <w:r w:rsidRPr="004F47BB">
        <w:br/>
        <w:t>Installation of doubler plates to the hull</w:t>
      </w:r>
      <w:bookmarkEnd w:id="392"/>
    </w:p>
    <w:p w:rsidR="004F47BB" w:rsidRPr="004F47BB" w:rsidRDefault="004F47BB" w:rsidP="004F47BB">
      <w:pPr>
        <w:spacing w:line="240" w:lineRule="atLeast"/>
        <w:ind w:left="567" w:hanging="567"/>
        <w:rPr>
          <w:lang w:val="en-US"/>
        </w:rPr>
      </w:pPr>
    </w:p>
    <w:p w:rsidR="004F47BB" w:rsidRPr="004F47BB" w:rsidRDefault="004F47BB" w:rsidP="004F47BB">
      <w:pPr>
        <w:tabs>
          <w:tab w:val="left" w:pos="284"/>
          <w:tab w:val="left" w:pos="567"/>
        </w:tabs>
        <w:overflowPunct w:val="0"/>
        <w:adjustRightInd w:val="0"/>
        <w:spacing w:line="240" w:lineRule="atLeast"/>
        <w:ind w:left="0" w:firstLine="0"/>
        <w:jc w:val="center"/>
        <w:textAlignment w:val="baseline"/>
        <w:rPr>
          <w:rFonts w:eastAsia="Batang"/>
          <w:lang w:val="en-US" w:eastAsia="ko-KR"/>
        </w:rPr>
      </w:pPr>
      <w:r w:rsidRPr="004F47BB">
        <w:rPr>
          <w:rFonts w:eastAsia="Batang"/>
          <w:b/>
          <w:lang w:val="en-US" w:eastAsia="ko-KR"/>
        </w:rPr>
        <w:t>(Article 3.02(1) and Article 19.02(1)(d))</w:t>
      </w:r>
    </w:p>
    <w:p w:rsidR="004F47BB" w:rsidRPr="004F47BB" w:rsidRDefault="004F47BB" w:rsidP="004F47BB">
      <w:pPr>
        <w:autoSpaceDE/>
        <w:autoSpaceDN/>
        <w:spacing w:line="240" w:lineRule="atLeast"/>
        <w:ind w:left="0" w:firstLine="0"/>
        <w:jc w:val="left"/>
        <w:rPr>
          <w:rFonts w:eastAsia="Batang"/>
          <w:lang w:val="en-US" w:eastAsia="ko-KR"/>
        </w:rPr>
      </w:pPr>
    </w:p>
    <w:p w:rsidR="004F47BB" w:rsidRPr="004F47BB" w:rsidRDefault="004F47BB" w:rsidP="004F47BB">
      <w:pPr>
        <w:autoSpaceDE/>
        <w:autoSpaceDN/>
        <w:spacing w:line="240" w:lineRule="atLeast"/>
        <w:ind w:left="567" w:hanging="567"/>
        <w:rPr>
          <w:rFonts w:eastAsia="Batang"/>
          <w:b/>
          <w:bCs/>
          <w:lang w:val="en-GB" w:eastAsia="ko-KR"/>
        </w:rPr>
      </w:pPr>
      <w:r w:rsidRPr="004F47BB">
        <w:rPr>
          <w:rFonts w:eastAsia="Batang"/>
          <w:b/>
          <w:bCs/>
          <w:lang w:val="en-GB" w:eastAsia="ko-KR"/>
        </w:rPr>
        <w:t>1.</w:t>
      </w:r>
      <w:r w:rsidRPr="004F47BB">
        <w:rPr>
          <w:rFonts w:eastAsia="Batang"/>
          <w:b/>
          <w:bCs/>
          <w:lang w:val="en-GB" w:eastAsia="ko-KR"/>
        </w:rPr>
        <w:tab/>
        <w:t>Purpose of the instruction</w:t>
      </w:r>
    </w:p>
    <w:p w:rsidR="004F47BB" w:rsidRPr="004F47BB" w:rsidRDefault="004F47BB" w:rsidP="004F47BB">
      <w:pPr>
        <w:autoSpaceDE/>
        <w:autoSpaceDN/>
        <w:spacing w:line="240" w:lineRule="atLeast"/>
        <w:ind w:left="567" w:hanging="567"/>
        <w:rPr>
          <w:rFonts w:eastAsia="Batang"/>
          <w:b/>
          <w:bCs/>
          <w:lang w:val="en-GB" w:eastAsia="ko-KR"/>
        </w:rPr>
      </w:pPr>
    </w:p>
    <w:p w:rsidR="004F47BB" w:rsidRPr="004F47BB" w:rsidRDefault="004F47BB" w:rsidP="004F47BB">
      <w:pPr>
        <w:autoSpaceDE/>
        <w:autoSpaceDN/>
        <w:spacing w:line="240" w:lineRule="atLeast"/>
        <w:ind w:left="567" w:firstLine="0"/>
        <w:rPr>
          <w:rFonts w:eastAsia="Batang"/>
          <w:lang w:val="en-GB" w:eastAsia="ko-KR"/>
        </w:rPr>
      </w:pPr>
      <w:r w:rsidRPr="004F47BB">
        <w:rPr>
          <w:rFonts w:eastAsia="Batang"/>
          <w:lang w:val="en-GB" w:eastAsia="ko-KR"/>
        </w:rPr>
        <w:t xml:space="preserve">These instructions have been drawn up for the sake of clarity in the rules for maintaining the strength of the hull (Article 3.02(1)) and for replacing and repairing hull plating (Article 3.02(1)(c), last sentence and Article 19.02(1)(d)). This instruction is applicable for installation of new doubler plates. </w:t>
      </w:r>
    </w:p>
    <w:p w:rsidR="004F47BB" w:rsidRPr="004F47BB" w:rsidRDefault="004F47BB" w:rsidP="004F47BB">
      <w:pPr>
        <w:autoSpaceDE/>
        <w:autoSpaceDN/>
        <w:spacing w:line="240" w:lineRule="atLeast"/>
        <w:ind w:left="0" w:firstLine="0"/>
        <w:jc w:val="left"/>
        <w:rPr>
          <w:rFonts w:eastAsia="Batang"/>
          <w:lang w:val="en-GB" w:eastAsia="ko-KR"/>
        </w:rPr>
      </w:pPr>
    </w:p>
    <w:p w:rsidR="004F47BB" w:rsidRPr="004F47BB" w:rsidRDefault="004F47BB" w:rsidP="004F47BB">
      <w:pPr>
        <w:autoSpaceDE/>
        <w:autoSpaceDN/>
        <w:spacing w:line="240" w:lineRule="atLeast"/>
        <w:ind w:left="567" w:hanging="567"/>
        <w:rPr>
          <w:rFonts w:eastAsia="Batang"/>
          <w:b/>
          <w:bCs/>
          <w:lang w:val="en-GB" w:eastAsia="ko-KR"/>
        </w:rPr>
      </w:pPr>
      <w:r w:rsidRPr="004F47BB">
        <w:rPr>
          <w:rFonts w:eastAsia="Batang"/>
          <w:b/>
          <w:bCs/>
          <w:lang w:val="en-GB" w:eastAsia="ko-KR"/>
        </w:rPr>
        <w:t>2.</w:t>
      </w:r>
      <w:r w:rsidRPr="004F47BB">
        <w:rPr>
          <w:rFonts w:eastAsia="Batang"/>
          <w:b/>
          <w:bCs/>
          <w:lang w:val="en-GB" w:eastAsia="ko-KR"/>
        </w:rPr>
        <w:tab/>
        <w:t>Principals</w:t>
      </w:r>
    </w:p>
    <w:p w:rsidR="004F47BB" w:rsidRPr="004F47BB" w:rsidRDefault="004F47BB" w:rsidP="004F47BB">
      <w:pPr>
        <w:autoSpaceDE/>
        <w:autoSpaceDN/>
        <w:spacing w:line="240" w:lineRule="atLeast"/>
        <w:ind w:left="0" w:firstLine="0"/>
        <w:jc w:val="left"/>
        <w:rPr>
          <w:rFonts w:eastAsia="Batang"/>
          <w:lang w:val="en-GB" w:eastAsia="ko-KR"/>
        </w:rPr>
      </w:pPr>
    </w:p>
    <w:p w:rsidR="004F47BB" w:rsidRPr="004F47BB" w:rsidRDefault="004F47BB" w:rsidP="004F47BB">
      <w:pPr>
        <w:autoSpaceDE/>
        <w:autoSpaceDN/>
        <w:spacing w:line="240" w:lineRule="atLeast"/>
        <w:ind w:left="567" w:firstLine="0"/>
        <w:jc w:val="left"/>
        <w:rPr>
          <w:rFonts w:eastAsia="Batang"/>
          <w:lang w:val="en-GB" w:eastAsia="ko-KR"/>
        </w:rPr>
      </w:pPr>
      <w:r w:rsidRPr="004F47BB">
        <w:rPr>
          <w:rFonts w:eastAsia="Batang"/>
          <w:lang w:val="en-GB" w:eastAsia="ko-KR"/>
        </w:rPr>
        <w:t>There are two different types of doubler plates:</w:t>
      </w:r>
    </w:p>
    <w:p w:rsidR="004F47BB" w:rsidRPr="004F47BB" w:rsidRDefault="004F47BB" w:rsidP="004F47BB">
      <w:pPr>
        <w:autoSpaceDE/>
        <w:autoSpaceDN/>
        <w:spacing w:before="60" w:line="240" w:lineRule="atLeast"/>
        <w:ind w:left="993" w:hanging="426"/>
        <w:rPr>
          <w:rFonts w:eastAsia="Batang"/>
          <w:lang w:val="en-GB" w:eastAsia="ko-KR"/>
        </w:rPr>
      </w:pPr>
      <w:r w:rsidRPr="004F47BB">
        <w:rPr>
          <w:rFonts w:eastAsia="Batang"/>
          <w:lang w:val="en-GB" w:eastAsia="ko-KR"/>
        </w:rPr>
        <w:t>1.</w:t>
      </w:r>
      <w:r w:rsidRPr="004F47BB">
        <w:rPr>
          <w:rFonts w:eastAsia="Batang"/>
          <w:lang w:val="en-GB" w:eastAsia="ko-KR"/>
        </w:rPr>
        <w:tab/>
        <w:t>Doubler plates installed during newbuilding or conversion in accordance with good shipbuilding practice,</w:t>
      </w:r>
    </w:p>
    <w:p w:rsidR="004F47BB" w:rsidRPr="004F47BB" w:rsidRDefault="004F47BB" w:rsidP="004F47BB">
      <w:pPr>
        <w:autoSpaceDE/>
        <w:autoSpaceDN/>
        <w:spacing w:before="60" w:line="240" w:lineRule="atLeast"/>
        <w:ind w:left="993" w:hanging="426"/>
        <w:rPr>
          <w:rFonts w:eastAsia="Batang"/>
          <w:lang w:val="en-GB" w:eastAsia="ko-KR"/>
        </w:rPr>
      </w:pPr>
      <w:r w:rsidRPr="004F47BB">
        <w:rPr>
          <w:rFonts w:eastAsia="Batang"/>
          <w:lang w:val="en-GB" w:eastAsia="ko-KR"/>
        </w:rPr>
        <w:t>2.</w:t>
      </w:r>
      <w:r w:rsidRPr="004F47BB">
        <w:rPr>
          <w:rFonts w:eastAsia="Batang"/>
          <w:lang w:val="en-GB" w:eastAsia="ko-KR"/>
        </w:rPr>
        <w:tab/>
        <w:t>Doubler plates intended to delay wear or renewal of hull plating.</w:t>
      </w:r>
      <w:r w:rsidRPr="004F47BB" w:rsidDel="00A33CCD">
        <w:rPr>
          <w:rFonts w:eastAsia="Batang"/>
          <w:lang w:val="en-GB" w:eastAsia="ko-KR"/>
        </w:rPr>
        <w:t xml:space="preserve"> </w:t>
      </w:r>
      <w:r w:rsidRPr="004F47BB">
        <w:rPr>
          <w:rFonts w:eastAsia="Batang"/>
          <w:lang w:val="en-GB" w:eastAsia="ko-KR"/>
        </w:rPr>
        <w:t>Generally, these plates should be avoided or they should be installed only in particular cases.</w:t>
      </w:r>
    </w:p>
    <w:p w:rsidR="004F47BB" w:rsidRPr="004F47BB" w:rsidRDefault="004F47BB" w:rsidP="004F47BB">
      <w:pPr>
        <w:autoSpaceDE/>
        <w:autoSpaceDN/>
        <w:spacing w:line="240" w:lineRule="atLeast"/>
        <w:ind w:left="992"/>
        <w:rPr>
          <w:rFonts w:eastAsia="Batang"/>
          <w:lang w:val="en-GB" w:eastAsia="ko-KR"/>
        </w:rPr>
      </w:pPr>
    </w:p>
    <w:p w:rsidR="004F47BB" w:rsidRPr="004F47BB" w:rsidRDefault="004F47BB" w:rsidP="004F47BB">
      <w:pPr>
        <w:autoSpaceDE/>
        <w:autoSpaceDN/>
        <w:spacing w:line="240" w:lineRule="atLeast"/>
        <w:ind w:left="567" w:hanging="567"/>
        <w:rPr>
          <w:rFonts w:eastAsia="Batang"/>
          <w:b/>
          <w:bCs/>
          <w:lang w:val="en-GB" w:eastAsia="ko-KR"/>
        </w:rPr>
      </w:pPr>
      <w:r w:rsidRPr="004F47BB">
        <w:rPr>
          <w:rFonts w:eastAsia="Batang"/>
          <w:b/>
          <w:bCs/>
          <w:lang w:val="en-GB" w:eastAsia="ko-KR"/>
        </w:rPr>
        <w:t>3.</w:t>
      </w:r>
      <w:r w:rsidRPr="004F47BB">
        <w:rPr>
          <w:rFonts w:eastAsia="Batang"/>
          <w:b/>
          <w:bCs/>
          <w:lang w:val="en-GB" w:eastAsia="ko-KR"/>
        </w:rPr>
        <w:tab/>
        <w:t>Doubler plates installed during newbuilding or conversion</w:t>
      </w:r>
    </w:p>
    <w:p w:rsidR="004F47BB" w:rsidRPr="004F47BB" w:rsidRDefault="004F47BB" w:rsidP="004F47BB">
      <w:pPr>
        <w:autoSpaceDE/>
        <w:autoSpaceDN/>
        <w:spacing w:line="240" w:lineRule="atLeast"/>
        <w:rPr>
          <w:rFonts w:eastAsia="Batang"/>
          <w:lang w:val="en-GB" w:eastAsia="ko-KR"/>
        </w:rPr>
      </w:pPr>
    </w:p>
    <w:p w:rsidR="004F47BB" w:rsidRPr="004F47BB" w:rsidRDefault="004F47BB" w:rsidP="004F47BB">
      <w:pPr>
        <w:autoSpaceDE/>
        <w:autoSpaceDN/>
        <w:spacing w:line="240" w:lineRule="atLeast"/>
        <w:ind w:left="567" w:hanging="567"/>
        <w:rPr>
          <w:rFonts w:eastAsia="Batang"/>
          <w:b/>
          <w:bCs/>
          <w:lang w:val="en-GB" w:eastAsia="ko-KR"/>
        </w:rPr>
      </w:pPr>
      <w:r w:rsidRPr="004F47BB">
        <w:rPr>
          <w:rFonts w:eastAsia="Batang"/>
          <w:b/>
          <w:bCs/>
          <w:noProof/>
          <w:lang w:val="en-GB" w:eastAsia="ko-KR"/>
        </w:rPr>
        <w:t>3.1</w:t>
      </w:r>
      <w:r w:rsidRPr="004F47BB">
        <w:rPr>
          <w:rFonts w:eastAsia="Batang"/>
          <w:b/>
          <w:bCs/>
          <w:lang w:val="en-GB" w:eastAsia="ko-KR"/>
        </w:rPr>
        <w:tab/>
        <w:t>Doubler plates installed during newbuilding</w:t>
      </w:r>
    </w:p>
    <w:p w:rsidR="004F47BB" w:rsidRPr="004F47BB" w:rsidRDefault="004F47BB" w:rsidP="004F47BB">
      <w:pPr>
        <w:autoSpaceDE/>
        <w:autoSpaceDN/>
        <w:spacing w:line="240" w:lineRule="atLeast"/>
        <w:ind w:left="0" w:firstLine="0"/>
        <w:rPr>
          <w:rFonts w:eastAsia="Batang"/>
          <w:b/>
          <w:lang w:val="en-GB" w:eastAsia="ko-KR"/>
        </w:rPr>
      </w:pPr>
    </w:p>
    <w:p w:rsidR="004F47BB" w:rsidRPr="004F47BB" w:rsidRDefault="004F47BB" w:rsidP="004F47BB">
      <w:pPr>
        <w:autoSpaceDE/>
        <w:autoSpaceDN/>
        <w:spacing w:line="240" w:lineRule="atLeast"/>
        <w:ind w:left="567" w:firstLine="0"/>
        <w:rPr>
          <w:rFonts w:eastAsia="Batang"/>
          <w:lang w:val="en-GB" w:eastAsia="ko-KR"/>
        </w:rPr>
      </w:pPr>
      <w:r w:rsidRPr="004F47BB">
        <w:rPr>
          <w:rFonts w:eastAsia="Batang"/>
          <w:lang w:val="en-GB" w:eastAsia="ko-KR"/>
        </w:rPr>
        <w:t>Doubler plates installed during newbuilding are mainly in the following places:</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a)</w:t>
      </w:r>
      <w:r w:rsidRPr="004F47BB">
        <w:rPr>
          <w:rFonts w:eastAsia="Batang" w:cs="Arial"/>
          <w:lang w:val="en-GB" w:eastAsia="ko-KR"/>
        </w:rPr>
        <w:tab/>
        <w:t>Reinforcing plates around openings and penetrations on the hull and deck plating (manholes, passages for pipes, scuppers, etc.),</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b)</w:t>
      </w:r>
      <w:r w:rsidRPr="004F47BB">
        <w:rPr>
          <w:rFonts w:eastAsia="Batang" w:cs="Arial"/>
          <w:lang w:val="en-GB" w:eastAsia="ko-KR"/>
        </w:rPr>
        <w:tab/>
        <w:t>Plates at the corners of large hatches,</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c)</w:t>
      </w:r>
      <w:r w:rsidRPr="004F47BB">
        <w:rPr>
          <w:rFonts w:eastAsia="Batang" w:cs="Arial"/>
          <w:lang w:val="en-GB" w:eastAsia="ko-KR"/>
        </w:rPr>
        <w:tab/>
        <w:t>Longitudinal plate strips at sheer strake level,</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d)</w:t>
      </w:r>
      <w:r w:rsidRPr="004F47BB">
        <w:rPr>
          <w:rFonts w:eastAsia="Batang" w:cs="Arial"/>
          <w:lang w:val="en-GB" w:eastAsia="ko-KR"/>
        </w:rPr>
        <w:tab/>
        <w:t>Plate strips to protect against wear due to abrasion of the hull plating (at bow and stern and possibly on the bilge plating and the side plating at some height above the bottom),</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e)</w:t>
      </w:r>
      <w:r w:rsidRPr="004F47BB">
        <w:rPr>
          <w:rFonts w:eastAsia="Batang" w:cs="Arial"/>
          <w:lang w:val="en-GB" w:eastAsia="ko-KR"/>
        </w:rPr>
        <w:tab/>
        <w:t>Reinforcing plates at particular points of the structure under special equipment (for example: anchor windlasses, pumps, masts, cranes, winches, anchors, etc.).</w:t>
      </w:r>
    </w:p>
    <w:p w:rsidR="004F47BB" w:rsidRPr="004F47BB" w:rsidRDefault="004F47BB" w:rsidP="004F47BB">
      <w:pPr>
        <w:tabs>
          <w:tab w:val="left" w:pos="360"/>
        </w:tabs>
        <w:autoSpaceDE/>
        <w:autoSpaceDN/>
        <w:spacing w:line="240" w:lineRule="atLeast"/>
        <w:ind w:left="0" w:firstLine="0"/>
        <w:jc w:val="left"/>
        <w:rPr>
          <w:rFonts w:eastAsia="Batang"/>
          <w:lang w:val="en-GB" w:eastAsia="ko-KR"/>
        </w:rPr>
      </w:pPr>
    </w:p>
    <w:p w:rsidR="004F47BB" w:rsidRPr="004F47BB" w:rsidRDefault="004F47BB" w:rsidP="004F47BB">
      <w:pPr>
        <w:autoSpaceDE/>
        <w:autoSpaceDN/>
        <w:spacing w:line="240" w:lineRule="atLeast"/>
        <w:ind w:left="567" w:hanging="567"/>
        <w:rPr>
          <w:rFonts w:eastAsia="Batang"/>
          <w:b/>
          <w:lang w:val="en-GB" w:eastAsia="ko-KR"/>
        </w:rPr>
      </w:pPr>
      <w:r w:rsidRPr="004F47BB">
        <w:rPr>
          <w:rFonts w:eastAsia="Batang"/>
          <w:b/>
          <w:bCs/>
          <w:noProof/>
          <w:lang w:val="en-GB" w:eastAsia="ko-KR"/>
        </w:rPr>
        <w:t>3.2</w:t>
      </w:r>
      <w:r w:rsidRPr="004F47BB">
        <w:rPr>
          <w:rFonts w:eastAsia="Batang"/>
          <w:b/>
          <w:lang w:val="en-GB" w:eastAsia="ko-KR"/>
        </w:rPr>
        <w:tab/>
        <w:t>Doubler plates installed as part of a conversion</w:t>
      </w:r>
    </w:p>
    <w:p w:rsidR="004F47BB" w:rsidRPr="004F47BB" w:rsidRDefault="004F47BB" w:rsidP="004F47BB">
      <w:pPr>
        <w:tabs>
          <w:tab w:val="left" w:pos="360"/>
        </w:tabs>
        <w:autoSpaceDE/>
        <w:autoSpaceDN/>
        <w:spacing w:line="240" w:lineRule="atLeast"/>
        <w:ind w:left="0" w:firstLine="0"/>
        <w:jc w:val="left"/>
        <w:rPr>
          <w:rFonts w:eastAsia="Batang"/>
          <w:lang w:val="en-GB" w:eastAsia="ko-KR"/>
        </w:rPr>
      </w:pPr>
    </w:p>
    <w:p w:rsidR="004F47BB" w:rsidRPr="004F47BB" w:rsidRDefault="004F47BB" w:rsidP="004F47BB">
      <w:pPr>
        <w:autoSpaceDE/>
        <w:autoSpaceDN/>
        <w:spacing w:line="240" w:lineRule="atLeast"/>
        <w:ind w:left="567" w:firstLine="0"/>
        <w:rPr>
          <w:rFonts w:eastAsia="Batang"/>
          <w:lang w:val="en-GB" w:eastAsia="ko-KR"/>
        </w:rPr>
      </w:pPr>
      <w:r w:rsidRPr="004F47BB">
        <w:rPr>
          <w:rFonts w:eastAsia="Batang"/>
          <w:lang w:val="en-GB" w:eastAsia="ko-KR"/>
        </w:rPr>
        <w:t>If these doubler plates are installed as part of a conversion, they can be mounted only on plates which have not yet reached the minimum thickness, after conversion, and have a corrosion allowance of at least 0,7 mm remaining. Otherwise, the plates that are to carry the doubler plates must be renewed beforehand.</w:t>
      </w:r>
    </w:p>
    <w:p w:rsidR="004F47BB" w:rsidRPr="004F47BB" w:rsidRDefault="004F47BB" w:rsidP="004F47BB">
      <w:pPr>
        <w:autoSpaceDE/>
        <w:autoSpaceDN/>
        <w:spacing w:line="240" w:lineRule="atLeast"/>
        <w:ind w:left="567" w:firstLine="0"/>
        <w:rPr>
          <w:rFonts w:eastAsia="Batang"/>
          <w:lang w:val="en-GB" w:eastAsia="ko-KR"/>
        </w:rPr>
      </w:pPr>
    </w:p>
    <w:p w:rsidR="004F47BB" w:rsidRPr="004F47BB" w:rsidRDefault="004F47BB" w:rsidP="004F47BB">
      <w:pPr>
        <w:autoSpaceDE/>
        <w:autoSpaceDN/>
        <w:spacing w:line="240" w:lineRule="atLeast"/>
        <w:ind w:left="567" w:firstLine="0"/>
        <w:rPr>
          <w:rFonts w:eastAsia="Batang"/>
          <w:lang w:val="en-GB" w:eastAsia="ko-KR"/>
        </w:rPr>
      </w:pPr>
      <w:r w:rsidRPr="004F47BB">
        <w:rPr>
          <w:rFonts w:eastAsia="Batang"/>
          <w:lang w:val="en-GB" w:eastAsia="ko-KR"/>
        </w:rPr>
        <w:t>In particular, the plate strips for reinforcing the longitudinal hull girder of the vessel in the case of lengthening must extend at least along the length of the cargo section except in case of justification supported by a calculations note.</w:t>
      </w:r>
    </w:p>
    <w:p w:rsidR="004F47BB" w:rsidRPr="004F47BB" w:rsidRDefault="004F47BB" w:rsidP="004F47BB">
      <w:pPr>
        <w:autoSpaceDE/>
        <w:autoSpaceDN/>
        <w:spacing w:line="240" w:lineRule="atLeast"/>
        <w:ind w:left="0" w:firstLine="0"/>
        <w:rPr>
          <w:rFonts w:eastAsia="Batang"/>
          <w:lang w:val="en-US" w:eastAsia="ko-KR"/>
        </w:rPr>
      </w:pPr>
      <w:r w:rsidRPr="004F47BB">
        <w:rPr>
          <w:rFonts w:eastAsia="Batang"/>
          <w:lang w:val="en-US" w:eastAsia="ko-KR"/>
        </w:rPr>
        <w:br w:type="page"/>
      </w:r>
    </w:p>
    <w:p w:rsidR="004F47BB" w:rsidRPr="004F47BB" w:rsidRDefault="004F47BB" w:rsidP="004F47BB">
      <w:pPr>
        <w:autoSpaceDE/>
        <w:autoSpaceDN/>
        <w:spacing w:line="240" w:lineRule="atLeast"/>
        <w:ind w:left="567" w:hanging="567"/>
        <w:rPr>
          <w:rFonts w:eastAsia="Batang"/>
          <w:b/>
          <w:lang w:val="en-GB" w:eastAsia="ko-KR"/>
        </w:rPr>
      </w:pPr>
      <w:r w:rsidRPr="004F47BB">
        <w:rPr>
          <w:rFonts w:eastAsia="Batang"/>
          <w:b/>
          <w:bCs/>
          <w:lang w:val="en-GB" w:eastAsia="ko-KR"/>
        </w:rPr>
        <w:lastRenderedPageBreak/>
        <w:t>4.</w:t>
      </w:r>
      <w:r w:rsidRPr="004F47BB">
        <w:rPr>
          <w:rFonts w:eastAsia="Batang"/>
          <w:b/>
          <w:lang w:val="en-GB" w:eastAsia="ko-KR"/>
        </w:rPr>
        <w:tab/>
        <w:t>Doubler plates intended to delay wear or renewal of hull plating</w:t>
      </w:r>
    </w:p>
    <w:p w:rsidR="004F47BB" w:rsidRPr="004F47BB" w:rsidRDefault="004F47BB" w:rsidP="004F47BB">
      <w:pPr>
        <w:autoSpaceDE/>
        <w:autoSpaceDN/>
        <w:spacing w:line="240" w:lineRule="atLeast"/>
        <w:ind w:firstLine="0"/>
        <w:jc w:val="left"/>
        <w:rPr>
          <w:rFonts w:eastAsia="Batang"/>
          <w:lang w:val="en-GB" w:eastAsia="ko-KR"/>
        </w:rPr>
      </w:pPr>
    </w:p>
    <w:p w:rsidR="004F47BB" w:rsidRPr="004F47BB" w:rsidRDefault="004F47BB" w:rsidP="004F47BB">
      <w:pPr>
        <w:autoSpaceDE/>
        <w:autoSpaceDN/>
        <w:spacing w:line="240" w:lineRule="atLeast"/>
        <w:ind w:left="567" w:hanging="567"/>
        <w:rPr>
          <w:rFonts w:eastAsia="Batang"/>
          <w:b/>
          <w:bCs/>
          <w:noProof/>
          <w:lang w:val="en-GB" w:eastAsia="ko-KR"/>
        </w:rPr>
      </w:pPr>
      <w:r w:rsidRPr="004F47BB">
        <w:rPr>
          <w:rFonts w:eastAsia="Batang"/>
          <w:b/>
          <w:bCs/>
          <w:noProof/>
          <w:lang w:val="en-GB" w:eastAsia="ko-KR"/>
        </w:rPr>
        <w:t>4.1</w:t>
      </w:r>
      <w:r w:rsidRPr="004F47BB">
        <w:rPr>
          <w:rFonts w:eastAsia="Batang"/>
          <w:b/>
          <w:bCs/>
          <w:noProof/>
          <w:lang w:val="en-GB" w:eastAsia="ko-KR"/>
        </w:rPr>
        <w:tab/>
        <w:t>Places, where the installation of doubler plates is permitted</w:t>
      </w:r>
    </w:p>
    <w:p w:rsidR="004F47BB" w:rsidRPr="004F47BB" w:rsidRDefault="004F47BB" w:rsidP="004F47BB">
      <w:pPr>
        <w:autoSpaceDE/>
        <w:autoSpaceDN/>
        <w:spacing w:line="240" w:lineRule="atLeast"/>
        <w:ind w:left="426" w:hanging="426"/>
        <w:jc w:val="left"/>
        <w:rPr>
          <w:rFonts w:eastAsia="Batang"/>
          <w:b/>
          <w:lang w:val="en-GB" w:eastAsia="ko-KR"/>
        </w:rPr>
      </w:pPr>
    </w:p>
    <w:p w:rsidR="004F47BB" w:rsidRPr="004F47BB" w:rsidRDefault="004F47BB" w:rsidP="004F47BB">
      <w:pPr>
        <w:autoSpaceDE/>
        <w:autoSpaceDN/>
        <w:spacing w:line="240" w:lineRule="atLeast"/>
        <w:ind w:left="567" w:firstLine="0"/>
        <w:jc w:val="left"/>
        <w:rPr>
          <w:rFonts w:eastAsia="Batang"/>
          <w:lang w:val="en-GB" w:eastAsia="ko-KR"/>
        </w:rPr>
      </w:pPr>
      <w:r w:rsidRPr="004F47BB">
        <w:rPr>
          <w:rFonts w:eastAsia="Batang"/>
          <w:lang w:val="en-GB" w:eastAsia="ko-KR"/>
        </w:rPr>
        <w:t xml:space="preserve">These plates </w:t>
      </w:r>
      <w:r w:rsidRPr="004F47BB">
        <w:rPr>
          <w:rFonts w:eastAsia="Batang"/>
          <w:b/>
          <w:lang w:val="en-GB" w:eastAsia="ko-KR"/>
        </w:rPr>
        <w:t>may be installed</w:t>
      </w:r>
      <w:r w:rsidRPr="004F47BB">
        <w:rPr>
          <w:rFonts w:eastAsia="Batang"/>
          <w:lang w:val="en-GB" w:eastAsia="ko-KR"/>
        </w:rPr>
        <w:t xml:space="preserve"> in the following places:</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a)</w:t>
      </w:r>
      <w:r w:rsidRPr="004F47BB">
        <w:rPr>
          <w:rFonts w:eastAsia="Batang" w:cs="Arial"/>
          <w:lang w:val="en-GB" w:eastAsia="ko-KR"/>
        </w:rPr>
        <w:tab/>
        <w:t>In case of damage (temporary repair – validity as per certificate),</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b)</w:t>
      </w:r>
      <w:r w:rsidRPr="004F47BB">
        <w:rPr>
          <w:rFonts w:eastAsia="Batang" w:cs="Arial"/>
          <w:lang w:val="en-GB" w:eastAsia="ko-KR"/>
        </w:rPr>
        <w:tab/>
        <w:t>In case of pitting corrosion, eventually with piercing, not affecting the structural strength (ie: below an engine room, in way of wind/water strake), excepted in way of bottom and bilge plates in cargo zones,</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c)</w:t>
      </w:r>
      <w:r w:rsidRPr="004F47BB">
        <w:rPr>
          <w:rFonts w:eastAsia="Batang" w:cs="Arial"/>
          <w:lang w:val="en-GB" w:eastAsia="ko-KR"/>
        </w:rPr>
        <w:tab/>
        <w:t>In case of surfaces exposed to abrasion, in order to stop wear of hull plates (may be mounted only on plates that have not yet reached the minimum thickness),</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d)</w:t>
      </w:r>
      <w:r w:rsidRPr="004F47BB">
        <w:rPr>
          <w:rFonts w:eastAsia="Batang" w:cs="Arial"/>
          <w:lang w:val="en-GB" w:eastAsia="ko-KR"/>
        </w:rPr>
        <w:tab/>
        <w:t>On bilge plating, the doubler plating will be, preferably, continuous for at least 70 % of the vessel length. Otherwise, doubler plates will have a minimum length and a minimum distance in between not less than (2,5 + L/40) m or extend at least along the length of three times the frame spacing for vessels with L not more than 45 m. They shall be extended at least along the length of twice the frame spacing forward of and behind the affected zone,</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e)</w:t>
      </w:r>
      <w:r w:rsidRPr="004F47BB">
        <w:rPr>
          <w:rFonts w:eastAsia="Batang" w:cs="Arial"/>
          <w:lang w:val="en-GB" w:eastAsia="ko-KR"/>
        </w:rPr>
        <w:tab/>
        <w:t>On riveted seams to assure watertightness,</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f)</w:t>
      </w:r>
      <w:r w:rsidRPr="004F47BB">
        <w:rPr>
          <w:rFonts w:eastAsia="Batang" w:cs="Arial"/>
          <w:lang w:val="en-GB" w:eastAsia="ko-KR"/>
        </w:rPr>
        <w:tab/>
        <w:t>Fore and aft of a vessel’s outside cargo zone.</w:t>
      </w:r>
    </w:p>
    <w:p w:rsidR="004F47BB" w:rsidRPr="004F47BB" w:rsidRDefault="004F47BB" w:rsidP="004F47BB">
      <w:pPr>
        <w:autoSpaceDE/>
        <w:autoSpaceDN/>
        <w:spacing w:line="240" w:lineRule="atLeast"/>
        <w:ind w:left="850"/>
        <w:rPr>
          <w:rFonts w:eastAsia="Batang"/>
          <w:lang w:val="en-GB" w:eastAsia="ko-KR"/>
        </w:rPr>
      </w:pPr>
    </w:p>
    <w:p w:rsidR="004F47BB" w:rsidRPr="004F47BB" w:rsidRDefault="004F47BB" w:rsidP="004F47BB">
      <w:pPr>
        <w:autoSpaceDE/>
        <w:autoSpaceDN/>
        <w:spacing w:line="240" w:lineRule="atLeast"/>
        <w:ind w:left="567" w:hanging="567"/>
        <w:rPr>
          <w:rFonts w:eastAsia="Batang"/>
          <w:b/>
          <w:bCs/>
          <w:noProof/>
          <w:lang w:val="en-GB" w:eastAsia="ko-KR"/>
        </w:rPr>
      </w:pPr>
      <w:r w:rsidRPr="004F47BB">
        <w:rPr>
          <w:rFonts w:eastAsia="Batang"/>
          <w:b/>
          <w:bCs/>
          <w:noProof/>
          <w:lang w:val="en-GB" w:eastAsia="ko-KR"/>
        </w:rPr>
        <w:t>4.2</w:t>
      </w:r>
      <w:r w:rsidRPr="004F47BB">
        <w:rPr>
          <w:rFonts w:eastAsia="Batang"/>
          <w:b/>
          <w:bCs/>
          <w:noProof/>
          <w:lang w:val="en-GB" w:eastAsia="ko-KR"/>
        </w:rPr>
        <w:tab/>
        <w:t>Places, where the installation of doubler plates is not permitted</w:t>
      </w:r>
    </w:p>
    <w:p w:rsidR="004F47BB" w:rsidRPr="004F47BB" w:rsidRDefault="004F47BB" w:rsidP="004F47BB">
      <w:pPr>
        <w:autoSpaceDE/>
        <w:autoSpaceDN/>
        <w:spacing w:line="240" w:lineRule="atLeast"/>
        <w:ind w:left="0" w:firstLine="0"/>
        <w:rPr>
          <w:rFonts w:eastAsia="Batang"/>
          <w:lang w:val="en-GB" w:eastAsia="ko-KR"/>
        </w:rPr>
      </w:pPr>
    </w:p>
    <w:p w:rsidR="004F47BB" w:rsidRPr="004F47BB" w:rsidRDefault="004F47BB" w:rsidP="004F47BB">
      <w:pPr>
        <w:autoSpaceDE/>
        <w:autoSpaceDN/>
        <w:spacing w:line="240" w:lineRule="atLeast"/>
        <w:ind w:left="567" w:firstLine="0"/>
        <w:rPr>
          <w:rFonts w:eastAsia="Batang"/>
          <w:lang w:val="en-GB" w:eastAsia="ko-KR"/>
        </w:rPr>
      </w:pPr>
      <w:r w:rsidRPr="004F47BB">
        <w:rPr>
          <w:rFonts w:eastAsia="Batang"/>
          <w:lang w:val="en-GB" w:eastAsia="ko-KR"/>
        </w:rPr>
        <w:t xml:space="preserve">These plates </w:t>
      </w:r>
      <w:r w:rsidRPr="004F47BB">
        <w:rPr>
          <w:rFonts w:eastAsia="Batang"/>
          <w:b/>
          <w:lang w:val="en-GB" w:eastAsia="ko-KR"/>
        </w:rPr>
        <w:t>cannot be installed</w:t>
      </w:r>
      <w:r w:rsidRPr="004F47BB">
        <w:rPr>
          <w:rFonts w:eastAsia="Batang"/>
          <w:lang w:val="en-GB" w:eastAsia="ko-KR"/>
        </w:rPr>
        <w:t xml:space="preserve"> at the following locations:</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a)</w:t>
      </w:r>
      <w:r w:rsidRPr="004F47BB">
        <w:rPr>
          <w:rFonts w:eastAsia="Batang" w:cs="Arial"/>
          <w:lang w:val="en-GB" w:eastAsia="ko-KR"/>
        </w:rPr>
        <w:tab/>
        <w:t>On plates the thickness of which is under the minimum allowable thickness,</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b)</w:t>
      </w:r>
      <w:r w:rsidRPr="004F47BB">
        <w:rPr>
          <w:rFonts w:eastAsia="Batang" w:cs="Arial"/>
          <w:lang w:val="en-GB" w:eastAsia="ko-KR"/>
        </w:rPr>
        <w:tab/>
        <w:t>On holes in plates due to corrosion on elements ensuring the watertightness of vessel,</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c)</w:t>
      </w:r>
      <w:r w:rsidRPr="004F47BB">
        <w:rPr>
          <w:rFonts w:eastAsia="Batang" w:cs="Arial"/>
          <w:lang w:val="en-GB" w:eastAsia="ko-KR"/>
        </w:rPr>
        <w:tab/>
        <w:t>Over large areas in cargo zone,</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d)</w:t>
      </w:r>
      <w:r w:rsidRPr="004F47BB">
        <w:rPr>
          <w:rFonts w:eastAsia="Batang" w:cs="Arial"/>
          <w:lang w:val="en-GB" w:eastAsia="ko-KR"/>
        </w:rPr>
        <w:tab/>
        <w:t>To cover transverse overlap weld seams,</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e)</w:t>
      </w:r>
      <w:r w:rsidRPr="004F47BB">
        <w:rPr>
          <w:rFonts w:eastAsia="Batang" w:cs="Arial"/>
          <w:lang w:val="en-GB" w:eastAsia="ko-KR"/>
        </w:rPr>
        <w:tab/>
        <w:t>On the bottom between fore bulkhead of fore hold and after bulkhead of after hold,</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f)</w:t>
      </w:r>
      <w:r w:rsidRPr="004F47BB">
        <w:rPr>
          <w:rFonts w:eastAsia="Batang" w:cs="Arial"/>
          <w:lang w:val="en-GB" w:eastAsia="ko-KR"/>
        </w:rPr>
        <w:tab/>
        <w:t>In the cargo area of motor tankers, tank lighters and tank barges for the transport of dangerous goods according to ADN,</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g)</w:t>
      </w:r>
      <w:r w:rsidRPr="004F47BB">
        <w:rPr>
          <w:rFonts w:eastAsia="Batang" w:cs="Arial"/>
          <w:lang w:val="en-GB" w:eastAsia="ko-KR"/>
        </w:rPr>
        <w:tab/>
        <w:t>Over bunkers containing flammable products except in abrasion areas,</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h)</w:t>
      </w:r>
      <w:r w:rsidRPr="004F47BB">
        <w:rPr>
          <w:rFonts w:eastAsia="Batang" w:cs="Arial"/>
          <w:lang w:val="en-GB" w:eastAsia="ko-KR"/>
        </w:rPr>
        <w:tab/>
        <w:t>On plates or seams showing buckling or fatigue phenomenon,</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i)</w:t>
      </w:r>
      <w:r w:rsidRPr="004F47BB">
        <w:rPr>
          <w:rFonts w:eastAsia="Batang" w:cs="Arial"/>
          <w:lang w:val="en-GB" w:eastAsia="ko-KR"/>
        </w:rPr>
        <w:tab/>
        <w:t>On existing doubler plates.</w:t>
      </w:r>
    </w:p>
    <w:p w:rsidR="004F47BB" w:rsidRPr="004F47BB" w:rsidRDefault="004F47BB" w:rsidP="004F47BB">
      <w:pPr>
        <w:autoSpaceDE/>
        <w:autoSpaceDN/>
        <w:spacing w:line="240" w:lineRule="atLeast"/>
        <w:ind w:left="0" w:firstLine="0"/>
        <w:rPr>
          <w:rFonts w:eastAsia="Batang"/>
          <w:lang w:val="en-GB" w:eastAsia="ko-KR"/>
        </w:rPr>
      </w:pPr>
    </w:p>
    <w:p w:rsidR="004F47BB" w:rsidRPr="004F47BB" w:rsidRDefault="004F47BB" w:rsidP="004F47BB">
      <w:pPr>
        <w:autoSpaceDE/>
        <w:autoSpaceDN/>
        <w:spacing w:line="240" w:lineRule="atLeast"/>
        <w:ind w:left="567" w:hanging="567"/>
        <w:rPr>
          <w:rFonts w:eastAsia="Batang"/>
          <w:b/>
          <w:lang w:val="en-GB" w:eastAsia="ko-KR"/>
        </w:rPr>
      </w:pPr>
      <w:r w:rsidRPr="004F47BB">
        <w:rPr>
          <w:rFonts w:eastAsia="Batang"/>
          <w:b/>
          <w:bCs/>
          <w:lang w:val="en-GB" w:eastAsia="ko-KR"/>
        </w:rPr>
        <w:t>5</w:t>
      </w:r>
      <w:r w:rsidRPr="004F47BB">
        <w:rPr>
          <w:rFonts w:eastAsia="Batang"/>
          <w:b/>
          <w:lang w:val="en-GB" w:eastAsia="ko-KR"/>
        </w:rPr>
        <w:t>.</w:t>
      </w:r>
      <w:r w:rsidRPr="004F47BB">
        <w:rPr>
          <w:rFonts w:eastAsia="Batang"/>
          <w:b/>
          <w:lang w:val="en-GB" w:eastAsia="ko-KR"/>
        </w:rPr>
        <w:tab/>
        <w:t>Installation of doubler plates</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a)</w:t>
      </w:r>
      <w:r w:rsidRPr="004F47BB">
        <w:rPr>
          <w:rFonts w:eastAsia="Batang" w:cs="Arial"/>
          <w:lang w:val="en-GB" w:eastAsia="ko-KR"/>
        </w:rPr>
        <w:tab/>
        <w:t>Doubler plates must be installed and welded in accordance with good shipbuilding practice.</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b)</w:t>
      </w:r>
      <w:r w:rsidRPr="004F47BB">
        <w:rPr>
          <w:rFonts w:eastAsia="Batang" w:cs="Arial"/>
          <w:lang w:val="en-GB" w:eastAsia="ko-KR"/>
        </w:rPr>
        <w:tab/>
        <w:t>Wear plates will have a width ranging between 200 and 300 mm-</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c)</w:t>
      </w:r>
      <w:r w:rsidRPr="004F47BB">
        <w:rPr>
          <w:rFonts w:eastAsia="Batang" w:cs="Arial"/>
          <w:lang w:val="en-GB" w:eastAsia="ko-KR"/>
        </w:rPr>
        <w:tab/>
        <w:t xml:space="preserve">Reinforcing plates of the </w:t>
      </w:r>
      <w:r w:rsidRPr="004F47BB">
        <w:rPr>
          <w:rFonts w:eastAsia="Batang"/>
          <w:lang w:val="en-GB" w:eastAsia="ko-KR"/>
        </w:rPr>
        <w:t xml:space="preserve">longitudinal hull </w:t>
      </w:r>
      <w:r w:rsidRPr="004F47BB">
        <w:rPr>
          <w:rFonts w:eastAsia="Batang" w:cs="Arial"/>
          <w:lang w:val="en-GB" w:eastAsia="ko-KR"/>
        </w:rPr>
        <w:t>girder should not be more than 600 mm wide.</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d)</w:t>
      </w:r>
      <w:r w:rsidRPr="004F47BB">
        <w:rPr>
          <w:rFonts w:eastAsia="Batang" w:cs="Arial"/>
          <w:lang w:val="en-GB" w:eastAsia="ko-KR"/>
        </w:rPr>
        <w:tab/>
        <w:t>The thickness of the doubler plates shall be between 1 and 1,5 times the thickness of the plate on which it is mounted.</w:t>
      </w:r>
    </w:p>
    <w:p w:rsidR="004F47BB" w:rsidRPr="004F47BB" w:rsidRDefault="004F47BB" w:rsidP="004F47BB">
      <w:pPr>
        <w:autoSpaceDE/>
        <w:autoSpaceDN/>
        <w:spacing w:before="60" w:line="240" w:lineRule="atLeast"/>
        <w:ind w:left="993" w:hanging="426"/>
        <w:rPr>
          <w:rFonts w:eastAsia="Batang" w:cs="Arial"/>
          <w:lang w:val="en-GB" w:eastAsia="ko-KR"/>
        </w:rPr>
      </w:pPr>
      <w:r w:rsidRPr="004F47BB">
        <w:rPr>
          <w:rFonts w:eastAsia="Batang" w:cs="Arial"/>
          <w:lang w:val="en-GB" w:eastAsia="ko-KR"/>
        </w:rPr>
        <w:t>e)</w:t>
      </w:r>
      <w:r w:rsidRPr="004F47BB">
        <w:rPr>
          <w:rFonts w:eastAsia="Batang" w:cs="Arial"/>
          <w:lang w:val="en-GB" w:eastAsia="ko-KR"/>
        </w:rPr>
        <w:tab/>
        <w:t>Doubler plates fitted to delay the wear or replacement of hull plates have to be replaced, when their thickness is less than 3 mm.</w:t>
      </w:r>
    </w:p>
    <w:p w:rsidR="004F47BB" w:rsidRPr="004F47BB" w:rsidRDefault="004F47BB" w:rsidP="004F47BB">
      <w:pPr>
        <w:autoSpaceDE/>
        <w:autoSpaceDN/>
        <w:spacing w:line="240" w:lineRule="atLeast"/>
        <w:ind w:left="567" w:firstLine="0"/>
        <w:rPr>
          <w:rFonts w:eastAsia="Batang"/>
          <w:lang w:val="en-GB" w:eastAsia="ko-KR"/>
        </w:rPr>
      </w:pPr>
    </w:p>
    <w:p w:rsidR="004F47BB" w:rsidRPr="004F47BB" w:rsidRDefault="004F47BB" w:rsidP="004F47BB">
      <w:pPr>
        <w:autoSpaceDE/>
        <w:autoSpaceDN/>
        <w:spacing w:line="240" w:lineRule="atLeast"/>
        <w:ind w:left="567" w:firstLine="0"/>
        <w:rPr>
          <w:rFonts w:eastAsia="Batang"/>
          <w:lang w:val="en-GB" w:eastAsia="ko-KR"/>
        </w:rPr>
      </w:pPr>
      <w:r w:rsidRPr="004F47BB">
        <w:rPr>
          <w:rFonts w:eastAsia="Batang"/>
          <w:lang w:val="en-GB" w:eastAsia="ko-KR"/>
        </w:rPr>
        <w:t>The presence of doubler plates must be stated on the thickness measurements report. When renewing the certificate, vessel areas where doubler plates are installed must be thoroughly examined in order to determine whether they can be kept in this state.</w:t>
      </w:r>
    </w:p>
    <w:p w:rsidR="004F47BB" w:rsidRPr="004F47BB" w:rsidRDefault="004F47BB" w:rsidP="004F47BB">
      <w:pPr>
        <w:spacing w:line="240" w:lineRule="atLeast"/>
        <w:ind w:left="567" w:firstLine="0"/>
        <w:rPr>
          <w:lang w:val="en-GB"/>
        </w:rPr>
      </w:pP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sectPr w:rsidR="004F47BB" w:rsidRPr="004F47BB" w:rsidSect="00D45887">
          <w:pgSz w:w="11907" w:h="16840" w:code="9"/>
          <w:pgMar w:top="1418" w:right="1418" w:bottom="1418" w:left="1418" w:header="680" w:footer="680" w:gutter="0"/>
          <w:cols w:space="720"/>
          <w:noEndnote/>
          <w:titlePg/>
        </w:sectPr>
      </w:pPr>
    </w:p>
    <w:p w:rsidR="004F47BB" w:rsidRPr="004F47BB" w:rsidRDefault="004F47BB" w:rsidP="005B46C9">
      <w:pPr>
        <w:pStyle w:val="ES-Titre2ESI"/>
      </w:pPr>
      <w:bookmarkStart w:id="393" w:name="_Toc491854352"/>
      <w:r w:rsidRPr="004F47BB">
        <w:lastRenderedPageBreak/>
        <w:t>ESI-II-3</w:t>
      </w:r>
      <w:r w:rsidRPr="004F47BB">
        <w:br/>
        <w:t>Minimum prescribed forward speed, stopping capacity and capacity for going astern</w:t>
      </w:r>
      <w:bookmarkEnd w:id="393"/>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jc w:val="center"/>
        <w:rPr>
          <w:b/>
          <w:lang w:val="en-US"/>
        </w:rPr>
      </w:pPr>
      <w:r w:rsidRPr="004F47BB">
        <w:rPr>
          <w:b/>
          <w:lang w:val="en-US"/>
        </w:rPr>
        <w:t>(Articles 5.06, 5.07 and 5.08</w:t>
      </w:r>
    </w:p>
    <w:p w:rsidR="004F47BB" w:rsidRPr="004F47BB" w:rsidRDefault="004F47BB" w:rsidP="004F47BB">
      <w:pPr>
        <w:spacing w:line="240" w:lineRule="atLeast"/>
        <w:ind w:left="567" w:hanging="567"/>
        <w:jc w:val="center"/>
        <w:rPr>
          <w:b/>
          <w:lang w:val="en-US"/>
        </w:rPr>
      </w:pPr>
      <w:r w:rsidRPr="004F47BB">
        <w:rPr>
          <w:b/>
          <w:lang w:val="en-US"/>
        </w:rPr>
        <w:t>in conjunction with Articles 5.02(1), 5.03(1), 5.04 and 21.06)</w:t>
      </w: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1.</w:t>
      </w:r>
      <w:r w:rsidRPr="004F47BB">
        <w:rPr>
          <w:rFonts w:cs="Arial"/>
          <w:b/>
          <w:color w:val="000000"/>
          <w:szCs w:val="20"/>
          <w:lang w:val="en-US"/>
        </w:rPr>
        <w:tab/>
        <w:t>Minimum prescribed (forward) speed in accordance with article 5.06</w:t>
      </w:r>
    </w:p>
    <w:p w:rsidR="004F47BB" w:rsidRPr="004F47BB" w:rsidRDefault="004F47BB" w:rsidP="004F47BB">
      <w:pPr>
        <w:tabs>
          <w:tab w:val="left" w:pos="567"/>
        </w:tabs>
        <w:overflowPunct w:val="0"/>
        <w:adjustRightInd w:val="0"/>
        <w:spacing w:line="240" w:lineRule="atLeast"/>
        <w:ind w:left="567" w:hanging="567"/>
        <w:jc w:val="left"/>
        <w:textAlignment w:val="baseline"/>
        <w:rPr>
          <w:szCs w:val="20"/>
          <w:lang w:val="en-US"/>
        </w:rPr>
      </w:pPr>
    </w:p>
    <w:p w:rsidR="004F47BB" w:rsidRPr="004F47BB" w:rsidRDefault="004F47BB" w:rsidP="004F47BB">
      <w:pPr>
        <w:spacing w:line="240" w:lineRule="atLeast"/>
        <w:ind w:left="567" w:firstLine="0"/>
        <w:rPr>
          <w:lang w:val="en-US"/>
        </w:rPr>
      </w:pPr>
      <w:r w:rsidRPr="004F47BB">
        <w:rPr>
          <w:lang w:val="en-US"/>
        </w:rPr>
        <w:t>The speed in relation to the water is satisfactory in accordance with Article 5.06(1) when it reaches at least 13 km/h. During tests, the following conditions shall be met in the same way as for the stopping test:</w:t>
      </w:r>
    </w:p>
    <w:p w:rsidR="004F47BB" w:rsidRPr="004F47BB" w:rsidRDefault="004F47BB" w:rsidP="004F47BB">
      <w:pPr>
        <w:spacing w:before="60" w:line="240" w:lineRule="atLeast"/>
        <w:ind w:left="992"/>
        <w:rPr>
          <w:noProof/>
          <w:lang w:val="en-GB" w:eastAsia="en-US"/>
        </w:rPr>
      </w:pPr>
      <w:r w:rsidRPr="004F47BB">
        <w:rPr>
          <w:noProof/>
          <w:lang w:val="en-GB" w:eastAsia="en-US"/>
        </w:rPr>
        <w:t>a)</w:t>
      </w:r>
      <w:r w:rsidRPr="004F47BB">
        <w:rPr>
          <w:noProof/>
          <w:lang w:val="en-GB" w:eastAsia="en-US"/>
        </w:rPr>
        <w:tab/>
        <w:t>the keel clearance set out in (2.1) shall be complied with;</w:t>
      </w:r>
    </w:p>
    <w:p w:rsidR="004F47BB" w:rsidRPr="004F47BB" w:rsidRDefault="004F47BB" w:rsidP="004F47BB">
      <w:pPr>
        <w:spacing w:before="60" w:line="240" w:lineRule="atLeast"/>
        <w:ind w:left="992"/>
        <w:rPr>
          <w:noProof/>
          <w:lang w:val="en-GB" w:eastAsia="en-US"/>
        </w:rPr>
      </w:pPr>
      <w:r w:rsidRPr="004F47BB">
        <w:rPr>
          <w:noProof/>
          <w:lang w:val="en-GB" w:eastAsia="en-US"/>
        </w:rPr>
        <w:t>b)</w:t>
      </w:r>
      <w:r w:rsidRPr="004F47BB">
        <w:rPr>
          <w:noProof/>
          <w:lang w:val="en-GB" w:eastAsia="en-US"/>
        </w:rPr>
        <w:tab/>
        <w:t>the measuring, recording, registration and evaluation of test data shall be carried out according to the procedure described in Annex 1.</w:t>
      </w:r>
    </w:p>
    <w:p w:rsidR="004F47BB" w:rsidRPr="004F47BB" w:rsidRDefault="004F47BB" w:rsidP="004F47BB">
      <w:pPr>
        <w:tabs>
          <w:tab w:val="left" w:pos="567"/>
        </w:tabs>
        <w:overflowPunct w:val="0"/>
        <w:adjustRightInd w:val="0"/>
        <w:spacing w:line="240" w:lineRule="atLeast"/>
        <w:ind w:left="567" w:hanging="567"/>
        <w:jc w:val="left"/>
        <w:textAlignment w:val="baseline"/>
        <w:rPr>
          <w:szCs w:val="20"/>
          <w:lang w:val="en-GB"/>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2.</w:t>
      </w:r>
      <w:r w:rsidRPr="004F47BB">
        <w:rPr>
          <w:rFonts w:cs="Arial"/>
          <w:b/>
          <w:color w:val="000000"/>
          <w:szCs w:val="20"/>
          <w:lang w:val="en-US"/>
        </w:rPr>
        <w:tab/>
        <w:t>Stopping capacity and capacity for going astern prescribed in accordance with articles 5.07 and 5.08</w:t>
      </w:r>
    </w:p>
    <w:p w:rsidR="004F47BB" w:rsidRPr="004F47BB" w:rsidRDefault="004F47BB" w:rsidP="004F47BB">
      <w:pPr>
        <w:tabs>
          <w:tab w:val="left" w:pos="567"/>
        </w:tabs>
        <w:overflowPunct w:val="0"/>
        <w:adjustRightInd w:val="0"/>
        <w:spacing w:line="240" w:lineRule="atLeast"/>
        <w:ind w:left="567" w:hanging="567"/>
        <w:jc w:val="left"/>
        <w:textAlignment w:val="baseline"/>
        <w:rPr>
          <w:szCs w:val="20"/>
          <w:lang w:val="en-US"/>
        </w:rPr>
      </w:pPr>
    </w:p>
    <w:p w:rsidR="004F47BB" w:rsidRPr="004F47BB" w:rsidRDefault="004F47BB" w:rsidP="004F47BB">
      <w:pPr>
        <w:spacing w:line="240" w:lineRule="atLeast"/>
        <w:ind w:left="567" w:hanging="567"/>
        <w:rPr>
          <w:noProof/>
          <w:lang w:val="en-GB" w:eastAsia="en-US"/>
        </w:rPr>
      </w:pPr>
      <w:r w:rsidRPr="004F47BB">
        <w:rPr>
          <w:noProof/>
          <w:lang w:val="en-GB" w:eastAsia="en-US"/>
        </w:rPr>
        <w:t>2.1</w:t>
      </w:r>
      <w:r w:rsidRPr="004F47BB">
        <w:rPr>
          <w:noProof/>
          <w:lang w:val="en-GB" w:eastAsia="en-US"/>
        </w:rPr>
        <w:tab/>
        <w:t>Vessels and convoys are deemed able to stop facing downstream in good time in accordance with Article 5.07(1) when this is proved during a test of stopping in relation to the ground facing downstream at an initial speed in relation to the water of 13 km/h, with a keel clearance equal to at least 20 % of the draught but not less than 0,50 m.</w:t>
      </w:r>
    </w:p>
    <w:p w:rsidR="004F47BB" w:rsidRPr="004F47BB" w:rsidRDefault="004F47BB" w:rsidP="004F47BB">
      <w:pPr>
        <w:spacing w:before="60" w:line="240" w:lineRule="atLeast"/>
        <w:ind w:left="992"/>
        <w:rPr>
          <w:noProof/>
          <w:lang w:val="en-GB"/>
        </w:rPr>
      </w:pPr>
      <w:r w:rsidRPr="004F47BB">
        <w:rPr>
          <w:noProof/>
          <w:lang w:val="en-GB"/>
        </w:rPr>
        <w:t>a)</w:t>
      </w:r>
      <w:r w:rsidRPr="004F47BB">
        <w:rPr>
          <w:noProof/>
          <w:lang w:val="en-GB"/>
        </w:rPr>
        <w:tab/>
        <w:t>In flowing water (current velocity of 1,5 m/s), stopping in relation to the water shall be demonstrated over a maximum distance measured in relation to the ground of:</w:t>
      </w:r>
    </w:p>
    <w:p w:rsidR="004F47BB" w:rsidRPr="004F47BB" w:rsidRDefault="004F47BB" w:rsidP="004F47BB">
      <w:pPr>
        <w:spacing w:before="60" w:line="240" w:lineRule="atLeast"/>
        <w:ind w:left="992" w:firstLine="0"/>
        <w:rPr>
          <w:noProof/>
          <w:lang w:val="en-GB" w:eastAsia="de-DE"/>
        </w:rPr>
      </w:pPr>
      <w:r w:rsidRPr="004F47BB">
        <w:rPr>
          <w:noProof/>
          <w:lang w:val="en-GB" w:eastAsia="de-DE"/>
        </w:rPr>
        <w:t>550 m for vessels and convoys of:</w:t>
      </w:r>
    </w:p>
    <w:p w:rsidR="004F47BB" w:rsidRPr="004F47BB" w:rsidRDefault="004F47BB" w:rsidP="004F47BB">
      <w:pPr>
        <w:spacing w:before="60" w:line="240" w:lineRule="atLeast"/>
        <w:ind w:left="1418" w:hanging="426"/>
        <w:rPr>
          <w:noProof/>
          <w:lang w:val="en-GB" w:eastAsia="de-DE"/>
        </w:rPr>
      </w:pPr>
      <w:r w:rsidRPr="004F47BB">
        <w:rPr>
          <w:noProof/>
          <w:lang w:val="en-GB" w:eastAsia="de-DE"/>
        </w:rPr>
        <w:t>-</w:t>
      </w:r>
      <w:r w:rsidRPr="004F47BB">
        <w:rPr>
          <w:noProof/>
          <w:lang w:val="en-GB" w:eastAsia="de-DE"/>
        </w:rPr>
        <w:tab/>
        <w:t xml:space="preserve">length </w:t>
      </w:r>
      <m:oMath>
        <m:r>
          <w:rPr>
            <w:rFonts w:ascii="Cambria Math" w:hAnsi="Cambria Math"/>
            <w:noProof/>
            <w:lang w:val="en-GB" w:eastAsia="de-DE"/>
          </w:rPr>
          <m:t>L &gt; 110 m</m:t>
        </m:r>
      </m:oMath>
      <w:r w:rsidRPr="004F47BB">
        <w:rPr>
          <w:noProof/>
          <w:lang w:val="en-GB" w:eastAsia="de-DE"/>
        </w:rPr>
        <w:t xml:space="preserve"> or</w:t>
      </w:r>
    </w:p>
    <w:p w:rsidR="004F47BB" w:rsidRPr="004F47BB" w:rsidRDefault="004F47BB" w:rsidP="004F47BB">
      <w:pPr>
        <w:spacing w:before="60" w:line="240" w:lineRule="atLeast"/>
        <w:ind w:left="1418" w:hanging="426"/>
        <w:rPr>
          <w:noProof/>
          <w:lang w:val="en-GB" w:eastAsia="de-DE"/>
        </w:rPr>
      </w:pPr>
      <w:r w:rsidRPr="004F47BB">
        <w:rPr>
          <w:noProof/>
          <w:lang w:val="en-GB" w:eastAsia="de-DE"/>
        </w:rPr>
        <w:t>-</w:t>
      </w:r>
      <w:r w:rsidRPr="004F47BB">
        <w:rPr>
          <w:noProof/>
          <w:lang w:val="en-GB" w:eastAsia="de-DE"/>
        </w:rPr>
        <w:tab/>
        <w:t xml:space="preserve">width </w:t>
      </w:r>
      <m:oMath>
        <m:r>
          <w:rPr>
            <w:rFonts w:ascii="Cambria Math" w:hAnsi="Cambria Math"/>
            <w:noProof/>
            <w:lang w:val="en-GB" w:eastAsia="de-DE"/>
          </w:rPr>
          <m:t>B &gt; 11,45 m</m:t>
        </m:r>
      </m:oMath>
      <w:r w:rsidRPr="004F47BB">
        <w:rPr>
          <w:noProof/>
          <w:lang w:val="en-GB" w:eastAsia="de-DE"/>
        </w:rPr>
        <w:t>,</w:t>
      </w:r>
    </w:p>
    <w:p w:rsidR="004F47BB" w:rsidRPr="004F47BB" w:rsidRDefault="004F47BB" w:rsidP="004F47BB">
      <w:pPr>
        <w:spacing w:before="60" w:line="240" w:lineRule="atLeast"/>
        <w:ind w:left="992" w:firstLine="0"/>
        <w:rPr>
          <w:noProof/>
          <w:lang w:val="en-GB" w:eastAsia="de-DE"/>
        </w:rPr>
      </w:pPr>
      <w:r w:rsidRPr="004F47BB">
        <w:rPr>
          <w:noProof/>
          <w:lang w:val="en-GB" w:eastAsia="de-DE"/>
        </w:rPr>
        <w:t>or</w:t>
      </w:r>
    </w:p>
    <w:p w:rsidR="004F47BB" w:rsidRPr="004F47BB" w:rsidRDefault="004F47BB" w:rsidP="004F47BB">
      <w:pPr>
        <w:spacing w:before="60" w:line="240" w:lineRule="atLeast"/>
        <w:ind w:left="992" w:firstLine="0"/>
        <w:rPr>
          <w:noProof/>
          <w:lang w:val="en-GB" w:eastAsia="de-DE"/>
        </w:rPr>
      </w:pPr>
      <w:r w:rsidRPr="004F47BB">
        <w:rPr>
          <w:noProof/>
          <w:lang w:val="en-GB" w:eastAsia="de-DE"/>
        </w:rPr>
        <w:t>480 m for vessels and convoys of:</w:t>
      </w:r>
    </w:p>
    <w:p w:rsidR="004F47BB" w:rsidRPr="004F47BB" w:rsidRDefault="004F47BB" w:rsidP="004F47BB">
      <w:pPr>
        <w:spacing w:before="60" w:line="240" w:lineRule="atLeast"/>
        <w:ind w:left="1418" w:hanging="426"/>
        <w:rPr>
          <w:noProof/>
          <w:lang w:val="en-GB" w:eastAsia="de-DE"/>
        </w:rPr>
      </w:pPr>
      <w:r w:rsidRPr="004F47BB">
        <w:rPr>
          <w:noProof/>
          <w:lang w:val="en-GB" w:eastAsia="de-DE"/>
        </w:rPr>
        <w:t>-</w:t>
      </w:r>
      <w:r w:rsidRPr="004F47BB">
        <w:rPr>
          <w:noProof/>
          <w:lang w:val="en-GB" w:eastAsia="de-DE"/>
        </w:rPr>
        <w:tab/>
        <w:t xml:space="preserve">length </w:t>
      </w:r>
      <m:oMath>
        <m:r>
          <w:rPr>
            <w:rFonts w:ascii="Cambria Math" w:hAnsi="Cambria Math"/>
            <w:noProof/>
            <w:lang w:val="en-GB" w:eastAsia="de-DE"/>
          </w:rPr>
          <m:t>L ≤ 110 m</m:t>
        </m:r>
      </m:oMath>
      <w:r w:rsidRPr="004F47BB">
        <w:rPr>
          <w:noProof/>
          <w:lang w:val="en-GB" w:eastAsia="de-DE"/>
        </w:rPr>
        <w:t xml:space="preserve"> and</w:t>
      </w:r>
    </w:p>
    <w:p w:rsidR="004F47BB" w:rsidRPr="004F47BB" w:rsidRDefault="004F47BB" w:rsidP="004F47BB">
      <w:pPr>
        <w:spacing w:before="60" w:line="240" w:lineRule="atLeast"/>
        <w:ind w:left="1418" w:hanging="426"/>
        <w:rPr>
          <w:noProof/>
          <w:lang w:val="en-GB" w:eastAsia="de-DE"/>
        </w:rPr>
      </w:pPr>
      <w:r w:rsidRPr="004F47BB">
        <w:rPr>
          <w:noProof/>
          <w:lang w:val="en-GB" w:eastAsia="de-DE"/>
        </w:rPr>
        <w:t>-</w:t>
      </w:r>
      <w:r w:rsidRPr="004F47BB">
        <w:rPr>
          <w:noProof/>
          <w:lang w:val="en-GB" w:eastAsia="de-DE"/>
        </w:rPr>
        <w:tab/>
        <w:t xml:space="preserve">width </w:t>
      </w:r>
      <m:oMath>
        <m:r>
          <w:rPr>
            <w:rFonts w:ascii="Cambria Math" w:hAnsi="Cambria Math"/>
            <w:noProof/>
            <w:lang w:val="en-GB" w:eastAsia="de-DE"/>
          </w:rPr>
          <m:t>B ≤ 11,45 m</m:t>
        </m:r>
      </m:oMath>
      <w:r w:rsidRPr="004F47BB">
        <w:rPr>
          <w:noProof/>
          <w:lang w:val="en-GB" w:eastAsia="de-DE"/>
        </w:rPr>
        <w:t>.</w:t>
      </w:r>
    </w:p>
    <w:p w:rsidR="004F47BB" w:rsidRPr="004F47BB" w:rsidRDefault="004F47BB" w:rsidP="004F47BB">
      <w:pPr>
        <w:spacing w:before="60" w:line="240" w:lineRule="atLeast"/>
        <w:ind w:left="992" w:firstLine="0"/>
        <w:rPr>
          <w:noProof/>
          <w:lang w:val="en-GB" w:eastAsia="de-DE"/>
        </w:rPr>
      </w:pPr>
      <w:r w:rsidRPr="004F47BB">
        <w:rPr>
          <w:noProof/>
          <w:lang w:val="en-GB" w:eastAsia="de-DE"/>
        </w:rPr>
        <w:t>The stopping manoeuvre is completed on coming to a stop in relation to the ground.</w:t>
      </w:r>
    </w:p>
    <w:p w:rsidR="004F47BB" w:rsidRPr="004F47BB" w:rsidRDefault="004F47BB" w:rsidP="004F47BB">
      <w:pPr>
        <w:spacing w:before="60" w:line="240" w:lineRule="atLeast"/>
        <w:ind w:left="992"/>
        <w:rPr>
          <w:noProof/>
          <w:lang w:val="en-GB" w:eastAsia="en-US"/>
        </w:rPr>
      </w:pPr>
      <w:r w:rsidRPr="004F47BB">
        <w:rPr>
          <w:noProof/>
          <w:lang w:val="en-GB" w:eastAsia="en-US"/>
        </w:rPr>
        <w:t>b)</w:t>
      </w:r>
      <w:r w:rsidRPr="004F47BB">
        <w:rPr>
          <w:noProof/>
          <w:lang w:val="en-GB" w:eastAsia="en-US"/>
        </w:rPr>
        <w:tab/>
        <w:t>In standing water (current velocity of less than 0,2 m/s), stopping in relation to the water shall be demonstrated over a maximum distance, measured in relation to the ground of:</w:t>
      </w:r>
    </w:p>
    <w:p w:rsidR="004F47BB" w:rsidRPr="004F47BB" w:rsidRDefault="004F47BB" w:rsidP="004F47BB">
      <w:pPr>
        <w:spacing w:before="60" w:line="240" w:lineRule="atLeast"/>
        <w:ind w:left="992" w:firstLine="0"/>
        <w:rPr>
          <w:noProof/>
          <w:lang w:val="en-GB" w:eastAsia="de-DE"/>
        </w:rPr>
      </w:pPr>
      <w:r w:rsidRPr="004F47BB">
        <w:rPr>
          <w:noProof/>
          <w:lang w:val="en-GB" w:eastAsia="de-DE"/>
        </w:rPr>
        <w:t>350 m for vessels and convoys of:</w:t>
      </w:r>
    </w:p>
    <w:p w:rsidR="004F47BB" w:rsidRPr="004F47BB" w:rsidRDefault="004F47BB" w:rsidP="004F47BB">
      <w:pPr>
        <w:spacing w:before="60" w:line="240" w:lineRule="atLeast"/>
        <w:ind w:left="1418" w:hanging="426"/>
        <w:rPr>
          <w:noProof/>
          <w:lang w:val="en-GB" w:eastAsia="de-DE"/>
        </w:rPr>
      </w:pPr>
      <w:r w:rsidRPr="004F47BB">
        <w:rPr>
          <w:noProof/>
          <w:lang w:val="en-GB" w:eastAsia="de-DE"/>
        </w:rPr>
        <w:t>-</w:t>
      </w:r>
      <w:r w:rsidRPr="004F47BB">
        <w:rPr>
          <w:noProof/>
          <w:lang w:val="en-GB" w:eastAsia="de-DE"/>
        </w:rPr>
        <w:tab/>
        <w:t xml:space="preserve">length </w:t>
      </w:r>
      <m:oMath>
        <m:r>
          <w:rPr>
            <w:rFonts w:ascii="Cambria Math" w:hAnsi="Cambria Math"/>
            <w:noProof/>
            <w:lang w:val="en-GB" w:eastAsia="de-DE"/>
          </w:rPr>
          <m:t>L &gt; 110 m</m:t>
        </m:r>
      </m:oMath>
      <w:r w:rsidRPr="004F47BB">
        <w:rPr>
          <w:noProof/>
          <w:lang w:val="en-GB" w:eastAsia="de-DE"/>
        </w:rPr>
        <w:t xml:space="preserve"> or</w:t>
      </w:r>
    </w:p>
    <w:p w:rsidR="004F47BB" w:rsidRPr="004F47BB" w:rsidRDefault="004F47BB" w:rsidP="004F47BB">
      <w:pPr>
        <w:spacing w:before="60" w:line="240" w:lineRule="atLeast"/>
        <w:ind w:left="1418" w:hanging="426"/>
        <w:rPr>
          <w:noProof/>
          <w:lang w:val="en-GB" w:eastAsia="de-DE"/>
        </w:rPr>
      </w:pPr>
      <w:r w:rsidRPr="004F47BB">
        <w:rPr>
          <w:noProof/>
          <w:lang w:val="en-GB" w:eastAsia="de-DE"/>
        </w:rPr>
        <w:t>-</w:t>
      </w:r>
      <w:r w:rsidRPr="004F47BB">
        <w:rPr>
          <w:noProof/>
          <w:lang w:val="en-GB" w:eastAsia="de-DE"/>
        </w:rPr>
        <w:tab/>
        <w:t xml:space="preserve">width </w:t>
      </w:r>
      <m:oMath>
        <m:r>
          <w:rPr>
            <w:rFonts w:ascii="Cambria Math" w:hAnsi="Cambria Math"/>
            <w:noProof/>
            <w:lang w:val="en-GB" w:eastAsia="de-DE"/>
          </w:rPr>
          <m:t>B &gt; 11,45 m</m:t>
        </m:r>
      </m:oMath>
      <w:r w:rsidRPr="004F47BB">
        <w:rPr>
          <w:noProof/>
          <w:lang w:val="en-GB" w:eastAsia="de-DE"/>
        </w:rPr>
        <w:t>,</w:t>
      </w:r>
    </w:p>
    <w:p w:rsidR="004F47BB" w:rsidRPr="004F47BB" w:rsidRDefault="004F47BB" w:rsidP="004F47BB">
      <w:pPr>
        <w:spacing w:before="60" w:line="240" w:lineRule="atLeast"/>
        <w:ind w:left="992" w:firstLine="0"/>
        <w:rPr>
          <w:noProof/>
          <w:lang w:val="en-GB" w:eastAsia="de-DE"/>
        </w:rPr>
      </w:pPr>
      <w:r w:rsidRPr="004F47BB">
        <w:rPr>
          <w:noProof/>
          <w:lang w:val="en-GB" w:eastAsia="de-DE"/>
        </w:rPr>
        <w:t>or</w:t>
      </w:r>
    </w:p>
    <w:p w:rsidR="004F47BB" w:rsidRPr="004F47BB" w:rsidRDefault="004F47BB" w:rsidP="004F47BB">
      <w:pPr>
        <w:spacing w:before="60" w:line="240" w:lineRule="atLeast"/>
        <w:ind w:left="992" w:firstLine="0"/>
        <w:rPr>
          <w:noProof/>
          <w:lang w:val="en-GB" w:eastAsia="de-DE"/>
        </w:rPr>
      </w:pPr>
      <w:r w:rsidRPr="004F47BB">
        <w:rPr>
          <w:noProof/>
          <w:lang w:val="en-GB" w:eastAsia="de-DE"/>
        </w:rPr>
        <w:t>305 m for vessels and convoys of:</w:t>
      </w:r>
    </w:p>
    <w:p w:rsidR="004F47BB" w:rsidRPr="004F47BB" w:rsidRDefault="004F47BB" w:rsidP="004F47BB">
      <w:pPr>
        <w:spacing w:before="60" w:line="240" w:lineRule="atLeast"/>
        <w:ind w:left="1418" w:hanging="426"/>
        <w:rPr>
          <w:noProof/>
          <w:lang w:val="en-GB" w:eastAsia="de-DE"/>
        </w:rPr>
      </w:pPr>
      <w:r w:rsidRPr="004F47BB">
        <w:rPr>
          <w:noProof/>
          <w:lang w:val="en-GB" w:eastAsia="de-DE"/>
        </w:rPr>
        <w:t>-</w:t>
      </w:r>
      <w:r w:rsidRPr="004F47BB">
        <w:rPr>
          <w:noProof/>
          <w:lang w:val="en-GB" w:eastAsia="de-DE"/>
        </w:rPr>
        <w:tab/>
        <w:t xml:space="preserve">length </w:t>
      </w:r>
      <m:oMath>
        <m:r>
          <w:rPr>
            <w:rFonts w:ascii="Cambria Math" w:hAnsi="Cambria Math"/>
            <w:noProof/>
            <w:lang w:val="en-GB" w:eastAsia="de-DE"/>
          </w:rPr>
          <m:t xml:space="preserve">L ≤ 110 m </m:t>
        </m:r>
      </m:oMath>
      <w:r w:rsidRPr="004F47BB">
        <w:rPr>
          <w:noProof/>
          <w:lang w:val="en-GB" w:eastAsia="de-DE"/>
        </w:rPr>
        <w:t>and</w:t>
      </w:r>
    </w:p>
    <w:p w:rsidR="004F47BB" w:rsidRPr="004F47BB" w:rsidRDefault="004F47BB" w:rsidP="004F47BB">
      <w:pPr>
        <w:spacing w:before="60" w:line="240" w:lineRule="atLeast"/>
        <w:ind w:left="1418" w:hanging="426"/>
        <w:rPr>
          <w:noProof/>
          <w:lang w:val="en-GB" w:eastAsia="de-DE"/>
        </w:rPr>
      </w:pPr>
      <w:r w:rsidRPr="004F47BB">
        <w:rPr>
          <w:noProof/>
          <w:lang w:val="en-GB" w:eastAsia="de-DE"/>
        </w:rPr>
        <w:t>-</w:t>
      </w:r>
      <w:r w:rsidRPr="004F47BB">
        <w:rPr>
          <w:noProof/>
          <w:lang w:val="en-GB" w:eastAsia="de-DE"/>
        </w:rPr>
        <w:tab/>
        <w:t xml:space="preserve">width </w:t>
      </w:r>
      <m:oMath>
        <m:r>
          <w:rPr>
            <w:rFonts w:ascii="Cambria Math" w:hAnsi="Cambria Math"/>
            <w:noProof/>
            <w:lang w:val="en-GB" w:eastAsia="de-DE"/>
          </w:rPr>
          <m:t>B ≤ 11,45 m</m:t>
        </m:r>
      </m:oMath>
      <w:r w:rsidRPr="004F47BB">
        <w:rPr>
          <w:noProof/>
          <w:lang w:val="en-GB" w:eastAsia="de-DE"/>
        </w:rPr>
        <w:t>.</w:t>
      </w:r>
    </w:p>
    <w:p w:rsidR="004F47BB" w:rsidRPr="004F47BB" w:rsidRDefault="004F47BB" w:rsidP="004F47BB">
      <w:pPr>
        <w:spacing w:before="60" w:line="240" w:lineRule="atLeast"/>
        <w:ind w:left="992" w:firstLine="0"/>
        <w:rPr>
          <w:noProof/>
          <w:lang w:val="en-GB" w:eastAsia="de-DE"/>
        </w:rPr>
      </w:pPr>
      <w:r w:rsidRPr="004F47BB">
        <w:rPr>
          <w:noProof/>
          <w:lang w:val="en-GB" w:eastAsia="de-DE"/>
        </w:rPr>
        <w:t>In standing water, a test shall also be performed to demonstrate that a speed of not less than 6,5 km/h can be reached when going astern.</w:t>
      </w:r>
    </w:p>
    <w:p w:rsidR="004F47BB" w:rsidRPr="004F47BB" w:rsidRDefault="004F47BB" w:rsidP="004F47BB">
      <w:pPr>
        <w:spacing w:line="240" w:lineRule="atLeast"/>
        <w:ind w:left="567" w:hanging="567"/>
        <w:rPr>
          <w:lang w:val="en-GB"/>
        </w:rPr>
      </w:pPr>
    </w:p>
    <w:p w:rsidR="004F47BB" w:rsidRPr="004F47BB" w:rsidRDefault="004F47BB" w:rsidP="004F47BB">
      <w:pPr>
        <w:spacing w:line="240" w:lineRule="atLeast"/>
        <w:ind w:left="567" w:hanging="567"/>
        <w:rPr>
          <w:lang w:val="en-US"/>
        </w:rPr>
      </w:pPr>
      <w:r w:rsidRPr="004F47BB">
        <w:rPr>
          <w:lang w:val="en-US"/>
        </w:rPr>
        <w:br w:type="page"/>
      </w:r>
    </w:p>
    <w:p w:rsidR="004F47BB" w:rsidRPr="004F47BB" w:rsidRDefault="004F47BB" w:rsidP="004F47BB">
      <w:pPr>
        <w:spacing w:line="240" w:lineRule="atLeast"/>
        <w:ind w:left="567" w:firstLine="0"/>
        <w:rPr>
          <w:noProof/>
          <w:lang w:val="en-GB" w:eastAsia="en-US"/>
        </w:rPr>
      </w:pPr>
      <w:r w:rsidRPr="004F47BB">
        <w:rPr>
          <w:noProof/>
          <w:lang w:val="en-GB" w:eastAsia="en-US"/>
        </w:rPr>
        <w:lastRenderedPageBreak/>
        <w:t>The measuring, recording and registration of the test data referred to in (a) or (b) shall be carried out in accordance with the procedure set out in Annex 1.</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Throughout the entire test, the vessel or the convoy shall have adequate manoeuvrability.</w:t>
      </w:r>
    </w:p>
    <w:p w:rsidR="004F47BB" w:rsidRPr="004F47BB" w:rsidRDefault="004F47BB" w:rsidP="004F47BB">
      <w:pPr>
        <w:spacing w:line="240" w:lineRule="atLeast"/>
        <w:ind w:left="567" w:hanging="567"/>
        <w:rPr>
          <w:noProof/>
          <w:lang w:val="en-GB" w:eastAsia="en-US"/>
        </w:rPr>
      </w:pPr>
    </w:p>
    <w:p w:rsidR="004F47BB" w:rsidRPr="004F47BB" w:rsidRDefault="004F47BB" w:rsidP="004F47BB">
      <w:pPr>
        <w:spacing w:line="240" w:lineRule="atLeast"/>
        <w:ind w:left="567" w:hanging="567"/>
        <w:rPr>
          <w:noProof/>
          <w:lang w:val="en-GB" w:eastAsia="en-US"/>
        </w:rPr>
      </w:pPr>
      <w:r w:rsidRPr="004F47BB">
        <w:rPr>
          <w:noProof/>
          <w:lang w:val="en-GB" w:eastAsia="en-US"/>
        </w:rPr>
        <w:t>2.2</w:t>
      </w:r>
      <w:r w:rsidRPr="004F47BB">
        <w:rPr>
          <w:noProof/>
          <w:lang w:val="en-GB" w:eastAsia="en-US"/>
        </w:rPr>
        <w:tab/>
        <w:t>In accordance with Article 5.04, during the test, vessels shall be loaded as far as possible to 70</w:t>
      </w:r>
      <w:r w:rsidRPr="004F47BB">
        <w:rPr>
          <w:lang w:val="en-US"/>
        </w:rPr>
        <w:t> – </w:t>
      </w:r>
      <w:r w:rsidRPr="004F47BB">
        <w:rPr>
          <w:noProof/>
          <w:lang w:val="en-GB" w:eastAsia="en-US"/>
        </w:rPr>
        <w:t>100 % of their deadweight. This loading condition shall be evaluated in accordance with Annex 2. When the vessel or the convoy is loaded to less than 70 % at the time of the test, the permitted maximum displacement in downstream navigation shall be set in accordance with the actual load, provided that the limit values of (2.1) are complied with.</w:t>
      </w:r>
    </w:p>
    <w:p w:rsidR="004F47BB" w:rsidRPr="004F47BB" w:rsidRDefault="004F47BB" w:rsidP="004F47BB">
      <w:pPr>
        <w:spacing w:line="240" w:lineRule="atLeast"/>
        <w:ind w:left="567" w:hanging="567"/>
        <w:rPr>
          <w:noProof/>
          <w:lang w:val="en-GB" w:eastAsia="en-US"/>
        </w:rPr>
      </w:pPr>
    </w:p>
    <w:p w:rsidR="004F47BB" w:rsidRPr="004F47BB" w:rsidRDefault="004F47BB" w:rsidP="004F47BB">
      <w:pPr>
        <w:spacing w:line="240" w:lineRule="atLeast"/>
        <w:ind w:left="567" w:hanging="567"/>
        <w:rPr>
          <w:noProof/>
          <w:lang w:val="en-GB" w:eastAsia="en-US"/>
        </w:rPr>
      </w:pPr>
      <w:r w:rsidRPr="004F47BB">
        <w:rPr>
          <w:noProof/>
          <w:lang w:val="en-GB" w:eastAsia="en-US"/>
        </w:rPr>
        <w:t>2.3</w:t>
      </w:r>
      <w:r w:rsidRPr="004F47BB">
        <w:rPr>
          <w:noProof/>
          <w:lang w:val="en-GB" w:eastAsia="en-US"/>
        </w:rPr>
        <w:tab/>
        <w:t>If the actual values of the initial speed and current velocity at the time of the test do not meet the conditions set out in (2.1), the results obtained shall be evaluated according to the procedure described in Annex 2.</w:t>
      </w:r>
    </w:p>
    <w:p w:rsidR="004F47BB" w:rsidRPr="004F47BB" w:rsidRDefault="004F47BB" w:rsidP="004F47BB">
      <w:pPr>
        <w:spacing w:line="240" w:lineRule="atLeast"/>
        <w:ind w:left="567" w:hanging="567"/>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The permitted deviation of the initial speed of 13 km/h shall be not more than</w:t>
      </w:r>
      <w:r w:rsidRPr="004F47BB">
        <w:rPr>
          <w:lang w:val="en-US"/>
        </w:rPr>
        <w:t xml:space="preserve"> </w:t>
      </w:r>
      <w:r w:rsidRPr="004F47BB">
        <w:sym w:font="Symbol" w:char="F0B1"/>
      </w:r>
      <w:r w:rsidRPr="004F47BB">
        <w:rPr>
          <w:lang w:val="en-US"/>
        </w:rPr>
        <w:t xml:space="preserve"> </w:t>
      </w:r>
      <w:r w:rsidRPr="004F47BB">
        <w:rPr>
          <w:noProof/>
          <w:lang w:val="en-GB" w:eastAsia="en-US"/>
        </w:rPr>
        <w:t>1 km/h, and the current velocity in flowing water shall be between 1,3 and 2,2 m/s, otherwise the tests shall be repeated.</w:t>
      </w:r>
    </w:p>
    <w:p w:rsidR="004F47BB" w:rsidRPr="004F47BB" w:rsidRDefault="004F47BB" w:rsidP="004F47BB">
      <w:pPr>
        <w:spacing w:line="240" w:lineRule="atLeast"/>
        <w:ind w:left="567" w:hanging="567"/>
        <w:rPr>
          <w:noProof/>
          <w:lang w:val="en-GB" w:eastAsia="en-US"/>
        </w:rPr>
      </w:pPr>
    </w:p>
    <w:p w:rsidR="004F47BB" w:rsidRPr="004F47BB" w:rsidRDefault="004F47BB" w:rsidP="004F47BB">
      <w:pPr>
        <w:spacing w:line="240" w:lineRule="atLeast"/>
        <w:ind w:left="567" w:hanging="567"/>
        <w:rPr>
          <w:noProof/>
          <w:lang w:val="en-GB" w:eastAsia="en-US"/>
        </w:rPr>
      </w:pPr>
      <w:r w:rsidRPr="004F47BB">
        <w:rPr>
          <w:noProof/>
          <w:lang w:val="en-GB" w:eastAsia="en-US"/>
        </w:rPr>
        <w:t>2.4</w:t>
      </w:r>
      <w:r w:rsidRPr="004F47BB">
        <w:rPr>
          <w:noProof/>
          <w:lang w:val="en-GB" w:eastAsia="en-US"/>
        </w:rPr>
        <w:tab/>
        <w:t>The permitted maximum displacement or the respective maximum load or the maximum immersed cross-section for vessels and convoys in downstream navigation shall be determined on the basis of the tests and entered in the inland navigation vessel certificate.</w:t>
      </w:r>
    </w:p>
    <w:p w:rsidR="004F47BB" w:rsidRPr="004F47BB" w:rsidRDefault="004F47BB" w:rsidP="004F47BB">
      <w:pPr>
        <w:spacing w:line="240" w:lineRule="atLeast"/>
        <w:ind w:left="567" w:hanging="567"/>
        <w:jc w:val="center"/>
        <w:rPr>
          <w:noProof/>
          <w:lang w:val="en-GB" w:eastAsia="en-US"/>
        </w:rPr>
      </w:pPr>
    </w:p>
    <w:p w:rsidR="004F47BB" w:rsidRPr="004F47BB" w:rsidRDefault="004F47BB" w:rsidP="004F47BB">
      <w:pPr>
        <w:tabs>
          <w:tab w:val="left" w:pos="567"/>
        </w:tabs>
        <w:spacing w:line="240" w:lineRule="atLeast"/>
        <w:ind w:left="567" w:hanging="567"/>
        <w:rPr>
          <w:lang w:val="en-US"/>
        </w:rPr>
      </w:pPr>
    </w:p>
    <w:p w:rsidR="004F47BB" w:rsidRPr="004F47BB" w:rsidRDefault="004F47BB" w:rsidP="004F47BB">
      <w:pPr>
        <w:spacing w:line="240" w:lineRule="atLeast"/>
        <w:ind w:left="567" w:hanging="567"/>
        <w:rPr>
          <w:lang w:val="en-US"/>
        </w:rPr>
        <w:sectPr w:rsidR="004F47BB" w:rsidRPr="004F47BB" w:rsidSect="00D45887">
          <w:pgSz w:w="11907" w:h="16840" w:code="9"/>
          <w:pgMar w:top="1418" w:right="1418" w:bottom="1418" w:left="1418" w:header="680" w:footer="680" w:gutter="0"/>
          <w:cols w:space="720"/>
          <w:noEndnote/>
          <w:titlePg/>
        </w:sectPr>
      </w:pPr>
    </w:p>
    <w:p w:rsidR="004F47BB" w:rsidRPr="004F47BB" w:rsidRDefault="004F47BB" w:rsidP="004F47BB">
      <w:pPr>
        <w:spacing w:line="240" w:lineRule="atLeast"/>
        <w:ind w:left="567" w:hanging="567"/>
        <w:rPr>
          <w:lang w:val="en-US"/>
        </w:rPr>
      </w:pPr>
    </w:p>
    <w:p w:rsidR="004F47BB" w:rsidRPr="004F47BB" w:rsidRDefault="004F47BB" w:rsidP="00C859BD">
      <w:pPr>
        <w:pStyle w:val="ES-Titre4"/>
      </w:pPr>
      <w:r w:rsidRPr="004F47BB">
        <w:t>Annex 1 to instruction ESI-II-3</w:t>
      </w:r>
    </w:p>
    <w:p w:rsidR="004F47BB" w:rsidRPr="004F47BB" w:rsidRDefault="004F47BB" w:rsidP="00C859BD">
      <w:pPr>
        <w:pStyle w:val="ES-Titre4a"/>
      </w:pPr>
      <w:r w:rsidRPr="004F47BB">
        <w:t>Measuring, recording and registration of data collected during stopping manoeuvre tests</w:t>
      </w:r>
    </w:p>
    <w:p w:rsidR="004F47BB" w:rsidRPr="004F47BB" w:rsidRDefault="004F47BB" w:rsidP="004F47BB">
      <w:pPr>
        <w:tabs>
          <w:tab w:val="left" w:pos="454"/>
        </w:tabs>
        <w:overflowPunct w:val="0"/>
        <w:adjustRightInd w:val="0"/>
        <w:spacing w:line="240" w:lineRule="exact"/>
        <w:ind w:left="454" w:hanging="454"/>
        <w:textAlignment w:val="baseline"/>
        <w:rPr>
          <w:szCs w:val="20"/>
          <w:lang w:val="en-US"/>
        </w:rPr>
      </w:pP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1.</w:t>
      </w:r>
      <w:r w:rsidRPr="004F47BB">
        <w:rPr>
          <w:rFonts w:cs="Arial"/>
          <w:b/>
          <w:color w:val="000000"/>
          <w:szCs w:val="20"/>
          <w:lang w:val="en-US"/>
        </w:rPr>
        <w:tab/>
        <w:t>Stopping manoeuvre</w:t>
      </w:r>
    </w:p>
    <w:p w:rsidR="004F47BB" w:rsidRPr="004F47BB" w:rsidRDefault="004F47BB" w:rsidP="004F47BB">
      <w:pPr>
        <w:spacing w:line="240" w:lineRule="atLeast"/>
        <w:ind w:left="567" w:firstLine="0"/>
        <w:rPr>
          <w:lang w:val="en-US"/>
        </w:rPr>
      </w:pPr>
    </w:p>
    <w:p w:rsidR="004F47BB" w:rsidRPr="004F47BB" w:rsidRDefault="004F47BB" w:rsidP="004F47BB">
      <w:pPr>
        <w:spacing w:line="240" w:lineRule="atLeast"/>
        <w:ind w:left="567" w:firstLine="0"/>
        <w:rPr>
          <w:noProof/>
          <w:lang w:val="en-GB" w:eastAsia="en-US"/>
        </w:rPr>
      </w:pPr>
      <w:r w:rsidRPr="004F47BB">
        <w:rPr>
          <w:noProof/>
          <w:lang w:val="en-GB" w:eastAsia="en-US"/>
        </w:rPr>
        <w:t xml:space="preserve">The vessels and convoys referred to in Chapter 5 shall carry out a test in flowing water or in standing water, in a test area, to prove that they are capable of stopping facing downstream only with their propulsion system without the use of anchors. The stopping manoeuvre shall, in principle, be carried out in accordance with figure 1. It begins when the vessel is travelling at a constant speed of as near as possible to 13 km/h in relation to the water by reversing the engines from ‘ahead’ to ‘astern’ (point </w:t>
      </w:r>
      <m:oMath>
        <m:r>
          <w:rPr>
            <w:rFonts w:ascii="Cambria Math" w:hAnsi="Cambria Math"/>
            <w:noProof/>
            <w:lang w:val="en-GB" w:eastAsia="en-US"/>
          </w:rPr>
          <m:t>A</m:t>
        </m:r>
      </m:oMath>
      <w:r w:rsidRPr="004F47BB">
        <w:rPr>
          <w:noProof/>
          <w:lang w:val="en-GB" w:eastAsia="en-US"/>
        </w:rPr>
        <w:t xml:space="preserve"> of the order ‘stop’) and is completed when the vessel is stationary in relation to the ground (point </w:t>
      </w:r>
      <m:oMath>
        <m:r>
          <w:rPr>
            <w:rFonts w:ascii="Cambria Math" w:hAnsi="Cambria Math"/>
            <w:noProof/>
            <w:lang w:val="en-GB" w:eastAsia="en-US"/>
          </w:rPr>
          <m:t>E: v=0</m:t>
        </m:r>
      </m:oMath>
      <w:r w:rsidRPr="004F47BB">
        <w:rPr>
          <w:noProof/>
          <w:lang w:val="en-GB" w:eastAsia="en-US"/>
        </w:rPr>
        <w:t xml:space="preserve"> in relation to the ground or point </w:t>
      </w:r>
      <m:oMath>
        <m:r>
          <w:rPr>
            <w:rFonts w:ascii="Cambria Math" w:hAnsi="Cambria Math"/>
            <w:noProof/>
            <w:lang w:val="en-GB" w:eastAsia="en-US"/>
          </w:rPr>
          <m:t>D:=</m:t>
        </m:r>
      </m:oMath>
      <w:r w:rsidRPr="004F47BB">
        <w:rPr>
          <w:noProof/>
          <w:lang w:val="en-GB" w:eastAsia="en-US"/>
        </w:rPr>
        <w:t xml:space="preserve"> point </w:t>
      </w:r>
      <m:oMath>
        <m:r>
          <w:rPr>
            <w:rFonts w:ascii="Cambria Math" w:hAnsi="Cambria Math"/>
            <w:noProof/>
            <w:lang w:val="en-GB" w:eastAsia="en-US"/>
          </w:rPr>
          <m:t>E: v=0</m:t>
        </m:r>
      </m:oMath>
      <w:r w:rsidRPr="004F47BB">
        <w:rPr>
          <w:noProof/>
          <w:lang w:val="en-GB" w:eastAsia="en-US"/>
        </w:rPr>
        <w:t xml:space="preserve"> in relation to the water and in relation to the ground if the stopping manoeuvre is carried out in standing water).</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 xml:space="preserve">When stopping manoeuvres are carried out in flowing water, the position and the moment of stopping in relation to the water shall also be recorded (the vessel moves at the speed of the current; point </w:t>
      </w:r>
      <m:oMath>
        <m:r>
          <w:rPr>
            <w:rFonts w:ascii="Cambria Math" w:hAnsi="Cambria Math"/>
            <w:noProof/>
            <w:lang w:val="en-GB" w:eastAsia="en-US"/>
          </w:rPr>
          <m:t>D: v=0</m:t>
        </m:r>
      </m:oMath>
      <w:r w:rsidRPr="004F47BB">
        <w:rPr>
          <w:noProof/>
          <w:lang w:val="en-GB" w:eastAsia="en-US"/>
        </w:rPr>
        <w:t xml:space="preserve"> in relation to the water).</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The data measured shall be entered in a report as shown in the diagram of table 1. Before the stopping manoeuvre is carried out, the unchanging data shall be entered at the top of the form.</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The average current velocity (</w:t>
      </w:r>
      <m:oMath>
        <m:sSub>
          <m:sSubPr>
            <m:ctrlPr>
              <w:rPr>
                <w:rFonts w:ascii="Cambria Math" w:hAnsi="Cambria Math" w:cs="Arial"/>
                <w:i/>
                <w:szCs w:val="20"/>
                <w:lang w:val="nl-NL" w:eastAsia="de-DE"/>
              </w:rPr>
            </m:ctrlPr>
          </m:sSubPr>
          <m:e>
            <m:r>
              <w:rPr>
                <w:rFonts w:ascii="Cambria Math" w:hAnsi="Cambria Math" w:cs="Arial"/>
                <w:szCs w:val="20"/>
                <w:lang w:val="nl-NL" w:eastAsia="de-DE"/>
              </w:rPr>
              <m:t>v</m:t>
            </m:r>
          </m:e>
          <m:sub>
            <m:r>
              <w:rPr>
                <w:rFonts w:ascii="Cambria Math" w:hAnsi="Cambria Math" w:cs="Arial"/>
                <w:szCs w:val="20"/>
                <w:lang w:val="nl-NL" w:eastAsia="de-DE"/>
              </w:rPr>
              <m:t>STR</m:t>
            </m:r>
          </m:sub>
        </m:sSub>
      </m:oMath>
      <w:r w:rsidRPr="004F47BB">
        <w:rPr>
          <w:noProof/>
          <w:lang w:val="en-GB" w:eastAsia="en-US"/>
        </w:rPr>
        <w:t>) in the fairway shall be determined, if available, based on the reading of an established water level gauge, or by measuring the movement of a floating body and shall be entered in the report.</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In principle, the use of current metres is permitted to determine the speed of the vessel in relation to the water during the stopping manoeuvre, if it is possible to record the movement and the required data in accordance with the procedure above.</w:t>
      </w:r>
    </w:p>
    <w:p w:rsidR="004F47BB" w:rsidRPr="004F47BB" w:rsidRDefault="004F47BB" w:rsidP="004F47BB">
      <w:pPr>
        <w:spacing w:line="240" w:lineRule="atLeast"/>
        <w:ind w:left="567" w:firstLine="0"/>
        <w:rPr>
          <w:lang w:val="en-GB"/>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2.</w:t>
      </w:r>
      <w:r w:rsidRPr="004F47BB">
        <w:rPr>
          <w:rFonts w:cs="Arial"/>
          <w:b/>
          <w:color w:val="000000"/>
          <w:szCs w:val="20"/>
          <w:lang w:val="en-US"/>
        </w:rPr>
        <w:tab/>
        <w:t>Registration of the data measured and recording them in the report (table 1)</w:t>
      </w:r>
    </w:p>
    <w:p w:rsidR="004F47BB" w:rsidRPr="004F47BB" w:rsidRDefault="004F47BB" w:rsidP="004F47BB">
      <w:pPr>
        <w:tabs>
          <w:tab w:val="left" w:pos="567"/>
        </w:tabs>
        <w:overflowPunct w:val="0"/>
        <w:adjustRightInd w:val="0"/>
        <w:spacing w:line="240" w:lineRule="exact"/>
        <w:ind w:left="567" w:hanging="567"/>
        <w:textAlignment w:val="baseline"/>
        <w:rPr>
          <w:szCs w:val="20"/>
          <w:lang w:val="en-US"/>
        </w:rPr>
      </w:pPr>
    </w:p>
    <w:p w:rsidR="004F47BB" w:rsidRPr="004F47BB" w:rsidRDefault="004F47BB" w:rsidP="004F47BB">
      <w:pPr>
        <w:spacing w:line="240" w:lineRule="atLeast"/>
        <w:ind w:left="567" w:firstLine="0"/>
        <w:rPr>
          <w:noProof/>
          <w:lang w:val="en-GB" w:eastAsia="en-US"/>
        </w:rPr>
      </w:pPr>
      <w:r w:rsidRPr="004F47BB">
        <w:rPr>
          <w:noProof/>
          <w:lang w:val="en-GB" w:eastAsia="en-US"/>
        </w:rPr>
        <w:t>For the stopping manoeuvre, first of all the initial speed in relation to the water shall be determined. This can be done by measuring the time taken to travel between two markers on land. In flowing water, the average current velocity shall be taken into account.</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 xml:space="preserve">The stopping manoeuvre is initiated by the order ‘stop’ </w:t>
      </w:r>
      <m:oMath>
        <m:r>
          <w:rPr>
            <w:rFonts w:ascii="Cambria Math" w:hAnsi="Cambria Math"/>
            <w:noProof/>
            <w:lang w:val="en-GB" w:eastAsia="en-US"/>
          </w:rPr>
          <m:t>A</m:t>
        </m:r>
      </m:oMath>
      <w:r w:rsidRPr="004F47BB">
        <w:rPr>
          <w:noProof/>
          <w:lang w:val="en-GB" w:eastAsia="en-US"/>
        </w:rPr>
        <w:t>, given on passing a marker on land. Passing the land marker shall be recorded perpendicularly to the axis of the vessel and shall be entered in the report. Passing all other land markers during the stopping manoeuvre shall be similarly recorded and each marker (e.g. kilometre post) and the time of passing shall be noted in the report.</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noProof/>
          <w:lang w:val="en-GB" w:eastAsia="en-US"/>
        </w:rPr>
      </w:pPr>
      <w:r w:rsidRPr="004F47BB">
        <w:rPr>
          <w:noProof/>
          <w:lang w:val="en-GB" w:eastAsia="en-US"/>
        </w:rPr>
        <w:t xml:space="preserve">The values measured shall, if possible, be recorded at intervals of 50 m. In each case, note should be taken of the time when points </w:t>
      </w:r>
      <m:oMath>
        <m:r>
          <w:rPr>
            <w:rFonts w:ascii="Cambria Math" w:hAnsi="Cambria Math"/>
            <w:noProof/>
            <w:lang w:val="en-GB" w:eastAsia="en-US"/>
          </w:rPr>
          <m:t>B</m:t>
        </m:r>
      </m:oMath>
      <w:r w:rsidRPr="004F47BB">
        <w:rPr>
          <w:noProof/>
          <w:lang w:val="en-GB" w:eastAsia="en-US"/>
        </w:rPr>
        <w:t xml:space="preserve"> and </w:t>
      </w:r>
      <m:oMath>
        <m:r>
          <w:rPr>
            <w:rFonts w:ascii="Cambria Math" w:hAnsi="Cambria Math"/>
            <w:noProof/>
            <w:lang w:val="en-GB" w:eastAsia="en-US"/>
          </w:rPr>
          <m:t>C</m:t>
        </m:r>
      </m:oMath>
      <w:r w:rsidRPr="004F47BB">
        <w:rPr>
          <w:noProof/>
          <w:lang w:val="en-GB" w:eastAsia="en-US"/>
        </w:rPr>
        <w:t xml:space="preserve"> — if possible — as well as when points </w:t>
      </w:r>
      <m:oMath>
        <m:r>
          <w:rPr>
            <w:rFonts w:ascii="Cambria Math" w:hAnsi="Cambria Math"/>
            <w:noProof/>
            <w:lang w:val="en-GB" w:eastAsia="en-US"/>
          </w:rPr>
          <m:t>D</m:t>
        </m:r>
      </m:oMath>
      <w:r w:rsidRPr="004F47BB">
        <w:rPr>
          <w:noProof/>
          <w:lang w:val="en-GB" w:eastAsia="en-US"/>
        </w:rPr>
        <w:t xml:space="preserve"> and </w:t>
      </w:r>
      <m:oMath>
        <m:r>
          <w:rPr>
            <w:rFonts w:ascii="Cambria Math" w:hAnsi="Cambria Math"/>
            <w:noProof/>
            <w:lang w:val="en-GB" w:eastAsia="en-US"/>
          </w:rPr>
          <m:t>E</m:t>
        </m:r>
      </m:oMath>
      <w:r w:rsidRPr="004F47BB">
        <w:rPr>
          <w:noProof/>
          <w:lang w:val="en-GB" w:eastAsia="en-US"/>
        </w:rPr>
        <w:t xml:space="preserve"> are reached and the respective position shall be estimated. The data concerning the engine speed need not be recorded in the report, but should be noted to permit more accurate control of the initial speed.</w:t>
      </w:r>
    </w:p>
    <w:p w:rsidR="004F47BB" w:rsidRPr="004F47BB" w:rsidRDefault="004F47BB" w:rsidP="004F47BB">
      <w:pPr>
        <w:spacing w:line="240" w:lineRule="atLeast"/>
        <w:ind w:left="567" w:firstLine="0"/>
        <w:rPr>
          <w:szCs w:val="20"/>
          <w:lang w:val="en-US"/>
        </w:rPr>
      </w:pPr>
      <w:r w:rsidRPr="004F47BB">
        <w:rPr>
          <w:szCs w:val="20"/>
          <w:lang w:val="en-US"/>
        </w:rPr>
        <w:br w:type="page"/>
      </w: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lastRenderedPageBreak/>
        <w:t>3.</w:t>
      </w:r>
      <w:r w:rsidRPr="004F47BB">
        <w:rPr>
          <w:rFonts w:cs="Arial"/>
          <w:b/>
          <w:color w:val="000000"/>
          <w:szCs w:val="20"/>
          <w:lang w:val="en-US"/>
        </w:rPr>
        <w:tab/>
        <w:t>Description of the stopping manoeuvre</w:t>
      </w:r>
    </w:p>
    <w:p w:rsidR="004F47BB" w:rsidRPr="004F47BB" w:rsidRDefault="004F47BB" w:rsidP="004F47BB">
      <w:pPr>
        <w:tabs>
          <w:tab w:val="left" w:pos="567"/>
        </w:tabs>
        <w:overflowPunct w:val="0"/>
        <w:adjustRightInd w:val="0"/>
        <w:spacing w:line="240" w:lineRule="exact"/>
        <w:ind w:left="567" w:hanging="567"/>
        <w:textAlignment w:val="baseline"/>
        <w:rPr>
          <w:szCs w:val="20"/>
          <w:lang w:val="en-US"/>
        </w:rPr>
      </w:pPr>
    </w:p>
    <w:p w:rsidR="004F47BB" w:rsidRPr="004F47BB" w:rsidRDefault="004F47BB" w:rsidP="004F47BB">
      <w:pPr>
        <w:spacing w:line="240" w:lineRule="atLeast"/>
        <w:ind w:left="567" w:firstLine="0"/>
        <w:rPr>
          <w:lang w:val="en-US"/>
        </w:rPr>
      </w:pPr>
      <w:r w:rsidRPr="004F47BB">
        <w:rPr>
          <w:noProof/>
          <w:lang w:val="en-US" w:eastAsia="ko-KR"/>
        </w:rPr>
        <w:t xml:space="preserve">The stopping manoeuvre according to figure 1 shall be presented in the form of a diagram. First of all, the time-traverse diagram shall be plotted using the measurements entered in the test report and points </w:t>
      </w:r>
      <m:oMath>
        <m:r>
          <w:rPr>
            <w:rFonts w:ascii="Cambria Math" w:hAnsi="Cambria Math"/>
            <w:noProof/>
            <w:lang w:val="en-US" w:eastAsia="ko-KR"/>
          </w:rPr>
          <m:t>A</m:t>
        </m:r>
      </m:oMath>
      <w:r w:rsidRPr="004F47BB">
        <w:rPr>
          <w:noProof/>
          <w:lang w:val="en-US" w:eastAsia="ko-KR"/>
        </w:rPr>
        <w:t xml:space="preserve"> to </w:t>
      </w:r>
      <m:oMath>
        <m:r>
          <w:rPr>
            <w:rFonts w:ascii="Cambria Math" w:hAnsi="Cambria Math"/>
            <w:noProof/>
            <w:lang w:val="en-US" w:eastAsia="ko-KR"/>
          </w:rPr>
          <m:t>E</m:t>
        </m:r>
      </m:oMath>
      <w:r w:rsidRPr="004F47BB">
        <w:rPr>
          <w:noProof/>
          <w:lang w:val="en-US" w:eastAsia="ko-KR"/>
        </w:rPr>
        <w:t xml:space="preserve"> shall be indicated. It will then be possible to determine the average speed between two measurement points and to plot the speed/time diagram.</w:t>
      </w:r>
    </w:p>
    <w:p w:rsidR="004F47BB" w:rsidRPr="004F47BB" w:rsidRDefault="004F47BB" w:rsidP="004F47BB">
      <w:pPr>
        <w:spacing w:line="240" w:lineRule="atLeast"/>
        <w:ind w:left="567" w:firstLine="0"/>
        <w:rPr>
          <w:lang w:val="en-US"/>
        </w:rPr>
      </w:pPr>
    </w:p>
    <w:p w:rsidR="004F47BB" w:rsidRPr="004F47BB" w:rsidRDefault="004F47BB" w:rsidP="004F47BB">
      <w:pPr>
        <w:spacing w:line="240" w:lineRule="atLeast"/>
        <w:ind w:left="567" w:firstLine="0"/>
        <w:rPr>
          <w:lang w:val="en-US"/>
        </w:rPr>
      </w:pPr>
      <w:r w:rsidRPr="004F47BB">
        <w:rPr>
          <w:lang w:val="en-US"/>
        </w:rPr>
        <w:t>This is done as follows (see figure 1):</w:t>
      </w:r>
    </w:p>
    <w:p w:rsidR="004F47BB" w:rsidRPr="004F47BB" w:rsidRDefault="004F47BB" w:rsidP="004F47BB">
      <w:pPr>
        <w:spacing w:line="240" w:lineRule="atLeast"/>
        <w:ind w:left="567" w:firstLine="0"/>
        <w:rPr>
          <w:lang w:val="en-US"/>
        </w:rPr>
      </w:pPr>
    </w:p>
    <w:p w:rsidR="004F47BB" w:rsidRPr="004F47BB" w:rsidRDefault="004F47BB" w:rsidP="004F47BB">
      <w:pPr>
        <w:spacing w:line="240" w:lineRule="atLeast"/>
        <w:ind w:left="567" w:firstLine="0"/>
        <w:rPr>
          <w:lang w:val="en-US"/>
        </w:rPr>
      </w:pPr>
      <w:r w:rsidRPr="004F47BB">
        <w:rPr>
          <w:lang w:val="en-US"/>
        </w:rPr>
        <w:t xml:space="preserve">By determining the quotient of the difference of position over the difference in time </w:t>
      </w:r>
      <m:oMath>
        <m:r>
          <w:rPr>
            <w:rFonts w:ascii="Cambria Math" w:hAnsi="Cambria Math"/>
          </w:rPr>
          <m:t>Δ</m:t>
        </m:r>
        <m:r>
          <w:rPr>
            <w:rFonts w:ascii="Cambria Math" w:hAnsi="Cambria Math"/>
            <w:lang w:val="en-US"/>
          </w:rPr>
          <m:t>s/</m:t>
        </m:r>
        <m:r>
          <w:rPr>
            <w:rFonts w:ascii="Cambria Math" w:hAnsi="Cambria Math"/>
          </w:rPr>
          <m:t>Δ</m:t>
        </m:r>
        <m:r>
          <w:rPr>
            <w:rFonts w:ascii="Cambria Math" w:hAnsi="Cambria Math"/>
            <w:lang w:val="en-US"/>
          </w:rPr>
          <m:t>t</m:t>
        </m:r>
      </m:oMath>
      <w:r w:rsidRPr="004F47BB">
        <w:rPr>
          <w:lang w:val="en-US"/>
        </w:rPr>
        <w:t>, the average speed of the vessel for this period can be calculated.</w:t>
      </w:r>
    </w:p>
    <w:p w:rsidR="004F47BB" w:rsidRPr="004F47BB" w:rsidRDefault="004F47BB" w:rsidP="004F47BB">
      <w:pPr>
        <w:spacing w:line="240" w:lineRule="atLeast"/>
        <w:ind w:left="567" w:firstLine="0"/>
        <w:rPr>
          <w:lang w:val="en-US"/>
        </w:rPr>
      </w:pPr>
    </w:p>
    <w:p w:rsidR="004F47BB" w:rsidRPr="004F47BB" w:rsidRDefault="004F47BB" w:rsidP="004F47BB">
      <w:pPr>
        <w:spacing w:line="240" w:lineRule="atLeast"/>
        <w:ind w:left="567" w:firstLine="0"/>
        <w:rPr>
          <w:lang w:val="en-US"/>
        </w:rPr>
      </w:pPr>
      <w:r w:rsidRPr="004F47BB">
        <w:rPr>
          <w:lang w:val="en-US"/>
        </w:rPr>
        <w:t>During the interval between 0 sec. and 10 sec., the distance from 0 m to 50 m is covered.</w:t>
      </w:r>
    </w:p>
    <w:p w:rsidR="004F47BB" w:rsidRPr="004F47BB" w:rsidRDefault="004F47BB" w:rsidP="004F47BB">
      <w:pPr>
        <w:tabs>
          <w:tab w:val="left" w:pos="567"/>
        </w:tabs>
        <w:overflowPunct w:val="0"/>
        <w:adjustRightInd w:val="0"/>
        <w:spacing w:line="240" w:lineRule="exact"/>
        <w:ind w:left="567" w:hanging="567"/>
        <w:jc w:val="left"/>
        <w:textAlignment w:val="baseline"/>
        <w:rPr>
          <w:szCs w:val="20"/>
          <w:lang w:val="en-US"/>
        </w:rPr>
      </w:pPr>
    </w:p>
    <w:p w:rsidR="004F47BB" w:rsidRPr="004F47BB" w:rsidRDefault="004F47BB" w:rsidP="004F47BB">
      <w:pPr>
        <w:spacing w:line="240" w:lineRule="atLeast"/>
        <w:ind w:left="567" w:firstLine="0"/>
        <w:jc w:val="center"/>
        <w:rPr>
          <w:lang w:val="en-US"/>
        </w:rPr>
      </w:pPr>
      <m:oMath>
        <m:r>
          <w:rPr>
            <w:rFonts w:ascii="Cambria Math" w:hAnsi="Cambria Math"/>
            <w:i/>
          </w:rPr>
          <w:sym w:font="Symbol" w:char="F044"/>
        </m:r>
        <m:r>
          <w:rPr>
            <w:rFonts w:ascii="Cambria Math" w:hAnsi="Cambria Math"/>
            <w:lang w:val="en-US"/>
          </w:rPr>
          <m:t>s/</m:t>
        </m:r>
        <m:r>
          <w:rPr>
            <w:rFonts w:ascii="Cambria Math" w:hAnsi="Cambria Math"/>
            <w:i/>
          </w:rPr>
          <w:sym w:font="Symbol" w:char="F044"/>
        </m:r>
        <m:r>
          <w:rPr>
            <w:rFonts w:ascii="Cambria Math" w:hAnsi="Cambria Math"/>
            <w:lang w:val="en-US"/>
          </w:rPr>
          <m:t>t</m:t>
        </m:r>
      </m:oMath>
      <w:r w:rsidRPr="004F47BB">
        <w:rPr>
          <w:lang w:val="en-US"/>
        </w:rPr>
        <w:t xml:space="preserve"> = 50 m/10 s = 5,0 m/s = 18,0 km/h</w:t>
      </w:r>
    </w:p>
    <w:p w:rsidR="004F47BB" w:rsidRPr="004F47BB" w:rsidRDefault="004F47BB" w:rsidP="004F47BB">
      <w:pPr>
        <w:spacing w:line="240" w:lineRule="atLeast"/>
        <w:ind w:left="567" w:firstLine="0"/>
        <w:rPr>
          <w:lang w:val="en-US"/>
        </w:rPr>
      </w:pPr>
    </w:p>
    <w:p w:rsidR="004F47BB" w:rsidRPr="004F47BB" w:rsidRDefault="004F47BB" w:rsidP="004F47BB">
      <w:pPr>
        <w:spacing w:line="240" w:lineRule="atLeast"/>
        <w:ind w:left="567" w:firstLine="0"/>
        <w:rPr>
          <w:lang w:val="en-US"/>
        </w:rPr>
      </w:pPr>
      <w:r w:rsidRPr="004F47BB">
        <w:rPr>
          <w:lang w:val="en-US"/>
        </w:rPr>
        <w:t xml:space="preserve">This value is entered as the average speed at the 5 sec. abscissa-position. </w:t>
      </w:r>
    </w:p>
    <w:p w:rsidR="004F47BB" w:rsidRPr="004F47BB" w:rsidRDefault="004F47BB" w:rsidP="004F47BB">
      <w:pPr>
        <w:spacing w:line="240" w:lineRule="atLeast"/>
        <w:ind w:left="567" w:firstLine="0"/>
        <w:rPr>
          <w:lang w:val="en-US"/>
        </w:rPr>
      </w:pPr>
    </w:p>
    <w:p w:rsidR="004F47BB" w:rsidRPr="004F47BB" w:rsidRDefault="004F47BB" w:rsidP="004F47BB">
      <w:pPr>
        <w:spacing w:line="240" w:lineRule="atLeast"/>
        <w:ind w:left="567" w:firstLine="0"/>
        <w:rPr>
          <w:lang w:val="en-US"/>
        </w:rPr>
      </w:pPr>
      <w:r w:rsidRPr="004F47BB">
        <w:rPr>
          <w:lang w:val="en-US"/>
        </w:rPr>
        <w:t>During the second interval, from 10 sec. to 20 sec., a distance of 45 m is covered.</w:t>
      </w:r>
    </w:p>
    <w:p w:rsidR="004F47BB" w:rsidRPr="004F47BB" w:rsidRDefault="004F47BB" w:rsidP="004F47BB">
      <w:pPr>
        <w:spacing w:line="240" w:lineRule="atLeast"/>
        <w:ind w:left="567" w:firstLine="0"/>
        <w:rPr>
          <w:lang w:val="en-US"/>
        </w:rPr>
      </w:pPr>
    </w:p>
    <w:p w:rsidR="004F47BB" w:rsidRPr="004F47BB" w:rsidRDefault="004F47BB" w:rsidP="004F47BB">
      <w:pPr>
        <w:spacing w:line="240" w:lineRule="atLeast"/>
        <w:ind w:left="567" w:firstLine="0"/>
        <w:jc w:val="center"/>
        <w:rPr>
          <w:lang w:val="en-US"/>
        </w:rPr>
      </w:pPr>
      <m:oMath>
        <m:r>
          <w:rPr>
            <w:rFonts w:ascii="Cambria Math" w:hAnsi="Cambria Math"/>
            <w:i/>
          </w:rPr>
          <w:sym w:font="Symbol" w:char="F044"/>
        </m:r>
        <m:r>
          <w:rPr>
            <w:rFonts w:ascii="Cambria Math" w:hAnsi="Cambria Math"/>
            <w:lang w:val="en-US"/>
          </w:rPr>
          <m:t>s/</m:t>
        </m:r>
        <m:r>
          <w:rPr>
            <w:rFonts w:ascii="Cambria Math" w:hAnsi="Cambria Math"/>
            <w:i/>
          </w:rPr>
          <w:sym w:font="Symbol" w:char="F044"/>
        </m:r>
        <m:r>
          <w:rPr>
            <w:rFonts w:ascii="Cambria Math" w:hAnsi="Cambria Math"/>
            <w:lang w:val="en-US"/>
          </w:rPr>
          <m:t>t</m:t>
        </m:r>
      </m:oMath>
      <w:r w:rsidRPr="004F47BB">
        <w:rPr>
          <w:lang w:val="en-US"/>
        </w:rPr>
        <w:t xml:space="preserve"> = 45 m/10 s = 4,5 m/s = 16,2 km/h</w:t>
      </w:r>
    </w:p>
    <w:p w:rsidR="004F47BB" w:rsidRPr="004F47BB" w:rsidRDefault="004F47BB" w:rsidP="004F47BB">
      <w:pPr>
        <w:spacing w:line="240" w:lineRule="atLeast"/>
        <w:ind w:left="567" w:firstLine="0"/>
        <w:rPr>
          <w:lang w:val="en-US"/>
        </w:rPr>
      </w:pPr>
    </w:p>
    <w:p w:rsidR="004F47BB" w:rsidRPr="004F47BB" w:rsidRDefault="004F47BB" w:rsidP="004F47BB">
      <w:pPr>
        <w:spacing w:line="240" w:lineRule="atLeast"/>
        <w:ind w:left="567" w:firstLine="0"/>
        <w:rPr>
          <w:lang w:val="en-US"/>
        </w:rPr>
      </w:pPr>
      <w:r w:rsidRPr="004F47BB">
        <w:rPr>
          <w:lang w:val="en-US"/>
        </w:rPr>
        <w:t xml:space="preserve">At marker </w:t>
      </w:r>
      <m:oMath>
        <m:r>
          <w:rPr>
            <w:rFonts w:ascii="Cambria Math" w:hAnsi="Cambria Math"/>
            <w:lang w:val="en-US"/>
          </w:rPr>
          <m:t>D</m:t>
        </m:r>
      </m:oMath>
      <w:r w:rsidRPr="004F47BB">
        <w:rPr>
          <w:lang w:val="en-US"/>
        </w:rPr>
        <w:t>, the vessel has stopped in relation to the water i.e. current velocity is approximately 5 km/h.</w:t>
      </w:r>
    </w:p>
    <w:p w:rsidR="004F47BB" w:rsidRPr="004F47BB" w:rsidRDefault="004F47BB" w:rsidP="004F47BB">
      <w:pPr>
        <w:tabs>
          <w:tab w:val="left" w:pos="567"/>
        </w:tabs>
        <w:overflowPunct w:val="0"/>
        <w:adjustRightInd w:val="0"/>
        <w:spacing w:line="240" w:lineRule="exact"/>
        <w:ind w:left="567" w:hanging="567"/>
        <w:textAlignment w:val="baseline"/>
        <w:rPr>
          <w:szCs w:val="20"/>
          <w:lang w:val="en-US"/>
        </w:rPr>
      </w:pPr>
    </w:p>
    <w:p w:rsidR="004F47BB" w:rsidRPr="004F47BB" w:rsidRDefault="004F47BB" w:rsidP="004F47BB">
      <w:pPr>
        <w:overflowPunct w:val="0"/>
        <w:adjustRightInd w:val="0"/>
        <w:ind w:left="0" w:firstLine="0"/>
        <w:jc w:val="center"/>
        <w:textAlignment w:val="baseline"/>
        <w:rPr>
          <w:b/>
          <w:szCs w:val="20"/>
        </w:rPr>
      </w:pPr>
      <w:r w:rsidRPr="004F47BB">
        <w:rPr>
          <w:szCs w:val="20"/>
          <w:lang w:val="en-US"/>
        </w:rPr>
        <w:br w:type="page"/>
      </w:r>
      <w:r w:rsidRPr="004F47BB">
        <w:rPr>
          <w:b/>
          <w:szCs w:val="20"/>
        </w:rPr>
        <w:lastRenderedPageBreak/>
        <w:t>Figure 1: Stopping manoeuvre</w:t>
      </w:r>
    </w:p>
    <w:p w:rsidR="004F47BB" w:rsidRPr="004F47BB" w:rsidRDefault="004F47BB" w:rsidP="004F47BB">
      <w:pPr>
        <w:overflowPunct w:val="0"/>
        <w:adjustRightInd w:val="0"/>
        <w:ind w:left="0" w:firstLine="0"/>
        <w:jc w:val="left"/>
        <w:textAlignment w:val="baseline"/>
        <w:rPr>
          <w:szCs w:val="20"/>
        </w:rPr>
      </w:pPr>
    </w:p>
    <w:p w:rsidR="004F47BB" w:rsidRPr="004F47BB" w:rsidRDefault="004F47BB" w:rsidP="004F47BB">
      <w:pPr>
        <w:overflowPunct w:val="0"/>
        <w:adjustRightInd w:val="0"/>
        <w:ind w:left="0" w:firstLine="0"/>
        <w:jc w:val="center"/>
        <w:textAlignment w:val="baseline"/>
        <w:rPr>
          <w:rFonts w:ascii="Times New Roman" w:hAnsi="Times New Roman"/>
          <w:szCs w:val="20"/>
        </w:rPr>
      </w:pPr>
      <w:r w:rsidRPr="004F47BB">
        <w:rPr>
          <w:rFonts w:ascii="Times New Roman" w:hAnsi="Times New Roman"/>
          <w:noProof/>
          <w:szCs w:val="20"/>
        </w:rPr>
        <w:drawing>
          <wp:inline distT="0" distB="0" distL="0" distR="0" wp14:anchorId="3A9DFF20" wp14:editId="5A513BBA">
            <wp:extent cx="5372100" cy="3533775"/>
            <wp:effectExtent l="0" t="0" r="0" b="952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72100" cy="3533775"/>
                    </a:xfrm>
                    <a:prstGeom prst="rect">
                      <a:avLst/>
                    </a:prstGeom>
                    <a:noFill/>
                    <a:ln>
                      <a:noFill/>
                    </a:ln>
                  </pic:spPr>
                </pic:pic>
              </a:graphicData>
            </a:graphic>
          </wp:inline>
        </w:drawing>
      </w:r>
    </w:p>
    <w:p w:rsidR="004F47BB" w:rsidRPr="004F47BB" w:rsidRDefault="004F47BB" w:rsidP="004F47BB">
      <w:pPr>
        <w:tabs>
          <w:tab w:val="left" w:pos="284"/>
        </w:tabs>
        <w:overflowPunct w:val="0"/>
        <w:adjustRightInd w:val="0"/>
        <w:spacing w:line="240" w:lineRule="exact"/>
        <w:ind w:left="284" w:hanging="284"/>
        <w:textAlignment w:val="baseline"/>
        <w:rPr>
          <w:szCs w:val="20"/>
        </w:rPr>
      </w:pPr>
    </w:p>
    <w:p w:rsidR="004F47BB" w:rsidRPr="004F47BB" w:rsidRDefault="004F47BB" w:rsidP="004F47BB">
      <w:pPr>
        <w:tabs>
          <w:tab w:val="left" w:pos="284"/>
        </w:tabs>
        <w:overflowPunct w:val="0"/>
        <w:adjustRightInd w:val="0"/>
        <w:spacing w:line="240" w:lineRule="exact"/>
        <w:ind w:left="284" w:hanging="284"/>
        <w:textAlignment w:val="baseline"/>
        <w:rPr>
          <w:szCs w:val="20"/>
        </w:rPr>
      </w:pPr>
    </w:p>
    <w:p w:rsidR="004F47BB" w:rsidRPr="004F47BB" w:rsidRDefault="004F47BB" w:rsidP="004F47BB">
      <w:pPr>
        <w:overflowPunct w:val="0"/>
        <w:adjustRightInd w:val="0"/>
        <w:ind w:left="0" w:firstLine="0"/>
        <w:jc w:val="left"/>
        <w:textAlignment w:val="baseline"/>
        <w:rPr>
          <w:szCs w:val="20"/>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Key to symbols in figure 1</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tabs>
          <w:tab w:val="left" w:pos="851"/>
          <w:tab w:val="left" w:pos="4820"/>
          <w:tab w:val="left" w:pos="5245"/>
        </w:tabs>
        <w:overflowPunct w:val="0"/>
        <w:adjustRightInd w:val="0"/>
        <w:spacing w:after="120" w:line="240" w:lineRule="exact"/>
        <w:ind w:left="0" w:firstLine="0"/>
        <w:jc w:val="left"/>
        <w:textAlignment w:val="baseline"/>
        <w:rPr>
          <w:szCs w:val="20"/>
          <w:lang w:val="en-US"/>
        </w:rPr>
      </w:pPr>
      <m:oMath>
        <m:r>
          <w:rPr>
            <w:rFonts w:ascii="Cambria Math" w:hAnsi="Cambria Math"/>
            <w:szCs w:val="20"/>
            <w:lang w:val="en-US"/>
          </w:rPr>
          <m:t>A</m:t>
        </m:r>
      </m:oMath>
      <w:r w:rsidRPr="004F47BB">
        <w:rPr>
          <w:szCs w:val="20"/>
          <w:lang w:val="en-US"/>
        </w:rPr>
        <w:tab/>
        <w:t>‘stop’ order</w:t>
      </w:r>
      <w:r w:rsidRPr="004F47BB">
        <w:rPr>
          <w:szCs w:val="20"/>
          <w:lang w:val="en-US"/>
        </w:rPr>
        <w:tab/>
      </w:r>
      <m:oMath>
        <m:r>
          <w:rPr>
            <w:rFonts w:ascii="Cambria Math" w:hAnsi="Cambria Math"/>
            <w:szCs w:val="20"/>
            <w:lang w:val="en-US"/>
          </w:rPr>
          <m:t>v</m:t>
        </m:r>
      </m:oMath>
      <w:r w:rsidRPr="004F47BB">
        <w:rPr>
          <w:szCs w:val="20"/>
          <w:lang w:val="en-US"/>
        </w:rPr>
        <w:tab/>
        <w:t>speed of vessel</w:t>
      </w:r>
    </w:p>
    <w:p w:rsidR="004F47BB" w:rsidRPr="004F47BB" w:rsidRDefault="004F47BB" w:rsidP="004F47BB">
      <w:pPr>
        <w:tabs>
          <w:tab w:val="left" w:pos="851"/>
          <w:tab w:val="left" w:pos="4820"/>
          <w:tab w:val="left" w:pos="5245"/>
        </w:tabs>
        <w:overflowPunct w:val="0"/>
        <w:adjustRightInd w:val="0"/>
        <w:spacing w:after="120" w:line="240" w:lineRule="exact"/>
        <w:ind w:left="0" w:firstLine="0"/>
        <w:jc w:val="left"/>
        <w:textAlignment w:val="baseline"/>
        <w:rPr>
          <w:szCs w:val="20"/>
          <w:lang w:val="en-US"/>
        </w:rPr>
      </w:pPr>
      <m:oMath>
        <m:r>
          <w:rPr>
            <w:rFonts w:ascii="Cambria Math" w:hAnsi="Cambria Math"/>
            <w:szCs w:val="20"/>
            <w:lang w:val="en-US"/>
          </w:rPr>
          <m:t>B</m:t>
        </m:r>
      </m:oMath>
      <w:r w:rsidRPr="004F47BB">
        <w:rPr>
          <w:szCs w:val="20"/>
          <w:lang w:val="en-US"/>
        </w:rPr>
        <w:tab/>
        <w:t>propeller stopped</w:t>
      </w:r>
      <w:r w:rsidRPr="004F47BB">
        <w:rPr>
          <w:szCs w:val="20"/>
          <w:lang w:val="en-US"/>
        </w:rPr>
        <w:tab/>
      </w:r>
      <m:oMath>
        <m:r>
          <w:rPr>
            <w:rFonts w:ascii="Cambria Math" w:hAnsi="Cambria Math"/>
            <w:szCs w:val="20"/>
            <w:lang w:val="en-US"/>
          </w:rPr>
          <m:t>v</m:t>
        </m:r>
        <m:r>
          <w:rPr>
            <w:rFonts w:ascii="Cambria Math" w:hAnsi="Cambria Math"/>
            <w:position w:val="-6"/>
            <w:sz w:val="16"/>
            <w:szCs w:val="20"/>
            <w:lang w:val="en-US"/>
          </w:rPr>
          <m:t>L</m:t>
        </m:r>
      </m:oMath>
      <w:r w:rsidRPr="004F47BB">
        <w:rPr>
          <w:szCs w:val="20"/>
          <w:lang w:val="en-US"/>
        </w:rPr>
        <w:tab/>
      </w:r>
      <m:oMath>
        <m:r>
          <w:rPr>
            <w:rFonts w:ascii="Cambria Math" w:hAnsi="Cambria Math"/>
            <w:szCs w:val="20"/>
            <w:lang w:val="en-US"/>
          </w:rPr>
          <m:t>v</m:t>
        </m:r>
      </m:oMath>
      <w:r w:rsidRPr="004F47BB">
        <w:rPr>
          <w:szCs w:val="20"/>
          <w:lang w:val="en-US"/>
        </w:rPr>
        <w:t xml:space="preserve"> in relation to the ground</w:t>
      </w:r>
    </w:p>
    <w:p w:rsidR="004F47BB" w:rsidRPr="004F47BB" w:rsidRDefault="004F47BB" w:rsidP="004F47BB">
      <w:pPr>
        <w:tabs>
          <w:tab w:val="left" w:pos="851"/>
          <w:tab w:val="left" w:pos="4820"/>
          <w:tab w:val="left" w:pos="5245"/>
        </w:tabs>
        <w:overflowPunct w:val="0"/>
        <w:adjustRightInd w:val="0"/>
        <w:spacing w:after="120" w:line="240" w:lineRule="exact"/>
        <w:ind w:left="0" w:firstLine="0"/>
        <w:jc w:val="left"/>
        <w:textAlignment w:val="baseline"/>
        <w:rPr>
          <w:szCs w:val="20"/>
          <w:lang w:val="en-US"/>
        </w:rPr>
      </w:pPr>
      <m:oMath>
        <m:r>
          <w:rPr>
            <w:rFonts w:ascii="Cambria Math" w:hAnsi="Cambria Math"/>
            <w:szCs w:val="20"/>
            <w:lang w:val="en-US"/>
          </w:rPr>
          <m:t>C</m:t>
        </m:r>
      </m:oMath>
      <w:r w:rsidRPr="004F47BB">
        <w:rPr>
          <w:szCs w:val="20"/>
          <w:lang w:val="en-US"/>
        </w:rPr>
        <w:tab/>
        <w:t>propeller in reverse</w:t>
      </w:r>
      <w:r w:rsidRPr="004F47BB">
        <w:rPr>
          <w:szCs w:val="20"/>
          <w:lang w:val="en-US"/>
        </w:rPr>
        <w:tab/>
      </w:r>
      <m:oMath>
        <m:r>
          <w:rPr>
            <w:rFonts w:ascii="Cambria Math" w:hAnsi="Cambria Math"/>
            <w:szCs w:val="20"/>
            <w:lang w:val="en-US"/>
          </w:rPr>
          <m:t>s</m:t>
        </m:r>
      </m:oMath>
      <w:r w:rsidRPr="004F47BB">
        <w:rPr>
          <w:szCs w:val="20"/>
          <w:lang w:val="en-US"/>
        </w:rPr>
        <w:t xml:space="preserve"> </w:t>
      </w:r>
      <w:r w:rsidRPr="004F47BB">
        <w:rPr>
          <w:szCs w:val="20"/>
          <w:lang w:val="en-US"/>
        </w:rPr>
        <w:tab/>
        <w:t>distance covered in relation to the ground</w:t>
      </w:r>
    </w:p>
    <w:p w:rsidR="004F47BB" w:rsidRPr="004F47BB" w:rsidRDefault="004F47BB" w:rsidP="004F47BB">
      <w:pPr>
        <w:tabs>
          <w:tab w:val="left" w:pos="851"/>
          <w:tab w:val="left" w:pos="4820"/>
          <w:tab w:val="left" w:pos="5245"/>
        </w:tabs>
        <w:overflowPunct w:val="0"/>
        <w:adjustRightInd w:val="0"/>
        <w:spacing w:after="120" w:line="240" w:lineRule="exact"/>
        <w:ind w:left="0" w:firstLine="0"/>
        <w:jc w:val="left"/>
        <w:textAlignment w:val="baseline"/>
        <w:rPr>
          <w:szCs w:val="20"/>
          <w:lang w:val="en-US"/>
        </w:rPr>
      </w:pPr>
      <m:oMath>
        <m:r>
          <w:rPr>
            <w:rFonts w:ascii="Cambria Math" w:hAnsi="Cambria Math"/>
            <w:szCs w:val="20"/>
            <w:lang w:val="en-US"/>
          </w:rPr>
          <m:t>D</m:t>
        </m:r>
      </m:oMath>
      <w:r w:rsidRPr="004F47BB">
        <w:rPr>
          <w:szCs w:val="20"/>
          <w:lang w:val="en-US"/>
        </w:rPr>
        <w:tab/>
      </w:r>
      <m:oMath>
        <m:r>
          <w:rPr>
            <w:rFonts w:ascii="Cambria Math" w:hAnsi="Cambria Math"/>
            <w:szCs w:val="20"/>
            <w:lang w:val="en-US"/>
          </w:rPr>
          <m:t>v=0</m:t>
        </m:r>
      </m:oMath>
      <w:r w:rsidRPr="004F47BB">
        <w:rPr>
          <w:szCs w:val="20"/>
          <w:lang w:val="en-US"/>
        </w:rPr>
        <w:t xml:space="preserve"> in relation to the water</w:t>
      </w:r>
      <w:r w:rsidRPr="004F47BB">
        <w:rPr>
          <w:szCs w:val="20"/>
          <w:lang w:val="en-US"/>
        </w:rPr>
        <w:tab/>
      </w:r>
      <m:oMath>
        <m:r>
          <w:rPr>
            <w:rFonts w:ascii="Cambria Math" w:hAnsi="Cambria Math"/>
            <w:szCs w:val="20"/>
            <w:lang w:val="en-US"/>
          </w:rPr>
          <m:t>t</m:t>
        </m:r>
      </m:oMath>
      <w:r w:rsidRPr="004F47BB">
        <w:rPr>
          <w:szCs w:val="20"/>
          <w:lang w:val="en-US"/>
        </w:rPr>
        <w:tab/>
        <w:t>measured time</w:t>
      </w:r>
    </w:p>
    <w:p w:rsidR="004F47BB" w:rsidRPr="004F47BB" w:rsidRDefault="004F47BB" w:rsidP="004F47BB">
      <w:pPr>
        <w:tabs>
          <w:tab w:val="left" w:pos="851"/>
          <w:tab w:val="left" w:pos="5103"/>
          <w:tab w:val="left" w:pos="5670"/>
        </w:tabs>
        <w:overflowPunct w:val="0"/>
        <w:adjustRightInd w:val="0"/>
        <w:spacing w:after="120" w:line="240" w:lineRule="exact"/>
        <w:ind w:left="0" w:firstLine="0"/>
        <w:jc w:val="left"/>
        <w:textAlignment w:val="baseline"/>
        <w:rPr>
          <w:szCs w:val="20"/>
          <w:lang w:val="en-US"/>
        </w:rPr>
      </w:pPr>
      <m:oMath>
        <m:r>
          <w:rPr>
            <w:rFonts w:ascii="Cambria Math" w:hAnsi="Cambria Math"/>
            <w:szCs w:val="20"/>
            <w:lang w:val="en-US"/>
          </w:rPr>
          <m:t>E</m:t>
        </m:r>
      </m:oMath>
      <w:r w:rsidRPr="004F47BB">
        <w:rPr>
          <w:szCs w:val="20"/>
          <w:lang w:val="en-US"/>
        </w:rPr>
        <w:tab/>
      </w:r>
      <m:oMath>
        <m:r>
          <w:rPr>
            <w:rFonts w:ascii="Cambria Math" w:hAnsi="Cambria Math"/>
            <w:szCs w:val="20"/>
            <w:lang w:val="en-US"/>
          </w:rPr>
          <m:t>v=0</m:t>
        </m:r>
      </m:oMath>
      <w:r w:rsidRPr="004F47BB">
        <w:rPr>
          <w:szCs w:val="20"/>
          <w:lang w:val="en-US"/>
        </w:rPr>
        <w:t xml:space="preserve"> in relation to the ground</w:t>
      </w: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sectPr w:rsidR="004F47BB" w:rsidRPr="004F47BB" w:rsidSect="00D45887">
          <w:headerReference w:type="default" r:id="rId115"/>
          <w:headerReference w:type="first" r:id="rId116"/>
          <w:pgSz w:w="11907" w:h="16840" w:code="9"/>
          <w:pgMar w:top="1418" w:right="1418" w:bottom="1418" w:left="1418" w:header="680" w:footer="680" w:gutter="0"/>
          <w:cols w:space="720"/>
          <w:noEndnote/>
          <w:titlePg/>
        </w:sectPr>
      </w:pPr>
    </w:p>
    <w:p w:rsidR="004F47BB" w:rsidRPr="004F47BB" w:rsidRDefault="004F47BB" w:rsidP="004F47BB">
      <w:pPr>
        <w:tabs>
          <w:tab w:val="left" w:pos="4536"/>
          <w:tab w:val="left" w:pos="4896"/>
          <w:tab w:val="right" w:pos="5670"/>
          <w:tab w:val="left" w:pos="10632"/>
          <w:tab w:val="right" w:pos="11482"/>
          <w:tab w:val="left" w:leader="dot" w:pos="14459"/>
        </w:tabs>
        <w:overflowPunct w:val="0"/>
        <w:adjustRightInd w:val="0"/>
        <w:spacing w:line="240" w:lineRule="exact"/>
        <w:ind w:left="0" w:firstLine="0"/>
        <w:jc w:val="left"/>
        <w:textAlignment w:val="baseline"/>
        <w:rPr>
          <w:szCs w:val="20"/>
          <w:lang w:val="en-US"/>
        </w:rPr>
      </w:pPr>
      <w:r w:rsidRPr="004F47BB">
        <w:rPr>
          <w:szCs w:val="20"/>
          <w:lang w:val="en-US"/>
        </w:rPr>
        <w:lastRenderedPageBreak/>
        <w:t xml:space="preserve">Inspection </w:t>
      </w:r>
      <w:r w:rsidRPr="004F47BB">
        <w:rPr>
          <w:szCs w:val="20"/>
          <w:lang w:val="en-US"/>
        </w:rPr>
        <w:tab/>
        <w:t>Type of vessel</w:t>
      </w:r>
      <w:r w:rsidRPr="004F47BB">
        <w:rPr>
          <w:szCs w:val="20"/>
          <w:lang w:val="en-US"/>
        </w:rPr>
        <w:tab/>
        <w:t>Test area:</w:t>
      </w:r>
      <w:r w:rsidRPr="004F47BB">
        <w:rPr>
          <w:szCs w:val="20"/>
          <w:lang w:val="en-US"/>
        </w:rPr>
        <w:tab/>
      </w:r>
    </w:p>
    <w:p w:rsidR="004F47BB" w:rsidRPr="004F47BB" w:rsidRDefault="004F47BB" w:rsidP="004F47BB">
      <w:pPr>
        <w:tabs>
          <w:tab w:val="left" w:leader="dot" w:pos="3544"/>
          <w:tab w:val="left" w:pos="4536"/>
          <w:tab w:val="left" w:pos="4896"/>
          <w:tab w:val="right" w:pos="6237"/>
          <w:tab w:val="left" w:leader="dot" w:pos="9639"/>
          <w:tab w:val="left" w:pos="10632"/>
          <w:tab w:val="left" w:leader="dot" w:pos="14459"/>
        </w:tabs>
        <w:overflowPunct w:val="0"/>
        <w:adjustRightInd w:val="0"/>
        <w:spacing w:after="80" w:line="240" w:lineRule="exact"/>
        <w:ind w:left="0" w:firstLine="0"/>
        <w:jc w:val="left"/>
        <w:textAlignment w:val="baseline"/>
        <w:rPr>
          <w:szCs w:val="20"/>
          <w:lang w:val="en-US"/>
        </w:rPr>
      </w:pPr>
      <w:r w:rsidRPr="004F47BB">
        <w:rPr>
          <w:szCs w:val="20"/>
          <w:lang w:val="en-US"/>
        </w:rPr>
        <w:t xml:space="preserve">body : </w:t>
      </w:r>
      <w:r w:rsidRPr="004F47BB">
        <w:rPr>
          <w:szCs w:val="20"/>
          <w:lang w:val="en-US"/>
        </w:rPr>
        <w:tab/>
      </w:r>
      <w:r w:rsidRPr="004F47BB">
        <w:rPr>
          <w:szCs w:val="20"/>
          <w:lang w:val="en-US"/>
        </w:rPr>
        <w:tab/>
        <w:t xml:space="preserve">or convoy: </w:t>
      </w:r>
      <w:r w:rsidRPr="004F47BB">
        <w:rPr>
          <w:szCs w:val="20"/>
          <w:lang w:val="en-US"/>
        </w:rPr>
        <w:tab/>
      </w:r>
      <w:r w:rsidRPr="004F47BB">
        <w:rPr>
          <w:szCs w:val="20"/>
          <w:lang w:val="en-US"/>
        </w:rPr>
        <w:tab/>
      </w:r>
      <w:r w:rsidRPr="004F47BB">
        <w:rPr>
          <w:szCs w:val="20"/>
          <w:lang w:val="en-US"/>
        </w:rPr>
        <w:tab/>
        <w:t xml:space="preserve">Water level gauge reading [m]: </w:t>
      </w:r>
      <w:r w:rsidRPr="004F47BB">
        <w:rPr>
          <w:szCs w:val="20"/>
          <w:lang w:val="en-US"/>
        </w:rPr>
        <w:tab/>
      </w:r>
    </w:p>
    <w:p w:rsidR="004F47BB" w:rsidRPr="004F47BB" w:rsidRDefault="004F47BB" w:rsidP="004F47BB">
      <w:pPr>
        <w:tabs>
          <w:tab w:val="left" w:leader="dot" w:pos="3544"/>
          <w:tab w:val="left" w:pos="4536"/>
          <w:tab w:val="left" w:pos="4896"/>
          <w:tab w:val="right" w:pos="6237"/>
          <w:tab w:val="left" w:leader="dot" w:pos="9639"/>
          <w:tab w:val="left" w:pos="10632"/>
          <w:tab w:val="right" w:pos="12333"/>
          <w:tab w:val="left" w:leader="dot" w:pos="14459"/>
        </w:tabs>
        <w:overflowPunct w:val="0"/>
        <w:adjustRightInd w:val="0"/>
        <w:spacing w:after="80" w:line="240" w:lineRule="exact"/>
        <w:ind w:left="0" w:firstLine="0"/>
        <w:jc w:val="left"/>
        <w:textAlignment w:val="baseline"/>
        <w:rPr>
          <w:szCs w:val="20"/>
          <w:lang w:val="en-US"/>
        </w:rPr>
      </w:pPr>
      <w:r w:rsidRPr="004F47BB">
        <w:rPr>
          <w:szCs w:val="20"/>
          <w:lang w:val="en-US"/>
        </w:rPr>
        <w:t xml:space="preserve">Date : </w:t>
      </w:r>
      <w:r w:rsidRPr="004F47BB">
        <w:rPr>
          <w:szCs w:val="20"/>
          <w:lang w:val="en-US"/>
        </w:rPr>
        <w:tab/>
      </w:r>
      <w:r w:rsidRPr="004F47BB">
        <w:rPr>
          <w:szCs w:val="20"/>
          <w:lang w:val="en-US"/>
        </w:rPr>
        <w:tab/>
      </w:r>
      <m:oMath>
        <m:r>
          <w:rPr>
            <w:rFonts w:ascii="Cambria Math" w:hAnsi="Cambria Math"/>
            <w:szCs w:val="20"/>
            <w:lang w:val="en-US"/>
          </w:rPr>
          <m:t>L × B</m:t>
        </m:r>
      </m:oMath>
      <w:r w:rsidRPr="004F47BB">
        <w:rPr>
          <w:szCs w:val="20"/>
          <w:lang w:val="en-US"/>
        </w:rPr>
        <w:t xml:space="preserve"> [m]:</w:t>
      </w:r>
      <w:r w:rsidRPr="004F47BB">
        <w:rPr>
          <w:szCs w:val="20"/>
          <w:lang w:val="en-US"/>
        </w:rPr>
        <w:tab/>
        <w:t xml:space="preserve">: </w:t>
      </w:r>
      <w:r w:rsidRPr="004F47BB">
        <w:rPr>
          <w:szCs w:val="20"/>
          <w:lang w:val="en-US"/>
        </w:rPr>
        <w:tab/>
      </w:r>
      <w:r w:rsidRPr="004F47BB">
        <w:rPr>
          <w:szCs w:val="20"/>
          <w:lang w:val="en-US"/>
        </w:rPr>
        <w:tab/>
        <w:t>Water depth</w:t>
      </w:r>
      <w:r w:rsidRPr="004F47BB">
        <w:rPr>
          <w:szCs w:val="20"/>
          <w:lang w:val="en-US"/>
        </w:rPr>
        <w:tab/>
        <w:t xml:space="preserve">[m]: </w:t>
      </w:r>
      <w:r w:rsidRPr="004F47BB">
        <w:rPr>
          <w:szCs w:val="20"/>
          <w:lang w:val="en-US"/>
        </w:rPr>
        <w:tab/>
      </w:r>
    </w:p>
    <w:p w:rsidR="004F47BB" w:rsidRPr="004F47BB" w:rsidRDefault="004F47BB" w:rsidP="004F47BB">
      <w:pPr>
        <w:tabs>
          <w:tab w:val="left" w:leader="dot" w:pos="3544"/>
          <w:tab w:val="left" w:pos="4536"/>
          <w:tab w:val="left" w:pos="4896"/>
          <w:tab w:val="right" w:pos="6237"/>
          <w:tab w:val="left" w:leader="dot" w:pos="9639"/>
          <w:tab w:val="left" w:pos="10632"/>
          <w:tab w:val="right" w:pos="12333"/>
          <w:tab w:val="left" w:leader="dot" w:pos="14459"/>
        </w:tabs>
        <w:overflowPunct w:val="0"/>
        <w:adjustRightInd w:val="0"/>
        <w:spacing w:after="80" w:line="240" w:lineRule="exact"/>
        <w:ind w:left="0" w:firstLine="0"/>
        <w:jc w:val="left"/>
        <w:textAlignment w:val="baseline"/>
        <w:rPr>
          <w:szCs w:val="20"/>
          <w:lang w:val="en-US"/>
        </w:rPr>
      </w:pPr>
      <w:r w:rsidRPr="004F47BB">
        <w:rPr>
          <w:szCs w:val="20"/>
          <w:lang w:val="en-US"/>
        </w:rPr>
        <w:t xml:space="preserve">Name : </w:t>
      </w:r>
      <w:r w:rsidRPr="004F47BB">
        <w:rPr>
          <w:szCs w:val="20"/>
          <w:lang w:val="en-US"/>
        </w:rPr>
        <w:tab/>
      </w:r>
      <w:r w:rsidRPr="004F47BB">
        <w:rPr>
          <w:szCs w:val="20"/>
          <w:lang w:val="en-US"/>
        </w:rPr>
        <w:tab/>
      </w:r>
      <m:oMath>
        <m:r>
          <w:rPr>
            <w:rFonts w:ascii="Cambria Math" w:hAnsi="Cambria Math"/>
            <w:szCs w:val="20"/>
            <w:lang w:val="en-US"/>
          </w:rPr>
          <m:t>T</m:t>
        </m:r>
      </m:oMath>
      <w:r w:rsidRPr="004F47BB">
        <w:rPr>
          <w:szCs w:val="20"/>
          <w:lang w:val="en-US"/>
        </w:rPr>
        <w:t xml:space="preserve"> during test [m]:</w:t>
      </w:r>
      <w:r w:rsidRPr="004F47BB">
        <w:rPr>
          <w:szCs w:val="20"/>
          <w:lang w:val="en-US"/>
        </w:rPr>
        <w:tab/>
        <w:t xml:space="preserve">: </w:t>
      </w:r>
      <w:r w:rsidRPr="004F47BB">
        <w:rPr>
          <w:szCs w:val="20"/>
          <w:lang w:val="en-US"/>
        </w:rPr>
        <w:tab/>
      </w:r>
      <w:r w:rsidRPr="004F47BB">
        <w:rPr>
          <w:szCs w:val="20"/>
          <w:lang w:val="en-US"/>
        </w:rPr>
        <w:tab/>
        <w:t>Gradient</w:t>
      </w:r>
      <w:r w:rsidRPr="004F47BB">
        <w:rPr>
          <w:szCs w:val="20"/>
          <w:lang w:val="en-US"/>
        </w:rPr>
        <w:tab/>
        <w:t xml:space="preserve">[m/km]: </w:t>
      </w:r>
      <w:r w:rsidRPr="004F47BB">
        <w:rPr>
          <w:szCs w:val="20"/>
          <w:lang w:val="en-US"/>
        </w:rPr>
        <w:tab/>
      </w:r>
    </w:p>
    <w:p w:rsidR="004F47BB" w:rsidRPr="004F47BB" w:rsidRDefault="004F47BB" w:rsidP="004F47BB">
      <w:pPr>
        <w:tabs>
          <w:tab w:val="left" w:pos="0"/>
          <w:tab w:val="left" w:leader="dot" w:pos="3544"/>
          <w:tab w:val="left" w:pos="4536"/>
          <w:tab w:val="right" w:pos="5670"/>
          <w:tab w:val="left" w:pos="10632"/>
          <w:tab w:val="right" w:pos="12333"/>
          <w:tab w:val="left" w:leader="dot" w:pos="14459"/>
        </w:tabs>
        <w:overflowPunct w:val="0"/>
        <w:adjustRightInd w:val="0"/>
        <w:spacing w:after="80" w:line="240" w:lineRule="exact"/>
        <w:ind w:left="0" w:firstLine="0"/>
        <w:jc w:val="left"/>
        <w:textAlignment w:val="baseline"/>
        <w:rPr>
          <w:szCs w:val="20"/>
          <w:lang w:val="en-US"/>
        </w:rPr>
      </w:pPr>
      <w:r w:rsidRPr="004F47BB">
        <w:rPr>
          <w:szCs w:val="20"/>
          <w:lang w:val="en-US"/>
        </w:rPr>
        <w:t xml:space="preserve">Test run No: </w:t>
      </w:r>
      <w:r w:rsidRPr="004F47BB">
        <w:rPr>
          <w:szCs w:val="20"/>
          <w:lang w:val="en-US"/>
        </w:rPr>
        <w:tab/>
      </w:r>
      <w:r w:rsidRPr="004F47BB">
        <w:rPr>
          <w:szCs w:val="20"/>
          <w:lang w:val="en-US"/>
        </w:rPr>
        <w:tab/>
      </w:r>
      <w:r w:rsidRPr="004F47BB">
        <w:rPr>
          <w:szCs w:val="20"/>
          <w:lang w:val="en-US"/>
        </w:rPr>
        <w:tab/>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v</m:t>
            </m:r>
          </m:e>
          <m:sub>
            <m:r>
              <w:rPr>
                <w:rFonts w:ascii="Cambria Math" w:hAnsi="Cambria Math"/>
                <w:szCs w:val="20"/>
                <w:lang w:val="en-US"/>
              </w:rPr>
              <m:t>STR</m:t>
            </m:r>
          </m:sub>
        </m:sSub>
      </m:oMath>
      <w:r w:rsidRPr="004F47BB">
        <w:rPr>
          <w:position w:val="-6"/>
          <w:sz w:val="16"/>
          <w:szCs w:val="20"/>
          <w:lang w:val="en-US"/>
        </w:rPr>
        <w:tab/>
      </w:r>
      <w:r w:rsidRPr="004F47BB">
        <w:rPr>
          <w:szCs w:val="20"/>
          <w:lang w:val="en-US"/>
        </w:rPr>
        <w:t xml:space="preserve">[km/h]: </w:t>
      </w:r>
      <w:r w:rsidRPr="004F47BB">
        <w:rPr>
          <w:szCs w:val="20"/>
          <w:lang w:val="en-US"/>
        </w:rPr>
        <w:tab/>
      </w:r>
    </w:p>
    <w:p w:rsidR="004F47BB" w:rsidRPr="004F47BB" w:rsidRDefault="004F47BB" w:rsidP="004F47BB">
      <w:pPr>
        <w:tabs>
          <w:tab w:val="left" w:pos="3264"/>
          <w:tab w:val="left" w:pos="4536"/>
          <w:tab w:val="left" w:pos="4800"/>
          <w:tab w:val="right" w:pos="6237"/>
          <w:tab w:val="left" w:leader="dot" w:pos="9639"/>
          <w:tab w:val="left" w:pos="10632"/>
          <w:tab w:val="right" w:pos="12333"/>
          <w:tab w:val="left" w:leader="dot" w:pos="14459"/>
        </w:tabs>
        <w:overflowPunct w:val="0"/>
        <w:adjustRightInd w:val="0"/>
        <w:spacing w:after="80" w:line="240" w:lineRule="exact"/>
        <w:ind w:left="0" w:firstLine="0"/>
        <w:jc w:val="left"/>
        <w:textAlignment w:val="baseline"/>
        <w:rPr>
          <w:szCs w:val="20"/>
          <w:lang w:val="en-US"/>
        </w:rPr>
      </w:pPr>
      <w:r w:rsidRPr="004F47BB">
        <w:rPr>
          <w:szCs w:val="20"/>
          <w:lang w:val="en-US"/>
        </w:rPr>
        <w:tab/>
      </w:r>
      <w:r w:rsidRPr="004F47BB">
        <w:rPr>
          <w:szCs w:val="20"/>
          <w:lang w:val="en-US"/>
        </w:rPr>
        <w:tab/>
        <w:t xml:space="preserve">Load during test [t]: </w:t>
      </w:r>
      <w:r w:rsidRPr="004F47BB">
        <w:rPr>
          <w:szCs w:val="20"/>
          <w:lang w:val="en-US"/>
        </w:rPr>
        <w:tab/>
        <w:t xml:space="preserve">: </w:t>
      </w:r>
      <w:r w:rsidRPr="004F47BB">
        <w:rPr>
          <w:szCs w:val="20"/>
          <w:lang w:val="en-US"/>
        </w:rPr>
        <w:tab/>
      </w:r>
      <w:r w:rsidRPr="004F47BB">
        <w:rPr>
          <w:szCs w:val="20"/>
          <w:lang w:val="en-US"/>
        </w:rPr>
        <w:tab/>
        <w:t xml:space="preserve">[m/s]: </w:t>
      </w:r>
      <w:r w:rsidRPr="004F47BB">
        <w:rPr>
          <w:szCs w:val="20"/>
          <w:lang w:val="en-US"/>
        </w:rPr>
        <w:tab/>
      </w:r>
    </w:p>
    <w:p w:rsidR="004F47BB" w:rsidRPr="004F47BB" w:rsidRDefault="004F47BB" w:rsidP="004F47BB">
      <w:pPr>
        <w:tabs>
          <w:tab w:val="left" w:pos="0"/>
          <w:tab w:val="left" w:pos="4536"/>
          <w:tab w:val="left" w:pos="4800"/>
          <w:tab w:val="right" w:pos="5670"/>
          <w:tab w:val="left" w:leader="dot" w:pos="9639"/>
          <w:tab w:val="left" w:pos="10632"/>
          <w:tab w:val="right" w:pos="12333"/>
          <w:tab w:val="left" w:leader="dot" w:pos="14459"/>
        </w:tabs>
        <w:overflowPunct w:val="0"/>
        <w:adjustRightInd w:val="0"/>
        <w:spacing w:after="80" w:line="240" w:lineRule="exact"/>
        <w:ind w:left="0" w:firstLine="0"/>
        <w:jc w:val="left"/>
        <w:textAlignment w:val="baseline"/>
        <w:rPr>
          <w:szCs w:val="20"/>
          <w:lang w:val="en-US"/>
        </w:rPr>
      </w:pPr>
      <w:r w:rsidRPr="004F47BB">
        <w:rPr>
          <w:szCs w:val="20"/>
          <w:lang w:val="en-US"/>
        </w:rPr>
        <w:tab/>
        <w:t xml:space="preserve">% of maximum deadweight: </w:t>
      </w:r>
      <w:r w:rsidRPr="004F47BB">
        <w:rPr>
          <w:szCs w:val="20"/>
          <w:lang w:val="en-US"/>
        </w:rPr>
        <w:tab/>
      </w:r>
      <w:r w:rsidRPr="004F47BB">
        <w:rPr>
          <w:szCs w:val="20"/>
          <w:lang w:val="en-US"/>
        </w:rPr>
        <w:tab/>
        <w:t>Max</w:t>
      </w:r>
    </w:p>
    <w:p w:rsidR="004F47BB" w:rsidRPr="004F47BB" w:rsidRDefault="004F47BB" w:rsidP="004F47BB">
      <w:pPr>
        <w:tabs>
          <w:tab w:val="left" w:pos="0"/>
          <w:tab w:val="left" w:pos="4536"/>
          <w:tab w:val="left" w:pos="4800"/>
          <w:tab w:val="right" w:pos="5670"/>
          <w:tab w:val="left" w:leader="dot" w:pos="9639"/>
          <w:tab w:val="left" w:pos="10632"/>
          <w:tab w:val="right" w:pos="12333"/>
          <w:tab w:val="left" w:leader="dot" w:pos="14459"/>
        </w:tabs>
        <w:overflowPunct w:val="0"/>
        <w:adjustRightInd w:val="0"/>
        <w:spacing w:after="80" w:line="240" w:lineRule="exact"/>
        <w:ind w:left="0" w:firstLine="0"/>
        <w:jc w:val="left"/>
        <w:textAlignment w:val="baseline"/>
        <w:rPr>
          <w:szCs w:val="20"/>
          <w:lang w:val="en-US"/>
        </w:rPr>
      </w:pPr>
      <w:r w:rsidRPr="004F47BB">
        <w:rPr>
          <w:szCs w:val="20"/>
          <w:lang w:val="en-US"/>
        </w:rPr>
        <w:tab/>
        <w:t xml:space="preserve">Power of propulsion engines </w:t>
      </w:r>
      <m:oMath>
        <m:sSub>
          <m:sSubPr>
            <m:ctrlPr>
              <w:rPr>
                <w:rFonts w:ascii="Cambria Math" w:hAnsi="Cambria Math"/>
                <w:i/>
                <w:szCs w:val="20"/>
                <w:lang w:val="en-US"/>
              </w:rPr>
            </m:ctrlPr>
          </m:sSubPr>
          <m:e>
            <m:r>
              <w:rPr>
                <w:rFonts w:ascii="Cambria Math" w:hAnsi="Cambria Math"/>
                <w:szCs w:val="20"/>
                <w:lang w:val="en-US"/>
              </w:rPr>
              <m:t>P</m:t>
            </m:r>
          </m:e>
          <m:sub>
            <m:r>
              <w:rPr>
                <w:rFonts w:ascii="Cambria Math" w:hAnsi="Cambria Math"/>
                <w:szCs w:val="20"/>
                <w:lang w:val="en-US"/>
              </w:rPr>
              <m:t>B</m:t>
            </m:r>
          </m:sub>
        </m:sSub>
      </m:oMath>
      <w:r w:rsidRPr="004F47BB">
        <w:rPr>
          <w:szCs w:val="20"/>
          <w:lang w:val="en-US"/>
        </w:rPr>
        <w:t xml:space="preserve"> [kW] </w:t>
      </w:r>
      <w:r w:rsidRPr="004F47BB">
        <w:rPr>
          <w:szCs w:val="20"/>
          <w:lang w:val="en-US"/>
        </w:rPr>
        <w:tab/>
      </w:r>
      <w:r w:rsidRPr="004F47BB">
        <w:rPr>
          <w:szCs w:val="20"/>
          <w:lang w:val="en-US"/>
        </w:rPr>
        <w:tab/>
        <w:t>displacement</w:t>
      </w:r>
      <w:r w:rsidRPr="004F47BB">
        <w:rPr>
          <w:szCs w:val="20"/>
          <w:lang w:val="en-US"/>
        </w:rPr>
        <w:tab/>
        <w:t>[m</w:t>
      </w:r>
      <w:r w:rsidRPr="004F47BB">
        <w:rPr>
          <w:sz w:val="16"/>
          <w:szCs w:val="20"/>
          <w:vertAlign w:val="superscript"/>
          <w:lang w:val="en-US"/>
        </w:rPr>
        <w:t>3</w:t>
      </w:r>
      <w:r w:rsidRPr="004F47BB">
        <w:rPr>
          <w:szCs w:val="20"/>
          <w:lang w:val="en-US"/>
        </w:rPr>
        <w:t xml:space="preserve">]: </w:t>
      </w:r>
      <w:r w:rsidRPr="004F47BB">
        <w:rPr>
          <w:szCs w:val="20"/>
          <w:lang w:val="en-US"/>
        </w:rPr>
        <w:tab/>
      </w:r>
    </w:p>
    <w:p w:rsidR="004F47BB" w:rsidRPr="004F47BB" w:rsidRDefault="004F47BB" w:rsidP="004F47BB">
      <w:pPr>
        <w:tabs>
          <w:tab w:val="left" w:pos="0"/>
          <w:tab w:val="left" w:pos="4536"/>
          <w:tab w:val="left" w:pos="4800"/>
          <w:tab w:val="right" w:pos="5670"/>
          <w:tab w:val="left" w:leader="dot" w:pos="9639"/>
          <w:tab w:val="left" w:pos="10348"/>
          <w:tab w:val="right" w:pos="12049"/>
        </w:tabs>
        <w:overflowPunct w:val="0"/>
        <w:adjustRightInd w:val="0"/>
        <w:spacing w:line="240" w:lineRule="exact"/>
        <w:ind w:left="0" w:firstLine="0"/>
        <w:jc w:val="left"/>
        <w:textAlignment w:val="baseline"/>
        <w:rPr>
          <w:szCs w:val="20"/>
          <w:lang w:val="en-US"/>
        </w:rPr>
      </w:pPr>
      <w:r w:rsidRPr="004F47BB">
        <w:rPr>
          <w:szCs w:val="20"/>
          <w:lang w:val="en-US"/>
        </w:rPr>
        <w:tab/>
        <w:t xml:space="preserve">Propulsion system according to Annex 2, table 2: </w:t>
      </w:r>
      <w:r w:rsidRPr="004F47BB">
        <w:rPr>
          <w:szCs w:val="20"/>
          <w:lang w:val="en-US"/>
        </w:rPr>
        <w:tab/>
      </w:r>
    </w:p>
    <w:p w:rsidR="004F47BB" w:rsidRPr="004F47BB" w:rsidRDefault="004F47BB" w:rsidP="004F47BB">
      <w:pPr>
        <w:tabs>
          <w:tab w:val="left" w:pos="284"/>
        </w:tabs>
        <w:overflowPunct w:val="0"/>
        <w:adjustRightInd w:val="0"/>
        <w:spacing w:before="100" w:after="60"/>
        <w:ind w:left="284" w:hanging="284"/>
        <w:jc w:val="center"/>
        <w:textAlignment w:val="baseline"/>
        <w:rPr>
          <w:szCs w:val="20"/>
          <w:lang w:val="en-US"/>
        </w:rPr>
      </w:pPr>
      <w:r w:rsidRPr="004F47BB">
        <w:rPr>
          <w:b/>
          <w:szCs w:val="20"/>
          <w:lang w:val="en-US"/>
        </w:rPr>
        <w:t>Table 1: Report of the stopping manoeuvre</w:t>
      </w:r>
    </w:p>
    <w:tbl>
      <w:tblPr>
        <w:tblW w:w="0" w:type="auto"/>
        <w:jc w:val="center"/>
        <w:tblLayout w:type="fixed"/>
        <w:tblCellMar>
          <w:left w:w="0" w:type="dxa"/>
          <w:right w:w="0" w:type="dxa"/>
        </w:tblCellMar>
        <w:tblLook w:val="0000" w:firstRow="0" w:lastRow="0" w:firstColumn="0" w:lastColumn="0" w:noHBand="0" w:noVBand="0"/>
      </w:tblPr>
      <w:tblGrid>
        <w:gridCol w:w="1758"/>
        <w:gridCol w:w="1758"/>
        <w:gridCol w:w="1758"/>
        <w:gridCol w:w="1758"/>
        <w:gridCol w:w="1758"/>
        <w:gridCol w:w="1758"/>
        <w:gridCol w:w="2948"/>
      </w:tblGrid>
      <w:tr w:rsidR="004F47BB" w:rsidRPr="004F47BB" w:rsidTr="00D45887">
        <w:trPr>
          <w:jc w:val="center"/>
        </w:trPr>
        <w:tc>
          <w:tcPr>
            <w:tcW w:w="1758" w:type="dxa"/>
            <w:tcBorders>
              <w:top w:val="single" w:sz="6" w:space="0" w:color="auto"/>
              <w:left w:val="single" w:sz="6" w:space="0" w:color="auto"/>
              <w:bottom w:val="single" w:sz="6" w:space="0" w:color="auto"/>
              <w:right w:val="single" w:sz="6" w:space="0" w:color="auto"/>
            </w:tcBorders>
            <w:vAlign w:val="center"/>
          </w:tcPr>
          <w:p w:rsidR="004F47BB" w:rsidRPr="004F47BB" w:rsidRDefault="004F47BB" w:rsidP="004F47BB">
            <w:pPr>
              <w:tabs>
                <w:tab w:val="left" w:pos="284"/>
              </w:tabs>
              <w:overflowPunct w:val="0"/>
              <w:adjustRightInd w:val="0"/>
              <w:spacing w:before="40" w:after="40"/>
              <w:ind w:left="0" w:firstLine="0"/>
              <w:jc w:val="center"/>
              <w:textAlignment w:val="baseline"/>
              <w:rPr>
                <w:sz w:val="18"/>
                <w:szCs w:val="20"/>
              </w:rPr>
            </w:pPr>
            <w:r w:rsidRPr="004F47BB">
              <w:rPr>
                <w:sz w:val="18"/>
                <w:szCs w:val="20"/>
              </w:rPr>
              <w:t>POSITION</w:t>
            </w:r>
            <w:r w:rsidRPr="004F47BB">
              <w:rPr>
                <w:sz w:val="18"/>
                <w:szCs w:val="20"/>
              </w:rPr>
              <w:br/>
              <w:t>[river-km]</w:t>
            </w:r>
          </w:p>
        </w:tc>
        <w:tc>
          <w:tcPr>
            <w:tcW w:w="1758" w:type="dxa"/>
            <w:tcBorders>
              <w:top w:val="single" w:sz="6" w:space="0" w:color="auto"/>
              <w:left w:val="single" w:sz="6" w:space="0" w:color="auto"/>
              <w:bottom w:val="single" w:sz="6" w:space="0" w:color="auto"/>
              <w:right w:val="double" w:sz="12" w:space="0" w:color="auto"/>
            </w:tcBorders>
            <w:vAlign w:val="center"/>
          </w:tcPr>
          <w:p w:rsidR="004F47BB" w:rsidRPr="004F47BB" w:rsidRDefault="004F47BB" w:rsidP="004F47BB">
            <w:pPr>
              <w:tabs>
                <w:tab w:val="left" w:pos="284"/>
              </w:tabs>
              <w:overflowPunct w:val="0"/>
              <w:adjustRightInd w:val="0"/>
              <w:spacing w:before="40" w:after="40"/>
              <w:ind w:left="0" w:firstLine="0"/>
              <w:jc w:val="center"/>
              <w:textAlignment w:val="baseline"/>
              <w:rPr>
                <w:sz w:val="18"/>
                <w:szCs w:val="20"/>
              </w:rPr>
            </w:pPr>
            <w:r w:rsidRPr="004F47BB">
              <w:rPr>
                <w:sz w:val="18"/>
                <w:szCs w:val="20"/>
              </w:rPr>
              <w:t>TIME</w:t>
            </w:r>
            <w:r w:rsidRPr="004F47BB">
              <w:rPr>
                <w:sz w:val="18"/>
                <w:szCs w:val="20"/>
              </w:rPr>
              <w:br/>
              <w:t>[sec.]</w:t>
            </w:r>
          </w:p>
        </w:tc>
        <w:tc>
          <w:tcPr>
            <w:tcW w:w="1758" w:type="dxa"/>
            <w:tcBorders>
              <w:top w:val="single" w:sz="6" w:space="0" w:color="auto"/>
              <w:left w:val="nil"/>
              <w:bottom w:val="single" w:sz="6" w:space="0" w:color="auto"/>
              <w:right w:val="single" w:sz="6" w:space="0" w:color="auto"/>
            </w:tcBorders>
            <w:vAlign w:val="center"/>
          </w:tcPr>
          <w:p w:rsidR="004F47BB" w:rsidRPr="004F47BB" w:rsidRDefault="004F47BB" w:rsidP="004F47BB">
            <w:pPr>
              <w:tabs>
                <w:tab w:val="left" w:pos="284"/>
              </w:tabs>
              <w:overflowPunct w:val="0"/>
              <w:adjustRightInd w:val="0"/>
              <w:spacing w:before="40" w:after="40"/>
              <w:ind w:left="0" w:firstLine="0"/>
              <w:jc w:val="center"/>
              <w:textAlignment w:val="baseline"/>
              <w:rPr>
                <w:sz w:val="18"/>
                <w:szCs w:val="20"/>
              </w:rPr>
            </w:pPr>
            <m:oMathPara>
              <m:oMath>
                <m:r>
                  <w:rPr>
                    <w:rFonts w:ascii="Cambria Math" w:hAnsi="Cambria Math"/>
                    <w:sz w:val="18"/>
                    <w:szCs w:val="20"/>
                    <w:lang w:val="de-DE"/>
                  </w:rPr>
                  <m:t>∆s</m:t>
                </m:r>
                <m:r>
                  <m:rPr>
                    <m:sty m:val="p"/>
                  </m:rPr>
                  <w:rPr>
                    <w:rFonts w:ascii="Cambria Math" w:hAnsi="Cambria Math"/>
                    <w:sz w:val="18"/>
                    <w:szCs w:val="20"/>
                  </w:rPr>
                  <w:br/>
                </m:r>
              </m:oMath>
            </m:oMathPara>
            <w:r w:rsidRPr="004F47BB">
              <w:rPr>
                <w:sz w:val="18"/>
                <w:szCs w:val="20"/>
              </w:rPr>
              <w:t>[m]</w:t>
            </w:r>
          </w:p>
        </w:tc>
        <w:tc>
          <w:tcPr>
            <w:tcW w:w="1758" w:type="dxa"/>
            <w:tcBorders>
              <w:top w:val="single" w:sz="6" w:space="0" w:color="auto"/>
              <w:left w:val="single" w:sz="6" w:space="0" w:color="auto"/>
              <w:bottom w:val="single" w:sz="6" w:space="0" w:color="auto"/>
              <w:right w:val="single" w:sz="6" w:space="0" w:color="auto"/>
            </w:tcBorders>
            <w:vAlign w:val="center"/>
          </w:tcPr>
          <w:p w:rsidR="004F47BB" w:rsidRPr="004F47BB" w:rsidRDefault="004F47BB" w:rsidP="004F47BB">
            <w:pPr>
              <w:tabs>
                <w:tab w:val="left" w:pos="284"/>
              </w:tabs>
              <w:overflowPunct w:val="0"/>
              <w:adjustRightInd w:val="0"/>
              <w:spacing w:before="40" w:after="40"/>
              <w:ind w:left="0" w:firstLine="0"/>
              <w:jc w:val="center"/>
              <w:textAlignment w:val="baseline"/>
              <w:rPr>
                <w:sz w:val="18"/>
                <w:szCs w:val="20"/>
                <w:lang w:val="de-DE"/>
              </w:rPr>
            </w:pPr>
            <m:oMathPara>
              <m:oMath>
                <m:r>
                  <w:rPr>
                    <w:rFonts w:ascii="Cambria Math" w:hAnsi="Cambria Math"/>
                    <w:sz w:val="18"/>
                    <w:szCs w:val="20"/>
                    <w:lang w:val="de-DE"/>
                  </w:rPr>
                  <m:t>∆t</m:t>
                </m:r>
                <m:r>
                  <m:rPr>
                    <m:sty m:val="p"/>
                  </m:rPr>
                  <w:rPr>
                    <w:rFonts w:ascii="Cambria Math" w:hAnsi="Cambria Math"/>
                    <w:sz w:val="18"/>
                    <w:szCs w:val="20"/>
                    <w:lang w:val="de-DE"/>
                  </w:rPr>
                  <w:br/>
                </m:r>
              </m:oMath>
            </m:oMathPara>
            <w:r w:rsidRPr="004F47BB">
              <w:rPr>
                <w:sz w:val="18"/>
                <w:szCs w:val="20"/>
                <w:lang w:val="de-DE"/>
              </w:rPr>
              <w:t>[sec]</w:t>
            </w:r>
          </w:p>
        </w:tc>
        <w:tc>
          <w:tcPr>
            <w:tcW w:w="1758" w:type="dxa"/>
            <w:tcBorders>
              <w:top w:val="single" w:sz="6" w:space="0" w:color="auto"/>
              <w:left w:val="single" w:sz="6" w:space="0" w:color="auto"/>
              <w:bottom w:val="single" w:sz="6" w:space="0" w:color="auto"/>
              <w:right w:val="single" w:sz="6" w:space="0" w:color="auto"/>
            </w:tcBorders>
            <w:vAlign w:val="center"/>
          </w:tcPr>
          <w:p w:rsidR="004F47BB" w:rsidRPr="004F47BB" w:rsidRDefault="00F12BAF" w:rsidP="004F47BB">
            <w:pPr>
              <w:tabs>
                <w:tab w:val="left" w:pos="284"/>
              </w:tabs>
              <w:overflowPunct w:val="0"/>
              <w:adjustRightInd w:val="0"/>
              <w:spacing w:before="40" w:after="40"/>
              <w:ind w:left="0" w:firstLine="0"/>
              <w:jc w:val="center"/>
              <w:textAlignment w:val="baseline"/>
              <w:rPr>
                <w:sz w:val="18"/>
                <w:szCs w:val="20"/>
                <w:lang w:val="de-DE"/>
              </w:rPr>
            </w:pPr>
            <m:oMathPara>
              <m:oMath>
                <m:sSub>
                  <m:sSubPr>
                    <m:ctrlPr>
                      <w:rPr>
                        <w:rFonts w:ascii="Cambria Math" w:hAnsi="Cambria Math"/>
                        <w:i/>
                        <w:sz w:val="18"/>
                        <w:szCs w:val="20"/>
                        <w:lang w:val="de-DE"/>
                      </w:rPr>
                    </m:ctrlPr>
                  </m:sSubPr>
                  <m:e>
                    <m:r>
                      <w:rPr>
                        <w:rFonts w:ascii="Cambria Math" w:hAnsi="Cambria Math"/>
                        <w:sz w:val="18"/>
                        <w:szCs w:val="20"/>
                        <w:lang w:val="de-DE"/>
                      </w:rPr>
                      <m:t>v</m:t>
                    </m:r>
                  </m:e>
                  <m:sub>
                    <m:r>
                      <w:rPr>
                        <w:rFonts w:ascii="Cambria Math" w:hAnsi="Cambria Math"/>
                        <w:sz w:val="18"/>
                        <w:szCs w:val="20"/>
                        <w:lang w:val="de-DE"/>
                      </w:rPr>
                      <m:t>L</m:t>
                    </m:r>
                  </m:sub>
                </m:sSub>
                <m:r>
                  <m:rPr>
                    <m:sty m:val="p"/>
                  </m:rPr>
                  <w:rPr>
                    <w:rFonts w:ascii="Cambria Math" w:hAnsi="Cambria Math"/>
                    <w:sz w:val="18"/>
                    <w:szCs w:val="20"/>
                    <w:lang w:val="de-DE"/>
                  </w:rPr>
                  <w:br/>
                </m:r>
              </m:oMath>
            </m:oMathPara>
            <w:r w:rsidR="004F47BB" w:rsidRPr="004F47BB">
              <w:rPr>
                <w:sz w:val="18"/>
                <w:szCs w:val="20"/>
                <w:lang w:val="de-DE"/>
              </w:rPr>
              <w:t>[km/h]</w:t>
            </w:r>
          </w:p>
        </w:tc>
        <w:tc>
          <w:tcPr>
            <w:tcW w:w="1758" w:type="dxa"/>
            <w:tcBorders>
              <w:top w:val="single" w:sz="6" w:space="0" w:color="auto"/>
              <w:left w:val="single" w:sz="6" w:space="0" w:color="auto"/>
              <w:bottom w:val="single" w:sz="6" w:space="0" w:color="auto"/>
              <w:right w:val="single" w:sz="6" w:space="0" w:color="auto"/>
            </w:tcBorders>
            <w:vAlign w:val="center"/>
          </w:tcPr>
          <w:p w:rsidR="004F47BB" w:rsidRPr="004F47BB" w:rsidRDefault="004F47BB" w:rsidP="004F47BB">
            <w:pPr>
              <w:overflowPunct w:val="0"/>
              <w:adjustRightInd w:val="0"/>
              <w:spacing w:before="40" w:after="40"/>
              <w:ind w:left="0" w:firstLine="0"/>
              <w:jc w:val="center"/>
              <w:textAlignment w:val="baseline"/>
              <w:rPr>
                <w:sz w:val="18"/>
                <w:szCs w:val="20"/>
              </w:rPr>
            </w:pPr>
            <w:r w:rsidRPr="004F47BB">
              <w:rPr>
                <w:sz w:val="18"/>
                <w:szCs w:val="20"/>
              </w:rPr>
              <w:t>ENGINE SPEED</w:t>
            </w:r>
            <w:r w:rsidRPr="004F47BB">
              <w:rPr>
                <w:sz w:val="18"/>
                <w:szCs w:val="20"/>
              </w:rPr>
              <w:br/>
            </w:r>
            <m:oMathPara>
              <m:oMath>
                <m:r>
                  <w:rPr>
                    <w:rFonts w:ascii="Cambria Math" w:hAnsi="Cambria Math"/>
                    <w:sz w:val="18"/>
                    <w:szCs w:val="20"/>
                  </w:rPr>
                  <m:t>n</m:t>
                </m:r>
                <m:r>
                  <m:rPr>
                    <m:sty m:val="p"/>
                  </m:rPr>
                  <w:rPr>
                    <w:rFonts w:ascii="Cambria Math" w:hAnsi="Cambria Math"/>
                    <w:sz w:val="18"/>
                    <w:szCs w:val="20"/>
                  </w:rPr>
                  <w:br/>
                </m:r>
              </m:oMath>
            </m:oMathPara>
            <w:r w:rsidRPr="004F47BB">
              <w:rPr>
                <w:sz w:val="18"/>
                <w:szCs w:val="20"/>
              </w:rPr>
              <w:t>[min</w:t>
            </w:r>
            <w:r w:rsidRPr="004F47BB">
              <w:rPr>
                <w:sz w:val="18"/>
                <w:szCs w:val="20"/>
                <w:vertAlign w:val="superscript"/>
              </w:rPr>
              <w:t>-1</w:t>
            </w:r>
            <w:r w:rsidRPr="004F47BB">
              <w:rPr>
                <w:sz w:val="18"/>
                <w:szCs w:val="20"/>
              </w:rPr>
              <w:t>]</w:t>
            </w:r>
          </w:p>
        </w:tc>
        <w:tc>
          <w:tcPr>
            <w:tcW w:w="2948" w:type="dxa"/>
            <w:tcBorders>
              <w:top w:val="single" w:sz="6" w:space="0" w:color="auto"/>
              <w:left w:val="single" w:sz="6" w:space="0" w:color="auto"/>
              <w:bottom w:val="single" w:sz="6" w:space="0" w:color="auto"/>
              <w:right w:val="single" w:sz="6" w:space="0" w:color="auto"/>
            </w:tcBorders>
            <w:vAlign w:val="center"/>
          </w:tcPr>
          <w:p w:rsidR="004F47BB" w:rsidRPr="004F47BB" w:rsidRDefault="004F47BB" w:rsidP="004F47BB">
            <w:pPr>
              <w:tabs>
                <w:tab w:val="left" w:pos="284"/>
              </w:tabs>
              <w:overflowPunct w:val="0"/>
              <w:adjustRightInd w:val="0"/>
              <w:spacing w:before="40" w:after="40"/>
              <w:ind w:left="0" w:firstLine="0"/>
              <w:jc w:val="center"/>
              <w:textAlignment w:val="baseline"/>
              <w:rPr>
                <w:sz w:val="18"/>
                <w:szCs w:val="20"/>
              </w:rPr>
            </w:pPr>
            <w:r w:rsidRPr="004F47BB">
              <w:rPr>
                <w:sz w:val="18"/>
                <w:szCs w:val="20"/>
              </w:rPr>
              <w:t>OBSERVATIONS</w:t>
            </w:r>
          </w:p>
        </w:tc>
      </w:tr>
      <w:tr w:rsidR="004F47BB" w:rsidRPr="004F47BB" w:rsidTr="00D45887">
        <w:trPr>
          <w:jc w:val="center"/>
        </w:trPr>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r>
      <w:tr w:rsidR="004F47BB" w:rsidRPr="004F47BB" w:rsidTr="00D45887">
        <w:trPr>
          <w:jc w:val="center"/>
        </w:trPr>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r>
      <w:tr w:rsidR="004F47BB" w:rsidRPr="004F47BB" w:rsidTr="00D45887">
        <w:trPr>
          <w:jc w:val="center"/>
        </w:trPr>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r>
      <w:tr w:rsidR="004F47BB" w:rsidRPr="004F47BB" w:rsidTr="00D45887">
        <w:trPr>
          <w:jc w:val="center"/>
        </w:trPr>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r>
      <w:tr w:rsidR="004F47BB" w:rsidRPr="004F47BB" w:rsidTr="00D45887">
        <w:trPr>
          <w:jc w:val="center"/>
        </w:trPr>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r>
      <w:tr w:rsidR="004F47BB" w:rsidRPr="004F47BB" w:rsidTr="00D45887">
        <w:trPr>
          <w:jc w:val="center"/>
        </w:trPr>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r>
      <w:tr w:rsidR="004F47BB" w:rsidRPr="004F47BB" w:rsidTr="00D45887">
        <w:trPr>
          <w:jc w:val="center"/>
        </w:trPr>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r>
      <w:tr w:rsidR="004F47BB" w:rsidRPr="004F47BB" w:rsidTr="00D45887">
        <w:trPr>
          <w:jc w:val="center"/>
        </w:trPr>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4F47BB" w:rsidRPr="004F47BB" w:rsidRDefault="004F47BB" w:rsidP="004F47BB">
            <w:pPr>
              <w:tabs>
                <w:tab w:val="left" w:pos="284"/>
              </w:tabs>
              <w:overflowPunct w:val="0"/>
              <w:adjustRightInd w:val="0"/>
              <w:spacing w:before="120" w:after="120" w:line="240" w:lineRule="exact"/>
              <w:ind w:left="0" w:firstLine="0"/>
              <w:jc w:val="center"/>
              <w:textAlignment w:val="baseline"/>
              <w:rPr>
                <w:sz w:val="18"/>
                <w:szCs w:val="20"/>
              </w:rPr>
            </w:pPr>
          </w:p>
        </w:tc>
      </w:tr>
    </w:tbl>
    <w:p w:rsidR="004F47BB" w:rsidRPr="004F47BB" w:rsidRDefault="004F47BB" w:rsidP="004F47BB">
      <w:pPr>
        <w:spacing w:line="240" w:lineRule="atLeast"/>
        <w:ind w:left="567" w:hanging="567"/>
      </w:pPr>
    </w:p>
    <w:p w:rsidR="004F47BB" w:rsidRPr="004F47BB" w:rsidRDefault="004F47BB" w:rsidP="004F47BB">
      <w:pPr>
        <w:spacing w:line="240" w:lineRule="atLeast"/>
        <w:ind w:left="567" w:hanging="567"/>
      </w:pPr>
    </w:p>
    <w:p w:rsidR="004F47BB" w:rsidRPr="004F47BB" w:rsidRDefault="004F47BB" w:rsidP="004F47BB">
      <w:pPr>
        <w:spacing w:line="240" w:lineRule="atLeast"/>
        <w:ind w:left="567" w:hanging="567"/>
        <w:sectPr w:rsidR="004F47BB" w:rsidRPr="004F47BB" w:rsidSect="00D45887">
          <w:headerReference w:type="first" r:id="rId117"/>
          <w:footerReference w:type="first" r:id="rId118"/>
          <w:pgSz w:w="16840" w:h="11907" w:orient="landscape" w:code="9"/>
          <w:pgMar w:top="1418" w:right="1418" w:bottom="1418" w:left="1418" w:header="680" w:footer="680" w:gutter="0"/>
          <w:cols w:space="720"/>
          <w:noEndnote/>
          <w:titlePg/>
          <w:docGrid w:linePitch="272"/>
        </w:sectPr>
      </w:pPr>
    </w:p>
    <w:p w:rsidR="004F47BB" w:rsidRPr="004F47BB" w:rsidRDefault="004F47BB" w:rsidP="00C859BD">
      <w:pPr>
        <w:pStyle w:val="ES-Titre4"/>
      </w:pPr>
      <w:r w:rsidRPr="004F47BB">
        <w:lastRenderedPageBreak/>
        <w:t>Annex 2 to instruction ESI-II-3</w:t>
      </w:r>
    </w:p>
    <w:p w:rsidR="004F47BB" w:rsidRPr="004F47BB" w:rsidRDefault="004F47BB" w:rsidP="00C859BD">
      <w:pPr>
        <w:pStyle w:val="ES-Titre4a"/>
      </w:pPr>
      <w:r w:rsidRPr="004F47BB">
        <w:t>Evaluation of the results of the stopping manoeuvre</w:t>
      </w: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spacing w:line="240" w:lineRule="atLeast"/>
        <w:ind w:left="567" w:hanging="567"/>
        <w:rPr>
          <w:lang w:val="en-US"/>
        </w:rPr>
      </w:pPr>
      <w:r w:rsidRPr="004F47BB">
        <w:rPr>
          <w:lang w:val="en-US"/>
        </w:rPr>
        <w:t>1.</w:t>
      </w:r>
      <w:r w:rsidRPr="004F47BB">
        <w:rPr>
          <w:lang w:val="en-US"/>
        </w:rPr>
        <w:tab/>
        <w:t>On the basis of the values recorded compliance with the limit values in accordance with Annex 1 shall be verified. If the conditions for the stopping manoeuvre deviate substantially from the standard conditions, or if there are doubts as to the compliance with the limit values, the results shall be evaluated. To that end the following procedure may be applied for calculating stopping manoeuvres.</w:t>
      </w: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noProof/>
          <w:lang w:val="en-US"/>
        </w:rPr>
      </w:pPr>
      <w:r w:rsidRPr="004F47BB">
        <w:rPr>
          <w:lang w:val="en-US"/>
        </w:rPr>
        <w:t>2.</w:t>
      </w:r>
      <w:r w:rsidRPr="004F47BB">
        <w:rPr>
          <w:lang w:val="en-US"/>
        </w:rPr>
        <w:tab/>
      </w:r>
      <w:r w:rsidRPr="004F47BB">
        <w:rPr>
          <w:noProof/>
          <w:lang w:val="en-US"/>
        </w:rPr>
        <w:t>Theoretical stopping distances are determined under the standard conditions (</w:t>
      </w: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SOLL</m:t>
            </m:r>
          </m:sub>
        </m:sSub>
      </m:oMath>
      <w:r w:rsidRPr="004F47BB">
        <w:rPr>
          <w:noProof/>
          <w:lang w:val="en-US"/>
        </w:rPr>
        <w:t>) of (2.1) of this instruction and under stopping manoeuvre conditions (</w:t>
      </w: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IST</m:t>
            </m:r>
          </m:sub>
        </m:sSub>
      </m:oMath>
      <w:r w:rsidRPr="004F47BB">
        <w:rPr>
          <w:noProof/>
          <w:lang w:val="en-US"/>
        </w:rPr>
        <w:t>) and are compared with the stopping distance measured (</w:t>
      </w: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MESSUNG</m:t>
            </m:r>
          </m:sub>
        </m:sSub>
      </m:oMath>
      <w:r w:rsidRPr="004F47BB">
        <w:rPr>
          <w:noProof/>
          <w:lang w:val="en-US"/>
        </w:rPr>
        <w:t>). The corrected stopping distance of the stopping manoeuvre under standard conditions (</w:t>
      </w: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NORM</m:t>
            </m:r>
          </m:sub>
        </m:sSub>
      </m:oMath>
      <w:r w:rsidRPr="004F47BB">
        <w:rPr>
          <w:noProof/>
          <w:lang w:val="en-US"/>
        </w:rPr>
        <w:t>) is calculated as follows:</w:t>
      </w:r>
    </w:p>
    <w:p w:rsidR="004F47BB" w:rsidRPr="004F47BB" w:rsidRDefault="004F47BB" w:rsidP="004F47BB">
      <w:pPr>
        <w:spacing w:line="240" w:lineRule="atLeast"/>
        <w:ind w:left="567" w:hanging="567"/>
        <w:rPr>
          <w:noProof/>
          <w:lang w:val="en-US"/>
        </w:rPr>
      </w:pPr>
    </w:p>
    <w:p w:rsidR="004F47BB" w:rsidRPr="004F47BB" w:rsidRDefault="004F47BB" w:rsidP="004F47BB">
      <w:pPr>
        <w:spacing w:line="240" w:lineRule="atLeast"/>
        <w:ind w:left="1843" w:hanging="1276"/>
        <w:rPr>
          <w:noProof/>
          <w:lang w:val="en-US"/>
        </w:rPr>
      </w:pPr>
      <w:r w:rsidRPr="004F47BB">
        <w:rPr>
          <w:szCs w:val="20"/>
          <w:lang w:val="en-US"/>
        </w:rPr>
        <w:t>Formula (2.1)</w:t>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NORM</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MESSUNG</m:t>
            </m:r>
          </m:sub>
        </m:sSub>
        <m:r>
          <w:rPr>
            <w:rFonts w:ascii="Cambria Math" w:hAnsi="Cambria Math"/>
            <w:szCs w:val="20"/>
            <w:lang w:val="en-US"/>
          </w:rPr>
          <m:t xml:space="preserve"> ∙ </m:t>
        </m:r>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SOLL</m:t>
                </m:r>
              </m:sub>
            </m:sSub>
          </m:num>
          <m:den>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IST</m:t>
                </m:r>
              </m:sub>
            </m:sSub>
          </m:den>
        </m:f>
        <m:r>
          <w:rPr>
            <w:rFonts w:ascii="Cambria Math" w:hAnsi="Cambria Math"/>
            <w:szCs w:val="20"/>
            <w:lang w:val="en-US"/>
          </w:rPr>
          <m:t xml:space="preserve"> ≤limit value</m:t>
        </m:r>
      </m:oMath>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firstLine="0"/>
        <w:rPr>
          <w:szCs w:val="20"/>
          <w:lang w:val="en-US"/>
        </w:rPr>
      </w:pPr>
      <w:r w:rsidRPr="004F47BB">
        <w:rPr>
          <w:noProof/>
          <w:lang w:val="en-US"/>
        </w:rPr>
        <w:t>in accordance with (2.1)(a) or (b) of this instruction.</w:t>
      </w:r>
    </w:p>
    <w:p w:rsidR="004F47BB" w:rsidRPr="004F47BB" w:rsidRDefault="004F47BB" w:rsidP="004F47BB">
      <w:pPr>
        <w:tabs>
          <w:tab w:val="left" w:pos="567"/>
          <w:tab w:val="center" w:pos="4678"/>
        </w:tabs>
        <w:overflowPunct w:val="0"/>
        <w:adjustRightInd w:val="0"/>
        <w:spacing w:line="240" w:lineRule="atLeast"/>
        <w:ind w:left="567" w:hanging="567"/>
        <w:textAlignment w:val="baseline"/>
        <w:rPr>
          <w:szCs w:val="20"/>
          <w:lang w:val="en-US"/>
        </w:rPr>
      </w:pPr>
    </w:p>
    <w:p w:rsidR="004F47BB" w:rsidRPr="004F47BB" w:rsidRDefault="004F47BB" w:rsidP="004F47BB">
      <w:pPr>
        <w:spacing w:line="240" w:lineRule="atLeast"/>
        <w:ind w:left="567" w:firstLine="0"/>
        <w:rPr>
          <w:lang w:val="en-US"/>
        </w:rPr>
      </w:pPr>
      <w:r w:rsidRPr="004F47BB">
        <w:rPr>
          <w:noProof/>
          <w:lang w:val="en-US"/>
        </w:rPr>
        <w:t>When the stopping manoeuvre has been carried out with a load of 70</w:t>
      </w:r>
      <w:r w:rsidRPr="004F47BB">
        <w:rPr>
          <w:lang w:val="en-US"/>
        </w:rPr>
        <w:t> – </w:t>
      </w:r>
      <w:r w:rsidRPr="004F47BB">
        <w:rPr>
          <w:noProof/>
          <w:lang w:val="en-US"/>
        </w:rPr>
        <w:t xml:space="preserve">100 % of the maximum deadweight in accordance with (2.2) of this instruction in order to calculate </w:t>
      </w: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NORM</m:t>
            </m:r>
          </m:sub>
        </m:sSub>
      </m:oMath>
      <w:r w:rsidRPr="004F47BB">
        <w:rPr>
          <w:noProof/>
          <w:lang w:val="en-US"/>
        </w:rPr>
        <w:t xml:space="preserve"> the displacement (</w:t>
      </w:r>
      <m:oMath>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SOLL</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IST</m:t>
            </m:r>
          </m:sub>
        </m:sSub>
      </m:oMath>
      <w:r w:rsidRPr="004F47BB">
        <w:rPr>
          <w:noProof/>
          <w:lang w:val="en-US"/>
        </w:rPr>
        <w:t xml:space="preserve">) corresponding to the load at the time of the test shall be used for the determination of </w:t>
      </w: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SOLL</m:t>
            </m:r>
          </m:sub>
        </m:sSub>
      </m:oMath>
      <w:r w:rsidRPr="004F47BB">
        <w:rPr>
          <w:noProof/>
          <w:lang w:val="en-US"/>
        </w:rPr>
        <w:t xml:space="preserve"> and </w:t>
      </w: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IST</m:t>
            </m:r>
          </m:sub>
        </m:sSub>
      </m:oMath>
      <w:r w:rsidRPr="004F47BB">
        <w:rPr>
          <w:noProof/>
          <w:lang w:val="en-US"/>
        </w:rPr>
        <w:t>.</w:t>
      </w:r>
    </w:p>
    <w:p w:rsidR="004F47BB" w:rsidRPr="004F47BB" w:rsidRDefault="004F47BB" w:rsidP="004F47BB">
      <w:pPr>
        <w:spacing w:line="240" w:lineRule="atLeast"/>
        <w:ind w:left="567" w:firstLine="0"/>
        <w:rPr>
          <w:lang w:val="en-US"/>
        </w:rPr>
      </w:pPr>
    </w:p>
    <w:p w:rsidR="004F47BB" w:rsidRPr="004F47BB" w:rsidRDefault="004F47BB" w:rsidP="004F47BB">
      <w:pPr>
        <w:spacing w:line="240" w:lineRule="atLeast"/>
        <w:ind w:left="567" w:firstLine="0"/>
        <w:rPr>
          <w:lang w:val="en-US"/>
        </w:rPr>
      </w:pPr>
      <w:r w:rsidRPr="004F47BB">
        <w:rPr>
          <w:noProof/>
          <w:lang w:val="en-US"/>
        </w:rPr>
        <w:t xml:space="preserve">When in determining </w:t>
      </w: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NORM</m:t>
            </m:r>
          </m:sub>
        </m:sSub>
      </m:oMath>
      <w:r w:rsidRPr="004F47BB">
        <w:rPr>
          <w:i/>
          <w:iCs/>
          <w:noProof/>
          <w:vertAlign w:val="subscript"/>
          <w:lang w:val="en-US"/>
        </w:rPr>
        <w:t xml:space="preserve"> </w:t>
      </w:r>
      <w:r w:rsidRPr="004F47BB">
        <w:rPr>
          <w:noProof/>
          <w:lang w:val="en-US"/>
        </w:rPr>
        <w:t xml:space="preserve">according to formula (2.1), the limit value in question is exceeded or not reached, the value of </w:t>
      </w: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SOLL</m:t>
            </m:r>
          </m:sub>
        </m:sSub>
      </m:oMath>
      <w:r w:rsidRPr="004F47BB">
        <w:rPr>
          <w:noProof/>
          <w:lang w:val="en-US"/>
        </w:rPr>
        <w:t xml:space="preserve"> shall be reduced or increased by variation of </w:t>
      </w:r>
      <m:oMath>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SOLL</m:t>
            </m:r>
          </m:sub>
        </m:sSub>
      </m:oMath>
      <w:r w:rsidRPr="004F47BB">
        <w:rPr>
          <w:noProof/>
          <w:lang w:val="en-US"/>
        </w:rPr>
        <w:t>so that the limit value is complied with (</w:t>
      </w: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NORM</m:t>
            </m:r>
          </m:sub>
        </m:sSub>
      </m:oMath>
      <w:r w:rsidRPr="004F47BB">
        <w:rPr>
          <w:noProof/>
          <w:lang w:val="en-US"/>
        </w:rPr>
        <w:t xml:space="preserve"> = limit value in question). The maximum displacement permitted in downstream navigation shall be set accordingly.</w:t>
      </w:r>
    </w:p>
    <w:p w:rsidR="004F47BB" w:rsidRPr="004F47BB" w:rsidRDefault="004F47BB" w:rsidP="004F47BB">
      <w:pPr>
        <w:overflowPunct w:val="0"/>
        <w:adjustRightInd w:val="0"/>
        <w:spacing w:line="240" w:lineRule="exact"/>
        <w:ind w:left="567" w:hanging="567"/>
        <w:textAlignment w:val="baseline"/>
        <w:rPr>
          <w:szCs w:val="20"/>
          <w:lang w:val="en-US"/>
        </w:rPr>
      </w:pPr>
    </w:p>
    <w:p w:rsidR="004F47BB" w:rsidRPr="004F47BB" w:rsidRDefault="004F47BB" w:rsidP="004F47BB">
      <w:pPr>
        <w:spacing w:line="240" w:lineRule="atLeast"/>
        <w:ind w:left="567" w:hanging="567"/>
        <w:rPr>
          <w:lang w:val="en-US"/>
        </w:rPr>
      </w:pPr>
      <w:r w:rsidRPr="004F47BB">
        <w:rPr>
          <w:lang w:val="en-US"/>
        </w:rPr>
        <w:t>3.</w:t>
      </w:r>
      <w:r w:rsidRPr="004F47BB">
        <w:rPr>
          <w:lang w:val="en-US"/>
        </w:rPr>
        <w:tab/>
      </w:r>
      <w:r w:rsidRPr="004F47BB">
        <w:rPr>
          <w:noProof/>
          <w:lang w:val="en-US"/>
        </w:rPr>
        <w:t>According to the limit values given in (2.1)(a) and (b) of this instruction, only the stopping distances measured in</w:t>
      </w:r>
    </w:p>
    <w:p w:rsidR="004F47BB" w:rsidRPr="004F47BB" w:rsidRDefault="004F47BB" w:rsidP="004F47BB">
      <w:pPr>
        <w:spacing w:before="60" w:line="240" w:lineRule="atLeast"/>
        <w:ind w:left="992"/>
        <w:rPr>
          <w:lang w:val="en-US"/>
        </w:rPr>
      </w:pPr>
      <w:r w:rsidRPr="004F47BB">
        <w:rPr>
          <w:lang w:val="en-US"/>
        </w:rPr>
        <w:t>-</w:t>
      </w:r>
      <w:r w:rsidRPr="004F47BB">
        <w:rPr>
          <w:lang w:val="en-US"/>
        </w:rPr>
        <w:tab/>
      </w:r>
      <w:r w:rsidRPr="004F47BB">
        <w:rPr>
          <w:noProof/>
          <w:lang w:val="en-US"/>
        </w:rPr>
        <w:t xml:space="preserve">Phase I (‘Full ahead’ reversed to ‘full astern’): </w:t>
      </w: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sub>
        </m:sSub>
      </m:oMath>
    </w:p>
    <w:p w:rsidR="004F47BB" w:rsidRPr="004F47BB" w:rsidRDefault="004F47BB" w:rsidP="004F47BB">
      <w:pPr>
        <w:spacing w:before="60" w:line="240" w:lineRule="atLeast"/>
        <w:ind w:left="567" w:firstLine="0"/>
        <w:rPr>
          <w:lang w:val="en-US"/>
        </w:rPr>
      </w:pPr>
      <w:r w:rsidRPr="004F47BB">
        <w:rPr>
          <w:lang w:val="en-US"/>
        </w:rPr>
        <w:t>and</w:t>
      </w:r>
    </w:p>
    <w:p w:rsidR="004F47BB" w:rsidRPr="004F47BB" w:rsidRDefault="004F47BB" w:rsidP="004F47BB">
      <w:pPr>
        <w:spacing w:before="60" w:line="240" w:lineRule="atLeast"/>
        <w:ind w:left="992"/>
        <w:rPr>
          <w:rFonts w:cs="Arial"/>
          <w:lang w:val="en-US"/>
        </w:rPr>
      </w:pPr>
      <w:r w:rsidRPr="004F47BB">
        <w:rPr>
          <w:lang w:val="en-US"/>
        </w:rPr>
        <w:t>-</w:t>
      </w:r>
      <w:r w:rsidRPr="004F47BB">
        <w:rPr>
          <w:lang w:val="en-US"/>
        </w:rPr>
        <w:tab/>
      </w:r>
      <w:r w:rsidRPr="004F47BB">
        <w:rPr>
          <w:noProof/>
          <w:lang w:val="en-US"/>
        </w:rPr>
        <w:t xml:space="preserve">Phase II (End of reversal until vessel stops in relation to the water): </w:t>
      </w: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II</m:t>
            </m:r>
          </m:sub>
        </m:sSub>
      </m:oMath>
    </w:p>
    <w:p w:rsidR="004F47BB" w:rsidRPr="004F47BB" w:rsidRDefault="004F47BB" w:rsidP="004F47BB">
      <w:pPr>
        <w:tabs>
          <w:tab w:val="left" w:pos="567"/>
          <w:tab w:val="left" w:pos="4962"/>
        </w:tabs>
        <w:overflowPunct w:val="0"/>
        <w:adjustRightInd w:val="0"/>
        <w:spacing w:line="240" w:lineRule="exact"/>
        <w:ind w:left="567" w:hanging="567"/>
        <w:textAlignment w:val="baseline"/>
        <w:rPr>
          <w:szCs w:val="20"/>
          <w:lang w:val="en-US"/>
        </w:rPr>
      </w:pPr>
    </w:p>
    <w:p w:rsidR="004F47BB" w:rsidRPr="004F47BB" w:rsidRDefault="004F47BB" w:rsidP="004F47BB">
      <w:pPr>
        <w:spacing w:line="240" w:lineRule="atLeast"/>
        <w:ind w:left="567" w:firstLine="0"/>
        <w:rPr>
          <w:lang w:val="en-US"/>
        </w:rPr>
      </w:pPr>
      <w:r w:rsidRPr="004F47BB">
        <w:rPr>
          <w:noProof/>
          <w:lang w:val="en-US"/>
        </w:rPr>
        <w:t>shall be calculated (see figure 1). The total stopping distance is then:</w:t>
      </w:r>
    </w:p>
    <w:p w:rsidR="004F47BB" w:rsidRPr="004F47BB" w:rsidRDefault="004F47BB" w:rsidP="004F47BB">
      <w:pPr>
        <w:overflowPunct w:val="0"/>
        <w:adjustRightInd w:val="0"/>
        <w:ind w:left="567" w:hanging="567"/>
        <w:jc w:val="left"/>
        <w:textAlignment w:val="baseline"/>
        <w:rPr>
          <w:szCs w:val="20"/>
          <w:lang w:val="en-US"/>
        </w:rPr>
      </w:pPr>
    </w:p>
    <w:p w:rsidR="004F47BB" w:rsidRPr="004F47BB" w:rsidRDefault="004F47BB" w:rsidP="004F47BB">
      <w:pPr>
        <w:spacing w:line="240" w:lineRule="atLeast"/>
        <w:ind w:left="567" w:firstLine="0"/>
        <w:rPr>
          <w:lang w:val="en-US"/>
        </w:rPr>
      </w:pPr>
      <w:r w:rsidRPr="004F47BB">
        <w:rPr>
          <w:lang w:val="en-US"/>
        </w:rPr>
        <w:t>Formula (3.1)</w:t>
      </w:r>
      <w:r w:rsidRPr="004F47BB">
        <w:rPr>
          <w:lang w:val="en-US"/>
        </w:rPr>
        <w:tab/>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GES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II</m:t>
            </m:r>
          </m:sub>
        </m:sSub>
      </m:oMath>
    </w:p>
    <w:p w:rsidR="004F47BB" w:rsidRPr="004F47BB" w:rsidRDefault="004F47BB" w:rsidP="004F47BB">
      <w:pPr>
        <w:overflowPunct w:val="0"/>
        <w:adjustRightInd w:val="0"/>
        <w:ind w:left="567" w:hanging="567"/>
        <w:jc w:val="left"/>
        <w:textAlignment w:val="baseline"/>
        <w:rPr>
          <w:szCs w:val="20"/>
          <w:lang w:val="en-US"/>
        </w:rPr>
      </w:pPr>
    </w:p>
    <w:p w:rsidR="004F47BB" w:rsidRPr="004F47BB" w:rsidRDefault="004F47BB" w:rsidP="004F47BB">
      <w:pPr>
        <w:spacing w:line="240" w:lineRule="atLeast"/>
        <w:ind w:left="567" w:hanging="567"/>
        <w:rPr>
          <w:lang w:val="en-US"/>
        </w:rPr>
      </w:pPr>
      <w:r w:rsidRPr="004F47BB">
        <w:rPr>
          <w:lang w:val="en-US"/>
        </w:rPr>
        <w:t>4.</w:t>
      </w:r>
      <w:r w:rsidRPr="004F47BB">
        <w:rPr>
          <w:lang w:val="en-US"/>
        </w:rPr>
        <w:tab/>
      </w:r>
      <w:r w:rsidRPr="004F47BB">
        <w:rPr>
          <w:noProof/>
          <w:lang w:val="en-US"/>
        </w:rPr>
        <w:t>The particular stopping distances shall be calculated as follows:</w:t>
      </w:r>
    </w:p>
    <w:p w:rsidR="004F47BB" w:rsidRPr="004F47BB" w:rsidRDefault="004F47BB" w:rsidP="004F47BB">
      <w:pPr>
        <w:overflowPunct w:val="0"/>
        <w:adjustRightInd w:val="0"/>
        <w:spacing w:line="240" w:lineRule="exact"/>
        <w:ind w:left="567" w:hanging="567"/>
        <w:textAlignment w:val="baseline"/>
        <w:rPr>
          <w:szCs w:val="20"/>
          <w:lang w:val="en-US"/>
        </w:rPr>
      </w:pPr>
    </w:p>
    <w:p w:rsidR="004F47BB" w:rsidRPr="004F47BB" w:rsidRDefault="004F47BB" w:rsidP="004F47BB">
      <w:pPr>
        <w:spacing w:line="240" w:lineRule="exact"/>
        <w:jc w:val="center"/>
        <w:rPr>
          <w:b/>
          <w:sz w:val="22"/>
          <w:szCs w:val="22"/>
          <w:lang w:val="en-US"/>
        </w:rPr>
      </w:pPr>
      <w:r w:rsidRPr="004F47BB">
        <w:rPr>
          <w:szCs w:val="20"/>
          <w:lang w:val="en-US"/>
        </w:rPr>
        <w:br w:type="page"/>
      </w:r>
    </w:p>
    <w:p w:rsidR="004F47BB" w:rsidRPr="004F47BB" w:rsidRDefault="004F47BB" w:rsidP="004F47BB">
      <w:pPr>
        <w:overflowPunct w:val="0"/>
        <w:adjustRightInd w:val="0"/>
        <w:spacing w:line="240" w:lineRule="exact"/>
        <w:ind w:left="0" w:firstLine="0"/>
        <w:jc w:val="center"/>
        <w:textAlignment w:val="baseline"/>
        <w:rPr>
          <w:b/>
          <w:sz w:val="22"/>
          <w:szCs w:val="22"/>
          <w:lang w:val="en-US"/>
        </w:rPr>
      </w:pPr>
      <w:r w:rsidRPr="004F47BB">
        <w:rPr>
          <w:b/>
          <w:sz w:val="22"/>
          <w:szCs w:val="22"/>
          <w:lang w:val="en-US"/>
        </w:rPr>
        <w:lastRenderedPageBreak/>
        <w:t>Calculation of the stopping manoeuvre</w:t>
      </w:r>
    </w:p>
    <w:p w:rsidR="004F47BB" w:rsidRPr="004F47BB" w:rsidRDefault="004F47BB" w:rsidP="004F47BB">
      <w:pPr>
        <w:overflowPunct w:val="0"/>
        <w:adjustRightInd w:val="0"/>
        <w:spacing w:line="240" w:lineRule="exact"/>
        <w:ind w:left="0" w:firstLine="0"/>
        <w:jc w:val="center"/>
        <w:textAlignment w:val="baseline"/>
        <w:rPr>
          <w:b/>
          <w:szCs w:val="20"/>
          <w:lang w:val="en-US"/>
        </w:rPr>
      </w:pPr>
    </w:p>
    <w:p w:rsidR="004F47BB" w:rsidRPr="004F47BB" w:rsidRDefault="004F47BB" w:rsidP="004F47BB">
      <w:pPr>
        <w:overflowPunct w:val="0"/>
        <w:adjustRightInd w:val="0"/>
        <w:spacing w:line="240" w:lineRule="exact"/>
        <w:ind w:left="0" w:firstLine="0"/>
        <w:jc w:val="center"/>
        <w:textAlignment w:val="baseline"/>
        <w:rPr>
          <w:szCs w:val="20"/>
          <w:lang w:val="en-US"/>
        </w:rPr>
      </w:pPr>
      <w:r w:rsidRPr="004F47BB">
        <w:rPr>
          <w:b/>
          <w:szCs w:val="20"/>
          <w:lang w:val="en-US"/>
        </w:rPr>
        <w:t>Figure 2: Diagram</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center"/>
        <w:textAlignment w:val="baseline"/>
        <w:rPr>
          <w:szCs w:val="20"/>
        </w:rPr>
      </w:pPr>
      <w:r w:rsidRPr="004F47BB">
        <w:rPr>
          <w:rFonts w:ascii="Times New Roman" w:hAnsi="Times New Roman"/>
          <w:noProof/>
          <w:szCs w:val="20"/>
        </w:rPr>
        <w:drawing>
          <wp:inline distT="0" distB="0" distL="0" distR="0" wp14:anchorId="796D24E2" wp14:editId="6B2CFBE4">
            <wp:extent cx="4552950" cy="3124200"/>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52950" cy="3124200"/>
                    </a:xfrm>
                    <a:prstGeom prst="rect">
                      <a:avLst/>
                    </a:prstGeom>
                    <a:solidFill>
                      <a:srgbClr val="FFFFFF"/>
                    </a:solidFill>
                    <a:ln>
                      <a:noFill/>
                    </a:ln>
                  </pic:spPr>
                </pic:pic>
              </a:graphicData>
            </a:graphic>
          </wp:inline>
        </w:drawing>
      </w:r>
    </w:p>
    <w:p w:rsidR="004F47BB" w:rsidRPr="004F47BB" w:rsidRDefault="004F47BB" w:rsidP="004F47BB">
      <w:pPr>
        <w:overflowPunct w:val="0"/>
        <w:adjustRightInd w:val="0"/>
        <w:spacing w:line="240" w:lineRule="exact"/>
        <w:ind w:left="0" w:firstLine="0"/>
        <w:jc w:val="left"/>
        <w:textAlignment w:val="baseline"/>
        <w:rPr>
          <w:szCs w:val="20"/>
        </w:rPr>
      </w:pPr>
    </w:p>
    <w:p w:rsidR="004F47BB" w:rsidRPr="004F47BB" w:rsidRDefault="004F47BB" w:rsidP="004F47BB">
      <w:pPr>
        <w:overflowPunct w:val="0"/>
        <w:adjustRightInd w:val="0"/>
        <w:ind w:left="0" w:firstLine="0"/>
        <w:jc w:val="left"/>
        <w:textAlignment w:val="baseline"/>
        <w:rPr>
          <w:szCs w:val="20"/>
        </w:rPr>
      </w:pPr>
    </w:p>
    <w:p w:rsidR="004F47BB" w:rsidRPr="004F47BB" w:rsidRDefault="004F47BB" w:rsidP="004F47BB">
      <w:pPr>
        <w:overflowPunct w:val="0"/>
        <w:adjustRightInd w:val="0"/>
        <w:spacing w:line="240" w:lineRule="exact"/>
        <w:ind w:left="0" w:firstLine="0"/>
        <w:jc w:val="left"/>
        <w:textAlignment w:val="baseline"/>
        <w:rPr>
          <w:szCs w:val="20"/>
          <w:lang w:val="en-US"/>
        </w:rPr>
      </w:pPr>
      <w:r w:rsidRPr="004F47BB">
        <w:rPr>
          <w:b/>
          <w:szCs w:val="20"/>
          <w:lang w:val="en-US"/>
        </w:rPr>
        <w:t>Calculation Formulae:</w:t>
      </w:r>
    </w:p>
    <w:p w:rsidR="004F47BB" w:rsidRPr="004F47BB" w:rsidRDefault="004F47BB" w:rsidP="004F47BB">
      <w:pPr>
        <w:tabs>
          <w:tab w:val="left" w:pos="5954"/>
        </w:tabs>
        <w:overflowPunct w:val="0"/>
        <w:adjustRightInd w:val="0"/>
        <w:ind w:left="0" w:firstLine="0"/>
        <w:jc w:val="left"/>
        <w:textAlignment w:val="baseline"/>
        <w:rPr>
          <w:szCs w:val="20"/>
          <w:lang w:val="en-US"/>
        </w:rPr>
      </w:pPr>
      <w:r w:rsidRPr="004F47BB">
        <w:rPr>
          <w:szCs w:val="20"/>
          <w:lang w:val="en-US"/>
        </w:rPr>
        <w:tab/>
        <w:t>with the following coefficients</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tabs>
          <w:tab w:val="left" w:pos="1134"/>
          <w:tab w:val="left" w:pos="1418"/>
          <w:tab w:val="left" w:pos="3119"/>
          <w:tab w:val="left" w:pos="5954"/>
          <w:tab w:val="left" w:pos="6379"/>
        </w:tabs>
        <w:overflowPunct w:val="0"/>
        <w:adjustRightInd w:val="0"/>
        <w:spacing w:line="240" w:lineRule="exact"/>
        <w:ind w:left="567" w:hanging="567"/>
        <w:jc w:val="left"/>
        <w:textAlignment w:val="baseline"/>
        <w:rPr>
          <w:szCs w:val="20"/>
          <w:lang w:val="en-US"/>
        </w:rPr>
      </w:pPr>
      <w:r w:rsidRPr="004F47BB">
        <w:rPr>
          <w:szCs w:val="20"/>
          <w:lang w:val="en-US"/>
        </w:rPr>
        <w:t>4.1</w:t>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I</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1</m:t>
            </m:r>
          </m:sub>
        </m:sSub>
        <m:r>
          <w:rPr>
            <w:rFonts w:ascii="Cambria Math" w:hAnsi="Cambria Math"/>
            <w:szCs w:val="20"/>
            <w:lang w:val="en-US"/>
          </w:rPr>
          <m:t xml:space="preserve"> ∙ </m:t>
        </m:r>
        <m:sSub>
          <m:sSubPr>
            <m:ctrlPr>
              <w:rPr>
                <w:rFonts w:ascii="Cambria Math" w:hAnsi="Cambria Math"/>
                <w:i/>
                <w:szCs w:val="20"/>
                <w:lang w:val="en-US"/>
              </w:rPr>
            </m:ctrlPr>
          </m:sSubPr>
          <m:e>
            <m:r>
              <w:rPr>
                <w:rFonts w:ascii="Cambria Math" w:hAnsi="Cambria Math"/>
                <w:szCs w:val="20"/>
                <w:lang w:val="en-US"/>
              </w:rPr>
              <m:t>v</m:t>
            </m:r>
          </m:e>
          <m:sub>
            <m:r>
              <w:rPr>
                <w:rFonts w:ascii="Cambria Math" w:hAnsi="Cambria Math"/>
                <w:szCs w:val="20"/>
                <w:lang w:val="en-US"/>
              </w:rPr>
              <m:t>L</m:t>
            </m:r>
          </m:sub>
        </m:sSub>
        <m:r>
          <w:rPr>
            <w:rFonts w:ascii="Cambria Math" w:hAnsi="Cambria Math"/>
            <w:szCs w:val="20"/>
            <w:lang w:val="en-US"/>
          </w:rPr>
          <m:t xml:space="preserve"> ∙ </m:t>
        </m:r>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I</m:t>
            </m:r>
          </m:sub>
        </m:sSub>
      </m:oMath>
      <w:r w:rsidRPr="004F47BB">
        <w:rPr>
          <w:sz w:val="16"/>
          <w:szCs w:val="20"/>
          <w:lang w:val="en-US"/>
        </w:rPr>
        <w:tab/>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I</m:t>
            </m:r>
          </m:sub>
        </m:sSub>
        <m:r>
          <w:rPr>
            <w:rFonts w:ascii="Cambria Math" w:hAnsi="Cambria Math"/>
            <w:szCs w:val="20"/>
            <w:lang w:val="en-US"/>
          </w:rPr>
          <m:t>≤20 s</m:t>
        </m:r>
      </m:oMath>
      <w:r w:rsidRPr="004F47BB">
        <w:rPr>
          <w:szCs w:val="20"/>
          <w:lang w:val="en-US"/>
        </w:rPr>
        <w:tab/>
        <w:t>-</w:t>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1</m:t>
            </m:r>
          </m:sub>
        </m:sSub>
      </m:oMath>
      <w:r w:rsidRPr="004F47BB">
        <w:rPr>
          <w:szCs w:val="20"/>
          <w:lang w:val="en-US"/>
        </w:rPr>
        <w:t xml:space="preserve"> according to table 1</w:t>
      </w:r>
    </w:p>
    <w:p w:rsidR="004F47BB" w:rsidRPr="004F47BB" w:rsidRDefault="004F47BB" w:rsidP="004F47BB">
      <w:pPr>
        <w:tabs>
          <w:tab w:val="left" w:pos="5954"/>
          <w:tab w:val="left" w:pos="6379"/>
          <w:tab w:val="left" w:pos="6663"/>
          <w:tab w:val="left" w:pos="6946"/>
        </w:tabs>
        <w:overflowPunct w:val="0"/>
        <w:adjustRightInd w:val="0"/>
        <w:ind w:left="0" w:firstLine="0"/>
        <w:jc w:val="left"/>
        <w:textAlignment w:val="baseline"/>
        <w:rPr>
          <w:szCs w:val="20"/>
          <w:lang w:val="en-US"/>
        </w:rPr>
      </w:pPr>
    </w:p>
    <w:p w:rsidR="004F47BB" w:rsidRPr="004F47BB" w:rsidRDefault="004F47BB" w:rsidP="004F47BB">
      <w:pPr>
        <w:tabs>
          <w:tab w:val="left" w:pos="567"/>
          <w:tab w:val="left" w:pos="5954"/>
          <w:tab w:val="left" w:pos="6379"/>
        </w:tabs>
        <w:overflowPunct w:val="0"/>
        <w:adjustRightInd w:val="0"/>
        <w:spacing w:line="240" w:lineRule="atLeast"/>
        <w:ind w:left="567" w:hanging="567"/>
        <w:textAlignment w:val="baseline"/>
        <w:rPr>
          <w:szCs w:val="20"/>
          <w:lang w:val="en-US"/>
        </w:rPr>
      </w:pPr>
      <w:r w:rsidRPr="004F47BB">
        <w:rPr>
          <w:szCs w:val="20"/>
          <w:lang w:val="en-US"/>
        </w:rPr>
        <w:t>4.2</w:t>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II</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2</m:t>
            </m:r>
          </m:sub>
        </m:sSub>
        <m:r>
          <w:rPr>
            <w:rFonts w:ascii="Cambria Math" w:hAnsi="Cambria Math"/>
            <w:szCs w:val="20"/>
            <w:lang w:val="en-US"/>
          </w:rPr>
          <m:t xml:space="preserve"> ∙ </m:t>
        </m:r>
        <m:sSub>
          <m:sSubPr>
            <m:ctrlPr>
              <w:rPr>
                <w:rFonts w:ascii="Cambria Math" w:hAnsi="Cambria Math"/>
                <w:i/>
                <w:szCs w:val="20"/>
                <w:lang w:val="en-US"/>
              </w:rPr>
            </m:ctrlPr>
          </m:sSubPr>
          <m:e>
            <m:sSup>
              <m:sSupPr>
                <m:ctrlPr>
                  <w:rPr>
                    <w:rFonts w:ascii="Cambria Math" w:hAnsi="Cambria Math"/>
                    <w:i/>
                    <w:szCs w:val="20"/>
                    <w:lang w:val="en-US"/>
                  </w:rPr>
                </m:ctrlPr>
              </m:sSupPr>
              <m:e>
                <m:r>
                  <w:rPr>
                    <w:rFonts w:ascii="Cambria Math" w:hAnsi="Cambria Math"/>
                    <w:szCs w:val="20"/>
                    <w:lang w:val="en-US"/>
                  </w:rPr>
                  <m:t>v</m:t>
                </m:r>
              </m:e>
              <m:sup>
                <m:r>
                  <w:rPr>
                    <w:rFonts w:ascii="Cambria Math" w:hAnsi="Cambria Math"/>
                    <w:szCs w:val="20"/>
                    <w:lang w:val="en-US"/>
                  </w:rPr>
                  <m:t>2</m:t>
                </m:r>
              </m:sup>
            </m:sSup>
          </m:e>
          <m:sub>
            <m:r>
              <w:rPr>
                <w:rFonts w:ascii="Cambria Math" w:hAnsi="Cambria Math"/>
                <w:szCs w:val="20"/>
                <w:lang w:val="en-US"/>
              </w:rPr>
              <m:t>II</m:t>
            </m:r>
          </m:sub>
        </m:sSub>
        <m:r>
          <w:rPr>
            <w:rFonts w:ascii="Cambria Math" w:hAnsi="Cambria Math"/>
            <w:szCs w:val="20"/>
            <w:lang w:val="en-US"/>
          </w:rPr>
          <m:t xml:space="preserve"> ∙ </m:t>
        </m:r>
        <m:f>
          <m:fPr>
            <m:ctrlPr>
              <w:rPr>
                <w:rFonts w:ascii="Cambria Math" w:hAnsi="Cambria Math"/>
                <w:i/>
                <w:szCs w:val="20"/>
                <w:lang w:val="en-US"/>
              </w:rPr>
            </m:ctrlPr>
          </m:fPr>
          <m:num>
            <m:r>
              <w:rPr>
                <w:rFonts w:ascii="Cambria Math" w:hAnsi="Cambria Math"/>
                <w:szCs w:val="20"/>
                <w:lang w:val="en-US"/>
              </w:rPr>
              <m:t>D ∙g</m:t>
            </m:r>
          </m:num>
          <m:den>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3</m:t>
                </m:r>
              </m:sub>
            </m:sSub>
            <m:r>
              <w:rPr>
                <w:rFonts w:ascii="Cambria Math" w:hAnsi="Cambria Math"/>
                <w:szCs w:val="20"/>
                <w:lang w:val="en-US"/>
              </w:rPr>
              <m:t xml:space="preserve"> ∙ </m:t>
            </m:r>
            <m:sSub>
              <m:sSubPr>
                <m:ctrlPr>
                  <w:rPr>
                    <w:rFonts w:ascii="Cambria Math" w:hAnsi="Cambria Math"/>
                    <w:i/>
                    <w:szCs w:val="20"/>
                    <w:lang w:val="en-US"/>
                  </w:rPr>
                </m:ctrlPr>
              </m:sSubPr>
              <m:e>
                <m:r>
                  <w:rPr>
                    <w:rFonts w:ascii="Cambria Math" w:hAnsi="Cambria Math"/>
                    <w:szCs w:val="20"/>
                    <w:lang w:val="en-US"/>
                  </w:rPr>
                  <m:t>F</m:t>
                </m:r>
              </m:e>
              <m:sub>
                <m:r>
                  <w:rPr>
                    <w:rFonts w:ascii="Cambria Math" w:hAnsi="Cambria Math"/>
                    <w:szCs w:val="20"/>
                    <w:lang w:val="en-US"/>
                  </w:rPr>
                  <m:t>POR</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TmII</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G</m:t>
                </m:r>
              </m:sub>
            </m:sSub>
          </m:den>
        </m:f>
        <m:r>
          <w:rPr>
            <w:rFonts w:ascii="Cambria Math" w:hAnsi="Cambria Math"/>
            <w:szCs w:val="20"/>
            <w:lang w:val="en-US"/>
          </w:rPr>
          <m:t xml:space="preserve">∙ </m:t>
        </m:r>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4</m:t>
                </m:r>
              </m:sub>
            </m:sSub>
            <m:r>
              <w:rPr>
                <w:rFonts w:ascii="Cambria Math" w:hAnsi="Cambria Math"/>
                <w:szCs w:val="20"/>
                <w:lang w:val="en-US"/>
              </w:rPr>
              <m:t xml:space="preserve">+ </m:t>
            </m:r>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v</m:t>
                    </m:r>
                  </m:e>
                  <m:sub>
                    <m:r>
                      <w:rPr>
                        <w:rFonts w:ascii="Cambria Math" w:hAnsi="Cambria Math"/>
                        <w:szCs w:val="20"/>
                        <w:lang w:val="en-US"/>
                      </w:rPr>
                      <m:t>STR</m:t>
                    </m:r>
                  </m:sub>
                </m:sSub>
              </m:num>
              <m:den>
                <m:sSub>
                  <m:sSubPr>
                    <m:ctrlPr>
                      <w:rPr>
                        <w:rFonts w:ascii="Cambria Math" w:hAnsi="Cambria Math"/>
                        <w:i/>
                        <w:szCs w:val="20"/>
                        <w:lang w:val="en-US"/>
                      </w:rPr>
                    </m:ctrlPr>
                  </m:sSubPr>
                  <m:e>
                    <m:r>
                      <w:rPr>
                        <w:rFonts w:ascii="Cambria Math" w:hAnsi="Cambria Math"/>
                        <w:szCs w:val="20"/>
                        <w:lang w:val="en-US"/>
                      </w:rPr>
                      <m:t>v</m:t>
                    </m:r>
                  </m:e>
                  <m:sub>
                    <m:r>
                      <w:rPr>
                        <w:rFonts w:ascii="Cambria Math" w:hAnsi="Cambria Math"/>
                        <w:szCs w:val="20"/>
                        <w:lang w:val="en-US"/>
                      </w:rPr>
                      <m:t>II</m:t>
                    </m:r>
                  </m:sub>
                </m:sSub>
              </m:den>
            </m:f>
          </m:e>
        </m:d>
      </m:oMath>
      <w:r w:rsidRPr="004F47BB">
        <w:rPr>
          <w:position w:val="6"/>
          <w:szCs w:val="20"/>
          <w:lang w:val="en-US"/>
        </w:rPr>
        <w:tab/>
      </w:r>
      <w:r w:rsidRPr="004F47BB">
        <w:rPr>
          <w:szCs w:val="20"/>
          <w:lang w:val="en-US"/>
        </w:rPr>
        <w:t>-</w:t>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2</m:t>
            </m:r>
          </m:sub>
        </m:sSub>
      </m:oMath>
      <w:r w:rsidRPr="004F47BB">
        <w:rPr>
          <w:szCs w:val="20"/>
          <w:lang w:val="en-US"/>
        </w:rPr>
        <w:t xml:space="preserve">, </w:t>
      </w: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3</m:t>
            </m:r>
          </m:sub>
        </m:sSub>
      </m:oMath>
      <w:r w:rsidRPr="004F47BB">
        <w:rPr>
          <w:szCs w:val="20"/>
          <w:lang w:val="en-US"/>
        </w:rPr>
        <w:t xml:space="preserve">, </w:t>
      </w: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4</m:t>
            </m:r>
          </m:sub>
        </m:sSub>
      </m:oMath>
      <w:r w:rsidRPr="004F47BB">
        <w:rPr>
          <w:szCs w:val="20"/>
          <w:lang w:val="en-US"/>
        </w:rPr>
        <w:t xml:space="preserve"> </w:t>
      </w:r>
      <w:r w:rsidRPr="004F47BB">
        <w:rPr>
          <w:szCs w:val="16"/>
          <w:lang w:val="en-US"/>
        </w:rPr>
        <w:t>according to table 1</w:t>
      </w:r>
    </w:p>
    <w:p w:rsidR="004F47BB" w:rsidRPr="004F47BB" w:rsidRDefault="004F47BB" w:rsidP="004F47BB">
      <w:pPr>
        <w:tabs>
          <w:tab w:val="left" w:pos="5954"/>
          <w:tab w:val="left" w:pos="6379"/>
        </w:tabs>
        <w:overflowPunct w:val="0"/>
        <w:adjustRightInd w:val="0"/>
        <w:ind w:left="0" w:firstLine="0"/>
        <w:jc w:val="left"/>
        <w:textAlignment w:val="baseline"/>
        <w:rPr>
          <w:szCs w:val="20"/>
          <w:lang w:val="en-US"/>
        </w:rPr>
      </w:pPr>
    </w:p>
    <w:p w:rsidR="004F47BB" w:rsidRPr="004F47BB" w:rsidRDefault="004F47BB" w:rsidP="004F47BB">
      <w:pPr>
        <w:tabs>
          <w:tab w:val="left" w:pos="5954"/>
          <w:tab w:val="left" w:pos="6379"/>
        </w:tabs>
        <w:overflowPunct w:val="0"/>
        <w:adjustRightInd w:val="0"/>
        <w:ind w:left="0" w:firstLine="0"/>
        <w:jc w:val="left"/>
        <w:textAlignment w:val="baseline"/>
        <w:rPr>
          <w:szCs w:val="20"/>
          <w:lang w:val="en-US"/>
        </w:rPr>
      </w:pPr>
    </w:p>
    <w:p w:rsidR="004F47BB" w:rsidRPr="004F47BB" w:rsidRDefault="004F47BB" w:rsidP="004F47BB">
      <w:pPr>
        <w:tabs>
          <w:tab w:val="left" w:pos="1134"/>
          <w:tab w:val="left" w:pos="1418"/>
          <w:tab w:val="left" w:pos="5954"/>
          <w:tab w:val="left" w:pos="6379"/>
        </w:tabs>
        <w:overflowPunct w:val="0"/>
        <w:adjustRightInd w:val="0"/>
        <w:spacing w:line="240" w:lineRule="atLeast"/>
        <w:ind w:left="567" w:hanging="567"/>
        <w:jc w:val="left"/>
        <w:textAlignment w:val="baseline"/>
        <w:rPr>
          <w:szCs w:val="20"/>
          <w:lang w:val="en-US"/>
        </w:rPr>
      </w:pPr>
      <w:r w:rsidRPr="004F47BB">
        <w:rPr>
          <w:szCs w:val="20"/>
          <w:lang w:val="en-US"/>
        </w:rPr>
        <w:t>4.3</w:t>
      </w:r>
      <w:r w:rsidRPr="004F47BB">
        <w:rPr>
          <w:szCs w:val="20"/>
          <w:lang w:val="en-US"/>
        </w:rPr>
        <w:tab/>
      </w:r>
      <m:oMath>
        <m:sSub>
          <m:sSubPr>
            <m:ctrlPr>
              <w:rPr>
                <w:rFonts w:ascii="Cambria Math" w:hAnsi="Cambria Math"/>
                <w:i/>
                <w:szCs w:val="20"/>
                <w:lang w:val="de-DE"/>
              </w:rPr>
            </m:ctrlPr>
          </m:sSubPr>
          <m:e>
            <m:r>
              <w:rPr>
                <w:rFonts w:ascii="Cambria Math" w:hAnsi="Cambria Math"/>
                <w:szCs w:val="20"/>
                <w:lang w:val="de-DE"/>
              </w:rPr>
              <m:t>R</m:t>
            </m:r>
          </m:e>
          <m:sub>
            <m:r>
              <w:rPr>
                <w:rFonts w:ascii="Cambria Math" w:hAnsi="Cambria Math"/>
                <w:szCs w:val="20"/>
                <w:lang w:val="de-DE"/>
              </w:rPr>
              <m:t>TmII</m:t>
            </m:r>
          </m:sub>
        </m:sSub>
        <m:r>
          <w:rPr>
            <w:rFonts w:ascii="Cambria Math" w:hAnsi="Cambria Math"/>
            <w:szCs w:val="20"/>
            <w:lang w:val="en-US"/>
          </w:rPr>
          <m:t xml:space="preserve">= </m:t>
        </m:r>
        <m:d>
          <m:dPr>
            <m:ctrlPr>
              <w:rPr>
                <w:rFonts w:ascii="Cambria Math" w:hAnsi="Cambria Math"/>
                <w:i/>
                <w:szCs w:val="20"/>
                <w:lang w:val="de-DE"/>
              </w:rPr>
            </m:ctrlPr>
          </m:dPr>
          <m:e>
            <m:f>
              <m:fPr>
                <m:ctrlPr>
                  <w:rPr>
                    <w:rFonts w:ascii="Cambria Math" w:hAnsi="Cambria Math"/>
                    <w:i/>
                    <w:szCs w:val="20"/>
                    <w:lang w:val="de-DE"/>
                  </w:rPr>
                </m:ctrlPr>
              </m:fPr>
              <m:num>
                <m:sSub>
                  <m:sSubPr>
                    <m:ctrlPr>
                      <w:rPr>
                        <w:rFonts w:ascii="Cambria Math" w:hAnsi="Cambria Math"/>
                        <w:i/>
                        <w:szCs w:val="20"/>
                        <w:lang w:val="de-DE"/>
                      </w:rPr>
                    </m:ctrlPr>
                  </m:sSubPr>
                  <m:e>
                    <m:r>
                      <w:rPr>
                        <w:rFonts w:ascii="Cambria Math" w:hAnsi="Cambria Math"/>
                        <w:szCs w:val="20"/>
                        <w:lang w:val="de-DE"/>
                      </w:rPr>
                      <m:t>R</m:t>
                    </m:r>
                  </m:e>
                  <m:sub>
                    <m:r>
                      <w:rPr>
                        <w:rFonts w:ascii="Cambria Math" w:hAnsi="Cambria Math"/>
                        <w:szCs w:val="20"/>
                        <w:lang w:val="de-DE"/>
                      </w:rPr>
                      <m:t>T</m:t>
                    </m:r>
                  </m:sub>
                </m:sSub>
              </m:num>
              <m:den>
                <m:sSup>
                  <m:sSupPr>
                    <m:ctrlPr>
                      <w:rPr>
                        <w:rFonts w:ascii="Cambria Math" w:hAnsi="Cambria Math"/>
                        <w:i/>
                        <w:szCs w:val="20"/>
                        <w:lang w:val="de-DE"/>
                      </w:rPr>
                    </m:ctrlPr>
                  </m:sSupPr>
                  <m:e>
                    <m:r>
                      <w:rPr>
                        <w:rFonts w:ascii="Cambria Math" w:hAnsi="Cambria Math"/>
                        <w:szCs w:val="20"/>
                        <w:lang w:val="de-DE"/>
                      </w:rPr>
                      <m:t>v</m:t>
                    </m:r>
                  </m:e>
                  <m:sup>
                    <m:r>
                      <w:rPr>
                        <w:rFonts w:ascii="Cambria Math" w:hAnsi="Cambria Math"/>
                        <w:szCs w:val="20"/>
                        <w:lang w:val="en-US"/>
                      </w:rPr>
                      <m:t>2</m:t>
                    </m:r>
                  </m:sup>
                </m:sSup>
              </m:den>
            </m:f>
          </m:e>
        </m:d>
        <m:r>
          <w:rPr>
            <w:rFonts w:ascii="Cambria Math" w:hAnsi="Cambria Math"/>
            <w:szCs w:val="20"/>
            <w:lang w:val="en-US"/>
          </w:rPr>
          <m:t xml:space="preserve"> ∙ </m:t>
        </m:r>
        <m:sSup>
          <m:sSupPr>
            <m:ctrlPr>
              <w:rPr>
                <w:rFonts w:ascii="Cambria Math" w:hAnsi="Cambria Math"/>
                <w:i/>
                <w:szCs w:val="20"/>
                <w:lang w:val="de-DE"/>
              </w:rPr>
            </m:ctrlPr>
          </m:sSupPr>
          <m:e>
            <m:d>
              <m:dPr>
                <m:ctrlPr>
                  <w:rPr>
                    <w:rFonts w:ascii="Cambria Math" w:hAnsi="Cambria Math"/>
                    <w:i/>
                    <w:szCs w:val="20"/>
                    <w:lang w:val="de-DE"/>
                  </w:rPr>
                </m:ctrlPr>
              </m:dPr>
              <m:e>
                <m:sSub>
                  <m:sSubPr>
                    <m:ctrlPr>
                      <w:rPr>
                        <w:rFonts w:ascii="Cambria Math" w:hAnsi="Cambria Math"/>
                        <w:i/>
                        <w:szCs w:val="20"/>
                        <w:lang w:val="de-DE"/>
                      </w:rPr>
                    </m:ctrlPr>
                  </m:sSubPr>
                  <m:e>
                    <m:r>
                      <w:rPr>
                        <w:rFonts w:ascii="Cambria Math" w:hAnsi="Cambria Math"/>
                        <w:szCs w:val="20"/>
                        <w:lang w:val="de-DE"/>
                      </w:rPr>
                      <m:t>k</m:t>
                    </m:r>
                  </m:e>
                  <m:sub>
                    <m:r>
                      <w:rPr>
                        <w:rFonts w:ascii="Cambria Math" w:hAnsi="Cambria Math"/>
                        <w:szCs w:val="20"/>
                        <w:lang w:val="en-US"/>
                      </w:rPr>
                      <m:t>7</m:t>
                    </m:r>
                  </m:sub>
                </m:sSub>
                <m:r>
                  <w:rPr>
                    <w:rFonts w:ascii="Cambria Math" w:hAnsi="Cambria Math"/>
                    <w:szCs w:val="20"/>
                    <w:lang w:val="en-US"/>
                  </w:rPr>
                  <m:t xml:space="preserve"> ∙ </m:t>
                </m:r>
                <m:sSub>
                  <m:sSubPr>
                    <m:ctrlPr>
                      <w:rPr>
                        <w:rFonts w:ascii="Cambria Math" w:hAnsi="Cambria Math"/>
                        <w:i/>
                        <w:szCs w:val="20"/>
                        <w:lang w:val="de-DE"/>
                      </w:rPr>
                    </m:ctrlPr>
                  </m:sSubPr>
                  <m:e>
                    <m:r>
                      <w:rPr>
                        <w:rFonts w:ascii="Cambria Math" w:hAnsi="Cambria Math"/>
                        <w:szCs w:val="20"/>
                        <w:lang w:val="de-DE"/>
                      </w:rPr>
                      <m:t>k</m:t>
                    </m:r>
                  </m:e>
                  <m:sub>
                    <m:r>
                      <w:rPr>
                        <w:rFonts w:ascii="Cambria Math" w:hAnsi="Cambria Math"/>
                        <w:szCs w:val="20"/>
                        <w:lang w:val="en-US"/>
                      </w:rPr>
                      <m:t>6</m:t>
                    </m:r>
                  </m:sub>
                </m:sSub>
                <m:r>
                  <w:rPr>
                    <w:rFonts w:ascii="Cambria Math" w:hAnsi="Cambria Math"/>
                    <w:szCs w:val="20"/>
                    <w:lang w:val="en-US"/>
                  </w:rPr>
                  <m:t xml:space="preserve"> ∙ </m:t>
                </m:r>
                <m:d>
                  <m:dPr>
                    <m:ctrlPr>
                      <w:rPr>
                        <w:rFonts w:ascii="Cambria Math" w:hAnsi="Cambria Math"/>
                        <w:i/>
                        <w:szCs w:val="20"/>
                        <w:lang w:val="de-DE"/>
                      </w:rPr>
                    </m:ctrlPr>
                  </m:dPr>
                  <m:e>
                    <m:sSub>
                      <m:sSubPr>
                        <m:ctrlPr>
                          <w:rPr>
                            <w:rFonts w:ascii="Cambria Math" w:hAnsi="Cambria Math"/>
                            <w:i/>
                            <w:szCs w:val="20"/>
                            <w:lang w:val="de-DE"/>
                          </w:rPr>
                        </m:ctrlPr>
                      </m:sSubPr>
                      <m:e>
                        <m:r>
                          <w:rPr>
                            <w:rFonts w:ascii="Cambria Math" w:hAnsi="Cambria Math"/>
                            <w:szCs w:val="20"/>
                            <w:lang w:val="de-DE"/>
                          </w:rPr>
                          <m:t>v</m:t>
                        </m:r>
                      </m:e>
                      <m:sub>
                        <m:r>
                          <w:rPr>
                            <w:rFonts w:ascii="Cambria Math" w:hAnsi="Cambria Math"/>
                            <w:szCs w:val="20"/>
                            <w:lang w:val="de-DE"/>
                          </w:rPr>
                          <m:t>L</m:t>
                        </m:r>
                      </m:sub>
                    </m:sSub>
                    <m:r>
                      <w:rPr>
                        <w:rFonts w:ascii="Cambria Math" w:hAnsi="Cambria Math"/>
                        <w:szCs w:val="20"/>
                        <w:lang w:val="en-US"/>
                      </w:rPr>
                      <m:t xml:space="preserve">- </m:t>
                    </m:r>
                    <m:sSub>
                      <m:sSubPr>
                        <m:ctrlPr>
                          <w:rPr>
                            <w:rFonts w:ascii="Cambria Math" w:hAnsi="Cambria Math"/>
                            <w:i/>
                            <w:szCs w:val="20"/>
                            <w:lang w:val="de-DE"/>
                          </w:rPr>
                        </m:ctrlPr>
                      </m:sSubPr>
                      <m:e>
                        <m:r>
                          <w:rPr>
                            <w:rFonts w:ascii="Cambria Math" w:hAnsi="Cambria Math"/>
                            <w:szCs w:val="20"/>
                            <w:lang w:val="de-DE"/>
                          </w:rPr>
                          <m:t>v</m:t>
                        </m:r>
                      </m:e>
                      <m:sub>
                        <m:r>
                          <w:rPr>
                            <w:rFonts w:ascii="Cambria Math" w:hAnsi="Cambria Math"/>
                            <w:szCs w:val="20"/>
                            <w:lang w:val="de-DE"/>
                          </w:rPr>
                          <m:t>STR</m:t>
                        </m:r>
                      </m:sub>
                    </m:sSub>
                  </m:e>
                </m:d>
              </m:e>
            </m:d>
          </m:e>
          <m:sup>
            <m:r>
              <w:rPr>
                <w:rFonts w:ascii="Cambria Math" w:hAnsi="Cambria Math"/>
                <w:szCs w:val="20"/>
                <w:lang w:val="en-US"/>
              </w:rPr>
              <m:t>2</m:t>
            </m:r>
          </m:sup>
        </m:sSup>
      </m:oMath>
      <w:r w:rsidRPr="004F47BB">
        <w:rPr>
          <w:szCs w:val="20"/>
          <w:vertAlign w:val="superscript"/>
          <w:lang w:val="en-US"/>
        </w:rPr>
        <w:tab/>
      </w:r>
      <w:r w:rsidRPr="004F47BB">
        <w:rPr>
          <w:szCs w:val="20"/>
          <w:lang w:val="en-US"/>
        </w:rPr>
        <w:t>-</w:t>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6</m:t>
            </m:r>
          </m:sub>
        </m:sSub>
      </m:oMath>
      <w:r w:rsidRPr="004F47BB">
        <w:rPr>
          <w:szCs w:val="20"/>
          <w:lang w:val="en-US"/>
        </w:rPr>
        <w:t xml:space="preserve">, </w:t>
      </w: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7</m:t>
            </m:r>
          </m:sub>
        </m:sSub>
      </m:oMath>
      <w:r w:rsidRPr="004F47BB">
        <w:rPr>
          <w:szCs w:val="20"/>
          <w:lang w:val="en-US"/>
        </w:rPr>
        <w:t xml:space="preserve"> </w:t>
      </w:r>
      <w:r w:rsidRPr="004F47BB">
        <w:rPr>
          <w:sz w:val="18"/>
          <w:szCs w:val="20"/>
          <w:lang w:val="en-US"/>
        </w:rPr>
        <w:t>according to table 1</w:t>
      </w:r>
    </w:p>
    <w:p w:rsidR="004F47BB" w:rsidRPr="004F47BB" w:rsidRDefault="004F47BB" w:rsidP="004F47BB">
      <w:pPr>
        <w:tabs>
          <w:tab w:val="left" w:pos="5954"/>
          <w:tab w:val="left" w:pos="6379"/>
        </w:tabs>
        <w:overflowPunct w:val="0"/>
        <w:adjustRightInd w:val="0"/>
        <w:spacing w:line="240" w:lineRule="atLeast"/>
        <w:ind w:left="0" w:firstLine="0"/>
        <w:jc w:val="left"/>
        <w:textAlignment w:val="baseline"/>
        <w:rPr>
          <w:szCs w:val="20"/>
          <w:lang w:val="en-US"/>
        </w:rPr>
      </w:pPr>
      <w:r w:rsidRPr="004F47BB">
        <w:rPr>
          <w:szCs w:val="20"/>
          <w:lang w:val="en-US"/>
        </w:rPr>
        <w:tab/>
        <w:t>-</w:t>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T</m:t>
            </m:r>
          </m:sub>
        </m:sSub>
        <m:r>
          <w:rPr>
            <w:rFonts w:ascii="Cambria Math" w:hAnsi="Cambria Math"/>
            <w:szCs w:val="20"/>
            <w:lang w:val="en-US"/>
          </w:rPr>
          <m:t>/</m:t>
        </m:r>
        <m:sSup>
          <m:sSupPr>
            <m:ctrlPr>
              <w:rPr>
                <w:rFonts w:ascii="Cambria Math" w:hAnsi="Cambria Math"/>
                <w:i/>
                <w:szCs w:val="20"/>
                <w:lang w:val="en-US"/>
              </w:rPr>
            </m:ctrlPr>
          </m:sSupPr>
          <m:e>
            <m:r>
              <w:rPr>
                <w:rFonts w:ascii="Cambria Math" w:hAnsi="Cambria Math"/>
                <w:szCs w:val="20"/>
                <w:lang w:val="en-US"/>
              </w:rPr>
              <m:t>v</m:t>
            </m:r>
          </m:e>
          <m:sup>
            <m:r>
              <w:rPr>
                <w:rFonts w:ascii="Cambria Math" w:hAnsi="Cambria Math"/>
                <w:szCs w:val="20"/>
                <w:lang w:val="en-US"/>
              </w:rPr>
              <m:t>2</m:t>
            </m:r>
          </m:sup>
        </m:sSup>
      </m:oMath>
      <w:r w:rsidRPr="004F47BB">
        <w:rPr>
          <w:szCs w:val="20"/>
          <w:lang w:val="en-US"/>
        </w:rPr>
        <w:t xml:space="preserve"> </w:t>
      </w:r>
      <w:r w:rsidRPr="004F47BB">
        <w:rPr>
          <w:sz w:val="18"/>
          <w:szCs w:val="20"/>
          <w:lang w:val="en-US"/>
        </w:rPr>
        <w:t>according to table 3</w:t>
      </w:r>
    </w:p>
    <w:p w:rsidR="004F47BB" w:rsidRPr="004F47BB" w:rsidRDefault="004F47BB" w:rsidP="004F47BB">
      <w:pPr>
        <w:tabs>
          <w:tab w:val="left" w:pos="5954"/>
          <w:tab w:val="left" w:pos="6379"/>
          <w:tab w:val="left" w:pos="6663"/>
        </w:tabs>
        <w:overflowPunct w:val="0"/>
        <w:adjustRightInd w:val="0"/>
        <w:ind w:left="0" w:firstLine="0"/>
        <w:jc w:val="left"/>
        <w:textAlignment w:val="baseline"/>
        <w:rPr>
          <w:szCs w:val="20"/>
          <w:lang w:val="en-US"/>
        </w:rPr>
      </w:pPr>
    </w:p>
    <w:p w:rsidR="004F47BB" w:rsidRPr="004F47BB" w:rsidRDefault="004F47BB" w:rsidP="004F47BB">
      <w:pPr>
        <w:tabs>
          <w:tab w:val="left" w:pos="1134"/>
          <w:tab w:val="left" w:pos="1418"/>
          <w:tab w:val="left" w:pos="5954"/>
          <w:tab w:val="left" w:pos="6379"/>
          <w:tab w:val="left" w:pos="6663"/>
        </w:tabs>
        <w:overflowPunct w:val="0"/>
        <w:adjustRightInd w:val="0"/>
        <w:spacing w:line="240" w:lineRule="atLeast"/>
        <w:ind w:left="567" w:hanging="567"/>
        <w:jc w:val="left"/>
        <w:textAlignment w:val="baseline"/>
        <w:rPr>
          <w:szCs w:val="20"/>
          <w:lang w:val="en-US"/>
        </w:rPr>
      </w:pPr>
      <w:r w:rsidRPr="004F47BB">
        <w:rPr>
          <w:szCs w:val="20"/>
          <w:lang w:val="en-US"/>
        </w:rPr>
        <w:t>4.4</w:t>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G</m:t>
            </m:r>
          </m:sub>
        </m:sSub>
        <m:r>
          <w:rPr>
            <w:rFonts w:ascii="Cambria Math" w:hAnsi="Cambria Math"/>
            <w:szCs w:val="20"/>
            <w:lang w:val="en-US"/>
          </w:rPr>
          <m:t xml:space="preserve">=i ∙D ∙ ρ ∙g ∙ </m:t>
        </m:r>
        <m:sSup>
          <m:sSupPr>
            <m:ctrlPr>
              <w:rPr>
                <w:rFonts w:ascii="Cambria Math" w:hAnsi="Cambria Math"/>
                <w:i/>
                <w:szCs w:val="20"/>
                <w:lang w:val="en-US"/>
              </w:rPr>
            </m:ctrlPr>
          </m:sSupPr>
          <m:e>
            <m:r>
              <w:rPr>
                <w:rFonts w:ascii="Cambria Math" w:hAnsi="Cambria Math"/>
                <w:szCs w:val="20"/>
                <w:lang w:val="en-US"/>
              </w:rPr>
              <m:t>10</m:t>
            </m:r>
          </m:e>
          <m:sup>
            <m:r>
              <w:rPr>
                <w:rFonts w:ascii="Cambria Math" w:hAnsi="Cambria Math"/>
                <w:szCs w:val="20"/>
                <w:lang w:val="en-US"/>
              </w:rPr>
              <m:t>-6</m:t>
            </m:r>
          </m:sup>
        </m:sSup>
      </m:oMath>
    </w:p>
    <w:p w:rsidR="004F47BB" w:rsidRPr="004F47BB" w:rsidRDefault="004F47BB" w:rsidP="004F47BB">
      <w:pPr>
        <w:tabs>
          <w:tab w:val="left" w:pos="5954"/>
          <w:tab w:val="left" w:pos="6379"/>
          <w:tab w:val="left" w:pos="6663"/>
        </w:tabs>
        <w:overflowPunct w:val="0"/>
        <w:adjustRightInd w:val="0"/>
        <w:spacing w:line="240" w:lineRule="atLeast"/>
        <w:ind w:left="0" w:firstLine="0"/>
        <w:jc w:val="left"/>
        <w:textAlignment w:val="baseline"/>
        <w:rPr>
          <w:szCs w:val="20"/>
          <w:lang w:val="en-US"/>
        </w:rPr>
      </w:pPr>
    </w:p>
    <w:p w:rsidR="004F47BB" w:rsidRPr="004F47BB" w:rsidRDefault="004F47BB" w:rsidP="004F47BB">
      <w:pPr>
        <w:tabs>
          <w:tab w:val="left" w:pos="1134"/>
          <w:tab w:val="left" w:pos="1418"/>
          <w:tab w:val="left" w:pos="5954"/>
          <w:tab w:val="left" w:pos="6379"/>
        </w:tabs>
        <w:overflowPunct w:val="0"/>
        <w:adjustRightInd w:val="0"/>
        <w:spacing w:line="240" w:lineRule="atLeast"/>
        <w:ind w:left="567" w:hanging="567"/>
        <w:jc w:val="left"/>
        <w:textAlignment w:val="baseline"/>
        <w:rPr>
          <w:szCs w:val="20"/>
          <w:lang w:val="en-US"/>
        </w:rPr>
      </w:pPr>
      <w:r w:rsidRPr="004F47BB">
        <w:rPr>
          <w:szCs w:val="20"/>
          <w:lang w:val="en-US"/>
        </w:rPr>
        <w:t>4.5</w:t>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v</m:t>
            </m:r>
          </m:e>
          <m:sub>
            <m:r>
              <w:rPr>
                <w:rFonts w:ascii="Cambria Math" w:hAnsi="Cambria Math"/>
                <w:szCs w:val="20"/>
                <w:lang w:val="en-US"/>
              </w:rPr>
              <m:t>II</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6</m:t>
            </m:r>
          </m:sub>
        </m:sSub>
        <m:r>
          <w:rPr>
            <w:rFonts w:ascii="Cambria Math" w:hAnsi="Cambria Math"/>
            <w:szCs w:val="20"/>
            <w:lang w:val="en-US"/>
          </w:rPr>
          <m:t xml:space="preserve"> ∙ </m:t>
        </m:r>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v</m:t>
                </m:r>
              </m:e>
              <m:sub>
                <m:r>
                  <w:rPr>
                    <w:rFonts w:ascii="Cambria Math" w:hAnsi="Cambria Math"/>
                    <w:szCs w:val="20"/>
                    <w:lang w:val="en-US"/>
                  </w:rPr>
                  <m:t>L</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v</m:t>
                </m:r>
              </m:e>
              <m:sub>
                <m:r>
                  <w:rPr>
                    <w:rFonts w:ascii="Cambria Math" w:hAnsi="Cambria Math"/>
                    <w:szCs w:val="20"/>
                    <w:lang w:val="en-US"/>
                  </w:rPr>
                  <m:t>STR</m:t>
                </m:r>
              </m:sub>
            </m:sSub>
          </m:e>
        </m:d>
      </m:oMath>
      <w:r w:rsidRPr="004F47BB">
        <w:rPr>
          <w:szCs w:val="20"/>
          <w:lang w:val="en-US"/>
        </w:rPr>
        <w:tab/>
        <w:t>-</w:t>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6</m:t>
            </m:r>
          </m:sub>
        </m:sSub>
      </m:oMath>
      <w:r w:rsidRPr="004F47BB">
        <w:rPr>
          <w:szCs w:val="20"/>
          <w:lang w:val="en-US"/>
        </w:rPr>
        <w:t xml:space="preserve"> according to table 1</w:t>
      </w:r>
    </w:p>
    <w:p w:rsidR="004F47BB" w:rsidRPr="004F47BB" w:rsidRDefault="004F47BB" w:rsidP="004F47BB">
      <w:pPr>
        <w:tabs>
          <w:tab w:val="left" w:pos="426"/>
          <w:tab w:val="left" w:pos="5954"/>
          <w:tab w:val="left" w:pos="6379"/>
          <w:tab w:val="left" w:pos="6663"/>
        </w:tabs>
        <w:overflowPunct w:val="0"/>
        <w:adjustRightInd w:val="0"/>
        <w:spacing w:line="240" w:lineRule="atLeast"/>
        <w:ind w:left="426" w:hanging="426"/>
        <w:jc w:val="left"/>
        <w:textAlignment w:val="baseline"/>
        <w:rPr>
          <w:szCs w:val="20"/>
          <w:lang w:val="en-US"/>
        </w:rPr>
      </w:pPr>
    </w:p>
    <w:p w:rsidR="004F47BB" w:rsidRPr="004F47BB" w:rsidRDefault="004F47BB" w:rsidP="004F47BB">
      <w:pPr>
        <w:tabs>
          <w:tab w:val="left" w:pos="1134"/>
          <w:tab w:val="left" w:pos="1418"/>
          <w:tab w:val="left" w:pos="5954"/>
          <w:tab w:val="left" w:pos="6379"/>
        </w:tabs>
        <w:overflowPunct w:val="0"/>
        <w:adjustRightInd w:val="0"/>
        <w:spacing w:line="240" w:lineRule="atLeast"/>
        <w:ind w:left="567" w:hanging="567"/>
        <w:jc w:val="left"/>
        <w:textAlignment w:val="baseline"/>
        <w:rPr>
          <w:szCs w:val="20"/>
          <w:lang w:val="en-US"/>
        </w:rPr>
      </w:pPr>
      <w:r w:rsidRPr="004F47BB">
        <w:rPr>
          <w:szCs w:val="20"/>
          <w:lang w:val="en-US"/>
        </w:rPr>
        <w:t>4.6</w:t>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F</m:t>
            </m:r>
          </m:e>
          <m:sub>
            <m:r>
              <w:rPr>
                <w:rFonts w:ascii="Cambria Math" w:hAnsi="Cambria Math"/>
                <w:szCs w:val="20"/>
                <w:lang w:val="en-US"/>
              </w:rPr>
              <m:t>POR</m:t>
            </m:r>
          </m:sub>
        </m:sSub>
        <m:r>
          <w:rPr>
            <w:rFonts w:ascii="Cambria Math" w:hAnsi="Cambria Math"/>
            <w:szCs w:val="20"/>
            <w:lang w:val="en-US"/>
          </w:rPr>
          <m:t xml:space="preserve">=f ∙ </m:t>
        </m:r>
        <m:sSub>
          <m:sSubPr>
            <m:ctrlPr>
              <w:rPr>
                <w:rFonts w:ascii="Cambria Math" w:hAnsi="Cambria Math"/>
                <w:i/>
                <w:szCs w:val="20"/>
                <w:lang w:val="en-US"/>
              </w:rPr>
            </m:ctrlPr>
          </m:sSubPr>
          <m:e>
            <m:r>
              <w:rPr>
                <w:rFonts w:ascii="Cambria Math" w:hAnsi="Cambria Math"/>
                <w:szCs w:val="20"/>
                <w:lang w:val="en-US"/>
              </w:rPr>
              <m:t>P</m:t>
            </m:r>
          </m:e>
          <m:sub>
            <m:r>
              <w:rPr>
                <w:rFonts w:ascii="Cambria Math" w:hAnsi="Cambria Math"/>
                <w:szCs w:val="20"/>
                <w:lang w:val="en-US"/>
              </w:rPr>
              <m:t>B</m:t>
            </m:r>
          </m:sub>
        </m:sSub>
      </m:oMath>
      <w:r w:rsidRPr="004F47BB">
        <w:rPr>
          <w:szCs w:val="20"/>
          <w:vertAlign w:val="subscript"/>
          <w:lang w:val="en-US"/>
        </w:rPr>
        <w:tab/>
      </w:r>
      <w:r w:rsidRPr="004F47BB">
        <w:rPr>
          <w:szCs w:val="20"/>
          <w:lang w:val="en-US"/>
        </w:rPr>
        <w:t>-</w:t>
      </w:r>
      <w:r w:rsidRPr="004F47BB">
        <w:rPr>
          <w:szCs w:val="20"/>
          <w:lang w:val="en-US"/>
        </w:rPr>
        <w:tab/>
      </w:r>
      <m:oMath>
        <m:r>
          <w:rPr>
            <w:rFonts w:ascii="Cambria Math" w:hAnsi="Cambria Math"/>
            <w:szCs w:val="20"/>
            <w:lang w:val="en-US"/>
          </w:rPr>
          <m:t>f</m:t>
        </m:r>
      </m:oMath>
      <w:r w:rsidRPr="004F47BB">
        <w:rPr>
          <w:szCs w:val="20"/>
          <w:lang w:val="en-US"/>
        </w:rPr>
        <w:t xml:space="preserve"> according to table 2</w:t>
      </w:r>
    </w:p>
    <w:p w:rsidR="004F47BB" w:rsidRPr="004F47BB" w:rsidRDefault="004F47BB" w:rsidP="004F47BB">
      <w:pPr>
        <w:tabs>
          <w:tab w:val="left" w:pos="5954"/>
          <w:tab w:val="left" w:pos="6379"/>
          <w:tab w:val="left" w:pos="6663"/>
        </w:tabs>
        <w:overflowPunct w:val="0"/>
        <w:adjustRightInd w:val="0"/>
        <w:spacing w:line="240" w:lineRule="atLeast"/>
        <w:ind w:left="0" w:firstLine="0"/>
        <w:jc w:val="left"/>
        <w:textAlignment w:val="baseline"/>
        <w:rPr>
          <w:szCs w:val="20"/>
          <w:lang w:val="en-US"/>
        </w:rPr>
      </w:pPr>
    </w:p>
    <w:p w:rsidR="004F47BB" w:rsidRPr="004F47BB" w:rsidRDefault="004F47BB" w:rsidP="004F47BB">
      <w:pPr>
        <w:tabs>
          <w:tab w:val="left" w:pos="5954"/>
          <w:tab w:val="left" w:pos="6379"/>
        </w:tabs>
        <w:overflowPunct w:val="0"/>
        <w:adjustRightInd w:val="0"/>
        <w:spacing w:line="240" w:lineRule="atLeast"/>
        <w:ind w:left="567" w:hanging="567"/>
        <w:jc w:val="left"/>
        <w:textAlignment w:val="baseline"/>
        <w:rPr>
          <w:szCs w:val="20"/>
          <w:lang w:val="en-US"/>
        </w:rPr>
      </w:pPr>
      <w:r w:rsidRPr="004F47BB">
        <w:rPr>
          <w:szCs w:val="20"/>
          <w:lang w:val="en-US"/>
        </w:rPr>
        <w:t>4.7</w:t>
      </w:r>
      <w:r w:rsidRPr="004F47BB">
        <w:rPr>
          <w:szCs w:val="20"/>
          <w:lang w:val="en-US"/>
        </w:rPr>
        <w:tab/>
      </w:r>
      <m:oMath>
        <m:sSub>
          <m:sSubPr>
            <m:ctrlPr>
              <w:rPr>
                <w:rFonts w:ascii="Cambria Math" w:hAnsi="Cambria Math"/>
                <w:i/>
                <w:sz w:val="22"/>
                <w:szCs w:val="20"/>
                <w:lang w:val="en-US"/>
              </w:rPr>
            </m:ctrlPr>
          </m:sSubPr>
          <m:e>
            <m:r>
              <w:rPr>
                <w:rFonts w:ascii="Cambria Math" w:hAnsi="Cambria Math"/>
                <w:sz w:val="22"/>
                <w:szCs w:val="20"/>
                <w:lang w:val="en-US"/>
              </w:rPr>
              <m:t>t</m:t>
            </m:r>
          </m:e>
          <m:sub>
            <m:r>
              <w:rPr>
                <w:rFonts w:ascii="Cambria Math" w:hAnsi="Cambria Math"/>
                <w:sz w:val="22"/>
                <w:szCs w:val="20"/>
                <w:lang w:val="en-US"/>
              </w:rPr>
              <m:t>II</m:t>
            </m:r>
          </m:sub>
        </m:sSub>
        <m:r>
          <w:rPr>
            <w:rFonts w:ascii="Cambria Math" w:hAnsi="Cambria Math"/>
            <w:sz w:val="22"/>
            <w:szCs w:val="20"/>
            <w:lang w:val="en-US"/>
          </w:rPr>
          <m:t xml:space="preserve">= </m:t>
        </m:r>
        <m:f>
          <m:fPr>
            <m:ctrlPr>
              <w:rPr>
                <w:rFonts w:ascii="Cambria Math" w:hAnsi="Cambria Math"/>
                <w:i/>
                <w:sz w:val="22"/>
                <w:szCs w:val="20"/>
                <w:lang w:val="en-US"/>
              </w:rPr>
            </m:ctrlPr>
          </m:fPr>
          <m:num>
            <m:sSub>
              <m:sSubPr>
                <m:ctrlPr>
                  <w:rPr>
                    <w:rFonts w:ascii="Cambria Math" w:hAnsi="Cambria Math"/>
                    <w:i/>
                    <w:sz w:val="22"/>
                    <w:szCs w:val="20"/>
                    <w:lang w:val="en-US"/>
                  </w:rPr>
                </m:ctrlPr>
              </m:sSubPr>
              <m:e>
                <m:r>
                  <w:rPr>
                    <w:rFonts w:ascii="Cambria Math" w:hAnsi="Cambria Math"/>
                    <w:sz w:val="22"/>
                    <w:szCs w:val="20"/>
                    <w:lang w:val="en-US"/>
                  </w:rPr>
                  <m:t>s</m:t>
                </m:r>
              </m:e>
              <m:sub>
                <m:r>
                  <w:rPr>
                    <w:rFonts w:ascii="Cambria Math" w:hAnsi="Cambria Math"/>
                    <w:sz w:val="22"/>
                    <w:szCs w:val="20"/>
                    <w:lang w:val="en-US"/>
                  </w:rPr>
                  <m:t>II</m:t>
                </m:r>
              </m:sub>
            </m:sSub>
          </m:num>
          <m:den>
            <m:sSub>
              <m:sSubPr>
                <m:ctrlPr>
                  <w:rPr>
                    <w:rFonts w:ascii="Cambria Math" w:hAnsi="Cambria Math"/>
                    <w:i/>
                    <w:sz w:val="22"/>
                    <w:szCs w:val="20"/>
                    <w:lang w:val="en-US"/>
                  </w:rPr>
                </m:ctrlPr>
              </m:sSubPr>
              <m:e>
                <m:r>
                  <w:rPr>
                    <w:rFonts w:ascii="Cambria Math" w:hAnsi="Cambria Math"/>
                    <w:sz w:val="22"/>
                    <w:szCs w:val="20"/>
                    <w:lang w:val="en-US"/>
                  </w:rPr>
                  <m:t>v</m:t>
                </m:r>
              </m:e>
              <m:sub>
                <m:r>
                  <w:rPr>
                    <w:rFonts w:ascii="Cambria Math" w:hAnsi="Cambria Math"/>
                    <w:sz w:val="22"/>
                    <w:szCs w:val="20"/>
                    <w:lang w:val="en-US"/>
                  </w:rPr>
                  <m:t>II</m:t>
                </m:r>
              </m:sub>
            </m:sSub>
            <m:r>
              <w:rPr>
                <w:rFonts w:ascii="Cambria Math" w:hAnsi="Cambria Math"/>
                <w:sz w:val="22"/>
                <w:szCs w:val="20"/>
                <w:lang w:val="en-US"/>
              </w:rPr>
              <m:t xml:space="preserve"> ∙ </m:t>
            </m:r>
            <m:d>
              <m:dPr>
                <m:ctrlPr>
                  <w:rPr>
                    <w:rFonts w:ascii="Cambria Math" w:hAnsi="Cambria Math"/>
                    <w:i/>
                    <w:sz w:val="22"/>
                    <w:szCs w:val="20"/>
                    <w:lang w:val="en-US"/>
                  </w:rPr>
                </m:ctrlPr>
              </m:dPr>
              <m:e>
                <m:sSub>
                  <m:sSubPr>
                    <m:ctrlPr>
                      <w:rPr>
                        <w:rFonts w:ascii="Cambria Math" w:hAnsi="Cambria Math"/>
                        <w:i/>
                        <w:sz w:val="22"/>
                        <w:szCs w:val="20"/>
                        <w:lang w:val="en-US"/>
                      </w:rPr>
                    </m:ctrlPr>
                  </m:sSubPr>
                  <m:e>
                    <m:r>
                      <w:rPr>
                        <w:rFonts w:ascii="Cambria Math" w:hAnsi="Cambria Math"/>
                        <w:sz w:val="22"/>
                        <w:szCs w:val="20"/>
                        <w:lang w:val="en-US"/>
                      </w:rPr>
                      <m:t>k</m:t>
                    </m:r>
                  </m:e>
                  <m:sub>
                    <m:r>
                      <w:rPr>
                        <w:rFonts w:ascii="Cambria Math" w:hAnsi="Cambria Math"/>
                        <w:sz w:val="22"/>
                        <w:szCs w:val="20"/>
                        <w:lang w:val="en-US"/>
                      </w:rPr>
                      <m:t>4</m:t>
                    </m:r>
                  </m:sub>
                </m:sSub>
                <m:r>
                  <w:rPr>
                    <w:rFonts w:ascii="Cambria Math" w:hAnsi="Cambria Math"/>
                    <w:sz w:val="22"/>
                    <w:szCs w:val="20"/>
                    <w:lang w:val="en-US"/>
                  </w:rPr>
                  <m:t xml:space="preserve">+ </m:t>
                </m:r>
                <m:f>
                  <m:fPr>
                    <m:ctrlPr>
                      <w:rPr>
                        <w:rFonts w:ascii="Cambria Math" w:hAnsi="Cambria Math"/>
                        <w:i/>
                        <w:sz w:val="22"/>
                        <w:szCs w:val="20"/>
                        <w:lang w:val="en-US"/>
                      </w:rPr>
                    </m:ctrlPr>
                  </m:fPr>
                  <m:num>
                    <m:sSub>
                      <m:sSubPr>
                        <m:ctrlPr>
                          <w:rPr>
                            <w:rFonts w:ascii="Cambria Math" w:hAnsi="Cambria Math"/>
                            <w:i/>
                            <w:sz w:val="22"/>
                            <w:szCs w:val="20"/>
                            <w:lang w:val="en-US"/>
                          </w:rPr>
                        </m:ctrlPr>
                      </m:sSubPr>
                      <m:e>
                        <m:r>
                          <w:rPr>
                            <w:rFonts w:ascii="Cambria Math" w:hAnsi="Cambria Math"/>
                            <w:sz w:val="22"/>
                            <w:szCs w:val="20"/>
                            <w:lang w:val="en-US"/>
                          </w:rPr>
                          <m:t>v</m:t>
                        </m:r>
                      </m:e>
                      <m:sub>
                        <m:r>
                          <w:rPr>
                            <w:rFonts w:ascii="Cambria Math" w:hAnsi="Cambria Math"/>
                            <w:sz w:val="22"/>
                            <w:szCs w:val="20"/>
                            <w:lang w:val="en-US"/>
                          </w:rPr>
                          <m:t>STR</m:t>
                        </m:r>
                      </m:sub>
                    </m:sSub>
                  </m:num>
                  <m:den>
                    <m:sSub>
                      <m:sSubPr>
                        <m:ctrlPr>
                          <w:rPr>
                            <w:rFonts w:ascii="Cambria Math" w:hAnsi="Cambria Math"/>
                            <w:i/>
                            <w:sz w:val="22"/>
                            <w:szCs w:val="20"/>
                            <w:lang w:val="en-US"/>
                          </w:rPr>
                        </m:ctrlPr>
                      </m:sSubPr>
                      <m:e>
                        <m:r>
                          <w:rPr>
                            <w:rFonts w:ascii="Cambria Math" w:hAnsi="Cambria Math"/>
                            <w:sz w:val="22"/>
                            <w:szCs w:val="20"/>
                            <w:lang w:val="en-US"/>
                          </w:rPr>
                          <m:t>v</m:t>
                        </m:r>
                      </m:e>
                      <m:sub>
                        <m:r>
                          <w:rPr>
                            <w:rFonts w:ascii="Cambria Math" w:hAnsi="Cambria Math"/>
                            <w:sz w:val="22"/>
                            <w:szCs w:val="20"/>
                            <w:lang w:val="en-US"/>
                          </w:rPr>
                          <m:t>II</m:t>
                        </m:r>
                      </m:sub>
                    </m:sSub>
                  </m:den>
                </m:f>
              </m:e>
            </m:d>
          </m:den>
        </m:f>
      </m:oMath>
      <w:r w:rsidRPr="004F47BB">
        <w:rPr>
          <w:position w:val="6"/>
          <w:szCs w:val="20"/>
          <w:lang w:val="en-US"/>
        </w:rPr>
        <w:tab/>
      </w:r>
      <w:r w:rsidRPr="004F47BB">
        <w:rPr>
          <w:szCs w:val="20"/>
          <w:lang w:val="en-US"/>
        </w:rPr>
        <w:t>-</w:t>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4</m:t>
            </m:r>
          </m:sub>
        </m:sSub>
      </m:oMath>
      <w:r w:rsidRPr="004F47BB">
        <w:rPr>
          <w:szCs w:val="20"/>
          <w:lang w:val="en-US"/>
        </w:rPr>
        <w:t xml:space="preserve"> according to table 1</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r w:rsidRPr="004F47BB">
        <w:rPr>
          <w:szCs w:val="20"/>
          <w:lang w:val="en-US"/>
        </w:rPr>
        <w:br w:type="page"/>
      </w:r>
    </w:p>
    <w:p w:rsidR="004F47BB" w:rsidRPr="004F47BB" w:rsidRDefault="004F47BB" w:rsidP="004F47BB">
      <w:pPr>
        <w:overflowPunct w:val="0"/>
        <w:adjustRightInd w:val="0"/>
        <w:ind w:left="0" w:firstLine="0"/>
        <w:jc w:val="left"/>
        <w:textAlignment w:val="baseline"/>
        <w:rPr>
          <w:szCs w:val="20"/>
          <w:lang w:val="en-US"/>
        </w:rPr>
      </w:pPr>
      <w:r w:rsidRPr="004F47BB">
        <w:rPr>
          <w:szCs w:val="20"/>
          <w:lang w:val="en-US"/>
        </w:rPr>
        <w:lastRenderedPageBreak/>
        <w:t>In formulae 4.1 to 4.7:</w:t>
      </w:r>
    </w:p>
    <w:p w:rsidR="004F47BB" w:rsidRPr="004F47BB" w:rsidRDefault="004F47BB" w:rsidP="004F47BB">
      <w:pPr>
        <w:overflowPunct w:val="0"/>
        <w:adjustRightInd w:val="0"/>
        <w:ind w:left="0" w:firstLine="0"/>
        <w:jc w:val="left"/>
        <w:textAlignment w:val="baseline"/>
        <w:rPr>
          <w:szCs w:val="20"/>
          <w:lang w:val="en-US"/>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21"/>
        <w:gridCol w:w="6521"/>
        <w:gridCol w:w="1021"/>
      </w:tblGrid>
      <w:tr w:rsidR="004F47BB" w:rsidRPr="004F47BB" w:rsidTr="00D45887">
        <w:trPr>
          <w:jc w:val="center"/>
        </w:trPr>
        <w:tc>
          <w:tcPr>
            <w:tcW w:w="1021" w:type="dxa"/>
            <w:tcBorders>
              <w:top w:val="nil"/>
              <w:left w:val="nil"/>
              <w:bottom w:val="nil"/>
              <w:right w:val="nil"/>
            </w:tcBorders>
          </w:tcPr>
          <w:p w:rsidR="004F47BB" w:rsidRPr="004F47BB" w:rsidRDefault="00F12BAF" w:rsidP="004F47BB">
            <w:pPr>
              <w:overflowPunct w:val="0"/>
              <w:adjustRightInd w:val="0"/>
              <w:spacing w:before="120" w:after="120"/>
              <w:ind w:left="113" w:right="113" w:firstLine="0"/>
              <w:jc w:val="left"/>
              <w:textAlignment w:val="baseline"/>
              <w:rPr>
                <w:szCs w:val="20"/>
              </w:rPr>
            </w:pPr>
            <m:oMathPara>
              <m:oMath>
                <m:sSub>
                  <m:sSubPr>
                    <m:ctrlPr>
                      <w:rPr>
                        <w:rFonts w:ascii="Cambria Math" w:hAnsi="Cambria Math"/>
                        <w:i/>
                        <w:szCs w:val="20"/>
                      </w:rPr>
                    </m:ctrlPr>
                  </m:sSubPr>
                  <m:e>
                    <m:r>
                      <w:rPr>
                        <w:rFonts w:ascii="Cambria Math" w:hAnsi="Cambria Math"/>
                        <w:szCs w:val="20"/>
                      </w:rPr>
                      <m:t>v</m:t>
                    </m:r>
                  </m:e>
                  <m:sub>
                    <m:r>
                      <w:rPr>
                        <w:rFonts w:ascii="Cambria Math" w:hAnsi="Cambria Math"/>
                        <w:szCs w:val="20"/>
                      </w:rPr>
                      <m:t>L</m:t>
                    </m:r>
                  </m:sub>
                </m:sSub>
              </m:oMath>
            </m:oMathPara>
          </w:p>
        </w:tc>
        <w:tc>
          <w:tcPr>
            <w:tcW w:w="65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Speed in relation to the ground at the start of reversal</w:t>
            </w:r>
          </w:p>
        </w:tc>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w:r w:rsidRPr="004F47BB">
              <w:rPr>
                <w:szCs w:val="20"/>
              </w:rPr>
              <w:t>(m/s)</w:t>
            </w:r>
          </w:p>
        </w:tc>
      </w:tr>
      <w:tr w:rsidR="004F47BB" w:rsidRPr="004F47BB" w:rsidTr="00D45887">
        <w:trPr>
          <w:jc w:val="center"/>
        </w:trPr>
        <w:tc>
          <w:tcPr>
            <w:tcW w:w="1021" w:type="dxa"/>
            <w:tcBorders>
              <w:top w:val="nil"/>
              <w:left w:val="nil"/>
              <w:bottom w:val="nil"/>
              <w:right w:val="nil"/>
            </w:tcBorders>
          </w:tcPr>
          <w:p w:rsidR="004F47BB" w:rsidRPr="004F47BB" w:rsidRDefault="00F12BAF" w:rsidP="004F47BB">
            <w:pPr>
              <w:overflowPunct w:val="0"/>
              <w:adjustRightInd w:val="0"/>
              <w:spacing w:before="120" w:after="120"/>
              <w:ind w:left="113" w:right="113" w:firstLine="0"/>
              <w:jc w:val="left"/>
              <w:textAlignment w:val="baseline"/>
              <w:rPr>
                <w:szCs w:val="20"/>
              </w:rPr>
            </w:pPr>
            <m:oMathPara>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oMath>
            </m:oMathPara>
          </w:p>
        </w:tc>
        <w:tc>
          <w:tcPr>
            <w:tcW w:w="65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w:r w:rsidRPr="004F47BB">
              <w:rPr>
                <w:szCs w:val="20"/>
              </w:rPr>
              <w:t>Reversal time</w:t>
            </w:r>
          </w:p>
        </w:tc>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w:r w:rsidRPr="004F47BB">
              <w:rPr>
                <w:szCs w:val="20"/>
              </w:rPr>
              <w:t>(s)</w:t>
            </w:r>
          </w:p>
        </w:tc>
      </w:tr>
      <w:tr w:rsidR="004F47BB" w:rsidRPr="004F47BB" w:rsidTr="00D45887">
        <w:trPr>
          <w:jc w:val="center"/>
        </w:trPr>
        <w:tc>
          <w:tcPr>
            <w:tcW w:w="1021" w:type="dxa"/>
            <w:tcBorders>
              <w:top w:val="nil"/>
              <w:left w:val="nil"/>
              <w:bottom w:val="nil"/>
              <w:right w:val="nil"/>
            </w:tcBorders>
          </w:tcPr>
          <w:p w:rsidR="004F47BB" w:rsidRPr="004F47BB" w:rsidRDefault="00F12BAF" w:rsidP="004F47BB">
            <w:pPr>
              <w:overflowPunct w:val="0"/>
              <w:adjustRightInd w:val="0"/>
              <w:spacing w:before="120" w:after="120"/>
              <w:ind w:left="113" w:right="113" w:firstLine="0"/>
              <w:jc w:val="left"/>
              <w:textAlignment w:val="baseline"/>
              <w:rPr>
                <w:szCs w:val="20"/>
              </w:rPr>
            </w:pPr>
            <m:oMathPara>
              <m:oMath>
                <m:sSub>
                  <m:sSubPr>
                    <m:ctrlPr>
                      <w:rPr>
                        <w:rFonts w:ascii="Cambria Math" w:hAnsi="Cambria Math"/>
                        <w:i/>
                        <w:szCs w:val="20"/>
                      </w:rPr>
                    </m:ctrlPr>
                  </m:sSubPr>
                  <m:e>
                    <m:r>
                      <w:rPr>
                        <w:rFonts w:ascii="Cambria Math" w:hAnsi="Cambria Math"/>
                        <w:szCs w:val="20"/>
                      </w:rPr>
                      <m:t>v</m:t>
                    </m:r>
                  </m:e>
                  <m:sub>
                    <m:r>
                      <w:rPr>
                        <w:rFonts w:ascii="Cambria Math" w:hAnsi="Cambria Math"/>
                        <w:szCs w:val="20"/>
                      </w:rPr>
                      <m:t>II</m:t>
                    </m:r>
                  </m:sub>
                </m:sSub>
              </m:oMath>
            </m:oMathPara>
          </w:p>
        </w:tc>
        <w:tc>
          <w:tcPr>
            <w:tcW w:w="65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Speed in relation to the water at the end of reversal</w:t>
            </w:r>
          </w:p>
        </w:tc>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w:r w:rsidRPr="004F47BB">
              <w:rPr>
                <w:szCs w:val="20"/>
              </w:rPr>
              <w:t>(m/s)</w:t>
            </w:r>
          </w:p>
        </w:tc>
      </w:tr>
      <w:tr w:rsidR="004F47BB" w:rsidRPr="004F47BB" w:rsidTr="00D45887">
        <w:trPr>
          <w:jc w:val="center"/>
        </w:trPr>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m:oMathPara>
              <m:oMath>
                <m:r>
                  <w:rPr>
                    <w:rFonts w:ascii="Cambria Math" w:hAnsi="Cambria Math"/>
                    <w:szCs w:val="20"/>
                  </w:rPr>
                  <m:t>D</m:t>
                </m:r>
              </m:oMath>
            </m:oMathPara>
          </w:p>
        </w:tc>
        <w:tc>
          <w:tcPr>
            <w:tcW w:w="65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w:r w:rsidRPr="004F47BB">
              <w:rPr>
                <w:szCs w:val="20"/>
              </w:rPr>
              <w:t>Displacement</w:t>
            </w:r>
          </w:p>
        </w:tc>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w:r w:rsidRPr="004F47BB">
              <w:rPr>
                <w:szCs w:val="20"/>
              </w:rPr>
              <w:t>(m</w:t>
            </w:r>
            <w:r w:rsidRPr="004F47BB">
              <w:rPr>
                <w:position w:val="6"/>
                <w:sz w:val="16"/>
                <w:szCs w:val="20"/>
              </w:rPr>
              <w:t>3</w:t>
            </w:r>
            <w:r w:rsidRPr="004F47BB">
              <w:rPr>
                <w:szCs w:val="20"/>
              </w:rPr>
              <w:t>)</w:t>
            </w:r>
          </w:p>
        </w:tc>
      </w:tr>
      <w:tr w:rsidR="004F47BB" w:rsidRPr="004F47BB" w:rsidTr="00D45887">
        <w:trPr>
          <w:jc w:val="center"/>
        </w:trPr>
        <w:tc>
          <w:tcPr>
            <w:tcW w:w="1021" w:type="dxa"/>
            <w:tcBorders>
              <w:top w:val="nil"/>
              <w:left w:val="nil"/>
              <w:bottom w:val="nil"/>
              <w:right w:val="nil"/>
            </w:tcBorders>
          </w:tcPr>
          <w:p w:rsidR="004F47BB" w:rsidRPr="004F47BB" w:rsidRDefault="00F12BAF" w:rsidP="004F47BB">
            <w:pPr>
              <w:overflowPunct w:val="0"/>
              <w:adjustRightInd w:val="0"/>
              <w:spacing w:before="120" w:after="120"/>
              <w:ind w:left="113" w:right="113" w:firstLine="0"/>
              <w:jc w:val="left"/>
              <w:textAlignment w:val="baseline"/>
              <w:rPr>
                <w:szCs w:val="20"/>
              </w:rPr>
            </w:pPr>
            <m:oMathPara>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oMath>
            </m:oMathPara>
          </w:p>
        </w:tc>
        <w:tc>
          <w:tcPr>
            <w:tcW w:w="65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Bollard pull in reverse</w:t>
            </w:r>
          </w:p>
        </w:tc>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w:r w:rsidRPr="004F47BB">
              <w:rPr>
                <w:szCs w:val="20"/>
              </w:rPr>
              <w:t>(kN)</w:t>
            </w:r>
          </w:p>
        </w:tc>
      </w:tr>
      <w:tr w:rsidR="004F47BB" w:rsidRPr="004F47BB" w:rsidTr="00D45887">
        <w:trPr>
          <w:jc w:val="center"/>
        </w:trPr>
        <w:tc>
          <w:tcPr>
            <w:tcW w:w="1021" w:type="dxa"/>
            <w:tcBorders>
              <w:top w:val="nil"/>
              <w:left w:val="nil"/>
              <w:bottom w:val="nil"/>
              <w:right w:val="nil"/>
            </w:tcBorders>
          </w:tcPr>
          <w:p w:rsidR="004F47BB" w:rsidRPr="004F47BB" w:rsidRDefault="00F12BAF" w:rsidP="004F47BB">
            <w:pPr>
              <w:overflowPunct w:val="0"/>
              <w:adjustRightInd w:val="0"/>
              <w:spacing w:before="120" w:after="120"/>
              <w:ind w:left="113" w:right="113" w:firstLine="0"/>
              <w:jc w:val="left"/>
              <w:textAlignment w:val="baseline"/>
              <w:rPr>
                <w:szCs w:val="20"/>
              </w:rPr>
            </w:pPr>
            <m:oMathPara>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B</m:t>
                    </m:r>
                  </m:sub>
                </m:sSub>
              </m:oMath>
            </m:oMathPara>
          </w:p>
        </w:tc>
        <w:tc>
          <w:tcPr>
            <w:tcW w:w="65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Power of propulsion engine</w:t>
            </w:r>
          </w:p>
        </w:tc>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w:r w:rsidRPr="004F47BB">
              <w:rPr>
                <w:szCs w:val="20"/>
              </w:rPr>
              <w:t>(kW)</w:t>
            </w:r>
          </w:p>
        </w:tc>
      </w:tr>
      <w:tr w:rsidR="004F47BB" w:rsidRPr="004F47BB" w:rsidTr="00D45887">
        <w:trPr>
          <w:jc w:val="center"/>
        </w:trPr>
        <w:tc>
          <w:tcPr>
            <w:tcW w:w="1021" w:type="dxa"/>
            <w:tcBorders>
              <w:top w:val="nil"/>
              <w:left w:val="nil"/>
              <w:bottom w:val="nil"/>
              <w:right w:val="nil"/>
            </w:tcBorders>
          </w:tcPr>
          <w:p w:rsidR="004F47BB" w:rsidRPr="004F47BB" w:rsidRDefault="00F12BAF" w:rsidP="004F47BB">
            <w:pPr>
              <w:overflowPunct w:val="0"/>
              <w:adjustRightInd w:val="0"/>
              <w:spacing w:before="120" w:after="120"/>
              <w:ind w:left="113" w:right="113" w:firstLine="0"/>
              <w:jc w:val="left"/>
              <w:textAlignment w:val="baseline"/>
              <w:rPr>
                <w:szCs w:val="20"/>
              </w:rPr>
            </w:pPr>
            <m:oMathPara>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TmII</m:t>
                    </m:r>
                  </m:sub>
                </m:sSub>
              </m:oMath>
            </m:oMathPara>
          </w:p>
        </w:tc>
        <w:tc>
          <w:tcPr>
            <w:tcW w:w="65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Average resistance during phase II</w:t>
            </w:r>
          </w:p>
        </w:tc>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(kN)</w:t>
            </w:r>
          </w:p>
        </w:tc>
      </w:tr>
      <w:tr w:rsidR="004F47BB" w:rsidRPr="004F47BB" w:rsidTr="00D45887">
        <w:trPr>
          <w:jc w:val="center"/>
        </w:trPr>
        <w:tc>
          <w:tcPr>
            <w:tcW w:w="1021" w:type="dxa"/>
            <w:tcBorders>
              <w:top w:val="nil"/>
              <w:left w:val="nil"/>
              <w:bottom w:val="nil"/>
              <w:right w:val="nil"/>
            </w:tcBorders>
          </w:tcPr>
          <w:p w:rsidR="004F47BB" w:rsidRPr="004F47BB" w:rsidRDefault="00F12BAF" w:rsidP="004F47BB">
            <w:pPr>
              <w:overflowPunct w:val="0"/>
              <w:adjustRightInd w:val="0"/>
              <w:spacing w:before="120" w:after="120"/>
              <w:ind w:left="113" w:right="113" w:firstLine="0"/>
              <w:jc w:val="left"/>
              <w:textAlignment w:val="baseline"/>
              <w:rPr>
                <w:szCs w:val="20"/>
                <w:lang w:val="en-US"/>
              </w:rPr>
            </w:pPr>
            <m:oMathPara>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G</m:t>
                    </m:r>
                  </m:sub>
                </m:sSub>
              </m:oMath>
            </m:oMathPara>
          </w:p>
        </w:tc>
        <w:tc>
          <w:tcPr>
            <w:tcW w:w="65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Gradient resistance</w:t>
            </w:r>
          </w:p>
        </w:tc>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(kN)</w:t>
            </w:r>
          </w:p>
        </w:tc>
      </w:tr>
      <w:tr w:rsidR="004F47BB" w:rsidRPr="004F47BB" w:rsidTr="00D45887">
        <w:trPr>
          <w:jc w:val="center"/>
        </w:trPr>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m:oMathPara>
              <m:oMath>
                <m:r>
                  <w:rPr>
                    <w:rFonts w:ascii="Cambria Math" w:hAnsi="Cambria Math"/>
                    <w:szCs w:val="20"/>
                  </w:rPr>
                  <m:t>i</m:t>
                </m:r>
              </m:oMath>
            </m:oMathPara>
          </w:p>
        </w:tc>
        <w:tc>
          <w:tcPr>
            <w:tcW w:w="65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Gradient in m/km (if missing to be taken as 0,16)</w:t>
            </w:r>
          </w:p>
        </w:tc>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(m/km)</w:t>
            </w:r>
          </w:p>
        </w:tc>
      </w:tr>
      <w:tr w:rsidR="004F47BB" w:rsidRPr="004F47BB" w:rsidTr="00D45887">
        <w:trPr>
          <w:jc w:val="center"/>
        </w:trPr>
        <w:tc>
          <w:tcPr>
            <w:tcW w:w="1021" w:type="dxa"/>
            <w:tcBorders>
              <w:top w:val="nil"/>
              <w:left w:val="nil"/>
              <w:bottom w:val="nil"/>
              <w:right w:val="nil"/>
            </w:tcBorders>
          </w:tcPr>
          <w:p w:rsidR="004F47BB" w:rsidRPr="004F47BB" w:rsidRDefault="00F12BAF" w:rsidP="004F47BB">
            <w:pPr>
              <w:overflowPunct w:val="0"/>
              <w:adjustRightInd w:val="0"/>
              <w:spacing w:before="120" w:after="120"/>
              <w:ind w:left="113" w:right="113" w:firstLine="0"/>
              <w:jc w:val="left"/>
              <w:textAlignment w:val="baseline"/>
              <w:rPr>
                <w:szCs w:val="20"/>
                <w:lang w:val="en-US"/>
              </w:rPr>
            </w:pPr>
            <m:oMathPara>
              <m:oMath>
                <m:sSub>
                  <m:sSubPr>
                    <m:ctrlPr>
                      <w:rPr>
                        <w:rFonts w:ascii="Cambria Math" w:hAnsi="Cambria Math"/>
                        <w:i/>
                        <w:szCs w:val="20"/>
                      </w:rPr>
                    </m:ctrlPr>
                  </m:sSubPr>
                  <m:e>
                    <m:r>
                      <w:rPr>
                        <w:rFonts w:ascii="Cambria Math" w:hAnsi="Cambria Math"/>
                        <w:szCs w:val="20"/>
                      </w:rPr>
                      <m:t>v</m:t>
                    </m:r>
                  </m:e>
                  <m:sub>
                    <m:r>
                      <w:rPr>
                        <w:rFonts w:ascii="Cambria Math" w:hAnsi="Cambria Math"/>
                        <w:szCs w:val="20"/>
                      </w:rPr>
                      <m:t>STR</m:t>
                    </m:r>
                  </m:sub>
                </m:sSub>
              </m:oMath>
            </m:oMathPara>
          </w:p>
        </w:tc>
        <w:tc>
          <w:tcPr>
            <w:tcW w:w="65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Average current velocity</w:t>
            </w:r>
          </w:p>
        </w:tc>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w:r w:rsidRPr="004F47BB">
              <w:rPr>
                <w:szCs w:val="20"/>
              </w:rPr>
              <w:t>(m/s)</w:t>
            </w:r>
          </w:p>
        </w:tc>
      </w:tr>
      <w:tr w:rsidR="004F47BB" w:rsidRPr="004F47BB" w:rsidTr="00D45887">
        <w:trPr>
          <w:jc w:val="center"/>
        </w:trPr>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m:oMathPara>
              <m:oMath>
                <m:r>
                  <w:rPr>
                    <w:rFonts w:ascii="Cambria Math" w:hAnsi="Cambria Math"/>
                    <w:szCs w:val="20"/>
                  </w:rPr>
                  <m:t>g</m:t>
                </m:r>
              </m:oMath>
            </m:oMathPara>
          </w:p>
        </w:tc>
        <w:tc>
          <w:tcPr>
            <w:tcW w:w="65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Acceleration due to gravity (9,81)</w:t>
            </w:r>
          </w:p>
        </w:tc>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w:r w:rsidRPr="004F47BB">
              <w:rPr>
                <w:szCs w:val="20"/>
              </w:rPr>
              <w:t>(m/s</w:t>
            </w:r>
            <w:r w:rsidRPr="004F47BB">
              <w:rPr>
                <w:szCs w:val="20"/>
                <w:vertAlign w:val="superscript"/>
              </w:rPr>
              <w:t>2</w:t>
            </w:r>
            <w:r w:rsidRPr="004F47BB">
              <w:rPr>
                <w:szCs w:val="20"/>
              </w:rPr>
              <w:t>)</w:t>
            </w:r>
          </w:p>
        </w:tc>
      </w:tr>
      <w:tr w:rsidR="004F47BB" w:rsidRPr="004F47BB" w:rsidTr="00D45887">
        <w:trPr>
          <w:jc w:val="center"/>
        </w:trPr>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m:oMathPara>
              <m:oMath>
                <m:r>
                  <w:rPr>
                    <w:rFonts w:ascii="Cambria Math" w:hAnsi="Cambria Math"/>
                    <w:szCs w:val="20"/>
                  </w:rPr>
                  <m:t>ρ</m:t>
                </m:r>
              </m:oMath>
            </m:oMathPara>
          </w:p>
        </w:tc>
        <w:tc>
          <w:tcPr>
            <w:tcW w:w="65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 xml:space="preserve">Density of water, </w:t>
            </w:r>
            <m:oMath>
              <m:r>
                <w:rPr>
                  <w:rFonts w:ascii="Cambria Math" w:hAnsi="Cambria Math"/>
                  <w:szCs w:val="20"/>
                </w:rPr>
                <m:t>ρ</m:t>
              </m:r>
            </m:oMath>
            <w:r w:rsidRPr="004F47BB">
              <w:rPr>
                <w:szCs w:val="20"/>
                <w:lang w:val="en-US"/>
              </w:rPr>
              <w:t xml:space="preserve"> fresh water = 1000</w:t>
            </w:r>
          </w:p>
        </w:tc>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de-DE"/>
              </w:rPr>
            </w:pPr>
            <w:r w:rsidRPr="004F47BB">
              <w:rPr>
                <w:szCs w:val="20"/>
                <w:lang w:val="de-DE"/>
              </w:rPr>
              <w:t>(kg/m</w:t>
            </w:r>
            <w:r w:rsidRPr="004F47BB">
              <w:rPr>
                <w:position w:val="6"/>
                <w:sz w:val="16"/>
                <w:szCs w:val="20"/>
                <w:lang w:val="de-DE"/>
              </w:rPr>
              <w:t>3</w:t>
            </w:r>
            <w:r w:rsidRPr="004F47BB">
              <w:rPr>
                <w:szCs w:val="20"/>
                <w:lang w:val="de-DE"/>
              </w:rPr>
              <w:t>)</w:t>
            </w:r>
          </w:p>
        </w:tc>
      </w:tr>
      <w:tr w:rsidR="004F47BB" w:rsidRPr="004F47BB" w:rsidTr="00D45887">
        <w:trPr>
          <w:jc w:val="center"/>
        </w:trPr>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de-DE"/>
              </w:rPr>
            </w:pPr>
            <m:oMathPara>
              <m:oMath>
                <m:r>
                  <w:rPr>
                    <w:rFonts w:ascii="Cambria Math" w:hAnsi="Cambria Math"/>
                    <w:szCs w:val="20"/>
                    <w:lang w:val="de-DE"/>
                  </w:rPr>
                  <m:t>T</m:t>
                </m:r>
              </m:oMath>
            </m:oMathPara>
          </w:p>
        </w:tc>
        <w:tc>
          <w:tcPr>
            <w:tcW w:w="65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Maximum draught (of vessel or convoy)</w:t>
            </w:r>
          </w:p>
        </w:tc>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w:r w:rsidRPr="004F47BB">
              <w:rPr>
                <w:szCs w:val="20"/>
              </w:rPr>
              <w:t>(m)</w:t>
            </w:r>
          </w:p>
        </w:tc>
      </w:tr>
      <w:tr w:rsidR="004F47BB" w:rsidRPr="004F47BB" w:rsidTr="00D45887">
        <w:trPr>
          <w:jc w:val="center"/>
        </w:trPr>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m:oMathPara>
              <m:oMath>
                <m:r>
                  <w:rPr>
                    <w:rFonts w:ascii="Cambria Math" w:hAnsi="Cambria Math"/>
                    <w:szCs w:val="20"/>
                  </w:rPr>
                  <m:t>h</m:t>
                </m:r>
              </m:oMath>
            </m:oMathPara>
          </w:p>
        </w:tc>
        <w:tc>
          <w:tcPr>
            <w:tcW w:w="65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Water depth</w:t>
            </w:r>
          </w:p>
        </w:tc>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w:r w:rsidRPr="004F47BB">
              <w:rPr>
                <w:szCs w:val="20"/>
              </w:rPr>
              <w:t>(m)</w:t>
            </w:r>
          </w:p>
        </w:tc>
      </w:tr>
      <w:tr w:rsidR="004F47BB" w:rsidRPr="004F47BB" w:rsidTr="00D45887">
        <w:trPr>
          <w:jc w:val="center"/>
        </w:trPr>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m:oMathPara>
              <m:oMath>
                <m:r>
                  <w:rPr>
                    <w:rFonts w:ascii="Cambria Math" w:hAnsi="Cambria Math"/>
                    <w:szCs w:val="20"/>
                  </w:rPr>
                  <m:t>B</m:t>
                </m:r>
              </m:oMath>
            </m:oMathPara>
          </w:p>
        </w:tc>
        <w:tc>
          <w:tcPr>
            <w:tcW w:w="65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Width</w:t>
            </w:r>
          </w:p>
        </w:tc>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w:r w:rsidRPr="004F47BB">
              <w:rPr>
                <w:szCs w:val="20"/>
              </w:rPr>
              <w:t>(m)</w:t>
            </w:r>
          </w:p>
        </w:tc>
      </w:tr>
      <w:tr w:rsidR="004F47BB" w:rsidRPr="004F47BB" w:rsidTr="00D45887">
        <w:trPr>
          <w:jc w:val="center"/>
        </w:trPr>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m:oMathPara>
              <m:oMath>
                <m:r>
                  <w:rPr>
                    <w:rFonts w:ascii="Cambria Math" w:hAnsi="Cambria Math"/>
                    <w:szCs w:val="20"/>
                  </w:rPr>
                  <m:t>L</m:t>
                </m:r>
              </m:oMath>
            </m:oMathPara>
          </w:p>
        </w:tc>
        <w:tc>
          <w:tcPr>
            <w:tcW w:w="65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lang w:val="en-US"/>
              </w:rPr>
            </w:pPr>
            <w:r w:rsidRPr="004F47BB">
              <w:rPr>
                <w:szCs w:val="20"/>
                <w:lang w:val="en-US"/>
              </w:rPr>
              <w:t>Length</w:t>
            </w:r>
          </w:p>
        </w:tc>
        <w:tc>
          <w:tcPr>
            <w:tcW w:w="1021" w:type="dxa"/>
            <w:tcBorders>
              <w:top w:val="nil"/>
              <w:left w:val="nil"/>
              <w:bottom w:val="nil"/>
              <w:right w:val="nil"/>
            </w:tcBorders>
          </w:tcPr>
          <w:p w:rsidR="004F47BB" w:rsidRPr="004F47BB" w:rsidRDefault="004F47BB" w:rsidP="004F47BB">
            <w:pPr>
              <w:overflowPunct w:val="0"/>
              <w:adjustRightInd w:val="0"/>
              <w:spacing w:before="120" w:after="120"/>
              <w:ind w:left="113" w:right="113" w:firstLine="0"/>
              <w:jc w:val="left"/>
              <w:textAlignment w:val="baseline"/>
              <w:rPr>
                <w:szCs w:val="20"/>
              </w:rPr>
            </w:pPr>
            <w:r w:rsidRPr="004F47BB">
              <w:rPr>
                <w:szCs w:val="20"/>
              </w:rPr>
              <w:t>(m)</w:t>
            </w:r>
          </w:p>
        </w:tc>
      </w:tr>
    </w:tbl>
    <w:p w:rsidR="004F47BB" w:rsidRPr="004F47BB" w:rsidRDefault="004F47BB" w:rsidP="004F47BB">
      <w:pPr>
        <w:overflowPunct w:val="0"/>
        <w:adjustRightInd w:val="0"/>
        <w:ind w:left="0" w:firstLine="0"/>
        <w:jc w:val="left"/>
        <w:textAlignment w:val="baseline"/>
        <w:rPr>
          <w:szCs w:val="20"/>
        </w:rPr>
      </w:pPr>
    </w:p>
    <w:p w:rsidR="004F47BB" w:rsidRPr="004F47BB" w:rsidRDefault="004F47BB" w:rsidP="004F47BB">
      <w:pPr>
        <w:overflowPunct w:val="0"/>
        <w:adjustRightInd w:val="0"/>
        <w:ind w:left="0" w:firstLine="0"/>
        <w:jc w:val="left"/>
        <w:textAlignment w:val="baseline"/>
        <w:rPr>
          <w:szCs w:val="20"/>
        </w:rPr>
      </w:pPr>
    </w:p>
    <w:p w:rsidR="004F47BB" w:rsidRPr="004F47BB" w:rsidRDefault="004F47BB" w:rsidP="004F47BB">
      <w:pPr>
        <w:tabs>
          <w:tab w:val="left" w:pos="960"/>
          <w:tab w:val="left" w:pos="1344"/>
          <w:tab w:val="left" w:pos="7680"/>
        </w:tabs>
        <w:overflowPunct w:val="0"/>
        <w:adjustRightInd w:val="0"/>
        <w:spacing w:line="240" w:lineRule="exact"/>
        <w:ind w:left="0" w:firstLine="0"/>
        <w:jc w:val="left"/>
        <w:textAlignment w:val="baseline"/>
        <w:rPr>
          <w:szCs w:val="20"/>
        </w:rPr>
      </w:pPr>
    </w:p>
    <w:p w:rsidR="004F47BB" w:rsidRPr="004F47BB" w:rsidRDefault="004F47BB" w:rsidP="004F47BB">
      <w:pPr>
        <w:tabs>
          <w:tab w:val="left" w:pos="960"/>
          <w:tab w:val="left" w:pos="1344"/>
          <w:tab w:val="left" w:pos="7680"/>
        </w:tabs>
        <w:overflowPunct w:val="0"/>
        <w:adjustRightInd w:val="0"/>
        <w:spacing w:line="240" w:lineRule="exact"/>
        <w:ind w:left="0" w:firstLine="0"/>
        <w:textAlignment w:val="baseline"/>
        <w:rPr>
          <w:szCs w:val="20"/>
        </w:rPr>
      </w:pPr>
      <w:r w:rsidRPr="004F47BB">
        <w:rPr>
          <w:szCs w:val="20"/>
        </w:rPr>
        <w:br w:type="page"/>
      </w:r>
    </w:p>
    <w:p w:rsidR="004F47BB" w:rsidRPr="004F47BB" w:rsidRDefault="004F47BB" w:rsidP="004F47BB">
      <w:pPr>
        <w:spacing w:line="240" w:lineRule="atLeast"/>
        <w:ind w:left="567" w:firstLine="0"/>
        <w:rPr>
          <w:lang w:val="en-US"/>
        </w:rPr>
      </w:pPr>
      <w:r w:rsidRPr="004F47BB">
        <w:rPr>
          <w:lang w:val="en-US"/>
        </w:rPr>
        <w:lastRenderedPageBreak/>
        <w:t>The coefficients for the formulae (4.1), (4.2), (4.3), (4.4), (4.5), (4.6) and (4.7) can be taken from the tables below.</w:t>
      </w:r>
    </w:p>
    <w:p w:rsidR="004F47BB" w:rsidRPr="004F47BB" w:rsidRDefault="004F47BB" w:rsidP="004F47BB">
      <w:pPr>
        <w:tabs>
          <w:tab w:val="left" w:pos="960"/>
          <w:tab w:val="left" w:pos="1344"/>
          <w:tab w:val="left" w:pos="7680"/>
        </w:tabs>
        <w:overflowPunct w:val="0"/>
        <w:adjustRightInd w:val="0"/>
        <w:spacing w:line="240" w:lineRule="exact"/>
        <w:ind w:left="0" w:firstLine="0"/>
        <w:jc w:val="left"/>
        <w:textAlignment w:val="baseline"/>
        <w:rPr>
          <w:szCs w:val="20"/>
          <w:lang w:val="en-US"/>
        </w:rPr>
      </w:pPr>
    </w:p>
    <w:p w:rsidR="004F47BB" w:rsidRPr="004F47BB" w:rsidRDefault="004F47BB" w:rsidP="004F47BB">
      <w:pPr>
        <w:tabs>
          <w:tab w:val="left" w:pos="567"/>
        </w:tabs>
        <w:overflowPunct w:val="0"/>
        <w:adjustRightInd w:val="0"/>
        <w:spacing w:line="240" w:lineRule="atLeast"/>
        <w:ind w:left="567" w:firstLine="0"/>
        <w:textAlignment w:val="baseline"/>
        <w:rPr>
          <w:b/>
          <w:szCs w:val="20"/>
          <w:lang w:val="en-US"/>
        </w:rPr>
      </w:pPr>
      <w:r w:rsidRPr="004F47BB">
        <w:rPr>
          <w:b/>
          <w:szCs w:val="20"/>
          <w:lang w:val="en-US"/>
        </w:rPr>
        <w:t xml:space="preserve">Table 1: </w:t>
      </w:r>
      <m:oMath>
        <m:r>
          <w:rPr>
            <w:rFonts w:ascii="Cambria Math" w:hAnsi="Cambria Math"/>
            <w:szCs w:val="20"/>
            <w:lang w:val="en-US"/>
          </w:rPr>
          <m:t>k</m:t>
        </m:r>
      </m:oMath>
      <w:r w:rsidRPr="004F47BB">
        <w:rPr>
          <w:b/>
          <w:szCs w:val="20"/>
          <w:lang w:val="en-US"/>
        </w:rPr>
        <w:t xml:space="preserve"> factors for:</w:t>
      </w:r>
    </w:p>
    <w:p w:rsidR="004F47BB" w:rsidRPr="004F47BB" w:rsidRDefault="004F47BB" w:rsidP="004F47BB">
      <w:pPr>
        <w:spacing w:before="60" w:line="240" w:lineRule="atLeast"/>
        <w:ind w:left="992"/>
        <w:rPr>
          <w:lang w:val="en-US"/>
        </w:rPr>
      </w:pPr>
      <w:r w:rsidRPr="004F47BB">
        <w:rPr>
          <w:lang w:val="en-US"/>
        </w:rPr>
        <w:t>a)</w:t>
      </w:r>
      <w:r w:rsidRPr="004F47BB">
        <w:rPr>
          <w:lang w:val="en-US"/>
        </w:rPr>
        <w:tab/>
        <w:t>MOTOR VESSELS and single file CONVOYS</w:t>
      </w:r>
    </w:p>
    <w:p w:rsidR="004F47BB" w:rsidRPr="004F47BB" w:rsidRDefault="004F47BB" w:rsidP="004F47BB">
      <w:pPr>
        <w:spacing w:before="60" w:line="240" w:lineRule="atLeast"/>
        <w:ind w:left="992"/>
        <w:rPr>
          <w:lang w:val="en-US"/>
        </w:rPr>
      </w:pPr>
      <w:r w:rsidRPr="004F47BB">
        <w:rPr>
          <w:lang w:val="en-US"/>
        </w:rPr>
        <w:t>b)</w:t>
      </w:r>
      <w:r w:rsidRPr="004F47BB">
        <w:rPr>
          <w:lang w:val="en-US"/>
        </w:rPr>
        <w:tab/>
        <w:t>Two-abreast CONVOYS</w:t>
      </w:r>
    </w:p>
    <w:p w:rsidR="004F47BB" w:rsidRPr="004F47BB" w:rsidRDefault="004F47BB" w:rsidP="004F47BB">
      <w:pPr>
        <w:spacing w:before="60" w:line="240" w:lineRule="atLeast"/>
        <w:ind w:left="992"/>
        <w:rPr>
          <w:lang w:val="en-US"/>
        </w:rPr>
      </w:pPr>
      <w:r w:rsidRPr="004F47BB">
        <w:rPr>
          <w:lang w:val="en-US"/>
        </w:rPr>
        <w:t>c)</w:t>
      </w:r>
      <w:r w:rsidRPr="004F47BB">
        <w:rPr>
          <w:lang w:val="en-US"/>
        </w:rPr>
        <w:tab/>
        <w:t>Three-abreast CONVOYS</w:t>
      </w:r>
    </w:p>
    <w:p w:rsidR="004F47BB" w:rsidRPr="004F47BB" w:rsidRDefault="004F47BB" w:rsidP="004F47BB">
      <w:pPr>
        <w:overflowPunct w:val="0"/>
        <w:adjustRightInd w:val="0"/>
        <w:ind w:left="0" w:firstLine="0"/>
        <w:jc w:val="left"/>
        <w:textAlignment w:val="baseline"/>
        <w:rPr>
          <w:szCs w:val="20"/>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34"/>
        <w:gridCol w:w="1134"/>
        <w:gridCol w:w="1134"/>
        <w:gridCol w:w="1134"/>
        <w:gridCol w:w="1701"/>
      </w:tblGrid>
      <w:tr w:rsidR="004F47BB" w:rsidRPr="004F47BB" w:rsidTr="00D45887">
        <w:trPr>
          <w:jc w:val="center"/>
        </w:trPr>
        <w:tc>
          <w:tcPr>
            <w:tcW w:w="1134" w:type="dxa"/>
            <w:vAlign w:val="center"/>
          </w:tcPr>
          <w:p w:rsidR="004F47BB" w:rsidRPr="004F47BB" w:rsidRDefault="004F47BB" w:rsidP="004F47BB">
            <w:pPr>
              <w:tabs>
                <w:tab w:val="left" w:pos="288"/>
                <w:tab w:val="left" w:pos="1872"/>
                <w:tab w:val="left" w:pos="2952"/>
                <w:tab w:val="left" w:pos="3888"/>
                <w:tab w:val="left" w:pos="4824"/>
              </w:tabs>
              <w:overflowPunct w:val="0"/>
              <w:adjustRightInd w:val="0"/>
              <w:spacing w:before="60" w:after="60" w:line="240" w:lineRule="atLeast"/>
              <w:ind w:left="113" w:right="113" w:firstLine="0"/>
              <w:jc w:val="left"/>
              <w:textAlignment w:val="baseline"/>
              <w:rPr>
                <w:sz w:val="18"/>
                <w:szCs w:val="18"/>
                <w:lang w:val="en-US"/>
              </w:rPr>
            </w:pPr>
          </w:p>
        </w:tc>
        <w:tc>
          <w:tcPr>
            <w:tcW w:w="1134" w:type="dxa"/>
          </w:tcPr>
          <w:p w:rsidR="004F47BB" w:rsidRPr="004F47BB" w:rsidRDefault="004F47BB" w:rsidP="004F47BB">
            <w:pPr>
              <w:tabs>
                <w:tab w:val="left" w:pos="288"/>
                <w:tab w:val="left" w:pos="1872"/>
                <w:tab w:val="left" w:pos="2952"/>
                <w:tab w:val="left" w:pos="3888"/>
                <w:tab w:val="left" w:pos="4824"/>
              </w:tabs>
              <w:overflowPunct w:val="0"/>
              <w:adjustRightInd w:val="0"/>
              <w:spacing w:before="60" w:after="60" w:line="240" w:lineRule="atLeast"/>
              <w:ind w:left="113" w:right="113" w:firstLine="0"/>
              <w:jc w:val="center"/>
              <w:textAlignment w:val="baseline"/>
              <w:rPr>
                <w:sz w:val="18"/>
                <w:szCs w:val="18"/>
                <w:lang w:val="en-GB"/>
              </w:rPr>
            </w:pPr>
            <w:r w:rsidRPr="004F47BB">
              <w:rPr>
                <w:sz w:val="18"/>
                <w:szCs w:val="18"/>
                <w:lang w:val="en-GB"/>
              </w:rPr>
              <w:t>a)</w:t>
            </w:r>
          </w:p>
        </w:tc>
        <w:tc>
          <w:tcPr>
            <w:tcW w:w="1134" w:type="dxa"/>
          </w:tcPr>
          <w:p w:rsidR="004F47BB" w:rsidRPr="004F47BB" w:rsidRDefault="004F47BB" w:rsidP="004F47BB">
            <w:pPr>
              <w:tabs>
                <w:tab w:val="left" w:pos="288"/>
                <w:tab w:val="left" w:pos="1872"/>
                <w:tab w:val="left" w:pos="2952"/>
                <w:tab w:val="left" w:pos="3888"/>
                <w:tab w:val="left" w:pos="4824"/>
              </w:tabs>
              <w:overflowPunct w:val="0"/>
              <w:adjustRightInd w:val="0"/>
              <w:spacing w:before="60" w:after="60" w:line="240" w:lineRule="atLeast"/>
              <w:ind w:left="113" w:right="113" w:firstLine="0"/>
              <w:jc w:val="center"/>
              <w:textAlignment w:val="baseline"/>
              <w:rPr>
                <w:sz w:val="18"/>
                <w:szCs w:val="18"/>
                <w:lang w:val="en-GB"/>
              </w:rPr>
            </w:pPr>
            <w:r w:rsidRPr="004F47BB">
              <w:rPr>
                <w:sz w:val="18"/>
                <w:szCs w:val="18"/>
                <w:lang w:val="en-GB"/>
              </w:rPr>
              <w:t>b)</w:t>
            </w:r>
          </w:p>
        </w:tc>
        <w:tc>
          <w:tcPr>
            <w:tcW w:w="1134" w:type="dxa"/>
          </w:tcPr>
          <w:p w:rsidR="004F47BB" w:rsidRPr="004F47BB" w:rsidRDefault="004F47BB" w:rsidP="004F47BB">
            <w:pPr>
              <w:tabs>
                <w:tab w:val="left" w:pos="288"/>
                <w:tab w:val="left" w:pos="1872"/>
                <w:tab w:val="left" w:pos="2952"/>
                <w:tab w:val="left" w:pos="3888"/>
                <w:tab w:val="left" w:pos="4824"/>
              </w:tabs>
              <w:overflowPunct w:val="0"/>
              <w:adjustRightInd w:val="0"/>
              <w:spacing w:before="60" w:after="60" w:line="240" w:lineRule="atLeast"/>
              <w:ind w:left="113" w:right="113" w:firstLine="0"/>
              <w:jc w:val="center"/>
              <w:textAlignment w:val="baseline"/>
              <w:rPr>
                <w:sz w:val="18"/>
                <w:szCs w:val="18"/>
                <w:lang w:val="en-GB"/>
              </w:rPr>
            </w:pPr>
            <w:r w:rsidRPr="004F47BB">
              <w:rPr>
                <w:sz w:val="18"/>
                <w:szCs w:val="18"/>
                <w:lang w:val="en-GB"/>
              </w:rPr>
              <w:t>c)</w:t>
            </w:r>
          </w:p>
        </w:tc>
        <w:tc>
          <w:tcPr>
            <w:tcW w:w="1701" w:type="dxa"/>
          </w:tcPr>
          <w:p w:rsidR="004F47BB" w:rsidRPr="004F47BB" w:rsidRDefault="004F47BB" w:rsidP="004F47BB">
            <w:pPr>
              <w:tabs>
                <w:tab w:val="left" w:pos="288"/>
                <w:tab w:val="left" w:pos="1872"/>
                <w:tab w:val="left" w:pos="2952"/>
                <w:tab w:val="left" w:pos="3888"/>
                <w:tab w:val="left" w:pos="4824"/>
              </w:tabs>
              <w:overflowPunct w:val="0"/>
              <w:adjustRightInd w:val="0"/>
              <w:spacing w:before="60" w:after="60" w:line="240" w:lineRule="atLeast"/>
              <w:ind w:left="113" w:right="113" w:firstLine="0"/>
              <w:jc w:val="center"/>
              <w:textAlignment w:val="baseline"/>
              <w:rPr>
                <w:sz w:val="18"/>
                <w:szCs w:val="18"/>
              </w:rPr>
            </w:pPr>
            <w:r w:rsidRPr="004F47BB">
              <w:rPr>
                <w:sz w:val="18"/>
                <w:szCs w:val="18"/>
              </w:rPr>
              <w:t>Units</w:t>
            </w:r>
          </w:p>
        </w:tc>
      </w:tr>
      <w:tr w:rsidR="004F47BB" w:rsidRPr="004F47BB" w:rsidTr="00D45887">
        <w:trPr>
          <w:jc w:val="center"/>
        </w:trPr>
        <w:tc>
          <w:tcPr>
            <w:tcW w:w="1134" w:type="dxa"/>
          </w:tcPr>
          <w:p w:rsidR="004F47BB" w:rsidRPr="004F47BB" w:rsidRDefault="004F47BB" w:rsidP="004F47BB">
            <w:pPr>
              <w:tabs>
                <w:tab w:val="left" w:pos="288"/>
                <w:tab w:val="left" w:pos="1800"/>
                <w:tab w:val="left" w:pos="2880"/>
                <w:tab w:val="left" w:pos="3816"/>
                <w:tab w:val="left" w:pos="4824"/>
              </w:tabs>
              <w:overflowPunct w:val="0"/>
              <w:adjustRightInd w:val="0"/>
              <w:spacing w:before="60" w:after="60" w:line="240" w:lineRule="atLeast"/>
              <w:ind w:left="113" w:right="113" w:firstLine="0"/>
              <w:jc w:val="left"/>
              <w:textAlignment w:val="baseline"/>
              <w:rPr>
                <w:sz w:val="18"/>
                <w:szCs w:val="18"/>
              </w:rPr>
            </w:pPr>
          </w:p>
        </w:tc>
        <w:tc>
          <w:tcPr>
            <w:tcW w:w="1134" w:type="dxa"/>
          </w:tcPr>
          <w:p w:rsidR="004F47BB" w:rsidRPr="004F47BB" w:rsidRDefault="004F47BB" w:rsidP="004F47BB">
            <w:pPr>
              <w:tabs>
                <w:tab w:val="left" w:pos="288"/>
                <w:tab w:val="left" w:pos="1800"/>
                <w:tab w:val="left" w:pos="2880"/>
                <w:tab w:val="left" w:pos="3816"/>
                <w:tab w:val="left" w:pos="4824"/>
              </w:tabs>
              <w:overflowPunct w:val="0"/>
              <w:adjustRightInd w:val="0"/>
              <w:spacing w:before="60" w:after="60" w:line="240" w:lineRule="atLeast"/>
              <w:ind w:left="113" w:right="113" w:firstLine="0"/>
              <w:jc w:val="left"/>
              <w:textAlignment w:val="baseline"/>
              <w:rPr>
                <w:sz w:val="18"/>
                <w:szCs w:val="18"/>
              </w:rPr>
            </w:pPr>
          </w:p>
        </w:tc>
        <w:tc>
          <w:tcPr>
            <w:tcW w:w="1134" w:type="dxa"/>
          </w:tcPr>
          <w:p w:rsidR="004F47BB" w:rsidRPr="004F47BB" w:rsidRDefault="004F47BB" w:rsidP="004F47BB">
            <w:pPr>
              <w:tabs>
                <w:tab w:val="left" w:pos="288"/>
                <w:tab w:val="left" w:pos="1800"/>
                <w:tab w:val="left" w:pos="2880"/>
                <w:tab w:val="left" w:pos="3816"/>
                <w:tab w:val="left" w:pos="4824"/>
              </w:tabs>
              <w:overflowPunct w:val="0"/>
              <w:adjustRightInd w:val="0"/>
              <w:spacing w:before="60" w:after="60" w:line="240" w:lineRule="atLeast"/>
              <w:ind w:left="113" w:right="113" w:firstLine="0"/>
              <w:jc w:val="left"/>
              <w:textAlignment w:val="baseline"/>
              <w:rPr>
                <w:sz w:val="18"/>
                <w:szCs w:val="18"/>
              </w:rPr>
            </w:pPr>
          </w:p>
        </w:tc>
        <w:tc>
          <w:tcPr>
            <w:tcW w:w="1134" w:type="dxa"/>
          </w:tcPr>
          <w:p w:rsidR="004F47BB" w:rsidRPr="004F47BB" w:rsidRDefault="004F47BB" w:rsidP="004F47BB">
            <w:pPr>
              <w:tabs>
                <w:tab w:val="left" w:pos="288"/>
                <w:tab w:val="left" w:pos="1800"/>
                <w:tab w:val="left" w:pos="2880"/>
                <w:tab w:val="left" w:pos="3816"/>
                <w:tab w:val="left" w:pos="4824"/>
              </w:tabs>
              <w:overflowPunct w:val="0"/>
              <w:adjustRightInd w:val="0"/>
              <w:spacing w:before="60" w:after="60" w:line="240" w:lineRule="atLeast"/>
              <w:ind w:left="113" w:right="113" w:firstLine="0"/>
              <w:jc w:val="left"/>
              <w:textAlignment w:val="baseline"/>
              <w:rPr>
                <w:sz w:val="18"/>
                <w:szCs w:val="18"/>
              </w:rPr>
            </w:pPr>
          </w:p>
        </w:tc>
        <w:tc>
          <w:tcPr>
            <w:tcW w:w="1701" w:type="dxa"/>
          </w:tcPr>
          <w:p w:rsidR="004F47BB" w:rsidRPr="004F47BB" w:rsidRDefault="004F47BB" w:rsidP="004F47BB">
            <w:pPr>
              <w:tabs>
                <w:tab w:val="left" w:pos="288"/>
                <w:tab w:val="left" w:pos="1800"/>
                <w:tab w:val="left" w:pos="2880"/>
                <w:tab w:val="left" w:pos="3816"/>
                <w:tab w:val="left" w:pos="4824"/>
              </w:tabs>
              <w:overflowPunct w:val="0"/>
              <w:adjustRightInd w:val="0"/>
              <w:spacing w:before="60" w:after="60" w:line="240" w:lineRule="atLeast"/>
              <w:ind w:left="113" w:right="113" w:firstLine="0"/>
              <w:jc w:val="left"/>
              <w:textAlignment w:val="baseline"/>
              <w:rPr>
                <w:sz w:val="18"/>
                <w:szCs w:val="18"/>
              </w:rPr>
            </w:pPr>
          </w:p>
        </w:tc>
      </w:tr>
      <w:tr w:rsidR="004F47BB" w:rsidRPr="004F47BB" w:rsidTr="00D45887">
        <w:trPr>
          <w:jc w:val="center"/>
        </w:trPr>
        <w:tc>
          <w:tcPr>
            <w:tcW w:w="1134" w:type="dxa"/>
          </w:tcPr>
          <w:p w:rsidR="004F47BB" w:rsidRPr="004F47BB" w:rsidRDefault="00F12BAF" w:rsidP="004F47BB">
            <w:pPr>
              <w:tabs>
                <w:tab w:val="left" w:pos="288"/>
                <w:tab w:val="left" w:pos="1800"/>
                <w:tab w:val="left" w:pos="2880"/>
                <w:tab w:val="left" w:pos="3816"/>
                <w:tab w:val="left" w:pos="5112"/>
              </w:tabs>
              <w:overflowPunct w:val="0"/>
              <w:adjustRightInd w:val="0"/>
              <w:spacing w:before="60" w:after="60" w:line="240" w:lineRule="atLeast"/>
              <w:ind w:left="113" w:right="113" w:firstLine="0"/>
              <w:jc w:val="left"/>
              <w:textAlignment w:val="baseline"/>
              <w:rPr>
                <w:sz w:val="18"/>
                <w:szCs w:val="18"/>
              </w:rPr>
            </w:pPr>
            <m:oMathPara>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1</m:t>
                    </m:r>
                  </m:sub>
                </m:sSub>
              </m:oMath>
            </m:oMathPara>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rPr>
            </w:pPr>
            <w:r w:rsidRPr="004F47BB">
              <w:rPr>
                <w:sz w:val="18"/>
                <w:szCs w:val="18"/>
              </w:rPr>
              <w:t>0,95</w:t>
            </w:r>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rPr>
            </w:pPr>
            <w:r w:rsidRPr="004F47BB">
              <w:rPr>
                <w:sz w:val="18"/>
                <w:szCs w:val="18"/>
              </w:rPr>
              <w:t>0,95</w:t>
            </w:r>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rPr>
            </w:pPr>
            <w:r w:rsidRPr="004F47BB">
              <w:rPr>
                <w:sz w:val="18"/>
                <w:szCs w:val="18"/>
              </w:rPr>
              <w:t>0,95</w:t>
            </w:r>
          </w:p>
        </w:tc>
        <w:tc>
          <w:tcPr>
            <w:tcW w:w="1701" w:type="dxa"/>
          </w:tcPr>
          <w:p w:rsidR="004F47BB" w:rsidRPr="004F47BB" w:rsidRDefault="004F47BB" w:rsidP="004F47BB">
            <w:pPr>
              <w:tabs>
                <w:tab w:val="left" w:pos="288"/>
                <w:tab w:val="left" w:pos="1800"/>
                <w:tab w:val="left" w:pos="2880"/>
                <w:tab w:val="left" w:pos="3816"/>
                <w:tab w:val="left" w:pos="5112"/>
              </w:tabs>
              <w:overflowPunct w:val="0"/>
              <w:adjustRightInd w:val="0"/>
              <w:spacing w:before="60" w:after="60" w:line="240" w:lineRule="atLeast"/>
              <w:ind w:left="113" w:right="113" w:firstLine="0"/>
              <w:jc w:val="center"/>
              <w:textAlignment w:val="baseline"/>
              <w:rPr>
                <w:sz w:val="18"/>
                <w:szCs w:val="18"/>
              </w:rPr>
            </w:pPr>
            <w:r w:rsidRPr="004F47BB">
              <w:rPr>
                <w:sz w:val="18"/>
                <w:szCs w:val="18"/>
              </w:rPr>
              <w:t>-</w:t>
            </w:r>
          </w:p>
        </w:tc>
      </w:tr>
      <w:tr w:rsidR="004F47BB" w:rsidRPr="004F47BB" w:rsidTr="00D45887">
        <w:trPr>
          <w:jc w:val="center"/>
        </w:trPr>
        <w:tc>
          <w:tcPr>
            <w:tcW w:w="1134" w:type="dxa"/>
          </w:tcPr>
          <w:p w:rsidR="004F47BB" w:rsidRPr="004F47BB" w:rsidRDefault="00F12BAF" w:rsidP="004F47BB">
            <w:pPr>
              <w:tabs>
                <w:tab w:val="left" w:pos="288"/>
                <w:tab w:val="left" w:pos="1800"/>
                <w:tab w:val="left" w:pos="2880"/>
                <w:tab w:val="left" w:pos="3816"/>
                <w:tab w:val="left" w:pos="5112"/>
              </w:tabs>
              <w:overflowPunct w:val="0"/>
              <w:adjustRightInd w:val="0"/>
              <w:spacing w:before="60" w:after="60" w:line="240" w:lineRule="atLeast"/>
              <w:ind w:left="113" w:right="113" w:firstLine="0"/>
              <w:jc w:val="left"/>
              <w:textAlignment w:val="baseline"/>
              <w:rPr>
                <w:sz w:val="18"/>
                <w:szCs w:val="18"/>
              </w:rPr>
            </w:pPr>
            <m:oMathPara>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2</m:t>
                    </m:r>
                  </m:sub>
                </m:sSub>
              </m:oMath>
            </m:oMathPara>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rPr>
            </w:pPr>
            <w:r w:rsidRPr="004F47BB">
              <w:rPr>
                <w:sz w:val="18"/>
                <w:szCs w:val="18"/>
              </w:rPr>
              <w:t>0,115</w:t>
            </w:r>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rPr>
            </w:pPr>
            <w:r w:rsidRPr="004F47BB">
              <w:rPr>
                <w:sz w:val="18"/>
                <w:szCs w:val="18"/>
              </w:rPr>
              <w:t>0,120</w:t>
            </w:r>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rPr>
            </w:pPr>
            <w:r w:rsidRPr="004F47BB">
              <w:rPr>
                <w:sz w:val="18"/>
                <w:szCs w:val="18"/>
              </w:rPr>
              <w:t>0,125</w:t>
            </w:r>
          </w:p>
        </w:tc>
        <w:tc>
          <w:tcPr>
            <w:tcW w:w="1701" w:type="dxa"/>
          </w:tcPr>
          <w:p w:rsidR="004F47BB" w:rsidRPr="004F47BB" w:rsidRDefault="00F12BAF" w:rsidP="004F47BB">
            <w:pPr>
              <w:tabs>
                <w:tab w:val="left" w:pos="567"/>
                <w:tab w:val="left" w:pos="1800"/>
                <w:tab w:val="left" w:pos="2880"/>
                <w:tab w:val="left" w:pos="3816"/>
                <w:tab w:val="left" w:pos="5112"/>
              </w:tabs>
              <w:overflowPunct w:val="0"/>
              <w:adjustRightInd w:val="0"/>
              <w:spacing w:before="60" w:after="60" w:line="240" w:lineRule="atLeast"/>
              <w:ind w:left="113" w:right="113" w:firstLine="0"/>
              <w:jc w:val="left"/>
              <w:textAlignment w:val="baseline"/>
              <w:rPr>
                <w:sz w:val="18"/>
                <w:szCs w:val="18"/>
                <w:lang w:val="nl-NL"/>
              </w:rPr>
            </w:pPr>
            <m:oMathPara>
              <m:oMath>
                <m:f>
                  <m:fPr>
                    <m:ctrlPr>
                      <w:rPr>
                        <w:rFonts w:ascii="Cambria Math" w:hAnsi="Cambria Math"/>
                        <w:i/>
                        <w:sz w:val="18"/>
                        <w:szCs w:val="18"/>
                        <w:lang w:val="nl-NL"/>
                      </w:rPr>
                    </m:ctrlPr>
                  </m:fPr>
                  <m:num>
                    <m:sSub>
                      <m:sSubPr>
                        <m:ctrlPr>
                          <w:rPr>
                            <w:rFonts w:ascii="Cambria Math" w:hAnsi="Cambria Math"/>
                            <w:i/>
                            <w:sz w:val="18"/>
                            <w:szCs w:val="18"/>
                            <w:lang w:val="nl-NL"/>
                          </w:rPr>
                        </m:ctrlPr>
                      </m:sSubPr>
                      <m:e>
                        <m:r>
                          <w:rPr>
                            <w:rFonts w:ascii="Cambria Math" w:hAnsi="Cambria Math"/>
                            <w:sz w:val="18"/>
                            <w:szCs w:val="18"/>
                            <w:lang w:val="nl-NL"/>
                          </w:rPr>
                          <m:t>k</m:t>
                        </m:r>
                      </m:e>
                      <m:sub>
                        <m:r>
                          <w:rPr>
                            <w:rFonts w:ascii="Cambria Math" w:hAnsi="Cambria Math"/>
                            <w:sz w:val="18"/>
                            <w:szCs w:val="18"/>
                            <w:lang w:val="nl-NL"/>
                          </w:rPr>
                          <m:t>g</m:t>
                        </m:r>
                      </m:sub>
                    </m:sSub>
                    <m:r>
                      <w:rPr>
                        <w:rFonts w:ascii="Cambria Math" w:hAnsi="Cambria Math"/>
                        <w:sz w:val="18"/>
                        <w:szCs w:val="18"/>
                        <w:lang w:val="nl-NL"/>
                      </w:rPr>
                      <m:t xml:space="preserve"> ∙ </m:t>
                    </m:r>
                    <m:sSup>
                      <m:sSupPr>
                        <m:ctrlPr>
                          <w:rPr>
                            <w:rFonts w:ascii="Cambria Math" w:hAnsi="Cambria Math"/>
                            <w:i/>
                            <w:sz w:val="18"/>
                            <w:szCs w:val="18"/>
                            <w:lang w:val="nl-NL"/>
                          </w:rPr>
                        </m:ctrlPr>
                      </m:sSupPr>
                      <m:e>
                        <m:r>
                          <w:rPr>
                            <w:rFonts w:ascii="Cambria Math" w:hAnsi="Cambria Math"/>
                            <w:sz w:val="18"/>
                            <w:szCs w:val="18"/>
                            <w:lang w:val="nl-NL"/>
                          </w:rPr>
                          <m:t>s</m:t>
                        </m:r>
                      </m:e>
                      <m:sup>
                        <m:r>
                          <w:rPr>
                            <w:rFonts w:ascii="Cambria Math" w:hAnsi="Cambria Math"/>
                            <w:sz w:val="18"/>
                            <w:szCs w:val="18"/>
                            <w:lang w:val="nl-NL"/>
                          </w:rPr>
                          <m:t>2</m:t>
                        </m:r>
                      </m:sup>
                    </m:sSup>
                  </m:num>
                  <m:den>
                    <m:sSup>
                      <m:sSupPr>
                        <m:ctrlPr>
                          <w:rPr>
                            <w:rFonts w:ascii="Cambria Math" w:hAnsi="Cambria Math"/>
                            <w:i/>
                            <w:sz w:val="18"/>
                            <w:szCs w:val="18"/>
                            <w:lang w:val="nl-NL"/>
                          </w:rPr>
                        </m:ctrlPr>
                      </m:sSupPr>
                      <m:e>
                        <m:r>
                          <w:rPr>
                            <w:rFonts w:ascii="Cambria Math" w:hAnsi="Cambria Math"/>
                            <w:sz w:val="18"/>
                            <w:szCs w:val="18"/>
                            <w:lang w:val="nl-NL"/>
                          </w:rPr>
                          <m:t>m</m:t>
                        </m:r>
                      </m:e>
                      <m:sup>
                        <m:r>
                          <w:rPr>
                            <w:rFonts w:ascii="Cambria Math" w:hAnsi="Cambria Math"/>
                            <w:sz w:val="18"/>
                            <w:szCs w:val="18"/>
                            <w:lang w:val="nl-NL"/>
                          </w:rPr>
                          <m:t>4</m:t>
                        </m:r>
                      </m:sup>
                    </m:sSup>
                  </m:den>
                </m:f>
              </m:oMath>
            </m:oMathPara>
          </w:p>
        </w:tc>
      </w:tr>
      <w:tr w:rsidR="004F47BB" w:rsidRPr="004F47BB" w:rsidTr="00D45887">
        <w:trPr>
          <w:jc w:val="center"/>
        </w:trPr>
        <w:tc>
          <w:tcPr>
            <w:tcW w:w="1134" w:type="dxa"/>
          </w:tcPr>
          <w:p w:rsidR="004F47BB" w:rsidRPr="004F47BB" w:rsidRDefault="00F12BAF" w:rsidP="004F47BB">
            <w:pPr>
              <w:tabs>
                <w:tab w:val="left" w:pos="288"/>
                <w:tab w:val="left" w:pos="1800"/>
                <w:tab w:val="left" w:pos="2880"/>
                <w:tab w:val="left" w:pos="3816"/>
                <w:tab w:val="left" w:pos="5112"/>
              </w:tabs>
              <w:overflowPunct w:val="0"/>
              <w:adjustRightInd w:val="0"/>
              <w:spacing w:before="60" w:after="60" w:line="240" w:lineRule="atLeast"/>
              <w:ind w:left="113" w:right="113" w:firstLine="0"/>
              <w:jc w:val="left"/>
              <w:textAlignment w:val="baseline"/>
              <w:rPr>
                <w:sz w:val="18"/>
                <w:szCs w:val="18"/>
                <w:lang w:val="nl-NL"/>
              </w:rPr>
            </w:pPr>
            <m:oMathPara>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3</m:t>
                    </m:r>
                  </m:sub>
                </m:sSub>
              </m:oMath>
            </m:oMathPara>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lang w:val="nl-NL"/>
              </w:rPr>
            </w:pPr>
            <w:r w:rsidRPr="004F47BB">
              <w:rPr>
                <w:sz w:val="18"/>
                <w:szCs w:val="18"/>
                <w:lang w:val="nl-NL"/>
              </w:rPr>
              <w:t>1,20</w:t>
            </w:r>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lang w:val="nl-NL"/>
              </w:rPr>
            </w:pPr>
            <w:r w:rsidRPr="004F47BB">
              <w:rPr>
                <w:sz w:val="18"/>
                <w:szCs w:val="18"/>
                <w:lang w:val="nl-NL"/>
              </w:rPr>
              <w:t>1,15</w:t>
            </w:r>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lang w:val="nl-NL"/>
              </w:rPr>
            </w:pPr>
            <w:r w:rsidRPr="004F47BB">
              <w:rPr>
                <w:sz w:val="18"/>
                <w:szCs w:val="18"/>
                <w:lang w:val="nl-NL"/>
              </w:rPr>
              <w:t>1,10</w:t>
            </w:r>
          </w:p>
        </w:tc>
        <w:tc>
          <w:tcPr>
            <w:tcW w:w="1701" w:type="dxa"/>
          </w:tcPr>
          <w:p w:rsidR="004F47BB" w:rsidRPr="004F47BB" w:rsidRDefault="004F47BB" w:rsidP="004F47BB">
            <w:pPr>
              <w:tabs>
                <w:tab w:val="left" w:pos="288"/>
                <w:tab w:val="left" w:pos="1800"/>
                <w:tab w:val="left" w:pos="2880"/>
                <w:tab w:val="left" w:pos="3816"/>
                <w:tab w:val="left" w:pos="5112"/>
              </w:tabs>
              <w:overflowPunct w:val="0"/>
              <w:adjustRightInd w:val="0"/>
              <w:spacing w:before="60" w:after="60" w:line="240" w:lineRule="atLeast"/>
              <w:ind w:left="113" w:right="113" w:firstLine="0"/>
              <w:jc w:val="center"/>
              <w:textAlignment w:val="baseline"/>
              <w:rPr>
                <w:sz w:val="18"/>
                <w:szCs w:val="18"/>
                <w:lang w:val="nl-NL"/>
              </w:rPr>
            </w:pPr>
            <w:r w:rsidRPr="004F47BB">
              <w:rPr>
                <w:sz w:val="18"/>
                <w:szCs w:val="18"/>
                <w:lang w:val="nl-NL"/>
              </w:rPr>
              <w:t>-</w:t>
            </w:r>
          </w:p>
        </w:tc>
      </w:tr>
      <w:tr w:rsidR="004F47BB" w:rsidRPr="004F47BB" w:rsidTr="00D45887">
        <w:trPr>
          <w:jc w:val="center"/>
        </w:trPr>
        <w:tc>
          <w:tcPr>
            <w:tcW w:w="1134" w:type="dxa"/>
          </w:tcPr>
          <w:p w:rsidR="004F47BB" w:rsidRPr="004F47BB" w:rsidRDefault="00F12BAF" w:rsidP="004F47BB">
            <w:pPr>
              <w:tabs>
                <w:tab w:val="left" w:pos="288"/>
                <w:tab w:val="left" w:pos="1800"/>
                <w:tab w:val="left" w:pos="2880"/>
                <w:tab w:val="left" w:pos="3816"/>
                <w:tab w:val="left" w:pos="5112"/>
              </w:tabs>
              <w:overflowPunct w:val="0"/>
              <w:adjustRightInd w:val="0"/>
              <w:spacing w:before="60" w:after="60" w:line="240" w:lineRule="atLeast"/>
              <w:ind w:left="113" w:right="113" w:firstLine="0"/>
              <w:jc w:val="left"/>
              <w:textAlignment w:val="baseline"/>
              <w:rPr>
                <w:sz w:val="18"/>
                <w:szCs w:val="18"/>
                <w:lang w:val="nl-NL"/>
              </w:rPr>
            </w:pPr>
            <m:oMathPara>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4</m:t>
                    </m:r>
                  </m:sub>
                </m:sSub>
              </m:oMath>
            </m:oMathPara>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rPr>
            </w:pPr>
            <w:r w:rsidRPr="004F47BB">
              <w:rPr>
                <w:sz w:val="18"/>
                <w:szCs w:val="18"/>
              </w:rPr>
              <w:t>0,48</w:t>
            </w:r>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rPr>
            </w:pPr>
            <w:r w:rsidRPr="004F47BB">
              <w:rPr>
                <w:sz w:val="18"/>
                <w:szCs w:val="18"/>
              </w:rPr>
              <w:t>0,48</w:t>
            </w:r>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rPr>
            </w:pPr>
            <w:r w:rsidRPr="004F47BB">
              <w:rPr>
                <w:sz w:val="18"/>
                <w:szCs w:val="18"/>
              </w:rPr>
              <w:t>0,48</w:t>
            </w:r>
          </w:p>
        </w:tc>
        <w:tc>
          <w:tcPr>
            <w:tcW w:w="1701" w:type="dxa"/>
          </w:tcPr>
          <w:p w:rsidR="004F47BB" w:rsidRPr="004F47BB" w:rsidRDefault="004F47BB" w:rsidP="004F47BB">
            <w:pPr>
              <w:tabs>
                <w:tab w:val="left" w:pos="288"/>
                <w:tab w:val="left" w:pos="1800"/>
                <w:tab w:val="left" w:pos="2880"/>
                <w:tab w:val="left" w:pos="3816"/>
                <w:tab w:val="left" w:pos="5112"/>
              </w:tabs>
              <w:overflowPunct w:val="0"/>
              <w:adjustRightInd w:val="0"/>
              <w:spacing w:before="60" w:after="60" w:line="240" w:lineRule="atLeast"/>
              <w:ind w:left="113" w:right="113" w:firstLine="0"/>
              <w:jc w:val="center"/>
              <w:textAlignment w:val="baseline"/>
              <w:rPr>
                <w:sz w:val="18"/>
                <w:szCs w:val="18"/>
              </w:rPr>
            </w:pPr>
            <w:r w:rsidRPr="004F47BB">
              <w:rPr>
                <w:sz w:val="18"/>
                <w:szCs w:val="18"/>
              </w:rPr>
              <w:t>-</w:t>
            </w:r>
          </w:p>
        </w:tc>
      </w:tr>
      <w:tr w:rsidR="004F47BB" w:rsidRPr="004F47BB" w:rsidTr="00D45887">
        <w:trPr>
          <w:jc w:val="center"/>
        </w:trPr>
        <w:tc>
          <w:tcPr>
            <w:tcW w:w="1134" w:type="dxa"/>
          </w:tcPr>
          <w:p w:rsidR="004F47BB" w:rsidRPr="004F47BB" w:rsidRDefault="00F12BAF" w:rsidP="004F47BB">
            <w:pPr>
              <w:tabs>
                <w:tab w:val="left" w:pos="288"/>
                <w:tab w:val="left" w:pos="1800"/>
                <w:tab w:val="left" w:pos="2880"/>
                <w:tab w:val="left" w:pos="3816"/>
                <w:tab w:val="left" w:pos="5112"/>
              </w:tabs>
              <w:overflowPunct w:val="0"/>
              <w:adjustRightInd w:val="0"/>
              <w:spacing w:before="60" w:after="60" w:line="240" w:lineRule="atLeast"/>
              <w:ind w:left="113" w:right="113" w:firstLine="0"/>
              <w:jc w:val="left"/>
              <w:textAlignment w:val="baseline"/>
              <w:rPr>
                <w:sz w:val="18"/>
                <w:szCs w:val="18"/>
              </w:rPr>
            </w:pPr>
            <m:oMathPara>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6</m:t>
                    </m:r>
                  </m:sub>
                </m:sSub>
              </m:oMath>
            </m:oMathPara>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rPr>
            </w:pPr>
            <w:r w:rsidRPr="004F47BB">
              <w:rPr>
                <w:sz w:val="18"/>
                <w:szCs w:val="18"/>
              </w:rPr>
              <w:t>0,90</w:t>
            </w:r>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rPr>
            </w:pPr>
            <w:r w:rsidRPr="004F47BB">
              <w:rPr>
                <w:sz w:val="18"/>
                <w:szCs w:val="18"/>
              </w:rPr>
              <w:t>0,85</w:t>
            </w:r>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rPr>
            </w:pPr>
            <w:r w:rsidRPr="004F47BB">
              <w:rPr>
                <w:sz w:val="18"/>
                <w:szCs w:val="18"/>
              </w:rPr>
              <w:t>0,80</w:t>
            </w:r>
          </w:p>
        </w:tc>
        <w:tc>
          <w:tcPr>
            <w:tcW w:w="1701" w:type="dxa"/>
          </w:tcPr>
          <w:p w:rsidR="004F47BB" w:rsidRPr="004F47BB" w:rsidRDefault="004F47BB" w:rsidP="004F47BB">
            <w:pPr>
              <w:tabs>
                <w:tab w:val="left" w:pos="288"/>
                <w:tab w:val="left" w:pos="1800"/>
                <w:tab w:val="left" w:pos="2880"/>
                <w:tab w:val="left" w:pos="3816"/>
                <w:tab w:val="left" w:pos="5112"/>
              </w:tabs>
              <w:overflowPunct w:val="0"/>
              <w:adjustRightInd w:val="0"/>
              <w:spacing w:before="60" w:after="60" w:line="240" w:lineRule="atLeast"/>
              <w:ind w:left="113" w:right="113" w:firstLine="0"/>
              <w:jc w:val="center"/>
              <w:textAlignment w:val="baseline"/>
              <w:rPr>
                <w:sz w:val="18"/>
                <w:szCs w:val="18"/>
              </w:rPr>
            </w:pPr>
            <w:r w:rsidRPr="004F47BB">
              <w:rPr>
                <w:sz w:val="18"/>
                <w:szCs w:val="18"/>
              </w:rPr>
              <w:t>-</w:t>
            </w:r>
          </w:p>
        </w:tc>
      </w:tr>
      <w:tr w:rsidR="004F47BB" w:rsidRPr="004F47BB" w:rsidTr="00D45887">
        <w:trPr>
          <w:jc w:val="center"/>
        </w:trPr>
        <w:tc>
          <w:tcPr>
            <w:tcW w:w="1134" w:type="dxa"/>
          </w:tcPr>
          <w:p w:rsidR="004F47BB" w:rsidRPr="004F47BB" w:rsidRDefault="00F12BAF" w:rsidP="004F47BB">
            <w:pPr>
              <w:tabs>
                <w:tab w:val="left" w:pos="288"/>
                <w:tab w:val="left" w:pos="1800"/>
                <w:tab w:val="left" w:pos="2880"/>
                <w:tab w:val="left" w:pos="3816"/>
                <w:tab w:val="left" w:pos="5112"/>
              </w:tabs>
              <w:overflowPunct w:val="0"/>
              <w:adjustRightInd w:val="0"/>
              <w:spacing w:before="60" w:after="60" w:line="240" w:lineRule="atLeast"/>
              <w:ind w:left="113" w:right="113" w:firstLine="0"/>
              <w:jc w:val="left"/>
              <w:textAlignment w:val="baseline"/>
              <w:rPr>
                <w:sz w:val="18"/>
                <w:szCs w:val="18"/>
              </w:rPr>
            </w:pPr>
            <m:oMathPara>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7</m:t>
                    </m:r>
                  </m:sub>
                </m:sSub>
              </m:oMath>
            </m:oMathPara>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rPr>
            </w:pPr>
            <w:r w:rsidRPr="004F47BB">
              <w:rPr>
                <w:sz w:val="18"/>
                <w:szCs w:val="18"/>
              </w:rPr>
              <w:t>0,58</w:t>
            </w:r>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rPr>
            </w:pPr>
            <w:r w:rsidRPr="004F47BB">
              <w:rPr>
                <w:sz w:val="18"/>
                <w:szCs w:val="18"/>
              </w:rPr>
              <w:t>0,55</w:t>
            </w:r>
          </w:p>
        </w:tc>
        <w:tc>
          <w:tcPr>
            <w:tcW w:w="1134" w:type="dxa"/>
          </w:tcPr>
          <w:p w:rsidR="004F47BB" w:rsidRPr="004F47BB" w:rsidRDefault="004F47BB" w:rsidP="004F47BB">
            <w:pPr>
              <w:tabs>
                <w:tab w:val="decimal" w:pos="454"/>
              </w:tabs>
              <w:overflowPunct w:val="0"/>
              <w:adjustRightInd w:val="0"/>
              <w:spacing w:before="60" w:after="60" w:line="240" w:lineRule="atLeast"/>
              <w:ind w:left="113" w:right="113" w:firstLine="0"/>
              <w:jc w:val="left"/>
              <w:textAlignment w:val="baseline"/>
              <w:rPr>
                <w:sz w:val="18"/>
                <w:szCs w:val="18"/>
              </w:rPr>
            </w:pPr>
            <w:r w:rsidRPr="004F47BB">
              <w:rPr>
                <w:sz w:val="18"/>
                <w:szCs w:val="18"/>
              </w:rPr>
              <w:t>0,52</w:t>
            </w:r>
          </w:p>
        </w:tc>
        <w:tc>
          <w:tcPr>
            <w:tcW w:w="1701" w:type="dxa"/>
          </w:tcPr>
          <w:p w:rsidR="004F47BB" w:rsidRPr="004F47BB" w:rsidRDefault="004F47BB" w:rsidP="004F47BB">
            <w:pPr>
              <w:tabs>
                <w:tab w:val="left" w:pos="288"/>
                <w:tab w:val="left" w:pos="1800"/>
                <w:tab w:val="left" w:pos="2880"/>
                <w:tab w:val="left" w:pos="3816"/>
                <w:tab w:val="left" w:pos="5112"/>
              </w:tabs>
              <w:overflowPunct w:val="0"/>
              <w:adjustRightInd w:val="0"/>
              <w:spacing w:before="60" w:after="60" w:line="240" w:lineRule="atLeast"/>
              <w:ind w:left="113" w:right="113" w:firstLine="0"/>
              <w:jc w:val="center"/>
              <w:textAlignment w:val="baseline"/>
              <w:rPr>
                <w:sz w:val="18"/>
                <w:szCs w:val="18"/>
              </w:rPr>
            </w:pPr>
            <w:r w:rsidRPr="004F47BB">
              <w:rPr>
                <w:sz w:val="18"/>
                <w:szCs w:val="18"/>
              </w:rPr>
              <w:t>-</w:t>
            </w:r>
          </w:p>
        </w:tc>
      </w:tr>
    </w:tbl>
    <w:p w:rsidR="004F47BB" w:rsidRPr="004F47BB" w:rsidRDefault="004F47BB" w:rsidP="004F47BB">
      <w:pPr>
        <w:tabs>
          <w:tab w:val="left" w:pos="960"/>
          <w:tab w:val="left" w:pos="1344"/>
          <w:tab w:val="left" w:pos="7680"/>
        </w:tabs>
        <w:overflowPunct w:val="0"/>
        <w:adjustRightInd w:val="0"/>
        <w:spacing w:line="240" w:lineRule="exact"/>
        <w:ind w:left="0" w:firstLine="0"/>
        <w:jc w:val="left"/>
        <w:textAlignment w:val="baseline"/>
        <w:rPr>
          <w:szCs w:val="20"/>
        </w:rPr>
      </w:pPr>
    </w:p>
    <w:p w:rsidR="004F47BB" w:rsidRPr="004F47BB" w:rsidRDefault="004F47BB" w:rsidP="004F47BB">
      <w:pPr>
        <w:tabs>
          <w:tab w:val="left" w:pos="960"/>
          <w:tab w:val="left" w:pos="1344"/>
          <w:tab w:val="left" w:pos="7680"/>
        </w:tabs>
        <w:overflowPunct w:val="0"/>
        <w:adjustRightInd w:val="0"/>
        <w:spacing w:line="240" w:lineRule="exact"/>
        <w:ind w:left="0" w:firstLine="0"/>
        <w:jc w:val="left"/>
        <w:textAlignment w:val="baseline"/>
        <w:rPr>
          <w:szCs w:val="20"/>
        </w:rPr>
      </w:pPr>
    </w:p>
    <w:p w:rsidR="004F47BB" w:rsidRPr="004F47BB" w:rsidRDefault="004F47BB" w:rsidP="004F47BB">
      <w:pPr>
        <w:tabs>
          <w:tab w:val="left" w:pos="567"/>
        </w:tabs>
        <w:overflowPunct w:val="0"/>
        <w:adjustRightInd w:val="0"/>
        <w:spacing w:line="240" w:lineRule="atLeast"/>
        <w:ind w:left="567" w:firstLine="0"/>
        <w:textAlignment w:val="baseline"/>
        <w:rPr>
          <w:b/>
          <w:bCs/>
          <w:szCs w:val="20"/>
          <w:lang w:val="en-US"/>
        </w:rPr>
      </w:pPr>
      <w:r w:rsidRPr="004F47BB">
        <w:rPr>
          <w:b/>
          <w:bCs/>
          <w:szCs w:val="20"/>
          <w:lang w:val="en-US"/>
        </w:rPr>
        <w:t xml:space="preserve">Table 2: Coefficient </w:t>
      </w:r>
      <m:oMath>
        <m:r>
          <m:rPr>
            <m:sty m:val="bi"/>
          </m:rPr>
          <w:rPr>
            <w:rFonts w:ascii="Cambria Math" w:hAnsi="Cambria Math"/>
            <w:szCs w:val="20"/>
            <w:lang w:val="en-US"/>
          </w:rPr>
          <m:t>f</m:t>
        </m:r>
      </m:oMath>
      <w:r w:rsidRPr="004F47BB">
        <w:rPr>
          <w:b/>
          <w:bCs/>
          <w:szCs w:val="20"/>
          <w:lang w:val="en-US"/>
        </w:rPr>
        <w:t xml:space="preserve"> for ratio between bollard pull in reverse and the power of the propulsion engines</w:t>
      </w:r>
    </w:p>
    <w:p w:rsidR="004F47BB" w:rsidRPr="004F47BB" w:rsidRDefault="004F47BB" w:rsidP="004F47BB">
      <w:pPr>
        <w:tabs>
          <w:tab w:val="left" w:pos="960"/>
          <w:tab w:val="left" w:pos="1344"/>
          <w:tab w:val="left" w:pos="7680"/>
        </w:tabs>
        <w:overflowPunct w:val="0"/>
        <w:adjustRightInd w:val="0"/>
        <w:spacing w:line="240" w:lineRule="exact"/>
        <w:ind w:left="0" w:firstLine="0"/>
        <w:jc w:val="left"/>
        <w:textAlignment w:val="baseline"/>
        <w:rPr>
          <w:szCs w:val="20"/>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49"/>
        <w:gridCol w:w="1247"/>
        <w:gridCol w:w="1247"/>
      </w:tblGrid>
      <w:tr w:rsidR="004F47BB" w:rsidRPr="004F47BB" w:rsidTr="00D45887">
        <w:trPr>
          <w:jc w:val="center"/>
        </w:trPr>
        <w:tc>
          <w:tcPr>
            <w:tcW w:w="4649" w:type="dxa"/>
          </w:tcPr>
          <w:p w:rsidR="004F47BB" w:rsidRPr="004F47BB" w:rsidRDefault="004F47BB" w:rsidP="004F47BB">
            <w:pPr>
              <w:overflowPunct w:val="0"/>
              <w:adjustRightInd w:val="0"/>
              <w:spacing w:before="60" w:after="60" w:line="240" w:lineRule="exact"/>
              <w:ind w:left="113" w:right="113" w:firstLine="0"/>
              <w:jc w:val="center"/>
              <w:textAlignment w:val="baseline"/>
              <w:rPr>
                <w:sz w:val="18"/>
                <w:szCs w:val="18"/>
              </w:rPr>
            </w:pPr>
            <w:r w:rsidRPr="004F47BB">
              <w:rPr>
                <w:sz w:val="18"/>
                <w:szCs w:val="18"/>
              </w:rPr>
              <w:t>Propulsion system</w:t>
            </w:r>
          </w:p>
        </w:tc>
        <w:tc>
          <w:tcPr>
            <w:tcW w:w="1247" w:type="dxa"/>
          </w:tcPr>
          <w:p w:rsidR="004F47BB" w:rsidRPr="004F47BB" w:rsidRDefault="004F47BB" w:rsidP="004F47BB">
            <w:pPr>
              <w:tabs>
                <w:tab w:val="left" w:pos="567"/>
              </w:tabs>
              <w:overflowPunct w:val="0"/>
              <w:adjustRightInd w:val="0"/>
              <w:spacing w:before="60" w:after="60" w:line="240" w:lineRule="exact"/>
              <w:ind w:left="113" w:right="113" w:firstLine="0"/>
              <w:jc w:val="center"/>
              <w:textAlignment w:val="baseline"/>
              <w:rPr>
                <w:sz w:val="18"/>
                <w:szCs w:val="18"/>
              </w:rPr>
            </w:pPr>
            <m:oMathPara>
              <m:oMath>
                <m:r>
                  <w:rPr>
                    <w:rFonts w:ascii="Cambria Math" w:hAnsi="Cambria Math"/>
                    <w:sz w:val="18"/>
                    <w:szCs w:val="18"/>
                  </w:rPr>
                  <m:t>f</m:t>
                </m:r>
              </m:oMath>
            </m:oMathPara>
          </w:p>
        </w:tc>
        <w:tc>
          <w:tcPr>
            <w:tcW w:w="1247" w:type="dxa"/>
          </w:tcPr>
          <w:p w:rsidR="004F47BB" w:rsidRPr="004F47BB" w:rsidRDefault="004F47BB" w:rsidP="004F47BB">
            <w:pPr>
              <w:overflowPunct w:val="0"/>
              <w:adjustRightInd w:val="0"/>
              <w:spacing w:before="60" w:after="60" w:line="240" w:lineRule="exact"/>
              <w:ind w:left="113" w:right="113" w:firstLine="0"/>
              <w:jc w:val="center"/>
              <w:textAlignment w:val="baseline"/>
              <w:rPr>
                <w:sz w:val="18"/>
                <w:szCs w:val="18"/>
              </w:rPr>
            </w:pPr>
            <w:r w:rsidRPr="004F47BB">
              <w:rPr>
                <w:sz w:val="18"/>
                <w:szCs w:val="18"/>
              </w:rPr>
              <w:t>Units</w:t>
            </w:r>
          </w:p>
        </w:tc>
      </w:tr>
      <w:tr w:rsidR="004F47BB" w:rsidRPr="004F47BB" w:rsidTr="00D45887">
        <w:trPr>
          <w:jc w:val="center"/>
        </w:trPr>
        <w:tc>
          <w:tcPr>
            <w:tcW w:w="4649" w:type="dxa"/>
          </w:tcPr>
          <w:p w:rsidR="004F47BB" w:rsidRPr="004F47BB" w:rsidRDefault="004F47BB" w:rsidP="004F47BB">
            <w:pPr>
              <w:overflowPunct w:val="0"/>
              <w:adjustRightInd w:val="0"/>
              <w:spacing w:before="60" w:after="60" w:line="240" w:lineRule="exact"/>
              <w:ind w:left="113" w:right="113" w:firstLine="0"/>
              <w:textAlignment w:val="baseline"/>
              <w:rPr>
                <w:sz w:val="18"/>
                <w:szCs w:val="18"/>
                <w:lang w:val="en-US"/>
              </w:rPr>
            </w:pPr>
            <w:r w:rsidRPr="004F47BB">
              <w:rPr>
                <w:sz w:val="18"/>
                <w:szCs w:val="18"/>
                <w:lang w:val="en-US"/>
              </w:rPr>
              <w:t>Modern nozzles with rounded rear edge</w:t>
            </w:r>
          </w:p>
        </w:tc>
        <w:tc>
          <w:tcPr>
            <w:tcW w:w="1247" w:type="dxa"/>
          </w:tcPr>
          <w:p w:rsidR="004F47BB" w:rsidRPr="004F47BB" w:rsidRDefault="004F47BB" w:rsidP="004F47BB">
            <w:pPr>
              <w:tabs>
                <w:tab w:val="decimal" w:pos="454"/>
              </w:tabs>
              <w:overflowPunct w:val="0"/>
              <w:adjustRightInd w:val="0"/>
              <w:spacing w:before="60" w:after="60" w:line="240" w:lineRule="exact"/>
              <w:ind w:left="113" w:right="113" w:firstLine="0"/>
              <w:jc w:val="left"/>
              <w:textAlignment w:val="baseline"/>
              <w:rPr>
                <w:sz w:val="18"/>
                <w:szCs w:val="18"/>
              </w:rPr>
            </w:pPr>
            <w:r w:rsidRPr="004F47BB">
              <w:rPr>
                <w:sz w:val="18"/>
                <w:szCs w:val="18"/>
              </w:rPr>
              <w:t>0,118</w:t>
            </w:r>
          </w:p>
        </w:tc>
        <w:tc>
          <w:tcPr>
            <w:tcW w:w="1247" w:type="dxa"/>
          </w:tcPr>
          <w:p w:rsidR="004F47BB" w:rsidRPr="004F47BB" w:rsidRDefault="004F47BB" w:rsidP="004F47BB">
            <w:pPr>
              <w:overflowPunct w:val="0"/>
              <w:adjustRightInd w:val="0"/>
              <w:spacing w:before="60" w:after="60" w:line="240" w:lineRule="exact"/>
              <w:ind w:left="113" w:right="113" w:firstLine="0"/>
              <w:jc w:val="center"/>
              <w:textAlignment w:val="baseline"/>
              <w:rPr>
                <w:sz w:val="18"/>
                <w:szCs w:val="18"/>
              </w:rPr>
            </w:pPr>
            <w:r w:rsidRPr="004F47BB">
              <w:rPr>
                <w:sz w:val="18"/>
                <w:szCs w:val="18"/>
              </w:rPr>
              <w:t>kN/kW</w:t>
            </w:r>
          </w:p>
        </w:tc>
      </w:tr>
      <w:tr w:rsidR="004F47BB" w:rsidRPr="004F47BB" w:rsidTr="00D45887">
        <w:trPr>
          <w:jc w:val="center"/>
        </w:trPr>
        <w:tc>
          <w:tcPr>
            <w:tcW w:w="4649" w:type="dxa"/>
          </w:tcPr>
          <w:p w:rsidR="004F47BB" w:rsidRPr="004F47BB" w:rsidRDefault="004F47BB" w:rsidP="004F47BB">
            <w:pPr>
              <w:overflowPunct w:val="0"/>
              <w:adjustRightInd w:val="0"/>
              <w:spacing w:before="60" w:after="60" w:line="240" w:lineRule="exact"/>
              <w:ind w:left="113" w:right="113" w:firstLine="0"/>
              <w:textAlignment w:val="baseline"/>
              <w:rPr>
                <w:sz w:val="18"/>
                <w:szCs w:val="18"/>
                <w:lang w:val="en-US"/>
              </w:rPr>
            </w:pPr>
            <w:r w:rsidRPr="004F47BB">
              <w:rPr>
                <w:sz w:val="18"/>
                <w:szCs w:val="18"/>
                <w:lang w:val="en-US"/>
              </w:rPr>
              <w:t>Old nozzles with sharp rear edge</w:t>
            </w:r>
          </w:p>
        </w:tc>
        <w:tc>
          <w:tcPr>
            <w:tcW w:w="1247" w:type="dxa"/>
          </w:tcPr>
          <w:p w:rsidR="004F47BB" w:rsidRPr="004F47BB" w:rsidRDefault="004F47BB" w:rsidP="004F47BB">
            <w:pPr>
              <w:tabs>
                <w:tab w:val="decimal" w:pos="454"/>
              </w:tabs>
              <w:overflowPunct w:val="0"/>
              <w:adjustRightInd w:val="0"/>
              <w:spacing w:before="60" w:after="60" w:line="240" w:lineRule="exact"/>
              <w:ind w:left="113" w:right="113" w:firstLine="0"/>
              <w:jc w:val="left"/>
              <w:textAlignment w:val="baseline"/>
              <w:rPr>
                <w:sz w:val="18"/>
                <w:szCs w:val="18"/>
              </w:rPr>
            </w:pPr>
            <w:r w:rsidRPr="004F47BB">
              <w:rPr>
                <w:sz w:val="18"/>
                <w:szCs w:val="18"/>
              </w:rPr>
              <w:t>0,112</w:t>
            </w:r>
          </w:p>
        </w:tc>
        <w:tc>
          <w:tcPr>
            <w:tcW w:w="1247" w:type="dxa"/>
          </w:tcPr>
          <w:p w:rsidR="004F47BB" w:rsidRPr="004F47BB" w:rsidRDefault="004F47BB" w:rsidP="004F47BB">
            <w:pPr>
              <w:overflowPunct w:val="0"/>
              <w:adjustRightInd w:val="0"/>
              <w:spacing w:before="60" w:after="60" w:line="240" w:lineRule="exact"/>
              <w:ind w:left="113" w:right="113" w:firstLine="0"/>
              <w:jc w:val="center"/>
              <w:textAlignment w:val="baseline"/>
              <w:rPr>
                <w:sz w:val="18"/>
                <w:szCs w:val="18"/>
              </w:rPr>
            </w:pPr>
            <w:r w:rsidRPr="004F47BB">
              <w:rPr>
                <w:sz w:val="18"/>
                <w:szCs w:val="18"/>
              </w:rPr>
              <w:t>kN/kW</w:t>
            </w:r>
          </w:p>
        </w:tc>
      </w:tr>
      <w:tr w:rsidR="004F47BB" w:rsidRPr="004F47BB" w:rsidTr="00D45887">
        <w:trPr>
          <w:jc w:val="center"/>
        </w:trPr>
        <w:tc>
          <w:tcPr>
            <w:tcW w:w="4649" w:type="dxa"/>
          </w:tcPr>
          <w:p w:rsidR="004F47BB" w:rsidRPr="004F47BB" w:rsidRDefault="004F47BB" w:rsidP="004F47BB">
            <w:pPr>
              <w:overflowPunct w:val="0"/>
              <w:adjustRightInd w:val="0"/>
              <w:spacing w:before="60" w:after="60" w:line="240" w:lineRule="exact"/>
              <w:ind w:left="113" w:right="113" w:firstLine="0"/>
              <w:textAlignment w:val="baseline"/>
              <w:rPr>
                <w:sz w:val="18"/>
                <w:szCs w:val="18"/>
              </w:rPr>
            </w:pPr>
            <w:r w:rsidRPr="004F47BB">
              <w:rPr>
                <w:sz w:val="18"/>
                <w:szCs w:val="18"/>
              </w:rPr>
              <w:t>Propellers without nozzle</w:t>
            </w:r>
          </w:p>
        </w:tc>
        <w:tc>
          <w:tcPr>
            <w:tcW w:w="1247" w:type="dxa"/>
          </w:tcPr>
          <w:p w:rsidR="004F47BB" w:rsidRPr="004F47BB" w:rsidRDefault="004F47BB" w:rsidP="004F47BB">
            <w:pPr>
              <w:tabs>
                <w:tab w:val="decimal" w:pos="454"/>
              </w:tabs>
              <w:overflowPunct w:val="0"/>
              <w:adjustRightInd w:val="0"/>
              <w:spacing w:before="60" w:after="60" w:line="240" w:lineRule="exact"/>
              <w:ind w:left="113" w:right="113" w:firstLine="0"/>
              <w:jc w:val="left"/>
              <w:textAlignment w:val="baseline"/>
              <w:rPr>
                <w:sz w:val="18"/>
                <w:szCs w:val="18"/>
              </w:rPr>
            </w:pPr>
            <w:r w:rsidRPr="004F47BB">
              <w:rPr>
                <w:sz w:val="18"/>
                <w:szCs w:val="18"/>
              </w:rPr>
              <w:t>0,096</w:t>
            </w:r>
          </w:p>
        </w:tc>
        <w:tc>
          <w:tcPr>
            <w:tcW w:w="1247" w:type="dxa"/>
          </w:tcPr>
          <w:p w:rsidR="004F47BB" w:rsidRPr="004F47BB" w:rsidRDefault="004F47BB" w:rsidP="004F47BB">
            <w:pPr>
              <w:overflowPunct w:val="0"/>
              <w:adjustRightInd w:val="0"/>
              <w:spacing w:before="60" w:after="60" w:line="240" w:lineRule="exact"/>
              <w:ind w:left="113" w:right="113" w:firstLine="0"/>
              <w:jc w:val="center"/>
              <w:textAlignment w:val="baseline"/>
              <w:rPr>
                <w:sz w:val="18"/>
                <w:szCs w:val="18"/>
              </w:rPr>
            </w:pPr>
            <w:r w:rsidRPr="004F47BB">
              <w:rPr>
                <w:sz w:val="18"/>
                <w:szCs w:val="18"/>
              </w:rPr>
              <w:t>kN/kW</w:t>
            </w:r>
          </w:p>
        </w:tc>
      </w:tr>
      <w:tr w:rsidR="004F47BB" w:rsidRPr="004F47BB" w:rsidTr="00D45887">
        <w:trPr>
          <w:jc w:val="center"/>
        </w:trPr>
        <w:tc>
          <w:tcPr>
            <w:tcW w:w="4649" w:type="dxa"/>
          </w:tcPr>
          <w:p w:rsidR="004F47BB" w:rsidRPr="004F47BB" w:rsidRDefault="004F47BB" w:rsidP="004F47BB">
            <w:pPr>
              <w:overflowPunct w:val="0"/>
              <w:adjustRightInd w:val="0"/>
              <w:spacing w:before="60" w:after="60" w:line="240" w:lineRule="exact"/>
              <w:ind w:left="113" w:right="113" w:firstLine="0"/>
              <w:textAlignment w:val="baseline"/>
              <w:rPr>
                <w:sz w:val="18"/>
                <w:szCs w:val="18"/>
                <w:lang w:val="en-US"/>
              </w:rPr>
            </w:pPr>
            <w:r w:rsidRPr="004F47BB">
              <w:rPr>
                <w:sz w:val="18"/>
                <w:szCs w:val="18"/>
                <w:lang w:val="en-US"/>
              </w:rPr>
              <w:t>Rudder propellers with nozzles (generally sharp rear edge)</w:t>
            </w:r>
          </w:p>
        </w:tc>
        <w:tc>
          <w:tcPr>
            <w:tcW w:w="1247" w:type="dxa"/>
          </w:tcPr>
          <w:p w:rsidR="004F47BB" w:rsidRPr="004F47BB" w:rsidRDefault="004F47BB" w:rsidP="004F47BB">
            <w:pPr>
              <w:tabs>
                <w:tab w:val="decimal" w:pos="454"/>
              </w:tabs>
              <w:overflowPunct w:val="0"/>
              <w:adjustRightInd w:val="0"/>
              <w:spacing w:before="180" w:after="60" w:line="240" w:lineRule="exact"/>
              <w:ind w:left="113" w:right="113" w:firstLine="0"/>
              <w:jc w:val="left"/>
              <w:textAlignment w:val="baseline"/>
              <w:rPr>
                <w:sz w:val="18"/>
                <w:szCs w:val="18"/>
              </w:rPr>
            </w:pPr>
            <w:r w:rsidRPr="004F47BB">
              <w:rPr>
                <w:sz w:val="18"/>
                <w:szCs w:val="18"/>
              </w:rPr>
              <w:t>0,157</w:t>
            </w:r>
          </w:p>
        </w:tc>
        <w:tc>
          <w:tcPr>
            <w:tcW w:w="1247" w:type="dxa"/>
          </w:tcPr>
          <w:p w:rsidR="004F47BB" w:rsidRPr="004F47BB" w:rsidRDefault="004F47BB" w:rsidP="004F47BB">
            <w:pPr>
              <w:overflowPunct w:val="0"/>
              <w:adjustRightInd w:val="0"/>
              <w:spacing w:before="180" w:after="60" w:line="240" w:lineRule="exact"/>
              <w:ind w:left="113" w:right="113" w:firstLine="0"/>
              <w:jc w:val="center"/>
              <w:textAlignment w:val="baseline"/>
              <w:rPr>
                <w:sz w:val="18"/>
                <w:szCs w:val="18"/>
              </w:rPr>
            </w:pPr>
            <w:r w:rsidRPr="004F47BB">
              <w:rPr>
                <w:sz w:val="18"/>
                <w:szCs w:val="18"/>
              </w:rPr>
              <w:t>kN/kW</w:t>
            </w:r>
          </w:p>
        </w:tc>
      </w:tr>
      <w:tr w:rsidR="004F47BB" w:rsidRPr="004F47BB" w:rsidTr="00D45887">
        <w:trPr>
          <w:jc w:val="center"/>
        </w:trPr>
        <w:tc>
          <w:tcPr>
            <w:tcW w:w="4649" w:type="dxa"/>
          </w:tcPr>
          <w:p w:rsidR="004F47BB" w:rsidRPr="004F47BB" w:rsidRDefault="004F47BB" w:rsidP="004F47BB">
            <w:pPr>
              <w:overflowPunct w:val="0"/>
              <w:adjustRightInd w:val="0"/>
              <w:spacing w:before="60" w:after="60" w:line="240" w:lineRule="exact"/>
              <w:ind w:left="113" w:right="113" w:firstLine="0"/>
              <w:textAlignment w:val="baseline"/>
              <w:rPr>
                <w:sz w:val="18"/>
                <w:szCs w:val="18"/>
              </w:rPr>
            </w:pPr>
            <w:r w:rsidRPr="004F47BB">
              <w:rPr>
                <w:sz w:val="18"/>
                <w:szCs w:val="18"/>
              </w:rPr>
              <w:t>Rudder propellers without nozzles</w:t>
            </w:r>
          </w:p>
        </w:tc>
        <w:tc>
          <w:tcPr>
            <w:tcW w:w="1247" w:type="dxa"/>
          </w:tcPr>
          <w:p w:rsidR="004F47BB" w:rsidRPr="004F47BB" w:rsidRDefault="004F47BB" w:rsidP="004F47BB">
            <w:pPr>
              <w:tabs>
                <w:tab w:val="decimal" w:pos="454"/>
              </w:tabs>
              <w:overflowPunct w:val="0"/>
              <w:adjustRightInd w:val="0"/>
              <w:spacing w:before="60" w:after="60" w:line="240" w:lineRule="exact"/>
              <w:ind w:left="113" w:right="113" w:firstLine="0"/>
              <w:jc w:val="left"/>
              <w:textAlignment w:val="baseline"/>
              <w:rPr>
                <w:sz w:val="18"/>
                <w:szCs w:val="18"/>
              </w:rPr>
            </w:pPr>
            <w:r w:rsidRPr="004F47BB">
              <w:rPr>
                <w:sz w:val="18"/>
                <w:szCs w:val="18"/>
              </w:rPr>
              <w:t>0,113</w:t>
            </w:r>
          </w:p>
        </w:tc>
        <w:tc>
          <w:tcPr>
            <w:tcW w:w="1247" w:type="dxa"/>
          </w:tcPr>
          <w:p w:rsidR="004F47BB" w:rsidRPr="004F47BB" w:rsidRDefault="004F47BB" w:rsidP="004F47BB">
            <w:pPr>
              <w:overflowPunct w:val="0"/>
              <w:adjustRightInd w:val="0"/>
              <w:spacing w:before="60" w:after="60" w:line="240" w:lineRule="exact"/>
              <w:ind w:left="113" w:right="113" w:firstLine="0"/>
              <w:jc w:val="center"/>
              <w:textAlignment w:val="baseline"/>
              <w:rPr>
                <w:sz w:val="18"/>
                <w:szCs w:val="18"/>
              </w:rPr>
            </w:pPr>
            <w:r w:rsidRPr="004F47BB">
              <w:rPr>
                <w:sz w:val="18"/>
                <w:szCs w:val="18"/>
              </w:rPr>
              <w:t>kN/kW</w:t>
            </w:r>
          </w:p>
        </w:tc>
      </w:tr>
    </w:tbl>
    <w:p w:rsidR="004F47BB" w:rsidRPr="004F47BB" w:rsidRDefault="004F47BB" w:rsidP="004F47BB">
      <w:pPr>
        <w:tabs>
          <w:tab w:val="left" w:pos="504"/>
          <w:tab w:val="left" w:pos="1344"/>
          <w:tab w:val="left" w:pos="3384"/>
          <w:tab w:val="left" w:pos="6264"/>
          <w:tab w:val="left" w:pos="7416"/>
        </w:tabs>
        <w:overflowPunct w:val="0"/>
        <w:adjustRightInd w:val="0"/>
        <w:spacing w:line="240" w:lineRule="exact"/>
        <w:ind w:left="0" w:firstLine="0"/>
        <w:jc w:val="left"/>
        <w:textAlignment w:val="baseline"/>
        <w:rPr>
          <w:szCs w:val="20"/>
        </w:rPr>
      </w:pPr>
    </w:p>
    <w:p w:rsidR="004F47BB" w:rsidRPr="004F47BB" w:rsidRDefault="004F47BB" w:rsidP="004F47BB">
      <w:pPr>
        <w:tabs>
          <w:tab w:val="left" w:pos="960"/>
          <w:tab w:val="left" w:pos="1344"/>
          <w:tab w:val="left" w:pos="7680"/>
        </w:tabs>
        <w:overflowPunct w:val="0"/>
        <w:adjustRightInd w:val="0"/>
        <w:spacing w:line="240" w:lineRule="exact"/>
        <w:ind w:left="0" w:firstLine="0"/>
        <w:jc w:val="left"/>
        <w:textAlignment w:val="baseline"/>
        <w:rPr>
          <w:szCs w:val="20"/>
        </w:rPr>
      </w:pPr>
    </w:p>
    <w:p w:rsidR="004F47BB" w:rsidRPr="004F47BB" w:rsidRDefault="004F47BB" w:rsidP="004F47BB">
      <w:pPr>
        <w:tabs>
          <w:tab w:val="left" w:pos="960"/>
          <w:tab w:val="left" w:pos="1344"/>
          <w:tab w:val="left" w:pos="7680"/>
        </w:tabs>
        <w:overflowPunct w:val="0"/>
        <w:adjustRightInd w:val="0"/>
        <w:spacing w:line="240" w:lineRule="exact"/>
        <w:ind w:left="0" w:firstLine="0"/>
        <w:jc w:val="left"/>
        <w:textAlignment w:val="baseline"/>
        <w:rPr>
          <w:szCs w:val="20"/>
        </w:rPr>
      </w:pPr>
    </w:p>
    <w:p w:rsidR="004F47BB" w:rsidRPr="004F47BB" w:rsidRDefault="004F47BB" w:rsidP="004F47BB">
      <w:pPr>
        <w:tabs>
          <w:tab w:val="left" w:pos="960"/>
          <w:tab w:val="left" w:pos="1344"/>
          <w:tab w:val="left" w:pos="7680"/>
        </w:tabs>
        <w:overflowPunct w:val="0"/>
        <w:adjustRightInd w:val="0"/>
        <w:spacing w:line="240" w:lineRule="exact"/>
        <w:ind w:left="0" w:firstLine="0"/>
        <w:jc w:val="center"/>
        <w:textAlignment w:val="baseline"/>
        <w:rPr>
          <w:szCs w:val="20"/>
        </w:rPr>
      </w:pPr>
      <w:r w:rsidRPr="004F47BB">
        <w:rPr>
          <w:szCs w:val="20"/>
        </w:rPr>
        <w:br w:type="page"/>
      </w:r>
    </w:p>
    <w:p w:rsidR="004F47BB" w:rsidRPr="004F47BB" w:rsidRDefault="004F47BB" w:rsidP="004F47BB">
      <w:pPr>
        <w:tabs>
          <w:tab w:val="left" w:pos="284"/>
        </w:tabs>
        <w:overflowPunct w:val="0"/>
        <w:adjustRightInd w:val="0"/>
        <w:spacing w:line="240" w:lineRule="atLeast"/>
        <w:ind w:left="567" w:firstLine="0"/>
        <w:textAlignment w:val="baseline"/>
        <w:rPr>
          <w:szCs w:val="20"/>
          <w:lang w:val="en-US"/>
        </w:rPr>
      </w:pPr>
      <w:r w:rsidRPr="004F47BB">
        <w:rPr>
          <w:b/>
          <w:szCs w:val="20"/>
          <w:lang w:val="en-US"/>
        </w:rPr>
        <w:lastRenderedPageBreak/>
        <w:t>Table 3: Diagram concerning the calculation of resistance t</w:t>
      </w:r>
      <w:r w:rsidRPr="004F47BB">
        <w:rPr>
          <w:b/>
          <w:noProof/>
          <w:lang w:val="en-US"/>
        </w:rPr>
        <w:t xml:space="preserve">o determine the value of </w:t>
      </w:r>
      <m:oMath>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T</m:t>
            </m:r>
          </m:sub>
        </m:sSub>
        <m:r>
          <w:rPr>
            <w:rFonts w:ascii="Cambria Math" w:hAnsi="Cambria Math"/>
            <w:noProof/>
            <w:lang w:val="en-US"/>
          </w:rPr>
          <m:t>/</m:t>
        </m:r>
        <m:sSup>
          <m:sSupPr>
            <m:ctrlPr>
              <w:rPr>
                <w:rFonts w:ascii="Cambria Math" w:hAnsi="Cambria Math"/>
                <w:i/>
                <w:noProof/>
                <w:lang w:val="en-US"/>
              </w:rPr>
            </m:ctrlPr>
          </m:sSupPr>
          <m:e>
            <m:r>
              <w:rPr>
                <w:rFonts w:ascii="Cambria Math" w:hAnsi="Cambria Math"/>
                <w:noProof/>
                <w:lang w:val="en-US"/>
              </w:rPr>
              <m:t>v</m:t>
            </m:r>
          </m:e>
          <m:sup>
            <m:r>
              <w:rPr>
                <w:rFonts w:ascii="Cambria Math" w:hAnsi="Cambria Math"/>
                <w:noProof/>
                <w:lang w:val="en-US"/>
              </w:rPr>
              <m:t>2</m:t>
            </m:r>
          </m:sup>
        </m:sSup>
      </m:oMath>
      <w:r w:rsidRPr="004F47BB">
        <w:rPr>
          <w:b/>
          <w:noProof/>
          <w:lang w:val="en-US"/>
        </w:rPr>
        <w:t xml:space="preserve"> in relation to </w:t>
      </w:r>
      <m:oMath>
        <m:sSup>
          <m:sSupPr>
            <m:ctrlPr>
              <w:rPr>
                <w:rFonts w:ascii="Cambria Math" w:hAnsi="Cambria Math"/>
                <w:i/>
                <w:noProof/>
                <w:lang w:val="en-US"/>
              </w:rPr>
            </m:ctrlPr>
          </m:sSupPr>
          <m:e>
            <m:r>
              <w:rPr>
                <w:rFonts w:ascii="Cambria Math" w:hAnsi="Cambria Math"/>
                <w:noProof/>
                <w:lang w:val="en-US"/>
              </w:rPr>
              <m:t>D</m:t>
            </m:r>
          </m:e>
          <m:sup>
            <m:r>
              <w:rPr>
                <w:rFonts w:ascii="Cambria Math" w:hAnsi="Cambria Math"/>
                <w:noProof/>
                <w:lang w:val="en-US"/>
              </w:rPr>
              <m:t>1/3</m:t>
            </m:r>
          </m:sup>
        </m:sSup>
        <m:r>
          <w:rPr>
            <w:rFonts w:ascii="Cambria Math" w:hAnsi="Cambria Math"/>
            <w:noProof/>
            <w:lang w:val="en-US"/>
          </w:rPr>
          <m:t xml:space="preserve"> </m:t>
        </m:r>
        <m:d>
          <m:dPr>
            <m:begChr m:val="["/>
            <m:endChr m:val="]"/>
            <m:ctrlPr>
              <w:rPr>
                <w:rFonts w:ascii="Cambria Math" w:hAnsi="Cambria Math"/>
                <w:i/>
                <w:noProof/>
                <w:lang w:val="en-US"/>
              </w:rPr>
            </m:ctrlPr>
          </m:dPr>
          <m:e>
            <m:r>
              <w:rPr>
                <w:rFonts w:ascii="Cambria Math" w:hAnsi="Cambria Math"/>
                <w:noProof/>
                <w:lang w:val="en-US"/>
              </w:rPr>
              <m:t>B+2T</m:t>
            </m:r>
          </m:e>
        </m:d>
      </m:oMath>
      <w:r w:rsidRPr="004F47BB">
        <w:rPr>
          <w:b/>
          <w:noProof/>
          <w:lang w:val="en-US"/>
        </w:rPr>
        <w:t>:</w:t>
      </w:r>
    </w:p>
    <w:p w:rsidR="004F47BB" w:rsidRPr="004F47BB" w:rsidRDefault="004F47BB" w:rsidP="004F47BB">
      <w:pPr>
        <w:framePr w:hSpace="141" w:wrap="around" w:vAnchor="text" w:hAnchor="page" w:x="2380" w:y="426"/>
        <w:overflowPunct w:val="0"/>
        <w:adjustRightInd w:val="0"/>
        <w:ind w:left="0" w:firstLine="0"/>
        <w:jc w:val="left"/>
        <w:textAlignment w:val="baseline"/>
        <w:rPr>
          <w:rFonts w:ascii="Times New Roman" w:hAnsi="Times New Roman"/>
          <w:szCs w:val="20"/>
          <w:lang w:val="en-US"/>
        </w:rPr>
      </w:pPr>
      <w:r w:rsidRPr="004F47BB">
        <w:rPr>
          <w:rFonts w:ascii="Times New Roman" w:hAnsi="Times New Roman"/>
          <w:noProof/>
          <w:szCs w:val="20"/>
        </w:rPr>
        <w:drawing>
          <wp:inline distT="0" distB="0" distL="0" distR="0" wp14:anchorId="37C85B88" wp14:editId="1C6C3412">
            <wp:extent cx="4686300" cy="6819900"/>
            <wp:effectExtent l="0" t="0" r="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86300" cy="6819900"/>
                    </a:xfrm>
                    <a:prstGeom prst="rect">
                      <a:avLst/>
                    </a:prstGeom>
                    <a:noFill/>
                    <a:ln>
                      <a:noFill/>
                    </a:ln>
                  </pic:spPr>
                </pic:pic>
              </a:graphicData>
            </a:graphic>
          </wp:inline>
        </w:drawing>
      </w:r>
    </w:p>
    <w:p w:rsidR="004F47BB" w:rsidRPr="004F47BB" w:rsidRDefault="00F12BAF" w:rsidP="004F47BB">
      <w:pPr>
        <w:framePr w:w="628" w:h="391" w:hSpace="141" w:wrap="around" w:vAnchor="text" w:hAnchor="page" w:x="1780" w:y="471"/>
        <w:overflowPunct w:val="0"/>
        <w:adjustRightInd w:val="0"/>
        <w:ind w:left="0" w:firstLine="0"/>
        <w:jc w:val="left"/>
        <w:textAlignment w:val="baseline"/>
        <w:rPr>
          <w:rFonts w:ascii="Times New Roman" w:hAnsi="Times New Roman"/>
          <w:szCs w:val="20"/>
          <w:lang w:val="en-US"/>
        </w:rPr>
      </w:pPr>
      <m:oMathPara>
        <m:oMath>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T</m:t>
              </m:r>
            </m:sub>
          </m:sSub>
          <m:r>
            <w:rPr>
              <w:rFonts w:ascii="Cambria Math" w:hAnsi="Cambria Math"/>
              <w:noProof/>
              <w:lang w:val="en-US"/>
            </w:rPr>
            <m:t>/</m:t>
          </m:r>
          <m:sSup>
            <m:sSupPr>
              <m:ctrlPr>
                <w:rPr>
                  <w:rFonts w:ascii="Cambria Math" w:hAnsi="Cambria Math"/>
                  <w:i/>
                  <w:noProof/>
                  <w:lang w:val="en-US"/>
                </w:rPr>
              </m:ctrlPr>
            </m:sSupPr>
            <m:e>
              <m:r>
                <w:rPr>
                  <w:rFonts w:ascii="Cambria Math" w:hAnsi="Cambria Math"/>
                  <w:noProof/>
                  <w:lang w:val="en-US"/>
                </w:rPr>
                <m:t>v</m:t>
              </m:r>
            </m:e>
            <m:sup>
              <m:r>
                <w:rPr>
                  <w:rFonts w:ascii="Cambria Math" w:hAnsi="Cambria Math"/>
                  <w:noProof/>
                  <w:lang w:val="en-US"/>
                </w:rPr>
                <m:t>2</m:t>
              </m:r>
            </m:sup>
          </m:sSup>
        </m:oMath>
      </m:oMathPara>
    </w:p>
    <w:p w:rsidR="004F47BB" w:rsidRPr="004F47BB" w:rsidRDefault="004F47BB" w:rsidP="004F47BB">
      <w:pPr>
        <w:tabs>
          <w:tab w:val="left" w:pos="960"/>
          <w:tab w:val="left" w:pos="1344"/>
          <w:tab w:val="left" w:pos="7680"/>
        </w:tabs>
        <w:overflowPunct w:val="0"/>
        <w:adjustRightInd w:val="0"/>
        <w:spacing w:line="240" w:lineRule="atLeast"/>
        <w:ind w:left="0" w:firstLine="0"/>
        <w:jc w:val="left"/>
        <w:textAlignment w:val="baseline"/>
        <w:rPr>
          <w:szCs w:val="20"/>
          <w:lang w:val="en-US"/>
        </w:rPr>
      </w:pPr>
      <w:r w:rsidRPr="004F47BB">
        <w:rPr>
          <w:rFonts w:ascii="Times New Roman" w:hAnsi="Times New Roman"/>
          <w:noProof/>
          <w:szCs w:val="20"/>
        </w:rPr>
        <mc:AlternateContent>
          <mc:Choice Requires="wps">
            <w:drawing>
              <wp:anchor distT="0" distB="0" distL="114300" distR="114300" simplePos="0" relativeHeight="251685888" behindDoc="1" locked="0" layoutInCell="1" allowOverlap="1" wp14:anchorId="7E164AD6" wp14:editId="3841EBB4">
                <wp:simplePos x="0" y="0"/>
                <wp:positionH relativeFrom="column">
                  <wp:posOffset>-304165</wp:posOffset>
                </wp:positionH>
                <wp:positionV relativeFrom="paragraph">
                  <wp:posOffset>851535</wp:posOffset>
                </wp:positionV>
                <wp:extent cx="1009015" cy="517525"/>
                <wp:effectExtent l="0" t="0" r="0" b="0"/>
                <wp:wrapNone/>
                <wp:docPr id="7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D30EF5" w:rsidRDefault="00F12BAF" w:rsidP="004F47BB">
                            <w:pPr>
                              <w:tabs>
                                <w:tab w:val="left" w:pos="960"/>
                                <w:tab w:val="left" w:pos="1344"/>
                                <w:tab w:val="left" w:pos="7680"/>
                              </w:tabs>
                              <w:overflowPunct w:val="0"/>
                              <w:adjustRightInd w:val="0"/>
                              <w:spacing w:line="240" w:lineRule="atLeast"/>
                              <w:ind w:left="0" w:firstLine="0"/>
                              <w:jc w:val="left"/>
                              <w:textAlignment w:val="baseline"/>
                            </w:pPr>
                            <m:oMathPara>
                              <m:oMath>
                                <m:d>
                                  <m:dPr>
                                    <m:begChr m:val="["/>
                                    <m:endChr m:val="]"/>
                                    <m:ctrlPr>
                                      <w:rPr>
                                        <w:rFonts w:ascii="Cambria Math" w:hAnsi="Cambria Math"/>
                                        <w:i/>
                                        <w:szCs w:val="20"/>
                                        <w:lang w:val="en-US"/>
                                      </w:rPr>
                                    </m:ctrlPr>
                                  </m:dPr>
                                  <m:e>
                                    <m:f>
                                      <m:fPr>
                                        <m:ctrlPr>
                                          <w:rPr>
                                            <w:rFonts w:ascii="Cambria Math" w:hAnsi="Cambria Math"/>
                                            <w:i/>
                                            <w:szCs w:val="20"/>
                                            <w:lang w:val="en-US"/>
                                          </w:rPr>
                                        </m:ctrlPr>
                                      </m:fPr>
                                      <m:num>
                                        <m:r>
                                          <w:rPr>
                                            <w:rFonts w:ascii="Cambria Math" w:hAnsi="Cambria Math"/>
                                            <w:szCs w:val="20"/>
                                            <w:lang w:val="en-US"/>
                                          </w:rPr>
                                          <m:t xml:space="preserve">kN ∙ </m:t>
                                        </m:r>
                                        <m:sSup>
                                          <m:sSupPr>
                                            <m:ctrlPr>
                                              <w:rPr>
                                                <w:rFonts w:ascii="Cambria Math" w:hAnsi="Cambria Math"/>
                                                <w:i/>
                                                <w:szCs w:val="20"/>
                                                <w:lang w:val="en-US"/>
                                              </w:rPr>
                                            </m:ctrlPr>
                                          </m:sSupPr>
                                          <m:e>
                                            <m:r>
                                              <w:rPr>
                                                <w:rFonts w:ascii="Cambria Math" w:hAnsi="Cambria Math"/>
                                                <w:szCs w:val="20"/>
                                                <w:lang w:val="en-US"/>
                                              </w:rPr>
                                              <m:t>s</m:t>
                                            </m:r>
                                          </m:e>
                                          <m:sup>
                                            <m:r>
                                              <w:rPr>
                                                <w:rFonts w:ascii="Cambria Math" w:hAnsi="Cambria Math"/>
                                                <w:szCs w:val="20"/>
                                                <w:lang w:val="en-US"/>
                                              </w:rPr>
                                              <m:t>2</m:t>
                                            </m:r>
                                          </m:sup>
                                        </m:sSup>
                                        <m:r>
                                          <w:rPr>
                                            <w:rFonts w:ascii="Cambria Math" w:hAnsi="Cambria Math"/>
                                            <w:szCs w:val="20"/>
                                            <w:lang w:val="en-US"/>
                                          </w:rPr>
                                          <m:t xml:space="preserve"> </m:t>
                                        </m:r>
                                      </m:num>
                                      <m:den>
                                        <m:sSup>
                                          <m:sSupPr>
                                            <m:ctrlPr>
                                              <w:rPr>
                                                <w:rFonts w:ascii="Cambria Math" w:hAnsi="Cambria Math"/>
                                                <w:i/>
                                                <w:szCs w:val="20"/>
                                                <w:lang w:val="en-US"/>
                                              </w:rPr>
                                            </m:ctrlPr>
                                          </m:sSupPr>
                                          <m:e>
                                            <m:r>
                                              <w:rPr>
                                                <w:rFonts w:ascii="Cambria Math" w:hAnsi="Cambria Math"/>
                                                <w:szCs w:val="20"/>
                                                <w:lang w:val="en-US"/>
                                              </w:rPr>
                                              <m:t>m</m:t>
                                            </m:r>
                                          </m:e>
                                          <m:sup>
                                            <m:r>
                                              <w:rPr>
                                                <w:rFonts w:ascii="Cambria Math" w:hAnsi="Cambria Math"/>
                                                <w:szCs w:val="20"/>
                                                <w:lang w:val="en-US"/>
                                              </w:rPr>
                                              <m:t>2</m:t>
                                            </m:r>
                                          </m:sup>
                                        </m:sSup>
                                      </m:den>
                                    </m:f>
                                  </m:e>
                                </m:d>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64AD6" id="Text Box 122" o:spid="_x0000_s1045" type="#_x0000_t202" style="position:absolute;margin-left:-23.95pt;margin-top:67.05pt;width:79.45pt;height:40.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PhgIAABo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" stroked="f">
                <v:textbox>
                  <w:txbxContent>
                    <w:p w:rsidR="00C60AC1" w:rsidRPr="00D30EF5" w:rsidRDefault="00C60AC1" w:rsidP="004F47BB">
                      <w:pPr>
                        <w:tabs>
                          <w:tab w:val="left" w:pos="960"/>
                          <w:tab w:val="left" w:pos="1344"/>
                          <w:tab w:val="left" w:pos="7680"/>
                        </w:tabs>
                        <w:overflowPunct w:val="0"/>
                        <w:adjustRightInd w:val="0"/>
                        <w:spacing w:line="240" w:lineRule="atLeast"/>
                        <w:ind w:left="0" w:firstLine="0"/>
                        <w:jc w:val="left"/>
                        <w:textAlignment w:val="baseline"/>
                      </w:pPr>
                      <m:oMathPara>
                        <m:oMath>
                          <m:d>
                            <m:dPr>
                              <m:begChr m:val="["/>
                              <m:endChr m:val="]"/>
                              <m:ctrlPr>
                                <w:rPr>
                                  <w:rFonts w:ascii="Cambria Math" w:hAnsi="Cambria Math"/>
                                  <w:i/>
                                  <w:szCs w:val="20"/>
                                  <w:lang w:val="en-US"/>
                                </w:rPr>
                              </m:ctrlPr>
                            </m:dPr>
                            <m:e>
                              <m:f>
                                <m:fPr>
                                  <m:ctrlPr>
                                    <w:rPr>
                                      <w:rFonts w:ascii="Cambria Math" w:hAnsi="Cambria Math"/>
                                      <w:i/>
                                      <w:szCs w:val="20"/>
                                      <w:lang w:val="en-US"/>
                                    </w:rPr>
                                  </m:ctrlPr>
                                </m:fPr>
                                <m:num>
                                  <m:r>
                                    <w:rPr>
                                      <w:rFonts w:ascii="Cambria Math" w:hAnsi="Cambria Math"/>
                                      <w:szCs w:val="20"/>
                                      <w:lang w:val="en-US"/>
                                    </w:rPr>
                                    <m:t xml:space="preserve">kN ∙ </m:t>
                                  </m:r>
                                  <m:sSup>
                                    <m:sSupPr>
                                      <m:ctrlPr>
                                        <w:rPr>
                                          <w:rFonts w:ascii="Cambria Math" w:hAnsi="Cambria Math"/>
                                          <w:i/>
                                          <w:szCs w:val="20"/>
                                          <w:lang w:val="en-US"/>
                                        </w:rPr>
                                      </m:ctrlPr>
                                    </m:sSupPr>
                                    <m:e>
                                      <m:r>
                                        <w:rPr>
                                          <w:rFonts w:ascii="Cambria Math" w:hAnsi="Cambria Math"/>
                                          <w:szCs w:val="20"/>
                                          <w:lang w:val="en-US"/>
                                        </w:rPr>
                                        <m:t>s</m:t>
                                      </m:r>
                                    </m:e>
                                    <m:sup>
                                      <m:r>
                                        <w:rPr>
                                          <w:rFonts w:ascii="Cambria Math" w:hAnsi="Cambria Math"/>
                                          <w:szCs w:val="20"/>
                                          <w:lang w:val="en-US"/>
                                        </w:rPr>
                                        <m:t>2</m:t>
                                      </m:r>
                                    </m:sup>
                                  </m:sSup>
                                  <m:r>
                                    <w:rPr>
                                      <w:rFonts w:ascii="Cambria Math" w:hAnsi="Cambria Math"/>
                                      <w:szCs w:val="20"/>
                                      <w:lang w:val="en-US"/>
                                    </w:rPr>
                                    <m:t xml:space="preserve"> </m:t>
                                  </m:r>
                                </m:num>
                                <m:den>
                                  <m:sSup>
                                    <m:sSupPr>
                                      <m:ctrlPr>
                                        <w:rPr>
                                          <w:rFonts w:ascii="Cambria Math" w:hAnsi="Cambria Math"/>
                                          <w:i/>
                                          <w:szCs w:val="20"/>
                                          <w:lang w:val="en-US"/>
                                        </w:rPr>
                                      </m:ctrlPr>
                                    </m:sSupPr>
                                    <m:e>
                                      <m:r>
                                        <w:rPr>
                                          <w:rFonts w:ascii="Cambria Math" w:hAnsi="Cambria Math"/>
                                          <w:szCs w:val="20"/>
                                          <w:lang w:val="en-US"/>
                                        </w:rPr>
                                        <m:t>m</m:t>
                                      </m:r>
                                    </m:e>
                                    <m:sup>
                                      <m:r>
                                        <w:rPr>
                                          <w:rFonts w:ascii="Cambria Math" w:hAnsi="Cambria Math"/>
                                          <w:szCs w:val="20"/>
                                          <w:lang w:val="en-US"/>
                                        </w:rPr>
                                        <m:t>2</m:t>
                                      </m:r>
                                    </m:sup>
                                  </m:sSup>
                                </m:den>
                              </m:f>
                            </m:e>
                          </m:d>
                        </m:oMath>
                      </m:oMathPara>
                    </w:p>
                  </w:txbxContent>
                </v:textbox>
              </v:shape>
            </w:pict>
          </mc:Fallback>
        </mc:AlternateContent>
      </w:r>
    </w:p>
    <w:p w:rsidR="004F47BB" w:rsidRPr="004F47BB" w:rsidRDefault="004F47BB" w:rsidP="004F47BB">
      <w:pPr>
        <w:tabs>
          <w:tab w:val="left" w:pos="0"/>
          <w:tab w:val="left" w:pos="8080"/>
        </w:tabs>
        <w:overflowPunct w:val="0"/>
        <w:adjustRightInd w:val="0"/>
        <w:spacing w:line="240" w:lineRule="exact"/>
        <w:ind w:left="0" w:firstLine="0"/>
        <w:textAlignment w:val="baseline"/>
        <w:rPr>
          <w:szCs w:val="20"/>
          <w:lang w:val="en-US"/>
        </w:rPr>
      </w:pPr>
      <w:r w:rsidRPr="004F47BB">
        <w:rPr>
          <w:szCs w:val="20"/>
          <w:lang w:val="en-US"/>
        </w:rPr>
        <w:tab/>
      </w:r>
    </w:p>
    <w:p w:rsidR="004F47BB" w:rsidRPr="004F47BB" w:rsidRDefault="004F47BB" w:rsidP="004F47BB">
      <w:pPr>
        <w:tabs>
          <w:tab w:val="left" w:pos="0"/>
          <w:tab w:val="left" w:pos="6946"/>
        </w:tabs>
        <w:overflowPunct w:val="0"/>
        <w:adjustRightInd w:val="0"/>
        <w:spacing w:line="240" w:lineRule="exact"/>
        <w:ind w:left="0" w:firstLine="0"/>
        <w:textAlignment w:val="baseline"/>
        <w:rPr>
          <w:szCs w:val="20"/>
          <w:lang w:val="en-US"/>
        </w:rPr>
      </w:pPr>
    </w:p>
    <w:p w:rsidR="004F47BB" w:rsidRPr="004F47BB" w:rsidRDefault="004F47BB" w:rsidP="004F47BB">
      <w:pPr>
        <w:tabs>
          <w:tab w:val="left" w:pos="0"/>
          <w:tab w:val="left" w:pos="6946"/>
        </w:tabs>
        <w:overflowPunct w:val="0"/>
        <w:adjustRightInd w:val="0"/>
        <w:spacing w:line="240" w:lineRule="exact"/>
        <w:ind w:left="0" w:firstLine="0"/>
        <w:textAlignment w:val="baseline"/>
        <w:rPr>
          <w:szCs w:val="20"/>
          <w:lang w:val="en-US"/>
        </w:rPr>
      </w:pPr>
      <w:r w:rsidRPr="004F47BB">
        <w:rPr>
          <w:szCs w:val="20"/>
          <w:lang w:val="en-US"/>
        </w:rPr>
        <w:tab/>
      </w:r>
      <m:oMath>
        <m:sSup>
          <m:sSupPr>
            <m:ctrlPr>
              <w:rPr>
                <w:rFonts w:ascii="Cambria Math" w:hAnsi="Cambria Math"/>
                <w:i/>
                <w:noProof/>
                <w:lang w:val="en-US"/>
              </w:rPr>
            </m:ctrlPr>
          </m:sSupPr>
          <m:e>
            <m:r>
              <w:rPr>
                <w:rFonts w:ascii="Cambria Math" w:hAnsi="Cambria Math"/>
                <w:noProof/>
                <w:lang w:val="en-US"/>
              </w:rPr>
              <m:t>D</m:t>
            </m:r>
          </m:e>
          <m:sup>
            <m:r>
              <w:rPr>
                <w:rFonts w:ascii="Cambria Math" w:hAnsi="Cambria Math"/>
                <w:noProof/>
                <w:lang w:val="en-US"/>
              </w:rPr>
              <m:t>1/3</m:t>
            </m:r>
          </m:sup>
        </m:sSup>
        <m:r>
          <w:rPr>
            <w:rFonts w:ascii="Cambria Math" w:hAnsi="Cambria Math"/>
            <w:noProof/>
            <w:lang w:val="en-US"/>
          </w:rPr>
          <m:t xml:space="preserve"> </m:t>
        </m:r>
        <m:d>
          <m:dPr>
            <m:begChr m:val="["/>
            <m:endChr m:val="]"/>
            <m:ctrlPr>
              <w:rPr>
                <w:rFonts w:ascii="Cambria Math" w:hAnsi="Cambria Math"/>
                <w:i/>
                <w:noProof/>
                <w:lang w:val="en-US"/>
              </w:rPr>
            </m:ctrlPr>
          </m:dPr>
          <m:e>
            <m:r>
              <w:rPr>
                <w:rFonts w:ascii="Cambria Math" w:hAnsi="Cambria Math"/>
                <w:noProof/>
                <w:lang w:val="en-US"/>
              </w:rPr>
              <m:t>B+2T</m:t>
            </m:r>
          </m:e>
        </m:d>
      </m:oMath>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sectPr w:rsidR="004F47BB" w:rsidRPr="004F47BB" w:rsidSect="00D45887">
          <w:headerReference w:type="default" r:id="rId121"/>
          <w:headerReference w:type="first" r:id="rId122"/>
          <w:footerReference w:type="first" r:id="rId123"/>
          <w:pgSz w:w="11907" w:h="16840" w:code="9"/>
          <w:pgMar w:top="1418" w:right="1418" w:bottom="1418" w:left="1418" w:header="680" w:footer="680" w:gutter="0"/>
          <w:cols w:space="720"/>
          <w:noEndnote/>
          <w:titlePg/>
        </w:sectPr>
      </w:pPr>
    </w:p>
    <w:p w:rsidR="004F47BB" w:rsidRPr="004F47BB" w:rsidRDefault="004F47BB" w:rsidP="004F47BB">
      <w:pPr>
        <w:spacing w:line="240" w:lineRule="atLeast"/>
        <w:ind w:left="567" w:hanging="567"/>
        <w:rPr>
          <w:lang w:val="en-US"/>
        </w:rPr>
      </w:pPr>
    </w:p>
    <w:p w:rsidR="004F47BB" w:rsidRPr="004F47BB" w:rsidRDefault="004F47BB" w:rsidP="00C859BD">
      <w:pPr>
        <w:pStyle w:val="ES-Titre4"/>
      </w:pPr>
      <w:r w:rsidRPr="004F47BB">
        <w:t>Appendix to Annex 2 to instruction ESI-II-3</w:t>
      </w:r>
    </w:p>
    <w:p w:rsidR="004F47BB" w:rsidRPr="004F47BB" w:rsidRDefault="004F47BB" w:rsidP="00C859BD">
      <w:pPr>
        <w:pStyle w:val="ES-Titre4a"/>
      </w:pPr>
      <w:r w:rsidRPr="004F47BB">
        <w:t xml:space="preserve">Examples on the application of Annex 2 </w:t>
      </w:r>
      <w:r w:rsidRPr="004F47BB">
        <w:br/>
        <w:t>(Evaluation of the results of the stopping manoeuvre)</w:t>
      </w:r>
    </w:p>
    <w:p w:rsidR="004F47BB" w:rsidRPr="004F47BB" w:rsidRDefault="004F47BB" w:rsidP="004F47BB">
      <w:pPr>
        <w:tabs>
          <w:tab w:val="left" w:pos="960"/>
          <w:tab w:val="left" w:pos="1344"/>
          <w:tab w:val="left" w:pos="7680"/>
        </w:tabs>
        <w:overflowPunct w:val="0"/>
        <w:adjustRightInd w:val="0"/>
        <w:spacing w:line="240" w:lineRule="exact"/>
        <w:ind w:left="0" w:firstLine="0"/>
        <w:jc w:val="center"/>
        <w:textAlignment w:val="baseline"/>
        <w:rPr>
          <w:b/>
          <w:sz w:val="22"/>
          <w:szCs w:val="20"/>
          <w:lang w:val="en-US"/>
        </w:rPr>
      </w:pPr>
    </w:p>
    <w:p w:rsidR="004F47BB" w:rsidRPr="00C859BD" w:rsidRDefault="004F47BB" w:rsidP="005B46C9">
      <w:pPr>
        <w:pStyle w:val="ES-Titre4prESIexple"/>
        <w:rPr>
          <w:lang w:val="en-US"/>
        </w:rPr>
      </w:pPr>
      <w:r w:rsidRPr="00C859BD">
        <w:rPr>
          <w:lang w:val="en-US"/>
        </w:rPr>
        <w:t>Example I</w:t>
      </w:r>
    </w:p>
    <w:p w:rsidR="004F47BB" w:rsidRPr="004F47BB" w:rsidRDefault="004F47BB" w:rsidP="004F47BB">
      <w:pPr>
        <w:tabs>
          <w:tab w:val="left" w:pos="960"/>
          <w:tab w:val="left" w:pos="1344"/>
          <w:tab w:val="left" w:pos="7680"/>
        </w:tabs>
        <w:overflowPunct w:val="0"/>
        <w:adjustRightInd w:val="0"/>
        <w:spacing w:line="240" w:lineRule="exact"/>
        <w:ind w:left="0" w:firstLine="0"/>
        <w:jc w:val="left"/>
        <w:textAlignment w:val="baseline"/>
        <w:rPr>
          <w:szCs w:val="20"/>
          <w:lang w:val="en-US"/>
        </w:rPr>
      </w:pPr>
    </w:p>
    <w:p w:rsidR="004F47BB" w:rsidRPr="004F47BB" w:rsidRDefault="004F47BB" w:rsidP="004F47BB">
      <w:pPr>
        <w:tabs>
          <w:tab w:val="left" w:pos="960"/>
          <w:tab w:val="left" w:pos="1344"/>
          <w:tab w:val="left" w:pos="7680"/>
        </w:tabs>
        <w:overflowPunct w:val="0"/>
        <w:adjustRightInd w:val="0"/>
        <w:spacing w:line="240" w:lineRule="exact"/>
        <w:ind w:left="0" w:firstLine="0"/>
        <w:jc w:val="left"/>
        <w:textAlignment w:val="baseline"/>
        <w:rPr>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1.</w:t>
      </w:r>
      <w:r w:rsidRPr="004F47BB">
        <w:rPr>
          <w:rFonts w:cs="Arial"/>
          <w:b/>
          <w:color w:val="000000"/>
          <w:szCs w:val="20"/>
          <w:lang w:val="en-US"/>
        </w:rPr>
        <w:tab/>
        <w:t>Data of vessels and convoy</w:t>
      </w:r>
    </w:p>
    <w:p w:rsidR="004F47BB" w:rsidRPr="004F47BB" w:rsidRDefault="004F47BB" w:rsidP="004F47BB">
      <w:pPr>
        <w:tabs>
          <w:tab w:val="left" w:pos="284"/>
        </w:tabs>
        <w:overflowPunct w:val="0"/>
        <w:adjustRightInd w:val="0"/>
        <w:ind w:left="284" w:hanging="284"/>
        <w:jc w:val="left"/>
        <w:textAlignment w:val="baseline"/>
        <w:rPr>
          <w:szCs w:val="20"/>
          <w:lang w:val="en-US"/>
        </w:rPr>
      </w:pPr>
    </w:p>
    <w:p w:rsidR="004F47BB" w:rsidRPr="004F47BB" w:rsidRDefault="004F47BB" w:rsidP="004F47BB">
      <w:pPr>
        <w:spacing w:line="240" w:lineRule="atLeast"/>
        <w:ind w:left="567" w:firstLine="0"/>
        <w:rPr>
          <w:lang w:val="en-US"/>
        </w:rPr>
      </w:pPr>
      <w:r w:rsidRPr="004F47BB">
        <w:rPr>
          <w:lang w:val="en-US"/>
        </w:rPr>
        <w:t>Formation: ordinary motor vessel with a (Europa IIa) lighter coupled abreast</w:t>
      </w:r>
    </w:p>
    <w:p w:rsidR="004F47BB" w:rsidRPr="004F47BB" w:rsidRDefault="004F47BB" w:rsidP="004F47BB">
      <w:pPr>
        <w:tabs>
          <w:tab w:val="left" w:pos="960"/>
          <w:tab w:val="left" w:pos="1344"/>
          <w:tab w:val="left" w:pos="7680"/>
        </w:tabs>
        <w:overflowPunct w:val="0"/>
        <w:adjustRightInd w:val="0"/>
        <w:spacing w:line="240" w:lineRule="exact"/>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tbl>
      <w:tblPr>
        <w:tblW w:w="0" w:type="auto"/>
        <w:tblInd w:w="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61"/>
        <w:gridCol w:w="1361"/>
        <w:gridCol w:w="1361"/>
        <w:gridCol w:w="1361"/>
        <w:gridCol w:w="1361"/>
        <w:gridCol w:w="1361"/>
        <w:gridCol w:w="1361"/>
      </w:tblGrid>
      <w:tr w:rsidR="004F47BB" w:rsidRPr="004F47BB" w:rsidTr="00D45887">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lang w:val="en-US"/>
              </w:rPr>
            </w:pPr>
          </w:p>
        </w:tc>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lang w:val="de-DE"/>
              </w:rPr>
            </w:pPr>
            <m:oMath>
              <m:r>
                <w:rPr>
                  <w:rFonts w:ascii="Cambria Math" w:hAnsi="Cambria Math"/>
                  <w:sz w:val="18"/>
                  <w:szCs w:val="18"/>
                  <w:lang w:val="de-DE"/>
                </w:rPr>
                <m:t>L</m:t>
              </m:r>
            </m:oMath>
            <w:r w:rsidRPr="004F47BB">
              <w:rPr>
                <w:sz w:val="18"/>
                <w:szCs w:val="18"/>
                <w:lang w:val="de-DE"/>
              </w:rPr>
              <w:t xml:space="preserve"> [m]</w:t>
            </w:r>
          </w:p>
        </w:tc>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lang w:val="de-DE"/>
              </w:rPr>
            </w:pPr>
            <m:oMath>
              <m:r>
                <w:rPr>
                  <w:rFonts w:ascii="Cambria Math" w:hAnsi="Cambria Math"/>
                  <w:sz w:val="18"/>
                  <w:szCs w:val="18"/>
                  <w:lang w:val="de-DE"/>
                </w:rPr>
                <m:t>B</m:t>
              </m:r>
            </m:oMath>
            <w:r w:rsidRPr="004F47BB">
              <w:rPr>
                <w:sz w:val="18"/>
                <w:szCs w:val="18"/>
                <w:lang w:val="de-DE"/>
              </w:rPr>
              <w:t xml:space="preserve"> [m]</w:t>
            </w:r>
          </w:p>
        </w:tc>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lang w:val="de-DE"/>
              </w:rPr>
            </w:pPr>
            <m:oMath>
              <m:r>
                <w:rPr>
                  <w:rFonts w:ascii="Cambria Math" w:hAnsi="Cambria Math"/>
                  <w:sz w:val="18"/>
                  <w:szCs w:val="18"/>
                  <w:lang w:val="de-DE"/>
                </w:rPr>
                <m:t>T</m:t>
              </m:r>
              <m:r>
                <w:rPr>
                  <w:rFonts w:ascii="Cambria Math" w:hAnsi="Cambria Math"/>
                  <w:position w:val="-6"/>
                  <w:sz w:val="16"/>
                  <w:szCs w:val="18"/>
                  <w:lang w:val="de-DE"/>
                </w:rPr>
                <m:t>max</m:t>
              </m:r>
            </m:oMath>
            <w:r w:rsidRPr="004F47BB">
              <w:rPr>
                <w:sz w:val="18"/>
                <w:szCs w:val="18"/>
                <w:lang w:val="de-DE"/>
              </w:rPr>
              <w:t xml:space="preserve"> [m]</w:t>
            </w:r>
          </w:p>
        </w:tc>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lang w:val="de-DE"/>
              </w:rPr>
            </w:pPr>
            <m:oMath>
              <m:r>
                <w:rPr>
                  <w:rFonts w:ascii="Cambria Math" w:hAnsi="Cambria Math"/>
                  <w:szCs w:val="20"/>
                  <w:lang w:val="de-DE"/>
                </w:rPr>
                <m:t>Tgf</m:t>
              </m:r>
              <m:r>
                <w:rPr>
                  <w:rFonts w:ascii="Cambria Math" w:hAnsi="Cambria Math"/>
                  <w:position w:val="6"/>
                  <w:sz w:val="18"/>
                  <w:szCs w:val="18"/>
                  <w:lang w:val="de-DE"/>
                </w:rPr>
                <m:t>*</m:t>
              </m:r>
              <m:r>
                <w:rPr>
                  <w:rFonts w:ascii="Cambria Math" w:hAnsi="Cambria Math"/>
                  <w:position w:val="-6"/>
                  <w:sz w:val="16"/>
                  <w:szCs w:val="18"/>
                  <w:lang w:val="de-DE"/>
                </w:rPr>
                <m:t>max</m:t>
              </m:r>
            </m:oMath>
            <w:r w:rsidRPr="004F47BB">
              <w:rPr>
                <w:sz w:val="18"/>
                <w:szCs w:val="18"/>
                <w:lang w:val="de-DE"/>
              </w:rPr>
              <w:t xml:space="preserve"> [t]</w:t>
            </w:r>
          </w:p>
        </w:tc>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lang w:val="de-DE"/>
              </w:rPr>
            </w:pPr>
            <m:oMath>
              <m:r>
                <w:rPr>
                  <w:rFonts w:ascii="Cambria Math" w:hAnsi="Cambria Math"/>
                  <w:sz w:val="18"/>
                  <w:szCs w:val="18"/>
                  <w:lang w:val="de-DE"/>
                </w:rPr>
                <m:t>D</m:t>
              </m:r>
              <m:r>
                <w:rPr>
                  <w:rFonts w:ascii="Cambria Math" w:hAnsi="Cambria Math"/>
                  <w:position w:val="-6"/>
                  <w:sz w:val="16"/>
                  <w:szCs w:val="18"/>
                  <w:lang w:val="de-DE"/>
                </w:rPr>
                <m:t>max</m:t>
              </m:r>
            </m:oMath>
            <w:r w:rsidRPr="004F47BB">
              <w:rPr>
                <w:sz w:val="18"/>
                <w:szCs w:val="18"/>
                <w:lang w:val="de-DE"/>
              </w:rPr>
              <w:t xml:space="preserve"> [m</w:t>
            </w:r>
            <w:r w:rsidRPr="004F47BB">
              <w:rPr>
                <w:position w:val="6"/>
                <w:sz w:val="16"/>
                <w:szCs w:val="18"/>
                <w:lang w:val="de-DE"/>
              </w:rPr>
              <w:t>3</w:t>
            </w:r>
            <w:r w:rsidRPr="004F47BB">
              <w:rPr>
                <w:sz w:val="18"/>
                <w:szCs w:val="18"/>
                <w:lang w:val="de-DE"/>
              </w:rPr>
              <w:t>]</w:t>
            </w:r>
          </w:p>
        </w:tc>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lang w:val="de-DE"/>
              </w:rPr>
            </w:pPr>
            <m:oMath>
              <m:r>
                <w:rPr>
                  <w:rFonts w:ascii="Cambria Math" w:hAnsi="Cambria Math"/>
                  <w:sz w:val="18"/>
                  <w:szCs w:val="18"/>
                  <w:lang w:val="de-DE"/>
                </w:rPr>
                <m:t>P</m:t>
              </m:r>
              <m:r>
                <w:rPr>
                  <w:rFonts w:ascii="Cambria Math" w:hAnsi="Cambria Math"/>
                  <w:position w:val="-6"/>
                  <w:sz w:val="16"/>
                  <w:szCs w:val="18"/>
                  <w:lang w:val="de-DE"/>
                </w:rPr>
                <m:t>B</m:t>
              </m:r>
            </m:oMath>
            <w:r w:rsidRPr="004F47BB">
              <w:rPr>
                <w:sz w:val="18"/>
                <w:szCs w:val="18"/>
                <w:lang w:val="de-DE"/>
              </w:rPr>
              <w:t xml:space="preserve"> [kW]</w:t>
            </w:r>
          </w:p>
        </w:tc>
      </w:tr>
      <w:tr w:rsidR="004F47BB" w:rsidRPr="004F47BB" w:rsidTr="00D45887">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rPr>
            </w:pPr>
            <w:r w:rsidRPr="004F47BB">
              <w:rPr>
                <w:sz w:val="18"/>
                <w:szCs w:val="18"/>
              </w:rPr>
              <w:t>Motor vessel</w:t>
            </w:r>
          </w:p>
        </w:tc>
        <w:tc>
          <w:tcPr>
            <w:tcW w:w="1361" w:type="dxa"/>
          </w:tcPr>
          <w:p w:rsidR="004F47BB" w:rsidRPr="004F47BB" w:rsidRDefault="004F47BB" w:rsidP="004F47BB">
            <w:pPr>
              <w:tabs>
                <w:tab w:val="decimal" w:pos="709"/>
              </w:tabs>
              <w:overflowPunct w:val="0"/>
              <w:adjustRightInd w:val="0"/>
              <w:spacing w:before="80" w:after="80"/>
              <w:ind w:left="113" w:right="113" w:firstLine="0"/>
              <w:textAlignment w:val="baseline"/>
              <w:rPr>
                <w:sz w:val="18"/>
                <w:szCs w:val="18"/>
              </w:rPr>
            </w:pPr>
            <w:r w:rsidRPr="004F47BB">
              <w:rPr>
                <w:sz w:val="18"/>
                <w:szCs w:val="18"/>
              </w:rPr>
              <w:t>110</w:t>
            </w:r>
          </w:p>
        </w:tc>
        <w:tc>
          <w:tcPr>
            <w:tcW w:w="1361" w:type="dxa"/>
          </w:tcPr>
          <w:p w:rsidR="004F47BB" w:rsidRPr="004F47BB" w:rsidRDefault="004F47BB" w:rsidP="004F47BB">
            <w:pPr>
              <w:tabs>
                <w:tab w:val="decimal" w:pos="708"/>
              </w:tabs>
              <w:overflowPunct w:val="0"/>
              <w:adjustRightInd w:val="0"/>
              <w:spacing w:before="80" w:after="80"/>
              <w:ind w:left="113" w:right="113" w:firstLine="0"/>
              <w:textAlignment w:val="baseline"/>
              <w:rPr>
                <w:sz w:val="18"/>
                <w:szCs w:val="18"/>
              </w:rPr>
            </w:pPr>
            <w:r w:rsidRPr="004F47BB">
              <w:rPr>
                <w:sz w:val="18"/>
                <w:szCs w:val="18"/>
              </w:rPr>
              <w:t>11,4</w:t>
            </w:r>
          </w:p>
        </w:tc>
        <w:tc>
          <w:tcPr>
            <w:tcW w:w="1361" w:type="dxa"/>
          </w:tcPr>
          <w:p w:rsidR="004F47BB" w:rsidRPr="004F47BB" w:rsidRDefault="004F47BB" w:rsidP="004F47BB">
            <w:pPr>
              <w:tabs>
                <w:tab w:val="decimal" w:pos="737"/>
              </w:tabs>
              <w:overflowPunct w:val="0"/>
              <w:adjustRightInd w:val="0"/>
              <w:spacing w:before="80" w:after="80"/>
              <w:ind w:left="113" w:right="113" w:firstLine="0"/>
              <w:textAlignment w:val="baseline"/>
              <w:rPr>
                <w:sz w:val="18"/>
                <w:szCs w:val="18"/>
              </w:rPr>
            </w:pPr>
            <w:r w:rsidRPr="004F47BB">
              <w:rPr>
                <w:sz w:val="18"/>
                <w:szCs w:val="18"/>
              </w:rPr>
              <w:t>3,5</w:t>
            </w:r>
          </w:p>
        </w:tc>
        <w:tc>
          <w:tcPr>
            <w:tcW w:w="1361" w:type="dxa"/>
          </w:tcPr>
          <w:p w:rsidR="004F47BB" w:rsidRPr="004F47BB" w:rsidRDefault="004F47BB" w:rsidP="004F47BB">
            <w:pPr>
              <w:tabs>
                <w:tab w:val="decimal" w:pos="849"/>
              </w:tabs>
              <w:overflowPunct w:val="0"/>
              <w:adjustRightInd w:val="0"/>
              <w:spacing w:before="80" w:after="80"/>
              <w:ind w:left="113" w:right="113" w:firstLine="0"/>
              <w:textAlignment w:val="baseline"/>
              <w:rPr>
                <w:sz w:val="18"/>
                <w:szCs w:val="18"/>
              </w:rPr>
            </w:pPr>
            <w:r w:rsidRPr="004F47BB">
              <w:rPr>
                <w:sz w:val="18"/>
                <w:szCs w:val="18"/>
              </w:rPr>
              <w:t>2900</w:t>
            </w:r>
          </w:p>
        </w:tc>
        <w:tc>
          <w:tcPr>
            <w:tcW w:w="1361" w:type="dxa"/>
          </w:tcPr>
          <w:p w:rsidR="004F47BB" w:rsidRPr="004F47BB" w:rsidRDefault="004F47BB" w:rsidP="004F47BB">
            <w:pPr>
              <w:tabs>
                <w:tab w:val="decimal" w:pos="990"/>
              </w:tabs>
              <w:overflowPunct w:val="0"/>
              <w:adjustRightInd w:val="0"/>
              <w:spacing w:before="80" w:after="80"/>
              <w:ind w:left="113" w:right="113" w:firstLine="0"/>
              <w:textAlignment w:val="baseline"/>
              <w:rPr>
                <w:sz w:val="18"/>
                <w:szCs w:val="18"/>
              </w:rPr>
            </w:pPr>
            <w:r w:rsidRPr="004F47BB">
              <w:rPr>
                <w:sz w:val="18"/>
                <w:szCs w:val="18"/>
              </w:rPr>
              <w:t>3731</w:t>
            </w:r>
          </w:p>
        </w:tc>
        <w:tc>
          <w:tcPr>
            <w:tcW w:w="1361" w:type="dxa"/>
          </w:tcPr>
          <w:p w:rsidR="004F47BB" w:rsidRPr="004F47BB" w:rsidRDefault="004F47BB" w:rsidP="004F47BB">
            <w:pPr>
              <w:tabs>
                <w:tab w:val="decimal" w:pos="848"/>
              </w:tabs>
              <w:overflowPunct w:val="0"/>
              <w:adjustRightInd w:val="0"/>
              <w:spacing w:before="80" w:after="80"/>
              <w:ind w:left="113" w:right="113" w:firstLine="0"/>
              <w:textAlignment w:val="baseline"/>
              <w:rPr>
                <w:sz w:val="18"/>
                <w:szCs w:val="18"/>
              </w:rPr>
            </w:pPr>
            <w:r w:rsidRPr="004F47BB">
              <w:rPr>
                <w:sz w:val="18"/>
                <w:szCs w:val="18"/>
              </w:rPr>
              <w:t>1500</w:t>
            </w:r>
          </w:p>
        </w:tc>
      </w:tr>
      <w:tr w:rsidR="004F47BB" w:rsidRPr="004F47BB" w:rsidTr="00D45887">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rPr>
            </w:pPr>
            <w:r w:rsidRPr="004F47BB">
              <w:rPr>
                <w:sz w:val="18"/>
                <w:szCs w:val="18"/>
              </w:rPr>
              <w:t>Lighter</w:t>
            </w:r>
          </w:p>
        </w:tc>
        <w:tc>
          <w:tcPr>
            <w:tcW w:w="1361" w:type="dxa"/>
          </w:tcPr>
          <w:p w:rsidR="004F47BB" w:rsidRPr="004F47BB" w:rsidRDefault="004F47BB" w:rsidP="004F47BB">
            <w:pPr>
              <w:tabs>
                <w:tab w:val="decimal" w:pos="709"/>
              </w:tabs>
              <w:overflowPunct w:val="0"/>
              <w:adjustRightInd w:val="0"/>
              <w:spacing w:before="80" w:after="80"/>
              <w:ind w:left="113" w:right="113" w:firstLine="0"/>
              <w:textAlignment w:val="baseline"/>
              <w:rPr>
                <w:sz w:val="18"/>
                <w:szCs w:val="18"/>
              </w:rPr>
            </w:pPr>
            <w:r w:rsidRPr="004F47BB">
              <w:rPr>
                <w:sz w:val="18"/>
                <w:szCs w:val="18"/>
              </w:rPr>
              <w:t>76,5</w:t>
            </w:r>
          </w:p>
        </w:tc>
        <w:tc>
          <w:tcPr>
            <w:tcW w:w="1361" w:type="dxa"/>
          </w:tcPr>
          <w:p w:rsidR="004F47BB" w:rsidRPr="004F47BB" w:rsidRDefault="004F47BB" w:rsidP="004F47BB">
            <w:pPr>
              <w:tabs>
                <w:tab w:val="decimal" w:pos="708"/>
              </w:tabs>
              <w:overflowPunct w:val="0"/>
              <w:adjustRightInd w:val="0"/>
              <w:spacing w:before="80" w:after="80"/>
              <w:ind w:left="113" w:right="113" w:firstLine="0"/>
              <w:textAlignment w:val="baseline"/>
              <w:rPr>
                <w:sz w:val="18"/>
                <w:szCs w:val="18"/>
              </w:rPr>
            </w:pPr>
            <w:r w:rsidRPr="004F47BB">
              <w:rPr>
                <w:sz w:val="18"/>
                <w:szCs w:val="18"/>
              </w:rPr>
              <w:t>11,4</w:t>
            </w:r>
          </w:p>
        </w:tc>
        <w:tc>
          <w:tcPr>
            <w:tcW w:w="1361" w:type="dxa"/>
          </w:tcPr>
          <w:p w:rsidR="004F47BB" w:rsidRPr="004F47BB" w:rsidRDefault="004F47BB" w:rsidP="004F47BB">
            <w:pPr>
              <w:tabs>
                <w:tab w:val="decimal" w:pos="737"/>
              </w:tabs>
              <w:overflowPunct w:val="0"/>
              <w:adjustRightInd w:val="0"/>
              <w:spacing w:before="80" w:after="80"/>
              <w:ind w:left="113" w:right="113" w:firstLine="0"/>
              <w:textAlignment w:val="baseline"/>
              <w:rPr>
                <w:sz w:val="18"/>
                <w:szCs w:val="18"/>
              </w:rPr>
            </w:pPr>
            <w:r w:rsidRPr="004F47BB">
              <w:rPr>
                <w:sz w:val="18"/>
                <w:szCs w:val="18"/>
              </w:rPr>
              <w:t>3,7</w:t>
            </w:r>
          </w:p>
        </w:tc>
        <w:tc>
          <w:tcPr>
            <w:tcW w:w="1361" w:type="dxa"/>
          </w:tcPr>
          <w:p w:rsidR="004F47BB" w:rsidRPr="004F47BB" w:rsidRDefault="004F47BB" w:rsidP="004F47BB">
            <w:pPr>
              <w:tabs>
                <w:tab w:val="decimal" w:pos="849"/>
              </w:tabs>
              <w:overflowPunct w:val="0"/>
              <w:adjustRightInd w:val="0"/>
              <w:spacing w:before="80" w:after="80"/>
              <w:ind w:left="113" w:right="113" w:firstLine="0"/>
              <w:textAlignment w:val="baseline"/>
              <w:rPr>
                <w:sz w:val="18"/>
                <w:szCs w:val="18"/>
              </w:rPr>
            </w:pPr>
            <w:r w:rsidRPr="004F47BB">
              <w:rPr>
                <w:sz w:val="18"/>
                <w:szCs w:val="18"/>
              </w:rPr>
              <w:t>2600</w:t>
            </w:r>
          </w:p>
        </w:tc>
        <w:tc>
          <w:tcPr>
            <w:tcW w:w="1361" w:type="dxa"/>
          </w:tcPr>
          <w:p w:rsidR="004F47BB" w:rsidRPr="004F47BB" w:rsidRDefault="004F47BB" w:rsidP="004F47BB">
            <w:pPr>
              <w:tabs>
                <w:tab w:val="decimal" w:pos="990"/>
              </w:tabs>
              <w:overflowPunct w:val="0"/>
              <w:adjustRightInd w:val="0"/>
              <w:spacing w:before="80" w:after="80"/>
              <w:ind w:left="113" w:right="113" w:firstLine="0"/>
              <w:textAlignment w:val="baseline"/>
              <w:rPr>
                <w:sz w:val="18"/>
                <w:szCs w:val="18"/>
              </w:rPr>
            </w:pPr>
            <w:r w:rsidRPr="004F47BB">
              <w:rPr>
                <w:sz w:val="18"/>
                <w:szCs w:val="18"/>
              </w:rPr>
              <w:t>2743</w:t>
            </w:r>
          </w:p>
        </w:tc>
        <w:tc>
          <w:tcPr>
            <w:tcW w:w="1361" w:type="dxa"/>
          </w:tcPr>
          <w:p w:rsidR="004F47BB" w:rsidRPr="004F47BB" w:rsidRDefault="004F47BB" w:rsidP="004F47BB">
            <w:pPr>
              <w:tabs>
                <w:tab w:val="decimal" w:pos="198"/>
              </w:tabs>
              <w:overflowPunct w:val="0"/>
              <w:adjustRightInd w:val="0"/>
              <w:spacing w:before="80" w:after="80"/>
              <w:ind w:left="113" w:right="113" w:firstLine="0"/>
              <w:jc w:val="center"/>
              <w:textAlignment w:val="baseline"/>
              <w:rPr>
                <w:sz w:val="18"/>
                <w:szCs w:val="18"/>
              </w:rPr>
            </w:pPr>
            <w:r w:rsidRPr="004F47BB">
              <w:rPr>
                <w:sz w:val="18"/>
                <w:szCs w:val="18"/>
              </w:rPr>
              <w:t>-</w:t>
            </w:r>
          </w:p>
        </w:tc>
      </w:tr>
      <w:tr w:rsidR="004F47BB" w:rsidRPr="004F47BB" w:rsidTr="00D45887">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rPr>
            </w:pPr>
            <w:r w:rsidRPr="004F47BB">
              <w:rPr>
                <w:sz w:val="18"/>
                <w:szCs w:val="18"/>
              </w:rPr>
              <w:t>Convoy</w:t>
            </w:r>
          </w:p>
        </w:tc>
        <w:tc>
          <w:tcPr>
            <w:tcW w:w="1361" w:type="dxa"/>
          </w:tcPr>
          <w:p w:rsidR="004F47BB" w:rsidRPr="004F47BB" w:rsidRDefault="004F47BB" w:rsidP="004F47BB">
            <w:pPr>
              <w:tabs>
                <w:tab w:val="decimal" w:pos="709"/>
              </w:tabs>
              <w:overflowPunct w:val="0"/>
              <w:adjustRightInd w:val="0"/>
              <w:spacing w:before="80" w:after="80"/>
              <w:ind w:left="113" w:right="113" w:firstLine="0"/>
              <w:textAlignment w:val="baseline"/>
              <w:rPr>
                <w:sz w:val="18"/>
                <w:szCs w:val="18"/>
              </w:rPr>
            </w:pPr>
            <w:r w:rsidRPr="004F47BB">
              <w:rPr>
                <w:sz w:val="18"/>
                <w:szCs w:val="18"/>
              </w:rPr>
              <w:t>110</w:t>
            </w:r>
          </w:p>
        </w:tc>
        <w:tc>
          <w:tcPr>
            <w:tcW w:w="1361" w:type="dxa"/>
          </w:tcPr>
          <w:p w:rsidR="004F47BB" w:rsidRPr="004F47BB" w:rsidRDefault="004F47BB" w:rsidP="004F47BB">
            <w:pPr>
              <w:tabs>
                <w:tab w:val="decimal" w:pos="708"/>
              </w:tabs>
              <w:overflowPunct w:val="0"/>
              <w:adjustRightInd w:val="0"/>
              <w:spacing w:before="80" w:after="80"/>
              <w:ind w:left="113" w:right="113" w:firstLine="0"/>
              <w:textAlignment w:val="baseline"/>
              <w:rPr>
                <w:sz w:val="18"/>
                <w:szCs w:val="18"/>
              </w:rPr>
            </w:pPr>
            <w:r w:rsidRPr="004F47BB">
              <w:rPr>
                <w:sz w:val="18"/>
                <w:szCs w:val="18"/>
              </w:rPr>
              <w:t>22,8</w:t>
            </w:r>
          </w:p>
        </w:tc>
        <w:tc>
          <w:tcPr>
            <w:tcW w:w="1361" w:type="dxa"/>
          </w:tcPr>
          <w:p w:rsidR="004F47BB" w:rsidRPr="004F47BB" w:rsidRDefault="004F47BB" w:rsidP="004F47BB">
            <w:pPr>
              <w:tabs>
                <w:tab w:val="decimal" w:pos="737"/>
              </w:tabs>
              <w:overflowPunct w:val="0"/>
              <w:adjustRightInd w:val="0"/>
              <w:spacing w:before="80" w:after="80"/>
              <w:ind w:left="113" w:right="113" w:firstLine="0"/>
              <w:textAlignment w:val="baseline"/>
              <w:rPr>
                <w:sz w:val="18"/>
                <w:szCs w:val="18"/>
              </w:rPr>
            </w:pPr>
            <w:r w:rsidRPr="004F47BB">
              <w:rPr>
                <w:sz w:val="18"/>
                <w:szCs w:val="18"/>
              </w:rPr>
              <w:t>3,7</w:t>
            </w:r>
          </w:p>
        </w:tc>
        <w:tc>
          <w:tcPr>
            <w:tcW w:w="1361" w:type="dxa"/>
          </w:tcPr>
          <w:p w:rsidR="004F47BB" w:rsidRPr="004F47BB" w:rsidRDefault="004F47BB" w:rsidP="004F47BB">
            <w:pPr>
              <w:tabs>
                <w:tab w:val="decimal" w:pos="849"/>
              </w:tabs>
              <w:overflowPunct w:val="0"/>
              <w:adjustRightInd w:val="0"/>
              <w:spacing w:before="80" w:after="80"/>
              <w:ind w:left="113" w:right="113" w:firstLine="0"/>
              <w:textAlignment w:val="baseline"/>
              <w:rPr>
                <w:sz w:val="18"/>
                <w:szCs w:val="18"/>
              </w:rPr>
            </w:pPr>
            <w:r w:rsidRPr="004F47BB">
              <w:rPr>
                <w:sz w:val="18"/>
                <w:szCs w:val="18"/>
              </w:rPr>
              <w:t>5500</w:t>
            </w:r>
          </w:p>
        </w:tc>
        <w:tc>
          <w:tcPr>
            <w:tcW w:w="1361" w:type="dxa"/>
          </w:tcPr>
          <w:p w:rsidR="004F47BB" w:rsidRPr="004F47BB" w:rsidRDefault="004F47BB" w:rsidP="004F47BB">
            <w:pPr>
              <w:tabs>
                <w:tab w:val="decimal" w:pos="990"/>
              </w:tabs>
              <w:overflowPunct w:val="0"/>
              <w:adjustRightInd w:val="0"/>
              <w:spacing w:before="80" w:after="80"/>
              <w:ind w:left="113" w:right="113" w:firstLine="0"/>
              <w:textAlignment w:val="baseline"/>
              <w:rPr>
                <w:sz w:val="18"/>
                <w:szCs w:val="18"/>
              </w:rPr>
            </w:pPr>
            <w:r w:rsidRPr="004F47BB">
              <w:rPr>
                <w:sz w:val="18"/>
                <w:szCs w:val="18"/>
              </w:rPr>
              <w:t>6474</w:t>
            </w:r>
          </w:p>
        </w:tc>
        <w:tc>
          <w:tcPr>
            <w:tcW w:w="1361" w:type="dxa"/>
          </w:tcPr>
          <w:p w:rsidR="004F47BB" w:rsidRPr="004F47BB" w:rsidRDefault="004F47BB" w:rsidP="004F47BB">
            <w:pPr>
              <w:tabs>
                <w:tab w:val="decimal" w:pos="848"/>
              </w:tabs>
              <w:overflowPunct w:val="0"/>
              <w:adjustRightInd w:val="0"/>
              <w:spacing w:before="80" w:after="80"/>
              <w:ind w:left="113" w:right="113" w:firstLine="0"/>
              <w:textAlignment w:val="baseline"/>
              <w:rPr>
                <w:sz w:val="18"/>
                <w:szCs w:val="18"/>
              </w:rPr>
            </w:pPr>
            <w:r w:rsidRPr="004F47BB">
              <w:rPr>
                <w:sz w:val="18"/>
                <w:szCs w:val="18"/>
              </w:rPr>
              <w:t>1500</w:t>
            </w:r>
          </w:p>
        </w:tc>
      </w:tr>
    </w:tbl>
    <w:p w:rsidR="004F47BB" w:rsidRPr="004F47BB" w:rsidRDefault="004F47BB" w:rsidP="004F47BB">
      <w:pPr>
        <w:overflowPunct w:val="0"/>
        <w:adjustRightInd w:val="0"/>
        <w:ind w:left="0" w:firstLine="0"/>
        <w:jc w:val="left"/>
        <w:textAlignment w:val="baseline"/>
        <w:rPr>
          <w:szCs w:val="20"/>
        </w:rPr>
      </w:pPr>
    </w:p>
    <w:p w:rsidR="004F47BB" w:rsidRPr="004F47BB" w:rsidRDefault="004F47BB" w:rsidP="004F47BB">
      <w:pPr>
        <w:tabs>
          <w:tab w:val="left" w:pos="960"/>
          <w:tab w:val="left" w:pos="1344"/>
          <w:tab w:val="left" w:pos="7680"/>
        </w:tabs>
        <w:overflowPunct w:val="0"/>
        <w:adjustRightInd w:val="0"/>
        <w:spacing w:line="240" w:lineRule="exact"/>
        <w:ind w:left="0" w:firstLine="0"/>
        <w:jc w:val="left"/>
        <w:textAlignment w:val="baseline"/>
        <w:rPr>
          <w:szCs w:val="20"/>
        </w:rPr>
      </w:pPr>
    </w:p>
    <w:p w:rsidR="004F47BB" w:rsidRPr="004F47BB" w:rsidRDefault="004F47BB" w:rsidP="004F47BB">
      <w:pPr>
        <w:tabs>
          <w:tab w:val="left" w:pos="960"/>
          <w:tab w:val="left" w:pos="1344"/>
          <w:tab w:val="left" w:pos="7680"/>
        </w:tabs>
        <w:overflowPunct w:val="0"/>
        <w:adjustRightInd w:val="0"/>
        <w:spacing w:line="240" w:lineRule="exact"/>
        <w:ind w:left="567" w:hanging="567"/>
        <w:jc w:val="left"/>
        <w:textAlignment w:val="baseline"/>
        <w:rPr>
          <w:szCs w:val="20"/>
          <w:lang w:val="en-US"/>
        </w:rPr>
      </w:pPr>
      <w:r w:rsidRPr="004F47BB">
        <w:rPr>
          <w:szCs w:val="20"/>
          <w:lang w:val="en-US"/>
        </w:rPr>
        <w:tab/>
        <w:t>Propulsion system of the motor vessel: modern nozzles with rounded rear edge</w:t>
      </w:r>
    </w:p>
    <w:p w:rsidR="004F47BB" w:rsidRPr="004F47BB" w:rsidRDefault="004F47BB" w:rsidP="004F47BB">
      <w:pPr>
        <w:tabs>
          <w:tab w:val="left" w:pos="960"/>
          <w:tab w:val="left" w:pos="1344"/>
          <w:tab w:val="left" w:pos="7680"/>
        </w:tabs>
        <w:overflowPunct w:val="0"/>
        <w:adjustRightInd w:val="0"/>
        <w:spacing w:line="240" w:lineRule="exact"/>
        <w:ind w:left="567" w:hanging="567"/>
        <w:jc w:val="left"/>
        <w:textAlignment w:val="baseline"/>
        <w:rPr>
          <w:szCs w:val="20"/>
          <w:lang w:val="en-US"/>
        </w:rPr>
      </w:pPr>
    </w:p>
    <w:p w:rsidR="004F47BB" w:rsidRPr="004F47BB" w:rsidRDefault="004F47BB" w:rsidP="004F47BB">
      <w:pPr>
        <w:tabs>
          <w:tab w:val="left" w:pos="960"/>
          <w:tab w:val="left" w:pos="1344"/>
          <w:tab w:val="left" w:pos="7680"/>
        </w:tabs>
        <w:overflowPunct w:val="0"/>
        <w:adjustRightInd w:val="0"/>
        <w:spacing w:line="240" w:lineRule="exact"/>
        <w:ind w:left="567" w:hanging="567"/>
        <w:jc w:val="left"/>
        <w:textAlignment w:val="baseline"/>
        <w:rPr>
          <w:szCs w:val="20"/>
          <w:lang w:val="en-US"/>
        </w:rPr>
      </w:pPr>
      <w:r w:rsidRPr="004F47BB">
        <w:rPr>
          <w:position w:val="6"/>
          <w:szCs w:val="20"/>
          <w:lang w:val="en-US"/>
        </w:rPr>
        <w:tab/>
        <w:t>*</w:t>
      </w:r>
      <w:r w:rsidRPr="004F47BB">
        <w:rPr>
          <w:szCs w:val="20"/>
          <w:lang w:val="en-US"/>
        </w:rPr>
        <w:t xml:space="preserve"> </w:t>
      </w:r>
      <m:oMath>
        <m:r>
          <w:rPr>
            <w:rFonts w:ascii="Cambria Math" w:hAnsi="Cambria Math"/>
            <w:szCs w:val="20"/>
            <w:lang w:val="en-US"/>
          </w:rPr>
          <m:t>Tgf</m:t>
        </m:r>
      </m:oMath>
      <w:r w:rsidRPr="004F47BB">
        <w:rPr>
          <w:szCs w:val="20"/>
          <w:lang w:val="en-US"/>
        </w:rPr>
        <w:t xml:space="preserve"> = deadweight.</w:t>
      </w:r>
    </w:p>
    <w:p w:rsidR="004F47BB" w:rsidRPr="004F47BB" w:rsidRDefault="004F47BB" w:rsidP="004F47BB">
      <w:pPr>
        <w:tabs>
          <w:tab w:val="left" w:pos="960"/>
          <w:tab w:val="left" w:pos="1344"/>
          <w:tab w:val="left" w:pos="7680"/>
        </w:tabs>
        <w:overflowPunct w:val="0"/>
        <w:adjustRightInd w:val="0"/>
        <w:spacing w:line="240" w:lineRule="exact"/>
        <w:ind w:left="0" w:firstLine="0"/>
        <w:jc w:val="left"/>
        <w:textAlignment w:val="baseline"/>
        <w:rPr>
          <w:szCs w:val="20"/>
          <w:lang w:val="en-US"/>
        </w:rPr>
      </w:pPr>
    </w:p>
    <w:p w:rsidR="004F47BB" w:rsidRPr="004F47BB" w:rsidRDefault="004F47BB" w:rsidP="004F47BB">
      <w:pPr>
        <w:tabs>
          <w:tab w:val="left" w:pos="960"/>
          <w:tab w:val="left" w:pos="1344"/>
          <w:tab w:val="left" w:pos="7680"/>
        </w:tabs>
        <w:overflowPunct w:val="0"/>
        <w:adjustRightInd w:val="0"/>
        <w:spacing w:line="240" w:lineRule="exact"/>
        <w:ind w:left="0" w:firstLine="0"/>
        <w:jc w:val="left"/>
        <w:textAlignment w:val="baseline"/>
        <w:rPr>
          <w:szCs w:val="20"/>
          <w:lang w:val="en-US"/>
        </w:rPr>
      </w:pPr>
    </w:p>
    <w:p w:rsidR="004F47BB" w:rsidRPr="004F47BB" w:rsidRDefault="004F47BB" w:rsidP="004F47BB">
      <w:pPr>
        <w:tabs>
          <w:tab w:val="left" w:pos="960"/>
          <w:tab w:val="left" w:pos="1344"/>
          <w:tab w:val="left" w:pos="7680"/>
        </w:tabs>
        <w:overflowPunct w:val="0"/>
        <w:adjustRightInd w:val="0"/>
        <w:spacing w:line="240" w:lineRule="exact"/>
        <w:ind w:left="0" w:firstLine="0"/>
        <w:jc w:val="left"/>
        <w:textAlignment w:val="baseline"/>
        <w:rPr>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2.</w:t>
      </w:r>
      <w:r w:rsidRPr="004F47BB">
        <w:rPr>
          <w:rFonts w:cs="Arial"/>
          <w:b/>
          <w:color w:val="000000"/>
          <w:szCs w:val="20"/>
          <w:lang w:val="en-US"/>
        </w:rPr>
        <w:tab/>
        <w:t>Values measured during the stopping manoeuvre</w:t>
      </w:r>
    </w:p>
    <w:p w:rsidR="004F47BB" w:rsidRPr="004F47BB" w:rsidRDefault="004F47BB" w:rsidP="004F47BB">
      <w:pPr>
        <w:overflowPunct w:val="0"/>
        <w:adjustRightInd w:val="0"/>
        <w:ind w:left="567" w:hanging="567"/>
        <w:jc w:val="left"/>
        <w:textAlignment w:val="baseline"/>
        <w:rPr>
          <w:szCs w:val="20"/>
          <w:lang w:val="en-US"/>
        </w:rPr>
      </w:pPr>
    </w:p>
    <w:p w:rsidR="004F47BB" w:rsidRPr="004F47BB" w:rsidRDefault="004F47BB" w:rsidP="004F47BB">
      <w:pPr>
        <w:overflowPunct w:val="0"/>
        <w:adjustRightInd w:val="0"/>
        <w:ind w:left="567" w:hanging="567"/>
        <w:jc w:val="left"/>
        <w:textAlignment w:val="baseline"/>
        <w:rPr>
          <w:szCs w:val="20"/>
          <w:lang w:val="en-US"/>
        </w:rPr>
      </w:pPr>
    </w:p>
    <w:p w:rsidR="004F47BB" w:rsidRPr="004F47BB" w:rsidRDefault="004F47BB" w:rsidP="004F47BB">
      <w:pPr>
        <w:tabs>
          <w:tab w:val="left" w:pos="5387"/>
          <w:tab w:val="left" w:pos="6379"/>
          <w:tab w:val="left" w:pos="6663"/>
          <w:tab w:val="left" w:pos="7513"/>
        </w:tabs>
        <w:overflowPunct w:val="0"/>
        <w:adjustRightInd w:val="0"/>
        <w:spacing w:line="240" w:lineRule="atLeast"/>
        <w:ind w:left="567" w:hanging="567"/>
        <w:jc w:val="left"/>
        <w:textAlignment w:val="baseline"/>
        <w:rPr>
          <w:szCs w:val="20"/>
          <w:lang w:val="en-US"/>
        </w:rPr>
      </w:pPr>
      <w:r w:rsidRPr="004F47BB">
        <w:rPr>
          <w:szCs w:val="20"/>
          <w:lang w:val="en-US"/>
        </w:rPr>
        <w:tab/>
        <w:t>Current velocity:</w:t>
      </w:r>
      <w:r w:rsidRPr="004F47BB">
        <w:rPr>
          <w:szCs w:val="20"/>
          <w:lang w:val="en-US"/>
        </w:rPr>
        <w:tab/>
      </w:r>
      <m:oMath>
        <m:sSub>
          <m:sSubPr>
            <m:ctrlPr>
              <w:rPr>
                <w:rFonts w:ascii="Cambria Math" w:hAnsi="Cambria Math"/>
                <w:i/>
                <w:szCs w:val="20"/>
                <w:lang w:val="en-US"/>
              </w:rPr>
            </m:ctrlPr>
          </m:sSubPr>
          <m:e>
            <m:sSub>
              <m:sSubPr>
                <m:ctrlPr>
                  <w:rPr>
                    <w:rFonts w:ascii="Cambria Math" w:hAnsi="Cambria Math"/>
                    <w:i/>
                    <w:szCs w:val="20"/>
                    <w:lang w:val="en-US"/>
                  </w:rPr>
                </m:ctrlPr>
              </m:sSubPr>
              <m:e>
                <m:r>
                  <w:rPr>
                    <w:rFonts w:ascii="Cambria Math" w:hAnsi="Cambria Math"/>
                    <w:szCs w:val="20"/>
                    <w:lang w:val="en-US"/>
                  </w:rPr>
                  <m:t>v</m:t>
                </m:r>
              </m:e>
              <m:sub>
                <m:r>
                  <w:rPr>
                    <w:rFonts w:ascii="Cambria Math" w:hAnsi="Cambria Math"/>
                    <w:szCs w:val="20"/>
                    <w:lang w:val="en-US"/>
                  </w:rPr>
                  <m:t>STR</m:t>
                </m:r>
              </m:sub>
            </m:sSub>
          </m:e>
          <m:sub>
            <m:r>
              <w:rPr>
                <w:rFonts w:ascii="Cambria Math" w:hAnsi="Cambria Math"/>
                <w:szCs w:val="20"/>
                <w:lang w:val="en-US"/>
              </w:rPr>
              <m:t>IST</m:t>
            </m:r>
          </m:sub>
        </m:sSub>
      </m:oMath>
      <w:r w:rsidRPr="004F47BB">
        <w:rPr>
          <w:szCs w:val="20"/>
          <w:lang w:val="en-US"/>
        </w:rPr>
        <w:tab/>
        <w:t>=</w:t>
      </w:r>
      <w:r w:rsidRPr="004F47BB">
        <w:rPr>
          <w:szCs w:val="20"/>
          <w:lang w:val="en-US"/>
        </w:rPr>
        <w:tab/>
        <w:t>1,4 m/s</w:t>
      </w:r>
      <w:r w:rsidRPr="004F47BB">
        <w:rPr>
          <w:szCs w:val="20"/>
          <w:lang w:val="en-US"/>
        </w:rPr>
        <w:tab/>
      </w:r>
      <w:r w:rsidRPr="004F47BB">
        <w:rPr>
          <w:szCs w:val="20"/>
        </w:rPr>
        <w:sym w:font="Symbol" w:char="F0BB"/>
      </w:r>
      <w:r w:rsidRPr="004F47BB">
        <w:rPr>
          <w:szCs w:val="20"/>
          <w:lang w:val="en-US"/>
        </w:rPr>
        <w:t xml:space="preserve"> 5,1 km/h</w:t>
      </w:r>
    </w:p>
    <w:p w:rsidR="004F47BB" w:rsidRPr="004F47BB" w:rsidRDefault="004F47BB" w:rsidP="004F47BB">
      <w:pPr>
        <w:tabs>
          <w:tab w:val="left" w:pos="5387"/>
          <w:tab w:val="left" w:pos="6379"/>
          <w:tab w:val="left" w:pos="6663"/>
          <w:tab w:val="left" w:pos="7513"/>
        </w:tabs>
        <w:overflowPunct w:val="0"/>
        <w:adjustRightInd w:val="0"/>
        <w:spacing w:line="240" w:lineRule="exact"/>
        <w:ind w:left="567" w:hanging="567"/>
        <w:jc w:val="left"/>
        <w:textAlignment w:val="baseline"/>
        <w:rPr>
          <w:szCs w:val="20"/>
          <w:lang w:val="en-US"/>
        </w:rPr>
      </w:pPr>
    </w:p>
    <w:p w:rsidR="004F47BB" w:rsidRPr="004F47BB" w:rsidRDefault="004F47BB" w:rsidP="004F47BB">
      <w:pPr>
        <w:tabs>
          <w:tab w:val="left" w:pos="5387"/>
          <w:tab w:val="left" w:pos="6379"/>
          <w:tab w:val="left" w:pos="6663"/>
          <w:tab w:val="left" w:pos="7513"/>
        </w:tabs>
        <w:overflowPunct w:val="0"/>
        <w:adjustRightInd w:val="0"/>
        <w:spacing w:line="240" w:lineRule="atLeast"/>
        <w:ind w:left="567" w:hanging="567"/>
        <w:jc w:val="left"/>
        <w:textAlignment w:val="baseline"/>
        <w:rPr>
          <w:szCs w:val="20"/>
          <w:lang w:val="en-US"/>
        </w:rPr>
      </w:pPr>
      <w:r w:rsidRPr="004F47BB">
        <w:rPr>
          <w:szCs w:val="20"/>
          <w:lang w:val="en-US"/>
        </w:rPr>
        <w:tab/>
        <w:t xml:space="preserve">Speed of vessel (in relation to the water): </w:t>
      </w:r>
      <w:r w:rsidRPr="004F47BB">
        <w:rPr>
          <w:szCs w:val="20"/>
          <w:lang w:val="en-US"/>
        </w:rPr>
        <w:tab/>
      </w:r>
      <m:oMath>
        <m:sSub>
          <m:sSubPr>
            <m:ctrlPr>
              <w:rPr>
                <w:rFonts w:ascii="Cambria Math" w:hAnsi="Cambria Math"/>
                <w:i/>
                <w:szCs w:val="20"/>
                <w:lang w:val="en-US"/>
              </w:rPr>
            </m:ctrlPr>
          </m:sSubPr>
          <m:e>
            <m:sSub>
              <m:sSubPr>
                <m:ctrlPr>
                  <w:rPr>
                    <w:rFonts w:ascii="Cambria Math" w:hAnsi="Cambria Math"/>
                    <w:i/>
                    <w:szCs w:val="20"/>
                    <w:lang w:val="en-US"/>
                  </w:rPr>
                </m:ctrlPr>
              </m:sSubPr>
              <m:e>
                <m:r>
                  <w:rPr>
                    <w:rFonts w:ascii="Cambria Math" w:hAnsi="Cambria Math"/>
                    <w:szCs w:val="20"/>
                    <w:lang w:val="en-US"/>
                  </w:rPr>
                  <m:t>v</m:t>
                </m:r>
              </m:e>
              <m:sub>
                <m:r>
                  <w:rPr>
                    <w:rFonts w:ascii="Cambria Math" w:hAnsi="Cambria Math"/>
                    <w:szCs w:val="20"/>
                    <w:lang w:val="en-US"/>
                  </w:rPr>
                  <m:t>S</m:t>
                </m:r>
              </m:sub>
            </m:sSub>
          </m:e>
          <m:sub>
            <m:r>
              <w:rPr>
                <w:rFonts w:ascii="Cambria Math" w:hAnsi="Cambria Math"/>
                <w:szCs w:val="20"/>
                <w:lang w:val="en-US"/>
              </w:rPr>
              <m:t>IST</m:t>
            </m:r>
          </m:sub>
        </m:sSub>
      </m:oMath>
      <w:r w:rsidRPr="004F47BB">
        <w:rPr>
          <w:szCs w:val="20"/>
          <w:lang w:val="en-US"/>
        </w:rPr>
        <w:tab/>
        <w:t>=</w:t>
      </w:r>
      <w:r w:rsidRPr="004F47BB">
        <w:rPr>
          <w:szCs w:val="20"/>
          <w:lang w:val="en-US"/>
        </w:rPr>
        <w:tab/>
        <w:t>3,5 m/s</w:t>
      </w:r>
      <w:r w:rsidRPr="004F47BB">
        <w:rPr>
          <w:szCs w:val="20"/>
          <w:lang w:val="en-US"/>
        </w:rPr>
        <w:tab/>
      </w:r>
      <w:r w:rsidRPr="004F47BB">
        <w:rPr>
          <w:szCs w:val="20"/>
        </w:rPr>
        <w:sym w:font="Symbol" w:char="F0BB"/>
      </w:r>
      <w:r w:rsidRPr="004F47BB">
        <w:rPr>
          <w:szCs w:val="20"/>
          <w:lang w:val="en-US"/>
        </w:rPr>
        <w:t xml:space="preserve"> 12,5 km/h</w:t>
      </w:r>
    </w:p>
    <w:p w:rsidR="004F47BB" w:rsidRPr="004F47BB" w:rsidRDefault="004F47BB" w:rsidP="004F47BB">
      <w:pPr>
        <w:tabs>
          <w:tab w:val="left" w:pos="5387"/>
          <w:tab w:val="left" w:pos="6379"/>
          <w:tab w:val="left" w:pos="6663"/>
          <w:tab w:val="left" w:pos="7513"/>
        </w:tabs>
        <w:overflowPunct w:val="0"/>
        <w:adjustRightInd w:val="0"/>
        <w:spacing w:line="240" w:lineRule="atLeast"/>
        <w:ind w:left="567" w:hanging="567"/>
        <w:jc w:val="left"/>
        <w:textAlignment w:val="baseline"/>
        <w:rPr>
          <w:szCs w:val="20"/>
          <w:lang w:val="en-US"/>
        </w:rPr>
      </w:pPr>
    </w:p>
    <w:p w:rsidR="004F47BB" w:rsidRPr="004F47BB" w:rsidRDefault="004F47BB" w:rsidP="004F47BB">
      <w:pPr>
        <w:tabs>
          <w:tab w:val="left" w:pos="5387"/>
          <w:tab w:val="left" w:pos="6379"/>
          <w:tab w:val="left" w:pos="6663"/>
          <w:tab w:val="left" w:pos="7513"/>
        </w:tabs>
        <w:overflowPunct w:val="0"/>
        <w:adjustRightInd w:val="0"/>
        <w:spacing w:line="240" w:lineRule="atLeast"/>
        <w:ind w:left="567" w:hanging="567"/>
        <w:jc w:val="left"/>
        <w:textAlignment w:val="baseline"/>
        <w:rPr>
          <w:szCs w:val="20"/>
          <w:lang w:val="en-US"/>
        </w:rPr>
      </w:pPr>
      <w:r w:rsidRPr="004F47BB">
        <w:rPr>
          <w:szCs w:val="20"/>
          <w:lang w:val="en-US"/>
        </w:rPr>
        <w:tab/>
        <w:t>Speed of vessel (in relation to the ground):</w:t>
      </w:r>
      <w:r w:rsidRPr="004F47BB">
        <w:rPr>
          <w:szCs w:val="20"/>
          <w:lang w:val="en-US"/>
        </w:rPr>
        <w:tab/>
      </w:r>
      <m:oMath>
        <m:sSub>
          <m:sSubPr>
            <m:ctrlPr>
              <w:rPr>
                <w:rFonts w:ascii="Cambria Math" w:hAnsi="Cambria Math"/>
                <w:i/>
                <w:szCs w:val="20"/>
                <w:lang w:val="en-US"/>
              </w:rPr>
            </m:ctrlPr>
          </m:sSubPr>
          <m:e>
            <m:sSub>
              <m:sSubPr>
                <m:ctrlPr>
                  <w:rPr>
                    <w:rFonts w:ascii="Cambria Math" w:hAnsi="Cambria Math"/>
                    <w:i/>
                    <w:szCs w:val="20"/>
                    <w:lang w:val="en-US"/>
                  </w:rPr>
                </m:ctrlPr>
              </m:sSubPr>
              <m:e>
                <m:r>
                  <w:rPr>
                    <w:rFonts w:ascii="Cambria Math" w:hAnsi="Cambria Math"/>
                    <w:szCs w:val="20"/>
                    <w:lang w:val="en-US"/>
                  </w:rPr>
                  <m:t>v</m:t>
                </m:r>
              </m:e>
              <m:sub>
                <m:r>
                  <w:rPr>
                    <w:rFonts w:ascii="Cambria Math" w:hAnsi="Cambria Math"/>
                    <w:szCs w:val="20"/>
                    <w:lang w:val="en-US"/>
                  </w:rPr>
                  <m:t>L</m:t>
                </m:r>
              </m:sub>
            </m:sSub>
          </m:e>
          <m:sub>
            <m:r>
              <w:rPr>
                <w:rFonts w:ascii="Cambria Math" w:hAnsi="Cambria Math"/>
                <w:szCs w:val="20"/>
                <w:lang w:val="en-US"/>
              </w:rPr>
              <m:t>IST</m:t>
            </m:r>
          </m:sub>
        </m:sSub>
      </m:oMath>
      <w:r w:rsidRPr="004F47BB">
        <w:rPr>
          <w:szCs w:val="20"/>
          <w:lang w:val="en-US"/>
        </w:rPr>
        <w:t xml:space="preserve"> </w:t>
      </w:r>
      <w:r w:rsidRPr="004F47BB">
        <w:rPr>
          <w:szCs w:val="20"/>
          <w:lang w:val="en-US"/>
        </w:rPr>
        <w:tab/>
        <w:t>=</w:t>
      </w:r>
      <w:r w:rsidRPr="004F47BB">
        <w:rPr>
          <w:szCs w:val="20"/>
          <w:lang w:val="en-US"/>
        </w:rPr>
        <w:tab/>
        <w:t>4,9 m/s</w:t>
      </w:r>
      <w:r w:rsidRPr="004F47BB">
        <w:rPr>
          <w:szCs w:val="20"/>
          <w:lang w:val="en-US"/>
        </w:rPr>
        <w:tab/>
      </w:r>
      <w:r w:rsidRPr="004F47BB">
        <w:rPr>
          <w:szCs w:val="20"/>
        </w:rPr>
        <w:sym w:font="Symbol" w:char="F0BB"/>
      </w:r>
      <w:r w:rsidRPr="004F47BB">
        <w:rPr>
          <w:szCs w:val="20"/>
          <w:lang w:val="en-US"/>
        </w:rPr>
        <w:t xml:space="preserve"> 17,6 km/h</w:t>
      </w:r>
    </w:p>
    <w:p w:rsidR="004F47BB" w:rsidRPr="004F47BB" w:rsidRDefault="004F47BB" w:rsidP="004F47BB">
      <w:pPr>
        <w:tabs>
          <w:tab w:val="left" w:pos="5387"/>
          <w:tab w:val="left" w:pos="6379"/>
          <w:tab w:val="left" w:pos="6663"/>
          <w:tab w:val="left" w:pos="7513"/>
        </w:tabs>
        <w:overflowPunct w:val="0"/>
        <w:adjustRightInd w:val="0"/>
        <w:spacing w:line="240" w:lineRule="atLeast"/>
        <w:ind w:left="567" w:hanging="567"/>
        <w:jc w:val="left"/>
        <w:textAlignment w:val="baseline"/>
        <w:rPr>
          <w:szCs w:val="20"/>
          <w:lang w:val="en-US"/>
        </w:rPr>
      </w:pPr>
    </w:p>
    <w:p w:rsidR="004F47BB" w:rsidRPr="004F47BB" w:rsidRDefault="004F47BB" w:rsidP="004F47BB">
      <w:pPr>
        <w:tabs>
          <w:tab w:val="left" w:pos="5387"/>
          <w:tab w:val="left" w:pos="6379"/>
          <w:tab w:val="left" w:pos="6663"/>
          <w:tab w:val="left" w:pos="7513"/>
        </w:tabs>
        <w:overflowPunct w:val="0"/>
        <w:adjustRightInd w:val="0"/>
        <w:spacing w:line="240" w:lineRule="atLeast"/>
        <w:ind w:left="567" w:hanging="567"/>
        <w:jc w:val="left"/>
        <w:textAlignment w:val="baseline"/>
        <w:rPr>
          <w:szCs w:val="20"/>
          <w:lang w:val="en-US"/>
        </w:rPr>
      </w:pPr>
      <w:r w:rsidRPr="004F47BB">
        <w:rPr>
          <w:szCs w:val="20"/>
          <w:lang w:val="en-US"/>
        </w:rPr>
        <w:tab/>
        <w:t xml:space="preserve">Reversal time (measured) (point </w:t>
      </w:r>
      <m:oMath>
        <m:r>
          <w:rPr>
            <w:rFonts w:ascii="Cambria Math" w:hAnsi="Cambria Math"/>
            <w:szCs w:val="20"/>
            <w:lang w:val="en-US"/>
          </w:rPr>
          <m:t>A</m:t>
        </m:r>
      </m:oMath>
      <w:r w:rsidRPr="004F47BB">
        <w:rPr>
          <w:szCs w:val="20"/>
          <w:lang w:val="en-US"/>
        </w:rPr>
        <w:t xml:space="preserve"> to </w:t>
      </w:r>
      <m:oMath>
        <m:r>
          <w:rPr>
            <w:rFonts w:ascii="Cambria Math" w:hAnsi="Cambria Math"/>
            <w:szCs w:val="20"/>
            <w:lang w:val="en-US"/>
          </w:rPr>
          <m:t>C</m:t>
        </m:r>
      </m:oMath>
      <w:r w:rsidRPr="004F47BB">
        <w:rPr>
          <w:szCs w:val="20"/>
          <w:lang w:val="en-US"/>
        </w:rPr>
        <w:t>):</w:t>
      </w:r>
      <w:r w:rsidRPr="004F47BB">
        <w:rPr>
          <w:szCs w:val="20"/>
          <w:lang w:val="en-US"/>
        </w:rPr>
        <w:tab/>
      </w:r>
      <m:oMath>
        <m:r>
          <w:rPr>
            <w:rFonts w:ascii="Cambria Math" w:hAnsi="Cambria Math"/>
            <w:szCs w:val="20"/>
            <w:lang w:val="en-US"/>
          </w:rPr>
          <m:t>t</m:t>
        </m:r>
        <m:r>
          <w:rPr>
            <w:rFonts w:ascii="Cambria Math" w:hAnsi="Cambria Math"/>
            <w:position w:val="-6"/>
            <w:sz w:val="16"/>
            <w:szCs w:val="20"/>
            <w:lang w:val="en-US"/>
          </w:rPr>
          <m:t>I</m:t>
        </m:r>
      </m:oMath>
      <w:r w:rsidRPr="004F47BB">
        <w:rPr>
          <w:szCs w:val="20"/>
          <w:lang w:val="en-US"/>
        </w:rPr>
        <w:t xml:space="preserve"> </w:t>
      </w:r>
      <w:r w:rsidRPr="004F47BB">
        <w:rPr>
          <w:szCs w:val="20"/>
          <w:lang w:val="en-US"/>
        </w:rPr>
        <w:tab/>
        <w:t>=</w:t>
      </w:r>
      <w:r w:rsidRPr="004F47BB">
        <w:rPr>
          <w:szCs w:val="20"/>
          <w:lang w:val="en-US"/>
        </w:rPr>
        <w:tab/>
        <w:t>16 s</w:t>
      </w:r>
    </w:p>
    <w:p w:rsidR="004F47BB" w:rsidRPr="004F47BB" w:rsidRDefault="004F47BB" w:rsidP="004F47BB">
      <w:pPr>
        <w:tabs>
          <w:tab w:val="left" w:pos="5387"/>
          <w:tab w:val="left" w:pos="6379"/>
          <w:tab w:val="left" w:pos="6663"/>
          <w:tab w:val="left" w:pos="7513"/>
        </w:tabs>
        <w:overflowPunct w:val="0"/>
        <w:adjustRightInd w:val="0"/>
        <w:ind w:left="567" w:hanging="567"/>
        <w:jc w:val="left"/>
        <w:textAlignment w:val="baseline"/>
        <w:rPr>
          <w:szCs w:val="20"/>
          <w:lang w:val="en-US"/>
        </w:rPr>
      </w:pPr>
    </w:p>
    <w:p w:rsidR="004F47BB" w:rsidRPr="004F47BB" w:rsidRDefault="004F47BB" w:rsidP="004F47BB">
      <w:pPr>
        <w:tabs>
          <w:tab w:val="left" w:pos="5529"/>
          <w:tab w:val="left" w:pos="6521"/>
          <w:tab w:val="left" w:pos="6804"/>
          <w:tab w:val="left" w:pos="8364"/>
        </w:tabs>
        <w:overflowPunct w:val="0"/>
        <w:adjustRightInd w:val="0"/>
        <w:spacing w:line="240" w:lineRule="atLeast"/>
        <w:ind w:left="567" w:hanging="567"/>
        <w:jc w:val="left"/>
        <w:textAlignment w:val="baseline"/>
        <w:rPr>
          <w:szCs w:val="20"/>
          <w:lang w:val="en-US"/>
        </w:rPr>
      </w:pPr>
      <w:r w:rsidRPr="004F47BB">
        <w:rPr>
          <w:szCs w:val="20"/>
          <w:lang w:val="en-US"/>
        </w:rPr>
        <w:tab/>
        <w:t xml:space="preserve">Stopping distance in relation to the water (point </w:t>
      </w:r>
      <m:oMath>
        <m:r>
          <w:rPr>
            <w:rFonts w:ascii="Cambria Math" w:hAnsi="Cambria Math"/>
            <w:szCs w:val="20"/>
            <w:lang w:val="en-US"/>
          </w:rPr>
          <m:t>A</m:t>
        </m:r>
      </m:oMath>
      <w:r w:rsidRPr="004F47BB">
        <w:rPr>
          <w:szCs w:val="20"/>
          <w:lang w:val="en-US"/>
        </w:rPr>
        <w:t xml:space="preserve"> to </w:t>
      </w:r>
      <m:oMath>
        <m:r>
          <w:rPr>
            <w:rFonts w:ascii="Cambria Math" w:hAnsi="Cambria Math"/>
            <w:szCs w:val="20"/>
            <w:lang w:val="en-US"/>
          </w:rPr>
          <m:t>D</m:t>
        </m:r>
      </m:oMath>
      <w:r w:rsidRPr="004F47BB">
        <w:rPr>
          <w:szCs w:val="20"/>
          <w:lang w:val="en-US"/>
        </w:rPr>
        <w:t>):</w:t>
      </w:r>
      <w:r w:rsidRPr="004F47BB">
        <w:rPr>
          <w:szCs w:val="20"/>
          <w:lang w:val="en-US"/>
        </w:rPr>
        <w:tab/>
      </w:r>
      <m:oMath>
        <m:r>
          <w:rPr>
            <w:rFonts w:ascii="Cambria Math" w:hAnsi="Cambria Math"/>
            <w:szCs w:val="20"/>
            <w:lang w:val="en-US"/>
          </w:rPr>
          <m:t>s</m:t>
        </m:r>
        <m:r>
          <w:rPr>
            <w:rFonts w:ascii="Cambria Math" w:hAnsi="Cambria Math"/>
            <w:position w:val="-6"/>
            <w:sz w:val="16"/>
            <w:szCs w:val="20"/>
            <w:lang w:val="en-US"/>
          </w:rPr>
          <m:t>MESSUNG</m:t>
        </m:r>
      </m:oMath>
      <w:r w:rsidRPr="004F47BB">
        <w:rPr>
          <w:szCs w:val="20"/>
          <w:lang w:val="en-US"/>
        </w:rPr>
        <w:t xml:space="preserve"> </w:t>
      </w:r>
      <w:r w:rsidRPr="004F47BB">
        <w:rPr>
          <w:szCs w:val="20"/>
          <w:lang w:val="en-US"/>
        </w:rPr>
        <w:tab/>
        <w:t>=</w:t>
      </w:r>
      <w:r w:rsidRPr="004F47BB">
        <w:rPr>
          <w:szCs w:val="20"/>
          <w:lang w:val="en-US"/>
        </w:rPr>
        <w:tab/>
        <w:t>340 m</w:t>
      </w:r>
    </w:p>
    <w:p w:rsidR="004F47BB" w:rsidRPr="004F47BB" w:rsidRDefault="004F47BB" w:rsidP="004F47BB">
      <w:pPr>
        <w:tabs>
          <w:tab w:val="left" w:pos="5387"/>
          <w:tab w:val="left" w:pos="6379"/>
          <w:tab w:val="left" w:pos="6663"/>
          <w:tab w:val="left" w:pos="7513"/>
        </w:tabs>
        <w:overflowPunct w:val="0"/>
        <w:adjustRightInd w:val="0"/>
        <w:spacing w:line="240" w:lineRule="atLeast"/>
        <w:ind w:left="567" w:hanging="567"/>
        <w:jc w:val="left"/>
        <w:textAlignment w:val="baseline"/>
        <w:rPr>
          <w:szCs w:val="20"/>
          <w:lang w:val="en-US"/>
        </w:rPr>
      </w:pPr>
    </w:p>
    <w:p w:rsidR="004F47BB" w:rsidRPr="004F47BB" w:rsidRDefault="004F47BB" w:rsidP="004F47BB">
      <w:pPr>
        <w:tabs>
          <w:tab w:val="left" w:pos="5387"/>
          <w:tab w:val="left" w:pos="6379"/>
          <w:tab w:val="left" w:pos="6663"/>
          <w:tab w:val="left" w:pos="7513"/>
        </w:tabs>
        <w:overflowPunct w:val="0"/>
        <w:adjustRightInd w:val="0"/>
        <w:spacing w:line="240" w:lineRule="atLeast"/>
        <w:ind w:left="567" w:hanging="567"/>
        <w:jc w:val="left"/>
        <w:textAlignment w:val="baseline"/>
        <w:rPr>
          <w:szCs w:val="20"/>
          <w:lang w:val="en-US"/>
        </w:rPr>
      </w:pPr>
      <w:r w:rsidRPr="004F47BB">
        <w:rPr>
          <w:szCs w:val="20"/>
          <w:lang w:val="en-US"/>
        </w:rPr>
        <w:tab/>
        <w:t>Loading condition (possibly estimated):</w:t>
      </w:r>
      <w:r w:rsidRPr="004F47BB">
        <w:rPr>
          <w:szCs w:val="20"/>
          <w:lang w:val="en-US"/>
        </w:rPr>
        <w:tab/>
      </w:r>
      <m:oMath>
        <m:r>
          <w:rPr>
            <w:rFonts w:ascii="Cambria Math" w:hAnsi="Cambria Math"/>
            <w:szCs w:val="20"/>
            <w:lang w:val="en-US"/>
          </w:rPr>
          <m:t>D</m:t>
        </m:r>
        <m:r>
          <w:rPr>
            <w:rFonts w:ascii="Cambria Math" w:hAnsi="Cambria Math"/>
            <w:position w:val="-6"/>
            <w:sz w:val="16"/>
            <w:szCs w:val="20"/>
            <w:lang w:val="en-US"/>
          </w:rPr>
          <m:t>IST</m:t>
        </m:r>
      </m:oMath>
      <w:r w:rsidRPr="004F47BB">
        <w:rPr>
          <w:szCs w:val="20"/>
          <w:lang w:val="en-US"/>
        </w:rPr>
        <w:t xml:space="preserve"> </w:t>
      </w:r>
      <w:r w:rsidRPr="004F47BB">
        <w:rPr>
          <w:szCs w:val="20"/>
          <w:lang w:val="en-US"/>
        </w:rPr>
        <w:tab/>
        <w:t>=</w:t>
      </w:r>
      <w:r w:rsidRPr="004F47BB">
        <w:rPr>
          <w:szCs w:val="20"/>
          <w:lang w:val="en-US"/>
        </w:rPr>
        <w:tab/>
        <w:t>5179 m</w:t>
      </w:r>
      <w:r w:rsidRPr="004F47BB">
        <w:rPr>
          <w:position w:val="6"/>
          <w:sz w:val="16"/>
          <w:szCs w:val="20"/>
          <w:lang w:val="en-US"/>
        </w:rPr>
        <w:t>3</w:t>
      </w:r>
      <w:r w:rsidRPr="004F47BB">
        <w:rPr>
          <w:szCs w:val="20"/>
          <w:lang w:val="en-US"/>
        </w:rPr>
        <w:tab/>
      </w:r>
      <w:r w:rsidRPr="004F47BB">
        <w:rPr>
          <w:szCs w:val="20"/>
        </w:rPr>
        <w:sym w:font="Symbol" w:char="F0BB"/>
      </w:r>
      <w:r w:rsidRPr="004F47BB">
        <w:rPr>
          <w:szCs w:val="20"/>
          <w:lang w:val="en-US"/>
        </w:rPr>
        <w:t xml:space="preserve"> 0,8 </w:t>
      </w:r>
      <m:oMath>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max</m:t>
            </m:r>
          </m:sub>
        </m:sSub>
      </m:oMath>
    </w:p>
    <w:p w:rsidR="004F47BB" w:rsidRPr="004F47BB" w:rsidRDefault="004F47BB" w:rsidP="004F47BB">
      <w:pPr>
        <w:tabs>
          <w:tab w:val="left" w:pos="5387"/>
          <w:tab w:val="left" w:pos="6379"/>
          <w:tab w:val="left" w:pos="6663"/>
          <w:tab w:val="left" w:pos="7230"/>
          <w:tab w:val="left" w:pos="7513"/>
        </w:tabs>
        <w:overflowPunct w:val="0"/>
        <w:adjustRightInd w:val="0"/>
        <w:spacing w:line="240" w:lineRule="atLeast"/>
        <w:ind w:left="567" w:hanging="567"/>
        <w:jc w:val="left"/>
        <w:textAlignment w:val="baseline"/>
        <w:rPr>
          <w:szCs w:val="20"/>
          <w:lang w:val="en-US"/>
        </w:rPr>
      </w:pPr>
    </w:p>
    <w:p w:rsidR="004F47BB" w:rsidRPr="004F47BB" w:rsidRDefault="004F47BB" w:rsidP="004F47BB">
      <w:pPr>
        <w:tabs>
          <w:tab w:val="left" w:pos="5387"/>
          <w:tab w:val="left" w:pos="6379"/>
          <w:tab w:val="left" w:pos="6663"/>
          <w:tab w:val="left" w:pos="7513"/>
        </w:tabs>
        <w:overflowPunct w:val="0"/>
        <w:adjustRightInd w:val="0"/>
        <w:spacing w:line="240" w:lineRule="atLeast"/>
        <w:ind w:left="567" w:hanging="567"/>
        <w:jc w:val="left"/>
        <w:textAlignment w:val="baseline"/>
        <w:rPr>
          <w:szCs w:val="20"/>
          <w:lang w:val="en-US"/>
        </w:rPr>
      </w:pPr>
      <w:r w:rsidRPr="004F47BB">
        <w:rPr>
          <w:szCs w:val="20"/>
          <w:lang w:val="en-US"/>
        </w:rPr>
        <w:tab/>
        <w:t>Actual draught of convoy:</w:t>
      </w:r>
      <w:r w:rsidRPr="004F47BB">
        <w:rPr>
          <w:szCs w:val="20"/>
          <w:lang w:val="en-US"/>
        </w:rPr>
        <w:tab/>
      </w:r>
      <m:oMath>
        <m:r>
          <w:rPr>
            <w:rFonts w:ascii="Cambria Math" w:hAnsi="Cambria Math"/>
            <w:szCs w:val="20"/>
            <w:lang w:val="en-US"/>
          </w:rPr>
          <m:t>T</m:t>
        </m:r>
        <m:r>
          <w:rPr>
            <w:rFonts w:ascii="Cambria Math" w:hAnsi="Cambria Math"/>
            <w:position w:val="-6"/>
            <w:sz w:val="16"/>
            <w:szCs w:val="20"/>
            <w:lang w:val="en-US"/>
          </w:rPr>
          <m:t>IST</m:t>
        </m:r>
      </m:oMath>
      <w:r w:rsidRPr="004F47BB">
        <w:rPr>
          <w:szCs w:val="20"/>
          <w:lang w:val="en-US"/>
        </w:rPr>
        <w:tab/>
        <w:t>=</w:t>
      </w:r>
      <w:r w:rsidRPr="004F47BB">
        <w:rPr>
          <w:szCs w:val="20"/>
          <w:lang w:val="en-US"/>
        </w:rPr>
        <w:tab/>
        <w:t>2,96 m</w:t>
      </w:r>
      <w:r w:rsidRPr="004F47BB">
        <w:rPr>
          <w:szCs w:val="20"/>
          <w:lang w:val="en-US"/>
        </w:rPr>
        <w:tab/>
      </w:r>
      <w:r w:rsidRPr="004F47BB">
        <w:rPr>
          <w:szCs w:val="20"/>
        </w:rPr>
        <w:sym w:font="Symbol" w:char="F0BB"/>
      </w:r>
      <w:r w:rsidRPr="004F47BB">
        <w:rPr>
          <w:szCs w:val="20"/>
          <w:lang w:val="en-US"/>
        </w:rPr>
        <w:t xml:space="preserve"> 0,8 </w:t>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max</m:t>
            </m:r>
          </m:sub>
        </m:sSub>
      </m:oMath>
    </w:p>
    <w:p w:rsidR="004F47BB" w:rsidRPr="004F47BB" w:rsidRDefault="004F47BB" w:rsidP="004F47BB">
      <w:pPr>
        <w:overflowPunct w:val="0"/>
        <w:adjustRightInd w:val="0"/>
        <w:spacing w:line="240" w:lineRule="exact"/>
        <w:ind w:left="567" w:hanging="567"/>
        <w:jc w:val="left"/>
        <w:textAlignment w:val="baseline"/>
        <w:rPr>
          <w:szCs w:val="20"/>
          <w:lang w:val="en-US"/>
        </w:rPr>
      </w:pPr>
    </w:p>
    <w:p w:rsidR="004F47BB" w:rsidRPr="004F47BB" w:rsidRDefault="004F47BB" w:rsidP="004F47BB">
      <w:pPr>
        <w:overflowPunct w:val="0"/>
        <w:adjustRightInd w:val="0"/>
        <w:ind w:left="567" w:hanging="567"/>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r w:rsidRPr="004F47BB">
        <w:rPr>
          <w:szCs w:val="20"/>
          <w:lang w:val="en-US"/>
        </w:rPr>
        <w:br w:type="page"/>
      </w:r>
    </w:p>
    <w:p w:rsidR="004F47BB" w:rsidRPr="004F47BB" w:rsidRDefault="004F47BB" w:rsidP="004F47BB">
      <w:pPr>
        <w:spacing w:line="240" w:lineRule="atLeast"/>
        <w:ind w:left="567" w:hanging="567"/>
        <w:rPr>
          <w:rFonts w:cs="Arial"/>
          <w:color w:val="000000"/>
          <w:szCs w:val="20"/>
          <w:lang w:val="en-US"/>
        </w:rPr>
      </w:pPr>
      <w:r w:rsidRPr="004F47BB">
        <w:rPr>
          <w:rFonts w:cs="Arial"/>
          <w:b/>
          <w:color w:val="000000"/>
          <w:szCs w:val="20"/>
          <w:lang w:val="en-US"/>
        </w:rPr>
        <w:lastRenderedPageBreak/>
        <w:t>3.</w:t>
      </w:r>
      <w:r w:rsidRPr="004F47BB">
        <w:rPr>
          <w:rFonts w:cs="Arial"/>
          <w:b/>
          <w:color w:val="000000"/>
          <w:szCs w:val="20"/>
          <w:lang w:val="en-US"/>
        </w:rPr>
        <w:tab/>
      </w:r>
      <w:r w:rsidRPr="004F47BB">
        <w:rPr>
          <w:rFonts w:cs="Arial"/>
          <w:b/>
          <w:noProof/>
          <w:color w:val="000000"/>
          <w:szCs w:val="20"/>
          <w:lang w:val="en-US"/>
        </w:rPr>
        <w:t xml:space="preserve">Limit value according to (2.1)(a) or (b) to be compared with </w:t>
      </w:r>
      <m:oMath>
        <m:sSub>
          <m:sSubPr>
            <m:ctrlPr>
              <w:rPr>
                <w:rFonts w:ascii="Cambria Math" w:hAnsi="Cambria Math"/>
                <w:i/>
                <w:noProof/>
                <w:lang w:val="en-US"/>
              </w:rPr>
            </m:ctrlPr>
          </m:sSubPr>
          <m:e>
            <m:r>
              <m:rPr>
                <m:sty m:val="bi"/>
              </m:rPr>
              <w:rPr>
                <w:rFonts w:ascii="Cambria Math" w:hAnsi="Cambria Math" w:cs="Arial"/>
                <w:noProof/>
                <w:color w:val="000000"/>
                <w:szCs w:val="20"/>
                <w:lang w:val="en-US"/>
              </w:rPr>
              <m:t>s</m:t>
            </m:r>
          </m:e>
          <m:sub>
            <m:r>
              <m:rPr>
                <m:sty m:val="bi"/>
              </m:rPr>
              <w:rPr>
                <w:rFonts w:ascii="Cambria Math" w:hAnsi="Cambria Math" w:cs="Arial"/>
                <w:noProof/>
                <w:color w:val="000000"/>
                <w:szCs w:val="20"/>
                <w:lang w:val="en-US"/>
              </w:rPr>
              <m:t>NORM</m:t>
            </m:r>
          </m:sub>
        </m:sSub>
      </m:oMath>
    </w:p>
    <w:p w:rsidR="004F47BB" w:rsidRPr="004F47BB" w:rsidRDefault="004F47BB" w:rsidP="004F47BB">
      <w:pPr>
        <w:tabs>
          <w:tab w:val="left" w:pos="567"/>
        </w:tabs>
        <w:overflowPunct w:val="0"/>
        <w:adjustRightInd w:val="0"/>
        <w:ind w:left="284" w:hanging="284"/>
        <w:textAlignment w:val="baseline"/>
        <w:rPr>
          <w:szCs w:val="20"/>
          <w:lang w:val="en-US"/>
        </w:rPr>
      </w:pPr>
    </w:p>
    <w:p w:rsidR="004F47BB" w:rsidRPr="004F47BB" w:rsidRDefault="004F47BB" w:rsidP="004F47BB">
      <w:pPr>
        <w:overflowPunct w:val="0"/>
        <w:adjustRightInd w:val="0"/>
        <w:spacing w:line="240" w:lineRule="exact"/>
        <w:ind w:left="567" w:firstLine="0"/>
        <w:textAlignment w:val="baseline"/>
        <w:rPr>
          <w:szCs w:val="20"/>
          <w:lang w:val="en-US"/>
        </w:rPr>
      </w:pPr>
      <w:r w:rsidRPr="004F47BB">
        <w:rPr>
          <w:szCs w:val="20"/>
          <w:lang w:val="en-US"/>
        </w:rPr>
        <w:t xml:space="preserve">Since </w:t>
      </w:r>
      <m:oMath>
        <m:r>
          <w:rPr>
            <w:rFonts w:ascii="Cambria Math" w:hAnsi="Cambria Math"/>
            <w:szCs w:val="20"/>
            <w:lang w:val="en-US"/>
          </w:rPr>
          <m:t>B &gt; 11,45 m</m:t>
        </m:r>
      </m:oMath>
      <w:r w:rsidRPr="004F47BB">
        <w:rPr>
          <w:szCs w:val="20"/>
          <w:lang w:val="en-US"/>
        </w:rPr>
        <w:t xml:space="preserve"> and since the convoy is in flowing water, the following is applicable for this convoy under (2.1)(a):</w:t>
      </w:r>
    </w:p>
    <w:p w:rsidR="004F47BB" w:rsidRPr="004F47BB" w:rsidRDefault="004F47BB" w:rsidP="004F47BB">
      <w:pPr>
        <w:tabs>
          <w:tab w:val="left" w:pos="567"/>
        </w:tabs>
        <w:overflowPunct w:val="0"/>
        <w:adjustRightInd w:val="0"/>
        <w:ind w:left="284" w:hanging="284"/>
        <w:textAlignment w:val="baseline"/>
        <w:rPr>
          <w:szCs w:val="20"/>
          <w:lang w:val="en-US"/>
        </w:rPr>
      </w:pPr>
    </w:p>
    <w:p w:rsidR="004F47BB" w:rsidRPr="004F47BB" w:rsidRDefault="004F47BB" w:rsidP="004F47BB">
      <w:pPr>
        <w:tabs>
          <w:tab w:val="left" w:pos="567"/>
          <w:tab w:val="left" w:pos="3402"/>
        </w:tabs>
        <w:overflowPunct w:val="0"/>
        <w:adjustRightInd w:val="0"/>
        <w:spacing w:line="240" w:lineRule="atLeast"/>
        <w:ind w:left="567" w:firstLine="0"/>
        <w:textAlignment w:val="baseline"/>
        <w:rPr>
          <w:szCs w:val="20"/>
          <w:lang w:val="en-US"/>
        </w:rPr>
      </w:pPr>
      <m:oMathPara>
        <m:oMath>
          <m:r>
            <w:rPr>
              <w:rFonts w:ascii="Cambria Math" w:hAnsi="Cambria Math"/>
              <w:szCs w:val="20"/>
              <w:lang w:val="en-US"/>
            </w:rPr>
            <m:t>s</m:t>
          </m:r>
          <m:r>
            <w:rPr>
              <w:rFonts w:ascii="Cambria Math" w:hAnsi="Cambria Math"/>
              <w:position w:val="-6"/>
              <w:sz w:val="16"/>
              <w:szCs w:val="20"/>
              <w:lang w:val="en-US"/>
            </w:rPr>
            <m:t>NORM</m:t>
          </m:r>
          <m:r>
            <w:rPr>
              <w:rFonts w:ascii="Cambria Math" w:hAnsi="Cambria Math"/>
              <w:szCs w:val="20"/>
              <w:lang w:val="en-US"/>
            </w:rPr>
            <m:t xml:space="preserve">  </m:t>
          </m:r>
          <m:r>
            <w:rPr>
              <w:rFonts w:ascii="Cambria Math" w:hAnsi="Cambria Math"/>
              <w:i/>
              <w:szCs w:val="20"/>
              <w:lang w:val="de-DE"/>
            </w:rPr>
            <w:sym w:font="Symbol" w:char="F0A3"/>
          </m:r>
          <m:r>
            <w:rPr>
              <w:rFonts w:ascii="Cambria Math" w:hAnsi="Cambria Math"/>
              <w:szCs w:val="20"/>
              <w:lang w:val="en-US"/>
            </w:rPr>
            <m:t xml:space="preserve">  550 m</m:t>
          </m:r>
        </m:oMath>
      </m:oMathPara>
    </w:p>
    <w:p w:rsidR="004F47BB" w:rsidRPr="004F47BB" w:rsidRDefault="004F47BB" w:rsidP="004F47BB">
      <w:pPr>
        <w:tabs>
          <w:tab w:val="left" w:pos="454"/>
          <w:tab w:val="left" w:pos="567"/>
        </w:tabs>
        <w:overflowPunct w:val="0"/>
        <w:adjustRightInd w:val="0"/>
        <w:spacing w:line="240" w:lineRule="exact"/>
        <w:ind w:left="284" w:hanging="284"/>
        <w:textAlignment w:val="baseline"/>
        <w:rPr>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4.</w:t>
      </w:r>
      <w:r w:rsidRPr="004F47BB">
        <w:rPr>
          <w:rFonts w:cs="Arial"/>
          <w:b/>
          <w:color w:val="000000"/>
          <w:szCs w:val="20"/>
          <w:lang w:val="en-US"/>
        </w:rPr>
        <w:tab/>
        <w:t>Determination of corrected stopping distance compared to standard conditions</w:t>
      </w:r>
    </w:p>
    <w:p w:rsidR="004F47BB" w:rsidRPr="004F47BB" w:rsidRDefault="004F47BB" w:rsidP="004F47BB">
      <w:pPr>
        <w:tabs>
          <w:tab w:val="left" w:pos="28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567"/>
        </w:tabs>
        <w:overflowPunct w:val="0"/>
        <w:adjustRightInd w:val="0"/>
        <w:spacing w:line="240" w:lineRule="exact"/>
        <w:ind w:left="992"/>
        <w:jc w:val="left"/>
        <w:textAlignment w:val="baseline"/>
        <w:rPr>
          <w:szCs w:val="20"/>
          <w:lang w:val="en-US"/>
        </w:rPr>
      </w:pPr>
      <w:r w:rsidRPr="004F47BB">
        <w:rPr>
          <w:szCs w:val="20"/>
          <w:lang w:val="en-US"/>
        </w:rPr>
        <w:t>-</w:t>
      </w:r>
      <w:r w:rsidRPr="004F47BB">
        <w:rPr>
          <w:szCs w:val="20"/>
          <w:lang w:val="en-US"/>
        </w:rPr>
        <w:tab/>
      </w:r>
      <w:r w:rsidRPr="004F47BB">
        <w:rPr>
          <w:b/>
          <w:szCs w:val="20"/>
          <w:lang w:val="en-US"/>
        </w:rPr>
        <w:t xml:space="preserve">Measured </w:t>
      </w:r>
      <w:r w:rsidRPr="004F47BB">
        <w:rPr>
          <w:szCs w:val="20"/>
          <w:lang w:val="en-US"/>
        </w:rPr>
        <w:t>value according to Annex 1 (see (2)):</w:t>
      </w:r>
    </w:p>
    <w:p w:rsidR="004F47BB" w:rsidRPr="004F47BB" w:rsidRDefault="004F47BB" w:rsidP="004F47BB">
      <w:pPr>
        <w:tabs>
          <w:tab w:val="left" w:pos="28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454"/>
          <w:tab w:val="left" w:pos="3402"/>
        </w:tabs>
        <w:overflowPunct w:val="0"/>
        <w:adjustRightInd w:val="0"/>
        <w:spacing w:line="240" w:lineRule="atLeast"/>
        <w:ind w:left="454" w:hanging="454"/>
        <w:textAlignment w:val="baseline"/>
        <w:rPr>
          <w:szCs w:val="20"/>
          <w:lang w:val="en-US"/>
        </w:rPr>
      </w:pPr>
      <w:r w:rsidRPr="004F47BB">
        <w:rPr>
          <w:szCs w:val="20"/>
          <w:lang w:val="en-US"/>
        </w:rPr>
        <w:tab/>
      </w:r>
      <w:r w:rsidRPr="004F47BB">
        <w:rPr>
          <w:szCs w:val="20"/>
          <w:lang w:val="en-US"/>
        </w:rPr>
        <w:tab/>
      </w:r>
      <m:oMath>
        <m:r>
          <w:rPr>
            <w:rFonts w:ascii="Cambria Math" w:hAnsi="Cambria Math"/>
            <w:szCs w:val="20"/>
            <w:lang w:val="en-US"/>
          </w:rPr>
          <m:t>s</m:t>
        </m:r>
        <m:r>
          <w:rPr>
            <w:rFonts w:ascii="Cambria Math" w:hAnsi="Cambria Math"/>
            <w:position w:val="-6"/>
            <w:sz w:val="16"/>
            <w:szCs w:val="20"/>
            <w:lang w:val="en-US"/>
          </w:rPr>
          <m:t>MESSUNG</m:t>
        </m:r>
        <m:r>
          <w:rPr>
            <w:rFonts w:ascii="Cambria Math" w:hAnsi="Cambria Math"/>
            <w:szCs w:val="20"/>
            <w:lang w:val="en-US"/>
          </w:rPr>
          <m:t xml:space="preserve"> = 340 m</m:t>
        </m:r>
      </m:oMath>
    </w:p>
    <w:p w:rsidR="004F47BB" w:rsidRPr="004F47BB" w:rsidRDefault="004F47BB" w:rsidP="004F47BB">
      <w:pPr>
        <w:tabs>
          <w:tab w:val="left" w:pos="284"/>
          <w:tab w:val="left" w:pos="567"/>
        </w:tabs>
        <w:overflowPunct w:val="0"/>
        <w:adjustRightInd w:val="0"/>
        <w:spacing w:line="240" w:lineRule="atLeast"/>
        <w:ind w:left="992"/>
        <w:jc w:val="left"/>
        <w:textAlignment w:val="baseline"/>
        <w:rPr>
          <w:b/>
          <w:szCs w:val="20"/>
          <w:lang w:val="en-US"/>
        </w:rPr>
      </w:pPr>
      <w:r w:rsidRPr="004F47BB">
        <w:rPr>
          <w:b/>
          <w:szCs w:val="20"/>
          <w:lang w:val="en-US"/>
        </w:rPr>
        <w:t>-</w:t>
      </w:r>
      <w:r w:rsidRPr="004F47BB">
        <w:rPr>
          <w:b/>
          <w:szCs w:val="20"/>
          <w:lang w:val="en-US"/>
        </w:rPr>
        <w:tab/>
        <w:t>to be calculated:</w:t>
      </w: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F12BAF" w:rsidP="004F47BB">
      <w:pPr>
        <w:tabs>
          <w:tab w:val="left" w:pos="3402"/>
        </w:tabs>
        <w:overflowPunct w:val="0"/>
        <w:adjustRightInd w:val="0"/>
        <w:spacing w:line="240" w:lineRule="exact"/>
        <w:ind w:left="1417"/>
        <w:jc w:val="left"/>
        <w:textAlignment w:val="baseline"/>
        <w:rPr>
          <w:szCs w:val="20"/>
          <w:lang w:val="en-US"/>
        </w:rPr>
      </w:pP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IST</m:t>
            </m:r>
          </m:sub>
        </m:sSub>
      </m:oMath>
      <w:r w:rsidR="004F47BB" w:rsidRPr="004F47BB">
        <w:rPr>
          <w:szCs w:val="20"/>
          <w:lang w:val="en-US"/>
        </w:rPr>
        <w:t xml:space="preserve"> as the sum of</w:t>
      </w:r>
    </w:p>
    <w:p w:rsidR="004F47BB" w:rsidRPr="004F47BB" w:rsidRDefault="004F47BB" w:rsidP="004F47BB">
      <w:pPr>
        <w:tabs>
          <w:tab w:val="left" w:pos="567"/>
          <w:tab w:val="left" w:pos="3402"/>
        </w:tabs>
        <w:overflowPunct w:val="0"/>
        <w:adjustRightInd w:val="0"/>
        <w:spacing w:line="240" w:lineRule="exact"/>
        <w:ind w:left="1417"/>
        <w:jc w:val="left"/>
        <w:textAlignment w:val="baseline"/>
        <w:rPr>
          <w:szCs w:val="20"/>
          <w:lang w:val="en-US"/>
        </w:rPr>
      </w:pPr>
    </w:p>
    <w:p w:rsidR="004F47BB" w:rsidRPr="004F47BB" w:rsidRDefault="00F12BAF" w:rsidP="004F47BB">
      <w:pPr>
        <w:tabs>
          <w:tab w:val="left" w:pos="3402"/>
        </w:tabs>
        <w:overflowPunct w:val="0"/>
        <w:adjustRightInd w:val="0"/>
        <w:spacing w:line="240" w:lineRule="atLeast"/>
        <w:ind w:left="3402" w:hanging="2410"/>
        <w:jc w:val="left"/>
        <w:textAlignment w:val="baseline"/>
        <w:rPr>
          <w:szCs w:val="20"/>
          <w:lang w:val="en-US"/>
        </w:rPr>
      </w:pP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sub>
            </m:sSub>
          </m:e>
          <m:sub>
            <m:r>
              <w:rPr>
                <w:rFonts w:ascii="Cambria Math" w:hAnsi="Cambria Math"/>
                <w:noProof/>
                <w:lang w:val="en-US"/>
              </w:rPr>
              <m:t>IST</m:t>
            </m:r>
          </m:sub>
        </m:sSub>
      </m:oMath>
      <w:r w:rsidR="004F47BB" w:rsidRPr="004F47BB">
        <w:rPr>
          <w:szCs w:val="20"/>
          <w:lang w:val="en-US"/>
        </w:rPr>
        <w:tab/>
      </w:r>
      <w:r w:rsidR="004F47BB" w:rsidRPr="004F47BB">
        <w:rPr>
          <w:noProof/>
          <w:lang w:val="en-US"/>
        </w:rPr>
        <w:t xml:space="preserve">(according to formula (4.1) of Annex 2 with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v</m:t>
                </m:r>
              </m:e>
              <m:sub>
                <m:r>
                  <w:rPr>
                    <w:rFonts w:ascii="Cambria Math" w:hAnsi="Cambria Math"/>
                    <w:noProof/>
                    <w:lang w:val="en-US"/>
                  </w:rPr>
                  <m:t>L</m:t>
                </m:r>
              </m:sub>
            </m:sSub>
          </m:e>
          <m:sub>
            <m:r>
              <w:rPr>
                <w:rFonts w:ascii="Cambria Math" w:hAnsi="Cambria Math"/>
                <w:noProof/>
                <w:lang w:val="en-US"/>
              </w:rPr>
              <m:t>IST</m:t>
            </m:r>
          </m:sub>
        </m:sSub>
      </m:oMath>
      <w:r w:rsidR="004F47BB" w:rsidRPr="004F47BB">
        <w:rPr>
          <w:noProof/>
          <w:lang w:val="en-US"/>
        </w:rPr>
        <w:t>)</w:t>
      </w:r>
    </w:p>
    <w:p w:rsidR="004F47BB" w:rsidRPr="004F47BB" w:rsidRDefault="004F47BB" w:rsidP="004F47BB">
      <w:pPr>
        <w:tabs>
          <w:tab w:val="left" w:pos="567"/>
          <w:tab w:val="left" w:pos="3402"/>
          <w:tab w:val="left" w:pos="3544"/>
        </w:tabs>
        <w:overflowPunct w:val="0"/>
        <w:adjustRightInd w:val="0"/>
        <w:spacing w:line="240" w:lineRule="atLeast"/>
        <w:ind w:left="1417"/>
        <w:jc w:val="left"/>
        <w:textAlignment w:val="baseline"/>
        <w:rPr>
          <w:szCs w:val="20"/>
          <w:lang w:val="en-US"/>
        </w:rPr>
      </w:pPr>
    </w:p>
    <w:p w:rsidR="004F47BB" w:rsidRPr="004F47BB" w:rsidRDefault="004F47BB" w:rsidP="004F47BB">
      <w:pPr>
        <w:tabs>
          <w:tab w:val="left" w:pos="3402"/>
        </w:tabs>
        <w:overflowPunct w:val="0"/>
        <w:adjustRightInd w:val="0"/>
        <w:spacing w:line="240" w:lineRule="atLeast"/>
        <w:ind w:left="3402" w:hanging="2410"/>
        <w:textAlignment w:val="baseline"/>
        <w:rPr>
          <w:szCs w:val="20"/>
          <w:lang w:val="en-US"/>
        </w:rPr>
      </w:pPr>
      <w:r w:rsidRPr="004F47BB">
        <w:rPr>
          <w:szCs w:val="20"/>
          <w:lang w:val="en-US"/>
        </w:rPr>
        <w:t xml:space="preserve">and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II</m:t>
                </m:r>
              </m:sub>
            </m:sSub>
          </m:e>
          <m:sub>
            <m:r>
              <w:rPr>
                <w:rFonts w:ascii="Cambria Math" w:hAnsi="Cambria Math"/>
                <w:noProof/>
                <w:lang w:val="en-US"/>
              </w:rPr>
              <m:t>IST</m:t>
            </m:r>
          </m:sub>
        </m:sSub>
      </m:oMath>
      <w:r w:rsidRPr="004F47BB">
        <w:rPr>
          <w:szCs w:val="20"/>
          <w:lang w:val="en-US"/>
        </w:rPr>
        <w:tab/>
      </w:r>
      <w:r w:rsidRPr="004F47BB">
        <w:rPr>
          <w:noProof/>
          <w:lang w:val="en-US"/>
        </w:rPr>
        <w:t xml:space="preserve">(according to formulae (4.2), (4.3), (4.4), (4.5) and (4.6) of Annex 2 with actual speeds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v</m:t>
                </m:r>
              </m:e>
              <m:sub>
                <m:r>
                  <w:rPr>
                    <w:rFonts w:ascii="Cambria Math" w:hAnsi="Cambria Math"/>
                    <w:noProof/>
                    <w:lang w:val="en-US"/>
                  </w:rPr>
                  <m:t>II</m:t>
                </m:r>
              </m:sub>
            </m:sSub>
          </m:e>
          <m:sub>
            <m:r>
              <w:rPr>
                <w:rFonts w:ascii="Cambria Math" w:hAnsi="Cambria Math"/>
                <w:noProof/>
                <w:lang w:val="en-US"/>
              </w:rPr>
              <m:t>IST</m:t>
            </m:r>
          </m:sub>
        </m:sSub>
      </m:oMath>
      <w:r w:rsidRPr="004F47BB">
        <w:rPr>
          <w:szCs w:val="20"/>
          <w:lang w:val="en-US"/>
        </w:rPr>
        <w:t xml:space="preserve">,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v</m:t>
                </m:r>
              </m:e>
              <m:sub>
                <m:r>
                  <w:rPr>
                    <w:rFonts w:ascii="Cambria Math" w:hAnsi="Cambria Math"/>
                    <w:noProof/>
                    <w:lang w:val="en-US"/>
                  </w:rPr>
                  <m:t>STR</m:t>
                </m:r>
              </m:sub>
            </m:sSub>
          </m:e>
          <m:sub>
            <m:r>
              <w:rPr>
                <w:rFonts w:ascii="Cambria Math" w:hAnsi="Cambria Math"/>
                <w:noProof/>
                <w:lang w:val="en-US"/>
              </w:rPr>
              <m:t>IST</m:t>
            </m:r>
          </m:sub>
        </m:sSub>
      </m:oMath>
      <w:r w:rsidRPr="004F47BB">
        <w:rPr>
          <w:szCs w:val="20"/>
          <w:lang w:val="en-US"/>
        </w:rPr>
        <w:t xml:space="preserve">, </w:t>
      </w:r>
      <m:oMath>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IST</m:t>
            </m:r>
          </m:sub>
        </m:sSub>
      </m:oMath>
      <w:r w:rsidRPr="004F47BB">
        <w:rPr>
          <w:noProof/>
          <w:lang w:val="en-US"/>
        </w:rPr>
        <w:t>)</w:t>
      </w:r>
    </w:p>
    <w:p w:rsidR="004F47BB" w:rsidRPr="004F47BB" w:rsidRDefault="004F47BB" w:rsidP="004F47BB">
      <w:pPr>
        <w:tabs>
          <w:tab w:val="left" w:pos="454"/>
          <w:tab w:val="left" w:pos="3402"/>
        </w:tabs>
        <w:overflowPunct w:val="0"/>
        <w:adjustRightInd w:val="0"/>
        <w:spacing w:line="240" w:lineRule="atLeast"/>
        <w:ind w:left="1417"/>
        <w:jc w:val="left"/>
        <w:textAlignment w:val="baseline"/>
        <w:rPr>
          <w:szCs w:val="20"/>
          <w:lang w:val="en-US"/>
        </w:rPr>
      </w:pPr>
    </w:p>
    <w:p w:rsidR="004F47BB" w:rsidRPr="004F47BB" w:rsidRDefault="00F12BAF" w:rsidP="004F47BB">
      <w:pPr>
        <w:tabs>
          <w:tab w:val="left" w:pos="567"/>
          <w:tab w:val="left" w:pos="3402"/>
        </w:tabs>
        <w:overflowPunct w:val="0"/>
        <w:adjustRightInd w:val="0"/>
        <w:spacing w:line="240" w:lineRule="atLeast"/>
        <w:ind w:left="1417"/>
        <w:jc w:val="left"/>
        <w:textAlignment w:val="baseline"/>
        <w:rPr>
          <w:szCs w:val="20"/>
          <w:lang w:val="en-US"/>
        </w:rPr>
      </w:pP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SOLL</m:t>
            </m:r>
          </m:sub>
        </m:sSub>
      </m:oMath>
      <w:r w:rsidR="004F47BB" w:rsidRPr="004F47BB">
        <w:rPr>
          <w:szCs w:val="20"/>
          <w:lang w:val="en-US"/>
        </w:rPr>
        <w:t xml:space="preserve"> as the sum of</w:t>
      </w:r>
    </w:p>
    <w:p w:rsidR="004F47BB" w:rsidRPr="004F47BB" w:rsidRDefault="004F47BB" w:rsidP="004F47BB">
      <w:pPr>
        <w:tabs>
          <w:tab w:val="left" w:pos="567"/>
          <w:tab w:val="left" w:pos="3402"/>
        </w:tabs>
        <w:overflowPunct w:val="0"/>
        <w:adjustRightInd w:val="0"/>
        <w:spacing w:line="240" w:lineRule="atLeast"/>
        <w:ind w:left="1417"/>
        <w:jc w:val="left"/>
        <w:textAlignment w:val="baseline"/>
        <w:rPr>
          <w:szCs w:val="20"/>
          <w:lang w:val="en-US"/>
        </w:rPr>
      </w:pPr>
    </w:p>
    <w:p w:rsidR="004F47BB" w:rsidRPr="004F47BB" w:rsidRDefault="00F12BAF" w:rsidP="004F47BB">
      <w:pPr>
        <w:tabs>
          <w:tab w:val="left" w:pos="567"/>
          <w:tab w:val="left" w:pos="3402"/>
          <w:tab w:val="left" w:pos="3544"/>
        </w:tabs>
        <w:overflowPunct w:val="0"/>
        <w:adjustRightInd w:val="0"/>
        <w:spacing w:line="240" w:lineRule="atLeast"/>
        <w:ind w:left="1417"/>
        <w:jc w:val="left"/>
        <w:textAlignment w:val="baseline"/>
        <w:rPr>
          <w:szCs w:val="20"/>
          <w:lang w:val="en-US"/>
        </w:rPr>
      </w:pP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sub>
            </m:sSub>
          </m:e>
          <m:sub>
            <m:r>
              <w:rPr>
                <w:rFonts w:ascii="Cambria Math" w:hAnsi="Cambria Math"/>
                <w:noProof/>
                <w:lang w:val="en-US"/>
              </w:rPr>
              <m:t>SOLL</m:t>
            </m:r>
          </m:sub>
        </m:sSub>
      </m:oMath>
      <w:r w:rsidR="004F47BB" w:rsidRPr="004F47BB">
        <w:rPr>
          <w:szCs w:val="20"/>
          <w:lang w:val="en-US"/>
        </w:rPr>
        <w:t xml:space="preserve"> </w:t>
      </w:r>
      <w:r w:rsidR="004F47BB" w:rsidRPr="004F47BB">
        <w:rPr>
          <w:szCs w:val="20"/>
          <w:lang w:val="en-US"/>
        </w:rPr>
        <w:tab/>
      </w:r>
      <w:r w:rsidR="004F47BB" w:rsidRPr="004F47BB">
        <w:rPr>
          <w:noProof/>
          <w:lang w:val="en-US"/>
        </w:rPr>
        <w:t xml:space="preserve">(according to formula (4.1) of Annex 2 with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v</m:t>
                </m:r>
              </m:e>
              <m:sub>
                <m:r>
                  <w:rPr>
                    <w:rFonts w:ascii="Cambria Math" w:hAnsi="Cambria Math"/>
                    <w:noProof/>
                    <w:lang w:val="en-US"/>
                  </w:rPr>
                  <m:t>L</m:t>
                </m:r>
              </m:sub>
            </m:sSub>
          </m:e>
          <m:sub>
            <m:r>
              <w:rPr>
                <w:rFonts w:ascii="Cambria Math" w:hAnsi="Cambria Math"/>
                <w:noProof/>
                <w:lang w:val="en-US"/>
              </w:rPr>
              <m:t>SOLL</m:t>
            </m:r>
          </m:sub>
        </m:sSub>
      </m:oMath>
      <w:r w:rsidR="004F47BB" w:rsidRPr="004F47BB">
        <w:rPr>
          <w:noProof/>
          <w:lang w:val="en-US"/>
        </w:rPr>
        <w:t>)</w:t>
      </w:r>
    </w:p>
    <w:p w:rsidR="004F47BB" w:rsidRPr="004F47BB" w:rsidRDefault="004F47BB" w:rsidP="004F47BB">
      <w:pPr>
        <w:tabs>
          <w:tab w:val="left" w:pos="567"/>
          <w:tab w:val="left" w:pos="3402"/>
        </w:tabs>
        <w:overflowPunct w:val="0"/>
        <w:adjustRightInd w:val="0"/>
        <w:spacing w:line="240" w:lineRule="atLeast"/>
        <w:ind w:left="1417"/>
        <w:jc w:val="left"/>
        <w:textAlignment w:val="baseline"/>
        <w:rPr>
          <w:szCs w:val="20"/>
          <w:lang w:val="en-US"/>
        </w:rPr>
      </w:pPr>
    </w:p>
    <w:p w:rsidR="004F47BB" w:rsidRPr="004F47BB" w:rsidRDefault="00F12BAF" w:rsidP="004F47BB">
      <w:pPr>
        <w:tabs>
          <w:tab w:val="left" w:pos="567"/>
          <w:tab w:val="left" w:pos="3402"/>
          <w:tab w:val="left" w:pos="3544"/>
        </w:tabs>
        <w:overflowPunct w:val="0"/>
        <w:adjustRightInd w:val="0"/>
        <w:spacing w:line="240" w:lineRule="atLeast"/>
        <w:ind w:left="3402" w:hanging="2410"/>
        <w:textAlignment w:val="baseline"/>
        <w:rPr>
          <w:szCs w:val="20"/>
          <w:lang w:val="en-US"/>
        </w:rPr>
      </w:pP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II</m:t>
                </m:r>
              </m:sub>
            </m:sSub>
          </m:e>
          <m:sub>
            <m:r>
              <w:rPr>
                <w:rFonts w:ascii="Cambria Math" w:hAnsi="Cambria Math"/>
                <w:noProof/>
                <w:lang w:val="en-US"/>
              </w:rPr>
              <m:t>SOLL</m:t>
            </m:r>
          </m:sub>
        </m:sSub>
      </m:oMath>
      <w:r w:rsidR="004F47BB" w:rsidRPr="004F47BB">
        <w:rPr>
          <w:szCs w:val="20"/>
          <w:lang w:val="en-US"/>
        </w:rPr>
        <w:tab/>
      </w:r>
      <w:r w:rsidR="004F47BB" w:rsidRPr="004F47BB">
        <w:rPr>
          <w:noProof/>
          <w:lang w:val="en-US"/>
        </w:rPr>
        <w:t xml:space="preserve">(according to formulae (4.2) to (4.6) of Annex 2 with the reference speeds according to (2.1) of the instruction and given that the loading condition is greater than 70 % of the maximum load (≈ 80 %): </w:t>
      </w:r>
      <m:oMath>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SOLL</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IST</m:t>
            </m:r>
          </m:sub>
        </m:sSub>
      </m:oMath>
      <w:r w:rsidR="004F47BB" w:rsidRPr="004F47BB">
        <w:rPr>
          <w:noProof/>
          <w:lang w:val="en-US"/>
        </w:rPr>
        <w:t xml:space="preserve"> </w:t>
      </w:r>
      <w:r w:rsidR="004F47BB" w:rsidRPr="004F47BB">
        <w:rPr>
          <w:szCs w:val="20"/>
          <w:lang w:val="en-US"/>
        </w:rPr>
        <w:t xml:space="preserve">and </w:t>
      </w:r>
      <m:oMath>
        <m:sSub>
          <m:sSubPr>
            <m:ctrlPr>
              <w:rPr>
                <w:rFonts w:ascii="Cambria Math" w:hAnsi="Cambria Math"/>
                <w:i/>
                <w:noProof/>
                <w:lang w:val="en-US"/>
              </w:rPr>
            </m:ctrlPr>
          </m:sSubPr>
          <m:e>
            <m:r>
              <w:rPr>
                <w:rFonts w:ascii="Cambria Math" w:hAnsi="Cambria Math"/>
                <w:noProof/>
                <w:lang w:val="en-US"/>
              </w:rPr>
              <m:t>T</m:t>
            </m:r>
          </m:e>
          <m:sub>
            <m:r>
              <w:rPr>
                <w:rFonts w:ascii="Cambria Math" w:hAnsi="Cambria Math"/>
                <w:noProof/>
                <w:lang w:val="en-US"/>
              </w:rPr>
              <m:t>SOLL</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T</m:t>
            </m:r>
          </m:e>
          <m:sub>
            <m:r>
              <w:rPr>
                <w:rFonts w:ascii="Cambria Math" w:hAnsi="Cambria Math"/>
                <w:noProof/>
                <w:lang w:val="en-US"/>
              </w:rPr>
              <m:t>IST</m:t>
            </m:r>
          </m:sub>
        </m:sSub>
      </m:oMath>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284"/>
        </w:tabs>
        <w:overflowPunct w:val="0"/>
        <w:adjustRightInd w:val="0"/>
        <w:spacing w:line="240" w:lineRule="exact"/>
        <w:ind w:left="992"/>
        <w:jc w:val="left"/>
        <w:textAlignment w:val="baseline"/>
        <w:rPr>
          <w:szCs w:val="20"/>
          <w:lang w:val="en-US"/>
        </w:rPr>
      </w:pPr>
      <w:r w:rsidRPr="004F47BB">
        <w:rPr>
          <w:szCs w:val="20"/>
          <w:lang w:val="en-US"/>
        </w:rPr>
        <w:t>-</w:t>
      </w:r>
      <w:r w:rsidRPr="004F47BB">
        <w:rPr>
          <w:szCs w:val="20"/>
          <w:lang w:val="en-US"/>
        </w:rPr>
        <w:tab/>
      </w:r>
      <w:r w:rsidRPr="004F47BB">
        <w:rPr>
          <w:b/>
          <w:szCs w:val="20"/>
          <w:lang w:val="en-US"/>
        </w:rPr>
        <w:t>to be checked:</w:t>
      </w: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F12BAF" w:rsidP="004F47BB">
      <w:pPr>
        <w:tabs>
          <w:tab w:val="left" w:pos="454"/>
        </w:tabs>
        <w:overflowPunct w:val="0"/>
        <w:adjustRightInd w:val="0"/>
        <w:spacing w:line="240" w:lineRule="atLeast"/>
        <w:ind w:left="454" w:hanging="454"/>
        <w:jc w:val="left"/>
        <w:textAlignment w:val="baseline"/>
        <w:rPr>
          <w:szCs w:val="20"/>
          <w:lang w:val="en-US"/>
        </w:rPr>
      </w:pPr>
      <m:oMathPara>
        <m:oMath>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NORM</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MESSUNG</m:t>
              </m:r>
            </m:sub>
          </m:sSub>
          <m:r>
            <w:rPr>
              <w:rFonts w:ascii="Cambria Math" w:hAnsi="Cambria Math"/>
              <w:szCs w:val="20"/>
              <w:lang w:val="en-US"/>
            </w:rPr>
            <m:t xml:space="preserve"> ∙ </m:t>
          </m:r>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SOLL</m:t>
                  </m:r>
                </m:sub>
              </m:sSub>
            </m:num>
            <m:den>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IST</m:t>
                  </m:r>
                </m:sub>
              </m:sSub>
            </m:den>
          </m:f>
          <m:r>
            <w:rPr>
              <w:rFonts w:ascii="Cambria Math" w:hAnsi="Cambria Math"/>
              <w:szCs w:val="20"/>
              <w:lang w:val="en-US"/>
            </w:rPr>
            <m:t xml:space="preserve"> ≤550 m</m:t>
          </m:r>
        </m:oMath>
      </m:oMathPara>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br w:type="page"/>
      </w:r>
      <w:r w:rsidRPr="004F47BB">
        <w:rPr>
          <w:rFonts w:cs="Arial"/>
          <w:b/>
          <w:color w:val="000000"/>
          <w:szCs w:val="20"/>
          <w:lang w:val="en-US"/>
        </w:rPr>
        <w:lastRenderedPageBreak/>
        <w:t>4.1</w:t>
      </w:r>
      <w:r w:rsidRPr="004F47BB">
        <w:rPr>
          <w:rFonts w:cs="Arial"/>
          <w:b/>
          <w:color w:val="000000"/>
          <w:szCs w:val="20"/>
          <w:lang w:val="en-US"/>
        </w:rPr>
        <w:tab/>
        <w:t>Coefficients for the calculation taken from Annex 2</w:t>
      </w:r>
    </w:p>
    <w:p w:rsidR="004F47BB" w:rsidRPr="004F47BB" w:rsidRDefault="004F47BB" w:rsidP="004F47BB">
      <w:pPr>
        <w:tabs>
          <w:tab w:val="left" w:pos="0"/>
        </w:tabs>
        <w:overflowPunct w:val="0"/>
        <w:adjustRightInd w:val="0"/>
        <w:spacing w:line="240" w:lineRule="exact"/>
        <w:ind w:left="567" w:firstLine="0"/>
        <w:jc w:val="left"/>
        <w:textAlignment w:val="baseline"/>
        <w:rPr>
          <w:szCs w:val="20"/>
          <w:lang w:val="en-US"/>
        </w:rPr>
      </w:pPr>
    </w:p>
    <w:p w:rsidR="004F47BB" w:rsidRPr="004F47BB" w:rsidRDefault="004F47BB" w:rsidP="004F47BB">
      <w:pPr>
        <w:overflowPunct w:val="0"/>
        <w:adjustRightInd w:val="0"/>
        <w:spacing w:line="240" w:lineRule="exact"/>
        <w:ind w:left="567" w:firstLine="0"/>
        <w:jc w:val="left"/>
        <w:textAlignment w:val="baseline"/>
        <w:rPr>
          <w:szCs w:val="20"/>
          <w:lang w:val="en-US"/>
        </w:rPr>
      </w:pPr>
      <w:r w:rsidRPr="004F47BB">
        <w:rPr>
          <w:szCs w:val="20"/>
          <w:lang w:val="en-US"/>
        </w:rPr>
        <w:t>Table 1</w:t>
      </w:r>
    </w:p>
    <w:p w:rsidR="004F47BB" w:rsidRPr="004F47BB" w:rsidRDefault="004F47BB" w:rsidP="004F47BB">
      <w:pPr>
        <w:tabs>
          <w:tab w:val="left" w:pos="0"/>
        </w:tabs>
        <w:overflowPunct w:val="0"/>
        <w:adjustRightInd w:val="0"/>
        <w:spacing w:line="240" w:lineRule="exact"/>
        <w:ind w:left="567" w:firstLine="0"/>
        <w:jc w:val="left"/>
        <w:textAlignment w:val="baseline"/>
        <w:rPr>
          <w:szCs w:val="20"/>
          <w:lang w:val="en-US"/>
        </w:rPr>
      </w:pPr>
    </w:p>
    <w:p w:rsidR="004F47BB" w:rsidRPr="004F47BB" w:rsidRDefault="004F47BB" w:rsidP="004F47BB">
      <w:pPr>
        <w:tabs>
          <w:tab w:val="left" w:pos="2694"/>
          <w:tab w:val="left" w:pos="3119"/>
          <w:tab w:val="left" w:pos="3544"/>
        </w:tabs>
        <w:overflowPunct w:val="0"/>
        <w:adjustRightInd w:val="0"/>
        <w:spacing w:line="240" w:lineRule="atLeast"/>
        <w:ind w:left="567" w:firstLine="0"/>
        <w:jc w:val="left"/>
        <w:textAlignment w:val="baseline"/>
        <w:rPr>
          <w:szCs w:val="20"/>
          <w:lang w:val="en-US"/>
        </w:rPr>
      </w:pPr>
      <w:r w:rsidRPr="004F47BB">
        <w:rPr>
          <w:szCs w:val="20"/>
          <w:lang w:val="en-US"/>
        </w:rPr>
        <w:t xml:space="preserve">for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sub>
            </m:sSub>
          </m:e>
          <m:sub>
            <m:r>
              <w:rPr>
                <w:rFonts w:ascii="Cambria Math" w:hAnsi="Cambria Math"/>
                <w:noProof/>
                <w:lang w:val="en-US"/>
              </w:rPr>
              <m:t>IST</m:t>
            </m:r>
          </m:sub>
        </m:sSub>
      </m:oMath>
      <w:r w:rsidRPr="004F47BB">
        <w:rPr>
          <w:szCs w:val="20"/>
          <w:lang w:val="en-US"/>
        </w:rPr>
        <w:t xml:space="preserve"> and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sub>
            </m:sSub>
          </m:e>
          <m:sub>
            <m:r>
              <w:rPr>
                <w:rFonts w:ascii="Cambria Math" w:hAnsi="Cambria Math"/>
                <w:noProof/>
                <w:lang w:val="en-US"/>
              </w:rPr>
              <m:t>SOLL</m:t>
            </m:r>
          </m:sub>
        </m:sSub>
      </m:oMath>
      <w:r w:rsidRPr="004F47BB">
        <w:rPr>
          <w:szCs w:val="20"/>
          <w:lang w:val="en-US"/>
        </w:rPr>
        <w:t xml:space="preserve"> </w:t>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1</m:t>
            </m:r>
          </m:sub>
        </m:sSub>
        <m:r>
          <w:rPr>
            <w:rFonts w:ascii="Cambria Math" w:hAnsi="Cambria Math"/>
            <w:szCs w:val="20"/>
            <w:lang w:val="en-US"/>
          </w:rPr>
          <m:t xml:space="preserve"> </m:t>
        </m:r>
      </m:oMath>
      <w:r w:rsidRPr="004F47BB">
        <w:rPr>
          <w:szCs w:val="20"/>
          <w:lang w:val="en-US"/>
        </w:rPr>
        <w:tab/>
        <w:t>=</w:t>
      </w:r>
      <w:r w:rsidRPr="004F47BB">
        <w:rPr>
          <w:szCs w:val="20"/>
          <w:lang w:val="en-US"/>
        </w:rPr>
        <w:tab/>
        <w:t>0,95</w:t>
      </w:r>
    </w:p>
    <w:p w:rsidR="004F47BB" w:rsidRPr="004F47BB" w:rsidRDefault="004F47BB" w:rsidP="004F47BB">
      <w:pPr>
        <w:overflowPunct w:val="0"/>
        <w:adjustRightInd w:val="0"/>
        <w:spacing w:line="240" w:lineRule="atLeast"/>
        <w:ind w:left="567" w:firstLine="0"/>
        <w:jc w:val="left"/>
        <w:textAlignment w:val="baseline"/>
        <w:rPr>
          <w:szCs w:val="20"/>
          <w:lang w:val="en-US"/>
        </w:rPr>
      </w:pPr>
    </w:p>
    <w:p w:rsidR="004F47BB" w:rsidRPr="004F47BB" w:rsidRDefault="004F47BB" w:rsidP="004F47BB">
      <w:pPr>
        <w:tabs>
          <w:tab w:val="left" w:pos="851"/>
          <w:tab w:val="left" w:pos="2127"/>
          <w:tab w:val="left" w:pos="4111"/>
        </w:tabs>
        <w:overflowPunct w:val="0"/>
        <w:adjustRightInd w:val="0"/>
        <w:spacing w:line="240" w:lineRule="atLeast"/>
        <w:ind w:left="567" w:firstLine="0"/>
        <w:jc w:val="left"/>
        <w:textAlignment w:val="baseline"/>
        <w:rPr>
          <w:szCs w:val="20"/>
          <w:lang w:val="en-US"/>
        </w:rPr>
      </w:pPr>
      <w:r w:rsidRPr="004F47BB">
        <w:rPr>
          <w:szCs w:val="20"/>
          <w:lang w:val="en-US"/>
        </w:rPr>
        <w:t xml:space="preserve">for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II</m:t>
                </m:r>
              </m:sub>
            </m:sSub>
          </m:e>
          <m:sub>
            <m:r>
              <w:rPr>
                <w:rFonts w:ascii="Cambria Math" w:hAnsi="Cambria Math"/>
                <w:noProof/>
                <w:lang w:val="en-US"/>
              </w:rPr>
              <m:t>IST</m:t>
            </m:r>
          </m:sub>
        </m:sSub>
      </m:oMath>
      <w:r w:rsidRPr="004F47BB">
        <w:rPr>
          <w:szCs w:val="20"/>
          <w:lang w:val="en-US"/>
        </w:rPr>
        <w:t xml:space="preserve"> and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II</m:t>
                </m:r>
              </m:sub>
            </m:sSub>
          </m:e>
          <m:sub>
            <m:r>
              <w:rPr>
                <w:rFonts w:ascii="Cambria Math" w:hAnsi="Cambria Math"/>
                <w:noProof/>
                <w:lang w:val="en-US"/>
              </w:rPr>
              <m:t>SOLL</m:t>
            </m:r>
          </m:sub>
        </m:sSub>
      </m:oMath>
    </w:p>
    <w:p w:rsidR="004F47BB" w:rsidRPr="004F47BB" w:rsidRDefault="00F12BAF" w:rsidP="004F47BB">
      <w:pPr>
        <w:tabs>
          <w:tab w:val="left" w:pos="284"/>
          <w:tab w:val="left" w:pos="2552"/>
          <w:tab w:val="left" w:pos="3119"/>
          <w:tab w:val="left" w:pos="3544"/>
          <w:tab w:val="left" w:pos="4395"/>
          <w:tab w:val="left" w:pos="7371"/>
        </w:tabs>
        <w:overflowPunct w:val="0"/>
        <w:adjustRightInd w:val="0"/>
        <w:spacing w:line="240" w:lineRule="exact"/>
        <w:ind w:left="2693" w:firstLine="0"/>
        <w:jc w:val="left"/>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2</m:t>
            </m:r>
          </m:sub>
        </m:sSub>
      </m:oMath>
      <w:r w:rsidR="004F47BB" w:rsidRPr="004F47BB">
        <w:rPr>
          <w:position w:val="-6"/>
          <w:sz w:val="16"/>
          <w:szCs w:val="20"/>
          <w:lang w:val="en-US"/>
        </w:rPr>
        <w:tab/>
      </w:r>
      <w:r w:rsidR="004F47BB" w:rsidRPr="004F47BB">
        <w:rPr>
          <w:szCs w:val="20"/>
          <w:lang w:val="en-US"/>
        </w:rPr>
        <w:t>=</w:t>
      </w:r>
      <w:r w:rsidR="004F47BB" w:rsidRPr="004F47BB">
        <w:rPr>
          <w:szCs w:val="20"/>
          <w:lang w:val="en-US"/>
        </w:rPr>
        <w:tab/>
        <w:t>0,12</w:t>
      </w:r>
    </w:p>
    <w:p w:rsidR="004F47BB" w:rsidRPr="004F47BB" w:rsidRDefault="00F12BAF" w:rsidP="004F47BB">
      <w:pPr>
        <w:tabs>
          <w:tab w:val="left" w:pos="284"/>
          <w:tab w:val="left" w:pos="2552"/>
          <w:tab w:val="left" w:pos="3119"/>
          <w:tab w:val="left" w:pos="3544"/>
          <w:tab w:val="left" w:pos="4395"/>
          <w:tab w:val="left" w:pos="7371"/>
        </w:tabs>
        <w:overflowPunct w:val="0"/>
        <w:adjustRightInd w:val="0"/>
        <w:spacing w:line="240" w:lineRule="exact"/>
        <w:ind w:left="2693" w:firstLine="0"/>
        <w:jc w:val="left"/>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3</m:t>
            </m:r>
          </m:sub>
        </m:sSub>
      </m:oMath>
      <w:r w:rsidR="004F47BB" w:rsidRPr="004F47BB">
        <w:rPr>
          <w:szCs w:val="20"/>
          <w:lang w:val="en-US"/>
        </w:rPr>
        <w:tab/>
        <w:t>=</w:t>
      </w:r>
      <w:r w:rsidR="004F47BB" w:rsidRPr="004F47BB">
        <w:rPr>
          <w:szCs w:val="20"/>
          <w:lang w:val="en-US"/>
        </w:rPr>
        <w:tab/>
        <w:t>1,15</w:t>
      </w:r>
    </w:p>
    <w:p w:rsidR="004F47BB" w:rsidRPr="004F47BB" w:rsidRDefault="00F12BAF" w:rsidP="004F47BB">
      <w:pPr>
        <w:tabs>
          <w:tab w:val="left" w:pos="284"/>
          <w:tab w:val="left" w:pos="2552"/>
          <w:tab w:val="left" w:pos="3119"/>
          <w:tab w:val="left" w:pos="3544"/>
          <w:tab w:val="left" w:pos="4395"/>
          <w:tab w:val="left" w:pos="7371"/>
        </w:tabs>
        <w:overflowPunct w:val="0"/>
        <w:adjustRightInd w:val="0"/>
        <w:spacing w:line="240" w:lineRule="exact"/>
        <w:ind w:left="2693" w:firstLine="0"/>
        <w:jc w:val="left"/>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4</m:t>
            </m:r>
          </m:sub>
        </m:sSub>
      </m:oMath>
      <w:r w:rsidR="004F47BB" w:rsidRPr="004F47BB">
        <w:rPr>
          <w:szCs w:val="20"/>
          <w:lang w:val="en-US"/>
        </w:rPr>
        <w:tab/>
        <w:t>=</w:t>
      </w:r>
      <w:r w:rsidR="004F47BB" w:rsidRPr="004F47BB">
        <w:rPr>
          <w:szCs w:val="20"/>
          <w:lang w:val="en-US"/>
        </w:rPr>
        <w:tab/>
        <w:t>0,48</w:t>
      </w:r>
    </w:p>
    <w:p w:rsidR="004F47BB" w:rsidRPr="004F47BB" w:rsidRDefault="00F12BAF" w:rsidP="004F47BB">
      <w:pPr>
        <w:tabs>
          <w:tab w:val="left" w:pos="284"/>
          <w:tab w:val="left" w:pos="2552"/>
          <w:tab w:val="left" w:pos="3119"/>
          <w:tab w:val="left" w:pos="3544"/>
          <w:tab w:val="left" w:pos="4395"/>
          <w:tab w:val="left" w:pos="7371"/>
        </w:tabs>
        <w:overflowPunct w:val="0"/>
        <w:adjustRightInd w:val="0"/>
        <w:spacing w:line="240" w:lineRule="exact"/>
        <w:ind w:left="2693" w:firstLine="0"/>
        <w:jc w:val="left"/>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6</m:t>
            </m:r>
          </m:sub>
        </m:sSub>
      </m:oMath>
      <w:r w:rsidR="004F47BB" w:rsidRPr="004F47BB">
        <w:rPr>
          <w:szCs w:val="20"/>
          <w:lang w:val="en-US"/>
        </w:rPr>
        <w:tab/>
        <w:t>=</w:t>
      </w:r>
      <w:r w:rsidR="004F47BB" w:rsidRPr="004F47BB">
        <w:rPr>
          <w:szCs w:val="20"/>
          <w:lang w:val="en-US"/>
        </w:rPr>
        <w:tab/>
        <w:t>0,85</w:t>
      </w:r>
    </w:p>
    <w:p w:rsidR="004F47BB" w:rsidRPr="004F47BB" w:rsidRDefault="00F12BAF" w:rsidP="004F47BB">
      <w:pPr>
        <w:tabs>
          <w:tab w:val="left" w:pos="284"/>
          <w:tab w:val="left" w:pos="2552"/>
          <w:tab w:val="left" w:pos="3119"/>
          <w:tab w:val="left" w:pos="3544"/>
          <w:tab w:val="left" w:pos="4395"/>
          <w:tab w:val="left" w:pos="7371"/>
        </w:tabs>
        <w:overflowPunct w:val="0"/>
        <w:adjustRightInd w:val="0"/>
        <w:spacing w:line="240" w:lineRule="exact"/>
        <w:ind w:left="2693" w:firstLine="0"/>
        <w:jc w:val="left"/>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7</m:t>
            </m:r>
          </m:sub>
        </m:sSub>
      </m:oMath>
      <w:r w:rsidR="004F47BB" w:rsidRPr="004F47BB">
        <w:rPr>
          <w:szCs w:val="20"/>
          <w:lang w:val="en-US"/>
        </w:rPr>
        <w:tab/>
        <w:t>=</w:t>
      </w:r>
      <w:r w:rsidR="004F47BB" w:rsidRPr="004F47BB">
        <w:rPr>
          <w:szCs w:val="20"/>
          <w:lang w:val="en-US"/>
        </w:rPr>
        <w:tab/>
        <w:t>0,55</w:t>
      </w:r>
    </w:p>
    <w:p w:rsidR="004F47BB" w:rsidRPr="004F47BB" w:rsidRDefault="004F47BB" w:rsidP="004F47BB">
      <w:pPr>
        <w:tabs>
          <w:tab w:val="left" w:pos="0"/>
        </w:tabs>
        <w:overflowPunct w:val="0"/>
        <w:adjustRightInd w:val="0"/>
        <w:spacing w:line="240" w:lineRule="exact"/>
        <w:ind w:left="567" w:firstLine="0"/>
        <w:jc w:val="left"/>
        <w:textAlignment w:val="baseline"/>
        <w:rPr>
          <w:szCs w:val="20"/>
          <w:lang w:val="en-US"/>
        </w:rPr>
      </w:pPr>
    </w:p>
    <w:p w:rsidR="004F47BB" w:rsidRPr="004F47BB" w:rsidRDefault="004F47BB" w:rsidP="004F47BB">
      <w:pPr>
        <w:overflowPunct w:val="0"/>
        <w:adjustRightInd w:val="0"/>
        <w:spacing w:line="240" w:lineRule="exact"/>
        <w:ind w:left="567" w:firstLine="0"/>
        <w:jc w:val="left"/>
        <w:textAlignment w:val="baseline"/>
        <w:rPr>
          <w:szCs w:val="20"/>
          <w:lang w:val="en-US"/>
        </w:rPr>
      </w:pPr>
      <w:r w:rsidRPr="004F47BB">
        <w:rPr>
          <w:szCs w:val="20"/>
          <w:lang w:val="en-US"/>
        </w:rPr>
        <w:t>Table 2 (for modern nozzles with rounded rear edge)</w:t>
      </w:r>
    </w:p>
    <w:p w:rsidR="004F47BB" w:rsidRPr="004F47BB" w:rsidRDefault="004F47BB" w:rsidP="004F47BB">
      <w:pPr>
        <w:tabs>
          <w:tab w:val="left" w:pos="0"/>
        </w:tabs>
        <w:overflowPunct w:val="0"/>
        <w:adjustRightInd w:val="0"/>
        <w:spacing w:line="240" w:lineRule="exact"/>
        <w:ind w:left="567" w:firstLine="0"/>
        <w:jc w:val="left"/>
        <w:textAlignment w:val="baseline"/>
        <w:rPr>
          <w:szCs w:val="20"/>
          <w:lang w:val="en-US"/>
        </w:rPr>
      </w:pPr>
    </w:p>
    <w:p w:rsidR="004F47BB" w:rsidRPr="004F47BB" w:rsidRDefault="004F47BB" w:rsidP="004F47BB">
      <w:pPr>
        <w:overflowPunct w:val="0"/>
        <w:adjustRightInd w:val="0"/>
        <w:spacing w:line="240" w:lineRule="exact"/>
        <w:ind w:left="567" w:firstLine="0"/>
        <w:jc w:val="left"/>
        <w:textAlignment w:val="baseline"/>
        <w:rPr>
          <w:szCs w:val="20"/>
          <w:lang w:val="en-US"/>
        </w:rPr>
      </w:pPr>
      <m:oMath>
        <m:r>
          <w:rPr>
            <w:rFonts w:ascii="Cambria Math" w:hAnsi="Cambria Math"/>
            <w:szCs w:val="20"/>
            <w:lang w:val="en-US"/>
          </w:rPr>
          <m:t>f</m:t>
        </m:r>
      </m:oMath>
      <w:r w:rsidRPr="004F47BB">
        <w:rPr>
          <w:szCs w:val="20"/>
          <w:lang w:val="en-US"/>
        </w:rPr>
        <w:t xml:space="preserve"> = 0,118</w:t>
      </w:r>
    </w:p>
    <w:p w:rsidR="004F47BB" w:rsidRPr="004F47BB" w:rsidRDefault="004F47BB" w:rsidP="004F47BB">
      <w:pPr>
        <w:tabs>
          <w:tab w:val="left" w:pos="0"/>
        </w:tabs>
        <w:overflowPunct w:val="0"/>
        <w:adjustRightInd w:val="0"/>
        <w:spacing w:line="240" w:lineRule="exact"/>
        <w:ind w:left="567" w:firstLine="0"/>
        <w:jc w:val="left"/>
        <w:textAlignment w:val="baseline"/>
        <w:rPr>
          <w:szCs w:val="20"/>
          <w:lang w:val="en-US"/>
        </w:rPr>
      </w:pPr>
    </w:p>
    <w:p w:rsidR="004F47BB" w:rsidRPr="004F47BB" w:rsidRDefault="004F47BB" w:rsidP="004F47BB">
      <w:pPr>
        <w:tabs>
          <w:tab w:val="left" w:pos="0"/>
        </w:tabs>
        <w:overflowPunct w:val="0"/>
        <w:adjustRightInd w:val="0"/>
        <w:spacing w:line="240" w:lineRule="exact"/>
        <w:ind w:left="567" w:firstLine="0"/>
        <w:jc w:val="left"/>
        <w:textAlignment w:val="baseline"/>
        <w:rPr>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4.2</w:t>
      </w:r>
      <w:r w:rsidRPr="004F47BB">
        <w:rPr>
          <w:rFonts w:cs="Arial"/>
          <w:b/>
          <w:color w:val="000000"/>
          <w:szCs w:val="20"/>
          <w:lang w:val="en-US"/>
        </w:rPr>
        <w:tab/>
      </w:r>
      <w:r w:rsidRPr="004F47BB">
        <w:rPr>
          <w:rFonts w:cs="Arial"/>
          <w:b/>
          <w:noProof/>
          <w:color w:val="000000"/>
          <w:szCs w:val="20"/>
          <w:lang w:val="en-US"/>
        </w:rPr>
        <w:t xml:space="preserve">Calculation of </w:t>
      </w:r>
      <m:oMath>
        <m:sSub>
          <m:sSubPr>
            <m:ctrlPr>
              <w:rPr>
                <w:rFonts w:ascii="Cambria Math" w:hAnsi="Cambria Math"/>
                <w:i/>
                <w:noProof/>
                <w:lang w:val="en-US"/>
              </w:rPr>
            </m:ctrlPr>
          </m:sSubPr>
          <m:e>
            <m:r>
              <m:rPr>
                <m:sty m:val="bi"/>
              </m:rPr>
              <w:rPr>
                <w:rFonts w:ascii="Cambria Math" w:hAnsi="Cambria Math" w:cs="Arial"/>
                <w:noProof/>
                <w:color w:val="000000"/>
                <w:szCs w:val="20"/>
                <w:lang w:val="en-US"/>
              </w:rPr>
              <m:t>s</m:t>
            </m:r>
          </m:e>
          <m:sub>
            <m:r>
              <m:rPr>
                <m:sty m:val="bi"/>
              </m:rPr>
              <w:rPr>
                <w:rFonts w:ascii="Cambria Math" w:hAnsi="Cambria Math" w:cs="Arial"/>
                <w:noProof/>
                <w:color w:val="000000"/>
                <w:szCs w:val="20"/>
                <w:lang w:val="en-US"/>
              </w:rPr>
              <m:t>IST</m:t>
            </m:r>
          </m:sub>
        </m:sSub>
      </m:oMath>
    </w:p>
    <w:p w:rsidR="004F47BB" w:rsidRPr="004F47BB" w:rsidRDefault="004F47BB" w:rsidP="004F47BB">
      <w:pPr>
        <w:tabs>
          <w:tab w:val="left" w:pos="992"/>
        </w:tabs>
        <w:overflowPunct w:val="0"/>
        <w:adjustRightInd w:val="0"/>
        <w:spacing w:line="240" w:lineRule="atLeast"/>
        <w:ind w:left="992"/>
        <w:textAlignment w:val="baseline"/>
        <w:rPr>
          <w:szCs w:val="20"/>
          <w:lang w:val="en-US"/>
        </w:rPr>
      </w:pP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r w:rsidRPr="004F47BB">
        <w:rPr>
          <w:rFonts w:cs="Arial"/>
          <w:szCs w:val="20"/>
          <w:lang w:val="en-US"/>
        </w:rPr>
        <w:t>a)</w:t>
      </w:r>
      <w:r w:rsidRPr="004F47BB">
        <w:rPr>
          <w:rFonts w:cs="Arial"/>
          <w:szCs w:val="20"/>
          <w:lang w:val="en-US"/>
        </w:rPr>
        <w:tab/>
      </w:r>
      <m:oMath>
        <m:sSub>
          <m:sSubPr>
            <m:ctrlPr>
              <w:rPr>
                <w:rFonts w:ascii="Cambria Math" w:hAnsi="Cambria Math" w:cs="Arial"/>
                <w:szCs w:val="20"/>
                <w:lang w:val="de-DE"/>
              </w:rPr>
            </m:ctrlPr>
          </m:sSubPr>
          <m:e>
            <m:sSub>
              <m:sSubPr>
                <m:ctrlPr>
                  <w:rPr>
                    <w:rFonts w:ascii="Cambria Math" w:hAnsi="Cambria Math" w:cs="Arial"/>
                    <w:szCs w:val="20"/>
                    <w:lang w:val="de-DE"/>
                  </w:rPr>
                </m:ctrlPr>
              </m:sSubPr>
              <m:e>
                <m:r>
                  <m:rPr>
                    <m:sty m:val="p"/>
                  </m:rPr>
                  <w:rPr>
                    <w:rFonts w:ascii="Cambria Math" w:hAnsi="Cambria Math" w:cs="Arial"/>
                    <w:szCs w:val="20"/>
                    <w:lang w:val="en-US"/>
                  </w:rPr>
                  <m:t>s</m:t>
                </m:r>
              </m:e>
              <m:sub>
                <m:r>
                  <m:rPr>
                    <m:sty m:val="p"/>
                  </m:rPr>
                  <w:rPr>
                    <w:rFonts w:ascii="Cambria Math" w:hAnsi="Cambria Math" w:cs="Arial"/>
                    <w:szCs w:val="20"/>
                    <w:lang w:val="en-US"/>
                  </w:rPr>
                  <m:t>I</m:t>
                </m:r>
              </m:sub>
            </m:sSub>
          </m:e>
          <m:sub>
            <m:r>
              <m:rPr>
                <m:sty m:val="p"/>
              </m:rPr>
              <w:rPr>
                <w:rFonts w:ascii="Cambria Math" w:hAnsi="Cambria Math" w:cs="Arial"/>
                <w:szCs w:val="20"/>
                <w:lang w:val="en-US"/>
              </w:rPr>
              <m:t>IST</m:t>
            </m:r>
          </m:sub>
        </m:sSub>
      </m:oMath>
      <w:r w:rsidRPr="004F47BB">
        <w:rPr>
          <w:noProof/>
          <w:lang w:val="en-US"/>
        </w:rPr>
        <w:t xml:space="preserve"> with the values measured during the stopping manoeuvre (formula (4.1))</w:t>
      </w:r>
    </w:p>
    <w:p w:rsidR="004F47BB" w:rsidRPr="004F47BB" w:rsidRDefault="00F12BAF" w:rsidP="004F47BB">
      <w:pPr>
        <w:tabs>
          <w:tab w:val="left" w:pos="992"/>
          <w:tab w:val="left" w:pos="1560"/>
          <w:tab w:val="left" w:pos="1985"/>
        </w:tabs>
        <w:overflowPunct w:val="0"/>
        <w:adjustRightInd w:val="0"/>
        <w:spacing w:before="60" w:line="240" w:lineRule="atLeast"/>
        <w:ind w:left="992" w:firstLine="1"/>
        <w:textAlignment w:val="baseline"/>
        <w:rPr>
          <w:szCs w:val="20"/>
          <w:lang w:val="en-US"/>
        </w:rPr>
      </w:pP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sub>
            </m:sSub>
          </m:e>
          <m:sub>
            <m:r>
              <w:rPr>
                <w:rFonts w:ascii="Cambria Math" w:hAnsi="Cambria Math"/>
                <w:noProof/>
                <w:lang w:val="en-US"/>
              </w:rPr>
              <m:t>IST</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k</m:t>
            </m:r>
          </m:e>
          <m:sub>
            <m:r>
              <w:rPr>
                <w:rFonts w:ascii="Cambria Math" w:hAnsi="Cambria Math"/>
                <w:noProof/>
                <w:lang w:val="en-US"/>
              </w:rPr>
              <m:t>1</m:t>
            </m:r>
          </m:sub>
        </m:sSub>
        <m:r>
          <w:rPr>
            <w:rFonts w:ascii="Cambria Math" w:hAnsi="Cambria Math"/>
            <w:noProof/>
            <w:lang w:val="en-US"/>
          </w:rPr>
          <m:t xml:space="preserve"> ∙ </m:t>
        </m:r>
        <m:sSub>
          <m:sSubPr>
            <m:ctrlPr>
              <w:rPr>
                <w:rFonts w:ascii="Cambria Math" w:hAnsi="Cambria Math"/>
                <w:i/>
                <w:noProof/>
                <w:lang w:val="en-US"/>
              </w:rPr>
            </m:ctrlPr>
          </m:sSubPr>
          <m:e>
            <m:r>
              <w:rPr>
                <w:rFonts w:ascii="Cambria Math" w:hAnsi="Cambria Math"/>
                <w:noProof/>
                <w:lang w:val="en-US"/>
              </w:rPr>
              <m:t>v</m:t>
            </m:r>
          </m:e>
          <m:sub>
            <m:sSub>
              <m:sSubPr>
                <m:ctrlPr>
                  <w:rPr>
                    <w:rFonts w:ascii="Cambria Math" w:hAnsi="Cambria Math"/>
                    <w:i/>
                    <w:noProof/>
                    <w:lang w:val="en-US"/>
                  </w:rPr>
                </m:ctrlPr>
              </m:sSubPr>
              <m:e>
                <m:r>
                  <w:rPr>
                    <w:rFonts w:ascii="Cambria Math" w:hAnsi="Cambria Math"/>
                    <w:noProof/>
                    <w:lang w:val="en-US"/>
                  </w:rPr>
                  <m:t>L</m:t>
                </m:r>
              </m:e>
              <m:sub>
                <m:r>
                  <w:rPr>
                    <w:rFonts w:ascii="Cambria Math" w:hAnsi="Cambria Math"/>
                    <w:noProof/>
                    <w:lang w:val="en-US"/>
                  </w:rPr>
                  <m:t>IST</m:t>
                </m:r>
              </m:sub>
            </m:sSub>
            <m:r>
              <w:rPr>
                <w:rFonts w:ascii="Cambria Math" w:hAnsi="Cambria Math"/>
                <w:noProof/>
                <w:lang w:val="en-US"/>
              </w:rPr>
              <m:t xml:space="preserve"> </m:t>
            </m:r>
          </m:sub>
        </m:sSub>
        <m:r>
          <w:rPr>
            <w:rFonts w:ascii="Cambria Math" w:hAnsi="Cambria Math"/>
            <w:noProof/>
            <w:lang w:val="en-US"/>
          </w:rPr>
          <m:t xml:space="preserve"> ∙ </m:t>
        </m:r>
        <m:sSub>
          <m:sSubPr>
            <m:ctrlPr>
              <w:rPr>
                <w:rFonts w:ascii="Cambria Math" w:hAnsi="Cambria Math"/>
                <w:i/>
                <w:noProof/>
                <w:lang w:val="en-US"/>
              </w:rPr>
            </m:ctrlPr>
          </m:sSubPr>
          <m:e>
            <m:r>
              <w:rPr>
                <w:rFonts w:ascii="Cambria Math" w:hAnsi="Cambria Math"/>
                <w:noProof/>
                <w:lang w:val="en-US"/>
              </w:rPr>
              <m:t>t</m:t>
            </m:r>
          </m:e>
          <m:sub>
            <m:sSub>
              <m:sSubPr>
                <m:ctrlPr>
                  <w:rPr>
                    <w:rFonts w:ascii="Cambria Math" w:hAnsi="Cambria Math"/>
                    <w:i/>
                    <w:noProof/>
                    <w:lang w:val="en-US"/>
                  </w:rPr>
                </m:ctrlPr>
              </m:sSubPr>
              <m:e>
                <m:r>
                  <w:rPr>
                    <w:rFonts w:ascii="Cambria Math" w:hAnsi="Cambria Math"/>
                    <w:noProof/>
                    <w:lang w:val="en-US"/>
                  </w:rPr>
                  <m:t>I</m:t>
                </m:r>
              </m:e>
              <m:sub>
                <m:r>
                  <w:rPr>
                    <w:rFonts w:ascii="Cambria Math" w:hAnsi="Cambria Math"/>
                    <w:noProof/>
                    <w:lang w:val="en-US"/>
                  </w:rPr>
                  <m:t>IST</m:t>
                </m:r>
              </m:sub>
            </m:sSub>
          </m:sub>
        </m:sSub>
      </m:oMath>
      <w:r w:rsidR="004F47BB" w:rsidRPr="004F47BB">
        <w:rPr>
          <w:lang w:val="en-US"/>
        </w:rPr>
        <w:t xml:space="preserve"> </w:t>
      </w:r>
    </w:p>
    <w:p w:rsidR="004F47BB" w:rsidRPr="004F47BB" w:rsidRDefault="00F12BAF" w:rsidP="004F47BB">
      <w:pPr>
        <w:tabs>
          <w:tab w:val="left" w:pos="992"/>
          <w:tab w:val="left" w:pos="1560"/>
          <w:tab w:val="left" w:pos="1985"/>
        </w:tabs>
        <w:overflowPunct w:val="0"/>
        <w:adjustRightInd w:val="0"/>
        <w:spacing w:before="60" w:line="240" w:lineRule="atLeast"/>
        <w:ind w:left="992" w:firstLine="1"/>
        <w:textAlignment w:val="baseline"/>
        <w:rPr>
          <w:szCs w:val="20"/>
          <w:lang w:val="en-US"/>
        </w:rPr>
      </w:pPr>
      <m:oMathPara>
        <m:oMathParaPr>
          <m:jc m:val="left"/>
        </m:oMathParaP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sub>
              </m:sSub>
            </m:e>
            <m:sub>
              <m:r>
                <w:rPr>
                  <w:rFonts w:ascii="Cambria Math" w:hAnsi="Cambria Math"/>
                  <w:noProof/>
                  <w:lang w:val="en-US"/>
                </w:rPr>
                <m:t>IST</m:t>
              </m:r>
            </m:sub>
          </m:sSub>
          <m:r>
            <w:rPr>
              <w:rFonts w:ascii="Cambria Math" w:hAnsi="Cambria Math"/>
              <w:noProof/>
              <w:lang w:val="en-US"/>
            </w:rPr>
            <m:t>=0,95 ∙4,9 ∙16=74,5 m</m:t>
          </m:r>
        </m:oMath>
      </m:oMathPara>
    </w:p>
    <w:p w:rsidR="004F47BB" w:rsidRPr="004F47BB" w:rsidRDefault="004F47BB" w:rsidP="004F47BB">
      <w:pPr>
        <w:tabs>
          <w:tab w:val="left" w:pos="992"/>
        </w:tabs>
        <w:overflowPunct w:val="0"/>
        <w:adjustRightInd w:val="0"/>
        <w:spacing w:line="240" w:lineRule="atLeast"/>
        <w:ind w:left="992"/>
        <w:textAlignment w:val="baseline"/>
        <w:rPr>
          <w:szCs w:val="20"/>
          <w:lang w:val="en-US"/>
        </w:rPr>
      </w:pP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r w:rsidRPr="004F47BB">
        <w:rPr>
          <w:szCs w:val="20"/>
          <w:lang w:val="en-US"/>
        </w:rPr>
        <w:t>b)</w:t>
      </w:r>
      <w:r w:rsidRPr="004F47BB">
        <w:rPr>
          <w:szCs w:val="20"/>
          <w:lang w:val="en-US"/>
        </w:rPr>
        <w:tab/>
        <w:t xml:space="preserve">Formula for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II</m:t>
                </m:r>
              </m:sub>
            </m:sSub>
          </m:e>
          <m:sub>
            <m:r>
              <w:rPr>
                <w:rFonts w:ascii="Cambria Math" w:hAnsi="Cambria Math"/>
                <w:noProof/>
                <w:lang w:val="en-US"/>
              </w:rPr>
              <m:t>IST</m:t>
            </m:r>
          </m:sub>
        </m:sSub>
      </m:oMath>
    </w:p>
    <w:p w:rsidR="004F47BB" w:rsidRPr="004F47BB" w:rsidRDefault="00F12BAF" w:rsidP="004F47BB">
      <w:pPr>
        <w:tabs>
          <w:tab w:val="left" w:pos="992"/>
          <w:tab w:val="left" w:pos="1560"/>
          <w:tab w:val="left" w:pos="1985"/>
        </w:tabs>
        <w:overflowPunct w:val="0"/>
        <w:adjustRightInd w:val="0"/>
        <w:spacing w:before="60" w:line="240" w:lineRule="atLeast"/>
        <w:ind w:left="992" w:firstLine="1"/>
        <w:textAlignment w:val="baseline"/>
        <w:rPr>
          <w:szCs w:val="20"/>
        </w:rPr>
      </w:pPr>
      <m:oMathPara>
        <m:oMathParaPr>
          <m:jc m:val="left"/>
        </m:oMathParaP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II</m:t>
                  </m:r>
                </m:sub>
              </m:sSub>
            </m:e>
            <m:sub>
              <m:r>
                <w:rPr>
                  <w:rFonts w:ascii="Cambria Math" w:hAnsi="Cambria Math"/>
                  <w:noProof/>
                  <w:lang w:val="en-US"/>
                </w:rPr>
                <m:t>IST</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k</m:t>
              </m:r>
            </m:e>
            <m:sub>
              <m:r>
                <w:rPr>
                  <w:rFonts w:ascii="Cambria Math" w:hAnsi="Cambria Math"/>
                  <w:noProof/>
                  <w:lang w:val="en-US"/>
                </w:rPr>
                <m:t>2</m:t>
              </m:r>
            </m:sub>
          </m:sSub>
          <m:r>
            <w:rPr>
              <w:rFonts w:ascii="Cambria Math" w:hAnsi="Cambria Math"/>
              <w:noProof/>
              <w:lang w:val="en-US"/>
            </w:rPr>
            <m:t xml:space="preserve"> ∙ </m:t>
          </m:r>
          <m:sSub>
            <m:sSubPr>
              <m:ctrlPr>
                <w:rPr>
                  <w:rFonts w:ascii="Cambria Math" w:hAnsi="Cambria Math"/>
                  <w:i/>
                  <w:noProof/>
                  <w:lang w:val="en-US"/>
                </w:rPr>
              </m:ctrlPr>
            </m:sSubPr>
            <m:e>
              <m:sSup>
                <m:sSupPr>
                  <m:ctrlPr>
                    <w:rPr>
                      <w:rFonts w:ascii="Cambria Math" w:hAnsi="Cambria Math"/>
                      <w:i/>
                      <w:noProof/>
                      <w:lang w:val="en-US"/>
                    </w:rPr>
                  </m:ctrlPr>
                </m:sSupPr>
                <m:e>
                  <m:r>
                    <w:rPr>
                      <w:rFonts w:ascii="Cambria Math" w:hAnsi="Cambria Math"/>
                      <w:noProof/>
                      <w:lang w:val="en-US"/>
                    </w:rPr>
                    <m:t>v</m:t>
                  </m:r>
                </m:e>
                <m:sup>
                  <m:r>
                    <w:rPr>
                      <w:rFonts w:ascii="Cambria Math" w:hAnsi="Cambria Math"/>
                      <w:noProof/>
                      <w:lang w:val="en-US"/>
                    </w:rPr>
                    <m:t>2</m:t>
                  </m:r>
                </m:sup>
              </m:sSup>
            </m:e>
            <m:sub>
              <m:sSub>
                <m:sSubPr>
                  <m:ctrlPr>
                    <w:rPr>
                      <w:rFonts w:ascii="Cambria Math" w:hAnsi="Cambria Math"/>
                      <w:i/>
                      <w:noProof/>
                      <w:lang w:val="en-US"/>
                    </w:rPr>
                  </m:ctrlPr>
                </m:sSubPr>
                <m:e>
                  <m:r>
                    <w:rPr>
                      <w:rFonts w:ascii="Cambria Math" w:hAnsi="Cambria Math"/>
                      <w:noProof/>
                      <w:lang w:val="en-US"/>
                    </w:rPr>
                    <m:t>II</m:t>
                  </m:r>
                </m:e>
                <m:sub>
                  <m:r>
                    <w:rPr>
                      <w:rFonts w:ascii="Cambria Math" w:hAnsi="Cambria Math"/>
                      <w:noProof/>
                      <w:lang w:val="en-US"/>
                    </w:rPr>
                    <m:t>IST</m:t>
                  </m:r>
                </m:sub>
              </m:sSub>
              <m:r>
                <w:rPr>
                  <w:rFonts w:ascii="Cambria Math" w:hAnsi="Cambria Math"/>
                  <w:noProof/>
                  <w:lang w:val="en-US"/>
                </w:rPr>
                <m:t xml:space="preserve"> </m:t>
              </m:r>
            </m:sub>
          </m:sSub>
          <m:r>
            <w:rPr>
              <w:rFonts w:ascii="Cambria Math" w:hAnsi="Cambria Math"/>
              <w:noProof/>
              <w:lang w:val="en-US"/>
            </w:rPr>
            <m:t xml:space="preserve"> ∙  </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IST</m:t>
                  </m:r>
                </m:sub>
              </m:sSub>
              <m:r>
                <w:rPr>
                  <w:rFonts w:ascii="Cambria Math" w:hAnsi="Cambria Math"/>
                  <w:noProof/>
                  <w:lang w:val="en-US"/>
                </w:rPr>
                <m:t xml:space="preserve"> ∙g</m:t>
              </m:r>
            </m:num>
            <m:den>
              <m:sSub>
                <m:sSubPr>
                  <m:ctrlPr>
                    <w:rPr>
                      <w:rFonts w:ascii="Cambria Math" w:hAnsi="Cambria Math"/>
                      <w:i/>
                      <w:noProof/>
                      <w:lang w:val="en-US"/>
                    </w:rPr>
                  </m:ctrlPr>
                </m:sSubPr>
                <m:e>
                  <m:r>
                    <w:rPr>
                      <w:rFonts w:ascii="Cambria Math" w:hAnsi="Cambria Math"/>
                      <w:noProof/>
                      <w:lang w:val="en-US"/>
                    </w:rPr>
                    <m:t>k</m:t>
                  </m:r>
                </m:e>
                <m:sub>
                  <m:r>
                    <w:rPr>
                      <w:rFonts w:ascii="Cambria Math" w:hAnsi="Cambria Math"/>
                      <w:noProof/>
                      <w:lang w:val="en-US"/>
                    </w:rPr>
                    <m:t>3</m:t>
                  </m:r>
                </m:sub>
              </m:sSub>
              <m:r>
                <w:rPr>
                  <w:rFonts w:ascii="Cambria Math" w:hAnsi="Cambria Math"/>
                  <w:noProof/>
                  <w:lang w:val="en-US"/>
                </w:rPr>
                <m:t xml:space="preserve"> ∙ </m:t>
              </m:r>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POR</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R</m:t>
                  </m:r>
                </m:e>
                <m:sub>
                  <m:sSub>
                    <m:sSubPr>
                      <m:ctrlPr>
                        <w:rPr>
                          <w:rFonts w:ascii="Cambria Math" w:hAnsi="Cambria Math"/>
                          <w:i/>
                          <w:noProof/>
                          <w:lang w:val="en-US"/>
                        </w:rPr>
                      </m:ctrlPr>
                    </m:sSubPr>
                    <m:e>
                      <m:r>
                        <w:rPr>
                          <w:rFonts w:ascii="Cambria Math" w:hAnsi="Cambria Math"/>
                          <w:noProof/>
                          <w:lang w:val="en-US"/>
                        </w:rPr>
                        <m:t>TmII</m:t>
                      </m:r>
                    </m:e>
                    <m:sub>
                      <m:r>
                        <w:rPr>
                          <w:rFonts w:ascii="Cambria Math" w:hAnsi="Cambria Math"/>
                          <w:noProof/>
                          <w:lang w:val="en-US"/>
                        </w:rPr>
                        <m:t>IST</m:t>
                      </m:r>
                    </m:sub>
                  </m:sSub>
                </m:sub>
              </m:sSub>
              <m:r>
                <w:rPr>
                  <w:rFonts w:ascii="Cambria Math" w:hAnsi="Cambria Math"/>
                  <w:noProof/>
                  <w:lang w:val="en-US"/>
                </w:rPr>
                <m:t xml:space="preserve"> - </m:t>
              </m:r>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G</m:t>
                  </m:r>
                </m:sub>
              </m:sSub>
            </m:den>
          </m:f>
          <m:r>
            <w:rPr>
              <w:rFonts w:ascii="Cambria Math" w:hAnsi="Cambria Math"/>
              <w:noProof/>
              <w:lang w:val="en-US"/>
            </w:rPr>
            <m:t xml:space="preserve"> ∙  </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k</m:t>
                  </m:r>
                </m:e>
                <m:sub>
                  <m:r>
                    <w:rPr>
                      <w:rFonts w:ascii="Cambria Math" w:hAnsi="Cambria Math"/>
                      <w:noProof/>
                      <w:lang w:val="en-US"/>
                    </w:rPr>
                    <m:t>4</m:t>
                  </m:r>
                </m:sub>
              </m:sSub>
              <m:r>
                <w:rPr>
                  <w:rFonts w:ascii="Cambria Math" w:hAnsi="Cambria Math"/>
                  <w:noProof/>
                  <w:lang w:val="en-US"/>
                </w:rPr>
                <m:t xml:space="preserve"> + </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v</m:t>
                      </m:r>
                    </m:e>
                    <m:sub>
                      <m:sSub>
                        <m:sSubPr>
                          <m:ctrlPr>
                            <w:rPr>
                              <w:rFonts w:ascii="Cambria Math" w:hAnsi="Cambria Math"/>
                              <w:i/>
                              <w:noProof/>
                              <w:lang w:val="en-US"/>
                            </w:rPr>
                          </m:ctrlPr>
                        </m:sSubPr>
                        <m:e>
                          <m:r>
                            <w:rPr>
                              <w:rFonts w:ascii="Cambria Math" w:hAnsi="Cambria Math"/>
                              <w:noProof/>
                              <w:lang w:val="en-US"/>
                            </w:rPr>
                            <m:t>STR</m:t>
                          </m:r>
                        </m:e>
                        <m:sub>
                          <m:r>
                            <w:rPr>
                              <w:rFonts w:ascii="Cambria Math" w:hAnsi="Cambria Math"/>
                              <w:noProof/>
                              <w:lang w:val="en-US"/>
                            </w:rPr>
                            <m:t>IST</m:t>
                          </m:r>
                        </m:sub>
                      </m:sSub>
                    </m:sub>
                  </m:sSub>
                </m:num>
                <m:den>
                  <m:sSub>
                    <m:sSubPr>
                      <m:ctrlPr>
                        <w:rPr>
                          <w:rFonts w:ascii="Cambria Math" w:hAnsi="Cambria Math"/>
                          <w:i/>
                          <w:noProof/>
                          <w:lang w:val="en-US"/>
                        </w:rPr>
                      </m:ctrlPr>
                    </m:sSubPr>
                    <m:e>
                      <m:r>
                        <w:rPr>
                          <w:rFonts w:ascii="Cambria Math" w:hAnsi="Cambria Math"/>
                          <w:noProof/>
                          <w:lang w:val="en-US"/>
                        </w:rPr>
                        <m:t>v</m:t>
                      </m:r>
                    </m:e>
                    <m:sub>
                      <m:sSub>
                        <m:sSubPr>
                          <m:ctrlPr>
                            <w:rPr>
                              <w:rFonts w:ascii="Cambria Math" w:hAnsi="Cambria Math"/>
                              <w:i/>
                              <w:noProof/>
                              <w:lang w:val="en-US"/>
                            </w:rPr>
                          </m:ctrlPr>
                        </m:sSubPr>
                        <m:e>
                          <m:r>
                            <w:rPr>
                              <w:rFonts w:ascii="Cambria Math" w:hAnsi="Cambria Math"/>
                              <w:noProof/>
                              <w:lang w:val="en-US"/>
                            </w:rPr>
                            <m:t>II</m:t>
                          </m:r>
                        </m:e>
                        <m:sub>
                          <m:r>
                            <w:rPr>
                              <w:rFonts w:ascii="Cambria Math" w:hAnsi="Cambria Math"/>
                              <w:noProof/>
                              <w:lang w:val="en-US"/>
                            </w:rPr>
                            <m:t>IST</m:t>
                          </m:r>
                        </m:sub>
                      </m:sSub>
                    </m:sub>
                  </m:sSub>
                </m:den>
              </m:f>
            </m:e>
          </m:d>
        </m:oMath>
      </m:oMathPara>
    </w:p>
    <w:p w:rsidR="004F47BB" w:rsidRPr="004F47BB" w:rsidRDefault="004F47BB" w:rsidP="004F47BB">
      <w:pPr>
        <w:tabs>
          <w:tab w:val="left" w:pos="284"/>
        </w:tabs>
        <w:overflowPunct w:val="0"/>
        <w:adjustRightInd w:val="0"/>
        <w:spacing w:line="240" w:lineRule="atLeast"/>
        <w:ind w:left="284" w:hanging="284"/>
        <w:jc w:val="left"/>
        <w:textAlignment w:val="baseline"/>
        <w:rPr>
          <w:szCs w:val="20"/>
          <w:lang w:val="en-US"/>
        </w:rPr>
      </w:pPr>
    </w:p>
    <w:p w:rsidR="004F47BB" w:rsidRPr="004F47BB" w:rsidRDefault="004F47BB" w:rsidP="004F47BB">
      <w:pPr>
        <w:tabs>
          <w:tab w:val="left" w:pos="992"/>
        </w:tabs>
        <w:overflowPunct w:val="0"/>
        <w:adjustRightInd w:val="0"/>
        <w:spacing w:line="240" w:lineRule="atLeast"/>
        <w:ind w:left="992"/>
        <w:jc w:val="left"/>
        <w:textAlignment w:val="baseline"/>
        <w:rPr>
          <w:szCs w:val="20"/>
          <w:lang w:val="en-US"/>
        </w:rPr>
      </w:pPr>
      <w:r w:rsidRPr="004F47BB">
        <w:rPr>
          <w:szCs w:val="20"/>
          <w:lang w:val="en-US"/>
        </w:rPr>
        <w:t>c)</w:t>
      </w:r>
      <w:r w:rsidRPr="004F47BB">
        <w:rPr>
          <w:szCs w:val="20"/>
          <w:lang w:val="en-US"/>
        </w:rPr>
        <w:tab/>
        <w:t xml:space="preserve">Calculation of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TmII</m:t>
                </m:r>
              </m:sub>
            </m:sSub>
          </m:e>
          <m:sub>
            <m:r>
              <w:rPr>
                <w:rFonts w:ascii="Cambria Math" w:hAnsi="Cambria Math"/>
                <w:noProof/>
                <w:lang w:val="en-US"/>
              </w:rPr>
              <m:t>IST</m:t>
            </m:r>
          </m:sub>
        </m:sSub>
      </m:oMath>
      <w:r w:rsidRPr="004F47BB">
        <w:rPr>
          <w:szCs w:val="20"/>
          <w:lang w:val="en-US"/>
        </w:rPr>
        <w:t xml:space="preserve"> according to table 3 and formula (4.3) of Annex 2</w:t>
      </w:r>
    </w:p>
    <w:p w:rsidR="004F47BB" w:rsidRPr="004F47BB" w:rsidRDefault="00F12BAF" w:rsidP="004F47BB">
      <w:pPr>
        <w:tabs>
          <w:tab w:val="left" w:pos="992"/>
        </w:tabs>
        <w:overflowPunct w:val="0"/>
        <w:adjustRightInd w:val="0"/>
        <w:spacing w:before="120" w:line="240" w:lineRule="atLeast"/>
        <w:ind w:left="992" w:firstLine="1"/>
        <w:textAlignment w:val="baseline"/>
        <w:rPr>
          <w:szCs w:val="20"/>
          <w:lang w:val="de-DE"/>
        </w:rPr>
      </w:pPr>
      <m:oMathPara>
        <m:oMathParaPr>
          <m:jc m:val="left"/>
        </m:oMathParaPr>
        <m:oMath>
          <m:sSup>
            <m:sSupPr>
              <m:ctrlPr>
                <w:rPr>
                  <w:rFonts w:ascii="Cambria Math" w:hAnsi="Cambria Math"/>
                  <w:i/>
                  <w:szCs w:val="20"/>
                  <w:lang w:val="de-DE"/>
                </w:rPr>
              </m:ctrlPr>
            </m:sSupPr>
            <m:e>
              <m:sSub>
                <m:sSubPr>
                  <m:ctrlPr>
                    <w:rPr>
                      <w:rFonts w:ascii="Cambria Math" w:hAnsi="Cambria Math"/>
                      <w:i/>
                      <w:szCs w:val="20"/>
                      <w:lang w:val="de-DE"/>
                    </w:rPr>
                  </m:ctrlPr>
                </m:sSubPr>
                <m:e>
                  <m:r>
                    <w:rPr>
                      <w:rFonts w:ascii="Cambria Math" w:hAnsi="Cambria Math"/>
                      <w:szCs w:val="20"/>
                      <w:lang w:val="de-DE"/>
                    </w:rPr>
                    <m:t>D</m:t>
                  </m:r>
                </m:e>
                <m:sub>
                  <m:r>
                    <w:rPr>
                      <w:rFonts w:ascii="Cambria Math" w:hAnsi="Cambria Math"/>
                      <w:szCs w:val="20"/>
                      <w:lang w:val="de-DE"/>
                    </w:rPr>
                    <m:t>IST</m:t>
                  </m:r>
                </m:sub>
              </m:sSub>
            </m:e>
            <m:sup>
              <m:r>
                <w:rPr>
                  <w:rFonts w:ascii="Cambria Math" w:hAnsi="Cambria Math"/>
                  <w:szCs w:val="20"/>
                  <w:lang w:val="de-DE"/>
                </w:rPr>
                <m:t>1/3</m:t>
              </m:r>
            </m:sup>
          </m:sSup>
          <m:r>
            <w:rPr>
              <w:rFonts w:ascii="Cambria Math" w:hAnsi="Cambria Math"/>
              <w:szCs w:val="20"/>
              <w:lang w:val="de-DE"/>
            </w:rPr>
            <m:t xml:space="preserve">= </m:t>
          </m:r>
          <m:sSup>
            <m:sSupPr>
              <m:ctrlPr>
                <w:rPr>
                  <w:rFonts w:ascii="Cambria Math" w:hAnsi="Cambria Math"/>
                  <w:i/>
                  <w:szCs w:val="20"/>
                  <w:lang w:val="de-DE"/>
                </w:rPr>
              </m:ctrlPr>
            </m:sSupPr>
            <m:e>
              <m:r>
                <w:rPr>
                  <w:rFonts w:ascii="Cambria Math" w:hAnsi="Cambria Math"/>
                  <w:szCs w:val="20"/>
                  <w:lang w:val="de-DE"/>
                </w:rPr>
                <m:t>5179</m:t>
              </m:r>
            </m:e>
            <m:sup>
              <m:r>
                <w:rPr>
                  <w:rFonts w:ascii="Cambria Math" w:hAnsi="Cambria Math"/>
                  <w:szCs w:val="20"/>
                  <w:lang w:val="de-DE"/>
                </w:rPr>
                <m:t>1/3</m:t>
              </m:r>
            </m:sup>
          </m:sSup>
          <m:r>
            <w:rPr>
              <w:rFonts w:ascii="Cambria Math" w:hAnsi="Cambria Math"/>
              <w:szCs w:val="20"/>
              <w:lang w:val="de-DE"/>
            </w:rPr>
            <m:t xml:space="preserve">=17,3 </m:t>
          </m:r>
          <m:d>
            <m:dPr>
              <m:begChr m:val="["/>
              <m:endChr m:val="]"/>
              <m:ctrlPr>
                <w:rPr>
                  <w:rFonts w:ascii="Cambria Math" w:hAnsi="Cambria Math"/>
                  <w:i/>
                  <w:szCs w:val="20"/>
                  <w:lang w:val="de-DE"/>
                </w:rPr>
              </m:ctrlPr>
            </m:dPr>
            <m:e>
              <m:r>
                <w:rPr>
                  <w:rFonts w:ascii="Cambria Math" w:hAnsi="Cambria Math"/>
                  <w:szCs w:val="20"/>
                  <w:lang w:val="de-DE"/>
                </w:rPr>
                <m:t>m</m:t>
              </m:r>
            </m:e>
          </m:d>
        </m:oMath>
      </m:oMathPara>
    </w:p>
    <w:p w:rsidR="004F47BB" w:rsidRPr="004F47BB" w:rsidRDefault="00F12BAF" w:rsidP="004F47BB">
      <w:pPr>
        <w:tabs>
          <w:tab w:val="left" w:pos="992"/>
        </w:tabs>
        <w:overflowPunct w:val="0"/>
        <w:adjustRightInd w:val="0"/>
        <w:spacing w:before="120" w:line="240" w:lineRule="atLeast"/>
        <w:ind w:left="992" w:firstLine="1"/>
        <w:textAlignment w:val="baseline"/>
        <w:rPr>
          <w:szCs w:val="20"/>
          <w:lang w:val="de-DE"/>
        </w:rPr>
      </w:pPr>
      <m:oMathPara>
        <m:oMathParaPr>
          <m:jc m:val="left"/>
        </m:oMathParaPr>
        <m:oMath>
          <m:sSup>
            <m:sSupPr>
              <m:ctrlPr>
                <w:rPr>
                  <w:rFonts w:ascii="Cambria Math" w:hAnsi="Cambria Math"/>
                  <w:i/>
                  <w:szCs w:val="20"/>
                  <w:lang w:val="de-DE"/>
                </w:rPr>
              </m:ctrlPr>
            </m:sSupPr>
            <m:e>
              <m:sSub>
                <m:sSubPr>
                  <m:ctrlPr>
                    <w:rPr>
                      <w:rFonts w:ascii="Cambria Math" w:hAnsi="Cambria Math"/>
                      <w:i/>
                      <w:szCs w:val="20"/>
                      <w:lang w:val="de-DE"/>
                    </w:rPr>
                  </m:ctrlPr>
                </m:sSubPr>
                <m:e>
                  <m:r>
                    <w:rPr>
                      <w:rFonts w:ascii="Cambria Math" w:hAnsi="Cambria Math"/>
                      <w:szCs w:val="20"/>
                      <w:lang w:val="de-DE"/>
                    </w:rPr>
                    <m:t>D</m:t>
                  </m:r>
                </m:e>
                <m:sub>
                  <m:r>
                    <w:rPr>
                      <w:rFonts w:ascii="Cambria Math" w:hAnsi="Cambria Math"/>
                      <w:szCs w:val="20"/>
                      <w:lang w:val="de-DE"/>
                    </w:rPr>
                    <m:t>IST</m:t>
                  </m:r>
                </m:sub>
              </m:sSub>
            </m:e>
            <m:sup>
              <m:r>
                <w:rPr>
                  <w:rFonts w:ascii="Cambria Math" w:hAnsi="Cambria Math"/>
                  <w:szCs w:val="20"/>
                  <w:lang w:val="de-DE"/>
                </w:rPr>
                <m:t>1/3</m:t>
              </m:r>
            </m:sup>
          </m:sSup>
          <m:r>
            <w:rPr>
              <w:rFonts w:ascii="Cambria Math" w:hAnsi="Cambria Math"/>
              <w:szCs w:val="20"/>
              <w:lang w:val="de-DE"/>
            </w:rPr>
            <m:t xml:space="preserve">∙ </m:t>
          </m:r>
          <m:d>
            <m:dPr>
              <m:ctrlPr>
                <w:rPr>
                  <w:rFonts w:ascii="Cambria Math" w:hAnsi="Cambria Math"/>
                  <w:i/>
                  <w:szCs w:val="20"/>
                  <w:lang w:val="de-DE"/>
                </w:rPr>
              </m:ctrlPr>
            </m:dPr>
            <m:e>
              <m:r>
                <w:rPr>
                  <w:rFonts w:ascii="Cambria Math" w:hAnsi="Cambria Math"/>
                  <w:szCs w:val="20"/>
                  <w:lang w:val="de-DE"/>
                </w:rPr>
                <m:t xml:space="preserve">B+2 ∙ </m:t>
              </m:r>
              <m:sSub>
                <m:sSubPr>
                  <m:ctrlPr>
                    <w:rPr>
                      <w:rFonts w:ascii="Cambria Math" w:hAnsi="Cambria Math"/>
                      <w:i/>
                      <w:szCs w:val="20"/>
                      <w:lang w:val="de-DE"/>
                    </w:rPr>
                  </m:ctrlPr>
                </m:sSubPr>
                <m:e>
                  <m:r>
                    <w:rPr>
                      <w:rFonts w:ascii="Cambria Math" w:hAnsi="Cambria Math"/>
                      <w:szCs w:val="20"/>
                      <w:lang w:val="de-DE"/>
                    </w:rPr>
                    <m:t>T</m:t>
                  </m:r>
                </m:e>
                <m:sub>
                  <m:r>
                    <w:rPr>
                      <w:rFonts w:ascii="Cambria Math" w:hAnsi="Cambria Math"/>
                      <w:szCs w:val="20"/>
                      <w:lang w:val="de-DE"/>
                    </w:rPr>
                    <m:t>IST</m:t>
                  </m:r>
                </m:sub>
              </m:sSub>
            </m:e>
          </m:d>
          <m:r>
            <w:rPr>
              <w:rFonts w:ascii="Cambria Math" w:hAnsi="Cambria Math"/>
              <w:szCs w:val="20"/>
              <w:lang w:val="de-DE"/>
            </w:rPr>
            <m:t xml:space="preserve">=17,3 ∙ </m:t>
          </m:r>
          <m:d>
            <m:dPr>
              <m:ctrlPr>
                <w:rPr>
                  <w:rFonts w:ascii="Cambria Math" w:hAnsi="Cambria Math"/>
                  <w:i/>
                  <w:szCs w:val="20"/>
                  <w:lang w:val="de-DE"/>
                </w:rPr>
              </m:ctrlPr>
            </m:dPr>
            <m:e>
              <m:r>
                <w:rPr>
                  <w:rFonts w:ascii="Cambria Math" w:hAnsi="Cambria Math"/>
                  <w:szCs w:val="20"/>
                  <w:lang w:val="de-DE"/>
                </w:rPr>
                <m:t>22,8+5,92</m:t>
              </m:r>
            </m:e>
          </m:d>
          <m:r>
            <w:rPr>
              <w:rFonts w:ascii="Cambria Math" w:hAnsi="Cambria Math"/>
              <w:szCs w:val="20"/>
              <w:lang w:val="de-DE"/>
            </w:rPr>
            <m:t xml:space="preserve">=496,8 </m:t>
          </m:r>
          <m:d>
            <m:dPr>
              <m:begChr m:val="["/>
              <m:endChr m:val="]"/>
              <m:ctrlPr>
                <w:rPr>
                  <w:rFonts w:ascii="Cambria Math" w:hAnsi="Cambria Math"/>
                  <w:i/>
                  <w:szCs w:val="20"/>
                  <w:lang w:val="de-DE"/>
                </w:rPr>
              </m:ctrlPr>
            </m:dPr>
            <m:e>
              <m:sSup>
                <m:sSupPr>
                  <m:ctrlPr>
                    <w:rPr>
                      <w:rFonts w:ascii="Cambria Math" w:hAnsi="Cambria Math"/>
                      <w:i/>
                      <w:szCs w:val="20"/>
                      <w:lang w:val="de-DE"/>
                    </w:rPr>
                  </m:ctrlPr>
                </m:sSupPr>
                <m:e>
                  <m:r>
                    <w:rPr>
                      <w:rFonts w:ascii="Cambria Math" w:hAnsi="Cambria Math"/>
                      <w:szCs w:val="20"/>
                      <w:lang w:val="de-DE"/>
                    </w:rPr>
                    <m:t>m</m:t>
                  </m:r>
                </m:e>
                <m:sup>
                  <m:r>
                    <w:rPr>
                      <w:rFonts w:ascii="Cambria Math" w:hAnsi="Cambria Math"/>
                      <w:szCs w:val="20"/>
                      <w:lang w:val="de-DE"/>
                    </w:rPr>
                    <m:t>2</m:t>
                  </m:r>
                </m:sup>
              </m:sSup>
            </m:e>
          </m:d>
        </m:oMath>
      </m:oMathPara>
    </w:p>
    <w:p w:rsidR="004F47BB" w:rsidRPr="004F47BB" w:rsidRDefault="004F47BB" w:rsidP="004F47BB">
      <w:pPr>
        <w:tabs>
          <w:tab w:val="left" w:pos="284"/>
        </w:tabs>
        <w:overflowPunct w:val="0"/>
        <w:adjustRightInd w:val="0"/>
        <w:spacing w:line="240" w:lineRule="exact"/>
        <w:ind w:left="1276" w:hanging="284"/>
        <w:jc w:val="left"/>
        <w:textAlignment w:val="baseline"/>
        <w:rPr>
          <w:szCs w:val="20"/>
          <w:lang w:val="en-US"/>
        </w:rPr>
      </w:pPr>
    </w:p>
    <w:p w:rsidR="004F47BB" w:rsidRPr="004F47BB" w:rsidRDefault="004F47BB" w:rsidP="004F47BB">
      <w:pPr>
        <w:tabs>
          <w:tab w:val="left" w:pos="284"/>
          <w:tab w:val="left" w:pos="3119"/>
          <w:tab w:val="left" w:pos="4678"/>
        </w:tabs>
        <w:overflowPunct w:val="0"/>
        <w:adjustRightInd w:val="0"/>
        <w:spacing w:line="240" w:lineRule="atLeast"/>
        <w:ind w:left="1276" w:hanging="284"/>
        <w:jc w:val="left"/>
        <w:textAlignment w:val="baseline"/>
        <w:rPr>
          <w:szCs w:val="20"/>
          <w:lang w:val="en-US"/>
        </w:rPr>
      </w:pPr>
      <w:r w:rsidRPr="004F47BB">
        <w:rPr>
          <w:szCs w:val="20"/>
          <w:lang w:val="en-US"/>
        </w:rPr>
        <w:t>according to table 3</w:t>
      </w:r>
      <w:r w:rsidRPr="004F47BB">
        <w:rPr>
          <w:szCs w:val="20"/>
          <w:lang w:val="en-US"/>
        </w:rPr>
        <w:tab/>
      </w:r>
      <m:oMath>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T</m:t>
                </m:r>
              </m:sub>
            </m:sSub>
          </m:num>
          <m:den>
            <m:sSup>
              <m:sSupPr>
                <m:ctrlPr>
                  <w:rPr>
                    <w:rFonts w:ascii="Cambria Math" w:hAnsi="Cambria Math"/>
                    <w:i/>
                    <w:szCs w:val="20"/>
                    <w:lang w:val="en-US"/>
                  </w:rPr>
                </m:ctrlPr>
              </m:sSupPr>
              <m:e>
                <m:r>
                  <w:rPr>
                    <w:rFonts w:ascii="Cambria Math" w:hAnsi="Cambria Math"/>
                    <w:szCs w:val="20"/>
                    <w:lang w:val="en-US"/>
                  </w:rPr>
                  <m:t>v</m:t>
                </m:r>
              </m:e>
              <m:sup>
                <m:r>
                  <w:rPr>
                    <w:rFonts w:ascii="Cambria Math" w:hAnsi="Cambria Math"/>
                    <w:szCs w:val="20"/>
                    <w:lang w:val="en-US"/>
                  </w:rPr>
                  <m:t>2</m:t>
                </m:r>
              </m:sup>
            </m:sSup>
          </m:den>
        </m:f>
        <m:r>
          <w:rPr>
            <w:rFonts w:ascii="Cambria Math" w:hAnsi="Cambria Math"/>
            <w:szCs w:val="20"/>
            <w:lang w:val="en-US"/>
          </w:rPr>
          <m:t xml:space="preserve">=10,8 </m:t>
        </m:r>
        <m:d>
          <m:dPr>
            <m:ctrlPr>
              <w:rPr>
                <w:rFonts w:ascii="Cambria Math" w:hAnsi="Cambria Math"/>
                <w:i/>
                <w:szCs w:val="20"/>
                <w:lang w:val="en-US"/>
              </w:rPr>
            </m:ctrlPr>
          </m:dPr>
          <m:e>
            <m:f>
              <m:fPr>
                <m:ctrlPr>
                  <w:rPr>
                    <w:rFonts w:ascii="Cambria Math" w:hAnsi="Cambria Math"/>
                    <w:i/>
                    <w:szCs w:val="20"/>
                    <w:lang w:val="en-US"/>
                  </w:rPr>
                </m:ctrlPr>
              </m:fPr>
              <m:num>
                <m:r>
                  <w:rPr>
                    <w:rFonts w:ascii="Cambria Math" w:hAnsi="Cambria Math"/>
                    <w:szCs w:val="20"/>
                    <w:lang w:val="en-US"/>
                  </w:rPr>
                  <m:t xml:space="preserve">kN ∙ </m:t>
                </m:r>
                <m:sSup>
                  <m:sSupPr>
                    <m:ctrlPr>
                      <w:rPr>
                        <w:rFonts w:ascii="Cambria Math" w:hAnsi="Cambria Math"/>
                        <w:i/>
                        <w:szCs w:val="20"/>
                        <w:lang w:val="en-US"/>
                      </w:rPr>
                    </m:ctrlPr>
                  </m:sSupPr>
                  <m:e>
                    <m:r>
                      <w:rPr>
                        <w:rFonts w:ascii="Cambria Math" w:hAnsi="Cambria Math"/>
                        <w:szCs w:val="20"/>
                        <w:lang w:val="en-US"/>
                      </w:rPr>
                      <m:t>s</m:t>
                    </m:r>
                  </m:e>
                  <m:sup>
                    <m:r>
                      <w:rPr>
                        <w:rFonts w:ascii="Cambria Math" w:hAnsi="Cambria Math"/>
                        <w:szCs w:val="20"/>
                        <w:lang w:val="en-US"/>
                      </w:rPr>
                      <m:t>2</m:t>
                    </m:r>
                  </m:sup>
                </m:sSup>
              </m:num>
              <m:den>
                <m:sSup>
                  <m:sSupPr>
                    <m:ctrlPr>
                      <w:rPr>
                        <w:rFonts w:ascii="Cambria Math" w:hAnsi="Cambria Math"/>
                        <w:i/>
                        <w:szCs w:val="20"/>
                        <w:lang w:val="en-US"/>
                      </w:rPr>
                    </m:ctrlPr>
                  </m:sSupPr>
                  <m:e>
                    <m:r>
                      <w:rPr>
                        <w:rFonts w:ascii="Cambria Math" w:hAnsi="Cambria Math"/>
                        <w:szCs w:val="20"/>
                        <w:lang w:val="en-US"/>
                      </w:rPr>
                      <m:t>m</m:t>
                    </m:r>
                  </m:e>
                  <m:sup>
                    <m:r>
                      <w:rPr>
                        <w:rFonts w:ascii="Cambria Math" w:hAnsi="Cambria Math"/>
                        <w:szCs w:val="20"/>
                        <w:lang w:val="en-US"/>
                      </w:rPr>
                      <m:t>2</m:t>
                    </m:r>
                  </m:sup>
                </m:sSup>
              </m:den>
            </m:f>
          </m:e>
        </m:d>
      </m:oMath>
    </w:p>
    <w:p w:rsidR="004F47BB" w:rsidRPr="004F47BB" w:rsidRDefault="004F47BB" w:rsidP="004F47BB">
      <w:pPr>
        <w:tabs>
          <w:tab w:val="left" w:pos="992"/>
        </w:tabs>
        <w:overflowPunct w:val="0"/>
        <w:adjustRightInd w:val="0"/>
        <w:spacing w:line="240" w:lineRule="atLeast"/>
        <w:ind w:left="992" w:firstLine="1"/>
        <w:textAlignment w:val="baseline"/>
        <w:rPr>
          <w:lang w:val="en-US"/>
        </w:rPr>
      </w:pPr>
    </w:p>
    <w:p w:rsidR="004F47BB" w:rsidRPr="004F47BB" w:rsidRDefault="00F12BAF" w:rsidP="004F47BB">
      <w:pPr>
        <w:tabs>
          <w:tab w:val="left" w:pos="992"/>
        </w:tabs>
        <w:overflowPunct w:val="0"/>
        <w:adjustRightInd w:val="0"/>
        <w:spacing w:line="240" w:lineRule="atLeast"/>
        <w:ind w:left="992" w:firstLine="1"/>
        <w:textAlignment w:val="baseline"/>
        <w:rPr>
          <w:lang w:val="en-US"/>
        </w:rPr>
      </w:pPr>
      <m:oMathPara>
        <m:oMathParaPr>
          <m:jc m:val="left"/>
        </m:oMathParaP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v</m:t>
                  </m:r>
                </m:e>
                <m:sub>
                  <m:r>
                    <w:rPr>
                      <w:rFonts w:ascii="Cambria Math" w:hAnsi="Cambria Math"/>
                      <w:noProof/>
                      <w:lang w:val="en-US"/>
                    </w:rPr>
                    <m:t>L</m:t>
                  </m:r>
                </m:sub>
              </m:sSub>
            </m:e>
            <m:sub>
              <m:r>
                <w:rPr>
                  <w:rFonts w:ascii="Cambria Math" w:hAnsi="Cambria Math"/>
                  <w:noProof/>
                  <w:lang w:val="en-US"/>
                </w:rPr>
                <m:t>IST</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v</m:t>
              </m:r>
            </m:e>
            <m:sub>
              <m:sSub>
                <m:sSubPr>
                  <m:ctrlPr>
                    <w:rPr>
                      <w:rFonts w:ascii="Cambria Math" w:hAnsi="Cambria Math"/>
                      <w:i/>
                      <w:noProof/>
                      <w:lang w:val="en-US"/>
                    </w:rPr>
                  </m:ctrlPr>
                </m:sSubPr>
                <m:e>
                  <m:r>
                    <w:rPr>
                      <w:rFonts w:ascii="Cambria Math" w:hAnsi="Cambria Math"/>
                      <w:noProof/>
                      <w:lang w:val="en-US"/>
                    </w:rPr>
                    <m:t>STR</m:t>
                  </m:r>
                </m:e>
                <m:sub>
                  <m:r>
                    <w:rPr>
                      <w:rFonts w:ascii="Cambria Math" w:hAnsi="Cambria Math"/>
                      <w:noProof/>
                      <w:lang w:val="en-US"/>
                    </w:rPr>
                    <m:t>IST</m:t>
                  </m:r>
                </m:sub>
              </m:sSub>
            </m:sub>
          </m:sSub>
          <m:r>
            <w:rPr>
              <w:rFonts w:ascii="Cambria Math" w:hAnsi="Cambria Math"/>
              <w:noProof/>
              <w:lang w:val="en-US"/>
            </w:rPr>
            <m:t>=4,9-1,4=3,5 m/s</m:t>
          </m:r>
        </m:oMath>
      </m:oMathPara>
    </w:p>
    <w:p w:rsidR="004F47BB" w:rsidRPr="004F47BB" w:rsidRDefault="004F47BB" w:rsidP="004F47BB">
      <w:pPr>
        <w:tabs>
          <w:tab w:val="left" w:pos="992"/>
        </w:tabs>
        <w:overflowPunct w:val="0"/>
        <w:adjustRightInd w:val="0"/>
        <w:spacing w:line="240" w:lineRule="atLeast"/>
        <w:ind w:left="992" w:firstLine="1"/>
        <w:textAlignment w:val="baseline"/>
        <w:rPr>
          <w:lang w:val="en-US"/>
        </w:rPr>
      </w:pPr>
    </w:p>
    <w:p w:rsidR="004F47BB" w:rsidRPr="004F47BB" w:rsidRDefault="00F12BAF" w:rsidP="004F47BB">
      <w:pPr>
        <w:tabs>
          <w:tab w:val="left" w:pos="992"/>
        </w:tabs>
        <w:overflowPunct w:val="0"/>
        <w:adjustRightInd w:val="0"/>
        <w:spacing w:line="240" w:lineRule="atLeast"/>
        <w:ind w:left="992" w:firstLine="1"/>
        <w:textAlignment w:val="baseline"/>
        <w:rPr>
          <w:szCs w:val="20"/>
          <w:lang w:val="en-US"/>
        </w:rPr>
      </w:pPr>
      <m:oMathPara>
        <m:oMathParaPr>
          <m:jc m:val="left"/>
        </m:oMathParaP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TmII</m:t>
                  </m:r>
                </m:sub>
              </m:sSub>
            </m:e>
            <m:sub>
              <m:r>
                <w:rPr>
                  <w:rFonts w:ascii="Cambria Math" w:hAnsi="Cambria Math"/>
                  <w:noProof/>
                  <w:lang w:val="en-US"/>
                </w:rPr>
                <m:t>IST</m:t>
              </m:r>
            </m:sub>
          </m:sSub>
          <m:r>
            <w:rPr>
              <w:rFonts w:ascii="Cambria Math" w:hAnsi="Cambria Math"/>
              <w:noProof/>
              <w:lang w:val="en-US"/>
            </w:rPr>
            <m:t xml:space="preserve">= </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T</m:t>
                  </m:r>
                </m:sub>
              </m:sSub>
            </m:num>
            <m:den>
              <m:sSup>
                <m:sSupPr>
                  <m:ctrlPr>
                    <w:rPr>
                      <w:rFonts w:ascii="Cambria Math" w:hAnsi="Cambria Math"/>
                      <w:i/>
                      <w:noProof/>
                      <w:lang w:val="en-US"/>
                    </w:rPr>
                  </m:ctrlPr>
                </m:sSupPr>
                <m:e>
                  <m:r>
                    <w:rPr>
                      <w:rFonts w:ascii="Cambria Math" w:hAnsi="Cambria Math"/>
                      <w:noProof/>
                      <w:lang w:val="en-US"/>
                    </w:rPr>
                    <m:t>v</m:t>
                  </m:r>
                </m:e>
                <m:sup>
                  <m:r>
                    <w:rPr>
                      <w:rFonts w:ascii="Cambria Math" w:hAnsi="Cambria Math"/>
                      <w:noProof/>
                      <w:lang w:val="en-US"/>
                    </w:rPr>
                    <m:t>2</m:t>
                  </m:r>
                </m:sup>
              </m:sSup>
            </m:den>
          </m:f>
          <m:r>
            <w:rPr>
              <w:rFonts w:ascii="Cambria Math" w:hAnsi="Cambria Math"/>
              <w:noProof/>
              <w:lang w:val="en-US"/>
            </w:rPr>
            <m:t xml:space="preserve"> ∙ </m:t>
          </m:r>
          <m:sSup>
            <m:sSupPr>
              <m:ctrlPr>
                <w:rPr>
                  <w:rFonts w:ascii="Cambria Math" w:hAnsi="Cambria Math"/>
                  <w:i/>
                  <w:noProof/>
                  <w:lang w:val="en-US"/>
                </w:rPr>
              </m:ctrlPr>
            </m:sSupPr>
            <m:e>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k</m:t>
                      </m:r>
                    </m:e>
                    <m:sub>
                      <m:r>
                        <w:rPr>
                          <w:rFonts w:ascii="Cambria Math" w:hAnsi="Cambria Math"/>
                          <w:noProof/>
                          <w:lang w:val="en-US"/>
                        </w:rPr>
                        <m:t>7</m:t>
                      </m:r>
                    </m:sub>
                  </m:sSub>
                  <m:r>
                    <w:rPr>
                      <w:rFonts w:ascii="Cambria Math" w:hAnsi="Cambria Math"/>
                      <w:noProof/>
                      <w:lang w:val="en-US"/>
                    </w:rPr>
                    <m:t xml:space="preserve"> ∙ </m:t>
                  </m:r>
                  <m:sSub>
                    <m:sSubPr>
                      <m:ctrlPr>
                        <w:rPr>
                          <w:rFonts w:ascii="Cambria Math" w:hAnsi="Cambria Math"/>
                          <w:i/>
                          <w:noProof/>
                          <w:lang w:val="en-US"/>
                        </w:rPr>
                      </m:ctrlPr>
                    </m:sSubPr>
                    <m:e>
                      <m:r>
                        <w:rPr>
                          <w:rFonts w:ascii="Cambria Math" w:hAnsi="Cambria Math"/>
                          <w:noProof/>
                          <w:lang w:val="en-US"/>
                        </w:rPr>
                        <m:t>k</m:t>
                      </m:r>
                    </m:e>
                    <m:sub>
                      <m:r>
                        <w:rPr>
                          <w:rFonts w:ascii="Cambria Math" w:hAnsi="Cambria Math"/>
                          <w:noProof/>
                          <w:lang w:val="en-US"/>
                        </w:rPr>
                        <m:t>6</m:t>
                      </m:r>
                    </m:sub>
                  </m:sSub>
                  <m:r>
                    <w:rPr>
                      <w:rFonts w:ascii="Cambria Math" w:hAnsi="Cambria Math"/>
                      <w:noProof/>
                      <w:lang w:val="en-US"/>
                    </w:rPr>
                    <m:t xml:space="preserve"> ∙ </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v</m:t>
                          </m:r>
                        </m:e>
                        <m:sub>
                          <m:sSub>
                            <m:sSubPr>
                              <m:ctrlPr>
                                <w:rPr>
                                  <w:rFonts w:ascii="Cambria Math" w:hAnsi="Cambria Math"/>
                                  <w:i/>
                                  <w:noProof/>
                                  <w:lang w:val="en-US"/>
                                </w:rPr>
                              </m:ctrlPr>
                            </m:sSubPr>
                            <m:e>
                              <m:r>
                                <w:rPr>
                                  <w:rFonts w:ascii="Cambria Math" w:hAnsi="Cambria Math"/>
                                  <w:noProof/>
                                  <w:lang w:val="en-US"/>
                                </w:rPr>
                                <m:t>L</m:t>
                              </m:r>
                            </m:e>
                            <m:sub>
                              <m:r>
                                <w:rPr>
                                  <w:rFonts w:ascii="Cambria Math" w:hAnsi="Cambria Math"/>
                                  <w:noProof/>
                                  <w:lang w:val="en-US"/>
                                </w:rPr>
                                <m:t>IST</m:t>
                              </m:r>
                            </m:sub>
                          </m:sSub>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v</m:t>
                          </m:r>
                        </m:e>
                        <m:sub>
                          <m:sSub>
                            <m:sSubPr>
                              <m:ctrlPr>
                                <w:rPr>
                                  <w:rFonts w:ascii="Cambria Math" w:hAnsi="Cambria Math"/>
                                  <w:i/>
                                  <w:noProof/>
                                  <w:lang w:val="en-US"/>
                                </w:rPr>
                              </m:ctrlPr>
                            </m:sSubPr>
                            <m:e>
                              <m:r>
                                <w:rPr>
                                  <w:rFonts w:ascii="Cambria Math" w:hAnsi="Cambria Math"/>
                                  <w:noProof/>
                                  <w:lang w:val="en-US"/>
                                </w:rPr>
                                <m:t>STR</m:t>
                              </m:r>
                            </m:e>
                            <m:sub>
                              <m:r>
                                <w:rPr>
                                  <w:rFonts w:ascii="Cambria Math" w:hAnsi="Cambria Math"/>
                                  <w:noProof/>
                                  <w:lang w:val="en-US"/>
                                </w:rPr>
                                <m:t>IST</m:t>
                              </m:r>
                            </m:sub>
                          </m:sSub>
                        </m:sub>
                      </m:sSub>
                    </m:e>
                  </m:d>
                </m:e>
              </m:d>
            </m:e>
            <m:sup>
              <m:r>
                <w:rPr>
                  <w:rFonts w:ascii="Cambria Math" w:hAnsi="Cambria Math"/>
                  <w:noProof/>
                  <w:lang w:val="en-US"/>
                </w:rPr>
                <m:t>2</m:t>
              </m:r>
            </m:sup>
          </m:sSup>
          <m:r>
            <w:rPr>
              <w:rFonts w:ascii="Cambria Math" w:hAnsi="Cambria Math"/>
              <w:noProof/>
              <w:lang w:val="en-US"/>
            </w:rPr>
            <m:t xml:space="preserve">= 10,8 ∙ </m:t>
          </m:r>
          <m:sSup>
            <m:sSupPr>
              <m:ctrlPr>
                <w:rPr>
                  <w:rFonts w:ascii="Cambria Math" w:hAnsi="Cambria Math"/>
                  <w:i/>
                  <w:noProof/>
                  <w:lang w:val="en-US"/>
                </w:rPr>
              </m:ctrlPr>
            </m:sSupPr>
            <m:e>
              <m:d>
                <m:dPr>
                  <m:ctrlPr>
                    <w:rPr>
                      <w:rFonts w:ascii="Cambria Math" w:hAnsi="Cambria Math"/>
                      <w:i/>
                      <w:noProof/>
                      <w:lang w:val="en-US"/>
                    </w:rPr>
                  </m:ctrlPr>
                </m:dPr>
                <m:e>
                  <m:r>
                    <w:rPr>
                      <w:rFonts w:ascii="Cambria Math" w:hAnsi="Cambria Math"/>
                      <w:noProof/>
                      <w:lang w:val="en-US"/>
                    </w:rPr>
                    <m:t>0,55 ∙0,85 ∙3,5</m:t>
                  </m:r>
                </m:e>
              </m:d>
            </m:e>
            <m:sup>
              <m:r>
                <w:rPr>
                  <w:rFonts w:ascii="Cambria Math" w:hAnsi="Cambria Math"/>
                  <w:noProof/>
                  <w:lang w:val="en-US"/>
                </w:rPr>
                <m:t>2</m:t>
              </m:r>
            </m:sup>
          </m:sSup>
          <m:r>
            <w:rPr>
              <w:rFonts w:ascii="Cambria Math" w:hAnsi="Cambria Math"/>
              <w:noProof/>
              <w:lang w:val="en-US"/>
            </w:rPr>
            <m:t>=</m:t>
          </m:r>
          <m:r>
            <m:rPr>
              <m:sty m:val="bi"/>
            </m:rPr>
            <w:rPr>
              <w:rFonts w:ascii="Cambria Math" w:hAnsi="Cambria Math"/>
              <w:noProof/>
              <w:lang w:val="en-US"/>
            </w:rPr>
            <m:t xml:space="preserve">28,8 </m:t>
          </m:r>
          <m:d>
            <m:dPr>
              <m:begChr m:val="["/>
              <m:endChr m:val="]"/>
              <m:ctrlPr>
                <w:rPr>
                  <w:rFonts w:ascii="Cambria Math" w:hAnsi="Cambria Math"/>
                  <w:b/>
                  <w:i/>
                  <w:noProof/>
                  <w:lang w:val="en-US"/>
                </w:rPr>
              </m:ctrlPr>
            </m:dPr>
            <m:e>
              <m:r>
                <m:rPr>
                  <m:sty m:val="bi"/>
                </m:rPr>
                <w:rPr>
                  <w:rFonts w:ascii="Cambria Math" w:hAnsi="Cambria Math"/>
                  <w:noProof/>
                  <w:lang w:val="en-US"/>
                </w:rPr>
                <m:t>kN</m:t>
              </m:r>
            </m:e>
          </m:d>
        </m:oMath>
      </m:oMathPara>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r w:rsidRPr="004F47BB">
        <w:rPr>
          <w:szCs w:val="20"/>
          <w:lang w:val="en-US"/>
        </w:rPr>
        <w:br w:type="page"/>
      </w: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r w:rsidRPr="004F47BB">
        <w:rPr>
          <w:szCs w:val="20"/>
          <w:lang w:val="en-US"/>
        </w:rPr>
        <w:lastRenderedPageBreak/>
        <w:t>d)</w:t>
      </w:r>
      <w:r w:rsidRPr="004F47BB">
        <w:rPr>
          <w:szCs w:val="20"/>
          <w:lang w:val="en-US"/>
        </w:rPr>
        <w:tab/>
      </w:r>
      <w:r w:rsidRPr="004F47BB">
        <w:rPr>
          <w:noProof/>
          <w:lang w:val="en-US"/>
        </w:rPr>
        <w:t xml:space="preserve">Calculation of resistance to gradient </w:t>
      </w:r>
      <m:oMath>
        <m:sSub>
          <m:sSubPr>
            <m:ctrlPr>
              <w:rPr>
                <w:rFonts w:ascii="Cambria Math" w:hAnsi="Cambria Math"/>
                <w:i/>
                <w:sz w:val="16"/>
                <w:szCs w:val="20"/>
                <w:lang w:val="en-US"/>
              </w:rPr>
            </m:ctrlPr>
          </m:sSubPr>
          <m:e>
            <m:r>
              <w:rPr>
                <w:rFonts w:ascii="Cambria Math" w:hAnsi="Cambria Math"/>
                <w:sz w:val="16"/>
                <w:szCs w:val="20"/>
                <w:lang w:val="en-US"/>
              </w:rPr>
              <m:t>R</m:t>
            </m:r>
          </m:e>
          <m:sub>
            <m:r>
              <w:rPr>
                <w:rFonts w:ascii="Cambria Math" w:hAnsi="Cambria Math"/>
                <w:sz w:val="16"/>
                <w:szCs w:val="20"/>
                <w:lang w:val="en-US"/>
              </w:rPr>
              <m:t>G</m:t>
            </m:r>
          </m:sub>
        </m:sSub>
      </m:oMath>
      <w:r w:rsidRPr="004F47BB">
        <w:rPr>
          <w:noProof/>
          <w:lang w:val="en-US"/>
        </w:rPr>
        <w:t xml:space="preserve"> according to formula (4.4)</w:t>
      </w: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p>
    <w:p w:rsidR="004F47BB" w:rsidRPr="004F47BB" w:rsidRDefault="00F12BAF" w:rsidP="004F47BB">
      <w:pPr>
        <w:overflowPunct w:val="0"/>
        <w:adjustRightInd w:val="0"/>
        <w:spacing w:line="240" w:lineRule="atLeast"/>
        <w:ind w:left="993" w:hanging="1"/>
        <w:jc w:val="left"/>
        <w:textAlignment w:val="baseline"/>
        <w:rPr>
          <w:szCs w:val="20"/>
          <w:lang w:val="en-US"/>
        </w:rPr>
      </w:pPr>
      <m:oMathPara>
        <m:oMathParaPr>
          <m:jc m:val="left"/>
        </m:oMathParaPr>
        <m:oMath>
          <m:sSub>
            <m:sSubPr>
              <m:ctrlPr>
                <w:rPr>
                  <w:rFonts w:ascii="Cambria Math" w:hAnsi="Cambria Math"/>
                  <w:i/>
                  <w:sz w:val="16"/>
                  <w:szCs w:val="20"/>
                  <w:lang w:val="en-US"/>
                </w:rPr>
              </m:ctrlPr>
            </m:sSubPr>
            <m:e>
              <m:r>
                <w:rPr>
                  <w:rFonts w:ascii="Cambria Math" w:hAnsi="Cambria Math"/>
                  <w:sz w:val="16"/>
                  <w:szCs w:val="20"/>
                  <w:lang w:val="en-US"/>
                </w:rPr>
                <m:t>R</m:t>
              </m:r>
            </m:e>
            <m:sub>
              <m:r>
                <w:rPr>
                  <w:rFonts w:ascii="Cambria Math" w:hAnsi="Cambria Math"/>
                  <w:sz w:val="16"/>
                  <w:szCs w:val="20"/>
                  <w:lang w:val="en-US"/>
                </w:rPr>
                <m:t>G</m:t>
              </m:r>
            </m:sub>
          </m:sSub>
          <m:r>
            <w:rPr>
              <w:rFonts w:ascii="Cambria Math" w:hAnsi="Cambria Math"/>
              <w:sz w:val="16"/>
              <w:szCs w:val="20"/>
              <w:lang w:val="en-US"/>
            </w:rPr>
            <m:t xml:space="preserve"> </m:t>
          </m:r>
          <m:r>
            <w:rPr>
              <w:rFonts w:ascii="Cambria Math" w:hAnsi="Cambria Math"/>
              <w:szCs w:val="20"/>
              <w:lang w:val="en-US"/>
            </w:rPr>
            <m:t xml:space="preserve">= </m:t>
          </m:r>
          <m:sSup>
            <m:sSupPr>
              <m:ctrlPr>
                <w:rPr>
                  <w:rFonts w:ascii="Cambria Math" w:hAnsi="Cambria Math"/>
                  <w:i/>
                  <w:szCs w:val="20"/>
                  <w:lang w:val="en-US"/>
                </w:rPr>
              </m:ctrlPr>
            </m:sSupPr>
            <m:e>
              <m:r>
                <w:rPr>
                  <w:rFonts w:ascii="Cambria Math" w:hAnsi="Cambria Math"/>
                  <w:szCs w:val="20"/>
                  <w:lang w:val="en-US"/>
                </w:rPr>
                <m:t>10</m:t>
              </m:r>
            </m:e>
            <m:sup>
              <m:r>
                <w:rPr>
                  <w:rFonts w:ascii="Cambria Math" w:hAnsi="Cambria Math"/>
                  <w:szCs w:val="20"/>
                  <w:lang w:val="en-US"/>
                </w:rPr>
                <m:t>-6</m:t>
              </m:r>
            </m:sup>
          </m:sSup>
          <m:r>
            <w:rPr>
              <w:rFonts w:ascii="Cambria Math" w:hAnsi="Cambria Math"/>
              <w:szCs w:val="20"/>
              <w:lang w:val="en-US"/>
            </w:rPr>
            <m:t xml:space="preserve"> ∙ </m:t>
          </m:r>
          <m:d>
            <m:dPr>
              <m:ctrlPr>
                <w:rPr>
                  <w:rFonts w:ascii="Cambria Math" w:hAnsi="Cambria Math"/>
                  <w:i/>
                  <w:szCs w:val="20"/>
                  <w:lang w:val="en-US"/>
                </w:rPr>
              </m:ctrlPr>
            </m:dPr>
            <m:e>
              <m:r>
                <w:rPr>
                  <w:rFonts w:ascii="Cambria Math" w:hAnsi="Cambria Math"/>
                  <w:szCs w:val="20"/>
                  <w:lang w:val="en-US"/>
                </w:rPr>
                <m:t xml:space="preserve">0,16 ∙ </m:t>
              </m:r>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IST</m:t>
                  </m:r>
                </m:sub>
              </m:sSub>
              <m:r>
                <w:rPr>
                  <w:rFonts w:ascii="Cambria Math" w:hAnsi="Cambria Math"/>
                  <w:szCs w:val="20"/>
                  <w:lang w:val="en-US"/>
                </w:rPr>
                <m:t xml:space="preserve"> ∙ ρ ∙g</m:t>
              </m:r>
            </m:e>
          </m:d>
          <m:r>
            <w:rPr>
              <w:rFonts w:ascii="Cambria Math" w:hAnsi="Cambria Math"/>
              <w:szCs w:val="20"/>
              <w:lang w:val="en-US"/>
            </w:rPr>
            <m:t>=</m:t>
          </m:r>
          <m:sSup>
            <m:sSupPr>
              <m:ctrlPr>
                <w:rPr>
                  <w:rFonts w:ascii="Cambria Math" w:hAnsi="Cambria Math"/>
                  <w:i/>
                  <w:szCs w:val="20"/>
                  <w:lang w:val="en-US"/>
                </w:rPr>
              </m:ctrlPr>
            </m:sSupPr>
            <m:e>
              <m:r>
                <w:rPr>
                  <w:rFonts w:ascii="Cambria Math" w:hAnsi="Cambria Math"/>
                  <w:szCs w:val="20"/>
                  <w:lang w:val="en-US"/>
                </w:rPr>
                <m:t>10</m:t>
              </m:r>
            </m:e>
            <m:sup>
              <m:r>
                <w:rPr>
                  <w:rFonts w:ascii="Cambria Math" w:hAnsi="Cambria Math"/>
                  <w:szCs w:val="20"/>
                  <w:lang w:val="en-US"/>
                </w:rPr>
                <m:t>-6</m:t>
              </m:r>
            </m:sup>
          </m:sSup>
          <m:r>
            <w:rPr>
              <w:rFonts w:ascii="Cambria Math" w:hAnsi="Cambria Math"/>
              <w:szCs w:val="20"/>
              <w:lang w:val="en-US"/>
            </w:rPr>
            <m:t xml:space="preserve"> ∙(0,16 ∙</m:t>
          </m:r>
          <m:r>
            <m:rPr>
              <m:sty m:val="bi"/>
            </m:rPr>
            <w:rPr>
              <w:rFonts w:ascii="Cambria Math" w:hAnsi="Cambria Math"/>
              <w:position w:val="6"/>
              <w:szCs w:val="20"/>
              <w:lang w:val="en-US"/>
            </w:rPr>
            <m:t xml:space="preserve"> </m:t>
          </m:r>
          <m:r>
            <w:rPr>
              <w:rFonts w:ascii="Cambria Math" w:hAnsi="Cambria Math"/>
              <w:szCs w:val="20"/>
              <w:lang w:val="en-US"/>
            </w:rPr>
            <m:t xml:space="preserve">5179 ∙ 1000 ∙ 9,81)= </m:t>
          </m:r>
          <m:r>
            <m:rPr>
              <m:sty m:val="bi"/>
            </m:rPr>
            <w:rPr>
              <w:rFonts w:ascii="Cambria Math" w:hAnsi="Cambria Math"/>
              <w:szCs w:val="20"/>
              <w:u w:val="single"/>
              <w:lang w:val="en-US"/>
            </w:rPr>
            <m:t>8,13</m:t>
          </m:r>
          <m:r>
            <m:rPr>
              <m:sty m:val="bi"/>
            </m:rPr>
            <w:rPr>
              <w:rFonts w:ascii="Cambria Math" w:hAnsi="Cambria Math"/>
              <w:szCs w:val="20"/>
              <w:lang w:val="en-US"/>
            </w:rPr>
            <m:t xml:space="preserve">  [kN]</m:t>
          </m:r>
        </m:oMath>
      </m:oMathPara>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r w:rsidRPr="004F47BB">
        <w:rPr>
          <w:szCs w:val="20"/>
          <w:lang w:val="en-US"/>
        </w:rPr>
        <w:t>e)</w:t>
      </w:r>
      <w:r w:rsidRPr="004F47BB">
        <w:rPr>
          <w:szCs w:val="20"/>
          <w:lang w:val="en-US"/>
        </w:rPr>
        <w:tab/>
        <w:t xml:space="preserve">Calculation of </w:t>
      </w:r>
      <m:oMath>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IST</m:t>
                </m:r>
              </m:sub>
            </m:sSub>
          </m:sub>
        </m:sSub>
      </m:oMath>
      <w:r w:rsidRPr="004F47BB">
        <w:rPr>
          <w:szCs w:val="20"/>
          <w:lang w:val="en-US"/>
        </w:rPr>
        <w:t xml:space="preserve"> according to formula (4.5)</w:t>
      </w:r>
    </w:p>
    <w:p w:rsidR="004F47BB" w:rsidRPr="004F47BB" w:rsidRDefault="004F47BB" w:rsidP="004F47BB">
      <w:pPr>
        <w:overflowPunct w:val="0"/>
        <w:adjustRightInd w:val="0"/>
        <w:spacing w:line="240" w:lineRule="atLeast"/>
        <w:ind w:left="992" w:firstLine="0"/>
        <w:jc w:val="left"/>
        <w:textAlignment w:val="baseline"/>
        <w:rPr>
          <w:szCs w:val="20"/>
          <w:lang w:val="en-US"/>
        </w:rPr>
      </w:pPr>
    </w:p>
    <w:p w:rsidR="004F47BB" w:rsidRPr="004F47BB" w:rsidRDefault="00F12BAF" w:rsidP="004F47BB">
      <w:pPr>
        <w:overflowPunct w:val="0"/>
        <w:adjustRightInd w:val="0"/>
        <w:spacing w:line="240" w:lineRule="atLeast"/>
        <w:ind w:left="992"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IST</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6</m:t>
              </m:r>
            </m:sub>
          </m:sSub>
          <m:r>
            <w:rPr>
              <w:rFonts w:ascii="Cambria Math" w:hAnsi="Cambria Math"/>
              <w:szCs w:val="20"/>
              <w:lang w:val="en-US"/>
            </w:rPr>
            <m:t xml:space="preserve"> ∙  </m:t>
          </m:r>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L</m:t>
                      </m:r>
                    </m:e>
                    <m:sub>
                      <m:r>
                        <w:rPr>
                          <w:rFonts w:ascii="Cambria Math" w:hAnsi="Cambria Math"/>
                          <w:szCs w:val="20"/>
                          <w:lang w:val="en-US"/>
                        </w:rPr>
                        <m:t>IST</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STR</m:t>
                      </m:r>
                    </m:e>
                    <m:sub>
                      <m:r>
                        <w:rPr>
                          <w:rFonts w:ascii="Cambria Math" w:hAnsi="Cambria Math"/>
                          <w:szCs w:val="20"/>
                          <w:lang w:val="en-US"/>
                        </w:rPr>
                        <m:t>IST</m:t>
                      </m:r>
                    </m:sub>
                  </m:sSub>
                </m:sub>
              </m:sSub>
            </m:e>
          </m:d>
          <m:r>
            <w:rPr>
              <w:rFonts w:ascii="Cambria Math" w:hAnsi="Cambria Math"/>
              <w:szCs w:val="20"/>
              <w:lang w:val="en-US"/>
            </w:rPr>
            <m:t xml:space="preserve">= </m:t>
          </m:r>
          <m:d>
            <m:dPr>
              <m:ctrlPr>
                <w:rPr>
                  <w:rFonts w:ascii="Cambria Math" w:hAnsi="Cambria Math"/>
                  <w:i/>
                  <w:szCs w:val="20"/>
                  <w:lang w:val="en-US"/>
                </w:rPr>
              </m:ctrlPr>
            </m:dPr>
            <m:e>
              <m:r>
                <w:rPr>
                  <w:rFonts w:ascii="Cambria Math" w:hAnsi="Cambria Math"/>
                  <w:szCs w:val="20"/>
                  <w:lang w:val="en-US"/>
                </w:rPr>
                <m:t>0,85 ∙3,5</m:t>
              </m:r>
            </m:e>
          </m:d>
          <m:r>
            <w:rPr>
              <w:rFonts w:ascii="Cambria Math" w:hAnsi="Cambria Math"/>
              <w:szCs w:val="20"/>
              <w:lang w:val="en-US"/>
            </w:rPr>
            <m:t xml:space="preserve">=2,97 </m:t>
          </m:r>
          <m:d>
            <m:dPr>
              <m:begChr m:val="["/>
              <m:endChr m:val="]"/>
              <m:ctrlPr>
                <w:rPr>
                  <w:rFonts w:ascii="Cambria Math" w:hAnsi="Cambria Math"/>
                  <w:i/>
                  <w:szCs w:val="20"/>
                  <w:lang w:val="en-US"/>
                </w:rPr>
              </m:ctrlPr>
            </m:dPr>
            <m:e>
              <m:r>
                <w:rPr>
                  <w:rFonts w:ascii="Cambria Math" w:hAnsi="Cambria Math"/>
                  <w:szCs w:val="20"/>
                  <w:lang w:val="en-US"/>
                </w:rPr>
                <m:t>m/s</m:t>
              </m:r>
            </m:e>
          </m:d>
        </m:oMath>
      </m:oMathPara>
    </w:p>
    <w:p w:rsidR="004F47BB" w:rsidRPr="004F47BB" w:rsidRDefault="004F47BB" w:rsidP="004F47BB">
      <w:pPr>
        <w:overflowPunct w:val="0"/>
        <w:adjustRightInd w:val="0"/>
        <w:spacing w:line="240" w:lineRule="exact"/>
        <w:ind w:left="993" w:firstLine="0"/>
        <w:jc w:val="left"/>
        <w:textAlignment w:val="baseline"/>
        <w:rPr>
          <w:szCs w:val="20"/>
          <w:lang w:val="en-US"/>
        </w:rPr>
      </w:pPr>
    </w:p>
    <w:p w:rsidR="004F47BB" w:rsidRPr="004F47BB" w:rsidRDefault="00F12BAF" w:rsidP="004F47BB">
      <w:pPr>
        <w:overflowPunct w:val="0"/>
        <w:adjustRightInd w:val="0"/>
        <w:spacing w:line="240" w:lineRule="atLeast"/>
        <w:ind w:left="993" w:hanging="1"/>
        <w:jc w:val="left"/>
        <w:textAlignment w:val="baseline"/>
        <w:rPr>
          <w:szCs w:val="20"/>
          <w:lang w:val="en-US"/>
        </w:rPr>
      </w:pPr>
      <m:oMathPara>
        <m:oMathParaPr>
          <m:jc m:val="left"/>
        </m:oMathParaPr>
        <m:oMath>
          <m:sSub>
            <m:sSubPr>
              <m:ctrlPr>
                <w:rPr>
                  <w:rFonts w:ascii="Cambria Math" w:hAnsi="Cambria Math"/>
                  <w:i/>
                  <w:szCs w:val="20"/>
                  <w:lang w:val="en-US"/>
                </w:rPr>
              </m:ctrlPr>
            </m:sSubPr>
            <m:e>
              <m:sSup>
                <m:sSupPr>
                  <m:ctrlPr>
                    <w:rPr>
                      <w:rFonts w:ascii="Cambria Math" w:hAnsi="Cambria Math"/>
                      <w:i/>
                      <w:szCs w:val="20"/>
                      <w:lang w:val="en-US"/>
                    </w:rPr>
                  </m:ctrlPr>
                </m:sSupPr>
                <m:e>
                  <m:r>
                    <w:rPr>
                      <w:rFonts w:ascii="Cambria Math" w:hAnsi="Cambria Math"/>
                      <w:szCs w:val="20"/>
                      <w:lang w:val="en-US"/>
                    </w:rPr>
                    <m:t>v</m:t>
                  </m:r>
                </m:e>
                <m:sup>
                  <m:r>
                    <w:rPr>
                      <w:rFonts w:ascii="Cambria Math" w:hAnsi="Cambria Math"/>
                      <w:szCs w:val="20"/>
                      <w:lang w:val="en-US"/>
                    </w:rPr>
                    <m:t>2</m:t>
                  </m:r>
                </m:sup>
              </m:sSup>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IST</m:t>
                  </m:r>
                </m:sub>
              </m:sSub>
            </m:sub>
          </m:sSub>
          <m:r>
            <w:rPr>
              <w:rFonts w:ascii="Cambria Math" w:hAnsi="Cambria Math"/>
              <w:szCs w:val="20"/>
              <w:lang w:val="en-US"/>
            </w:rPr>
            <m:t xml:space="preserve">=8,85 </m:t>
          </m:r>
          <m:sSup>
            <m:sSupPr>
              <m:ctrlPr>
                <w:rPr>
                  <w:rFonts w:ascii="Cambria Math" w:hAnsi="Cambria Math"/>
                  <w:i/>
                  <w:szCs w:val="20"/>
                  <w:lang w:val="en-US"/>
                </w:rPr>
              </m:ctrlPr>
            </m:sSupPr>
            <m:e>
              <m:d>
                <m:dPr>
                  <m:begChr m:val="["/>
                  <m:endChr m:val="]"/>
                  <m:ctrlPr>
                    <w:rPr>
                      <w:rFonts w:ascii="Cambria Math" w:hAnsi="Cambria Math"/>
                      <w:i/>
                      <w:szCs w:val="20"/>
                      <w:lang w:val="en-US"/>
                    </w:rPr>
                  </m:ctrlPr>
                </m:dPr>
                <m:e>
                  <m:r>
                    <w:rPr>
                      <w:rFonts w:ascii="Cambria Math" w:hAnsi="Cambria Math"/>
                      <w:szCs w:val="20"/>
                      <w:lang w:val="en-US"/>
                    </w:rPr>
                    <m:t>m/s</m:t>
                  </m:r>
                </m:e>
              </m:d>
            </m:e>
            <m:sup>
              <m:r>
                <w:rPr>
                  <w:rFonts w:ascii="Cambria Math" w:hAnsi="Cambria Math"/>
                  <w:szCs w:val="20"/>
                  <w:lang w:val="en-US"/>
                </w:rPr>
                <m:t>2</m:t>
              </m:r>
            </m:sup>
          </m:sSup>
        </m:oMath>
      </m:oMathPara>
    </w:p>
    <w:p w:rsidR="004F47BB" w:rsidRPr="004F47BB" w:rsidRDefault="004F47BB" w:rsidP="004F47BB">
      <w:pPr>
        <w:tabs>
          <w:tab w:val="left" w:pos="1418"/>
        </w:tabs>
        <w:overflowPunct w:val="0"/>
        <w:adjustRightInd w:val="0"/>
        <w:spacing w:line="240" w:lineRule="atLeast"/>
        <w:ind w:left="1417"/>
        <w:jc w:val="left"/>
        <w:textAlignment w:val="baseline"/>
        <w:rPr>
          <w:szCs w:val="20"/>
          <w:lang w:val="en-US"/>
        </w:rPr>
      </w:pP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r w:rsidRPr="004F47BB">
        <w:rPr>
          <w:szCs w:val="20"/>
          <w:lang w:val="en-US"/>
        </w:rPr>
        <w:t>f)</w:t>
      </w:r>
      <w:r w:rsidRPr="004F47BB">
        <w:rPr>
          <w:szCs w:val="20"/>
          <w:lang w:val="en-US"/>
        </w:rPr>
        <w:tab/>
        <w:t xml:space="preserve">Calculation of </w:t>
      </w:r>
      <m:oMath>
        <m:sSub>
          <m:sSubPr>
            <m:ctrlPr>
              <w:rPr>
                <w:rFonts w:ascii="Cambria Math" w:hAnsi="Cambria Math"/>
                <w:i/>
                <w:szCs w:val="20"/>
                <w:lang w:val="en-US"/>
              </w:rPr>
            </m:ctrlPr>
          </m:sSubPr>
          <m:e>
            <m:r>
              <w:rPr>
                <w:rFonts w:ascii="Cambria Math" w:hAnsi="Cambria Math"/>
                <w:szCs w:val="20"/>
                <w:lang w:val="en-US"/>
              </w:rPr>
              <m:t>F</m:t>
            </m:r>
          </m:e>
          <m:sub>
            <m:r>
              <w:rPr>
                <w:rFonts w:ascii="Cambria Math" w:hAnsi="Cambria Math"/>
                <w:szCs w:val="20"/>
                <w:lang w:val="en-US"/>
              </w:rPr>
              <m:t>POR</m:t>
            </m:r>
          </m:sub>
        </m:sSub>
      </m:oMath>
      <w:r w:rsidRPr="004F47BB">
        <w:rPr>
          <w:szCs w:val="20"/>
          <w:lang w:val="en-US"/>
        </w:rPr>
        <w:t xml:space="preserve"> according to formula (4.6) and table 2</w:t>
      </w:r>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p>
    <w:p w:rsidR="004F47BB" w:rsidRPr="004F47BB" w:rsidRDefault="00F12BAF" w:rsidP="004F47BB">
      <w:pPr>
        <w:overflowPunct w:val="0"/>
        <w:adjustRightInd w:val="0"/>
        <w:spacing w:line="240" w:lineRule="atLeast"/>
        <w:ind w:left="992"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F</m:t>
              </m:r>
            </m:e>
            <m:sub>
              <m:r>
                <w:rPr>
                  <w:rFonts w:ascii="Cambria Math" w:hAnsi="Cambria Math"/>
                  <w:szCs w:val="20"/>
                  <w:lang w:val="en-US"/>
                </w:rPr>
                <m:t>POR</m:t>
              </m:r>
            </m:sub>
          </m:sSub>
          <m:r>
            <w:rPr>
              <w:rFonts w:ascii="Cambria Math" w:hAnsi="Cambria Math"/>
              <w:szCs w:val="20"/>
              <w:lang w:val="en-US"/>
            </w:rPr>
            <m:t>=0,118 ∙1500=</m:t>
          </m:r>
          <m:r>
            <m:rPr>
              <m:sty m:val="bi"/>
            </m:rPr>
            <w:rPr>
              <w:rFonts w:ascii="Cambria Math" w:hAnsi="Cambria Math"/>
              <w:szCs w:val="20"/>
              <w:lang w:val="en-US"/>
            </w:rPr>
            <m:t xml:space="preserve">177 </m:t>
          </m:r>
          <m:d>
            <m:dPr>
              <m:begChr m:val="["/>
              <m:endChr m:val="]"/>
              <m:ctrlPr>
                <w:rPr>
                  <w:rFonts w:ascii="Cambria Math" w:hAnsi="Cambria Math"/>
                  <w:b/>
                  <w:i/>
                  <w:szCs w:val="20"/>
                  <w:lang w:val="en-US"/>
                </w:rPr>
              </m:ctrlPr>
            </m:dPr>
            <m:e>
              <m:r>
                <m:rPr>
                  <m:sty m:val="bi"/>
                </m:rPr>
                <w:rPr>
                  <w:rFonts w:ascii="Cambria Math" w:hAnsi="Cambria Math"/>
                  <w:szCs w:val="20"/>
                  <w:lang w:val="en-US"/>
                </w:rPr>
                <m:t>kN</m:t>
              </m:r>
            </m:e>
          </m:d>
        </m:oMath>
      </m:oMathPara>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r w:rsidRPr="004F47BB">
        <w:rPr>
          <w:szCs w:val="20"/>
          <w:lang w:val="en-US"/>
        </w:rPr>
        <w:t>g)</w:t>
      </w:r>
      <w:r w:rsidRPr="004F47BB">
        <w:rPr>
          <w:szCs w:val="20"/>
          <w:lang w:val="en-US"/>
        </w:rPr>
        <w:tab/>
        <w:t xml:space="preserve">Calculation of </w:t>
      </w: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IST</m:t>
                </m:r>
              </m:sub>
            </m:sSub>
          </m:sub>
        </m:sSub>
      </m:oMath>
      <w:r w:rsidRPr="004F47BB">
        <w:rPr>
          <w:szCs w:val="20"/>
          <w:lang w:val="en-US"/>
        </w:rPr>
        <w:t xml:space="preserve"> using formula (b) and the results of (c), (d), (e) and (f)</w:t>
      </w: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p>
    <w:p w:rsidR="004F47BB" w:rsidRPr="004F47BB" w:rsidRDefault="00F12BAF" w:rsidP="004F47BB">
      <w:pPr>
        <w:tabs>
          <w:tab w:val="left" w:pos="992"/>
        </w:tabs>
        <w:overflowPunct w:val="0"/>
        <w:adjustRightInd w:val="0"/>
        <w:spacing w:line="240" w:lineRule="atLeast"/>
        <w:ind w:left="992" w:firstLine="1"/>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IST</m:t>
                  </m:r>
                </m:sub>
              </m:sSub>
            </m:sub>
          </m:sSub>
          <m:r>
            <w:rPr>
              <w:rFonts w:ascii="Cambria Math" w:hAnsi="Cambria Math"/>
              <w:szCs w:val="20"/>
              <w:lang w:val="en-US"/>
            </w:rPr>
            <m:t xml:space="preserve">= </m:t>
          </m:r>
          <m:f>
            <m:fPr>
              <m:ctrlPr>
                <w:rPr>
                  <w:rFonts w:ascii="Cambria Math" w:hAnsi="Cambria Math"/>
                  <w:i/>
                  <w:szCs w:val="20"/>
                  <w:lang w:val="en-US"/>
                </w:rPr>
              </m:ctrlPr>
            </m:fPr>
            <m:num>
              <m:r>
                <w:rPr>
                  <w:rFonts w:ascii="Cambria Math" w:hAnsi="Cambria Math"/>
                  <w:szCs w:val="20"/>
                  <w:lang w:val="en-US"/>
                </w:rPr>
                <m:t xml:space="preserve">0,12 ∙8,85 ∙9,81 ∙  </m:t>
              </m:r>
              <m:d>
                <m:dPr>
                  <m:ctrlPr>
                    <w:rPr>
                      <w:rFonts w:ascii="Cambria Math" w:hAnsi="Cambria Math"/>
                      <w:i/>
                      <w:szCs w:val="20"/>
                      <w:lang w:val="en-US"/>
                    </w:rPr>
                  </m:ctrlPr>
                </m:dPr>
                <m:e>
                  <m:r>
                    <w:rPr>
                      <w:rFonts w:ascii="Cambria Math" w:hAnsi="Cambria Math"/>
                      <w:szCs w:val="20"/>
                      <w:lang w:val="en-US"/>
                    </w:rPr>
                    <m:t xml:space="preserve">0,48+ </m:t>
                  </m:r>
                  <m:f>
                    <m:fPr>
                      <m:ctrlPr>
                        <w:rPr>
                          <w:rFonts w:ascii="Cambria Math" w:hAnsi="Cambria Math"/>
                          <w:i/>
                          <w:szCs w:val="20"/>
                          <w:lang w:val="en-US"/>
                        </w:rPr>
                      </m:ctrlPr>
                    </m:fPr>
                    <m:num>
                      <m:r>
                        <w:rPr>
                          <w:rFonts w:ascii="Cambria Math" w:hAnsi="Cambria Math"/>
                          <w:szCs w:val="20"/>
                          <w:lang w:val="en-US"/>
                        </w:rPr>
                        <m:t>1,4</m:t>
                      </m:r>
                    </m:num>
                    <m:den>
                      <m:r>
                        <w:rPr>
                          <w:rFonts w:ascii="Cambria Math" w:hAnsi="Cambria Math"/>
                          <w:szCs w:val="20"/>
                          <w:lang w:val="en-US"/>
                        </w:rPr>
                        <m:t>2,97</m:t>
                      </m:r>
                    </m:den>
                  </m:f>
                </m:e>
              </m:d>
            </m:num>
            <m:den>
              <m:r>
                <w:rPr>
                  <w:rFonts w:ascii="Cambria Math" w:hAnsi="Cambria Math"/>
                  <w:szCs w:val="20"/>
                  <w:lang w:val="en-US"/>
                </w:rPr>
                <m:t>1,15 ∙177+28,8-8,13</m:t>
              </m:r>
            </m:den>
          </m:f>
          <m:r>
            <w:rPr>
              <w:rFonts w:ascii="Cambria Math" w:hAnsi="Cambria Math"/>
              <w:szCs w:val="20"/>
              <w:lang w:val="en-US"/>
            </w:rPr>
            <m:t xml:space="preserve"> ∙ 5179</m:t>
          </m:r>
        </m:oMath>
      </m:oMathPara>
    </w:p>
    <w:p w:rsidR="004F47BB" w:rsidRPr="004F47BB" w:rsidRDefault="004F47BB" w:rsidP="004F47BB">
      <w:pPr>
        <w:tabs>
          <w:tab w:val="left" w:pos="992"/>
        </w:tabs>
        <w:overflowPunct w:val="0"/>
        <w:adjustRightInd w:val="0"/>
        <w:spacing w:line="240" w:lineRule="atLeast"/>
        <w:ind w:left="992"/>
        <w:textAlignment w:val="baseline"/>
        <w:rPr>
          <w:szCs w:val="20"/>
          <w:lang w:val="en-US"/>
        </w:rPr>
      </w:pPr>
    </w:p>
    <w:p w:rsidR="004F47BB" w:rsidRPr="004F47BB" w:rsidRDefault="00F12BAF" w:rsidP="004F47BB">
      <w:pPr>
        <w:tabs>
          <w:tab w:val="left" w:pos="992"/>
        </w:tabs>
        <w:overflowPunct w:val="0"/>
        <w:adjustRightInd w:val="0"/>
        <w:spacing w:line="240" w:lineRule="atLeast"/>
        <w:ind w:left="992"/>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IST</m:t>
                  </m:r>
                </m:sub>
              </m:sSub>
            </m:sub>
          </m:sSub>
          <m:r>
            <w:rPr>
              <w:rFonts w:ascii="Cambria Math" w:hAnsi="Cambria Math"/>
              <w:szCs w:val="20"/>
              <w:lang w:val="en-US"/>
            </w:rPr>
            <m:t>=</m:t>
          </m:r>
          <m:r>
            <m:rPr>
              <m:sty m:val="bi"/>
            </m:rPr>
            <w:rPr>
              <w:rFonts w:ascii="Cambria Math" w:hAnsi="Cambria Math"/>
              <w:szCs w:val="20"/>
              <w:lang w:val="en-US"/>
            </w:rPr>
            <m:t>228,9 m</m:t>
          </m:r>
        </m:oMath>
      </m:oMathPara>
    </w:p>
    <w:p w:rsidR="004F47BB" w:rsidRPr="004F47BB" w:rsidRDefault="004F47BB" w:rsidP="004F47BB">
      <w:pPr>
        <w:tabs>
          <w:tab w:val="left" w:pos="992"/>
        </w:tabs>
        <w:overflowPunct w:val="0"/>
        <w:adjustRightInd w:val="0"/>
        <w:spacing w:line="240" w:lineRule="atLeast"/>
        <w:ind w:left="992"/>
        <w:textAlignment w:val="baseline"/>
        <w:rPr>
          <w:szCs w:val="20"/>
          <w:lang w:val="en-US"/>
        </w:rPr>
      </w:pP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r w:rsidRPr="004F47BB">
        <w:rPr>
          <w:szCs w:val="20"/>
          <w:lang w:val="en-US"/>
        </w:rPr>
        <w:t>h)</w:t>
      </w:r>
      <w:r w:rsidRPr="004F47BB">
        <w:rPr>
          <w:szCs w:val="20"/>
          <w:lang w:val="en-US"/>
        </w:rPr>
        <w:tab/>
        <w:t>Calculation of total distance according to formula (3.1)</w:t>
      </w: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p>
    <w:p w:rsidR="004F47BB" w:rsidRPr="004F47BB" w:rsidRDefault="00F12BAF" w:rsidP="004F47BB">
      <w:pPr>
        <w:tabs>
          <w:tab w:val="left" w:pos="992"/>
        </w:tabs>
        <w:overflowPunct w:val="0"/>
        <w:adjustRightInd w:val="0"/>
        <w:spacing w:line="240" w:lineRule="atLeast"/>
        <w:ind w:left="992"/>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m:t>
                  </m:r>
                </m:e>
                <m:sub>
                  <m:r>
                    <w:rPr>
                      <w:rFonts w:ascii="Cambria Math" w:hAnsi="Cambria Math"/>
                      <w:szCs w:val="20"/>
                      <w:lang w:val="en-US"/>
                    </w:rPr>
                    <m:t>IST</m:t>
                  </m:r>
                </m:sub>
              </m:sSub>
            </m:sub>
          </m:sSub>
          <m:r>
            <w:rPr>
              <w:rFonts w:ascii="Cambria Math" w:hAnsi="Cambria Math"/>
              <w:szCs w:val="20"/>
              <w:lang w:val="en-US"/>
            </w:rPr>
            <m:t>=74,51+228,9=</m:t>
          </m:r>
          <m:r>
            <m:rPr>
              <m:sty m:val="bi"/>
            </m:rPr>
            <w:rPr>
              <w:rFonts w:ascii="Cambria Math" w:hAnsi="Cambria Math"/>
              <w:szCs w:val="20"/>
              <w:lang w:val="en-US"/>
            </w:rPr>
            <m:t>303,4 m</m:t>
          </m:r>
        </m:oMath>
      </m:oMathPara>
    </w:p>
    <w:p w:rsidR="004F47BB" w:rsidRPr="004F47BB" w:rsidRDefault="004F47BB" w:rsidP="004F47BB">
      <w:pPr>
        <w:overflowPunct w:val="0"/>
        <w:adjustRightInd w:val="0"/>
        <w:spacing w:line="240" w:lineRule="exact"/>
        <w:ind w:leftChars="283" w:left="567" w:hanging="1"/>
        <w:jc w:val="left"/>
        <w:textAlignment w:val="baseline"/>
        <w:rPr>
          <w:szCs w:val="20"/>
          <w:lang w:val="en-US"/>
        </w:rPr>
      </w:pPr>
    </w:p>
    <w:p w:rsidR="004F47BB" w:rsidRPr="004F47BB" w:rsidRDefault="004F47BB" w:rsidP="004F47BB">
      <w:pPr>
        <w:tabs>
          <w:tab w:val="left" w:pos="454"/>
        </w:tabs>
        <w:overflowPunct w:val="0"/>
        <w:adjustRightInd w:val="0"/>
        <w:spacing w:line="240" w:lineRule="exact"/>
        <w:ind w:left="567" w:firstLine="0"/>
        <w:jc w:val="left"/>
        <w:textAlignment w:val="baseline"/>
        <w:rPr>
          <w:szCs w:val="20"/>
          <w:lang w:val="en-US"/>
        </w:rPr>
      </w:pPr>
      <w:r w:rsidRPr="004F47BB">
        <w:rPr>
          <w:b/>
          <w:szCs w:val="20"/>
          <w:lang w:val="en-US"/>
        </w:rPr>
        <w:t>Annotation</w:t>
      </w:r>
    </w:p>
    <w:p w:rsidR="004F47BB" w:rsidRPr="004F47BB" w:rsidRDefault="004F47BB" w:rsidP="004F47BB">
      <w:pPr>
        <w:tabs>
          <w:tab w:val="left" w:pos="454"/>
        </w:tabs>
        <w:overflowPunct w:val="0"/>
        <w:adjustRightInd w:val="0"/>
        <w:spacing w:line="240" w:lineRule="exact"/>
        <w:ind w:left="567" w:firstLine="0"/>
        <w:jc w:val="left"/>
        <w:textAlignment w:val="baseline"/>
        <w:rPr>
          <w:szCs w:val="20"/>
          <w:lang w:val="en-US"/>
        </w:rPr>
      </w:pPr>
    </w:p>
    <w:p w:rsidR="004F47BB" w:rsidRPr="004F47BB" w:rsidRDefault="004F47BB" w:rsidP="004F47BB">
      <w:pPr>
        <w:tabs>
          <w:tab w:val="left" w:pos="567"/>
        </w:tabs>
        <w:overflowPunct w:val="0"/>
        <w:adjustRightInd w:val="0"/>
        <w:spacing w:line="240" w:lineRule="atLeast"/>
        <w:ind w:left="567" w:firstLine="0"/>
        <w:textAlignment w:val="baseline"/>
        <w:rPr>
          <w:szCs w:val="20"/>
          <w:lang w:val="en-US"/>
        </w:rPr>
      </w:pPr>
      <w:r w:rsidRPr="004F47BB">
        <w:rPr>
          <w:i/>
          <w:iCs/>
          <w:noProof/>
          <w:lang w:val="en-US"/>
        </w:rPr>
        <w:t>Note:</w:t>
      </w:r>
      <w:r w:rsidRPr="004F47BB">
        <w:rPr>
          <w:noProof/>
          <w:lang w:val="en-US"/>
        </w:rPr>
        <w:t xml:space="preserve"> The term (</w:t>
      </w:r>
      <m:oMath>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TmII</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G</m:t>
            </m:r>
          </m:sub>
        </m:sSub>
      </m:oMath>
      <w:r w:rsidRPr="004F47BB">
        <w:rPr>
          <w:noProof/>
          <w:lang w:val="en-US"/>
        </w:rPr>
        <w:t xml:space="preserve">), which is a function of </w:t>
      </w:r>
      <m:oMath>
        <m:r>
          <w:rPr>
            <w:rFonts w:ascii="Cambria Math" w:hAnsi="Cambria Math"/>
            <w:noProof/>
            <w:lang w:val="en-US"/>
          </w:rPr>
          <m:t>D</m:t>
        </m:r>
      </m:oMath>
      <w:r w:rsidRPr="004F47BB">
        <w:rPr>
          <w:noProof/>
          <w:lang w:val="en-US"/>
        </w:rPr>
        <w:t xml:space="preserve">, with an actual value of 20,67 kN is obviously relatively small compared to </w:t>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lang w:val="en-US"/>
              </w:rPr>
              <m:t>3</m:t>
            </m:r>
          </m:sub>
        </m:sSub>
        <m:r>
          <w:rPr>
            <w:rFonts w:ascii="Cambria Math" w:hAnsi="Cambria Math"/>
            <w:szCs w:val="20"/>
            <w:lang w:val="en-US"/>
          </w:rPr>
          <m:t xml:space="preserve"> ∙ </m:t>
        </m:r>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oMath>
      <w:r w:rsidRPr="004F47BB">
        <w:rPr>
          <w:noProof/>
          <w:szCs w:val="20"/>
          <w:lang w:val="en-US"/>
        </w:rPr>
        <w:t xml:space="preserve"> </w:t>
      </w:r>
      <w:r w:rsidRPr="004F47BB">
        <w:rPr>
          <w:noProof/>
          <w:lang w:val="en-US"/>
        </w:rPr>
        <w:t xml:space="preserve">with an actual value of 203,55 kN, so for simplification purposes, </w:t>
      </w: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II</m:t>
            </m:r>
          </m:sub>
        </m:sSub>
      </m:oMath>
      <w:r w:rsidRPr="004F47BB">
        <w:rPr>
          <w:noProof/>
          <w:lang w:val="en-US"/>
        </w:rPr>
        <w:t xml:space="preserve"> can be taken as proportional to </w:t>
      </w:r>
      <m:oMath>
        <m:r>
          <w:rPr>
            <w:rFonts w:ascii="Cambria Math" w:hAnsi="Cambria Math"/>
            <w:noProof/>
            <w:lang w:val="en-US"/>
          </w:rPr>
          <m:t>D</m:t>
        </m:r>
      </m:oMath>
      <w:r w:rsidRPr="004F47BB">
        <w:rPr>
          <w:noProof/>
          <w:lang w:val="en-US"/>
        </w:rPr>
        <w:t xml:space="preserve">, i.e. </w:t>
      </w: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II</m:t>
            </m:r>
          </m:sub>
        </m:sSub>
        <m:r>
          <w:rPr>
            <w:rFonts w:ascii="Cambria Math" w:hAnsi="Cambria Math"/>
            <w:szCs w:val="20"/>
            <w:lang w:val="en-US"/>
          </w:rPr>
          <m:t>=</m:t>
        </m:r>
        <m:r>
          <w:rPr>
            <w:rFonts w:ascii="Cambria Math" w:hAnsi="Cambria Math"/>
            <w:szCs w:val="20"/>
          </w:rPr>
          <m:t>Const</m:t>
        </m:r>
        <m:r>
          <w:rPr>
            <w:rFonts w:ascii="Cambria Math" w:hAnsi="Cambria Math"/>
            <w:szCs w:val="20"/>
            <w:lang w:val="en-US"/>
          </w:rPr>
          <m:t xml:space="preserve"> ∙ </m:t>
        </m:r>
        <m:r>
          <w:rPr>
            <w:rFonts w:ascii="Cambria Math" w:hAnsi="Cambria Math"/>
            <w:szCs w:val="20"/>
          </w:rPr>
          <m:t>D</m:t>
        </m:r>
      </m:oMath>
      <w:r w:rsidRPr="004F47BB">
        <w:rPr>
          <w:noProof/>
          <w:lang w:val="en-US"/>
        </w:rPr>
        <w:t>.</w:t>
      </w:r>
    </w:p>
    <w:p w:rsidR="004F47BB" w:rsidRPr="004F47BB" w:rsidRDefault="004F47BB" w:rsidP="004F47BB">
      <w:pPr>
        <w:tabs>
          <w:tab w:val="left" w:pos="454"/>
        </w:tabs>
        <w:overflowPunct w:val="0"/>
        <w:adjustRightInd w:val="0"/>
        <w:spacing w:line="240" w:lineRule="exact"/>
        <w:ind w:leftChars="567" w:left="1588" w:hanging="454"/>
        <w:jc w:val="left"/>
        <w:textAlignment w:val="baseline"/>
        <w:rPr>
          <w:szCs w:val="20"/>
          <w:lang w:val="en-US"/>
        </w:rPr>
      </w:pPr>
      <w:r w:rsidRPr="004F47BB">
        <w:rPr>
          <w:szCs w:val="20"/>
          <w:lang w:val="en-US"/>
        </w:rPr>
        <w:br w:type="page"/>
      </w: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4.3</w:t>
      </w:r>
      <w:r w:rsidRPr="004F47BB">
        <w:rPr>
          <w:rFonts w:cs="Arial"/>
          <w:b/>
          <w:color w:val="000000"/>
          <w:szCs w:val="20"/>
          <w:lang w:val="en-US"/>
        </w:rPr>
        <w:tab/>
      </w:r>
      <w:r w:rsidRPr="004F47BB">
        <w:rPr>
          <w:rFonts w:cs="Arial"/>
          <w:b/>
          <w:noProof/>
          <w:color w:val="000000"/>
          <w:szCs w:val="20"/>
          <w:lang w:val="en-US"/>
        </w:rPr>
        <w:t xml:space="preserve">Calculation of </w:t>
      </w:r>
      <m:oMath>
        <m:sSub>
          <m:sSubPr>
            <m:ctrlPr>
              <w:rPr>
                <w:rFonts w:ascii="Cambria Math" w:hAnsi="Cambria Math"/>
                <w:i/>
                <w:noProof/>
                <w:lang w:val="en-US"/>
              </w:rPr>
            </m:ctrlPr>
          </m:sSubPr>
          <m:e>
            <m:r>
              <m:rPr>
                <m:sty m:val="bi"/>
              </m:rPr>
              <w:rPr>
                <w:rFonts w:ascii="Cambria Math" w:hAnsi="Cambria Math" w:cs="Arial"/>
                <w:noProof/>
                <w:color w:val="000000"/>
                <w:szCs w:val="20"/>
                <w:lang w:val="en-US"/>
              </w:rPr>
              <m:t>s</m:t>
            </m:r>
          </m:e>
          <m:sub>
            <m:r>
              <m:rPr>
                <m:sty m:val="bi"/>
              </m:rPr>
              <w:rPr>
                <w:rFonts w:ascii="Cambria Math" w:hAnsi="Cambria Math" w:cs="Arial"/>
                <w:noProof/>
                <w:color w:val="000000"/>
                <w:szCs w:val="20"/>
                <w:lang w:val="en-US"/>
              </w:rPr>
              <m:t>SOLL</m:t>
            </m:r>
          </m:sub>
        </m:sSub>
      </m:oMath>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567"/>
        </w:tabs>
        <w:overflowPunct w:val="0"/>
        <w:adjustRightInd w:val="0"/>
        <w:spacing w:line="240" w:lineRule="atLeast"/>
        <w:ind w:left="567" w:firstLine="0"/>
        <w:textAlignment w:val="baseline"/>
        <w:rPr>
          <w:szCs w:val="20"/>
          <w:lang w:val="en-US"/>
        </w:rPr>
      </w:pPr>
      <w:r w:rsidRPr="004F47BB">
        <w:rPr>
          <w:szCs w:val="20"/>
          <w:lang w:val="en-US"/>
        </w:rPr>
        <w:t>Initial values:</w:t>
      </w:r>
    </w:p>
    <w:p w:rsidR="004F47BB" w:rsidRPr="004F47BB" w:rsidRDefault="004F47BB" w:rsidP="004F47BB">
      <w:pPr>
        <w:tabs>
          <w:tab w:val="left" w:pos="567"/>
        </w:tabs>
        <w:overflowPunct w:val="0"/>
        <w:adjustRightInd w:val="0"/>
        <w:spacing w:line="240" w:lineRule="atLeast"/>
        <w:ind w:left="567" w:firstLine="0"/>
        <w:textAlignment w:val="baseline"/>
        <w:rPr>
          <w:szCs w:val="20"/>
          <w:lang w:val="en-US"/>
        </w:rPr>
      </w:pPr>
    </w:p>
    <w:p w:rsidR="004F47BB" w:rsidRPr="004F47BB" w:rsidRDefault="00F12BAF" w:rsidP="004F47BB">
      <w:pPr>
        <w:tabs>
          <w:tab w:val="left" w:pos="567"/>
          <w:tab w:val="left" w:pos="4962"/>
        </w:tabs>
        <w:overflowPunct w:val="0"/>
        <w:adjustRightInd w:val="0"/>
        <w:spacing w:line="240" w:lineRule="atLeast"/>
        <w:ind w:left="567" w:firstLine="0"/>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STR</m:t>
                </m:r>
              </m:e>
              <m:sub>
                <m:r>
                  <w:rPr>
                    <w:rFonts w:ascii="Cambria Math" w:hAnsi="Cambria Math"/>
                    <w:szCs w:val="20"/>
                    <w:lang w:val="en-US"/>
                  </w:rPr>
                  <m:t>SOLL</m:t>
                </m:r>
              </m:sub>
            </m:sSub>
          </m:sub>
        </m:sSub>
        <m:r>
          <w:rPr>
            <w:rFonts w:ascii="Cambria Math" w:hAnsi="Cambria Math"/>
            <w:szCs w:val="20"/>
            <w:lang w:val="en-US"/>
          </w:rPr>
          <m:t>=1,5 m/s  ≈  5,4  km/h</m:t>
        </m:r>
      </m:oMath>
      <w:r w:rsidR="004F47BB"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SOLL</m:t>
            </m:r>
          </m:sub>
        </m:sSub>
      </m:oMath>
      <w:r w:rsidR="004F47BB" w:rsidRPr="004F47BB">
        <w:rPr>
          <w:szCs w:val="20"/>
          <w:lang w:val="en-US"/>
        </w:rPr>
        <w:t xml:space="preserve"> = </w:t>
      </w:r>
      <m:oMath>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IST</m:t>
            </m:r>
          </m:sub>
        </m:sSub>
        <m:r>
          <w:rPr>
            <w:rFonts w:ascii="Cambria Math" w:hAnsi="Cambria Math"/>
            <w:szCs w:val="20"/>
            <w:lang w:val="en-US"/>
          </w:rPr>
          <m:t xml:space="preserve">=5179 </m:t>
        </m:r>
        <m:sSup>
          <m:sSupPr>
            <m:ctrlPr>
              <w:rPr>
                <w:rFonts w:ascii="Cambria Math" w:hAnsi="Cambria Math"/>
                <w:i/>
                <w:szCs w:val="20"/>
                <w:lang w:val="en-US"/>
              </w:rPr>
            </m:ctrlPr>
          </m:sSupPr>
          <m:e>
            <m:r>
              <w:rPr>
                <w:rFonts w:ascii="Cambria Math" w:hAnsi="Cambria Math"/>
                <w:szCs w:val="20"/>
                <w:lang w:val="en-US"/>
              </w:rPr>
              <m:t>m</m:t>
            </m:r>
          </m:e>
          <m:sup>
            <m:r>
              <w:rPr>
                <w:rFonts w:ascii="Cambria Math" w:hAnsi="Cambria Math"/>
                <w:szCs w:val="20"/>
                <w:lang w:val="en-US"/>
              </w:rPr>
              <m:t>3</m:t>
            </m:r>
          </m:sup>
        </m:sSup>
      </m:oMath>
    </w:p>
    <w:p w:rsidR="004F47BB" w:rsidRPr="004F47BB" w:rsidRDefault="004F47BB" w:rsidP="004F47BB">
      <w:pPr>
        <w:tabs>
          <w:tab w:val="left" w:pos="567"/>
        </w:tabs>
        <w:overflowPunct w:val="0"/>
        <w:adjustRightInd w:val="0"/>
        <w:spacing w:line="240" w:lineRule="atLeast"/>
        <w:ind w:left="567" w:firstLine="0"/>
        <w:textAlignment w:val="baseline"/>
        <w:rPr>
          <w:szCs w:val="20"/>
          <w:lang w:val="en-US"/>
        </w:rPr>
      </w:pPr>
    </w:p>
    <w:p w:rsidR="004F47BB" w:rsidRPr="004F47BB" w:rsidRDefault="00F12BAF" w:rsidP="004F47BB">
      <w:pPr>
        <w:tabs>
          <w:tab w:val="left" w:pos="567"/>
          <w:tab w:val="left" w:pos="4962"/>
        </w:tabs>
        <w:overflowPunct w:val="0"/>
        <w:adjustRightInd w:val="0"/>
        <w:spacing w:line="240" w:lineRule="atLeast"/>
        <w:ind w:left="567" w:firstLine="0"/>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SOLL</m:t>
                </m:r>
              </m:sub>
            </m:sSub>
          </m:sub>
        </m:sSub>
        <m:r>
          <w:rPr>
            <w:rFonts w:ascii="Cambria Math" w:hAnsi="Cambria Math"/>
            <w:szCs w:val="20"/>
            <w:lang w:val="en-US"/>
          </w:rPr>
          <m:t>=3,6 m/s  ≈  13  km/h</m:t>
        </m:r>
      </m:oMath>
      <w:r w:rsidR="004F47BB"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SOLL</m:t>
            </m:r>
          </m:sub>
        </m:sSub>
      </m:oMath>
      <w:r w:rsidR="004F47BB" w:rsidRPr="004F47BB">
        <w:rPr>
          <w:szCs w:val="20"/>
          <w:lang w:val="en-US"/>
        </w:rPr>
        <w:t xml:space="preserve"> = </w:t>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IST</m:t>
            </m:r>
          </m:sub>
        </m:sSub>
        <m:r>
          <w:rPr>
            <w:rFonts w:ascii="Cambria Math" w:hAnsi="Cambria Math"/>
            <w:szCs w:val="20"/>
            <w:lang w:val="en-US"/>
          </w:rPr>
          <m:t>=2,96 m</m:t>
        </m:r>
      </m:oMath>
    </w:p>
    <w:p w:rsidR="004F47BB" w:rsidRPr="004F47BB" w:rsidRDefault="004F47BB" w:rsidP="004F47BB">
      <w:pPr>
        <w:tabs>
          <w:tab w:val="left" w:pos="567"/>
        </w:tabs>
        <w:overflowPunct w:val="0"/>
        <w:adjustRightInd w:val="0"/>
        <w:spacing w:line="240" w:lineRule="atLeast"/>
        <w:ind w:left="567" w:firstLine="0"/>
        <w:textAlignment w:val="baseline"/>
        <w:rPr>
          <w:szCs w:val="20"/>
          <w:lang w:val="en-US"/>
        </w:rPr>
      </w:pPr>
    </w:p>
    <w:p w:rsidR="004F47BB" w:rsidRPr="004F47BB" w:rsidRDefault="00F12BAF" w:rsidP="004F47BB">
      <w:pPr>
        <w:tabs>
          <w:tab w:val="left" w:pos="567"/>
        </w:tabs>
        <w:overflowPunct w:val="0"/>
        <w:adjustRightInd w:val="0"/>
        <w:spacing w:line="240" w:lineRule="atLeast"/>
        <w:ind w:left="567" w:firstLine="0"/>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L</m:t>
                  </m:r>
                </m:e>
                <m:sub>
                  <m:r>
                    <w:rPr>
                      <w:rFonts w:ascii="Cambria Math" w:hAnsi="Cambria Math"/>
                      <w:szCs w:val="20"/>
                      <w:lang w:val="en-US"/>
                    </w:rPr>
                    <m:t>SOLL</m:t>
                  </m:r>
                </m:sub>
              </m:sSub>
            </m:sub>
          </m:sSub>
          <m:r>
            <w:rPr>
              <w:rFonts w:ascii="Cambria Math" w:hAnsi="Cambria Math"/>
              <w:szCs w:val="20"/>
              <w:lang w:val="en-US"/>
            </w:rPr>
            <m:t>=5,1 m/s  ≈  18,4  km/h</m:t>
          </m:r>
        </m:oMath>
      </m:oMathPara>
    </w:p>
    <w:p w:rsidR="004F47BB" w:rsidRPr="004F47BB" w:rsidRDefault="004F47BB" w:rsidP="004F47BB">
      <w:pPr>
        <w:tabs>
          <w:tab w:val="left" w:pos="567"/>
          <w:tab w:val="left" w:pos="1701"/>
          <w:tab w:val="left" w:pos="1985"/>
          <w:tab w:val="left" w:pos="2835"/>
          <w:tab w:val="left" w:pos="4962"/>
          <w:tab w:val="left" w:pos="5812"/>
          <w:tab w:val="left" w:pos="6096"/>
          <w:tab w:val="left" w:pos="6663"/>
          <w:tab w:val="left" w:pos="7088"/>
        </w:tabs>
        <w:overflowPunct w:val="0"/>
        <w:adjustRightInd w:val="0"/>
        <w:spacing w:line="240" w:lineRule="atLeast"/>
        <w:ind w:left="567" w:firstLine="0"/>
        <w:textAlignment w:val="baseline"/>
        <w:rPr>
          <w:szCs w:val="20"/>
          <w:lang w:val="en-GB"/>
        </w:rPr>
      </w:pPr>
    </w:p>
    <w:p w:rsidR="004F47BB" w:rsidRPr="004F47BB" w:rsidRDefault="004F47BB" w:rsidP="004F47BB">
      <w:pPr>
        <w:tabs>
          <w:tab w:val="left" w:pos="992"/>
          <w:tab w:val="left" w:pos="1843"/>
          <w:tab w:val="left" w:pos="2127"/>
        </w:tabs>
        <w:overflowPunct w:val="0"/>
        <w:adjustRightInd w:val="0"/>
        <w:spacing w:line="240" w:lineRule="atLeast"/>
        <w:ind w:left="992"/>
        <w:textAlignment w:val="baseline"/>
        <w:rPr>
          <w:szCs w:val="20"/>
          <w:lang w:val="en-GB"/>
        </w:rPr>
      </w:pPr>
      <w:r w:rsidRPr="004F47BB">
        <w:rPr>
          <w:szCs w:val="20"/>
          <w:lang w:val="en-GB"/>
        </w:rPr>
        <w:t>a)</w:t>
      </w:r>
      <w:r w:rsidRPr="004F47BB">
        <w:rPr>
          <w:szCs w:val="20"/>
          <w:lang w:val="en-GB"/>
        </w:rPr>
        <w:tab/>
      </w: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m:t>
                </m:r>
              </m:e>
              <m:sub>
                <m:r>
                  <w:rPr>
                    <w:rFonts w:ascii="Cambria Math" w:hAnsi="Cambria Math"/>
                    <w:szCs w:val="20"/>
                    <w:lang w:val="en-US"/>
                  </w:rPr>
                  <m:t>SOLL</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1</m:t>
            </m:r>
          </m:sub>
        </m:sSub>
        <m:r>
          <w:rPr>
            <w:rFonts w:ascii="Cambria Math" w:hAnsi="Cambria Math"/>
            <w:szCs w:val="20"/>
            <w:lang w:val="en-US"/>
          </w:rPr>
          <m:t xml:space="preserve"> ∙ </m:t>
        </m:r>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L</m:t>
                </m:r>
              </m:e>
              <m:sub>
                <m:r>
                  <w:rPr>
                    <w:rFonts w:ascii="Cambria Math" w:hAnsi="Cambria Math"/>
                    <w:szCs w:val="20"/>
                    <w:lang w:val="en-US"/>
                  </w:rPr>
                  <m:t>SOLL</m:t>
                </m:r>
              </m:sub>
            </m:sSub>
          </m:sub>
        </m:sSub>
        <m:r>
          <w:rPr>
            <w:rFonts w:ascii="Cambria Math" w:hAnsi="Cambria Math"/>
            <w:szCs w:val="20"/>
            <w:lang w:val="en-US"/>
          </w:rPr>
          <m:t xml:space="preserve"> ∙ </m:t>
        </m:r>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I</m:t>
            </m:r>
          </m:sub>
        </m:sSub>
      </m:oMath>
    </w:p>
    <w:p w:rsidR="004F47BB" w:rsidRPr="004F47BB" w:rsidRDefault="004F47BB" w:rsidP="004F47BB">
      <w:pPr>
        <w:tabs>
          <w:tab w:val="left" w:pos="992"/>
          <w:tab w:val="left" w:pos="1843"/>
          <w:tab w:val="left" w:pos="2127"/>
        </w:tabs>
        <w:overflowPunct w:val="0"/>
        <w:adjustRightInd w:val="0"/>
        <w:spacing w:line="240" w:lineRule="atLeast"/>
        <w:ind w:left="992"/>
        <w:textAlignment w:val="baseline"/>
        <w:rPr>
          <w:szCs w:val="20"/>
          <w:lang w:val="en-GB"/>
        </w:rPr>
      </w:pPr>
    </w:p>
    <w:p w:rsidR="004F47BB" w:rsidRPr="004F47BB" w:rsidRDefault="00F12BAF" w:rsidP="004F47BB">
      <w:pPr>
        <w:tabs>
          <w:tab w:val="left" w:pos="992"/>
          <w:tab w:val="left" w:pos="1843"/>
          <w:tab w:val="left" w:pos="2127"/>
        </w:tabs>
        <w:overflowPunct w:val="0"/>
        <w:adjustRightInd w:val="0"/>
        <w:spacing w:line="240" w:lineRule="atLeast"/>
        <w:ind w:left="992" w:firstLine="1"/>
        <w:textAlignment w:val="baseline"/>
        <w:rPr>
          <w:szCs w:val="20"/>
          <w:lang w:val="en-GB"/>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m:t>
                  </m:r>
                </m:e>
                <m:sub>
                  <m:r>
                    <w:rPr>
                      <w:rFonts w:ascii="Cambria Math" w:hAnsi="Cambria Math"/>
                      <w:szCs w:val="20"/>
                      <w:lang w:val="en-US"/>
                    </w:rPr>
                    <m:t>SOLL</m:t>
                  </m:r>
                </m:sub>
              </m:sSub>
            </m:sub>
          </m:sSub>
          <m:r>
            <w:rPr>
              <w:rFonts w:ascii="Cambria Math" w:hAnsi="Cambria Math"/>
              <w:szCs w:val="20"/>
              <w:lang w:val="en-US"/>
            </w:rPr>
            <m:t>=0,95 ∙5,1 ∙16=</m:t>
          </m:r>
          <m:r>
            <m:rPr>
              <m:sty m:val="bi"/>
            </m:rPr>
            <w:rPr>
              <w:rFonts w:ascii="Cambria Math" w:hAnsi="Cambria Math"/>
              <w:szCs w:val="20"/>
              <w:lang w:val="en-US"/>
            </w:rPr>
            <m:t>77,50 m</m:t>
          </m:r>
        </m:oMath>
      </m:oMathPara>
    </w:p>
    <w:p w:rsidR="004F47BB" w:rsidRPr="004F47BB" w:rsidRDefault="004F47BB" w:rsidP="004F47BB">
      <w:pPr>
        <w:tabs>
          <w:tab w:val="left" w:pos="284"/>
          <w:tab w:val="left" w:pos="851"/>
          <w:tab w:val="left" w:pos="1134"/>
          <w:tab w:val="left" w:pos="1843"/>
          <w:tab w:val="left" w:pos="2268"/>
          <w:tab w:val="left" w:pos="3261"/>
        </w:tabs>
        <w:overflowPunct w:val="0"/>
        <w:adjustRightInd w:val="0"/>
        <w:spacing w:line="240" w:lineRule="exact"/>
        <w:ind w:left="284" w:hanging="284"/>
        <w:jc w:val="left"/>
        <w:textAlignment w:val="baseline"/>
        <w:rPr>
          <w:szCs w:val="20"/>
          <w:lang w:val="en-GB"/>
        </w:rPr>
      </w:pPr>
    </w:p>
    <w:p w:rsidR="004F47BB" w:rsidRPr="004F47BB" w:rsidRDefault="004F47BB" w:rsidP="004F47BB">
      <w:pPr>
        <w:tabs>
          <w:tab w:val="left" w:pos="1843"/>
          <w:tab w:val="left" w:pos="2127"/>
          <w:tab w:val="center" w:pos="5103"/>
          <w:tab w:val="left" w:pos="6804"/>
          <w:tab w:val="center" w:pos="7938"/>
        </w:tabs>
        <w:overflowPunct w:val="0"/>
        <w:adjustRightInd w:val="0"/>
        <w:spacing w:line="240" w:lineRule="atLeast"/>
        <w:ind w:left="992"/>
        <w:textAlignment w:val="baseline"/>
        <w:rPr>
          <w:szCs w:val="20"/>
          <w:lang w:val="en-GB"/>
        </w:rPr>
      </w:pPr>
      <w:r w:rsidRPr="004F47BB">
        <w:rPr>
          <w:szCs w:val="20"/>
          <w:lang w:val="en-GB"/>
        </w:rPr>
        <w:t>b)</w:t>
      </w:r>
      <w:r w:rsidRPr="004F47BB">
        <w:rPr>
          <w:szCs w:val="20"/>
          <w:lang w:val="en-GB"/>
        </w:rPr>
        <w:tab/>
      </w: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2</m:t>
            </m:r>
          </m:sub>
        </m:sSub>
        <m:r>
          <w:rPr>
            <w:rFonts w:ascii="Cambria Math" w:hAnsi="Cambria Math"/>
            <w:szCs w:val="20"/>
            <w:lang w:val="en-US"/>
          </w:rPr>
          <m:t xml:space="preserve"> ∙ </m:t>
        </m:r>
        <m:sSub>
          <m:sSubPr>
            <m:ctrlPr>
              <w:rPr>
                <w:rFonts w:ascii="Cambria Math" w:hAnsi="Cambria Math"/>
                <w:i/>
                <w:szCs w:val="20"/>
                <w:lang w:val="en-US"/>
              </w:rPr>
            </m:ctrlPr>
          </m:sSubPr>
          <m:e>
            <m:sSup>
              <m:sSupPr>
                <m:ctrlPr>
                  <w:rPr>
                    <w:rFonts w:ascii="Cambria Math" w:hAnsi="Cambria Math"/>
                    <w:i/>
                    <w:szCs w:val="20"/>
                    <w:lang w:val="en-US"/>
                  </w:rPr>
                </m:ctrlPr>
              </m:sSupPr>
              <m:e>
                <m:r>
                  <w:rPr>
                    <w:rFonts w:ascii="Cambria Math" w:hAnsi="Cambria Math"/>
                    <w:szCs w:val="20"/>
                    <w:lang w:val="en-US"/>
                  </w:rPr>
                  <m:t>v</m:t>
                </m:r>
              </m:e>
              <m:sup>
                <m:r>
                  <w:rPr>
                    <w:rFonts w:ascii="Cambria Math" w:hAnsi="Cambria Math"/>
                    <w:szCs w:val="20"/>
                    <w:lang w:val="en-US"/>
                  </w:rPr>
                  <m:t>2</m:t>
                </m:r>
              </m:sup>
            </m:sSup>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r>
          <w:rPr>
            <w:rFonts w:ascii="Cambria Math" w:hAnsi="Cambria Math"/>
            <w:szCs w:val="20"/>
            <w:lang w:val="en-US"/>
          </w:rPr>
          <m:t xml:space="preserve"> ∙ </m:t>
        </m:r>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SOLL</m:t>
                </m:r>
              </m:sub>
            </m:sSub>
            <m:r>
              <w:rPr>
                <w:rFonts w:ascii="Cambria Math" w:hAnsi="Cambria Math"/>
                <w:szCs w:val="20"/>
                <w:lang w:val="en-US"/>
              </w:rPr>
              <m:t xml:space="preserve"> ∙  g</m:t>
            </m:r>
          </m:num>
          <m:den>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3</m:t>
                </m:r>
              </m:sub>
            </m:sSub>
            <m:r>
              <w:rPr>
                <w:rFonts w:ascii="Cambria Math" w:hAnsi="Cambria Math"/>
                <w:szCs w:val="20"/>
                <w:lang w:val="en-US"/>
              </w:rPr>
              <m:t xml:space="preserve"> ∙ </m:t>
            </m:r>
            <m:sSub>
              <m:sSubPr>
                <m:ctrlPr>
                  <w:rPr>
                    <w:rFonts w:ascii="Cambria Math" w:hAnsi="Cambria Math"/>
                    <w:i/>
                    <w:szCs w:val="20"/>
                    <w:lang w:val="en-US"/>
                  </w:rPr>
                </m:ctrlPr>
              </m:sSubPr>
              <m:e>
                <m:r>
                  <w:rPr>
                    <w:rFonts w:ascii="Cambria Math" w:hAnsi="Cambria Math"/>
                    <w:szCs w:val="20"/>
                    <w:lang w:val="en-US"/>
                  </w:rPr>
                  <m:t>F</m:t>
                </m:r>
              </m:e>
              <m:sub>
                <m:r>
                  <w:rPr>
                    <w:rFonts w:ascii="Cambria Math" w:hAnsi="Cambria Math"/>
                    <w:szCs w:val="20"/>
                    <w:lang w:val="en-US"/>
                  </w:rPr>
                  <m:t>POR</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R</m:t>
                </m:r>
              </m:e>
              <m:sub>
                <m:sSub>
                  <m:sSubPr>
                    <m:ctrlPr>
                      <w:rPr>
                        <w:rFonts w:ascii="Cambria Math" w:hAnsi="Cambria Math"/>
                        <w:i/>
                        <w:szCs w:val="20"/>
                        <w:lang w:val="en-US"/>
                      </w:rPr>
                    </m:ctrlPr>
                  </m:sSubPr>
                  <m:e>
                    <m:r>
                      <w:rPr>
                        <w:rFonts w:ascii="Cambria Math" w:hAnsi="Cambria Math"/>
                        <w:szCs w:val="20"/>
                        <w:lang w:val="en-US"/>
                      </w:rPr>
                      <m:t>TmII</m:t>
                    </m:r>
                  </m:e>
                  <m:sub>
                    <m:r>
                      <w:rPr>
                        <w:rFonts w:ascii="Cambria Math" w:hAnsi="Cambria Math"/>
                        <w:szCs w:val="20"/>
                        <w:lang w:val="en-US"/>
                      </w:rPr>
                      <m:t>SOLL</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G</m:t>
                </m:r>
              </m:sub>
            </m:sSub>
          </m:den>
        </m:f>
        <m:r>
          <w:rPr>
            <w:rFonts w:ascii="Cambria Math" w:hAnsi="Cambria Math"/>
            <w:szCs w:val="20"/>
            <w:lang w:val="en-US"/>
          </w:rPr>
          <m:t xml:space="preserve"> ∙ </m:t>
        </m:r>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4</m:t>
                </m:r>
              </m:sub>
            </m:sSub>
            <m:r>
              <w:rPr>
                <w:rFonts w:ascii="Cambria Math" w:hAnsi="Cambria Math"/>
                <w:szCs w:val="20"/>
                <w:lang w:val="en-US"/>
              </w:rPr>
              <m:t xml:space="preserve">+ </m:t>
            </m:r>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STR</m:t>
                        </m:r>
                      </m:e>
                      <m:sub>
                        <m:r>
                          <w:rPr>
                            <w:rFonts w:ascii="Cambria Math" w:hAnsi="Cambria Math"/>
                            <w:szCs w:val="20"/>
                            <w:lang w:val="en-US"/>
                          </w:rPr>
                          <m:t>SOLL</m:t>
                        </m:r>
                      </m:sub>
                    </m:sSub>
                  </m:sub>
                </m:sSub>
              </m:num>
              <m:den>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den>
            </m:f>
          </m:e>
        </m:d>
      </m:oMath>
    </w:p>
    <w:p w:rsidR="004F47BB" w:rsidRPr="004F47BB" w:rsidRDefault="004F47BB" w:rsidP="004F47BB">
      <w:pPr>
        <w:tabs>
          <w:tab w:val="left" w:pos="1843"/>
          <w:tab w:val="left" w:pos="2127"/>
          <w:tab w:val="center" w:pos="5103"/>
          <w:tab w:val="left" w:pos="6804"/>
          <w:tab w:val="center" w:pos="7938"/>
        </w:tabs>
        <w:overflowPunct w:val="0"/>
        <w:adjustRightInd w:val="0"/>
        <w:spacing w:line="240" w:lineRule="atLeast"/>
        <w:ind w:left="992"/>
        <w:textAlignment w:val="baseline"/>
        <w:rPr>
          <w:szCs w:val="20"/>
          <w:lang w:val="en-GB"/>
        </w:rPr>
      </w:pPr>
    </w:p>
    <w:p w:rsidR="004F47BB" w:rsidRPr="004F47BB" w:rsidRDefault="004F47BB" w:rsidP="004F47BB">
      <w:pPr>
        <w:tabs>
          <w:tab w:val="left" w:pos="992"/>
        </w:tabs>
        <w:overflowPunct w:val="0"/>
        <w:adjustRightInd w:val="0"/>
        <w:spacing w:before="60" w:line="240" w:lineRule="atLeast"/>
        <w:ind w:left="992"/>
        <w:textAlignment w:val="baseline"/>
        <w:rPr>
          <w:szCs w:val="20"/>
          <w:lang w:val="en-GB"/>
        </w:rPr>
      </w:pPr>
      <w:r w:rsidRPr="004F47BB">
        <w:rPr>
          <w:szCs w:val="20"/>
          <w:lang w:val="en-GB"/>
        </w:rPr>
        <w:t>c)</w:t>
      </w:r>
      <w:r w:rsidRPr="004F47BB">
        <w:rPr>
          <w:szCs w:val="20"/>
          <w:lang w:val="en-GB"/>
        </w:rPr>
        <w:tab/>
        <w:t xml:space="preserve">Calculation of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TmII</m:t>
                </m:r>
              </m:sub>
            </m:sSub>
          </m:e>
          <m:sub>
            <m:r>
              <w:rPr>
                <w:rFonts w:ascii="Cambria Math" w:hAnsi="Cambria Math"/>
                <w:noProof/>
                <w:lang w:val="en-US"/>
              </w:rPr>
              <m:t>SOLL</m:t>
            </m:r>
          </m:sub>
        </m:sSub>
      </m:oMath>
    </w:p>
    <w:p w:rsidR="004F47BB" w:rsidRPr="004F47BB" w:rsidRDefault="004F47BB" w:rsidP="004F47BB">
      <w:pPr>
        <w:overflowPunct w:val="0"/>
        <w:adjustRightInd w:val="0"/>
        <w:spacing w:line="240" w:lineRule="atLeast"/>
        <w:ind w:left="993" w:firstLine="0"/>
        <w:jc w:val="left"/>
        <w:textAlignment w:val="baseline"/>
        <w:rPr>
          <w:szCs w:val="20"/>
          <w:lang w:val="en-GB"/>
        </w:rPr>
      </w:pPr>
    </w:p>
    <w:p w:rsidR="004F47BB" w:rsidRPr="004F47BB" w:rsidRDefault="00F12BAF" w:rsidP="004F47BB">
      <w:pPr>
        <w:overflowPunct w:val="0"/>
        <w:adjustRightInd w:val="0"/>
        <w:spacing w:line="240" w:lineRule="atLeast"/>
        <w:ind w:left="993" w:firstLine="0"/>
        <w:jc w:val="left"/>
        <w:textAlignment w:val="baseline"/>
        <w:rPr>
          <w:szCs w:val="20"/>
          <w:lang w:val="en-GB"/>
        </w:rPr>
      </w:pPr>
      <m:oMath>
        <m:f>
          <m:fPr>
            <m:ctrlPr>
              <w:rPr>
                <w:rFonts w:ascii="Cambria Math" w:hAnsi="Cambria Math"/>
                <w:i/>
                <w:szCs w:val="20"/>
                <w:lang w:val="en-GB"/>
              </w:rPr>
            </m:ctrlPr>
          </m:fPr>
          <m:num>
            <m:sSub>
              <m:sSubPr>
                <m:ctrlPr>
                  <w:rPr>
                    <w:rFonts w:ascii="Cambria Math" w:hAnsi="Cambria Math"/>
                    <w:i/>
                    <w:szCs w:val="20"/>
                    <w:lang w:val="en-GB"/>
                  </w:rPr>
                </m:ctrlPr>
              </m:sSubPr>
              <m:e>
                <m:r>
                  <w:rPr>
                    <w:rFonts w:ascii="Cambria Math" w:hAnsi="Cambria Math"/>
                    <w:szCs w:val="20"/>
                    <w:lang w:val="en-GB"/>
                  </w:rPr>
                  <m:t>R</m:t>
                </m:r>
              </m:e>
              <m:sub>
                <m:r>
                  <w:rPr>
                    <w:rFonts w:ascii="Cambria Math" w:hAnsi="Cambria Math"/>
                    <w:szCs w:val="20"/>
                    <w:lang w:val="en-GB"/>
                  </w:rPr>
                  <m:t>T</m:t>
                </m:r>
              </m:sub>
            </m:sSub>
          </m:num>
          <m:den>
            <m:sSup>
              <m:sSupPr>
                <m:ctrlPr>
                  <w:rPr>
                    <w:rFonts w:ascii="Cambria Math" w:hAnsi="Cambria Math"/>
                    <w:i/>
                    <w:szCs w:val="20"/>
                    <w:lang w:val="en-GB"/>
                  </w:rPr>
                </m:ctrlPr>
              </m:sSupPr>
              <m:e>
                <m:r>
                  <w:rPr>
                    <w:rFonts w:ascii="Cambria Math" w:hAnsi="Cambria Math"/>
                    <w:szCs w:val="20"/>
                    <w:lang w:val="en-GB"/>
                  </w:rPr>
                  <m:t>v</m:t>
                </m:r>
              </m:e>
              <m:sup>
                <m:r>
                  <w:rPr>
                    <w:rFonts w:ascii="Cambria Math" w:hAnsi="Cambria Math"/>
                    <w:szCs w:val="20"/>
                    <w:lang w:val="en-GB"/>
                  </w:rPr>
                  <m:t>2</m:t>
                </m:r>
              </m:sup>
            </m:sSup>
          </m:den>
        </m:f>
        <m:r>
          <w:rPr>
            <w:rFonts w:ascii="Cambria Math" w:hAnsi="Cambria Math"/>
            <w:szCs w:val="20"/>
            <w:lang w:val="en-GB"/>
          </w:rPr>
          <m:t xml:space="preserve">=10,8 </m:t>
        </m:r>
        <m:d>
          <m:dPr>
            <m:ctrlPr>
              <w:rPr>
                <w:rFonts w:ascii="Cambria Math" w:hAnsi="Cambria Math"/>
                <w:i/>
                <w:szCs w:val="20"/>
                <w:lang w:val="en-GB"/>
              </w:rPr>
            </m:ctrlPr>
          </m:dPr>
          <m:e>
            <m:f>
              <m:fPr>
                <m:ctrlPr>
                  <w:rPr>
                    <w:rFonts w:ascii="Cambria Math" w:hAnsi="Cambria Math"/>
                    <w:i/>
                    <w:szCs w:val="20"/>
                    <w:lang w:val="en-GB"/>
                  </w:rPr>
                </m:ctrlPr>
              </m:fPr>
              <m:num>
                <m:r>
                  <w:rPr>
                    <w:rFonts w:ascii="Cambria Math" w:hAnsi="Cambria Math"/>
                    <w:szCs w:val="20"/>
                    <w:lang w:val="en-GB"/>
                  </w:rPr>
                  <m:t xml:space="preserve">kN ∙ </m:t>
                </m:r>
                <m:sSup>
                  <m:sSupPr>
                    <m:ctrlPr>
                      <w:rPr>
                        <w:rFonts w:ascii="Cambria Math" w:hAnsi="Cambria Math"/>
                        <w:i/>
                        <w:szCs w:val="20"/>
                        <w:lang w:val="en-GB"/>
                      </w:rPr>
                    </m:ctrlPr>
                  </m:sSupPr>
                  <m:e>
                    <m:r>
                      <w:rPr>
                        <w:rFonts w:ascii="Cambria Math" w:hAnsi="Cambria Math"/>
                        <w:szCs w:val="20"/>
                        <w:lang w:val="en-GB"/>
                      </w:rPr>
                      <m:t>s</m:t>
                    </m:r>
                  </m:e>
                  <m:sup>
                    <m:r>
                      <w:rPr>
                        <w:rFonts w:ascii="Cambria Math" w:hAnsi="Cambria Math"/>
                        <w:szCs w:val="20"/>
                        <w:lang w:val="en-GB"/>
                      </w:rPr>
                      <m:t>2</m:t>
                    </m:r>
                  </m:sup>
                </m:sSup>
              </m:num>
              <m:den>
                <m:sSup>
                  <m:sSupPr>
                    <m:ctrlPr>
                      <w:rPr>
                        <w:rFonts w:ascii="Cambria Math" w:hAnsi="Cambria Math"/>
                        <w:i/>
                        <w:szCs w:val="20"/>
                        <w:lang w:val="en-GB"/>
                      </w:rPr>
                    </m:ctrlPr>
                  </m:sSupPr>
                  <m:e>
                    <m:r>
                      <w:rPr>
                        <w:rFonts w:ascii="Cambria Math" w:hAnsi="Cambria Math"/>
                        <w:szCs w:val="20"/>
                        <w:lang w:val="en-GB"/>
                      </w:rPr>
                      <m:t>m</m:t>
                    </m:r>
                  </m:e>
                  <m:sup>
                    <m:r>
                      <w:rPr>
                        <w:rFonts w:ascii="Cambria Math" w:hAnsi="Cambria Math"/>
                        <w:szCs w:val="20"/>
                        <w:lang w:val="en-GB"/>
                      </w:rPr>
                      <m:t>2</m:t>
                    </m:r>
                  </m:sup>
                </m:sSup>
              </m:den>
            </m:f>
          </m:e>
        </m:d>
      </m:oMath>
      <w:r w:rsidR="004F47BB" w:rsidRPr="004F47BB">
        <w:rPr>
          <w:szCs w:val="20"/>
          <w:lang w:val="en-GB"/>
        </w:rPr>
        <w:tab/>
      </w:r>
      <w:r w:rsidR="004F47BB" w:rsidRPr="004F47BB">
        <w:rPr>
          <w:szCs w:val="20"/>
          <w:lang w:val="en-US"/>
        </w:rPr>
        <w:t xml:space="preserve">as in (4.2), since </w:t>
      </w:r>
      <m:oMath>
        <m:r>
          <w:rPr>
            <w:rFonts w:ascii="Cambria Math" w:hAnsi="Cambria Math"/>
            <w:szCs w:val="20"/>
            <w:lang w:val="en-US"/>
          </w:rPr>
          <m:t>B</m:t>
        </m:r>
      </m:oMath>
      <w:r w:rsidR="004F47BB" w:rsidRPr="004F47BB">
        <w:rPr>
          <w:szCs w:val="20"/>
          <w:lang w:val="en-US"/>
        </w:rPr>
        <w:t xml:space="preserve">, </w:t>
      </w:r>
      <m:oMath>
        <m:r>
          <w:rPr>
            <w:rFonts w:ascii="Cambria Math" w:hAnsi="Cambria Math"/>
            <w:szCs w:val="20"/>
            <w:lang w:val="en-US"/>
          </w:rPr>
          <m:t>D</m:t>
        </m:r>
      </m:oMath>
      <w:r w:rsidR="004F47BB" w:rsidRPr="004F47BB">
        <w:rPr>
          <w:szCs w:val="20"/>
          <w:lang w:val="en-US"/>
        </w:rPr>
        <w:t xml:space="preserve"> and </w:t>
      </w:r>
      <m:oMath>
        <m:r>
          <w:rPr>
            <w:rFonts w:ascii="Cambria Math" w:hAnsi="Cambria Math"/>
            <w:szCs w:val="20"/>
            <w:lang w:val="en-US"/>
          </w:rPr>
          <m:t>T</m:t>
        </m:r>
      </m:oMath>
      <w:r w:rsidR="004F47BB" w:rsidRPr="004F47BB">
        <w:rPr>
          <w:szCs w:val="20"/>
          <w:lang w:val="en-US"/>
        </w:rPr>
        <w:t xml:space="preserve"> are unchanged</w:t>
      </w:r>
    </w:p>
    <w:p w:rsidR="004F47BB" w:rsidRPr="004F47BB" w:rsidRDefault="004F47BB" w:rsidP="004F47BB">
      <w:pPr>
        <w:overflowPunct w:val="0"/>
        <w:adjustRightInd w:val="0"/>
        <w:spacing w:line="240" w:lineRule="exact"/>
        <w:ind w:left="0" w:firstLine="0"/>
        <w:jc w:val="left"/>
        <w:textAlignment w:val="baseline"/>
        <w:rPr>
          <w:szCs w:val="20"/>
          <w:lang w:val="en-US"/>
        </w:rPr>
      </w:pPr>
    </w:p>
    <w:p w:rsidR="004F47BB" w:rsidRPr="004F47BB" w:rsidRDefault="00F12BAF" w:rsidP="004F47BB">
      <w:pPr>
        <w:overflowPunct w:val="0"/>
        <w:adjustRightInd w:val="0"/>
        <w:spacing w:line="240" w:lineRule="atLeast"/>
        <w:ind w:left="992"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L</m:t>
                  </m:r>
                </m:e>
                <m:sub>
                  <m:r>
                    <w:rPr>
                      <w:rFonts w:ascii="Cambria Math" w:hAnsi="Cambria Math"/>
                      <w:szCs w:val="20"/>
                      <w:lang w:val="en-US"/>
                    </w:rPr>
                    <m:t>SOLL</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STR</m:t>
                  </m:r>
                </m:e>
                <m:sub>
                  <m:r>
                    <w:rPr>
                      <w:rFonts w:ascii="Cambria Math" w:hAnsi="Cambria Math"/>
                      <w:szCs w:val="20"/>
                      <w:lang w:val="en-US"/>
                    </w:rPr>
                    <m:t>SOLL</m:t>
                  </m:r>
                </m:sub>
              </m:sSub>
            </m:sub>
          </m:sSub>
          <m:r>
            <w:rPr>
              <w:rFonts w:ascii="Cambria Math" w:hAnsi="Cambria Math"/>
              <w:szCs w:val="20"/>
              <w:lang w:val="en-US"/>
            </w:rPr>
            <m:t xml:space="preserve">=3,6 </m:t>
          </m:r>
          <m:d>
            <m:dPr>
              <m:begChr m:val="["/>
              <m:endChr m:val="]"/>
              <m:ctrlPr>
                <w:rPr>
                  <w:rFonts w:ascii="Cambria Math" w:hAnsi="Cambria Math"/>
                  <w:i/>
                  <w:szCs w:val="20"/>
                  <w:lang w:val="en-US"/>
                </w:rPr>
              </m:ctrlPr>
            </m:dPr>
            <m:e>
              <m:r>
                <w:rPr>
                  <w:rFonts w:ascii="Cambria Math" w:hAnsi="Cambria Math"/>
                  <w:szCs w:val="20"/>
                  <w:lang w:val="en-US"/>
                </w:rPr>
                <m:t>m/s</m:t>
              </m:r>
            </m:e>
          </m:d>
        </m:oMath>
      </m:oMathPara>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F12BAF" w:rsidP="004F47BB">
      <w:pPr>
        <w:overflowPunct w:val="0"/>
        <w:adjustRightInd w:val="0"/>
        <w:spacing w:line="240" w:lineRule="atLeast"/>
        <w:ind w:left="851" w:firstLine="0"/>
        <w:jc w:val="left"/>
        <w:textAlignment w:val="baseline"/>
        <w:rPr>
          <w:szCs w:val="20"/>
          <w:lang w:val="en-US"/>
        </w:rPr>
      </w:pPr>
      <m:oMathPara>
        <m:oMathParaPr>
          <m:jc m:val="left"/>
        </m:oMathParaP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TmII</m:t>
                  </m:r>
                </m:sub>
              </m:sSub>
            </m:e>
            <m:sub>
              <m:r>
                <w:rPr>
                  <w:rFonts w:ascii="Cambria Math" w:hAnsi="Cambria Math"/>
                  <w:noProof/>
                  <w:lang w:val="en-US"/>
                </w:rPr>
                <m:t>SOLL</m:t>
              </m:r>
            </m:sub>
          </m:sSub>
          <m:r>
            <w:rPr>
              <w:rFonts w:ascii="Cambria Math" w:hAnsi="Cambria Math"/>
              <w:noProof/>
              <w:lang w:val="en-US"/>
            </w:rPr>
            <m:t xml:space="preserve">= </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T</m:t>
                  </m:r>
                </m:sub>
              </m:sSub>
            </m:num>
            <m:den>
              <m:sSup>
                <m:sSupPr>
                  <m:ctrlPr>
                    <w:rPr>
                      <w:rFonts w:ascii="Cambria Math" w:hAnsi="Cambria Math"/>
                      <w:i/>
                      <w:noProof/>
                      <w:lang w:val="en-US"/>
                    </w:rPr>
                  </m:ctrlPr>
                </m:sSupPr>
                <m:e>
                  <m:r>
                    <w:rPr>
                      <w:rFonts w:ascii="Cambria Math" w:hAnsi="Cambria Math"/>
                      <w:noProof/>
                      <w:lang w:val="en-US"/>
                    </w:rPr>
                    <m:t>v</m:t>
                  </m:r>
                </m:e>
                <m:sup>
                  <m:r>
                    <w:rPr>
                      <w:rFonts w:ascii="Cambria Math" w:hAnsi="Cambria Math"/>
                      <w:noProof/>
                      <w:lang w:val="en-US"/>
                    </w:rPr>
                    <m:t>2</m:t>
                  </m:r>
                </m:sup>
              </m:sSup>
            </m:den>
          </m:f>
          <m:r>
            <w:rPr>
              <w:rFonts w:ascii="Cambria Math" w:hAnsi="Cambria Math"/>
              <w:noProof/>
              <w:lang w:val="en-US"/>
            </w:rPr>
            <m:t xml:space="preserve"> ∙ </m:t>
          </m:r>
          <m:sSup>
            <m:sSupPr>
              <m:ctrlPr>
                <w:rPr>
                  <w:rFonts w:ascii="Cambria Math" w:hAnsi="Cambria Math"/>
                  <w:i/>
                  <w:noProof/>
                  <w:lang w:val="en-US"/>
                </w:rPr>
              </m:ctrlPr>
            </m:sSupPr>
            <m:e>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k</m:t>
                      </m:r>
                    </m:e>
                    <m:sub>
                      <m:r>
                        <w:rPr>
                          <w:rFonts w:ascii="Cambria Math" w:hAnsi="Cambria Math"/>
                          <w:noProof/>
                          <w:lang w:val="en-US"/>
                        </w:rPr>
                        <m:t>7</m:t>
                      </m:r>
                    </m:sub>
                  </m:sSub>
                  <m:r>
                    <w:rPr>
                      <w:rFonts w:ascii="Cambria Math" w:hAnsi="Cambria Math"/>
                      <w:noProof/>
                      <w:lang w:val="en-US"/>
                    </w:rPr>
                    <m:t xml:space="preserve"> ∙ </m:t>
                  </m:r>
                  <m:sSub>
                    <m:sSubPr>
                      <m:ctrlPr>
                        <w:rPr>
                          <w:rFonts w:ascii="Cambria Math" w:hAnsi="Cambria Math"/>
                          <w:i/>
                          <w:noProof/>
                          <w:lang w:val="en-US"/>
                        </w:rPr>
                      </m:ctrlPr>
                    </m:sSubPr>
                    <m:e>
                      <m:r>
                        <w:rPr>
                          <w:rFonts w:ascii="Cambria Math" w:hAnsi="Cambria Math"/>
                          <w:noProof/>
                          <w:lang w:val="en-US"/>
                        </w:rPr>
                        <m:t>k</m:t>
                      </m:r>
                    </m:e>
                    <m:sub>
                      <m:r>
                        <w:rPr>
                          <w:rFonts w:ascii="Cambria Math" w:hAnsi="Cambria Math"/>
                          <w:noProof/>
                          <w:lang w:val="en-US"/>
                        </w:rPr>
                        <m:t>6</m:t>
                      </m:r>
                    </m:sub>
                  </m:sSub>
                  <m:r>
                    <w:rPr>
                      <w:rFonts w:ascii="Cambria Math" w:hAnsi="Cambria Math"/>
                      <w:noProof/>
                      <w:lang w:val="en-US"/>
                    </w:rPr>
                    <m:t xml:space="preserve"> ∙ </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v</m:t>
                          </m:r>
                        </m:e>
                        <m:sub>
                          <m:sSub>
                            <m:sSubPr>
                              <m:ctrlPr>
                                <w:rPr>
                                  <w:rFonts w:ascii="Cambria Math" w:hAnsi="Cambria Math"/>
                                  <w:i/>
                                  <w:noProof/>
                                  <w:lang w:val="en-US"/>
                                </w:rPr>
                              </m:ctrlPr>
                            </m:sSubPr>
                            <m:e>
                              <m:r>
                                <w:rPr>
                                  <w:rFonts w:ascii="Cambria Math" w:hAnsi="Cambria Math"/>
                                  <w:noProof/>
                                  <w:lang w:val="en-US"/>
                                </w:rPr>
                                <m:t>L</m:t>
                              </m:r>
                            </m:e>
                            <m:sub>
                              <m:r>
                                <w:rPr>
                                  <w:rFonts w:ascii="Cambria Math" w:hAnsi="Cambria Math"/>
                                  <w:noProof/>
                                  <w:lang w:val="en-US"/>
                                </w:rPr>
                                <m:t>SOLL</m:t>
                              </m:r>
                            </m:sub>
                          </m:sSub>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v</m:t>
                          </m:r>
                        </m:e>
                        <m:sub>
                          <m:sSub>
                            <m:sSubPr>
                              <m:ctrlPr>
                                <w:rPr>
                                  <w:rFonts w:ascii="Cambria Math" w:hAnsi="Cambria Math"/>
                                  <w:i/>
                                  <w:noProof/>
                                  <w:lang w:val="en-US"/>
                                </w:rPr>
                              </m:ctrlPr>
                            </m:sSubPr>
                            <m:e>
                              <m:r>
                                <w:rPr>
                                  <w:rFonts w:ascii="Cambria Math" w:hAnsi="Cambria Math"/>
                                  <w:noProof/>
                                  <w:lang w:val="en-US"/>
                                </w:rPr>
                                <m:t>STR</m:t>
                              </m:r>
                            </m:e>
                            <m:sub>
                              <m:r>
                                <w:rPr>
                                  <w:rFonts w:ascii="Cambria Math" w:hAnsi="Cambria Math"/>
                                  <w:noProof/>
                                  <w:lang w:val="en-US"/>
                                </w:rPr>
                                <m:t>SOLL</m:t>
                              </m:r>
                            </m:sub>
                          </m:sSub>
                        </m:sub>
                      </m:sSub>
                    </m:e>
                  </m:d>
                </m:e>
              </m:d>
            </m:e>
            <m:sup>
              <m:r>
                <w:rPr>
                  <w:rFonts w:ascii="Cambria Math" w:hAnsi="Cambria Math"/>
                  <w:noProof/>
                  <w:lang w:val="en-US"/>
                </w:rPr>
                <m:t>2</m:t>
              </m:r>
            </m:sup>
          </m:sSup>
          <m:r>
            <w:rPr>
              <w:rFonts w:ascii="Cambria Math" w:hAnsi="Cambria Math"/>
              <w:noProof/>
              <w:lang w:val="en-US"/>
            </w:rPr>
            <m:t xml:space="preserve">=10,8 ∙ </m:t>
          </m:r>
          <m:sSup>
            <m:sSupPr>
              <m:ctrlPr>
                <w:rPr>
                  <w:rFonts w:ascii="Cambria Math" w:hAnsi="Cambria Math"/>
                  <w:i/>
                  <w:noProof/>
                  <w:lang w:val="en-US"/>
                </w:rPr>
              </m:ctrlPr>
            </m:sSupPr>
            <m:e>
              <m:d>
                <m:dPr>
                  <m:ctrlPr>
                    <w:rPr>
                      <w:rFonts w:ascii="Cambria Math" w:hAnsi="Cambria Math"/>
                      <w:i/>
                      <w:noProof/>
                      <w:lang w:val="en-US"/>
                    </w:rPr>
                  </m:ctrlPr>
                </m:dPr>
                <m:e>
                  <m:r>
                    <w:rPr>
                      <w:rFonts w:ascii="Cambria Math" w:hAnsi="Cambria Math"/>
                      <w:noProof/>
                      <w:lang w:val="en-US"/>
                    </w:rPr>
                    <m:t>0,55 ∙0,85 ∙3,6</m:t>
                  </m:r>
                </m:e>
              </m:d>
            </m:e>
            <m:sup>
              <m:r>
                <w:rPr>
                  <w:rFonts w:ascii="Cambria Math" w:hAnsi="Cambria Math"/>
                  <w:noProof/>
                  <w:lang w:val="en-US"/>
                </w:rPr>
                <m:t>2</m:t>
              </m:r>
            </m:sup>
          </m:sSup>
          <m:r>
            <w:rPr>
              <w:rFonts w:ascii="Cambria Math" w:hAnsi="Cambria Math"/>
              <w:noProof/>
              <w:lang w:val="en-US"/>
            </w:rPr>
            <m:t>=</m:t>
          </m:r>
          <m:r>
            <m:rPr>
              <m:sty m:val="bi"/>
            </m:rPr>
            <w:rPr>
              <w:rFonts w:ascii="Cambria Math" w:hAnsi="Cambria Math"/>
              <w:noProof/>
              <w:lang w:val="en-US"/>
            </w:rPr>
            <m:t xml:space="preserve">30,99 </m:t>
          </m:r>
          <m:d>
            <m:dPr>
              <m:begChr m:val="["/>
              <m:endChr m:val="]"/>
              <m:ctrlPr>
                <w:rPr>
                  <w:rFonts w:ascii="Cambria Math" w:hAnsi="Cambria Math"/>
                  <w:b/>
                  <w:i/>
                  <w:noProof/>
                  <w:lang w:val="en-US"/>
                </w:rPr>
              </m:ctrlPr>
            </m:dPr>
            <m:e>
              <m:r>
                <m:rPr>
                  <m:sty m:val="bi"/>
                </m:rPr>
                <w:rPr>
                  <w:rFonts w:ascii="Cambria Math" w:hAnsi="Cambria Math"/>
                  <w:noProof/>
                  <w:lang w:val="en-US"/>
                </w:rPr>
                <m:t>kN</m:t>
              </m:r>
            </m:e>
          </m:d>
        </m:oMath>
      </m:oMathPara>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992"/>
        </w:tabs>
        <w:overflowPunct w:val="0"/>
        <w:adjustRightInd w:val="0"/>
        <w:spacing w:before="60" w:line="240" w:lineRule="atLeast"/>
        <w:ind w:left="992"/>
        <w:textAlignment w:val="baseline"/>
        <w:rPr>
          <w:szCs w:val="20"/>
          <w:lang w:val="en-US"/>
        </w:rPr>
      </w:pPr>
      <w:r w:rsidRPr="004F47BB">
        <w:rPr>
          <w:szCs w:val="20"/>
          <w:lang w:val="en-US"/>
        </w:rPr>
        <w:t>d)</w:t>
      </w:r>
      <w:r w:rsidRPr="004F47BB">
        <w:rPr>
          <w:szCs w:val="20"/>
          <w:lang w:val="en-US"/>
        </w:rPr>
        <w:tab/>
      </w:r>
      <w:r w:rsidRPr="004F47BB">
        <w:rPr>
          <w:noProof/>
          <w:lang w:val="en-US"/>
        </w:rPr>
        <w:t xml:space="preserve">Resistance due to gradient </w:t>
      </w:r>
      <m:oMath>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G</m:t>
            </m:r>
          </m:sub>
        </m:sSub>
      </m:oMath>
      <w:r w:rsidRPr="004F47BB">
        <w:rPr>
          <w:noProof/>
          <w:lang w:val="en-US"/>
        </w:rPr>
        <w:t xml:space="preserve"> as in (4.2)</w:t>
      </w: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p>
    <w:p w:rsidR="004F47BB" w:rsidRPr="004F47BB" w:rsidRDefault="004F47BB" w:rsidP="004F47BB">
      <w:pPr>
        <w:tabs>
          <w:tab w:val="left" w:pos="992"/>
        </w:tabs>
        <w:overflowPunct w:val="0"/>
        <w:adjustRightInd w:val="0"/>
        <w:spacing w:before="60" w:line="240" w:lineRule="atLeast"/>
        <w:ind w:left="992"/>
        <w:textAlignment w:val="baseline"/>
        <w:rPr>
          <w:szCs w:val="20"/>
          <w:lang w:val="en-US"/>
        </w:rPr>
      </w:pPr>
      <w:r w:rsidRPr="004F47BB">
        <w:rPr>
          <w:szCs w:val="20"/>
          <w:lang w:val="en-US"/>
        </w:rPr>
        <w:t>e)</w:t>
      </w:r>
      <w:r w:rsidRPr="004F47BB">
        <w:rPr>
          <w:szCs w:val="20"/>
          <w:lang w:val="en-US"/>
        </w:rPr>
        <w:tab/>
        <w:t xml:space="preserve">Calculation of </w:t>
      </w:r>
      <m:oMath>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oMath>
    </w:p>
    <w:p w:rsidR="004F47BB" w:rsidRPr="004F47BB" w:rsidRDefault="004F47BB" w:rsidP="004F47BB">
      <w:pPr>
        <w:tabs>
          <w:tab w:val="left" w:pos="454"/>
        </w:tabs>
        <w:overflowPunct w:val="0"/>
        <w:adjustRightInd w:val="0"/>
        <w:spacing w:line="240" w:lineRule="atLeast"/>
        <w:ind w:left="454" w:firstLine="539"/>
        <w:jc w:val="left"/>
        <w:textAlignment w:val="baseline"/>
        <w:rPr>
          <w:szCs w:val="20"/>
          <w:lang w:val="en-US"/>
        </w:rPr>
      </w:pPr>
    </w:p>
    <w:p w:rsidR="004F47BB" w:rsidRPr="004F47BB" w:rsidRDefault="00F12BAF" w:rsidP="004F47BB">
      <w:pPr>
        <w:overflowPunct w:val="0"/>
        <w:adjustRightInd w:val="0"/>
        <w:spacing w:line="240" w:lineRule="atLeast"/>
        <w:ind w:left="993" w:firstLine="0"/>
        <w:jc w:val="left"/>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6</m:t>
            </m:r>
          </m:sub>
        </m:sSub>
        <m:r>
          <w:rPr>
            <w:rFonts w:ascii="Cambria Math" w:hAnsi="Cambria Math"/>
            <w:szCs w:val="20"/>
            <w:lang w:val="en-US"/>
          </w:rPr>
          <m:t xml:space="preserve"> ∙ </m:t>
        </m:r>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L</m:t>
                    </m:r>
                  </m:e>
                  <m:sub>
                    <m:r>
                      <w:rPr>
                        <w:rFonts w:ascii="Cambria Math" w:hAnsi="Cambria Math"/>
                        <w:szCs w:val="20"/>
                        <w:lang w:val="en-US"/>
                      </w:rPr>
                      <m:t>SOLL</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STR</m:t>
                    </m:r>
                  </m:e>
                  <m:sub>
                    <m:r>
                      <w:rPr>
                        <w:rFonts w:ascii="Cambria Math" w:hAnsi="Cambria Math"/>
                        <w:szCs w:val="20"/>
                        <w:lang w:val="en-US"/>
                      </w:rPr>
                      <m:t>SOLL</m:t>
                    </m:r>
                  </m:sub>
                </m:sSub>
              </m:sub>
            </m:sSub>
          </m:e>
        </m:d>
        <m:r>
          <w:rPr>
            <w:rFonts w:ascii="Cambria Math" w:hAnsi="Cambria Math"/>
            <w:szCs w:val="20"/>
            <w:lang w:val="en-US"/>
          </w:rPr>
          <m:t>=0,85 ∙3,6=</m:t>
        </m:r>
        <m:r>
          <m:rPr>
            <m:sty m:val="bi"/>
          </m:rPr>
          <w:rPr>
            <w:rFonts w:ascii="Cambria Math" w:hAnsi="Cambria Math"/>
            <w:szCs w:val="20"/>
            <w:lang w:val="en-US"/>
          </w:rPr>
          <m:t>3,06</m:t>
        </m:r>
        <m:r>
          <w:rPr>
            <w:rFonts w:ascii="Cambria Math" w:hAnsi="Cambria Math"/>
            <w:szCs w:val="20"/>
            <w:lang w:val="en-US"/>
          </w:rPr>
          <m:t xml:space="preserve"> </m:t>
        </m:r>
        <m:d>
          <m:dPr>
            <m:begChr m:val="["/>
            <m:endChr m:val="]"/>
            <m:ctrlPr>
              <w:rPr>
                <w:rFonts w:ascii="Cambria Math" w:hAnsi="Cambria Math"/>
                <w:i/>
                <w:szCs w:val="20"/>
                <w:lang w:val="en-US"/>
              </w:rPr>
            </m:ctrlPr>
          </m:dPr>
          <m:e>
            <m:r>
              <w:rPr>
                <w:rFonts w:ascii="Cambria Math" w:hAnsi="Cambria Math"/>
                <w:szCs w:val="20"/>
                <w:lang w:val="en-US"/>
              </w:rPr>
              <m:t>m/s</m:t>
            </m:r>
          </m:e>
        </m:d>
        <m:r>
          <w:rPr>
            <w:rFonts w:ascii="Cambria Math" w:hAnsi="Cambria Math"/>
            <w:szCs w:val="20"/>
            <w:lang w:val="en-US"/>
          </w:rPr>
          <m:t>,</m:t>
        </m:r>
      </m:oMath>
      <w:r w:rsidR="004F47BB" w:rsidRPr="004F47BB">
        <w:rPr>
          <w:szCs w:val="20"/>
          <w:lang w:val="en-US"/>
        </w:rPr>
        <w:t xml:space="preserve">  </w:t>
      </w:r>
      <m:oMath>
        <m:sSub>
          <m:sSubPr>
            <m:ctrlPr>
              <w:rPr>
                <w:rFonts w:ascii="Cambria Math" w:hAnsi="Cambria Math"/>
                <w:i/>
                <w:szCs w:val="20"/>
                <w:lang w:val="en-US"/>
              </w:rPr>
            </m:ctrlPr>
          </m:sSubPr>
          <m:e>
            <m:sSup>
              <m:sSupPr>
                <m:ctrlPr>
                  <w:rPr>
                    <w:rFonts w:ascii="Cambria Math" w:hAnsi="Cambria Math"/>
                    <w:i/>
                    <w:szCs w:val="20"/>
                    <w:lang w:val="en-US"/>
                  </w:rPr>
                </m:ctrlPr>
              </m:sSupPr>
              <m:e>
                <m:r>
                  <w:rPr>
                    <w:rFonts w:ascii="Cambria Math" w:hAnsi="Cambria Math"/>
                    <w:szCs w:val="20"/>
                    <w:lang w:val="en-US"/>
                  </w:rPr>
                  <m:t>v</m:t>
                </m:r>
              </m:e>
              <m:sup>
                <m:r>
                  <w:rPr>
                    <w:rFonts w:ascii="Cambria Math" w:hAnsi="Cambria Math"/>
                    <w:szCs w:val="20"/>
                    <w:lang w:val="en-US"/>
                  </w:rPr>
                  <m:t>2</m:t>
                </m:r>
              </m:sup>
            </m:sSup>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r>
          <w:rPr>
            <w:rFonts w:ascii="Cambria Math" w:hAnsi="Cambria Math"/>
            <w:szCs w:val="20"/>
            <w:lang w:val="en-US"/>
          </w:rPr>
          <m:t xml:space="preserve">=9,36 </m:t>
        </m:r>
        <m:sSup>
          <m:sSupPr>
            <m:ctrlPr>
              <w:rPr>
                <w:rFonts w:ascii="Cambria Math" w:hAnsi="Cambria Math"/>
                <w:i/>
                <w:szCs w:val="20"/>
                <w:lang w:val="en-US"/>
              </w:rPr>
            </m:ctrlPr>
          </m:sSupPr>
          <m:e>
            <m:d>
              <m:dPr>
                <m:begChr m:val="["/>
                <m:endChr m:val="]"/>
                <m:ctrlPr>
                  <w:rPr>
                    <w:rFonts w:ascii="Cambria Math" w:hAnsi="Cambria Math"/>
                    <w:i/>
                    <w:szCs w:val="20"/>
                    <w:lang w:val="en-US"/>
                  </w:rPr>
                </m:ctrlPr>
              </m:dPr>
              <m:e>
                <m:r>
                  <w:rPr>
                    <w:rFonts w:ascii="Cambria Math" w:hAnsi="Cambria Math"/>
                    <w:szCs w:val="20"/>
                    <w:lang w:val="en-US"/>
                  </w:rPr>
                  <m:t>m/s</m:t>
                </m:r>
              </m:e>
            </m:d>
          </m:e>
          <m:sup>
            <m:r>
              <w:rPr>
                <w:rFonts w:ascii="Cambria Math" w:hAnsi="Cambria Math"/>
                <w:szCs w:val="20"/>
                <w:lang w:val="en-US"/>
              </w:rPr>
              <m:t>2</m:t>
            </m:r>
          </m:sup>
        </m:sSup>
      </m:oMath>
    </w:p>
    <w:p w:rsidR="004F47BB" w:rsidRPr="004F47BB" w:rsidRDefault="004F47BB" w:rsidP="004F47BB">
      <w:pPr>
        <w:tabs>
          <w:tab w:val="left" w:pos="0"/>
        </w:tabs>
        <w:overflowPunct w:val="0"/>
        <w:adjustRightInd w:val="0"/>
        <w:spacing w:line="240" w:lineRule="exact"/>
        <w:ind w:left="454" w:hanging="454"/>
        <w:jc w:val="left"/>
        <w:textAlignment w:val="baseline"/>
        <w:rPr>
          <w:szCs w:val="20"/>
          <w:lang w:val="en-GB"/>
        </w:rPr>
      </w:pPr>
    </w:p>
    <w:p w:rsidR="004F47BB" w:rsidRPr="004F47BB" w:rsidRDefault="004F47BB" w:rsidP="004F47BB">
      <w:pPr>
        <w:tabs>
          <w:tab w:val="left" w:pos="992"/>
        </w:tabs>
        <w:overflowPunct w:val="0"/>
        <w:adjustRightInd w:val="0"/>
        <w:spacing w:before="60" w:line="240" w:lineRule="atLeast"/>
        <w:ind w:left="992"/>
        <w:textAlignment w:val="baseline"/>
        <w:rPr>
          <w:szCs w:val="20"/>
        </w:rPr>
      </w:pPr>
      <w:r w:rsidRPr="004F47BB">
        <w:rPr>
          <w:szCs w:val="20"/>
        </w:rPr>
        <w:t>f)</w:t>
      </w:r>
      <w:r w:rsidRPr="004F47BB">
        <w:rPr>
          <w:szCs w:val="20"/>
        </w:rPr>
        <w:tab/>
      </w:r>
      <m:oMath>
        <m:sSub>
          <m:sSubPr>
            <m:ctrlPr>
              <w:rPr>
                <w:rFonts w:ascii="Cambria Math" w:hAnsi="Cambria Math"/>
                <w:i/>
                <w:szCs w:val="20"/>
                <w:lang w:val="en-US"/>
              </w:rPr>
            </m:ctrlPr>
          </m:sSubPr>
          <m:e>
            <m:r>
              <w:rPr>
                <w:rFonts w:ascii="Cambria Math" w:hAnsi="Cambria Math"/>
                <w:szCs w:val="20"/>
                <w:lang w:val="en-US"/>
              </w:rPr>
              <m:t>F</m:t>
            </m:r>
          </m:e>
          <m:sub>
            <m:r>
              <w:rPr>
                <w:rFonts w:ascii="Cambria Math" w:hAnsi="Cambria Math"/>
                <w:szCs w:val="20"/>
                <w:lang w:val="en-US"/>
              </w:rPr>
              <m:t>POR</m:t>
            </m:r>
          </m:sub>
        </m:sSub>
      </m:oMath>
      <w:r w:rsidRPr="004F47BB">
        <w:rPr>
          <w:szCs w:val="20"/>
        </w:rPr>
        <w:t xml:space="preserve"> comme sous 4.2.</w:t>
      </w:r>
    </w:p>
    <w:p w:rsidR="004F47BB" w:rsidRPr="004F47BB" w:rsidRDefault="004F47BB" w:rsidP="004F47BB">
      <w:pPr>
        <w:tabs>
          <w:tab w:val="left" w:pos="454"/>
        </w:tabs>
        <w:overflowPunct w:val="0"/>
        <w:adjustRightInd w:val="0"/>
        <w:spacing w:line="240" w:lineRule="exact"/>
        <w:ind w:left="454" w:hanging="454"/>
        <w:jc w:val="left"/>
        <w:textAlignment w:val="baseline"/>
        <w:rPr>
          <w:szCs w:val="20"/>
        </w:rPr>
      </w:pPr>
    </w:p>
    <w:p w:rsidR="004F47BB" w:rsidRPr="004F47BB" w:rsidRDefault="004F47BB" w:rsidP="004F47BB">
      <w:pPr>
        <w:tabs>
          <w:tab w:val="left" w:pos="284"/>
        </w:tabs>
        <w:overflowPunct w:val="0"/>
        <w:adjustRightInd w:val="0"/>
        <w:spacing w:line="240" w:lineRule="exact"/>
        <w:ind w:left="284" w:hanging="284"/>
        <w:jc w:val="left"/>
        <w:textAlignment w:val="baseline"/>
        <w:rPr>
          <w:szCs w:val="20"/>
        </w:rPr>
      </w:pPr>
    </w:p>
    <w:p w:rsidR="004F47BB" w:rsidRPr="004F47BB" w:rsidRDefault="004F47BB" w:rsidP="004F47BB">
      <w:pPr>
        <w:tabs>
          <w:tab w:val="left" w:pos="992"/>
        </w:tabs>
        <w:overflowPunct w:val="0"/>
        <w:adjustRightInd w:val="0"/>
        <w:spacing w:line="240" w:lineRule="atLeast"/>
        <w:ind w:left="992"/>
        <w:textAlignment w:val="baseline"/>
        <w:rPr>
          <w:szCs w:val="20"/>
        </w:rPr>
      </w:pPr>
      <w:r w:rsidRPr="004F47BB">
        <w:rPr>
          <w:szCs w:val="20"/>
        </w:rPr>
        <w:br w:type="page"/>
      </w:r>
    </w:p>
    <w:p w:rsidR="004F47BB" w:rsidRPr="004F47BB" w:rsidRDefault="004F47BB" w:rsidP="004F47BB">
      <w:pPr>
        <w:tabs>
          <w:tab w:val="left" w:pos="992"/>
        </w:tabs>
        <w:overflowPunct w:val="0"/>
        <w:adjustRightInd w:val="0"/>
        <w:spacing w:before="60" w:line="240" w:lineRule="atLeast"/>
        <w:ind w:left="992"/>
        <w:textAlignment w:val="baseline"/>
        <w:rPr>
          <w:szCs w:val="20"/>
          <w:lang w:val="en-US"/>
        </w:rPr>
      </w:pPr>
      <w:r w:rsidRPr="004F47BB">
        <w:rPr>
          <w:szCs w:val="20"/>
          <w:lang w:val="en-US"/>
        </w:rPr>
        <w:lastRenderedPageBreak/>
        <w:t>g)</w:t>
      </w:r>
      <w:r w:rsidRPr="004F47BB">
        <w:rPr>
          <w:szCs w:val="20"/>
          <w:lang w:val="en-US"/>
        </w:rPr>
        <w:tab/>
      </w:r>
      <w:r w:rsidRPr="004F47BB">
        <w:rPr>
          <w:noProof/>
          <w:lang w:val="en-US"/>
        </w:rPr>
        <w:t xml:space="preserve">Calculation of </w:t>
      </w: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oMath>
      <w:r w:rsidRPr="004F47BB">
        <w:rPr>
          <w:noProof/>
          <w:lang w:val="en-US"/>
        </w:rPr>
        <w:t xml:space="preserve"> using formula (b) and the result from (c) to (f)</w:t>
      </w:r>
    </w:p>
    <w:p w:rsidR="004F47BB" w:rsidRPr="004F47BB" w:rsidRDefault="004F47BB" w:rsidP="004F47BB">
      <w:pPr>
        <w:overflowPunct w:val="0"/>
        <w:adjustRightInd w:val="0"/>
        <w:spacing w:line="240" w:lineRule="exact"/>
        <w:ind w:left="993" w:firstLine="0"/>
        <w:jc w:val="left"/>
        <w:textAlignment w:val="baseline"/>
        <w:rPr>
          <w:szCs w:val="20"/>
          <w:lang w:val="en-US"/>
        </w:rPr>
      </w:pPr>
    </w:p>
    <w:p w:rsidR="004F47BB" w:rsidRPr="004F47BB" w:rsidRDefault="00F12BAF" w:rsidP="004F47BB">
      <w:pPr>
        <w:overflowPunct w:val="0"/>
        <w:adjustRightInd w:val="0"/>
        <w:spacing w:line="240" w:lineRule="atLeast"/>
        <w:ind w:left="992"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r>
            <w:rPr>
              <w:rFonts w:ascii="Cambria Math" w:hAnsi="Cambria Math"/>
              <w:szCs w:val="20"/>
              <w:lang w:val="en-US"/>
            </w:rPr>
            <m:t xml:space="preserve">=  </m:t>
          </m:r>
          <m:f>
            <m:fPr>
              <m:ctrlPr>
                <w:rPr>
                  <w:rFonts w:ascii="Cambria Math" w:hAnsi="Cambria Math"/>
                  <w:i/>
                  <w:szCs w:val="20"/>
                  <w:lang w:val="en-US"/>
                </w:rPr>
              </m:ctrlPr>
            </m:fPr>
            <m:num>
              <m:r>
                <w:rPr>
                  <w:rFonts w:ascii="Cambria Math" w:hAnsi="Cambria Math"/>
                  <w:szCs w:val="20"/>
                  <w:lang w:val="en-US"/>
                </w:rPr>
                <m:t xml:space="preserve">0,12 ∙9,36 ∙9,81 ∙ </m:t>
              </m:r>
              <m:d>
                <m:dPr>
                  <m:ctrlPr>
                    <w:rPr>
                      <w:rFonts w:ascii="Cambria Math" w:hAnsi="Cambria Math"/>
                      <w:i/>
                      <w:szCs w:val="20"/>
                      <w:lang w:val="en-US"/>
                    </w:rPr>
                  </m:ctrlPr>
                </m:dPr>
                <m:e>
                  <m:r>
                    <w:rPr>
                      <w:rFonts w:ascii="Cambria Math" w:hAnsi="Cambria Math"/>
                      <w:szCs w:val="20"/>
                      <w:lang w:val="en-US"/>
                    </w:rPr>
                    <m:t xml:space="preserve">0,48+ </m:t>
                  </m:r>
                  <m:f>
                    <m:fPr>
                      <m:ctrlPr>
                        <w:rPr>
                          <w:rFonts w:ascii="Cambria Math" w:hAnsi="Cambria Math"/>
                          <w:i/>
                          <w:szCs w:val="20"/>
                          <w:lang w:val="en-US"/>
                        </w:rPr>
                      </m:ctrlPr>
                    </m:fPr>
                    <m:num>
                      <m:r>
                        <w:rPr>
                          <w:rFonts w:ascii="Cambria Math" w:hAnsi="Cambria Math"/>
                          <w:szCs w:val="20"/>
                          <w:lang w:val="en-US"/>
                        </w:rPr>
                        <m:t>1,5</m:t>
                      </m:r>
                    </m:num>
                    <m:den>
                      <m:r>
                        <w:rPr>
                          <w:rFonts w:ascii="Cambria Math" w:hAnsi="Cambria Math"/>
                          <w:szCs w:val="20"/>
                          <w:lang w:val="en-US"/>
                        </w:rPr>
                        <m:t>3,06</m:t>
                      </m:r>
                    </m:den>
                  </m:f>
                </m:e>
              </m:d>
            </m:num>
            <m:den>
              <m:r>
                <w:rPr>
                  <w:rFonts w:ascii="Cambria Math" w:hAnsi="Cambria Math"/>
                  <w:szCs w:val="20"/>
                  <w:lang w:val="en-US"/>
                </w:rPr>
                <m:t>1,15 ∙177+30,99-8,13</m:t>
              </m:r>
            </m:den>
          </m:f>
          <m:r>
            <w:rPr>
              <w:rFonts w:ascii="Cambria Math" w:hAnsi="Cambria Math"/>
              <w:szCs w:val="20"/>
              <w:lang w:val="en-US"/>
            </w:rPr>
            <m:t xml:space="preserve"> ∙5179</m:t>
          </m:r>
        </m:oMath>
      </m:oMathPara>
    </w:p>
    <w:p w:rsidR="004F47BB" w:rsidRPr="004F47BB" w:rsidRDefault="004F47BB" w:rsidP="004F47BB">
      <w:pPr>
        <w:tabs>
          <w:tab w:val="left" w:pos="454"/>
        </w:tabs>
        <w:overflowPunct w:val="0"/>
        <w:adjustRightInd w:val="0"/>
        <w:spacing w:line="240" w:lineRule="atLeast"/>
        <w:ind w:left="454" w:hanging="454"/>
        <w:jc w:val="left"/>
        <w:textAlignment w:val="baseline"/>
        <w:rPr>
          <w:szCs w:val="20"/>
          <w:lang w:val="en-US"/>
        </w:rPr>
      </w:pPr>
      <w:r w:rsidRPr="004F47BB">
        <w:rPr>
          <w:noProof/>
          <w:szCs w:val="20"/>
        </w:rPr>
        <mc:AlternateContent>
          <mc:Choice Requires="wps">
            <w:drawing>
              <wp:anchor distT="0" distB="0" distL="114300" distR="114300" simplePos="0" relativeHeight="251686912" behindDoc="0" locked="0" layoutInCell="1" allowOverlap="1" wp14:anchorId="53FC2AE3" wp14:editId="0C061FC8">
                <wp:simplePos x="0" y="0"/>
                <wp:positionH relativeFrom="column">
                  <wp:posOffset>898221</wp:posOffset>
                </wp:positionH>
                <wp:positionV relativeFrom="paragraph">
                  <wp:posOffset>138430</wp:posOffset>
                </wp:positionV>
                <wp:extent cx="90807" cy="413785"/>
                <wp:effectExtent l="0" t="8890" r="14605" b="14605"/>
                <wp:wrapNone/>
                <wp:docPr id="155"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7" cy="413785"/>
                        </a:xfrm>
                        <a:prstGeom prst="rightBrace">
                          <a:avLst>
                            <a:gd name="adj1" fmla="val 419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3410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7" o:spid="_x0000_s1026" type="#_x0000_t88" style="position:absolute;margin-left:70.75pt;margin-top:10.9pt;width:7.15pt;height:32.6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" adj="1989"/>
            </w:pict>
          </mc:Fallback>
        </mc:AlternateContent>
      </w:r>
    </w:p>
    <w:p w:rsidR="004F47BB" w:rsidRPr="004F47BB" w:rsidRDefault="004F47BB" w:rsidP="004F47BB">
      <w:pPr>
        <w:overflowPunct w:val="0"/>
        <w:adjustRightInd w:val="0"/>
        <w:spacing w:line="240" w:lineRule="exact"/>
        <w:ind w:left="993" w:firstLine="0"/>
        <w:jc w:val="left"/>
        <w:textAlignment w:val="baseline"/>
        <w:rPr>
          <w:szCs w:val="20"/>
          <w:lang w:val="en-US"/>
        </w:rPr>
      </w:pPr>
      <m:oMathPara>
        <m:oMathParaPr>
          <m:jc m:val="left"/>
        </m:oMathParaPr>
        <m:oMath>
          <m:r>
            <w:rPr>
              <w:rFonts w:ascii="Cambria Math" w:hAnsi="Cambria Math"/>
              <w:szCs w:val="20"/>
              <w:lang w:val="en-US"/>
            </w:rPr>
            <m:t>=0,0472 ∙5179=</m:t>
          </m:r>
          <m:r>
            <m:rPr>
              <m:sty m:val="bi"/>
            </m:rPr>
            <w:rPr>
              <w:rFonts w:ascii="Cambria Math" w:hAnsi="Cambria Math"/>
              <w:szCs w:val="20"/>
              <w:lang w:val="en-US"/>
            </w:rPr>
            <m:t>244,5 m</m:t>
          </m:r>
        </m:oMath>
      </m:oMathPara>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F12BAF" w:rsidP="004F47BB">
      <w:pPr>
        <w:overflowPunct w:val="0"/>
        <w:adjustRightInd w:val="0"/>
        <w:spacing w:line="240" w:lineRule="atLeast"/>
        <w:ind w:left="993" w:hanging="1"/>
        <w:jc w:val="left"/>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Const</m:t>
              </m:r>
            </m:e>
            <m:sub>
              <m:r>
                <w:rPr>
                  <w:rFonts w:ascii="Cambria Math" w:hAnsi="Cambria Math"/>
                  <w:szCs w:val="20"/>
                  <w:lang w:val="en-US"/>
                </w:rPr>
                <m:t>SOLL</m:t>
              </m:r>
            </m:sub>
          </m:sSub>
        </m:oMath>
      </m:oMathPara>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992"/>
        </w:tabs>
        <w:overflowPunct w:val="0"/>
        <w:adjustRightInd w:val="0"/>
        <w:spacing w:before="60" w:line="240" w:lineRule="atLeast"/>
        <w:ind w:left="992"/>
        <w:textAlignment w:val="baseline"/>
        <w:rPr>
          <w:szCs w:val="20"/>
          <w:lang w:val="en-US"/>
        </w:rPr>
      </w:pPr>
      <w:r w:rsidRPr="004F47BB">
        <w:rPr>
          <w:szCs w:val="20"/>
          <w:lang w:val="en-US"/>
        </w:rPr>
        <w:t>h)</w:t>
      </w:r>
      <w:r w:rsidRPr="004F47BB">
        <w:rPr>
          <w:szCs w:val="20"/>
          <w:lang w:val="en-US"/>
        </w:rPr>
        <w:tab/>
      </w:r>
      <w:r w:rsidRPr="004F47BB">
        <w:rPr>
          <w:noProof/>
          <w:lang w:val="en-US"/>
        </w:rPr>
        <w:t>Calculation of total distance</w:t>
      </w: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p>
    <w:p w:rsidR="004F47BB" w:rsidRPr="004F47BB" w:rsidRDefault="00F12BAF" w:rsidP="004F47BB">
      <w:pPr>
        <w:tabs>
          <w:tab w:val="left" w:pos="992"/>
        </w:tabs>
        <w:overflowPunct w:val="0"/>
        <w:adjustRightInd w:val="0"/>
        <w:spacing w:line="240" w:lineRule="atLeast"/>
        <w:ind w:left="992"/>
        <w:textAlignment w:val="baseline"/>
        <w:rPr>
          <w:szCs w:val="20"/>
          <w:lang w:val="en-US"/>
        </w:rPr>
      </w:pPr>
      <m:oMathPara>
        <m:oMathParaPr>
          <m:jc m:val="left"/>
        </m:oMathParaPr>
        <m:oMath>
          <m:sSub>
            <m:sSubPr>
              <m:ctrlPr>
                <w:rPr>
                  <w:rFonts w:ascii="Cambria Math" w:hAnsi="Cambria Math"/>
                  <w:b/>
                  <w:i/>
                  <w:szCs w:val="20"/>
                  <w:lang w:val="en-US"/>
                </w:rPr>
              </m:ctrlPr>
            </m:sSubPr>
            <m:e>
              <m:r>
                <m:rPr>
                  <m:sty m:val="bi"/>
                </m:rPr>
                <w:rPr>
                  <w:rFonts w:ascii="Cambria Math" w:hAnsi="Cambria Math"/>
                  <w:szCs w:val="20"/>
                  <w:lang w:val="en-US"/>
                </w:rPr>
                <m:t>s</m:t>
              </m:r>
            </m:e>
            <m:sub>
              <m:r>
                <m:rPr>
                  <m:sty m:val="bi"/>
                </m:rPr>
                <w:rPr>
                  <w:rFonts w:ascii="Cambria Math" w:hAnsi="Cambria Math"/>
                  <w:szCs w:val="20"/>
                  <w:lang w:val="en-US"/>
                </w:rPr>
                <m:t>SOLL</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m:t>
                  </m:r>
                </m:e>
                <m:sub>
                  <m:r>
                    <w:rPr>
                      <w:rFonts w:ascii="Cambria Math" w:hAnsi="Cambria Math"/>
                      <w:szCs w:val="20"/>
                      <w:lang w:val="en-US"/>
                    </w:rPr>
                    <m:t>SOLL</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r>
            <w:rPr>
              <w:rFonts w:ascii="Cambria Math" w:hAnsi="Cambria Math"/>
              <w:szCs w:val="20"/>
              <w:lang w:val="en-US"/>
            </w:rPr>
            <m:t>=77,5+244,5=</m:t>
          </m:r>
          <m:r>
            <m:rPr>
              <m:sty m:val="bi"/>
            </m:rPr>
            <w:rPr>
              <w:rFonts w:ascii="Cambria Math" w:hAnsi="Cambria Math"/>
              <w:szCs w:val="20"/>
              <w:lang w:val="en-US"/>
            </w:rPr>
            <m:t>322 m</m:t>
          </m:r>
        </m:oMath>
      </m:oMathPara>
    </w:p>
    <w:p w:rsidR="004F47BB" w:rsidRPr="004F47BB" w:rsidRDefault="004F47BB" w:rsidP="004F47BB">
      <w:pPr>
        <w:overflowPunct w:val="0"/>
        <w:adjustRightInd w:val="0"/>
        <w:spacing w:line="240" w:lineRule="exact"/>
        <w:ind w:left="567" w:hanging="567"/>
        <w:jc w:val="left"/>
        <w:textAlignment w:val="baseline"/>
        <w:rPr>
          <w:position w:val="6"/>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4.4</w:t>
      </w:r>
      <w:r w:rsidRPr="004F47BB">
        <w:rPr>
          <w:rFonts w:cs="Arial"/>
          <w:b/>
          <w:color w:val="000000"/>
          <w:szCs w:val="20"/>
          <w:lang w:val="en-US"/>
        </w:rPr>
        <w:tab/>
        <w:t xml:space="preserve">Verification of compliance with permissible stopping distance under standard conditions </w:t>
      </w:r>
      <m:oMath>
        <m:sSub>
          <m:sSubPr>
            <m:ctrlPr>
              <w:rPr>
                <w:rFonts w:ascii="Cambria Math" w:hAnsi="Cambria Math" w:cs="Arial"/>
                <w:b/>
                <w:i/>
                <w:color w:val="000000"/>
                <w:szCs w:val="20"/>
                <w:lang w:val="en-US"/>
              </w:rPr>
            </m:ctrlPr>
          </m:sSubPr>
          <m:e>
            <m:r>
              <m:rPr>
                <m:sty m:val="bi"/>
              </m:rPr>
              <w:rPr>
                <w:rFonts w:ascii="Cambria Math" w:hAnsi="Cambria Math" w:cs="Arial"/>
                <w:color w:val="000000"/>
                <w:szCs w:val="20"/>
                <w:lang w:val="en-US"/>
              </w:rPr>
              <m:t>s</m:t>
            </m:r>
          </m:e>
          <m:sub>
            <m:r>
              <m:rPr>
                <m:sty m:val="bi"/>
              </m:rPr>
              <w:rPr>
                <w:rFonts w:ascii="Cambria Math" w:hAnsi="Cambria Math" w:cs="Arial"/>
                <w:color w:val="000000"/>
                <w:szCs w:val="20"/>
                <w:lang w:val="en-US"/>
              </w:rPr>
              <m:t>NORM</m:t>
            </m:r>
          </m:sub>
        </m:sSub>
      </m:oMath>
      <w:r w:rsidRPr="004F47BB">
        <w:rPr>
          <w:rFonts w:cs="Arial"/>
          <w:b/>
          <w:color w:val="000000"/>
          <w:szCs w:val="20"/>
          <w:lang w:val="en-US"/>
        </w:rPr>
        <w:t xml:space="preserve"> </w:t>
      </w: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567"/>
        </w:tabs>
        <w:overflowPunct w:val="0"/>
        <w:adjustRightInd w:val="0"/>
        <w:spacing w:line="240" w:lineRule="atLeast"/>
        <w:ind w:left="567" w:firstLine="0"/>
        <w:textAlignment w:val="baseline"/>
        <w:rPr>
          <w:szCs w:val="20"/>
          <w:lang w:val="en-US"/>
        </w:rPr>
      </w:pPr>
      <w:r w:rsidRPr="004F47BB">
        <w:rPr>
          <w:szCs w:val="20"/>
          <w:lang w:val="en-US"/>
        </w:rPr>
        <w:t>according to formula (2.1) of Annex 2</w:t>
      </w: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F12BAF" w:rsidP="004F47BB">
      <w:pPr>
        <w:overflowPunct w:val="0"/>
        <w:adjustRightInd w:val="0"/>
        <w:spacing w:line="240" w:lineRule="atLeast"/>
        <w:ind w:left="567"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NORM</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MESSUNG</m:t>
              </m:r>
            </m:sub>
          </m:sSub>
          <m:r>
            <w:rPr>
              <w:rFonts w:ascii="Cambria Math" w:hAnsi="Cambria Math"/>
              <w:szCs w:val="20"/>
              <w:lang w:val="en-US"/>
            </w:rPr>
            <m:t xml:space="preserve"> ∙ </m:t>
          </m:r>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SOLL</m:t>
                  </m:r>
                </m:sub>
              </m:sSub>
            </m:num>
            <m:den>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IST</m:t>
                  </m:r>
                </m:sub>
              </m:sSub>
            </m:den>
          </m:f>
          <m:r>
            <w:rPr>
              <w:rFonts w:ascii="Cambria Math" w:hAnsi="Cambria Math"/>
              <w:szCs w:val="20"/>
              <w:lang w:val="en-US"/>
            </w:rPr>
            <m:t xml:space="preserve">=340 ∙ </m:t>
          </m:r>
          <m:f>
            <m:fPr>
              <m:ctrlPr>
                <w:rPr>
                  <w:rFonts w:ascii="Cambria Math" w:hAnsi="Cambria Math"/>
                  <w:i/>
                  <w:szCs w:val="20"/>
                  <w:lang w:val="en-US"/>
                </w:rPr>
              </m:ctrlPr>
            </m:fPr>
            <m:num>
              <m:r>
                <w:rPr>
                  <w:rFonts w:ascii="Cambria Math" w:hAnsi="Cambria Math"/>
                  <w:szCs w:val="20"/>
                  <w:lang w:val="en-US"/>
                </w:rPr>
                <m:t>322</m:t>
              </m:r>
            </m:num>
            <m:den>
              <m:r>
                <w:rPr>
                  <w:rFonts w:ascii="Cambria Math" w:hAnsi="Cambria Math"/>
                  <w:szCs w:val="20"/>
                  <w:lang w:val="en-US"/>
                </w:rPr>
                <m:t>303,4</m:t>
              </m:r>
            </m:den>
          </m:f>
          <m:r>
            <w:rPr>
              <w:rFonts w:ascii="Cambria Math" w:hAnsi="Cambria Math"/>
              <w:szCs w:val="20"/>
              <w:lang w:val="en-US"/>
            </w:rPr>
            <m:t>=</m:t>
          </m:r>
          <m:r>
            <m:rPr>
              <m:sty m:val="bi"/>
            </m:rPr>
            <w:rPr>
              <w:rFonts w:ascii="Cambria Math" w:hAnsi="Cambria Math"/>
              <w:szCs w:val="20"/>
              <w:lang w:val="en-US"/>
            </w:rPr>
            <m:t>360,8 m &lt;550 m</m:t>
          </m:r>
        </m:oMath>
      </m:oMathPara>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567"/>
        </w:tabs>
        <w:overflowPunct w:val="0"/>
        <w:adjustRightInd w:val="0"/>
        <w:spacing w:line="240" w:lineRule="atLeast"/>
        <w:ind w:left="1134" w:hanging="567"/>
        <w:textAlignment w:val="baseline"/>
        <w:rPr>
          <w:b/>
          <w:bCs/>
          <w:szCs w:val="20"/>
          <w:lang w:val="en-US"/>
        </w:rPr>
      </w:pPr>
      <w:r w:rsidRPr="004F47BB">
        <w:rPr>
          <w:b/>
          <w:bCs/>
          <w:szCs w:val="20"/>
          <w:lang w:val="en-US"/>
        </w:rPr>
        <w:t>Conclusion:</w:t>
      </w: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567"/>
        </w:tabs>
        <w:overflowPunct w:val="0"/>
        <w:adjustRightInd w:val="0"/>
        <w:spacing w:line="240" w:lineRule="atLeast"/>
        <w:ind w:left="567" w:firstLine="0"/>
        <w:textAlignment w:val="baseline"/>
        <w:rPr>
          <w:szCs w:val="20"/>
          <w:lang w:val="en-US"/>
        </w:rPr>
      </w:pPr>
      <w:r w:rsidRPr="004F47BB">
        <w:rPr>
          <w:szCs w:val="20"/>
          <w:lang w:val="en-US"/>
        </w:rPr>
        <w:t>The permissible limit value is far from being reached, i.e.:</w:t>
      </w:r>
    </w:p>
    <w:p w:rsidR="004F47BB" w:rsidRPr="004F47BB" w:rsidRDefault="004F47BB" w:rsidP="004F47BB">
      <w:pPr>
        <w:tabs>
          <w:tab w:val="left" w:pos="992"/>
        </w:tabs>
        <w:overflowPunct w:val="0"/>
        <w:adjustRightInd w:val="0"/>
        <w:spacing w:before="60" w:line="240" w:lineRule="atLeast"/>
        <w:ind w:left="992"/>
        <w:textAlignment w:val="baseline"/>
        <w:rPr>
          <w:szCs w:val="20"/>
          <w:lang w:val="en-US"/>
        </w:rPr>
      </w:pPr>
      <w:r w:rsidRPr="004F47BB">
        <w:rPr>
          <w:szCs w:val="20"/>
          <w:lang w:val="en-US"/>
        </w:rPr>
        <w:t>-</w:t>
      </w:r>
      <w:r w:rsidRPr="004F47BB">
        <w:rPr>
          <w:szCs w:val="20"/>
          <w:lang w:val="en-US"/>
        </w:rPr>
        <w:tab/>
        <w:t>admission to downstream navigation is possible without problems for the actual loading condition (</w:t>
      </w:r>
      <m:oMath>
        <m:r>
          <w:rPr>
            <w:rFonts w:ascii="Cambria Math" w:hAnsi="Cambria Math"/>
            <w:szCs w:val="20"/>
            <w:lang w:val="en-US"/>
          </w:rPr>
          <m:t xml:space="preserve">0,8 ∙ </m:t>
        </m:r>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max</m:t>
            </m:r>
          </m:sub>
        </m:sSub>
      </m:oMath>
      <w:r w:rsidRPr="004F47BB">
        <w:rPr>
          <w:szCs w:val="20"/>
          <w:lang w:val="en-US"/>
        </w:rPr>
        <w:t>),</w:t>
      </w:r>
    </w:p>
    <w:p w:rsidR="004F47BB" w:rsidRPr="004F47BB" w:rsidRDefault="004F47BB" w:rsidP="004F47BB">
      <w:pPr>
        <w:tabs>
          <w:tab w:val="left" w:pos="992"/>
        </w:tabs>
        <w:overflowPunct w:val="0"/>
        <w:adjustRightInd w:val="0"/>
        <w:spacing w:before="60" w:line="240" w:lineRule="atLeast"/>
        <w:ind w:left="992"/>
        <w:textAlignment w:val="baseline"/>
        <w:rPr>
          <w:szCs w:val="20"/>
          <w:lang w:val="en-US"/>
        </w:rPr>
      </w:pPr>
      <w:r w:rsidRPr="004F47BB">
        <w:rPr>
          <w:szCs w:val="20"/>
          <w:lang w:val="en-US"/>
        </w:rPr>
        <w:t>-</w:t>
      </w:r>
      <w:r w:rsidRPr="004F47BB">
        <w:rPr>
          <w:szCs w:val="20"/>
          <w:lang w:val="en-US"/>
        </w:rPr>
        <w:tab/>
        <w:t>a higher loading condition is possible and may be calculated according to (5) below.</w:t>
      </w: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r w:rsidRPr="004F47BB">
        <w:rPr>
          <w:szCs w:val="20"/>
          <w:lang w:val="en-US"/>
        </w:rPr>
        <w:br w:type="page"/>
      </w: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lastRenderedPageBreak/>
        <w:t>5.</w:t>
      </w:r>
      <w:r w:rsidRPr="004F47BB">
        <w:rPr>
          <w:rFonts w:cs="Arial"/>
          <w:b/>
          <w:color w:val="000000"/>
          <w:szCs w:val="20"/>
          <w:lang w:val="en-US"/>
        </w:rPr>
        <w:tab/>
        <w:t xml:space="preserve">Possible increase of </w:t>
      </w:r>
      <m:oMath>
        <m:sSub>
          <m:sSubPr>
            <m:ctrlPr>
              <w:rPr>
                <w:rFonts w:ascii="Cambria Math" w:hAnsi="Cambria Math" w:cs="Arial"/>
                <w:b/>
                <w:i/>
                <w:color w:val="000000"/>
                <w:szCs w:val="20"/>
                <w:lang w:val="en-US"/>
              </w:rPr>
            </m:ctrlPr>
          </m:sSubPr>
          <m:e>
            <m:r>
              <m:rPr>
                <m:sty m:val="bi"/>
              </m:rPr>
              <w:rPr>
                <w:rFonts w:ascii="Cambria Math" w:hAnsi="Cambria Math" w:cs="Arial"/>
                <w:color w:val="000000"/>
                <w:szCs w:val="20"/>
                <w:lang w:val="en-US"/>
              </w:rPr>
              <m:t>D</m:t>
            </m:r>
          </m:e>
          <m:sub>
            <m:r>
              <m:rPr>
                <m:sty m:val="bi"/>
              </m:rPr>
              <w:rPr>
                <w:rFonts w:ascii="Cambria Math" w:hAnsi="Cambria Math" w:cs="Arial"/>
                <w:color w:val="000000"/>
                <w:szCs w:val="20"/>
                <w:lang w:val="en-US"/>
              </w:rPr>
              <m:t>IST</m:t>
            </m:r>
          </m:sub>
        </m:sSub>
      </m:oMath>
      <w:r w:rsidRPr="004F47BB">
        <w:rPr>
          <w:rFonts w:cs="Arial"/>
          <w:b/>
          <w:color w:val="000000"/>
          <w:szCs w:val="20"/>
          <w:lang w:val="en-US"/>
        </w:rPr>
        <w:t xml:space="preserve"> in downstream navigation</w:t>
      </w: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F12BAF" w:rsidP="004F47BB">
      <w:pPr>
        <w:overflowPunct w:val="0"/>
        <w:adjustRightInd w:val="0"/>
        <w:spacing w:line="240" w:lineRule="atLeast"/>
        <w:ind w:left="567"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NORM</m:t>
                      </m:r>
                    </m:sub>
                  </m:sSub>
                </m:e>
              </m:d>
            </m:e>
            <m:sub>
              <m:r>
                <w:rPr>
                  <w:rFonts w:ascii="Cambria Math" w:hAnsi="Cambria Math"/>
                  <w:szCs w:val="20"/>
                  <w:lang w:val="en-US"/>
                </w:rPr>
                <m:t>Limite</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MESSUNG</m:t>
              </m:r>
            </m:sub>
          </m:sSub>
          <m:r>
            <w:rPr>
              <w:rFonts w:ascii="Cambria Math" w:hAnsi="Cambria Math"/>
              <w:szCs w:val="20"/>
              <w:lang w:val="en-US"/>
            </w:rPr>
            <m:t xml:space="preserve"> ∙ </m:t>
          </m:r>
          <m:f>
            <m:fPr>
              <m:ctrlPr>
                <w:rPr>
                  <w:rFonts w:ascii="Cambria Math" w:hAnsi="Cambria Math"/>
                  <w:i/>
                  <w:szCs w:val="20"/>
                  <w:lang w:val="en-US"/>
                </w:rPr>
              </m:ctrlPr>
            </m:fPr>
            <m:num>
              <m:sSub>
                <m:sSubPr>
                  <m:ctrlPr>
                    <w:rPr>
                      <w:rFonts w:ascii="Cambria Math" w:hAnsi="Cambria Math"/>
                      <w:i/>
                      <w:szCs w:val="20"/>
                      <w:lang w:val="en-US"/>
                    </w:rPr>
                  </m:ctrlPr>
                </m:sSubPr>
                <m:e>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SOLL</m:t>
                          </m:r>
                        </m:sub>
                      </m:sSub>
                    </m:e>
                  </m:d>
                </m:e>
                <m:sub>
                  <m:r>
                    <w:rPr>
                      <w:rFonts w:ascii="Cambria Math" w:hAnsi="Cambria Math"/>
                      <w:szCs w:val="20"/>
                      <w:lang w:val="en-US"/>
                    </w:rPr>
                    <m:t>Limite</m:t>
                  </m:r>
                </m:sub>
              </m:sSub>
            </m:num>
            <m:den>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IST</m:t>
                  </m:r>
                </m:sub>
              </m:sSub>
            </m:den>
          </m:f>
          <m:r>
            <w:rPr>
              <w:rFonts w:ascii="Cambria Math" w:hAnsi="Cambria Math"/>
              <w:szCs w:val="20"/>
              <w:lang w:val="en-US"/>
            </w:rPr>
            <m:t>=550 m</m:t>
          </m:r>
        </m:oMath>
      </m:oMathPara>
    </w:p>
    <w:p w:rsidR="004F47BB" w:rsidRPr="004F47BB" w:rsidRDefault="004F47BB" w:rsidP="004F47BB">
      <w:pPr>
        <w:tabs>
          <w:tab w:val="left" w:pos="454"/>
        </w:tabs>
        <w:overflowPunct w:val="0"/>
        <w:adjustRightInd w:val="0"/>
        <w:spacing w:line="240" w:lineRule="atLeast"/>
        <w:ind w:left="454" w:hanging="454"/>
        <w:jc w:val="left"/>
        <w:textAlignment w:val="baseline"/>
        <w:rPr>
          <w:szCs w:val="20"/>
          <w:lang w:val="en-US"/>
        </w:rPr>
      </w:pPr>
    </w:p>
    <w:p w:rsidR="004F47BB" w:rsidRPr="004F47BB" w:rsidRDefault="00F12BAF" w:rsidP="004F47BB">
      <w:pPr>
        <w:overflowPunct w:val="0"/>
        <w:adjustRightInd w:val="0"/>
        <w:spacing w:line="240" w:lineRule="atLeast"/>
        <w:ind w:left="567"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SOLL</m:t>
                      </m:r>
                    </m:sub>
                  </m:sSub>
                </m:e>
              </m:d>
            </m:e>
            <m:sub>
              <m:r>
                <w:rPr>
                  <w:rFonts w:ascii="Cambria Math" w:hAnsi="Cambria Math"/>
                  <w:szCs w:val="20"/>
                  <w:lang w:val="en-US"/>
                </w:rPr>
                <m:t>Limite</m:t>
              </m:r>
            </m:sub>
          </m:sSub>
          <m:r>
            <w:rPr>
              <w:rFonts w:ascii="Cambria Math" w:hAnsi="Cambria Math"/>
              <w:szCs w:val="20"/>
              <w:lang w:val="en-US"/>
            </w:rPr>
            <m:t xml:space="preserve">=550  ∙ </m:t>
          </m:r>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IST</m:t>
                  </m:r>
                </m:sub>
              </m:sSub>
            </m:num>
            <m:den>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MESSUNG</m:t>
                  </m:r>
                </m:sub>
              </m:sSub>
            </m:den>
          </m:f>
          <m:r>
            <w:rPr>
              <w:rFonts w:ascii="Cambria Math" w:hAnsi="Cambria Math"/>
              <w:szCs w:val="20"/>
              <w:lang w:val="en-US"/>
            </w:rPr>
            <m:t xml:space="preserve">=550 ∙ </m:t>
          </m:r>
          <m:f>
            <m:fPr>
              <m:ctrlPr>
                <w:rPr>
                  <w:rFonts w:ascii="Cambria Math" w:hAnsi="Cambria Math"/>
                  <w:i/>
                  <w:szCs w:val="20"/>
                  <w:lang w:val="en-US"/>
                </w:rPr>
              </m:ctrlPr>
            </m:fPr>
            <m:num>
              <m:r>
                <w:rPr>
                  <w:rFonts w:ascii="Cambria Math" w:hAnsi="Cambria Math"/>
                  <w:szCs w:val="20"/>
                  <w:lang w:val="en-US"/>
                </w:rPr>
                <m:t>303,4</m:t>
              </m:r>
            </m:num>
            <m:den>
              <m:r>
                <w:rPr>
                  <w:rFonts w:ascii="Cambria Math" w:hAnsi="Cambria Math"/>
                  <w:szCs w:val="20"/>
                  <w:lang w:val="en-US"/>
                </w:rPr>
                <m:t>340</m:t>
              </m:r>
            </m:den>
          </m:f>
          <m:r>
            <w:rPr>
              <w:rFonts w:ascii="Cambria Math" w:hAnsi="Cambria Math"/>
              <w:szCs w:val="20"/>
              <w:lang w:val="en-US"/>
            </w:rPr>
            <m:t>=490,8 m</m:t>
          </m:r>
        </m:oMath>
      </m:oMathPara>
    </w:p>
    <w:p w:rsidR="004F47BB" w:rsidRPr="004F47BB" w:rsidRDefault="004F47BB" w:rsidP="004F47BB">
      <w:pPr>
        <w:tabs>
          <w:tab w:val="left" w:pos="454"/>
        </w:tabs>
        <w:overflowPunct w:val="0"/>
        <w:adjustRightInd w:val="0"/>
        <w:spacing w:line="240" w:lineRule="atLeast"/>
        <w:ind w:left="454" w:hanging="454"/>
        <w:jc w:val="left"/>
        <w:textAlignment w:val="baseline"/>
        <w:rPr>
          <w:szCs w:val="20"/>
          <w:lang w:val="en-US"/>
        </w:rPr>
      </w:pPr>
    </w:p>
    <w:p w:rsidR="004F47BB" w:rsidRPr="004F47BB" w:rsidRDefault="004F47BB" w:rsidP="004F47BB">
      <w:pPr>
        <w:tabs>
          <w:tab w:val="left" w:pos="567"/>
          <w:tab w:val="left" w:pos="2127"/>
          <w:tab w:val="left" w:pos="2410"/>
        </w:tabs>
        <w:overflowPunct w:val="0"/>
        <w:adjustRightInd w:val="0"/>
        <w:spacing w:line="240" w:lineRule="atLeast"/>
        <w:ind w:left="567" w:hanging="567"/>
        <w:jc w:val="left"/>
        <w:textAlignment w:val="baseline"/>
        <w:rPr>
          <w:szCs w:val="20"/>
          <w:lang w:val="en-US"/>
        </w:rPr>
      </w:pPr>
      <w:r w:rsidRPr="004F47BB">
        <w:rPr>
          <w:szCs w:val="20"/>
          <w:lang w:val="en-US"/>
        </w:rPr>
        <w:tab/>
        <w:t xml:space="preserve">Avec </w:t>
      </w: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r>
          <w:rPr>
            <w:rFonts w:ascii="Cambria Math" w:hAnsi="Cambria Math"/>
            <w:szCs w:val="20"/>
            <w:lang w:val="en-US"/>
          </w:rPr>
          <m:t>=</m:t>
        </m:r>
        <m:sSub>
          <m:sSubPr>
            <m:ctrlPr>
              <w:rPr>
                <w:rFonts w:ascii="Cambria Math" w:hAnsi="Cambria Math"/>
                <w:i/>
                <w:szCs w:val="20"/>
                <w:lang w:val="en-US"/>
              </w:rPr>
            </m:ctrlPr>
          </m:sSubPr>
          <m:e>
            <m:r>
              <w:rPr>
                <w:rFonts w:ascii="Cambria Math" w:hAnsi="Cambria Math"/>
                <w:szCs w:val="20"/>
                <w:lang w:val="en-US"/>
              </w:rPr>
              <m:t>Const</m:t>
            </m:r>
          </m:e>
          <m:sub>
            <m:r>
              <w:rPr>
                <w:rFonts w:ascii="Cambria Math" w:hAnsi="Cambria Math"/>
                <w:szCs w:val="20"/>
                <w:lang w:val="en-US"/>
              </w:rPr>
              <m:t>SOLL</m:t>
            </m:r>
          </m:sub>
        </m:sSub>
        <m:r>
          <w:rPr>
            <w:rFonts w:ascii="Cambria Math" w:hAnsi="Cambria Math"/>
            <w:szCs w:val="20"/>
            <w:lang w:val="en-US"/>
          </w:rPr>
          <m:t xml:space="preserve"> ∙D</m:t>
        </m:r>
      </m:oMath>
      <w:r w:rsidRPr="004F47BB">
        <w:rPr>
          <w:szCs w:val="20"/>
          <w:lang w:val="en-US"/>
        </w:rPr>
        <w:t xml:space="preserve"> according to the note under (4.2):</w:t>
      </w:r>
    </w:p>
    <w:p w:rsidR="004F47BB" w:rsidRPr="004F47BB" w:rsidRDefault="004F47BB" w:rsidP="004F47BB">
      <w:pPr>
        <w:tabs>
          <w:tab w:val="left" w:pos="454"/>
        </w:tabs>
        <w:overflowPunct w:val="0"/>
        <w:adjustRightInd w:val="0"/>
        <w:spacing w:line="240" w:lineRule="atLeast"/>
        <w:ind w:left="454" w:hanging="454"/>
        <w:jc w:val="left"/>
        <w:textAlignment w:val="baseline"/>
        <w:rPr>
          <w:szCs w:val="20"/>
          <w:lang w:val="en-US"/>
        </w:rPr>
      </w:pPr>
    </w:p>
    <w:p w:rsidR="004F47BB" w:rsidRPr="004F47BB" w:rsidRDefault="00F12BAF" w:rsidP="004F47BB">
      <w:pPr>
        <w:overflowPunct w:val="0"/>
        <w:adjustRightInd w:val="0"/>
        <w:spacing w:line="240" w:lineRule="atLeast"/>
        <w:ind w:left="567"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SOLL</m:t>
                      </m:r>
                    </m:sub>
                  </m:sSub>
                </m:e>
              </m:d>
            </m:e>
            <m:sub>
              <m:r>
                <w:rPr>
                  <w:rFonts w:ascii="Cambria Math" w:hAnsi="Cambria Math"/>
                  <w:szCs w:val="20"/>
                  <w:lang w:val="en-US"/>
                </w:rPr>
                <m:t>Limite</m:t>
              </m:r>
            </m:sub>
          </m:sSub>
          <m:r>
            <w:rPr>
              <w:rFonts w:ascii="Cambria Math" w:hAnsi="Cambria Math"/>
              <w:szCs w:val="20"/>
              <w:lang w:val="en-US"/>
            </w:rPr>
            <m:t xml:space="preserve">= </m:t>
          </m:r>
          <m:sSub>
            <m:sSubPr>
              <m:ctrlPr>
                <w:rPr>
                  <w:rFonts w:ascii="Cambria Math" w:hAnsi="Cambria Math"/>
                  <w:i/>
                  <w:szCs w:val="20"/>
                  <w:lang w:val="en-US"/>
                </w:rPr>
              </m:ctrlPr>
            </m:sSubPr>
            <m:e>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m:t>
                          </m:r>
                        </m:e>
                        <m:sub>
                          <m:r>
                            <w:rPr>
                              <w:rFonts w:ascii="Cambria Math" w:hAnsi="Cambria Math"/>
                              <w:szCs w:val="20"/>
                              <w:lang w:val="en-US"/>
                            </w:rPr>
                            <m:t>SOLL</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e>
              </m:d>
            </m:e>
            <m:sub>
              <m:r>
                <w:rPr>
                  <w:rFonts w:ascii="Cambria Math" w:hAnsi="Cambria Math"/>
                  <w:szCs w:val="20"/>
                  <w:lang w:val="en-US"/>
                </w:rPr>
                <m:t>Limite</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m:t>
                  </m:r>
                </m:e>
                <m:sub>
                  <m:r>
                    <w:rPr>
                      <w:rFonts w:ascii="Cambria Math" w:hAnsi="Cambria Math"/>
                      <w:szCs w:val="20"/>
                      <w:lang w:val="en-US"/>
                    </w:rPr>
                    <m:t>SOLL</m:t>
                  </m:r>
                </m:sub>
              </m:sSub>
            </m:sub>
          </m:sSub>
          <m:r>
            <w:rPr>
              <w:rFonts w:ascii="Cambria Math" w:hAnsi="Cambria Math"/>
              <w:szCs w:val="20"/>
              <w:lang w:val="en-US"/>
            </w:rPr>
            <m:t xml:space="preserve">+0,0472 ∙ </m:t>
          </m:r>
          <m:sSub>
            <m:sSubPr>
              <m:ctrlPr>
                <w:rPr>
                  <w:rFonts w:ascii="Cambria Math" w:hAnsi="Cambria Math"/>
                  <w:i/>
                  <w:szCs w:val="20"/>
                  <w:lang w:val="en-US"/>
                </w:rPr>
              </m:ctrlPr>
            </m:sSubPr>
            <m:e>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SOLL</m:t>
                      </m:r>
                    </m:sub>
                  </m:sSub>
                </m:e>
              </m:d>
            </m:e>
            <m:sub>
              <m:r>
                <w:rPr>
                  <w:rFonts w:ascii="Cambria Math" w:hAnsi="Cambria Math"/>
                  <w:szCs w:val="20"/>
                  <w:lang w:val="en-US"/>
                </w:rPr>
                <m:t>Limite</m:t>
              </m:r>
            </m:sub>
          </m:sSub>
        </m:oMath>
      </m:oMathPara>
    </w:p>
    <w:p w:rsidR="004F47BB" w:rsidRPr="004F47BB" w:rsidRDefault="004F47BB" w:rsidP="004F47BB">
      <w:pPr>
        <w:tabs>
          <w:tab w:val="left" w:pos="454"/>
        </w:tabs>
        <w:overflowPunct w:val="0"/>
        <w:adjustRightInd w:val="0"/>
        <w:spacing w:line="240" w:lineRule="atLeast"/>
        <w:ind w:left="454" w:hanging="454"/>
        <w:jc w:val="left"/>
        <w:textAlignment w:val="baseline"/>
        <w:rPr>
          <w:position w:val="6"/>
          <w:szCs w:val="20"/>
          <w:lang w:val="en-US"/>
        </w:rPr>
      </w:pPr>
    </w:p>
    <w:p w:rsidR="004F47BB" w:rsidRPr="004F47BB" w:rsidRDefault="004F47BB" w:rsidP="004F47BB">
      <w:pPr>
        <w:tabs>
          <w:tab w:val="left" w:pos="567"/>
        </w:tabs>
        <w:overflowPunct w:val="0"/>
        <w:adjustRightInd w:val="0"/>
        <w:spacing w:line="240" w:lineRule="atLeast"/>
        <w:ind w:left="567" w:hanging="567"/>
        <w:jc w:val="left"/>
        <w:textAlignment w:val="baseline"/>
        <w:rPr>
          <w:szCs w:val="20"/>
          <w:lang w:val="en-US"/>
        </w:rPr>
      </w:pPr>
      <w:r w:rsidRPr="004F47BB">
        <w:rPr>
          <w:szCs w:val="20"/>
          <w:lang w:val="en-US"/>
        </w:rPr>
        <w:tab/>
        <w:t>Hence</w:t>
      </w:r>
    </w:p>
    <w:p w:rsidR="004F47BB" w:rsidRPr="004F47BB" w:rsidRDefault="004F47BB" w:rsidP="004F47BB">
      <w:pPr>
        <w:overflowPunct w:val="0"/>
        <w:adjustRightInd w:val="0"/>
        <w:spacing w:line="240" w:lineRule="atLeast"/>
        <w:ind w:left="567" w:firstLine="0"/>
        <w:jc w:val="left"/>
        <w:textAlignment w:val="baseline"/>
        <w:rPr>
          <w:szCs w:val="20"/>
          <w:lang w:val="en-US"/>
        </w:rPr>
      </w:pPr>
    </w:p>
    <w:p w:rsidR="004F47BB" w:rsidRPr="004F47BB" w:rsidRDefault="00F12BAF" w:rsidP="004F47BB">
      <w:pPr>
        <w:overflowPunct w:val="0"/>
        <w:adjustRightInd w:val="0"/>
        <w:spacing w:line="240" w:lineRule="atLeast"/>
        <w:ind w:left="567"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SOLL</m:t>
                      </m:r>
                    </m:sub>
                  </m:sSub>
                </m:e>
              </m:d>
            </m:e>
            <m:sub>
              <m:r>
                <w:rPr>
                  <w:rFonts w:ascii="Cambria Math" w:hAnsi="Cambria Math"/>
                  <w:szCs w:val="20"/>
                  <w:lang w:val="en-US"/>
                </w:rPr>
                <m:t>Limite</m:t>
              </m:r>
            </m:sub>
          </m:sSub>
          <m:r>
            <w:rPr>
              <w:rFonts w:ascii="Cambria Math" w:hAnsi="Cambria Math"/>
              <w:szCs w:val="20"/>
              <w:lang w:val="en-US"/>
            </w:rPr>
            <m:t xml:space="preserve">= </m:t>
          </m:r>
          <m:f>
            <m:fPr>
              <m:ctrlPr>
                <w:rPr>
                  <w:rFonts w:ascii="Cambria Math" w:hAnsi="Cambria Math"/>
                  <w:i/>
                  <w:szCs w:val="20"/>
                  <w:lang w:val="en-US"/>
                </w:rPr>
              </m:ctrlPr>
            </m:fPr>
            <m:num>
              <m:sSub>
                <m:sSubPr>
                  <m:ctrlPr>
                    <w:rPr>
                      <w:rFonts w:ascii="Cambria Math" w:hAnsi="Cambria Math"/>
                      <w:i/>
                      <w:szCs w:val="20"/>
                      <w:lang w:val="en-US"/>
                    </w:rPr>
                  </m:ctrlPr>
                </m:sSubPr>
                <m:e>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SOLL</m:t>
                          </m:r>
                        </m:sub>
                      </m:sSub>
                    </m:e>
                  </m:d>
                </m:e>
                <m:sub>
                  <m:r>
                    <w:rPr>
                      <w:rFonts w:ascii="Cambria Math" w:hAnsi="Cambria Math"/>
                      <w:szCs w:val="20"/>
                      <w:lang w:val="en-US"/>
                    </w:rPr>
                    <m:t>Limite</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m:t>
                      </m:r>
                    </m:e>
                    <m:sub>
                      <m:r>
                        <w:rPr>
                          <w:rFonts w:ascii="Cambria Math" w:hAnsi="Cambria Math"/>
                          <w:szCs w:val="20"/>
                          <w:lang w:val="en-US"/>
                        </w:rPr>
                        <m:t>SOLL</m:t>
                      </m:r>
                    </m:sub>
                  </m:sSub>
                </m:sub>
              </m:sSub>
            </m:num>
            <m:den>
              <m:r>
                <w:rPr>
                  <w:rFonts w:ascii="Cambria Math" w:hAnsi="Cambria Math"/>
                  <w:szCs w:val="20"/>
                  <w:lang w:val="en-US"/>
                </w:rPr>
                <m:t>0,0472</m:t>
              </m:r>
            </m:den>
          </m:f>
          <m:r>
            <w:rPr>
              <w:rFonts w:ascii="Cambria Math" w:hAnsi="Cambria Math"/>
              <w:szCs w:val="20"/>
              <w:lang w:val="en-US"/>
            </w:rPr>
            <m:t xml:space="preserve">= </m:t>
          </m:r>
          <m:f>
            <m:fPr>
              <m:ctrlPr>
                <w:rPr>
                  <w:rFonts w:ascii="Cambria Math" w:hAnsi="Cambria Math"/>
                  <w:i/>
                  <w:szCs w:val="20"/>
                  <w:lang w:val="en-US"/>
                </w:rPr>
              </m:ctrlPr>
            </m:fPr>
            <m:num>
              <m:r>
                <w:rPr>
                  <w:rFonts w:ascii="Cambria Math" w:hAnsi="Cambria Math"/>
                  <w:szCs w:val="20"/>
                  <w:lang w:val="en-US"/>
                </w:rPr>
                <m:t>490,8-77,5</m:t>
              </m:r>
            </m:num>
            <m:den>
              <m:r>
                <w:rPr>
                  <w:rFonts w:ascii="Cambria Math" w:hAnsi="Cambria Math"/>
                  <w:szCs w:val="20"/>
                  <w:lang w:val="en-US"/>
                </w:rPr>
                <m:t>0,0472</m:t>
              </m:r>
            </m:den>
          </m:f>
          <m:r>
            <w:rPr>
              <w:rFonts w:ascii="Cambria Math" w:hAnsi="Cambria Math"/>
              <w:szCs w:val="20"/>
              <w:lang w:val="en-US"/>
            </w:rPr>
            <m:t>=</m:t>
          </m:r>
          <m:r>
            <m:rPr>
              <m:sty m:val="bi"/>
            </m:rPr>
            <w:rPr>
              <w:rFonts w:ascii="Cambria Math" w:hAnsi="Cambria Math"/>
              <w:szCs w:val="20"/>
              <w:lang w:val="en-US"/>
            </w:rPr>
            <m:t xml:space="preserve">8756 </m:t>
          </m:r>
          <m:sSup>
            <m:sSupPr>
              <m:ctrlPr>
                <w:rPr>
                  <w:rFonts w:ascii="Cambria Math" w:hAnsi="Cambria Math"/>
                  <w:b/>
                  <w:i/>
                  <w:szCs w:val="20"/>
                  <w:lang w:val="en-US"/>
                </w:rPr>
              </m:ctrlPr>
            </m:sSupPr>
            <m:e>
              <m:r>
                <m:rPr>
                  <m:sty m:val="bi"/>
                </m:rPr>
                <w:rPr>
                  <w:rFonts w:ascii="Cambria Math" w:hAnsi="Cambria Math"/>
                  <w:szCs w:val="20"/>
                  <w:lang w:val="en-US"/>
                </w:rPr>
                <m:t>m</m:t>
              </m:r>
            </m:e>
            <m:sup>
              <m:r>
                <m:rPr>
                  <m:sty m:val="bi"/>
                </m:rPr>
                <w:rPr>
                  <w:rFonts w:ascii="Cambria Math" w:hAnsi="Cambria Math"/>
                  <w:szCs w:val="20"/>
                  <w:lang w:val="en-US"/>
                </w:rPr>
                <m:t>3</m:t>
              </m:r>
            </m:sup>
          </m:sSup>
        </m:oMath>
      </m:oMathPara>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567"/>
        </w:tabs>
        <w:overflowPunct w:val="0"/>
        <w:adjustRightInd w:val="0"/>
        <w:spacing w:line="240" w:lineRule="exact"/>
        <w:ind w:left="567" w:hanging="567"/>
        <w:jc w:val="left"/>
        <w:textAlignment w:val="baseline"/>
        <w:rPr>
          <w:szCs w:val="20"/>
          <w:lang w:val="en-US"/>
        </w:rPr>
      </w:pPr>
      <w:r w:rsidRPr="004F47BB">
        <w:rPr>
          <w:szCs w:val="20"/>
          <w:lang w:val="en-US"/>
        </w:rPr>
        <w:tab/>
      </w:r>
      <w:r w:rsidRPr="004F47BB">
        <w:rPr>
          <w:b/>
          <w:szCs w:val="20"/>
          <w:lang w:val="en-US"/>
        </w:rPr>
        <w:t>From this follows that</w:t>
      </w:r>
      <w:r w:rsidRPr="004F47BB">
        <w:rPr>
          <w:szCs w:val="20"/>
          <w:lang w:val="en-US"/>
        </w:rPr>
        <w:t>:</w:t>
      </w:r>
    </w:p>
    <w:p w:rsidR="004F47BB" w:rsidRPr="004F47BB" w:rsidRDefault="004F47BB" w:rsidP="004F47BB">
      <w:pPr>
        <w:tabs>
          <w:tab w:val="left" w:pos="567"/>
        </w:tabs>
        <w:overflowPunct w:val="0"/>
        <w:adjustRightInd w:val="0"/>
        <w:spacing w:line="240" w:lineRule="exact"/>
        <w:ind w:left="567" w:hanging="567"/>
        <w:jc w:val="left"/>
        <w:textAlignment w:val="baseline"/>
        <w:rPr>
          <w:szCs w:val="20"/>
          <w:lang w:val="en-US"/>
        </w:rPr>
      </w:pPr>
    </w:p>
    <w:p w:rsidR="004F47BB" w:rsidRPr="004F47BB" w:rsidRDefault="004F47BB" w:rsidP="004F47BB">
      <w:pPr>
        <w:spacing w:line="240" w:lineRule="atLeast"/>
        <w:ind w:left="567" w:firstLine="0"/>
        <w:rPr>
          <w:lang w:val="en-US"/>
        </w:rPr>
      </w:pPr>
      <w:r w:rsidRPr="004F47BB">
        <w:rPr>
          <w:lang w:val="en-US"/>
        </w:rPr>
        <w:t xml:space="preserve">Since </w:t>
      </w:r>
      <m:oMath>
        <m:sSub>
          <m:sSubPr>
            <m:ctrlPr>
              <w:rPr>
                <w:rFonts w:ascii="Cambria Math" w:hAnsi="Cambria Math"/>
                <w:i/>
                <w:szCs w:val="20"/>
                <w:lang w:val="en-US"/>
              </w:rPr>
            </m:ctrlPr>
          </m:sSubPr>
          <m:e>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SOLL</m:t>
                    </m:r>
                  </m:sub>
                </m:sSub>
              </m:e>
            </m:d>
          </m:e>
          <m:sub>
            <m:r>
              <w:rPr>
                <w:rFonts w:ascii="Cambria Math" w:hAnsi="Cambria Math"/>
                <w:szCs w:val="20"/>
                <w:lang w:val="en-US"/>
              </w:rPr>
              <m:t>Limite</m:t>
            </m:r>
          </m:sub>
        </m:sSub>
        <m:r>
          <w:rPr>
            <w:rFonts w:ascii="Cambria Math" w:hAnsi="Cambria Math"/>
            <w:szCs w:val="20"/>
            <w:lang w:val="en-US"/>
          </w:rPr>
          <m:t xml:space="preserve">&gt;  </m:t>
        </m:r>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max</m:t>
            </m:r>
          </m:sub>
        </m:sSub>
        <m:r>
          <w:rPr>
            <w:rFonts w:ascii="Cambria Math" w:hAnsi="Cambria Math"/>
            <w:szCs w:val="20"/>
            <w:lang w:val="en-US"/>
          </w:rPr>
          <m:t xml:space="preserve"> </m:t>
        </m:r>
        <m:d>
          <m:dPr>
            <m:ctrlPr>
              <w:rPr>
                <w:rFonts w:ascii="Cambria Math" w:hAnsi="Cambria Math"/>
                <w:i/>
                <w:szCs w:val="20"/>
                <w:lang w:val="en-US"/>
              </w:rPr>
            </m:ctrlPr>
          </m:dPr>
          <m:e>
            <m:r>
              <w:rPr>
                <w:rFonts w:ascii="Cambria Math" w:hAnsi="Cambria Math"/>
                <w:szCs w:val="20"/>
                <w:lang w:val="en-US"/>
              </w:rPr>
              <m:t>8756 &gt;6474</m:t>
            </m:r>
          </m:e>
        </m:d>
      </m:oMath>
      <w:r w:rsidRPr="004F47BB">
        <w:rPr>
          <w:szCs w:val="20"/>
          <w:lang w:val="en-US"/>
        </w:rPr>
        <w:t xml:space="preserve"> </w:t>
      </w:r>
      <w:r w:rsidRPr="004F47BB">
        <w:rPr>
          <w:noProof/>
          <w:lang w:val="en-US"/>
        </w:rPr>
        <w:t xml:space="preserve">this formation (see (1)) may be </w:t>
      </w:r>
      <w:r w:rsidRPr="004F47BB">
        <w:rPr>
          <w:iCs/>
          <w:noProof/>
          <w:u w:val="single"/>
          <w:lang w:val="en-US"/>
        </w:rPr>
        <w:t>permitted in downstream navigation with full load</w:t>
      </w:r>
      <w:r w:rsidRPr="004F47BB">
        <w:rPr>
          <w:u w:val="single"/>
          <w:lang w:val="en-US"/>
        </w:rPr>
        <w:t>.</w:t>
      </w:r>
    </w:p>
    <w:p w:rsidR="004F47BB" w:rsidRPr="004F47BB" w:rsidRDefault="004F47BB" w:rsidP="004F47BB">
      <w:pPr>
        <w:tabs>
          <w:tab w:val="left" w:pos="454"/>
        </w:tabs>
        <w:overflowPunct w:val="0"/>
        <w:adjustRightInd w:val="0"/>
        <w:spacing w:line="240" w:lineRule="atLeast"/>
        <w:ind w:left="454" w:hanging="454"/>
        <w:jc w:val="left"/>
        <w:textAlignment w:val="baseline"/>
        <w:rPr>
          <w:szCs w:val="20"/>
          <w:lang w:val="en-US"/>
        </w:rPr>
      </w:pPr>
    </w:p>
    <w:p w:rsidR="004F47BB" w:rsidRPr="004F47BB" w:rsidRDefault="004F47BB" w:rsidP="004F47BB">
      <w:pPr>
        <w:tabs>
          <w:tab w:val="left" w:pos="454"/>
        </w:tabs>
        <w:overflowPunct w:val="0"/>
        <w:adjustRightInd w:val="0"/>
        <w:spacing w:line="240" w:lineRule="atLeast"/>
        <w:ind w:left="454" w:hanging="454"/>
        <w:jc w:val="left"/>
        <w:textAlignment w:val="baseline"/>
        <w:rPr>
          <w:szCs w:val="20"/>
          <w:lang w:val="en-US"/>
        </w:rPr>
      </w:pPr>
    </w:p>
    <w:p w:rsidR="004F47BB" w:rsidRPr="004F47BB" w:rsidRDefault="004F47BB" w:rsidP="004F47BB">
      <w:pPr>
        <w:spacing w:line="240" w:lineRule="atLeast"/>
        <w:ind w:left="567" w:hanging="567"/>
        <w:rPr>
          <w:lang w:val="en-US"/>
        </w:rPr>
        <w:sectPr w:rsidR="004F47BB" w:rsidRPr="004F47BB" w:rsidSect="00D45887">
          <w:headerReference w:type="default" r:id="rId124"/>
          <w:headerReference w:type="first" r:id="rId125"/>
          <w:pgSz w:w="11907" w:h="16840" w:code="9"/>
          <w:pgMar w:top="1418" w:right="1418" w:bottom="1418" w:left="1418" w:header="680" w:footer="680" w:gutter="0"/>
          <w:cols w:space="720"/>
          <w:noEndnote/>
          <w:titlePg/>
        </w:sectPr>
      </w:pPr>
    </w:p>
    <w:p w:rsidR="004F47BB" w:rsidRPr="00C859BD" w:rsidRDefault="004F47BB" w:rsidP="005B46C9">
      <w:pPr>
        <w:pStyle w:val="ES-Titre4prESIexple"/>
        <w:rPr>
          <w:lang w:val="en-US"/>
        </w:rPr>
      </w:pPr>
      <w:r w:rsidRPr="00C859BD">
        <w:rPr>
          <w:lang w:val="en-US"/>
        </w:rPr>
        <w:lastRenderedPageBreak/>
        <w:t>Example II</w:t>
      </w:r>
    </w:p>
    <w:p w:rsidR="004F47BB" w:rsidRPr="004F47BB" w:rsidRDefault="004F47BB" w:rsidP="004F47BB">
      <w:pPr>
        <w:spacing w:line="240" w:lineRule="atLeast"/>
        <w:ind w:left="567" w:hanging="567"/>
        <w:rPr>
          <w:lang w:val="en-US"/>
        </w:rPr>
      </w:pPr>
    </w:p>
    <w:p w:rsidR="004F47BB" w:rsidRPr="004F47BB" w:rsidRDefault="004F47BB" w:rsidP="004F47BB">
      <w:pPr>
        <w:tabs>
          <w:tab w:val="left" w:pos="567"/>
        </w:tabs>
        <w:overflowPunct w:val="0"/>
        <w:adjustRightInd w:val="0"/>
        <w:spacing w:line="240" w:lineRule="exact"/>
        <w:ind w:left="567" w:hanging="567"/>
        <w:textAlignment w:val="baseline"/>
        <w:rPr>
          <w:b/>
          <w:szCs w:val="20"/>
          <w:lang w:val="en-US"/>
        </w:rPr>
      </w:pPr>
      <w:r w:rsidRPr="004F47BB">
        <w:rPr>
          <w:b/>
          <w:szCs w:val="20"/>
          <w:lang w:val="en-US"/>
        </w:rPr>
        <w:t>1.</w:t>
      </w:r>
      <w:r w:rsidRPr="004F47BB">
        <w:rPr>
          <w:b/>
          <w:szCs w:val="20"/>
          <w:lang w:val="en-US"/>
        </w:rPr>
        <w:tab/>
        <w:t>Data of vessels and convoy</w:t>
      </w: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567"/>
          <w:tab w:val="left" w:pos="1843"/>
        </w:tabs>
        <w:overflowPunct w:val="0"/>
        <w:adjustRightInd w:val="0"/>
        <w:spacing w:line="240" w:lineRule="atLeast"/>
        <w:ind w:left="567" w:firstLine="0"/>
        <w:textAlignment w:val="baseline"/>
        <w:rPr>
          <w:szCs w:val="20"/>
          <w:lang w:val="en-US"/>
        </w:rPr>
      </w:pPr>
      <w:r w:rsidRPr="004F47BB">
        <w:rPr>
          <w:szCs w:val="20"/>
          <w:lang w:val="en-US"/>
        </w:rPr>
        <w:t>Formation: large motor vessel propelling</w:t>
      </w:r>
    </w:p>
    <w:p w:rsidR="004F47BB" w:rsidRPr="004F47BB" w:rsidRDefault="004F47BB" w:rsidP="004F47BB">
      <w:pPr>
        <w:tabs>
          <w:tab w:val="left" w:pos="567"/>
          <w:tab w:val="left" w:pos="1843"/>
        </w:tabs>
        <w:overflowPunct w:val="0"/>
        <w:adjustRightInd w:val="0"/>
        <w:spacing w:line="240" w:lineRule="atLeast"/>
        <w:ind w:left="567" w:firstLine="0"/>
        <w:textAlignment w:val="baseline"/>
        <w:rPr>
          <w:szCs w:val="20"/>
          <w:lang w:val="en-US"/>
        </w:rPr>
      </w:pPr>
      <w:r w:rsidRPr="004F47BB">
        <w:rPr>
          <w:szCs w:val="20"/>
          <w:lang w:val="en-US"/>
        </w:rPr>
        <w:t>2 lighters side-by-side in front and</w:t>
      </w:r>
    </w:p>
    <w:p w:rsidR="004F47BB" w:rsidRPr="004F47BB" w:rsidRDefault="004F47BB" w:rsidP="004F47BB">
      <w:pPr>
        <w:tabs>
          <w:tab w:val="left" w:pos="567"/>
          <w:tab w:val="left" w:pos="1843"/>
        </w:tabs>
        <w:overflowPunct w:val="0"/>
        <w:adjustRightInd w:val="0"/>
        <w:spacing w:line="240" w:lineRule="atLeast"/>
        <w:ind w:left="567" w:firstLine="0"/>
        <w:textAlignment w:val="baseline"/>
        <w:rPr>
          <w:szCs w:val="20"/>
          <w:lang w:val="en-US"/>
        </w:rPr>
      </w:pPr>
      <w:r w:rsidRPr="004F47BB">
        <w:rPr>
          <w:szCs w:val="20"/>
          <w:lang w:val="en-US"/>
        </w:rPr>
        <w:t>1 lighter coupled side-by-side.</w:t>
      </w:r>
    </w:p>
    <w:p w:rsidR="004F47BB" w:rsidRPr="004F47BB" w:rsidRDefault="004F47BB" w:rsidP="004F47BB">
      <w:pPr>
        <w:overflowPunct w:val="0"/>
        <w:adjustRightInd w:val="0"/>
        <w:ind w:left="0" w:firstLine="0"/>
        <w:jc w:val="left"/>
        <w:textAlignment w:val="baseline"/>
        <w:rPr>
          <w:szCs w:val="20"/>
          <w:lang w:val="en-US"/>
        </w:rPr>
      </w:pPr>
    </w:p>
    <w:tbl>
      <w:tblPr>
        <w:tblW w:w="9527" w:type="dxa"/>
        <w:tblInd w:w="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61"/>
        <w:gridCol w:w="1361"/>
        <w:gridCol w:w="1361"/>
        <w:gridCol w:w="1361"/>
        <w:gridCol w:w="1361"/>
        <w:gridCol w:w="1361"/>
        <w:gridCol w:w="1361"/>
      </w:tblGrid>
      <w:tr w:rsidR="004F47BB" w:rsidRPr="004F47BB" w:rsidTr="00D45887">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lang w:val="en-US"/>
              </w:rPr>
            </w:pPr>
          </w:p>
        </w:tc>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lang w:val="de-DE"/>
              </w:rPr>
            </w:pPr>
            <m:oMath>
              <m:r>
                <w:rPr>
                  <w:rFonts w:ascii="Cambria Math" w:hAnsi="Cambria Math"/>
                  <w:sz w:val="18"/>
                  <w:szCs w:val="18"/>
                  <w:lang w:val="de-DE"/>
                </w:rPr>
                <m:t>L</m:t>
              </m:r>
            </m:oMath>
            <w:r w:rsidRPr="004F47BB">
              <w:rPr>
                <w:sz w:val="18"/>
                <w:szCs w:val="18"/>
                <w:lang w:val="de-DE"/>
              </w:rPr>
              <w:t xml:space="preserve"> [m]</w:t>
            </w:r>
          </w:p>
        </w:tc>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lang w:val="de-DE"/>
              </w:rPr>
            </w:pPr>
            <m:oMath>
              <m:r>
                <w:rPr>
                  <w:rFonts w:ascii="Cambria Math" w:hAnsi="Cambria Math"/>
                  <w:sz w:val="18"/>
                  <w:szCs w:val="18"/>
                  <w:lang w:val="de-DE"/>
                </w:rPr>
                <m:t>B</m:t>
              </m:r>
            </m:oMath>
            <w:r w:rsidRPr="004F47BB">
              <w:rPr>
                <w:sz w:val="18"/>
                <w:szCs w:val="18"/>
                <w:lang w:val="de-DE"/>
              </w:rPr>
              <w:t xml:space="preserve"> [m]</w:t>
            </w:r>
          </w:p>
        </w:tc>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lang w:val="de-DE"/>
              </w:rPr>
            </w:pPr>
            <m:oMath>
              <m:r>
                <w:rPr>
                  <w:rFonts w:ascii="Cambria Math" w:hAnsi="Cambria Math"/>
                  <w:sz w:val="18"/>
                  <w:szCs w:val="18"/>
                  <w:lang w:val="de-DE"/>
                </w:rPr>
                <m:t>T</m:t>
              </m:r>
              <m:r>
                <w:rPr>
                  <w:rFonts w:ascii="Cambria Math" w:hAnsi="Cambria Math"/>
                  <w:position w:val="-6"/>
                  <w:sz w:val="16"/>
                  <w:szCs w:val="18"/>
                  <w:lang w:val="de-DE"/>
                </w:rPr>
                <m:t>max</m:t>
              </m:r>
            </m:oMath>
            <w:r w:rsidRPr="004F47BB">
              <w:rPr>
                <w:sz w:val="18"/>
                <w:szCs w:val="18"/>
                <w:lang w:val="de-DE"/>
              </w:rPr>
              <w:t xml:space="preserve"> [m]</w:t>
            </w:r>
          </w:p>
        </w:tc>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lang w:val="de-DE"/>
              </w:rPr>
            </w:pPr>
            <m:oMath>
              <m:r>
                <w:rPr>
                  <w:rFonts w:ascii="Cambria Math" w:hAnsi="Cambria Math"/>
                  <w:szCs w:val="20"/>
                  <w:lang w:val="de-DE"/>
                </w:rPr>
                <m:t>Tgf</m:t>
              </m:r>
              <m:r>
                <w:rPr>
                  <w:rFonts w:ascii="Cambria Math" w:hAnsi="Cambria Math"/>
                  <w:position w:val="6"/>
                  <w:sz w:val="18"/>
                  <w:szCs w:val="18"/>
                  <w:lang w:val="de-DE"/>
                </w:rPr>
                <m:t>*</m:t>
              </m:r>
              <m:r>
                <w:rPr>
                  <w:rFonts w:ascii="Cambria Math" w:hAnsi="Cambria Math"/>
                  <w:position w:val="-6"/>
                  <w:sz w:val="16"/>
                  <w:szCs w:val="18"/>
                  <w:lang w:val="de-DE"/>
                </w:rPr>
                <m:t>max</m:t>
              </m:r>
            </m:oMath>
            <w:r w:rsidRPr="004F47BB">
              <w:rPr>
                <w:sz w:val="18"/>
                <w:szCs w:val="18"/>
                <w:lang w:val="de-DE"/>
              </w:rPr>
              <w:t xml:space="preserve"> [t]</w:t>
            </w:r>
          </w:p>
        </w:tc>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lang w:val="de-DE"/>
              </w:rPr>
            </w:pPr>
            <m:oMath>
              <m:r>
                <w:rPr>
                  <w:rFonts w:ascii="Cambria Math" w:hAnsi="Cambria Math"/>
                  <w:sz w:val="18"/>
                  <w:szCs w:val="18"/>
                  <w:lang w:val="de-DE"/>
                </w:rPr>
                <m:t>D</m:t>
              </m:r>
              <m:r>
                <w:rPr>
                  <w:rFonts w:ascii="Cambria Math" w:hAnsi="Cambria Math"/>
                  <w:position w:val="-6"/>
                  <w:sz w:val="16"/>
                  <w:szCs w:val="18"/>
                  <w:lang w:val="de-DE"/>
                </w:rPr>
                <m:t>max</m:t>
              </m:r>
            </m:oMath>
            <w:r w:rsidRPr="004F47BB">
              <w:rPr>
                <w:sz w:val="18"/>
                <w:szCs w:val="18"/>
                <w:lang w:val="de-DE"/>
              </w:rPr>
              <w:t xml:space="preserve"> [m</w:t>
            </w:r>
            <w:r w:rsidRPr="004F47BB">
              <w:rPr>
                <w:position w:val="6"/>
                <w:sz w:val="16"/>
                <w:szCs w:val="18"/>
                <w:lang w:val="de-DE"/>
              </w:rPr>
              <w:t>3</w:t>
            </w:r>
            <w:r w:rsidRPr="004F47BB">
              <w:rPr>
                <w:sz w:val="18"/>
                <w:szCs w:val="18"/>
                <w:lang w:val="de-DE"/>
              </w:rPr>
              <w:t>]</w:t>
            </w:r>
          </w:p>
        </w:tc>
        <w:tc>
          <w:tcPr>
            <w:tcW w:w="1361" w:type="dxa"/>
          </w:tcPr>
          <w:p w:rsidR="004F47BB" w:rsidRPr="004F47BB" w:rsidRDefault="004F47BB" w:rsidP="004F47BB">
            <w:pPr>
              <w:overflowPunct w:val="0"/>
              <w:adjustRightInd w:val="0"/>
              <w:spacing w:before="80" w:after="80"/>
              <w:ind w:left="0" w:firstLine="0"/>
              <w:jc w:val="center"/>
              <w:textAlignment w:val="baseline"/>
              <w:rPr>
                <w:sz w:val="18"/>
                <w:szCs w:val="18"/>
                <w:lang w:val="de-DE"/>
              </w:rPr>
            </w:pPr>
            <w:r w:rsidRPr="004F47BB">
              <w:rPr>
                <w:sz w:val="18"/>
                <w:szCs w:val="18"/>
                <w:lang w:val="de-DE"/>
              </w:rPr>
              <w:t>P</w:t>
            </w:r>
            <w:r w:rsidRPr="004F47BB">
              <w:rPr>
                <w:position w:val="-6"/>
                <w:sz w:val="16"/>
                <w:szCs w:val="18"/>
                <w:lang w:val="de-DE"/>
              </w:rPr>
              <w:t>B</w:t>
            </w:r>
            <w:r w:rsidRPr="004F47BB">
              <w:rPr>
                <w:sz w:val="18"/>
                <w:szCs w:val="18"/>
                <w:lang w:val="de-DE"/>
              </w:rPr>
              <w:t xml:space="preserve"> [kW]</w:t>
            </w:r>
          </w:p>
        </w:tc>
      </w:tr>
      <w:tr w:rsidR="004F47BB" w:rsidRPr="004F47BB" w:rsidTr="00D45887">
        <w:tc>
          <w:tcPr>
            <w:tcW w:w="1361" w:type="dxa"/>
          </w:tcPr>
          <w:p w:rsidR="004F47BB" w:rsidRPr="004F47BB" w:rsidRDefault="004F47BB" w:rsidP="004F47BB">
            <w:pPr>
              <w:overflowPunct w:val="0"/>
              <w:adjustRightInd w:val="0"/>
              <w:spacing w:before="80" w:after="80"/>
              <w:ind w:left="57" w:firstLine="0"/>
              <w:textAlignment w:val="baseline"/>
              <w:rPr>
                <w:sz w:val="18"/>
                <w:szCs w:val="18"/>
                <w:lang w:val="en-US"/>
              </w:rPr>
            </w:pPr>
            <w:r w:rsidRPr="004F47BB">
              <w:rPr>
                <w:sz w:val="18"/>
                <w:szCs w:val="18"/>
                <w:lang w:val="en-US"/>
              </w:rPr>
              <w:t>Motor vessel</w:t>
            </w:r>
          </w:p>
        </w:tc>
        <w:tc>
          <w:tcPr>
            <w:tcW w:w="1361" w:type="dxa"/>
          </w:tcPr>
          <w:p w:rsidR="004F47BB" w:rsidRPr="004F47BB" w:rsidRDefault="004F47BB" w:rsidP="004F47BB">
            <w:pPr>
              <w:tabs>
                <w:tab w:val="decimal" w:pos="709"/>
              </w:tabs>
              <w:overflowPunct w:val="0"/>
              <w:adjustRightInd w:val="0"/>
              <w:spacing w:before="80" w:after="80"/>
              <w:ind w:left="113" w:right="113" w:firstLine="0"/>
              <w:textAlignment w:val="baseline"/>
              <w:rPr>
                <w:sz w:val="18"/>
                <w:szCs w:val="18"/>
              </w:rPr>
            </w:pPr>
            <w:r w:rsidRPr="004F47BB">
              <w:rPr>
                <w:sz w:val="18"/>
                <w:szCs w:val="18"/>
              </w:rPr>
              <w:t>110</w:t>
            </w:r>
          </w:p>
        </w:tc>
        <w:tc>
          <w:tcPr>
            <w:tcW w:w="1361" w:type="dxa"/>
          </w:tcPr>
          <w:p w:rsidR="004F47BB" w:rsidRPr="004F47BB" w:rsidRDefault="004F47BB" w:rsidP="004F47BB">
            <w:pPr>
              <w:tabs>
                <w:tab w:val="decimal" w:pos="708"/>
              </w:tabs>
              <w:overflowPunct w:val="0"/>
              <w:adjustRightInd w:val="0"/>
              <w:spacing w:before="80" w:after="80"/>
              <w:ind w:left="113" w:right="113" w:firstLine="0"/>
              <w:textAlignment w:val="baseline"/>
              <w:rPr>
                <w:sz w:val="18"/>
                <w:szCs w:val="18"/>
              </w:rPr>
            </w:pPr>
            <w:r w:rsidRPr="004F47BB">
              <w:rPr>
                <w:sz w:val="18"/>
                <w:szCs w:val="18"/>
              </w:rPr>
              <w:t>11,4</w:t>
            </w:r>
          </w:p>
        </w:tc>
        <w:tc>
          <w:tcPr>
            <w:tcW w:w="1361" w:type="dxa"/>
          </w:tcPr>
          <w:p w:rsidR="004F47BB" w:rsidRPr="004F47BB" w:rsidRDefault="004F47BB" w:rsidP="004F47BB">
            <w:pPr>
              <w:tabs>
                <w:tab w:val="decimal" w:pos="737"/>
              </w:tabs>
              <w:overflowPunct w:val="0"/>
              <w:adjustRightInd w:val="0"/>
              <w:spacing w:before="80" w:after="80"/>
              <w:ind w:left="113" w:right="113" w:firstLine="0"/>
              <w:textAlignment w:val="baseline"/>
              <w:rPr>
                <w:sz w:val="18"/>
                <w:szCs w:val="18"/>
              </w:rPr>
            </w:pPr>
            <w:r w:rsidRPr="004F47BB">
              <w:rPr>
                <w:sz w:val="18"/>
                <w:szCs w:val="18"/>
              </w:rPr>
              <w:t>3,5</w:t>
            </w:r>
          </w:p>
        </w:tc>
        <w:tc>
          <w:tcPr>
            <w:tcW w:w="1361" w:type="dxa"/>
          </w:tcPr>
          <w:p w:rsidR="004F47BB" w:rsidRPr="004F47BB" w:rsidRDefault="004F47BB" w:rsidP="004F47BB">
            <w:pPr>
              <w:tabs>
                <w:tab w:val="decimal" w:pos="849"/>
              </w:tabs>
              <w:overflowPunct w:val="0"/>
              <w:adjustRightInd w:val="0"/>
              <w:spacing w:before="80" w:after="80"/>
              <w:ind w:left="113" w:right="113" w:firstLine="0"/>
              <w:textAlignment w:val="baseline"/>
              <w:rPr>
                <w:sz w:val="18"/>
                <w:szCs w:val="18"/>
              </w:rPr>
            </w:pPr>
            <w:r w:rsidRPr="004F47BB">
              <w:rPr>
                <w:sz w:val="18"/>
                <w:szCs w:val="18"/>
              </w:rPr>
              <w:t>2900</w:t>
            </w:r>
          </w:p>
        </w:tc>
        <w:tc>
          <w:tcPr>
            <w:tcW w:w="1361" w:type="dxa"/>
          </w:tcPr>
          <w:p w:rsidR="004F47BB" w:rsidRPr="004F47BB" w:rsidRDefault="004F47BB" w:rsidP="004F47BB">
            <w:pPr>
              <w:tabs>
                <w:tab w:val="decimal" w:pos="990"/>
              </w:tabs>
              <w:overflowPunct w:val="0"/>
              <w:adjustRightInd w:val="0"/>
              <w:spacing w:before="80" w:after="80"/>
              <w:ind w:left="113" w:right="113" w:firstLine="0"/>
              <w:textAlignment w:val="baseline"/>
              <w:rPr>
                <w:sz w:val="18"/>
                <w:szCs w:val="18"/>
              </w:rPr>
            </w:pPr>
            <w:r w:rsidRPr="004F47BB">
              <w:rPr>
                <w:sz w:val="18"/>
                <w:szCs w:val="18"/>
              </w:rPr>
              <w:t>3731</w:t>
            </w:r>
          </w:p>
        </w:tc>
        <w:tc>
          <w:tcPr>
            <w:tcW w:w="1361" w:type="dxa"/>
          </w:tcPr>
          <w:p w:rsidR="004F47BB" w:rsidRPr="004F47BB" w:rsidRDefault="004F47BB" w:rsidP="004F47BB">
            <w:pPr>
              <w:tabs>
                <w:tab w:val="decimal" w:pos="848"/>
              </w:tabs>
              <w:overflowPunct w:val="0"/>
              <w:adjustRightInd w:val="0"/>
              <w:spacing w:before="80" w:after="80"/>
              <w:ind w:left="113" w:right="113" w:firstLine="0"/>
              <w:textAlignment w:val="baseline"/>
              <w:rPr>
                <w:sz w:val="18"/>
                <w:szCs w:val="18"/>
              </w:rPr>
            </w:pPr>
            <w:r w:rsidRPr="004F47BB">
              <w:rPr>
                <w:sz w:val="18"/>
                <w:szCs w:val="18"/>
              </w:rPr>
              <w:t>1500</w:t>
            </w:r>
          </w:p>
        </w:tc>
      </w:tr>
      <w:tr w:rsidR="004F47BB" w:rsidRPr="004F47BB" w:rsidTr="00D45887">
        <w:tc>
          <w:tcPr>
            <w:tcW w:w="1361" w:type="dxa"/>
          </w:tcPr>
          <w:p w:rsidR="004F47BB" w:rsidRPr="004F47BB" w:rsidRDefault="004F47BB" w:rsidP="004F47BB">
            <w:pPr>
              <w:overflowPunct w:val="0"/>
              <w:adjustRightInd w:val="0"/>
              <w:spacing w:before="80" w:after="80"/>
              <w:ind w:left="57" w:firstLine="0"/>
              <w:textAlignment w:val="baseline"/>
              <w:rPr>
                <w:sz w:val="18"/>
                <w:szCs w:val="18"/>
                <w:lang w:val="en-US"/>
              </w:rPr>
            </w:pPr>
            <w:r w:rsidRPr="004F47BB">
              <w:rPr>
                <w:sz w:val="18"/>
                <w:szCs w:val="18"/>
                <w:lang w:val="en-US"/>
              </w:rPr>
              <w:t>Each lighter</w:t>
            </w:r>
          </w:p>
        </w:tc>
        <w:tc>
          <w:tcPr>
            <w:tcW w:w="1361" w:type="dxa"/>
          </w:tcPr>
          <w:p w:rsidR="004F47BB" w:rsidRPr="004F47BB" w:rsidRDefault="004F47BB" w:rsidP="004F47BB">
            <w:pPr>
              <w:tabs>
                <w:tab w:val="decimal" w:pos="709"/>
              </w:tabs>
              <w:overflowPunct w:val="0"/>
              <w:adjustRightInd w:val="0"/>
              <w:spacing w:before="80" w:after="80"/>
              <w:ind w:left="113" w:right="113" w:firstLine="0"/>
              <w:textAlignment w:val="baseline"/>
              <w:rPr>
                <w:sz w:val="18"/>
                <w:szCs w:val="18"/>
              </w:rPr>
            </w:pPr>
            <w:r w:rsidRPr="004F47BB">
              <w:rPr>
                <w:sz w:val="18"/>
                <w:szCs w:val="18"/>
              </w:rPr>
              <w:t>76,5</w:t>
            </w:r>
          </w:p>
        </w:tc>
        <w:tc>
          <w:tcPr>
            <w:tcW w:w="1361" w:type="dxa"/>
          </w:tcPr>
          <w:p w:rsidR="004F47BB" w:rsidRPr="004F47BB" w:rsidRDefault="004F47BB" w:rsidP="004F47BB">
            <w:pPr>
              <w:tabs>
                <w:tab w:val="decimal" w:pos="708"/>
              </w:tabs>
              <w:overflowPunct w:val="0"/>
              <w:adjustRightInd w:val="0"/>
              <w:spacing w:before="80" w:after="80"/>
              <w:ind w:left="113" w:right="113" w:firstLine="0"/>
              <w:textAlignment w:val="baseline"/>
              <w:rPr>
                <w:sz w:val="18"/>
                <w:szCs w:val="18"/>
              </w:rPr>
            </w:pPr>
            <w:r w:rsidRPr="004F47BB">
              <w:rPr>
                <w:sz w:val="18"/>
                <w:szCs w:val="18"/>
              </w:rPr>
              <w:t>11,4</w:t>
            </w:r>
          </w:p>
        </w:tc>
        <w:tc>
          <w:tcPr>
            <w:tcW w:w="1361" w:type="dxa"/>
          </w:tcPr>
          <w:p w:rsidR="004F47BB" w:rsidRPr="004F47BB" w:rsidRDefault="004F47BB" w:rsidP="004F47BB">
            <w:pPr>
              <w:tabs>
                <w:tab w:val="decimal" w:pos="737"/>
              </w:tabs>
              <w:overflowPunct w:val="0"/>
              <w:adjustRightInd w:val="0"/>
              <w:spacing w:before="80" w:after="80"/>
              <w:ind w:left="113" w:right="113" w:firstLine="0"/>
              <w:textAlignment w:val="baseline"/>
              <w:rPr>
                <w:sz w:val="18"/>
                <w:szCs w:val="18"/>
              </w:rPr>
            </w:pPr>
            <w:r w:rsidRPr="004F47BB">
              <w:rPr>
                <w:sz w:val="18"/>
                <w:szCs w:val="18"/>
              </w:rPr>
              <w:t>3,7</w:t>
            </w:r>
          </w:p>
        </w:tc>
        <w:tc>
          <w:tcPr>
            <w:tcW w:w="1361" w:type="dxa"/>
          </w:tcPr>
          <w:p w:rsidR="004F47BB" w:rsidRPr="004F47BB" w:rsidRDefault="004F47BB" w:rsidP="004F47BB">
            <w:pPr>
              <w:tabs>
                <w:tab w:val="decimal" w:pos="849"/>
              </w:tabs>
              <w:overflowPunct w:val="0"/>
              <w:adjustRightInd w:val="0"/>
              <w:spacing w:before="80" w:after="80"/>
              <w:ind w:left="113" w:right="113" w:firstLine="0"/>
              <w:textAlignment w:val="baseline"/>
              <w:rPr>
                <w:sz w:val="18"/>
                <w:szCs w:val="18"/>
              </w:rPr>
            </w:pPr>
            <w:r w:rsidRPr="004F47BB">
              <w:rPr>
                <w:sz w:val="18"/>
                <w:szCs w:val="18"/>
              </w:rPr>
              <w:t>2600</w:t>
            </w:r>
          </w:p>
        </w:tc>
        <w:tc>
          <w:tcPr>
            <w:tcW w:w="1361" w:type="dxa"/>
          </w:tcPr>
          <w:p w:rsidR="004F47BB" w:rsidRPr="004F47BB" w:rsidRDefault="004F47BB" w:rsidP="004F47BB">
            <w:pPr>
              <w:tabs>
                <w:tab w:val="decimal" w:pos="990"/>
              </w:tabs>
              <w:overflowPunct w:val="0"/>
              <w:adjustRightInd w:val="0"/>
              <w:spacing w:before="80" w:after="80"/>
              <w:ind w:left="113" w:right="113" w:firstLine="0"/>
              <w:textAlignment w:val="baseline"/>
              <w:rPr>
                <w:sz w:val="18"/>
                <w:szCs w:val="18"/>
              </w:rPr>
            </w:pPr>
            <w:r w:rsidRPr="004F47BB">
              <w:rPr>
                <w:sz w:val="18"/>
                <w:szCs w:val="18"/>
              </w:rPr>
              <w:t>2743</w:t>
            </w:r>
          </w:p>
        </w:tc>
        <w:tc>
          <w:tcPr>
            <w:tcW w:w="1361" w:type="dxa"/>
          </w:tcPr>
          <w:p w:rsidR="004F47BB" w:rsidRPr="004F47BB" w:rsidRDefault="004F47BB" w:rsidP="004F47BB">
            <w:pPr>
              <w:tabs>
                <w:tab w:val="decimal" w:pos="198"/>
              </w:tabs>
              <w:overflowPunct w:val="0"/>
              <w:adjustRightInd w:val="0"/>
              <w:spacing w:before="80" w:after="80"/>
              <w:ind w:left="113" w:right="113" w:firstLine="0"/>
              <w:jc w:val="center"/>
              <w:textAlignment w:val="baseline"/>
              <w:rPr>
                <w:sz w:val="18"/>
                <w:szCs w:val="18"/>
              </w:rPr>
            </w:pPr>
            <w:r w:rsidRPr="004F47BB">
              <w:rPr>
                <w:sz w:val="18"/>
                <w:szCs w:val="18"/>
              </w:rPr>
              <w:t>-</w:t>
            </w:r>
          </w:p>
        </w:tc>
      </w:tr>
      <w:tr w:rsidR="004F47BB" w:rsidRPr="004F47BB" w:rsidTr="00D45887">
        <w:tc>
          <w:tcPr>
            <w:tcW w:w="1361" w:type="dxa"/>
          </w:tcPr>
          <w:p w:rsidR="004F47BB" w:rsidRPr="004F47BB" w:rsidRDefault="004F47BB" w:rsidP="004F47BB">
            <w:pPr>
              <w:overflowPunct w:val="0"/>
              <w:adjustRightInd w:val="0"/>
              <w:spacing w:before="80" w:after="80"/>
              <w:ind w:left="57" w:firstLine="0"/>
              <w:textAlignment w:val="baseline"/>
              <w:rPr>
                <w:sz w:val="18"/>
                <w:szCs w:val="18"/>
                <w:lang w:val="en-US"/>
              </w:rPr>
            </w:pPr>
            <w:r w:rsidRPr="004F47BB">
              <w:rPr>
                <w:sz w:val="18"/>
                <w:szCs w:val="18"/>
                <w:lang w:val="en-US"/>
              </w:rPr>
              <w:t>Convoy</w:t>
            </w:r>
          </w:p>
        </w:tc>
        <w:tc>
          <w:tcPr>
            <w:tcW w:w="1361" w:type="dxa"/>
          </w:tcPr>
          <w:p w:rsidR="004F47BB" w:rsidRPr="004F47BB" w:rsidRDefault="004F47BB" w:rsidP="004F47BB">
            <w:pPr>
              <w:tabs>
                <w:tab w:val="decimal" w:pos="709"/>
              </w:tabs>
              <w:overflowPunct w:val="0"/>
              <w:adjustRightInd w:val="0"/>
              <w:spacing w:before="80" w:after="80"/>
              <w:ind w:left="113" w:right="113" w:firstLine="0"/>
              <w:textAlignment w:val="baseline"/>
              <w:rPr>
                <w:sz w:val="18"/>
                <w:szCs w:val="18"/>
              </w:rPr>
            </w:pPr>
            <w:r w:rsidRPr="004F47BB">
              <w:rPr>
                <w:sz w:val="18"/>
                <w:szCs w:val="18"/>
              </w:rPr>
              <w:t>186,5</w:t>
            </w:r>
          </w:p>
        </w:tc>
        <w:tc>
          <w:tcPr>
            <w:tcW w:w="1361" w:type="dxa"/>
          </w:tcPr>
          <w:p w:rsidR="004F47BB" w:rsidRPr="004F47BB" w:rsidRDefault="004F47BB" w:rsidP="004F47BB">
            <w:pPr>
              <w:tabs>
                <w:tab w:val="decimal" w:pos="708"/>
              </w:tabs>
              <w:overflowPunct w:val="0"/>
              <w:adjustRightInd w:val="0"/>
              <w:spacing w:before="80" w:after="80"/>
              <w:ind w:left="113" w:right="113" w:firstLine="0"/>
              <w:textAlignment w:val="baseline"/>
              <w:rPr>
                <w:sz w:val="18"/>
                <w:szCs w:val="18"/>
              </w:rPr>
            </w:pPr>
            <w:r w:rsidRPr="004F47BB">
              <w:rPr>
                <w:sz w:val="18"/>
                <w:szCs w:val="18"/>
              </w:rPr>
              <w:t>22,8</w:t>
            </w:r>
          </w:p>
        </w:tc>
        <w:tc>
          <w:tcPr>
            <w:tcW w:w="1361" w:type="dxa"/>
          </w:tcPr>
          <w:p w:rsidR="004F47BB" w:rsidRPr="004F47BB" w:rsidRDefault="004F47BB" w:rsidP="004F47BB">
            <w:pPr>
              <w:tabs>
                <w:tab w:val="decimal" w:pos="737"/>
              </w:tabs>
              <w:overflowPunct w:val="0"/>
              <w:adjustRightInd w:val="0"/>
              <w:spacing w:before="80" w:after="80"/>
              <w:ind w:left="113" w:right="113" w:firstLine="0"/>
              <w:textAlignment w:val="baseline"/>
              <w:rPr>
                <w:sz w:val="18"/>
                <w:szCs w:val="18"/>
              </w:rPr>
            </w:pPr>
            <w:r w:rsidRPr="004F47BB">
              <w:rPr>
                <w:sz w:val="18"/>
                <w:szCs w:val="18"/>
              </w:rPr>
              <w:t>3,7</w:t>
            </w:r>
          </w:p>
        </w:tc>
        <w:tc>
          <w:tcPr>
            <w:tcW w:w="1361" w:type="dxa"/>
          </w:tcPr>
          <w:p w:rsidR="004F47BB" w:rsidRPr="004F47BB" w:rsidRDefault="004F47BB" w:rsidP="004F47BB">
            <w:pPr>
              <w:tabs>
                <w:tab w:val="decimal" w:pos="849"/>
              </w:tabs>
              <w:overflowPunct w:val="0"/>
              <w:adjustRightInd w:val="0"/>
              <w:spacing w:before="80" w:after="80"/>
              <w:ind w:left="113" w:right="113" w:firstLine="0"/>
              <w:textAlignment w:val="baseline"/>
              <w:rPr>
                <w:sz w:val="18"/>
                <w:szCs w:val="18"/>
              </w:rPr>
            </w:pPr>
            <w:r w:rsidRPr="004F47BB">
              <w:rPr>
                <w:sz w:val="18"/>
                <w:szCs w:val="18"/>
              </w:rPr>
              <w:t>10700</w:t>
            </w:r>
          </w:p>
        </w:tc>
        <w:tc>
          <w:tcPr>
            <w:tcW w:w="1361" w:type="dxa"/>
          </w:tcPr>
          <w:p w:rsidR="004F47BB" w:rsidRPr="004F47BB" w:rsidRDefault="004F47BB" w:rsidP="004F47BB">
            <w:pPr>
              <w:tabs>
                <w:tab w:val="decimal" w:pos="990"/>
              </w:tabs>
              <w:overflowPunct w:val="0"/>
              <w:adjustRightInd w:val="0"/>
              <w:spacing w:before="80" w:after="80"/>
              <w:ind w:left="113" w:right="113" w:firstLine="0"/>
              <w:textAlignment w:val="baseline"/>
              <w:rPr>
                <w:sz w:val="18"/>
                <w:szCs w:val="18"/>
              </w:rPr>
            </w:pPr>
            <w:r w:rsidRPr="004F47BB">
              <w:rPr>
                <w:sz w:val="18"/>
                <w:szCs w:val="18"/>
              </w:rPr>
              <w:t>11960</w:t>
            </w:r>
          </w:p>
        </w:tc>
        <w:tc>
          <w:tcPr>
            <w:tcW w:w="1361" w:type="dxa"/>
          </w:tcPr>
          <w:p w:rsidR="004F47BB" w:rsidRPr="004F47BB" w:rsidRDefault="004F47BB" w:rsidP="004F47BB">
            <w:pPr>
              <w:tabs>
                <w:tab w:val="decimal" w:pos="848"/>
              </w:tabs>
              <w:overflowPunct w:val="0"/>
              <w:adjustRightInd w:val="0"/>
              <w:spacing w:before="80" w:after="80"/>
              <w:ind w:left="113" w:right="113" w:firstLine="0"/>
              <w:textAlignment w:val="baseline"/>
              <w:rPr>
                <w:sz w:val="18"/>
                <w:szCs w:val="18"/>
              </w:rPr>
            </w:pPr>
            <w:r w:rsidRPr="004F47BB">
              <w:rPr>
                <w:sz w:val="18"/>
                <w:szCs w:val="18"/>
              </w:rPr>
              <w:t>1500</w:t>
            </w:r>
          </w:p>
        </w:tc>
      </w:tr>
    </w:tbl>
    <w:p w:rsidR="004F47BB" w:rsidRPr="004F47BB" w:rsidRDefault="004F47BB" w:rsidP="004F47BB">
      <w:pPr>
        <w:overflowPunct w:val="0"/>
        <w:adjustRightInd w:val="0"/>
        <w:ind w:left="0" w:firstLine="0"/>
        <w:jc w:val="left"/>
        <w:textAlignment w:val="baseline"/>
        <w:rPr>
          <w:szCs w:val="20"/>
        </w:rPr>
      </w:pPr>
    </w:p>
    <w:p w:rsidR="004F47BB" w:rsidRPr="004F47BB" w:rsidRDefault="004F47BB" w:rsidP="004F47BB">
      <w:pPr>
        <w:tabs>
          <w:tab w:val="left" w:pos="960"/>
          <w:tab w:val="left" w:pos="1344"/>
          <w:tab w:val="left" w:pos="7680"/>
        </w:tabs>
        <w:overflowPunct w:val="0"/>
        <w:adjustRightInd w:val="0"/>
        <w:spacing w:line="240" w:lineRule="exact"/>
        <w:ind w:left="567" w:firstLine="0"/>
        <w:jc w:val="left"/>
        <w:textAlignment w:val="baseline"/>
        <w:rPr>
          <w:szCs w:val="20"/>
          <w:lang w:val="en-US"/>
        </w:rPr>
      </w:pPr>
      <w:r w:rsidRPr="004F47BB">
        <w:rPr>
          <w:szCs w:val="20"/>
          <w:lang w:val="en-US"/>
        </w:rPr>
        <w:t>Propulsion system of the self-propelled vessel: modern nozzles with rounded rear edge.</w:t>
      </w:r>
    </w:p>
    <w:p w:rsidR="004F47BB" w:rsidRPr="004F47BB" w:rsidRDefault="004F47BB" w:rsidP="004F47BB">
      <w:pPr>
        <w:tabs>
          <w:tab w:val="left" w:pos="960"/>
          <w:tab w:val="left" w:pos="1344"/>
          <w:tab w:val="left" w:pos="7680"/>
        </w:tabs>
        <w:overflowPunct w:val="0"/>
        <w:adjustRightInd w:val="0"/>
        <w:spacing w:line="240" w:lineRule="exact"/>
        <w:ind w:left="567" w:firstLine="0"/>
        <w:jc w:val="left"/>
        <w:textAlignment w:val="baseline"/>
        <w:rPr>
          <w:position w:val="6"/>
          <w:szCs w:val="20"/>
          <w:lang w:val="en-US"/>
        </w:rPr>
      </w:pPr>
    </w:p>
    <w:p w:rsidR="004F47BB" w:rsidRPr="004F47BB" w:rsidRDefault="004F47BB" w:rsidP="004F47BB">
      <w:pPr>
        <w:tabs>
          <w:tab w:val="left" w:pos="960"/>
          <w:tab w:val="left" w:pos="1344"/>
          <w:tab w:val="left" w:pos="7680"/>
        </w:tabs>
        <w:overflowPunct w:val="0"/>
        <w:adjustRightInd w:val="0"/>
        <w:spacing w:line="240" w:lineRule="exact"/>
        <w:ind w:left="567" w:firstLine="0"/>
        <w:jc w:val="left"/>
        <w:textAlignment w:val="baseline"/>
        <w:rPr>
          <w:szCs w:val="20"/>
          <w:lang w:val="en-US"/>
        </w:rPr>
      </w:pPr>
      <w:r w:rsidRPr="004F47BB">
        <w:rPr>
          <w:position w:val="6"/>
          <w:szCs w:val="20"/>
          <w:lang w:val="en-US"/>
        </w:rPr>
        <w:t xml:space="preserve">* </w:t>
      </w:r>
      <m:oMath>
        <m:r>
          <w:rPr>
            <w:rFonts w:ascii="Cambria Math" w:hAnsi="Cambria Math"/>
            <w:szCs w:val="20"/>
            <w:lang w:val="en-US"/>
          </w:rPr>
          <m:t xml:space="preserve"> Tgf</m:t>
        </m:r>
      </m:oMath>
      <w:r w:rsidRPr="004F47BB">
        <w:rPr>
          <w:szCs w:val="20"/>
          <w:lang w:val="en-US"/>
        </w:rPr>
        <w:t xml:space="preserve"> = deadweight</w:t>
      </w:r>
    </w:p>
    <w:p w:rsidR="004F47BB" w:rsidRPr="004F47BB" w:rsidRDefault="004F47BB" w:rsidP="004F47BB">
      <w:pPr>
        <w:tabs>
          <w:tab w:val="left" w:pos="960"/>
          <w:tab w:val="left" w:pos="1344"/>
          <w:tab w:val="left" w:pos="7680"/>
        </w:tabs>
        <w:overflowPunct w:val="0"/>
        <w:adjustRightInd w:val="0"/>
        <w:spacing w:line="240" w:lineRule="exact"/>
        <w:ind w:left="0" w:firstLine="0"/>
        <w:jc w:val="left"/>
        <w:textAlignment w:val="baseline"/>
        <w:rPr>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2.</w:t>
      </w:r>
      <w:r w:rsidRPr="004F47BB">
        <w:rPr>
          <w:rFonts w:cs="Arial"/>
          <w:b/>
          <w:color w:val="000000"/>
          <w:szCs w:val="20"/>
          <w:lang w:val="en-US"/>
        </w:rPr>
        <w:tab/>
        <w:t>Values measured during the stopping manoeuvre</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tabs>
          <w:tab w:val="left" w:pos="5387"/>
          <w:tab w:val="left" w:pos="6379"/>
          <w:tab w:val="left" w:pos="6663"/>
          <w:tab w:val="left" w:pos="7513"/>
        </w:tabs>
        <w:overflowPunct w:val="0"/>
        <w:adjustRightInd w:val="0"/>
        <w:spacing w:line="240" w:lineRule="atLeast"/>
        <w:ind w:left="567" w:firstLine="0"/>
        <w:jc w:val="left"/>
        <w:textAlignment w:val="baseline"/>
        <w:rPr>
          <w:szCs w:val="20"/>
          <w:lang w:val="en-US"/>
        </w:rPr>
      </w:pPr>
      <w:r w:rsidRPr="004F47BB">
        <w:rPr>
          <w:szCs w:val="20"/>
          <w:lang w:val="en-US"/>
        </w:rPr>
        <w:t>Current velocity:</w:t>
      </w:r>
      <w:r w:rsidRPr="004F47BB">
        <w:rPr>
          <w:szCs w:val="20"/>
          <w:lang w:val="en-US"/>
        </w:rPr>
        <w:tab/>
      </w:r>
      <m:oMath>
        <m:sSub>
          <m:sSubPr>
            <m:ctrlPr>
              <w:rPr>
                <w:rFonts w:ascii="Cambria Math" w:hAnsi="Cambria Math"/>
                <w:i/>
                <w:szCs w:val="20"/>
                <w:lang w:val="en-US"/>
              </w:rPr>
            </m:ctrlPr>
          </m:sSubPr>
          <m:e>
            <m:sSub>
              <m:sSubPr>
                <m:ctrlPr>
                  <w:rPr>
                    <w:rFonts w:ascii="Cambria Math" w:hAnsi="Cambria Math"/>
                    <w:i/>
                    <w:szCs w:val="20"/>
                    <w:lang w:val="en-US"/>
                  </w:rPr>
                </m:ctrlPr>
              </m:sSubPr>
              <m:e>
                <m:r>
                  <w:rPr>
                    <w:rFonts w:ascii="Cambria Math" w:hAnsi="Cambria Math"/>
                    <w:szCs w:val="20"/>
                    <w:lang w:val="en-US"/>
                  </w:rPr>
                  <m:t>v</m:t>
                </m:r>
              </m:e>
              <m:sub>
                <m:r>
                  <w:rPr>
                    <w:rFonts w:ascii="Cambria Math" w:hAnsi="Cambria Math"/>
                    <w:szCs w:val="20"/>
                    <w:lang w:val="en-US"/>
                  </w:rPr>
                  <m:t>STR</m:t>
                </m:r>
              </m:sub>
            </m:sSub>
          </m:e>
          <m:sub>
            <m:r>
              <w:rPr>
                <w:rFonts w:ascii="Cambria Math" w:hAnsi="Cambria Math"/>
                <w:szCs w:val="20"/>
                <w:lang w:val="en-US"/>
              </w:rPr>
              <m:t>IST</m:t>
            </m:r>
          </m:sub>
        </m:sSub>
      </m:oMath>
      <w:r w:rsidRPr="004F47BB">
        <w:rPr>
          <w:szCs w:val="20"/>
          <w:lang w:val="en-US"/>
        </w:rPr>
        <w:tab/>
        <w:t>=</w:t>
      </w:r>
      <w:r w:rsidRPr="004F47BB">
        <w:rPr>
          <w:szCs w:val="20"/>
          <w:lang w:val="en-US"/>
        </w:rPr>
        <w:tab/>
        <w:t>1,4 m/s</w:t>
      </w:r>
      <w:r w:rsidRPr="004F47BB">
        <w:rPr>
          <w:szCs w:val="20"/>
          <w:lang w:val="en-US"/>
        </w:rPr>
        <w:tab/>
      </w:r>
      <w:r w:rsidRPr="004F47BB">
        <w:rPr>
          <w:szCs w:val="20"/>
        </w:rPr>
        <w:sym w:font="Symbol" w:char="F0BB"/>
      </w:r>
      <w:r w:rsidRPr="004F47BB">
        <w:rPr>
          <w:szCs w:val="20"/>
          <w:lang w:val="en-US"/>
        </w:rPr>
        <w:t xml:space="preserve"> 5,1 km/h</w:t>
      </w:r>
    </w:p>
    <w:p w:rsidR="004F47BB" w:rsidRPr="004F47BB" w:rsidRDefault="004F47BB" w:rsidP="004F47BB">
      <w:pPr>
        <w:tabs>
          <w:tab w:val="left" w:pos="5387"/>
          <w:tab w:val="left" w:pos="6379"/>
          <w:tab w:val="left" w:pos="6663"/>
          <w:tab w:val="left" w:pos="7513"/>
        </w:tabs>
        <w:overflowPunct w:val="0"/>
        <w:adjustRightInd w:val="0"/>
        <w:spacing w:line="240" w:lineRule="atLeast"/>
        <w:ind w:left="567" w:firstLine="0"/>
        <w:jc w:val="left"/>
        <w:textAlignment w:val="baseline"/>
        <w:rPr>
          <w:szCs w:val="20"/>
          <w:lang w:val="en-US"/>
        </w:rPr>
      </w:pPr>
    </w:p>
    <w:p w:rsidR="004F47BB" w:rsidRPr="004F47BB" w:rsidRDefault="004F47BB" w:rsidP="004F47BB">
      <w:pPr>
        <w:tabs>
          <w:tab w:val="left" w:pos="5387"/>
          <w:tab w:val="left" w:pos="6379"/>
          <w:tab w:val="left" w:pos="6663"/>
          <w:tab w:val="left" w:pos="7513"/>
        </w:tabs>
        <w:overflowPunct w:val="0"/>
        <w:adjustRightInd w:val="0"/>
        <w:spacing w:line="240" w:lineRule="atLeast"/>
        <w:ind w:left="567" w:firstLine="0"/>
        <w:jc w:val="left"/>
        <w:textAlignment w:val="baseline"/>
        <w:rPr>
          <w:szCs w:val="20"/>
          <w:lang w:val="en-US"/>
        </w:rPr>
      </w:pPr>
      <w:r w:rsidRPr="004F47BB">
        <w:rPr>
          <w:szCs w:val="20"/>
          <w:lang w:val="en-US"/>
        </w:rPr>
        <w:t xml:space="preserve">Speed of vessel (in relation to the water): </w:t>
      </w:r>
      <w:r w:rsidRPr="004F47BB">
        <w:rPr>
          <w:szCs w:val="20"/>
          <w:lang w:val="en-US"/>
        </w:rPr>
        <w:tab/>
      </w:r>
      <m:oMath>
        <m:sSub>
          <m:sSubPr>
            <m:ctrlPr>
              <w:rPr>
                <w:rFonts w:ascii="Cambria Math" w:hAnsi="Cambria Math"/>
                <w:i/>
                <w:szCs w:val="20"/>
                <w:lang w:val="en-US"/>
              </w:rPr>
            </m:ctrlPr>
          </m:sSubPr>
          <m:e>
            <m:sSub>
              <m:sSubPr>
                <m:ctrlPr>
                  <w:rPr>
                    <w:rFonts w:ascii="Cambria Math" w:hAnsi="Cambria Math"/>
                    <w:i/>
                    <w:szCs w:val="20"/>
                    <w:lang w:val="en-US"/>
                  </w:rPr>
                </m:ctrlPr>
              </m:sSubPr>
              <m:e>
                <m:r>
                  <w:rPr>
                    <w:rFonts w:ascii="Cambria Math" w:hAnsi="Cambria Math"/>
                    <w:szCs w:val="20"/>
                    <w:lang w:val="en-US"/>
                  </w:rPr>
                  <m:t>v</m:t>
                </m:r>
              </m:e>
              <m:sub>
                <m:r>
                  <w:rPr>
                    <w:rFonts w:ascii="Cambria Math" w:hAnsi="Cambria Math"/>
                    <w:szCs w:val="20"/>
                    <w:lang w:val="en-US"/>
                  </w:rPr>
                  <m:t>S</m:t>
                </m:r>
              </m:sub>
            </m:sSub>
          </m:e>
          <m:sub>
            <m:r>
              <w:rPr>
                <w:rFonts w:ascii="Cambria Math" w:hAnsi="Cambria Math"/>
                <w:szCs w:val="20"/>
                <w:lang w:val="en-US"/>
              </w:rPr>
              <m:t>IST</m:t>
            </m:r>
          </m:sub>
        </m:sSub>
      </m:oMath>
      <w:r w:rsidRPr="004F47BB">
        <w:rPr>
          <w:szCs w:val="20"/>
          <w:lang w:val="en-US"/>
        </w:rPr>
        <w:tab/>
        <w:t>=</w:t>
      </w:r>
      <w:r w:rsidRPr="004F47BB">
        <w:rPr>
          <w:szCs w:val="20"/>
          <w:lang w:val="en-US"/>
        </w:rPr>
        <w:tab/>
        <w:t>3,5 m/s</w:t>
      </w:r>
      <w:r w:rsidRPr="004F47BB">
        <w:rPr>
          <w:szCs w:val="20"/>
          <w:lang w:val="en-US"/>
        </w:rPr>
        <w:tab/>
      </w:r>
      <w:r w:rsidRPr="004F47BB">
        <w:rPr>
          <w:szCs w:val="20"/>
        </w:rPr>
        <w:sym w:font="Symbol" w:char="F0BB"/>
      </w:r>
      <w:r w:rsidRPr="004F47BB">
        <w:rPr>
          <w:szCs w:val="20"/>
          <w:lang w:val="en-US"/>
        </w:rPr>
        <w:t xml:space="preserve"> 12,5 km/h</w:t>
      </w:r>
    </w:p>
    <w:p w:rsidR="004F47BB" w:rsidRPr="004F47BB" w:rsidRDefault="004F47BB" w:rsidP="004F47BB">
      <w:pPr>
        <w:tabs>
          <w:tab w:val="left" w:pos="5387"/>
          <w:tab w:val="left" w:pos="6379"/>
          <w:tab w:val="left" w:pos="6663"/>
          <w:tab w:val="left" w:pos="7513"/>
        </w:tabs>
        <w:overflowPunct w:val="0"/>
        <w:adjustRightInd w:val="0"/>
        <w:spacing w:line="240" w:lineRule="atLeast"/>
        <w:ind w:left="567" w:firstLine="0"/>
        <w:jc w:val="left"/>
        <w:textAlignment w:val="baseline"/>
        <w:rPr>
          <w:szCs w:val="20"/>
          <w:lang w:val="en-US"/>
        </w:rPr>
      </w:pPr>
    </w:p>
    <w:p w:rsidR="004F47BB" w:rsidRPr="004F47BB" w:rsidRDefault="004F47BB" w:rsidP="004F47BB">
      <w:pPr>
        <w:tabs>
          <w:tab w:val="left" w:pos="5387"/>
          <w:tab w:val="left" w:pos="6379"/>
          <w:tab w:val="left" w:pos="6663"/>
          <w:tab w:val="left" w:pos="7513"/>
        </w:tabs>
        <w:overflowPunct w:val="0"/>
        <w:adjustRightInd w:val="0"/>
        <w:spacing w:line="240" w:lineRule="atLeast"/>
        <w:ind w:left="567" w:firstLine="0"/>
        <w:jc w:val="left"/>
        <w:textAlignment w:val="baseline"/>
        <w:rPr>
          <w:szCs w:val="20"/>
          <w:lang w:val="en-US"/>
        </w:rPr>
      </w:pPr>
      <w:r w:rsidRPr="004F47BB">
        <w:rPr>
          <w:szCs w:val="20"/>
          <w:lang w:val="en-US"/>
        </w:rPr>
        <w:t>Speed of vessel (in relation to the bank):</w:t>
      </w:r>
      <w:r w:rsidRPr="004F47BB">
        <w:rPr>
          <w:szCs w:val="20"/>
          <w:lang w:val="en-US"/>
        </w:rPr>
        <w:tab/>
      </w:r>
      <m:oMath>
        <m:sSub>
          <m:sSubPr>
            <m:ctrlPr>
              <w:rPr>
                <w:rFonts w:ascii="Cambria Math" w:hAnsi="Cambria Math"/>
                <w:i/>
                <w:szCs w:val="20"/>
                <w:lang w:val="en-US"/>
              </w:rPr>
            </m:ctrlPr>
          </m:sSubPr>
          <m:e>
            <m:sSub>
              <m:sSubPr>
                <m:ctrlPr>
                  <w:rPr>
                    <w:rFonts w:ascii="Cambria Math" w:hAnsi="Cambria Math"/>
                    <w:i/>
                    <w:szCs w:val="20"/>
                    <w:lang w:val="en-US"/>
                  </w:rPr>
                </m:ctrlPr>
              </m:sSubPr>
              <m:e>
                <m:r>
                  <w:rPr>
                    <w:rFonts w:ascii="Cambria Math" w:hAnsi="Cambria Math"/>
                    <w:szCs w:val="20"/>
                    <w:lang w:val="en-US"/>
                  </w:rPr>
                  <m:t>v</m:t>
                </m:r>
              </m:e>
              <m:sub>
                <m:r>
                  <w:rPr>
                    <w:rFonts w:ascii="Cambria Math" w:hAnsi="Cambria Math"/>
                    <w:szCs w:val="20"/>
                    <w:lang w:val="en-US"/>
                  </w:rPr>
                  <m:t>L</m:t>
                </m:r>
              </m:sub>
            </m:sSub>
          </m:e>
          <m:sub>
            <m:r>
              <w:rPr>
                <w:rFonts w:ascii="Cambria Math" w:hAnsi="Cambria Math"/>
                <w:szCs w:val="20"/>
                <w:lang w:val="en-US"/>
              </w:rPr>
              <m:t>IST</m:t>
            </m:r>
          </m:sub>
        </m:sSub>
      </m:oMath>
      <w:r w:rsidRPr="004F47BB">
        <w:rPr>
          <w:szCs w:val="20"/>
          <w:lang w:val="en-US"/>
        </w:rPr>
        <w:tab/>
        <w:t>=</w:t>
      </w:r>
      <w:r w:rsidRPr="004F47BB">
        <w:rPr>
          <w:szCs w:val="20"/>
          <w:lang w:val="en-US"/>
        </w:rPr>
        <w:tab/>
        <w:t>4,9 m/s</w:t>
      </w:r>
      <w:r w:rsidRPr="004F47BB">
        <w:rPr>
          <w:szCs w:val="20"/>
          <w:lang w:val="en-US"/>
        </w:rPr>
        <w:tab/>
      </w:r>
      <w:r w:rsidRPr="004F47BB">
        <w:rPr>
          <w:szCs w:val="20"/>
        </w:rPr>
        <w:sym w:font="Symbol" w:char="F0BB"/>
      </w:r>
      <w:r w:rsidRPr="004F47BB">
        <w:rPr>
          <w:szCs w:val="20"/>
          <w:lang w:val="en-US"/>
        </w:rPr>
        <w:t xml:space="preserve"> 17,6 km/h</w:t>
      </w:r>
    </w:p>
    <w:p w:rsidR="004F47BB" w:rsidRPr="004F47BB" w:rsidRDefault="004F47BB" w:rsidP="004F47BB">
      <w:pPr>
        <w:tabs>
          <w:tab w:val="left" w:pos="5387"/>
          <w:tab w:val="left" w:pos="6379"/>
          <w:tab w:val="left" w:pos="6663"/>
          <w:tab w:val="left" w:pos="7513"/>
        </w:tabs>
        <w:overflowPunct w:val="0"/>
        <w:adjustRightInd w:val="0"/>
        <w:spacing w:line="240" w:lineRule="atLeast"/>
        <w:ind w:left="567" w:firstLine="0"/>
        <w:jc w:val="left"/>
        <w:textAlignment w:val="baseline"/>
        <w:rPr>
          <w:szCs w:val="20"/>
          <w:lang w:val="en-US"/>
        </w:rPr>
      </w:pPr>
    </w:p>
    <w:p w:rsidR="004F47BB" w:rsidRPr="004F47BB" w:rsidRDefault="004F47BB" w:rsidP="004F47BB">
      <w:pPr>
        <w:tabs>
          <w:tab w:val="left" w:pos="5387"/>
          <w:tab w:val="left" w:pos="6379"/>
          <w:tab w:val="left" w:pos="6663"/>
          <w:tab w:val="left" w:pos="7513"/>
        </w:tabs>
        <w:overflowPunct w:val="0"/>
        <w:adjustRightInd w:val="0"/>
        <w:spacing w:line="240" w:lineRule="atLeast"/>
        <w:ind w:left="567" w:firstLine="0"/>
        <w:jc w:val="left"/>
        <w:textAlignment w:val="baseline"/>
        <w:rPr>
          <w:szCs w:val="20"/>
          <w:lang w:val="en-US"/>
        </w:rPr>
      </w:pPr>
      <w:r w:rsidRPr="004F47BB">
        <w:rPr>
          <w:noProof/>
          <w:szCs w:val="20"/>
          <w:lang w:val="en-US" w:eastAsia="ko-KR"/>
        </w:rPr>
        <w:t xml:space="preserve">Reversal time (measured) </w:t>
      </w:r>
      <w:r w:rsidRPr="004F47BB">
        <w:rPr>
          <w:szCs w:val="20"/>
          <w:lang w:val="en-US"/>
        </w:rPr>
        <w:t xml:space="preserve">(point </w:t>
      </w:r>
      <m:oMath>
        <m:r>
          <w:rPr>
            <w:rFonts w:ascii="Cambria Math" w:hAnsi="Cambria Math"/>
            <w:szCs w:val="20"/>
            <w:lang w:val="en-US"/>
          </w:rPr>
          <m:t>A</m:t>
        </m:r>
      </m:oMath>
      <w:r w:rsidRPr="004F47BB">
        <w:rPr>
          <w:szCs w:val="20"/>
          <w:lang w:val="en-US"/>
        </w:rPr>
        <w:t xml:space="preserve"> à </w:t>
      </w:r>
      <m:oMath>
        <m:r>
          <w:rPr>
            <w:rFonts w:ascii="Cambria Math" w:hAnsi="Cambria Math"/>
            <w:szCs w:val="20"/>
            <w:lang w:val="en-US"/>
          </w:rPr>
          <m:t>C</m:t>
        </m:r>
      </m:oMath>
      <w:r w:rsidRPr="004F47BB">
        <w:rPr>
          <w:szCs w:val="20"/>
          <w:lang w:val="en-US"/>
        </w:rPr>
        <w:t>):</w:t>
      </w:r>
      <w:r w:rsidRPr="004F47BB">
        <w:rPr>
          <w:szCs w:val="20"/>
          <w:lang w:val="en-US"/>
        </w:rPr>
        <w:tab/>
      </w:r>
      <m:oMath>
        <m:r>
          <w:rPr>
            <w:rFonts w:ascii="Cambria Math" w:hAnsi="Cambria Math"/>
            <w:szCs w:val="20"/>
            <w:lang w:val="en-US"/>
          </w:rPr>
          <m:t>t</m:t>
        </m:r>
        <m:r>
          <w:rPr>
            <w:rFonts w:ascii="Cambria Math" w:hAnsi="Cambria Math"/>
            <w:position w:val="-6"/>
            <w:sz w:val="16"/>
            <w:szCs w:val="20"/>
            <w:lang w:val="en-US"/>
          </w:rPr>
          <m:t>I</m:t>
        </m:r>
      </m:oMath>
      <w:r w:rsidRPr="004F47BB">
        <w:rPr>
          <w:szCs w:val="20"/>
          <w:lang w:val="en-US"/>
        </w:rPr>
        <w:tab/>
        <w:t>=</w:t>
      </w:r>
      <w:r w:rsidRPr="004F47BB">
        <w:rPr>
          <w:szCs w:val="20"/>
          <w:lang w:val="en-US"/>
        </w:rPr>
        <w:tab/>
        <w:t>16 s</w:t>
      </w:r>
    </w:p>
    <w:p w:rsidR="004F47BB" w:rsidRPr="004F47BB" w:rsidRDefault="004F47BB" w:rsidP="004F47BB">
      <w:pPr>
        <w:tabs>
          <w:tab w:val="left" w:pos="5387"/>
          <w:tab w:val="left" w:pos="6379"/>
          <w:tab w:val="left" w:pos="6663"/>
          <w:tab w:val="left" w:pos="7513"/>
        </w:tabs>
        <w:overflowPunct w:val="0"/>
        <w:adjustRightInd w:val="0"/>
        <w:spacing w:line="240" w:lineRule="atLeast"/>
        <w:ind w:left="567" w:firstLine="0"/>
        <w:jc w:val="left"/>
        <w:textAlignment w:val="baseline"/>
        <w:rPr>
          <w:szCs w:val="20"/>
          <w:lang w:val="en-US"/>
        </w:rPr>
      </w:pPr>
    </w:p>
    <w:p w:rsidR="004F47BB" w:rsidRPr="004F47BB" w:rsidRDefault="004F47BB" w:rsidP="004F47BB">
      <w:pPr>
        <w:tabs>
          <w:tab w:val="left" w:pos="5387"/>
          <w:tab w:val="left" w:pos="6379"/>
          <w:tab w:val="left" w:pos="6663"/>
          <w:tab w:val="left" w:pos="7513"/>
        </w:tabs>
        <w:overflowPunct w:val="0"/>
        <w:adjustRightInd w:val="0"/>
        <w:spacing w:line="240" w:lineRule="atLeast"/>
        <w:ind w:left="567" w:firstLine="0"/>
        <w:jc w:val="left"/>
        <w:textAlignment w:val="baseline"/>
        <w:rPr>
          <w:szCs w:val="20"/>
          <w:lang w:val="en-US"/>
        </w:rPr>
      </w:pPr>
      <w:r w:rsidRPr="004F47BB">
        <w:rPr>
          <w:noProof/>
          <w:szCs w:val="20"/>
          <w:lang w:val="en-US" w:eastAsia="ko-KR"/>
        </w:rPr>
        <w:t xml:space="preserve">Stopping distance in relation to the water </w:t>
      </w:r>
      <w:r w:rsidRPr="004F47BB">
        <w:rPr>
          <w:szCs w:val="20"/>
          <w:lang w:val="en-US"/>
        </w:rPr>
        <w:t xml:space="preserve">(point </w:t>
      </w:r>
      <m:oMath>
        <m:r>
          <w:rPr>
            <w:rFonts w:ascii="Cambria Math" w:hAnsi="Cambria Math"/>
            <w:szCs w:val="20"/>
            <w:lang w:val="en-US"/>
          </w:rPr>
          <m:t>A</m:t>
        </m:r>
      </m:oMath>
      <w:r w:rsidRPr="004F47BB">
        <w:rPr>
          <w:szCs w:val="20"/>
          <w:lang w:val="en-US"/>
        </w:rPr>
        <w:t xml:space="preserve"> to </w:t>
      </w:r>
      <m:oMath>
        <m:r>
          <w:rPr>
            <w:rFonts w:ascii="Cambria Math" w:hAnsi="Cambria Math"/>
            <w:szCs w:val="20"/>
            <w:lang w:val="en-US"/>
          </w:rPr>
          <m:t>D</m:t>
        </m:r>
      </m:oMath>
      <w:r w:rsidRPr="004F47BB">
        <w:rPr>
          <w:szCs w:val="20"/>
          <w:lang w:val="en-US"/>
        </w:rPr>
        <w:t>) :</w:t>
      </w:r>
      <w:r w:rsidRPr="004F47BB">
        <w:rPr>
          <w:szCs w:val="20"/>
          <w:lang w:val="en-US"/>
        </w:rPr>
        <w:tab/>
      </w:r>
      <m:oMath>
        <m:r>
          <w:rPr>
            <w:rFonts w:ascii="Cambria Math" w:hAnsi="Cambria Math"/>
            <w:szCs w:val="20"/>
            <w:lang w:val="en-US"/>
          </w:rPr>
          <m:t>s</m:t>
        </m:r>
        <m:r>
          <w:rPr>
            <w:rFonts w:ascii="Cambria Math" w:hAnsi="Cambria Math"/>
            <w:position w:val="-6"/>
            <w:sz w:val="16"/>
            <w:szCs w:val="20"/>
            <w:lang w:val="en-US"/>
          </w:rPr>
          <m:t>MESSUNG</m:t>
        </m:r>
      </m:oMath>
      <w:r w:rsidRPr="004F47BB">
        <w:rPr>
          <w:szCs w:val="20"/>
          <w:lang w:val="en-US"/>
        </w:rPr>
        <w:tab/>
        <w:t>=</w:t>
      </w:r>
      <w:r w:rsidRPr="004F47BB">
        <w:rPr>
          <w:szCs w:val="20"/>
          <w:lang w:val="en-US"/>
        </w:rPr>
        <w:tab/>
        <w:t>580 m</w:t>
      </w:r>
    </w:p>
    <w:p w:rsidR="004F47BB" w:rsidRPr="004F47BB" w:rsidRDefault="004F47BB" w:rsidP="004F47BB">
      <w:pPr>
        <w:tabs>
          <w:tab w:val="left" w:pos="5387"/>
          <w:tab w:val="left" w:pos="6379"/>
          <w:tab w:val="left" w:pos="6663"/>
          <w:tab w:val="left" w:pos="7513"/>
        </w:tabs>
        <w:overflowPunct w:val="0"/>
        <w:adjustRightInd w:val="0"/>
        <w:spacing w:line="240" w:lineRule="atLeast"/>
        <w:ind w:left="567" w:firstLine="0"/>
        <w:jc w:val="left"/>
        <w:textAlignment w:val="baseline"/>
        <w:rPr>
          <w:szCs w:val="20"/>
          <w:lang w:val="en-US"/>
        </w:rPr>
      </w:pPr>
    </w:p>
    <w:p w:rsidR="004F47BB" w:rsidRPr="004F47BB" w:rsidRDefault="004F47BB" w:rsidP="004F47BB">
      <w:pPr>
        <w:tabs>
          <w:tab w:val="left" w:pos="5387"/>
          <w:tab w:val="left" w:pos="6379"/>
          <w:tab w:val="left" w:pos="6663"/>
          <w:tab w:val="left" w:pos="7513"/>
        </w:tabs>
        <w:overflowPunct w:val="0"/>
        <w:adjustRightInd w:val="0"/>
        <w:spacing w:line="240" w:lineRule="atLeast"/>
        <w:ind w:left="567" w:firstLine="0"/>
        <w:jc w:val="left"/>
        <w:textAlignment w:val="baseline"/>
        <w:rPr>
          <w:szCs w:val="20"/>
          <w:lang w:val="en-US"/>
        </w:rPr>
      </w:pPr>
      <w:r w:rsidRPr="004F47BB">
        <w:rPr>
          <w:szCs w:val="20"/>
          <w:lang w:val="en-US"/>
        </w:rPr>
        <w:t xml:space="preserve">Loading condition (possibly estimated): </w:t>
      </w:r>
      <w:r w:rsidRPr="004F47BB">
        <w:rPr>
          <w:szCs w:val="20"/>
          <w:lang w:val="en-US"/>
        </w:rPr>
        <w:tab/>
      </w:r>
      <m:oMath>
        <m:r>
          <w:rPr>
            <w:rFonts w:ascii="Cambria Math" w:hAnsi="Cambria Math"/>
            <w:szCs w:val="20"/>
            <w:lang w:val="en-US"/>
          </w:rPr>
          <m:t>D</m:t>
        </m:r>
        <m:r>
          <w:rPr>
            <w:rFonts w:ascii="Cambria Math" w:hAnsi="Cambria Math"/>
            <w:position w:val="-6"/>
            <w:sz w:val="16"/>
            <w:szCs w:val="20"/>
            <w:lang w:val="en-US"/>
          </w:rPr>
          <m:t>IST</m:t>
        </m:r>
      </m:oMath>
      <w:r w:rsidRPr="004F47BB">
        <w:rPr>
          <w:szCs w:val="20"/>
          <w:lang w:val="en-US"/>
        </w:rPr>
        <w:tab/>
        <w:t>=</w:t>
      </w:r>
      <w:r w:rsidRPr="004F47BB">
        <w:rPr>
          <w:szCs w:val="20"/>
          <w:lang w:val="en-US"/>
        </w:rPr>
        <w:tab/>
        <w:t>9568 m</w:t>
      </w:r>
      <w:r w:rsidRPr="004F47BB">
        <w:rPr>
          <w:position w:val="6"/>
          <w:sz w:val="16"/>
          <w:szCs w:val="20"/>
          <w:lang w:val="en-US"/>
        </w:rPr>
        <w:t>3</w:t>
      </w:r>
      <w:r w:rsidRPr="004F47BB">
        <w:rPr>
          <w:szCs w:val="20"/>
          <w:lang w:val="en-US"/>
        </w:rPr>
        <w:tab/>
      </w:r>
      <w:r w:rsidRPr="004F47BB">
        <w:rPr>
          <w:szCs w:val="20"/>
        </w:rPr>
        <w:sym w:font="Symbol" w:char="F0BB"/>
      </w:r>
      <w:r w:rsidRPr="004F47BB">
        <w:rPr>
          <w:szCs w:val="20"/>
          <w:lang w:val="en-US"/>
        </w:rPr>
        <w:t xml:space="preserve"> 0,8 </w:t>
      </w:r>
      <m:oMath>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max</m:t>
            </m:r>
          </m:sub>
        </m:sSub>
      </m:oMath>
    </w:p>
    <w:p w:rsidR="004F47BB" w:rsidRPr="004F47BB" w:rsidRDefault="004F47BB" w:rsidP="004F47BB">
      <w:pPr>
        <w:tabs>
          <w:tab w:val="left" w:pos="5387"/>
          <w:tab w:val="left" w:pos="6379"/>
          <w:tab w:val="left" w:pos="6663"/>
          <w:tab w:val="left" w:pos="7230"/>
          <w:tab w:val="left" w:pos="7513"/>
        </w:tabs>
        <w:overflowPunct w:val="0"/>
        <w:adjustRightInd w:val="0"/>
        <w:spacing w:line="240" w:lineRule="atLeast"/>
        <w:ind w:left="567" w:firstLine="0"/>
        <w:jc w:val="left"/>
        <w:textAlignment w:val="baseline"/>
        <w:rPr>
          <w:szCs w:val="20"/>
          <w:lang w:val="en-US"/>
        </w:rPr>
      </w:pPr>
    </w:p>
    <w:p w:rsidR="004F47BB" w:rsidRPr="004F47BB" w:rsidRDefault="004F47BB" w:rsidP="004F47BB">
      <w:pPr>
        <w:tabs>
          <w:tab w:val="left" w:pos="5387"/>
          <w:tab w:val="left" w:pos="6379"/>
          <w:tab w:val="left" w:pos="6663"/>
          <w:tab w:val="left" w:pos="7513"/>
        </w:tabs>
        <w:overflowPunct w:val="0"/>
        <w:adjustRightInd w:val="0"/>
        <w:spacing w:line="240" w:lineRule="atLeast"/>
        <w:ind w:left="567" w:firstLine="0"/>
        <w:jc w:val="left"/>
        <w:textAlignment w:val="baseline"/>
        <w:rPr>
          <w:szCs w:val="20"/>
          <w:lang w:val="en-US"/>
        </w:rPr>
      </w:pPr>
      <w:r w:rsidRPr="004F47BB">
        <w:rPr>
          <w:szCs w:val="20"/>
          <w:lang w:val="en-US"/>
        </w:rPr>
        <w:t>Actual draught of convoy:</w:t>
      </w:r>
      <w:r w:rsidRPr="004F47BB">
        <w:rPr>
          <w:szCs w:val="20"/>
          <w:lang w:val="en-US"/>
        </w:rPr>
        <w:tab/>
      </w:r>
      <m:oMath>
        <m:r>
          <w:rPr>
            <w:rFonts w:ascii="Cambria Math" w:hAnsi="Cambria Math"/>
            <w:szCs w:val="20"/>
            <w:lang w:val="en-US"/>
          </w:rPr>
          <m:t>T</m:t>
        </m:r>
        <m:r>
          <w:rPr>
            <w:rFonts w:ascii="Cambria Math" w:hAnsi="Cambria Math"/>
            <w:position w:val="-6"/>
            <w:sz w:val="16"/>
            <w:szCs w:val="20"/>
            <w:lang w:val="en-US"/>
          </w:rPr>
          <m:t>IST</m:t>
        </m:r>
      </m:oMath>
      <w:r w:rsidRPr="004F47BB">
        <w:rPr>
          <w:szCs w:val="20"/>
          <w:lang w:val="en-US"/>
        </w:rPr>
        <w:tab/>
        <w:t>=</w:t>
      </w:r>
      <w:r w:rsidRPr="004F47BB">
        <w:rPr>
          <w:szCs w:val="20"/>
          <w:lang w:val="en-US"/>
        </w:rPr>
        <w:tab/>
        <w:t>2,96 m</w:t>
      </w:r>
      <w:r w:rsidRPr="004F47BB">
        <w:rPr>
          <w:szCs w:val="20"/>
          <w:lang w:val="en-US"/>
        </w:rPr>
        <w:tab/>
      </w:r>
      <w:r w:rsidRPr="004F47BB">
        <w:rPr>
          <w:szCs w:val="20"/>
        </w:rPr>
        <w:sym w:font="Symbol" w:char="F0BB"/>
      </w:r>
      <w:r w:rsidRPr="004F47BB">
        <w:rPr>
          <w:szCs w:val="20"/>
          <w:lang w:val="en-US"/>
        </w:rPr>
        <w:t xml:space="preserve"> 0,8 </w:t>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max</m:t>
            </m:r>
          </m:sub>
        </m:sSub>
      </m:oMath>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3.</w:t>
      </w:r>
      <w:r w:rsidRPr="004F47BB">
        <w:rPr>
          <w:rFonts w:cs="Arial"/>
          <w:b/>
          <w:color w:val="000000"/>
          <w:szCs w:val="20"/>
          <w:lang w:val="en-US"/>
        </w:rPr>
        <w:tab/>
        <w:t xml:space="preserve">Limit value according to (2.1)(a) or (b) of the instruction to be compared with </w:t>
      </w:r>
      <m:oMath>
        <m:sSub>
          <m:sSubPr>
            <m:ctrlPr>
              <w:rPr>
                <w:rFonts w:ascii="Cambria Math" w:hAnsi="Cambria Math"/>
                <w:i/>
                <w:noProof/>
                <w:lang w:val="en-US"/>
              </w:rPr>
            </m:ctrlPr>
          </m:sSubPr>
          <m:e>
            <m:r>
              <m:rPr>
                <m:sty m:val="bi"/>
              </m:rPr>
              <w:rPr>
                <w:rFonts w:ascii="Cambria Math" w:hAnsi="Cambria Math" w:cs="Arial"/>
                <w:noProof/>
                <w:color w:val="000000"/>
                <w:szCs w:val="20"/>
                <w:lang w:val="en-US"/>
              </w:rPr>
              <m:t>s</m:t>
            </m:r>
          </m:e>
          <m:sub>
            <m:r>
              <m:rPr>
                <m:sty m:val="bi"/>
              </m:rPr>
              <w:rPr>
                <w:rFonts w:ascii="Cambria Math" w:hAnsi="Cambria Math" w:cs="Arial"/>
                <w:noProof/>
                <w:color w:val="000000"/>
                <w:szCs w:val="20"/>
                <w:lang w:val="en-US"/>
              </w:rPr>
              <m:t>NORM</m:t>
            </m:r>
          </m:sub>
        </m:sSub>
      </m:oMath>
    </w:p>
    <w:p w:rsidR="004F47BB" w:rsidRPr="004F47BB" w:rsidRDefault="004F47BB" w:rsidP="004F47BB">
      <w:pPr>
        <w:tabs>
          <w:tab w:val="left" w:pos="567"/>
        </w:tabs>
        <w:overflowPunct w:val="0"/>
        <w:adjustRightInd w:val="0"/>
        <w:ind w:left="567" w:hanging="567"/>
        <w:textAlignment w:val="baseline"/>
        <w:rPr>
          <w:szCs w:val="20"/>
          <w:lang w:val="en-US"/>
        </w:rPr>
      </w:pPr>
    </w:p>
    <w:p w:rsidR="004F47BB" w:rsidRPr="004F47BB" w:rsidRDefault="004F47BB" w:rsidP="004F47BB">
      <w:pPr>
        <w:overflowPunct w:val="0"/>
        <w:adjustRightInd w:val="0"/>
        <w:spacing w:line="240" w:lineRule="exact"/>
        <w:ind w:left="567" w:firstLine="0"/>
        <w:textAlignment w:val="baseline"/>
        <w:rPr>
          <w:szCs w:val="20"/>
          <w:lang w:val="en-US"/>
        </w:rPr>
      </w:pPr>
      <w:r w:rsidRPr="004F47BB">
        <w:rPr>
          <w:szCs w:val="20"/>
          <w:lang w:val="en-US"/>
        </w:rPr>
        <w:t xml:space="preserve">Since </w:t>
      </w:r>
      <m:oMath>
        <m:r>
          <w:rPr>
            <w:rFonts w:ascii="Cambria Math" w:hAnsi="Cambria Math"/>
            <w:szCs w:val="20"/>
            <w:lang w:val="en-US"/>
          </w:rPr>
          <m:t>B &gt; 11,45 m</m:t>
        </m:r>
      </m:oMath>
      <w:r w:rsidRPr="004F47BB">
        <w:rPr>
          <w:szCs w:val="20"/>
          <w:lang w:val="en-US"/>
        </w:rPr>
        <w:t xml:space="preserve"> and the convoy is in flowing water, the following applies for this convoy under (2.1)(a):</w:t>
      </w:r>
    </w:p>
    <w:p w:rsidR="004F47BB" w:rsidRPr="004F47BB" w:rsidRDefault="004F47BB" w:rsidP="004F47BB">
      <w:pPr>
        <w:tabs>
          <w:tab w:val="left" w:pos="567"/>
        </w:tabs>
        <w:overflowPunct w:val="0"/>
        <w:adjustRightInd w:val="0"/>
        <w:ind w:left="567" w:hanging="567"/>
        <w:textAlignment w:val="baseline"/>
        <w:rPr>
          <w:szCs w:val="20"/>
          <w:lang w:val="en-US"/>
        </w:rPr>
      </w:pPr>
    </w:p>
    <w:p w:rsidR="004F47BB" w:rsidRPr="004F47BB" w:rsidRDefault="004F47BB" w:rsidP="004F47BB">
      <w:pPr>
        <w:tabs>
          <w:tab w:val="left" w:pos="567"/>
          <w:tab w:val="left" w:pos="3402"/>
        </w:tabs>
        <w:overflowPunct w:val="0"/>
        <w:adjustRightInd w:val="0"/>
        <w:spacing w:line="240" w:lineRule="atLeast"/>
        <w:ind w:left="567" w:firstLine="0"/>
        <w:textAlignment w:val="baseline"/>
        <w:rPr>
          <w:szCs w:val="20"/>
          <w:lang w:val="en-US"/>
        </w:rPr>
      </w:pPr>
      <m:oMathPara>
        <m:oMath>
          <m:r>
            <w:rPr>
              <w:rFonts w:ascii="Cambria Math" w:hAnsi="Cambria Math"/>
              <w:szCs w:val="20"/>
              <w:lang w:val="en-US"/>
            </w:rPr>
            <m:t>s</m:t>
          </m:r>
          <m:r>
            <w:rPr>
              <w:rFonts w:ascii="Cambria Math" w:hAnsi="Cambria Math"/>
              <w:position w:val="-6"/>
              <w:sz w:val="16"/>
              <w:szCs w:val="20"/>
              <w:lang w:val="en-US"/>
            </w:rPr>
            <m:t>NORM</m:t>
          </m:r>
          <m:r>
            <w:rPr>
              <w:rFonts w:ascii="Cambria Math" w:hAnsi="Cambria Math"/>
              <w:szCs w:val="20"/>
              <w:lang w:val="en-US"/>
            </w:rPr>
            <m:t xml:space="preserve">  </m:t>
          </m:r>
          <m:r>
            <w:rPr>
              <w:rFonts w:ascii="Cambria Math" w:hAnsi="Cambria Math"/>
              <w:i/>
              <w:szCs w:val="20"/>
              <w:lang w:val="de-DE"/>
            </w:rPr>
            <w:sym w:font="Symbol" w:char="F0A3"/>
          </m:r>
          <m:r>
            <w:rPr>
              <w:rFonts w:ascii="Cambria Math" w:hAnsi="Cambria Math"/>
              <w:szCs w:val="20"/>
              <w:lang w:val="en-US"/>
            </w:rPr>
            <m:t xml:space="preserve">  550 m</m:t>
          </m:r>
        </m:oMath>
      </m:oMathPara>
    </w:p>
    <w:p w:rsidR="004F47BB" w:rsidRPr="004F47BB" w:rsidRDefault="004F47BB" w:rsidP="004F47BB">
      <w:pPr>
        <w:tabs>
          <w:tab w:val="left" w:pos="454"/>
          <w:tab w:val="left" w:pos="567"/>
        </w:tabs>
        <w:overflowPunct w:val="0"/>
        <w:adjustRightInd w:val="0"/>
        <w:spacing w:line="240" w:lineRule="exact"/>
        <w:ind w:left="567" w:hanging="567"/>
        <w:textAlignment w:val="baseline"/>
        <w:rPr>
          <w:szCs w:val="20"/>
          <w:lang w:val="en-US"/>
        </w:rPr>
      </w:pPr>
    </w:p>
    <w:p w:rsidR="004F47BB" w:rsidRPr="004F47BB" w:rsidRDefault="004F47BB" w:rsidP="004F47BB">
      <w:pPr>
        <w:tabs>
          <w:tab w:val="left" w:pos="454"/>
          <w:tab w:val="left" w:pos="567"/>
        </w:tabs>
        <w:overflowPunct w:val="0"/>
        <w:adjustRightInd w:val="0"/>
        <w:spacing w:line="240" w:lineRule="exact"/>
        <w:ind w:left="567" w:hanging="567"/>
        <w:textAlignment w:val="baseline"/>
        <w:rPr>
          <w:szCs w:val="20"/>
          <w:lang w:val="en-US"/>
        </w:rPr>
      </w:pPr>
      <w:r w:rsidRPr="004F47BB">
        <w:rPr>
          <w:szCs w:val="20"/>
          <w:lang w:val="en-US"/>
        </w:rPr>
        <w:br w:type="page"/>
      </w: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lastRenderedPageBreak/>
        <w:t>4.</w:t>
      </w:r>
      <w:r w:rsidRPr="004F47BB">
        <w:rPr>
          <w:rFonts w:cs="Arial"/>
          <w:b/>
          <w:color w:val="000000"/>
          <w:szCs w:val="20"/>
          <w:lang w:val="en-US"/>
        </w:rPr>
        <w:tab/>
        <w:t>Determination of the corrected stopping distance compared with standard conditions</w:t>
      </w:r>
    </w:p>
    <w:p w:rsidR="004F47BB" w:rsidRPr="004F47BB" w:rsidRDefault="004F47BB" w:rsidP="004F47BB">
      <w:pPr>
        <w:overflowPunct w:val="0"/>
        <w:adjustRightInd w:val="0"/>
        <w:spacing w:line="240" w:lineRule="exact"/>
        <w:ind w:left="567" w:hanging="567"/>
        <w:jc w:val="left"/>
        <w:textAlignment w:val="baseline"/>
        <w:rPr>
          <w:szCs w:val="20"/>
          <w:lang w:val="en-US"/>
        </w:rPr>
      </w:pPr>
    </w:p>
    <w:p w:rsidR="004F47BB" w:rsidRPr="004F47BB" w:rsidRDefault="004F47BB" w:rsidP="004F47BB">
      <w:pPr>
        <w:tabs>
          <w:tab w:val="left" w:pos="567"/>
        </w:tabs>
        <w:overflowPunct w:val="0"/>
        <w:adjustRightInd w:val="0"/>
        <w:spacing w:line="240" w:lineRule="exact"/>
        <w:ind w:left="992"/>
        <w:jc w:val="left"/>
        <w:textAlignment w:val="baseline"/>
        <w:rPr>
          <w:szCs w:val="20"/>
          <w:lang w:val="en-US"/>
        </w:rPr>
      </w:pPr>
      <w:r w:rsidRPr="004F47BB">
        <w:rPr>
          <w:szCs w:val="20"/>
          <w:lang w:val="en-US"/>
        </w:rPr>
        <w:t>-</w:t>
      </w:r>
      <w:r w:rsidRPr="004F47BB">
        <w:rPr>
          <w:szCs w:val="20"/>
          <w:lang w:val="en-US"/>
        </w:rPr>
        <w:tab/>
      </w:r>
      <w:r w:rsidRPr="004F47BB">
        <w:rPr>
          <w:b/>
          <w:szCs w:val="20"/>
          <w:lang w:val="en-US"/>
        </w:rPr>
        <w:t>Measured value</w:t>
      </w:r>
      <w:r w:rsidRPr="004F47BB">
        <w:rPr>
          <w:szCs w:val="20"/>
          <w:lang w:val="en-US"/>
        </w:rPr>
        <w:t>:</w:t>
      </w:r>
    </w:p>
    <w:p w:rsidR="004F47BB" w:rsidRPr="004F47BB" w:rsidRDefault="004F47BB" w:rsidP="004F47BB">
      <w:pPr>
        <w:tabs>
          <w:tab w:val="left" w:pos="284"/>
        </w:tabs>
        <w:overflowPunct w:val="0"/>
        <w:adjustRightInd w:val="0"/>
        <w:spacing w:line="240" w:lineRule="exact"/>
        <w:ind w:left="992"/>
        <w:jc w:val="left"/>
        <w:textAlignment w:val="baseline"/>
        <w:rPr>
          <w:szCs w:val="20"/>
          <w:lang w:val="en-US"/>
        </w:rPr>
      </w:pPr>
    </w:p>
    <w:p w:rsidR="004F47BB" w:rsidRPr="004F47BB" w:rsidRDefault="004F47BB" w:rsidP="004F47BB">
      <w:pPr>
        <w:tabs>
          <w:tab w:val="left" w:pos="454"/>
          <w:tab w:val="left" w:pos="3402"/>
        </w:tabs>
        <w:overflowPunct w:val="0"/>
        <w:adjustRightInd w:val="0"/>
        <w:spacing w:line="240" w:lineRule="exact"/>
        <w:ind w:left="992"/>
        <w:textAlignment w:val="baseline"/>
        <w:rPr>
          <w:szCs w:val="20"/>
          <w:lang w:val="en-US"/>
        </w:rPr>
      </w:pPr>
      <m:oMathPara>
        <m:oMath>
          <m:r>
            <w:rPr>
              <w:rFonts w:ascii="Cambria Math" w:hAnsi="Cambria Math"/>
              <w:szCs w:val="20"/>
              <w:lang w:val="en-US"/>
            </w:rPr>
            <m:t>s</m:t>
          </m:r>
          <m:r>
            <w:rPr>
              <w:rFonts w:ascii="Cambria Math" w:hAnsi="Cambria Math"/>
              <w:position w:val="-6"/>
              <w:sz w:val="16"/>
              <w:szCs w:val="20"/>
              <w:lang w:val="en-US"/>
            </w:rPr>
            <m:t>MESSUNG</m:t>
          </m:r>
          <m:r>
            <w:rPr>
              <w:rFonts w:ascii="Cambria Math" w:hAnsi="Cambria Math"/>
              <w:szCs w:val="20"/>
              <w:lang w:val="en-US"/>
            </w:rPr>
            <m:t xml:space="preserve"> = 580 m</m:t>
          </m:r>
        </m:oMath>
      </m:oMathPara>
    </w:p>
    <w:p w:rsidR="004F47BB" w:rsidRPr="004F47BB" w:rsidRDefault="004F47BB" w:rsidP="004F47BB">
      <w:pPr>
        <w:tabs>
          <w:tab w:val="left" w:pos="454"/>
        </w:tabs>
        <w:overflowPunct w:val="0"/>
        <w:adjustRightInd w:val="0"/>
        <w:spacing w:line="240" w:lineRule="exact"/>
        <w:ind w:left="992"/>
        <w:jc w:val="left"/>
        <w:textAlignment w:val="baseline"/>
        <w:rPr>
          <w:szCs w:val="20"/>
          <w:lang w:val="en-US"/>
        </w:rPr>
      </w:pPr>
    </w:p>
    <w:p w:rsidR="004F47BB" w:rsidRPr="004F47BB" w:rsidRDefault="004F47BB" w:rsidP="004F47BB">
      <w:pPr>
        <w:tabs>
          <w:tab w:val="left" w:pos="284"/>
          <w:tab w:val="left" w:pos="567"/>
        </w:tabs>
        <w:overflowPunct w:val="0"/>
        <w:adjustRightInd w:val="0"/>
        <w:spacing w:line="240" w:lineRule="exact"/>
        <w:ind w:left="992"/>
        <w:jc w:val="left"/>
        <w:textAlignment w:val="baseline"/>
        <w:rPr>
          <w:b/>
          <w:szCs w:val="20"/>
          <w:lang w:val="en-US"/>
        </w:rPr>
      </w:pPr>
      <w:r w:rsidRPr="004F47BB">
        <w:rPr>
          <w:b/>
          <w:szCs w:val="20"/>
          <w:lang w:val="en-US"/>
        </w:rPr>
        <w:t>-</w:t>
      </w:r>
      <w:r w:rsidRPr="004F47BB">
        <w:rPr>
          <w:b/>
          <w:szCs w:val="20"/>
          <w:lang w:val="en-US"/>
        </w:rPr>
        <w:tab/>
        <w:t>calculations to be made:</w:t>
      </w:r>
    </w:p>
    <w:p w:rsidR="004F47BB" w:rsidRPr="004F47BB" w:rsidRDefault="004F47BB" w:rsidP="004F47BB">
      <w:pPr>
        <w:tabs>
          <w:tab w:val="left" w:pos="567"/>
        </w:tabs>
        <w:overflowPunct w:val="0"/>
        <w:adjustRightInd w:val="0"/>
        <w:spacing w:line="240" w:lineRule="exact"/>
        <w:ind w:left="992"/>
        <w:jc w:val="left"/>
        <w:textAlignment w:val="baseline"/>
        <w:rPr>
          <w:szCs w:val="20"/>
          <w:lang w:val="en-US"/>
        </w:rPr>
      </w:pPr>
    </w:p>
    <w:p w:rsidR="004F47BB" w:rsidRPr="004F47BB" w:rsidRDefault="00F12BAF" w:rsidP="004F47BB">
      <w:pPr>
        <w:tabs>
          <w:tab w:val="left" w:pos="567"/>
          <w:tab w:val="left" w:pos="1276"/>
          <w:tab w:val="left" w:pos="4111"/>
        </w:tabs>
        <w:overflowPunct w:val="0"/>
        <w:adjustRightInd w:val="0"/>
        <w:spacing w:line="240" w:lineRule="atLeast"/>
        <w:ind w:left="3402" w:hanging="2410"/>
        <w:jc w:val="left"/>
        <w:textAlignment w:val="baseline"/>
        <w:rPr>
          <w:szCs w:val="20"/>
          <w:lang w:val="en-US"/>
        </w:rPr>
      </w:pP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IST</m:t>
            </m:r>
          </m:sub>
        </m:sSub>
      </m:oMath>
      <w:r w:rsidR="004F47BB" w:rsidRPr="004F47BB">
        <w:rPr>
          <w:szCs w:val="20"/>
          <w:lang w:val="en-US"/>
        </w:rPr>
        <w:t xml:space="preserve"> as the sum of</w:t>
      </w:r>
    </w:p>
    <w:p w:rsidR="004F47BB" w:rsidRPr="004F47BB" w:rsidRDefault="004F47BB" w:rsidP="004F47BB">
      <w:pPr>
        <w:tabs>
          <w:tab w:val="left" w:pos="567"/>
          <w:tab w:val="left" w:pos="1276"/>
          <w:tab w:val="left" w:pos="4111"/>
        </w:tabs>
        <w:overflowPunct w:val="0"/>
        <w:adjustRightInd w:val="0"/>
        <w:spacing w:line="240" w:lineRule="atLeast"/>
        <w:ind w:left="3402" w:hanging="2410"/>
        <w:jc w:val="left"/>
        <w:textAlignment w:val="baseline"/>
        <w:rPr>
          <w:szCs w:val="20"/>
          <w:lang w:val="en-US"/>
        </w:rPr>
      </w:pPr>
    </w:p>
    <w:p w:rsidR="004F47BB" w:rsidRPr="004F47BB" w:rsidRDefault="00F12BAF" w:rsidP="004F47BB">
      <w:pPr>
        <w:tabs>
          <w:tab w:val="left" w:pos="567"/>
          <w:tab w:val="left" w:pos="4111"/>
        </w:tabs>
        <w:overflowPunct w:val="0"/>
        <w:adjustRightInd w:val="0"/>
        <w:spacing w:line="240" w:lineRule="atLeast"/>
        <w:ind w:left="3402" w:hanging="2410"/>
        <w:jc w:val="left"/>
        <w:textAlignment w:val="baseline"/>
        <w:rPr>
          <w:szCs w:val="20"/>
          <w:lang w:val="en-US"/>
        </w:rPr>
      </w:pP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sub>
            </m:sSub>
          </m:e>
          <m:sub>
            <m:r>
              <w:rPr>
                <w:rFonts w:ascii="Cambria Math" w:hAnsi="Cambria Math"/>
                <w:noProof/>
                <w:lang w:val="en-US"/>
              </w:rPr>
              <m:t>IST</m:t>
            </m:r>
          </m:sub>
        </m:sSub>
      </m:oMath>
      <w:r w:rsidR="004F47BB" w:rsidRPr="004F47BB">
        <w:rPr>
          <w:szCs w:val="20"/>
          <w:lang w:val="en-US"/>
        </w:rPr>
        <w:t xml:space="preserve"> </w:t>
      </w:r>
      <w:r w:rsidR="004F47BB" w:rsidRPr="004F47BB">
        <w:rPr>
          <w:szCs w:val="20"/>
          <w:lang w:val="en-US"/>
        </w:rPr>
        <w:tab/>
        <w:t xml:space="preserve">(according to formula (4.1) of Annex 2 with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v</m:t>
                </m:r>
              </m:e>
              <m:sub>
                <m:r>
                  <w:rPr>
                    <w:rFonts w:ascii="Cambria Math" w:hAnsi="Cambria Math"/>
                    <w:noProof/>
                    <w:lang w:val="en-US"/>
                  </w:rPr>
                  <m:t>L</m:t>
                </m:r>
              </m:sub>
            </m:sSub>
          </m:e>
          <m:sub>
            <m:r>
              <w:rPr>
                <w:rFonts w:ascii="Cambria Math" w:hAnsi="Cambria Math"/>
                <w:noProof/>
                <w:lang w:val="en-US"/>
              </w:rPr>
              <m:t>IST</m:t>
            </m:r>
          </m:sub>
        </m:sSub>
      </m:oMath>
      <w:r w:rsidR="004F47BB" w:rsidRPr="004F47BB">
        <w:rPr>
          <w:szCs w:val="20"/>
          <w:lang w:val="en-US"/>
        </w:rPr>
        <w:t>)</w:t>
      </w:r>
    </w:p>
    <w:p w:rsidR="004F47BB" w:rsidRPr="004F47BB" w:rsidRDefault="004F47BB" w:rsidP="004F47BB">
      <w:pPr>
        <w:tabs>
          <w:tab w:val="left" w:pos="567"/>
          <w:tab w:val="left" w:pos="1276"/>
          <w:tab w:val="left" w:pos="4111"/>
        </w:tabs>
        <w:overflowPunct w:val="0"/>
        <w:adjustRightInd w:val="0"/>
        <w:spacing w:line="240" w:lineRule="atLeast"/>
        <w:ind w:left="3402" w:hanging="2410"/>
        <w:jc w:val="left"/>
        <w:textAlignment w:val="baseline"/>
        <w:rPr>
          <w:szCs w:val="20"/>
          <w:lang w:val="en-US"/>
        </w:rPr>
      </w:pPr>
    </w:p>
    <w:p w:rsidR="004F47BB" w:rsidRPr="004F47BB" w:rsidRDefault="004F47BB" w:rsidP="004F47BB">
      <w:pPr>
        <w:tabs>
          <w:tab w:val="left" w:pos="567"/>
          <w:tab w:val="left" w:pos="1276"/>
          <w:tab w:val="left" w:pos="4111"/>
        </w:tabs>
        <w:overflowPunct w:val="0"/>
        <w:adjustRightInd w:val="0"/>
        <w:spacing w:line="240" w:lineRule="atLeast"/>
        <w:ind w:left="3402" w:hanging="2410"/>
        <w:textAlignment w:val="baseline"/>
        <w:rPr>
          <w:szCs w:val="20"/>
          <w:lang w:val="en-US"/>
        </w:rPr>
      </w:pPr>
      <w:r w:rsidRPr="004F47BB">
        <w:rPr>
          <w:szCs w:val="20"/>
          <w:lang w:val="en-US"/>
        </w:rPr>
        <w:t xml:space="preserve">and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II</m:t>
                </m:r>
              </m:sub>
            </m:sSub>
          </m:e>
          <m:sub>
            <m:r>
              <w:rPr>
                <w:rFonts w:ascii="Cambria Math" w:hAnsi="Cambria Math"/>
                <w:noProof/>
                <w:lang w:val="en-US"/>
              </w:rPr>
              <m:t>IST</m:t>
            </m:r>
          </m:sub>
        </m:sSub>
      </m:oMath>
      <w:r w:rsidRPr="004F47BB">
        <w:rPr>
          <w:szCs w:val="20"/>
          <w:lang w:val="en-US"/>
        </w:rPr>
        <w:tab/>
        <w:t xml:space="preserve">(according to formulae (4.2), (4.3), (4.4), (4.5) and (4.6) of Annex 2 with real speeds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v</m:t>
                </m:r>
              </m:e>
              <m:sub>
                <m:r>
                  <w:rPr>
                    <w:rFonts w:ascii="Cambria Math" w:hAnsi="Cambria Math"/>
                    <w:noProof/>
                    <w:lang w:val="en-US"/>
                  </w:rPr>
                  <m:t>L</m:t>
                </m:r>
              </m:sub>
            </m:sSub>
          </m:e>
          <m:sub>
            <m:r>
              <w:rPr>
                <w:rFonts w:ascii="Cambria Math" w:hAnsi="Cambria Math"/>
                <w:noProof/>
                <w:lang w:val="en-US"/>
              </w:rPr>
              <m:t>IST</m:t>
            </m:r>
          </m:sub>
        </m:sSub>
      </m:oMath>
      <w:r w:rsidRPr="004F47BB">
        <w:rPr>
          <w:szCs w:val="20"/>
          <w:lang w:val="en-US"/>
        </w:rPr>
        <w:t>), (see under 2 above)</w:t>
      </w:r>
      <w:r w:rsidRPr="004F47BB">
        <w:rPr>
          <w:i/>
          <w:iCs/>
          <w:noProof/>
          <w:lang w:val="en-US"/>
        </w:rPr>
        <w:t xml:space="preserve"> </w:t>
      </w:r>
      <w:r w:rsidRPr="004F47BB">
        <w:rPr>
          <w:szCs w:val="20"/>
          <w:lang w:val="en-US"/>
        </w:rPr>
        <w:t xml:space="preserve">and </w:t>
      </w:r>
      <m:oMath>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IST</m:t>
            </m:r>
          </m:sub>
        </m:sSub>
      </m:oMath>
      <w:r w:rsidRPr="004F47BB">
        <w:rPr>
          <w:szCs w:val="20"/>
          <w:lang w:val="en-US"/>
        </w:rPr>
        <w:t>).</w:t>
      </w:r>
    </w:p>
    <w:p w:rsidR="004F47BB" w:rsidRPr="004F47BB" w:rsidRDefault="004F47BB" w:rsidP="004F47BB">
      <w:pPr>
        <w:tabs>
          <w:tab w:val="left" w:pos="454"/>
        </w:tabs>
        <w:overflowPunct w:val="0"/>
        <w:adjustRightInd w:val="0"/>
        <w:spacing w:line="240" w:lineRule="atLeast"/>
        <w:ind w:left="3402" w:hanging="2410"/>
        <w:jc w:val="left"/>
        <w:textAlignment w:val="baseline"/>
        <w:rPr>
          <w:szCs w:val="20"/>
          <w:lang w:val="en-US"/>
        </w:rPr>
      </w:pPr>
    </w:p>
    <w:p w:rsidR="004F47BB" w:rsidRPr="004F47BB" w:rsidRDefault="00F12BAF" w:rsidP="004F47BB">
      <w:pPr>
        <w:tabs>
          <w:tab w:val="left" w:pos="567"/>
          <w:tab w:val="left" w:pos="1560"/>
          <w:tab w:val="left" w:pos="4111"/>
        </w:tabs>
        <w:overflowPunct w:val="0"/>
        <w:adjustRightInd w:val="0"/>
        <w:spacing w:line="240" w:lineRule="atLeast"/>
        <w:ind w:left="3402" w:hanging="2410"/>
        <w:textAlignment w:val="baseline"/>
        <w:rPr>
          <w:szCs w:val="20"/>
          <w:lang w:val="en-US"/>
        </w:rPr>
      </w:pP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SOLL</m:t>
            </m:r>
          </m:sub>
        </m:sSub>
      </m:oMath>
      <w:r w:rsidR="004F47BB" w:rsidRPr="004F47BB">
        <w:rPr>
          <w:szCs w:val="20"/>
          <w:lang w:val="en-US"/>
        </w:rPr>
        <w:t>:</w:t>
      </w:r>
      <w:r w:rsidR="004F47BB" w:rsidRPr="004F47BB">
        <w:rPr>
          <w:szCs w:val="20"/>
          <w:lang w:val="en-US"/>
        </w:rPr>
        <w:tab/>
        <w:t xml:space="preserve">sum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sub>
            </m:sSub>
          </m:e>
          <m:sub>
            <m:r>
              <w:rPr>
                <w:rFonts w:ascii="Cambria Math" w:hAnsi="Cambria Math"/>
                <w:noProof/>
                <w:lang w:val="en-US"/>
              </w:rPr>
              <m:t>SOLL</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sSub>
              <m:sSubPr>
                <m:ctrlPr>
                  <w:rPr>
                    <w:rFonts w:ascii="Cambria Math" w:hAnsi="Cambria Math"/>
                    <w:i/>
                    <w:lang w:val="en-US"/>
                  </w:rPr>
                </m:ctrlPr>
              </m:sSubPr>
              <m:e>
                <m:r>
                  <w:rPr>
                    <w:rFonts w:ascii="Cambria Math" w:hAnsi="Cambria Math"/>
                    <w:lang w:val="en-US"/>
                  </w:rPr>
                  <m:t>II</m:t>
                </m:r>
              </m:e>
              <m:sub>
                <m:r>
                  <w:rPr>
                    <w:rFonts w:ascii="Cambria Math" w:hAnsi="Cambria Math"/>
                    <w:lang w:val="en-US"/>
                  </w:rPr>
                  <m:t>SOLL</m:t>
                </m:r>
              </m:sub>
            </m:sSub>
          </m:sub>
        </m:sSub>
      </m:oMath>
      <w:r w:rsidR="004F47BB" w:rsidRPr="004F47BB">
        <w:rPr>
          <w:szCs w:val="20"/>
          <w:lang w:val="en-US"/>
        </w:rPr>
        <w:tab/>
        <w:t>(according to formulae (4.1) to (4.6) of Annex 2 with reference speeds and in conformity of Annex 2, because the loading condition &gt; 70 % of maximum,</w:t>
      </w:r>
    </w:p>
    <w:p w:rsidR="004F47BB" w:rsidRPr="004F47BB" w:rsidRDefault="004F47BB" w:rsidP="004F47BB">
      <w:pPr>
        <w:tabs>
          <w:tab w:val="left" w:pos="567"/>
          <w:tab w:val="left" w:pos="4111"/>
        </w:tabs>
        <w:overflowPunct w:val="0"/>
        <w:adjustRightInd w:val="0"/>
        <w:spacing w:line="240" w:lineRule="atLeast"/>
        <w:ind w:left="3402" w:hanging="2410"/>
        <w:jc w:val="left"/>
        <w:textAlignment w:val="baseline"/>
        <w:rPr>
          <w:szCs w:val="20"/>
          <w:lang w:val="en-US"/>
        </w:rPr>
      </w:pPr>
      <w:r w:rsidRPr="004F47BB">
        <w:rPr>
          <w:szCs w:val="20"/>
          <w:lang w:val="en-US"/>
        </w:rPr>
        <w:tab/>
        <w:t xml:space="preserve">where </w:t>
      </w:r>
      <m:oMath>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SOLL</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IST</m:t>
            </m:r>
          </m:sub>
        </m:sSub>
      </m:oMath>
      <w:r w:rsidRPr="004F47BB">
        <w:rPr>
          <w:szCs w:val="20"/>
          <w:lang w:val="en-US"/>
        </w:rPr>
        <w:t xml:space="preserve"> and </w:t>
      </w:r>
      <m:oMath>
        <m:sSub>
          <m:sSubPr>
            <m:ctrlPr>
              <w:rPr>
                <w:rFonts w:ascii="Cambria Math" w:hAnsi="Cambria Math"/>
                <w:i/>
                <w:noProof/>
                <w:lang w:val="en-US"/>
              </w:rPr>
            </m:ctrlPr>
          </m:sSubPr>
          <m:e>
            <m:r>
              <w:rPr>
                <w:rFonts w:ascii="Cambria Math" w:hAnsi="Cambria Math"/>
                <w:noProof/>
                <w:lang w:val="en-US"/>
              </w:rPr>
              <m:t>T</m:t>
            </m:r>
          </m:e>
          <m:sub>
            <m:r>
              <w:rPr>
                <w:rFonts w:ascii="Cambria Math" w:hAnsi="Cambria Math"/>
                <w:noProof/>
                <w:lang w:val="en-US"/>
              </w:rPr>
              <m:t>SOLL</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T</m:t>
            </m:r>
          </m:e>
          <m:sub>
            <m:r>
              <w:rPr>
                <w:rFonts w:ascii="Cambria Math" w:hAnsi="Cambria Math"/>
                <w:noProof/>
                <w:lang w:val="en-US"/>
              </w:rPr>
              <m:t>IST</m:t>
            </m:r>
          </m:sub>
        </m:sSub>
      </m:oMath>
      <w:r w:rsidRPr="004F47BB">
        <w:rPr>
          <w:szCs w:val="20"/>
          <w:lang w:val="en-US"/>
        </w:rPr>
        <w:t>)</w:t>
      </w:r>
    </w:p>
    <w:p w:rsidR="004F47BB" w:rsidRPr="004F47BB" w:rsidRDefault="004F47BB" w:rsidP="004F47BB">
      <w:pPr>
        <w:tabs>
          <w:tab w:val="left" w:pos="454"/>
        </w:tabs>
        <w:overflowPunct w:val="0"/>
        <w:adjustRightInd w:val="0"/>
        <w:spacing w:line="240" w:lineRule="atLeast"/>
        <w:ind w:left="454" w:hanging="454"/>
        <w:jc w:val="left"/>
        <w:textAlignment w:val="baseline"/>
        <w:rPr>
          <w:szCs w:val="20"/>
          <w:lang w:val="en-US"/>
        </w:rPr>
      </w:pPr>
    </w:p>
    <w:p w:rsidR="004F47BB" w:rsidRPr="004F47BB" w:rsidRDefault="004F47BB" w:rsidP="004F47BB">
      <w:pPr>
        <w:tabs>
          <w:tab w:val="left" w:pos="284"/>
        </w:tabs>
        <w:overflowPunct w:val="0"/>
        <w:adjustRightInd w:val="0"/>
        <w:spacing w:line="240" w:lineRule="atLeast"/>
        <w:ind w:left="992"/>
        <w:jc w:val="left"/>
        <w:textAlignment w:val="baseline"/>
        <w:rPr>
          <w:szCs w:val="20"/>
          <w:lang w:val="en-US"/>
        </w:rPr>
      </w:pPr>
      <w:r w:rsidRPr="004F47BB">
        <w:rPr>
          <w:szCs w:val="20"/>
          <w:lang w:val="en-US"/>
        </w:rPr>
        <w:t>-</w:t>
      </w:r>
      <w:r w:rsidRPr="004F47BB">
        <w:rPr>
          <w:szCs w:val="20"/>
          <w:lang w:val="en-US"/>
        </w:rPr>
        <w:tab/>
      </w:r>
      <w:r w:rsidRPr="004F47BB">
        <w:rPr>
          <w:b/>
          <w:szCs w:val="20"/>
          <w:lang w:val="en-US"/>
        </w:rPr>
        <w:t>to be verified:</w:t>
      </w:r>
    </w:p>
    <w:p w:rsidR="004F47BB" w:rsidRPr="004F47BB" w:rsidRDefault="004F47BB" w:rsidP="004F47BB">
      <w:pPr>
        <w:tabs>
          <w:tab w:val="left" w:pos="454"/>
        </w:tabs>
        <w:overflowPunct w:val="0"/>
        <w:adjustRightInd w:val="0"/>
        <w:spacing w:line="240" w:lineRule="atLeast"/>
        <w:ind w:left="454" w:hanging="454"/>
        <w:jc w:val="left"/>
        <w:textAlignment w:val="baseline"/>
        <w:rPr>
          <w:szCs w:val="20"/>
          <w:lang w:val="en-US"/>
        </w:rPr>
      </w:pPr>
    </w:p>
    <w:p w:rsidR="004F47BB" w:rsidRPr="004F47BB" w:rsidRDefault="00F12BAF" w:rsidP="004F47BB">
      <w:pPr>
        <w:tabs>
          <w:tab w:val="left" w:pos="454"/>
        </w:tabs>
        <w:overflowPunct w:val="0"/>
        <w:adjustRightInd w:val="0"/>
        <w:spacing w:line="240" w:lineRule="atLeast"/>
        <w:ind w:left="454" w:hanging="454"/>
        <w:jc w:val="center"/>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NORM</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MESSUNG</m:t>
            </m:r>
          </m:sub>
        </m:sSub>
        <m:r>
          <w:rPr>
            <w:rFonts w:ascii="Cambria Math" w:hAnsi="Cambria Math"/>
            <w:szCs w:val="20"/>
            <w:lang w:val="en-US"/>
          </w:rPr>
          <m:t xml:space="preserve"> ∙ </m:t>
        </m:r>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SOLL</m:t>
                </m:r>
              </m:sub>
            </m:sSub>
          </m:num>
          <m:den>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IST</m:t>
                </m:r>
              </m:sub>
            </m:sSub>
          </m:den>
        </m:f>
        <m:r>
          <w:rPr>
            <w:rFonts w:ascii="Cambria Math" w:hAnsi="Cambria Math"/>
            <w:szCs w:val="20"/>
            <w:lang w:val="en-US"/>
          </w:rPr>
          <m:t xml:space="preserve"> ≤550 m</m:t>
        </m:r>
      </m:oMath>
      <w:r w:rsidR="004F47BB" w:rsidRPr="004F47BB">
        <w:rPr>
          <w:szCs w:val="20"/>
          <w:lang w:val="en-US"/>
        </w:rPr>
        <w:t xml:space="preserve"> otherwise</w:t>
      </w:r>
    </w:p>
    <w:p w:rsidR="004F47BB" w:rsidRPr="004F47BB" w:rsidRDefault="004F47BB" w:rsidP="004F47BB">
      <w:pPr>
        <w:tabs>
          <w:tab w:val="left" w:pos="454"/>
          <w:tab w:val="center" w:pos="3828"/>
        </w:tabs>
        <w:overflowPunct w:val="0"/>
        <w:adjustRightInd w:val="0"/>
        <w:spacing w:line="240" w:lineRule="atLeast"/>
        <w:ind w:left="454" w:hanging="454"/>
        <w:jc w:val="left"/>
        <w:textAlignment w:val="baseline"/>
        <w:rPr>
          <w:szCs w:val="20"/>
          <w:lang w:val="en-US"/>
        </w:rPr>
      </w:pPr>
    </w:p>
    <w:p w:rsidR="004F47BB" w:rsidRPr="004F47BB" w:rsidRDefault="004F47BB" w:rsidP="004F47BB">
      <w:pPr>
        <w:tabs>
          <w:tab w:val="left" w:pos="284"/>
        </w:tabs>
        <w:overflowPunct w:val="0"/>
        <w:adjustRightInd w:val="0"/>
        <w:spacing w:line="240" w:lineRule="atLeast"/>
        <w:ind w:left="992"/>
        <w:jc w:val="left"/>
        <w:textAlignment w:val="baseline"/>
        <w:rPr>
          <w:b/>
          <w:szCs w:val="20"/>
          <w:lang w:val="en-US"/>
        </w:rPr>
      </w:pPr>
      <w:r w:rsidRPr="004F47BB">
        <w:rPr>
          <w:b/>
          <w:szCs w:val="20"/>
          <w:lang w:val="en-US"/>
        </w:rPr>
        <w:t>-</w:t>
      </w:r>
      <w:r w:rsidRPr="004F47BB">
        <w:rPr>
          <w:b/>
          <w:szCs w:val="20"/>
          <w:lang w:val="en-US"/>
        </w:rPr>
        <w:tab/>
        <w:t>calculate:</w:t>
      </w:r>
    </w:p>
    <w:p w:rsidR="004F47BB" w:rsidRPr="004F47BB" w:rsidRDefault="004F47BB" w:rsidP="004F47BB">
      <w:pPr>
        <w:tabs>
          <w:tab w:val="left" w:pos="454"/>
        </w:tabs>
        <w:overflowPunct w:val="0"/>
        <w:adjustRightInd w:val="0"/>
        <w:spacing w:line="240" w:lineRule="atLeast"/>
        <w:ind w:left="454" w:hanging="454"/>
        <w:jc w:val="left"/>
        <w:textAlignment w:val="baseline"/>
        <w:rPr>
          <w:szCs w:val="20"/>
          <w:lang w:val="en-US"/>
        </w:rPr>
      </w:pPr>
    </w:p>
    <w:p w:rsidR="004F47BB" w:rsidRPr="004F47BB" w:rsidRDefault="00F12BAF" w:rsidP="004F47BB">
      <w:pPr>
        <w:tabs>
          <w:tab w:val="left" w:pos="454"/>
          <w:tab w:val="left" w:pos="1418"/>
          <w:tab w:val="left" w:pos="1843"/>
        </w:tabs>
        <w:overflowPunct w:val="0"/>
        <w:adjustRightInd w:val="0"/>
        <w:spacing w:line="240" w:lineRule="atLeast"/>
        <w:ind w:left="992" w:firstLine="0"/>
        <w:jc w:val="left"/>
        <w:textAlignment w:val="baseline"/>
        <w:rPr>
          <w:szCs w:val="20"/>
          <w:lang w:val="en-US"/>
        </w:rPr>
      </w:pPr>
      <m:oMath>
        <m:sSub>
          <m:sSubPr>
            <m:ctrlPr>
              <w:rPr>
                <w:rFonts w:ascii="Cambria Math" w:hAnsi="Cambria Math"/>
                <w:i/>
                <w:szCs w:val="20"/>
                <w:lang w:val="en-US"/>
              </w:rPr>
            </m:ctrlPr>
          </m:sSubPr>
          <m:e>
            <m:sSup>
              <m:sSupPr>
                <m:ctrlPr>
                  <w:rPr>
                    <w:rFonts w:ascii="Cambria Math" w:hAnsi="Cambria Math"/>
                    <w:i/>
                    <w:szCs w:val="20"/>
                    <w:lang w:val="en-US"/>
                  </w:rPr>
                </m:ctrlPr>
              </m:sSupPr>
              <m:e>
                <m:r>
                  <w:rPr>
                    <w:rFonts w:ascii="Cambria Math" w:hAnsi="Cambria Math"/>
                    <w:szCs w:val="20"/>
                    <w:lang w:val="en-US"/>
                  </w:rPr>
                  <m:t>s</m:t>
                </m:r>
              </m:e>
              <m:sup>
                <m:r>
                  <w:rPr>
                    <w:rFonts w:ascii="Cambria Math" w:hAnsi="Cambria Math"/>
                    <w:szCs w:val="20"/>
                    <w:lang w:val="en-US"/>
                  </w:rPr>
                  <m:t>*</m:t>
                </m:r>
              </m:sup>
            </m:sSup>
          </m:e>
          <m:sub>
            <m:r>
              <w:rPr>
                <w:rFonts w:ascii="Cambria Math" w:hAnsi="Cambria Math"/>
                <w:szCs w:val="20"/>
                <w:lang w:val="en-US"/>
              </w:rPr>
              <m:t>NORM</m:t>
            </m:r>
          </m:sub>
        </m:sSub>
      </m:oMath>
      <w:r w:rsidR="004F47BB" w:rsidRPr="004F47BB">
        <w:rPr>
          <w:szCs w:val="20"/>
          <w:lang w:val="en-US"/>
        </w:rPr>
        <w:tab/>
        <w:t>=</w:t>
      </w:r>
      <w:r w:rsidR="004F47BB" w:rsidRPr="004F47BB">
        <w:rPr>
          <w:szCs w:val="20"/>
          <w:lang w:val="en-US"/>
        </w:rPr>
        <w:tab/>
        <w:t xml:space="preserve">550 m by reduction of </w:t>
      </w:r>
      <m:oMath>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IST</m:t>
            </m:r>
          </m:sub>
        </m:sSub>
      </m:oMath>
      <w:r w:rsidR="004F47BB" w:rsidRPr="004F47BB">
        <w:rPr>
          <w:szCs w:val="20"/>
          <w:lang w:val="en-US"/>
        </w:rPr>
        <w:t xml:space="preserve"> to </w:t>
      </w:r>
      <m:oMath>
        <m:sSup>
          <m:sSupPr>
            <m:ctrlPr>
              <w:rPr>
                <w:rFonts w:ascii="Cambria Math" w:hAnsi="Cambria Math"/>
                <w:i/>
                <w:szCs w:val="20"/>
                <w:lang w:val="en-US"/>
              </w:rPr>
            </m:ctrlPr>
          </m:sSupPr>
          <m:e>
            <m:r>
              <w:rPr>
                <w:rFonts w:ascii="Cambria Math" w:hAnsi="Cambria Math"/>
                <w:szCs w:val="20"/>
                <w:lang w:val="en-US"/>
              </w:rPr>
              <m:t>D</m:t>
            </m:r>
          </m:e>
          <m:sup>
            <m:r>
              <w:rPr>
                <w:rFonts w:ascii="Cambria Math" w:hAnsi="Cambria Math"/>
                <w:szCs w:val="20"/>
                <w:lang w:val="en-US"/>
              </w:rPr>
              <m:t>*</m:t>
            </m:r>
          </m:sup>
        </m:sSup>
      </m:oMath>
      <w:r w:rsidR="004F47BB" w:rsidRPr="004F47BB">
        <w:rPr>
          <w:szCs w:val="20"/>
          <w:lang w:val="en-US"/>
        </w:rPr>
        <w:t>.</w:t>
      </w:r>
    </w:p>
    <w:p w:rsidR="004F47BB" w:rsidRPr="004F47BB" w:rsidRDefault="004F47BB" w:rsidP="004F47BB">
      <w:pPr>
        <w:tabs>
          <w:tab w:val="left" w:pos="454"/>
        </w:tabs>
        <w:overflowPunct w:val="0"/>
        <w:adjustRightInd w:val="0"/>
        <w:spacing w:line="240" w:lineRule="atLeast"/>
        <w:ind w:left="454" w:hanging="454"/>
        <w:jc w:val="left"/>
        <w:textAlignment w:val="baseline"/>
        <w:rPr>
          <w:szCs w:val="20"/>
          <w:lang w:val="en-US"/>
        </w:rPr>
      </w:pPr>
    </w:p>
    <w:p w:rsidR="004F47BB" w:rsidRPr="004F47BB" w:rsidRDefault="004F47BB" w:rsidP="004F47BB">
      <w:pPr>
        <w:tabs>
          <w:tab w:val="left" w:pos="454"/>
        </w:tabs>
        <w:overflowPunct w:val="0"/>
        <w:adjustRightInd w:val="0"/>
        <w:spacing w:line="240" w:lineRule="atLeast"/>
        <w:ind w:left="454" w:hanging="454"/>
        <w:jc w:val="left"/>
        <w:textAlignment w:val="baseline"/>
        <w:rPr>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4.1</w:t>
      </w:r>
      <w:r w:rsidRPr="004F47BB">
        <w:rPr>
          <w:rFonts w:cs="Arial"/>
          <w:b/>
          <w:color w:val="000000"/>
          <w:szCs w:val="20"/>
          <w:lang w:val="en-US"/>
        </w:rPr>
        <w:tab/>
        <w:t>Coefficients for the calculation according to Annex 2</w:t>
      </w:r>
    </w:p>
    <w:p w:rsidR="004F47BB" w:rsidRPr="004F47BB" w:rsidRDefault="004F47BB" w:rsidP="004F47BB">
      <w:pPr>
        <w:tabs>
          <w:tab w:val="left" w:pos="284"/>
          <w:tab w:val="left" w:pos="567"/>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567"/>
        </w:tabs>
        <w:overflowPunct w:val="0"/>
        <w:adjustRightInd w:val="0"/>
        <w:spacing w:line="240" w:lineRule="atLeast"/>
        <w:ind w:left="567" w:firstLine="0"/>
        <w:textAlignment w:val="baseline"/>
        <w:rPr>
          <w:szCs w:val="20"/>
          <w:lang w:val="en-US"/>
        </w:rPr>
      </w:pPr>
      <w:r w:rsidRPr="004F47BB">
        <w:rPr>
          <w:szCs w:val="20"/>
          <w:lang w:val="en-US"/>
        </w:rPr>
        <w:t>Table 1</w:t>
      </w:r>
    </w:p>
    <w:p w:rsidR="004F47BB" w:rsidRPr="004F47BB" w:rsidRDefault="004F47BB" w:rsidP="004F47BB">
      <w:pPr>
        <w:tabs>
          <w:tab w:val="left" w:pos="0"/>
          <w:tab w:val="left" w:pos="28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567"/>
          <w:tab w:val="left" w:pos="2694"/>
          <w:tab w:val="left" w:pos="3119"/>
          <w:tab w:val="left" w:pos="3544"/>
        </w:tabs>
        <w:overflowPunct w:val="0"/>
        <w:adjustRightInd w:val="0"/>
        <w:spacing w:line="240" w:lineRule="atLeast"/>
        <w:ind w:left="567" w:firstLine="0"/>
        <w:textAlignment w:val="baseline"/>
        <w:rPr>
          <w:szCs w:val="20"/>
          <w:lang w:val="en-US"/>
        </w:rPr>
      </w:pPr>
      <w:r w:rsidRPr="004F47BB">
        <w:rPr>
          <w:szCs w:val="20"/>
          <w:lang w:val="en-US"/>
        </w:rPr>
        <w:t xml:space="preserve">for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sub>
            </m:sSub>
          </m:e>
          <m:sub>
            <m:r>
              <w:rPr>
                <w:rFonts w:ascii="Cambria Math" w:hAnsi="Cambria Math"/>
                <w:noProof/>
                <w:lang w:val="en-US"/>
              </w:rPr>
              <m:t>IST</m:t>
            </m:r>
          </m:sub>
        </m:sSub>
      </m:oMath>
      <w:r w:rsidRPr="004F47BB">
        <w:rPr>
          <w:szCs w:val="20"/>
          <w:lang w:val="en-US"/>
        </w:rPr>
        <w:t xml:space="preserve"> and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sub>
            </m:sSub>
          </m:e>
          <m:sub>
            <m:r>
              <w:rPr>
                <w:rFonts w:ascii="Cambria Math" w:hAnsi="Cambria Math"/>
                <w:noProof/>
                <w:lang w:val="en-US"/>
              </w:rPr>
              <m:t>SOLL</m:t>
            </m:r>
          </m:sub>
        </m:sSub>
      </m:oMath>
      <w:r w:rsidRPr="004F47BB">
        <w:rPr>
          <w:szCs w:val="20"/>
          <w:lang w:val="en-US"/>
        </w:rPr>
        <w:t xml:space="preserve"> </w:t>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1</m:t>
            </m:r>
          </m:sub>
        </m:sSub>
      </m:oMath>
      <w:r w:rsidRPr="004F47BB">
        <w:rPr>
          <w:szCs w:val="20"/>
          <w:lang w:val="en-US"/>
        </w:rPr>
        <w:tab/>
        <w:t>=</w:t>
      </w:r>
      <w:r w:rsidRPr="004F47BB">
        <w:rPr>
          <w:szCs w:val="20"/>
          <w:lang w:val="en-US"/>
        </w:rPr>
        <w:tab/>
        <w:t>0,95</w:t>
      </w:r>
    </w:p>
    <w:p w:rsidR="004F47BB" w:rsidRPr="004F47BB" w:rsidRDefault="004F47BB" w:rsidP="004F47BB">
      <w:pPr>
        <w:tabs>
          <w:tab w:val="left" w:pos="567"/>
        </w:tabs>
        <w:overflowPunct w:val="0"/>
        <w:adjustRightInd w:val="0"/>
        <w:spacing w:line="240" w:lineRule="atLeast"/>
        <w:ind w:left="567" w:firstLine="0"/>
        <w:textAlignment w:val="baseline"/>
        <w:rPr>
          <w:szCs w:val="20"/>
          <w:lang w:val="en-US"/>
        </w:rPr>
      </w:pPr>
    </w:p>
    <w:p w:rsidR="004F47BB" w:rsidRPr="004F47BB" w:rsidRDefault="004F47BB" w:rsidP="004F47BB">
      <w:pPr>
        <w:tabs>
          <w:tab w:val="left" w:pos="567"/>
        </w:tabs>
        <w:overflowPunct w:val="0"/>
        <w:adjustRightInd w:val="0"/>
        <w:spacing w:line="240" w:lineRule="atLeast"/>
        <w:ind w:left="567" w:firstLine="0"/>
        <w:textAlignment w:val="baseline"/>
        <w:rPr>
          <w:szCs w:val="20"/>
          <w:lang w:val="en-US"/>
        </w:rPr>
      </w:pPr>
      <w:r w:rsidRPr="004F47BB">
        <w:rPr>
          <w:szCs w:val="20"/>
          <w:lang w:val="en-US"/>
        </w:rPr>
        <w:t xml:space="preserve">for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II</m:t>
                </m:r>
              </m:sub>
            </m:sSub>
          </m:e>
          <m:sub>
            <m:r>
              <w:rPr>
                <w:rFonts w:ascii="Cambria Math" w:hAnsi="Cambria Math"/>
                <w:noProof/>
                <w:lang w:val="en-US"/>
              </w:rPr>
              <m:t>IST</m:t>
            </m:r>
          </m:sub>
        </m:sSub>
      </m:oMath>
      <w:r w:rsidRPr="004F47BB">
        <w:rPr>
          <w:szCs w:val="20"/>
          <w:lang w:val="en-US"/>
        </w:rPr>
        <w:t xml:space="preserve"> and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II</m:t>
                </m:r>
              </m:sub>
            </m:sSub>
          </m:e>
          <m:sub>
            <m:r>
              <w:rPr>
                <w:rFonts w:ascii="Cambria Math" w:hAnsi="Cambria Math"/>
                <w:noProof/>
                <w:lang w:val="en-US"/>
              </w:rPr>
              <m:t>SOLL</m:t>
            </m:r>
          </m:sub>
        </m:sSub>
      </m:oMath>
    </w:p>
    <w:p w:rsidR="004F47BB" w:rsidRPr="004F47BB" w:rsidRDefault="00F12BAF" w:rsidP="004F47BB">
      <w:pPr>
        <w:tabs>
          <w:tab w:val="left" w:pos="2694"/>
          <w:tab w:val="left" w:pos="3119"/>
          <w:tab w:val="left" w:pos="3544"/>
        </w:tabs>
        <w:overflowPunct w:val="0"/>
        <w:adjustRightInd w:val="0"/>
        <w:spacing w:line="240" w:lineRule="atLeast"/>
        <w:ind w:left="2694" w:firstLine="0"/>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2</m:t>
            </m:r>
          </m:sub>
        </m:sSub>
      </m:oMath>
      <w:r w:rsidR="004F47BB" w:rsidRPr="004F47BB">
        <w:rPr>
          <w:position w:val="-6"/>
          <w:sz w:val="16"/>
          <w:szCs w:val="20"/>
          <w:lang w:val="en-US"/>
        </w:rPr>
        <w:tab/>
      </w:r>
      <w:r w:rsidR="004F47BB" w:rsidRPr="004F47BB">
        <w:rPr>
          <w:szCs w:val="20"/>
          <w:lang w:val="en-US"/>
        </w:rPr>
        <w:t>=</w:t>
      </w:r>
      <w:r w:rsidR="004F47BB" w:rsidRPr="004F47BB">
        <w:rPr>
          <w:szCs w:val="20"/>
          <w:lang w:val="en-US"/>
        </w:rPr>
        <w:tab/>
        <w:t>0,12</w:t>
      </w:r>
    </w:p>
    <w:p w:rsidR="004F47BB" w:rsidRPr="004F47BB" w:rsidRDefault="00F12BAF" w:rsidP="004F47BB">
      <w:pPr>
        <w:tabs>
          <w:tab w:val="left" w:pos="2694"/>
          <w:tab w:val="left" w:pos="3119"/>
          <w:tab w:val="left" w:pos="3544"/>
        </w:tabs>
        <w:overflowPunct w:val="0"/>
        <w:adjustRightInd w:val="0"/>
        <w:spacing w:line="240" w:lineRule="atLeast"/>
        <w:ind w:left="2694" w:firstLine="0"/>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3</m:t>
            </m:r>
          </m:sub>
        </m:sSub>
      </m:oMath>
      <w:r w:rsidR="004F47BB" w:rsidRPr="004F47BB">
        <w:rPr>
          <w:szCs w:val="20"/>
          <w:lang w:val="en-US"/>
        </w:rPr>
        <w:tab/>
        <w:t>=</w:t>
      </w:r>
      <w:r w:rsidR="004F47BB" w:rsidRPr="004F47BB">
        <w:rPr>
          <w:szCs w:val="20"/>
          <w:lang w:val="en-US"/>
        </w:rPr>
        <w:tab/>
        <w:t>1,15</w:t>
      </w:r>
    </w:p>
    <w:p w:rsidR="004F47BB" w:rsidRPr="004F47BB" w:rsidRDefault="00F12BAF" w:rsidP="004F47BB">
      <w:pPr>
        <w:tabs>
          <w:tab w:val="left" w:pos="2694"/>
          <w:tab w:val="left" w:pos="3119"/>
          <w:tab w:val="left" w:pos="3544"/>
        </w:tabs>
        <w:overflowPunct w:val="0"/>
        <w:adjustRightInd w:val="0"/>
        <w:spacing w:line="240" w:lineRule="atLeast"/>
        <w:ind w:left="2694" w:firstLine="0"/>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4</m:t>
            </m:r>
          </m:sub>
        </m:sSub>
      </m:oMath>
      <w:r w:rsidR="004F47BB" w:rsidRPr="004F47BB">
        <w:rPr>
          <w:szCs w:val="20"/>
          <w:lang w:val="en-US"/>
        </w:rPr>
        <w:tab/>
        <w:t>=</w:t>
      </w:r>
      <w:r w:rsidR="004F47BB" w:rsidRPr="004F47BB">
        <w:rPr>
          <w:szCs w:val="20"/>
          <w:lang w:val="en-US"/>
        </w:rPr>
        <w:tab/>
        <w:t>0,48</w:t>
      </w:r>
    </w:p>
    <w:p w:rsidR="004F47BB" w:rsidRPr="004F47BB" w:rsidRDefault="00F12BAF" w:rsidP="004F47BB">
      <w:pPr>
        <w:tabs>
          <w:tab w:val="left" w:pos="2694"/>
          <w:tab w:val="left" w:pos="3119"/>
          <w:tab w:val="left" w:pos="3544"/>
        </w:tabs>
        <w:overflowPunct w:val="0"/>
        <w:adjustRightInd w:val="0"/>
        <w:spacing w:line="240" w:lineRule="atLeast"/>
        <w:ind w:left="2694" w:firstLine="0"/>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6</m:t>
            </m:r>
          </m:sub>
        </m:sSub>
      </m:oMath>
      <w:r w:rsidR="004F47BB" w:rsidRPr="004F47BB">
        <w:rPr>
          <w:szCs w:val="20"/>
          <w:lang w:val="en-US"/>
        </w:rPr>
        <w:tab/>
        <w:t>=</w:t>
      </w:r>
      <w:r w:rsidR="004F47BB" w:rsidRPr="004F47BB">
        <w:rPr>
          <w:szCs w:val="20"/>
          <w:lang w:val="en-US"/>
        </w:rPr>
        <w:tab/>
        <w:t>0,85</w:t>
      </w:r>
    </w:p>
    <w:p w:rsidR="004F47BB" w:rsidRPr="004F47BB" w:rsidRDefault="00F12BAF" w:rsidP="004F47BB">
      <w:pPr>
        <w:tabs>
          <w:tab w:val="left" w:pos="2694"/>
          <w:tab w:val="left" w:pos="3119"/>
          <w:tab w:val="left" w:pos="3544"/>
        </w:tabs>
        <w:overflowPunct w:val="0"/>
        <w:adjustRightInd w:val="0"/>
        <w:spacing w:line="240" w:lineRule="atLeast"/>
        <w:ind w:left="2694" w:firstLine="0"/>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7</m:t>
            </m:r>
          </m:sub>
        </m:sSub>
      </m:oMath>
      <w:r w:rsidR="004F47BB" w:rsidRPr="004F47BB">
        <w:rPr>
          <w:szCs w:val="20"/>
          <w:lang w:val="en-US"/>
        </w:rPr>
        <w:tab/>
        <w:t>=</w:t>
      </w:r>
      <w:r w:rsidR="004F47BB" w:rsidRPr="004F47BB">
        <w:rPr>
          <w:szCs w:val="20"/>
          <w:lang w:val="en-US"/>
        </w:rPr>
        <w:tab/>
        <w:t>0,55</w:t>
      </w: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567"/>
        </w:tabs>
        <w:overflowPunct w:val="0"/>
        <w:adjustRightInd w:val="0"/>
        <w:spacing w:line="240" w:lineRule="atLeast"/>
        <w:ind w:left="567" w:firstLine="0"/>
        <w:textAlignment w:val="baseline"/>
        <w:rPr>
          <w:szCs w:val="20"/>
          <w:lang w:val="en-US"/>
        </w:rPr>
      </w:pPr>
      <w:r w:rsidRPr="004F47BB">
        <w:rPr>
          <w:szCs w:val="20"/>
          <w:lang w:val="en-US"/>
        </w:rPr>
        <w:t>Table 2 (for modern nozzles with rounded rear edge)</w:t>
      </w:r>
    </w:p>
    <w:p w:rsidR="004F47BB" w:rsidRPr="004F47BB" w:rsidRDefault="004F47BB" w:rsidP="004F47BB">
      <w:pPr>
        <w:tabs>
          <w:tab w:val="left" w:pos="567"/>
        </w:tabs>
        <w:overflowPunct w:val="0"/>
        <w:adjustRightInd w:val="0"/>
        <w:spacing w:line="240" w:lineRule="atLeast"/>
        <w:ind w:left="567" w:firstLine="0"/>
        <w:textAlignment w:val="baseline"/>
        <w:rPr>
          <w:szCs w:val="20"/>
          <w:lang w:val="en-US"/>
        </w:rPr>
      </w:pPr>
    </w:p>
    <w:p w:rsidR="004F47BB" w:rsidRPr="004F47BB" w:rsidRDefault="004F47BB" w:rsidP="004F47BB">
      <w:pPr>
        <w:tabs>
          <w:tab w:val="left" w:pos="567"/>
        </w:tabs>
        <w:overflowPunct w:val="0"/>
        <w:adjustRightInd w:val="0"/>
        <w:spacing w:line="240" w:lineRule="atLeast"/>
        <w:ind w:left="567" w:firstLine="0"/>
        <w:textAlignment w:val="baseline"/>
        <w:rPr>
          <w:szCs w:val="20"/>
          <w:lang w:val="en-US"/>
        </w:rPr>
      </w:pPr>
      <m:oMath>
        <m:r>
          <w:rPr>
            <w:rFonts w:ascii="Cambria Math" w:hAnsi="Cambria Math"/>
            <w:szCs w:val="20"/>
            <w:lang w:val="en-US"/>
          </w:rPr>
          <m:t>f</m:t>
        </m:r>
      </m:oMath>
      <w:r w:rsidRPr="004F47BB">
        <w:rPr>
          <w:szCs w:val="20"/>
          <w:lang w:val="en-US"/>
        </w:rPr>
        <w:t xml:space="preserve"> = 0,118</w:t>
      </w: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r w:rsidRPr="004F47BB">
        <w:rPr>
          <w:szCs w:val="20"/>
          <w:lang w:val="en-US"/>
        </w:rPr>
        <w:br w:type="page"/>
      </w: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lastRenderedPageBreak/>
        <w:t>4.2</w:t>
      </w:r>
      <w:r w:rsidRPr="004F47BB">
        <w:rPr>
          <w:rFonts w:cs="Arial"/>
          <w:b/>
          <w:color w:val="000000"/>
          <w:szCs w:val="20"/>
          <w:lang w:val="en-US"/>
        </w:rPr>
        <w:tab/>
        <w:t xml:space="preserve">Calculation of </w:t>
      </w:r>
      <m:oMath>
        <m:sSub>
          <m:sSubPr>
            <m:ctrlPr>
              <w:rPr>
                <w:rFonts w:ascii="Cambria Math" w:hAnsi="Cambria Math" w:cs="Arial"/>
                <w:b/>
                <w:i/>
                <w:noProof/>
                <w:color w:val="000000"/>
                <w:szCs w:val="20"/>
                <w:lang w:val="en-US"/>
              </w:rPr>
            </m:ctrlPr>
          </m:sSubPr>
          <m:e>
            <m:r>
              <m:rPr>
                <m:sty m:val="bi"/>
              </m:rPr>
              <w:rPr>
                <w:rFonts w:ascii="Cambria Math" w:hAnsi="Cambria Math" w:cs="Arial"/>
                <w:noProof/>
                <w:color w:val="000000"/>
                <w:szCs w:val="20"/>
                <w:lang w:val="en-US"/>
              </w:rPr>
              <m:t>s</m:t>
            </m:r>
          </m:e>
          <m:sub>
            <m:r>
              <m:rPr>
                <m:sty m:val="bi"/>
              </m:rPr>
              <w:rPr>
                <w:rFonts w:ascii="Cambria Math" w:hAnsi="Cambria Math" w:cs="Arial"/>
                <w:noProof/>
                <w:color w:val="000000"/>
                <w:szCs w:val="20"/>
                <w:lang w:val="en-US"/>
              </w:rPr>
              <m:t>IST</m:t>
            </m:r>
          </m:sub>
        </m:sSub>
      </m:oMath>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r w:rsidRPr="004F47BB">
        <w:rPr>
          <w:szCs w:val="20"/>
          <w:lang w:val="en-US"/>
        </w:rPr>
        <w:t>a)</w:t>
      </w:r>
      <w:r w:rsidRPr="004F47BB">
        <w:rPr>
          <w:szCs w:val="20"/>
          <w:lang w:val="en-US"/>
        </w:rPr>
        <w:tab/>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II</m:t>
                </m:r>
              </m:sub>
            </m:sSub>
          </m:e>
          <m:sub>
            <m:r>
              <w:rPr>
                <w:rFonts w:ascii="Cambria Math" w:hAnsi="Cambria Math"/>
                <w:noProof/>
                <w:lang w:val="en-US"/>
              </w:rPr>
              <m:t>IST</m:t>
            </m:r>
          </m:sub>
        </m:sSub>
      </m:oMath>
      <w:r w:rsidRPr="004F47BB">
        <w:rPr>
          <w:szCs w:val="20"/>
          <w:lang w:val="en-US"/>
        </w:rPr>
        <w:t xml:space="preserve"> Using the values measured during the stopping manoeuvres</w:t>
      </w:r>
    </w:p>
    <w:p w:rsidR="004F47BB" w:rsidRPr="004F47BB" w:rsidRDefault="004F47BB" w:rsidP="004F47BB">
      <w:pPr>
        <w:tabs>
          <w:tab w:val="left" w:pos="284"/>
          <w:tab w:val="left" w:pos="851"/>
          <w:tab w:val="left" w:pos="1134"/>
          <w:tab w:val="left" w:pos="3261"/>
        </w:tabs>
        <w:overflowPunct w:val="0"/>
        <w:adjustRightInd w:val="0"/>
        <w:spacing w:line="240" w:lineRule="exact"/>
        <w:ind w:left="284" w:hanging="284"/>
        <w:jc w:val="left"/>
        <w:textAlignment w:val="baseline"/>
        <w:rPr>
          <w:szCs w:val="20"/>
          <w:lang w:val="en-US"/>
        </w:rPr>
      </w:pPr>
    </w:p>
    <w:p w:rsidR="004F47BB" w:rsidRPr="004F47BB" w:rsidRDefault="00F12BAF" w:rsidP="004F47BB">
      <w:pPr>
        <w:overflowPunct w:val="0"/>
        <w:adjustRightInd w:val="0"/>
        <w:spacing w:line="240" w:lineRule="atLeast"/>
        <w:ind w:left="993" w:firstLine="0"/>
        <w:jc w:val="left"/>
        <w:textAlignment w:val="baseline"/>
        <w:rPr>
          <w:lang w:val="en-US"/>
        </w:rPr>
      </w:pPr>
      <m:oMathPara>
        <m:oMathParaPr>
          <m:jc m:val="left"/>
        </m:oMathParaP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sub>
              </m:sSub>
            </m:e>
            <m:sub>
              <m:r>
                <w:rPr>
                  <w:rFonts w:ascii="Cambria Math" w:hAnsi="Cambria Math"/>
                  <w:noProof/>
                  <w:lang w:val="en-US"/>
                </w:rPr>
                <m:t>IST</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k</m:t>
              </m:r>
            </m:e>
            <m:sub>
              <m:r>
                <w:rPr>
                  <w:rFonts w:ascii="Cambria Math" w:hAnsi="Cambria Math"/>
                  <w:noProof/>
                  <w:lang w:val="en-US"/>
                </w:rPr>
                <m:t>1</m:t>
              </m:r>
            </m:sub>
          </m:sSub>
          <m:r>
            <w:rPr>
              <w:rFonts w:ascii="Cambria Math" w:hAnsi="Cambria Math"/>
              <w:noProof/>
              <w:lang w:val="en-US"/>
            </w:rPr>
            <m:t xml:space="preserve"> ∙ </m:t>
          </m:r>
          <m:sSub>
            <m:sSubPr>
              <m:ctrlPr>
                <w:rPr>
                  <w:rFonts w:ascii="Cambria Math" w:hAnsi="Cambria Math"/>
                  <w:i/>
                  <w:noProof/>
                  <w:lang w:val="en-US"/>
                </w:rPr>
              </m:ctrlPr>
            </m:sSubPr>
            <m:e>
              <m:r>
                <w:rPr>
                  <w:rFonts w:ascii="Cambria Math" w:hAnsi="Cambria Math"/>
                  <w:noProof/>
                  <w:lang w:val="en-US"/>
                </w:rPr>
                <m:t>v</m:t>
              </m:r>
            </m:e>
            <m:sub>
              <m:sSub>
                <m:sSubPr>
                  <m:ctrlPr>
                    <w:rPr>
                      <w:rFonts w:ascii="Cambria Math" w:hAnsi="Cambria Math"/>
                      <w:i/>
                      <w:noProof/>
                      <w:lang w:val="en-US"/>
                    </w:rPr>
                  </m:ctrlPr>
                </m:sSubPr>
                <m:e>
                  <m:r>
                    <w:rPr>
                      <w:rFonts w:ascii="Cambria Math" w:hAnsi="Cambria Math"/>
                      <w:noProof/>
                      <w:lang w:val="en-US"/>
                    </w:rPr>
                    <m:t>L</m:t>
                  </m:r>
                </m:e>
                <m:sub>
                  <m:r>
                    <w:rPr>
                      <w:rFonts w:ascii="Cambria Math" w:hAnsi="Cambria Math"/>
                      <w:noProof/>
                      <w:lang w:val="en-US"/>
                    </w:rPr>
                    <m:t>IST</m:t>
                  </m:r>
                </m:sub>
              </m:sSub>
              <m:r>
                <w:rPr>
                  <w:rFonts w:ascii="Cambria Math" w:hAnsi="Cambria Math"/>
                  <w:noProof/>
                  <w:lang w:val="en-US"/>
                </w:rPr>
                <m:t xml:space="preserve"> </m:t>
              </m:r>
            </m:sub>
          </m:sSub>
          <m:r>
            <w:rPr>
              <w:rFonts w:ascii="Cambria Math" w:hAnsi="Cambria Math"/>
              <w:noProof/>
              <w:lang w:val="en-US"/>
            </w:rPr>
            <m:t xml:space="preserve"> ∙ </m:t>
          </m:r>
          <m:sSub>
            <m:sSubPr>
              <m:ctrlPr>
                <w:rPr>
                  <w:rFonts w:ascii="Cambria Math" w:hAnsi="Cambria Math"/>
                  <w:i/>
                  <w:noProof/>
                  <w:lang w:val="en-US"/>
                </w:rPr>
              </m:ctrlPr>
            </m:sSubPr>
            <m:e>
              <m:r>
                <w:rPr>
                  <w:rFonts w:ascii="Cambria Math" w:hAnsi="Cambria Math"/>
                  <w:noProof/>
                  <w:lang w:val="en-US"/>
                </w:rPr>
                <m:t>t</m:t>
              </m:r>
            </m:e>
            <m:sub>
              <m:sSub>
                <m:sSubPr>
                  <m:ctrlPr>
                    <w:rPr>
                      <w:rFonts w:ascii="Cambria Math" w:hAnsi="Cambria Math"/>
                      <w:i/>
                      <w:noProof/>
                      <w:lang w:val="en-US"/>
                    </w:rPr>
                  </m:ctrlPr>
                </m:sSubPr>
                <m:e>
                  <m:r>
                    <w:rPr>
                      <w:rFonts w:ascii="Cambria Math" w:hAnsi="Cambria Math"/>
                      <w:noProof/>
                      <w:lang w:val="en-US"/>
                    </w:rPr>
                    <m:t>I</m:t>
                  </m:r>
                </m:e>
                <m:sub>
                  <m:r>
                    <w:rPr>
                      <w:rFonts w:ascii="Cambria Math" w:hAnsi="Cambria Math"/>
                      <w:noProof/>
                      <w:lang w:val="en-US"/>
                    </w:rPr>
                    <m:t>IST</m:t>
                  </m:r>
                </m:sub>
              </m:sSub>
            </m:sub>
          </m:sSub>
        </m:oMath>
      </m:oMathPara>
    </w:p>
    <w:p w:rsidR="004F47BB" w:rsidRPr="004F47BB" w:rsidRDefault="00F12BAF" w:rsidP="004F47BB">
      <w:pPr>
        <w:tabs>
          <w:tab w:val="left" w:pos="992"/>
          <w:tab w:val="left" w:pos="1560"/>
          <w:tab w:val="left" w:pos="1985"/>
        </w:tabs>
        <w:overflowPunct w:val="0"/>
        <w:adjustRightInd w:val="0"/>
        <w:spacing w:before="60" w:line="240" w:lineRule="atLeast"/>
        <w:ind w:left="992" w:firstLine="1"/>
        <w:textAlignment w:val="baseline"/>
        <w:rPr>
          <w:szCs w:val="20"/>
          <w:lang w:val="en-US"/>
        </w:rPr>
      </w:pPr>
      <m:oMathPara>
        <m:oMathParaPr>
          <m:jc m:val="left"/>
        </m:oMathParaP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sub>
              </m:sSub>
            </m:e>
            <m:sub>
              <m:r>
                <w:rPr>
                  <w:rFonts w:ascii="Cambria Math" w:hAnsi="Cambria Math"/>
                  <w:noProof/>
                  <w:lang w:val="en-US"/>
                </w:rPr>
                <m:t>IST</m:t>
              </m:r>
            </m:sub>
          </m:sSub>
          <m:r>
            <w:rPr>
              <w:rFonts w:ascii="Cambria Math" w:hAnsi="Cambria Math"/>
              <w:noProof/>
              <w:lang w:val="en-US"/>
            </w:rPr>
            <m:t>=0,95 ∙4,8 ∙16=73 m</m:t>
          </m:r>
        </m:oMath>
      </m:oMathPara>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r w:rsidRPr="004F47BB">
        <w:rPr>
          <w:szCs w:val="20"/>
          <w:lang w:val="en-US"/>
        </w:rPr>
        <w:t>b)</w:t>
      </w:r>
      <w:r w:rsidRPr="004F47BB">
        <w:rPr>
          <w:szCs w:val="20"/>
          <w:lang w:val="en-US"/>
        </w:rPr>
        <w:tab/>
        <w:t xml:space="preserve">formula for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II</m:t>
                </m:r>
              </m:sub>
            </m:sSub>
          </m:e>
          <m:sub>
            <m:r>
              <w:rPr>
                <w:rFonts w:ascii="Cambria Math" w:hAnsi="Cambria Math"/>
                <w:noProof/>
                <w:lang w:val="en-US"/>
              </w:rPr>
              <m:t>IST</m:t>
            </m:r>
          </m:sub>
        </m:sSub>
      </m:oMath>
    </w:p>
    <w:p w:rsidR="004F47BB" w:rsidRPr="004F47BB" w:rsidRDefault="00F12BAF" w:rsidP="004F47BB">
      <w:pPr>
        <w:tabs>
          <w:tab w:val="left" w:pos="992"/>
          <w:tab w:val="left" w:pos="1560"/>
          <w:tab w:val="left" w:pos="1985"/>
        </w:tabs>
        <w:overflowPunct w:val="0"/>
        <w:adjustRightInd w:val="0"/>
        <w:spacing w:before="60" w:line="240" w:lineRule="atLeast"/>
        <w:ind w:left="992" w:firstLine="1"/>
        <w:textAlignment w:val="baseline"/>
        <w:rPr>
          <w:szCs w:val="20"/>
        </w:rPr>
      </w:pPr>
      <m:oMathPara>
        <m:oMathParaPr>
          <m:jc m:val="left"/>
        </m:oMathParaP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II</m:t>
                  </m:r>
                </m:sub>
              </m:sSub>
            </m:e>
            <m:sub>
              <m:r>
                <w:rPr>
                  <w:rFonts w:ascii="Cambria Math" w:hAnsi="Cambria Math"/>
                  <w:noProof/>
                  <w:lang w:val="en-US"/>
                </w:rPr>
                <m:t>IST</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k</m:t>
              </m:r>
            </m:e>
            <m:sub>
              <m:r>
                <w:rPr>
                  <w:rFonts w:ascii="Cambria Math" w:hAnsi="Cambria Math"/>
                  <w:noProof/>
                  <w:lang w:val="en-US"/>
                </w:rPr>
                <m:t>2</m:t>
              </m:r>
            </m:sub>
          </m:sSub>
          <m:r>
            <w:rPr>
              <w:rFonts w:ascii="Cambria Math" w:hAnsi="Cambria Math"/>
              <w:noProof/>
              <w:lang w:val="en-US"/>
            </w:rPr>
            <m:t xml:space="preserve"> ∙ </m:t>
          </m:r>
          <m:sSub>
            <m:sSubPr>
              <m:ctrlPr>
                <w:rPr>
                  <w:rFonts w:ascii="Cambria Math" w:hAnsi="Cambria Math"/>
                  <w:i/>
                  <w:noProof/>
                  <w:lang w:val="en-US"/>
                </w:rPr>
              </m:ctrlPr>
            </m:sSubPr>
            <m:e>
              <m:sSup>
                <m:sSupPr>
                  <m:ctrlPr>
                    <w:rPr>
                      <w:rFonts w:ascii="Cambria Math" w:hAnsi="Cambria Math"/>
                      <w:i/>
                      <w:noProof/>
                      <w:lang w:val="en-US"/>
                    </w:rPr>
                  </m:ctrlPr>
                </m:sSupPr>
                <m:e>
                  <m:r>
                    <w:rPr>
                      <w:rFonts w:ascii="Cambria Math" w:hAnsi="Cambria Math"/>
                      <w:noProof/>
                      <w:lang w:val="en-US"/>
                    </w:rPr>
                    <m:t>v</m:t>
                  </m:r>
                </m:e>
                <m:sup>
                  <m:r>
                    <w:rPr>
                      <w:rFonts w:ascii="Cambria Math" w:hAnsi="Cambria Math"/>
                      <w:noProof/>
                      <w:lang w:val="en-US"/>
                    </w:rPr>
                    <m:t>2</m:t>
                  </m:r>
                </m:sup>
              </m:sSup>
            </m:e>
            <m:sub>
              <m:sSub>
                <m:sSubPr>
                  <m:ctrlPr>
                    <w:rPr>
                      <w:rFonts w:ascii="Cambria Math" w:hAnsi="Cambria Math"/>
                      <w:i/>
                      <w:noProof/>
                      <w:lang w:val="en-US"/>
                    </w:rPr>
                  </m:ctrlPr>
                </m:sSubPr>
                <m:e>
                  <m:r>
                    <w:rPr>
                      <w:rFonts w:ascii="Cambria Math" w:hAnsi="Cambria Math"/>
                      <w:noProof/>
                      <w:lang w:val="en-US"/>
                    </w:rPr>
                    <m:t>II</m:t>
                  </m:r>
                </m:e>
                <m:sub>
                  <m:r>
                    <w:rPr>
                      <w:rFonts w:ascii="Cambria Math" w:hAnsi="Cambria Math"/>
                      <w:noProof/>
                      <w:lang w:val="en-US"/>
                    </w:rPr>
                    <m:t>IST</m:t>
                  </m:r>
                </m:sub>
              </m:sSub>
              <m:r>
                <w:rPr>
                  <w:rFonts w:ascii="Cambria Math" w:hAnsi="Cambria Math"/>
                  <w:noProof/>
                  <w:lang w:val="en-US"/>
                </w:rPr>
                <m:t xml:space="preserve"> </m:t>
              </m:r>
            </m:sub>
          </m:sSub>
          <m:r>
            <w:rPr>
              <w:rFonts w:ascii="Cambria Math" w:hAnsi="Cambria Math"/>
              <w:noProof/>
              <w:lang w:val="en-US"/>
            </w:rPr>
            <m:t xml:space="preserve"> ∙  </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IST</m:t>
                  </m:r>
                </m:sub>
              </m:sSub>
              <m:r>
                <w:rPr>
                  <w:rFonts w:ascii="Cambria Math" w:hAnsi="Cambria Math"/>
                  <w:noProof/>
                  <w:lang w:val="en-US"/>
                </w:rPr>
                <m:t xml:space="preserve"> ∙g</m:t>
              </m:r>
            </m:num>
            <m:den>
              <m:sSub>
                <m:sSubPr>
                  <m:ctrlPr>
                    <w:rPr>
                      <w:rFonts w:ascii="Cambria Math" w:hAnsi="Cambria Math"/>
                      <w:i/>
                      <w:noProof/>
                      <w:lang w:val="en-US"/>
                    </w:rPr>
                  </m:ctrlPr>
                </m:sSubPr>
                <m:e>
                  <m:r>
                    <w:rPr>
                      <w:rFonts w:ascii="Cambria Math" w:hAnsi="Cambria Math"/>
                      <w:noProof/>
                      <w:lang w:val="en-US"/>
                    </w:rPr>
                    <m:t>k</m:t>
                  </m:r>
                </m:e>
                <m:sub>
                  <m:r>
                    <w:rPr>
                      <w:rFonts w:ascii="Cambria Math" w:hAnsi="Cambria Math"/>
                      <w:noProof/>
                      <w:lang w:val="en-US"/>
                    </w:rPr>
                    <m:t>3</m:t>
                  </m:r>
                </m:sub>
              </m:sSub>
              <m:r>
                <w:rPr>
                  <w:rFonts w:ascii="Cambria Math" w:hAnsi="Cambria Math"/>
                  <w:noProof/>
                  <w:lang w:val="en-US"/>
                </w:rPr>
                <m:t xml:space="preserve"> ∙ </m:t>
              </m:r>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POR</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R</m:t>
                  </m:r>
                </m:e>
                <m:sub>
                  <m:sSub>
                    <m:sSubPr>
                      <m:ctrlPr>
                        <w:rPr>
                          <w:rFonts w:ascii="Cambria Math" w:hAnsi="Cambria Math"/>
                          <w:i/>
                          <w:noProof/>
                          <w:lang w:val="en-US"/>
                        </w:rPr>
                      </m:ctrlPr>
                    </m:sSubPr>
                    <m:e>
                      <m:r>
                        <w:rPr>
                          <w:rFonts w:ascii="Cambria Math" w:hAnsi="Cambria Math"/>
                          <w:noProof/>
                          <w:lang w:val="en-US"/>
                        </w:rPr>
                        <m:t>TmII</m:t>
                      </m:r>
                    </m:e>
                    <m:sub>
                      <m:r>
                        <w:rPr>
                          <w:rFonts w:ascii="Cambria Math" w:hAnsi="Cambria Math"/>
                          <w:noProof/>
                          <w:lang w:val="en-US"/>
                        </w:rPr>
                        <m:t>IST</m:t>
                      </m:r>
                    </m:sub>
                  </m:sSub>
                </m:sub>
              </m:sSub>
              <m:r>
                <w:rPr>
                  <w:rFonts w:ascii="Cambria Math" w:hAnsi="Cambria Math"/>
                  <w:noProof/>
                  <w:lang w:val="en-US"/>
                </w:rPr>
                <m:t xml:space="preserve"> - </m:t>
              </m:r>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G</m:t>
                  </m:r>
                </m:sub>
              </m:sSub>
            </m:den>
          </m:f>
          <m:r>
            <w:rPr>
              <w:rFonts w:ascii="Cambria Math" w:hAnsi="Cambria Math"/>
              <w:noProof/>
              <w:lang w:val="en-US"/>
            </w:rPr>
            <m:t xml:space="preserve"> ∙  </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k</m:t>
                  </m:r>
                </m:e>
                <m:sub>
                  <m:r>
                    <w:rPr>
                      <w:rFonts w:ascii="Cambria Math" w:hAnsi="Cambria Math"/>
                      <w:noProof/>
                      <w:lang w:val="en-US"/>
                    </w:rPr>
                    <m:t>4</m:t>
                  </m:r>
                </m:sub>
              </m:sSub>
              <m:r>
                <w:rPr>
                  <w:rFonts w:ascii="Cambria Math" w:hAnsi="Cambria Math"/>
                  <w:noProof/>
                  <w:lang w:val="en-US"/>
                </w:rPr>
                <m:t xml:space="preserve"> + </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v</m:t>
                      </m:r>
                    </m:e>
                    <m:sub>
                      <m:sSub>
                        <m:sSubPr>
                          <m:ctrlPr>
                            <w:rPr>
                              <w:rFonts w:ascii="Cambria Math" w:hAnsi="Cambria Math"/>
                              <w:i/>
                              <w:noProof/>
                              <w:lang w:val="en-US"/>
                            </w:rPr>
                          </m:ctrlPr>
                        </m:sSubPr>
                        <m:e>
                          <m:r>
                            <w:rPr>
                              <w:rFonts w:ascii="Cambria Math" w:hAnsi="Cambria Math"/>
                              <w:noProof/>
                              <w:lang w:val="en-US"/>
                            </w:rPr>
                            <m:t>STR</m:t>
                          </m:r>
                        </m:e>
                        <m:sub>
                          <m:r>
                            <w:rPr>
                              <w:rFonts w:ascii="Cambria Math" w:hAnsi="Cambria Math"/>
                              <w:noProof/>
                              <w:lang w:val="en-US"/>
                            </w:rPr>
                            <m:t>IST</m:t>
                          </m:r>
                        </m:sub>
                      </m:sSub>
                    </m:sub>
                  </m:sSub>
                </m:num>
                <m:den>
                  <m:sSub>
                    <m:sSubPr>
                      <m:ctrlPr>
                        <w:rPr>
                          <w:rFonts w:ascii="Cambria Math" w:hAnsi="Cambria Math"/>
                          <w:i/>
                          <w:noProof/>
                          <w:lang w:val="en-US"/>
                        </w:rPr>
                      </m:ctrlPr>
                    </m:sSubPr>
                    <m:e>
                      <m:r>
                        <w:rPr>
                          <w:rFonts w:ascii="Cambria Math" w:hAnsi="Cambria Math"/>
                          <w:noProof/>
                          <w:lang w:val="en-US"/>
                        </w:rPr>
                        <m:t>v</m:t>
                      </m:r>
                    </m:e>
                    <m:sub>
                      <m:sSub>
                        <m:sSubPr>
                          <m:ctrlPr>
                            <w:rPr>
                              <w:rFonts w:ascii="Cambria Math" w:hAnsi="Cambria Math"/>
                              <w:i/>
                              <w:noProof/>
                              <w:lang w:val="en-US"/>
                            </w:rPr>
                          </m:ctrlPr>
                        </m:sSubPr>
                        <m:e>
                          <m:r>
                            <w:rPr>
                              <w:rFonts w:ascii="Cambria Math" w:hAnsi="Cambria Math"/>
                              <w:noProof/>
                              <w:lang w:val="en-US"/>
                            </w:rPr>
                            <m:t>II</m:t>
                          </m:r>
                        </m:e>
                        <m:sub>
                          <m:r>
                            <w:rPr>
                              <w:rFonts w:ascii="Cambria Math" w:hAnsi="Cambria Math"/>
                              <w:noProof/>
                              <w:lang w:val="en-US"/>
                            </w:rPr>
                            <m:t>IST</m:t>
                          </m:r>
                        </m:sub>
                      </m:sSub>
                    </m:sub>
                  </m:sSub>
                </m:den>
              </m:f>
            </m:e>
          </m:d>
        </m:oMath>
      </m:oMathPara>
    </w:p>
    <w:p w:rsidR="004F47BB" w:rsidRPr="004F47BB" w:rsidRDefault="004F47BB" w:rsidP="004F47BB">
      <w:pPr>
        <w:tabs>
          <w:tab w:val="left" w:pos="28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r w:rsidRPr="004F47BB">
        <w:rPr>
          <w:szCs w:val="20"/>
          <w:lang w:val="en-US"/>
        </w:rPr>
        <w:t>c)</w:t>
      </w:r>
      <w:r w:rsidRPr="004F47BB">
        <w:rPr>
          <w:szCs w:val="20"/>
          <w:lang w:val="en-US"/>
        </w:rPr>
        <w:tab/>
        <w:t xml:space="preserve">Calculation of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TmII</m:t>
                </m:r>
              </m:sub>
            </m:sSub>
          </m:e>
          <m:sub>
            <m:r>
              <w:rPr>
                <w:rFonts w:ascii="Cambria Math" w:hAnsi="Cambria Math"/>
                <w:noProof/>
                <w:lang w:val="en-US"/>
              </w:rPr>
              <m:t>IST</m:t>
            </m:r>
          </m:sub>
        </m:sSub>
      </m:oMath>
      <w:r w:rsidRPr="004F47BB">
        <w:rPr>
          <w:szCs w:val="20"/>
          <w:lang w:val="en-US"/>
        </w:rPr>
        <w:t xml:space="preserve"> according to table 3 and formula (4.3) of Annex 2</w:t>
      </w:r>
    </w:p>
    <w:p w:rsidR="004F47BB" w:rsidRPr="004F47BB" w:rsidRDefault="00F12BAF" w:rsidP="004F47BB">
      <w:pPr>
        <w:tabs>
          <w:tab w:val="left" w:pos="992"/>
        </w:tabs>
        <w:overflowPunct w:val="0"/>
        <w:adjustRightInd w:val="0"/>
        <w:spacing w:before="120" w:line="240" w:lineRule="atLeast"/>
        <w:ind w:left="992" w:firstLine="1"/>
        <w:textAlignment w:val="baseline"/>
        <w:rPr>
          <w:szCs w:val="20"/>
          <w:lang w:val="de-DE"/>
        </w:rPr>
      </w:pPr>
      <m:oMathPara>
        <m:oMathParaPr>
          <m:jc m:val="left"/>
        </m:oMathParaPr>
        <m:oMath>
          <m:sSup>
            <m:sSupPr>
              <m:ctrlPr>
                <w:rPr>
                  <w:rFonts w:ascii="Cambria Math" w:hAnsi="Cambria Math"/>
                  <w:i/>
                  <w:szCs w:val="20"/>
                  <w:lang w:val="de-DE"/>
                </w:rPr>
              </m:ctrlPr>
            </m:sSupPr>
            <m:e>
              <m:sSub>
                <m:sSubPr>
                  <m:ctrlPr>
                    <w:rPr>
                      <w:rFonts w:ascii="Cambria Math" w:hAnsi="Cambria Math"/>
                      <w:i/>
                      <w:szCs w:val="20"/>
                      <w:lang w:val="de-DE"/>
                    </w:rPr>
                  </m:ctrlPr>
                </m:sSubPr>
                <m:e>
                  <m:r>
                    <w:rPr>
                      <w:rFonts w:ascii="Cambria Math" w:hAnsi="Cambria Math"/>
                      <w:szCs w:val="20"/>
                      <w:lang w:val="de-DE"/>
                    </w:rPr>
                    <m:t>D</m:t>
                  </m:r>
                </m:e>
                <m:sub>
                  <m:r>
                    <w:rPr>
                      <w:rFonts w:ascii="Cambria Math" w:hAnsi="Cambria Math"/>
                      <w:szCs w:val="20"/>
                      <w:lang w:val="de-DE"/>
                    </w:rPr>
                    <m:t>IST</m:t>
                  </m:r>
                </m:sub>
              </m:sSub>
            </m:e>
            <m:sup>
              <m:r>
                <w:rPr>
                  <w:rFonts w:ascii="Cambria Math" w:hAnsi="Cambria Math"/>
                  <w:szCs w:val="20"/>
                  <w:lang w:val="de-DE"/>
                </w:rPr>
                <m:t>1/3</m:t>
              </m:r>
            </m:sup>
          </m:sSup>
          <m:r>
            <w:rPr>
              <w:rFonts w:ascii="Cambria Math" w:hAnsi="Cambria Math"/>
              <w:szCs w:val="20"/>
              <w:lang w:val="de-DE"/>
            </w:rPr>
            <m:t xml:space="preserve">= </m:t>
          </m:r>
          <m:sSup>
            <m:sSupPr>
              <m:ctrlPr>
                <w:rPr>
                  <w:rFonts w:ascii="Cambria Math" w:hAnsi="Cambria Math"/>
                  <w:i/>
                  <w:szCs w:val="20"/>
                  <w:lang w:val="de-DE"/>
                </w:rPr>
              </m:ctrlPr>
            </m:sSupPr>
            <m:e>
              <m:r>
                <w:rPr>
                  <w:rFonts w:ascii="Cambria Math" w:hAnsi="Cambria Math"/>
                  <w:szCs w:val="20"/>
                  <w:lang w:val="de-DE"/>
                </w:rPr>
                <m:t>9568</m:t>
              </m:r>
            </m:e>
            <m:sup>
              <m:r>
                <w:rPr>
                  <w:rFonts w:ascii="Cambria Math" w:hAnsi="Cambria Math"/>
                  <w:szCs w:val="20"/>
                  <w:lang w:val="de-DE"/>
                </w:rPr>
                <m:t>1/3</m:t>
              </m:r>
            </m:sup>
          </m:sSup>
          <m:r>
            <w:rPr>
              <w:rFonts w:ascii="Cambria Math" w:hAnsi="Cambria Math"/>
              <w:szCs w:val="20"/>
              <w:lang w:val="de-DE"/>
            </w:rPr>
            <m:t xml:space="preserve">=21,2 </m:t>
          </m:r>
          <m:d>
            <m:dPr>
              <m:begChr m:val="["/>
              <m:endChr m:val="]"/>
              <m:ctrlPr>
                <w:rPr>
                  <w:rFonts w:ascii="Cambria Math" w:hAnsi="Cambria Math"/>
                  <w:i/>
                  <w:szCs w:val="20"/>
                  <w:lang w:val="de-DE"/>
                </w:rPr>
              </m:ctrlPr>
            </m:dPr>
            <m:e>
              <m:r>
                <w:rPr>
                  <w:rFonts w:ascii="Cambria Math" w:hAnsi="Cambria Math"/>
                  <w:szCs w:val="20"/>
                  <w:lang w:val="de-DE"/>
                </w:rPr>
                <m:t>m</m:t>
              </m:r>
            </m:e>
          </m:d>
        </m:oMath>
      </m:oMathPara>
    </w:p>
    <w:p w:rsidR="004F47BB" w:rsidRPr="004F47BB" w:rsidRDefault="00F12BAF" w:rsidP="004F47BB">
      <w:pPr>
        <w:tabs>
          <w:tab w:val="left" w:pos="992"/>
        </w:tabs>
        <w:overflowPunct w:val="0"/>
        <w:adjustRightInd w:val="0"/>
        <w:spacing w:before="120" w:line="240" w:lineRule="atLeast"/>
        <w:ind w:left="992" w:firstLine="1"/>
        <w:textAlignment w:val="baseline"/>
        <w:rPr>
          <w:szCs w:val="20"/>
          <w:lang w:val="de-DE"/>
        </w:rPr>
      </w:pPr>
      <m:oMathPara>
        <m:oMathParaPr>
          <m:jc m:val="left"/>
        </m:oMathParaPr>
        <m:oMath>
          <m:sSup>
            <m:sSupPr>
              <m:ctrlPr>
                <w:rPr>
                  <w:rFonts w:ascii="Cambria Math" w:hAnsi="Cambria Math"/>
                  <w:i/>
                  <w:szCs w:val="20"/>
                  <w:lang w:val="de-DE"/>
                </w:rPr>
              </m:ctrlPr>
            </m:sSupPr>
            <m:e>
              <m:sSub>
                <m:sSubPr>
                  <m:ctrlPr>
                    <w:rPr>
                      <w:rFonts w:ascii="Cambria Math" w:hAnsi="Cambria Math"/>
                      <w:i/>
                      <w:szCs w:val="20"/>
                      <w:lang w:val="de-DE"/>
                    </w:rPr>
                  </m:ctrlPr>
                </m:sSubPr>
                <m:e>
                  <m:r>
                    <w:rPr>
                      <w:rFonts w:ascii="Cambria Math" w:hAnsi="Cambria Math"/>
                      <w:szCs w:val="20"/>
                      <w:lang w:val="de-DE"/>
                    </w:rPr>
                    <m:t>D</m:t>
                  </m:r>
                </m:e>
                <m:sub>
                  <m:r>
                    <w:rPr>
                      <w:rFonts w:ascii="Cambria Math" w:hAnsi="Cambria Math"/>
                      <w:szCs w:val="20"/>
                      <w:lang w:val="de-DE"/>
                    </w:rPr>
                    <m:t>IST</m:t>
                  </m:r>
                </m:sub>
              </m:sSub>
            </m:e>
            <m:sup>
              <m:r>
                <w:rPr>
                  <w:rFonts w:ascii="Cambria Math" w:hAnsi="Cambria Math"/>
                  <w:szCs w:val="20"/>
                  <w:lang w:val="de-DE"/>
                </w:rPr>
                <m:t>1/3</m:t>
              </m:r>
            </m:sup>
          </m:sSup>
          <m:r>
            <w:rPr>
              <w:rFonts w:ascii="Cambria Math" w:hAnsi="Cambria Math"/>
              <w:szCs w:val="20"/>
              <w:lang w:val="de-DE"/>
            </w:rPr>
            <m:t xml:space="preserve">∙ </m:t>
          </m:r>
          <m:d>
            <m:dPr>
              <m:ctrlPr>
                <w:rPr>
                  <w:rFonts w:ascii="Cambria Math" w:hAnsi="Cambria Math"/>
                  <w:i/>
                  <w:szCs w:val="20"/>
                  <w:lang w:val="de-DE"/>
                </w:rPr>
              </m:ctrlPr>
            </m:dPr>
            <m:e>
              <m:r>
                <w:rPr>
                  <w:rFonts w:ascii="Cambria Math" w:hAnsi="Cambria Math"/>
                  <w:szCs w:val="20"/>
                  <w:lang w:val="de-DE"/>
                </w:rPr>
                <m:t xml:space="preserve">B+2 ∙ </m:t>
              </m:r>
              <m:sSub>
                <m:sSubPr>
                  <m:ctrlPr>
                    <w:rPr>
                      <w:rFonts w:ascii="Cambria Math" w:hAnsi="Cambria Math"/>
                      <w:i/>
                      <w:szCs w:val="20"/>
                      <w:lang w:val="de-DE"/>
                    </w:rPr>
                  </m:ctrlPr>
                </m:sSubPr>
                <m:e>
                  <m:r>
                    <w:rPr>
                      <w:rFonts w:ascii="Cambria Math" w:hAnsi="Cambria Math"/>
                      <w:szCs w:val="20"/>
                      <w:lang w:val="de-DE"/>
                    </w:rPr>
                    <m:t>T</m:t>
                  </m:r>
                </m:e>
                <m:sub>
                  <m:r>
                    <w:rPr>
                      <w:rFonts w:ascii="Cambria Math" w:hAnsi="Cambria Math"/>
                      <w:szCs w:val="20"/>
                      <w:lang w:val="de-DE"/>
                    </w:rPr>
                    <m:t>IST</m:t>
                  </m:r>
                </m:sub>
              </m:sSub>
            </m:e>
          </m:d>
          <m:r>
            <w:rPr>
              <w:rFonts w:ascii="Cambria Math" w:hAnsi="Cambria Math"/>
              <w:szCs w:val="20"/>
              <w:lang w:val="de-DE"/>
            </w:rPr>
            <m:t xml:space="preserve">=21,2 ∙ </m:t>
          </m:r>
          <m:d>
            <m:dPr>
              <m:ctrlPr>
                <w:rPr>
                  <w:rFonts w:ascii="Cambria Math" w:hAnsi="Cambria Math"/>
                  <w:i/>
                  <w:szCs w:val="20"/>
                  <w:lang w:val="de-DE"/>
                </w:rPr>
              </m:ctrlPr>
            </m:dPr>
            <m:e>
              <m:r>
                <w:rPr>
                  <w:rFonts w:ascii="Cambria Math" w:hAnsi="Cambria Math"/>
                  <w:szCs w:val="20"/>
                  <w:lang w:val="de-DE"/>
                </w:rPr>
                <m:t>22,8+5,92</m:t>
              </m:r>
            </m:e>
          </m:d>
          <m:r>
            <w:rPr>
              <w:rFonts w:ascii="Cambria Math" w:hAnsi="Cambria Math"/>
              <w:szCs w:val="20"/>
              <w:lang w:val="de-DE"/>
            </w:rPr>
            <m:t xml:space="preserve">=609 </m:t>
          </m:r>
          <m:d>
            <m:dPr>
              <m:begChr m:val="["/>
              <m:endChr m:val="]"/>
              <m:ctrlPr>
                <w:rPr>
                  <w:rFonts w:ascii="Cambria Math" w:hAnsi="Cambria Math"/>
                  <w:i/>
                  <w:szCs w:val="20"/>
                  <w:lang w:val="de-DE"/>
                </w:rPr>
              </m:ctrlPr>
            </m:dPr>
            <m:e>
              <m:sSup>
                <m:sSupPr>
                  <m:ctrlPr>
                    <w:rPr>
                      <w:rFonts w:ascii="Cambria Math" w:hAnsi="Cambria Math"/>
                      <w:i/>
                      <w:szCs w:val="20"/>
                      <w:lang w:val="de-DE"/>
                    </w:rPr>
                  </m:ctrlPr>
                </m:sSupPr>
                <m:e>
                  <m:r>
                    <w:rPr>
                      <w:rFonts w:ascii="Cambria Math" w:hAnsi="Cambria Math"/>
                      <w:szCs w:val="20"/>
                      <w:lang w:val="de-DE"/>
                    </w:rPr>
                    <m:t>m</m:t>
                  </m:r>
                </m:e>
                <m:sup>
                  <m:r>
                    <w:rPr>
                      <w:rFonts w:ascii="Cambria Math" w:hAnsi="Cambria Math"/>
                      <w:szCs w:val="20"/>
                      <w:lang w:val="de-DE"/>
                    </w:rPr>
                    <m:t>2</m:t>
                  </m:r>
                </m:sup>
              </m:sSup>
            </m:e>
          </m:d>
        </m:oMath>
      </m:oMathPara>
    </w:p>
    <w:p w:rsidR="004F47BB" w:rsidRPr="004F47BB" w:rsidRDefault="004F47BB" w:rsidP="004F47BB">
      <w:pPr>
        <w:tabs>
          <w:tab w:val="left" w:pos="992"/>
          <w:tab w:val="center" w:pos="2552"/>
          <w:tab w:val="left" w:pos="3119"/>
          <w:tab w:val="left" w:pos="3544"/>
          <w:tab w:val="center" w:pos="4536"/>
        </w:tabs>
        <w:overflowPunct w:val="0"/>
        <w:adjustRightInd w:val="0"/>
        <w:spacing w:line="240" w:lineRule="atLeast"/>
        <w:ind w:left="992" w:firstLine="1"/>
        <w:textAlignment w:val="baseline"/>
        <w:rPr>
          <w:szCs w:val="20"/>
          <w:lang w:val="en-US"/>
        </w:rPr>
      </w:pPr>
    </w:p>
    <w:p w:rsidR="004F47BB" w:rsidRPr="004F47BB" w:rsidRDefault="004F47BB" w:rsidP="004F47BB">
      <w:pPr>
        <w:tabs>
          <w:tab w:val="left" w:pos="992"/>
          <w:tab w:val="left" w:pos="2410"/>
        </w:tabs>
        <w:overflowPunct w:val="0"/>
        <w:adjustRightInd w:val="0"/>
        <w:spacing w:line="240" w:lineRule="atLeast"/>
        <w:ind w:left="992" w:firstLine="0"/>
        <w:textAlignment w:val="baseline"/>
        <w:rPr>
          <w:szCs w:val="20"/>
          <w:lang w:val="en-US"/>
        </w:rPr>
      </w:pPr>
      <w:r w:rsidRPr="004F47BB">
        <w:rPr>
          <w:szCs w:val="20"/>
          <w:lang w:val="en-US"/>
        </w:rPr>
        <w:t>from table 3</w:t>
      </w:r>
      <w:r w:rsidRPr="004F47BB">
        <w:rPr>
          <w:szCs w:val="20"/>
          <w:lang w:val="en-US"/>
        </w:rPr>
        <w:tab/>
      </w:r>
      <m:oMath>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T</m:t>
                </m:r>
              </m:sub>
            </m:sSub>
          </m:num>
          <m:den>
            <m:sSup>
              <m:sSupPr>
                <m:ctrlPr>
                  <w:rPr>
                    <w:rFonts w:ascii="Cambria Math" w:hAnsi="Cambria Math"/>
                    <w:i/>
                    <w:szCs w:val="20"/>
                    <w:lang w:val="en-US"/>
                  </w:rPr>
                </m:ctrlPr>
              </m:sSupPr>
              <m:e>
                <m:r>
                  <w:rPr>
                    <w:rFonts w:ascii="Cambria Math" w:hAnsi="Cambria Math"/>
                    <w:szCs w:val="20"/>
                    <w:lang w:val="en-US"/>
                  </w:rPr>
                  <m:t>v</m:t>
                </m:r>
              </m:e>
              <m:sup>
                <m:r>
                  <w:rPr>
                    <w:rFonts w:ascii="Cambria Math" w:hAnsi="Cambria Math"/>
                    <w:szCs w:val="20"/>
                    <w:lang w:val="en-US"/>
                  </w:rPr>
                  <m:t>2</m:t>
                </m:r>
              </m:sup>
            </m:sSup>
          </m:den>
        </m:f>
        <m:r>
          <w:rPr>
            <w:rFonts w:ascii="Cambria Math" w:hAnsi="Cambria Math"/>
            <w:szCs w:val="20"/>
            <w:lang w:val="en-US"/>
          </w:rPr>
          <m:t xml:space="preserve">=14 </m:t>
        </m:r>
        <m:d>
          <m:dPr>
            <m:ctrlPr>
              <w:rPr>
                <w:rFonts w:ascii="Cambria Math" w:hAnsi="Cambria Math"/>
                <w:i/>
                <w:szCs w:val="20"/>
                <w:lang w:val="en-US"/>
              </w:rPr>
            </m:ctrlPr>
          </m:dPr>
          <m:e>
            <m:f>
              <m:fPr>
                <m:ctrlPr>
                  <w:rPr>
                    <w:rFonts w:ascii="Cambria Math" w:hAnsi="Cambria Math"/>
                    <w:i/>
                    <w:szCs w:val="20"/>
                    <w:lang w:val="en-US"/>
                  </w:rPr>
                </m:ctrlPr>
              </m:fPr>
              <m:num>
                <m:r>
                  <w:rPr>
                    <w:rFonts w:ascii="Cambria Math" w:hAnsi="Cambria Math"/>
                    <w:szCs w:val="20"/>
                    <w:lang w:val="en-US"/>
                  </w:rPr>
                  <m:t xml:space="preserve">kN ∙ </m:t>
                </m:r>
                <m:sSup>
                  <m:sSupPr>
                    <m:ctrlPr>
                      <w:rPr>
                        <w:rFonts w:ascii="Cambria Math" w:hAnsi="Cambria Math"/>
                        <w:i/>
                        <w:szCs w:val="20"/>
                        <w:lang w:val="en-US"/>
                      </w:rPr>
                    </m:ctrlPr>
                  </m:sSupPr>
                  <m:e>
                    <m:r>
                      <w:rPr>
                        <w:rFonts w:ascii="Cambria Math" w:hAnsi="Cambria Math"/>
                        <w:szCs w:val="20"/>
                        <w:lang w:val="en-US"/>
                      </w:rPr>
                      <m:t>s</m:t>
                    </m:r>
                  </m:e>
                  <m:sup>
                    <m:r>
                      <w:rPr>
                        <w:rFonts w:ascii="Cambria Math" w:hAnsi="Cambria Math"/>
                        <w:szCs w:val="20"/>
                        <w:lang w:val="en-US"/>
                      </w:rPr>
                      <m:t>2</m:t>
                    </m:r>
                  </m:sup>
                </m:sSup>
              </m:num>
              <m:den>
                <m:sSup>
                  <m:sSupPr>
                    <m:ctrlPr>
                      <w:rPr>
                        <w:rFonts w:ascii="Cambria Math" w:hAnsi="Cambria Math"/>
                        <w:i/>
                        <w:szCs w:val="20"/>
                        <w:lang w:val="en-US"/>
                      </w:rPr>
                    </m:ctrlPr>
                  </m:sSupPr>
                  <m:e>
                    <m:r>
                      <w:rPr>
                        <w:rFonts w:ascii="Cambria Math" w:hAnsi="Cambria Math"/>
                        <w:szCs w:val="20"/>
                        <w:lang w:val="en-US"/>
                      </w:rPr>
                      <m:t>m</m:t>
                    </m:r>
                  </m:e>
                  <m:sup>
                    <m:r>
                      <w:rPr>
                        <w:rFonts w:ascii="Cambria Math" w:hAnsi="Cambria Math"/>
                        <w:szCs w:val="20"/>
                        <w:lang w:val="en-US"/>
                      </w:rPr>
                      <m:t>2</m:t>
                    </m:r>
                  </m:sup>
                </m:sSup>
              </m:den>
            </m:f>
          </m:e>
        </m:d>
      </m:oMath>
    </w:p>
    <w:p w:rsidR="004F47BB" w:rsidRPr="004F47BB" w:rsidRDefault="004F47BB" w:rsidP="004F47BB">
      <w:pPr>
        <w:tabs>
          <w:tab w:val="left" w:pos="992"/>
          <w:tab w:val="center" w:pos="2552"/>
          <w:tab w:val="left" w:pos="3119"/>
          <w:tab w:val="left" w:pos="3544"/>
          <w:tab w:val="center" w:pos="4536"/>
        </w:tabs>
        <w:overflowPunct w:val="0"/>
        <w:adjustRightInd w:val="0"/>
        <w:spacing w:line="240" w:lineRule="atLeast"/>
        <w:ind w:left="992" w:firstLine="0"/>
        <w:textAlignment w:val="baseline"/>
        <w:rPr>
          <w:szCs w:val="20"/>
          <w:lang w:val="en-US"/>
        </w:rPr>
      </w:pPr>
    </w:p>
    <w:p w:rsidR="004F47BB" w:rsidRPr="004F47BB" w:rsidRDefault="00F12BAF" w:rsidP="004F47BB">
      <w:pPr>
        <w:tabs>
          <w:tab w:val="left" w:pos="992"/>
        </w:tabs>
        <w:overflowPunct w:val="0"/>
        <w:adjustRightInd w:val="0"/>
        <w:spacing w:line="240" w:lineRule="atLeast"/>
        <w:ind w:left="992" w:firstLine="1"/>
        <w:textAlignment w:val="baseline"/>
        <w:rPr>
          <w:lang w:val="en-US"/>
        </w:rPr>
      </w:pPr>
      <m:oMathPara>
        <m:oMathParaPr>
          <m:jc m:val="left"/>
        </m:oMathParaP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v</m:t>
                  </m:r>
                </m:e>
                <m:sub>
                  <m:r>
                    <w:rPr>
                      <w:rFonts w:ascii="Cambria Math" w:hAnsi="Cambria Math"/>
                      <w:noProof/>
                      <w:lang w:val="en-US"/>
                    </w:rPr>
                    <m:t>L</m:t>
                  </m:r>
                </m:sub>
              </m:sSub>
            </m:e>
            <m:sub>
              <m:r>
                <w:rPr>
                  <w:rFonts w:ascii="Cambria Math" w:hAnsi="Cambria Math"/>
                  <w:noProof/>
                  <w:lang w:val="en-US"/>
                </w:rPr>
                <m:t>IST</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v</m:t>
              </m:r>
            </m:e>
            <m:sub>
              <m:sSub>
                <m:sSubPr>
                  <m:ctrlPr>
                    <w:rPr>
                      <w:rFonts w:ascii="Cambria Math" w:hAnsi="Cambria Math"/>
                      <w:i/>
                      <w:noProof/>
                      <w:lang w:val="en-US"/>
                    </w:rPr>
                  </m:ctrlPr>
                </m:sSubPr>
                <m:e>
                  <m:r>
                    <w:rPr>
                      <w:rFonts w:ascii="Cambria Math" w:hAnsi="Cambria Math"/>
                      <w:noProof/>
                      <w:lang w:val="en-US"/>
                    </w:rPr>
                    <m:t>STR</m:t>
                  </m:r>
                </m:e>
                <m:sub>
                  <m:r>
                    <w:rPr>
                      <w:rFonts w:ascii="Cambria Math" w:hAnsi="Cambria Math"/>
                      <w:noProof/>
                      <w:lang w:val="en-US"/>
                    </w:rPr>
                    <m:t>IST</m:t>
                  </m:r>
                </m:sub>
              </m:sSub>
            </m:sub>
          </m:sSub>
          <m:r>
            <w:rPr>
              <w:rFonts w:ascii="Cambria Math" w:hAnsi="Cambria Math"/>
              <w:noProof/>
              <w:lang w:val="en-US"/>
            </w:rPr>
            <m:t>=4,8-1,4=3,4 m/s</m:t>
          </m:r>
        </m:oMath>
      </m:oMathPara>
    </w:p>
    <w:p w:rsidR="004F47BB" w:rsidRPr="004F47BB" w:rsidRDefault="004F47BB" w:rsidP="004F47BB">
      <w:pPr>
        <w:tabs>
          <w:tab w:val="left" w:pos="992"/>
          <w:tab w:val="center" w:pos="2552"/>
          <w:tab w:val="left" w:pos="3119"/>
          <w:tab w:val="left" w:pos="3544"/>
          <w:tab w:val="center" w:pos="4536"/>
        </w:tabs>
        <w:overflowPunct w:val="0"/>
        <w:adjustRightInd w:val="0"/>
        <w:spacing w:line="240" w:lineRule="atLeast"/>
        <w:ind w:left="992" w:firstLine="0"/>
        <w:textAlignment w:val="baseline"/>
        <w:rPr>
          <w:szCs w:val="20"/>
          <w:lang w:val="en-US"/>
        </w:rPr>
      </w:pPr>
    </w:p>
    <w:p w:rsidR="004F47BB" w:rsidRPr="004F47BB" w:rsidRDefault="00F12BAF" w:rsidP="004F47BB">
      <w:pPr>
        <w:tabs>
          <w:tab w:val="left" w:pos="992"/>
        </w:tabs>
        <w:overflowPunct w:val="0"/>
        <w:adjustRightInd w:val="0"/>
        <w:spacing w:line="240" w:lineRule="atLeast"/>
        <w:ind w:left="992" w:firstLine="1"/>
        <w:textAlignment w:val="baseline"/>
        <w:rPr>
          <w:szCs w:val="20"/>
          <w:lang w:val="en-US"/>
        </w:rPr>
      </w:pPr>
      <m:oMathPara>
        <m:oMathParaPr>
          <m:jc m:val="left"/>
        </m:oMathParaP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TmII</m:t>
                  </m:r>
                </m:sub>
              </m:sSub>
            </m:e>
            <m:sub>
              <m:r>
                <w:rPr>
                  <w:rFonts w:ascii="Cambria Math" w:hAnsi="Cambria Math"/>
                  <w:noProof/>
                  <w:lang w:val="en-US"/>
                </w:rPr>
                <m:t>IST</m:t>
              </m:r>
            </m:sub>
          </m:sSub>
          <m:r>
            <w:rPr>
              <w:rFonts w:ascii="Cambria Math" w:hAnsi="Cambria Math"/>
              <w:noProof/>
              <w:lang w:val="en-US"/>
            </w:rPr>
            <m:t xml:space="preserve">= </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T</m:t>
                  </m:r>
                </m:sub>
              </m:sSub>
            </m:num>
            <m:den>
              <m:sSup>
                <m:sSupPr>
                  <m:ctrlPr>
                    <w:rPr>
                      <w:rFonts w:ascii="Cambria Math" w:hAnsi="Cambria Math"/>
                      <w:i/>
                      <w:noProof/>
                      <w:lang w:val="en-US"/>
                    </w:rPr>
                  </m:ctrlPr>
                </m:sSupPr>
                <m:e>
                  <m:r>
                    <w:rPr>
                      <w:rFonts w:ascii="Cambria Math" w:hAnsi="Cambria Math"/>
                      <w:noProof/>
                      <w:lang w:val="en-US"/>
                    </w:rPr>
                    <m:t>v</m:t>
                  </m:r>
                </m:e>
                <m:sup>
                  <m:r>
                    <w:rPr>
                      <w:rFonts w:ascii="Cambria Math" w:hAnsi="Cambria Math"/>
                      <w:noProof/>
                      <w:lang w:val="en-US"/>
                    </w:rPr>
                    <m:t>2</m:t>
                  </m:r>
                </m:sup>
              </m:sSup>
            </m:den>
          </m:f>
          <m:r>
            <w:rPr>
              <w:rFonts w:ascii="Cambria Math" w:hAnsi="Cambria Math"/>
              <w:noProof/>
              <w:lang w:val="en-US"/>
            </w:rPr>
            <m:t xml:space="preserve"> ∙ </m:t>
          </m:r>
          <m:sSup>
            <m:sSupPr>
              <m:ctrlPr>
                <w:rPr>
                  <w:rFonts w:ascii="Cambria Math" w:hAnsi="Cambria Math"/>
                  <w:i/>
                  <w:noProof/>
                  <w:lang w:val="en-US"/>
                </w:rPr>
              </m:ctrlPr>
            </m:sSupPr>
            <m:e>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k</m:t>
                      </m:r>
                    </m:e>
                    <m:sub>
                      <m:r>
                        <w:rPr>
                          <w:rFonts w:ascii="Cambria Math" w:hAnsi="Cambria Math"/>
                          <w:noProof/>
                          <w:lang w:val="en-US"/>
                        </w:rPr>
                        <m:t>7</m:t>
                      </m:r>
                    </m:sub>
                  </m:sSub>
                  <m:r>
                    <w:rPr>
                      <w:rFonts w:ascii="Cambria Math" w:hAnsi="Cambria Math"/>
                      <w:noProof/>
                      <w:lang w:val="en-US"/>
                    </w:rPr>
                    <m:t xml:space="preserve"> ∙ </m:t>
                  </m:r>
                  <m:sSub>
                    <m:sSubPr>
                      <m:ctrlPr>
                        <w:rPr>
                          <w:rFonts w:ascii="Cambria Math" w:hAnsi="Cambria Math"/>
                          <w:i/>
                          <w:noProof/>
                          <w:lang w:val="en-US"/>
                        </w:rPr>
                      </m:ctrlPr>
                    </m:sSubPr>
                    <m:e>
                      <m:r>
                        <w:rPr>
                          <w:rFonts w:ascii="Cambria Math" w:hAnsi="Cambria Math"/>
                          <w:noProof/>
                          <w:lang w:val="en-US"/>
                        </w:rPr>
                        <m:t>k</m:t>
                      </m:r>
                    </m:e>
                    <m:sub>
                      <m:r>
                        <w:rPr>
                          <w:rFonts w:ascii="Cambria Math" w:hAnsi="Cambria Math"/>
                          <w:noProof/>
                          <w:lang w:val="en-US"/>
                        </w:rPr>
                        <m:t>6</m:t>
                      </m:r>
                    </m:sub>
                  </m:sSub>
                  <m:r>
                    <w:rPr>
                      <w:rFonts w:ascii="Cambria Math" w:hAnsi="Cambria Math"/>
                      <w:noProof/>
                      <w:lang w:val="en-US"/>
                    </w:rPr>
                    <m:t xml:space="preserve"> ∙ </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v</m:t>
                          </m:r>
                        </m:e>
                        <m:sub>
                          <m:sSub>
                            <m:sSubPr>
                              <m:ctrlPr>
                                <w:rPr>
                                  <w:rFonts w:ascii="Cambria Math" w:hAnsi="Cambria Math"/>
                                  <w:i/>
                                  <w:noProof/>
                                  <w:lang w:val="en-US"/>
                                </w:rPr>
                              </m:ctrlPr>
                            </m:sSubPr>
                            <m:e>
                              <m:r>
                                <w:rPr>
                                  <w:rFonts w:ascii="Cambria Math" w:hAnsi="Cambria Math"/>
                                  <w:noProof/>
                                  <w:lang w:val="en-US"/>
                                </w:rPr>
                                <m:t>L</m:t>
                              </m:r>
                            </m:e>
                            <m:sub>
                              <m:r>
                                <w:rPr>
                                  <w:rFonts w:ascii="Cambria Math" w:hAnsi="Cambria Math"/>
                                  <w:noProof/>
                                  <w:lang w:val="en-US"/>
                                </w:rPr>
                                <m:t>IST</m:t>
                              </m:r>
                            </m:sub>
                          </m:sSub>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v</m:t>
                          </m:r>
                        </m:e>
                        <m:sub>
                          <m:sSub>
                            <m:sSubPr>
                              <m:ctrlPr>
                                <w:rPr>
                                  <w:rFonts w:ascii="Cambria Math" w:hAnsi="Cambria Math"/>
                                  <w:i/>
                                  <w:noProof/>
                                  <w:lang w:val="en-US"/>
                                </w:rPr>
                              </m:ctrlPr>
                            </m:sSubPr>
                            <m:e>
                              <m:r>
                                <w:rPr>
                                  <w:rFonts w:ascii="Cambria Math" w:hAnsi="Cambria Math"/>
                                  <w:noProof/>
                                  <w:lang w:val="en-US"/>
                                </w:rPr>
                                <m:t>STR</m:t>
                              </m:r>
                            </m:e>
                            <m:sub>
                              <m:r>
                                <w:rPr>
                                  <w:rFonts w:ascii="Cambria Math" w:hAnsi="Cambria Math"/>
                                  <w:noProof/>
                                  <w:lang w:val="en-US"/>
                                </w:rPr>
                                <m:t>IST</m:t>
                              </m:r>
                            </m:sub>
                          </m:sSub>
                        </m:sub>
                      </m:sSub>
                    </m:e>
                  </m:d>
                </m:e>
              </m:d>
            </m:e>
            <m:sup>
              <m:r>
                <w:rPr>
                  <w:rFonts w:ascii="Cambria Math" w:hAnsi="Cambria Math"/>
                  <w:noProof/>
                  <w:lang w:val="en-US"/>
                </w:rPr>
                <m:t>2</m:t>
              </m:r>
            </m:sup>
          </m:sSup>
          <m:r>
            <w:rPr>
              <w:rFonts w:ascii="Cambria Math" w:hAnsi="Cambria Math"/>
              <w:noProof/>
              <w:lang w:val="en-US"/>
            </w:rPr>
            <m:t xml:space="preserve">= 14 ∙ </m:t>
          </m:r>
          <m:sSup>
            <m:sSupPr>
              <m:ctrlPr>
                <w:rPr>
                  <w:rFonts w:ascii="Cambria Math" w:hAnsi="Cambria Math"/>
                  <w:i/>
                  <w:noProof/>
                  <w:lang w:val="en-US"/>
                </w:rPr>
              </m:ctrlPr>
            </m:sSupPr>
            <m:e>
              <m:d>
                <m:dPr>
                  <m:ctrlPr>
                    <w:rPr>
                      <w:rFonts w:ascii="Cambria Math" w:hAnsi="Cambria Math"/>
                      <w:i/>
                      <w:noProof/>
                      <w:lang w:val="en-US"/>
                    </w:rPr>
                  </m:ctrlPr>
                </m:dPr>
                <m:e>
                  <m:r>
                    <w:rPr>
                      <w:rFonts w:ascii="Cambria Math" w:hAnsi="Cambria Math"/>
                      <w:noProof/>
                      <w:lang w:val="en-US"/>
                    </w:rPr>
                    <m:t>0,55 ∙0,85 ∙3,4</m:t>
                  </m:r>
                </m:e>
              </m:d>
            </m:e>
            <m:sup>
              <m:r>
                <w:rPr>
                  <w:rFonts w:ascii="Cambria Math" w:hAnsi="Cambria Math"/>
                  <w:noProof/>
                  <w:lang w:val="en-US"/>
                </w:rPr>
                <m:t>2</m:t>
              </m:r>
            </m:sup>
          </m:sSup>
          <m:r>
            <w:rPr>
              <w:rFonts w:ascii="Cambria Math" w:hAnsi="Cambria Math"/>
              <w:noProof/>
              <w:lang w:val="en-US"/>
            </w:rPr>
            <m:t>=</m:t>
          </m:r>
          <m:r>
            <m:rPr>
              <m:sty m:val="bi"/>
            </m:rPr>
            <w:rPr>
              <w:rFonts w:ascii="Cambria Math" w:hAnsi="Cambria Math"/>
              <w:noProof/>
              <w:lang w:val="en-US"/>
            </w:rPr>
            <m:t xml:space="preserve">35,4 </m:t>
          </m:r>
          <m:d>
            <m:dPr>
              <m:begChr m:val="["/>
              <m:endChr m:val="]"/>
              <m:ctrlPr>
                <w:rPr>
                  <w:rFonts w:ascii="Cambria Math" w:hAnsi="Cambria Math"/>
                  <w:b/>
                  <w:i/>
                  <w:noProof/>
                  <w:lang w:val="en-US"/>
                </w:rPr>
              </m:ctrlPr>
            </m:dPr>
            <m:e>
              <m:r>
                <m:rPr>
                  <m:sty m:val="bi"/>
                </m:rPr>
                <w:rPr>
                  <w:rFonts w:ascii="Cambria Math" w:hAnsi="Cambria Math"/>
                  <w:noProof/>
                  <w:lang w:val="en-US"/>
                </w:rPr>
                <m:t>kN</m:t>
              </m:r>
            </m:e>
          </m:d>
        </m:oMath>
      </m:oMathPara>
    </w:p>
    <w:p w:rsidR="004F47BB" w:rsidRPr="004F47BB" w:rsidRDefault="004F47BB" w:rsidP="004F47BB">
      <w:pPr>
        <w:tabs>
          <w:tab w:val="left" w:pos="284"/>
          <w:tab w:val="left" w:pos="454"/>
        </w:tabs>
        <w:overflowPunct w:val="0"/>
        <w:adjustRightInd w:val="0"/>
        <w:spacing w:line="240" w:lineRule="atLeast"/>
        <w:ind w:left="284" w:hanging="284"/>
        <w:jc w:val="left"/>
        <w:textAlignment w:val="baseline"/>
        <w:rPr>
          <w:szCs w:val="20"/>
          <w:lang w:val="en-US"/>
        </w:rPr>
      </w:pPr>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r w:rsidRPr="004F47BB">
        <w:rPr>
          <w:szCs w:val="20"/>
          <w:lang w:val="en-US"/>
        </w:rPr>
        <w:t>d)</w:t>
      </w:r>
      <w:r w:rsidRPr="004F47BB">
        <w:rPr>
          <w:szCs w:val="20"/>
          <w:lang w:val="en-US"/>
        </w:rPr>
        <w:tab/>
        <w:t xml:space="preserve">Calculation of resistance due to gradient </w:t>
      </w:r>
      <m:oMath>
        <m:sSub>
          <m:sSubPr>
            <m:ctrlPr>
              <w:rPr>
                <w:rFonts w:ascii="Cambria Math" w:hAnsi="Cambria Math"/>
                <w:i/>
                <w:sz w:val="16"/>
                <w:szCs w:val="20"/>
                <w:lang w:val="en-US"/>
              </w:rPr>
            </m:ctrlPr>
          </m:sSubPr>
          <m:e>
            <m:r>
              <w:rPr>
                <w:rFonts w:ascii="Cambria Math" w:hAnsi="Cambria Math"/>
                <w:sz w:val="16"/>
                <w:szCs w:val="20"/>
                <w:lang w:val="en-US"/>
              </w:rPr>
              <m:t>R</m:t>
            </m:r>
          </m:e>
          <m:sub>
            <m:r>
              <w:rPr>
                <w:rFonts w:ascii="Cambria Math" w:hAnsi="Cambria Math"/>
                <w:sz w:val="16"/>
                <w:szCs w:val="20"/>
                <w:lang w:val="en-US"/>
              </w:rPr>
              <m:t>G</m:t>
            </m:r>
          </m:sub>
        </m:sSub>
      </m:oMath>
      <w:r w:rsidRPr="004F47BB">
        <w:rPr>
          <w:szCs w:val="20"/>
          <w:lang w:val="en-US"/>
        </w:rPr>
        <w:t xml:space="preserve"> according to formula (4.4) of Annex 2</w:t>
      </w:r>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p>
    <w:p w:rsidR="004F47BB" w:rsidRPr="004F47BB" w:rsidRDefault="00F12BAF" w:rsidP="004F47BB">
      <w:pPr>
        <w:overflowPunct w:val="0"/>
        <w:adjustRightInd w:val="0"/>
        <w:spacing w:line="240" w:lineRule="atLeast"/>
        <w:ind w:left="993" w:hanging="1"/>
        <w:jc w:val="left"/>
        <w:textAlignment w:val="baseline"/>
        <w:rPr>
          <w:szCs w:val="20"/>
          <w:lang w:val="en-US"/>
        </w:rPr>
      </w:pPr>
      <m:oMathPara>
        <m:oMathParaPr>
          <m:jc m:val="left"/>
        </m:oMathParaPr>
        <m:oMath>
          <m:sSub>
            <m:sSubPr>
              <m:ctrlPr>
                <w:rPr>
                  <w:rFonts w:ascii="Cambria Math" w:hAnsi="Cambria Math"/>
                  <w:i/>
                  <w:sz w:val="16"/>
                  <w:szCs w:val="20"/>
                  <w:lang w:val="en-US"/>
                </w:rPr>
              </m:ctrlPr>
            </m:sSubPr>
            <m:e>
              <m:r>
                <w:rPr>
                  <w:rFonts w:ascii="Cambria Math" w:hAnsi="Cambria Math"/>
                  <w:sz w:val="16"/>
                  <w:szCs w:val="20"/>
                  <w:lang w:val="en-US"/>
                </w:rPr>
                <m:t>R</m:t>
              </m:r>
            </m:e>
            <m:sub>
              <m:r>
                <w:rPr>
                  <w:rFonts w:ascii="Cambria Math" w:hAnsi="Cambria Math"/>
                  <w:sz w:val="16"/>
                  <w:szCs w:val="20"/>
                  <w:lang w:val="en-US"/>
                </w:rPr>
                <m:t>G</m:t>
              </m:r>
            </m:sub>
          </m:sSub>
          <m:r>
            <w:rPr>
              <w:rFonts w:ascii="Cambria Math" w:hAnsi="Cambria Math"/>
              <w:sz w:val="16"/>
              <w:szCs w:val="20"/>
              <w:lang w:val="en-US"/>
            </w:rPr>
            <m:t xml:space="preserve"> </m:t>
          </m:r>
          <m:r>
            <w:rPr>
              <w:rFonts w:ascii="Cambria Math" w:hAnsi="Cambria Math"/>
              <w:szCs w:val="20"/>
              <w:lang w:val="en-US"/>
            </w:rPr>
            <m:t xml:space="preserve">= </m:t>
          </m:r>
          <m:sSup>
            <m:sSupPr>
              <m:ctrlPr>
                <w:rPr>
                  <w:rFonts w:ascii="Cambria Math" w:hAnsi="Cambria Math"/>
                  <w:i/>
                  <w:szCs w:val="20"/>
                  <w:lang w:val="en-US"/>
                </w:rPr>
              </m:ctrlPr>
            </m:sSupPr>
            <m:e>
              <m:r>
                <w:rPr>
                  <w:rFonts w:ascii="Cambria Math" w:hAnsi="Cambria Math"/>
                  <w:szCs w:val="20"/>
                  <w:lang w:val="en-US"/>
                </w:rPr>
                <m:t>10</m:t>
              </m:r>
            </m:e>
            <m:sup>
              <m:r>
                <w:rPr>
                  <w:rFonts w:ascii="Cambria Math" w:hAnsi="Cambria Math"/>
                  <w:szCs w:val="20"/>
                  <w:lang w:val="en-US"/>
                </w:rPr>
                <m:t>-6</m:t>
              </m:r>
            </m:sup>
          </m:sSup>
          <m:r>
            <w:rPr>
              <w:rFonts w:ascii="Cambria Math" w:hAnsi="Cambria Math"/>
              <w:szCs w:val="20"/>
              <w:lang w:val="en-US"/>
            </w:rPr>
            <m:t xml:space="preserve"> ∙ </m:t>
          </m:r>
          <m:d>
            <m:dPr>
              <m:ctrlPr>
                <w:rPr>
                  <w:rFonts w:ascii="Cambria Math" w:hAnsi="Cambria Math"/>
                  <w:i/>
                  <w:szCs w:val="20"/>
                  <w:lang w:val="en-US"/>
                </w:rPr>
              </m:ctrlPr>
            </m:dPr>
            <m:e>
              <m:r>
                <w:rPr>
                  <w:rFonts w:ascii="Cambria Math" w:hAnsi="Cambria Math"/>
                  <w:szCs w:val="20"/>
                  <w:lang w:val="en-US"/>
                </w:rPr>
                <m:t xml:space="preserve">0,16 ∙ </m:t>
              </m:r>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IST</m:t>
                  </m:r>
                </m:sub>
              </m:sSub>
              <m:r>
                <w:rPr>
                  <w:rFonts w:ascii="Cambria Math" w:hAnsi="Cambria Math"/>
                  <w:szCs w:val="20"/>
                  <w:lang w:val="en-US"/>
                </w:rPr>
                <m:t xml:space="preserve"> ∙ ρ ∙g</m:t>
              </m:r>
            </m:e>
          </m:d>
          <m:r>
            <w:rPr>
              <w:rFonts w:ascii="Cambria Math" w:hAnsi="Cambria Math"/>
              <w:szCs w:val="20"/>
              <w:lang w:val="en-US"/>
            </w:rPr>
            <m:t>=</m:t>
          </m:r>
          <m:sSup>
            <m:sSupPr>
              <m:ctrlPr>
                <w:rPr>
                  <w:rFonts w:ascii="Cambria Math" w:hAnsi="Cambria Math"/>
                  <w:i/>
                  <w:szCs w:val="20"/>
                  <w:lang w:val="en-US"/>
                </w:rPr>
              </m:ctrlPr>
            </m:sSupPr>
            <m:e>
              <m:r>
                <w:rPr>
                  <w:rFonts w:ascii="Cambria Math" w:hAnsi="Cambria Math"/>
                  <w:szCs w:val="20"/>
                  <w:lang w:val="en-US"/>
                </w:rPr>
                <m:t>10</m:t>
              </m:r>
            </m:e>
            <m:sup>
              <m:r>
                <w:rPr>
                  <w:rFonts w:ascii="Cambria Math" w:hAnsi="Cambria Math"/>
                  <w:szCs w:val="20"/>
                  <w:lang w:val="en-US"/>
                </w:rPr>
                <m:t>-6</m:t>
              </m:r>
            </m:sup>
          </m:sSup>
          <m:r>
            <w:rPr>
              <w:rFonts w:ascii="Cambria Math" w:hAnsi="Cambria Math"/>
              <w:szCs w:val="20"/>
              <w:lang w:val="en-US"/>
            </w:rPr>
            <m:t xml:space="preserve"> ∙</m:t>
          </m:r>
          <m:d>
            <m:dPr>
              <m:ctrlPr>
                <w:rPr>
                  <w:rFonts w:ascii="Cambria Math" w:hAnsi="Cambria Math"/>
                  <w:i/>
                  <w:szCs w:val="20"/>
                  <w:lang w:val="en-US"/>
                </w:rPr>
              </m:ctrlPr>
            </m:dPr>
            <m:e>
              <m:r>
                <w:rPr>
                  <w:rFonts w:ascii="Cambria Math" w:hAnsi="Cambria Math"/>
                  <w:szCs w:val="20"/>
                  <w:lang w:val="en-US"/>
                </w:rPr>
                <m:t>0,16 ∙</m:t>
              </m:r>
              <m:r>
                <m:rPr>
                  <m:sty m:val="bi"/>
                </m:rPr>
                <w:rPr>
                  <w:rFonts w:ascii="Cambria Math" w:hAnsi="Cambria Math"/>
                  <w:position w:val="6"/>
                  <w:szCs w:val="20"/>
                  <w:lang w:val="en-US"/>
                </w:rPr>
                <m:t xml:space="preserve"> </m:t>
              </m:r>
              <m:r>
                <w:rPr>
                  <w:rFonts w:ascii="Cambria Math" w:hAnsi="Cambria Math"/>
                  <w:szCs w:val="20"/>
                  <w:lang w:val="en-US"/>
                </w:rPr>
                <m:t>9568 ∙ 1000 ∙ 9,81</m:t>
              </m:r>
            </m:e>
          </m:d>
          <m:r>
            <w:rPr>
              <w:rFonts w:ascii="Cambria Math" w:hAnsi="Cambria Math"/>
              <w:szCs w:val="20"/>
              <w:lang w:val="en-US"/>
            </w:rPr>
            <m:t xml:space="preserve">= </m:t>
          </m:r>
          <m:r>
            <m:rPr>
              <m:sty m:val="bi"/>
            </m:rPr>
            <w:rPr>
              <w:rFonts w:ascii="Cambria Math" w:hAnsi="Cambria Math"/>
              <w:szCs w:val="20"/>
              <w:u w:val="single"/>
              <w:lang w:val="en-US"/>
            </w:rPr>
            <m:t>15,02</m:t>
          </m:r>
          <m:r>
            <m:rPr>
              <m:sty m:val="bi"/>
            </m:rPr>
            <w:rPr>
              <w:rFonts w:ascii="Cambria Math" w:hAnsi="Cambria Math"/>
              <w:szCs w:val="20"/>
              <w:lang w:val="en-US"/>
            </w:rPr>
            <m:t xml:space="preserve">  [kN]</m:t>
          </m:r>
        </m:oMath>
      </m:oMathPara>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r w:rsidRPr="004F47BB">
        <w:rPr>
          <w:szCs w:val="20"/>
          <w:lang w:val="en-US"/>
        </w:rPr>
        <w:t>e)</w:t>
      </w:r>
      <w:r w:rsidRPr="004F47BB">
        <w:rPr>
          <w:szCs w:val="20"/>
          <w:lang w:val="en-US"/>
        </w:rPr>
        <w:tab/>
        <w:t xml:space="preserve">Calculation of </w:t>
      </w:r>
      <m:oMath>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IST</m:t>
                </m:r>
              </m:sub>
            </m:sSub>
          </m:sub>
        </m:sSub>
      </m:oMath>
      <w:r w:rsidRPr="004F47BB">
        <w:rPr>
          <w:szCs w:val="20"/>
          <w:lang w:val="en-US"/>
        </w:rPr>
        <w:t xml:space="preserve"> according to formula (4.5) of Annex 2</w:t>
      </w:r>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p>
    <w:p w:rsidR="004F47BB" w:rsidRPr="004F47BB" w:rsidRDefault="00F12BAF" w:rsidP="004F47BB">
      <w:pPr>
        <w:overflowPunct w:val="0"/>
        <w:adjustRightInd w:val="0"/>
        <w:spacing w:line="240" w:lineRule="atLeast"/>
        <w:ind w:left="992"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IST</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6</m:t>
              </m:r>
            </m:sub>
          </m:sSub>
          <m:r>
            <w:rPr>
              <w:rFonts w:ascii="Cambria Math" w:hAnsi="Cambria Math"/>
              <w:szCs w:val="20"/>
              <w:lang w:val="en-US"/>
            </w:rPr>
            <m:t xml:space="preserve"> ∙  </m:t>
          </m:r>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L</m:t>
                      </m:r>
                    </m:e>
                    <m:sub>
                      <m:r>
                        <w:rPr>
                          <w:rFonts w:ascii="Cambria Math" w:hAnsi="Cambria Math"/>
                          <w:szCs w:val="20"/>
                          <w:lang w:val="en-US"/>
                        </w:rPr>
                        <m:t>IST</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STR</m:t>
                      </m:r>
                    </m:e>
                    <m:sub>
                      <m:r>
                        <w:rPr>
                          <w:rFonts w:ascii="Cambria Math" w:hAnsi="Cambria Math"/>
                          <w:szCs w:val="20"/>
                          <w:lang w:val="en-US"/>
                        </w:rPr>
                        <m:t>IST</m:t>
                      </m:r>
                    </m:sub>
                  </m:sSub>
                </m:sub>
              </m:sSub>
            </m:e>
          </m:d>
          <m:r>
            <w:rPr>
              <w:rFonts w:ascii="Cambria Math" w:hAnsi="Cambria Math"/>
              <w:szCs w:val="20"/>
              <w:lang w:val="en-US"/>
            </w:rPr>
            <m:t xml:space="preserve">= 2,89 </m:t>
          </m:r>
          <m:d>
            <m:dPr>
              <m:begChr m:val="["/>
              <m:endChr m:val="]"/>
              <m:ctrlPr>
                <w:rPr>
                  <w:rFonts w:ascii="Cambria Math" w:hAnsi="Cambria Math"/>
                  <w:i/>
                  <w:szCs w:val="20"/>
                  <w:lang w:val="en-US"/>
                </w:rPr>
              </m:ctrlPr>
            </m:dPr>
            <m:e>
              <m:r>
                <w:rPr>
                  <w:rFonts w:ascii="Cambria Math" w:hAnsi="Cambria Math"/>
                  <w:szCs w:val="20"/>
                  <w:lang w:val="en-US"/>
                </w:rPr>
                <m:t>m/s</m:t>
              </m:r>
            </m:e>
          </m:d>
        </m:oMath>
      </m:oMathPara>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p>
    <w:p w:rsidR="004F47BB" w:rsidRPr="004F47BB" w:rsidRDefault="00F12BAF" w:rsidP="004F47BB">
      <w:pPr>
        <w:overflowPunct w:val="0"/>
        <w:adjustRightInd w:val="0"/>
        <w:spacing w:line="240" w:lineRule="atLeast"/>
        <w:ind w:left="993" w:hanging="1"/>
        <w:jc w:val="left"/>
        <w:textAlignment w:val="baseline"/>
        <w:rPr>
          <w:szCs w:val="20"/>
          <w:lang w:val="en-US"/>
        </w:rPr>
      </w:pPr>
      <m:oMathPara>
        <m:oMathParaPr>
          <m:jc m:val="left"/>
        </m:oMathParaPr>
        <m:oMath>
          <m:sSub>
            <m:sSubPr>
              <m:ctrlPr>
                <w:rPr>
                  <w:rFonts w:ascii="Cambria Math" w:hAnsi="Cambria Math"/>
                  <w:i/>
                  <w:szCs w:val="20"/>
                  <w:lang w:val="en-US"/>
                </w:rPr>
              </m:ctrlPr>
            </m:sSubPr>
            <m:e>
              <m:sSup>
                <m:sSupPr>
                  <m:ctrlPr>
                    <w:rPr>
                      <w:rFonts w:ascii="Cambria Math" w:hAnsi="Cambria Math"/>
                      <w:i/>
                      <w:szCs w:val="20"/>
                      <w:lang w:val="en-US"/>
                    </w:rPr>
                  </m:ctrlPr>
                </m:sSupPr>
                <m:e>
                  <m:r>
                    <w:rPr>
                      <w:rFonts w:ascii="Cambria Math" w:hAnsi="Cambria Math"/>
                      <w:szCs w:val="20"/>
                      <w:lang w:val="en-US"/>
                    </w:rPr>
                    <m:t>v</m:t>
                  </m:r>
                </m:e>
                <m:sup>
                  <m:r>
                    <w:rPr>
                      <w:rFonts w:ascii="Cambria Math" w:hAnsi="Cambria Math"/>
                      <w:szCs w:val="20"/>
                      <w:lang w:val="en-US"/>
                    </w:rPr>
                    <m:t>2</m:t>
                  </m:r>
                </m:sup>
              </m:sSup>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IST</m:t>
                  </m:r>
                </m:sub>
              </m:sSub>
            </m:sub>
          </m:sSub>
          <m:r>
            <w:rPr>
              <w:rFonts w:ascii="Cambria Math" w:hAnsi="Cambria Math"/>
              <w:szCs w:val="20"/>
              <w:lang w:val="en-US"/>
            </w:rPr>
            <m:t xml:space="preserve">=8,35 </m:t>
          </m:r>
          <m:sSup>
            <m:sSupPr>
              <m:ctrlPr>
                <w:rPr>
                  <w:rFonts w:ascii="Cambria Math" w:hAnsi="Cambria Math"/>
                  <w:i/>
                  <w:szCs w:val="20"/>
                  <w:lang w:val="en-US"/>
                </w:rPr>
              </m:ctrlPr>
            </m:sSupPr>
            <m:e>
              <m:d>
                <m:dPr>
                  <m:begChr m:val="["/>
                  <m:endChr m:val="]"/>
                  <m:ctrlPr>
                    <w:rPr>
                      <w:rFonts w:ascii="Cambria Math" w:hAnsi="Cambria Math"/>
                      <w:i/>
                      <w:szCs w:val="20"/>
                      <w:lang w:val="en-US"/>
                    </w:rPr>
                  </m:ctrlPr>
                </m:dPr>
                <m:e>
                  <m:r>
                    <w:rPr>
                      <w:rFonts w:ascii="Cambria Math" w:hAnsi="Cambria Math"/>
                      <w:szCs w:val="20"/>
                      <w:lang w:val="en-US"/>
                    </w:rPr>
                    <m:t>m/s</m:t>
                  </m:r>
                </m:e>
              </m:d>
            </m:e>
            <m:sup>
              <m:r>
                <w:rPr>
                  <w:rFonts w:ascii="Cambria Math" w:hAnsi="Cambria Math"/>
                  <w:szCs w:val="20"/>
                  <w:lang w:val="en-US"/>
                </w:rPr>
                <m:t>2</m:t>
              </m:r>
            </m:sup>
          </m:sSup>
        </m:oMath>
      </m:oMathPara>
    </w:p>
    <w:p w:rsidR="004F47BB" w:rsidRPr="004F47BB" w:rsidRDefault="004F47BB" w:rsidP="004F47BB">
      <w:pPr>
        <w:tabs>
          <w:tab w:val="left" w:pos="284"/>
        </w:tabs>
        <w:overflowPunct w:val="0"/>
        <w:adjustRightInd w:val="0"/>
        <w:spacing w:line="240" w:lineRule="exact"/>
        <w:ind w:left="284" w:hanging="284"/>
        <w:jc w:val="left"/>
        <w:textAlignment w:val="baseline"/>
        <w:rPr>
          <w:szCs w:val="20"/>
          <w:lang w:val="nl-NL"/>
        </w:rPr>
      </w:pPr>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r w:rsidRPr="004F47BB">
        <w:rPr>
          <w:szCs w:val="20"/>
          <w:lang w:val="en-US"/>
        </w:rPr>
        <w:br w:type="page"/>
      </w: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r w:rsidRPr="004F47BB">
        <w:rPr>
          <w:szCs w:val="20"/>
          <w:lang w:val="en-US"/>
        </w:rPr>
        <w:lastRenderedPageBreak/>
        <w:t>f)</w:t>
      </w:r>
      <w:r w:rsidRPr="004F47BB">
        <w:rPr>
          <w:szCs w:val="20"/>
          <w:lang w:val="en-US"/>
        </w:rPr>
        <w:tab/>
      </w:r>
      <w:r w:rsidRPr="004F47BB">
        <w:rPr>
          <w:noProof/>
          <w:lang w:val="en-US"/>
        </w:rPr>
        <w:t>Calculation of</w:t>
      </w:r>
      <w:r w:rsidRPr="004F47BB">
        <w:rPr>
          <w:szCs w:val="20"/>
          <w:lang w:val="en-US"/>
        </w:rPr>
        <w:t xml:space="preserve"> </w:t>
      </w:r>
      <m:oMath>
        <m:sSub>
          <m:sSubPr>
            <m:ctrlPr>
              <w:rPr>
                <w:rFonts w:ascii="Cambria Math" w:hAnsi="Cambria Math"/>
                <w:i/>
                <w:szCs w:val="20"/>
                <w:lang w:val="en-US"/>
              </w:rPr>
            </m:ctrlPr>
          </m:sSubPr>
          <m:e>
            <m:r>
              <w:rPr>
                <w:rFonts w:ascii="Cambria Math" w:hAnsi="Cambria Math"/>
                <w:szCs w:val="20"/>
                <w:lang w:val="en-US"/>
              </w:rPr>
              <m:t>F</m:t>
            </m:r>
          </m:e>
          <m:sub>
            <m:r>
              <w:rPr>
                <w:rFonts w:ascii="Cambria Math" w:hAnsi="Cambria Math"/>
                <w:szCs w:val="20"/>
                <w:lang w:val="en-US"/>
              </w:rPr>
              <m:t>POR</m:t>
            </m:r>
          </m:sub>
        </m:sSub>
      </m:oMath>
      <w:r w:rsidRPr="004F47BB">
        <w:rPr>
          <w:szCs w:val="20"/>
          <w:lang w:val="en-US"/>
        </w:rPr>
        <w:t xml:space="preserve"> </w:t>
      </w:r>
      <w:r w:rsidRPr="004F47BB">
        <w:rPr>
          <w:noProof/>
          <w:lang w:val="en-US"/>
        </w:rPr>
        <w:t>acording to formula (4.6) and table 2</w:t>
      </w:r>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p>
    <w:p w:rsidR="004F47BB" w:rsidRPr="004F47BB" w:rsidRDefault="00F12BAF" w:rsidP="004F47BB">
      <w:pPr>
        <w:overflowPunct w:val="0"/>
        <w:adjustRightInd w:val="0"/>
        <w:spacing w:line="240" w:lineRule="atLeast"/>
        <w:ind w:left="992"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F</m:t>
              </m:r>
            </m:e>
            <m:sub>
              <m:r>
                <w:rPr>
                  <w:rFonts w:ascii="Cambria Math" w:hAnsi="Cambria Math"/>
                  <w:szCs w:val="20"/>
                  <w:lang w:val="en-US"/>
                </w:rPr>
                <m:t>POR</m:t>
              </m:r>
            </m:sub>
          </m:sSub>
          <m:r>
            <w:rPr>
              <w:rFonts w:ascii="Cambria Math" w:hAnsi="Cambria Math"/>
              <w:szCs w:val="20"/>
              <w:lang w:val="en-US"/>
            </w:rPr>
            <m:t>=0,118 ∙1500=</m:t>
          </m:r>
          <m:r>
            <m:rPr>
              <m:sty m:val="bi"/>
            </m:rPr>
            <w:rPr>
              <w:rFonts w:ascii="Cambria Math" w:hAnsi="Cambria Math"/>
              <w:szCs w:val="20"/>
              <w:lang w:val="en-US"/>
            </w:rPr>
            <m:t xml:space="preserve">177 </m:t>
          </m:r>
          <m:d>
            <m:dPr>
              <m:begChr m:val="["/>
              <m:endChr m:val="]"/>
              <m:ctrlPr>
                <w:rPr>
                  <w:rFonts w:ascii="Cambria Math" w:hAnsi="Cambria Math"/>
                  <w:b/>
                  <w:i/>
                  <w:szCs w:val="20"/>
                  <w:lang w:val="en-US"/>
                </w:rPr>
              </m:ctrlPr>
            </m:dPr>
            <m:e>
              <m:r>
                <m:rPr>
                  <m:sty m:val="bi"/>
                </m:rPr>
                <w:rPr>
                  <w:rFonts w:ascii="Cambria Math" w:hAnsi="Cambria Math"/>
                  <w:szCs w:val="20"/>
                  <w:lang w:val="en-US"/>
                </w:rPr>
                <m:t>kN</m:t>
              </m:r>
            </m:e>
          </m:d>
        </m:oMath>
      </m:oMathPara>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r w:rsidRPr="004F47BB">
        <w:rPr>
          <w:szCs w:val="20"/>
          <w:lang w:val="en-US"/>
        </w:rPr>
        <w:t>g)</w:t>
      </w:r>
      <w:r w:rsidRPr="004F47BB">
        <w:rPr>
          <w:szCs w:val="20"/>
          <w:lang w:val="en-US"/>
        </w:rPr>
        <w:tab/>
      </w:r>
      <w:r w:rsidRPr="004F47BB">
        <w:rPr>
          <w:noProof/>
          <w:lang w:val="en-US"/>
        </w:rPr>
        <w:t xml:space="preserve">Calculation of </w:t>
      </w: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IST</m:t>
                </m:r>
              </m:sub>
            </m:sSub>
          </m:sub>
        </m:sSub>
      </m:oMath>
      <w:r w:rsidRPr="004F47BB">
        <w:rPr>
          <w:szCs w:val="20"/>
          <w:lang w:val="en-US"/>
        </w:rPr>
        <w:t xml:space="preserve"> using formula (b) and the result of (c), (d), (e) and (f) </w:t>
      </w:r>
    </w:p>
    <w:p w:rsidR="004F47BB" w:rsidRPr="004F47BB" w:rsidRDefault="004F47BB" w:rsidP="004F47BB">
      <w:pPr>
        <w:tabs>
          <w:tab w:val="left" w:pos="284"/>
          <w:tab w:val="left" w:pos="454"/>
        </w:tabs>
        <w:overflowPunct w:val="0"/>
        <w:adjustRightInd w:val="0"/>
        <w:spacing w:line="240" w:lineRule="exact"/>
        <w:ind w:left="284" w:hanging="284"/>
        <w:jc w:val="left"/>
        <w:textAlignment w:val="baseline"/>
        <w:rPr>
          <w:szCs w:val="20"/>
          <w:lang w:val="en-US"/>
        </w:rPr>
      </w:pPr>
    </w:p>
    <w:p w:rsidR="004F47BB" w:rsidRPr="004F47BB" w:rsidRDefault="00F12BAF" w:rsidP="004F47BB">
      <w:pPr>
        <w:tabs>
          <w:tab w:val="left" w:pos="992"/>
        </w:tabs>
        <w:overflowPunct w:val="0"/>
        <w:adjustRightInd w:val="0"/>
        <w:spacing w:line="240" w:lineRule="atLeast"/>
        <w:ind w:left="992" w:firstLine="1"/>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IST</m:t>
                  </m:r>
                </m:sub>
              </m:sSub>
            </m:sub>
          </m:sSub>
          <m:r>
            <w:rPr>
              <w:rFonts w:ascii="Cambria Math" w:hAnsi="Cambria Math"/>
              <w:szCs w:val="20"/>
              <w:lang w:val="en-US"/>
            </w:rPr>
            <m:t xml:space="preserve">= </m:t>
          </m:r>
          <m:f>
            <m:fPr>
              <m:ctrlPr>
                <w:rPr>
                  <w:rFonts w:ascii="Cambria Math" w:hAnsi="Cambria Math"/>
                  <w:i/>
                  <w:szCs w:val="20"/>
                  <w:lang w:val="en-US"/>
                </w:rPr>
              </m:ctrlPr>
            </m:fPr>
            <m:num>
              <m:r>
                <w:rPr>
                  <w:rFonts w:ascii="Cambria Math" w:hAnsi="Cambria Math"/>
                  <w:szCs w:val="20"/>
                  <w:lang w:val="en-US"/>
                </w:rPr>
                <m:t xml:space="preserve">0,12 ∙8,35 ∙9,81 ∙  </m:t>
              </m:r>
              <m:d>
                <m:dPr>
                  <m:ctrlPr>
                    <w:rPr>
                      <w:rFonts w:ascii="Cambria Math" w:hAnsi="Cambria Math"/>
                      <w:i/>
                      <w:szCs w:val="20"/>
                      <w:lang w:val="en-US"/>
                    </w:rPr>
                  </m:ctrlPr>
                </m:dPr>
                <m:e>
                  <m:r>
                    <w:rPr>
                      <w:rFonts w:ascii="Cambria Math" w:hAnsi="Cambria Math"/>
                      <w:szCs w:val="20"/>
                      <w:lang w:val="en-US"/>
                    </w:rPr>
                    <m:t xml:space="preserve">0,48+ </m:t>
                  </m:r>
                  <m:f>
                    <m:fPr>
                      <m:ctrlPr>
                        <w:rPr>
                          <w:rFonts w:ascii="Cambria Math" w:hAnsi="Cambria Math"/>
                          <w:i/>
                          <w:szCs w:val="20"/>
                          <w:lang w:val="en-US"/>
                        </w:rPr>
                      </m:ctrlPr>
                    </m:fPr>
                    <m:num>
                      <m:r>
                        <w:rPr>
                          <w:rFonts w:ascii="Cambria Math" w:hAnsi="Cambria Math"/>
                          <w:szCs w:val="20"/>
                          <w:lang w:val="en-US"/>
                        </w:rPr>
                        <m:t>1,4</m:t>
                      </m:r>
                    </m:num>
                    <m:den>
                      <m:r>
                        <w:rPr>
                          <w:rFonts w:ascii="Cambria Math" w:hAnsi="Cambria Math"/>
                          <w:szCs w:val="20"/>
                          <w:lang w:val="en-US"/>
                        </w:rPr>
                        <m:t>2,89</m:t>
                      </m:r>
                    </m:den>
                  </m:f>
                </m:e>
              </m:d>
            </m:num>
            <m:den>
              <m:r>
                <w:rPr>
                  <w:rFonts w:ascii="Cambria Math" w:hAnsi="Cambria Math"/>
                  <w:szCs w:val="20"/>
                  <w:lang w:val="en-US"/>
                </w:rPr>
                <m:t>1,15 ∙177+35,4-15,02</m:t>
              </m:r>
            </m:den>
          </m:f>
          <m:r>
            <w:rPr>
              <w:rFonts w:ascii="Cambria Math" w:hAnsi="Cambria Math"/>
              <w:szCs w:val="20"/>
              <w:lang w:val="en-US"/>
            </w:rPr>
            <m:t xml:space="preserve"> ∙ 9568</m:t>
          </m:r>
        </m:oMath>
      </m:oMathPara>
    </w:p>
    <w:p w:rsidR="004F47BB" w:rsidRPr="004F47BB" w:rsidRDefault="004F47BB" w:rsidP="004F47BB">
      <w:pPr>
        <w:tabs>
          <w:tab w:val="left" w:pos="1418"/>
        </w:tabs>
        <w:overflowPunct w:val="0"/>
        <w:adjustRightInd w:val="0"/>
        <w:spacing w:line="240" w:lineRule="atLeast"/>
        <w:ind w:left="1417"/>
        <w:jc w:val="left"/>
        <w:textAlignment w:val="baseline"/>
        <w:rPr>
          <w:szCs w:val="20"/>
          <w:lang w:val="en-US"/>
        </w:rPr>
      </w:pPr>
    </w:p>
    <w:p w:rsidR="004F47BB" w:rsidRPr="004F47BB" w:rsidRDefault="00F12BAF" w:rsidP="004F47BB">
      <w:pPr>
        <w:tabs>
          <w:tab w:val="left" w:pos="992"/>
        </w:tabs>
        <w:overflowPunct w:val="0"/>
        <w:adjustRightInd w:val="0"/>
        <w:spacing w:line="240" w:lineRule="atLeast"/>
        <w:ind w:left="992"/>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IST</m:t>
                  </m:r>
                </m:sub>
              </m:sSub>
            </m:sub>
          </m:sSub>
          <m:r>
            <w:rPr>
              <w:rFonts w:ascii="Cambria Math" w:hAnsi="Cambria Math"/>
              <w:szCs w:val="20"/>
              <w:lang w:val="en-US"/>
            </w:rPr>
            <m:t>=</m:t>
          </m:r>
          <m:r>
            <m:rPr>
              <m:sty m:val="bi"/>
            </m:rPr>
            <w:rPr>
              <w:rFonts w:ascii="Cambria Math" w:hAnsi="Cambria Math"/>
              <w:szCs w:val="20"/>
              <w:lang w:val="en-US"/>
            </w:rPr>
            <m:t>402 m</m:t>
          </m:r>
        </m:oMath>
      </m:oMathPara>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r w:rsidRPr="004F47BB">
        <w:rPr>
          <w:szCs w:val="20"/>
          <w:lang w:val="en-US"/>
        </w:rPr>
        <w:t>h)</w:t>
      </w:r>
      <w:r w:rsidRPr="004F47BB">
        <w:rPr>
          <w:szCs w:val="20"/>
          <w:lang w:val="en-US"/>
        </w:rPr>
        <w:tab/>
        <w:t>Calculation of the total distance according to formula (3.1)</w:t>
      </w:r>
    </w:p>
    <w:p w:rsidR="004F47BB" w:rsidRPr="004F47BB" w:rsidRDefault="004F47BB" w:rsidP="004F47BB">
      <w:pPr>
        <w:tabs>
          <w:tab w:val="left" w:pos="284"/>
        </w:tabs>
        <w:overflowPunct w:val="0"/>
        <w:adjustRightInd w:val="0"/>
        <w:spacing w:line="240" w:lineRule="exact"/>
        <w:ind w:left="284" w:hanging="284"/>
        <w:jc w:val="left"/>
        <w:textAlignment w:val="baseline"/>
        <w:rPr>
          <w:szCs w:val="20"/>
          <w:lang w:val="en-US"/>
        </w:rPr>
      </w:pPr>
    </w:p>
    <w:p w:rsidR="004F47BB" w:rsidRPr="004F47BB" w:rsidRDefault="00F12BAF" w:rsidP="004F47BB">
      <w:pPr>
        <w:tabs>
          <w:tab w:val="left" w:pos="992"/>
        </w:tabs>
        <w:overflowPunct w:val="0"/>
        <w:adjustRightInd w:val="0"/>
        <w:spacing w:line="240" w:lineRule="atLeast"/>
        <w:ind w:left="992"/>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m:t>
                  </m:r>
                </m:e>
                <m:sub>
                  <m:r>
                    <w:rPr>
                      <w:rFonts w:ascii="Cambria Math" w:hAnsi="Cambria Math"/>
                      <w:szCs w:val="20"/>
                      <w:lang w:val="en-US"/>
                    </w:rPr>
                    <m:t>IST</m:t>
                  </m:r>
                </m:sub>
              </m:sSub>
            </m:sub>
          </m:sSub>
          <m:r>
            <w:rPr>
              <w:rFonts w:ascii="Cambria Math" w:hAnsi="Cambria Math"/>
              <w:szCs w:val="20"/>
              <w:lang w:val="en-US"/>
            </w:rPr>
            <m:t>=73+402=</m:t>
          </m:r>
          <m:r>
            <m:rPr>
              <m:sty m:val="bi"/>
            </m:rPr>
            <w:rPr>
              <w:rFonts w:ascii="Cambria Math" w:hAnsi="Cambria Math"/>
              <w:szCs w:val="20"/>
              <w:lang w:val="en-US"/>
            </w:rPr>
            <m:t>475 m</m:t>
          </m:r>
        </m:oMath>
      </m:oMathPara>
    </w:p>
    <w:p w:rsidR="004F47BB" w:rsidRPr="004F47BB" w:rsidRDefault="004F47BB" w:rsidP="004F47BB">
      <w:pPr>
        <w:tabs>
          <w:tab w:val="left" w:pos="28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567"/>
        </w:tabs>
        <w:overflowPunct w:val="0"/>
        <w:adjustRightInd w:val="0"/>
        <w:spacing w:line="240" w:lineRule="atLeast"/>
        <w:ind w:left="567" w:hanging="567"/>
        <w:textAlignment w:val="baseline"/>
        <w:rPr>
          <w:b/>
          <w:bCs/>
          <w:position w:val="6"/>
          <w:szCs w:val="20"/>
          <w:lang w:val="en-US"/>
        </w:rPr>
      </w:pPr>
      <w:r w:rsidRPr="004F47BB">
        <w:rPr>
          <w:b/>
          <w:szCs w:val="20"/>
          <w:lang w:val="en-US"/>
        </w:rPr>
        <w:t>4.3</w:t>
      </w:r>
      <w:r w:rsidRPr="004F47BB">
        <w:rPr>
          <w:b/>
          <w:szCs w:val="20"/>
          <w:lang w:val="en-US"/>
        </w:rPr>
        <w:tab/>
        <w:t xml:space="preserve">Calculation of </w:t>
      </w: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SOLL</m:t>
            </m:r>
          </m:sub>
        </m:sSub>
      </m:oMath>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567"/>
        </w:tabs>
        <w:overflowPunct w:val="0"/>
        <w:adjustRightInd w:val="0"/>
        <w:spacing w:line="240" w:lineRule="atLeast"/>
        <w:ind w:left="567" w:firstLine="0"/>
        <w:textAlignment w:val="baseline"/>
        <w:rPr>
          <w:szCs w:val="20"/>
          <w:lang w:val="en-US"/>
        </w:rPr>
      </w:pPr>
      <w:r w:rsidRPr="004F47BB">
        <w:rPr>
          <w:szCs w:val="20"/>
          <w:lang w:val="en-US"/>
        </w:rPr>
        <w:t xml:space="preserve">Initial values: </w:t>
      </w:r>
    </w:p>
    <w:p w:rsidR="004F47BB" w:rsidRPr="004F47BB" w:rsidRDefault="004F47BB" w:rsidP="004F47BB">
      <w:pPr>
        <w:tabs>
          <w:tab w:val="left" w:pos="284"/>
        </w:tabs>
        <w:overflowPunct w:val="0"/>
        <w:adjustRightInd w:val="0"/>
        <w:spacing w:line="240" w:lineRule="exact"/>
        <w:ind w:left="284" w:hanging="284"/>
        <w:jc w:val="left"/>
        <w:textAlignment w:val="baseline"/>
        <w:rPr>
          <w:szCs w:val="20"/>
          <w:lang w:val="en-US"/>
        </w:rPr>
      </w:pPr>
    </w:p>
    <w:p w:rsidR="004F47BB" w:rsidRPr="004F47BB" w:rsidRDefault="00F12BAF" w:rsidP="004F47BB">
      <w:pPr>
        <w:tabs>
          <w:tab w:val="left" w:pos="567"/>
          <w:tab w:val="left" w:pos="1701"/>
          <w:tab w:val="left" w:pos="1985"/>
          <w:tab w:val="left" w:pos="2835"/>
          <w:tab w:val="left" w:pos="4962"/>
          <w:tab w:val="left" w:pos="5812"/>
          <w:tab w:val="left" w:pos="6096"/>
          <w:tab w:val="left" w:pos="6663"/>
          <w:tab w:val="left" w:pos="7088"/>
        </w:tabs>
        <w:overflowPunct w:val="0"/>
        <w:adjustRightInd w:val="0"/>
        <w:spacing w:line="240" w:lineRule="atLeast"/>
        <w:ind w:left="567" w:firstLine="0"/>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STR</m:t>
                </m:r>
              </m:e>
              <m:sub>
                <m:r>
                  <w:rPr>
                    <w:rFonts w:ascii="Cambria Math" w:hAnsi="Cambria Math"/>
                    <w:szCs w:val="20"/>
                    <w:lang w:val="en-US"/>
                  </w:rPr>
                  <m:t>SOLL</m:t>
                </m:r>
              </m:sub>
            </m:sSub>
          </m:sub>
        </m:sSub>
        <m:r>
          <w:rPr>
            <w:rFonts w:ascii="Cambria Math" w:hAnsi="Cambria Math"/>
            <w:szCs w:val="20"/>
            <w:lang w:val="en-US"/>
          </w:rPr>
          <m:t>=1,5 m/s  ≈  5,4  km/h</m:t>
        </m:r>
      </m:oMath>
      <w:r w:rsidR="004F47BB"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SOLL</m:t>
            </m:r>
          </m:sub>
        </m:sSub>
      </m:oMath>
      <w:r w:rsidR="004F47BB" w:rsidRPr="004F47BB">
        <w:rPr>
          <w:szCs w:val="20"/>
          <w:lang w:val="en-US"/>
        </w:rPr>
        <w:t xml:space="preserve"> = </w:t>
      </w:r>
      <m:oMath>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IST</m:t>
            </m:r>
          </m:sub>
        </m:sSub>
        <m:r>
          <w:rPr>
            <w:rFonts w:ascii="Cambria Math" w:hAnsi="Cambria Math"/>
            <w:szCs w:val="20"/>
            <w:lang w:val="en-US"/>
          </w:rPr>
          <m:t xml:space="preserve">=9568 </m:t>
        </m:r>
        <m:sSup>
          <m:sSupPr>
            <m:ctrlPr>
              <w:rPr>
                <w:rFonts w:ascii="Cambria Math" w:hAnsi="Cambria Math"/>
                <w:i/>
                <w:szCs w:val="20"/>
                <w:lang w:val="en-US"/>
              </w:rPr>
            </m:ctrlPr>
          </m:sSupPr>
          <m:e>
            <m:r>
              <w:rPr>
                <w:rFonts w:ascii="Cambria Math" w:hAnsi="Cambria Math"/>
                <w:szCs w:val="20"/>
                <w:lang w:val="en-US"/>
              </w:rPr>
              <m:t>m</m:t>
            </m:r>
          </m:e>
          <m:sup>
            <m:r>
              <w:rPr>
                <w:rFonts w:ascii="Cambria Math" w:hAnsi="Cambria Math"/>
                <w:szCs w:val="20"/>
                <w:lang w:val="en-US"/>
              </w:rPr>
              <m:t>3</m:t>
            </m:r>
          </m:sup>
        </m:sSup>
      </m:oMath>
    </w:p>
    <w:p w:rsidR="004F47BB" w:rsidRPr="004F47BB" w:rsidRDefault="004F47BB" w:rsidP="004F47BB">
      <w:pPr>
        <w:tabs>
          <w:tab w:val="left" w:pos="284"/>
          <w:tab w:val="left" w:pos="1418"/>
          <w:tab w:val="left" w:pos="2552"/>
        </w:tabs>
        <w:overflowPunct w:val="0"/>
        <w:adjustRightInd w:val="0"/>
        <w:spacing w:line="240" w:lineRule="exact"/>
        <w:ind w:left="0" w:firstLine="0"/>
        <w:jc w:val="left"/>
        <w:textAlignment w:val="baseline"/>
        <w:rPr>
          <w:szCs w:val="20"/>
          <w:lang w:val="en-US"/>
        </w:rPr>
      </w:pPr>
    </w:p>
    <w:p w:rsidR="004F47BB" w:rsidRPr="004F47BB" w:rsidRDefault="00F12BAF" w:rsidP="004F47BB">
      <w:pPr>
        <w:tabs>
          <w:tab w:val="left" w:pos="567"/>
          <w:tab w:val="left" w:pos="1701"/>
          <w:tab w:val="left" w:pos="1985"/>
          <w:tab w:val="left" w:pos="2835"/>
          <w:tab w:val="left" w:pos="4962"/>
          <w:tab w:val="left" w:pos="5812"/>
          <w:tab w:val="left" w:pos="6096"/>
          <w:tab w:val="left" w:pos="6663"/>
          <w:tab w:val="left" w:pos="7088"/>
        </w:tabs>
        <w:overflowPunct w:val="0"/>
        <w:adjustRightInd w:val="0"/>
        <w:spacing w:line="240" w:lineRule="atLeast"/>
        <w:ind w:left="567" w:firstLine="0"/>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SOLL</m:t>
                </m:r>
              </m:sub>
            </m:sSub>
          </m:sub>
        </m:sSub>
        <m:r>
          <w:rPr>
            <w:rFonts w:ascii="Cambria Math" w:hAnsi="Cambria Math"/>
            <w:szCs w:val="20"/>
            <w:lang w:val="en-US"/>
          </w:rPr>
          <m:t>=3,6 m/s  ≈  13  km/h</m:t>
        </m:r>
      </m:oMath>
      <w:r w:rsidR="004F47BB"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SOLL</m:t>
            </m:r>
          </m:sub>
        </m:sSub>
      </m:oMath>
      <w:r w:rsidR="004F47BB" w:rsidRPr="004F47BB">
        <w:rPr>
          <w:szCs w:val="20"/>
          <w:lang w:val="en-US"/>
        </w:rPr>
        <w:t xml:space="preserve"> = </w:t>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IST</m:t>
            </m:r>
          </m:sub>
        </m:sSub>
        <m:r>
          <w:rPr>
            <w:rFonts w:ascii="Cambria Math" w:hAnsi="Cambria Math"/>
            <w:szCs w:val="20"/>
            <w:lang w:val="en-US"/>
          </w:rPr>
          <m:t>=2,96 m</m:t>
        </m:r>
      </m:oMath>
    </w:p>
    <w:p w:rsidR="004F47BB" w:rsidRPr="004F47BB" w:rsidRDefault="004F47BB" w:rsidP="004F47BB">
      <w:pPr>
        <w:tabs>
          <w:tab w:val="left" w:pos="567"/>
          <w:tab w:val="left" w:pos="1701"/>
          <w:tab w:val="left" w:pos="1985"/>
          <w:tab w:val="left" w:pos="2835"/>
          <w:tab w:val="left" w:pos="4962"/>
          <w:tab w:val="left" w:pos="5812"/>
          <w:tab w:val="left" w:pos="6096"/>
          <w:tab w:val="left" w:pos="6663"/>
          <w:tab w:val="left" w:pos="7088"/>
        </w:tabs>
        <w:overflowPunct w:val="0"/>
        <w:adjustRightInd w:val="0"/>
        <w:spacing w:line="240" w:lineRule="atLeast"/>
        <w:ind w:left="567" w:firstLine="0"/>
        <w:textAlignment w:val="baseline"/>
        <w:rPr>
          <w:szCs w:val="20"/>
          <w:lang w:val="en-US"/>
        </w:rPr>
      </w:pPr>
    </w:p>
    <w:p w:rsidR="004F47BB" w:rsidRPr="004F47BB" w:rsidRDefault="00F12BAF" w:rsidP="004F47BB">
      <w:pPr>
        <w:tabs>
          <w:tab w:val="left" w:pos="567"/>
        </w:tabs>
        <w:overflowPunct w:val="0"/>
        <w:adjustRightInd w:val="0"/>
        <w:spacing w:line="240" w:lineRule="atLeast"/>
        <w:ind w:left="567" w:firstLine="0"/>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L</m:t>
                  </m:r>
                </m:e>
                <m:sub>
                  <m:r>
                    <w:rPr>
                      <w:rFonts w:ascii="Cambria Math" w:hAnsi="Cambria Math"/>
                      <w:szCs w:val="20"/>
                      <w:lang w:val="en-US"/>
                    </w:rPr>
                    <m:t>SOLL</m:t>
                  </m:r>
                </m:sub>
              </m:sSub>
            </m:sub>
          </m:sSub>
          <m:r>
            <w:rPr>
              <w:rFonts w:ascii="Cambria Math" w:hAnsi="Cambria Math"/>
              <w:szCs w:val="20"/>
              <w:lang w:val="en-US"/>
            </w:rPr>
            <m:t>=5,1 m/s  ≈  18,4  km/h</m:t>
          </m:r>
        </m:oMath>
      </m:oMathPara>
    </w:p>
    <w:p w:rsidR="004F47BB" w:rsidRPr="004F47BB" w:rsidRDefault="004F47BB" w:rsidP="004F47BB">
      <w:pPr>
        <w:tabs>
          <w:tab w:val="left" w:pos="567"/>
          <w:tab w:val="left" w:pos="1701"/>
          <w:tab w:val="left" w:pos="1985"/>
          <w:tab w:val="left" w:pos="2835"/>
          <w:tab w:val="left" w:pos="4962"/>
          <w:tab w:val="left" w:pos="5812"/>
          <w:tab w:val="left" w:pos="6096"/>
          <w:tab w:val="left" w:pos="6663"/>
          <w:tab w:val="left" w:pos="7088"/>
        </w:tabs>
        <w:overflowPunct w:val="0"/>
        <w:adjustRightInd w:val="0"/>
        <w:spacing w:line="240" w:lineRule="atLeast"/>
        <w:ind w:left="567" w:firstLine="0"/>
        <w:textAlignment w:val="baseline"/>
        <w:rPr>
          <w:szCs w:val="20"/>
          <w:lang w:val="en-US"/>
        </w:rPr>
      </w:pPr>
    </w:p>
    <w:p w:rsidR="004F47BB" w:rsidRPr="004F47BB" w:rsidRDefault="004F47BB" w:rsidP="004F47BB">
      <w:pPr>
        <w:tabs>
          <w:tab w:val="left" w:pos="992"/>
          <w:tab w:val="left" w:pos="1843"/>
          <w:tab w:val="left" w:pos="2127"/>
        </w:tabs>
        <w:overflowPunct w:val="0"/>
        <w:adjustRightInd w:val="0"/>
        <w:spacing w:line="240" w:lineRule="atLeast"/>
        <w:ind w:left="992"/>
        <w:textAlignment w:val="baseline"/>
        <w:rPr>
          <w:szCs w:val="20"/>
          <w:lang w:val="en-GB"/>
        </w:rPr>
      </w:pPr>
      <w:r w:rsidRPr="004F47BB">
        <w:rPr>
          <w:szCs w:val="20"/>
          <w:lang w:val="en-GB"/>
        </w:rPr>
        <w:t>a)</w:t>
      </w:r>
      <w:r w:rsidRPr="004F47BB">
        <w:rPr>
          <w:szCs w:val="20"/>
          <w:lang w:val="en-GB"/>
        </w:rPr>
        <w:tab/>
      </w: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m:t>
                </m:r>
              </m:e>
              <m:sub>
                <m:r>
                  <w:rPr>
                    <w:rFonts w:ascii="Cambria Math" w:hAnsi="Cambria Math"/>
                    <w:szCs w:val="20"/>
                    <w:lang w:val="en-US"/>
                  </w:rPr>
                  <m:t>SOLL</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1</m:t>
            </m:r>
          </m:sub>
        </m:sSub>
        <m:r>
          <w:rPr>
            <w:rFonts w:ascii="Cambria Math" w:hAnsi="Cambria Math"/>
            <w:szCs w:val="20"/>
            <w:lang w:val="en-US"/>
          </w:rPr>
          <m:t xml:space="preserve"> ∙ </m:t>
        </m:r>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L</m:t>
                </m:r>
              </m:e>
              <m:sub>
                <m:r>
                  <w:rPr>
                    <w:rFonts w:ascii="Cambria Math" w:hAnsi="Cambria Math"/>
                    <w:szCs w:val="20"/>
                    <w:lang w:val="en-US"/>
                  </w:rPr>
                  <m:t>SOLL</m:t>
                </m:r>
              </m:sub>
            </m:sSub>
          </m:sub>
        </m:sSub>
        <m:r>
          <w:rPr>
            <w:rFonts w:ascii="Cambria Math" w:hAnsi="Cambria Math"/>
            <w:szCs w:val="20"/>
            <w:lang w:val="en-US"/>
          </w:rPr>
          <m:t xml:space="preserve"> ∙ </m:t>
        </m:r>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I</m:t>
            </m:r>
          </m:sub>
        </m:sSub>
      </m:oMath>
    </w:p>
    <w:p w:rsidR="004F47BB" w:rsidRPr="004F47BB" w:rsidRDefault="004F47BB" w:rsidP="004F47BB">
      <w:pPr>
        <w:tabs>
          <w:tab w:val="left" w:pos="284"/>
          <w:tab w:val="left" w:pos="851"/>
          <w:tab w:val="left" w:pos="1134"/>
          <w:tab w:val="left" w:pos="3261"/>
        </w:tabs>
        <w:overflowPunct w:val="0"/>
        <w:adjustRightInd w:val="0"/>
        <w:spacing w:line="240" w:lineRule="exact"/>
        <w:ind w:left="284" w:hanging="284"/>
        <w:jc w:val="left"/>
        <w:textAlignment w:val="baseline"/>
        <w:rPr>
          <w:szCs w:val="20"/>
          <w:lang w:val="en-GB"/>
        </w:rPr>
      </w:pPr>
    </w:p>
    <w:p w:rsidR="004F47BB" w:rsidRPr="004F47BB" w:rsidRDefault="00F12BAF" w:rsidP="004F47BB">
      <w:pPr>
        <w:tabs>
          <w:tab w:val="left" w:pos="992"/>
          <w:tab w:val="left" w:pos="1843"/>
          <w:tab w:val="left" w:pos="2127"/>
        </w:tabs>
        <w:overflowPunct w:val="0"/>
        <w:adjustRightInd w:val="0"/>
        <w:spacing w:line="240" w:lineRule="atLeast"/>
        <w:ind w:left="992" w:firstLine="1"/>
        <w:textAlignment w:val="baseline"/>
        <w:rPr>
          <w:szCs w:val="20"/>
          <w:lang w:val="en-GB"/>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m:t>
                  </m:r>
                </m:e>
                <m:sub>
                  <m:r>
                    <w:rPr>
                      <w:rFonts w:ascii="Cambria Math" w:hAnsi="Cambria Math"/>
                      <w:szCs w:val="20"/>
                      <w:lang w:val="en-US"/>
                    </w:rPr>
                    <m:t>SOLL</m:t>
                  </m:r>
                </m:sub>
              </m:sSub>
            </m:sub>
          </m:sSub>
          <m:r>
            <w:rPr>
              <w:rFonts w:ascii="Cambria Math" w:hAnsi="Cambria Math"/>
              <w:szCs w:val="20"/>
              <w:lang w:val="en-US"/>
            </w:rPr>
            <m:t>=0,95 ∙5,1 ∙16=</m:t>
          </m:r>
          <m:r>
            <m:rPr>
              <m:sty m:val="bi"/>
            </m:rPr>
            <w:rPr>
              <w:rFonts w:ascii="Cambria Math" w:hAnsi="Cambria Math"/>
              <w:szCs w:val="20"/>
              <w:lang w:val="en-US"/>
            </w:rPr>
            <m:t>77,50 m</m:t>
          </m:r>
        </m:oMath>
      </m:oMathPara>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1843"/>
          <w:tab w:val="left" w:pos="2127"/>
          <w:tab w:val="center" w:pos="5103"/>
          <w:tab w:val="left" w:pos="6804"/>
          <w:tab w:val="center" w:pos="7938"/>
        </w:tabs>
        <w:overflowPunct w:val="0"/>
        <w:adjustRightInd w:val="0"/>
        <w:spacing w:line="240" w:lineRule="atLeast"/>
        <w:ind w:left="992"/>
        <w:textAlignment w:val="baseline"/>
        <w:rPr>
          <w:szCs w:val="20"/>
          <w:lang w:val="en-US"/>
        </w:rPr>
      </w:pPr>
      <w:r w:rsidRPr="004F47BB">
        <w:rPr>
          <w:szCs w:val="20"/>
          <w:lang w:val="en-US"/>
        </w:rPr>
        <w:t>b)</w:t>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2</m:t>
            </m:r>
          </m:sub>
        </m:sSub>
        <m:r>
          <w:rPr>
            <w:rFonts w:ascii="Cambria Math" w:hAnsi="Cambria Math"/>
            <w:szCs w:val="20"/>
            <w:lang w:val="en-US"/>
          </w:rPr>
          <m:t xml:space="preserve"> ∙ </m:t>
        </m:r>
        <m:sSub>
          <m:sSubPr>
            <m:ctrlPr>
              <w:rPr>
                <w:rFonts w:ascii="Cambria Math" w:hAnsi="Cambria Math"/>
                <w:i/>
                <w:szCs w:val="20"/>
                <w:lang w:val="en-US"/>
              </w:rPr>
            </m:ctrlPr>
          </m:sSubPr>
          <m:e>
            <m:sSup>
              <m:sSupPr>
                <m:ctrlPr>
                  <w:rPr>
                    <w:rFonts w:ascii="Cambria Math" w:hAnsi="Cambria Math"/>
                    <w:i/>
                    <w:szCs w:val="20"/>
                    <w:lang w:val="en-US"/>
                  </w:rPr>
                </m:ctrlPr>
              </m:sSupPr>
              <m:e>
                <m:r>
                  <w:rPr>
                    <w:rFonts w:ascii="Cambria Math" w:hAnsi="Cambria Math"/>
                    <w:szCs w:val="20"/>
                    <w:lang w:val="en-US"/>
                  </w:rPr>
                  <m:t>v</m:t>
                </m:r>
              </m:e>
              <m:sup>
                <m:r>
                  <w:rPr>
                    <w:rFonts w:ascii="Cambria Math" w:hAnsi="Cambria Math"/>
                    <w:szCs w:val="20"/>
                    <w:lang w:val="en-US"/>
                  </w:rPr>
                  <m:t>2</m:t>
                </m:r>
              </m:sup>
            </m:sSup>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r>
          <w:rPr>
            <w:rFonts w:ascii="Cambria Math" w:hAnsi="Cambria Math"/>
            <w:szCs w:val="20"/>
            <w:lang w:val="en-US"/>
          </w:rPr>
          <m:t xml:space="preserve"> ∙ </m:t>
        </m:r>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SOLL</m:t>
                </m:r>
              </m:sub>
            </m:sSub>
            <m:r>
              <w:rPr>
                <w:rFonts w:ascii="Cambria Math" w:hAnsi="Cambria Math"/>
                <w:szCs w:val="20"/>
                <w:lang w:val="en-US"/>
              </w:rPr>
              <m:t xml:space="preserve"> ∙  g</m:t>
            </m:r>
          </m:num>
          <m:den>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3</m:t>
                </m:r>
              </m:sub>
            </m:sSub>
            <m:r>
              <w:rPr>
                <w:rFonts w:ascii="Cambria Math" w:hAnsi="Cambria Math"/>
                <w:szCs w:val="20"/>
                <w:lang w:val="en-US"/>
              </w:rPr>
              <m:t xml:space="preserve"> ∙ </m:t>
            </m:r>
            <m:sSub>
              <m:sSubPr>
                <m:ctrlPr>
                  <w:rPr>
                    <w:rFonts w:ascii="Cambria Math" w:hAnsi="Cambria Math"/>
                    <w:i/>
                    <w:szCs w:val="20"/>
                    <w:lang w:val="en-US"/>
                  </w:rPr>
                </m:ctrlPr>
              </m:sSubPr>
              <m:e>
                <m:r>
                  <w:rPr>
                    <w:rFonts w:ascii="Cambria Math" w:hAnsi="Cambria Math"/>
                    <w:szCs w:val="20"/>
                    <w:lang w:val="en-US"/>
                  </w:rPr>
                  <m:t>F</m:t>
                </m:r>
              </m:e>
              <m:sub>
                <m:r>
                  <w:rPr>
                    <w:rFonts w:ascii="Cambria Math" w:hAnsi="Cambria Math"/>
                    <w:szCs w:val="20"/>
                    <w:lang w:val="en-US"/>
                  </w:rPr>
                  <m:t>POR</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R</m:t>
                </m:r>
              </m:e>
              <m:sub>
                <m:sSub>
                  <m:sSubPr>
                    <m:ctrlPr>
                      <w:rPr>
                        <w:rFonts w:ascii="Cambria Math" w:hAnsi="Cambria Math"/>
                        <w:i/>
                        <w:szCs w:val="20"/>
                        <w:lang w:val="en-US"/>
                      </w:rPr>
                    </m:ctrlPr>
                  </m:sSubPr>
                  <m:e>
                    <m:r>
                      <w:rPr>
                        <w:rFonts w:ascii="Cambria Math" w:hAnsi="Cambria Math"/>
                        <w:szCs w:val="20"/>
                        <w:lang w:val="en-US"/>
                      </w:rPr>
                      <m:t>TmII</m:t>
                    </m:r>
                  </m:e>
                  <m:sub>
                    <m:r>
                      <w:rPr>
                        <w:rFonts w:ascii="Cambria Math" w:hAnsi="Cambria Math"/>
                        <w:szCs w:val="20"/>
                        <w:lang w:val="en-US"/>
                      </w:rPr>
                      <m:t>SOLL</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G</m:t>
                </m:r>
              </m:sub>
            </m:sSub>
          </m:den>
        </m:f>
        <m:r>
          <w:rPr>
            <w:rFonts w:ascii="Cambria Math" w:hAnsi="Cambria Math"/>
            <w:szCs w:val="20"/>
            <w:lang w:val="en-US"/>
          </w:rPr>
          <m:t xml:space="preserve"> ∙ </m:t>
        </m:r>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k</m:t>
                </m:r>
              </m:e>
              <m:sub>
                <m:r>
                  <w:rPr>
                    <w:rFonts w:ascii="Cambria Math" w:hAnsi="Cambria Math"/>
                    <w:szCs w:val="20"/>
                    <w:lang w:val="en-US"/>
                  </w:rPr>
                  <m:t>4</m:t>
                </m:r>
              </m:sub>
            </m:sSub>
            <m:r>
              <w:rPr>
                <w:rFonts w:ascii="Cambria Math" w:hAnsi="Cambria Math"/>
                <w:szCs w:val="20"/>
                <w:lang w:val="en-US"/>
              </w:rPr>
              <m:t xml:space="preserve">+ </m:t>
            </m:r>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STR</m:t>
                        </m:r>
                      </m:e>
                      <m:sub>
                        <m:r>
                          <w:rPr>
                            <w:rFonts w:ascii="Cambria Math" w:hAnsi="Cambria Math"/>
                            <w:szCs w:val="20"/>
                            <w:lang w:val="en-US"/>
                          </w:rPr>
                          <m:t>SOLL</m:t>
                        </m:r>
                      </m:sub>
                    </m:sSub>
                  </m:sub>
                </m:sSub>
              </m:num>
              <m:den>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den>
            </m:f>
          </m:e>
        </m:d>
      </m:oMath>
    </w:p>
    <w:p w:rsidR="004F47BB" w:rsidRPr="004F47BB" w:rsidRDefault="004F47BB" w:rsidP="004F47BB">
      <w:pPr>
        <w:tabs>
          <w:tab w:val="left" w:pos="28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28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284"/>
        </w:tabs>
        <w:overflowPunct w:val="0"/>
        <w:adjustRightInd w:val="0"/>
        <w:spacing w:line="240" w:lineRule="exact"/>
        <w:ind w:left="284" w:hanging="284"/>
        <w:jc w:val="left"/>
        <w:textAlignment w:val="baseline"/>
        <w:rPr>
          <w:szCs w:val="20"/>
          <w:lang w:val="en-US"/>
        </w:rPr>
      </w:pPr>
      <w:r w:rsidRPr="004F47BB">
        <w:rPr>
          <w:szCs w:val="20"/>
          <w:lang w:val="en-US"/>
        </w:rPr>
        <w:br w:type="page"/>
      </w:r>
    </w:p>
    <w:p w:rsidR="004F47BB" w:rsidRPr="004F47BB" w:rsidRDefault="004F47BB" w:rsidP="004F47BB">
      <w:pPr>
        <w:tabs>
          <w:tab w:val="left" w:pos="992"/>
        </w:tabs>
        <w:overflowPunct w:val="0"/>
        <w:adjustRightInd w:val="0"/>
        <w:spacing w:before="60" w:line="240" w:lineRule="atLeast"/>
        <w:ind w:left="992"/>
        <w:textAlignment w:val="baseline"/>
        <w:rPr>
          <w:szCs w:val="20"/>
          <w:lang w:val="en-US"/>
        </w:rPr>
      </w:pPr>
      <w:r w:rsidRPr="004F47BB">
        <w:rPr>
          <w:szCs w:val="20"/>
          <w:lang w:val="en-US"/>
        </w:rPr>
        <w:lastRenderedPageBreak/>
        <w:t>c)</w:t>
      </w:r>
      <w:r w:rsidRPr="004F47BB">
        <w:rPr>
          <w:szCs w:val="20"/>
          <w:lang w:val="en-US"/>
        </w:rPr>
        <w:tab/>
        <w:t xml:space="preserve">Calculation of </w:t>
      </w: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TmII</m:t>
                </m:r>
              </m:sub>
            </m:sSub>
          </m:e>
          <m:sub>
            <m:r>
              <w:rPr>
                <w:rFonts w:ascii="Cambria Math" w:hAnsi="Cambria Math"/>
                <w:noProof/>
                <w:lang w:val="en-US"/>
              </w:rPr>
              <m:t>SOLL</m:t>
            </m:r>
          </m:sub>
        </m:sSub>
      </m:oMath>
    </w:p>
    <w:p w:rsidR="004F47BB" w:rsidRPr="004F47BB" w:rsidRDefault="004F47BB" w:rsidP="004F47BB">
      <w:pPr>
        <w:tabs>
          <w:tab w:val="left" w:pos="28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3686"/>
        </w:tabs>
        <w:overflowPunct w:val="0"/>
        <w:adjustRightInd w:val="0"/>
        <w:spacing w:line="240" w:lineRule="atLeast"/>
        <w:ind w:left="993" w:hanging="1"/>
        <w:jc w:val="left"/>
        <w:textAlignment w:val="baseline"/>
        <w:rPr>
          <w:szCs w:val="20"/>
          <w:lang w:val="en-US"/>
        </w:rPr>
      </w:pPr>
      <w:r w:rsidRPr="004F47BB">
        <w:rPr>
          <w:szCs w:val="20"/>
          <w:vertAlign w:val="superscript"/>
          <w:lang w:val="en-US"/>
        </w:rPr>
        <w:tab/>
      </w:r>
      <m:oMath>
        <m:f>
          <m:fPr>
            <m:ctrlPr>
              <w:rPr>
                <w:rFonts w:ascii="Cambria Math" w:hAnsi="Cambria Math"/>
                <w:i/>
                <w:szCs w:val="20"/>
                <w:lang w:val="en-GB"/>
              </w:rPr>
            </m:ctrlPr>
          </m:fPr>
          <m:num>
            <m:sSub>
              <m:sSubPr>
                <m:ctrlPr>
                  <w:rPr>
                    <w:rFonts w:ascii="Cambria Math" w:hAnsi="Cambria Math"/>
                    <w:i/>
                    <w:szCs w:val="20"/>
                    <w:lang w:val="en-GB"/>
                  </w:rPr>
                </m:ctrlPr>
              </m:sSubPr>
              <m:e>
                <m:r>
                  <w:rPr>
                    <w:rFonts w:ascii="Cambria Math" w:hAnsi="Cambria Math"/>
                    <w:szCs w:val="20"/>
                    <w:lang w:val="en-GB"/>
                  </w:rPr>
                  <m:t>R</m:t>
                </m:r>
              </m:e>
              <m:sub>
                <m:r>
                  <w:rPr>
                    <w:rFonts w:ascii="Cambria Math" w:hAnsi="Cambria Math"/>
                    <w:szCs w:val="20"/>
                    <w:lang w:val="en-GB"/>
                  </w:rPr>
                  <m:t>T</m:t>
                </m:r>
              </m:sub>
            </m:sSub>
          </m:num>
          <m:den>
            <m:sSup>
              <m:sSupPr>
                <m:ctrlPr>
                  <w:rPr>
                    <w:rFonts w:ascii="Cambria Math" w:hAnsi="Cambria Math"/>
                    <w:i/>
                    <w:szCs w:val="20"/>
                    <w:lang w:val="en-GB"/>
                  </w:rPr>
                </m:ctrlPr>
              </m:sSupPr>
              <m:e>
                <m:r>
                  <w:rPr>
                    <w:rFonts w:ascii="Cambria Math" w:hAnsi="Cambria Math"/>
                    <w:szCs w:val="20"/>
                    <w:lang w:val="en-GB"/>
                  </w:rPr>
                  <m:t>v</m:t>
                </m:r>
              </m:e>
              <m:sup>
                <m:r>
                  <w:rPr>
                    <w:rFonts w:ascii="Cambria Math" w:hAnsi="Cambria Math"/>
                    <w:szCs w:val="20"/>
                    <w:lang w:val="en-GB"/>
                  </w:rPr>
                  <m:t>2</m:t>
                </m:r>
              </m:sup>
            </m:sSup>
          </m:den>
        </m:f>
        <m:r>
          <w:rPr>
            <w:rFonts w:ascii="Cambria Math" w:hAnsi="Cambria Math"/>
            <w:szCs w:val="20"/>
            <w:lang w:val="en-GB"/>
          </w:rPr>
          <m:t xml:space="preserve">=14,0 </m:t>
        </m:r>
        <m:d>
          <m:dPr>
            <m:ctrlPr>
              <w:rPr>
                <w:rFonts w:ascii="Cambria Math" w:hAnsi="Cambria Math"/>
                <w:i/>
                <w:szCs w:val="20"/>
                <w:lang w:val="en-GB"/>
              </w:rPr>
            </m:ctrlPr>
          </m:dPr>
          <m:e>
            <m:f>
              <m:fPr>
                <m:ctrlPr>
                  <w:rPr>
                    <w:rFonts w:ascii="Cambria Math" w:hAnsi="Cambria Math"/>
                    <w:i/>
                    <w:szCs w:val="20"/>
                    <w:lang w:val="en-GB"/>
                  </w:rPr>
                </m:ctrlPr>
              </m:fPr>
              <m:num>
                <m:r>
                  <w:rPr>
                    <w:rFonts w:ascii="Cambria Math" w:hAnsi="Cambria Math"/>
                    <w:szCs w:val="20"/>
                    <w:lang w:val="en-GB"/>
                  </w:rPr>
                  <m:t xml:space="preserve">kN ∙ </m:t>
                </m:r>
                <m:sSup>
                  <m:sSupPr>
                    <m:ctrlPr>
                      <w:rPr>
                        <w:rFonts w:ascii="Cambria Math" w:hAnsi="Cambria Math"/>
                        <w:i/>
                        <w:szCs w:val="20"/>
                        <w:lang w:val="en-GB"/>
                      </w:rPr>
                    </m:ctrlPr>
                  </m:sSupPr>
                  <m:e>
                    <m:r>
                      <w:rPr>
                        <w:rFonts w:ascii="Cambria Math" w:hAnsi="Cambria Math"/>
                        <w:szCs w:val="20"/>
                        <w:lang w:val="en-GB"/>
                      </w:rPr>
                      <m:t>s</m:t>
                    </m:r>
                  </m:e>
                  <m:sup>
                    <m:r>
                      <w:rPr>
                        <w:rFonts w:ascii="Cambria Math" w:hAnsi="Cambria Math"/>
                        <w:szCs w:val="20"/>
                        <w:lang w:val="en-GB"/>
                      </w:rPr>
                      <m:t>2</m:t>
                    </m:r>
                  </m:sup>
                </m:sSup>
              </m:num>
              <m:den>
                <m:sSup>
                  <m:sSupPr>
                    <m:ctrlPr>
                      <w:rPr>
                        <w:rFonts w:ascii="Cambria Math" w:hAnsi="Cambria Math"/>
                        <w:i/>
                        <w:szCs w:val="20"/>
                        <w:lang w:val="en-GB"/>
                      </w:rPr>
                    </m:ctrlPr>
                  </m:sSupPr>
                  <m:e>
                    <m:r>
                      <w:rPr>
                        <w:rFonts w:ascii="Cambria Math" w:hAnsi="Cambria Math"/>
                        <w:szCs w:val="20"/>
                        <w:lang w:val="en-GB"/>
                      </w:rPr>
                      <m:t>m</m:t>
                    </m:r>
                  </m:e>
                  <m:sup>
                    <m:r>
                      <w:rPr>
                        <w:rFonts w:ascii="Cambria Math" w:hAnsi="Cambria Math"/>
                        <w:szCs w:val="20"/>
                        <w:lang w:val="en-GB"/>
                      </w:rPr>
                      <m:t>2</m:t>
                    </m:r>
                  </m:sup>
                </m:sSup>
              </m:den>
            </m:f>
          </m:e>
        </m:d>
      </m:oMath>
      <w:r w:rsidRPr="004F47BB">
        <w:rPr>
          <w:szCs w:val="20"/>
          <w:lang w:val="en-US"/>
        </w:rPr>
        <w:tab/>
        <w:t xml:space="preserve">as under (4.2) since </w:t>
      </w:r>
      <m:oMath>
        <m:r>
          <w:rPr>
            <w:rFonts w:ascii="Cambria Math" w:hAnsi="Cambria Math"/>
            <w:szCs w:val="20"/>
            <w:lang w:val="en-US"/>
          </w:rPr>
          <m:t>B</m:t>
        </m:r>
      </m:oMath>
      <w:r w:rsidRPr="004F47BB">
        <w:rPr>
          <w:szCs w:val="20"/>
          <w:lang w:val="en-US"/>
        </w:rPr>
        <w:t xml:space="preserve">, </w:t>
      </w:r>
      <m:oMath>
        <m:r>
          <w:rPr>
            <w:rFonts w:ascii="Cambria Math" w:hAnsi="Cambria Math"/>
            <w:szCs w:val="20"/>
            <w:lang w:val="en-US"/>
          </w:rPr>
          <m:t>D</m:t>
        </m:r>
      </m:oMath>
      <w:r w:rsidRPr="004F47BB">
        <w:rPr>
          <w:szCs w:val="20"/>
          <w:lang w:val="en-US"/>
        </w:rPr>
        <w:t xml:space="preserve"> and </w:t>
      </w:r>
      <m:oMath>
        <m:r>
          <w:rPr>
            <w:rFonts w:ascii="Cambria Math" w:hAnsi="Cambria Math"/>
            <w:szCs w:val="20"/>
            <w:lang w:val="en-US"/>
          </w:rPr>
          <m:t>T</m:t>
        </m:r>
      </m:oMath>
      <w:r w:rsidRPr="004F47BB">
        <w:rPr>
          <w:szCs w:val="20"/>
          <w:lang w:val="en-US"/>
        </w:rPr>
        <w:t xml:space="preserve"> and unchanged</w:t>
      </w:r>
    </w:p>
    <w:p w:rsidR="004F47BB" w:rsidRPr="004F47BB" w:rsidRDefault="004F47BB" w:rsidP="004F47BB">
      <w:pPr>
        <w:tabs>
          <w:tab w:val="center" w:pos="3119"/>
        </w:tabs>
        <w:overflowPunct w:val="0"/>
        <w:adjustRightInd w:val="0"/>
        <w:spacing w:line="240" w:lineRule="exact"/>
        <w:ind w:left="0" w:firstLine="0"/>
        <w:jc w:val="left"/>
        <w:textAlignment w:val="baseline"/>
        <w:rPr>
          <w:szCs w:val="20"/>
          <w:lang w:val="en-US"/>
        </w:rPr>
      </w:pPr>
    </w:p>
    <w:p w:rsidR="004F47BB" w:rsidRPr="004F47BB" w:rsidRDefault="00F12BAF" w:rsidP="004F47BB">
      <w:pPr>
        <w:overflowPunct w:val="0"/>
        <w:adjustRightInd w:val="0"/>
        <w:spacing w:line="240" w:lineRule="atLeast"/>
        <w:ind w:left="992"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L</m:t>
                  </m:r>
                </m:e>
                <m:sub>
                  <m:r>
                    <w:rPr>
                      <w:rFonts w:ascii="Cambria Math" w:hAnsi="Cambria Math"/>
                      <w:szCs w:val="20"/>
                      <w:lang w:val="en-US"/>
                    </w:rPr>
                    <m:t>SOLL</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STR</m:t>
                  </m:r>
                </m:e>
                <m:sub>
                  <m:r>
                    <w:rPr>
                      <w:rFonts w:ascii="Cambria Math" w:hAnsi="Cambria Math"/>
                      <w:szCs w:val="20"/>
                      <w:lang w:val="en-US"/>
                    </w:rPr>
                    <m:t>SOLL</m:t>
                  </m:r>
                </m:sub>
              </m:sSub>
            </m:sub>
          </m:sSub>
          <m:r>
            <w:rPr>
              <w:rFonts w:ascii="Cambria Math" w:hAnsi="Cambria Math"/>
              <w:szCs w:val="20"/>
              <w:lang w:val="en-US"/>
            </w:rPr>
            <m:t xml:space="preserve">=3,6 </m:t>
          </m:r>
          <m:d>
            <m:dPr>
              <m:begChr m:val="["/>
              <m:endChr m:val="]"/>
              <m:ctrlPr>
                <w:rPr>
                  <w:rFonts w:ascii="Cambria Math" w:hAnsi="Cambria Math"/>
                  <w:i/>
                  <w:szCs w:val="20"/>
                  <w:lang w:val="en-US"/>
                </w:rPr>
              </m:ctrlPr>
            </m:dPr>
            <m:e>
              <m:r>
                <w:rPr>
                  <w:rFonts w:ascii="Cambria Math" w:hAnsi="Cambria Math"/>
                  <w:szCs w:val="20"/>
                  <w:lang w:val="en-US"/>
                </w:rPr>
                <m:t>m/s</m:t>
              </m:r>
            </m:e>
          </m:d>
        </m:oMath>
      </m:oMathPara>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de-DE"/>
        </w:rPr>
      </w:pPr>
    </w:p>
    <w:p w:rsidR="004F47BB" w:rsidRPr="004F47BB" w:rsidRDefault="00F12BAF" w:rsidP="004F47BB">
      <w:pPr>
        <w:overflowPunct w:val="0"/>
        <w:adjustRightInd w:val="0"/>
        <w:spacing w:line="240" w:lineRule="atLeast"/>
        <w:ind w:left="993" w:firstLine="0"/>
        <w:jc w:val="left"/>
        <w:textAlignment w:val="baseline"/>
        <w:rPr>
          <w:szCs w:val="20"/>
          <w:lang w:val="en-US"/>
        </w:rPr>
      </w:pPr>
      <m:oMathPara>
        <m:oMathParaPr>
          <m:jc m:val="left"/>
        </m:oMathParaPr>
        <m:oMath>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TmII</m:t>
                  </m:r>
                </m:sub>
              </m:sSub>
            </m:e>
            <m:sub>
              <m:r>
                <w:rPr>
                  <w:rFonts w:ascii="Cambria Math" w:hAnsi="Cambria Math"/>
                  <w:noProof/>
                  <w:lang w:val="en-US"/>
                </w:rPr>
                <m:t>SOLL</m:t>
              </m:r>
            </m:sub>
          </m:sSub>
          <m:r>
            <w:rPr>
              <w:rFonts w:ascii="Cambria Math" w:hAnsi="Cambria Math"/>
              <w:noProof/>
              <w:lang w:val="en-US"/>
            </w:rPr>
            <m:t xml:space="preserve">= 14,0 ∙ </m:t>
          </m:r>
          <m:sSup>
            <m:sSupPr>
              <m:ctrlPr>
                <w:rPr>
                  <w:rFonts w:ascii="Cambria Math" w:hAnsi="Cambria Math"/>
                  <w:i/>
                  <w:noProof/>
                  <w:lang w:val="en-US"/>
                </w:rPr>
              </m:ctrlPr>
            </m:sSupPr>
            <m:e>
              <m:d>
                <m:dPr>
                  <m:ctrlPr>
                    <w:rPr>
                      <w:rFonts w:ascii="Cambria Math" w:hAnsi="Cambria Math"/>
                      <w:i/>
                      <w:noProof/>
                      <w:lang w:val="en-US"/>
                    </w:rPr>
                  </m:ctrlPr>
                </m:dPr>
                <m:e>
                  <m:r>
                    <w:rPr>
                      <w:rFonts w:ascii="Cambria Math" w:hAnsi="Cambria Math"/>
                      <w:noProof/>
                      <w:lang w:val="en-US"/>
                    </w:rPr>
                    <m:t>0,55 ∙0,85 ∙3,6</m:t>
                  </m:r>
                </m:e>
              </m:d>
            </m:e>
            <m:sup>
              <m:r>
                <w:rPr>
                  <w:rFonts w:ascii="Cambria Math" w:hAnsi="Cambria Math"/>
                  <w:noProof/>
                  <w:lang w:val="en-US"/>
                </w:rPr>
                <m:t>2</m:t>
              </m:r>
            </m:sup>
          </m:sSup>
          <m:r>
            <w:rPr>
              <w:rFonts w:ascii="Cambria Math" w:hAnsi="Cambria Math"/>
              <w:noProof/>
              <w:lang w:val="en-US"/>
            </w:rPr>
            <m:t>=</m:t>
          </m:r>
          <m:r>
            <m:rPr>
              <m:sty m:val="bi"/>
            </m:rPr>
            <w:rPr>
              <w:rFonts w:ascii="Cambria Math" w:hAnsi="Cambria Math"/>
              <w:noProof/>
              <w:lang w:val="en-US"/>
            </w:rPr>
            <m:t xml:space="preserve">39,6 </m:t>
          </m:r>
          <m:d>
            <m:dPr>
              <m:begChr m:val="["/>
              <m:endChr m:val="]"/>
              <m:ctrlPr>
                <w:rPr>
                  <w:rFonts w:ascii="Cambria Math" w:hAnsi="Cambria Math"/>
                  <w:b/>
                  <w:i/>
                  <w:noProof/>
                  <w:lang w:val="en-US"/>
                </w:rPr>
              </m:ctrlPr>
            </m:dPr>
            <m:e>
              <m:r>
                <m:rPr>
                  <m:sty m:val="bi"/>
                </m:rPr>
                <w:rPr>
                  <w:rFonts w:ascii="Cambria Math" w:hAnsi="Cambria Math"/>
                  <w:noProof/>
                  <w:lang w:val="en-US"/>
                </w:rPr>
                <m:t>kN</m:t>
              </m:r>
            </m:e>
          </m:d>
        </m:oMath>
      </m:oMathPara>
    </w:p>
    <w:p w:rsidR="004F47BB" w:rsidRPr="004F47BB" w:rsidRDefault="004F47BB" w:rsidP="004F47BB">
      <w:pPr>
        <w:tabs>
          <w:tab w:val="left" w:pos="454"/>
          <w:tab w:val="left" w:pos="1418"/>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992"/>
        </w:tabs>
        <w:overflowPunct w:val="0"/>
        <w:adjustRightInd w:val="0"/>
        <w:spacing w:before="60" w:line="240" w:lineRule="atLeast"/>
        <w:ind w:left="992"/>
        <w:textAlignment w:val="baseline"/>
        <w:rPr>
          <w:szCs w:val="20"/>
          <w:lang w:val="en-US"/>
        </w:rPr>
      </w:pPr>
      <w:r w:rsidRPr="004F47BB">
        <w:rPr>
          <w:szCs w:val="20"/>
          <w:lang w:val="en-US"/>
        </w:rPr>
        <w:t>d)</w:t>
      </w:r>
      <w:r w:rsidRPr="004F47BB">
        <w:rPr>
          <w:szCs w:val="20"/>
          <w:lang w:val="en-US"/>
        </w:rPr>
        <w:tab/>
        <w:t xml:space="preserve">Resistance due to gradient </w:t>
      </w:r>
      <m:oMath>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G</m:t>
            </m:r>
          </m:sub>
        </m:sSub>
      </m:oMath>
      <w:r w:rsidRPr="004F47BB">
        <w:rPr>
          <w:szCs w:val="20"/>
          <w:lang w:val="en-US"/>
        </w:rPr>
        <w:t xml:space="preserve"> as under (4.2)</w:t>
      </w:r>
    </w:p>
    <w:p w:rsidR="004F47BB" w:rsidRPr="004F47BB" w:rsidRDefault="004F47BB" w:rsidP="004F47BB">
      <w:pPr>
        <w:tabs>
          <w:tab w:val="left" w:pos="28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992"/>
        </w:tabs>
        <w:overflowPunct w:val="0"/>
        <w:adjustRightInd w:val="0"/>
        <w:spacing w:before="60" w:line="240" w:lineRule="atLeast"/>
        <w:ind w:left="992"/>
        <w:textAlignment w:val="baseline"/>
        <w:rPr>
          <w:szCs w:val="20"/>
          <w:lang w:val="en-US"/>
        </w:rPr>
      </w:pPr>
      <w:r w:rsidRPr="004F47BB">
        <w:rPr>
          <w:szCs w:val="20"/>
          <w:lang w:val="en-US"/>
        </w:rPr>
        <w:t>e)</w:t>
      </w:r>
      <w:r w:rsidRPr="004F47BB">
        <w:rPr>
          <w:szCs w:val="20"/>
          <w:lang w:val="en-US"/>
        </w:rPr>
        <w:tab/>
        <w:t xml:space="preserve">Calculation of </w:t>
      </w:r>
      <m:oMath>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oMath>
    </w:p>
    <w:p w:rsidR="004F47BB" w:rsidRPr="004F47BB" w:rsidRDefault="004F47BB" w:rsidP="004F47BB">
      <w:pPr>
        <w:tabs>
          <w:tab w:val="left" w:pos="284"/>
        </w:tabs>
        <w:overflowPunct w:val="0"/>
        <w:adjustRightInd w:val="0"/>
        <w:spacing w:line="240" w:lineRule="exact"/>
        <w:ind w:left="284" w:hanging="284"/>
        <w:jc w:val="left"/>
        <w:textAlignment w:val="baseline"/>
        <w:rPr>
          <w:szCs w:val="20"/>
          <w:lang w:val="en-US"/>
        </w:rPr>
      </w:pPr>
    </w:p>
    <w:p w:rsidR="004F47BB" w:rsidRPr="004F47BB" w:rsidRDefault="00F12BAF" w:rsidP="004F47BB">
      <w:pPr>
        <w:tabs>
          <w:tab w:val="left" w:pos="993"/>
        </w:tabs>
        <w:overflowPunct w:val="0"/>
        <w:adjustRightInd w:val="0"/>
        <w:spacing w:line="240" w:lineRule="atLeast"/>
        <w:ind w:left="993" w:firstLine="0"/>
        <w:jc w:val="left"/>
        <w:textAlignment w:val="baseline"/>
        <w:rPr>
          <w:szCs w:val="20"/>
          <w:lang w:val="en-GB"/>
        </w:rPr>
      </w:pPr>
      <m:oMath>
        <m:sSub>
          <m:sSubPr>
            <m:ctrlPr>
              <w:rPr>
                <w:rFonts w:ascii="Cambria Math" w:hAnsi="Cambria Math"/>
                <w:i/>
                <w:szCs w:val="20"/>
                <w:lang w:val="en-US"/>
              </w:rPr>
            </m:ctrlPr>
          </m:sSubPr>
          <m:e>
            <m:r>
              <w:rPr>
                <w:rFonts w:ascii="Cambria Math" w:hAnsi="Cambria Math"/>
                <w:szCs w:val="20"/>
                <w:lang w:val="en-US"/>
              </w:rPr>
              <m:t>v</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r>
          <w:rPr>
            <w:rFonts w:ascii="Cambria Math" w:hAnsi="Cambria Math"/>
            <w:szCs w:val="20"/>
            <w:lang w:val="en-US"/>
          </w:rPr>
          <m:t>= 0,85 ∙3,6=</m:t>
        </m:r>
        <m:r>
          <m:rPr>
            <m:sty m:val="bi"/>
          </m:rPr>
          <w:rPr>
            <w:rFonts w:ascii="Cambria Math" w:hAnsi="Cambria Math"/>
            <w:szCs w:val="20"/>
            <w:lang w:val="en-US"/>
          </w:rPr>
          <m:t>3,06</m:t>
        </m:r>
        <m:r>
          <w:rPr>
            <w:rFonts w:ascii="Cambria Math" w:hAnsi="Cambria Math"/>
            <w:szCs w:val="20"/>
            <w:lang w:val="en-US"/>
          </w:rPr>
          <m:t xml:space="preserve"> </m:t>
        </m:r>
        <m:d>
          <m:dPr>
            <m:begChr m:val="["/>
            <m:endChr m:val="]"/>
            <m:ctrlPr>
              <w:rPr>
                <w:rFonts w:ascii="Cambria Math" w:hAnsi="Cambria Math"/>
                <w:i/>
                <w:szCs w:val="20"/>
                <w:lang w:val="en-US"/>
              </w:rPr>
            </m:ctrlPr>
          </m:dPr>
          <m:e>
            <m:r>
              <w:rPr>
                <w:rFonts w:ascii="Cambria Math" w:hAnsi="Cambria Math"/>
                <w:szCs w:val="20"/>
                <w:lang w:val="en-US"/>
              </w:rPr>
              <m:t>m/s</m:t>
            </m:r>
          </m:e>
        </m:d>
      </m:oMath>
      <w:r w:rsidR="004F47BB" w:rsidRPr="004F47BB">
        <w:rPr>
          <w:szCs w:val="20"/>
          <w:lang w:val="en-US"/>
        </w:rPr>
        <w:t xml:space="preserve">, </w:t>
      </w:r>
      <m:oMath>
        <m:sSub>
          <m:sSubPr>
            <m:ctrlPr>
              <w:rPr>
                <w:rFonts w:ascii="Cambria Math" w:hAnsi="Cambria Math"/>
                <w:i/>
                <w:szCs w:val="20"/>
                <w:lang w:val="en-US"/>
              </w:rPr>
            </m:ctrlPr>
          </m:sSubPr>
          <m:e>
            <m:sSup>
              <m:sSupPr>
                <m:ctrlPr>
                  <w:rPr>
                    <w:rFonts w:ascii="Cambria Math" w:hAnsi="Cambria Math"/>
                    <w:i/>
                    <w:szCs w:val="20"/>
                    <w:lang w:val="en-US"/>
                  </w:rPr>
                </m:ctrlPr>
              </m:sSupPr>
              <m:e>
                <m:r>
                  <w:rPr>
                    <w:rFonts w:ascii="Cambria Math" w:hAnsi="Cambria Math"/>
                    <w:szCs w:val="20"/>
                    <w:lang w:val="en-US"/>
                  </w:rPr>
                  <m:t>v</m:t>
                </m:r>
              </m:e>
              <m:sup>
                <m:r>
                  <w:rPr>
                    <w:rFonts w:ascii="Cambria Math" w:hAnsi="Cambria Math"/>
                    <w:szCs w:val="20"/>
                    <w:lang w:val="en-US"/>
                  </w:rPr>
                  <m:t>2</m:t>
                </m:r>
              </m:sup>
            </m:sSup>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r>
          <w:rPr>
            <w:rFonts w:ascii="Cambria Math" w:hAnsi="Cambria Math"/>
            <w:szCs w:val="20"/>
            <w:lang w:val="en-US"/>
          </w:rPr>
          <m:t xml:space="preserve">=9,36 </m:t>
        </m:r>
        <m:sSup>
          <m:sSupPr>
            <m:ctrlPr>
              <w:rPr>
                <w:rFonts w:ascii="Cambria Math" w:hAnsi="Cambria Math"/>
                <w:i/>
                <w:szCs w:val="20"/>
                <w:lang w:val="en-US"/>
              </w:rPr>
            </m:ctrlPr>
          </m:sSupPr>
          <m:e>
            <m:d>
              <m:dPr>
                <m:begChr m:val="["/>
                <m:endChr m:val="]"/>
                <m:ctrlPr>
                  <w:rPr>
                    <w:rFonts w:ascii="Cambria Math" w:hAnsi="Cambria Math"/>
                    <w:i/>
                    <w:szCs w:val="20"/>
                    <w:lang w:val="en-US"/>
                  </w:rPr>
                </m:ctrlPr>
              </m:dPr>
              <m:e>
                <m:r>
                  <w:rPr>
                    <w:rFonts w:ascii="Cambria Math" w:hAnsi="Cambria Math"/>
                    <w:szCs w:val="20"/>
                    <w:lang w:val="en-US"/>
                  </w:rPr>
                  <m:t>m/s</m:t>
                </m:r>
              </m:e>
            </m:d>
          </m:e>
          <m:sup>
            <m:r>
              <w:rPr>
                <w:rFonts w:ascii="Cambria Math" w:hAnsi="Cambria Math"/>
                <w:szCs w:val="20"/>
                <w:lang w:val="en-US"/>
              </w:rPr>
              <m:t>2</m:t>
            </m:r>
          </m:sup>
        </m:sSup>
      </m:oMath>
    </w:p>
    <w:p w:rsidR="004F47BB" w:rsidRPr="004F47BB" w:rsidRDefault="004F47BB" w:rsidP="004F47BB">
      <w:pPr>
        <w:tabs>
          <w:tab w:val="left" w:pos="0"/>
        </w:tabs>
        <w:overflowPunct w:val="0"/>
        <w:adjustRightInd w:val="0"/>
        <w:spacing w:line="240" w:lineRule="atLeast"/>
        <w:ind w:left="454" w:hanging="454"/>
        <w:jc w:val="left"/>
        <w:textAlignment w:val="baseline"/>
        <w:rPr>
          <w:szCs w:val="20"/>
          <w:lang w:val="en-GB"/>
        </w:rPr>
      </w:pPr>
    </w:p>
    <w:p w:rsidR="004F47BB" w:rsidRPr="004F47BB" w:rsidRDefault="004F47BB" w:rsidP="004F47BB">
      <w:pPr>
        <w:tabs>
          <w:tab w:val="left" w:pos="992"/>
        </w:tabs>
        <w:overflowPunct w:val="0"/>
        <w:adjustRightInd w:val="0"/>
        <w:spacing w:before="60" w:line="240" w:lineRule="atLeast"/>
        <w:ind w:left="992"/>
        <w:textAlignment w:val="baseline"/>
        <w:rPr>
          <w:szCs w:val="20"/>
          <w:lang w:val="en-US"/>
        </w:rPr>
      </w:pPr>
      <w:r w:rsidRPr="004F47BB">
        <w:rPr>
          <w:szCs w:val="20"/>
          <w:lang w:val="en-US"/>
        </w:rPr>
        <w:t>f)</w:t>
      </w:r>
      <w:r w:rsidRPr="004F47BB">
        <w:rPr>
          <w:szCs w:val="20"/>
          <w:lang w:val="en-US"/>
        </w:rPr>
        <w:tab/>
      </w:r>
      <m:oMath>
        <m:sSub>
          <m:sSubPr>
            <m:ctrlPr>
              <w:rPr>
                <w:rFonts w:ascii="Cambria Math" w:hAnsi="Cambria Math"/>
                <w:i/>
                <w:szCs w:val="20"/>
                <w:lang w:val="en-US"/>
              </w:rPr>
            </m:ctrlPr>
          </m:sSubPr>
          <m:e>
            <m:r>
              <w:rPr>
                <w:rFonts w:ascii="Cambria Math" w:hAnsi="Cambria Math"/>
                <w:szCs w:val="20"/>
                <w:lang w:val="en-US"/>
              </w:rPr>
              <m:t>F</m:t>
            </m:r>
          </m:e>
          <m:sub>
            <m:r>
              <w:rPr>
                <w:rFonts w:ascii="Cambria Math" w:hAnsi="Cambria Math"/>
                <w:szCs w:val="20"/>
                <w:lang w:val="en-US"/>
              </w:rPr>
              <m:t>POR</m:t>
            </m:r>
          </m:sub>
        </m:sSub>
      </m:oMath>
      <w:r w:rsidRPr="004F47BB">
        <w:rPr>
          <w:position w:val="-6"/>
          <w:sz w:val="16"/>
          <w:szCs w:val="20"/>
          <w:lang w:val="en-US"/>
        </w:rPr>
        <w:t xml:space="preserve"> </w:t>
      </w:r>
      <w:r w:rsidRPr="004F47BB">
        <w:rPr>
          <w:szCs w:val="20"/>
          <w:lang w:val="en-US"/>
        </w:rPr>
        <w:t xml:space="preserve"> as under (4.2)</w:t>
      </w:r>
    </w:p>
    <w:p w:rsidR="004F47BB" w:rsidRPr="004F47BB" w:rsidRDefault="004F47BB" w:rsidP="004F47BB">
      <w:pPr>
        <w:tabs>
          <w:tab w:val="left" w:pos="284"/>
        </w:tabs>
        <w:overflowPunct w:val="0"/>
        <w:adjustRightInd w:val="0"/>
        <w:spacing w:line="240" w:lineRule="exact"/>
        <w:ind w:left="284" w:hanging="284"/>
        <w:jc w:val="left"/>
        <w:textAlignment w:val="baseline"/>
        <w:rPr>
          <w:szCs w:val="20"/>
          <w:lang w:val="en-US"/>
        </w:rPr>
      </w:pPr>
    </w:p>
    <w:p w:rsidR="004F47BB" w:rsidRPr="004F47BB" w:rsidRDefault="004F47BB" w:rsidP="004F47BB">
      <w:pPr>
        <w:tabs>
          <w:tab w:val="left" w:pos="992"/>
        </w:tabs>
        <w:overflowPunct w:val="0"/>
        <w:adjustRightInd w:val="0"/>
        <w:spacing w:before="60" w:line="240" w:lineRule="atLeast"/>
        <w:ind w:left="992"/>
        <w:textAlignment w:val="baseline"/>
        <w:rPr>
          <w:szCs w:val="20"/>
          <w:lang w:val="en-US"/>
        </w:rPr>
      </w:pPr>
      <w:r w:rsidRPr="004F47BB">
        <w:rPr>
          <w:szCs w:val="20"/>
          <w:lang w:val="en-US"/>
        </w:rPr>
        <w:t>g)</w:t>
      </w:r>
      <w:r w:rsidRPr="004F47BB">
        <w:rPr>
          <w:szCs w:val="20"/>
          <w:lang w:val="en-US"/>
        </w:rPr>
        <w:tab/>
        <w:t xml:space="preserve">Calculation of </w:t>
      </w: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oMath>
      <w:r w:rsidRPr="004F47BB">
        <w:rPr>
          <w:position w:val="-6"/>
          <w:szCs w:val="20"/>
          <w:lang w:val="en-US"/>
        </w:rPr>
        <w:t xml:space="preserve"> </w:t>
      </w:r>
      <w:r w:rsidRPr="004F47BB">
        <w:rPr>
          <w:szCs w:val="20"/>
          <w:lang w:val="en-US"/>
        </w:rPr>
        <w:t>using formula (b) and the result of (c) to (f)</w:t>
      </w:r>
    </w:p>
    <w:p w:rsidR="004F47BB" w:rsidRPr="004F47BB" w:rsidRDefault="004F47BB" w:rsidP="004F47BB">
      <w:pPr>
        <w:tabs>
          <w:tab w:val="left" w:pos="284"/>
        </w:tabs>
        <w:overflowPunct w:val="0"/>
        <w:adjustRightInd w:val="0"/>
        <w:spacing w:line="240" w:lineRule="exact"/>
        <w:ind w:left="284" w:hanging="284"/>
        <w:jc w:val="left"/>
        <w:textAlignment w:val="baseline"/>
        <w:rPr>
          <w:szCs w:val="20"/>
          <w:lang w:val="en-US"/>
        </w:rPr>
      </w:pPr>
    </w:p>
    <w:p w:rsidR="004F47BB" w:rsidRPr="004F47BB" w:rsidRDefault="00F12BAF" w:rsidP="004F47BB">
      <w:pPr>
        <w:overflowPunct w:val="0"/>
        <w:adjustRightInd w:val="0"/>
        <w:spacing w:line="240" w:lineRule="atLeast"/>
        <w:ind w:left="992"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r>
            <w:rPr>
              <w:rFonts w:ascii="Cambria Math" w:hAnsi="Cambria Math"/>
              <w:szCs w:val="20"/>
              <w:lang w:val="en-US"/>
            </w:rPr>
            <m:t xml:space="preserve">=  </m:t>
          </m:r>
          <m:f>
            <m:fPr>
              <m:ctrlPr>
                <w:rPr>
                  <w:rFonts w:ascii="Cambria Math" w:hAnsi="Cambria Math"/>
                  <w:i/>
                  <w:szCs w:val="20"/>
                  <w:lang w:val="en-US"/>
                </w:rPr>
              </m:ctrlPr>
            </m:fPr>
            <m:num>
              <m:r>
                <w:rPr>
                  <w:rFonts w:ascii="Cambria Math" w:hAnsi="Cambria Math"/>
                  <w:szCs w:val="20"/>
                  <w:lang w:val="en-US"/>
                </w:rPr>
                <m:t xml:space="preserve">0,12 ∙9,36 ∙9,81 ∙ </m:t>
              </m:r>
              <m:d>
                <m:dPr>
                  <m:ctrlPr>
                    <w:rPr>
                      <w:rFonts w:ascii="Cambria Math" w:hAnsi="Cambria Math"/>
                      <w:i/>
                      <w:szCs w:val="20"/>
                      <w:lang w:val="en-US"/>
                    </w:rPr>
                  </m:ctrlPr>
                </m:dPr>
                <m:e>
                  <m:r>
                    <w:rPr>
                      <w:rFonts w:ascii="Cambria Math" w:hAnsi="Cambria Math"/>
                      <w:szCs w:val="20"/>
                      <w:lang w:val="en-US"/>
                    </w:rPr>
                    <m:t xml:space="preserve">0,48+ </m:t>
                  </m:r>
                  <m:f>
                    <m:fPr>
                      <m:ctrlPr>
                        <w:rPr>
                          <w:rFonts w:ascii="Cambria Math" w:hAnsi="Cambria Math"/>
                          <w:i/>
                          <w:szCs w:val="20"/>
                          <w:lang w:val="en-US"/>
                        </w:rPr>
                      </m:ctrlPr>
                    </m:fPr>
                    <m:num>
                      <m:r>
                        <w:rPr>
                          <w:rFonts w:ascii="Cambria Math" w:hAnsi="Cambria Math"/>
                          <w:szCs w:val="20"/>
                          <w:lang w:val="en-US"/>
                        </w:rPr>
                        <m:t>1,5</m:t>
                      </m:r>
                    </m:num>
                    <m:den>
                      <m:r>
                        <w:rPr>
                          <w:rFonts w:ascii="Cambria Math" w:hAnsi="Cambria Math"/>
                          <w:szCs w:val="20"/>
                          <w:lang w:val="en-US"/>
                        </w:rPr>
                        <m:t>3,06</m:t>
                      </m:r>
                    </m:den>
                  </m:f>
                </m:e>
              </m:d>
            </m:num>
            <m:den>
              <m:r>
                <w:rPr>
                  <w:rFonts w:ascii="Cambria Math" w:hAnsi="Cambria Math"/>
                  <w:szCs w:val="20"/>
                  <w:lang w:val="en-US"/>
                </w:rPr>
                <m:t>1,15 ∙177+39,6-15,02</m:t>
              </m:r>
            </m:den>
          </m:f>
          <m:r>
            <w:rPr>
              <w:rFonts w:ascii="Cambria Math" w:hAnsi="Cambria Math"/>
              <w:szCs w:val="20"/>
              <w:lang w:val="en-US"/>
            </w:rPr>
            <m:t xml:space="preserve"> ∙9568</m:t>
          </m:r>
        </m:oMath>
      </m:oMathPara>
    </w:p>
    <w:p w:rsidR="004F47BB" w:rsidRPr="004F47BB" w:rsidRDefault="004F47BB" w:rsidP="004F47BB">
      <w:pPr>
        <w:tabs>
          <w:tab w:val="left" w:pos="993"/>
          <w:tab w:val="left" w:pos="1701"/>
          <w:tab w:val="left" w:pos="2127"/>
        </w:tabs>
        <w:overflowPunct w:val="0"/>
        <w:adjustRightInd w:val="0"/>
        <w:spacing w:line="240" w:lineRule="exact"/>
        <w:ind w:left="993" w:firstLine="0"/>
        <w:jc w:val="left"/>
        <w:textAlignment w:val="baseline"/>
        <w:rPr>
          <w:szCs w:val="20"/>
          <w:lang w:val="en-US"/>
        </w:rPr>
      </w:pPr>
      <w:r w:rsidRPr="004F47BB">
        <w:rPr>
          <w:noProof/>
          <w:szCs w:val="20"/>
        </w:rPr>
        <mc:AlternateContent>
          <mc:Choice Requires="wps">
            <w:drawing>
              <wp:anchor distT="0" distB="0" distL="114300" distR="114300" simplePos="0" relativeHeight="251687936" behindDoc="0" locked="0" layoutInCell="1" allowOverlap="1" wp14:anchorId="61FE02E9" wp14:editId="68C29AE1">
                <wp:simplePos x="0" y="0"/>
                <wp:positionH relativeFrom="column">
                  <wp:posOffset>958850</wp:posOffset>
                </wp:positionH>
                <wp:positionV relativeFrom="paragraph">
                  <wp:posOffset>124460</wp:posOffset>
                </wp:positionV>
                <wp:extent cx="90805" cy="457200"/>
                <wp:effectExtent l="7303" t="0" r="11747" b="11748"/>
                <wp:wrapNone/>
                <wp:docPr id="293"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457200"/>
                        </a:xfrm>
                        <a:prstGeom prst="rightBrace">
                          <a:avLst>
                            <a:gd name="adj1" fmla="val 419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F9543" id="AutoShape 140" o:spid="_x0000_s1026" type="#_x0000_t88" style="position:absolute;margin-left:75.5pt;margin-top:9.8pt;width:7.15pt;height:3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"/>
            </w:pict>
          </mc:Fallback>
        </mc:AlternateContent>
      </w:r>
    </w:p>
    <w:p w:rsidR="004F47BB" w:rsidRPr="004F47BB" w:rsidRDefault="004F47BB" w:rsidP="004F47BB">
      <w:pPr>
        <w:overflowPunct w:val="0"/>
        <w:adjustRightInd w:val="0"/>
        <w:spacing w:line="240" w:lineRule="exact"/>
        <w:ind w:left="993" w:firstLine="0"/>
        <w:jc w:val="left"/>
        <w:textAlignment w:val="baseline"/>
        <w:rPr>
          <w:szCs w:val="20"/>
          <w:lang w:val="en-US"/>
        </w:rPr>
      </w:pPr>
      <m:oMathPara>
        <m:oMathParaPr>
          <m:jc m:val="left"/>
        </m:oMathParaPr>
        <m:oMath>
          <m:r>
            <w:rPr>
              <w:rFonts w:ascii="Cambria Math" w:hAnsi="Cambria Math"/>
              <w:szCs w:val="20"/>
              <w:lang w:val="en-US"/>
            </w:rPr>
            <m:t>=0,04684 ∙9568=</m:t>
          </m:r>
          <m:r>
            <m:rPr>
              <m:sty m:val="bi"/>
            </m:rPr>
            <w:rPr>
              <w:rFonts w:ascii="Cambria Math" w:hAnsi="Cambria Math"/>
              <w:szCs w:val="20"/>
              <w:lang w:val="en-US"/>
            </w:rPr>
            <m:t>448 m</m:t>
          </m:r>
        </m:oMath>
      </m:oMathPara>
    </w:p>
    <w:p w:rsidR="004F47BB" w:rsidRPr="004F47BB" w:rsidRDefault="004F47BB" w:rsidP="004F47BB">
      <w:pPr>
        <w:tabs>
          <w:tab w:val="left" w:pos="993"/>
          <w:tab w:val="left" w:pos="1701"/>
          <w:tab w:val="left" w:pos="2127"/>
        </w:tabs>
        <w:overflowPunct w:val="0"/>
        <w:adjustRightInd w:val="0"/>
        <w:spacing w:line="240" w:lineRule="exact"/>
        <w:ind w:left="993" w:firstLine="0"/>
        <w:jc w:val="left"/>
        <w:textAlignment w:val="baseline"/>
        <w:rPr>
          <w:szCs w:val="20"/>
          <w:lang w:val="en-US"/>
        </w:rPr>
      </w:pPr>
    </w:p>
    <w:p w:rsidR="004F47BB" w:rsidRPr="004F47BB" w:rsidRDefault="00F12BAF" w:rsidP="004F47BB">
      <w:pPr>
        <w:overflowPunct w:val="0"/>
        <w:adjustRightInd w:val="0"/>
        <w:spacing w:line="240" w:lineRule="atLeast"/>
        <w:ind w:left="993" w:hanging="1"/>
        <w:jc w:val="left"/>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Const</m:t>
              </m:r>
            </m:e>
            <m:sub>
              <m:r>
                <w:rPr>
                  <w:rFonts w:ascii="Cambria Math" w:hAnsi="Cambria Math"/>
                  <w:szCs w:val="20"/>
                  <w:lang w:val="en-US"/>
                </w:rPr>
                <m:t>SOLL</m:t>
              </m:r>
            </m:sub>
          </m:sSub>
        </m:oMath>
      </m:oMathPara>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992"/>
        </w:tabs>
        <w:overflowPunct w:val="0"/>
        <w:adjustRightInd w:val="0"/>
        <w:spacing w:line="240" w:lineRule="atLeast"/>
        <w:ind w:left="992"/>
        <w:textAlignment w:val="baseline"/>
        <w:rPr>
          <w:szCs w:val="20"/>
          <w:lang w:val="en-US"/>
        </w:rPr>
      </w:pPr>
      <w:r w:rsidRPr="004F47BB">
        <w:rPr>
          <w:szCs w:val="20"/>
          <w:lang w:val="en-US"/>
        </w:rPr>
        <w:t>h)</w:t>
      </w:r>
      <w:r w:rsidRPr="004F47BB">
        <w:rPr>
          <w:szCs w:val="20"/>
          <w:lang w:val="en-US"/>
        </w:rPr>
        <w:tab/>
        <w:t>Calculation of the total distance</w:t>
      </w:r>
    </w:p>
    <w:p w:rsidR="004F47BB" w:rsidRPr="004F47BB" w:rsidRDefault="004F47BB" w:rsidP="004F47BB">
      <w:pPr>
        <w:tabs>
          <w:tab w:val="left" w:pos="284"/>
        </w:tabs>
        <w:overflowPunct w:val="0"/>
        <w:adjustRightInd w:val="0"/>
        <w:spacing w:line="240" w:lineRule="exact"/>
        <w:ind w:left="284" w:hanging="284"/>
        <w:jc w:val="left"/>
        <w:textAlignment w:val="baseline"/>
        <w:rPr>
          <w:szCs w:val="20"/>
          <w:lang w:val="en-US"/>
        </w:rPr>
      </w:pPr>
    </w:p>
    <w:p w:rsidR="004F47BB" w:rsidRPr="004F47BB" w:rsidRDefault="00F12BAF" w:rsidP="004F47BB">
      <w:pPr>
        <w:tabs>
          <w:tab w:val="left" w:pos="992"/>
        </w:tabs>
        <w:overflowPunct w:val="0"/>
        <w:adjustRightInd w:val="0"/>
        <w:spacing w:line="240" w:lineRule="atLeast"/>
        <w:ind w:left="992"/>
        <w:textAlignment w:val="baseline"/>
        <w:rPr>
          <w:szCs w:val="20"/>
          <w:lang w:val="en-US"/>
        </w:rPr>
      </w:pPr>
      <m:oMathPara>
        <m:oMathParaPr>
          <m:jc m:val="left"/>
        </m:oMathParaPr>
        <m:oMath>
          <m:sSub>
            <m:sSubPr>
              <m:ctrlPr>
                <w:rPr>
                  <w:rFonts w:ascii="Cambria Math" w:hAnsi="Cambria Math"/>
                  <w:b/>
                  <w:i/>
                  <w:szCs w:val="20"/>
                  <w:lang w:val="en-US"/>
                </w:rPr>
              </m:ctrlPr>
            </m:sSubPr>
            <m:e>
              <m:r>
                <m:rPr>
                  <m:sty m:val="bi"/>
                </m:rPr>
                <w:rPr>
                  <w:rFonts w:ascii="Cambria Math" w:hAnsi="Cambria Math"/>
                  <w:szCs w:val="20"/>
                  <w:lang w:val="en-US"/>
                </w:rPr>
                <m:t>s</m:t>
              </m:r>
            </m:e>
            <m:sub>
              <m:r>
                <m:rPr>
                  <m:sty m:val="bi"/>
                </m:rPr>
                <w:rPr>
                  <w:rFonts w:ascii="Cambria Math" w:hAnsi="Cambria Math"/>
                  <w:szCs w:val="20"/>
                  <w:lang w:val="en-US"/>
                </w:rPr>
                <m:t>SOLL</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m:t>
                  </m:r>
                </m:e>
                <m:sub>
                  <m:r>
                    <w:rPr>
                      <w:rFonts w:ascii="Cambria Math" w:hAnsi="Cambria Math"/>
                      <w:szCs w:val="20"/>
                      <w:lang w:val="en-US"/>
                    </w:rPr>
                    <m:t>SOLL</m:t>
                  </m:r>
                </m:sub>
              </m:sSub>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r>
            <w:rPr>
              <w:rFonts w:ascii="Cambria Math" w:hAnsi="Cambria Math"/>
              <w:szCs w:val="20"/>
              <w:lang w:val="en-US"/>
            </w:rPr>
            <m:t>=77,5+448=</m:t>
          </m:r>
          <m:r>
            <m:rPr>
              <m:sty m:val="bi"/>
            </m:rPr>
            <w:rPr>
              <w:rFonts w:ascii="Cambria Math" w:hAnsi="Cambria Math"/>
              <w:szCs w:val="20"/>
              <w:lang w:val="en-US"/>
            </w:rPr>
            <m:t>525,5 m</m:t>
          </m:r>
        </m:oMath>
      </m:oMathPara>
    </w:p>
    <w:p w:rsidR="004F47BB" w:rsidRPr="004F47BB" w:rsidRDefault="004F47BB" w:rsidP="004F47BB">
      <w:pPr>
        <w:tabs>
          <w:tab w:val="left" w:pos="454"/>
        </w:tabs>
        <w:overflowPunct w:val="0"/>
        <w:adjustRightInd w:val="0"/>
        <w:spacing w:line="240" w:lineRule="atLeast"/>
        <w:ind w:left="454" w:hanging="454"/>
        <w:jc w:val="left"/>
        <w:textAlignment w:val="baseline"/>
        <w:rPr>
          <w:position w:val="6"/>
          <w:szCs w:val="20"/>
          <w:lang w:val="en-US"/>
        </w:rPr>
      </w:pPr>
    </w:p>
    <w:p w:rsidR="004F47BB" w:rsidRPr="004F47BB" w:rsidRDefault="004F47BB" w:rsidP="004F47BB">
      <w:pPr>
        <w:tabs>
          <w:tab w:val="left" w:pos="567"/>
        </w:tabs>
        <w:overflowPunct w:val="0"/>
        <w:adjustRightInd w:val="0"/>
        <w:spacing w:line="240" w:lineRule="atLeast"/>
        <w:ind w:left="567" w:hanging="567"/>
        <w:textAlignment w:val="baseline"/>
        <w:rPr>
          <w:b/>
          <w:bCs/>
          <w:position w:val="6"/>
          <w:szCs w:val="20"/>
          <w:lang w:val="en-US"/>
        </w:rPr>
      </w:pPr>
      <w:r w:rsidRPr="004F47BB">
        <w:rPr>
          <w:b/>
          <w:szCs w:val="20"/>
          <w:lang w:val="en-US"/>
        </w:rPr>
        <w:t>4.4</w:t>
      </w:r>
      <w:r w:rsidRPr="004F47BB">
        <w:rPr>
          <w:b/>
          <w:szCs w:val="20"/>
          <w:lang w:val="en-US"/>
        </w:rPr>
        <w:tab/>
        <w:t>Verification of compliance with permissible stopping distance under standard conditions</w:t>
      </w:r>
      <w:r w:rsidRPr="004F47BB">
        <w:rPr>
          <w:b/>
          <w:szCs w:val="20"/>
          <w:u w:val="single"/>
          <w:lang w:val="en-US"/>
        </w:rPr>
        <w:t xml:space="preserve"> </w:t>
      </w:r>
      <m:oMath>
        <m:sSub>
          <m:sSubPr>
            <m:ctrlPr>
              <w:rPr>
                <w:rFonts w:ascii="Cambria Math" w:hAnsi="Cambria Math" w:cs="Arial"/>
                <w:b/>
                <w:i/>
                <w:color w:val="000000"/>
                <w:szCs w:val="20"/>
                <w:lang w:val="en-US"/>
              </w:rPr>
            </m:ctrlPr>
          </m:sSubPr>
          <m:e>
            <m:r>
              <m:rPr>
                <m:sty m:val="bi"/>
              </m:rPr>
              <w:rPr>
                <w:rFonts w:ascii="Cambria Math" w:hAnsi="Cambria Math" w:cs="Arial"/>
                <w:color w:val="000000"/>
                <w:szCs w:val="20"/>
                <w:lang w:val="en-US"/>
              </w:rPr>
              <m:t>s</m:t>
            </m:r>
          </m:e>
          <m:sub>
            <m:r>
              <m:rPr>
                <m:sty m:val="bi"/>
              </m:rPr>
              <w:rPr>
                <w:rFonts w:ascii="Cambria Math" w:hAnsi="Cambria Math" w:cs="Arial"/>
                <w:color w:val="000000"/>
                <w:szCs w:val="20"/>
                <w:lang w:val="en-US"/>
              </w:rPr>
              <m:t>NORM</m:t>
            </m:r>
          </m:sub>
        </m:sSub>
      </m:oMath>
    </w:p>
    <w:p w:rsidR="004F47BB" w:rsidRPr="004F47BB" w:rsidRDefault="004F47BB" w:rsidP="004F47BB">
      <w:pPr>
        <w:tabs>
          <w:tab w:val="left" w:pos="454"/>
        </w:tabs>
        <w:overflowPunct w:val="0"/>
        <w:adjustRightInd w:val="0"/>
        <w:spacing w:line="240" w:lineRule="exact"/>
        <w:ind w:left="454" w:hanging="454"/>
        <w:jc w:val="left"/>
        <w:textAlignment w:val="baseline"/>
        <w:rPr>
          <w:b/>
          <w:szCs w:val="20"/>
          <w:lang w:val="en-US"/>
        </w:rPr>
      </w:pPr>
    </w:p>
    <w:p w:rsidR="004F47BB" w:rsidRPr="004F47BB" w:rsidRDefault="004F47BB" w:rsidP="004F47BB">
      <w:pPr>
        <w:overflowPunct w:val="0"/>
        <w:adjustRightInd w:val="0"/>
        <w:spacing w:line="240" w:lineRule="exact"/>
        <w:ind w:left="567" w:firstLine="0"/>
        <w:jc w:val="left"/>
        <w:textAlignment w:val="baseline"/>
        <w:rPr>
          <w:szCs w:val="20"/>
          <w:lang w:val="en-US"/>
        </w:rPr>
      </w:pPr>
      <w:r w:rsidRPr="004F47BB">
        <w:rPr>
          <w:szCs w:val="20"/>
          <w:lang w:val="en-US"/>
        </w:rPr>
        <w:t>according to formula (2.1) of Annex 2</w:t>
      </w: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F12BAF" w:rsidP="004F47BB">
      <w:pPr>
        <w:overflowPunct w:val="0"/>
        <w:adjustRightInd w:val="0"/>
        <w:spacing w:line="240" w:lineRule="atLeast"/>
        <w:ind w:left="567"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NORM</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MESSUNG</m:t>
              </m:r>
            </m:sub>
          </m:sSub>
          <m:r>
            <w:rPr>
              <w:rFonts w:ascii="Cambria Math" w:hAnsi="Cambria Math"/>
              <w:szCs w:val="20"/>
              <w:lang w:val="en-US"/>
            </w:rPr>
            <m:t xml:space="preserve"> ∙ </m:t>
          </m:r>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SOLL</m:t>
                  </m:r>
                </m:sub>
              </m:sSub>
            </m:num>
            <m:den>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IST</m:t>
                  </m:r>
                </m:sub>
              </m:sSub>
            </m:den>
          </m:f>
          <m:r>
            <w:rPr>
              <w:rFonts w:ascii="Cambria Math" w:hAnsi="Cambria Math"/>
              <w:szCs w:val="20"/>
              <w:lang w:val="en-US"/>
            </w:rPr>
            <m:t xml:space="preserve">=580 ∙ </m:t>
          </m:r>
          <m:f>
            <m:fPr>
              <m:ctrlPr>
                <w:rPr>
                  <w:rFonts w:ascii="Cambria Math" w:hAnsi="Cambria Math"/>
                  <w:i/>
                  <w:szCs w:val="20"/>
                  <w:lang w:val="en-US"/>
                </w:rPr>
              </m:ctrlPr>
            </m:fPr>
            <m:num>
              <m:r>
                <w:rPr>
                  <w:rFonts w:ascii="Cambria Math" w:hAnsi="Cambria Math"/>
                  <w:szCs w:val="20"/>
                  <w:lang w:val="en-US"/>
                </w:rPr>
                <m:t>525,5</m:t>
              </m:r>
            </m:num>
            <m:den>
              <m:r>
                <w:rPr>
                  <w:rFonts w:ascii="Cambria Math" w:hAnsi="Cambria Math"/>
                  <w:szCs w:val="20"/>
                  <w:lang w:val="en-US"/>
                </w:rPr>
                <m:t>475</m:t>
              </m:r>
            </m:den>
          </m:f>
          <m:r>
            <w:rPr>
              <w:rFonts w:ascii="Cambria Math" w:hAnsi="Cambria Math"/>
              <w:szCs w:val="20"/>
              <w:lang w:val="en-US"/>
            </w:rPr>
            <m:t>=</m:t>
          </m:r>
          <m:r>
            <m:rPr>
              <m:sty m:val="bi"/>
            </m:rPr>
            <w:rPr>
              <w:rFonts w:ascii="Cambria Math" w:hAnsi="Cambria Math"/>
              <w:szCs w:val="20"/>
              <w:lang w:val="en-US"/>
            </w:rPr>
            <m:t>641 m &gt;550 m</m:t>
          </m:r>
        </m:oMath>
      </m:oMathPara>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de-DE"/>
        </w:rPr>
      </w:pP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de-DE"/>
        </w:rPr>
      </w:pP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de-DE"/>
        </w:rPr>
      </w:pPr>
      <w:r w:rsidRPr="004F47BB">
        <w:rPr>
          <w:szCs w:val="20"/>
          <w:lang w:val="de-DE"/>
        </w:rPr>
        <w:br w:type="page"/>
      </w:r>
    </w:p>
    <w:p w:rsidR="004F47BB" w:rsidRPr="004F47BB" w:rsidRDefault="004F47BB" w:rsidP="004F47BB">
      <w:pPr>
        <w:overflowPunct w:val="0"/>
        <w:adjustRightInd w:val="0"/>
        <w:spacing w:line="240" w:lineRule="exact"/>
        <w:ind w:left="567" w:firstLine="0"/>
        <w:textAlignment w:val="baseline"/>
        <w:rPr>
          <w:szCs w:val="20"/>
          <w:lang w:val="en-US"/>
        </w:rPr>
      </w:pPr>
      <w:r w:rsidRPr="004F47BB">
        <w:rPr>
          <w:b/>
          <w:szCs w:val="20"/>
          <w:lang w:val="en-US"/>
        </w:rPr>
        <w:lastRenderedPageBreak/>
        <w:t>Conclusion</w:t>
      </w:r>
      <w:r w:rsidRPr="004F47BB">
        <w:rPr>
          <w:szCs w:val="20"/>
          <w:lang w:val="en-US"/>
        </w:rPr>
        <w:t>:</w:t>
      </w: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overflowPunct w:val="0"/>
        <w:adjustRightInd w:val="0"/>
        <w:spacing w:line="240" w:lineRule="exact"/>
        <w:ind w:left="567" w:firstLine="0"/>
        <w:textAlignment w:val="baseline"/>
        <w:rPr>
          <w:szCs w:val="20"/>
          <w:lang w:val="en-US"/>
        </w:rPr>
      </w:pPr>
      <w:r w:rsidRPr="004F47BB">
        <w:rPr>
          <w:szCs w:val="20"/>
          <w:lang w:val="en-US"/>
        </w:rPr>
        <w:t>The limit value has clearly been exceeded; admission to downstream navigation is possible only with a load restriction. This restricted load can be determined in conformity with (5) below.</w:t>
      </w:r>
    </w:p>
    <w:p w:rsidR="004F47BB" w:rsidRPr="004F47BB" w:rsidRDefault="004F47BB" w:rsidP="004F47BB">
      <w:pPr>
        <w:tabs>
          <w:tab w:val="left" w:pos="454"/>
        </w:tabs>
        <w:overflowPunct w:val="0"/>
        <w:adjustRightInd w:val="0"/>
        <w:spacing w:line="240" w:lineRule="exact"/>
        <w:ind w:left="454" w:hanging="454"/>
        <w:jc w:val="left"/>
        <w:textAlignment w:val="baseline"/>
        <w:rPr>
          <w:szCs w:val="20"/>
          <w:lang w:val="en-US"/>
        </w:rPr>
      </w:pPr>
    </w:p>
    <w:p w:rsidR="004F47BB" w:rsidRPr="004F47BB" w:rsidRDefault="004F47BB" w:rsidP="004F47BB">
      <w:pPr>
        <w:tabs>
          <w:tab w:val="left" w:pos="567"/>
        </w:tabs>
        <w:overflowPunct w:val="0"/>
        <w:adjustRightInd w:val="0"/>
        <w:spacing w:line="240" w:lineRule="exact"/>
        <w:ind w:left="567" w:hanging="567"/>
        <w:jc w:val="left"/>
        <w:textAlignment w:val="baseline"/>
        <w:rPr>
          <w:b/>
          <w:szCs w:val="20"/>
          <w:lang w:val="en-US"/>
        </w:rPr>
      </w:pPr>
      <w:r w:rsidRPr="004F47BB">
        <w:rPr>
          <w:b/>
          <w:szCs w:val="20"/>
          <w:lang w:val="en-US"/>
        </w:rPr>
        <w:t>5.</w:t>
      </w:r>
      <w:r w:rsidRPr="004F47BB">
        <w:rPr>
          <w:b/>
          <w:szCs w:val="20"/>
          <w:lang w:val="en-US"/>
        </w:rPr>
        <w:tab/>
      </w:r>
      <m:oMath>
        <m:sSup>
          <m:sSupPr>
            <m:ctrlPr>
              <w:rPr>
                <w:rFonts w:ascii="Cambria Math" w:hAnsi="Cambria Math"/>
                <w:b/>
                <w:i/>
                <w:szCs w:val="20"/>
                <w:lang w:val="en-US"/>
              </w:rPr>
            </m:ctrlPr>
          </m:sSupPr>
          <m:e>
            <m:r>
              <m:rPr>
                <m:sty m:val="bi"/>
              </m:rPr>
              <w:rPr>
                <w:rFonts w:ascii="Cambria Math" w:hAnsi="Cambria Math"/>
                <w:szCs w:val="20"/>
                <w:lang w:val="en-US"/>
              </w:rPr>
              <m:t>D</m:t>
            </m:r>
          </m:e>
          <m:sup>
            <m:r>
              <m:rPr>
                <m:sty m:val="bi"/>
              </m:rPr>
              <w:rPr>
                <w:rFonts w:ascii="Cambria Math" w:hAnsi="Cambria Math"/>
                <w:szCs w:val="20"/>
                <w:lang w:val="en-US"/>
              </w:rPr>
              <m:t>*</m:t>
            </m:r>
          </m:sup>
        </m:sSup>
      </m:oMath>
      <w:r w:rsidRPr="004F47BB">
        <w:rPr>
          <w:b/>
          <w:szCs w:val="20"/>
          <w:lang w:val="en-US"/>
        </w:rPr>
        <w:t xml:space="preserve"> permissible in downstream navigation </w:t>
      </w:r>
    </w:p>
    <w:p w:rsidR="004F47BB" w:rsidRPr="004F47BB" w:rsidRDefault="004F47BB" w:rsidP="004F47BB">
      <w:pPr>
        <w:tabs>
          <w:tab w:val="left" w:pos="284"/>
        </w:tabs>
        <w:overflowPunct w:val="0"/>
        <w:adjustRightInd w:val="0"/>
        <w:spacing w:line="240" w:lineRule="exact"/>
        <w:ind w:left="454" w:hanging="454"/>
        <w:jc w:val="left"/>
        <w:textAlignment w:val="baseline"/>
        <w:rPr>
          <w:szCs w:val="20"/>
          <w:lang w:val="en-US"/>
        </w:rPr>
      </w:pPr>
    </w:p>
    <w:p w:rsidR="004F47BB" w:rsidRPr="004F47BB" w:rsidRDefault="004F47BB" w:rsidP="004F47BB">
      <w:pPr>
        <w:overflowPunct w:val="0"/>
        <w:adjustRightInd w:val="0"/>
        <w:spacing w:line="240" w:lineRule="exact"/>
        <w:ind w:left="567" w:firstLine="0"/>
        <w:jc w:val="left"/>
        <w:textAlignment w:val="baseline"/>
        <w:rPr>
          <w:szCs w:val="20"/>
          <w:lang w:val="en-US"/>
        </w:rPr>
      </w:pPr>
      <w:r w:rsidRPr="004F47BB">
        <w:rPr>
          <w:szCs w:val="20"/>
          <w:lang w:val="en-US"/>
        </w:rPr>
        <w:t>according to formula (2.1) of Annex 2</w:t>
      </w:r>
    </w:p>
    <w:p w:rsidR="004F47BB" w:rsidRPr="004F47BB" w:rsidRDefault="004F47BB" w:rsidP="004F47BB">
      <w:pPr>
        <w:tabs>
          <w:tab w:val="left" w:pos="284"/>
        </w:tabs>
        <w:overflowPunct w:val="0"/>
        <w:adjustRightInd w:val="0"/>
        <w:spacing w:line="240" w:lineRule="exact"/>
        <w:ind w:left="454" w:hanging="454"/>
        <w:jc w:val="left"/>
        <w:textAlignment w:val="baseline"/>
        <w:rPr>
          <w:szCs w:val="20"/>
          <w:lang w:val="en-US"/>
        </w:rPr>
      </w:pPr>
    </w:p>
    <w:p w:rsidR="004F47BB" w:rsidRPr="004F47BB" w:rsidRDefault="00F12BAF" w:rsidP="004F47BB">
      <w:pPr>
        <w:overflowPunct w:val="0"/>
        <w:adjustRightInd w:val="0"/>
        <w:spacing w:line="240" w:lineRule="atLeast"/>
        <w:ind w:left="567"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NORM</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MESSUNG</m:t>
              </m:r>
            </m:sub>
          </m:sSub>
          <m:r>
            <w:rPr>
              <w:rFonts w:ascii="Cambria Math" w:hAnsi="Cambria Math"/>
              <w:szCs w:val="20"/>
              <w:lang w:val="en-US"/>
            </w:rPr>
            <m:t xml:space="preserve"> ∙ </m:t>
          </m:r>
          <m:f>
            <m:fPr>
              <m:ctrlPr>
                <w:rPr>
                  <w:rFonts w:ascii="Cambria Math" w:hAnsi="Cambria Math"/>
                  <w:i/>
                  <w:szCs w:val="20"/>
                  <w:lang w:val="en-US"/>
                </w:rPr>
              </m:ctrlPr>
            </m:fPr>
            <m:num>
              <m:sSub>
                <m:sSubPr>
                  <m:ctrlPr>
                    <w:rPr>
                      <w:rFonts w:ascii="Cambria Math" w:hAnsi="Cambria Math"/>
                      <w:i/>
                      <w:szCs w:val="20"/>
                      <w:lang w:val="en-US"/>
                    </w:rPr>
                  </m:ctrlPr>
                </m:sSubPr>
                <m:e>
                  <m:sSup>
                    <m:sSupPr>
                      <m:ctrlPr>
                        <w:rPr>
                          <w:rFonts w:ascii="Cambria Math" w:hAnsi="Cambria Math"/>
                          <w:i/>
                          <w:szCs w:val="20"/>
                          <w:lang w:val="en-US"/>
                        </w:rPr>
                      </m:ctrlPr>
                    </m:sSupPr>
                    <m:e>
                      <m:r>
                        <w:rPr>
                          <w:rFonts w:ascii="Cambria Math" w:hAnsi="Cambria Math"/>
                          <w:szCs w:val="20"/>
                          <w:lang w:val="en-US"/>
                        </w:rPr>
                        <m:t>s</m:t>
                      </m:r>
                    </m:e>
                    <m:sup>
                      <m:r>
                        <w:rPr>
                          <w:rFonts w:ascii="Cambria Math" w:hAnsi="Cambria Math"/>
                          <w:szCs w:val="20"/>
                          <w:lang w:val="en-US"/>
                        </w:rPr>
                        <m:t>*</m:t>
                      </m:r>
                    </m:sup>
                  </m:sSup>
                </m:e>
                <m:sub>
                  <m:r>
                    <w:rPr>
                      <w:rFonts w:ascii="Cambria Math" w:hAnsi="Cambria Math"/>
                      <w:szCs w:val="20"/>
                      <w:lang w:val="en-US"/>
                    </w:rPr>
                    <m:t>SOLL</m:t>
                  </m:r>
                </m:sub>
              </m:sSub>
            </m:num>
            <m:den>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IST</m:t>
                  </m:r>
                </m:sub>
              </m:sSub>
            </m:den>
          </m:f>
          <m:r>
            <w:rPr>
              <w:rFonts w:ascii="Cambria Math" w:hAnsi="Cambria Math"/>
              <w:szCs w:val="20"/>
              <w:lang w:val="en-US"/>
            </w:rPr>
            <m:t>=550 m</m:t>
          </m:r>
        </m:oMath>
      </m:oMathPara>
    </w:p>
    <w:p w:rsidR="004F47BB" w:rsidRPr="004F47BB" w:rsidRDefault="004F47BB" w:rsidP="004F47BB">
      <w:pPr>
        <w:tabs>
          <w:tab w:val="left" w:pos="284"/>
        </w:tabs>
        <w:overflowPunct w:val="0"/>
        <w:adjustRightInd w:val="0"/>
        <w:spacing w:line="240" w:lineRule="exact"/>
        <w:ind w:left="454" w:hanging="454"/>
        <w:jc w:val="left"/>
        <w:textAlignment w:val="baseline"/>
        <w:rPr>
          <w:szCs w:val="20"/>
          <w:lang w:val="de-DE"/>
        </w:rPr>
      </w:pPr>
    </w:p>
    <w:p w:rsidR="004F47BB" w:rsidRPr="004F47BB" w:rsidRDefault="004F47BB" w:rsidP="004F47BB">
      <w:pPr>
        <w:overflowPunct w:val="0"/>
        <w:adjustRightInd w:val="0"/>
        <w:spacing w:line="240" w:lineRule="exact"/>
        <w:ind w:left="567" w:firstLine="0"/>
        <w:jc w:val="left"/>
        <w:textAlignment w:val="baseline"/>
        <w:rPr>
          <w:szCs w:val="20"/>
          <w:lang w:val="en-US"/>
        </w:rPr>
      </w:pPr>
      <w:r w:rsidRPr="004F47BB">
        <w:rPr>
          <w:szCs w:val="20"/>
          <w:lang w:val="en-US"/>
        </w:rPr>
        <w:t>Therefore:</w:t>
      </w:r>
    </w:p>
    <w:p w:rsidR="004F47BB" w:rsidRPr="004F47BB" w:rsidRDefault="004F47BB" w:rsidP="004F47BB">
      <w:pPr>
        <w:tabs>
          <w:tab w:val="left" w:pos="284"/>
        </w:tabs>
        <w:overflowPunct w:val="0"/>
        <w:adjustRightInd w:val="0"/>
        <w:spacing w:line="240" w:lineRule="exact"/>
        <w:ind w:left="454" w:hanging="454"/>
        <w:jc w:val="left"/>
        <w:textAlignment w:val="baseline"/>
        <w:rPr>
          <w:szCs w:val="20"/>
          <w:lang w:val="en-US"/>
        </w:rPr>
      </w:pPr>
    </w:p>
    <w:p w:rsidR="004F47BB" w:rsidRPr="004F47BB" w:rsidRDefault="00F12BAF" w:rsidP="004F47BB">
      <w:pPr>
        <w:overflowPunct w:val="0"/>
        <w:adjustRightInd w:val="0"/>
        <w:spacing w:line="240" w:lineRule="atLeast"/>
        <w:ind w:left="567"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sSup>
                <m:sSupPr>
                  <m:ctrlPr>
                    <w:rPr>
                      <w:rFonts w:ascii="Cambria Math" w:hAnsi="Cambria Math"/>
                      <w:i/>
                      <w:szCs w:val="20"/>
                      <w:lang w:val="en-US"/>
                    </w:rPr>
                  </m:ctrlPr>
                </m:sSupPr>
                <m:e>
                  <m:r>
                    <w:rPr>
                      <w:rFonts w:ascii="Cambria Math" w:hAnsi="Cambria Math"/>
                      <w:szCs w:val="20"/>
                      <w:lang w:val="en-US"/>
                    </w:rPr>
                    <m:t>s</m:t>
                  </m:r>
                </m:e>
                <m:sup>
                  <m:r>
                    <w:rPr>
                      <w:rFonts w:ascii="Cambria Math" w:hAnsi="Cambria Math"/>
                      <w:szCs w:val="20"/>
                      <w:lang w:val="en-US"/>
                    </w:rPr>
                    <m:t>*</m:t>
                  </m:r>
                </m:sup>
              </m:sSup>
            </m:e>
            <m:sub>
              <m:r>
                <w:rPr>
                  <w:rFonts w:ascii="Cambria Math" w:hAnsi="Cambria Math"/>
                  <w:szCs w:val="20"/>
                  <w:lang w:val="en-US"/>
                </w:rPr>
                <m:t>SOLL</m:t>
              </m:r>
            </m:sub>
          </m:sSub>
          <m:r>
            <w:rPr>
              <w:rFonts w:ascii="Cambria Math" w:hAnsi="Cambria Math"/>
              <w:szCs w:val="20"/>
              <w:lang w:val="en-US"/>
            </w:rPr>
            <m:t xml:space="preserve">=550  ∙ </m:t>
          </m:r>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IST</m:t>
                  </m:r>
                </m:sub>
              </m:sSub>
            </m:num>
            <m:den>
              <m:sSub>
                <m:sSubPr>
                  <m:ctrlPr>
                    <w:rPr>
                      <w:rFonts w:ascii="Cambria Math" w:hAnsi="Cambria Math"/>
                      <w:i/>
                      <w:szCs w:val="20"/>
                      <w:lang w:val="en-US"/>
                    </w:rPr>
                  </m:ctrlPr>
                </m:sSubPr>
                <m:e>
                  <m:r>
                    <w:rPr>
                      <w:rFonts w:ascii="Cambria Math" w:hAnsi="Cambria Math"/>
                      <w:szCs w:val="20"/>
                      <w:lang w:val="en-US"/>
                    </w:rPr>
                    <m:t>s</m:t>
                  </m:r>
                </m:e>
                <m:sub>
                  <m:r>
                    <w:rPr>
                      <w:rFonts w:ascii="Cambria Math" w:hAnsi="Cambria Math"/>
                      <w:szCs w:val="20"/>
                      <w:lang w:val="en-US"/>
                    </w:rPr>
                    <m:t>MESSUNG</m:t>
                  </m:r>
                </m:sub>
              </m:sSub>
            </m:den>
          </m:f>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s</m:t>
              </m:r>
            </m:e>
            <m:sub>
              <m:sSub>
                <m:sSubPr>
                  <m:ctrlPr>
                    <w:rPr>
                      <w:rFonts w:ascii="Cambria Math" w:hAnsi="Cambria Math"/>
                      <w:i/>
                      <w:szCs w:val="20"/>
                      <w:lang w:val="en-US"/>
                    </w:rPr>
                  </m:ctrlPr>
                </m:sSubPr>
                <m:e>
                  <m:r>
                    <w:rPr>
                      <w:rFonts w:ascii="Cambria Math" w:hAnsi="Cambria Math"/>
                      <w:szCs w:val="20"/>
                      <w:lang w:val="en-US"/>
                    </w:rPr>
                    <m:t>I</m:t>
                  </m:r>
                </m:e>
                <m:sub>
                  <m:r>
                    <w:rPr>
                      <w:rFonts w:ascii="Cambria Math" w:hAnsi="Cambria Math"/>
                      <w:szCs w:val="20"/>
                      <w:lang w:val="en-US"/>
                    </w:rPr>
                    <m:t>SOLL</m:t>
                  </m:r>
                </m:sub>
              </m:sSub>
            </m:sub>
          </m:sSub>
          <m:r>
            <w:rPr>
              <w:rFonts w:ascii="Cambria Math" w:hAnsi="Cambria Math"/>
              <w:szCs w:val="20"/>
              <w:lang w:val="en-US"/>
            </w:rPr>
            <m:t xml:space="preserve">+ </m:t>
          </m:r>
          <m:sSub>
            <m:sSubPr>
              <m:ctrlPr>
                <w:rPr>
                  <w:rFonts w:ascii="Cambria Math" w:hAnsi="Cambria Math"/>
                  <w:i/>
                  <w:szCs w:val="20"/>
                  <w:lang w:val="en-US"/>
                </w:rPr>
              </m:ctrlPr>
            </m:sSubPr>
            <m:e>
              <m:sSup>
                <m:sSupPr>
                  <m:ctrlPr>
                    <w:rPr>
                      <w:rFonts w:ascii="Cambria Math" w:hAnsi="Cambria Math"/>
                      <w:i/>
                      <w:szCs w:val="20"/>
                      <w:lang w:val="en-US"/>
                    </w:rPr>
                  </m:ctrlPr>
                </m:sSupPr>
                <m:e>
                  <m:r>
                    <w:rPr>
                      <w:rFonts w:ascii="Cambria Math" w:hAnsi="Cambria Math"/>
                      <w:szCs w:val="20"/>
                      <w:lang w:val="en-US"/>
                    </w:rPr>
                    <m:t>s</m:t>
                  </m:r>
                </m:e>
                <m:sup>
                  <m:r>
                    <w:rPr>
                      <w:rFonts w:ascii="Cambria Math" w:hAnsi="Cambria Math"/>
                      <w:szCs w:val="20"/>
                      <w:lang w:val="en-US"/>
                    </w:rPr>
                    <m:t>*</m:t>
                  </m:r>
                </m:sup>
              </m:sSup>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oMath>
      </m:oMathPara>
    </w:p>
    <w:p w:rsidR="004F47BB" w:rsidRPr="004F47BB" w:rsidRDefault="004F47BB" w:rsidP="004F47BB">
      <w:pPr>
        <w:tabs>
          <w:tab w:val="left" w:pos="284"/>
          <w:tab w:val="left" w:pos="8647"/>
        </w:tabs>
        <w:overflowPunct w:val="0"/>
        <w:adjustRightInd w:val="0"/>
        <w:spacing w:line="240" w:lineRule="exact"/>
        <w:ind w:left="454" w:hanging="454"/>
        <w:jc w:val="left"/>
        <w:textAlignment w:val="baseline"/>
        <w:rPr>
          <w:szCs w:val="20"/>
          <w:lang w:val="en-US"/>
        </w:rPr>
      </w:pPr>
    </w:p>
    <w:p w:rsidR="004F47BB" w:rsidRPr="004F47BB" w:rsidRDefault="00F12BAF" w:rsidP="004F47BB">
      <w:pPr>
        <w:tabs>
          <w:tab w:val="left" w:pos="567"/>
        </w:tabs>
        <w:overflowPunct w:val="0"/>
        <w:adjustRightInd w:val="0"/>
        <w:spacing w:line="240" w:lineRule="atLeast"/>
        <w:ind w:left="567" w:firstLine="0"/>
        <w:jc w:val="left"/>
        <w:textAlignment w:val="baseline"/>
        <w:rPr>
          <w:szCs w:val="20"/>
          <w:lang w:val="en-US"/>
        </w:rPr>
      </w:pPr>
      <m:oMathPara>
        <m:oMathParaPr>
          <m:jc m:val="left"/>
        </m:oMathParaPr>
        <m:oMath>
          <m:sSub>
            <m:sSubPr>
              <m:ctrlPr>
                <w:rPr>
                  <w:rFonts w:ascii="Cambria Math" w:hAnsi="Cambria Math"/>
                  <w:i/>
                  <w:szCs w:val="20"/>
                  <w:lang w:val="en-US"/>
                </w:rPr>
              </m:ctrlPr>
            </m:sSubPr>
            <m:e>
              <m:sSup>
                <m:sSupPr>
                  <m:ctrlPr>
                    <w:rPr>
                      <w:rFonts w:ascii="Cambria Math" w:hAnsi="Cambria Math"/>
                      <w:i/>
                      <w:szCs w:val="20"/>
                      <w:lang w:val="en-US"/>
                    </w:rPr>
                  </m:ctrlPr>
                </m:sSupPr>
                <m:e>
                  <m:r>
                    <w:rPr>
                      <w:rFonts w:ascii="Cambria Math" w:hAnsi="Cambria Math"/>
                      <w:szCs w:val="20"/>
                      <w:lang w:val="en-US"/>
                    </w:rPr>
                    <m:t>s</m:t>
                  </m:r>
                </m:e>
                <m:sup>
                  <m:r>
                    <w:rPr>
                      <w:rFonts w:ascii="Cambria Math" w:hAnsi="Cambria Math"/>
                      <w:szCs w:val="20"/>
                      <w:lang w:val="en-US"/>
                    </w:rPr>
                    <m:t>*</m:t>
                  </m:r>
                </m:sup>
              </m:sSup>
            </m:e>
            <m:sub>
              <m:sSub>
                <m:sSubPr>
                  <m:ctrlPr>
                    <w:rPr>
                      <w:rFonts w:ascii="Cambria Math" w:hAnsi="Cambria Math"/>
                      <w:i/>
                      <w:szCs w:val="20"/>
                      <w:lang w:val="en-US"/>
                    </w:rPr>
                  </m:ctrlPr>
                </m:sSubPr>
                <m:e>
                  <m:r>
                    <w:rPr>
                      <w:rFonts w:ascii="Cambria Math" w:hAnsi="Cambria Math"/>
                      <w:szCs w:val="20"/>
                      <w:lang w:val="en-US"/>
                    </w:rPr>
                    <m:t>II</m:t>
                  </m:r>
                </m:e>
                <m:sub>
                  <m:r>
                    <w:rPr>
                      <w:rFonts w:ascii="Cambria Math" w:hAnsi="Cambria Math"/>
                      <w:szCs w:val="20"/>
                      <w:lang w:val="en-US"/>
                    </w:rPr>
                    <m:t>SOLL</m:t>
                  </m:r>
                </m:sub>
              </m:sSub>
            </m:sub>
          </m:sSub>
          <m:r>
            <w:rPr>
              <w:rFonts w:ascii="Cambria Math" w:hAnsi="Cambria Math"/>
              <w:szCs w:val="20"/>
              <w:lang w:val="en-US"/>
            </w:rPr>
            <m:t>=</m:t>
          </m:r>
          <m:sSub>
            <m:sSubPr>
              <m:ctrlPr>
                <w:rPr>
                  <w:rFonts w:ascii="Cambria Math" w:hAnsi="Cambria Math"/>
                  <w:i/>
                  <w:szCs w:val="20"/>
                  <w:lang w:val="en-US"/>
                </w:rPr>
              </m:ctrlPr>
            </m:sSubPr>
            <m:e>
              <m:r>
                <w:rPr>
                  <w:rFonts w:ascii="Cambria Math" w:hAnsi="Cambria Math"/>
                  <w:szCs w:val="20"/>
                  <w:lang w:val="en-US"/>
                </w:rPr>
                <m:t>Const</m:t>
              </m:r>
            </m:e>
            <m:sub>
              <m:r>
                <w:rPr>
                  <w:rFonts w:ascii="Cambria Math" w:hAnsi="Cambria Math"/>
                  <w:szCs w:val="20"/>
                  <w:lang w:val="en-US"/>
                </w:rPr>
                <m:t>SOLL</m:t>
              </m:r>
            </m:sub>
          </m:sSub>
          <m:r>
            <w:rPr>
              <w:rFonts w:ascii="Cambria Math" w:hAnsi="Cambria Math"/>
              <w:szCs w:val="20"/>
              <w:lang w:val="en-US"/>
            </w:rPr>
            <m:t xml:space="preserve"> ∙ </m:t>
          </m:r>
          <m:sSup>
            <m:sSupPr>
              <m:ctrlPr>
                <w:rPr>
                  <w:rFonts w:ascii="Cambria Math" w:hAnsi="Cambria Math"/>
                  <w:i/>
                  <w:szCs w:val="20"/>
                  <w:lang w:val="en-US"/>
                </w:rPr>
              </m:ctrlPr>
            </m:sSupPr>
            <m:e>
              <m:r>
                <w:rPr>
                  <w:rFonts w:ascii="Cambria Math" w:hAnsi="Cambria Math"/>
                  <w:szCs w:val="20"/>
                  <w:lang w:val="en-US"/>
                </w:rPr>
                <m:t>D</m:t>
              </m:r>
            </m:e>
            <m:sup>
              <m:r>
                <w:rPr>
                  <w:rFonts w:ascii="Cambria Math" w:hAnsi="Cambria Math"/>
                  <w:szCs w:val="20"/>
                  <w:lang w:val="en-US"/>
                </w:rPr>
                <m:t>*</m:t>
              </m:r>
            </m:sup>
          </m:sSup>
          <m:r>
            <w:rPr>
              <w:rFonts w:ascii="Cambria Math" w:hAnsi="Cambria Math"/>
              <w:szCs w:val="20"/>
              <w:lang w:val="en-US"/>
            </w:rPr>
            <m:t xml:space="preserve">=0,04684 ∙ </m:t>
          </m:r>
          <m:sSup>
            <m:sSupPr>
              <m:ctrlPr>
                <w:rPr>
                  <w:rFonts w:ascii="Cambria Math" w:hAnsi="Cambria Math"/>
                  <w:i/>
                  <w:szCs w:val="20"/>
                  <w:lang w:val="en-US"/>
                </w:rPr>
              </m:ctrlPr>
            </m:sSupPr>
            <m:e>
              <m:r>
                <w:rPr>
                  <w:rFonts w:ascii="Cambria Math" w:hAnsi="Cambria Math"/>
                  <w:szCs w:val="20"/>
                  <w:lang w:val="en-US"/>
                </w:rPr>
                <m:t>D</m:t>
              </m:r>
            </m:e>
            <m:sup>
              <m:r>
                <w:rPr>
                  <w:rFonts w:ascii="Cambria Math" w:hAnsi="Cambria Math"/>
                  <w:szCs w:val="20"/>
                  <w:lang w:val="en-US"/>
                </w:rPr>
                <m:t>*</m:t>
              </m:r>
            </m:sup>
          </m:sSup>
        </m:oMath>
      </m:oMathPara>
    </w:p>
    <w:p w:rsidR="004F47BB" w:rsidRPr="004F47BB" w:rsidRDefault="004F47BB" w:rsidP="004F47BB">
      <w:pPr>
        <w:tabs>
          <w:tab w:val="left" w:pos="1843"/>
        </w:tabs>
        <w:overflowPunct w:val="0"/>
        <w:adjustRightInd w:val="0"/>
        <w:spacing w:line="240" w:lineRule="atLeast"/>
        <w:ind w:left="454" w:hanging="454"/>
        <w:jc w:val="left"/>
        <w:textAlignment w:val="baseline"/>
        <w:rPr>
          <w:szCs w:val="20"/>
          <w:lang w:val="en-US"/>
        </w:rPr>
      </w:pPr>
    </w:p>
    <w:p w:rsidR="004F47BB" w:rsidRPr="004F47BB" w:rsidRDefault="00F12BAF" w:rsidP="004F47BB">
      <w:pPr>
        <w:tabs>
          <w:tab w:val="left" w:pos="567"/>
        </w:tabs>
        <w:overflowPunct w:val="0"/>
        <w:adjustRightInd w:val="0"/>
        <w:spacing w:line="240" w:lineRule="atLeast"/>
        <w:ind w:left="567" w:firstLine="0"/>
        <w:jc w:val="left"/>
        <w:textAlignment w:val="baseline"/>
        <w:rPr>
          <w:szCs w:val="20"/>
          <w:lang w:val="en-US"/>
        </w:rPr>
      </w:pPr>
      <m:oMathPara>
        <m:oMathParaPr>
          <m:jc m:val="left"/>
        </m:oMathParaPr>
        <m:oMath>
          <m:sSup>
            <m:sSupPr>
              <m:ctrlPr>
                <w:rPr>
                  <w:rFonts w:ascii="Cambria Math" w:hAnsi="Cambria Math"/>
                  <w:i/>
                  <w:szCs w:val="20"/>
                  <w:lang w:val="en-US"/>
                </w:rPr>
              </m:ctrlPr>
            </m:sSupPr>
            <m:e>
              <m:r>
                <w:rPr>
                  <w:rFonts w:ascii="Cambria Math" w:hAnsi="Cambria Math"/>
                  <w:szCs w:val="20"/>
                  <w:lang w:val="en-US"/>
                </w:rPr>
                <m:t>D</m:t>
              </m:r>
            </m:e>
            <m:sup>
              <m:r>
                <w:rPr>
                  <w:rFonts w:ascii="Cambria Math" w:hAnsi="Cambria Math"/>
                  <w:szCs w:val="20"/>
                  <w:lang w:val="en-US"/>
                </w:rPr>
                <m:t>*</m:t>
              </m:r>
            </m:sup>
          </m:sSup>
          <m:r>
            <w:rPr>
              <w:rFonts w:ascii="Cambria Math" w:hAnsi="Cambria Math"/>
              <w:szCs w:val="20"/>
              <w:lang w:val="en-US"/>
            </w:rPr>
            <m:t xml:space="preserve">= </m:t>
          </m:r>
          <m:f>
            <m:fPr>
              <m:ctrlPr>
                <w:rPr>
                  <w:rFonts w:ascii="Cambria Math" w:hAnsi="Cambria Math"/>
                  <w:i/>
                  <w:szCs w:val="20"/>
                  <w:lang w:val="en-US"/>
                </w:rPr>
              </m:ctrlPr>
            </m:fPr>
            <m:num>
              <m:r>
                <w:rPr>
                  <w:rFonts w:ascii="Cambria Math" w:hAnsi="Cambria Math"/>
                  <w:szCs w:val="20"/>
                  <w:lang w:val="en-US"/>
                </w:rPr>
                <m:t xml:space="preserve">550 ∙ </m:t>
              </m:r>
              <m:f>
                <m:fPr>
                  <m:ctrlPr>
                    <w:rPr>
                      <w:rFonts w:ascii="Cambria Math" w:hAnsi="Cambria Math"/>
                      <w:i/>
                      <w:szCs w:val="20"/>
                      <w:lang w:val="en-US"/>
                    </w:rPr>
                  </m:ctrlPr>
                </m:fPr>
                <m:num>
                  <m:r>
                    <w:rPr>
                      <w:rFonts w:ascii="Cambria Math" w:hAnsi="Cambria Math"/>
                      <w:szCs w:val="20"/>
                      <w:lang w:val="en-US"/>
                    </w:rPr>
                    <m:t>475</m:t>
                  </m:r>
                </m:num>
                <m:den>
                  <m:r>
                    <w:rPr>
                      <w:rFonts w:ascii="Cambria Math" w:hAnsi="Cambria Math"/>
                      <w:szCs w:val="20"/>
                      <w:lang w:val="en-US"/>
                    </w:rPr>
                    <m:t>580</m:t>
                  </m:r>
                </m:den>
              </m:f>
              <m:r>
                <w:rPr>
                  <w:rFonts w:ascii="Cambria Math" w:hAnsi="Cambria Math"/>
                  <w:szCs w:val="20"/>
                  <w:lang w:val="en-US"/>
                </w:rPr>
                <m:t>-77,5</m:t>
              </m:r>
            </m:num>
            <m:den>
              <m:r>
                <w:rPr>
                  <w:rFonts w:ascii="Cambria Math" w:hAnsi="Cambria Math"/>
                  <w:szCs w:val="20"/>
                  <w:lang w:val="en-US"/>
                </w:rPr>
                <m:t>0,04684</m:t>
              </m:r>
            </m:den>
          </m:f>
          <m:r>
            <w:rPr>
              <w:rFonts w:ascii="Cambria Math" w:hAnsi="Cambria Math"/>
              <w:szCs w:val="20"/>
              <w:lang w:val="en-US"/>
            </w:rPr>
            <m:t xml:space="preserve">=7950 </m:t>
          </m:r>
          <m:d>
            <m:dPr>
              <m:begChr m:val="["/>
              <m:endChr m:val="]"/>
              <m:ctrlPr>
                <w:rPr>
                  <w:rFonts w:ascii="Cambria Math" w:hAnsi="Cambria Math"/>
                  <w:i/>
                  <w:szCs w:val="20"/>
                  <w:lang w:val="en-US"/>
                </w:rPr>
              </m:ctrlPr>
            </m:dPr>
            <m:e>
              <m:sSup>
                <m:sSupPr>
                  <m:ctrlPr>
                    <w:rPr>
                      <w:rFonts w:ascii="Cambria Math" w:hAnsi="Cambria Math"/>
                      <w:i/>
                      <w:szCs w:val="20"/>
                      <w:lang w:val="en-US"/>
                    </w:rPr>
                  </m:ctrlPr>
                </m:sSupPr>
                <m:e>
                  <m:r>
                    <w:rPr>
                      <w:rFonts w:ascii="Cambria Math" w:hAnsi="Cambria Math"/>
                      <w:szCs w:val="20"/>
                      <w:lang w:val="en-US"/>
                    </w:rPr>
                    <m:t>m</m:t>
                  </m:r>
                </m:e>
                <m:sup>
                  <m:r>
                    <w:rPr>
                      <w:rFonts w:ascii="Cambria Math" w:hAnsi="Cambria Math"/>
                      <w:szCs w:val="20"/>
                      <w:lang w:val="en-US"/>
                    </w:rPr>
                    <m:t>3</m:t>
                  </m:r>
                </m:sup>
              </m:sSup>
            </m:e>
          </m:d>
        </m:oMath>
      </m:oMathPara>
    </w:p>
    <w:p w:rsidR="004F47BB" w:rsidRPr="004F47BB" w:rsidRDefault="004F47BB" w:rsidP="004F47BB">
      <w:pPr>
        <w:tabs>
          <w:tab w:val="left" w:pos="284"/>
        </w:tabs>
        <w:overflowPunct w:val="0"/>
        <w:adjustRightInd w:val="0"/>
        <w:spacing w:line="240" w:lineRule="exact"/>
        <w:ind w:left="0" w:firstLine="0"/>
        <w:jc w:val="left"/>
        <w:textAlignment w:val="baseline"/>
        <w:rPr>
          <w:szCs w:val="20"/>
          <w:lang w:val="en-US"/>
        </w:rPr>
      </w:pPr>
    </w:p>
    <w:p w:rsidR="004F47BB" w:rsidRPr="004F47BB" w:rsidRDefault="004F47BB" w:rsidP="004F47BB">
      <w:pPr>
        <w:tabs>
          <w:tab w:val="left" w:pos="284"/>
        </w:tabs>
        <w:overflowPunct w:val="0"/>
        <w:adjustRightInd w:val="0"/>
        <w:spacing w:line="240" w:lineRule="exact"/>
        <w:ind w:left="567" w:firstLine="0"/>
        <w:jc w:val="left"/>
        <w:textAlignment w:val="baseline"/>
        <w:rPr>
          <w:b/>
          <w:szCs w:val="20"/>
          <w:lang w:val="en-US"/>
        </w:rPr>
      </w:pPr>
      <w:r w:rsidRPr="004F47BB">
        <w:rPr>
          <w:b/>
          <w:szCs w:val="20"/>
          <w:lang w:val="en-US"/>
        </w:rPr>
        <w:t>Consequence:</w:t>
      </w:r>
    </w:p>
    <w:p w:rsidR="004F47BB" w:rsidRPr="004F47BB" w:rsidRDefault="004F47BB" w:rsidP="004F47BB">
      <w:pPr>
        <w:tabs>
          <w:tab w:val="left" w:pos="284"/>
        </w:tabs>
        <w:overflowPunct w:val="0"/>
        <w:adjustRightInd w:val="0"/>
        <w:spacing w:line="240" w:lineRule="exact"/>
        <w:ind w:left="454" w:hanging="454"/>
        <w:jc w:val="left"/>
        <w:textAlignment w:val="baseline"/>
        <w:rPr>
          <w:szCs w:val="20"/>
          <w:lang w:val="en-US"/>
        </w:rPr>
      </w:pPr>
    </w:p>
    <w:p w:rsidR="004F47BB" w:rsidRPr="004F47BB" w:rsidRDefault="004F47BB" w:rsidP="004F47BB">
      <w:pPr>
        <w:overflowPunct w:val="0"/>
        <w:adjustRightInd w:val="0"/>
        <w:spacing w:line="240" w:lineRule="exact"/>
        <w:ind w:left="567" w:firstLine="0"/>
        <w:textAlignment w:val="baseline"/>
        <w:rPr>
          <w:szCs w:val="20"/>
          <w:lang w:val="en-US"/>
        </w:rPr>
      </w:pPr>
      <w:r w:rsidRPr="004F47BB">
        <w:rPr>
          <w:szCs w:val="20"/>
          <w:lang w:val="en-US"/>
        </w:rPr>
        <w:t xml:space="preserve">Since in downstream navigation the permissible displacement </w:t>
      </w:r>
      <m:oMath>
        <m:sSup>
          <m:sSupPr>
            <m:ctrlPr>
              <w:rPr>
                <w:rFonts w:ascii="Cambria Math" w:hAnsi="Cambria Math"/>
                <w:i/>
                <w:szCs w:val="20"/>
                <w:lang w:val="en-US"/>
              </w:rPr>
            </m:ctrlPr>
          </m:sSupPr>
          <m:e>
            <m:r>
              <w:rPr>
                <w:rFonts w:ascii="Cambria Math" w:hAnsi="Cambria Math"/>
                <w:szCs w:val="20"/>
                <w:lang w:val="en-US"/>
              </w:rPr>
              <m:t>D</m:t>
            </m:r>
          </m:e>
          <m:sup>
            <m:r>
              <w:rPr>
                <w:rFonts w:ascii="Cambria Math" w:hAnsi="Cambria Math"/>
                <w:szCs w:val="20"/>
                <w:lang w:val="en-US"/>
              </w:rPr>
              <m:t>*</m:t>
            </m:r>
          </m:sup>
        </m:sSup>
      </m:oMath>
      <w:r w:rsidRPr="004F47BB">
        <w:rPr>
          <w:szCs w:val="20"/>
          <w:lang w:val="en-US"/>
        </w:rPr>
        <w:t xml:space="preserve"> is only 7950 m</w:t>
      </w:r>
      <w:r w:rsidRPr="004F47BB">
        <w:rPr>
          <w:szCs w:val="20"/>
          <w:vertAlign w:val="superscript"/>
          <w:lang w:val="en-US"/>
        </w:rPr>
        <w:t>3</w:t>
      </w:r>
      <w:r w:rsidRPr="004F47BB">
        <w:rPr>
          <w:szCs w:val="20"/>
          <w:lang w:val="en-US"/>
        </w:rPr>
        <w:t xml:space="preserve"> (approximately)</w:t>
      </w:r>
    </w:p>
    <w:p w:rsidR="004F47BB" w:rsidRPr="004F47BB" w:rsidRDefault="004F47BB" w:rsidP="004F47BB">
      <w:pPr>
        <w:overflowPunct w:val="0"/>
        <w:adjustRightInd w:val="0"/>
        <w:spacing w:line="240" w:lineRule="atLeast"/>
        <w:ind w:left="567" w:firstLine="0"/>
        <w:textAlignment w:val="baseline"/>
        <w:rPr>
          <w:szCs w:val="20"/>
          <w:lang w:val="en-US"/>
        </w:rPr>
      </w:pPr>
    </w:p>
    <w:p w:rsidR="004F47BB" w:rsidRPr="004F47BB" w:rsidRDefault="00F12BAF" w:rsidP="004F47BB">
      <w:pPr>
        <w:overflowPunct w:val="0"/>
        <w:adjustRightInd w:val="0"/>
        <w:spacing w:line="240" w:lineRule="atLeast"/>
        <w:ind w:left="567" w:firstLine="0"/>
        <w:textAlignment w:val="baseline"/>
        <w:rPr>
          <w:szCs w:val="20"/>
          <w:lang w:val="en-US"/>
        </w:rPr>
      </w:pPr>
      <m:oMathPara>
        <m:oMathParaPr>
          <m:jc m:val="left"/>
        </m:oMathParaPr>
        <m:oMath>
          <m:f>
            <m:fPr>
              <m:ctrlPr>
                <w:rPr>
                  <w:rFonts w:ascii="Cambria Math" w:hAnsi="Cambria Math"/>
                  <w:i/>
                  <w:szCs w:val="20"/>
                  <w:lang w:val="en-US"/>
                </w:rPr>
              </m:ctrlPr>
            </m:fPr>
            <m:num>
              <m:r>
                <w:rPr>
                  <w:rFonts w:ascii="Cambria Math" w:hAnsi="Cambria Math"/>
                  <w:szCs w:val="20"/>
                  <w:lang w:val="en-US"/>
                </w:rPr>
                <m:t>zul.  Tgf</m:t>
              </m:r>
            </m:num>
            <m:den>
              <m:func>
                <m:funcPr>
                  <m:ctrlPr>
                    <w:rPr>
                      <w:rFonts w:ascii="Cambria Math" w:hAnsi="Cambria Math"/>
                      <w:i/>
                      <w:szCs w:val="20"/>
                      <w:lang w:val="en-US"/>
                    </w:rPr>
                  </m:ctrlPr>
                </m:funcPr>
                <m:fName>
                  <m:r>
                    <m:rPr>
                      <m:sty m:val="p"/>
                    </m:rPr>
                    <w:rPr>
                      <w:rFonts w:ascii="Cambria Math" w:hAnsi="Cambria Math"/>
                      <w:szCs w:val="20"/>
                      <w:lang w:val="en-US"/>
                    </w:rPr>
                    <m:t>max</m:t>
                  </m:r>
                </m:fName>
                <m:e>
                  <m:r>
                    <w:rPr>
                      <w:rFonts w:ascii="Cambria Math" w:hAnsi="Cambria Math"/>
                      <w:szCs w:val="20"/>
                      <w:lang w:val="en-US"/>
                    </w:rPr>
                    <m:t>.  Tgf</m:t>
                  </m:r>
                </m:e>
              </m:func>
            </m:den>
          </m:f>
          <m:r>
            <w:rPr>
              <w:rFonts w:ascii="Cambria Math" w:hAnsi="Cambria Math"/>
              <w:szCs w:val="20"/>
              <w:lang w:val="en-US"/>
            </w:rPr>
            <m:t xml:space="preserve">= </m:t>
          </m:r>
          <m:f>
            <m:fPr>
              <m:ctrlPr>
                <w:rPr>
                  <w:rFonts w:ascii="Cambria Math" w:hAnsi="Cambria Math"/>
                  <w:i/>
                  <w:szCs w:val="20"/>
                  <w:lang w:val="en-US"/>
                </w:rPr>
              </m:ctrlPr>
            </m:fPr>
            <m:num>
              <m:sSup>
                <m:sSupPr>
                  <m:ctrlPr>
                    <w:rPr>
                      <w:rFonts w:ascii="Cambria Math" w:hAnsi="Cambria Math"/>
                      <w:i/>
                      <w:szCs w:val="20"/>
                      <w:lang w:val="en-US"/>
                    </w:rPr>
                  </m:ctrlPr>
                </m:sSupPr>
                <m:e>
                  <m:r>
                    <w:rPr>
                      <w:rFonts w:ascii="Cambria Math" w:hAnsi="Cambria Math"/>
                      <w:szCs w:val="20"/>
                      <w:lang w:val="en-US"/>
                    </w:rPr>
                    <m:t>D</m:t>
                  </m:r>
                </m:e>
                <m:sup>
                  <m:r>
                    <w:rPr>
                      <w:rFonts w:ascii="Cambria Math" w:hAnsi="Cambria Math"/>
                      <w:szCs w:val="20"/>
                      <w:lang w:val="en-US"/>
                    </w:rPr>
                    <m:t>*</m:t>
                  </m:r>
                </m:sup>
              </m:sSup>
            </m:num>
            <m:den>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max</m:t>
                  </m:r>
                </m:sub>
              </m:sSub>
            </m:den>
          </m:f>
          <m:r>
            <w:rPr>
              <w:rFonts w:ascii="Cambria Math" w:hAnsi="Cambria Math"/>
              <w:szCs w:val="20"/>
              <w:lang w:val="en-US"/>
            </w:rPr>
            <m:t xml:space="preserve">= </m:t>
          </m:r>
          <m:f>
            <m:fPr>
              <m:ctrlPr>
                <w:rPr>
                  <w:rFonts w:ascii="Cambria Math" w:hAnsi="Cambria Math"/>
                  <w:i/>
                  <w:szCs w:val="20"/>
                  <w:lang w:val="en-US"/>
                </w:rPr>
              </m:ctrlPr>
            </m:fPr>
            <m:num>
              <m:r>
                <w:rPr>
                  <w:rFonts w:ascii="Cambria Math" w:hAnsi="Cambria Math"/>
                  <w:szCs w:val="20"/>
                  <w:lang w:val="en-US"/>
                </w:rPr>
                <m:t>7950</m:t>
              </m:r>
            </m:num>
            <m:den>
              <m:r>
                <w:rPr>
                  <w:rFonts w:ascii="Cambria Math" w:hAnsi="Cambria Math"/>
                  <w:szCs w:val="20"/>
                  <w:lang w:val="en-US"/>
                </w:rPr>
                <m:t>11960</m:t>
              </m:r>
            </m:den>
          </m:f>
          <m:r>
            <w:rPr>
              <w:rFonts w:ascii="Cambria Math" w:hAnsi="Cambria Math"/>
              <w:szCs w:val="20"/>
              <w:lang w:val="en-US"/>
            </w:rPr>
            <m:t>=0,66</m:t>
          </m:r>
        </m:oMath>
      </m:oMathPara>
    </w:p>
    <w:p w:rsidR="004F47BB" w:rsidRPr="004F47BB" w:rsidRDefault="004F47BB" w:rsidP="004F47BB">
      <w:pPr>
        <w:overflowPunct w:val="0"/>
        <w:adjustRightInd w:val="0"/>
        <w:spacing w:line="240" w:lineRule="atLeast"/>
        <w:ind w:left="567" w:firstLine="0"/>
        <w:textAlignment w:val="baseline"/>
        <w:rPr>
          <w:szCs w:val="20"/>
          <w:lang w:val="en-US"/>
        </w:rPr>
      </w:pPr>
    </w:p>
    <w:p w:rsidR="004F47BB" w:rsidRPr="004F47BB" w:rsidRDefault="004F47BB" w:rsidP="004F47BB">
      <w:pPr>
        <w:tabs>
          <w:tab w:val="left" w:pos="284"/>
        </w:tabs>
        <w:overflowPunct w:val="0"/>
        <w:adjustRightInd w:val="0"/>
        <w:spacing w:line="240" w:lineRule="exact"/>
        <w:ind w:left="0" w:firstLine="0"/>
        <w:jc w:val="left"/>
        <w:textAlignment w:val="baseline"/>
        <w:rPr>
          <w:szCs w:val="20"/>
          <w:lang w:val="en-US"/>
        </w:rPr>
      </w:pPr>
    </w:p>
    <w:p w:rsidR="004F47BB" w:rsidRPr="004F47BB" w:rsidRDefault="004F47BB" w:rsidP="004F47BB">
      <w:pPr>
        <w:tabs>
          <w:tab w:val="left" w:pos="284"/>
        </w:tabs>
        <w:overflowPunct w:val="0"/>
        <w:adjustRightInd w:val="0"/>
        <w:spacing w:line="240" w:lineRule="atLeast"/>
        <w:ind w:left="567" w:firstLine="0"/>
        <w:jc w:val="left"/>
        <w:textAlignment w:val="baseline"/>
        <w:rPr>
          <w:szCs w:val="20"/>
          <w:lang w:val="en-US"/>
        </w:rPr>
      </w:pPr>
      <w:r w:rsidRPr="004F47BB">
        <w:rPr>
          <w:szCs w:val="20"/>
          <w:lang w:val="en-US"/>
        </w:rPr>
        <w:t>The permissible deadweight in this formation is (see (1)):</w:t>
      </w:r>
    </w:p>
    <w:p w:rsidR="004F47BB" w:rsidRPr="004F47BB" w:rsidRDefault="004F47BB" w:rsidP="004F47BB">
      <w:pPr>
        <w:tabs>
          <w:tab w:val="left" w:pos="284"/>
        </w:tabs>
        <w:overflowPunct w:val="0"/>
        <w:adjustRightInd w:val="0"/>
        <w:spacing w:line="240" w:lineRule="atLeast"/>
        <w:ind w:left="567" w:firstLine="0"/>
        <w:jc w:val="left"/>
        <w:textAlignment w:val="baseline"/>
        <w:rPr>
          <w:szCs w:val="20"/>
          <w:lang w:val="en-US"/>
        </w:rPr>
      </w:pPr>
    </w:p>
    <w:p w:rsidR="004F47BB" w:rsidRPr="004F47BB" w:rsidRDefault="004F47BB" w:rsidP="004F47BB">
      <w:pPr>
        <w:tabs>
          <w:tab w:val="left" w:pos="284"/>
        </w:tabs>
        <w:overflowPunct w:val="0"/>
        <w:adjustRightInd w:val="0"/>
        <w:spacing w:line="240" w:lineRule="atLeast"/>
        <w:ind w:left="567" w:firstLine="0"/>
        <w:jc w:val="left"/>
        <w:textAlignment w:val="baseline"/>
        <w:rPr>
          <w:szCs w:val="20"/>
          <w:lang w:val="en-US"/>
        </w:rPr>
      </w:pPr>
      <m:oMathPara>
        <m:oMathParaPr>
          <m:jc m:val="left"/>
        </m:oMathParaPr>
        <m:oMath>
          <m:r>
            <w:rPr>
              <w:rFonts w:ascii="Cambria Math" w:hAnsi="Cambria Math"/>
              <w:szCs w:val="20"/>
              <w:lang w:val="en-US"/>
            </w:rPr>
            <m:t>0,66 ∙10700=</m:t>
          </m:r>
          <m:r>
            <m:rPr>
              <m:sty m:val="bi"/>
            </m:rPr>
            <w:rPr>
              <w:rFonts w:ascii="Cambria Math" w:hAnsi="Cambria Math"/>
              <w:szCs w:val="20"/>
              <w:lang w:val="en-US"/>
            </w:rPr>
            <m:t>7112 t</m:t>
          </m:r>
        </m:oMath>
      </m:oMathPara>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sectPr w:rsidR="004F47BB" w:rsidRPr="004F47BB" w:rsidSect="00D45887">
          <w:headerReference w:type="first" r:id="rId126"/>
          <w:pgSz w:w="11907" w:h="16840" w:code="9"/>
          <w:pgMar w:top="1418" w:right="1418" w:bottom="1418" w:left="1418" w:header="680" w:footer="680" w:gutter="0"/>
          <w:cols w:space="720"/>
          <w:noEndnote/>
          <w:titlePg/>
        </w:sectPr>
      </w:pPr>
    </w:p>
    <w:p w:rsidR="004F47BB" w:rsidRPr="004F47BB" w:rsidRDefault="004F47BB" w:rsidP="005B46C9">
      <w:pPr>
        <w:pStyle w:val="ESch"/>
        <w:rPr>
          <w:lang w:val="en-US"/>
        </w:rPr>
      </w:pPr>
    </w:p>
    <w:p w:rsidR="004F47BB" w:rsidRPr="004F47BB" w:rsidRDefault="004F47BB" w:rsidP="005B46C9">
      <w:pPr>
        <w:pStyle w:val="ES-Titre2ESI"/>
      </w:pPr>
      <w:bookmarkStart w:id="394" w:name="_Toc491854353"/>
      <w:r w:rsidRPr="004F47BB">
        <w:t>ESI-II-4</w:t>
      </w:r>
      <w:r w:rsidRPr="004F47BB">
        <w:br/>
        <w:t>Capacity for taking evasive action and turning capacity</w:t>
      </w:r>
      <w:bookmarkEnd w:id="394"/>
    </w:p>
    <w:p w:rsidR="004F47BB" w:rsidRPr="004F47BB" w:rsidRDefault="004F47BB" w:rsidP="004F47BB">
      <w:pPr>
        <w:overflowPunct w:val="0"/>
        <w:adjustRightInd w:val="0"/>
        <w:ind w:left="0" w:firstLine="0"/>
        <w:jc w:val="center"/>
        <w:textAlignment w:val="baseline"/>
        <w:rPr>
          <w:szCs w:val="20"/>
          <w:lang w:val="en-US"/>
        </w:rPr>
      </w:pPr>
    </w:p>
    <w:p w:rsidR="004F47BB" w:rsidRPr="004F47BB" w:rsidRDefault="004F47BB" w:rsidP="004F47BB">
      <w:pPr>
        <w:tabs>
          <w:tab w:val="center" w:pos="4666"/>
        </w:tabs>
        <w:overflowPunct w:val="0"/>
        <w:adjustRightInd w:val="0"/>
        <w:ind w:left="0" w:firstLine="0"/>
        <w:jc w:val="center"/>
        <w:textAlignment w:val="baseline"/>
        <w:rPr>
          <w:b/>
          <w:szCs w:val="20"/>
          <w:lang w:val="en-US"/>
        </w:rPr>
      </w:pPr>
      <w:r w:rsidRPr="004F47BB">
        <w:rPr>
          <w:b/>
          <w:szCs w:val="20"/>
          <w:lang w:val="en-US"/>
        </w:rPr>
        <w:t>(Articles 5.09 and 5.10 in conjunction with Articles 5.02(1), 5.03(1), 5.04 and 21.06)</w:t>
      </w:r>
    </w:p>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ind w:left="0" w:firstLine="0"/>
        <w:jc w:val="left"/>
        <w:textAlignment w:val="baseline"/>
        <w:rPr>
          <w:b/>
          <w:szCs w:val="20"/>
          <w:lang w:val="en-US"/>
        </w:rPr>
      </w:pPr>
    </w:p>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ind w:left="0" w:firstLine="0"/>
        <w:jc w:val="left"/>
        <w:textAlignment w:val="baseline"/>
        <w:rPr>
          <w:b/>
          <w:szCs w:val="20"/>
          <w:lang w:val="en-US"/>
        </w:rPr>
      </w:pPr>
    </w:p>
    <w:p w:rsidR="004F47BB" w:rsidRPr="004F47BB" w:rsidRDefault="004F47BB" w:rsidP="004F47BB">
      <w:pPr>
        <w:tabs>
          <w:tab w:val="left" w:pos="567"/>
        </w:tabs>
        <w:overflowPunct w:val="0"/>
        <w:adjustRightInd w:val="0"/>
        <w:ind w:left="567" w:hanging="567"/>
        <w:jc w:val="left"/>
        <w:textAlignment w:val="baseline"/>
        <w:rPr>
          <w:b/>
          <w:szCs w:val="20"/>
          <w:lang w:val="en-US"/>
        </w:rPr>
      </w:pPr>
      <w:r w:rsidRPr="004F47BB">
        <w:rPr>
          <w:b/>
          <w:szCs w:val="20"/>
          <w:lang w:val="en-US"/>
        </w:rPr>
        <w:t>1.</w:t>
      </w:r>
      <w:r w:rsidRPr="004F47BB">
        <w:rPr>
          <w:b/>
          <w:szCs w:val="20"/>
          <w:lang w:val="en-US"/>
        </w:rPr>
        <w:tab/>
        <w:t>General conditions and boundary conditions relating to the evasive action test</w:t>
      </w:r>
    </w:p>
    <w:p w:rsidR="004F47BB" w:rsidRPr="004F47BB" w:rsidRDefault="004F47BB" w:rsidP="004F47BB">
      <w:pPr>
        <w:tabs>
          <w:tab w:val="left" w:pos="426"/>
        </w:tabs>
        <w:overflowPunct w:val="0"/>
        <w:adjustRightInd w:val="0"/>
        <w:ind w:left="426" w:hanging="426"/>
        <w:jc w:val="left"/>
        <w:textAlignment w:val="baseline"/>
        <w:rPr>
          <w:szCs w:val="20"/>
          <w:lang w:val="en-US"/>
        </w:rPr>
      </w:pPr>
    </w:p>
    <w:p w:rsidR="004F47BB" w:rsidRPr="004F47BB" w:rsidRDefault="004F47BB" w:rsidP="004F47BB">
      <w:pPr>
        <w:spacing w:line="240" w:lineRule="atLeast"/>
        <w:ind w:left="567" w:hanging="567"/>
        <w:rPr>
          <w:lang w:val="en-US"/>
        </w:rPr>
      </w:pPr>
      <w:r w:rsidRPr="004F47BB">
        <w:rPr>
          <w:lang w:val="en-US"/>
        </w:rPr>
        <w:t>1.1</w:t>
      </w:r>
      <w:r w:rsidRPr="004F47BB">
        <w:rPr>
          <w:lang w:val="en-US"/>
        </w:rPr>
        <w:tab/>
        <w:t>According to Article 5.09, vessels and convoys shall be able to take evasive action in good time and the capacity for such action shall be proved by evasive action manoeuvres in the test area in accordance with Article 5.03. This shall be proved by simulated evasive action manoeuvres to port and starboard with prescribed values whereby for specific turning speeds of the vessel in response to putting across and then checking the helm a certain time limit shall be complied with.</w:t>
      </w:r>
    </w:p>
    <w:p w:rsidR="004F47BB" w:rsidRPr="004F47BB" w:rsidRDefault="004F47BB" w:rsidP="004F47BB">
      <w:pPr>
        <w:tabs>
          <w:tab w:val="left" w:pos="426"/>
        </w:tabs>
        <w:overflowPunct w:val="0"/>
        <w:adjustRightInd w:val="0"/>
        <w:ind w:left="426" w:hanging="426"/>
        <w:textAlignment w:val="baseline"/>
        <w:rPr>
          <w:szCs w:val="20"/>
          <w:lang w:val="en-US"/>
        </w:rPr>
      </w:pPr>
    </w:p>
    <w:p w:rsidR="004F47BB" w:rsidRPr="004F47BB" w:rsidRDefault="004F47BB" w:rsidP="004F47BB">
      <w:pPr>
        <w:spacing w:line="240" w:lineRule="atLeast"/>
        <w:ind w:left="567" w:firstLine="0"/>
        <w:rPr>
          <w:lang w:val="en-US"/>
        </w:rPr>
      </w:pPr>
      <w:r w:rsidRPr="004F47BB">
        <w:rPr>
          <w:lang w:val="en-US"/>
        </w:rPr>
        <w:t>During tests the requirements of Section 2 shall be complied with keeping a keel clearance of at least 20 % of the draught, but not less than 0,50 m.</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tabs>
          <w:tab w:val="left" w:pos="567"/>
        </w:tabs>
        <w:overflowPunct w:val="0"/>
        <w:adjustRightInd w:val="0"/>
        <w:ind w:left="567" w:hanging="567"/>
        <w:jc w:val="left"/>
        <w:textAlignment w:val="baseline"/>
        <w:rPr>
          <w:b/>
          <w:szCs w:val="20"/>
          <w:lang w:val="en-US"/>
        </w:rPr>
      </w:pPr>
      <w:r w:rsidRPr="004F47BB">
        <w:rPr>
          <w:b/>
          <w:szCs w:val="20"/>
          <w:lang w:val="en-US"/>
        </w:rPr>
        <w:t>2.</w:t>
      </w:r>
      <w:r w:rsidRPr="004F47BB">
        <w:rPr>
          <w:b/>
          <w:szCs w:val="20"/>
          <w:lang w:val="en-US"/>
        </w:rPr>
        <w:tab/>
        <w:t>Evasive action test procedure and recording of data</w:t>
      </w:r>
    </w:p>
    <w:p w:rsidR="004F47BB" w:rsidRPr="004F47BB" w:rsidRDefault="004F47BB" w:rsidP="004F47BB">
      <w:pPr>
        <w:spacing w:line="240" w:lineRule="atLeast"/>
        <w:ind w:left="567" w:firstLine="0"/>
        <w:rPr>
          <w:lang w:val="en-US"/>
        </w:rPr>
      </w:pPr>
      <w:r w:rsidRPr="004F47BB">
        <w:rPr>
          <w:lang w:val="en-US"/>
        </w:rPr>
        <w:t>(Diagram in Annex 1)</w:t>
      </w:r>
    </w:p>
    <w:p w:rsidR="004F47BB" w:rsidRPr="004F47BB" w:rsidRDefault="004F47BB" w:rsidP="004F47BB">
      <w:pPr>
        <w:tabs>
          <w:tab w:val="left" w:pos="426"/>
        </w:tabs>
        <w:overflowPunct w:val="0"/>
        <w:adjustRightInd w:val="0"/>
        <w:ind w:left="426" w:hanging="426"/>
        <w:jc w:val="left"/>
        <w:textAlignment w:val="baseline"/>
        <w:rPr>
          <w:szCs w:val="20"/>
          <w:lang w:val="en-US"/>
        </w:rPr>
      </w:pPr>
    </w:p>
    <w:p w:rsidR="004F47BB" w:rsidRPr="004F47BB" w:rsidRDefault="004F47BB" w:rsidP="004F47BB">
      <w:pPr>
        <w:tabs>
          <w:tab w:val="left" w:pos="567"/>
        </w:tabs>
        <w:overflowPunct w:val="0"/>
        <w:adjustRightInd w:val="0"/>
        <w:ind w:left="567" w:hanging="567"/>
        <w:textAlignment w:val="baseline"/>
        <w:rPr>
          <w:szCs w:val="20"/>
          <w:lang w:val="en-US"/>
        </w:rPr>
      </w:pPr>
      <w:r w:rsidRPr="004F47BB">
        <w:rPr>
          <w:szCs w:val="20"/>
          <w:lang w:val="en-US"/>
        </w:rPr>
        <w:t>2.1</w:t>
      </w:r>
      <w:r w:rsidRPr="004F47BB">
        <w:rPr>
          <w:szCs w:val="20"/>
          <w:lang w:val="en-US"/>
        </w:rPr>
        <w:tab/>
        <w:t>Evasive action manoeuvres shall be performed as follows:</w:t>
      </w:r>
    </w:p>
    <w:p w:rsidR="004F47BB" w:rsidRPr="004F47BB" w:rsidRDefault="004F47BB" w:rsidP="004F47BB">
      <w:pPr>
        <w:tabs>
          <w:tab w:val="left" w:pos="426"/>
        </w:tabs>
        <w:overflowPunct w:val="0"/>
        <w:adjustRightInd w:val="0"/>
        <w:ind w:left="426" w:hanging="426"/>
        <w:jc w:val="left"/>
        <w:textAlignment w:val="baseline"/>
        <w:rPr>
          <w:szCs w:val="20"/>
          <w:lang w:val="en-US"/>
        </w:rPr>
      </w:pPr>
    </w:p>
    <w:p w:rsidR="004F47BB" w:rsidRPr="004F47BB" w:rsidRDefault="004F47BB" w:rsidP="004F47BB">
      <w:pPr>
        <w:tabs>
          <w:tab w:val="left" w:pos="567"/>
        </w:tabs>
        <w:overflowPunct w:val="0"/>
        <w:adjustRightInd w:val="0"/>
        <w:ind w:left="567" w:hanging="567"/>
        <w:textAlignment w:val="baseline"/>
        <w:rPr>
          <w:szCs w:val="20"/>
          <w:lang w:val="en-US"/>
        </w:rPr>
      </w:pPr>
      <w:r w:rsidRPr="004F47BB">
        <w:rPr>
          <w:szCs w:val="20"/>
          <w:lang w:val="en-US"/>
        </w:rPr>
        <w:tab/>
        <w:t xml:space="preserve">With the vessel or convoy under way at a constant speed of </w:t>
      </w:r>
      <m:oMath>
        <m:r>
          <w:rPr>
            <w:rFonts w:ascii="Cambria Math" w:hAnsi="Cambria Math" w:cs="Arial"/>
            <w:szCs w:val="20"/>
            <w:lang w:val="nl-NL" w:eastAsia="de-DE"/>
          </w:rPr>
          <m:t>V</m:t>
        </m:r>
        <m:r>
          <w:rPr>
            <w:rFonts w:ascii="Cambria Math" w:hAnsi="Cambria Math" w:cs="Arial"/>
            <w:szCs w:val="20"/>
            <w:vertAlign w:val="subscript"/>
            <w:lang w:val="nl-NL" w:eastAsia="de-DE"/>
          </w:rPr>
          <m:t>o</m:t>
        </m:r>
      </m:oMath>
      <w:r w:rsidRPr="004F47BB">
        <w:rPr>
          <w:szCs w:val="20"/>
          <w:lang w:val="en-US"/>
        </w:rPr>
        <w:t xml:space="preserve"> = 13 km/h in relation to the water, at the start of the manoeuvre (time </w:t>
      </w:r>
      <m:oMath>
        <m:sSub>
          <m:sSubPr>
            <m:ctrlPr>
              <w:rPr>
                <w:rFonts w:ascii="Cambria Math" w:hAnsi="Cambria Math" w:cs="Arial"/>
                <w:i/>
                <w:szCs w:val="20"/>
                <w:lang w:val="nl-NL" w:eastAsia="de-DE"/>
              </w:rPr>
            </m:ctrlPr>
          </m:sSubPr>
          <m:e>
            <m:r>
              <w:rPr>
                <w:rFonts w:ascii="Cambria Math" w:hAnsi="Cambria Math" w:cs="Arial"/>
                <w:szCs w:val="20"/>
                <w:lang w:val="nl-NL" w:eastAsia="de-DE"/>
              </w:rPr>
              <m:t>t</m:t>
            </m:r>
          </m:e>
          <m:sub>
            <m:r>
              <w:rPr>
                <w:rFonts w:ascii="Cambria Math" w:hAnsi="Cambria Math" w:cs="Arial"/>
                <w:szCs w:val="20"/>
                <w:lang w:val="en-US" w:eastAsia="de-DE"/>
              </w:rPr>
              <m:t>0</m:t>
            </m:r>
          </m:sub>
        </m:sSub>
      </m:oMath>
      <w:r w:rsidRPr="004F47BB">
        <w:rPr>
          <w:szCs w:val="20"/>
          <w:lang w:val="en-US"/>
        </w:rPr>
        <w:t xml:space="preserve"> = 0 s, turning speed </w:t>
      </w:r>
      <m:oMath>
        <m:r>
          <w:rPr>
            <w:rFonts w:ascii="Cambria Math" w:hAnsi="Cambria Math"/>
            <w:szCs w:val="20"/>
            <w:lang w:val="en-US"/>
          </w:rPr>
          <m:t>r</m:t>
        </m:r>
      </m:oMath>
      <w:r w:rsidRPr="004F47BB">
        <w:rPr>
          <w:szCs w:val="20"/>
          <w:lang w:val="en-US"/>
        </w:rPr>
        <w:t xml:space="preserve"> = 0°/min, rudder angle </w:t>
      </w:r>
      <m:oMath>
        <m:sSub>
          <m:sSubPr>
            <m:ctrlPr>
              <w:rPr>
                <w:rFonts w:ascii="Cambria Math" w:hAnsi="Cambria Math"/>
                <w:i/>
                <w:szCs w:val="20"/>
                <w:lang w:val="en-US"/>
              </w:rPr>
            </m:ctrlPr>
          </m:sSubPr>
          <m:e>
            <m:r>
              <w:rPr>
                <w:rFonts w:ascii="Cambria Math" w:hAnsi="Cambria Math"/>
                <w:szCs w:val="20"/>
                <w:lang w:val="en-US"/>
              </w:rPr>
              <m:t>δ</m:t>
            </m:r>
          </m:e>
          <m:sub>
            <m:r>
              <w:rPr>
                <w:rFonts w:ascii="Cambria Math" w:hAnsi="Cambria Math"/>
                <w:szCs w:val="20"/>
                <w:lang w:val="en-US"/>
              </w:rPr>
              <m:t>0</m:t>
            </m:r>
          </m:sub>
        </m:sSub>
      </m:oMath>
      <w:r w:rsidRPr="004F47BB">
        <w:rPr>
          <w:szCs w:val="20"/>
          <w:lang w:val="en-US"/>
        </w:rPr>
        <w:t xml:space="preserve"> = 0°, engine speed kept constant), evasive action to port or starboard is to be initiated by putting across the helm. The rudder shall be set to an angle </w:t>
      </w:r>
      <m:oMath>
        <m:r>
          <w:rPr>
            <w:rFonts w:ascii="Cambria Math" w:hAnsi="Cambria Math"/>
            <w:szCs w:val="20"/>
          </w:rPr>
          <m:t>δ</m:t>
        </m:r>
      </m:oMath>
      <w:r w:rsidRPr="004F47BB">
        <w:rPr>
          <w:szCs w:val="20"/>
          <w:lang w:val="en-US"/>
        </w:rPr>
        <w:t xml:space="preserve">, or the steering unit to an angle </w:t>
      </w:r>
      <m:oMath>
        <m:sSub>
          <m:sSubPr>
            <m:ctrlPr>
              <w:rPr>
                <w:rFonts w:ascii="Cambria Math" w:hAnsi="Cambria Math"/>
                <w:i/>
                <w:szCs w:val="20"/>
                <w:lang w:val="en-US"/>
              </w:rPr>
            </m:ctrlPr>
          </m:sSubPr>
          <m:e>
            <m:r>
              <w:rPr>
                <w:rFonts w:ascii="Cambria Math" w:hAnsi="Cambria Math"/>
                <w:szCs w:val="20"/>
                <w:lang w:val="en-US"/>
              </w:rPr>
              <m:t>δ</m:t>
            </m:r>
          </m:e>
          <m:sub>
            <m:r>
              <w:rPr>
                <w:rFonts w:ascii="Cambria Math" w:hAnsi="Cambria Math"/>
                <w:szCs w:val="20"/>
                <w:lang w:val="en-US"/>
              </w:rPr>
              <m:t>a</m:t>
            </m:r>
          </m:sub>
        </m:sSub>
      </m:oMath>
      <w:r w:rsidRPr="004F47BB">
        <w:rPr>
          <w:szCs w:val="20"/>
          <w:lang w:val="en-US"/>
        </w:rPr>
        <w:t xml:space="preserve"> in the case of an active steering device, at the start of the manoeuvre, in accordance with the indications given in (2.3). The rudder angle </w:t>
      </w:r>
      <m:oMath>
        <m:r>
          <w:rPr>
            <w:rFonts w:ascii="Cambria Math" w:hAnsi="Cambria Math"/>
            <w:szCs w:val="20"/>
          </w:rPr>
          <m:t>δ</m:t>
        </m:r>
      </m:oMath>
      <w:r w:rsidRPr="004F47BB">
        <w:rPr>
          <w:szCs w:val="20"/>
          <w:lang w:val="en-US"/>
        </w:rPr>
        <w:t xml:space="preserve"> (e.g. 20° to starboard) shall be maintained until the value </w:t>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1</m:t>
            </m:r>
          </m:sub>
        </m:sSub>
      </m:oMath>
      <w:r w:rsidRPr="004F47BB">
        <w:rPr>
          <w:szCs w:val="20"/>
          <w:lang w:val="en-US"/>
        </w:rPr>
        <w:t xml:space="preserve"> of the turning speed referred to in (2.2) for the corresponding dimensions of the vessel or convoy is reached. When the turning speed </w:t>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1</m:t>
            </m:r>
          </m:sub>
        </m:sSub>
      </m:oMath>
      <w:r w:rsidRPr="004F47BB">
        <w:rPr>
          <w:szCs w:val="20"/>
          <w:lang w:val="en-US"/>
        </w:rPr>
        <w:t xml:space="preserve"> is reached, the time </w:t>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1</m:t>
            </m:r>
          </m:sub>
        </m:sSub>
      </m:oMath>
      <w:r w:rsidRPr="004F47BB">
        <w:rPr>
          <w:szCs w:val="20"/>
          <w:lang w:val="en-US"/>
        </w:rPr>
        <w:t xml:space="preserve"> shall be recorded and the rudder set to the same angle on the opposite side (e.g. 20° to port) so as to stop the turn and commence turning in the opposite direction, i.e., to reduce the turning speed to </w:t>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2</m:t>
            </m:r>
          </m:sub>
        </m:sSub>
      </m:oMath>
      <w:r w:rsidRPr="004F47BB">
        <w:rPr>
          <w:szCs w:val="20"/>
          <w:lang w:val="en-US"/>
        </w:rPr>
        <w:t xml:space="preserve"> = 0 and let it to rise again to the value given in (2.2). When the turning speed </w:t>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2</m:t>
            </m:r>
          </m:sub>
        </m:sSub>
      </m:oMath>
      <w:r w:rsidRPr="004F47BB">
        <w:rPr>
          <w:szCs w:val="20"/>
          <w:lang w:val="en-US"/>
        </w:rPr>
        <w:t xml:space="preserve"> = 0 is reached, the time </w:t>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2</m:t>
            </m:r>
          </m:sub>
        </m:sSub>
      </m:oMath>
      <w:r w:rsidRPr="004F47BB">
        <w:rPr>
          <w:szCs w:val="20"/>
          <w:lang w:val="en-US"/>
        </w:rPr>
        <w:t xml:space="preserve"> shall be recorded. When the turning speed </w:t>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3</m:t>
            </m:r>
          </m:sub>
        </m:sSub>
      </m:oMath>
      <w:r w:rsidRPr="004F47BB">
        <w:rPr>
          <w:szCs w:val="20"/>
          <w:lang w:val="en-US"/>
        </w:rPr>
        <w:t xml:space="preserve"> given in (2.2) is reached, the rudder shall be set in the opposite direction to the same angle </w:t>
      </w:r>
      <m:oMath>
        <m:r>
          <w:rPr>
            <w:rFonts w:ascii="Cambria Math" w:hAnsi="Cambria Math"/>
            <w:szCs w:val="20"/>
          </w:rPr>
          <m:t>δ</m:t>
        </m:r>
      </m:oMath>
      <w:r w:rsidRPr="004F47BB">
        <w:rPr>
          <w:szCs w:val="20"/>
          <w:lang w:val="en-US"/>
        </w:rPr>
        <w:t xml:space="preserve">, so as to stop the turning movement. The time </w:t>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3</m:t>
            </m:r>
          </m:sub>
        </m:sSub>
      </m:oMath>
      <w:r w:rsidRPr="004F47BB">
        <w:rPr>
          <w:szCs w:val="20"/>
          <w:lang w:val="en-US"/>
        </w:rPr>
        <w:t xml:space="preserve"> shall be recorded. When the turning speed </w:t>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4</m:t>
            </m:r>
          </m:sub>
        </m:sSub>
      </m:oMath>
      <w:r w:rsidRPr="004F47BB">
        <w:rPr>
          <w:szCs w:val="20"/>
          <w:lang w:val="en-US"/>
        </w:rPr>
        <w:t xml:space="preserve"> = 0 is reached, the time </w:t>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4</m:t>
            </m:r>
          </m:sub>
        </m:sSub>
      </m:oMath>
      <w:r w:rsidRPr="004F47BB">
        <w:rPr>
          <w:szCs w:val="20"/>
          <w:lang w:val="en-US"/>
        </w:rPr>
        <w:t xml:space="preserve"> shall be recorded and the vessel or convoy shall be returned to its original course.</w:t>
      </w:r>
    </w:p>
    <w:p w:rsidR="004F47BB" w:rsidRPr="004F47BB" w:rsidRDefault="004F47BB" w:rsidP="004F47BB">
      <w:pPr>
        <w:overflowPunct w:val="0"/>
        <w:adjustRightInd w:val="0"/>
        <w:ind w:left="0" w:firstLine="0"/>
        <w:textAlignment w:val="baseline"/>
        <w:rPr>
          <w:szCs w:val="20"/>
          <w:lang w:val="en-US"/>
        </w:rPr>
      </w:pPr>
    </w:p>
    <w:p w:rsidR="004F47BB" w:rsidRPr="004F47BB" w:rsidRDefault="004F47BB" w:rsidP="004F47BB">
      <w:pPr>
        <w:overflowPunct w:val="0"/>
        <w:adjustRightInd w:val="0"/>
        <w:ind w:left="0" w:firstLine="0"/>
        <w:textAlignment w:val="baseline"/>
        <w:rPr>
          <w:szCs w:val="20"/>
          <w:lang w:val="en-US"/>
        </w:rPr>
      </w:pPr>
      <w:r w:rsidRPr="004F47BB">
        <w:rPr>
          <w:szCs w:val="20"/>
          <w:lang w:val="en-US"/>
        </w:rPr>
        <w:br w:type="page"/>
      </w:r>
    </w:p>
    <w:p w:rsidR="004F47BB" w:rsidRPr="004F47BB" w:rsidRDefault="004F47BB" w:rsidP="004F47BB">
      <w:pPr>
        <w:tabs>
          <w:tab w:val="left" w:pos="567"/>
        </w:tabs>
        <w:overflowPunct w:val="0"/>
        <w:adjustRightInd w:val="0"/>
        <w:ind w:left="567" w:hanging="567"/>
        <w:textAlignment w:val="baseline"/>
        <w:rPr>
          <w:szCs w:val="20"/>
          <w:lang w:val="en-US"/>
        </w:rPr>
      </w:pPr>
      <w:r w:rsidRPr="004F47BB">
        <w:rPr>
          <w:szCs w:val="20"/>
          <w:lang w:val="en-US"/>
        </w:rPr>
        <w:lastRenderedPageBreak/>
        <w:t>2.2</w:t>
      </w:r>
      <w:r w:rsidRPr="004F47BB">
        <w:rPr>
          <w:szCs w:val="20"/>
          <w:lang w:val="en-US"/>
        </w:rPr>
        <w:tab/>
        <w:t xml:space="preserve">The following limit values shall be complied with to reach turning speed </w:t>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4</m:t>
            </m:r>
          </m:sub>
        </m:sSub>
      </m:oMath>
      <w:r w:rsidRPr="004F47BB">
        <w:rPr>
          <w:rFonts w:cs="Arial"/>
          <w:szCs w:val="20"/>
          <w:lang w:val="en-US" w:eastAsia="de-DE"/>
        </w:rPr>
        <w:t xml:space="preserve"> </w:t>
      </w:r>
      <w:r w:rsidRPr="004F47BB">
        <w:rPr>
          <w:szCs w:val="20"/>
          <w:lang w:val="en-US"/>
        </w:rPr>
        <w:t xml:space="preserve">depending on the dimensions of the vessels or the convoys and on the water depth </w:t>
      </w:r>
      <m:oMath>
        <m:r>
          <w:rPr>
            <w:rFonts w:ascii="Cambria Math" w:hAnsi="Cambria Math"/>
            <w:szCs w:val="20"/>
            <w:lang w:val="en-US"/>
          </w:rPr>
          <m:t>h</m:t>
        </m:r>
      </m:oMath>
      <w:r w:rsidRPr="004F47BB">
        <w:rPr>
          <w:szCs w:val="20"/>
          <w:lang w:val="en-US"/>
        </w:rPr>
        <w:t>:</w:t>
      </w:r>
    </w:p>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ind w:left="0" w:firstLine="0"/>
        <w:jc w:val="left"/>
        <w:textAlignment w:val="baseline"/>
        <w:rPr>
          <w:szCs w:val="20"/>
          <w:lang w:val="en-US"/>
        </w:rPr>
      </w:pPr>
    </w:p>
    <w:tbl>
      <w:tblPr>
        <w:tblW w:w="998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40"/>
        <w:gridCol w:w="4139"/>
        <w:gridCol w:w="964"/>
        <w:gridCol w:w="964"/>
        <w:gridCol w:w="1191"/>
        <w:gridCol w:w="1191"/>
        <w:gridCol w:w="1191"/>
      </w:tblGrid>
      <w:tr w:rsidR="004F47BB" w:rsidRPr="00505433" w:rsidTr="00D45887">
        <w:trPr>
          <w:jc w:val="center"/>
        </w:trPr>
        <w:tc>
          <w:tcPr>
            <w:tcW w:w="340" w:type="dxa"/>
            <w:tcBorders>
              <w:top w:val="single" w:sz="6" w:space="0" w:color="auto"/>
              <w:left w:val="single" w:sz="6" w:space="0" w:color="auto"/>
              <w:bottom w:val="nil"/>
            </w:tcBorders>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20"/>
                <w:lang w:val="en-US"/>
              </w:rPr>
            </w:pPr>
          </w:p>
        </w:tc>
        <w:tc>
          <w:tcPr>
            <w:tcW w:w="4139" w:type="dxa"/>
            <w:tcBorders>
              <w:top w:val="single" w:sz="6" w:space="0" w:color="auto"/>
              <w:bottom w:val="nil"/>
            </w:tcBorders>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20"/>
              </w:rPr>
            </w:pPr>
            <w:r w:rsidRPr="004F47BB">
              <w:rPr>
                <w:sz w:val="18"/>
                <w:szCs w:val="20"/>
              </w:rPr>
              <w:t>Dimensions of vessels or convoys</w:t>
            </w:r>
            <w:r w:rsidRPr="004F47BB">
              <w:rPr>
                <w:sz w:val="18"/>
                <w:szCs w:val="20"/>
              </w:rPr>
              <w:br/>
            </w:r>
            <m:oMath>
              <m:r>
                <w:rPr>
                  <w:rFonts w:ascii="Cambria Math" w:hAnsi="Cambria Math"/>
                  <w:sz w:val="18"/>
                  <w:szCs w:val="20"/>
                </w:rPr>
                <m:t>L</m:t>
              </m:r>
            </m:oMath>
            <w:r w:rsidRPr="004F47BB">
              <w:rPr>
                <w:sz w:val="18"/>
                <w:szCs w:val="20"/>
              </w:rPr>
              <w:t xml:space="preserve"> x </w:t>
            </w:r>
            <m:oMath>
              <m:r>
                <w:rPr>
                  <w:rFonts w:ascii="Cambria Math" w:hAnsi="Cambria Math"/>
                  <w:sz w:val="18"/>
                  <w:szCs w:val="20"/>
                </w:rPr>
                <m:t>B</m:t>
              </m:r>
            </m:oMath>
          </w:p>
        </w:tc>
        <w:tc>
          <w:tcPr>
            <w:tcW w:w="1928" w:type="dxa"/>
            <w:gridSpan w:val="2"/>
            <w:tcBorders>
              <w:top w:val="single" w:sz="6" w:space="0" w:color="auto"/>
            </w:tcBorders>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20"/>
                <w:lang w:val="en-US"/>
              </w:rPr>
            </w:pPr>
            <w:r w:rsidRPr="004F47BB">
              <w:rPr>
                <w:sz w:val="18"/>
                <w:szCs w:val="20"/>
                <w:lang w:val="en-US"/>
              </w:rPr>
              <w:t>Required turning speed</w:t>
            </w:r>
            <w:r w:rsidRPr="004F47BB">
              <w:rPr>
                <w:sz w:val="18"/>
                <w:szCs w:val="20"/>
                <w:lang w:val="en-US"/>
              </w:rPr>
              <w:br/>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1</m:t>
                  </m:r>
                </m:sub>
              </m:sSub>
            </m:oMath>
            <w:r w:rsidRPr="004F47BB">
              <w:rPr>
                <w:rFonts w:cs="Arial"/>
                <w:szCs w:val="20"/>
                <w:lang w:val="en-US" w:eastAsia="de-DE"/>
              </w:rPr>
              <w:t xml:space="preserve"> </w:t>
            </w:r>
            <w:r w:rsidRPr="004F47BB">
              <w:rPr>
                <w:sz w:val="18"/>
                <w:szCs w:val="20"/>
                <w:lang w:val="en-US"/>
              </w:rPr>
              <w:t xml:space="preserve">= </w:t>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3</m:t>
                  </m:r>
                </m:sub>
              </m:sSub>
            </m:oMath>
            <w:r w:rsidRPr="004F47BB">
              <w:rPr>
                <w:rFonts w:cs="Arial"/>
                <w:szCs w:val="20"/>
                <w:lang w:val="en-US" w:eastAsia="de-DE"/>
              </w:rPr>
              <w:t xml:space="preserve"> </w:t>
            </w:r>
            <w:r w:rsidRPr="004F47BB">
              <w:rPr>
                <w:sz w:val="18"/>
                <w:szCs w:val="20"/>
                <w:lang w:val="en-US"/>
              </w:rPr>
              <w:t>[°/min]</w:t>
            </w:r>
          </w:p>
        </w:tc>
        <w:tc>
          <w:tcPr>
            <w:tcW w:w="3573" w:type="dxa"/>
            <w:gridSpan w:val="3"/>
            <w:tcBorders>
              <w:top w:val="single" w:sz="6" w:space="0" w:color="auto"/>
              <w:right w:val="single" w:sz="6" w:space="0" w:color="auto"/>
            </w:tcBorders>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20"/>
                <w:lang w:val="en-US"/>
              </w:rPr>
            </w:pPr>
            <w:r w:rsidRPr="004F47BB">
              <w:rPr>
                <w:sz w:val="18"/>
                <w:szCs w:val="20"/>
                <w:lang w:val="en-US"/>
              </w:rPr>
              <w:t xml:space="preserve">Limit values for the time </w:t>
            </w:r>
            <m:oMath>
              <m:sSub>
                <m:sSubPr>
                  <m:ctrlPr>
                    <w:rPr>
                      <w:rFonts w:ascii="Cambria Math" w:hAnsi="Cambria Math"/>
                      <w:i/>
                      <w:sz w:val="18"/>
                      <w:szCs w:val="20"/>
                      <w:lang w:val="en-US"/>
                    </w:rPr>
                  </m:ctrlPr>
                </m:sSubPr>
                <m:e>
                  <m:r>
                    <w:rPr>
                      <w:rFonts w:ascii="Cambria Math" w:hAnsi="Cambria Math"/>
                      <w:sz w:val="18"/>
                      <w:szCs w:val="20"/>
                      <w:lang w:val="en-US"/>
                    </w:rPr>
                    <m:t>t</m:t>
                  </m:r>
                </m:e>
                <m:sub>
                  <m:r>
                    <w:rPr>
                      <w:rFonts w:ascii="Cambria Math" w:hAnsi="Cambria Math"/>
                      <w:sz w:val="18"/>
                      <w:szCs w:val="20"/>
                      <w:lang w:val="en-US"/>
                    </w:rPr>
                    <m:t>4</m:t>
                  </m:r>
                </m:sub>
              </m:sSub>
            </m:oMath>
            <w:r w:rsidRPr="004F47BB">
              <w:rPr>
                <w:sz w:val="18"/>
                <w:szCs w:val="20"/>
                <w:lang w:val="en-US"/>
              </w:rPr>
              <w:t xml:space="preserve"> (s) in shallow </w:t>
            </w:r>
            <w:r w:rsidRPr="004F47BB">
              <w:rPr>
                <w:sz w:val="18"/>
                <w:szCs w:val="20"/>
                <w:lang w:val="en-US"/>
              </w:rPr>
              <w:br/>
              <w:t>and deep water</w:t>
            </w:r>
          </w:p>
        </w:tc>
      </w:tr>
      <w:tr w:rsidR="004F47BB" w:rsidRPr="004F47BB" w:rsidTr="00D45887">
        <w:trPr>
          <w:jc w:val="center"/>
        </w:trPr>
        <w:tc>
          <w:tcPr>
            <w:tcW w:w="340" w:type="dxa"/>
            <w:tcBorders>
              <w:top w:val="nil"/>
              <w:left w:val="single" w:sz="6" w:space="0" w:color="auto"/>
              <w:bottom w:val="single" w:sz="6" w:space="0" w:color="auto"/>
            </w:tcBorders>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Cs w:val="20"/>
                <w:lang w:val="en-US"/>
              </w:rPr>
            </w:pPr>
          </w:p>
        </w:tc>
        <w:tc>
          <w:tcPr>
            <w:tcW w:w="4139" w:type="dxa"/>
            <w:tcBorders>
              <w:top w:val="nil"/>
              <w:bottom w:val="single" w:sz="6" w:space="0" w:color="auto"/>
            </w:tcBorders>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Cs w:val="20"/>
                <w:lang w:val="en-US"/>
              </w:rPr>
            </w:pPr>
          </w:p>
        </w:tc>
        <w:tc>
          <w:tcPr>
            <w:tcW w:w="964"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20"/>
                <w:lang w:val="de-DE"/>
              </w:rPr>
            </w:pPr>
            <m:oMath>
              <m:r>
                <w:rPr>
                  <w:rFonts w:ascii="Cambria Math" w:hAnsi="Cambria Math"/>
                  <w:i/>
                  <w:sz w:val="18"/>
                  <w:szCs w:val="20"/>
                </w:rPr>
                <w:sym w:font="Symbol" w:char="F064"/>
              </m:r>
            </m:oMath>
            <w:r w:rsidRPr="004F47BB">
              <w:rPr>
                <w:sz w:val="18"/>
                <w:szCs w:val="20"/>
                <w:lang w:val="de-DE"/>
              </w:rPr>
              <w:t xml:space="preserve"> = 20°</w:t>
            </w:r>
          </w:p>
        </w:tc>
        <w:tc>
          <w:tcPr>
            <w:tcW w:w="964"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20"/>
                <w:lang w:val="de-DE"/>
              </w:rPr>
            </w:pPr>
            <m:oMath>
              <m:r>
                <w:rPr>
                  <w:rFonts w:ascii="Cambria Math" w:hAnsi="Cambria Math"/>
                  <w:i/>
                  <w:sz w:val="18"/>
                  <w:szCs w:val="20"/>
                </w:rPr>
                <w:sym w:font="Symbol" w:char="F064"/>
              </m:r>
            </m:oMath>
            <w:r w:rsidRPr="004F47BB">
              <w:rPr>
                <w:sz w:val="18"/>
                <w:szCs w:val="20"/>
                <w:lang w:val="de-DE"/>
              </w:rPr>
              <w:t xml:space="preserve"> = 45°</w:t>
            </w:r>
          </w:p>
        </w:tc>
        <w:tc>
          <w:tcPr>
            <w:tcW w:w="1191"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20"/>
                <w:lang w:val="de-DE"/>
              </w:rPr>
            </w:pPr>
            <w:r w:rsidRPr="004F47BB">
              <w:rPr>
                <w:sz w:val="18"/>
                <w:szCs w:val="20"/>
                <w:lang w:val="de-DE"/>
              </w:rPr>
              <w:t xml:space="preserve">1,2 </w:t>
            </w:r>
            <w:r w:rsidRPr="004F47BB">
              <w:rPr>
                <w:sz w:val="18"/>
                <w:szCs w:val="20"/>
              </w:rPr>
              <w:sym w:font="Symbol" w:char="F0A3"/>
            </w:r>
            <w:r w:rsidRPr="004F47BB">
              <w:rPr>
                <w:sz w:val="18"/>
                <w:szCs w:val="20"/>
                <w:lang w:val="de-DE"/>
              </w:rPr>
              <w:t xml:space="preserve"> h/T </w:t>
            </w:r>
            <w:r w:rsidRPr="004F47BB">
              <w:rPr>
                <w:sz w:val="18"/>
                <w:szCs w:val="20"/>
              </w:rPr>
              <w:sym w:font="Symbol" w:char="F0A3"/>
            </w:r>
            <w:r w:rsidRPr="004F47BB">
              <w:rPr>
                <w:sz w:val="18"/>
                <w:szCs w:val="20"/>
                <w:lang w:val="de-DE"/>
              </w:rPr>
              <w:t xml:space="preserve"> 1,4</w:t>
            </w:r>
          </w:p>
        </w:tc>
        <w:tc>
          <w:tcPr>
            <w:tcW w:w="1191"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20"/>
                <w:lang w:val="de-DE"/>
              </w:rPr>
            </w:pPr>
            <w:r w:rsidRPr="004F47BB">
              <w:rPr>
                <w:sz w:val="18"/>
                <w:szCs w:val="20"/>
                <w:lang w:val="de-DE"/>
              </w:rPr>
              <w:t xml:space="preserve">1,4 &lt; h/T </w:t>
            </w:r>
            <w:r w:rsidRPr="004F47BB">
              <w:rPr>
                <w:sz w:val="18"/>
                <w:szCs w:val="20"/>
                <w:lang w:val="de-DE"/>
              </w:rPr>
              <w:sym w:font="Symbol" w:char="F0A3"/>
            </w:r>
            <w:r w:rsidRPr="004F47BB">
              <w:rPr>
                <w:sz w:val="18"/>
                <w:szCs w:val="20"/>
                <w:lang w:val="de-DE"/>
              </w:rPr>
              <w:t xml:space="preserve"> 2</w:t>
            </w:r>
          </w:p>
        </w:tc>
        <w:tc>
          <w:tcPr>
            <w:tcW w:w="1191" w:type="dxa"/>
            <w:tcBorders>
              <w:bottom w:val="nil"/>
              <w:right w:val="single" w:sz="6" w:space="0" w:color="auto"/>
            </w:tcBorders>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20"/>
              </w:rPr>
            </w:pPr>
            <w:r w:rsidRPr="004F47BB">
              <w:rPr>
                <w:sz w:val="18"/>
                <w:szCs w:val="20"/>
              </w:rPr>
              <w:t>h/T &gt; 2</w:t>
            </w:r>
          </w:p>
        </w:tc>
      </w:tr>
      <w:tr w:rsidR="004F47BB" w:rsidRPr="004F47BB" w:rsidTr="00D45887">
        <w:trPr>
          <w:jc w:val="center"/>
        </w:trPr>
        <w:tc>
          <w:tcPr>
            <w:tcW w:w="340" w:type="dxa"/>
            <w:tcBorders>
              <w:top w:val="nil"/>
              <w:left w:val="single" w:sz="6" w:space="0" w:color="auto"/>
            </w:tcBorders>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rPr>
            </w:pPr>
            <w:r w:rsidRPr="004F47BB">
              <w:rPr>
                <w:sz w:val="18"/>
                <w:szCs w:val="18"/>
              </w:rPr>
              <w:t>1</w:t>
            </w:r>
          </w:p>
        </w:tc>
        <w:tc>
          <w:tcPr>
            <w:tcW w:w="4139" w:type="dxa"/>
            <w:tcBorders>
              <w:top w:val="nil"/>
            </w:tcBorders>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57" w:right="57" w:firstLine="0"/>
              <w:textAlignment w:val="baseline"/>
              <w:rPr>
                <w:sz w:val="18"/>
                <w:szCs w:val="20"/>
                <w:lang w:val="en-US"/>
              </w:rPr>
            </w:pPr>
            <w:r w:rsidRPr="004F47BB">
              <w:rPr>
                <w:sz w:val="18"/>
                <w:szCs w:val="20"/>
                <w:lang w:val="en-US"/>
              </w:rPr>
              <w:t>All motor vessels; single-in-line convoys ≤ 110 × 11,45</w:t>
            </w:r>
          </w:p>
        </w:tc>
        <w:tc>
          <w:tcPr>
            <w:tcW w:w="964"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lang w:val="nl-NL"/>
              </w:rPr>
            </w:pPr>
            <w:r w:rsidRPr="004F47BB">
              <w:rPr>
                <w:sz w:val="18"/>
                <w:szCs w:val="18"/>
                <w:lang w:val="nl-NL"/>
              </w:rPr>
              <w:t>20°/min</w:t>
            </w:r>
          </w:p>
        </w:tc>
        <w:tc>
          <w:tcPr>
            <w:tcW w:w="964"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lang w:val="nl-NL"/>
              </w:rPr>
            </w:pPr>
            <w:r w:rsidRPr="004F47BB">
              <w:rPr>
                <w:sz w:val="18"/>
                <w:szCs w:val="18"/>
                <w:lang w:val="nl-NL"/>
              </w:rPr>
              <w:t>28°/min</w:t>
            </w:r>
          </w:p>
        </w:tc>
        <w:tc>
          <w:tcPr>
            <w:tcW w:w="1191"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lang w:val="nl-NL"/>
              </w:rPr>
            </w:pPr>
            <w:r w:rsidRPr="004F47BB">
              <w:rPr>
                <w:sz w:val="18"/>
                <w:szCs w:val="18"/>
                <w:lang w:val="nl-NL"/>
              </w:rPr>
              <w:t>150 s</w:t>
            </w:r>
          </w:p>
        </w:tc>
        <w:tc>
          <w:tcPr>
            <w:tcW w:w="1191"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rPr>
            </w:pPr>
            <w:r w:rsidRPr="004F47BB">
              <w:rPr>
                <w:sz w:val="18"/>
                <w:szCs w:val="18"/>
              </w:rPr>
              <w:t>110 s</w:t>
            </w:r>
          </w:p>
        </w:tc>
        <w:tc>
          <w:tcPr>
            <w:tcW w:w="1191" w:type="dxa"/>
            <w:tcBorders>
              <w:top w:val="single" w:sz="6" w:space="0" w:color="auto"/>
              <w:bottom w:val="nil"/>
              <w:right w:val="single" w:sz="6" w:space="0" w:color="auto"/>
            </w:tcBorders>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rPr>
            </w:pPr>
            <w:r w:rsidRPr="004F47BB">
              <w:rPr>
                <w:sz w:val="18"/>
                <w:szCs w:val="18"/>
              </w:rPr>
              <w:t>110 s</w:t>
            </w:r>
          </w:p>
        </w:tc>
      </w:tr>
      <w:tr w:rsidR="004F47BB" w:rsidRPr="004F47BB" w:rsidTr="00D45887">
        <w:trPr>
          <w:jc w:val="center"/>
        </w:trPr>
        <w:tc>
          <w:tcPr>
            <w:tcW w:w="340" w:type="dxa"/>
            <w:tcBorders>
              <w:left w:val="single" w:sz="6" w:space="0" w:color="auto"/>
            </w:tcBorders>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rPr>
            </w:pPr>
            <w:r w:rsidRPr="004F47BB">
              <w:rPr>
                <w:sz w:val="18"/>
                <w:szCs w:val="18"/>
              </w:rPr>
              <w:t>2</w:t>
            </w:r>
          </w:p>
        </w:tc>
        <w:tc>
          <w:tcPr>
            <w:tcW w:w="4139" w:type="dxa"/>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57" w:right="57" w:firstLine="0"/>
              <w:textAlignment w:val="baseline"/>
              <w:rPr>
                <w:sz w:val="18"/>
                <w:szCs w:val="20"/>
                <w:lang w:val="en-US"/>
              </w:rPr>
            </w:pPr>
            <w:r w:rsidRPr="004F47BB">
              <w:rPr>
                <w:sz w:val="18"/>
                <w:szCs w:val="20"/>
                <w:lang w:val="en-US"/>
              </w:rPr>
              <w:t>Single-in-line convoys up to 193 × 11,45 or two-abreast convoys up to 110 × 22,90</w:t>
            </w:r>
          </w:p>
        </w:tc>
        <w:tc>
          <w:tcPr>
            <w:tcW w:w="964"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lang w:val="nl-NL"/>
              </w:rPr>
            </w:pPr>
            <w:r w:rsidRPr="004F47BB">
              <w:rPr>
                <w:sz w:val="18"/>
                <w:szCs w:val="18"/>
                <w:lang w:val="nl-NL"/>
              </w:rPr>
              <w:t>12°/min</w:t>
            </w:r>
          </w:p>
        </w:tc>
        <w:tc>
          <w:tcPr>
            <w:tcW w:w="964"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lang w:val="nl-NL"/>
              </w:rPr>
            </w:pPr>
            <w:r w:rsidRPr="004F47BB">
              <w:rPr>
                <w:sz w:val="18"/>
                <w:szCs w:val="18"/>
                <w:lang w:val="nl-NL"/>
              </w:rPr>
              <w:t>18°/min</w:t>
            </w:r>
          </w:p>
        </w:tc>
        <w:tc>
          <w:tcPr>
            <w:tcW w:w="1191"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lang w:val="nl-NL"/>
              </w:rPr>
            </w:pPr>
            <w:r w:rsidRPr="004F47BB">
              <w:rPr>
                <w:sz w:val="18"/>
                <w:szCs w:val="18"/>
                <w:lang w:val="nl-NL"/>
              </w:rPr>
              <w:t>180 s</w:t>
            </w:r>
          </w:p>
        </w:tc>
        <w:tc>
          <w:tcPr>
            <w:tcW w:w="1191"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rPr>
            </w:pPr>
            <w:r w:rsidRPr="004F47BB">
              <w:rPr>
                <w:sz w:val="18"/>
                <w:szCs w:val="18"/>
              </w:rPr>
              <w:t>130 s</w:t>
            </w:r>
          </w:p>
        </w:tc>
        <w:tc>
          <w:tcPr>
            <w:tcW w:w="1191" w:type="dxa"/>
            <w:tcBorders>
              <w:top w:val="single" w:sz="6" w:space="0" w:color="auto"/>
              <w:bottom w:val="single" w:sz="6" w:space="0" w:color="auto"/>
              <w:right w:val="single" w:sz="6" w:space="0" w:color="auto"/>
            </w:tcBorders>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rPr>
            </w:pPr>
            <w:r w:rsidRPr="004F47BB">
              <w:rPr>
                <w:sz w:val="18"/>
                <w:szCs w:val="18"/>
              </w:rPr>
              <w:t>110 s</w:t>
            </w:r>
          </w:p>
        </w:tc>
      </w:tr>
      <w:tr w:rsidR="004F47BB" w:rsidRPr="004F47BB" w:rsidTr="00D45887">
        <w:trPr>
          <w:jc w:val="center"/>
        </w:trPr>
        <w:tc>
          <w:tcPr>
            <w:tcW w:w="340" w:type="dxa"/>
            <w:tcBorders>
              <w:left w:val="single" w:sz="6" w:space="0" w:color="auto"/>
            </w:tcBorders>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rPr>
            </w:pPr>
            <w:r w:rsidRPr="004F47BB">
              <w:rPr>
                <w:sz w:val="18"/>
                <w:szCs w:val="18"/>
              </w:rPr>
              <w:t>3</w:t>
            </w:r>
          </w:p>
        </w:tc>
        <w:tc>
          <w:tcPr>
            <w:tcW w:w="4139" w:type="dxa"/>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57" w:right="57" w:firstLine="0"/>
              <w:textAlignment w:val="baseline"/>
              <w:rPr>
                <w:sz w:val="18"/>
                <w:szCs w:val="20"/>
              </w:rPr>
            </w:pPr>
            <w:r w:rsidRPr="004F47BB">
              <w:rPr>
                <w:sz w:val="18"/>
                <w:szCs w:val="20"/>
              </w:rPr>
              <w:t>Two-abreast convoys ≤ 193 × 22,90</w:t>
            </w:r>
          </w:p>
        </w:tc>
        <w:tc>
          <w:tcPr>
            <w:tcW w:w="964"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lang w:val="nl-NL"/>
              </w:rPr>
            </w:pPr>
            <w:r w:rsidRPr="004F47BB">
              <w:rPr>
                <w:sz w:val="18"/>
                <w:szCs w:val="18"/>
                <w:lang w:val="nl-NL"/>
              </w:rPr>
              <w:t>8°/min</w:t>
            </w:r>
          </w:p>
        </w:tc>
        <w:tc>
          <w:tcPr>
            <w:tcW w:w="964"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lang w:val="nl-NL"/>
              </w:rPr>
            </w:pPr>
            <w:r w:rsidRPr="004F47BB">
              <w:rPr>
                <w:sz w:val="18"/>
                <w:szCs w:val="18"/>
                <w:lang w:val="nl-NL"/>
              </w:rPr>
              <w:t>12°/min</w:t>
            </w:r>
          </w:p>
        </w:tc>
        <w:tc>
          <w:tcPr>
            <w:tcW w:w="1191"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lang w:val="nl-NL"/>
              </w:rPr>
            </w:pPr>
            <w:r w:rsidRPr="004F47BB">
              <w:rPr>
                <w:sz w:val="18"/>
                <w:szCs w:val="18"/>
                <w:lang w:val="nl-NL"/>
              </w:rPr>
              <w:t>180 s</w:t>
            </w:r>
          </w:p>
        </w:tc>
        <w:tc>
          <w:tcPr>
            <w:tcW w:w="1191"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rPr>
            </w:pPr>
            <w:r w:rsidRPr="004F47BB">
              <w:rPr>
                <w:sz w:val="18"/>
                <w:szCs w:val="18"/>
              </w:rPr>
              <w:t>130 s</w:t>
            </w:r>
          </w:p>
        </w:tc>
        <w:tc>
          <w:tcPr>
            <w:tcW w:w="1191" w:type="dxa"/>
            <w:tcBorders>
              <w:top w:val="single" w:sz="6" w:space="0" w:color="auto"/>
              <w:bottom w:val="single" w:sz="6" w:space="0" w:color="auto"/>
              <w:right w:val="single" w:sz="6" w:space="0" w:color="auto"/>
            </w:tcBorders>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rPr>
            </w:pPr>
            <w:r w:rsidRPr="004F47BB">
              <w:rPr>
                <w:sz w:val="18"/>
                <w:szCs w:val="18"/>
              </w:rPr>
              <w:t>110 s</w:t>
            </w:r>
          </w:p>
        </w:tc>
      </w:tr>
      <w:tr w:rsidR="004F47BB" w:rsidRPr="004F47BB" w:rsidTr="00D45887">
        <w:trPr>
          <w:jc w:val="center"/>
        </w:trPr>
        <w:tc>
          <w:tcPr>
            <w:tcW w:w="340" w:type="dxa"/>
            <w:tcBorders>
              <w:left w:val="single" w:sz="6" w:space="0" w:color="auto"/>
            </w:tcBorders>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rPr>
            </w:pPr>
            <w:r w:rsidRPr="004F47BB">
              <w:rPr>
                <w:sz w:val="18"/>
                <w:szCs w:val="18"/>
              </w:rPr>
              <w:t>4</w:t>
            </w:r>
          </w:p>
        </w:tc>
        <w:tc>
          <w:tcPr>
            <w:tcW w:w="4139" w:type="dxa"/>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57" w:right="57" w:firstLine="0"/>
              <w:textAlignment w:val="baseline"/>
              <w:rPr>
                <w:sz w:val="18"/>
                <w:szCs w:val="20"/>
                <w:lang w:val="en-US"/>
              </w:rPr>
            </w:pPr>
            <w:r w:rsidRPr="004F47BB">
              <w:rPr>
                <w:sz w:val="18"/>
                <w:szCs w:val="20"/>
                <w:lang w:val="en-US"/>
              </w:rPr>
              <w:t>Two-abreast convoys up to 270 × 22,90 or three-abreast convoys up to 193 × 34,35</w:t>
            </w:r>
          </w:p>
        </w:tc>
        <w:tc>
          <w:tcPr>
            <w:tcW w:w="964"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rPr>
            </w:pPr>
            <w:r w:rsidRPr="004F47BB">
              <w:rPr>
                <w:sz w:val="18"/>
                <w:szCs w:val="18"/>
              </w:rPr>
              <w:t>6°/min</w:t>
            </w:r>
          </w:p>
        </w:tc>
        <w:tc>
          <w:tcPr>
            <w:tcW w:w="964"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rPr>
            </w:pPr>
            <w:r w:rsidRPr="004F47BB">
              <w:rPr>
                <w:sz w:val="18"/>
                <w:szCs w:val="18"/>
              </w:rPr>
              <w:t>8°/min</w:t>
            </w:r>
          </w:p>
        </w:tc>
        <w:tc>
          <w:tcPr>
            <w:tcW w:w="1191"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rPr>
            </w:pPr>
            <w:r w:rsidRPr="004F47BB">
              <w:rPr>
                <w:sz w:val="18"/>
                <w:szCs w:val="18"/>
              </w:rPr>
              <w:t>*)</w:t>
            </w:r>
          </w:p>
        </w:tc>
        <w:tc>
          <w:tcPr>
            <w:tcW w:w="1191" w:type="dxa"/>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rPr>
            </w:pPr>
            <w:r w:rsidRPr="004F47BB">
              <w:rPr>
                <w:sz w:val="18"/>
                <w:szCs w:val="18"/>
              </w:rPr>
              <w:t>*)</w:t>
            </w:r>
          </w:p>
        </w:tc>
        <w:tc>
          <w:tcPr>
            <w:tcW w:w="1191" w:type="dxa"/>
            <w:tcBorders>
              <w:top w:val="nil"/>
              <w:bottom w:val="nil"/>
              <w:right w:val="single" w:sz="6" w:space="0" w:color="auto"/>
            </w:tcBorders>
            <w:vAlign w:val="center"/>
          </w:tcPr>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0" w:firstLine="0"/>
              <w:jc w:val="center"/>
              <w:textAlignment w:val="baseline"/>
              <w:rPr>
                <w:sz w:val="18"/>
                <w:szCs w:val="18"/>
              </w:rPr>
            </w:pPr>
            <w:r w:rsidRPr="004F47BB">
              <w:rPr>
                <w:sz w:val="18"/>
                <w:szCs w:val="18"/>
              </w:rPr>
              <w:t>*)</w:t>
            </w:r>
          </w:p>
        </w:tc>
      </w:tr>
      <w:tr w:rsidR="004F47BB" w:rsidRPr="00505433" w:rsidTr="00D45887">
        <w:trPr>
          <w:jc w:val="center"/>
        </w:trPr>
        <w:tc>
          <w:tcPr>
            <w:tcW w:w="9980" w:type="dxa"/>
            <w:gridSpan w:val="7"/>
            <w:tcBorders>
              <w:left w:val="single" w:sz="6" w:space="0" w:color="auto"/>
              <w:bottom w:val="single" w:sz="6" w:space="0" w:color="auto"/>
              <w:right w:val="single" w:sz="6" w:space="0" w:color="auto"/>
            </w:tcBorders>
            <w:vAlign w:val="center"/>
          </w:tcPr>
          <w:p w:rsidR="004F47BB" w:rsidRPr="004F47BB" w:rsidRDefault="004F47BB" w:rsidP="004F47BB">
            <w:pPr>
              <w:tabs>
                <w:tab w:val="left" w:pos="-1440"/>
                <w:tab w:val="left" w:pos="-576"/>
                <w:tab w:val="left" w:pos="-432"/>
                <w:tab w:val="left" w:pos="426"/>
              </w:tabs>
              <w:overflowPunct w:val="0"/>
              <w:adjustRightInd w:val="0"/>
              <w:spacing w:before="40" w:after="40" w:line="240" w:lineRule="atLeast"/>
              <w:ind w:left="0" w:firstLine="0"/>
              <w:jc w:val="left"/>
              <w:textAlignment w:val="baseline"/>
              <w:rPr>
                <w:szCs w:val="20"/>
                <w:lang w:val="en-US"/>
              </w:rPr>
            </w:pPr>
            <w:r w:rsidRPr="004F47BB">
              <w:rPr>
                <w:szCs w:val="20"/>
                <w:lang w:val="en-US"/>
              </w:rPr>
              <w:tab/>
            </w:r>
            <w:r w:rsidRPr="004F47BB">
              <w:rPr>
                <w:sz w:val="16"/>
                <w:szCs w:val="20"/>
                <w:lang w:val="en-US"/>
              </w:rPr>
              <w:t>*)</w:t>
            </w:r>
            <w:r w:rsidRPr="004F47BB">
              <w:rPr>
                <w:sz w:val="16"/>
                <w:szCs w:val="20"/>
                <w:lang w:val="en-US"/>
              </w:rPr>
              <w:tab/>
              <w:t>In accordance with the decision of the nautical expert.</w:t>
            </w:r>
          </w:p>
        </w:tc>
      </w:tr>
    </w:tbl>
    <w:p w:rsidR="004F47BB" w:rsidRPr="004F47BB" w:rsidRDefault="004F47BB" w:rsidP="004F47B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ind w:left="0" w:firstLine="0"/>
        <w:jc w:val="left"/>
        <w:textAlignment w:val="baseline"/>
        <w:rPr>
          <w:szCs w:val="20"/>
          <w:lang w:val="en-US"/>
        </w:rPr>
      </w:pPr>
    </w:p>
    <w:p w:rsidR="004F47BB" w:rsidRPr="004F47BB" w:rsidRDefault="004F47BB" w:rsidP="004F47BB">
      <w:pPr>
        <w:spacing w:line="240" w:lineRule="atLeast"/>
        <w:ind w:left="567" w:firstLine="0"/>
        <w:rPr>
          <w:szCs w:val="20"/>
          <w:lang w:val="en-US"/>
        </w:rPr>
      </w:pPr>
      <w:r w:rsidRPr="004F47BB">
        <w:rPr>
          <w:noProof/>
          <w:lang w:val="en-US"/>
        </w:rPr>
        <w:t xml:space="preserve">The times </w:t>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1</m:t>
            </m:r>
          </m:sub>
        </m:sSub>
      </m:oMath>
      <w:r w:rsidRPr="004F47BB">
        <w:rPr>
          <w:noProof/>
          <w:lang w:val="en-US"/>
        </w:rPr>
        <w:t xml:space="preserve">, </w:t>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2</m:t>
            </m:r>
          </m:sub>
        </m:sSub>
      </m:oMath>
      <w:r w:rsidRPr="004F47BB">
        <w:rPr>
          <w:noProof/>
          <w:lang w:val="en-US"/>
        </w:rPr>
        <w:t xml:space="preserve">, </w:t>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3</m:t>
            </m:r>
          </m:sub>
        </m:sSub>
      </m:oMath>
      <w:r w:rsidRPr="004F47BB">
        <w:rPr>
          <w:noProof/>
          <w:lang w:val="en-US"/>
        </w:rPr>
        <w:t xml:space="preserve"> and </w:t>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4</m:t>
            </m:r>
          </m:sub>
        </m:sSub>
      </m:oMath>
      <w:r w:rsidRPr="004F47BB">
        <w:rPr>
          <w:noProof/>
          <w:lang w:val="en-US"/>
        </w:rPr>
        <w:t xml:space="preserve"> required to reach turning speeds </w:t>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1</m:t>
            </m:r>
          </m:sub>
        </m:sSub>
      </m:oMath>
      <w:r w:rsidRPr="004F47BB">
        <w:rPr>
          <w:noProof/>
          <w:lang w:val="en-US"/>
        </w:rPr>
        <w:t xml:space="preserve">, </w:t>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2</m:t>
            </m:r>
          </m:sub>
        </m:sSub>
      </m:oMath>
      <w:r w:rsidRPr="004F47BB">
        <w:rPr>
          <w:noProof/>
          <w:lang w:val="en-US"/>
        </w:rPr>
        <w:t xml:space="preserve">, </w:t>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3</m:t>
            </m:r>
          </m:sub>
        </m:sSub>
      </m:oMath>
      <w:r w:rsidRPr="004F47BB">
        <w:rPr>
          <w:noProof/>
          <w:lang w:val="en-US"/>
        </w:rPr>
        <w:t xml:space="preserve"> and </w:t>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4</m:t>
            </m:r>
          </m:sub>
        </m:sSub>
      </m:oMath>
      <w:r w:rsidRPr="004F47BB">
        <w:rPr>
          <w:noProof/>
          <w:lang w:val="en-US"/>
        </w:rPr>
        <w:t xml:space="preserve"> shall be recorded in the measurements report in Annex 2. The </w:t>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4</m:t>
            </m:r>
          </m:sub>
        </m:sSub>
      </m:oMath>
      <w:r w:rsidRPr="004F47BB">
        <w:rPr>
          <w:noProof/>
          <w:lang w:val="en-US"/>
        </w:rPr>
        <w:t xml:space="preserve"> values shall not exceed the limits given in the table.</w:t>
      </w:r>
    </w:p>
    <w:p w:rsidR="004F47BB" w:rsidRPr="004F47BB" w:rsidRDefault="004F47BB" w:rsidP="004F47BB">
      <w:pPr>
        <w:overflowPunct w:val="0"/>
        <w:adjustRightInd w:val="0"/>
        <w:ind w:left="567" w:hanging="567"/>
        <w:jc w:val="left"/>
        <w:textAlignment w:val="baseline"/>
        <w:rPr>
          <w:szCs w:val="20"/>
          <w:lang w:val="en-US"/>
        </w:rPr>
      </w:pPr>
    </w:p>
    <w:p w:rsidR="004F47BB" w:rsidRPr="004F47BB" w:rsidRDefault="004F47BB" w:rsidP="004F47BB">
      <w:pPr>
        <w:spacing w:line="240" w:lineRule="atLeast"/>
        <w:ind w:left="567" w:hanging="567"/>
        <w:rPr>
          <w:lang w:val="en-US"/>
        </w:rPr>
      </w:pPr>
      <w:r w:rsidRPr="004F47BB">
        <w:rPr>
          <w:lang w:val="en-US"/>
        </w:rPr>
        <w:t>2.3</w:t>
      </w:r>
      <w:r w:rsidRPr="004F47BB">
        <w:rPr>
          <w:lang w:val="en-US"/>
        </w:rPr>
        <w:tab/>
        <w:t>At least four evasive action manoeuvres shall be carried out, namely:</w:t>
      </w:r>
    </w:p>
    <w:p w:rsidR="004F47BB" w:rsidRPr="004F47BB" w:rsidRDefault="004F47BB" w:rsidP="004F47BB">
      <w:pPr>
        <w:tabs>
          <w:tab w:val="left" w:pos="-1440"/>
          <w:tab w:val="left" w:pos="-576"/>
          <w:tab w:val="left" w:pos="-432"/>
          <w:tab w:val="left" w:pos="993"/>
          <w:tab w:val="left" w:pos="5387"/>
          <w:tab w:val="left" w:pos="5670"/>
          <w:tab w:val="left" w:pos="5954"/>
        </w:tabs>
        <w:overflowPunct w:val="0"/>
        <w:adjustRightInd w:val="0"/>
        <w:spacing w:before="60"/>
        <w:ind w:left="995" w:hanging="428"/>
        <w:textAlignment w:val="baseline"/>
        <w:rPr>
          <w:szCs w:val="20"/>
          <w:lang w:val="en-US"/>
        </w:rPr>
      </w:pPr>
      <w:r w:rsidRPr="004F47BB">
        <w:rPr>
          <w:szCs w:val="20"/>
          <w:lang w:val="en-US"/>
        </w:rPr>
        <w:t>-</w:t>
      </w:r>
      <w:r w:rsidRPr="004F47BB">
        <w:rPr>
          <w:szCs w:val="20"/>
          <w:lang w:val="en-US"/>
        </w:rPr>
        <w:tab/>
      </w:r>
      <w:r w:rsidRPr="004F47BB">
        <w:rPr>
          <w:szCs w:val="20"/>
          <w:lang w:val="en-US"/>
        </w:rPr>
        <w:tab/>
        <w:t>one to starboard with a rudder angle</w:t>
      </w:r>
      <w:r w:rsidRPr="004F47BB">
        <w:rPr>
          <w:szCs w:val="20"/>
          <w:lang w:val="en-US"/>
        </w:rPr>
        <w:tab/>
      </w:r>
      <m:oMath>
        <m:r>
          <w:rPr>
            <w:rFonts w:ascii="Cambria Math" w:hAnsi="Cambria Math"/>
            <w:i/>
            <w:szCs w:val="20"/>
          </w:rPr>
          <w:sym w:font="Symbol" w:char="F064"/>
        </m:r>
      </m:oMath>
      <w:r w:rsidRPr="004F47BB">
        <w:rPr>
          <w:szCs w:val="20"/>
          <w:lang w:val="en-US"/>
        </w:rPr>
        <w:tab/>
        <w:t>=</w:t>
      </w:r>
      <w:r w:rsidRPr="004F47BB">
        <w:rPr>
          <w:szCs w:val="20"/>
          <w:lang w:val="en-US"/>
        </w:rPr>
        <w:tab/>
        <w:t xml:space="preserve">20° </w:t>
      </w:r>
    </w:p>
    <w:p w:rsidR="004F47BB" w:rsidRPr="004F47BB" w:rsidRDefault="004F47BB" w:rsidP="004F47BB">
      <w:pPr>
        <w:tabs>
          <w:tab w:val="left" w:pos="-1440"/>
          <w:tab w:val="left" w:pos="-576"/>
          <w:tab w:val="left" w:pos="-432"/>
          <w:tab w:val="left" w:pos="993"/>
          <w:tab w:val="left" w:pos="5387"/>
          <w:tab w:val="left" w:pos="5670"/>
          <w:tab w:val="left" w:pos="5954"/>
        </w:tabs>
        <w:overflowPunct w:val="0"/>
        <w:adjustRightInd w:val="0"/>
        <w:spacing w:before="60"/>
        <w:ind w:left="995" w:hanging="428"/>
        <w:textAlignment w:val="baseline"/>
        <w:rPr>
          <w:szCs w:val="20"/>
          <w:lang w:val="en-US"/>
        </w:rPr>
      </w:pPr>
      <w:r w:rsidRPr="004F47BB">
        <w:rPr>
          <w:szCs w:val="20"/>
          <w:lang w:val="en-US"/>
        </w:rPr>
        <w:t>-</w:t>
      </w:r>
      <w:r w:rsidRPr="004F47BB">
        <w:rPr>
          <w:szCs w:val="20"/>
          <w:lang w:val="en-US"/>
        </w:rPr>
        <w:tab/>
        <w:t>one to port with a rudder angle</w:t>
      </w:r>
      <w:r w:rsidRPr="004F47BB">
        <w:rPr>
          <w:szCs w:val="20"/>
          <w:lang w:val="en-US"/>
        </w:rPr>
        <w:tab/>
      </w:r>
      <m:oMath>
        <m:r>
          <w:rPr>
            <w:rFonts w:ascii="Cambria Math" w:hAnsi="Cambria Math"/>
            <w:i/>
            <w:szCs w:val="20"/>
          </w:rPr>
          <w:sym w:font="Symbol" w:char="F064"/>
        </m:r>
      </m:oMath>
      <w:r w:rsidRPr="004F47BB">
        <w:rPr>
          <w:szCs w:val="20"/>
          <w:lang w:val="en-US"/>
        </w:rPr>
        <w:tab/>
        <w:t>=</w:t>
      </w:r>
      <w:r w:rsidRPr="004F47BB">
        <w:rPr>
          <w:szCs w:val="20"/>
          <w:lang w:val="en-US"/>
        </w:rPr>
        <w:tab/>
        <w:t>20°</w:t>
      </w:r>
    </w:p>
    <w:p w:rsidR="004F47BB" w:rsidRPr="004F47BB" w:rsidRDefault="004F47BB" w:rsidP="004F47BB">
      <w:pPr>
        <w:tabs>
          <w:tab w:val="left" w:pos="-1440"/>
          <w:tab w:val="left" w:pos="-576"/>
          <w:tab w:val="left" w:pos="-432"/>
          <w:tab w:val="left" w:pos="993"/>
          <w:tab w:val="left" w:pos="5387"/>
          <w:tab w:val="left" w:pos="5670"/>
          <w:tab w:val="left" w:pos="5954"/>
        </w:tabs>
        <w:overflowPunct w:val="0"/>
        <w:adjustRightInd w:val="0"/>
        <w:spacing w:before="60"/>
        <w:ind w:left="995" w:hanging="428"/>
        <w:textAlignment w:val="baseline"/>
        <w:rPr>
          <w:szCs w:val="20"/>
          <w:lang w:val="en-US"/>
        </w:rPr>
      </w:pPr>
      <w:r w:rsidRPr="004F47BB">
        <w:rPr>
          <w:szCs w:val="20"/>
          <w:lang w:val="en-US"/>
        </w:rPr>
        <w:t>-</w:t>
      </w:r>
      <w:r w:rsidRPr="004F47BB">
        <w:rPr>
          <w:szCs w:val="20"/>
          <w:lang w:val="en-US"/>
        </w:rPr>
        <w:tab/>
        <w:t>one to starboard with a rudder angle</w:t>
      </w:r>
      <w:r w:rsidRPr="004F47BB">
        <w:rPr>
          <w:szCs w:val="20"/>
          <w:lang w:val="en-US"/>
        </w:rPr>
        <w:tab/>
      </w:r>
      <m:oMath>
        <m:r>
          <w:rPr>
            <w:rFonts w:ascii="Cambria Math" w:hAnsi="Cambria Math"/>
            <w:i/>
            <w:szCs w:val="20"/>
          </w:rPr>
          <w:sym w:font="Symbol" w:char="F064"/>
        </m:r>
      </m:oMath>
      <w:r w:rsidRPr="004F47BB">
        <w:rPr>
          <w:szCs w:val="20"/>
          <w:lang w:val="en-US"/>
        </w:rPr>
        <w:tab/>
        <w:t>=</w:t>
      </w:r>
      <w:r w:rsidRPr="004F47BB">
        <w:rPr>
          <w:szCs w:val="20"/>
          <w:lang w:val="en-US"/>
        </w:rPr>
        <w:tab/>
        <w:t>45°</w:t>
      </w:r>
    </w:p>
    <w:p w:rsidR="004F47BB" w:rsidRPr="004F47BB" w:rsidRDefault="004F47BB" w:rsidP="004F47BB">
      <w:pPr>
        <w:tabs>
          <w:tab w:val="left" w:pos="-1440"/>
          <w:tab w:val="left" w:pos="-576"/>
          <w:tab w:val="left" w:pos="-432"/>
          <w:tab w:val="left" w:pos="993"/>
          <w:tab w:val="left" w:pos="5387"/>
          <w:tab w:val="left" w:pos="5670"/>
          <w:tab w:val="left" w:pos="5954"/>
        </w:tabs>
        <w:overflowPunct w:val="0"/>
        <w:adjustRightInd w:val="0"/>
        <w:spacing w:before="60"/>
        <w:ind w:left="995" w:hanging="428"/>
        <w:textAlignment w:val="baseline"/>
        <w:rPr>
          <w:szCs w:val="20"/>
          <w:lang w:val="en-US"/>
        </w:rPr>
      </w:pPr>
      <w:r w:rsidRPr="004F47BB">
        <w:rPr>
          <w:szCs w:val="20"/>
          <w:lang w:val="en-US"/>
        </w:rPr>
        <w:t>-</w:t>
      </w:r>
      <w:r w:rsidRPr="004F47BB">
        <w:rPr>
          <w:szCs w:val="20"/>
          <w:lang w:val="en-US"/>
        </w:rPr>
        <w:tab/>
        <w:t>one to port with a rudder angle</w:t>
      </w:r>
      <w:r w:rsidRPr="004F47BB">
        <w:rPr>
          <w:szCs w:val="20"/>
          <w:lang w:val="en-US"/>
        </w:rPr>
        <w:tab/>
      </w:r>
      <m:oMath>
        <m:r>
          <w:rPr>
            <w:rFonts w:ascii="Cambria Math" w:hAnsi="Cambria Math"/>
            <w:i/>
            <w:szCs w:val="20"/>
          </w:rPr>
          <w:sym w:font="Symbol" w:char="F064"/>
        </m:r>
      </m:oMath>
      <w:r w:rsidRPr="004F47BB">
        <w:rPr>
          <w:szCs w:val="20"/>
          <w:lang w:val="en-US"/>
        </w:rPr>
        <w:tab/>
        <w:t>=</w:t>
      </w:r>
      <w:r w:rsidRPr="004F47BB">
        <w:rPr>
          <w:szCs w:val="20"/>
          <w:lang w:val="en-US"/>
        </w:rPr>
        <w:tab/>
        <w:t>45°.</w:t>
      </w:r>
    </w:p>
    <w:p w:rsidR="004F47BB" w:rsidRPr="004F47BB" w:rsidRDefault="004F47BB" w:rsidP="004F47BB">
      <w:pPr>
        <w:overflowPunct w:val="0"/>
        <w:adjustRightInd w:val="0"/>
        <w:ind w:left="0" w:firstLine="0"/>
        <w:textAlignment w:val="baseline"/>
        <w:rPr>
          <w:szCs w:val="20"/>
          <w:lang w:val="en-US"/>
        </w:rPr>
      </w:pPr>
    </w:p>
    <w:p w:rsidR="004F47BB" w:rsidRPr="004F47BB" w:rsidRDefault="004F47BB" w:rsidP="004F47BB">
      <w:pPr>
        <w:spacing w:line="240" w:lineRule="atLeast"/>
        <w:ind w:left="567" w:firstLine="0"/>
        <w:rPr>
          <w:lang w:val="en-US"/>
        </w:rPr>
      </w:pPr>
      <w:r w:rsidRPr="004F47BB">
        <w:rPr>
          <w:noProof/>
          <w:lang w:val="en-US"/>
        </w:rPr>
        <w:t xml:space="preserve">If necessary (e.g. in the case of uncertainty about the values measured or of unsatisfactory manoeuvres), the evasive action manoeuvres shall be repeated. The turning speeds given in (2.2) and the time limits shall be complied with. For active steering devices or special types of rudder, a position </w:t>
      </w:r>
      <m:oMath>
        <m:sSub>
          <m:sSubPr>
            <m:ctrlPr>
              <w:rPr>
                <w:rFonts w:ascii="Cambria Math" w:hAnsi="Cambria Math"/>
                <w:i/>
                <w:szCs w:val="20"/>
                <w:lang w:val="en-US"/>
              </w:rPr>
            </m:ctrlPr>
          </m:sSubPr>
          <m:e>
            <m:r>
              <w:rPr>
                <w:rFonts w:ascii="Cambria Math" w:hAnsi="Cambria Math"/>
                <w:szCs w:val="20"/>
                <w:lang w:val="en-US"/>
              </w:rPr>
              <m:t>δ</m:t>
            </m:r>
          </m:e>
          <m:sub>
            <m:r>
              <w:rPr>
                <w:rFonts w:ascii="Cambria Math" w:hAnsi="Cambria Math"/>
                <w:szCs w:val="20"/>
                <w:lang w:val="en-US"/>
              </w:rPr>
              <m:t>a</m:t>
            </m:r>
          </m:sub>
        </m:sSub>
      </m:oMath>
      <w:r w:rsidRPr="004F47BB">
        <w:rPr>
          <w:noProof/>
          <w:lang w:val="en-US"/>
        </w:rPr>
        <w:t xml:space="preserve"> of the steering unit or rudder angle </w:t>
      </w:r>
      <m:oMath>
        <m:sSub>
          <m:sSubPr>
            <m:ctrlPr>
              <w:rPr>
                <w:rFonts w:ascii="Cambria Math" w:hAnsi="Cambria Math"/>
                <w:i/>
                <w:szCs w:val="20"/>
                <w:lang w:val="en-US"/>
              </w:rPr>
            </m:ctrlPr>
          </m:sSubPr>
          <m:e>
            <m:r>
              <w:rPr>
                <w:rFonts w:ascii="Cambria Math" w:hAnsi="Cambria Math"/>
                <w:szCs w:val="20"/>
                <w:lang w:val="en-US"/>
              </w:rPr>
              <m:t>δ</m:t>
            </m:r>
          </m:e>
          <m:sub>
            <m:r>
              <w:rPr>
                <w:rFonts w:ascii="Cambria Math" w:hAnsi="Cambria Math"/>
                <w:szCs w:val="20"/>
                <w:lang w:val="en-US"/>
              </w:rPr>
              <m:t>a</m:t>
            </m:r>
          </m:sub>
        </m:sSub>
      </m:oMath>
      <w:r w:rsidRPr="004F47BB">
        <w:rPr>
          <w:noProof/>
          <w:lang w:val="en-US"/>
        </w:rPr>
        <w:t xml:space="preserve"> other than </w:t>
      </w:r>
      <m:oMath>
        <m:r>
          <w:rPr>
            <w:rFonts w:ascii="Cambria Math" w:hAnsi="Cambria Math"/>
            <w:noProof/>
          </w:rPr>
          <m:t>δ</m:t>
        </m:r>
      </m:oMath>
      <w:r w:rsidRPr="004F47BB">
        <w:rPr>
          <w:noProof/>
          <w:lang w:val="en-US"/>
        </w:rPr>
        <w:t xml:space="preserve"> = 20° and </w:t>
      </w:r>
      <m:oMath>
        <m:r>
          <w:rPr>
            <w:rFonts w:ascii="Cambria Math" w:hAnsi="Cambria Math"/>
            <w:noProof/>
          </w:rPr>
          <m:t>δ</m:t>
        </m:r>
      </m:oMath>
      <w:r w:rsidRPr="004F47BB">
        <w:rPr>
          <w:noProof/>
          <w:lang w:val="en-US"/>
        </w:rPr>
        <w:t xml:space="preserve"> = 45° may be selected, according to the expert’s assessment, depending on the type of steering system.</w:t>
      </w:r>
    </w:p>
    <w:p w:rsidR="004F47BB" w:rsidRPr="004F47BB" w:rsidRDefault="004F47BB" w:rsidP="004F47BB">
      <w:pPr>
        <w:tabs>
          <w:tab w:val="left" w:pos="567"/>
        </w:tabs>
        <w:overflowPunct w:val="0"/>
        <w:adjustRightInd w:val="0"/>
        <w:ind w:left="567" w:hanging="567"/>
        <w:jc w:val="left"/>
        <w:textAlignment w:val="baseline"/>
        <w:rPr>
          <w:szCs w:val="20"/>
          <w:lang w:val="en-US"/>
        </w:rPr>
      </w:pPr>
    </w:p>
    <w:p w:rsidR="004F47BB" w:rsidRPr="004F47BB" w:rsidRDefault="004F47BB" w:rsidP="004F47BB">
      <w:pPr>
        <w:spacing w:line="240" w:lineRule="atLeast"/>
        <w:ind w:left="567" w:hanging="567"/>
        <w:rPr>
          <w:szCs w:val="20"/>
          <w:lang w:val="en-US"/>
        </w:rPr>
      </w:pPr>
      <w:r w:rsidRPr="004F47BB">
        <w:rPr>
          <w:szCs w:val="20"/>
          <w:lang w:val="en-US"/>
        </w:rPr>
        <w:t>2.4</w:t>
      </w:r>
      <w:r w:rsidRPr="004F47BB">
        <w:rPr>
          <w:szCs w:val="20"/>
          <w:lang w:val="en-US"/>
        </w:rPr>
        <w:tab/>
      </w:r>
      <w:r w:rsidRPr="004F47BB">
        <w:rPr>
          <w:noProof/>
          <w:lang w:val="en-US"/>
        </w:rPr>
        <w:t>In order to determine the turning speed, a rate-of-turn indicator in accordance with Article 7.06(1) shall be on board.</w:t>
      </w:r>
    </w:p>
    <w:p w:rsidR="004F47BB" w:rsidRPr="004F47BB" w:rsidRDefault="004F47BB" w:rsidP="004F47BB">
      <w:pPr>
        <w:tabs>
          <w:tab w:val="left" w:pos="567"/>
        </w:tabs>
        <w:overflowPunct w:val="0"/>
        <w:adjustRightInd w:val="0"/>
        <w:ind w:left="567" w:hanging="567"/>
        <w:jc w:val="left"/>
        <w:textAlignment w:val="baseline"/>
        <w:rPr>
          <w:szCs w:val="20"/>
          <w:lang w:val="en-US"/>
        </w:rPr>
      </w:pPr>
    </w:p>
    <w:p w:rsidR="004F47BB" w:rsidRPr="004F47BB" w:rsidRDefault="004F47BB" w:rsidP="004F47BB">
      <w:pPr>
        <w:spacing w:line="240" w:lineRule="atLeast"/>
        <w:ind w:left="567" w:hanging="567"/>
        <w:rPr>
          <w:lang w:val="en-US"/>
        </w:rPr>
      </w:pPr>
      <w:r w:rsidRPr="004F47BB">
        <w:rPr>
          <w:lang w:val="en-US"/>
        </w:rPr>
        <w:t>2.5</w:t>
      </w:r>
      <w:r w:rsidRPr="004F47BB">
        <w:rPr>
          <w:lang w:val="en-US"/>
        </w:rPr>
        <w:tab/>
        <w:t>In accordance with Article 5.04, the loading condition during the evasive action manoeuvre shall be between 70 % and 100 % of the maximum deadweight. If the test is carried out with a smaller load, approval for downstream and upstream navigation shall be restricted to that load limit.</w:t>
      </w: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firstLine="0"/>
        <w:rPr>
          <w:lang w:val="en-US"/>
        </w:rPr>
      </w:pPr>
      <w:r w:rsidRPr="004F47BB">
        <w:rPr>
          <w:lang w:val="en-US"/>
        </w:rPr>
        <w:t>The procedure for evasive action manoeuvres and the terms used are shown in a diagram in Annex 1.</w:t>
      </w:r>
    </w:p>
    <w:p w:rsidR="004F47BB" w:rsidRPr="004F47BB" w:rsidRDefault="004F47BB" w:rsidP="004F47BB">
      <w:pPr>
        <w:tabs>
          <w:tab w:val="left" w:pos="567"/>
        </w:tabs>
        <w:overflowPunct w:val="0"/>
        <w:adjustRightInd w:val="0"/>
        <w:ind w:left="567" w:hanging="567"/>
        <w:textAlignment w:val="baseline"/>
        <w:rPr>
          <w:szCs w:val="20"/>
          <w:lang w:val="en-US"/>
        </w:rPr>
      </w:pPr>
    </w:p>
    <w:p w:rsidR="004F47BB" w:rsidRPr="004F47BB" w:rsidRDefault="004F47BB" w:rsidP="004F47BB">
      <w:pPr>
        <w:tabs>
          <w:tab w:val="left" w:pos="567"/>
        </w:tabs>
        <w:overflowPunct w:val="0"/>
        <w:adjustRightInd w:val="0"/>
        <w:ind w:left="567" w:hanging="567"/>
        <w:jc w:val="left"/>
        <w:textAlignment w:val="baseline"/>
        <w:rPr>
          <w:b/>
          <w:szCs w:val="20"/>
          <w:lang w:val="en-US"/>
        </w:rPr>
      </w:pPr>
      <w:r w:rsidRPr="004F47BB">
        <w:rPr>
          <w:b/>
          <w:szCs w:val="20"/>
          <w:lang w:val="en-US"/>
        </w:rPr>
        <w:t>3.</w:t>
      </w:r>
      <w:r w:rsidRPr="004F47BB">
        <w:rPr>
          <w:b/>
          <w:szCs w:val="20"/>
          <w:lang w:val="en-US"/>
        </w:rPr>
        <w:tab/>
        <w:t>Turning capacity</w:t>
      </w:r>
    </w:p>
    <w:p w:rsidR="004F47BB" w:rsidRPr="004F47BB" w:rsidRDefault="004F47BB" w:rsidP="004F47BB">
      <w:pPr>
        <w:tabs>
          <w:tab w:val="left" w:pos="567"/>
        </w:tabs>
        <w:overflowPunct w:val="0"/>
        <w:adjustRightInd w:val="0"/>
        <w:ind w:left="567" w:hanging="567"/>
        <w:jc w:val="left"/>
        <w:textAlignment w:val="baseline"/>
        <w:rPr>
          <w:szCs w:val="20"/>
          <w:lang w:val="en-US"/>
        </w:rPr>
      </w:pPr>
    </w:p>
    <w:p w:rsidR="004F47BB" w:rsidRPr="004F47BB" w:rsidRDefault="004F47BB" w:rsidP="004F47BB">
      <w:pPr>
        <w:spacing w:line="240" w:lineRule="atLeast"/>
        <w:ind w:left="567" w:firstLine="0"/>
        <w:rPr>
          <w:lang w:val="en-US"/>
        </w:rPr>
      </w:pPr>
      <w:r w:rsidRPr="004F47BB">
        <w:rPr>
          <w:lang w:val="en-US"/>
        </w:rPr>
        <w:t>The turning capacity of vessels and convoys whose length (</w:t>
      </w:r>
      <m:oMath>
        <m:r>
          <w:rPr>
            <w:rFonts w:ascii="Cambria Math" w:hAnsi="Cambria Math"/>
            <w:lang w:val="en-US"/>
          </w:rPr>
          <m:t>L</m:t>
        </m:r>
      </m:oMath>
      <w:r w:rsidRPr="004F47BB">
        <w:rPr>
          <w:lang w:val="en-US"/>
        </w:rPr>
        <w:t>) does not exceed 86 m and width (</w:t>
      </w:r>
      <m:oMath>
        <m:r>
          <w:rPr>
            <w:rFonts w:ascii="Cambria Math" w:hAnsi="Cambria Math"/>
            <w:lang w:val="en-US"/>
          </w:rPr>
          <m:t>B</m:t>
        </m:r>
      </m:oMath>
      <w:r w:rsidRPr="004F47BB">
        <w:rPr>
          <w:lang w:val="en-US"/>
        </w:rPr>
        <w:t>) does not exceed 22,90 m shall be considered sufficient under Article 5.10, in conjunction with Article 5.02(1) when during an upstream turning manoeuvre with an initial speed in relation to the water of 13 km/h, the limit values for stopping facing downstream established in instruction ESI-II-3 are complied with. The keel clearance conditions according to Section 1.1 shall be complied with.</w:t>
      </w:r>
    </w:p>
    <w:p w:rsidR="004F47BB" w:rsidRPr="004F47BB" w:rsidRDefault="004F47BB" w:rsidP="004F47BB">
      <w:pPr>
        <w:tabs>
          <w:tab w:val="left" w:pos="426"/>
        </w:tabs>
        <w:overflowPunct w:val="0"/>
        <w:adjustRightInd w:val="0"/>
        <w:ind w:left="426" w:hanging="426"/>
        <w:jc w:val="left"/>
        <w:textAlignment w:val="baseline"/>
        <w:rPr>
          <w:szCs w:val="20"/>
          <w:lang w:val="en-US"/>
        </w:rPr>
      </w:pPr>
      <w:r w:rsidRPr="004F47BB">
        <w:rPr>
          <w:szCs w:val="20"/>
          <w:lang w:val="en-US"/>
        </w:rPr>
        <w:br w:type="page"/>
      </w: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lastRenderedPageBreak/>
        <w:t>4.</w:t>
      </w:r>
      <w:r w:rsidRPr="004F47BB">
        <w:rPr>
          <w:rFonts w:cs="Arial"/>
          <w:b/>
          <w:color w:val="000000"/>
          <w:szCs w:val="20"/>
          <w:lang w:val="en-US"/>
        </w:rPr>
        <w:tab/>
        <w:t>Other requirements</w:t>
      </w:r>
    </w:p>
    <w:p w:rsidR="004F47BB" w:rsidRPr="004F47BB" w:rsidRDefault="004F47BB" w:rsidP="004F47BB">
      <w:pPr>
        <w:tabs>
          <w:tab w:val="left" w:pos="426"/>
        </w:tabs>
        <w:overflowPunct w:val="0"/>
        <w:adjustRightInd w:val="0"/>
        <w:ind w:left="426" w:hanging="426"/>
        <w:jc w:val="left"/>
        <w:textAlignment w:val="baseline"/>
        <w:rPr>
          <w:szCs w:val="20"/>
          <w:lang w:val="en-US"/>
        </w:rPr>
      </w:pPr>
    </w:p>
    <w:p w:rsidR="004F47BB" w:rsidRPr="004F47BB" w:rsidRDefault="004F47BB" w:rsidP="004F47BB">
      <w:pPr>
        <w:spacing w:line="240" w:lineRule="atLeast"/>
        <w:ind w:left="567" w:hanging="567"/>
        <w:rPr>
          <w:lang w:val="en-US"/>
        </w:rPr>
      </w:pPr>
      <w:r w:rsidRPr="004F47BB">
        <w:rPr>
          <w:lang w:val="en-US"/>
        </w:rPr>
        <w:t>4.1</w:t>
      </w:r>
      <w:r w:rsidRPr="004F47BB">
        <w:rPr>
          <w:lang w:val="en-US"/>
        </w:rPr>
        <w:tab/>
        <w:t>Notwithstanding (1) to (3), the following requirements shall be met:</w:t>
      </w:r>
    </w:p>
    <w:p w:rsidR="004F47BB" w:rsidRPr="004F47BB" w:rsidRDefault="004F47BB" w:rsidP="004F47BB">
      <w:pPr>
        <w:spacing w:before="60" w:line="240" w:lineRule="atLeast"/>
        <w:ind w:left="992"/>
        <w:rPr>
          <w:lang w:val="en-US"/>
        </w:rPr>
      </w:pPr>
      <w:r w:rsidRPr="004F47BB">
        <w:rPr>
          <w:lang w:val="en-US"/>
        </w:rPr>
        <w:t>a)</w:t>
      </w:r>
      <w:r w:rsidRPr="004F47BB">
        <w:rPr>
          <w:lang w:val="en-US"/>
        </w:rPr>
        <w:tab/>
        <w:t>for manually controlled steering systems, a single turn of the wheel shall correspond to a rudder angle of at least 3°;</w:t>
      </w:r>
    </w:p>
    <w:p w:rsidR="004F47BB" w:rsidRPr="004F47BB" w:rsidRDefault="004F47BB" w:rsidP="004F47BB">
      <w:pPr>
        <w:spacing w:before="60" w:line="240" w:lineRule="atLeast"/>
        <w:ind w:left="992"/>
        <w:rPr>
          <w:lang w:val="en-US"/>
        </w:rPr>
      </w:pPr>
      <w:r w:rsidRPr="004F47BB">
        <w:rPr>
          <w:lang w:val="en-US"/>
        </w:rPr>
        <w:t>b)</w:t>
      </w:r>
      <w:r w:rsidRPr="004F47BB">
        <w:rPr>
          <w:lang w:val="en-US"/>
        </w:rPr>
        <w:tab/>
        <w:t>for powered steering systems, when the rudder is at maximum immersion, it shall be possible to achieve an average angular velocity of 4°/s over the rudder’s entire turning range.</w:t>
      </w:r>
    </w:p>
    <w:p w:rsidR="004F47BB" w:rsidRPr="004F47BB" w:rsidRDefault="004F47BB" w:rsidP="004F47BB">
      <w:pPr>
        <w:spacing w:before="60" w:line="240" w:lineRule="atLeast"/>
        <w:ind w:left="992" w:firstLine="0"/>
        <w:rPr>
          <w:lang w:val="en-US" w:eastAsia="de-DE"/>
        </w:rPr>
      </w:pPr>
      <w:r w:rsidRPr="004F47BB">
        <w:rPr>
          <w:lang w:val="en-US" w:eastAsia="de-DE"/>
        </w:rPr>
        <w:t>This requirement shall also be checked, with the vessel at full speed, for moving the rudder over a range from 35° port to 35° starboard. In addition, it shall be checked whether the rudder keeps the position of maximum angle at maximum propulsion power. For active steering systems or special types of rudder, this provision applies mutatis mutandis.</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spacing w:line="240" w:lineRule="atLeast"/>
        <w:ind w:left="567" w:hanging="567"/>
        <w:rPr>
          <w:lang w:val="en-US"/>
        </w:rPr>
      </w:pPr>
      <w:r w:rsidRPr="004F47BB">
        <w:rPr>
          <w:lang w:val="en-US"/>
        </w:rPr>
        <w:t>4.2</w:t>
      </w:r>
      <w:r w:rsidRPr="004F47BB">
        <w:rPr>
          <w:lang w:val="en-US"/>
        </w:rPr>
        <w:tab/>
        <w:t>If any of the additional equipment referred to in Article 5.05 is needed in order to reach the required manoeuvring capacities, it shall comply with the requirements of chapter 6, and the following particulars shall be entered under item 52 of the inland navigation vessel certificate:</w:t>
      </w:r>
    </w:p>
    <w:p w:rsidR="004F47BB" w:rsidRPr="004F47BB" w:rsidRDefault="004F47BB" w:rsidP="004F47BB">
      <w:pPr>
        <w:tabs>
          <w:tab w:val="left" w:pos="567"/>
        </w:tabs>
        <w:overflowPunct w:val="0"/>
        <w:adjustRightInd w:val="0"/>
        <w:ind w:left="567" w:hanging="567"/>
        <w:textAlignment w:val="baseline"/>
        <w:rPr>
          <w:szCs w:val="20"/>
          <w:lang w:val="en-US"/>
        </w:rPr>
      </w:pPr>
    </w:p>
    <w:p w:rsidR="004F47BB" w:rsidRPr="004F47BB" w:rsidRDefault="004F47BB" w:rsidP="004F47BB">
      <w:pPr>
        <w:spacing w:line="240" w:lineRule="atLeast"/>
        <w:ind w:left="567" w:firstLine="0"/>
        <w:rPr>
          <w:lang w:val="en-US"/>
        </w:rPr>
      </w:pPr>
      <w:r w:rsidRPr="004F47BB">
        <w:rPr>
          <w:lang w:val="en-US"/>
        </w:rPr>
        <w:t>’Flanking rudders</w:t>
      </w:r>
      <w:r w:rsidRPr="004F47BB">
        <w:rPr>
          <w:vertAlign w:val="superscript"/>
          <w:lang w:val="en-US"/>
        </w:rPr>
        <w:footnoteReference w:customMarkFollows="1" w:id="79"/>
        <w:t>*)</w:t>
      </w:r>
      <w:r w:rsidRPr="004F47BB">
        <w:rPr>
          <w:lang w:val="en-US"/>
        </w:rPr>
        <w:t>/ bow steering systems*/ other equipment* referred to under item 34 is*/are* necessary to comply with the manoeuvrability requirements of chapter 5.’</w:t>
      </w:r>
    </w:p>
    <w:p w:rsidR="004F47BB" w:rsidRPr="004F47BB" w:rsidRDefault="004F47BB" w:rsidP="004F47BB">
      <w:pPr>
        <w:spacing w:line="240" w:lineRule="atLeast"/>
        <w:ind w:left="0" w:firstLine="0"/>
        <w:rPr>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5.</w:t>
      </w:r>
      <w:r w:rsidRPr="004F47BB">
        <w:rPr>
          <w:rFonts w:cs="Arial"/>
          <w:b/>
          <w:color w:val="000000"/>
          <w:szCs w:val="20"/>
          <w:lang w:val="en-US"/>
        </w:rPr>
        <w:tab/>
        <w:t>Recording of data and reports</w:t>
      </w:r>
    </w:p>
    <w:p w:rsidR="004F47BB" w:rsidRPr="004F47BB" w:rsidRDefault="004F47BB" w:rsidP="004F47BB">
      <w:pPr>
        <w:tabs>
          <w:tab w:val="left" w:pos="567"/>
        </w:tabs>
        <w:overflowPunct w:val="0"/>
        <w:adjustRightInd w:val="0"/>
        <w:ind w:left="567" w:hanging="567"/>
        <w:textAlignment w:val="baseline"/>
        <w:rPr>
          <w:szCs w:val="20"/>
          <w:lang w:val="en-US"/>
        </w:rPr>
      </w:pPr>
    </w:p>
    <w:p w:rsidR="004F47BB" w:rsidRPr="004F47BB" w:rsidRDefault="004F47BB" w:rsidP="004F47BB">
      <w:pPr>
        <w:spacing w:line="240" w:lineRule="atLeast"/>
        <w:ind w:left="567" w:firstLine="0"/>
        <w:rPr>
          <w:lang w:val="en-US"/>
        </w:rPr>
      </w:pPr>
      <w:r w:rsidRPr="004F47BB">
        <w:rPr>
          <w:lang w:val="en-US"/>
        </w:rPr>
        <w:t>The measurements, reports and recording of data shall be carried out according to the procedure set out in Annex 2.</w:t>
      </w:r>
    </w:p>
    <w:p w:rsidR="004F47BB" w:rsidRPr="004F47BB" w:rsidRDefault="004F47BB" w:rsidP="004F47BB">
      <w:pPr>
        <w:overflowPunct w:val="0"/>
        <w:adjustRightInd w:val="0"/>
        <w:ind w:left="0" w:firstLine="0"/>
        <w:textAlignment w:val="baseline"/>
        <w:rPr>
          <w:szCs w:val="20"/>
          <w:lang w:val="en-US"/>
        </w:rPr>
      </w:pPr>
    </w:p>
    <w:p w:rsidR="004F47BB" w:rsidRPr="004F47BB" w:rsidRDefault="004F47BB" w:rsidP="004F47BB">
      <w:pPr>
        <w:overflowPunct w:val="0"/>
        <w:adjustRightInd w:val="0"/>
        <w:ind w:left="0" w:firstLine="0"/>
        <w:textAlignment w:val="baseline"/>
        <w:rPr>
          <w:szCs w:val="20"/>
          <w:lang w:val="en-US"/>
        </w:rPr>
      </w:pPr>
    </w:p>
    <w:p w:rsidR="004F47BB" w:rsidRPr="004F47BB" w:rsidRDefault="004F47BB" w:rsidP="004F47BB">
      <w:pPr>
        <w:overflowPunct w:val="0"/>
        <w:adjustRightInd w:val="0"/>
        <w:ind w:left="0" w:firstLine="0"/>
        <w:textAlignment w:val="baseline"/>
        <w:rPr>
          <w:szCs w:val="20"/>
          <w:lang w:val="en-US"/>
        </w:rPr>
        <w:sectPr w:rsidR="004F47BB" w:rsidRPr="004F47BB" w:rsidSect="00D45887">
          <w:headerReference w:type="default" r:id="rId127"/>
          <w:headerReference w:type="first" r:id="rId128"/>
          <w:pgSz w:w="11907" w:h="16840" w:code="9"/>
          <w:pgMar w:top="1418" w:right="1418" w:bottom="1418" w:left="1418" w:header="680" w:footer="680" w:gutter="0"/>
          <w:cols w:space="720"/>
          <w:noEndnote/>
          <w:titlePg/>
        </w:sectPr>
      </w:pPr>
    </w:p>
    <w:p w:rsidR="004F47BB" w:rsidRPr="004F47BB" w:rsidRDefault="004F47BB" w:rsidP="004F47BB">
      <w:pPr>
        <w:overflowPunct w:val="0"/>
        <w:adjustRightInd w:val="0"/>
        <w:ind w:left="0" w:firstLine="0"/>
        <w:textAlignment w:val="baseline"/>
        <w:rPr>
          <w:szCs w:val="20"/>
          <w:lang w:val="en-US"/>
        </w:rPr>
      </w:pPr>
    </w:p>
    <w:p w:rsidR="004F47BB" w:rsidRPr="004F47BB" w:rsidRDefault="004F47BB" w:rsidP="005716BB">
      <w:pPr>
        <w:pStyle w:val="ES-Titre4"/>
      </w:pPr>
      <w:r w:rsidRPr="004F47BB">
        <w:t>Annex 1 to instruction ESI-II-4</w:t>
      </w:r>
    </w:p>
    <w:p w:rsidR="004F47BB" w:rsidRPr="004F47BB" w:rsidRDefault="004F47BB" w:rsidP="005716BB">
      <w:pPr>
        <w:pStyle w:val="ES-Titre4a"/>
      </w:pPr>
      <w:r w:rsidRPr="004F47BB">
        <w:t>Diagram of the evasive action manoeuvre</w:t>
      </w:r>
    </w:p>
    <w:p w:rsidR="004F47BB" w:rsidRPr="004F47BB" w:rsidRDefault="004F47BB" w:rsidP="004F47BB">
      <w:pPr>
        <w:overflowPunct w:val="0"/>
        <w:adjustRightInd w:val="0"/>
        <w:ind w:left="0" w:firstLine="0"/>
        <w:textAlignment w:val="baseline"/>
        <w:rPr>
          <w:szCs w:val="20"/>
          <w:lang w:val="en-US"/>
        </w:rPr>
      </w:pPr>
    </w:p>
    <w:p w:rsidR="004F47BB" w:rsidRPr="004F47BB" w:rsidRDefault="004F47BB" w:rsidP="004F47BB">
      <w:pPr>
        <w:overflowPunct w:val="0"/>
        <w:adjustRightInd w:val="0"/>
        <w:ind w:left="0" w:firstLine="0"/>
        <w:textAlignment w:val="baseline"/>
        <w:rPr>
          <w:szCs w:val="20"/>
          <w:lang w:val="en-US"/>
        </w:rPr>
      </w:pPr>
    </w:p>
    <w:p w:rsidR="004F47BB" w:rsidRPr="004F47BB" w:rsidRDefault="004F47BB" w:rsidP="004F47BB">
      <w:pPr>
        <w:overflowPunct w:val="0"/>
        <w:adjustRightInd w:val="0"/>
        <w:ind w:left="0" w:firstLine="0"/>
        <w:jc w:val="center"/>
        <w:textAlignment w:val="baseline"/>
        <w:rPr>
          <w:szCs w:val="20"/>
        </w:rPr>
      </w:pPr>
      <w:r w:rsidRPr="004F47BB">
        <w:rPr>
          <w:noProof/>
          <w:szCs w:val="20"/>
        </w:rPr>
        <w:drawing>
          <wp:inline distT="0" distB="0" distL="0" distR="0" wp14:anchorId="0CBC9BB5" wp14:editId="3AAE2CCC">
            <wp:extent cx="5286375" cy="2943225"/>
            <wp:effectExtent l="0" t="0" r="9525" b="9525"/>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86375" cy="2943225"/>
                    </a:xfrm>
                    <a:prstGeom prst="rect">
                      <a:avLst/>
                    </a:prstGeom>
                    <a:noFill/>
                    <a:ln>
                      <a:noFill/>
                    </a:ln>
                  </pic:spPr>
                </pic:pic>
              </a:graphicData>
            </a:graphic>
          </wp:inline>
        </w:drawing>
      </w:r>
    </w:p>
    <w:p w:rsidR="004F47BB" w:rsidRPr="004F47BB" w:rsidRDefault="004F47BB" w:rsidP="004F47BB">
      <w:pPr>
        <w:overflowPunct w:val="0"/>
        <w:adjustRightInd w:val="0"/>
        <w:ind w:left="0" w:firstLine="0"/>
        <w:textAlignment w:val="baseline"/>
        <w:rPr>
          <w:szCs w:val="20"/>
        </w:rPr>
      </w:pPr>
    </w:p>
    <w:p w:rsidR="004F47BB" w:rsidRPr="004F47BB" w:rsidRDefault="004F47BB" w:rsidP="004F47BB">
      <w:pPr>
        <w:overflowPunct w:val="0"/>
        <w:adjustRightInd w:val="0"/>
        <w:ind w:left="0" w:firstLine="0"/>
        <w:textAlignment w:val="baseline"/>
        <w:rPr>
          <w:szCs w:val="20"/>
        </w:rPr>
      </w:pPr>
    </w:p>
    <w:p w:rsidR="004F47BB" w:rsidRPr="004F47BB" w:rsidRDefault="00F12BAF" w:rsidP="004F47BB">
      <w:pPr>
        <w:tabs>
          <w:tab w:val="left" w:pos="993"/>
          <w:tab w:val="left" w:pos="1418"/>
        </w:tabs>
        <w:overflowPunct w:val="0"/>
        <w:adjustRightInd w:val="0"/>
        <w:ind w:left="567" w:firstLine="0"/>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0</m:t>
            </m:r>
          </m:sub>
        </m:sSub>
      </m:oMath>
      <w:r w:rsidR="004F47BB" w:rsidRPr="004F47BB">
        <w:rPr>
          <w:szCs w:val="20"/>
          <w:lang w:val="en-US"/>
        </w:rPr>
        <w:tab/>
        <w:t>=</w:t>
      </w:r>
      <w:r w:rsidR="004F47BB" w:rsidRPr="004F47BB">
        <w:rPr>
          <w:szCs w:val="20"/>
          <w:lang w:val="en-US"/>
        </w:rPr>
        <w:tab/>
        <w:t>Start of evasive action manoeuvre</w:t>
      </w:r>
    </w:p>
    <w:p w:rsidR="004F47BB" w:rsidRPr="004F47BB" w:rsidRDefault="00F12BAF" w:rsidP="004F47BB">
      <w:pPr>
        <w:tabs>
          <w:tab w:val="left" w:pos="993"/>
          <w:tab w:val="left" w:pos="1418"/>
        </w:tabs>
        <w:overflowPunct w:val="0"/>
        <w:adjustRightInd w:val="0"/>
        <w:spacing w:before="60"/>
        <w:ind w:left="567" w:firstLine="0"/>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1</m:t>
            </m:r>
          </m:sub>
        </m:sSub>
      </m:oMath>
      <w:r w:rsidR="004F47BB" w:rsidRPr="004F47BB">
        <w:rPr>
          <w:szCs w:val="20"/>
          <w:lang w:val="en-US"/>
        </w:rPr>
        <w:tab/>
        <w:t>=</w:t>
      </w:r>
      <w:r w:rsidR="004F47BB" w:rsidRPr="004F47BB">
        <w:rPr>
          <w:szCs w:val="20"/>
          <w:lang w:val="en-US"/>
        </w:rPr>
        <w:tab/>
        <w:t xml:space="preserve">Time to reach turning speed </w:t>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1</m:t>
            </m:r>
          </m:sub>
        </m:sSub>
      </m:oMath>
    </w:p>
    <w:p w:rsidR="004F47BB" w:rsidRPr="004F47BB" w:rsidRDefault="00F12BAF" w:rsidP="004F47BB">
      <w:pPr>
        <w:tabs>
          <w:tab w:val="left" w:pos="993"/>
          <w:tab w:val="left" w:pos="1418"/>
        </w:tabs>
        <w:overflowPunct w:val="0"/>
        <w:adjustRightInd w:val="0"/>
        <w:spacing w:before="60"/>
        <w:ind w:left="567" w:firstLine="0"/>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2</m:t>
            </m:r>
          </m:sub>
        </m:sSub>
      </m:oMath>
      <w:r w:rsidR="004F47BB" w:rsidRPr="004F47BB">
        <w:rPr>
          <w:szCs w:val="20"/>
          <w:lang w:val="en-US"/>
        </w:rPr>
        <w:tab/>
        <w:t>=</w:t>
      </w:r>
      <w:r w:rsidR="004F47BB" w:rsidRPr="004F47BB">
        <w:rPr>
          <w:szCs w:val="20"/>
          <w:lang w:val="en-US"/>
        </w:rPr>
        <w:tab/>
        <w:t xml:space="preserve">Time to reach turning speed </w:t>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2</m:t>
            </m:r>
          </m:sub>
        </m:sSub>
      </m:oMath>
      <w:r w:rsidR="004F47BB" w:rsidRPr="004F47BB">
        <w:rPr>
          <w:szCs w:val="20"/>
          <w:lang w:val="en-US"/>
        </w:rPr>
        <w:t xml:space="preserve"> = 0</w:t>
      </w:r>
    </w:p>
    <w:p w:rsidR="004F47BB" w:rsidRPr="004F47BB" w:rsidRDefault="00F12BAF" w:rsidP="004F47BB">
      <w:pPr>
        <w:tabs>
          <w:tab w:val="left" w:pos="993"/>
          <w:tab w:val="left" w:pos="1418"/>
        </w:tabs>
        <w:overflowPunct w:val="0"/>
        <w:adjustRightInd w:val="0"/>
        <w:spacing w:before="60"/>
        <w:ind w:left="567" w:firstLine="0"/>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3</m:t>
            </m:r>
          </m:sub>
        </m:sSub>
      </m:oMath>
      <w:r w:rsidR="004F47BB" w:rsidRPr="004F47BB">
        <w:rPr>
          <w:szCs w:val="20"/>
          <w:lang w:val="en-US"/>
        </w:rPr>
        <w:tab/>
        <w:t>=</w:t>
      </w:r>
      <w:r w:rsidR="004F47BB" w:rsidRPr="004F47BB">
        <w:rPr>
          <w:szCs w:val="20"/>
          <w:lang w:val="en-US"/>
        </w:rPr>
        <w:tab/>
        <w:t xml:space="preserve">Time to reach turning speed </w:t>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3</m:t>
            </m:r>
          </m:sub>
        </m:sSub>
      </m:oMath>
    </w:p>
    <w:p w:rsidR="004F47BB" w:rsidRPr="004F47BB" w:rsidRDefault="00F12BAF" w:rsidP="004F47BB">
      <w:pPr>
        <w:tabs>
          <w:tab w:val="left" w:pos="993"/>
          <w:tab w:val="left" w:pos="1418"/>
        </w:tabs>
        <w:overflowPunct w:val="0"/>
        <w:adjustRightInd w:val="0"/>
        <w:spacing w:before="60"/>
        <w:ind w:left="567" w:firstLine="0"/>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4</m:t>
            </m:r>
          </m:sub>
        </m:sSub>
      </m:oMath>
      <w:r w:rsidR="004F47BB" w:rsidRPr="004F47BB">
        <w:rPr>
          <w:szCs w:val="20"/>
          <w:lang w:val="en-US"/>
        </w:rPr>
        <w:tab/>
        <w:t>=</w:t>
      </w:r>
      <w:r w:rsidR="004F47BB" w:rsidRPr="004F47BB">
        <w:rPr>
          <w:szCs w:val="20"/>
          <w:lang w:val="en-US"/>
        </w:rPr>
        <w:tab/>
        <w:t xml:space="preserve">Time to reach turning speed </w:t>
      </w:r>
      <m:oMath>
        <m:sSub>
          <m:sSubPr>
            <m:ctrlPr>
              <w:rPr>
                <w:rFonts w:ascii="Cambria Math" w:hAnsi="Cambria Math"/>
                <w:i/>
                <w:szCs w:val="20"/>
                <w:lang w:val="en-US"/>
              </w:rPr>
            </m:ctrlPr>
          </m:sSubPr>
          <m:e>
            <m:r>
              <w:rPr>
                <w:rFonts w:ascii="Cambria Math" w:hAnsi="Cambria Math"/>
                <w:szCs w:val="20"/>
                <w:lang w:val="en-US"/>
              </w:rPr>
              <m:t>r</m:t>
            </m:r>
          </m:e>
          <m:sub>
            <m:r>
              <w:rPr>
                <w:rFonts w:ascii="Cambria Math" w:hAnsi="Cambria Math"/>
                <w:szCs w:val="20"/>
                <w:lang w:val="en-US"/>
              </w:rPr>
              <m:t>4</m:t>
            </m:r>
          </m:sub>
        </m:sSub>
      </m:oMath>
      <w:r w:rsidR="004F47BB" w:rsidRPr="004F47BB">
        <w:rPr>
          <w:szCs w:val="20"/>
          <w:vertAlign w:val="subscript"/>
          <w:lang w:val="en-US"/>
        </w:rPr>
        <w:t xml:space="preserve"> </w:t>
      </w:r>
      <w:r w:rsidR="004F47BB" w:rsidRPr="004F47BB">
        <w:rPr>
          <w:szCs w:val="20"/>
          <w:lang w:val="en-US"/>
        </w:rPr>
        <w:t>= 0 (end of evasive action manoeuvre).</w:t>
      </w:r>
    </w:p>
    <w:p w:rsidR="004F47BB" w:rsidRPr="004F47BB" w:rsidRDefault="004F47BB" w:rsidP="004F47BB">
      <w:pPr>
        <w:tabs>
          <w:tab w:val="left" w:pos="993"/>
          <w:tab w:val="left" w:pos="1418"/>
        </w:tabs>
        <w:overflowPunct w:val="0"/>
        <w:adjustRightInd w:val="0"/>
        <w:spacing w:before="60"/>
        <w:ind w:left="567" w:firstLine="0"/>
        <w:textAlignment w:val="baseline"/>
        <w:rPr>
          <w:szCs w:val="20"/>
          <w:lang w:val="en-US"/>
        </w:rPr>
      </w:pPr>
      <m:oMath>
        <m:r>
          <w:rPr>
            <w:rFonts w:ascii="Cambria Math" w:hAnsi="Cambria Math"/>
            <w:i/>
            <w:szCs w:val="20"/>
          </w:rPr>
          <w:sym w:font="Symbol" w:char="F064"/>
        </m:r>
      </m:oMath>
      <w:r w:rsidRPr="004F47BB">
        <w:rPr>
          <w:szCs w:val="20"/>
          <w:lang w:val="en-US"/>
        </w:rPr>
        <w:tab/>
        <w:t>=</w:t>
      </w:r>
      <w:r w:rsidRPr="004F47BB">
        <w:rPr>
          <w:szCs w:val="20"/>
          <w:lang w:val="en-US"/>
        </w:rPr>
        <w:tab/>
        <w:t>Rudder angle [°]</w:t>
      </w:r>
    </w:p>
    <w:p w:rsidR="004F47BB" w:rsidRPr="004F47BB" w:rsidRDefault="004F47BB" w:rsidP="004F47BB">
      <w:pPr>
        <w:tabs>
          <w:tab w:val="left" w:pos="993"/>
          <w:tab w:val="left" w:pos="1418"/>
        </w:tabs>
        <w:overflowPunct w:val="0"/>
        <w:adjustRightInd w:val="0"/>
        <w:spacing w:before="60"/>
        <w:ind w:left="567" w:firstLine="0"/>
        <w:textAlignment w:val="baseline"/>
        <w:rPr>
          <w:szCs w:val="20"/>
          <w:lang w:val="en-US"/>
        </w:rPr>
      </w:pPr>
      <m:oMath>
        <m:r>
          <w:rPr>
            <w:rFonts w:ascii="Cambria Math" w:hAnsi="Cambria Math"/>
            <w:szCs w:val="20"/>
            <w:lang w:val="en-US"/>
          </w:rPr>
          <m:t>r</m:t>
        </m:r>
      </m:oMath>
      <w:r w:rsidRPr="004F47BB">
        <w:rPr>
          <w:szCs w:val="20"/>
          <w:lang w:val="en-US"/>
        </w:rPr>
        <w:tab/>
        <w:t>=</w:t>
      </w:r>
      <w:r w:rsidRPr="004F47BB">
        <w:rPr>
          <w:szCs w:val="20"/>
          <w:lang w:val="en-US"/>
        </w:rPr>
        <w:tab/>
        <w:t>Turning speed [°/min]</w:t>
      </w:r>
    </w:p>
    <w:p w:rsidR="004F47BB" w:rsidRPr="004F47BB" w:rsidRDefault="004F47BB" w:rsidP="004F47BB">
      <w:pPr>
        <w:tabs>
          <w:tab w:val="left" w:pos="284"/>
          <w:tab w:val="left" w:pos="709"/>
          <w:tab w:val="left" w:pos="993"/>
        </w:tabs>
        <w:overflowPunct w:val="0"/>
        <w:adjustRightInd w:val="0"/>
        <w:ind w:left="0" w:firstLine="0"/>
        <w:textAlignment w:val="baseline"/>
        <w:rPr>
          <w:szCs w:val="20"/>
          <w:lang w:val="en-US"/>
        </w:rPr>
      </w:pPr>
    </w:p>
    <w:p w:rsidR="004F47BB" w:rsidRPr="004F47BB" w:rsidRDefault="004F47BB" w:rsidP="004F47BB">
      <w:pPr>
        <w:tabs>
          <w:tab w:val="left" w:pos="284"/>
          <w:tab w:val="left" w:pos="709"/>
          <w:tab w:val="left" w:pos="993"/>
        </w:tabs>
        <w:overflowPunct w:val="0"/>
        <w:adjustRightInd w:val="0"/>
        <w:ind w:left="0" w:firstLine="0"/>
        <w:textAlignment w:val="baseline"/>
        <w:rPr>
          <w:szCs w:val="20"/>
          <w:lang w:val="en-US"/>
        </w:rPr>
      </w:pPr>
    </w:p>
    <w:p w:rsidR="004F47BB" w:rsidRPr="004F47BB" w:rsidRDefault="004F47BB" w:rsidP="004F47BB">
      <w:pPr>
        <w:tabs>
          <w:tab w:val="left" w:pos="284"/>
          <w:tab w:val="left" w:pos="709"/>
          <w:tab w:val="left" w:pos="993"/>
        </w:tabs>
        <w:overflowPunct w:val="0"/>
        <w:adjustRightInd w:val="0"/>
        <w:ind w:left="0" w:firstLine="0"/>
        <w:textAlignment w:val="baseline"/>
        <w:rPr>
          <w:szCs w:val="20"/>
          <w:lang w:val="en-US"/>
        </w:rPr>
      </w:pPr>
    </w:p>
    <w:p w:rsidR="004F47BB" w:rsidRPr="004F47BB" w:rsidRDefault="004F47BB" w:rsidP="004F47BB">
      <w:pPr>
        <w:tabs>
          <w:tab w:val="left" w:pos="284"/>
          <w:tab w:val="left" w:pos="709"/>
          <w:tab w:val="left" w:pos="993"/>
        </w:tabs>
        <w:overflowPunct w:val="0"/>
        <w:adjustRightInd w:val="0"/>
        <w:ind w:left="0" w:firstLine="0"/>
        <w:textAlignment w:val="baseline"/>
        <w:rPr>
          <w:szCs w:val="20"/>
          <w:lang w:val="en-US"/>
        </w:rPr>
        <w:sectPr w:rsidR="004F47BB" w:rsidRPr="004F47BB" w:rsidSect="00D45887">
          <w:headerReference w:type="default" r:id="rId130"/>
          <w:footerReference w:type="default" r:id="rId131"/>
          <w:headerReference w:type="first" r:id="rId132"/>
          <w:footerReference w:type="first" r:id="rId133"/>
          <w:pgSz w:w="11907" w:h="16840" w:code="9"/>
          <w:pgMar w:top="1418" w:right="1418" w:bottom="1418" w:left="1418" w:header="680" w:footer="680" w:gutter="0"/>
          <w:cols w:space="720"/>
          <w:noEndnote/>
          <w:titlePg/>
        </w:sectPr>
      </w:pPr>
    </w:p>
    <w:p w:rsidR="004F47BB" w:rsidRPr="004F47BB" w:rsidRDefault="004F47BB" w:rsidP="005716BB">
      <w:pPr>
        <w:pStyle w:val="ES-Titre4"/>
      </w:pPr>
      <w:r w:rsidRPr="004F47BB">
        <w:lastRenderedPageBreak/>
        <w:t>Annex 2 to instruction ESI-II-4</w:t>
      </w:r>
    </w:p>
    <w:p w:rsidR="004F47BB" w:rsidRPr="004F47BB" w:rsidRDefault="004F47BB" w:rsidP="005716BB">
      <w:pPr>
        <w:pStyle w:val="ES-Titre4a"/>
      </w:pPr>
      <w:r w:rsidRPr="004F47BB">
        <w:t>Report on evasive action manoeuvre and turning capacity</w:t>
      </w:r>
    </w:p>
    <w:p w:rsidR="004F47BB" w:rsidRPr="004F47BB" w:rsidRDefault="004F47BB" w:rsidP="004F47BB">
      <w:pPr>
        <w:tabs>
          <w:tab w:val="left" w:pos="284"/>
          <w:tab w:val="left" w:pos="709"/>
          <w:tab w:val="left" w:pos="993"/>
        </w:tabs>
        <w:overflowPunct w:val="0"/>
        <w:adjustRightInd w:val="0"/>
        <w:ind w:left="0" w:firstLine="0"/>
        <w:textAlignment w:val="baseline"/>
        <w:rPr>
          <w:szCs w:val="20"/>
          <w:lang w:val="en-US"/>
        </w:rPr>
      </w:pPr>
    </w:p>
    <w:p w:rsidR="004F47BB" w:rsidRPr="004F47BB" w:rsidRDefault="004F47BB" w:rsidP="004F47BB">
      <w:pPr>
        <w:tabs>
          <w:tab w:val="left" w:pos="284"/>
          <w:tab w:val="left" w:leader="dot" w:pos="9072"/>
        </w:tabs>
        <w:overflowPunct w:val="0"/>
        <w:adjustRightInd w:val="0"/>
        <w:spacing w:after="120"/>
        <w:ind w:left="0" w:firstLine="0"/>
        <w:textAlignment w:val="baseline"/>
        <w:rPr>
          <w:szCs w:val="20"/>
          <w:lang w:val="en-US"/>
        </w:rPr>
      </w:pPr>
      <w:r w:rsidRPr="004F47BB">
        <w:rPr>
          <w:szCs w:val="20"/>
          <w:lang w:val="en-US"/>
        </w:rPr>
        <w:t xml:space="preserve">Inspection body: </w:t>
      </w:r>
      <w:r w:rsidRPr="004F47BB">
        <w:rPr>
          <w:szCs w:val="20"/>
          <w:lang w:val="en-US"/>
        </w:rPr>
        <w:tab/>
      </w:r>
    </w:p>
    <w:p w:rsidR="004F47BB" w:rsidRPr="004F47BB" w:rsidRDefault="004F47BB" w:rsidP="004F47BB">
      <w:pPr>
        <w:tabs>
          <w:tab w:val="left" w:pos="284"/>
          <w:tab w:val="left" w:leader="dot" w:pos="9072"/>
        </w:tabs>
        <w:overflowPunct w:val="0"/>
        <w:adjustRightInd w:val="0"/>
        <w:spacing w:after="120"/>
        <w:ind w:left="0" w:firstLine="0"/>
        <w:textAlignment w:val="baseline"/>
        <w:rPr>
          <w:szCs w:val="20"/>
          <w:lang w:val="en-US"/>
        </w:rPr>
      </w:pPr>
      <w:r w:rsidRPr="004F47BB">
        <w:rPr>
          <w:szCs w:val="20"/>
          <w:lang w:val="en-US"/>
        </w:rPr>
        <w:t xml:space="preserve">Date: </w:t>
      </w:r>
      <w:r w:rsidRPr="004F47BB">
        <w:rPr>
          <w:szCs w:val="20"/>
          <w:lang w:val="en-US"/>
        </w:rPr>
        <w:tab/>
      </w:r>
    </w:p>
    <w:p w:rsidR="004F47BB" w:rsidRPr="004F47BB" w:rsidRDefault="004F47BB" w:rsidP="004F47BB">
      <w:pPr>
        <w:tabs>
          <w:tab w:val="left" w:pos="284"/>
          <w:tab w:val="left" w:leader="dot" w:pos="9072"/>
        </w:tabs>
        <w:overflowPunct w:val="0"/>
        <w:adjustRightInd w:val="0"/>
        <w:ind w:left="0" w:firstLine="0"/>
        <w:textAlignment w:val="baseline"/>
        <w:rPr>
          <w:szCs w:val="20"/>
          <w:lang w:val="en-US"/>
        </w:rPr>
      </w:pPr>
      <w:r w:rsidRPr="004F47BB">
        <w:rPr>
          <w:szCs w:val="20"/>
          <w:lang w:val="en-US"/>
        </w:rPr>
        <w:t xml:space="preserve">Name: </w:t>
      </w:r>
      <w:r w:rsidRPr="004F47BB">
        <w:rPr>
          <w:szCs w:val="20"/>
          <w:lang w:val="en-US"/>
        </w:rPr>
        <w:tab/>
      </w:r>
    </w:p>
    <w:p w:rsidR="004F47BB" w:rsidRPr="004F47BB" w:rsidRDefault="004F47BB" w:rsidP="004F47BB">
      <w:pPr>
        <w:tabs>
          <w:tab w:val="left" w:pos="284"/>
          <w:tab w:val="left" w:leader="dot" w:pos="9072"/>
        </w:tabs>
        <w:overflowPunct w:val="0"/>
        <w:adjustRightInd w:val="0"/>
        <w:ind w:left="0" w:firstLine="0"/>
        <w:textAlignment w:val="baseline"/>
        <w:rPr>
          <w:szCs w:val="20"/>
          <w:lang w:val="en-US"/>
        </w:rPr>
      </w:pPr>
    </w:p>
    <w:p w:rsidR="004F47BB" w:rsidRPr="004F47BB" w:rsidRDefault="004F47BB" w:rsidP="004F47BB">
      <w:pPr>
        <w:tabs>
          <w:tab w:val="left" w:pos="284"/>
          <w:tab w:val="left" w:leader="dot" w:pos="9072"/>
        </w:tabs>
        <w:overflowPunct w:val="0"/>
        <w:adjustRightInd w:val="0"/>
        <w:spacing w:after="120"/>
        <w:ind w:left="0" w:firstLine="0"/>
        <w:textAlignment w:val="baseline"/>
        <w:rPr>
          <w:szCs w:val="20"/>
          <w:lang w:val="en-US"/>
        </w:rPr>
      </w:pPr>
      <w:r w:rsidRPr="004F47BB">
        <w:rPr>
          <w:szCs w:val="20"/>
          <w:lang w:val="en-US"/>
        </w:rPr>
        <w:t xml:space="preserve">Name of craft: </w:t>
      </w:r>
      <w:r w:rsidRPr="004F47BB">
        <w:rPr>
          <w:szCs w:val="20"/>
          <w:lang w:val="en-US"/>
        </w:rPr>
        <w:tab/>
      </w:r>
    </w:p>
    <w:p w:rsidR="004F47BB" w:rsidRPr="004F47BB" w:rsidRDefault="004F47BB" w:rsidP="004F47BB">
      <w:pPr>
        <w:tabs>
          <w:tab w:val="left" w:pos="284"/>
          <w:tab w:val="left" w:leader="dot" w:pos="9072"/>
        </w:tabs>
        <w:overflowPunct w:val="0"/>
        <w:adjustRightInd w:val="0"/>
        <w:ind w:left="0" w:firstLine="0"/>
        <w:textAlignment w:val="baseline"/>
        <w:rPr>
          <w:szCs w:val="20"/>
          <w:lang w:val="en-US"/>
        </w:rPr>
      </w:pPr>
      <w:r w:rsidRPr="004F47BB">
        <w:rPr>
          <w:szCs w:val="20"/>
          <w:lang w:val="en-US"/>
        </w:rPr>
        <w:t xml:space="preserve">Owner: </w:t>
      </w:r>
      <w:r w:rsidRPr="004F47BB">
        <w:rPr>
          <w:szCs w:val="20"/>
          <w:lang w:val="en-US"/>
        </w:rPr>
        <w:tab/>
      </w:r>
    </w:p>
    <w:p w:rsidR="004F47BB" w:rsidRPr="004F47BB" w:rsidRDefault="004F47BB" w:rsidP="004F47BB">
      <w:pPr>
        <w:tabs>
          <w:tab w:val="left" w:pos="284"/>
          <w:tab w:val="left" w:leader="dot" w:pos="9072"/>
        </w:tabs>
        <w:overflowPunct w:val="0"/>
        <w:adjustRightInd w:val="0"/>
        <w:ind w:left="0" w:firstLine="0"/>
        <w:textAlignment w:val="baseline"/>
        <w:rPr>
          <w:szCs w:val="20"/>
          <w:lang w:val="en-US"/>
        </w:rPr>
      </w:pPr>
    </w:p>
    <w:p w:rsidR="004F47BB" w:rsidRPr="004F47BB" w:rsidRDefault="004F47BB" w:rsidP="004F47BB">
      <w:pPr>
        <w:tabs>
          <w:tab w:val="left" w:pos="284"/>
          <w:tab w:val="left" w:pos="5103"/>
          <w:tab w:val="left" w:leader="dot" w:pos="9072"/>
        </w:tabs>
        <w:overflowPunct w:val="0"/>
        <w:adjustRightInd w:val="0"/>
        <w:spacing w:after="120"/>
        <w:ind w:left="0" w:firstLine="0"/>
        <w:textAlignment w:val="baseline"/>
        <w:rPr>
          <w:szCs w:val="20"/>
          <w:lang w:val="en-US"/>
        </w:rPr>
      </w:pPr>
      <w:r w:rsidRPr="004F47BB">
        <w:rPr>
          <w:szCs w:val="20"/>
          <w:lang w:val="en-US"/>
        </w:rPr>
        <w:t>Type of craft</w:t>
      </w:r>
      <w:r w:rsidRPr="004F47BB">
        <w:rPr>
          <w:szCs w:val="20"/>
          <w:lang w:val="en-US"/>
        </w:rPr>
        <w:tab/>
        <w:t xml:space="preserve">Test area: </w:t>
      </w:r>
      <w:r w:rsidRPr="004F47BB">
        <w:rPr>
          <w:szCs w:val="20"/>
          <w:lang w:val="en-US"/>
        </w:rPr>
        <w:tab/>
      </w:r>
    </w:p>
    <w:p w:rsidR="004F47BB" w:rsidRPr="004F47BB" w:rsidRDefault="004F47BB" w:rsidP="004F47BB">
      <w:pPr>
        <w:tabs>
          <w:tab w:val="left" w:pos="284"/>
          <w:tab w:val="left" w:leader="dot" w:pos="4536"/>
          <w:tab w:val="left" w:pos="5103"/>
          <w:tab w:val="left" w:leader="dot" w:pos="9072"/>
        </w:tabs>
        <w:overflowPunct w:val="0"/>
        <w:adjustRightInd w:val="0"/>
        <w:spacing w:after="120"/>
        <w:ind w:left="0" w:firstLine="0"/>
        <w:textAlignment w:val="baseline"/>
        <w:rPr>
          <w:szCs w:val="20"/>
          <w:lang w:val="en-US"/>
        </w:rPr>
      </w:pPr>
      <w:r w:rsidRPr="004F47BB">
        <w:rPr>
          <w:szCs w:val="20"/>
          <w:lang w:val="en-US"/>
        </w:rPr>
        <w:t xml:space="preserve">or convoy: </w:t>
      </w:r>
      <w:r w:rsidRPr="004F47BB">
        <w:rPr>
          <w:szCs w:val="20"/>
          <w:lang w:val="en-US"/>
        </w:rPr>
        <w:tab/>
      </w:r>
      <w:r w:rsidRPr="004F47BB">
        <w:rPr>
          <w:szCs w:val="20"/>
          <w:lang w:val="en-US"/>
        </w:rPr>
        <w:tab/>
        <w:t xml:space="preserve">Relevant water level [m] : </w:t>
      </w:r>
      <w:r w:rsidRPr="004F47BB">
        <w:rPr>
          <w:szCs w:val="20"/>
          <w:lang w:val="en-US"/>
        </w:rPr>
        <w:tab/>
      </w:r>
    </w:p>
    <w:p w:rsidR="004F47BB" w:rsidRPr="004F47BB" w:rsidRDefault="004F47BB" w:rsidP="004F47BB">
      <w:pPr>
        <w:tabs>
          <w:tab w:val="left" w:pos="284"/>
          <w:tab w:val="left" w:leader="dot" w:pos="4536"/>
          <w:tab w:val="left" w:pos="5103"/>
          <w:tab w:val="left" w:leader="dot" w:pos="9072"/>
        </w:tabs>
        <w:overflowPunct w:val="0"/>
        <w:adjustRightInd w:val="0"/>
        <w:spacing w:after="120"/>
        <w:ind w:left="0" w:firstLine="0"/>
        <w:textAlignment w:val="baseline"/>
        <w:rPr>
          <w:szCs w:val="20"/>
          <w:lang w:val="en-US"/>
        </w:rPr>
      </w:pPr>
      <m:oMath>
        <m:r>
          <w:rPr>
            <w:rFonts w:ascii="Cambria Math" w:hAnsi="Cambria Math"/>
            <w:szCs w:val="20"/>
            <w:lang w:val="en-US"/>
          </w:rPr>
          <m:t>L</m:t>
        </m:r>
      </m:oMath>
      <w:r w:rsidRPr="004F47BB">
        <w:rPr>
          <w:szCs w:val="20"/>
          <w:lang w:val="en-US"/>
        </w:rPr>
        <w:t xml:space="preserve"> x </w:t>
      </w:r>
      <m:oMath>
        <m:r>
          <w:rPr>
            <w:rFonts w:ascii="Cambria Math" w:hAnsi="Cambria Math"/>
            <w:szCs w:val="20"/>
            <w:lang w:val="en-US"/>
          </w:rPr>
          <m:t>B</m:t>
        </m:r>
      </m:oMath>
      <w:r w:rsidRPr="004F47BB">
        <w:rPr>
          <w:szCs w:val="20"/>
          <w:lang w:val="en-US"/>
        </w:rPr>
        <w:t xml:space="preserve"> [m x m]: </w:t>
      </w:r>
      <w:r w:rsidRPr="004F47BB">
        <w:rPr>
          <w:szCs w:val="20"/>
          <w:lang w:val="en-US"/>
        </w:rPr>
        <w:tab/>
      </w:r>
      <w:r w:rsidRPr="004F47BB">
        <w:rPr>
          <w:szCs w:val="20"/>
          <w:lang w:val="en-US"/>
        </w:rPr>
        <w:tab/>
        <w:t xml:space="preserve">Depth of water </w:t>
      </w:r>
      <m:oMath>
        <m:r>
          <w:rPr>
            <w:rFonts w:ascii="Cambria Math" w:hAnsi="Cambria Math"/>
            <w:szCs w:val="20"/>
            <w:lang w:val="en-US"/>
          </w:rPr>
          <m:t>h</m:t>
        </m:r>
      </m:oMath>
      <w:r w:rsidRPr="004F47BB">
        <w:rPr>
          <w:szCs w:val="20"/>
          <w:lang w:val="en-US"/>
        </w:rPr>
        <w:t xml:space="preserve"> [m] : </w:t>
      </w:r>
      <w:r w:rsidRPr="004F47BB">
        <w:rPr>
          <w:szCs w:val="20"/>
          <w:lang w:val="en-US"/>
        </w:rPr>
        <w:tab/>
      </w:r>
    </w:p>
    <w:p w:rsidR="004F47BB" w:rsidRPr="004F47BB" w:rsidRDefault="004F47BB" w:rsidP="004F47BB">
      <w:pPr>
        <w:tabs>
          <w:tab w:val="left" w:pos="284"/>
          <w:tab w:val="left" w:leader="dot" w:pos="4536"/>
          <w:tab w:val="left" w:pos="5103"/>
          <w:tab w:val="left" w:leader="dot" w:pos="9072"/>
        </w:tabs>
        <w:overflowPunct w:val="0"/>
        <w:adjustRightInd w:val="0"/>
        <w:ind w:left="0" w:firstLine="0"/>
        <w:textAlignment w:val="baseline"/>
        <w:rPr>
          <w:szCs w:val="20"/>
          <w:lang w:val="en-US"/>
        </w:rPr>
      </w:pPr>
      <m:oMath>
        <m:r>
          <w:rPr>
            <w:rFonts w:ascii="Cambria Math" w:hAnsi="Cambria Math"/>
            <w:szCs w:val="20"/>
            <w:lang w:val="en-US"/>
          </w:rPr>
          <m:t>T</m:t>
        </m:r>
      </m:oMath>
      <w:r w:rsidRPr="004F47BB">
        <w:rPr>
          <w:szCs w:val="20"/>
          <w:lang w:val="en-US"/>
        </w:rPr>
        <w:t xml:space="preserve"> during test</w:t>
      </w:r>
      <w:r w:rsidRPr="004F47BB">
        <w:rPr>
          <w:sz w:val="22"/>
          <w:szCs w:val="20"/>
          <w:lang w:val="en-US"/>
        </w:rPr>
        <w:t xml:space="preserve"> </w:t>
      </w:r>
      <w:r w:rsidRPr="004F47BB">
        <w:rPr>
          <w:szCs w:val="20"/>
          <w:lang w:val="en-US"/>
        </w:rPr>
        <w:t xml:space="preserve">[m]: </w:t>
      </w:r>
      <w:r w:rsidRPr="004F47BB">
        <w:rPr>
          <w:szCs w:val="20"/>
          <w:lang w:val="en-US"/>
        </w:rPr>
        <w:tab/>
      </w:r>
      <w:r w:rsidRPr="004F47BB">
        <w:rPr>
          <w:szCs w:val="20"/>
          <w:lang w:val="en-US"/>
        </w:rPr>
        <w:tab/>
      </w:r>
      <m:oMath>
        <m:r>
          <w:rPr>
            <w:rFonts w:ascii="Cambria Math" w:hAnsi="Cambria Math"/>
            <w:szCs w:val="20"/>
            <w:lang w:val="en-US"/>
          </w:rPr>
          <m:t>h/T</m:t>
        </m:r>
      </m:oMath>
      <w:r w:rsidRPr="004F47BB">
        <w:rPr>
          <w:szCs w:val="20"/>
          <w:lang w:val="en-US"/>
        </w:rPr>
        <w:t xml:space="preserve"> : </w:t>
      </w:r>
      <w:r w:rsidRPr="004F47BB">
        <w:rPr>
          <w:szCs w:val="20"/>
          <w:lang w:val="en-US"/>
        </w:rPr>
        <w:tab/>
      </w:r>
    </w:p>
    <w:p w:rsidR="004F47BB" w:rsidRPr="004F47BB" w:rsidRDefault="004F47BB" w:rsidP="004F47BB">
      <w:pPr>
        <w:tabs>
          <w:tab w:val="left" w:pos="5103"/>
          <w:tab w:val="left" w:leader="dot" w:pos="9072"/>
        </w:tabs>
        <w:overflowPunct w:val="0"/>
        <w:adjustRightInd w:val="0"/>
        <w:spacing w:before="120"/>
        <w:ind w:left="0" w:firstLine="0"/>
        <w:textAlignment w:val="baseline"/>
        <w:rPr>
          <w:szCs w:val="20"/>
          <w:lang w:val="en-US"/>
        </w:rPr>
      </w:pPr>
      <w:r w:rsidRPr="004F47BB">
        <w:rPr>
          <w:szCs w:val="20"/>
          <w:lang w:val="en-US"/>
        </w:rPr>
        <w:tab/>
        <w:t xml:space="preserve">Speed of the current [m/s] </w:t>
      </w:r>
      <w:r w:rsidRPr="004F47BB">
        <w:rPr>
          <w:szCs w:val="20"/>
          <w:lang w:val="en-US"/>
        </w:rPr>
        <w:tab/>
      </w:r>
    </w:p>
    <w:p w:rsidR="004F47BB" w:rsidRPr="004F47BB" w:rsidRDefault="004F47BB" w:rsidP="004F47BB">
      <w:pPr>
        <w:tabs>
          <w:tab w:val="left" w:pos="284"/>
          <w:tab w:val="left" w:leader="dot" w:pos="4536"/>
          <w:tab w:val="left" w:pos="5103"/>
          <w:tab w:val="left" w:leader="dot" w:pos="9072"/>
        </w:tabs>
        <w:overflowPunct w:val="0"/>
        <w:adjustRightInd w:val="0"/>
        <w:ind w:left="0" w:firstLine="0"/>
        <w:textAlignment w:val="baseline"/>
        <w:rPr>
          <w:szCs w:val="20"/>
          <w:lang w:val="en-US"/>
        </w:rPr>
      </w:pPr>
    </w:p>
    <w:p w:rsidR="004F47BB" w:rsidRPr="004F47BB" w:rsidRDefault="004F47BB" w:rsidP="004F47BB">
      <w:pPr>
        <w:tabs>
          <w:tab w:val="left" w:pos="284"/>
          <w:tab w:val="left" w:pos="5103"/>
          <w:tab w:val="left" w:leader="dot" w:pos="9072"/>
        </w:tabs>
        <w:overflowPunct w:val="0"/>
        <w:adjustRightInd w:val="0"/>
        <w:ind w:left="0" w:firstLine="0"/>
        <w:textAlignment w:val="baseline"/>
        <w:rPr>
          <w:szCs w:val="20"/>
          <w:lang w:val="en-US"/>
        </w:rPr>
      </w:pPr>
      <w:r w:rsidRPr="004F47BB">
        <w:rPr>
          <w:szCs w:val="20"/>
          <w:lang w:val="en-US"/>
        </w:rPr>
        <w:t>Load</w:t>
      </w:r>
      <w:r w:rsidRPr="004F47BB">
        <w:rPr>
          <w:szCs w:val="20"/>
          <w:lang w:val="en-US"/>
        </w:rPr>
        <w:tab/>
        <w:t>% of maximum</w:t>
      </w:r>
    </w:p>
    <w:p w:rsidR="004F47BB" w:rsidRPr="004F47BB" w:rsidRDefault="004F47BB" w:rsidP="004F47BB">
      <w:pPr>
        <w:tabs>
          <w:tab w:val="left" w:pos="284"/>
          <w:tab w:val="left" w:leader="dot" w:pos="4536"/>
          <w:tab w:val="left" w:pos="5103"/>
          <w:tab w:val="left" w:leader="dot" w:pos="9072"/>
        </w:tabs>
        <w:overflowPunct w:val="0"/>
        <w:adjustRightInd w:val="0"/>
        <w:ind w:left="0" w:firstLine="0"/>
        <w:textAlignment w:val="baseline"/>
        <w:rPr>
          <w:szCs w:val="20"/>
          <w:lang w:val="en-US"/>
        </w:rPr>
      </w:pPr>
      <w:r w:rsidRPr="004F47BB">
        <w:rPr>
          <w:szCs w:val="20"/>
          <w:lang w:val="en-US"/>
        </w:rPr>
        <w:t xml:space="preserve">(during test) [t] : </w:t>
      </w:r>
      <w:r w:rsidRPr="004F47BB">
        <w:rPr>
          <w:szCs w:val="20"/>
          <w:lang w:val="en-US"/>
        </w:rPr>
        <w:tab/>
      </w:r>
      <w:r w:rsidRPr="004F47BB">
        <w:rPr>
          <w:szCs w:val="20"/>
          <w:lang w:val="en-US"/>
        </w:rPr>
        <w:tab/>
        <w:t xml:space="preserve">deadweight: </w:t>
      </w:r>
      <w:r w:rsidRPr="004F47BB">
        <w:rPr>
          <w:szCs w:val="20"/>
          <w:lang w:val="en-US"/>
        </w:rPr>
        <w:tab/>
      </w:r>
    </w:p>
    <w:p w:rsidR="004F47BB" w:rsidRPr="004F47BB" w:rsidRDefault="004F47BB" w:rsidP="004F47BB">
      <w:pPr>
        <w:tabs>
          <w:tab w:val="left" w:pos="284"/>
          <w:tab w:val="left" w:leader="dot" w:pos="4536"/>
          <w:tab w:val="left" w:pos="5103"/>
          <w:tab w:val="left" w:leader="dot" w:pos="9072"/>
        </w:tabs>
        <w:overflowPunct w:val="0"/>
        <w:adjustRightInd w:val="0"/>
        <w:ind w:left="0" w:firstLine="0"/>
        <w:textAlignment w:val="baseline"/>
        <w:rPr>
          <w:szCs w:val="20"/>
          <w:lang w:val="en-US"/>
        </w:rPr>
      </w:pPr>
    </w:p>
    <w:p w:rsidR="004F47BB" w:rsidRPr="004F47BB" w:rsidRDefault="004F47BB" w:rsidP="004F47BB">
      <w:pPr>
        <w:tabs>
          <w:tab w:val="left" w:pos="284"/>
          <w:tab w:val="left" w:leader="dot" w:pos="4536"/>
          <w:tab w:val="left" w:pos="5103"/>
          <w:tab w:val="left" w:leader="dot" w:pos="9072"/>
        </w:tabs>
        <w:overflowPunct w:val="0"/>
        <w:adjustRightInd w:val="0"/>
        <w:spacing w:after="80"/>
        <w:ind w:left="0" w:firstLine="0"/>
        <w:textAlignment w:val="baseline"/>
        <w:rPr>
          <w:szCs w:val="20"/>
          <w:lang w:val="en-US"/>
        </w:rPr>
      </w:pPr>
      <w:r w:rsidRPr="004F47BB">
        <w:rPr>
          <w:szCs w:val="20"/>
          <w:lang w:val="en-US"/>
        </w:rPr>
        <w:t>Rate-of turn indicator</w:t>
      </w:r>
    </w:p>
    <w:p w:rsidR="004F47BB" w:rsidRPr="004F47BB" w:rsidRDefault="004F47BB" w:rsidP="004F47BB">
      <w:pPr>
        <w:tabs>
          <w:tab w:val="left" w:pos="284"/>
          <w:tab w:val="left" w:leader="dot" w:pos="9072"/>
        </w:tabs>
        <w:overflowPunct w:val="0"/>
        <w:adjustRightInd w:val="0"/>
        <w:ind w:left="0" w:firstLine="0"/>
        <w:textAlignment w:val="baseline"/>
        <w:rPr>
          <w:szCs w:val="20"/>
          <w:lang w:val="en-US"/>
        </w:rPr>
      </w:pPr>
      <w:r w:rsidRPr="004F47BB">
        <w:rPr>
          <w:szCs w:val="20"/>
          <w:lang w:val="en-US"/>
        </w:rPr>
        <w:t xml:space="preserve">Type : </w:t>
      </w:r>
      <w:r w:rsidRPr="004F47BB">
        <w:rPr>
          <w:szCs w:val="20"/>
          <w:lang w:val="en-US"/>
        </w:rPr>
        <w:tab/>
      </w:r>
    </w:p>
    <w:p w:rsidR="004F47BB" w:rsidRPr="004F47BB" w:rsidRDefault="004F47BB" w:rsidP="004F47BB">
      <w:pPr>
        <w:tabs>
          <w:tab w:val="left" w:pos="284"/>
          <w:tab w:val="left" w:leader="dot" w:pos="9072"/>
        </w:tabs>
        <w:overflowPunct w:val="0"/>
        <w:adjustRightInd w:val="0"/>
        <w:ind w:left="0" w:firstLine="0"/>
        <w:textAlignment w:val="baseline"/>
        <w:rPr>
          <w:szCs w:val="20"/>
          <w:lang w:val="en-US"/>
        </w:rPr>
      </w:pPr>
    </w:p>
    <w:p w:rsidR="004F47BB" w:rsidRPr="004F47BB" w:rsidRDefault="004F47BB" w:rsidP="004F47BB">
      <w:pPr>
        <w:tabs>
          <w:tab w:val="left" w:pos="284"/>
          <w:tab w:val="left" w:leader="dot" w:pos="9072"/>
        </w:tabs>
        <w:overflowPunct w:val="0"/>
        <w:adjustRightInd w:val="0"/>
        <w:ind w:left="0" w:firstLine="0"/>
        <w:textAlignment w:val="baseline"/>
        <w:rPr>
          <w:szCs w:val="20"/>
          <w:lang w:val="en-US"/>
        </w:rPr>
      </w:pPr>
      <w:r w:rsidRPr="004F47BB">
        <w:rPr>
          <w:szCs w:val="20"/>
          <w:lang w:val="en-US"/>
        </w:rPr>
        <w:t xml:space="preserve">Type of rudder construction: normal construction/special construction </w:t>
      </w:r>
      <w:r w:rsidRPr="004F47BB">
        <w:rPr>
          <w:szCs w:val="20"/>
          <w:vertAlign w:val="superscript"/>
          <w:lang w:val="en-US"/>
        </w:rPr>
        <w:footnoteReference w:customMarkFollows="1" w:id="80"/>
        <w:t>*)</w:t>
      </w:r>
    </w:p>
    <w:p w:rsidR="004F47BB" w:rsidRPr="004F47BB" w:rsidRDefault="004F47BB" w:rsidP="004F47BB">
      <w:pPr>
        <w:tabs>
          <w:tab w:val="left" w:pos="284"/>
          <w:tab w:val="left" w:leader="dot" w:pos="9072"/>
        </w:tabs>
        <w:overflowPunct w:val="0"/>
        <w:adjustRightInd w:val="0"/>
        <w:ind w:left="0" w:firstLine="0"/>
        <w:textAlignment w:val="baseline"/>
        <w:rPr>
          <w:szCs w:val="20"/>
          <w:lang w:val="en-US"/>
        </w:rPr>
      </w:pPr>
      <w:r w:rsidRPr="004F47BB">
        <w:rPr>
          <w:szCs w:val="20"/>
          <w:lang w:val="en-US"/>
        </w:rPr>
        <w:t>Active steering system: yes/no *)</w:t>
      </w:r>
    </w:p>
    <w:p w:rsidR="004F47BB" w:rsidRPr="004F47BB" w:rsidRDefault="004F47BB" w:rsidP="004F47BB">
      <w:pPr>
        <w:tabs>
          <w:tab w:val="left" w:pos="284"/>
          <w:tab w:val="left" w:leader="dot" w:pos="9072"/>
        </w:tabs>
        <w:overflowPunct w:val="0"/>
        <w:adjustRightInd w:val="0"/>
        <w:ind w:left="0" w:firstLine="0"/>
        <w:textAlignment w:val="baseline"/>
        <w:rPr>
          <w:szCs w:val="20"/>
          <w:lang w:val="en-US"/>
        </w:rPr>
      </w:pPr>
    </w:p>
    <w:p w:rsidR="004F47BB" w:rsidRPr="004F47BB" w:rsidRDefault="004F47BB" w:rsidP="004F47BB">
      <w:pPr>
        <w:tabs>
          <w:tab w:val="left" w:pos="284"/>
          <w:tab w:val="left" w:leader="dot" w:pos="9072"/>
        </w:tabs>
        <w:overflowPunct w:val="0"/>
        <w:adjustRightInd w:val="0"/>
        <w:ind w:left="0" w:firstLine="0"/>
        <w:textAlignment w:val="baseline"/>
        <w:rPr>
          <w:szCs w:val="20"/>
          <w:lang w:val="en-US"/>
        </w:rPr>
      </w:pPr>
      <w:r w:rsidRPr="004F47BB">
        <w:rPr>
          <w:szCs w:val="20"/>
          <w:lang w:val="en-US"/>
        </w:rPr>
        <w:t>Results of evasive action manoeuvres:</w:t>
      </w:r>
    </w:p>
    <w:p w:rsidR="004F47BB" w:rsidRPr="004F47BB" w:rsidRDefault="004F47BB" w:rsidP="004F47BB">
      <w:pPr>
        <w:tabs>
          <w:tab w:val="left" w:pos="284"/>
          <w:tab w:val="left" w:leader="dot" w:pos="4536"/>
          <w:tab w:val="left" w:pos="5103"/>
          <w:tab w:val="left" w:leader="dot" w:pos="9072"/>
        </w:tabs>
        <w:overflowPunct w:val="0"/>
        <w:adjustRightInd w:val="0"/>
        <w:ind w:left="0" w:firstLine="0"/>
        <w:textAlignment w:val="baseline"/>
        <w:rPr>
          <w:szCs w:val="20"/>
          <w:lang w:val="en-US"/>
        </w:rPr>
      </w:pPr>
    </w:p>
    <w:tbl>
      <w:tblPr>
        <w:tblW w:w="0" w:type="auto"/>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18"/>
        <w:gridCol w:w="1417"/>
        <w:gridCol w:w="1417"/>
        <w:gridCol w:w="1417"/>
        <w:gridCol w:w="1419"/>
        <w:gridCol w:w="2268"/>
      </w:tblGrid>
      <w:tr w:rsidR="004F47BB" w:rsidRPr="004F47BB" w:rsidTr="00D45887">
        <w:tc>
          <w:tcPr>
            <w:tcW w:w="1418" w:type="dxa"/>
            <w:tcBorders>
              <w:top w:val="single" w:sz="6" w:space="0" w:color="auto"/>
              <w:left w:val="single" w:sz="6" w:space="0" w:color="auto"/>
              <w:bottom w:val="nil"/>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r w:rsidRPr="004F47BB">
              <w:rPr>
                <w:sz w:val="18"/>
                <w:szCs w:val="20"/>
                <w:lang w:val="en-US"/>
              </w:rPr>
              <w:t xml:space="preserve">Time </w:t>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GB"/>
                    </w:rPr>
                    <m:t>1</m:t>
                  </m:r>
                </m:sub>
              </m:sSub>
            </m:oMath>
            <w:r w:rsidRPr="004F47BB">
              <w:rPr>
                <w:sz w:val="18"/>
                <w:szCs w:val="20"/>
                <w:lang w:val="en-US"/>
              </w:rPr>
              <w:t xml:space="preserve"> to t</w:t>
            </w:r>
            <w:r w:rsidRPr="004F47BB">
              <w:rPr>
                <w:sz w:val="18"/>
                <w:szCs w:val="20"/>
                <w:vertAlign w:val="subscript"/>
                <w:lang w:val="en-US"/>
              </w:rPr>
              <w:t>4</w:t>
            </w:r>
            <w:r w:rsidRPr="004F47BB">
              <w:rPr>
                <w:sz w:val="18"/>
                <w:szCs w:val="20"/>
                <w:lang w:val="en-US"/>
              </w:rPr>
              <w:t xml:space="preserve"> required </w:t>
            </w:r>
          </w:p>
        </w:tc>
        <w:tc>
          <w:tcPr>
            <w:tcW w:w="5670" w:type="dxa"/>
            <w:gridSpan w:val="4"/>
            <w:tcBorders>
              <w:top w:val="single" w:sz="6" w:space="0" w:color="auto"/>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r w:rsidRPr="004F47BB">
              <w:rPr>
                <w:sz w:val="18"/>
                <w:szCs w:val="20"/>
                <w:lang w:val="en-US"/>
              </w:rPr>
              <w:t xml:space="preserve">Rudder angle </w:t>
            </w:r>
            <w:r w:rsidRPr="004F47BB">
              <w:rPr>
                <w:sz w:val="18"/>
                <w:szCs w:val="20"/>
              </w:rPr>
              <w:sym w:font="Symbol" w:char="F064"/>
            </w:r>
            <w:r w:rsidRPr="004F47BB">
              <w:rPr>
                <w:sz w:val="18"/>
                <w:szCs w:val="20"/>
                <w:lang w:val="en-US"/>
              </w:rPr>
              <w:t xml:space="preserve"> or </w:t>
            </w:r>
            <m:oMath>
              <m:sSub>
                <m:sSubPr>
                  <m:ctrlPr>
                    <w:rPr>
                      <w:rFonts w:ascii="Cambria Math" w:hAnsi="Cambria Math"/>
                      <w:i/>
                      <w:sz w:val="18"/>
                      <w:szCs w:val="20"/>
                      <w:lang w:val="en-US"/>
                    </w:rPr>
                  </m:ctrlPr>
                </m:sSubPr>
                <m:e>
                  <m:r>
                    <w:rPr>
                      <w:rFonts w:ascii="Cambria Math" w:hAnsi="Cambria Math"/>
                      <w:sz w:val="18"/>
                      <w:szCs w:val="20"/>
                      <w:lang w:val="en-US"/>
                    </w:rPr>
                    <m:t>δ</m:t>
                  </m:r>
                </m:e>
                <m:sub>
                  <m:r>
                    <w:rPr>
                      <w:rFonts w:ascii="Cambria Math" w:hAnsi="Cambria Math"/>
                      <w:sz w:val="18"/>
                      <w:szCs w:val="20"/>
                      <w:lang w:val="en-US"/>
                    </w:rPr>
                    <m:t>a</m:t>
                  </m:r>
                </m:sub>
              </m:sSub>
            </m:oMath>
            <w:r w:rsidRPr="004F47BB">
              <w:rPr>
                <w:sz w:val="18"/>
                <w:szCs w:val="20"/>
                <w:lang w:val="en-US"/>
              </w:rPr>
              <w:t xml:space="preserve"> *) at which evasive action commences </w:t>
            </w:r>
            <m:oMath>
              <m:sSub>
                <m:sSubPr>
                  <m:ctrlPr>
                    <w:rPr>
                      <w:rFonts w:ascii="Cambria Math" w:hAnsi="Cambria Math"/>
                      <w:i/>
                      <w:sz w:val="18"/>
                      <w:szCs w:val="20"/>
                      <w:lang w:val="en-US"/>
                    </w:rPr>
                  </m:ctrlPr>
                </m:sSubPr>
                <m:e>
                  <m:r>
                    <w:rPr>
                      <w:rFonts w:ascii="Cambria Math" w:hAnsi="Cambria Math"/>
                      <w:sz w:val="18"/>
                      <w:szCs w:val="20"/>
                      <w:lang w:val="en-US"/>
                    </w:rPr>
                    <m:t>r</m:t>
                  </m:r>
                </m:e>
                <m:sub>
                  <m:r>
                    <w:rPr>
                      <w:rFonts w:ascii="Cambria Math" w:hAnsi="Cambria Math"/>
                      <w:sz w:val="18"/>
                      <w:szCs w:val="20"/>
                      <w:lang w:val="en-GB"/>
                    </w:rPr>
                    <m:t>1</m:t>
                  </m:r>
                </m:sub>
              </m:sSub>
            </m:oMath>
            <w:r w:rsidRPr="004F47BB">
              <w:rPr>
                <w:sz w:val="18"/>
                <w:szCs w:val="20"/>
                <w:lang w:val="en-US"/>
              </w:rPr>
              <w:t xml:space="preserve"> = </w:t>
            </w:r>
            <m:oMath>
              <m:sSub>
                <m:sSubPr>
                  <m:ctrlPr>
                    <w:rPr>
                      <w:rFonts w:ascii="Cambria Math" w:hAnsi="Cambria Math"/>
                      <w:i/>
                      <w:sz w:val="18"/>
                      <w:szCs w:val="20"/>
                      <w:lang w:val="en-US"/>
                    </w:rPr>
                  </m:ctrlPr>
                </m:sSubPr>
                <m:e>
                  <m:r>
                    <w:rPr>
                      <w:rFonts w:ascii="Cambria Math" w:hAnsi="Cambria Math"/>
                      <w:sz w:val="18"/>
                      <w:szCs w:val="20"/>
                      <w:lang w:val="en-US"/>
                    </w:rPr>
                    <m:t>r</m:t>
                  </m:r>
                </m:e>
                <m:sub>
                  <m:r>
                    <w:rPr>
                      <w:rFonts w:ascii="Cambria Math" w:hAnsi="Cambria Math"/>
                      <w:sz w:val="18"/>
                      <w:szCs w:val="20"/>
                      <w:lang w:val="en-GB"/>
                    </w:rPr>
                    <m:t>3</m:t>
                  </m:r>
                </m:sub>
              </m:sSub>
            </m:oMath>
          </w:p>
        </w:tc>
        <w:tc>
          <w:tcPr>
            <w:tcW w:w="2268" w:type="dxa"/>
            <w:tcBorders>
              <w:top w:val="single" w:sz="6" w:space="0" w:color="auto"/>
              <w:bottom w:val="nil"/>
              <w:right w:val="single" w:sz="6" w:space="0" w:color="auto"/>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rPr>
            </w:pPr>
            <w:r w:rsidRPr="004F47BB">
              <w:rPr>
                <w:sz w:val="18"/>
                <w:szCs w:val="20"/>
              </w:rPr>
              <w:t>Comments</w:t>
            </w:r>
          </w:p>
        </w:tc>
      </w:tr>
      <w:tr w:rsidR="004F47BB" w:rsidRPr="004F47BB" w:rsidTr="00D45887">
        <w:tc>
          <w:tcPr>
            <w:tcW w:w="1418" w:type="dxa"/>
            <w:tcBorders>
              <w:top w:val="nil"/>
              <w:left w:val="single" w:sz="6" w:space="0" w:color="auto"/>
              <w:bottom w:val="nil"/>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rPr>
            </w:pPr>
            <w:r w:rsidRPr="004F47BB">
              <w:rPr>
                <w:sz w:val="18"/>
                <w:szCs w:val="20"/>
                <w:lang w:val="en-US"/>
              </w:rPr>
              <w:t>for the evasive action</w:t>
            </w:r>
          </w:p>
        </w:tc>
        <w:tc>
          <w:tcPr>
            <w:tcW w:w="1417" w:type="dxa"/>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GB"/>
              </w:rPr>
            </w:pPr>
            <m:oMath>
              <m:r>
                <w:rPr>
                  <w:rFonts w:ascii="Cambria Math" w:hAnsi="Cambria Math"/>
                  <w:i/>
                  <w:sz w:val="18"/>
                  <w:szCs w:val="20"/>
                </w:rPr>
                <w:sym w:font="Symbol" w:char="F064"/>
              </m:r>
            </m:oMath>
            <w:r w:rsidRPr="004F47BB">
              <w:rPr>
                <w:sz w:val="18"/>
                <w:szCs w:val="20"/>
                <w:lang w:val="en-GB"/>
              </w:rPr>
              <w:t xml:space="preserve"> = 20° TB*)</w:t>
            </w:r>
            <w:r w:rsidRPr="004F47BB">
              <w:rPr>
                <w:sz w:val="18"/>
                <w:szCs w:val="20"/>
                <w:lang w:val="en-GB"/>
              </w:rPr>
              <w:br/>
            </w:r>
            <m:oMath>
              <m:sSub>
                <m:sSubPr>
                  <m:ctrlPr>
                    <w:rPr>
                      <w:rFonts w:ascii="Cambria Math" w:hAnsi="Cambria Math"/>
                      <w:i/>
                      <w:sz w:val="18"/>
                      <w:szCs w:val="20"/>
                      <w:lang w:val="en-US"/>
                    </w:rPr>
                  </m:ctrlPr>
                </m:sSubPr>
                <m:e>
                  <m:r>
                    <w:rPr>
                      <w:rFonts w:ascii="Cambria Math" w:hAnsi="Cambria Math"/>
                      <w:sz w:val="18"/>
                      <w:szCs w:val="20"/>
                      <w:lang w:val="en-US"/>
                    </w:rPr>
                    <m:t>δ</m:t>
                  </m:r>
                </m:e>
                <m:sub>
                  <m:r>
                    <w:rPr>
                      <w:rFonts w:ascii="Cambria Math" w:hAnsi="Cambria Math"/>
                      <w:sz w:val="18"/>
                      <w:szCs w:val="20"/>
                      <w:lang w:val="en-US"/>
                    </w:rPr>
                    <m:t>a</m:t>
                  </m:r>
                </m:sub>
              </m:sSub>
            </m:oMath>
            <w:r w:rsidRPr="004F47BB">
              <w:rPr>
                <w:sz w:val="18"/>
                <w:szCs w:val="20"/>
                <w:lang w:val="en-GB"/>
              </w:rPr>
              <w:t xml:space="preserve"> = .... TB*)</w:t>
            </w:r>
          </w:p>
        </w:tc>
        <w:tc>
          <w:tcPr>
            <w:tcW w:w="1417" w:type="dxa"/>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GB"/>
              </w:rPr>
            </w:pPr>
            <m:oMath>
              <m:r>
                <w:rPr>
                  <w:rFonts w:ascii="Cambria Math" w:hAnsi="Cambria Math"/>
                  <w:i/>
                  <w:sz w:val="18"/>
                  <w:szCs w:val="20"/>
                </w:rPr>
                <w:sym w:font="Symbol" w:char="F064"/>
              </m:r>
            </m:oMath>
            <w:r w:rsidRPr="004F47BB">
              <w:rPr>
                <w:sz w:val="18"/>
                <w:szCs w:val="20"/>
                <w:lang w:val="en-GB"/>
              </w:rPr>
              <w:t xml:space="preserve"> = 20° BB*)</w:t>
            </w:r>
            <w:r w:rsidRPr="004F47BB">
              <w:rPr>
                <w:sz w:val="18"/>
                <w:szCs w:val="20"/>
                <w:lang w:val="en-GB"/>
              </w:rPr>
              <w:br/>
            </w:r>
            <m:oMath>
              <m:sSub>
                <m:sSubPr>
                  <m:ctrlPr>
                    <w:rPr>
                      <w:rFonts w:ascii="Cambria Math" w:hAnsi="Cambria Math"/>
                      <w:i/>
                      <w:sz w:val="18"/>
                      <w:szCs w:val="20"/>
                      <w:lang w:val="en-US"/>
                    </w:rPr>
                  </m:ctrlPr>
                </m:sSubPr>
                <m:e>
                  <m:r>
                    <w:rPr>
                      <w:rFonts w:ascii="Cambria Math" w:hAnsi="Cambria Math"/>
                      <w:sz w:val="18"/>
                      <w:szCs w:val="20"/>
                      <w:lang w:val="en-US"/>
                    </w:rPr>
                    <m:t>δ</m:t>
                  </m:r>
                </m:e>
                <m:sub>
                  <m:r>
                    <w:rPr>
                      <w:rFonts w:ascii="Cambria Math" w:hAnsi="Cambria Math"/>
                      <w:sz w:val="18"/>
                      <w:szCs w:val="20"/>
                      <w:lang w:val="en-US"/>
                    </w:rPr>
                    <m:t>a</m:t>
                  </m:r>
                </m:sub>
              </m:sSub>
            </m:oMath>
            <w:r w:rsidRPr="004F47BB">
              <w:rPr>
                <w:sz w:val="18"/>
                <w:szCs w:val="20"/>
                <w:lang w:val="en-GB"/>
              </w:rPr>
              <w:t xml:space="preserve"> = .... BB*)</w:t>
            </w:r>
          </w:p>
        </w:tc>
        <w:tc>
          <w:tcPr>
            <w:tcW w:w="1417" w:type="dxa"/>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GB"/>
              </w:rPr>
            </w:pPr>
            <m:oMath>
              <m:r>
                <w:rPr>
                  <w:rFonts w:ascii="Cambria Math" w:hAnsi="Cambria Math"/>
                  <w:i/>
                  <w:sz w:val="18"/>
                  <w:szCs w:val="20"/>
                </w:rPr>
                <w:sym w:font="Symbol" w:char="F064"/>
              </m:r>
            </m:oMath>
            <w:r w:rsidRPr="004F47BB">
              <w:rPr>
                <w:sz w:val="18"/>
                <w:szCs w:val="20"/>
                <w:lang w:val="en-GB"/>
              </w:rPr>
              <w:t xml:space="preserve"> = 45° TB*)</w:t>
            </w:r>
            <w:r w:rsidRPr="004F47BB">
              <w:rPr>
                <w:sz w:val="18"/>
                <w:szCs w:val="20"/>
                <w:lang w:val="en-GB"/>
              </w:rPr>
              <w:br/>
            </w:r>
            <m:oMath>
              <m:sSub>
                <m:sSubPr>
                  <m:ctrlPr>
                    <w:rPr>
                      <w:rFonts w:ascii="Cambria Math" w:hAnsi="Cambria Math"/>
                      <w:i/>
                      <w:sz w:val="18"/>
                      <w:szCs w:val="20"/>
                      <w:lang w:val="en-US"/>
                    </w:rPr>
                  </m:ctrlPr>
                </m:sSubPr>
                <m:e>
                  <m:r>
                    <w:rPr>
                      <w:rFonts w:ascii="Cambria Math" w:hAnsi="Cambria Math"/>
                      <w:sz w:val="18"/>
                      <w:szCs w:val="20"/>
                      <w:lang w:val="en-US"/>
                    </w:rPr>
                    <m:t>δ</m:t>
                  </m:r>
                </m:e>
                <m:sub>
                  <m:r>
                    <w:rPr>
                      <w:rFonts w:ascii="Cambria Math" w:hAnsi="Cambria Math"/>
                      <w:sz w:val="18"/>
                      <w:szCs w:val="20"/>
                      <w:lang w:val="en-US"/>
                    </w:rPr>
                    <m:t>a</m:t>
                  </m:r>
                </m:sub>
              </m:sSub>
            </m:oMath>
            <w:r w:rsidRPr="004F47BB">
              <w:rPr>
                <w:sz w:val="18"/>
                <w:szCs w:val="20"/>
                <w:lang w:val="en-GB"/>
              </w:rPr>
              <w:t xml:space="preserve"> = ..... TB*)</w:t>
            </w:r>
          </w:p>
        </w:tc>
        <w:tc>
          <w:tcPr>
            <w:tcW w:w="1417" w:type="dxa"/>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rPr>
            </w:pPr>
            <m:oMath>
              <m:r>
                <w:rPr>
                  <w:rFonts w:ascii="Cambria Math" w:hAnsi="Cambria Math"/>
                  <w:i/>
                  <w:sz w:val="18"/>
                  <w:szCs w:val="20"/>
                </w:rPr>
                <w:sym w:font="Symbol" w:char="F064"/>
              </m:r>
            </m:oMath>
            <w:r w:rsidRPr="004F47BB">
              <w:rPr>
                <w:sz w:val="18"/>
                <w:szCs w:val="20"/>
                <w:lang w:val="en-GB"/>
              </w:rPr>
              <w:t xml:space="preserve"> = 45° BB*)</w:t>
            </w:r>
            <w:r w:rsidRPr="004F47BB">
              <w:rPr>
                <w:sz w:val="18"/>
                <w:szCs w:val="20"/>
                <w:lang w:val="en-GB"/>
              </w:rPr>
              <w:br/>
            </w:r>
            <m:oMath>
              <m:sSub>
                <m:sSubPr>
                  <m:ctrlPr>
                    <w:rPr>
                      <w:rFonts w:ascii="Cambria Math" w:hAnsi="Cambria Math"/>
                      <w:i/>
                      <w:sz w:val="18"/>
                      <w:szCs w:val="20"/>
                      <w:lang w:val="en-US"/>
                    </w:rPr>
                  </m:ctrlPr>
                </m:sSubPr>
                <m:e>
                  <m:r>
                    <w:rPr>
                      <w:rFonts w:ascii="Cambria Math" w:hAnsi="Cambria Math"/>
                      <w:sz w:val="18"/>
                      <w:szCs w:val="20"/>
                      <w:lang w:val="en-US"/>
                    </w:rPr>
                    <m:t>δ</m:t>
                  </m:r>
                </m:e>
                <m:sub>
                  <m:r>
                    <w:rPr>
                      <w:rFonts w:ascii="Cambria Math" w:hAnsi="Cambria Math"/>
                      <w:sz w:val="18"/>
                      <w:szCs w:val="20"/>
                      <w:lang w:val="en-US"/>
                    </w:rPr>
                    <m:t>a</m:t>
                  </m:r>
                </m:sub>
              </m:sSub>
            </m:oMath>
            <w:r w:rsidRPr="004F47BB">
              <w:rPr>
                <w:sz w:val="18"/>
                <w:szCs w:val="20"/>
                <w:lang w:val="en-GB"/>
              </w:rPr>
              <w:t xml:space="preserve"> = .... </w:t>
            </w:r>
            <w:r w:rsidRPr="004F47BB">
              <w:rPr>
                <w:sz w:val="18"/>
                <w:szCs w:val="20"/>
              </w:rPr>
              <w:t>BB*)</w:t>
            </w:r>
          </w:p>
        </w:tc>
        <w:tc>
          <w:tcPr>
            <w:tcW w:w="2268" w:type="dxa"/>
            <w:tcBorders>
              <w:top w:val="nil"/>
              <w:bottom w:val="single" w:sz="6" w:space="0" w:color="auto"/>
              <w:right w:val="single" w:sz="6" w:space="0" w:color="auto"/>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rPr>
            </w:pPr>
          </w:p>
        </w:tc>
      </w:tr>
      <w:tr w:rsidR="004F47BB" w:rsidRPr="004F47BB" w:rsidTr="00D45887">
        <w:tc>
          <w:tcPr>
            <w:tcW w:w="1418" w:type="dxa"/>
            <w:tcBorders>
              <w:top w:val="nil"/>
              <w:left w:val="single" w:sz="6" w:space="0" w:color="auto"/>
              <w:bottom w:val="single" w:sz="6" w:space="0" w:color="auto"/>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rPr>
            </w:pPr>
          </w:p>
        </w:tc>
        <w:tc>
          <w:tcPr>
            <w:tcW w:w="2834" w:type="dxa"/>
            <w:gridSpan w:val="2"/>
            <w:vAlign w:val="center"/>
          </w:tcPr>
          <w:p w:rsidR="004F47BB" w:rsidRPr="004F47BB" w:rsidRDefault="00F12BAF"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m:oMath>
              <m:sSub>
                <m:sSubPr>
                  <m:ctrlPr>
                    <w:rPr>
                      <w:rFonts w:ascii="Cambria Math" w:hAnsi="Cambria Math"/>
                      <w:i/>
                      <w:sz w:val="18"/>
                      <w:szCs w:val="20"/>
                      <w:lang w:val="en-US"/>
                    </w:rPr>
                  </m:ctrlPr>
                </m:sSubPr>
                <m:e>
                  <m:r>
                    <w:rPr>
                      <w:rFonts w:ascii="Cambria Math" w:hAnsi="Cambria Math"/>
                      <w:sz w:val="18"/>
                      <w:szCs w:val="20"/>
                      <w:lang w:val="en-US"/>
                    </w:rPr>
                    <m:t>r</m:t>
                  </m:r>
                </m:e>
                <m:sub>
                  <m:r>
                    <w:rPr>
                      <w:rFonts w:ascii="Cambria Math" w:hAnsi="Cambria Math"/>
                      <w:sz w:val="18"/>
                      <w:szCs w:val="20"/>
                      <w:lang w:val="en-US"/>
                    </w:rPr>
                    <m:t>1</m:t>
                  </m:r>
                </m:sub>
              </m:sSub>
            </m:oMath>
            <w:r w:rsidR="004F47BB" w:rsidRPr="004F47BB">
              <w:rPr>
                <w:sz w:val="18"/>
                <w:szCs w:val="20"/>
                <w:lang w:val="en-US"/>
              </w:rPr>
              <w:t xml:space="preserve"> = </w:t>
            </w:r>
            <m:oMath>
              <m:sSub>
                <m:sSubPr>
                  <m:ctrlPr>
                    <w:rPr>
                      <w:rFonts w:ascii="Cambria Math" w:hAnsi="Cambria Math"/>
                      <w:i/>
                      <w:sz w:val="18"/>
                      <w:szCs w:val="20"/>
                      <w:lang w:val="en-US"/>
                    </w:rPr>
                  </m:ctrlPr>
                </m:sSubPr>
                <m:e>
                  <m:r>
                    <w:rPr>
                      <w:rFonts w:ascii="Cambria Math" w:hAnsi="Cambria Math"/>
                      <w:sz w:val="18"/>
                      <w:szCs w:val="20"/>
                      <w:lang w:val="en-US"/>
                    </w:rPr>
                    <m:t>r</m:t>
                  </m:r>
                </m:e>
                <m:sub>
                  <m:r>
                    <w:rPr>
                      <w:rFonts w:ascii="Cambria Math" w:hAnsi="Cambria Math"/>
                      <w:sz w:val="18"/>
                      <w:szCs w:val="20"/>
                      <w:lang w:val="en-US"/>
                    </w:rPr>
                    <m:t>3</m:t>
                  </m:r>
                </m:sub>
              </m:sSub>
            </m:oMath>
            <w:r w:rsidR="004F47BB" w:rsidRPr="004F47BB">
              <w:rPr>
                <w:sz w:val="18"/>
                <w:szCs w:val="20"/>
                <w:lang w:val="en-US"/>
              </w:rPr>
              <w:t xml:space="preserve"> = ........ °/min</w:t>
            </w:r>
          </w:p>
        </w:tc>
        <w:tc>
          <w:tcPr>
            <w:tcW w:w="2834" w:type="dxa"/>
            <w:gridSpan w:val="2"/>
            <w:vAlign w:val="center"/>
          </w:tcPr>
          <w:p w:rsidR="004F47BB" w:rsidRPr="004F47BB" w:rsidRDefault="00F12BAF"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m:oMath>
              <m:sSub>
                <m:sSubPr>
                  <m:ctrlPr>
                    <w:rPr>
                      <w:rFonts w:ascii="Cambria Math" w:hAnsi="Cambria Math"/>
                      <w:i/>
                      <w:sz w:val="18"/>
                      <w:szCs w:val="20"/>
                      <w:lang w:val="en-US"/>
                    </w:rPr>
                  </m:ctrlPr>
                </m:sSubPr>
                <m:e>
                  <m:r>
                    <w:rPr>
                      <w:rFonts w:ascii="Cambria Math" w:hAnsi="Cambria Math"/>
                      <w:sz w:val="18"/>
                      <w:szCs w:val="20"/>
                      <w:lang w:val="en-US"/>
                    </w:rPr>
                    <m:t>r</m:t>
                  </m:r>
                </m:e>
                <m:sub>
                  <m:r>
                    <w:rPr>
                      <w:rFonts w:ascii="Cambria Math" w:hAnsi="Cambria Math"/>
                      <w:sz w:val="18"/>
                      <w:szCs w:val="20"/>
                      <w:lang w:val="en-US"/>
                    </w:rPr>
                    <m:t>1</m:t>
                  </m:r>
                </m:sub>
              </m:sSub>
            </m:oMath>
            <w:r w:rsidR="004F47BB" w:rsidRPr="004F47BB">
              <w:rPr>
                <w:sz w:val="16"/>
                <w:szCs w:val="20"/>
                <w:lang w:val="en-US"/>
              </w:rPr>
              <w:t xml:space="preserve"> </w:t>
            </w:r>
            <w:r w:rsidR="004F47BB" w:rsidRPr="004F47BB">
              <w:rPr>
                <w:sz w:val="18"/>
                <w:szCs w:val="20"/>
                <w:lang w:val="en-US"/>
              </w:rPr>
              <w:t xml:space="preserve">= </w:t>
            </w:r>
            <m:oMath>
              <m:sSub>
                <m:sSubPr>
                  <m:ctrlPr>
                    <w:rPr>
                      <w:rFonts w:ascii="Cambria Math" w:hAnsi="Cambria Math"/>
                      <w:i/>
                      <w:sz w:val="18"/>
                      <w:szCs w:val="20"/>
                      <w:lang w:val="en-US"/>
                    </w:rPr>
                  </m:ctrlPr>
                </m:sSubPr>
                <m:e>
                  <m:r>
                    <w:rPr>
                      <w:rFonts w:ascii="Cambria Math" w:hAnsi="Cambria Math"/>
                      <w:sz w:val="18"/>
                      <w:szCs w:val="20"/>
                      <w:lang w:val="en-US"/>
                    </w:rPr>
                    <m:t>r</m:t>
                  </m:r>
                </m:e>
                <m:sub>
                  <m:r>
                    <w:rPr>
                      <w:rFonts w:ascii="Cambria Math" w:hAnsi="Cambria Math"/>
                      <w:sz w:val="18"/>
                      <w:szCs w:val="20"/>
                      <w:lang w:val="en-US"/>
                    </w:rPr>
                    <m:t>3</m:t>
                  </m:r>
                </m:sub>
              </m:sSub>
            </m:oMath>
            <w:r w:rsidR="004F47BB" w:rsidRPr="004F47BB">
              <w:rPr>
                <w:sz w:val="18"/>
                <w:lang w:val="en-US" w:eastAsia="de-DE"/>
              </w:rPr>
              <w:t xml:space="preserve"> </w:t>
            </w:r>
            <w:r w:rsidR="004F47BB" w:rsidRPr="004F47BB">
              <w:rPr>
                <w:sz w:val="18"/>
                <w:szCs w:val="20"/>
                <w:lang w:val="en-US"/>
              </w:rPr>
              <w:t>= ........ °/min</w:t>
            </w:r>
          </w:p>
        </w:tc>
        <w:tc>
          <w:tcPr>
            <w:tcW w:w="2268" w:type="dxa"/>
            <w:tcBorders>
              <w:top w:val="nil"/>
              <w:bottom w:val="single" w:sz="6" w:space="0" w:color="auto"/>
              <w:right w:val="single" w:sz="6" w:space="0" w:color="auto"/>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r>
      <w:tr w:rsidR="004F47BB" w:rsidRPr="004F47BB" w:rsidTr="00D45887">
        <w:tc>
          <w:tcPr>
            <w:tcW w:w="1418" w:type="dxa"/>
            <w:tcBorders>
              <w:top w:val="nil"/>
              <w:left w:val="single" w:sz="6" w:space="0" w:color="auto"/>
            </w:tcBorders>
            <w:vAlign w:val="center"/>
          </w:tcPr>
          <w:p w:rsidR="004F47BB" w:rsidRPr="004F47BB" w:rsidRDefault="00F12BAF"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1</m:t>
                  </m:r>
                </m:sub>
              </m:sSub>
            </m:oMath>
            <w:r w:rsidR="004F47BB" w:rsidRPr="004F47BB">
              <w:rPr>
                <w:sz w:val="18"/>
                <w:szCs w:val="20"/>
                <w:lang w:val="en-US"/>
              </w:rPr>
              <w:t xml:space="preserve"> [s]</w:t>
            </w:r>
          </w:p>
        </w:tc>
        <w:tc>
          <w:tcPr>
            <w:tcW w:w="1417" w:type="dxa"/>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c>
          <w:tcPr>
            <w:tcW w:w="1417" w:type="dxa"/>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c>
          <w:tcPr>
            <w:tcW w:w="1417" w:type="dxa"/>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c>
          <w:tcPr>
            <w:tcW w:w="1417" w:type="dxa"/>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c>
          <w:tcPr>
            <w:tcW w:w="2268" w:type="dxa"/>
            <w:tcBorders>
              <w:top w:val="nil"/>
              <w:right w:val="single" w:sz="6" w:space="0" w:color="auto"/>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r>
      <w:tr w:rsidR="004F47BB" w:rsidRPr="004F47BB" w:rsidTr="00D45887">
        <w:tc>
          <w:tcPr>
            <w:tcW w:w="1418" w:type="dxa"/>
            <w:tcBorders>
              <w:left w:val="single" w:sz="6" w:space="0" w:color="auto"/>
            </w:tcBorders>
            <w:vAlign w:val="center"/>
          </w:tcPr>
          <w:p w:rsidR="004F47BB" w:rsidRPr="004F47BB" w:rsidRDefault="00F12BAF"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2</m:t>
                  </m:r>
                </m:sub>
              </m:sSub>
            </m:oMath>
            <w:r w:rsidR="004F47BB" w:rsidRPr="004F47BB">
              <w:rPr>
                <w:sz w:val="18"/>
                <w:szCs w:val="20"/>
                <w:lang w:val="en-US"/>
              </w:rPr>
              <w:t xml:space="preserve"> [s]</w:t>
            </w:r>
          </w:p>
        </w:tc>
        <w:tc>
          <w:tcPr>
            <w:tcW w:w="1417" w:type="dxa"/>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c>
          <w:tcPr>
            <w:tcW w:w="1417" w:type="dxa"/>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c>
          <w:tcPr>
            <w:tcW w:w="1417" w:type="dxa"/>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c>
          <w:tcPr>
            <w:tcW w:w="1417" w:type="dxa"/>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c>
          <w:tcPr>
            <w:tcW w:w="2268" w:type="dxa"/>
            <w:tcBorders>
              <w:right w:val="single" w:sz="6" w:space="0" w:color="auto"/>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r>
      <w:tr w:rsidR="004F47BB" w:rsidRPr="004F47BB" w:rsidTr="00D45887">
        <w:tc>
          <w:tcPr>
            <w:tcW w:w="1418" w:type="dxa"/>
            <w:tcBorders>
              <w:left w:val="single" w:sz="6" w:space="0" w:color="auto"/>
              <w:bottom w:val="nil"/>
            </w:tcBorders>
            <w:vAlign w:val="center"/>
          </w:tcPr>
          <w:p w:rsidR="004F47BB" w:rsidRPr="004F47BB" w:rsidRDefault="00F12BAF"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3</m:t>
                  </m:r>
                </m:sub>
              </m:sSub>
            </m:oMath>
            <w:r w:rsidR="004F47BB" w:rsidRPr="004F47BB">
              <w:rPr>
                <w:sz w:val="18"/>
                <w:szCs w:val="20"/>
                <w:lang w:val="en-US"/>
              </w:rPr>
              <w:t xml:space="preserve"> [s]</w:t>
            </w:r>
          </w:p>
        </w:tc>
        <w:tc>
          <w:tcPr>
            <w:tcW w:w="1417" w:type="dxa"/>
            <w:tcBorders>
              <w:bottom w:val="nil"/>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c>
          <w:tcPr>
            <w:tcW w:w="1417" w:type="dxa"/>
            <w:tcBorders>
              <w:bottom w:val="nil"/>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c>
          <w:tcPr>
            <w:tcW w:w="1417" w:type="dxa"/>
            <w:tcBorders>
              <w:bottom w:val="nil"/>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c>
          <w:tcPr>
            <w:tcW w:w="1417" w:type="dxa"/>
            <w:tcBorders>
              <w:bottom w:val="nil"/>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c>
          <w:tcPr>
            <w:tcW w:w="2268" w:type="dxa"/>
            <w:tcBorders>
              <w:bottom w:val="nil"/>
              <w:right w:val="single" w:sz="6" w:space="0" w:color="auto"/>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r>
      <w:tr w:rsidR="004F47BB" w:rsidRPr="004F47BB" w:rsidTr="00D45887">
        <w:tc>
          <w:tcPr>
            <w:tcW w:w="1418" w:type="dxa"/>
            <w:tcBorders>
              <w:top w:val="double" w:sz="6" w:space="0" w:color="auto"/>
              <w:left w:val="single" w:sz="6" w:space="0" w:color="auto"/>
              <w:bottom w:val="single" w:sz="6" w:space="0" w:color="auto"/>
            </w:tcBorders>
            <w:vAlign w:val="center"/>
          </w:tcPr>
          <w:p w:rsidR="004F47BB" w:rsidRPr="004F47BB" w:rsidRDefault="00F12BAF"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US"/>
                    </w:rPr>
                    <m:t>4</m:t>
                  </m:r>
                </m:sub>
              </m:sSub>
            </m:oMath>
            <w:r w:rsidR="004F47BB" w:rsidRPr="004F47BB">
              <w:rPr>
                <w:sz w:val="18"/>
                <w:szCs w:val="20"/>
                <w:lang w:val="en-US"/>
              </w:rPr>
              <w:t xml:space="preserve"> [s]</w:t>
            </w:r>
          </w:p>
        </w:tc>
        <w:tc>
          <w:tcPr>
            <w:tcW w:w="1417" w:type="dxa"/>
            <w:tcBorders>
              <w:top w:val="double" w:sz="6" w:space="0" w:color="auto"/>
              <w:bottom w:val="single" w:sz="6" w:space="0" w:color="auto"/>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c>
          <w:tcPr>
            <w:tcW w:w="1417" w:type="dxa"/>
            <w:tcBorders>
              <w:top w:val="double" w:sz="6" w:space="0" w:color="auto"/>
              <w:bottom w:val="single" w:sz="6" w:space="0" w:color="auto"/>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c>
          <w:tcPr>
            <w:tcW w:w="1417" w:type="dxa"/>
            <w:tcBorders>
              <w:top w:val="double" w:sz="6" w:space="0" w:color="auto"/>
              <w:bottom w:val="single" w:sz="6" w:space="0" w:color="auto"/>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c>
          <w:tcPr>
            <w:tcW w:w="1417" w:type="dxa"/>
            <w:tcBorders>
              <w:top w:val="double" w:sz="6" w:space="0" w:color="auto"/>
              <w:bottom w:val="single" w:sz="6" w:space="0" w:color="auto"/>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c>
          <w:tcPr>
            <w:tcW w:w="2268" w:type="dxa"/>
            <w:tcBorders>
              <w:top w:val="double" w:sz="6" w:space="0" w:color="auto"/>
              <w:bottom w:val="single" w:sz="6" w:space="0" w:color="auto"/>
              <w:right w:val="single" w:sz="6" w:space="0" w:color="auto"/>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p>
        </w:tc>
      </w:tr>
      <w:tr w:rsidR="004F47BB" w:rsidRPr="004F47BB" w:rsidTr="00D45887">
        <w:tc>
          <w:tcPr>
            <w:tcW w:w="1418" w:type="dxa"/>
            <w:tcBorders>
              <w:top w:val="double" w:sz="6" w:space="0" w:color="auto"/>
              <w:left w:val="single" w:sz="6" w:space="0" w:color="auto"/>
              <w:bottom w:val="single" w:sz="6" w:space="0" w:color="auto"/>
              <w:right w:val="single" w:sz="6" w:space="0" w:color="auto"/>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lang w:val="en-US"/>
              </w:rPr>
            </w:pPr>
            <w:r w:rsidRPr="004F47BB">
              <w:rPr>
                <w:sz w:val="18"/>
                <w:szCs w:val="20"/>
                <w:lang w:val="en-US"/>
              </w:rPr>
              <w:t xml:space="preserve">Limit value </w:t>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en-GB"/>
                    </w:rPr>
                    <m:t>4</m:t>
                  </m:r>
                </m:sub>
              </m:sSub>
            </m:oMath>
            <w:r w:rsidRPr="004F47BB">
              <w:rPr>
                <w:sz w:val="18"/>
                <w:szCs w:val="20"/>
                <w:lang w:val="en-US"/>
              </w:rPr>
              <w:t xml:space="preserve"> according to 2.2</w:t>
            </w:r>
          </w:p>
        </w:tc>
        <w:tc>
          <w:tcPr>
            <w:tcW w:w="7936" w:type="dxa"/>
            <w:gridSpan w:val="5"/>
            <w:tcBorders>
              <w:top w:val="double" w:sz="6" w:space="0" w:color="auto"/>
              <w:left w:val="single" w:sz="6" w:space="0" w:color="auto"/>
              <w:bottom w:val="single" w:sz="6" w:space="0" w:color="auto"/>
              <w:right w:val="single" w:sz="6" w:space="0" w:color="auto"/>
            </w:tcBorders>
            <w:vAlign w:val="center"/>
          </w:tcPr>
          <w:p w:rsidR="004F47BB" w:rsidRPr="004F47BB" w:rsidRDefault="004F47BB" w:rsidP="004F47BB">
            <w:pPr>
              <w:tabs>
                <w:tab w:val="left" w:pos="284"/>
                <w:tab w:val="left" w:pos="709"/>
                <w:tab w:val="left" w:pos="993"/>
              </w:tabs>
              <w:overflowPunct w:val="0"/>
              <w:adjustRightInd w:val="0"/>
              <w:spacing w:before="40" w:after="40"/>
              <w:ind w:left="0" w:firstLine="0"/>
              <w:jc w:val="center"/>
              <w:textAlignment w:val="baseline"/>
              <w:rPr>
                <w:sz w:val="18"/>
                <w:szCs w:val="20"/>
              </w:rPr>
            </w:pPr>
            <w:r w:rsidRPr="004F47BB">
              <w:rPr>
                <w:sz w:val="18"/>
                <w:szCs w:val="20"/>
              </w:rPr>
              <w:t xml:space="preserve">Limit value </w:t>
            </w:r>
            <m:oMath>
              <m:sSub>
                <m:sSubPr>
                  <m:ctrlPr>
                    <w:rPr>
                      <w:rFonts w:ascii="Cambria Math" w:hAnsi="Cambria Math"/>
                      <w:i/>
                      <w:szCs w:val="20"/>
                      <w:lang w:val="en-US"/>
                    </w:rPr>
                  </m:ctrlPr>
                </m:sSubPr>
                <m:e>
                  <m:r>
                    <w:rPr>
                      <w:rFonts w:ascii="Cambria Math" w:hAnsi="Cambria Math"/>
                      <w:szCs w:val="20"/>
                      <w:lang w:val="en-US"/>
                    </w:rPr>
                    <m:t>t</m:t>
                  </m:r>
                </m:e>
                <m:sub>
                  <m:r>
                    <w:rPr>
                      <w:rFonts w:ascii="Cambria Math" w:hAnsi="Cambria Math"/>
                      <w:szCs w:val="20"/>
                      <w:lang w:val="nl-NL"/>
                    </w:rPr>
                    <m:t>4</m:t>
                  </m:r>
                </m:sub>
              </m:sSub>
            </m:oMath>
            <w:r w:rsidRPr="004F47BB">
              <w:rPr>
                <w:sz w:val="18"/>
                <w:szCs w:val="20"/>
              </w:rPr>
              <w:t xml:space="preserve"> = ....................... [s]</w:t>
            </w:r>
          </w:p>
        </w:tc>
      </w:tr>
    </w:tbl>
    <w:p w:rsidR="004F47BB" w:rsidRPr="004F47BB" w:rsidRDefault="004F47BB" w:rsidP="004F47BB">
      <w:pPr>
        <w:overflowPunct w:val="0"/>
        <w:adjustRightInd w:val="0"/>
        <w:ind w:left="0" w:firstLine="0"/>
        <w:textAlignment w:val="baseline"/>
        <w:rPr>
          <w:szCs w:val="20"/>
        </w:rPr>
      </w:pPr>
    </w:p>
    <w:p w:rsidR="004F47BB" w:rsidRPr="004F47BB" w:rsidRDefault="004F47BB" w:rsidP="004F47BB">
      <w:pPr>
        <w:overflowPunct w:val="0"/>
        <w:adjustRightInd w:val="0"/>
        <w:spacing w:after="120"/>
        <w:ind w:left="0" w:firstLine="0"/>
        <w:textAlignment w:val="baseline"/>
        <w:rPr>
          <w:szCs w:val="20"/>
        </w:rPr>
      </w:pPr>
      <w:r w:rsidRPr="004F47BB">
        <w:rPr>
          <w:b/>
          <w:szCs w:val="20"/>
        </w:rPr>
        <w:lastRenderedPageBreak/>
        <w:t>Turning capacity *)</w:t>
      </w:r>
    </w:p>
    <w:p w:rsidR="004F47BB" w:rsidRPr="004F47BB" w:rsidRDefault="004F47BB" w:rsidP="004F47BB">
      <w:pPr>
        <w:tabs>
          <w:tab w:val="left" w:pos="4678"/>
          <w:tab w:val="left" w:leader="dot" w:pos="6804"/>
        </w:tabs>
        <w:overflowPunct w:val="0"/>
        <w:adjustRightInd w:val="0"/>
        <w:spacing w:after="120"/>
        <w:ind w:left="0" w:firstLine="0"/>
        <w:textAlignment w:val="baseline"/>
        <w:rPr>
          <w:szCs w:val="20"/>
          <w:lang w:val="en-US"/>
        </w:rPr>
      </w:pPr>
      <w:r w:rsidRPr="004F47BB">
        <w:rPr>
          <w:szCs w:val="20"/>
          <w:lang w:val="en-US"/>
        </w:rPr>
        <w:t>Geographic position at start of turning manoeuvre:</w:t>
      </w:r>
      <w:r w:rsidRPr="004F47BB">
        <w:rPr>
          <w:szCs w:val="20"/>
          <w:lang w:val="en-US"/>
        </w:rPr>
        <w:tab/>
        <w:t xml:space="preserve">p.k. </w:t>
      </w:r>
      <w:r w:rsidRPr="004F47BB">
        <w:rPr>
          <w:szCs w:val="20"/>
          <w:lang w:val="en-US"/>
        </w:rPr>
        <w:tab/>
        <w:t xml:space="preserve"> </w:t>
      </w:r>
    </w:p>
    <w:p w:rsidR="004F47BB" w:rsidRPr="004F47BB" w:rsidRDefault="004F47BB" w:rsidP="004F47BB">
      <w:pPr>
        <w:tabs>
          <w:tab w:val="left" w:pos="4678"/>
          <w:tab w:val="left" w:leader="dot" w:pos="6804"/>
        </w:tabs>
        <w:overflowPunct w:val="0"/>
        <w:adjustRightInd w:val="0"/>
        <w:ind w:left="0" w:firstLine="0"/>
        <w:textAlignment w:val="baseline"/>
        <w:rPr>
          <w:szCs w:val="20"/>
          <w:lang w:val="en-US"/>
        </w:rPr>
      </w:pPr>
      <w:r w:rsidRPr="004F47BB">
        <w:rPr>
          <w:szCs w:val="20"/>
          <w:lang w:val="en-US"/>
        </w:rPr>
        <w:t>Geographic position at end of turning manoeuvre:</w:t>
      </w:r>
      <w:r w:rsidRPr="004F47BB">
        <w:rPr>
          <w:szCs w:val="20"/>
          <w:lang w:val="en-US"/>
        </w:rPr>
        <w:tab/>
        <w:t xml:space="preserve">p.k. </w:t>
      </w:r>
      <w:r w:rsidRPr="004F47BB">
        <w:rPr>
          <w:szCs w:val="20"/>
          <w:lang w:val="en-US"/>
        </w:rPr>
        <w:tab/>
        <w:t xml:space="preserve"> </w:t>
      </w:r>
    </w:p>
    <w:p w:rsidR="004F47BB" w:rsidRPr="004F47BB" w:rsidRDefault="004F47BB" w:rsidP="004F47BB">
      <w:pPr>
        <w:tabs>
          <w:tab w:val="left" w:leader="dot" w:pos="6804"/>
        </w:tabs>
        <w:overflowPunct w:val="0"/>
        <w:adjustRightInd w:val="0"/>
        <w:ind w:left="0" w:firstLine="0"/>
        <w:textAlignment w:val="baseline"/>
        <w:rPr>
          <w:szCs w:val="20"/>
          <w:lang w:val="en-US"/>
        </w:rPr>
      </w:pPr>
    </w:p>
    <w:p w:rsidR="004F47BB" w:rsidRPr="004F47BB" w:rsidRDefault="004F47BB" w:rsidP="004F47BB">
      <w:pPr>
        <w:tabs>
          <w:tab w:val="left" w:leader="dot" w:pos="6804"/>
        </w:tabs>
        <w:overflowPunct w:val="0"/>
        <w:adjustRightInd w:val="0"/>
        <w:spacing w:after="80"/>
        <w:ind w:left="0" w:firstLine="0"/>
        <w:textAlignment w:val="baseline"/>
        <w:rPr>
          <w:szCs w:val="20"/>
          <w:lang w:val="en-US"/>
        </w:rPr>
      </w:pPr>
      <w:r w:rsidRPr="004F47BB">
        <w:rPr>
          <w:b/>
          <w:szCs w:val="20"/>
          <w:lang w:val="en-US"/>
        </w:rPr>
        <w:t>Steering apparatus</w:t>
      </w:r>
    </w:p>
    <w:p w:rsidR="004F47BB" w:rsidRPr="004F47BB" w:rsidRDefault="004F47BB" w:rsidP="004F47BB">
      <w:pPr>
        <w:tabs>
          <w:tab w:val="left" w:pos="6804"/>
          <w:tab w:val="left" w:leader="dot" w:pos="8647"/>
        </w:tabs>
        <w:overflowPunct w:val="0"/>
        <w:adjustRightInd w:val="0"/>
        <w:spacing w:after="120"/>
        <w:ind w:left="0" w:firstLine="0"/>
        <w:textAlignment w:val="baseline"/>
        <w:rPr>
          <w:szCs w:val="20"/>
          <w:lang w:val="en-US"/>
        </w:rPr>
      </w:pPr>
      <w:r w:rsidRPr="004F47BB">
        <w:rPr>
          <w:szCs w:val="20"/>
          <w:lang w:val="en-US"/>
        </w:rPr>
        <w:t>Type of operation: manual/powered*):</w:t>
      </w:r>
    </w:p>
    <w:p w:rsidR="004F47BB" w:rsidRPr="004F47BB" w:rsidRDefault="004F47BB" w:rsidP="004F47BB">
      <w:pPr>
        <w:tabs>
          <w:tab w:val="left" w:pos="6804"/>
          <w:tab w:val="left" w:leader="dot" w:pos="8647"/>
        </w:tabs>
        <w:overflowPunct w:val="0"/>
        <w:adjustRightInd w:val="0"/>
        <w:spacing w:after="120"/>
        <w:ind w:left="0" w:firstLine="0"/>
        <w:textAlignment w:val="baseline"/>
        <w:rPr>
          <w:szCs w:val="20"/>
          <w:lang w:val="en-US"/>
        </w:rPr>
      </w:pPr>
      <w:r w:rsidRPr="004F47BB">
        <w:rPr>
          <w:szCs w:val="20"/>
          <w:lang w:val="en-US"/>
        </w:rPr>
        <w:t>Rudder angle for each turn of the wheel*):</w:t>
      </w:r>
      <w:r w:rsidRPr="004F47BB">
        <w:rPr>
          <w:szCs w:val="20"/>
          <w:lang w:val="en-US"/>
        </w:rPr>
        <w:tab/>
      </w:r>
      <w:r w:rsidRPr="004F47BB">
        <w:rPr>
          <w:szCs w:val="20"/>
          <w:lang w:val="en-US"/>
        </w:rPr>
        <w:tab/>
        <w:t xml:space="preserve"> °</w:t>
      </w:r>
    </w:p>
    <w:p w:rsidR="004F47BB" w:rsidRPr="004F47BB" w:rsidRDefault="004F47BB" w:rsidP="004F47BB">
      <w:pPr>
        <w:tabs>
          <w:tab w:val="left" w:pos="6804"/>
          <w:tab w:val="left" w:leader="dot" w:pos="8647"/>
        </w:tabs>
        <w:overflowPunct w:val="0"/>
        <w:adjustRightInd w:val="0"/>
        <w:spacing w:after="120"/>
        <w:ind w:left="0" w:firstLine="0"/>
        <w:textAlignment w:val="baseline"/>
        <w:rPr>
          <w:szCs w:val="20"/>
          <w:lang w:val="en-US"/>
        </w:rPr>
      </w:pPr>
      <w:r w:rsidRPr="004F47BB">
        <w:rPr>
          <w:szCs w:val="20"/>
          <w:lang w:val="en-US"/>
        </w:rPr>
        <w:t>Angular velocity of the rudder over the whole range*):</w:t>
      </w:r>
      <w:r w:rsidRPr="004F47BB">
        <w:rPr>
          <w:szCs w:val="20"/>
          <w:lang w:val="en-US"/>
        </w:rPr>
        <w:tab/>
      </w:r>
      <w:r w:rsidRPr="004F47BB">
        <w:rPr>
          <w:szCs w:val="20"/>
          <w:lang w:val="en-US"/>
        </w:rPr>
        <w:tab/>
        <w:t xml:space="preserve"> °/s</w:t>
      </w:r>
    </w:p>
    <w:p w:rsidR="004F47BB" w:rsidRPr="004F47BB" w:rsidRDefault="004F47BB" w:rsidP="004F47BB">
      <w:pPr>
        <w:tabs>
          <w:tab w:val="left" w:pos="6804"/>
          <w:tab w:val="left" w:leader="dot" w:pos="8647"/>
        </w:tabs>
        <w:overflowPunct w:val="0"/>
        <w:adjustRightInd w:val="0"/>
        <w:ind w:left="0" w:firstLine="0"/>
        <w:textAlignment w:val="baseline"/>
        <w:rPr>
          <w:szCs w:val="20"/>
          <w:lang w:val="en-US"/>
        </w:rPr>
      </w:pPr>
      <w:r w:rsidRPr="004F47BB">
        <w:rPr>
          <w:szCs w:val="20"/>
          <w:lang w:val="en-US"/>
        </w:rPr>
        <w:t>Angular velocity of the rudder over the range 35° Port to 35° Starboard *):</w:t>
      </w:r>
      <w:r w:rsidRPr="004F47BB">
        <w:rPr>
          <w:szCs w:val="20"/>
          <w:lang w:val="en-US"/>
        </w:rPr>
        <w:tab/>
      </w:r>
      <w:r w:rsidRPr="004F47BB">
        <w:rPr>
          <w:szCs w:val="20"/>
          <w:lang w:val="en-US"/>
        </w:rPr>
        <w:tab/>
        <w:t xml:space="preserve"> °/s</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sectPr w:rsidR="004F47BB" w:rsidRPr="004F47BB" w:rsidSect="00D45887">
          <w:headerReference w:type="default" r:id="rId134"/>
          <w:footerReference w:type="default" r:id="rId135"/>
          <w:headerReference w:type="first" r:id="rId136"/>
          <w:footerReference w:type="first" r:id="rId137"/>
          <w:footnotePr>
            <w:numRestart w:val="eachPage"/>
          </w:footnotePr>
          <w:pgSz w:w="11907" w:h="16840" w:code="9"/>
          <w:pgMar w:top="1418" w:right="1418" w:bottom="1418" w:left="1418" w:header="680" w:footer="680" w:gutter="0"/>
          <w:cols w:space="720"/>
          <w:docGrid w:linePitch="326"/>
        </w:sectPr>
      </w:pPr>
    </w:p>
    <w:p w:rsidR="004F47BB" w:rsidRPr="00C859BD" w:rsidRDefault="004F47BB" w:rsidP="005B46C9">
      <w:pPr>
        <w:pStyle w:val="ES-Titre2ESI"/>
        <w:rPr>
          <w:lang w:val="fr-FR"/>
        </w:rPr>
      </w:pPr>
      <w:bookmarkStart w:id="395" w:name="_Toc491854354"/>
      <w:r w:rsidRPr="00C859BD">
        <w:rPr>
          <w:lang w:val="fr-FR"/>
        </w:rPr>
        <w:lastRenderedPageBreak/>
        <w:t>ESI-II-5</w:t>
      </w:r>
      <w:r w:rsidRPr="00C859BD">
        <w:rPr>
          <w:lang w:val="fr-FR"/>
        </w:rPr>
        <w:br/>
        <w:t>Noise measurements</w:t>
      </w:r>
      <w:bookmarkEnd w:id="395"/>
    </w:p>
    <w:p w:rsidR="004F47BB" w:rsidRPr="004F47BB" w:rsidRDefault="004F47BB" w:rsidP="004F47BB">
      <w:pPr>
        <w:autoSpaceDE/>
        <w:autoSpaceDN/>
        <w:ind w:left="0" w:firstLine="0"/>
        <w:jc w:val="center"/>
        <w:rPr>
          <w:rFonts w:cs="Arial"/>
          <w:b/>
          <w:bCs/>
          <w:szCs w:val="20"/>
        </w:rPr>
      </w:pPr>
    </w:p>
    <w:p w:rsidR="004F47BB" w:rsidRPr="004F47BB" w:rsidRDefault="004F47BB" w:rsidP="004F47BB">
      <w:pPr>
        <w:autoSpaceDE/>
        <w:autoSpaceDN/>
        <w:ind w:left="426" w:firstLine="0"/>
        <w:jc w:val="center"/>
        <w:rPr>
          <w:rFonts w:cs="Arial"/>
          <w:b/>
          <w:bCs/>
          <w:szCs w:val="20"/>
        </w:rPr>
      </w:pPr>
      <w:r w:rsidRPr="004F47BB">
        <w:rPr>
          <w:rFonts w:cs="Arial"/>
          <w:b/>
          <w:bCs/>
          <w:szCs w:val="20"/>
        </w:rPr>
        <w:t>(Article 3.04(7), Article 7.01(2), Article 7.03(6), Article 7.09(3), Article 8.08, Article 14.09(3), Article 15.02(5), Article 22.02(3)(b), and Article 22.03(1))</w:t>
      </w:r>
    </w:p>
    <w:p w:rsidR="004F47BB" w:rsidRPr="004F47BB" w:rsidRDefault="004F47BB" w:rsidP="004F47BB">
      <w:pPr>
        <w:autoSpaceDE/>
        <w:autoSpaceDN/>
        <w:ind w:left="0" w:firstLine="0"/>
        <w:rPr>
          <w:rFonts w:cs="Arial"/>
          <w:szCs w:val="20"/>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1.</w:t>
      </w:r>
      <w:r w:rsidRPr="004F47BB">
        <w:rPr>
          <w:rFonts w:cs="Arial"/>
          <w:b/>
          <w:color w:val="000000"/>
          <w:szCs w:val="20"/>
          <w:lang w:val="en-US"/>
        </w:rPr>
        <w:tab/>
        <w:t>General</w:t>
      </w:r>
    </w:p>
    <w:p w:rsidR="004F47BB" w:rsidRPr="004F47BB" w:rsidRDefault="004F47BB" w:rsidP="004F47BB">
      <w:pPr>
        <w:tabs>
          <w:tab w:val="left" w:pos="426"/>
          <w:tab w:val="left" w:pos="1021"/>
        </w:tabs>
        <w:autoSpaceDE/>
        <w:autoSpaceDN/>
        <w:ind w:left="426" w:hanging="426"/>
        <w:rPr>
          <w:rFonts w:cs="Arial"/>
          <w:snapToGrid w:val="0"/>
          <w:szCs w:val="20"/>
          <w:lang w:val="en-US"/>
        </w:rPr>
      </w:pPr>
    </w:p>
    <w:p w:rsidR="004F47BB" w:rsidRPr="004F47BB" w:rsidRDefault="004F47BB" w:rsidP="004F47BB">
      <w:pPr>
        <w:spacing w:line="240" w:lineRule="atLeast"/>
        <w:ind w:left="567" w:firstLine="0"/>
        <w:rPr>
          <w:snapToGrid w:val="0"/>
          <w:lang w:val="en-US"/>
        </w:rPr>
      </w:pPr>
      <w:r w:rsidRPr="004F47BB">
        <w:rPr>
          <w:snapToGrid w:val="0"/>
          <w:lang w:val="en-US"/>
        </w:rPr>
        <w:t>In order to check the maximum sound pressure levels given in the Standard, measured values, measurement procedures and conditions for the quantitative, reproducible recording of sound pressure levels in accordance with (2) and (3) shall be established.</w:t>
      </w:r>
    </w:p>
    <w:p w:rsidR="004F47BB" w:rsidRPr="004F47BB" w:rsidRDefault="004F47BB" w:rsidP="004F47BB">
      <w:pPr>
        <w:tabs>
          <w:tab w:val="left" w:pos="426"/>
        </w:tabs>
        <w:autoSpaceDE/>
        <w:autoSpaceDN/>
        <w:ind w:left="426" w:hanging="426"/>
        <w:rPr>
          <w:rFonts w:cs="Arial"/>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2.</w:t>
      </w:r>
      <w:r w:rsidRPr="004F47BB">
        <w:rPr>
          <w:rFonts w:cs="Arial"/>
          <w:b/>
          <w:color w:val="000000"/>
          <w:szCs w:val="20"/>
          <w:lang w:val="en-US"/>
        </w:rPr>
        <w:tab/>
        <w:t>Measuring instruments</w:t>
      </w:r>
    </w:p>
    <w:p w:rsidR="004F47BB" w:rsidRPr="004F47BB" w:rsidRDefault="004F47BB" w:rsidP="004F47BB">
      <w:pPr>
        <w:spacing w:line="240" w:lineRule="atLeast"/>
        <w:ind w:left="567" w:firstLine="0"/>
        <w:rPr>
          <w:snapToGrid w:val="0"/>
          <w:lang w:val="en-US"/>
        </w:rPr>
      </w:pPr>
    </w:p>
    <w:p w:rsidR="004F47BB" w:rsidRPr="004F47BB" w:rsidRDefault="004F47BB" w:rsidP="004F47BB">
      <w:pPr>
        <w:spacing w:line="240" w:lineRule="atLeast"/>
        <w:ind w:left="567" w:firstLine="0"/>
        <w:rPr>
          <w:noProof/>
          <w:lang w:val="en-GB" w:eastAsia="en-US"/>
        </w:rPr>
      </w:pPr>
      <w:r w:rsidRPr="004F47BB">
        <w:rPr>
          <w:szCs w:val="20"/>
          <w:lang w:val="en-US"/>
        </w:rPr>
        <w:t>The measuring instrument shall meet the requirements of class 1 according to European Standard EN 61672­1: 2003</w:t>
      </w:r>
      <w:r w:rsidRPr="004F47BB">
        <w:rPr>
          <w:noProof/>
          <w:lang w:val="en-GB" w:eastAsia="en-US"/>
        </w:rPr>
        <w:t>.</w:t>
      </w:r>
    </w:p>
    <w:p w:rsidR="004F47BB" w:rsidRPr="004F47BB" w:rsidRDefault="004F47BB" w:rsidP="004F47BB">
      <w:pPr>
        <w:spacing w:line="240" w:lineRule="atLeast"/>
        <w:ind w:left="567" w:firstLine="0"/>
        <w:rPr>
          <w:noProof/>
          <w:lang w:val="en-GB" w:eastAsia="en-US"/>
        </w:rPr>
      </w:pPr>
    </w:p>
    <w:p w:rsidR="004F47BB" w:rsidRPr="004F47BB" w:rsidRDefault="004F47BB" w:rsidP="004F47BB">
      <w:pPr>
        <w:spacing w:line="240" w:lineRule="atLeast"/>
        <w:ind w:left="567" w:firstLine="0"/>
        <w:rPr>
          <w:szCs w:val="20"/>
          <w:lang w:val="en-US"/>
        </w:rPr>
      </w:pPr>
      <w:r w:rsidRPr="004F47BB">
        <w:rPr>
          <w:szCs w:val="20"/>
          <w:lang w:val="en-US"/>
        </w:rPr>
        <w:t>Before and after each set of measurements, a class 1 calibrator according to European Standard EN 60942: 2003 shall be placed on the microphone in order to calibrate the measurement system. The compliance of the calibrator with the requirements of European Standard EN 60942</w:t>
      </w:r>
      <w:r w:rsidR="007718FA">
        <w:rPr>
          <w:szCs w:val="20"/>
          <w:lang w:val="en-US"/>
        </w:rPr>
        <w:t>:</w:t>
      </w:r>
      <w:r w:rsidRPr="004F47BB">
        <w:rPr>
          <w:szCs w:val="20"/>
          <w:lang w:val="en-US"/>
        </w:rPr>
        <w:t xml:space="preserve"> 2003 shall be checked once per year. The compliance of the measuring equipment with the requirements of EN 61672-1: 2003 shall be checked every two years.</w:t>
      </w:r>
    </w:p>
    <w:p w:rsidR="004F47BB" w:rsidRPr="004F47BB" w:rsidRDefault="004F47BB" w:rsidP="004F47BB">
      <w:pPr>
        <w:spacing w:line="240" w:lineRule="atLeast"/>
        <w:ind w:left="567" w:firstLine="0"/>
        <w:rPr>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3.</w:t>
      </w:r>
      <w:r w:rsidRPr="004F47BB">
        <w:rPr>
          <w:rFonts w:cs="Arial"/>
          <w:b/>
          <w:color w:val="000000"/>
          <w:szCs w:val="20"/>
          <w:lang w:val="en-US"/>
        </w:rPr>
        <w:tab/>
        <w:t>Noise measurements</w:t>
      </w:r>
    </w:p>
    <w:p w:rsidR="004F47BB" w:rsidRPr="004F47BB" w:rsidRDefault="004F47BB" w:rsidP="004F47BB">
      <w:pPr>
        <w:tabs>
          <w:tab w:val="left" w:pos="426"/>
        </w:tabs>
        <w:autoSpaceDE/>
        <w:autoSpaceDN/>
        <w:rPr>
          <w:rFonts w:cs="Arial"/>
          <w:szCs w:val="20"/>
          <w:lang w:val="en-US"/>
        </w:rPr>
      </w:pPr>
    </w:p>
    <w:p w:rsidR="004F47BB" w:rsidRPr="004F47BB" w:rsidRDefault="004F47BB" w:rsidP="004F47BB">
      <w:pPr>
        <w:spacing w:line="240" w:lineRule="atLeast"/>
        <w:ind w:left="567" w:hanging="567"/>
        <w:rPr>
          <w:lang w:val="en-US"/>
        </w:rPr>
      </w:pPr>
      <w:r w:rsidRPr="004F47BB">
        <w:rPr>
          <w:lang w:val="en-US"/>
        </w:rPr>
        <w:t>3.1</w:t>
      </w:r>
      <w:r w:rsidRPr="004F47BB">
        <w:rPr>
          <w:lang w:val="en-US"/>
        </w:rPr>
        <w:tab/>
        <w:t>On board craft</w:t>
      </w:r>
    </w:p>
    <w:p w:rsidR="004F47BB" w:rsidRPr="004F47BB" w:rsidRDefault="004F47BB" w:rsidP="004F47BB">
      <w:pPr>
        <w:spacing w:line="240" w:lineRule="atLeast"/>
        <w:ind w:left="567" w:firstLine="0"/>
        <w:rPr>
          <w:lang w:val="en-US"/>
        </w:rPr>
      </w:pPr>
    </w:p>
    <w:p w:rsidR="004F47BB" w:rsidRPr="004F47BB" w:rsidRDefault="004F47BB" w:rsidP="004F47BB">
      <w:pPr>
        <w:spacing w:line="240" w:lineRule="atLeast"/>
        <w:ind w:left="567" w:firstLine="0"/>
        <w:rPr>
          <w:lang w:val="en-US"/>
        </w:rPr>
      </w:pPr>
      <w:r w:rsidRPr="004F47BB">
        <w:rPr>
          <w:lang w:val="en-US"/>
        </w:rPr>
        <w:t>Measurements shall be carried out in accordance with International Standard ISO 2923: 2003 Sections 5 to 8 measuring only A-weighted sound pressure levels.</w:t>
      </w:r>
    </w:p>
    <w:p w:rsidR="004F47BB" w:rsidRPr="004F47BB" w:rsidRDefault="004F47BB" w:rsidP="004F47BB">
      <w:pPr>
        <w:spacing w:line="240" w:lineRule="atLeast"/>
        <w:ind w:left="567" w:firstLine="0"/>
        <w:rPr>
          <w:snapToGrid w:val="0"/>
          <w:lang w:val="en-US"/>
        </w:rPr>
      </w:pPr>
    </w:p>
    <w:p w:rsidR="004F47BB" w:rsidRPr="004F47BB" w:rsidRDefault="004F47BB" w:rsidP="004F47BB">
      <w:pPr>
        <w:spacing w:line="240" w:lineRule="atLeast"/>
        <w:ind w:left="567" w:hanging="567"/>
        <w:rPr>
          <w:lang w:val="en-US"/>
        </w:rPr>
      </w:pPr>
      <w:r w:rsidRPr="004F47BB">
        <w:rPr>
          <w:lang w:val="en-US"/>
        </w:rPr>
        <w:t>3.2</w:t>
      </w:r>
      <w:r w:rsidRPr="004F47BB">
        <w:rPr>
          <w:lang w:val="en-US"/>
        </w:rPr>
        <w:tab/>
        <w:t>Air noise emitted from craft</w:t>
      </w:r>
    </w:p>
    <w:p w:rsidR="004F47BB" w:rsidRPr="004F47BB" w:rsidRDefault="004F47BB" w:rsidP="004F47BB">
      <w:pPr>
        <w:spacing w:line="240" w:lineRule="atLeast"/>
        <w:ind w:left="567" w:firstLine="0"/>
        <w:rPr>
          <w:snapToGrid w:val="0"/>
          <w:lang w:val="en-US"/>
        </w:rPr>
      </w:pPr>
    </w:p>
    <w:p w:rsidR="004F47BB" w:rsidRPr="004F47BB" w:rsidRDefault="004F47BB" w:rsidP="004F47BB">
      <w:pPr>
        <w:spacing w:line="240" w:lineRule="atLeast"/>
        <w:ind w:left="567" w:firstLine="0"/>
        <w:rPr>
          <w:snapToGrid w:val="0"/>
          <w:lang w:val="en-US"/>
        </w:rPr>
      </w:pPr>
      <w:r w:rsidRPr="004F47BB">
        <w:rPr>
          <w:snapToGrid w:val="0"/>
          <w:lang w:val="en-US"/>
        </w:rPr>
        <w:t>Noise emissions from craft on inland waterways and in ports are determined by means of measurements in accordance with European Standard EN ISO 22922: 2013, Sections 7 to 11. Doors and windows of engine rooms shall be closed during measurements.</w:t>
      </w:r>
    </w:p>
    <w:p w:rsidR="004F47BB" w:rsidRPr="004F47BB" w:rsidRDefault="004F47BB" w:rsidP="004F47BB">
      <w:pPr>
        <w:spacing w:line="240" w:lineRule="atLeast"/>
        <w:ind w:left="567" w:firstLine="0"/>
        <w:rPr>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4.</w:t>
      </w:r>
      <w:r w:rsidRPr="004F47BB">
        <w:rPr>
          <w:rFonts w:cs="Arial"/>
          <w:b/>
          <w:color w:val="000000"/>
          <w:szCs w:val="20"/>
          <w:lang w:val="en-US"/>
        </w:rPr>
        <w:tab/>
        <w:t>Documentation</w:t>
      </w:r>
    </w:p>
    <w:p w:rsidR="004F47BB" w:rsidRPr="004F47BB" w:rsidRDefault="004F47BB" w:rsidP="004F47BB">
      <w:pPr>
        <w:spacing w:line="240" w:lineRule="atLeast"/>
        <w:ind w:left="567" w:firstLine="0"/>
        <w:rPr>
          <w:lang w:val="en-US"/>
        </w:rPr>
      </w:pPr>
    </w:p>
    <w:p w:rsidR="004F47BB" w:rsidRPr="004F47BB" w:rsidRDefault="004F47BB" w:rsidP="004F47BB">
      <w:pPr>
        <w:spacing w:line="240" w:lineRule="atLeast"/>
        <w:ind w:left="567" w:firstLine="0"/>
        <w:rPr>
          <w:lang w:val="en-US"/>
        </w:rPr>
      </w:pPr>
      <w:r w:rsidRPr="004F47BB">
        <w:rPr>
          <w:lang w:val="en-US"/>
        </w:rPr>
        <w:t>Measurements shall be recorded according to the ‘Noise Measurement Report’ (Annex).</w:t>
      </w:r>
    </w:p>
    <w:p w:rsidR="004F47BB" w:rsidRPr="004F47BB" w:rsidRDefault="004F47BB" w:rsidP="004F47BB">
      <w:pPr>
        <w:spacing w:line="240" w:lineRule="atLeast"/>
        <w:ind w:left="567" w:firstLine="0"/>
        <w:rPr>
          <w:lang w:val="en-US"/>
        </w:rPr>
      </w:pPr>
    </w:p>
    <w:p w:rsidR="004F47BB" w:rsidRPr="004F47BB" w:rsidRDefault="004F47BB" w:rsidP="004F47BB">
      <w:pPr>
        <w:autoSpaceDE/>
        <w:autoSpaceDN/>
        <w:spacing w:before="120" w:after="120"/>
        <w:ind w:left="709" w:firstLine="0"/>
        <w:jc w:val="center"/>
        <w:rPr>
          <w:rFonts w:cs="Arial"/>
          <w:b/>
          <w:bCs/>
          <w:sz w:val="22"/>
          <w:szCs w:val="22"/>
          <w:lang w:val="en-US"/>
        </w:rPr>
      </w:pPr>
      <w:r w:rsidRPr="004F47BB">
        <w:rPr>
          <w:rFonts w:cs="Arial"/>
          <w:szCs w:val="20"/>
          <w:lang w:val="en-US"/>
        </w:rPr>
        <w:br w:type="page"/>
      </w:r>
      <w:r w:rsidRPr="004F47BB">
        <w:rPr>
          <w:rFonts w:cs="Arial"/>
          <w:b/>
          <w:bCs/>
          <w:sz w:val="22"/>
          <w:szCs w:val="22"/>
          <w:lang w:val="en-US"/>
        </w:rPr>
        <w:lastRenderedPageBreak/>
        <w:t>Noise Measurement Report</w:t>
      </w:r>
    </w:p>
    <w:p w:rsidR="004F47BB" w:rsidRPr="004F47BB" w:rsidRDefault="004F47BB" w:rsidP="004F47BB">
      <w:pPr>
        <w:tabs>
          <w:tab w:val="left" w:pos="2127"/>
        </w:tabs>
        <w:autoSpaceDE/>
        <w:autoSpaceDN/>
        <w:spacing w:after="40"/>
        <w:ind w:left="2127" w:hanging="284"/>
        <w:rPr>
          <w:rFonts w:cs="Arial"/>
          <w:szCs w:val="20"/>
          <w:lang w:val="en-US"/>
        </w:rPr>
      </w:pPr>
      <w:r w:rsidRPr="004F47BB">
        <w:rPr>
          <w:rFonts w:cs="Arial"/>
          <w:b/>
          <w:bCs/>
          <w:szCs w:val="20"/>
          <w:lang w:val="en-US"/>
        </w:rPr>
        <w:t>-</w:t>
      </w:r>
      <w:r w:rsidRPr="004F47BB">
        <w:rPr>
          <w:rFonts w:cs="Arial"/>
          <w:b/>
          <w:bCs/>
          <w:szCs w:val="20"/>
          <w:lang w:val="en-US"/>
        </w:rPr>
        <w:tab/>
        <w:t>on board craft in accordance with International Standard ISO 2923: 2003</w:t>
      </w:r>
    </w:p>
    <w:p w:rsidR="004F47BB" w:rsidRPr="004F47BB" w:rsidRDefault="004F47BB" w:rsidP="004F47BB">
      <w:pPr>
        <w:tabs>
          <w:tab w:val="left" w:pos="851"/>
          <w:tab w:val="left" w:pos="2127"/>
        </w:tabs>
        <w:autoSpaceDE/>
        <w:autoSpaceDN/>
        <w:ind w:left="2127" w:hanging="284"/>
        <w:rPr>
          <w:rFonts w:cs="Arial"/>
          <w:szCs w:val="20"/>
          <w:lang w:val="en-US"/>
        </w:rPr>
      </w:pPr>
      <w:r w:rsidRPr="004F47BB">
        <w:rPr>
          <w:rFonts w:cs="Arial"/>
          <w:b/>
          <w:bCs/>
          <w:szCs w:val="20"/>
          <w:lang w:val="en-US"/>
        </w:rPr>
        <w:t>-</w:t>
      </w:r>
      <w:r w:rsidRPr="004F47BB">
        <w:rPr>
          <w:rFonts w:cs="Arial"/>
          <w:b/>
          <w:bCs/>
          <w:szCs w:val="20"/>
          <w:lang w:val="en-US"/>
        </w:rPr>
        <w:tab/>
      </w:r>
      <w:r w:rsidRPr="004F47BB">
        <w:rPr>
          <w:rFonts w:cs="Arial"/>
          <w:b/>
          <w:szCs w:val="20"/>
          <w:lang w:val="en-US" w:eastAsia="de-DE"/>
        </w:rPr>
        <w:t>air noise emitted from craft in accordance with European Standard EN ISO2922: 2013</w:t>
      </w:r>
      <w:r w:rsidRPr="004F47BB">
        <w:rPr>
          <w:rFonts w:cs="Arial"/>
          <w:szCs w:val="20"/>
          <w:vertAlign w:val="superscript"/>
          <w:lang w:val="en-US"/>
        </w:rPr>
        <w:t>*)</w:t>
      </w:r>
    </w:p>
    <w:p w:rsidR="004F47BB" w:rsidRPr="004F47BB" w:rsidRDefault="004F47BB" w:rsidP="004F47BB">
      <w:pPr>
        <w:autoSpaceDE/>
        <w:autoSpaceDN/>
        <w:spacing w:before="60"/>
        <w:ind w:left="709" w:firstLine="0"/>
        <w:rPr>
          <w:rFonts w:cs="Arial"/>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A</w:t>
      </w:r>
      <w:r w:rsidRPr="004F47BB">
        <w:rPr>
          <w:rFonts w:cs="Arial"/>
          <w:b/>
          <w:color w:val="000000"/>
          <w:szCs w:val="20"/>
          <w:lang w:val="en-US"/>
        </w:rPr>
        <w:tab/>
        <w:t>Craft data</w:t>
      </w:r>
    </w:p>
    <w:p w:rsidR="004F47BB" w:rsidRPr="004F47BB" w:rsidRDefault="004F47BB" w:rsidP="004F47BB">
      <w:pPr>
        <w:tabs>
          <w:tab w:val="left" w:pos="567"/>
          <w:tab w:val="left" w:pos="709"/>
          <w:tab w:val="left" w:leader="dot" w:pos="9072"/>
        </w:tabs>
        <w:autoSpaceDE/>
        <w:autoSpaceDN/>
        <w:spacing w:before="120"/>
        <w:ind w:left="567" w:hanging="567"/>
        <w:rPr>
          <w:rFonts w:cs="Arial"/>
          <w:snapToGrid w:val="0"/>
          <w:szCs w:val="20"/>
          <w:lang w:val="en-US"/>
        </w:rPr>
      </w:pPr>
      <w:r w:rsidRPr="004F47BB">
        <w:rPr>
          <w:rFonts w:cs="Arial"/>
          <w:snapToGrid w:val="0"/>
          <w:szCs w:val="20"/>
          <w:lang w:val="en-US"/>
        </w:rPr>
        <w:t>1.</w:t>
      </w:r>
      <w:r w:rsidRPr="004F47BB">
        <w:rPr>
          <w:rFonts w:cs="Arial"/>
          <w:snapToGrid w:val="0"/>
          <w:szCs w:val="20"/>
          <w:lang w:val="en-US"/>
        </w:rPr>
        <w:tab/>
        <w:t xml:space="preserve">Craft type and name: </w:t>
      </w:r>
      <w:r w:rsidRPr="004F47BB">
        <w:rPr>
          <w:rFonts w:cs="Arial"/>
          <w:snapToGrid w:val="0"/>
          <w:szCs w:val="20"/>
          <w:lang w:val="en-US"/>
        </w:rPr>
        <w:tab/>
      </w:r>
    </w:p>
    <w:p w:rsidR="004F47BB" w:rsidRPr="004F47BB" w:rsidRDefault="004F47BB" w:rsidP="004F47BB">
      <w:pPr>
        <w:tabs>
          <w:tab w:val="left" w:pos="567"/>
          <w:tab w:val="left" w:pos="709"/>
          <w:tab w:val="left" w:leader="dot" w:pos="9072"/>
        </w:tabs>
        <w:autoSpaceDE/>
        <w:autoSpaceDN/>
        <w:spacing w:before="120"/>
        <w:ind w:left="567" w:hanging="567"/>
        <w:rPr>
          <w:rFonts w:cs="Arial"/>
          <w:snapToGrid w:val="0"/>
          <w:szCs w:val="20"/>
        </w:rPr>
      </w:pPr>
      <w:r w:rsidRPr="004F47BB">
        <w:rPr>
          <w:rFonts w:cs="Arial"/>
          <w:snapToGrid w:val="0"/>
          <w:szCs w:val="20"/>
          <w:lang w:val="en-US"/>
        </w:rPr>
        <w:tab/>
      </w:r>
      <w:r w:rsidRPr="004F47BB">
        <w:rPr>
          <w:rFonts w:cs="Arial"/>
          <w:bCs/>
          <w:snapToGrid w:val="0"/>
          <w:szCs w:val="20"/>
        </w:rPr>
        <w:t>Unique European vessel identification number</w:t>
      </w:r>
      <w:r w:rsidRPr="004F47BB">
        <w:rPr>
          <w:rFonts w:cs="Arial"/>
          <w:snapToGrid w:val="0"/>
          <w:szCs w:val="20"/>
        </w:rPr>
        <w:t xml:space="preserve">: </w:t>
      </w:r>
      <w:r w:rsidRPr="004F47BB">
        <w:rPr>
          <w:rFonts w:cs="Arial"/>
          <w:snapToGrid w:val="0"/>
          <w:szCs w:val="20"/>
        </w:rPr>
        <w:tab/>
      </w:r>
    </w:p>
    <w:p w:rsidR="004F47BB" w:rsidRPr="004F47BB" w:rsidRDefault="004F47BB" w:rsidP="004F47BB">
      <w:pPr>
        <w:tabs>
          <w:tab w:val="left" w:pos="567"/>
          <w:tab w:val="left" w:pos="709"/>
          <w:tab w:val="left" w:leader="dot" w:pos="9072"/>
        </w:tabs>
        <w:autoSpaceDE/>
        <w:autoSpaceDN/>
        <w:spacing w:before="120"/>
        <w:ind w:left="567" w:hanging="567"/>
        <w:rPr>
          <w:rFonts w:cs="Arial"/>
          <w:szCs w:val="20"/>
          <w:lang w:val="en-US"/>
        </w:rPr>
      </w:pPr>
      <w:r w:rsidRPr="004F47BB">
        <w:rPr>
          <w:rFonts w:cs="Arial"/>
          <w:szCs w:val="20"/>
          <w:lang w:val="en-US"/>
        </w:rPr>
        <w:t>2.</w:t>
      </w:r>
      <w:r w:rsidRPr="004F47BB">
        <w:rPr>
          <w:rFonts w:cs="Arial"/>
          <w:szCs w:val="20"/>
          <w:lang w:val="en-US"/>
        </w:rPr>
        <w:tab/>
        <w:t xml:space="preserve">Owner: </w:t>
      </w:r>
      <w:r w:rsidRPr="004F47BB">
        <w:rPr>
          <w:rFonts w:cs="Arial"/>
          <w:szCs w:val="20"/>
          <w:lang w:val="en-US"/>
        </w:rPr>
        <w:tab/>
      </w:r>
    </w:p>
    <w:p w:rsidR="004F47BB" w:rsidRPr="004F47BB" w:rsidRDefault="004F47BB" w:rsidP="004F47BB">
      <w:pPr>
        <w:widowControl w:val="0"/>
        <w:tabs>
          <w:tab w:val="left" w:pos="567"/>
          <w:tab w:val="left" w:leader="dot" w:pos="9072"/>
        </w:tabs>
        <w:autoSpaceDE/>
        <w:autoSpaceDN/>
        <w:spacing w:before="120"/>
        <w:ind w:left="567" w:hanging="567"/>
        <w:jc w:val="left"/>
        <w:rPr>
          <w:rFonts w:cs="Arial"/>
          <w:snapToGrid w:val="0"/>
          <w:szCs w:val="20"/>
          <w:lang w:val="en-US"/>
        </w:rPr>
      </w:pPr>
      <w:r w:rsidRPr="004F47BB">
        <w:rPr>
          <w:rFonts w:cs="Arial"/>
          <w:snapToGrid w:val="0"/>
          <w:szCs w:val="20"/>
          <w:lang w:val="en-US"/>
        </w:rPr>
        <w:tab/>
      </w:r>
      <w:r w:rsidRPr="004F47BB">
        <w:rPr>
          <w:rFonts w:cs="Arial"/>
          <w:snapToGrid w:val="0"/>
          <w:szCs w:val="20"/>
          <w:lang w:val="en-US"/>
        </w:rPr>
        <w:tab/>
      </w:r>
    </w:p>
    <w:p w:rsidR="004F47BB" w:rsidRPr="004F47BB" w:rsidRDefault="004F47BB" w:rsidP="004F47BB">
      <w:pPr>
        <w:widowControl w:val="0"/>
        <w:tabs>
          <w:tab w:val="left" w:pos="567"/>
        </w:tabs>
        <w:autoSpaceDE/>
        <w:autoSpaceDN/>
        <w:spacing w:before="120"/>
        <w:ind w:left="567" w:hanging="567"/>
        <w:jc w:val="left"/>
        <w:rPr>
          <w:rFonts w:cs="Arial"/>
          <w:snapToGrid w:val="0"/>
          <w:szCs w:val="20"/>
          <w:lang w:val="en-US"/>
        </w:rPr>
      </w:pPr>
      <w:r w:rsidRPr="004F47BB">
        <w:rPr>
          <w:rFonts w:cs="Arial"/>
          <w:snapToGrid w:val="0"/>
          <w:szCs w:val="20"/>
          <w:lang w:val="en-US"/>
        </w:rPr>
        <w:t>3.</w:t>
      </w:r>
      <w:r w:rsidRPr="004F47BB">
        <w:rPr>
          <w:rFonts w:cs="Arial"/>
          <w:snapToGrid w:val="0"/>
          <w:szCs w:val="20"/>
          <w:lang w:val="en-US"/>
        </w:rPr>
        <w:tab/>
        <w:t>Main propulsion system</w:t>
      </w:r>
    </w:p>
    <w:p w:rsidR="004F47BB" w:rsidRPr="004F47BB" w:rsidRDefault="004F47BB" w:rsidP="004F47BB">
      <w:pPr>
        <w:tabs>
          <w:tab w:val="left" w:pos="567"/>
        </w:tabs>
        <w:autoSpaceDE/>
        <w:autoSpaceDN/>
        <w:spacing w:before="120"/>
        <w:ind w:left="567" w:hanging="567"/>
        <w:rPr>
          <w:rFonts w:cs="Arial"/>
          <w:szCs w:val="20"/>
          <w:lang w:val="en-US"/>
        </w:rPr>
      </w:pPr>
      <w:r w:rsidRPr="004F47BB">
        <w:rPr>
          <w:rFonts w:cs="Arial"/>
          <w:szCs w:val="20"/>
          <w:lang w:val="en-US"/>
        </w:rPr>
        <w:t>3.1</w:t>
      </w:r>
      <w:r w:rsidRPr="004F47BB">
        <w:rPr>
          <w:rFonts w:cs="Arial"/>
          <w:szCs w:val="20"/>
          <w:lang w:val="en-US"/>
        </w:rPr>
        <w:tab/>
        <w:t>Main engines</w:t>
      </w:r>
    </w:p>
    <w:p w:rsidR="004F47BB" w:rsidRPr="004F47BB" w:rsidRDefault="004F47BB" w:rsidP="004F47BB">
      <w:pPr>
        <w:autoSpaceDE/>
        <w:autoSpaceDN/>
        <w:spacing w:before="120"/>
        <w:ind w:left="0" w:firstLine="0"/>
        <w:rPr>
          <w:rFonts w:cs="Arial"/>
          <w:szCs w:val="20"/>
          <w:lang w:val="en-US"/>
        </w:rPr>
      </w:pPr>
    </w:p>
    <w:tbl>
      <w:tblPr>
        <w:tblW w:w="91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
        <w:gridCol w:w="2555"/>
        <w:gridCol w:w="1022"/>
        <w:gridCol w:w="1022"/>
        <w:gridCol w:w="1022"/>
        <w:gridCol w:w="1022"/>
        <w:gridCol w:w="1022"/>
        <w:gridCol w:w="1022"/>
      </w:tblGrid>
      <w:tr w:rsidR="004F47BB" w:rsidRPr="004F47BB" w:rsidTr="00D45887">
        <w:trPr>
          <w:trHeight w:val="340"/>
          <w:jc w:val="right"/>
        </w:trPr>
        <w:tc>
          <w:tcPr>
            <w:tcW w:w="511"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Num</w:t>
            </w:r>
            <w:r w:rsidRPr="004F47BB">
              <w:rPr>
                <w:rFonts w:cs="Arial"/>
                <w:sz w:val="16"/>
                <w:szCs w:val="16"/>
              </w:rPr>
              <w:softHyphen/>
              <w:t>ber</w:t>
            </w:r>
          </w:p>
        </w:tc>
        <w:tc>
          <w:tcPr>
            <w:tcW w:w="2555"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widowControl w:val="0"/>
              <w:autoSpaceDE/>
              <w:autoSpaceDN/>
              <w:spacing w:before="60"/>
              <w:ind w:left="0" w:firstLine="0"/>
              <w:jc w:val="center"/>
              <w:rPr>
                <w:rFonts w:cs="Arial"/>
                <w:snapToGrid w:val="0"/>
                <w:sz w:val="16"/>
                <w:szCs w:val="16"/>
              </w:rPr>
            </w:pPr>
            <w:r w:rsidRPr="004F47BB">
              <w:rPr>
                <w:rFonts w:cs="Arial"/>
                <w:snapToGrid w:val="0"/>
                <w:sz w:val="16"/>
                <w:szCs w:val="16"/>
              </w:rPr>
              <w:t>Manufacturer</w:t>
            </w: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Type</w:t>
            </w: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Year of construction</w:t>
            </w: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 xml:space="preserve">Power (kW) </w:t>
            </w: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 xml:space="preserve">Engine speed </w:t>
            </w:r>
            <w:r w:rsidRPr="004F47BB">
              <w:rPr>
                <w:rFonts w:cs="Arial"/>
                <w:sz w:val="16"/>
                <w:szCs w:val="16"/>
              </w:rPr>
              <w:br/>
              <w:t>(min</w:t>
            </w:r>
            <w:r w:rsidRPr="004F47BB">
              <w:rPr>
                <w:rFonts w:cs="Arial"/>
                <w:sz w:val="16"/>
                <w:szCs w:val="16"/>
                <w:vertAlign w:val="superscript"/>
              </w:rPr>
              <w:t>-1</w:t>
            </w:r>
            <w:r w:rsidRPr="004F47BB">
              <w:rPr>
                <w:rFonts w:cs="Arial"/>
                <w:sz w:val="16"/>
                <w:szCs w:val="16"/>
              </w:rPr>
              <w:t>)</w:t>
            </w: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Two-stroke/four-stroke</w:t>
            </w: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Turbo-charged</w:t>
            </w:r>
            <w:r w:rsidRPr="004F47BB">
              <w:rPr>
                <w:rFonts w:cs="Arial"/>
                <w:sz w:val="16"/>
                <w:szCs w:val="16"/>
              </w:rPr>
              <w:br/>
              <w:t>yes/no</w:t>
            </w:r>
          </w:p>
        </w:tc>
      </w:tr>
      <w:tr w:rsidR="004F47BB" w:rsidRPr="004F47BB" w:rsidTr="00D45887">
        <w:trPr>
          <w:trHeight w:val="340"/>
          <w:jc w:val="right"/>
        </w:trPr>
        <w:tc>
          <w:tcPr>
            <w:tcW w:w="511"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widowControl w:val="0"/>
              <w:autoSpaceDE/>
              <w:autoSpaceDN/>
              <w:spacing w:before="60"/>
              <w:ind w:left="0" w:firstLine="0"/>
              <w:jc w:val="center"/>
              <w:rPr>
                <w:rFonts w:cs="Arial"/>
                <w:snapToGrid w:val="0"/>
                <w:sz w:val="16"/>
                <w:szCs w:val="20"/>
              </w:rPr>
            </w:pPr>
            <w:r w:rsidRPr="004F47BB">
              <w:rPr>
                <w:rFonts w:cs="Arial"/>
                <w:snapToGrid w:val="0"/>
                <w:sz w:val="16"/>
                <w:szCs w:val="20"/>
              </w:rPr>
              <w:t>1</w:t>
            </w:r>
          </w:p>
        </w:tc>
        <w:tc>
          <w:tcPr>
            <w:tcW w:w="2555"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r>
      <w:tr w:rsidR="004F47BB" w:rsidRPr="004F47BB" w:rsidTr="00D45887">
        <w:trPr>
          <w:trHeight w:val="340"/>
          <w:jc w:val="right"/>
        </w:trPr>
        <w:tc>
          <w:tcPr>
            <w:tcW w:w="511"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2</w:t>
            </w:r>
          </w:p>
        </w:tc>
        <w:tc>
          <w:tcPr>
            <w:tcW w:w="2555"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2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r>
    </w:tbl>
    <w:p w:rsidR="004F47BB" w:rsidRPr="004F47BB" w:rsidRDefault="004F47BB" w:rsidP="004F47BB">
      <w:pPr>
        <w:widowControl w:val="0"/>
        <w:tabs>
          <w:tab w:val="left" w:pos="567"/>
        </w:tabs>
        <w:autoSpaceDE/>
        <w:autoSpaceDN/>
        <w:spacing w:before="120"/>
        <w:ind w:left="567" w:hanging="567"/>
        <w:jc w:val="left"/>
        <w:rPr>
          <w:rFonts w:cs="Arial"/>
          <w:snapToGrid w:val="0"/>
          <w:szCs w:val="20"/>
        </w:rPr>
      </w:pPr>
      <w:r w:rsidRPr="004F47BB">
        <w:rPr>
          <w:rFonts w:cs="Arial"/>
          <w:snapToGrid w:val="0"/>
          <w:szCs w:val="20"/>
        </w:rPr>
        <w:t>3.2</w:t>
      </w:r>
      <w:r w:rsidRPr="004F47BB">
        <w:rPr>
          <w:rFonts w:cs="Arial"/>
          <w:snapToGrid w:val="0"/>
          <w:szCs w:val="20"/>
        </w:rPr>
        <w:tab/>
        <w:t>Transmission</w:t>
      </w:r>
    </w:p>
    <w:p w:rsidR="004F47BB" w:rsidRPr="004F47BB" w:rsidRDefault="004F47BB" w:rsidP="004F47BB">
      <w:pPr>
        <w:tabs>
          <w:tab w:val="left" w:pos="567"/>
          <w:tab w:val="left" w:leader="dot" w:pos="3686"/>
          <w:tab w:val="left" w:pos="3828"/>
          <w:tab w:val="left" w:leader="dot" w:pos="6379"/>
          <w:tab w:val="left" w:pos="6521"/>
          <w:tab w:val="left" w:leader="dot" w:pos="9072"/>
        </w:tabs>
        <w:autoSpaceDE/>
        <w:autoSpaceDN/>
        <w:spacing w:before="120"/>
        <w:ind w:left="567" w:firstLine="0"/>
        <w:rPr>
          <w:rFonts w:cs="Arial"/>
          <w:szCs w:val="20"/>
        </w:rPr>
      </w:pPr>
      <w:r w:rsidRPr="004F47BB">
        <w:rPr>
          <w:rFonts w:cs="Arial"/>
          <w:szCs w:val="20"/>
        </w:rPr>
        <w:t xml:space="preserve">Manufacturer: </w:t>
      </w:r>
      <w:r w:rsidRPr="004F47BB">
        <w:rPr>
          <w:rFonts w:cs="Arial"/>
          <w:szCs w:val="20"/>
        </w:rPr>
        <w:tab/>
      </w:r>
      <w:r w:rsidRPr="004F47BB">
        <w:rPr>
          <w:rFonts w:cs="Arial"/>
          <w:szCs w:val="20"/>
        </w:rPr>
        <w:tab/>
        <w:t xml:space="preserve">Type: </w:t>
      </w:r>
      <w:r w:rsidRPr="004F47BB">
        <w:rPr>
          <w:rFonts w:cs="Arial"/>
          <w:szCs w:val="20"/>
        </w:rPr>
        <w:tab/>
      </w:r>
      <w:r w:rsidRPr="004F47BB">
        <w:rPr>
          <w:rFonts w:cs="Arial"/>
          <w:szCs w:val="20"/>
        </w:rPr>
        <w:tab/>
        <w:t>Gear reduction: 1</w:t>
      </w:r>
      <w:r w:rsidRPr="004F47BB">
        <w:rPr>
          <w:rFonts w:cs="Arial"/>
          <w:szCs w:val="20"/>
        </w:rPr>
        <w:tab/>
      </w:r>
    </w:p>
    <w:p w:rsidR="004F47BB" w:rsidRPr="004F47BB" w:rsidRDefault="004F47BB" w:rsidP="004F47BB">
      <w:pPr>
        <w:widowControl w:val="0"/>
        <w:tabs>
          <w:tab w:val="left" w:pos="567"/>
        </w:tabs>
        <w:autoSpaceDE/>
        <w:autoSpaceDN/>
        <w:spacing w:before="120"/>
        <w:ind w:left="567" w:hanging="567"/>
        <w:jc w:val="left"/>
        <w:rPr>
          <w:rFonts w:cs="Arial"/>
          <w:snapToGrid w:val="0"/>
          <w:szCs w:val="20"/>
        </w:rPr>
      </w:pPr>
      <w:r w:rsidRPr="004F47BB">
        <w:rPr>
          <w:rFonts w:cs="Arial"/>
          <w:snapToGrid w:val="0"/>
          <w:szCs w:val="20"/>
        </w:rPr>
        <w:t>3.3</w:t>
      </w:r>
      <w:r w:rsidRPr="004F47BB">
        <w:rPr>
          <w:rFonts w:cs="Arial"/>
          <w:snapToGrid w:val="0"/>
          <w:szCs w:val="20"/>
        </w:rPr>
        <w:tab/>
        <w:t>Propellers</w:t>
      </w:r>
    </w:p>
    <w:p w:rsidR="004F47BB" w:rsidRPr="004F47BB" w:rsidRDefault="004F47BB" w:rsidP="004F47BB">
      <w:pPr>
        <w:tabs>
          <w:tab w:val="left" w:pos="567"/>
          <w:tab w:val="left" w:leader="dot" w:pos="1985"/>
          <w:tab w:val="left" w:pos="2127"/>
          <w:tab w:val="left" w:leader="dot" w:pos="4395"/>
          <w:tab w:val="left" w:pos="4536"/>
          <w:tab w:val="left" w:leader="dot" w:pos="6379"/>
          <w:tab w:val="left" w:pos="6521"/>
          <w:tab w:val="left" w:pos="7230"/>
        </w:tabs>
        <w:autoSpaceDE/>
        <w:autoSpaceDN/>
        <w:spacing w:before="120"/>
        <w:ind w:left="567" w:firstLine="0"/>
        <w:rPr>
          <w:rFonts w:cs="Arial"/>
          <w:szCs w:val="20"/>
          <w:lang w:val="en-US"/>
        </w:rPr>
      </w:pPr>
      <w:r w:rsidRPr="004F47BB">
        <w:rPr>
          <w:rFonts w:cs="Arial"/>
          <w:szCs w:val="20"/>
          <w:lang w:val="en-US"/>
        </w:rPr>
        <w:t xml:space="preserve">Number: </w:t>
      </w:r>
      <w:r w:rsidRPr="004F47BB">
        <w:rPr>
          <w:rFonts w:cs="Arial"/>
          <w:szCs w:val="20"/>
          <w:lang w:val="en-US"/>
        </w:rPr>
        <w:tab/>
      </w:r>
      <w:r w:rsidRPr="004F47BB">
        <w:rPr>
          <w:rFonts w:cs="Arial"/>
          <w:szCs w:val="20"/>
          <w:lang w:val="en-US"/>
        </w:rPr>
        <w:tab/>
        <w:t xml:space="preserve">Number of blades: </w:t>
      </w:r>
      <w:r w:rsidRPr="004F47BB">
        <w:rPr>
          <w:rFonts w:cs="Arial"/>
          <w:szCs w:val="20"/>
          <w:lang w:val="en-US"/>
        </w:rPr>
        <w:tab/>
      </w:r>
      <w:r w:rsidRPr="004F47BB">
        <w:rPr>
          <w:rFonts w:cs="Arial"/>
          <w:szCs w:val="20"/>
          <w:lang w:val="en-US"/>
        </w:rPr>
        <w:tab/>
        <w:t xml:space="preserve">Diameter: </w:t>
      </w:r>
      <w:r w:rsidRPr="004F47BB">
        <w:rPr>
          <w:rFonts w:cs="Arial"/>
          <w:szCs w:val="20"/>
          <w:lang w:val="en-US"/>
        </w:rPr>
        <w:tab/>
      </w:r>
      <w:r w:rsidRPr="004F47BB">
        <w:rPr>
          <w:rFonts w:cs="Arial"/>
          <w:szCs w:val="20"/>
          <w:lang w:val="en-US"/>
        </w:rPr>
        <w:tab/>
        <w:t xml:space="preserve">mm </w:t>
      </w:r>
      <w:r w:rsidRPr="004F47BB">
        <w:rPr>
          <w:rFonts w:cs="Arial"/>
          <w:szCs w:val="20"/>
          <w:lang w:val="en-US"/>
        </w:rPr>
        <w:tab/>
        <w:t>Nozzle: yes/no</w:t>
      </w:r>
      <w:r w:rsidRPr="004F47BB">
        <w:rPr>
          <w:rFonts w:cs="Arial"/>
          <w:szCs w:val="20"/>
          <w:vertAlign w:val="superscript"/>
          <w:lang w:val="en-US"/>
        </w:rPr>
        <w:footnoteReference w:customMarkFollows="1" w:id="81"/>
        <w:t>*)</w:t>
      </w:r>
    </w:p>
    <w:p w:rsidR="004F47BB" w:rsidRPr="004F47BB" w:rsidRDefault="004F47BB" w:rsidP="004F47BB">
      <w:pPr>
        <w:widowControl w:val="0"/>
        <w:tabs>
          <w:tab w:val="left" w:pos="567"/>
        </w:tabs>
        <w:autoSpaceDE/>
        <w:autoSpaceDN/>
        <w:spacing w:before="120"/>
        <w:ind w:left="567" w:hanging="567"/>
        <w:jc w:val="left"/>
        <w:rPr>
          <w:rFonts w:cs="Arial"/>
          <w:snapToGrid w:val="0"/>
          <w:szCs w:val="20"/>
        </w:rPr>
      </w:pPr>
      <w:r w:rsidRPr="004F47BB">
        <w:rPr>
          <w:rFonts w:cs="Arial"/>
          <w:snapToGrid w:val="0"/>
          <w:szCs w:val="20"/>
        </w:rPr>
        <w:t>3.4</w:t>
      </w:r>
      <w:r w:rsidRPr="004F47BB">
        <w:rPr>
          <w:rFonts w:cs="Arial"/>
          <w:snapToGrid w:val="0"/>
          <w:szCs w:val="20"/>
        </w:rPr>
        <w:tab/>
        <w:t>Steering system</w:t>
      </w:r>
    </w:p>
    <w:p w:rsidR="004F47BB" w:rsidRPr="004F47BB" w:rsidRDefault="004F47BB" w:rsidP="004F47BB">
      <w:pPr>
        <w:tabs>
          <w:tab w:val="left" w:pos="567"/>
          <w:tab w:val="left" w:leader="dot" w:pos="9072"/>
        </w:tabs>
        <w:autoSpaceDE/>
        <w:autoSpaceDN/>
        <w:spacing w:before="120"/>
        <w:ind w:left="567" w:firstLine="0"/>
        <w:rPr>
          <w:rFonts w:cs="Arial"/>
          <w:szCs w:val="20"/>
        </w:rPr>
      </w:pPr>
      <w:r w:rsidRPr="004F47BB">
        <w:rPr>
          <w:rFonts w:cs="Arial"/>
          <w:szCs w:val="20"/>
        </w:rPr>
        <w:t xml:space="preserve">Type : </w:t>
      </w:r>
      <w:r w:rsidRPr="004F47BB">
        <w:rPr>
          <w:rFonts w:cs="Arial"/>
          <w:szCs w:val="20"/>
        </w:rPr>
        <w:tab/>
      </w:r>
    </w:p>
    <w:p w:rsidR="004F47BB" w:rsidRPr="004F47BB" w:rsidRDefault="004F47BB" w:rsidP="004F47BB">
      <w:pPr>
        <w:tabs>
          <w:tab w:val="left" w:pos="567"/>
        </w:tabs>
        <w:autoSpaceDE/>
        <w:autoSpaceDN/>
        <w:spacing w:before="120"/>
        <w:ind w:left="567" w:hanging="567"/>
        <w:rPr>
          <w:rFonts w:cs="Arial"/>
          <w:szCs w:val="20"/>
        </w:rPr>
      </w:pPr>
      <w:r w:rsidRPr="004F47BB">
        <w:rPr>
          <w:rFonts w:cs="Arial"/>
          <w:szCs w:val="20"/>
        </w:rPr>
        <w:t>4.</w:t>
      </w:r>
      <w:r w:rsidRPr="004F47BB">
        <w:rPr>
          <w:rFonts w:cs="Arial"/>
          <w:szCs w:val="20"/>
        </w:rPr>
        <w:tab/>
        <w:t>Auxiliaries:</w:t>
      </w:r>
    </w:p>
    <w:p w:rsidR="004F47BB" w:rsidRPr="004F47BB" w:rsidRDefault="004F47BB" w:rsidP="004F47BB">
      <w:pPr>
        <w:autoSpaceDE/>
        <w:autoSpaceDN/>
        <w:ind w:left="0" w:firstLine="0"/>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4"/>
        <w:gridCol w:w="1599"/>
        <w:gridCol w:w="1277"/>
        <w:gridCol w:w="998"/>
        <w:gridCol w:w="1006"/>
        <w:gridCol w:w="1199"/>
        <w:gridCol w:w="1079"/>
      </w:tblGrid>
      <w:tr w:rsidR="004F47BB" w:rsidRPr="004F47BB" w:rsidTr="00D45887">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Num</w:t>
            </w:r>
            <w:r w:rsidRPr="004F47BB">
              <w:rPr>
                <w:rFonts w:cs="Arial"/>
                <w:sz w:val="16"/>
                <w:szCs w:val="16"/>
              </w:rPr>
              <w:softHyphen/>
              <w:t>ber</w:t>
            </w:r>
          </w:p>
        </w:tc>
        <w:tc>
          <w:tcPr>
            <w:tcW w:w="159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Propulsion of</w:t>
            </w:r>
          </w:p>
        </w:tc>
        <w:tc>
          <w:tcPr>
            <w:tcW w:w="1277"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Manufacturer</w:t>
            </w:r>
          </w:p>
        </w:tc>
        <w:tc>
          <w:tcPr>
            <w:tcW w:w="998"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Type</w:t>
            </w:r>
          </w:p>
        </w:tc>
        <w:tc>
          <w:tcPr>
            <w:tcW w:w="1006"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Year of construction</w:t>
            </w:r>
          </w:p>
        </w:tc>
        <w:tc>
          <w:tcPr>
            <w:tcW w:w="119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Power (kW)</w:t>
            </w:r>
          </w:p>
        </w:tc>
        <w:tc>
          <w:tcPr>
            <w:tcW w:w="107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Engine speed (min</w:t>
            </w:r>
            <w:r w:rsidRPr="004F47BB">
              <w:rPr>
                <w:rFonts w:cs="Arial"/>
                <w:sz w:val="16"/>
                <w:szCs w:val="16"/>
                <w:vertAlign w:val="superscript"/>
              </w:rPr>
              <w:t>-1</w:t>
            </w:r>
            <w:r w:rsidRPr="004F47BB">
              <w:rPr>
                <w:rFonts w:cs="Arial"/>
                <w:sz w:val="16"/>
                <w:szCs w:val="16"/>
              </w:rPr>
              <w:t>)</w:t>
            </w:r>
          </w:p>
        </w:tc>
      </w:tr>
      <w:tr w:rsidR="004F47BB" w:rsidRPr="004F47BB" w:rsidTr="00D45887">
        <w:trPr>
          <w:trHeight w:val="340"/>
          <w:jc w:val="center"/>
        </w:trPr>
        <w:tc>
          <w:tcPr>
            <w:tcW w:w="634" w:type="dxa"/>
            <w:tcBorders>
              <w:top w:val="single" w:sz="4" w:space="0" w:color="auto"/>
              <w:left w:val="single" w:sz="4" w:space="0" w:color="auto"/>
              <w:bottom w:val="single" w:sz="4" w:space="0" w:color="auto"/>
              <w:right w:val="single" w:sz="4" w:space="0" w:color="auto"/>
            </w:tcBorders>
            <w:vAlign w:val="center"/>
          </w:tcPr>
          <w:p w:rsidR="004F47BB" w:rsidRPr="004F47BB" w:rsidRDefault="004F47BB" w:rsidP="004F47BB">
            <w:pPr>
              <w:widowControl w:val="0"/>
              <w:autoSpaceDE/>
              <w:autoSpaceDN/>
              <w:spacing w:before="60"/>
              <w:ind w:left="0" w:firstLine="0"/>
              <w:jc w:val="center"/>
              <w:rPr>
                <w:rFonts w:cs="Arial"/>
                <w:snapToGrid w:val="0"/>
                <w:sz w:val="16"/>
                <w:szCs w:val="16"/>
              </w:rPr>
            </w:pPr>
            <w:r w:rsidRPr="004F47BB">
              <w:rPr>
                <w:rFonts w:cs="Arial"/>
                <w:snapToGrid w:val="0"/>
                <w:sz w:val="16"/>
                <w:szCs w:val="16"/>
              </w:rPr>
              <w:t>1</w:t>
            </w:r>
          </w:p>
        </w:tc>
        <w:tc>
          <w:tcPr>
            <w:tcW w:w="159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277"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998"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06"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19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7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r>
      <w:tr w:rsidR="004F47BB" w:rsidRPr="004F47BB" w:rsidTr="00D45887">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2</w:t>
            </w:r>
          </w:p>
        </w:tc>
        <w:tc>
          <w:tcPr>
            <w:tcW w:w="159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277"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998"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06"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19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7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r>
      <w:tr w:rsidR="004F47BB" w:rsidRPr="004F47BB" w:rsidTr="00D45887">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3</w:t>
            </w:r>
          </w:p>
        </w:tc>
        <w:tc>
          <w:tcPr>
            <w:tcW w:w="159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277"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998"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06"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19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7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r>
      <w:tr w:rsidR="004F47BB" w:rsidRPr="004F47BB" w:rsidTr="00D45887">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4</w:t>
            </w:r>
          </w:p>
        </w:tc>
        <w:tc>
          <w:tcPr>
            <w:tcW w:w="159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277"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998"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06"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19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7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r>
      <w:tr w:rsidR="004F47BB" w:rsidRPr="004F47BB" w:rsidTr="00D45887">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5</w:t>
            </w:r>
          </w:p>
        </w:tc>
        <w:tc>
          <w:tcPr>
            <w:tcW w:w="159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277"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998"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06"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19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c>
          <w:tcPr>
            <w:tcW w:w="107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rPr>
            </w:pPr>
          </w:p>
        </w:tc>
      </w:tr>
    </w:tbl>
    <w:p w:rsidR="004F47BB" w:rsidRPr="004F47BB" w:rsidRDefault="004F47BB" w:rsidP="004F47BB">
      <w:pPr>
        <w:autoSpaceDE/>
        <w:autoSpaceDN/>
        <w:ind w:left="1418" w:firstLine="0"/>
        <w:rPr>
          <w:rFonts w:cs="Arial"/>
          <w:sz w:val="16"/>
          <w:szCs w:val="16"/>
        </w:rPr>
      </w:pPr>
    </w:p>
    <w:p w:rsidR="004F47BB" w:rsidRPr="004F47BB" w:rsidRDefault="004F47BB" w:rsidP="004F47BB">
      <w:pPr>
        <w:tabs>
          <w:tab w:val="left" w:pos="567"/>
          <w:tab w:val="left" w:leader="dot" w:pos="9072"/>
        </w:tabs>
        <w:autoSpaceDE/>
        <w:autoSpaceDN/>
        <w:ind w:left="567" w:hanging="567"/>
        <w:rPr>
          <w:rFonts w:cs="Arial"/>
          <w:szCs w:val="20"/>
        </w:rPr>
      </w:pPr>
      <w:r w:rsidRPr="004F47BB">
        <w:rPr>
          <w:rFonts w:cs="Arial"/>
          <w:szCs w:val="20"/>
        </w:rPr>
        <w:t>5.</w:t>
      </w:r>
      <w:r w:rsidRPr="004F47BB">
        <w:rPr>
          <w:rFonts w:cs="Arial"/>
          <w:szCs w:val="20"/>
        </w:rPr>
        <w:tab/>
        <w:t xml:space="preserve">Noise reduction measures implemented: </w:t>
      </w:r>
      <w:r w:rsidRPr="004F47BB">
        <w:rPr>
          <w:rFonts w:cs="Arial"/>
          <w:szCs w:val="20"/>
        </w:rPr>
        <w:tab/>
      </w:r>
    </w:p>
    <w:p w:rsidR="004F47BB" w:rsidRPr="004F47BB" w:rsidRDefault="004F47BB" w:rsidP="004F47BB">
      <w:pPr>
        <w:tabs>
          <w:tab w:val="left" w:leader="dot" w:pos="9072"/>
        </w:tabs>
        <w:autoSpaceDE/>
        <w:autoSpaceDN/>
        <w:spacing w:before="120"/>
        <w:ind w:left="567" w:firstLine="0"/>
        <w:rPr>
          <w:rFonts w:cs="Arial"/>
          <w:szCs w:val="20"/>
        </w:rPr>
      </w:pPr>
      <w:r w:rsidRPr="004F47BB">
        <w:rPr>
          <w:rFonts w:cs="Arial"/>
          <w:szCs w:val="20"/>
        </w:rPr>
        <w:tab/>
      </w:r>
    </w:p>
    <w:p w:rsidR="004F47BB" w:rsidRPr="004F47BB" w:rsidRDefault="004F47BB" w:rsidP="004F47BB">
      <w:pPr>
        <w:tabs>
          <w:tab w:val="left" w:leader="dot" w:pos="9072"/>
        </w:tabs>
        <w:autoSpaceDE/>
        <w:autoSpaceDN/>
        <w:spacing w:before="120"/>
        <w:ind w:left="567" w:firstLine="0"/>
        <w:rPr>
          <w:rFonts w:cs="Arial"/>
          <w:szCs w:val="20"/>
        </w:rPr>
      </w:pPr>
      <w:r w:rsidRPr="004F47BB">
        <w:rPr>
          <w:rFonts w:cs="Arial"/>
          <w:szCs w:val="20"/>
        </w:rPr>
        <w:tab/>
      </w:r>
    </w:p>
    <w:p w:rsidR="004F47BB" w:rsidRPr="004F47BB" w:rsidRDefault="004F47BB" w:rsidP="004F47BB">
      <w:pPr>
        <w:tabs>
          <w:tab w:val="left" w:pos="567"/>
          <w:tab w:val="left" w:leader="dot" w:pos="9072"/>
        </w:tabs>
        <w:autoSpaceDE/>
        <w:autoSpaceDN/>
        <w:spacing w:before="120"/>
        <w:ind w:left="567" w:hanging="567"/>
        <w:rPr>
          <w:rFonts w:cs="Arial"/>
          <w:szCs w:val="20"/>
          <w:lang w:val="en-US"/>
        </w:rPr>
      </w:pPr>
      <w:r w:rsidRPr="004F47BB">
        <w:rPr>
          <w:rFonts w:cs="Arial"/>
          <w:szCs w:val="20"/>
          <w:lang w:val="en-US"/>
        </w:rPr>
        <w:lastRenderedPageBreak/>
        <w:t>6.</w:t>
      </w:r>
      <w:r w:rsidRPr="004F47BB">
        <w:rPr>
          <w:rFonts w:cs="Arial"/>
          <w:szCs w:val="20"/>
          <w:lang w:val="en-US"/>
        </w:rPr>
        <w:tab/>
        <w:t xml:space="preserve">Observations: </w:t>
      </w:r>
      <w:r w:rsidRPr="004F47BB">
        <w:rPr>
          <w:rFonts w:cs="Arial"/>
          <w:szCs w:val="20"/>
          <w:lang w:val="en-US"/>
        </w:rPr>
        <w:tab/>
      </w:r>
    </w:p>
    <w:p w:rsidR="004F47BB" w:rsidRPr="004F47BB" w:rsidRDefault="004F47BB" w:rsidP="004F47BB">
      <w:pPr>
        <w:tabs>
          <w:tab w:val="left" w:leader="dot" w:pos="9072"/>
        </w:tabs>
        <w:autoSpaceDE/>
        <w:autoSpaceDN/>
        <w:spacing w:before="120"/>
        <w:ind w:left="567" w:firstLine="0"/>
        <w:rPr>
          <w:rFonts w:cs="Arial"/>
          <w:szCs w:val="20"/>
          <w:lang w:val="en-US"/>
        </w:rPr>
      </w:pPr>
      <w:r w:rsidRPr="004F47BB">
        <w:rPr>
          <w:rFonts w:cs="Arial"/>
          <w:szCs w:val="20"/>
          <w:lang w:val="en-US"/>
        </w:rPr>
        <w:tab/>
      </w:r>
    </w:p>
    <w:p w:rsidR="004F47BB" w:rsidRPr="004F47BB" w:rsidRDefault="004F47BB" w:rsidP="004F47BB">
      <w:pPr>
        <w:tabs>
          <w:tab w:val="left" w:leader="dot" w:pos="9072"/>
        </w:tabs>
        <w:autoSpaceDE/>
        <w:autoSpaceDN/>
        <w:spacing w:before="120"/>
        <w:ind w:left="567" w:firstLine="0"/>
        <w:rPr>
          <w:rFonts w:cs="Arial"/>
          <w:szCs w:val="20"/>
          <w:lang w:val="en-US"/>
        </w:rPr>
      </w:pPr>
      <w:r w:rsidRPr="004F47BB">
        <w:rPr>
          <w:rFonts w:cs="Arial"/>
          <w:szCs w:val="20"/>
          <w:lang w:val="en-US"/>
        </w:rPr>
        <w:tab/>
      </w:r>
    </w:p>
    <w:p w:rsidR="004F47BB" w:rsidRPr="004F47BB" w:rsidRDefault="004F47BB" w:rsidP="004F47BB">
      <w:pPr>
        <w:tabs>
          <w:tab w:val="left" w:leader="dot" w:pos="9072"/>
        </w:tabs>
        <w:autoSpaceDE/>
        <w:autoSpaceDN/>
        <w:ind w:left="720" w:firstLine="0"/>
        <w:rPr>
          <w:rFonts w:cs="Arial"/>
          <w:szCs w:val="20"/>
          <w:lang w:val="en-US"/>
        </w:rPr>
      </w:pPr>
    </w:p>
    <w:p w:rsidR="004F47BB" w:rsidRPr="004F47BB" w:rsidRDefault="004F47BB" w:rsidP="004F47BB">
      <w:pPr>
        <w:autoSpaceDE/>
        <w:autoSpaceDN/>
        <w:spacing w:before="60"/>
        <w:ind w:left="0" w:firstLine="0"/>
        <w:rPr>
          <w:rFonts w:cs="Arial"/>
          <w:szCs w:val="20"/>
          <w:lang w:val="en-US"/>
        </w:rPr>
      </w:pPr>
      <w:r w:rsidRPr="004F47BB">
        <w:rPr>
          <w:rFonts w:cs="Arial"/>
          <w:sz w:val="22"/>
          <w:szCs w:val="22"/>
          <w:lang w:val="en-US"/>
        </w:rPr>
        <w:br w:type="page"/>
      </w:r>
    </w:p>
    <w:p w:rsidR="004F47BB" w:rsidRPr="004F47BB" w:rsidRDefault="004F47BB" w:rsidP="004F47BB">
      <w:pPr>
        <w:tabs>
          <w:tab w:val="left" w:pos="567"/>
        </w:tabs>
        <w:autoSpaceDE/>
        <w:autoSpaceDN/>
        <w:ind w:left="567" w:hanging="567"/>
        <w:rPr>
          <w:b/>
          <w:lang w:val="en-US"/>
        </w:rPr>
      </w:pPr>
      <w:r w:rsidRPr="004F47BB">
        <w:rPr>
          <w:b/>
          <w:lang w:val="en-US"/>
        </w:rPr>
        <w:lastRenderedPageBreak/>
        <w:t>B</w:t>
      </w:r>
      <w:r w:rsidRPr="004F47BB">
        <w:rPr>
          <w:b/>
          <w:lang w:val="en-US"/>
        </w:rPr>
        <w:tab/>
        <w:t>Measuring instruments used</w:t>
      </w:r>
    </w:p>
    <w:p w:rsidR="004F47BB" w:rsidRPr="004F47BB" w:rsidRDefault="004F47BB" w:rsidP="004F47BB">
      <w:pPr>
        <w:widowControl w:val="0"/>
        <w:tabs>
          <w:tab w:val="left" w:pos="567"/>
          <w:tab w:val="left" w:pos="709"/>
        </w:tabs>
        <w:autoSpaceDE/>
        <w:autoSpaceDN/>
        <w:spacing w:before="120"/>
        <w:ind w:left="567" w:hanging="567"/>
        <w:jc w:val="left"/>
        <w:rPr>
          <w:rFonts w:cs="Arial"/>
          <w:snapToGrid w:val="0"/>
          <w:szCs w:val="20"/>
          <w:lang w:val="en-US"/>
        </w:rPr>
      </w:pPr>
      <w:r w:rsidRPr="004F47BB">
        <w:rPr>
          <w:rFonts w:cs="Arial"/>
          <w:snapToGrid w:val="0"/>
          <w:szCs w:val="20"/>
          <w:lang w:val="en-US"/>
        </w:rPr>
        <w:t>1.</w:t>
      </w:r>
      <w:r w:rsidRPr="004F47BB">
        <w:rPr>
          <w:rFonts w:cs="Arial"/>
          <w:snapToGrid w:val="0"/>
          <w:szCs w:val="20"/>
          <w:lang w:val="en-US"/>
        </w:rPr>
        <w:tab/>
        <w:t>Sound pressure level meter</w:t>
      </w:r>
    </w:p>
    <w:p w:rsidR="004F47BB" w:rsidRPr="004F47BB" w:rsidRDefault="004F47BB" w:rsidP="004F47BB">
      <w:pPr>
        <w:tabs>
          <w:tab w:val="left" w:pos="567"/>
          <w:tab w:val="left" w:leader="dot" w:pos="4678"/>
          <w:tab w:val="left" w:pos="4962"/>
          <w:tab w:val="left" w:leader="dot" w:pos="6663"/>
          <w:tab w:val="left" w:pos="6804"/>
          <w:tab w:val="left" w:leader="dot" w:pos="9072"/>
        </w:tabs>
        <w:autoSpaceDE/>
        <w:autoSpaceDN/>
        <w:spacing w:before="120"/>
        <w:ind w:left="567" w:firstLine="0"/>
        <w:rPr>
          <w:rFonts w:cs="Arial"/>
          <w:szCs w:val="20"/>
          <w:lang w:val="en-US"/>
        </w:rPr>
      </w:pPr>
      <w:r w:rsidRPr="004F47BB">
        <w:rPr>
          <w:rFonts w:cs="Arial"/>
          <w:szCs w:val="20"/>
          <w:lang w:val="en-US"/>
        </w:rPr>
        <w:t>Manufacturer:</w:t>
      </w:r>
      <w:r w:rsidRPr="004F47BB">
        <w:rPr>
          <w:rFonts w:cs="Arial"/>
          <w:szCs w:val="20"/>
          <w:lang w:val="en-US"/>
        </w:rPr>
        <w:tab/>
      </w:r>
      <w:r w:rsidRPr="004F47BB">
        <w:rPr>
          <w:rFonts w:cs="Arial"/>
          <w:szCs w:val="20"/>
          <w:lang w:val="en-US"/>
        </w:rPr>
        <w:tab/>
        <w:t xml:space="preserve">Type: </w:t>
      </w:r>
      <w:r w:rsidRPr="004F47BB">
        <w:rPr>
          <w:rFonts w:cs="Arial"/>
          <w:szCs w:val="20"/>
          <w:lang w:val="en-US"/>
        </w:rPr>
        <w:tab/>
      </w:r>
      <w:r w:rsidRPr="004F47BB">
        <w:rPr>
          <w:rFonts w:cs="Arial"/>
          <w:szCs w:val="20"/>
          <w:lang w:val="en-US"/>
        </w:rPr>
        <w:tab/>
        <w:t xml:space="preserve">Latest check: </w:t>
      </w:r>
      <w:r w:rsidRPr="004F47BB">
        <w:rPr>
          <w:rFonts w:cs="Arial"/>
          <w:szCs w:val="20"/>
          <w:lang w:val="en-US"/>
        </w:rPr>
        <w:tab/>
      </w:r>
    </w:p>
    <w:p w:rsidR="004F47BB" w:rsidRPr="004F47BB" w:rsidRDefault="004F47BB" w:rsidP="004F47BB">
      <w:pPr>
        <w:widowControl w:val="0"/>
        <w:tabs>
          <w:tab w:val="left" w:pos="567"/>
          <w:tab w:val="left" w:pos="709"/>
        </w:tabs>
        <w:autoSpaceDE/>
        <w:autoSpaceDN/>
        <w:spacing w:before="120"/>
        <w:ind w:left="567" w:hanging="567"/>
        <w:jc w:val="left"/>
        <w:rPr>
          <w:rFonts w:cs="Arial"/>
          <w:snapToGrid w:val="0"/>
          <w:szCs w:val="20"/>
          <w:lang w:val="en-US"/>
        </w:rPr>
      </w:pPr>
      <w:r w:rsidRPr="004F47BB">
        <w:rPr>
          <w:rFonts w:cs="Arial"/>
          <w:snapToGrid w:val="0"/>
          <w:szCs w:val="20"/>
          <w:lang w:val="en-US"/>
        </w:rPr>
        <w:t>2.</w:t>
      </w:r>
      <w:r w:rsidRPr="004F47BB">
        <w:rPr>
          <w:rFonts w:cs="Arial"/>
          <w:snapToGrid w:val="0"/>
          <w:szCs w:val="20"/>
          <w:lang w:val="en-US"/>
        </w:rPr>
        <w:tab/>
        <w:t>Octave/Third octave band analyser</w:t>
      </w:r>
    </w:p>
    <w:p w:rsidR="004F47BB" w:rsidRPr="004F47BB" w:rsidRDefault="004F47BB" w:rsidP="004F47BB">
      <w:pPr>
        <w:tabs>
          <w:tab w:val="left" w:pos="567"/>
          <w:tab w:val="left" w:leader="dot" w:pos="4678"/>
          <w:tab w:val="left" w:pos="4962"/>
          <w:tab w:val="left" w:leader="dot" w:pos="6663"/>
          <w:tab w:val="left" w:pos="6804"/>
          <w:tab w:val="left" w:leader="dot" w:pos="9072"/>
        </w:tabs>
        <w:autoSpaceDE/>
        <w:autoSpaceDN/>
        <w:spacing w:before="120"/>
        <w:ind w:left="567" w:firstLine="0"/>
        <w:rPr>
          <w:rFonts w:cs="Arial"/>
          <w:szCs w:val="20"/>
          <w:lang w:val="en-US"/>
        </w:rPr>
      </w:pPr>
      <w:r w:rsidRPr="004F47BB">
        <w:rPr>
          <w:rFonts w:cs="Arial"/>
          <w:szCs w:val="20"/>
          <w:lang w:val="en-US"/>
        </w:rPr>
        <w:t xml:space="preserve">Manufacturer: </w:t>
      </w:r>
      <w:r w:rsidRPr="004F47BB">
        <w:rPr>
          <w:rFonts w:cs="Arial"/>
          <w:szCs w:val="20"/>
          <w:lang w:val="en-US"/>
        </w:rPr>
        <w:tab/>
      </w:r>
      <w:r w:rsidRPr="004F47BB">
        <w:rPr>
          <w:rFonts w:cs="Arial"/>
          <w:szCs w:val="20"/>
          <w:lang w:val="en-US"/>
        </w:rPr>
        <w:tab/>
        <w:t xml:space="preserve">Type: </w:t>
      </w:r>
      <w:r w:rsidRPr="004F47BB">
        <w:rPr>
          <w:rFonts w:cs="Arial"/>
          <w:szCs w:val="20"/>
          <w:lang w:val="en-US"/>
        </w:rPr>
        <w:tab/>
      </w:r>
      <w:r w:rsidRPr="004F47BB">
        <w:rPr>
          <w:rFonts w:cs="Arial"/>
          <w:szCs w:val="20"/>
          <w:lang w:val="en-US"/>
        </w:rPr>
        <w:tab/>
        <w:t xml:space="preserve">Latest check: </w:t>
      </w:r>
      <w:r w:rsidRPr="004F47BB">
        <w:rPr>
          <w:rFonts w:cs="Arial"/>
          <w:szCs w:val="20"/>
          <w:lang w:val="en-US"/>
        </w:rPr>
        <w:tab/>
      </w:r>
    </w:p>
    <w:p w:rsidR="004F47BB" w:rsidRPr="004F47BB" w:rsidRDefault="004F47BB" w:rsidP="004F47BB">
      <w:pPr>
        <w:tabs>
          <w:tab w:val="left" w:pos="567"/>
          <w:tab w:val="left" w:pos="709"/>
          <w:tab w:val="left" w:leader="dot" w:pos="5245"/>
          <w:tab w:val="left" w:pos="5529"/>
          <w:tab w:val="left" w:leader="dot" w:pos="7230"/>
          <w:tab w:val="left" w:pos="7371"/>
          <w:tab w:val="left" w:leader="dot" w:pos="9356"/>
        </w:tabs>
        <w:autoSpaceDE/>
        <w:autoSpaceDN/>
        <w:spacing w:before="120"/>
        <w:ind w:left="567" w:hanging="567"/>
        <w:jc w:val="left"/>
        <w:rPr>
          <w:rFonts w:cs="Arial"/>
          <w:snapToGrid w:val="0"/>
          <w:szCs w:val="20"/>
          <w:lang w:val="en-US"/>
        </w:rPr>
      </w:pPr>
      <w:r w:rsidRPr="004F47BB">
        <w:rPr>
          <w:rFonts w:cs="Arial"/>
          <w:snapToGrid w:val="0"/>
          <w:szCs w:val="20"/>
          <w:lang w:val="en-US"/>
        </w:rPr>
        <w:t>3.</w:t>
      </w:r>
      <w:r w:rsidRPr="004F47BB">
        <w:rPr>
          <w:rFonts w:cs="Arial"/>
          <w:snapToGrid w:val="0"/>
          <w:szCs w:val="20"/>
          <w:lang w:val="en-US"/>
        </w:rPr>
        <w:tab/>
        <w:t>Calibrator</w:t>
      </w:r>
    </w:p>
    <w:p w:rsidR="004F47BB" w:rsidRPr="004F47BB" w:rsidRDefault="004F47BB" w:rsidP="004F47BB">
      <w:pPr>
        <w:tabs>
          <w:tab w:val="left" w:pos="567"/>
          <w:tab w:val="left" w:leader="dot" w:pos="4678"/>
          <w:tab w:val="left" w:pos="4962"/>
          <w:tab w:val="left" w:leader="dot" w:pos="6663"/>
          <w:tab w:val="left" w:pos="6804"/>
          <w:tab w:val="left" w:leader="dot" w:pos="9072"/>
        </w:tabs>
        <w:autoSpaceDE/>
        <w:autoSpaceDN/>
        <w:spacing w:before="120"/>
        <w:ind w:left="567" w:firstLine="0"/>
        <w:rPr>
          <w:rFonts w:cs="Arial"/>
          <w:szCs w:val="20"/>
          <w:lang w:val="en-US"/>
        </w:rPr>
      </w:pPr>
      <w:r w:rsidRPr="004F47BB">
        <w:rPr>
          <w:rFonts w:cs="Arial"/>
          <w:szCs w:val="20"/>
          <w:lang w:val="en-US"/>
        </w:rPr>
        <w:t xml:space="preserve">Manufacturer: </w:t>
      </w:r>
      <w:r w:rsidRPr="004F47BB">
        <w:rPr>
          <w:rFonts w:cs="Arial"/>
          <w:szCs w:val="20"/>
          <w:lang w:val="en-US"/>
        </w:rPr>
        <w:tab/>
      </w:r>
      <w:r w:rsidRPr="004F47BB">
        <w:rPr>
          <w:rFonts w:cs="Arial"/>
          <w:szCs w:val="20"/>
          <w:lang w:val="en-US"/>
        </w:rPr>
        <w:tab/>
        <w:t xml:space="preserve">Type: </w:t>
      </w:r>
      <w:r w:rsidRPr="004F47BB">
        <w:rPr>
          <w:rFonts w:cs="Arial"/>
          <w:szCs w:val="20"/>
          <w:lang w:val="en-US"/>
        </w:rPr>
        <w:tab/>
      </w:r>
      <w:r w:rsidRPr="004F47BB">
        <w:rPr>
          <w:rFonts w:cs="Arial"/>
          <w:szCs w:val="20"/>
          <w:lang w:val="en-US"/>
        </w:rPr>
        <w:tab/>
        <w:t xml:space="preserve">Latest check: </w:t>
      </w:r>
      <w:r w:rsidRPr="004F47BB">
        <w:rPr>
          <w:rFonts w:cs="Arial"/>
          <w:szCs w:val="20"/>
          <w:lang w:val="en-US"/>
        </w:rPr>
        <w:tab/>
      </w:r>
    </w:p>
    <w:p w:rsidR="004F47BB" w:rsidRPr="004F47BB" w:rsidRDefault="004F47BB" w:rsidP="004F47BB">
      <w:pPr>
        <w:tabs>
          <w:tab w:val="left" w:pos="567"/>
        </w:tabs>
        <w:autoSpaceDE/>
        <w:autoSpaceDN/>
        <w:spacing w:before="120"/>
        <w:ind w:left="567" w:hanging="567"/>
        <w:rPr>
          <w:rFonts w:cs="Arial"/>
          <w:szCs w:val="20"/>
          <w:lang w:val="en-US"/>
        </w:rPr>
      </w:pPr>
      <w:r w:rsidRPr="004F47BB">
        <w:rPr>
          <w:rFonts w:cs="Arial"/>
          <w:szCs w:val="20"/>
          <w:lang w:val="en-US"/>
        </w:rPr>
        <w:t>4.</w:t>
      </w:r>
      <w:r w:rsidRPr="004F47BB">
        <w:rPr>
          <w:rFonts w:cs="Arial"/>
          <w:szCs w:val="20"/>
          <w:lang w:val="en-US"/>
        </w:rPr>
        <w:tab/>
        <w:t>Accessories</w:t>
      </w:r>
    </w:p>
    <w:p w:rsidR="004F47BB" w:rsidRPr="004F47BB" w:rsidRDefault="004F47BB" w:rsidP="004F47BB">
      <w:pPr>
        <w:tabs>
          <w:tab w:val="left" w:pos="567"/>
          <w:tab w:val="left" w:leader="dot" w:pos="9072"/>
        </w:tabs>
        <w:autoSpaceDE/>
        <w:autoSpaceDN/>
        <w:spacing w:before="120"/>
        <w:ind w:left="567" w:firstLine="0"/>
        <w:rPr>
          <w:rFonts w:cs="Arial"/>
          <w:szCs w:val="20"/>
          <w:lang w:val="en-US"/>
        </w:rPr>
      </w:pPr>
      <w:r w:rsidRPr="004F47BB">
        <w:rPr>
          <w:rFonts w:cs="Arial"/>
          <w:szCs w:val="20"/>
          <w:lang w:val="en-US"/>
        </w:rPr>
        <w:tab/>
      </w:r>
    </w:p>
    <w:p w:rsidR="004F47BB" w:rsidRPr="004F47BB" w:rsidRDefault="004F47BB" w:rsidP="004F47BB">
      <w:pPr>
        <w:tabs>
          <w:tab w:val="left" w:pos="567"/>
          <w:tab w:val="left" w:pos="709"/>
          <w:tab w:val="left" w:leader="dot" w:pos="9072"/>
        </w:tabs>
        <w:autoSpaceDE/>
        <w:autoSpaceDN/>
        <w:spacing w:before="120"/>
        <w:ind w:left="567" w:hanging="567"/>
        <w:rPr>
          <w:rFonts w:cs="Arial"/>
          <w:szCs w:val="20"/>
        </w:rPr>
      </w:pPr>
      <w:r w:rsidRPr="004F47BB">
        <w:rPr>
          <w:rFonts w:cs="Arial"/>
          <w:szCs w:val="20"/>
        </w:rPr>
        <w:t>5.</w:t>
      </w:r>
      <w:r w:rsidRPr="004F47BB">
        <w:rPr>
          <w:rFonts w:cs="Arial"/>
          <w:szCs w:val="20"/>
        </w:rPr>
        <w:tab/>
        <w:t xml:space="preserve">Observations: </w:t>
      </w:r>
      <w:r w:rsidRPr="004F47BB">
        <w:rPr>
          <w:rFonts w:cs="Arial"/>
          <w:szCs w:val="20"/>
        </w:rPr>
        <w:tab/>
      </w:r>
    </w:p>
    <w:p w:rsidR="004F47BB" w:rsidRPr="004F47BB" w:rsidRDefault="004F47BB" w:rsidP="004F47BB">
      <w:pPr>
        <w:tabs>
          <w:tab w:val="left" w:pos="567"/>
          <w:tab w:val="left" w:leader="dot" w:pos="9072"/>
        </w:tabs>
        <w:autoSpaceDE/>
        <w:autoSpaceDN/>
        <w:spacing w:before="120"/>
        <w:ind w:left="567" w:firstLine="0"/>
        <w:rPr>
          <w:rFonts w:cs="Arial"/>
          <w:szCs w:val="20"/>
        </w:rPr>
      </w:pPr>
      <w:r w:rsidRPr="004F47BB">
        <w:rPr>
          <w:rFonts w:cs="Arial"/>
          <w:szCs w:val="20"/>
        </w:rPr>
        <w:tab/>
      </w:r>
    </w:p>
    <w:p w:rsidR="004F47BB" w:rsidRPr="004F47BB" w:rsidRDefault="004F47BB" w:rsidP="004F47BB">
      <w:pPr>
        <w:tabs>
          <w:tab w:val="left" w:pos="567"/>
          <w:tab w:val="left" w:leader="dot" w:pos="9072"/>
        </w:tabs>
        <w:autoSpaceDE/>
        <w:autoSpaceDN/>
        <w:spacing w:before="120"/>
        <w:ind w:left="567" w:firstLine="0"/>
        <w:rPr>
          <w:rFonts w:cs="Arial"/>
          <w:szCs w:val="20"/>
        </w:rPr>
      </w:pPr>
      <w:r w:rsidRPr="004F47BB">
        <w:rPr>
          <w:rFonts w:cs="Arial"/>
          <w:szCs w:val="20"/>
        </w:rPr>
        <w:tab/>
      </w:r>
    </w:p>
    <w:p w:rsidR="004F47BB" w:rsidRPr="004F47BB" w:rsidRDefault="004F47BB" w:rsidP="004F47BB">
      <w:pPr>
        <w:tabs>
          <w:tab w:val="left" w:pos="567"/>
        </w:tabs>
        <w:autoSpaceDE/>
        <w:autoSpaceDN/>
        <w:spacing w:before="60"/>
        <w:ind w:left="567" w:hanging="567"/>
        <w:rPr>
          <w:rFonts w:cs="Arial"/>
          <w:szCs w:val="20"/>
        </w:rPr>
      </w:pPr>
    </w:p>
    <w:p w:rsidR="004F47BB" w:rsidRPr="004F47BB" w:rsidRDefault="004F47BB" w:rsidP="004F47BB">
      <w:pPr>
        <w:tabs>
          <w:tab w:val="left" w:pos="567"/>
        </w:tabs>
        <w:autoSpaceDE/>
        <w:autoSpaceDN/>
        <w:ind w:left="567" w:hanging="567"/>
        <w:rPr>
          <w:b/>
          <w:lang w:val="en-US"/>
        </w:rPr>
      </w:pPr>
      <w:r w:rsidRPr="004F47BB">
        <w:rPr>
          <w:b/>
          <w:lang w:val="en-US"/>
        </w:rPr>
        <w:t>C</w:t>
      </w:r>
      <w:r w:rsidRPr="004F47BB">
        <w:rPr>
          <w:b/>
          <w:lang w:val="en-US"/>
        </w:rPr>
        <w:tab/>
        <w:t>Measurement conditions — craft</w:t>
      </w:r>
    </w:p>
    <w:p w:rsidR="004F47BB" w:rsidRPr="004F47BB" w:rsidRDefault="004F47BB" w:rsidP="004F47BB">
      <w:pPr>
        <w:tabs>
          <w:tab w:val="left" w:pos="567"/>
          <w:tab w:val="left" w:pos="709"/>
          <w:tab w:val="left" w:leader="dot" w:pos="9072"/>
        </w:tabs>
        <w:autoSpaceDE/>
        <w:autoSpaceDN/>
        <w:spacing w:before="120"/>
        <w:ind w:left="567" w:hanging="567"/>
        <w:rPr>
          <w:rFonts w:cs="Arial"/>
          <w:szCs w:val="20"/>
          <w:lang w:val="en-US"/>
        </w:rPr>
      </w:pPr>
      <w:r w:rsidRPr="004F47BB">
        <w:rPr>
          <w:rFonts w:cs="Arial"/>
          <w:szCs w:val="20"/>
          <w:lang w:val="en-US"/>
        </w:rPr>
        <w:t>1.</w:t>
      </w:r>
      <w:r w:rsidRPr="004F47BB">
        <w:rPr>
          <w:rFonts w:cs="Arial"/>
          <w:szCs w:val="20"/>
          <w:lang w:val="en-US"/>
        </w:rPr>
        <w:tab/>
        <w:t xml:space="preserve">Formation during the measurements: </w:t>
      </w:r>
      <w:r w:rsidRPr="004F47BB">
        <w:rPr>
          <w:rFonts w:cs="Arial"/>
          <w:szCs w:val="20"/>
          <w:lang w:val="en-US"/>
        </w:rPr>
        <w:tab/>
      </w:r>
    </w:p>
    <w:p w:rsidR="004F47BB" w:rsidRPr="004F47BB" w:rsidRDefault="004F47BB" w:rsidP="004F47BB">
      <w:pPr>
        <w:tabs>
          <w:tab w:val="left" w:pos="567"/>
          <w:tab w:val="left" w:pos="709"/>
          <w:tab w:val="left" w:leader="dot" w:pos="4820"/>
          <w:tab w:val="left" w:pos="4962"/>
        </w:tabs>
        <w:autoSpaceDE/>
        <w:autoSpaceDN/>
        <w:spacing w:before="120"/>
        <w:ind w:left="567" w:hanging="567"/>
        <w:rPr>
          <w:rFonts w:cs="Arial"/>
          <w:szCs w:val="20"/>
          <w:lang w:val="en-US"/>
        </w:rPr>
      </w:pPr>
      <w:r w:rsidRPr="004F47BB">
        <w:rPr>
          <w:rFonts w:cs="Arial"/>
          <w:szCs w:val="20"/>
          <w:lang w:val="en-US"/>
        </w:rPr>
        <w:t>2.</w:t>
      </w:r>
      <w:r w:rsidRPr="004F47BB">
        <w:rPr>
          <w:rFonts w:cs="Arial"/>
          <w:szCs w:val="20"/>
          <w:lang w:val="en-US"/>
        </w:rPr>
        <w:tab/>
        <w:t xml:space="preserve">Load/displacement: </w:t>
      </w:r>
      <w:r w:rsidRPr="004F47BB">
        <w:rPr>
          <w:rFonts w:cs="Arial"/>
          <w:szCs w:val="20"/>
          <w:lang w:val="en-US"/>
        </w:rPr>
        <w:tab/>
      </w:r>
      <w:r w:rsidRPr="004F47BB">
        <w:rPr>
          <w:rFonts w:cs="Arial"/>
          <w:szCs w:val="20"/>
          <w:lang w:val="en-US"/>
        </w:rPr>
        <w:tab/>
        <w:t xml:space="preserve">t/m³ </w:t>
      </w:r>
      <w:r w:rsidRPr="004F47BB">
        <w:rPr>
          <w:rFonts w:cs="Arial"/>
          <w:szCs w:val="20"/>
          <w:vertAlign w:val="superscript"/>
          <w:lang w:val="en-US"/>
        </w:rPr>
        <w:t>*)</w:t>
      </w:r>
      <w:r w:rsidRPr="004F47BB">
        <w:rPr>
          <w:rFonts w:cs="Arial"/>
          <w:szCs w:val="20"/>
          <w:lang w:val="en-US"/>
        </w:rPr>
        <w:t xml:space="preserve"> (approximately … % of maximum value)</w:t>
      </w:r>
    </w:p>
    <w:p w:rsidR="004F47BB" w:rsidRPr="004F47BB" w:rsidRDefault="004F47BB" w:rsidP="004F47BB">
      <w:pPr>
        <w:tabs>
          <w:tab w:val="left" w:pos="567"/>
          <w:tab w:val="left" w:pos="709"/>
          <w:tab w:val="left" w:leader="dot" w:pos="4820"/>
          <w:tab w:val="left" w:pos="4962"/>
        </w:tabs>
        <w:autoSpaceDE/>
        <w:autoSpaceDN/>
        <w:spacing w:before="120"/>
        <w:ind w:left="567" w:hanging="567"/>
        <w:rPr>
          <w:rFonts w:cs="Arial"/>
          <w:szCs w:val="20"/>
          <w:lang w:val="en-US"/>
        </w:rPr>
      </w:pPr>
      <w:r w:rsidRPr="004F47BB">
        <w:rPr>
          <w:rFonts w:cs="Arial"/>
          <w:szCs w:val="20"/>
          <w:lang w:val="en-US"/>
        </w:rPr>
        <w:t>3.</w:t>
      </w:r>
      <w:r w:rsidRPr="004F47BB">
        <w:rPr>
          <w:rFonts w:cs="Arial"/>
          <w:szCs w:val="20"/>
          <w:lang w:val="en-US"/>
        </w:rPr>
        <w:tab/>
        <w:t>Speed of main engine:</w:t>
      </w:r>
      <w:r w:rsidRPr="004F47BB">
        <w:rPr>
          <w:rFonts w:cs="Arial"/>
          <w:szCs w:val="20"/>
          <w:lang w:val="en-US"/>
        </w:rPr>
        <w:tab/>
      </w:r>
      <w:r w:rsidRPr="004F47BB">
        <w:rPr>
          <w:rFonts w:cs="Arial"/>
          <w:szCs w:val="20"/>
          <w:lang w:val="en-US"/>
        </w:rPr>
        <w:tab/>
        <w:t>min</w:t>
      </w:r>
      <w:r w:rsidRPr="004F47BB">
        <w:rPr>
          <w:rFonts w:cs="Arial"/>
          <w:szCs w:val="20"/>
          <w:vertAlign w:val="superscript"/>
          <w:lang w:val="en-US"/>
        </w:rPr>
        <w:t>-1</w:t>
      </w:r>
      <w:r w:rsidRPr="004F47BB">
        <w:rPr>
          <w:rFonts w:cs="Arial"/>
          <w:szCs w:val="20"/>
          <w:lang w:val="en-US"/>
        </w:rPr>
        <w:t xml:space="preserve"> (approximately … % of maximum value)</w:t>
      </w:r>
    </w:p>
    <w:p w:rsidR="004F47BB" w:rsidRPr="004F47BB" w:rsidRDefault="004F47BB" w:rsidP="004F47BB">
      <w:pPr>
        <w:widowControl w:val="0"/>
        <w:tabs>
          <w:tab w:val="left" w:pos="567"/>
          <w:tab w:val="left" w:pos="709"/>
          <w:tab w:val="left" w:leader="dot" w:pos="5103"/>
          <w:tab w:val="left" w:pos="5670"/>
        </w:tabs>
        <w:autoSpaceDE/>
        <w:autoSpaceDN/>
        <w:spacing w:before="120"/>
        <w:ind w:left="567" w:hanging="567"/>
        <w:jc w:val="left"/>
        <w:rPr>
          <w:rFonts w:cs="Arial"/>
          <w:snapToGrid w:val="0"/>
          <w:szCs w:val="20"/>
          <w:lang w:val="en-US"/>
        </w:rPr>
      </w:pPr>
      <w:r w:rsidRPr="004F47BB">
        <w:rPr>
          <w:rFonts w:cs="Arial"/>
          <w:snapToGrid w:val="0"/>
          <w:szCs w:val="20"/>
          <w:lang w:val="en-US"/>
        </w:rPr>
        <w:t>4.</w:t>
      </w:r>
      <w:r w:rsidRPr="004F47BB">
        <w:rPr>
          <w:rFonts w:cs="Arial"/>
          <w:snapToGrid w:val="0"/>
          <w:szCs w:val="20"/>
          <w:lang w:val="en-US"/>
        </w:rPr>
        <w:tab/>
        <w:t xml:space="preserve">Auxiliaries in service No </w:t>
      </w:r>
      <w:r w:rsidRPr="004F47BB">
        <w:rPr>
          <w:rFonts w:cs="Arial"/>
          <w:snapToGrid w:val="0"/>
          <w:szCs w:val="20"/>
          <w:lang w:val="en-US"/>
        </w:rPr>
        <w:tab/>
      </w:r>
    </w:p>
    <w:p w:rsidR="004F47BB" w:rsidRPr="004F47BB" w:rsidRDefault="004F47BB" w:rsidP="004F47BB">
      <w:pPr>
        <w:tabs>
          <w:tab w:val="left" w:pos="567"/>
          <w:tab w:val="left" w:pos="709"/>
          <w:tab w:val="left" w:leader="dot" w:pos="9072"/>
        </w:tabs>
        <w:autoSpaceDE/>
        <w:autoSpaceDN/>
        <w:spacing w:before="120"/>
        <w:ind w:left="567" w:hanging="567"/>
        <w:rPr>
          <w:rFonts w:cs="Arial"/>
          <w:szCs w:val="20"/>
          <w:lang w:val="en-US"/>
        </w:rPr>
      </w:pPr>
      <w:r w:rsidRPr="004F47BB">
        <w:rPr>
          <w:rFonts w:cs="Arial"/>
          <w:szCs w:val="20"/>
          <w:lang w:val="en-US"/>
        </w:rPr>
        <w:t>5.</w:t>
      </w:r>
      <w:r w:rsidRPr="004F47BB">
        <w:rPr>
          <w:rFonts w:cs="Arial"/>
          <w:szCs w:val="20"/>
          <w:lang w:val="en-US"/>
        </w:rPr>
        <w:tab/>
        <w:t xml:space="preserve">Observations: </w:t>
      </w:r>
      <w:r w:rsidRPr="004F47BB">
        <w:rPr>
          <w:rFonts w:cs="Arial"/>
          <w:szCs w:val="20"/>
          <w:lang w:val="en-US"/>
        </w:rPr>
        <w:tab/>
      </w:r>
    </w:p>
    <w:p w:rsidR="004F47BB" w:rsidRPr="004F47BB" w:rsidRDefault="004F47BB" w:rsidP="004F47BB">
      <w:pPr>
        <w:tabs>
          <w:tab w:val="left" w:pos="567"/>
          <w:tab w:val="left" w:leader="dot" w:pos="9072"/>
        </w:tabs>
        <w:autoSpaceDE/>
        <w:autoSpaceDN/>
        <w:spacing w:before="60"/>
        <w:ind w:left="567" w:firstLine="0"/>
        <w:rPr>
          <w:rFonts w:cs="Arial"/>
          <w:szCs w:val="20"/>
          <w:lang w:val="en-US"/>
        </w:rPr>
      </w:pPr>
      <w:r w:rsidRPr="004F47BB">
        <w:rPr>
          <w:rFonts w:cs="Arial"/>
          <w:szCs w:val="20"/>
          <w:lang w:val="en-US"/>
        </w:rPr>
        <w:tab/>
      </w:r>
    </w:p>
    <w:p w:rsidR="004F47BB" w:rsidRPr="004F47BB" w:rsidRDefault="004F47BB" w:rsidP="004F47BB">
      <w:pPr>
        <w:tabs>
          <w:tab w:val="left" w:pos="567"/>
          <w:tab w:val="left" w:leader="dot" w:pos="9072"/>
        </w:tabs>
        <w:autoSpaceDE/>
        <w:autoSpaceDN/>
        <w:spacing w:before="60"/>
        <w:ind w:left="567" w:firstLine="0"/>
        <w:rPr>
          <w:rFonts w:cs="Arial"/>
          <w:szCs w:val="20"/>
          <w:lang w:val="en-US"/>
        </w:rPr>
      </w:pPr>
      <w:r w:rsidRPr="004F47BB">
        <w:rPr>
          <w:rFonts w:cs="Arial"/>
          <w:szCs w:val="20"/>
          <w:lang w:val="en-US"/>
        </w:rPr>
        <w:tab/>
      </w:r>
    </w:p>
    <w:p w:rsidR="004F47BB" w:rsidRPr="004F47BB" w:rsidRDefault="004F47BB" w:rsidP="004F47BB">
      <w:pPr>
        <w:tabs>
          <w:tab w:val="left" w:pos="567"/>
        </w:tabs>
        <w:autoSpaceDE/>
        <w:autoSpaceDN/>
        <w:ind w:left="567" w:hanging="567"/>
        <w:rPr>
          <w:b/>
          <w:lang w:val="en-US"/>
        </w:rPr>
      </w:pPr>
    </w:p>
    <w:p w:rsidR="004F47BB" w:rsidRPr="004F47BB" w:rsidRDefault="004F47BB" w:rsidP="004F47BB">
      <w:pPr>
        <w:tabs>
          <w:tab w:val="left" w:pos="567"/>
        </w:tabs>
        <w:autoSpaceDE/>
        <w:autoSpaceDN/>
        <w:ind w:left="567" w:hanging="567"/>
        <w:rPr>
          <w:b/>
          <w:lang w:val="en-US"/>
        </w:rPr>
      </w:pPr>
      <w:r w:rsidRPr="004F47BB">
        <w:rPr>
          <w:b/>
          <w:lang w:val="en-US"/>
        </w:rPr>
        <w:t>D</w:t>
      </w:r>
      <w:r w:rsidRPr="004F47BB">
        <w:rPr>
          <w:b/>
          <w:lang w:val="en-US"/>
        </w:rPr>
        <w:tab/>
        <w:t>Measurement conditions — surroundings</w:t>
      </w:r>
    </w:p>
    <w:p w:rsidR="004F47BB" w:rsidRPr="004F47BB" w:rsidRDefault="004F47BB" w:rsidP="004F47BB">
      <w:pPr>
        <w:tabs>
          <w:tab w:val="left" w:pos="567"/>
          <w:tab w:val="left" w:pos="709"/>
          <w:tab w:val="left" w:leader="dot" w:pos="6663"/>
        </w:tabs>
        <w:autoSpaceDE/>
        <w:autoSpaceDN/>
        <w:spacing w:before="120"/>
        <w:ind w:left="567" w:hanging="567"/>
        <w:rPr>
          <w:rFonts w:cs="Arial"/>
          <w:szCs w:val="20"/>
          <w:lang w:val="en-US"/>
        </w:rPr>
      </w:pPr>
      <w:r w:rsidRPr="004F47BB">
        <w:rPr>
          <w:rFonts w:cs="Arial"/>
          <w:szCs w:val="20"/>
          <w:lang w:val="en-US"/>
        </w:rPr>
        <w:t>1.</w:t>
      </w:r>
      <w:r w:rsidRPr="004F47BB">
        <w:rPr>
          <w:rFonts w:cs="Arial"/>
          <w:szCs w:val="20"/>
          <w:lang w:val="en-US"/>
        </w:rPr>
        <w:tab/>
        <w:t xml:space="preserve">Area of measurement: </w:t>
      </w:r>
      <w:r w:rsidRPr="004F47BB">
        <w:rPr>
          <w:rFonts w:cs="Arial"/>
          <w:szCs w:val="20"/>
          <w:lang w:val="en-US"/>
        </w:rPr>
        <w:tab/>
        <w:t xml:space="preserve"> Upstream/downstream </w:t>
      </w:r>
      <w:r w:rsidRPr="004F47BB">
        <w:rPr>
          <w:rFonts w:cs="Arial"/>
          <w:szCs w:val="20"/>
          <w:vertAlign w:val="superscript"/>
        </w:rPr>
        <w:footnoteReference w:id="82"/>
      </w:r>
    </w:p>
    <w:p w:rsidR="004F47BB" w:rsidRPr="004F47BB" w:rsidRDefault="004F47BB" w:rsidP="004F47BB">
      <w:pPr>
        <w:tabs>
          <w:tab w:val="left" w:pos="567"/>
          <w:tab w:val="left" w:pos="709"/>
          <w:tab w:val="left" w:leader="dot" w:pos="3686"/>
          <w:tab w:val="left" w:pos="4111"/>
          <w:tab w:val="left" w:leader="dot" w:pos="7088"/>
          <w:tab w:val="left" w:pos="7230"/>
          <w:tab w:val="left" w:leader="dot" w:pos="8505"/>
        </w:tabs>
        <w:autoSpaceDE/>
        <w:autoSpaceDN/>
        <w:spacing w:before="120"/>
        <w:ind w:left="567" w:hanging="567"/>
        <w:rPr>
          <w:rFonts w:cs="Arial"/>
          <w:szCs w:val="20"/>
          <w:lang w:val="en-US"/>
        </w:rPr>
      </w:pPr>
      <w:r w:rsidRPr="004F47BB">
        <w:rPr>
          <w:rFonts w:cs="Arial"/>
          <w:szCs w:val="20"/>
          <w:lang w:val="en-US"/>
        </w:rPr>
        <w:t>2.</w:t>
      </w:r>
      <w:r w:rsidRPr="004F47BB">
        <w:rPr>
          <w:rFonts w:cs="Arial"/>
          <w:szCs w:val="20"/>
          <w:lang w:val="en-US"/>
        </w:rPr>
        <w:tab/>
        <w:t xml:space="preserve">Water depth: </w:t>
      </w:r>
      <w:r w:rsidRPr="004F47BB">
        <w:rPr>
          <w:rFonts w:cs="Arial"/>
          <w:szCs w:val="20"/>
          <w:lang w:val="en-US"/>
        </w:rPr>
        <w:tab/>
        <w:t xml:space="preserve"> m </w:t>
      </w:r>
      <w:r w:rsidRPr="004F47BB">
        <w:rPr>
          <w:rFonts w:cs="Arial"/>
          <w:szCs w:val="20"/>
          <w:lang w:val="en-US"/>
        </w:rPr>
        <w:tab/>
        <w:t xml:space="preserve">(Relevant water level </w:t>
      </w:r>
      <w:r w:rsidRPr="004F47BB">
        <w:rPr>
          <w:rFonts w:cs="Arial"/>
          <w:szCs w:val="20"/>
          <w:lang w:val="en-US"/>
        </w:rPr>
        <w:tab/>
      </w:r>
      <w:r w:rsidRPr="004F47BB">
        <w:rPr>
          <w:rFonts w:cs="Arial"/>
          <w:szCs w:val="20"/>
          <w:lang w:val="en-US"/>
        </w:rPr>
        <w:tab/>
        <w:t xml:space="preserve">= </w:t>
      </w:r>
      <w:r w:rsidRPr="004F47BB">
        <w:rPr>
          <w:rFonts w:cs="Arial"/>
          <w:szCs w:val="20"/>
          <w:lang w:val="en-US"/>
        </w:rPr>
        <w:tab/>
        <w:t xml:space="preserve"> m)</w:t>
      </w:r>
    </w:p>
    <w:p w:rsidR="004F47BB" w:rsidRPr="004F47BB" w:rsidRDefault="004F47BB" w:rsidP="004F47BB">
      <w:pPr>
        <w:widowControl w:val="0"/>
        <w:tabs>
          <w:tab w:val="left" w:pos="567"/>
          <w:tab w:val="left" w:pos="709"/>
          <w:tab w:val="left" w:leader="dot" w:pos="4678"/>
          <w:tab w:val="left" w:pos="4820"/>
          <w:tab w:val="left" w:leader="dot" w:pos="6521"/>
          <w:tab w:val="left" w:pos="6663"/>
          <w:tab w:val="left" w:pos="6946"/>
          <w:tab w:val="left" w:leader="dot" w:pos="8647"/>
        </w:tabs>
        <w:autoSpaceDE/>
        <w:autoSpaceDN/>
        <w:spacing w:before="120"/>
        <w:ind w:left="567" w:hanging="567"/>
        <w:jc w:val="left"/>
        <w:rPr>
          <w:rFonts w:cs="Arial"/>
          <w:snapToGrid w:val="0"/>
          <w:szCs w:val="20"/>
          <w:lang w:val="en-US"/>
        </w:rPr>
      </w:pPr>
      <w:r w:rsidRPr="004F47BB">
        <w:rPr>
          <w:rFonts w:cs="Arial"/>
          <w:snapToGrid w:val="0"/>
          <w:szCs w:val="20"/>
          <w:lang w:val="en-US"/>
        </w:rPr>
        <w:t>3.</w:t>
      </w:r>
      <w:r w:rsidRPr="004F47BB">
        <w:rPr>
          <w:rFonts w:cs="Arial"/>
          <w:snapToGrid w:val="0"/>
          <w:szCs w:val="20"/>
          <w:lang w:val="en-US"/>
        </w:rPr>
        <w:tab/>
        <w:t>Weather:</w:t>
      </w:r>
      <w:r w:rsidRPr="004F47BB">
        <w:rPr>
          <w:rFonts w:cs="Arial"/>
          <w:snapToGrid w:val="0"/>
          <w:szCs w:val="20"/>
          <w:lang w:val="en-US"/>
        </w:rPr>
        <w:tab/>
      </w:r>
      <w:r w:rsidRPr="004F47BB">
        <w:rPr>
          <w:rFonts w:cs="Arial"/>
          <w:snapToGrid w:val="0"/>
          <w:szCs w:val="20"/>
          <w:lang w:val="en-US"/>
        </w:rPr>
        <w:tab/>
        <w:t>Temperature:</w:t>
      </w:r>
      <w:r w:rsidRPr="004F47BB">
        <w:rPr>
          <w:rFonts w:cs="Arial"/>
          <w:snapToGrid w:val="0"/>
          <w:szCs w:val="20"/>
          <w:lang w:val="en-US"/>
        </w:rPr>
        <w:tab/>
        <w:t>°C</w:t>
      </w:r>
      <w:r w:rsidRPr="004F47BB">
        <w:rPr>
          <w:rFonts w:cs="Arial"/>
          <w:snapToGrid w:val="0"/>
          <w:szCs w:val="20"/>
          <w:lang w:val="en-US"/>
        </w:rPr>
        <w:tab/>
        <w:t>Wind strength:</w:t>
      </w:r>
      <w:r w:rsidRPr="004F47BB">
        <w:rPr>
          <w:rFonts w:cs="Arial"/>
          <w:snapToGrid w:val="0"/>
          <w:szCs w:val="20"/>
          <w:lang w:val="en-US"/>
        </w:rPr>
        <w:tab/>
        <w:t xml:space="preserve"> BF</w:t>
      </w:r>
    </w:p>
    <w:p w:rsidR="004F47BB" w:rsidRPr="004F47BB" w:rsidRDefault="004F47BB" w:rsidP="004F47BB">
      <w:pPr>
        <w:tabs>
          <w:tab w:val="left" w:pos="567"/>
          <w:tab w:val="left" w:pos="709"/>
          <w:tab w:val="left" w:leader="dot" w:pos="9072"/>
        </w:tabs>
        <w:autoSpaceDE/>
        <w:autoSpaceDN/>
        <w:spacing w:before="120"/>
        <w:ind w:left="567" w:hanging="567"/>
        <w:rPr>
          <w:rFonts w:cs="Arial"/>
          <w:szCs w:val="20"/>
          <w:lang w:val="en-US"/>
        </w:rPr>
      </w:pPr>
      <w:r w:rsidRPr="004F47BB">
        <w:rPr>
          <w:rFonts w:cs="Arial"/>
          <w:szCs w:val="20"/>
          <w:lang w:val="en-US"/>
        </w:rPr>
        <w:t>4.</w:t>
      </w:r>
      <w:r w:rsidRPr="004F47BB">
        <w:rPr>
          <w:rFonts w:cs="Arial"/>
          <w:szCs w:val="20"/>
          <w:lang w:val="en-US"/>
        </w:rPr>
        <w:tab/>
        <w:t>External noise interference: yes/no</w:t>
      </w:r>
      <w:r w:rsidRPr="004F47BB">
        <w:rPr>
          <w:rFonts w:cs="Arial"/>
          <w:szCs w:val="20"/>
          <w:vertAlign w:val="superscript"/>
          <w:lang w:val="en-US"/>
        </w:rPr>
        <w:t>*)</w:t>
      </w:r>
      <w:r w:rsidRPr="004F47BB">
        <w:rPr>
          <w:rFonts w:cs="Arial"/>
          <w:szCs w:val="20"/>
          <w:lang w:val="en-US"/>
        </w:rPr>
        <w:t xml:space="preserve">, if yes, specify: </w:t>
      </w:r>
      <w:r w:rsidRPr="004F47BB">
        <w:rPr>
          <w:rFonts w:cs="Arial"/>
          <w:szCs w:val="20"/>
          <w:lang w:val="en-US"/>
        </w:rPr>
        <w:tab/>
      </w:r>
    </w:p>
    <w:p w:rsidR="004F47BB" w:rsidRPr="004F47BB" w:rsidRDefault="004F47BB" w:rsidP="004F47BB">
      <w:pPr>
        <w:tabs>
          <w:tab w:val="left" w:pos="567"/>
          <w:tab w:val="left" w:pos="709"/>
          <w:tab w:val="left" w:pos="1418"/>
          <w:tab w:val="left" w:leader="dot" w:pos="9072"/>
        </w:tabs>
        <w:autoSpaceDE/>
        <w:autoSpaceDN/>
        <w:spacing w:before="120"/>
        <w:ind w:left="567" w:hanging="567"/>
        <w:rPr>
          <w:rFonts w:cs="Arial"/>
          <w:szCs w:val="20"/>
          <w:lang w:val="en-US"/>
        </w:rPr>
      </w:pPr>
      <w:r w:rsidRPr="004F47BB">
        <w:rPr>
          <w:rFonts w:cs="Arial"/>
          <w:szCs w:val="20"/>
          <w:lang w:val="en-US"/>
        </w:rPr>
        <w:t>5.</w:t>
      </w:r>
      <w:r w:rsidRPr="004F47BB">
        <w:rPr>
          <w:rFonts w:cs="Arial"/>
          <w:szCs w:val="20"/>
          <w:lang w:val="en-US"/>
        </w:rPr>
        <w:tab/>
        <w:t xml:space="preserve">Observations: </w:t>
      </w:r>
      <w:r w:rsidRPr="004F47BB">
        <w:rPr>
          <w:rFonts w:cs="Arial"/>
          <w:szCs w:val="20"/>
          <w:lang w:val="en-US"/>
        </w:rPr>
        <w:tab/>
      </w:r>
    </w:p>
    <w:p w:rsidR="004F47BB" w:rsidRPr="004F47BB" w:rsidRDefault="004F47BB" w:rsidP="004F47BB">
      <w:pPr>
        <w:tabs>
          <w:tab w:val="left" w:pos="567"/>
          <w:tab w:val="left" w:leader="dot" w:pos="9072"/>
        </w:tabs>
        <w:autoSpaceDE/>
        <w:autoSpaceDN/>
        <w:spacing w:before="120"/>
        <w:ind w:left="567" w:firstLine="0"/>
        <w:rPr>
          <w:rFonts w:cs="Arial"/>
          <w:szCs w:val="20"/>
          <w:lang w:val="en-US"/>
        </w:rPr>
      </w:pPr>
      <w:r w:rsidRPr="004F47BB">
        <w:rPr>
          <w:rFonts w:cs="Arial"/>
          <w:szCs w:val="20"/>
          <w:lang w:val="en-US"/>
        </w:rPr>
        <w:tab/>
      </w:r>
    </w:p>
    <w:p w:rsidR="004F47BB" w:rsidRPr="004F47BB" w:rsidRDefault="004F47BB" w:rsidP="004F47BB">
      <w:pPr>
        <w:tabs>
          <w:tab w:val="left" w:pos="567"/>
          <w:tab w:val="left" w:leader="dot" w:pos="9072"/>
        </w:tabs>
        <w:autoSpaceDE/>
        <w:autoSpaceDN/>
        <w:spacing w:before="120"/>
        <w:ind w:left="567" w:firstLine="0"/>
        <w:rPr>
          <w:rFonts w:cs="Arial"/>
          <w:szCs w:val="20"/>
          <w:lang w:val="en-US"/>
        </w:rPr>
      </w:pPr>
      <w:r w:rsidRPr="004F47BB">
        <w:rPr>
          <w:rFonts w:cs="Arial"/>
          <w:szCs w:val="20"/>
          <w:lang w:val="en-US"/>
        </w:rPr>
        <w:tab/>
      </w:r>
    </w:p>
    <w:p w:rsidR="004F47BB" w:rsidRPr="004F47BB" w:rsidRDefault="004F47BB" w:rsidP="004F47BB">
      <w:pPr>
        <w:tabs>
          <w:tab w:val="left" w:pos="567"/>
        </w:tabs>
        <w:autoSpaceDE/>
        <w:autoSpaceDN/>
        <w:ind w:left="567" w:hanging="567"/>
        <w:rPr>
          <w:b/>
          <w:lang w:val="en-US"/>
        </w:rPr>
      </w:pPr>
    </w:p>
    <w:p w:rsidR="004F47BB" w:rsidRPr="004F47BB" w:rsidRDefault="004F47BB" w:rsidP="004F47BB">
      <w:pPr>
        <w:tabs>
          <w:tab w:val="left" w:pos="567"/>
        </w:tabs>
        <w:autoSpaceDE/>
        <w:autoSpaceDN/>
        <w:ind w:left="567" w:hanging="567"/>
        <w:rPr>
          <w:b/>
          <w:lang w:val="en-US"/>
        </w:rPr>
      </w:pPr>
      <w:r w:rsidRPr="004F47BB">
        <w:rPr>
          <w:b/>
          <w:lang w:val="en-US"/>
        </w:rPr>
        <w:t>E</w:t>
      </w:r>
      <w:r w:rsidRPr="004F47BB">
        <w:rPr>
          <w:b/>
          <w:lang w:val="en-US"/>
        </w:rPr>
        <w:tab/>
        <w:t>Recording of measurement</w:t>
      </w:r>
    </w:p>
    <w:p w:rsidR="004F47BB" w:rsidRPr="004F47BB" w:rsidRDefault="004F47BB" w:rsidP="004F47BB">
      <w:pPr>
        <w:tabs>
          <w:tab w:val="left" w:pos="567"/>
          <w:tab w:val="left" w:pos="709"/>
          <w:tab w:val="left" w:pos="1418"/>
          <w:tab w:val="left" w:leader="dot" w:pos="9072"/>
        </w:tabs>
        <w:overflowPunct w:val="0"/>
        <w:adjustRightInd w:val="0"/>
        <w:spacing w:before="120"/>
        <w:ind w:left="567" w:hanging="567"/>
        <w:textAlignment w:val="baseline"/>
        <w:rPr>
          <w:rFonts w:cs="Arial"/>
          <w:snapToGrid w:val="0"/>
          <w:szCs w:val="20"/>
          <w:lang w:val="en-US"/>
        </w:rPr>
      </w:pPr>
      <w:r w:rsidRPr="004F47BB">
        <w:rPr>
          <w:rFonts w:cs="Arial"/>
          <w:snapToGrid w:val="0"/>
          <w:szCs w:val="20"/>
          <w:lang w:val="en-US"/>
        </w:rPr>
        <w:t>1.</w:t>
      </w:r>
      <w:r w:rsidRPr="004F47BB">
        <w:rPr>
          <w:rFonts w:cs="Arial"/>
          <w:snapToGrid w:val="0"/>
          <w:szCs w:val="20"/>
          <w:lang w:val="en-US"/>
        </w:rPr>
        <w:tab/>
        <w:t xml:space="preserve">Measurement carried out by: </w:t>
      </w:r>
      <w:r w:rsidRPr="004F47BB">
        <w:rPr>
          <w:rFonts w:cs="Arial"/>
          <w:snapToGrid w:val="0"/>
          <w:szCs w:val="20"/>
          <w:lang w:val="en-US"/>
        </w:rPr>
        <w:tab/>
      </w:r>
    </w:p>
    <w:p w:rsidR="004F47BB" w:rsidRPr="004F47BB" w:rsidRDefault="004F47BB" w:rsidP="004F47BB">
      <w:pPr>
        <w:tabs>
          <w:tab w:val="left" w:pos="567"/>
          <w:tab w:val="left" w:pos="709"/>
          <w:tab w:val="left" w:leader="dot" w:pos="2268"/>
        </w:tabs>
        <w:autoSpaceDE/>
        <w:autoSpaceDN/>
        <w:spacing w:before="120"/>
        <w:ind w:left="567" w:hanging="567"/>
        <w:rPr>
          <w:rFonts w:cs="Arial"/>
          <w:szCs w:val="20"/>
        </w:rPr>
      </w:pPr>
      <w:r w:rsidRPr="004F47BB">
        <w:rPr>
          <w:rFonts w:cs="Arial"/>
          <w:szCs w:val="20"/>
        </w:rPr>
        <w:t>2.</w:t>
      </w:r>
      <w:r w:rsidRPr="004F47BB">
        <w:rPr>
          <w:rFonts w:cs="Arial"/>
          <w:szCs w:val="20"/>
        </w:rPr>
        <w:tab/>
        <w:t xml:space="preserve">Date: </w:t>
      </w:r>
      <w:r w:rsidRPr="004F47BB">
        <w:rPr>
          <w:rFonts w:cs="Arial"/>
          <w:szCs w:val="20"/>
        </w:rPr>
        <w:tab/>
      </w:r>
    </w:p>
    <w:p w:rsidR="004F47BB" w:rsidRPr="004F47BB" w:rsidRDefault="004F47BB" w:rsidP="004F47BB">
      <w:pPr>
        <w:tabs>
          <w:tab w:val="left" w:pos="567"/>
          <w:tab w:val="left" w:pos="709"/>
          <w:tab w:val="left" w:pos="1418"/>
          <w:tab w:val="left" w:leader="dot" w:pos="9072"/>
        </w:tabs>
        <w:overflowPunct w:val="0"/>
        <w:adjustRightInd w:val="0"/>
        <w:spacing w:before="120"/>
        <w:ind w:left="567" w:hanging="567"/>
        <w:textAlignment w:val="baseline"/>
        <w:rPr>
          <w:rFonts w:cs="Arial"/>
          <w:snapToGrid w:val="0"/>
          <w:szCs w:val="20"/>
        </w:rPr>
      </w:pPr>
      <w:r w:rsidRPr="004F47BB">
        <w:rPr>
          <w:rFonts w:cs="Arial"/>
          <w:snapToGrid w:val="0"/>
          <w:szCs w:val="20"/>
        </w:rPr>
        <w:lastRenderedPageBreak/>
        <w:t>3.</w:t>
      </w:r>
      <w:r w:rsidRPr="004F47BB">
        <w:rPr>
          <w:rFonts w:cs="Arial"/>
          <w:snapToGrid w:val="0"/>
          <w:szCs w:val="20"/>
        </w:rPr>
        <w:tab/>
        <w:t xml:space="preserve">Observations : </w:t>
      </w:r>
      <w:r w:rsidRPr="004F47BB">
        <w:rPr>
          <w:rFonts w:cs="Arial"/>
          <w:snapToGrid w:val="0"/>
          <w:szCs w:val="20"/>
        </w:rPr>
        <w:tab/>
      </w:r>
    </w:p>
    <w:p w:rsidR="004F47BB" w:rsidRPr="004F47BB" w:rsidRDefault="004F47BB" w:rsidP="004F47BB">
      <w:pPr>
        <w:tabs>
          <w:tab w:val="left" w:pos="567"/>
          <w:tab w:val="left" w:leader="dot" w:pos="9072"/>
        </w:tabs>
        <w:autoSpaceDE/>
        <w:autoSpaceDN/>
        <w:spacing w:before="120"/>
        <w:ind w:left="567" w:firstLine="0"/>
        <w:rPr>
          <w:rFonts w:cs="Arial"/>
          <w:szCs w:val="20"/>
        </w:rPr>
      </w:pPr>
      <w:r w:rsidRPr="004F47BB">
        <w:rPr>
          <w:rFonts w:cs="Arial"/>
          <w:szCs w:val="20"/>
        </w:rPr>
        <w:tab/>
      </w:r>
    </w:p>
    <w:p w:rsidR="004F47BB" w:rsidRPr="004F47BB" w:rsidRDefault="004F47BB" w:rsidP="004F47BB">
      <w:pPr>
        <w:tabs>
          <w:tab w:val="left" w:pos="567"/>
          <w:tab w:val="left" w:leader="dot" w:pos="9072"/>
        </w:tabs>
        <w:autoSpaceDE/>
        <w:autoSpaceDN/>
        <w:spacing w:before="120"/>
        <w:ind w:left="567" w:firstLine="0"/>
        <w:rPr>
          <w:rFonts w:cs="Arial"/>
          <w:szCs w:val="20"/>
        </w:rPr>
      </w:pPr>
      <w:r w:rsidRPr="004F47BB">
        <w:rPr>
          <w:rFonts w:cs="Arial"/>
          <w:szCs w:val="20"/>
        </w:rPr>
        <w:tab/>
      </w:r>
    </w:p>
    <w:p w:rsidR="004F47BB" w:rsidRPr="004F47BB" w:rsidRDefault="004F47BB" w:rsidP="004F47BB">
      <w:pPr>
        <w:tabs>
          <w:tab w:val="left" w:pos="567"/>
          <w:tab w:val="left" w:pos="709"/>
          <w:tab w:val="left" w:pos="1418"/>
          <w:tab w:val="left" w:leader="dot" w:pos="4111"/>
        </w:tabs>
        <w:overflowPunct w:val="0"/>
        <w:adjustRightInd w:val="0"/>
        <w:spacing w:before="120"/>
        <w:ind w:left="567" w:hanging="567"/>
        <w:textAlignment w:val="baseline"/>
        <w:rPr>
          <w:rFonts w:cs="Arial"/>
          <w:snapToGrid w:val="0"/>
          <w:szCs w:val="20"/>
        </w:rPr>
      </w:pPr>
      <w:r w:rsidRPr="004F47BB">
        <w:rPr>
          <w:rFonts w:cs="Arial"/>
          <w:snapToGrid w:val="0"/>
          <w:szCs w:val="20"/>
        </w:rPr>
        <w:t>4.</w:t>
      </w:r>
      <w:r w:rsidRPr="004F47BB">
        <w:rPr>
          <w:rFonts w:cs="Arial"/>
          <w:snapToGrid w:val="0"/>
          <w:szCs w:val="20"/>
        </w:rPr>
        <w:tab/>
        <w:t xml:space="preserve">Signature : </w:t>
      </w:r>
      <w:r w:rsidRPr="004F47BB">
        <w:rPr>
          <w:rFonts w:cs="Arial"/>
          <w:snapToGrid w:val="0"/>
          <w:szCs w:val="20"/>
        </w:rPr>
        <w:tab/>
      </w:r>
    </w:p>
    <w:p w:rsidR="004F47BB" w:rsidRPr="004F47BB" w:rsidRDefault="004F47BB" w:rsidP="004F47BB">
      <w:pPr>
        <w:tabs>
          <w:tab w:val="left" w:pos="567"/>
        </w:tabs>
        <w:autoSpaceDE/>
        <w:autoSpaceDN/>
        <w:spacing w:before="120"/>
        <w:ind w:left="567" w:hanging="567"/>
        <w:rPr>
          <w:rFonts w:cs="Arial"/>
          <w:szCs w:val="20"/>
        </w:rPr>
      </w:pPr>
    </w:p>
    <w:p w:rsidR="004F47BB" w:rsidRPr="004F47BB" w:rsidRDefault="004F47BB" w:rsidP="004F47BB">
      <w:pPr>
        <w:tabs>
          <w:tab w:val="left" w:pos="567"/>
        </w:tabs>
        <w:autoSpaceDE/>
        <w:autoSpaceDN/>
        <w:spacing w:before="60"/>
        <w:ind w:left="567" w:hanging="567"/>
        <w:rPr>
          <w:rFonts w:cs="Arial"/>
          <w:szCs w:val="20"/>
        </w:rPr>
      </w:pPr>
      <w:r w:rsidRPr="004F47BB">
        <w:rPr>
          <w:rFonts w:cs="Arial"/>
          <w:szCs w:val="20"/>
        </w:rPr>
        <w:br w:type="page"/>
      </w:r>
      <w:r w:rsidRPr="004F47BB">
        <w:rPr>
          <w:rFonts w:cs="Arial"/>
          <w:b/>
          <w:bCs/>
          <w:szCs w:val="20"/>
        </w:rPr>
        <w:lastRenderedPageBreak/>
        <w:t>F.1</w:t>
      </w:r>
      <w:r w:rsidRPr="004F47BB">
        <w:rPr>
          <w:rFonts w:cs="Arial"/>
          <w:b/>
          <w:bCs/>
          <w:szCs w:val="20"/>
        </w:rPr>
        <w:tab/>
        <w:t>Measurement results</w:t>
      </w:r>
    </w:p>
    <w:p w:rsidR="004F47BB" w:rsidRPr="004F47BB" w:rsidRDefault="004F47BB" w:rsidP="004F47BB">
      <w:pPr>
        <w:tabs>
          <w:tab w:val="left" w:pos="567"/>
          <w:tab w:val="left" w:pos="1418"/>
        </w:tabs>
        <w:autoSpaceDE/>
        <w:autoSpaceDN/>
        <w:spacing w:before="60"/>
        <w:ind w:left="567" w:firstLine="0"/>
        <w:rPr>
          <w:rFonts w:cs="Arial"/>
          <w:b/>
          <w:bCs/>
          <w:szCs w:val="20"/>
        </w:rPr>
      </w:pPr>
      <w:r w:rsidRPr="004F47BB">
        <w:rPr>
          <w:rFonts w:cs="Arial"/>
          <w:b/>
          <w:bCs/>
          <w:szCs w:val="20"/>
        </w:rPr>
        <w:t>Noise measurements on board craft</w:t>
      </w:r>
    </w:p>
    <w:p w:rsidR="004F47BB" w:rsidRPr="004F47BB" w:rsidRDefault="004F47BB" w:rsidP="004F47BB">
      <w:pPr>
        <w:tabs>
          <w:tab w:val="left" w:pos="567"/>
          <w:tab w:val="left" w:pos="1418"/>
        </w:tabs>
        <w:autoSpaceDE/>
        <w:autoSpaceDN/>
        <w:spacing w:before="60"/>
        <w:ind w:left="567" w:firstLine="0"/>
        <w:rPr>
          <w:rFonts w:cs="Arial"/>
          <w:b/>
          <w:bCs/>
          <w:szCs w:val="20"/>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7"/>
        <w:gridCol w:w="2438"/>
        <w:gridCol w:w="706"/>
        <w:gridCol w:w="630"/>
        <w:gridCol w:w="708"/>
        <w:gridCol w:w="709"/>
        <w:gridCol w:w="680"/>
        <w:gridCol w:w="2211"/>
      </w:tblGrid>
      <w:tr w:rsidR="004F47BB" w:rsidRPr="004F47BB" w:rsidTr="00D45887">
        <w:tc>
          <w:tcPr>
            <w:tcW w:w="397" w:type="dxa"/>
            <w:vMerge w:val="restart"/>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0"/>
                <w:szCs w:val="16"/>
              </w:rPr>
              <w:t>Num-ber</w:t>
            </w:r>
          </w:p>
        </w:tc>
        <w:tc>
          <w:tcPr>
            <w:tcW w:w="2438" w:type="dxa"/>
            <w:vMerge w:val="restart"/>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Measurement point</w:t>
            </w:r>
          </w:p>
        </w:tc>
        <w:tc>
          <w:tcPr>
            <w:tcW w:w="1336" w:type="dxa"/>
            <w:gridSpan w:val="2"/>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Doors</w:t>
            </w:r>
          </w:p>
        </w:tc>
        <w:tc>
          <w:tcPr>
            <w:tcW w:w="1417" w:type="dxa"/>
            <w:gridSpan w:val="2"/>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Windows</w:t>
            </w:r>
          </w:p>
        </w:tc>
        <w:tc>
          <w:tcPr>
            <w:tcW w:w="680" w:type="dxa"/>
            <w:vMerge w:val="restart"/>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lang w:val="en-US"/>
              </w:rPr>
            </w:pPr>
            <w:r w:rsidRPr="004F47BB">
              <w:rPr>
                <w:rFonts w:cs="Arial"/>
                <w:sz w:val="16"/>
                <w:szCs w:val="16"/>
                <w:lang w:val="en-US"/>
              </w:rPr>
              <w:t>Mea</w:t>
            </w:r>
            <w:r w:rsidRPr="004F47BB">
              <w:rPr>
                <w:rFonts w:cs="Arial"/>
                <w:sz w:val="16"/>
                <w:szCs w:val="16"/>
                <w:lang w:val="en-US"/>
              </w:rPr>
              <w:softHyphen/>
              <w:t>sured value in dB(A)</w:t>
            </w:r>
          </w:p>
        </w:tc>
        <w:tc>
          <w:tcPr>
            <w:tcW w:w="2211" w:type="dxa"/>
            <w:vMerge w:val="restart"/>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Observations</w:t>
            </w:r>
          </w:p>
        </w:tc>
      </w:tr>
      <w:tr w:rsidR="004F47BB" w:rsidRPr="004F47BB" w:rsidTr="00D45887">
        <w:trPr>
          <w:trHeight w:val="573"/>
        </w:trPr>
        <w:tc>
          <w:tcPr>
            <w:tcW w:w="397" w:type="dxa"/>
            <w:vMerge/>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2438" w:type="dxa"/>
            <w:vMerge/>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706"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open</w:t>
            </w:r>
          </w:p>
        </w:tc>
        <w:tc>
          <w:tcPr>
            <w:tcW w:w="630"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closed</w:t>
            </w:r>
          </w:p>
        </w:tc>
        <w:tc>
          <w:tcPr>
            <w:tcW w:w="708"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open</w:t>
            </w:r>
          </w:p>
        </w:tc>
        <w:tc>
          <w:tcPr>
            <w:tcW w:w="70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closed</w:t>
            </w:r>
          </w:p>
        </w:tc>
        <w:tc>
          <w:tcPr>
            <w:tcW w:w="680" w:type="dxa"/>
            <w:vMerge/>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2211" w:type="dxa"/>
            <w:vMerge/>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r>
      <w:tr w:rsidR="004F47BB" w:rsidRPr="004F47BB" w:rsidTr="00D45887">
        <w:trPr>
          <w:trHeight w:val="397"/>
        </w:trPr>
        <w:tc>
          <w:tcPr>
            <w:tcW w:w="397"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2438"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706"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630"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708"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2211"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r>
      <w:tr w:rsidR="004F47BB" w:rsidRPr="004F47BB" w:rsidTr="00D45887">
        <w:trPr>
          <w:trHeight w:val="397"/>
        </w:trPr>
        <w:tc>
          <w:tcPr>
            <w:tcW w:w="397"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2438"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706"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630"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708"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2211"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r>
      <w:tr w:rsidR="004F47BB" w:rsidRPr="004F47BB" w:rsidTr="00D45887">
        <w:trPr>
          <w:trHeight w:val="397"/>
        </w:trPr>
        <w:tc>
          <w:tcPr>
            <w:tcW w:w="397"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2438"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706"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630"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708"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c>
          <w:tcPr>
            <w:tcW w:w="2211"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rPr>
                <w:rFonts w:cs="Arial"/>
                <w:sz w:val="16"/>
                <w:szCs w:val="16"/>
              </w:rPr>
            </w:pPr>
          </w:p>
        </w:tc>
      </w:tr>
    </w:tbl>
    <w:p w:rsidR="004F47BB" w:rsidRPr="004F47BB" w:rsidRDefault="004F47BB" w:rsidP="004F47BB">
      <w:pPr>
        <w:autoSpaceDE/>
        <w:autoSpaceDN/>
        <w:spacing w:before="60"/>
        <w:ind w:left="709" w:firstLine="0"/>
        <w:rPr>
          <w:rFonts w:cs="Arial"/>
          <w:b/>
          <w:bCs/>
          <w:szCs w:val="22"/>
        </w:rPr>
      </w:pPr>
    </w:p>
    <w:p w:rsidR="004F47BB" w:rsidRPr="004F47BB" w:rsidRDefault="004F47BB" w:rsidP="004F47BB">
      <w:pPr>
        <w:autoSpaceDE/>
        <w:autoSpaceDN/>
        <w:spacing w:before="60"/>
        <w:ind w:left="709" w:firstLine="0"/>
        <w:rPr>
          <w:rFonts w:cs="Arial"/>
          <w:b/>
          <w:bCs/>
          <w:szCs w:val="20"/>
        </w:rPr>
      </w:pPr>
    </w:p>
    <w:p w:rsidR="004F47BB" w:rsidRPr="004F47BB" w:rsidRDefault="004F47BB" w:rsidP="004F47BB">
      <w:pPr>
        <w:tabs>
          <w:tab w:val="left" w:pos="567"/>
        </w:tabs>
        <w:autoSpaceDE/>
        <w:autoSpaceDN/>
        <w:spacing w:before="60"/>
        <w:ind w:left="567" w:hanging="567"/>
        <w:rPr>
          <w:rFonts w:cs="Arial"/>
          <w:b/>
          <w:bCs/>
          <w:szCs w:val="20"/>
        </w:rPr>
      </w:pPr>
      <w:r w:rsidRPr="004F47BB">
        <w:rPr>
          <w:rFonts w:cs="Arial"/>
          <w:b/>
          <w:bCs/>
          <w:szCs w:val="20"/>
        </w:rPr>
        <w:t>F.2</w:t>
      </w:r>
      <w:r w:rsidRPr="004F47BB">
        <w:rPr>
          <w:rFonts w:cs="Arial"/>
          <w:b/>
          <w:bCs/>
          <w:szCs w:val="20"/>
        </w:rPr>
        <w:tab/>
        <w:t>Measurement results</w:t>
      </w:r>
    </w:p>
    <w:p w:rsidR="004F47BB" w:rsidRPr="004F47BB" w:rsidRDefault="004F47BB" w:rsidP="004F47BB">
      <w:pPr>
        <w:tabs>
          <w:tab w:val="left" w:pos="567"/>
          <w:tab w:val="left" w:pos="1418"/>
        </w:tabs>
        <w:autoSpaceDE/>
        <w:autoSpaceDN/>
        <w:spacing w:before="60"/>
        <w:ind w:left="567" w:firstLine="0"/>
        <w:rPr>
          <w:rFonts w:cs="Arial"/>
          <w:b/>
          <w:bCs/>
          <w:szCs w:val="20"/>
          <w:lang w:val="en-US"/>
        </w:rPr>
      </w:pPr>
      <w:r w:rsidRPr="004F47BB">
        <w:rPr>
          <w:rFonts w:cs="Arial"/>
          <w:b/>
          <w:bCs/>
          <w:szCs w:val="20"/>
          <w:lang w:val="en-US"/>
        </w:rPr>
        <w:t>Measurement of air noise emitted from craft:</w:t>
      </w:r>
    </w:p>
    <w:p w:rsidR="004F47BB" w:rsidRPr="004F47BB" w:rsidRDefault="004F47BB" w:rsidP="004F47BB">
      <w:pPr>
        <w:tabs>
          <w:tab w:val="left" w:pos="567"/>
          <w:tab w:val="left" w:pos="1418"/>
        </w:tabs>
        <w:autoSpaceDE/>
        <w:autoSpaceDN/>
        <w:spacing w:before="60"/>
        <w:ind w:left="567" w:firstLine="0"/>
        <w:rPr>
          <w:rFonts w:cs="Arial"/>
          <w:b/>
          <w:bCs/>
          <w:szCs w:val="20"/>
          <w:lang w:val="en-US"/>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3"/>
        <w:gridCol w:w="3123"/>
        <w:gridCol w:w="1134"/>
        <w:gridCol w:w="3742"/>
      </w:tblGrid>
      <w:tr w:rsidR="004F47BB" w:rsidRPr="004F47BB" w:rsidTr="00D45887">
        <w:trPr>
          <w:trHeight w:val="207"/>
        </w:trPr>
        <w:tc>
          <w:tcPr>
            <w:tcW w:w="563" w:type="dxa"/>
            <w:vMerge w:val="restart"/>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Num-ber</w:t>
            </w:r>
          </w:p>
        </w:tc>
        <w:tc>
          <w:tcPr>
            <w:tcW w:w="3123" w:type="dxa"/>
            <w:vMerge w:val="restart"/>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Measurement point</w:t>
            </w:r>
          </w:p>
        </w:tc>
        <w:tc>
          <w:tcPr>
            <w:tcW w:w="1134" w:type="dxa"/>
            <w:vMerge w:val="restart"/>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lang w:val="en-US"/>
              </w:rPr>
            </w:pPr>
            <w:r w:rsidRPr="004F47BB">
              <w:rPr>
                <w:rFonts w:cs="Arial"/>
                <w:sz w:val="16"/>
                <w:szCs w:val="16"/>
                <w:lang w:val="en-US"/>
              </w:rPr>
              <w:t>Measured values in dB(A)</w:t>
            </w:r>
          </w:p>
        </w:tc>
        <w:tc>
          <w:tcPr>
            <w:tcW w:w="3742" w:type="dxa"/>
            <w:vMerge w:val="restart"/>
            <w:tcBorders>
              <w:top w:val="single" w:sz="4" w:space="0" w:color="auto"/>
              <w:left w:val="single" w:sz="4" w:space="0" w:color="auto"/>
              <w:bottom w:val="single" w:sz="4" w:space="0" w:color="auto"/>
              <w:right w:val="single" w:sz="4" w:space="0" w:color="auto"/>
            </w:tcBorders>
          </w:tcPr>
          <w:p w:rsidR="004F47BB" w:rsidRPr="004F47BB" w:rsidRDefault="004F47BB" w:rsidP="004F47BB">
            <w:pPr>
              <w:autoSpaceDE/>
              <w:autoSpaceDN/>
              <w:spacing w:before="60"/>
              <w:ind w:left="0" w:firstLine="0"/>
              <w:jc w:val="center"/>
              <w:rPr>
                <w:rFonts w:cs="Arial"/>
                <w:sz w:val="16"/>
                <w:szCs w:val="16"/>
              </w:rPr>
            </w:pPr>
            <w:r w:rsidRPr="004F47BB">
              <w:rPr>
                <w:rFonts w:cs="Arial"/>
                <w:sz w:val="16"/>
                <w:szCs w:val="16"/>
              </w:rPr>
              <w:t>Observations</w:t>
            </w:r>
          </w:p>
        </w:tc>
      </w:tr>
      <w:tr w:rsidR="004F47BB" w:rsidRPr="004F47BB" w:rsidTr="00D45887">
        <w:trPr>
          <w:trHeight w:val="267"/>
        </w:trPr>
        <w:tc>
          <w:tcPr>
            <w:tcW w:w="563" w:type="dxa"/>
            <w:vMerge/>
            <w:tcBorders>
              <w:top w:val="single" w:sz="4" w:space="0" w:color="auto"/>
              <w:left w:val="single" w:sz="4" w:space="0" w:color="auto"/>
              <w:bottom w:val="single" w:sz="4" w:space="0" w:color="auto"/>
              <w:right w:val="single" w:sz="4" w:space="0" w:color="auto"/>
            </w:tcBorders>
          </w:tcPr>
          <w:p w:rsidR="004F47BB" w:rsidRPr="004F47BB" w:rsidRDefault="004F47BB" w:rsidP="004F47BB">
            <w:pPr>
              <w:tabs>
                <w:tab w:val="left" w:pos="1418"/>
              </w:tabs>
              <w:autoSpaceDE/>
              <w:autoSpaceDN/>
              <w:spacing w:before="60"/>
              <w:ind w:left="0" w:firstLine="0"/>
              <w:rPr>
                <w:rFonts w:cs="Arial"/>
                <w:sz w:val="16"/>
                <w:szCs w:val="16"/>
              </w:rPr>
            </w:pPr>
          </w:p>
        </w:tc>
        <w:tc>
          <w:tcPr>
            <w:tcW w:w="3123" w:type="dxa"/>
            <w:vMerge/>
            <w:tcBorders>
              <w:top w:val="single" w:sz="4" w:space="0" w:color="auto"/>
              <w:left w:val="single" w:sz="4" w:space="0" w:color="auto"/>
              <w:bottom w:val="single" w:sz="4" w:space="0" w:color="auto"/>
              <w:right w:val="single" w:sz="4" w:space="0" w:color="auto"/>
            </w:tcBorders>
          </w:tcPr>
          <w:p w:rsidR="004F47BB" w:rsidRPr="004F47BB" w:rsidRDefault="004F47BB" w:rsidP="004F47BB">
            <w:pPr>
              <w:tabs>
                <w:tab w:val="left" w:pos="1418"/>
              </w:tabs>
              <w:autoSpaceDE/>
              <w:autoSpaceDN/>
              <w:spacing w:before="60"/>
              <w:ind w:left="0" w:firstLine="0"/>
              <w:rPr>
                <w:rFonts w:cs="Arial"/>
                <w:sz w:val="16"/>
                <w:szCs w:val="16"/>
              </w:rPr>
            </w:pPr>
          </w:p>
        </w:tc>
        <w:tc>
          <w:tcPr>
            <w:tcW w:w="1134" w:type="dxa"/>
            <w:vMerge/>
            <w:tcBorders>
              <w:top w:val="single" w:sz="4" w:space="0" w:color="auto"/>
              <w:left w:val="single" w:sz="4" w:space="0" w:color="auto"/>
              <w:bottom w:val="single" w:sz="4" w:space="0" w:color="auto"/>
              <w:right w:val="single" w:sz="4" w:space="0" w:color="auto"/>
            </w:tcBorders>
          </w:tcPr>
          <w:p w:rsidR="004F47BB" w:rsidRPr="004F47BB" w:rsidRDefault="004F47BB" w:rsidP="004F47BB">
            <w:pPr>
              <w:tabs>
                <w:tab w:val="left" w:pos="1418"/>
              </w:tabs>
              <w:autoSpaceDE/>
              <w:autoSpaceDN/>
              <w:spacing w:before="60"/>
              <w:ind w:left="0" w:firstLine="0"/>
              <w:jc w:val="center"/>
              <w:rPr>
                <w:rFonts w:cs="Arial"/>
                <w:sz w:val="16"/>
                <w:szCs w:val="16"/>
              </w:rPr>
            </w:pPr>
          </w:p>
        </w:tc>
        <w:tc>
          <w:tcPr>
            <w:tcW w:w="3742" w:type="dxa"/>
            <w:vMerge/>
            <w:tcBorders>
              <w:top w:val="single" w:sz="4" w:space="0" w:color="auto"/>
              <w:left w:val="single" w:sz="4" w:space="0" w:color="auto"/>
              <w:bottom w:val="single" w:sz="4" w:space="0" w:color="auto"/>
              <w:right w:val="single" w:sz="4" w:space="0" w:color="auto"/>
            </w:tcBorders>
          </w:tcPr>
          <w:p w:rsidR="004F47BB" w:rsidRPr="004F47BB" w:rsidRDefault="004F47BB" w:rsidP="004F47BB">
            <w:pPr>
              <w:tabs>
                <w:tab w:val="left" w:pos="1418"/>
              </w:tabs>
              <w:autoSpaceDE/>
              <w:autoSpaceDN/>
              <w:spacing w:before="60"/>
              <w:ind w:left="0" w:firstLine="0"/>
              <w:rPr>
                <w:rFonts w:cs="Arial"/>
                <w:sz w:val="16"/>
                <w:szCs w:val="16"/>
              </w:rPr>
            </w:pPr>
          </w:p>
        </w:tc>
      </w:tr>
      <w:tr w:rsidR="004F47BB" w:rsidRPr="004F47BB" w:rsidTr="00D45887">
        <w:trPr>
          <w:trHeight w:val="397"/>
        </w:trPr>
        <w:tc>
          <w:tcPr>
            <w:tcW w:w="563"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tabs>
                <w:tab w:val="left" w:pos="1418"/>
              </w:tabs>
              <w:autoSpaceDE/>
              <w:autoSpaceDN/>
              <w:spacing w:before="60"/>
              <w:ind w:left="0" w:firstLine="0"/>
              <w:rPr>
                <w:rFonts w:cs="Arial"/>
                <w:sz w:val="16"/>
                <w:szCs w:val="16"/>
              </w:rPr>
            </w:pPr>
          </w:p>
        </w:tc>
        <w:tc>
          <w:tcPr>
            <w:tcW w:w="3123"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tabs>
                <w:tab w:val="left" w:pos="1418"/>
              </w:tabs>
              <w:autoSpaceDE/>
              <w:autoSpaceDN/>
              <w:spacing w:before="60"/>
              <w:ind w:left="0" w:firstLine="0"/>
              <w:rPr>
                <w:rFonts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tabs>
                <w:tab w:val="left" w:pos="1418"/>
              </w:tabs>
              <w:autoSpaceDE/>
              <w:autoSpaceDN/>
              <w:spacing w:before="60"/>
              <w:ind w:left="0" w:firstLine="0"/>
              <w:jc w:val="center"/>
              <w:rPr>
                <w:rFonts w:cs="Arial"/>
                <w:sz w:val="16"/>
                <w:szCs w:val="16"/>
              </w:rPr>
            </w:pPr>
          </w:p>
        </w:tc>
        <w:tc>
          <w:tcPr>
            <w:tcW w:w="374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tabs>
                <w:tab w:val="left" w:pos="1418"/>
              </w:tabs>
              <w:autoSpaceDE/>
              <w:autoSpaceDN/>
              <w:spacing w:before="60"/>
              <w:ind w:left="0" w:firstLine="0"/>
              <w:rPr>
                <w:rFonts w:cs="Arial"/>
                <w:sz w:val="16"/>
                <w:szCs w:val="16"/>
              </w:rPr>
            </w:pPr>
          </w:p>
        </w:tc>
      </w:tr>
      <w:tr w:rsidR="004F47BB" w:rsidRPr="004F47BB" w:rsidTr="00D45887">
        <w:trPr>
          <w:trHeight w:val="397"/>
        </w:trPr>
        <w:tc>
          <w:tcPr>
            <w:tcW w:w="563"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tabs>
                <w:tab w:val="left" w:pos="1418"/>
              </w:tabs>
              <w:autoSpaceDE/>
              <w:autoSpaceDN/>
              <w:spacing w:before="60"/>
              <w:ind w:left="0" w:firstLine="0"/>
              <w:rPr>
                <w:rFonts w:cs="Arial"/>
                <w:sz w:val="16"/>
                <w:szCs w:val="16"/>
              </w:rPr>
            </w:pPr>
          </w:p>
        </w:tc>
        <w:tc>
          <w:tcPr>
            <w:tcW w:w="3123"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tabs>
                <w:tab w:val="left" w:pos="1418"/>
              </w:tabs>
              <w:autoSpaceDE/>
              <w:autoSpaceDN/>
              <w:spacing w:before="60"/>
              <w:ind w:left="0" w:firstLine="0"/>
              <w:rPr>
                <w:rFonts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tabs>
                <w:tab w:val="left" w:pos="1418"/>
              </w:tabs>
              <w:autoSpaceDE/>
              <w:autoSpaceDN/>
              <w:spacing w:before="60"/>
              <w:ind w:left="0" w:firstLine="0"/>
              <w:jc w:val="center"/>
              <w:rPr>
                <w:rFonts w:cs="Arial"/>
                <w:sz w:val="16"/>
                <w:szCs w:val="16"/>
              </w:rPr>
            </w:pPr>
          </w:p>
        </w:tc>
        <w:tc>
          <w:tcPr>
            <w:tcW w:w="374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tabs>
                <w:tab w:val="left" w:pos="1418"/>
              </w:tabs>
              <w:autoSpaceDE/>
              <w:autoSpaceDN/>
              <w:spacing w:before="60"/>
              <w:ind w:left="0" w:firstLine="0"/>
              <w:rPr>
                <w:rFonts w:cs="Arial"/>
                <w:sz w:val="16"/>
                <w:szCs w:val="16"/>
              </w:rPr>
            </w:pPr>
          </w:p>
        </w:tc>
      </w:tr>
      <w:tr w:rsidR="004F47BB" w:rsidRPr="004F47BB" w:rsidTr="00D45887">
        <w:trPr>
          <w:trHeight w:val="397"/>
        </w:trPr>
        <w:tc>
          <w:tcPr>
            <w:tcW w:w="563"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tabs>
                <w:tab w:val="left" w:pos="1418"/>
              </w:tabs>
              <w:autoSpaceDE/>
              <w:autoSpaceDN/>
              <w:spacing w:before="60"/>
              <w:ind w:left="0" w:firstLine="0"/>
              <w:rPr>
                <w:rFonts w:cs="Arial"/>
                <w:sz w:val="16"/>
                <w:szCs w:val="16"/>
              </w:rPr>
            </w:pPr>
          </w:p>
        </w:tc>
        <w:tc>
          <w:tcPr>
            <w:tcW w:w="3123"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tabs>
                <w:tab w:val="left" w:pos="1418"/>
              </w:tabs>
              <w:autoSpaceDE/>
              <w:autoSpaceDN/>
              <w:spacing w:before="60"/>
              <w:ind w:left="0" w:firstLine="0"/>
              <w:rPr>
                <w:rFonts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tabs>
                <w:tab w:val="left" w:pos="1418"/>
              </w:tabs>
              <w:autoSpaceDE/>
              <w:autoSpaceDN/>
              <w:spacing w:before="60"/>
              <w:ind w:left="0" w:firstLine="0"/>
              <w:jc w:val="center"/>
              <w:rPr>
                <w:rFonts w:cs="Arial"/>
                <w:sz w:val="16"/>
                <w:szCs w:val="16"/>
              </w:rPr>
            </w:pPr>
          </w:p>
        </w:tc>
        <w:tc>
          <w:tcPr>
            <w:tcW w:w="3742" w:type="dxa"/>
            <w:tcBorders>
              <w:top w:val="single" w:sz="4" w:space="0" w:color="auto"/>
              <w:left w:val="single" w:sz="4" w:space="0" w:color="auto"/>
              <w:bottom w:val="single" w:sz="4" w:space="0" w:color="auto"/>
              <w:right w:val="single" w:sz="4" w:space="0" w:color="auto"/>
            </w:tcBorders>
          </w:tcPr>
          <w:p w:rsidR="004F47BB" w:rsidRPr="004F47BB" w:rsidRDefault="004F47BB" w:rsidP="004F47BB">
            <w:pPr>
              <w:tabs>
                <w:tab w:val="left" w:pos="1418"/>
              </w:tabs>
              <w:autoSpaceDE/>
              <w:autoSpaceDN/>
              <w:spacing w:before="60"/>
              <w:ind w:left="0" w:firstLine="0"/>
              <w:rPr>
                <w:rFonts w:cs="Arial"/>
                <w:sz w:val="16"/>
                <w:szCs w:val="16"/>
              </w:rPr>
            </w:pPr>
          </w:p>
        </w:tc>
      </w:tr>
    </w:tbl>
    <w:p w:rsidR="004F47BB" w:rsidRPr="004F47BB" w:rsidRDefault="004F47BB" w:rsidP="004F47BB">
      <w:pPr>
        <w:tabs>
          <w:tab w:val="left" w:pos="1418"/>
        </w:tabs>
        <w:autoSpaceDE/>
        <w:autoSpaceDN/>
        <w:spacing w:before="60"/>
        <w:ind w:left="0" w:firstLine="0"/>
        <w:rPr>
          <w:rFonts w:cs="Arial"/>
          <w:szCs w:val="22"/>
        </w:rPr>
      </w:pPr>
    </w:p>
    <w:p w:rsidR="004F47BB" w:rsidRDefault="004F47BB" w:rsidP="004F47BB">
      <w:pPr>
        <w:tabs>
          <w:tab w:val="left" w:pos="284"/>
        </w:tabs>
        <w:autoSpaceDE/>
        <w:autoSpaceDN/>
        <w:ind w:left="0" w:firstLine="0"/>
        <w:rPr>
          <w:rFonts w:cs="Arial"/>
        </w:rPr>
      </w:pPr>
    </w:p>
    <w:p w:rsidR="005B46C9" w:rsidRDefault="005B46C9" w:rsidP="004F47BB">
      <w:pPr>
        <w:tabs>
          <w:tab w:val="left" w:pos="284"/>
        </w:tabs>
        <w:autoSpaceDE/>
        <w:autoSpaceDN/>
        <w:ind w:left="0" w:firstLine="0"/>
        <w:rPr>
          <w:rFonts w:cs="Arial"/>
        </w:rPr>
        <w:sectPr w:rsidR="005B46C9" w:rsidSect="00D45887">
          <w:headerReference w:type="default" r:id="rId138"/>
          <w:footnotePr>
            <w:numRestart w:val="eachPage"/>
          </w:footnotePr>
          <w:pgSz w:w="11907" w:h="16840" w:code="9"/>
          <w:pgMar w:top="1418" w:right="1418" w:bottom="1418" w:left="1418" w:header="680" w:footer="680" w:gutter="0"/>
          <w:cols w:space="720"/>
          <w:docGrid w:linePitch="326"/>
        </w:sectPr>
      </w:pPr>
    </w:p>
    <w:p w:rsidR="004F47BB" w:rsidRPr="004F47BB" w:rsidRDefault="004F47BB" w:rsidP="005B46C9">
      <w:pPr>
        <w:pStyle w:val="ES-Titre2ESI"/>
      </w:pPr>
      <w:bookmarkStart w:id="396" w:name="_Toc491854355"/>
      <w:r w:rsidRPr="004F47BB">
        <w:lastRenderedPageBreak/>
        <w:t>ESI-II-6</w:t>
      </w:r>
      <w:r w:rsidRPr="004F47BB">
        <w:br/>
        <w:t>Appropriate auxiliary means for observing the area of obstructed vision</w:t>
      </w:r>
      <w:bookmarkEnd w:id="396"/>
    </w:p>
    <w:p w:rsidR="004F47BB" w:rsidRPr="004F47BB" w:rsidRDefault="004F47BB" w:rsidP="005B46C9">
      <w:pPr>
        <w:pStyle w:val="ESch"/>
        <w:rPr>
          <w:lang w:val="en-US"/>
        </w:rPr>
      </w:pPr>
    </w:p>
    <w:p w:rsidR="004F47BB" w:rsidRPr="004F47BB" w:rsidRDefault="004F47BB" w:rsidP="004F47BB">
      <w:pPr>
        <w:tabs>
          <w:tab w:val="center" w:pos="4513"/>
        </w:tabs>
        <w:overflowPunct w:val="0"/>
        <w:adjustRightInd w:val="0"/>
        <w:ind w:left="0" w:firstLine="0"/>
        <w:jc w:val="center"/>
        <w:textAlignment w:val="baseline"/>
        <w:rPr>
          <w:b/>
          <w:szCs w:val="20"/>
          <w:lang w:val="en-US"/>
        </w:rPr>
      </w:pPr>
      <w:r w:rsidRPr="004F47BB">
        <w:rPr>
          <w:b/>
          <w:szCs w:val="20"/>
          <w:lang w:val="en-US"/>
        </w:rPr>
        <w:t>(Article 7.02)</w:t>
      </w:r>
    </w:p>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ind w:left="0" w:firstLine="0"/>
        <w:textAlignment w:val="baseline"/>
        <w:rPr>
          <w:szCs w:val="20"/>
          <w:lang w:val="en-US"/>
        </w:rPr>
      </w:pPr>
    </w:p>
    <w:p w:rsidR="004F47BB" w:rsidRPr="004F47BB" w:rsidRDefault="004F47BB" w:rsidP="004F47BB">
      <w:pPr>
        <w:widowControl w:val="0"/>
        <w:autoSpaceDE/>
        <w:autoSpaceDN/>
        <w:spacing w:line="240" w:lineRule="atLeast"/>
        <w:ind w:left="567" w:hanging="567"/>
        <w:rPr>
          <w:rFonts w:cs="Arial"/>
          <w:b/>
          <w:szCs w:val="20"/>
          <w:lang w:val="en-GB" w:eastAsia="en-GB"/>
        </w:rPr>
      </w:pPr>
      <w:r w:rsidRPr="004F47BB">
        <w:rPr>
          <w:b/>
          <w:szCs w:val="20"/>
          <w:lang w:val="en-GB" w:eastAsia="en-GB"/>
        </w:rPr>
        <w:t>1.</w:t>
      </w:r>
      <w:r w:rsidRPr="004F47BB">
        <w:rPr>
          <w:b/>
          <w:szCs w:val="20"/>
          <w:lang w:val="en-GB" w:eastAsia="en-GB"/>
        </w:rPr>
        <w:tab/>
        <w:t>Introduction</w:t>
      </w:r>
    </w:p>
    <w:p w:rsidR="004F47BB" w:rsidRPr="004F47BB" w:rsidRDefault="004F47BB" w:rsidP="004F47BB">
      <w:pPr>
        <w:widowControl w:val="0"/>
        <w:autoSpaceDE/>
        <w:autoSpaceDN/>
        <w:spacing w:line="240" w:lineRule="atLeast"/>
        <w:ind w:left="0" w:firstLine="0"/>
        <w:rPr>
          <w:rFonts w:cs="Arial"/>
          <w:szCs w:val="20"/>
          <w:lang w:val="en-GB" w:eastAsia="en-GB"/>
        </w:rPr>
      </w:pPr>
    </w:p>
    <w:p w:rsidR="004F47BB" w:rsidRPr="004F47BB" w:rsidRDefault="004F47BB" w:rsidP="004F47BB">
      <w:pPr>
        <w:widowControl w:val="0"/>
        <w:autoSpaceDE/>
        <w:autoSpaceDN/>
        <w:spacing w:line="240" w:lineRule="atLeast"/>
        <w:ind w:left="567" w:firstLine="0"/>
        <w:rPr>
          <w:rFonts w:cs="Arial"/>
          <w:szCs w:val="20"/>
          <w:lang w:val="en-GB" w:eastAsia="en-GB"/>
        </w:rPr>
      </w:pPr>
      <w:r w:rsidRPr="004F47BB">
        <w:rPr>
          <w:szCs w:val="20"/>
          <w:lang w:val="en-GB" w:eastAsia="en-GB"/>
        </w:rPr>
        <w:t>For a number of reasons, whether as a result of the vessel’s construction or the cargo, unobstructed all-round vision from the wheelhouse is unavoidably restricted to a greater or lesser degree. The restrictions affect sectors in the horizontal plane (angle of azimuth between 0 and 360° relative to the forward axis of the vessel and in the vertical plane (angle of elevation between -90 and + 90°, relative to the horizontal plane at the eye level of the helmsman).</w:t>
      </w:r>
    </w:p>
    <w:p w:rsidR="004F47BB" w:rsidRPr="004F47BB" w:rsidRDefault="004F47BB" w:rsidP="004F47BB">
      <w:pPr>
        <w:widowControl w:val="0"/>
        <w:autoSpaceDE/>
        <w:autoSpaceDN/>
        <w:spacing w:line="240" w:lineRule="atLeast"/>
        <w:ind w:left="567" w:firstLine="0"/>
        <w:rPr>
          <w:rFonts w:cs="Arial"/>
          <w:szCs w:val="20"/>
          <w:lang w:val="en-GB" w:eastAsia="en-GB"/>
        </w:rPr>
      </w:pPr>
      <w:r w:rsidRPr="004F47BB">
        <w:rPr>
          <w:szCs w:val="20"/>
          <w:lang w:val="en-GB" w:eastAsia="en-GB"/>
        </w:rPr>
        <w:t>Depending on whether people are embarking or disembarking, whether the vessel is docking or casting off, whether it is manoeuvring or underway, the helmsman needs to be able to see different sectors of his field of vision. For example, before casting off it is important to be able to check whether there is anyone remaining on the side deck or whether the area immediately abaft the stern is clear. While underway a higher priority is accorded to being able to see the area in front of the vessel owing to the rapidly changing position of one’s own vessel in forward motion.</w:t>
      </w:r>
    </w:p>
    <w:p w:rsidR="004F47BB" w:rsidRPr="004F47BB" w:rsidRDefault="004F47BB" w:rsidP="004F47BB">
      <w:pPr>
        <w:widowControl w:val="0"/>
        <w:autoSpaceDE/>
        <w:autoSpaceDN/>
        <w:spacing w:line="240" w:lineRule="atLeast"/>
        <w:ind w:left="0" w:firstLine="0"/>
        <w:rPr>
          <w:rFonts w:cs="Arial"/>
          <w:szCs w:val="20"/>
          <w:lang w:val="en-GB" w:eastAsia="en-GB"/>
        </w:rPr>
      </w:pPr>
    </w:p>
    <w:p w:rsidR="004F47BB" w:rsidRPr="004F47BB" w:rsidRDefault="004F47BB" w:rsidP="004F47BB">
      <w:pPr>
        <w:widowControl w:val="0"/>
        <w:autoSpaceDE/>
        <w:autoSpaceDN/>
        <w:spacing w:line="240" w:lineRule="atLeast"/>
        <w:ind w:left="567" w:firstLine="0"/>
        <w:rPr>
          <w:rFonts w:cs="Arial"/>
          <w:szCs w:val="20"/>
          <w:lang w:val="en-GB" w:eastAsia="en-GB"/>
        </w:rPr>
      </w:pPr>
      <w:r w:rsidRPr="004F47BB">
        <w:rPr>
          <w:szCs w:val="20"/>
          <w:lang w:val="en-GB" w:eastAsia="en-GB"/>
        </w:rPr>
        <w:t>Technical auxiliary means afford an indirect view of sectors that cannot be seen directly. Although many of their capabilities surpass those of the human eye, they are not a complete substitute for a direct view. Nevertheless, they are sometimes also used as a supplement in sectors that can be seen directly.</w:t>
      </w:r>
    </w:p>
    <w:p w:rsidR="004F47BB" w:rsidRPr="004F47BB" w:rsidRDefault="004F47BB" w:rsidP="004F47BB">
      <w:pPr>
        <w:widowControl w:val="0"/>
        <w:autoSpaceDE/>
        <w:autoSpaceDN/>
        <w:spacing w:line="240" w:lineRule="atLeast"/>
        <w:ind w:left="567" w:firstLine="0"/>
        <w:rPr>
          <w:rFonts w:cs="Arial"/>
          <w:szCs w:val="20"/>
          <w:lang w:val="en-GB" w:eastAsia="en-GB"/>
        </w:rPr>
      </w:pPr>
    </w:p>
    <w:p w:rsidR="004F47BB" w:rsidRPr="004F47BB" w:rsidRDefault="004F47BB" w:rsidP="004F47BB">
      <w:pPr>
        <w:widowControl w:val="0"/>
        <w:autoSpaceDE/>
        <w:autoSpaceDN/>
        <w:spacing w:line="240" w:lineRule="atLeast"/>
        <w:ind w:left="567" w:firstLine="0"/>
        <w:rPr>
          <w:rFonts w:cs="Arial"/>
          <w:szCs w:val="20"/>
          <w:lang w:val="en-GB" w:eastAsia="en-GB"/>
        </w:rPr>
      </w:pPr>
      <w:r w:rsidRPr="004F47BB">
        <w:rPr>
          <w:szCs w:val="20"/>
          <w:lang w:val="en-GB" w:eastAsia="en-GB"/>
        </w:rPr>
        <w:t>Concerning the required information on areas of obstructed vision, it is necessary to differentiate whether the information of interest is purely the presence of an object, its visual characteristics (silhouette, colour) or its identity, or whether it is important from a navigational perspective to determine an object’s range, course and speed. This question influences the selection of the type of technical auxiliary means.</w:t>
      </w:r>
    </w:p>
    <w:p w:rsidR="004F47BB" w:rsidRPr="004F47BB" w:rsidRDefault="004F47BB" w:rsidP="004F47BB">
      <w:pPr>
        <w:widowControl w:val="0"/>
        <w:autoSpaceDE/>
        <w:autoSpaceDN/>
        <w:spacing w:line="240" w:lineRule="atLeast"/>
        <w:ind w:left="0" w:firstLine="0"/>
        <w:rPr>
          <w:rFonts w:cs="Arial"/>
          <w:szCs w:val="20"/>
          <w:lang w:val="en-GB" w:eastAsia="en-GB"/>
        </w:rPr>
      </w:pPr>
    </w:p>
    <w:p w:rsidR="004F47BB" w:rsidRPr="004F47BB" w:rsidRDefault="004F47BB" w:rsidP="004F47BB">
      <w:pPr>
        <w:widowControl w:val="0"/>
        <w:autoSpaceDE/>
        <w:autoSpaceDN/>
        <w:spacing w:line="240" w:lineRule="atLeast"/>
        <w:ind w:left="567" w:firstLine="0"/>
        <w:rPr>
          <w:rFonts w:cs="Arial"/>
          <w:szCs w:val="20"/>
          <w:lang w:val="en-GB" w:eastAsia="en-GB"/>
        </w:rPr>
      </w:pPr>
      <w:r w:rsidRPr="004F47BB">
        <w:rPr>
          <w:szCs w:val="20"/>
          <w:lang w:val="en-GB" w:eastAsia="en-GB"/>
        </w:rPr>
        <w:t>Given the lower purchase and installation cost, superior performance, versatility and customisation potential of video systems compared with periscopes, periscopes are eliminated as technical auxiliary means.</w:t>
      </w:r>
    </w:p>
    <w:p w:rsidR="004F47BB" w:rsidRPr="004F47BB" w:rsidRDefault="004F47BB" w:rsidP="004F47BB">
      <w:pPr>
        <w:widowControl w:val="0"/>
        <w:autoSpaceDE/>
        <w:autoSpaceDN/>
        <w:spacing w:line="240" w:lineRule="atLeast"/>
        <w:ind w:left="0" w:firstLine="0"/>
        <w:rPr>
          <w:rFonts w:cs="Arial"/>
          <w:szCs w:val="20"/>
          <w:lang w:val="en-GB" w:eastAsia="en-GB"/>
        </w:rPr>
      </w:pPr>
    </w:p>
    <w:p w:rsidR="004F47BB" w:rsidRPr="004F47BB" w:rsidRDefault="004F47BB" w:rsidP="004F47BB">
      <w:pPr>
        <w:widowControl w:val="0"/>
        <w:autoSpaceDE/>
        <w:autoSpaceDN/>
        <w:spacing w:line="240" w:lineRule="atLeast"/>
        <w:ind w:left="567" w:hanging="567"/>
        <w:rPr>
          <w:rFonts w:cs="Arial"/>
          <w:b/>
          <w:szCs w:val="20"/>
          <w:lang w:val="en-GB" w:eastAsia="en-GB"/>
        </w:rPr>
      </w:pPr>
      <w:r w:rsidRPr="004F47BB">
        <w:rPr>
          <w:b/>
          <w:szCs w:val="20"/>
          <w:lang w:val="en-GB" w:eastAsia="en-GB"/>
        </w:rPr>
        <w:t>2.</w:t>
      </w:r>
      <w:r w:rsidRPr="004F47BB">
        <w:rPr>
          <w:b/>
          <w:szCs w:val="20"/>
          <w:lang w:val="en-GB" w:eastAsia="en-GB"/>
        </w:rPr>
        <w:tab/>
        <w:t>Overview of appropriate auxiliary means</w:t>
      </w:r>
    </w:p>
    <w:p w:rsidR="004F47BB" w:rsidRPr="004F47BB" w:rsidRDefault="004F47BB" w:rsidP="004F47BB">
      <w:pPr>
        <w:widowControl w:val="0"/>
        <w:autoSpaceDE/>
        <w:autoSpaceDN/>
        <w:spacing w:line="240" w:lineRule="atLeast"/>
        <w:ind w:left="0" w:firstLine="0"/>
        <w:rPr>
          <w:rFonts w:cs="Arial"/>
          <w:szCs w:val="20"/>
          <w:lang w:val="en-GB" w:eastAsia="en-GB"/>
        </w:rPr>
      </w:pPr>
    </w:p>
    <w:p w:rsidR="004F47BB" w:rsidRPr="004F47BB" w:rsidRDefault="004F47BB" w:rsidP="004F47BB">
      <w:pPr>
        <w:widowControl w:val="0"/>
        <w:autoSpaceDE/>
        <w:autoSpaceDN/>
        <w:spacing w:line="240" w:lineRule="atLeast"/>
        <w:ind w:left="567" w:firstLine="0"/>
        <w:rPr>
          <w:rFonts w:cs="Arial"/>
          <w:szCs w:val="20"/>
          <w:lang w:val="en-GB" w:eastAsia="en-GB"/>
        </w:rPr>
      </w:pPr>
      <w:r w:rsidRPr="004F47BB">
        <w:rPr>
          <w:szCs w:val="20"/>
          <w:lang w:val="en-GB" w:eastAsia="en-GB"/>
        </w:rPr>
        <w:t xml:space="preserve">The following auxiliary means are fundamentally suited to observing areas of obstructed vision: </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w:t>
      </w:r>
      <w:r w:rsidRPr="004F47BB">
        <w:rPr>
          <w:szCs w:val="20"/>
          <w:lang w:val="en-GB" w:eastAsia="en-GB"/>
        </w:rPr>
        <w:tab/>
        <w:t>mirrors,</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w:t>
      </w:r>
      <w:r w:rsidRPr="004F47BB">
        <w:rPr>
          <w:szCs w:val="20"/>
          <w:lang w:val="en-GB" w:eastAsia="en-GB"/>
        </w:rPr>
        <w:tab/>
        <w:t>video systems and</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w:t>
      </w:r>
      <w:r w:rsidRPr="004F47BB">
        <w:rPr>
          <w:szCs w:val="20"/>
          <w:lang w:val="en-GB" w:eastAsia="en-GB"/>
        </w:rPr>
        <w:tab/>
        <w:t>radar systems.</w:t>
      </w:r>
    </w:p>
    <w:p w:rsidR="004F47BB" w:rsidRPr="004F47BB" w:rsidRDefault="004F47BB" w:rsidP="004F47BB">
      <w:pPr>
        <w:widowControl w:val="0"/>
        <w:autoSpaceDE/>
        <w:autoSpaceDN/>
        <w:spacing w:line="240" w:lineRule="atLeast"/>
        <w:ind w:left="567" w:hanging="27"/>
        <w:rPr>
          <w:rFonts w:cs="Arial"/>
          <w:b/>
          <w:bCs/>
          <w:szCs w:val="20"/>
          <w:lang w:val="en-GB" w:eastAsia="en-GB"/>
        </w:rPr>
      </w:pPr>
    </w:p>
    <w:p w:rsidR="004F47BB" w:rsidRPr="004F47BB" w:rsidRDefault="004F47BB" w:rsidP="004F47BB">
      <w:pPr>
        <w:widowControl w:val="0"/>
        <w:autoSpaceDE/>
        <w:autoSpaceDN/>
        <w:spacing w:line="240" w:lineRule="atLeast"/>
        <w:ind w:left="567" w:firstLine="0"/>
        <w:rPr>
          <w:rFonts w:cs="Arial"/>
          <w:szCs w:val="20"/>
          <w:lang w:val="en-GB" w:eastAsia="en-GB"/>
        </w:rPr>
      </w:pPr>
      <w:r w:rsidRPr="004F47BB">
        <w:rPr>
          <w:szCs w:val="20"/>
          <w:lang w:val="en-GB" w:eastAsia="en-GB"/>
        </w:rPr>
        <w:t>Auxiliary means that satisfy Part 4 of this administrative instruction are suitable for observing areas of obstructed vision provided they comply with the specific conditions of use. The inspection commission will only permit other auxiliary means if it is of the view that they provide a comparable degree of safety.</w:t>
      </w:r>
    </w:p>
    <w:p w:rsidR="004F47BB" w:rsidRPr="004F47BB" w:rsidRDefault="004F47BB" w:rsidP="004F47BB">
      <w:pPr>
        <w:widowControl w:val="0"/>
        <w:autoSpaceDE/>
        <w:autoSpaceDN/>
        <w:spacing w:line="240" w:lineRule="atLeast"/>
        <w:ind w:left="567" w:firstLine="0"/>
        <w:jc w:val="left"/>
        <w:rPr>
          <w:rFonts w:cs="Arial"/>
          <w:szCs w:val="20"/>
          <w:lang w:val="en-GB" w:eastAsia="en-GB"/>
        </w:rPr>
      </w:pPr>
    </w:p>
    <w:p w:rsidR="004F47BB" w:rsidRPr="004F47BB" w:rsidRDefault="004F47BB" w:rsidP="004F47BB">
      <w:pPr>
        <w:widowControl w:val="0"/>
        <w:autoSpaceDE/>
        <w:autoSpaceDN/>
        <w:spacing w:line="240" w:lineRule="atLeast"/>
        <w:ind w:left="0" w:firstLine="0"/>
        <w:rPr>
          <w:rFonts w:cs="Arial"/>
          <w:b/>
          <w:bCs/>
          <w:szCs w:val="20"/>
          <w:lang w:val="en-GB" w:eastAsia="en-GB"/>
        </w:rPr>
      </w:pPr>
    </w:p>
    <w:p w:rsidR="004F47BB" w:rsidRPr="004F47BB" w:rsidRDefault="004F47BB" w:rsidP="004F47BB">
      <w:pPr>
        <w:autoSpaceDE/>
        <w:autoSpaceDN/>
        <w:ind w:left="0" w:firstLine="0"/>
        <w:jc w:val="left"/>
        <w:rPr>
          <w:b/>
          <w:szCs w:val="20"/>
          <w:lang w:val="en-GB" w:eastAsia="en-GB"/>
        </w:rPr>
      </w:pPr>
      <w:r w:rsidRPr="004F47BB">
        <w:rPr>
          <w:b/>
          <w:szCs w:val="20"/>
          <w:lang w:val="en-GB" w:eastAsia="en-GB"/>
        </w:rPr>
        <w:br w:type="page"/>
      </w:r>
    </w:p>
    <w:p w:rsidR="004F47BB" w:rsidRPr="004F47BB" w:rsidRDefault="004F47BB" w:rsidP="004F47BB">
      <w:pPr>
        <w:widowControl w:val="0"/>
        <w:autoSpaceDE/>
        <w:autoSpaceDN/>
        <w:spacing w:line="250" w:lineRule="atLeast"/>
        <w:ind w:left="567" w:hanging="567"/>
        <w:rPr>
          <w:b/>
          <w:szCs w:val="20"/>
          <w:lang w:val="en-GB" w:eastAsia="en-GB"/>
        </w:rPr>
      </w:pPr>
    </w:p>
    <w:p w:rsidR="004F47BB" w:rsidRPr="004F47BB" w:rsidRDefault="004F47BB" w:rsidP="004F47BB">
      <w:pPr>
        <w:widowControl w:val="0"/>
        <w:autoSpaceDE/>
        <w:autoSpaceDN/>
        <w:spacing w:line="250" w:lineRule="atLeast"/>
        <w:ind w:left="567" w:hanging="567"/>
        <w:rPr>
          <w:rFonts w:cs="Arial"/>
          <w:b/>
          <w:bCs/>
          <w:szCs w:val="20"/>
          <w:lang w:val="en-GB" w:eastAsia="en-GB"/>
        </w:rPr>
      </w:pPr>
      <w:r w:rsidRPr="004F47BB">
        <w:rPr>
          <w:b/>
          <w:szCs w:val="20"/>
          <w:lang w:val="en-GB" w:eastAsia="en-GB"/>
        </w:rPr>
        <w:t>3.</w:t>
      </w:r>
      <w:r w:rsidRPr="004F47BB">
        <w:rPr>
          <w:b/>
          <w:szCs w:val="20"/>
          <w:lang w:val="en-GB" w:eastAsia="en-GB"/>
        </w:rPr>
        <w:tab/>
        <w:t>Characteristics of technical auxiliary means</w:t>
      </w:r>
    </w:p>
    <w:p w:rsidR="004F47BB" w:rsidRPr="004F47BB" w:rsidRDefault="004F47BB" w:rsidP="004F47BB">
      <w:pPr>
        <w:widowControl w:val="0"/>
        <w:autoSpaceDE/>
        <w:autoSpaceDN/>
        <w:spacing w:line="250" w:lineRule="atLeast"/>
        <w:ind w:left="567" w:hanging="567"/>
        <w:rPr>
          <w:rFonts w:cs="Arial"/>
          <w:b/>
          <w:bCs/>
          <w:szCs w:val="20"/>
          <w:lang w:val="en-GB" w:eastAsia="en-GB"/>
        </w:rPr>
      </w:pPr>
    </w:p>
    <w:p w:rsidR="004F47BB" w:rsidRPr="004F47BB" w:rsidRDefault="004F47BB" w:rsidP="004F47BB">
      <w:pPr>
        <w:widowControl w:val="0"/>
        <w:autoSpaceDE/>
        <w:autoSpaceDN/>
        <w:spacing w:line="250" w:lineRule="atLeast"/>
        <w:ind w:left="567" w:hanging="567"/>
        <w:rPr>
          <w:rFonts w:cs="Arial"/>
          <w:b/>
          <w:bCs/>
          <w:szCs w:val="20"/>
          <w:lang w:val="en-GB" w:eastAsia="en-GB"/>
        </w:rPr>
      </w:pPr>
      <w:r w:rsidRPr="004F47BB">
        <w:rPr>
          <w:b/>
          <w:szCs w:val="20"/>
          <w:lang w:val="en-GB" w:eastAsia="en-GB"/>
        </w:rPr>
        <w:t>3.1</w:t>
      </w:r>
      <w:r w:rsidRPr="004F47BB">
        <w:rPr>
          <w:b/>
          <w:szCs w:val="20"/>
          <w:lang w:val="en-GB" w:eastAsia="en-GB"/>
        </w:rPr>
        <w:tab/>
        <w:t>Characteristics of mirrors</w:t>
      </w:r>
    </w:p>
    <w:p w:rsidR="004F47BB" w:rsidRPr="004F47BB" w:rsidRDefault="004F47BB" w:rsidP="004F47BB">
      <w:pPr>
        <w:widowControl w:val="0"/>
        <w:autoSpaceDE/>
        <w:autoSpaceDN/>
        <w:spacing w:line="250" w:lineRule="atLeast"/>
        <w:ind w:left="0" w:firstLine="0"/>
        <w:rPr>
          <w:rFonts w:cs="Arial"/>
          <w:b/>
          <w:szCs w:val="20"/>
          <w:lang w:val="en-GB" w:eastAsia="en-GB"/>
        </w:rPr>
      </w:pPr>
    </w:p>
    <w:p w:rsidR="004F47BB" w:rsidRPr="004F47BB" w:rsidRDefault="004F47BB" w:rsidP="004F47BB">
      <w:pPr>
        <w:widowControl w:val="0"/>
        <w:autoSpaceDE/>
        <w:autoSpaceDN/>
        <w:spacing w:line="250" w:lineRule="atLeast"/>
        <w:ind w:left="567" w:firstLine="0"/>
        <w:rPr>
          <w:rFonts w:cs="Arial"/>
          <w:szCs w:val="20"/>
          <w:lang w:val="en-GB" w:eastAsia="en-GB"/>
        </w:rPr>
      </w:pPr>
      <w:r w:rsidRPr="004F47BB">
        <w:rPr>
          <w:szCs w:val="20"/>
          <w:lang w:val="en-GB" w:eastAsia="en-GB"/>
        </w:rPr>
        <w:t xml:space="preserve">In principle, mirrors are sensor and display system in one. They reflect the incident light according to the law: “angle of incidence = angle of reflection” and afford indirect observation of the desired sector by deflecting the helmsman’s field of view. They are used mainly for viewing side deck areas. </w:t>
      </w:r>
    </w:p>
    <w:p w:rsidR="004F47BB" w:rsidRPr="004F47BB" w:rsidRDefault="004F47BB" w:rsidP="004F47BB">
      <w:pPr>
        <w:widowControl w:val="0"/>
        <w:autoSpaceDE/>
        <w:autoSpaceDN/>
        <w:spacing w:line="250" w:lineRule="atLeast"/>
        <w:ind w:left="567" w:firstLine="0"/>
        <w:rPr>
          <w:rFonts w:cs="Arial"/>
          <w:szCs w:val="20"/>
          <w:lang w:val="en-GB" w:eastAsia="en-GB"/>
        </w:rPr>
      </w:pPr>
    </w:p>
    <w:p w:rsidR="004F47BB" w:rsidRPr="004F47BB" w:rsidRDefault="004F47BB" w:rsidP="004F47BB">
      <w:pPr>
        <w:widowControl w:val="0"/>
        <w:autoSpaceDE/>
        <w:autoSpaceDN/>
        <w:spacing w:line="250" w:lineRule="atLeast"/>
        <w:ind w:left="567" w:firstLine="0"/>
        <w:rPr>
          <w:rFonts w:cs="Arial"/>
          <w:szCs w:val="20"/>
          <w:lang w:val="en-GB" w:eastAsia="en-GB"/>
        </w:rPr>
      </w:pPr>
      <w:r w:rsidRPr="004F47BB">
        <w:rPr>
          <w:szCs w:val="20"/>
          <w:lang w:val="en-GB" w:eastAsia="en-GB"/>
        </w:rPr>
        <w:t>With plane mirrors the angle at the centre of the field of view remains unchanged, convex mirrors increase it. Mirrors do not work in the dark and may dazzle in direct sunlight.</w:t>
      </w:r>
    </w:p>
    <w:p w:rsidR="004F47BB" w:rsidRPr="004F47BB" w:rsidRDefault="004F47BB" w:rsidP="004F47BB">
      <w:pPr>
        <w:widowControl w:val="0"/>
        <w:autoSpaceDE/>
        <w:autoSpaceDN/>
        <w:spacing w:line="250" w:lineRule="atLeast"/>
        <w:ind w:left="567" w:firstLine="0"/>
        <w:rPr>
          <w:rFonts w:cs="Arial"/>
          <w:szCs w:val="20"/>
          <w:lang w:val="en-GB" w:eastAsia="en-GB"/>
        </w:rPr>
      </w:pPr>
    </w:p>
    <w:p w:rsidR="004F47BB" w:rsidRPr="004F47BB" w:rsidRDefault="004F47BB" w:rsidP="004F47BB">
      <w:pPr>
        <w:widowControl w:val="0"/>
        <w:autoSpaceDE/>
        <w:autoSpaceDN/>
        <w:spacing w:line="250" w:lineRule="atLeast"/>
        <w:ind w:left="567" w:firstLine="0"/>
        <w:rPr>
          <w:rFonts w:cs="Arial"/>
          <w:szCs w:val="20"/>
          <w:lang w:val="en-GB" w:eastAsia="en-GB"/>
        </w:rPr>
      </w:pPr>
      <w:r w:rsidRPr="004F47BB">
        <w:rPr>
          <w:szCs w:val="20"/>
          <w:lang w:val="en-GB" w:eastAsia="en-GB"/>
        </w:rPr>
        <w:t>Generally speaking the mirrors used for inland navigation are mass produced products designed for buses and HGVs, the characteristics of which are suitable for navigation purposes.</w:t>
      </w:r>
    </w:p>
    <w:p w:rsidR="004F47BB" w:rsidRPr="004F47BB" w:rsidRDefault="004F47BB" w:rsidP="004F47BB">
      <w:pPr>
        <w:widowControl w:val="0"/>
        <w:autoSpaceDE/>
        <w:autoSpaceDN/>
        <w:spacing w:line="250" w:lineRule="atLeast"/>
        <w:ind w:left="567" w:firstLine="0"/>
        <w:rPr>
          <w:rFonts w:cs="Arial"/>
          <w:szCs w:val="20"/>
          <w:lang w:val="en-GB" w:eastAsia="en-GB"/>
        </w:rPr>
      </w:pPr>
      <w:r w:rsidRPr="004F47BB">
        <w:rPr>
          <w:szCs w:val="20"/>
          <w:lang w:val="en-GB" w:eastAsia="en-GB"/>
        </w:rPr>
        <w:t>Under ideal conditions (high quality, no fouling) the resolution of an image provided by a mirror is limited by the resolution of the eye of the observer.</w:t>
      </w:r>
    </w:p>
    <w:p w:rsidR="004F47BB" w:rsidRPr="004F47BB" w:rsidRDefault="004F47BB" w:rsidP="004F47BB">
      <w:pPr>
        <w:widowControl w:val="0"/>
        <w:autoSpaceDE/>
        <w:autoSpaceDN/>
        <w:spacing w:line="250" w:lineRule="atLeast"/>
        <w:ind w:left="0" w:firstLine="0"/>
        <w:rPr>
          <w:rFonts w:cs="Arial"/>
          <w:szCs w:val="20"/>
          <w:lang w:val="en-GB" w:eastAsia="en-GB"/>
        </w:rPr>
      </w:pPr>
    </w:p>
    <w:p w:rsidR="004F47BB" w:rsidRPr="004F47BB" w:rsidRDefault="004F47BB" w:rsidP="004F47BB">
      <w:pPr>
        <w:widowControl w:val="0"/>
        <w:tabs>
          <w:tab w:val="left" w:pos="540"/>
        </w:tabs>
        <w:autoSpaceDE/>
        <w:autoSpaceDN/>
        <w:spacing w:line="250" w:lineRule="atLeast"/>
        <w:ind w:left="0" w:firstLine="0"/>
        <w:rPr>
          <w:rFonts w:cs="Arial"/>
          <w:b/>
          <w:szCs w:val="20"/>
          <w:lang w:val="en-GB" w:eastAsia="en-GB"/>
        </w:rPr>
      </w:pPr>
      <w:r w:rsidRPr="004F47BB">
        <w:rPr>
          <w:b/>
          <w:szCs w:val="20"/>
          <w:lang w:val="en-GB" w:eastAsia="en-GB"/>
        </w:rPr>
        <w:t>3.2</w:t>
      </w:r>
      <w:r w:rsidRPr="004F47BB">
        <w:rPr>
          <w:b/>
          <w:szCs w:val="20"/>
          <w:lang w:val="en-GB" w:eastAsia="en-GB"/>
        </w:rPr>
        <w:tab/>
        <w:t>Characteristics of video systems</w:t>
      </w:r>
    </w:p>
    <w:p w:rsidR="004F47BB" w:rsidRPr="004F47BB" w:rsidRDefault="004F47BB" w:rsidP="004F47BB">
      <w:pPr>
        <w:widowControl w:val="0"/>
        <w:autoSpaceDE/>
        <w:autoSpaceDN/>
        <w:spacing w:line="250" w:lineRule="atLeast"/>
        <w:ind w:left="0" w:firstLine="0"/>
        <w:rPr>
          <w:rFonts w:cs="Arial"/>
          <w:b/>
          <w:szCs w:val="20"/>
          <w:lang w:val="en-GB" w:eastAsia="en-GB"/>
        </w:rPr>
      </w:pPr>
    </w:p>
    <w:p w:rsidR="004F47BB" w:rsidRPr="004F47BB" w:rsidRDefault="004F47BB" w:rsidP="004F47BB">
      <w:pPr>
        <w:widowControl w:val="0"/>
        <w:autoSpaceDE/>
        <w:autoSpaceDN/>
        <w:spacing w:line="250" w:lineRule="atLeast"/>
        <w:ind w:left="567" w:firstLine="0"/>
        <w:rPr>
          <w:rFonts w:cs="Arial"/>
          <w:szCs w:val="20"/>
          <w:lang w:val="en-GB" w:eastAsia="en-GB"/>
        </w:rPr>
      </w:pPr>
      <w:r w:rsidRPr="004F47BB">
        <w:rPr>
          <w:szCs w:val="20"/>
          <w:lang w:val="en-GB" w:eastAsia="en-GB"/>
        </w:rPr>
        <w:t>With a high repetition rate, video systems provide a current image of the environment such as an observer would see were he to be where the camera is located. They comprise a video camera as the image sensor and a raster screen for displaying the recorded image (video monitor).</w:t>
      </w:r>
    </w:p>
    <w:p w:rsidR="004F47BB" w:rsidRPr="004F47BB" w:rsidRDefault="004F47BB" w:rsidP="004F47BB">
      <w:pPr>
        <w:widowControl w:val="0"/>
        <w:autoSpaceDE/>
        <w:autoSpaceDN/>
        <w:spacing w:line="250" w:lineRule="atLeast"/>
        <w:ind w:left="567" w:firstLine="0"/>
        <w:rPr>
          <w:rFonts w:cs="Arial"/>
          <w:szCs w:val="20"/>
          <w:lang w:val="en-GB" w:eastAsia="en-GB"/>
        </w:rPr>
      </w:pPr>
    </w:p>
    <w:p w:rsidR="004F47BB" w:rsidRPr="004F47BB" w:rsidRDefault="004F47BB" w:rsidP="004F47BB">
      <w:pPr>
        <w:widowControl w:val="0"/>
        <w:autoSpaceDE/>
        <w:autoSpaceDN/>
        <w:spacing w:line="250" w:lineRule="atLeast"/>
        <w:ind w:left="567" w:firstLine="0"/>
        <w:rPr>
          <w:rFonts w:cs="Arial"/>
          <w:szCs w:val="20"/>
          <w:lang w:val="en-GB" w:eastAsia="en-GB"/>
        </w:rPr>
      </w:pPr>
      <w:r w:rsidRPr="004F47BB">
        <w:rPr>
          <w:szCs w:val="20"/>
          <w:lang w:val="en-GB" w:eastAsia="en-GB"/>
        </w:rPr>
        <w:t>A simple electrical connection suffices for transmitting the signal between the camera and monitor. The power supply can also be provided via the signal cable.</w:t>
      </w:r>
    </w:p>
    <w:p w:rsidR="004F47BB" w:rsidRPr="004F47BB" w:rsidRDefault="004F47BB" w:rsidP="004F47BB">
      <w:pPr>
        <w:widowControl w:val="0"/>
        <w:autoSpaceDE/>
        <w:autoSpaceDN/>
        <w:spacing w:line="250" w:lineRule="atLeast"/>
        <w:ind w:left="567" w:firstLine="0"/>
        <w:rPr>
          <w:rFonts w:cs="Arial"/>
          <w:szCs w:val="20"/>
          <w:lang w:val="en-GB" w:eastAsia="en-GB"/>
        </w:rPr>
      </w:pPr>
    </w:p>
    <w:p w:rsidR="004F47BB" w:rsidRPr="004F47BB" w:rsidRDefault="004F47BB" w:rsidP="004F47BB">
      <w:pPr>
        <w:widowControl w:val="0"/>
        <w:autoSpaceDE/>
        <w:autoSpaceDN/>
        <w:spacing w:line="250" w:lineRule="atLeast"/>
        <w:ind w:left="567" w:firstLine="0"/>
        <w:rPr>
          <w:rFonts w:cs="Arial"/>
          <w:szCs w:val="20"/>
          <w:lang w:val="en-GB" w:eastAsia="en-GB"/>
        </w:rPr>
      </w:pPr>
      <w:r w:rsidRPr="004F47BB">
        <w:rPr>
          <w:szCs w:val="20"/>
          <w:lang w:val="en-GB" w:eastAsia="en-GB"/>
        </w:rPr>
        <w:t>Cameras can operate with either a fixed or variable focal length (zoom) and be installed either in a fixed position or on a swivelling and tilting head.</w:t>
      </w:r>
    </w:p>
    <w:p w:rsidR="004F47BB" w:rsidRPr="004F47BB" w:rsidRDefault="004F47BB" w:rsidP="004F47BB">
      <w:pPr>
        <w:widowControl w:val="0"/>
        <w:autoSpaceDE/>
        <w:autoSpaceDN/>
        <w:spacing w:line="250" w:lineRule="atLeast"/>
        <w:ind w:left="567" w:firstLine="0"/>
        <w:rPr>
          <w:rFonts w:cs="Arial"/>
          <w:szCs w:val="20"/>
          <w:lang w:val="en-GB" w:eastAsia="en-GB"/>
        </w:rPr>
      </w:pPr>
    </w:p>
    <w:p w:rsidR="004F47BB" w:rsidRPr="004F47BB" w:rsidRDefault="004F47BB" w:rsidP="004F47BB">
      <w:pPr>
        <w:widowControl w:val="0"/>
        <w:autoSpaceDE/>
        <w:autoSpaceDN/>
        <w:spacing w:line="250" w:lineRule="atLeast"/>
        <w:ind w:left="567" w:firstLine="0"/>
        <w:rPr>
          <w:rFonts w:cs="Arial"/>
          <w:szCs w:val="20"/>
          <w:lang w:val="en-GB" w:eastAsia="en-GB"/>
        </w:rPr>
      </w:pPr>
      <w:r w:rsidRPr="004F47BB">
        <w:rPr>
          <w:szCs w:val="20"/>
          <w:lang w:val="en-GB" w:eastAsia="en-GB"/>
        </w:rPr>
        <w:t>The images obtained by the (single lens) cameras are captured and displayed centrally on screens in the same way as perceived by the human eye. A major weakness of the central perspective is that it does not enable the range of the images displayed to be determined. This effect is very apparent with images captured using telephoto lenses (long focal length).</w:t>
      </w:r>
    </w:p>
    <w:p w:rsidR="004F47BB" w:rsidRPr="004F47BB" w:rsidRDefault="004F47BB" w:rsidP="004F47BB">
      <w:pPr>
        <w:widowControl w:val="0"/>
        <w:autoSpaceDE/>
        <w:autoSpaceDN/>
        <w:spacing w:line="250" w:lineRule="atLeast"/>
        <w:ind w:left="567" w:firstLine="0"/>
        <w:rPr>
          <w:rFonts w:cs="Arial"/>
          <w:szCs w:val="20"/>
          <w:lang w:val="en-GB" w:eastAsia="en-GB"/>
        </w:rPr>
      </w:pPr>
    </w:p>
    <w:p w:rsidR="004F47BB" w:rsidRPr="004F47BB" w:rsidRDefault="004F47BB" w:rsidP="004F47BB">
      <w:pPr>
        <w:widowControl w:val="0"/>
        <w:autoSpaceDE/>
        <w:autoSpaceDN/>
        <w:spacing w:line="250" w:lineRule="atLeast"/>
        <w:ind w:left="567" w:firstLine="0"/>
        <w:rPr>
          <w:rFonts w:cs="Arial"/>
          <w:szCs w:val="20"/>
          <w:lang w:val="en-GB" w:eastAsia="en-GB"/>
        </w:rPr>
      </w:pPr>
      <w:r w:rsidRPr="004F47BB">
        <w:rPr>
          <w:szCs w:val="20"/>
          <w:lang w:val="en-GB" w:eastAsia="en-GB"/>
        </w:rPr>
        <w:t>That is why the viewing direction and field of observation have to be well matched with the required use.</w:t>
      </w:r>
    </w:p>
    <w:p w:rsidR="004F47BB" w:rsidRPr="004F47BB" w:rsidRDefault="004F47BB" w:rsidP="004F47BB">
      <w:pPr>
        <w:widowControl w:val="0"/>
        <w:autoSpaceDE/>
        <w:autoSpaceDN/>
        <w:spacing w:line="250" w:lineRule="atLeast"/>
        <w:ind w:left="567" w:firstLine="0"/>
        <w:rPr>
          <w:rFonts w:cs="Arial"/>
          <w:szCs w:val="20"/>
          <w:lang w:val="en-GB" w:eastAsia="en-GB"/>
        </w:rPr>
      </w:pPr>
    </w:p>
    <w:p w:rsidR="004F47BB" w:rsidRPr="004F47BB" w:rsidRDefault="004F47BB" w:rsidP="004F47BB">
      <w:pPr>
        <w:widowControl w:val="0"/>
        <w:autoSpaceDE/>
        <w:autoSpaceDN/>
        <w:spacing w:line="250" w:lineRule="atLeast"/>
        <w:ind w:left="567" w:firstLine="0"/>
        <w:rPr>
          <w:rFonts w:cs="Arial"/>
          <w:szCs w:val="20"/>
          <w:lang w:val="en-GB" w:eastAsia="en-GB"/>
        </w:rPr>
      </w:pPr>
      <w:r w:rsidRPr="004F47BB">
        <w:rPr>
          <w:szCs w:val="20"/>
          <w:lang w:val="en-GB" w:eastAsia="en-GB"/>
        </w:rPr>
        <w:t>Video systems depend on the presence of low ambient brightness. Strong reflections on the water surface and direct sunlight can render the image unusable.</w:t>
      </w:r>
    </w:p>
    <w:p w:rsidR="004F47BB" w:rsidRPr="004F47BB" w:rsidRDefault="004F47BB" w:rsidP="004F47BB">
      <w:pPr>
        <w:widowControl w:val="0"/>
        <w:autoSpaceDE/>
        <w:autoSpaceDN/>
        <w:spacing w:line="250" w:lineRule="atLeast"/>
        <w:ind w:left="567" w:firstLine="0"/>
        <w:rPr>
          <w:rFonts w:cs="Arial"/>
          <w:szCs w:val="20"/>
          <w:lang w:val="en-GB" w:eastAsia="en-GB"/>
        </w:rPr>
      </w:pPr>
    </w:p>
    <w:p w:rsidR="004F47BB" w:rsidRPr="004F47BB" w:rsidRDefault="004F47BB" w:rsidP="004F47BB">
      <w:pPr>
        <w:widowControl w:val="0"/>
        <w:autoSpaceDE/>
        <w:autoSpaceDN/>
        <w:spacing w:line="250" w:lineRule="atLeast"/>
        <w:ind w:left="567" w:firstLine="0"/>
        <w:rPr>
          <w:rFonts w:cs="Arial"/>
          <w:szCs w:val="20"/>
          <w:lang w:val="en-GB" w:eastAsia="en-GB"/>
        </w:rPr>
      </w:pPr>
      <w:r w:rsidRPr="004F47BB">
        <w:rPr>
          <w:szCs w:val="20"/>
          <w:lang w:val="en-GB" w:eastAsia="en-GB"/>
        </w:rPr>
        <w:t>The technical characteristics of the monitor (image size, resolution, brightness) depend on the required use.</w:t>
      </w:r>
    </w:p>
    <w:p w:rsidR="004F47BB" w:rsidRPr="004F47BB" w:rsidRDefault="004F47BB" w:rsidP="004F47BB">
      <w:pPr>
        <w:widowControl w:val="0"/>
        <w:autoSpaceDE/>
        <w:autoSpaceDN/>
        <w:spacing w:line="250" w:lineRule="atLeast"/>
        <w:ind w:left="567" w:firstLine="0"/>
        <w:rPr>
          <w:rFonts w:cs="Arial"/>
          <w:szCs w:val="20"/>
          <w:lang w:val="en-GB" w:eastAsia="en-GB"/>
        </w:rPr>
      </w:pPr>
    </w:p>
    <w:p w:rsidR="004F47BB" w:rsidRPr="004F47BB" w:rsidRDefault="004F47BB" w:rsidP="004F47BB">
      <w:pPr>
        <w:widowControl w:val="0"/>
        <w:autoSpaceDE/>
        <w:autoSpaceDN/>
        <w:spacing w:line="250" w:lineRule="atLeast"/>
        <w:ind w:left="567" w:firstLine="0"/>
        <w:rPr>
          <w:rFonts w:cs="Arial"/>
          <w:szCs w:val="20"/>
          <w:lang w:val="en-GB" w:eastAsia="en-GB"/>
        </w:rPr>
      </w:pPr>
      <w:r w:rsidRPr="004F47BB">
        <w:rPr>
          <w:szCs w:val="20"/>
          <w:lang w:val="en-GB" w:eastAsia="en-GB"/>
        </w:rPr>
        <w:t>The resolution of the image is determined by the number of pixels of the image sensor in the camera and the number of pixels (and bandwidth of the video signal) of the monitor. Even a good commercial video system does not quite match the maximum resolution of the human eye.</w:t>
      </w:r>
    </w:p>
    <w:p w:rsidR="004F47BB" w:rsidRPr="004F47BB" w:rsidRDefault="004F47BB" w:rsidP="004F47BB">
      <w:pPr>
        <w:widowControl w:val="0"/>
        <w:autoSpaceDE/>
        <w:autoSpaceDN/>
        <w:spacing w:line="250" w:lineRule="atLeast"/>
        <w:ind w:left="0" w:firstLine="0"/>
        <w:rPr>
          <w:rFonts w:cs="Arial"/>
          <w:szCs w:val="20"/>
          <w:lang w:val="en-GB" w:eastAsia="en-GB"/>
        </w:rPr>
      </w:pPr>
    </w:p>
    <w:p w:rsidR="004F47BB" w:rsidRPr="004F47BB" w:rsidRDefault="004F47BB" w:rsidP="004F47BB">
      <w:pPr>
        <w:widowControl w:val="0"/>
        <w:tabs>
          <w:tab w:val="left" w:pos="540"/>
        </w:tabs>
        <w:autoSpaceDE/>
        <w:autoSpaceDN/>
        <w:spacing w:line="250" w:lineRule="atLeast"/>
        <w:ind w:left="0" w:firstLine="0"/>
        <w:rPr>
          <w:rFonts w:cs="Arial"/>
          <w:b/>
          <w:szCs w:val="20"/>
          <w:lang w:val="en-GB" w:eastAsia="en-GB"/>
        </w:rPr>
      </w:pPr>
    </w:p>
    <w:p w:rsidR="004F47BB" w:rsidRPr="004F47BB" w:rsidRDefault="004F47BB" w:rsidP="004F47BB">
      <w:pPr>
        <w:autoSpaceDE/>
        <w:autoSpaceDN/>
        <w:ind w:left="0" w:firstLine="0"/>
        <w:jc w:val="left"/>
        <w:rPr>
          <w:b/>
          <w:szCs w:val="20"/>
          <w:lang w:val="en-GB" w:eastAsia="en-GB"/>
        </w:rPr>
      </w:pPr>
      <w:r w:rsidRPr="004F47BB">
        <w:rPr>
          <w:b/>
          <w:szCs w:val="20"/>
          <w:lang w:val="en-GB" w:eastAsia="en-GB"/>
        </w:rPr>
        <w:br w:type="page"/>
      </w:r>
    </w:p>
    <w:p w:rsidR="004F47BB" w:rsidRPr="004F47BB" w:rsidRDefault="004F47BB" w:rsidP="004F47BB">
      <w:pPr>
        <w:widowControl w:val="0"/>
        <w:tabs>
          <w:tab w:val="left" w:pos="540"/>
        </w:tabs>
        <w:autoSpaceDE/>
        <w:autoSpaceDN/>
        <w:spacing w:line="240" w:lineRule="atLeast"/>
        <w:ind w:left="0" w:firstLine="0"/>
        <w:rPr>
          <w:rFonts w:cs="Arial"/>
          <w:b/>
          <w:szCs w:val="20"/>
          <w:lang w:val="en-GB" w:eastAsia="en-GB"/>
        </w:rPr>
      </w:pPr>
      <w:r w:rsidRPr="004F47BB">
        <w:rPr>
          <w:b/>
          <w:szCs w:val="20"/>
          <w:lang w:val="en-GB" w:eastAsia="en-GB"/>
        </w:rPr>
        <w:lastRenderedPageBreak/>
        <w:t>3.3</w:t>
      </w:r>
      <w:r w:rsidRPr="004F47BB">
        <w:rPr>
          <w:b/>
          <w:szCs w:val="20"/>
          <w:lang w:val="en-GB" w:eastAsia="en-GB"/>
        </w:rPr>
        <w:tab/>
        <w:t>Characteristics of radar systems</w:t>
      </w:r>
    </w:p>
    <w:p w:rsidR="004F47BB" w:rsidRPr="004F47BB" w:rsidRDefault="004F47BB" w:rsidP="004F47BB">
      <w:pPr>
        <w:widowControl w:val="0"/>
        <w:autoSpaceDE/>
        <w:autoSpaceDN/>
        <w:spacing w:line="240" w:lineRule="atLeast"/>
        <w:ind w:left="0" w:firstLine="567"/>
        <w:rPr>
          <w:rFonts w:cs="Arial"/>
          <w:b/>
          <w:szCs w:val="20"/>
          <w:lang w:val="en-GB" w:eastAsia="en-GB"/>
        </w:rPr>
      </w:pPr>
    </w:p>
    <w:p w:rsidR="004F47BB" w:rsidRPr="004F47BB" w:rsidRDefault="004F47BB" w:rsidP="004F47BB">
      <w:pPr>
        <w:widowControl w:val="0"/>
        <w:autoSpaceDE/>
        <w:autoSpaceDN/>
        <w:spacing w:line="240" w:lineRule="atLeast"/>
        <w:ind w:left="567" w:firstLine="0"/>
        <w:rPr>
          <w:rFonts w:cs="Arial"/>
          <w:szCs w:val="20"/>
          <w:lang w:val="en-GB" w:eastAsia="en-GB"/>
        </w:rPr>
      </w:pPr>
      <w:r w:rsidRPr="004F47BB">
        <w:rPr>
          <w:szCs w:val="20"/>
          <w:lang w:val="en-GB" w:eastAsia="en-GB"/>
        </w:rPr>
        <w:t>Radar systems feature a sensor (revolving antenna with transmitter and receiver) and a display device. The sensor uses a horizontally rotating antenna to “illuminate” narrow radial sectors with microwave pulses, captures the echoes returned by reflecting objects then displays them on a screen indicating range and bearing. This creates a scaled image of the environment relative to the vessel’s heading. This image enables objects at a range of 15 m and more to be determined with a resolution of approximately 5 m and their bearing to within around 0.5 °.</w:t>
      </w:r>
    </w:p>
    <w:p w:rsidR="004F47BB" w:rsidRPr="004F47BB" w:rsidRDefault="004F47BB" w:rsidP="004F47BB">
      <w:pPr>
        <w:widowControl w:val="0"/>
        <w:autoSpaceDE/>
        <w:autoSpaceDN/>
        <w:spacing w:line="240" w:lineRule="atLeast"/>
        <w:ind w:left="567" w:firstLine="0"/>
        <w:rPr>
          <w:rFonts w:cs="Arial"/>
          <w:szCs w:val="20"/>
          <w:lang w:val="en-GB" w:eastAsia="en-GB"/>
        </w:rPr>
      </w:pPr>
    </w:p>
    <w:p w:rsidR="004F47BB" w:rsidRPr="004F47BB" w:rsidRDefault="004F47BB" w:rsidP="004F47BB">
      <w:pPr>
        <w:widowControl w:val="0"/>
        <w:autoSpaceDE/>
        <w:autoSpaceDN/>
        <w:spacing w:line="240" w:lineRule="atLeast"/>
        <w:ind w:left="567" w:firstLine="0"/>
        <w:rPr>
          <w:rFonts w:cs="Arial"/>
          <w:szCs w:val="20"/>
          <w:lang w:val="en-GB" w:eastAsia="en-GB"/>
        </w:rPr>
      </w:pPr>
      <w:r w:rsidRPr="004F47BB">
        <w:rPr>
          <w:szCs w:val="20"/>
          <w:lang w:val="en-GB" w:eastAsia="en-GB"/>
        </w:rPr>
        <w:t>As radar impulses operate with their own transmission impulses, unlike the other technical auxiliary means mentioned above, they do not depend on the existence of ambient brightness.</w:t>
      </w:r>
    </w:p>
    <w:p w:rsidR="004F47BB" w:rsidRPr="004F47BB" w:rsidRDefault="004F47BB" w:rsidP="004F47BB">
      <w:pPr>
        <w:widowControl w:val="0"/>
        <w:autoSpaceDE/>
        <w:autoSpaceDN/>
        <w:spacing w:line="240" w:lineRule="atLeast"/>
        <w:ind w:left="567" w:firstLine="0"/>
        <w:rPr>
          <w:rFonts w:cs="Arial"/>
          <w:szCs w:val="20"/>
          <w:lang w:val="en-GB" w:eastAsia="en-GB"/>
        </w:rPr>
      </w:pPr>
    </w:p>
    <w:p w:rsidR="004F47BB" w:rsidRPr="004F47BB" w:rsidRDefault="004F47BB" w:rsidP="004F47BB">
      <w:pPr>
        <w:widowControl w:val="0"/>
        <w:autoSpaceDE/>
        <w:autoSpaceDN/>
        <w:spacing w:line="240" w:lineRule="atLeast"/>
        <w:ind w:left="567" w:firstLine="0"/>
        <w:rPr>
          <w:rFonts w:cs="Arial"/>
          <w:szCs w:val="20"/>
          <w:lang w:val="en-GB" w:eastAsia="en-GB"/>
        </w:rPr>
      </w:pPr>
      <w:r w:rsidRPr="004F47BB">
        <w:rPr>
          <w:szCs w:val="20"/>
          <w:lang w:val="en-GB" w:eastAsia="en-GB"/>
        </w:rPr>
        <w:t xml:space="preserve">However, they can only detect and determine the position of reflecting objects and generate an image of the environment resembling a map, faithfully depicting bearing and range. Radar systems are also unable to identify and depict object details which would make identification possible. </w:t>
      </w:r>
    </w:p>
    <w:p w:rsidR="004F47BB" w:rsidRPr="004F47BB" w:rsidRDefault="004F47BB" w:rsidP="004F47BB">
      <w:pPr>
        <w:widowControl w:val="0"/>
        <w:autoSpaceDE/>
        <w:autoSpaceDN/>
        <w:spacing w:line="240" w:lineRule="atLeast"/>
        <w:ind w:left="567" w:hanging="567"/>
        <w:rPr>
          <w:rFonts w:cs="Arial"/>
          <w:b/>
          <w:szCs w:val="20"/>
          <w:lang w:val="en-GB" w:eastAsia="en-GB"/>
        </w:rPr>
      </w:pPr>
    </w:p>
    <w:p w:rsidR="004F47BB" w:rsidRPr="004F47BB" w:rsidRDefault="004F47BB" w:rsidP="004F47BB">
      <w:pPr>
        <w:widowControl w:val="0"/>
        <w:autoSpaceDE/>
        <w:autoSpaceDN/>
        <w:spacing w:line="240" w:lineRule="atLeast"/>
        <w:ind w:left="567" w:hanging="567"/>
        <w:rPr>
          <w:rFonts w:cs="Arial"/>
          <w:b/>
          <w:szCs w:val="20"/>
          <w:lang w:val="en-GB" w:eastAsia="en-GB"/>
        </w:rPr>
      </w:pPr>
      <w:r w:rsidRPr="004F47BB">
        <w:rPr>
          <w:b/>
          <w:szCs w:val="20"/>
          <w:lang w:val="en-GB" w:eastAsia="en-GB"/>
        </w:rPr>
        <w:t>4.</w:t>
      </w:r>
      <w:r w:rsidRPr="004F47BB">
        <w:rPr>
          <w:b/>
          <w:szCs w:val="20"/>
          <w:lang w:val="en-GB" w:eastAsia="en-GB"/>
        </w:rPr>
        <w:tab/>
        <w:t>Appropriate auxiliary means for observing the area of obstructed vision</w:t>
      </w:r>
    </w:p>
    <w:p w:rsidR="004F47BB" w:rsidRPr="004F47BB" w:rsidRDefault="004F47BB" w:rsidP="004F47BB">
      <w:pPr>
        <w:widowControl w:val="0"/>
        <w:autoSpaceDE/>
        <w:autoSpaceDN/>
        <w:spacing w:line="240" w:lineRule="atLeast"/>
        <w:ind w:left="0" w:firstLine="0"/>
        <w:rPr>
          <w:rFonts w:cs="Arial"/>
          <w:szCs w:val="20"/>
          <w:lang w:val="en-GB" w:eastAsia="en-GB"/>
        </w:rPr>
      </w:pPr>
    </w:p>
    <w:p w:rsidR="004F47BB" w:rsidRPr="004F47BB" w:rsidRDefault="004F47BB" w:rsidP="004F47BB">
      <w:pPr>
        <w:widowControl w:val="0"/>
        <w:autoSpaceDE/>
        <w:autoSpaceDN/>
        <w:spacing w:line="240" w:lineRule="atLeast"/>
        <w:ind w:left="567" w:hanging="567"/>
        <w:rPr>
          <w:rFonts w:cs="Arial"/>
          <w:b/>
          <w:szCs w:val="20"/>
          <w:lang w:val="en-GB" w:eastAsia="en-GB"/>
        </w:rPr>
      </w:pPr>
      <w:r w:rsidRPr="004F47BB">
        <w:rPr>
          <w:b/>
          <w:szCs w:val="20"/>
          <w:lang w:val="en-GB" w:eastAsia="en-GB"/>
        </w:rPr>
        <w:t>4.1</w:t>
      </w:r>
      <w:r w:rsidRPr="004F47BB">
        <w:rPr>
          <w:b/>
          <w:szCs w:val="20"/>
          <w:lang w:val="en-GB" w:eastAsia="en-GB"/>
        </w:rPr>
        <w:tab/>
        <w:t>Mirrors</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1.</w:t>
      </w:r>
      <w:r w:rsidRPr="004F47BB">
        <w:rPr>
          <w:szCs w:val="20"/>
          <w:lang w:val="en-GB" w:eastAsia="en-GB"/>
        </w:rPr>
        <w:tab/>
        <w:t>Shape</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 xml:space="preserve">The shape of the mirror depends on the shape of the area to be observed. Rectangular mirrors lend themselves to observing side decks. </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2.</w:t>
      </w:r>
      <w:r w:rsidRPr="004F47BB">
        <w:rPr>
          <w:szCs w:val="20"/>
          <w:lang w:val="en-GB" w:eastAsia="en-GB"/>
        </w:rPr>
        <w:tab/>
        <w:t>Size</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The mirror’s surface area depends on the width of the sector one wishes to observe and the distance between the helmsman and the mirror.</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3.</w:t>
      </w:r>
      <w:r w:rsidRPr="004F47BB">
        <w:rPr>
          <w:szCs w:val="20"/>
          <w:lang w:val="en-GB" w:eastAsia="en-GB"/>
        </w:rPr>
        <w:tab/>
        <w:t>Quality</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Tried and tested mass</w:t>
      </w:r>
      <w:r w:rsidR="007718FA">
        <w:rPr>
          <w:szCs w:val="20"/>
          <w:lang w:val="en-GB" w:eastAsia="en-GB"/>
        </w:rPr>
        <w:t>-</w:t>
      </w:r>
      <w:r w:rsidRPr="004F47BB">
        <w:rPr>
          <w:szCs w:val="20"/>
          <w:lang w:val="en-GB" w:eastAsia="en-GB"/>
        </w:rPr>
        <w:t>produced products such as those for road vehicles (HGVs, buses) are to be used.</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4.</w:t>
      </w:r>
      <w:r w:rsidRPr="004F47BB">
        <w:rPr>
          <w:szCs w:val="20"/>
          <w:lang w:val="en-GB" w:eastAsia="en-GB"/>
        </w:rPr>
        <w:tab/>
        <w:t>Curvature</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Plane mirrors are to be used, not curved ones. When deemed useful, slightly curved mirrors may also be used.</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5.</w:t>
      </w:r>
      <w:r w:rsidRPr="004F47BB">
        <w:rPr>
          <w:szCs w:val="20"/>
          <w:lang w:val="en-GB" w:eastAsia="en-GB"/>
        </w:rPr>
        <w:tab/>
        <w:t>Mounting bracket</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The mounting bracket must ensure the mirror remains in a permanent and rigid position (free of vibration).</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6.</w:t>
      </w:r>
      <w:r w:rsidRPr="004F47BB">
        <w:rPr>
          <w:szCs w:val="20"/>
          <w:lang w:val="en-GB" w:eastAsia="en-GB"/>
        </w:rPr>
        <w:tab/>
        <w:t>Protection against rain</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The mirror is to be fitted such that it is protected against rain.</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7.</w:t>
      </w:r>
      <w:r w:rsidRPr="004F47BB">
        <w:rPr>
          <w:szCs w:val="20"/>
          <w:lang w:val="en-GB" w:eastAsia="en-GB"/>
        </w:rPr>
        <w:tab/>
        <w:t>Frost protection</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The build-up of hoar frost on the mirror is to be prevented.</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8.</w:t>
      </w:r>
      <w:r w:rsidRPr="004F47BB">
        <w:rPr>
          <w:szCs w:val="20"/>
          <w:lang w:val="en-GB" w:eastAsia="en-GB"/>
        </w:rPr>
        <w:tab/>
        <w:t>Installation position</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 xml:space="preserve">It must be possible for the helmsman to use the mirror without leaving his post; it must be sufficient for him to glance at or turn his head towards the mirror. That is why the upper edges of the outer bulkheads (and outer doors as well) of the wheelhouse are well suited as attachment points. The helmsman must have an unobstructed view of the mirror. </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9.</w:t>
      </w:r>
      <w:r w:rsidRPr="004F47BB">
        <w:rPr>
          <w:szCs w:val="20"/>
          <w:lang w:val="en-GB" w:eastAsia="en-GB"/>
        </w:rPr>
        <w:tab/>
        <w:t>Adjustment</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The direction of the parts of the vessel depicted (edges, walkways) must correspond to reality as closely as possible.</w:t>
      </w:r>
    </w:p>
    <w:p w:rsidR="004F47BB" w:rsidRPr="004F47BB" w:rsidRDefault="004F47BB" w:rsidP="004F47BB">
      <w:pPr>
        <w:widowControl w:val="0"/>
        <w:autoSpaceDE/>
        <w:autoSpaceDN/>
        <w:spacing w:line="240" w:lineRule="atLeast"/>
        <w:ind w:left="0" w:firstLine="0"/>
        <w:rPr>
          <w:rFonts w:cs="Arial"/>
          <w:szCs w:val="20"/>
          <w:lang w:val="en-GB" w:eastAsia="en-GB"/>
        </w:rPr>
      </w:pPr>
    </w:p>
    <w:p w:rsidR="004F47BB" w:rsidRPr="004F47BB" w:rsidRDefault="004F47BB" w:rsidP="004F47BB">
      <w:pPr>
        <w:widowControl w:val="0"/>
        <w:autoSpaceDE/>
        <w:autoSpaceDN/>
        <w:spacing w:line="240" w:lineRule="atLeast"/>
        <w:ind w:left="567" w:hanging="567"/>
        <w:rPr>
          <w:rFonts w:cs="Arial"/>
          <w:b/>
          <w:szCs w:val="20"/>
          <w:lang w:val="en-GB" w:eastAsia="en-GB"/>
        </w:rPr>
      </w:pPr>
      <w:r w:rsidRPr="004F47BB">
        <w:rPr>
          <w:rFonts w:ascii="Times New Roman" w:hAnsi="Times New Roman"/>
          <w:szCs w:val="20"/>
          <w:lang w:val="en-GB" w:eastAsia="en-GB"/>
        </w:rPr>
        <w:br w:type="page"/>
      </w:r>
      <w:r w:rsidRPr="004F47BB">
        <w:rPr>
          <w:b/>
          <w:szCs w:val="20"/>
          <w:lang w:val="en-GB" w:eastAsia="en-GB"/>
        </w:rPr>
        <w:lastRenderedPageBreak/>
        <w:t>4.2</w:t>
      </w:r>
      <w:r w:rsidRPr="004F47BB">
        <w:rPr>
          <w:b/>
          <w:szCs w:val="20"/>
          <w:lang w:val="en-GB" w:eastAsia="en-GB"/>
        </w:rPr>
        <w:tab/>
        <w:t>Video systems</w:t>
      </w:r>
    </w:p>
    <w:p w:rsidR="004F47BB" w:rsidRPr="004F47BB" w:rsidRDefault="004F47BB" w:rsidP="004F47BB">
      <w:pPr>
        <w:widowControl w:val="0"/>
        <w:autoSpaceDE/>
        <w:autoSpaceDN/>
        <w:spacing w:line="240" w:lineRule="atLeast"/>
        <w:ind w:left="567" w:hanging="567"/>
        <w:rPr>
          <w:rFonts w:cs="Arial"/>
          <w:b/>
          <w:szCs w:val="20"/>
          <w:lang w:val="en-GB" w:eastAsia="en-GB"/>
        </w:rPr>
      </w:pPr>
    </w:p>
    <w:p w:rsidR="004F47BB" w:rsidRPr="004F47BB" w:rsidRDefault="004F47BB" w:rsidP="004F47BB">
      <w:pPr>
        <w:widowControl w:val="0"/>
        <w:autoSpaceDE/>
        <w:autoSpaceDN/>
        <w:spacing w:line="240" w:lineRule="atLeast"/>
        <w:ind w:left="567" w:hanging="567"/>
        <w:rPr>
          <w:rFonts w:cs="Arial"/>
          <w:b/>
          <w:szCs w:val="20"/>
          <w:lang w:val="en-GB" w:eastAsia="en-GB"/>
        </w:rPr>
      </w:pPr>
      <w:r w:rsidRPr="004F47BB">
        <w:rPr>
          <w:b/>
          <w:szCs w:val="20"/>
          <w:lang w:val="en-GB" w:eastAsia="en-GB"/>
        </w:rPr>
        <w:t>4.2.1</w:t>
      </w:r>
      <w:r w:rsidRPr="004F47BB">
        <w:rPr>
          <w:b/>
          <w:szCs w:val="20"/>
          <w:lang w:val="en-GB" w:eastAsia="en-GB"/>
        </w:rPr>
        <w:tab/>
        <w:t>Cameras</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1.</w:t>
      </w:r>
      <w:r w:rsidRPr="004F47BB">
        <w:rPr>
          <w:szCs w:val="20"/>
          <w:lang w:val="en-GB" w:eastAsia="en-GB"/>
        </w:rPr>
        <w:tab/>
        <w:t>Camera type</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Raster scan colour video camera with automatic black and white switching, image format, e.g. 4:3 (“landscape”), appropriate to the monitor being used.</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2.</w:t>
      </w:r>
      <w:r w:rsidRPr="004F47BB">
        <w:rPr>
          <w:szCs w:val="20"/>
          <w:lang w:val="en-GB" w:eastAsia="en-GB"/>
        </w:rPr>
        <w:tab/>
        <w:t>Resolution</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Equally good resolution in both the horizontal and vertical axes, preferably a minimum of 576 pixels on the narrow edge of the image, square pixels.</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3.</w:t>
      </w:r>
      <w:r w:rsidRPr="004F47BB">
        <w:rPr>
          <w:szCs w:val="20"/>
          <w:lang w:val="en-GB" w:eastAsia="en-GB"/>
        </w:rPr>
        <w:tab/>
        <w:t>Light sensitivity</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0.6 Lux in colour mode, 0.1 Lux in black and white mode (in accordance with standard EN 61146-1 with the corresponding lens without image integration).</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4.</w:t>
      </w:r>
      <w:r w:rsidRPr="004F47BB">
        <w:rPr>
          <w:szCs w:val="20"/>
          <w:lang w:val="en-GB" w:eastAsia="en-GB"/>
        </w:rPr>
        <w:tab/>
        <w:t>Image repetition frequency</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Image repetition frequency of 25 images/s or more.</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5.</w:t>
      </w:r>
      <w:r w:rsidRPr="004F47BB">
        <w:rPr>
          <w:szCs w:val="20"/>
          <w:lang w:val="en-GB" w:eastAsia="en-GB"/>
        </w:rPr>
        <w:tab/>
        <w:t>Viewing angle</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The camera viewing angle is determined by selecting the appropriate focal length. To avoid irritating the user further with an unnatural perspective, it is recommended that the viewing angle be aligned with that of the human eye (approx. 30° to 45°). The horizontal viewing angle should not therefore be less than 30°.</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6.</w:t>
      </w:r>
      <w:r w:rsidRPr="004F47BB">
        <w:rPr>
          <w:szCs w:val="20"/>
          <w:lang w:val="en-GB" w:eastAsia="en-GB"/>
        </w:rPr>
        <w:tab/>
        <w:t>Zoom lenses and slewing mechanisms</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When using slewing and zoom cameras to assist forward vision there should be a basic setting for optimal focal length and forward pointing orientation that can be achieved at the press of a button.</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7.</w:t>
      </w:r>
      <w:r w:rsidRPr="004F47BB">
        <w:rPr>
          <w:szCs w:val="20"/>
          <w:lang w:val="en-GB" w:eastAsia="en-GB"/>
        </w:rPr>
        <w:tab/>
        <w:t>Camera position</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The camera position depends on the zone to be observed.</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8.</w:t>
      </w:r>
      <w:r w:rsidRPr="004F47BB">
        <w:rPr>
          <w:szCs w:val="20"/>
          <w:lang w:val="en-GB" w:eastAsia="en-GB"/>
        </w:rPr>
        <w:tab/>
        <w:t>Camera mounting</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The mounting bracket must ensure the camera remains in a permanent and rigid position (free of vibration). The mounting bracket can also comprise a protective heated enclosure.</w:t>
      </w:r>
    </w:p>
    <w:p w:rsidR="004F47BB" w:rsidRPr="004F47BB" w:rsidRDefault="004F47BB" w:rsidP="004F47BB">
      <w:pPr>
        <w:widowControl w:val="0"/>
        <w:autoSpaceDE/>
        <w:autoSpaceDN/>
        <w:spacing w:line="240" w:lineRule="atLeast"/>
        <w:ind w:left="0" w:firstLine="0"/>
        <w:jc w:val="left"/>
        <w:rPr>
          <w:rFonts w:cs="Arial"/>
          <w:szCs w:val="20"/>
          <w:lang w:val="en-GB" w:eastAsia="en-GB"/>
        </w:rPr>
      </w:pPr>
    </w:p>
    <w:p w:rsidR="004F47BB" w:rsidRPr="004F47BB" w:rsidRDefault="004F47BB" w:rsidP="004F47BB">
      <w:pPr>
        <w:widowControl w:val="0"/>
        <w:autoSpaceDE/>
        <w:autoSpaceDN/>
        <w:spacing w:line="240" w:lineRule="atLeast"/>
        <w:ind w:left="567" w:hanging="567"/>
        <w:rPr>
          <w:rFonts w:cs="Arial"/>
          <w:b/>
          <w:szCs w:val="20"/>
          <w:lang w:val="en-GB" w:eastAsia="en-GB"/>
        </w:rPr>
      </w:pPr>
      <w:r w:rsidRPr="004F47BB">
        <w:rPr>
          <w:b/>
          <w:szCs w:val="20"/>
          <w:lang w:val="en-GB" w:eastAsia="en-GB"/>
        </w:rPr>
        <w:t>4.2.2</w:t>
      </w:r>
      <w:r w:rsidRPr="004F47BB">
        <w:rPr>
          <w:b/>
          <w:szCs w:val="20"/>
          <w:lang w:val="en-GB" w:eastAsia="en-GB"/>
        </w:rPr>
        <w:tab/>
        <w:t>Monitors</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1.</w:t>
      </w:r>
      <w:r w:rsidRPr="004F47BB">
        <w:rPr>
          <w:szCs w:val="20"/>
          <w:lang w:val="en-GB" w:eastAsia="en-GB"/>
        </w:rPr>
        <w:tab/>
        <w:t>Monitor type</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Raster screen (preferably TFT flat screen), minimum 30 cm screen diagonal.</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2.</w:t>
      </w:r>
      <w:r w:rsidRPr="004F47BB">
        <w:rPr>
          <w:szCs w:val="20"/>
          <w:lang w:val="en-GB" w:eastAsia="en-GB"/>
        </w:rPr>
        <w:tab/>
        <w:t>Monitor location</w:t>
      </w:r>
    </w:p>
    <w:p w:rsidR="004F47BB" w:rsidRPr="004F47BB" w:rsidRDefault="004F47BB" w:rsidP="004F47BB">
      <w:pPr>
        <w:widowControl w:val="0"/>
        <w:autoSpaceDE/>
        <w:autoSpaceDN/>
        <w:spacing w:before="60" w:line="240" w:lineRule="atLeast"/>
        <w:ind w:left="1417"/>
        <w:rPr>
          <w:rFonts w:cs="Arial"/>
          <w:szCs w:val="20"/>
          <w:lang w:val="en-GB" w:eastAsia="en-GB"/>
        </w:rPr>
      </w:pPr>
      <w:r w:rsidRPr="004F47BB">
        <w:rPr>
          <w:szCs w:val="20"/>
          <w:lang w:val="en-GB" w:eastAsia="en-GB"/>
        </w:rPr>
        <w:t>a)</w:t>
      </w:r>
      <w:r w:rsidRPr="004F47BB">
        <w:rPr>
          <w:szCs w:val="20"/>
          <w:lang w:val="en-GB" w:eastAsia="en-GB"/>
        </w:rPr>
        <w:tab/>
        <w:t xml:space="preserve">All monitors displaying images from cameras predominantly pointing forward must be within the helmsman’s field of vision so that he can see them without excessive movement of the head. They must be sited laterally to coincide with the cameras (port, amidships, starboard). </w:t>
      </w:r>
    </w:p>
    <w:p w:rsidR="004F47BB" w:rsidRPr="004F47BB" w:rsidRDefault="004F47BB" w:rsidP="004F47BB">
      <w:pPr>
        <w:widowControl w:val="0"/>
        <w:autoSpaceDE/>
        <w:autoSpaceDN/>
        <w:spacing w:before="60" w:line="240" w:lineRule="atLeast"/>
        <w:ind w:left="1417"/>
        <w:rPr>
          <w:rFonts w:cs="Arial"/>
          <w:szCs w:val="20"/>
          <w:lang w:val="en-GB" w:eastAsia="en-GB"/>
        </w:rPr>
      </w:pPr>
      <w:r w:rsidRPr="004F47BB">
        <w:rPr>
          <w:szCs w:val="20"/>
          <w:lang w:val="en-GB" w:eastAsia="en-GB"/>
        </w:rPr>
        <w:t>b)</w:t>
      </w:r>
      <w:r w:rsidRPr="004F47BB">
        <w:rPr>
          <w:szCs w:val="20"/>
          <w:lang w:val="en-GB" w:eastAsia="en-GB"/>
        </w:rPr>
        <w:tab/>
        <w:t>Monitors corresponding to cameras pointed aft can also, for example, be located in a second bank, centrally and on the correct side, below or above the aforementioned monitors. The image display is then consistent with that of the mirrors. If these images are only required when docking or casting off it is useful to locate these monitors on the after</w:t>
      </w:r>
      <w:r w:rsidR="007718FA">
        <w:rPr>
          <w:szCs w:val="20"/>
          <w:lang w:val="en-GB" w:eastAsia="en-GB"/>
        </w:rPr>
        <w:t>-</w:t>
      </w:r>
      <w:r w:rsidRPr="004F47BB">
        <w:rPr>
          <w:szCs w:val="20"/>
          <w:lang w:val="en-GB" w:eastAsia="en-GB"/>
        </w:rPr>
        <w:t xml:space="preserve">wheelhouse bulkhead as the helmsman is in any event looking aft or turning around when performing these manoeuvres. The images then no longer correspond to the mirror image. </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3.</w:t>
      </w:r>
      <w:r w:rsidRPr="004F47BB">
        <w:rPr>
          <w:szCs w:val="20"/>
          <w:lang w:val="en-GB" w:eastAsia="en-GB"/>
        </w:rPr>
        <w:tab/>
        <w:t>Use of several monitors</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The use of a single monitor to display a number of camera images (either simultaneously by splitting the screen into two or more zones or sequentially switching to the next camera) is not appropriate when looking forward.</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4.</w:t>
      </w:r>
      <w:r w:rsidRPr="004F47BB">
        <w:rPr>
          <w:szCs w:val="20"/>
          <w:lang w:val="en-GB" w:eastAsia="en-GB"/>
        </w:rPr>
        <w:tab/>
        <w:t>Resolution</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A minimum of 800 x 600 pixels.</w:t>
      </w:r>
    </w:p>
    <w:p w:rsidR="004F47BB" w:rsidRPr="004F47BB" w:rsidRDefault="004F47BB" w:rsidP="004F47BB">
      <w:pPr>
        <w:autoSpaceDE/>
        <w:autoSpaceDN/>
        <w:ind w:left="0" w:firstLine="0"/>
        <w:jc w:val="left"/>
        <w:rPr>
          <w:szCs w:val="20"/>
          <w:lang w:val="en-GB" w:eastAsia="en-GB"/>
        </w:rPr>
      </w:pPr>
      <w:r w:rsidRPr="004F47BB">
        <w:rPr>
          <w:szCs w:val="20"/>
          <w:lang w:val="en-GB" w:eastAsia="en-GB"/>
        </w:rPr>
        <w:br w:type="page"/>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lastRenderedPageBreak/>
        <w:t>5.</w:t>
      </w:r>
      <w:r w:rsidRPr="004F47BB">
        <w:rPr>
          <w:szCs w:val="20"/>
          <w:lang w:val="en-GB" w:eastAsia="en-GB"/>
        </w:rPr>
        <w:tab/>
        <w:t>Brightness</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 xml:space="preserve">Minimum brightness: FG ≤ 15 cd/m²; BG ≤ 5 cd/m². Maximum brightness VG ≥ 5000 cd/m² </w:t>
      </w:r>
      <w:r w:rsidRPr="004F47BB">
        <w:rPr>
          <w:rFonts w:ascii="Times New Roman" w:hAnsi="Times New Roman"/>
          <w:szCs w:val="20"/>
          <w:lang w:val="en-GB" w:eastAsia="en-GB"/>
        </w:rPr>
        <w:br/>
      </w:r>
      <w:r w:rsidRPr="004F47BB">
        <w:rPr>
          <w:szCs w:val="20"/>
          <w:lang w:val="en-GB" w:eastAsia="en-GB"/>
        </w:rPr>
        <w:t>(FG = foreground; BG = background).</w:t>
      </w:r>
    </w:p>
    <w:p w:rsidR="004F47BB" w:rsidRPr="004F47BB" w:rsidRDefault="004F47BB" w:rsidP="004F47BB">
      <w:pPr>
        <w:widowControl w:val="0"/>
        <w:autoSpaceDE/>
        <w:autoSpaceDN/>
        <w:spacing w:line="240" w:lineRule="atLeast"/>
        <w:ind w:left="0" w:firstLine="0"/>
        <w:rPr>
          <w:rFonts w:cs="Arial"/>
          <w:szCs w:val="20"/>
          <w:lang w:val="en-GB" w:eastAsia="en-GB"/>
        </w:rPr>
      </w:pPr>
    </w:p>
    <w:p w:rsidR="004F47BB" w:rsidRPr="004F47BB" w:rsidRDefault="004F47BB" w:rsidP="004F47BB">
      <w:pPr>
        <w:widowControl w:val="0"/>
        <w:autoSpaceDE/>
        <w:autoSpaceDN/>
        <w:spacing w:line="240" w:lineRule="atLeast"/>
        <w:ind w:left="567" w:hanging="567"/>
        <w:rPr>
          <w:rFonts w:cs="Arial"/>
          <w:b/>
          <w:szCs w:val="20"/>
          <w:lang w:val="en-GB" w:eastAsia="en-GB"/>
        </w:rPr>
      </w:pPr>
      <w:r w:rsidRPr="004F47BB">
        <w:rPr>
          <w:b/>
          <w:szCs w:val="20"/>
          <w:lang w:val="en-GB" w:eastAsia="en-GB"/>
        </w:rPr>
        <w:t>4.3</w:t>
      </w:r>
      <w:r w:rsidRPr="004F47BB">
        <w:rPr>
          <w:b/>
          <w:szCs w:val="20"/>
          <w:lang w:val="en-GB" w:eastAsia="en-GB"/>
        </w:rPr>
        <w:tab/>
        <w:t>Radar systems</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1.</w:t>
      </w:r>
      <w:r w:rsidRPr="004F47BB">
        <w:rPr>
          <w:szCs w:val="20"/>
          <w:lang w:val="en-GB" w:eastAsia="en-GB"/>
        </w:rPr>
        <w:tab/>
        <w:t>Radar systems</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In addition to the minimum requirements and test conditions for navigational radar installations in inland navigation (ES-TRIN, Annex 5, Section I) the radar system must comply with the following requirements.</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2.</w:t>
      </w:r>
      <w:r w:rsidRPr="004F47BB">
        <w:rPr>
          <w:szCs w:val="20"/>
          <w:lang w:val="en-GB" w:eastAsia="en-GB"/>
        </w:rPr>
        <w:tab/>
        <w:t>Antenna length</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Minimum 1.80 m.</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3.</w:t>
      </w:r>
      <w:r w:rsidRPr="004F47BB">
        <w:rPr>
          <w:szCs w:val="20"/>
          <w:lang w:val="en-GB" w:eastAsia="en-GB"/>
        </w:rPr>
        <w:tab/>
        <w:t>Near-field resolution</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 15 m.</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4.</w:t>
      </w:r>
      <w:r w:rsidRPr="004F47BB">
        <w:rPr>
          <w:szCs w:val="20"/>
          <w:lang w:val="en-GB" w:eastAsia="en-GB"/>
        </w:rPr>
        <w:tab/>
        <w:t>Radial resolution</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Pulse duration ≤ 5 m; pulse separation ≤ 15 m.</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5.</w:t>
      </w:r>
      <w:r w:rsidRPr="004F47BB">
        <w:rPr>
          <w:szCs w:val="20"/>
          <w:lang w:val="en-GB" w:eastAsia="en-GB"/>
        </w:rPr>
        <w:tab/>
        <w:t>Azimuth resolution</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 1.2 °.</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6.</w:t>
      </w:r>
      <w:r w:rsidRPr="004F47BB">
        <w:rPr>
          <w:szCs w:val="20"/>
          <w:lang w:val="en-GB" w:eastAsia="en-GB"/>
        </w:rPr>
        <w:tab/>
        <w:t>Antenna height</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The antenna height depends on the vessel’s height and cargo. The antenna must be located at least 3 m above deck height to prevent accidents caused by rotation of the antenna.</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7.</w:t>
      </w:r>
      <w:r w:rsidRPr="004F47BB">
        <w:rPr>
          <w:szCs w:val="20"/>
          <w:lang w:val="en-GB" w:eastAsia="en-GB"/>
        </w:rPr>
        <w:tab/>
        <w:t>Monitor type</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 xml:space="preserve">A TFT flat panel monitor in portrait format must be used. </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8.</w:t>
      </w:r>
      <w:r w:rsidRPr="004F47BB">
        <w:rPr>
          <w:szCs w:val="20"/>
          <w:lang w:val="en-GB" w:eastAsia="en-GB"/>
        </w:rPr>
        <w:tab/>
        <w:t>Image dimensions</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The length of the shortest side of the screen must be a minimum of 270 mm.</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9.</w:t>
      </w:r>
      <w:r w:rsidRPr="004F47BB">
        <w:rPr>
          <w:szCs w:val="20"/>
          <w:lang w:val="en-GB" w:eastAsia="en-GB"/>
        </w:rPr>
        <w:tab/>
        <w:t>Resolution</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The resolution of the monitor must be identical in both directions and the pixels must be square. The narrow side must feature at least 1024 pixels (typically 1024 x 1280 pixels).</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10.</w:t>
      </w:r>
      <w:r w:rsidRPr="004F47BB">
        <w:rPr>
          <w:szCs w:val="20"/>
          <w:lang w:val="en-GB" w:eastAsia="en-GB"/>
        </w:rPr>
        <w:tab/>
        <w:t>Brightness</w:t>
      </w:r>
    </w:p>
    <w:p w:rsidR="004F47BB" w:rsidRPr="004F47BB" w:rsidRDefault="004F47BB" w:rsidP="004F47BB">
      <w:pPr>
        <w:widowControl w:val="0"/>
        <w:autoSpaceDE/>
        <w:autoSpaceDN/>
        <w:spacing w:line="240" w:lineRule="atLeast"/>
        <w:ind w:left="992" w:firstLine="0"/>
        <w:rPr>
          <w:rFonts w:cs="Arial"/>
          <w:szCs w:val="20"/>
          <w:lang w:val="en-GB" w:eastAsia="en-GB"/>
        </w:rPr>
      </w:pPr>
      <w:r w:rsidRPr="004F47BB">
        <w:rPr>
          <w:szCs w:val="20"/>
          <w:lang w:val="en-GB" w:eastAsia="en-GB"/>
        </w:rPr>
        <w:t>Minimum brightness: FG ≤ 15 cd/m²; BG ≤ 5 cd/m².</w:t>
      </w:r>
    </w:p>
    <w:p w:rsidR="004F47BB" w:rsidRPr="004F47BB" w:rsidRDefault="004F47BB" w:rsidP="004F47BB">
      <w:pPr>
        <w:widowControl w:val="0"/>
        <w:autoSpaceDE/>
        <w:autoSpaceDN/>
        <w:spacing w:before="60" w:line="240" w:lineRule="atLeast"/>
        <w:ind w:left="992"/>
        <w:rPr>
          <w:rFonts w:cs="Arial"/>
          <w:szCs w:val="20"/>
          <w:lang w:val="en-GB" w:eastAsia="en-GB"/>
        </w:rPr>
      </w:pPr>
      <w:r w:rsidRPr="004F47BB">
        <w:rPr>
          <w:szCs w:val="20"/>
          <w:lang w:val="en-GB" w:eastAsia="en-GB"/>
        </w:rPr>
        <w:t>11.</w:t>
      </w:r>
      <w:r w:rsidRPr="004F47BB">
        <w:rPr>
          <w:szCs w:val="20"/>
          <w:lang w:val="en-GB" w:eastAsia="en-GB"/>
        </w:rPr>
        <w:tab/>
        <w:t>Monitor location/operation</w:t>
      </w:r>
    </w:p>
    <w:p w:rsidR="004F47BB" w:rsidRPr="004F47BB" w:rsidRDefault="004F47BB" w:rsidP="004F47BB">
      <w:pPr>
        <w:spacing w:line="240" w:lineRule="atLeast"/>
        <w:ind w:left="993" w:firstLine="0"/>
        <w:rPr>
          <w:noProof/>
          <w:lang w:val="en-US" w:bidi="fr-FR"/>
        </w:rPr>
      </w:pPr>
      <w:r w:rsidRPr="004F47BB">
        <w:rPr>
          <w:szCs w:val="20"/>
          <w:lang w:val="en-GB" w:eastAsia="en-GB"/>
        </w:rPr>
        <w:t>The radar screen and its controls must be installed in accordance with the requirements for installation and performance tests for navigational radar installations and rate-of-turn indicators in inland navigation (ES-TRIN, Annex 5, Section III, Article 5).</w:t>
      </w:r>
    </w:p>
    <w:p w:rsidR="004F47BB" w:rsidRPr="004F47BB" w:rsidRDefault="004F47BB" w:rsidP="004F47BB">
      <w:pPr>
        <w:spacing w:line="240" w:lineRule="atLeast"/>
        <w:ind w:left="0" w:firstLine="0"/>
        <w:jc w:val="center"/>
        <w:rPr>
          <w:noProof/>
          <w:lang w:val="en-US" w:bidi="fr-FR"/>
        </w:rPr>
      </w:pPr>
    </w:p>
    <w:p w:rsidR="004F47BB" w:rsidRPr="004F47BB" w:rsidRDefault="004F47BB" w:rsidP="004F47BB">
      <w:pPr>
        <w:spacing w:line="240" w:lineRule="atLeast"/>
        <w:ind w:left="0" w:firstLine="0"/>
        <w:jc w:val="center"/>
        <w:rPr>
          <w:noProof/>
          <w:lang w:val="en-US" w:bidi="fr-FR"/>
        </w:rPr>
      </w:pPr>
      <w:r w:rsidRPr="004F47BB">
        <w:rPr>
          <w:noProof/>
          <w:lang w:val="en-US" w:bidi="fr-FR"/>
        </w:rPr>
        <w:br w:type="page"/>
      </w:r>
    </w:p>
    <w:p w:rsidR="004F47BB" w:rsidRPr="004F47BB" w:rsidRDefault="004F47BB" w:rsidP="004F47BB">
      <w:pPr>
        <w:spacing w:line="240" w:lineRule="atLeast"/>
        <w:ind w:left="0" w:firstLine="0"/>
        <w:jc w:val="center"/>
        <w:rPr>
          <w:noProof/>
          <w:lang w:val="en-US" w:bidi="fr-FR"/>
        </w:rPr>
      </w:pPr>
    </w:p>
    <w:p w:rsidR="004F47BB" w:rsidRPr="004F47BB" w:rsidRDefault="004F47BB" w:rsidP="004F47BB">
      <w:pPr>
        <w:spacing w:line="240" w:lineRule="atLeast"/>
        <w:ind w:left="0" w:firstLine="0"/>
        <w:jc w:val="center"/>
        <w:rPr>
          <w:noProof/>
          <w:lang w:val="en-US" w:bidi="fr-FR"/>
        </w:rPr>
      </w:pPr>
    </w:p>
    <w:p w:rsidR="004F47BB" w:rsidRPr="004F47BB" w:rsidRDefault="004F47BB" w:rsidP="004F47BB">
      <w:pPr>
        <w:spacing w:line="240" w:lineRule="atLeast"/>
        <w:ind w:left="0" w:firstLine="0"/>
        <w:jc w:val="center"/>
        <w:rPr>
          <w:noProof/>
          <w:lang w:val="en-US" w:bidi="fr-FR"/>
        </w:rPr>
      </w:pPr>
    </w:p>
    <w:p w:rsidR="004F47BB" w:rsidRPr="004F47BB" w:rsidRDefault="004F47BB" w:rsidP="004F47BB">
      <w:pPr>
        <w:spacing w:line="240" w:lineRule="atLeast"/>
        <w:ind w:left="0" w:firstLine="0"/>
        <w:jc w:val="center"/>
        <w:rPr>
          <w:noProof/>
          <w:lang w:val="en-US" w:bidi="fr-FR"/>
        </w:rPr>
      </w:pPr>
    </w:p>
    <w:p w:rsidR="004F47BB" w:rsidRPr="004F47BB" w:rsidRDefault="004F47BB" w:rsidP="004F47BB">
      <w:pPr>
        <w:overflowPunct w:val="0"/>
        <w:adjustRightInd w:val="0"/>
        <w:ind w:left="0" w:firstLine="0"/>
        <w:jc w:val="left"/>
        <w:textAlignment w:val="baseline"/>
        <w:rPr>
          <w:szCs w:val="20"/>
          <w:lang w:val="en-US"/>
        </w:rPr>
        <w:sectPr w:rsidR="004F47BB" w:rsidRPr="004F47BB" w:rsidSect="00D45887">
          <w:footnotePr>
            <w:numRestart w:val="eachPage"/>
          </w:footnotePr>
          <w:pgSz w:w="11907" w:h="16840" w:code="9"/>
          <w:pgMar w:top="1418" w:right="1418" w:bottom="1418" w:left="1418" w:header="680" w:footer="680" w:gutter="0"/>
          <w:cols w:space="720"/>
          <w:docGrid w:linePitch="326"/>
        </w:sectPr>
      </w:pPr>
    </w:p>
    <w:p w:rsidR="004F47BB" w:rsidRPr="004F47BB" w:rsidRDefault="004F47BB" w:rsidP="005B46C9">
      <w:pPr>
        <w:pStyle w:val="ES-Titre2ESI"/>
      </w:pPr>
      <w:bookmarkStart w:id="397" w:name="_Toc491854356"/>
      <w:r w:rsidRPr="004F47BB">
        <w:lastRenderedPageBreak/>
        <w:t>ESI-II-7</w:t>
      </w:r>
      <w:r w:rsidRPr="004F47BB">
        <w:br/>
        <w:t>Used oil collection facilities</w:t>
      </w:r>
      <w:bookmarkEnd w:id="397"/>
    </w:p>
    <w:p w:rsidR="004F47BB" w:rsidRPr="004F47BB" w:rsidRDefault="004F47BB" w:rsidP="004F47BB">
      <w:pPr>
        <w:tabs>
          <w:tab w:val="center" w:pos="4513"/>
        </w:tabs>
        <w:overflowPunct w:val="0"/>
        <w:adjustRightInd w:val="0"/>
        <w:ind w:left="0" w:firstLine="0"/>
        <w:jc w:val="center"/>
        <w:textAlignment w:val="baseline"/>
        <w:rPr>
          <w:b/>
          <w:szCs w:val="20"/>
          <w:lang w:val="en-US"/>
        </w:rPr>
      </w:pPr>
    </w:p>
    <w:p w:rsidR="004F47BB" w:rsidRPr="004F47BB" w:rsidRDefault="004F47BB" w:rsidP="004F47BB">
      <w:pPr>
        <w:tabs>
          <w:tab w:val="center" w:pos="4513"/>
        </w:tabs>
        <w:overflowPunct w:val="0"/>
        <w:adjustRightInd w:val="0"/>
        <w:ind w:left="0" w:firstLine="0"/>
        <w:jc w:val="center"/>
        <w:textAlignment w:val="baseline"/>
        <w:rPr>
          <w:b/>
          <w:szCs w:val="20"/>
          <w:lang w:val="en-US"/>
        </w:rPr>
      </w:pPr>
      <w:r w:rsidRPr="004F47BB">
        <w:rPr>
          <w:b/>
          <w:szCs w:val="20"/>
          <w:lang w:val="en-US"/>
        </w:rPr>
        <w:t>(Article 8.09)</w:t>
      </w:r>
    </w:p>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ind w:left="0" w:firstLine="0"/>
        <w:textAlignment w:val="baseline"/>
        <w:rPr>
          <w:szCs w:val="20"/>
          <w:lang w:val="en-US"/>
        </w:rPr>
      </w:pPr>
    </w:p>
    <w:p w:rsidR="004F47BB" w:rsidRPr="004F47BB" w:rsidRDefault="004F47BB" w:rsidP="004F47BB">
      <w:pPr>
        <w:spacing w:line="240" w:lineRule="atLeast"/>
        <w:ind w:left="0" w:firstLine="0"/>
        <w:rPr>
          <w:noProof/>
          <w:lang w:val="en-US" w:bidi="fr-FR"/>
        </w:rPr>
      </w:pPr>
      <w:r w:rsidRPr="004F47BB">
        <w:rPr>
          <w:noProof/>
          <w:lang w:val="en-US" w:bidi="fr-FR"/>
        </w:rPr>
        <w:t>Existing vessels referred to in article 32.02(1), whose permanently installed bilge pumping and drainage systems and static oil separators have been removed from their engine rooms, no longer comply with article 5.07 of the RVIR in force as at 31.12.1994.</w:t>
      </w:r>
    </w:p>
    <w:p w:rsidR="004F47BB" w:rsidRPr="004F47BB" w:rsidRDefault="004F47BB" w:rsidP="004F47BB">
      <w:pPr>
        <w:spacing w:line="240" w:lineRule="atLeast"/>
        <w:ind w:left="0" w:firstLine="0"/>
        <w:rPr>
          <w:noProof/>
          <w:lang w:val="en-US" w:bidi="fr-FR"/>
        </w:rPr>
      </w:pPr>
    </w:p>
    <w:p w:rsidR="004F47BB" w:rsidRPr="004F47BB" w:rsidRDefault="004F47BB" w:rsidP="004F47BB">
      <w:pPr>
        <w:spacing w:line="240" w:lineRule="atLeast"/>
        <w:ind w:left="0" w:firstLine="0"/>
        <w:rPr>
          <w:noProof/>
          <w:lang w:val="en-US" w:bidi="fr-FR"/>
        </w:rPr>
      </w:pPr>
      <w:r w:rsidRPr="004F47BB">
        <w:rPr>
          <w:noProof/>
          <w:lang w:val="en-US" w:bidi="fr-FR"/>
        </w:rPr>
        <w:t>In accordance with the transitional provisions, these vessels must be equipped with a used-oil collection tank referred to in article 8.09(2), with the exception of those cases referred to in article 8.09(3).</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r w:rsidRPr="004F47BB">
        <w:rPr>
          <w:szCs w:val="20"/>
          <w:lang w:val="en-US"/>
        </w:rPr>
        <w:br w:type="page"/>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sectPr w:rsidR="004F47BB" w:rsidRPr="004F47BB" w:rsidSect="00D45887">
          <w:footnotePr>
            <w:numRestart w:val="eachPage"/>
          </w:footnotePr>
          <w:pgSz w:w="11907" w:h="16840" w:code="9"/>
          <w:pgMar w:top="1418" w:right="1418" w:bottom="1418" w:left="1418" w:header="680" w:footer="680" w:gutter="0"/>
          <w:cols w:space="720"/>
          <w:docGrid w:linePitch="326"/>
        </w:sectPr>
      </w:pPr>
    </w:p>
    <w:p w:rsidR="004F47BB" w:rsidRPr="004F47BB" w:rsidRDefault="004F47BB" w:rsidP="005B46C9">
      <w:pPr>
        <w:pStyle w:val="ES-Titre2ESI"/>
        <w:rPr>
          <w:snapToGrid w:val="0"/>
        </w:rPr>
      </w:pPr>
      <w:bookmarkStart w:id="398" w:name="_Toc491854357"/>
      <w:r w:rsidRPr="004F47BB">
        <w:lastRenderedPageBreak/>
        <w:t>ESI-II-8</w:t>
      </w:r>
      <w:r w:rsidRPr="004F47BB">
        <w:br/>
      </w:r>
      <w:r w:rsidRPr="004F47BB">
        <w:rPr>
          <w:snapToGrid w:val="0"/>
        </w:rPr>
        <w:t>(Left void)</w:t>
      </w:r>
      <w:bookmarkEnd w:id="398"/>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spacing w:line="240" w:lineRule="atLeast"/>
        <w:rPr>
          <w:rFonts w:cs="Arial"/>
          <w:color w:val="000000"/>
          <w:lang w:val="en-US"/>
        </w:rPr>
      </w:pPr>
    </w:p>
    <w:p w:rsidR="004F47BB" w:rsidRPr="004F47BB" w:rsidRDefault="004F47BB" w:rsidP="004F47BB">
      <w:pPr>
        <w:autoSpaceDE/>
        <w:autoSpaceDN/>
        <w:ind w:left="0" w:firstLine="0"/>
        <w:jc w:val="left"/>
        <w:rPr>
          <w:rFonts w:cs="Arial"/>
          <w:color w:val="000000"/>
          <w:lang w:val="en-US"/>
        </w:rPr>
      </w:pPr>
      <w:r w:rsidRPr="004F47BB">
        <w:rPr>
          <w:lang w:val="en-US"/>
        </w:rPr>
        <w:br w:type="page"/>
      </w:r>
    </w:p>
    <w:p w:rsidR="004F47BB" w:rsidRPr="004F47BB" w:rsidRDefault="004F47BB" w:rsidP="004F47BB">
      <w:pPr>
        <w:spacing w:line="240" w:lineRule="atLeast"/>
        <w:rPr>
          <w:rFonts w:cs="Arial"/>
          <w:color w:val="000000"/>
          <w:lang w:val="en-US"/>
        </w:rPr>
      </w:pPr>
    </w:p>
    <w:p w:rsidR="004F47BB" w:rsidRPr="004F47BB" w:rsidRDefault="004F47BB" w:rsidP="004F47BB">
      <w:pPr>
        <w:spacing w:line="240" w:lineRule="atLeast"/>
        <w:rPr>
          <w:rFonts w:cs="Arial"/>
          <w:color w:val="000000"/>
          <w:lang w:val="en-US"/>
        </w:rPr>
      </w:pPr>
    </w:p>
    <w:p w:rsidR="004F47BB" w:rsidRPr="004F47BB" w:rsidRDefault="004F47BB" w:rsidP="004F47BB">
      <w:pPr>
        <w:spacing w:line="240" w:lineRule="atLeast"/>
        <w:rPr>
          <w:rFonts w:cs="Arial"/>
          <w:color w:val="000000"/>
          <w:lang w:val="en-US"/>
        </w:rPr>
      </w:pPr>
    </w:p>
    <w:p w:rsidR="004F47BB" w:rsidRPr="004F47BB" w:rsidRDefault="004F47BB" w:rsidP="004F47BB">
      <w:pPr>
        <w:spacing w:line="240" w:lineRule="atLeast"/>
        <w:rPr>
          <w:rFonts w:cs="Arial"/>
          <w:color w:val="000000"/>
          <w:lang w:val="en-US"/>
        </w:rPr>
      </w:pPr>
    </w:p>
    <w:p w:rsidR="004F47BB" w:rsidRPr="004F47BB" w:rsidRDefault="004F47BB" w:rsidP="004F47BB">
      <w:pPr>
        <w:spacing w:line="240" w:lineRule="atLeast"/>
        <w:rPr>
          <w:rFonts w:cs="Arial"/>
          <w:color w:val="000000"/>
          <w:szCs w:val="20"/>
          <w:lang w:val="en-US"/>
        </w:rPr>
        <w:sectPr w:rsidR="004F47BB" w:rsidRPr="004F47BB" w:rsidSect="00D45887">
          <w:footnotePr>
            <w:numRestart w:val="eachPage"/>
          </w:footnotePr>
          <w:pgSz w:w="11907" w:h="16840" w:code="9"/>
          <w:pgMar w:top="1418" w:right="1418" w:bottom="1418" w:left="1418" w:header="680" w:footer="680" w:gutter="0"/>
          <w:cols w:space="720"/>
          <w:docGrid w:linePitch="326"/>
        </w:sectPr>
      </w:pPr>
    </w:p>
    <w:p w:rsidR="004F47BB" w:rsidRPr="004F47BB" w:rsidRDefault="004F47BB" w:rsidP="003F3DE1">
      <w:pPr>
        <w:pStyle w:val="ES-Titre2ESI"/>
      </w:pPr>
      <w:bookmarkStart w:id="399" w:name="_Toc491854358"/>
      <w:r w:rsidRPr="004F47BB">
        <w:lastRenderedPageBreak/>
        <w:t>ESI-II-9</w:t>
      </w:r>
      <w:r w:rsidRPr="004F47BB">
        <w:br/>
        <w:t>Special anchors with reduced mass</w:t>
      </w:r>
      <w:bookmarkEnd w:id="399"/>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tabs>
          <w:tab w:val="left" w:pos="284"/>
          <w:tab w:val="left" w:pos="567"/>
        </w:tabs>
        <w:overflowPunct w:val="0"/>
        <w:adjustRightInd w:val="0"/>
        <w:ind w:left="0" w:firstLine="0"/>
        <w:jc w:val="center"/>
        <w:textAlignment w:val="baseline"/>
        <w:rPr>
          <w:szCs w:val="20"/>
          <w:lang w:val="en-US"/>
        </w:rPr>
      </w:pPr>
      <w:r w:rsidRPr="004F47BB">
        <w:rPr>
          <w:b/>
          <w:szCs w:val="20"/>
          <w:lang w:val="en-US"/>
        </w:rPr>
        <w:t>(Article 13.01(5))</w:t>
      </w:r>
    </w:p>
    <w:p w:rsidR="004F47BB" w:rsidRPr="004F47BB" w:rsidRDefault="004F47BB" w:rsidP="004F47BB">
      <w:pPr>
        <w:tabs>
          <w:tab w:val="left" w:pos="284"/>
          <w:tab w:val="left" w:pos="567"/>
        </w:tabs>
        <w:overflowPunct w:val="0"/>
        <w:adjustRightInd w:val="0"/>
        <w:ind w:left="0" w:firstLine="0"/>
        <w:textAlignment w:val="baseline"/>
        <w:rPr>
          <w:szCs w:val="20"/>
          <w:lang w:val="en-US"/>
        </w:rPr>
      </w:pPr>
    </w:p>
    <w:p w:rsidR="004F47BB" w:rsidRPr="004F47BB" w:rsidRDefault="004F47BB" w:rsidP="004F47BB">
      <w:pPr>
        <w:tabs>
          <w:tab w:val="left" w:pos="284"/>
          <w:tab w:val="left" w:pos="567"/>
        </w:tabs>
        <w:overflowPunct w:val="0"/>
        <w:adjustRightInd w:val="0"/>
        <w:ind w:left="284" w:hanging="284"/>
        <w:textAlignment w:val="baseline"/>
        <w:rPr>
          <w:b/>
          <w:szCs w:val="20"/>
          <w:lang w:val="en-US"/>
        </w:rPr>
      </w:pPr>
      <w:r w:rsidRPr="004F47BB">
        <w:rPr>
          <w:b/>
          <w:szCs w:val="20"/>
          <w:lang w:val="en-US"/>
        </w:rPr>
        <w:t>Section 1</w:t>
      </w:r>
    </w:p>
    <w:p w:rsidR="004F47BB" w:rsidRPr="004F47BB" w:rsidRDefault="004F47BB" w:rsidP="004F47BB">
      <w:pPr>
        <w:tabs>
          <w:tab w:val="left" w:pos="284"/>
          <w:tab w:val="left" w:pos="567"/>
        </w:tabs>
        <w:overflowPunct w:val="0"/>
        <w:adjustRightInd w:val="0"/>
        <w:ind w:left="284" w:hanging="284"/>
        <w:textAlignment w:val="baseline"/>
        <w:rPr>
          <w:b/>
          <w:szCs w:val="20"/>
          <w:lang w:val="en-US"/>
        </w:rPr>
      </w:pPr>
    </w:p>
    <w:p w:rsidR="004F47BB" w:rsidRPr="004F47BB" w:rsidRDefault="004F47BB" w:rsidP="004F47BB">
      <w:pPr>
        <w:tabs>
          <w:tab w:val="left" w:pos="284"/>
          <w:tab w:val="left" w:pos="567"/>
        </w:tabs>
        <w:overflowPunct w:val="0"/>
        <w:adjustRightInd w:val="0"/>
        <w:ind w:left="284" w:hanging="284"/>
        <w:textAlignment w:val="baseline"/>
        <w:rPr>
          <w:szCs w:val="20"/>
          <w:lang w:val="en-US"/>
        </w:rPr>
      </w:pPr>
      <w:r w:rsidRPr="004F47BB">
        <w:rPr>
          <w:b/>
          <w:szCs w:val="20"/>
          <w:lang w:val="en-US"/>
        </w:rPr>
        <w:t>Authorised special anchors</w:t>
      </w:r>
    </w:p>
    <w:p w:rsidR="004F47BB" w:rsidRPr="004F47BB" w:rsidRDefault="004F47BB" w:rsidP="004F47BB">
      <w:pPr>
        <w:tabs>
          <w:tab w:val="left" w:pos="284"/>
          <w:tab w:val="left" w:pos="567"/>
        </w:tabs>
        <w:overflowPunct w:val="0"/>
        <w:adjustRightInd w:val="0"/>
        <w:ind w:left="284" w:hanging="284"/>
        <w:textAlignment w:val="baseline"/>
        <w:rPr>
          <w:szCs w:val="20"/>
          <w:lang w:val="en-US"/>
        </w:rPr>
      </w:pPr>
    </w:p>
    <w:p w:rsidR="004F47BB" w:rsidRPr="004F47BB" w:rsidRDefault="004F47BB" w:rsidP="004F47BB">
      <w:pPr>
        <w:tabs>
          <w:tab w:val="left" w:pos="0"/>
          <w:tab w:val="left" w:pos="567"/>
        </w:tabs>
        <w:overflowPunct w:val="0"/>
        <w:adjustRightInd w:val="0"/>
        <w:ind w:left="0" w:firstLine="0"/>
        <w:textAlignment w:val="baseline"/>
        <w:rPr>
          <w:szCs w:val="20"/>
          <w:lang w:val="en-US"/>
        </w:rPr>
      </w:pPr>
      <w:r w:rsidRPr="004F47BB">
        <w:rPr>
          <w:noProof/>
          <w:szCs w:val="20"/>
          <w:lang w:val="en-US"/>
        </w:rPr>
        <w:t>Special anchors with a reduced mass, authorised by competent authorities according to Article 13.01(5) are listed in the following table.</w:t>
      </w:r>
    </w:p>
    <w:p w:rsidR="004F47BB" w:rsidRPr="004F47BB" w:rsidRDefault="004F47BB" w:rsidP="004F47BB">
      <w:pPr>
        <w:tabs>
          <w:tab w:val="left" w:pos="284"/>
          <w:tab w:val="left" w:pos="567"/>
        </w:tabs>
        <w:overflowPunct w:val="0"/>
        <w:adjustRightInd w:val="0"/>
        <w:ind w:left="284" w:hanging="284"/>
        <w:textAlignment w:val="baseline"/>
        <w:rPr>
          <w:szCs w:val="20"/>
          <w:lang w:val="en-US"/>
        </w:rPr>
      </w:pPr>
    </w:p>
    <w:tbl>
      <w:tblPr>
        <w:tblW w:w="0" w:type="auto"/>
        <w:jc w:val="center"/>
        <w:tblLayout w:type="fixed"/>
        <w:tblCellMar>
          <w:left w:w="0" w:type="dxa"/>
          <w:right w:w="0" w:type="dxa"/>
        </w:tblCellMar>
        <w:tblLook w:val="0000" w:firstRow="0" w:lastRow="0" w:firstColumn="0" w:lastColumn="0" w:noHBand="0" w:noVBand="0"/>
      </w:tblPr>
      <w:tblGrid>
        <w:gridCol w:w="2948"/>
        <w:gridCol w:w="2778"/>
        <w:gridCol w:w="2552"/>
      </w:tblGrid>
      <w:tr w:rsidR="004F47BB" w:rsidRPr="004F47BB" w:rsidTr="00D45887">
        <w:trPr>
          <w:jc w:val="center"/>
        </w:trPr>
        <w:tc>
          <w:tcPr>
            <w:tcW w:w="2948" w:type="dxa"/>
            <w:tcBorders>
              <w:top w:val="single" w:sz="6" w:space="0" w:color="auto"/>
              <w:left w:val="single" w:sz="6" w:space="0" w:color="auto"/>
              <w:bottom w:val="nil"/>
              <w:right w:val="nil"/>
            </w:tcBorders>
            <w:vAlign w:val="center"/>
          </w:tcPr>
          <w:p w:rsidR="004F47BB" w:rsidRPr="004F47BB" w:rsidRDefault="004F47BB" w:rsidP="004F47BB">
            <w:pPr>
              <w:tabs>
                <w:tab w:val="center" w:pos="1464"/>
              </w:tabs>
              <w:overflowPunct w:val="0"/>
              <w:adjustRightInd w:val="0"/>
              <w:spacing w:before="100" w:after="100" w:line="240" w:lineRule="atLeast"/>
              <w:ind w:left="0" w:firstLine="0"/>
              <w:jc w:val="center"/>
              <w:textAlignment w:val="baseline"/>
              <w:rPr>
                <w:sz w:val="18"/>
                <w:szCs w:val="20"/>
              </w:rPr>
            </w:pPr>
            <w:r w:rsidRPr="004F47BB">
              <w:rPr>
                <w:sz w:val="18"/>
                <w:szCs w:val="20"/>
              </w:rPr>
              <w:t>Anchor nr.</w:t>
            </w:r>
          </w:p>
        </w:tc>
        <w:tc>
          <w:tcPr>
            <w:tcW w:w="2778" w:type="dxa"/>
            <w:tcBorders>
              <w:top w:val="single" w:sz="6" w:space="0" w:color="auto"/>
              <w:left w:val="single" w:sz="6" w:space="0" w:color="auto"/>
              <w:bottom w:val="nil"/>
              <w:right w:val="nil"/>
            </w:tcBorders>
            <w:vAlign w:val="center"/>
          </w:tcPr>
          <w:p w:rsidR="004F47BB" w:rsidRPr="004F47BB" w:rsidRDefault="004F47BB" w:rsidP="004F47BB">
            <w:pPr>
              <w:tabs>
                <w:tab w:val="center" w:pos="1445"/>
              </w:tabs>
              <w:overflowPunct w:val="0"/>
              <w:adjustRightInd w:val="0"/>
              <w:spacing w:before="100" w:after="100" w:line="240" w:lineRule="atLeast"/>
              <w:ind w:left="0" w:firstLine="0"/>
              <w:jc w:val="center"/>
              <w:textAlignment w:val="baseline"/>
              <w:rPr>
                <w:sz w:val="18"/>
                <w:szCs w:val="20"/>
                <w:lang w:val="en-US"/>
              </w:rPr>
            </w:pPr>
            <w:r w:rsidRPr="004F47BB">
              <w:rPr>
                <w:sz w:val="18"/>
                <w:szCs w:val="20"/>
                <w:lang w:val="en-US"/>
              </w:rPr>
              <w:t>Accepted reduction of the anchor</w:t>
            </w:r>
            <w:r w:rsidR="007718FA">
              <w:rPr>
                <w:sz w:val="18"/>
                <w:szCs w:val="20"/>
                <w:lang w:val="en-US"/>
              </w:rPr>
              <w:t xml:space="preserve"> </w:t>
            </w:r>
            <w:r w:rsidRPr="004F47BB">
              <w:rPr>
                <w:sz w:val="18"/>
                <w:szCs w:val="20"/>
                <w:lang w:val="en-US"/>
              </w:rPr>
              <w:t>mass (%)</w:t>
            </w:r>
          </w:p>
        </w:tc>
        <w:tc>
          <w:tcPr>
            <w:tcW w:w="2552" w:type="dxa"/>
            <w:tcBorders>
              <w:top w:val="single" w:sz="6" w:space="0" w:color="auto"/>
              <w:left w:val="single" w:sz="6" w:space="0" w:color="auto"/>
              <w:bottom w:val="nil"/>
              <w:right w:val="single" w:sz="6" w:space="0" w:color="auto"/>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ind w:left="0" w:firstLine="0"/>
              <w:jc w:val="center"/>
              <w:textAlignment w:val="baseline"/>
              <w:rPr>
                <w:sz w:val="18"/>
                <w:szCs w:val="20"/>
              </w:rPr>
            </w:pPr>
            <w:r w:rsidRPr="004F47BB">
              <w:rPr>
                <w:sz w:val="18"/>
                <w:szCs w:val="20"/>
              </w:rPr>
              <w:t>Competent Authority</w:t>
            </w:r>
          </w:p>
        </w:tc>
      </w:tr>
      <w:tr w:rsidR="004F47BB" w:rsidRPr="004F47BB" w:rsidTr="00D45887">
        <w:trPr>
          <w:jc w:val="center"/>
        </w:trPr>
        <w:tc>
          <w:tcPr>
            <w:tcW w:w="2948" w:type="dxa"/>
            <w:tcBorders>
              <w:top w:val="single" w:sz="6" w:space="0" w:color="auto"/>
              <w:left w:val="single" w:sz="6" w:space="0" w:color="auto"/>
              <w:bottom w:val="nil"/>
              <w:right w:val="nil"/>
            </w:tcBorders>
            <w:vAlign w:val="center"/>
          </w:tcPr>
          <w:p w:rsidR="004F47BB" w:rsidRPr="004F47BB" w:rsidRDefault="004F47BB" w:rsidP="004F47BB">
            <w:pPr>
              <w:overflowPunct w:val="0"/>
              <w:adjustRightInd w:val="0"/>
              <w:spacing w:before="100" w:after="100" w:line="240" w:lineRule="atLeast"/>
              <w:ind w:left="538" w:right="113"/>
              <w:jc w:val="left"/>
              <w:textAlignment w:val="baseline"/>
              <w:rPr>
                <w:sz w:val="18"/>
                <w:szCs w:val="20"/>
              </w:rPr>
            </w:pPr>
            <w:r w:rsidRPr="004F47BB">
              <w:rPr>
                <w:sz w:val="18"/>
                <w:szCs w:val="20"/>
              </w:rPr>
              <w:t>1.</w:t>
            </w:r>
            <w:r w:rsidRPr="004F47BB">
              <w:rPr>
                <w:sz w:val="18"/>
                <w:szCs w:val="20"/>
              </w:rPr>
              <w:tab/>
            </w:r>
            <w:r w:rsidRPr="004F47BB">
              <w:rPr>
                <w:noProof/>
                <w:sz w:val="18"/>
                <w:szCs w:val="20"/>
              </w:rPr>
              <w:t>HA-DU</w:t>
            </w:r>
          </w:p>
        </w:tc>
        <w:tc>
          <w:tcPr>
            <w:tcW w:w="2778" w:type="dxa"/>
            <w:tcBorders>
              <w:top w:val="single" w:sz="6" w:space="0" w:color="auto"/>
              <w:left w:val="single" w:sz="6" w:space="0" w:color="auto"/>
              <w:bottom w:val="nil"/>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ind w:left="0" w:firstLine="0"/>
              <w:jc w:val="center"/>
              <w:textAlignment w:val="baseline"/>
              <w:rPr>
                <w:sz w:val="18"/>
                <w:szCs w:val="20"/>
              </w:rPr>
            </w:pPr>
            <w:r w:rsidRPr="004F47BB">
              <w:rPr>
                <w:sz w:val="18"/>
                <w:szCs w:val="20"/>
              </w:rPr>
              <w:t>30 %</w:t>
            </w:r>
          </w:p>
        </w:tc>
        <w:tc>
          <w:tcPr>
            <w:tcW w:w="2552" w:type="dxa"/>
            <w:tcBorders>
              <w:top w:val="single" w:sz="6" w:space="0" w:color="auto"/>
              <w:left w:val="single" w:sz="6" w:space="0" w:color="auto"/>
              <w:bottom w:val="nil"/>
              <w:right w:val="single" w:sz="6" w:space="0" w:color="auto"/>
            </w:tcBorders>
            <w:vAlign w:val="center"/>
          </w:tcPr>
          <w:p w:rsidR="004F47BB" w:rsidRPr="004F47BB" w:rsidRDefault="004F47BB" w:rsidP="004F47BB">
            <w:pPr>
              <w:spacing w:before="100" w:after="100" w:line="240" w:lineRule="atLeast"/>
              <w:ind w:left="516" w:right="113" w:hanging="403"/>
              <w:jc w:val="center"/>
              <w:rPr>
                <w:noProof/>
                <w:sz w:val="18"/>
              </w:rPr>
            </w:pPr>
            <w:r w:rsidRPr="004F47BB">
              <w:rPr>
                <w:noProof/>
                <w:sz w:val="18"/>
              </w:rPr>
              <w:t xml:space="preserve">Germany </w:t>
            </w:r>
          </w:p>
        </w:tc>
      </w:tr>
      <w:tr w:rsidR="004F47BB" w:rsidRPr="004F47BB" w:rsidTr="00D45887">
        <w:trPr>
          <w:jc w:val="center"/>
        </w:trPr>
        <w:tc>
          <w:tcPr>
            <w:tcW w:w="2948" w:type="dxa"/>
            <w:tcBorders>
              <w:top w:val="single" w:sz="6" w:space="0" w:color="auto"/>
              <w:left w:val="single" w:sz="6" w:space="0" w:color="auto"/>
              <w:bottom w:val="nil"/>
              <w:right w:val="nil"/>
            </w:tcBorders>
            <w:vAlign w:val="center"/>
          </w:tcPr>
          <w:p w:rsidR="004F47BB" w:rsidRPr="004F47BB" w:rsidRDefault="004F47BB" w:rsidP="004F47BB">
            <w:pPr>
              <w:overflowPunct w:val="0"/>
              <w:adjustRightInd w:val="0"/>
              <w:spacing w:before="100" w:after="100" w:line="240" w:lineRule="atLeast"/>
              <w:ind w:left="538" w:right="113"/>
              <w:jc w:val="left"/>
              <w:textAlignment w:val="baseline"/>
              <w:rPr>
                <w:sz w:val="18"/>
                <w:szCs w:val="20"/>
              </w:rPr>
            </w:pPr>
            <w:r w:rsidRPr="004F47BB">
              <w:rPr>
                <w:sz w:val="18"/>
                <w:szCs w:val="20"/>
              </w:rPr>
              <w:t>2.</w:t>
            </w:r>
            <w:r w:rsidRPr="004F47BB">
              <w:rPr>
                <w:sz w:val="18"/>
                <w:szCs w:val="20"/>
              </w:rPr>
              <w:tab/>
            </w:r>
            <w:r w:rsidRPr="004F47BB">
              <w:rPr>
                <w:noProof/>
                <w:sz w:val="18"/>
                <w:szCs w:val="20"/>
              </w:rPr>
              <w:t>D'Hone Spezial</w:t>
            </w:r>
          </w:p>
        </w:tc>
        <w:tc>
          <w:tcPr>
            <w:tcW w:w="2778" w:type="dxa"/>
            <w:tcBorders>
              <w:top w:val="single" w:sz="6" w:space="0" w:color="auto"/>
              <w:left w:val="single" w:sz="6" w:space="0" w:color="auto"/>
              <w:bottom w:val="nil"/>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ind w:left="0" w:firstLine="0"/>
              <w:jc w:val="center"/>
              <w:textAlignment w:val="baseline"/>
              <w:rPr>
                <w:sz w:val="18"/>
                <w:szCs w:val="20"/>
              </w:rPr>
            </w:pPr>
            <w:r w:rsidRPr="004F47BB">
              <w:rPr>
                <w:sz w:val="18"/>
                <w:szCs w:val="20"/>
              </w:rPr>
              <w:t>30 %</w:t>
            </w:r>
          </w:p>
        </w:tc>
        <w:tc>
          <w:tcPr>
            <w:tcW w:w="2552" w:type="dxa"/>
            <w:tcBorders>
              <w:top w:val="single" w:sz="6" w:space="0" w:color="auto"/>
              <w:left w:val="single" w:sz="6" w:space="0" w:color="auto"/>
              <w:bottom w:val="nil"/>
              <w:right w:val="single" w:sz="6" w:space="0" w:color="auto"/>
            </w:tcBorders>
            <w:vAlign w:val="center"/>
          </w:tcPr>
          <w:p w:rsidR="004F47BB" w:rsidRPr="004F47BB" w:rsidRDefault="004F47BB" w:rsidP="004F47BB">
            <w:pPr>
              <w:spacing w:before="100" w:after="100" w:line="240" w:lineRule="atLeast"/>
              <w:ind w:left="516" w:right="113" w:hanging="403"/>
              <w:jc w:val="center"/>
              <w:rPr>
                <w:noProof/>
                <w:sz w:val="18"/>
              </w:rPr>
            </w:pPr>
            <w:r w:rsidRPr="004F47BB">
              <w:rPr>
                <w:noProof/>
                <w:sz w:val="18"/>
              </w:rPr>
              <w:t xml:space="preserve">Germany </w:t>
            </w:r>
          </w:p>
        </w:tc>
      </w:tr>
      <w:tr w:rsidR="004F47BB" w:rsidRPr="004F47BB" w:rsidTr="00D45887">
        <w:trPr>
          <w:jc w:val="center"/>
        </w:trPr>
        <w:tc>
          <w:tcPr>
            <w:tcW w:w="2948" w:type="dxa"/>
            <w:tcBorders>
              <w:top w:val="single" w:sz="6" w:space="0" w:color="auto"/>
              <w:left w:val="single" w:sz="6" w:space="0" w:color="auto"/>
              <w:bottom w:val="nil"/>
              <w:right w:val="nil"/>
            </w:tcBorders>
            <w:vAlign w:val="center"/>
          </w:tcPr>
          <w:p w:rsidR="004F47BB" w:rsidRPr="004F47BB" w:rsidRDefault="004F47BB" w:rsidP="004F47BB">
            <w:pPr>
              <w:overflowPunct w:val="0"/>
              <w:adjustRightInd w:val="0"/>
              <w:spacing w:before="100" w:after="100" w:line="240" w:lineRule="atLeast"/>
              <w:ind w:left="538" w:right="113"/>
              <w:jc w:val="left"/>
              <w:textAlignment w:val="baseline"/>
              <w:rPr>
                <w:sz w:val="18"/>
                <w:szCs w:val="20"/>
              </w:rPr>
            </w:pPr>
            <w:r w:rsidRPr="004F47BB">
              <w:rPr>
                <w:sz w:val="18"/>
                <w:szCs w:val="20"/>
              </w:rPr>
              <w:t>3.</w:t>
            </w:r>
            <w:r w:rsidRPr="004F47BB">
              <w:rPr>
                <w:sz w:val="18"/>
                <w:szCs w:val="20"/>
              </w:rPr>
              <w:tab/>
            </w:r>
            <w:r w:rsidRPr="004F47BB">
              <w:rPr>
                <w:noProof/>
                <w:sz w:val="18"/>
                <w:szCs w:val="20"/>
              </w:rPr>
              <w:t>Pool 1 (hol)</w:t>
            </w:r>
          </w:p>
        </w:tc>
        <w:tc>
          <w:tcPr>
            <w:tcW w:w="2778" w:type="dxa"/>
            <w:tcBorders>
              <w:top w:val="single" w:sz="6" w:space="0" w:color="auto"/>
              <w:left w:val="single" w:sz="6" w:space="0" w:color="auto"/>
              <w:bottom w:val="nil"/>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ind w:left="0" w:firstLine="0"/>
              <w:jc w:val="center"/>
              <w:textAlignment w:val="baseline"/>
              <w:rPr>
                <w:sz w:val="18"/>
                <w:szCs w:val="20"/>
              </w:rPr>
            </w:pPr>
            <w:r w:rsidRPr="004F47BB">
              <w:rPr>
                <w:sz w:val="18"/>
                <w:szCs w:val="20"/>
              </w:rPr>
              <w:t>35 %</w:t>
            </w:r>
          </w:p>
        </w:tc>
        <w:tc>
          <w:tcPr>
            <w:tcW w:w="2552" w:type="dxa"/>
            <w:tcBorders>
              <w:top w:val="single" w:sz="6" w:space="0" w:color="auto"/>
              <w:left w:val="single" w:sz="6" w:space="0" w:color="auto"/>
              <w:bottom w:val="nil"/>
              <w:right w:val="single" w:sz="6" w:space="0" w:color="auto"/>
            </w:tcBorders>
            <w:vAlign w:val="center"/>
          </w:tcPr>
          <w:p w:rsidR="004F47BB" w:rsidRPr="004F47BB" w:rsidRDefault="004F47BB" w:rsidP="004F47BB">
            <w:pPr>
              <w:spacing w:before="100" w:after="100" w:line="240" w:lineRule="atLeast"/>
              <w:ind w:left="516" w:right="113" w:hanging="403"/>
              <w:jc w:val="center"/>
              <w:rPr>
                <w:noProof/>
                <w:sz w:val="18"/>
              </w:rPr>
            </w:pPr>
            <w:r w:rsidRPr="004F47BB">
              <w:rPr>
                <w:noProof/>
                <w:sz w:val="18"/>
              </w:rPr>
              <w:t xml:space="preserve">Germany </w:t>
            </w:r>
          </w:p>
        </w:tc>
      </w:tr>
      <w:tr w:rsidR="004F47BB" w:rsidRPr="004F47BB" w:rsidTr="00D45887">
        <w:trPr>
          <w:jc w:val="center"/>
        </w:trPr>
        <w:tc>
          <w:tcPr>
            <w:tcW w:w="2948" w:type="dxa"/>
            <w:tcBorders>
              <w:top w:val="single" w:sz="6" w:space="0" w:color="auto"/>
              <w:left w:val="single" w:sz="6" w:space="0" w:color="auto"/>
              <w:bottom w:val="nil"/>
              <w:right w:val="nil"/>
            </w:tcBorders>
            <w:vAlign w:val="center"/>
          </w:tcPr>
          <w:p w:rsidR="004F47BB" w:rsidRPr="004F47BB" w:rsidRDefault="004F47BB" w:rsidP="004F47BB">
            <w:pPr>
              <w:overflowPunct w:val="0"/>
              <w:adjustRightInd w:val="0"/>
              <w:spacing w:before="100" w:after="100" w:line="240" w:lineRule="atLeast"/>
              <w:ind w:left="538" w:right="113"/>
              <w:jc w:val="left"/>
              <w:textAlignment w:val="baseline"/>
              <w:rPr>
                <w:sz w:val="18"/>
                <w:szCs w:val="20"/>
              </w:rPr>
            </w:pPr>
            <w:r w:rsidRPr="004F47BB">
              <w:rPr>
                <w:sz w:val="18"/>
                <w:szCs w:val="20"/>
              </w:rPr>
              <w:t>4.</w:t>
            </w:r>
            <w:r w:rsidRPr="004F47BB">
              <w:rPr>
                <w:sz w:val="18"/>
                <w:szCs w:val="20"/>
              </w:rPr>
              <w:tab/>
            </w:r>
            <w:r w:rsidRPr="004F47BB">
              <w:rPr>
                <w:noProof/>
                <w:sz w:val="18"/>
                <w:szCs w:val="20"/>
              </w:rPr>
              <w:t>Pool 2 (massief)</w:t>
            </w:r>
          </w:p>
        </w:tc>
        <w:tc>
          <w:tcPr>
            <w:tcW w:w="2778" w:type="dxa"/>
            <w:tcBorders>
              <w:top w:val="single" w:sz="6" w:space="0" w:color="auto"/>
              <w:left w:val="single" w:sz="6" w:space="0" w:color="auto"/>
              <w:bottom w:val="nil"/>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ind w:left="0" w:firstLine="0"/>
              <w:jc w:val="center"/>
              <w:textAlignment w:val="baseline"/>
              <w:rPr>
                <w:sz w:val="18"/>
                <w:szCs w:val="20"/>
              </w:rPr>
            </w:pPr>
            <w:r w:rsidRPr="004F47BB">
              <w:rPr>
                <w:sz w:val="18"/>
                <w:szCs w:val="20"/>
              </w:rPr>
              <w:t>40 %</w:t>
            </w:r>
          </w:p>
        </w:tc>
        <w:tc>
          <w:tcPr>
            <w:tcW w:w="2552" w:type="dxa"/>
            <w:tcBorders>
              <w:top w:val="single" w:sz="6" w:space="0" w:color="auto"/>
              <w:left w:val="single" w:sz="6" w:space="0" w:color="auto"/>
              <w:bottom w:val="nil"/>
              <w:right w:val="single" w:sz="6" w:space="0" w:color="auto"/>
            </w:tcBorders>
            <w:vAlign w:val="center"/>
          </w:tcPr>
          <w:p w:rsidR="004F47BB" w:rsidRPr="004F47BB" w:rsidRDefault="004F47BB" w:rsidP="004F47BB">
            <w:pPr>
              <w:spacing w:before="100" w:after="100" w:line="240" w:lineRule="atLeast"/>
              <w:ind w:left="516" w:right="113" w:hanging="403"/>
              <w:jc w:val="center"/>
              <w:rPr>
                <w:noProof/>
                <w:sz w:val="18"/>
              </w:rPr>
            </w:pPr>
            <w:r w:rsidRPr="004F47BB">
              <w:rPr>
                <w:noProof/>
                <w:sz w:val="18"/>
              </w:rPr>
              <w:t xml:space="preserve">Germany </w:t>
            </w:r>
          </w:p>
        </w:tc>
      </w:tr>
      <w:tr w:rsidR="004F47BB" w:rsidRPr="004F47BB" w:rsidTr="00D45887">
        <w:trPr>
          <w:jc w:val="center"/>
        </w:trPr>
        <w:tc>
          <w:tcPr>
            <w:tcW w:w="2948" w:type="dxa"/>
            <w:tcBorders>
              <w:top w:val="single" w:sz="6" w:space="0" w:color="auto"/>
              <w:left w:val="single" w:sz="6" w:space="0" w:color="auto"/>
              <w:bottom w:val="nil"/>
              <w:right w:val="nil"/>
            </w:tcBorders>
            <w:vAlign w:val="center"/>
          </w:tcPr>
          <w:p w:rsidR="004F47BB" w:rsidRPr="004F47BB" w:rsidRDefault="004F47BB" w:rsidP="004F47BB">
            <w:pPr>
              <w:overflowPunct w:val="0"/>
              <w:adjustRightInd w:val="0"/>
              <w:spacing w:before="100" w:after="100" w:line="240" w:lineRule="atLeast"/>
              <w:ind w:left="538" w:right="113"/>
              <w:jc w:val="left"/>
              <w:textAlignment w:val="baseline"/>
              <w:rPr>
                <w:sz w:val="18"/>
                <w:szCs w:val="20"/>
              </w:rPr>
            </w:pPr>
            <w:r w:rsidRPr="004F47BB">
              <w:rPr>
                <w:sz w:val="18"/>
                <w:szCs w:val="20"/>
              </w:rPr>
              <w:t>5.</w:t>
            </w:r>
            <w:r w:rsidRPr="004F47BB">
              <w:rPr>
                <w:sz w:val="18"/>
                <w:szCs w:val="20"/>
              </w:rPr>
              <w:tab/>
            </w:r>
            <w:r w:rsidRPr="004F47BB">
              <w:rPr>
                <w:noProof/>
                <w:sz w:val="18"/>
                <w:szCs w:val="20"/>
              </w:rPr>
              <w:t>De Biesbosch-Danforth</w:t>
            </w:r>
          </w:p>
        </w:tc>
        <w:tc>
          <w:tcPr>
            <w:tcW w:w="2778" w:type="dxa"/>
            <w:tcBorders>
              <w:top w:val="single" w:sz="6" w:space="0" w:color="auto"/>
              <w:left w:val="single" w:sz="6" w:space="0" w:color="auto"/>
              <w:bottom w:val="nil"/>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ind w:left="0" w:firstLine="0"/>
              <w:jc w:val="center"/>
              <w:textAlignment w:val="baseline"/>
              <w:rPr>
                <w:sz w:val="18"/>
                <w:szCs w:val="20"/>
              </w:rPr>
            </w:pPr>
            <w:r w:rsidRPr="004F47BB">
              <w:rPr>
                <w:sz w:val="18"/>
                <w:szCs w:val="20"/>
              </w:rPr>
              <w:t>50 %</w:t>
            </w:r>
          </w:p>
        </w:tc>
        <w:tc>
          <w:tcPr>
            <w:tcW w:w="2552" w:type="dxa"/>
            <w:tcBorders>
              <w:top w:val="single" w:sz="6" w:space="0" w:color="auto"/>
              <w:left w:val="single" w:sz="6" w:space="0" w:color="auto"/>
              <w:bottom w:val="nil"/>
              <w:right w:val="single" w:sz="6" w:space="0" w:color="auto"/>
            </w:tcBorders>
            <w:vAlign w:val="center"/>
          </w:tcPr>
          <w:p w:rsidR="004F47BB" w:rsidRPr="004F47BB" w:rsidRDefault="004F47BB" w:rsidP="004F47BB">
            <w:pPr>
              <w:spacing w:before="100" w:after="100" w:line="240" w:lineRule="atLeast"/>
              <w:ind w:left="516" w:right="113" w:hanging="403"/>
              <w:jc w:val="center"/>
              <w:rPr>
                <w:noProof/>
                <w:sz w:val="18"/>
              </w:rPr>
            </w:pPr>
            <w:r w:rsidRPr="004F47BB">
              <w:rPr>
                <w:noProof/>
                <w:sz w:val="18"/>
              </w:rPr>
              <w:t xml:space="preserve">Germany </w:t>
            </w:r>
          </w:p>
        </w:tc>
      </w:tr>
      <w:tr w:rsidR="004F47BB" w:rsidRPr="004F47BB" w:rsidTr="00D45887">
        <w:trPr>
          <w:jc w:val="center"/>
        </w:trPr>
        <w:tc>
          <w:tcPr>
            <w:tcW w:w="2948" w:type="dxa"/>
            <w:tcBorders>
              <w:top w:val="single" w:sz="6" w:space="0" w:color="auto"/>
              <w:left w:val="single" w:sz="6" w:space="0" w:color="auto"/>
              <w:bottom w:val="nil"/>
              <w:right w:val="nil"/>
            </w:tcBorders>
            <w:vAlign w:val="center"/>
          </w:tcPr>
          <w:p w:rsidR="004F47BB" w:rsidRPr="004F47BB" w:rsidRDefault="004F47BB" w:rsidP="004F47BB">
            <w:pPr>
              <w:overflowPunct w:val="0"/>
              <w:adjustRightInd w:val="0"/>
              <w:spacing w:before="100" w:after="100" w:line="240" w:lineRule="atLeast"/>
              <w:ind w:left="538" w:right="113"/>
              <w:jc w:val="left"/>
              <w:textAlignment w:val="baseline"/>
              <w:rPr>
                <w:sz w:val="18"/>
                <w:szCs w:val="20"/>
              </w:rPr>
            </w:pPr>
            <w:r w:rsidRPr="004F47BB">
              <w:rPr>
                <w:sz w:val="18"/>
                <w:szCs w:val="20"/>
              </w:rPr>
              <w:t>6.</w:t>
            </w:r>
            <w:r w:rsidRPr="004F47BB">
              <w:rPr>
                <w:sz w:val="18"/>
                <w:szCs w:val="20"/>
              </w:rPr>
              <w:tab/>
            </w:r>
            <w:r w:rsidRPr="004F47BB">
              <w:rPr>
                <w:noProof/>
                <w:sz w:val="18"/>
                <w:szCs w:val="20"/>
              </w:rPr>
              <w:t>Vicinay-Danforth</w:t>
            </w:r>
          </w:p>
        </w:tc>
        <w:tc>
          <w:tcPr>
            <w:tcW w:w="2778" w:type="dxa"/>
            <w:tcBorders>
              <w:top w:val="single" w:sz="6" w:space="0" w:color="auto"/>
              <w:left w:val="single" w:sz="6" w:space="0" w:color="auto"/>
              <w:bottom w:val="nil"/>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ind w:left="0" w:firstLine="0"/>
              <w:jc w:val="center"/>
              <w:textAlignment w:val="baseline"/>
              <w:rPr>
                <w:sz w:val="18"/>
                <w:szCs w:val="20"/>
              </w:rPr>
            </w:pPr>
            <w:r w:rsidRPr="004F47BB">
              <w:rPr>
                <w:sz w:val="18"/>
                <w:szCs w:val="20"/>
              </w:rPr>
              <w:t>50 %</w:t>
            </w:r>
          </w:p>
        </w:tc>
        <w:tc>
          <w:tcPr>
            <w:tcW w:w="2552" w:type="dxa"/>
            <w:tcBorders>
              <w:top w:val="single" w:sz="6" w:space="0" w:color="auto"/>
              <w:left w:val="single" w:sz="6" w:space="0" w:color="auto"/>
              <w:bottom w:val="nil"/>
              <w:right w:val="single" w:sz="6" w:space="0" w:color="auto"/>
            </w:tcBorders>
            <w:vAlign w:val="center"/>
          </w:tcPr>
          <w:p w:rsidR="004F47BB" w:rsidRPr="004F47BB" w:rsidRDefault="004F47BB" w:rsidP="004F47BB">
            <w:pPr>
              <w:spacing w:before="100" w:after="100" w:line="240" w:lineRule="atLeast"/>
              <w:ind w:left="516" w:right="113" w:hanging="403"/>
              <w:jc w:val="center"/>
              <w:rPr>
                <w:noProof/>
                <w:sz w:val="18"/>
              </w:rPr>
            </w:pPr>
            <w:r w:rsidRPr="004F47BB">
              <w:rPr>
                <w:noProof/>
                <w:sz w:val="18"/>
              </w:rPr>
              <w:t xml:space="preserve">France </w:t>
            </w:r>
          </w:p>
        </w:tc>
      </w:tr>
      <w:tr w:rsidR="004F47BB" w:rsidRPr="004F47BB" w:rsidTr="00D45887">
        <w:trPr>
          <w:jc w:val="center"/>
        </w:trPr>
        <w:tc>
          <w:tcPr>
            <w:tcW w:w="2948" w:type="dxa"/>
            <w:tcBorders>
              <w:top w:val="single" w:sz="6" w:space="0" w:color="auto"/>
              <w:left w:val="single" w:sz="6" w:space="0" w:color="auto"/>
              <w:bottom w:val="nil"/>
              <w:right w:val="nil"/>
            </w:tcBorders>
            <w:vAlign w:val="center"/>
          </w:tcPr>
          <w:p w:rsidR="004F47BB" w:rsidRPr="004F47BB" w:rsidRDefault="004F47BB" w:rsidP="004F47BB">
            <w:pPr>
              <w:overflowPunct w:val="0"/>
              <w:adjustRightInd w:val="0"/>
              <w:spacing w:before="100" w:after="100" w:line="240" w:lineRule="atLeast"/>
              <w:ind w:left="538" w:right="113"/>
              <w:jc w:val="left"/>
              <w:textAlignment w:val="baseline"/>
              <w:rPr>
                <w:sz w:val="18"/>
                <w:szCs w:val="20"/>
              </w:rPr>
            </w:pPr>
            <w:r w:rsidRPr="004F47BB">
              <w:rPr>
                <w:sz w:val="18"/>
                <w:szCs w:val="20"/>
              </w:rPr>
              <w:t>7.</w:t>
            </w:r>
            <w:r w:rsidRPr="004F47BB">
              <w:rPr>
                <w:sz w:val="18"/>
                <w:szCs w:val="20"/>
              </w:rPr>
              <w:tab/>
            </w:r>
            <w:r w:rsidRPr="004F47BB">
              <w:rPr>
                <w:noProof/>
                <w:sz w:val="18"/>
                <w:szCs w:val="20"/>
              </w:rPr>
              <w:t>Vicinay AC 14</w:t>
            </w:r>
          </w:p>
        </w:tc>
        <w:tc>
          <w:tcPr>
            <w:tcW w:w="2778" w:type="dxa"/>
            <w:tcBorders>
              <w:top w:val="single" w:sz="6" w:space="0" w:color="auto"/>
              <w:left w:val="single" w:sz="6" w:space="0" w:color="auto"/>
              <w:bottom w:val="nil"/>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ind w:left="0" w:firstLine="0"/>
              <w:jc w:val="center"/>
              <w:textAlignment w:val="baseline"/>
              <w:rPr>
                <w:sz w:val="18"/>
                <w:szCs w:val="20"/>
              </w:rPr>
            </w:pPr>
            <w:r w:rsidRPr="004F47BB">
              <w:rPr>
                <w:sz w:val="18"/>
                <w:szCs w:val="20"/>
              </w:rPr>
              <w:t>25 %</w:t>
            </w:r>
          </w:p>
        </w:tc>
        <w:tc>
          <w:tcPr>
            <w:tcW w:w="2552" w:type="dxa"/>
            <w:tcBorders>
              <w:top w:val="single" w:sz="6" w:space="0" w:color="auto"/>
              <w:left w:val="single" w:sz="6" w:space="0" w:color="auto"/>
              <w:bottom w:val="nil"/>
              <w:right w:val="single" w:sz="6" w:space="0" w:color="auto"/>
            </w:tcBorders>
            <w:vAlign w:val="center"/>
          </w:tcPr>
          <w:p w:rsidR="004F47BB" w:rsidRPr="004F47BB" w:rsidRDefault="004F47BB" w:rsidP="004F47BB">
            <w:pPr>
              <w:spacing w:before="100" w:after="100" w:line="240" w:lineRule="atLeast"/>
              <w:ind w:left="516" w:right="113" w:hanging="403"/>
              <w:jc w:val="center"/>
              <w:rPr>
                <w:noProof/>
                <w:sz w:val="18"/>
              </w:rPr>
            </w:pPr>
            <w:r w:rsidRPr="004F47BB">
              <w:rPr>
                <w:noProof/>
                <w:sz w:val="18"/>
              </w:rPr>
              <w:t>France</w:t>
            </w:r>
          </w:p>
        </w:tc>
      </w:tr>
      <w:tr w:rsidR="004F47BB" w:rsidRPr="004F47BB" w:rsidTr="00D45887">
        <w:trPr>
          <w:jc w:val="center"/>
        </w:trPr>
        <w:tc>
          <w:tcPr>
            <w:tcW w:w="2948" w:type="dxa"/>
            <w:tcBorders>
              <w:top w:val="single" w:sz="6" w:space="0" w:color="auto"/>
              <w:left w:val="single" w:sz="6" w:space="0" w:color="auto"/>
              <w:bottom w:val="nil"/>
              <w:right w:val="nil"/>
            </w:tcBorders>
            <w:vAlign w:val="center"/>
          </w:tcPr>
          <w:p w:rsidR="004F47BB" w:rsidRPr="004F47BB" w:rsidRDefault="004F47BB" w:rsidP="004F47BB">
            <w:pPr>
              <w:overflowPunct w:val="0"/>
              <w:adjustRightInd w:val="0"/>
              <w:spacing w:before="100" w:after="100" w:line="240" w:lineRule="atLeast"/>
              <w:ind w:left="538" w:right="113"/>
              <w:jc w:val="left"/>
              <w:textAlignment w:val="baseline"/>
              <w:rPr>
                <w:sz w:val="18"/>
                <w:szCs w:val="20"/>
                <w:lang w:val="en-GB"/>
              </w:rPr>
            </w:pPr>
            <w:r w:rsidRPr="004F47BB">
              <w:rPr>
                <w:sz w:val="18"/>
                <w:szCs w:val="20"/>
                <w:lang w:val="en-GB"/>
              </w:rPr>
              <w:t>8.</w:t>
            </w:r>
            <w:r w:rsidRPr="004F47BB">
              <w:rPr>
                <w:sz w:val="18"/>
                <w:szCs w:val="20"/>
                <w:lang w:val="en-GB"/>
              </w:rPr>
              <w:tab/>
            </w:r>
            <w:r w:rsidRPr="004F47BB">
              <w:rPr>
                <w:noProof/>
                <w:sz w:val="18"/>
                <w:szCs w:val="20"/>
                <w:lang w:val="en-GB"/>
              </w:rPr>
              <w:t>Vicinay Typ 1</w:t>
            </w:r>
          </w:p>
        </w:tc>
        <w:tc>
          <w:tcPr>
            <w:tcW w:w="2778" w:type="dxa"/>
            <w:tcBorders>
              <w:top w:val="single" w:sz="6" w:space="0" w:color="auto"/>
              <w:left w:val="single" w:sz="6" w:space="0" w:color="auto"/>
              <w:bottom w:val="nil"/>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ind w:left="0" w:firstLine="0"/>
              <w:jc w:val="center"/>
              <w:textAlignment w:val="baseline"/>
              <w:rPr>
                <w:sz w:val="18"/>
                <w:szCs w:val="20"/>
                <w:lang w:val="en-GB"/>
              </w:rPr>
            </w:pPr>
            <w:r w:rsidRPr="004F47BB">
              <w:rPr>
                <w:sz w:val="18"/>
                <w:szCs w:val="20"/>
                <w:lang w:val="en-GB"/>
              </w:rPr>
              <w:t>45 %</w:t>
            </w:r>
          </w:p>
        </w:tc>
        <w:tc>
          <w:tcPr>
            <w:tcW w:w="2552" w:type="dxa"/>
            <w:tcBorders>
              <w:top w:val="single" w:sz="6" w:space="0" w:color="auto"/>
              <w:left w:val="single" w:sz="6" w:space="0" w:color="auto"/>
              <w:bottom w:val="nil"/>
              <w:right w:val="single" w:sz="6" w:space="0" w:color="auto"/>
            </w:tcBorders>
            <w:vAlign w:val="center"/>
          </w:tcPr>
          <w:p w:rsidR="004F47BB" w:rsidRPr="004F47BB" w:rsidRDefault="004F47BB" w:rsidP="004F47BB">
            <w:pPr>
              <w:spacing w:before="100" w:after="100" w:line="240" w:lineRule="atLeast"/>
              <w:ind w:left="516" w:right="113" w:hanging="403"/>
              <w:jc w:val="center"/>
              <w:rPr>
                <w:noProof/>
                <w:sz w:val="18"/>
              </w:rPr>
            </w:pPr>
            <w:r w:rsidRPr="004F47BB">
              <w:rPr>
                <w:noProof/>
                <w:sz w:val="18"/>
              </w:rPr>
              <w:t>France</w:t>
            </w:r>
          </w:p>
        </w:tc>
      </w:tr>
      <w:tr w:rsidR="004F47BB" w:rsidRPr="004F47BB" w:rsidTr="00D45887">
        <w:trPr>
          <w:jc w:val="center"/>
        </w:trPr>
        <w:tc>
          <w:tcPr>
            <w:tcW w:w="2948" w:type="dxa"/>
            <w:tcBorders>
              <w:top w:val="single" w:sz="6" w:space="0" w:color="auto"/>
              <w:left w:val="single" w:sz="6" w:space="0" w:color="auto"/>
              <w:bottom w:val="nil"/>
              <w:right w:val="nil"/>
            </w:tcBorders>
            <w:vAlign w:val="center"/>
          </w:tcPr>
          <w:p w:rsidR="004F47BB" w:rsidRPr="004F47BB" w:rsidRDefault="004F47BB" w:rsidP="004F47BB">
            <w:pPr>
              <w:overflowPunct w:val="0"/>
              <w:adjustRightInd w:val="0"/>
              <w:spacing w:before="100" w:after="100" w:line="240" w:lineRule="atLeast"/>
              <w:ind w:left="538" w:right="113"/>
              <w:jc w:val="left"/>
              <w:textAlignment w:val="baseline"/>
              <w:rPr>
                <w:sz w:val="18"/>
                <w:szCs w:val="20"/>
                <w:lang w:val="en-GB"/>
              </w:rPr>
            </w:pPr>
            <w:r w:rsidRPr="004F47BB">
              <w:rPr>
                <w:sz w:val="18"/>
                <w:szCs w:val="20"/>
                <w:lang w:val="en-GB"/>
              </w:rPr>
              <w:t>9.</w:t>
            </w:r>
            <w:r w:rsidRPr="004F47BB">
              <w:rPr>
                <w:sz w:val="18"/>
                <w:szCs w:val="20"/>
                <w:lang w:val="en-GB"/>
              </w:rPr>
              <w:tab/>
            </w:r>
            <w:r w:rsidRPr="004F47BB">
              <w:rPr>
                <w:noProof/>
                <w:sz w:val="18"/>
                <w:szCs w:val="20"/>
                <w:lang w:val="en-GB"/>
              </w:rPr>
              <w:t>Vicinay Typ 2</w:t>
            </w:r>
          </w:p>
        </w:tc>
        <w:tc>
          <w:tcPr>
            <w:tcW w:w="2778" w:type="dxa"/>
            <w:tcBorders>
              <w:top w:val="single" w:sz="6" w:space="0" w:color="auto"/>
              <w:left w:val="single" w:sz="6" w:space="0" w:color="auto"/>
              <w:bottom w:val="nil"/>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ind w:left="0" w:firstLine="0"/>
              <w:jc w:val="center"/>
              <w:textAlignment w:val="baseline"/>
              <w:rPr>
                <w:sz w:val="18"/>
                <w:szCs w:val="20"/>
                <w:lang w:val="en-GB"/>
              </w:rPr>
            </w:pPr>
            <w:r w:rsidRPr="004F47BB">
              <w:rPr>
                <w:sz w:val="18"/>
                <w:szCs w:val="20"/>
                <w:lang w:val="en-GB"/>
              </w:rPr>
              <w:t>45 %</w:t>
            </w:r>
          </w:p>
        </w:tc>
        <w:tc>
          <w:tcPr>
            <w:tcW w:w="2552" w:type="dxa"/>
            <w:tcBorders>
              <w:top w:val="single" w:sz="6" w:space="0" w:color="auto"/>
              <w:left w:val="single" w:sz="6" w:space="0" w:color="auto"/>
              <w:bottom w:val="nil"/>
              <w:right w:val="single" w:sz="6" w:space="0" w:color="auto"/>
            </w:tcBorders>
            <w:vAlign w:val="center"/>
          </w:tcPr>
          <w:p w:rsidR="004F47BB" w:rsidRPr="004F47BB" w:rsidRDefault="004F47BB" w:rsidP="004F47BB">
            <w:pPr>
              <w:spacing w:before="100" w:after="100" w:line="240" w:lineRule="atLeast"/>
              <w:ind w:left="516" w:right="113" w:hanging="403"/>
              <w:jc w:val="center"/>
              <w:rPr>
                <w:noProof/>
                <w:sz w:val="18"/>
              </w:rPr>
            </w:pPr>
            <w:r w:rsidRPr="004F47BB">
              <w:rPr>
                <w:noProof/>
                <w:sz w:val="18"/>
              </w:rPr>
              <w:t>France</w:t>
            </w:r>
          </w:p>
        </w:tc>
      </w:tr>
      <w:tr w:rsidR="004F47BB" w:rsidRPr="004F47BB" w:rsidTr="00D45887">
        <w:trPr>
          <w:jc w:val="center"/>
        </w:trPr>
        <w:tc>
          <w:tcPr>
            <w:tcW w:w="2948" w:type="dxa"/>
            <w:tcBorders>
              <w:top w:val="single" w:sz="6" w:space="0" w:color="auto"/>
              <w:left w:val="single" w:sz="6" w:space="0" w:color="auto"/>
              <w:bottom w:val="nil"/>
              <w:right w:val="nil"/>
            </w:tcBorders>
            <w:vAlign w:val="center"/>
          </w:tcPr>
          <w:p w:rsidR="004F47BB" w:rsidRPr="004F47BB" w:rsidRDefault="004F47BB" w:rsidP="004F47BB">
            <w:pPr>
              <w:overflowPunct w:val="0"/>
              <w:adjustRightInd w:val="0"/>
              <w:spacing w:before="100" w:after="100" w:line="240" w:lineRule="atLeast"/>
              <w:ind w:left="539" w:right="113" w:hanging="482"/>
              <w:jc w:val="left"/>
              <w:textAlignment w:val="baseline"/>
              <w:rPr>
                <w:sz w:val="18"/>
                <w:szCs w:val="20"/>
                <w:lang w:val="en-GB"/>
              </w:rPr>
            </w:pPr>
            <w:r w:rsidRPr="004F47BB">
              <w:rPr>
                <w:sz w:val="18"/>
                <w:szCs w:val="20"/>
                <w:lang w:val="en-GB"/>
              </w:rPr>
              <w:t>10.</w:t>
            </w:r>
            <w:r w:rsidRPr="004F47BB">
              <w:rPr>
                <w:sz w:val="18"/>
                <w:szCs w:val="20"/>
                <w:lang w:val="en-GB"/>
              </w:rPr>
              <w:tab/>
            </w:r>
            <w:r w:rsidRPr="004F47BB">
              <w:rPr>
                <w:noProof/>
                <w:sz w:val="18"/>
                <w:szCs w:val="20"/>
                <w:lang w:val="en-GB"/>
              </w:rPr>
              <w:t>Vicinay Typ 3</w:t>
            </w:r>
          </w:p>
        </w:tc>
        <w:tc>
          <w:tcPr>
            <w:tcW w:w="2778" w:type="dxa"/>
            <w:tcBorders>
              <w:top w:val="single" w:sz="6" w:space="0" w:color="auto"/>
              <w:left w:val="single" w:sz="6" w:space="0" w:color="auto"/>
              <w:bottom w:val="nil"/>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ind w:left="0" w:firstLine="0"/>
              <w:jc w:val="center"/>
              <w:textAlignment w:val="baseline"/>
              <w:rPr>
                <w:sz w:val="18"/>
                <w:szCs w:val="20"/>
                <w:lang w:val="en-GB"/>
              </w:rPr>
            </w:pPr>
            <w:r w:rsidRPr="004F47BB">
              <w:rPr>
                <w:sz w:val="18"/>
                <w:szCs w:val="20"/>
                <w:lang w:val="en-GB"/>
              </w:rPr>
              <w:t>40 %</w:t>
            </w:r>
          </w:p>
        </w:tc>
        <w:tc>
          <w:tcPr>
            <w:tcW w:w="2552" w:type="dxa"/>
            <w:tcBorders>
              <w:top w:val="single" w:sz="6" w:space="0" w:color="auto"/>
              <w:left w:val="single" w:sz="6" w:space="0" w:color="auto"/>
              <w:bottom w:val="nil"/>
              <w:right w:val="single" w:sz="6" w:space="0" w:color="auto"/>
            </w:tcBorders>
            <w:vAlign w:val="center"/>
          </w:tcPr>
          <w:p w:rsidR="004F47BB" w:rsidRPr="004F47BB" w:rsidRDefault="004F47BB" w:rsidP="004F47BB">
            <w:pPr>
              <w:spacing w:before="100" w:after="100" w:line="240" w:lineRule="atLeast"/>
              <w:ind w:left="516" w:right="113" w:hanging="403"/>
              <w:jc w:val="center"/>
              <w:rPr>
                <w:noProof/>
                <w:sz w:val="18"/>
              </w:rPr>
            </w:pPr>
            <w:r w:rsidRPr="004F47BB">
              <w:rPr>
                <w:noProof/>
                <w:sz w:val="18"/>
              </w:rPr>
              <w:t>France</w:t>
            </w:r>
          </w:p>
        </w:tc>
      </w:tr>
      <w:tr w:rsidR="004F47BB" w:rsidRPr="004F47BB" w:rsidTr="00D45887">
        <w:trPr>
          <w:jc w:val="center"/>
        </w:trPr>
        <w:tc>
          <w:tcPr>
            <w:tcW w:w="2948" w:type="dxa"/>
            <w:tcBorders>
              <w:top w:val="single" w:sz="6" w:space="0" w:color="auto"/>
              <w:left w:val="single" w:sz="6" w:space="0" w:color="auto"/>
              <w:bottom w:val="nil"/>
              <w:right w:val="nil"/>
            </w:tcBorders>
            <w:vAlign w:val="center"/>
          </w:tcPr>
          <w:p w:rsidR="004F47BB" w:rsidRPr="004F47BB" w:rsidRDefault="004F47BB" w:rsidP="004F47BB">
            <w:pPr>
              <w:overflowPunct w:val="0"/>
              <w:adjustRightInd w:val="0"/>
              <w:spacing w:before="100" w:after="100" w:line="240" w:lineRule="atLeast"/>
              <w:ind w:left="539" w:right="113" w:hanging="482"/>
              <w:jc w:val="left"/>
              <w:textAlignment w:val="baseline"/>
              <w:rPr>
                <w:sz w:val="18"/>
                <w:szCs w:val="20"/>
              </w:rPr>
            </w:pPr>
            <w:r w:rsidRPr="004F47BB">
              <w:rPr>
                <w:sz w:val="18"/>
                <w:szCs w:val="20"/>
              </w:rPr>
              <w:t>11.</w:t>
            </w:r>
            <w:r w:rsidRPr="004F47BB">
              <w:rPr>
                <w:sz w:val="18"/>
                <w:szCs w:val="20"/>
              </w:rPr>
              <w:tab/>
            </w:r>
            <w:r w:rsidRPr="004F47BB">
              <w:rPr>
                <w:noProof/>
                <w:sz w:val="18"/>
                <w:szCs w:val="20"/>
              </w:rPr>
              <w:t>Stockes</w:t>
            </w:r>
          </w:p>
        </w:tc>
        <w:tc>
          <w:tcPr>
            <w:tcW w:w="2778" w:type="dxa"/>
            <w:tcBorders>
              <w:top w:val="single" w:sz="6" w:space="0" w:color="auto"/>
              <w:left w:val="single" w:sz="6" w:space="0" w:color="auto"/>
              <w:bottom w:val="nil"/>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ind w:left="0" w:firstLine="0"/>
              <w:jc w:val="center"/>
              <w:textAlignment w:val="baseline"/>
              <w:rPr>
                <w:sz w:val="18"/>
                <w:szCs w:val="20"/>
              </w:rPr>
            </w:pPr>
            <w:r w:rsidRPr="004F47BB">
              <w:rPr>
                <w:sz w:val="18"/>
                <w:szCs w:val="20"/>
              </w:rPr>
              <w:t>35 %</w:t>
            </w:r>
          </w:p>
        </w:tc>
        <w:tc>
          <w:tcPr>
            <w:tcW w:w="2552" w:type="dxa"/>
            <w:tcBorders>
              <w:top w:val="single" w:sz="6" w:space="0" w:color="auto"/>
              <w:left w:val="single" w:sz="6" w:space="0" w:color="auto"/>
              <w:bottom w:val="nil"/>
              <w:right w:val="single" w:sz="6" w:space="0" w:color="auto"/>
            </w:tcBorders>
            <w:vAlign w:val="center"/>
          </w:tcPr>
          <w:p w:rsidR="004F47BB" w:rsidRPr="004F47BB" w:rsidRDefault="004F47BB" w:rsidP="004F47BB">
            <w:pPr>
              <w:spacing w:before="100" w:after="100" w:line="240" w:lineRule="atLeast"/>
              <w:ind w:left="516" w:right="113" w:hanging="403"/>
              <w:jc w:val="center"/>
              <w:rPr>
                <w:noProof/>
                <w:sz w:val="18"/>
              </w:rPr>
            </w:pPr>
            <w:r w:rsidRPr="004F47BB">
              <w:rPr>
                <w:noProof/>
                <w:sz w:val="18"/>
              </w:rPr>
              <w:t>France</w:t>
            </w:r>
          </w:p>
        </w:tc>
      </w:tr>
      <w:tr w:rsidR="004F47BB" w:rsidRPr="004F47BB" w:rsidTr="00D45887">
        <w:trPr>
          <w:jc w:val="center"/>
        </w:trPr>
        <w:tc>
          <w:tcPr>
            <w:tcW w:w="2948" w:type="dxa"/>
            <w:tcBorders>
              <w:top w:val="single" w:sz="6" w:space="0" w:color="auto"/>
              <w:left w:val="single" w:sz="6" w:space="0" w:color="auto"/>
              <w:bottom w:val="single" w:sz="4" w:space="0" w:color="auto"/>
              <w:right w:val="nil"/>
            </w:tcBorders>
            <w:vAlign w:val="center"/>
          </w:tcPr>
          <w:p w:rsidR="004F47BB" w:rsidRPr="004F47BB" w:rsidRDefault="004F47BB" w:rsidP="004F47BB">
            <w:pPr>
              <w:overflowPunct w:val="0"/>
              <w:adjustRightInd w:val="0"/>
              <w:spacing w:before="100" w:after="100" w:line="240" w:lineRule="atLeast"/>
              <w:ind w:left="539" w:right="113" w:hanging="482"/>
              <w:jc w:val="left"/>
              <w:textAlignment w:val="baseline"/>
              <w:rPr>
                <w:sz w:val="18"/>
                <w:szCs w:val="20"/>
              </w:rPr>
            </w:pPr>
            <w:r w:rsidRPr="004F47BB">
              <w:rPr>
                <w:sz w:val="18"/>
                <w:szCs w:val="20"/>
              </w:rPr>
              <w:t>12.</w:t>
            </w:r>
            <w:r w:rsidRPr="004F47BB">
              <w:rPr>
                <w:sz w:val="18"/>
                <w:szCs w:val="20"/>
              </w:rPr>
              <w:tab/>
            </w:r>
            <w:r w:rsidRPr="004F47BB">
              <w:rPr>
                <w:noProof/>
                <w:sz w:val="18"/>
                <w:szCs w:val="20"/>
              </w:rPr>
              <w:t>D'Hone-Danforth</w:t>
            </w:r>
          </w:p>
        </w:tc>
        <w:tc>
          <w:tcPr>
            <w:tcW w:w="2778" w:type="dxa"/>
            <w:tcBorders>
              <w:top w:val="single" w:sz="6" w:space="0" w:color="auto"/>
              <w:left w:val="single" w:sz="6" w:space="0" w:color="auto"/>
              <w:bottom w:val="single" w:sz="4" w:space="0" w:color="auto"/>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ind w:left="0" w:firstLine="0"/>
              <w:jc w:val="center"/>
              <w:textAlignment w:val="baseline"/>
              <w:rPr>
                <w:sz w:val="18"/>
                <w:szCs w:val="20"/>
              </w:rPr>
            </w:pPr>
            <w:r w:rsidRPr="004F47BB">
              <w:rPr>
                <w:sz w:val="18"/>
                <w:szCs w:val="20"/>
              </w:rPr>
              <w:t>50 %</w:t>
            </w:r>
          </w:p>
        </w:tc>
        <w:tc>
          <w:tcPr>
            <w:tcW w:w="2552" w:type="dxa"/>
            <w:tcBorders>
              <w:top w:val="single" w:sz="6" w:space="0" w:color="auto"/>
              <w:left w:val="single" w:sz="6" w:space="0" w:color="auto"/>
              <w:bottom w:val="single" w:sz="4" w:space="0" w:color="auto"/>
              <w:right w:val="single" w:sz="6" w:space="0" w:color="auto"/>
            </w:tcBorders>
            <w:vAlign w:val="center"/>
          </w:tcPr>
          <w:p w:rsidR="004F47BB" w:rsidRPr="004F47BB" w:rsidRDefault="004F47BB" w:rsidP="004F47BB">
            <w:pPr>
              <w:spacing w:before="100" w:after="100" w:line="240" w:lineRule="atLeast"/>
              <w:ind w:left="516" w:right="113" w:hanging="403"/>
              <w:jc w:val="center"/>
              <w:rPr>
                <w:noProof/>
                <w:sz w:val="18"/>
              </w:rPr>
            </w:pPr>
            <w:r w:rsidRPr="004F47BB">
              <w:rPr>
                <w:noProof/>
                <w:sz w:val="18"/>
              </w:rPr>
              <w:t xml:space="preserve">Germany </w:t>
            </w:r>
          </w:p>
        </w:tc>
      </w:tr>
      <w:tr w:rsidR="004F47BB" w:rsidRPr="004F47BB" w:rsidTr="00D45887">
        <w:trPr>
          <w:jc w:val="center"/>
        </w:trPr>
        <w:tc>
          <w:tcPr>
            <w:tcW w:w="2948" w:type="dxa"/>
            <w:tcBorders>
              <w:top w:val="single" w:sz="4" w:space="0" w:color="auto"/>
              <w:left w:val="single" w:sz="6" w:space="0" w:color="auto"/>
              <w:bottom w:val="single" w:sz="6" w:space="0" w:color="auto"/>
              <w:right w:val="nil"/>
            </w:tcBorders>
            <w:vAlign w:val="center"/>
          </w:tcPr>
          <w:p w:rsidR="004F47BB" w:rsidRPr="004F47BB" w:rsidRDefault="004F47BB" w:rsidP="004F47BB">
            <w:pPr>
              <w:overflowPunct w:val="0"/>
              <w:adjustRightInd w:val="0"/>
              <w:spacing w:before="100" w:after="100" w:line="240" w:lineRule="atLeast"/>
              <w:ind w:left="539" w:right="113" w:hanging="482"/>
              <w:jc w:val="left"/>
              <w:textAlignment w:val="baseline"/>
              <w:rPr>
                <w:sz w:val="18"/>
                <w:szCs w:val="20"/>
                <w:lang w:val="en-GB"/>
              </w:rPr>
            </w:pPr>
            <w:r w:rsidRPr="004F47BB">
              <w:rPr>
                <w:sz w:val="18"/>
                <w:szCs w:val="20"/>
                <w:lang w:val="en-GB"/>
              </w:rPr>
              <w:t>13.</w:t>
            </w:r>
            <w:r w:rsidRPr="004F47BB">
              <w:rPr>
                <w:sz w:val="18"/>
                <w:szCs w:val="20"/>
                <w:lang w:val="en-GB"/>
              </w:rPr>
              <w:tab/>
            </w:r>
            <w:r w:rsidRPr="004F47BB">
              <w:rPr>
                <w:noProof/>
                <w:sz w:val="18"/>
                <w:szCs w:val="20"/>
                <w:lang w:val="en-GB"/>
              </w:rPr>
              <w:t>Schmitt high holding anchor</w:t>
            </w:r>
          </w:p>
        </w:tc>
        <w:tc>
          <w:tcPr>
            <w:tcW w:w="2778" w:type="dxa"/>
            <w:tcBorders>
              <w:top w:val="single" w:sz="4" w:space="0" w:color="auto"/>
              <w:left w:val="single" w:sz="6" w:space="0" w:color="auto"/>
              <w:bottom w:val="single" w:sz="6" w:space="0" w:color="auto"/>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ind w:left="0" w:firstLine="0"/>
              <w:jc w:val="center"/>
              <w:textAlignment w:val="baseline"/>
              <w:rPr>
                <w:sz w:val="18"/>
                <w:szCs w:val="20"/>
              </w:rPr>
            </w:pPr>
            <w:r w:rsidRPr="004F47BB">
              <w:rPr>
                <w:sz w:val="18"/>
                <w:szCs w:val="20"/>
              </w:rPr>
              <w:t>40 %</w:t>
            </w:r>
          </w:p>
        </w:tc>
        <w:tc>
          <w:tcPr>
            <w:tcW w:w="2552" w:type="dxa"/>
            <w:tcBorders>
              <w:top w:val="single" w:sz="4" w:space="0" w:color="auto"/>
              <w:left w:val="single" w:sz="6" w:space="0" w:color="auto"/>
              <w:bottom w:val="single" w:sz="6" w:space="0" w:color="auto"/>
              <w:right w:val="single" w:sz="6" w:space="0" w:color="auto"/>
            </w:tcBorders>
            <w:vAlign w:val="center"/>
          </w:tcPr>
          <w:p w:rsidR="004F47BB" w:rsidRPr="004F47BB" w:rsidRDefault="004F47BB" w:rsidP="004F47BB">
            <w:pPr>
              <w:spacing w:before="100" w:after="100" w:line="240" w:lineRule="atLeast"/>
              <w:ind w:left="516" w:right="113" w:hanging="403"/>
              <w:jc w:val="center"/>
              <w:rPr>
                <w:noProof/>
                <w:sz w:val="18"/>
              </w:rPr>
            </w:pPr>
            <w:r w:rsidRPr="004F47BB">
              <w:rPr>
                <w:noProof/>
                <w:sz w:val="18"/>
              </w:rPr>
              <w:t>Netherlands</w:t>
            </w:r>
          </w:p>
        </w:tc>
      </w:tr>
      <w:tr w:rsidR="004F47BB" w:rsidRPr="004F47BB" w:rsidTr="00D45887">
        <w:trPr>
          <w:jc w:val="center"/>
        </w:trPr>
        <w:tc>
          <w:tcPr>
            <w:tcW w:w="2948" w:type="dxa"/>
            <w:tcBorders>
              <w:top w:val="single" w:sz="4" w:space="0" w:color="auto"/>
              <w:left w:val="single" w:sz="6" w:space="0" w:color="auto"/>
              <w:bottom w:val="single" w:sz="6" w:space="0" w:color="auto"/>
              <w:right w:val="nil"/>
            </w:tcBorders>
            <w:vAlign w:val="center"/>
          </w:tcPr>
          <w:p w:rsidR="004F47BB" w:rsidRPr="004F47BB" w:rsidRDefault="004F47BB" w:rsidP="004F47BB">
            <w:pPr>
              <w:overflowPunct w:val="0"/>
              <w:adjustRightInd w:val="0"/>
              <w:spacing w:before="100" w:after="100" w:line="240" w:lineRule="atLeast"/>
              <w:ind w:left="539" w:right="113" w:hanging="482"/>
              <w:jc w:val="left"/>
              <w:textAlignment w:val="baseline"/>
              <w:rPr>
                <w:sz w:val="18"/>
                <w:szCs w:val="20"/>
                <w:lang w:val="en-GB"/>
              </w:rPr>
            </w:pPr>
            <w:r w:rsidRPr="004F47BB">
              <w:rPr>
                <w:sz w:val="18"/>
                <w:szCs w:val="20"/>
                <w:lang w:val="en-GB"/>
              </w:rPr>
              <w:t>14.</w:t>
            </w:r>
            <w:r w:rsidRPr="004F47BB">
              <w:rPr>
                <w:sz w:val="18"/>
                <w:szCs w:val="20"/>
                <w:lang w:val="en-GB"/>
              </w:rPr>
              <w:tab/>
            </w:r>
            <w:r w:rsidRPr="004F47BB">
              <w:rPr>
                <w:noProof/>
                <w:sz w:val="18"/>
                <w:szCs w:val="20"/>
                <w:lang w:val="en-GB"/>
              </w:rPr>
              <w:t>SHI high holding anchor, type ST (standard)</w:t>
            </w:r>
          </w:p>
        </w:tc>
        <w:tc>
          <w:tcPr>
            <w:tcW w:w="2778" w:type="dxa"/>
            <w:tcBorders>
              <w:top w:val="single" w:sz="4" w:space="0" w:color="auto"/>
              <w:left w:val="single" w:sz="6" w:space="0" w:color="auto"/>
              <w:bottom w:val="single" w:sz="6" w:space="0" w:color="auto"/>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ind w:left="0" w:firstLine="0"/>
              <w:jc w:val="center"/>
              <w:textAlignment w:val="baseline"/>
              <w:rPr>
                <w:sz w:val="18"/>
                <w:szCs w:val="20"/>
                <w:lang w:val="de-DE"/>
              </w:rPr>
            </w:pPr>
            <w:r w:rsidRPr="004F47BB">
              <w:rPr>
                <w:sz w:val="18"/>
                <w:szCs w:val="20"/>
                <w:lang w:val="de-DE"/>
              </w:rPr>
              <w:t>30 %</w:t>
            </w:r>
          </w:p>
        </w:tc>
        <w:tc>
          <w:tcPr>
            <w:tcW w:w="2552" w:type="dxa"/>
            <w:tcBorders>
              <w:top w:val="single" w:sz="4" w:space="0" w:color="auto"/>
              <w:left w:val="single" w:sz="6" w:space="0" w:color="auto"/>
              <w:bottom w:val="single" w:sz="6" w:space="0" w:color="auto"/>
              <w:right w:val="single" w:sz="6" w:space="0" w:color="auto"/>
            </w:tcBorders>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spacing w:before="100" w:after="100"/>
              <w:jc w:val="center"/>
              <w:rPr>
                <w:noProof/>
                <w:sz w:val="18"/>
              </w:rPr>
            </w:pPr>
            <w:r w:rsidRPr="004F47BB">
              <w:rPr>
                <w:noProof/>
                <w:sz w:val="18"/>
              </w:rPr>
              <w:t xml:space="preserve">Netherlands </w:t>
            </w:r>
          </w:p>
        </w:tc>
      </w:tr>
      <w:tr w:rsidR="004F47BB" w:rsidRPr="004F47BB" w:rsidTr="00D45887">
        <w:trPr>
          <w:jc w:val="center"/>
        </w:trPr>
        <w:tc>
          <w:tcPr>
            <w:tcW w:w="2948" w:type="dxa"/>
            <w:tcBorders>
              <w:top w:val="single" w:sz="4" w:space="0" w:color="auto"/>
              <w:left w:val="single" w:sz="6" w:space="0" w:color="auto"/>
              <w:bottom w:val="single" w:sz="6" w:space="0" w:color="auto"/>
              <w:right w:val="nil"/>
            </w:tcBorders>
            <w:vAlign w:val="center"/>
          </w:tcPr>
          <w:p w:rsidR="004F47BB" w:rsidRPr="004F47BB" w:rsidRDefault="004F47BB" w:rsidP="004F47BB">
            <w:pPr>
              <w:overflowPunct w:val="0"/>
              <w:adjustRightInd w:val="0"/>
              <w:spacing w:before="100" w:after="100"/>
              <w:ind w:left="539" w:right="113" w:hanging="482"/>
              <w:jc w:val="left"/>
              <w:textAlignment w:val="baseline"/>
              <w:rPr>
                <w:sz w:val="18"/>
                <w:szCs w:val="20"/>
                <w:lang w:val="en-GB"/>
              </w:rPr>
            </w:pPr>
            <w:r w:rsidRPr="004F47BB">
              <w:rPr>
                <w:sz w:val="18"/>
                <w:szCs w:val="20"/>
                <w:lang w:val="en-GB"/>
              </w:rPr>
              <w:t>15.</w:t>
            </w:r>
            <w:r w:rsidRPr="004F47BB">
              <w:rPr>
                <w:sz w:val="18"/>
                <w:szCs w:val="20"/>
                <w:lang w:val="en-GB"/>
              </w:rPr>
              <w:tab/>
            </w:r>
            <w:r w:rsidRPr="004F47BB">
              <w:rPr>
                <w:noProof/>
                <w:sz w:val="18"/>
                <w:szCs w:val="20"/>
                <w:lang w:val="en-GB"/>
              </w:rPr>
              <w:t>SHI high holding anchor, type FB (fully balanced)</w:t>
            </w:r>
          </w:p>
        </w:tc>
        <w:tc>
          <w:tcPr>
            <w:tcW w:w="2778" w:type="dxa"/>
            <w:tcBorders>
              <w:top w:val="single" w:sz="4" w:space="0" w:color="auto"/>
              <w:left w:val="single" w:sz="6" w:space="0" w:color="auto"/>
              <w:bottom w:val="single" w:sz="6" w:space="0" w:color="auto"/>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ind w:left="0" w:firstLine="0"/>
              <w:jc w:val="center"/>
              <w:textAlignment w:val="baseline"/>
              <w:rPr>
                <w:sz w:val="18"/>
                <w:szCs w:val="20"/>
                <w:lang w:val="de-DE"/>
              </w:rPr>
            </w:pPr>
            <w:r w:rsidRPr="004F47BB">
              <w:rPr>
                <w:sz w:val="18"/>
                <w:szCs w:val="20"/>
                <w:lang w:val="de-DE"/>
              </w:rPr>
              <w:t>30 %</w:t>
            </w:r>
          </w:p>
        </w:tc>
        <w:tc>
          <w:tcPr>
            <w:tcW w:w="2552" w:type="dxa"/>
            <w:tcBorders>
              <w:top w:val="single" w:sz="4" w:space="0" w:color="auto"/>
              <w:left w:val="single" w:sz="6" w:space="0" w:color="auto"/>
              <w:bottom w:val="single" w:sz="6" w:space="0" w:color="auto"/>
              <w:right w:val="single" w:sz="6" w:space="0" w:color="auto"/>
            </w:tcBorders>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spacing w:before="100" w:after="100"/>
              <w:jc w:val="center"/>
              <w:rPr>
                <w:noProof/>
                <w:sz w:val="18"/>
              </w:rPr>
            </w:pPr>
            <w:r w:rsidRPr="004F47BB">
              <w:rPr>
                <w:noProof/>
                <w:sz w:val="18"/>
              </w:rPr>
              <w:t xml:space="preserve">Netherlands </w:t>
            </w:r>
          </w:p>
        </w:tc>
      </w:tr>
      <w:tr w:rsidR="004F47BB" w:rsidRPr="004F47BB" w:rsidTr="00D45887">
        <w:trPr>
          <w:jc w:val="center"/>
        </w:trPr>
        <w:tc>
          <w:tcPr>
            <w:tcW w:w="2948" w:type="dxa"/>
            <w:tcBorders>
              <w:top w:val="single" w:sz="4" w:space="0" w:color="auto"/>
              <w:left w:val="single" w:sz="6" w:space="0" w:color="auto"/>
              <w:bottom w:val="single" w:sz="4" w:space="0" w:color="auto"/>
              <w:right w:val="nil"/>
            </w:tcBorders>
            <w:vAlign w:val="center"/>
          </w:tcPr>
          <w:p w:rsidR="004F47BB" w:rsidRPr="004F47BB" w:rsidRDefault="004F47BB" w:rsidP="004F47BB">
            <w:pPr>
              <w:overflowPunct w:val="0"/>
              <w:adjustRightInd w:val="0"/>
              <w:spacing w:before="100" w:after="100"/>
              <w:ind w:left="539" w:right="113" w:hanging="482"/>
              <w:jc w:val="left"/>
              <w:textAlignment w:val="baseline"/>
              <w:rPr>
                <w:sz w:val="18"/>
                <w:szCs w:val="20"/>
                <w:lang w:val="de-DE"/>
              </w:rPr>
            </w:pPr>
            <w:r w:rsidRPr="004F47BB">
              <w:rPr>
                <w:sz w:val="18"/>
                <w:szCs w:val="20"/>
                <w:lang w:val="de-DE"/>
              </w:rPr>
              <w:t>16.</w:t>
            </w:r>
            <w:r w:rsidRPr="004F47BB">
              <w:rPr>
                <w:sz w:val="18"/>
                <w:szCs w:val="20"/>
                <w:lang w:val="de-DE"/>
              </w:rPr>
              <w:tab/>
            </w:r>
            <w:r w:rsidRPr="004F47BB">
              <w:rPr>
                <w:noProof/>
                <w:sz w:val="18"/>
                <w:szCs w:val="20"/>
                <w:lang w:val="de-DE"/>
              </w:rPr>
              <w:t>Klinsmann anchor</w:t>
            </w:r>
          </w:p>
        </w:tc>
        <w:tc>
          <w:tcPr>
            <w:tcW w:w="2778" w:type="dxa"/>
            <w:tcBorders>
              <w:top w:val="single" w:sz="4" w:space="0" w:color="auto"/>
              <w:left w:val="single" w:sz="6" w:space="0" w:color="auto"/>
              <w:bottom w:val="single" w:sz="4" w:space="0" w:color="auto"/>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ind w:left="0" w:firstLine="0"/>
              <w:jc w:val="center"/>
              <w:textAlignment w:val="baseline"/>
              <w:rPr>
                <w:sz w:val="18"/>
                <w:szCs w:val="20"/>
                <w:lang w:val="de-DE"/>
              </w:rPr>
            </w:pPr>
            <w:r w:rsidRPr="004F47BB">
              <w:rPr>
                <w:sz w:val="18"/>
                <w:szCs w:val="20"/>
                <w:lang w:val="de-DE"/>
              </w:rPr>
              <w:t>30 %</w:t>
            </w:r>
          </w:p>
        </w:tc>
        <w:tc>
          <w:tcPr>
            <w:tcW w:w="2552" w:type="dxa"/>
            <w:tcBorders>
              <w:top w:val="single" w:sz="4" w:space="0" w:color="auto"/>
              <w:left w:val="single" w:sz="6" w:space="0" w:color="auto"/>
              <w:bottom w:val="single" w:sz="4" w:space="0" w:color="auto"/>
              <w:right w:val="single" w:sz="6" w:space="0" w:color="auto"/>
            </w:tcBorders>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spacing w:before="100" w:after="100"/>
              <w:jc w:val="center"/>
              <w:rPr>
                <w:noProof/>
                <w:sz w:val="18"/>
              </w:rPr>
            </w:pPr>
            <w:r w:rsidRPr="004F47BB">
              <w:rPr>
                <w:noProof/>
                <w:sz w:val="18"/>
              </w:rPr>
              <w:t xml:space="preserve">Netherlands </w:t>
            </w:r>
          </w:p>
        </w:tc>
      </w:tr>
      <w:tr w:rsidR="004F47BB" w:rsidRPr="004F47BB" w:rsidTr="00D45887">
        <w:trPr>
          <w:jc w:val="center"/>
        </w:trPr>
        <w:tc>
          <w:tcPr>
            <w:tcW w:w="2948" w:type="dxa"/>
            <w:tcBorders>
              <w:top w:val="single" w:sz="4" w:space="0" w:color="auto"/>
              <w:left w:val="single" w:sz="6" w:space="0" w:color="auto"/>
              <w:bottom w:val="single" w:sz="6" w:space="0" w:color="auto"/>
              <w:right w:val="nil"/>
            </w:tcBorders>
            <w:vAlign w:val="center"/>
          </w:tcPr>
          <w:p w:rsidR="004F47BB" w:rsidRPr="004F47BB" w:rsidRDefault="004F47BB" w:rsidP="004F47BB">
            <w:pPr>
              <w:overflowPunct w:val="0"/>
              <w:adjustRightInd w:val="0"/>
              <w:spacing w:before="100" w:after="100"/>
              <w:ind w:left="539" w:right="113" w:hanging="482"/>
              <w:jc w:val="left"/>
              <w:textAlignment w:val="baseline"/>
              <w:rPr>
                <w:sz w:val="18"/>
                <w:szCs w:val="20"/>
                <w:lang w:val="de-DE"/>
              </w:rPr>
            </w:pPr>
            <w:r w:rsidRPr="004F47BB">
              <w:rPr>
                <w:sz w:val="18"/>
                <w:szCs w:val="20"/>
                <w:lang w:val="de-DE"/>
              </w:rPr>
              <w:t>17.</w:t>
            </w:r>
            <w:r w:rsidRPr="004F47BB">
              <w:rPr>
                <w:sz w:val="18"/>
                <w:szCs w:val="20"/>
                <w:lang w:val="de-DE"/>
              </w:rPr>
              <w:tab/>
            </w:r>
            <w:r w:rsidRPr="004F47BB">
              <w:rPr>
                <w:noProof/>
                <w:sz w:val="18"/>
                <w:szCs w:val="18"/>
              </w:rPr>
              <w:t>HA-DU-POWER anchor</w:t>
            </w:r>
          </w:p>
        </w:tc>
        <w:tc>
          <w:tcPr>
            <w:tcW w:w="2778" w:type="dxa"/>
            <w:tcBorders>
              <w:top w:val="single" w:sz="4" w:space="0" w:color="auto"/>
              <w:left w:val="single" w:sz="6" w:space="0" w:color="auto"/>
              <w:bottom w:val="single" w:sz="6" w:space="0" w:color="auto"/>
              <w:right w:val="nil"/>
            </w:tcBorders>
            <w:vAlign w:val="center"/>
          </w:tcPr>
          <w:p w:rsidR="004F47BB" w:rsidRPr="004F47BB" w:rsidRDefault="004F47BB" w:rsidP="004F47BB">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ind w:left="0" w:firstLine="0"/>
              <w:jc w:val="center"/>
              <w:textAlignment w:val="baseline"/>
              <w:rPr>
                <w:sz w:val="18"/>
                <w:szCs w:val="20"/>
              </w:rPr>
            </w:pPr>
            <w:r w:rsidRPr="004F47BB">
              <w:rPr>
                <w:sz w:val="18"/>
                <w:szCs w:val="20"/>
              </w:rPr>
              <w:t>50 %</w:t>
            </w:r>
          </w:p>
        </w:tc>
        <w:tc>
          <w:tcPr>
            <w:tcW w:w="2552" w:type="dxa"/>
            <w:tcBorders>
              <w:top w:val="single" w:sz="4" w:space="0" w:color="auto"/>
              <w:left w:val="single" w:sz="6" w:space="0" w:color="auto"/>
              <w:bottom w:val="single" w:sz="6" w:space="0" w:color="auto"/>
              <w:right w:val="single" w:sz="6" w:space="0" w:color="auto"/>
            </w:tcBorders>
            <w:vAlign w:val="center"/>
          </w:tcPr>
          <w:p w:rsidR="004F47BB" w:rsidRPr="004F47BB" w:rsidRDefault="004F47BB" w:rsidP="004F47BB">
            <w:pPr>
              <w:spacing w:before="100" w:after="100" w:line="240" w:lineRule="atLeast"/>
              <w:ind w:left="516" w:right="113" w:hanging="403"/>
              <w:jc w:val="center"/>
              <w:rPr>
                <w:noProof/>
                <w:sz w:val="18"/>
              </w:rPr>
            </w:pPr>
            <w:r w:rsidRPr="004F47BB">
              <w:rPr>
                <w:noProof/>
                <w:sz w:val="18"/>
              </w:rPr>
              <w:t xml:space="preserve">Germany </w:t>
            </w:r>
          </w:p>
        </w:tc>
      </w:tr>
    </w:tbl>
    <w:p w:rsidR="004F47BB" w:rsidRPr="004F47BB" w:rsidRDefault="004F47BB" w:rsidP="004F47BB">
      <w:pPr>
        <w:overflowPunct w:val="0"/>
        <w:adjustRightInd w:val="0"/>
        <w:ind w:left="0" w:firstLine="0"/>
        <w:jc w:val="left"/>
        <w:textAlignment w:val="baseline"/>
        <w:rPr>
          <w:szCs w:val="20"/>
        </w:rPr>
      </w:pPr>
    </w:p>
    <w:p w:rsidR="004F47BB" w:rsidRPr="004F47BB" w:rsidRDefault="004F47BB" w:rsidP="004F47BB">
      <w:pPr>
        <w:overflowPunct w:val="0"/>
        <w:adjustRightInd w:val="0"/>
        <w:ind w:left="0" w:firstLine="0"/>
        <w:jc w:val="left"/>
        <w:textAlignment w:val="baseline"/>
        <w:rPr>
          <w:szCs w:val="20"/>
        </w:rPr>
      </w:pPr>
    </w:p>
    <w:p w:rsidR="004F47BB" w:rsidRPr="004F47BB" w:rsidRDefault="004F47BB" w:rsidP="004F47BB">
      <w:pPr>
        <w:rPr>
          <w:b/>
          <w:szCs w:val="20"/>
        </w:rPr>
      </w:pPr>
      <w:r w:rsidRPr="004F47BB">
        <w:rPr>
          <w:szCs w:val="20"/>
        </w:rPr>
        <w:br w:type="page"/>
      </w:r>
      <w:r w:rsidRPr="004F47BB">
        <w:rPr>
          <w:b/>
          <w:szCs w:val="20"/>
        </w:rPr>
        <w:lastRenderedPageBreak/>
        <w:t>Section 2</w:t>
      </w:r>
    </w:p>
    <w:p w:rsidR="004F47BB" w:rsidRPr="004F47BB" w:rsidRDefault="004F47BB" w:rsidP="004F47BB">
      <w:pPr>
        <w:overflowPunct w:val="0"/>
        <w:adjustRightInd w:val="0"/>
        <w:ind w:left="0" w:firstLine="0"/>
        <w:textAlignment w:val="baseline"/>
        <w:rPr>
          <w:b/>
          <w:szCs w:val="20"/>
        </w:rPr>
      </w:pPr>
    </w:p>
    <w:p w:rsidR="004F47BB" w:rsidRPr="004F47BB" w:rsidRDefault="004F47BB" w:rsidP="004F47BB">
      <w:pPr>
        <w:overflowPunct w:val="0"/>
        <w:adjustRightInd w:val="0"/>
        <w:ind w:left="0" w:firstLine="0"/>
        <w:textAlignment w:val="baseline"/>
        <w:rPr>
          <w:b/>
          <w:szCs w:val="20"/>
        </w:rPr>
      </w:pPr>
    </w:p>
    <w:p w:rsidR="004F47BB" w:rsidRPr="004F47BB" w:rsidRDefault="004F47BB" w:rsidP="004F47BB">
      <w:pPr>
        <w:overflowPunct w:val="0"/>
        <w:adjustRightInd w:val="0"/>
        <w:ind w:left="0" w:firstLine="0"/>
        <w:jc w:val="center"/>
        <w:textAlignment w:val="baseline"/>
        <w:rPr>
          <w:b/>
          <w:sz w:val="22"/>
          <w:szCs w:val="20"/>
          <w:lang w:val="en-US"/>
        </w:rPr>
      </w:pPr>
      <w:r w:rsidRPr="004F47BB">
        <w:rPr>
          <w:b/>
          <w:sz w:val="22"/>
          <w:szCs w:val="20"/>
          <w:lang w:val="en-US"/>
        </w:rPr>
        <w:t>Authorisation and test procedure of special anchors with reduced mass</w:t>
      </w:r>
    </w:p>
    <w:p w:rsidR="004F47BB" w:rsidRPr="004F47BB" w:rsidRDefault="004F47BB" w:rsidP="004F47BB">
      <w:pPr>
        <w:overflowPunct w:val="0"/>
        <w:adjustRightInd w:val="0"/>
        <w:ind w:left="0" w:firstLine="0"/>
        <w:jc w:val="center"/>
        <w:textAlignment w:val="baseline"/>
        <w:rPr>
          <w:b/>
          <w:sz w:val="22"/>
          <w:szCs w:val="20"/>
          <w:lang w:val="en-US"/>
        </w:rPr>
      </w:pPr>
    </w:p>
    <w:p w:rsidR="004F47BB" w:rsidRPr="004F47BB" w:rsidRDefault="004F47BB" w:rsidP="004F47BB">
      <w:pPr>
        <w:overflowPunct w:val="0"/>
        <w:adjustRightInd w:val="0"/>
        <w:ind w:left="0" w:firstLine="0"/>
        <w:jc w:val="center"/>
        <w:textAlignment w:val="baseline"/>
        <w:rPr>
          <w:b/>
          <w:szCs w:val="20"/>
          <w:lang w:val="en-US"/>
        </w:rPr>
      </w:pPr>
      <w:r w:rsidRPr="004F47BB">
        <w:rPr>
          <w:b/>
          <w:szCs w:val="20"/>
          <w:lang w:val="en-US"/>
        </w:rPr>
        <w:t xml:space="preserve">Reduction of the anchor mass values determined </w:t>
      </w:r>
    </w:p>
    <w:p w:rsidR="004F47BB" w:rsidRPr="004F47BB" w:rsidRDefault="004F47BB" w:rsidP="004F47BB">
      <w:pPr>
        <w:overflowPunct w:val="0"/>
        <w:adjustRightInd w:val="0"/>
        <w:ind w:left="0" w:firstLine="0"/>
        <w:jc w:val="center"/>
        <w:textAlignment w:val="baseline"/>
        <w:rPr>
          <w:szCs w:val="20"/>
          <w:lang w:val="en-US"/>
        </w:rPr>
      </w:pPr>
      <w:r w:rsidRPr="004F47BB">
        <w:rPr>
          <w:b/>
          <w:szCs w:val="20"/>
          <w:lang w:val="en-US"/>
        </w:rPr>
        <w:t xml:space="preserve">in accordance with Article 13.01(1) to (4) </w:t>
      </w:r>
    </w:p>
    <w:p w:rsidR="004F47BB" w:rsidRPr="004F47BB" w:rsidRDefault="004F47BB" w:rsidP="004F47BB">
      <w:pPr>
        <w:overflowPunct w:val="0"/>
        <w:adjustRightInd w:val="0"/>
        <w:ind w:left="0" w:firstLine="0"/>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spacing w:line="240" w:lineRule="atLeast"/>
        <w:ind w:left="567" w:hanging="567"/>
        <w:jc w:val="left"/>
        <w:textAlignment w:val="baseline"/>
        <w:rPr>
          <w:szCs w:val="20"/>
          <w:lang w:val="en-US"/>
        </w:rPr>
      </w:pPr>
      <w:r w:rsidRPr="004F47BB">
        <w:rPr>
          <w:b/>
          <w:szCs w:val="20"/>
          <w:lang w:val="en-US"/>
        </w:rPr>
        <w:t>1.</w:t>
      </w:r>
      <w:r w:rsidRPr="004F47BB">
        <w:rPr>
          <w:b/>
          <w:szCs w:val="20"/>
          <w:lang w:val="en-US"/>
        </w:rPr>
        <w:tab/>
        <w:t>Chapter 1 — Authorisation procedure</w:t>
      </w:r>
    </w:p>
    <w:p w:rsidR="004F47BB" w:rsidRPr="004F47BB" w:rsidRDefault="004F47BB" w:rsidP="004F47BB">
      <w:pPr>
        <w:overflowPunct w:val="0"/>
        <w:adjustRightInd w:val="0"/>
        <w:spacing w:line="240" w:lineRule="atLeast"/>
        <w:ind w:left="567" w:hanging="567"/>
        <w:jc w:val="left"/>
        <w:textAlignment w:val="baseline"/>
        <w:rPr>
          <w:szCs w:val="20"/>
          <w:lang w:val="en-US"/>
        </w:rPr>
      </w:pPr>
    </w:p>
    <w:p w:rsidR="004F47BB" w:rsidRPr="004F47BB" w:rsidRDefault="004F47BB" w:rsidP="004F47BB">
      <w:pPr>
        <w:overflowPunct w:val="0"/>
        <w:adjustRightInd w:val="0"/>
        <w:spacing w:line="240" w:lineRule="atLeast"/>
        <w:ind w:left="567" w:hanging="567"/>
        <w:textAlignment w:val="baseline"/>
        <w:rPr>
          <w:szCs w:val="20"/>
          <w:lang w:val="en-US"/>
        </w:rPr>
      </w:pPr>
      <w:r w:rsidRPr="004F47BB">
        <w:rPr>
          <w:b/>
          <w:szCs w:val="20"/>
          <w:lang w:val="en-US"/>
        </w:rPr>
        <w:t>1.1</w:t>
      </w:r>
      <w:r w:rsidRPr="004F47BB">
        <w:rPr>
          <w:b/>
          <w:szCs w:val="20"/>
          <w:lang w:val="en-US"/>
        </w:rPr>
        <w:tab/>
      </w:r>
      <w:r w:rsidRPr="004F47BB">
        <w:rPr>
          <w:szCs w:val="20"/>
          <w:lang w:val="en-US"/>
        </w:rPr>
        <w:t>Special anchors with reduced mass in accordance with Article 13.01(5) shall be authorised by the competent authorities. The competent authority determines the authorised reduction of anchor mass for special anchors in accordance with the procedure outlined below.</w:t>
      </w:r>
    </w:p>
    <w:p w:rsidR="004F47BB" w:rsidRPr="004F47BB" w:rsidRDefault="004F47BB" w:rsidP="004F47BB">
      <w:pPr>
        <w:overflowPunct w:val="0"/>
        <w:adjustRightInd w:val="0"/>
        <w:spacing w:line="240" w:lineRule="atLeast"/>
        <w:ind w:left="567" w:hanging="567"/>
        <w:textAlignment w:val="baseline"/>
        <w:rPr>
          <w:szCs w:val="20"/>
          <w:lang w:val="en-US"/>
        </w:rPr>
      </w:pPr>
    </w:p>
    <w:p w:rsidR="004F47BB" w:rsidRPr="004F47BB" w:rsidRDefault="004F47BB" w:rsidP="004F47BB">
      <w:pPr>
        <w:overflowPunct w:val="0"/>
        <w:adjustRightInd w:val="0"/>
        <w:spacing w:line="240" w:lineRule="atLeast"/>
        <w:ind w:left="567" w:hanging="567"/>
        <w:textAlignment w:val="baseline"/>
        <w:rPr>
          <w:szCs w:val="20"/>
          <w:lang w:val="en-US"/>
        </w:rPr>
      </w:pPr>
      <w:r w:rsidRPr="004F47BB">
        <w:rPr>
          <w:b/>
          <w:szCs w:val="20"/>
          <w:lang w:val="en-US"/>
        </w:rPr>
        <w:t>1.2</w:t>
      </w:r>
      <w:r w:rsidRPr="004F47BB">
        <w:rPr>
          <w:b/>
          <w:szCs w:val="20"/>
          <w:lang w:val="en-US"/>
        </w:rPr>
        <w:tab/>
      </w:r>
      <w:r w:rsidRPr="004F47BB">
        <w:rPr>
          <w:szCs w:val="20"/>
          <w:lang w:val="en-US"/>
        </w:rPr>
        <w:t>Authorisation as special anchor is only possible if the reduction of anchor mass established is at least 15 %.</w:t>
      </w:r>
    </w:p>
    <w:p w:rsidR="004F47BB" w:rsidRPr="004F47BB" w:rsidRDefault="004F47BB" w:rsidP="004F47BB">
      <w:pPr>
        <w:overflowPunct w:val="0"/>
        <w:adjustRightInd w:val="0"/>
        <w:spacing w:line="240" w:lineRule="atLeast"/>
        <w:ind w:left="567" w:hanging="567"/>
        <w:textAlignment w:val="baseline"/>
        <w:rPr>
          <w:szCs w:val="20"/>
          <w:lang w:val="en-US"/>
        </w:rPr>
      </w:pPr>
    </w:p>
    <w:p w:rsidR="004F47BB" w:rsidRPr="004F47BB" w:rsidRDefault="004F47BB" w:rsidP="004F47BB">
      <w:pPr>
        <w:overflowPunct w:val="0"/>
        <w:adjustRightInd w:val="0"/>
        <w:spacing w:line="240" w:lineRule="atLeast"/>
        <w:ind w:left="567" w:hanging="567"/>
        <w:textAlignment w:val="baseline"/>
        <w:rPr>
          <w:szCs w:val="20"/>
          <w:lang w:val="en-US"/>
        </w:rPr>
      </w:pPr>
      <w:r w:rsidRPr="004F47BB">
        <w:rPr>
          <w:b/>
          <w:szCs w:val="20"/>
          <w:lang w:val="en-US"/>
        </w:rPr>
        <w:t>1.3</w:t>
      </w:r>
      <w:r w:rsidRPr="004F47BB">
        <w:rPr>
          <w:b/>
          <w:szCs w:val="20"/>
          <w:lang w:val="en-US"/>
        </w:rPr>
        <w:tab/>
      </w:r>
      <w:r w:rsidRPr="004F47BB">
        <w:rPr>
          <w:szCs w:val="20"/>
          <w:lang w:val="en-US"/>
        </w:rPr>
        <w:t>Applications for the authorisation of a special anchor in accordance with (1.1) shall be submitted to the competent authority of a Member State. Ten copies of the following documents shall be forwarded with each application:</w:t>
      </w:r>
    </w:p>
    <w:p w:rsidR="004F47BB" w:rsidRPr="004F47BB" w:rsidRDefault="004F47BB" w:rsidP="004F47BB">
      <w:pPr>
        <w:tabs>
          <w:tab w:val="left" w:pos="992"/>
        </w:tabs>
        <w:overflowPunct w:val="0"/>
        <w:adjustRightInd w:val="0"/>
        <w:spacing w:before="60" w:line="240" w:lineRule="atLeast"/>
        <w:ind w:left="992"/>
        <w:textAlignment w:val="baseline"/>
        <w:rPr>
          <w:szCs w:val="20"/>
          <w:lang w:val="en-US"/>
        </w:rPr>
      </w:pPr>
      <w:r w:rsidRPr="004F47BB">
        <w:rPr>
          <w:szCs w:val="20"/>
          <w:lang w:val="en-US"/>
        </w:rPr>
        <w:t>a)</w:t>
      </w:r>
      <w:r w:rsidRPr="004F47BB">
        <w:rPr>
          <w:szCs w:val="20"/>
          <w:lang w:val="en-US"/>
        </w:rPr>
        <w:tab/>
        <w:t>an outline of the dimensions and mass of the special anchor, giving the main dimensions and type designation for each available anchor size;</w:t>
      </w:r>
    </w:p>
    <w:p w:rsidR="004F47BB" w:rsidRPr="004F47BB" w:rsidRDefault="004F47BB" w:rsidP="004F47BB">
      <w:pPr>
        <w:tabs>
          <w:tab w:val="left" w:pos="992"/>
        </w:tabs>
        <w:overflowPunct w:val="0"/>
        <w:adjustRightInd w:val="0"/>
        <w:spacing w:before="60" w:line="240" w:lineRule="atLeast"/>
        <w:ind w:left="992"/>
        <w:textAlignment w:val="baseline"/>
        <w:rPr>
          <w:szCs w:val="20"/>
          <w:lang w:val="en-US"/>
        </w:rPr>
      </w:pPr>
      <w:r w:rsidRPr="004F47BB">
        <w:rPr>
          <w:szCs w:val="20"/>
          <w:lang w:val="en-US"/>
        </w:rPr>
        <w:t>b)</w:t>
      </w:r>
      <w:r w:rsidRPr="004F47BB">
        <w:rPr>
          <w:szCs w:val="20"/>
          <w:lang w:val="en-US"/>
        </w:rPr>
        <w:tab/>
        <w:t xml:space="preserve">a braking force diagram for the reference anchor </w:t>
      </w:r>
      <m:oMath>
        <m:r>
          <w:rPr>
            <w:rFonts w:ascii="Cambria Math" w:hAnsi="Cambria Math"/>
            <w:szCs w:val="20"/>
            <w:lang w:val="en-US"/>
          </w:rPr>
          <m:t>A</m:t>
        </m:r>
      </m:oMath>
      <w:r w:rsidRPr="004F47BB">
        <w:rPr>
          <w:szCs w:val="20"/>
          <w:lang w:val="en-US"/>
        </w:rPr>
        <w:t xml:space="preserve"> (in accordance with (2.2)) and the special anchor </w:t>
      </w:r>
      <m:oMath>
        <m:r>
          <w:rPr>
            <w:rFonts w:ascii="Cambria Math" w:hAnsi="Cambria Math"/>
            <w:szCs w:val="20"/>
            <w:lang w:val="en-US"/>
          </w:rPr>
          <m:t>B</m:t>
        </m:r>
      </m:oMath>
      <w:r w:rsidRPr="004F47BB">
        <w:rPr>
          <w:szCs w:val="20"/>
          <w:lang w:val="en-US"/>
        </w:rPr>
        <w:t xml:space="preserve"> to be authorised which has been prepared and assessed by an institution designated by the competent authority.</w:t>
      </w:r>
    </w:p>
    <w:p w:rsidR="004F47BB" w:rsidRPr="004F47BB" w:rsidRDefault="004F47BB" w:rsidP="004F47BB">
      <w:pPr>
        <w:overflowPunct w:val="0"/>
        <w:adjustRightInd w:val="0"/>
        <w:spacing w:line="240" w:lineRule="atLeast"/>
        <w:ind w:left="567" w:hanging="567"/>
        <w:textAlignment w:val="baseline"/>
        <w:rPr>
          <w:szCs w:val="20"/>
          <w:lang w:val="en-US"/>
        </w:rPr>
      </w:pPr>
    </w:p>
    <w:p w:rsidR="004F47BB" w:rsidRPr="004F47BB" w:rsidRDefault="004F47BB" w:rsidP="004F47BB">
      <w:pPr>
        <w:overflowPunct w:val="0"/>
        <w:adjustRightInd w:val="0"/>
        <w:spacing w:line="240" w:lineRule="atLeast"/>
        <w:ind w:left="567" w:hanging="567"/>
        <w:textAlignment w:val="baseline"/>
        <w:rPr>
          <w:szCs w:val="20"/>
          <w:lang w:val="en-US"/>
        </w:rPr>
      </w:pPr>
      <w:r w:rsidRPr="004F47BB">
        <w:rPr>
          <w:b/>
          <w:szCs w:val="20"/>
          <w:lang w:val="en-US"/>
        </w:rPr>
        <w:t>1.4</w:t>
      </w:r>
      <w:r w:rsidRPr="004F47BB">
        <w:rPr>
          <w:b/>
          <w:szCs w:val="20"/>
          <w:lang w:val="en-US"/>
        </w:rPr>
        <w:tab/>
      </w:r>
      <w:r w:rsidRPr="004F47BB">
        <w:rPr>
          <w:szCs w:val="20"/>
          <w:lang w:val="en-US"/>
        </w:rPr>
        <w:t xml:space="preserve">The competent authority notifies CESNI of any applications to reduce anchor mass which it considers to authorise after testing. </w:t>
      </w:r>
    </w:p>
    <w:p w:rsidR="004F47BB" w:rsidRPr="004F47BB" w:rsidRDefault="004F47BB" w:rsidP="004F47BB">
      <w:pPr>
        <w:overflowPunct w:val="0"/>
        <w:adjustRightInd w:val="0"/>
        <w:spacing w:line="240" w:lineRule="atLeast"/>
        <w:ind w:left="567" w:hanging="567"/>
        <w:textAlignment w:val="baseline"/>
        <w:rPr>
          <w:szCs w:val="20"/>
          <w:lang w:val="en-US"/>
        </w:rPr>
      </w:pPr>
    </w:p>
    <w:p w:rsidR="004F47BB" w:rsidRPr="004F47BB" w:rsidRDefault="004F47BB" w:rsidP="004F47BB">
      <w:pPr>
        <w:overflowPunct w:val="0"/>
        <w:adjustRightInd w:val="0"/>
        <w:spacing w:line="240" w:lineRule="atLeast"/>
        <w:ind w:left="567" w:hanging="567"/>
        <w:textAlignment w:val="baseline"/>
        <w:rPr>
          <w:szCs w:val="20"/>
          <w:lang w:val="en-US"/>
        </w:rPr>
      </w:pPr>
    </w:p>
    <w:p w:rsidR="004F47BB" w:rsidRPr="004F47BB" w:rsidRDefault="004F47BB" w:rsidP="004F47BB">
      <w:pPr>
        <w:overflowPunct w:val="0"/>
        <w:adjustRightInd w:val="0"/>
        <w:spacing w:line="240" w:lineRule="atLeast"/>
        <w:ind w:left="567" w:hanging="567"/>
        <w:textAlignment w:val="baseline"/>
        <w:rPr>
          <w:b/>
          <w:szCs w:val="20"/>
          <w:lang w:val="en-US"/>
        </w:rPr>
      </w:pPr>
      <w:r w:rsidRPr="004F47BB">
        <w:rPr>
          <w:b/>
          <w:szCs w:val="20"/>
          <w:lang w:val="en-US"/>
        </w:rPr>
        <w:t>2.</w:t>
      </w:r>
      <w:r w:rsidRPr="004F47BB">
        <w:rPr>
          <w:b/>
          <w:szCs w:val="20"/>
          <w:lang w:val="en-US"/>
        </w:rPr>
        <w:tab/>
        <w:t>Chapter 2 — Test Procedure</w:t>
      </w:r>
    </w:p>
    <w:p w:rsidR="004F47BB" w:rsidRPr="004F47BB" w:rsidRDefault="004F47BB" w:rsidP="004F47BB">
      <w:pPr>
        <w:overflowPunct w:val="0"/>
        <w:adjustRightInd w:val="0"/>
        <w:spacing w:line="240" w:lineRule="atLeast"/>
        <w:ind w:left="567" w:hanging="567"/>
        <w:textAlignment w:val="baseline"/>
        <w:rPr>
          <w:b/>
          <w:szCs w:val="20"/>
          <w:lang w:val="en-US"/>
        </w:rPr>
      </w:pPr>
    </w:p>
    <w:p w:rsidR="004F47BB" w:rsidRPr="004F47BB" w:rsidRDefault="004F47BB" w:rsidP="004F47BB">
      <w:pPr>
        <w:overflowPunct w:val="0"/>
        <w:adjustRightInd w:val="0"/>
        <w:spacing w:line="240" w:lineRule="atLeast"/>
        <w:ind w:left="567" w:hanging="567"/>
        <w:textAlignment w:val="baseline"/>
        <w:rPr>
          <w:szCs w:val="20"/>
          <w:lang w:val="en-US"/>
        </w:rPr>
      </w:pPr>
      <w:r w:rsidRPr="004F47BB">
        <w:rPr>
          <w:b/>
          <w:szCs w:val="20"/>
          <w:lang w:val="en-US"/>
        </w:rPr>
        <w:t>2.1</w:t>
      </w:r>
      <w:r w:rsidRPr="004F47BB">
        <w:rPr>
          <w:b/>
          <w:szCs w:val="20"/>
          <w:lang w:val="en-US"/>
        </w:rPr>
        <w:tab/>
      </w:r>
      <w:r w:rsidRPr="004F47BB">
        <w:rPr>
          <w:szCs w:val="20"/>
          <w:lang w:val="en-US"/>
        </w:rPr>
        <w:t xml:space="preserve">The braking force diagrams in accordance with (1.3) shall show the braking forces as a function of speed for the reference anchor </w:t>
      </w:r>
      <m:oMath>
        <m:r>
          <w:rPr>
            <w:rFonts w:ascii="Cambria Math" w:hAnsi="Cambria Math"/>
            <w:szCs w:val="20"/>
            <w:lang w:val="en-US"/>
          </w:rPr>
          <m:t>A</m:t>
        </m:r>
      </m:oMath>
      <w:r w:rsidRPr="004F47BB">
        <w:rPr>
          <w:szCs w:val="20"/>
          <w:lang w:val="en-US"/>
        </w:rPr>
        <w:t xml:space="preserve"> and the special anchor </w:t>
      </w:r>
      <m:oMath>
        <m:r>
          <w:rPr>
            <w:rFonts w:ascii="Cambria Math" w:hAnsi="Cambria Math"/>
            <w:szCs w:val="20"/>
            <w:lang w:val="en-US"/>
          </w:rPr>
          <m:t>B</m:t>
        </m:r>
      </m:oMath>
      <w:r w:rsidRPr="004F47BB">
        <w:rPr>
          <w:szCs w:val="20"/>
          <w:lang w:val="en-US"/>
        </w:rPr>
        <w:t xml:space="preserve"> to be authorised on the basis of tests in accordance with (2.2) to (2.5) below. Annex 1 shows one possible braking force test.</w:t>
      </w:r>
    </w:p>
    <w:p w:rsidR="004F47BB" w:rsidRPr="004F47BB" w:rsidRDefault="004F47BB" w:rsidP="004F47BB">
      <w:pPr>
        <w:overflowPunct w:val="0"/>
        <w:adjustRightInd w:val="0"/>
        <w:spacing w:line="240" w:lineRule="atLeast"/>
        <w:ind w:left="567" w:hanging="567"/>
        <w:textAlignment w:val="baseline"/>
        <w:rPr>
          <w:szCs w:val="20"/>
          <w:lang w:val="en-US"/>
        </w:rPr>
      </w:pPr>
    </w:p>
    <w:p w:rsidR="004F47BB" w:rsidRPr="004F47BB" w:rsidRDefault="004F47BB" w:rsidP="004F47BB">
      <w:pPr>
        <w:overflowPunct w:val="0"/>
        <w:adjustRightInd w:val="0"/>
        <w:spacing w:line="240" w:lineRule="atLeast"/>
        <w:ind w:left="567" w:hanging="567"/>
        <w:textAlignment w:val="baseline"/>
        <w:rPr>
          <w:szCs w:val="20"/>
          <w:lang w:val="en-US"/>
        </w:rPr>
      </w:pPr>
    </w:p>
    <w:p w:rsidR="004F47BB" w:rsidRPr="004F47BB" w:rsidRDefault="004F47BB" w:rsidP="004F47BB">
      <w:pPr>
        <w:overflowPunct w:val="0"/>
        <w:adjustRightInd w:val="0"/>
        <w:spacing w:line="240" w:lineRule="atLeast"/>
        <w:ind w:left="567" w:hanging="567"/>
        <w:textAlignment w:val="baseline"/>
        <w:rPr>
          <w:szCs w:val="20"/>
          <w:lang w:val="en-US"/>
        </w:rPr>
      </w:pPr>
      <w:r w:rsidRPr="004F47BB">
        <w:rPr>
          <w:szCs w:val="20"/>
          <w:lang w:val="en-US"/>
        </w:rPr>
        <w:br w:type="page"/>
      </w:r>
    </w:p>
    <w:p w:rsidR="004F47BB" w:rsidRPr="004F47BB" w:rsidRDefault="004F47BB" w:rsidP="004F47BB">
      <w:pPr>
        <w:overflowPunct w:val="0"/>
        <w:adjustRightInd w:val="0"/>
        <w:spacing w:line="240" w:lineRule="atLeast"/>
        <w:ind w:left="567" w:hanging="567"/>
        <w:textAlignment w:val="baseline"/>
        <w:rPr>
          <w:szCs w:val="20"/>
          <w:lang w:val="en-US"/>
        </w:rPr>
      </w:pPr>
      <w:r w:rsidRPr="004F47BB">
        <w:rPr>
          <w:b/>
          <w:szCs w:val="20"/>
          <w:lang w:val="en-US"/>
        </w:rPr>
        <w:lastRenderedPageBreak/>
        <w:t>2.2</w:t>
      </w:r>
      <w:r w:rsidRPr="004F47BB">
        <w:rPr>
          <w:b/>
          <w:szCs w:val="20"/>
          <w:lang w:val="en-US"/>
        </w:rPr>
        <w:tab/>
      </w:r>
      <w:r w:rsidRPr="004F47BB">
        <w:rPr>
          <w:szCs w:val="20"/>
          <w:lang w:val="en-US"/>
        </w:rPr>
        <w:t xml:space="preserve">The reference anchor </w:t>
      </w:r>
      <m:oMath>
        <m:r>
          <w:rPr>
            <w:rFonts w:ascii="Cambria Math" w:hAnsi="Cambria Math"/>
            <w:szCs w:val="20"/>
            <w:lang w:val="en-US"/>
          </w:rPr>
          <m:t>A</m:t>
        </m:r>
      </m:oMath>
      <w:r w:rsidRPr="004F47BB">
        <w:rPr>
          <w:szCs w:val="20"/>
          <w:lang w:val="en-US"/>
        </w:rPr>
        <w:t xml:space="preserve"> used in the tests shall be a conventional folding stockless anchor corresponding to the sketch and details given below, with a mass of at least 400 kg.</w:t>
      </w:r>
    </w:p>
    <w:p w:rsidR="004F47BB" w:rsidRPr="004F47BB" w:rsidRDefault="004F47BB" w:rsidP="004F47BB">
      <w:pPr>
        <w:overflowPunct w:val="0"/>
        <w:adjustRightInd w:val="0"/>
        <w:ind w:left="426" w:hanging="426"/>
        <w:textAlignment w:val="baseline"/>
        <w:rPr>
          <w:szCs w:val="20"/>
          <w:lang w:val="en-US"/>
        </w:rPr>
      </w:pPr>
    </w:p>
    <w:p w:rsidR="004F47BB" w:rsidRPr="004F47BB" w:rsidRDefault="004F47BB" w:rsidP="004F47BB">
      <w:pPr>
        <w:overflowPunct w:val="0"/>
        <w:adjustRightInd w:val="0"/>
        <w:ind w:left="426" w:hanging="426"/>
        <w:textAlignment w:val="baseline"/>
        <w:rPr>
          <w:szCs w:val="20"/>
        </w:rPr>
      </w:pPr>
      <w:r w:rsidRPr="004F47BB">
        <w:rPr>
          <w:noProof/>
          <w:sz w:val="16"/>
          <w:szCs w:val="16"/>
        </w:rPr>
        <w:drawing>
          <wp:inline distT="0" distB="0" distL="0" distR="0" wp14:anchorId="46F950DF" wp14:editId="65A04EC8">
            <wp:extent cx="5962650" cy="2971800"/>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62650" cy="2971800"/>
                    </a:xfrm>
                    <a:prstGeom prst="rect">
                      <a:avLst/>
                    </a:prstGeom>
                    <a:solidFill>
                      <a:srgbClr val="FFFFFF"/>
                    </a:solidFill>
                    <a:ln>
                      <a:noFill/>
                    </a:ln>
                  </pic:spPr>
                </pic:pic>
              </a:graphicData>
            </a:graphic>
          </wp:inline>
        </w:drawing>
      </w:r>
    </w:p>
    <w:p w:rsidR="004F47BB" w:rsidRPr="004F47BB" w:rsidRDefault="004F47BB" w:rsidP="004F47BB">
      <w:pPr>
        <w:overflowPunct w:val="0"/>
        <w:adjustRightInd w:val="0"/>
        <w:ind w:left="426" w:hanging="426"/>
        <w:textAlignment w:val="baseline"/>
        <w:rPr>
          <w:szCs w:val="20"/>
        </w:rPr>
      </w:pPr>
    </w:p>
    <w:p w:rsidR="004F47BB" w:rsidRPr="004F47BB" w:rsidRDefault="004F47BB" w:rsidP="004F47BB">
      <w:pPr>
        <w:overflowPunct w:val="0"/>
        <w:adjustRightInd w:val="0"/>
        <w:ind w:left="567" w:hanging="567"/>
        <w:textAlignment w:val="baseline"/>
        <w:rPr>
          <w:szCs w:val="20"/>
          <w:lang w:val="en-US"/>
        </w:rPr>
      </w:pPr>
      <w:r w:rsidRPr="004F47BB">
        <w:rPr>
          <w:szCs w:val="20"/>
        </w:rPr>
        <w:tab/>
      </w:r>
      <w:r w:rsidRPr="004F47BB">
        <w:rPr>
          <w:szCs w:val="20"/>
          <w:lang w:val="en-US"/>
        </w:rPr>
        <w:t>A tolerance of ±5 % applies to the dimensions and mass given. However, the surface area of each fluke must be at least 0,15 m</w:t>
      </w:r>
      <w:r w:rsidRPr="004F47BB">
        <w:rPr>
          <w:szCs w:val="20"/>
          <w:vertAlign w:val="superscript"/>
          <w:lang w:val="en-US"/>
        </w:rPr>
        <w:t>2</w:t>
      </w:r>
      <w:r w:rsidRPr="004F47BB">
        <w:rPr>
          <w:szCs w:val="20"/>
          <w:lang w:val="en-US"/>
        </w:rPr>
        <w:t>.</w:t>
      </w:r>
    </w:p>
    <w:p w:rsidR="004F47BB" w:rsidRPr="004F47BB" w:rsidRDefault="004F47BB" w:rsidP="004F47BB">
      <w:pPr>
        <w:overflowPunct w:val="0"/>
        <w:adjustRightInd w:val="0"/>
        <w:ind w:left="567" w:hanging="567"/>
        <w:textAlignment w:val="baseline"/>
        <w:rPr>
          <w:szCs w:val="20"/>
          <w:lang w:val="en-US"/>
        </w:rPr>
      </w:pPr>
    </w:p>
    <w:p w:rsidR="004F47BB" w:rsidRPr="004F47BB" w:rsidRDefault="004F47BB" w:rsidP="004F47BB">
      <w:pPr>
        <w:overflowPunct w:val="0"/>
        <w:adjustRightInd w:val="0"/>
        <w:ind w:left="567" w:hanging="567"/>
        <w:textAlignment w:val="baseline"/>
        <w:rPr>
          <w:szCs w:val="20"/>
          <w:lang w:val="en-US"/>
        </w:rPr>
      </w:pPr>
      <w:r w:rsidRPr="004F47BB">
        <w:rPr>
          <w:b/>
          <w:szCs w:val="20"/>
          <w:lang w:val="en-US"/>
        </w:rPr>
        <w:t>2.3</w:t>
      </w:r>
      <w:r w:rsidRPr="004F47BB">
        <w:rPr>
          <w:b/>
          <w:szCs w:val="20"/>
          <w:lang w:val="en-US"/>
        </w:rPr>
        <w:tab/>
      </w:r>
      <w:r w:rsidRPr="004F47BB">
        <w:rPr>
          <w:szCs w:val="20"/>
          <w:lang w:val="en-US"/>
        </w:rPr>
        <w:t xml:space="preserve">The mass of the special anchor B used in the tests shall not deviate by more than 10 % from the mass of the reference anchor </w:t>
      </w:r>
      <m:oMath>
        <m:r>
          <w:rPr>
            <w:rFonts w:ascii="Cambria Math" w:hAnsi="Cambria Math"/>
            <w:szCs w:val="20"/>
            <w:lang w:val="en-US"/>
          </w:rPr>
          <m:t>A</m:t>
        </m:r>
      </m:oMath>
      <w:r w:rsidRPr="004F47BB">
        <w:rPr>
          <w:szCs w:val="20"/>
          <w:lang w:val="en-US"/>
        </w:rPr>
        <w:t>. If the tolerances are greater, the forces shall be recalculated proportional to mass.</w:t>
      </w:r>
    </w:p>
    <w:p w:rsidR="004F47BB" w:rsidRPr="004F47BB" w:rsidRDefault="004F47BB" w:rsidP="004F47BB">
      <w:pPr>
        <w:overflowPunct w:val="0"/>
        <w:adjustRightInd w:val="0"/>
        <w:ind w:left="567" w:hanging="567"/>
        <w:textAlignment w:val="baseline"/>
        <w:rPr>
          <w:szCs w:val="20"/>
          <w:lang w:val="en-US"/>
        </w:rPr>
      </w:pPr>
    </w:p>
    <w:p w:rsidR="004F47BB" w:rsidRPr="004F47BB" w:rsidRDefault="004F47BB" w:rsidP="004F47BB">
      <w:pPr>
        <w:overflowPunct w:val="0"/>
        <w:adjustRightInd w:val="0"/>
        <w:ind w:left="567" w:hanging="567"/>
        <w:textAlignment w:val="baseline"/>
        <w:rPr>
          <w:szCs w:val="20"/>
          <w:lang w:val="en-US"/>
        </w:rPr>
      </w:pPr>
      <w:r w:rsidRPr="004F47BB">
        <w:rPr>
          <w:b/>
          <w:szCs w:val="20"/>
          <w:lang w:val="en-US"/>
        </w:rPr>
        <w:t>2.4</w:t>
      </w:r>
      <w:r w:rsidRPr="004F47BB">
        <w:rPr>
          <w:b/>
          <w:szCs w:val="20"/>
          <w:lang w:val="en-US"/>
        </w:rPr>
        <w:tab/>
      </w:r>
      <w:r w:rsidRPr="004F47BB">
        <w:rPr>
          <w:szCs w:val="20"/>
          <w:lang w:val="en-US"/>
        </w:rPr>
        <w:t>Braking force diagrams shall give a linear representation of speed (</w:t>
      </w:r>
      <m:oMath>
        <m:r>
          <w:rPr>
            <w:rFonts w:ascii="Cambria Math" w:hAnsi="Cambria Math"/>
            <w:szCs w:val="20"/>
            <w:lang w:val="en-US"/>
          </w:rPr>
          <m:t>v</m:t>
        </m:r>
      </m:oMath>
      <w:r w:rsidRPr="004F47BB">
        <w:rPr>
          <w:szCs w:val="20"/>
          <w:lang w:val="en-US"/>
        </w:rPr>
        <w:t xml:space="preserve">) in the range 0 to 5 km/h (speed over ground). To this end, three tests shall be carried out in an upstream direction for the reference anchor </w:t>
      </w:r>
      <m:oMath>
        <m:r>
          <w:rPr>
            <w:rFonts w:ascii="Cambria Math" w:hAnsi="Cambria Math"/>
            <w:szCs w:val="20"/>
            <w:lang w:val="en-US"/>
          </w:rPr>
          <m:t>A</m:t>
        </m:r>
      </m:oMath>
      <w:r w:rsidRPr="004F47BB">
        <w:rPr>
          <w:szCs w:val="20"/>
          <w:lang w:val="en-US"/>
        </w:rPr>
        <w:t xml:space="preserve"> and the special anchor </w:t>
      </w:r>
      <m:oMath>
        <m:r>
          <w:rPr>
            <w:rFonts w:ascii="Cambria Math" w:hAnsi="Cambria Math"/>
            <w:szCs w:val="20"/>
            <w:lang w:val="en-US"/>
          </w:rPr>
          <m:t>B</m:t>
        </m:r>
      </m:oMath>
      <w:r w:rsidRPr="004F47BB">
        <w:rPr>
          <w:szCs w:val="20"/>
          <w:lang w:val="en-US"/>
        </w:rPr>
        <w:t xml:space="preserve"> on an alternating basis over each of two stretches of river determined by the competent authority, one with coarse gravel and one with fine sand. On the River Rhine the stretch between 401-402 km can serve as a reference stretch for the coarse gravel tests and the stretch between 480-481 km for the fine sand tests.</w:t>
      </w:r>
    </w:p>
    <w:p w:rsidR="004F47BB" w:rsidRPr="004F47BB" w:rsidRDefault="004F47BB" w:rsidP="004F47BB">
      <w:pPr>
        <w:overflowPunct w:val="0"/>
        <w:adjustRightInd w:val="0"/>
        <w:ind w:left="567" w:hanging="567"/>
        <w:textAlignment w:val="baseline"/>
        <w:rPr>
          <w:szCs w:val="20"/>
          <w:lang w:val="en-US"/>
        </w:rPr>
      </w:pPr>
    </w:p>
    <w:p w:rsidR="004F47BB" w:rsidRPr="004F47BB" w:rsidRDefault="004F47BB" w:rsidP="004F47BB">
      <w:pPr>
        <w:overflowPunct w:val="0"/>
        <w:adjustRightInd w:val="0"/>
        <w:ind w:left="567" w:hanging="567"/>
        <w:textAlignment w:val="baseline"/>
        <w:rPr>
          <w:szCs w:val="20"/>
          <w:lang w:val="en-US"/>
        </w:rPr>
      </w:pPr>
      <w:r w:rsidRPr="004F47BB">
        <w:rPr>
          <w:b/>
          <w:szCs w:val="20"/>
          <w:lang w:val="en-US"/>
        </w:rPr>
        <w:t>2.5</w:t>
      </w:r>
      <w:r w:rsidRPr="004F47BB">
        <w:rPr>
          <w:b/>
          <w:szCs w:val="20"/>
          <w:lang w:val="en-US"/>
        </w:rPr>
        <w:tab/>
      </w:r>
      <w:r w:rsidRPr="004F47BB">
        <w:rPr>
          <w:szCs w:val="20"/>
          <w:lang w:val="en-US"/>
        </w:rPr>
        <w:t>For each test, the anchor being tested shall be towed with a steel wire cable whose length between the points of connection on the anchor and on the towing craft or device is 10 times the height of the connection point on the craft above the anchorage ground.</w:t>
      </w:r>
    </w:p>
    <w:p w:rsidR="004F47BB" w:rsidRPr="004F47BB" w:rsidRDefault="004F47BB" w:rsidP="004F47BB">
      <w:pPr>
        <w:overflowPunct w:val="0"/>
        <w:adjustRightInd w:val="0"/>
        <w:ind w:left="567" w:hanging="567"/>
        <w:textAlignment w:val="baseline"/>
        <w:rPr>
          <w:szCs w:val="20"/>
          <w:lang w:val="en-US"/>
        </w:rPr>
      </w:pPr>
    </w:p>
    <w:p w:rsidR="004F47BB" w:rsidRPr="004F47BB" w:rsidRDefault="004F47BB" w:rsidP="004F47BB">
      <w:pPr>
        <w:overflowPunct w:val="0"/>
        <w:adjustRightInd w:val="0"/>
        <w:ind w:left="567" w:hanging="567"/>
        <w:textAlignment w:val="baseline"/>
        <w:rPr>
          <w:szCs w:val="20"/>
          <w:lang w:val="en-US"/>
        </w:rPr>
      </w:pPr>
      <w:r w:rsidRPr="004F47BB">
        <w:rPr>
          <w:szCs w:val="20"/>
          <w:lang w:val="en-US"/>
        </w:rPr>
        <w:br w:type="page"/>
      </w:r>
    </w:p>
    <w:p w:rsidR="004F47BB" w:rsidRPr="004F47BB" w:rsidRDefault="004F47BB" w:rsidP="004F47BB">
      <w:pPr>
        <w:overflowPunct w:val="0"/>
        <w:adjustRightInd w:val="0"/>
        <w:ind w:left="567" w:hanging="567"/>
        <w:textAlignment w:val="baseline"/>
        <w:rPr>
          <w:szCs w:val="20"/>
          <w:lang w:val="en-US"/>
        </w:rPr>
      </w:pPr>
      <w:r w:rsidRPr="004F47BB">
        <w:rPr>
          <w:b/>
          <w:szCs w:val="20"/>
          <w:lang w:val="en-US"/>
        </w:rPr>
        <w:lastRenderedPageBreak/>
        <w:t>2.6</w:t>
      </w:r>
      <w:r w:rsidRPr="004F47BB">
        <w:rPr>
          <w:b/>
          <w:szCs w:val="20"/>
          <w:lang w:val="en-US"/>
        </w:rPr>
        <w:tab/>
      </w:r>
      <w:r w:rsidRPr="004F47BB">
        <w:rPr>
          <w:szCs w:val="20"/>
          <w:lang w:val="en-US"/>
        </w:rPr>
        <w:t>The percentage of reduction of anchor mass is calculated by the following formula:</w:t>
      </w:r>
    </w:p>
    <w:p w:rsidR="004F47BB" w:rsidRPr="004F47BB" w:rsidRDefault="004F47BB" w:rsidP="004F47BB">
      <w:pPr>
        <w:tabs>
          <w:tab w:val="left" w:pos="567"/>
        </w:tabs>
        <w:overflowPunct w:val="0"/>
        <w:adjustRightInd w:val="0"/>
        <w:ind w:left="567" w:hanging="567"/>
        <w:textAlignment w:val="baseline"/>
        <w:rPr>
          <w:szCs w:val="20"/>
          <w:lang w:val="en-US"/>
        </w:rPr>
      </w:pPr>
    </w:p>
    <w:p w:rsidR="004F47BB" w:rsidRPr="004F47BB" w:rsidRDefault="004F47BB" w:rsidP="004F47BB">
      <w:pPr>
        <w:tabs>
          <w:tab w:val="left" w:pos="567"/>
        </w:tabs>
        <w:overflowPunct w:val="0"/>
        <w:adjustRightInd w:val="0"/>
        <w:ind w:left="284" w:hanging="426"/>
        <w:textAlignment w:val="baseline"/>
        <w:rPr>
          <w:szCs w:val="20"/>
        </w:rPr>
      </w:pPr>
      <m:oMathPara>
        <m:oMath>
          <m:r>
            <w:rPr>
              <w:rFonts w:ascii="Cambria Math" w:hAnsi="Cambria Math"/>
              <w:szCs w:val="20"/>
            </w:rPr>
            <m:t xml:space="preserve">r=75 ∙ </m:t>
          </m:r>
          <m:d>
            <m:dPr>
              <m:ctrlPr>
                <w:rPr>
                  <w:rFonts w:ascii="Cambria Math" w:hAnsi="Cambria Math"/>
                  <w:i/>
                  <w:szCs w:val="20"/>
                </w:rPr>
              </m:ctrlPr>
            </m:dPr>
            <m:e>
              <m:r>
                <w:rPr>
                  <w:rFonts w:ascii="Cambria Math" w:hAnsi="Cambria Math"/>
                  <w:szCs w:val="20"/>
                </w:rPr>
                <m:t xml:space="preserve">1-0,5  </m:t>
              </m:r>
              <m:f>
                <m:fPr>
                  <m:ctrlPr>
                    <w:rPr>
                      <w:rFonts w:ascii="Cambria Math" w:hAnsi="Cambria Math"/>
                      <w:i/>
                      <w:szCs w:val="20"/>
                    </w:rPr>
                  </m:ctrlPr>
                </m:fPr>
                <m:num>
                  <m:r>
                    <w:rPr>
                      <w:rFonts w:ascii="Cambria Math" w:hAnsi="Cambria Math"/>
                      <w:szCs w:val="20"/>
                    </w:rPr>
                    <m:t>PB</m:t>
                  </m:r>
                </m:num>
                <m:den>
                  <m:r>
                    <w:rPr>
                      <w:rFonts w:ascii="Cambria Math" w:hAnsi="Cambria Math"/>
                      <w:szCs w:val="20"/>
                    </w:rPr>
                    <m:t>PA</m:t>
                  </m:r>
                </m:den>
              </m:f>
              <m:r>
                <w:rPr>
                  <w:rFonts w:ascii="Cambria Math" w:hAnsi="Cambria Math"/>
                  <w:szCs w:val="20"/>
                </w:rPr>
                <m:t xml:space="preserve"> </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FA</m:t>
                      </m:r>
                    </m:num>
                    <m:den>
                      <m:r>
                        <w:rPr>
                          <w:rFonts w:ascii="Cambria Math" w:hAnsi="Cambria Math"/>
                          <w:szCs w:val="20"/>
                        </w:rPr>
                        <m:t>FB</m:t>
                      </m:r>
                    </m:den>
                  </m:f>
                  <m:r>
                    <w:rPr>
                      <w:rFonts w:ascii="Cambria Math" w:hAnsi="Cambria Math"/>
                      <w:szCs w:val="20"/>
                    </w:rPr>
                    <m:t xml:space="preserve">+ </m:t>
                  </m:r>
                  <m:f>
                    <m:fPr>
                      <m:ctrlPr>
                        <w:rPr>
                          <w:rFonts w:ascii="Cambria Math" w:hAnsi="Cambria Math"/>
                          <w:i/>
                          <w:szCs w:val="20"/>
                        </w:rPr>
                      </m:ctrlPr>
                    </m:fPr>
                    <m:num>
                      <m:r>
                        <w:rPr>
                          <w:rFonts w:ascii="Cambria Math" w:hAnsi="Cambria Math"/>
                          <w:szCs w:val="20"/>
                        </w:rPr>
                        <m:t>AA</m:t>
                      </m:r>
                    </m:num>
                    <m:den>
                      <m:r>
                        <w:rPr>
                          <w:rFonts w:ascii="Cambria Math" w:hAnsi="Cambria Math"/>
                          <w:szCs w:val="20"/>
                        </w:rPr>
                        <m:t>AB</m:t>
                      </m:r>
                    </m:den>
                  </m:f>
                </m:e>
              </m:d>
            </m:e>
          </m:d>
          <m:r>
            <w:rPr>
              <w:rFonts w:ascii="Cambria Math" w:hAnsi="Cambria Math"/>
              <w:szCs w:val="20"/>
            </w:rPr>
            <m:t xml:space="preserve"> </m:t>
          </m:r>
          <m:d>
            <m:dPr>
              <m:begChr m:val="["/>
              <m:endChr m:val="]"/>
              <m:ctrlPr>
                <w:rPr>
                  <w:rFonts w:ascii="Cambria Math" w:hAnsi="Cambria Math"/>
                  <w:i/>
                  <w:szCs w:val="20"/>
                </w:rPr>
              </m:ctrlPr>
            </m:dPr>
            <m:e>
              <m:r>
                <w:rPr>
                  <w:rFonts w:ascii="Cambria Math" w:hAnsi="Cambria Math"/>
                  <w:szCs w:val="20"/>
                </w:rPr>
                <m:t>%</m:t>
              </m:r>
            </m:e>
          </m:d>
        </m:oMath>
      </m:oMathPara>
    </w:p>
    <w:p w:rsidR="004F47BB" w:rsidRPr="004F47BB" w:rsidRDefault="004F47BB" w:rsidP="004F47BB">
      <w:pPr>
        <w:tabs>
          <w:tab w:val="left" w:pos="567"/>
        </w:tabs>
        <w:overflowPunct w:val="0"/>
        <w:adjustRightInd w:val="0"/>
        <w:ind w:left="284" w:hanging="426"/>
        <w:textAlignment w:val="baseline"/>
        <w:rPr>
          <w:szCs w:val="20"/>
        </w:rPr>
      </w:pPr>
    </w:p>
    <w:p w:rsidR="004F47BB" w:rsidRPr="004F47BB" w:rsidRDefault="007718FA" w:rsidP="004F47BB">
      <w:pPr>
        <w:tabs>
          <w:tab w:val="left" w:pos="567"/>
        </w:tabs>
        <w:overflowPunct w:val="0"/>
        <w:adjustRightInd w:val="0"/>
        <w:ind w:left="567" w:firstLine="0"/>
        <w:textAlignment w:val="baseline"/>
        <w:rPr>
          <w:szCs w:val="20"/>
          <w:lang w:val="en-US"/>
        </w:rPr>
      </w:pPr>
      <w:r>
        <w:rPr>
          <w:szCs w:val="20"/>
          <w:lang w:val="en-US"/>
        </w:rPr>
        <w:t>or</w:t>
      </w:r>
    </w:p>
    <w:p w:rsidR="004F47BB" w:rsidRPr="004F47BB" w:rsidRDefault="004F47BB" w:rsidP="004F47BB">
      <w:pPr>
        <w:tabs>
          <w:tab w:val="left" w:pos="567"/>
        </w:tabs>
        <w:overflowPunct w:val="0"/>
        <w:adjustRightInd w:val="0"/>
        <w:ind w:left="567" w:firstLine="0"/>
        <w:textAlignment w:val="baseline"/>
        <w:rPr>
          <w:szCs w:val="20"/>
          <w:lang w:val="en-US"/>
        </w:rPr>
      </w:pPr>
    </w:p>
    <w:p w:rsidR="004F47BB" w:rsidRPr="004F47BB" w:rsidRDefault="004F47BB" w:rsidP="004F47BB">
      <w:pPr>
        <w:tabs>
          <w:tab w:val="left" w:pos="1134"/>
          <w:tab w:val="left" w:pos="1559"/>
        </w:tabs>
        <w:overflowPunct w:val="0"/>
        <w:adjustRightInd w:val="0"/>
        <w:spacing w:before="60"/>
        <w:ind w:left="1559" w:hanging="992"/>
        <w:textAlignment w:val="baseline"/>
        <w:rPr>
          <w:szCs w:val="20"/>
          <w:lang w:val="en-US"/>
        </w:rPr>
      </w:pPr>
      <m:oMath>
        <m:r>
          <w:rPr>
            <w:rFonts w:ascii="Cambria Math" w:hAnsi="Cambria Math"/>
            <w:szCs w:val="20"/>
            <w:lang w:val="en-US"/>
          </w:rPr>
          <m:t>r</m:t>
        </m:r>
      </m:oMath>
      <w:r w:rsidRPr="004F47BB">
        <w:rPr>
          <w:szCs w:val="20"/>
          <w:lang w:val="en-US"/>
        </w:rPr>
        <w:tab/>
        <w:t>=</w:t>
      </w:r>
      <w:r w:rsidRPr="004F47BB">
        <w:rPr>
          <w:szCs w:val="20"/>
          <w:lang w:val="en-US"/>
        </w:rPr>
        <w:tab/>
        <w:t xml:space="preserve">the percentage of reduction of anchor mass of special anchor </w:t>
      </w:r>
      <m:oMath>
        <m:r>
          <w:rPr>
            <w:rFonts w:ascii="Cambria Math" w:hAnsi="Cambria Math"/>
            <w:szCs w:val="20"/>
            <w:lang w:val="en-US"/>
          </w:rPr>
          <m:t>B</m:t>
        </m:r>
      </m:oMath>
      <w:r w:rsidRPr="004F47BB">
        <w:rPr>
          <w:szCs w:val="20"/>
          <w:lang w:val="en-US"/>
        </w:rPr>
        <w:t xml:space="preserve"> in relation to reference anchor </w:t>
      </w:r>
      <m:oMath>
        <m:r>
          <w:rPr>
            <w:rFonts w:ascii="Cambria Math" w:hAnsi="Cambria Math"/>
            <w:szCs w:val="20"/>
            <w:lang w:val="en-US"/>
          </w:rPr>
          <m:t>A</m:t>
        </m:r>
      </m:oMath>
      <w:r w:rsidRPr="004F47BB">
        <w:rPr>
          <w:szCs w:val="20"/>
          <w:lang w:val="en-US"/>
        </w:rPr>
        <w:t>;</w:t>
      </w:r>
    </w:p>
    <w:p w:rsidR="004F47BB" w:rsidRPr="004F47BB" w:rsidRDefault="004F47BB" w:rsidP="004F47BB">
      <w:pPr>
        <w:tabs>
          <w:tab w:val="left" w:pos="1134"/>
          <w:tab w:val="left" w:pos="1559"/>
        </w:tabs>
        <w:overflowPunct w:val="0"/>
        <w:adjustRightInd w:val="0"/>
        <w:spacing w:before="60"/>
        <w:ind w:left="1559" w:hanging="992"/>
        <w:textAlignment w:val="baseline"/>
        <w:rPr>
          <w:szCs w:val="20"/>
          <w:lang w:val="en-US"/>
        </w:rPr>
      </w:pPr>
      <m:oMath>
        <m:r>
          <w:rPr>
            <w:rFonts w:ascii="Cambria Math" w:hAnsi="Cambria Math"/>
            <w:szCs w:val="20"/>
            <w:lang w:val="en-US"/>
          </w:rPr>
          <m:t>PA</m:t>
        </m:r>
      </m:oMath>
      <w:r w:rsidRPr="004F47BB">
        <w:rPr>
          <w:szCs w:val="20"/>
          <w:lang w:val="en-US"/>
        </w:rPr>
        <w:tab/>
        <w:t>=</w:t>
      </w:r>
      <w:r w:rsidRPr="004F47BB">
        <w:rPr>
          <w:szCs w:val="20"/>
          <w:lang w:val="en-US"/>
        </w:rPr>
        <w:tab/>
        <w:t xml:space="preserve">the mass of reference anchor </w:t>
      </w:r>
      <m:oMath>
        <m:r>
          <w:rPr>
            <w:rFonts w:ascii="Cambria Math" w:hAnsi="Cambria Math"/>
            <w:szCs w:val="20"/>
            <w:lang w:val="en-US"/>
          </w:rPr>
          <m:t>A</m:t>
        </m:r>
      </m:oMath>
      <w:r w:rsidRPr="004F47BB">
        <w:rPr>
          <w:szCs w:val="20"/>
          <w:lang w:val="en-US"/>
        </w:rPr>
        <w:t>;</w:t>
      </w:r>
    </w:p>
    <w:p w:rsidR="004F47BB" w:rsidRPr="004F47BB" w:rsidRDefault="004F47BB" w:rsidP="004F47BB">
      <w:pPr>
        <w:tabs>
          <w:tab w:val="left" w:pos="1134"/>
          <w:tab w:val="left" w:pos="1559"/>
        </w:tabs>
        <w:overflowPunct w:val="0"/>
        <w:adjustRightInd w:val="0"/>
        <w:spacing w:before="60"/>
        <w:ind w:left="1559" w:hanging="992"/>
        <w:textAlignment w:val="baseline"/>
        <w:rPr>
          <w:szCs w:val="20"/>
          <w:lang w:val="en-US"/>
        </w:rPr>
      </w:pPr>
      <m:oMath>
        <m:r>
          <w:rPr>
            <w:rFonts w:ascii="Cambria Math" w:hAnsi="Cambria Math"/>
            <w:szCs w:val="20"/>
            <w:lang w:val="en-US"/>
          </w:rPr>
          <m:t>PB</m:t>
        </m:r>
      </m:oMath>
      <w:r w:rsidRPr="004F47BB">
        <w:rPr>
          <w:szCs w:val="20"/>
          <w:lang w:val="en-US"/>
        </w:rPr>
        <w:tab/>
        <w:t>=</w:t>
      </w:r>
      <w:r w:rsidRPr="004F47BB">
        <w:rPr>
          <w:szCs w:val="20"/>
          <w:lang w:val="en-US"/>
        </w:rPr>
        <w:tab/>
        <w:t xml:space="preserve">the mass of special anchor </w:t>
      </w:r>
      <m:oMath>
        <m:r>
          <w:rPr>
            <w:rFonts w:ascii="Cambria Math" w:hAnsi="Cambria Math"/>
            <w:szCs w:val="20"/>
            <w:lang w:val="en-US"/>
          </w:rPr>
          <m:t>B</m:t>
        </m:r>
      </m:oMath>
      <w:r w:rsidRPr="004F47BB">
        <w:rPr>
          <w:szCs w:val="20"/>
          <w:lang w:val="en-US"/>
        </w:rPr>
        <w:t>;</w:t>
      </w:r>
    </w:p>
    <w:p w:rsidR="004F47BB" w:rsidRPr="004F47BB" w:rsidRDefault="004F47BB" w:rsidP="004F47BB">
      <w:pPr>
        <w:tabs>
          <w:tab w:val="left" w:pos="1134"/>
          <w:tab w:val="left" w:pos="1559"/>
        </w:tabs>
        <w:overflowPunct w:val="0"/>
        <w:adjustRightInd w:val="0"/>
        <w:spacing w:before="60"/>
        <w:ind w:left="1559" w:hanging="992"/>
        <w:textAlignment w:val="baseline"/>
        <w:rPr>
          <w:szCs w:val="20"/>
          <w:lang w:val="en-US"/>
        </w:rPr>
      </w:pPr>
      <m:oMath>
        <m:r>
          <w:rPr>
            <w:rFonts w:ascii="Cambria Math" w:hAnsi="Cambria Math"/>
            <w:szCs w:val="20"/>
            <w:lang w:val="en-US"/>
          </w:rPr>
          <m:t>FA</m:t>
        </m:r>
      </m:oMath>
      <w:r w:rsidRPr="004F47BB">
        <w:rPr>
          <w:szCs w:val="20"/>
          <w:lang w:val="en-US"/>
        </w:rPr>
        <w:tab/>
        <w:t>=</w:t>
      </w:r>
      <w:r w:rsidRPr="004F47BB">
        <w:rPr>
          <w:szCs w:val="20"/>
          <w:lang w:val="en-US"/>
        </w:rPr>
        <w:tab/>
        <w:t xml:space="preserve">holding force of reference anchor </w:t>
      </w:r>
      <m:oMath>
        <m:r>
          <w:rPr>
            <w:rFonts w:ascii="Cambria Math" w:hAnsi="Cambria Math"/>
            <w:szCs w:val="20"/>
            <w:lang w:val="en-US"/>
          </w:rPr>
          <m:t>A</m:t>
        </m:r>
      </m:oMath>
      <w:r w:rsidRPr="004F47BB">
        <w:rPr>
          <w:szCs w:val="20"/>
          <w:lang w:val="en-US"/>
        </w:rPr>
        <w:t xml:space="preserve"> at </w:t>
      </w:r>
      <m:oMath>
        <m:r>
          <w:rPr>
            <w:rFonts w:ascii="Cambria Math" w:hAnsi="Cambria Math"/>
            <w:szCs w:val="20"/>
            <w:lang w:val="en-US"/>
          </w:rPr>
          <m:t>v</m:t>
        </m:r>
      </m:oMath>
      <w:r w:rsidRPr="004F47BB">
        <w:rPr>
          <w:szCs w:val="20"/>
          <w:lang w:val="en-US"/>
        </w:rPr>
        <w:t xml:space="preserve"> = 0,5 km/h ;</w:t>
      </w:r>
    </w:p>
    <w:p w:rsidR="004F47BB" w:rsidRPr="004F47BB" w:rsidRDefault="004F47BB" w:rsidP="004F47BB">
      <w:pPr>
        <w:tabs>
          <w:tab w:val="left" w:pos="1134"/>
          <w:tab w:val="left" w:pos="1559"/>
        </w:tabs>
        <w:overflowPunct w:val="0"/>
        <w:adjustRightInd w:val="0"/>
        <w:spacing w:before="60"/>
        <w:ind w:left="1559" w:hanging="992"/>
        <w:textAlignment w:val="baseline"/>
        <w:rPr>
          <w:szCs w:val="20"/>
          <w:lang w:val="en-US"/>
        </w:rPr>
      </w:pPr>
      <m:oMath>
        <m:r>
          <w:rPr>
            <w:rFonts w:ascii="Cambria Math" w:hAnsi="Cambria Math"/>
            <w:szCs w:val="20"/>
            <w:lang w:val="en-US"/>
          </w:rPr>
          <m:t>FB</m:t>
        </m:r>
      </m:oMath>
      <w:r w:rsidRPr="004F47BB">
        <w:rPr>
          <w:szCs w:val="20"/>
          <w:lang w:val="en-US"/>
        </w:rPr>
        <w:tab/>
        <w:t>=</w:t>
      </w:r>
      <w:r w:rsidRPr="004F47BB">
        <w:rPr>
          <w:szCs w:val="20"/>
          <w:lang w:val="en-US"/>
        </w:rPr>
        <w:tab/>
        <w:t xml:space="preserve">holding force of special anchor </w:t>
      </w:r>
      <m:oMath>
        <m:r>
          <w:rPr>
            <w:rFonts w:ascii="Cambria Math" w:hAnsi="Cambria Math"/>
            <w:szCs w:val="20"/>
            <w:lang w:val="en-US"/>
          </w:rPr>
          <m:t>B</m:t>
        </m:r>
      </m:oMath>
      <w:r w:rsidRPr="004F47BB">
        <w:rPr>
          <w:szCs w:val="20"/>
          <w:lang w:val="en-US"/>
        </w:rPr>
        <w:t xml:space="preserve"> at </w:t>
      </w:r>
      <m:oMath>
        <m:r>
          <w:rPr>
            <w:rFonts w:ascii="Cambria Math" w:hAnsi="Cambria Math"/>
            <w:szCs w:val="20"/>
            <w:lang w:val="en-US"/>
          </w:rPr>
          <m:t>v</m:t>
        </m:r>
      </m:oMath>
      <w:r w:rsidRPr="004F47BB">
        <w:rPr>
          <w:szCs w:val="20"/>
          <w:lang w:val="en-US"/>
        </w:rPr>
        <w:t xml:space="preserve"> = 0,5 km/h;</w:t>
      </w:r>
    </w:p>
    <w:p w:rsidR="004F47BB" w:rsidRPr="004F47BB" w:rsidRDefault="004F47BB" w:rsidP="004F47BB">
      <w:pPr>
        <w:tabs>
          <w:tab w:val="left" w:pos="1134"/>
          <w:tab w:val="left" w:pos="1559"/>
        </w:tabs>
        <w:overflowPunct w:val="0"/>
        <w:adjustRightInd w:val="0"/>
        <w:spacing w:before="60"/>
        <w:ind w:left="1559" w:hanging="992"/>
        <w:textAlignment w:val="baseline"/>
        <w:rPr>
          <w:szCs w:val="20"/>
          <w:lang w:val="en-US"/>
        </w:rPr>
      </w:pPr>
      <m:oMath>
        <m:r>
          <w:rPr>
            <w:rFonts w:ascii="Cambria Math" w:hAnsi="Cambria Math"/>
            <w:szCs w:val="20"/>
            <w:lang w:val="en-US"/>
          </w:rPr>
          <m:t>AA</m:t>
        </m:r>
      </m:oMath>
      <w:r w:rsidRPr="004F47BB">
        <w:rPr>
          <w:szCs w:val="20"/>
          <w:lang w:val="en-US"/>
        </w:rPr>
        <w:tab/>
        <w:t>=</w:t>
      </w:r>
      <w:r w:rsidRPr="004F47BB">
        <w:rPr>
          <w:szCs w:val="20"/>
          <w:lang w:val="en-US"/>
        </w:rPr>
        <w:tab/>
        <w:t>the surface area on the braking force diagram defined by</w:t>
      </w:r>
    </w:p>
    <w:p w:rsidR="004F47BB" w:rsidRPr="004F47BB" w:rsidRDefault="004F47BB" w:rsidP="004F47BB">
      <w:pPr>
        <w:tabs>
          <w:tab w:val="left" w:pos="1985"/>
        </w:tabs>
        <w:overflowPunct w:val="0"/>
        <w:adjustRightInd w:val="0"/>
        <w:spacing w:before="60"/>
        <w:ind w:left="1984"/>
        <w:textAlignment w:val="baseline"/>
        <w:rPr>
          <w:szCs w:val="20"/>
          <w:lang w:val="en-US"/>
        </w:rPr>
      </w:pPr>
      <w:r w:rsidRPr="004F47BB">
        <w:rPr>
          <w:szCs w:val="20"/>
          <w:lang w:val="en-US"/>
        </w:rPr>
        <w:t>-</w:t>
      </w:r>
      <w:r w:rsidRPr="004F47BB">
        <w:rPr>
          <w:szCs w:val="20"/>
          <w:lang w:val="en-US"/>
        </w:rPr>
        <w:tab/>
        <w:t xml:space="preserve">the line parallel to the y-axis at </w:t>
      </w:r>
      <m:oMath>
        <m:r>
          <w:rPr>
            <w:rFonts w:ascii="Cambria Math" w:hAnsi="Cambria Math"/>
            <w:szCs w:val="20"/>
            <w:lang w:val="en-US"/>
          </w:rPr>
          <m:t>v</m:t>
        </m:r>
      </m:oMath>
      <w:r w:rsidRPr="004F47BB">
        <w:rPr>
          <w:szCs w:val="20"/>
          <w:lang w:val="en-US"/>
        </w:rPr>
        <w:t xml:space="preserve"> = 0</w:t>
      </w:r>
    </w:p>
    <w:p w:rsidR="004F47BB" w:rsidRPr="004F47BB" w:rsidRDefault="004F47BB" w:rsidP="004F47BB">
      <w:pPr>
        <w:tabs>
          <w:tab w:val="left" w:pos="1985"/>
        </w:tabs>
        <w:overflowPunct w:val="0"/>
        <w:adjustRightInd w:val="0"/>
        <w:spacing w:before="60"/>
        <w:ind w:left="1984"/>
        <w:textAlignment w:val="baseline"/>
        <w:rPr>
          <w:szCs w:val="20"/>
          <w:lang w:val="en-US"/>
        </w:rPr>
      </w:pPr>
      <w:r w:rsidRPr="004F47BB">
        <w:rPr>
          <w:szCs w:val="20"/>
          <w:lang w:val="en-US"/>
        </w:rPr>
        <w:t>-</w:t>
      </w:r>
      <w:r w:rsidRPr="004F47BB">
        <w:rPr>
          <w:szCs w:val="20"/>
          <w:lang w:val="en-US"/>
        </w:rPr>
        <w:tab/>
        <w:t xml:space="preserve">the line parallel to the y-axis at </w:t>
      </w:r>
      <m:oMath>
        <m:r>
          <w:rPr>
            <w:rFonts w:ascii="Cambria Math" w:hAnsi="Cambria Math"/>
            <w:szCs w:val="20"/>
            <w:lang w:val="en-US"/>
          </w:rPr>
          <m:t>v</m:t>
        </m:r>
      </m:oMath>
      <w:r w:rsidRPr="004F47BB">
        <w:rPr>
          <w:szCs w:val="20"/>
          <w:lang w:val="en-US"/>
        </w:rPr>
        <w:t xml:space="preserve"> = 5 km/h</w:t>
      </w:r>
    </w:p>
    <w:p w:rsidR="004F47BB" w:rsidRPr="004F47BB" w:rsidRDefault="004F47BB" w:rsidP="004F47BB">
      <w:pPr>
        <w:tabs>
          <w:tab w:val="left" w:pos="1985"/>
        </w:tabs>
        <w:overflowPunct w:val="0"/>
        <w:adjustRightInd w:val="0"/>
        <w:spacing w:before="60"/>
        <w:ind w:left="1984"/>
        <w:textAlignment w:val="baseline"/>
        <w:rPr>
          <w:szCs w:val="20"/>
          <w:lang w:val="en-US"/>
        </w:rPr>
      </w:pPr>
      <w:r w:rsidRPr="004F47BB">
        <w:rPr>
          <w:szCs w:val="20"/>
          <w:lang w:val="en-US"/>
        </w:rPr>
        <w:t>-</w:t>
      </w:r>
      <w:r w:rsidRPr="004F47BB">
        <w:rPr>
          <w:szCs w:val="20"/>
          <w:lang w:val="en-US"/>
        </w:rPr>
        <w:tab/>
        <w:t xml:space="preserve">the line parallel to the x-axis at holding force </w:t>
      </w:r>
      <m:oMath>
        <m:r>
          <w:rPr>
            <w:rFonts w:ascii="Cambria Math" w:hAnsi="Cambria Math"/>
            <w:szCs w:val="20"/>
            <w:lang w:val="en-US"/>
          </w:rPr>
          <m:t>F</m:t>
        </m:r>
      </m:oMath>
      <w:r w:rsidRPr="004F47BB">
        <w:rPr>
          <w:szCs w:val="20"/>
          <w:lang w:val="en-US"/>
        </w:rPr>
        <w:t xml:space="preserve"> = 0</w:t>
      </w:r>
    </w:p>
    <w:p w:rsidR="004F47BB" w:rsidRPr="004F47BB" w:rsidRDefault="004F47BB" w:rsidP="004F47BB">
      <w:pPr>
        <w:tabs>
          <w:tab w:val="left" w:pos="1985"/>
        </w:tabs>
        <w:overflowPunct w:val="0"/>
        <w:adjustRightInd w:val="0"/>
        <w:spacing w:before="60"/>
        <w:ind w:left="1984"/>
        <w:textAlignment w:val="baseline"/>
        <w:rPr>
          <w:szCs w:val="20"/>
          <w:lang w:val="en-US"/>
        </w:rPr>
      </w:pPr>
      <w:r w:rsidRPr="004F47BB">
        <w:rPr>
          <w:szCs w:val="20"/>
          <w:lang w:val="en-US"/>
        </w:rPr>
        <w:t>-</w:t>
      </w:r>
      <w:r w:rsidRPr="004F47BB">
        <w:rPr>
          <w:szCs w:val="20"/>
          <w:lang w:val="en-US"/>
        </w:rPr>
        <w:tab/>
        <w:t xml:space="preserve">the braking force curve for reference anchor </w:t>
      </w:r>
      <m:oMath>
        <m:r>
          <w:rPr>
            <w:rFonts w:ascii="Cambria Math" w:hAnsi="Cambria Math"/>
            <w:szCs w:val="20"/>
            <w:lang w:val="en-US"/>
          </w:rPr>
          <m:t>A</m:t>
        </m:r>
      </m:oMath>
      <w:r w:rsidRPr="004F47BB">
        <w:rPr>
          <w:szCs w:val="20"/>
          <w:lang w:val="en-US"/>
        </w:rPr>
        <w:t>;</w:t>
      </w:r>
    </w:p>
    <w:p w:rsidR="004F47BB" w:rsidRPr="004F47BB" w:rsidRDefault="004F47BB" w:rsidP="004F47BB">
      <w:pPr>
        <w:tabs>
          <w:tab w:val="left" w:pos="1134"/>
          <w:tab w:val="left" w:pos="1559"/>
        </w:tabs>
        <w:overflowPunct w:val="0"/>
        <w:adjustRightInd w:val="0"/>
        <w:spacing w:before="60"/>
        <w:ind w:left="1559" w:hanging="992"/>
        <w:textAlignment w:val="baseline"/>
        <w:rPr>
          <w:szCs w:val="20"/>
          <w:lang w:val="en-US"/>
        </w:rPr>
      </w:pPr>
      <m:oMath>
        <m:r>
          <w:rPr>
            <w:rFonts w:ascii="Cambria Math" w:hAnsi="Cambria Math"/>
            <w:szCs w:val="20"/>
            <w:lang w:val="en-US"/>
          </w:rPr>
          <m:t>AB</m:t>
        </m:r>
      </m:oMath>
      <w:r w:rsidRPr="004F47BB">
        <w:rPr>
          <w:szCs w:val="20"/>
          <w:lang w:val="en-US"/>
        </w:rPr>
        <w:tab/>
        <w:t>=</w:t>
      </w:r>
      <w:r w:rsidRPr="004F47BB">
        <w:rPr>
          <w:szCs w:val="20"/>
          <w:lang w:val="en-US"/>
        </w:rPr>
        <w:tab/>
        <w:t xml:space="preserve">same definition as for </w:t>
      </w:r>
      <m:oMath>
        <m:r>
          <w:rPr>
            <w:rFonts w:ascii="Cambria Math" w:hAnsi="Cambria Math"/>
            <w:szCs w:val="20"/>
            <w:lang w:val="en-US"/>
          </w:rPr>
          <m:t>AA</m:t>
        </m:r>
      </m:oMath>
      <w:r w:rsidRPr="004F47BB">
        <w:rPr>
          <w:szCs w:val="20"/>
          <w:lang w:val="en-US"/>
        </w:rPr>
        <w:t xml:space="preserve"> except that the braking force curve for special anchor </w:t>
      </w:r>
      <m:oMath>
        <m:r>
          <w:rPr>
            <w:rFonts w:ascii="Cambria Math" w:hAnsi="Cambria Math"/>
            <w:szCs w:val="20"/>
            <w:lang w:val="en-US"/>
          </w:rPr>
          <m:t>B</m:t>
        </m:r>
      </m:oMath>
      <w:r w:rsidRPr="004F47BB">
        <w:rPr>
          <w:szCs w:val="20"/>
          <w:lang w:val="en-US"/>
        </w:rPr>
        <w:t xml:space="preserve"> is used.</w:t>
      </w:r>
    </w:p>
    <w:p w:rsidR="004F47BB" w:rsidRPr="004F47BB" w:rsidRDefault="004F47BB" w:rsidP="004F47BB">
      <w:pPr>
        <w:tabs>
          <w:tab w:val="left" w:pos="284"/>
        </w:tabs>
        <w:overflowPunct w:val="0"/>
        <w:adjustRightInd w:val="0"/>
        <w:ind w:left="0" w:firstLine="0"/>
        <w:textAlignment w:val="baseline"/>
        <w:rPr>
          <w:szCs w:val="20"/>
          <w:lang w:val="en-US"/>
        </w:rPr>
      </w:pPr>
    </w:p>
    <w:p w:rsidR="004F47BB" w:rsidRPr="004F47BB" w:rsidRDefault="004F47BB" w:rsidP="004F47BB">
      <w:pPr>
        <w:tabs>
          <w:tab w:val="left" w:pos="284"/>
        </w:tabs>
        <w:overflowPunct w:val="0"/>
        <w:adjustRightInd w:val="0"/>
        <w:ind w:left="0" w:firstLine="0"/>
        <w:textAlignment w:val="baseline"/>
        <w:rPr>
          <w:szCs w:val="20"/>
          <w:lang w:val="en-US"/>
        </w:rPr>
      </w:pPr>
    </w:p>
    <w:p w:rsidR="004F47BB" w:rsidRPr="004F47BB" w:rsidRDefault="004F47BB" w:rsidP="004F47BB">
      <w:pPr>
        <w:tabs>
          <w:tab w:val="left" w:pos="284"/>
        </w:tabs>
        <w:overflowPunct w:val="0"/>
        <w:adjustRightInd w:val="0"/>
        <w:ind w:left="0" w:firstLine="0"/>
        <w:jc w:val="center"/>
        <w:textAlignment w:val="baseline"/>
        <w:rPr>
          <w:b/>
          <w:szCs w:val="20"/>
          <w:lang w:val="en-US"/>
        </w:rPr>
      </w:pPr>
      <w:r w:rsidRPr="004F47BB">
        <w:rPr>
          <w:b/>
          <w:szCs w:val="20"/>
          <w:lang w:val="en-US"/>
        </w:rPr>
        <w:t>Model br</w:t>
      </w:r>
      <w:r w:rsidR="007718FA">
        <w:rPr>
          <w:b/>
          <w:szCs w:val="20"/>
          <w:lang w:val="en-US"/>
        </w:rPr>
        <w:t>ea</w:t>
      </w:r>
      <w:r w:rsidRPr="004F47BB">
        <w:rPr>
          <w:b/>
          <w:szCs w:val="20"/>
          <w:lang w:val="en-US"/>
        </w:rPr>
        <w:t>king force diagram</w:t>
      </w:r>
    </w:p>
    <w:p w:rsidR="004F47BB" w:rsidRPr="004F47BB" w:rsidRDefault="004F47BB" w:rsidP="004F47BB">
      <w:pPr>
        <w:tabs>
          <w:tab w:val="left" w:pos="284"/>
        </w:tabs>
        <w:overflowPunct w:val="0"/>
        <w:adjustRightInd w:val="0"/>
        <w:ind w:left="0" w:firstLine="0"/>
        <w:jc w:val="center"/>
        <w:textAlignment w:val="baseline"/>
        <w:rPr>
          <w:b/>
          <w:szCs w:val="20"/>
          <w:lang w:val="en-US"/>
        </w:rPr>
      </w:pPr>
      <w:r w:rsidRPr="004F47BB">
        <w:rPr>
          <w:b/>
          <w:szCs w:val="20"/>
          <w:lang w:val="en-US"/>
        </w:rPr>
        <w:t xml:space="preserve">(Determining the surface areas </w:t>
      </w:r>
      <m:oMath>
        <m:r>
          <m:rPr>
            <m:sty m:val="bi"/>
          </m:rPr>
          <w:rPr>
            <w:rFonts w:ascii="Cambria Math" w:hAnsi="Cambria Math"/>
            <w:szCs w:val="20"/>
            <w:lang w:val="en-US"/>
          </w:rPr>
          <m:t>AA</m:t>
        </m:r>
      </m:oMath>
      <w:r w:rsidRPr="004F47BB">
        <w:rPr>
          <w:b/>
          <w:szCs w:val="20"/>
          <w:lang w:val="en-US"/>
        </w:rPr>
        <w:t xml:space="preserve"> and</w:t>
      </w:r>
      <m:oMath>
        <m:r>
          <m:rPr>
            <m:sty m:val="bi"/>
          </m:rPr>
          <w:rPr>
            <w:rFonts w:ascii="Cambria Math" w:hAnsi="Cambria Math"/>
            <w:szCs w:val="20"/>
            <w:lang w:val="en-US"/>
          </w:rPr>
          <m:t xml:space="preserve"> AB</m:t>
        </m:r>
      </m:oMath>
      <w:r w:rsidRPr="004F47BB">
        <w:rPr>
          <w:b/>
          <w:szCs w:val="20"/>
          <w:lang w:val="en-US"/>
        </w:rPr>
        <w:t>)</w:t>
      </w:r>
    </w:p>
    <w:p w:rsidR="004F47BB" w:rsidRPr="004F47BB" w:rsidRDefault="004F47BB" w:rsidP="004F47BB">
      <w:pPr>
        <w:tabs>
          <w:tab w:val="left" w:pos="284"/>
        </w:tabs>
        <w:overflowPunct w:val="0"/>
        <w:adjustRightInd w:val="0"/>
        <w:ind w:left="1134" w:hanging="1276"/>
        <w:jc w:val="center"/>
        <w:textAlignment w:val="baseline"/>
        <w:rPr>
          <w:noProof/>
          <w:szCs w:val="20"/>
          <w:lang w:val="en-US"/>
        </w:rPr>
      </w:pPr>
      <w:r w:rsidRPr="004F47BB">
        <w:rPr>
          <w:rFonts w:cs="Arial"/>
          <w:noProof/>
          <w:szCs w:val="20"/>
        </w:rPr>
        <w:drawing>
          <wp:anchor distT="0" distB="0" distL="114300" distR="114300" simplePos="0" relativeHeight="251694080" behindDoc="0" locked="0" layoutInCell="1" allowOverlap="1" wp14:anchorId="51FB2B57" wp14:editId="2BBA9CE5">
            <wp:simplePos x="0" y="0"/>
            <wp:positionH relativeFrom="column">
              <wp:posOffset>533400</wp:posOffset>
            </wp:positionH>
            <wp:positionV relativeFrom="paragraph">
              <wp:posOffset>213360</wp:posOffset>
            </wp:positionV>
            <wp:extent cx="5114290" cy="2333625"/>
            <wp:effectExtent l="0" t="0" r="0" b="9525"/>
            <wp:wrapTopAndBottom/>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1429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7BB" w:rsidRPr="004F47BB" w:rsidRDefault="004F47BB" w:rsidP="004F47BB">
      <w:pPr>
        <w:tabs>
          <w:tab w:val="left" w:pos="284"/>
        </w:tabs>
        <w:overflowPunct w:val="0"/>
        <w:adjustRightInd w:val="0"/>
        <w:ind w:left="1134" w:hanging="1276"/>
        <w:jc w:val="center"/>
        <w:textAlignment w:val="baseline"/>
        <w:rPr>
          <w:szCs w:val="20"/>
          <w:lang w:val="en-US"/>
        </w:rPr>
      </w:pPr>
    </w:p>
    <w:p w:rsidR="004F47BB" w:rsidRPr="004F47BB" w:rsidRDefault="004F47BB" w:rsidP="004F47BB">
      <w:pPr>
        <w:tabs>
          <w:tab w:val="left" w:pos="284"/>
        </w:tabs>
        <w:overflowPunct w:val="0"/>
        <w:adjustRightInd w:val="0"/>
        <w:ind w:left="1134" w:hanging="1276"/>
        <w:textAlignment w:val="baseline"/>
        <w:rPr>
          <w:szCs w:val="20"/>
          <w:lang w:val="en-US"/>
        </w:rPr>
      </w:pPr>
    </w:p>
    <w:p w:rsidR="004F47BB" w:rsidRPr="004F47BB" w:rsidRDefault="004F47BB" w:rsidP="004F47BB">
      <w:pPr>
        <w:tabs>
          <w:tab w:val="left" w:pos="567"/>
        </w:tabs>
        <w:overflowPunct w:val="0"/>
        <w:adjustRightInd w:val="0"/>
        <w:ind w:left="567" w:hanging="567"/>
        <w:textAlignment w:val="baseline"/>
        <w:rPr>
          <w:szCs w:val="20"/>
          <w:lang w:val="en-US"/>
        </w:rPr>
      </w:pPr>
      <w:r w:rsidRPr="004F47BB">
        <w:rPr>
          <w:b/>
          <w:szCs w:val="20"/>
          <w:lang w:val="en-US"/>
        </w:rPr>
        <w:t>2.7</w:t>
      </w:r>
      <w:r w:rsidRPr="004F47BB">
        <w:rPr>
          <w:szCs w:val="20"/>
          <w:lang w:val="en-US"/>
        </w:rPr>
        <w:tab/>
        <w:t xml:space="preserve">The acceptable percentage is the average of six values of </w:t>
      </w:r>
      <m:oMath>
        <m:r>
          <w:rPr>
            <w:rFonts w:ascii="Cambria Math" w:hAnsi="Cambria Math"/>
            <w:szCs w:val="20"/>
            <w:lang w:val="en-US"/>
          </w:rPr>
          <m:t>r</m:t>
        </m:r>
      </m:oMath>
      <w:r w:rsidRPr="004F47BB">
        <w:rPr>
          <w:szCs w:val="20"/>
          <w:lang w:val="en-US"/>
        </w:rPr>
        <w:t xml:space="preserve"> calculated in accordance with (2.6).</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sectPr w:rsidR="004F47BB" w:rsidRPr="004F47BB" w:rsidSect="00D45887">
          <w:footnotePr>
            <w:numRestart w:val="eachPage"/>
          </w:footnotePr>
          <w:pgSz w:w="11907" w:h="16840" w:code="9"/>
          <w:pgMar w:top="1418" w:right="1418" w:bottom="1418" w:left="1418" w:header="680" w:footer="680" w:gutter="0"/>
          <w:cols w:space="720"/>
          <w:docGrid w:linePitch="326"/>
        </w:sectPr>
      </w:pPr>
    </w:p>
    <w:p w:rsidR="004F47BB" w:rsidRPr="004F47BB" w:rsidRDefault="004F47BB" w:rsidP="005716BB">
      <w:pPr>
        <w:pStyle w:val="ES-Titre4"/>
      </w:pPr>
      <w:r w:rsidRPr="004F47BB">
        <w:lastRenderedPageBreak/>
        <w:t>Annex 1 to instruction ESI-II-9</w:t>
      </w:r>
    </w:p>
    <w:p w:rsidR="004F47BB" w:rsidRPr="004F47BB" w:rsidRDefault="004F47BB" w:rsidP="005716BB">
      <w:pPr>
        <w:pStyle w:val="ES-Titre4a"/>
      </w:pPr>
      <w:r w:rsidRPr="004F47BB">
        <w:t>Example of an anchor test method with a single-file two-part pushed convoy</w:t>
      </w:r>
    </w:p>
    <w:p w:rsidR="004F47BB" w:rsidRPr="004F47BB" w:rsidRDefault="004F47BB" w:rsidP="004F47BB">
      <w:pPr>
        <w:tabs>
          <w:tab w:val="left" w:pos="284"/>
          <w:tab w:val="left" w:pos="567"/>
        </w:tabs>
        <w:overflowPunct w:val="0"/>
        <w:adjustRightInd w:val="0"/>
        <w:ind w:left="284" w:hanging="426"/>
        <w:textAlignment w:val="baseline"/>
        <w:rPr>
          <w:szCs w:val="20"/>
          <w:lang w:val="en-US"/>
        </w:rPr>
      </w:pPr>
    </w:p>
    <w:p w:rsidR="004F47BB" w:rsidRPr="004F47BB" w:rsidRDefault="004F47BB" w:rsidP="004F47BB">
      <w:pPr>
        <w:tabs>
          <w:tab w:val="left" w:pos="284"/>
          <w:tab w:val="left" w:pos="567"/>
        </w:tabs>
        <w:overflowPunct w:val="0"/>
        <w:adjustRightInd w:val="0"/>
        <w:ind w:left="284" w:hanging="426"/>
        <w:textAlignment w:val="baseline"/>
        <w:rPr>
          <w:szCs w:val="20"/>
          <w:lang w:val="en-US"/>
        </w:rPr>
      </w:pPr>
    </w:p>
    <w:p w:rsidR="004F47BB" w:rsidRPr="004F47BB" w:rsidRDefault="004F47BB" w:rsidP="004F47BB">
      <w:pPr>
        <w:tabs>
          <w:tab w:val="left" w:pos="567"/>
        </w:tabs>
        <w:overflowPunct w:val="0"/>
        <w:adjustRightInd w:val="0"/>
        <w:ind w:left="284" w:hanging="426"/>
        <w:textAlignment w:val="baseline"/>
        <w:rPr>
          <w:szCs w:val="20"/>
          <w:lang w:val="en-US"/>
        </w:rPr>
      </w:pPr>
    </w:p>
    <w:p w:rsidR="004F47BB" w:rsidRPr="004F47BB" w:rsidRDefault="004F47BB" w:rsidP="004F47BB">
      <w:pPr>
        <w:tabs>
          <w:tab w:val="left" w:pos="567"/>
        </w:tabs>
        <w:overflowPunct w:val="0"/>
        <w:adjustRightInd w:val="0"/>
        <w:ind w:left="284" w:hanging="426"/>
        <w:textAlignment w:val="baseline"/>
        <w:rPr>
          <w:szCs w:val="20"/>
          <w:lang w:val="en-US"/>
        </w:rPr>
      </w:pPr>
    </w:p>
    <w:tbl>
      <w:tblPr>
        <w:tblW w:w="0" w:type="auto"/>
        <w:jc w:val="center"/>
        <w:tblLayout w:type="fixed"/>
        <w:tblLook w:val="0000" w:firstRow="0" w:lastRow="0" w:firstColumn="0" w:lastColumn="0" w:noHBand="0" w:noVBand="0"/>
      </w:tblPr>
      <w:tblGrid>
        <w:gridCol w:w="1240"/>
        <w:gridCol w:w="1268"/>
        <w:gridCol w:w="293"/>
        <w:gridCol w:w="945"/>
        <w:gridCol w:w="529"/>
        <w:gridCol w:w="765"/>
        <w:gridCol w:w="69"/>
        <w:gridCol w:w="752"/>
        <w:gridCol w:w="1476"/>
        <w:gridCol w:w="483"/>
        <w:gridCol w:w="998"/>
        <w:gridCol w:w="1082"/>
      </w:tblGrid>
      <w:tr w:rsidR="004F47BB" w:rsidRPr="004F47BB" w:rsidTr="00D45887">
        <w:trPr>
          <w:jc w:val="center"/>
        </w:trPr>
        <w:tc>
          <w:tcPr>
            <w:tcW w:w="2801" w:type="dxa"/>
            <w:gridSpan w:val="3"/>
          </w:tcPr>
          <w:p w:rsidR="004F47BB" w:rsidRPr="004F47BB" w:rsidRDefault="004F47BB" w:rsidP="004F47BB">
            <w:pPr>
              <w:suppressAutoHyphens/>
              <w:autoSpaceDE/>
              <w:autoSpaceDN/>
              <w:snapToGrid w:val="0"/>
              <w:spacing w:before="120" w:after="120"/>
              <w:ind w:left="0" w:firstLine="0"/>
              <w:rPr>
                <w:rFonts w:cs="Arial"/>
                <w:sz w:val="18"/>
                <w:szCs w:val="18"/>
                <w:lang w:eastAsia="ar-SA"/>
              </w:rPr>
            </w:pPr>
            <w:r w:rsidRPr="004F47BB">
              <w:rPr>
                <w:rFonts w:cs="Arial"/>
                <w:sz w:val="18"/>
                <w:szCs w:val="18"/>
                <w:lang w:eastAsia="ar-SA"/>
              </w:rPr>
              <w:t>Pusher</w:t>
            </w:r>
          </w:p>
        </w:tc>
        <w:tc>
          <w:tcPr>
            <w:tcW w:w="1474" w:type="dxa"/>
            <w:gridSpan w:val="2"/>
          </w:tcPr>
          <w:p w:rsidR="004F47BB" w:rsidRPr="004F47BB" w:rsidRDefault="004F47BB" w:rsidP="004F47BB">
            <w:pPr>
              <w:suppressAutoHyphens/>
              <w:autoSpaceDE/>
              <w:autoSpaceDN/>
              <w:snapToGrid w:val="0"/>
              <w:spacing w:before="120" w:after="120"/>
              <w:ind w:left="0" w:firstLine="0"/>
              <w:rPr>
                <w:rFonts w:cs="Arial"/>
                <w:sz w:val="18"/>
                <w:szCs w:val="18"/>
                <w:lang w:eastAsia="ar-SA"/>
              </w:rPr>
            </w:pPr>
            <w:r w:rsidRPr="004F47BB">
              <w:rPr>
                <w:rFonts w:cs="Arial"/>
                <w:sz w:val="18"/>
                <w:szCs w:val="18"/>
                <w:lang w:eastAsia="ar-SA"/>
              </w:rPr>
              <w:t>2nd lighter</w:t>
            </w:r>
          </w:p>
        </w:tc>
        <w:tc>
          <w:tcPr>
            <w:tcW w:w="1586" w:type="dxa"/>
            <w:gridSpan w:val="3"/>
          </w:tcPr>
          <w:p w:rsidR="004F47BB" w:rsidRPr="004F47BB" w:rsidRDefault="004F47BB" w:rsidP="004F47BB">
            <w:pPr>
              <w:suppressAutoHyphens/>
              <w:autoSpaceDE/>
              <w:autoSpaceDN/>
              <w:snapToGrid w:val="0"/>
              <w:spacing w:before="120" w:after="120"/>
              <w:ind w:left="0" w:firstLine="0"/>
              <w:rPr>
                <w:rFonts w:cs="Arial"/>
                <w:sz w:val="18"/>
                <w:szCs w:val="18"/>
                <w:lang w:eastAsia="ar-SA"/>
              </w:rPr>
            </w:pPr>
          </w:p>
        </w:tc>
        <w:tc>
          <w:tcPr>
            <w:tcW w:w="1476" w:type="dxa"/>
          </w:tcPr>
          <w:p w:rsidR="004F47BB" w:rsidRPr="004F47BB" w:rsidRDefault="004F47BB" w:rsidP="004F47BB">
            <w:pPr>
              <w:suppressAutoHyphens/>
              <w:autoSpaceDE/>
              <w:autoSpaceDN/>
              <w:snapToGrid w:val="0"/>
              <w:spacing w:before="120" w:after="120"/>
              <w:ind w:left="0" w:firstLine="0"/>
              <w:rPr>
                <w:rFonts w:cs="Arial"/>
                <w:sz w:val="18"/>
                <w:szCs w:val="18"/>
                <w:lang w:eastAsia="ar-SA"/>
              </w:rPr>
            </w:pPr>
          </w:p>
        </w:tc>
        <w:tc>
          <w:tcPr>
            <w:tcW w:w="1481" w:type="dxa"/>
            <w:gridSpan w:val="2"/>
          </w:tcPr>
          <w:p w:rsidR="004F47BB" w:rsidRPr="004F47BB" w:rsidRDefault="004F47BB" w:rsidP="004F47BB">
            <w:pPr>
              <w:suppressAutoHyphens/>
              <w:autoSpaceDE/>
              <w:autoSpaceDN/>
              <w:snapToGrid w:val="0"/>
              <w:spacing w:before="120" w:after="120"/>
              <w:ind w:left="0" w:firstLine="0"/>
              <w:rPr>
                <w:rFonts w:cs="Arial"/>
                <w:sz w:val="18"/>
                <w:szCs w:val="18"/>
                <w:lang w:eastAsia="ar-SA"/>
              </w:rPr>
            </w:pPr>
            <w:r w:rsidRPr="004F47BB">
              <w:rPr>
                <w:rFonts w:cs="Arial"/>
                <w:sz w:val="18"/>
                <w:szCs w:val="18"/>
                <w:lang w:eastAsia="ar-SA"/>
              </w:rPr>
              <w:t>1st lighter</w:t>
            </w:r>
          </w:p>
        </w:tc>
        <w:tc>
          <w:tcPr>
            <w:tcW w:w="1082" w:type="dxa"/>
          </w:tcPr>
          <w:p w:rsidR="004F47BB" w:rsidRPr="004F47BB" w:rsidRDefault="004F47BB" w:rsidP="004F47BB">
            <w:pPr>
              <w:suppressAutoHyphens/>
              <w:autoSpaceDE/>
              <w:autoSpaceDN/>
              <w:snapToGrid w:val="0"/>
              <w:spacing w:before="120" w:after="120"/>
              <w:ind w:left="0" w:firstLine="0"/>
              <w:rPr>
                <w:rFonts w:cs="Arial"/>
                <w:sz w:val="18"/>
                <w:szCs w:val="18"/>
                <w:lang w:eastAsia="ar-SA"/>
              </w:rPr>
            </w:pPr>
          </w:p>
        </w:tc>
      </w:tr>
      <w:tr w:rsidR="004F47BB" w:rsidRPr="004F47BB" w:rsidTr="00D45887">
        <w:trPr>
          <w:jc w:val="center"/>
        </w:trPr>
        <w:tc>
          <w:tcPr>
            <w:tcW w:w="9900" w:type="dxa"/>
            <w:gridSpan w:val="12"/>
          </w:tcPr>
          <w:p w:rsidR="004F47BB" w:rsidRPr="004F47BB" w:rsidRDefault="004F47BB" w:rsidP="004F47BB">
            <w:pPr>
              <w:suppressAutoHyphens/>
              <w:autoSpaceDE/>
              <w:autoSpaceDN/>
              <w:snapToGrid w:val="0"/>
              <w:ind w:left="0" w:firstLine="0"/>
              <w:rPr>
                <w:rFonts w:ascii="Times New Roman" w:hAnsi="Times New Roman"/>
                <w:sz w:val="2"/>
                <w:szCs w:val="2"/>
                <w:lang w:eastAsia="ar-SA"/>
              </w:rPr>
            </w:pPr>
            <w:r w:rsidRPr="004F47BB">
              <w:rPr>
                <w:rFonts w:ascii="Times New Roman" w:hAnsi="Times New Roman"/>
                <w:noProof/>
                <w:sz w:val="24"/>
              </w:rPr>
              <w:drawing>
                <wp:anchor distT="0" distB="0" distL="114935" distR="114935" simplePos="0" relativeHeight="251688960" behindDoc="0" locked="0" layoutInCell="1" allowOverlap="1" wp14:anchorId="3121D36F" wp14:editId="79B925C8">
                  <wp:simplePos x="0" y="0"/>
                  <wp:positionH relativeFrom="column">
                    <wp:posOffset>-70485</wp:posOffset>
                  </wp:positionH>
                  <wp:positionV relativeFrom="paragraph">
                    <wp:posOffset>-1298575</wp:posOffset>
                  </wp:positionV>
                  <wp:extent cx="6282690" cy="1290320"/>
                  <wp:effectExtent l="0" t="0" r="3810" b="5080"/>
                  <wp:wrapTopAndBottom/>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282690" cy="1290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4F47BB" w:rsidRPr="004F47BB" w:rsidTr="00D45887">
        <w:trPr>
          <w:jc w:val="center"/>
        </w:trPr>
        <w:tc>
          <w:tcPr>
            <w:tcW w:w="1240" w:type="dxa"/>
          </w:tcPr>
          <w:p w:rsidR="004F47BB" w:rsidRPr="004F47BB" w:rsidRDefault="004F47BB" w:rsidP="004F47BB">
            <w:pPr>
              <w:suppressAutoHyphens/>
              <w:autoSpaceDE/>
              <w:autoSpaceDN/>
              <w:snapToGrid w:val="0"/>
              <w:spacing w:before="120" w:after="120"/>
              <w:ind w:left="0" w:firstLine="0"/>
              <w:jc w:val="center"/>
              <w:rPr>
                <w:rFonts w:cs="Arial"/>
                <w:sz w:val="18"/>
                <w:szCs w:val="18"/>
                <w:lang w:eastAsia="ar-SA"/>
              </w:rPr>
            </w:pPr>
            <w:r w:rsidRPr="004F47BB">
              <w:rPr>
                <w:rFonts w:cs="Arial"/>
                <w:sz w:val="18"/>
                <w:szCs w:val="18"/>
                <w:lang w:eastAsia="ar-SA"/>
              </w:rPr>
              <w:t>Anchor</w:t>
            </w:r>
          </w:p>
        </w:tc>
        <w:tc>
          <w:tcPr>
            <w:tcW w:w="1268" w:type="dxa"/>
          </w:tcPr>
          <w:p w:rsidR="004F47BB" w:rsidRPr="004F47BB" w:rsidRDefault="004F47BB" w:rsidP="004F47BB">
            <w:pPr>
              <w:suppressAutoHyphens/>
              <w:autoSpaceDE/>
              <w:autoSpaceDN/>
              <w:snapToGrid w:val="0"/>
              <w:spacing w:before="120" w:after="120"/>
              <w:ind w:left="0" w:firstLine="0"/>
              <w:jc w:val="center"/>
              <w:rPr>
                <w:rFonts w:cs="Arial"/>
                <w:sz w:val="18"/>
                <w:szCs w:val="18"/>
                <w:lang w:eastAsia="ar-SA"/>
              </w:rPr>
            </w:pPr>
            <w:r w:rsidRPr="004F47BB">
              <w:rPr>
                <w:rFonts w:cs="Arial"/>
                <w:sz w:val="18"/>
                <w:szCs w:val="18"/>
                <w:lang w:eastAsia="ar-SA"/>
              </w:rPr>
              <w:t>Crane</w:t>
            </w:r>
          </w:p>
        </w:tc>
        <w:tc>
          <w:tcPr>
            <w:tcW w:w="1238" w:type="dxa"/>
            <w:gridSpan w:val="2"/>
          </w:tcPr>
          <w:p w:rsidR="004F47BB" w:rsidRPr="004F47BB" w:rsidRDefault="004F47BB" w:rsidP="004F47BB">
            <w:pPr>
              <w:suppressAutoHyphens/>
              <w:autoSpaceDE/>
              <w:autoSpaceDN/>
              <w:snapToGrid w:val="0"/>
              <w:spacing w:before="120" w:after="120"/>
              <w:ind w:left="0" w:firstLine="0"/>
              <w:jc w:val="center"/>
              <w:rPr>
                <w:rFonts w:cs="Arial"/>
                <w:sz w:val="18"/>
                <w:szCs w:val="18"/>
                <w:lang w:eastAsia="ar-SA"/>
              </w:rPr>
            </w:pPr>
            <w:r w:rsidRPr="004F47BB">
              <w:rPr>
                <w:rFonts w:cs="Arial"/>
                <w:sz w:val="18"/>
                <w:szCs w:val="18"/>
                <w:lang w:eastAsia="ar-SA"/>
              </w:rPr>
              <w:t>Hawser</w:t>
            </w:r>
          </w:p>
        </w:tc>
        <w:tc>
          <w:tcPr>
            <w:tcW w:w="1363" w:type="dxa"/>
            <w:gridSpan w:val="3"/>
          </w:tcPr>
          <w:p w:rsidR="004F47BB" w:rsidRPr="004F47BB" w:rsidRDefault="004F47BB" w:rsidP="004F47BB">
            <w:pPr>
              <w:suppressAutoHyphens/>
              <w:autoSpaceDE/>
              <w:autoSpaceDN/>
              <w:snapToGrid w:val="0"/>
              <w:spacing w:before="120" w:after="120"/>
              <w:ind w:left="0" w:firstLine="0"/>
              <w:jc w:val="center"/>
              <w:rPr>
                <w:rFonts w:cs="Arial"/>
                <w:sz w:val="18"/>
                <w:szCs w:val="18"/>
                <w:lang w:eastAsia="ar-SA"/>
              </w:rPr>
            </w:pPr>
            <w:r w:rsidRPr="004F47BB">
              <w:rPr>
                <w:rFonts w:cs="Arial"/>
                <w:sz w:val="18"/>
                <w:szCs w:val="18"/>
                <w:lang w:eastAsia="ar-SA"/>
              </w:rPr>
              <w:t>Tow line</w:t>
            </w:r>
          </w:p>
        </w:tc>
        <w:tc>
          <w:tcPr>
            <w:tcW w:w="2711" w:type="dxa"/>
            <w:gridSpan w:val="3"/>
          </w:tcPr>
          <w:p w:rsidR="004F47BB" w:rsidRPr="004F47BB" w:rsidRDefault="004F47BB" w:rsidP="004F47BB">
            <w:pPr>
              <w:suppressAutoHyphens/>
              <w:autoSpaceDE/>
              <w:autoSpaceDN/>
              <w:snapToGrid w:val="0"/>
              <w:spacing w:before="120" w:after="120"/>
              <w:ind w:left="0" w:firstLine="0"/>
              <w:jc w:val="center"/>
              <w:rPr>
                <w:rFonts w:cs="Arial"/>
                <w:sz w:val="18"/>
                <w:szCs w:val="18"/>
                <w:lang w:eastAsia="ar-SA"/>
              </w:rPr>
            </w:pPr>
            <w:r w:rsidRPr="004F47BB">
              <w:rPr>
                <w:rFonts w:cs="Arial"/>
                <w:sz w:val="18"/>
                <w:szCs w:val="18"/>
                <w:lang w:eastAsia="ar-SA"/>
              </w:rPr>
              <w:t>Tensile force dynamometer</w:t>
            </w:r>
          </w:p>
        </w:tc>
        <w:tc>
          <w:tcPr>
            <w:tcW w:w="2080" w:type="dxa"/>
            <w:gridSpan w:val="2"/>
          </w:tcPr>
          <w:p w:rsidR="004F47BB" w:rsidRPr="004F47BB" w:rsidRDefault="004F47BB" w:rsidP="004F47BB">
            <w:pPr>
              <w:suppressAutoHyphens/>
              <w:autoSpaceDE/>
              <w:autoSpaceDN/>
              <w:snapToGrid w:val="0"/>
              <w:spacing w:before="120" w:after="120"/>
              <w:ind w:left="0" w:firstLine="0"/>
              <w:jc w:val="center"/>
              <w:rPr>
                <w:rFonts w:cs="Arial"/>
                <w:sz w:val="18"/>
                <w:szCs w:val="18"/>
                <w:lang w:eastAsia="ar-SA"/>
              </w:rPr>
            </w:pPr>
            <w:r w:rsidRPr="004F47BB">
              <w:rPr>
                <w:rFonts w:cs="Arial"/>
                <w:sz w:val="18"/>
                <w:szCs w:val="18"/>
                <w:lang w:eastAsia="ar-SA"/>
              </w:rPr>
              <w:t>anchorage</w:t>
            </w:r>
          </w:p>
        </w:tc>
      </w:tr>
      <w:tr w:rsidR="004F47BB" w:rsidRPr="004F47BB" w:rsidTr="00D45887">
        <w:trPr>
          <w:jc w:val="center"/>
        </w:trPr>
        <w:tc>
          <w:tcPr>
            <w:tcW w:w="1240" w:type="dxa"/>
          </w:tcPr>
          <w:p w:rsidR="004F47BB" w:rsidRPr="004F47BB" w:rsidRDefault="004F47BB" w:rsidP="004F47BB">
            <w:pPr>
              <w:suppressAutoHyphens/>
              <w:autoSpaceDE/>
              <w:autoSpaceDN/>
              <w:snapToGrid w:val="0"/>
              <w:spacing w:before="120" w:after="120"/>
              <w:ind w:left="0" w:firstLine="0"/>
              <w:jc w:val="center"/>
              <w:rPr>
                <w:rFonts w:cs="Arial"/>
                <w:sz w:val="18"/>
                <w:szCs w:val="18"/>
                <w:lang w:val="nl-NL" w:eastAsia="ar-SA"/>
              </w:rPr>
            </w:pPr>
            <w:r w:rsidRPr="004F47BB">
              <w:rPr>
                <w:rFonts w:cs="Arial"/>
                <w:sz w:val="18"/>
                <w:szCs w:val="18"/>
                <w:lang w:val="nl-NL" w:eastAsia="ar-SA"/>
              </w:rPr>
              <w:t>500 kg</w:t>
            </w:r>
          </w:p>
        </w:tc>
        <w:tc>
          <w:tcPr>
            <w:tcW w:w="1268" w:type="dxa"/>
          </w:tcPr>
          <w:p w:rsidR="004F47BB" w:rsidRPr="004F47BB" w:rsidRDefault="004F47BB" w:rsidP="004F47BB">
            <w:pPr>
              <w:suppressAutoHyphens/>
              <w:autoSpaceDE/>
              <w:autoSpaceDN/>
              <w:snapToGrid w:val="0"/>
              <w:spacing w:before="120" w:after="120"/>
              <w:ind w:left="0" w:firstLine="0"/>
              <w:jc w:val="center"/>
              <w:rPr>
                <w:rFonts w:cs="Arial"/>
                <w:sz w:val="18"/>
                <w:szCs w:val="18"/>
                <w:lang w:val="nl-NL" w:eastAsia="ar-SA"/>
              </w:rPr>
            </w:pPr>
            <w:r w:rsidRPr="004F47BB">
              <w:rPr>
                <w:rFonts w:cs="Arial"/>
                <w:sz w:val="18"/>
                <w:szCs w:val="18"/>
                <w:lang w:val="nl-NL" w:eastAsia="ar-SA"/>
              </w:rPr>
              <w:t>750 kg</w:t>
            </w:r>
          </w:p>
        </w:tc>
        <w:tc>
          <w:tcPr>
            <w:tcW w:w="1238" w:type="dxa"/>
            <w:gridSpan w:val="2"/>
          </w:tcPr>
          <w:p w:rsidR="004F47BB" w:rsidRPr="004F47BB" w:rsidRDefault="004F47BB" w:rsidP="004F47BB">
            <w:pPr>
              <w:suppressAutoHyphens/>
              <w:autoSpaceDE/>
              <w:autoSpaceDN/>
              <w:snapToGrid w:val="0"/>
              <w:spacing w:before="120" w:after="120"/>
              <w:ind w:left="0" w:firstLine="0"/>
              <w:jc w:val="center"/>
              <w:rPr>
                <w:rFonts w:ascii="Symbol" w:hAnsi="Symbol"/>
                <w:sz w:val="18"/>
                <w:szCs w:val="18"/>
                <w:lang w:val="nl-NL" w:eastAsia="ar-SA"/>
              </w:rPr>
            </w:pPr>
            <w:r w:rsidRPr="004F47BB">
              <w:rPr>
                <w:rFonts w:cs="Arial"/>
                <w:sz w:val="18"/>
                <w:szCs w:val="18"/>
                <w:lang w:val="nl-NL" w:eastAsia="ar-SA"/>
              </w:rPr>
              <w:t>12 mm</w:t>
            </w:r>
            <w:r w:rsidRPr="004F47BB">
              <w:rPr>
                <w:rFonts w:ascii="Times New Roman" w:hAnsi="Times New Roman" w:cs="Arial"/>
                <w:sz w:val="18"/>
                <w:szCs w:val="18"/>
                <w:lang w:val="nl-NL" w:eastAsia="ar-SA"/>
              </w:rPr>
              <w:t xml:space="preserve"> </w:t>
            </w:r>
            <w:r w:rsidRPr="004F47BB">
              <w:rPr>
                <w:rFonts w:ascii="Symbol" w:hAnsi="Symbol"/>
                <w:sz w:val="18"/>
                <w:szCs w:val="18"/>
                <w:lang w:eastAsia="ar-SA"/>
              </w:rPr>
              <w:t></w:t>
            </w:r>
          </w:p>
        </w:tc>
        <w:tc>
          <w:tcPr>
            <w:tcW w:w="1363" w:type="dxa"/>
            <w:gridSpan w:val="3"/>
          </w:tcPr>
          <w:p w:rsidR="004F47BB" w:rsidRPr="004F47BB" w:rsidRDefault="004F47BB" w:rsidP="004F47BB">
            <w:pPr>
              <w:suppressAutoHyphens/>
              <w:autoSpaceDE/>
              <w:autoSpaceDN/>
              <w:snapToGrid w:val="0"/>
              <w:spacing w:before="120" w:after="120"/>
              <w:ind w:left="0" w:firstLine="0"/>
              <w:jc w:val="center"/>
              <w:rPr>
                <w:rFonts w:ascii="Symbol" w:hAnsi="Symbol"/>
                <w:sz w:val="18"/>
                <w:szCs w:val="18"/>
                <w:lang w:eastAsia="ar-SA"/>
              </w:rPr>
            </w:pPr>
            <w:r w:rsidRPr="004F47BB">
              <w:rPr>
                <w:rFonts w:cs="Arial"/>
                <w:sz w:val="18"/>
                <w:szCs w:val="18"/>
                <w:lang w:eastAsia="ar-SA"/>
              </w:rPr>
              <w:t>24 mm</w:t>
            </w:r>
            <w:r w:rsidRPr="004F47BB">
              <w:rPr>
                <w:rFonts w:ascii="Times New Roman" w:hAnsi="Times New Roman" w:cs="Arial"/>
                <w:sz w:val="18"/>
                <w:szCs w:val="18"/>
                <w:lang w:eastAsia="ar-SA"/>
              </w:rPr>
              <w:t xml:space="preserve"> </w:t>
            </w:r>
            <w:r w:rsidRPr="004F47BB">
              <w:rPr>
                <w:rFonts w:ascii="Symbol" w:hAnsi="Symbol"/>
                <w:sz w:val="18"/>
                <w:szCs w:val="18"/>
                <w:lang w:eastAsia="ar-SA"/>
              </w:rPr>
              <w:t></w:t>
            </w:r>
          </w:p>
        </w:tc>
        <w:tc>
          <w:tcPr>
            <w:tcW w:w="2711" w:type="dxa"/>
            <w:gridSpan w:val="3"/>
          </w:tcPr>
          <w:p w:rsidR="004F47BB" w:rsidRPr="004F47BB" w:rsidRDefault="004F47BB" w:rsidP="004F47BB">
            <w:pPr>
              <w:suppressAutoHyphens/>
              <w:autoSpaceDE/>
              <w:autoSpaceDN/>
              <w:snapToGrid w:val="0"/>
              <w:spacing w:before="120" w:after="120"/>
              <w:ind w:left="0" w:firstLine="0"/>
              <w:jc w:val="center"/>
              <w:rPr>
                <w:rFonts w:cs="Arial"/>
                <w:sz w:val="18"/>
                <w:szCs w:val="18"/>
                <w:lang w:eastAsia="ar-SA"/>
              </w:rPr>
            </w:pPr>
            <w:r w:rsidRPr="004F47BB">
              <w:rPr>
                <w:rFonts w:cs="Arial"/>
                <w:sz w:val="18"/>
                <w:szCs w:val="18"/>
                <w:lang w:eastAsia="ar-SA"/>
              </w:rPr>
              <w:t>20 t</w:t>
            </w:r>
          </w:p>
        </w:tc>
        <w:tc>
          <w:tcPr>
            <w:tcW w:w="2080" w:type="dxa"/>
            <w:gridSpan w:val="2"/>
          </w:tcPr>
          <w:p w:rsidR="004F47BB" w:rsidRPr="004F47BB" w:rsidRDefault="004F47BB" w:rsidP="004F47BB">
            <w:pPr>
              <w:suppressAutoHyphens/>
              <w:autoSpaceDE/>
              <w:autoSpaceDN/>
              <w:snapToGrid w:val="0"/>
              <w:spacing w:before="120" w:after="120"/>
              <w:ind w:left="0" w:firstLine="0"/>
              <w:jc w:val="center"/>
              <w:rPr>
                <w:rFonts w:cs="Arial"/>
                <w:sz w:val="18"/>
                <w:szCs w:val="18"/>
                <w:lang w:eastAsia="ar-SA"/>
              </w:rPr>
            </w:pPr>
            <w:r w:rsidRPr="004F47BB">
              <w:rPr>
                <w:rFonts w:cs="Arial"/>
                <w:sz w:val="18"/>
                <w:szCs w:val="18"/>
                <w:lang w:eastAsia="ar-SA"/>
              </w:rPr>
              <w:t>sand / gravel</w:t>
            </w:r>
          </w:p>
        </w:tc>
      </w:tr>
      <w:tr w:rsidR="004F47BB" w:rsidRPr="004F47BB" w:rsidTr="00D45887">
        <w:trPr>
          <w:jc w:val="center"/>
        </w:trPr>
        <w:tc>
          <w:tcPr>
            <w:tcW w:w="5040" w:type="dxa"/>
            <w:gridSpan w:val="6"/>
          </w:tcPr>
          <w:p w:rsidR="004F47BB" w:rsidRPr="004F47BB" w:rsidRDefault="004F47BB" w:rsidP="004F47BB">
            <w:pPr>
              <w:suppressAutoHyphens/>
              <w:autoSpaceDE/>
              <w:autoSpaceDN/>
              <w:snapToGrid w:val="0"/>
              <w:spacing w:before="120" w:after="120"/>
              <w:ind w:left="0" w:firstLine="0"/>
              <w:jc w:val="center"/>
              <w:rPr>
                <w:rFonts w:ascii="Times New Roman" w:hAnsi="Times New Roman" w:cs="Arial"/>
                <w:sz w:val="18"/>
                <w:szCs w:val="18"/>
                <w:lang w:eastAsia="ar-SA"/>
              </w:rPr>
            </w:pPr>
            <w:r w:rsidRPr="004F47BB">
              <w:rPr>
                <w:rFonts w:cs="Arial"/>
                <w:sz w:val="18"/>
                <w:szCs w:val="18"/>
                <w:lang w:eastAsia="ar-SA"/>
              </w:rPr>
              <w:t>Towing speed: 0</w:t>
            </w:r>
            <w:r w:rsidRPr="004F47BB">
              <w:rPr>
                <w:rFonts w:ascii="Times New Roman" w:hAnsi="Times New Roman" w:cs="Arial"/>
                <w:sz w:val="18"/>
                <w:szCs w:val="18"/>
                <w:lang w:eastAsia="ar-SA"/>
              </w:rPr>
              <w:t xml:space="preserve"> </w:t>
            </w:r>
            <w:r w:rsidRPr="004F47BB">
              <w:rPr>
                <w:rFonts w:ascii="Symbol" w:hAnsi="Symbol"/>
                <w:sz w:val="18"/>
                <w:szCs w:val="18"/>
                <w:lang w:eastAsia="ar-SA"/>
              </w:rPr>
              <w:t></w:t>
            </w:r>
            <w:r w:rsidRPr="004F47BB">
              <w:rPr>
                <w:rFonts w:ascii="Times New Roman" w:hAnsi="Times New Roman" w:cs="Arial"/>
                <w:sz w:val="18"/>
                <w:szCs w:val="18"/>
                <w:lang w:eastAsia="ar-SA"/>
              </w:rPr>
              <w:t xml:space="preserve"> </w:t>
            </w:r>
            <w:r w:rsidRPr="004F47BB">
              <w:rPr>
                <w:rFonts w:cs="Arial"/>
                <w:sz w:val="18"/>
                <w:szCs w:val="18"/>
                <w:lang w:eastAsia="ar-SA"/>
              </w:rPr>
              <w:t>5 km/h</w:t>
            </w:r>
          </w:p>
        </w:tc>
        <w:tc>
          <w:tcPr>
            <w:tcW w:w="4860" w:type="dxa"/>
            <w:gridSpan w:val="6"/>
          </w:tcPr>
          <w:p w:rsidR="004F47BB" w:rsidRPr="004F47BB" w:rsidRDefault="004F47BB" w:rsidP="004F47BB">
            <w:pPr>
              <w:suppressAutoHyphens/>
              <w:autoSpaceDE/>
              <w:autoSpaceDN/>
              <w:snapToGrid w:val="0"/>
              <w:spacing w:before="120" w:after="120"/>
              <w:ind w:left="0" w:firstLine="0"/>
              <w:jc w:val="center"/>
              <w:rPr>
                <w:rFonts w:ascii="Times New Roman" w:hAnsi="Times New Roman" w:cs="Arial"/>
                <w:sz w:val="18"/>
                <w:szCs w:val="18"/>
                <w:lang w:eastAsia="ar-SA"/>
              </w:rPr>
            </w:pPr>
            <w:r w:rsidRPr="004F47BB">
              <w:rPr>
                <w:rFonts w:cs="Arial"/>
                <w:sz w:val="18"/>
                <w:szCs w:val="18"/>
                <w:lang w:eastAsia="ar-SA"/>
              </w:rPr>
              <w:t xml:space="preserve">Tow line inclination angle </w:t>
            </w:r>
            <w:r w:rsidRPr="004F47BB">
              <w:rPr>
                <w:rFonts w:ascii="Symbol" w:hAnsi="Symbol"/>
                <w:sz w:val="18"/>
                <w:szCs w:val="18"/>
                <w:lang w:eastAsia="ar-SA"/>
              </w:rPr>
              <w:t></w:t>
            </w:r>
            <w:r w:rsidRPr="004F47BB">
              <w:rPr>
                <w:rFonts w:ascii="Times New Roman" w:hAnsi="Times New Roman" w:cs="Arial"/>
                <w:sz w:val="18"/>
                <w:szCs w:val="18"/>
                <w:lang w:eastAsia="ar-SA"/>
              </w:rPr>
              <w:t xml:space="preserve"> </w:t>
            </w:r>
            <w:r w:rsidRPr="004F47BB">
              <w:rPr>
                <w:rFonts w:cs="Arial"/>
                <w:sz w:val="18"/>
                <w:szCs w:val="18"/>
                <w:lang w:eastAsia="ar-SA"/>
              </w:rPr>
              <w:t>1:10</w:t>
            </w:r>
          </w:p>
        </w:tc>
      </w:tr>
    </w:tbl>
    <w:p w:rsidR="004F47BB" w:rsidRPr="004F47BB" w:rsidRDefault="004F47BB" w:rsidP="004F47BB">
      <w:pPr>
        <w:tabs>
          <w:tab w:val="left" w:pos="567"/>
        </w:tabs>
        <w:overflowPunct w:val="0"/>
        <w:adjustRightInd w:val="0"/>
        <w:ind w:left="284" w:hanging="426"/>
        <w:textAlignment w:val="baseline"/>
        <w:rPr>
          <w:szCs w:val="20"/>
        </w:rPr>
      </w:pPr>
    </w:p>
    <w:p w:rsidR="004F47BB" w:rsidRPr="004F47BB" w:rsidRDefault="004F47BB" w:rsidP="004F47BB">
      <w:pPr>
        <w:tabs>
          <w:tab w:val="left" w:pos="567"/>
        </w:tabs>
        <w:overflowPunct w:val="0"/>
        <w:adjustRightInd w:val="0"/>
        <w:ind w:left="284" w:hanging="426"/>
        <w:jc w:val="center"/>
        <w:textAlignment w:val="baseline"/>
        <w:rPr>
          <w:szCs w:val="20"/>
        </w:rPr>
      </w:pPr>
    </w:p>
    <w:p w:rsidR="004F47BB" w:rsidRPr="004F47BB" w:rsidRDefault="004F47BB" w:rsidP="004F47BB">
      <w:pPr>
        <w:overflowPunct w:val="0"/>
        <w:adjustRightInd w:val="0"/>
        <w:ind w:left="0" w:firstLine="0"/>
        <w:jc w:val="left"/>
        <w:textAlignment w:val="baseline"/>
        <w:rPr>
          <w:szCs w:val="20"/>
        </w:rPr>
      </w:pPr>
    </w:p>
    <w:p w:rsidR="004F47BB" w:rsidRPr="004F47BB" w:rsidRDefault="004F47BB" w:rsidP="004F47BB">
      <w:pPr>
        <w:overflowPunct w:val="0"/>
        <w:adjustRightInd w:val="0"/>
        <w:ind w:left="0" w:firstLine="0"/>
        <w:jc w:val="left"/>
        <w:textAlignment w:val="baseline"/>
        <w:rPr>
          <w:szCs w:val="20"/>
        </w:rPr>
      </w:pPr>
    </w:p>
    <w:p w:rsidR="004F47BB" w:rsidRPr="004F47BB" w:rsidRDefault="004F47BB" w:rsidP="004F47BB">
      <w:pPr>
        <w:overflowPunct w:val="0"/>
        <w:adjustRightInd w:val="0"/>
        <w:ind w:left="0" w:firstLine="0"/>
        <w:jc w:val="left"/>
        <w:textAlignment w:val="baseline"/>
        <w:rPr>
          <w:szCs w:val="20"/>
        </w:rPr>
      </w:pPr>
      <w:r w:rsidRPr="004F47BB">
        <w:rPr>
          <w:szCs w:val="20"/>
        </w:rPr>
        <w:br w:type="page"/>
      </w:r>
    </w:p>
    <w:p w:rsidR="004F47BB" w:rsidRPr="004F47BB" w:rsidRDefault="004F47BB" w:rsidP="004F47BB">
      <w:pPr>
        <w:overflowPunct w:val="0"/>
        <w:adjustRightInd w:val="0"/>
        <w:ind w:left="0" w:firstLine="0"/>
        <w:jc w:val="left"/>
        <w:textAlignment w:val="baseline"/>
        <w:rPr>
          <w:szCs w:val="20"/>
        </w:rPr>
      </w:pPr>
    </w:p>
    <w:p w:rsidR="004F47BB" w:rsidRPr="004F47BB" w:rsidRDefault="004F47BB" w:rsidP="004F47BB">
      <w:pPr>
        <w:overflowPunct w:val="0"/>
        <w:adjustRightInd w:val="0"/>
        <w:ind w:left="0" w:firstLine="0"/>
        <w:jc w:val="left"/>
        <w:textAlignment w:val="baseline"/>
        <w:rPr>
          <w:szCs w:val="20"/>
        </w:rPr>
      </w:pPr>
    </w:p>
    <w:p w:rsidR="004F47BB" w:rsidRPr="004F47BB" w:rsidRDefault="004F47BB" w:rsidP="004F47BB">
      <w:pPr>
        <w:overflowPunct w:val="0"/>
        <w:adjustRightInd w:val="0"/>
        <w:ind w:left="0" w:firstLine="0"/>
        <w:jc w:val="left"/>
        <w:textAlignment w:val="baseline"/>
        <w:rPr>
          <w:szCs w:val="20"/>
        </w:rPr>
      </w:pPr>
    </w:p>
    <w:p w:rsidR="004F47BB" w:rsidRPr="004F47BB" w:rsidRDefault="004F47BB" w:rsidP="004F47BB">
      <w:pPr>
        <w:overflowPunct w:val="0"/>
        <w:adjustRightInd w:val="0"/>
        <w:ind w:left="0" w:firstLine="0"/>
        <w:jc w:val="left"/>
        <w:textAlignment w:val="baseline"/>
        <w:rPr>
          <w:szCs w:val="20"/>
        </w:rPr>
      </w:pPr>
    </w:p>
    <w:p w:rsidR="004F47BB" w:rsidRPr="004F47BB" w:rsidRDefault="004F47BB" w:rsidP="004F47BB">
      <w:pPr>
        <w:overflowPunct w:val="0"/>
        <w:adjustRightInd w:val="0"/>
        <w:ind w:left="0" w:firstLine="0"/>
        <w:jc w:val="left"/>
        <w:textAlignment w:val="baseline"/>
        <w:rPr>
          <w:szCs w:val="20"/>
        </w:rPr>
      </w:pPr>
    </w:p>
    <w:p w:rsidR="004F47BB" w:rsidRPr="004F47BB" w:rsidRDefault="004F47BB" w:rsidP="004F47BB">
      <w:pPr>
        <w:overflowPunct w:val="0"/>
        <w:adjustRightInd w:val="0"/>
        <w:ind w:left="0" w:firstLine="0"/>
        <w:jc w:val="left"/>
        <w:textAlignment w:val="baseline"/>
        <w:rPr>
          <w:szCs w:val="20"/>
        </w:rPr>
        <w:sectPr w:rsidR="004F47BB" w:rsidRPr="004F47BB" w:rsidSect="00D45887">
          <w:headerReference w:type="default" r:id="rId142"/>
          <w:footerReference w:type="default" r:id="rId143"/>
          <w:footnotePr>
            <w:numRestart w:val="eachPage"/>
          </w:footnotePr>
          <w:pgSz w:w="16840" w:h="11907" w:orient="landscape" w:code="9"/>
          <w:pgMar w:top="1418" w:right="1418" w:bottom="1418" w:left="1418" w:header="680" w:footer="680" w:gutter="0"/>
          <w:cols w:space="720"/>
          <w:docGrid w:linePitch="326"/>
        </w:sectPr>
      </w:pPr>
    </w:p>
    <w:p w:rsidR="004F47BB" w:rsidRPr="004F47BB" w:rsidRDefault="004F47BB" w:rsidP="003F3DE1">
      <w:pPr>
        <w:pStyle w:val="ES-Titre2ESI"/>
      </w:pPr>
      <w:bookmarkStart w:id="400" w:name="_Toc491854359"/>
      <w:r w:rsidRPr="004F47BB">
        <w:lastRenderedPageBreak/>
        <w:t>ESI-II-10</w:t>
      </w:r>
      <w:r w:rsidRPr="004F47BB">
        <w:br/>
      </w:r>
      <w:r w:rsidRPr="004F47BB">
        <w:rPr>
          <w:noProof/>
        </w:rPr>
        <w:t>Automatic pressurised water sprinklers</w:t>
      </w:r>
      <w:bookmarkEnd w:id="400"/>
    </w:p>
    <w:p w:rsidR="004F47BB" w:rsidRPr="004F47BB" w:rsidRDefault="004F47BB" w:rsidP="004F47BB">
      <w:pPr>
        <w:autoSpaceDE/>
        <w:autoSpaceDN/>
        <w:ind w:left="0" w:firstLine="0"/>
        <w:jc w:val="center"/>
        <w:rPr>
          <w:rFonts w:cs="Arial"/>
          <w:b/>
          <w:bCs/>
          <w:lang w:val="en-US" w:eastAsia="de-DE"/>
        </w:rPr>
      </w:pPr>
    </w:p>
    <w:p w:rsidR="004F47BB" w:rsidRPr="004F47BB" w:rsidRDefault="004F47BB" w:rsidP="004F47BB">
      <w:pPr>
        <w:autoSpaceDE/>
        <w:autoSpaceDN/>
        <w:ind w:left="0" w:firstLine="0"/>
        <w:jc w:val="center"/>
        <w:rPr>
          <w:rFonts w:cs="Arial"/>
          <w:b/>
          <w:bCs/>
          <w:lang w:val="en-US" w:eastAsia="de-DE"/>
        </w:rPr>
      </w:pPr>
      <w:r w:rsidRPr="004F47BB">
        <w:rPr>
          <w:rFonts w:cs="Arial"/>
          <w:b/>
          <w:bCs/>
          <w:noProof/>
          <w:lang w:val="en-US" w:eastAsia="de-DE"/>
        </w:rPr>
        <w:t>(Article 13.04(1) and (4))</w:t>
      </w:r>
    </w:p>
    <w:p w:rsidR="004F47BB" w:rsidRPr="004F47BB" w:rsidRDefault="004F47BB" w:rsidP="004F47BB">
      <w:pPr>
        <w:autoSpaceDE/>
        <w:autoSpaceDN/>
        <w:ind w:left="0" w:firstLine="0"/>
        <w:jc w:val="left"/>
        <w:rPr>
          <w:rFonts w:cs="Arial"/>
          <w:lang w:val="en-US" w:eastAsia="de-DE"/>
        </w:rPr>
      </w:pPr>
    </w:p>
    <w:p w:rsidR="004F47BB" w:rsidRPr="004F47BB" w:rsidRDefault="004F47BB" w:rsidP="004F47BB">
      <w:pPr>
        <w:spacing w:line="240" w:lineRule="atLeast"/>
        <w:ind w:left="0" w:firstLine="0"/>
        <w:rPr>
          <w:noProof/>
          <w:lang w:val="en-US" w:eastAsia="de-DE" w:bidi="fr-FR"/>
        </w:rPr>
      </w:pPr>
      <w:r w:rsidRPr="004F47BB">
        <w:rPr>
          <w:noProof/>
          <w:lang w:val="en-US" w:eastAsia="de-DE" w:bidi="fr-FR"/>
        </w:rPr>
        <w:t>Suitable automatic pressurised water sprinklers as in Article 13.04(1) and (4) shall meet the following requirements:</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1.</w:t>
      </w:r>
      <w:r w:rsidRPr="004F47BB">
        <w:rPr>
          <w:lang w:val="en-US" w:eastAsia="de-DE"/>
        </w:rPr>
        <w:tab/>
      </w:r>
      <w:r w:rsidRPr="004F47BB">
        <w:rPr>
          <w:noProof/>
          <w:lang w:val="en-US" w:eastAsia="de-DE"/>
        </w:rPr>
        <w:t>The automatic pressurised water sprinkler shall be ready for service at all times when there are persons on board. No additional action by crew members shall be required to trigger operation.</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2.</w:t>
      </w:r>
      <w:r w:rsidRPr="004F47BB">
        <w:rPr>
          <w:lang w:val="en-US" w:eastAsia="de-DE"/>
        </w:rPr>
        <w:tab/>
      </w:r>
      <w:r w:rsidRPr="004F47BB">
        <w:rPr>
          <w:noProof/>
          <w:lang w:val="en-US" w:eastAsia="de-DE"/>
        </w:rPr>
        <w:t>The system shall be permanently maintained at the necessary pressure. The pipes shall be filled with water up to the spray nozzles at all times. The system shall have a continuously working water supply. It shall not be possible for impurities harmful to operation to enter the system. Appropriate display instruments and test systems (e.g. pressure gauges, pressure-tank water level indicators, pump test piping) shall be installed for monitoring and checking the system. The pressurised water sprinkler systems located in the cold storage and freezer rooms should not be permanently filled with water. These rooms can be protected with dry sprinklers.</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3.</w:t>
      </w:r>
      <w:r w:rsidRPr="004F47BB">
        <w:rPr>
          <w:lang w:val="en-US" w:eastAsia="de-DE"/>
        </w:rPr>
        <w:tab/>
      </w:r>
      <w:r w:rsidRPr="004F47BB">
        <w:rPr>
          <w:noProof/>
          <w:lang w:val="en-US" w:eastAsia="de-DE"/>
        </w:rPr>
        <w:t>The pump for the water supply to the spray nozzles shall be activated automatically by a pressure drop in the system. The pump shall be dimensioned so that it can continuously provide a sufficient water supply at the necessary pressure if all the spray nozzles necessary for covering the area of the largest room to be protected are activated simultaneously. The pump shall supply the automatic pressurised water sprinkler exclusively. In the event of pump failure, it shall be possible to provide the spray nozzles with a sufficient water supply from another on-board pump.</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4.</w:t>
      </w:r>
      <w:r w:rsidRPr="004F47BB">
        <w:rPr>
          <w:lang w:val="en-US" w:eastAsia="de-DE"/>
        </w:rPr>
        <w:tab/>
      </w:r>
      <w:r w:rsidRPr="004F47BB">
        <w:rPr>
          <w:noProof/>
          <w:lang w:val="en-US" w:eastAsia="de-DE"/>
        </w:rPr>
        <w:t>The system shall be divided into sections, each with no more than 50 spray nozzles. A larger number of spray nozzles may be authorised by the inspection body with appropriate corroboration, in particular a hydraulic calculation.</w:t>
      </w:r>
    </w:p>
    <w:p w:rsidR="004F47BB" w:rsidRPr="004F47BB" w:rsidRDefault="004F47BB" w:rsidP="004F47BB">
      <w:pPr>
        <w:spacing w:line="240" w:lineRule="atLeast"/>
        <w:ind w:left="567" w:hanging="567"/>
        <w:rPr>
          <w:noProof/>
          <w:lang w:val="en-US" w:eastAsia="de-DE"/>
        </w:rPr>
      </w:pPr>
    </w:p>
    <w:p w:rsidR="004F47BB" w:rsidRPr="004F47BB" w:rsidRDefault="004F47BB" w:rsidP="004F47BB">
      <w:pPr>
        <w:spacing w:line="240" w:lineRule="atLeast"/>
        <w:ind w:left="567" w:hanging="567"/>
        <w:rPr>
          <w:lang w:val="en-US" w:eastAsia="de-DE"/>
        </w:rPr>
      </w:pPr>
      <w:r w:rsidRPr="004F47BB">
        <w:rPr>
          <w:noProof/>
          <w:lang w:val="en-US" w:eastAsia="de-DE"/>
        </w:rPr>
        <w:t>5.</w:t>
      </w:r>
      <w:r w:rsidRPr="004F47BB">
        <w:rPr>
          <w:noProof/>
          <w:lang w:val="en-US" w:eastAsia="de-DE"/>
        </w:rPr>
        <w:tab/>
        <w:t>The number and the layout of spray nozzles shall ensure effective distribution of water in the rooms to be protected.</w:t>
      </w:r>
    </w:p>
    <w:p w:rsidR="004F47BB" w:rsidRPr="004F47BB" w:rsidRDefault="004F47BB" w:rsidP="004F47BB">
      <w:pPr>
        <w:spacing w:line="240" w:lineRule="atLeast"/>
        <w:ind w:left="567" w:hanging="567"/>
        <w:rPr>
          <w:noProof/>
          <w:lang w:val="en-US" w:eastAsia="de-DE"/>
        </w:rPr>
      </w:pPr>
    </w:p>
    <w:p w:rsidR="004F47BB" w:rsidRPr="004F47BB" w:rsidRDefault="004F47BB" w:rsidP="004F47BB">
      <w:pPr>
        <w:spacing w:line="240" w:lineRule="atLeast"/>
        <w:ind w:left="567" w:hanging="567"/>
        <w:rPr>
          <w:noProof/>
          <w:lang w:val="en-US" w:eastAsia="de-DE"/>
        </w:rPr>
      </w:pPr>
      <w:r w:rsidRPr="004F47BB">
        <w:rPr>
          <w:noProof/>
          <w:lang w:val="en-US" w:eastAsia="de-DE"/>
        </w:rPr>
        <w:t>6.</w:t>
      </w:r>
      <w:r w:rsidRPr="004F47BB">
        <w:rPr>
          <w:noProof/>
          <w:lang w:val="en-US" w:eastAsia="de-DE"/>
        </w:rPr>
        <w:tab/>
        <w:t>Spray nozzles shall be triggered at a temperature between 68 °C and 79 °C, in the galley areas at a maximum of 93 °C and in the saunas at a maximum of 141 °C.</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7.</w:t>
      </w:r>
      <w:r w:rsidRPr="004F47BB">
        <w:rPr>
          <w:lang w:val="en-US" w:eastAsia="de-DE"/>
        </w:rPr>
        <w:tab/>
      </w:r>
      <w:r w:rsidRPr="004F47BB">
        <w:rPr>
          <w:noProof/>
          <w:lang w:val="en-US" w:eastAsia="de-DE"/>
        </w:rPr>
        <w:t>The installation of components of automatic pressurised water sprinklers within the rooms to be protected shall be limited to the necessary minimum. No such system components shall be installed in main engine rooms.</w:t>
      </w:r>
    </w:p>
    <w:p w:rsidR="004F47BB" w:rsidRPr="004F47BB" w:rsidRDefault="004F47BB" w:rsidP="004F47BB">
      <w:pPr>
        <w:spacing w:line="240" w:lineRule="atLeast"/>
        <w:ind w:left="567" w:hanging="567"/>
        <w:rPr>
          <w:noProof/>
          <w:lang w:val="en-US" w:eastAsia="de-DE"/>
        </w:rPr>
      </w:pPr>
    </w:p>
    <w:p w:rsidR="004F47BB" w:rsidRPr="004F47BB" w:rsidRDefault="004F47BB" w:rsidP="004F47BB">
      <w:pPr>
        <w:spacing w:line="240" w:lineRule="atLeast"/>
        <w:ind w:left="567" w:hanging="567"/>
        <w:rPr>
          <w:noProof/>
          <w:lang w:val="en-US" w:eastAsia="de-DE"/>
        </w:rPr>
      </w:pPr>
      <w:r w:rsidRPr="004F47BB">
        <w:rPr>
          <w:noProof/>
          <w:lang w:val="en-US" w:eastAsia="de-DE"/>
        </w:rPr>
        <w:t>8.</w:t>
      </w:r>
      <w:r w:rsidRPr="004F47BB">
        <w:rPr>
          <w:noProof/>
          <w:lang w:val="en-US" w:eastAsia="de-DE"/>
        </w:rPr>
        <w:tab/>
        <w:t>Visual and acoustic indicators shall be provided in one or more suitable locations, at least one of which must be permanently manned, displaying activation of automatic pressurised water sprinklers for each section.</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9.</w:t>
      </w:r>
      <w:r w:rsidRPr="004F47BB">
        <w:rPr>
          <w:lang w:val="en-US" w:eastAsia="de-DE"/>
        </w:rPr>
        <w:tab/>
      </w:r>
      <w:r w:rsidRPr="004F47BB">
        <w:rPr>
          <w:noProof/>
          <w:lang w:val="en-US" w:eastAsia="de-DE"/>
        </w:rPr>
        <w:t>The energy supply of the installation of automatic pressurised water sprinklers shall be provided by two independent energy sources that shall not be installed in the same location. Each energy source shall be capable of supplying the entire system unassisted.</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br w:type="page"/>
      </w:r>
    </w:p>
    <w:p w:rsidR="004F47BB" w:rsidRPr="004F47BB" w:rsidRDefault="004F47BB" w:rsidP="004F47BB">
      <w:pPr>
        <w:spacing w:line="240" w:lineRule="atLeast"/>
        <w:ind w:left="567" w:hanging="567"/>
        <w:rPr>
          <w:lang w:val="en-US" w:eastAsia="de-DE"/>
        </w:rPr>
      </w:pPr>
      <w:r w:rsidRPr="004F47BB">
        <w:rPr>
          <w:lang w:val="en-US" w:eastAsia="de-DE"/>
        </w:rPr>
        <w:lastRenderedPageBreak/>
        <w:t>10.</w:t>
      </w:r>
      <w:r w:rsidRPr="004F47BB">
        <w:rPr>
          <w:lang w:val="en-US" w:eastAsia="de-DE"/>
        </w:rPr>
        <w:tab/>
      </w:r>
      <w:r w:rsidRPr="004F47BB">
        <w:rPr>
          <w:noProof/>
          <w:lang w:val="en-US" w:eastAsia="de-DE"/>
        </w:rPr>
        <w:t>An installation plan of the automatic pressurised water sprinkler shall be presented to the inspection body for examination before installation of the system. The plan shall indicate the types and performance data of the machines and equipment used. An installation tested and certified by an approved classification society which complies at least with the above prescriptions can be authorised without further testing.</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noProof/>
          <w:lang w:val="en-US" w:eastAsia="de-DE"/>
        </w:rPr>
      </w:pPr>
      <w:r w:rsidRPr="004F47BB">
        <w:rPr>
          <w:lang w:val="en-US" w:eastAsia="de-DE"/>
        </w:rPr>
        <w:t>11.</w:t>
      </w:r>
      <w:r w:rsidRPr="004F47BB">
        <w:rPr>
          <w:lang w:val="en-US" w:eastAsia="de-DE"/>
        </w:rPr>
        <w:tab/>
      </w:r>
      <w:r w:rsidRPr="004F47BB">
        <w:rPr>
          <w:noProof/>
          <w:lang w:val="en-US" w:eastAsia="de-DE"/>
        </w:rPr>
        <w:t>The presence of an automatic pressurised water sprinkler shall be entered in the inland navigation vessel certificate under item 43.</w:t>
      </w:r>
    </w:p>
    <w:p w:rsidR="004F47BB" w:rsidRPr="004F47BB" w:rsidRDefault="004F47BB" w:rsidP="004F47BB">
      <w:pPr>
        <w:spacing w:line="240" w:lineRule="atLeast"/>
        <w:ind w:left="567" w:hanging="567"/>
        <w:rPr>
          <w:noProof/>
          <w:lang w:val="en-US" w:eastAsia="de-DE"/>
        </w:rPr>
      </w:pPr>
    </w:p>
    <w:p w:rsidR="004F47BB" w:rsidRPr="004F47BB" w:rsidRDefault="004F47BB" w:rsidP="004F47BB">
      <w:pPr>
        <w:spacing w:line="240" w:lineRule="atLeast"/>
        <w:ind w:left="567" w:hanging="567"/>
        <w:rPr>
          <w:noProof/>
          <w:lang w:val="en-US" w:eastAsia="de-DE"/>
        </w:rPr>
      </w:pPr>
    </w:p>
    <w:p w:rsidR="004F47BB" w:rsidRPr="004F47BB" w:rsidRDefault="004F47BB" w:rsidP="004F47BB">
      <w:pPr>
        <w:spacing w:line="240" w:lineRule="atLeast"/>
        <w:ind w:left="567" w:hanging="567"/>
        <w:rPr>
          <w:noProof/>
          <w:lang w:val="en-US" w:eastAsia="de-DE"/>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sectPr w:rsidR="004F47BB" w:rsidRPr="004F47BB" w:rsidSect="00D45887">
          <w:headerReference w:type="default" r:id="rId144"/>
          <w:footerReference w:type="default" r:id="rId145"/>
          <w:footnotePr>
            <w:numRestart w:val="eachPage"/>
          </w:footnotePr>
          <w:pgSz w:w="11907" w:h="16840" w:code="9"/>
          <w:pgMar w:top="1418" w:right="1418" w:bottom="1418" w:left="1418" w:header="680" w:footer="680" w:gutter="0"/>
          <w:cols w:space="720"/>
          <w:docGrid w:linePitch="326"/>
        </w:sectPr>
      </w:pPr>
    </w:p>
    <w:p w:rsidR="004F47BB" w:rsidRPr="004F47BB" w:rsidRDefault="004F47BB" w:rsidP="003F3DE1">
      <w:pPr>
        <w:pStyle w:val="ES-Titre2ESI"/>
      </w:pPr>
      <w:bookmarkStart w:id="401" w:name="_Toc491854360"/>
      <w:r w:rsidRPr="004F47BB">
        <w:lastRenderedPageBreak/>
        <w:t>ESI-II-11</w:t>
      </w:r>
      <w:r w:rsidRPr="004F47BB">
        <w:br/>
        <w:t>Steerageway under vessel’s own power</w:t>
      </w:r>
      <w:bookmarkEnd w:id="401"/>
    </w:p>
    <w:p w:rsidR="004F47BB" w:rsidRPr="004F47BB" w:rsidRDefault="004F47BB" w:rsidP="004F47BB">
      <w:pPr>
        <w:tabs>
          <w:tab w:val="center" w:pos="4513"/>
        </w:tabs>
        <w:overflowPunct w:val="0"/>
        <w:adjustRightInd w:val="0"/>
        <w:ind w:left="0" w:firstLine="0"/>
        <w:jc w:val="center"/>
        <w:textAlignment w:val="baseline"/>
        <w:rPr>
          <w:rFonts w:cs="Arial"/>
          <w:b/>
          <w:szCs w:val="20"/>
          <w:lang w:val="en-US"/>
        </w:rPr>
      </w:pPr>
    </w:p>
    <w:p w:rsidR="004F47BB" w:rsidRPr="004F47BB" w:rsidRDefault="004F47BB" w:rsidP="004F47BB">
      <w:pPr>
        <w:tabs>
          <w:tab w:val="center" w:pos="4513"/>
        </w:tabs>
        <w:overflowPunct w:val="0"/>
        <w:adjustRightInd w:val="0"/>
        <w:ind w:left="0" w:firstLine="0"/>
        <w:jc w:val="center"/>
        <w:textAlignment w:val="baseline"/>
        <w:rPr>
          <w:rFonts w:cs="Arial"/>
          <w:b/>
          <w:szCs w:val="20"/>
        </w:rPr>
      </w:pPr>
      <w:r w:rsidRPr="004F47BB">
        <w:rPr>
          <w:rFonts w:cs="Arial"/>
          <w:b/>
          <w:szCs w:val="20"/>
        </w:rPr>
        <w:t>(Article 13.05(2)(a), Article 19.07(1), Article 28.04(1)(a))</w:t>
      </w:r>
    </w:p>
    <w:p w:rsidR="004F47BB" w:rsidRPr="004F47BB" w:rsidRDefault="004F47BB" w:rsidP="004F47BB">
      <w:pPr>
        <w:tabs>
          <w:tab w:val="left" w:pos="567"/>
        </w:tabs>
        <w:overflowPunct w:val="0"/>
        <w:adjustRightInd w:val="0"/>
        <w:spacing w:line="240" w:lineRule="atLeast"/>
        <w:ind w:left="567" w:hanging="567"/>
        <w:textAlignment w:val="baseline"/>
        <w:rPr>
          <w:rFonts w:cs="Arial"/>
          <w:szCs w:val="20"/>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1.</w:t>
      </w:r>
      <w:r w:rsidRPr="004F47BB">
        <w:rPr>
          <w:rFonts w:cs="Arial"/>
          <w:b/>
          <w:color w:val="000000"/>
          <w:szCs w:val="20"/>
          <w:lang w:val="en-US"/>
        </w:rPr>
        <w:tab/>
        <w:t>Minimum requirements for vessel’s steerageway</w:t>
      </w:r>
    </w:p>
    <w:p w:rsidR="004F47BB" w:rsidRPr="004F47BB" w:rsidRDefault="004F47BB" w:rsidP="004F47BB">
      <w:pPr>
        <w:tabs>
          <w:tab w:val="left" w:pos="567"/>
        </w:tabs>
        <w:overflowPunct w:val="0"/>
        <w:adjustRightInd w:val="0"/>
        <w:spacing w:line="240" w:lineRule="atLeast"/>
        <w:ind w:left="567" w:hanging="567"/>
        <w:textAlignment w:val="baseline"/>
        <w:rPr>
          <w:rFonts w:cs="Arial"/>
          <w:szCs w:val="20"/>
          <w:lang w:val="en-US"/>
        </w:rPr>
      </w:pPr>
    </w:p>
    <w:p w:rsidR="004F47BB" w:rsidRPr="004F47BB" w:rsidRDefault="004F47BB" w:rsidP="004F47BB">
      <w:pPr>
        <w:spacing w:line="240" w:lineRule="atLeast"/>
        <w:ind w:left="567" w:firstLine="0"/>
        <w:rPr>
          <w:lang w:val="en-US"/>
        </w:rPr>
      </w:pPr>
      <w:r w:rsidRPr="004F47BB">
        <w:rPr>
          <w:lang w:val="en-US"/>
        </w:rPr>
        <w:t>Steerageway under a vessel’s own power in accordance with Articles 13.05(2)(a), 19.07(1) and 28.04(1)(a) is deemed to be sufficient if — when using the bow thruster — the vessel or the formation propelled by the vessel attains a speed of 6,5 km/h in relation to the water and a rate-of-turn of 20°/min can be induced and maintained while under way at a speed of 6,5 km/h in relation to the water.</w:t>
      </w:r>
    </w:p>
    <w:p w:rsidR="004F47BB" w:rsidRPr="004F47BB" w:rsidRDefault="004F47BB" w:rsidP="004F47BB">
      <w:pPr>
        <w:tabs>
          <w:tab w:val="left" w:pos="567"/>
        </w:tabs>
        <w:overflowPunct w:val="0"/>
        <w:adjustRightInd w:val="0"/>
        <w:spacing w:line="240" w:lineRule="atLeast"/>
        <w:ind w:left="567" w:hanging="567"/>
        <w:textAlignment w:val="baseline"/>
        <w:rPr>
          <w:rFonts w:cs="Arial"/>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2.</w:t>
      </w:r>
      <w:r w:rsidRPr="004F47BB">
        <w:rPr>
          <w:rFonts w:cs="Arial"/>
          <w:b/>
          <w:color w:val="000000"/>
          <w:szCs w:val="20"/>
          <w:lang w:val="en-US"/>
        </w:rPr>
        <w:tab/>
        <w:t>Navigation tests</w:t>
      </w:r>
    </w:p>
    <w:p w:rsidR="004F47BB" w:rsidRPr="004F47BB" w:rsidRDefault="004F47BB" w:rsidP="004F47BB">
      <w:pPr>
        <w:tabs>
          <w:tab w:val="left" w:pos="567"/>
        </w:tabs>
        <w:overflowPunct w:val="0"/>
        <w:adjustRightInd w:val="0"/>
        <w:spacing w:line="240" w:lineRule="atLeast"/>
        <w:ind w:left="567" w:hanging="567"/>
        <w:textAlignment w:val="baseline"/>
        <w:rPr>
          <w:rFonts w:cs="Arial"/>
          <w:szCs w:val="20"/>
          <w:lang w:val="en-US"/>
        </w:rPr>
      </w:pPr>
    </w:p>
    <w:p w:rsidR="004F47BB" w:rsidRPr="004F47BB" w:rsidRDefault="004F47BB" w:rsidP="004F47BB">
      <w:pPr>
        <w:spacing w:line="240" w:lineRule="atLeast"/>
        <w:ind w:left="567" w:firstLine="0"/>
        <w:rPr>
          <w:lang w:val="en-US"/>
        </w:rPr>
      </w:pPr>
      <w:r w:rsidRPr="004F47BB">
        <w:rPr>
          <w:lang w:val="en-US"/>
        </w:rPr>
        <w:t>On verifying the minimum requirements Articles 5.03 and 5.04 shall be complied with.</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r w:rsidRPr="004F47BB">
        <w:rPr>
          <w:szCs w:val="20"/>
          <w:lang w:val="en-US"/>
        </w:rPr>
        <w:br w:type="page"/>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sectPr w:rsidR="004F47BB" w:rsidRPr="004F47BB" w:rsidSect="00D45887">
          <w:headerReference w:type="default" r:id="rId146"/>
          <w:footnotePr>
            <w:numRestart w:val="eachPage"/>
          </w:footnotePr>
          <w:pgSz w:w="11907" w:h="16840" w:code="9"/>
          <w:pgMar w:top="1418" w:right="1418" w:bottom="1418" w:left="1418" w:header="680" w:footer="680" w:gutter="0"/>
          <w:cols w:space="720"/>
          <w:docGrid w:linePitch="326"/>
        </w:sectPr>
      </w:pPr>
    </w:p>
    <w:p w:rsidR="004F47BB" w:rsidRPr="004F47BB" w:rsidRDefault="004F47BB" w:rsidP="003F3DE1">
      <w:pPr>
        <w:pStyle w:val="ES-Titre2ESI"/>
        <w:rPr>
          <w:szCs w:val="22"/>
        </w:rPr>
      </w:pPr>
      <w:bookmarkStart w:id="402" w:name="_Toc491854361"/>
      <w:r w:rsidRPr="004F47BB">
        <w:lastRenderedPageBreak/>
        <w:t>ESI-II-12</w:t>
      </w:r>
      <w:r w:rsidRPr="004F47BB">
        <w:br/>
      </w:r>
      <w:r w:rsidRPr="004F47BB">
        <w:rPr>
          <w:noProof/>
        </w:rPr>
        <w:t>Appropriate fire alarm system</w:t>
      </w:r>
      <w:bookmarkEnd w:id="402"/>
    </w:p>
    <w:p w:rsidR="004F47BB" w:rsidRPr="004F47BB" w:rsidRDefault="004F47BB" w:rsidP="004F47BB">
      <w:pPr>
        <w:autoSpaceDE/>
        <w:autoSpaceDN/>
        <w:ind w:left="0" w:firstLine="0"/>
        <w:jc w:val="center"/>
        <w:rPr>
          <w:rFonts w:cs="Arial"/>
          <w:b/>
          <w:bCs/>
          <w:lang w:val="en-US" w:eastAsia="de-DE"/>
        </w:rPr>
      </w:pPr>
    </w:p>
    <w:p w:rsidR="004F47BB" w:rsidRPr="004F47BB" w:rsidRDefault="004F47BB" w:rsidP="004F47BB">
      <w:pPr>
        <w:tabs>
          <w:tab w:val="left" w:pos="426"/>
          <w:tab w:val="left" w:pos="709"/>
        </w:tabs>
        <w:autoSpaceDE/>
        <w:autoSpaceDN/>
        <w:spacing w:line="240" w:lineRule="atLeast"/>
        <w:ind w:left="709" w:hanging="709"/>
        <w:jc w:val="center"/>
        <w:rPr>
          <w:b/>
          <w:bCs/>
          <w:szCs w:val="20"/>
          <w:lang w:val="en-US" w:eastAsia="de-DE"/>
        </w:rPr>
      </w:pPr>
      <w:r w:rsidRPr="004F47BB">
        <w:rPr>
          <w:b/>
          <w:bCs/>
          <w:noProof/>
          <w:szCs w:val="20"/>
          <w:lang w:val="en-US" w:eastAsia="de-DE"/>
        </w:rPr>
        <w:t>(Article 13.05(3), Article 19.11(18), Article 29.10(1))</w:t>
      </w:r>
    </w:p>
    <w:p w:rsidR="004F47BB" w:rsidRPr="004F47BB" w:rsidRDefault="004F47BB" w:rsidP="004F47BB">
      <w:pPr>
        <w:tabs>
          <w:tab w:val="left" w:pos="426"/>
          <w:tab w:val="left" w:pos="709"/>
        </w:tabs>
        <w:autoSpaceDE/>
        <w:autoSpaceDN/>
        <w:spacing w:line="240" w:lineRule="atLeast"/>
        <w:ind w:left="709" w:hanging="709"/>
        <w:rPr>
          <w:szCs w:val="20"/>
          <w:lang w:val="en-US" w:eastAsia="de-DE"/>
        </w:rPr>
      </w:pPr>
    </w:p>
    <w:p w:rsidR="004F47BB" w:rsidRPr="004F47BB" w:rsidRDefault="004F47BB" w:rsidP="004F47BB">
      <w:pPr>
        <w:tabs>
          <w:tab w:val="left" w:pos="426"/>
          <w:tab w:val="left" w:pos="709"/>
        </w:tabs>
        <w:autoSpaceDE/>
        <w:autoSpaceDN/>
        <w:spacing w:line="240" w:lineRule="atLeast"/>
        <w:ind w:left="0" w:firstLine="0"/>
        <w:rPr>
          <w:szCs w:val="20"/>
          <w:lang w:val="en-US" w:eastAsia="de-DE"/>
        </w:rPr>
      </w:pPr>
      <w:r w:rsidRPr="004F47BB">
        <w:rPr>
          <w:noProof/>
          <w:szCs w:val="20"/>
          <w:lang w:val="en-US" w:eastAsia="de-DE"/>
        </w:rPr>
        <w:t>Fire alarm systems are considered to be appropriate if they meet the following conditions.</w:t>
      </w:r>
    </w:p>
    <w:p w:rsidR="004F47BB" w:rsidRPr="004F47BB" w:rsidRDefault="004F47BB" w:rsidP="004F47BB">
      <w:pPr>
        <w:tabs>
          <w:tab w:val="left" w:pos="426"/>
          <w:tab w:val="left" w:pos="709"/>
        </w:tabs>
        <w:autoSpaceDE/>
        <w:autoSpaceDN/>
        <w:spacing w:line="240" w:lineRule="atLeast"/>
        <w:ind w:left="709" w:hanging="709"/>
        <w:rPr>
          <w:szCs w:val="20"/>
          <w:lang w:val="en-US" w:eastAsia="de-DE"/>
        </w:rPr>
      </w:pPr>
    </w:p>
    <w:p w:rsidR="004F47BB" w:rsidRPr="004F47BB" w:rsidRDefault="004F47BB" w:rsidP="004F47BB">
      <w:pPr>
        <w:tabs>
          <w:tab w:val="num" w:pos="709"/>
        </w:tabs>
        <w:autoSpaceDE/>
        <w:autoSpaceDN/>
        <w:spacing w:line="240" w:lineRule="atLeast"/>
        <w:ind w:left="709" w:hanging="709"/>
        <w:rPr>
          <w:b/>
          <w:bCs/>
          <w:szCs w:val="20"/>
          <w:lang w:val="en-US" w:eastAsia="de-DE"/>
        </w:rPr>
      </w:pPr>
      <w:r w:rsidRPr="004F47BB">
        <w:rPr>
          <w:b/>
          <w:bCs/>
          <w:szCs w:val="20"/>
          <w:lang w:val="en-US" w:eastAsia="de-DE"/>
        </w:rPr>
        <w:t>0.</w:t>
      </w:r>
      <w:r w:rsidRPr="004F47BB">
        <w:rPr>
          <w:b/>
          <w:bCs/>
          <w:szCs w:val="20"/>
          <w:lang w:val="en-US" w:eastAsia="de-DE"/>
        </w:rPr>
        <w:tab/>
      </w:r>
      <w:r w:rsidRPr="004F47BB">
        <w:rPr>
          <w:b/>
          <w:bCs/>
          <w:noProof/>
          <w:szCs w:val="20"/>
          <w:lang w:val="en-US" w:eastAsia="de-DE"/>
        </w:rPr>
        <w:t>Components</w:t>
      </w:r>
    </w:p>
    <w:p w:rsidR="004F47BB" w:rsidRPr="004F47BB" w:rsidRDefault="004F47BB" w:rsidP="004F47BB">
      <w:pPr>
        <w:tabs>
          <w:tab w:val="num" w:pos="709"/>
        </w:tabs>
        <w:autoSpaceDE/>
        <w:autoSpaceDN/>
        <w:spacing w:line="240" w:lineRule="atLeast"/>
        <w:ind w:left="709" w:hanging="709"/>
        <w:rPr>
          <w:szCs w:val="20"/>
          <w:lang w:val="en-US" w:eastAsia="de-DE"/>
        </w:rPr>
      </w:pPr>
    </w:p>
    <w:p w:rsidR="004F47BB" w:rsidRPr="004F47BB" w:rsidRDefault="004F47BB" w:rsidP="004F47BB">
      <w:pPr>
        <w:tabs>
          <w:tab w:val="num" w:pos="709"/>
        </w:tabs>
        <w:autoSpaceDE/>
        <w:autoSpaceDN/>
        <w:spacing w:line="240" w:lineRule="atLeast"/>
        <w:ind w:left="709" w:hanging="709"/>
        <w:rPr>
          <w:szCs w:val="20"/>
          <w:lang w:val="en-US" w:eastAsia="de-DE"/>
        </w:rPr>
      </w:pPr>
      <w:r w:rsidRPr="004F47BB">
        <w:rPr>
          <w:noProof/>
          <w:szCs w:val="20"/>
          <w:lang w:val="en-US" w:eastAsia="de-DE"/>
        </w:rPr>
        <w:t>0.1</w:t>
      </w:r>
      <w:r w:rsidRPr="004F47BB">
        <w:rPr>
          <w:noProof/>
          <w:szCs w:val="20"/>
          <w:lang w:val="en-US" w:eastAsia="de-DE"/>
        </w:rPr>
        <w:tab/>
        <w:t>Fire alarm systems consist of :</w:t>
      </w:r>
    </w:p>
    <w:p w:rsidR="004F47BB" w:rsidRPr="004F47BB" w:rsidRDefault="004F47BB" w:rsidP="004F47BB">
      <w:pPr>
        <w:tabs>
          <w:tab w:val="num" w:pos="1134"/>
        </w:tabs>
        <w:autoSpaceDE/>
        <w:autoSpaceDN/>
        <w:spacing w:before="60" w:line="240" w:lineRule="atLeast"/>
        <w:ind w:left="1134"/>
        <w:rPr>
          <w:szCs w:val="20"/>
          <w:lang w:val="en-US" w:eastAsia="de-DE"/>
        </w:rPr>
      </w:pPr>
      <w:r w:rsidRPr="004F47BB">
        <w:rPr>
          <w:noProof/>
          <w:szCs w:val="20"/>
          <w:lang w:val="en-US" w:eastAsia="de-DE"/>
        </w:rPr>
        <w:t>a)</w:t>
      </w:r>
      <w:r w:rsidRPr="004F47BB">
        <w:rPr>
          <w:szCs w:val="20"/>
          <w:lang w:val="en-US" w:eastAsia="de-DE"/>
        </w:rPr>
        <w:tab/>
      </w:r>
      <w:r w:rsidRPr="004F47BB">
        <w:rPr>
          <w:noProof/>
          <w:szCs w:val="20"/>
          <w:lang w:val="en-US" w:eastAsia="de-DE"/>
        </w:rPr>
        <w:t>fire detection system,</w:t>
      </w:r>
    </w:p>
    <w:p w:rsidR="004F47BB" w:rsidRPr="004F47BB" w:rsidRDefault="004F47BB" w:rsidP="004F47BB">
      <w:pPr>
        <w:tabs>
          <w:tab w:val="num" w:pos="1134"/>
        </w:tabs>
        <w:autoSpaceDE/>
        <w:autoSpaceDN/>
        <w:spacing w:before="60" w:line="240" w:lineRule="atLeast"/>
        <w:ind w:left="1134"/>
        <w:rPr>
          <w:szCs w:val="20"/>
          <w:lang w:val="en-US" w:eastAsia="de-DE"/>
        </w:rPr>
      </w:pPr>
      <w:r w:rsidRPr="004F47BB">
        <w:rPr>
          <w:noProof/>
          <w:szCs w:val="20"/>
          <w:lang w:val="en-US" w:eastAsia="de-DE"/>
        </w:rPr>
        <w:t>b)</w:t>
      </w:r>
      <w:r w:rsidRPr="004F47BB">
        <w:rPr>
          <w:szCs w:val="20"/>
          <w:lang w:val="en-US" w:eastAsia="de-DE"/>
        </w:rPr>
        <w:tab/>
      </w:r>
      <w:r w:rsidRPr="004F47BB">
        <w:rPr>
          <w:noProof/>
          <w:szCs w:val="20"/>
          <w:lang w:val="en-US" w:eastAsia="de-DE"/>
        </w:rPr>
        <w:t>fire indicator system,</w:t>
      </w:r>
    </w:p>
    <w:p w:rsidR="004F47BB" w:rsidRPr="004F47BB" w:rsidRDefault="004F47BB" w:rsidP="004F47BB">
      <w:pPr>
        <w:tabs>
          <w:tab w:val="num" w:pos="1134"/>
        </w:tabs>
        <w:autoSpaceDE/>
        <w:autoSpaceDN/>
        <w:spacing w:before="60" w:line="240" w:lineRule="atLeast"/>
        <w:ind w:left="1134"/>
        <w:rPr>
          <w:szCs w:val="20"/>
          <w:lang w:val="en-US" w:eastAsia="de-DE"/>
        </w:rPr>
      </w:pPr>
      <w:r w:rsidRPr="004F47BB">
        <w:rPr>
          <w:noProof/>
          <w:szCs w:val="20"/>
          <w:lang w:val="en-US" w:eastAsia="de-DE"/>
        </w:rPr>
        <w:t>c)</w:t>
      </w:r>
      <w:r w:rsidRPr="004F47BB">
        <w:rPr>
          <w:szCs w:val="20"/>
          <w:lang w:val="en-US" w:eastAsia="de-DE"/>
        </w:rPr>
        <w:tab/>
      </w:r>
      <w:r w:rsidRPr="004F47BB">
        <w:rPr>
          <w:noProof/>
          <w:szCs w:val="20"/>
          <w:lang w:val="en-US" w:eastAsia="de-DE"/>
        </w:rPr>
        <w:t>control panel</w:t>
      </w:r>
    </w:p>
    <w:p w:rsidR="004F47BB" w:rsidRPr="004F47BB" w:rsidRDefault="004F47BB" w:rsidP="004F47BB">
      <w:pPr>
        <w:tabs>
          <w:tab w:val="num" w:pos="709"/>
        </w:tabs>
        <w:autoSpaceDE/>
        <w:autoSpaceDN/>
        <w:spacing w:before="60" w:line="240" w:lineRule="atLeast"/>
        <w:ind w:left="709" w:firstLine="0"/>
        <w:rPr>
          <w:noProof/>
          <w:szCs w:val="20"/>
          <w:lang w:val="en-US" w:eastAsia="de-DE"/>
        </w:rPr>
      </w:pPr>
      <w:r w:rsidRPr="004F47BB">
        <w:rPr>
          <w:noProof/>
          <w:szCs w:val="20"/>
          <w:lang w:val="en-US" w:eastAsia="de-DE"/>
        </w:rPr>
        <w:t>as well as the external power supply.</w:t>
      </w:r>
    </w:p>
    <w:p w:rsidR="004F47BB" w:rsidRPr="004F47BB" w:rsidRDefault="004F47BB" w:rsidP="004F47BB">
      <w:pPr>
        <w:tabs>
          <w:tab w:val="num" w:pos="709"/>
        </w:tabs>
        <w:autoSpaceDE/>
        <w:autoSpaceDN/>
        <w:spacing w:line="240" w:lineRule="atLeast"/>
        <w:ind w:left="709" w:hanging="709"/>
        <w:rPr>
          <w:szCs w:val="20"/>
          <w:lang w:val="en-US" w:eastAsia="de-DE"/>
        </w:rPr>
      </w:pPr>
    </w:p>
    <w:p w:rsidR="004F47BB" w:rsidRPr="004F47BB" w:rsidRDefault="004F47BB" w:rsidP="004F47BB">
      <w:pPr>
        <w:tabs>
          <w:tab w:val="num" w:pos="709"/>
        </w:tabs>
        <w:autoSpaceDE/>
        <w:autoSpaceDN/>
        <w:spacing w:line="240" w:lineRule="atLeast"/>
        <w:ind w:left="709" w:hanging="709"/>
        <w:rPr>
          <w:szCs w:val="20"/>
          <w:lang w:val="en-US" w:eastAsia="de-DE"/>
        </w:rPr>
      </w:pPr>
      <w:r w:rsidRPr="004F47BB">
        <w:rPr>
          <w:noProof/>
          <w:szCs w:val="20"/>
          <w:lang w:val="en-US" w:eastAsia="de-DE"/>
        </w:rPr>
        <w:t>0.2</w:t>
      </w:r>
      <w:r w:rsidRPr="004F47BB">
        <w:rPr>
          <w:noProof/>
          <w:szCs w:val="20"/>
          <w:lang w:val="en-US" w:eastAsia="de-DE"/>
        </w:rPr>
        <w:tab/>
        <w:t>The fire detection system may be divided into one or more fire zones</w:t>
      </w:r>
    </w:p>
    <w:p w:rsidR="004F47BB" w:rsidRPr="004F47BB" w:rsidRDefault="004F47BB" w:rsidP="004F47BB">
      <w:pPr>
        <w:tabs>
          <w:tab w:val="num" w:pos="709"/>
        </w:tabs>
        <w:autoSpaceDE/>
        <w:autoSpaceDN/>
        <w:spacing w:line="240" w:lineRule="atLeast"/>
        <w:ind w:left="709" w:hanging="709"/>
        <w:rPr>
          <w:szCs w:val="20"/>
          <w:lang w:val="en-US" w:eastAsia="de-DE"/>
        </w:rPr>
      </w:pPr>
    </w:p>
    <w:p w:rsidR="004F47BB" w:rsidRPr="004F47BB" w:rsidRDefault="004F47BB" w:rsidP="004F47BB">
      <w:pPr>
        <w:tabs>
          <w:tab w:val="num" w:pos="709"/>
        </w:tabs>
        <w:autoSpaceDE/>
        <w:autoSpaceDN/>
        <w:spacing w:line="240" w:lineRule="atLeast"/>
        <w:ind w:left="709" w:hanging="709"/>
        <w:rPr>
          <w:szCs w:val="20"/>
          <w:lang w:val="en-US" w:eastAsia="de-DE"/>
        </w:rPr>
      </w:pPr>
      <w:r w:rsidRPr="004F47BB">
        <w:rPr>
          <w:noProof/>
          <w:szCs w:val="20"/>
          <w:lang w:val="en-US" w:eastAsia="de-DE"/>
        </w:rPr>
        <w:t>0.3</w:t>
      </w:r>
      <w:r w:rsidRPr="004F47BB">
        <w:rPr>
          <w:noProof/>
          <w:szCs w:val="20"/>
          <w:lang w:val="en-US" w:eastAsia="de-DE"/>
        </w:rPr>
        <w:tab/>
        <w:t>The fire indicator system may have one or more indicator devices.</w:t>
      </w:r>
    </w:p>
    <w:p w:rsidR="004F47BB" w:rsidRPr="004F47BB" w:rsidRDefault="004F47BB" w:rsidP="004F47BB">
      <w:pPr>
        <w:tabs>
          <w:tab w:val="num" w:pos="709"/>
        </w:tabs>
        <w:autoSpaceDE/>
        <w:autoSpaceDN/>
        <w:spacing w:line="240" w:lineRule="atLeast"/>
        <w:ind w:left="709" w:hanging="709"/>
        <w:rPr>
          <w:szCs w:val="20"/>
          <w:lang w:val="en-US" w:eastAsia="de-DE"/>
        </w:rPr>
      </w:pPr>
    </w:p>
    <w:p w:rsidR="004F47BB" w:rsidRPr="004F47BB" w:rsidRDefault="004F47BB" w:rsidP="004F47BB">
      <w:pPr>
        <w:tabs>
          <w:tab w:val="num" w:pos="709"/>
        </w:tabs>
        <w:autoSpaceDE/>
        <w:autoSpaceDN/>
        <w:spacing w:line="240" w:lineRule="atLeast"/>
        <w:ind w:left="709" w:hanging="709"/>
        <w:rPr>
          <w:szCs w:val="20"/>
          <w:lang w:val="en-US" w:eastAsia="de-DE"/>
        </w:rPr>
      </w:pPr>
      <w:r w:rsidRPr="004F47BB">
        <w:rPr>
          <w:noProof/>
          <w:szCs w:val="20"/>
          <w:lang w:val="en-US" w:eastAsia="de-DE"/>
        </w:rPr>
        <w:t>0.4</w:t>
      </w:r>
      <w:r w:rsidRPr="004F47BB">
        <w:rPr>
          <w:noProof/>
          <w:szCs w:val="20"/>
          <w:lang w:val="en-US" w:eastAsia="de-DE"/>
        </w:rPr>
        <w:tab/>
        <w:t>The control panel is the central control unit of the fire alarm system. It also includes parts of the fire indicator system (i.e. an indicator device).</w:t>
      </w:r>
    </w:p>
    <w:p w:rsidR="004F47BB" w:rsidRPr="004F47BB" w:rsidRDefault="004F47BB" w:rsidP="004F47BB">
      <w:pPr>
        <w:tabs>
          <w:tab w:val="num" w:pos="709"/>
        </w:tabs>
        <w:autoSpaceDE/>
        <w:autoSpaceDN/>
        <w:spacing w:line="240" w:lineRule="atLeast"/>
        <w:ind w:left="709" w:hanging="709"/>
        <w:rPr>
          <w:szCs w:val="20"/>
          <w:lang w:val="en-US" w:eastAsia="de-DE"/>
        </w:rPr>
      </w:pPr>
    </w:p>
    <w:p w:rsidR="004F47BB" w:rsidRPr="004F47BB" w:rsidRDefault="004F47BB" w:rsidP="004F47BB">
      <w:pPr>
        <w:tabs>
          <w:tab w:val="num" w:pos="709"/>
        </w:tabs>
        <w:autoSpaceDE/>
        <w:autoSpaceDN/>
        <w:spacing w:line="240" w:lineRule="atLeast"/>
        <w:ind w:left="709" w:hanging="709"/>
        <w:rPr>
          <w:szCs w:val="20"/>
          <w:lang w:val="en-US" w:eastAsia="de-DE"/>
        </w:rPr>
      </w:pPr>
      <w:r w:rsidRPr="004F47BB">
        <w:rPr>
          <w:noProof/>
          <w:szCs w:val="20"/>
          <w:lang w:val="en-US" w:eastAsia="de-DE"/>
        </w:rPr>
        <w:t>0.5</w:t>
      </w:r>
      <w:r w:rsidRPr="004F47BB">
        <w:rPr>
          <w:noProof/>
          <w:szCs w:val="20"/>
          <w:lang w:val="en-US" w:eastAsia="de-DE"/>
        </w:rPr>
        <w:tab/>
        <w:t>A fire detection zone may have one or more fire detectors.</w:t>
      </w:r>
    </w:p>
    <w:p w:rsidR="004F47BB" w:rsidRPr="004F47BB" w:rsidRDefault="004F47BB" w:rsidP="004F47BB">
      <w:pPr>
        <w:tabs>
          <w:tab w:val="num" w:pos="709"/>
        </w:tabs>
        <w:autoSpaceDE/>
        <w:autoSpaceDN/>
        <w:spacing w:line="240" w:lineRule="atLeast"/>
        <w:ind w:left="709" w:hanging="709"/>
        <w:rPr>
          <w:szCs w:val="20"/>
          <w:lang w:val="en-US" w:eastAsia="de-DE"/>
        </w:rPr>
      </w:pPr>
    </w:p>
    <w:p w:rsidR="004F47BB" w:rsidRPr="004F47BB" w:rsidRDefault="004F47BB" w:rsidP="004F47BB">
      <w:pPr>
        <w:tabs>
          <w:tab w:val="num" w:pos="709"/>
        </w:tabs>
        <w:autoSpaceDE/>
        <w:autoSpaceDN/>
        <w:spacing w:line="240" w:lineRule="atLeast"/>
        <w:ind w:left="709" w:hanging="709"/>
        <w:rPr>
          <w:szCs w:val="20"/>
          <w:lang w:val="en-US" w:eastAsia="de-DE"/>
        </w:rPr>
      </w:pPr>
      <w:r w:rsidRPr="004F47BB">
        <w:rPr>
          <w:noProof/>
          <w:szCs w:val="20"/>
          <w:lang w:val="en-US" w:eastAsia="de-DE"/>
        </w:rPr>
        <w:t>0.6</w:t>
      </w:r>
      <w:r w:rsidRPr="004F47BB">
        <w:rPr>
          <w:noProof/>
          <w:szCs w:val="20"/>
          <w:lang w:val="en-US" w:eastAsia="de-DE"/>
        </w:rPr>
        <w:tab/>
        <w:t>Fire detectors may be</w:t>
      </w:r>
    </w:p>
    <w:p w:rsidR="004F47BB" w:rsidRPr="004F47BB" w:rsidRDefault="004F47BB" w:rsidP="004F47BB">
      <w:pPr>
        <w:tabs>
          <w:tab w:val="num" w:pos="1134"/>
        </w:tabs>
        <w:autoSpaceDE/>
        <w:autoSpaceDN/>
        <w:spacing w:before="60" w:line="240" w:lineRule="atLeast"/>
        <w:ind w:left="1134"/>
        <w:rPr>
          <w:szCs w:val="20"/>
          <w:lang w:val="en-US" w:eastAsia="de-DE"/>
        </w:rPr>
      </w:pPr>
      <w:r w:rsidRPr="004F47BB">
        <w:rPr>
          <w:noProof/>
          <w:szCs w:val="20"/>
          <w:lang w:val="en-US" w:eastAsia="de-DE"/>
        </w:rPr>
        <w:t>a)</w:t>
      </w:r>
      <w:r w:rsidRPr="004F47BB">
        <w:rPr>
          <w:szCs w:val="20"/>
          <w:lang w:val="en-US" w:eastAsia="de-DE"/>
        </w:rPr>
        <w:tab/>
      </w:r>
      <w:r w:rsidRPr="004F47BB">
        <w:rPr>
          <w:noProof/>
          <w:szCs w:val="20"/>
          <w:lang w:val="en-US" w:eastAsia="de-DE"/>
        </w:rPr>
        <w:t>heat detectors,</w:t>
      </w:r>
    </w:p>
    <w:p w:rsidR="004F47BB" w:rsidRPr="004F47BB" w:rsidRDefault="004F47BB" w:rsidP="004F47BB">
      <w:pPr>
        <w:tabs>
          <w:tab w:val="num" w:pos="1134"/>
        </w:tabs>
        <w:autoSpaceDE/>
        <w:autoSpaceDN/>
        <w:spacing w:before="60" w:line="240" w:lineRule="atLeast"/>
        <w:ind w:left="1134"/>
        <w:rPr>
          <w:szCs w:val="20"/>
          <w:lang w:val="en-US" w:eastAsia="de-DE"/>
        </w:rPr>
      </w:pPr>
      <w:r w:rsidRPr="004F47BB">
        <w:rPr>
          <w:noProof/>
          <w:szCs w:val="20"/>
          <w:lang w:val="en-US" w:eastAsia="de-DE"/>
        </w:rPr>
        <w:t>b)</w:t>
      </w:r>
      <w:r w:rsidRPr="004F47BB">
        <w:rPr>
          <w:szCs w:val="20"/>
          <w:lang w:val="en-US" w:eastAsia="de-DE"/>
        </w:rPr>
        <w:tab/>
      </w:r>
      <w:r w:rsidRPr="004F47BB">
        <w:rPr>
          <w:noProof/>
          <w:szCs w:val="20"/>
          <w:lang w:val="en-US" w:eastAsia="de-DE"/>
        </w:rPr>
        <w:t>smoke detectors,</w:t>
      </w:r>
    </w:p>
    <w:p w:rsidR="004F47BB" w:rsidRPr="004F47BB" w:rsidRDefault="004F47BB" w:rsidP="004F47BB">
      <w:pPr>
        <w:tabs>
          <w:tab w:val="num" w:pos="1134"/>
        </w:tabs>
        <w:autoSpaceDE/>
        <w:autoSpaceDN/>
        <w:spacing w:before="60" w:line="240" w:lineRule="atLeast"/>
        <w:ind w:left="1134"/>
        <w:rPr>
          <w:szCs w:val="20"/>
          <w:lang w:val="en-US" w:eastAsia="de-DE"/>
        </w:rPr>
      </w:pPr>
      <w:r w:rsidRPr="004F47BB">
        <w:rPr>
          <w:noProof/>
          <w:szCs w:val="20"/>
          <w:lang w:val="en-US" w:eastAsia="de-DE"/>
        </w:rPr>
        <w:t>c)</w:t>
      </w:r>
      <w:r w:rsidRPr="004F47BB">
        <w:rPr>
          <w:szCs w:val="20"/>
          <w:lang w:val="en-US" w:eastAsia="de-DE"/>
        </w:rPr>
        <w:tab/>
      </w:r>
      <w:r w:rsidRPr="004F47BB">
        <w:rPr>
          <w:noProof/>
          <w:szCs w:val="20"/>
          <w:lang w:val="en-US" w:eastAsia="de-DE"/>
        </w:rPr>
        <w:t>ion detectors,</w:t>
      </w:r>
    </w:p>
    <w:p w:rsidR="004F47BB" w:rsidRPr="004F47BB" w:rsidRDefault="004F47BB" w:rsidP="004F47BB">
      <w:pPr>
        <w:tabs>
          <w:tab w:val="num" w:pos="1134"/>
        </w:tabs>
        <w:autoSpaceDE/>
        <w:autoSpaceDN/>
        <w:spacing w:before="60" w:line="240" w:lineRule="atLeast"/>
        <w:ind w:left="1134"/>
        <w:rPr>
          <w:szCs w:val="20"/>
          <w:lang w:val="en-US" w:eastAsia="de-DE"/>
        </w:rPr>
      </w:pPr>
      <w:r w:rsidRPr="004F47BB">
        <w:rPr>
          <w:noProof/>
          <w:szCs w:val="20"/>
          <w:lang w:val="en-US" w:eastAsia="de-DE"/>
        </w:rPr>
        <w:t>d)</w:t>
      </w:r>
      <w:r w:rsidRPr="004F47BB">
        <w:rPr>
          <w:szCs w:val="20"/>
          <w:lang w:val="en-US" w:eastAsia="de-DE"/>
        </w:rPr>
        <w:tab/>
      </w:r>
      <w:r w:rsidRPr="004F47BB">
        <w:rPr>
          <w:noProof/>
          <w:szCs w:val="20"/>
          <w:lang w:val="en-US" w:eastAsia="de-DE"/>
        </w:rPr>
        <w:t>flame detectors,</w:t>
      </w:r>
    </w:p>
    <w:p w:rsidR="004F47BB" w:rsidRPr="004F47BB" w:rsidRDefault="004F47BB" w:rsidP="004F47BB">
      <w:pPr>
        <w:tabs>
          <w:tab w:val="num" w:pos="1134"/>
        </w:tabs>
        <w:autoSpaceDE/>
        <w:autoSpaceDN/>
        <w:spacing w:before="60" w:line="240" w:lineRule="atLeast"/>
        <w:ind w:left="1134"/>
        <w:rPr>
          <w:szCs w:val="20"/>
          <w:lang w:val="en-US" w:eastAsia="de-DE"/>
        </w:rPr>
      </w:pPr>
      <w:r w:rsidRPr="004F47BB">
        <w:rPr>
          <w:noProof/>
          <w:szCs w:val="20"/>
          <w:lang w:val="en-US" w:eastAsia="de-DE"/>
        </w:rPr>
        <w:t>e)</w:t>
      </w:r>
      <w:r w:rsidRPr="004F47BB">
        <w:rPr>
          <w:szCs w:val="20"/>
          <w:lang w:val="en-US" w:eastAsia="de-DE"/>
        </w:rPr>
        <w:tab/>
      </w:r>
      <w:r w:rsidRPr="004F47BB">
        <w:rPr>
          <w:noProof/>
          <w:szCs w:val="20"/>
          <w:lang w:val="en-US" w:eastAsia="de-DE"/>
        </w:rPr>
        <w:t>combination detectors (fire detectors combining two or more of the detectors listed in (a) to (d)).</w:t>
      </w:r>
    </w:p>
    <w:p w:rsidR="004F47BB" w:rsidRPr="004F47BB" w:rsidRDefault="004F47BB" w:rsidP="004F47BB">
      <w:pPr>
        <w:tabs>
          <w:tab w:val="num" w:pos="709"/>
        </w:tabs>
        <w:autoSpaceDE/>
        <w:autoSpaceDN/>
        <w:spacing w:line="240" w:lineRule="atLeast"/>
        <w:ind w:left="709" w:hanging="709"/>
        <w:rPr>
          <w:szCs w:val="20"/>
          <w:lang w:val="en-US" w:eastAsia="de-DE"/>
        </w:rPr>
      </w:pPr>
    </w:p>
    <w:p w:rsidR="004F47BB" w:rsidRPr="004F47BB" w:rsidRDefault="004F47BB" w:rsidP="004F47BB">
      <w:pPr>
        <w:tabs>
          <w:tab w:val="num" w:pos="709"/>
        </w:tabs>
        <w:autoSpaceDE/>
        <w:autoSpaceDN/>
        <w:spacing w:line="240" w:lineRule="atLeast"/>
        <w:ind w:left="709" w:firstLine="0"/>
        <w:rPr>
          <w:szCs w:val="20"/>
          <w:lang w:val="en-US" w:eastAsia="de-DE"/>
        </w:rPr>
      </w:pPr>
      <w:r w:rsidRPr="004F47BB">
        <w:rPr>
          <w:noProof/>
          <w:szCs w:val="20"/>
          <w:lang w:val="en-US" w:eastAsia="de-DE"/>
        </w:rPr>
        <w:t>Fire detectors which respond to other factors indicating the onset of a fire may be approved by the inspection body provided that they are no less sensitive than the detectors referred to under (a) to (e).</w:t>
      </w:r>
    </w:p>
    <w:p w:rsidR="004F47BB" w:rsidRPr="004F47BB" w:rsidRDefault="004F47BB" w:rsidP="004F47BB">
      <w:pPr>
        <w:tabs>
          <w:tab w:val="num" w:pos="709"/>
        </w:tabs>
        <w:autoSpaceDE/>
        <w:autoSpaceDN/>
        <w:spacing w:line="240" w:lineRule="atLeast"/>
        <w:ind w:left="709" w:hanging="709"/>
        <w:rPr>
          <w:szCs w:val="20"/>
          <w:lang w:val="en-US" w:eastAsia="de-DE"/>
        </w:rPr>
      </w:pPr>
    </w:p>
    <w:p w:rsidR="004F47BB" w:rsidRPr="004F47BB" w:rsidRDefault="004F47BB" w:rsidP="004F47BB">
      <w:pPr>
        <w:tabs>
          <w:tab w:val="num" w:pos="709"/>
        </w:tabs>
        <w:autoSpaceDE/>
        <w:autoSpaceDN/>
        <w:spacing w:line="240" w:lineRule="atLeast"/>
        <w:ind w:left="0" w:firstLine="0"/>
        <w:rPr>
          <w:szCs w:val="20"/>
          <w:lang w:val="en-US" w:eastAsia="de-DE"/>
        </w:rPr>
      </w:pPr>
      <w:r w:rsidRPr="004F47BB">
        <w:rPr>
          <w:noProof/>
          <w:szCs w:val="20"/>
          <w:lang w:val="en-US" w:eastAsia="de-DE"/>
        </w:rPr>
        <w:t>0.7</w:t>
      </w:r>
      <w:r w:rsidRPr="004F47BB">
        <w:rPr>
          <w:noProof/>
          <w:szCs w:val="20"/>
          <w:lang w:val="en-US" w:eastAsia="de-DE"/>
        </w:rPr>
        <w:tab/>
        <w:t>Fire detectors may be installed</w:t>
      </w:r>
    </w:p>
    <w:p w:rsidR="004F47BB" w:rsidRPr="004F47BB" w:rsidRDefault="004F47BB" w:rsidP="004F47BB">
      <w:pPr>
        <w:tabs>
          <w:tab w:val="num" w:pos="1134"/>
        </w:tabs>
        <w:autoSpaceDE/>
        <w:autoSpaceDN/>
        <w:spacing w:before="60" w:line="240" w:lineRule="atLeast"/>
        <w:ind w:left="1134"/>
        <w:rPr>
          <w:szCs w:val="20"/>
          <w:lang w:val="en-US" w:eastAsia="de-DE"/>
        </w:rPr>
      </w:pPr>
      <w:r w:rsidRPr="004F47BB">
        <w:rPr>
          <w:noProof/>
          <w:szCs w:val="20"/>
          <w:lang w:val="en-US" w:eastAsia="de-DE"/>
        </w:rPr>
        <w:t>a)</w:t>
      </w:r>
      <w:r w:rsidRPr="004F47BB">
        <w:rPr>
          <w:szCs w:val="20"/>
          <w:lang w:val="en-US" w:eastAsia="de-DE"/>
        </w:rPr>
        <w:tab/>
      </w:r>
      <w:r w:rsidRPr="004F47BB">
        <w:rPr>
          <w:noProof/>
          <w:szCs w:val="20"/>
          <w:lang w:val="en-US" w:eastAsia="de-DE"/>
        </w:rPr>
        <w:t>with or</w:t>
      </w:r>
    </w:p>
    <w:p w:rsidR="004F47BB" w:rsidRPr="004F47BB" w:rsidRDefault="004F47BB" w:rsidP="004F47BB">
      <w:pPr>
        <w:tabs>
          <w:tab w:val="num" w:pos="1134"/>
        </w:tabs>
        <w:autoSpaceDE/>
        <w:autoSpaceDN/>
        <w:spacing w:before="60" w:line="240" w:lineRule="atLeast"/>
        <w:ind w:left="1134"/>
        <w:rPr>
          <w:szCs w:val="20"/>
          <w:lang w:val="en-US" w:eastAsia="de-DE"/>
        </w:rPr>
      </w:pPr>
      <w:r w:rsidRPr="004F47BB">
        <w:rPr>
          <w:noProof/>
          <w:szCs w:val="20"/>
          <w:lang w:val="en-US" w:eastAsia="de-DE"/>
        </w:rPr>
        <w:t>b)</w:t>
      </w:r>
      <w:r w:rsidRPr="004F47BB">
        <w:rPr>
          <w:szCs w:val="20"/>
          <w:lang w:val="en-US" w:eastAsia="de-DE"/>
        </w:rPr>
        <w:tab/>
      </w:r>
      <w:r w:rsidRPr="004F47BB">
        <w:rPr>
          <w:noProof/>
          <w:szCs w:val="20"/>
          <w:lang w:val="en-US" w:eastAsia="de-DE"/>
        </w:rPr>
        <w:t>without</w:t>
      </w:r>
    </w:p>
    <w:p w:rsidR="004F47BB" w:rsidRPr="004F47BB" w:rsidRDefault="004F47BB" w:rsidP="004F47BB">
      <w:pPr>
        <w:tabs>
          <w:tab w:val="num" w:pos="709"/>
        </w:tabs>
        <w:autoSpaceDE/>
        <w:autoSpaceDN/>
        <w:spacing w:before="60" w:line="240" w:lineRule="atLeast"/>
        <w:ind w:left="709" w:firstLine="0"/>
        <w:rPr>
          <w:noProof/>
          <w:szCs w:val="20"/>
          <w:lang w:val="en-US" w:eastAsia="de-DE"/>
        </w:rPr>
      </w:pPr>
      <w:r w:rsidRPr="004F47BB">
        <w:rPr>
          <w:noProof/>
          <w:szCs w:val="20"/>
          <w:lang w:val="en-US" w:eastAsia="de-DE"/>
        </w:rPr>
        <w:t>individual identification.</w:t>
      </w:r>
    </w:p>
    <w:p w:rsidR="004F47BB" w:rsidRPr="004F47BB" w:rsidRDefault="004F47BB" w:rsidP="004F47BB">
      <w:pPr>
        <w:tabs>
          <w:tab w:val="left" w:pos="426"/>
          <w:tab w:val="left" w:pos="709"/>
        </w:tabs>
        <w:autoSpaceDE/>
        <w:autoSpaceDN/>
        <w:spacing w:line="240" w:lineRule="atLeast"/>
        <w:ind w:left="709" w:hanging="709"/>
        <w:rPr>
          <w:szCs w:val="20"/>
          <w:lang w:val="en-US" w:eastAsia="de-DE"/>
        </w:rPr>
      </w:pPr>
    </w:p>
    <w:p w:rsidR="004F47BB" w:rsidRPr="004F47BB" w:rsidRDefault="004F47BB" w:rsidP="004F47BB">
      <w:pPr>
        <w:tabs>
          <w:tab w:val="left" w:pos="426"/>
          <w:tab w:val="left" w:pos="709"/>
        </w:tabs>
        <w:autoSpaceDE/>
        <w:autoSpaceDN/>
        <w:spacing w:line="240" w:lineRule="atLeast"/>
        <w:ind w:left="709" w:hanging="709"/>
        <w:rPr>
          <w:szCs w:val="20"/>
          <w:lang w:val="en-US" w:eastAsia="de-DE"/>
        </w:rPr>
      </w:pPr>
      <w:r w:rsidRPr="004F47BB">
        <w:rPr>
          <w:szCs w:val="20"/>
          <w:lang w:val="en-US" w:eastAsia="de-DE"/>
        </w:rPr>
        <w:br w:type="page"/>
      </w: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b/>
          <w:bCs/>
          <w:szCs w:val="20"/>
          <w:lang w:val="en-US" w:eastAsia="de-DE"/>
        </w:rPr>
        <w:lastRenderedPageBreak/>
        <w:t>1.</w:t>
      </w:r>
      <w:r w:rsidRPr="004F47BB">
        <w:rPr>
          <w:szCs w:val="20"/>
          <w:lang w:val="en-US" w:eastAsia="de-DE"/>
        </w:rPr>
        <w:tab/>
      </w:r>
      <w:r w:rsidRPr="004F47BB">
        <w:rPr>
          <w:b/>
          <w:bCs/>
          <w:noProof/>
          <w:szCs w:val="20"/>
          <w:lang w:val="en-US" w:eastAsia="de-DE"/>
        </w:rPr>
        <w:t>Construction requirements</w:t>
      </w:r>
    </w:p>
    <w:p w:rsidR="004F47BB" w:rsidRPr="004F47BB" w:rsidRDefault="004F47BB" w:rsidP="004F47BB">
      <w:pPr>
        <w:tabs>
          <w:tab w:val="left" w:pos="709"/>
        </w:tabs>
        <w:autoSpaceDE/>
        <w:autoSpaceDN/>
        <w:spacing w:line="240" w:lineRule="atLeast"/>
        <w:ind w:left="709" w:hanging="709"/>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noProof/>
          <w:szCs w:val="20"/>
          <w:lang w:val="en-US" w:eastAsia="de-DE"/>
        </w:rPr>
        <w:t>1.1</w:t>
      </w:r>
      <w:r w:rsidRPr="004F47BB">
        <w:rPr>
          <w:noProof/>
          <w:szCs w:val="20"/>
          <w:lang w:val="en-US" w:eastAsia="de-DE"/>
        </w:rPr>
        <w:tab/>
        <w:t>General</w:t>
      </w:r>
    </w:p>
    <w:p w:rsidR="004F47BB" w:rsidRPr="004F47BB" w:rsidRDefault="004F47BB" w:rsidP="004F47BB">
      <w:pPr>
        <w:tabs>
          <w:tab w:val="left" w:pos="426"/>
          <w:tab w:val="left" w:pos="709"/>
        </w:tabs>
        <w:autoSpaceDE/>
        <w:autoSpaceDN/>
        <w:spacing w:line="240" w:lineRule="atLeast"/>
        <w:ind w:left="0" w:firstLine="0"/>
        <w:rPr>
          <w:szCs w:val="20"/>
          <w:lang w:val="en-US" w:eastAsia="de-DE"/>
        </w:rPr>
      </w:pPr>
    </w:p>
    <w:p w:rsidR="004F47BB" w:rsidRPr="004F47BB" w:rsidRDefault="004F47BB" w:rsidP="004F47BB">
      <w:pPr>
        <w:tabs>
          <w:tab w:val="left" w:pos="426"/>
          <w:tab w:val="left" w:pos="709"/>
        </w:tabs>
        <w:autoSpaceDE/>
        <w:autoSpaceDN/>
        <w:spacing w:line="240" w:lineRule="atLeast"/>
        <w:ind w:left="709" w:hanging="709"/>
        <w:rPr>
          <w:szCs w:val="20"/>
          <w:lang w:val="en-US" w:eastAsia="de-DE"/>
        </w:rPr>
      </w:pPr>
      <w:r w:rsidRPr="004F47BB">
        <w:rPr>
          <w:szCs w:val="20"/>
          <w:lang w:val="en-US" w:eastAsia="de-DE"/>
        </w:rPr>
        <w:t>1.1.1</w:t>
      </w:r>
      <w:r w:rsidRPr="004F47BB">
        <w:rPr>
          <w:szCs w:val="20"/>
          <w:lang w:val="en-US" w:eastAsia="de-DE"/>
        </w:rPr>
        <w:tab/>
      </w:r>
      <w:r w:rsidRPr="004F47BB">
        <w:rPr>
          <w:noProof/>
          <w:szCs w:val="20"/>
          <w:lang w:val="en-US" w:eastAsia="de-DE"/>
        </w:rPr>
        <w:t>Compulsory fire alarm systems shall be operational at all times.</w:t>
      </w:r>
    </w:p>
    <w:p w:rsidR="004F47BB" w:rsidRPr="004F47BB" w:rsidRDefault="004F47BB" w:rsidP="004F47BB">
      <w:pPr>
        <w:tabs>
          <w:tab w:val="left" w:pos="426"/>
          <w:tab w:val="left" w:pos="709"/>
        </w:tabs>
        <w:autoSpaceDE/>
        <w:autoSpaceDN/>
        <w:spacing w:line="240" w:lineRule="atLeast"/>
        <w:ind w:left="709" w:hanging="709"/>
        <w:rPr>
          <w:szCs w:val="20"/>
          <w:lang w:val="en-US" w:eastAsia="de-DE"/>
        </w:rPr>
      </w:pPr>
    </w:p>
    <w:p w:rsidR="004F47BB" w:rsidRPr="004F47BB" w:rsidRDefault="004F47BB" w:rsidP="004F47BB">
      <w:pPr>
        <w:tabs>
          <w:tab w:val="left" w:pos="426"/>
          <w:tab w:val="left" w:pos="709"/>
        </w:tabs>
        <w:autoSpaceDE/>
        <w:autoSpaceDN/>
        <w:spacing w:after="80" w:line="240" w:lineRule="atLeast"/>
        <w:ind w:left="709" w:hanging="709"/>
        <w:rPr>
          <w:szCs w:val="20"/>
          <w:lang w:val="en-US" w:eastAsia="de-DE"/>
        </w:rPr>
      </w:pPr>
      <w:r w:rsidRPr="004F47BB">
        <w:rPr>
          <w:noProof/>
          <w:szCs w:val="20"/>
          <w:lang w:val="en-US" w:eastAsia="de-DE"/>
        </w:rPr>
        <w:t>1.1.2</w:t>
      </w:r>
      <w:r w:rsidRPr="004F47BB">
        <w:rPr>
          <w:noProof/>
          <w:szCs w:val="20"/>
          <w:lang w:val="en-US" w:eastAsia="de-DE"/>
        </w:rPr>
        <w:tab/>
        <w:t>Fire detectors required in accordance with (2.2) shall be automatic. Additional manually operated fire detectors may be installed.</w:t>
      </w: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1.1.3</w:t>
      </w:r>
      <w:r w:rsidRPr="004F47BB">
        <w:rPr>
          <w:szCs w:val="20"/>
          <w:lang w:val="en-US" w:eastAsia="de-DE"/>
        </w:rPr>
        <w:tab/>
      </w:r>
      <w:r w:rsidRPr="004F47BB">
        <w:rPr>
          <w:noProof/>
          <w:szCs w:val="20"/>
          <w:lang w:val="en-US" w:eastAsia="de-DE"/>
        </w:rPr>
        <w:t>The system and its components shall be able to withstand voltage fluctuations and surges, changes in ambient temperature, vibrations, humidity, shocks, impacts and corrosion such as commonly occur on vessels.</w:t>
      </w:r>
    </w:p>
    <w:p w:rsidR="004F47BB" w:rsidRPr="004F47BB" w:rsidRDefault="004F47BB" w:rsidP="004F47BB">
      <w:pPr>
        <w:tabs>
          <w:tab w:val="left" w:pos="426"/>
          <w:tab w:val="left" w:pos="709"/>
        </w:tabs>
        <w:autoSpaceDE/>
        <w:autoSpaceDN/>
        <w:spacing w:line="240" w:lineRule="atLeast"/>
        <w:ind w:left="0" w:firstLine="0"/>
        <w:rPr>
          <w:szCs w:val="20"/>
          <w:lang w:val="en-US" w:eastAsia="de-DE"/>
        </w:rPr>
      </w:pPr>
    </w:p>
    <w:p w:rsidR="004F47BB" w:rsidRPr="004F47BB" w:rsidRDefault="004F47BB" w:rsidP="004F47BB">
      <w:pPr>
        <w:tabs>
          <w:tab w:val="num" w:pos="709"/>
        </w:tabs>
        <w:autoSpaceDE/>
        <w:autoSpaceDN/>
        <w:spacing w:after="80" w:line="240" w:lineRule="atLeast"/>
        <w:ind w:left="709" w:hanging="709"/>
        <w:rPr>
          <w:b/>
          <w:bCs/>
          <w:szCs w:val="20"/>
          <w:lang w:val="en-US" w:eastAsia="de-DE"/>
        </w:rPr>
      </w:pPr>
      <w:r w:rsidRPr="004F47BB">
        <w:rPr>
          <w:b/>
          <w:bCs/>
          <w:noProof/>
          <w:szCs w:val="20"/>
          <w:lang w:val="en-US" w:eastAsia="de-DE"/>
        </w:rPr>
        <w:t>1.2</w:t>
      </w:r>
      <w:r w:rsidRPr="004F47BB">
        <w:rPr>
          <w:b/>
          <w:bCs/>
          <w:noProof/>
          <w:szCs w:val="20"/>
          <w:lang w:val="en-US" w:eastAsia="de-DE"/>
        </w:rPr>
        <w:tab/>
        <w:t>Energy supply</w:t>
      </w:r>
    </w:p>
    <w:p w:rsidR="004F47BB" w:rsidRPr="004F47BB" w:rsidRDefault="004F47BB" w:rsidP="004F47BB">
      <w:pPr>
        <w:tabs>
          <w:tab w:val="left" w:pos="709"/>
        </w:tabs>
        <w:autoSpaceDE/>
        <w:autoSpaceDN/>
        <w:spacing w:after="80" w:line="240" w:lineRule="atLeast"/>
        <w:ind w:left="709" w:hanging="709"/>
        <w:rPr>
          <w:szCs w:val="20"/>
          <w:lang w:val="en-US" w:eastAsia="de-DE"/>
        </w:rPr>
      </w:pPr>
      <w:r w:rsidRPr="004F47BB">
        <w:rPr>
          <w:szCs w:val="20"/>
          <w:lang w:val="en-US" w:eastAsia="de-DE"/>
        </w:rPr>
        <w:t>1.2.1</w:t>
      </w:r>
      <w:r w:rsidRPr="004F47BB">
        <w:rPr>
          <w:szCs w:val="20"/>
          <w:lang w:val="en-US" w:eastAsia="de-DE"/>
        </w:rPr>
        <w:tab/>
      </w:r>
      <w:r w:rsidRPr="004F47BB">
        <w:rPr>
          <w:noProof/>
          <w:szCs w:val="20"/>
          <w:lang w:val="en-US" w:eastAsia="de-DE"/>
        </w:rPr>
        <w:t>Energy sources and electric circuits necessary for the operation of the fire alarm system shall be self monitoring. Any fault occurring shall activate a visual and acoustic alarm signal on the control panel which can be distinguished from a fire alarm signal.</w:t>
      </w: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1.2.2</w:t>
      </w:r>
      <w:r w:rsidRPr="004F47BB">
        <w:rPr>
          <w:szCs w:val="20"/>
          <w:lang w:val="en-US" w:eastAsia="de-DE"/>
        </w:rPr>
        <w:tab/>
      </w:r>
      <w:r w:rsidRPr="004F47BB">
        <w:rPr>
          <w:noProof/>
          <w:szCs w:val="20"/>
          <w:lang w:val="en-US" w:eastAsia="de-DE"/>
        </w:rPr>
        <w:t xml:space="preserve">There shall be at least two power sources for the electrical part of the fire alarm system, one of which shall be an emergency power system (i.e. emergency power source and emergency switchboard). There shall be two separate power-feeds solely for this purpose. These shall lead to an automatic switch in or near the control panel of the fire alarm system. On day-trip vessels up to 25 m </w:t>
      </w:r>
      <m:oMath>
        <m:sSub>
          <m:sSubPr>
            <m:ctrlPr>
              <w:rPr>
                <w:rFonts w:ascii="Cambria Math" w:hAnsi="Cambria Math"/>
                <w:i/>
                <w:noProof/>
                <w:szCs w:val="20"/>
                <w:lang w:val="en-US" w:eastAsia="de-DE"/>
              </w:rPr>
            </m:ctrlPr>
          </m:sSubPr>
          <m:e>
            <m:r>
              <w:rPr>
                <w:rFonts w:ascii="Cambria Math" w:hAnsi="Cambria Math"/>
                <w:noProof/>
                <w:szCs w:val="20"/>
                <w:lang w:val="en-US" w:eastAsia="de-DE"/>
              </w:rPr>
              <m:t>L</m:t>
            </m:r>
          </m:e>
          <m:sub>
            <m:r>
              <w:rPr>
                <w:rFonts w:ascii="Cambria Math" w:hAnsi="Cambria Math"/>
                <w:noProof/>
                <w:szCs w:val="20"/>
                <w:lang w:val="en-US" w:eastAsia="de-DE"/>
              </w:rPr>
              <m:t>WL</m:t>
            </m:r>
          </m:sub>
        </m:sSub>
      </m:oMath>
      <w:r w:rsidRPr="004F47BB">
        <w:rPr>
          <w:noProof/>
          <w:szCs w:val="20"/>
          <w:lang w:val="en-US" w:eastAsia="de-DE"/>
        </w:rPr>
        <w:t xml:space="preserve"> and on motor vessels a separate emergency power supply is sufficient.</w:t>
      </w:r>
    </w:p>
    <w:p w:rsidR="004F47BB" w:rsidRPr="004F47BB" w:rsidRDefault="004F47BB" w:rsidP="004F47BB">
      <w:pPr>
        <w:tabs>
          <w:tab w:val="left" w:pos="709"/>
        </w:tabs>
        <w:autoSpaceDE/>
        <w:autoSpaceDN/>
        <w:spacing w:line="240" w:lineRule="atLeast"/>
        <w:ind w:left="426" w:hanging="426"/>
        <w:rPr>
          <w:szCs w:val="20"/>
          <w:lang w:val="en-US" w:eastAsia="de-DE"/>
        </w:rPr>
      </w:pPr>
    </w:p>
    <w:p w:rsidR="004F47BB" w:rsidRPr="004F47BB" w:rsidRDefault="004F47BB" w:rsidP="004F47BB">
      <w:pPr>
        <w:tabs>
          <w:tab w:val="num" w:pos="709"/>
        </w:tabs>
        <w:autoSpaceDE/>
        <w:autoSpaceDN/>
        <w:spacing w:line="240" w:lineRule="atLeast"/>
        <w:ind w:left="709" w:hanging="709"/>
        <w:rPr>
          <w:b/>
          <w:bCs/>
          <w:szCs w:val="20"/>
          <w:lang w:val="en-US" w:eastAsia="de-DE"/>
        </w:rPr>
      </w:pPr>
      <w:r w:rsidRPr="004F47BB">
        <w:rPr>
          <w:b/>
          <w:bCs/>
          <w:noProof/>
          <w:szCs w:val="20"/>
          <w:lang w:val="en-US" w:eastAsia="de-DE"/>
        </w:rPr>
        <w:t>1.3</w:t>
      </w:r>
      <w:r w:rsidRPr="004F47BB">
        <w:rPr>
          <w:b/>
          <w:bCs/>
          <w:noProof/>
          <w:szCs w:val="20"/>
          <w:lang w:val="en-US" w:eastAsia="de-DE"/>
        </w:rPr>
        <w:tab/>
        <w:t>Fire detection system</w:t>
      </w:r>
    </w:p>
    <w:p w:rsidR="004F47BB" w:rsidRPr="004F47BB" w:rsidRDefault="004F47BB" w:rsidP="004F47BB">
      <w:pPr>
        <w:tabs>
          <w:tab w:val="left" w:pos="709"/>
        </w:tabs>
        <w:autoSpaceDE/>
        <w:autoSpaceDN/>
        <w:spacing w:before="140" w:line="240" w:lineRule="atLeast"/>
        <w:ind w:left="709" w:hanging="709"/>
        <w:rPr>
          <w:szCs w:val="20"/>
          <w:lang w:val="en-US" w:eastAsia="de-DE"/>
        </w:rPr>
      </w:pPr>
      <w:r w:rsidRPr="004F47BB">
        <w:rPr>
          <w:szCs w:val="20"/>
          <w:lang w:val="en-US" w:eastAsia="de-DE"/>
        </w:rPr>
        <w:t>1.3.1</w:t>
      </w:r>
      <w:r w:rsidRPr="004F47BB">
        <w:rPr>
          <w:szCs w:val="20"/>
          <w:lang w:val="en-US" w:eastAsia="de-DE"/>
        </w:rPr>
        <w:tab/>
      </w:r>
      <w:r w:rsidRPr="004F47BB">
        <w:rPr>
          <w:noProof/>
          <w:szCs w:val="20"/>
          <w:lang w:val="en-US" w:eastAsia="de-DE"/>
        </w:rPr>
        <w:t>Fire detectors shall be grouped in fire detection zones.</w:t>
      </w:r>
    </w:p>
    <w:p w:rsidR="004F47BB" w:rsidRPr="004F47BB" w:rsidRDefault="004F47BB" w:rsidP="004F47BB">
      <w:pPr>
        <w:tabs>
          <w:tab w:val="left" w:pos="709"/>
        </w:tabs>
        <w:autoSpaceDE/>
        <w:autoSpaceDN/>
        <w:spacing w:before="140" w:line="240" w:lineRule="atLeast"/>
        <w:ind w:left="709" w:hanging="709"/>
        <w:rPr>
          <w:szCs w:val="20"/>
          <w:lang w:val="en-US" w:eastAsia="de-DE"/>
        </w:rPr>
      </w:pPr>
      <w:r w:rsidRPr="004F47BB">
        <w:rPr>
          <w:szCs w:val="20"/>
          <w:lang w:val="en-US" w:eastAsia="de-DE"/>
        </w:rPr>
        <w:t>1.3.2</w:t>
      </w:r>
      <w:r w:rsidRPr="004F47BB">
        <w:rPr>
          <w:szCs w:val="20"/>
          <w:lang w:val="en-US" w:eastAsia="de-DE"/>
        </w:rPr>
        <w:tab/>
      </w:r>
      <w:r w:rsidRPr="004F47BB">
        <w:rPr>
          <w:noProof/>
          <w:szCs w:val="20"/>
          <w:lang w:val="en-US" w:eastAsia="de-DE"/>
        </w:rPr>
        <w:t>Fire detection systems shall not be used for any other purpose. By way of derogation the closing of the doors in accordance with Article 19.11(9) and similar functions may be activated and indicated on the control panel.</w:t>
      </w:r>
    </w:p>
    <w:p w:rsidR="004F47BB" w:rsidRPr="004F47BB" w:rsidRDefault="004F47BB" w:rsidP="004F47BB">
      <w:pPr>
        <w:tabs>
          <w:tab w:val="left" w:pos="426"/>
          <w:tab w:val="left" w:pos="709"/>
        </w:tabs>
        <w:autoSpaceDE/>
        <w:autoSpaceDN/>
        <w:spacing w:line="240" w:lineRule="atLeast"/>
        <w:ind w:left="709" w:hanging="568"/>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noProof/>
          <w:szCs w:val="20"/>
          <w:lang w:val="en-US" w:eastAsia="de-DE"/>
        </w:rPr>
        <w:t>1.3.3</w:t>
      </w:r>
      <w:r w:rsidRPr="004F47BB">
        <w:rPr>
          <w:noProof/>
          <w:szCs w:val="20"/>
          <w:lang w:val="en-US" w:eastAsia="de-DE"/>
        </w:rPr>
        <w:tab/>
        <w:t>Fire detection systems shall be designed in such a way that the first indicated fire alarm does not prevent fire alarms set off by other detectors.</w:t>
      </w:r>
    </w:p>
    <w:p w:rsidR="004F47BB" w:rsidRPr="004F47BB" w:rsidRDefault="004F47BB" w:rsidP="004F47BB">
      <w:pPr>
        <w:tabs>
          <w:tab w:val="left" w:pos="709"/>
        </w:tabs>
        <w:autoSpaceDE/>
        <w:autoSpaceDN/>
        <w:spacing w:line="240" w:lineRule="atLeast"/>
        <w:ind w:left="0" w:firstLine="0"/>
        <w:rPr>
          <w:szCs w:val="20"/>
          <w:lang w:val="en-US" w:eastAsia="de-DE"/>
        </w:rPr>
      </w:pPr>
    </w:p>
    <w:p w:rsidR="004F47BB" w:rsidRPr="004F47BB" w:rsidRDefault="004F47BB" w:rsidP="004F47BB">
      <w:pPr>
        <w:tabs>
          <w:tab w:val="num" w:pos="709"/>
        </w:tabs>
        <w:autoSpaceDE/>
        <w:autoSpaceDN/>
        <w:spacing w:line="240" w:lineRule="atLeast"/>
        <w:ind w:left="0" w:firstLine="0"/>
        <w:rPr>
          <w:b/>
          <w:bCs/>
          <w:szCs w:val="20"/>
          <w:lang w:val="en-US" w:eastAsia="de-DE"/>
        </w:rPr>
      </w:pPr>
      <w:r w:rsidRPr="004F47BB">
        <w:rPr>
          <w:b/>
          <w:bCs/>
          <w:noProof/>
          <w:szCs w:val="20"/>
          <w:lang w:val="en-US" w:eastAsia="de-DE"/>
        </w:rPr>
        <w:t>1.4</w:t>
      </w:r>
      <w:r w:rsidRPr="004F47BB">
        <w:rPr>
          <w:b/>
          <w:bCs/>
          <w:noProof/>
          <w:szCs w:val="20"/>
          <w:lang w:val="en-US" w:eastAsia="de-DE"/>
        </w:rPr>
        <w:tab/>
        <w:t>Fire detection zones</w:t>
      </w:r>
    </w:p>
    <w:p w:rsidR="004F47BB" w:rsidRPr="004F47BB" w:rsidRDefault="004F47BB" w:rsidP="004F47BB">
      <w:pPr>
        <w:tabs>
          <w:tab w:val="left" w:pos="709"/>
        </w:tabs>
        <w:autoSpaceDE/>
        <w:autoSpaceDN/>
        <w:spacing w:line="240" w:lineRule="atLeast"/>
        <w:ind w:left="0" w:firstLine="0"/>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1.4.1</w:t>
      </w:r>
      <w:r w:rsidRPr="004F47BB">
        <w:rPr>
          <w:szCs w:val="20"/>
          <w:lang w:val="en-US" w:eastAsia="de-DE"/>
        </w:rPr>
        <w:tab/>
      </w:r>
      <w:r w:rsidRPr="004F47BB">
        <w:rPr>
          <w:noProof/>
          <w:szCs w:val="20"/>
          <w:lang w:val="en-US" w:eastAsia="de-DE"/>
        </w:rPr>
        <w:t>Where the fire detectors cannot be remotely identified individually, a fire detection zone shall not monitor more than one deck. This does not apply to a fire detection zone which monitors an encapsulated stairwell.</w:t>
      </w:r>
    </w:p>
    <w:p w:rsidR="004F47BB" w:rsidRPr="004F47BB" w:rsidRDefault="004F47BB" w:rsidP="004F47BB">
      <w:pPr>
        <w:tabs>
          <w:tab w:val="left" w:pos="709"/>
        </w:tabs>
        <w:autoSpaceDE/>
        <w:autoSpaceDN/>
        <w:spacing w:line="240" w:lineRule="atLeast"/>
        <w:ind w:left="709" w:hanging="709"/>
        <w:rPr>
          <w:szCs w:val="20"/>
          <w:lang w:val="en-US" w:eastAsia="de-DE"/>
        </w:rPr>
      </w:pPr>
    </w:p>
    <w:p w:rsidR="004F47BB" w:rsidRPr="004F47BB" w:rsidRDefault="004F47BB" w:rsidP="004F47BB">
      <w:pPr>
        <w:tabs>
          <w:tab w:val="left" w:pos="709"/>
        </w:tabs>
        <w:autoSpaceDE/>
        <w:autoSpaceDN/>
        <w:spacing w:line="240" w:lineRule="atLeast"/>
        <w:ind w:left="709" w:firstLine="0"/>
        <w:rPr>
          <w:szCs w:val="20"/>
          <w:lang w:val="en-US" w:eastAsia="de-DE"/>
        </w:rPr>
      </w:pPr>
      <w:r w:rsidRPr="004F47BB">
        <w:rPr>
          <w:noProof/>
          <w:szCs w:val="20"/>
          <w:lang w:val="en-US" w:eastAsia="de-DE"/>
        </w:rPr>
        <w:t>In order to avoid delays in detecting the origin of the fire, the number of enclosed spaces included in each fire detection zone shall be limited. There shall not be more than fifty enclosed spaces in one fire detection zone.</w:t>
      </w:r>
    </w:p>
    <w:p w:rsidR="004F47BB" w:rsidRPr="004F47BB" w:rsidRDefault="004F47BB" w:rsidP="004F47BB">
      <w:pPr>
        <w:tabs>
          <w:tab w:val="left" w:pos="709"/>
        </w:tabs>
        <w:autoSpaceDE/>
        <w:autoSpaceDN/>
        <w:spacing w:line="240" w:lineRule="atLeast"/>
        <w:ind w:left="709" w:firstLine="0"/>
        <w:rPr>
          <w:szCs w:val="20"/>
          <w:lang w:val="en-US" w:eastAsia="de-DE"/>
        </w:rPr>
      </w:pPr>
    </w:p>
    <w:p w:rsidR="004F47BB" w:rsidRPr="004F47BB" w:rsidRDefault="004F47BB" w:rsidP="004F47BB">
      <w:pPr>
        <w:tabs>
          <w:tab w:val="left" w:pos="709"/>
        </w:tabs>
        <w:autoSpaceDE/>
        <w:autoSpaceDN/>
        <w:spacing w:line="240" w:lineRule="atLeast"/>
        <w:ind w:left="709" w:firstLine="0"/>
        <w:rPr>
          <w:szCs w:val="20"/>
          <w:lang w:val="en-US" w:eastAsia="de-DE"/>
        </w:rPr>
      </w:pPr>
      <w:r w:rsidRPr="004F47BB">
        <w:rPr>
          <w:szCs w:val="20"/>
          <w:lang w:val="en-US" w:eastAsia="de-DE"/>
        </w:rPr>
        <w:br w:type="page"/>
      </w:r>
    </w:p>
    <w:p w:rsidR="004F47BB" w:rsidRPr="004F47BB" w:rsidRDefault="004F47BB" w:rsidP="004F47BB">
      <w:pPr>
        <w:tabs>
          <w:tab w:val="left" w:pos="709"/>
        </w:tabs>
        <w:autoSpaceDE/>
        <w:autoSpaceDN/>
        <w:spacing w:line="240" w:lineRule="atLeast"/>
        <w:ind w:left="709" w:firstLine="0"/>
        <w:rPr>
          <w:szCs w:val="20"/>
          <w:lang w:val="en-US" w:eastAsia="de-DE"/>
        </w:rPr>
      </w:pPr>
      <w:r w:rsidRPr="004F47BB">
        <w:rPr>
          <w:noProof/>
          <w:szCs w:val="20"/>
          <w:lang w:val="en-US" w:eastAsia="de-DE"/>
        </w:rPr>
        <w:lastRenderedPageBreak/>
        <w:t>Where the fire detection system has remote identification of individual fire detectors, the fire detection zones may monitor several decks and any number of enclosed spaces.</w:t>
      </w:r>
    </w:p>
    <w:p w:rsidR="004F47BB" w:rsidRPr="004F47BB" w:rsidRDefault="004F47BB" w:rsidP="004F47BB">
      <w:pPr>
        <w:tabs>
          <w:tab w:val="left" w:pos="709"/>
        </w:tabs>
        <w:autoSpaceDE/>
        <w:autoSpaceDN/>
        <w:spacing w:line="240" w:lineRule="atLeast"/>
        <w:ind w:left="709" w:firstLine="0"/>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1.4.2</w:t>
      </w:r>
      <w:r w:rsidRPr="004F47BB">
        <w:rPr>
          <w:szCs w:val="20"/>
          <w:lang w:val="en-US" w:eastAsia="de-DE"/>
        </w:rPr>
        <w:tab/>
      </w:r>
      <w:r w:rsidRPr="004F47BB">
        <w:rPr>
          <w:noProof/>
          <w:szCs w:val="20"/>
          <w:lang w:val="en-US" w:eastAsia="de-DE"/>
        </w:rPr>
        <w:t>On passenger vessels which do not have a fire detection system with remote identification of individual fire detectors, a fire detection zone shall not comprise more than the area constituted in accordance with Article 19.11(11). The activation of a fire detector in an individual cabin in this fire detection zone shall set off a visual and acoustic signal in the passageway outside that cabin.</w:t>
      </w:r>
    </w:p>
    <w:p w:rsidR="004F47BB" w:rsidRPr="004F47BB" w:rsidRDefault="004F47BB" w:rsidP="004F47BB">
      <w:pPr>
        <w:tabs>
          <w:tab w:val="left" w:pos="426"/>
          <w:tab w:val="left" w:pos="709"/>
        </w:tabs>
        <w:autoSpaceDE/>
        <w:autoSpaceDN/>
        <w:spacing w:line="240" w:lineRule="atLeast"/>
        <w:ind w:left="709" w:hanging="568"/>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1.4.3</w:t>
      </w:r>
      <w:r w:rsidRPr="004F47BB">
        <w:rPr>
          <w:szCs w:val="20"/>
          <w:lang w:val="en-US" w:eastAsia="de-DE"/>
        </w:rPr>
        <w:tab/>
      </w:r>
      <w:r w:rsidRPr="004F47BB">
        <w:rPr>
          <w:noProof/>
          <w:szCs w:val="20"/>
          <w:lang w:val="en-US" w:eastAsia="de-DE"/>
        </w:rPr>
        <w:t>Galleys, engine rooms and boiler rooms shall constitute separate fire detection zones.</w:t>
      </w:r>
    </w:p>
    <w:p w:rsidR="004F47BB" w:rsidRPr="004F47BB" w:rsidRDefault="004F47BB" w:rsidP="004F47BB">
      <w:pPr>
        <w:tabs>
          <w:tab w:val="left" w:pos="426"/>
          <w:tab w:val="left" w:pos="709"/>
        </w:tabs>
        <w:autoSpaceDE/>
        <w:autoSpaceDN/>
        <w:spacing w:line="240" w:lineRule="atLeast"/>
        <w:ind w:left="-142" w:firstLine="0"/>
        <w:rPr>
          <w:szCs w:val="20"/>
          <w:lang w:val="en-US" w:eastAsia="de-DE"/>
        </w:rPr>
      </w:pPr>
    </w:p>
    <w:p w:rsidR="004F47BB" w:rsidRPr="004F47BB" w:rsidRDefault="004F47BB" w:rsidP="004F47BB">
      <w:pPr>
        <w:tabs>
          <w:tab w:val="left" w:pos="709"/>
        </w:tabs>
        <w:autoSpaceDE/>
        <w:autoSpaceDN/>
        <w:spacing w:line="240" w:lineRule="atLeast"/>
        <w:ind w:left="0" w:firstLine="0"/>
        <w:rPr>
          <w:b/>
          <w:bCs/>
          <w:szCs w:val="20"/>
          <w:lang w:val="en-US" w:eastAsia="de-DE"/>
        </w:rPr>
      </w:pPr>
      <w:r w:rsidRPr="004F47BB">
        <w:rPr>
          <w:b/>
          <w:bCs/>
          <w:szCs w:val="20"/>
          <w:lang w:val="en-US" w:eastAsia="de-DE"/>
        </w:rPr>
        <w:t>1.5</w:t>
      </w:r>
      <w:r w:rsidRPr="004F47BB">
        <w:rPr>
          <w:b/>
          <w:bCs/>
          <w:szCs w:val="20"/>
          <w:lang w:val="en-US" w:eastAsia="de-DE"/>
        </w:rPr>
        <w:tab/>
        <w:t>Fire detectors</w:t>
      </w:r>
    </w:p>
    <w:p w:rsidR="004F47BB" w:rsidRPr="004F47BB" w:rsidRDefault="004F47BB" w:rsidP="004F47BB">
      <w:pPr>
        <w:tabs>
          <w:tab w:val="left" w:pos="426"/>
          <w:tab w:val="left" w:pos="709"/>
        </w:tabs>
        <w:autoSpaceDE/>
        <w:autoSpaceDN/>
        <w:spacing w:line="240" w:lineRule="atLeast"/>
        <w:ind w:left="0" w:firstLine="0"/>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noProof/>
          <w:szCs w:val="20"/>
          <w:lang w:val="en-US" w:eastAsia="de-DE"/>
        </w:rPr>
        <w:t>1.5.1</w:t>
      </w:r>
      <w:r w:rsidRPr="004F47BB">
        <w:rPr>
          <w:noProof/>
          <w:szCs w:val="20"/>
          <w:lang w:val="en-US" w:eastAsia="de-DE"/>
        </w:rPr>
        <w:tab/>
        <w:t>Only heat, smoke or ion detectors shall be used as fire detectors. Other types may only be used as additional detectors.</w:t>
      </w:r>
    </w:p>
    <w:p w:rsidR="004F47BB" w:rsidRPr="004F47BB" w:rsidRDefault="004F47BB" w:rsidP="004F47BB">
      <w:pPr>
        <w:tabs>
          <w:tab w:val="left" w:pos="709"/>
        </w:tabs>
        <w:autoSpaceDE/>
        <w:autoSpaceDN/>
        <w:spacing w:line="240" w:lineRule="atLeast"/>
        <w:ind w:left="0" w:firstLine="0"/>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noProof/>
          <w:szCs w:val="20"/>
          <w:lang w:val="en-US" w:eastAsia="de-DE"/>
        </w:rPr>
        <w:t>1.5.2</w:t>
      </w:r>
      <w:r w:rsidRPr="004F47BB">
        <w:rPr>
          <w:noProof/>
          <w:szCs w:val="20"/>
          <w:lang w:val="en-US" w:eastAsia="de-DE"/>
        </w:rPr>
        <w:tab/>
        <w:t>Fire detectors shall be type-approved.</w:t>
      </w:r>
    </w:p>
    <w:p w:rsidR="004F47BB" w:rsidRPr="004F47BB" w:rsidRDefault="004F47BB" w:rsidP="004F47BB">
      <w:pPr>
        <w:tabs>
          <w:tab w:val="left" w:pos="426"/>
          <w:tab w:val="left" w:pos="709"/>
        </w:tabs>
        <w:autoSpaceDE/>
        <w:autoSpaceDN/>
        <w:spacing w:line="240" w:lineRule="atLeast"/>
        <w:ind w:left="426" w:hanging="568"/>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1.5.3</w:t>
      </w:r>
      <w:r w:rsidRPr="004F47BB">
        <w:rPr>
          <w:szCs w:val="20"/>
          <w:lang w:val="en-US" w:eastAsia="de-DE"/>
        </w:rPr>
        <w:tab/>
      </w:r>
      <w:r w:rsidRPr="004F47BB">
        <w:rPr>
          <w:noProof/>
          <w:szCs w:val="20"/>
          <w:lang w:val="en-US" w:eastAsia="de-DE"/>
        </w:rPr>
        <w:t>All automatic fire detectors shall be designed in such a way that they can be tested to ensure that they are working properly and brought back into service without having to replace any components.</w:t>
      </w:r>
    </w:p>
    <w:p w:rsidR="004F47BB" w:rsidRPr="004F47BB" w:rsidRDefault="004F47BB" w:rsidP="004F47BB">
      <w:pPr>
        <w:tabs>
          <w:tab w:val="left" w:pos="426"/>
          <w:tab w:val="left" w:pos="709"/>
        </w:tabs>
        <w:autoSpaceDE/>
        <w:autoSpaceDN/>
        <w:spacing w:line="240" w:lineRule="atLeast"/>
        <w:ind w:left="-142" w:firstLine="709"/>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1.5.4</w:t>
      </w:r>
      <w:r w:rsidRPr="004F47BB">
        <w:rPr>
          <w:szCs w:val="20"/>
          <w:lang w:val="en-US" w:eastAsia="de-DE"/>
        </w:rPr>
        <w:tab/>
      </w:r>
      <w:r w:rsidRPr="004F47BB">
        <w:rPr>
          <w:noProof/>
          <w:szCs w:val="20"/>
          <w:lang w:val="en-US" w:eastAsia="de-DE"/>
        </w:rPr>
        <w:t>Smoke detectors shall be set so that they respond to a reduction in visibility per metre caused by smoke of more than 2 % to 12,5 %. Smoke detectors fitted in galleys, engine rooms and boiler rooms shall respond within sensitivity limits meeting the requirements of the inspection body, whereby under-sensitivity or over-sensitivity of the detectors shall be avoided.</w:t>
      </w:r>
    </w:p>
    <w:p w:rsidR="004F47BB" w:rsidRPr="004F47BB" w:rsidRDefault="004F47BB" w:rsidP="004F47BB">
      <w:pPr>
        <w:tabs>
          <w:tab w:val="left" w:pos="426"/>
          <w:tab w:val="left" w:pos="709"/>
        </w:tabs>
        <w:autoSpaceDE/>
        <w:autoSpaceDN/>
        <w:spacing w:line="240" w:lineRule="atLeast"/>
        <w:ind w:left="426" w:hanging="426"/>
        <w:rPr>
          <w:szCs w:val="20"/>
          <w:lang w:val="en-US" w:eastAsia="de-DE"/>
        </w:rPr>
      </w:pPr>
    </w:p>
    <w:p w:rsidR="004F47BB" w:rsidRPr="004F47BB" w:rsidRDefault="004F47BB" w:rsidP="004F47BB">
      <w:pPr>
        <w:tabs>
          <w:tab w:val="left" w:pos="709"/>
        </w:tabs>
        <w:autoSpaceDE/>
        <w:autoSpaceDN/>
        <w:spacing w:after="120" w:line="240" w:lineRule="atLeast"/>
        <w:ind w:left="709" w:hanging="719"/>
        <w:rPr>
          <w:szCs w:val="20"/>
          <w:lang w:val="en-US" w:eastAsia="de-DE"/>
        </w:rPr>
      </w:pPr>
      <w:r w:rsidRPr="004F47BB">
        <w:rPr>
          <w:noProof/>
          <w:szCs w:val="20"/>
          <w:lang w:val="en-US" w:eastAsia="de-DE"/>
        </w:rPr>
        <w:t>1.5.5</w:t>
      </w:r>
      <w:r w:rsidRPr="004F47BB">
        <w:rPr>
          <w:noProof/>
          <w:szCs w:val="20"/>
          <w:lang w:val="en-US" w:eastAsia="de-DE"/>
        </w:rPr>
        <w:tab/>
        <w:t>Heat detectors shall be set so that with temperature increase rates of less than 1 °C/min they respond at temperatures of between 54 °C and 78 °C.</w:t>
      </w:r>
    </w:p>
    <w:p w:rsidR="004F47BB" w:rsidRPr="004F47BB" w:rsidRDefault="004F47BB" w:rsidP="004F47BB">
      <w:pPr>
        <w:tabs>
          <w:tab w:val="left" w:pos="709"/>
        </w:tabs>
        <w:autoSpaceDE/>
        <w:autoSpaceDN/>
        <w:spacing w:line="240" w:lineRule="atLeast"/>
        <w:ind w:left="709" w:firstLine="0"/>
        <w:rPr>
          <w:szCs w:val="20"/>
          <w:lang w:val="en-US" w:eastAsia="de-DE"/>
        </w:rPr>
      </w:pPr>
      <w:r w:rsidRPr="004F47BB">
        <w:rPr>
          <w:noProof/>
          <w:szCs w:val="20"/>
          <w:lang w:val="en-US" w:eastAsia="de-DE"/>
        </w:rPr>
        <w:t>With higher rates of temperature increase, the heat detector shall respond within temperature limits where under- or over-sensitivity of the heat detector is avoided.</w:t>
      </w:r>
    </w:p>
    <w:p w:rsidR="004F47BB" w:rsidRPr="004F47BB" w:rsidRDefault="004F47BB" w:rsidP="004F47BB">
      <w:pPr>
        <w:tabs>
          <w:tab w:val="left" w:pos="426"/>
          <w:tab w:val="left" w:pos="709"/>
        </w:tabs>
        <w:autoSpaceDE/>
        <w:autoSpaceDN/>
        <w:spacing w:line="240" w:lineRule="atLeast"/>
        <w:ind w:left="426" w:hanging="426"/>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1.5.6</w:t>
      </w:r>
      <w:r w:rsidRPr="004F47BB">
        <w:rPr>
          <w:szCs w:val="20"/>
          <w:lang w:val="en-US" w:eastAsia="de-DE"/>
        </w:rPr>
        <w:tab/>
      </w:r>
      <w:r w:rsidRPr="004F47BB">
        <w:rPr>
          <w:noProof/>
          <w:szCs w:val="20"/>
          <w:lang w:val="en-US" w:eastAsia="de-DE"/>
        </w:rPr>
        <w:t>With the agreement of the inspection body, the permissible operating temperature of heat detectors may be increased to 30 °C above the maximum temperature in the upper part of engine and boiler rooms.</w:t>
      </w:r>
    </w:p>
    <w:p w:rsidR="004F47BB" w:rsidRPr="004F47BB" w:rsidRDefault="004F47BB" w:rsidP="004F47BB">
      <w:pPr>
        <w:tabs>
          <w:tab w:val="left" w:pos="426"/>
          <w:tab w:val="left" w:pos="709"/>
        </w:tabs>
        <w:autoSpaceDE/>
        <w:autoSpaceDN/>
        <w:spacing w:line="240" w:lineRule="atLeast"/>
        <w:ind w:left="709" w:hanging="709"/>
        <w:rPr>
          <w:szCs w:val="20"/>
          <w:lang w:val="en-US" w:eastAsia="de-DE"/>
        </w:rPr>
      </w:pPr>
    </w:p>
    <w:p w:rsidR="004F47BB" w:rsidRPr="004F47BB" w:rsidRDefault="004F47BB" w:rsidP="004F47BB">
      <w:pPr>
        <w:tabs>
          <w:tab w:val="left" w:pos="709"/>
        </w:tabs>
        <w:autoSpaceDE/>
        <w:autoSpaceDN/>
        <w:spacing w:line="240" w:lineRule="atLeast"/>
        <w:ind w:left="709" w:hanging="719"/>
        <w:rPr>
          <w:szCs w:val="20"/>
          <w:lang w:val="en-US" w:eastAsia="de-DE"/>
        </w:rPr>
      </w:pPr>
      <w:r w:rsidRPr="004F47BB">
        <w:rPr>
          <w:noProof/>
          <w:szCs w:val="20"/>
          <w:lang w:val="en-US" w:eastAsia="de-DE"/>
        </w:rPr>
        <w:t>1.5.7</w:t>
      </w:r>
      <w:r w:rsidRPr="004F47BB">
        <w:rPr>
          <w:noProof/>
          <w:szCs w:val="20"/>
          <w:lang w:val="en-US" w:eastAsia="de-DE"/>
        </w:rPr>
        <w:tab/>
        <w:t>The sensitivity of flame detectors shall be sufficient to detect flames against an illuminated background. Flame detectors shall also be equipped with a system for identifying false alarms.</w:t>
      </w:r>
    </w:p>
    <w:p w:rsidR="004F47BB" w:rsidRPr="004F47BB" w:rsidRDefault="004F47BB" w:rsidP="004F47BB">
      <w:pPr>
        <w:tabs>
          <w:tab w:val="left" w:pos="709"/>
        </w:tabs>
        <w:autoSpaceDE/>
        <w:autoSpaceDN/>
        <w:spacing w:line="240" w:lineRule="atLeast"/>
        <w:ind w:left="-10" w:firstLine="0"/>
        <w:rPr>
          <w:szCs w:val="20"/>
          <w:lang w:val="en-US" w:eastAsia="de-DE"/>
        </w:rPr>
      </w:pPr>
    </w:p>
    <w:p w:rsidR="004F47BB" w:rsidRPr="004F47BB" w:rsidRDefault="004F47BB" w:rsidP="004F47BB">
      <w:pPr>
        <w:tabs>
          <w:tab w:val="left" w:pos="709"/>
        </w:tabs>
        <w:autoSpaceDE/>
        <w:autoSpaceDN/>
        <w:spacing w:line="240" w:lineRule="atLeast"/>
        <w:ind w:left="-10" w:firstLine="0"/>
        <w:rPr>
          <w:szCs w:val="20"/>
          <w:lang w:val="en-US" w:eastAsia="de-DE"/>
        </w:rPr>
      </w:pPr>
      <w:r w:rsidRPr="004F47BB">
        <w:rPr>
          <w:szCs w:val="20"/>
          <w:lang w:val="en-US" w:eastAsia="de-DE"/>
        </w:rPr>
        <w:br w:type="page"/>
      </w:r>
    </w:p>
    <w:p w:rsidR="004F47BB" w:rsidRPr="004F47BB" w:rsidRDefault="004F47BB" w:rsidP="004F47BB">
      <w:pPr>
        <w:tabs>
          <w:tab w:val="left" w:pos="709"/>
        </w:tabs>
        <w:autoSpaceDE/>
        <w:autoSpaceDN/>
        <w:spacing w:line="240" w:lineRule="atLeast"/>
        <w:ind w:left="709" w:hanging="709"/>
        <w:rPr>
          <w:b/>
          <w:bCs/>
          <w:szCs w:val="20"/>
          <w:lang w:val="en-US" w:eastAsia="de-DE"/>
        </w:rPr>
      </w:pPr>
      <w:r w:rsidRPr="004F47BB">
        <w:rPr>
          <w:b/>
          <w:bCs/>
          <w:noProof/>
          <w:szCs w:val="20"/>
          <w:lang w:val="en-US" w:eastAsia="de-DE"/>
        </w:rPr>
        <w:lastRenderedPageBreak/>
        <w:t>1.6</w:t>
      </w:r>
      <w:r w:rsidRPr="004F47BB">
        <w:rPr>
          <w:b/>
          <w:bCs/>
          <w:noProof/>
          <w:szCs w:val="20"/>
          <w:lang w:val="en-US" w:eastAsia="de-DE"/>
        </w:rPr>
        <w:tab/>
        <w:t>Fire detection system and control panel</w:t>
      </w:r>
    </w:p>
    <w:p w:rsidR="004F47BB" w:rsidRPr="004F47BB" w:rsidRDefault="004F47BB" w:rsidP="004F47BB">
      <w:pPr>
        <w:tabs>
          <w:tab w:val="left" w:pos="709"/>
        </w:tabs>
        <w:autoSpaceDE/>
        <w:autoSpaceDN/>
        <w:spacing w:line="240" w:lineRule="atLeast"/>
        <w:ind w:left="709" w:hanging="709"/>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1.6.1</w:t>
      </w:r>
      <w:r w:rsidRPr="004F47BB">
        <w:rPr>
          <w:szCs w:val="20"/>
          <w:lang w:val="en-US" w:eastAsia="de-DE"/>
        </w:rPr>
        <w:tab/>
      </w:r>
      <w:r w:rsidRPr="004F47BB">
        <w:rPr>
          <w:noProof/>
          <w:szCs w:val="20"/>
          <w:lang w:val="en-US" w:eastAsia="de-DE"/>
        </w:rPr>
        <w:t>Activation of a fire detector shall set off a visual and acoustic fire alarm signal at the control panel and the indicator devices.</w:t>
      </w:r>
    </w:p>
    <w:p w:rsidR="004F47BB" w:rsidRPr="004F47BB" w:rsidRDefault="004F47BB" w:rsidP="004F47BB">
      <w:pPr>
        <w:tabs>
          <w:tab w:val="left" w:pos="709"/>
        </w:tabs>
        <w:autoSpaceDE/>
        <w:autoSpaceDN/>
        <w:spacing w:line="240" w:lineRule="atLeast"/>
        <w:ind w:left="709" w:hanging="709"/>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1.6.2</w:t>
      </w:r>
      <w:r w:rsidRPr="004F47BB">
        <w:rPr>
          <w:szCs w:val="20"/>
          <w:lang w:val="en-US" w:eastAsia="de-DE"/>
        </w:rPr>
        <w:tab/>
      </w:r>
      <w:r w:rsidRPr="004F47BB">
        <w:rPr>
          <w:noProof/>
          <w:szCs w:val="20"/>
          <w:lang w:val="en-US" w:eastAsia="de-DE"/>
        </w:rPr>
        <w:t>The control panel and the indicator devices shall be at a location which is permanently manned by crew or shipboard personnel. One indicator shall be at the steering position.</w:t>
      </w:r>
    </w:p>
    <w:p w:rsidR="004F47BB" w:rsidRPr="004F47BB" w:rsidRDefault="004F47BB" w:rsidP="004F47BB">
      <w:pPr>
        <w:tabs>
          <w:tab w:val="left" w:pos="709"/>
        </w:tabs>
        <w:autoSpaceDE/>
        <w:autoSpaceDN/>
        <w:spacing w:line="240" w:lineRule="atLeast"/>
        <w:ind w:left="709" w:hanging="709"/>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1.6.3</w:t>
      </w:r>
      <w:r w:rsidRPr="004F47BB">
        <w:rPr>
          <w:szCs w:val="20"/>
          <w:lang w:val="en-US" w:eastAsia="de-DE"/>
        </w:rPr>
        <w:tab/>
      </w:r>
      <w:r w:rsidRPr="004F47BB">
        <w:rPr>
          <w:noProof/>
          <w:szCs w:val="20"/>
          <w:lang w:val="en-US" w:eastAsia="de-DE"/>
        </w:rPr>
        <w:t>The indicator devices shall indicate at least the fire detection zone in which a fire detector has been activated.</w:t>
      </w:r>
    </w:p>
    <w:p w:rsidR="004F47BB" w:rsidRPr="004F47BB" w:rsidRDefault="004F47BB" w:rsidP="004F47BB">
      <w:pPr>
        <w:tabs>
          <w:tab w:val="left" w:pos="709"/>
        </w:tabs>
        <w:autoSpaceDE/>
        <w:autoSpaceDN/>
        <w:spacing w:line="240" w:lineRule="atLeast"/>
        <w:ind w:left="709" w:hanging="709"/>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1.6.4</w:t>
      </w:r>
      <w:r w:rsidRPr="004F47BB">
        <w:rPr>
          <w:szCs w:val="20"/>
          <w:lang w:val="en-US" w:eastAsia="de-DE"/>
        </w:rPr>
        <w:tab/>
      </w:r>
      <w:r w:rsidRPr="004F47BB">
        <w:rPr>
          <w:noProof/>
          <w:szCs w:val="20"/>
          <w:lang w:val="en-US" w:eastAsia="de-DE"/>
        </w:rPr>
        <w:t>On or near each indicator device there shall be clear information on the areas monitored and the location of the fire detection zones.</w:t>
      </w:r>
    </w:p>
    <w:p w:rsidR="004F47BB" w:rsidRPr="004F47BB" w:rsidRDefault="004F47BB" w:rsidP="004F47BB">
      <w:pPr>
        <w:tabs>
          <w:tab w:val="left" w:pos="426"/>
          <w:tab w:val="left" w:pos="709"/>
        </w:tabs>
        <w:autoSpaceDE/>
        <w:autoSpaceDN/>
        <w:spacing w:line="240" w:lineRule="atLeast"/>
        <w:ind w:left="426" w:hanging="568"/>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b/>
          <w:bCs/>
          <w:szCs w:val="20"/>
          <w:lang w:val="en-US" w:eastAsia="de-DE"/>
        </w:rPr>
        <w:t>2.</w:t>
      </w:r>
      <w:r w:rsidRPr="004F47BB">
        <w:rPr>
          <w:szCs w:val="20"/>
          <w:lang w:val="en-US" w:eastAsia="de-DE"/>
        </w:rPr>
        <w:tab/>
      </w:r>
      <w:r w:rsidRPr="004F47BB">
        <w:rPr>
          <w:b/>
          <w:bCs/>
          <w:noProof/>
          <w:szCs w:val="20"/>
          <w:lang w:val="en-US" w:eastAsia="de-DE"/>
        </w:rPr>
        <w:t>Installation requirements</w:t>
      </w:r>
    </w:p>
    <w:p w:rsidR="004F47BB" w:rsidRPr="004F47BB" w:rsidRDefault="004F47BB" w:rsidP="004F47BB">
      <w:pPr>
        <w:tabs>
          <w:tab w:val="left" w:pos="426"/>
          <w:tab w:val="left" w:pos="709"/>
        </w:tabs>
        <w:autoSpaceDE/>
        <w:autoSpaceDN/>
        <w:spacing w:line="240" w:lineRule="atLeast"/>
        <w:ind w:left="426" w:hanging="568"/>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2.1</w:t>
      </w:r>
      <w:r w:rsidRPr="004F47BB">
        <w:rPr>
          <w:szCs w:val="20"/>
          <w:lang w:val="en-US" w:eastAsia="de-DE"/>
        </w:rPr>
        <w:tab/>
      </w:r>
      <w:r w:rsidRPr="004F47BB">
        <w:rPr>
          <w:noProof/>
          <w:szCs w:val="20"/>
          <w:lang w:val="en-US" w:eastAsia="de-DE"/>
        </w:rPr>
        <w:t>Fire detectors shall be installed in such a manner as to ensure the best possible operation of the system. Locations in the vicinity of deck girders and ventilation shafts or other locations where air currents could adversely affect system operation and locations where impacts or mechanical damage are likely shall be avoided.</w:t>
      </w:r>
    </w:p>
    <w:p w:rsidR="004F47BB" w:rsidRPr="004F47BB" w:rsidRDefault="004F47BB" w:rsidP="004F47BB">
      <w:pPr>
        <w:tabs>
          <w:tab w:val="left" w:pos="426"/>
          <w:tab w:val="left" w:pos="709"/>
        </w:tabs>
        <w:autoSpaceDE/>
        <w:autoSpaceDN/>
        <w:spacing w:line="240" w:lineRule="atLeast"/>
        <w:ind w:left="426" w:hanging="710"/>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2.2</w:t>
      </w:r>
      <w:r w:rsidRPr="004F47BB">
        <w:rPr>
          <w:szCs w:val="20"/>
          <w:lang w:val="en-US" w:eastAsia="de-DE"/>
        </w:rPr>
        <w:tab/>
      </w:r>
      <w:r w:rsidRPr="004F47BB">
        <w:rPr>
          <w:noProof/>
          <w:szCs w:val="20"/>
          <w:lang w:val="en-US" w:eastAsia="de-DE"/>
        </w:rPr>
        <w:t>In general, fire detectors located on the ceiling shall be at least 0,5 metres away from bulkheads. The maximum distance between fire detectors and bulkheads shall conform to the following table:</w:t>
      </w:r>
    </w:p>
    <w:p w:rsidR="004F47BB" w:rsidRPr="004F47BB" w:rsidRDefault="004F47BB" w:rsidP="004F47BB">
      <w:pPr>
        <w:tabs>
          <w:tab w:val="left" w:pos="426"/>
          <w:tab w:val="left" w:pos="709"/>
        </w:tabs>
        <w:autoSpaceDE/>
        <w:autoSpaceDN/>
        <w:spacing w:line="240" w:lineRule="atLeast"/>
        <w:ind w:left="709" w:hanging="709"/>
        <w:rPr>
          <w:szCs w:val="20"/>
          <w:lang w:val="en-US" w:eastAsia="de-DE"/>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18"/>
        <w:gridCol w:w="2041"/>
        <w:gridCol w:w="2041"/>
        <w:gridCol w:w="2041"/>
      </w:tblGrid>
      <w:tr w:rsidR="004F47BB" w:rsidRPr="00505433" w:rsidTr="00D45887">
        <w:trPr>
          <w:jc w:val="center"/>
        </w:trPr>
        <w:tc>
          <w:tcPr>
            <w:tcW w:w="1418" w:type="dxa"/>
          </w:tcPr>
          <w:p w:rsidR="004F47BB" w:rsidRPr="004F47BB" w:rsidRDefault="004F47BB" w:rsidP="004F47BB">
            <w:pPr>
              <w:tabs>
                <w:tab w:val="left" w:pos="426"/>
                <w:tab w:val="left" w:pos="709"/>
              </w:tabs>
              <w:autoSpaceDE/>
              <w:autoSpaceDN/>
              <w:spacing w:before="60" w:after="60" w:line="240" w:lineRule="atLeast"/>
              <w:ind w:left="0" w:firstLine="0"/>
              <w:jc w:val="center"/>
              <w:rPr>
                <w:noProof/>
                <w:sz w:val="18"/>
                <w:szCs w:val="18"/>
                <w:lang w:eastAsia="de-DE"/>
              </w:rPr>
            </w:pPr>
            <w:r w:rsidRPr="004F47BB">
              <w:rPr>
                <w:noProof/>
                <w:sz w:val="18"/>
                <w:szCs w:val="18"/>
                <w:lang w:eastAsia="de-DE"/>
              </w:rPr>
              <w:t>Type of fire detector</w:t>
            </w:r>
          </w:p>
        </w:tc>
        <w:tc>
          <w:tcPr>
            <w:tcW w:w="2041" w:type="dxa"/>
          </w:tcPr>
          <w:p w:rsidR="004F47BB" w:rsidRPr="004F47BB" w:rsidRDefault="004F47BB" w:rsidP="004F47BB">
            <w:pPr>
              <w:tabs>
                <w:tab w:val="left" w:pos="426"/>
                <w:tab w:val="left" w:pos="709"/>
              </w:tabs>
              <w:autoSpaceDE/>
              <w:autoSpaceDN/>
              <w:spacing w:before="60" w:after="60" w:line="240" w:lineRule="atLeast"/>
              <w:ind w:left="0" w:firstLine="0"/>
              <w:jc w:val="center"/>
              <w:rPr>
                <w:noProof/>
                <w:sz w:val="18"/>
                <w:szCs w:val="18"/>
                <w:lang w:val="en-US" w:eastAsia="de-DE"/>
              </w:rPr>
            </w:pPr>
            <w:r w:rsidRPr="004F47BB">
              <w:rPr>
                <w:noProof/>
                <w:sz w:val="18"/>
                <w:szCs w:val="18"/>
                <w:lang w:val="en-US" w:eastAsia="de-DE"/>
              </w:rPr>
              <w:t>Maximum floor surface area per fire detector</w:t>
            </w:r>
          </w:p>
        </w:tc>
        <w:tc>
          <w:tcPr>
            <w:tcW w:w="2041" w:type="dxa"/>
          </w:tcPr>
          <w:p w:rsidR="004F47BB" w:rsidRPr="004F47BB" w:rsidRDefault="004F47BB" w:rsidP="004F47BB">
            <w:pPr>
              <w:tabs>
                <w:tab w:val="left" w:pos="426"/>
                <w:tab w:val="left" w:pos="709"/>
              </w:tabs>
              <w:autoSpaceDE/>
              <w:autoSpaceDN/>
              <w:spacing w:before="60" w:after="60" w:line="240" w:lineRule="atLeast"/>
              <w:ind w:left="0" w:firstLine="0"/>
              <w:jc w:val="center"/>
              <w:rPr>
                <w:noProof/>
                <w:sz w:val="18"/>
                <w:szCs w:val="18"/>
                <w:lang w:val="en-US" w:eastAsia="de-DE"/>
              </w:rPr>
            </w:pPr>
            <w:r w:rsidRPr="004F47BB">
              <w:rPr>
                <w:noProof/>
                <w:sz w:val="18"/>
                <w:szCs w:val="18"/>
                <w:lang w:val="en-US" w:eastAsia="de-DE"/>
              </w:rPr>
              <w:t>Maximum distance between fire detectors</w:t>
            </w:r>
          </w:p>
        </w:tc>
        <w:tc>
          <w:tcPr>
            <w:tcW w:w="2041" w:type="dxa"/>
          </w:tcPr>
          <w:p w:rsidR="004F47BB" w:rsidRPr="004F47BB" w:rsidRDefault="004F47BB" w:rsidP="004F47BB">
            <w:pPr>
              <w:tabs>
                <w:tab w:val="left" w:pos="426"/>
                <w:tab w:val="left" w:pos="709"/>
              </w:tabs>
              <w:autoSpaceDE/>
              <w:autoSpaceDN/>
              <w:spacing w:before="60" w:after="60" w:line="240" w:lineRule="atLeast"/>
              <w:ind w:left="0" w:firstLine="0"/>
              <w:jc w:val="center"/>
              <w:rPr>
                <w:noProof/>
                <w:sz w:val="18"/>
                <w:szCs w:val="18"/>
                <w:lang w:val="en-US" w:eastAsia="de-DE"/>
              </w:rPr>
            </w:pPr>
            <w:r w:rsidRPr="004F47BB">
              <w:rPr>
                <w:noProof/>
                <w:sz w:val="18"/>
                <w:szCs w:val="18"/>
                <w:lang w:val="en-US" w:eastAsia="de-DE"/>
              </w:rPr>
              <w:t>Maximum distance of fire detectors from bulkheads</w:t>
            </w:r>
          </w:p>
        </w:tc>
      </w:tr>
      <w:tr w:rsidR="004F47BB" w:rsidRPr="004F47BB" w:rsidTr="00D45887">
        <w:trPr>
          <w:jc w:val="center"/>
        </w:trPr>
        <w:tc>
          <w:tcPr>
            <w:tcW w:w="1418" w:type="dxa"/>
            <w:vAlign w:val="center"/>
          </w:tcPr>
          <w:p w:rsidR="004F47BB" w:rsidRPr="004F47BB" w:rsidRDefault="004F47BB" w:rsidP="004F47BB">
            <w:pPr>
              <w:tabs>
                <w:tab w:val="left" w:pos="426"/>
                <w:tab w:val="left" w:pos="709"/>
              </w:tabs>
              <w:autoSpaceDE/>
              <w:autoSpaceDN/>
              <w:spacing w:before="60" w:after="60" w:line="240" w:lineRule="atLeast"/>
              <w:ind w:left="709" w:hanging="709"/>
              <w:jc w:val="center"/>
              <w:rPr>
                <w:sz w:val="18"/>
                <w:szCs w:val="18"/>
                <w:lang w:eastAsia="de-DE"/>
              </w:rPr>
            </w:pPr>
            <w:r w:rsidRPr="004F47BB">
              <w:rPr>
                <w:noProof/>
                <w:sz w:val="18"/>
                <w:szCs w:val="18"/>
                <w:lang w:eastAsia="de-DE"/>
              </w:rPr>
              <w:t>Heat</w:t>
            </w:r>
          </w:p>
        </w:tc>
        <w:tc>
          <w:tcPr>
            <w:tcW w:w="2041" w:type="dxa"/>
            <w:vAlign w:val="center"/>
          </w:tcPr>
          <w:p w:rsidR="004F47BB" w:rsidRPr="004F47BB" w:rsidRDefault="004F47BB" w:rsidP="004F47BB">
            <w:pPr>
              <w:tabs>
                <w:tab w:val="left" w:pos="426"/>
                <w:tab w:val="left" w:pos="709"/>
              </w:tabs>
              <w:autoSpaceDE/>
              <w:autoSpaceDN/>
              <w:spacing w:before="60" w:after="60" w:line="240" w:lineRule="atLeast"/>
              <w:ind w:left="709" w:hanging="709"/>
              <w:jc w:val="center"/>
              <w:rPr>
                <w:sz w:val="18"/>
                <w:szCs w:val="18"/>
                <w:lang w:eastAsia="de-DE"/>
              </w:rPr>
            </w:pPr>
            <w:r w:rsidRPr="004F47BB">
              <w:rPr>
                <w:noProof/>
                <w:sz w:val="18"/>
                <w:szCs w:val="18"/>
                <w:lang w:eastAsia="de-DE"/>
              </w:rPr>
              <w:t>37 m</w:t>
            </w:r>
            <w:r w:rsidRPr="004F47BB">
              <w:rPr>
                <w:noProof/>
                <w:position w:val="6"/>
                <w:sz w:val="14"/>
                <w:szCs w:val="14"/>
                <w:lang w:eastAsia="de-DE"/>
              </w:rPr>
              <w:t>2</w:t>
            </w:r>
          </w:p>
        </w:tc>
        <w:tc>
          <w:tcPr>
            <w:tcW w:w="2041" w:type="dxa"/>
            <w:vAlign w:val="center"/>
          </w:tcPr>
          <w:p w:rsidR="004F47BB" w:rsidRPr="004F47BB" w:rsidRDefault="004F47BB" w:rsidP="004F47BB">
            <w:pPr>
              <w:tabs>
                <w:tab w:val="left" w:pos="426"/>
                <w:tab w:val="left" w:pos="709"/>
              </w:tabs>
              <w:autoSpaceDE/>
              <w:autoSpaceDN/>
              <w:spacing w:before="60" w:after="60" w:line="240" w:lineRule="atLeast"/>
              <w:ind w:left="709" w:hanging="709"/>
              <w:jc w:val="center"/>
              <w:rPr>
                <w:sz w:val="18"/>
                <w:szCs w:val="18"/>
                <w:lang w:eastAsia="de-DE"/>
              </w:rPr>
            </w:pPr>
            <w:r w:rsidRPr="004F47BB">
              <w:rPr>
                <w:noProof/>
                <w:sz w:val="18"/>
                <w:szCs w:val="18"/>
                <w:lang w:eastAsia="de-DE"/>
              </w:rPr>
              <w:t>9 m</w:t>
            </w:r>
          </w:p>
        </w:tc>
        <w:tc>
          <w:tcPr>
            <w:tcW w:w="2041" w:type="dxa"/>
            <w:vAlign w:val="center"/>
          </w:tcPr>
          <w:p w:rsidR="004F47BB" w:rsidRPr="004F47BB" w:rsidRDefault="004F47BB" w:rsidP="004F47BB">
            <w:pPr>
              <w:tabs>
                <w:tab w:val="left" w:pos="426"/>
                <w:tab w:val="left" w:pos="709"/>
              </w:tabs>
              <w:autoSpaceDE/>
              <w:autoSpaceDN/>
              <w:spacing w:before="60" w:after="60" w:line="240" w:lineRule="atLeast"/>
              <w:ind w:left="709" w:hanging="709"/>
              <w:jc w:val="center"/>
              <w:rPr>
                <w:sz w:val="18"/>
                <w:szCs w:val="18"/>
                <w:lang w:eastAsia="de-DE"/>
              </w:rPr>
            </w:pPr>
            <w:r w:rsidRPr="004F47BB">
              <w:rPr>
                <w:noProof/>
                <w:sz w:val="18"/>
                <w:szCs w:val="18"/>
                <w:lang w:eastAsia="de-DE"/>
              </w:rPr>
              <w:t>4,5 m</w:t>
            </w:r>
          </w:p>
        </w:tc>
      </w:tr>
      <w:tr w:rsidR="004F47BB" w:rsidRPr="004F47BB" w:rsidTr="00D45887">
        <w:trPr>
          <w:jc w:val="center"/>
        </w:trPr>
        <w:tc>
          <w:tcPr>
            <w:tcW w:w="1418" w:type="dxa"/>
            <w:vAlign w:val="center"/>
          </w:tcPr>
          <w:p w:rsidR="004F47BB" w:rsidRPr="004F47BB" w:rsidRDefault="004F47BB" w:rsidP="004F47BB">
            <w:pPr>
              <w:tabs>
                <w:tab w:val="left" w:pos="426"/>
                <w:tab w:val="left" w:pos="709"/>
              </w:tabs>
              <w:autoSpaceDE/>
              <w:autoSpaceDN/>
              <w:spacing w:before="60" w:after="60" w:line="240" w:lineRule="atLeast"/>
              <w:ind w:left="709" w:hanging="709"/>
              <w:jc w:val="center"/>
              <w:rPr>
                <w:sz w:val="18"/>
                <w:szCs w:val="18"/>
                <w:lang w:eastAsia="de-DE"/>
              </w:rPr>
            </w:pPr>
            <w:r w:rsidRPr="004F47BB">
              <w:rPr>
                <w:noProof/>
                <w:sz w:val="18"/>
                <w:szCs w:val="18"/>
                <w:lang w:eastAsia="de-DE"/>
              </w:rPr>
              <w:t>Smoke</w:t>
            </w:r>
          </w:p>
        </w:tc>
        <w:tc>
          <w:tcPr>
            <w:tcW w:w="2041" w:type="dxa"/>
            <w:vAlign w:val="center"/>
          </w:tcPr>
          <w:p w:rsidR="004F47BB" w:rsidRPr="004F47BB" w:rsidRDefault="004F47BB" w:rsidP="004F47BB">
            <w:pPr>
              <w:tabs>
                <w:tab w:val="left" w:pos="426"/>
                <w:tab w:val="left" w:pos="709"/>
              </w:tabs>
              <w:autoSpaceDE/>
              <w:autoSpaceDN/>
              <w:spacing w:before="60" w:after="60" w:line="240" w:lineRule="atLeast"/>
              <w:ind w:left="709" w:hanging="709"/>
              <w:jc w:val="center"/>
              <w:rPr>
                <w:sz w:val="18"/>
                <w:szCs w:val="18"/>
                <w:lang w:eastAsia="de-DE"/>
              </w:rPr>
            </w:pPr>
            <w:r w:rsidRPr="004F47BB">
              <w:rPr>
                <w:noProof/>
                <w:sz w:val="18"/>
                <w:szCs w:val="18"/>
                <w:lang w:eastAsia="de-DE"/>
              </w:rPr>
              <w:t>74 m</w:t>
            </w:r>
            <w:r w:rsidRPr="004F47BB">
              <w:rPr>
                <w:noProof/>
                <w:position w:val="6"/>
                <w:sz w:val="14"/>
                <w:szCs w:val="14"/>
                <w:lang w:eastAsia="de-DE"/>
              </w:rPr>
              <w:t>2</w:t>
            </w:r>
          </w:p>
        </w:tc>
        <w:tc>
          <w:tcPr>
            <w:tcW w:w="2041" w:type="dxa"/>
            <w:vAlign w:val="center"/>
          </w:tcPr>
          <w:p w:rsidR="004F47BB" w:rsidRPr="004F47BB" w:rsidRDefault="004F47BB" w:rsidP="004F47BB">
            <w:pPr>
              <w:tabs>
                <w:tab w:val="left" w:pos="426"/>
                <w:tab w:val="left" w:pos="709"/>
              </w:tabs>
              <w:autoSpaceDE/>
              <w:autoSpaceDN/>
              <w:spacing w:before="60" w:after="60" w:line="240" w:lineRule="atLeast"/>
              <w:ind w:left="709" w:hanging="709"/>
              <w:jc w:val="center"/>
              <w:rPr>
                <w:sz w:val="18"/>
                <w:szCs w:val="18"/>
                <w:lang w:eastAsia="de-DE"/>
              </w:rPr>
            </w:pPr>
            <w:r w:rsidRPr="004F47BB">
              <w:rPr>
                <w:noProof/>
                <w:sz w:val="18"/>
                <w:szCs w:val="18"/>
                <w:lang w:eastAsia="de-DE"/>
              </w:rPr>
              <w:t>11 m</w:t>
            </w:r>
          </w:p>
        </w:tc>
        <w:tc>
          <w:tcPr>
            <w:tcW w:w="2041" w:type="dxa"/>
            <w:vAlign w:val="center"/>
          </w:tcPr>
          <w:p w:rsidR="004F47BB" w:rsidRPr="004F47BB" w:rsidRDefault="004F47BB" w:rsidP="004F47BB">
            <w:pPr>
              <w:tabs>
                <w:tab w:val="left" w:pos="426"/>
                <w:tab w:val="left" w:pos="709"/>
              </w:tabs>
              <w:autoSpaceDE/>
              <w:autoSpaceDN/>
              <w:spacing w:before="60" w:after="60" w:line="240" w:lineRule="atLeast"/>
              <w:ind w:left="709" w:hanging="709"/>
              <w:jc w:val="center"/>
              <w:rPr>
                <w:sz w:val="18"/>
                <w:szCs w:val="18"/>
                <w:lang w:eastAsia="de-DE"/>
              </w:rPr>
            </w:pPr>
            <w:r w:rsidRPr="004F47BB">
              <w:rPr>
                <w:noProof/>
                <w:sz w:val="18"/>
                <w:szCs w:val="18"/>
                <w:lang w:eastAsia="de-DE"/>
              </w:rPr>
              <w:t>5,5 m</w:t>
            </w:r>
          </w:p>
        </w:tc>
      </w:tr>
    </w:tbl>
    <w:p w:rsidR="004F47BB" w:rsidRPr="004F47BB" w:rsidRDefault="004F47BB" w:rsidP="004F47BB">
      <w:pPr>
        <w:tabs>
          <w:tab w:val="left" w:pos="426"/>
          <w:tab w:val="left" w:pos="709"/>
        </w:tabs>
        <w:autoSpaceDE/>
        <w:autoSpaceDN/>
        <w:spacing w:line="240" w:lineRule="atLeast"/>
        <w:ind w:left="709" w:hanging="709"/>
        <w:rPr>
          <w:szCs w:val="20"/>
          <w:lang w:eastAsia="de-DE"/>
        </w:rPr>
      </w:pPr>
    </w:p>
    <w:p w:rsidR="004F47BB" w:rsidRPr="004F47BB" w:rsidRDefault="004F47BB" w:rsidP="004F47BB">
      <w:pPr>
        <w:tabs>
          <w:tab w:val="left" w:pos="709"/>
        </w:tabs>
        <w:autoSpaceDE/>
        <w:autoSpaceDN/>
        <w:spacing w:line="240" w:lineRule="atLeast"/>
        <w:ind w:left="709" w:firstLine="0"/>
        <w:rPr>
          <w:szCs w:val="20"/>
          <w:lang w:val="en-US" w:eastAsia="de-DE"/>
        </w:rPr>
      </w:pPr>
      <w:r w:rsidRPr="004F47BB">
        <w:rPr>
          <w:noProof/>
          <w:szCs w:val="20"/>
          <w:lang w:val="en-US" w:eastAsia="de-DE"/>
        </w:rPr>
        <w:t>The inspection body may stipulate or approve other distances on the basis of tests which prove the characteristics of the detectors.</w:t>
      </w:r>
    </w:p>
    <w:p w:rsidR="004F47BB" w:rsidRPr="004F47BB" w:rsidRDefault="004F47BB" w:rsidP="004F47BB">
      <w:pPr>
        <w:tabs>
          <w:tab w:val="left" w:pos="426"/>
          <w:tab w:val="left" w:pos="709"/>
        </w:tabs>
        <w:autoSpaceDE/>
        <w:autoSpaceDN/>
        <w:spacing w:line="240" w:lineRule="atLeast"/>
        <w:ind w:left="709" w:hanging="709"/>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2.3</w:t>
      </w:r>
      <w:r w:rsidRPr="004F47BB">
        <w:rPr>
          <w:szCs w:val="20"/>
          <w:lang w:val="en-US" w:eastAsia="de-DE"/>
        </w:rPr>
        <w:tab/>
      </w:r>
      <w:r w:rsidRPr="004F47BB">
        <w:rPr>
          <w:noProof/>
          <w:szCs w:val="20"/>
          <w:lang w:val="en-US" w:eastAsia="de-DE"/>
        </w:rPr>
        <w:t>The routing of electric cables for the fire alarm system through engine rooms and boiler rooms or other high fire risk areas is not permitted unless this is necessary for fire detection in those areas or connection to the corresponding power supply.</w:t>
      </w:r>
    </w:p>
    <w:p w:rsidR="004F47BB" w:rsidRPr="004F47BB" w:rsidRDefault="004F47BB" w:rsidP="004F47BB">
      <w:pPr>
        <w:tabs>
          <w:tab w:val="left" w:pos="426"/>
          <w:tab w:val="left" w:pos="709"/>
        </w:tabs>
        <w:autoSpaceDE/>
        <w:autoSpaceDN/>
        <w:spacing w:line="240" w:lineRule="atLeast"/>
        <w:ind w:left="709" w:hanging="709"/>
        <w:rPr>
          <w:b/>
          <w:bCs/>
          <w:szCs w:val="20"/>
          <w:lang w:val="en-US" w:eastAsia="de-DE"/>
        </w:rPr>
      </w:pPr>
    </w:p>
    <w:p w:rsidR="004F47BB" w:rsidRPr="004F47BB" w:rsidRDefault="004F47BB" w:rsidP="004F47BB">
      <w:pPr>
        <w:tabs>
          <w:tab w:val="left" w:pos="426"/>
          <w:tab w:val="left" w:pos="709"/>
        </w:tabs>
        <w:autoSpaceDE/>
        <w:autoSpaceDN/>
        <w:spacing w:line="240" w:lineRule="atLeast"/>
        <w:ind w:left="709" w:hanging="709"/>
        <w:rPr>
          <w:b/>
          <w:bCs/>
          <w:szCs w:val="20"/>
          <w:lang w:val="en-US" w:eastAsia="de-DE"/>
        </w:rPr>
      </w:pPr>
      <w:r w:rsidRPr="004F47BB">
        <w:rPr>
          <w:b/>
          <w:bCs/>
          <w:szCs w:val="20"/>
          <w:lang w:val="en-US" w:eastAsia="de-DE"/>
        </w:rPr>
        <w:br w:type="page"/>
      </w:r>
    </w:p>
    <w:p w:rsidR="004F47BB" w:rsidRPr="004F47BB" w:rsidRDefault="004F47BB" w:rsidP="004F47BB">
      <w:pPr>
        <w:tabs>
          <w:tab w:val="left" w:pos="709"/>
        </w:tabs>
        <w:autoSpaceDE/>
        <w:autoSpaceDN/>
        <w:spacing w:line="240" w:lineRule="atLeast"/>
        <w:ind w:left="709" w:hanging="709"/>
        <w:rPr>
          <w:b/>
          <w:bCs/>
          <w:szCs w:val="20"/>
          <w:lang w:val="en-US" w:eastAsia="de-DE"/>
        </w:rPr>
      </w:pPr>
      <w:r w:rsidRPr="004F47BB">
        <w:rPr>
          <w:b/>
          <w:bCs/>
          <w:szCs w:val="20"/>
          <w:lang w:val="en-US" w:eastAsia="de-DE"/>
        </w:rPr>
        <w:lastRenderedPageBreak/>
        <w:t>3.</w:t>
      </w:r>
      <w:r w:rsidRPr="004F47BB">
        <w:rPr>
          <w:b/>
          <w:bCs/>
          <w:szCs w:val="20"/>
          <w:lang w:val="en-US" w:eastAsia="de-DE"/>
        </w:rPr>
        <w:tab/>
        <w:t>Acceptance test</w:t>
      </w:r>
    </w:p>
    <w:p w:rsidR="004F47BB" w:rsidRPr="004F47BB" w:rsidRDefault="004F47BB" w:rsidP="004F47BB">
      <w:pPr>
        <w:tabs>
          <w:tab w:val="left" w:pos="1559"/>
        </w:tabs>
        <w:autoSpaceDE/>
        <w:autoSpaceDN/>
        <w:spacing w:line="240" w:lineRule="atLeast"/>
        <w:ind w:left="1560" w:hanging="709"/>
        <w:rPr>
          <w:szCs w:val="20"/>
          <w:lang w:val="en-US" w:eastAsia="de-DE" w:bidi="th-TH"/>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3.1</w:t>
      </w:r>
      <w:r w:rsidRPr="004F47BB">
        <w:rPr>
          <w:szCs w:val="20"/>
          <w:lang w:val="en-US" w:eastAsia="de-DE"/>
        </w:rPr>
        <w:tab/>
      </w:r>
      <w:r w:rsidRPr="004F47BB">
        <w:rPr>
          <w:rFonts w:cs="Arial"/>
          <w:szCs w:val="20"/>
          <w:lang w:val="en-US" w:eastAsia="de-DE"/>
        </w:rPr>
        <w:t>Fire alarm systems must be checked by an expert:</w:t>
      </w:r>
    </w:p>
    <w:p w:rsidR="004F47BB" w:rsidRPr="004F47BB" w:rsidRDefault="004F47BB" w:rsidP="004F47BB">
      <w:pPr>
        <w:autoSpaceDE/>
        <w:autoSpaceDN/>
        <w:spacing w:before="60" w:line="240" w:lineRule="atLeast"/>
        <w:ind w:left="1134"/>
        <w:rPr>
          <w:szCs w:val="20"/>
          <w:lang w:val="en-US" w:eastAsia="de-DE" w:bidi="th-TH"/>
        </w:rPr>
      </w:pPr>
      <w:r w:rsidRPr="004F47BB">
        <w:rPr>
          <w:noProof/>
          <w:szCs w:val="20"/>
          <w:lang w:val="en-US" w:eastAsia="de-DE" w:bidi="th-TH"/>
        </w:rPr>
        <w:t>a)</w:t>
      </w:r>
      <w:r w:rsidRPr="004F47BB">
        <w:rPr>
          <w:szCs w:val="20"/>
          <w:lang w:val="en-US" w:eastAsia="de-DE" w:bidi="th-TH"/>
        </w:rPr>
        <w:tab/>
      </w:r>
      <w:r w:rsidRPr="004F47BB">
        <w:rPr>
          <w:noProof/>
          <w:szCs w:val="20"/>
          <w:lang w:val="en-US" w:eastAsia="de-DE" w:bidi="th-TH"/>
        </w:rPr>
        <w:t>before being put into service for the first time,</w:t>
      </w:r>
    </w:p>
    <w:p w:rsidR="004F47BB" w:rsidRPr="004F47BB" w:rsidRDefault="004F47BB" w:rsidP="004F47BB">
      <w:pPr>
        <w:autoSpaceDE/>
        <w:autoSpaceDN/>
        <w:spacing w:before="60" w:line="240" w:lineRule="atLeast"/>
        <w:ind w:left="1134"/>
        <w:rPr>
          <w:szCs w:val="20"/>
          <w:lang w:val="en-US" w:eastAsia="de-DE" w:bidi="th-TH"/>
        </w:rPr>
      </w:pPr>
      <w:r w:rsidRPr="004F47BB">
        <w:rPr>
          <w:noProof/>
          <w:szCs w:val="20"/>
          <w:lang w:val="en-US" w:eastAsia="de-DE" w:bidi="th-TH"/>
        </w:rPr>
        <w:t>b)</w:t>
      </w:r>
      <w:r w:rsidRPr="004F47BB">
        <w:rPr>
          <w:szCs w:val="20"/>
          <w:lang w:val="en-US" w:eastAsia="de-DE" w:bidi="th-TH"/>
        </w:rPr>
        <w:tab/>
      </w:r>
      <w:r w:rsidRPr="004F47BB">
        <w:rPr>
          <w:rFonts w:cs="Arial"/>
          <w:szCs w:val="20"/>
          <w:lang w:val="en-US" w:eastAsia="de-DE"/>
        </w:rPr>
        <w:t>before being put back into service after any major modification or repair,</w:t>
      </w:r>
    </w:p>
    <w:p w:rsidR="004F47BB" w:rsidRPr="004F47BB" w:rsidRDefault="004F47BB" w:rsidP="004F47BB">
      <w:pPr>
        <w:autoSpaceDE/>
        <w:autoSpaceDN/>
        <w:spacing w:before="60" w:line="240" w:lineRule="atLeast"/>
        <w:ind w:left="1134"/>
        <w:rPr>
          <w:szCs w:val="20"/>
          <w:lang w:val="en-US" w:eastAsia="de-DE" w:bidi="th-TH"/>
        </w:rPr>
      </w:pPr>
      <w:r w:rsidRPr="004F47BB">
        <w:rPr>
          <w:noProof/>
          <w:szCs w:val="20"/>
          <w:lang w:val="en-US" w:eastAsia="de-DE" w:bidi="th-TH"/>
        </w:rPr>
        <w:t>c)</w:t>
      </w:r>
      <w:r w:rsidRPr="004F47BB">
        <w:rPr>
          <w:szCs w:val="20"/>
          <w:lang w:val="en-US" w:eastAsia="de-DE" w:bidi="th-TH"/>
        </w:rPr>
        <w:tab/>
      </w:r>
      <w:r w:rsidRPr="004F47BB">
        <w:rPr>
          <w:rFonts w:cs="Arial"/>
          <w:szCs w:val="20"/>
          <w:lang w:val="en-US" w:eastAsia="de-DE"/>
        </w:rPr>
        <w:t>regularly, at least every two years.</w:t>
      </w:r>
    </w:p>
    <w:p w:rsidR="004F47BB" w:rsidRPr="004F47BB" w:rsidRDefault="004F47BB" w:rsidP="004F47BB">
      <w:pPr>
        <w:tabs>
          <w:tab w:val="left" w:pos="709"/>
        </w:tabs>
        <w:autoSpaceDE/>
        <w:autoSpaceDN/>
        <w:spacing w:before="60" w:line="240" w:lineRule="atLeast"/>
        <w:ind w:left="709" w:firstLine="0"/>
        <w:rPr>
          <w:szCs w:val="20"/>
          <w:lang w:val="en-US" w:eastAsia="de-DE"/>
        </w:rPr>
      </w:pPr>
      <w:r w:rsidRPr="004F47BB">
        <w:rPr>
          <w:rFonts w:cs="Arial"/>
          <w:szCs w:val="20"/>
          <w:lang w:val="en-US" w:eastAsia="de-DE"/>
        </w:rPr>
        <w:t>In the case of engine rooms and boiler rooms these checks shall be made under various machine operation conditions and under changing ventilation conditions. Inspections as referred to in subsection (c) above may also be carried out by a competent person from a competent firm specialising in fire extinguishing systems.</w:t>
      </w:r>
    </w:p>
    <w:p w:rsidR="004F47BB" w:rsidRPr="004F47BB" w:rsidRDefault="004F47BB" w:rsidP="004F47BB">
      <w:pPr>
        <w:tabs>
          <w:tab w:val="left" w:pos="709"/>
        </w:tabs>
        <w:autoSpaceDE/>
        <w:autoSpaceDN/>
        <w:spacing w:line="240" w:lineRule="atLeast"/>
        <w:ind w:left="709" w:hanging="709"/>
        <w:rPr>
          <w:szCs w:val="20"/>
          <w:lang w:val="en-US" w:eastAsia="de-DE"/>
        </w:rPr>
      </w:pPr>
    </w:p>
    <w:p w:rsidR="004F47BB" w:rsidRPr="004F47BB" w:rsidRDefault="004F47BB" w:rsidP="004F47BB">
      <w:pPr>
        <w:tabs>
          <w:tab w:val="left" w:pos="709"/>
        </w:tabs>
        <w:autoSpaceDE/>
        <w:autoSpaceDN/>
        <w:spacing w:line="240" w:lineRule="atLeast"/>
        <w:ind w:left="709" w:hanging="709"/>
        <w:rPr>
          <w:szCs w:val="20"/>
          <w:lang w:val="en-US" w:eastAsia="de-DE"/>
        </w:rPr>
      </w:pPr>
      <w:r w:rsidRPr="004F47BB">
        <w:rPr>
          <w:szCs w:val="20"/>
          <w:lang w:val="en-US" w:eastAsia="de-DE"/>
        </w:rPr>
        <w:t>3.2</w:t>
      </w:r>
      <w:r w:rsidRPr="004F47BB">
        <w:rPr>
          <w:szCs w:val="20"/>
          <w:lang w:val="en-US" w:eastAsia="de-DE"/>
        </w:rPr>
        <w:tab/>
      </w:r>
      <w:r w:rsidRPr="004F47BB">
        <w:rPr>
          <w:rFonts w:cs="Arial"/>
          <w:szCs w:val="20"/>
          <w:lang w:val="en-US" w:eastAsia="de-DE"/>
        </w:rPr>
        <w:t>An inspection certificate shall be issued, signed by the expert or competent person and showing the date of the inspection</w:t>
      </w:r>
    </w:p>
    <w:p w:rsidR="004F47BB" w:rsidRPr="004F47BB" w:rsidRDefault="004F47BB" w:rsidP="004F47BB">
      <w:pPr>
        <w:tabs>
          <w:tab w:val="left" w:pos="709"/>
        </w:tabs>
        <w:autoSpaceDE/>
        <w:autoSpaceDN/>
        <w:ind w:left="709" w:hanging="709"/>
        <w:rPr>
          <w:rFonts w:cs="Arial"/>
          <w:noProof/>
          <w:szCs w:val="20"/>
          <w:lang w:val="en-US" w:eastAsia="de-DE"/>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r w:rsidRPr="004F47BB">
        <w:rPr>
          <w:szCs w:val="20"/>
          <w:lang w:val="en-US"/>
        </w:rPr>
        <w:br w:type="page"/>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sectPr w:rsidR="004F47BB" w:rsidRPr="004F47BB" w:rsidSect="00D45887">
          <w:footnotePr>
            <w:numRestart w:val="eachPage"/>
          </w:footnotePr>
          <w:pgSz w:w="11907" w:h="16840" w:code="9"/>
          <w:pgMar w:top="1418" w:right="1418" w:bottom="1418" w:left="1418" w:header="680" w:footer="680" w:gutter="0"/>
          <w:cols w:space="720"/>
          <w:docGrid w:linePitch="326"/>
        </w:sectPr>
      </w:pPr>
    </w:p>
    <w:p w:rsidR="004F47BB" w:rsidRPr="004F47BB" w:rsidRDefault="004F47BB" w:rsidP="003F3DE1">
      <w:pPr>
        <w:pStyle w:val="ES-Titre2ESI"/>
      </w:pPr>
      <w:bookmarkStart w:id="403" w:name="_Toc491854362"/>
      <w:r w:rsidRPr="004F47BB">
        <w:lastRenderedPageBreak/>
        <w:t>ESI-II-13</w:t>
      </w:r>
      <w:r w:rsidRPr="004F47BB">
        <w:br/>
      </w:r>
      <w:r w:rsidR="00562D2E" w:rsidRPr="004F47BB">
        <w:rPr>
          <w:snapToGrid w:val="0"/>
        </w:rPr>
        <w:t>(Left void)</w:t>
      </w:r>
      <w:bookmarkEnd w:id="403"/>
    </w:p>
    <w:p w:rsidR="004F47BB" w:rsidRDefault="004F47BB" w:rsidP="004F47BB">
      <w:pPr>
        <w:overflowPunct w:val="0"/>
        <w:adjustRightInd w:val="0"/>
        <w:ind w:left="0" w:firstLine="0"/>
        <w:jc w:val="left"/>
        <w:textAlignment w:val="baseline"/>
        <w:rPr>
          <w:szCs w:val="20"/>
          <w:lang w:val="en-US"/>
        </w:rPr>
      </w:pPr>
    </w:p>
    <w:p w:rsidR="00562D2E" w:rsidRDefault="00562D2E"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r w:rsidRPr="004F47BB">
        <w:rPr>
          <w:szCs w:val="20"/>
          <w:lang w:val="en-US"/>
        </w:rPr>
        <w:br w:type="page"/>
      </w:r>
    </w:p>
    <w:p w:rsidR="004F47BB" w:rsidRDefault="004F47BB" w:rsidP="004F47BB">
      <w:pPr>
        <w:overflowPunct w:val="0"/>
        <w:adjustRightInd w:val="0"/>
        <w:ind w:left="0" w:firstLine="0"/>
        <w:jc w:val="left"/>
        <w:textAlignment w:val="baseline"/>
        <w:rPr>
          <w:szCs w:val="20"/>
          <w:lang w:val="en-US"/>
        </w:rPr>
      </w:pPr>
    </w:p>
    <w:p w:rsidR="004C02DF" w:rsidRPr="004F47BB" w:rsidRDefault="004C02DF"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sectPr w:rsidR="004F47BB" w:rsidRPr="004F47BB" w:rsidSect="00D45887">
          <w:footnotePr>
            <w:numRestart w:val="eachPage"/>
          </w:footnotePr>
          <w:pgSz w:w="11907" w:h="16840" w:code="9"/>
          <w:pgMar w:top="1418" w:right="1418" w:bottom="1418" w:left="1418" w:header="680" w:footer="680" w:gutter="0"/>
          <w:cols w:space="720"/>
          <w:docGrid w:linePitch="326"/>
        </w:sectPr>
      </w:pPr>
    </w:p>
    <w:p w:rsidR="004F47BB" w:rsidRPr="004F47BB" w:rsidRDefault="004F47BB" w:rsidP="00A84512">
      <w:pPr>
        <w:pStyle w:val="ES-Titre1"/>
      </w:pPr>
      <w:bookmarkStart w:id="404" w:name="_Toc491854363"/>
      <w:r w:rsidRPr="004F47BB">
        <w:lastRenderedPageBreak/>
        <w:t>PART III</w:t>
      </w:r>
      <w:r w:rsidRPr="004F47BB">
        <w:br/>
        <w:t>SPECIAL PROVISIONS</w:t>
      </w:r>
      <w:bookmarkEnd w:id="404"/>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A84512">
      <w:pPr>
        <w:pStyle w:val="ES-Titre2ESI"/>
        <w:rPr>
          <w:szCs w:val="20"/>
        </w:rPr>
      </w:pPr>
      <w:bookmarkStart w:id="405" w:name="_Toc491854364"/>
      <w:r w:rsidRPr="004F47BB">
        <w:t>ESI-III-1</w:t>
      </w:r>
      <w:r w:rsidRPr="004F47BB">
        <w:br/>
      </w:r>
      <w:r w:rsidRPr="004F47BB">
        <w:rPr>
          <w:noProof/>
        </w:rPr>
        <w:t>Application of Chapter 19 requirements</w:t>
      </w:r>
      <w:bookmarkEnd w:id="405"/>
    </w:p>
    <w:p w:rsidR="004F47BB" w:rsidRPr="004F47BB" w:rsidRDefault="004F47BB" w:rsidP="004F47BB">
      <w:pPr>
        <w:overflowPunct w:val="0"/>
        <w:adjustRightInd w:val="0"/>
        <w:ind w:left="1843"/>
        <w:jc w:val="left"/>
        <w:textAlignment w:val="baseline"/>
        <w:rPr>
          <w:b/>
          <w:bCs/>
          <w:i/>
          <w:noProof/>
          <w:sz w:val="24"/>
          <w:lang w:val="en-US"/>
        </w:rPr>
      </w:pPr>
      <w:r w:rsidRPr="004F47BB">
        <w:rPr>
          <w:b/>
          <w:i/>
          <w:sz w:val="24"/>
          <w:szCs w:val="20"/>
          <w:lang w:val="en-US"/>
        </w:rPr>
        <w:t>-</w:t>
      </w:r>
      <w:r w:rsidRPr="004F47BB">
        <w:rPr>
          <w:b/>
          <w:i/>
          <w:sz w:val="24"/>
          <w:szCs w:val="20"/>
          <w:lang w:val="en-US"/>
        </w:rPr>
        <w:tab/>
      </w:r>
      <w:r w:rsidRPr="004F47BB">
        <w:rPr>
          <w:b/>
          <w:bCs/>
          <w:i/>
          <w:noProof/>
          <w:sz w:val="24"/>
          <w:lang w:val="en-US"/>
        </w:rPr>
        <w:t>Local subdivisions</w:t>
      </w:r>
    </w:p>
    <w:p w:rsidR="004F47BB" w:rsidRPr="004F47BB" w:rsidRDefault="004F47BB" w:rsidP="004F47BB">
      <w:pPr>
        <w:overflowPunct w:val="0"/>
        <w:adjustRightInd w:val="0"/>
        <w:ind w:left="1843"/>
        <w:jc w:val="left"/>
        <w:textAlignment w:val="baseline"/>
        <w:rPr>
          <w:b/>
          <w:i/>
          <w:sz w:val="24"/>
          <w:szCs w:val="20"/>
          <w:lang w:val="en-US"/>
        </w:rPr>
      </w:pPr>
      <w:r w:rsidRPr="004F47BB">
        <w:rPr>
          <w:b/>
          <w:bCs/>
          <w:i/>
          <w:noProof/>
          <w:sz w:val="24"/>
          <w:lang w:val="en-US"/>
        </w:rPr>
        <w:t>-</w:t>
      </w:r>
      <w:r w:rsidRPr="004F47BB">
        <w:rPr>
          <w:b/>
          <w:bCs/>
          <w:i/>
          <w:noProof/>
          <w:sz w:val="24"/>
          <w:lang w:val="en-US"/>
        </w:rPr>
        <w:tab/>
        <w:t>Transitional provisions for enclosures made with</w:t>
      </w:r>
      <w:r w:rsidRPr="004F47BB">
        <w:rPr>
          <w:lang w:val="en-US"/>
        </w:rPr>
        <w:t xml:space="preserve"> </w:t>
      </w:r>
      <w:r w:rsidRPr="004F47BB">
        <w:rPr>
          <w:b/>
          <w:bCs/>
          <w:i/>
          <w:noProof/>
          <w:sz w:val="24"/>
          <w:lang w:val="en-US"/>
        </w:rPr>
        <w:t>awnings or similar mobile installations</w:t>
      </w:r>
    </w:p>
    <w:p w:rsidR="004F47BB" w:rsidRPr="004F47BB" w:rsidRDefault="004F47BB" w:rsidP="004F47BB">
      <w:pPr>
        <w:spacing w:line="240" w:lineRule="atLeast"/>
        <w:ind w:left="567" w:hanging="567"/>
        <w:rPr>
          <w:lang w:val="en-US"/>
        </w:rPr>
      </w:pPr>
    </w:p>
    <w:p w:rsidR="004F47BB" w:rsidRPr="004F47BB" w:rsidRDefault="004F47BB" w:rsidP="004F47BB">
      <w:pPr>
        <w:suppressAutoHyphens/>
        <w:autoSpaceDE/>
        <w:autoSpaceDN/>
        <w:spacing w:line="240" w:lineRule="atLeast"/>
        <w:ind w:left="0" w:firstLine="0"/>
        <w:jc w:val="center"/>
        <w:rPr>
          <w:rFonts w:cs="Arial"/>
          <w:b/>
          <w:lang w:val="en-US"/>
        </w:rPr>
      </w:pPr>
      <w:r w:rsidRPr="004F47BB">
        <w:rPr>
          <w:rFonts w:cs="Arial"/>
          <w:b/>
          <w:noProof/>
          <w:lang w:val="en-US"/>
        </w:rPr>
        <w:t>(Article 19.02(5), 19.03(5))</w:t>
      </w:r>
      <w:r w:rsidRPr="004F47BB">
        <w:rPr>
          <w:rFonts w:cs="Arial"/>
          <w:b/>
          <w:lang w:val="en-US"/>
        </w:rPr>
        <w:t xml:space="preserve"> </w:t>
      </w:r>
    </w:p>
    <w:p w:rsidR="004F47BB" w:rsidRPr="004F47BB" w:rsidRDefault="004F47BB" w:rsidP="004F47BB">
      <w:pPr>
        <w:suppressAutoHyphens/>
        <w:autoSpaceDE/>
        <w:autoSpaceDN/>
        <w:ind w:left="0" w:firstLine="0"/>
        <w:rPr>
          <w:rFonts w:cs="Arial"/>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1.</w:t>
      </w:r>
      <w:r w:rsidRPr="004F47BB">
        <w:rPr>
          <w:rFonts w:cs="Arial"/>
          <w:b/>
          <w:color w:val="000000"/>
          <w:szCs w:val="20"/>
          <w:lang w:val="en-US"/>
        </w:rPr>
        <w:tab/>
      </w:r>
      <w:r w:rsidRPr="004F47BB">
        <w:rPr>
          <w:rFonts w:cs="Arial"/>
          <w:b/>
          <w:noProof/>
          <w:color w:val="000000"/>
          <w:szCs w:val="20"/>
          <w:lang w:val="en-US"/>
        </w:rPr>
        <w:t>Local subdivisions (article 19.02(5))</w:t>
      </w:r>
    </w:p>
    <w:p w:rsidR="004F47BB" w:rsidRPr="004F47BB" w:rsidRDefault="004F47BB" w:rsidP="004F47BB">
      <w:pPr>
        <w:suppressAutoHyphens/>
        <w:autoSpaceDE/>
        <w:autoSpaceDN/>
        <w:spacing w:line="240" w:lineRule="atLeast"/>
        <w:rPr>
          <w:rFonts w:cs="Arial"/>
          <w:szCs w:val="20"/>
          <w:lang w:val="en-US"/>
        </w:rPr>
      </w:pPr>
    </w:p>
    <w:p w:rsidR="004F47BB" w:rsidRPr="004F47BB" w:rsidRDefault="004F47BB" w:rsidP="004F47BB">
      <w:pPr>
        <w:spacing w:line="240" w:lineRule="atLeast"/>
        <w:ind w:left="567" w:firstLine="0"/>
      </w:pPr>
      <w:r w:rsidRPr="004F47BB">
        <w:rPr>
          <w:noProof/>
          <w:lang w:val="en-US"/>
        </w:rPr>
        <w:t xml:space="preserve">Under Article 19.02(5) it is conceivable that local watertight subdivisions, such as transversally subdivided double bottom tanks of a greater length than the damage length to be considered, will not be included in the evaluation. In this case it might not be possible to take the transversal subdivision into account if it is not extended up to the bulkhead deck. </w:t>
      </w:r>
      <w:r w:rsidRPr="004F47BB">
        <w:rPr>
          <w:noProof/>
          <w:lang w:val="fr-BE"/>
        </w:rPr>
        <w:t>This might lead to inappropriate subdivisions of bulkheads.</w:t>
      </w:r>
    </w:p>
    <w:p w:rsidR="004F47BB" w:rsidRPr="004F47BB" w:rsidRDefault="004F47BB" w:rsidP="004F47BB">
      <w:pPr>
        <w:suppressAutoHyphens/>
        <w:autoSpaceDE/>
        <w:autoSpaceDN/>
        <w:spacing w:line="240" w:lineRule="atLeast"/>
        <w:ind w:left="357" w:firstLine="0"/>
        <w:rPr>
          <w:rFonts w:cs="Arial"/>
          <w:b/>
        </w:rPr>
      </w:pPr>
    </w:p>
    <w:p w:rsidR="004F47BB" w:rsidRPr="004F47BB" w:rsidRDefault="0053082A" w:rsidP="004F47BB">
      <w:pPr>
        <w:suppressAutoHyphens/>
        <w:autoSpaceDE/>
        <w:autoSpaceDN/>
        <w:spacing w:line="240" w:lineRule="atLeast"/>
        <w:ind w:left="357" w:firstLine="0"/>
        <w:rPr>
          <w:rFonts w:cs="Arial"/>
          <w:b/>
        </w:rPr>
      </w:pPr>
      <w:r>
        <w:rPr>
          <w:rFonts w:cs="Arial"/>
          <w:b/>
          <w:noProof/>
          <w:lang w:val="nl-NL"/>
        </w:rPr>
        <mc:AlternateContent>
          <mc:Choice Requires="wpc">
            <w:drawing>
              <wp:inline distT="0" distB="0" distL="0" distR="0">
                <wp:extent cx="4914900" cy="2594610"/>
                <wp:effectExtent l="0" t="0" r="0" b="0"/>
                <wp:docPr id="4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 name="Line 4"/>
                        <wps:cNvCnPr>
                          <a:cxnSpLocks noChangeShapeType="1"/>
                        </wps:cNvCnPr>
                        <wps:spPr bwMode="auto">
                          <a:xfrm>
                            <a:off x="685800" y="1485900"/>
                            <a:ext cx="4000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Line 5"/>
                        <wps:cNvCnPr>
                          <a:cxnSpLocks noChangeShapeType="1"/>
                        </wps:cNvCnPr>
                        <wps:spPr bwMode="auto">
                          <a:xfrm>
                            <a:off x="685800" y="1257300"/>
                            <a:ext cx="4000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Line 6"/>
                        <wps:cNvCnPr>
                          <a:cxnSpLocks noChangeShapeType="1"/>
                        </wps:cNvCnPr>
                        <wps:spPr bwMode="auto">
                          <a:xfrm flipV="1">
                            <a:off x="1028700" y="34290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Line 7"/>
                        <wps:cNvCnPr>
                          <a:cxnSpLocks noChangeShapeType="1"/>
                        </wps:cNvCnPr>
                        <wps:spPr bwMode="auto">
                          <a:xfrm flipV="1">
                            <a:off x="4000500" y="34290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8"/>
                        <wps:cNvCnPr>
                          <a:cxnSpLocks noChangeShapeType="1"/>
                        </wps:cNvCnPr>
                        <wps:spPr bwMode="auto">
                          <a:xfrm>
                            <a:off x="685800" y="342900"/>
                            <a:ext cx="4000500" cy="7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Line 9"/>
                        <wps:cNvCnPr>
                          <a:cxnSpLocks noChangeShapeType="1"/>
                        </wps:cNvCnPr>
                        <wps:spPr bwMode="auto">
                          <a:xfrm flipV="1">
                            <a:off x="2057400" y="125730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 name="Line 10"/>
                        <wps:cNvCnPr>
                          <a:cxnSpLocks noChangeShapeType="1"/>
                        </wps:cNvCnPr>
                        <wps:spPr bwMode="auto">
                          <a:xfrm flipV="1">
                            <a:off x="1028700" y="1257300"/>
                            <a:ext cx="102870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11"/>
                        <wps:cNvCnPr>
                          <a:cxnSpLocks noChangeShapeType="1"/>
                        </wps:cNvCnPr>
                        <wps:spPr bwMode="auto">
                          <a:xfrm>
                            <a:off x="1028700" y="1257300"/>
                            <a:ext cx="102870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Line 12"/>
                        <wps:cNvCnPr>
                          <a:cxnSpLocks noChangeShapeType="1"/>
                        </wps:cNvCnPr>
                        <wps:spPr bwMode="auto">
                          <a:xfrm flipH="1" flipV="1">
                            <a:off x="2057400" y="1257300"/>
                            <a:ext cx="194310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Line 13"/>
                        <wps:cNvCnPr>
                          <a:cxnSpLocks noChangeShapeType="1"/>
                        </wps:cNvCnPr>
                        <wps:spPr bwMode="auto">
                          <a:xfrm flipV="1">
                            <a:off x="2057400" y="1257300"/>
                            <a:ext cx="194310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 name="Line 14"/>
                        <wps:cNvCnPr>
                          <a:cxnSpLocks noChangeShapeType="1"/>
                        </wps:cNvCnPr>
                        <wps:spPr bwMode="auto">
                          <a:xfrm>
                            <a:off x="1028700" y="1600200"/>
                            <a:ext cx="10287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 name="WordArt 15"/>
                        <wps:cNvSpPr txBox="1">
                          <a:spLocks noChangeArrowheads="1" noChangeShapeType="1" noTextEdit="1"/>
                        </wps:cNvSpPr>
                        <wps:spPr bwMode="auto">
                          <a:xfrm>
                            <a:off x="1257300" y="1714500"/>
                            <a:ext cx="885825" cy="880110"/>
                          </a:xfrm>
                          <a:prstGeom prst="rect">
                            <a:avLst/>
                          </a:prstGeom>
                          <a:extLst>
                            <a:ext uri="{AF507438-7753-43E0-B8FC-AC1667EBCBE1}">
                              <a14:hiddenEffects xmlns:a14="http://schemas.microsoft.com/office/drawing/2010/main">
                                <a:effectLst/>
                              </a14:hiddenEffects>
                            </a:ext>
                          </a:extLst>
                        </wps:spPr>
                        <wps:txbx>
                          <w:txbxContent>
                            <w:p w:rsidR="00C60AC1" w:rsidRDefault="00C60AC1" w:rsidP="0053082A">
                              <w:pPr>
                                <w:pStyle w:val="NormalWeb"/>
                                <w:spacing w:before="0" w:after="0"/>
                                <w:jc w:val="center"/>
                                <w:rPr>
                                  <w:sz w:val="24"/>
                                  <w:szCs w:val="24"/>
                                </w:rPr>
                              </w:pPr>
                              <w:r>
                                <w:rPr>
                                  <w:rFonts w:ascii="Arial" w:hAnsi="Arial" w:cs="Arial"/>
                                  <w:color w:val="000000"/>
                                  <w:sz w:val="18"/>
                                  <w:szCs w:val="18"/>
                                  <w14:textOutline w14:w="9525" w14:cap="flat" w14:cmpd="sng" w14:algn="ctr">
                                    <w14:solidFill>
                                      <w14:srgbClr w14:val="000000"/>
                                    </w14:solidFill>
                                    <w14:prstDash w14:val="solid"/>
                                    <w14:round/>
                                  </w14:textOutline>
                                </w:rPr>
                                <w:t>&gt; damage length</w:t>
                              </w:r>
                            </w:p>
                          </w:txbxContent>
                        </wps:txbx>
                        <wps:bodyPr wrap="square" numCol="1" fromWordArt="1">
                          <a:prstTxWarp prst="textPlain">
                            <a:avLst>
                              <a:gd name="adj" fmla="val 50000"/>
                            </a:avLst>
                          </a:prstTxWarp>
                          <a:spAutoFit/>
                        </wps:bodyPr>
                      </wps:wsp>
                      <wps:wsp>
                        <wps:cNvPr id="40" name="Line 16"/>
                        <wps:cNvCnPr>
                          <a:cxnSpLocks noChangeShapeType="1"/>
                        </wps:cNvCnPr>
                        <wps:spPr bwMode="auto">
                          <a:xfrm flipV="1">
                            <a:off x="2057400" y="342900"/>
                            <a:ext cx="0" cy="91440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41" name="WordArt 17"/>
                        <wps:cNvSpPr txBox="1">
                          <a:spLocks noChangeArrowheads="1" noChangeShapeType="1" noTextEdit="1"/>
                        </wps:cNvSpPr>
                        <wps:spPr bwMode="auto">
                          <a:xfrm>
                            <a:off x="2171700" y="800100"/>
                            <a:ext cx="1390650" cy="48577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rsidR="00C60AC1" w:rsidRDefault="00C60AC1" w:rsidP="0053082A">
                              <w:pPr>
                                <w:pStyle w:val="NormalWeb"/>
                                <w:spacing w:before="0" w:after="0"/>
                                <w:jc w:val="center"/>
                                <w:rPr>
                                  <w:sz w:val="24"/>
                                  <w:szCs w:val="24"/>
                                </w:rPr>
                              </w:pPr>
                              <w:r>
                                <w:rPr>
                                  <w:rFonts w:ascii="Arial" w:hAnsi="Arial" w:cs="Arial"/>
                                  <w:b/>
                                  <w:bCs/>
                                  <w:color w:val="969696"/>
                                  <w:sz w:val="18"/>
                                  <w:szCs w:val="18"/>
                                </w:rPr>
                                <w:t>required by Article 19.02(5)</w:t>
                              </w:r>
                            </w:p>
                          </w:txbxContent>
                        </wps:txbx>
                        <wps:bodyPr wrap="square" numCol="1" fromWordArt="1">
                          <a:prstTxWarp prst="textPlain">
                            <a:avLst>
                              <a:gd name="adj" fmla="val 50000"/>
                            </a:avLst>
                          </a:prstTxWarp>
                          <a:spAutoFit/>
                        </wps:bodyPr>
                      </wps:wsp>
                      <wps:wsp>
                        <wps:cNvPr id="43" name="WordArt 18"/>
                        <wps:cNvSpPr txBox="1">
                          <a:spLocks noChangeArrowheads="1" noChangeShapeType="1" noTextEdit="1"/>
                        </wps:cNvSpPr>
                        <wps:spPr bwMode="auto">
                          <a:xfrm>
                            <a:off x="2400300" y="114300"/>
                            <a:ext cx="771525" cy="1668780"/>
                          </a:xfrm>
                          <a:prstGeom prst="rect">
                            <a:avLst/>
                          </a:prstGeom>
                          <a:extLst>
                            <a:ext uri="{AF507438-7753-43E0-B8FC-AC1667EBCBE1}">
                              <a14:hiddenEffects xmlns:a14="http://schemas.microsoft.com/office/drawing/2010/main">
                                <a:effectLst/>
                              </a14:hiddenEffects>
                            </a:ext>
                          </a:extLst>
                        </wps:spPr>
                        <wps:txbx>
                          <w:txbxContent>
                            <w:p w:rsidR="00C60AC1" w:rsidRDefault="00C60AC1" w:rsidP="0053082A">
                              <w:pPr>
                                <w:pStyle w:val="NormalWeb"/>
                                <w:spacing w:before="0" w:after="0"/>
                                <w:jc w:val="center"/>
                                <w:rPr>
                                  <w:sz w:val="24"/>
                                  <w:szCs w:val="24"/>
                                </w:rPr>
                              </w:pPr>
                              <w:r>
                                <w:rPr>
                                  <w:rFonts w:ascii="Arial" w:hAnsi="Arial" w:cs="Arial"/>
                                  <w:color w:val="000000"/>
                                  <w:sz w:val="18"/>
                                  <w:szCs w:val="18"/>
                                  <w14:textOutline w14:w="9525" w14:cap="flat" w14:cmpd="sng" w14:algn="ctr">
                                    <w14:solidFill>
                                      <w14:srgbClr w14:val="000000"/>
                                    </w14:solidFill>
                                    <w14:prstDash w14:val="solid"/>
                                    <w14:round/>
                                  </w14:textOutline>
                                </w:rPr>
                                <w:t>Bulkhead deck</w:t>
                              </w:r>
                            </w:p>
                          </w:txbxContent>
                        </wps:txbx>
                        <wps:bodyPr wrap="square" numCol="1" fromWordArt="1">
                          <a:prstTxWarp prst="textPlain">
                            <a:avLst>
                              <a:gd name="adj" fmla="val 50000"/>
                            </a:avLst>
                          </a:prstTxWarp>
                          <a:spAutoFit/>
                        </wps:bodyPr>
                      </wps:wsp>
                    </wpc:wpc>
                  </a:graphicData>
                </a:graphic>
              </wp:inline>
            </w:drawing>
          </mc:Choice>
          <mc:Fallback>
            <w:pict>
              <v:group id="Canvas 2" o:spid="_x0000_s1046" editas="canvas" style="width:387pt;height:204.3pt;mso-position-horizontal-relative:char;mso-position-vertical-relative:line" coordsize="49149,2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width:49149;height:25946;visibility:visible;mso-wrap-style:square">
                  <v:fill o:detectmouseclick="t"/>
                  <v:path o:connecttype="none"/>
                </v:shape>
                <v:line id="Line 4" o:spid="_x0000_s1048" style="position:absolute;visibility:visible;mso-wrap-style:square" from="6858,14859" to="46863,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" strokeweight="1.5pt"/>
                <v:line id="Line 5" o:spid="_x0000_s1049" style="position:absolute;visibility:visible;mso-wrap-style:square" from="6858,12573" to="46863,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" strokeweight="1.5pt"/>
                <v:line id="Line 6" o:spid="_x0000_s1050" style="position:absolute;flip:y;visibility:visible;mso-wrap-style:square" from="10287,3429" to="1028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" strokeweight="1.5pt"/>
                <v:line id="Line 7" o:spid="_x0000_s1051" style="position:absolute;flip:y;visibility:visible;mso-wrap-style:square" from="40005,3429" to="4000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" strokeweight="1.5pt"/>
                <v:line id="Line 8" o:spid="_x0000_s1052" style="position:absolute;visibility:visible;mso-wrap-style:square" from="6858,3429" to="46863,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" strokeweight="1.5pt"/>
                <v:line id="Line 9" o:spid="_x0000_s1053" style="position:absolute;flip:y;visibility:visible;mso-wrap-style:square" from="20574,12573" to="2057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" strokeweight="1.5pt"/>
                <v:line id="Line 10" o:spid="_x0000_s1054" style="position:absolute;flip:y;visibility:visible;mso-wrap-style:square" from="10287,12573" to="2057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">
                  <v:stroke dashstyle="dash"/>
                </v:line>
                <v:line id="Line 11" o:spid="_x0000_s1055" style="position:absolute;visibility:visible;mso-wrap-style:square" from="10287,12573" to="2057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">
                  <v:stroke dashstyle="dash"/>
                </v:line>
                <v:line id="Line 12" o:spid="_x0000_s1056" style="position:absolute;flip:x y;visibility:visible;mso-wrap-style:square" from="20574,12573" to="4000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">
                  <v:stroke dashstyle="dash"/>
                </v:line>
                <v:line id="Line 13" o:spid="_x0000_s1057" style="position:absolute;flip:y;visibility:visible;mso-wrap-style:square" from="20574,12573" to="4000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">
                  <v:stroke dashstyle="dash"/>
                </v:line>
                <v:line id="Line 14" o:spid="_x0000_s1058" style="position:absolute;visibility:visible;mso-wrap-style:square" from="10287,16002" to="20574,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">
                  <v:stroke startarrow="block" endarrow="block"/>
                </v:line>
                <v:shape id="WordArt 15" o:spid="_x0000_s1059" type="#_x0000_t202" style="position:absolute;left:12573;top:17145;width:8858;height:8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o:lock v:ext="edit" shapetype="t"/>
                  <v:textbox style="mso-fit-shape-to-text:t">
                    <w:txbxContent>
                      <w:p w:rsidR="00C60AC1" w:rsidRDefault="00C60AC1" w:rsidP="0053082A">
                        <w:pPr>
                          <w:pStyle w:val="NormalWeb"/>
                          <w:spacing w:before="0" w:after="0"/>
                          <w:jc w:val="center"/>
                          <w:rPr>
                            <w:sz w:val="24"/>
                            <w:szCs w:val="24"/>
                          </w:rPr>
                        </w:pPr>
                        <w:r>
                          <w:rPr>
                            <w:rFonts w:ascii="Arial" w:hAnsi="Arial" w:cs="Arial"/>
                            <w:color w:val="000000"/>
                            <w:sz w:val="18"/>
                            <w:szCs w:val="18"/>
                            <w14:textOutline w14:w="9525" w14:cap="flat" w14:cmpd="sng" w14:algn="ctr">
                              <w14:solidFill>
                                <w14:srgbClr w14:val="000000"/>
                              </w14:solidFill>
                              <w14:prstDash w14:val="solid"/>
                              <w14:round/>
                            </w14:textOutline>
                          </w:rPr>
                          <w:t xml:space="preserve">&gt; damage </w:t>
                        </w:r>
                        <w:proofErr w:type="spellStart"/>
                        <w:r>
                          <w:rPr>
                            <w:rFonts w:ascii="Arial" w:hAnsi="Arial" w:cs="Arial"/>
                            <w:color w:val="000000"/>
                            <w:sz w:val="18"/>
                            <w:szCs w:val="18"/>
                            <w14:textOutline w14:w="9525" w14:cap="flat" w14:cmpd="sng" w14:algn="ctr">
                              <w14:solidFill>
                                <w14:srgbClr w14:val="000000"/>
                              </w14:solidFill>
                              <w14:prstDash w14:val="solid"/>
                              <w14:round/>
                            </w14:textOutline>
                          </w:rPr>
                          <w:t>length</w:t>
                        </w:r>
                        <w:proofErr w:type="spellEnd"/>
                      </w:p>
                    </w:txbxContent>
                  </v:textbox>
                </v:shape>
                <v:line id="Line 16" o:spid="_x0000_s1060" style="position:absolute;flip:y;visibility:visible;mso-wrap-style:square" from="20574,3429" to="2057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" strokecolor="#969696" strokeweight="1.5pt"/>
                <v:shape id="WordArt 17" o:spid="_x0000_s1061" type="#_x0000_t202" style="position:absolute;left:21717;top:8001;width:13906;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" filled="f" stroked="f" strokecolor="#969696">
                  <v:stroke joinstyle="round"/>
                  <o:lock v:ext="edit" shapetype="t"/>
                  <v:textbox style="mso-fit-shape-to-text:t">
                    <w:txbxContent>
                      <w:p w:rsidR="00C60AC1" w:rsidRDefault="00C60AC1" w:rsidP="0053082A">
                        <w:pPr>
                          <w:pStyle w:val="NormalWeb"/>
                          <w:spacing w:before="0" w:after="0"/>
                          <w:jc w:val="center"/>
                          <w:rPr>
                            <w:sz w:val="24"/>
                            <w:szCs w:val="24"/>
                          </w:rPr>
                        </w:pPr>
                        <w:proofErr w:type="spellStart"/>
                        <w:proofErr w:type="gramStart"/>
                        <w:r>
                          <w:rPr>
                            <w:rFonts w:ascii="Arial" w:hAnsi="Arial" w:cs="Arial"/>
                            <w:b/>
                            <w:bCs/>
                            <w:color w:val="969696"/>
                            <w:sz w:val="18"/>
                            <w:szCs w:val="18"/>
                          </w:rPr>
                          <w:t>required</w:t>
                        </w:r>
                        <w:proofErr w:type="spellEnd"/>
                        <w:proofErr w:type="gramEnd"/>
                        <w:r>
                          <w:rPr>
                            <w:rFonts w:ascii="Arial" w:hAnsi="Arial" w:cs="Arial"/>
                            <w:b/>
                            <w:bCs/>
                            <w:color w:val="969696"/>
                            <w:sz w:val="18"/>
                            <w:szCs w:val="18"/>
                          </w:rPr>
                          <w:t xml:space="preserve"> by Article 19.02(5)</w:t>
                        </w:r>
                      </w:p>
                    </w:txbxContent>
                  </v:textbox>
                </v:shape>
                <v:shape id="WordArt 18" o:spid="_x0000_s1062" type="#_x0000_t202" style="position:absolute;left:24003;top:1143;width:7715;height:1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o:lock v:ext="edit" shapetype="t"/>
                  <v:textbox style="mso-fit-shape-to-text:t">
                    <w:txbxContent>
                      <w:p w:rsidR="00C60AC1" w:rsidRDefault="00C60AC1" w:rsidP="0053082A">
                        <w:pPr>
                          <w:pStyle w:val="NormalWeb"/>
                          <w:spacing w:before="0" w:after="0"/>
                          <w:jc w:val="center"/>
                          <w:rPr>
                            <w:sz w:val="24"/>
                            <w:szCs w:val="24"/>
                          </w:rPr>
                        </w:pPr>
                        <w:proofErr w:type="spellStart"/>
                        <w:r>
                          <w:rPr>
                            <w:rFonts w:ascii="Arial" w:hAnsi="Arial" w:cs="Arial"/>
                            <w:color w:val="000000"/>
                            <w:sz w:val="18"/>
                            <w:szCs w:val="18"/>
                            <w14:textOutline w14:w="9525" w14:cap="flat" w14:cmpd="sng" w14:algn="ctr">
                              <w14:solidFill>
                                <w14:srgbClr w14:val="000000"/>
                              </w14:solidFill>
                              <w14:prstDash w14:val="solid"/>
                              <w14:round/>
                            </w14:textOutline>
                          </w:rPr>
                          <w:t>Bulkhead</w:t>
                        </w:r>
                        <w:proofErr w:type="spellEnd"/>
                        <w:r>
                          <w:rPr>
                            <w:rFonts w:ascii="Arial" w:hAnsi="Arial" w:cs="Arial"/>
                            <w:color w:val="000000"/>
                            <w:sz w:val="18"/>
                            <w:szCs w:val="18"/>
                            <w14:textOutline w14:w="9525" w14:cap="flat" w14:cmpd="sng" w14:algn="ctr">
                              <w14:solidFill>
                                <w14:srgbClr w14:val="000000"/>
                              </w14:solidFill>
                              <w14:prstDash w14:val="solid"/>
                              <w14:round/>
                            </w14:textOutline>
                          </w:rPr>
                          <w:t xml:space="preserve"> deck</w:t>
                        </w:r>
                      </w:p>
                    </w:txbxContent>
                  </v:textbox>
                </v:shape>
                <w10:anchorlock/>
              </v:group>
            </w:pict>
          </mc:Fallback>
        </mc:AlternateContent>
      </w:r>
    </w:p>
    <w:p w:rsidR="004F47BB" w:rsidRPr="004F47BB" w:rsidRDefault="004F47BB" w:rsidP="004F47BB">
      <w:pPr>
        <w:spacing w:line="240" w:lineRule="atLeast"/>
        <w:ind w:left="567" w:firstLine="0"/>
        <w:rPr>
          <w:rFonts w:cs="Arial"/>
          <w:b/>
          <w:noProof/>
          <w:color w:val="000000"/>
          <w:szCs w:val="20"/>
          <w:lang w:val="en-US"/>
        </w:rPr>
      </w:pPr>
      <w:r w:rsidRPr="004F47BB">
        <w:rPr>
          <w:rFonts w:cs="Arial"/>
          <w:b/>
          <w:noProof/>
          <w:color w:val="000000"/>
          <w:szCs w:val="20"/>
          <w:lang w:val="en-US"/>
        </w:rPr>
        <w:t>Interpretation of the requirement:</w:t>
      </w:r>
    </w:p>
    <w:p w:rsidR="004F47BB" w:rsidRPr="004F47BB" w:rsidRDefault="004F47BB" w:rsidP="004F47BB">
      <w:pPr>
        <w:spacing w:line="240" w:lineRule="atLeast"/>
        <w:ind w:left="567" w:firstLine="0"/>
        <w:rPr>
          <w:lang w:val="en-US"/>
        </w:rPr>
      </w:pPr>
    </w:p>
    <w:p w:rsidR="004F47BB" w:rsidRPr="004F47BB" w:rsidRDefault="004F47BB" w:rsidP="004F47BB">
      <w:pPr>
        <w:spacing w:line="240" w:lineRule="atLeast"/>
        <w:ind w:left="567" w:firstLine="0"/>
        <w:rPr>
          <w:lang w:val="en-US"/>
        </w:rPr>
      </w:pPr>
      <w:r w:rsidRPr="004F47BB">
        <w:rPr>
          <w:noProof/>
          <w:lang w:val="en-US"/>
        </w:rPr>
        <w:t>If a watertight compartment is longer than required by Article 19.03(9) and it contains local subdivisions which form watertight sub compartments, and between which the minimum damage length can be contained, these can be taken into account in the damage stability calculation.</w:t>
      </w:r>
    </w:p>
    <w:p w:rsidR="004F47BB" w:rsidRPr="004F47BB" w:rsidRDefault="004F47BB" w:rsidP="004F47BB">
      <w:pPr>
        <w:tabs>
          <w:tab w:val="left" w:pos="425"/>
        </w:tabs>
        <w:suppressAutoHyphens/>
        <w:autoSpaceDE/>
        <w:autoSpaceDN/>
        <w:spacing w:line="240" w:lineRule="atLeast"/>
        <w:rPr>
          <w:rFonts w:cs="Arial"/>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2.</w:t>
      </w:r>
      <w:r w:rsidRPr="004F47BB">
        <w:rPr>
          <w:rFonts w:cs="Arial"/>
          <w:b/>
          <w:color w:val="000000"/>
          <w:szCs w:val="20"/>
          <w:lang w:val="en-US"/>
        </w:rPr>
        <w:tab/>
      </w:r>
      <w:r w:rsidRPr="004F47BB">
        <w:rPr>
          <w:rFonts w:cs="Arial"/>
          <w:b/>
          <w:noProof/>
          <w:color w:val="000000"/>
          <w:szCs w:val="20"/>
          <w:lang w:val="en-US"/>
        </w:rPr>
        <w:t>Transitional provision for enclosures made with awnings or similar mobile installations with regard to stability (Article 19.03(5))</w:t>
      </w:r>
    </w:p>
    <w:p w:rsidR="004F47BB" w:rsidRPr="004F47BB" w:rsidRDefault="004F47BB" w:rsidP="004F47BB">
      <w:pPr>
        <w:spacing w:line="240" w:lineRule="atLeast"/>
        <w:ind w:left="567" w:firstLine="0"/>
        <w:rPr>
          <w:lang w:val="en-US"/>
        </w:rPr>
      </w:pPr>
    </w:p>
    <w:p w:rsidR="004F47BB" w:rsidRPr="004F47BB" w:rsidRDefault="004F47BB" w:rsidP="004F47BB">
      <w:pPr>
        <w:spacing w:line="240" w:lineRule="atLeast"/>
        <w:ind w:left="567" w:firstLine="0"/>
        <w:rPr>
          <w:lang w:val="en-US"/>
        </w:rPr>
      </w:pPr>
      <w:r w:rsidRPr="004F47BB">
        <w:rPr>
          <w:noProof/>
          <w:lang w:val="en-US"/>
        </w:rPr>
        <w:t>Enclosures made with awnings or similar mobile installations can cause problems with the stability of the vessel since, if of sufficient size to do so, they influence the heeling moment due to wind pressure.</w:t>
      </w:r>
    </w:p>
    <w:p w:rsidR="004F47BB" w:rsidRPr="004F47BB" w:rsidRDefault="004F47BB" w:rsidP="004F47BB">
      <w:pPr>
        <w:tabs>
          <w:tab w:val="left" w:pos="425"/>
        </w:tabs>
        <w:suppressAutoHyphens/>
        <w:autoSpaceDE/>
        <w:autoSpaceDN/>
        <w:spacing w:line="240" w:lineRule="atLeast"/>
        <w:rPr>
          <w:rFonts w:cs="Arial"/>
          <w:lang w:val="en-US"/>
        </w:rPr>
      </w:pPr>
    </w:p>
    <w:p w:rsidR="004F47BB" w:rsidRPr="004F47BB" w:rsidRDefault="004F47BB" w:rsidP="004F47BB">
      <w:pPr>
        <w:tabs>
          <w:tab w:val="left" w:pos="425"/>
        </w:tabs>
        <w:suppressAutoHyphens/>
        <w:autoSpaceDE/>
        <w:autoSpaceDN/>
        <w:spacing w:line="240" w:lineRule="atLeast"/>
        <w:rPr>
          <w:rFonts w:cs="Arial"/>
          <w:lang w:val="en-US"/>
        </w:rPr>
      </w:pPr>
      <w:r w:rsidRPr="004F47BB">
        <w:rPr>
          <w:rFonts w:cs="Arial"/>
          <w:lang w:val="en-US"/>
        </w:rPr>
        <w:br w:type="page"/>
      </w:r>
    </w:p>
    <w:p w:rsidR="004F47BB" w:rsidRPr="004F47BB" w:rsidRDefault="004F47BB" w:rsidP="004F47BB">
      <w:pPr>
        <w:spacing w:line="240" w:lineRule="atLeast"/>
        <w:ind w:left="567" w:firstLine="0"/>
        <w:rPr>
          <w:rFonts w:cs="Arial"/>
          <w:b/>
          <w:noProof/>
          <w:color w:val="000000"/>
          <w:szCs w:val="20"/>
          <w:lang w:val="en-US"/>
        </w:rPr>
      </w:pPr>
      <w:r w:rsidRPr="004F47BB">
        <w:rPr>
          <w:rFonts w:cs="Arial"/>
          <w:b/>
          <w:noProof/>
          <w:color w:val="000000"/>
          <w:szCs w:val="20"/>
          <w:lang w:val="en-US"/>
        </w:rPr>
        <w:lastRenderedPageBreak/>
        <w:t>Interpretation of the requirement:</w:t>
      </w:r>
    </w:p>
    <w:p w:rsidR="004F47BB" w:rsidRPr="004F47BB" w:rsidRDefault="004F47BB" w:rsidP="004F47BB">
      <w:pPr>
        <w:suppressAutoHyphens/>
        <w:autoSpaceDE/>
        <w:autoSpaceDN/>
        <w:spacing w:line="240" w:lineRule="atLeast"/>
        <w:ind w:left="0" w:firstLine="0"/>
        <w:rPr>
          <w:rFonts w:cs="Arial"/>
          <w:lang w:val="en-US"/>
        </w:rPr>
      </w:pPr>
    </w:p>
    <w:p w:rsidR="004F47BB" w:rsidRPr="004F47BB" w:rsidRDefault="004F47BB" w:rsidP="004F47BB">
      <w:pPr>
        <w:spacing w:line="240" w:lineRule="atLeast"/>
        <w:ind w:left="567" w:firstLine="0"/>
        <w:rPr>
          <w:lang w:val="en-US"/>
        </w:rPr>
      </w:pPr>
      <w:r w:rsidRPr="004F47BB">
        <w:rPr>
          <w:noProof/>
          <w:lang w:val="en-US"/>
        </w:rPr>
        <w:t xml:space="preserve">In the case of passenger vessels for which a vessel certificate was issued for the first time before 1 January 2006 according to RVIR, or for which Article 32.05(2), second sentence, is invoked, after the erection of an enclosure made with awnings or similar mobile installations, a new stability calculation must be made according to Article 19.04 of this Standard, in so far as its lateral plane </w:t>
      </w:r>
      <m:oMath>
        <m:sSub>
          <m:sSubPr>
            <m:ctrlPr>
              <w:rPr>
                <w:rFonts w:ascii="Cambria Math" w:hAnsi="Cambria Math"/>
                <w:i/>
                <w:noProof/>
                <w:lang w:val="en-US"/>
              </w:rPr>
            </m:ctrlPr>
          </m:sSubPr>
          <m:e>
            <m:r>
              <w:rPr>
                <w:rFonts w:ascii="Cambria Math" w:hAnsi="Cambria Math"/>
                <w:noProof/>
                <w:lang w:val="en-US"/>
              </w:rPr>
              <m:t>A</m:t>
            </m:r>
          </m:e>
          <m:sub>
            <m:r>
              <w:rPr>
                <w:rFonts w:ascii="Cambria Math" w:hAnsi="Cambria Math"/>
                <w:noProof/>
                <w:lang w:val="en-US"/>
              </w:rPr>
              <m:t>wz</m:t>
            </m:r>
          </m:sub>
        </m:sSub>
      </m:oMath>
      <w:r w:rsidRPr="004F47BB">
        <w:rPr>
          <w:noProof/>
          <w:lang w:val="en-US"/>
        </w:rPr>
        <w:t xml:space="preserve"> exceeds 5 % of the total lateral plane </w:t>
      </w:r>
      <m:oMath>
        <m:sSub>
          <m:sSubPr>
            <m:ctrlPr>
              <w:rPr>
                <w:rFonts w:ascii="Cambria Math" w:hAnsi="Cambria Math"/>
                <w:i/>
                <w:noProof/>
                <w:lang w:val="en-US"/>
              </w:rPr>
            </m:ctrlPr>
          </m:sSubPr>
          <m:e>
            <m:r>
              <w:rPr>
                <w:rFonts w:ascii="Cambria Math" w:hAnsi="Cambria Math"/>
                <w:noProof/>
                <w:lang w:val="en-US"/>
              </w:rPr>
              <m:t>A</m:t>
            </m:r>
          </m:e>
          <m:sub>
            <m:r>
              <w:rPr>
                <w:rFonts w:ascii="Cambria Math" w:hAnsi="Cambria Math"/>
                <w:noProof/>
                <w:lang w:val="en-US"/>
              </w:rPr>
              <m:t>w</m:t>
            </m:r>
          </m:sub>
        </m:sSub>
      </m:oMath>
      <w:r w:rsidRPr="004F47BB">
        <w:rPr>
          <w:noProof/>
          <w:lang w:val="en-US"/>
        </w:rPr>
        <w:t xml:space="preserve"> to be taken into account in each case.</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sectPr w:rsidR="004F47BB" w:rsidRPr="004F47BB" w:rsidSect="00D45887">
          <w:footnotePr>
            <w:numRestart w:val="eachPage"/>
          </w:footnotePr>
          <w:pgSz w:w="11907" w:h="16840" w:code="9"/>
          <w:pgMar w:top="1418" w:right="1418" w:bottom="1418" w:left="1418" w:header="680" w:footer="680" w:gutter="0"/>
          <w:cols w:space="720"/>
          <w:docGrid w:linePitch="326"/>
        </w:sectPr>
      </w:pPr>
    </w:p>
    <w:p w:rsidR="004F47BB" w:rsidRPr="004F47BB" w:rsidRDefault="004F47BB" w:rsidP="003F3DE1">
      <w:pPr>
        <w:pStyle w:val="ES-Titre2ESI"/>
      </w:pPr>
      <w:bookmarkStart w:id="406" w:name="_Toc491854365"/>
      <w:r w:rsidRPr="004F47BB">
        <w:lastRenderedPageBreak/>
        <w:t>ESI-III-2</w:t>
      </w:r>
      <w:r w:rsidRPr="004F47BB">
        <w:br/>
      </w:r>
      <w:r w:rsidRPr="004F47BB">
        <w:rPr>
          <w:noProof/>
        </w:rPr>
        <w:t>Specific safety needs of persons with reduced mobility</w:t>
      </w:r>
      <w:bookmarkEnd w:id="406"/>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center"/>
        <w:textAlignment w:val="baseline"/>
        <w:rPr>
          <w:rFonts w:cs="Arial"/>
          <w:b/>
          <w:bCs/>
          <w:snapToGrid w:val="0"/>
          <w:szCs w:val="20"/>
          <w:lang w:val="en-US"/>
        </w:rPr>
      </w:pPr>
      <w:r w:rsidRPr="004F47BB">
        <w:rPr>
          <w:rFonts w:cs="Arial"/>
          <w:b/>
          <w:bCs/>
          <w:noProof/>
          <w:snapToGrid w:val="0"/>
          <w:szCs w:val="20"/>
          <w:lang w:val="en-US"/>
        </w:rPr>
        <w:t>(Article 1.01(12.2), article 19.01(4) , article 19.06(3) to (5), (9), (10), (13) and (17), article 19.08(3), article 19.10(3), article 19.13(1) to (4))</w:t>
      </w:r>
    </w:p>
    <w:p w:rsidR="004F47BB" w:rsidRPr="004F47BB" w:rsidRDefault="004F47BB" w:rsidP="004F47BB">
      <w:pPr>
        <w:autoSpaceDE/>
        <w:autoSpaceDN/>
        <w:ind w:left="567" w:hanging="567"/>
        <w:rPr>
          <w:rFonts w:cs="Arial"/>
          <w:snapToGrid w:val="0"/>
          <w:szCs w:val="20"/>
          <w:lang w:val="en-US"/>
        </w:rPr>
      </w:pPr>
    </w:p>
    <w:p w:rsidR="004F47BB" w:rsidRPr="004F47BB" w:rsidRDefault="004F47BB" w:rsidP="004F47BB">
      <w:pPr>
        <w:spacing w:line="240" w:lineRule="atLeast"/>
        <w:ind w:left="567" w:hanging="567"/>
        <w:rPr>
          <w:rFonts w:cs="Arial"/>
          <w:b/>
          <w:snapToGrid w:val="0"/>
          <w:color w:val="000000"/>
          <w:szCs w:val="20"/>
          <w:lang w:val="en-US"/>
        </w:rPr>
      </w:pPr>
      <w:r w:rsidRPr="004F47BB">
        <w:rPr>
          <w:rFonts w:cs="Arial"/>
          <w:b/>
          <w:snapToGrid w:val="0"/>
          <w:color w:val="000000"/>
          <w:szCs w:val="20"/>
          <w:lang w:val="en-US"/>
        </w:rPr>
        <w:t>1.</w:t>
      </w:r>
      <w:r w:rsidRPr="004F47BB">
        <w:rPr>
          <w:rFonts w:cs="Arial"/>
          <w:b/>
          <w:snapToGrid w:val="0"/>
          <w:color w:val="000000"/>
          <w:szCs w:val="20"/>
          <w:lang w:val="en-US"/>
        </w:rPr>
        <w:tab/>
      </w:r>
      <w:r w:rsidRPr="004F47BB">
        <w:rPr>
          <w:rFonts w:cs="Arial"/>
          <w:b/>
          <w:noProof/>
          <w:snapToGrid w:val="0"/>
          <w:color w:val="000000"/>
          <w:szCs w:val="20"/>
          <w:lang w:val="en-US"/>
        </w:rPr>
        <w:t>Introduction</w:t>
      </w:r>
    </w:p>
    <w:p w:rsidR="004F47BB" w:rsidRPr="004F47BB" w:rsidRDefault="004F47BB" w:rsidP="004F47BB">
      <w:pPr>
        <w:spacing w:line="240" w:lineRule="atLeast"/>
        <w:ind w:left="567" w:hanging="567"/>
        <w:rPr>
          <w:snapToGrid w:val="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Persons with reduced mobility have safety needs exceeding those of other passengers. These needs are taken into account in the requirements of Chapter 19, which are explained as follows.</w:t>
      </w:r>
    </w:p>
    <w:p w:rsidR="004F47BB" w:rsidRPr="004F47BB" w:rsidRDefault="004F47BB" w:rsidP="004F47BB">
      <w:pPr>
        <w:spacing w:line="240" w:lineRule="atLeast"/>
        <w:ind w:left="567" w:firstLine="0"/>
        <w:rPr>
          <w:snapToGrid w:val="0"/>
          <w:lang w:val="en-US"/>
        </w:rPr>
      </w:pPr>
    </w:p>
    <w:p w:rsidR="004F47BB" w:rsidRPr="004F47BB" w:rsidRDefault="004F47BB" w:rsidP="004F47BB">
      <w:pPr>
        <w:spacing w:line="240" w:lineRule="atLeast"/>
        <w:ind w:left="567" w:firstLine="0"/>
        <w:rPr>
          <w:snapToGrid w:val="0"/>
          <w:lang w:val="en-US"/>
        </w:rPr>
      </w:pPr>
      <w:r w:rsidRPr="004F47BB">
        <w:rPr>
          <w:snapToGrid w:val="0"/>
          <w:lang w:val="en-US"/>
        </w:rPr>
        <w:t>These requirements are intended to ensure that persons with reduced mobility can stay and move safely onboard vessels. In addition, in an emergency such persons should have the same level of safety as other passengers.</w:t>
      </w:r>
    </w:p>
    <w:p w:rsidR="004F47BB" w:rsidRPr="004F47BB" w:rsidRDefault="004F47BB" w:rsidP="004F47BB">
      <w:pPr>
        <w:spacing w:line="240" w:lineRule="atLeast"/>
        <w:ind w:left="567" w:firstLine="0"/>
        <w:rPr>
          <w:snapToGrid w:val="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It is not necessary that all passenger areas fulfil the specific safety requirements of persons with reduced mobility. Therefore those requirements apply only to certain areas. However, the persons in question must be given the opportunity of being informed of the areas specially adapted for them in view of safety, so that they can organise their stay on board accordingly. It is the responsibility of the ship-owner to make the corresponding areas available, make them known and communicate them to persons with reduced mobility.</w:t>
      </w:r>
      <w:r w:rsidRPr="004F47BB">
        <w:rPr>
          <w:snapToGrid w:val="0"/>
          <w:lang w:val="en-US"/>
        </w:rPr>
        <w:t xml:space="preserve"> </w:t>
      </w:r>
    </w:p>
    <w:p w:rsidR="004F47BB" w:rsidRPr="004F47BB" w:rsidRDefault="004F47BB" w:rsidP="004F47BB">
      <w:pPr>
        <w:spacing w:line="240" w:lineRule="atLeast"/>
        <w:ind w:left="567" w:firstLine="0"/>
        <w:rPr>
          <w:snapToGrid w:val="0"/>
          <w:lang w:val="en-US"/>
        </w:rPr>
      </w:pPr>
    </w:p>
    <w:p w:rsidR="004F47BB" w:rsidRPr="004F47BB" w:rsidRDefault="005A25B4" w:rsidP="004F47BB">
      <w:pPr>
        <w:spacing w:line="240" w:lineRule="atLeast"/>
        <w:ind w:left="567" w:firstLine="0"/>
        <w:rPr>
          <w:snapToGrid w:val="0"/>
          <w:lang w:val="en-US"/>
        </w:rPr>
      </w:pPr>
      <w:r w:rsidRPr="005A25B4">
        <w:rPr>
          <w:noProof/>
          <w:snapToGrid w:val="0"/>
          <w:lang w:val="en-US"/>
        </w:rPr>
        <w:t>The provisions concerning persons with reduced mobility make reference to:</w:t>
      </w:r>
    </w:p>
    <w:p w:rsidR="004F47BB" w:rsidRPr="004F47BB" w:rsidRDefault="004F47BB" w:rsidP="004F47BB">
      <w:pPr>
        <w:tabs>
          <w:tab w:val="left" w:pos="992"/>
        </w:tabs>
        <w:autoSpaceDE/>
        <w:autoSpaceDN/>
        <w:spacing w:before="60" w:line="240" w:lineRule="atLeast"/>
        <w:ind w:left="992"/>
        <w:rPr>
          <w:rFonts w:cs="Arial"/>
          <w:snapToGrid w:val="0"/>
          <w:szCs w:val="20"/>
          <w:lang w:val="en-US"/>
        </w:rPr>
      </w:pPr>
      <w:r w:rsidRPr="004F47BB">
        <w:rPr>
          <w:rFonts w:cs="Arial"/>
          <w:snapToGrid w:val="0"/>
          <w:szCs w:val="20"/>
          <w:shd w:val="clear" w:color="auto" w:fill="FFFFFF"/>
        </w:rPr>
        <w:sym w:font="Symbol" w:char="F0B7"/>
      </w:r>
      <w:r w:rsidRPr="004F47BB">
        <w:rPr>
          <w:rFonts w:cs="Arial"/>
          <w:snapToGrid w:val="0"/>
          <w:szCs w:val="20"/>
          <w:shd w:val="clear" w:color="auto" w:fill="FFFFFF"/>
          <w:lang w:val="en-US"/>
        </w:rPr>
        <w:tab/>
      </w:r>
      <w:r w:rsidR="005A25B4" w:rsidRPr="000221DA">
        <w:rPr>
          <w:lang w:val="en-US"/>
        </w:rPr>
        <w:t>Directive 2009/45/EC</w:t>
      </w:r>
      <w:r w:rsidR="005A25B4" w:rsidRPr="000221DA">
        <w:rPr>
          <w:rFonts w:cs="Arial"/>
          <w:noProof/>
          <w:vertAlign w:val="superscript"/>
          <w:lang w:val="en-US"/>
        </w:rPr>
        <w:footnoteReference w:id="83"/>
      </w:r>
      <w:r w:rsidR="005A25B4" w:rsidRPr="000221DA">
        <w:rPr>
          <w:lang w:val="en-US"/>
        </w:rPr>
        <w:t xml:space="preserve"> and</w:t>
      </w:r>
    </w:p>
    <w:p w:rsidR="004F47BB" w:rsidRPr="004F47BB" w:rsidRDefault="004F47BB" w:rsidP="004F47BB">
      <w:pPr>
        <w:tabs>
          <w:tab w:val="left" w:pos="992"/>
        </w:tabs>
        <w:autoSpaceDE/>
        <w:autoSpaceDN/>
        <w:spacing w:before="60" w:line="240" w:lineRule="atLeast"/>
        <w:ind w:left="992"/>
        <w:rPr>
          <w:rFonts w:cs="Arial"/>
          <w:snapToGrid w:val="0"/>
          <w:szCs w:val="20"/>
          <w:lang w:val="en-US"/>
        </w:rPr>
      </w:pPr>
      <w:r w:rsidRPr="004F47BB">
        <w:rPr>
          <w:rFonts w:cs="Arial"/>
          <w:snapToGrid w:val="0"/>
          <w:szCs w:val="20"/>
          <w:shd w:val="clear" w:color="auto" w:fill="FFFFFF"/>
        </w:rPr>
        <w:sym w:font="Symbol" w:char="F0B7"/>
      </w:r>
      <w:r w:rsidRPr="004F47BB">
        <w:rPr>
          <w:rFonts w:cs="Arial"/>
          <w:snapToGrid w:val="0"/>
          <w:szCs w:val="20"/>
          <w:shd w:val="clear" w:color="auto" w:fill="FFFFFF"/>
          <w:lang w:val="en-US"/>
        </w:rPr>
        <w:tab/>
      </w:r>
      <w:r w:rsidR="005A25B4" w:rsidRPr="000221DA">
        <w:rPr>
          <w:lang w:val="en-US"/>
        </w:rPr>
        <w:t>the guide for the adaptation of inland waterway passenger vessels to people with disabilities in accordance with Resolution No 69 of the UNECE</w:t>
      </w:r>
      <w:r w:rsidR="005A25B4" w:rsidRPr="000221DA">
        <w:rPr>
          <w:rFonts w:cs="Arial"/>
          <w:noProof/>
          <w:vertAlign w:val="superscript"/>
        </w:rPr>
        <w:footnoteReference w:id="84"/>
      </w:r>
      <w:r w:rsidR="005A25B4" w:rsidRPr="000221DA">
        <w:rPr>
          <w:lang w:val="en-US"/>
        </w:rPr>
        <w:t>.</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spacing w:line="240" w:lineRule="atLeast"/>
        <w:ind w:left="567" w:firstLine="0"/>
        <w:rPr>
          <w:bCs/>
          <w:snapToGrid w:val="0"/>
          <w:lang w:val="en-US"/>
        </w:rPr>
      </w:pPr>
      <w:r w:rsidRPr="004F47BB">
        <w:rPr>
          <w:noProof/>
          <w:snapToGrid w:val="0"/>
          <w:lang w:val="en-US"/>
        </w:rPr>
        <w:t>The definition of the term ‘persons with reduced mobility’ used in the Standard is largely identical to that of the Directive and most of the technical requirements are based on the above mentionned guide. In cases of doubt, therefore, both can be referred to when taking decisions. In general, the requirements of the Directive and the guide go beyond those of this Standard.</w:t>
      </w:r>
    </w:p>
    <w:p w:rsidR="004F47BB" w:rsidRPr="004F47BB" w:rsidRDefault="004F47BB" w:rsidP="004F47BB">
      <w:pPr>
        <w:spacing w:line="240" w:lineRule="atLeast"/>
        <w:ind w:left="567" w:firstLine="0"/>
        <w:rPr>
          <w:bCs/>
          <w:snapToGrid w:val="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The requirements of the Standard do not concern berths and similar installations. These are subject to national provisions.</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spacing w:line="240" w:lineRule="atLeast"/>
        <w:ind w:left="567" w:hanging="567"/>
        <w:rPr>
          <w:rFonts w:cs="Arial"/>
          <w:b/>
          <w:snapToGrid w:val="0"/>
          <w:color w:val="000000"/>
          <w:szCs w:val="20"/>
          <w:lang w:val="en-US"/>
        </w:rPr>
      </w:pPr>
      <w:r w:rsidRPr="004F47BB">
        <w:rPr>
          <w:rFonts w:cs="Arial"/>
          <w:b/>
          <w:snapToGrid w:val="0"/>
          <w:color w:val="000000"/>
          <w:szCs w:val="20"/>
          <w:lang w:val="en-US"/>
        </w:rPr>
        <w:t>2.</w:t>
      </w:r>
      <w:r w:rsidRPr="004F47BB">
        <w:rPr>
          <w:rFonts w:cs="Arial"/>
          <w:b/>
          <w:snapToGrid w:val="0"/>
          <w:color w:val="000000"/>
          <w:szCs w:val="20"/>
          <w:lang w:val="en-US"/>
        </w:rPr>
        <w:tab/>
      </w:r>
      <w:r w:rsidRPr="004F47BB">
        <w:rPr>
          <w:rFonts w:cs="Arial"/>
          <w:b/>
          <w:noProof/>
          <w:snapToGrid w:val="0"/>
          <w:color w:val="000000"/>
          <w:szCs w:val="20"/>
          <w:lang w:val="en-US"/>
        </w:rPr>
        <w:t>Article 1.01(12.2) – term ‘persons with reduced mobility’</w:t>
      </w: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r w:rsidRPr="004F47BB">
        <w:rPr>
          <w:rFonts w:cs="Arial"/>
          <w:b/>
          <w:bCs/>
          <w:snapToGrid w:val="0"/>
          <w:szCs w:val="20"/>
          <w:lang w:val="en-US"/>
        </w:rPr>
        <w:tab/>
      </w:r>
      <w:r w:rsidRPr="004F47BB">
        <w:rPr>
          <w:rFonts w:cs="Arial"/>
          <w:noProof/>
          <w:snapToGrid w:val="0"/>
          <w:szCs w:val="20"/>
          <w:lang w:val="en-US"/>
        </w:rPr>
        <w:t>‘Persons with reduced mobility’ means anyone who, as a result of physical impairments, cannot move or distinguish their surroundings in the same way as other passengers. This definition includes persons with impaired eyesight or hearing or persons accompanying children in buggies or being carried. However, for the purposes of these provisions, persons with reduced mobility do not include anyone with psychic impairments.</w:t>
      </w: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r w:rsidRPr="004F47BB">
        <w:rPr>
          <w:rFonts w:cs="Arial"/>
          <w:b/>
          <w:bCs/>
          <w:snapToGrid w:val="0"/>
          <w:szCs w:val="20"/>
          <w:lang w:val="en-US"/>
        </w:rPr>
        <w:br w:type="page"/>
      </w:r>
    </w:p>
    <w:p w:rsidR="004F47BB" w:rsidRPr="004F47BB" w:rsidRDefault="004F47BB" w:rsidP="004F47BB">
      <w:pPr>
        <w:spacing w:line="240" w:lineRule="atLeast"/>
        <w:ind w:left="567" w:hanging="567"/>
        <w:rPr>
          <w:rFonts w:cs="Arial"/>
          <w:b/>
          <w:snapToGrid w:val="0"/>
          <w:color w:val="000000"/>
          <w:szCs w:val="20"/>
          <w:lang w:val="en-US"/>
        </w:rPr>
      </w:pPr>
      <w:r w:rsidRPr="004F47BB">
        <w:rPr>
          <w:rFonts w:cs="Arial"/>
          <w:b/>
          <w:snapToGrid w:val="0"/>
          <w:color w:val="000000"/>
          <w:szCs w:val="20"/>
          <w:lang w:val="en-US"/>
        </w:rPr>
        <w:lastRenderedPageBreak/>
        <w:t>3.</w:t>
      </w:r>
      <w:r w:rsidRPr="004F47BB">
        <w:rPr>
          <w:rFonts w:cs="Arial"/>
          <w:b/>
          <w:snapToGrid w:val="0"/>
          <w:color w:val="000000"/>
          <w:szCs w:val="20"/>
          <w:lang w:val="en-US"/>
        </w:rPr>
        <w:tab/>
        <w:t xml:space="preserve">Article 19.15(4) — Areas provided for use by persons with reduced mobility </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Areas provided for use by persons with reduced mobility range from, in the simplest case, the entrance area to the places from which an evacuation will take place in an emergency. They shall include:</w:t>
      </w:r>
    </w:p>
    <w:p w:rsidR="004F47BB" w:rsidRPr="004F47BB" w:rsidRDefault="004F47BB" w:rsidP="004F47BB">
      <w:pPr>
        <w:tabs>
          <w:tab w:val="left" w:pos="992"/>
        </w:tabs>
        <w:autoSpaceDE/>
        <w:autoSpaceDN/>
        <w:spacing w:before="60" w:line="240" w:lineRule="atLeast"/>
        <w:ind w:left="992"/>
        <w:rPr>
          <w:rFonts w:cs="Arial"/>
          <w:snapToGrid w:val="0"/>
          <w:szCs w:val="20"/>
          <w:lang w:val="en-US"/>
        </w:rPr>
      </w:pPr>
      <w:r w:rsidRPr="004F47BB">
        <w:rPr>
          <w:rFonts w:cs="Arial"/>
          <w:snapToGrid w:val="0"/>
          <w:szCs w:val="20"/>
          <w:shd w:val="clear" w:color="auto" w:fill="FFFFFF"/>
        </w:rPr>
        <w:sym w:font="Symbol" w:char="F0B7"/>
      </w:r>
      <w:r w:rsidRPr="004F47BB">
        <w:rPr>
          <w:rFonts w:cs="Arial"/>
          <w:snapToGrid w:val="0"/>
          <w:szCs w:val="20"/>
          <w:shd w:val="clear" w:color="auto" w:fill="FFFFFF"/>
          <w:lang w:val="en-US"/>
        </w:rPr>
        <w:tab/>
      </w:r>
      <w:r w:rsidRPr="004F47BB">
        <w:rPr>
          <w:rFonts w:cs="Arial"/>
          <w:noProof/>
          <w:snapToGrid w:val="0"/>
          <w:szCs w:val="20"/>
          <w:lang w:val="en-US"/>
        </w:rPr>
        <w:t>a place where life-saving equipment is stowed or issued in an emergency,</w:t>
      </w:r>
    </w:p>
    <w:p w:rsidR="004F47BB" w:rsidRPr="004F47BB" w:rsidRDefault="004F47BB" w:rsidP="004F47BB">
      <w:pPr>
        <w:tabs>
          <w:tab w:val="left" w:pos="992"/>
        </w:tabs>
        <w:autoSpaceDE/>
        <w:autoSpaceDN/>
        <w:spacing w:before="60" w:line="240" w:lineRule="atLeast"/>
        <w:ind w:left="992"/>
        <w:rPr>
          <w:rFonts w:cs="Arial"/>
          <w:snapToGrid w:val="0"/>
          <w:szCs w:val="20"/>
          <w:lang w:val="en-US"/>
        </w:rPr>
      </w:pPr>
      <w:r w:rsidRPr="004F47BB">
        <w:rPr>
          <w:rFonts w:cs="Arial"/>
          <w:snapToGrid w:val="0"/>
          <w:szCs w:val="20"/>
          <w:shd w:val="clear" w:color="auto" w:fill="FFFFFF"/>
        </w:rPr>
        <w:sym w:font="Symbol" w:char="F0B7"/>
      </w:r>
      <w:r w:rsidRPr="004F47BB">
        <w:rPr>
          <w:rFonts w:cs="Arial"/>
          <w:snapToGrid w:val="0"/>
          <w:szCs w:val="20"/>
          <w:shd w:val="clear" w:color="auto" w:fill="FFFFFF"/>
          <w:lang w:val="en-US"/>
        </w:rPr>
        <w:tab/>
      </w:r>
      <w:r w:rsidRPr="004F47BB">
        <w:rPr>
          <w:rFonts w:cs="Arial"/>
          <w:noProof/>
          <w:snapToGrid w:val="0"/>
          <w:szCs w:val="20"/>
          <w:lang w:val="en-US"/>
        </w:rPr>
        <w:t>seats,</w:t>
      </w:r>
    </w:p>
    <w:p w:rsidR="004F47BB" w:rsidRPr="004F47BB" w:rsidRDefault="004F47BB" w:rsidP="004F47BB">
      <w:pPr>
        <w:tabs>
          <w:tab w:val="left" w:pos="992"/>
        </w:tabs>
        <w:autoSpaceDE/>
        <w:autoSpaceDN/>
        <w:spacing w:before="60" w:line="240" w:lineRule="atLeast"/>
        <w:ind w:left="992"/>
        <w:rPr>
          <w:rFonts w:cs="Arial"/>
          <w:snapToGrid w:val="0"/>
          <w:szCs w:val="20"/>
          <w:lang w:val="en-US"/>
        </w:rPr>
      </w:pPr>
      <w:r w:rsidRPr="004F47BB">
        <w:rPr>
          <w:rFonts w:cs="Arial"/>
          <w:snapToGrid w:val="0"/>
          <w:szCs w:val="20"/>
          <w:shd w:val="clear" w:color="auto" w:fill="FFFFFF"/>
        </w:rPr>
        <w:sym w:font="Symbol" w:char="F0B7"/>
      </w:r>
      <w:r w:rsidRPr="004F47BB">
        <w:rPr>
          <w:rFonts w:cs="Arial"/>
          <w:snapToGrid w:val="0"/>
          <w:szCs w:val="20"/>
          <w:shd w:val="clear" w:color="auto" w:fill="FFFFFF"/>
          <w:lang w:val="en-US"/>
        </w:rPr>
        <w:tab/>
      </w:r>
      <w:r w:rsidRPr="004F47BB">
        <w:rPr>
          <w:rFonts w:cs="Arial"/>
          <w:noProof/>
          <w:snapToGrid w:val="0"/>
          <w:szCs w:val="20"/>
          <w:lang w:val="en-US"/>
        </w:rPr>
        <w:t>a suitably-adapted toilet (see (10) of this instruction), and</w:t>
      </w:r>
    </w:p>
    <w:p w:rsidR="004F47BB" w:rsidRPr="004F47BB" w:rsidRDefault="004F47BB" w:rsidP="004F47BB">
      <w:pPr>
        <w:tabs>
          <w:tab w:val="left" w:pos="992"/>
        </w:tabs>
        <w:autoSpaceDE/>
        <w:autoSpaceDN/>
        <w:spacing w:before="60" w:line="240" w:lineRule="atLeast"/>
        <w:ind w:left="992"/>
        <w:rPr>
          <w:rFonts w:cs="Arial"/>
          <w:snapToGrid w:val="0"/>
          <w:szCs w:val="20"/>
          <w:lang w:val="en-US"/>
        </w:rPr>
      </w:pPr>
      <w:r w:rsidRPr="004F47BB">
        <w:rPr>
          <w:rFonts w:cs="Arial"/>
          <w:snapToGrid w:val="0"/>
          <w:szCs w:val="20"/>
          <w:shd w:val="clear" w:color="auto" w:fill="FFFFFF"/>
        </w:rPr>
        <w:sym w:font="Symbol" w:char="F0B7"/>
      </w:r>
      <w:r w:rsidRPr="004F47BB">
        <w:rPr>
          <w:rFonts w:cs="Arial"/>
          <w:snapToGrid w:val="0"/>
          <w:szCs w:val="20"/>
          <w:shd w:val="clear" w:color="auto" w:fill="FFFFFF"/>
          <w:lang w:val="en-US"/>
        </w:rPr>
        <w:tab/>
      </w:r>
      <w:r w:rsidRPr="004F47BB">
        <w:rPr>
          <w:rFonts w:cs="Arial"/>
          <w:noProof/>
          <w:snapToGrid w:val="0"/>
          <w:szCs w:val="20"/>
          <w:lang w:val="en-US"/>
        </w:rPr>
        <w:t>connecting corridors.</w:t>
      </w:r>
    </w:p>
    <w:p w:rsidR="004F47BB" w:rsidRPr="004F47BB" w:rsidRDefault="004F47BB" w:rsidP="004F47BB">
      <w:pPr>
        <w:tabs>
          <w:tab w:val="left" w:pos="425"/>
        </w:tabs>
        <w:autoSpaceDE/>
        <w:autoSpaceDN/>
        <w:spacing w:line="240" w:lineRule="atLeast"/>
        <w:rPr>
          <w:rFonts w:cs="Arial"/>
          <w:snapToGrid w:val="0"/>
          <w:szCs w:val="2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The number of seats corresponds at least approximately to the number of persons with reduced mobility that — over a lengthy period — are most frequently onboard simultaneously. The number should be determined by the ship-owner on the basis of experience, as this is beyond the knowledge of the competent authority.</w:t>
      </w:r>
    </w:p>
    <w:p w:rsidR="004F47BB" w:rsidRPr="004F47BB" w:rsidRDefault="004F47BB" w:rsidP="004F47BB">
      <w:pPr>
        <w:spacing w:line="240" w:lineRule="atLeast"/>
        <w:ind w:left="567" w:firstLine="0"/>
        <w:rPr>
          <w:snapToGrid w:val="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On cabin vessels consideration shall also be given to connecting corridors to passenger cabins used by persons with reduced mobility. The number of such cabins is to be determined by the ship-owner in the same way as the number of seats. With the exception of the width of doors, no requirements are imposed for the special arrangement of cabins. It is the responsibility of the owner to make any further necessary arrangements.</w:t>
      </w:r>
    </w:p>
    <w:p w:rsidR="004F47BB" w:rsidRPr="004F47BB" w:rsidRDefault="004F47BB" w:rsidP="004F47BB">
      <w:pPr>
        <w:spacing w:line="240" w:lineRule="atLeast"/>
        <w:ind w:left="567" w:firstLine="0"/>
        <w:rPr>
          <w:snapToGrid w:val="0"/>
          <w:lang w:val="en-US"/>
        </w:rPr>
      </w:pP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p>
    <w:p w:rsidR="004F47BB" w:rsidRPr="004F47BB" w:rsidRDefault="004F47BB" w:rsidP="004F47BB">
      <w:pPr>
        <w:spacing w:line="240" w:lineRule="atLeast"/>
        <w:ind w:left="567" w:hanging="567"/>
        <w:rPr>
          <w:rFonts w:cs="Arial"/>
          <w:b/>
          <w:snapToGrid w:val="0"/>
          <w:color w:val="000000"/>
          <w:szCs w:val="20"/>
          <w:lang w:val="en-US"/>
        </w:rPr>
      </w:pPr>
      <w:r w:rsidRPr="004F47BB">
        <w:rPr>
          <w:rFonts w:cs="Arial"/>
          <w:b/>
          <w:snapToGrid w:val="0"/>
          <w:color w:val="000000"/>
          <w:szCs w:val="20"/>
          <w:lang w:val="en-US"/>
        </w:rPr>
        <w:t>4.</w:t>
      </w:r>
      <w:r w:rsidRPr="004F47BB">
        <w:rPr>
          <w:rFonts w:cs="Arial"/>
          <w:b/>
          <w:snapToGrid w:val="0"/>
          <w:color w:val="000000"/>
          <w:szCs w:val="20"/>
          <w:lang w:val="en-US"/>
        </w:rPr>
        <w:tab/>
      </w:r>
      <w:r w:rsidRPr="004F47BB">
        <w:rPr>
          <w:rFonts w:cs="Arial"/>
          <w:b/>
          <w:noProof/>
          <w:snapToGrid w:val="0"/>
          <w:color w:val="000000"/>
          <w:szCs w:val="20"/>
          <w:lang w:val="en-US"/>
        </w:rPr>
        <w:t>Article 19.06(3)(g) — Exits of rooms</w:t>
      </w: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With regard to the requirements concerning the width of connecting corridors, exits and openings in bulwarks or guard rails intended for use by persons with reduced mobility or usually used for the embarkation or disembarkation of persons with reduced mobility, consideration shall be given to buggies and the fact that people may be dependent on various types of walking aids or wheelchairs. In the case of exits or openings for embarkation or disembarkation account shall also be taken of the additional space needed for any assisting staff.</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spacing w:line="240" w:lineRule="atLeast"/>
        <w:ind w:left="567" w:hanging="567"/>
        <w:rPr>
          <w:rFonts w:cs="Arial"/>
          <w:b/>
          <w:snapToGrid w:val="0"/>
          <w:color w:val="000000"/>
          <w:szCs w:val="20"/>
          <w:lang w:val="en-US"/>
        </w:rPr>
      </w:pPr>
      <w:r w:rsidRPr="004F47BB">
        <w:rPr>
          <w:rFonts w:cs="Arial"/>
          <w:b/>
          <w:snapToGrid w:val="0"/>
          <w:color w:val="000000"/>
          <w:szCs w:val="20"/>
          <w:lang w:val="en-US"/>
        </w:rPr>
        <w:t>5.</w:t>
      </w:r>
      <w:r w:rsidRPr="004F47BB">
        <w:rPr>
          <w:rFonts w:cs="Arial"/>
          <w:b/>
          <w:snapToGrid w:val="0"/>
          <w:color w:val="000000"/>
          <w:szCs w:val="20"/>
          <w:lang w:val="en-US"/>
        </w:rPr>
        <w:tab/>
      </w:r>
      <w:r w:rsidRPr="004F47BB">
        <w:rPr>
          <w:rFonts w:cs="Arial"/>
          <w:b/>
          <w:noProof/>
          <w:snapToGrid w:val="0"/>
          <w:color w:val="000000"/>
          <w:szCs w:val="20"/>
          <w:lang w:val="en-US"/>
        </w:rPr>
        <w:t>Article 19.06(4)(d) — Doors</w:t>
      </w: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The requirements regarding the arrangement of the area surrounding doors intended for use by persons with reduced mobility shall ensure that persons dependent for example on walking aids can open such doors safely.</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spacing w:line="240" w:lineRule="atLeast"/>
        <w:ind w:left="567" w:hanging="567"/>
        <w:rPr>
          <w:rFonts w:cs="Arial"/>
          <w:b/>
          <w:snapToGrid w:val="0"/>
          <w:color w:val="000000"/>
          <w:szCs w:val="20"/>
          <w:lang w:val="en-US"/>
        </w:rPr>
      </w:pPr>
      <w:r w:rsidRPr="004F47BB">
        <w:rPr>
          <w:rFonts w:cs="Arial"/>
          <w:b/>
          <w:snapToGrid w:val="0"/>
          <w:color w:val="000000"/>
          <w:szCs w:val="20"/>
          <w:lang w:val="en-US"/>
        </w:rPr>
        <w:t>6.</w:t>
      </w:r>
      <w:r w:rsidRPr="004F47BB">
        <w:rPr>
          <w:rFonts w:cs="Arial"/>
          <w:b/>
          <w:snapToGrid w:val="0"/>
          <w:color w:val="000000"/>
          <w:szCs w:val="20"/>
          <w:lang w:val="en-US"/>
        </w:rPr>
        <w:tab/>
      </w:r>
      <w:r w:rsidRPr="004F47BB">
        <w:rPr>
          <w:rFonts w:cs="Arial"/>
          <w:b/>
          <w:noProof/>
          <w:snapToGrid w:val="0"/>
          <w:color w:val="000000"/>
          <w:szCs w:val="20"/>
          <w:lang w:val="en-US"/>
        </w:rPr>
        <w:t>Article 19.06(5)(c) — Connecting corridors</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See (4) of this instruction.</w:t>
      </w: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p>
    <w:p w:rsidR="004F47BB" w:rsidRPr="004F47BB" w:rsidRDefault="004F47BB" w:rsidP="004F47BB">
      <w:pPr>
        <w:spacing w:line="240" w:lineRule="atLeast"/>
        <w:ind w:left="567" w:hanging="567"/>
        <w:rPr>
          <w:rFonts w:cs="Arial"/>
          <w:b/>
          <w:snapToGrid w:val="0"/>
          <w:color w:val="000000"/>
          <w:szCs w:val="20"/>
          <w:lang w:val="en-US"/>
        </w:rPr>
      </w:pPr>
      <w:r w:rsidRPr="004F47BB">
        <w:rPr>
          <w:rFonts w:cs="Arial"/>
          <w:b/>
          <w:snapToGrid w:val="0"/>
          <w:color w:val="000000"/>
          <w:szCs w:val="20"/>
          <w:lang w:val="en-US"/>
        </w:rPr>
        <w:t>7.</w:t>
      </w:r>
      <w:r w:rsidRPr="004F47BB">
        <w:rPr>
          <w:rFonts w:cs="Arial"/>
          <w:b/>
          <w:snapToGrid w:val="0"/>
          <w:color w:val="000000"/>
          <w:szCs w:val="20"/>
          <w:lang w:val="en-US"/>
        </w:rPr>
        <w:tab/>
      </w:r>
      <w:r w:rsidRPr="004F47BB">
        <w:rPr>
          <w:rFonts w:cs="Arial"/>
          <w:b/>
          <w:noProof/>
          <w:snapToGrid w:val="0"/>
          <w:color w:val="000000"/>
          <w:szCs w:val="20"/>
          <w:lang w:val="en-US"/>
        </w:rPr>
        <w:t>Article 19.06(9) — Stairways and elevators</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The requirements for the arrangement of stairways shall, in addition to possible reduced mobility, also take into account eyesight impediments.</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r w:rsidRPr="004F47BB">
        <w:rPr>
          <w:rFonts w:cs="Arial"/>
          <w:snapToGrid w:val="0"/>
          <w:szCs w:val="20"/>
          <w:lang w:val="en-US"/>
        </w:rPr>
        <w:br w:type="page"/>
      </w: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r w:rsidRPr="004F47BB">
        <w:rPr>
          <w:rFonts w:cs="Arial"/>
          <w:b/>
          <w:bCs/>
          <w:snapToGrid w:val="0"/>
          <w:szCs w:val="20"/>
          <w:lang w:val="en-US"/>
        </w:rPr>
        <w:lastRenderedPageBreak/>
        <w:t>8.</w:t>
      </w:r>
      <w:r w:rsidRPr="004F47BB">
        <w:rPr>
          <w:rFonts w:cs="Arial"/>
          <w:b/>
          <w:bCs/>
          <w:snapToGrid w:val="0"/>
          <w:szCs w:val="20"/>
          <w:lang w:val="en-US"/>
        </w:rPr>
        <w:tab/>
      </w:r>
      <w:r w:rsidRPr="004F47BB">
        <w:rPr>
          <w:rFonts w:cs="Arial"/>
          <w:b/>
          <w:bCs/>
          <w:noProof/>
          <w:snapToGrid w:val="0"/>
          <w:szCs w:val="20"/>
          <w:lang w:val="en-US"/>
        </w:rPr>
        <w:t>Article 19.06(10)(a) and (b) — Bulwarks and guard rails</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The requirements for bulwarks and guard rails of decks intended for use by persons with reduced mobility shall provide for a greater height since such persons are more likely to lose their balance or be unable to hold on by themselves.</w:t>
      </w:r>
    </w:p>
    <w:p w:rsidR="004F47BB" w:rsidRPr="004F47BB" w:rsidRDefault="004F47BB" w:rsidP="004F47BB">
      <w:pPr>
        <w:spacing w:line="240" w:lineRule="atLeast"/>
        <w:ind w:left="567" w:firstLine="0"/>
        <w:rPr>
          <w:snapToGrid w:val="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See also (4) of this instruction.</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r w:rsidRPr="004F47BB">
        <w:rPr>
          <w:rFonts w:cs="Arial"/>
          <w:b/>
          <w:bCs/>
          <w:snapToGrid w:val="0"/>
          <w:szCs w:val="20"/>
          <w:lang w:val="en-US"/>
        </w:rPr>
        <w:t>9.</w:t>
      </w:r>
      <w:r w:rsidRPr="004F47BB">
        <w:rPr>
          <w:rFonts w:cs="Arial"/>
          <w:b/>
          <w:bCs/>
          <w:snapToGrid w:val="0"/>
          <w:szCs w:val="20"/>
          <w:lang w:val="en-US"/>
        </w:rPr>
        <w:tab/>
      </w:r>
      <w:r w:rsidRPr="004F47BB">
        <w:rPr>
          <w:rFonts w:cs="Arial"/>
          <w:b/>
          <w:bCs/>
          <w:noProof/>
          <w:snapToGrid w:val="0"/>
          <w:szCs w:val="20"/>
          <w:lang w:val="en-US"/>
        </w:rPr>
        <w:t>Article 19.06(13) — Passageways</w:t>
      </w: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For various reasons, persons with reduced mobility need to support themselves or hold on more frequently, so walls in passageways intended for use by persons with reduced mobility shall be equipped with handrails at an appropriate height.</w:t>
      </w:r>
    </w:p>
    <w:p w:rsidR="004F47BB" w:rsidRPr="004F47BB" w:rsidRDefault="004F47BB" w:rsidP="004F47BB">
      <w:pPr>
        <w:spacing w:line="240" w:lineRule="atLeast"/>
        <w:ind w:left="567" w:firstLine="0"/>
        <w:rPr>
          <w:snapToGrid w:val="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See also (4) of this instruction.</w:t>
      </w:r>
    </w:p>
    <w:p w:rsidR="004F47BB" w:rsidRPr="004F47BB" w:rsidRDefault="004F47BB" w:rsidP="004F47BB">
      <w:pPr>
        <w:spacing w:line="240" w:lineRule="atLeast"/>
        <w:ind w:left="567" w:firstLine="0"/>
        <w:rPr>
          <w:snapToGrid w:val="0"/>
          <w:lang w:val="en-US"/>
        </w:rPr>
      </w:pP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r w:rsidRPr="004F47BB">
        <w:rPr>
          <w:rFonts w:cs="Arial"/>
          <w:b/>
          <w:bCs/>
          <w:snapToGrid w:val="0"/>
          <w:szCs w:val="20"/>
          <w:lang w:val="en-US"/>
        </w:rPr>
        <w:t>10.</w:t>
      </w:r>
      <w:r w:rsidRPr="004F47BB">
        <w:rPr>
          <w:rFonts w:cs="Arial"/>
          <w:b/>
          <w:bCs/>
          <w:snapToGrid w:val="0"/>
          <w:szCs w:val="20"/>
          <w:lang w:val="en-US"/>
        </w:rPr>
        <w:tab/>
      </w:r>
      <w:r w:rsidRPr="004F47BB">
        <w:rPr>
          <w:rFonts w:cs="Arial"/>
          <w:b/>
          <w:bCs/>
          <w:noProof/>
          <w:snapToGrid w:val="0"/>
          <w:szCs w:val="20"/>
          <w:lang w:val="en-US"/>
        </w:rPr>
        <w:t>Article 19.06(17) — Toilets</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Persons with reduced mobility shall also be able to stay and move safely in toilets, so at least one toilet shall be adapted accordingly.</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r w:rsidRPr="004F47BB">
        <w:rPr>
          <w:rFonts w:cs="Arial"/>
          <w:b/>
          <w:bCs/>
          <w:snapToGrid w:val="0"/>
          <w:szCs w:val="20"/>
          <w:lang w:val="en-US"/>
        </w:rPr>
        <w:t>11.</w:t>
      </w:r>
      <w:r w:rsidRPr="004F47BB">
        <w:rPr>
          <w:rFonts w:cs="Arial"/>
          <w:b/>
          <w:bCs/>
          <w:snapToGrid w:val="0"/>
          <w:szCs w:val="20"/>
          <w:lang w:val="en-US"/>
        </w:rPr>
        <w:tab/>
      </w:r>
      <w:r w:rsidRPr="004F47BB">
        <w:rPr>
          <w:rFonts w:cs="Arial"/>
          <w:b/>
          <w:bCs/>
          <w:noProof/>
          <w:snapToGrid w:val="0"/>
          <w:szCs w:val="20"/>
          <w:lang w:val="en-US"/>
        </w:rPr>
        <w:t>Article 19.08(3)(a</w:t>
      </w:r>
      <w:r w:rsidR="009069D6">
        <w:rPr>
          <w:rFonts w:cs="Arial"/>
          <w:b/>
          <w:bCs/>
          <w:noProof/>
          <w:snapToGrid w:val="0"/>
          <w:szCs w:val="20"/>
          <w:lang w:val="en-US"/>
        </w:rPr>
        <w:t>)</w:t>
      </w:r>
      <w:r w:rsidRPr="004F47BB">
        <w:rPr>
          <w:rFonts w:cs="Arial"/>
          <w:b/>
          <w:bCs/>
          <w:noProof/>
          <w:snapToGrid w:val="0"/>
          <w:szCs w:val="20"/>
          <w:lang w:val="en-US"/>
        </w:rPr>
        <w:t xml:space="preserve"> and </w:t>
      </w:r>
      <w:r w:rsidR="009069D6">
        <w:rPr>
          <w:rFonts w:cs="Arial"/>
          <w:b/>
          <w:bCs/>
          <w:noProof/>
          <w:snapToGrid w:val="0"/>
          <w:szCs w:val="20"/>
          <w:lang w:val="en-US"/>
        </w:rPr>
        <w:t>(</w:t>
      </w:r>
      <w:r w:rsidRPr="004F47BB">
        <w:rPr>
          <w:rFonts w:cs="Arial"/>
          <w:b/>
          <w:bCs/>
          <w:noProof/>
          <w:snapToGrid w:val="0"/>
          <w:szCs w:val="20"/>
          <w:lang w:val="en-US"/>
        </w:rPr>
        <w:t>b) — Alarm system</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 xml:space="preserve">Persons with reduced mobility are more likely to encounter situations in which they are dependent on the help of others. In rooms in which, as a general rule, they cannot be seen by crew members, </w:t>
      </w:r>
      <w:r w:rsidR="00E357FD">
        <w:rPr>
          <w:noProof/>
          <w:snapToGrid w:val="0"/>
          <w:lang w:val="en-US"/>
        </w:rPr>
        <w:t>shipboard</w:t>
      </w:r>
      <w:r w:rsidRPr="004F47BB">
        <w:rPr>
          <w:noProof/>
          <w:snapToGrid w:val="0"/>
          <w:lang w:val="en-US"/>
        </w:rPr>
        <w:t xml:space="preserve"> personnel or passengers, the possibility of triggering an alarm should therefore be provided for. This applies to toilets intended for use by persons with reduced mobility.</w:t>
      </w:r>
    </w:p>
    <w:p w:rsidR="004F47BB" w:rsidRPr="004F47BB" w:rsidRDefault="004F47BB" w:rsidP="004F47BB">
      <w:pPr>
        <w:spacing w:line="240" w:lineRule="atLeast"/>
        <w:ind w:left="567" w:firstLine="0"/>
        <w:rPr>
          <w:snapToGrid w:val="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Persons with reduced mobility include persons with impaired eyesight or hearing. Consequently, at least in areas intended for use by persons with reduced mobility, the passenger alarm system shall provide suitable visual and audible alarms.</w:t>
      </w:r>
      <w:r w:rsidRPr="004F47BB">
        <w:rPr>
          <w:snapToGrid w:val="0"/>
          <w:lang w:val="en-US"/>
        </w:rPr>
        <w:t xml:space="preserve"> </w:t>
      </w: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r w:rsidRPr="004F47BB">
        <w:rPr>
          <w:rFonts w:cs="Arial"/>
          <w:b/>
          <w:bCs/>
          <w:snapToGrid w:val="0"/>
          <w:szCs w:val="20"/>
          <w:lang w:val="en-US"/>
        </w:rPr>
        <w:t>12.</w:t>
      </w:r>
      <w:r w:rsidRPr="004F47BB">
        <w:rPr>
          <w:rFonts w:cs="Arial"/>
          <w:b/>
          <w:bCs/>
          <w:snapToGrid w:val="0"/>
          <w:szCs w:val="20"/>
          <w:lang w:val="en-US"/>
        </w:rPr>
        <w:tab/>
      </w:r>
      <w:r w:rsidRPr="004F47BB">
        <w:rPr>
          <w:rFonts w:cs="Arial"/>
          <w:b/>
          <w:bCs/>
          <w:noProof/>
          <w:snapToGrid w:val="0"/>
          <w:szCs w:val="20"/>
          <w:lang w:val="en-US"/>
        </w:rPr>
        <w:t>Article 19.10(3)(d) — Sufficient lighting</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Persons with reduced mobility also include persons with impaired eyesight. Sufficient lighting in areas intended for use by persons with reduced mobility is therefore essential and shall meet higher requirements than lighting for other passenger areas.</w:t>
      </w: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r w:rsidRPr="004F47BB">
        <w:rPr>
          <w:rFonts w:cs="Arial"/>
          <w:b/>
          <w:bCs/>
          <w:snapToGrid w:val="0"/>
          <w:szCs w:val="20"/>
          <w:lang w:val="en-US"/>
        </w:rPr>
        <w:t>13.</w:t>
      </w:r>
      <w:r w:rsidRPr="004F47BB">
        <w:rPr>
          <w:rFonts w:cs="Arial"/>
          <w:b/>
          <w:bCs/>
          <w:snapToGrid w:val="0"/>
          <w:szCs w:val="20"/>
          <w:lang w:val="en-US"/>
        </w:rPr>
        <w:tab/>
      </w:r>
      <w:r w:rsidRPr="004F47BB">
        <w:rPr>
          <w:rFonts w:cs="Arial"/>
          <w:b/>
          <w:bCs/>
          <w:noProof/>
          <w:snapToGrid w:val="0"/>
          <w:szCs w:val="20"/>
          <w:lang w:val="en-US"/>
        </w:rPr>
        <w:t>Article 19.13(1) — Safety rota</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The special safety measures necessary for persons with reduced mobility to be taken into consideration in the safety rota shall take into account both the possibility of reduced mobility and impaired hearing and eyesight. For such persons measures for normal operation shall be taken into account in addition to measures in the event of emergencies.</w:t>
      </w: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r w:rsidRPr="004F47BB">
        <w:rPr>
          <w:rFonts w:cs="Arial"/>
          <w:b/>
          <w:bCs/>
          <w:snapToGrid w:val="0"/>
          <w:szCs w:val="20"/>
          <w:lang w:val="en-US"/>
        </w:rPr>
        <w:br w:type="page"/>
      </w: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r w:rsidRPr="004F47BB">
        <w:rPr>
          <w:rFonts w:cs="Arial"/>
          <w:b/>
          <w:bCs/>
          <w:snapToGrid w:val="0"/>
          <w:szCs w:val="20"/>
          <w:lang w:val="en-US"/>
        </w:rPr>
        <w:lastRenderedPageBreak/>
        <w:t>14.</w:t>
      </w:r>
      <w:r w:rsidRPr="004F47BB">
        <w:rPr>
          <w:rFonts w:cs="Arial"/>
          <w:b/>
          <w:bCs/>
          <w:snapToGrid w:val="0"/>
          <w:szCs w:val="20"/>
          <w:lang w:val="en-US"/>
        </w:rPr>
        <w:tab/>
      </w:r>
      <w:r w:rsidRPr="004F47BB">
        <w:rPr>
          <w:rFonts w:cs="Arial"/>
          <w:b/>
          <w:bCs/>
          <w:noProof/>
          <w:snapToGrid w:val="0"/>
          <w:szCs w:val="20"/>
          <w:lang w:val="en-US"/>
        </w:rPr>
        <w:t>Article 19.13(2) — Safety plan</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The areas covered by (3) of this instruction shall be designated.</w:t>
      </w: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r w:rsidRPr="004F47BB">
        <w:rPr>
          <w:rFonts w:cs="Arial"/>
          <w:b/>
          <w:bCs/>
          <w:snapToGrid w:val="0"/>
          <w:szCs w:val="20"/>
          <w:lang w:val="en-US"/>
        </w:rPr>
        <w:t>15.</w:t>
      </w:r>
      <w:r w:rsidRPr="004F47BB">
        <w:rPr>
          <w:rFonts w:cs="Arial"/>
          <w:b/>
          <w:bCs/>
          <w:snapToGrid w:val="0"/>
          <w:szCs w:val="20"/>
          <w:lang w:val="en-US"/>
        </w:rPr>
        <w:tab/>
      </w:r>
      <w:r w:rsidRPr="004F47BB">
        <w:rPr>
          <w:rFonts w:cs="Arial"/>
          <w:b/>
          <w:bCs/>
          <w:noProof/>
          <w:snapToGrid w:val="0"/>
          <w:szCs w:val="20"/>
          <w:lang w:val="en-US"/>
        </w:rPr>
        <w:t>Article 19.13(3)(b) — Displaying the safety rota and the safety plan</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At least the copies of the safety rota and the safety plan displayed in the areas intended for use by persons with reduced mobility shall be such that they can, where possible, also be read by persons with impaired eyesight. This can be achieved for example by appropriate use of contrast and character size.</w:t>
      </w:r>
    </w:p>
    <w:p w:rsidR="004F47BB" w:rsidRPr="004F47BB" w:rsidRDefault="004F47BB" w:rsidP="004F47BB">
      <w:pPr>
        <w:spacing w:line="240" w:lineRule="atLeast"/>
        <w:ind w:left="567" w:firstLine="0"/>
        <w:rPr>
          <w:snapToGrid w:val="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In addition, the plans shall be displayed at a height so that wheelchair users can read them as well.</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tabs>
          <w:tab w:val="left" w:pos="567"/>
        </w:tabs>
        <w:autoSpaceDE/>
        <w:autoSpaceDN/>
        <w:spacing w:line="240" w:lineRule="atLeast"/>
        <w:ind w:left="567" w:hanging="567"/>
        <w:rPr>
          <w:rFonts w:cs="Arial"/>
          <w:b/>
          <w:bCs/>
          <w:snapToGrid w:val="0"/>
          <w:szCs w:val="20"/>
          <w:lang w:val="en-US"/>
        </w:rPr>
      </w:pPr>
      <w:r w:rsidRPr="004F47BB">
        <w:rPr>
          <w:rFonts w:cs="Arial"/>
          <w:b/>
          <w:bCs/>
          <w:snapToGrid w:val="0"/>
          <w:szCs w:val="20"/>
          <w:lang w:val="en-US"/>
        </w:rPr>
        <w:t>16.</w:t>
      </w:r>
      <w:r w:rsidRPr="004F47BB">
        <w:rPr>
          <w:rFonts w:cs="Arial"/>
          <w:b/>
          <w:bCs/>
          <w:snapToGrid w:val="0"/>
          <w:szCs w:val="20"/>
          <w:lang w:val="en-US"/>
        </w:rPr>
        <w:tab/>
      </w:r>
      <w:r w:rsidRPr="004F47BB">
        <w:rPr>
          <w:rFonts w:cs="Arial"/>
          <w:b/>
          <w:bCs/>
          <w:noProof/>
          <w:snapToGrid w:val="0"/>
          <w:szCs w:val="20"/>
          <w:lang w:val="en-US"/>
        </w:rPr>
        <w:t>Article 19.13(4) — Code of conduct for passengers</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spacing w:line="240" w:lineRule="atLeast"/>
        <w:ind w:left="567" w:firstLine="0"/>
        <w:rPr>
          <w:snapToGrid w:val="0"/>
          <w:lang w:val="en-US"/>
        </w:rPr>
      </w:pPr>
      <w:r w:rsidRPr="004F47BB">
        <w:rPr>
          <w:noProof/>
          <w:snapToGrid w:val="0"/>
          <w:lang w:val="en-US"/>
        </w:rPr>
        <w:t>(15) of this instruction applies accordingly.</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sectPr w:rsidR="004F47BB" w:rsidRPr="004F47BB" w:rsidSect="00D45887">
          <w:footnotePr>
            <w:numRestart w:val="eachPage"/>
          </w:footnotePr>
          <w:pgSz w:w="11907" w:h="16840" w:code="9"/>
          <w:pgMar w:top="1418" w:right="1418" w:bottom="1418" w:left="1418" w:header="680" w:footer="680" w:gutter="0"/>
          <w:cols w:space="720"/>
          <w:docGrid w:linePitch="326"/>
        </w:sectPr>
      </w:pPr>
    </w:p>
    <w:p w:rsidR="004F47BB" w:rsidRPr="004F47BB" w:rsidRDefault="004F47BB" w:rsidP="00330FC4">
      <w:pPr>
        <w:pStyle w:val="ES-Titre2ESI"/>
        <w:rPr>
          <w:szCs w:val="20"/>
        </w:rPr>
      </w:pPr>
      <w:bookmarkStart w:id="407" w:name="_Toc491854366"/>
      <w:r w:rsidRPr="004F47BB">
        <w:lastRenderedPageBreak/>
        <w:t>ESI-III-3</w:t>
      </w:r>
      <w:r w:rsidRPr="004F47BB">
        <w:br/>
        <w:t>Strength of watertight windows</w:t>
      </w:r>
      <w:bookmarkEnd w:id="407"/>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center"/>
        <w:textAlignment w:val="baseline"/>
        <w:rPr>
          <w:b/>
          <w:szCs w:val="20"/>
          <w:lang w:val="en-US"/>
        </w:rPr>
      </w:pPr>
      <w:r w:rsidRPr="004F47BB">
        <w:rPr>
          <w:b/>
          <w:szCs w:val="20"/>
          <w:lang w:val="en-US"/>
        </w:rPr>
        <w:t>(Article 19.02(16))</w:t>
      </w:r>
    </w:p>
    <w:p w:rsidR="004F47BB" w:rsidRPr="004F47BB" w:rsidRDefault="004F47BB" w:rsidP="004F47BB">
      <w:pPr>
        <w:overflowPunct w:val="0"/>
        <w:adjustRightInd w:val="0"/>
        <w:ind w:left="0" w:firstLine="0"/>
        <w:textAlignment w:val="baseline"/>
        <w:rPr>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1.</w:t>
      </w:r>
      <w:r w:rsidRPr="004F47BB">
        <w:rPr>
          <w:rFonts w:cs="Arial"/>
          <w:b/>
          <w:color w:val="000000"/>
          <w:szCs w:val="20"/>
          <w:lang w:val="en-US"/>
        </w:rPr>
        <w:tab/>
        <w:t>General</w:t>
      </w:r>
    </w:p>
    <w:p w:rsidR="004F47BB" w:rsidRPr="004F47BB" w:rsidRDefault="004F47BB" w:rsidP="004F47BB">
      <w:pPr>
        <w:tabs>
          <w:tab w:val="left" w:pos="567"/>
        </w:tabs>
        <w:overflowPunct w:val="0"/>
        <w:adjustRightInd w:val="0"/>
        <w:spacing w:line="240" w:lineRule="atLeast"/>
        <w:ind w:left="567" w:hanging="567"/>
        <w:textAlignment w:val="baseline"/>
        <w:rPr>
          <w:szCs w:val="20"/>
          <w:lang w:val="en-US"/>
        </w:rPr>
      </w:pPr>
    </w:p>
    <w:p w:rsidR="004F47BB" w:rsidRPr="004F47BB" w:rsidRDefault="004F47BB" w:rsidP="004F47BB">
      <w:pPr>
        <w:spacing w:line="240" w:lineRule="atLeast"/>
        <w:ind w:left="567" w:firstLine="0"/>
        <w:rPr>
          <w:lang w:val="en-US"/>
        </w:rPr>
      </w:pPr>
      <w:r w:rsidRPr="004F47BB">
        <w:rPr>
          <w:lang w:val="en-US"/>
        </w:rPr>
        <w:t>According to Article 19.02(16), watertight windows may be situated below the margin line if they are watertight, cannot be opened, possess sufficient strength and conform to Article 19.06(14).</w:t>
      </w:r>
    </w:p>
    <w:p w:rsidR="004F47BB" w:rsidRPr="004F47BB" w:rsidRDefault="004F47BB" w:rsidP="004F47BB">
      <w:pPr>
        <w:tabs>
          <w:tab w:val="left" w:pos="567"/>
        </w:tabs>
        <w:overflowPunct w:val="0"/>
        <w:adjustRightInd w:val="0"/>
        <w:spacing w:line="240" w:lineRule="atLeast"/>
        <w:ind w:left="567" w:hanging="567"/>
        <w:textAlignment w:val="baseline"/>
        <w:rPr>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2.</w:t>
      </w:r>
      <w:r w:rsidRPr="004F47BB">
        <w:rPr>
          <w:rFonts w:cs="Arial"/>
          <w:b/>
          <w:color w:val="000000"/>
          <w:szCs w:val="20"/>
          <w:lang w:val="en-US"/>
        </w:rPr>
        <w:tab/>
        <w:t>Construction of watertight windows</w:t>
      </w:r>
    </w:p>
    <w:p w:rsidR="004F47BB" w:rsidRPr="004F47BB" w:rsidRDefault="004F47BB" w:rsidP="004F47BB">
      <w:pPr>
        <w:tabs>
          <w:tab w:val="left" w:pos="567"/>
        </w:tabs>
        <w:overflowPunct w:val="0"/>
        <w:adjustRightInd w:val="0"/>
        <w:spacing w:line="240" w:lineRule="atLeast"/>
        <w:ind w:left="567" w:hanging="567"/>
        <w:textAlignment w:val="baseline"/>
        <w:rPr>
          <w:szCs w:val="20"/>
          <w:lang w:val="en-US"/>
        </w:rPr>
      </w:pPr>
    </w:p>
    <w:p w:rsidR="004F47BB" w:rsidRPr="004F47BB" w:rsidRDefault="004F47BB" w:rsidP="004F47BB">
      <w:pPr>
        <w:spacing w:line="240" w:lineRule="atLeast"/>
        <w:ind w:left="567" w:firstLine="0"/>
        <w:rPr>
          <w:lang w:val="en-US"/>
        </w:rPr>
      </w:pPr>
      <w:r w:rsidRPr="004F47BB">
        <w:rPr>
          <w:lang w:val="en-US"/>
        </w:rPr>
        <w:t>The requirements of Article 19.02(16) are deemed to be fulfilled if the construction of watertight windows complies with the following provisions.</w:t>
      </w:r>
    </w:p>
    <w:p w:rsidR="004F47BB" w:rsidRPr="004F47BB" w:rsidRDefault="004F47BB" w:rsidP="004F47BB">
      <w:pPr>
        <w:tabs>
          <w:tab w:val="left" w:pos="425"/>
        </w:tabs>
        <w:overflowPunct w:val="0"/>
        <w:adjustRightInd w:val="0"/>
        <w:textAlignment w:val="baseline"/>
        <w:rPr>
          <w:szCs w:val="20"/>
          <w:lang w:val="en-US"/>
        </w:rPr>
      </w:pPr>
    </w:p>
    <w:p w:rsidR="004F47BB" w:rsidRPr="004F47BB" w:rsidRDefault="004F47BB" w:rsidP="004F47BB">
      <w:pPr>
        <w:spacing w:line="240" w:lineRule="atLeast"/>
        <w:ind w:left="567" w:hanging="567"/>
        <w:rPr>
          <w:lang w:val="en-US"/>
        </w:rPr>
      </w:pPr>
      <w:r w:rsidRPr="004F47BB">
        <w:rPr>
          <w:lang w:val="en-US"/>
        </w:rPr>
        <w:t>2.1</w:t>
      </w:r>
      <w:r w:rsidRPr="004F47BB">
        <w:rPr>
          <w:lang w:val="en-US"/>
        </w:rPr>
        <w:tab/>
        <w:t xml:space="preserve">Only pre-stressed glass complying with </w:t>
      </w:r>
      <w:r w:rsidRPr="004F47BB">
        <w:rPr>
          <w:rFonts w:ascii="ArialMT" w:hAnsi="ArialMT" w:cs="ArialMT"/>
          <w:szCs w:val="20"/>
          <w:lang w:val="en-US"/>
        </w:rPr>
        <w:t>International Standard</w:t>
      </w:r>
    </w:p>
    <w:p w:rsidR="004F47BB" w:rsidRPr="004F47BB" w:rsidRDefault="004F47BB" w:rsidP="004F47BB">
      <w:pPr>
        <w:spacing w:line="240" w:lineRule="atLeast"/>
        <w:ind w:left="567" w:firstLine="0"/>
        <w:rPr>
          <w:lang w:val="en-US"/>
        </w:rPr>
      </w:pPr>
      <w:r w:rsidRPr="004F47BB">
        <w:rPr>
          <w:lang w:val="en-US"/>
        </w:rPr>
        <w:t xml:space="preserve">ISO 614: 2012, </w:t>
      </w:r>
    </w:p>
    <w:p w:rsidR="004F47BB" w:rsidRPr="004F47BB" w:rsidRDefault="004F47BB" w:rsidP="004F47BB">
      <w:pPr>
        <w:spacing w:line="240" w:lineRule="atLeast"/>
        <w:ind w:left="567" w:firstLine="0"/>
        <w:rPr>
          <w:lang w:val="en-US"/>
        </w:rPr>
      </w:pPr>
      <w:r w:rsidRPr="004F47BB">
        <w:rPr>
          <w:lang w:val="en-US"/>
        </w:rPr>
        <w:t>shall be used.</w:t>
      </w:r>
    </w:p>
    <w:p w:rsidR="004F47BB" w:rsidRPr="004F47BB" w:rsidRDefault="004F47BB" w:rsidP="004F47BB">
      <w:pPr>
        <w:tabs>
          <w:tab w:val="left" w:pos="992"/>
        </w:tabs>
        <w:overflowPunct w:val="0"/>
        <w:adjustRightInd w:val="0"/>
        <w:spacing w:line="240" w:lineRule="atLeast"/>
        <w:ind w:left="567" w:hanging="567"/>
        <w:textAlignment w:val="baseline"/>
        <w:rPr>
          <w:szCs w:val="20"/>
          <w:lang w:val="en-US"/>
        </w:rPr>
      </w:pPr>
    </w:p>
    <w:p w:rsidR="004F47BB" w:rsidRPr="004F47BB" w:rsidRDefault="004F47BB" w:rsidP="004F47BB">
      <w:pPr>
        <w:spacing w:line="240" w:lineRule="atLeast"/>
        <w:ind w:left="567" w:hanging="567"/>
        <w:rPr>
          <w:lang w:val="en-US"/>
        </w:rPr>
      </w:pPr>
      <w:r w:rsidRPr="004F47BB">
        <w:rPr>
          <w:lang w:val="en-US"/>
        </w:rPr>
        <w:t>2.2</w:t>
      </w:r>
      <w:r w:rsidRPr="004F47BB">
        <w:rPr>
          <w:lang w:val="en-US"/>
        </w:rPr>
        <w:tab/>
        <w:t xml:space="preserve">Round windows shall comply with </w:t>
      </w:r>
      <w:r w:rsidRPr="004F47BB">
        <w:rPr>
          <w:rFonts w:ascii="ArialMT" w:hAnsi="ArialMT" w:cs="ArialMT"/>
          <w:szCs w:val="20"/>
          <w:lang w:val="en-US"/>
        </w:rPr>
        <w:t>International Standard</w:t>
      </w:r>
    </w:p>
    <w:p w:rsidR="004F47BB" w:rsidRPr="004F47BB" w:rsidRDefault="004F47BB" w:rsidP="004F47BB">
      <w:pPr>
        <w:spacing w:line="240" w:lineRule="atLeast"/>
        <w:ind w:left="567" w:firstLine="0"/>
        <w:rPr>
          <w:lang w:val="en-US"/>
        </w:rPr>
      </w:pPr>
      <w:r w:rsidRPr="004F47BB">
        <w:rPr>
          <w:lang w:val="en-US"/>
        </w:rPr>
        <w:t xml:space="preserve">ISO 1751: 2012, </w:t>
      </w:r>
    </w:p>
    <w:p w:rsidR="004F47BB" w:rsidRPr="004F47BB" w:rsidRDefault="004F47BB" w:rsidP="004F47BB">
      <w:pPr>
        <w:spacing w:line="240" w:lineRule="atLeast"/>
        <w:ind w:left="567" w:firstLine="0"/>
        <w:rPr>
          <w:lang w:val="en-US"/>
        </w:rPr>
      </w:pPr>
      <w:r w:rsidRPr="004F47BB">
        <w:rPr>
          <w:lang w:val="en-US"/>
        </w:rPr>
        <w:t xml:space="preserve">Series B: medium heavy-duty windows </w:t>
      </w:r>
    </w:p>
    <w:p w:rsidR="004F47BB" w:rsidRPr="004F47BB" w:rsidRDefault="004F47BB" w:rsidP="004F47BB">
      <w:pPr>
        <w:spacing w:line="240" w:lineRule="atLeast"/>
        <w:ind w:left="567" w:firstLine="0"/>
        <w:rPr>
          <w:lang w:val="en-US"/>
        </w:rPr>
      </w:pPr>
      <w:r w:rsidRPr="004F47BB">
        <w:rPr>
          <w:lang w:val="en-US"/>
        </w:rPr>
        <w:t>Type: non-opening window.</w:t>
      </w:r>
    </w:p>
    <w:p w:rsidR="004F47BB" w:rsidRPr="004F47BB" w:rsidRDefault="004F47BB" w:rsidP="004F47BB">
      <w:pPr>
        <w:tabs>
          <w:tab w:val="left" w:pos="992"/>
        </w:tabs>
        <w:overflowPunct w:val="0"/>
        <w:adjustRightInd w:val="0"/>
        <w:spacing w:line="240" w:lineRule="atLeast"/>
        <w:ind w:left="567" w:hanging="567"/>
        <w:textAlignment w:val="baseline"/>
        <w:rPr>
          <w:szCs w:val="20"/>
          <w:lang w:val="en-US"/>
        </w:rPr>
      </w:pPr>
    </w:p>
    <w:p w:rsidR="004F47BB" w:rsidRPr="004F47BB" w:rsidRDefault="004F47BB" w:rsidP="004F47BB">
      <w:pPr>
        <w:spacing w:line="240" w:lineRule="atLeast"/>
        <w:ind w:left="567" w:hanging="567"/>
        <w:rPr>
          <w:lang w:val="en-US"/>
        </w:rPr>
      </w:pPr>
      <w:r w:rsidRPr="004F47BB">
        <w:rPr>
          <w:lang w:val="en-US"/>
        </w:rPr>
        <w:t>2.3</w:t>
      </w:r>
      <w:r w:rsidRPr="004F47BB">
        <w:rPr>
          <w:lang w:val="en-US"/>
        </w:rPr>
        <w:tab/>
        <w:t xml:space="preserve">Angular windows shall comply with </w:t>
      </w:r>
      <w:r w:rsidRPr="004F47BB">
        <w:rPr>
          <w:rFonts w:ascii="ArialMT" w:hAnsi="ArialMT" w:cs="ArialMT"/>
          <w:szCs w:val="20"/>
          <w:lang w:val="en-US"/>
        </w:rPr>
        <w:t>International Standard</w:t>
      </w:r>
    </w:p>
    <w:p w:rsidR="004F47BB" w:rsidRPr="004F47BB" w:rsidRDefault="004F47BB" w:rsidP="004F47BB">
      <w:pPr>
        <w:spacing w:line="240" w:lineRule="atLeast"/>
        <w:ind w:left="567" w:firstLine="0"/>
        <w:rPr>
          <w:lang w:val="en-US"/>
        </w:rPr>
      </w:pPr>
      <w:r w:rsidRPr="004F47BB">
        <w:rPr>
          <w:lang w:val="en-US"/>
        </w:rPr>
        <w:t xml:space="preserve">ISO 3903: 2012, </w:t>
      </w:r>
    </w:p>
    <w:p w:rsidR="004F47BB" w:rsidRPr="004F47BB" w:rsidRDefault="004F47BB" w:rsidP="004F47BB">
      <w:pPr>
        <w:spacing w:line="240" w:lineRule="atLeast"/>
        <w:ind w:left="567" w:firstLine="0"/>
        <w:rPr>
          <w:lang w:val="en-US"/>
        </w:rPr>
      </w:pPr>
      <w:r w:rsidRPr="004F47BB">
        <w:rPr>
          <w:lang w:val="en-US"/>
        </w:rPr>
        <w:t xml:space="preserve">Series E: heavy-duty windows </w:t>
      </w:r>
    </w:p>
    <w:p w:rsidR="004F47BB" w:rsidRPr="004F47BB" w:rsidRDefault="004F47BB" w:rsidP="004F47BB">
      <w:pPr>
        <w:spacing w:line="240" w:lineRule="atLeast"/>
        <w:ind w:left="567" w:firstLine="0"/>
        <w:rPr>
          <w:lang w:val="en-US"/>
        </w:rPr>
      </w:pPr>
      <w:r w:rsidRPr="004F47BB">
        <w:rPr>
          <w:lang w:val="en-US"/>
        </w:rPr>
        <w:t>Type: non-opening window</w:t>
      </w:r>
    </w:p>
    <w:p w:rsidR="004F47BB" w:rsidRPr="004F47BB" w:rsidRDefault="004F47BB" w:rsidP="004F47BB">
      <w:pPr>
        <w:tabs>
          <w:tab w:val="left" w:pos="992"/>
        </w:tabs>
        <w:overflowPunct w:val="0"/>
        <w:adjustRightInd w:val="0"/>
        <w:spacing w:line="240" w:lineRule="atLeast"/>
        <w:ind w:left="567" w:hanging="567"/>
        <w:textAlignment w:val="baseline"/>
        <w:rPr>
          <w:szCs w:val="20"/>
          <w:lang w:val="en-US"/>
        </w:rPr>
      </w:pPr>
    </w:p>
    <w:p w:rsidR="004F47BB" w:rsidRPr="004F47BB" w:rsidRDefault="004F47BB" w:rsidP="004F47BB">
      <w:pPr>
        <w:spacing w:line="240" w:lineRule="atLeast"/>
        <w:ind w:left="567" w:hanging="567"/>
        <w:rPr>
          <w:lang w:val="en-US"/>
        </w:rPr>
      </w:pPr>
      <w:r w:rsidRPr="004F47BB">
        <w:rPr>
          <w:lang w:val="en-US"/>
        </w:rPr>
        <w:t>2.4</w:t>
      </w:r>
      <w:r w:rsidRPr="004F47BB">
        <w:rPr>
          <w:lang w:val="en-US"/>
        </w:rPr>
        <w:tab/>
        <w:t>ISO Standard windows may be replaced by windows whose construction is at least equivalent to the requirements of (2.1) to (2.3).</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r w:rsidRPr="004F47BB">
        <w:rPr>
          <w:szCs w:val="20"/>
          <w:lang w:val="en-US"/>
        </w:rPr>
        <w:br w:type="page"/>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sectPr w:rsidR="004F47BB" w:rsidRPr="004F47BB" w:rsidSect="00D45887">
          <w:footnotePr>
            <w:numRestart w:val="eachPage"/>
          </w:footnotePr>
          <w:pgSz w:w="11907" w:h="16840" w:code="9"/>
          <w:pgMar w:top="1418" w:right="1418" w:bottom="1418" w:left="1418" w:header="680" w:footer="680" w:gutter="0"/>
          <w:cols w:space="720"/>
          <w:docGrid w:linePitch="326"/>
        </w:sectPr>
      </w:pPr>
    </w:p>
    <w:p w:rsidR="004F47BB" w:rsidRPr="004F47BB" w:rsidRDefault="004F47BB" w:rsidP="00330FC4">
      <w:pPr>
        <w:pStyle w:val="ES-Titre2ESI"/>
        <w:rPr>
          <w:szCs w:val="20"/>
        </w:rPr>
      </w:pPr>
      <w:bookmarkStart w:id="408" w:name="_Toc491854367"/>
      <w:r w:rsidRPr="004F47BB">
        <w:lastRenderedPageBreak/>
        <w:t>ESI-III-4</w:t>
      </w:r>
      <w:r w:rsidRPr="004F47BB">
        <w:br/>
      </w:r>
      <w:r w:rsidRPr="004F47BB">
        <w:rPr>
          <w:noProof/>
        </w:rPr>
        <w:t>Safety guidance system</w:t>
      </w:r>
      <w:bookmarkEnd w:id="408"/>
      <w:r w:rsidRPr="004F47BB">
        <w:t xml:space="preserve"> </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adjustRightInd w:val="0"/>
        <w:spacing w:line="240" w:lineRule="atLeast"/>
        <w:ind w:left="0" w:firstLine="0"/>
        <w:jc w:val="center"/>
        <w:rPr>
          <w:rFonts w:cs="Arial"/>
          <w:b/>
          <w:szCs w:val="20"/>
          <w:lang w:val="en-US"/>
        </w:rPr>
      </w:pPr>
      <w:r w:rsidRPr="004F47BB">
        <w:rPr>
          <w:rFonts w:cs="Arial"/>
          <w:b/>
          <w:szCs w:val="20"/>
          <w:lang w:val="en-US"/>
        </w:rPr>
        <w:t>(Article 19.06(7); Article 29.09(d))</w:t>
      </w:r>
    </w:p>
    <w:p w:rsidR="004F47BB" w:rsidRPr="004F47BB" w:rsidRDefault="004F47BB" w:rsidP="004F47BB">
      <w:pPr>
        <w:tabs>
          <w:tab w:val="left" w:pos="425"/>
        </w:tabs>
        <w:autoSpaceDE/>
        <w:autoSpaceDN/>
        <w:spacing w:line="240" w:lineRule="atLeast"/>
        <w:jc w:val="left"/>
        <w:rPr>
          <w:rFonts w:cs="Arial"/>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1.</w:t>
      </w:r>
      <w:r w:rsidRPr="004F47BB">
        <w:rPr>
          <w:rFonts w:cs="Arial"/>
          <w:b/>
          <w:color w:val="000000"/>
          <w:szCs w:val="20"/>
          <w:lang w:val="en-US"/>
        </w:rPr>
        <w:tab/>
        <w:t>General</w:t>
      </w:r>
    </w:p>
    <w:p w:rsidR="004F47BB" w:rsidRPr="004F47BB" w:rsidRDefault="004F47BB" w:rsidP="004F47BB">
      <w:pPr>
        <w:tabs>
          <w:tab w:val="left" w:pos="425"/>
        </w:tabs>
        <w:autoSpaceDE/>
        <w:autoSpaceDN/>
        <w:spacing w:line="240" w:lineRule="atLeast"/>
        <w:rPr>
          <w:rFonts w:cs="Arial"/>
          <w:lang w:val="en-US"/>
        </w:rPr>
      </w:pPr>
    </w:p>
    <w:p w:rsidR="004F47BB" w:rsidRPr="004F47BB" w:rsidRDefault="004F47BB" w:rsidP="004F47BB">
      <w:pPr>
        <w:spacing w:line="240" w:lineRule="atLeast"/>
        <w:ind w:left="567" w:hanging="567"/>
        <w:rPr>
          <w:snapToGrid w:val="0"/>
          <w:lang w:val="en-US" w:eastAsia="en-US"/>
        </w:rPr>
      </w:pPr>
      <w:r w:rsidRPr="004F47BB">
        <w:rPr>
          <w:snapToGrid w:val="0"/>
          <w:lang w:val="en-US" w:eastAsia="en-US"/>
        </w:rPr>
        <w:t>1.1</w:t>
      </w:r>
      <w:r w:rsidRPr="004F47BB">
        <w:rPr>
          <w:snapToGrid w:val="0"/>
          <w:lang w:val="en-US" w:eastAsia="en-US"/>
        </w:rPr>
        <w:tab/>
        <w:t>According to the abovementioned provisions, passenger vessels and high-speed vessels shall have suitable guidance systems to clearly identify the escape routes and emergency exits when the normal emergency lighting is less effective due to smoke. Such guidance systems shall take the form of low-location lighting (LLL). This instruction covers the approval, installation and maintenance of such guidance systems.</w:t>
      </w: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pPr>
      <w:r w:rsidRPr="004F47BB">
        <w:rPr>
          <w:lang w:val="en-US"/>
        </w:rPr>
        <w:t>1.2</w:t>
      </w:r>
      <w:r w:rsidRPr="004F47BB">
        <w:rPr>
          <w:lang w:val="en-US"/>
        </w:rPr>
        <w:tab/>
        <w:t>In addition to the emergency lighting required by Article 19.10(3) the escape routes, including stairways, exits and emergency exits, shall be marked by low-location lighting (LLL) throughout the whole of the escape route, particularly at corners and intersections.</w:t>
      </w: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pPr>
      <w:r w:rsidRPr="004F47BB">
        <w:rPr>
          <w:lang w:val="en-US"/>
        </w:rPr>
        <w:t>1.3</w:t>
      </w:r>
      <w:r w:rsidRPr="004F47BB">
        <w:rPr>
          <w:lang w:val="en-US"/>
        </w:rPr>
        <w:tab/>
        <w:t>The LLL system shall function for at least 30 minutes after its activation.</w:t>
      </w: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pPr>
      <w:r w:rsidRPr="004F47BB">
        <w:rPr>
          <w:lang w:val="en-US"/>
        </w:rPr>
        <w:t>1.4</w:t>
      </w:r>
      <w:r w:rsidRPr="004F47BB">
        <w:rPr>
          <w:lang w:val="en-US"/>
        </w:rPr>
        <w:tab/>
        <w:t>LLL products shall be neither radioactive nor toxic.</w:t>
      </w: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pPr>
      <w:r w:rsidRPr="004F47BB">
        <w:rPr>
          <w:lang w:val="en-US"/>
        </w:rPr>
        <w:t>1.5</w:t>
      </w:r>
      <w:r w:rsidRPr="004F47BB">
        <w:rPr>
          <w:lang w:val="en-US"/>
        </w:rPr>
        <w:tab/>
        <w:t>Instructions on the LLL system shall be displayed with the safety plan in accordance with Article 19.13(2) and in every cabin.</w:t>
      </w: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2.</w:t>
      </w:r>
      <w:r w:rsidRPr="004F47BB">
        <w:rPr>
          <w:rFonts w:cs="Arial"/>
          <w:b/>
          <w:color w:val="000000"/>
          <w:szCs w:val="20"/>
          <w:lang w:val="en-US"/>
        </w:rPr>
        <w:tab/>
        <w:t>Definitions</w:t>
      </w:r>
    </w:p>
    <w:p w:rsidR="004F47BB" w:rsidRPr="004F47BB" w:rsidRDefault="004F47BB" w:rsidP="004F47BB">
      <w:pPr>
        <w:tabs>
          <w:tab w:val="left" w:pos="425"/>
        </w:tabs>
        <w:autoSpaceDE/>
        <w:autoSpaceDN/>
        <w:spacing w:line="240" w:lineRule="atLeast"/>
        <w:rPr>
          <w:rFonts w:cs="Arial"/>
          <w:lang w:val="en-US"/>
        </w:rPr>
      </w:pPr>
    </w:p>
    <w:p w:rsidR="004F47BB" w:rsidRPr="004F47BB" w:rsidRDefault="004F47BB" w:rsidP="004F47BB">
      <w:pPr>
        <w:spacing w:line="240" w:lineRule="atLeast"/>
        <w:ind w:left="567" w:hanging="567"/>
        <w:rPr>
          <w:lang w:val="en-US"/>
        </w:rPr>
      </w:pPr>
      <w:r w:rsidRPr="004F47BB">
        <w:rPr>
          <w:lang w:val="en-US"/>
        </w:rPr>
        <w:t>2.1</w:t>
      </w:r>
      <w:r w:rsidRPr="004F47BB">
        <w:rPr>
          <w:lang w:val="en-US"/>
        </w:rPr>
        <w:tab/>
        <w:t>Low-location lighting (LLL) — Electrically powered lighting or photoluminescent indicators placed along the escape routes so as to ensure that all such routes can be easily identified.</w:t>
      </w: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pPr>
      <w:r w:rsidRPr="004F47BB">
        <w:rPr>
          <w:lang w:val="en-US"/>
        </w:rPr>
        <w:t>2.2</w:t>
      </w:r>
      <w:r w:rsidRPr="004F47BB">
        <w:rPr>
          <w:lang w:val="en-US"/>
        </w:rPr>
        <w:tab/>
        <w:t>Photoluminescent (PL) system — An LLL system which uses PL material. Photoluminescent material contains a chemical (example: zinc sulphide) that has the quality of storing energy when illuminated by visible light. The PL material emits light which becomes visible when the ambient light source is less effective. Without the light source to re-energise it, the PL material gives off the stored energy for a period of time with diminishing luminance.</w:t>
      </w: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pPr>
      <w:r w:rsidRPr="004F47BB">
        <w:rPr>
          <w:lang w:val="en-US"/>
        </w:rPr>
        <w:t>2.3</w:t>
      </w:r>
      <w:r w:rsidRPr="004F47BB">
        <w:rPr>
          <w:lang w:val="en-US"/>
        </w:rPr>
        <w:tab/>
        <w:t>Electrically powered (EP) system — An LLL system which requires electrical power for its operation, such as systems using incandescent bulbs, light-emitting diodes, electroluminescent strips or lamps, electro</w:t>
      </w:r>
      <w:r w:rsidR="00871782">
        <w:rPr>
          <w:lang w:val="en-US"/>
        </w:rPr>
        <w:t>-</w:t>
      </w:r>
      <w:r w:rsidRPr="004F47BB">
        <w:rPr>
          <w:lang w:val="en-US"/>
        </w:rPr>
        <w:t>fluorescent lamps, etc.</w:t>
      </w:r>
    </w:p>
    <w:p w:rsidR="004F47BB" w:rsidRPr="004F47BB" w:rsidRDefault="004F47BB" w:rsidP="004F47BB">
      <w:pPr>
        <w:tabs>
          <w:tab w:val="left" w:pos="425"/>
        </w:tabs>
        <w:autoSpaceDE/>
        <w:autoSpaceDN/>
        <w:spacing w:line="240" w:lineRule="atLeast"/>
        <w:rPr>
          <w:rFonts w:cs="Arial"/>
          <w:lang w:val="en-US"/>
        </w:rPr>
      </w:pPr>
    </w:p>
    <w:p w:rsidR="004F47BB" w:rsidRPr="004F47BB" w:rsidRDefault="004F47BB" w:rsidP="004F47BB">
      <w:pPr>
        <w:tabs>
          <w:tab w:val="left" w:pos="425"/>
        </w:tabs>
        <w:autoSpaceDE/>
        <w:autoSpaceDN/>
        <w:spacing w:line="240" w:lineRule="atLeast"/>
        <w:rPr>
          <w:rFonts w:cs="Arial"/>
          <w:lang w:val="en-US"/>
        </w:rPr>
      </w:pPr>
      <w:r w:rsidRPr="004F47BB">
        <w:rPr>
          <w:rFonts w:cs="Arial"/>
          <w:lang w:val="en-US"/>
        </w:rPr>
        <w:br w:type="page"/>
      </w:r>
    </w:p>
    <w:p w:rsidR="004F47BB" w:rsidRPr="004F47BB" w:rsidRDefault="004F47BB" w:rsidP="004F47BB">
      <w:pPr>
        <w:tabs>
          <w:tab w:val="left" w:pos="567"/>
        </w:tabs>
        <w:autoSpaceDE/>
        <w:autoSpaceDN/>
        <w:spacing w:line="240" w:lineRule="atLeast"/>
        <w:ind w:left="567" w:hanging="567"/>
        <w:rPr>
          <w:rFonts w:cs="Arial"/>
          <w:b/>
          <w:lang w:val="en-US"/>
        </w:rPr>
      </w:pPr>
      <w:r w:rsidRPr="004F47BB">
        <w:rPr>
          <w:rFonts w:cs="Arial"/>
          <w:b/>
          <w:lang w:val="en-US"/>
        </w:rPr>
        <w:lastRenderedPageBreak/>
        <w:t>3.</w:t>
      </w:r>
      <w:r w:rsidRPr="004F47BB">
        <w:rPr>
          <w:rFonts w:cs="Arial"/>
          <w:b/>
          <w:lang w:val="en-US"/>
        </w:rPr>
        <w:tab/>
        <w:t>Passageways and stairways</w:t>
      </w:r>
    </w:p>
    <w:p w:rsidR="004F47BB" w:rsidRPr="004F47BB" w:rsidRDefault="004F47BB" w:rsidP="004F47BB">
      <w:pPr>
        <w:tabs>
          <w:tab w:val="left" w:pos="425"/>
        </w:tabs>
        <w:autoSpaceDE/>
        <w:autoSpaceDN/>
        <w:spacing w:line="240" w:lineRule="atLeast"/>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3.1</w:t>
      </w:r>
      <w:r w:rsidRPr="004F47BB">
        <w:rPr>
          <w:rFonts w:cs="Arial"/>
          <w:lang w:val="en-US"/>
        </w:rPr>
        <w:tab/>
        <w:t>In all passageways, the LLL shall be continuous, except where interrupted by corridors and cabin doors, in order to provide a visible delineation along the escape route. LLL systems in compliance with an International Standard having a visible delineation without being continuous shall also be acceptable. The LLL shall be installed at least on one side of the corridor, either on the wall no more than 0,3 m from the floor, or on the floor no more than 0,15 m from the wall. In corridors more than two metres wide, LLL shall be installed on both sides.</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szCs w:val="20"/>
          <w:lang w:val="en-US"/>
        </w:rPr>
      </w:pPr>
      <w:r w:rsidRPr="004F47BB">
        <w:rPr>
          <w:rFonts w:cs="Arial"/>
          <w:lang w:val="en-US"/>
        </w:rPr>
        <w:t>3.2</w:t>
      </w:r>
      <w:r w:rsidRPr="004F47BB">
        <w:rPr>
          <w:rFonts w:cs="Arial"/>
          <w:lang w:val="en-US"/>
        </w:rPr>
        <w:tab/>
        <w:t>In dead-end corridors, the LLL shall have arrows placed at intervals of no more than 1 m, or equivalent direction indicators, pointing in the direction of the escape route.</w:t>
      </w:r>
    </w:p>
    <w:p w:rsidR="004F47BB" w:rsidRPr="004F47BB" w:rsidRDefault="004F47BB" w:rsidP="004F47BB">
      <w:pPr>
        <w:tabs>
          <w:tab w:val="left" w:pos="567"/>
        </w:tabs>
        <w:autoSpaceDE/>
        <w:autoSpaceDN/>
        <w:spacing w:line="240" w:lineRule="atLeast"/>
        <w:ind w:left="567" w:hanging="567"/>
        <w:rPr>
          <w:rFonts w:cs="Arial"/>
          <w:szCs w:val="20"/>
          <w:lang w:val="en-US"/>
        </w:rPr>
      </w:pPr>
    </w:p>
    <w:p w:rsidR="004F47BB" w:rsidRPr="004F47BB" w:rsidRDefault="004F47BB" w:rsidP="004F47BB">
      <w:pPr>
        <w:tabs>
          <w:tab w:val="left" w:pos="567"/>
        </w:tabs>
        <w:autoSpaceDE/>
        <w:autoSpaceDN/>
        <w:spacing w:line="240" w:lineRule="atLeast"/>
        <w:ind w:left="567" w:hanging="567"/>
        <w:rPr>
          <w:rFonts w:cs="Arial"/>
          <w:iCs/>
          <w:szCs w:val="20"/>
          <w:lang w:val="en-US"/>
        </w:rPr>
      </w:pPr>
      <w:r w:rsidRPr="004F47BB">
        <w:rPr>
          <w:rFonts w:cs="Arial"/>
          <w:iCs/>
          <w:szCs w:val="20"/>
          <w:lang w:val="en-US"/>
        </w:rPr>
        <w:t>3.3</w:t>
      </w:r>
      <w:r w:rsidRPr="004F47BB">
        <w:rPr>
          <w:rFonts w:cs="Arial"/>
          <w:iCs/>
          <w:szCs w:val="20"/>
          <w:lang w:val="en-US"/>
        </w:rPr>
        <w:tab/>
        <w:t>In all stairways, LLL shall be installed on at least one side at no more than 0,3 m above the steps, which will make the location of each step readily identifiable to any person standing above and below that step. Low-location lighting shall be installed on both sides if the width of the stairway is 2 m or more. The top and bottom of each set of stairs shall be identified to show that there are no further steps.</w:t>
      </w:r>
    </w:p>
    <w:p w:rsidR="004F47BB" w:rsidRPr="004F47BB" w:rsidRDefault="004F47BB" w:rsidP="004F47BB">
      <w:pPr>
        <w:tabs>
          <w:tab w:val="left" w:pos="567"/>
        </w:tabs>
        <w:autoSpaceDE/>
        <w:autoSpaceDN/>
        <w:spacing w:line="240" w:lineRule="atLeast"/>
        <w:ind w:left="567" w:hanging="567"/>
        <w:rPr>
          <w:rFonts w:cs="Arial"/>
          <w:i/>
          <w:iCs/>
          <w:szCs w:val="20"/>
          <w:lang w:val="en-US"/>
        </w:rPr>
      </w:pPr>
    </w:p>
    <w:p w:rsidR="004F47BB" w:rsidRPr="004F47BB" w:rsidRDefault="004F47BB" w:rsidP="004F47BB">
      <w:pPr>
        <w:tabs>
          <w:tab w:val="left" w:pos="567"/>
        </w:tabs>
        <w:autoSpaceDE/>
        <w:autoSpaceDN/>
        <w:spacing w:line="240" w:lineRule="atLeast"/>
        <w:ind w:left="567" w:hanging="567"/>
        <w:rPr>
          <w:rFonts w:cs="Arial"/>
          <w:b/>
          <w:lang w:val="en-US"/>
        </w:rPr>
      </w:pPr>
      <w:r w:rsidRPr="004F47BB">
        <w:rPr>
          <w:rFonts w:cs="Arial"/>
          <w:b/>
          <w:lang w:val="en-US"/>
        </w:rPr>
        <w:t>4.</w:t>
      </w:r>
      <w:r w:rsidRPr="004F47BB">
        <w:rPr>
          <w:rFonts w:cs="Arial"/>
          <w:b/>
          <w:lang w:val="en-US"/>
        </w:rPr>
        <w:tab/>
        <w:t>Doors</w:t>
      </w:r>
    </w:p>
    <w:p w:rsidR="004F47BB" w:rsidRPr="004F47BB" w:rsidRDefault="004F47BB" w:rsidP="004F47BB">
      <w:pPr>
        <w:tabs>
          <w:tab w:val="left" w:pos="425"/>
        </w:tabs>
        <w:autoSpaceDE/>
        <w:autoSpaceDN/>
        <w:spacing w:line="240" w:lineRule="atLeast"/>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4.1</w:t>
      </w:r>
      <w:r w:rsidRPr="004F47BB">
        <w:rPr>
          <w:rFonts w:cs="Arial"/>
          <w:lang w:val="en-US"/>
        </w:rPr>
        <w:tab/>
        <w:t>Low-location lighting shall lead to the exit door handle. To prevent confusion, no other doors shall be similarly marked.</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4.2</w:t>
      </w:r>
      <w:r w:rsidRPr="004F47BB">
        <w:rPr>
          <w:rFonts w:cs="Arial"/>
          <w:lang w:val="en-US"/>
        </w:rPr>
        <w:tab/>
        <w:t>Where sliding doors are fitted in partitions in accordance with Article 19.11(2) and in bulkheads in accordance with Article 19.02(5), the direction of opening shall be indicated.</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b/>
          <w:lang w:val="en-US"/>
        </w:rPr>
      </w:pPr>
      <w:r w:rsidRPr="004F47BB">
        <w:rPr>
          <w:rFonts w:cs="Arial"/>
          <w:b/>
          <w:lang w:val="en-US"/>
        </w:rPr>
        <w:t>5.</w:t>
      </w:r>
      <w:r w:rsidRPr="004F47BB">
        <w:rPr>
          <w:rFonts w:cs="Arial"/>
          <w:b/>
          <w:lang w:val="en-US"/>
        </w:rPr>
        <w:tab/>
        <w:t>Signs and markings</w:t>
      </w:r>
    </w:p>
    <w:p w:rsidR="004F47BB" w:rsidRPr="004F47BB" w:rsidRDefault="004F47BB" w:rsidP="004F47BB">
      <w:pPr>
        <w:tabs>
          <w:tab w:val="left" w:pos="425"/>
        </w:tabs>
        <w:autoSpaceDE/>
        <w:autoSpaceDN/>
        <w:spacing w:line="240" w:lineRule="atLeast"/>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5.1</w:t>
      </w:r>
      <w:r w:rsidRPr="004F47BB">
        <w:rPr>
          <w:rFonts w:cs="Arial"/>
          <w:lang w:val="en-US"/>
        </w:rPr>
        <w:tab/>
        <w:t>All escape route signs shall be of photoluminescent material or marked by electric lighting. The dimensions of such signs and markings shall be commensurate with the rest of the LLL system.</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5.2</w:t>
      </w:r>
      <w:r w:rsidRPr="004F47BB">
        <w:rPr>
          <w:rFonts w:cs="Arial"/>
          <w:lang w:val="en-US"/>
        </w:rPr>
        <w:tab/>
        <w:t>Low-location lighting exit signs shall be provided at all exits. The signs shall be located within the prescribed area on the side of the exit doors where the handle is located.</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 xml:space="preserve">5.3 </w:t>
      </w:r>
      <w:r w:rsidRPr="004F47BB">
        <w:rPr>
          <w:rFonts w:cs="Arial"/>
          <w:lang w:val="en-US"/>
        </w:rPr>
        <w:tab/>
        <w:t>All signs shall contrast in colour to the background (wall or floor) on which they are installed.</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5.4</w:t>
      </w:r>
      <w:r w:rsidRPr="004F47BB">
        <w:rPr>
          <w:rFonts w:cs="Arial"/>
          <w:lang w:val="en-US"/>
        </w:rPr>
        <w:tab/>
        <w:t>Standardised symbols (for example those described in IMO Decision A.760(18)) shall be used for the LLL.</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b/>
          <w:lang w:val="en-US"/>
        </w:rPr>
      </w:pPr>
      <w:r w:rsidRPr="004F47BB">
        <w:rPr>
          <w:rFonts w:cs="Arial"/>
          <w:b/>
          <w:lang w:val="en-US"/>
        </w:rPr>
        <w:t>6.</w:t>
      </w:r>
      <w:r w:rsidRPr="004F47BB">
        <w:rPr>
          <w:rFonts w:cs="Arial"/>
          <w:b/>
          <w:lang w:val="en-US"/>
        </w:rPr>
        <w:tab/>
        <w:t>Photoluminescent systems</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6.1</w:t>
      </w:r>
      <w:r w:rsidRPr="004F47BB">
        <w:rPr>
          <w:rFonts w:cs="Arial"/>
          <w:lang w:val="en-US"/>
        </w:rPr>
        <w:tab/>
        <w:t>PL strips shall be no less than 0,075 m wide. Narrower strips may however be used if their luminance is increased proportionally to compensate for their width.</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6.2</w:t>
      </w:r>
      <w:r w:rsidRPr="004F47BB">
        <w:rPr>
          <w:rFonts w:cs="Arial"/>
          <w:lang w:val="en-US"/>
        </w:rPr>
        <w:tab/>
      </w:r>
      <w:r w:rsidRPr="004F47BB">
        <w:rPr>
          <w:noProof/>
          <w:lang w:val="en-US"/>
        </w:rPr>
        <w:t>Photoluminescent materials shall provide at least 15 mcd/m</w:t>
      </w:r>
      <w:r w:rsidRPr="004F47BB">
        <w:rPr>
          <w:noProof/>
          <w:vertAlign w:val="superscript"/>
          <w:lang w:val="en-US"/>
        </w:rPr>
        <w:t>2</w:t>
      </w:r>
      <w:r w:rsidRPr="004F47BB">
        <w:rPr>
          <w:noProof/>
          <w:lang w:val="en-US"/>
        </w:rPr>
        <w:t xml:space="preserve"> measured 10 minutes after the removal of all external illuminating sources. The system shall then continue to provide luminance values greater than 2 mcd/m</w:t>
      </w:r>
      <w:r w:rsidRPr="004F47BB">
        <w:rPr>
          <w:noProof/>
          <w:vertAlign w:val="superscript"/>
          <w:lang w:val="en-US"/>
        </w:rPr>
        <w:t>2</w:t>
      </w:r>
      <w:r w:rsidRPr="004F47BB">
        <w:rPr>
          <w:noProof/>
          <w:lang w:val="en-US"/>
        </w:rPr>
        <w:t xml:space="preserve"> for 20 minutes.</w:t>
      </w: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br w:type="page"/>
      </w: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lastRenderedPageBreak/>
        <w:t>6.3</w:t>
      </w:r>
      <w:r w:rsidRPr="004F47BB">
        <w:rPr>
          <w:rFonts w:cs="Arial"/>
          <w:lang w:val="en-US"/>
        </w:rPr>
        <w:tab/>
        <w:t>Any PL system materials shall be provided with not less than the minimum level of ambient light necessary to charge the PL material to meet the above luminance requirements.</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b/>
          <w:lang w:val="en-US"/>
        </w:rPr>
      </w:pPr>
      <w:r w:rsidRPr="004F47BB">
        <w:rPr>
          <w:rFonts w:cs="Arial"/>
          <w:b/>
          <w:lang w:val="en-US"/>
        </w:rPr>
        <w:t>7.</w:t>
      </w:r>
      <w:r w:rsidRPr="004F47BB">
        <w:rPr>
          <w:rFonts w:cs="Arial"/>
          <w:b/>
          <w:lang w:val="en-US"/>
        </w:rPr>
        <w:tab/>
        <w:t>Electrically powered systems</w:t>
      </w:r>
    </w:p>
    <w:p w:rsidR="004F47BB" w:rsidRPr="004F47BB" w:rsidRDefault="004F47BB" w:rsidP="004F47BB">
      <w:pPr>
        <w:tabs>
          <w:tab w:val="left" w:pos="567"/>
        </w:tabs>
        <w:autoSpaceDE/>
        <w:autoSpaceDN/>
        <w:spacing w:line="240" w:lineRule="atLeast"/>
        <w:ind w:left="567" w:hanging="567"/>
        <w:rPr>
          <w:rFonts w:cs="Arial"/>
          <w:b/>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7.1</w:t>
      </w:r>
      <w:r w:rsidRPr="004F47BB">
        <w:rPr>
          <w:rFonts w:cs="Arial"/>
          <w:lang w:val="en-US"/>
        </w:rPr>
        <w:tab/>
        <w:t>Electrically powered systems shall be connected to the emergency switchboard required by Article 19.10(4) so as to be powered by the main source of electrical power under normal circumstances and also by the emergency source of electrical power when the latter is in operation. For the purpose of dimensioning the capacity of the emergency source of electrical power the EP systems shall be included in the list of emergency consumers.</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7.2</w:t>
      </w:r>
      <w:r w:rsidRPr="004F47BB">
        <w:rPr>
          <w:rFonts w:cs="Arial"/>
          <w:lang w:val="en-US"/>
        </w:rPr>
        <w:tab/>
        <w:t>Electrically powered systems shall either switch on automatically or be capable of being activated by means of a single operation at the steering position.</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7.3</w:t>
      </w:r>
      <w:r w:rsidRPr="004F47BB">
        <w:rPr>
          <w:rFonts w:cs="Arial"/>
          <w:lang w:val="en-US"/>
        </w:rPr>
        <w:tab/>
        <w:t xml:space="preserve">Where electrically powered systems are installed, the following standards of luminance shall be applied: </w:t>
      </w:r>
    </w:p>
    <w:p w:rsidR="004F47BB" w:rsidRPr="004F47BB" w:rsidRDefault="004F47BB" w:rsidP="004F47BB">
      <w:pPr>
        <w:tabs>
          <w:tab w:val="left" w:pos="567"/>
          <w:tab w:val="left" w:pos="992"/>
        </w:tabs>
        <w:autoSpaceDE/>
        <w:autoSpaceDN/>
        <w:spacing w:before="60" w:line="240" w:lineRule="atLeast"/>
        <w:ind w:left="992"/>
        <w:rPr>
          <w:rFonts w:cs="Arial"/>
          <w:lang w:val="en-US"/>
        </w:rPr>
      </w:pPr>
      <w:r w:rsidRPr="004F47BB">
        <w:rPr>
          <w:rFonts w:cs="Arial"/>
          <w:lang w:val="en-US"/>
        </w:rPr>
        <w:t>1.</w:t>
      </w:r>
      <w:r w:rsidRPr="004F47BB">
        <w:rPr>
          <w:rFonts w:cs="Arial"/>
          <w:lang w:val="en-US"/>
        </w:rPr>
        <w:tab/>
      </w:r>
      <w:r w:rsidRPr="004F47BB">
        <w:rPr>
          <w:noProof/>
          <w:lang w:val="en-US"/>
        </w:rPr>
        <w:t>the active parts of electrically powered systems shall have a minimum luminance of 10 cd/m</w:t>
      </w:r>
      <w:r w:rsidRPr="004F47BB">
        <w:rPr>
          <w:noProof/>
          <w:vertAlign w:val="superscript"/>
          <w:lang w:val="en-US"/>
        </w:rPr>
        <w:t>2</w:t>
      </w:r>
      <w:r w:rsidRPr="004F47BB">
        <w:rPr>
          <w:noProof/>
          <w:lang w:val="en-US"/>
        </w:rPr>
        <w:t>;</w:t>
      </w:r>
    </w:p>
    <w:p w:rsidR="004F47BB" w:rsidRPr="004F47BB" w:rsidRDefault="004F47BB" w:rsidP="004F47BB">
      <w:pPr>
        <w:tabs>
          <w:tab w:val="left" w:pos="567"/>
          <w:tab w:val="left" w:pos="992"/>
        </w:tabs>
        <w:autoSpaceDE/>
        <w:autoSpaceDN/>
        <w:spacing w:before="60" w:line="240" w:lineRule="atLeast"/>
        <w:ind w:left="992"/>
        <w:rPr>
          <w:rFonts w:cs="Arial"/>
          <w:lang w:val="en-US"/>
        </w:rPr>
      </w:pPr>
      <w:r w:rsidRPr="004F47BB">
        <w:rPr>
          <w:rFonts w:cs="Arial"/>
          <w:lang w:val="en-US"/>
        </w:rPr>
        <w:t>2.</w:t>
      </w:r>
      <w:r w:rsidRPr="004F47BB">
        <w:rPr>
          <w:rFonts w:cs="Arial"/>
          <w:lang w:val="en-US"/>
        </w:rPr>
        <w:tab/>
      </w:r>
      <w:r w:rsidRPr="004F47BB">
        <w:rPr>
          <w:noProof/>
          <w:lang w:val="en-US"/>
        </w:rPr>
        <w:t>the point sources of miniature incandescent lamps shall provide not less than 150 mcd mean spherical intensity with a spacing of not more than 0,1 m between lamps;</w:t>
      </w:r>
    </w:p>
    <w:p w:rsidR="004F47BB" w:rsidRPr="004F47BB" w:rsidRDefault="004F47BB" w:rsidP="004F47BB">
      <w:pPr>
        <w:tabs>
          <w:tab w:val="left" w:pos="567"/>
          <w:tab w:val="left" w:pos="992"/>
        </w:tabs>
        <w:autoSpaceDE/>
        <w:autoSpaceDN/>
        <w:spacing w:before="60" w:line="240" w:lineRule="atLeast"/>
        <w:ind w:left="992"/>
        <w:rPr>
          <w:rFonts w:cs="Arial"/>
          <w:lang w:val="en-US"/>
        </w:rPr>
      </w:pPr>
      <w:r w:rsidRPr="004F47BB">
        <w:rPr>
          <w:rFonts w:cs="Arial"/>
          <w:lang w:val="en-US"/>
        </w:rPr>
        <w:t>3.</w:t>
      </w:r>
      <w:r w:rsidRPr="004F47BB">
        <w:rPr>
          <w:rFonts w:cs="Arial"/>
          <w:lang w:val="en-US"/>
        </w:rPr>
        <w:tab/>
      </w:r>
      <w:r w:rsidRPr="004F47BB">
        <w:rPr>
          <w:noProof/>
          <w:lang w:val="en-US"/>
        </w:rPr>
        <w:t>the point sources of light-emitting-diode systems shall have a minimum peak intensity of 35 mcd. The angle of half-intensity cone shall be appropriate to the likely track directions of approach and viewing. Spacing between lamps shall be no more than 0,3 m; and</w:t>
      </w:r>
    </w:p>
    <w:p w:rsidR="004F47BB" w:rsidRPr="004F47BB" w:rsidRDefault="004F47BB" w:rsidP="004F47BB">
      <w:pPr>
        <w:tabs>
          <w:tab w:val="left" w:pos="567"/>
          <w:tab w:val="left" w:pos="992"/>
        </w:tabs>
        <w:autoSpaceDE/>
        <w:autoSpaceDN/>
        <w:spacing w:before="60" w:line="240" w:lineRule="atLeast"/>
        <w:ind w:left="992"/>
        <w:rPr>
          <w:rFonts w:cs="Arial"/>
          <w:lang w:val="en-US"/>
        </w:rPr>
      </w:pPr>
      <w:r w:rsidRPr="004F47BB">
        <w:rPr>
          <w:rFonts w:cs="Arial"/>
          <w:lang w:val="en-US"/>
        </w:rPr>
        <w:t>4.</w:t>
      </w:r>
      <w:r w:rsidRPr="004F47BB">
        <w:rPr>
          <w:rFonts w:cs="Arial"/>
          <w:lang w:val="en-US"/>
        </w:rPr>
        <w:tab/>
      </w:r>
      <w:r w:rsidRPr="004F47BB">
        <w:rPr>
          <w:noProof/>
          <w:lang w:val="en-US"/>
        </w:rPr>
        <w:t>for electroluminescent systems, these shall function for 30 minutes from the instant when the main power supply to which it was required to be connected by Section 7.1 fails.</w:t>
      </w:r>
    </w:p>
    <w:p w:rsidR="004F47BB" w:rsidRPr="004F47BB" w:rsidRDefault="004F47BB" w:rsidP="004F47BB">
      <w:pPr>
        <w:tabs>
          <w:tab w:val="left" w:pos="425"/>
        </w:tabs>
        <w:autoSpaceDE/>
        <w:autoSpaceDN/>
        <w:spacing w:line="240" w:lineRule="atLeast"/>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7.4</w:t>
      </w:r>
      <w:r w:rsidRPr="004F47BB">
        <w:rPr>
          <w:rFonts w:cs="Arial"/>
          <w:lang w:val="en-US"/>
        </w:rPr>
        <w:tab/>
        <w:t>All EP systems shall be arranged so that the failure of any single light, lighting strip, or battery will not result in the marking being ineffective.</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7.5</w:t>
      </w:r>
      <w:r w:rsidRPr="004F47BB">
        <w:rPr>
          <w:rFonts w:cs="Arial"/>
          <w:lang w:val="en-US"/>
        </w:rPr>
        <w:tab/>
      </w:r>
      <w:r w:rsidRPr="004F47BB">
        <w:rPr>
          <w:noProof/>
          <w:lang w:val="en-US"/>
        </w:rPr>
        <w:t>Electrically powered systems shall meet the requirements of Article 10.19 for vibration and heat testing. By way of derogation from Article 10.19(2)(c) the heat test may be conducted at a reference ambient temperature of 40 °C.</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7.6</w:t>
      </w:r>
      <w:r w:rsidRPr="004F47BB">
        <w:rPr>
          <w:rFonts w:cs="Arial"/>
          <w:lang w:val="en-US"/>
        </w:rPr>
        <w:tab/>
      </w:r>
      <w:r w:rsidRPr="004F47BB">
        <w:rPr>
          <w:noProof/>
          <w:lang w:val="en-US"/>
        </w:rPr>
        <w:t>Electrically powered systems shall meet the electromagnetic compatibility requirements laid down in Article 10.20.</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7.7</w:t>
      </w:r>
      <w:r w:rsidRPr="004F47BB">
        <w:rPr>
          <w:rFonts w:cs="Arial"/>
          <w:lang w:val="en-US"/>
        </w:rPr>
        <w:tab/>
        <w:t>Electrically powered systems shall provide a type of minimum protection of IP 55 in accordance with European Standard EN 60529: 2014.</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br w:type="page"/>
      </w:r>
    </w:p>
    <w:p w:rsidR="004F47BB" w:rsidRPr="004F47BB" w:rsidRDefault="004F47BB" w:rsidP="004F47BB">
      <w:pPr>
        <w:tabs>
          <w:tab w:val="left" w:pos="567"/>
        </w:tabs>
        <w:autoSpaceDE/>
        <w:autoSpaceDN/>
        <w:spacing w:line="240" w:lineRule="atLeast"/>
        <w:ind w:left="567" w:hanging="567"/>
        <w:rPr>
          <w:rFonts w:cs="Arial"/>
          <w:b/>
          <w:lang w:val="en-US"/>
        </w:rPr>
      </w:pPr>
      <w:r w:rsidRPr="004F47BB">
        <w:rPr>
          <w:rFonts w:cs="Arial"/>
          <w:b/>
          <w:lang w:val="en-US"/>
        </w:rPr>
        <w:lastRenderedPageBreak/>
        <w:t>8.</w:t>
      </w:r>
      <w:r w:rsidRPr="004F47BB">
        <w:rPr>
          <w:rFonts w:cs="Arial"/>
          <w:b/>
          <w:lang w:val="en-US"/>
        </w:rPr>
        <w:tab/>
        <w:t>Acceptance test</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8.1</w:t>
      </w:r>
      <w:r w:rsidRPr="004F47BB">
        <w:rPr>
          <w:rFonts w:cs="Arial"/>
          <w:lang w:val="en-US"/>
        </w:rPr>
        <w:tab/>
      </w:r>
      <w:r w:rsidRPr="004F47BB">
        <w:rPr>
          <w:rFonts w:eastAsia="Batang" w:cs="Arial"/>
          <w:lang w:val="en-US" w:eastAsia="ko-KR"/>
        </w:rPr>
        <w:t>The luminance of the LLL must be checked by an expert</w:t>
      </w:r>
    </w:p>
    <w:p w:rsidR="004F47BB" w:rsidRPr="004F47BB" w:rsidRDefault="004F47BB" w:rsidP="004F47BB">
      <w:pPr>
        <w:tabs>
          <w:tab w:val="left" w:pos="567"/>
        </w:tabs>
        <w:autoSpaceDE/>
        <w:autoSpaceDN/>
        <w:spacing w:before="60" w:line="240" w:lineRule="atLeast"/>
        <w:ind w:left="992"/>
        <w:rPr>
          <w:rFonts w:cs="Arial"/>
          <w:lang w:val="en-US"/>
        </w:rPr>
      </w:pPr>
      <w:r w:rsidRPr="004F47BB">
        <w:rPr>
          <w:rFonts w:cs="Arial"/>
          <w:lang w:val="en-US"/>
        </w:rPr>
        <w:t>a)</w:t>
      </w:r>
      <w:r w:rsidRPr="004F47BB">
        <w:rPr>
          <w:rFonts w:cs="Arial"/>
          <w:lang w:val="en-US"/>
        </w:rPr>
        <w:tab/>
      </w:r>
      <w:r w:rsidRPr="004F47BB">
        <w:rPr>
          <w:noProof/>
          <w:lang w:val="en-US"/>
        </w:rPr>
        <w:t>before being put into service for the first time,</w:t>
      </w:r>
    </w:p>
    <w:p w:rsidR="004F47BB" w:rsidRPr="004F47BB" w:rsidRDefault="004F47BB" w:rsidP="004F47BB">
      <w:pPr>
        <w:tabs>
          <w:tab w:val="left" w:pos="567"/>
        </w:tabs>
        <w:autoSpaceDE/>
        <w:autoSpaceDN/>
        <w:spacing w:before="60" w:line="240" w:lineRule="atLeast"/>
        <w:ind w:left="992"/>
        <w:rPr>
          <w:rFonts w:cs="Arial"/>
          <w:lang w:val="en-US"/>
        </w:rPr>
      </w:pPr>
      <w:r w:rsidRPr="004F47BB">
        <w:rPr>
          <w:rFonts w:cs="Arial"/>
          <w:lang w:val="en-US"/>
        </w:rPr>
        <w:t>b)</w:t>
      </w:r>
      <w:r w:rsidRPr="004F47BB">
        <w:rPr>
          <w:rFonts w:cs="Arial"/>
          <w:lang w:val="en-US"/>
        </w:rPr>
        <w:tab/>
      </w:r>
      <w:r w:rsidRPr="004F47BB">
        <w:rPr>
          <w:noProof/>
          <w:lang w:val="en-US"/>
        </w:rPr>
        <w:t>before being put back into service after any major modification or repair,</w:t>
      </w:r>
    </w:p>
    <w:p w:rsidR="004F47BB" w:rsidRPr="004F47BB" w:rsidRDefault="004F47BB" w:rsidP="004F47BB">
      <w:pPr>
        <w:tabs>
          <w:tab w:val="left" w:pos="567"/>
        </w:tabs>
        <w:autoSpaceDE/>
        <w:autoSpaceDN/>
        <w:spacing w:before="60" w:line="240" w:lineRule="atLeast"/>
        <w:ind w:left="992"/>
        <w:rPr>
          <w:rFonts w:cs="Arial"/>
          <w:lang w:val="en-US"/>
        </w:rPr>
      </w:pPr>
      <w:r w:rsidRPr="004F47BB">
        <w:rPr>
          <w:rFonts w:cs="Arial"/>
          <w:lang w:val="en-US"/>
        </w:rPr>
        <w:t>c)</w:t>
      </w:r>
      <w:r w:rsidRPr="004F47BB">
        <w:rPr>
          <w:rFonts w:cs="Arial"/>
          <w:lang w:val="en-US"/>
        </w:rPr>
        <w:tab/>
      </w:r>
      <w:r w:rsidRPr="004F47BB">
        <w:rPr>
          <w:noProof/>
          <w:lang w:val="en-US"/>
        </w:rPr>
        <w:t>regularly, at least every five years,</w:t>
      </w:r>
    </w:p>
    <w:p w:rsidR="004F47BB" w:rsidRPr="004F47BB" w:rsidRDefault="004F47BB" w:rsidP="004F47BB">
      <w:pPr>
        <w:tabs>
          <w:tab w:val="left" w:pos="567"/>
        </w:tabs>
        <w:autoSpaceDE/>
        <w:autoSpaceDN/>
        <w:spacing w:before="60" w:line="240" w:lineRule="atLeast"/>
        <w:ind w:left="567" w:firstLine="0"/>
        <w:rPr>
          <w:rFonts w:cs="Arial"/>
          <w:lang w:val="en-US"/>
        </w:rPr>
      </w:pPr>
      <w:r w:rsidRPr="004F47BB">
        <w:rPr>
          <w:noProof/>
          <w:lang w:val="en-US"/>
        </w:rPr>
        <w:t>Checks as referred to in subsection (c) above may also be carried out by a competent person trained in safety guidance systems.</w:t>
      </w:r>
    </w:p>
    <w:p w:rsidR="004F47BB" w:rsidRPr="004F47BB" w:rsidRDefault="004F47BB" w:rsidP="004F47BB">
      <w:pPr>
        <w:tabs>
          <w:tab w:val="left" w:pos="567"/>
        </w:tabs>
        <w:autoSpaceDE/>
        <w:autoSpaceDN/>
        <w:spacing w:before="60"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8.2</w:t>
      </w:r>
      <w:r w:rsidRPr="004F47BB">
        <w:rPr>
          <w:rFonts w:cs="Arial"/>
          <w:lang w:val="en-US"/>
        </w:rPr>
        <w:tab/>
      </w:r>
      <w:r w:rsidRPr="004F47BB">
        <w:rPr>
          <w:rFonts w:eastAsia="Batang" w:cs="Arial"/>
          <w:lang w:val="en-US" w:eastAsia="ko-KR"/>
        </w:rPr>
        <w:t>An inspection certificate shall be issued, signed by the expert or competent person and showing the date of the inspection.</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8.3</w:t>
      </w:r>
      <w:r w:rsidRPr="004F47BB">
        <w:rPr>
          <w:rFonts w:cs="Arial"/>
          <w:lang w:val="en-US"/>
        </w:rPr>
        <w:tab/>
      </w:r>
      <w:r w:rsidRPr="004F47BB">
        <w:rPr>
          <w:rFonts w:eastAsia="Batang" w:cs="Arial"/>
          <w:lang w:val="en-US" w:eastAsia="ko-KR"/>
        </w:rPr>
        <w:t>If, after a single measurement, the luminance does not meet the requirements set out in this instruction, measurements are to be taken at least ten equidistant points. If over 30 % of the measurements do not meet the requirements set out in this instruction, the safety guidance systems must be replaced. If 20 % to 30 % of the measurements do not meet the requirements set out in this instruction, the safety guidance systems are to be checked again within one year.</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sectPr w:rsidR="004F47BB" w:rsidRPr="004F47BB" w:rsidSect="00D45887">
          <w:footnotePr>
            <w:numRestart w:val="eachPage"/>
          </w:footnotePr>
          <w:pgSz w:w="11907" w:h="16840" w:code="9"/>
          <w:pgMar w:top="1418" w:right="1418" w:bottom="1418" w:left="1418" w:header="680" w:footer="680" w:gutter="0"/>
          <w:cols w:space="720"/>
          <w:docGrid w:linePitch="326"/>
        </w:sectPr>
      </w:pPr>
    </w:p>
    <w:p w:rsidR="004F47BB" w:rsidRPr="004F47BB" w:rsidRDefault="004F47BB" w:rsidP="00330FC4">
      <w:pPr>
        <w:pStyle w:val="ES-Titre2ESI"/>
        <w:rPr>
          <w:szCs w:val="20"/>
        </w:rPr>
      </w:pPr>
      <w:bookmarkStart w:id="409" w:name="_Toc491854368"/>
      <w:r w:rsidRPr="004F47BB">
        <w:lastRenderedPageBreak/>
        <w:t>ESI-III-5</w:t>
      </w:r>
      <w:r w:rsidRPr="004F47BB">
        <w:br/>
      </w:r>
      <w:r w:rsidRPr="004F47BB">
        <w:rPr>
          <w:noProof/>
        </w:rPr>
        <w:t>Suitable gas warning equipment</w:t>
      </w:r>
      <w:bookmarkEnd w:id="409"/>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center"/>
        <w:rPr>
          <w:b/>
          <w:lang w:val="en-US" w:eastAsia="de-DE"/>
        </w:rPr>
      </w:pPr>
      <w:r w:rsidRPr="004F47BB">
        <w:rPr>
          <w:b/>
          <w:noProof/>
          <w:lang w:val="en-US" w:eastAsia="de-DE"/>
        </w:rPr>
        <w:t>(Article 19.15(8))</w:t>
      </w:r>
    </w:p>
    <w:p w:rsidR="004F47BB" w:rsidRPr="004F47BB" w:rsidRDefault="004F47BB" w:rsidP="004F47BB">
      <w:pPr>
        <w:overflowPunct w:val="0"/>
        <w:adjustRightInd w:val="0"/>
        <w:ind w:left="0" w:firstLine="0"/>
        <w:rPr>
          <w:lang w:val="en-US" w:eastAsia="de-DE"/>
        </w:rPr>
      </w:pPr>
    </w:p>
    <w:p w:rsidR="004F47BB" w:rsidRPr="004F47BB" w:rsidRDefault="004F47BB" w:rsidP="004F47BB">
      <w:pPr>
        <w:tabs>
          <w:tab w:val="left" w:pos="709"/>
        </w:tabs>
        <w:overflowPunct w:val="0"/>
        <w:adjustRightInd w:val="0"/>
        <w:spacing w:line="240" w:lineRule="atLeast"/>
        <w:ind w:left="709" w:hanging="709"/>
        <w:rPr>
          <w:lang w:val="en-US" w:eastAsia="de-DE"/>
        </w:rPr>
      </w:pPr>
      <w:r w:rsidRPr="004F47BB">
        <w:rPr>
          <w:lang w:val="en-US" w:eastAsia="de-DE"/>
        </w:rPr>
        <w:t>1.</w:t>
      </w:r>
      <w:r w:rsidRPr="004F47BB">
        <w:rPr>
          <w:lang w:val="en-US" w:eastAsia="de-DE"/>
        </w:rPr>
        <w:tab/>
        <w:t>In accordance with Sections 32.02(2) and 32.05(5) (in each case transitional provision to Article 19.01(2)(e)) liquefied gas installations for domestic purposes on board existing passenger vessels may only be operated until the first renewal of the inland navigation vessel certificate after 1 January 2045, on condition that a gas warning equipment in accordance with Article 19.15(8) is available. In accordance with Article 19.15(9), liquefied gas installations for domestic purposes may in the future also be installed on passenger vessels put into operation for the first time and of which the length does not exceed 45 m, if such warning equipment is installed at the same time.</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2.</w:t>
      </w:r>
      <w:r w:rsidRPr="004F47BB">
        <w:rPr>
          <w:snapToGrid w:val="0"/>
          <w:lang w:val="en-US"/>
        </w:rPr>
        <w:tab/>
      </w:r>
      <w:r w:rsidRPr="004F47BB">
        <w:rPr>
          <w:noProof/>
          <w:snapToGrid w:val="0"/>
          <w:lang w:val="en-US"/>
        </w:rPr>
        <w:t>In accordance with Articles 32.02(2) and 32.05(5) (in each case transitional provision to Article 19.15(8)) this gas warning equipment shall be installed on the first renewal of the certificate in accordance with Article 17.15.</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w:t>
      </w:r>
      <w:r w:rsidRPr="004F47BB">
        <w:rPr>
          <w:snapToGrid w:val="0"/>
          <w:lang w:val="en-US"/>
        </w:rPr>
        <w:tab/>
      </w:r>
      <w:r w:rsidRPr="004F47BB">
        <w:rPr>
          <w:noProof/>
          <w:snapToGrid w:val="0"/>
          <w:lang w:val="en-US"/>
        </w:rPr>
        <w:t>The gas warning equipment consists of sensors, equipment and pipes and shall be considered suitable if it at least meets the following prescribed requirements:</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3.1</w:t>
      </w:r>
      <w:r w:rsidRPr="004F47BB">
        <w:rPr>
          <w:snapToGrid w:val="0"/>
          <w:lang w:val="en-US"/>
        </w:rPr>
        <w:tab/>
      </w:r>
      <w:r w:rsidRPr="004F47BB">
        <w:rPr>
          <w:noProof/>
          <w:snapToGrid w:val="0"/>
          <w:lang w:val="en-US"/>
        </w:rPr>
        <w:t>Requirements to be met by the system (sensors, equipment, pipes):</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noProof/>
          <w:snapToGrid w:val="0"/>
          <w:lang w:val="en-US"/>
        </w:rPr>
      </w:pPr>
      <w:r w:rsidRPr="004F47BB">
        <w:rPr>
          <w:snapToGrid w:val="0"/>
          <w:lang w:val="en-US"/>
        </w:rPr>
        <w:t>3.1.1</w:t>
      </w:r>
      <w:r w:rsidRPr="004F47BB">
        <w:rPr>
          <w:snapToGrid w:val="0"/>
          <w:lang w:val="en-US"/>
        </w:rPr>
        <w:tab/>
      </w:r>
      <w:r w:rsidRPr="004F47BB">
        <w:rPr>
          <w:noProof/>
          <w:snapToGrid w:val="0"/>
          <w:lang w:val="en-US"/>
        </w:rPr>
        <w:t>Gas warning shall be given at the latest when reaching or exceeding one of the following values:</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a)</w:t>
      </w:r>
      <w:r w:rsidRPr="004F47BB">
        <w:rPr>
          <w:noProof/>
          <w:snapToGrid w:val="0"/>
          <w:lang w:val="en-US"/>
        </w:rPr>
        <w:tab/>
        <w:t>10 % lower explosion limit (LEL) of a propane-air mixture; and</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b)</w:t>
      </w:r>
      <w:r w:rsidRPr="004F47BB">
        <w:rPr>
          <w:noProof/>
          <w:snapToGrid w:val="0"/>
          <w:lang w:val="en-US"/>
        </w:rPr>
        <w:tab/>
        <w:t>30 ppm CO (carbon monoxide).</w:t>
      </w:r>
    </w:p>
    <w:p w:rsidR="004F47BB" w:rsidRPr="004F47BB" w:rsidRDefault="004F47BB" w:rsidP="004F47BB">
      <w:pPr>
        <w:tabs>
          <w:tab w:val="left" w:pos="709"/>
        </w:tabs>
        <w:overflowPunct w:val="0"/>
        <w:adjustRightInd w:val="0"/>
        <w:spacing w:line="240" w:lineRule="atLeast"/>
        <w:ind w:left="709" w:hanging="709"/>
        <w:rPr>
          <w:noProof/>
          <w:snapToGrid w:val="0"/>
          <w:lang w:val="en-US"/>
        </w:rPr>
      </w:pPr>
    </w:p>
    <w:p w:rsidR="004F47BB" w:rsidRPr="004F47BB" w:rsidRDefault="004F47BB" w:rsidP="004F47BB">
      <w:pPr>
        <w:overflowPunct w:val="0"/>
        <w:adjustRightInd w:val="0"/>
        <w:ind w:left="709" w:hanging="709"/>
        <w:rPr>
          <w:rFonts w:cs="Arial"/>
          <w:szCs w:val="20"/>
          <w:lang w:val="en-US" w:eastAsia="de-DE"/>
        </w:rPr>
      </w:pPr>
      <w:r w:rsidRPr="004F47BB">
        <w:rPr>
          <w:rFonts w:cs="Arial"/>
          <w:szCs w:val="20"/>
          <w:lang w:val="en-US" w:eastAsia="de-DE"/>
        </w:rPr>
        <w:t>3.1.2</w:t>
      </w:r>
      <w:r w:rsidRPr="004F47BB">
        <w:rPr>
          <w:rFonts w:cs="Arial"/>
          <w:szCs w:val="20"/>
          <w:lang w:val="en-US" w:eastAsia="de-DE"/>
        </w:rPr>
        <w:tab/>
      </w:r>
      <w:r w:rsidRPr="004F47BB">
        <w:rPr>
          <w:rFonts w:cs="Arial"/>
          <w:noProof/>
          <w:szCs w:val="20"/>
          <w:lang w:val="en-US" w:eastAsia="de-DE"/>
        </w:rPr>
        <w:t>The time until activation of the alarm for the whole system must not exceed 20 s.</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3.1.3</w:t>
      </w:r>
      <w:r w:rsidRPr="004F47BB">
        <w:rPr>
          <w:snapToGrid w:val="0"/>
          <w:lang w:val="en-US"/>
        </w:rPr>
        <w:tab/>
        <w:t>The limit values mentioned in numbers 3.1.1 and 3.1.2 must not be adjustable.</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3.1.4</w:t>
      </w:r>
      <w:r w:rsidRPr="004F47BB">
        <w:rPr>
          <w:snapToGrid w:val="0"/>
          <w:lang w:val="en-US"/>
        </w:rPr>
        <w:tab/>
      </w:r>
      <w:r w:rsidRPr="004F47BB">
        <w:rPr>
          <w:noProof/>
          <w:snapToGrid w:val="0"/>
          <w:lang w:val="en-US"/>
        </w:rPr>
        <w:t>The test gas production shall be so designed that any interruption or obstruction is detected. Any falsification due to air admission or loss of test gas as a consequence of leakage shall be avoided or detected and reported.</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3.1.5</w:t>
      </w:r>
      <w:r w:rsidRPr="004F47BB">
        <w:rPr>
          <w:snapToGrid w:val="0"/>
          <w:lang w:val="en-US"/>
        </w:rPr>
        <w:tab/>
      </w:r>
      <w:r w:rsidRPr="004F47BB">
        <w:rPr>
          <w:noProof/>
          <w:snapToGrid w:val="0"/>
          <w:lang w:val="en-US"/>
        </w:rPr>
        <w:t>The equipment shall be designed for temperatures ranging from –10 to 40 °C and an air humidity ranging from 20 to 100 %.</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3.1.6</w:t>
      </w:r>
      <w:r w:rsidRPr="004F47BB">
        <w:rPr>
          <w:snapToGrid w:val="0"/>
          <w:lang w:val="en-US"/>
        </w:rPr>
        <w:tab/>
      </w:r>
      <w:r w:rsidRPr="004F47BB">
        <w:rPr>
          <w:noProof/>
          <w:snapToGrid w:val="0"/>
          <w:lang w:val="en-US"/>
        </w:rPr>
        <w:t>The gas warning equipment must be self-monitoring. It shall be impossible to switch off the equipment unauthorised.</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3.1.7</w:t>
      </w:r>
      <w:r w:rsidRPr="004F47BB">
        <w:rPr>
          <w:snapToGrid w:val="0"/>
          <w:lang w:val="en-US"/>
        </w:rPr>
        <w:tab/>
      </w:r>
      <w:r w:rsidRPr="004F47BB">
        <w:rPr>
          <w:noProof/>
          <w:snapToGrid w:val="0"/>
          <w:lang w:val="en-US"/>
        </w:rPr>
        <w:t>Gas warning equipment supplied by the onboard power supply network shall be buffered against power failure. Battery-powered appliances shall be provided with a warning device indicating a reduction of the battery voltage.</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br w:type="page"/>
      </w: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lastRenderedPageBreak/>
        <w:t>3.2</w:t>
      </w:r>
      <w:r w:rsidRPr="004F47BB">
        <w:rPr>
          <w:snapToGrid w:val="0"/>
          <w:lang w:val="en-US"/>
        </w:rPr>
        <w:tab/>
      </w:r>
      <w:r w:rsidRPr="004F47BB">
        <w:rPr>
          <w:noProof/>
          <w:snapToGrid w:val="0"/>
          <w:lang w:val="en-US"/>
        </w:rPr>
        <w:t>Requirements to be met by the equipment:</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3.2.1</w:t>
      </w:r>
      <w:r w:rsidRPr="004F47BB">
        <w:rPr>
          <w:snapToGrid w:val="0"/>
          <w:lang w:val="en-US"/>
        </w:rPr>
        <w:tab/>
      </w:r>
      <w:r w:rsidRPr="004F47BB">
        <w:rPr>
          <w:noProof/>
          <w:snapToGrid w:val="0"/>
          <w:lang w:val="en-US"/>
        </w:rPr>
        <w:t>The equipment shall consist of an evaluation and display unit.</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3.2.2</w:t>
      </w:r>
      <w:r w:rsidRPr="004F47BB">
        <w:rPr>
          <w:snapToGrid w:val="0"/>
          <w:lang w:val="en-US"/>
        </w:rPr>
        <w:tab/>
      </w:r>
      <w:r w:rsidRPr="004F47BB">
        <w:rPr>
          <w:noProof/>
          <w:snapToGrid w:val="0"/>
          <w:lang w:val="en-US"/>
        </w:rPr>
        <w:t>The alarm indicating that the limit values in (3.1.1)(a) and (b) have been reached or exceeded shall be given optically and acoustically, both in the room monitored and in the wheelhouse or at any other permanently manned location. It shall be clearly visible and audible even in operating conditions with the highest noise level. It shall be clearly distinguishable from any other acoustic and optical signals in the room to be protected. The acoustic alarm shall also be clearly audible with closed connecting doors at the entrances and in neighbouring rooms.</w:t>
      </w: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noProof/>
          <w:snapToGrid w:val="0"/>
          <w:lang w:val="en-US"/>
        </w:rPr>
        <w:tab/>
        <w:t xml:space="preserve">The acoustic alarm may be silenced after activation, the optical alarm may only be cancelled if the limit values fall below those given mentioned in (3.1.1). </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noProof/>
          <w:snapToGrid w:val="0"/>
          <w:lang w:val="en-US"/>
        </w:rPr>
      </w:pPr>
      <w:r w:rsidRPr="004F47BB">
        <w:rPr>
          <w:snapToGrid w:val="0"/>
          <w:lang w:val="en-US"/>
        </w:rPr>
        <w:t>3.2.3</w:t>
      </w:r>
      <w:r w:rsidRPr="004F47BB">
        <w:rPr>
          <w:snapToGrid w:val="0"/>
          <w:lang w:val="en-US"/>
        </w:rPr>
        <w:tab/>
      </w:r>
      <w:r w:rsidRPr="004F47BB">
        <w:rPr>
          <w:noProof/>
          <w:snapToGrid w:val="0"/>
          <w:lang w:val="en-US"/>
        </w:rPr>
        <w:t>It shall be possible to separately detect and clearly assign the reports indicating that the limit values in (3.1.1)(a) and (b) have been reached or exceeded.</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3.2.4</w:t>
      </w:r>
      <w:r w:rsidRPr="004F47BB">
        <w:rPr>
          <w:snapToGrid w:val="0"/>
          <w:lang w:val="en-US"/>
        </w:rPr>
        <w:tab/>
      </w:r>
      <w:r w:rsidRPr="004F47BB">
        <w:rPr>
          <w:noProof/>
          <w:snapToGrid w:val="0"/>
          <w:lang w:val="en-US"/>
        </w:rPr>
        <w:t>If the appliance has a special status (start-up, failure, calibration, parameterisation, maintenance etc.), this shall be indicated. The failure of the whole system or one of the components shall be indicated by an alarm in analogy to (3.2.2). The acoustic alarm may be silenced after activation, the optical alarm may only be cancelled if the failure is removed.</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3.2.5</w:t>
      </w:r>
      <w:r w:rsidRPr="004F47BB">
        <w:rPr>
          <w:snapToGrid w:val="0"/>
          <w:lang w:val="en-US"/>
        </w:rPr>
        <w:tab/>
      </w:r>
      <w:r w:rsidRPr="004F47BB">
        <w:rPr>
          <w:noProof/>
          <w:snapToGrid w:val="0"/>
          <w:lang w:val="en-US"/>
        </w:rPr>
        <w:t>If it is possible to issue different reports (limit values, special status) it shall also be possible to discern them separately and to assign them clearly. If necessary, a collective signal shall be displayed indicating that it is not possible to issue all reports. In this case, the reports shall be issued by order of priority, beginning with the report with the highest safety relevance. The display of the reports which cannot be issued shall be possible by pressing a button. The order of priority shall be evident from the documentation of the appliance.</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noProof/>
          <w:snapToGrid w:val="0"/>
          <w:lang w:val="en-US"/>
        </w:rPr>
      </w:pPr>
      <w:r w:rsidRPr="004F47BB">
        <w:rPr>
          <w:snapToGrid w:val="0"/>
          <w:lang w:val="en-US"/>
        </w:rPr>
        <w:t>3.2.6</w:t>
      </w:r>
      <w:r w:rsidRPr="004F47BB">
        <w:rPr>
          <w:snapToGrid w:val="0"/>
          <w:lang w:val="en-US"/>
        </w:rPr>
        <w:tab/>
      </w:r>
      <w:r w:rsidRPr="004F47BB">
        <w:rPr>
          <w:noProof/>
          <w:snapToGrid w:val="0"/>
          <w:lang w:val="en-US"/>
        </w:rPr>
        <w:t>The equipment shall be so designed that unauthorised interference is not possible.</w:t>
      </w:r>
    </w:p>
    <w:p w:rsidR="004F47BB" w:rsidRPr="004F47BB" w:rsidRDefault="004F47BB" w:rsidP="004F47BB">
      <w:pPr>
        <w:tabs>
          <w:tab w:val="left" w:pos="709"/>
        </w:tabs>
        <w:overflowPunct w:val="0"/>
        <w:adjustRightInd w:val="0"/>
        <w:spacing w:line="240" w:lineRule="atLeast"/>
        <w:ind w:left="709" w:hanging="709"/>
        <w:rPr>
          <w:noProof/>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noProof/>
          <w:lang w:val="en-US"/>
        </w:rPr>
        <w:t>3.2.7</w:t>
      </w:r>
      <w:r w:rsidRPr="004F47BB">
        <w:rPr>
          <w:noProof/>
          <w:lang w:val="en-US"/>
        </w:rPr>
        <w:tab/>
        <w:t>In all cases where detection and alarm equipment are used, the control alarm unit and indicating device shall be operable from outside the spaces containing the gas storage and consuming appliances.</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3.3</w:t>
      </w:r>
      <w:r w:rsidRPr="004F47BB">
        <w:rPr>
          <w:snapToGrid w:val="0"/>
          <w:lang w:val="en-US"/>
        </w:rPr>
        <w:tab/>
      </w:r>
      <w:r w:rsidRPr="004F47BB">
        <w:rPr>
          <w:noProof/>
          <w:snapToGrid w:val="0"/>
          <w:lang w:val="en-US"/>
        </w:rPr>
        <w:t>Requirements to be met by the sensors/sampling devices:</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3.3.1</w:t>
      </w:r>
      <w:r w:rsidRPr="004F47BB">
        <w:rPr>
          <w:snapToGrid w:val="0"/>
          <w:lang w:val="en-US"/>
        </w:rPr>
        <w:tab/>
      </w:r>
      <w:r w:rsidRPr="004F47BB">
        <w:rPr>
          <w:noProof/>
          <w:snapToGrid w:val="0"/>
          <w:lang w:val="en-US"/>
        </w:rPr>
        <w:t>In every room with consuming appliances, sensors of the gas warning equipment shall be provided in the vicinity of these appliances. The sensors/sampling devices shall be installed in such a way that gas accumulation is detected before the limit values mentioned in (3.1.1) are reached. Arrangement and installation of the sensors shall be documented. The selection of the locations shall be substantiated by the manufacturer or the specialised firm installing the equipment. The pipes of the sampling devices should be as short as possible.</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3.3.2</w:t>
      </w:r>
      <w:r w:rsidRPr="004F47BB">
        <w:rPr>
          <w:snapToGrid w:val="0"/>
          <w:lang w:val="en-US"/>
        </w:rPr>
        <w:tab/>
      </w:r>
      <w:r w:rsidRPr="004F47BB">
        <w:rPr>
          <w:noProof/>
          <w:snapToGrid w:val="0"/>
          <w:lang w:val="en-US"/>
        </w:rPr>
        <w:t>The sensors shall be easily accessible in order to enable regular calibration, maintenance and safety checks.</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3.4</w:t>
      </w:r>
      <w:r w:rsidRPr="004F47BB">
        <w:rPr>
          <w:snapToGrid w:val="0"/>
          <w:lang w:val="en-US"/>
        </w:rPr>
        <w:tab/>
      </w:r>
      <w:r w:rsidRPr="004F47BB">
        <w:rPr>
          <w:noProof/>
          <w:snapToGrid w:val="0"/>
          <w:lang w:val="en-US"/>
        </w:rPr>
        <w:t>Requirements to be met by the installation:</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3.4.1</w:t>
      </w:r>
      <w:r w:rsidRPr="004F47BB">
        <w:rPr>
          <w:snapToGrid w:val="0"/>
          <w:lang w:val="en-US"/>
        </w:rPr>
        <w:tab/>
      </w:r>
      <w:r w:rsidRPr="004F47BB">
        <w:rPr>
          <w:noProof/>
          <w:snapToGrid w:val="0"/>
          <w:lang w:val="en-US"/>
        </w:rPr>
        <w:t>The whole gas warning equipment shall be installed by a specialised firm.</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br w:type="page"/>
      </w:r>
    </w:p>
    <w:p w:rsidR="004F47BB" w:rsidRPr="004F47BB" w:rsidRDefault="004F47BB" w:rsidP="004F47BB">
      <w:pPr>
        <w:tabs>
          <w:tab w:val="left" w:pos="709"/>
        </w:tabs>
        <w:overflowPunct w:val="0"/>
        <w:adjustRightInd w:val="0"/>
        <w:spacing w:line="240" w:lineRule="atLeast"/>
        <w:ind w:left="709" w:hanging="709"/>
        <w:rPr>
          <w:noProof/>
          <w:snapToGrid w:val="0"/>
          <w:lang w:val="en-US"/>
        </w:rPr>
      </w:pPr>
      <w:r w:rsidRPr="004F47BB">
        <w:rPr>
          <w:snapToGrid w:val="0"/>
          <w:lang w:val="en-US"/>
        </w:rPr>
        <w:lastRenderedPageBreak/>
        <w:t>3.4.2</w:t>
      </w:r>
      <w:r w:rsidRPr="004F47BB">
        <w:rPr>
          <w:snapToGrid w:val="0"/>
          <w:lang w:val="en-US"/>
        </w:rPr>
        <w:tab/>
      </w:r>
      <w:r w:rsidRPr="004F47BB">
        <w:rPr>
          <w:noProof/>
          <w:snapToGrid w:val="0"/>
          <w:lang w:val="en-US"/>
        </w:rPr>
        <w:t>For the installation, the following aspects shall be taken into consideration:</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a)</w:t>
      </w:r>
      <w:r w:rsidRPr="004F47BB">
        <w:rPr>
          <w:noProof/>
          <w:snapToGrid w:val="0"/>
          <w:lang w:val="en-US"/>
        </w:rPr>
        <w:tab/>
        <w:t>local ventilation systems;</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b)</w:t>
      </w:r>
      <w:r w:rsidRPr="004F47BB">
        <w:rPr>
          <w:noProof/>
          <w:snapToGrid w:val="0"/>
          <w:lang w:val="en-US"/>
        </w:rPr>
        <w:tab/>
        <w:t>structural arrangements (design of walls, partitions etc.) facilitating or complicating the accumulation of gases; and</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c)</w:t>
      </w:r>
      <w:r w:rsidRPr="004F47BB">
        <w:rPr>
          <w:noProof/>
          <w:snapToGrid w:val="0"/>
          <w:lang w:val="en-US"/>
        </w:rPr>
        <w:tab/>
        <w:t>prevention of adverse effects due to mechanical damage, water or heat damage.</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3.4.3</w:t>
      </w:r>
      <w:r w:rsidRPr="004F47BB">
        <w:rPr>
          <w:snapToGrid w:val="0"/>
          <w:lang w:val="en-US"/>
        </w:rPr>
        <w:tab/>
      </w:r>
      <w:r w:rsidRPr="004F47BB">
        <w:rPr>
          <w:noProof/>
          <w:snapToGrid w:val="0"/>
          <w:lang w:val="en-US"/>
        </w:rPr>
        <w:t>All pipes of the sampling devices shall be arranged in such a way that condensate formation is not possible.</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3.4.4</w:t>
      </w:r>
      <w:r w:rsidRPr="004F47BB">
        <w:rPr>
          <w:snapToGrid w:val="0"/>
          <w:lang w:val="en-US"/>
        </w:rPr>
        <w:tab/>
      </w:r>
      <w:r w:rsidRPr="004F47BB">
        <w:rPr>
          <w:noProof/>
          <w:snapToGrid w:val="0"/>
          <w:lang w:val="en-US"/>
        </w:rPr>
        <w:t>The installation shall be effected in such a way that any unauthorised tampering is not possible.</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4.</w:t>
      </w:r>
      <w:r w:rsidRPr="004F47BB">
        <w:rPr>
          <w:snapToGrid w:val="0"/>
          <w:lang w:val="en-US"/>
        </w:rPr>
        <w:tab/>
      </w:r>
      <w:r w:rsidRPr="004F47BB">
        <w:rPr>
          <w:rFonts w:cs="Arial"/>
          <w:snapToGrid w:val="0"/>
          <w:szCs w:val="20"/>
          <w:lang w:val="en-US"/>
        </w:rPr>
        <w:t>Calibration and inspection of gas leak detectors, replacement of parts with limited service life.</w:t>
      </w:r>
    </w:p>
    <w:p w:rsidR="004F47BB" w:rsidRPr="004F47BB" w:rsidRDefault="004F47BB" w:rsidP="004F47BB">
      <w:pPr>
        <w:overflowPunct w:val="0"/>
        <w:adjustRightInd w:val="0"/>
        <w:spacing w:line="240" w:lineRule="atLeast"/>
        <w:ind w:left="0" w:firstLine="0"/>
        <w:rPr>
          <w:b/>
          <w:snapToGrid w:val="0"/>
          <w:lang w:val="en-US" w:bidi="th-TH"/>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4.1</w:t>
      </w:r>
      <w:r w:rsidRPr="004F47BB">
        <w:rPr>
          <w:snapToGrid w:val="0"/>
          <w:lang w:val="en-US"/>
        </w:rPr>
        <w:tab/>
      </w:r>
      <w:r w:rsidRPr="004F47BB">
        <w:rPr>
          <w:rFonts w:cs="Arial"/>
          <w:snapToGrid w:val="0"/>
          <w:szCs w:val="20"/>
          <w:lang w:val="en-US"/>
        </w:rPr>
        <w:t>Gas leak detectors shall be calibrated and inspected by an expert or a competent person as directed by the manufacturer:</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a)</w:t>
      </w:r>
      <w:r w:rsidRPr="004F47BB">
        <w:rPr>
          <w:noProof/>
          <w:snapToGrid w:val="0"/>
          <w:lang w:val="en-US"/>
        </w:rPr>
        <w:tab/>
        <w:t>before being put into service for the first time,</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b)</w:t>
      </w:r>
      <w:r w:rsidRPr="004F47BB">
        <w:rPr>
          <w:noProof/>
          <w:snapToGrid w:val="0"/>
          <w:lang w:val="en-US"/>
        </w:rPr>
        <w:tab/>
        <w:t>before being put back into service after any major modification or repair,</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c)</w:t>
      </w:r>
      <w:r w:rsidRPr="004F47BB">
        <w:rPr>
          <w:noProof/>
          <w:snapToGrid w:val="0"/>
          <w:lang w:val="en-US"/>
        </w:rPr>
        <w:tab/>
        <w:t>regularly,</w:t>
      </w:r>
    </w:p>
    <w:p w:rsidR="004F47BB" w:rsidRPr="004F47BB" w:rsidRDefault="004F47BB" w:rsidP="004F47BB">
      <w:pPr>
        <w:tabs>
          <w:tab w:val="left" w:pos="1134"/>
        </w:tabs>
        <w:overflowPunct w:val="0"/>
        <w:adjustRightInd w:val="0"/>
        <w:spacing w:before="60" w:line="240" w:lineRule="atLeast"/>
        <w:ind w:left="709" w:firstLine="0"/>
        <w:rPr>
          <w:noProof/>
          <w:snapToGrid w:val="0"/>
          <w:lang w:val="en-US"/>
        </w:rPr>
      </w:pPr>
      <w:r w:rsidRPr="004F47BB">
        <w:rPr>
          <w:rFonts w:cs="Arial"/>
          <w:noProof/>
          <w:snapToGrid w:val="0"/>
          <w:szCs w:val="20"/>
          <w:lang w:val="en-US"/>
        </w:rPr>
        <w:t>A calibration and inspection certificate shall be issued, signed by the expert or competent person and showing the date of the inspection.</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4.2</w:t>
      </w:r>
      <w:r w:rsidRPr="004F47BB">
        <w:rPr>
          <w:snapToGrid w:val="0"/>
          <w:lang w:val="en-US"/>
        </w:rPr>
        <w:tab/>
      </w:r>
      <w:r w:rsidRPr="004F47BB">
        <w:rPr>
          <w:rFonts w:cs="Arial"/>
          <w:snapToGrid w:val="0"/>
          <w:szCs w:val="20"/>
          <w:lang w:val="en-US"/>
        </w:rPr>
        <w:t>Parts of the gas warning equipment which have a limited service life must be replaced before expiry of their specified operational life.</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5</w:t>
      </w:r>
      <w:r w:rsidRPr="004F47BB">
        <w:rPr>
          <w:snapToGrid w:val="0"/>
          <w:lang w:val="en-US"/>
        </w:rPr>
        <w:tab/>
      </w:r>
      <w:r w:rsidRPr="004F47BB">
        <w:rPr>
          <w:noProof/>
          <w:snapToGrid w:val="0"/>
          <w:lang w:val="en-US"/>
        </w:rPr>
        <w:t>Marking</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noProof/>
          <w:snapToGrid w:val="0"/>
          <w:lang w:val="en-US"/>
        </w:rPr>
      </w:pPr>
      <w:r w:rsidRPr="004F47BB">
        <w:rPr>
          <w:snapToGrid w:val="0"/>
          <w:lang w:val="en-US"/>
        </w:rPr>
        <w:t>5.1</w:t>
      </w:r>
      <w:r w:rsidRPr="004F47BB">
        <w:rPr>
          <w:snapToGrid w:val="0"/>
          <w:lang w:val="en-US"/>
        </w:rPr>
        <w:tab/>
      </w:r>
      <w:r w:rsidRPr="004F47BB">
        <w:rPr>
          <w:noProof/>
          <w:snapToGrid w:val="0"/>
          <w:lang w:val="en-US"/>
        </w:rPr>
        <w:t>All appliances shall at least show the following information in a clearly legible and indelible form:</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a)</w:t>
      </w:r>
      <w:r w:rsidRPr="004F47BB">
        <w:rPr>
          <w:noProof/>
          <w:snapToGrid w:val="0"/>
          <w:lang w:val="en-US"/>
        </w:rPr>
        <w:tab/>
        <w:t>name and address of the manufacturer,</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b)</w:t>
      </w:r>
      <w:r w:rsidRPr="004F47BB">
        <w:rPr>
          <w:noProof/>
          <w:snapToGrid w:val="0"/>
          <w:lang w:val="en-US"/>
        </w:rPr>
        <w:tab/>
        <w:t>legal marking,</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c)</w:t>
      </w:r>
      <w:r w:rsidRPr="004F47BB">
        <w:rPr>
          <w:noProof/>
          <w:snapToGrid w:val="0"/>
          <w:lang w:val="en-US"/>
        </w:rPr>
        <w:tab/>
        <w:t>designation of series and type,</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d)</w:t>
      </w:r>
      <w:r w:rsidRPr="004F47BB">
        <w:rPr>
          <w:noProof/>
          <w:snapToGrid w:val="0"/>
          <w:lang w:val="en-US"/>
        </w:rPr>
        <w:tab/>
        <w:t>if possible, serial number,</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e)</w:t>
      </w:r>
      <w:r w:rsidRPr="004F47BB">
        <w:rPr>
          <w:noProof/>
          <w:snapToGrid w:val="0"/>
          <w:lang w:val="en-US"/>
        </w:rPr>
        <w:tab/>
        <w:t>if required, any advice indispensable for safe use; and</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f)</w:t>
      </w:r>
      <w:r w:rsidRPr="004F47BB">
        <w:rPr>
          <w:noProof/>
          <w:snapToGrid w:val="0"/>
          <w:lang w:val="en-US"/>
        </w:rPr>
        <w:tab/>
        <w:t>for each sensor the indication of the calibration gas.</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t>5.2</w:t>
      </w:r>
      <w:r w:rsidRPr="004F47BB">
        <w:rPr>
          <w:snapToGrid w:val="0"/>
          <w:lang w:val="en-US"/>
        </w:rPr>
        <w:tab/>
      </w:r>
      <w:r w:rsidRPr="004F47BB">
        <w:rPr>
          <w:noProof/>
          <w:snapToGrid w:val="0"/>
          <w:lang w:val="en-US"/>
        </w:rPr>
        <w:t>Elements of the gas warning equipment with limited restricted lifespan shall be clearly marked as such.</w:t>
      </w:r>
    </w:p>
    <w:p w:rsidR="004F47BB" w:rsidRPr="004F47BB" w:rsidRDefault="004F47BB" w:rsidP="004F47BB">
      <w:pPr>
        <w:tabs>
          <w:tab w:val="left" w:pos="709"/>
        </w:tabs>
        <w:overflowPunct w:val="0"/>
        <w:adjustRightInd w:val="0"/>
        <w:spacing w:line="240" w:lineRule="atLeast"/>
        <w:ind w:left="709" w:hanging="709"/>
        <w:rPr>
          <w:snapToGrid w:val="0"/>
          <w:lang w:val="en-US"/>
        </w:rPr>
      </w:pP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br w:type="page"/>
      </w:r>
    </w:p>
    <w:p w:rsidR="004F47BB" w:rsidRPr="004F47BB" w:rsidRDefault="004F47BB" w:rsidP="004F47BB">
      <w:pPr>
        <w:tabs>
          <w:tab w:val="left" w:pos="709"/>
        </w:tabs>
        <w:overflowPunct w:val="0"/>
        <w:adjustRightInd w:val="0"/>
        <w:spacing w:line="240" w:lineRule="atLeast"/>
        <w:ind w:left="709" w:hanging="709"/>
        <w:rPr>
          <w:snapToGrid w:val="0"/>
          <w:lang w:val="en-US"/>
        </w:rPr>
      </w:pPr>
      <w:r w:rsidRPr="004F47BB">
        <w:rPr>
          <w:snapToGrid w:val="0"/>
          <w:lang w:val="en-US"/>
        </w:rPr>
        <w:lastRenderedPageBreak/>
        <w:t>6.</w:t>
      </w:r>
      <w:r w:rsidRPr="004F47BB">
        <w:rPr>
          <w:snapToGrid w:val="0"/>
          <w:lang w:val="en-US"/>
        </w:rPr>
        <w:tab/>
        <w:t>Manufacturer’s details relating to the gas warning equipment:</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a)</w:t>
      </w:r>
      <w:r w:rsidRPr="004F47BB">
        <w:rPr>
          <w:noProof/>
          <w:snapToGrid w:val="0"/>
          <w:lang w:val="en-US"/>
        </w:rPr>
        <w:tab/>
        <w:t>complete instructions, drawings and diagrams concerning the safe and proper operation as well as the installation, starting-up and maintenance of the gas warning equipment;</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b)</w:t>
      </w:r>
      <w:r w:rsidRPr="004F47BB">
        <w:rPr>
          <w:noProof/>
          <w:snapToGrid w:val="0"/>
          <w:lang w:val="en-US"/>
        </w:rPr>
        <w:tab/>
        <w:t>operating instructions containing at least:</w:t>
      </w:r>
    </w:p>
    <w:p w:rsidR="004F47BB" w:rsidRPr="004F47BB" w:rsidRDefault="004F47BB" w:rsidP="004F47BB">
      <w:pPr>
        <w:tabs>
          <w:tab w:val="left" w:pos="1134"/>
        </w:tabs>
        <w:overflowPunct w:val="0"/>
        <w:adjustRightInd w:val="0"/>
        <w:spacing w:before="60" w:line="240" w:lineRule="atLeast"/>
        <w:ind w:left="1559"/>
        <w:rPr>
          <w:noProof/>
          <w:snapToGrid w:val="0"/>
          <w:lang w:val="en-US"/>
        </w:rPr>
      </w:pPr>
      <w:r w:rsidRPr="004F47BB">
        <w:rPr>
          <w:noProof/>
          <w:snapToGrid w:val="0"/>
          <w:lang w:val="en-US"/>
        </w:rPr>
        <w:t>aa)</w:t>
      </w:r>
      <w:r w:rsidRPr="004F47BB">
        <w:rPr>
          <w:noProof/>
          <w:snapToGrid w:val="0"/>
          <w:lang w:val="en-US"/>
        </w:rPr>
        <w:tab/>
        <w:t>measures to be taken in the case of an alarm or error indication;</w:t>
      </w:r>
    </w:p>
    <w:p w:rsidR="004F47BB" w:rsidRPr="004F47BB" w:rsidRDefault="004F47BB" w:rsidP="004F47BB">
      <w:pPr>
        <w:tabs>
          <w:tab w:val="left" w:pos="1134"/>
        </w:tabs>
        <w:overflowPunct w:val="0"/>
        <w:adjustRightInd w:val="0"/>
        <w:spacing w:before="60" w:line="240" w:lineRule="atLeast"/>
        <w:ind w:left="1559"/>
        <w:rPr>
          <w:noProof/>
          <w:snapToGrid w:val="0"/>
          <w:lang w:val="en-US"/>
        </w:rPr>
      </w:pPr>
      <w:r w:rsidRPr="004F47BB">
        <w:rPr>
          <w:noProof/>
          <w:snapToGrid w:val="0"/>
          <w:lang w:val="en-US"/>
        </w:rPr>
        <w:t>bb)</w:t>
      </w:r>
      <w:r w:rsidRPr="004F47BB">
        <w:rPr>
          <w:noProof/>
          <w:snapToGrid w:val="0"/>
          <w:lang w:val="en-US"/>
        </w:rPr>
        <w:tab/>
        <w:t>safety measures in the case of non-availability (e.g. calibration, inspection, interruption); and</w:t>
      </w:r>
    </w:p>
    <w:p w:rsidR="004F47BB" w:rsidRPr="004F47BB" w:rsidRDefault="004F47BB" w:rsidP="004F47BB">
      <w:pPr>
        <w:tabs>
          <w:tab w:val="left" w:pos="1134"/>
        </w:tabs>
        <w:overflowPunct w:val="0"/>
        <w:adjustRightInd w:val="0"/>
        <w:spacing w:before="60" w:line="240" w:lineRule="atLeast"/>
        <w:ind w:left="1559"/>
        <w:rPr>
          <w:noProof/>
          <w:snapToGrid w:val="0"/>
          <w:lang w:val="en-US"/>
        </w:rPr>
      </w:pPr>
      <w:r w:rsidRPr="004F47BB">
        <w:rPr>
          <w:noProof/>
          <w:snapToGrid w:val="0"/>
          <w:lang w:val="en-US"/>
        </w:rPr>
        <w:t>cc)</w:t>
      </w:r>
      <w:r w:rsidRPr="004F47BB">
        <w:rPr>
          <w:noProof/>
          <w:snapToGrid w:val="0"/>
          <w:lang w:val="en-US"/>
        </w:rPr>
        <w:tab/>
        <w:t>persons responsible for installation and maintenance,</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c)</w:t>
      </w:r>
      <w:r w:rsidRPr="004F47BB">
        <w:rPr>
          <w:noProof/>
          <w:snapToGrid w:val="0"/>
          <w:lang w:val="en-US"/>
        </w:rPr>
        <w:tab/>
      </w:r>
      <w:r w:rsidRPr="004F47BB">
        <w:rPr>
          <w:snapToGrid w:val="0"/>
          <w:lang w:val="en-US"/>
        </w:rPr>
        <w:t>instructions for calibration before the starting-up, and for routine calibration, including time intervals to be followed</w:t>
      </w:r>
      <w:r w:rsidRPr="004F47BB">
        <w:rPr>
          <w:noProof/>
          <w:snapToGrid w:val="0"/>
          <w:lang w:val="en-US"/>
        </w:rPr>
        <w:t>,</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d)</w:t>
      </w:r>
      <w:r w:rsidRPr="004F47BB">
        <w:rPr>
          <w:noProof/>
          <w:snapToGrid w:val="0"/>
          <w:lang w:val="en-US"/>
        </w:rPr>
        <w:tab/>
        <w:t>supply voltage,</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e)</w:t>
      </w:r>
      <w:r w:rsidRPr="004F47BB">
        <w:rPr>
          <w:noProof/>
          <w:snapToGrid w:val="0"/>
          <w:lang w:val="en-US"/>
        </w:rPr>
        <w:tab/>
        <w:t>type and meaning of the alarms and displays (e.g. special status),</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f)</w:t>
      </w:r>
      <w:r w:rsidRPr="004F47BB">
        <w:rPr>
          <w:noProof/>
          <w:snapToGrid w:val="0"/>
          <w:lang w:val="en-US"/>
        </w:rPr>
        <w:tab/>
        <w:t>information concerning the detection of operating difficulties and the removal of faults,</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g)</w:t>
      </w:r>
      <w:r w:rsidRPr="004F47BB">
        <w:rPr>
          <w:noProof/>
          <w:snapToGrid w:val="0"/>
          <w:lang w:val="en-US"/>
        </w:rPr>
        <w:tab/>
        <w:t>type and scope of the replacement of components with limited lifespan; and</w:t>
      </w:r>
    </w:p>
    <w:p w:rsidR="004F47BB" w:rsidRPr="004F47BB" w:rsidRDefault="004F47BB" w:rsidP="004F47BB">
      <w:pPr>
        <w:tabs>
          <w:tab w:val="left" w:pos="1134"/>
        </w:tabs>
        <w:overflowPunct w:val="0"/>
        <w:adjustRightInd w:val="0"/>
        <w:spacing w:before="60" w:line="240" w:lineRule="atLeast"/>
        <w:ind w:left="1134"/>
        <w:rPr>
          <w:noProof/>
          <w:snapToGrid w:val="0"/>
          <w:lang w:val="en-US"/>
        </w:rPr>
      </w:pPr>
      <w:r w:rsidRPr="004F47BB">
        <w:rPr>
          <w:noProof/>
          <w:snapToGrid w:val="0"/>
          <w:lang w:val="en-US"/>
        </w:rPr>
        <w:t>h)</w:t>
      </w:r>
      <w:r w:rsidRPr="004F47BB">
        <w:rPr>
          <w:noProof/>
          <w:snapToGrid w:val="0"/>
          <w:lang w:val="en-US"/>
        </w:rPr>
        <w:tab/>
        <w:t>type, scope and time interval of the inspections.</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sectPr w:rsidR="004F47BB" w:rsidRPr="004F47BB" w:rsidSect="00D45887">
          <w:footnotePr>
            <w:numRestart w:val="eachPage"/>
          </w:footnotePr>
          <w:pgSz w:w="11907" w:h="16840" w:code="9"/>
          <w:pgMar w:top="1418" w:right="1418" w:bottom="1418" w:left="1418" w:header="680" w:footer="680" w:gutter="0"/>
          <w:cols w:space="720"/>
          <w:docGrid w:linePitch="326"/>
        </w:sectPr>
      </w:pPr>
    </w:p>
    <w:p w:rsidR="004F47BB" w:rsidRPr="004F47BB" w:rsidRDefault="004F47BB" w:rsidP="00330FC4">
      <w:pPr>
        <w:pStyle w:val="ES-Titre2ESI"/>
        <w:rPr>
          <w:szCs w:val="20"/>
        </w:rPr>
      </w:pPr>
      <w:bookmarkStart w:id="410" w:name="_Toc491854369"/>
      <w:r w:rsidRPr="004F47BB">
        <w:lastRenderedPageBreak/>
        <w:t>ESI-III-6</w:t>
      </w:r>
      <w:r w:rsidRPr="004F47BB">
        <w:br/>
        <w:t>Coupling systems and coupling devices for craft suitable for propelling or being propelled in a rigid assembly</w:t>
      </w:r>
      <w:bookmarkEnd w:id="410"/>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center"/>
        <w:textAlignment w:val="baseline"/>
        <w:rPr>
          <w:b/>
          <w:szCs w:val="20"/>
          <w:lang w:val="en-US"/>
        </w:rPr>
      </w:pPr>
      <w:r w:rsidRPr="004F47BB">
        <w:rPr>
          <w:b/>
          <w:szCs w:val="20"/>
          <w:lang w:val="en-US"/>
        </w:rPr>
        <w:t>(Articles 21.01, 21.02, 21.06, 21.07)</w:t>
      </w:r>
    </w:p>
    <w:p w:rsidR="004F47BB" w:rsidRPr="004F47BB" w:rsidRDefault="004F47BB" w:rsidP="004F47BB">
      <w:pPr>
        <w:overflowPunct w:val="0"/>
        <w:adjustRightInd w:val="0"/>
        <w:ind w:left="0" w:firstLine="0"/>
        <w:jc w:val="center"/>
        <w:textAlignment w:val="baseline"/>
        <w:rPr>
          <w:szCs w:val="20"/>
          <w:lang w:val="en-US"/>
        </w:rPr>
      </w:pPr>
    </w:p>
    <w:p w:rsidR="004F47BB" w:rsidRPr="004F47BB" w:rsidRDefault="004F47BB" w:rsidP="004F47BB">
      <w:pPr>
        <w:overflowPunct w:val="0"/>
        <w:adjustRightInd w:val="0"/>
        <w:ind w:left="0" w:firstLine="0"/>
        <w:textAlignment w:val="baseline"/>
        <w:rPr>
          <w:szCs w:val="20"/>
          <w:lang w:val="en-US"/>
        </w:rPr>
      </w:pPr>
      <w:r w:rsidRPr="004F47BB">
        <w:rPr>
          <w:szCs w:val="20"/>
          <w:lang w:val="en-US"/>
        </w:rPr>
        <w:t>In addition to the requirements of Chapter 21, the relevant provisions of the navigational authority regulations in force in the Member States shall be observed.</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tabs>
          <w:tab w:val="left" w:pos="709"/>
        </w:tabs>
        <w:overflowPunct w:val="0"/>
        <w:adjustRightInd w:val="0"/>
        <w:ind w:left="709" w:hanging="709"/>
        <w:textAlignment w:val="baseline"/>
        <w:rPr>
          <w:b/>
          <w:szCs w:val="20"/>
          <w:lang w:val="en-US"/>
        </w:rPr>
      </w:pPr>
      <w:r w:rsidRPr="004F47BB">
        <w:rPr>
          <w:b/>
          <w:szCs w:val="20"/>
          <w:lang w:val="en-US"/>
        </w:rPr>
        <w:t>1.</w:t>
      </w:r>
      <w:r w:rsidRPr="004F47BB">
        <w:rPr>
          <w:b/>
          <w:szCs w:val="20"/>
          <w:lang w:val="en-US"/>
        </w:rPr>
        <w:tab/>
        <w:t>General requirements</w:t>
      </w:r>
    </w:p>
    <w:p w:rsidR="004F47BB" w:rsidRPr="004F47BB" w:rsidRDefault="004F47BB" w:rsidP="004F47BB">
      <w:pPr>
        <w:tabs>
          <w:tab w:val="left" w:pos="709"/>
        </w:tabs>
        <w:overflowPunct w:val="0"/>
        <w:adjustRightInd w:val="0"/>
        <w:ind w:left="709" w:hanging="709"/>
        <w:textAlignment w:val="baseline"/>
        <w:rPr>
          <w:szCs w:val="20"/>
          <w:lang w:val="en-US"/>
        </w:rPr>
      </w:pPr>
    </w:p>
    <w:p w:rsidR="004F47BB" w:rsidRPr="004F47BB" w:rsidRDefault="004F47BB" w:rsidP="004F47BB">
      <w:pPr>
        <w:tabs>
          <w:tab w:val="left" w:pos="709"/>
        </w:tabs>
        <w:overflowPunct w:val="0"/>
        <w:adjustRightInd w:val="0"/>
        <w:ind w:left="709" w:hanging="709"/>
        <w:textAlignment w:val="baseline"/>
        <w:rPr>
          <w:szCs w:val="20"/>
          <w:lang w:val="en-US"/>
        </w:rPr>
      </w:pPr>
      <w:r w:rsidRPr="004F47BB">
        <w:rPr>
          <w:szCs w:val="20"/>
          <w:lang w:val="en-US"/>
        </w:rPr>
        <w:t>1.1</w:t>
      </w:r>
      <w:r w:rsidRPr="004F47BB">
        <w:rPr>
          <w:szCs w:val="20"/>
          <w:lang w:val="en-US"/>
        </w:rPr>
        <w:tab/>
        <w:t>Every coupling system shall guarantee the rigid coupling of all the craft in a convoy, i.e. under foreseen operating conditions the coupling device shall prevent longitudinal or transversal movement between the vessels, so that the assembly can be seen as a ‘nautical unit’</w:t>
      </w:r>
    </w:p>
    <w:p w:rsidR="004F47BB" w:rsidRPr="004F47BB" w:rsidRDefault="004F47BB" w:rsidP="004F47BB">
      <w:pPr>
        <w:tabs>
          <w:tab w:val="left" w:pos="709"/>
        </w:tabs>
        <w:overflowPunct w:val="0"/>
        <w:adjustRightInd w:val="0"/>
        <w:ind w:left="709" w:hanging="709"/>
        <w:textAlignment w:val="baseline"/>
        <w:rPr>
          <w:szCs w:val="20"/>
          <w:lang w:val="en-US"/>
        </w:rPr>
      </w:pPr>
    </w:p>
    <w:p w:rsidR="004F47BB" w:rsidRPr="004F47BB" w:rsidRDefault="004F47BB" w:rsidP="004F47BB">
      <w:pPr>
        <w:tabs>
          <w:tab w:val="left" w:pos="709"/>
        </w:tabs>
        <w:overflowPunct w:val="0"/>
        <w:adjustRightInd w:val="0"/>
        <w:ind w:left="709" w:hanging="709"/>
        <w:textAlignment w:val="baseline"/>
        <w:rPr>
          <w:szCs w:val="20"/>
          <w:lang w:val="en-US"/>
        </w:rPr>
      </w:pPr>
      <w:r w:rsidRPr="004F47BB">
        <w:rPr>
          <w:szCs w:val="20"/>
          <w:lang w:val="en-US"/>
        </w:rPr>
        <w:t>1.2</w:t>
      </w:r>
      <w:r w:rsidRPr="004F47BB">
        <w:rPr>
          <w:szCs w:val="20"/>
          <w:lang w:val="en-US"/>
        </w:rPr>
        <w:tab/>
        <w:t>The coupling system and its components shall be safe and easy to use, enabling craft to be coupled rapidly without endangering personnel.</w:t>
      </w:r>
    </w:p>
    <w:p w:rsidR="004F47BB" w:rsidRPr="004F47BB" w:rsidRDefault="004F47BB" w:rsidP="004F47BB">
      <w:pPr>
        <w:tabs>
          <w:tab w:val="left" w:pos="709"/>
        </w:tabs>
        <w:overflowPunct w:val="0"/>
        <w:adjustRightInd w:val="0"/>
        <w:ind w:left="709" w:hanging="709"/>
        <w:textAlignment w:val="baseline"/>
        <w:rPr>
          <w:szCs w:val="20"/>
          <w:lang w:val="en-US"/>
        </w:rPr>
      </w:pPr>
    </w:p>
    <w:p w:rsidR="004F47BB" w:rsidRPr="004F47BB" w:rsidRDefault="004F47BB" w:rsidP="004F47BB">
      <w:pPr>
        <w:tabs>
          <w:tab w:val="left" w:pos="709"/>
        </w:tabs>
        <w:overflowPunct w:val="0"/>
        <w:adjustRightInd w:val="0"/>
        <w:ind w:left="709" w:hanging="709"/>
        <w:textAlignment w:val="baseline"/>
        <w:rPr>
          <w:szCs w:val="20"/>
          <w:lang w:val="en-US"/>
        </w:rPr>
      </w:pPr>
      <w:r w:rsidRPr="004F47BB">
        <w:rPr>
          <w:szCs w:val="20"/>
          <w:lang w:val="en-US"/>
        </w:rPr>
        <w:t>1.3</w:t>
      </w:r>
      <w:r w:rsidRPr="004F47BB">
        <w:rPr>
          <w:szCs w:val="20"/>
          <w:lang w:val="en-US"/>
        </w:rPr>
        <w:tab/>
        <w:t>The forces arising from foreseen operating conditions shall be properly absorbed and safely transmitted into the vessel’s structure by the coupling system and its components.</w:t>
      </w:r>
    </w:p>
    <w:p w:rsidR="004F47BB" w:rsidRPr="004F47BB" w:rsidRDefault="004F47BB" w:rsidP="004F47BB">
      <w:pPr>
        <w:tabs>
          <w:tab w:val="left" w:pos="709"/>
        </w:tabs>
        <w:overflowPunct w:val="0"/>
        <w:adjustRightInd w:val="0"/>
        <w:ind w:left="709" w:hanging="709"/>
        <w:textAlignment w:val="baseline"/>
        <w:rPr>
          <w:szCs w:val="20"/>
          <w:lang w:val="en-US"/>
        </w:rPr>
      </w:pPr>
    </w:p>
    <w:p w:rsidR="004F47BB" w:rsidRPr="004F47BB" w:rsidRDefault="004F47BB" w:rsidP="004F47BB">
      <w:pPr>
        <w:tabs>
          <w:tab w:val="left" w:pos="709"/>
        </w:tabs>
        <w:overflowPunct w:val="0"/>
        <w:adjustRightInd w:val="0"/>
        <w:ind w:left="709" w:hanging="709"/>
        <w:textAlignment w:val="baseline"/>
        <w:rPr>
          <w:szCs w:val="20"/>
          <w:lang w:val="en-US"/>
        </w:rPr>
      </w:pPr>
      <w:r w:rsidRPr="004F47BB">
        <w:rPr>
          <w:szCs w:val="20"/>
          <w:lang w:val="en-US"/>
        </w:rPr>
        <w:t>1.4</w:t>
      </w:r>
      <w:r w:rsidRPr="004F47BB">
        <w:rPr>
          <w:szCs w:val="20"/>
          <w:lang w:val="en-US"/>
        </w:rPr>
        <w:tab/>
        <w:t>A sufficient number of coupling points shall be available.</w:t>
      </w:r>
    </w:p>
    <w:p w:rsidR="004F47BB" w:rsidRPr="004F47BB" w:rsidRDefault="004F47BB" w:rsidP="004F47BB">
      <w:pPr>
        <w:tabs>
          <w:tab w:val="left" w:pos="709"/>
        </w:tabs>
        <w:overflowPunct w:val="0"/>
        <w:adjustRightInd w:val="0"/>
        <w:ind w:left="709" w:hanging="709"/>
        <w:textAlignment w:val="baseline"/>
        <w:rPr>
          <w:szCs w:val="20"/>
          <w:lang w:val="en-US"/>
        </w:rPr>
      </w:pPr>
    </w:p>
    <w:p w:rsidR="004F47BB" w:rsidRPr="004F47BB" w:rsidRDefault="004F47BB" w:rsidP="004F47BB">
      <w:pPr>
        <w:tabs>
          <w:tab w:val="left" w:pos="709"/>
        </w:tabs>
        <w:overflowPunct w:val="0"/>
        <w:adjustRightInd w:val="0"/>
        <w:ind w:left="709" w:hanging="709"/>
        <w:textAlignment w:val="baseline"/>
        <w:rPr>
          <w:b/>
          <w:szCs w:val="20"/>
          <w:lang w:val="en-US"/>
        </w:rPr>
      </w:pPr>
      <w:r w:rsidRPr="004F47BB">
        <w:rPr>
          <w:b/>
          <w:szCs w:val="20"/>
          <w:lang w:val="en-US"/>
        </w:rPr>
        <w:t>2.</w:t>
      </w:r>
      <w:r w:rsidRPr="004F47BB">
        <w:rPr>
          <w:b/>
          <w:szCs w:val="20"/>
          <w:lang w:val="en-US"/>
        </w:rPr>
        <w:tab/>
        <w:t>Coupling forces and dimensioning of coupling devices</w:t>
      </w:r>
    </w:p>
    <w:p w:rsidR="004F47BB" w:rsidRPr="004F47BB" w:rsidRDefault="004F47BB" w:rsidP="004F47BB">
      <w:pPr>
        <w:tabs>
          <w:tab w:val="left" w:pos="709"/>
        </w:tabs>
        <w:overflowPunct w:val="0"/>
        <w:adjustRightInd w:val="0"/>
        <w:ind w:left="709" w:hanging="709"/>
        <w:textAlignment w:val="baseline"/>
        <w:rPr>
          <w:szCs w:val="20"/>
          <w:lang w:val="en-US"/>
        </w:rPr>
      </w:pPr>
    </w:p>
    <w:p w:rsidR="004F47BB" w:rsidRPr="004F47BB" w:rsidRDefault="004F47BB" w:rsidP="004F47BB">
      <w:pPr>
        <w:tabs>
          <w:tab w:val="left" w:pos="709"/>
        </w:tabs>
        <w:overflowPunct w:val="0"/>
        <w:adjustRightInd w:val="0"/>
        <w:ind w:left="709" w:hanging="709"/>
        <w:textAlignment w:val="baseline"/>
        <w:rPr>
          <w:szCs w:val="20"/>
          <w:lang w:val="en-US"/>
        </w:rPr>
      </w:pPr>
      <w:r w:rsidRPr="004F47BB">
        <w:rPr>
          <w:szCs w:val="20"/>
          <w:lang w:val="en-US"/>
        </w:rPr>
        <w:tab/>
        <w:t>The coupling devices of convoys and formations of vessels to be authorised shall be dimensioned so as to guarantee sufficient safety levels. This condition is deemed to be fulfilled if the coupling forces determined according to (2.1), (2.2) or (2.3) are assumed to be the tensile strength for the dimensioning of the longitudinal coupling components.</w:t>
      </w:r>
    </w:p>
    <w:p w:rsidR="004F47BB" w:rsidRPr="004F47BB" w:rsidRDefault="004F47BB" w:rsidP="004F47BB">
      <w:pPr>
        <w:tabs>
          <w:tab w:val="left" w:pos="709"/>
        </w:tabs>
        <w:overflowPunct w:val="0"/>
        <w:adjustRightInd w:val="0"/>
        <w:ind w:left="709" w:hanging="709"/>
        <w:textAlignment w:val="baseline"/>
        <w:rPr>
          <w:szCs w:val="20"/>
          <w:lang w:val="en-US"/>
        </w:rPr>
      </w:pPr>
    </w:p>
    <w:p w:rsidR="004F47BB" w:rsidRPr="004F47BB" w:rsidRDefault="004F47BB" w:rsidP="004F47BB">
      <w:pPr>
        <w:tabs>
          <w:tab w:val="left" w:pos="709"/>
        </w:tabs>
        <w:overflowPunct w:val="0"/>
        <w:adjustRightInd w:val="0"/>
        <w:ind w:left="709" w:hanging="709"/>
        <w:textAlignment w:val="baseline"/>
        <w:rPr>
          <w:szCs w:val="20"/>
          <w:lang w:val="en-US"/>
        </w:rPr>
      </w:pPr>
      <w:r w:rsidRPr="004F47BB">
        <w:rPr>
          <w:szCs w:val="20"/>
          <w:lang w:val="en-US"/>
        </w:rPr>
        <w:t>2.1</w:t>
      </w:r>
      <w:r w:rsidRPr="004F47BB">
        <w:rPr>
          <w:szCs w:val="20"/>
          <w:lang w:val="en-US"/>
        </w:rPr>
        <w:tab/>
        <w:t>Coupling points between pusher and pushed lighters or other craft:</w:t>
      </w:r>
    </w:p>
    <w:p w:rsidR="004F47BB" w:rsidRPr="004F47BB" w:rsidRDefault="004F47BB" w:rsidP="004F47BB">
      <w:pPr>
        <w:tabs>
          <w:tab w:val="left" w:pos="709"/>
        </w:tabs>
        <w:overflowPunct w:val="0"/>
        <w:adjustRightInd w:val="0"/>
        <w:ind w:left="709" w:hanging="709"/>
        <w:textAlignment w:val="baseline"/>
        <w:rPr>
          <w:szCs w:val="20"/>
          <w:lang w:val="en-US"/>
        </w:rPr>
      </w:pPr>
    </w:p>
    <w:p w:rsidR="004F47BB" w:rsidRPr="004F47BB" w:rsidRDefault="00F12BAF" w:rsidP="004F47BB">
      <w:pPr>
        <w:tabs>
          <w:tab w:val="left" w:pos="709"/>
        </w:tabs>
        <w:overflowPunct w:val="0"/>
        <w:adjustRightInd w:val="0"/>
        <w:ind w:left="709" w:hanging="709"/>
        <w:textAlignment w:val="baseline"/>
        <w:rPr>
          <w:szCs w:val="20"/>
          <w:lang w:val="en-US"/>
        </w:rPr>
      </w:pPr>
      <m:oMathPara>
        <m:oMath>
          <m:sSub>
            <m:sSubPr>
              <m:ctrlPr>
                <w:rPr>
                  <w:rFonts w:ascii="Cambria Math" w:hAnsi="Cambria Math"/>
                  <w:i/>
                  <w:szCs w:val="20"/>
                  <w:lang w:val="en-US"/>
                </w:rPr>
              </m:ctrlPr>
            </m:sSubPr>
            <m:e>
              <m:r>
                <w:rPr>
                  <w:rFonts w:ascii="Cambria Math" w:hAnsi="Cambria Math"/>
                  <w:szCs w:val="20"/>
                  <w:lang w:val="en-US"/>
                </w:rPr>
                <m:t>F</m:t>
              </m:r>
            </m:e>
            <m:sub>
              <m:r>
                <w:rPr>
                  <w:rFonts w:ascii="Cambria Math" w:hAnsi="Cambria Math"/>
                  <w:szCs w:val="20"/>
                  <w:lang w:val="en-US"/>
                </w:rPr>
                <m:t>SB</m:t>
              </m:r>
            </m:sub>
          </m:sSub>
          <m:r>
            <w:rPr>
              <w:rFonts w:ascii="Cambria Math" w:hAnsi="Cambria Math"/>
              <w:szCs w:val="20"/>
              <w:lang w:val="en-US"/>
            </w:rPr>
            <m:t xml:space="preserve">=270∙ </m:t>
          </m:r>
          <m:sSub>
            <m:sSubPr>
              <m:ctrlPr>
                <w:rPr>
                  <w:rFonts w:ascii="Cambria Math" w:hAnsi="Cambria Math"/>
                  <w:i/>
                  <w:szCs w:val="20"/>
                  <w:lang w:val="en-US"/>
                </w:rPr>
              </m:ctrlPr>
            </m:sSubPr>
            <m:e>
              <m:r>
                <w:rPr>
                  <w:rFonts w:ascii="Cambria Math" w:hAnsi="Cambria Math"/>
                  <w:szCs w:val="20"/>
                  <w:lang w:val="en-US"/>
                </w:rPr>
                <m:t>P</m:t>
              </m:r>
            </m:e>
            <m:sub>
              <m:r>
                <w:rPr>
                  <w:rFonts w:ascii="Cambria Math" w:hAnsi="Cambria Math"/>
                  <w:szCs w:val="20"/>
                  <w:lang w:val="en-US"/>
                </w:rPr>
                <m:t>B</m:t>
              </m:r>
            </m:sub>
          </m:sSub>
          <m:r>
            <w:rPr>
              <w:rFonts w:ascii="Cambria Math" w:hAnsi="Cambria Math"/>
              <w:szCs w:val="20"/>
              <w:lang w:val="en-US"/>
            </w:rPr>
            <m:t xml:space="preserve"> ∙ </m:t>
          </m:r>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L</m:t>
                  </m:r>
                </m:e>
                <m:sub>
                  <m:r>
                    <w:rPr>
                      <w:rFonts w:ascii="Cambria Math" w:hAnsi="Cambria Math"/>
                      <w:szCs w:val="20"/>
                      <w:lang w:val="en-US"/>
                    </w:rPr>
                    <m:t>S</m:t>
                  </m:r>
                </m:sub>
              </m:sSub>
            </m:num>
            <m:den>
              <m:sSub>
                <m:sSubPr>
                  <m:ctrlPr>
                    <w:rPr>
                      <w:rFonts w:ascii="Cambria Math" w:hAnsi="Cambria Math"/>
                      <w:i/>
                      <w:szCs w:val="20"/>
                      <w:lang w:val="en-US"/>
                    </w:rPr>
                  </m:ctrlPr>
                </m:sSubPr>
                <m:e>
                  <m:r>
                    <w:rPr>
                      <w:rFonts w:ascii="Cambria Math" w:hAnsi="Cambria Math"/>
                      <w:szCs w:val="20"/>
                      <w:lang w:val="en-US"/>
                    </w:rPr>
                    <m:t>B</m:t>
                  </m:r>
                </m:e>
                <m:sub>
                  <m:r>
                    <w:rPr>
                      <w:rFonts w:ascii="Cambria Math" w:hAnsi="Cambria Math"/>
                      <w:szCs w:val="20"/>
                      <w:lang w:val="en-US"/>
                    </w:rPr>
                    <m:t>S</m:t>
                  </m:r>
                </m:sub>
              </m:sSub>
            </m:den>
          </m:f>
          <m:r>
            <w:rPr>
              <w:rFonts w:ascii="Cambria Math" w:hAnsi="Cambria Math"/>
              <w:szCs w:val="20"/>
              <w:lang w:val="en-US"/>
            </w:rPr>
            <m:t xml:space="preserve"> ∙ </m:t>
          </m:r>
          <m:sSup>
            <m:sSupPr>
              <m:ctrlPr>
                <w:rPr>
                  <w:rFonts w:ascii="Cambria Math" w:hAnsi="Cambria Math"/>
                  <w:i/>
                  <w:szCs w:val="20"/>
                  <w:lang w:val="en-US"/>
                </w:rPr>
              </m:ctrlPr>
            </m:sSupPr>
            <m:e>
              <m:r>
                <w:rPr>
                  <w:rFonts w:ascii="Cambria Math" w:hAnsi="Cambria Math"/>
                  <w:szCs w:val="20"/>
                  <w:lang w:val="en-US"/>
                </w:rPr>
                <m:t>10</m:t>
              </m:r>
            </m:e>
            <m:sup>
              <m:r>
                <w:rPr>
                  <w:rFonts w:ascii="Cambria Math" w:hAnsi="Cambria Math"/>
                  <w:szCs w:val="20"/>
                  <w:lang w:val="en-US"/>
                </w:rPr>
                <m:t>-3</m:t>
              </m:r>
            </m:sup>
          </m:sSup>
          <m:r>
            <w:rPr>
              <w:rFonts w:ascii="Cambria Math" w:hAnsi="Cambria Math"/>
              <w:szCs w:val="20"/>
              <w:lang w:val="en-US"/>
            </w:rPr>
            <m:t xml:space="preserve"> </m:t>
          </m:r>
          <m:d>
            <m:dPr>
              <m:begChr m:val="["/>
              <m:endChr m:val="]"/>
              <m:ctrlPr>
                <w:rPr>
                  <w:rFonts w:ascii="Cambria Math" w:hAnsi="Cambria Math"/>
                  <w:i/>
                  <w:szCs w:val="20"/>
                  <w:lang w:val="en-US"/>
                </w:rPr>
              </m:ctrlPr>
            </m:dPr>
            <m:e>
              <m:r>
                <w:rPr>
                  <w:rFonts w:ascii="Cambria Math" w:hAnsi="Cambria Math"/>
                  <w:szCs w:val="20"/>
                  <w:lang w:val="en-US"/>
                </w:rPr>
                <m:t>kN</m:t>
              </m:r>
            </m:e>
          </m:d>
        </m:oMath>
      </m:oMathPara>
    </w:p>
    <w:p w:rsidR="004F47BB" w:rsidRPr="004F47BB" w:rsidRDefault="004F47BB" w:rsidP="004F47BB">
      <w:pPr>
        <w:tabs>
          <w:tab w:val="left" w:pos="284"/>
          <w:tab w:val="left" w:pos="454"/>
          <w:tab w:val="left" w:pos="567"/>
        </w:tabs>
        <w:overflowPunct w:val="0"/>
        <w:adjustRightInd w:val="0"/>
        <w:ind w:left="284" w:hanging="284"/>
        <w:textAlignment w:val="baseline"/>
        <w:rPr>
          <w:szCs w:val="20"/>
          <w:lang w:val="en-US"/>
        </w:rPr>
      </w:pPr>
    </w:p>
    <w:p w:rsidR="004F47BB" w:rsidRPr="004F47BB" w:rsidRDefault="004F47BB" w:rsidP="004F47BB">
      <w:pPr>
        <w:tabs>
          <w:tab w:val="left" w:pos="709"/>
        </w:tabs>
        <w:overflowPunct w:val="0"/>
        <w:adjustRightInd w:val="0"/>
        <w:ind w:left="709" w:hanging="709"/>
        <w:textAlignment w:val="baseline"/>
        <w:rPr>
          <w:szCs w:val="20"/>
          <w:lang w:val="en-US"/>
        </w:rPr>
      </w:pPr>
      <w:r w:rsidRPr="004F47BB">
        <w:rPr>
          <w:szCs w:val="20"/>
          <w:lang w:val="en-US"/>
        </w:rPr>
        <w:t>2.2</w:t>
      </w:r>
      <w:r w:rsidRPr="004F47BB">
        <w:rPr>
          <w:szCs w:val="20"/>
          <w:lang w:val="en-US"/>
        </w:rPr>
        <w:tab/>
        <w:t>Coupling points between pushing motor vessel and pushed craft:</w:t>
      </w:r>
    </w:p>
    <w:p w:rsidR="004F47BB" w:rsidRPr="004F47BB" w:rsidRDefault="004F47BB" w:rsidP="004F47BB">
      <w:pPr>
        <w:tabs>
          <w:tab w:val="left" w:pos="284"/>
          <w:tab w:val="left" w:pos="454"/>
          <w:tab w:val="left" w:pos="567"/>
        </w:tabs>
        <w:overflowPunct w:val="0"/>
        <w:adjustRightInd w:val="0"/>
        <w:ind w:left="284" w:hanging="284"/>
        <w:textAlignment w:val="baseline"/>
        <w:rPr>
          <w:szCs w:val="20"/>
          <w:lang w:val="en-US"/>
        </w:rPr>
      </w:pPr>
    </w:p>
    <w:p w:rsidR="004F47BB" w:rsidRPr="004F47BB" w:rsidRDefault="00F12BAF" w:rsidP="004F47BB">
      <w:pPr>
        <w:tabs>
          <w:tab w:val="left" w:pos="709"/>
        </w:tabs>
        <w:overflowPunct w:val="0"/>
        <w:adjustRightInd w:val="0"/>
        <w:ind w:left="709" w:hanging="709"/>
        <w:textAlignment w:val="baseline"/>
        <w:rPr>
          <w:szCs w:val="20"/>
          <w:lang w:val="en-US"/>
        </w:rPr>
      </w:pPr>
      <m:oMathPara>
        <m:oMath>
          <m:sSub>
            <m:sSubPr>
              <m:ctrlPr>
                <w:rPr>
                  <w:rFonts w:ascii="Cambria Math" w:hAnsi="Cambria Math"/>
                  <w:i/>
                  <w:szCs w:val="20"/>
                  <w:lang w:val="en-US"/>
                </w:rPr>
              </m:ctrlPr>
            </m:sSubPr>
            <m:e>
              <m:r>
                <w:rPr>
                  <w:rFonts w:ascii="Cambria Math" w:hAnsi="Cambria Math"/>
                  <w:szCs w:val="20"/>
                  <w:lang w:val="en-US"/>
                </w:rPr>
                <m:t>F</m:t>
              </m:r>
            </m:e>
            <m:sub>
              <m:r>
                <w:rPr>
                  <w:rFonts w:ascii="Cambria Math" w:hAnsi="Cambria Math"/>
                  <w:szCs w:val="20"/>
                  <w:lang w:val="en-US"/>
                </w:rPr>
                <m:t>SF</m:t>
              </m:r>
            </m:sub>
          </m:sSub>
          <m:r>
            <w:rPr>
              <w:rFonts w:ascii="Cambria Math" w:hAnsi="Cambria Math"/>
              <w:szCs w:val="20"/>
              <w:lang w:val="en-US"/>
            </w:rPr>
            <m:t xml:space="preserve">=80∙ </m:t>
          </m:r>
          <m:sSub>
            <m:sSubPr>
              <m:ctrlPr>
                <w:rPr>
                  <w:rFonts w:ascii="Cambria Math" w:hAnsi="Cambria Math"/>
                  <w:i/>
                  <w:szCs w:val="20"/>
                  <w:lang w:val="en-US"/>
                </w:rPr>
              </m:ctrlPr>
            </m:sSubPr>
            <m:e>
              <m:r>
                <w:rPr>
                  <w:rFonts w:ascii="Cambria Math" w:hAnsi="Cambria Math"/>
                  <w:szCs w:val="20"/>
                  <w:lang w:val="en-US"/>
                </w:rPr>
                <m:t>P</m:t>
              </m:r>
            </m:e>
            <m:sub>
              <m:r>
                <w:rPr>
                  <w:rFonts w:ascii="Cambria Math" w:hAnsi="Cambria Math"/>
                  <w:szCs w:val="20"/>
                  <w:lang w:val="en-US"/>
                </w:rPr>
                <m:t>B</m:t>
              </m:r>
            </m:sub>
          </m:sSub>
          <m:r>
            <w:rPr>
              <w:rFonts w:ascii="Cambria Math" w:hAnsi="Cambria Math"/>
              <w:szCs w:val="20"/>
              <w:lang w:val="en-US"/>
            </w:rPr>
            <m:t xml:space="preserve"> ∙ </m:t>
          </m:r>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L</m:t>
                  </m:r>
                </m:e>
                <m:sub>
                  <m:r>
                    <w:rPr>
                      <w:rFonts w:ascii="Cambria Math" w:hAnsi="Cambria Math"/>
                      <w:szCs w:val="20"/>
                      <w:lang w:val="en-US"/>
                    </w:rPr>
                    <m:t>S</m:t>
                  </m:r>
                </m:sub>
              </m:sSub>
            </m:num>
            <m:den>
              <m:sSub>
                <m:sSubPr>
                  <m:ctrlPr>
                    <w:rPr>
                      <w:rFonts w:ascii="Cambria Math" w:hAnsi="Cambria Math"/>
                      <w:i/>
                      <w:szCs w:val="20"/>
                      <w:lang w:val="en-US"/>
                    </w:rPr>
                  </m:ctrlPr>
                </m:sSubPr>
                <m:e>
                  <m:r>
                    <w:rPr>
                      <w:rFonts w:ascii="Cambria Math" w:hAnsi="Cambria Math"/>
                      <w:szCs w:val="20"/>
                      <w:lang w:val="en-US"/>
                    </w:rPr>
                    <m:t>h</m:t>
                  </m:r>
                </m:e>
                <m:sub>
                  <m:r>
                    <w:rPr>
                      <w:rFonts w:ascii="Cambria Math" w:hAnsi="Cambria Math"/>
                      <w:szCs w:val="20"/>
                      <w:lang w:val="en-US"/>
                    </w:rPr>
                    <m:t>K</m:t>
                  </m:r>
                </m:sub>
              </m:sSub>
            </m:den>
          </m:f>
          <m:r>
            <w:rPr>
              <w:rFonts w:ascii="Cambria Math" w:hAnsi="Cambria Math"/>
              <w:szCs w:val="20"/>
              <w:lang w:val="en-US"/>
            </w:rPr>
            <m:t xml:space="preserve"> ∙ </m:t>
          </m:r>
          <m:sSup>
            <m:sSupPr>
              <m:ctrlPr>
                <w:rPr>
                  <w:rFonts w:ascii="Cambria Math" w:hAnsi="Cambria Math"/>
                  <w:i/>
                  <w:szCs w:val="20"/>
                  <w:lang w:val="en-US"/>
                </w:rPr>
              </m:ctrlPr>
            </m:sSupPr>
            <m:e>
              <m:r>
                <w:rPr>
                  <w:rFonts w:ascii="Cambria Math" w:hAnsi="Cambria Math"/>
                  <w:szCs w:val="20"/>
                  <w:lang w:val="en-US"/>
                </w:rPr>
                <m:t>10</m:t>
              </m:r>
            </m:e>
            <m:sup>
              <m:r>
                <w:rPr>
                  <w:rFonts w:ascii="Cambria Math" w:hAnsi="Cambria Math"/>
                  <w:szCs w:val="20"/>
                  <w:lang w:val="en-US"/>
                </w:rPr>
                <m:t>-3</m:t>
              </m:r>
            </m:sup>
          </m:sSup>
          <m:r>
            <w:rPr>
              <w:rFonts w:ascii="Cambria Math" w:hAnsi="Cambria Math"/>
              <w:szCs w:val="20"/>
              <w:lang w:val="en-US"/>
            </w:rPr>
            <m:t xml:space="preserve"> </m:t>
          </m:r>
          <m:d>
            <m:dPr>
              <m:begChr m:val="["/>
              <m:endChr m:val="]"/>
              <m:ctrlPr>
                <w:rPr>
                  <w:rFonts w:ascii="Cambria Math" w:hAnsi="Cambria Math"/>
                  <w:i/>
                  <w:szCs w:val="20"/>
                  <w:lang w:val="en-US"/>
                </w:rPr>
              </m:ctrlPr>
            </m:dPr>
            <m:e>
              <m:r>
                <w:rPr>
                  <w:rFonts w:ascii="Cambria Math" w:hAnsi="Cambria Math"/>
                  <w:szCs w:val="20"/>
                  <w:lang w:val="en-US"/>
                </w:rPr>
                <m:t>kN</m:t>
              </m:r>
            </m:e>
          </m:d>
        </m:oMath>
      </m:oMathPara>
    </w:p>
    <w:p w:rsidR="004F47BB" w:rsidRPr="004F47BB" w:rsidRDefault="004F47BB" w:rsidP="004F47BB">
      <w:pPr>
        <w:tabs>
          <w:tab w:val="left" w:pos="284"/>
          <w:tab w:val="left" w:pos="454"/>
          <w:tab w:val="left" w:pos="567"/>
        </w:tabs>
        <w:overflowPunct w:val="0"/>
        <w:adjustRightInd w:val="0"/>
        <w:ind w:left="284" w:hanging="284"/>
        <w:textAlignment w:val="baseline"/>
        <w:rPr>
          <w:szCs w:val="20"/>
          <w:lang w:val="en-US"/>
        </w:rPr>
      </w:pPr>
    </w:p>
    <w:p w:rsidR="004F47BB" w:rsidRPr="004F47BB" w:rsidRDefault="004F47BB" w:rsidP="004F47BB">
      <w:pPr>
        <w:tabs>
          <w:tab w:val="left" w:pos="709"/>
        </w:tabs>
        <w:overflowPunct w:val="0"/>
        <w:adjustRightInd w:val="0"/>
        <w:ind w:left="709" w:hanging="709"/>
        <w:textAlignment w:val="baseline"/>
        <w:rPr>
          <w:szCs w:val="20"/>
          <w:lang w:val="en-US"/>
        </w:rPr>
      </w:pPr>
      <w:r w:rsidRPr="004F47BB">
        <w:rPr>
          <w:szCs w:val="20"/>
          <w:lang w:val="en-US"/>
        </w:rPr>
        <w:t>2.3</w:t>
      </w:r>
      <w:r w:rsidRPr="004F47BB">
        <w:rPr>
          <w:szCs w:val="20"/>
          <w:lang w:val="en-US"/>
        </w:rPr>
        <w:tab/>
        <w:t>Coupling points between pushed craft:</w:t>
      </w:r>
    </w:p>
    <w:p w:rsidR="004F47BB" w:rsidRPr="004F47BB" w:rsidRDefault="004F47BB" w:rsidP="004F47BB">
      <w:pPr>
        <w:tabs>
          <w:tab w:val="left" w:pos="284"/>
          <w:tab w:val="left" w:pos="454"/>
          <w:tab w:val="left" w:pos="567"/>
        </w:tabs>
        <w:overflowPunct w:val="0"/>
        <w:adjustRightInd w:val="0"/>
        <w:ind w:left="284" w:hanging="284"/>
        <w:textAlignment w:val="baseline"/>
        <w:rPr>
          <w:szCs w:val="20"/>
          <w:lang w:val="en-US"/>
        </w:rPr>
      </w:pPr>
    </w:p>
    <w:p w:rsidR="004F47BB" w:rsidRPr="004F47BB" w:rsidRDefault="00F12BAF" w:rsidP="004F47BB">
      <w:pPr>
        <w:tabs>
          <w:tab w:val="left" w:pos="709"/>
        </w:tabs>
        <w:overflowPunct w:val="0"/>
        <w:adjustRightInd w:val="0"/>
        <w:ind w:left="709" w:hanging="709"/>
        <w:textAlignment w:val="baseline"/>
        <w:rPr>
          <w:szCs w:val="20"/>
          <w:lang w:val="en-US"/>
        </w:rPr>
      </w:pPr>
      <m:oMathPara>
        <m:oMath>
          <m:sSub>
            <m:sSubPr>
              <m:ctrlPr>
                <w:rPr>
                  <w:rFonts w:ascii="Cambria Math" w:hAnsi="Cambria Math"/>
                  <w:i/>
                  <w:szCs w:val="20"/>
                  <w:lang w:val="en-US"/>
                </w:rPr>
              </m:ctrlPr>
            </m:sSubPr>
            <m:e>
              <m:r>
                <w:rPr>
                  <w:rFonts w:ascii="Cambria Math" w:hAnsi="Cambria Math"/>
                  <w:szCs w:val="20"/>
                  <w:lang w:val="en-US"/>
                </w:rPr>
                <m:t>F</m:t>
              </m:r>
            </m:e>
            <m:sub>
              <m:r>
                <w:rPr>
                  <w:rFonts w:ascii="Cambria Math" w:hAnsi="Cambria Math"/>
                  <w:szCs w:val="20"/>
                  <w:lang w:val="en-US"/>
                </w:rPr>
                <m:t>SL</m:t>
              </m:r>
            </m:sub>
          </m:sSub>
          <m:r>
            <w:rPr>
              <w:rFonts w:ascii="Cambria Math" w:hAnsi="Cambria Math"/>
              <w:szCs w:val="20"/>
              <w:lang w:val="en-US"/>
            </w:rPr>
            <m:t xml:space="preserve">=80∙ </m:t>
          </m:r>
          <m:sSub>
            <m:sSubPr>
              <m:ctrlPr>
                <w:rPr>
                  <w:rFonts w:ascii="Cambria Math" w:hAnsi="Cambria Math"/>
                  <w:i/>
                  <w:szCs w:val="20"/>
                  <w:lang w:val="en-US"/>
                </w:rPr>
              </m:ctrlPr>
            </m:sSubPr>
            <m:e>
              <m:r>
                <w:rPr>
                  <w:rFonts w:ascii="Cambria Math" w:hAnsi="Cambria Math"/>
                  <w:szCs w:val="20"/>
                  <w:lang w:val="en-US"/>
                </w:rPr>
                <m:t>P</m:t>
              </m:r>
            </m:e>
            <m:sub>
              <m:r>
                <w:rPr>
                  <w:rFonts w:ascii="Cambria Math" w:hAnsi="Cambria Math"/>
                  <w:szCs w:val="20"/>
                  <w:lang w:val="en-US"/>
                </w:rPr>
                <m:t>B</m:t>
              </m:r>
            </m:sub>
          </m:sSub>
          <m:r>
            <w:rPr>
              <w:rFonts w:ascii="Cambria Math" w:hAnsi="Cambria Math"/>
              <w:szCs w:val="20"/>
              <w:lang w:val="en-US"/>
            </w:rPr>
            <m:t xml:space="preserve"> ∙ </m:t>
          </m:r>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L'</m:t>
                  </m:r>
                </m:e>
                <m:sub>
                  <m:r>
                    <w:rPr>
                      <w:rFonts w:ascii="Cambria Math" w:hAnsi="Cambria Math"/>
                      <w:szCs w:val="20"/>
                      <w:lang w:val="en-US"/>
                    </w:rPr>
                    <m:t>S</m:t>
                  </m:r>
                </m:sub>
              </m:sSub>
            </m:num>
            <m:den>
              <m:sSub>
                <m:sSubPr>
                  <m:ctrlPr>
                    <w:rPr>
                      <w:rFonts w:ascii="Cambria Math" w:hAnsi="Cambria Math"/>
                      <w:i/>
                      <w:szCs w:val="20"/>
                      <w:lang w:val="en-US"/>
                    </w:rPr>
                  </m:ctrlPr>
                </m:sSubPr>
                <m:e>
                  <m:r>
                    <w:rPr>
                      <w:rFonts w:ascii="Cambria Math" w:hAnsi="Cambria Math"/>
                      <w:szCs w:val="20"/>
                      <w:lang w:val="en-US"/>
                    </w:rPr>
                    <m:t>h'</m:t>
                  </m:r>
                </m:e>
                <m:sub>
                  <m:r>
                    <w:rPr>
                      <w:rFonts w:ascii="Cambria Math" w:hAnsi="Cambria Math"/>
                      <w:szCs w:val="20"/>
                      <w:lang w:val="en-US"/>
                    </w:rPr>
                    <m:t>K</m:t>
                  </m:r>
                </m:sub>
              </m:sSub>
            </m:den>
          </m:f>
          <m:r>
            <w:rPr>
              <w:rFonts w:ascii="Cambria Math" w:hAnsi="Cambria Math"/>
              <w:szCs w:val="20"/>
              <w:lang w:val="en-US"/>
            </w:rPr>
            <m:t xml:space="preserve"> ∙ </m:t>
          </m:r>
          <m:sSup>
            <m:sSupPr>
              <m:ctrlPr>
                <w:rPr>
                  <w:rFonts w:ascii="Cambria Math" w:hAnsi="Cambria Math"/>
                  <w:i/>
                  <w:szCs w:val="20"/>
                  <w:lang w:val="en-US"/>
                </w:rPr>
              </m:ctrlPr>
            </m:sSupPr>
            <m:e>
              <m:r>
                <w:rPr>
                  <w:rFonts w:ascii="Cambria Math" w:hAnsi="Cambria Math"/>
                  <w:szCs w:val="20"/>
                  <w:lang w:val="en-US"/>
                </w:rPr>
                <m:t>10</m:t>
              </m:r>
            </m:e>
            <m:sup>
              <m:r>
                <w:rPr>
                  <w:rFonts w:ascii="Cambria Math" w:hAnsi="Cambria Math"/>
                  <w:szCs w:val="20"/>
                  <w:lang w:val="en-US"/>
                </w:rPr>
                <m:t>-3</m:t>
              </m:r>
            </m:sup>
          </m:sSup>
          <m:r>
            <w:rPr>
              <w:rFonts w:ascii="Cambria Math" w:hAnsi="Cambria Math"/>
              <w:szCs w:val="20"/>
              <w:lang w:val="en-US"/>
            </w:rPr>
            <m:t xml:space="preserve"> </m:t>
          </m:r>
          <m:d>
            <m:dPr>
              <m:begChr m:val="["/>
              <m:endChr m:val="]"/>
              <m:ctrlPr>
                <w:rPr>
                  <w:rFonts w:ascii="Cambria Math" w:hAnsi="Cambria Math"/>
                  <w:i/>
                  <w:szCs w:val="20"/>
                  <w:lang w:val="en-US"/>
                </w:rPr>
              </m:ctrlPr>
            </m:dPr>
            <m:e>
              <m:r>
                <w:rPr>
                  <w:rFonts w:ascii="Cambria Math" w:hAnsi="Cambria Math"/>
                  <w:szCs w:val="20"/>
                  <w:lang w:val="en-US"/>
                </w:rPr>
                <m:t>kN</m:t>
              </m:r>
            </m:e>
          </m:d>
        </m:oMath>
      </m:oMathPara>
    </w:p>
    <w:p w:rsidR="004F47BB" w:rsidRPr="004F47BB" w:rsidRDefault="004F47BB" w:rsidP="004F47BB">
      <w:pPr>
        <w:tabs>
          <w:tab w:val="left" w:pos="284"/>
          <w:tab w:val="left" w:pos="454"/>
          <w:tab w:val="left" w:pos="567"/>
        </w:tabs>
        <w:overflowPunct w:val="0"/>
        <w:adjustRightInd w:val="0"/>
        <w:ind w:left="284" w:hanging="284"/>
        <w:textAlignment w:val="baseline"/>
        <w:rPr>
          <w:szCs w:val="20"/>
          <w:lang w:val="en-US"/>
        </w:rPr>
      </w:pPr>
    </w:p>
    <w:p w:rsidR="004F47BB" w:rsidRPr="004F47BB" w:rsidRDefault="004F47BB" w:rsidP="004F47BB">
      <w:pPr>
        <w:tabs>
          <w:tab w:val="left" w:pos="284"/>
          <w:tab w:val="left" w:pos="454"/>
          <w:tab w:val="left" w:pos="567"/>
        </w:tabs>
        <w:overflowPunct w:val="0"/>
        <w:adjustRightInd w:val="0"/>
        <w:ind w:left="709" w:firstLine="0"/>
        <w:textAlignment w:val="baseline"/>
        <w:rPr>
          <w:szCs w:val="20"/>
          <w:lang w:val="en-US"/>
        </w:rPr>
      </w:pPr>
      <w:r w:rsidRPr="004F47BB">
        <w:rPr>
          <w:szCs w:val="20"/>
          <w:lang w:val="en-US"/>
        </w:rPr>
        <w:br w:type="page"/>
      </w:r>
    </w:p>
    <w:p w:rsidR="004F47BB" w:rsidRPr="004F47BB" w:rsidRDefault="004F47BB" w:rsidP="004F47BB">
      <w:pPr>
        <w:tabs>
          <w:tab w:val="left" w:pos="284"/>
          <w:tab w:val="left" w:pos="454"/>
          <w:tab w:val="left" w:pos="567"/>
        </w:tabs>
        <w:overflowPunct w:val="0"/>
        <w:adjustRightInd w:val="0"/>
        <w:ind w:left="709" w:firstLine="0"/>
        <w:textAlignment w:val="baseline"/>
        <w:rPr>
          <w:szCs w:val="20"/>
          <w:lang w:val="en-US"/>
        </w:rPr>
      </w:pPr>
      <w:r w:rsidRPr="004F47BB">
        <w:rPr>
          <w:szCs w:val="20"/>
          <w:lang w:val="en-US"/>
        </w:rPr>
        <w:lastRenderedPageBreak/>
        <w:t>A value of 1200 kN is deemed to be sufficient for the maximum coupling force for a pushing craft at the coupling point between the first pushed craft and the craft coupled ahead of it, even if formula in (2.3) produces a higher value.</w:t>
      </w:r>
    </w:p>
    <w:p w:rsidR="004F47BB" w:rsidRPr="004F47BB" w:rsidRDefault="004F47BB" w:rsidP="004F47BB">
      <w:pPr>
        <w:tabs>
          <w:tab w:val="left" w:pos="284"/>
          <w:tab w:val="left" w:pos="454"/>
          <w:tab w:val="left" w:pos="567"/>
        </w:tabs>
        <w:overflowPunct w:val="0"/>
        <w:adjustRightInd w:val="0"/>
        <w:ind w:left="709" w:firstLine="0"/>
        <w:textAlignment w:val="baseline"/>
        <w:rPr>
          <w:szCs w:val="20"/>
          <w:lang w:val="en-US"/>
        </w:rPr>
      </w:pPr>
    </w:p>
    <w:p w:rsidR="004F47BB" w:rsidRPr="004F47BB" w:rsidRDefault="004F47BB" w:rsidP="004F47BB">
      <w:pPr>
        <w:tabs>
          <w:tab w:val="left" w:pos="284"/>
          <w:tab w:val="left" w:pos="454"/>
          <w:tab w:val="left" w:pos="567"/>
        </w:tabs>
        <w:overflowPunct w:val="0"/>
        <w:adjustRightInd w:val="0"/>
        <w:ind w:left="709" w:firstLine="0"/>
        <w:textAlignment w:val="baseline"/>
        <w:rPr>
          <w:szCs w:val="20"/>
          <w:lang w:val="en-US"/>
        </w:rPr>
      </w:pPr>
      <w:r w:rsidRPr="004F47BB">
        <w:rPr>
          <w:szCs w:val="20"/>
          <w:lang w:val="en-US"/>
        </w:rPr>
        <w:t>For the coupling points of all other longitudinal connections between pushed craft, the dimensioning of the coupling devices shall be based on the coupling force determined according to formula in (2.3).</w:t>
      </w:r>
    </w:p>
    <w:p w:rsidR="004F47BB" w:rsidRPr="004F47BB" w:rsidRDefault="004F47BB" w:rsidP="004F47BB">
      <w:pPr>
        <w:tabs>
          <w:tab w:val="left" w:pos="284"/>
          <w:tab w:val="left" w:pos="454"/>
          <w:tab w:val="left" w:pos="567"/>
        </w:tabs>
        <w:overflowPunct w:val="0"/>
        <w:adjustRightInd w:val="0"/>
        <w:ind w:left="284" w:hanging="284"/>
        <w:textAlignment w:val="baseline"/>
        <w:rPr>
          <w:szCs w:val="20"/>
          <w:lang w:val="en-US"/>
        </w:rPr>
      </w:pPr>
    </w:p>
    <w:p w:rsidR="004F47BB" w:rsidRPr="004F47BB" w:rsidRDefault="004F47BB" w:rsidP="004F47BB">
      <w:pPr>
        <w:tabs>
          <w:tab w:val="left" w:pos="284"/>
          <w:tab w:val="left" w:pos="454"/>
          <w:tab w:val="left" w:pos="567"/>
        </w:tabs>
        <w:overflowPunct w:val="0"/>
        <w:adjustRightInd w:val="0"/>
        <w:ind w:left="284" w:hanging="284"/>
        <w:textAlignment w:val="baseline"/>
        <w:rPr>
          <w:szCs w:val="20"/>
        </w:rPr>
      </w:pPr>
      <w:r w:rsidRPr="004F47BB">
        <w:rPr>
          <w:noProof/>
          <w:szCs w:val="20"/>
        </w:rPr>
        <mc:AlternateContent>
          <mc:Choice Requires="wps">
            <w:drawing>
              <wp:anchor distT="0" distB="0" distL="114300" distR="114300" simplePos="0" relativeHeight="251693056" behindDoc="0" locked="0" layoutInCell="1" allowOverlap="1" wp14:anchorId="4EEB6F67" wp14:editId="391DA519">
                <wp:simplePos x="0" y="0"/>
                <wp:positionH relativeFrom="column">
                  <wp:posOffset>3760470</wp:posOffset>
                </wp:positionH>
                <wp:positionV relativeFrom="paragraph">
                  <wp:posOffset>5767070</wp:posOffset>
                </wp:positionV>
                <wp:extent cx="981710" cy="208280"/>
                <wp:effectExtent l="0" t="0" r="0" b="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2A7EC3" w:rsidRDefault="00C60AC1" w:rsidP="004F47BB">
                            <w:pPr>
                              <w:rPr>
                                <w:sz w:val="16"/>
                              </w:rPr>
                            </w:pPr>
                            <w:r>
                              <w:rPr>
                                <w:sz w:val="16"/>
                              </w:rPr>
                              <w:t>pushed</w:t>
                            </w:r>
                            <w:r w:rsidRPr="002A7EC3">
                              <w:rPr>
                                <w:sz w:val="16"/>
                              </w:rPr>
                              <w:t xml:space="preserve"> craft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EB6F67" id="Zone de texte 2" o:spid="_x0000_s1063" type="#_x0000_t202" style="position:absolute;left:0;text-align:left;margin-left:296.1pt;margin-top:454.1pt;width:77.3pt;height:16.4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" stroked="f">
                <v:textbox style="mso-fit-shape-to-text:t">
                  <w:txbxContent>
                    <w:p w:rsidR="00C60AC1" w:rsidRPr="002A7EC3" w:rsidRDefault="00C60AC1" w:rsidP="004F47BB">
                      <w:pPr>
                        <w:rPr>
                          <w:sz w:val="16"/>
                        </w:rPr>
                      </w:pPr>
                      <w:proofErr w:type="spellStart"/>
                      <w:proofErr w:type="gramStart"/>
                      <w:r>
                        <w:rPr>
                          <w:sz w:val="16"/>
                        </w:rPr>
                        <w:t>pushed</w:t>
                      </w:r>
                      <w:proofErr w:type="spellEnd"/>
                      <w:proofErr w:type="gramEnd"/>
                      <w:r w:rsidRPr="002A7EC3">
                        <w:rPr>
                          <w:sz w:val="16"/>
                        </w:rPr>
                        <w:t xml:space="preserve"> </w:t>
                      </w:r>
                      <w:proofErr w:type="spellStart"/>
                      <w:r w:rsidRPr="002A7EC3">
                        <w:rPr>
                          <w:sz w:val="16"/>
                        </w:rPr>
                        <w:t>craft</w:t>
                      </w:r>
                      <w:proofErr w:type="spellEnd"/>
                    </w:p>
                  </w:txbxContent>
                </v:textbox>
              </v:shape>
            </w:pict>
          </mc:Fallback>
        </mc:AlternateContent>
      </w:r>
      <w:r w:rsidRPr="004F47BB">
        <w:rPr>
          <w:noProof/>
          <w:szCs w:val="20"/>
        </w:rPr>
        <mc:AlternateContent>
          <mc:Choice Requires="wps">
            <w:drawing>
              <wp:anchor distT="0" distB="0" distL="114300" distR="114300" simplePos="0" relativeHeight="251692032" behindDoc="0" locked="0" layoutInCell="1" allowOverlap="1" wp14:anchorId="41539263" wp14:editId="3E23C5CB">
                <wp:simplePos x="0" y="0"/>
                <wp:positionH relativeFrom="column">
                  <wp:posOffset>1445895</wp:posOffset>
                </wp:positionH>
                <wp:positionV relativeFrom="paragraph">
                  <wp:posOffset>5786120</wp:posOffset>
                </wp:positionV>
                <wp:extent cx="981710" cy="208280"/>
                <wp:effectExtent l="0" t="0" r="0" b="0"/>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2A7EC3" w:rsidRDefault="00C60AC1" w:rsidP="004F47BB">
                            <w:pPr>
                              <w:rPr>
                                <w:sz w:val="16"/>
                              </w:rPr>
                            </w:pPr>
                            <w:r>
                              <w:rPr>
                                <w:sz w:val="16"/>
                              </w:rPr>
                              <w:t>p</w:t>
                            </w:r>
                            <w:r w:rsidRPr="002A7EC3">
                              <w:rPr>
                                <w:sz w:val="16"/>
                              </w:rPr>
                              <w:t>ushing craft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539263" id="_x0000_s1064" type="#_x0000_t202" style="position:absolute;left:0;text-align:left;margin-left:113.85pt;margin-top:455.6pt;width:77.3pt;height:16.4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" stroked="f">
                <v:textbox style="mso-fit-shape-to-text:t">
                  <w:txbxContent>
                    <w:p w:rsidR="00C60AC1" w:rsidRPr="002A7EC3" w:rsidRDefault="00C60AC1" w:rsidP="004F47BB">
                      <w:pPr>
                        <w:rPr>
                          <w:sz w:val="16"/>
                        </w:rPr>
                      </w:pPr>
                      <w:proofErr w:type="gramStart"/>
                      <w:r>
                        <w:rPr>
                          <w:sz w:val="16"/>
                        </w:rPr>
                        <w:t>p</w:t>
                      </w:r>
                      <w:r w:rsidRPr="002A7EC3">
                        <w:rPr>
                          <w:sz w:val="16"/>
                        </w:rPr>
                        <w:t>ushing</w:t>
                      </w:r>
                      <w:proofErr w:type="gramEnd"/>
                      <w:r w:rsidRPr="002A7EC3">
                        <w:rPr>
                          <w:sz w:val="16"/>
                        </w:rPr>
                        <w:t xml:space="preserve"> </w:t>
                      </w:r>
                      <w:proofErr w:type="spellStart"/>
                      <w:r w:rsidRPr="002A7EC3">
                        <w:rPr>
                          <w:sz w:val="16"/>
                        </w:rPr>
                        <w:t>craft</w:t>
                      </w:r>
                      <w:proofErr w:type="spellEnd"/>
                    </w:p>
                  </w:txbxContent>
                </v:textbox>
              </v:shape>
            </w:pict>
          </mc:Fallback>
        </mc:AlternateContent>
      </w:r>
      <w:r w:rsidRPr="004F47BB">
        <w:rPr>
          <w:noProof/>
          <w:szCs w:val="20"/>
        </w:rPr>
        <mc:AlternateContent>
          <mc:Choice Requires="wps">
            <w:drawing>
              <wp:anchor distT="0" distB="0" distL="114300" distR="114300" simplePos="0" relativeHeight="251691008" behindDoc="0" locked="0" layoutInCell="1" allowOverlap="1" wp14:anchorId="7D67D0D0" wp14:editId="12C2B420">
                <wp:simplePos x="0" y="0"/>
                <wp:positionH relativeFrom="column">
                  <wp:posOffset>3760470</wp:posOffset>
                </wp:positionH>
                <wp:positionV relativeFrom="paragraph">
                  <wp:posOffset>4319270</wp:posOffset>
                </wp:positionV>
                <wp:extent cx="981710" cy="208280"/>
                <wp:effectExtent l="0" t="0" r="0" b="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2A7EC3" w:rsidRDefault="00C60AC1" w:rsidP="004F47BB">
                            <w:pPr>
                              <w:rPr>
                                <w:sz w:val="16"/>
                              </w:rPr>
                            </w:pPr>
                            <w:r>
                              <w:rPr>
                                <w:sz w:val="16"/>
                              </w:rPr>
                              <w:t>pushed</w:t>
                            </w:r>
                            <w:r w:rsidRPr="002A7EC3">
                              <w:rPr>
                                <w:sz w:val="16"/>
                              </w:rPr>
                              <w:t xml:space="preserve"> craft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67D0D0" id="_x0000_s1065" type="#_x0000_t202" style="position:absolute;left:0;text-align:left;margin-left:296.1pt;margin-top:340.1pt;width:77.3pt;height:16.4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" stroked="f">
                <v:textbox style="mso-fit-shape-to-text:t">
                  <w:txbxContent>
                    <w:p w:rsidR="00C60AC1" w:rsidRPr="002A7EC3" w:rsidRDefault="00C60AC1" w:rsidP="004F47BB">
                      <w:pPr>
                        <w:rPr>
                          <w:sz w:val="16"/>
                        </w:rPr>
                      </w:pPr>
                      <w:proofErr w:type="spellStart"/>
                      <w:proofErr w:type="gramStart"/>
                      <w:r>
                        <w:rPr>
                          <w:sz w:val="16"/>
                        </w:rPr>
                        <w:t>pushed</w:t>
                      </w:r>
                      <w:proofErr w:type="spellEnd"/>
                      <w:proofErr w:type="gramEnd"/>
                      <w:r w:rsidRPr="002A7EC3">
                        <w:rPr>
                          <w:sz w:val="16"/>
                        </w:rPr>
                        <w:t xml:space="preserve"> </w:t>
                      </w:r>
                      <w:proofErr w:type="spellStart"/>
                      <w:r w:rsidRPr="002A7EC3">
                        <w:rPr>
                          <w:sz w:val="16"/>
                        </w:rPr>
                        <w:t>craft</w:t>
                      </w:r>
                      <w:proofErr w:type="spellEnd"/>
                    </w:p>
                  </w:txbxContent>
                </v:textbox>
              </v:shape>
            </w:pict>
          </mc:Fallback>
        </mc:AlternateContent>
      </w:r>
      <w:r w:rsidRPr="004F47BB">
        <w:rPr>
          <w:noProof/>
        </w:rPr>
        <mc:AlternateContent>
          <mc:Choice Requires="wps">
            <w:drawing>
              <wp:anchor distT="0" distB="0" distL="114300" distR="114300" simplePos="0" relativeHeight="251689984" behindDoc="0" locked="0" layoutInCell="1" allowOverlap="1" wp14:anchorId="5284ED24" wp14:editId="508A5CC9">
                <wp:simplePos x="0" y="0"/>
                <wp:positionH relativeFrom="column">
                  <wp:posOffset>1455420</wp:posOffset>
                </wp:positionH>
                <wp:positionV relativeFrom="paragraph">
                  <wp:posOffset>4319270</wp:posOffset>
                </wp:positionV>
                <wp:extent cx="981710" cy="208280"/>
                <wp:effectExtent l="0" t="0" r="0" b="0"/>
                <wp:wrapNone/>
                <wp:docPr id="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AC1" w:rsidRPr="002A7EC3" w:rsidRDefault="00C60AC1" w:rsidP="004F47BB">
                            <w:pPr>
                              <w:rPr>
                                <w:sz w:val="16"/>
                              </w:rPr>
                            </w:pPr>
                            <w:r>
                              <w:rPr>
                                <w:sz w:val="16"/>
                              </w:rPr>
                              <w:t>p</w:t>
                            </w:r>
                            <w:r w:rsidRPr="002A7EC3">
                              <w:rPr>
                                <w:sz w:val="16"/>
                              </w:rPr>
                              <w:t>ushing craft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84ED24" id="_x0000_s1066" type="#_x0000_t202" style="position:absolute;left:0;text-align:left;margin-left:114.6pt;margin-top:340.1pt;width:77.3pt;height:16.4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" stroked="f">
                <v:textbox style="mso-fit-shape-to-text:t">
                  <w:txbxContent>
                    <w:p w:rsidR="00C60AC1" w:rsidRPr="002A7EC3" w:rsidRDefault="00C60AC1" w:rsidP="004F47BB">
                      <w:pPr>
                        <w:rPr>
                          <w:sz w:val="16"/>
                        </w:rPr>
                      </w:pPr>
                      <w:proofErr w:type="gramStart"/>
                      <w:r>
                        <w:rPr>
                          <w:sz w:val="16"/>
                        </w:rPr>
                        <w:t>p</w:t>
                      </w:r>
                      <w:r w:rsidRPr="002A7EC3">
                        <w:rPr>
                          <w:sz w:val="16"/>
                        </w:rPr>
                        <w:t>ushing</w:t>
                      </w:r>
                      <w:proofErr w:type="gramEnd"/>
                      <w:r w:rsidRPr="002A7EC3">
                        <w:rPr>
                          <w:sz w:val="16"/>
                        </w:rPr>
                        <w:t xml:space="preserve"> </w:t>
                      </w:r>
                      <w:proofErr w:type="spellStart"/>
                      <w:r w:rsidRPr="002A7EC3">
                        <w:rPr>
                          <w:sz w:val="16"/>
                        </w:rPr>
                        <w:t>craft</w:t>
                      </w:r>
                      <w:proofErr w:type="spellEnd"/>
                    </w:p>
                  </w:txbxContent>
                </v:textbox>
              </v:shape>
            </w:pict>
          </mc:Fallback>
        </mc:AlternateContent>
      </w:r>
      <w:r w:rsidRPr="004F47BB">
        <w:rPr>
          <w:rFonts w:ascii="Times New Roman" w:hAnsi="Times New Roman"/>
          <w:noProof/>
          <w:szCs w:val="20"/>
        </w:rPr>
        <w:drawing>
          <wp:inline distT="0" distB="0" distL="0" distR="0" wp14:anchorId="67167BA2" wp14:editId="6491F647">
            <wp:extent cx="5219700" cy="7000875"/>
            <wp:effectExtent l="0" t="0" r="0" b="9525"/>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19700" cy="7000875"/>
                    </a:xfrm>
                    <a:prstGeom prst="rect">
                      <a:avLst/>
                    </a:prstGeom>
                    <a:solidFill>
                      <a:srgbClr val="FFFFFF"/>
                    </a:solidFill>
                    <a:ln>
                      <a:noFill/>
                    </a:ln>
                  </pic:spPr>
                </pic:pic>
              </a:graphicData>
            </a:graphic>
          </wp:inline>
        </w:drawing>
      </w:r>
    </w:p>
    <w:p w:rsidR="004F47BB" w:rsidRPr="004F47BB" w:rsidRDefault="004F47BB" w:rsidP="004F47BB">
      <w:pPr>
        <w:tabs>
          <w:tab w:val="left" w:pos="284"/>
          <w:tab w:val="left" w:pos="454"/>
          <w:tab w:val="left" w:pos="567"/>
        </w:tabs>
        <w:overflowPunct w:val="0"/>
        <w:adjustRightInd w:val="0"/>
        <w:ind w:left="284" w:hanging="284"/>
        <w:textAlignment w:val="baseline"/>
        <w:rPr>
          <w:szCs w:val="20"/>
        </w:rPr>
      </w:pPr>
    </w:p>
    <w:p w:rsidR="004F47BB" w:rsidRPr="004F47BB" w:rsidRDefault="004F47BB" w:rsidP="004F47BB">
      <w:pPr>
        <w:tabs>
          <w:tab w:val="left" w:pos="284"/>
          <w:tab w:val="left" w:pos="454"/>
          <w:tab w:val="left" w:pos="567"/>
        </w:tabs>
        <w:overflowPunct w:val="0"/>
        <w:adjustRightInd w:val="0"/>
        <w:ind w:left="284" w:hanging="284"/>
        <w:textAlignment w:val="baseline"/>
        <w:rPr>
          <w:szCs w:val="20"/>
        </w:rPr>
      </w:pPr>
      <w:r w:rsidRPr="004F47BB">
        <w:rPr>
          <w:szCs w:val="20"/>
        </w:rPr>
        <w:br w:type="page"/>
      </w:r>
    </w:p>
    <w:p w:rsidR="004F47BB" w:rsidRPr="004F47BB" w:rsidRDefault="004F47BB" w:rsidP="004F47BB">
      <w:pPr>
        <w:overflowPunct w:val="0"/>
        <w:adjustRightInd w:val="0"/>
        <w:ind w:left="709" w:firstLine="0"/>
        <w:textAlignment w:val="baseline"/>
        <w:rPr>
          <w:szCs w:val="20"/>
          <w:lang w:val="en-US"/>
        </w:rPr>
      </w:pPr>
      <w:r w:rsidRPr="004F47BB">
        <w:rPr>
          <w:szCs w:val="20"/>
          <w:lang w:val="en-US"/>
        </w:rPr>
        <w:lastRenderedPageBreak/>
        <w:t>Where:</w:t>
      </w:r>
    </w:p>
    <w:p w:rsidR="004F47BB" w:rsidRPr="004F47BB" w:rsidRDefault="004F47BB" w:rsidP="004F47BB">
      <w:pPr>
        <w:tabs>
          <w:tab w:val="left" w:pos="284"/>
          <w:tab w:val="left" w:pos="454"/>
          <w:tab w:val="left" w:pos="567"/>
        </w:tabs>
        <w:overflowPunct w:val="0"/>
        <w:adjustRightInd w:val="0"/>
        <w:ind w:left="284" w:hanging="284"/>
        <w:textAlignment w:val="baseline"/>
        <w:rPr>
          <w:szCs w:val="20"/>
          <w:lang w:val="en-US"/>
        </w:rPr>
      </w:pPr>
    </w:p>
    <w:p w:rsidR="004F47BB" w:rsidRPr="004F47BB" w:rsidRDefault="00F12BAF" w:rsidP="004F47BB">
      <w:pPr>
        <w:tabs>
          <w:tab w:val="left" w:pos="284"/>
          <w:tab w:val="left" w:pos="2127"/>
          <w:tab w:val="left" w:pos="2977"/>
        </w:tabs>
        <w:overflowPunct w:val="0"/>
        <w:adjustRightInd w:val="0"/>
        <w:ind w:left="2977" w:hanging="2268"/>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F</m:t>
            </m:r>
          </m:e>
          <m:sub>
            <m:r>
              <w:rPr>
                <w:rFonts w:ascii="Cambria Math" w:hAnsi="Cambria Math"/>
                <w:szCs w:val="20"/>
                <w:lang w:val="en-US"/>
              </w:rPr>
              <m:t>SB</m:t>
            </m:r>
          </m:sub>
        </m:sSub>
      </m:oMath>
      <w:r w:rsidR="004F47BB" w:rsidRPr="004F47BB">
        <w:rPr>
          <w:szCs w:val="20"/>
          <w:lang w:val="en-US"/>
        </w:rPr>
        <w:t xml:space="preserve">, </w:t>
      </w:r>
      <m:oMath>
        <m:sSub>
          <m:sSubPr>
            <m:ctrlPr>
              <w:rPr>
                <w:rFonts w:ascii="Cambria Math" w:hAnsi="Cambria Math"/>
                <w:i/>
                <w:szCs w:val="20"/>
                <w:lang w:val="en-US"/>
              </w:rPr>
            </m:ctrlPr>
          </m:sSubPr>
          <m:e>
            <m:r>
              <w:rPr>
                <w:rFonts w:ascii="Cambria Math" w:hAnsi="Cambria Math"/>
                <w:szCs w:val="20"/>
                <w:lang w:val="en-US"/>
              </w:rPr>
              <m:t>F</m:t>
            </m:r>
          </m:e>
          <m:sub>
            <m:r>
              <w:rPr>
                <w:rFonts w:ascii="Cambria Math" w:hAnsi="Cambria Math"/>
                <w:szCs w:val="20"/>
                <w:lang w:val="en-US"/>
              </w:rPr>
              <m:t>SF</m:t>
            </m:r>
          </m:sub>
        </m:sSub>
      </m:oMath>
      <w:r w:rsidR="004F47BB" w:rsidRPr="004F47BB">
        <w:rPr>
          <w:szCs w:val="20"/>
          <w:lang w:val="en-US"/>
        </w:rPr>
        <w:t xml:space="preserve">, </w:t>
      </w:r>
      <m:oMath>
        <m:sSub>
          <m:sSubPr>
            <m:ctrlPr>
              <w:rPr>
                <w:rFonts w:ascii="Cambria Math" w:hAnsi="Cambria Math"/>
                <w:i/>
                <w:szCs w:val="20"/>
                <w:lang w:val="en-US"/>
              </w:rPr>
            </m:ctrlPr>
          </m:sSubPr>
          <m:e>
            <m:r>
              <w:rPr>
                <w:rFonts w:ascii="Cambria Math" w:hAnsi="Cambria Math"/>
                <w:szCs w:val="20"/>
                <w:lang w:val="en-US"/>
              </w:rPr>
              <m:t>F</m:t>
            </m:r>
          </m:e>
          <m:sub>
            <m:r>
              <w:rPr>
                <w:rFonts w:ascii="Cambria Math" w:hAnsi="Cambria Math"/>
                <w:szCs w:val="20"/>
                <w:lang w:val="en-US"/>
              </w:rPr>
              <m:t>SL</m:t>
            </m:r>
          </m:sub>
        </m:sSub>
      </m:oMath>
      <w:r w:rsidR="004F47BB" w:rsidRPr="004F47BB">
        <w:rPr>
          <w:szCs w:val="20"/>
          <w:lang w:val="en-US"/>
        </w:rPr>
        <w:tab/>
        <w:t>[kN]</w:t>
      </w:r>
      <w:r w:rsidR="004F47BB" w:rsidRPr="004F47BB">
        <w:rPr>
          <w:szCs w:val="20"/>
          <w:lang w:val="en-US"/>
        </w:rPr>
        <w:tab/>
        <w:t>Coupling force of the longitudinal connection;</w:t>
      </w:r>
    </w:p>
    <w:p w:rsidR="004F47BB" w:rsidRPr="004F47BB" w:rsidRDefault="004F47BB" w:rsidP="004F47BB">
      <w:pPr>
        <w:tabs>
          <w:tab w:val="left" w:pos="284"/>
          <w:tab w:val="left" w:pos="2127"/>
          <w:tab w:val="left" w:pos="2977"/>
        </w:tabs>
        <w:overflowPunct w:val="0"/>
        <w:adjustRightInd w:val="0"/>
        <w:ind w:left="2977" w:hanging="2268"/>
        <w:textAlignment w:val="baseline"/>
        <w:rPr>
          <w:szCs w:val="20"/>
          <w:lang w:val="en-US"/>
        </w:rPr>
      </w:pPr>
    </w:p>
    <w:p w:rsidR="004F47BB" w:rsidRPr="004F47BB" w:rsidRDefault="00F12BAF" w:rsidP="004F47BB">
      <w:pPr>
        <w:tabs>
          <w:tab w:val="left" w:pos="284"/>
          <w:tab w:val="left" w:pos="2127"/>
          <w:tab w:val="left" w:pos="2977"/>
        </w:tabs>
        <w:overflowPunct w:val="0"/>
        <w:adjustRightInd w:val="0"/>
        <w:ind w:left="2977" w:hanging="2268"/>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P</m:t>
            </m:r>
          </m:e>
          <m:sub>
            <m:r>
              <w:rPr>
                <w:rFonts w:ascii="Cambria Math" w:hAnsi="Cambria Math"/>
                <w:szCs w:val="20"/>
                <w:lang w:val="en-US"/>
              </w:rPr>
              <m:t>B</m:t>
            </m:r>
          </m:sub>
        </m:sSub>
      </m:oMath>
      <w:r w:rsidR="004F47BB" w:rsidRPr="004F47BB">
        <w:rPr>
          <w:szCs w:val="20"/>
          <w:lang w:val="en-US"/>
        </w:rPr>
        <w:tab/>
        <w:t>[kW]</w:t>
      </w:r>
      <w:r w:rsidR="004F47BB" w:rsidRPr="004F47BB">
        <w:rPr>
          <w:szCs w:val="20"/>
          <w:lang w:val="en-US"/>
        </w:rPr>
        <w:tab/>
        <w:t>Installed power of the propulsion engine;</w:t>
      </w:r>
    </w:p>
    <w:p w:rsidR="004F47BB" w:rsidRPr="004F47BB" w:rsidRDefault="004F47BB" w:rsidP="004F47BB">
      <w:pPr>
        <w:tabs>
          <w:tab w:val="left" w:pos="284"/>
          <w:tab w:val="left" w:pos="2127"/>
          <w:tab w:val="left" w:pos="2977"/>
        </w:tabs>
        <w:overflowPunct w:val="0"/>
        <w:adjustRightInd w:val="0"/>
        <w:ind w:left="2977" w:hanging="2268"/>
        <w:textAlignment w:val="baseline"/>
        <w:rPr>
          <w:szCs w:val="20"/>
          <w:lang w:val="en-US"/>
        </w:rPr>
      </w:pPr>
    </w:p>
    <w:p w:rsidR="004F47BB" w:rsidRPr="004F47BB" w:rsidRDefault="00F12BAF" w:rsidP="004F47BB">
      <w:pPr>
        <w:tabs>
          <w:tab w:val="left" w:pos="284"/>
          <w:tab w:val="left" w:pos="2127"/>
          <w:tab w:val="left" w:pos="2977"/>
        </w:tabs>
        <w:overflowPunct w:val="0"/>
        <w:adjustRightInd w:val="0"/>
        <w:ind w:left="2977" w:hanging="2268"/>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L</m:t>
            </m:r>
          </m:e>
          <m:sub>
            <m:r>
              <w:rPr>
                <w:rFonts w:ascii="Cambria Math" w:hAnsi="Cambria Math"/>
                <w:szCs w:val="20"/>
                <w:lang w:val="en-US"/>
              </w:rPr>
              <m:t>S</m:t>
            </m:r>
          </m:sub>
        </m:sSub>
      </m:oMath>
      <w:r w:rsidR="004F47BB" w:rsidRPr="004F47BB">
        <w:rPr>
          <w:szCs w:val="20"/>
          <w:lang w:val="en-US"/>
        </w:rPr>
        <w:tab/>
        <w:t>[m]</w:t>
      </w:r>
      <w:r w:rsidR="004F47BB" w:rsidRPr="004F47BB">
        <w:rPr>
          <w:szCs w:val="20"/>
          <w:lang w:val="en-US"/>
        </w:rPr>
        <w:tab/>
        <w:t>Distance from the stern of the pusher or pushing craft to the coupling point;</w:t>
      </w:r>
    </w:p>
    <w:p w:rsidR="004F47BB" w:rsidRPr="004F47BB" w:rsidRDefault="004F47BB" w:rsidP="004F47BB">
      <w:pPr>
        <w:tabs>
          <w:tab w:val="left" w:pos="284"/>
          <w:tab w:val="left" w:pos="2127"/>
          <w:tab w:val="left" w:pos="2977"/>
        </w:tabs>
        <w:overflowPunct w:val="0"/>
        <w:adjustRightInd w:val="0"/>
        <w:ind w:left="2977" w:hanging="2268"/>
        <w:textAlignment w:val="baseline"/>
        <w:rPr>
          <w:szCs w:val="20"/>
          <w:lang w:val="en-US"/>
        </w:rPr>
      </w:pPr>
    </w:p>
    <w:p w:rsidR="004F47BB" w:rsidRPr="004F47BB" w:rsidRDefault="00F12BAF" w:rsidP="004F47BB">
      <w:pPr>
        <w:tabs>
          <w:tab w:val="left" w:pos="284"/>
          <w:tab w:val="left" w:pos="2127"/>
          <w:tab w:val="left" w:pos="2977"/>
        </w:tabs>
        <w:overflowPunct w:val="0"/>
        <w:adjustRightInd w:val="0"/>
        <w:ind w:left="2977" w:hanging="2268"/>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L'</m:t>
            </m:r>
          </m:e>
          <m:sub>
            <m:r>
              <w:rPr>
                <w:rFonts w:ascii="Cambria Math" w:hAnsi="Cambria Math"/>
                <w:szCs w:val="20"/>
                <w:lang w:val="en-US"/>
              </w:rPr>
              <m:t>S</m:t>
            </m:r>
          </m:sub>
        </m:sSub>
      </m:oMath>
      <w:r w:rsidR="004F47BB" w:rsidRPr="004F47BB">
        <w:rPr>
          <w:szCs w:val="20"/>
          <w:lang w:val="en-US"/>
        </w:rPr>
        <w:tab/>
        <w:t>[m]</w:t>
      </w:r>
      <w:r w:rsidR="004F47BB" w:rsidRPr="004F47BB">
        <w:rPr>
          <w:szCs w:val="20"/>
          <w:lang w:val="en-US"/>
        </w:rPr>
        <w:tab/>
        <w:t>Distance from the stern of the pushing craft to the coupling point between the first pushed craft and the craft coupled ahead of it;</w:t>
      </w:r>
    </w:p>
    <w:p w:rsidR="004F47BB" w:rsidRPr="004F47BB" w:rsidRDefault="004F47BB" w:rsidP="004F47BB">
      <w:pPr>
        <w:tabs>
          <w:tab w:val="left" w:pos="284"/>
          <w:tab w:val="left" w:pos="2127"/>
          <w:tab w:val="left" w:pos="2977"/>
        </w:tabs>
        <w:overflowPunct w:val="0"/>
        <w:adjustRightInd w:val="0"/>
        <w:ind w:left="2977" w:hanging="2268"/>
        <w:textAlignment w:val="baseline"/>
        <w:rPr>
          <w:szCs w:val="20"/>
          <w:lang w:val="en-US"/>
        </w:rPr>
      </w:pPr>
    </w:p>
    <w:p w:rsidR="004F47BB" w:rsidRPr="004F47BB" w:rsidRDefault="00F12BAF" w:rsidP="004F47BB">
      <w:pPr>
        <w:tabs>
          <w:tab w:val="left" w:pos="284"/>
          <w:tab w:val="left" w:pos="2127"/>
          <w:tab w:val="left" w:pos="2977"/>
        </w:tabs>
        <w:overflowPunct w:val="0"/>
        <w:adjustRightInd w:val="0"/>
        <w:ind w:left="2977" w:hanging="2268"/>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h</m:t>
            </m:r>
          </m:e>
          <m:sub>
            <m:r>
              <w:rPr>
                <w:rFonts w:ascii="Cambria Math" w:hAnsi="Cambria Math"/>
                <w:szCs w:val="20"/>
                <w:lang w:val="en-US"/>
              </w:rPr>
              <m:t>K</m:t>
            </m:r>
          </m:sub>
        </m:sSub>
      </m:oMath>
      <w:r w:rsidR="004F47BB" w:rsidRPr="004F47BB">
        <w:rPr>
          <w:szCs w:val="20"/>
          <w:lang w:val="en-US"/>
        </w:rPr>
        <w:t xml:space="preserve">, </w:t>
      </w:r>
      <m:oMath>
        <m:sSub>
          <m:sSubPr>
            <m:ctrlPr>
              <w:rPr>
                <w:rFonts w:ascii="Cambria Math" w:hAnsi="Cambria Math"/>
                <w:i/>
                <w:szCs w:val="20"/>
                <w:lang w:val="en-US"/>
              </w:rPr>
            </m:ctrlPr>
          </m:sSubPr>
          <m:e>
            <m:r>
              <w:rPr>
                <w:rFonts w:ascii="Cambria Math" w:hAnsi="Cambria Math"/>
                <w:szCs w:val="20"/>
                <w:lang w:val="en-US"/>
              </w:rPr>
              <m:t>h'</m:t>
            </m:r>
          </m:e>
          <m:sub>
            <m:r>
              <w:rPr>
                <w:rFonts w:ascii="Cambria Math" w:hAnsi="Cambria Math"/>
                <w:szCs w:val="20"/>
                <w:lang w:val="en-US"/>
              </w:rPr>
              <m:t>K</m:t>
            </m:r>
          </m:sub>
        </m:sSub>
      </m:oMath>
      <w:r w:rsidR="004F47BB" w:rsidRPr="004F47BB">
        <w:rPr>
          <w:szCs w:val="20"/>
          <w:lang w:val="en-US"/>
        </w:rPr>
        <w:tab/>
        <w:t>[m]</w:t>
      </w:r>
      <w:r w:rsidR="004F47BB" w:rsidRPr="004F47BB">
        <w:rPr>
          <w:szCs w:val="20"/>
          <w:lang w:val="en-US"/>
        </w:rPr>
        <w:tab/>
        <w:t>Respective lever arm of the longitudinal connection;</w:t>
      </w:r>
    </w:p>
    <w:p w:rsidR="004F47BB" w:rsidRPr="004F47BB" w:rsidRDefault="004F47BB" w:rsidP="004F47BB">
      <w:pPr>
        <w:tabs>
          <w:tab w:val="left" w:pos="284"/>
          <w:tab w:val="left" w:pos="2127"/>
          <w:tab w:val="left" w:pos="2977"/>
        </w:tabs>
        <w:overflowPunct w:val="0"/>
        <w:adjustRightInd w:val="0"/>
        <w:ind w:left="2977" w:hanging="2268"/>
        <w:textAlignment w:val="baseline"/>
        <w:rPr>
          <w:szCs w:val="20"/>
          <w:lang w:val="en-US"/>
        </w:rPr>
      </w:pPr>
    </w:p>
    <w:p w:rsidR="004F47BB" w:rsidRPr="004F47BB" w:rsidRDefault="00F12BAF" w:rsidP="004F47BB">
      <w:pPr>
        <w:tabs>
          <w:tab w:val="left" w:pos="284"/>
          <w:tab w:val="left" w:pos="2127"/>
          <w:tab w:val="left" w:pos="2977"/>
        </w:tabs>
        <w:overflowPunct w:val="0"/>
        <w:adjustRightInd w:val="0"/>
        <w:ind w:left="2977" w:hanging="2268"/>
        <w:textAlignment w:val="baseline"/>
        <w:rPr>
          <w:szCs w:val="20"/>
          <w:lang w:val="en-US"/>
        </w:rPr>
      </w:pPr>
      <m:oMath>
        <m:sSub>
          <m:sSubPr>
            <m:ctrlPr>
              <w:rPr>
                <w:rFonts w:ascii="Cambria Math" w:hAnsi="Cambria Math"/>
                <w:i/>
                <w:szCs w:val="20"/>
                <w:lang w:val="en-US"/>
              </w:rPr>
            </m:ctrlPr>
          </m:sSubPr>
          <m:e>
            <m:r>
              <w:rPr>
                <w:rFonts w:ascii="Cambria Math" w:hAnsi="Cambria Math"/>
                <w:szCs w:val="20"/>
                <w:lang w:val="en-US"/>
              </w:rPr>
              <m:t>B</m:t>
            </m:r>
          </m:e>
          <m:sub>
            <m:r>
              <w:rPr>
                <w:rFonts w:ascii="Cambria Math" w:hAnsi="Cambria Math"/>
                <w:szCs w:val="20"/>
                <w:lang w:val="en-US"/>
              </w:rPr>
              <m:t>S</m:t>
            </m:r>
          </m:sub>
        </m:sSub>
      </m:oMath>
      <w:r w:rsidR="004F47BB" w:rsidRPr="004F47BB">
        <w:rPr>
          <w:szCs w:val="20"/>
          <w:lang w:val="en-US"/>
        </w:rPr>
        <w:tab/>
        <w:t>[m]</w:t>
      </w:r>
      <w:r w:rsidR="004F47BB" w:rsidRPr="004F47BB">
        <w:rPr>
          <w:szCs w:val="20"/>
          <w:lang w:val="en-US"/>
        </w:rPr>
        <w:tab/>
        <w:t>Width of the pushing craft;</w:t>
      </w:r>
    </w:p>
    <w:p w:rsidR="004F47BB" w:rsidRPr="004F47BB" w:rsidRDefault="004F47BB" w:rsidP="004F47BB">
      <w:pPr>
        <w:tabs>
          <w:tab w:val="left" w:pos="284"/>
          <w:tab w:val="left" w:pos="2127"/>
          <w:tab w:val="left" w:pos="2977"/>
        </w:tabs>
        <w:overflowPunct w:val="0"/>
        <w:adjustRightInd w:val="0"/>
        <w:ind w:left="2977" w:hanging="2268"/>
        <w:textAlignment w:val="baseline"/>
        <w:rPr>
          <w:szCs w:val="20"/>
          <w:lang w:val="en-US"/>
        </w:rPr>
      </w:pPr>
    </w:p>
    <w:p w:rsidR="004F47BB" w:rsidRPr="004F47BB" w:rsidRDefault="004F47BB" w:rsidP="004F47BB">
      <w:pPr>
        <w:tabs>
          <w:tab w:val="left" w:pos="284"/>
          <w:tab w:val="left" w:pos="2127"/>
          <w:tab w:val="left" w:pos="2977"/>
        </w:tabs>
        <w:overflowPunct w:val="0"/>
        <w:adjustRightInd w:val="0"/>
        <w:ind w:left="2977" w:hanging="2268"/>
        <w:textAlignment w:val="baseline"/>
        <w:rPr>
          <w:szCs w:val="20"/>
          <w:lang w:val="en-US"/>
        </w:rPr>
      </w:pPr>
    </w:p>
    <w:p w:rsidR="004F47BB" w:rsidRPr="004F47BB" w:rsidRDefault="004F47BB" w:rsidP="004F47BB">
      <w:pPr>
        <w:tabs>
          <w:tab w:val="left" w:pos="0"/>
          <w:tab w:val="left" w:pos="284"/>
          <w:tab w:val="left" w:pos="2127"/>
          <w:tab w:val="left" w:pos="2977"/>
        </w:tabs>
        <w:overflowPunct w:val="0"/>
        <w:adjustRightInd w:val="0"/>
        <w:ind w:left="2977" w:hanging="2268"/>
        <w:textAlignment w:val="baseline"/>
        <w:rPr>
          <w:szCs w:val="20"/>
          <w:lang w:val="en-US"/>
        </w:rPr>
      </w:pPr>
      <w:r w:rsidRPr="004F47BB">
        <w:rPr>
          <w:szCs w:val="20"/>
          <w:lang w:val="en-US"/>
        </w:rPr>
        <w:t>270 and 80</w:t>
      </w:r>
      <w:r w:rsidRPr="004F47BB">
        <w:rPr>
          <w:szCs w:val="20"/>
          <w:lang w:val="en-US"/>
        </w:rPr>
        <w:tab/>
      </w:r>
      <m:oMath>
        <m:d>
          <m:dPr>
            <m:begChr m:val="["/>
            <m:endChr m:val="]"/>
            <m:ctrlPr>
              <w:rPr>
                <w:rFonts w:ascii="Cambria Math" w:hAnsi="Cambria Math"/>
                <w:i/>
                <w:szCs w:val="20"/>
                <w:lang w:val="en-US"/>
              </w:rPr>
            </m:ctrlPr>
          </m:dPr>
          <m:e>
            <m:f>
              <m:fPr>
                <m:ctrlPr>
                  <w:rPr>
                    <w:rFonts w:ascii="Cambria Math" w:hAnsi="Cambria Math"/>
                    <w:i/>
                    <w:szCs w:val="20"/>
                    <w:lang w:val="en-US"/>
                  </w:rPr>
                </m:ctrlPr>
              </m:fPr>
              <m:num>
                <m:r>
                  <w:rPr>
                    <w:rFonts w:ascii="Cambria Math" w:hAnsi="Cambria Math"/>
                    <w:szCs w:val="20"/>
                    <w:lang w:val="en-US"/>
                  </w:rPr>
                  <m:t>kN</m:t>
                </m:r>
              </m:num>
              <m:den>
                <m:r>
                  <w:rPr>
                    <w:rFonts w:ascii="Cambria Math" w:hAnsi="Cambria Math"/>
                    <w:szCs w:val="20"/>
                    <w:lang w:val="en-US"/>
                  </w:rPr>
                  <m:t>kW</m:t>
                </m:r>
              </m:den>
            </m:f>
          </m:e>
        </m:d>
      </m:oMath>
      <w:r w:rsidRPr="004F47BB">
        <w:rPr>
          <w:szCs w:val="20"/>
          <w:lang w:val="en-US"/>
        </w:rPr>
        <w:tab/>
        <w:t>Empirically established values for the conversion of installed power to thrust while ensuring adequate levels of safety.</w:t>
      </w:r>
    </w:p>
    <w:p w:rsidR="004F47BB" w:rsidRPr="004F47BB" w:rsidRDefault="004F47BB" w:rsidP="004F47BB">
      <w:pPr>
        <w:tabs>
          <w:tab w:val="left" w:pos="1985"/>
          <w:tab w:val="left" w:pos="2835"/>
        </w:tabs>
        <w:overflowPunct w:val="0"/>
        <w:adjustRightInd w:val="0"/>
        <w:ind w:left="0" w:firstLine="0"/>
        <w:textAlignment w:val="baseline"/>
        <w:rPr>
          <w:szCs w:val="20"/>
          <w:lang w:val="en-US"/>
        </w:rPr>
      </w:pPr>
    </w:p>
    <w:p w:rsidR="004F47BB" w:rsidRPr="004F47BB" w:rsidRDefault="004F47BB" w:rsidP="004F47BB">
      <w:pPr>
        <w:tabs>
          <w:tab w:val="left" w:pos="680"/>
        </w:tabs>
        <w:overflowPunct w:val="0"/>
        <w:adjustRightInd w:val="0"/>
        <w:ind w:left="680" w:hanging="680"/>
        <w:textAlignment w:val="baseline"/>
        <w:rPr>
          <w:szCs w:val="20"/>
          <w:lang w:val="en-US"/>
        </w:rPr>
      </w:pPr>
      <w:r w:rsidRPr="004F47BB">
        <w:rPr>
          <w:szCs w:val="20"/>
          <w:lang w:val="en-US"/>
        </w:rPr>
        <w:t>2.4.1</w:t>
      </w:r>
      <w:r w:rsidRPr="004F47BB">
        <w:rPr>
          <w:szCs w:val="20"/>
          <w:lang w:val="en-US"/>
        </w:rPr>
        <w:tab/>
        <w:t>For the longitudinal coupling of individual craft at least two coupling points shall be used. Each coupling point shall be dimensioned for the coupling force determined according to (2.1), (2.2) or (2.3). If rigid coupling components are used, a single coupling point may be authorised if that point ensures secure connection of the craft.</w:t>
      </w:r>
    </w:p>
    <w:p w:rsidR="004F47BB" w:rsidRPr="004F47BB" w:rsidRDefault="004F47BB" w:rsidP="004F47BB">
      <w:pPr>
        <w:tabs>
          <w:tab w:val="left" w:pos="680"/>
        </w:tabs>
        <w:overflowPunct w:val="0"/>
        <w:adjustRightInd w:val="0"/>
        <w:ind w:left="680" w:hanging="680"/>
        <w:textAlignment w:val="baseline"/>
        <w:rPr>
          <w:szCs w:val="20"/>
          <w:lang w:val="en-US"/>
        </w:rPr>
      </w:pPr>
    </w:p>
    <w:p w:rsidR="004F47BB" w:rsidRPr="004F47BB" w:rsidRDefault="004F47BB" w:rsidP="004F47BB">
      <w:pPr>
        <w:tabs>
          <w:tab w:val="left" w:pos="680"/>
        </w:tabs>
        <w:overflowPunct w:val="0"/>
        <w:adjustRightInd w:val="0"/>
        <w:ind w:left="680" w:hanging="680"/>
        <w:textAlignment w:val="baseline"/>
        <w:rPr>
          <w:szCs w:val="20"/>
          <w:lang w:val="en-US"/>
        </w:rPr>
      </w:pPr>
      <w:r w:rsidRPr="004F47BB">
        <w:rPr>
          <w:szCs w:val="20"/>
          <w:lang w:val="en-US"/>
        </w:rPr>
        <w:tab/>
        <w:t>The tensile strength of the cables shall be selected according to the foreseen number of windings. There shall be no more than three windings at the coupling point. Cables shall be selected according to their intended use.</w:t>
      </w:r>
    </w:p>
    <w:p w:rsidR="004F47BB" w:rsidRPr="004F47BB" w:rsidRDefault="004F47BB" w:rsidP="004F47BB">
      <w:pPr>
        <w:tabs>
          <w:tab w:val="left" w:pos="680"/>
        </w:tabs>
        <w:overflowPunct w:val="0"/>
        <w:adjustRightInd w:val="0"/>
        <w:ind w:left="680" w:hanging="680"/>
        <w:textAlignment w:val="baseline"/>
        <w:rPr>
          <w:szCs w:val="20"/>
          <w:lang w:val="en-US"/>
        </w:rPr>
      </w:pPr>
    </w:p>
    <w:p w:rsidR="004F47BB" w:rsidRPr="004F47BB" w:rsidRDefault="004F47BB" w:rsidP="004F47BB">
      <w:pPr>
        <w:tabs>
          <w:tab w:val="left" w:pos="680"/>
        </w:tabs>
        <w:overflowPunct w:val="0"/>
        <w:adjustRightInd w:val="0"/>
        <w:ind w:left="680" w:hanging="680"/>
        <w:textAlignment w:val="baseline"/>
        <w:rPr>
          <w:szCs w:val="20"/>
          <w:lang w:val="en-US"/>
        </w:rPr>
      </w:pPr>
      <w:r w:rsidRPr="004F47BB">
        <w:rPr>
          <w:szCs w:val="20"/>
          <w:lang w:val="en-US"/>
        </w:rPr>
        <w:t>2.4.2</w:t>
      </w:r>
      <w:r w:rsidRPr="004F47BB">
        <w:rPr>
          <w:szCs w:val="20"/>
          <w:lang w:val="en-US"/>
        </w:rPr>
        <w:tab/>
        <w:t>In the case of pushers with a single pushed lighter, formula in (2.2) can be used to determine the coupling force if such pushers have been authorised to propel several such lighters.</w:t>
      </w:r>
    </w:p>
    <w:p w:rsidR="004F47BB" w:rsidRPr="004F47BB" w:rsidRDefault="004F47BB" w:rsidP="004F47BB">
      <w:pPr>
        <w:tabs>
          <w:tab w:val="left" w:pos="680"/>
        </w:tabs>
        <w:overflowPunct w:val="0"/>
        <w:adjustRightInd w:val="0"/>
        <w:ind w:left="680" w:hanging="680"/>
        <w:textAlignment w:val="baseline"/>
        <w:rPr>
          <w:szCs w:val="20"/>
          <w:lang w:val="en-US"/>
        </w:rPr>
      </w:pPr>
    </w:p>
    <w:p w:rsidR="004F47BB" w:rsidRPr="004F47BB" w:rsidRDefault="004F47BB" w:rsidP="004F47BB">
      <w:pPr>
        <w:tabs>
          <w:tab w:val="left" w:pos="680"/>
        </w:tabs>
        <w:overflowPunct w:val="0"/>
        <w:adjustRightInd w:val="0"/>
        <w:ind w:left="680" w:hanging="680"/>
        <w:textAlignment w:val="baseline"/>
        <w:rPr>
          <w:szCs w:val="20"/>
          <w:lang w:val="en-US"/>
        </w:rPr>
      </w:pPr>
      <w:r w:rsidRPr="004F47BB">
        <w:rPr>
          <w:szCs w:val="20"/>
          <w:lang w:val="en-US"/>
        </w:rPr>
        <w:t>2.4.3</w:t>
      </w:r>
      <w:r w:rsidRPr="004F47BB">
        <w:rPr>
          <w:szCs w:val="20"/>
          <w:lang w:val="en-US"/>
        </w:rPr>
        <w:tab/>
        <w:t>Sufficient numbers of bollards or equivalent devices shall be available and be capable of absorbing the coupling forces arising.</w:t>
      </w:r>
    </w:p>
    <w:p w:rsidR="004F47BB" w:rsidRPr="004F47BB" w:rsidRDefault="004F47BB" w:rsidP="004F47BB">
      <w:pPr>
        <w:tabs>
          <w:tab w:val="left" w:pos="680"/>
        </w:tabs>
        <w:overflowPunct w:val="0"/>
        <w:adjustRightInd w:val="0"/>
        <w:ind w:left="680" w:hanging="680"/>
        <w:textAlignment w:val="baseline"/>
        <w:rPr>
          <w:szCs w:val="20"/>
          <w:lang w:val="en-US"/>
        </w:rPr>
      </w:pPr>
    </w:p>
    <w:p w:rsidR="004F47BB" w:rsidRPr="004F47BB" w:rsidRDefault="004F47BB" w:rsidP="004F47BB">
      <w:pPr>
        <w:tabs>
          <w:tab w:val="left" w:pos="680"/>
        </w:tabs>
        <w:overflowPunct w:val="0"/>
        <w:adjustRightInd w:val="0"/>
        <w:ind w:left="680" w:hanging="680"/>
        <w:textAlignment w:val="baseline"/>
        <w:rPr>
          <w:b/>
          <w:szCs w:val="20"/>
          <w:lang w:val="en-US"/>
        </w:rPr>
      </w:pPr>
      <w:r w:rsidRPr="004F47BB">
        <w:rPr>
          <w:b/>
          <w:szCs w:val="20"/>
          <w:lang w:val="en-US"/>
        </w:rPr>
        <w:t>3.</w:t>
      </w:r>
      <w:r w:rsidRPr="004F47BB">
        <w:rPr>
          <w:b/>
          <w:szCs w:val="20"/>
          <w:lang w:val="en-US"/>
        </w:rPr>
        <w:tab/>
        <w:t>Special requirements for articulated couplings</w:t>
      </w:r>
    </w:p>
    <w:p w:rsidR="004F47BB" w:rsidRPr="004F47BB" w:rsidRDefault="004F47BB" w:rsidP="004F47BB">
      <w:pPr>
        <w:tabs>
          <w:tab w:val="left" w:pos="680"/>
        </w:tabs>
        <w:overflowPunct w:val="0"/>
        <w:adjustRightInd w:val="0"/>
        <w:ind w:left="680" w:hanging="680"/>
        <w:textAlignment w:val="baseline"/>
        <w:rPr>
          <w:szCs w:val="20"/>
          <w:lang w:val="en-US"/>
        </w:rPr>
      </w:pPr>
    </w:p>
    <w:p w:rsidR="004F47BB" w:rsidRPr="004F47BB" w:rsidRDefault="004F47BB" w:rsidP="004F47BB">
      <w:pPr>
        <w:tabs>
          <w:tab w:val="left" w:pos="680"/>
        </w:tabs>
        <w:overflowPunct w:val="0"/>
        <w:adjustRightInd w:val="0"/>
        <w:ind w:left="680" w:hanging="680"/>
        <w:textAlignment w:val="baseline"/>
        <w:rPr>
          <w:szCs w:val="20"/>
          <w:lang w:val="en-US"/>
        </w:rPr>
      </w:pPr>
      <w:r w:rsidRPr="004F47BB">
        <w:rPr>
          <w:szCs w:val="20"/>
          <w:lang w:val="en-US"/>
        </w:rPr>
        <w:tab/>
        <w:t>Articulated couplings shall be designed so as to also ensure a rigid coupling between craft. Compliance with the requirements of Chapter 5 shall be checked during navigation tests with a rigid convoy in accordance with Article 21.06.</w:t>
      </w:r>
    </w:p>
    <w:p w:rsidR="004F47BB" w:rsidRPr="004F47BB" w:rsidRDefault="004F47BB" w:rsidP="004F47BB">
      <w:pPr>
        <w:tabs>
          <w:tab w:val="left" w:pos="680"/>
        </w:tabs>
        <w:overflowPunct w:val="0"/>
        <w:adjustRightInd w:val="0"/>
        <w:ind w:left="680" w:hanging="680"/>
        <w:textAlignment w:val="baseline"/>
        <w:rPr>
          <w:szCs w:val="20"/>
          <w:lang w:val="en-US"/>
        </w:rPr>
      </w:pPr>
    </w:p>
    <w:p w:rsidR="004F47BB" w:rsidRPr="004F47BB" w:rsidRDefault="004F47BB" w:rsidP="004F47BB">
      <w:pPr>
        <w:tabs>
          <w:tab w:val="left" w:pos="680"/>
        </w:tabs>
        <w:overflowPunct w:val="0"/>
        <w:adjustRightInd w:val="0"/>
        <w:ind w:left="680" w:hanging="680"/>
        <w:textAlignment w:val="baseline"/>
        <w:rPr>
          <w:szCs w:val="20"/>
          <w:lang w:val="en-US"/>
        </w:rPr>
      </w:pPr>
      <w:r w:rsidRPr="004F47BB">
        <w:rPr>
          <w:szCs w:val="20"/>
          <w:lang w:val="en-US"/>
        </w:rPr>
        <w:tab/>
        <w:t>The drive unit of the articulated coupling shall enable a satisfactory return from the articulated position. The requirements of Articles 6.02 to 6.04 shall be applied mutatis mutandis, hence when a powered drive unit is used, a second independent drive unit and energy source shall be available in the event of failure.</w:t>
      </w:r>
    </w:p>
    <w:p w:rsidR="004F47BB" w:rsidRPr="004F47BB" w:rsidRDefault="004F47BB" w:rsidP="004F47BB">
      <w:pPr>
        <w:tabs>
          <w:tab w:val="left" w:pos="680"/>
        </w:tabs>
        <w:overflowPunct w:val="0"/>
        <w:adjustRightInd w:val="0"/>
        <w:ind w:left="680" w:hanging="680"/>
        <w:textAlignment w:val="baseline"/>
        <w:rPr>
          <w:szCs w:val="20"/>
          <w:lang w:val="en-US"/>
        </w:rPr>
      </w:pPr>
    </w:p>
    <w:p w:rsidR="004F47BB" w:rsidRPr="004F47BB" w:rsidRDefault="004F47BB" w:rsidP="004F47BB">
      <w:pPr>
        <w:tabs>
          <w:tab w:val="left" w:pos="680"/>
        </w:tabs>
        <w:overflowPunct w:val="0"/>
        <w:adjustRightInd w:val="0"/>
        <w:ind w:left="680" w:hanging="680"/>
        <w:textAlignment w:val="baseline"/>
        <w:rPr>
          <w:szCs w:val="20"/>
          <w:lang w:val="en-US"/>
        </w:rPr>
      </w:pPr>
      <w:r w:rsidRPr="004F47BB">
        <w:rPr>
          <w:szCs w:val="20"/>
          <w:lang w:val="en-US"/>
        </w:rPr>
        <w:tab/>
        <w:t xml:space="preserve">It shall be possible to operate and monitor the articulated coupling (its articulated movement, at least) from the wheelhouse, the requirements of Articles 7.03 and 7.05 shall be applied </w:t>
      </w:r>
      <w:r w:rsidRPr="004F47BB">
        <w:rPr>
          <w:i/>
          <w:szCs w:val="20"/>
          <w:lang w:val="en-US"/>
        </w:rPr>
        <w:t>mutatis mutandis</w:t>
      </w:r>
      <w:r w:rsidRPr="004F47BB">
        <w:rPr>
          <w:szCs w:val="20"/>
          <w:lang w:val="en-US"/>
        </w:rPr>
        <w:t>.</w:t>
      </w:r>
    </w:p>
    <w:p w:rsidR="004F47BB" w:rsidRPr="004F47BB" w:rsidRDefault="004F47BB" w:rsidP="004F47BB">
      <w:pPr>
        <w:tabs>
          <w:tab w:val="left" w:pos="680"/>
        </w:tabs>
        <w:overflowPunct w:val="0"/>
        <w:adjustRightInd w:val="0"/>
        <w:ind w:left="680" w:hanging="680"/>
        <w:textAlignment w:val="baseline"/>
        <w:rPr>
          <w:szCs w:val="20"/>
          <w:lang w:val="en-US"/>
        </w:rPr>
      </w:pPr>
      <w:r w:rsidRPr="004F47BB">
        <w:rPr>
          <w:szCs w:val="20"/>
          <w:lang w:val="en-US"/>
        </w:rPr>
        <w:br w:type="page"/>
      </w:r>
    </w:p>
    <w:p w:rsidR="004F47BB" w:rsidRPr="004F47BB" w:rsidRDefault="004F47BB" w:rsidP="004F47BB">
      <w:pPr>
        <w:tabs>
          <w:tab w:val="left" w:pos="680"/>
        </w:tabs>
        <w:overflowPunct w:val="0"/>
        <w:adjustRightInd w:val="0"/>
        <w:ind w:left="680" w:hanging="680"/>
        <w:textAlignment w:val="baseline"/>
        <w:rPr>
          <w:szCs w:val="20"/>
          <w:lang w:val="en-US"/>
        </w:rPr>
      </w:pPr>
    </w:p>
    <w:p w:rsidR="004F47BB" w:rsidRPr="004F47BB" w:rsidRDefault="004F47BB" w:rsidP="004F47BB">
      <w:pPr>
        <w:tabs>
          <w:tab w:val="left" w:pos="680"/>
        </w:tabs>
        <w:overflowPunct w:val="0"/>
        <w:adjustRightInd w:val="0"/>
        <w:ind w:left="680" w:hanging="680"/>
        <w:textAlignment w:val="baseline"/>
        <w:rPr>
          <w:szCs w:val="20"/>
          <w:lang w:val="en-US"/>
        </w:rPr>
      </w:pPr>
    </w:p>
    <w:p w:rsidR="004F47BB" w:rsidRPr="004F47BB" w:rsidRDefault="004F47BB" w:rsidP="004F47BB">
      <w:pPr>
        <w:tabs>
          <w:tab w:val="left" w:pos="680"/>
        </w:tabs>
        <w:overflowPunct w:val="0"/>
        <w:adjustRightInd w:val="0"/>
        <w:ind w:left="680" w:hanging="680"/>
        <w:textAlignment w:val="baseline"/>
        <w:rPr>
          <w:szCs w:val="20"/>
          <w:lang w:val="en-US"/>
        </w:rPr>
      </w:pPr>
    </w:p>
    <w:p w:rsidR="004F47BB" w:rsidRPr="004F47BB" w:rsidRDefault="004F47BB" w:rsidP="004F47BB">
      <w:pPr>
        <w:tabs>
          <w:tab w:val="left" w:pos="680"/>
        </w:tabs>
        <w:overflowPunct w:val="0"/>
        <w:adjustRightInd w:val="0"/>
        <w:ind w:left="680" w:hanging="680"/>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spacing w:line="240" w:lineRule="atLeast"/>
        <w:ind w:left="0" w:firstLine="0"/>
        <w:jc w:val="center"/>
        <w:textAlignment w:val="baseline"/>
        <w:rPr>
          <w:rFonts w:eastAsia="Calibri" w:cs="Arial"/>
          <w:b/>
          <w:i/>
          <w:caps/>
          <w:sz w:val="24"/>
          <w:szCs w:val="20"/>
          <w:lang w:val="en-US" w:eastAsia="en-US"/>
        </w:rPr>
        <w:sectPr w:rsidR="004F47BB" w:rsidRPr="004F47BB" w:rsidSect="00D45887">
          <w:footnotePr>
            <w:numRestart w:val="eachPage"/>
          </w:footnotePr>
          <w:pgSz w:w="11907" w:h="16840" w:code="9"/>
          <w:pgMar w:top="1418" w:right="1418" w:bottom="1418" w:left="1418" w:header="680" w:footer="680" w:gutter="0"/>
          <w:cols w:space="720"/>
          <w:docGrid w:linePitch="326"/>
        </w:sectPr>
      </w:pPr>
    </w:p>
    <w:p w:rsidR="004F47BB" w:rsidRPr="004F47BB" w:rsidRDefault="004F47BB" w:rsidP="00330FC4">
      <w:pPr>
        <w:pStyle w:val="ES-Titre2ESI"/>
        <w:rPr>
          <w:szCs w:val="20"/>
        </w:rPr>
      </w:pPr>
      <w:bookmarkStart w:id="411" w:name="_Toc491854370"/>
      <w:r w:rsidRPr="004F47BB">
        <w:lastRenderedPageBreak/>
        <w:t>ESI-III-7</w:t>
      </w:r>
      <w:r w:rsidRPr="004F47BB">
        <w:br/>
        <w:t>Fuel tanks on floating equipment</w:t>
      </w:r>
      <w:bookmarkEnd w:id="411"/>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tabs>
          <w:tab w:val="left" w:pos="284"/>
          <w:tab w:val="left" w:pos="567"/>
        </w:tabs>
        <w:overflowPunct w:val="0"/>
        <w:adjustRightInd w:val="0"/>
        <w:ind w:left="284" w:hanging="284"/>
        <w:jc w:val="center"/>
        <w:textAlignment w:val="baseline"/>
        <w:rPr>
          <w:b/>
          <w:szCs w:val="20"/>
          <w:lang w:val="en-US"/>
        </w:rPr>
      </w:pPr>
      <w:r w:rsidRPr="004F47BB">
        <w:rPr>
          <w:b/>
          <w:szCs w:val="20"/>
          <w:lang w:val="en-US"/>
        </w:rPr>
        <w:t>(Article 8.05(1) and article 22.02(1)(d))</w:t>
      </w:r>
    </w:p>
    <w:p w:rsidR="004F47BB" w:rsidRPr="004F47BB" w:rsidRDefault="004F47BB" w:rsidP="004F47BB">
      <w:pPr>
        <w:tabs>
          <w:tab w:val="left" w:pos="284"/>
          <w:tab w:val="left" w:pos="567"/>
        </w:tabs>
        <w:overflowPunct w:val="0"/>
        <w:adjustRightInd w:val="0"/>
        <w:ind w:left="284" w:hanging="284"/>
        <w:jc w:val="left"/>
        <w:textAlignment w:val="baseline"/>
        <w:rPr>
          <w:szCs w:val="20"/>
          <w:lang w:val="en-US"/>
        </w:rPr>
      </w:pPr>
    </w:p>
    <w:p w:rsidR="004F47BB" w:rsidRPr="004F47BB" w:rsidRDefault="004F47BB" w:rsidP="004F47BB">
      <w:pPr>
        <w:spacing w:line="240" w:lineRule="atLeast"/>
        <w:ind w:left="0" w:firstLine="0"/>
        <w:rPr>
          <w:noProof/>
          <w:lang w:val="en-US" w:bidi="fr-FR"/>
        </w:rPr>
      </w:pPr>
      <w:r w:rsidRPr="004F47BB">
        <w:rPr>
          <w:noProof/>
          <w:lang w:val="en-US" w:bidi="fr-FR"/>
        </w:rPr>
        <w:t>According to Article 8.05(1), fuel tanks shall form an integral part of the hull or shall be firmly attached to it.</w:t>
      </w:r>
    </w:p>
    <w:p w:rsidR="004F47BB" w:rsidRPr="004F47BB" w:rsidRDefault="004F47BB" w:rsidP="004F47BB">
      <w:pPr>
        <w:spacing w:line="240" w:lineRule="atLeast"/>
        <w:ind w:left="0" w:firstLine="0"/>
        <w:rPr>
          <w:noProof/>
          <w:lang w:val="en-US" w:bidi="fr-FR"/>
        </w:rPr>
      </w:pPr>
    </w:p>
    <w:p w:rsidR="004F47BB" w:rsidRPr="004F47BB" w:rsidRDefault="004F47BB" w:rsidP="004F47BB">
      <w:pPr>
        <w:spacing w:line="240" w:lineRule="atLeast"/>
        <w:ind w:left="0" w:firstLine="0"/>
        <w:rPr>
          <w:noProof/>
          <w:lang w:val="en-US" w:bidi="fr-FR"/>
        </w:rPr>
      </w:pPr>
      <w:r w:rsidRPr="004F47BB">
        <w:rPr>
          <w:noProof/>
          <w:lang w:val="en-US" w:bidi="fr-FR"/>
        </w:rPr>
        <w:t>Fuel tanks for engines of working gear on floating equipment do not have to form an integral part of the hull or be firmly attached to it. Mobile tanks may be used, provided that they comply with the following conditions:</w:t>
      </w:r>
    </w:p>
    <w:p w:rsidR="004F47BB" w:rsidRPr="004F47BB" w:rsidRDefault="004F47BB" w:rsidP="004F47BB">
      <w:pPr>
        <w:tabs>
          <w:tab w:val="left" w:pos="0"/>
          <w:tab w:val="left" w:pos="454"/>
          <w:tab w:val="left" w:pos="567"/>
          <w:tab w:val="left" w:pos="851"/>
        </w:tabs>
        <w:overflowPunct w:val="0"/>
        <w:adjustRightInd w:val="0"/>
        <w:ind w:left="454" w:hanging="454"/>
        <w:textAlignment w:val="baseline"/>
        <w:rPr>
          <w:szCs w:val="20"/>
          <w:lang w:val="en-US"/>
        </w:rPr>
      </w:pPr>
    </w:p>
    <w:p w:rsidR="004F47BB" w:rsidRPr="004F47BB" w:rsidRDefault="004F47BB" w:rsidP="004F47BB">
      <w:pPr>
        <w:spacing w:line="240" w:lineRule="atLeast"/>
        <w:ind w:left="567" w:hanging="567"/>
        <w:rPr>
          <w:lang w:val="en-US"/>
        </w:rPr>
      </w:pPr>
      <w:r w:rsidRPr="004F47BB">
        <w:rPr>
          <w:lang w:val="en-US"/>
        </w:rPr>
        <w:t>1.</w:t>
      </w:r>
      <w:r w:rsidRPr="004F47BB">
        <w:rPr>
          <w:lang w:val="en-US"/>
        </w:rPr>
        <w:tab/>
        <w:t>The capacity of these tanks shall not exceed 1000 litres.</w:t>
      </w: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pPr>
      <w:r w:rsidRPr="004F47BB">
        <w:rPr>
          <w:lang w:val="en-US"/>
        </w:rPr>
        <w:t>2.</w:t>
      </w:r>
      <w:r w:rsidRPr="004F47BB">
        <w:rPr>
          <w:lang w:val="en-US"/>
        </w:rPr>
        <w:tab/>
        <w:t>It shall be possible to attach the tanks sufficiently firmly and to earth them.</w:t>
      </w:r>
    </w:p>
    <w:p w:rsidR="004F47BB" w:rsidRPr="004F47BB" w:rsidRDefault="004F47BB" w:rsidP="004F47BB">
      <w:pPr>
        <w:spacing w:line="240" w:lineRule="atLeast"/>
        <w:ind w:left="567" w:hanging="567"/>
        <w:rPr>
          <w:lang w:val="en-US"/>
        </w:rPr>
      </w:pPr>
    </w:p>
    <w:p w:rsidR="004F47BB" w:rsidRPr="004F47BB" w:rsidRDefault="004F47BB" w:rsidP="004F47BB">
      <w:pPr>
        <w:spacing w:line="240" w:lineRule="atLeast"/>
        <w:ind w:left="567" w:hanging="567"/>
        <w:rPr>
          <w:lang w:val="en-US"/>
        </w:rPr>
      </w:pPr>
      <w:r w:rsidRPr="004F47BB">
        <w:rPr>
          <w:lang w:val="en-US"/>
        </w:rPr>
        <w:t>3.</w:t>
      </w:r>
      <w:r w:rsidRPr="004F47BB">
        <w:rPr>
          <w:lang w:val="en-US"/>
        </w:rPr>
        <w:tab/>
        <w:t>The tanks shall be made from steel of a sufficient wall thickness and shall be installed in a drip tray. The latter shall be designed to prevent leaking fuel contaminating the waterways. The drip tray may be dispensed with if double-skin tanks with a leak protection or leakage warning system are used and which are filled only via an automatic delivery valve. The provisions of (3) shall be deemed to be fulfilled if the construction of a tank has been certified and approved according to the regulations of a Member State.</w:t>
      </w:r>
    </w:p>
    <w:p w:rsidR="004F47BB" w:rsidRPr="004F47BB" w:rsidRDefault="004F47BB" w:rsidP="004F47BB">
      <w:pPr>
        <w:tabs>
          <w:tab w:val="left" w:pos="567"/>
          <w:tab w:val="left" w:pos="851"/>
          <w:tab w:val="left" w:pos="1701"/>
          <w:tab w:val="left" w:pos="7088"/>
        </w:tabs>
        <w:overflowPunct w:val="0"/>
        <w:adjustRightInd w:val="0"/>
        <w:spacing w:line="240" w:lineRule="atLeast"/>
        <w:textAlignment w:val="baseline"/>
        <w:rPr>
          <w:szCs w:val="20"/>
          <w:lang w:val="en-US"/>
        </w:rPr>
      </w:pPr>
    </w:p>
    <w:p w:rsidR="004F47BB" w:rsidRPr="004F47BB" w:rsidRDefault="004F47BB" w:rsidP="004F47BB">
      <w:pPr>
        <w:spacing w:line="240" w:lineRule="atLeast"/>
        <w:ind w:left="0" w:firstLine="0"/>
        <w:rPr>
          <w:noProof/>
          <w:lang w:val="en-US" w:bidi="fr-FR"/>
        </w:rPr>
      </w:pPr>
      <w:r w:rsidRPr="004F47BB">
        <w:rPr>
          <w:noProof/>
          <w:lang w:val="en-US" w:bidi="fr-FR"/>
        </w:rPr>
        <w:t>An appropriate entry shall be made in the inland navigation vessel certificate.</w:t>
      </w:r>
    </w:p>
    <w:p w:rsidR="004F47BB" w:rsidRPr="004F47BB" w:rsidRDefault="004F47BB" w:rsidP="004F47BB">
      <w:pPr>
        <w:tabs>
          <w:tab w:val="left" w:pos="0"/>
          <w:tab w:val="left" w:pos="567"/>
          <w:tab w:val="left" w:pos="851"/>
          <w:tab w:val="left" w:pos="1701"/>
          <w:tab w:val="left" w:pos="7088"/>
        </w:tabs>
        <w:overflowPunct w:val="0"/>
        <w:adjustRightInd w:val="0"/>
        <w:ind w:left="567" w:hanging="567"/>
        <w:jc w:val="left"/>
        <w:textAlignment w:val="baseline"/>
        <w:rPr>
          <w:szCs w:val="20"/>
          <w:lang w:val="en-US"/>
        </w:rPr>
      </w:pPr>
    </w:p>
    <w:p w:rsidR="004F47BB" w:rsidRPr="004F47BB" w:rsidRDefault="004F47BB" w:rsidP="004F47BB">
      <w:pPr>
        <w:tabs>
          <w:tab w:val="left" w:pos="0"/>
          <w:tab w:val="left" w:pos="567"/>
          <w:tab w:val="left" w:pos="851"/>
          <w:tab w:val="left" w:pos="1701"/>
          <w:tab w:val="left" w:pos="7088"/>
        </w:tabs>
        <w:overflowPunct w:val="0"/>
        <w:adjustRightInd w:val="0"/>
        <w:ind w:left="567" w:hanging="567"/>
        <w:jc w:val="left"/>
        <w:textAlignment w:val="baseline"/>
        <w:rPr>
          <w:szCs w:val="20"/>
          <w:lang w:val="en-US"/>
        </w:rPr>
      </w:pPr>
      <w:r w:rsidRPr="004F47BB">
        <w:rPr>
          <w:szCs w:val="20"/>
          <w:lang w:val="en-US"/>
        </w:rPr>
        <w:br w:type="page"/>
      </w:r>
    </w:p>
    <w:p w:rsidR="004F47BB" w:rsidRPr="004F47BB" w:rsidRDefault="004F47BB" w:rsidP="004F47BB">
      <w:pPr>
        <w:tabs>
          <w:tab w:val="left" w:pos="0"/>
          <w:tab w:val="left" w:pos="567"/>
          <w:tab w:val="left" w:pos="851"/>
          <w:tab w:val="left" w:pos="1701"/>
          <w:tab w:val="left" w:pos="7088"/>
        </w:tabs>
        <w:overflowPunct w:val="0"/>
        <w:adjustRightInd w:val="0"/>
        <w:ind w:left="567" w:hanging="567"/>
        <w:jc w:val="left"/>
        <w:textAlignment w:val="baseline"/>
        <w:rPr>
          <w:szCs w:val="20"/>
          <w:lang w:val="en-US"/>
        </w:rPr>
      </w:pPr>
    </w:p>
    <w:p w:rsidR="004F47BB" w:rsidRPr="004F47BB" w:rsidRDefault="004F47BB" w:rsidP="004F47BB">
      <w:pPr>
        <w:tabs>
          <w:tab w:val="left" w:pos="0"/>
          <w:tab w:val="left" w:pos="567"/>
          <w:tab w:val="left" w:pos="851"/>
          <w:tab w:val="left" w:pos="1701"/>
          <w:tab w:val="left" w:pos="7088"/>
        </w:tabs>
        <w:overflowPunct w:val="0"/>
        <w:adjustRightInd w:val="0"/>
        <w:ind w:left="567" w:hanging="567"/>
        <w:jc w:val="left"/>
        <w:textAlignment w:val="baseline"/>
        <w:rPr>
          <w:szCs w:val="20"/>
          <w:lang w:val="en-US"/>
        </w:rPr>
      </w:pPr>
    </w:p>
    <w:p w:rsidR="004F47BB" w:rsidRPr="004F47BB" w:rsidRDefault="004F47BB" w:rsidP="004F47BB">
      <w:pPr>
        <w:tabs>
          <w:tab w:val="left" w:pos="0"/>
          <w:tab w:val="left" w:pos="567"/>
          <w:tab w:val="left" w:pos="851"/>
          <w:tab w:val="left" w:pos="1701"/>
          <w:tab w:val="left" w:pos="7088"/>
        </w:tabs>
        <w:overflowPunct w:val="0"/>
        <w:adjustRightInd w:val="0"/>
        <w:ind w:left="567" w:hanging="567"/>
        <w:jc w:val="left"/>
        <w:textAlignment w:val="baseline"/>
        <w:rPr>
          <w:szCs w:val="20"/>
          <w:lang w:val="en-US"/>
        </w:rPr>
      </w:pPr>
    </w:p>
    <w:p w:rsidR="004F47BB" w:rsidRPr="004F47BB" w:rsidRDefault="004F47BB" w:rsidP="004F47BB">
      <w:pPr>
        <w:tabs>
          <w:tab w:val="left" w:pos="0"/>
          <w:tab w:val="left" w:pos="567"/>
          <w:tab w:val="left" w:pos="851"/>
          <w:tab w:val="left" w:pos="1701"/>
          <w:tab w:val="left" w:pos="7088"/>
        </w:tabs>
        <w:overflowPunct w:val="0"/>
        <w:adjustRightInd w:val="0"/>
        <w:ind w:left="567" w:hanging="567"/>
        <w:jc w:val="left"/>
        <w:textAlignment w:val="baseline"/>
        <w:rPr>
          <w:szCs w:val="20"/>
          <w:lang w:val="en-US"/>
        </w:rPr>
      </w:pPr>
    </w:p>
    <w:p w:rsidR="004F47BB" w:rsidRPr="004F47BB" w:rsidRDefault="004F47BB" w:rsidP="004F47BB">
      <w:pPr>
        <w:tabs>
          <w:tab w:val="left" w:pos="0"/>
          <w:tab w:val="left" w:pos="567"/>
          <w:tab w:val="left" w:pos="851"/>
          <w:tab w:val="left" w:pos="1701"/>
          <w:tab w:val="left" w:pos="7088"/>
        </w:tabs>
        <w:overflowPunct w:val="0"/>
        <w:adjustRightInd w:val="0"/>
        <w:ind w:left="567" w:hanging="567"/>
        <w:jc w:val="left"/>
        <w:textAlignment w:val="baseline"/>
        <w:rPr>
          <w:szCs w:val="20"/>
          <w:lang w:val="en-US"/>
        </w:rPr>
      </w:pPr>
    </w:p>
    <w:p w:rsidR="004F47BB" w:rsidRPr="004F47BB" w:rsidRDefault="004F47BB" w:rsidP="004F47BB">
      <w:pPr>
        <w:tabs>
          <w:tab w:val="left" w:pos="0"/>
          <w:tab w:val="left" w:pos="567"/>
          <w:tab w:val="left" w:pos="851"/>
          <w:tab w:val="left" w:pos="1701"/>
          <w:tab w:val="left" w:pos="7088"/>
        </w:tabs>
        <w:overflowPunct w:val="0"/>
        <w:adjustRightInd w:val="0"/>
        <w:ind w:left="567" w:hanging="567"/>
        <w:jc w:val="left"/>
        <w:textAlignment w:val="baseline"/>
        <w:rPr>
          <w:szCs w:val="20"/>
          <w:lang w:val="en-US"/>
        </w:rPr>
        <w:sectPr w:rsidR="004F47BB" w:rsidRPr="004F47BB" w:rsidSect="00D45887">
          <w:footnotePr>
            <w:numRestart w:val="eachPage"/>
          </w:footnotePr>
          <w:pgSz w:w="11907" w:h="16840" w:code="9"/>
          <w:pgMar w:top="1418" w:right="1418" w:bottom="1418" w:left="1418" w:header="680" w:footer="680" w:gutter="0"/>
          <w:cols w:space="720"/>
          <w:docGrid w:linePitch="326"/>
        </w:sectPr>
      </w:pPr>
    </w:p>
    <w:p w:rsidR="004F47BB" w:rsidRPr="004F47BB" w:rsidRDefault="004F47BB" w:rsidP="00330FC4">
      <w:pPr>
        <w:pStyle w:val="ES-Titre2ESI"/>
        <w:rPr>
          <w:noProof/>
          <w:lang w:bidi="fr-FR"/>
        </w:rPr>
      </w:pPr>
      <w:bookmarkStart w:id="412" w:name="_Toc491854371"/>
      <w:r w:rsidRPr="004F47BB">
        <w:lastRenderedPageBreak/>
        <w:t>ESI-III-8</w:t>
      </w:r>
      <w:r w:rsidRPr="004F47BB">
        <w:br/>
      </w:r>
      <w:r w:rsidRPr="004F47BB">
        <w:rPr>
          <w:noProof/>
          <w:lang w:bidi="fr-FR"/>
        </w:rPr>
        <w:t>Recreational craft</w:t>
      </w:r>
      <w:bookmarkEnd w:id="412"/>
    </w:p>
    <w:p w:rsidR="004F47BB" w:rsidRPr="004F47BB" w:rsidRDefault="004F47BB" w:rsidP="004F47BB">
      <w:pPr>
        <w:spacing w:line="240" w:lineRule="atLeast"/>
        <w:ind w:left="567" w:hanging="567"/>
        <w:rPr>
          <w:noProof/>
          <w:lang w:val="en-US" w:bidi="fr-FR"/>
        </w:rPr>
      </w:pPr>
    </w:p>
    <w:p w:rsidR="004F47BB" w:rsidRPr="004F47BB" w:rsidRDefault="004F47BB" w:rsidP="004F47BB">
      <w:pPr>
        <w:spacing w:line="240" w:lineRule="atLeast"/>
        <w:ind w:left="0" w:firstLine="0"/>
        <w:jc w:val="center"/>
        <w:rPr>
          <w:b/>
          <w:noProof/>
          <w:lang w:val="en-US" w:bidi="fr-FR"/>
        </w:rPr>
      </w:pPr>
      <w:r w:rsidRPr="004F47BB">
        <w:rPr>
          <w:b/>
          <w:noProof/>
          <w:lang w:val="en-US" w:bidi="fr-FR"/>
        </w:rPr>
        <w:t>(Article 26.01(2) in conjunction with Article 7.02, Article 8.05(5), Article 8.08(2) and Article 8.10)</w:t>
      </w:r>
    </w:p>
    <w:p w:rsidR="004F47BB" w:rsidRPr="004F47BB" w:rsidRDefault="004F47BB" w:rsidP="004F47BB">
      <w:pPr>
        <w:spacing w:line="240" w:lineRule="atLeast"/>
        <w:ind w:left="567" w:hanging="567"/>
        <w:rPr>
          <w:rFonts w:cs="Arial"/>
          <w:b/>
          <w:noProof/>
          <w:color w:val="000000"/>
          <w:szCs w:val="20"/>
          <w:lang w:val="en-US" w:bidi="fr-FR"/>
        </w:rPr>
      </w:pPr>
    </w:p>
    <w:p w:rsidR="004F47BB" w:rsidRPr="004F47BB" w:rsidRDefault="004F47BB" w:rsidP="004F47BB">
      <w:pPr>
        <w:spacing w:line="240" w:lineRule="atLeast"/>
        <w:ind w:left="567" w:hanging="567"/>
        <w:rPr>
          <w:rFonts w:cs="Arial"/>
          <w:b/>
          <w:noProof/>
          <w:color w:val="000000"/>
          <w:szCs w:val="20"/>
          <w:lang w:val="en-US" w:bidi="fr-FR"/>
        </w:rPr>
      </w:pPr>
      <w:r w:rsidRPr="004F47BB">
        <w:rPr>
          <w:rFonts w:cs="Arial"/>
          <w:b/>
          <w:noProof/>
          <w:color w:val="000000"/>
          <w:szCs w:val="20"/>
          <w:lang w:val="en-US" w:bidi="fr-FR"/>
        </w:rPr>
        <w:t>1.</w:t>
      </w:r>
      <w:r w:rsidRPr="004F47BB">
        <w:rPr>
          <w:rFonts w:cs="Arial"/>
          <w:b/>
          <w:noProof/>
          <w:color w:val="000000"/>
          <w:szCs w:val="20"/>
          <w:lang w:val="en-US" w:bidi="fr-FR"/>
        </w:rPr>
        <w:tab/>
        <w:t>General</w:t>
      </w:r>
    </w:p>
    <w:p w:rsidR="004F47BB" w:rsidRPr="004F47BB" w:rsidRDefault="004F47BB" w:rsidP="004F47BB">
      <w:pPr>
        <w:spacing w:line="240" w:lineRule="atLeast"/>
        <w:ind w:left="567" w:firstLine="0"/>
        <w:rPr>
          <w:noProof/>
          <w:lang w:val="en-US" w:bidi="fr-FR"/>
        </w:rPr>
      </w:pPr>
    </w:p>
    <w:p w:rsidR="004F47BB" w:rsidRPr="004F47BB" w:rsidRDefault="004F47BB" w:rsidP="004F47BB">
      <w:pPr>
        <w:spacing w:line="240" w:lineRule="atLeast"/>
        <w:ind w:left="567" w:firstLine="0"/>
        <w:rPr>
          <w:noProof/>
          <w:lang w:val="en-US" w:bidi="fr-FR"/>
        </w:rPr>
      </w:pPr>
      <w:r w:rsidRPr="004F47BB">
        <w:rPr>
          <w:noProof/>
          <w:lang w:val="en-US" w:bidi="fr-FR"/>
        </w:rPr>
        <w:t>Recreational craft of up to 24 metres length, that are placed on the market, have to comply with the requirements of Directive 2013/53/E</w:t>
      </w:r>
      <w:r w:rsidR="00871782">
        <w:rPr>
          <w:noProof/>
          <w:lang w:val="en-US" w:bidi="fr-FR"/>
        </w:rPr>
        <w:t>U</w:t>
      </w:r>
      <w:r w:rsidRPr="004F47BB">
        <w:rPr>
          <w:noProof/>
          <w:lang w:val="en-US" w:bidi="fr-FR"/>
        </w:rPr>
        <w:t>. According to Article 3 in conjunction with Article 2 of this Directive, recreational craft having a length of 20 metres or more shall carry an inland navigation vessel certificate attesting the craft's compliance with the technical requirements of this Standard. Since double inspection or certification for certain equipment, arrangements and installations of newly built recreational craft which can result from certain provisions in Article 26.01 of Standard should be avoided, this Instruction gives information on those requirements listed in Article 26.01 that are already sufficiently covered under Directive 2013/53/E</w:t>
      </w:r>
      <w:r w:rsidR="00871782">
        <w:rPr>
          <w:noProof/>
          <w:lang w:val="en-US" w:bidi="fr-FR"/>
        </w:rPr>
        <w:t>U</w:t>
      </w:r>
      <w:r w:rsidRPr="004F47BB">
        <w:rPr>
          <w:noProof/>
          <w:lang w:val="en-US" w:bidi="fr-FR"/>
        </w:rPr>
        <w:t>.</w:t>
      </w:r>
    </w:p>
    <w:p w:rsidR="004F47BB" w:rsidRPr="004F47BB" w:rsidRDefault="004F47BB" w:rsidP="004F47BB">
      <w:pPr>
        <w:spacing w:line="240" w:lineRule="atLeast"/>
        <w:ind w:left="567" w:firstLine="0"/>
        <w:rPr>
          <w:noProof/>
          <w:lang w:val="en-US" w:bidi="fr-FR"/>
        </w:rPr>
      </w:pPr>
    </w:p>
    <w:p w:rsidR="004F47BB" w:rsidRPr="004F47BB" w:rsidRDefault="004F47BB" w:rsidP="004F47BB">
      <w:pPr>
        <w:spacing w:line="240" w:lineRule="atLeast"/>
        <w:ind w:left="567" w:hanging="567"/>
        <w:rPr>
          <w:rFonts w:cs="Arial"/>
          <w:b/>
          <w:noProof/>
          <w:color w:val="000000"/>
          <w:szCs w:val="20"/>
          <w:lang w:val="en-US" w:bidi="fr-FR"/>
        </w:rPr>
      </w:pPr>
      <w:r w:rsidRPr="004F47BB">
        <w:rPr>
          <w:rFonts w:cs="Arial"/>
          <w:b/>
          <w:noProof/>
          <w:color w:val="000000"/>
          <w:szCs w:val="20"/>
          <w:lang w:val="en-US" w:bidi="fr-FR"/>
        </w:rPr>
        <w:t>2.</w:t>
      </w:r>
      <w:r w:rsidRPr="004F47BB">
        <w:rPr>
          <w:rFonts w:cs="Arial"/>
          <w:b/>
          <w:noProof/>
          <w:color w:val="000000"/>
          <w:szCs w:val="20"/>
          <w:lang w:val="en-US" w:bidi="fr-FR"/>
        </w:rPr>
        <w:tab/>
        <w:t>Requirements in Article 26.01 which are already covered under Directive 2013/53/E</w:t>
      </w:r>
      <w:r w:rsidR="00871782">
        <w:rPr>
          <w:rFonts w:cs="Arial"/>
          <w:b/>
          <w:noProof/>
          <w:color w:val="000000"/>
          <w:szCs w:val="20"/>
          <w:lang w:val="en-US" w:bidi="fr-FR"/>
        </w:rPr>
        <w:t>U</w:t>
      </w:r>
    </w:p>
    <w:p w:rsidR="004F47BB" w:rsidRPr="004F47BB" w:rsidRDefault="004F47BB" w:rsidP="004F47BB">
      <w:pPr>
        <w:spacing w:line="240" w:lineRule="atLeast"/>
        <w:ind w:left="567" w:firstLine="0"/>
        <w:rPr>
          <w:noProof/>
          <w:lang w:val="en-US" w:bidi="fr-FR"/>
        </w:rPr>
      </w:pPr>
    </w:p>
    <w:p w:rsidR="004F47BB" w:rsidRPr="004F47BB" w:rsidRDefault="004F47BB" w:rsidP="004F47BB">
      <w:pPr>
        <w:spacing w:line="240" w:lineRule="atLeast"/>
        <w:ind w:left="567" w:firstLine="0"/>
        <w:rPr>
          <w:noProof/>
          <w:lang w:val="en-US" w:bidi="fr-FR"/>
        </w:rPr>
      </w:pPr>
      <w:r w:rsidRPr="004F47BB">
        <w:rPr>
          <w:noProof/>
          <w:lang w:val="en-US" w:bidi="fr-FR"/>
        </w:rPr>
        <w:t>For recreational craft subject to Directive 2013/53/E</w:t>
      </w:r>
      <w:r w:rsidR="00871782">
        <w:rPr>
          <w:noProof/>
          <w:lang w:val="en-US" w:bidi="fr-FR"/>
        </w:rPr>
        <w:t>U</w:t>
      </w:r>
      <w:r w:rsidRPr="004F47BB">
        <w:rPr>
          <w:noProof/>
          <w:lang w:val="en-US" w:bidi="fr-FR"/>
        </w:rPr>
        <w:t xml:space="preserve"> the inspection body shall as regards to the issuance of the inland navigation vessel certificate (initial inspection) not require further inspection or certification of the following requirements of Article 26.01(2), provided that the craft presented for inspection has been placed on the market no more than 3 years before the date of presentation to the inspection body and no modifications to the craft have been carried out, and the Declaration of Conformity refers to the following harmonised Standards or their equivalence:</w:t>
      </w:r>
    </w:p>
    <w:p w:rsidR="004F47BB" w:rsidRPr="004F47BB" w:rsidRDefault="004F47BB" w:rsidP="004F47BB">
      <w:pPr>
        <w:tabs>
          <w:tab w:val="left" w:pos="4253"/>
        </w:tabs>
        <w:spacing w:before="60" w:line="240" w:lineRule="atLeast"/>
        <w:ind w:left="2127" w:hanging="1560"/>
        <w:rPr>
          <w:noProof/>
          <w:lang w:val="en-US" w:bidi="fr-FR"/>
        </w:rPr>
      </w:pPr>
      <w:r w:rsidRPr="004F47BB">
        <w:rPr>
          <w:noProof/>
          <w:lang w:val="en-US" w:bidi="fr-FR"/>
        </w:rPr>
        <w:t>Article 7.02 :</w:t>
      </w:r>
      <w:r w:rsidRPr="004F47BB">
        <w:rPr>
          <w:noProof/>
          <w:lang w:val="en-US" w:bidi="fr-FR"/>
        </w:rPr>
        <w:tab/>
        <w:t>EN ISO 11591: 2000,</w:t>
      </w:r>
      <w:r w:rsidRPr="004F47BB">
        <w:rPr>
          <w:noProof/>
          <w:lang w:val="en-US" w:bidi="fr-FR"/>
        </w:rPr>
        <w:tab/>
        <w:t>(Unobstructed view)</w:t>
      </w:r>
    </w:p>
    <w:p w:rsidR="004F47BB" w:rsidRPr="004F47BB" w:rsidRDefault="004F47BB" w:rsidP="004F47BB">
      <w:pPr>
        <w:tabs>
          <w:tab w:val="left" w:pos="4253"/>
        </w:tabs>
        <w:spacing w:before="60" w:line="240" w:lineRule="atLeast"/>
        <w:ind w:left="2127" w:hanging="1560"/>
        <w:rPr>
          <w:noProof/>
          <w:lang w:val="en-US" w:bidi="fr-FR"/>
        </w:rPr>
      </w:pPr>
      <w:r w:rsidRPr="004F47BB">
        <w:rPr>
          <w:noProof/>
          <w:lang w:val="en-US" w:bidi="fr-FR"/>
        </w:rPr>
        <w:t>Article 8.05(5) :</w:t>
      </w:r>
      <w:r w:rsidRPr="004F47BB">
        <w:rPr>
          <w:noProof/>
          <w:lang w:val="en-US" w:bidi="fr-FR"/>
        </w:rPr>
        <w:tab/>
        <w:t>EN ISO 10088</w:t>
      </w:r>
      <w:r w:rsidR="00871782">
        <w:rPr>
          <w:noProof/>
          <w:lang w:val="en-US" w:bidi="fr-FR"/>
        </w:rPr>
        <w:t>:</w:t>
      </w:r>
      <w:r w:rsidRPr="004F47BB">
        <w:rPr>
          <w:noProof/>
          <w:lang w:val="en-US" w:bidi="fr-FR"/>
        </w:rPr>
        <w:t xml:space="preserve"> 2013,</w:t>
      </w:r>
      <w:r w:rsidRPr="004F47BB">
        <w:rPr>
          <w:noProof/>
          <w:lang w:val="en-US" w:bidi="fr-FR"/>
        </w:rPr>
        <w:tab/>
        <w:t>(Fuel tanks and pipes)</w:t>
      </w:r>
    </w:p>
    <w:p w:rsidR="004F47BB" w:rsidRPr="004F47BB" w:rsidRDefault="004F47BB" w:rsidP="004F47BB">
      <w:pPr>
        <w:tabs>
          <w:tab w:val="left" w:pos="4253"/>
        </w:tabs>
        <w:spacing w:before="60" w:line="240" w:lineRule="atLeast"/>
        <w:ind w:left="2127" w:hanging="1560"/>
        <w:rPr>
          <w:noProof/>
          <w:lang w:val="en-US" w:bidi="fr-FR"/>
        </w:rPr>
      </w:pPr>
      <w:r w:rsidRPr="004F47BB">
        <w:rPr>
          <w:noProof/>
          <w:lang w:val="en-US" w:bidi="fr-FR"/>
        </w:rPr>
        <w:t>Article 8.08(2) :</w:t>
      </w:r>
      <w:r w:rsidRPr="004F47BB">
        <w:rPr>
          <w:noProof/>
          <w:lang w:val="en-US" w:bidi="fr-FR"/>
        </w:rPr>
        <w:tab/>
        <w:t>EN ISO 15083: 2003,</w:t>
      </w:r>
      <w:r w:rsidRPr="004F47BB">
        <w:rPr>
          <w:noProof/>
          <w:lang w:val="en-US" w:bidi="fr-FR"/>
        </w:rPr>
        <w:tab/>
        <w:t>(Bilge pumping)</w:t>
      </w:r>
    </w:p>
    <w:p w:rsidR="004F47BB" w:rsidRPr="002F3A33" w:rsidRDefault="004F47BB" w:rsidP="004F47BB">
      <w:pPr>
        <w:tabs>
          <w:tab w:val="left" w:pos="4253"/>
        </w:tabs>
        <w:spacing w:before="60" w:line="240" w:lineRule="atLeast"/>
        <w:ind w:left="2127" w:hanging="1560"/>
        <w:rPr>
          <w:noProof/>
          <w:lang w:bidi="fr-FR"/>
        </w:rPr>
      </w:pPr>
      <w:r w:rsidRPr="002F3A33">
        <w:rPr>
          <w:noProof/>
          <w:lang w:bidi="fr-FR"/>
        </w:rPr>
        <w:t>Article 8.10 :</w:t>
      </w:r>
      <w:r w:rsidRPr="002F3A33">
        <w:rPr>
          <w:noProof/>
          <w:lang w:bidi="fr-FR"/>
        </w:rPr>
        <w:tab/>
        <w:t xml:space="preserve">EN ISO 14509-1: 2008 and EN ISO </w:t>
      </w:r>
      <w:r w:rsidRPr="002F3A33">
        <w:rPr>
          <w:rFonts w:cs="Arial"/>
          <w:szCs w:val="20"/>
          <w:lang w:eastAsia="de-DE"/>
        </w:rPr>
        <w:t>14509-3: 2009</w:t>
      </w:r>
      <w:r w:rsidRPr="002F3A33">
        <w:rPr>
          <w:noProof/>
          <w:lang w:bidi="fr-FR"/>
        </w:rPr>
        <w:t>, (Noise emission)</w:t>
      </w:r>
    </w:p>
    <w:p w:rsidR="004F47BB" w:rsidRPr="002F3A33" w:rsidRDefault="004F47BB" w:rsidP="004F47BB">
      <w:pPr>
        <w:spacing w:line="240" w:lineRule="atLeast"/>
        <w:ind w:left="567" w:hanging="567"/>
      </w:pPr>
      <w:r w:rsidRPr="002F3A33">
        <w:rPr>
          <w:noProof/>
          <w:lang w:bidi="fr-FR"/>
        </w:rPr>
        <w:t xml:space="preserve"> </w:t>
      </w:r>
    </w:p>
    <w:p w:rsidR="004F47BB" w:rsidRPr="002F3A33" w:rsidRDefault="004F47BB" w:rsidP="004F47BB">
      <w:pPr>
        <w:spacing w:line="240" w:lineRule="atLeast"/>
        <w:ind w:left="567" w:hanging="567"/>
      </w:pPr>
      <w:r w:rsidRPr="002F3A33">
        <w:br w:type="page"/>
      </w:r>
    </w:p>
    <w:p w:rsidR="004F47BB" w:rsidRPr="002F3A33" w:rsidRDefault="004F47BB" w:rsidP="004F47BB">
      <w:pPr>
        <w:spacing w:line="240" w:lineRule="atLeast"/>
        <w:ind w:left="567" w:hanging="567"/>
      </w:pPr>
    </w:p>
    <w:p w:rsidR="004F47BB" w:rsidRPr="002F3A33" w:rsidRDefault="004F47BB" w:rsidP="004F47BB">
      <w:pPr>
        <w:spacing w:line="240" w:lineRule="atLeast"/>
        <w:ind w:left="567" w:hanging="567"/>
      </w:pPr>
    </w:p>
    <w:p w:rsidR="004F47BB" w:rsidRPr="002F3A33" w:rsidRDefault="004F47BB" w:rsidP="004F47BB">
      <w:pPr>
        <w:tabs>
          <w:tab w:val="left" w:pos="0"/>
          <w:tab w:val="left" w:pos="567"/>
          <w:tab w:val="left" w:pos="851"/>
          <w:tab w:val="left" w:pos="1701"/>
          <w:tab w:val="left" w:pos="7088"/>
        </w:tabs>
        <w:overflowPunct w:val="0"/>
        <w:adjustRightInd w:val="0"/>
        <w:ind w:left="567" w:hanging="567"/>
        <w:jc w:val="left"/>
        <w:textAlignment w:val="baseline"/>
        <w:rPr>
          <w:szCs w:val="20"/>
        </w:rPr>
      </w:pPr>
    </w:p>
    <w:p w:rsidR="004F47BB" w:rsidRPr="002F3A33" w:rsidRDefault="004F47BB" w:rsidP="004F47BB">
      <w:pPr>
        <w:tabs>
          <w:tab w:val="left" w:pos="0"/>
          <w:tab w:val="left" w:pos="567"/>
          <w:tab w:val="left" w:pos="851"/>
          <w:tab w:val="left" w:pos="1701"/>
          <w:tab w:val="left" w:pos="7088"/>
        </w:tabs>
        <w:overflowPunct w:val="0"/>
        <w:adjustRightInd w:val="0"/>
        <w:ind w:left="567" w:hanging="567"/>
        <w:jc w:val="left"/>
        <w:textAlignment w:val="baseline"/>
        <w:rPr>
          <w:szCs w:val="20"/>
        </w:rPr>
        <w:sectPr w:rsidR="004F47BB" w:rsidRPr="002F3A33" w:rsidSect="00D45887">
          <w:footnotePr>
            <w:numRestart w:val="eachPage"/>
          </w:footnotePr>
          <w:pgSz w:w="11907" w:h="16840" w:code="9"/>
          <w:pgMar w:top="1418" w:right="1418" w:bottom="1418" w:left="1418" w:header="680" w:footer="680" w:gutter="0"/>
          <w:cols w:space="720"/>
          <w:docGrid w:linePitch="326"/>
        </w:sectPr>
      </w:pPr>
    </w:p>
    <w:p w:rsidR="004F47BB" w:rsidRPr="004F47BB" w:rsidRDefault="004F47BB" w:rsidP="00330FC4">
      <w:pPr>
        <w:pStyle w:val="ES-Titre2ESI"/>
        <w:rPr>
          <w:szCs w:val="20"/>
        </w:rPr>
      </w:pPr>
      <w:bookmarkStart w:id="413" w:name="_Toc491854372"/>
      <w:r w:rsidRPr="004F47BB">
        <w:lastRenderedPageBreak/>
        <w:t>ESI-III-9</w:t>
      </w:r>
      <w:r w:rsidRPr="004F47BB">
        <w:br/>
      </w:r>
      <w:r w:rsidRPr="004F47BB">
        <w:rPr>
          <w:noProof/>
        </w:rPr>
        <w:t>Proof of buoyancy, trim and stability of the separated parts of a vessel</w:t>
      </w:r>
      <w:bookmarkEnd w:id="413"/>
    </w:p>
    <w:p w:rsidR="004F47BB" w:rsidRPr="004F47BB" w:rsidRDefault="004F47BB" w:rsidP="004F47BB">
      <w:pPr>
        <w:tabs>
          <w:tab w:val="left" w:pos="0"/>
          <w:tab w:val="left" w:pos="567"/>
          <w:tab w:val="left" w:pos="851"/>
          <w:tab w:val="left" w:pos="1701"/>
          <w:tab w:val="left" w:pos="7088"/>
        </w:tabs>
        <w:overflowPunct w:val="0"/>
        <w:adjustRightInd w:val="0"/>
        <w:ind w:left="567" w:hanging="567"/>
        <w:jc w:val="left"/>
        <w:textAlignment w:val="baseline"/>
        <w:rPr>
          <w:szCs w:val="20"/>
          <w:lang w:val="en-US"/>
        </w:rPr>
      </w:pPr>
    </w:p>
    <w:p w:rsidR="004F47BB" w:rsidRPr="004F47BB" w:rsidRDefault="004F47BB" w:rsidP="004F47BB">
      <w:pPr>
        <w:autoSpaceDE/>
        <w:autoSpaceDN/>
        <w:ind w:left="0" w:firstLine="0"/>
        <w:jc w:val="center"/>
        <w:rPr>
          <w:rFonts w:cs="Arial"/>
          <w:b/>
          <w:bCs/>
          <w:lang w:val="en-US" w:eastAsia="de-DE"/>
        </w:rPr>
      </w:pPr>
      <w:r w:rsidRPr="004F47BB">
        <w:rPr>
          <w:rFonts w:cs="Arial"/>
          <w:b/>
          <w:bCs/>
          <w:noProof/>
          <w:lang w:val="en-US" w:eastAsia="de-DE"/>
        </w:rPr>
        <w:t>(Article 28.04, in conjunction with Article 27.02 and Article 27.03)</w:t>
      </w:r>
    </w:p>
    <w:p w:rsidR="004F47BB" w:rsidRPr="004F47BB" w:rsidRDefault="004F47BB" w:rsidP="004F47BB">
      <w:pPr>
        <w:autoSpaceDE/>
        <w:autoSpaceDN/>
        <w:ind w:left="0" w:firstLine="0"/>
        <w:jc w:val="left"/>
        <w:rPr>
          <w:rFonts w:cs="Arial"/>
          <w:lang w:val="en-US" w:eastAsia="de-DE"/>
        </w:rPr>
      </w:pPr>
    </w:p>
    <w:p w:rsidR="004F47BB" w:rsidRPr="004F47BB" w:rsidRDefault="004F47BB" w:rsidP="004F47BB">
      <w:pPr>
        <w:spacing w:line="240" w:lineRule="atLeast"/>
        <w:ind w:left="567" w:hanging="567"/>
        <w:rPr>
          <w:strike/>
          <w:lang w:val="en-US" w:eastAsia="de-DE"/>
        </w:rPr>
      </w:pPr>
      <w:r w:rsidRPr="004F47BB">
        <w:rPr>
          <w:noProof/>
          <w:lang w:val="en-US" w:eastAsia="de-DE"/>
        </w:rPr>
        <w:t>1.</w:t>
      </w:r>
      <w:r w:rsidRPr="004F47BB">
        <w:rPr>
          <w:noProof/>
          <w:lang w:val="en-US" w:eastAsia="de-DE"/>
        </w:rPr>
        <w:tab/>
        <w:t>When proving the buoyancy, trim and stability of the parts of a vessel which have been separated in accordance with Article 28.04(2)(a), it shall be assumed that both parts were partly or fully unloaded beforehand or that containers extending beyond the hatch coaming were suitably protected from slipping.</w:t>
      </w:r>
    </w:p>
    <w:p w:rsidR="004F47BB" w:rsidRPr="004F47BB" w:rsidRDefault="004F47BB" w:rsidP="004F47BB">
      <w:pPr>
        <w:spacing w:line="240" w:lineRule="atLeast"/>
        <w:ind w:left="567" w:hanging="567"/>
        <w:rPr>
          <w:strike/>
          <w:szCs w:val="20"/>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2.</w:t>
      </w:r>
      <w:r w:rsidRPr="004F47BB">
        <w:rPr>
          <w:lang w:val="en-US" w:eastAsia="de-DE"/>
        </w:rPr>
        <w:tab/>
      </w:r>
      <w:r w:rsidRPr="004F47BB">
        <w:rPr>
          <w:noProof/>
          <w:lang w:val="en-US" w:eastAsia="de-DE"/>
        </w:rPr>
        <w:t>For each of the two parts, the following requirements shall therefore be met when calculating stability in accordance with Article 27.03 (Limit conditions and method of calculation for proof of stability for the transport of secured containers):</w:t>
      </w:r>
    </w:p>
    <w:p w:rsidR="004F47BB" w:rsidRPr="004F47BB" w:rsidRDefault="004F47BB" w:rsidP="004F47BB">
      <w:pPr>
        <w:tabs>
          <w:tab w:val="left" w:pos="567"/>
        </w:tabs>
        <w:autoSpaceDE/>
        <w:autoSpaceDN/>
        <w:spacing w:before="60" w:line="240" w:lineRule="atLeast"/>
        <w:ind w:left="992"/>
        <w:rPr>
          <w:rFonts w:cs="Arial"/>
          <w:lang w:val="en-US" w:eastAsia="de-DE"/>
        </w:rPr>
      </w:pPr>
      <w:r w:rsidRPr="004F47BB">
        <w:rPr>
          <w:rFonts w:cs="Arial"/>
          <w:noProof/>
          <w:lang w:val="de-DE" w:eastAsia="de-DE"/>
        </w:rPr>
        <w:sym w:font="Symbol" w:char="F0B7"/>
      </w:r>
      <w:r w:rsidRPr="004F47BB">
        <w:rPr>
          <w:rFonts w:cs="Arial"/>
          <w:noProof/>
          <w:lang w:val="en-US" w:eastAsia="de-DE"/>
        </w:rPr>
        <w:tab/>
        <w:t xml:space="preserve">metacentric height </w:t>
      </w:r>
      <m:oMath>
        <m:acc>
          <m:accPr>
            <m:chr m:val="̅"/>
            <m:ctrlPr>
              <w:rPr>
                <w:rFonts w:ascii="Cambria Math" w:hAnsi="Cambria Math"/>
                <w:i/>
                <w:lang w:val="en-US"/>
              </w:rPr>
            </m:ctrlPr>
          </m:accPr>
          <m:e>
            <m:r>
              <w:rPr>
                <w:rFonts w:ascii="Cambria Math" w:hAnsi="Cambria Math"/>
                <w:lang w:val="en-US"/>
              </w:rPr>
              <m:t>MG</m:t>
            </m:r>
          </m:e>
        </m:acc>
      </m:oMath>
      <w:r w:rsidRPr="004F47BB">
        <w:rPr>
          <w:rFonts w:cs="Arial"/>
          <w:noProof/>
          <w:lang w:val="en-US" w:eastAsia="de-DE"/>
        </w:rPr>
        <w:t xml:space="preserve"> shall be not less than 0,50 m,</w:t>
      </w:r>
    </w:p>
    <w:p w:rsidR="004F47BB" w:rsidRPr="004F47BB" w:rsidRDefault="004F47BB" w:rsidP="004F47BB">
      <w:pPr>
        <w:tabs>
          <w:tab w:val="left" w:pos="567"/>
        </w:tabs>
        <w:autoSpaceDE/>
        <w:autoSpaceDN/>
        <w:spacing w:before="60" w:line="240" w:lineRule="atLeast"/>
        <w:ind w:left="992"/>
        <w:rPr>
          <w:rFonts w:cs="Arial"/>
          <w:lang w:val="en-US" w:eastAsia="de-DE"/>
        </w:rPr>
      </w:pPr>
      <w:r w:rsidRPr="004F47BB">
        <w:rPr>
          <w:rFonts w:cs="Arial"/>
          <w:noProof/>
          <w:lang w:val="de-DE" w:eastAsia="de-DE"/>
        </w:rPr>
        <w:sym w:font="Symbol" w:char="F0B7"/>
      </w:r>
      <w:r w:rsidRPr="004F47BB">
        <w:rPr>
          <w:rFonts w:cs="Arial"/>
          <w:noProof/>
          <w:lang w:val="en-US" w:eastAsia="de-DE"/>
        </w:rPr>
        <w:tab/>
        <w:t>there shall be a residual safety clearance of 100 mm</w:t>
      </w:r>
    </w:p>
    <w:p w:rsidR="004F47BB" w:rsidRPr="004F47BB" w:rsidRDefault="004F47BB" w:rsidP="004F47BB">
      <w:pPr>
        <w:tabs>
          <w:tab w:val="left" w:pos="567"/>
        </w:tabs>
        <w:autoSpaceDE/>
        <w:autoSpaceDN/>
        <w:spacing w:before="60" w:line="240" w:lineRule="atLeast"/>
        <w:ind w:left="992"/>
        <w:rPr>
          <w:rFonts w:cs="Arial"/>
          <w:lang w:val="en-US" w:eastAsia="de-DE"/>
        </w:rPr>
      </w:pPr>
      <w:r w:rsidRPr="004F47BB">
        <w:rPr>
          <w:rFonts w:cs="Arial"/>
          <w:noProof/>
          <w:lang w:val="de-DE" w:eastAsia="de-DE"/>
        </w:rPr>
        <w:sym w:font="Symbol" w:char="F0B7"/>
      </w:r>
      <w:r w:rsidRPr="004F47BB">
        <w:rPr>
          <w:rFonts w:cs="Arial"/>
          <w:noProof/>
          <w:lang w:val="en-US" w:eastAsia="de-DE"/>
        </w:rPr>
        <w:tab/>
        <w:t>the speed to be taken into account shall be 7 km/h,</w:t>
      </w:r>
    </w:p>
    <w:p w:rsidR="004F47BB" w:rsidRPr="004F47BB" w:rsidRDefault="004F47BB" w:rsidP="004F47BB">
      <w:pPr>
        <w:tabs>
          <w:tab w:val="left" w:pos="567"/>
        </w:tabs>
        <w:autoSpaceDE/>
        <w:autoSpaceDN/>
        <w:spacing w:before="60" w:line="240" w:lineRule="atLeast"/>
        <w:ind w:left="992"/>
        <w:rPr>
          <w:rFonts w:cs="Arial"/>
          <w:strike/>
          <w:szCs w:val="20"/>
          <w:lang w:val="en-US"/>
        </w:rPr>
      </w:pPr>
      <w:r w:rsidRPr="004F47BB">
        <w:rPr>
          <w:rFonts w:cs="Arial"/>
          <w:noProof/>
          <w:szCs w:val="20"/>
        </w:rPr>
        <w:sym w:font="Symbol" w:char="F0B7"/>
      </w:r>
      <w:r w:rsidRPr="004F47BB">
        <w:rPr>
          <w:rFonts w:cs="Arial"/>
          <w:noProof/>
          <w:szCs w:val="20"/>
          <w:lang w:val="en-US"/>
        </w:rPr>
        <w:tab/>
        <w:t>the wind pressure shall be taken to be 0,01 t/m</w:t>
      </w:r>
      <w:r w:rsidRPr="004F47BB">
        <w:rPr>
          <w:rFonts w:cs="Arial"/>
          <w:noProof/>
          <w:szCs w:val="20"/>
          <w:vertAlign w:val="superscript"/>
          <w:lang w:val="en-US"/>
        </w:rPr>
        <w:t>2</w:t>
      </w:r>
      <w:r w:rsidRPr="004F47BB">
        <w:rPr>
          <w:rFonts w:cs="Arial"/>
          <w:noProof/>
          <w:szCs w:val="20"/>
          <w:lang w:val="en-US"/>
        </w:rPr>
        <w:t>.</w:t>
      </w:r>
    </w:p>
    <w:p w:rsidR="004F47BB" w:rsidRPr="004F47BB" w:rsidRDefault="004F47BB" w:rsidP="004F47BB">
      <w:pPr>
        <w:tabs>
          <w:tab w:val="left" w:pos="567"/>
        </w:tabs>
        <w:autoSpaceDE/>
        <w:autoSpaceDN/>
        <w:spacing w:line="240" w:lineRule="atLeast"/>
        <w:ind w:left="567" w:hanging="567"/>
        <w:rPr>
          <w:rFonts w:cs="Arial"/>
          <w:szCs w:val="20"/>
          <w:lang w:val="en-US"/>
        </w:rPr>
      </w:pPr>
    </w:p>
    <w:p w:rsidR="004F47BB" w:rsidRPr="004F47BB" w:rsidRDefault="004F47BB" w:rsidP="004F47BB">
      <w:pPr>
        <w:spacing w:line="240" w:lineRule="atLeast"/>
        <w:ind w:left="567" w:hanging="567"/>
        <w:rPr>
          <w:lang w:val="en-US" w:eastAsia="de-DE"/>
        </w:rPr>
      </w:pPr>
      <w:r w:rsidRPr="004F47BB">
        <w:rPr>
          <w:lang w:val="en-US" w:eastAsia="de-DE"/>
        </w:rPr>
        <w:t>3.</w:t>
      </w:r>
      <w:r w:rsidRPr="004F47BB">
        <w:rPr>
          <w:lang w:val="en-US" w:eastAsia="de-DE"/>
        </w:rPr>
        <w:tab/>
      </w:r>
      <w:r w:rsidRPr="004F47BB">
        <w:rPr>
          <w:noProof/>
          <w:lang w:val="en-US"/>
        </w:rPr>
        <w:t>The heeling angle (≤ 5°) does not have to be complied with for the parts of the vessel separated in accordance with Article 28.04(2) since this angle — derived from the coefficient of friction — was specified for non-secured containers.</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firstLine="0"/>
        <w:rPr>
          <w:lang w:val="en-US"/>
        </w:rPr>
      </w:pPr>
      <w:r w:rsidRPr="004F47BB">
        <w:rPr>
          <w:noProof/>
          <w:lang w:val="en-US"/>
        </w:rPr>
        <w:t>The heeling lever resulting from the free surfaces of liquids shall be taken into account in accordance with the formula given in Article 27.02(1)(e).</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4.</w:t>
      </w:r>
      <w:r w:rsidRPr="004F47BB">
        <w:rPr>
          <w:lang w:val="en-US" w:eastAsia="de-DE"/>
        </w:rPr>
        <w:tab/>
      </w:r>
      <w:r w:rsidRPr="004F47BB">
        <w:rPr>
          <w:szCs w:val="20"/>
          <w:lang w:val="en-US" w:eastAsia="de-DE"/>
        </w:rPr>
        <w:t>The requirements set out in (2) and (3) shall also be deemed to have been met if, for each of the two parts, the stability requirements set out in Section 9.1.0.95.2 of ADN regulation are met.</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rPr>
      </w:pPr>
      <w:r w:rsidRPr="004F47BB">
        <w:rPr>
          <w:lang w:val="en-US" w:eastAsia="de-DE"/>
        </w:rPr>
        <w:t>5.</w:t>
      </w:r>
      <w:r w:rsidRPr="004F47BB">
        <w:rPr>
          <w:lang w:val="en-US" w:eastAsia="de-DE"/>
        </w:rPr>
        <w:tab/>
        <w:t>The proof of stability of separated parts of the ship can be based on the assumption that they are homogeneously loaded because - if not already the case - this can be achieved prior to separation, or else because the vessel is going to be largely unloaded</w:t>
      </w:r>
    </w:p>
    <w:p w:rsidR="004F47BB" w:rsidRPr="004F47BB" w:rsidRDefault="004F47BB" w:rsidP="004F47BB">
      <w:pPr>
        <w:tabs>
          <w:tab w:val="left" w:pos="0"/>
          <w:tab w:val="left" w:pos="567"/>
          <w:tab w:val="left" w:pos="851"/>
          <w:tab w:val="left" w:pos="1701"/>
          <w:tab w:val="left" w:pos="7088"/>
        </w:tabs>
        <w:overflowPunct w:val="0"/>
        <w:adjustRightInd w:val="0"/>
        <w:ind w:left="567" w:hanging="567"/>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r w:rsidRPr="004F47BB">
        <w:rPr>
          <w:szCs w:val="20"/>
          <w:lang w:val="en-US"/>
        </w:rPr>
        <w:br w:type="page"/>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sectPr w:rsidR="004F47BB" w:rsidRPr="004F47BB" w:rsidSect="00D45887">
          <w:footnotePr>
            <w:numRestart w:val="eachPage"/>
          </w:footnotePr>
          <w:pgSz w:w="11907" w:h="16840" w:code="9"/>
          <w:pgMar w:top="1418" w:right="1418" w:bottom="1418" w:left="1418" w:header="680" w:footer="680" w:gutter="0"/>
          <w:cols w:space="720"/>
          <w:docGrid w:linePitch="326"/>
        </w:sectPr>
      </w:pPr>
    </w:p>
    <w:p w:rsidR="004F47BB" w:rsidRPr="004F47BB" w:rsidRDefault="004F47BB" w:rsidP="00330FC4">
      <w:pPr>
        <w:pStyle w:val="ES-Titre2ESI"/>
        <w:rPr>
          <w:szCs w:val="20"/>
        </w:rPr>
      </w:pPr>
      <w:bookmarkStart w:id="414" w:name="_Toc491854373"/>
      <w:r w:rsidRPr="004F47BB">
        <w:lastRenderedPageBreak/>
        <w:t>ESI-III-10</w:t>
      </w:r>
      <w:r w:rsidRPr="004F47BB">
        <w:br/>
        <w:t>Equipment for vessels to be operated according to standards S1 or S2</w:t>
      </w:r>
      <w:bookmarkEnd w:id="414"/>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autoSpaceDE/>
        <w:autoSpaceDN/>
        <w:ind w:left="0" w:firstLine="0"/>
        <w:jc w:val="center"/>
        <w:rPr>
          <w:rFonts w:cs="Arial"/>
          <w:b/>
          <w:bCs/>
          <w:snapToGrid w:val="0"/>
          <w:szCs w:val="20"/>
          <w:lang w:val="en-US"/>
        </w:rPr>
      </w:pPr>
      <w:r w:rsidRPr="004F47BB">
        <w:rPr>
          <w:rFonts w:cs="Arial"/>
          <w:b/>
          <w:bCs/>
          <w:noProof/>
          <w:snapToGrid w:val="0"/>
          <w:szCs w:val="20"/>
          <w:lang w:val="en-US"/>
        </w:rPr>
        <w:t>(Articles 31.01, 31.02 and 31.03)</w:t>
      </w:r>
    </w:p>
    <w:p w:rsidR="004F47BB" w:rsidRPr="004F47BB" w:rsidRDefault="004F47BB" w:rsidP="004F47BB">
      <w:pPr>
        <w:tabs>
          <w:tab w:val="left" w:pos="567"/>
        </w:tabs>
        <w:autoSpaceDE/>
        <w:autoSpaceDN/>
        <w:ind w:left="567" w:hanging="567"/>
        <w:rPr>
          <w:rFonts w:cs="Arial"/>
          <w:snapToGrid w:val="0"/>
          <w:szCs w:val="20"/>
          <w:lang w:val="en-US"/>
        </w:rPr>
      </w:pPr>
    </w:p>
    <w:p w:rsidR="004F47BB" w:rsidRPr="004F47BB" w:rsidRDefault="004F47BB" w:rsidP="004F47BB">
      <w:pPr>
        <w:spacing w:line="240" w:lineRule="atLeast"/>
        <w:ind w:left="567" w:hanging="567"/>
        <w:rPr>
          <w:rFonts w:cs="Arial"/>
          <w:b/>
          <w:color w:val="000000"/>
          <w:szCs w:val="20"/>
          <w:lang w:val="en-US"/>
        </w:rPr>
      </w:pPr>
      <w:r w:rsidRPr="004F47BB">
        <w:rPr>
          <w:rFonts w:cs="Arial"/>
          <w:b/>
          <w:color w:val="000000"/>
          <w:szCs w:val="20"/>
          <w:lang w:val="en-US"/>
        </w:rPr>
        <w:t>1.</w:t>
      </w:r>
      <w:r w:rsidRPr="004F47BB">
        <w:rPr>
          <w:rFonts w:cs="Arial"/>
          <w:b/>
          <w:color w:val="000000"/>
          <w:szCs w:val="20"/>
          <w:lang w:val="en-US"/>
        </w:rPr>
        <w:tab/>
        <w:t>General introduction</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spacing w:line="240" w:lineRule="atLeast"/>
        <w:ind w:left="567" w:firstLine="0"/>
        <w:rPr>
          <w:lang w:val="en-US"/>
        </w:rPr>
      </w:pPr>
      <w:r w:rsidRPr="004F47BB">
        <w:rPr>
          <w:lang w:val="en-US"/>
        </w:rPr>
        <w:t>According to Article 31.01, vessels which are intended to be operated according to standards S1 and S2 shall comply with the provisions of Chapter 31. The inspection body shall confirm in the inland navigation vessel certificate that the vessel complies with these provisions.</w:t>
      </w:r>
    </w:p>
    <w:p w:rsidR="004F47BB" w:rsidRPr="004F47BB" w:rsidRDefault="004F47BB" w:rsidP="004F47BB">
      <w:pPr>
        <w:spacing w:line="240" w:lineRule="atLeast"/>
        <w:ind w:left="567" w:firstLine="0"/>
        <w:rPr>
          <w:snapToGrid w:val="0"/>
          <w:lang w:val="en-US"/>
        </w:rPr>
      </w:pPr>
    </w:p>
    <w:p w:rsidR="004F47BB" w:rsidRPr="004F47BB" w:rsidRDefault="004F47BB" w:rsidP="004F47BB">
      <w:pPr>
        <w:spacing w:line="240" w:lineRule="atLeast"/>
        <w:ind w:left="567" w:firstLine="0"/>
        <w:rPr>
          <w:snapToGrid w:val="0"/>
          <w:lang w:val="en-US"/>
        </w:rPr>
      </w:pPr>
      <w:r w:rsidRPr="004F47BB">
        <w:rPr>
          <w:snapToGrid w:val="0"/>
          <w:lang w:val="en-US"/>
        </w:rPr>
        <w:t xml:space="preserve">These provisions are supplementary equipment requirements which apply in addition to the requirements with which a vessel has to comply for the inland navigation vessel certificate to be issued. Provisions of Chapter 31 which might be interpreted in different ways will be clarified in this instruction. </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autoSpaceDE/>
        <w:autoSpaceDN/>
        <w:spacing w:line="240" w:lineRule="atLeast"/>
        <w:ind w:left="567" w:hanging="567"/>
        <w:rPr>
          <w:b/>
          <w:lang w:val="en-US"/>
        </w:rPr>
      </w:pPr>
      <w:r w:rsidRPr="004F47BB">
        <w:rPr>
          <w:b/>
          <w:lang w:val="en-US"/>
        </w:rPr>
        <w:t>2.</w:t>
      </w:r>
      <w:r w:rsidRPr="004F47BB">
        <w:rPr>
          <w:b/>
          <w:lang w:val="en-US"/>
        </w:rPr>
        <w:tab/>
        <w:t>Article 31.02 – Standard S1</w:t>
      </w:r>
    </w:p>
    <w:p w:rsidR="004F47BB" w:rsidRPr="004F47BB" w:rsidRDefault="004F47BB" w:rsidP="004F47BB">
      <w:pPr>
        <w:autoSpaceDE/>
        <w:autoSpaceDN/>
        <w:spacing w:line="240" w:lineRule="atLeast"/>
        <w:ind w:left="567" w:hanging="567"/>
        <w:rPr>
          <w:b/>
          <w:lang w:val="en-US"/>
        </w:rPr>
      </w:pPr>
    </w:p>
    <w:p w:rsidR="004F47BB" w:rsidRPr="004F47BB" w:rsidRDefault="004F47BB" w:rsidP="004F47BB">
      <w:pPr>
        <w:autoSpaceDE/>
        <w:autoSpaceDN/>
        <w:spacing w:line="240" w:lineRule="atLeast"/>
        <w:ind w:left="567" w:hanging="567"/>
        <w:rPr>
          <w:b/>
          <w:lang w:val="en-US"/>
        </w:rPr>
      </w:pPr>
      <w:r w:rsidRPr="004F47BB">
        <w:rPr>
          <w:b/>
          <w:lang w:val="en-US"/>
        </w:rPr>
        <w:t>2.1</w:t>
      </w:r>
      <w:r w:rsidRPr="004F47BB">
        <w:rPr>
          <w:b/>
          <w:lang w:val="en-US"/>
        </w:rPr>
        <w:tab/>
        <w:t>(1) – Arrangement of the propulsion system</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b/>
          <w:bCs/>
          <w:lang w:val="en-US"/>
        </w:rPr>
        <w:tab/>
      </w:r>
      <w:r w:rsidRPr="004F47BB">
        <w:rPr>
          <w:rFonts w:cs="Arial"/>
          <w:lang w:val="en-US"/>
        </w:rPr>
        <w:t>If a vessel is fitted with a directly reversible main engine, the compressed air system which is required to reverse the direction of thrust shall:</w:t>
      </w:r>
    </w:p>
    <w:p w:rsidR="004F47BB" w:rsidRPr="004F47BB" w:rsidRDefault="004F47BB" w:rsidP="004F47BB">
      <w:pPr>
        <w:tabs>
          <w:tab w:val="left" w:pos="992"/>
        </w:tabs>
        <w:autoSpaceDE/>
        <w:autoSpaceDN/>
        <w:spacing w:before="60" w:line="240" w:lineRule="atLeast"/>
        <w:ind w:left="992"/>
        <w:rPr>
          <w:rFonts w:cs="Arial"/>
          <w:lang w:val="en-US"/>
        </w:rPr>
      </w:pPr>
      <w:r w:rsidRPr="004F47BB">
        <w:rPr>
          <w:rFonts w:cs="Arial"/>
          <w:lang w:val="en-US"/>
        </w:rPr>
        <w:t>a)</w:t>
      </w:r>
      <w:r w:rsidRPr="004F47BB">
        <w:rPr>
          <w:rFonts w:cs="Arial"/>
          <w:lang w:val="en-US"/>
        </w:rPr>
        <w:tab/>
        <w:t>be kept permanently pressurised by an automatically adjusting compressor; or</w:t>
      </w:r>
    </w:p>
    <w:p w:rsidR="004F47BB" w:rsidRPr="004F47BB" w:rsidRDefault="004F47BB" w:rsidP="004F47BB">
      <w:pPr>
        <w:tabs>
          <w:tab w:val="left" w:pos="992"/>
        </w:tabs>
        <w:autoSpaceDE/>
        <w:autoSpaceDN/>
        <w:spacing w:before="60" w:line="240" w:lineRule="atLeast"/>
        <w:ind w:left="992"/>
        <w:rPr>
          <w:rFonts w:cs="Arial"/>
          <w:lang w:val="en-US"/>
        </w:rPr>
      </w:pPr>
      <w:r w:rsidRPr="004F47BB">
        <w:rPr>
          <w:rFonts w:cs="Arial"/>
          <w:lang w:val="en-US"/>
        </w:rPr>
        <w:t>b)</w:t>
      </w:r>
      <w:r w:rsidRPr="004F47BB">
        <w:rPr>
          <w:rFonts w:cs="Arial"/>
          <w:lang w:val="en-US"/>
        </w:rPr>
        <w:tab/>
        <w:t>when an alarm is triggered in the wheelhouse be pressurised by means of an auxiliary engine which can be started from the steering position. If the auxiliary engine has its own fuel tank, there shall — in accordance with Article 8.05(13) — be a warning device in the wheelhouse to indicate if the level of filling is not sufficient to ensure further safe operation.</w:t>
      </w:r>
    </w:p>
    <w:p w:rsidR="004F47BB" w:rsidRPr="004F47BB" w:rsidRDefault="004F47BB" w:rsidP="004F47BB">
      <w:pPr>
        <w:autoSpaceDE/>
        <w:autoSpaceDN/>
        <w:spacing w:line="240" w:lineRule="atLeast"/>
        <w:ind w:left="567" w:hanging="567"/>
        <w:rPr>
          <w:b/>
          <w:lang w:val="en-US"/>
        </w:rPr>
      </w:pPr>
    </w:p>
    <w:p w:rsidR="004F47BB" w:rsidRPr="004F47BB" w:rsidRDefault="004F47BB" w:rsidP="004F47BB">
      <w:pPr>
        <w:autoSpaceDE/>
        <w:autoSpaceDN/>
        <w:spacing w:line="240" w:lineRule="atLeast"/>
        <w:ind w:left="567" w:hanging="567"/>
        <w:rPr>
          <w:b/>
          <w:lang w:val="en-US"/>
        </w:rPr>
      </w:pPr>
      <w:r w:rsidRPr="004F47BB">
        <w:rPr>
          <w:b/>
          <w:lang w:val="en-US"/>
        </w:rPr>
        <w:t>2.2</w:t>
      </w:r>
      <w:r w:rsidRPr="004F47BB">
        <w:rPr>
          <w:b/>
          <w:lang w:val="en-US"/>
        </w:rPr>
        <w:tab/>
        <w:t>(2) – Bilge levels in the main engine room</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b/>
          <w:bCs/>
          <w:i/>
          <w:iCs/>
          <w:lang w:val="en-US"/>
        </w:rPr>
        <w:tab/>
      </w:r>
      <w:r w:rsidRPr="004F47BB">
        <w:rPr>
          <w:rFonts w:cs="Arial"/>
          <w:lang w:val="en-US"/>
        </w:rPr>
        <w:t>If a bow steering system is necessary to comply with the manoeuvring requirements of Chapter 5, the room containing the bow steering system shall be deemed to be a main engine room.</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autoSpaceDE/>
        <w:autoSpaceDN/>
        <w:spacing w:line="240" w:lineRule="atLeast"/>
        <w:ind w:left="567" w:hanging="567"/>
        <w:rPr>
          <w:b/>
          <w:lang w:val="en-US"/>
        </w:rPr>
      </w:pPr>
      <w:r w:rsidRPr="004F47BB">
        <w:rPr>
          <w:b/>
          <w:lang w:val="en-US"/>
        </w:rPr>
        <w:t>2.3</w:t>
      </w:r>
      <w:r w:rsidRPr="004F47BB">
        <w:rPr>
          <w:b/>
          <w:lang w:val="en-US"/>
        </w:rPr>
        <w:tab/>
        <w:t>(3) – Automatic fuel supply</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2.3.1</w:t>
      </w:r>
      <w:r w:rsidRPr="004F47BB">
        <w:rPr>
          <w:rFonts w:cs="Arial"/>
          <w:b/>
          <w:bCs/>
          <w:i/>
          <w:iCs/>
          <w:lang w:val="en-US"/>
        </w:rPr>
        <w:tab/>
      </w:r>
      <w:r w:rsidRPr="004F47BB">
        <w:rPr>
          <w:rFonts w:cs="Arial"/>
          <w:lang w:val="en-US"/>
        </w:rPr>
        <w:t>If the propulsion system has a daily-supply tank,</w:t>
      </w:r>
    </w:p>
    <w:p w:rsidR="004F47BB" w:rsidRPr="004F47BB" w:rsidRDefault="004F47BB" w:rsidP="004F47BB">
      <w:pPr>
        <w:tabs>
          <w:tab w:val="left" w:pos="993"/>
        </w:tabs>
        <w:autoSpaceDE/>
        <w:autoSpaceDN/>
        <w:spacing w:before="60" w:line="240" w:lineRule="atLeast"/>
        <w:ind w:left="992"/>
        <w:rPr>
          <w:rFonts w:cs="Arial"/>
          <w:lang w:val="en-US"/>
        </w:rPr>
      </w:pPr>
      <w:r w:rsidRPr="004F47BB">
        <w:rPr>
          <w:rFonts w:cs="Arial"/>
          <w:lang w:val="en-US"/>
        </w:rPr>
        <w:t>a)</w:t>
      </w:r>
      <w:r w:rsidRPr="004F47BB">
        <w:rPr>
          <w:rFonts w:cs="Arial"/>
          <w:lang w:val="en-US"/>
        </w:rPr>
        <w:tab/>
        <w:t>its contents shall be sufficient to ensure an operation period of the propulsion system of 24 hours, assuming a consumption of 0,25 litres per kW per hour;</w:t>
      </w:r>
    </w:p>
    <w:p w:rsidR="004F47BB" w:rsidRPr="004F47BB" w:rsidRDefault="004F47BB" w:rsidP="004F47BB">
      <w:pPr>
        <w:tabs>
          <w:tab w:val="left" w:pos="993"/>
        </w:tabs>
        <w:autoSpaceDE/>
        <w:autoSpaceDN/>
        <w:spacing w:before="60" w:line="240" w:lineRule="atLeast"/>
        <w:ind w:left="992"/>
        <w:rPr>
          <w:rFonts w:cs="Arial"/>
          <w:lang w:val="en-US"/>
        </w:rPr>
      </w:pPr>
      <w:r w:rsidRPr="004F47BB">
        <w:rPr>
          <w:rFonts w:cs="Arial"/>
          <w:lang w:val="en-US"/>
        </w:rPr>
        <w:t>b)</w:t>
      </w:r>
      <w:r w:rsidRPr="004F47BB">
        <w:rPr>
          <w:rFonts w:cs="Arial"/>
          <w:lang w:val="en-US"/>
        </w:rPr>
        <w:tab/>
        <w:t>the fuel supply pump for refilling the daily-supply tank shall be operated continuously; or</w:t>
      </w:r>
    </w:p>
    <w:p w:rsidR="004F47BB" w:rsidRPr="004F47BB" w:rsidRDefault="004F47BB" w:rsidP="004F47BB">
      <w:pPr>
        <w:tabs>
          <w:tab w:val="left" w:pos="993"/>
        </w:tabs>
        <w:autoSpaceDE/>
        <w:autoSpaceDN/>
        <w:spacing w:before="60" w:line="240" w:lineRule="atLeast"/>
        <w:ind w:left="992"/>
        <w:rPr>
          <w:rFonts w:cs="Arial"/>
          <w:lang w:val="en-US"/>
        </w:rPr>
      </w:pPr>
      <w:r w:rsidRPr="004F47BB">
        <w:rPr>
          <w:rFonts w:cs="Arial"/>
          <w:lang w:val="en-US"/>
        </w:rPr>
        <w:t>c)</w:t>
      </w:r>
      <w:r w:rsidRPr="004F47BB">
        <w:rPr>
          <w:rFonts w:cs="Arial"/>
          <w:lang w:val="en-US"/>
        </w:rPr>
        <w:tab/>
        <w:t>the fuel supply pump shall be fitted with:</w:t>
      </w:r>
    </w:p>
    <w:p w:rsidR="004F47BB" w:rsidRPr="004F47BB" w:rsidRDefault="004F47BB" w:rsidP="004F47BB">
      <w:pPr>
        <w:tabs>
          <w:tab w:val="left" w:pos="1418"/>
        </w:tabs>
        <w:autoSpaceDE/>
        <w:autoSpaceDN/>
        <w:spacing w:before="60" w:line="240" w:lineRule="atLeast"/>
        <w:ind w:left="1418"/>
        <w:rPr>
          <w:rFonts w:cs="Arial"/>
          <w:lang w:val="en-US"/>
        </w:rPr>
      </w:pPr>
      <w:r w:rsidRPr="004F47BB">
        <w:rPr>
          <w:rFonts w:cs="Arial"/>
        </w:rPr>
        <w:sym w:font="Symbol" w:char="F0B7"/>
      </w:r>
      <w:r w:rsidRPr="004F47BB">
        <w:rPr>
          <w:rFonts w:cs="Arial"/>
          <w:lang w:val="en-US"/>
        </w:rPr>
        <w:tab/>
        <w:t>a switch that automatically switches on the fuel supply pump when the daily-supply tank reaches a certain low level, and</w:t>
      </w:r>
    </w:p>
    <w:p w:rsidR="004F47BB" w:rsidRPr="004F47BB" w:rsidRDefault="004F47BB" w:rsidP="004F47BB">
      <w:pPr>
        <w:widowControl w:val="0"/>
        <w:tabs>
          <w:tab w:val="left" w:pos="426"/>
          <w:tab w:val="left" w:pos="1418"/>
        </w:tabs>
        <w:overflowPunct w:val="0"/>
        <w:adjustRightInd w:val="0"/>
        <w:spacing w:before="60" w:line="240" w:lineRule="atLeast"/>
        <w:ind w:left="1418"/>
        <w:textAlignment w:val="baseline"/>
        <w:rPr>
          <w:rFonts w:cs="Arial"/>
          <w:snapToGrid w:val="0"/>
          <w:lang w:val="en-US"/>
        </w:rPr>
      </w:pPr>
      <w:r w:rsidRPr="004F47BB">
        <w:rPr>
          <w:rFonts w:cs="Arial"/>
          <w:snapToGrid w:val="0"/>
        </w:rPr>
        <w:sym w:font="Symbol" w:char="F0B7"/>
      </w:r>
      <w:r w:rsidRPr="004F47BB">
        <w:rPr>
          <w:rFonts w:cs="Arial"/>
          <w:snapToGrid w:val="0"/>
          <w:lang w:val="en-US"/>
        </w:rPr>
        <w:tab/>
        <w:t>a switch that automatically switches off the fuel supply pump when the daily-supply tank is full.</w:t>
      </w: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br w:type="page"/>
      </w: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lastRenderedPageBreak/>
        <w:t>2.3.2</w:t>
      </w:r>
      <w:r w:rsidRPr="004F47BB">
        <w:rPr>
          <w:rFonts w:cs="Arial"/>
          <w:lang w:val="en-US"/>
        </w:rPr>
        <w:tab/>
        <w:t>The daily-supply tank shall have a level alarm device which meets the requirements of Article 8.05(13).</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b/>
          <w:bCs/>
          <w:lang w:val="en-US"/>
        </w:rPr>
        <w:t>2.4.</w:t>
      </w:r>
      <w:r w:rsidRPr="004F47BB">
        <w:rPr>
          <w:rFonts w:cs="Arial"/>
          <w:b/>
          <w:bCs/>
          <w:lang w:val="en-US"/>
        </w:rPr>
        <w:tab/>
        <w:t>(4) – No particular force required for the steering system</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firstLine="0"/>
        <w:rPr>
          <w:rFonts w:cs="Arial"/>
          <w:lang w:val="en-US"/>
        </w:rPr>
      </w:pPr>
      <w:r w:rsidRPr="004F47BB">
        <w:rPr>
          <w:rFonts w:cs="Arial"/>
          <w:lang w:val="en-US"/>
        </w:rPr>
        <w:t>Hydraulically operated steering systems fulfil this requirement. Manually operated steering systems shall not require a force of more than 160 N in order to be operated.</w:t>
      </w:r>
    </w:p>
    <w:p w:rsidR="004F47BB" w:rsidRPr="004F47BB" w:rsidRDefault="004F47BB" w:rsidP="004F47BB">
      <w:pPr>
        <w:tabs>
          <w:tab w:val="left" w:pos="567"/>
        </w:tabs>
        <w:autoSpaceDE/>
        <w:autoSpaceDN/>
        <w:spacing w:line="240" w:lineRule="atLeast"/>
        <w:ind w:left="567" w:firstLine="0"/>
        <w:rPr>
          <w:rFonts w:cs="Arial"/>
          <w:lang w:val="en-US"/>
        </w:rPr>
      </w:pPr>
    </w:p>
    <w:p w:rsidR="004F47BB" w:rsidRPr="004F47BB" w:rsidRDefault="004F47BB" w:rsidP="004F47BB">
      <w:pPr>
        <w:tabs>
          <w:tab w:val="left" w:pos="567"/>
        </w:tabs>
        <w:autoSpaceDE/>
        <w:autoSpaceDN/>
        <w:spacing w:line="240" w:lineRule="atLeast"/>
        <w:ind w:left="567" w:hanging="567"/>
        <w:rPr>
          <w:rFonts w:cs="Arial"/>
          <w:b/>
          <w:bCs/>
          <w:lang w:val="en-US"/>
        </w:rPr>
      </w:pPr>
      <w:r w:rsidRPr="004F47BB">
        <w:rPr>
          <w:rFonts w:cs="Arial"/>
          <w:b/>
          <w:bCs/>
          <w:lang w:val="en-US"/>
        </w:rPr>
        <w:t>2.5</w:t>
      </w:r>
      <w:r w:rsidRPr="004F47BB">
        <w:rPr>
          <w:rFonts w:cs="Arial"/>
          <w:b/>
          <w:bCs/>
          <w:lang w:val="en-US"/>
        </w:rPr>
        <w:tab/>
        <w:t>(5) – Visual and acoustic signals required under way</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ab/>
        <w:t xml:space="preserve">Visual signs do not include cylinders, balls, cones or double cones required under </w:t>
      </w:r>
      <w:r w:rsidRPr="004F47BB">
        <w:rPr>
          <w:noProof/>
          <w:lang w:val="en-US"/>
        </w:rPr>
        <w:t>national or international navigational authority regulations.</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b/>
          <w:bCs/>
          <w:lang w:val="en-US"/>
        </w:rPr>
      </w:pPr>
      <w:r w:rsidRPr="004F47BB">
        <w:rPr>
          <w:rFonts w:cs="Arial"/>
          <w:b/>
          <w:bCs/>
          <w:lang w:val="en-US"/>
        </w:rPr>
        <w:t>2.6</w:t>
      </w:r>
      <w:r w:rsidRPr="004F47BB">
        <w:rPr>
          <w:rFonts w:cs="Arial"/>
          <w:b/>
          <w:bCs/>
          <w:lang w:val="en-US"/>
        </w:rPr>
        <w:tab/>
        <w:t>(6) – Direct communication and communication with the engine room</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2.6.1</w:t>
      </w:r>
      <w:r w:rsidRPr="004F47BB">
        <w:rPr>
          <w:rFonts w:cs="Arial"/>
          <w:lang w:val="en-US"/>
        </w:rPr>
        <w:tab/>
        <w:t>Direct communication shall be deemed to be ensured if:</w:t>
      </w:r>
    </w:p>
    <w:p w:rsidR="004F47BB" w:rsidRPr="004F47BB" w:rsidRDefault="004F47BB" w:rsidP="004F47BB">
      <w:pPr>
        <w:tabs>
          <w:tab w:val="left" w:pos="993"/>
        </w:tabs>
        <w:autoSpaceDE/>
        <w:autoSpaceDN/>
        <w:spacing w:before="60" w:line="240" w:lineRule="atLeast"/>
        <w:ind w:left="992"/>
        <w:rPr>
          <w:rFonts w:cs="Arial"/>
          <w:lang w:val="en-US"/>
        </w:rPr>
      </w:pPr>
      <w:r w:rsidRPr="004F47BB">
        <w:rPr>
          <w:rFonts w:cs="Arial"/>
          <w:lang w:val="en-US"/>
        </w:rPr>
        <w:t>a)</w:t>
      </w:r>
      <w:r w:rsidRPr="004F47BB">
        <w:rPr>
          <w:rFonts w:cs="Arial"/>
          <w:lang w:val="en-US"/>
        </w:rPr>
        <w:tab/>
        <w:t>direct visual contact is possible between the wheelhouse and the control positions for the winches and bollards on the fore section or the stern of the vessel and in addition the distance from the wheelhouse to these control positions is not more than 35 m; and</w:t>
      </w:r>
    </w:p>
    <w:p w:rsidR="004F47BB" w:rsidRPr="004F47BB" w:rsidRDefault="004F47BB" w:rsidP="004F47BB">
      <w:pPr>
        <w:tabs>
          <w:tab w:val="left" w:pos="993"/>
        </w:tabs>
        <w:autoSpaceDE/>
        <w:autoSpaceDN/>
        <w:spacing w:before="60" w:line="240" w:lineRule="atLeast"/>
        <w:ind w:left="992"/>
        <w:rPr>
          <w:rFonts w:cs="Arial"/>
          <w:lang w:val="en-US"/>
        </w:rPr>
      </w:pPr>
      <w:r w:rsidRPr="004F47BB">
        <w:rPr>
          <w:rFonts w:cs="Arial"/>
          <w:lang w:val="en-US"/>
        </w:rPr>
        <w:t>b)</w:t>
      </w:r>
      <w:r w:rsidRPr="004F47BB">
        <w:rPr>
          <w:rFonts w:cs="Arial"/>
          <w:lang w:val="en-US"/>
        </w:rPr>
        <w:tab/>
        <w:t>the accommodation is directly accessible from the wheelhouse.</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2.6.2</w:t>
      </w:r>
      <w:r w:rsidRPr="004F47BB">
        <w:rPr>
          <w:rFonts w:cs="Arial"/>
          <w:lang w:val="en-US"/>
        </w:rPr>
        <w:tab/>
        <w:t>Communication with the engine room shall be deemed to be ensured if the signal referred to in Article 7.09(3) second sentence, can be operated independently from the switch referred to in Article 7.09(2).</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b/>
          <w:bCs/>
          <w:lang w:val="en-US"/>
        </w:rPr>
      </w:pPr>
      <w:r w:rsidRPr="004F47BB">
        <w:rPr>
          <w:rFonts w:cs="Arial"/>
          <w:b/>
          <w:bCs/>
          <w:lang w:val="en-US"/>
        </w:rPr>
        <w:t>2.7</w:t>
      </w:r>
      <w:r w:rsidRPr="004F47BB">
        <w:rPr>
          <w:rFonts w:cs="Arial"/>
          <w:b/>
          <w:bCs/>
          <w:lang w:val="en-US"/>
        </w:rPr>
        <w:tab/>
        <w:t>(7) – Cranks and similar rotating means of operation</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spacing w:line="240" w:lineRule="atLeast"/>
        <w:ind w:left="567" w:firstLine="0"/>
        <w:rPr>
          <w:lang w:val="en-US"/>
        </w:rPr>
      </w:pPr>
      <w:r w:rsidRPr="004F47BB">
        <w:rPr>
          <w:lang w:val="en-US"/>
        </w:rPr>
        <w:t xml:space="preserve">These include: </w:t>
      </w:r>
    </w:p>
    <w:p w:rsidR="004F47BB" w:rsidRPr="004F47BB" w:rsidRDefault="004F47BB" w:rsidP="004F47BB">
      <w:pPr>
        <w:tabs>
          <w:tab w:val="left" w:pos="992"/>
        </w:tabs>
        <w:autoSpaceDE/>
        <w:autoSpaceDN/>
        <w:spacing w:before="60" w:line="240" w:lineRule="atLeast"/>
        <w:ind w:left="992"/>
        <w:rPr>
          <w:rFonts w:cs="Arial"/>
          <w:lang w:val="en-US"/>
        </w:rPr>
      </w:pPr>
      <w:r w:rsidRPr="004F47BB">
        <w:rPr>
          <w:rFonts w:cs="Arial"/>
          <w:lang w:val="en-US"/>
        </w:rPr>
        <w:t>a)</w:t>
      </w:r>
      <w:r w:rsidRPr="004F47BB">
        <w:rPr>
          <w:rFonts w:cs="Arial"/>
          <w:lang w:val="en-US"/>
        </w:rPr>
        <w:tab/>
        <w:t>manually operated anchor winches (the maximum force required shall be deemed to be that when the anchors are hanging freely);</w:t>
      </w:r>
    </w:p>
    <w:p w:rsidR="004F47BB" w:rsidRPr="004F47BB" w:rsidRDefault="004F47BB" w:rsidP="004F47BB">
      <w:pPr>
        <w:tabs>
          <w:tab w:val="left" w:pos="992"/>
        </w:tabs>
        <w:autoSpaceDE/>
        <w:autoSpaceDN/>
        <w:spacing w:before="60" w:line="240" w:lineRule="atLeast"/>
        <w:ind w:left="992"/>
        <w:rPr>
          <w:rFonts w:cs="Arial"/>
          <w:lang w:val="en-US"/>
        </w:rPr>
      </w:pPr>
      <w:r w:rsidRPr="004F47BB">
        <w:rPr>
          <w:rFonts w:cs="Arial"/>
          <w:lang w:val="en-US"/>
        </w:rPr>
        <w:t>b)</w:t>
      </w:r>
      <w:r w:rsidRPr="004F47BB">
        <w:rPr>
          <w:rFonts w:cs="Arial"/>
          <w:lang w:val="en-US"/>
        </w:rPr>
        <w:tab/>
        <w:t>cranks for lifting hatches;</w:t>
      </w:r>
    </w:p>
    <w:p w:rsidR="004F47BB" w:rsidRPr="004F47BB" w:rsidRDefault="004F47BB" w:rsidP="004F47BB">
      <w:pPr>
        <w:tabs>
          <w:tab w:val="left" w:pos="992"/>
        </w:tabs>
        <w:autoSpaceDE/>
        <w:autoSpaceDN/>
        <w:spacing w:before="60" w:line="240" w:lineRule="atLeast"/>
        <w:ind w:left="992"/>
        <w:rPr>
          <w:rFonts w:cs="Arial"/>
          <w:lang w:val="en-US"/>
        </w:rPr>
      </w:pPr>
      <w:r w:rsidRPr="004F47BB">
        <w:rPr>
          <w:rFonts w:cs="Arial"/>
          <w:lang w:val="en-US"/>
        </w:rPr>
        <w:t>c)</w:t>
      </w:r>
      <w:r w:rsidRPr="004F47BB">
        <w:rPr>
          <w:rFonts w:cs="Arial"/>
          <w:lang w:val="en-US"/>
        </w:rPr>
        <w:tab/>
        <w:t>cranks on mast and funnel winches.</w:t>
      </w:r>
    </w:p>
    <w:p w:rsidR="004F47BB" w:rsidRPr="004F47BB" w:rsidRDefault="004F47BB" w:rsidP="004F47BB">
      <w:pPr>
        <w:tabs>
          <w:tab w:val="left" w:pos="851"/>
        </w:tabs>
        <w:autoSpaceDE/>
        <w:autoSpaceDN/>
        <w:spacing w:line="240" w:lineRule="atLeast"/>
        <w:ind w:left="851" w:hanging="284"/>
        <w:rPr>
          <w:rFonts w:cs="Arial"/>
          <w:lang w:val="en-US"/>
        </w:rPr>
      </w:pPr>
    </w:p>
    <w:p w:rsidR="004F47BB" w:rsidRPr="004F47BB" w:rsidRDefault="004F47BB" w:rsidP="004F47BB">
      <w:pPr>
        <w:spacing w:line="240" w:lineRule="atLeast"/>
        <w:ind w:left="567" w:firstLine="0"/>
        <w:rPr>
          <w:snapToGrid w:val="0"/>
          <w:lang w:val="en-US"/>
        </w:rPr>
      </w:pPr>
      <w:r w:rsidRPr="004F47BB">
        <w:rPr>
          <w:snapToGrid w:val="0"/>
          <w:lang w:val="en-US"/>
        </w:rPr>
        <w:t>These do not include:</w:t>
      </w:r>
    </w:p>
    <w:p w:rsidR="004F47BB" w:rsidRPr="004F47BB" w:rsidRDefault="004F47BB" w:rsidP="004F47BB">
      <w:pPr>
        <w:tabs>
          <w:tab w:val="left" w:pos="992"/>
        </w:tabs>
        <w:autoSpaceDE/>
        <w:autoSpaceDN/>
        <w:spacing w:before="60" w:line="240" w:lineRule="atLeast"/>
        <w:ind w:left="992"/>
        <w:rPr>
          <w:rFonts w:cs="Arial"/>
          <w:lang w:val="en-US"/>
        </w:rPr>
      </w:pPr>
      <w:r w:rsidRPr="004F47BB">
        <w:rPr>
          <w:rFonts w:cs="Arial"/>
          <w:lang w:val="en-US"/>
        </w:rPr>
        <w:t>a)</w:t>
      </w:r>
      <w:r w:rsidRPr="004F47BB">
        <w:rPr>
          <w:rFonts w:cs="Arial"/>
          <w:lang w:val="en-US"/>
        </w:rPr>
        <w:tab/>
        <w:t>warping and coupling winches;</w:t>
      </w:r>
    </w:p>
    <w:p w:rsidR="004F47BB" w:rsidRPr="004F47BB" w:rsidRDefault="004F47BB" w:rsidP="004F47BB">
      <w:pPr>
        <w:tabs>
          <w:tab w:val="left" w:pos="992"/>
        </w:tabs>
        <w:autoSpaceDE/>
        <w:autoSpaceDN/>
        <w:spacing w:before="60" w:line="240" w:lineRule="atLeast"/>
        <w:ind w:left="992"/>
        <w:rPr>
          <w:rFonts w:cs="Arial"/>
          <w:lang w:val="en-US"/>
        </w:rPr>
      </w:pPr>
      <w:r w:rsidRPr="004F47BB">
        <w:rPr>
          <w:rFonts w:cs="Arial"/>
          <w:lang w:val="en-US"/>
        </w:rPr>
        <w:t>b)</w:t>
      </w:r>
      <w:r w:rsidRPr="004F47BB">
        <w:rPr>
          <w:rFonts w:cs="Arial"/>
          <w:lang w:val="en-US"/>
        </w:rPr>
        <w:tab/>
        <w:t>cranks on cranes, unless intended for ship’s boats.</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b/>
          <w:bCs/>
          <w:lang w:val="en-US"/>
        </w:rPr>
      </w:pPr>
      <w:r w:rsidRPr="004F47BB">
        <w:rPr>
          <w:rFonts w:cs="Arial"/>
          <w:b/>
          <w:bCs/>
          <w:lang w:val="en-US"/>
        </w:rPr>
        <w:t>2.8</w:t>
      </w:r>
      <w:r w:rsidRPr="004F47BB">
        <w:rPr>
          <w:rFonts w:cs="Arial"/>
          <w:b/>
          <w:bCs/>
          <w:lang w:val="en-US"/>
        </w:rPr>
        <w:tab/>
        <w:t>(10) – Ergonomic arrangement</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spacing w:line="240" w:lineRule="atLeast"/>
        <w:ind w:left="567" w:firstLine="0"/>
        <w:rPr>
          <w:snapToGrid w:val="0"/>
          <w:lang w:val="en-US"/>
        </w:rPr>
      </w:pPr>
      <w:r w:rsidRPr="004F47BB">
        <w:rPr>
          <w:snapToGrid w:val="0"/>
          <w:lang w:val="en-US"/>
        </w:rPr>
        <w:t>The provisions are deemed to be fulfilled if:</w:t>
      </w:r>
    </w:p>
    <w:p w:rsidR="004F47BB" w:rsidRPr="004F47BB" w:rsidRDefault="004F47BB" w:rsidP="004F47BB">
      <w:pPr>
        <w:tabs>
          <w:tab w:val="left" w:pos="993"/>
        </w:tabs>
        <w:autoSpaceDE/>
        <w:autoSpaceDN/>
        <w:spacing w:before="60" w:line="240" w:lineRule="atLeast"/>
        <w:ind w:left="993" w:hanging="426"/>
        <w:rPr>
          <w:rFonts w:cs="Arial"/>
          <w:lang w:val="en-US"/>
        </w:rPr>
      </w:pPr>
      <w:r w:rsidRPr="004F47BB">
        <w:rPr>
          <w:rFonts w:cs="Arial"/>
          <w:lang w:val="en-US"/>
        </w:rPr>
        <w:t>a)</w:t>
      </w:r>
      <w:r w:rsidRPr="004F47BB">
        <w:rPr>
          <w:rFonts w:cs="Arial"/>
          <w:lang w:val="en-US"/>
        </w:rPr>
        <w:tab/>
        <w:t>the wheelhouse is arranged in accordance with European Standard EN 1864: 2008; or</w:t>
      </w:r>
    </w:p>
    <w:p w:rsidR="004F47BB" w:rsidRPr="004F47BB" w:rsidRDefault="004F47BB" w:rsidP="004F47BB">
      <w:pPr>
        <w:tabs>
          <w:tab w:val="left" w:pos="993"/>
        </w:tabs>
        <w:autoSpaceDE/>
        <w:autoSpaceDN/>
        <w:spacing w:before="60" w:line="240" w:lineRule="atLeast"/>
        <w:ind w:left="993" w:hanging="426"/>
        <w:rPr>
          <w:rFonts w:cs="Arial"/>
          <w:lang w:val="en-US"/>
        </w:rPr>
      </w:pPr>
      <w:r w:rsidRPr="004F47BB">
        <w:rPr>
          <w:rFonts w:cs="Arial"/>
          <w:lang w:val="en-US"/>
        </w:rPr>
        <w:t>b)</w:t>
      </w:r>
      <w:r w:rsidRPr="004F47BB">
        <w:rPr>
          <w:rFonts w:cs="Arial"/>
          <w:lang w:val="en-US"/>
        </w:rPr>
        <w:tab/>
        <w:t>the wheelhouse is designed for radar navigation by one person; or</w:t>
      </w:r>
    </w:p>
    <w:p w:rsidR="004F47BB" w:rsidRPr="004F47BB" w:rsidRDefault="004F47BB" w:rsidP="004F47BB">
      <w:pPr>
        <w:tabs>
          <w:tab w:val="left" w:pos="993"/>
        </w:tabs>
        <w:autoSpaceDE/>
        <w:autoSpaceDN/>
        <w:spacing w:before="60" w:line="240" w:lineRule="atLeast"/>
        <w:ind w:left="993" w:hanging="426"/>
        <w:rPr>
          <w:rFonts w:cs="Arial"/>
          <w:lang w:val="en-US"/>
        </w:rPr>
      </w:pPr>
      <w:r w:rsidRPr="004F47BB">
        <w:rPr>
          <w:rFonts w:cs="Arial"/>
          <w:lang w:val="en-US"/>
        </w:rPr>
        <w:t>c)</w:t>
      </w:r>
      <w:r w:rsidRPr="004F47BB">
        <w:rPr>
          <w:rFonts w:cs="Arial"/>
          <w:lang w:val="en-US"/>
        </w:rPr>
        <w:tab/>
        <w:t>the wheelhouse meets the following requirements:</w:t>
      </w:r>
    </w:p>
    <w:p w:rsidR="004F47BB" w:rsidRPr="004F47BB" w:rsidRDefault="004F47BB" w:rsidP="004F47BB">
      <w:pPr>
        <w:widowControl w:val="0"/>
        <w:tabs>
          <w:tab w:val="left" w:pos="1418"/>
        </w:tabs>
        <w:overflowPunct w:val="0"/>
        <w:adjustRightInd w:val="0"/>
        <w:spacing w:before="60" w:line="240" w:lineRule="atLeast"/>
        <w:ind w:left="1418"/>
        <w:textAlignment w:val="baseline"/>
        <w:rPr>
          <w:rFonts w:cs="Arial"/>
          <w:snapToGrid w:val="0"/>
          <w:lang w:val="en-US"/>
        </w:rPr>
      </w:pPr>
      <w:r w:rsidRPr="004F47BB">
        <w:rPr>
          <w:rFonts w:cs="Arial"/>
          <w:snapToGrid w:val="0"/>
          <w:lang w:val="en-US"/>
        </w:rPr>
        <w:t>aa)</w:t>
      </w:r>
      <w:r w:rsidRPr="004F47BB">
        <w:rPr>
          <w:rFonts w:cs="Arial"/>
          <w:snapToGrid w:val="0"/>
          <w:lang w:val="en-US"/>
        </w:rPr>
        <w:tab/>
        <w:t>the control units and monitoring instruments are in the forward field of vision and within an arc of not more than 180° (90° to starboard and 90° to port), including the floor and ceiling. They shall be clearly legible and visible from the normal position of the helmsman;</w:t>
      </w:r>
    </w:p>
    <w:p w:rsidR="004F47BB" w:rsidRPr="004F47BB" w:rsidRDefault="004F47BB" w:rsidP="004F47BB">
      <w:pPr>
        <w:widowControl w:val="0"/>
        <w:tabs>
          <w:tab w:val="left" w:pos="1418"/>
        </w:tabs>
        <w:overflowPunct w:val="0"/>
        <w:adjustRightInd w:val="0"/>
        <w:spacing w:line="240" w:lineRule="atLeast"/>
        <w:ind w:left="1418"/>
        <w:textAlignment w:val="baseline"/>
        <w:rPr>
          <w:rFonts w:cs="Arial"/>
          <w:snapToGrid w:val="0"/>
          <w:lang w:val="en-US"/>
        </w:rPr>
      </w:pPr>
      <w:r w:rsidRPr="004F47BB">
        <w:rPr>
          <w:rFonts w:cs="Arial"/>
          <w:snapToGrid w:val="0"/>
          <w:lang w:val="en-US"/>
        </w:rPr>
        <w:br w:type="page"/>
      </w:r>
    </w:p>
    <w:p w:rsidR="004F47BB" w:rsidRPr="004F47BB" w:rsidRDefault="004F47BB" w:rsidP="004F47BB">
      <w:pPr>
        <w:widowControl w:val="0"/>
        <w:tabs>
          <w:tab w:val="left" w:pos="1418"/>
        </w:tabs>
        <w:overflowPunct w:val="0"/>
        <w:adjustRightInd w:val="0"/>
        <w:spacing w:line="240" w:lineRule="atLeast"/>
        <w:ind w:left="1417"/>
        <w:textAlignment w:val="baseline"/>
        <w:rPr>
          <w:rFonts w:cs="Arial"/>
          <w:snapToGrid w:val="0"/>
          <w:lang w:val="en-US"/>
        </w:rPr>
      </w:pPr>
      <w:r w:rsidRPr="004F47BB">
        <w:rPr>
          <w:rFonts w:cs="Arial"/>
          <w:snapToGrid w:val="0"/>
          <w:lang w:val="en-US"/>
        </w:rPr>
        <w:lastRenderedPageBreak/>
        <w:t>bb)</w:t>
      </w:r>
      <w:r w:rsidRPr="004F47BB">
        <w:rPr>
          <w:rFonts w:cs="Arial"/>
          <w:snapToGrid w:val="0"/>
          <w:lang w:val="en-US"/>
        </w:rPr>
        <w:tab/>
        <w:t>the main control units such as the steering wheel or steering lever, the engine controls, the radio controls, and the controls for the acoustic signals and the warning and manoeuvring signals required under national or international navigational authority regulations, as appropriate, shall be arranged in such a way that the distance between the controls on the starboard side and those on the port side is not more than 3 m. The helmsman shall be able to operate the engines without letting go of the controls for the steering system and while still being able to operate the other controls such as the radio system, the controls for the acoustic signals and the warning and manoeuvring signals required under national or international navigational authority regulations, as appropriate;</w:t>
      </w:r>
    </w:p>
    <w:p w:rsidR="004F47BB" w:rsidRPr="004F47BB" w:rsidRDefault="004F47BB" w:rsidP="004F47BB">
      <w:pPr>
        <w:widowControl w:val="0"/>
        <w:tabs>
          <w:tab w:val="left" w:pos="1418"/>
        </w:tabs>
        <w:overflowPunct w:val="0"/>
        <w:adjustRightInd w:val="0"/>
        <w:spacing w:before="60" w:line="240" w:lineRule="atLeast"/>
        <w:ind w:left="1417"/>
        <w:textAlignment w:val="baseline"/>
        <w:rPr>
          <w:rFonts w:cs="Arial"/>
          <w:snapToGrid w:val="0"/>
          <w:lang w:val="en-US"/>
        </w:rPr>
      </w:pPr>
      <w:r w:rsidRPr="004F47BB">
        <w:rPr>
          <w:rFonts w:cs="Arial"/>
          <w:snapToGrid w:val="0"/>
          <w:lang w:val="en-US"/>
        </w:rPr>
        <w:t>cc)</w:t>
      </w:r>
      <w:r w:rsidRPr="004F47BB">
        <w:rPr>
          <w:rFonts w:cs="Arial"/>
          <w:snapToGrid w:val="0"/>
          <w:lang w:val="en-US"/>
        </w:rPr>
        <w:tab/>
        <w:t>the warning and manoeuvring signals required under national or international navigational authority regulations, as appropriate, are operated electrically, pneumatically, hydraulically or mechanically. By way of derogation, it may be operated by means of a tension wire only if safe operation from the steering position is possible in this way.</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b/>
          <w:bCs/>
          <w:lang w:val="en-US"/>
        </w:rPr>
      </w:pPr>
      <w:r w:rsidRPr="004F47BB">
        <w:rPr>
          <w:rFonts w:cs="Arial"/>
          <w:b/>
          <w:bCs/>
          <w:lang w:val="en-US"/>
        </w:rPr>
        <w:t>3.</w:t>
      </w:r>
      <w:r w:rsidRPr="004F47BB">
        <w:rPr>
          <w:rFonts w:cs="Arial"/>
          <w:b/>
          <w:bCs/>
          <w:lang w:val="en-US"/>
        </w:rPr>
        <w:tab/>
        <w:t>Article 31.03 – Standard S2</w:t>
      </w:r>
    </w:p>
    <w:p w:rsidR="004F47BB" w:rsidRPr="004F47BB" w:rsidRDefault="004F47BB" w:rsidP="004F47BB">
      <w:pPr>
        <w:tabs>
          <w:tab w:val="left" w:pos="567"/>
        </w:tabs>
        <w:autoSpaceDE/>
        <w:autoSpaceDN/>
        <w:spacing w:line="240" w:lineRule="atLeast"/>
        <w:ind w:left="567" w:hanging="567"/>
        <w:rPr>
          <w:rFonts w:cs="Arial"/>
          <w:b/>
          <w:bCs/>
          <w:lang w:val="en-US"/>
        </w:rPr>
      </w:pPr>
    </w:p>
    <w:p w:rsidR="004F47BB" w:rsidRPr="004F47BB" w:rsidRDefault="004F47BB" w:rsidP="004F47BB">
      <w:pPr>
        <w:tabs>
          <w:tab w:val="left" w:pos="567"/>
          <w:tab w:val="right" w:pos="9071"/>
        </w:tabs>
        <w:autoSpaceDE/>
        <w:autoSpaceDN/>
        <w:spacing w:line="240" w:lineRule="atLeast"/>
        <w:ind w:left="567" w:hanging="567"/>
        <w:rPr>
          <w:rFonts w:cs="Arial"/>
          <w:b/>
          <w:bCs/>
          <w:lang w:val="en-US"/>
        </w:rPr>
      </w:pPr>
      <w:r w:rsidRPr="004F47BB">
        <w:rPr>
          <w:rFonts w:cs="Arial"/>
          <w:b/>
          <w:bCs/>
          <w:lang w:val="en-US"/>
        </w:rPr>
        <w:t>3.1</w:t>
      </w:r>
      <w:r w:rsidRPr="004F47BB">
        <w:rPr>
          <w:rFonts w:cs="Arial"/>
          <w:b/>
          <w:bCs/>
          <w:lang w:val="en-US"/>
        </w:rPr>
        <w:tab/>
        <w:t>(1) – Motor vessel operating separately</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spacing w:line="240" w:lineRule="atLeast"/>
        <w:ind w:left="567" w:firstLine="0"/>
        <w:rPr>
          <w:snapToGrid w:val="0"/>
          <w:lang w:val="en-US"/>
        </w:rPr>
      </w:pPr>
      <w:r w:rsidRPr="004F47BB">
        <w:rPr>
          <w:snapToGrid w:val="0"/>
          <w:lang w:val="en-US"/>
        </w:rPr>
        <w:t>Motor vessels which according to the inland navigation vessel certificate are also suitable for pushing but which:</w:t>
      </w:r>
    </w:p>
    <w:p w:rsidR="004F47BB" w:rsidRPr="004F47BB" w:rsidRDefault="004F47BB" w:rsidP="004F47BB">
      <w:pPr>
        <w:tabs>
          <w:tab w:val="left" w:pos="993"/>
        </w:tabs>
        <w:autoSpaceDE/>
        <w:autoSpaceDN/>
        <w:spacing w:before="60" w:line="240" w:lineRule="atLeast"/>
        <w:ind w:left="993" w:hanging="426"/>
        <w:rPr>
          <w:rFonts w:cs="Arial"/>
          <w:lang w:val="en-US"/>
        </w:rPr>
      </w:pPr>
      <w:r w:rsidRPr="004F47BB">
        <w:rPr>
          <w:rFonts w:cs="Arial"/>
          <w:lang w:val="en-US"/>
        </w:rPr>
        <w:t>a)</w:t>
      </w:r>
      <w:r w:rsidRPr="004F47BB">
        <w:rPr>
          <w:rFonts w:cs="Arial"/>
          <w:lang w:val="en-US"/>
        </w:rPr>
        <w:tab/>
        <w:t>do not have hydraulically or electrically operated coupling winches; or</w:t>
      </w:r>
    </w:p>
    <w:p w:rsidR="004F47BB" w:rsidRPr="004F47BB" w:rsidRDefault="004F47BB" w:rsidP="004F47BB">
      <w:pPr>
        <w:tabs>
          <w:tab w:val="left" w:pos="993"/>
        </w:tabs>
        <w:autoSpaceDE/>
        <w:autoSpaceDN/>
        <w:spacing w:before="60" w:line="240" w:lineRule="atLeast"/>
        <w:ind w:left="992"/>
        <w:rPr>
          <w:rFonts w:cs="Arial"/>
          <w:lang w:val="en-US"/>
        </w:rPr>
      </w:pPr>
      <w:r w:rsidRPr="004F47BB">
        <w:rPr>
          <w:rFonts w:cs="Arial"/>
          <w:lang w:val="en-US"/>
        </w:rPr>
        <w:t>b)</w:t>
      </w:r>
      <w:r w:rsidRPr="004F47BB">
        <w:rPr>
          <w:rFonts w:cs="Arial"/>
          <w:lang w:val="en-US"/>
        </w:rPr>
        <w:tab/>
        <w:t>whose hydraulically or electrically operated coupling winches do not meet the requirements of (3.3) of this instruction,</w:t>
      </w:r>
    </w:p>
    <w:p w:rsidR="004F47BB" w:rsidRPr="004F47BB" w:rsidRDefault="004F47BB" w:rsidP="004F47BB">
      <w:pPr>
        <w:tabs>
          <w:tab w:val="left" w:pos="567"/>
        </w:tabs>
        <w:autoSpaceDE/>
        <w:autoSpaceDN/>
        <w:spacing w:before="60" w:line="240" w:lineRule="atLeast"/>
        <w:ind w:left="567" w:hanging="567"/>
        <w:rPr>
          <w:rFonts w:cs="Arial"/>
          <w:snapToGrid w:val="0"/>
          <w:szCs w:val="20"/>
          <w:lang w:val="en-US"/>
        </w:rPr>
      </w:pPr>
      <w:r w:rsidRPr="004F47BB">
        <w:rPr>
          <w:rFonts w:cs="Arial"/>
          <w:snapToGrid w:val="0"/>
          <w:szCs w:val="20"/>
          <w:lang w:val="en-US"/>
        </w:rPr>
        <w:tab/>
        <w:t>shall be given the standard S2 as motor vessel operating separately. The entry ‘Standard S2 does not apply to the motor vessel when pushing’ shall be entered under item 47 of the inland navigation vessel certificate.</w:t>
      </w:r>
    </w:p>
    <w:p w:rsidR="004F47BB" w:rsidRPr="004F47BB" w:rsidRDefault="004F47BB" w:rsidP="004F47BB">
      <w:pPr>
        <w:tabs>
          <w:tab w:val="left" w:pos="567"/>
        </w:tabs>
        <w:autoSpaceDE/>
        <w:autoSpaceDN/>
        <w:spacing w:line="240" w:lineRule="atLeast"/>
        <w:ind w:left="567" w:hanging="567"/>
        <w:rPr>
          <w:rFonts w:cs="Arial"/>
          <w:b/>
          <w:bCs/>
          <w:lang w:val="en-US"/>
        </w:rPr>
      </w:pPr>
    </w:p>
    <w:p w:rsidR="004F47BB" w:rsidRPr="004F47BB" w:rsidRDefault="004F47BB" w:rsidP="004F47BB">
      <w:pPr>
        <w:tabs>
          <w:tab w:val="left" w:pos="567"/>
        </w:tabs>
        <w:autoSpaceDE/>
        <w:autoSpaceDN/>
        <w:spacing w:line="240" w:lineRule="atLeast"/>
        <w:ind w:left="567" w:hanging="567"/>
        <w:rPr>
          <w:rFonts w:cs="Arial"/>
          <w:b/>
          <w:bCs/>
          <w:lang w:val="en-US"/>
        </w:rPr>
      </w:pPr>
      <w:r w:rsidRPr="004F47BB">
        <w:rPr>
          <w:rFonts w:cs="Arial"/>
          <w:b/>
          <w:bCs/>
          <w:lang w:val="en-US"/>
        </w:rPr>
        <w:t>3.2</w:t>
      </w:r>
      <w:r w:rsidRPr="004F47BB">
        <w:rPr>
          <w:rFonts w:cs="Arial"/>
          <w:b/>
          <w:bCs/>
          <w:lang w:val="en-US"/>
        </w:rPr>
        <w:tab/>
        <w:t>(3) – Pushed convoys</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after="120" w:line="240" w:lineRule="atLeast"/>
        <w:ind w:left="567" w:hanging="567"/>
        <w:rPr>
          <w:rFonts w:cs="Arial"/>
          <w:snapToGrid w:val="0"/>
          <w:szCs w:val="20"/>
          <w:lang w:val="en-US"/>
        </w:rPr>
      </w:pPr>
      <w:r w:rsidRPr="004F47BB">
        <w:rPr>
          <w:rFonts w:cs="Arial"/>
          <w:snapToGrid w:val="0"/>
          <w:szCs w:val="20"/>
          <w:lang w:val="en-US"/>
        </w:rPr>
        <w:tab/>
        <w:t>Motor vessels which according to their inland navigation vessel certificate are suitable for pushing and are fitted with hydraulically or electrically operated coupling winches that fulfil the requirements of (3.3) of this instruction but which do not have their own bow thruster shall be given the standard S2 as motor vessel pushing a convoy. The entry ‘Standard S2 does not apply to the motor vessel when operating separately’ shall be entered under item 47 of the inland navigation vessel certificate.</w:t>
      </w:r>
    </w:p>
    <w:p w:rsidR="004F47BB" w:rsidRPr="004F47BB" w:rsidRDefault="004F47BB" w:rsidP="004F47BB">
      <w:pPr>
        <w:tabs>
          <w:tab w:val="left" w:pos="567"/>
        </w:tabs>
        <w:autoSpaceDE/>
        <w:autoSpaceDN/>
        <w:spacing w:line="240" w:lineRule="atLeast"/>
        <w:ind w:left="567" w:hanging="567"/>
        <w:rPr>
          <w:rFonts w:cs="Arial"/>
          <w:b/>
          <w:bCs/>
          <w:lang w:val="en-US"/>
        </w:rPr>
      </w:pPr>
    </w:p>
    <w:p w:rsidR="004F47BB" w:rsidRPr="004F47BB" w:rsidRDefault="004F47BB" w:rsidP="004F47BB">
      <w:pPr>
        <w:tabs>
          <w:tab w:val="left" w:pos="567"/>
        </w:tabs>
        <w:autoSpaceDE/>
        <w:autoSpaceDN/>
        <w:spacing w:line="240" w:lineRule="atLeast"/>
        <w:ind w:left="567" w:hanging="567"/>
        <w:rPr>
          <w:rFonts w:cs="Arial"/>
          <w:b/>
          <w:bCs/>
          <w:lang w:val="en-US"/>
        </w:rPr>
      </w:pPr>
      <w:r w:rsidRPr="004F47BB">
        <w:rPr>
          <w:rFonts w:cs="Arial"/>
          <w:b/>
          <w:bCs/>
          <w:lang w:val="en-US"/>
        </w:rPr>
        <w:t>3.3</w:t>
      </w:r>
      <w:r w:rsidRPr="004F47BB">
        <w:rPr>
          <w:rFonts w:cs="Arial"/>
          <w:b/>
          <w:bCs/>
          <w:lang w:val="en-US"/>
        </w:rPr>
        <w:tab/>
        <w:t>(3), first sentence, and (4)(d), first sentence — Special winches or equivalent devices for tensioning the cables (coupling devices)</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ab/>
        <w:t>The coupling devices required are the minimum equipment specified in accordance with Article 21.01(2) which, according to (2.1) and (2.2) of instruction ESI-III-6 (longitudinal connections), serve to take up the coupling forces and which meet the following requirements:</w:t>
      </w:r>
    </w:p>
    <w:p w:rsidR="004F47BB" w:rsidRPr="004F47BB" w:rsidRDefault="004F47BB" w:rsidP="004F47BB">
      <w:pPr>
        <w:tabs>
          <w:tab w:val="left" w:pos="993"/>
        </w:tabs>
        <w:autoSpaceDE/>
        <w:autoSpaceDN/>
        <w:spacing w:before="60" w:line="240" w:lineRule="atLeast"/>
        <w:ind w:left="993" w:hanging="426"/>
        <w:rPr>
          <w:rFonts w:cs="Arial"/>
          <w:lang w:val="en-US"/>
        </w:rPr>
      </w:pPr>
      <w:r w:rsidRPr="004F47BB">
        <w:rPr>
          <w:rFonts w:cs="Arial"/>
          <w:lang w:val="en-US"/>
        </w:rPr>
        <w:t>a)</w:t>
      </w:r>
      <w:r w:rsidRPr="004F47BB">
        <w:rPr>
          <w:rFonts w:cs="Arial"/>
          <w:lang w:val="en-US"/>
        </w:rPr>
        <w:tab/>
        <w:t>the device shall provide the tensioning force required for the coupling only by mechanical means;</w:t>
      </w:r>
    </w:p>
    <w:p w:rsidR="004F47BB" w:rsidRPr="004F47BB" w:rsidRDefault="004F47BB" w:rsidP="004F47BB">
      <w:pPr>
        <w:tabs>
          <w:tab w:val="left" w:pos="993"/>
        </w:tabs>
        <w:autoSpaceDE/>
        <w:autoSpaceDN/>
        <w:spacing w:before="60" w:line="240" w:lineRule="atLeast"/>
        <w:ind w:left="992"/>
        <w:rPr>
          <w:rFonts w:cs="Arial"/>
          <w:lang w:val="en-US"/>
        </w:rPr>
      </w:pPr>
      <w:r w:rsidRPr="004F47BB">
        <w:rPr>
          <w:rFonts w:cs="Arial"/>
          <w:lang w:val="en-US"/>
        </w:rPr>
        <w:t>b)</w:t>
      </w:r>
      <w:r w:rsidRPr="004F47BB">
        <w:rPr>
          <w:rFonts w:cs="Arial"/>
          <w:lang w:val="en-US"/>
        </w:rPr>
        <w:tab/>
        <w:t>the controls for the device shall be located on the device itself. By way of derogation, remote control is permitted provided that:</w:t>
      </w:r>
    </w:p>
    <w:p w:rsidR="004F47BB" w:rsidRPr="004F47BB" w:rsidRDefault="004F47BB" w:rsidP="004F47BB">
      <w:pPr>
        <w:tabs>
          <w:tab w:val="left" w:pos="1418"/>
        </w:tabs>
        <w:autoSpaceDE/>
        <w:autoSpaceDN/>
        <w:spacing w:before="60" w:line="240" w:lineRule="atLeast"/>
        <w:ind w:left="1418"/>
        <w:rPr>
          <w:rFonts w:cs="Arial"/>
          <w:lang w:val="en-US"/>
        </w:rPr>
      </w:pPr>
      <w:r w:rsidRPr="004F47BB">
        <w:rPr>
          <w:rFonts w:cs="Arial"/>
        </w:rPr>
        <w:sym w:font="Symbol" w:char="F0B7"/>
      </w:r>
      <w:r w:rsidRPr="004F47BB">
        <w:rPr>
          <w:rFonts w:cs="Arial"/>
          <w:lang w:val="en-US"/>
        </w:rPr>
        <w:tab/>
        <w:t>the person operating the device has an unobstructed direct view of the device from the control position,</w:t>
      </w:r>
    </w:p>
    <w:p w:rsidR="004F47BB" w:rsidRPr="004F47BB" w:rsidRDefault="004F47BB" w:rsidP="004F47BB">
      <w:pPr>
        <w:tabs>
          <w:tab w:val="left" w:pos="1418"/>
        </w:tabs>
        <w:autoSpaceDE/>
        <w:autoSpaceDN/>
        <w:spacing w:before="60" w:line="240" w:lineRule="atLeast"/>
        <w:ind w:left="1418"/>
        <w:rPr>
          <w:rFonts w:cs="Arial"/>
          <w:lang w:val="en-US"/>
        </w:rPr>
      </w:pPr>
      <w:r w:rsidRPr="004F47BB">
        <w:rPr>
          <w:rFonts w:cs="Arial"/>
          <w:lang w:val="en-US"/>
        </w:rPr>
        <w:br w:type="page"/>
      </w:r>
      <w:r w:rsidRPr="004F47BB">
        <w:rPr>
          <w:rFonts w:cs="Arial"/>
        </w:rPr>
        <w:lastRenderedPageBreak/>
        <w:sym w:font="Symbol" w:char="F0B7"/>
      </w:r>
      <w:r w:rsidRPr="004F47BB">
        <w:rPr>
          <w:rFonts w:cs="Arial"/>
          <w:lang w:val="en-US"/>
        </w:rPr>
        <w:tab/>
        <w:t>there is a device at the control position to prevent unintentional operation,</w:t>
      </w:r>
    </w:p>
    <w:p w:rsidR="004F47BB" w:rsidRPr="004F47BB" w:rsidRDefault="004F47BB" w:rsidP="004F47BB">
      <w:pPr>
        <w:tabs>
          <w:tab w:val="left" w:pos="1418"/>
        </w:tabs>
        <w:autoSpaceDE/>
        <w:autoSpaceDN/>
        <w:spacing w:before="60" w:line="240" w:lineRule="atLeast"/>
        <w:ind w:left="1418"/>
        <w:rPr>
          <w:rFonts w:cs="Arial"/>
          <w:lang w:val="en-US"/>
        </w:rPr>
      </w:pPr>
      <w:r w:rsidRPr="004F47BB">
        <w:rPr>
          <w:rFonts w:cs="Arial"/>
        </w:rPr>
        <w:sym w:font="Symbol" w:char="F0B7"/>
      </w:r>
      <w:r w:rsidRPr="004F47BB">
        <w:rPr>
          <w:rFonts w:cs="Arial"/>
          <w:lang w:val="en-US"/>
        </w:rPr>
        <w:tab/>
        <w:t>the device has an emergency stop;</w:t>
      </w:r>
    </w:p>
    <w:p w:rsidR="004F47BB" w:rsidRPr="004F47BB" w:rsidRDefault="004F47BB" w:rsidP="004F47BB">
      <w:pPr>
        <w:tabs>
          <w:tab w:val="left" w:pos="993"/>
        </w:tabs>
        <w:autoSpaceDE/>
        <w:autoSpaceDN/>
        <w:spacing w:before="60" w:line="240" w:lineRule="atLeast"/>
        <w:ind w:left="992"/>
        <w:rPr>
          <w:rFonts w:cs="Arial"/>
          <w:lang w:val="en-US"/>
        </w:rPr>
      </w:pPr>
      <w:r w:rsidRPr="004F47BB">
        <w:rPr>
          <w:rFonts w:cs="Arial"/>
          <w:lang w:val="en-US"/>
        </w:rPr>
        <w:t>c)</w:t>
      </w:r>
      <w:r w:rsidRPr="004F47BB">
        <w:rPr>
          <w:rFonts w:cs="Arial"/>
          <w:lang w:val="en-US"/>
        </w:rPr>
        <w:tab/>
        <w:t>the device shall have a braking device which acts immediately if the controls are released or the motive force fails;</w:t>
      </w:r>
    </w:p>
    <w:p w:rsidR="004F47BB" w:rsidRPr="004F47BB" w:rsidRDefault="004F47BB" w:rsidP="004F47BB">
      <w:pPr>
        <w:tabs>
          <w:tab w:val="left" w:pos="993"/>
        </w:tabs>
        <w:autoSpaceDE/>
        <w:autoSpaceDN/>
        <w:spacing w:before="60" w:line="240" w:lineRule="atLeast"/>
        <w:ind w:left="992"/>
        <w:rPr>
          <w:rFonts w:cs="Arial"/>
          <w:lang w:val="en-US"/>
        </w:rPr>
      </w:pPr>
      <w:r w:rsidRPr="004F47BB">
        <w:rPr>
          <w:rFonts w:cs="Arial"/>
          <w:lang w:val="en-US"/>
        </w:rPr>
        <w:t>d)</w:t>
      </w:r>
      <w:r w:rsidRPr="004F47BB">
        <w:rPr>
          <w:rFonts w:cs="Arial"/>
          <w:lang w:val="en-US"/>
        </w:rPr>
        <w:tab/>
        <w:t>it shall be possible for the coupling cable to be released manually if the motive force fails.</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b/>
          <w:bCs/>
          <w:lang w:val="en-US"/>
        </w:rPr>
      </w:pPr>
      <w:r w:rsidRPr="004F47BB">
        <w:rPr>
          <w:rFonts w:cs="Arial"/>
          <w:b/>
          <w:bCs/>
          <w:lang w:val="en-US"/>
        </w:rPr>
        <w:t>3.4</w:t>
      </w:r>
      <w:r w:rsidRPr="004F47BB">
        <w:rPr>
          <w:rFonts w:cs="Arial"/>
          <w:b/>
          <w:bCs/>
          <w:lang w:val="en-US"/>
        </w:rPr>
        <w:tab/>
        <w:t>(3), second sentence, and (4)(d), second sentence — Operating the bow thruster</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tabs>
          <w:tab w:val="left" w:pos="567"/>
        </w:tabs>
        <w:autoSpaceDE/>
        <w:autoSpaceDN/>
        <w:spacing w:line="240" w:lineRule="atLeast"/>
        <w:ind w:left="567" w:hanging="567"/>
        <w:rPr>
          <w:rFonts w:cs="Arial"/>
          <w:lang w:val="en-US"/>
        </w:rPr>
      </w:pPr>
      <w:r w:rsidRPr="004F47BB">
        <w:rPr>
          <w:rFonts w:cs="Arial"/>
          <w:lang w:val="en-US"/>
        </w:rPr>
        <w:tab/>
        <w:t>The control for operating the bow thruster shall be permanently installed in the wheelhouse. The requirements of Article 7.04(8) shall be complied with. The electric cabling to operate the bow thruster shall be permanently installed up to the fore section of the pushing motor vessel or the pusher.</w:t>
      </w:r>
    </w:p>
    <w:p w:rsidR="004F47BB" w:rsidRPr="004F47BB" w:rsidRDefault="004F47BB" w:rsidP="004F47BB">
      <w:pPr>
        <w:tabs>
          <w:tab w:val="left" w:pos="567"/>
        </w:tabs>
        <w:autoSpaceDE/>
        <w:autoSpaceDN/>
        <w:spacing w:line="240" w:lineRule="atLeast"/>
        <w:ind w:left="567" w:hanging="567"/>
        <w:rPr>
          <w:rFonts w:cs="Arial"/>
          <w:snapToGrid w:val="0"/>
          <w:szCs w:val="20"/>
          <w:lang w:val="en-US"/>
        </w:rPr>
      </w:pPr>
    </w:p>
    <w:p w:rsidR="004F47BB" w:rsidRPr="004F47BB" w:rsidRDefault="004F47BB" w:rsidP="004F47BB">
      <w:pPr>
        <w:tabs>
          <w:tab w:val="left" w:pos="567"/>
        </w:tabs>
        <w:autoSpaceDE/>
        <w:autoSpaceDN/>
        <w:spacing w:line="240" w:lineRule="atLeast"/>
        <w:ind w:left="567" w:hanging="567"/>
        <w:rPr>
          <w:rFonts w:cs="Arial"/>
          <w:b/>
          <w:bCs/>
          <w:lang w:val="en-US"/>
        </w:rPr>
      </w:pPr>
      <w:r w:rsidRPr="004F47BB">
        <w:rPr>
          <w:rFonts w:cs="Arial"/>
          <w:b/>
          <w:bCs/>
          <w:lang w:val="en-US"/>
        </w:rPr>
        <w:t>3.5</w:t>
      </w:r>
      <w:r w:rsidRPr="004F47BB">
        <w:rPr>
          <w:rFonts w:cs="Arial"/>
          <w:b/>
          <w:bCs/>
          <w:lang w:val="en-US"/>
        </w:rPr>
        <w:tab/>
        <w:t>(4) – Equivalent manoeuvrability</w:t>
      </w:r>
    </w:p>
    <w:p w:rsidR="004F47BB" w:rsidRPr="004F47BB" w:rsidRDefault="004F47BB" w:rsidP="004F47BB">
      <w:pPr>
        <w:tabs>
          <w:tab w:val="left" w:pos="567"/>
        </w:tabs>
        <w:autoSpaceDE/>
        <w:autoSpaceDN/>
        <w:spacing w:line="240" w:lineRule="atLeast"/>
        <w:ind w:left="567" w:hanging="567"/>
        <w:rPr>
          <w:rFonts w:cs="Arial"/>
          <w:lang w:val="en-US"/>
        </w:rPr>
      </w:pPr>
    </w:p>
    <w:p w:rsidR="004F47BB" w:rsidRPr="004F47BB" w:rsidRDefault="004F47BB" w:rsidP="004F47BB">
      <w:pPr>
        <w:autoSpaceDE/>
        <w:autoSpaceDN/>
        <w:spacing w:line="240" w:lineRule="atLeast"/>
        <w:ind w:left="567" w:firstLine="0"/>
        <w:rPr>
          <w:rFonts w:cs="Arial"/>
          <w:lang w:val="en-US"/>
        </w:rPr>
      </w:pPr>
      <w:r w:rsidRPr="004F47BB">
        <w:rPr>
          <w:rFonts w:cs="Arial"/>
          <w:lang w:val="en-US"/>
        </w:rPr>
        <w:t>Equivalent manoeuvrability is ensured by a propulsion system consisting of:</w:t>
      </w:r>
    </w:p>
    <w:p w:rsidR="004F47BB" w:rsidRPr="004F47BB" w:rsidRDefault="004F47BB" w:rsidP="004F47BB">
      <w:pPr>
        <w:tabs>
          <w:tab w:val="left" w:pos="993"/>
        </w:tabs>
        <w:autoSpaceDE/>
        <w:autoSpaceDN/>
        <w:spacing w:before="60" w:line="240" w:lineRule="atLeast"/>
        <w:ind w:left="992"/>
        <w:rPr>
          <w:rFonts w:cs="Arial"/>
          <w:lang w:val="en-US"/>
        </w:rPr>
      </w:pPr>
      <w:r w:rsidRPr="004F47BB">
        <w:rPr>
          <w:rFonts w:cs="Arial"/>
          <w:lang w:val="en-US"/>
        </w:rPr>
        <w:t>a)</w:t>
      </w:r>
      <w:r w:rsidRPr="004F47BB">
        <w:rPr>
          <w:rFonts w:cs="Arial"/>
          <w:lang w:val="en-US"/>
        </w:rPr>
        <w:tab/>
        <w:t>a multi-propeller drive and at least two independent propulsion systems with similar power output;</w:t>
      </w:r>
    </w:p>
    <w:p w:rsidR="004F47BB" w:rsidRPr="004F47BB" w:rsidRDefault="004F47BB" w:rsidP="004F47BB">
      <w:pPr>
        <w:tabs>
          <w:tab w:val="left" w:pos="993"/>
        </w:tabs>
        <w:autoSpaceDE/>
        <w:autoSpaceDN/>
        <w:spacing w:before="60" w:line="240" w:lineRule="atLeast"/>
        <w:ind w:left="992"/>
        <w:rPr>
          <w:rFonts w:cs="Arial"/>
          <w:lang w:val="en-US"/>
        </w:rPr>
      </w:pPr>
      <w:r w:rsidRPr="004F47BB">
        <w:rPr>
          <w:rFonts w:cs="Arial"/>
          <w:lang w:val="en-US"/>
        </w:rPr>
        <w:t>b)</w:t>
      </w:r>
      <w:r w:rsidRPr="004F47BB">
        <w:rPr>
          <w:rFonts w:cs="Arial"/>
          <w:lang w:val="en-US"/>
        </w:rPr>
        <w:tab/>
        <w:t>at least one cycloidal propeller;</w:t>
      </w:r>
    </w:p>
    <w:p w:rsidR="004F47BB" w:rsidRPr="004F47BB" w:rsidRDefault="004F47BB" w:rsidP="004F47BB">
      <w:pPr>
        <w:tabs>
          <w:tab w:val="left" w:pos="993"/>
        </w:tabs>
        <w:autoSpaceDE/>
        <w:autoSpaceDN/>
        <w:spacing w:before="60" w:line="240" w:lineRule="atLeast"/>
        <w:ind w:left="992"/>
        <w:rPr>
          <w:rFonts w:cs="Arial"/>
          <w:lang w:val="en-US"/>
        </w:rPr>
      </w:pPr>
      <w:r w:rsidRPr="004F47BB">
        <w:rPr>
          <w:rFonts w:cs="Arial"/>
          <w:lang w:val="en-US"/>
        </w:rPr>
        <w:t>c)</w:t>
      </w:r>
      <w:r w:rsidRPr="004F47BB">
        <w:rPr>
          <w:rFonts w:cs="Arial"/>
          <w:lang w:val="en-US"/>
        </w:rPr>
        <w:tab/>
        <w:t>at least one rudder propeller; or</w:t>
      </w:r>
    </w:p>
    <w:p w:rsidR="004F47BB" w:rsidRPr="004F47BB" w:rsidRDefault="004F47BB" w:rsidP="004F47BB">
      <w:pPr>
        <w:tabs>
          <w:tab w:val="left" w:pos="993"/>
        </w:tabs>
        <w:autoSpaceDE/>
        <w:autoSpaceDN/>
        <w:spacing w:before="60" w:line="240" w:lineRule="atLeast"/>
        <w:ind w:left="992"/>
        <w:rPr>
          <w:rFonts w:cs="Arial"/>
          <w:lang w:val="en-US"/>
        </w:rPr>
      </w:pPr>
      <w:r w:rsidRPr="004F47BB">
        <w:rPr>
          <w:rFonts w:cs="Arial"/>
          <w:lang w:val="en-US"/>
        </w:rPr>
        <w:t>d)</w:t>
      </w:r>
      <w:r w:rsidRPr="004F47BB">
        <w:rPr>
          <w:rFonts w:cs="Arial"/>
          <w:lang w:val="en-US"/>
        </w:rPr>
        <w:tab/>
        <w:t>at least one 360° water-jet propulsion system.</w:t>
      </w: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ind w:left="0" w:firstLine="0"/>
        <w:jc w:val="left"/>
        <w:textAlignment w:val="baseline"/>
        <w:rPr>
          <w:szCs w:val="20"/>
          <w:lang w:val="en-US"/>
        </w:rPr>
        <w:sectPr w:rsidR="004F47BB" w:rsidRPr="004F47BB" w:rsidSect="00D45887">
          <w:footnotePr>
            <w:numRestart w:val="eachPage"/>
          </w:footnotePr>
          <w:pgSz w:w="11907" w:h="16840" w:code="9"/>
          <w:pgMar w:top="1418" w:right="1418" w:bottom="1418" w:left="1418" w:header="680" w:footer="680" w:gutter="0"/>
          <w:cols w:space="720"/>
          <w:docGrid w:linePitch="326"/>
        </w:sectPr>
      </w:pPr>
    </w:p>
    <w:p w:rsidR="004F47BB" w:rsidRPr="004F47BB" w:rsidRDefault="004F47BB" w:rsidP="00A84512">
      <w:pPr>
        <w:pStyle w:val="ES-Titre1"/>
      </w:pPr>
      <w:bookmarkStart w:id="415" w:name="_Toc491854374"/>
      <w:r w:rsidRPr="004F47BB">
        <w:lastRenderedPageBreak/>
        <w:t>PART IV</w:t>
      </w:r>
      <w:r w:rsidRPr="004F47BB">
        <w:br/>
        <w:t>TRANSITIONAL PROVISIONS</w:t>
      </w:r>
      <w:bookmarkEnd w:id="415"/>
    </w:p>
    <w:p w:rsidR="004F47BB" w:rsidRPr="004F47BB" w:rsidRDefault="004F47BB" w:rsidP="004F47BB">
      <w:pPr>
        <w:tabs>
          <w:tab w:val="left" w:pos="425"/>
        </w:tabs>
        <w:autoSpaceDE/>
        <w:autoSpaceDN/>
        <w:ind w:left="0" w:firstLine="0"/>
        <w:jc w:val="left"/>
        <w:rPr>
          <w:lang w:val="en-US"/>
        </w:rPr>
      </w:pPr>
    </w:p>
    <w:p w:rsidR="004F47BB" w:rsidRPr="004F47BB" w:rsidRDefault="004F47BB" w:rsidP="00A84512">
      <w:pPr>
        <w:pStyle w:val="ES-Titre2ESI"/>
      </w:pPr>
      <w:bookmarkStart w:id="416" w:name="_Toc491854375"/>
      <w:r w:rsidRPr="004F47BB">
        <w:t>ESI-IV-1</w:t>
      </w:r>
      <w:r w:rsidRPr="004F47BB">
        <w:br/>
        <w:t>Application of transitional provisions</w:t>
      </w:r>
      <w:bookmarkEnd w:id="416"/>
    </w:p>
    <w:p w:rsidR="004F47BB" w:rsidRPr="004F47BB" w:rsidRDefault="004F47BB" w:rsidP="004F47BB">
      <w:pPr>
        <w:overflowPunct w:val="0"/>
        <w:adjustRightInd w:val="0"/>
        <w:ind w:left="0" w:firstLine="0"/>
        <w:jc w:val="left"/>
        <w:textAlignment w:val="baseline"/>
        <w:rPr>
          <w:szCs w:val="20"/>
          <w:lang w:val="en-US"/>
        </w:rPr>
      </w:pPr>
    </w:p>
    <w:p w:rsidR="004F47BB" w:rsidRPr="004F47BB" w:rsidRDefault="004F47BB" w:rsidP="004F47BB">
      <w:pPr>
        <w:overflowPunct w:val="0"/>
        <w:adjustRightInd w:val="0"/>
        <w:spacing w:line="240" w:lineRule="atLeast"/>
        <w:ind w:left="0" w:firstLine="0"/>
        <w:jc w:val="center"/>
        <w:rPr>
          <w:rFonts w:cs="Arial"/>
          <w:b/>
          <w:szCs w:val="20"/>
          <w:lang w:val="en-US" w:eastAsia="de-DE"/>
        </w:rPr>
      </w:pPr>
      <w:r w:rsidRPr="004F47BB">
        <w:rPr>
          <w:rFonts w:cs="Arial"/>
          <w:b/>
          <w:szCs w:val="20"/>
          <w:lang w:val="en-US" w:eastAsia="de-DE"/>
        </w:rPr>
        <w:t>(Chapters 19 to 30, Chapter 32 and Chapter 33)</w:t>
      </w:r>
    </w:p>
    <w:p w:rsidR="004F47BB" w:rsidRPr="004F47BB" w:rsidRDefault="004F47BB" w:rsidP="004F47BB">
      <w:pPr>
        <w:tabs>
          <w:tab w:val="left" w:pos="709"/>
        </w:tabs>
        <w:autoSpaceDE/>
        <w:autoSpaceDN/>
        <w:spacing w:line="240" w:lineRule="atLeast"/>
        <w:ind w:left="709" w:hanging="709"/>
        <w:rPr>
          <w:rFonts w:cs="Arial"/>
          <w:b/>
          <w:bCs/>
          <w:szCs w:val="20"/>
          <w:lang w:val="en-US" w:eastAsia="de-DE"/>
        </w:rPr>
      </w:pPr>
    </w:p>
    <w:p w:rsidR="004F47BB" w:rsidRPr="004F47BB" w:rsidRDefault="004F47BB" w:rsidP="004F47BB">
      <w:pPr>
        <w:spacing w:line="240" w:lineRule="atLeast"/>
        <w:ind w:left="567" w:hanging="567"/>
        <w:rPr>
          <w:rFonts w:cs="Arial"/>
          <w:b/>
          <w:color w:val="000000"/>
          <w:szCs w:val="20"/>
          <w:lang w:val="en-US" w:eastAsia="de-DE"/>
        </w:rPr>
      </w:pPr>
      <w:r w:rsidRPr="004F47BB">
        <w:rPr>
          <w:rFonts w:cs="Arial"/>
          <w:b/>
          <w:color w:val="000000"/>
          <w:szCs w:val="20"/>
          <w:lang w:val="en-US" w:eastAsia="de-DE"/>
        </w:rPr>
        <w:t>1.</w:t>
      </w:r>
      <w:r w:rsidRPr="004F47BB">
        <w:rPr>
          <w:rFonts w:cs="Arial"/>
          <w:b/>
          <w:color w:val="000000"/>
          <w:szCs w:val="20"/>
          <w:lang w:val="en-US" w:eastAsia="de-DE"/>
        </w:rPr>
        <w:tab/>
        <w:t>Application of transitional provisions in joining together parts of craft</w:t>
      </w:r>
    </w:p>
    <w:p w:rsidR="004F47BB" w:rsidRPr="004F47BB" w:rsidRDefault="004F47BB" w:rsidP="004F47BB">
      <w:pPr>
        <w:spacing w:line="240" w:lineRule="atLeast"/>
        <w:ind w:left="567" w:hanging="567"/>
        <w:rPr>
          <w:rFonts w:cs="Arial"/>
          <w:b/>
          <w:color w:val="000000"/>
          <w:szCs w:val="20"/>
          <w:lang w:val="en-US" w:eastAsia="de-DE"/>
        </w:rPr>
      </w:pPr>
    </w:p>
    <w:p w:rsidR="004F47BB" w:rsidRPr="004F47BB" w:rsidRDefault="004F47BB" w:rsidP="004F47BB">
      <w:pPr>
        <w:spacing w:line="240" w:lineRule="atLeast"/>
        <w:ind w:left="567" w:hanging="567"/>
        <w:rPr>
          <w:rFonts w:cs="Arial"/>
          <w:b/>
          <w:color w:val="000000"/>
          <w:szCs w:val="20"/>
          <w:lang w:val="en-US" w:eastAsia="de-DE"/>
        </w:rPr>
      </w:pPr>
      <w:r w:rsidRPr="004F47BB">
        <w:rPr>
          <w:rFonts w:cs="Arial"/>
          <w:b/>
          <w:color w:val="000000"/>
          <w:szCs w:val="20"/>
          <w:lang w:val="en-US" w:eastAsia="de-DE"/>
        </w:rPr>
        <w:t>1.1</w:t>
      </w:r>
      <w:r w:rsidRPr="004F47BB">
        <w:rPr>
          <w:rFonts w:cs="Arial"/>
          <w:b/>
          <w:color w:val="000000"/>
          <w:szCs w:val="20"/>
          <w:lang w:val="en-US" w:eastAsia="de-DE"/>
        </w:rPr>
        <w:tab/>
        <w:t>Principles</w:t>
      </w:r>
    </w:p>
    <w:p w:rsidR="004F47BB" w:rsidRPr="004F47BB" w:rsidRDefault="004F47BB" w:rsidP="004F47BB">
      <w:pPr>
        <w:spacing w:line="240" w:lineRule="atLeast"/>
        <w:ind w:left="567" w:hanging="567"/>
        <w:rPr>
          <w:rFonts w:cs="Arial"/>
          <w:b/>
          <w:color w:val="000000"/>
          <w:szCs w:val="20"/>
          <w:lang w:val="en-US" w:eastAsia="de-DE"/>
        </w:rPr>
      </w:pPr>
    </w:p>
    <w:p w:rsidR="004F47BB" w:rsidRPr="004F47BB" w:rsidRDefault="004F47BB" w:rsidP="004F47BB">
      <w:pPr>
        <w:spacing w:line="240" w:lineRule="atLeast"/>
        <w:ind w:left="567" w:firstLine="0"/>
        <w:rPr>
          <w:lang w:val="en-US" w:eastAsia="de-DE"/>
        </w:rPr>
      </w:pPr>
      <w:r w:rsidRPr="004F47BB">
        <w:rPr>
          <w:lang w:val="en-US" w:eastAsia="de-DE"/>
        </w:rPr>
        <w:t>Where parts of different vessels are joined together, status quo protection shall be granted only for the parts which belong to the vessel which retains its inland navigation vessel certificate. Transitional provisions may therefore be invoked only for those parts. Other parts shall be treated as a newly built vessel.</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rFonts w:cs="Arial"/>
          <w:b/>
          <w:color w:val="000000"/>
          <w:szCs w:val="20"/>
          <w:lang w:val="en-US" w:eastAsia="de-DE"/>
        </w:rPr>
      </w:pPr>
      <w:r w:rsidRPr="004F47BB">
        <w:rPr>
          <w:rFonts w:cs="Arial"/>
          <w:b/>
          <w:color w:val="000000"/>
          <w:szCs w:val="20"/>
          <w:lang w:val="en-US" w:eastAsia="de-DE"/>
        </w:rPr>
        <w:t>1.2</w:t>
      </w:r>
      <w:r w:rsidRPr="004F47BB">
        <w:rPr>
          <w:rFonts w:cs="Arial"/>
          <w:b/>
          <w:color w:val="000000"/>
          <w:szCs w:val="20"/>
          <w:lang w:val="en-US" w:eastAsia="de-DE"/>
        </w:rPr>
        <w:tab/>
        <w:t>Application of the transitional provisions in detail</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1.2.1</w:t>
      </w:r>
      <w:r w:rsidRPr="004F47BB">
        <w:rPr>
          <w:lang w:val="en-US" w:eastAsia="de-DE"/>
        </w:rPr>
        <w:tab/>
        <w:t>Where parts of different vessels are joined together, transitional provisions may be invoked only for those parts which belong to the vessel which retains its inland navigation vessel certificate.</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1.2.2</w:t>
      </w:r>
      <w:r w:rsidRPr="004F47BB">
        <w:rPr>
          <w:lang w:val="en-US" w:eastAsia="de-DE"/>
        </w:rPr>
        <w:tab/>
        <w:t>Parts which do not belong to the vessel which retains its vessel certificate shall be treated as a newly built craft.</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1.2.3</w:t>
      </w:r>
      <w:r w:rsidRPr="004F47BB">
        <w:rPr>
          <w:lang w:val="en-US" w:eastAsia="de-DE"/>
        </w:rPr>
        <w:tab/>
        <w:t>After a vessel has had part of another vessel added to it, the former shall receive the ENI number of the craft, which retains its inland navigation vessel certificate as the converted craft.</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1.2.4</w:t>
      </w:r>
      <w:r w:rsidRPr="004F47BB">
        <w:rPr>
          <w:lang w:val="en-US" w:eastAsia="de-DE"/>
        </w:rPr>
        <w:tab/>
        <w:t>Where an existing inland navigation vessel certificate is retained or a new inland navigation vessel certificate is issued for a craft after a conversion, the year of construction of the oldest part of the craft shall additionally be entered in the inland navigation vessel certificate.</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1.2.5</w:t>
      </w:r>
      <w:r w:rsidRPr="004F47BB">
        <w:rPr>
          <w:lang w:val="en-US" w:eastAsia="de-DE"/>
        </w:rPr>
        <w:tab/>
        <w:t>If a new fore section is attached to a craft, the engine for the bow thruster system installed in the fore section shall also comply with the current requirements.</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1.2.6</w:t>
      </w:r>
      <w:r w:rsidRPr="004F47BB">
        <w:rPr>
          <w:lang w:val="en-US" w:eastAsia="de-DE"/>
        </w:rPr>
        <w:tab/>
        <w:t>If a new stern section is attached to a vessel, the engines installed in the stern section shall also comply with the current requirements.</w:t>
      </w:r>
    </w:p>
    <w:p w:rsidR="004F47BB" w:rsidRPr="004F47BB" w:rsidRDefault="004F47BB" w:rsidP="004F47BB">
      <w:pPr>
        <w:spacing w:line="240" w:lineRule="atLeast"/>
        <w:ind w:left="567" w:hanging="567"/>
        <w:rPr>
          <w:b/>
          <w:bCs/>
          <w:lang w:val="en-US" w:eastAsia="de-DE"/>
        </w:rPr>
      </w:pPr>
    </w:p>
    <w:p w:rsidR="004F47BB" w:rsidRPr="004F47BB" w:rsidRDefault="004F47BB" w:rsidP="004F47BB">
      <w:pPr>
        <w:spacing w:line="240" w:lineRule="atLeast"/>
        <w:ind w:left="567" w:hanging="567"/>
        <w:rPr>
          <w:rFonts w:cs="Arial"/>
          <w:b/>
          <w:color w:val="000000"/>
          <w:szCs w:val="20"/>
          <w:lang w:val="en-US" w:eastAsia="de-DE"/>
        </w:rPr>
      </w:pPr>
      <w:r w:rsidRPr="004F47BB">
        <w:rPr>
          <w:rFonts w:cs="Arial"/>
          <w:b/>
          <w:color w:val="000000"/>
          <w:szCs w:val="20"/>
          <w:lang w:val="en-US" w:eastAsia="de-DE"/>
        </w:rPr>
        <w:t>1.3</w:t>
      </w:r>
      <w:r w:rsidRPr="004F47BB">
        <w:rPr>
          <w:rFonts w:cs="Arial"/>
          <w:b/>
          <w:color w:val="000000"/>
          <w:szCs w:val="20"/>
          <w:lang w:val="en-US" w:eastAsia="de-DE"/>
        </w:rPr>
        <w:tab/>
        <w:t xml:space="preserve">Examples </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1.3.1</w:t>
      </w:r>
      <w:r w:rsidRPr="004F47BB">
        <w:rPr>
          <w:lang w:val="en-US" w:eastAsia="de-DE"/>
        </w:rPr>
        <w:tab/>
        <w:t>A vessel is put together from two older vessels (vessel 1 year of construction 1968; vessel 2 year of construction 1972). The whole of vessel 1 apart from the fore section is used; of vessel 2, the fore section is used. The assembled vessel receives vessel 1's inland navigation vessel certificate. The fore section of the assembled vessel must now be fitted inter alia with anchor niches.</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br w:type="page"/>
      </w:r>
    </w:p>
    <w:p w:rsidR="004F47BB" w:rsidRPr="004F47BB" w:rsidRDefault="004F47BB" w:rsidP="004F47BB">
      <w:pPr>
        <w:spacing w:line="240" w:lineRule="atLeast"/>
        <w:ind w:left="567" w:hanging="567"/>
        <w:rPr>
          <w:lang w:val="en-US" w:eastAsia="de-DE"/>
        </w:rPr>
      </w:pPr>
      <w:r w:rsidRPr="004F47BB">
        <w:rPr>
          <w:lang w:val="en-US" w:eastAsia="de-DE"/>
        </w:rPr>
        <w:lastRenderedPageBreak/>
        <w:t>1.3.2</w:t>
      </w:r>
      <w:r w:rsidRPr="004F47BB">
        <w:rPr>
          <w:lang w:val="en-US" w:eastAsia="de-DE"/>
        </w:rPr>
        <w:tab/>
        <w:t>A vessel is put together from two older vessels (vessel 1 year of construction 1975; vessel 2 year of construction 1958, oldest component 1952). The whole of vessel 1 apart from the fore section is used; of vessel 2, the fore section is used. The assembled vessel receives vessel 1's inland navigation vessel certificate. The fore section of the assembled vessel must now be fitted inter alia with anchor niches. The oldest component from the original vessel 2, with year of construction 1952, is additionally entered in the inland navigation vessel certificate.</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b/>
          <w:bCs/>
          <w:lang w:val="en-US" w:eastAsia="de-DE"/>
        </w:rPr>
      </w:pPr>
      <w:r w:rsidRPr="004F47BB">
        <w:rPr>
          <w:lang w:val="en-US" w:eastAsia="de-DE"/>
        </w:rPr>
        <w:t>1.3.3</w:t>
      </w:r>
      <w:r w:rsidRPr="004F47BB">
        <w:rPr>
          <w:lang w:val="en-US" w:eastAsia="de-DE"/>
        </w:rPr>
        <w:tab/>
        <w:t>The stern section of a vessel of year of construction 2001 is attached to a vessel of year of construction 1988. The engine of the vessel of year of construction 1988 is to remain in the vessel. In this case, the engine has to be type approved. The engine would also have to be type approved if it was the engine in the 2001 stern section.</w:t>
      </w:r>
    </w:p>
    <w:p w:rsidR="004F47BB" w:rsidRPr="004F47BB" w:rsidRDefault="004F47BB" w:rsidP="004F47BB">
      <w:pPr>
        <w:spacing w:line="240" w:lineRule="atLeast"/>
        <w:ind w:left="567" w:hanging="567"/>
        <w:rPr>
          <w:b/>
          <w:bCs/>
          <w:lang w:val="en-US" w:eastAsia="de-DE"/>
        </w:rPr>
      </w:pPr>
    </w:p>
    <w:p w:rsidR="004F47BB" w:rsidRPr="004F47BB" w:rsidRDefault="004F47BB" w:rsidP="004F47BB">
      <w:pPr>
        <w:spacing w:line="240" w:lineRule="atLeast"/>
        <w:ind w:left="567" w:hanging="567"/>
        <w:rPr>
          <w:rFonts w:cs="Arial"/>
          <w:b/>
          <w:color w:val="000000"/>
          <w:szCs w:val="20"/>
          <w:lang w:val="en-US" w:eastAsia="de-DE"/>
        </w:rPr>
      </w:pPr>
      <w:r w:rsidRPr="004F47BB">
        <w:rPr>
          <w:rFonts w:cs="Arial"/>
          <w:b/>
          <w:color w:val="000000"/>
          <w:szCs w:val="20"/>
          <w:lang w:val="en-US" w:eastAsia="de-DE"/>
        </w:rPr>
        <w:t>2.</w:t>
      </w:r>
      <w:r w:rsidRPr="004F47BB">
        <w:rPr>
          <w:rFonts w:cs="Arial"/>
          <w:b/>
          <w:color w:val="000000"/>
          <w:szCs w:val="20"/>
          <w:lang w:val="en-US" w:eastAsia="de-DE"/>
        </w:rPr>
        <w:tab/>
        <w:t>Application of transitional provisions in the case of a change in the type of craft (intended use of the craft)</w:t>
      </w:r>
    </w:p>
    <w:p w:rsidR="004F47BB" w:rsidRPr="004F47BB" w:rsidRDefault="004F47BB" w:rsidP="004F47BB">
      <w:pPr>
        <w:spacing w:line="240" w:lineRule="atLeast"/>
        <w:ind w:left="567" w:hanging="567"/>
        <w:rPr>
          <w:rFonts w:cs="Arial"/>
          <w:b/>
          <w:color w:val="000000"/>
          <w:szCs w:val="20"/>
          <w:lang w:val="en-US" w:eastAsia="de-DE"/>
        </w:rPr>
      </w:pPr>
    </w:p>
    <w:p w:rsidR="004F47BB" w:rsidRPr="004F47BB" w:rsidRDefault="004F47BB" w:rsidP="004F47BB">
      <w:pPr>
        <w:spacing w:line="240" w:lineRule="atLeast"/>
        <w:ind w:left="567" w:hanging="567"/>
        <w:rPr>
          <w:rFonts w:cs="Arial"/>
          <w:b/>
          <w:color w:val="000000"/>
          <w:szCs w:val="20"/>
          <w:lang w:val="en-US" w:eastAsia="de-DE"/>
        </w:rPr>
      </w:pPr>
      <w:r w:rsidRPr="004F47BB">
        <w:rPr>
          <w:rFonts w:cs="Arial"/>
          <w:b/>
          <w:color w:val="000000"/>
          <w:szCs w:val="20"/>
          <w:lang w:val="en-US" w:eastAsia="de-DE"/>
        </w:rPr>
        <w:t>2.1</w:t>
      </w:r>
      <w:r w:rsidRPr="004F47BB">
        <w:rPr>
          <w:rFonts w:cs="Arial"/>
          <w:b/>
          <w:color w:val="000000"/>
          <w:szCs w:val="20"/>
          <w:lang w:val="en-US" w:eastAsia="de-DE"/>
        </w:rPr>
        <w:tab/>
        <w:t>Principles</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2.1.1</w:t>
      </w:r>
      <w:r w:rsidRPr="004F47BB">
        <w:rPr>
          <w:lang w:val="en-US" w:eastAsia="de-DE"/>
        </w:rPr>
        <w:tab/>
      </w:r>
      <w:r w:rsidRPr="004F47BB">
        <w:rPr>
          <w:color w:val="000000"/>
          <w:lang w:val="en-US" w:eastAsia="de-DE"/>
        </w:rPr>
        <w:t>In any decision on the application of transitional provisions in the case of change of the type of craft (vessel type; intended use of the vessel), as regards to this Standard safety considerations shall be key.</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2.1.2</w:t>
      </w:r>
      <w:r w:rsidRPr="004F47BB">
        <w:rPr>
          <w:lang w:val="en-US" w:eastAsia="de-DE"/>
        </w:rPr>
        <w:tab/>
        <w:t>It shall constitute a change in the type of craft if the safety requirements applying to the new type of craft are different from those for the old type; this is so if special provisions of Chapters 19 to 30 of this Standard are applicable to the new type which were not applicable to the old type.</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2.1.3</w:t>
      </w:r>
      <w:r w:rsidRPr="004F47BB">
        <w:rPr>
          <w:lang w:val="en-US" w:eastAsia="de-DE"/>
        </w:rPr>
        <w:tab/>
        <w:t>In the case of a change in the type of craft, all special provisions and all requirements specific to this type of craft shall be complied with fully; transitional provisions may not be invoked for these requirements. This also applies to parts which are taken over from the existing craft and come under these special requirements.</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2.1.4</w:t>
      </w:r>
      <w:r w:rsidRPr="004F47BB">
        <w:rPr>
          <w:lang w:val="en-US" w:eastAsia="de-DE"/>
        </w:rPr>
        <w:tab/>
        <w:t>The conversion of a tanker into a dry cargo vessel shall not constitute a change in the type of craft as defined in 2.1.2.</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2.1.5</w:t>
      </w:r>
      <w:r w:rsidRPr="004F47BB">
        <w:rPr>
          <w:lang w:val="en-US" w:eastAsia="de-DE"/>
        </w:rPr>
        <w:tab/>
        <w:t>In the case of conversion of a cabin vessel into a day-trip vessel, all new parts shall comply fully with the current requirements.</w:t>
      </w:r>
    </w:p>
    <w:p w:rsidR="004F47BB" w:rsidRPr="004F47BB" w:rsidRDefault="004F47BB" w:rsidP="004F47BB">
      <w:pPr>
        <w:spacing w:line="240" w:lineRule="atLeast"/>
        <w:ind w:left="567" w:hanging="567"/>
        <w:rPr>
          <w:b/>
          <w:bCs/>
          <w:lang w:val="en-US" w:eastAsia="de-DE"/>
        </w:rPr>
      </w:pPr>
    </w:p>
    <w:p w:rsidR="004F47BB" w:rsidRPr="004F47BB" w:rsidRDefault="004F47BB" w:rsidP="004F47BB">
      <w:pPr>
        <w:spacing w:line="240" w:lineRule="atLeast"/>
        <w:ind w:left="567" w:hanging="567"/>
        <w:rPr>
          <w:rFonts w:cs="Arial"/>
          <w:b/>
          <w:color w:val="000000"/>
          <w:szCs w:val="20"/>
          <w:lang w:val="en-US" w:eastAsia="de-DE"/>
        </w:rPr>
      </w:pPr>
      <w:r w:rsidRPr="004F47BB">
        <w:rPr>
          <w:rFonts w:cs="Arial"/>
          <w:b/>
          <w:color w:val="000000"/>
          <w:szCs w:val="20"/>
          <w:lang w:val="en-US" w:eastAsia="de-DE"/>
        </w:rPr>
        <w:t>2.2</w:t>
      </w:r>
      <w:r w:rsidRPr="004F47BB">
        <w:rPr>
          <w:rFonts w:cs="Arial"/>
          <w:b/>
          <w:color w:val="000000"/>
          <w:szCs w:val="20"/>
          <w:lang w:val="en-US" w:eastAsia="de-DE"/>
        </w:rPr>
        <w:tab/>
        <w:t>Application of the transitional provisions in detail</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eastAsia="de-DE"/>
        </w:rPr>
        <w:t>2.2.1</w:t>
      </w:r>
      <w:r w:rsidRPr="004F47BB">
        <w:rPr>
          <w:lang w:eastAsia="de-DE"/>
        </w:rPr>
        <w:tab/>
        <w:t xml:space="preserve">Article 32.02(2) (N.R.C.), resp. </w:t>
      </w:r>
      <w:r w:rsidRPr="004F47BB">
        <w:rPr>
          <w:lang w:val="en-US" w:eastAsia="de-DE"/>
        </w:rPr>
        <w:t>Article 33.02(2) applies to the parts of the craft that are renewed; hence new parts of the craft cannot be subject to the transitional provisions.</w:t>
      </w:r>
    </w:p>
    <w:p w:rsidR="004F47BB" w:rsidRPr="004F47BB" w:rsidRDefault="004F47BB" w:rsidP="004F47BB">
      <w:pPr>
        <w:spacing w:line="240" w:lineRule="atLeast"/>
        <w:ind w:left="567" w:hanging="567"/>
        <w:rPr>
          <w:color w:val="000000"/>
          <w:lang w:val="en-US" w:eastAsia="de-DE"/>
        </w:rPr>
      </w:pPr>
    </w:p>
    <w:p w:rsidR="004F47BB" w:rsidRPr="004F47BB" w:rsidRDefault="004F47BB" w:rsidP="004F47BB">
      <w:pPr>
        <w:spacing w:line="240" w:lineRule="atLeast"/>
        <w:ind w:left="567" w:hanging="567"/>
        <w:rPr>
          <w:color w:val="000000"/>
          <w:lang w:val="en-US" w:eastAsia="de-DE"/>
        </w:rPr>
      </w:pPr>
      <w:r w:rsidRPr="004F47BB">
        <w:rPr>
          <w:color w:val="000000"/>
          <w:lang w:val="en-US" w:eastAsia="de-DE"/>
        </w:rPr>
        <w:t>2.2.2</w:t>
      </w:r>
      <w:r w:rsidRPr="004F47BB">
        <w:rPr>
          <w:color w:val="000000"/>
          <w:lang w:val="en-US" w:eastAsia="de-DE"/>
        </w:rPr>
        <w:tab/>
        <w:t>For the parts of the craft that are not converted, the transitional provisions shall continue to be applicable with the exception of parts according to 2.1.3, second sentence.</w:t>
      </w:r>
    </w:p>
    <w:p w:rsidR="004F47BB" w:rsidRPr="004F47BB" w:rsidRDefault="004F47BB" w:rsidP="004F47BB">
      <w:pPr>
        <w:spacing w:line="240" w:lineRule="atLeast"/>
        <w:ind w:left="567" w:hanging="567"/>
        <w:rPr>
          <w:color w:val="000000"/>
          <w:lang w:val="en-US" w:eastAsia="de-DE"/>
        </w:rPr>
      </w:pPr>
    </w:p>
    <w:p w:rsidR="004F47BB" w:rsidRPr="004F47BB" w:rsidRDefault="004F47BB" w:rsidP="004F47BB">
      <w:pPr>
        <w:spacing w:line="240" w:lineRule="atLeast"/>
        <w:ind w:left="567" w:hanging="567"/>
        <w:rPr>
          <w:color w:val="000000"/>
          <w:lang w:val="en-US" w:eastAsia="de-DE"/>
        </w:rPr>
      </w:pPr>
      <w:r w:rsidRPr="004F47BB">
        <w:rPr>
          <w:color w:val="000000"/>
          <w:lang w:val="en-US" w:eastAsia="de-DE"/>
        </w:rPr>
        <w:t>2.2.3</w:t>
      </w:r>
      <w:r w:rsidRPr="004F47BB">
        <w:rPr>
          <w:color w:val="000000"/>
          <w:lang w:val="en-US" w:eastAsia="de-DE"/>
        </w:rPr>
        <w:tab/>
        <w:t>If the dimensions of the craft are modified, the transitional provisions no longer apply to those parts of the craft that are connected with this modification (e.g. distance of collision bulkhead, freeboard and anchor).</w:t>
      </w:r>
    </w:p>
    <w:p w:rsidR="004F47BB" w:rsidRPr="004F47BB" w:rsidRDefault="004F47BB" w:rsidP="004F47BB">
      <w:pPr>
        <w:spacing w:line="240" w:lineRule="atLeast"/>
        <w:ind w:left="567" w:hanging="567"/>
        <w:rPr>
          <w:color w:val="000000"/>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br w:type="page"/>
      </w:r>
    </w:p>
    <w:p w:rsidR="004F47BB" w:rsidRPr="004F47BB" w:rsidRDefault="004F47BB" w:rsidP="004F47BB">
      <w:pPr>
        <w:spacing w:line="240" w:lineRule="atLeast"/>
        <w:ind w:left="567" w:hanging="567"/>
        <w:rPr>
          <w:lang w:val="en-US" w:eastAsia="de-DE"/>
        </w:rPr>
      </w:pPr>
      <w:r w:rsidRPr="004F47BB">
        <w:rPr>
          <w:lang w:val="en-US" w:eastAsia="de-DE"/>
        </w:rPr>
        <w:lastRenderedPageBreak/>
        <w:t>2.2.4</w:t>
      </w:r>
      <w:r w:rsidRPr="004F47BB">
        <w:rPr>
          <w:lang w:val="en-US" w:eastAsia="de-DE"/>
        </w:rPr>
        <w:tab/>
        <w:t>In the case of a change in the type of craft, the special requirements that only apply to the new type of craft shall be applicable. All parts and items of equipment that are affected by the conversion of the craft must satisfy the current requirements Part II and III of this Standard.</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2.2.5</w:t>
      </w:r>
      <w:r w:rsidRPr="004F47BB">
        <w:rPr>
          <w:lang w:val="en-US" w:eastAsia="de-DE"/>
        </w:rPr>
        <w:tab/>
        <w:t>The craft shall then be granted a new or amended inland navigation vessel certificate and a note shall be made in fields 7 and 8 of the certificate both of the original construction and of the conversion.</w:t>
      </w:r>
    </w:p>
    <w:p w:rsidR="004F47BB" w:rsidRPr="004F47BB" w:rsidRDefault="004F47BB" w:rsidP="004F47BB">
      <w:pPr>
        <w:spacing w:line="240" w:lineRule="atLeast"/>
        <w:ind w:left="567" w:hanging="567"/>
        <w:rPr>
          <w:b/>
          <w:bCs/>
          <w:lang w:val="en-US" w:eastAsia="de-DE"/>
        </w:rPr>
      </w:pPr>
    </w:p>
    <w:p w:rsidR="004F47BB" w:rsidRPr="004F47BB" w:rsidRDefault="004F47BB" w:rsidP="004F47BB">
      <w:pPr>
        <w:spacing w:line="240" w:lineRule="atLeast"/>
        <w:ind w:left="567" w:hanging="567"/>
        <w:rPr>
          <w:rFonts w:cs="Arial"/>
          <w:b/>
          <w:color w:val="000000"/>
          <w:szCs w:val="20"/>
          <w:lang w:val="en-US" w:eastAsia="de-DE"/>
        </w:rPr>
      </w:pPr>
      <w:r w:rsidRPr="004F47BB">
        <w:rPr>
          <w:rFonts w:cs="Arial"/>
          <w:b/>
          <w:color w:val="000000"/>
          <w:szCs w:val="20"/>
          <w:lang w:val="en-US" w:eastAsia="de-DE"/>
        </w:rPr>
        <w:t>2.3</w:t>
      </w:r>
      <w:r w:rsidRPr="004F47BB">
        <w:rPr>
          <w:rFonts w:cs="Arial"/>
          <w:b/>
          <w:color w:val="000000"/>
          <w:szCs w:val="20"/>
          <w:lang w:val="en-US" w:eastAsia="de-DE"/>
        </w:rPr>
        <w:tab/>
        <w:t xml:space="preserve">Examples </w:t>
      </w:r>
    </w:p>
    <w:p w:rsidR="004F47BB" w:rsidRPr="004F47BB" w:rsidRDefault="004F47BB" w:rsidP="004F47BB">
      <w:pPr>
        <w:tabs>
          <w:tab w:val="left" w:pos="1134"/>
        </w:tabs>
        <w:autoSpaceDE/>
        <w:autoSpaceDN/>
        <w:spacing w:line="240" w:lineRule="atLeast"/>
        <w:ind w:left="1134" w:hanging="709"/>
        <w:rPr>
          <w:rFonts w:cs="Arial"/>
          <w:szCs w:val="20"/>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2.3.1</w:t>
      </w:r>
      <w:r w:rsidRPr="004F47BB">
        <w:rPr>
          <w:lang w:val="en-US" w:eastAsia="de-DE"/>
        </w:rPr>
        <w:tab/>
        <w:t>A cargo vessel (year of construction 1996) is converted into a passenger vessel. Chapter 19 of this Standard then applies to the whole vessel, without invoking transitional provisions. If the fore section is not modified either according to the conversion plans or in accordance with Chapter 19, the vessel does not need to present any anchor niches in accordance with Article 3.03.</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2.3.2</w:t>
      </w:r>
      <w:r w:rsidRPr="004F47BB">
        <w:rPr>
          <w:lang w:val="en-US" w:eastAsia="de-DE"/>
        </w:rPr>
        <w:tab/>
        <w:t>A tug (year of construction 1970) is converted into a pusher. The physical conversion consists solely of changing the deck equipment and installing a pushing device. All transitional provisions for a 1970 vessel remain applicable, except for the Chapters 5, 7 (in part), Article 13.01 and Article 21.01.</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2.3.3</w:t>
      </w:r>
      <w:r w:rsidRPr="004F47BB">
        <w:rPr>
          <w:lang w:val="en-US" w:eastAsia="de-DE"/>
        </w:rPr>
        <w:tab/>
        <w:t>A motor tanker (year of construction 1970) is converted into a pusher. The physical conversion consists of separating off the fore section and the cargo section, as well as changing the deck equipment and installing a pushing device. All transitional provisions for a 1970 vessel remain applicable, except for the provisions of Chapters 5, 7 (in part), Article 13.01 and Article 21.01.</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2.3.4</w:t>
      </w:r>
      <w:r w:rsidRPr="004F47BB">
        <w:rPr>
          <w:lang w:val="en-US" w:eastAsia="de-DE"/>
        </w:rPr>
        <w:tab/>
        <w:t>A motor tanker is converted into a motor cargo vessel. The motor cargo vessel must comply with current workplace safety requirements, particularly those referred to in Article 14.04 of Chapter 14 of this Standard.</w:t>
      </w:r>
    </w:p>
    <w:p w:rsidR="004F47BB" w:rsidRPr="004F47BB" w:rsidRDefault="004F47BB" w:rsidP="004F47BB">
      <w:pPr>
        <w:spacing w:line="240" w:lineRule="atLeast"/>
        <w:ind w:left="567" w:hanging="567"/>
        <w:rPr>
          <w:rFonts w:cs="Arial"/>
          <w:b/>
          <w:color w:val="000000"/>
          <w:szCs w:val="20"/>
          <w:lang w:val="en-US" w:eastAsia="de-DE"/>
        </w:rPr>
      </w:pPr>
    </w:p>
    <w:p w:rsidR="004F47BB" w:rsidRPr="004F47BB" w:rsidRDefault="004F47BB" w:rsidP="004F47BB">
      <w:pPr>
        <w:spacing w:line="240" w:lineRule="atLeast"/>
        <w:ind w:left="567" w:hanging="567"/>
        <w:rPr>
          <w:rFonts w:cs="Arial"/>
          <w:b/>
          <w:color w:val="000000"/>
          <w:szCs w:val="20"/>
          <w:lang w:val="en-US" w:eastAsia="de-DE"/>
        </w:rPr>
      </w:pPr>
      <w:r w:rsidRPr="004F47BB">
        <w:rPr>
          <w:rFonts w:cs="Arial"/>
          <w:b/>
          <w:color w:val="000000"/>
          <w:szCs w:val="20"/>
          <w:lang w:val="en-US" w:eastAsia="de-DE"/>
        </w:rPr>
        <w:t>3.</w:t>
      </w:r>
      <w:r w:rsidRPr="004F47BB">
        <w:rPr>
          <w:rFonts w:cs="Arial"/>
          <w:b/>
          <w:color w:val="000000"/>
          <w:szCs w:val="20"/>
          <w:lang w:val="en-US" w:eastAsia="de-DE"/>
        </w:rPr>
        <w:tab/>
        <w:t>Application of transitional provisions in the case of conversion of passenger vessels</w:t>
      </w:r>
    </w:p>
    <w:p w:rsidR="004F47BB" w:rsidRPr="004F47BB" w:rsidRDefault="004F47BB" w:rsidP="004F47BB">
      <w:pPr>
        <w:spacing w:line="240" w:lineRule="atLeast"/>
        <w:ind w:left="567" w:hanging="567"/>
        <w:rPr>
          <w:rFonts w:cs="Arial"/>
          <w:b/>
          <w:color w:val="000000"/>
          <w:szCs w:val="20"/>
          <w:lang w:val="en-US" w:eastAsia="de-DE"/>
        </w:rPr>
      </w:pPr>
    </w:p>
    <w:p w:rsidR="004F47BB" w:rsidRPr="004F47BB" w:rsidRDefault="004F47BB" w:rsidP="004F47BB">
      <w:pPr>
        <w:spacing w:line="240" w:lineRule="atLeast"/>
        <w:ind w:left="567" w:hanging="567"/>
        <w:rPr>
          <w:rFonts w:cs="Arial"/>
          <w:b/>
          <w:color w:val="000000"/>
          <w:szCs w:val="20"/>
          <w:lang w:val="en-US" w:eastAsia="de-DE"/>
        </w:rPr>
      </w:pPr>
      <w:r w:rsidRPr="004F47BB">
        <w:rPr>
          <w:rFonts w:cs="Arial"/>
          <w:b/>
          <w:color w:val="000000"/>
          <w:szCs w:val="20"/>
          <w:lang w:val="en-US" w:eastAsia="de-DE"/>
        </w:rPr>
        <w:t>3.1</w:t>
      </w:r>
      <w:r w:rsidRPr="004F47BB">
        <w:rPr>
          <w:rFonts w:cs="Arial"/>
          <w:b/>
          <w:color w:val="000000"/>
          <w:szCs w:val="20"/>
          <w:lang w:val="en-US" w:eastAsia="de-DE"/>
        </w:rPr>
        <w:tab/>
        <w:t>Application of the transitional provisions</w:t>
      </w:r>
    </w:p>
    <w:p w:rsidR="004F47BB" w:rsidRPr="004F47BB" w:rsidRDefault="004F47BB" w:rsidP="004F47BB">
      <w:pPr>
        <w:tabs>
          <w:tab w:val="left" w:pos="1134"/>
        </w:tabs>
        <w:autoSpaceDE/>
        <w:autoSpaceDN/>
        <w:spacing w:line="240" w:lineRule="atLeast"/>
        <w:ind w:left="1134" w:hanging="709"/>
        <w:rPr>
          <w:rFonts w:cs="Arial"/>
          <w:color w:val="000000"/>
          <w:szCs w:val="20"/>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3.1.1</w:t>
      </w:r>
      <w:r w:rsidRPr="004F47BB">
        <w:rPr>
          <w:lang w:val="en-US" w:eastAsia="de-DE"/>
        </w:rPr>
        <w:tab/>
        <w:t>Conversion measures that are necessary in order to comply with requirements of Chapter 19, no matter when they are carried out, shall not constitute conversion 'C' within the meaning of Article 32.02(2), Article 32.03(1) or Article 32.05(5), resp. Article 33.02 and Article 33.03, of this Standard.</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3.1.2</w:t>
      </w:r>
      <w:r w:rsidRPr="004F47BB">
        <w:rPr>
          <w:lang w:val="en-US" w:eastAsia="de-DE"/>
        </w:rPr>
        <w:tab/>
        <w:t>In the case of conversion of a cabin vessel into a day-trip vessel, all new parts shall comply fully with the current requirements.</w:t>
      </w:r>
    </w:p>
    <w:p w:rsidR="004F47BB" w:rsidRPr="004F47BB" w:rsidRDefault="004F47BB" w:rsidP="004F47BB">
      <w:pPr>
        <w:spacing w:line="240" w:lineRule="atLeast"/>
        <w:ind w:left="567" w:hanging="567"/>
        <w:rPr>
          <w:rFonts w:cs="Arial"/>
          <w:b/>
          <w:color w:val="000000"/>
          <w:szCs w:val="20"/>
          <w:lang w:val="en-US" w:eastAsia="de-DE"/>
        </w:rPr>
      </w:pPr>
    </w:p>
    <w:p w:rsidR="004F47BB" w:rsidRPr="004F47BB" w:rsidRDefault="004F47BB" w:rsidP="004F47BB">
      <w:pPr>
        <w:spacing w:line="240" w:lineRule="atLeast"/>
        <w:ind w:left="567" w:hanging="567"/>
        <w:rPr>
          <w:rFonts w:cs="Arial"/>
          <w:b/>
          <w:color w:val="000000"/>
          <w:szCs w:val="20"/>
          <w:lang w:val="en-US" w:eastAsia="de-DE"/>
        </w:rPr>
      </w:pPr>
      <w:r w:rsidRPr="004F47BB">
        <w:rPr>
          <w:rFonts w:cs="Arial"/>
          <w:b/>
          <w:color w:val="000000"/>
          <w:szCs w:val="20"/>
          <w:lang w:val="en-US" w:eastAsia="de-DE"/>
        </w:rPr>
        <w:t>3.2</w:t>
      </w:r>
      <w:r w:rsidRPr="004F47BB">
        <w:rPr>
          <w:rFonts w:cs="Arial"/>
          <w:b/>
          <w:color w:val="000000"/>
          <w:szCs w:val="20"/>
          <w:lang w:val="en-US" w:eastAsia="de-DE"/>
        </w:rPr>
        <w:tab/>
        <w:t xml:space="preserve">Examples </w:t>
      </w:r>
    </w:p>
    <w:p w:rsidR="004F47BB" w:rsidRPr="004F47BB" w:rsidRDefault="004F47BB" w:rsidP="004F47BB">
      <w:pPr>
        <w:tabs>
          <w:tab w:val="left" w:pos="1134"/>
        </w:tabs>
        <w:autoSpaceDE/>
        <w:autoSpaceDN/>
        <w:spacing w:line="240" w:lineRule="atLeast"/>
        <w:ind w:left="1134" w:hanging="709"/>
        <w:rPr>
          <w:rFonts w:cs="Arial"/>
          <w:color w:val="000000"/>
          <w:szCs w:val="20"/>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3.2.1</w:t>
      </w:r>
      <w:r w:rsidRPr="004F47BB">
        <w:rPr>
          <w:lang w:val="en-US" w:eastAsia="de-DE"/>
        </w:rPr>
        <w:tab/>
        <w:t>A passenger vessel (year of construction 1995) must have a second independent propulsion system installed by 1 January 2015 at the latest. If no other voluntary conversions are made on this passenger vessel, it is not necessary to carry out a stability calculation in accordance with the new requirements, but if there is an objective need for one, a stability calculation may be carried out in accordance with the original stability requirements of the RVIR or a Member State.</w:t>
      </w:r>
    </w:p>
    <w:p w:rsidR="004F47BB" w:rsidRPr="004F47BB" w:rsidRDefault="004F47BB" w:rsidP="004F47BB">
      <w:pPr>
        <w:tabs>
          <w:tab w:val="left" w:pos="1134"/>
        </w:tabs>
        <w:autoSpaceDE/>
        <w:autoSpaceDN/>
        <w:spacing w:line="240" w:lineRule="atLeast"/>
        <w:ind w:left="1134" w:hanging="709"/>
        <w:rPr>
          <w:rFonts w:cs="Arial"/>
          <w:color w:val="000000"/>
          <w:szCs w:val="20"/>
          <w:lang w:val="en-US" w:eastAsia="de-DE"/>
        </w:rPr>
      </w:pPr>
      <w:r w:rsidRPr="004F47BB">
        <w:rPr>
          <w:rFonts w:cs="Arial"/>
          <w:color w:val="000000"/>
          <w:szCs w:val="20"/>
          <w:lang w:val="en-US" w:eastAsia="de-DE"/>
        </w:rPr>
        <w:br w:type="page"/>
      </w:r>
    </w:p>
    <w:p w:rsidR="004F47BB" w:rsidRPr="004F47BB" w:rsidRDefault="004F47BB" w:rsidP="004F47BB">
      <w:pPr>
        <w:spacing w:line="240" w:lineRule="atLeast"/>
        <w:ind w:left="567" w:hanging="567"/>
        <w:rPr>
          <w:lang w:val="en-US" w:eastAsia="de-DE"/>
        </w:rPr>
      </w:pPr>
      <w:r w:rsidRPr="004F47BB">
        <w:rPr>
          <w:lang w:val="en-US" w:eastAsia="de-DE"/>
        </w:rPr>
        <w:lastRenderedPageBreak/>
        <w:t>3.2.2</w:t>
      </w:r>
      <w:r w:rsidRPr="004F47BB">
        <w:rPr>
          <w:lang w:val="en-US" w:eastAsia="de-DE"/>
        </w:rPr>
        <w:tab/>
        <w:t>A passenger vessel (year of construction 1994, inland navigation vessel certificate last renewed 2012) will be extended by 10 m in 2016. In addition, this craft must be given a second independent propulsion system. Also, a new stability calculation will be necessary, which must be carried out in accordance with Chapter 19 for the one-compartment status and the two­compartment status.</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eastAsia="de-DE"/>
        </w:rPr>
      </w:pPr>
      <w:r w:rsidRPr="004F47BB">
        <w:rPr>
          <w:lang w:val="en-US" w:eastAsia="de-DE"/>
        </w:rPr>
        <w:t>3.2.3</w:t>
      </w:r>
      <w:r w:rsidRPr="004F47BB">
        <w:rPr>
          <w:lang w:val="en-US" w:eastAsia="de-DE"/>
        </w:rPr>
        <w:tab/>
        <w:t>A passenger vessel (year of construction 1988) receives a more powerful propulsion system including propellers. This is such a major conversion that a stability calculation is required. This must be carried out in accordance with current requirements.</w:t>
      </w:r>
    </w:p>
    <w:p w:rsidR="004F47BB" w:rsidRPr="004F47BB" w:rsidRDefault="004F47BB" w:rsidP="004F47BB">
      <w:pPr>
        <w:spacing w:line="240" w:lineRule="atLeast"/>
        <w:ind w:left="567" w:hanging="567"/>
        <w:rPr>
          <w:lang w:val="en-US" w:eastAsia="de-DE"/>
        </w:rPr>
      </w:pPr>
    </w:p>
    <w:p w:rsidR="004F47BB" w:rsidRPr="004F47BB" w:rsidRDefault="004F47BB" w:rsidP="004F47BB">
      <w:pPr>
        <w:spacing w:line="240" w:lineRule="atLeast"/>
        <w:ind w:left="567" w:hanging="567"/>
        <w:rPr>
          <w:lang w:val="en-US"/>
        </w:rPr>
      </w:pPr>
    </w:p>
    <w:p w:rsidR="004F47BB" w:rsidRPr="004F47BB" w:rsidRDefault="004F47BB" w:rsidP="004F47BB">
      <w:pPr>
        <w:widowControl w:val="0"/>
        <w:overflowPunct w:val="0"/>
        <w:adjustRightInd w:val="0"/>
        <w:spacing w:line="240" w:lineRule="atLeast"/>
        <w:ind w:left="0" w:firstLine="0"/>
        <w:textAlignment w:val="baseline"/>
        <w:rPr>
          <w:rFonts w:cs="Arial"/>
          <w:snapToGrid w:val="0"/>
          <w:szCs w:val="20"/>
          <w:lang w:val="en-US"/>
        </w:rPr>
      </w:pPr>
    </w:p>
    <w:p w:rsidR="004F47BB" w:rsidRPr="004F47BB" w:rsidRDefault="004F47BB" w:rsidP="004F47BB">
      <w:pPr>
        <w:spacing w:line="240" w:lineRule="atLeast"/>
        <w:ind w:left="567" w:hanging="567"/>
        <w:rPr>
          <w:lang w:val="en-US"/>
        </w:rPr>
      </w:pPr>
    </w:p>
    <w:p w:rsidR="004F47BB" w:rsidRPr="004F47BB" w:rsidRDefault="004F47BB" w:rsidP="004F47BB">
      <w:pPr>
        <w:overflowPunct w:val="0"/>
        <w:adjustRightInd w:val="0"/>
        <w:ind w:left="0" w:firstLine="0"/>
        <w:jc w:val="left"/>
        <w:textAlignment w:val="baseline"/>
        <w:rPr>
          <w:rFonts w:cs="Arial"/>
          <w:szCs w:val="20"/>
          <w:lang w:val="en-US"/>
        </w:rPr>
      </w:pPr>
    </w:p>
    <w:p w:rsidR="004F47BB" w:rsidRPr="004F47BB" w:rsidRDefault="004F47BB" w:rsidP="004F47BB">
      <w:pPr>
        <w:spacing w:line="240" w:lineRule="atLeast"/>
        <w:ind w:left="0" w:firstLine="0"/>
        <w:rPr>
          <w:rFonts w:cs="Arial"/>
          <w:noProof/>
          <w:szCs w:val="20"/>
          <w:lang w:val="en-US" w:bidi="fr-FR"/>
        </w:rPr>
      </w:pPr>
    </w:p>
    <w:p w:rsidR="004F47BB" w:rsidRPr="004F47BB" w:rsidRDefault="004F47BB" w:rsidP="004F47BB">
      <w:pPr>
        <w:tabs>
          <w:tab w:val="center" w:pos="7797"/>
        </w:tabs>
        <w:ind w:right="288"/>
        <w:rPr>
          <w:lang w:val="en-US"/>
        </w:rPr>
      </w:pPr>
    </w:p>
    <w:p w:rsidR="002908AA" w:rsidRDefault="002908AA" w:rsidP="002908AA">
      <w:pPr>
        <w:pStyle w:val="ESgauche"/>
        <w:rPr>
          <w:lang w:val="en-US"/>
        </w:rPr>
      </w:pPr>
    </w:p>
    <w:p w:rsidR="004F47BB" w:rsidRDefault="004F47BB" w:rsidP="002908AA">
      <w:pPr>
        <w:pStyle w:val="ESgauche"/>
        <w:rPr>
          <w:lang w:val="en-US"/>
        </w:rPr>
      </w:pPr>
    </w:p>
    <w:p w:rsidR="004F47BB" w:rsidRPr="001B543F" w:rsidRDefault="004F47BB" w:rsidP="002908AA">
      <w:pPr>
        <w:pStyle w:val="ESgauche"/>
        <w:rPr>
          <w:lang w:val="en-US"/>
        </w:rPr>
      </w:pPr>
    </w:p>
    <w:p w:rsidR="002908AA" w:rsidRPr="001B543F" w:rsidRDefault="002908AA" w:rsidP="00973DAA">
      <w:pPr>
        <w:pStyle w:val="ESch"/>
        <w:rPr>
          <w:lang w:val="en-US"/>
        </w:rPr>
      </w:pPr>
    </w:p>
    <w:sectPr w:rsidR="002908AA" w:rsidRPr="001B543F" w:rsidSect="00AC5CC1">
      <w:headerReference w:type="first" r:id="rId148"/>
      <w:footnotePr>
        <w:numRestart w:val="eachPage"/>
      </w:footnotePr>
      <w:pgSz w:w="11906" w:h="16838" w:code="9"/>
      <w:pgMar w:top="1418" w:right="1418" w:bottom="1418" w:left="1418" w:header="709" w:footer="709"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0AC1" w:rsidRDefault="00C60AC1">
      <w:r>
        <w:separator/>
      </w:r>
    </w:p>
  </w:endnote>
  <w:endnote w:type="continuationSeparator" w:id="0">
    <w:p w:rsidR="00C60AC1" w:rsidRDefault="00C60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Arial Gras">
    <w:altName w:val="Arial"/>
    <w:panose1 w:val="00000000000000000000"/>
    <w:charset w:val="00"/>
    <w:family w:val="roman"/>
    <w:notTrueType/>
    <w:pitch w:val="default"/>
  </w:font>
  <w:font w:name="CG Times">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EU Albertina">
    <w:altName w:val="EU Albertin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24C" w:rsidRDefault="0082224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DC4D54">
    <w:pPr>
      <w:widowControl w:val="0"/>
      <w:pBdr>
        <w:top w:val="single" w:sz="6" w:space="1" w:color="auto"/>
      </w:pBdr>
      <w:tabs>
        <w:tab w:val="right" w:pos="9000"/>
      </w:tabs>
      <w:autoSpaceDE/>
      <w:autoSpaceDN/>
      <w:spacing w:line="240" w:lineRule="atLeast"/>
      <w:rPr>
        <w:sz w:val="16"/>
        <w:szCs w:val="16"/>
        <w:lang w:val="en-US" w:eastAsia="de-DE"/>
      </w:rPr>
    </w:pPr>
    <w:r w:rsidRPr="00A953D4">
      <w:rPr>
        <w:sz w:val="16"/>
        <w:szCs w:val="16"/>
        <w:lang w:val="en-GB" w:eastAsia="de-DE"/>
      </w:rPr>
      <w:t xml:space="preserve">Edition </w:t>
    </w:r>
    <w:r>
      <w:rPr>
        <w:sz w:val="16"/>
        <w:szCs w:val="16"/>
        <w:lang w:val="en-GB" w:eastAsia="de-DE"/>
      </w:rPr>
      <w:t>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290</w:t>
    </w:r>
    <w:r w:rsidRPr="006B1D78">
      <w:rPr>
        <w:sz w:val="16"/>
        <w:szCs w:val="16"/>
        <w:lang w:val="de-DE" w:eastAsia="de-DE"/>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9C13A9">
    <w:pPr>
      <w:widowControl w:val="0"/>
      <w:pBdr>
        <w:top w:val="single" w:sz="6" w:space="1" w:color="auto"/>
      </w:pBdr>
      <w:tabs>
        <w:tab w:val="right" w:pos="9072"/>
      </w:tabs>
      <w:autoSpaceDE/>
      <w:autoSpaceDN/>
      <w:spacing w:line="240" w:lineRule="atLeast"/>
      <w:rPr>
        <w:sz w:val="16"/>
        <w:szCs w:val="16"/>
        <w:lang w:val="en-US" w:eastAsia="de-DE"/>
      </w:rPr>
    </w:pPr>
    <w:r w:rsidRPr="00A953D4">
      <w:rPr>
        <w:sz w:val="16"/>
        <w:szCs w:val="16"/>
        <w:lang w:val="en-GB" w:eastAsia="de-DE"/>
      </w:rPr>
      <w:t xml:space="preserve">Edition </w:t>
    </w:r>
    <w:r>
      <w:rPr>
        <w:sz w:val="16"/>
        <w:szCs w:val="16"/>
        <w:lang w:val="en-GB" w:eastAsia="de-DE"/>
      </w:rPr>
      <w:t>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301</w:t>
    </w:r>
    <w:r w:rsidRPr="006B1D78">
      <w:rPr>
        <w:sz w:val="16"/>
        <w:szCs w:val="16"/>
        <w:lang w:val="de-DE" w:eastAsia="de-DE"/>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1865DF">
    <w:pPr>
      <w:widowControl w:val="0"/>
      <w:pBdr>
        <w:top w:val="single" w:sz="6" w:space="1" w:color="auto"/>
      </w:pBdr>
      <w:tabs>
        <w:tab w:val="right" w:pos="14034"/>
      </w:tabs>
      <w:autoSpaceDE/>
      <w:autoSpaceDN/>
      <w:spacing w:line="240" w:lineRule="atLeast"/>
      <w:rPr>
        <w:sz w:val="16"/>
        <w:szCs w:val="16"/>
        <w:lang w:val="en-US" w:eastAsia="de-DE"/>
      </w:rPr>
    </w:pPr>
    <w:r w:rsidRPr="00A953D4">
      <w:rPr>
        <w:sz w:val="16"/>
        <w:szCs w:val="16"/>
        <w:lang w:val="en-GB" w:eastAsia="de-DE"/>
      </w:rPr>
      <w:t xml:space="preserve">Edition </w:t>
    </w:r>
    <w:r>
      <w:rPr>
        <w:sz w:val="16"/>
        <w:szCs w:val="16"/>
        <w:lang w:val="en-GB" w:eastAsia="de-DE"/>
      </w:rPr>
      <w:t>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304</w:t>
    </w:r>
    <w:r w:rsidRPr="006B1D78">
      <w:rPr>
        <w:sz w:val="16"/>
        <w:szCs w:val="16"/>
        <w:lang w:val="de-DE" w:eastAsia="de-DE"/>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9C13A9">
    <w:pPr>
      <w:widowControl w:val="0"/>
      <w:pBdr>
        <w:top w:val="single" w:sz="6" w:space="1" w:color="auto"/>
      </w:pBdr>
      <w:tabs>
        <w:tab w:val="right" w:pos="9072"/>
      </w:tabs>
      <w:autoSpaceDE/>
      <w:autoSpaceDN/>
      <w:spacing w:line="240" w:lineRule="atLeast"/>
      <w:rPr>
        <w:sz w:val="16"/>
        <w:szCs w:val="16"/>
        <w:lang w:val="en-US" w:eastAsia="de-DE"/>
      </w:rPr>
    </w:pPr>
    <w:r>
      <w:rPr>
        <w:sz w:val="16"/>
        <w:szCs w:val="16"/>
        <w:lang w:val="en-GB" w:eastAsia="de-DE"/>
      </w:rPr>
      <w:t xml:space="preserve">Edition 1.0 – </w:t>
    </w:r>
    <w:r w:rsidRPr="00423FAF">
      <w:rPr>
        <w:sz w:val="16"/>
        <w:szCs w:val="16"/>
        <w:lang w:val="en-GB" w:eastAsia="de-DE"/>
      </w:rPr>
      <w:t xml:space="preserve">Septembre </w:t>
    </w:r>
    <w:r>
      <w:rPr>
        <w:sz w:val="16"/>
        <w:szCs w:val="16"/>
        <w:lang w:val="en-GB" w:eastAsia="de-DE"/>
      </w:rPr>
      <w:t>2014</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23</w:t>
    </w:r>
    <w:r w:rsidRPr="006B1D78">
      <w:rPr>
        <w:sz w:val="16"/>
        <w:szCs w:val="16"/>
        <w:lang w:val="de-DE" w:eastAsia="de-DE"/>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DC4D54">
    <w:pPr>
      <w:widowControl w:val="0"/>
      <w:pBdr>
        <w:top w:val="single" w:sz="6" w:space="1" w:color="auto"/>
      </w:pBdr>
      <w:tabs>
        <w:tab w:val="right" w:pos="9000"/>
      </w:tabs>
      <w:autoSpaceDE/>
      <w:autoSpaceDN/>
      <w:spacing w:line="240" w:lineRule="atLeast"/>
      <w:rPr>
        <w:sz w:val="16"/>
        <w:szCs w:val="16"/>
        <w:lang w:val="en-US" w:eastAsia="de-DE"/>
      </w:rPr>
    </w:pPr>
    <w:r w:rsidRPr="00A953D4">
      <w:rPr>
        <w:sz w:val="16"/>
        <w:szCs w:val="16"/>
        <w:lang w:val="en-GB" w:eastAsia="de-DE"/>
      </w:rPr>
      <w:t xml:space="preserve">Edition </w:t>
    </w:r>
    <w:r>
      <w:rPr>
        <w:sz w:val="16"/>
        <w:szCs w:val="16"/>
        <w:lang w:val="en-GB" w:eastAsia="de-DE"/>
      </w:rPr>
      <w:t>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310</w:t>
    </w:r>
    <w:r w:rsidRPr="006B1D78">
      <w:rPr>
        <w:sz w:val="16"/>
        <w:szCs w:val="16"/>
        <w:lang w:val="de-DE" w:eastAsia="de-DE"/>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DC4D54">
    <w:pPr>
      <w:widowControl w:val="0"/>
      <w:pBdr>
        <w:top w:val="single" w:sz="6" w:space="1" w:color="auto"/>
      </w:pBdr>
      <w:tabs>
        <w:tab w:val="right" w:pos="9000"/>
      </w:tabs>
      <w:autoSpaceDE/>
      <w:autoSpaceDN/>
      <w:spacing w:line="240" w:lineRule="atLeast"/>
      <w:rPr>
        <w:sz w:val="16"/>
        <w:szCs w:val="16"/>
        <w:lang w:val="en-US" w:eastAsia="de-DE"/>
      </w:rPr>
    </w:pPr>
    <w:r w:rsidRPr="0017630F">
      <w:rPr>
        <w:sz w:val="16"/>
        <w:szCs w:val="16"/>
        <w:lang w:val="en-GB" w:eastAsia="de-DE"/>
      </w:rPr>
      <w:t xml:space="preserve">Edition </w:t>
    </w:r>
    <w:r>
      <w:rPr>
        <w:sz w:val="16"/>
        <w:szCs w:val="16"/>
        <w:lang w:val="en-GB" w:eastAsia="de-DE"/>
      </w:rPr>
      <w:t>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338</w:t>
    </w:r>
    <w:r w:rsidRPr="006B1D78">
      <w:rPr>
        <w:sz w:val="16"/>
        <w:szCs w:val="16"/>
        <w:lang w:val="de-DE" w:eastAsia="de-DE"/>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DC4D54">
    <w:pPr>
      <w:widowControl w:val="0"/>
      <w:pBdr>
        <w:top w:val="single" w:sz="6" w:space="1" w:color="auto"/>
      </w:pBdr>
      <w:tabs>
        <w:tab w:val="right" w:pos="9000"/>
      </w:tabs>
      <w:autoSpaceDE/>
      <w:autoSpaceDN/>
      <w:spacing w:line="240" w:lineRule="atLeast"/>
      <w:rPr>
        <w:sz w:val="16"/>
        <w:szCs w:val="16"/>
        <w:lang w:val="en-US" w:eastAsia="de-DE"/>
      </w:rPr>
    </w:pPr>
    <w:r w:rsidRPr="0017630F">
      <w:rPr>
        <w:sz w:val="16"/>
        <w:szCs w:val="16"/>
        <w:lang w:val="en-GB" w:eastAsia="de-DE"/>
      </w:rPr>
      <w:t xml:space="preserve">Edition </w:t>
    </w:r>
    <w:r>
      <w:rPr>
        <w:sz w:val="16"/>
        <w:szCs w:val="16"/>
        <w:lang w:val="en-GB" w:eastAsia="de-DE"/>
      </w:rPr>
      <w:t>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342</w:t>
    </w:r>
    <w:r w:rsidRPr="006B1D78">
      <w:rPr>
        <w:sz w:val="16"/>
        <w:szCs w:val="16"/>
        <w:lang w:val="de-DE" w:eastAsia="de-DE"/>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DC4D54">
    <w:pPr>
      <w:widowControl w:val="0"/>
      <w:pBdr>
        <w:top w:val="single" w:sz="6" w:space="1" w:color="auto"/>
      </w:pBdr>
      <w:tabs>
        <w:tab w:val="right" w:pos="9000"/>
      </w:tabs>
      <w:autoSpaceDE/>
      <w:autoSpaceDN/>
      <w:spacing w:line="240" w:lineRule="atLeast"/>
      <w:rPr>
        <w:sz w:val="16"/>
        <w:szCs w:val="16"/>
        <w:lang w:val="en-US" w:eastAsia="de-DE"/>
      </w:rPr>
    </w:pPr>
    <w:r w:rsidRPr="0017630F">
      <w:rPr>
        <w:sz w:val="16"/>
        <w:szCs w:val="16"/>
        <w:lang w:val="en-GB" w:eastAsia="de-DE"/>
      </w:rPr>
      <w:t xml:space="preserve">Edition </w:t>
    </w:r>
    <w:r>
      <w:rPr>
        <w:sz w:val="16"/>
        <w:szCs w:val="16"/>
        <w:lang w:val="en-GB" w:eastAsia="de-DE"/>
      </w:rPr>
      <w:t>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356</w:t>
    </w:r>
    <w:r w:rsidRPr="006B1D78">
      <w:rPr>
        <w:sz w:val="16"/>
        <w:szCs w:val="16"/>
        <w:lang w:val="de-DE" w:eastAsia="de-DE"/>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Default="00C60AC1"/>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9C13A9">
    <w:pPr>
      <w:widowControl w:val="0"/>
      <w:pBdr>
        <w:top w:val="single" w:sz="6" w:space="1" w:color="auto"/>
      </w:pBdr>
      <w:tabs>
        <w:tab w:val="right" w:pos="13892"/>
      </w:tabs>
      <w:autoSpaceDE/>
      <w:autoSpaceDN/>
      <w:spacing w:line="240" w:lineRule="atLeast"/>
      <w:rPr>
        <w:sz w:val="16"/>
        <w:szCs w:val="16"/>
        <w:lang w:val="en-US" w:eastAsia="de-DE"/>
      </w:rPr>
    </w:pPr>
    <w:r>
      <w:rPr>
        <w:sz w:val="16"/>
        <w:szCs w:val="16"/>
        <w:lang w:val="en-GB" w:eastAsia="de-DE"/>
      </w:rPr>
      <w:t>Edition 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358</w:t>
    </w:r>
    <w:r w:rsidRPr="006B1D78">
      <w:rPr>
        <w:sz w:val="16"/>
        <w:szCs w:val="16"/>
        <w:lang w:val="de-DE" w:eastAsia="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F12BAF" w:rsidRDefault="00C60AC1" w:rsidP="00F12BA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Default="00C60AC1"/>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Default="00C60AC1"/>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9C13A9">
    <w:pPr>
      <w:widowControl w:val="0"/>
      <w:pBdr>
        <w:top w:val="single" w:sz="6" w:space="1" w:color="auto"/>
      </w:pBdr>
      <w:tabs>
        <w:tab w:val="right" w:pos="9000"/>
      </w:tabs>
      <w:autoSpaceDE/>
      <w:autoSpaceDN/>
      <w:spacing w:line="240" w:lineRule="atLeast"/>
      <w:rPr>
        <w:sz w:val="16"/>
        <w:szCs w:val="16"/>
        <w:lang w:val="en-US" w:eastAsia="de-DE"/>
      </w:rPr>
    </w:pPr>
    <w:r w:rsidRPr="0017630F">
      <w:rPr>
        <w:sz w:val="16"/>
        <w:szCs w:val="16"/>
        <w:lang w:val="en-GB" w:eastAsia="de-DE"/>
      </w:rPr>
      <w:t xml:space="preserve">Edition </w:t>
    </w:r>
    <w:r>
      <w:rPr>
        <w:sz w:val="16"/>
        <w:szCs w:val="16"/>
        <w:lang w:val="en-GB" w:eastAsia="de-DE"/>
      </w:rPr>
      <w:t>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360</w:t>
    </w:r>
    <w:r w:rsidRPr="006B1D78">
      <w:rPr>
        <w:sz w:val="16"/>
        <w:szCs w:val="16"/>
        <w:lang w:val="de-DE" w:eastAsia="de-DE"/>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Default="00C60AC1"/>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Default="00C60AC1"/>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9C13A9">
    <w:pPr>
      <w:widowControl w:val="0"/>
      <w:pBdr>
        <w:top w:val="single" w:sz="6" w:space="1" w:color="auto"/>
      </w:pBdr>
      <w:tabs>
        <w:tab w:val="right" w:pos="13892"/>
      </w:tabs>
      <w:autoSpaceDE/>
      <w:autoSpaceDN/>
      <w:spacing w:line="240" w:lineRule="atLeast"/>
      <w:rPr>
        <w:sz w:val="16"/>
        <w:szCs w:val="16"/>
        <w:lang w:val="en-US" w:eastAsia="de-DE"/>
      </w:rPr>
    </w:pPr>
    <w:r w:rsidRPr="0017630F">
      <w:rPr>
        <w:sz w:val="16"/>
        <w:szCs w:val="16"/>
        <w:lang w:val="en-GB" w:eastAsia="de-DE"/>
      </w:rPr>
      <w:t xml:space="preserve">Edition </w:t>
    </w:r>
    <w:r>
      <w:rPr>
        <w:sz w:val="16"/>
        <w:szCs w:val="16"/>
        <w:lang w:val="en-GB" w:eastAsia="de-DE"/>
      </w:rPr>
      <w:t>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362</w:t>
    </w:r>
    <w:r w:rsidRPr="006B1D78">
      <w:rPr>
        <w:sz w:val="16"/>
        <w:szCs w:val="16"/>
        <w:lang w:val="de-DE" w:eastAsia="de-DE"/>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Default="00C60AC1"/>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9C13A9">
    <w:pPr>
      <w:widowControl w:val="0"/>
      <w:pBdr>
        <w:top w:val="single" w:sz="6" w:space="1" w:color="auto"/>
      </w:pBdr>
      <w:tabs>
        <w:tab w:val="right" w:pos="9000"/>
      </w:tabs>
      <w:autoSpaceDE/>
      <w:autoSpaceDN/>
      <w:spacing w:line="240" w:lineRule="atLeast"/>
      <w:rPr>
        <w:sz w:val="16"/>
        <w:szCs w:val="16"/>
        <w:lang w:val="en-US" w:eastAsia="de-DE"/>
      </w:rPr>
    </w:pPr>
    <w:r w:rsidRPr="0017630F">
      <w:rPr>
        <w:sz w:val="16"/>
        <w:szCs w:val="16"/>
        <w:lang w:val="en-GB" w:eastAsia="de-DE"/>
      </w:rPr>
      <w:t xml:space="preserve">Edition </w:t>
    </w:r>
    <w:r>
      <w:rPr>
        <w:sz w:val="16"/>
        <w:szCs w:val="16"/>
        <w:lang w:val="en-GB" w:eastAsia="de-DE"/>
      </w:rPr>
      <w:t>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366</w:t>
    </w:r>
    <w:r w:rsidRPr="006B1D78">
      <w:rPr>
        <w:sz w:val="16"/>
        <w:szCs w:val="16"/>
        <w:lang w:val="de-DE" w:eastAsia="de-DE"/>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9C13A9">
    <w:pPr>
      <w:widowControl w:val="0"/>
      <w:pBdr>
        <w:top w:val="single" w:sz="6" w:space="1" w:color="auto"/>
      </w:pBdr>
      <w:tabs>
        <w:tab w:val="right" w:pos="9000"/>
      </w:tabs>
      <w:autoSpaceDE/>
      <w:autoSpaceDN/>
      <w:spacing w:line="240" w:lineRule="atLeast"/>
      <w:rPr>
        <w:sz w:val="16"/>
        <w:szCs w:val="16"/>
        <w:lang w:val="en-US" w:eastAsia="de-DE"/>
      </w:rPr>
    </w:pPr>
    <w:r>
      <w:rPr>
        <w:sz w:val="16"/>
        <w:szCs w:val="16"/>
        <w:lang w:val="en-GB" w:eastAsia="de-DE"/>
      </w:rPr>
      <w:t>Edition 1.0 – September 2014</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95</w:t>
    </w:r>
    <w:r w:rsidRPr="006B1D78">
      <w:rPr>
        <w:sz w:val="16"/>
        <w:szCs w:val="16"/>
        <w:lang w:val="de-DE" w:eastAsia="de-DE"/>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DC4D54">
    <w:pPr>
      <w:widowControl w:val="0"/>
      <w:pBdr>
        <w:top w:val="single" w:sz="6" w:space="1" w:color="auto"/>
      </w:pBdr>
      <w:tabs>
        <w:tab w:val="right" w:pos="9000"/>
      </w:tabs>
      <w:autoSpaceDE/>
      <w:autoSpaceDN/>
      <w:spacing w:line="240" w:lineRule="atLeast"/>
      <w:rPr>
        <w:sz w:val="16"/>
        <w:szCs w:val="16"/>
        <w:lang w:val="en-US" w:eastAsia="de-DE"/>
      </w:rPr>
    </w:pPr>
    <w:r w:rsidRPr="0017630F">
      <w:rPr>
        <w:sz w:val="16"/>
        <w:szCs w:val="16"/>
        <w:lang w:val="en-GB" w:eastAsia="de-DE"/>
      </w:rPr>
      <w:t xml:space="preserve">Edition </w:t>
    </w:r>
    <w:r>
      <w:rPr>
        <w:sz w:val="16"/>
        <w:szCs w:val="16"/>
        <w:lang w:val="en-GB" w:eastAsia="de-DE"/>
      </w:rPr>
      <w:t>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395</w:t>
    </w:r>
    <w:r w:rsidRPr="006B1D78">
      <w:rPr>
        <w:sz w:val="16"/>
        <w:szCs w:val="16"/>
        <w:lang w:val="de-DE" w:eastAsia="de-D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82224C" w:rsidRDefault="00C60AC1" w:rsidP="0082224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EF4E24">
    <w:pPr>
      <w:widowControl w:val="0"/>
      <w:pBdr>
        <w:top w:val="single" w:sz="6" w:space="1" w:color="auto"/>
      </w:pBdr>
      <w:tabs>
        <w:tab w:val="right" w:pos="9000"/>
      </w:tabs>
      <w:autoSpaceDE/>
      <w:autoSpaceDN/>
      <w:spacing w:line="240" w:lineRule="atLeast"/>
      <w:rPr>
        <w:sz w:val="16"/>
        <w:szCs w:val="16"/>
        <w:lang w:val="en-US" w:eastAsia="de-DE"/>
      </w:rPr>
    </w:pPr>
    <w:r w:rsidRPr="0017630F">
      <w:rPr>
        <w:sz w:val="16"/>
        <w:szCs w:val="16"/>
        <w:lang w:val="en-GB" w:eastAsia="de-DE"/>
      </w:rPr>
      <w:t xml:space="preserve">Edition </w:t>
    </w:r>
    <w:r>
      <w:rPr>
        <w:sz w:val="16"/>
        <w:szCs w:val="16"/>
        <w:lang w:val="en-GB" w:eastAsia="de-DE"/>
      </w:rPr>
      <w:t>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396</w:t>
    </w:r>
    <w:r w:rsidRPr="006B1D78">
      <w:rPr>
        <w:sz w:val="16"/>
        <w:szCs w:val="16"/>
        <w:lang w:val="de-DE" w:eastAsia="de-DE"/>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D45887">
    <w:pPr>
      <w:widowControl w:val="0"/>
      <w:pBdr>
        <w:top w:val="single" w:sz="6" w:space="1" w:color="auto"/>
      </w:pBdr>
      <w:tabs>
        <w:tab w:val="right" w:pos="9000"/>
      </w:tabs>
      <w:autoSpaceDE/>
      <w:autoSpaceDN/>
      <w:spacing w:line="240" w:lineRule="atLeast"/>
      <w:rPr>
        <w:sz w:val="16"/>
        <w:szCs w:val="16"/>
        <w:lang w:val="en-US" w:eastAsia="de-DE"/>
      </w:rPr>
    </w:pPr>
    <w:r>
      <w:rPr>
        <w:sz w:val="16"/>
        <w:szCs w:val="16"/>
        <w:lang w:val="en-GB" w:eastAsia="de-DE"/>
      </w:rPr>
      <w:t>Edition 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437</w:t>
    </w:r>
    <w:r w:rsidRPr="006B1D78">
      <w:rPr>
        <w:sz w:val="16"/>
        <w:szCs w:val="16"/>
        <w:lang w:val="de-DE" w:eastAsia="de-DE"/>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D45887">
    <w:pPr>
      <w:widowControl w:val="0"/>
      <w:pBdr>
        <w:top w:val="single" w:sz="6" w:space="1" w:color="auto"/>
      </w:pBdr>
      <w:tabs>
        <w:tab w:val="right" w:pos="9000"/>
      </w:tabs>
      <w:autoSpaceDE/>
      <w:autoSpaceDN/>
      <w:spacing w:line="240" w:lineRule="atLeast"/>
      <w:rPr>
        <w:sz w:val="16"/>
        <w:szCs w:val="16"/>
        <w:lang w:val="en-US" w:eastAsia="de-DE"/>
      </w:rPr>
    </w:pPr>
    <w:r>
      <w:rPr>
        <w:sz w:val="16"/>
        <w:szCs w:val="16"/>
        <w:lang w:val="en-GB" w:eastAsia="de-DE"/>
      </w:rPr>
      <w:t>Edition 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397</w:t>
    </w:r>
    <w:r w:rsidRPr="006B1D78">
      <w:rPr>
        <w:sz w:val="16"/>
        <w:szCs w:val="16"/>
        <w:lang w:val="de-DE" w:eastAsia="de-DE"/>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D45887">
    <w:pPr>
      <w:widowControl w:val="0"/>
      <w:pBdr>
        <w:top w:val="single" w:sz="6" w:space="1" w:color="auto"/>
      </w:pBdr>
      <w:tabs>
        <w:tab w:val="right" w:pos="9000"/>
      </w:tabs>
      <w:autoSpaceDE/>
      <w:autoSpaceDN/>
      <w:spacing w:line="240" w:lineRule="atLeast"/>
      <w:rPr>
        <w:sz w:val="16"/>
        <w:szCs w:val="16"/>
        <w:lang w:val="en-US" w:eastAsia="de-DE"/>
      </w:rPr>
    </w:pPr>
    <w:r>
      <w:rPr>
        <w:sz w:val="16"/>
        <w:szCs w:val="16"/>
        <w:lang w:val="en-GB" w:eastAsia="de-DE"/>
      </w:rPr>
      <w:t>Edition 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399</w:t>
    </w:r>
    <w:r w:rsidRPr="006B1D78">
      <w:rPr>
        <w:sz w:val="16"/>
        <w:szCs w:val="16"/>
        <w:lang w:val="de-DE" w:eastAsia="de-DE"/>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D45887">
    <w:pPr>
      <w:widowControl w:val="0"/>
      <w:pBdr>
        <w:top w:val="single" w:sz="6" w:space="0" w:color="auto"/>
      </w:pBdr>
      <w:tabs>
        <w:tab w:val="right" w:pos="9000"/>
      </w:tabs>
      <w:autoSpaceDE/>
      <w:autoSpaceDN/>
      <w:spacing w:line="240" w:lineRule="atLeast"/>
      <w:rPr>
        <w:sz w:val="16"/>
        <w:szCs w:val="16"/>
        <w:lang w:val="en-US" w:eastAsia="de-DE"/>
      </w:rPr>
    </w:pPr>
    <w:r>
      <w:rPr>
        <w:sz w:val="16"/>
        <w:szCs w:val="16"/>
        <w:lang w:val="en-GB" w:eastAsia="de-DE"/>
      </w:rPr>
      <w:t>Edition 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405</w:t>
    </w:r>
    <w:r w:rsidRPr="006B1D78">
      <w:rPr>
        <w:sz w:val="16"/>
        <w:szCs w:val="16"/>
        <w:lang w:val="de-DE" w:eastAsia="de-DE"/>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D45887">
    <w:pPr>
      <w:widowControl w:val="0"/>
      <w:pBdr>
        <w:top w:val="single" w:sz="6" w:space="1" w:color="auto"/>
      </w:pBdr>
      <w:tabs>
        <w:tab w:val="right" w:pos="9000"/>
      </w:tabs>
      <w:autoSpaceDE/>
      <w:autoSpaceDN/>
      <w:spacing w:line="240" w:lineRule="atLeast"/>
      <w:rPr>
        <w:sz w:val="16"/>
        <w:szCs w:val="16"/>
        <w:lang w:val="en-US" w:eastAsia="de-DE"/>
      </w:rPr>
    </w:pPr>
    <w:r>
      <w:rPr>
        <w:sz w:val="16"/>
        <w:szCs w:val="16"/>
        <w:lang w:val="en-GB" w:eastAsia="de-DE"/>
      </w:rPr>
      <w:t>Edition 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413</w:t>
    </w:r>
    <w:r w:rsidRPr="006B1D78">
      <w:rPr>
        <w:sz w:val="16"/>
        <w:szCs w:val="16"/>
        <w:lang w:val="de-DE" w:eastAsia="de-DE"/>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D45887">
    <w:pPr>
      <w:widowControl w:val="0"/>
      <w:pBdr>
        <w:top w:val="single" w:sz="6" w:space="1" w:color="auto"/>
      </w:pBdr>
      <w:tabs>
        <w:tab w:val="right" w:pos="14034"/>
      </w:tabs>
      <w:autoSpaceDE/>
      <w:autoSpaceDN/>
      <w:spacing w:line="240" w:lineRule="atLeast"/>
      <w:rPr>
        <w:sz w:val="16"/>
        <w:szCs w:val="16"/>
        <w:lang w:val="en-US" w:eastAsia="de-DE"/>
      </w:rPr>
    </w:pPr>
    <w:r>
      <w:rPr>
        <w:sz w:val="16"/>
        <w:szCs w:val="16"/>
        <w:lang w:val="en-GB" w:eastAsia="de-DE"/>
      </w:rPr>
      <w:t>Edition 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416</w:t>
    </w:r>
    <w:r w:rsidRPr="006B1D78">
      <w:rPr>
        <w:sz w:val="16"/>
        <w:szCs w:val="16"/>
        <w:lang w:val="de-DE" w:eastAsia="de-DE"/>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D45887">
    <w:pPr>
      <w:widowControl w:val="0"/>
      <w:pBdr>
        <w:top w:val="single" w:sz="6" w:space="1" w:color="auto"/>
      </w:pBdr>
      <w:tabs>
        <w:tab w:val="right" w:pos="9000"/>
      </w:tabs>
      <w:autoSpaceDE/>
      <w:autoSpaceDN/>
      <w:spacing w:line="240" w:lineRule="atLeast"/>
      <w:rPr>
        <w:sz w:val="16"/>
        <w:szCs w:val="16"/>
        <w:lang w:val="en-US" w:eastAsia="de-DE"/>
      </w:rPr>
    </w:pPr>
    <w:r>
      <w:rPr>
        <w:sz w:val="16"/>
        <w:szCs w:val="16"/>
        <w:lang w:val="en-GB" w:eastAsia="de-DE"/>
      </w:rPr>
      <w:t>Edition 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435</w:t>
    </w:r>
    <w:r w:rsidRPr="006B1D78">
      <w:rPr>
        <w:sz w:val="16"/>
        <w:szCs w:val="16"/>
        <w:lang w:val="de-DE" w:eastAsia="de-DE"/>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D45887">
    <w:pPr>
      <w:widowControl w:val="0"/>
      <w:pBdr>
        <w:top w:val="single" w:sz="6" w:space="1" w:color="auto"/>
      </w:pBdr>
      <w:tabs>
        <w:tab w:val="right" w:pos="9000"/>
      </w:tabs>
      <w:autoSpaceDE/>
      <w:autoSpaceDN/>
      <w:spacing w:line="240" w:lineRule="atLeast"/>
      <w:rPr>
        <w:sz w:val="16"/>
        <w:szCs w:val="16"/>
        <w:lang w:val="en-US" w:eastAsia="de-DE"/>
      </w:rPr>
    </w:pPr>
    <w:r w:rsidRPr="00153523">
      <w:rPr>
        <w:sz w:val="16"/>
        <w:szCs w:val="16"/>
        <w:lang w:val="en-GB" w:eastAsia="de-DE"/>
      </w:rPr>
      <w:t>Edition 1.1 –</w:t>
    </w:r>
    <w:r>
      <w:rPr>
        <w:sz w:val="16"/>
        <w:szCs w:val="16"/>
        <w:lang w:val="en-GB" w:eastAsia="de-DE"/>
      </w:rPr>
      <w:t xml:space="preserve"> </w:t>
    </w:r>
    <w:r w:rsidRPr="00153523">
      <w:rPr>
        <w:sz w:val="16"/>
        <w:szCs w:val="16"/>
        <w:lang w:val="en-GB" w:eastAsia="de-DE"/>
      </w:rPr>
      <w:t xml:space="preserve">Décembre </w:t>
    </w:r>
    <w:r>
      <w:rPr>
        <w:sz w:val="16"/>
        <w:szCs w:val="16"/>
        <w:lang w:val="en-GB" w:eastAsia="de-DE"/>
      </w:rPr>
      <w:t>2014</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43</w:t>
    </w:r>
    <w:r w:rsidRPr="006B1D78">
      <w:rPr>
        <w:sz w:val="16"/>
        <w:szCs w:val="16"/>
        <w:lang w:val="de-DE" w:eastAsia="de-DE"/>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D45887">
    <w:pPr>
      <w:widowControl w:val="0"/>
      <w:pBdr>
        <w:top w:val="single" w:sz="6" w:space="1" w:color="auto"/>
      </w:pBdr>
      <w:tabs>
        <w:tab w:val="right" w:pos="9000"/>
      </w:tabs>
      <w:autoSpaceDE/>
      <w:autoSpaceDN/>
      <w:spacing w:line="240" w:lineRule="atLeast"/>
      <w:rPr>
        <w:sz w:val="16"/>
        <w:szCs w:val="16"/>
        <w:lang w:val="en-US" w:eastAsia="de-DE"/>
      </w:rPr>
    </w:pPr>
    <w:r>
      <w:rPr>
        <w:sz w:val="16"/>
        <w:szCs w:val="16"/>
        <w:lang w:val="en-GB" w:eastAsia="de-DE"/>
      </w:rPr>
      <w:t>Edition 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438</w:t>
    </w:r>
    <w:r w:rsidRPr="006B1D78">
      <w:rPr>
        <w:sz w:val="16"/>
        <w:szCs w:val="16"/>
        <w:lang w:val="de-DE" w:eastAsia="de-D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A30C54" w:rsidRDefault="00C60AC1" w:rsidP="001E2331">
    <w:pPr>
      <w:widowControl w:val="0"/>
      <w:pBdr>
        <w:top w:val="single" w:sz="6" w:space="1" w:color="auto"/>
      </w:pBdr>
      <w:tabs>
        <w:tab w:val="right" w:pos="13892"/>
      </w:tabs>
      <w:autoSpaceDE/>
      <w:autoSpaceDN/>
      <w:spacing w:line="240" w:lineRule="atLeast"/>
      <w:rPr>
        <w:sz w:val="16"/>
        <w:szCs w:val="16"/>
        <w:lang w:val="en-GB" w:eastAsia="de-DE"/>
      </w:rPr>
    </w:pPr>
    <w:r>
      <w:rPr>
        <w:sz w:val="16"/>
        <w:szCs w:val="16"/>
        <w:lang w:val="en-GB" w:eastAsia="de-DE"/>
      </w:rPr>
      <w:t>Edition 2017/1</w:t>
    </w:r>
    <w:r>
      <w:rPr>
        <w:sz w:val="16"/>
        <w:szCs w:val="16"/>
        <w:lang w:val="en-GB" w:eastAsia="de-DE"/>
      </w:rPr>
      <w:tab/>
      <w:t>Page</w:t>
    </w:r>
    <w:r w:rsidRPr="00A30C54">
      <w:rPr>
        <w:sz w:val="16"/>
        <w:szCs w:val="16"/>
        <w:lang w:val="en-GB" w:eastAsia="de-DE"/>
      </w:rPr>
      <w:t xml:space="preserve"> </w:t>
    </w:r>
    <w:r w:rsidRPr="00A30C54">
      <w:rPr>
        <w:sz w:val="16"/>
        <w:szCs w:val="16"/>
        <w:lang w:val="de-DE" w:eastAsia="de-DE"/>
      </w:rPr>
      <w:fldChar w:fldCharType="begin"/>
    </w:r>
    <w:r w:rsidRPr="00A30C54">
      <w:rPr>
        <w:sz w:val="16"/>
        <w:szCs w:val="16"/>
        <w:lang w:val="en-GB" w:eastAsia="de-DE"/>
      </w:rPr>
      <w:instrText xml:space="preserve"> PAGE </w:instrText>
    </w:r>
    <w:r w:rsidRPr="00A30C54">
      <w:rPr>
        <w:sz w:val="16"/>
        <w:szCs w:val="16"/>
        <w:lang w:val="de-DE" w:eastAsia="de-DE"/>
      </w:rPr>
      <w:fldChar w:fldCharType="separate"/>
    </w:r>
    <w:r>
      <w:rPr>
        <w:noProof/>
        <w:sz w:val="16"/>
        <w:szCs w:val="16"/>
        <w:lang w:val="en-GB" w:eastAsia="de-DE"/>
      </w:rPr>
      <w:t>272</w:t>
    </w:r>
    <w:r w:rsidRPr="00A30C54">
      <w:rPr>
        <w:sz w:val="16"/>
        <w:szCs w:val="16"/>
        <w:lang w:val="de-DE" w:eastAsia="de-DE"/>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6B1D78" w:rsidRDefault="00C60AC1" w:rsidP="00D45887">
    <w:pPr>
      <w:widowControl w:val="0"/>
      <w:pBdr>
        <w:top w:val="single" w:sz="6" w:space="1" w:color="auto"/>
      </w:pBdr>
      <w:tabs>
        <w:tab w:val="right" w:pos="9072"/>
      </w:tabs>
      <w:autoSpaceDE/>
      <w:autoSpaceDN/>
      <w:spacing w:line="240" w:lineRule="atLeast"/>
      <w:rPr>
        <w:sz w:val="16"/>
        <w:szCs w:val="16"/>
        <w:lang w:val="en-GB" w:eastAsia="de-DE"/>
      </w:rPr>
    </w:pPr>
    <w:r>
      <w:rPr>
        <w:sz w:val="16"/>
        <w:szCs w:val="16"/>
        <w:lang w:val="en-GB" w:eastAsia="de-DE"/>
      </w:rPr>
      <w:t>Edition 2017/1</w:t>
    </w:r>
    <w:r w:rsidRPr="006B1D78">
      <w:rPr>
        <w:sz w:val="16"/>
        <w:szCs w:val="16"/>
        <w:lang w:val="en-GB" w:eastAsia="de-DE"/>
      </w:rPr>
      <w:tab/>
      <w:t xml:space="preserve">Page </w:t>
    </w:r>
    <w:r w:rsidRPr="006B1D78">
      <w:rPr>
        <w:sz w:val="16"/>
        <w:szCs w:val="16"/>
        <w:lang w:val="de-DE" w:eastAsia="de-DE"/>
      </w:rPr>
      <w:fldChar w:fldCharType="begin"/>
    </w:r>
    <w:r w:rsidRPr="009C7A31">
      <w:rPr>
        <w:sz w:val="16"/>
        <w:szCs w:val="16"/>
        <w:lang w:val="en-GB" w:eastAsia="de-DE"/>
      </w:rPr>
      <w:instrText xml:space="preserve"> PAGE </w:instrText>
    </w:r>
    <w:r w:rsidRPr="006B1D78">
      <w:rPr>
        <w:sz w:val="16"/>
        <w:szCs w:val="16"/>
        <w:lang w:val="de-DE" w:eastAsia="de-DE"/>
      </w:rPr>
      <w:fldChar w:fldCharType="separate"/>
    </w:r>
    <w:r>
      <w:rPr>
        <w:noProof/>
        <w:sz w:val="16"/>
        <w:szCs w:val="16"/>
        <w:lang w:val="en-GB" w:eastAsia="de-DE"/>
      </w:rPr>
      <w:t>458</w:t>
    </w:r>
    <w:r w:rsidRPr="006B1D78">
      <w:rPr>
        <w:sz w:val="16"/>
        <w:szCs w:val="16"/>
        <w:lang w:val="de-DE" w:eastAsia="de-DE"/>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EF4E24">
    <w:pPr>
      <w:widowControl w:val="0"/>
      <w:pBdr>
        <w:top w:val="single" w:sz="6" w:space="1" w:color="auto"/>
      </w:pBdr>
      <w:tabs>
        <w:tab w:val="right" w:pos="9000"/>
      </w:tabs>
      <w:autoSpaceDE/>
      <w:autoSpaceDN/>
      <w:spacing w:line="240" w:lineRule="atLeast"/>
      <w:rPr>
        <w:sz w:val="16"/>
        <w:szCs w:val="16"/>
        <w:lang w:val="en-US" w:eastAsia="de-DE"/>
      </w:rPr>
    </w:pPr>
    <w:r>
      <w:rPr>
        <w:sz w:val="16"/>
        <w:szCs w:val="16"/>
        <w:lang w:val="en-GB" w:eastAsia="de-DE"/>
      </w:rPr>
      <w:t>Edition 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503</w:t>
    </w:r>
    <w:r w:rsidRPr="006B1D78">
      <w:rPr>
        <w:sz w:val="16"/>
        <w:szCs w:val="16"/>
        <w:lang w:val="de-DE" w:eastAsia="de-DE"/>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6B1D78" w:rsidRDefault="00C60AC1" w:rsidP="00D45887">
    <w:pPr>
      <w:widowControl w:val="0"/>
      <w:pBdr>
        <w:top w:val="single" w:sz="6" w:space="1" w:color="auto"/>
      </w:pBdr>
      <w:tabs>
        <w:tab w:val="right" w:pos="14034"/>
      </w:tabs>
      <w:autoSpaceDE/>
      <w:autoSpaceDN/>
      <w:spacing w:line="240" w:lineRule="atLeast"/>
      <w:rPr>
        <w:sz w:val="16"/>
        <w:szCs w:val="16"/>
        <w:lang w:val="en-GB" w:eastAsia="de-DE"/>
      </w:rPr>
    </w:pPr>
    <w:r>
      <w:rPr>
        <w:sz w:val="16"/>
        <w:szCs w:val="16"/>
        <w:lang w:val="en-GB" w:eastAsia="de-DE"/>
      </w:rPr>
      <w:t>Edition 2017/1</w:t>
    </w:r>
    <w:r w:rsidRPr="006B1D78">
      <w:rPr>
        <w:sz w:val="16"/>
        <w:szCs w:val="16"/>
        <w:lang w:val="en-GB" w:eastAsia="de-DE"/>
      </w:rPr>
      <w:tab/>
      <w:t xml:space="preserve">Page </w:t>
    </w:r>
    <w:r w:rsidRPr="006B1D78">
      <w:rPr>
        <w:sz w:val="16"/>
        <w:szCs w:val="16"/>
        <w:lang w:val="de-DE" w:eastAsia="de-DE"/>
      </w:rPr>
      <w:fldChar w:fldCharType="begin"/>
    </w:r>
    <w:r w:rsidRPr="009C7A31">
      <w:rPr>
        <w:sz w:val="16"/>
        <w:szCs w:val="16"/>
        <w:lang w:val="en-GB" w:eastAsia="de-DE"/>
      </w:rPr>
      <w:instrText xml:space="preserve"> PAGE </w:instrText>
    </w:r>
    <w:r w:rsidRPr="006B1D78">
      <w:rPr>
        <w:sz w:val="16"/>
        <w:szCs w:val="16"/>
        <w:lang w:val="de-DE" w:eastAsia="de-DE"/>
      </w:rPr>
      <w:fldChar w:fldCharType="separate"/>
    </w:r>
    <w:r>
      <w:rPr>
        <w:noProof/>
        <w:sz w:val="16"/>
        <w:szCs w:val="16"/>
        <w:lang w:val="en-GB" w:eastAsia="de-DE"/>
      </w:rPr>
      <w:t>460</w:t>
    </w:r>
    <w:r w:rsidRPr="006B1D78">
      <w:rPr>
        <w:sz w:val="16"/>
        <w:szCs w:val="16"/>
        <w:lang w:val="de-DE" w:eastAsia="de-DE"/>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6B1D78" w:rsidRDefault="00C60AC1" w:rsidP="00D45887">
    <w:pPr>
      <w:widowControl w:val="0"/>
      <w:pBdr>
        <w:top w:val="single" w:sz="6" w:space="1" w:color="auto"/>
      </w:pBdr>
      <w:tabs>
        <w:tab w:val="right" w:pos="9072"/>
      </w:tabs>
      <w:autoSpaceDE/>
      <w:autoSpaceDN/>
      <w:spacing w:line="240" w:lineRule="atLeast"/>
      <w:rPr>
        <w:sz w:val="16"/>
        <w:szCs w:val="16"/>
        <w:lang w:val="en-GB" w:eastAsia="de-DE"/>
      </w:rPr>
    </w:pPr>
    <w:r>
      <w:rPr>
        <w:sz w:val="16"/>
        <w:szCs w:val="16"/>
        <w:lang w:val="en-GB" w:eastAsia="de-DE"/>
      </w:rPr>
      <w:t>Edition 2017/1</w:t>
    </w:r>
    <w:r w:rsidRPr="006B1D78">
      <w:rPr>
        <w:sz w:val="16"/>
        <w:szCs w:val="16"/>
        <w:lang w:val="en-GB" w:eastAsia="de-DE"/>
      </w:rPr>
      <w:tab/>
      <w:t xml:space="preserve">Page </w:t>
    </w:r>
    <w:r w:rsidRPr="006B1D78">
      <w:rPr>
        <w:sz w:val="16"/>
        <w:szCs w:val="16"/>
        <w:lang w:val="de-DE" w:eastAsia="de-DE"/>
      </w:rPr>
      <w:fldChar w:fldCharType="begin"/>
    </w:r>
    <w:r w:rsidRPr="009C7A31">
      <w:rPr>
        <w:sz w:val="16"/>
        <w:szCs w:val="16"/>
        <w:lang w:val="en-GB" w:eastAsia="de-DE"/>
      </w:rPr>
      <w:instrText xml:space="preserve"> PAGE </w:instrText>
    </w:r>
    <w:r w:rsidRPr="006B1D78">
      <w:rPr>
        <w:sz w:val="16"/>
        <w:szCs w:val="16"/>
        <w:lang w:val="de-DE" w:eastAsia="de-DE"/>
      </w:rPr>
      <w:fldChar w:fldCharType="separate"/>
    </w:r>
    <w:r>
      <w:rPr>
        <w:noProof/>
        <w:sz w:val="16"/>
        <w:szCs w:val="16"/>
        <w:lang w:val="en-GB" w:eastAsia="de-DE"/>
      </w:rPr>
      <w:t>506</w:t>
    </w:r>
    <w:r w:rsidRPr="006B1D78">
      <w:rPr>
        <w:sz w:val="16"/>
        <w:szCs w:val="16"/>
        <w:lang w:val="de-DE" w:eastAsia="de-D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A30C54" w:rsidRDefault="00C60AC1" w:rsidP="001E2331">
    <w:pPr>
      <w:widowControl w:val="0"/>
      <w:pBdr>
        <w:top w:val="single" w:sz="6" w:space="1" w:color="auto"/>
      </w:pBdr>
      <w:tabs>
        <w:tab w:val="right" w:pos="13892"/>
      </w:tabs>
      <w:autoSpaceDE/>
      <w:autoSpaceDN/>
      <w:spacing w:line="240" w:lineRule="atLeast"/>
      <w:rPr>
        <w:sz w:val="16"/>
        <w:szCs w:val="16"/>
        <w:lang w:val="en-GB" w:eastAsia="de-DE"/>
      </w:rPr>
    </w:pPr>
    <w:r w:rsidRPr="00A953D4">
      <w:rPr>
        <w:sz w:val="16"/>
        <w:szCs w:val="16"/>
        <w:lang w:val="en-GB" w:eastAsia="de-DE"/>
      </w:rPr>
      <w:t xml:space="preserve">Edition </w:t>
    </w:r>
    <w:r>
      <w:rPr>
        <w:sz w:val="16"/>
        <w:szCs w:val="16"/>
        <w:lang w:val="en-GB" w:eastAsia="de-DE"/>
      </w:rPr>
      <w:t>2017/1</w:t>
    </w:r>
    <w:r w:rsidRPr="00A30C54">
      <w:rPr>
        <w:sz w:val="16"/>
        <w:szCs w:val="16"/>
        <w:lang w:val="en-GB" w:eastAsia="de-DE"/>
      </w:rPr>
      <w:tab/>
      <w:t xml:space="preserve">Seite </w:t>
    </w:r>
    <w:r w:rsidRPr="00A30C54">
      <w:rPr>
        <w:sz w:val="16"/>
        <w:szCs w:val="16"/>
        <w:lang w:val="de-DE" w:eastAsia="de-DE"/>
      </w:rPr>
      <w:fldChar w:fldCharType="begin"/>
    </w:r>
    <w:r w:rsidRPr="00A30C54">
      <w:rPr>
        <w:sz w:val="16"/>
        <w:szCs w:val="16"/>
        <w:lang w:val="en-GB" w:eastAsia="de-DE"/>
      </w:rPr>
      <w:instrText xml:space="preserve"> PAGE </w:instrText>
    </w:r>
    <w:r w:rsidRPr="00A30C54">
      <w:rPr>
        <w:sz w:val="16"/>
        <w:szCs w:val="16"/>
        <w:lang w:val="de-DE" w:eastAsia="de-DE"/>
      </w:rPr>
      <w:fldChar w:fldCharType="separate"/>
    </w:r>
    <w:r>
      <w:rPr>
        <w:noProof/>
        <w:sz w:val="16"/>
        <w:szCs w:val="16"/>
        <w:lang w:val="en-GB" w:eastAsia="de-DE"/>
      </w:rPr>
      <w:t>201</w:t>
    </w:r>
    <w:r w:rsidRPr="00A30C54">
      <w:rPr>
        <w:sz w:val="16"/>
        <w:szCs w:val="16"/>
        <w:lang w:val="de-DE" w:eastAsia="de-D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B405CE">
    <w:pPr>
      <w:widowControl w:val="0"/>
      <w:pBdr>
        <w:top w:val="single" w:sz="6" w:space="1" w:color="auto"/>
      </w:pBdr>
      <w:tabs>
        <w:tab w:val="right" w:pos="13892"/>
      </w:tabs>
      <w:autoSpaceDE/>
      <w:autoSpaceDN/>
      <w:spacing w:line="240" w:lineRule="atLeast"/>
      <w:rPr>
        <w:sz w:val="16"/>
        <w:szCs w:val="16"/>
        <w:lang w:val="en-US" w:eastAsia="de-DE"/>
      </w:rPr>
    </w:pPr>
    <w:r w:rsidRPr="00A953D4">
      <w:rPr>
        <w:sz w:val="16"/>
        <w:szCs w:val="16"/>
        <w:lang w:val="en-GB" w:eastAsia="de-DE"/>
      </w:rPr>
      <w:t xml:space="preserve">Edition </w:t>
    </w:r>
    <w:r>
      <w:rPr>
        <w:sz w:val="16"/>
        <w:szCs w:val="16"/>
        <w:lang w:val="en-GB" w:eastAsia="de-DE"/>
      </w:rPr>
      <w:t>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251</w:t>
    </w:r>
    <w:r w:rsidRPr="006B1D78">
      <w:rPr>
        <w:sz w:val="16"/>
        <w:szCs w:val="16"/>
        <w:lang w:val="de-DE" w:eastAsia="de-D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DC4D54">
    <w:pPr>
      <w:widowControl w:val="0"/>
      <w:pBdr>
        <w:top w:val="single" w:sz="6" w:space="1" w:color="auto"/>
      </w:pBdr>
      <w:tabs>
        <w:tab w:val="right" w:pos="9000"/>
      </w:tabs>
      <w:autoSpaceDE/>
      <w:autoSpaceDN/>
      <w:spacing w:line="240" w:lineRule="atLeast"/>
      <w:rPr>
        <w:sz w:val="16"/>
        <w:szCs w:val="16"/>
        <w:lang w:val="en-US" w:eastAsia="de-DE"/>
      </w:rPr>
    </w:pPr>
    <w:r w:rsidRPr="00A953D4">
      <w:rPr>
        <w:sz w:val="16"/>
        <w:szCs w:val="16"/>
        <w:lang w:val="en-GB" w:eastAsia="de-DE"/>
      </w:rPr>
      <w:t xml:space="preserve">Edition </w:t>
    </w:r>
    <w:r>
      <w:rPr>
        <w:sz w:val="16"/>
        <w:szCs w:val="16"/>
        <w:lang w:val="en-GB" w:eastAsia="de-DE"/>
      </w:rPr>
      <w:t>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274</w:t>
    </w:r>
    <w:r w:rsidRPr="006B1D78">
      <w:rPr>
        <w:sz w:val="16"/>
        <w:szCs w:val="16"/>
        <w:lang w:val="de-DE" w:eastAsia="de-DE"/>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EF4E24">
    <w:pPr>
      <w:widowControl w:val="0"/>
      <w:pBdr>
        <w:top w:val="single" w:sz="6" w:space="1" w:color="auto"/>
      </w:pBdr>
      <w:tabs>
        <w:tab w:val="right" w:pos="9000"/>
      </w:tabs>
      <w:autoSpaceDE/>
      <w:autoSpaceDN/>
      <w:spacing w:line="240" w:lineRule="atLeast"/>
      <w:rPr>
        <w:sz w:val="16"/>
        <w:szCs w:val="16"/>
        <w:lang w:val="en-US" w:eastAsia="de-DE"/>
      </w:rPr>
    </w:pPr>
    <w:r w:rsidRPr="00A953D4">
      <w:rPr>
        <w:sz w:val="16"/>
        <w:szCs w:val="16"/>
        <w:lang w:val="en-GB" w:eastAsia="de-DE"/>
      </w:rPr>
      <w:t xml:space="preserve">Edition </w:t>
    </w:r>
    <w:r>
      <w:rPr>
        <w:sz w:val="16"/>
        <w:szCs w:val="16"/>
        <w:lang w:val="en-GB" w:eastAsia="de-DE"/>
      </w:rPr>
      <w:t>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273</w:t>
    </w:r>
    <w:r w:rsidRPr="006B1D78">
      <w:rPr>
        <w:sz w:val="16"/>
        <w:szCs w:val="16"/>
        <w:lang w:val="de-DE" w:eastAsia="de-DE"/>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B8070E" w:rsidRDefault="00C60AC1" w:rsidP="009C13A9">
    <w:pPr>
      <w:widowControl w:val="0"/>
      <w:pBdr>
        <w:top w:val="single" w:sz="6" w:space="1" w:color="auto"/>
      </w:pBdr>
      <w:tabs>
        <w:tab w:val="right" w:pos="9072"/>
      </w:tabs>
      <w:autoSpaceDE/>
      <w:autoSpaceDN/>
      <w:spacing w:line="240" w:lineRule="atLeast"/>
      <w:rPr>
        <w:sz w:val="16"/>
        <w:szCs w:val="16"/>
        <w:lang w:val="en-US" w:eastAsia="de-DE"/>
      </w:rPr>
    </w:pPr>
    <w:r w:rsidRPr="00A953D4">
      <w:rPr>
        <w:sz w:val="16"/>
        <w:szCs w:val="16"/>
        <w:lang w:val="en-GB" w:eastAsia="de-DE"/>
      </w:rPr>
      <w:t xml:space="preserve">Edition </w:t>
    </w:r>
    <w:r>
      <w:rPr>
        <w:sz w:val="16"/>
        <w:szCs w:val="16"/>
        <w:lang w:val="en-GB" w:eastAsia="de-DE"/>
      </w:rPr>
      <w:t>2017/1</w:t>
    </w:r>
    <w:r w:rsidRPr="00B8070E">
      <w:rPr>
        <w:sz w:val="16"/>
        <w:szCs w:val="16"/>
        <w:lang w:val="en-US" w:eastAsia="de-DE"/>
      </w:rPr>
      <w:tab/>
      <w:t xml:space="preserve">Page </w:t>
    </w:r>
    <w:r w:rsidRPr="006B1D78">
      <w:rPr>
        <w:sz w:val="16"/>
        <w:szCs w:val="16"/>
        <w:lang w:val="de-DE" w:eastAsia="de-DE"/>
      </w:rPr>
      <w:fldChar w:fldCharType="begin"/>
    </w:r>
    <w:r w:rsidRPr="00B8070E">
      <w:rPr>
        <w:sz w:val="16"/>
        <w:szCs w:val="16"/>
        <w:lang w:val="en-US" w:eastAsia="de-DE"/>
      </w:rPr>
      <w:instrText xml:space="preserve"> PAGE </w:instrText>
    </w:r>
    <w:r w:rsidRPr="006B1D78">
      <w:rPr>
        <w:sz w:val="16"/>
        <w:szCs w:val="16"/>
        <w:lang w:val="de-DE" w:eastAsia="de-DE"/>
      </w:rPr>
      <w:fldChar w:fldCharType="separate"/>
    </w:r>
    <w:r>
      <w:rPr>
        <w:noProof/>
        <w:sz w:val="16"/>
        <w:szCs w:val="16"/>
        <w:lang w:val="en-US" w:eastAsia="de-DE"/>
      </w:rPr>
      <w:t>278</w:t>
    </w:r>
    <w:r w:rsidRPr="006B1D78">
      <w:rPr>
        <w:sz w:val="16"/>
        <w:szCs w:val="16"/>
        <w:lang w:val="de-DE" w:eastAsia="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0AC1" w:rsidRDefault="00C60AC1">
      <w:r>
        <w:separator/>
      </w:r>
    </w:p>
  </w:footnote>
  <w:footnote w:type="continuationSeparator" w:id="0">
    <w:p w:rsidR="00C60AC1" w:rsidRDefault="00C60AC1">
      <w:r>
        <w:continuationSeparator/>
      </w:r>
    </w:p>
  </w:footnote>
  <w:footnote w:id="1">
    <w:p w:rsidR="00C60AC1" w:rsidRPr="00EB1C21" w:rsidRDefault="00C60AC1" w:rsidP="00881510">
      <w:pPr>
        <w:pStyle w:val="FootnoteText"/>
        <w:ind w:left="284" w:hanging="284"/>
        <w:rPr>
          <w:sz w:val="16"/>
          <w:szCs w:val="16"/>
          <w:lang w:val="en-US"/>
        </w:rPr>
      </w:pPr>
      <w:r w:rsidRPr="00EB1C21">
        <w:rPr>
          <w:rStyle w:val="FootnoteReference"/>
          <w:sz w:val="16"/>
          <w:szCs w:val="16"/>
        </w:rPr>
        <w:footnoteRef/>
      </w:r>
      <w:r w:rsidRPr="00EB1C21">
        <w:rPr>
          <w:sz w:val="16"/>
          <w:szCs w:val="16"/>
          <w:lang w:val="en-US"/>
        </w:rPr>
        <w:t xml:space="preserve"> </w:t>
      </w:r>
      <w:r w:rsidRPr="00EB1C21">
        <w:rPr>
          <w:sz w:val="16"/>
          <w:szCs w:val="16"/>
          <w:lang w:val="en-US"/>
        </w:rPr>
        <w:tab/>
      </w:r>
      <w:r w:rsidRPr="00881510">
        <w:rPr>
          <w:sz w:val="16"/>
          <w:szCs w:val="16"/>
          <w:lang w:val="en-US"/>
        </w:rPr>
        <w:t xml:space="preserve">MSC.307(88) adopted on </w:t>
      </w:r>
      <w:r>
        <w:rPr>
          <w:sz w:val="16"/>
          <w:szCs w:val="16"/>
          <w:lang w:val="en-US"/>
        </w:rPr>
        <w:t>3</w:t>
      </w:r>
      <w:r w:rsidRPr="00881510">
        <w:rPr>
          <w:sz w:val="16"/>
          <w:szCs w:val="16"/>
          <w:lang w:val="en-US"/>
        </w:rPr>
        <w:t xml:space="preserve"> December </w:t>
      </w:r>
      <w:r>
        <w:rPr>
          <w:sz w:val="16"/>
          <w:szCs w:val="16"/>
          <w:lang w:val="en-US"/>
        </w:rPr>
        <w:t>2010</w:t>
      </w:r>
      <w:r w:rsidRPr="00881510">
        <w:rPr>
          <w:sz w:val="16"/>
          <w:szCs w:val="16"/>
          <w:lang w:val="en-US"/>
        </w:rPr>
        <w:t xml:space="preserve"> - International Code for Application of Fire Test Procedures.</w:t>
      </w:r>
    </w:p>
  </w:footnote>
  <w:footnote w:id="2">
    <w:p w:rsidR="00C60AC1" w:rsidRPr="00FA4437" w:rsidRDefault="00C60AC1" w:rsidP="00881510">
      <w:pPr>
        <w:pStyle w:val="FootnoteText"/>
        <w:spacing w:before="20" w:line="220" w:lineRule="atLeast"/>
        <w:ind w:left="284" w:hanging="284"/>
        <w:rPr>
          <w:rFonts w:cs="Arial"/>
          <w:sz w:val="16"/>
          <w:szCs w:val="16"/>
          <w:lang w:val="en-US"/>
        </w:rPr>
      </w:pPr>
      <w:r w:rsidRPr="00FA4437">
        <w:rPr>
          <w:rStyle w:val="FootnoteReference"/>
          <w:rFonts w:cs="Arial"/>
          <w:sz w:val="16"/>
          <w:szCs w:val="16"/>
        </w:rPr>
        <w:footnoteRef/>
      </w:r>
      <w:r w:rsidRPr="00FA4437">
        <w:rPr>
          <w:sz w:val="16"/>
          <w:szCs w:val="16"/>
          <w:vertAlign w:val="superscript"/>
          <w:lang w:val="en-US"/>
        </w:rPr>
        <w:t xml:space="preserve"> </w:t>
      </w:r>
      <w:r w:rsidRPr="00FA4437">
        <w:rPr>
          <w:sz w:val="16"/>
          <w:szCs w:val="16"/>
          <w:vertAlign w:val="superscript"/>
          <w:lang w:val="en-US"/>
        </w:rPr>
        <w:tab/>
      </w:r>
      <w:r w:rsidRPr="00FA4437">
        <w:rPr>
          <w:sz w:val="16"/>
          <w:szCs w:val="16"/>
          <w:lang w:val="en-US"/>
        </w:rPr>
        <w:t>Vessel Tracking and Tracing Standard for Inland Navigation standard, Edition 1.2; Resolution CCNR 2013-I-23 dated 29 May 2013.</w:t>
      </w:r>
    </w:p>
  </w:footnote>
  <w:footnote w:id="3">
    <w:p w:rsidR="00C60AC1" w:rsidRPr="00FA4437" w:rsidRDefault="00C60AC1" w:rsidP="00881510">
      <w:pPr>
        <w:pStyle w:val="FootnoteText"/>
        <w:spacing w:before="20" w:line="220" w:lineRule="atLeast"/>
        <w:ind w:left="284" w:hanging="284"/>
        <w:rPr>
          <w:sz w:val="16"/>
          <w:szCs w:val="16"/>
          <w:lang w:val="en-US"/>
        </w:rPr>
      </w:pPr>
      <w:r w:rsidRPr="00FA4437">
        <w:rPr>
          <w:rStyle w:val="FootnoteReference"/>
          <w:rFonts w:cs="Arial"/>
          <w:sz w:val="16"/>
          <w:szCs w:val="16"/>
        </w:rPr>
        <w:footnoteRef/>
      </w:r>
      <w:r w:rsidRPr="00FA4437">
        <w:rPr>
          <w:sz w:val="16"/>
          <w:szCs w:val="16"/>
          <w:vertAlign w:val="superscript"/>
          <w:lang w:val="en-US"/>
        </w:rPr>
        <w:t xml:space="preserve"> </w:t>
      </w:r>
      <w:r w:rsidRPr="00FA4437">
        <w:rPr>
          <w:sz w:val="16"/>
          <w:szCs w:val="16"/>
          <w:lang w:val="en-US"/>
        </w:rPr>
        <w:tab/>
        <w:t>Commission Implementing Regulation (EU) no. 689/2012 dated 27 July 2012 amending Regulation (EC) no. 415/2007 on the technical specifications applicable to the vessel tracking and location systems referred to in Article 5 of directive 2005/44/EC of the European Parliament and Council on harmonised river information services (RIS) on community navigable waterways (OJ L 202 dated 28.7.2012).</w:t>
      </w:r>
    </w:p>
  </w:footnote>
  <w:footnote w:id="4">
    <w:p w:rsidR="00C60AC1" w:rsidRPr="00FA4437" w:rsidRDefault="00C60AC1" w:rsidP="00881510">
      <w:pPr>
        <w:pStyle w:val="FootnoteText"/>
        <w:spacing w:before="20" w:line="220" w:lineRule="atLeast"/>
        <w:ind w:left="284" w:hanging="284"/>
        <w:rPr>
          <w:rFonts w:cs="Arial"/>
          <w:sz w:val="16"/>
          <w:szCs w:val="16"/>
          <w:lang w:val="en-US"/>
        </w:rPr>
      </w:pPr>
      <w:r w:rsidRPr="00FA4437">
        <w:rPr>
          <w:rStyle w:val="FootnoteReference"/>
          <w:rFonts w:cs="Arial"/>
          <w:sz w:val="16"/>
          <w:szCs w:val="16"/>
        </w:rPr>
        <w:footnoteRef/>
      </w:r>
      <w:r w:rsidRPr="00FA4437">
        <w:rPr>
          <w:sz w:val="16"/>
          <w:szCs w:val="16"/>
          <w:vertAlign w:val="superscript"/>
          <w:lang w:val="en-US"/>
        </w:rPr>
        <w:t xml:space="preserve"> </w:t>
      </w:r>
      <w:r w:rsidRPr="00FA4437">
        <w:rPr>
          <w:sz w:val="16"/>
          <w:szCs w:val="16"/>
          <w:lang w:val="en-US"/>
        </w:rPr>
        <w:tab/>
        <w:t>Electronic Chart Display and Information System for Inland Navigation (Inland ECDIS) Edition 2.3; CCNR Resolution 2012­II-20 dated 29 November 2012.</w:t>
      </w:r>
    </w:p>
  </w:footnote>
  <w:footnote w:id="5">
    <w:p w:rsidR="00C60AC1" w:rsidRPr="00FA4437" w:rsidRDefault="00C60AC1" w:rsidP="00881510">
      <w:pPr>
        <w:pStyle w:val="FootnoteText"/>
        <w:spacing w:before="40" w:line="220" w:lineRule="atLeast"/>
        <w:ind w:left="284" w:hanging="284"/>
        <w:rPr>
          <w:rFonts w:cs="Arial"/>
          <w:sz w:val="16"/>
          <w:szCs w:val="16"/>
          <w:lang w:val="en-US"/>
        </w:rPr>
      </w:pPr>
      <w:r w:rsidRPr="00FA4437">
        <w:rPr>
          <w:rStyle w:val="FootnoteReference"/>
          <w:rFonts w:cs="Arial"/>
          <w:sz w:val="16"/>
          <w:szCs w:val="16"/>
        </w:rPr>
        <w:footnoteRef/>
      </w:r>
      <w:r w:rsidRPr="00FA4437">
        <w:rPr>
          <w:sz w:val="16"/>
          <w:szCs w:val="16"/>
          <w:vertAlign w:val="superscript"/>
          <w:lang w:val="en-US"/>
        </w:rPr>
        <w:t xml:space="preserve"> </w:t>
      </w:r>
      <w:r w:rsidRPr="00FA4437">
        <w:rPr>
          <w:sz w:val="16"/>
          <w:szCs w:val="16"/>
          <w:lang w:val="en-US"/>
        </w:rPr>
        <w:tab/>
        <w:t>Commission Implementing Regulation (EU) no. 909/2013 of 10 September 2013 on the technical specifications pertaining to the Electronic Chart Display and Information System for Inland Navigation (Inland ECDIS) referred to in Directive 2005/44/EC of the European Parliament and Council (OJ L 258 dated 28.9.2013).</w:t>
      </w:r>
    </w:p>
  </w:footnote>
  <w:footnote w:id="6">
    <w:p w:rsidR="00C60AC1" w:rsidRPr="00EB1C21" w:rsidRDefault="00C60AC1" w:rsidP="00FA4437">
      <w:pPr>
        <w:pStyle w:val="FootnoteText"/>
        <w:spacing w:before="40" w:line="220" w:lineRule="atLeast"/>
        <w:ind w:left="284" w:hanging="284"/>
        <w:rPr>
          <w:rFonts w:cs="Arial"/>
          <w:sz w:val="16"/>
          <w:szCs w:val="16"/>
          <w:highlight w:val="lightGray"/>
          <w:lang w:val="en-US"/>
        </w:rPr>
      </w:pPr>
      <w:r w:rsidRPr="00FA4437">
        <w:rPr>
          <w:rStyle w:val="FootnoteReference"/>
          <w:rFonts w:cs="Arial"/>
          <w:sz w:val="16"/>
          <w:szCs w:val="16"/>
        </w:rPr>
        <w:footnoteRef/>
      </w:r>
      <w:r w:rsidRPr="00FA4437">
        <w:rPr>
          <w:sz w:val="16"/>
          <w:szCs w:val="16"/>
          <w:vertAlign w:val="superscript"/>
          <w:lang w:val="en-US"/>
        </w:rPr>
        <w:t xml:space="preserve"> </w:t>
      </w:r>
      <w:r w:rsidRPr="00FA4437">
        <w:rPr>
          <w:sz w:val="16"/>
          <w:szCs w:val="16"/>
          <w:lang w:val="en-US"/>
        </w:rPr>
        <w:tab/>
      </w:r>
      <w:r w:rsidRPr="00B722AB">
        <w:rPr>
          <w:sz w:val="16"/>
          <w:szCs w:val="16"/>
          <w:lang w:val="en-US"/>
        </w:rPr>
        <w:t>Inland AIS Test Standard Edition 2.0; CESNI Resolution 2017-II-</w:t>
      </w:r>
      <w:r>
        <w:rPr>
          <w:sz w:val="16"/>
          <w:szCs w:val="16"/>
          <w:lang w:val="en-US"/>
        </w:rPr>
        <w:t>2</w:t>
      </w:r>
      <w:r w:rsidRPr="00B722AB">
        <w:rPr>
          <w:sz w:val="16"/>
          <w:szCs w:val="16"/>
          <w:lang w:val="en-US"/>
        </w:rPr>
        <w:t xml:space="preserve"> dated 6 July, 2017</w:t>
      </w:r>
      <w:r w:rsidRPr="00FA4437">
        <w:rPr>
          <w:sz w:val="16"/>
          <w:szCs w:val="16"/>
          <w:lang w:val="en-US"/>
        </w:rPr>
        <w:t>.</w:t>
      </w:r>
    </w:p>
  </w:footnote>
  <w:footnote w:id="7">
    <w:p w:rsidR="00C60AC1" w:rsidRPr="00664236" w:rsidRDefault="00C60AC1" w:rsidP="00DD67C0">
      <w:pPr>
        <w:pStyle w:val="FootnoteText"/>
        <w:spacing w:before="40"/>
        <w:ind w:left="284" w:hanging="284"/>
        <w:rPr>
          <w:rFonts w:cs="Arial"/>
          <w:sz w:val="16"/>
          <w:szCs w:val="16"/>
          <w:lang w:val="en-US"/>
        </w:rPr>
      </w:pPr>
      <w:r w:rsidRPr="00DD67C0">
        <w:rPr>
          <w:rStyle w:val="FootnoteReference"/>
          <w:sz w:val="16"/>
          <w:szCs w:val="16"/>
        </w:rPr>
        <w:footnoteRef/>
      </w:r>
      <w:r w:rsidRPr="00DD67C0">
        <w:rPr>
          <w:sz w:val="16"/>
          <w:szCs w:val="16"/>
          <w:lang w:val="en-US"/>
        </w:rPr>
        <w:t xml:space="preserve"> </w:t>
      </w:r>
      <w:r w:rsidRPr="00DD67C0">
        <w:rPr>
          <w:sz w:val="16"/>
          <w:szCs w:val="16"/>
          <w:lang w:val="en-US"/>
        </w:rPr>
        <w:tab/>
      </w:r>
      <w:r w:rsidRPr="00DD67C0">
        <w:rPr>
          <w:rFonts w:cs="Arial"/>
          <w:bCs/>
          <w:sz w:val="16"/>
          <w:szCs w:val="16"/>
          <w:lang w:val="en-US"/>
        </w:rPr>
        <w:t>Directive 2014/90/EU of the European Parliament and of the Council of 23 July 2014 on marine equipment and repealing Directive 96/98/EC (OJ L 257, 28.8.2014)</w:t>
      </w:r>
      <w:r w:rsidRPr="00DD67C0">
        <w:rPr>
          <w:rFonts w:cs="Arial"/>
          <w:iCs/>
          <w:sz w:val="16"/>
          <w:szCs w:val="16"/>
          <w:lang w:val="en-US"/>
        </w:rPr>
        <w:t>.</w:t>
      </w:r>
    </w:p>
  </w:footnote>
  <w:footnote w:id="8">
    <w:p w:rsidR="00C60AC1" w:rsidRPr="002B6B2C" w:rsidRDefault="00C60AC1" w:rsidP="002B6B2C">
      <w:pPr>
        <w:pStyle w:val="FootnoteText"/>
        <w:ind w:left="284" w:hanging="284"/>
        <w:rPr>
          <w:lang w:val="en-US"/>
        </w:rPr>
      </w:pPr>
      <w:r>
        <w:rPr>
          <w:rStyle w:val="FootnoteReference"/>
        </w:rPr>
        <w:footnoteRef/>
      </w:r>
      <w:r>
        <w:rPr>
          <w:lang w:val="en-US"/>
        </w:rPr>
        <w:tab/>
      </w:r>
      <w:hyperlink r:id="rId1" w:history="1">
        <w:r w:rsidRPr="0065002E">
          <w:rPr>
            <w:rFonts w:cs="Arial"/>
            <w:color w:val="000000"/>
            <w:sz w:val="16"/>
            <w:szCs w:val="16"/>
            <w:lang w:val="en-US"/>
          </w:rPr>
          <w:t>Regulation (EU) 2016/1628 of the European Parliament and of the Council of 14 September 2016 on requirements relating to gaseous and particulate pollutant emission limits and type-approval for internal combustion engines for non-road mobile machinery, amending Regulations (EU) No 1024/2012 and (EU) No 167/2013, and amending and repealing Directive 97/68/EC</w:t>
        </w:r>
      </w:hyperlink>
      <w:r>
        <w:rPr>
          <w:rFonts w:cs="Arial"/>
          <w:color w:val="444444"/>
          <w:sz w:val="16"/>
          <w:szCs w:val="16"/>
          <w:lang w:val="en-US"/>
        </w:rPr>
        <w:t xml:space="preserve"> </w:t>
      </w:r>
      <w:r w:rsidRPr="0065002E">
        <w:rPr>
          <w:rFonts w:cs="Arial"/>
          <w:sz w:val="16"/>
          <w:szCs w:val="16"/>
          <w:lang w:val="en-US"/>
        </w:rPr>
        <w:t>(OJ L 252, 16.9.2016).</w:t>
      </w:r>
    </w:p>
  </w:footnote>
  <w:footnote w:id="9">
    <w:p w:rsidR="00C60AC1" w:rsidRPr="000E1F46" w:rsidRDefault="00C60AC1" w:rsidP="000E1F46">
      <w:pPr>
        <w:pStyle w:val="FootnoteText"/>
        <w:ind w:left="284" w:hanging="284"/>
        <w:rPr>
          <w:lang w:val="en-US"/>
        </w:rPr>
      </w:pPr>
      <w:r>
        <w:rPr>
          <w:rStyle w:val="FootnoteReference"/>
        </w:rPr>
        <w:footnoteRef/>
      </w:r>
      <w:r w:rsidRPr="000E1F46">
        <w:rPr>
          <w:lang w:val="en-US"/>
        </w:rPr>
        <w:t xml:space="preserve"> </w:t>
      </w:r>
      <w:r>
        <w:rPr>
          <w:lang w:val="en-US"/>
        </w:rPr>
        <w:tab/>
      </w:r>
      <w:r w:rsidRPr="001F4A68">
        <w:rPr>
          <w:sz w:val="16"/>
          <w:szCs w:val="16"/>
          <w:lang w:val="en-US"/>
        </w:rPr>
        <w:t>IMO Resolution A.800 (19) adopted on 23 November 1995 - Revised Guidelines for Approval of Sprinkler Systems Equivalent to that referred to in SOLAS Regulation II-2/12.</w:t>
      </w:r>
    </w:p>
  </w:footnote>
  <w:footnote w:id="10">
    <w:p w:rsidR="00C60AC1" w:rsidRPr="00712DDD" w:rsidRDefault="00C60AC1" w:rsidP="00C44D3C">
      <w:pPr>
        <w:pStyle w:val="FootnoteText"/>
        <w:ind w:left="284" w:hanging="284"/>
        <w:rPr>
          <w:rFonts w:cs="Arial"/>
          <w:sz w:val="16"/>
          <w:szCs w:val="16"/>
          <w:lang w:val="en-US"/>
        </w:rPr>
      </w:pPr>
      <w:r w:rsidRPr="002A2277">
        <w:rPr>
          <w:rStyle w:val="FootnoteReference"/>
          <w:rFonts w:cs="Arial"/>
          <w:sz w:val="16"/>
          <w:szCs w:val="16"/>
        </w:rPr>
        <w:footnoteRef/>
      </w:r>
      <w:r w:rsidRPr="002A2277">
        <w:rPr>
          <w:rFonts w:cs="Arial"/>
          <w:sz w:val="16"/>
          <w:szCs w:val="16"/>
          <w:lang w:val="en-US"/>
        </w:rPr>
        <w:t xml:space="preserve"> </w:t>
      </w:r>
      <w:r>
        <w:rPr>
          <w:rFonts w:cs="Arial"/>
          <w:sz w:val="16"/>
          <w:szCs w:val="16"/>
          <w:lang w:val="en-US"/>
        </w:rPr>
        <w:tab/>
      </w:r>
      <w:r w:rsidRPr="002A2277">
        <w:rPr>
          <w:rFonts w:cs="Arial"/>
          <w:sz w:val="16"/>
          <w:szCs w:val="16"/>
          <w:lang w:val="en-US"/>
        </w:rPr>
        <w:t>Circular MSC/Circ. 1165 – Revised guidelines for the approval of equivalent water-based fire-extinguishing systems for machinery spaces and ca</w:t>
      </w:r>
      <w:r>
        <w:rPr>
          <w:rFonts w:cs="Arial"/>
          <w:sz w:val="16"/>
          <w:szCs w:val="16"/>
          <w:lang w:val="en-US"/>
        </w:rPr>
        <w:t>rgo pump-rooms – adopted on 10 J</w:t>
      </w:r>
      <w:r w:rsidRPr="002A2277">
        <w:rPr>
          <w:rFonts w:cs="Arial"/>
          <w:sz w:val="16"/>
          <w:szCs w:val="16"/>
          <w:lang w:val="en-US"/>
        </w:rPr>
        <w:t>une 2005 and as amended by MSC/Circ.1269 , MSC/Circ.1386 and MSC/Circ.1385.</w:t>
      </w:r>
    </w:p>
  </w:footnote>
  <w:footnote w:id="11">
    <w:p w:rsidR="00C60AC1" w:rsidRPr="000E1F46" w:rsidRDefault="00C60AC1" w:rsidP="000E1F46">
      <w:pPr>
        <w:pStyle w:val="FootnoteText"/>
        <w:ind w:left="284" w:hanging="284"/>
        <w:rPr>
          <w:lang w:val="en-US"/>
        </w:rPr>
      </w:pPr>
      <w:r>
        <w:rPr>
          <w:rStyle w:val="FootnoteReference"/>
        </w:rPr>
        <w:footnoteRef/>
      </w:r>
      <w:r w:rsidRPr="000E1F46">
        <w:rPr>
          <w:lang w:val="en-US"/>
        </w:rPr>
        <w:t xml:space="preserve"> </w:t>
      </w:r>
      <w:r w:rsidRPr="000E1F46">
        <w:rPr>
          <w:lang w:val="en-US"/>
        </w:rPr>
        <w:tab/>
      </w:r>
      <w:r w:rsidRPr="001F4A68">
        <w:rPr>
          <w:rFonts w:eastAsia="Calibri"/>
          <w:sz w:val="16"/>
          <w:szCs w:val="16"/>
          <w:lang w:val="en-US" w:eastAsia="en-US"/>
        </w:rPr>
        <w:t xml:space="preserve">IMO Resolution A.266 (VIII) </w:t>
      </w:r>
      <w:r w:rsidRPr="001F4A68">
        <w:rPr>
          <w:sz w:val="16"/>
          <w:szCs w:val="16"/>
          <w:lang w:val="en-US"/>
        </w:rPr>
        <w:t>adopted on 20 November 1973 - Recommendation on a Standard Method for Establishing Compliance with the Requirements for Cross-Flooding Arrangements in Passenger Ships.</w:t>
      </w:r>
    </w:p>
  </w:footnote>
  <w:footnote w:id="12">
    <w:p w:rsidR="00C60AC1" w:rsidRPr="00101CB2" w:rsidRDefault="00C60AC1" w:rsidP="003D2554">
      <w:pPr>
        <w:pStyle w:val="FootnoteText"/>
        <w:ind w:left="284" w:hanging="284"/>
        <w:rPr>
          <w:sz w:val="16"/>
          <w:szCs w:val="16"/>
          <w:lang w:val="en-US"/>
        </w:rPr>
      </w:pPr>
      <w:r w:rsidRPr="003D2554">
        <w:rPr>
          <w:rStyle w:val="FootnoteReference"/>
          <w:sz w:val="16"/>
          <w:szCs w:val="16"/>
          <w:lang w:val="en-US"/>
        </w:rPr>
        <w:footnoteRef/>
      </w:r>
      <w:r w:rsidRPr="003D2554">
        <w:rPr>
          <w:sz w:val="16"/>
          <w:szCs w:val="16"/>
          <w:lang w:val="en-US"/>
        </w:rPr>
        <w:tab/>
      </w:r>
      <w:r w:rsidRPr="00101CB2">
        <w:rPr>
          <w:sz w:val="16"/>
          <w:szCs w:val="16"/>
          <w:lang w:val="en-US"/>
        </w:rPr>
        <w:t>Distance from the cross-tree to the deck.</w:t>
      </w:r>
    </w:p>
  </w:footnote>
  <w:footnote w:id="13">
    <w:p w:rsidR="00C60AC1" w:rsidRPr="000323C7" w:rsidRDefault="00C60AC1" w:rsidP="000323C7">
      <w:pPr>
        <w:pStyle w:val="FootnoteText"/>
        <w:ind w:left="284" w:hanging="284"/>
        <w:rPr>
          <w:lang w:val="en-US"/>
        </w:rPr>
      </w:pPr>
      <w:r w:rsidRPr="000323C7">
        <w:rPr>
          <w:rStyle w:val="FootnoteReference"/>
          <w:sz w:val="16"/>
        </w:rPr>
        <w:footnoteRef/>
      </w:r>
      <w:r w:rsidRPr="00101CB2">
        <w:rPr>
          <w:lang w:val="en-US"/>
        </w:rPr>
        <w:t xml:space="preserve"> </w:t>
      </w:r>
      <w:r w:rsidRPr="000323C7">
        <w:rPr>
          <w:lang w:val="en-US"/>
        </w:rPr>
        <w:tab/>
      </w:r>
      <w:r w:rsidRPr="00101CB2">
        <w:rPr>
          <w:sz w:val="16"/>
          <w:szCs w:val="16"/>
          <w:lang w:val="en-US"/>
        </w:rPr>
        <w:t>Total length of the topmast, without the masthead.</w:t>
      </w:r>
    </w:p>
  </w:footnote>
  <w:footnote w:id="14">
    <w:p w:rsidR="00C60AC1" w:rsidRPr="00101CB2" w:rsidRDefault="00C60AC1" w:rsidP="003D2554">
      <w:pPr>
        <w:pStyle w:val="FootnoteText"/>
        <w:ind w:left="284" w:hanging="284"/>
        <w:rPr>
          <w:sz w:val="16"/>
          <w:szCs w:val="16"/>
          <w:lang w:val="en-US"/>
        </w:rPr>
      </w:pPr>
      <w:r w:rsidRPr="003D2554">
        <w:rPr>
          <w:rStyle w:val="FootnoteReference"/>
          <w:sz w:val="16"/>
          <w:szCs w:val="16"/>
          <w:lang w:val="en-US"/>
        </w:rPr>
        <w:footnoteRef/>
      </w:r>
      <w:r w:rsidRPr="003D2554">
        <w:rPr>
          <w:sz w:val="16"/>
          <w:szCs w:val="16"/>
          <w:lang w:val="en-US"/>
        </w:rPr>
        <w:tab/>
      </w:r>
      <w:r w:rsidRPr="00101CB2">
        <w:rPr>
          <w:sz w:val="16"/>
          <w:szCs w:val="16"/>
          <w:lang w:val="en-US"/>
        </w:rPr>
        <w:t>Diameter of the topmast at the level of the masthead fitting.</w:t>
      </w:r>
    </w:p>
  </w:footnote>
  <w:footnote w:id="15">
    <w:p w:rsidR="00C60AC1" w:rsidRPr="00101CB2" w:rsidRDefault="00C60AC1" w:rsidP="00A90B64">
      <w:pPr>
        <w:pStyle w:val="FootnoteText"/>
        <w:ind w:left="284" w:hanging="284"/>
        <w:rPr>
          <w:sz w:val="16"/>
          <w:szCs w:val="16"/>
          <w:lang w:val="en-US"/>
        </w:rPr>
      </w:pPr>
      <w:r w:rsidRPr="003D2554">
        <w:rPr>
          <w:rStyle w:val="FootnoteReference"/>
          <w:sz w:val="16"/>
          <w:szCs w:val="16"/>
          <w:lang w:val="en-US"/>
        </w:rPr>
        <w:footnoteRef/>
      </w:r>
      <w:r w:rsidRPr="003D2554">
        <w:rPr>
          <w:sz w:val="16"/>
          <w:szCs w:val="16"/>
          <w:lang w:val="en-US"/>
        </w:rPr>
        <w:tab/>
      </w:r>
      <w:r w:rsidRPr="00101CB2">
        <w:rPr>
          <w:sz w:val="16"/>
          <w:szCs w:val="16"/>
          <w:lang w:val="en-US"/>
        </w:rPr>
        <w:t>Total length of the bowsprit.</w:t>
      </w:r>
    </w:p>
  </w:footnote>
  <w:footnote w:id="16">
    <w:p w:rsidR="00C60AC1" w:rsidRPr="00101CB2" w:rsidRDefault="00C60AC1" w:rsidP="00A90B64">
      <w:pPr>
        <w:pStyle w:val="FootnoteText"/>
        <w:ind w:left="284" w:hanging="284"/>
        <w:rPr>
          <w:sz w:val="16"/>
          <w:szCs w:val="16"/>
          <w:lang w:val="en-US"/>
        </w:rPr>
      </w:pPr>
      <w:r w:rsidRPr="003D2554">
        <w:rPr>
          <w:rStyle w:val="FootnoteReference"/>
          <w:sz w:val="16"/>
          <w:szCs w:val="16"/>
          <w:lang w:val="en-US"/>
        </w:rPr>
        <w:footnoteRef/>
      </w:r>
      <w:r w:rsidRPr="003D2554">
        <w:rPr>
          <w:sz w:val="16"/>
          <w:szCs w:val="16"/>
          <w:lang w:val="en-US"/>
        </w:rPr>
        <w:tab/>
      </w:r>
      <w:r w:rsidRPr="00101CB2">
        <w:rPr>
          <w:sz w:val="16"/>
          <w:szCs w:val="16"/>
          <w:lang w:val="en-US"/>
        </w:rPr>
        <w:t>Total length of the jib-boom.</w:t>
      </w:r>
    </w:p>
  </w:footnote>
  <w:footnote w:id="17">
    <w:p w:rsidR="00C60AC1" w:rsidRPr="00101CB2" w:rsidRDefault="00C60AC1" w:rsidP="00A90B64">
      <w:pPr>
        <w:pStyle w:val="FootnoteText"/>
        <w:ind w:left="284" w:hanging="284"/>
        <w:rPr>
          <w:sz w:val="16"/>
          <w:szCs w:val="16"/>
          <w:lang w:val="en-US"/>
        </w:rPr>
      </w:pPr>
      <w:r w:rsidRPr="003D2554">
        <w:rPr>
          <w:rStyle w:val="FootnoteReference"/>
          <w:sz w:val="16"/>
          <w:szCs w:val="16"/>
          <w:lang w:val="en-US"/>
        </w:rPr>
        <w:footnoteRef/>
      </w:r>
      <w:r w:rsidRPr="003D2554">
        <w:rPr>
          <w:sz w:val="16"/>
          <w:szCs w:val="16"/>
          <w:lang w:val="en-US"/>
        </w:rPr>
        <w:tab/>
      </w:r>
      <w:r w:rsidRPr="00101CB2">
        <w:rPr>
          <w:sz w:val="16"/>
          <w:szCs w:val="16"/>
          <w:lang w:val="en-US"/>
        </w:rPr>
        <w:t>Total length of the main boom.</w:t>
      </w:r>
    </w:p>
  </w:footnote>
  <w:footnote w:id="18">
    <w:p w:rsidR="00C60AC1" w:rsidRPr="00101CB2" w:rsidRDefault="00C60AC1" w:rsidP="00A90B64">
      <w:pPr>
        <w:pStyle w:val="FootnoteText"/>
        <w:ind w:left="284" w:hanging="284"/>
        <w:rPr>
          <w:sz w:val="16"/>
          <w:szCs w:val="16"/>
          <w:lang w:val="en-US"/>
        </w:rPr>
      </w:pPr>
      <w:r w:rsidRPr="003D2554">
        <w:rPr>
          <w:rStyle w:val="FootnoteReference"/>
          <w:sz w:val="16"/>
          <w:szCs w:val="16"/>
          <w:lang w:val="en-US"/>
        </w:rPr>
        <w:footnoteRef/>
      </w:r>
      <w:r w:rsidRPr="003D2554">
        <w:rPr>
          <w:sz w:val="16"/>
          <w:szCs w:val="16"/>
          <w:lang w:val="en-US"/>
        </w:rPr>
        <w:tab/>
      </w:r>
      <w:r w:rsidRPr="00101CB2">
        <w:rPr>
          <w:sz w:val="16"/>
          <w:szCs w:val="16"/>
          <w:lang w:val="en-US"/>
        </w:rPr>
        <w:t>Total length of the gaff.</w:t>
      </w:r>
    </w:p>
  </w:footnote>
  <w:footnote w:id="19">
    <w:p w:rsidR="00C60AC1" w:rsidRPr="00101CB2" w:rsidRDefault="00C60AC1" w:rsidP="003D2554">
      <w:pPr>
        <w:pStyle w:val="FootnoteText"/>
        <w:ind w:left="284" w:hanging="284"/>
        <w:rPr>
          <w:sz w:val="16"/>
          <w:szCs w:val="16"/>
          <w:lang w:val="en-US"/>
        </w:rPr>
      </w:pPr>
      <w:r w:rsidRPr="003D2554">
        <w:rPr>
          <w:rStyle w:val="FootnoteReference"/>
          <w:sz w:val="16"/>
          <w:szCs w:val="16"/>
          <w:lang w:val="en-US"/>
        </w:rPr>
        <w:footnoteRef/>
      </w:r>
      <w:r w:rsidRPr="003D2554">
        <w:rPr>
          <w:sz w:val="16"/>
          <w:szCs w:val="16"/>
          <w:lang w:val="en-US"/>
        </w:rPr>
        <w:tab/>
      </w:r>
      <w:r w:rsidRPr="00101CB2">
        <w:rPr>
          <w:sz w:val="16"/>
          <w:szCs w:val="16"/>
          <w:lang w:val="en-US"/>
        </w:rPr>
        <w:t>Distance from the top or cross-tree to the deck.</w:t>
      </w:r>
    </w:p>
  </w:footnote>
  <w:footnote w:id="20">
    <w:p w:rsidR="00C60AC1" w:rsidRPr="00101CB2" w:rsidRDefault="00C60AC1" w:rsidP="003D2554">
      <w:pPr>
        <w:pStyle w:val="FootnoteText"/>
        <w:ind w:left="284" w:hanging="284"/>
        <w:rPr>
          <w:sz w:val="16"/>
          <w:szCs w:val="16"/>
          <w:lang w:val="en-US"/>
        </w:rPr>
      </w:pPr>
      <w:r w:rsidRPr="003D2554">
        <w:rPr>
          <w:rStyle w:val="FootnoteReference"/>
          <w:sz w:val="16"/>
          <w:szCs w:val="16"/>
          <w:lang w:val="en-US"/>
        </w:rPr>
        <w:footnoteRef/>
      </w:r>
      <w:r w:rsidRPr="003D2554">
        <w:rPr>
          <w:sz w:val="16"/>
          <w:szCs w:val="16"/>
          <w:lang w:val="en-US"/>
        </w:rPr>
        <w:tab/>
      </w:r>
      <w:r w:rsidRPr="00101CB2">
        <w:rPr>
          <w:sz w:val="16"/>
          <w:szCs w:val="16"/>
          <w:lang w:val="en-US"/>
        </w:rPr>
        <w:t>Distance from the top or cross-tree to the deck.</w:t>
      </w:r>
    </w:p>
  </w:footnote>
  <w:footnote w:id="21">
    <w:p w:rsidR="00C60AC1" w:rsidRPr="00254134" w:rsidRDefault="00C60AC1" w:rsidP="00C919D5">
      <w:pPr>
        <w:pStyle w:val="FootnoteText"/>
        <w:ind w:left="284" w:hanging="284"/>
        <w:rPr>
          <w:sz w:val="16"/>
          <w:szCs w:val="16"/>
          <w:lang w:val="en-US"/>
        </w:rPr>
      </w:pPr>
      <w:r w:rsidRPr="00C919D5">
        <w:rPr>
          <w:rStyle w:val="FootnoteReference"/>
          <w:sz w:val="16"/>
          <w:szCs w:val="16"/>
        </w:rPr>
        <w:footnoteRef/>
      </w:r>
      <w:r w:rsidRPr="00C919D5">
        <w:rPr>
          <w:sz w:val="16"/>
          <w:szCs w:val="16"/>
          <w:lang w:val="en-US"/>
        </w:rPr>
        <w:tab/>
        <w:t>Directive 2006/42/EC of the European Parliament and of the Council of 17 May 2006 on machinery, and amending Directive 95/16/EC (OJ L 157, 9.6.2006).</w:t>
      </w:r>
    </w:p>
  </w:footnote>
  <w:footnote w:id="22">
    <w:p w:rsidR="00C60AC1" w:rsidRPr="00A867CE" w:rsidRDefault="00C60AC1" w:rsidP="00A867CE">
      <w:pPr>
        <w:pStyle w:val="FootnoteText"/>
        <w:ind w:left="284" w:hanging="284"/>
        <w:rPr>
          <w:sz w:val="16"/>
          <w:szCs w:val="16"/>
          <w:lang w:val="en-US"/>
        </w:rPr>
      </w:pPr>
      <w:r>
        <w:rPr>
          <w:rStyle w:val="FootnoteReference"/>
        </w:rPr>
        <w:footnoteRef/>
      </w:r>
      <w:r w:rsidRPr="00A867CE">
        <w:rPr>
          <w:lang w:val="en-US"/>
        </w:rPr>
        <w:t xml:space="preserve"> </w:t>
      </w:r>
      <w:r>
        <w:rPr>
          <w:lang w:val="en-US"/>
        </w:rPr>
        <w:tab/>
      </w:r>
      <w:r w:rsidRPr="00A867CE">
        <w:rPr>
          <w:sz w:val="16"/>
          <w:szCs w:val="16"/>
          <w:lang w:val="en-US"/>
        </w:rPr>
        <w:t>Directive 2013/53/EU of the European Parliament and of the Council of 20 November 2013 on recreational craft and personal watercraft and repealing Directive 94/25/EC (OJ L 354, 28.12.2013)</w:t>
      </w:r>
      <w:r>
        <w:rPr>
          <w:sz w:val="16"/>
          <w:szCs w:val="16"/>
          <w:lang w:val="en-US"/>
        </w:rPr>
        <w:t>.</w:t>
      </w:r>
    </w:p>
  </w:footnote>
  <w:footnote w:id="23">
    <w:p w:rsidR="00C60AC1" w:rsidRPr="0007393A" w:rsidRDefault="00C60AC1" w:rsidP="0007393A">
      <w:pPr>
        <w:pStyle w:val="FootnoteText"/>
        <w:ind w:left="284" w:hanging="284"/>
        <w:rPr>
          <w:sz w:val="16"/>
          <w:szCs w:val="16"/>
          <w:lang w:val="en-US"/>
        </w:rPr>
      </w:pPr>
      <w:r w:rsidRPr="00101CB2">
        <w:rPr>
          <w:rStyle w:val="FootnoteReference"/>
          <w:lang w:val="en-US"/>
        </w:rPr>
        <w:t>*</w:t>
      </w:r>
      <w:r w:rsidRPr="00101CB2">
        <w:rPr>
          <w:lang w:val="en-US"/>
        </w:rPr>
        <w:t xml:space="preserve"> </w:t>
      </w:r>
      <w:r w:rsidRPr="0007393A">
        <w:rPr>
          <w:lang w:val="en-US"/>
        </w:rPr>
        <w:tab/>
      </w:r>
      <w:r w:rsidRPr="00101CB2">
        <w:rPr>
          <w:sz w:val="16"/>
          <w:szCs w:val="16"/>
          <w:lang w:val="en-US"/>
        </w:rPr>
        <w:t>The hold sections providing free surfaces that are exposed to water arise from the longitudinal and/or tranverse water-tight compartmentalisation that forms independent sections.</w:t>
      </w:r>
    </w:p>
  </w:footnote>
  <w:footnote w:id="24">
    <w:p w:rsidR="00C60AC1" w:rsidRPr="000E1F46" w:rsidRDefault="00C60AC1" w:rsidP="000E1F46">
      <w:pPr>
        <w:pStyle w:val="FootnoteText"/>
        <w:ind w:left="284" w:hanging="284"/>
        <w:rPr>
          <w:lang w:val="en-US"/>
        </w:rPr>
      </w:pPr>
      <w:r>
        <w:rPr>
          <w:rStyle w:val="FootnoteReference"/>
        </w:rPr>
        <w:footnoteRef/>
      </w:r>
      <w:r w:rsidRPr="000E1F46">
        <w:rPr>
          <w:lang w:val="en-US"/>
        </w:rPr>
        <w:t xml:space="preserve"> </w:t>
      </w:r>
      <w:r>
        <w:rPr>
          <w:lang w:val="en-US"/>
        </w:rPr>
        <w:tab/>
      </w:r>
      <w:r>
        <w:rPr>
          <w:sz w:val="16"/>
          <w:szCs w:val="16"/>
          <w:lang w:val="en-US"/>
        </w:rPr>
        <w:t>MSC.267</w:t>
      </w:r>
      <w:r w:rsidRPr="001F4A68">
        <w:rPr>
          <w:sz w:val="16"/>
          <w:szCs w:val="16"/>
          <w:lang w:val="en-US"/>
        </w:rPr>
        <w:t>(85) adopted on 4 December 2008 - International Code on Intact Stability.</w:t>
      </w:r>
    </w:p>
  </w:footnote>
  <w:footnote w:id="25">
    <w:p w:rsidR="00C60AC1" w:rsidRPr="00F40BDA" w:rsidRDefault="00C60AC1" w:rsidP="00B90A00">
      <w:pPr>
        <w:pStyle w:val="FootnoteText"/>
        <w:spacing w:before="20"/>
        <w:ind w:left="284" w:hanging="284"/>
        <w:rPr>
          <w:rFonts w:cs="Arial"/>
          <w:sz w:val="16"/>
          <w:szCs w:val="16"/>
          <w:lang w:val="en-US"/>
        </w:rPr>
      </w:pPr>
      <w:r>
        <w:rPr>
          <w:rStyle w:val="FootnoteReference"/>
        </w:rPr>
        <w:footnoteRef/>
      </w:r>
      <w:r w:rsidRPr="00E00F5E">
        <w:rPr>
          <w:lang w:val="en-US"/>
        </w:rPr>
        <w:t xml:space="preserve"> </w:t>
      </w:r>
      <w:r>
        <w:rPr>
          <w:lang w:val="en-US"/>
        </w:rPr>
        <w:tab/>
      </w:r>
      <w:r w:rsidRPr="00F40BDA">
        <w:rPr>
          <w:rFonts w:cs="Arial"/>
          <w:sz w:val="16"/>
          <w:szCs w:val="16"/>
          <w:lang w:val="en-US"/>
        </w:rPr>
        <w:t>Directive 2006/87/EC of the European Parliament and of the Council of 12 December 2006 laying down technical requirements for inland waterway vessels and repealing Council Directive 82/714/EEC (</w:t>
      </w:r>
      <w:r w:rsidRPr="00F40BDA">
        <w:rPr>
          <w:rFonts w:cs="Arial"/>
          <w:iCs/>
          <w:sz w:val="16"/>
          <w:szCs w:val="16"/>
          <w:lang w:val="en"/>
        </w:rPr>
        <w:t>OJ L 389, 30.12.2006)</w:t>
      </w:r>
      <w:r>
        <w:rPr>
          <w:rFonts w:cs="Arial"/>
          <w:iCs/>
          <w:sz w:val="16"/>
          <w:szCs w:val="16"/>
          <w:lang w:val="en"/>
        </w:rPr>
        <w:t>.</w:t>
      </w:r>
    </w:p>
  </w:footnote>
  <w:footnote w:id="26">
    <w:p w:rsidR="00C60AC1" w:rsidRPr="00B60926" w:rsidRDefault="00C60AC1" w:rsidP="00E113D0">
      <w:pPr>
        <w:pStyle w:val="FootnoteText"/>
        <w:spacing w:before="40"/>
        <w:ind w:left="284" w:hanging="284"/>
        <w:rPr>
          <w:rFonts w:cs="Arial"/>
          <w:sz w:val="16"/>
          <w:szCs w:val="16"/>
          <w:lang w:val="en-US"/>
        </w:rPr>
      </w:pPr>
      <w:r>
        <w:rPr>
          <w:rStyle w:val="FootnoteReference"/>
          <w:sz w:val="16"/>
        </w:rPr>
        <w:footnoteRef/>
      </w:r>
      <w:r w:rsidRPr="00B60926">
        <w:rPr>
          <w:sz w:val="16"/>
          <w:lang w:val="en-US"/>
        </w:rPr>
        <w:t xml:space="preserve"> </w:t>
      </w:r>
      <w:r w:rsidRPr="00B60926">
        <w:rPr>
          <w:lang w:val="en-US"/>
        </w:rPr>
        <w:tab/>
      </w:r>
      <w:r w:rsidRPr="00B60926">
        <w:rPr>
          <w:sz w:val="16"/>
          <w:lang w:val="en-US"/>
        </w:rPr>
        <w:t xml:space="preserve">The transitional provision applicable to Article 8.10(3) is a temporary requirement, </w:t>
      </w:r>
      <w:r w:rsidRPr="009942A5">
        <w:rPr>
          <w:sz w:val="16"/>
          <w:lang w:val="en-US"/>
        </w:rPr>
        <w:t>applicable until 31 December 2019. The following</w:t>
      </w:r>
      <w:r w:rsidRPr="00B60926">
        <w:rPr>
          <w:sz w:val="16"/>
          <w:lang w:val="en-US"/>
        </w:rPr>
        <w:t xml:space="preserve"> transitional provision was in force prior to 01 December 2014: </w:t>
      </w:r>
      <w:r>
        <w:rPr>
          <w:sz w:val="16"/>
          <w:lang w:val="en-US"/>
        </w:rPr>
        <w:t>‘</w:t>
      </w:r>
      <w:r w:rsidRPr="00B60926">
        <w:rPr>
          <w:i/>
          <w:sz w:val="16"/>
          <w:lang w:val="en-US"/>
        </w:rPr>
        <w:t xml:space="preserve">8.10(3) / Emission limit of 65 dB(A) for stationary vessels / </w:t>
      </w:r>
      <w:r>
        <w:rPr>
          <w:i/>
          <w:sz w:val="16"/>
          <w:lang w:val="en-US"/>
        </w:rPr>
        <w:t>N.R.C.</w:t>
      </w:r>
      <w:r w:rsidRPr="00B60926">
        <w:rPr>
          <w:i/>
          <w:sz w:val="16"/>
          <w:lang w:val="en-US"/>
        </w:rPr>
        <w:t xml:space="preserve">, at the latest on renewal of the </w:t>
      </w:r>
      <w:r>
        <w:rPr>
          <w:i/>
          <w:sz w:val="16"/>
          <w:lang w:val="en-US"/>
        </w:rPr>
        <w:t>inland navigation vessel certificate</w:t>
      </w:r>
      <w:r w:rsidRPr="00B60926">
        <w:rPr>
          <w:i/>
          <w:sz w:val="16"/>
          <w:lang w:val="en-US"/>
        </w:rPr>
        <w:t xml:space="preserve"> after 1.1.2015</w:t>
      </w:r>
      <w:r>
        <w:rPr>
          <w:i/>
          <w:sz w:val="16"/>
          <w:lang w:val="en-US"/>
        </w:rPr>
        <w:t>’</w:t>
      </w:r>
      <w:r w:rsidRPr="00B60926">
        <w:rPr>
          <w:i/>
          <w:sz w:val="16"/>
          <w:lang w:val="en-US"/>
        </w:rPr>
        <w:t>.</w:t>
      </w:r>
    </w:p>
  </w:footnote>
  <w:footnote w:id="27">
    <w:p w:rsidR="00C60AC1" w:rsidRPr="00F7713D" w:rsidRDefault="00C60AC1" w:rsidP="00E113D0">
      <w:pPr>
        <w:pStyle w:val="FootnoteText"/>
        <w:spacing w:before="40"/>
        <w:ind w:left="284" w:hanging="284"/>
        <w:rPr>
          <w:lang w:val="en-US"/>
        </w:rPr>
      </w:pPr>
      <w:r w:rsidRPr="00F7713D">
        <w:rPr>
          <w:rStyle w:val="FootnoteReference"/>
          <w:sz w:val="16"/>
        </w:rPr>
        <w:footnoteRef/>
      </w:r>
      <w:r w:rsidRPr="00F7713D">
        <w:rPr>
          <w:sz w:val="16"/>
          <w:lang w:val="en-US"/>
        </w:rPr>
        <w:t xml:space="preserve"> </w:t>
      </w:r>
      <w:r w:rsidRPr="00F7713D">
        <w:rPr>
          <w:lang w:val="en-US"/>
        </w:rPr>
        <w:tab/>
      </w:r>
      <w:r w:rsidRPr="00F7713D">
        <w:rPr>
          <w:sz w:val="16"/>
          <w:lang w:val="en-US"/>
        </w:rPr>
        <w:t xml:space="preserve">The transitional provision applicable to Article 13.07 is a temporary requirement, applicable until 31 December 2019. The following transitional provision was in force prior to 1 December 2014: </w:t>
      </w:r>
      <w:r>
        <w:rPr>
          <w:sz w:val="16"/>
          <w:lang w:val="en-US"/>
        </w:rPr>
        <w:t>‘</w:t>
      </w:r>
      <w:r w:rsidRPr="00F7713D">
        <w:rPr>
          <w:i/>
          <w:sz w:val="16"/>
          <w:lang w:val="en-US"/>
        </w:rPr>
        <w:t xml:space="preserve">13.07 / Application of the European standard to ship’s boat / </w:t>
      </w:r>
      <w:r>
        <w:rPr>
          <w:i/>
          <w:sz w:val="16"/>
          <w:lang w:val="en-US"/>
        </w:rPr>
        <w:t>N.R.C.</w:t>
      </w:r>
      <w:r w:rsidRPr="00F7713D">
        <w:rPr>
          <w:i/>
          <w:sz w:val="16"/>
          <w:lang w:val="en-US"/>
        </w:rPr>
        <w:t>, at the latest on renewal of the inland navigation vessel certificate after 1.1.2015</w:t>
      </w:r>
      <w:r>
        <w:rPr>
          <w:i/>
          <w:sz w:val="16"/>
          <w:lang w:val="en-US"/>
        </w:rPr>
        <w:t>’</w:t>
      </w:r>
      <w:r w:rsidRPr="00F7713D">
        <w:rPr>
          <w:i/>
          <w:sz w:val="16"/>
          <w:lang w:val="en-US"/>
        </w:rPr>
        <w:t>.</w:t>
      </w:r>
    </w:p>
  </w:footnote>
  <w:footnote w:id="28">
    <w:p w:rsidR="00C60AC1" w:rsidRDefault="00C60AC1" w:rsidP="002D3F17">
      <w:pPr>
        <w:pStyle w:val="FootnoteText"/>
        <w:ind w:left="284" w:hanging="284"/>
        <w:rPr>
          <w:sz w:val="16"/>
          <w:szCs w:val="16"/>
          <w:lang w:val="en-US"/>
        </w:rPr>
      </w:pPr>
      <w:r w:rsidRPr="00F7713D">
        <w:rPr>
          <w:rStyle w:val="FootnoteReference"/>
        </w:rPr>
        <w:footnoteRef/>
      </w:r>
      <w:r w:rsidRPr="00F7713D">
        <w:rPr>
          <w:lang w:val="en-US"/>
        </w:rPr>
        <w:t xml:space="preserve"> </w:t>
      </w:r>
      <w:r w:rsidRPr="00F7713D">
        <w:rPr>
          <w:lang w:val="en-US"/>
        </w:rPr>
        <w:tab/>
      </w:r>
      <w:r w:rsidRPr="005038C1">
        <w:rPr>
          <w:sz w:val="16"/>
          <w:szCs w:val="16"/>
          <w:lang w:val="en-US"/>
        </w:rPr>
        <w:t>However at the latest on renewal of the inland navigation vessel certificate after 1.1.2015, the crafts must comply with the following requirements</w:t>
      </w:r>
      <w:r>
        <w:rPr>
          <w:sz w:val="16"/>
          <w:szCs w:val="16"/>
          <w:lang w:val="en-US"/>
        </w:rPr>
        <w:t>:</w:t>
      </w:r>
    </w:p>
    <w:p w:rsidR="00C60AC1" w:rsidRDefault="00C60AC1" w:rsidP="00C5514F">
      <w:pPr>
        <w:pStyle w:val="FootnoteText"/>
        <w:spacing w:before="40"/>
        <w:ind w:left="568" w:hanging="284"/>
        <w:rPr>
          <w:rFonts w:cs="Arial"/>
          <w:sz w:val="16"/>
          <w:szCs w:val="16"/>
          <w:lang w:val="en-US"/>
        </w:rPr>
      </w:pPr>
      <w:r>
        <w:rPr>
          <w:rFonts w:cs="Arial"/>
          <w:sz w:val="16"/>
          <w:szCs w:val="16"/>
          <w:lang w:val="en-US"/>
        </w:rPr>
        <w:t>-</w:t>
      </w:r>
      <w:r>
        <w:rPr>
          <w:rFonts w:cs="Arial"/>
          <w:sz w:val="16"/>
          <w:szCs w:val="16"/>
          <w:lang w:val="en-US"/>
        </w:rPr>
        <w:tab/>
      </w:r>
      <w:r w:rsidRPr="005038C1">
        <w:rPr>
          <w:rFonts w:cs="Arial"/>
          <w:sz w:val="16"/>
          <w:szCs w:val="16"/>
          <w:lang w:val="en-US"/>
        </w:rPr>
        <w:t xml:space="preserve">The outer edges of the decks, as well as work stations where persons might fall more than 1 m, shall be fitted with bulwarks or coamings that are at least 0.70 m height or with continuous guard rails in accordance with European Standard EN 711 : 1995, comprising a handrail, intermediate rail at knee height and foot rail. </w:t>
      </w:r>
    </w:p>
    <w:p w:rsidR="00C60AC1" w:rsidRPr="005038C1" w:rsidRDefault="00C60AC1" w:rsidP="00C5514F">
      <w:pPr>
        <w:pStyle w:val="FootnoteText"/>
        <w:spacing w:before="40"/>
        <w:ind w:left="568" w:hanging="284"/>
        <w:rPr>
          <w:rFonts w:cs="Arial"/>
          <w:sz w:val="16"/>
          <w:szCs w:val="16"/>
          <w:lang w:val="en-US"/>
        </w:rPr>
      </w:pPr>
      <w:r>
        <w:rPr>
          <w:rFonts w:cs="Arial"/>
          <w:sz w:val="16"/>
          <w:szCs w:val="16"/>
          <w:lang w:val="en-US"/>
        </w:rPr>
        <w:t>-</w:t>
      </w:r>
      <w:r>
        <w:rPr>
          <w:rFonts w:cs="Arial"/>
          <w:sz w:val="16"/>
          <w:szCs w:val="16"/>
          <w:lang w:val="en-US"/>
        </w:rPr>
        <w:tab/>
      </w:r>
      <w:r w:rsidRPr="005038C1">
        <w:rPr>
          <w:rFonts w:cs="Arial"/>
          <w:sz w:val="16"/>
          <w:szCs w:val="16"/>
          <w:lang w:val="en-US"/>
        </w:rPr>
        <w:t>Side decks shall be fitted with a foot rail and continuous handrail that is secured to the coaming. Coaming handrails shall not be required where sidedecks are fitted with non-retractable shipside guard rails.</w:t>
      </w:r>
    </w:p>
  </w:footnote>
  <w:footnote w:id="29">
    <w:p w:rsidR="00C60AC1" w:rsidRPr="00E54523" w:rsidRDefault="00C60AC1" w:rsidP="001E2331">
      <w:pPr>
        <w:pStyle w:val="FootnoteText"/>
        <w:ind w:left="284" w:hanging="284"/>
        <w:rPr>
          <w:rFonts w:cs="Arial"/>
          <w:sz w:val="16"/>
          <w:szCs w:val="16"/>
          <w:lang w:val="en-US"/>
        </w:rPr>
      </w:pPr>
      <w:r w:rsidRPr="00E54523">
        <w:rPr>
          <w:rStyle w:val="FootnoteReference"/>
          <w:rFonts w:cs="Arial"/>
        </w:rPr>
        <w:footnoteRef/>
      </w:r>
      <w:r w:rsidRPr="00E54523">
        <w:rPr>
          <w:rFonts w:cs="Arial"/>
          <w:lang w:val="en-US"/>
        </w:rPr>
        <w:tab/>
      </w:r>
      <w:r w:rsidRPr="00E54523">
        <w:rPr>
          <w:rFonts w:cs="Arial"/>
          <w:sz w:val="16"/>
          <w:lang w:val="en-US"/>
        </w:rPr>
        <w:t>For vessel</w:t>
      </w:r>
      <w:r w:rsidRPr="00E54523">
        <w:rPr>
          <w:rFonts w:cs="Arial"/>
          <w:sz w:val="16"/>
          <w:lang w:val="en-GB"/>
        </w:rPr>
        <w:t>s</w:t>
      </w:r>
      <w:r w:rsidRPr="00E54523">
        <w:rPr>
          <w:rFonts w:cs="Arial"/>
          <w:sz w:val="16"/>
          <w:lang w:val="en-US"/>
        </w:rPr>
        <w:t xml:space="preserve"> laid down after 31.12.1994 and for vessel</w:t>
      </w:r>
      <w:r w:rsidRPr="00E54523">
        <w:rPr>
          <w:rFonts w:cs="Arial"/>
          <w:sz w:val="16"/>
          <w:lang w:val="en-GB"/>
        </w:rPr>
        <w:t>s</w:t>
      </w:r>
      <w:r w:rsidRPr="00E54523">
        <w:rPr>
          <w:rFonts w:cs="Arial"/>
          <w:sz w:val="16"/>
          <w:lang w:val="en-US"/>
        </w:rPr>
        <w:t xml:space="preserve"> in service, the requirement shall apply under the following conditions:</w:t>
      </w:r>
    </w:p>
    <w:p w:rsidR="00C60AC1" w:rsidRPr="00E54523" w:rsidRDefault="00C60AC1" w:rsidP="001E2331">
      <w:pPr>
        <w:pStyle w:val="FootnoteText"/>
        <w:spacing w:before="40"/>
        <w:ind w:left="284" w:firstLine="0"/>
        <w:rPr>
          <w:rFonts w:cs="Arial"/>
          <w:sz w:val="16"/>
          <w:szCs w:val="16"/>
          <w:lang w:val="en-US"/>
        </w:rPr>
      </w:pPr>
      <w:r w:rsidRPr="00E54523">
        <w:rPr>
          <w:rFonts w:cs="Arial"/>
          <w:sz w:val="16"/>
          <w:lang w:val="en-US"/>
        </w:rPr>
        <w:t>Should the entire hold area be replaced, the requirements of article 14.04 must be complied with. In the event of modifications affecting the entire length of the side deck area and modifying the clear width of the side deck,</w:t>
      </w:r>
    </w:p>
    <w:p w:rsidR="00C60AC1" w:rsidRPr="00E54523" w:rsidRDefault="00C60AC1" w:rsidP="001E2331">
      <w:pPr>
        <w:pStyle w:val="FootnoteText"/>
        <w:tabs>
          <w:tab w:val="left" w:pos="567"/>
        </w:tabs>
        <w:spacing w:before="40"/>
        <w:ind w:left="567" w:hanging="283"/>
        <w:rPr>
          <w:rFonts w:cs="Arial"/>
          <w:sz w:val="16"/>
          <w:szCs w:val="16"/>
          <w:lang w:val="en-US"/>
        </w:rPr>
      </w:pPr>
      <w:r w:rsidRPr="00E54523">
        <w:rPr>
          <w:rFonts w:cs="Arial"/>
          <w:sz w:val="16"/>
          <w:lang w:val="en-US"/>
        </w:rPr>
        <w:t>a)</w:t>
      </w:r>
      <w:r w:rsidRPr="00E54523">
        <w:rPr>
          <w:rFonts w:cs="Arial"/>
          <w:lang w:val="en-US"/>
        </w:rPr>
        <w:tab/>
      </w:r>
      <w:r w:rsidRPr="00E54523">
        <w:rPr>
          <w:rFonts w:cs="Arial"/>
          <w:sz w:val="16"/>
          <w:lang w:val="en-US"/>
        </w:rPr>
        <w:t>article 14.04 must be complied with when the clear width of the side deck to a height of 0.90 m, available before the modification, has to be reduced</w:t>
      </w:r>
    </w:p>
    <w:p w:rsidR="00C60AC1" w:rsidRPr="00E54523" w:rsidRDefault="00C60AC1" w:rsidP="0063563D">
      <w:pPr>
        <w:ind w:left="567" w:hanging="283"/>
        <w:rPr>
          <w:lang w:val="en-US"/>
        </w:rPr>
      </w:pPr>
      <w:r w:rsidRPr="00E54523">
        <w:rPr>
          <w:rFonts w:cs="Arial"/>
          <w:sz w:val="16"/>
          <w:lang w:val="en-US"/>
        </w:rPr>
        <w:t>b)</w:t>
      </w:r>
      <w:r w:rsidRPr="00E54523">
        <w:rPr>
          <w:rFonts w:cs="Arial"/>
          <w:lang w:val="en-US"/>
        </w:rPr>
        <w:tab/>
      </w:r>
      <w:r w:rsidRPr="00E54523">
        <w:rPr>
          <w:rFonts w:cs="Arial"/>
          <w:sz w:val="16"/>
          <w:lang w:val="en-US"/>
        </w:rPr>
        <w:t>the clear width of the side deck to a height of 0.90 m or the clear width above that height, available before the modification, must not be reduced if their dimensions are less than those specified in article 14.04.</w:t>
      </w:r>
    </w:p>
  </w:footnote>
  <w:footnote w:id="30">
    <w:p w:rsidR="00C60AC1" w:rsidRPr="00B60926" w:rsidRDefault="00C60AC1" w:rsidP="0029395D">
      <w:pPr>
        <w:pStyle w:val="FootnoteText"/>
        <w:ind w:left="284" w:hanging="284"/>
        <w:rPr>
          <w:rFonts w:cs="Arial"/>
          <w:sz w:val="16"/>
          <w:szCs w:val="16"/>
          <w:lang w:val="en-US"/>
        </w:rPr>
      </w:pPr>
      <w:r>
        <w:rPr>
          <w:rStyle w:val="FootnoteReference"/>
          <w:sz w:val="16"/>
        </w:rPr>
        <w:footnoteRef/>
      </w:r>
      <w:r w:rsidRPr="00B60926">
        <w:rPr>
          <w:lang w:val="en-US"/>
        </w:rPr>
        <w:tab/>
      </w:r>
      <w:r w:rsidRPr="00B60926">
        <w:rPr>
          <w:sz w:val="16"/>
          <w:lang w:val="en-US"/>
        </w:rPr>
        <w:t>The transitional provision applicable to Article 1</w:t>
      </w:r>
      <w:r>
        <w:rPr>
          <w:sz w:val="16"/>
          <w:lang w:val="en-US"/>
        </w:rPr>
        <w:t>9</w:t>
      </w:r>
      <w:r w:rsidRPr="00B60926">
        <w:rPr>
          <w:sz w:val="16"/>
          <w:lang w:val="en-US"/>
        </w:rPr>
        <w:t xml:space="preserve">.06(6)(c) is a </w:t>
      </w:r>
      <w:r w:rsidRPr="0029395D">
        <w:rPr>
          <w:sz w:val="16"/>
          <w:lang w:val="en-US"/>
        </w:rPr>
        <w:t>temporary requirement, applicable until 31 December 2019. The following</w:t>
      </w:r>
      <w:r w:rsidRPr="00B60926">
        <w:rPr>
          <w:sz w:val="16"/>
          <w:lang w:val="en-US"/>
        </w:rPr>
        <w:t xml:space="preserve"> transitional provision was in force prior to 1</w:t>
      </w:r>
      <w:r>
        <w:rPr>
          <w:sz w:val="16"/>
          <w:lang w:val="en-US"/>
        </w:rPr>
        <w:t> </w:t>
      </w:r>
      <w:r w:rsidRPr="00B60926">
        <w:rPr>
          <w:sz w:val="16"/>
          <w:lang w:val="en-US"/>
        </w:rPr>
        <w:t>December</w:t>
      </w:r>
      <w:r>
        <w:rPr>
          <w:sz w:val="16"/>
          <w:lang w:val="en-US"/>
        </w:rPr>
        <w:t> </w:t>
      </w:r>
      <w:r w:rsidRPr="00B60926">
        <w:rPr>
          <w:sz w:val="16"/>
          <w:lang w:val="en-US"/>
        </w:rPr>
        <w:t xml:space="preserve">2014: </w:t>
      </w:r>
      <w:r>
        <w:rPr>
          <w:sz w:val="16"/>
          <w:lang w:val="en-US"/>
        </w:rPr>
        <w:t>‘</w:t>
      </w:r>
      <w:r w:rsidRPr="00B60926">
        <w:rPr>
          <w:i/>
          <w:color w:val="000000"/>
          <w:sz w:val="16"/>
          <w:lang w:val="en-US"/>
        </w:rPr>
        <w:t>1</w:t>
      </w:r>
      <w:r>
        <w:rPr>
          <w:i/>
          <w:color w:val="000000"/>
          <w:sz w:val="16"/>
          <w:lang w:val="en-US"/>
        </w:rPr>
        <w:t>9</w:t>
      </w:r>
      <w:r w:rsidRPr="00B60926">
        <w:rPr>
          <w:i/>
          <w:color w:val="000000"/>
          <w:sz w:val="16"/>
          <w:lang w:val="en-US"/>
        </w:rPr>
        <w:t>.06(6)(c)</w:t>
      </w:r>
      <w:r w:rsidRPr="00B60926">
        <w:rPr>
          <w:i/>
          <w:sz w:val="16"/>
          <w:lang w:val="en-US"/>
        </w:rPr>
        <w:t xml:space="preserve"> / No Escape routes through galleys / </w:t>
      </w:r>
      <w:r>
        <w:rPr>
          <w:i/>
          <w:sz w:val="16"/>
          <w:szCs w:val="16"/>
          <w:lang w:val="en-US"/>
        </w:rPr>
        <w:t>N.R.C.</w:t>
      </w:r>
      <w:r w:rsidRPr="00B60926">
        <w:rPr>
          <w:i/>
          <w:sz w:val="16"/>
          <w:szCs w:val="16"/>
          <w:lang w:val="en-US"/>
        </w:rPr>
        <w:t xml:space="preserve">, at the latest on renewal of the </w:t>
      </w:r>
      <w:r>
        <w:rPr>
          <w:i/>
          <w:sz w:val="16"/>
          <w:szCs w:val="16"/>
          <w:lang w:val="en-US"/>
        </w:rPr>
        <w:t>inland navigation vessel certificate</w:t>
      </w:r>
      <w:r w:rsidRPr="00B60926">
        <w:rPr>
          <w:i/>
          <w:sz w:val="16"/>
          <w:szCs w:val="16"/>
          <w:lang w:val="en-US"/>
        </w:rPr>
        <w:t xml:space="preserve"> after</w:t>
      </w:r>
      <w:r w:rsidRPr="00B60926">
        <w:rPr>
          <w:i/>
          <w:sz w:val="16"/>
          <w:lang w:val="en-US"/>
        </w:rPr>
        <w:t xml:space="preserve"> 1.1.2015</w:t>
      </w:r>
      <w:r>
        <w:rPr>
          <w:i/>
          <w:sz w:val="16"/>
          <w:lang w:val="en-US"/>
        </w:rPr>
        <w:t>’</w:t>
      </w:r>
      <w:r w:rsidRPr="00B60926">
        <w:rPr>
          <w:i/>
          <w:sz w:val="16"/>
          <w:lang w:val="en-US"/>
        </w:rPr>
        <w:t>.</w:t>
      </w:r>
    </w:p>
  </w:footnote>
  <w:footnote w:id="31">
    <w:p w:rsidR="00C60AC1" w:rsidRPr="00B60926" w:rsidRDefault="00C60AC1" w:rsidP="0029395D">
      <w:pPr>
        <w:pStyle w:val="FootnoteText"/>
        <w:spacing w:before="40"/>
        <w:ind w:left="284" w:hanging="284"/>
        <w:rPr>
          <w:rFonts w:cs="Arial"/>
          <w:sz w:val="16"/>
          <w:szCs w:val="16"/>
          <w:lang w:val="en-US"/>
        </w:rPr>
      </w:pPr>
      <w:r>
        <w:rPr>
          <w:rStyle w:val="FootnoteReference"/>
          <w:sz w:val="16"/>
        </w:rPr>
        <w:footnoteRef/>
      </w:r>
      <w:r w:rsidRPr="00B60926">
        <w:rPr>
          <w:sz w:val="16"/>
          <w:lang w:val="en-US"/>
        </w:rPr>
        <w:t xml:space="preserve"> </w:t>
      </w:r>
      <w:r w:rsidRPr="00B60926">
        <w:rPr>
          <w:lang w:val="en-US"/>
        </w:rPr>
        <w:tab/>
      </w:r>
      <w:r w:rsidRPr="00B60926">
        <w:rPr>
          <w:sz w:val="16"/>
          <w:lang w:val="en-US"/>
        </w:rPr>
        <w:t>The transitional provision applicable to Article 1</w:t>
      </w:r>
      <w:r>
        <w:rPr>
          <w:sz w:val="16"/>
          <w:lang w:val="en-US"/>
        </w:rPr>
        <w:t>9</w:t>
      </w:r>
      <w:r w:rsidRPr="00B60926">
        <w:rPr>
          <w:sz w:val="16"/>
          <w:lang w:val="en-US"/>
        </w:rPr>
        <w:t xml:space="preserve">.07 is a temporary requirement, </w:t>
      </w:r>
      <w:r w:rsidRPr="00901928">
        <w:rPr>
          <w:sz w:val="16"/>
          <w:lang w:val="en-US"/>
        </w:rPr>
        <w:t xml:space="preserve">applicable until 31 December 2019. The following transitional provision was in force prior to 1 December 2014: </w:t>
      </w:r>
      <w:r>
        <w:rPr>
          <w:sz w:val="16"/>
          <w:lang w:val="en-US"/>
        </w:rPr>
        <w:t>‘</w:t>
      </w:r>
      <w:r w:rsidRPr="00901928">
        <w:rPr>
          <w:i/>
          <w:color w:val="000000"/>
          <w:sz w:val="16"/>
          <w:lang w:val="en-US"/>
        </w:rPr>
        <w:t>19.07</w:t>
      </w:r>
      <w:r w:rsidRPr="00901928">
        <w:rPr>
          <w:i/>
          <w:sz w:val="16"/>
          <w:lang w:val="en-US"/>
        </w:rPr>
        <w:t xml:space="preserve"> / Requirements concerning the propulsion system / </w:t>
      </w:r>
      <w:r>
        <w:rPr>
          <w:i/>
          <w:sz w:val="16"/>
          <w:lang w:val="en-US"/>
        </w:rPr>
        <w:t>N.R.C.</w:t>
      </w:r>
      <w:r w:rsidRPr="00901928">
        <w:rPr>
          <w:i/>
          <w:sz w:val="16"/>
          <w:lang w:val="en-US"/>
        </w:rPr>
        <w:t>, at the latest on renewal of the inland navigation vessel</w:t>
      </w:r>
      <w:r>
        <w:rPr>
          <w:i/>
          <w:sz w:val="16"/>
          <w:lang w:val="en-US"/>
        </w:rPr>
        <w:t xml:space="preserve"> certificate</w:t>
      </w:r>
      <w:r w:rsidRPr="00B60926">
        <w:rPr>
          <w:i/>
          <w:sz w:val="16"/>
          <w:lang w:val="en-US"/>
        </w:rPr>
        <w:t xml:space="preserve"> after 1.1.2015</w:t>
      </w:r>
      <w:r>
        <w:rPr>
          <w:i/>
          <w:sz w:val="16"/>
          <w:lang w:val="en-US"/>
        </w:rPr>
        <w:t>’</w:t>
      </w:r>
      <w:r w:rsidRPr="00B60926">
        <w:rPr>
          <w:i/>
          <w:sz w:val="16"/>
          <w:lang w:val="en-US"/>
        </w:rPr>
        <w:t>.</w:t>
      </w:r>
    </w:p>
  </w:footnote>
  <w:footnote w:id="32">
    <w:p w:rsidR="00C60AC1" w:rsidRPr="00B60926" w:rsidRDefault="00C60AC1" w:rsidP="0044336D">
      <w:pPr>
        <w:pStyle w:val="FootnoteText"/>
        <w:spacing w:before="40"/>
        <w:ind w:left="284" w:hanging="284"/>
        <w:rPr>
          <w:lang w:val="en-US"/>
        </w:rPr>
      </w:pPr>
      <w:r>
        <w:rPr>
          <w:rStyle w:val="FootnoteReference"/>
          <w:sz w:val="16"/>
        </w:rPr>
        <w:footnoteRef/>
      </w:r>
      <w:r w:rsidRPr="00B60926">
        <w:rPr>
          <w:sz w:val="16"/>
          <w:lang w:val="en-US"/>
        </w:rPr>
        <w:t xml:space="preserve"> </w:t>
      </w:r>
      <w:r w:rsidRPr="00B60926">
        <w:rPr>
          <w:lang w:val="en-US"/>
        </w:rPr>
        <w:tab/>
      </w:r>
      <w:r w:rsidRPr="00B60926">
        <w:rPr>
          <w:sz w:val="16"/>
          <w:lang w:val="en-US"/>
        </w:rPr>
        <w:t>The transitional provision applicable to Article 1</w:t>
      </w:r>
      <w:r>
        <w:rPr>
          <w:sz w:val="16"/>
          <w:lang w:val="en-US"/>
        </w:rPr>
        <w:t>9</w:t>
      </w:r>
      <w:r w:rsidRPr="00B60926">
        <w:rPr>
          <w:sz w:val="16"/>
          <w:lang w:val="en-US"/>
        </w:rPr>
        <w:t xml:space="preserve">.08(3) is a temporary requirement, applicable </w:t>
      </w:r>
      <w:r w:rsidRPr="00901928">
        <w:rPr>
          <w:sz w:val="16"/>
          <w:lang w:val="en-US"/>
        </w:rPr>
        <w:t>until 31 December 2019</w:t>
      </w:r>
      <w:r w:rsidRPr="00B60926">
        <w:rPr>
          <w:sz w:val="16"/>
          <w:lang w:val="en-US"/>
        </w:rPr>
        <w:t xml:space="preserve">. The following transitional provision was in force prior to 1 December 2014: </w:t>
      </w:r>
      <w:r>
        <w:rPr>
          <w:sz w:val="16"/>
          <w:lang w:val="en-US"/>
        </w:rPr>
        <w:t>‘</w:t>
      </w:r>
      <w:r w:rsidRPr="00B60926">
        <w:rPr>
          <w:i/>
          <w:color w:val="000000"/>
          <w:sz w:val="16"/>
          <w:lang w:val="en-US"/>
        </w:rPr>
        <w:t>1</w:t>
      </w:r>
      <w:r>
        <w:rPr>
          <w:i/>
          <w:color w:val="000000"/>
          <w:sz w:val="16"/>
          <w:lang w:val="en-US"/>
        </w:rPr>
        <w:t>9</w:t>
      </w:r>
      <w:r w:rsidRPr="00B60926">
        <w:rPr>
          <w:i/>
          <w:color w:val="000000"/>
          <w:sz w:val="16"/>
          <w:lang w:val="en-US"/>
        </w:rPr>
        <w:t>.08(3) /</w:t>
      </w:r>
      <w:r w:rsidRPr="00B60926">
        <w:rPr>
          <w:i/>
          <w:sz w:val="16"/>
          <w:lang w:val="en-US"/>
        </w:rPr>
        <w:t xml:space="preserve"> Alarm system requirements / </w:t>
      </w:r>
      <w:r>
        <w:rPr>
          <w:i/>
          <w:sz w:val="16"/>
          <w:lang w:val="en-US"/>
        </w:rPr>
        <w:t>N.R.C.</w:t>
      </w:r>
      <w:r w:rsidRPr="00B60926">
        <w:rPr>
          <w:i/>
          <w:sz w:val="16"/>
          <w:lang w:val="en-US"/>
        </w:rPr>
        <w:t xml:space="preserve">, at the latest on renewal of the </w:t>
      </w:r>
      <w:r>
        <w:rPr>
          <w:i/>
          <w:sz w:val="16"/>
          <w:lang w:val="en-US"/>
        </w:rPr>
        <w:t>inland navigation vessel certificate</w:t>
      </w:r>
      <w:r w:rsidRPr="00B60926">
        <w:rPr>
          <w:i/>
          <w:sz w:val="16"/>
          <w:lang w:val="en-US"/>
        </w:rPr>
        <w:t xml:space="preserve"> after 1.1.2015</w:t>
      </w:r>
      <w:r>
        <w:rPr>
          <w:i/>
          <w:sz w:val="16"/>
          <w:lang w:val="en-US"/>
        </w:rPr>
        <w:t>’</w:t>
      </w:r>
      <w:r w:rsidRPr="00B60926">
        <w:rPr>
          <w:sz w:val="16"/>
          <w:lang w:val="en-US"/>
        </w:rPr>
        <w:t xml:space="preserve"> and </w:t>
      </w:r>
      <w:r>
        <w:rPr>
          <w:i/>
          <w:color w:val="000000"/>
          <w:sz w:val="16"/>
          <w:lang w:val="en-US"/>
        </w:rPr>
        <w:t>‘</w:t>
      </w:r>
      <w:r w:rsidRPr="00B60926">
        <w:rPr>
          <w:i/>
          <w:color w:val="000000"/>
          <w:sz w:val="16"/>
          <w:lang w:val="en-US"/>
        </w:rPr>
        <w:t>1</w:t>
      </w:r>
      <w:r>
        <w:rPr>
          <w:i/>
          <w:color w:val="000000"/>
          <w:sz w:val="16"/>
          <w:lang w:val="en-US"/>
        </w:rPr>
        <w:t>9</w:t>
      </w:r>
      <w:r w:rsidRPr="00B60926">
        <w:rPr>
          <w:i/>
          <w:color w:val="000000"/>
          <w:sz w:val="16"/>
          <w:lang w:val="en-US"/>
        </w:rPr>
        <w:t>.08(3)(c) /</w:t>
      </w:r>
      <w:r w:rsidRPr="00B60926">
        <w:rPr>
          <w:i/>
          <w:sz w:val="16"/>
          <w:lang w:val="en-US"/>
        </w:rPr>
        <w:t xml:space="preserve"> Alarm system for alerting the crew and </w:t>
      </w:r>
      <w:r>
        <w:rPr>
          <w:i/>
          <w:sz w:val="16"/>
          <w:lang w:val="en-US"/>
        </w:rPr>
        <w:t>shipboard</w:t>
      </w:r>
      <w:r w:rsidRPr="00B60926">
        <w:rPr>
          <w:i/>
          <w:sz w:val="16"/>
          <w:lang w:val="en-US"/>
        </w:rPr>
        <w:t xml:space="preserve"> personnel by the vessel's command / For cruise vessels, the regulation applies </w:t>
      </w:r>
      <w:r>
        <w:rPr>
          <w:i/>
          <w:sz w:val="16"/>
          <w:lang w:val="en-US"/>
        </w:rPr>
        <w:t>N.R.C.</w:t>
      </w:r>
      <w:r w:rsidRPr="00B60926">
        <w:rPr>
          <w:i/>
          <w:sz w:val="16"/>
          <w:lang w:val="en-US"/>
        </w:rPr>
        <w:t xml:space="preserve">, at the latest on renewal of the </w:t>
      </w:r>
      <w:r>
        <w:rPr>
          <w:i/>
          <w:sz w:val="16"/>
          <w:lang w:val="en-US"/>
        </w:rPr>
        <w:t>inland navigation vessel certificate</w:t>
      </w:r>
      <w:r w:rsidRPr="00B60926">
        <w:rPr>
          <w:i/>
          <w:sz w:val="16"/>
          <w:lang w:val="en-US"/>
        </w:rPr>
        <w:t xml:space="preserve"> after 1.1.2007</w:t>
      </w:r>
      <w:r>
        <w:rPr>
          <w:i/>
          <w:sz w:val="16"/>
          <w:lang w:val="en-US"/>
        </w:rPr>
        <w:t>’</w:t>
      </w:r>
      <w:r w:rsidRPr="00B60926">
        <w:rPr>
          <w:i/>
          <w:sz w:val="16"/>
          <w:lang w:val="en-US"/>
        </w:rPr>
        <w:t>.</w:t>
      </w:r>
    </w:p>
  </w:footnote>
  <w:footnote w:id="33">
    <w:p w:rsidR="00C60AC1" w:rsidRPr="001B4524" w:rsidRDefault="00C60AC1" w:rsidP="0044336D">
      <w:pPr>
        <w:pStyle w:val="FootnoteText"/>
        <w:spacing w:before="40"/>
        <w:ind w:left="284" w:hanging="284"/>
        <w:rPr>
          <w:sz w:val="16"/>
          <w:szCs w:val="16"/>
          <w:lang w:val="en-US"/>
        </w:rPr>
      </w:pPr>
      <w:r w:rsidRPr="0044336D">
        <w:rPr>
          <w:rStyle w:val="FootnoteReference"/>
          <w:sz w:val="16"/>
          <w:szCs w:val="16"/>
        </w:rPr>
        <w:footnoteRef/>
      </w:r>
      <w:r w:rsidRPr="0044336D">
        <w:rPr>
          <w:sz w:val="16"/>
          <w:szCs w:val="16"/>
          <w:lang w:val="en-US"/>
        </w:rPr>
        <w:t xml:space="preserve"> </w:t>
      </w:r>
      <w:r w:rsidRPr="0044336D">
        <w:rPr>
          <w:sz w:val="16"/>
          <w:szCs w:val="16"/>
          <w:lang w:val="en-US"/>
        </w:rPr>
        <w:tab/>
        <w:t>MSC.61(67) adopted on 5 December 1996 - International Code for Application of Fire Test Procedures.</w:t>
      </w:r>
    </w:p>
  </w:footnote>
  <w:footnote w:id="34">
    <w:p w:rsidR="00C60AC1" w:rsidRPr="00B60926" w:rsidRDefault="00C60AC1" w:rsidP="000E732C">
      <w:pPr>
        <w:pStyle w:val="FootnoteText"/>
        <w:spacing w:before="40"/>
        <w:ind w:left="284" w:hanging="284"/>
        <w:rPr>
          <w:rFonts w:cs="Arial"/>
          <w:sz w:val="16"/>
          <w:szCs w:val="16"/>
          <w:lang w:val="en-US"/>
        </w:rPr>
      </w:pPr>
      <w:r>
        <w:rPr>
          <w:rStyle w:val="FootnoteReference"/>
          <w:sz w:val="16"/>
        </w:rPr>
        <w:footnoteRef/>
      </w:r>
      <w:r w:rsidRPr="00B60926">
        <w:rPr>
          <w:lang w:val="en-US"/>
        </w:rPr>
        <w:tab/>
      </w:r>
      <w:r w:rsidRPr="00B60926">
        <w:rPr>
          <w:sz w:val="16"/>
          <w:lang w:val="en-US"/>
        </w:rPr>
        <w:t xml:space="preserve">The transitional provision applicable to Article 3.04(7) is a temporary requirement, applicable </w:t>
      </w:r>
      <w:r w:rsidRPr="00157062">
        <w:rPr>
          <w:sz w:val="16"/>
          <w:lang w:val="en-US"/>
        </w:rPr>
        <w:t>until 31 December 2019.</w:t>
      </w:r>
      <w:r w:rsidRPr="00B60926">
        <w:rPr>
          <w:sz w:val="16"/>
          <w:lang w:val="en-US"/>
        </w:rPr>
        <w:t xml:space="preserve"> The following transitional provision was in force prior to 1 December 2014: </w:t>
      </w:r>
      <w:r>
        <w:rPr>
          <w:sz w:val="16"/>
          <w:lang w:val="en-US"/>
        </w:rPr>
        <w:t>‘</w:t>
      </w:r>
      <w:r w:rsidRPr="00B60926">
        <w:rPr>
          <w:i/>
          <w:sz w:val="16"/>
          <w:lang w:val="en-US"/>
        </w:rPr>
        <w:t xml:space="preserve">3.04(7) / Maximum permissible sound pressure level / </w:t>
      </w:r>
      <w:r>
        <w:rPr>
          <w:i/>
          <w:sz w:val="16"/>
          <w:lang w:val="en-US"/>
        </w:rPr>
        <w:t>R.C.</w:t>
      </w:r>
      <w:r w:rsidRPr="00B60926">
        <w:rPr>
          <w:i/>
          <w:sz w:val="16"/>
          <w:lang w:val="en-US"/>
        </w:rPr>
        <w:t xml:space="preserve">, at the latest on renewal of the </w:t>
      </w:r>
      <w:r>
        <w:rPr>
          <w:i/>
          <w:sz w:val="16"/>
          <w:lang w:val="en-US"/>
        </w:rPr>
        <w:t>inland navigation vessel certificate</w:t>
      </w:r>
      <w:r w:rsidRPr="00B60926">
        <w:rPr>
          <w:i/>
          <w:sz w:val="16"/>
          <w:lang w:val="en-US"/>
        </w:rPr>
        <w:t xml:space="preserve"> after 1.1.2015</w:t>
      </w:r>
      <w:r>
        <w:rPr>
          <w:i/>
          <w:sz w:val="16"/>
          <w:lang w:val="en-US"/>
        </w:rPr>
        <w:t>’</w:t>
      </w:r>
      <w:r w:rsidRPr="00B60926">
        <w:rPr>
          <w:i/>
          <w:sz w:val="16"/>
          <w:lang w:val="en-US"/>
        </w:rPr>
        <w:t>.</w:t>
      </w:r>
    </w:p>
  </w:footnote>
  <w:footnote w:id="35">
    <w:p w:rsidR="00C60AC1" w:rsidRPr="000E732C" w:rsidRDefault="00C60AC1" w:rsidP="000E732C">
      <w:pPr>
        <w:pStyle w:val="FootnoteText"/>
        <w:spacing w:before="40"/>
        <w:ind w:left="284" w:hanging="284"/>
        <w:rPr>
          <w:rFonts w:cs="Arial"/>
          <w:sz w:val="16"/>
          <w:szCs w:val="16"/>
          <w:lang w:val="en-US"/>
        </w:rPr>
      </w:pPr>
      <w:r>
        <w:rPr>
          <w:rStyle w:val="FootnoteReference"/>
          <w:sz w:val="16"/>
        </w:rPr>
        <w:footnoteRef/>
      </w:r>
      <w:r w:rsidRPr="00B60926">
        <w:rPr>
          <w:lang w:val="en-US"/>
        </w:rPr>
        <w:tab/>
      </w:r>
      <w:r w:rsidRPr="00B60926">
        <w:rPr>
          <w:sz w:val="16"/>
          <w:lang w:val="en-US"/>
        </w:rPr>
        <w:t xml:space="preserve">The transitional provision applicable to Article 7.01(2) is a temporary requirement, applicable </w:t>
      </w:r>
      <w:r w:rsidRPr="000E732C">
        <w:rPr>
          <w:sz w:val="16"/>
          <w:lang w:val="en-US"/>
        </w:rPr>
        <w:t xml:space="preserve">until 31 December 2019. The following transitional provision was in force prior to 01 December 2014: </w:t>
      </w:r>
      <w:r>
        <w:rPr>
          <w:sz w:val="16"/>
          <w:lang w:val="en-US"/>
        </w:rPr>
        <w:t>‘</w:t>
      </w:r>
      <w:r w:rsidRPr="000E732C">
        <w:rPr>
          <w:i/>
          <w:sz w:val="16"/>
          <w:lang w:val="en-US"/>
        </w:rPr>
        <w:t xml:space="preserve">7.01(2) / Sound pressure generated by the vessel / </w:t>
      </w:r>
      <w:r>
        <w:rPr>
          <w:i/>
          <w:sz w:val="16"/>
          <w:lang w:val="en-US"/>
        </w:rPr>
        <w:t>R.C.</w:t>
      </w:r>
      <w:r w:rsidRPr="000E732C">
        <w:rPr>
          <w:i/>
          <w:sz w:val="16"/>
          <w:lang w:val="en-US"/>
        </w:rPr>
        <w:t>, at the latest on renewal of the inland navigation vessel certificate after 1.1.2015</w:t>
      </w:r>
      <w:r>
        <w:rPr>
          <w:i/>
          <w:sz w:val="16"/>
          <w:lang w:val="en-US"/>
        </w:rPr>
        <w:t>’</w:t>
      </w:r>
      <w:r w:rsidRPr="000E732C">
        <w:rPr>
          <w:i/>
          <w:sz w:val="16"/>
          <w:lang w:val="en-US"/>
        </w:rPr>
        <w:t>.</w:t>
      </w:r>
    </w:p>
  </w:footnote>
  <w:footnote w:id="36">
    <w:p w:rsidR="00C60AC1" w:rsidRPr="00B60926" w:rsidRDefault="00C60AC1" w:rsidP="000E732C">
      <w:pPr>
        <w:pStyle w:val="FootnoteText"/>
        <w:spacing w:before="40"/>
        <w:ind w:left="284" w:hanging="284"/>
        <w:rPr>
          <w:rFonts w:cs="Arial"/>
          <w:sz w:val="16"/>
          <w:szCs w:val="16"/>
          <w:lang w:val="en-US"/>
        </w:rPr>
      </w:pPr>
      <w:r w:rsidRPr="000E732C">
        <w:rPr>
          <w:rStyle w:val="FootnoteReference"/>
          <w:sz w:val="16"/>
        </w:rPr>
        <w:footnoteRef/>
      </w:r>
      <w:r w:rsidRPr="000E732C">
        <w:rPr>
          <w:lang w:val="en-US"/>
        </w:rPr>
        <w:tab/>
      </w:r>
      <w:r w:rsidRPr="000E732C">
        <w:rPr>
          <w:sz w:val="16"/>
          <w:lang w:val="en-US"/>
        </w:rPr>
        <w:t xml:space="preserve">The transitional provision applicable to Article 8.10(2) is a temporary requirement, applicable until 31 December 2019. The following transitional provision was in force prior to 1 December 2014: </w:t>
      </w:r>
      <w:r>
        <w:rPr>
          <w:sz w:val="16"/>
          <w:lang w:val="en-US"/>
        </w:rPr>
        <w:t>‘</w:t>
      </w:r>
      <w:r w:rsidRPr="000E732C">
        <w:rPr>
          <w:i/>
          <w:sz w:val="16"/>
          <w:lang w:val="en-US"/>
        </w:rPr>
        <w:t xml:space="preserve">8.10(2) / Noise produced by vessel under way / </w:t>
      </w:r>
      <w:r>
        <w:rPr>
          <w:i/>
          <w:sz w:val="16"/>
          <w:lang w:val="en-US"/>
        </w:rPr>
        <w:t>R.C.</w:t>
      </w:r>
      <w:r w:rsidRPr="000E732C">
        <w:rPr>
          <w:i/>
          <w:sz w:val="16"/>
          <w:lang w:val="en-US"/>
        </w:rPr>
        <w:t>, at the latest on renewal of the inland navigation vessel certificate after</w:t>
      </w:r>
      <w:r w:rsidRPr="00B60926">
        <w:rPr>
          <w:i/>
          <w:sz w:val="16"/>
          <w:lang w:val="en-US"/>
        </w:rPr>
        <w:t xml:space="preserve"> 1.1.2015</w:t>
      </w:r>
      <w:r>
        <w:rPr>
          <w:i/>
          <w:sz w:val="16"/>
          <w:lang w:val="en-US"/>
        </w:rPr>
        <w:t>’</w:t>
      </w:r>
      <w:r w:rsidRPr="00B60926">
        <w:rPr>
          <w:i/>
          <w:sz w:val="16"/>
          <w:lang w:val="en-US"/>
        </w:rPr>
        <w:t>.</w:t>
      </w:r>
    </w:p>
  </w:footnote>
  <w:footnote w:id="37">
    <w:p w:rsidR="00C60AC1" w:rsidRPr="00B60926" w:rsidRDefault="00C60AC1" w:rsidP="000E732C">
      <w:pPr>
        <w:pStyle w:val="FootnoteText"/>
        <w:spacing w:before="40"/>
        <w:ind w:left="284" w:hanging="284"/>
        <w:rPr>
          <w:rFonts w:cs="Arial"/>
          <w:sz w:val="16"/>
          <w:szCs w:val="16"/>
          <w:lang w:val="en-US"/>
        </w:rPr>
      </w:pPr>
      <w:r>
        <w:rPr>
          <w:rStyle w:val="FootnoteReference"/>
          <w:sz w:val="16"/>
        </w:rPr>
        <w:footnoteRef/>
      </w:r>
      <w:r w:rsidRPr="00B60926">
        <w:rPr>
          <w:sz w:val="16"/>
          <w:lang w:val="en-US"/>
        </w:rPr>
        <w:t xml:space="preserve"> </w:t>
      </w:r>
      <w:r w:rsidRPr="00B60926">
        <w:rPr>
          <w:lang w:val="en-US"/>
        </w:rPr>
        <w:tab/>
      </w:r>
      <w:r w:rsidRPr="00B60926">
        <w:rPr>
          <w:sz w:val="16"/>
          <w:lang w:val="en-US"/>
        </w:rPr>
        <w:t xml:space="preserve">The transitional provision applicable to Article </w:t>
      </w:r>
      <w:r>
        <w:rPr>
          <w:sz w:val="16"/>
          <w:lang w:val="en-US"/>
        </w:rPr>
        <w:t>10</w:t>
      </w:r>
      <w:r w:rsidRPr="00B60926">
        <w:rPr>
          <w:sz w:val="16"/>
          <w:lang w:val="en-US"/>
        </w:rPr>
        <w:t xml:space="preserve">.01 is a temporary requirement, </w:t>
      </w:r>
      <w:r w:rsidRPr="000E732C">
        <w:rPr>
          <w:sz w:val="16"/>
          <w:lang w:val="en-US"/>
        </w:rPr>
        <w:t>applicable until 31 December 2019. The</w:t>
      </w:r>
      <w:r w:rsidRPr="00B60926">
        <w:rPr>
          <w:sz w:val="16"/>
          <w:lang w:val="en-US"/>
        </w:rPr>
        <w:t xml:space="preserve"> following transitional provision was in force prior to 1 December 2014: </w:t>
      </w:r>
      <w:r>
        <w:rPr>
          <w:sz w:val="16"/>
          <w:lang w:val="en-US"/>
        </w:rPr>
        <w:t>‘</w:t>
      </w:r>
      <w:r>
        <w:rPr>
          <w:i/>
          <w:sz w:val="16"/>
          <w:lang w:val="en-US"/>
        </w:rPr>
        <w:t>10</w:t>
      </w:r>
      <w:r w:rsidRPr="00B60926">
        <w:rPr>
          <w:i/>
          <w:sz w:val="16"/>
          <w:lang w:val="en-US"/>
        </w:rPr>
        <w:t xml:space="preserve">.01 / Requirements for electrical equipment / </w:t>
      </w:r>
      <w:r>
        <w:rPr>
          <w:i/>
          <w:sz w:val="16"/>
          <w:lang w:val="en-US"/>
        </w:rPr>
        <w:t>R.C.</w:t>
      </w:r>
      <w:r w:rsidRPr="00B60926">
        <w:rPr>
          <w:i/>
          <w:sz w:val="16"/>
          <w:lang w:val="en-US"/>
        </w:rPr>
        <w:t xml:space="preserve">, at the latest on renewal of the </w:t>
      </w:r>
      <w:r>
        <w:rPr>
          <w:i/>
          <w:sz w:val="16"/>
          <w:lang w:val="en-US"/>
        </w:rPr>
        <w:t>inland navigation vessel certificate</w:t>
      </w:r>
      <w:r w:rsidRPr="00B60926">
        <w:rPr>
          <w:i/>
          <w:sz w:val="16"/>
          <w:lang w:val="en-US"/>
        </w:rPr>
        <w:t xml:space="preserve"> after 1.1.2015</w:t>
      </w:r>
      <w:r>
        <w:rPr>
          <w:i/>
          <w:sz w:val="16"/>
          <w:lang w:val="en-US"/>
        </w:rPr>
        <w:t>’</w:t>
      </w:r>
      <w:r w:rsidRPr="00B60926">
        <w:rPr>
          <w:i/>
          <w:sz w:val="16"/>
          <w:lang w:val="en-US"/>
        </w:rPr>
        <w:t>.</w:t>
      </w:r>
    </w:p>
  </w:footnote>
  <w:footnote w:id="38">
    <w:p w:rsidR="00C60AC1" w:rsidRPr="00B60926" w:rsidRDefault="00C60AC1" w:rsidP="000E732C">
      <w:pPr>
        <w:pStyle w:val="FootnoteText"/>
        <w:spacing w:before="40"/>
        <w:ind w:left="284" w:hanging="284"/>
        <w:rPr>
          <w:lang w:val="en-US"/>
        </w:rPr>
      </w:pPr>
      <w:r>
        <w:rPr>
          <w:rStyle w:val="FootnoteReference"/>
          <w:sz w:val="16"/>
        </w:rPr>
        <w:footnoteRef/>
      </w:r>
      <w:r w:rsidRPr="00B60926">
        <w:rPr>
          <w:lang w:val="en-US"/>
        </w:rPr>
        <w:tab/>
      </w:r>
      <w:r w:rsidRPr="00B60926">
        <w:rPr>
          <w:sz w:val="16"/>
          <w:lang w:val="en-US"/>
        </w:rPr>
        <w:t>The transitional provision applicable to Article 1</w:t>
      </w:r>
      <w:r>
        <w:rPr>
          <w:sz w:val="16"/>
          <w:lang w:val="en-US"/>
        </w:rPr>
        <w:t>5</w:t>
      </w:r>
      <w:r w:rsidRPr="00B60926">
        <w:rPr>
          <w:sz w:val="16"/>
          <w:lang w:val="en-US"/>
        </w:rPr>
        <w:t xml:space="preserve">.02(5) is a temporary requirement, applicable </w:t>
      </w:r>
      <w:r w:rsidRPr="000E732C">
        <w:rPr>
          <w:sz w:val="16"/>
          <w:lang w:val="en-US"/>
        </w:rPr>
        <w:t>until 31 December 2019. The</w:t>
      </w:r>
      <w:r w:rsidRPr="00B60926">
        <w:rPr>
          <w:sz w:val="16"/>
          <w:lang w:val="en-US"/>
        </w:rPr>
        <w:t xml:space="preserve"> following transitional provision was in force prior to 1 December 2014: </w:t>
      </w:r>
      <w:r>
        <w:rPr>
          <w:i/>
          <w:sz w:val="16"/>
          <w:lang w:val="en-US"/>
        </w:rPr>
        <w:t>‘</w:t>
      </w:r>
      <w:r w:rsidRPr="00B60926">
        <w:rPr>
          <w:i/>
          <w:sz w:val="16"/>
          <w:lang w:val="en-US"/>
        </w:rPr>
        <w:t>1</w:t>
      </w:r>
      <w:r>
        <w:rPr>
          <w:i/>
          <w:sz w:val="16"/>
          <w:lang w:val="en-US"/>
        </w:rPr>
        <w:t>5</w:t>
      </w:r>
      <w:r w:rsidRPr="00B60926">
        <w:rPr>
          <w:i/>
          <w:sz w:val="16"/>
          <w:lang w:val="en-US"/>
        </w:rPr>
        <w:t xml:space="preserve">.02(5) / Noise and vibration in accommodations / Renewal of the </w:t>
      </w:r>
      <w:r>
        <w:rPr>
          <w:i/>
          <w:sz w:val="16"/>
          <w:lang w:val="en-US"/>
        </w:rPr>
        <w:t>inland navigation vessel certificate</w:t>
      </w:r>
      <w:r w:rsidRPr="00B60926">
        <w:rPr>
          <w:i/>
          <w:sz w:val="16"/>
          <w:lang w:val="en-US"/>
        </w:rPr>
        <w:t xml:space="preserve"> after 1.1.2015</w:t>
      </w:r>
      <w:r>
        <w:rPr>
          <w:i/>
          <w:sz w:val="16"/>
          <w:lang w:val="en-US"/>
        </w:rPr>
        <w:t>’</w:t>
      </w:r>
      <w:r w:rsidRPr="00B60926">
        <w:rPr>
          <w:i/>
          <w:sz w:val="16"/>
          <w:lang w:val="en-US"/>
        </w:rPr>
        <w:t>.</w:t>
      </w:r>
    </w:p>
  </w:footnote>
  <w:footnote w:id="39">
    <w:p w:rsidR="00C60AC1" w:rsidRPr="00F40BDA" w:rsidRDefault="00C60AC1" w:rsidP="00B90A00">
      <w:pPr>
        <w:pStyle w:val="FootnoteText"/>
        <w:ind w:left="284" w:hanging="284"/>
        <w:rPr>
          <w:rFonts w:cs="Arial"/>
          <w:sz w:val="16"/>
          <w:szCs w:val="16"/>
          <w:lang w:val="en-US"/>
        </w:rPr>
      </w:pPr>
      <w:r>
        <w:rPr>
          <w:rStyle w:val="FootnoteReference"/>
        </w:rPr>
        <w:footnoteRef/>
      </w:r>
      <w:r w:rsidRPr="00E00F5E">
        <w:rPr>
          <w:lang w:val="en-US"/>
        </w:rPr>
        <w:t xml:space="preserve"> </w:t>
      </w:r>
      <w:r>
        <w:rPr>
          <w:lang w:val="en-US"/>
        </w:rPr>
        <w:tab/>
      </w:r>
      <w:r w:rsidRPr="00F40BDA">
        <w:rPr>
          <w:rFonts w:cs="Arial"/>
          <w:sz w:val="16"/>
          <w:szCs w:val="16"/>
          <w:lang w:val="en-US"/>
        </w:rPr>
        <w:t>Directive 2006/87/EC of the European Parliament and of the Council of 12 December 2006 laying down technical requirements for inland waterway vessels and repealing Council Directive 82/714/EEC (</w:t>
      </w:r>
      <w:r w:rsidRPr="00F40BDA">
        <w:rPr>
          <w:rFonts w:cs="Arial"/>
          <w:iCs/>
          <w:sz w:val="16"/>
          <w:szCs w:val="16"/>
          <w:lang w:val="en"/>
        </w:rPr>
        <w:t>OJ L 389, 30.12.2006)</w:t>
      </w:r>
      <w:r>
        <w:rPr>
          <w:rFonts w:cs="Arial"/>
          <w:iCs/>
          <w:sz w:val="16"/>
          <w:szCs w:val="16"/>
          <w:lang w:val="en"/>
        </w:rPr>
        <w:t>.</w:t>
      </w:r>
    </w:p>
  </w:footnote>
  <w:footnote w:id="40">
    <w:p w:rsidR="00C60AC1" w:rsidRPr="00E54523" w:rsidRDefault="00C60AC1" w:rsidP="0059704F">
      <w:pPr>
        <w:shd w:val="clear" w:color="auto" w:fill="FFFFFF"/>
        <w:tabs>
          <w:tab w:val="left" w:pos="284"/>
        </w:tabs>
        <w:ind w:left="567" w:hanging="567"/>
        <w:rPr>
          <w:rFonts w:cs="Arial"/>
          <w:sz w:val="16"/>
          <w:szCs w:val="16"/>
          <w:lang w:val="en-US"/>
        </w:rPr>
      </w:pPr>
      <w:r w:rsidRPr="00E54523">
        <w:rPr>
          <w:rStyle w:val="FootnoteReference"/>
          <w:rFonts w:cs="Arial"/>
          <w:sz w:val="16"/>
          <w:szCs w:val="16"/>
        </w:rPr>
        <w:footnoteRef/>
      </w:r>
      <w:r w:rsidRPr="00E54523">
        <w:rPr>
          <w:rFonts w:cs="Arial"/>
          <w:sz w:val="16"/>
          <w:szCs w:val="16"/>
          <w:lang w:val="en-US"/>
        </w:rPr>
        <w:t xml:space="preserve"> </w:t>
      </w:r>
      <w:r w:rsidRPr="00E54523">
        <w:rPr>
          <w:rFonts w:cs="Arial"/>
          <w:sz w:val="16"/>
          <w:szCs w:val="16"/>
          <w:lang w:val="en-US"/>
        </w:rPr>
        <w:tab/>
        <w:t>a)</w:t>
      </w:r>
      <w:r w:rsidRPr="00E54523">
        <w:rPr>
          <w:rFonts w:cs="Arial"/>
          <w:sz w:val="16"/>
          <w:szCs w:val="16"/>
          <w:lang w:val="en-US"/>
        </w:rPr>
        <w:tab/>
      </w:r>
      <w:r w:rsidRPr="00E54523">
        <w:rPr>
          <w:rFonts w:cs="Arial"/>
          <w:sz w:val="16"/>
          <w:lang w:val="en-US"/>
        </w:rPr>
        <w:t>Permanently installed CO</w:t>
      </w:r>
      <w:r w:rsidRPr="00E54523">
        <w:rPr>
          <w:rFonts w:cs="Arial"/>
          <w:sz w:val="16"/>
          <w:vertAlign w:val="subscript"/>
          <w:lang w:val="en-US"/>
        </w:rPr>
        <w:t>2</w:t>
      </w:r>
      <w:r w:rsidRPr="00E54523">
        <w:rPr>
          <w:rFonts w:cs="Arial"/>
          <w:sz w:val="16"/>
          <w:lang w:val="en-US"/>
        </w:rPr>
        <w:t xml:space="preserve"> fire-fighting systems fitted between 1</w:t>
      </w:r>
      <w:r w:rsidRPr="00E54523">
        <w:rPr>
          <w:rFonts w:cs="Arial"/>
          <w:sz w:val="16"/>
          <w:vertAlign w:val="superscript"/>
          <w:lang w:val="en-US"/>
        </w:rPr>
        <w:t>st</w:t>
      </w:r>
      <w:r w:rsidRPr="00E54523">
        <w:rPr>
          <w:rFonts w:cs="Arial"/>
          <w:sz w:val="16"/>
          <w:lang w:val="en-US"/>
        </w:rPr>
        <w:t> January 1995 and 31</w:t>
      </w:r>
      <w:r w:rsidRPr="00E54523">
        <w:rPr>
          <w:rFonts w:cs="Arial"/>
          <w:sz w:val="16"/>
          <w:vertAlign w:val="superscript"/>
          <w:lang w:val="en-US"/>
        </w:rPr>
        <w:t>st</w:t>
      </w:r>
      <w:r w:rsidRPr="00E54523">
        <w:rPr>
          <w:rFonts w:cs="Arial"/>
          <w:sz w:val="16"/>
          <w:lang w:val="en-US"/>
        </w:rPr>
        <w:t xml:space="preserve"> March 2003 shall continue to be accepted until renewal of the inland navigation vessel certificate after 1.1.2035 provided that they comply with article 10.03(5) of the 31st March 2002 version of the Rhine Vessel Inspection Regulations.</w:t>
      </w:r>
    </w:p>
    <w:p w:rsidR="00C60AC1" w:rsidRPr="000E732C" w:rsidRDefault="00C60AC1" w:rsidP="0059704F">
      <w:pPr>
        <w:shd w:val="clear" w:color="auto" w:fill="FFFFFF"/>
        <w:tabs>
          <w:tab w:val="left" w:pos="284"/>
        </w:tabs>
        <w:ind w:left="567" w:hanging="283"/>
        <w:rPr>
          <w:rFonts w:cs="Arial"/>
          <w:sz w:val="16"/>
          <w:szCs w:val="16"/>
          <w:lang w:val="en-US"/>
        </w:rPr>
      </w:pPr>
      <w:r w:rsidRPr="00E54523">
        <w:rPr>
          <w:rFonts w:cs="Arial"/>
          <w:sz w:val="16"/>
          <w:szCs w:val="16"/>
          <w:lang w:val="en-US"/>
        </w:rPr>
        <w:t>b)</w:t>
      </w:r>
      <w:r w:rsidRPr="00E54523">
        <w:rPr>
          <w:rFonts w:cs="Arial"/>
          <w:sz w:val="16"/>
          <w:szCs w:val="16"/>
          <w:lang w:val="en-US"/>
        </w:rPr>
        <w:tab/>
      </w:r>
      <w:r w:rsidRPr="00E54523">
        <w:rPr>
          <w:rFonts w:cs="Arial"/>
          <w:sz w:val="16"/>
          <w:lang w:val="en-US"/>
        </w:rPr>
        <w:t>The Central Commission for the Navigation of the Rhine's recommendations regarding article 10.03(5) in the 31</w:t>
      </w:r>
      <w:r w:rsidRPr="00E54523">
        <w:rPr>
          <w:rFonts w:cs="Arial"/>
          <w:sz w:val="16"/>
          <w:vertAlign w:val="superscript"/>
          <w:lang w:val="en-US"/>
        </w:rPr>
        <w:t>st</w:t>
      </w:r>
      <w:r w:rsidRPr="00E54523">
        <w:rPr>
          <w:rFonts w:cs="Arial"/>
          <w:sz w:val="16"/>
          <w:lang w:val="en-US"/>
        </w:rPr>
        <w:t xml:space="preserve"> March 2002 version of the Rhine Vessel Inspection Regulations, issued between 1</w:t>
      </w:r>
      <w:r w:rsidRPr="00E54523">
        <w:rPr>
          <w:rFonts w:cs="Arial"/>
          <w:sz w:val="16"/>
          <w:vertAlign w:val="superscript"/>
          <w:lang w:val="en-US"/>
        </w:rPr>
        <w:t>st</w:t>
      </w:r>
      <w:r w:rsidRPr="00E54523">
        <w:rPr>
          <w:rFonts w:cs="Arial"/>
          <w:sz w:val="16"/>
          <w:lang w:val="en-US"/>
        </w:rPr>
        <w:t xml:space="preserve"> January 1995 and 31st March 2002 </w:t>
      </w:r>
      <w:r w:rsidRPr="000E732C">
        <w:rPr>
          <w:rFonts w:cs="Arial"/>
          <w:sz w:val="16"/>
          <w:lang w:val="en-US"/>
        </w:rPr>
        <w:t>shall remain valid until renewal of the inland navigation vessel certificate after 1.1.2035.</w:t>
      </w:r>
    </w:p>
    <w:p w:rsidR="00C60AC1" w:rsidRPr="000E732C" w:rsidRDefault="00C60AC1" w:rsidP="0059704F">
      <w:pPr>
        <w:pStyle w:val="FootnoteText"/>
        <w:tabs>
          <w:tab w:val="left" w:pos="284"/>
        </w:tabs>
        <w:ind w:left="567" w:hanging="283"/>
        <w:rPr>
          <w:rFonts w:cs="Arial"/>
          <w:lang w:val="en-US"/>
        </w:rPr>
      </w:pPr>
      <w:r w:rsidRPr="000E732C">
        <w:rPr>
          <w:rFonts w:cs="Arial"/>
          <w:sz w:val="16"/>
          <w:szCs w:val="16"/>
          <w:lang w:val="en-US"/>
        </w:rPr>
        <w:t>c)</w:t>
      </w:r>
      <w:r w:rsidRPr="000E732C">
        <w:rPr>
          <w:rFonts w:cs="Arial"/>
          <w:sz w:val="16"/>
          <w:szCs w:val="16"/>
          <w:lang w:val="en-US"/>
        </w:rPr>
        <w:tab/>
      </w:r>
      <w:r w:rsidRPr="000E732C">
        <w:rPr>
          <w:rFonts w:cs="Arial"/>
          <w:sz w:val="16"/>
          <w:lang w:val="en-US"/>
        </w:rPr>
        <w:t>Article 13.05(2)(a) shall only apply to installations on board vessel the keel of which was laid after 1</w:t>
      </w:r>
      <w:r w:rsidRPr="000E732C">
        <w:rPr>
          <w:rFonts w:cs="Arial"/>
          <w:sz w:val="16"/>
          <w:vertAlign w:val="superscript"/>
          <w:lang w:val="en-US"/>
        </w:rPr>
        <w:t>st</w:t>
      </w:r>
      <w:r w:rsidRPr="000E732C">
        <w:rPr>
          <w:rFonts w:cs="Arial"/>
          <w:sz w:val="16"/>
          <w:lang w:val="en-US"/>
        </w:rPr>
        <w:t> October 1992 and until renewal of the inland navigation vessel certificate after</w:t>
      </w:r>
      <w:r w:rsidRPr="000E732C">
        <w:rPr>
          <w:rFonts w:cs="Arial"/>
          <w:sz w:val="16"/>
          <w:szCs w:val="16"/>
          <w:lang w:val="en-US"/>
        </w:rPr>
        <w:t>1.1.2035.</w:t>
      </w:r>
    </w:p>
  </w:footnote>
  <w:footnote w:id="41">
    <w:p w:rsidR="00C60AC1" w:rsidRPr="000E732C" w:rsidRDefault="00C60AC1" w:rsidP="000E732C">
      <w:pPr>
        <w:pStyle w:val="FootnoteText"/>
        <w:ind w:left="284" w:hanging="284"/>
        <w:rPr>
          <w:lang w:val="en-US"/>
        </w:rPr>
      </w:pPr>
      <w:r w:rsidRPr="000E732C">
        <w:rPr>
          <w:rStyle w:val="FootnoteReference"/>
          <w:sz w:val="16"/>
        </w:rPr>
        <w:footnoteRef/>
      </w:r>
      <w:r w:rsidRPr="000E732C">
        <w:rPr>
          <w:sz w:val="16"/>
          <w:lang w:val="en-US"/>
        </w:rPr>
        <w:t xml:space="preserve"> </w:t>
      </w:r>
      <w:r w:rsidRPr="000E732C">
        <w:rPr>
          <w:lang w:val="en-US"/>
        </w:rPr>
        <w:tab/>
      </w:r>
      <w:r w:rsidRPr="000E732C">
        <w:rPr>
          <w:sz w:val="16"/>
          <w:lang w:val="en-US"/>
        </w:rPr>
        <w:t xml:space="preserve">The transitional provision applicable to Article 13.07 is a temporary requirement, applicable until 31 December 2019. The following transitional provision was in force prior to 1 December 2014: </w:t>
      </w:r>
      <w:r>
        <w:rPr>
          <w:sz w:val="16"/>
          <w:lang w:val="en-US"/>
        </w:rPr>
        <w:t>‘</w:t>
      </w:r>
      <w:r w:rsidRPr="000E732C">
        <w:rPr>
          <w:i/>
          <w:sz w:val="16"/>
          <w:lang w:val="en-US"/>
        </w:rPr>
        <w:t xml:space="preserve">13.07 / Application of the European standard to ship’s boat / </w:t>
      </w:r>
      <w:r>
        <w:rPr>
          <w:i/>
          <w:sz w:val="16"/>
          <w:lang w:val="en-US"/>
        </w:rPr>
        <w:t>N.R.C.</w:t>
      </w:r>
      <w:r w:rsidRPr="000E732C">
        <w:rPr>
          <w:i/>
          <w:sz w:val="16"/>
          <w:lang w:val="en-US"/>
        </w:rPr>
        <w:t>, at the latest on renewal of the inland navigation vessel certificate after 1.1.2015 / 1.10.2003</w:t>
      </w:r>
      <w:r>
        <w:rPr>
          <w:i/>
          <w:sz w:val="16"/>
          <w:lang w:val="en-US"/>
        </w:rPr>
        <w:t>’</w:t>
      </w:r>
      <w:r w:rsidRPr="000E732C">
        <w:rPr>
          <w:i/>
          <w:sz w:val="16"/>
          <w:lang w:val="en-US"/>
        </w:rPr>
        <w:t>.</w:t>
      </w:r>
    </w:p>
  </w:footnote>
  <w:footnote w:id="42">
    <w:p w:rsidR="00C60AC1" w:rsidRPr="00B60926" w:rsidRDefault="00C60AC1" w:rsidP="006F55F5">
      <w:pPr>
        <w:pStyle w:val="FootnoteText"/>
        <w:ind w:left="284" w:hanging="284"/>
        <w:rPr>
          <w:rFonts w:cs="Arial"/>
          <w:sz w:val="16"/>
          <w:szCs w:val="16"/>
          <w:lang w:val="en-US"/>
        </w:rPr>
      </w:pPr>
      <w:r>
        <w:rPr>
          <w:rStyle w:val="FootnoteReference"/>
          <w:sz w:val="16"/>
        </w:rPr>
        <w:footnoteRef/>
      </w:r>
      <w:r w:rsidRPr="00B60926">
        <w:rPr>
          <w:lang w:val="en-US"/>
        </w:rPr>
        <w:tab/>
      </w:r>
      <w:r w:rsidRPr="00B60926">
        <w:rPr>
          <w:sz w:val="16"/>
          <w:lang w:val="en-US"/>
        </w:rPr>
        <w:t>The transitional provision applicable to Article 1</w:t>
      </w:r>
      <w:r>
        <w:rPr>
          <w:sz w:val="16"/>
          <w:lang w:val="en-US"/>
        </w:rPr>
        <w:t>9</w:t>
      </w:r>
      <w:r w:rsidRPr="00B60926">
        <w:rPr>
          <w:sz w:val="16"/>
          <w:lang w:val="en-US"/>
        </w:rPr>
        <w:t xml:space="preserve">.06(6)(c) is a temporary requirement, </w:t>
      </w:r>
      <w:r w:rsidRPr="006F55F5">
        <w:rPr>
          <w:sz w:val="16"/>
          <w:lang w:val="en-US"/>
        </w:rPr>
        <w:t>applicable until 31 December 2019. The following</w:t>
      </w:r>
      <w:r w:rsidRPr="00B60926">
        <w:rPr>
          <w:sz w:val="16"/>
          <w:lang w:val="en-US"/>
        </w:rPr>
        <w:t xml:space="preserve"> transitional pr</w:t>
      </w:r>
      <w:r>
        <w:rPr>
          <w:sz w:val="16"/>
          <w:lang w:val="en-US"/>
        </w:rPr>
        <w:t>ovision was in force prior to 1 </w:t>
      </w:r>
      <w:r w:rsidRPr="00B60926">
        <w:rPr>
          <w:sz w:val="16"/>
          <w:lang w:val="en-US"/>
        </w:rPr>
        <w:t>December</w:t>
      </w:r>
      <w:r>
        <w:rPr>
          <w:sz w:val="16"/>
          <w:lang w:val="en-US"/>
        </w:rPr>
        <w:t> </w:t>
      </w:r>
      <w:r w:rsidRPr="00B60926">
        <w:rPr>
          <w:sz w:val="16"/>
          <w:lang w:val="en-US"/>
        </w:rPr>
        <w:t xml:space="preserve">2014: </w:t>
      </w:r>
      <w:r>
        <w:rPr>
          <w:sz w:val="16"/>
          <w:lang w:val="en-US"/>
        </w:rPr>
        <w:t>‘</w:t>
      </w:r>
      <w:r w:rsidRPr="00B60926">
        <w:rPr>
          <w:i/>
          <w:color w:val="000000"/>
          <w:sz w:val="16"/>
          <w:lang w:val="en-US"/>
        </w:rPr>
        <w:t>1</w:t>
      </w:r>
      <w:r>
        <w:rPr>
          <w:i/>
          <w:color w:val="000000"/>
          <w:sz w:val="16"/>
          <w:lang w:val="en-US"/>
        </w:rPr>
        <w:t>9</w:t>
      </w:r>
      <w:r w:rsidRPr="00B60926">
        <w:rPr>
          <w:i/>
          <w:color w:val="000000"/>
          <w:sz w:val="16"/>
          <w:lang w:val="en-US"/>
        </w:rPr>
        <w:t>.06(6)(c)</w:t>
      </w:r>
      <w:r w:rsidRPr="00B60926">
        <w:rPr>
          <w:i/>
          <w:sz w:val="16"/>
          <w:lang w:val="en-US"/>
        </w:rPr>
        <w:t xml:space="preserve"> / No escape routes through galleys / </w:t>
      </w:r>
      <w:r>
        <w:rPr>
          <w:i/>
          <w:sz w:val="16"/>
          <w:lang w:val="en-US"/>
        </w:rPr>
        <w:t>N.R.C.</w:t>
      </w:r>
      <w:r w:rsidRPr="00B60926">
        <w:rPr>
          <w:i/>
          <w:sz w:val="16"/>
          <w:lang w:val="en-US"/>
        </w:rPr>
        <w:t xml:space="preserve">, no later than after the first renewal of the </w:t>
      </w:r>
      <w:r>
        <w:rPr>
          <w:i/>
          <w:sz w:val="16"/>
          <w:lang w:val="en-US"/>
        </w:rPr>
        <w:t>inland navigation vessel certificate</w:t>
      </w:r>
      <w:r w:rsidRPr="00B60926">
        <w:rPr>
          <w:i/>
          <w:sz w:val="16"/>
          <w:lang w:val="en-US"/>
        </w:rPr>
        <w:t xml:space="preserve"> after 1.1.2015 / 1.1.2006</w:t>
      </w:r>
      <w:r>
        <w:rPr>
          <w:i/>
          <w:sz w:val="16"/>
          <w:lang w:val="en-US"/>
        </w:rPr>
        <w:t>’</w:t>
      </w:r>
      <w:r w:rsidRPr="00B60926">
        <w:rPr>
          <w:i/>
          <w:sz w:val="16"/>
          <w:lang w:val="en-US"/>
        </w:rPr>
        <w:t>.</w:t>
      </w:r>
    </w:p>
  </w:footnote>
  <w:footnote w:id="43">
    <w:p w:rsidR="00C60AC1" w:rsidRPr="00B60926" w:rsidRDefault="00C60AC1" w:rsidP="006F55F5">
      <w:pPr>
        <w:pStyle w:val="FootnoteText"/>
        <w:spacing w:before="40"/>
        <w:ind w:left="284" w:hanging="284"/>
        <w:rPr>
          <w:rFonts w:cs="Arial"/>
          <w:sz w:val="16"/>
          <w:szCs w:val="16"/>
          <w:lang w:val="en-US"/>
        </w:rPr>
      </w:pPr>
      <w:r>
        <w:rPr>
          <w:rStyle w:val="FootnoteReference"/>
          <w:sz w:val="16"/>
        </w:rPr>
        <w:footnoteRef/>
      </w:r>
      <w:r w:rsidRPr="00B60926">
        <w:rPr>
          <w:sz w:val="16"/>
          <w:lang w:val="en-US"/>
        </w:rPr>
        <w:t xml:space="preserve"> </w:t>
      </w:r>
      <w:r w:rsidRPr="00B60926">
        <w:rPr>
          <w:lang w:val="en-US"/>
        </w:rPr>
        <w:tab/>
      </w:r>
      <w:r w:rsidRPr="00B60926">
        <w:rPr>
          <w:sz w:val="16"/>
          <w:lang w:val="en-US"/>
        </w:rPr>
        <w:t>The transitional provision applicable to Article 1</w:t>
      </w:r>
      <w:r>
        <w:rPr>
          <w:sz w:val="16"/>
          <w:lang w:val="en-US"/>
        </w:rPr>
        <w:t>9</w:t>
      </w:r>
      <w:r w:rsidRPr="00B60926">
        <w:rPr>
          <w:sz w:val="16"/>
          <w:lang w:val="en-US"/>
        </w:rPr>
        <w:t>.07 is a temporary requirement, appli</w:t>
      </w:r>
      <w:r w:rsidRPr="006F55F5">
        <w:rPr>
          <w:sz w:val="16"/>
          <w:lang w:val="en-US"/>
        </w:rPr>
        <w:t>cable until 31 December 2019. The following</w:t>
      </w:r>
      <w:r w:rsidRPr="00B60926">
        <w:rPr>
          <w:sz w:val="16"/>
          <w:lang w:val="en-US"/>
        </w:rPr>
        <w:t xml:space="preserve"> transitional provision was in force prior to 1 December 2014: </w:t>
      </w:r>
      <w:r>
        <w:rPr>
          <w:sz w:val="16"/>
          <w:lang w:val="en-US"/>
        </w:rPr>
        <w:t>‘</w:t>
      </w:r>
      <w:r w:rsidRPr="00B60926">
        <w:rPr>
          <w:i/>
          <w:color w:val="000000"/>
          <w:sz w:val="16"/>
          <w:lang w:val="en-US"/>
        </w:rPr>
        <w:t>1</w:t>
      </w:r>
      <w:r>
        <w:rPr>
          <w:i/>
          <w:color w:val="000000"/>
          <w:sz w:val="16"/>
          <w:lang w:val="en-US"/>
        </w:rPr>
        <w:t>9</w:t>
      </w:r>
      <w:r w:rsidRPr="00B60926">
        <w:rPr>
          <w:i/>
          <w:color w:val="000000"/>
          <w:sz w:val="16"/>
          <w:lang w:val="en-US"/>
        </w:rPr>
        <w:t>.07</w:t>
      </w:r>
      <w:r w:rsidRPr="00B60926">
        <w:rPr>
          <w:i/>
          <w:sz w:val="16"/>
          <w:lang w:val="en-US"/>
        </w:rPr>
        <w:t xml:space="preserve"> / Requirements concerning the propulsion system / </w:t>
      </w:r>
      <w:r>
        <w:rPr>
          <w:i/>
          <w:sz w:val="16"/>
          <w:lang w:val="en-US"/>
        </w:rPr>
        <w:t>N.R.C.</w:t>
      </w:r>
      <w:r w:rsidRPr="00B60926">
        <w:rPr>
          <w:i/>
          <w:sz w:val="16"/>
          <w:lang w:val="en-US"/>
        </w:rPr>
        <w:t xml:space="preserve">, at the latest on renewal of the </w:t>
      </w:r>
      <w:r>
        <w:rPr>
          <w:i/>
          <w:sz w:val="16"/>
          <w:lang w:val="en-US"/>
        </w:rPr>
        <w:t>inland navigation vessel certificate</w:t>
      </w:r>
      <w:r w:rsidRPr="00B60926">
        <w:rPr>
          <w:i/>
          <w:sz w:val="16"/>
          <w:lang w:val="en-US"/>
        </w:rPr>
        <w:t xml:space="preserve"> after 1.1.2015 /1.1.2006</w:t>
      </w:r>
      <w:r>
        <w:rPr>
          <w:i/>
          <w:sz w:val="16"/>
          <w:lang w:val="en-US"/>
        </w:rPr>
        <w:t>’</w:t>
      </w:r>
      <w:r w:rsidRPr="00B60926">
        <w:rPr>
          <w:i/>
          <w:sz w:val="16"/>
          <w:lang w:val="en-US"/>
        </w:rPr>
        <w:t>.</w:t>
      </w:r>
    </w:p>
  </w:footnote>
  <w:footnote w:id="44">
    <w:p w:rsidR="00C60AC1" w:rsidRPr="00B60926" w:rsidRDefault="00C60AC1" w:rsidP="006F55F5">
      <w:pPr>
        <w:pStyle w:val="FootnoteText"/>
        <w:spacing w:before="40"/>
        <w:ind w:left="284" w:hanging="284"/>
        <w:rPr>
          <w:lang w:val="en-US"/>
        </w:rPr>
      </w:pPr>
      <w:r>
        <w:rPr>
          <w:rStyle w:val="FootnoteReference"/>
          <w:sz w:val="16"/>
        </w:rPr>
        <w:footnoteRef/>
      </w:r>
      <w:r w:rsidRPr="00B60926">
        <w:rPr>
          <w:sz w:val="16"/>
          <w:lang w:val="en-US"/>
        </w:rPr>
        <w:t xml:space="preserve"> </w:t>
      </w:r>
      <w:r w:rsidRPr="00B60926">
        <w:rPr>
          <w:lang w:val="en-US"/>
        </w:rPr>
        <w:tab/>
      </w:r>
      <w:r w:rsidRPr="00B60926">
        <w:rPr>
          <w:sz w:val="16"/>
          <w:lang w:val="en-US"/>
        </w:rPr>
        <w:t>The transitional provision applicable to Article 1</w:t>
      </w:r>
      <w:r>
        <w:rPr>
          <w:sz w:val="16"/>
          <w:lang w:val="en-US"/>
        </w:rPr>
        <w:t>9</w:t>
      </w:r>
      <w:r w:rsidRPr="00B60926">
        <w:rPr>
          <w:sz w:val="16"/>
          <w:lang w:val="en-US"/>
        </w:rPr>
        <w:t xml:space="preserve">.08(3) is a temporary requirement, applicable </w:t>
      </w:r>
      <w:r w:rsidRPr="006F55F5">
        <w:rPr>
          <w:sz w:val="16"/>
          <w:lang w:val="en-US"/>
        </w:rPr>
        <w:t>until 31 December 2019. The following</w:t>
      </w:r>
      <w:r w:rsidRPr="00B60926">
        <w:rPr>
          <w:sz w:val="16"/>
          <w:lang w:val="en-US"/>
        </w:rPr>
        <w:t xml:space="preserve"> transitional provision was in force prior to 1 December 2014: </w:t>
      </w:r>
      <w:r>
        <w:rPr>
          <w:sz w:val="16"/>
          <w:lang w:val="en-US"/>
        </w:rPr>
        <w:t>‘</w:t>
      </w:r>
      <w:r w:rsidRPr="00B60926">
        <w:rPr>
          <w:i/>
          <w:color w:val="000000"/>
          <w:sz w:val="16"/>
          <w:lang w:val="en-US"/>
        </w:rPr>
        <w:t>1</w:t>
      </w:r>
      <w:r>
        <w:rPr>
          <w:i/>
          <w:color w:val="000000"/>
          <w:sz w:val="16"/>
          <w:lang w:val="en-US"/>
        </w:rPr>
        <w:t>9</w:t>
      </w:r>
      <w:r w:rsidRPr="00B60926">
        <w:rPr>
          <w:i/>
          <w:color w:val="000000"/>
          <w:sz w:val="16"/>
          <w:lang w:val="en-US"/>
        </w:rPr>
        <w:t>.08(3) /</w:t>
      </w:r>
      <w:r w:rsidRPr="00B60926">
        <w:rPr>
          <w:i/>
          <w:sz w:val="16"/>
          <w:lang w:val="en-US"/>
        </w:rPr>
        <w:t xml:space="preserve"> Alarm system requirements / </w:t>
      </w:r>
      <w:r>
        <w:rPr>
          <w:i/>
          <w:sz w:val="16"/>
          <w:lang w:val="en-US"/>
        </w:rPr>
        <w:t>N.R.C.</w:t>
      </w:r>
      <w:r w:rsidRPr="00B60926">
        <w:rPr>
          <w:i/>
          <w:sz w:val="16"/>
          <w:lang w:val="en-US"/>
        </w:rPr>
        <w:t xml:space="preserve">, at the latest on renewal of the </w:t>
      </w:r>
      <w:r>
        <w:rPr>
          <w:i/>
          <w:sz w:val="16"/>
          <w:lang w:val="en-US"/>
        </w:rPr>
        <w:t>inland navigation vessel certificate</w:t>
      </w:r>
      <w:r w:rsidRPr="00B60926">
        <w:rPr>
          <w:i/>
          <w:sz w:val="16"/>
          <w:lang w:val="en-US"/>
        </w:rPr>
        <w:t xml:space="preserve"> after 1.1.2015 / 1.1.2006”</w:t>
      </w:r>
      <w:r w:rsidRPr="00B60926">
        <w:rPr>
          <w:sz w:val="16"/>
          <w:lang w:val="en-US"/>
        </w:rPr>
        <w:t xml:space="preserve"> and </w:t>
      </w:r>
      <w:r w:rsidRPr="00B60926">
        <w:rPr>
          <w:i/>
          <w:color w:val="000000"/>
          <w:sz w:val="16"/>
          <w:lang w:val="en-US"/>
        </w:rPr>
        <w:t>“1</w:t>
      </w:r>
      <w:r>
        <w:rPr>
          <w:i/>
          <w:color w:val="000000"/>
          <w:sz w:val="16"/>
          <w:lang w:val="en-US"/>
        </w:rPr>
        <w:t>9</w:t>
      </w:r>
      <w:r w:rsidRPr="00B60926">
        <w:rPr>
          <w:i/>
          <w:color w:val="000000"/>
          <w:sz w:val="16"/>
          <w:lang w:val="en-US"/>
        </w:rPr>
        <w:t>.08(3)(c) /</w:t>
      </w:r>
      <w:r w:rsidRPr="00B60926">
        <w:rPr>
          <w:i/>
          <w:sz w:val="16"/>
          <w:lang w:val="en-US"/>
        </w:rPr>
        <w:t xml:space="preserve"> Alarm system for alerting the crew and </w:t>
      </w:r>
      <w:r>
        <w:rPr>
          <w:i/>
          <w:sz w:val="16"/>
          <w:lang w:val="en-US"/>
        </w:rPr>
        <w:t>shipboard</w:t>
      </w:r>
      <w:r w:rsidRPr="00B60926">
        <w:rPr>
          <w:i/>
          <w:sz w:val="16"/>
          <w:lang w:val="en-US"/>
        </w:rPr>
        <w:t xml:space="preserve"> personnel by the vessel's command / For cruise vessels, the regulation applies </w:t>
      </w:r>
      <w:r>
        <w:rPr>
          <w:i/>
          <w:sz w:val="16"/>
          <w:lang w:val="en-US"/>
        </w:rPr>
        <w:t>N.R.C.</w:t>
      </w:r>
      <w:r w:rsidRPr="00B60926">
        <w:rPr>
          <w:i/>
          <w:sz w:val="16"/>
          <w:lang w:val="en-US"/>
        </w:rPr>
        <w:t xml:space="preserve">, at the latest on renewal of the </w:t>
      </w:r>
      <w:r>
        <w:rPr>
          <w:i/>
          <w:sz w:val="16"/>
          <w:lang w:val="en-US"/>
        </w:rPr>
        <w:t>inland navigation vessel certificate</w:t>
      </w:r>
      <w:r w:rsidRPr="00B60926">
        <w:rPr>
          <w:i/>
          <w:sz w:val="16"/>
          <w:lang w:val="en-US"/>
        </w:rPr>
        <w:t xml:space="preserve"> after 1.1.2007 / 1.1.2006</w:t>
      </w:r>
      <w:r>
        <w:rPr>
          <w:i/>
          <w:sz w:val="16"/>
          <w:lang w:val="en-US"/>
        </w:rPr>
        <w:t>’</w:t>
      </w:r>
      <w:r w:rsidRPr="00B60926">
        <w:rPr>
          <w:i/>
          <w:sz w:val="16"/>
          <w:lang w:val="en-US"/>
        </w:rPr>
        <w:t>.</w:t>
      </w:r>
    </w:p>
  </w:footnote>
  <w:footnote w:id="45">
    <w:p w:rsidR="00C60AC1" w:rsidRPr="003F77EE" w:rsidRDefault="00C60AC1" w:rsidP="00AA5614">
      <w:pPr>
        <w:pStyle w:val="FootnoteText"/>
        <w:spacing w:before="40"/>
        <w:ind w:left="284" w:hanging="284"/>
        <w:rPr>
          <w:lang w:val="en-US"/>
        </w:rPr>
      </w:pPr>
      <w:r w:rsidRPr="006F55F5">
        <w:rPr>
          <w:rStyle w:val="FootnoteReference"/>
          <w:sz w:val="16"/>
          <w:szCs w:val="16"/>
        </w:rPr>
        <w:footnoteRef/>
      </w:r>
      <w:r w:rsidRPr="006F55F5">
        <w:rPr>
          <w:sz w:val="16"/>
          <w:szCs w:val="16"/>
          <w:lang w:val="en-US"/>
        </w:rPr>
        <w:t xml:space="preserve"> </w:t>
      </w:r>
      <w:r w:rsidRPr="006F55F5">
        <w:rPr>
          <w:sz w:val="16"/>
          <w:szCs w:val="16"/>
          <w:lang w:val="en-US"/>
        </w:rPr>
        <w:tab/>
        <w:t>MSC.61(67) adopted on 5 December 1996 - International Code for Application of Fire Test Procedures.</w:t>
      </w:r>
    </w:p>
  </w:footnote>
  <w:footnote w:id="46">
    <w:p w:rsidR="00C60AC1" w:rsidRDefault="00C60AC1" w:rsidP="002D3F17">
      <w:pPr>
        <w:pStyle w:val="FootnoteText"/>
        <w:ind w:left="284" w:hanging="284"/>
        <w:rPr>
          <w:sz w:val="16"/>
          <w:szCs w:val="16"/>
          <w:lang w:val="en-US"/>
        </w:rPr>
      </w:pPr>
      <w:r w:rsidRPr="00F7713D">
        <w:rPr>
          <w:rStyle w:val="FootnoteReference"/>
        </w:rPr>
        <w:footnoteRef/>
      </w:r>
      <w:r w:rsidRPr="00F7713D">
        <w:rPr>
          <w:lang w:val="en-US"/>
        </w:rPr>
        <w:t xml:space="preserve"> </w:t>
      </w:r>
      <w:r w:rsidRPr="00F7713D">
        <w:rPr>
          <w:lang w:val="en-US"/>
        </w:rPr>
        <w:tab/>
      </w:r>
      <w:r w:rsidRPr="005038C1">
        <w:rPr>
          <w:sz w:val="16"/>
          <w:szCs w:val="16"/>
          <w:lang w:val="en-US"/>
        </w:rPr>
        <w:t>However at the latest on renewal of the inland navigation vessel certificate after 1.1.2015, the crafts must comply with the following requirements</w:t>
      </w:r>
      <w:r>
        <w:rPr>
          <w:sz w:val="16"/>
          <w:szCs w:val="16"/>
          <w:lang w:val="en-US"/>
        </w:rPr>
        <w:t>:</w:t>
      </w:r>
    </w:p>
    <w:p w:rsidR="00C60AC1" w:rsidRDefault="00C60AC1" w:rsidP="00C5514F">
      <w:pPr>
        <w:pStyle w:val="FootnoteText"/>
        <w:spacing w:before="40"/>
        <w:ind w:left="568" w:hanging="284"/>
        <w:rPr>
          <w:rFonts w:cs="Arial"/>
          <w:sz w:val="16"/>
          <w:szCs w:val="16"/>
          <w:lang w:val="en-US"/>
        </w:rPr>
      </w:pPr>
      <w:r>
        <w:rPr>
          <w:rFonts w:cs="Arial"/>
          <w:sz w:val="16"/>
          <w:szCs w:val="16"/>
          <w:lang w:val="en-US"/>
        </w:rPr>
        <w:t>-</w:t>
      </w:r>
      <w:r>
        <w:rPr>
          <w:rFonts w:cs="Arial"/>
          <w:sz w:val="16"/>
          <w:szCs w:val="16"/>
          <w:lang w:val="en-US"/>
        </w:rPr>
        <w:tab/>
      </w:r>
      <w:r w:rsidRPr="005038C1">
        <w:rPr>
          <w:rFonts w:cs="Arial"/>
          <w:sz w:val="16"/>
          <w:szCs w:val="16"/>
          <w:lang w:val="en-US"/>
        </w:rPr>
        <w:t xml:space="preserve">The outer edges of the decks, as well as work stations where persons might fall more than 1 m, shall be fitted with bulwarks or coamings that are at least 0.70 m height or with continuous guard rails in accordance with European Standard EN 711: 1995, comprising a handrail, intermediate rail at knee height and foot rail. </w:t>
      </w:r>
    </w:p>
    <w:p w:rsidR="00C60AC1" w:rsidRPr="005038C1" w:rsidRDefault="00C60AC1" w:rsidP="00C5514F">
      <w:pPr>
        <w:pStyle w:val="FootnoteText"/>
        <w:spacing w:before="40"/>
        <w:ind w:left="568" w:hanging="284"/>
        <w:rPr>
          <w:rFonts w:cs="Arial"/>
          <w:sz w:val="16"/>
          <w:szCs w:val="16"/>
          <w:lang w:val="en-US"/>
        </w:rPr>
      </w:pPr>
      <w:r>
        <w:rPr>
          <w:rFonts w:cs="Arial"/>
          <w:sz w:val="16"/>
          <w:szCs w:val="16"/>
          <w:lang w:val="en-US"/>
        </w:rPr>
        <w:t>-</w:t>
      </w:r>
      <w:r>
        <w:rPr>
          <w:rFonts w:cs="Arial"/>
          <w:sz w:val="16"/>
          <w:szCs w:val="16"/>
          <w:lang w:val="en-US"/>
        </w:rPr>
        <w:tab/>
      </w:r>
      <w:r w:rsidRPr="005038C1">
        <w:rPr>
          <w:rFonts w:cs="Arial"/>
          <w:sz w:val="16"/>
          <w:szCs w:val="16"/>
          <w:lang w:val="en-US"/>
        </w:rPr>
        <w:t>Side decks shall be fitted with a foot rail and continuous handrail that is secured to the coaming. Coaming handrails shall not be required where sidedecks are fitted with non-retractable shipside guard rails.</w:t>
      </w:r>
    </w:p>
  </w:footnote>
  <w:footnote w:id="47">
    <w:p w:rsidR="00C60AC1" w:rsidRPr="00E54523" w:rsidRDefault="00C60AC1" w:rsidP="001E2331">
      <w:pPr>
        <w:pStyle w:val="FootnoteText"/>
        <w:ind w:left="284" w:hanging="284"/>
        <w:rPr>
          <w:rFonts w:cs="Arial"/>
          <w:sz w:val="16"/>
          <w:szCs w:val="16"/>
          <w:lang w:val="en-US"/>
        </w:rPr>
      </w:pPr>
      <w:r w:rsidRPr="00E54523">
        <w:rPr>
          <w:rStyle w:val="FootnoteReference"/>
          <w:rFonts w:cs="Arial"/>
        </w:rPr>
        <w:footnoteRef/>
      </w:r>
      <w:r w:rsidRPr="00E54523">
        <w:rPr>
          <w:rFonts w:cs="Arial"/>
          <w:lang w:val="en-US"/>
        </w:rPr>
        <w:tab/>
      </w:r>
      <w:r w:rsidRPr="00E54523">
        <w:rPr>
          <w:rFonts w:cs="Arial"/>
          <w:sz w:val="16"/>
          <w:lang w:val="en-US"/>
        </w:rPr>
        <w:t>For vessel</w:t>
      </w:r>
      <w:r w:rsidRPr="00E54523">
        <w:rPr>
          <w:rFonts w:cs="Arial"/>
          <w:sz w:val="16"/>
          <w:lang w:val="en-GB"/>
        </w:rPr>
        <w:t>s</w:t>
      </w:r>
      <w:r w:rsidRPr="00E54523">
        <w:rPr>
          <w:rFonts w:cs="Arial"/>
          <w:sz w:val="16"/>
          <w:lang w:val="en-US"/>
        </w:rPr>
        <w:t xml:space="preserve"> laid down after 31.12.1994 and for vessel</w:t>
      </w:r>
      <w:r w:rsidRPr="00E54523">
        <w:rPr>
          <w:rFonts w:cs="Arial"/>
          <w:sz w:val="16"/>
          <w:lang w:val="en-GB"/>
        </w:rPr>
        <w:t>s</w:t>
      </w:r>
      <w:r w:rsidRPr="00E54523">
        <w:rPr>
          <w:rFonts w:cs="Arial"/>
          <w:sz w:val="16"/>
          <w:lang w:val="en-US"/>
        </w:rPr>
        <w:t xml:space="preserve"> in service, the requirement shall apply under the following conditions:</w:t>
      </w:r>
    </w:p>
    <w:p w:rsidR="00C60AC1" w:rsidRPr="00E54523" w:rsidRDefault="00C60AC1" w:rsidP="001E2331">
      <w:pPr>
        <w:pStyle w:val="FootnoteText"/>
        <w:spacing w:before="40"/>
        <w:ind w:left="284" w:firstLine="0"/>
        <w:rPr>
          <w:rFonts w:cs="Arial"/>
          <w:sz w:val="16"/>
          <w:szCs w:val="16"/>
          <w:lang w:val="en-US"/>
        </w:rPr>
      </w:pPr>
      <w:r w:rsidRPr="00E54523">
        <w:rPr>
          <w:rFonts w:cs="Arial"/>
          <w:sz w:val="16"/>
          <w:lang w:val="en-US"/>
        </w:rPr>
        <w:t>Should the entire hold area be replaced, the requirements of article 14.04 must be complied with. In the event of modifications affecting the entire length of the side deck area and modifying the clear width of the side deck,</w:t>
      </w:r>
    </w:p>
    <w:p w:rsidR="00C60AC1" w:rsidRPr="00E54523" w:rsidRDefault="00C60AC1" w:rsidP="001E2331">
      <w:pPr>
        <w:pStyle w:val="FootnoteText"/>
        <w:tabs>
          <w:tab w:val="left" w:pos="567"/>
        </w:tabs>
        <w:spacing w:before="40"/>
        <w:ind w:left="567" w:hanging="283"/>
        <w:rPr>
          <w:rFonts w:cs="Arial"/>
          <w:sz w:val="16"/>
          <w:szCs w:val="16"/>
          <w:lang w:val="en-US"/>
        </w:rPr>
      </w:pPr>
      <w:r w:rsidRPr="00E54523">
        <w:rPr>
          <w:rFonts w:cs="Arial"/>
          <w:sz w:val="16"/>
          <w:lang w:val="en-US"/>
        </w:rPr>
        <w:t>a)</w:t>
      </w:r>
      <w:r w:rsidRPr="00E54523">
        <w:rPr>
          <w:rFonts w:cs="Arial"/>
          <w:lang w:val="en-US"/>
        </w:rPr>
        <w:tab/>
      </w:r>
      <w:r w:rsidRPr="00E54523">
        <w:rPr>
          <w:rFonts w:cs="Arial"/>
          <w:sz w:val="16"/>
          <w:lang w:val="en-US"/>
        </w:rPr>
        <w:t>article 14.04 must be complied with when the clear width of the side deck to a height of 0.90 m, available before the modification, has to be reduced</w:t>
      </w:r>
    </w:p>
    <w:p w:rsidR="00C60AC1" w:rsidRPr="00E54523" w:rsidRDefault="00C60AC1" w:rsidP="0063563D">
      <w:pPr>
        <w:ind w:left="567" w:hanging="283"/>
        <w:rPr>
          <w:lang w:val="en-US"/>
        </w:rPr>
      </w:pPr>
      <w:r w:rsidRPr="00E54523">
        <w:rPr>
          <w:rFonts w:cs="Arial"/>
          <w:sz w:val="16"/>
          <w:lang w:val="en-US"/>
        </w:rPr>
        <w:t>b)</w:t>
      </w:r>
      <w:r w:rsidRPr="00E54523">
        <w:rPr>
          <w:rFonts w:cs="Arial"/>
          <w:lang w:val="en-US"/>
        </w:rPr>
        <w:tab/>
      </w:r>
      <w:r w:rsidRPr="00E54523">
        <w:rPr>
          <w:rFonts w:cs="Arial"/>
          <w:sz w:val="16"/>
          <w:lang w:val="en-US"/>
        </w:rPr>
        <w:t>the clear width of the side deck to a height of 0.90 m or the clear width above that height, available before the modification, must not be reduced if their dimensions are less than those specified in article 14.04.</w:t>
      </w:r>
    </w:p>
  </w:footnote>
  <w:footnote w:id="48">
    <w:p w:rsidR="00C60AC1" w:rsidRPr="001B4524" w:rsidRDefault="00C60AC1" w:rsidP="00AA5614">
      <w:pPr>
        <w:pStyle w:val="FootnoteText"/>
        <w:ind w:left="284" w:hanging="284"/>
        <w:rPr>
          <w:sz w:val="16"/>
          <w:szCs w:val="16"/>
          <w:lang w:val="en-US"/>
        </w:rPr>
      </w:pPr>
      <w:r w:rsidRPr="00E56A84">
        <w:rPr>
          <w:rStyle w:val="FootnoteReference"/>
        </w:rPr>
        <w:footnoteRef/>
      </w:r>
      <w:r w:rsidRPr="00E56A84">
        <w:rPr>
          <w:sz w:val="16"/>
          <w:szCs w:val="16"/>
          <w:lang w:val="en-US"/>
        </w:rPr>
        <w:t xml:space="preserve"> </w:t>
      </w:r>
      <w:r w:rsidRPr="00E56A84">
        <w:rPr>
          <w:sz w:val="16"/>
          <w:szCs w:val="16"/>
          <w:lang w:val="en-US"/>
        </w:rPr>
        <w:tab/>
        <w:t>MSC.61(67) adopted on 5 December 1996 - International Code for Application of Fire Test Procedures.</w:t>
      </w:r>
    </w:p>
  </w:footnote>
  <w:footnote w:id="49">
    <w:p w:rsidR="00C60AC1" w:rsidRPr="006B3499" w:rsidRDefault="00C60AC1" w:rsidP="009C13A9">
      <w:pPr>
        <w:pStyle w:val="FootnoteText"/>
        <w:spacing w:line="180" w:lineRule="exact"/>
        <w:ind w:left="284" w:hanging="284"/>
        <w:rPr>
          <w:rFonts w:cs="Arial"/>
          <w:sz w:val="16"/>
          <w:szCs w:val="16"/>
          <w:lang w:val="en-US"/>
        </w:rPr>
      </w:pPr>
      <w:r w:rsidRPr="006B3499">
        <w:rPr>
          <w:rStyle w:val="FootnoteReference"/>
          <w:rFonts w:cs="Arial"/>
          <w:sz w:val="16"/>
          <w:szCs w:val="16"/>
        </w:rPr>
        <w:footnoteRef/>
      </w:r>
      <w:r w:rsidRPr="006B3499">
        <w:rPr>
          <w:rFonts w:cs="Arial"/>
          <w:sz w:val="16"/>
          <w:szCs w:val="16"/>
          <w:lang w:val="en-US"/>
        </w:rPr>
        <w:t xml:space="preserve"> </w:t>
      </w:r>
      <w:r w:rsidRPr="006B3499">
        <w:rPr>
          <w:rFonts w:cs="Arial"/>
          <w:sz w:val="16"/>
          <w:szCs w:val="16"/>
          <w:lang w:val="en-US"/>
        </w:rPr>
        <w:tab/>
        <w:t>The Rhine inspection certificate will refer to: boatman, boatman replaced by an engine-minder; operating modes A1, A2 and B.</w:t>
      </w:r>
    </w:p>
  </w:footnote>
  <w:footnote w:id="50">
    <w:p w:rsidR="00C60AC1" w:rsidRPr="00576BBF" w:rsidRDefault="00C60AC1" w:rsidP="009C13A9">
      <w:pPr>
        <w:pStyle w:val="FootnoteText"/>
        <w:spacing w:line="180" w:lineRule="exact"/>
        <w:ind w:left="284" w:hanging="284"/>
        <w:rPr>
          <w:rFonts w:cs="Arial"/>
          <w:sz w:val="16"/>
          <w:szCs w:val="16"/>
          <w:lang w:val="en-US"/>
        </w:rPr>
      </w:pPr>
      <w:r w:rsidRPr="006B3499">
        <w:rPr>
          <w:rStyle w:val="FootnoteReference"/>
          <w:rFonts w:cs="Arial"/>
          <w:sz w:val="16"/>
          <w:szCs w:val="16"/>
        </w:rPr>
        <w:footnoteRef/>
      </w:r>
      <w:r w:rsidRPr="006B3499">
        <w:rPr>
          <w:rFonts w:cs="Arial"/>
          <w:sz w:val="16"/>
          <w:szCs w:val="16"/>
          <w:lang w:val="en-US"/>
        </w:rPr>
        <w:t xml:space="preserve"> </w:t>
      </w:r>
      <w:r w:rsidRPr="006B3499">
        <w:rPr>
          <w:rFonts w:cs="Arial"/>
          <w:sz w:val="16"/>
          <w:szCs w:val="16"/>
          <w:lang w:val="en-US"/>
        </w:rPr>
        <w:tab/>
        <w:t>The Rhine inspection certificate will refer to: Boatmaster, helmsman, able boatman, boatman, apprentice, engine-minder, engineer: operating modes A1, A2 and B.</w:t>
      </w:r>
    </w:p>
  </w:footnote>
  <w:footnote w:id="51">
    <w:p w:rsidR="00C60AC1" w:rsidRPr="00142885" w:rsidRDefault="00C60AC1" w:rsidP="00857FC2">
      <w:pPr>
        <w:ind w:left="284" w:hanging="284"/>
        <w:rPr>
          <w:lang w:val="en-US"/>
        </w:rPr>
      </w:pPr>
      <w:r w:rsidRPr="00EB56AC">
        <w:rPr>
          <w:rStyle w:val="FootnoteReference"/>
        </w:rPr>
        <w:footnoteRef/>
      </w:r>
      <w:r w:rsidRPr="00EB56AC">
        <w:rPr>
          <w:lang w:val="en-US"/>
        </w:rPr>
        <w:t xml:space="preserve"> </w:t>
      </w:r>
      <w:r w:rsidRPr="00EB56AC">
        <w:rPr>
          <w:lang w:val="en-US"/>
        </w:rPr>
        <w:tab/>
      </w:r>
      <w:r w:rsidRPr="00E3172D">
        <w:rPr>
          <w:spacing w:val="-2"/>
          <w:sz w:val="16"/>
          <w:lang w:val="en-US"/>
        </w:rPr>
        <w:t>The Rhine inspection certificate will refer to: boatman, boatman replaced by an engine-minder; operating modes A1, A2 and B</w:t>
      </w:r>
    </w:p>
  </w:footnote>
  <w:footnote w:id="52">
    <w:p w:rsidR="00C60AC1" w:rsidRPr="007D0137" w:rsidRDefault="00C60AC1" w:rsidP="001077F3">
      <w:pPr>
        <w:pStyle w:val="FootnoteText"/>
        <w:ind w:left="284" w:hanging="284"/>
        <w:rPr>
          <w:sz w:val="16"/>
          <w:szCs w:val="16"/>
          <w:lang w:val="en-US"/>
        </w:rPr>
      </w:pPr>
      <w:r w:rsidRPr="001077F3">
        <w:rPr>
          <w:rStyle w:val="FootnoteReference"/>
        </w:rPr>
        <w:footnoteRef/>
      </w:r>
      <w:r w:rsidRPr="001077F3">
        <w:rPr>
          <w:lang w:val="en-US"/>
        </w:rPr>
        <w:t xml:space="preserve"> </w:t>
      </w:r>
      <w:r w:rsidRPr="001077F3">
        <w:rPr>
          <w:lang w:val="en-US"/>
        </w:rPr>
        <w:tab/>
      </w:r>
      <w:r w:rsidRPr="001077F3">
        <w:rPr>
          <w:sz w:val="16"/>
          <w:szCs w:val="16"/>
          <w:lang w:val="en-US"/>
        </w:rPr>
        <w:t>Directive 2014/53/EU of the European Parliament and of the Council of 16 April 2014 on the harmonisation of the laws of the Member States relating to the making available on the market of radio equipment and repealing Directive 1999/5/EC (OJ L153, 22.5.2014)</w:t>
      </w:r>
    </w:p>
  </w:footnote>
  <w:footnote w:id="53">
    <w:p w:rsidR="00C60AC1" w:rsidRPr="007A1D49" w:rsidRDefault="00C60AC1" w:rsidP="001077F3">
      <w:pPr>
        <w:pStyle w:val="FootnoteText"/>
        <w:ind w:left="284" w:hanging="284"/>
        <w:rPr>
          <w:sz w:val="16"/>
          <w:szCs w:val="16"/>
          <w:lang w:val="en-US"/>
        </w:rPr>
      </w:pPr>
      <w:r w:rsidRPr="001077F3">
        <w:rPr>
          <w:rStyle w:val="FootnoteReference"/>
        </w:rPr>
        <w:footnoteRef/>
      </w:r>
      <w:r w:rsidRPr="001077F3">
        <w:rPr>
          <w:lang w:val="en-US"/>
        </w:rPr>
        <w:t xml:space="preserve"> </w:t>
      </w:r>
      <w:r w:rsidRPr="001077F3">
        <w:rPr>
          <w:lang w:val="en-US"/>
        </w:rPr>
        <w:tab/>
      </w:r>
      <w:r w:rsidRPr="001077F3">
        <w:rPr>
          <w:sz w:val="16"/>
          <w:szCs w:val="16"/>
          <w:lang w:val="en-US"/>
        </w:rPr>
        <w:t>Directive 2014/30/EU of the European Parliament and of the Council of 26 February 2014 on the harmonisation of the laws of the Member States relating to electromagnetic compatibility (OJ L 96, 29.3.2014).</w:t>
      </w:r>
    </w:p>
  </w:footnote>
  <w:footnote w:id="54">
    <w:p w:rsidR="00C60AC1" w:rsidRPr="001077F3" w:rsidRDefault="00C60AC1" w:rsidP="001077F3">
      <w:pPr>
        <w:pStyle w:val="FootnoteText"/>
        <w:spacing w:line="240" w:lineRule="atLeast"/>
        <w:ind w:left="284" w:hanging="284"/>
        <w:rPr>
          <w:rFonts w:cs="Arial"/>
          <w:lang w:val="en-US"/>
        </w:rPr>
      </w:pPr>
      <w:r w:rsidRPr="001077F3">
        <w:rPr>
          <w:rStyle w:val="FootnoteReference"/>
          <w:rFonts w:cs="Arial"/>
        </w:rPr>
        <w:footnoteRef/>
      </w:r>
      <w:r w:rsidRPr="001077F3">
        <w:rPr>
          <w:rFonts w:cs="Arial"/>
          <w:lang w:val="en-US"/>
        </w:rPr>
        <w:t xml:space="preserve"> </w:t>
      </w:r>
      <w:r w:rsidRPr="001077F3">
        <w:rPr>
          <w:rFonts w:cs="Arial"/>
          <w:lang w:val="en-US"/>
        </w:rPr>
        <w:tab/>
      </w:r>
      <w:r w:rsidRPr="001077F3">
        <w:rPr>
          <w:rFonts w:cs="Arial"/>
          <w:sz w:val="16"/>
          <w:szCs w:val="16"/>
          <w:lang w:val="en-US"/>
        </w:rPr>
        <w:t>MSC.112(73) adopted on 1 December 2000- Revised Performance Standards for Shipborne Global Positioning System (GPS) Receiver Equipment.</w:t>
      </w:r>
    </w:p>
  </w:footnote>
  <w:footnote w:id="55">
    <w:p w:rsidR="00C60AC1" w:rsidRPr="001077F3" w:rsidRDefault="00C60AC1" w:rsidP="001077F3">
      <w:pPr>
        <w:pStyle w:val="FootnoteText"/>
        <w:spacing w:line="240" w:lineRule="atLeast"/>
        <w:ind w:left="284" w:hanging="284"/>
        <w:rPr>
          <w:rFonts w:cs="Arial"/>
          <w:lang w:val="en-US"/>
        </w:rPr>
      </w:pPr>
      <w:r w:rsidRPr="001077F3">
        <w:rPr>
          <w:rStyle w:val="FootnoteReference"/>
          <w:rFonts w:cs="Arial"/>
        </w:rPr>
        <w:footnoteRef/>
      </w:r>
      <w:r w:rsidRPr="001077F3">
        <w:rPr>
          <w:rFonts w:cs="Arial"/>
          <w:vertAlign w:val="superscript"/>
          <w:lang w:val="en-US"/>
        </w:rPr>
        <w:t xml:space="preserve"> </w:t>
      </w:r>
      <w:r w:rsidRPr="001077F3">
        <w:rPr>
          <w:rFonts w:cs="Arial"/>
          <w:lang w:val="en-US"/>
        </w:rPr>
        <w:tab/>
      </w:r>
      <w:r w:rsidRPr="001077F3">
        <w:rPr>
          <w:rFonts w:cs="Arial"/>
          <w:sz w:val="16"/>
          <w:szCs w:val="16"/>
          <w:lang w:val="en-US"/>
        </w:rPr>
        <w:t>MSC.114(73) adopted on 1 December 2000 - Revised Performance Standards for Shipborne DGPS and DGLONASS Maritime Radio Beacon Receiver Equipment.</w:t>
      </w:r>
    </w:p>
  </w:footnote>
  <w:footnote w:id="56">
    <w:p w:rsidR="00C60AC1" w:rsidRPr="001077F3" w:rsidRDefault="00C60AC1" w:rsidP="001077F3">
      <w:pPr>
        <w:pStyle w:val="FootnoteText"/>
        <w:spacing w:line="240" w:lineRule="atLeast"/>
        <w:ind w:left="284" w:hanging="284"/>
        <w:rPr>
          <w:rFonts w:cs="Arial"/>
          <w:lang w:val="en-US"/>
        </w:rPr>
      </w:pPr>
      <w:r w:rsidRPr="001077F3">
        <w:rPr>
          <w:rStyle w:val="FootnoteReference"/>
          <w:rFonts w:cs="Arial"/>
        </w:rPr>
        <w:footnoteRef/>
      </w:r>
      <w:r w:rsidRPr="001077F3">
        <w:rPr>
          <w:rFonts w:cs="Arial"/>
          <w:lang w:val="en-US"/>
        </w:rPr>
        <w:t xml:space="preserve"> </w:t>
      </w:r>
      <w:r w:rsidRPr="001077F3">
        <w:rPr>
          <w:rFonts w:cs="Arial"/>
          <w:lang w:val="en-US"/>
        </w:rPr>
        <w:tab/>
      </w:r>
      <w:r w:rsidRPr="001077F3">
        <w:rPr>
          <w:rFonts w:cs="Arial"/>
          <w:sz w:val="16"/>
          <w:szCs w:val="16"/>
          <w:lang w:val="en-US"/>
        </w:rPr>
        <w:t>MSC.233(82) adopted on 5 December 2006 - Performance Standards for Shipborne Galileo Receiver Equipment.</w:t>
      </w:r>
    </w:p>
  </w:footnote>
  <w:footnote w:id="57">
    <w:p w:rsidR="00C60AC1" w:rsidRPr="000E1F46" w:rsidRDefault="00C60AC1" w:rsidP="001077F3">
      <w:pPr>
        <w:pStyle w:val="FootnoteText"/>
        <w:spacing w:line="240" w:lineRule="atLeast"/>
        <w:ind w:left="284" w:hanging="284"/>
        <w:rPr>
          <w:lang w:val="en-US"/>
        </w:rPr>
      </w:pPr>
      <w:r w:rsidRPr="001077F3">
        <w:rPr>
          <w:rStyle w:val="FootnoteReference"/>
          <w:rFonts w:cs="Arial"/>
        </w:rPr>
        <w:footnoteRef/>
      </w:r>
      <w:r w:rsidRPr="001077F3">
        <w:rPr>
          <w:rFonts w:cs="Arial"/>
          <w:vertAlign w:val="superscript"/>
          <w:lang w:val="en-US"/>
        </w:rPr>
        <w:t xml:space="preserve"> </w:t>
      </w:r>
      <w:r w:rsidRPr="001077F3">
        <w:rPr>
          <w:rFonts w:cs="Arial"/>
          <w:lang w:val="en-US"/>
        </w:rPr>
        <w:tab/>
      </w:r>
      <w:r w:rsidRPr="001077F3">
        <w:rPr>
          <w:rFonts w:cs="Arial"/>
          <w:sz w:val="16"/>
          <w:szCs w:val="16"/>
          <w:lang w:val="en-US"/>
        </w:rPr>
        <w:t>MSC.116(73) adopted on 1 December 2000 - Performance Standards for marine transmitting heading devices (THDs).</w:t>
      </w:r>
    </w:p>
  </w:footnote>
  <w:footnote w:id="58">
    <w:p w:rsidR="00C60AC1" w:rsidRPr="00B6380D" w:rsidRDefault="00C60AC1" w:rsidP="001077F3">
      <w:pPr>
        <w:pStyle w:val="FootnoteText"/>
        <w:ind w:left="284" w:hanging="284"/>
        <w:rPr>
          <w:rFonts w:cs="Arial"/>
          <w:lang w:val="en-US"/>
        </w:rPr>
      </w:pPr>
      <w:r w:rsidRPr="00B6380D">
        <w:rPr>
          <w:rStyle w:val="FootnoteReference"/>
          <w:rFonts w:cs="Arial"/>
        </w:rPr>
        <w:footnoteRef/>
      </w:r>
      <w:r w:rsidRPr="00B6380D">
        <w:rPr>
          <w:rFonts w:cs="Arial"/>
          <w:lang w:val="en-US"/>
        </w:rPr>
        <w:t xml:space="preserve"> </w:t>
      </w:r>
      <w:r w:rsidRPr="00B6380D">
        <w:rPr>
          <w:rFonts w:cs="Arial"/>
          <w:lang w:val="en-US"/>
        </w:rPr>
        <w:tab/>
      </w:r>
      <w:r w:rsidRPr="00B6380D">
        <w:rPr>
          <w:rFonts w:cs="Arial"/>
          <w:sz w:val="16"/>
          <w:szCs w:val="16"/>
          <w:lang w:val="en-US"/>
        </w:rPr>
        <w:t>MSC.112(73) adopted on 1 December 2000- Revised Performance Standards for Shipborne Global Positioning System (GPS) Receiver Equipment.</w:t>
      </w:r>
    </w:p>
  </w:footnote>
  <w:footnote w:id="59">
    <w:p w:rsidR="00C60AC1" w:rsidRPr="00B6380D" w:rsidRDefault="00C60AC1" w:rsidP="001077F3">
      <w:pPr>
        <w:pStyle w:val="FootnoteText"/>
        <w:ind w:left="284" w:hanging="284"/>
        <w:rPr>
          <w:rFonts w:cs="Arial"/>
          <w:lang w:val="en-US"/>
        </w:rPr>
      </w:pPr>
      <w:r w:rsidRPr="00B6380D">
        <w:rPr>
          <w:rStyle w:val="FootnoteReference"/>
          <w:rFonts w:cs="Arial"/>
        </w:rPr>
        <w:footnoteRef/>
      </w:r>
      <w:r w:rsidRPr="00B6380D">
        <w:rPr>
          <w:rFonts w:cs="Arial"/>
          <w:vertAlign w:val="superscript"/>
          <w:lang w:val="en-US"/>
        </w:rPr>
        <w:t xml:space="preserve"> </w:t>
      </w:r>
      <w:r w:rsidRPr="00B6380D">
        <w:rPr>
          <w:rFonts w:cs="Arial"/>
          <w:lang w:val="en-US"/>
        </w:rPr>
        <w:tab/>
      </w:r>
      <w:r w:rsidRPr="00B6380D">
        <w:rPr>
          <w:rFonts w:cs="Arial"/>
          <w:sz w:val="16"/>
          <w:szCs w:val="16"/>
          <w:lang w:val="en-US"/>
        </w:rPr>
        <w:t>MSC.114(73) adopted on 1 December 2000 - Revised Performance Standards for Shipborne DGPS and DGLONASS Maritime Radio Beacon Receiver Equipment.</w:t>
      </w:r>
    </w:p>
  </w:footnote>
  <w:footnote w:id="60">
    <w:p w:rsidR="00C60AC1" w:rsidRPr="00B6380D" w:rsidRDefault="00C60AC1" w:rsidP="001077F3">
      <w:pPr>
        <w:pStyle w:val="FootnoteText"/>
        <w:ind w:left="284" w:hanging="284"/>
        <w:rPr>
          <w:rFonts w:cs="Arial"/>
          <w:lang w:val="en-US"/>
        </w:rPr>
      </w:pPr>
      <w:r w:rsidRPr="00B6380D">
        <w:rPr>
          <w:rStyle w:val="FootnoteReference"/>
          <w:rFonts w:cs="Arial"/>
        </w:rPr>
        <w:footnoteRef/>
      </w:r>
      <w:r w:rsidRPr="00B6380D">
        <w:rPr>
          <w:rFonts w:cs="Arial"/>
          <w:lang w:val="en-US"/>
        </w:rPr>
        <w:t xml:space="preserve"> </w:t>
      </w:r>
      <w:r w:rsidRPr="00B6380D">
        <w:rPr>
          <w:rFonts w:cs="Arial"/>
          <w:lang w:val="en-US"/>
        </w:rPr>
        <w:tab/>
      </w:r>
      <w:r w:rsidRPr="00B6380D">
        <w:rPr>
          <w:rFonts w:cs="Arial"/>
          <w:sz w:val="16"/>
          <w:szCs w:val="16"/>
          <w:lang w:val="en-US"/>
        </w:rPr>
        <w:t>MSC.233(82) adopted on 5 December 2006 - Performance Standards for Shipborne Galileo Receiver Equipment.</w:t>
      </w:r>
    </w:p>
  </w:footnote>
  <w:footnote w:id="61">
    <w:p w:rsidR="00C60AC1" w:rsidRPr="000E1F46" w:rsidRDefault="00C60AC1" w:rsidP="001077F3">
      <w:pPr>
        <w:pStyle w:val="FootnoteText"/>
        <w:ind w:left="284" w:hanging="284"/>
        <w:rPr>
          <w:lang w:val="en-US"/>
        </w:rPr>
      </w:pPr>
      <w:r w:rsidRPr="00B6380D">
        <w:rPr>
          <w:rStyle w:val="FootnoteReference"/>
          <w:rFonts w:cs="Arial"/>
        </w:rPr>
        <w:footnoteRef/>
      </w:r>
      <w:r w:rsidRPr="00B6380D">
        <w:rPr>
          <w:rFonts w:cs="Arial"/>
          <w:vertAlign w:val="superscript"/>
          <w:lang w:val="en-US"/>
        </w:rPr>
        <w:t xml:space="preserve"> </w:t>
      </w:r>
      <w:r w:rsidRPr="00B6380D">
        <w:rPr>
          <w:rFonts w:cs="Arial"/>
          <w:lang w:val="en-US"/>
        </w:rPr>
        <w:tab/>
      </w:r>
      <w:r w:rsidRPr="00B6380D">
        <w:rPr>
          <w:rFonts w:cs="Arial"/>
          <w:sz w:val="16"/>
          <w:szCs w:val="16"/>
          <w:lang w:val="en-US"/>
        </w:rPr>
        <w:t>MSC.116(73) adopted on 1 December 2000 - Performance Standards for marine transmitting heading devices (THDs).</w:t>
      </w:r>
    </w:p>
  </w:footnote>
  <w:footnote w:id="62">
    <w:p w:rsidR="00C60AC1" w:rsidRDefault="00C60AC1" w:rsidP="001705E4">
      <w:pPr>
        <w:pStyle w:val="FootnoteText"/>
        <w:ind w:left="284" w:hanging="284"/>
        <w:rPr>
          <w:sz w:val="16"/>
          <w:szCs w:val="16"/>
          <w:lang w:val="en-US"/>
        </w:rPr>
      </w:pPr>
      <w:r>
        <w:rPr>
          <w:rStyle w:val="FootnoteReference"/>
        </w:rPr>
        <w:footnoteRef/>
      </w:r>
      <w:r w:rsidRPr="001705E4">
        <w:rPr>
          <w:lang w:val="en-US"/>
        </w:rPr>
        <w:t xml:space="preserve"> </w:t>
      </w:r>
      <w:r>
        <w:rPr>
          <w:lang w:val="en-US"/>
        </w:rPr>
        <w:tab/>
      </w:r>
      <w:r w:rsidRPr="001705E4">
        <w:rPr>
          <w:sz w:val="16"/>
          <w:szCs w:val="16"/>
          <w:lang w:val="en-US"/>
        </w:rPr>
        <w:t>Place a cross in the appropriate box</w:t>
      </w:r>
    </w:p>
    <w:p w:rsidR="00C60AC1" w:rsidRPr="001705E4" w:rsidRDefault="00C60AC1" w:rsidP="001705E4">
      <w:pPr>
        <w:pStyle w:val="FootnoteText"/>
        <w:ind w:left="284" w:hanging="284"/>
        <w:rPr>
          <w:lang w:val="en-US"/>
        </w:rPr>
      </w:pPr>
    </w:p>
  </w:footnote>
  <w:footnote w:id="63">
    <w:p w:rsidR="00C60AC1" w:rsidRPr="00142885" w:rsidRDefault="00C60AC1" w:rsidP="00422169">
      <w:pPr>
        <w:ind w:left="284" w:hanging="284"/>
        <w:rPr>
          <w:sz w:val="18"/>
          <w:lang w:val="en-US"/>
        </w:rPr>
      </w:pPr>
      <w:r>
        <w:rPr>
          <w:rStyle w:val="FootnoteReference"/>
        </w:rPr>
        <w:footnoteRef/>
      </w:r>
      <w:r w:rsidRPr="00142885">
        <w:rPr>
          <w:lang w:val="en-US"/>
        </w:rPr>
        <w:t xml:space="preserve"> </w:t>
      </w:r>
      <w:r w:rsidRPr="00142885">
        <w:rPr>
          <w:lang w:val="en-US"/>
        </w:rPr>
        <w:tab/>
      </w:r>
      <w:r w:rsidRPr="00EB56AC">
        <w:rPr>
          <w:sz w:val="16"/>
          <w:lang w:val="en-US"/>
        </w:rPr>
        <w:t>Information document reference number assigned by the competent authority.</w:t>
      </w:r>
    </w:p>
  </w:footnote>
  <w:footnote w:id="64">
    <w:p w:rsidR="00C60AC1" w:rsidRPr="00EB56AC" w:rsidRDefault="00C60AC1" w:rsidP="009C13A9">
      <w:pPr>
        <w:pStyle w:val="FootnoteText"/>
        <w:ind w:left="284" w:hanging="284"/>
        <w:rPr>
          <w:sz w:val="16"/>
          <w:szCs w:val="16"/>
          <w:lang w:val="en-US"/>
        </w:rPr>
      </w:pPr>
      <w:r w:rsidRPr="00EB56AC">
        <w:rPr>
          <w:rStyle w:val="FootnoteReference"/>
          <w:sz w:val="16"/>
          <w:szCs w:val="16"/>
        </w:rPr>
        <w:footnoteRef/>
      </w:r>
      <w:r w:rsidRPr="00EB56AC">
        <w:rPr>
          <w:sz w:val="16"/>
          <w:szCs w:val="16"/>
          <w:lang w:val="en-US"/>
        </w:rPr>
        <w:t xml:space="preserve"> </w:t>
      </w:r>
      <w:r w:rsidRPr="00EB56AC">
        <w:rPr>
          <w:sz w:val="16"/>
          <w:szCs w:val="16"/>
          <w:lang w:val="en-US"/>
        </w:rPr>
        <w:tab/>
        <w:t>Operating phases</w:t>
      </w:r>
    </w:p>
    <w:p w:rsidR="00C60AC1" w:rsidRPr="00EB56AC" w:rsidRDefault="00C60AC1" w:rsidP="009C13A9">
      <w:pPr>
        <w:pStyle w:val="FootnoteText"/>
        <w:ind w:left="284" w:firstLine="0"/>
        <w:rPr>
          <w:sz w:val="16"/>
          <w:szCs w:val="16"/>
          <w:lang w:val="en-US"/>
        </w:rPr>
      </w:pPr>
      <w:r w:rsidRPr="00EB56AC">
        <w:rPr>
          <w:sz w:val="16"/>
          <w:szCs w:val="16"/>
          <w:lang w:val="en-US"/>
        </w:rPr>
        <w:t>The following operating phases shall be defined for testing:</w:t>
      </w:r>
    </w:p>
    <w:p w:rsidR="00C60AC1" w:rsidRPr="00EB56AC" w:rsidRDefault="00C60AC1" w:rsidP="009C13A9">
      <w:pPr>
        <w:pStyle w:val="FootnoteText"/>
        <w:ind w:left="709"/>
        <w:rPr>
          <w:sz w:val="16"/>
          <w:szCs w:val="16"/>
          <w:lang w:val="en-US"/>
        </w:rPr>
      </w:pPr>
      <w:r w:rsidRPr="00EB56AC">
        <w:rPr>
          <w:sz w:val="16"/>
          <w:szCs w:val="16"/>
          <w:lang w:val="en-US"/>
        </w:rPr>
        <w:t>a)</w:t>
      </w:r>
      <w:r w:rsidRPr="00EB56AC">
        <w:rPr>
          <w:sz w:val="16"/>
          <w:szCs w:val="16"/>
          <w:lang w:val="en-US"/>
        </w:rPr>
        <w:tab/>
        <w:t xml:space="preserve">Stand-by operation is when the on-board sewage treatment plant is running but has not been fed with sewage for more than a day. An on-board sewage treatment plant may be in stand-by operation when, for example, the passenger vessel is not in service for an extended period and sits idle at its mooring. </w:t>
      </w:r>
    </w:p>
    <w:p w:rsidR="00C60AC1" w:rsidRPr="00EB56AC" w:rsidRDefault="00C60AC1" w:rsidP="009C13A9">
      <w:pPr>
        <w:pStyle w:val="FootnoteText"/>
        <w:ind w:left="709"/>
        <w:rPr>
          <w:sz w:val="16"/>
          <w:szCs w:val="16"/>
          <w:lang w:val="en-US"/>
        </w:rPr>
      </w:pPr>
      <w:r w:rsidRPr="00EB56AC">
        <w:rPr>
          <w:sz w:val="16"/>
          <w:szCs w:val="16"/>
          <w:lang w:val="en-US"/>
        </w:rPr>
        <w:t>b)</w:t>
      </w:r>
      <w:r w:rsidRPr="00EB56AC">
        <w:rPr>
          <w:sz w:val="16"/>
          <w:szCs w:val="16"/>
          <w:lang w:val="en-US"/>
        </w:rPr>
        <w:tab/>
        <w:t>Emergency operation is when individual subassemblies of an on-board sewage treatment plant have malfunctioned, so that the sewage cannot be treated as intended.</w:t>
      </w:r>
    </w:p>
    <w:p w:rsidR="00C60AC1" w:rsidRPr="00EB56AC" w:rsidRDefault="00C60AC1" w:rsidP="009C13A9">
      <w:pPr>
        <w:pStyle w:val="FootnoteText"/>
        <w:ind w:left="709"/>
        <w:rPr>
          <w:sz w:val="16"/>
          <w:szCs w:val="16"/>
          <w:lang w:val="en-US"/>
        </w:rPr>
      </w:pPr>
      <w:r w:rsidRPr="00EB56AC">
        <w:rPr>
          <w:sz w:val="16"/>
          <w:szCs w:val="16"/>
          <w:lang w:val="en-US"/>
        </w:rPr>
        <w:t>c)</w:t>
      </w:r>
      <w:r w:rsidRPr="00EB56AC">
        <w:rPr>
          <w:sz w:val="16"/>
          <w:szCs w:val="16"/>
          <w:lang w:val="en-US"/>
        </w:rPr>
        <w:tab/>
        <w:t>Run-down, standstill and restart operation is when an on-board sewage treatment plant is taken out of service for an extended period (winter mooring) and the power supply is switched off, or when the on­board sewage treatment plant is started up again at the beginning of the season.</w:t>
      </w:r>
    </w:p>
    <w:p w:rsidR="00C60AC1" w:rsidRPr="004E6B89" w:rsidRDefault="00C60AC1" w:rsidP="009C13A9">
      <w:pPr>
        <w:pStyle w:val="FootnoteText"/>
        <w:rPr>
          <w:sz w:val="14"/>
          <w:lang w:val="en-US"/>
        </w:rPr>
      </w:pPr>
    </w:p>
  </w:footnote>
  <w:footnote w:id="65">
    <w:p w:rsidR="00C60AC1" w:rsidRPr="009C13A9" w:rsidRDefault="00C60AC1" w:rsidP="00684B1D">
      <w:pPr>
        <w:pStyle w:val="FootnoteText"/>
        <w:ind w:left="284" w:hanging="284"/>
        <w:rPr>
          <w:lang w:val="en-US"/>
        </w:rPr>
      </w:pPr>
      <w:r>
        <w:rPr>
          <w:rStyle w:val="FootnoteReference"/>
        </w:rPr>
        <w:footnoteRef/>
      </w:r>
      <w:r w:rsidRPr="00101CB2">
        <w:rPr>
          <w:lang w:val="en-US"/>
        </w:rPr>
        <w:t xml:space="preserve"> </w:t>
      </w:r>
      <w:r w:rsidRPr="00684B1D">
        <w:rPr>
          <w:lang w:val="en-US"/>
        </w:rPr>
        <w:tab/>
      </w:r>
      <w:r>
        <w:rPr>
          <w:lang w:val="en-US"/>
        </w:rPr>
        <w:t>S</w:t>
      </w:r>
      <w:r w:rsidRPr="00101CB2">
        <w:rPr>
          <w:sz w:val="16"/>
          <w:szCs w:val="16"/>
          <w:lang w:val="en-US"/>
        </w:rPr>
        <w:t>pecify as appropriate.</w:t>
      </w:r>
    </w:p>
  </w:footnote>
  <w:footnote w:id="66">
    <w:p w:rsidR="00C60AC1" w:rsidRPr="00684B1D" w:rsidRDefault="00C60AC1" w:rsidP="009C13A9">
      <w:pPr>
        <w:pStyle w:val="FootnoteText"/>
        <w:ind w:left="284" w:hanging="284"/>
        <w:rPr>
          <w:sz w:val="16"/>
          <w:szCs w:val="16"/>
          <w:lang w:val="en-US"/>
        </w:rPr>
      </w:pPr>
      <w:r w:rsidRPr="00571338">
        <w:rPr>
          <w:rStyle w:val="FootnoteReference"/>
        </w:rPr>
        <w:footnoteRef/>
      </w:r>
      <w:r w:rsidRPr="00101CB2">
        <w:rPr>
          <w:lang w:val="en-US"/>
        </w:rPr>
        <w:tab/>
      </w:r>
      <w:r w:rsidRPr="00684B1D">
        <w:rPr>
          <w:sz w:val="16"/>
          <w:szCs w:val="16"/>
          <w:lang w:val="en-US"/>
        </w:rPr>
        <w:t>S</w:t>
      </w:r>
      <w:r w:rsidRPr="00101CB2">
        <w:rPr>
          <w:sz w:val="16"/>
          <w:szCs w:val="16"/>
          <w:lang w:val="en-US"/>
        </w:rPr>
        <w:t>pecify as appropriate</w:t>
      </w:r>
      <w:r w:rsidRPr="00684B1D">
        <w:rPr>
          <w:sz w:val="16"/>
          <w:szCs w:val="16"/>
          <w:lang w:val="en-US"/>
        </w:rPr>
        <w:t>.</w:t>
      </w:r>
    </w:p>
  </w:footnote>
  <w:footnote w:id="67">
    <w:p w:rsidR="00C60AC1" w:rsidRPr="00684B1D" w:rsidRDefault="00C60AC1" w:rsidP="009C13A9">
      <w:pPr>
        <w:pStyle w:val="FootnoteText"/>
        <w:ind w:left="284" w:hanging="284"/>
        <w:rPr>
          <w:sz w:val="16"/>
          <w:lang w:val="en-US"/>
        </w:rPr>
      </w:pPr>
      <w:r w:rsidRPr="00C63F99">
        <w:rPr>
          <w:rStyle w:val="FootnoteReference"/>
        </w:rPr>
        <w:footnoteRef/>
      </w:r>
      <w:r w:rsidRPr="00101CB2">
        <w:rPr>
          <w:lang w:val="en-US"/>
        </w:rPr>
        <w:tab/>
      </w:r>
      <w:r w:rsidRPr="00101CB2">
        <w:rPr>
          <w:sz w:val="16"/>
          <w:lang w:val="en-US"/>
        </w:rPr>
        <w:t xml:space="preserve">In case tests are made by the competent authority mark </w:t>
      </w:r>
      <w:r w:rsidRPr="0064343D">
        <w:rPr>
          <w:sz w:val="16"/>
          <w:lang w:val="en-US"/>
        </w:rPr>
        <w:t>’</w:t>
      </w:r>
      <w:r w:rsidRPr="00101CB2">
        <w:rPr>
          <w:sz w:val="16"/>
          <w:lang w:val="en-US"/>
        </w:rPr>
        <w:t>not relevant</w:t>
      </w:r>
      <w:r w:rsidRPr="0064343D">
        <w:rPr>
          <w:sz w:val="16"/>
          <w:lang w:val="en-US"/>
        </w:rPr>
        <w:t>’</w:t>
      </w:r>
      <w:r w:rsidRPr="00684B1D">
        <w:rPr>
          <w:sz w:val="16"/>
          <w:lang w:val="en-US"/>
        </w:rPr>
        <w:t>.</w:t>
      </w:r>
    </w:p>
  </w:footnote>
  <w:footnote w:id="68">
    <w:p w:rsidR="00C60AC1" w:rsidRPr="00704BED" w:rsidRDefault="00C60AC1" w:rsidP="009C13A9">
      <w:pPr>
        <w:pStyle w:val="FootnoteText"/>
        <w:ind w:left="284" w:hanging="284"/>
        <w:rPr>
          <w:sz w:val="16"/>
          <w:lang w:val="en-US"/>
        </w:rPr>
      </w:pPr>
      <w:r w:rsidRPr="00C63F99">
        <w:rPr>
          <w:rStyle w:val="FootnoteReference"/>
        </w:rPr>
        <w:footnoteRef/>
      </w:r>
      <w:r w:rsidRPr="00101CB2">
        <w:rPr>
          <w:lang w:val="en-US"/>
        </w:rPr>
        <w:tab/>
      </w:r>
      <w:r w:rsidRPr="00704BED">
        <w:rPr>
          <w:sz w:val="16"/>
          <w:lang w:val="en-US"/>
        </w:rPr>
        <w:t>S</w:t>
      </w:r>
      <w:r w:rsidRPr="00101CB2">
        <w:rPr>
          <w:sz w:val="16"/>
          <w:lang w:val="en-US"/>
        </w:rPr>
        <w:t>pecify as appropriate</w:t>
      </w:r>
      <w:r w:rsidRPr="00704BED">
        <w:rPr>
          <w:sz w:val="16"/>
          <w:lang w:val="en-US"/>
        </w:rPr>
        <w:t>.</w:t>
      </w:r>
    </w:p>
  </w:footnote>
  <w:footnote w:id="69">
    <w:p w:rsidR="00C60AC1" w:rsidRPr="00704BED" w:rsidRDefault="00C60AC1" w:rsidP="009C13A9">
      <w:pPr>
        <w:pStyle w:val="FootnoteText"/>
        <w:ind w:left="284" w:hanging="284"/>
        <w:rPr>
          <w:sz w:val="16"/>
          <w:lang w:val="en-US"/>
        </w:rPr>
      </w:pPr>
      <w:r w:rsidRPr="00AC3802">
        <w:rPr>
          <w:rStyle w:val="FootnoteReference"/>
        </w:rPr>
        <w:footnoteRef/>
      </w:r>
      <w:r w:rsidRPr="00101CB2">
        <w:rPr>
          <w:lang w:val="en-US"/>
        </w:rPr>
        <w:tab/>
      </w:r>
      <w:r w:rsidRPr="00101CB2">
        <w:rPr>
          <w:sz w:val="16"/>
          <w:lang w:val="en-US"/>
        </w:rPr>
        <w:t>In case of more test cycles indicate for each cycle</w:t>
      </w:r>
      <w:r w:rsidRPr="00704BED">
        <w:rPr>
          <w:sz w:val="16"/>
          <w:lang w:val="en-US"/>
        </w:rPr>
        <w:t>.</w:t>
      </w:r>
    </w:p>
  </w:footnote>
  <w:footnote w:id="70">
    <w:p w:rsidR="00C60AC1" w:rsidRPr="00BE2EE8" w:rsidRDefault="00C60AC1" w:rsidP="00BE2EE8">
      <w:pPr>
        <w:pStyle w:val="FootnoteText"/>
        <w:ind w:left="284" w:hanging="284"/>
        <w:rPr>
          <w:lang w:val="en-US"/>
        </w:rPr>
      </w:pPr>
      <w:r>
        <w:rPr>
          <w:rStyle w:val="FootnoteReference"/>
        </w:rPr>
        <w:footnoteRef/>
      </w:r>
      <w:r w:rsidRPr="00BE2EE8">
        <w:rPr>
          <w:lang w:val="en-US"/>
        </w:rPr>
        <w:t xml:space="preserve"> </w:t>
      </w:r>
      <w:r w:rsidRPr="00BE2EE8">
        <w:rPr>
          <w:lang w:val="en-US"/>
        </w:rPr>
        <w:tab/>
      </w:r>
      <w:r w:rsidRPr="00BE2EE8">
        <w:rPr>
          <w:sz w:val="16"/>
          <w:szCs w:val="16"/>
          <w:lang w:val="en-US"/>
        </w:rPr>
        <w:t>According to the type approval cerfificate</w:t>
      </w:r>
    </w:p>
  </w:footnote>
  <w:footnote w:id="71">
    <w:p w:rsidR="00C60AC1" w:rsidRPr="001C46BB" w:rsidRDefault="00C60AC1" w:rsidP="00BE2EE8">
      <w:pPr>
        <w:pStyle w:val="FootnoteText"/>
        <w:ind w:left="284" w:hanging="284"/>
        <w:rPr>
          <w:lang w:val="en-US"/>
        </w:rPr>
      </w:pPr>
      <w:r w:rsidRPr="00BE2EE8">
        <w:rPr>
          <w:rStyle w:val="FootnoteReference"/>
        </w:rPr>
        <w:footnoteRef/>
      </w:r>
      <w:r w:rsidRPr="001C46BB">
        <w:rPr>
          <w:lang w:val="en-US"/>
        </w:rPr>
        <w:t xml:space="preserve"> </w:t>
      </w:r>
      <w:r w:rsidRPr="001C46BB">
        <w:rPr>
          <w:lang w:val="en-US"/>
        </w:rPr>
        <w:tab/>
      </w:r>
      <w:r w:rsidRPr="001C46BB">
        <w:rPr>
          <w:sz w:val="16"/>
          <w:szCs w:val="16"/>
          <w:lang w:val="en-US"/>
        </w:rPr>
        <w:t>Specify as appropriate</w:t>
      </w:r>
    </w:p>
  </w:footnote>
  <w:footnote w:id="72">
    <w:p w:rsidR="00C60AC1" w:rsidRPr="00101CB2" w:rsidRDefault="00C60AC1" w:rsidP="009C13A9">
      <w:pPr>
        <w:pStyle w:val="FootnoteText"/>
        <w:ind w:left="284" w:hanging="284"/>
        <w:rPr>
          <w:sz w:val="16"/>
          <w:szCs w:val="16"/>
          <w:lang w:val="en-US"/>
        </w:rPr>
      </w:pPr>
      <w:r w:rsidRPr="00405B66">
        <w:rPr>
          <w:rStyle w:val="FootnoteReference"/>
        </w:rPr>
        <w:footnoteRef/>
      </w:r>
      <w:r w:rsidRPr="00101CB2">
        <w:rPr>
          <w:lang w:val="en-US"/>
        </w:rPr>
        <w:tab/>
      </w:r>
      <w:r w:rsidRPr="00101CB2">
        <w:rPr>
          <w:sz w:val="16"/>
          <w:szCs w:val="16"/>
          <w:lang w:val="en-US"/>
        </w:rPr>
        <w:t>To include by tester</w:t>
      </w:r>
    </w:p>
  </w:footnote>
  <w:footnote w:id="73">
    <w:p w:rsidR="00C60AC1" w:rsidRPr="00101CB2" w:rsidRDefault="00C60AC1" w:rsidP="009C13A9">
      <w:pPr>
        <w:pStyle w:val="FootnoteText"/>
        <w:ind w:left="284" w:hanging="284"/>
        <w:rPr>
          <w:sz w:val="16"/>
          <w:szCs w:val="16"/>
          <w:lang w:val="en-US"/>
        </w:rPr>
      </w:pPr>
      <w:r w:rsidRPr="00405B66">
        <w:rPr>
          <w:rStyle w:val="FootnoteReference"/>
        </w:rPr>
        <w:footnoteRef/>
      </w:r>
      <w:r w:rsidRPr="00101CB2">
        <w:rPr>
          <w:lang w:val="en-US"/>
        </w:rPr>
        <w:tab/>
      </w:r>
      <w:r w:rsidRPr="008A3881">
        <w:rPr>
          <w:sz w:val="16"/>
          <w:szCs w:val="16"/>
          <w:lang w:val="en-US"/>
        </w:rPr>
        <w:t>S</w:t>
      </w:r>
      <w:r w:rsidRPr="00101CB2">
        <w:rPr>
          <w:sz w:val="16"/>
          <w:szCs w:val="16"/>
          <w:lang w:val="en-US"/>
        </w:rPr>
        <w:t>pecify as appropriate.</w:t>
      </w:r>
    </w:p>
  </w:footnote>
  <w:footnote w:id="74">
    <w:p w:rsidR="00C60AC1" w:rsidRPr="008A3881" w:rsidRDefault="00C60AC1" w:rsidP="009C13A9">
      <w:pPr>
        <w:pStyle w:val="FootnoteText"/>
        <w:ind w:left="284" w:hanging="284"/>
        <w:rPr>
          <w:lang w:val="en-US"/>
        </w:rPr>
      </w:pPr>
      <w:r>
        <w:rPr>
          <w:rStyle w:val="FootnoteReference"/>
        </w:rPr>
        <w:footnoteRef/>
      </w:r>
      <w:r w:rsidRPr="00101CB2">
        <w:rPr>
          <w:lang w:val="en-US"/>
        </w:rPr>
        <w:t xml:space="preserve"> </w:t>
      </w:r>
      <w:r w:rsidRPr="009C13A9">
        <w:rPr>
          <w:lang w:val="en-US"/>
        </w:rPr>
        <w:tab/>
      </w:r>
      <w:r w:rsidRPr="008A3881">
        <w:rPr>
          <w:sz w:val="16"/>
          <w:szCs w:val="16"/>
          <w:lang w:val="en-US"/>
        </w:rPr>
        <w:t>Sp</w:t>
      </w:r>
      <w:r w:rsidRPr="00101CB2">
        <w:rPr>
          <w:sz w:val="16"/>
          <w:szCs w:val="16"/>
          <w:lang w:val="en-US"/>
        </w:rPr>
        <w:t>ecify as appropriate</w:t>
      </w:r>
      <w:r w:rsidRPr="008A3881">
        <w:rPr>
          <w:sz w:val="16"/>
          <w:szCs w:val="16"/>
          <w:lang w:val="en-US"/>
        </w:rPr>
        <w:t>.</w:t>
      </w:r>
    </w:p>
  </w:footnote>
  <w:footnote w:id="75">
    <w:p w:rsidR="00C60AC1" w:rsidRPr="00101CB2" w:rsidRDefault="00C60AC1" w:rsidP="009C13A9">
      <w:pPr>
        <w:pStyle w:val="FootnoteText"/>
        <w:ind w:left="284" w:hanging="284"/>
        <w:rPr>
          <w:sz w:val="18"/>
          <w:szCs w:val="18"/>
          <w:lang w:val="en-US"/>
        </w:rPr>
      </w:pPr>
      <w:r w:rsidRPr="00EB56AC">
        <w:rPr>
          <w:sz w:val="18"/>
          <w:szCs w:val="18"/>
          <w:vertAlign w:val="superscript"/>
          <w:lang w:val="en-US"/>
        </w:rPr>
        <w:t>(</w:t>
      </w:r>
      <w:r w:rsidRPr="00EB56AC">
        <w:rPr>
          <w:rStyle w:val="Caractresdenotedebasdepage"/>
          <w:sz w:val="18"/>
          <w:szCs w:val="18"/>
        </w:rPr>
        <w:footnoteRef/>
      </w:r>
      <w:r w:rsidRPr="00EB56AC">
        <w:rPr>
          <w:sz w:val="18"/>
          <w:szCs w:val="18"/>
          <w:vertAlign w:val="superscript"/>
          <w:lang w:val="en-US"/>
        </w:rPr>
        <w:t>)</w:t>
      </w:r>
      <w:r w:rsidRPr="00EB56AC">
        <w:rPr>
          <w:sz w:val="18"/>
          <w:szCs w:val="18"/>
          <w:lang w:val="en-US"/>
        </w:rPr>
        <w:tab/>
      </w:r>
      <w:r w:rsidRPr="00EB56AC">
        <w:rPr>
          <w:sz w:val="16"/>
          <w:lang w:val="en-US"/>
        </w:rPr>
        <w:t>The TOC will be monitored as of stage II of the maximum values in table 2 in article 18.01(2).</w:t>
      </w:r>
    </w:p>
  </w:footnote>
  <w:footnote w:id="76">
    <w:p w:rsidR="00C60AC1" w:rsidRPr="00101CB2" w:rsidRDefault="00C60AC1" w:rsidP="009C13A9">
      <w:pPr>
        <w:pStyle w:val="FootnoteText"/>
        <w:ind w:left="284" w:hanging="284"/>
        <w:rPr>
          <w:sz w:val="16"/>
          <w:szCs w:val="18"/>
          <w:lang w:val="en-US"/>
        </w:rPr>
      </w:pPr>
      <w:r w:rsidRPr="00EB56AC">
        <w:rPr>
          <w:sz w:val="18"/>
          <w:szCs w:val="18"/>
          <w:vertAlign w:val="superscript"/>
          <w:lang w:val="en-US"/>
        </w:rPr>
        <w:t>(</w:t>
      </w:r>
      <w:r w:rsidRPr="00EB56AC">
        <w:rPr>
          <w:rStyle w:val="Caractresdenotedebasdepage"/>
          <w:sz w:val="18"/>
          <w:szCs w:val="18"/>
        </w:rPr>
        <w:footnoteRef/>
      </w:r>
      <w:r w:rsidRPr="00EB56AC">
        <w:rPr>
          <w:sz w:val="18"/>
          <w:szCs w:val="18"/>
          <w:vertAlign w:val="superscript"/>
          <w:lang w:val="en-US"/>
        </w:rPr>
        <w:t>)</w:t>
      </w:r>
      <w:r w:rsidRPr="00EB56AC">
        <w:rPr>
          <w:sz w:val="18"/>
          <w:szCs w:val="18"/>
          <w:lang w:val="en-US"/>
        </w:rPr>
        <w:tab/>
      </w:r>
      <w:r w:rsidRPr="00EB56AC">
        <w:rPr>
          <w:sz w:val="16"/>
          <w:lang w:val="en-US"/>
        </w:rPr>
        <w:t>The TOC will be monitored as of stage II of the maximum values in table 2 in article 18.01(2).</w:t>
      </w:r>
    </w:p>
  </w:footnote>
  <w:footnote w:id="77">
    <w:p w:rsidR="00C60AC1" w:rsidRPr="004F47BB" w:rsidRDefault="00C60AC1" w:rsidP="004F47BB">
      <w:pPr>
        <w:pStyle w:val="FootnoteText"/>
        <w:ind w:left="284" w:hanging="284"/>
        <w:rPr>
          <w:lang w:val="en-US"/>
        </w:rPr>
      </w:pPr>
      <w:r w:rsidRPr="004F47BB">
        <w:rPr>
          <w:rStyle w:val="FootnoteReference"/>
          <w:lang w:val="en-US"/>
        </w:rPr>
        <w:t>(*)</w:t>
      </w:r>
      <w:r w:rsidRPr="004F47BB">
        <w:rPr>
          <w:lang w:val="en-US"/>
        </w:rPr>
        <w:t xml:space="preserve"> </w:t>
      </w:r>
      <w:r w:rsidRPr="004F47BB">
        <w:rPr>
          <w:lang w:val="en-US"/>
        </w:rPr>
        <w:tab/>
      </w:r>
      <w:r w:rsidRPr="004F47BB">
        <w:rPr>
          <w:sz w:val="16"/>
          <w:lang w:val="en-US"/>
        </w:rPr>
        <w:t>Delete as appropriate.</w:t>
      </w:r>
    </w:p>
  </w:footnote>
  <w:footnote w:id="78">
    <w:p w:rsidR="00C60AC1" w:rsidRPr="004F47BB" w:rsidRDefault="00C60AC1" w:rsidP="004F47BB">
      <w:pPr>
        <w:pStyle w:val="FootnoteText"/>
        <w:ind w:left="284" w:hanging="284"/>
        <w:rPr>
          <w:sz w:val="16"/>
          <w:lang w:val="en-US"/>
        </w:rPr>
      </w:pPr>
      <w:r>
        <w:rPr>
          <w:rStyle w:val="FootnoteReference"/>
          <w:lang w:val="en-US"/>
        </w:rPr>
        <w:footnoteRef/>
      </w:r>
      <w:r>
        <w:rPr>
          <w:lang w:val="en-US"/>
        </w:rPr>
        <w:tab/>
      </w:r>
      <w:r w:rsidRPr="004F47BB">
        <w:rPr>
          <w:sz w:val="16"/>
          <w:lang w:val="en-US"/>
        </w:rPr>
        <w:t>Delete as appropriate.</w:t>
      </w:r>
    </w:p>
  </w:footnote>
  <w:footnote w:id="79">
    <w:p w:rsidR="00C60AC1" w:rsidRPr="004F47BB" w:rsidRDefault="00C60AC1" w:rsidP="004F47BB">
      <w:pPr>
        <w:pStyle w:val="FootnoteText"/>
        <w:tabs>
          <w:tab w:val="left" w:pos="284"/>
        </w:tabs>
        <w:rPr>
          <w:lang w:val="en-US"/>
        </w:rPr>
      </w:pPr>
      <w:r w:rsidRPr="004F47BB">
        <w:rPr>
          <w:rStyle w:val="FootnoteReference"/>
          <w:lang w:val="en-US"/>
        </w:rPr>
        <w:t>*)</w:t>
      </w:r>
      <w:r w:rsidRPr="004F47BB">
        <w:rPr>
          <w:lang w:val="en-US"/>
        </w:rPr>
        <w:t xml:space="preserve"> </w:t>
      </w:r>
      <w:r w:rsidRPr="004F47BB">
        <w:rPr>
          <w:lang w:val="en-US"/>
        </w:rPr>
        <w:tab/>
      </w:r>
      <w:r w:rsidRPr="004F47BB">
        <w:rPr>
          <w:sz w:val="16"/>
          <w:lang w:val="en-US"/>
        </w:rPr>
        <w:t>Delete as appropriate</w:t>
      </w:r>
    </w:p>
  </w:footnote>
  <w:footnote w:id="80">
    <w:p w:rsidR="00C60AC1" w:rsidRPr="004F47BB" w:rsidRDefault="00C60AC1" w:rsidP="004F47BB">
      <w:pPr>
        <w:pStyle w:val="FootnoteText"/>
        <w:tabs>
          <w:tab w:val="left" w:pos="284"/>
        </w:tabs>
        <w:rPr>
          <w:lang w:val="en-US"/>
        </w:rPr>
      </w:pPr>
      <w:r w:rsidRPr="004F47BB">
        <w:rPr>
          <w:rStyle w:val="FootnoteReference"/>
          <w:lang w:val="en-US"/>
        </w:rPr>
        <w:t>*)</w:t>
      </w:r>
      <w:r w:rsidRPr="004F47BB">
        <w:rPr>
          <w:lang w:val="en-US"/>
        </w:rPr>
        <w:t xml:space="preserve"> </w:t>
      </w:r>
      <w:r w:rsidRPr="004F47BB">
        <w:rPr>
          <w:lang w:val="en-US"/>
        </w:rPr>
        <w:tab/>
      </w:r>
      <w:r w:rsidRPr="004F47BB">
        <w:rPr>
          <w:sz w:val="16"/>
          <w:lang w:val="en-US"/>
        </w:rPr>
        <w:t>Delete as appropriate</w:t>
      </w:r>
    </w:p>
  </w:footnote>
  <w:footnote w:id="81">
    <w:p w:rsidR="00C60AC1" w:rsidRPr="004F47BB" w:rsidRDefault="00C60AC1" w:rsidP="004F47BB">
      <w:pPr>
        <w:pStyle w:val="FootnoteText"/>
        <w:ind w:left="284" w:hanging="284"/>
        <w:rPr>
          <w:lang w:val="en-US"/>
        </w:rPr>
      </w:pPr>
      <w:r w:rsidRPr="004F47BB">
        <w:rPr>
          <w:rStyle w:val="FootnoteReference"/>
          <w:lang w:val="en-US"/>
        </w:rPr>
        <w:t>*)</w:t>
      </w:r>
      <w:r w:rsidRPr="004F47BB">
        <w:rPr>
          <w:lang w:val="en-US"/>
        </w:rPr>
        <w:t xml:space="preserve"> </w:t>
      </w:r>
      <w:r w:rsidRPr="004F47BB">
        <w:rPr>
          <w:lang w:val="en-US"/>
        </w:rPr>
        <w:tab/>
      </w:r>
      <w:r w:rsidRPr="004F47BB">
        <w:rPr>
          <w:rFonts w:cs="Arial"/>
          <w:sz w:val="16"/>
          <w:lang w:val="en-US"/>
        </w:rPr>
        <w:t>Delete as appropriate</w:t>
      </w:r>
    </w:p>
  </w:footnote>
  <w:footnote w:id="82">
    <w:p w:rsidR="00C60AC1" w:rsidRPr="004F47BB" w:rsidRDefault="00C60AC1" w:rsidP="004F47BB">
      <w:pPr>
        <w:pStyle w:val="FootnoteText"/>
        <w:tabs>
          <w:tab w:val="left" w:pos="284"/>
        </w:tabs>
        <w:rPr>
          <w:lang w:val="en-US"/>
        </w:rPr>
      </w:pPr>
      <w:r>
        <w:rPr>
          <w:rStyle w:val="FootnoteReference"/>
        </w:rPr>
        <w:footnoteRef/>
      </w:r>
      <w:r w:rsidRPr="004F47BB">
        <w:rPr>
          <w:lang w:val="en-US"/>
        </w:rPr>
        <w:t xml:space="preserve"> </w:t>
      </w:r>
      <w:r w:rsidRPr="004F47BB">
        <w:rPr>
          <w:lang w:val="en-US"/>
        </w:rPr>
        <w:tab/>
      </w:r>
      <w:r w:rsidRPr="004F47BB">
        <w:rPr>
          <w:rFonts w:cs="Arial"/>
          <w:sz w:val="16"/>
          <w:szCs w:val="16"/>
          <w:lang w:val="en-US"/>
        </w:rPr>
        <w:t>Delete as appropriate</w:t>
      </w:r>
    </w:p>
  </w:footnote>
  <w:footnote w:id="83">
    <w:p w:rsidR="00C60AC1" w:rsidRPr="005A25B4" w:rsidRDefault="00C60AC1" w:rsidP="005A25B4">
      <w:pPr>
        <w:pStyle w:val="FootnoteText"/>
        <w:ind w:left="284" w:hanging="284"/>
        <w:rPr>
          <w:rFonts w:cs="Arial"/>
          <w:sz w:val="16"/>
          <w:szCs w:val="16"/>
          <w:lang w:val="en-GB"/>
        </w:rPr>
      </w:pPr>
      <w:r w:rsidRPr="005A25B4">
        <w:rPr>
          <w:rStyle w:val="FootnoteReference"/>
          <w:rFonts w:cs="Arial"/>
          <w:sz w:val="18"/>
          <w:szCs w:val="16"/>
        </w:rPr>
        <w:footnoteRef/>
      </w:r>
      <w:r w:rsidRPr="005A25B4">
        <w:rPr>
          <w:sz w:val="18"/>
          <w:szCs w:val="16"/>
          <w:lang w:val="en-US"/>
        </w:rPr>
        <w:t xml:space="preserve"> </w:t>
      </w:r>
      <w:r w:rsidRPr="000221DA">
        <w:rPr>
          <w:sz w:val="16"/>
          <w:szCs w:val="16"/>
          <w:lang w:val="en-US"/>
        </w:rPr>
        <w:tab/>
        <w:t>Directive 2009/45/EC of the European Parliament and of the Council of 6 May 2009 establishing safety rules and standards for passenger ships (OJ L 163, 25.6.2009).</w:t>
      </w:r>
    </w:p>
  </w:footnote>
  <w:footnote w:id="84">
    <w:p w:rsidR="00C60AC1" w:rsidRPr="005A25B4" w:rsidRDefault="00C60AC1" w:rsidP="005A25B4">
      <w:pPr>
        <w:pStyle w:val="FootnoteText"/>
        <w:ind w:left="284" w:hanging="284"/>
        <w:rPr>
          <w:rFonts w:cs="Arial"/>
          <w:sz w:val="16"/>
          <w:szCs w:val="16"/>
          <w:lang w:val="en-GB"/>
        </w:rPr>
      </w:pPr>
      <w:r w:rsidRPr="005A25B4">
        <w:rPr>
          <w:rStyle w:val="FootnoteReference"/>
          <w:rFonts w:cs="Arial"/>
          <w:sz w:val="18"/>
          <w:szCs w:val="16"/>
        </w:rPr>
        <w:footnoteRef/>
      </w:r>
      <w:r w:rsidRPr="005A25B4">
        <w:rPr>
          <w:sz w:val="18"/>
          <w:szCs w:val="16"/>
          <w:lang w:val="en-GB"/>
        </w:rPr>
        <w:t xml:space="preserve"> </w:t>
      </w:r>
      <w:r w:rsidRPr="005A25B4">
        <w:rPr>
          <w:sz w:val="16"/>
          <w:szCs w:val="16"/>
          <w:lang w:val="en-GB"/>
        </w:rPr>
        <w:tab/>
        <w:t>Guidelines for passenger vessels also suited for carrying persons with reduced mobility - United Nations Economic Commission for Europe, Inland Transport Committee, Working Group on Inland Water Transport - Adopted on 15 October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24C" w:rsidRDefault="0082224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C859BD" w:rsidRDefault="00C60AC1" w:rsidP="001E2331">
    <w:pPr>
      <w:widowControl w:val="0"/>
      <w:pBdr>
        <w:bottom w:val="single" w:sz="6" w:space="1" w:color="auto"/>
      </w:pBdr>
      <w:tabs>
        <w:tab w:val="right" w:pos="14034"/>
      </w:tabs>
      <w:autoSpaceDE/>
      <w:autoSpaceDN/>
      <w:rPr>
        <w:sz w:val="16"/>
        <w:szCs w:val="16"/>
      </w:rPr>
    </w:pPr>
    <w:r w:rsidRPr="00C859BD">
      <w:rPr>
        <w:sz w:val="16"/>
        <w:szCs w:val="16"/>
        <w:lang w:eastAsia="de-DE"/>
      </w:rPr>
      <w:t>ES-TRIN</w:t>
    </w:r>
    <w:r w:rsidRPr="00C859BD">
      <w:tab/>
    </w:r>
    <w:r w:rsidRPr="00C859BD">
      <w:rPr>
        <w:sz w:val="16"/>
        <w:szCs w:val="16"/>
      </w:rPr>
      <w:t>Chapter 32</w:t>
    </w:r>
  </w:p>
  <w:p w:rsidR="00C60AC1" w:rsidRPr="00AE58CD" w:rsidRDefault="00C60AC1" w:rsidP="001E2331">
    <w:pPr>
      <w:widowControl w:val="0"/>
      <w:pBdr>
        <w:bottom w:val="single" w:sz="6" w:space="1" w:color="auto"/>
      </w:pBdr>
      <w:tabs>
        <w:tab w:val="right" w:pos="9070"/>
      </w:tabs>
      <w:autoSpaceDE/>
      <w:autoSpaceDN/>
      <w:jc w:val="right"/>
      <w:rPr>
        <w:sz w:val="16"/>
        <w:szCs w:val="16"/>
        <w:lang w:eastAsia="de-DE"/>
      </w:rPr>
    </w:pPr>
    <w:r w:rsidRPr="00C859BD">
      <w:rPr>
        <w:sz w:val="16"/>
        <w:szCs w:val="16"/>
        <w:lang w:eastAsia="de-DE"/>
      </w:rPr>
      <w:t>Transitional provisions for craft navigating on the Rhine (z</w:t>
    </w:r>
    <w:r w:rsidRPr="003525EE">
      <w:rPr>
        <w:sz w:val="16"/>
        <w:szCs w:val="16"/>
        <w:lang w:eastAsia="de-DE"/>
      </w:rPr>
      <w:t xml:space="preserve">one </w:t>
    </w:r>
    <w:r w:rsidRPr="00845B44">
      <w:rPr>
        <w:sz w:val="16"/>
        <w:szCs w:val="16"/>
        <w:lang w:eastAsia="de-DE"/>
      </w:rPr>
      <w:t>R</w:t>
    </w:r>
    <w:r>
      <w:rPr>
        <w:sz w:val="16"/>
        <w:szCs w:val="16"/>
        <w:lang w:eastAsia="de-DE"/>
      </w:rPr>
      <w:t>) -</w:t>
    </w:r>
    <w:r>
      <w:rPr>
        <w:sz w:val="16"/>
        <w:szCs w:val="16"/>
        <w:lang w:eastAsia="de-DE"/>
      </w:rPr>
      <w:fldChar w:fldCharType="begin"/>
    </w:r>
    <w:r>
      <w:rPr>
        <w:sz w:val="16"/>
        <w:szCs w:val="16"/>
        <w:lang w:eastAsia="de-DE"/>
      </w:rPr>
      <w:instrText xml:space="preserve"> STYLEREF  ES-Titre3_pr_chap32  \* MERGEFORMAT </w:instrText>
    </w:r>
    <w:r>
      <w:rPr>
        <w:sz w:val="16"/>
        <w:szCs w:val="16"/>
        <w:lang w:eastAsia="de-DE"/>
      </w:rPr>
      <w:fldChar w:fldCharType="separate"/>
    </w:r>
    <w:r w:rsidR="00F12BAF">
      <w:rPr>
        <w:noProof/>
        <w:sz w:val="16"/>
        <w:szCs w:val="16"/>
        <w:lang w:eastAsia="de-DE"/>
      </w:rPr>
      <w:t>Article 32.01</w:t>
    </w:r>
    <w:r>
      <w:rPr>
        <w:sz w:val="16"/>
        <w:szCs w:val="16"/>
        <w:lang w:eastAsia="de-DE"/>
      </w:rPr>
      <w:fldChar w:fldCharType="end"/>
    </w:r>
    <w:r>
      <w:rPr>
        <w:sz w:val="16"/>
        <w:szCs w:val="16"/>
        <w:lang w:eastAsia="de-DE"/>
      </w:rPr>
      <w:t xml:space="preserve"> - </w:t>
    </w:r>
    <w:r>
      <w:rPr>
        <w:sz w:val="16"/>
        <w:szCs w:val="16"/>
        <w:lang w:eastAsia="de-DE"/>
      </w:rPr>
      <w:fldChar w:fldCharType="begin"/>
    </w:r>
    <w:r>
      <w:rPr>
        <w:sz w:val="16"/>
        <w:szCs w:val="16"/>
        <w:lang w:eastAsia="de-DE"/>
      </w:rPr>
      <w:instrText xml:space="preserve"> STYLEREF  ES-Titre3  \* MERGEFORMAT </w:instrText>
    </w:r>
    <w:r>
      <w:rPr>
        <w:sz w:val="16"/>
        <w:szCs w:val="16"/>
        <w:lang w:eastAsia="de-DE"/>
      </w:rPr>
      <w:fldChar w:fldCharType="separate"/>
    </w:r>
    <w:r w:rsidR="00F12BAF">
      <w:rPr>
        <w:noProof/>
        <w:sz w:val="16"/>
        <w:szCs w:val="16"/>
        <w:lang w:eastAsia="de-DE"/>
      </w:rPr>
      <w:t>Article 32.02</w:t>
    </w:r>
    <w:r>
      <w:rPr>
        <w:sz w:val="16"/>
        <w:szCs w:val="16"/>
        <w:lang w:eastAsia="de-DE"/>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DD1033" w:rsidRDefault="00C60AC1" w:rsidP="00DD1033">
    <w:pPr>
      <w:widowControl w:val="0"/>
      <w:pBdr>
        <w:bottom w:val="single" w:sz="6" w:space="1" w:color="auto"/>
      </w:pBdr>
      <w:tabs>
        <w:tab w:val="right" w:pos="14034"/>
      </w:tabs>
      <w:autoSpaceDE/>
      <w:autoSpaceDN/>
      <w:jc w:val="right"/>
      <w:rPr>
        <w:sz w:val="16"/>
        <w:szCs w:val="16"/>
        <w:lang w:val="en-US" w:eastAsia="de-DE"/>
      </w:rPr>
    </w:pPr>
    <w:r w:rsidRPr="001E2331">
      <w:rPr>
        <w:sz w:val="16"/>
        <w:szCs w:val="16"/>
        <w:lang w:val="en-US" w:eastAsia="de-DE"/>
      </w:rPr>
      <w:t>ES-TRIN</w:t>
    </w:r>
    <w:r w:rsidRPr="001E2331">
      <w:rPr>
        <w:lang w:val="en-US"/>
      </w:rPr>
      <w:tab/>
    </w:r>
    <w:r>
      <w:rPr>
        <w:noProof/>
        <w:sz w:val="16"/>
        <w:szCs w:val="16"/>
        <w:lang w:val="en-US"/>
      </w:rPr>
      <w:fldChar w:fldCharType="begin"/>
    </w:r>
    <w:r>
      <w:rPr>
        <w:noProof/>
        <w:sz w:val="16"/>
        <w:szCs w:val="16"/>
        <w:lang w:val="en-US"/>
      </w:rPr>
      <w:instrText xml:space="preserve"> STYLEREF  ES-Titre2  \* MERGEFORMAT </w:instrText>
    </w:r>
    <w:r>
      <w:rPr>
        <w:noProof/>
        <w:sz w:val="16"/>
        <w:szCs w:val="16"/>
        <w:lang w:val="en-US"/>
      </w:rPr>
      <w:fldChar w:fldCharType="separate"/>
    </w:r>
    <w:r w:rsidR="00F12BAF">
      <w:rPr>
        <w:noProof/>
        <w:sz w:val="16"/>
        <w:szCs w:val="16"/>
        <w:lang w:val="en-US"/>
      </w:rPr>
      <w:t>Chapter 32</w:t>
    </w:r>
    <w:r w:rsidR="00F12BAF">
      <w:rPr>
        <w:noProof/>
        <w:sz w:val="16"/>
        <w:szCs w:val="16"/>
        <w:lang w:val="en-US"/>
      </w:rPr>
      <w:br/>
      <w:t>Transitional provisions for craft navigating on the Rhine (Zone R)</w:t>
    </w:r>
    <w:r>
      <w:rPr>
        <w:noProof/>
        <w:sz w:val="16"/>
        <w:szCs w:val="16"/>
        <w:lang w:val="en-US"/>
      </w:rPr>
      <w:fldChar w:fldCharType="end"/>
    </w:r>
    <w:r w:rsidRPr="00DD1033">
      <w:rPr>
        <w:sz w:val="16"/>
        <w:szCs w:val="16"/>
        <w:lang w:val="en-US"/>
      </w:rPr>
      <w:t xml:space="preserve"> - </w:t>
    </w:r>
    <w:r>
      <w:rPr>
        <w:sz w:val="16"/>
        <w:szCs w:val="16"/>
        <w:lang w:val="en-US"/>
      </w:rPr>
      <w:fldChar w:fldCharType="begin"/>
    </w:r>
    <w:r>
      <w:rPr>
        <w:sz w:val="16"/>
        <w:szCs w:val="16"/>
        <w:lang w:val="en-US"/>
      </w:rPr>
      <w:instrText xml:space="preserve"> STYLEREF  ES-Titre3  \* MERGEFORMAT </w:instrText>
    </w:r>
    <w:r>
      <w:rPr>
        <w:sz w:val="16"/>
        <w:szCs w:val="16"/>
        <w:lang w:val="en-US"/>
      </w:rPr>
      <w:fldChar w:fldCharType="separate"/>
    </w:r>
    <w:r w:rsidR="00F12BAF">
      <w:rPr>
        <w:noProof/>
        <w:sz w:val="16"/>
        <w:szCs w:val="16"/>
        <w:lang w:val="en-US"/>
      </w:rPr>
      <w:t>Article 32.05</w:t>
    </w:r>
    <w:r>
      <w:rPr>
        <w:sz w:val="16"/>
        <w:szCs w:val="16"/>
        <w:lang w:val="en-U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AE58CD" w:rsidRDefault="00C60AC1" w:rsidP="001E2331">
    <w:pPr>
      <w:widowControl w:val="0"/>
      <w:pBdr>
        <w:bottom w:val="single" w:sz="6" w:space="1" w:color="auto"/>
      </w:pBdr>
      <w:tabs>
        <w:tab w:val="right" w:pos="14034"/>
      </w:tabs>
      <w:autoSpaceDE/>
      <w:autoSpaceDN/>
      <w:rPr>
        <w:sz w:val="16"/>
        <w:szCs w:val="16"/>
      </w:rPr>
    </w:pPr>
    <w:r w:rsidRPr="00436930">
      <w:rPr>
        <w:sz w:val="16"/>
        <w:szCs w:val="16"/>
        <w:lang w:eastAsia="de-DE"/>
      </w:rPr>
      <w:t>ES-TRIN</w:t>
    </w:r>
    <w:r w:rsidRPr="00436930">
      <w:tab/>
    </w:r>
    <w:r>
      <w:rPr>
        <w:sz w:val="16"/>
        <w:szCs w:val="16"/>
      </w:rPr>
      <w:t>Chapter 32</w:t>
    </w:r>
  </w:p>
  <w:p w:rsidR="00C60AC1" w:rsidRPr="00AE58CD" w:rsidRDefault="00C60AC1" w:rsidP="001E2331">
    <w:pPr>
      <w:widowControl w:val="0"/>
      <w:pBdr>
        <w:bottom w:val="single" w:sz="6" w:space="1" w:color="auto"/>
      </w:pBdr>
      <w:tabs>
        <w:tab w:val="right" w:pos="9070"/>
      </w:tabs>
      <w:autoSpaceDE/>
      <w:autoSpaceDN/>
      <w:jc w:val="right"/>
      <w:rPr>
        <w:sz w:val="16"/>
        <w:szCs w:val="16"/>
        <w:lang w:eastAsia="de-DE"/>
      </w:rPr>
    </w:pPr>
    <w:r w:rsidRPr="003525EE">
      <w:rPr>
        <w:sz w:val="16"/>
        <w:szCs w:val="16"/>
        <w:lang w:eastAsia="de-DE"/>
      </w:rPr>
      <w:t xml:space="preserve">Transitional provisions for craft navigating on </w:t>
    </w:r>
    <w:r w:rsidRPr="00176095">
      <w:rPr>
        <w:sz w:val="16"/>
        <w:szCs w:val="16"/>
        <w:lang w:eastAsia="de-DE"/>
      </w:rPr>
      <w:t xml:space="preserve">the Rhine (zone R) </w:t>
    </w:r>
    <w:r>
      <w:rPr>
        <w:sz w:val="16"/>
        <w:szCs w:val="16"/>
        <w:lang w:eastAsia="de-DE"/>
      </w:rPr>
      <w:t xml:space="preserve">- </w:t>
    </w:r>
    <w:r>
      <w:rPr>
        <w:sz w:val="16"/>
        <w:szCs w:val="16"/>
        <w:lang w:eastAsia="de-DE"/>
      </w:rPr>
      <w:fldChar w:fldCharType="begin"/>
    </w:r>
    <w:r>
      <w:rPr>
        <w:sz w:val="16"/>
        <w:szCs w:val="16"/>
        <w:lang w:eastAsia="de-DE"/>
      </w:rPr>
      <w:instrText xml:space="preserve"> STYLEREF  ES-Titre3  \* MERGEFORMAT </w:instrText>
    </w:r>
    <w:r>
      <w:rPr>
        <w:sz w:val="16"/>
        <w:szCs w:val="16"/>
        <w:lang w:eastAsia="de-DE"/>
      </w:rPr>
      <w:fldChar w:fldCharType="separate"/>
    </w:r>
    <w:r w:rsidR="00F12BAF">
      <w:rPr>
        <w:noProof/>
        <w:sz w:val="16"/>
        <w:szCs w:val="16"/>
        <w:lang w:eastAsia="de-DE"/>
      </w:rPr>
      <w:t>Article 32.03</w:t>
    </w:r>
    <w:r>
      <w:rPr>
        <w:sz w:val="16"/>
        <w:szCs w:val="16"/>
        <w:lang w:eastAsia="de-DE"/>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DD1033" w:rsidRDefault="00C60AC1" w:rsidP="00DD1033">
    <w:pPr>
      <w:widowControl w:val="0"/>
      <w:pBdr>
        <w:bottom w:val="single" w:sz="6" w:space="1" w:color="auto"/>
      </w:pBdr>
      <w:tabs>
        <w:tab w:val="right" w:pos="14034"/>
      </w:tabs>
      <w:autoSpaceDE/>
      <w:autoSpaceDN/>
      <w:jc w:val="right"/>
      <w:rPr>
        <w:sz w:val="16"/>
        <w:szCs w:val="16"/>
        <w:lang w:val="en-US" w:eastAsia="de-DE"/>
      </w:rPr>
    </w:pPr>
    <w:r w:rsidRPr="001E2331">
      <w:rPr>
        <w:sz w:val="16"/>
        <w:szCs w:val="16"/>
        <w:lang w:val="en-US" w:eastAsia="de-DE"/>
      </w:rPr>
      <w:t>ES-TRIN</w:t>
    </w:r>
    <w:r w:rsidRPr="001E2331">
      <w:rPr>
        <w:lang w:val="en-US"/>
      </w:rPr>
      <w:tab/>
    </w:r>
    <w:r w:rsidRPr="00F46C3C">
      <w:rPr>
        <w:sz w:val="16"/>
        <w:szCs w:val="16"/>
      </w:rPr>
      <w:fldChar w:fldCharType="begin"/>
    </w:r>
    <w:r w:rsidRPr="00F46C3C">
      <w:rPr>
        <w:sz w:val="16"/>
        <w:szCs w:val="16"/>
        <w:lang w:val="en-US"/>
      </w:rPr>
      <w:instrText xml:space="preserve"> STYLEREF  ES-Titre2  \* MERGEFORMAT </w:instrText>
    </w:r>
    <w:r w:rsidRPr="00F46C3C">
      <w:rPr>
        <w:sz w:val="16"/>
        <w:szCs w:val="16"/>
      </w:rPr>
      <w:fldChar w:fldCharType="separate"/>
    </w:r>
    <w:r w:rsidR="00F12BAF">
      <w:rPr>
        <w:noProof/>
        <w:sz w:val="16"/>
        <w:szCs w:val="16"/>
        <w:lang w:val="en-US"/>
      </w:rPr>
      <w:t>Chapter 33</w:t>
    </w:r>
    <w:r w:rsidR="00F12BAF">
      <w:rPr>
        <w:noProof/>
        <w:sz w:val="16"/>
        <w:szCs w:val="16"/>
        <w:lang w:val="en-US"/>
      </w:rPr>
      <w:br/>
      <w:t>Transitional provisions for craft operating exclusively on waterways outside the Rhine (Zone R)</w:t>
    </w:r>
    <w:r w:rsidRPr="00F46C3C">
      <w:rPr>
        <w:noProof/>
        <w:sz w:val="16"/>
        <w:szCs w:val="16"/>
        <w:lang w:val="en-US"/>
      </w:rPr>
      <w:fldChar w:fldCharType="end"/>
    </w:r>
    <w:r w:rsidRPr="00F46C3C">
      <w:rPr>
        <w:sz w:val="16"/>
        <w:szCs w:val="16"/>
        <w:lang w:val="en-US"/>
      </w:rPr>
      <w:t xml:space="preserve"> - </w:t>
    </w:r>
    <w:r>
      <w:rPr>
        <w:sz w:val="16"/>
        <w:szCs w:val="16"/>
        <w:lang w:val="en-US"/>
      </w:rPr>
      <w:fldChar w:fldCharType="begin"/>
    </w:r>
    <w:r>
      <w:rPr>
        <w:sz w:val="16"/>
        <w:szCs w:val="16"/>
        <w:lang w:val="en-US"/>
      </w:rPr>
      <w:instrText xml:space="preserve"> STYLEREF  ES-Titre3  \* MERGEFORMAT </w:instrText>
    </w:r>
    <w:r>
      <w:rPr>
        <w:sz w:val="16"/>
        <w:szCs w:val="16"/>
        <w:lang w:val="en-US"/>
      </w:rPr>
      <w:fldChar w:fldCharType="separate"/>
    </w:r>
    <w:r w:rsidR="00F12BAF">
      <w:rPr>
        <w:noProof/>
        <w:sz w:val="16"/>
        <w:szCs w:val="16"/>
        <w:lang w:val="en-US"/>
      </w:rPr>
      <w:t>Article 33.03</w:t>
    </w:r>
    <w:r>
      <w:rPr>
        <w:sz w:val="16"/>
        <w:szCs w:val="16"/>
        <w:lang w:val="en-U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C20E00" w:rsidRDefault="00C60AC1" w:rsidP="008E26B9">
    <w:pPr>
      <w:widowControl w:val="0"/>
      <w:pBdr>
        <w:bottom w:val="single" w:sz="6" w:space="1" w:color="auto"/>
      </w:pBdr>
      <w:tabs>
        <w:tab w:val="right" w:pos="14034"/>
      </w:tabs>
      <w:autoSpaceDE/>
      <w:autoSpaceDN/>
      <w:jc w:val="right"/>
      <w:rPr>
        <w:sz w:val="16"/>
        <w:szCs w:val="16"/>
        <w:lang w:val="en-US" w:eastAsia="de-DE"/>
      </w:rPr>
    </w:pPr>
    <w:r w:rsidRPr="008E26B9">
      <w:rPr>
        <w:sz w:val="16"/>
        <w:szCs w:val="16"/>
        <w:lang w:val="en-US" w:eastAsia="de-DE"/>
      </w:rPr>
      <w:t>ES-TRIN</w:t>
    </w:r>
    <w:r w:rsidRPr="008E26B9">
      <w:rPr>
        <w:lang w:val="en-US"/>
      </w:rPr>
      <w:tab/>
    </w:r>
    <w:r w:rsidRPr="00C20E00">
      <w:rPr>
        <w:sz w:val="16"/>
        <w:szCs w:val="16"/>
      </w:rPr>
      <w:fldChar w:fldCharType="begin"/>
    </w:r>
    <w:r w:rsidRPr="009C40EF">
      <w:rPr>
        <w:sz w:val="16"/>
        <w:szCs w:val="16"/>
        <w:lang w:val="en-US"/>
      </w:rPr>
      <w:instrText xml:space="preserve"> STYLEREF  ES-Titre2  \* MERGEFORMAT </w:instrText>
    </w:r>
    <w:r w:rsidRPr="00C20E00">
      <w:rPr>
        <w:sz w:val="16"/>
        <w:szCs w:val="16"/>
      </w:rPr>
      <w:fldChar w:fldCharType="separate"/>
    </w:r>
    <w:r w:rsidR="00F12BAF">
      <w:rPr>
        <w:noProof/>
        <w:sz w:val="16"/>
        <w:szCs w:val="16"/>
        <w:lang w:val="en-US"/>
      </w:rPr>
      <w:t>Chapter 33</w:t>
    </w:r>
    <w:r w:rsidR="00F12BAF">
      <w:rPr>
        <w:noProof/>
        <w:sz w:val="16"/>
        <w:szCs w:val="16"/>
        <w:lang w:val="en-US"/>
      </w:rPr>
      <w:br/>
      <w:t>Transitional provisions for craft operating exclusively on waterways outside the Rhine (Zone R)</w:t>
    </w:r>
    <w:r w:rsidRPr="00C20E00">
      <w:rPr>
        <w:noProof/>
        <w:sz w:val="16"/>
        <w:szCs w:val="16"/>
      </w:rPr>
      <w:fldChar w:fldCharType="end"/>
    </w:r>
    <w:r w:rsidRPr="00C20E00">
      <w:rPr>
        <w:sz w:val="16"/>
        <w:szCs w:val="16"/>
        <w:lang w:val="en-US" w:eastAsia="de-DE"/>
      </w:rPr>
      <w:t xml:space="preserve"> -</w:t>
    </w:r>
    <w:r>
      <w:rPr>
        <w:sz w:val="16"/>
        <w:szCs w:val="16"/>
        <w:lang w:val="en-US" w:eastAsia="de-DE"/>
      </w:rPr>
      <w:fldChar w:fldCharType="begin"/>
    </w:r>
    <w:r>
      <w:rPr>
        <w:sz w:val="16"/>
        <w:szCs w:val="16"/>
        <w:lang w:val="en-US" w:eastAsia="de-DE"/>
      </w:rPr>
      <w:instrText xml:space="preserve"> STYLEREF  ES-Titre3_pr_chap32  \* MERGEFORMAT </w:instrText>
    </w:r>
    <w:r>
      <w:rPr>
        <w:sz w:val="16"/>
        <w:szCs w:val="16"/>
        <w:lang w:val="en-US" w:eastAsia="de-DE"/>
      </w:rPr>
      <w:fldChar w:fldCharType="separate"/>
    </w:r>
    <w:r w:rsidR="00F12BAF">
      <w:rPr>
        <w:noProof/>
        <w:sz w:val="16"/>
        <w:szCs w:val="16"/>
        <w:lang w:val="en-US" w:eastAsia="de-DE"/>
      </w:rPr>
      <w:t>Article 33.01</w:t>
    </w:r>
    <w:r>
      <w:rPr>
        <w:sz w:val="16"/>
        <w:szCs w:val="16"/>
        <w:lang w:val="en-US" w:eastAsia="de-DE"/>
      </w:rPr>
      <w:fldChar w:fldCharType="end"/>
    </w:r>
    <w:r w:rsidRPr="00C859BD">
      <w:rPr>
        <w:sz w:val="16"/>
        <w:szCs w:val="16"/>
        <w:lang w:val="en-US" w:eastAsia="de-DE"/>
      </w:rPr>
      <w:t xml:space="preserve"> </w:t>
    </w:r>
    <w:r w:rsidRPr="00C20E00">
      <w:rPr>
        <w:sz w:val="16"/>
        <w:szCs w:val="16"/>
        <w:lang w:val="en-US" w:eastAsia="de-DE"/>
      </w:rPr>
      <w:t xml:space="preserve">- </w:t>
    </w:r>
    <w:r>
      <w:rPr>
        <w:sz w:val="16"/>
        <w:szCs w:val="16"/>
        <w:lang w:val="en-US" w:eastAsia="de-DE"/>
      </w:rPr>
      <w:fldChar w:fldCharType="begin"/>
    </w:r>
    <w:r>
      <w:rPr>
        <w:sz w:val="16"/>
        <w:szCs w:val="16"/>
        <w:lang w:val="en-US" w:eastAsia="de-DE"/>
      </w:rPr>
      <w:instrText xml:space="preserve"> STYLEREF  ES-Titre3  \* MERGEFORMAT </w:instrText>
    </w:r>
    <w:r>
      <w:rPr>
        <w:sz w:val="16"/>
        <w:szCs w:val="16"/>
        <w:lang w:val="en-US" w:eastAsia="de-DE"/>
      </w:rPr>
      <w:fldChar w:fldCharType="separate"/>
    </w:r>
    <w:r w:rsidR="00F12BAF">
      <w:rPr>
        <w:noProof/>
        <w:sz w:val="16"/>
        <w:szCs w:val="16"/>
        <w:lang w:val="en-US" w:eastAsia="de-DE"/>
      </w:rPr>
      <w:t>Article 33.02</w:t>
    </w:r>
    <w:r>
      <w:rPr>
        <w:sz w:val="16"/>
        <w:szCs w:val="16"/>
        <w:lang w:val="en-US" w:eastAsia="de-DE"/>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C62373" w:rsidRDefault="00C60AC1" w:rsidP="008446C0">
    <w:pPr>
      <w:widowControl w:val="0"/>
      <w:pBdr>
        <w:bottom w:val="single" w:sz="4" w:space="1" w:color="auto"/>
      </w:pBdr>
      <w:tabs>
        <w:tab w:val="right" w:pos="13892"/>
      </w:tabs>
      <w:autoSpaceDE/>
      <w:autoSpaceDN/>
      <w:ind w:left="0" w:firstLine="0"/>
      <w:jc w:val="right"/>
      <w:rPr>
        <w:rFonts w:cs="Arial"/>
        <w:sz w:val="16"/>
        <w:szCs w:val="16"/>
        <w:lang w:val="en-US" w:eastAsia="de-DE"/>
      </w:rPr>
    </w:pPr>
    <w:r w:rsidRPr="00C62373">
      <w:rPr>
        <w:sz w:val="16"/>
        <w:szCs w:val="16"/>
        <w:lang w:val="en-US" w:eastAsia="de-DE"/>
      </w:rPr>
      <w:t>ES-TRIN</w:t>
    </w:r>
    <w:r w:rsidRPr="00C62373">
      <w:rPr>
        <w:sz w:val="16"/>
        <w:szCs w:val="16"/>
        <w:lang w:val="en-US" w:eastAsia="de-DE"/>
      </w:rPr>
      <w:tab/>
    </w:r>
    <w:r w:rsidRPr="00F46C3C">
      <w:rPr>
        <w:sz w:val="16"/>
        <w:szCs w:val="16"/>
      </w:rPr>
      <w:fldChar w:fldCharType="begin"/>
    </w:r>
    <w:r w:rsidRPr="00F46C3C">
      <w:rPr>
        <w:sz w:val="16"/>
        <w:szCs w:val="16"/>
        <w:lang w:val="en-US"/>
      </w:rPr>
      <w:instrText xml:space="preserve"> STYLEREF  ES-Titre2  \* MERGEFORMAT </w:instrText>
    </w:r>
    <w:r w:rsidRPr="00F46C3C">
      <w:rPr>
        <w:sz w:val="16"/>
        <w:szCs w:val="16"/>
      </w:rPr>
      <w:fldChar w:fldCharType="separate"/>
    </w:r>
    <w:r w:rsidR="00F12BAF" w:rsidRPr="00F12BAF">
      <w:rPr>
        <w:rFonts w:cs="Arial"/>
        <w:noProof/>
        <w:sz w:val="16"/>
        <w:szCs w:val="16"/>
        <w:lang w:val="en-US"/>
      </w:rPr>
      <w:t>Chapter 33</w:t>
    </w:r>
    <w:r w:rsidR="00F12BAF" w:rsidRPr="00F12BAF">
      <w:rPr>
        <w:rFonts w:cs="Arial"/>
        <w:noProof/>
        <w:sz w:val="16"/>
        <w:szCs w:val="16"/>
        <w:lang w:val="en-US"/>
      </w:rPr>
      <w:br/>
      <w:t>Transitional provisions for craft operating exclusively on waterways outside the Rhine (</w:t>
    </w:r>
    <w:r w:rsidR="00F12BAF">
      <w:rPr>
        <w:noProof/>
        <w:sz w:val="16"/>
        <w:szCs w:val="16"/>
        <w:lang w:val="en-US"/>
      </w:rPr>
      <w:t>Zone R)</w:t>
    </w:r>
    <w:r w:rsidRPr="00F46C3C">
      <w:rPr>
        <w:rFonts w:cs="Arial"/>
        <w:noProof/>
        <w:sz w:val="16"/>
        <w:szCs w:val="16"/>
        <w:lang w:val="en-US"/>
      </w:rPr>
      <w:fldChar w:fldCharType="end"/>
    </w:r>
    <w:r w:rsidRPr="00F46C3C">
      <w:rPr>
        <w:rFonts w:cs="Arial"/>
        <w:sz w:val="16"/>
        <w:szCs w:val="16"/>
        <w:lang w:val="en-US"/>
      </w:rPr>
      <w:t xml:space="preserve"> - </w:t>
    </w:r>
    <w:r>
      <w:rPr>
        <w:rFonts w:cs="Arial"/>
        <w:sz w:val="16"/>
        <w:szCs w:val="16"/>
        <w:lang w:val="en-US"/>
      </w:rPr>
      <w:fldChar w:fldCharType="begin"/>
    </w:r>
    <w:r>
      <w:rPr>
        <w:rFonts w:cs="Arial"/>
        <w:sz w:val="16"/>
        <w:szCs w:val="16"/>
        <w:lang w:val="en-US"/>
      </w:rPr>
      <w:instrText xml:space="preserve"> STYLEREF  ES-Titre3  \* MERGEFORMAT </w:instrText>
    </w:r>
    <w:r>
      <w:rPr>
        <w:rFonts w:cs="Arial"/>
        <w:sz w:val="16"/>
        <w:szCs w:val="16"/>
        <w:lang w:val="en-US"/>
      </w:rPr>
      <w:fldChar w:fldCharType="separate"/>
    </w:r>
    <w:r w:rsidR="00F12BAF">
      <w:rPr>
        <w:rFonts w:cs="Arial"/>
        <w:noProof/>
        <w:sz w:val="16"/>
        <w:szCs w:val="16"/>
        <w:lang w:val="en-US"/>
      </w:rPr>
      <w:t>Article 33.02</w:t>
    </w:r>
    <w:r>
      <w:rPr>
        <w:rFonts w:cs="Arial"/>
        <w:sz w:val="16"/>
        <w:szCs w:val="16"/>
        <w:lang w:val="en-U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Default="00C60AC1" w:rsidP="001E2331">
    <w:pPr>
      <w:widowControl w:val="0"/>
      <w:pBdr>
        <w:bottom w:val="single" w:sz="6" w:space="1" w:color="auto"/>
      </w:pBdr>
      <w:tabs>
        <w:tab w:val="right" w:pos="9072"/>
      </w:tabs>
      <w:autoSpaceDE/>
      <w:autoSpaceDN/>
      <w:ind w:left="0" w:firstLine="0"/>
      <w:jc w:val="right"/>
      <w:rPr>
        <w:sz w:val="16"/>
        <w:szCs w:val="16"/>
        <w:lang w:eastAsia="de-DE"/>
      </w:rPr>
    </w:pPr>
    <w:r w:rsidRPr="00436930">
      <w:rPr>
        <w:sz w:val="16"/>
        <w:szCs w:val="16"/>
        <w:lang w:eastAsia="de-DE"/>
      </w:rPr>
      <w:t>ES-TRIN</w:t>
    </w:r>
    <w:r>
      <w:rPr>
        <w:sz w:val="16"/>
        <w:szCs w:val="16"/>
        <w:lang w:eastAsia="de-DE"/>
      </w:rPr>
      <w:t xml:space="preserve"> </w:t>
    </w:r>
    <w:r>
      <w:rPr>
        <w:sz w:val="16"/>
        <w:szCs w:val="16"/>
        <w:lang w:eastAsia="de-DE"/>
      </w:rPr>
      <w:tab/>
    </w:r>
    <w:r>
      <w:rPr>
        <w:noProof/>
        <w:sz w:val="16"/>
        <w:szCs w:val="16"/>
        <w:lang w:eastAsia="de-DE"/>
      </w:rPr>
      <w:fldChar w:fldCharType="begin"/>
    </w:r>
    <w:r>
      <w:rPr>
        <w:noProof/>
        <w:sz w:val="16"/>
        <w:szCs w:val="16"/>
        <w:lang w:eastAsia="de-DE"/>
      </w:rPr>
      <w:instrText xml:space="preserve"> STYLEREF  Es-Titre_annexes  \* MERGEFORMAT </w:instrText>
    </w:r>
    <w:r>
      <w:rPr>
        <w:noProof/>
        <w:sz w:val="16"/>
        <w:szCs w:val="16"/>
        <w:lang w:eastAsia="de-DE"/>
      </w:rPr>
      <w:fldChar w:fldCharType="separate"/>
    </w:r>
    <w:r w:rsidR="00F12BAF">
      <w:rPr>
        <w:noProof/>
        <w:sz w:val="16"/>
        <w:szCs w:val="16"/>
        <w:lang w:eastAsia="de-DE"/>
      </w:rPr>
      <w:t>European standard annexes</w:t>
    </w:r>
    <w:r>
      <w:rPr>
        <w:noProof/>
        <w:sz w:val="16"/>
        <w:szCs w:val="16"/>
        <w:lang w:eastAsia="de-DE"/>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Default="00C60AC1" w:rsidP="001E2331">
    <w:pPr>
      <w:widowControl w:val="0"/>
      <w:pBdr>
        <w:bottom w:val="single" w:sz="6" w:space="1" w:color="auto"/>
      </w:pBdr>
      <w:tabs>
        <w:tab w:val="right" w:pos="9072"/>
      </w:tabs>
      <w:autoSpaceDE/>
      <w:autoSpaceDN/>
      <w:ind w:left="0" w:firstLine="0"/>
      <w:jc w:val="right"/>
      <w:rPr>
        <w:sz w:val="16"/>
        <w:szCs w:val="16"/>
        <w:lang w:eastAsia="de-DE"/>
      </w:rPr>
    </w:pPr>
    <w:r w:rsidRPr="00436930">
      <w:rPr>
        <w:sz w:val="16"/>
        <w:szCs w:val="16"/>
        <w:lang w:eastAsia="de-DE"/>
      </w:rPr>
      <w:t>ES-TRIN</w:t>
    </w:r>
    <w:r>
      <w:rPr>
        <w:sz w:val="16"/>
        <w:szCs w:val="16"/>
        <w:lang w:eastAsia="de-DE"/>
      </w:rPr>
      <w:t xml:space="preserve"> </w:t>
    </w:r>
    <w:r>
      <w:rPr>
        <w:sz w:val="16"/>
        <w:szCs w:val="16"/>
        <w:lang w:eastAsia="de-DE"/>
      </w:rPr>
      <w:tab/>
    </w:r>
    <w:r>
      <w:rPr>
        <w:noProof/>
        <w:sz w:val="16"/>
        <w:szCs w:val="16"/>
        <w:lang w:eastAsia="de-DE"/>
      </w:rPr>
      <w:fldChar w:fldCharType="begin"/>
    </w:r>
    <w:r>
      <w:rPr>
        <w:noProof/>
        <w:sz w:val="16"/>
        <w:szCs w:val="16"/>
        <w:lang w:eastAsia="de-DE"/>
      </w:rPr>
      <w:instrText xml:space="preserve"> STYLEREF  Es-Titre_annexes  \* MERGEFORMAT </w:instrText>
    </w:r>
    <w:r>
      <w:rPr>
        <w:noProof/>
        <w:sz w:val="16"/>
        <w:szCs w:val="16"/>
        <w:lang w:eastAsia="de-DE"/>
      </w:rPr>
      <w:fldChar w:fldCharType="separate"/>
    </w:r>
    <w:r w:rsidR="00F12BAF">
      <w:rPr>
        <w:noProof/>
        <w:sz w:val="16"/>
        <w:szCs w:val="16"/>
        <w:lang w:eastAsia="de-DE"/>
      </w:rPr>
      <w:t>European standard annexes</w:t>
    </w:r>
    <w:r>
      <w:rPr>
        <w:noProof/>
        <w:sz w:val="16"/>
        <w:szCs w:val="16"/>
        <w:lang w:eastAsia="de-DE"/>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FD13C1" w:rsidRDefault="00C60AC1" w:rsidP="009C13A9">
    <w:pPr>
      <w:widowControl w:val="0"/>
      <w:pBdr>
        <w:bottom w:val="single" w:sz="6" w:space="1" w:color="auto"/>
      </w:pBdr>
      <w:tabs>
        <w:tab w:val="right" w:pos="9072"/>
      </w:tabs>
      <w:autoSpaceDE/>
      <w:autoSpaceDN/>
      <w:ind w:left="0" w:firstLine="0"/>
      <w:jc w:val="right"/>
      <w:rPr>
        <w:sz w:val="16"/>
        <w:szCs w:val="16"/>
        <w:lang w:val="en-US" w:eastAsia="de-DE"/>
      </w:rPr>
    </w:pPr>
    <w:r w:rsidRPr="002352BD">
      <w:rPr>
        <w:sz w:val="16"/>
        <w:szCs w:val="16"/>
        <w:lang w:val="en-US" w:eastAsia="de-DE"/>
      </w:rPr>
      <w:t xml:space="preserve">ES-TRIN </w:t>
    </w:r>
    <w:r w:rsidRPr="002352BD">
      <w:rPr>
        <w:sz w:val="16"/>
        <w:szCs w:val="16"/>
        <w:lang w:val="en-US" w:eastAsia="de-DE"/>
      </w:rPr>
      <w:tab/>
    </w:r>
    <w:r w:rsidRPr="00FD13C1">
      <w:rPr>
        <w:sz w:val="16"/>
        <w:szCs w:val="16"/>
      </w:rPr>
      <w:fldChar w:fldCharType="begin"/>
    </w:r>
    <w:r w:rsidRPr="00FD13C1">
      <w:rPr>
        <w:sz w:val="16"/>
        <w:szCs w:val="16"/>
        <w:lang w:val="en-US"/>
      </w:rPr>
      <w:instrText xml:space="preserve"> STYLEREF  ES-Titre2 \l  \* MERGEFORMAT </w:instrText>
    </w:r>
    <w:r w:rsidRPr="00FD13C1">
      <w:rPr>
        <w:sz w:val="16"/>
        <w:szCs w:val="16"/>
      </w:rPr>
      <w:fldChar w:fldCharType="separate"/>
    </w:r>
    <w:r w:rsidR="00F12BAF">
      <w:rPr>
        <w:noProof/>
        <w:sz w:val="16"/>
        <w:szCs w:val="16"/>
        <w:lang w:val="en-US" w:eastAsia="de-DE"/>
      </w:rPr>
      <w:t>Annex 2</w:t>
    </w:r>
    <w:r w:rsidR="00F12BAF">
      <w:rPr>
        <w:noProof/>
        <w:sz w:val="16"/>
        <w:szCs w:val="16"/>
        <w:lang w:val="en-US" w:eastAsia="de-DE"/>
      </w:rPr>
      <w:br/>
      <w:t>Data for the identification</w:t>
    </w:r>
    <w:r w:rsidR="00F12BAF">
      <w:rPr>
        <w:noProof/>
        <w:sz w:val="16"/>
        <w:szCs w:val="16"/>
        <w:lang w:val="en-US"/>
      </w:rPr>
      <w:t xml:space="preserve"> of a vessel</w:t>
    </w:r>
    <w:r w:rsidRPr="00FD13C1">
      <w:rPr>
        <w:noProof/>
        <w:sz w:val="16"/>
        <w:szCs w:val="16"/>
        <w:lang w:val="en-US" w:eastAsia="de-DE"/>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395A9E" w:rsidRDefault="00C60AC1" w:rsidP="009C13A9">
    <w:pPr>
      <w:widowControl w:val="0"/>
      <w:pBdr>
        <w:bottom w:val="single" w:sz="6" w:space="1" w:color="auto"/>
      </w:pBdr>
      <w:tabs>
        <w:tab w:val="right" w:pos="9070"/>
      </w:tabs>
      <w:autoSpaceDE/>
      <w:autoSpaceDN/>
      <w:ind w:left="3600" w:hanging="3600"/>
      <w:rPr>
        <w:sz w:val="16"/>
        <w:szCs w:val="16"/>
        <w:lang w:val="en-US" w:eastAsia="de-DE"/>
      </w:rPr>
    </w:pPr>
    <w:r w:rsidRPr="00395A9E">
      <w:rPr>
        <w:sz w:val="16"/>
        <w:szCs w:val="16"/>
        <w:lang w:val="en-US" w:eastAsia="de-DE"/>
      </w:rPr>
      <w:t>ES-TRIN</w:t>
    </w:r>
    <w:r w:rsidRPr="00395A9E">
      <w:rPr>
        <w:lang w:val="en-US"/>
      </w:rPr>
      <w:tab/>
    </w:r>
    <w:r w:rsidRPr="00395A9E">
      <w:rPr>
        <w:lang w:val="en-US"/>
      </w:rPr>
      <w:tab/>
    </w:r>
    <w:r>
      <w:fldChar w:fldCharType="begin"/>
    </w:r>
    <w:r w:rsidRPr="00101CB2">
      <w:rPr>
        <w:lang w:val="en-US"/>
      </w:rPr>
      <w:instrText xml:space="preserve"> STYLEREF  ES-Titre2 \l  \* MERGEFORMAT </w:instrText>
    </w:r>
    <w:r>
      <w:fldChar w:fldCharType="separate"/>
    </w:r>
    <w:r w:rsidRPr="001B3D1D">
      <w:rPr>
        <w:noProof/>
        <w:sz w:val="16"/>
        <w:szCs w:val="16"/>
        <w:lang w:val="en-US"/>
      </w:rPr>
      <w:t>Chapter 33</w:t>
    </w:r>
    <w:r w:rsidRPr="001B3D1D">
      <w:rPr>
        <w:noProof/>
        <w:sz w:val="16"/>
        <w:szCs w:val="16"/>
        <w:lang w:val="en-US"/>
      </w:rPr>
      <w:br/>
      <w:t>Transitional provisions for craft operating exclusively on waterways outside the Rhine (</w:t>
    </w:r>
    <w:r>
      <w:rPr>
        <w:noProof/>
        <w:lang w:val="en-US"/>
      </w:rPr>
      <w:t>Zone R)</w:t>
    </w:r>
    <w:r>
      <w:rPr>
        <w:noProof/>
        <w:sz w:val="16"/>
        <w:szCs w:val="16"/>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F12BAF" w:rsidRDefault="00C60AC1" w:rsidP="00F12BAF">
    <w:pPr>
      <w:pStyle w:val="Header"/>
    </w:pPr>
    <w:bookmarkStart w:id="4" w:name="_GoBack"/>
    <w:bookmarkEnd w:id="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5777D8" w:rsidRDefault="00C60AC1" w:rsidP="009C13A9">
    <w:pPr>
      <w:widowControl w:val="0"/>
      <w:pBdr>
        <w:bottom w:val="single" w:sz="6" w:space="1" w:color="auto"/>
      </w:pBdr>
      <w:tabs>
        <w:tab w:val="right" w:pos="9072"/>
      </w:tabs>
      <w:autoSpaceDE/>
      <w:autoSpaceDN/>
      <w:ind w:left="0" w:firstLine="0"/>
      <w:jc w:val="right"/>
      <w:rPr>
        <w:sz w:val="16"/>
        <w:szCs w:val="16"/>
        <w:lang w:val="en-US" w:eastAsia="de-DE"/>
      </w:rPr>
    </w:pPr>
    <w:r w:rsidRPr="000827A6">
      <w:rPr>
        <w:sz w:val="16"/>
        <w:szCs w:val="16"/>
        <w:lang w:val="en-US" w:eastAsia="de-DE"/>
      </w:rPr>
      <w:t xml:space="preserve">ES-TRIN </w:t>
    </w:r>
    <w:r w:rsidRPr="000827A6">
      <w:rPr>
        <w:sz w:val="16"/>
        <w:szCs w:val="16"/>
        <w:lang w:val="en-US" w:eastAsia="de-DE"/>
      </w:rPr>
      <w:tab/>
    </w:r>
    <w:r>
      <w:fldChar w:fldCharType="begin"/>
    </w:r>
    <w:r w:rsidRPr="00101CB2">
      <w:rPr>
        <w:lang w:val="en-US"/>
      </w:rPr>
      <w:instrText xml:space="preserve"> STYLEREF  ES-Titre2 \l  \* MERGEFORMAT </w:instrText>
    </w:r>
    <w:r>
      <w:fldChar w:fldCharType="separate"/>
    </w:r>
    <w:r w:rsidR="00F12BAF" w:rsidRPr="00F12BAF">
      <w:rPr>
        <w:noProof/>
        <w:sz w:val="16"/>
        <w:szCs w:val="16"/>
        <w:lang w:val="en-US" w:eastAsia="de-DE"/>
      </w:rPr>
      <w:t>Annex 3</w:t>
    </w:r>
    <w:r w:rsidR="00F12BAF" w:rsidRPr="00F12BAF">
      <w:rPr>
        <w:noProof/>
        <w:sz w:val="16"/>
        <w:szCs w:val="16"/>
        <w:lang w:val="en-US" w:eastAsia="de-DE"/>
      </w:rPr>
      <w:br/>
      <w:t>Models of inland navigation vessel certificates and</w:t>
    </w:r>
    <w:r w:rsidR="00F12BAF">
      <w:rPr>
        <w:noProof/>
        <w:lang w:val="en-US"/>
      </w:rPr>
      <w:t xml:space="preserve"> model of register of inland navigation vessel certificates</w:t>
    </w:r>
    <w:r>
      <w:rPr>
        <w:noProof/>
        <w:sz w:val="16"/>
        <w:szCs w:val="16"/>
        <w:lang w:val="en-US" w:eastAsia="de-DE"/>
      </w:rPr>
      <w:fldChar w:fldCharType="end"/>
    </w:r>
  </w:p>
  <w:p w:rsidR="00C60AC1" w:rsidRPr="00D229DB" w:rsidRDefault="00C60AC1" w:rsidP="009C13A9">
    <w:pPr>
      <w:widowControl w:val="0"/>
      <w:pBdr>
        <w:bottom w:val="single" w:sz="6" w:space="1" w:color="auto"/>
      </w:pBdr>
      <w:tabs>
        <w:tab w:val="right" w:pos="9072"/>
      </w:tabs>
      <w:autoSpaceDE/>
      <w:autoSpaceDN/>
      <w:ind w:left="0" w:firstLine="0"/>
      <w:jc w:val="right"/>
      <w:rPr>
        <w:sz w:val="16"/>
        <w:szCs w:val="16"/>
        <w:lang w:val="en-US" w:eastAsia="de-DE"/>
      </w:rPr>
    </w:pPr>
    <w:r>
      <w:rPr>
        <w:sz w:val="16"/>
        <w:szCs w:val="16"/>
        <w:lang w:val="en-US" w:eastAsia="de-DE"/>
      </w:rPr>
      <w:fldChar w:fldCharType="begin"/>
    </w:r>
    <w:r>
      <w:rPr>
        <w:sz w:val="16"/>
        <w:szCs w:val="16"/>
        <w:lang w:val="en-US" w:eastAsia="de-DE"/>
      </w:rPr>
      <w:instrText xml:space="preserve"> STYLEREF  ES-Titre3  \* MERGEFORMAT </w:instrText>
    </w:r>
    <w:r>
      <w:rPr>
        <w:sz w:val="16"/>
        <w:szCs w:val="16"/>
        <w:lang w:val="en-US" w:eastAsia="de-DE"/>
      </w:rPr>
      <w:fldChar w:fldCharType="separate"/>
    </w:r>
    <w:r w:rsidR="00F12BAF">
      <w:rPr>
        <w:noProof/>
        <w:sz w:val="16"/>
        <w:szCs w:val="16"/>
        <w:lang w:val="en-US" w:eastAsia="de-DE"/>
      </w:rPr>
      <w:t>Section I</w:t>
    </w:r>
    <w:r>
      <w:rPr>
        <w:sz w:val="16"/>
        <w:szCs w:val="16"/>
        <w:lang w:val="en-US" w:eastAsia="de-DE"/>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6B7368" w:rsidRDefault="00C60AC1" w:rsidP="009C13A9">
    <w:pPr>
      <w:widowControl w:val="0"/>
      <w:pBdr>
        <w:bottom w:val="single" w:sz="6" w:space="1" w:color="auto"/>
      </w:pBdr>
      <w:tabs>
        <w:tab w:val="right" w:pos="9072"/>
      </w:tabs>
      <w:autoSpaceDE/>
      <w:autoSpaceDN/>
      <w:ind w:left="0" w:firstLine="0"/>
      <w:jc w:val="right"/>
      <w:rPr>
        <w:sz w:val="16"/>
        <w:szCs w:val="16"/>
        <w:lang w:val="en-US" w:eastAsia="de-DE"/>
      </w:rPr>
    </w:pPr>
    <w:r w:rsidRPr="002352BD">
      <w:rPr>
        <w:sz w:val="16"/>
        <w:szCs w:val="16"/>
        <w:lang w:val="en-US" w:eastAsia="de-DE"/>
      </w:rPr>
      <w:t xml:space="preserve">ES-TRIN </w:t>
    </w:r>
    <w:r w:rsidRPr="002352BD">
      <w:rPr>
        <w:sz w:val="16"/>
        <w:szCs w:val="16"/>
        <w:lang w:val="en-US" w:eastAsia="de-DE"/>
      </w:rPr>
      <w:tab/>
    </w:r>
    <w:r w:rsidRPr="006B7368">
      <w:rPr>
        <w:sz w:val="16"/>
        <w:szCs w:val="16"/>
      </w:rPr>
      <w:fldChar w:fldCharType="begin"/>
    </w:r>
    <w:r w:rsidRPr="006B7368">
      <w:rPr>
        <w:sz w:val="16"/>
        <w:szCs w:val="16"/>
        <w:lang w:val="en-US"/>
      </w:rPr>
      <w:instrText xml:space="preserve"> STYLEREF  ES-Titre2 \l  \* MERGEFORMAT </w:instrText>
    </w:r>
    <w:r w:rsidRPr="006B7368">
      <w:rPr>
        <w:sz w:val="16"/>
        <w:szCs w:val="16"/>
      </w:rPr>
      <w:fldChar w:fldCharType="separate"/>
    </w:r>
    <w:r w:rsidR="00F12BAF">
      <w:rPr>
        <w:noProof/>
        <w:sz w:val="16"/>
        <w:szCs w:val="16"/>
        <w:lang w:val="en-US" w:eastAsia="de-DE"/>
      </w:rPr>
      <w:t>Annex 3</w:t>
    </w:r>
    <w:r w:rsidR="00F12BAF">
      <w:rPr>
        <w:noProof/>
        <w:sz w:val="16"/>
        <w:szCs w:val="16"/>
        <w:lang w:val="en-US" w:eastAsia="de-DE"/>
      </w:rPr>
      <w:br/>
      <w:t>Models of inland navigation</w:t>
    </w:r>
    <w:r w:rsidR="00F12BAF">
      <w:rPr>
        <w:noProof/>
        <w:sz w:val="16"/>
        <w:szCs w:val="16"/>
        <w:lang w:val="en-US"/>
      </w:rPr>
      <w:t xml:space="preserve"> vessel certificates and model of register of inland navigation vessel certificates</w:t>
    </w:r>
    <w:r w:rsidRPr="006B7368">
      <w:rPr>
        <w:noProof/>
        <w:sz w:val="16"/>
        <w:szCs w:val="16"/>
        <w:lang w:val="en-US" w:eastAsia="de-DE"/>
      </w:rPr>
      <w:fldChar w:fldCharType="end"/>
    </w:r>
  </w:p>
  <w:p w:rsidR="00C60AC1" w:rsidRPr="002352BD" w:rsidRDefault="00C60AC1" w:rsidP="009C13A9">
    <w:pPr>
      <w:widowControl w:val="0"/>
      <w:pBdr>
        <w:bottom w:val="single" w:sz="6" w:space="1" w:color="auto"/>
      </w:pBdr>
      <w:tabs>
        <w:tab w:val="right" w:pos="9072"/>
      </w:tabs>
      <w:autoSpaceDE/>
      <w:autoSpaceDN/>
      <w:ind w:left="0" w:firstLine="0"/>
      <w:jc w:val="right"/>
      <w:rPr>
        <w:sz w:val="16"/>
        <w:szCs w:val="16"/>
        <w:lang w:val="en-US" w:eastAsia="de-DE"/>
      </w:rPr>
    </w:pPr>
    <w:r>
      <w:rPr>
        <w:sz w:val="16"/>
        <w:szCs w:val="16"/>
        <w:lang w:val="en-US" w:eastAsia="de-DE"/>
      </w:rPr>
      <w:fldChar w:fldCharType="begin"/>
    </w:r>
    <w:r>
      <w:rPr>
        <w:sz w:val="16"/>
        <w:szCs w:val="16"/>
        <w:lang w:val="en-US" w:eastAsia="de-DE"/>
      </w:rPr>
      <w:instrText xml:space="preserve"> STYLEREF  ES-Titre3  \* MERGEFORMAT </w:instrText>
    </w:r>
    <w:r>
      <w:rPr>
        <w:sz w:val="16"/>
        <w:szCs w:val="16"/>
        <w:lang w:val="en-US" w:eastAsia="de-DE"/>
      </w:rPr>
      <w:fldChar w:fldCharType="separate"/>
    </w:r>
    <w:r w:rsidR="00F12BAF">
      <w:rPr>
        <w:noProof/>
        <w:sz w:val="16"/>
        <w:szCs w:val="16"/>
        <w:lang w:val="en-US" w:eastAsia="de-DE"/>
      </w:rPr>
      <w:t>Section VI</w:t>
    </w:r>
    <w:r>
      <w:rPr>
        <w:sz w:val="16"/>
        <w:szCs w:val="16"/>
        <w:lang w:val="en-US" w:eastAsia="de-DE"/>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2352BD" w:rsidRDefault="00C60AC1" w:rsidP="009C13A9">
    <w:pPr>
      <w:widowControl w:val="0"/>
      <w:pBdr>
        <w:bottom w:val="single" w:sz="6" w:space="1" w:color="auto"/>
      </w:pBdr>
      <w:tabs>
        <w:tab w:val="right" w:pos="9072"/>
      </w:tabs>
      <w:autoSpaceDE/>
      <w:autoSpaceDN/>
      <w:jc w:val="right"/>
      <w:rPr>
        <w:sz w:val="16"/>
        <w:szCs w:val="16"/>
        <w:lang w:val="en-US" w:eastAsia="de-DE"/>
      </w:rPr>
    </w:pPr>
    <w:r w:rsidRPr="002352BD">
      <w:rPr>
        <w:sz w:val="16"/>
        <w:szCs w:val="16"/>
        <w:lang w:val="en-US" w:eastAsia="de-DE"/>
      </w:rPr>
      <w:t xml:space="preserve">ES-TRIN </w:t>
    </w:r>
    <w:r w:rsidRPr="002352BD">
      <w:rPr>
        <w:sz w:val="16"/>
        <w:szCs w:val="16"/>
        <w:lang w:val="en-US" w:eastAsia="de-DE"/>
      </w:rPr>
      <w:tab/>
    </w:r>
    <w:r>
      <w:fldChar w:fldCharType="begin"/>
    </w:r>
    <w:r w:rsidRPr="00101CB2">
      <w:rPr>
        <w:lang w:val="en-US"/>
      </w:rPr>
      <w:instrText xml:space="preserve"> STYLEREF  ES-Titre2  \* MERGEFORMAT </w:instrText>
    </w:r>
    <w:r>
      <w:fldChar w:fldCharType="separate"/>
    </w:r>
    <w:r w:rsidR="00F12BAF" w:rsidRPr="00F12BAF">
      <w:rPr>
        <w:noProof/>
        <w:sz w:val="16"/>
        <w:szCs w:val="16"/>
        <w:lang w:val="en-US" w:eastAsia="de-DE"/>
      </w:rPr>
      <w:t>Annex 3</w:t>
    </w:r>
    <w:r w:rsidR="00F12BAF" w:rsidRPr="00F12BAF">
      <w:rPr>
        <w:noProof/>
        <w:sz w:val="16"/>
        <w:szCs w:val="16"/>
        <w:lang w:val="en-US" w:eastAsia="de-DE"/>
      </w:rPr>
      <w:br/>
      <w:t>Models of inland navigation</w:t>
    </w:r>
    <w:r w:rsidR="00F12BAF">
      <w:rPr>
        <w:noProof/>
        <w:lang w:val="en-US"/>
      </w:rPr>
      <w:t xml:space="preserve"> vessel certificates and model of register of inland navigation vessel certificates</w:t>
    </w:r>
    <w:r>
      <w:rPr>
        <w:noProof/>
        <w:sz w:val="16"/>
        <w:szCs w:val="16"/>
        <w:lang w:val="en-US" w:eastAsia="de-DE"/>
      </w:rPr>
      <w:fldChar w:fldCharType="end"/>
    </w:r>
  </w:p>
  <w:p w:rsidR="00C60AC1" w:rsidRDefault="00C60AC1" w:rsidP="009C13A9">
    <w:pPr>
      <w:widowControl w:val="0"/>
      <w:pBdr>
        <w:bottom w:val="single" w:sz="6" w:space="1" w:color="auto"/>
      </w:pBdr>
      <w:tabs>
        <w:tab w:val="right" w:pos="9072"/>
      </w:tabs>
      <w:autoSpaceDE/>
      <w:autoSpaceDN/>
      <w:jc w:val="right"/>
      <w:rPr>
        <w:sz w:val="16"/>
        <w:szCs w:val="16"/>
        <w:lang w:eastAsia="de-DE"/>
      </w:rPr>
    </w:pPr>
    <w:r>
      <w:rPr>
        <w:sz w:val="16"/>
        <w:szCs w:val="16"/>
        <w:lang w:eastAsia="de-DE"/>
      </w:rPr>
      <w:fldChar w:fldCharType="begin"/>
    </w:r>
    <w:r>
      <w:rPr>
        <w:sz w:val="16"/>
        <w:szCs w:val="16"/>
        <w:lang w:eastAsia="de-DE"/>
      </w:rPr>
      <w:instrText xml:space="preserve"> STYLEREF  ES-Titre3  \* MERGEFORMAT </w:instrText>
    </w:r>
    <w:r>
      <w:rPr>
        <w:sz w:val="16"/>
        <w:szCs w:val="16"/>
        <w:lang w:eastAsia="de-DE"/>
      </w:rPr>
      <w:fldChar w:fldCharType="separate"/>
    </w:r>
    <w:r w:rsidR="00F12BAF">
      <w:rPr>
        <w:noProof/>
        <w:sz w:val="16"/>
        <w:szCs w:val="16"/>
        <w:lang w:eastAsia="de-DE"/>
      </w:rPr>
      <w:t>Section VI</w:t>
    </w:r>
    <w:r>
      <w:rPr>
        <w:sz w:val="16"/>
        <w:szCs w:val="16"/>
        <w:lang w:eastAsia="de-DE"/>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42206B" w:rsidRDefault="00C60AC1" w:rsidP="009C13A9">
    <w:pPr>
      <w:widowControl w:val="0"/>
      <w:pBdr>
        <w:bottom w:val="single" w:sz="6" w:space="1" w:color="auto"/>
      </w:pBdr>
      <w:tabs>
        <w:tab w:val="right" w:pos="9072"/>
      </w:tabs>
      <w:autoSpaceDE/>
      <w:autoSpaceDN/>
      <w:jc w:val="right"/>
      <w:rPr>
        <w:sz w:val="16"/>
        <w:szCs w:val="16"/>
        <w:lang w:val="en-US" w:eastAsia="de-DE"/>
      </w:rPr>
    </w:pPr>
    <w:r w:rsidRPr="002352BD">
      <w:rPr>
        <w:sz w:val="16"/>
        <w:szCs w:val="16"/>
        <w:lang w:val="en-US" w:eastAsia="de-DE"/>
      </w:rPr>
      <w:t xml:space="preserve">ES-TRIN </w:t>
    </w:r>
    <w:r w:rsidRPr="002352BD">
      <w:rPr>
        <w:sz w:val="16"/>
        <w:szCs w:val="16"/>
        <w:lang w:val="en-US" w:eastAsia="de-DE"/>
      </w:rPr>
      <w:tab/>
    </w:r>
    <w:r w:rsidRPr="0042206B">
      <w:rPr>
        <w:sz w:val="16"/>
        <w:szCs w:val="16"/>
      </w:rPr>
      <w:fldChar w:fldCharType="begin"/>
    </w:r>
    <w:r w:rsidRPr="0042206B">
      <w:rPr>
        <w:sz w:val="16"/>
        <w:szCs w:val="16"/>
        <w:lang w:val="en-US"/>
      </w:rPr>
      <w:instrText xml:space="preserve"> STYLEREF  ES-Titre2  \* MERGEFORMAT </w:instrText>
    </w:r>
    <w:r w:rsidRPr="0042206B">
      <w:rPr>
        <w:sz w:val="16"/>
        <w:szCs w:val="16"/>
      </w:rPr>
      <w:fldChar w:fldCharType="separate"/>
    </w:r>
    <w:r w:rsidR="00F12BAF">
      <w:rPr>
        <w:noProof/>
        <w:sz w:val="16"/>
        <w:szCs w:val="16"/>
        <w:lang w:val="en-US" w:eastAsia="de-DE"/>
      </w:rPr>
      <w:t>Annex 5</w:t>
    </w:r>
    <w:r w:rsidR="00F12BAF">
      <w:rPr>
        <w:noProof/>
        <w:sz w:val="16"/>
        <w:szCs w:val="16"/>
        <w:lang w:val="en-US" w:eastAsia="de-DE"/>
      </w:rPr>
      <w:br/>
      <w:t>Navigation and</w:t>
    </w:r>
    <w:r w:rsidR="00F12BAF">
      <w:rPr>
        <w:noProof/>
        <w:sz w:val="16"/>
        <w:szCs w:val="16"/>
        <w:lang w:val="en-US"/>
      </w:rPr>
      <w:t xml:space="preserve"> information equipment</w:t>
    </w:r>
    <w:r w:rsidRPr="0042206B">
      <w:rPr>
        <w:noProof/>
        <w:sz w:val="16"/>
        <w:szCs w:val="16"/>
        <w:lang w:val="en-US" w:eastAsia="de-DE"/>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2352BD" w:rsidRDefault="00C60AC1" w:rsidP="009C13A9">
    <w:pPr>
      <w:widowControl w:val="0"/>
      <w:pBdr>
        <w:bottom w:val="single" w:sz="6" w:space="1" w:color="auto"/>
      </w:pBdr>
      <w:tabs>
        <w:tab w:val="right" w:pos="9072"/>
      </w:tabs>
      <w:autoSpaceDE/>
      <w:autoSpaceDN/>
      <w:jc w:val="right"/>
      <w:rPr>
        <w:sz w:val="16"/>
        <w:szCs w:val="16"/>
        <w:lang w:val="en-US" w:eastAsia="de-DE"/>
      </w:rPr>
    </w:pPr>
    <w:r w:rsidRPr="002352BD">
      <w:rPr>
        <w:sz w:val="16"/>
        <w:szCs w:val="16"/>
        <w:lang w:val="en-US" w:eastAsia="de-DE"/>
      </w:rPr>
      <w:t xml:space="preserve">ES-TRIN </w:t>
    </w:r>
    <w:r w:rsidRPr="002352BD">
      <w:rPr>
        <w:sz w:val="16"/>
        <w:szCs w:val="16"/>
        <w:lang w:val="en-US" w:eastAsia="de-DE"/>
      </w:rPr>
      <w:tab/>
    </w:r>
    <w:r>
      <w:fldChar w:fldCharType="begin"/>
    </w:r>
    <w:r w:rsidRPr="00101CB2">
      <w:rPr>
        <w:lang w:val="en-US"/>
      </w:rPr>
      <w:instrText xml:space="preserve"> STYLEREF  ES-Titre2  \* MERGEFORMAT </w:instrText>
    </w:r>
    <w:r>
      <w:fldChar w:fldCharType="separate"/>
    </w:r>
    <w:r w:rsidR="00F12BAF" w:rsidRPr="00F12BAF">
      <w:rPr>
        <w:noProof/>
        <w:sz w:val="16"/>
        <w:szCs w:val="16"/>
        <w:lang w:val="en-US" w:eastAsia="de-DE"/>
      </w:rPr>
      <w:t>Annex 5</w:t>
    </w:r>
    <w:r w:rsidR="00F12BAF" w:rsidRPr="00F12BAF">
      <w:rPr>
        <w:noProof/>
        <w:sz w:val="16"/>
        <w:szCs w:val="16"/>
        <w:lang w:val="en-US" w:eastAsia="de-DE"/>
      </w:rPr>
      <w:br/>
      <w:t>Navigation and information equipment</w:t>
    </w:r>
    <w:r>
      <w:rPr>
        <w:noProof/>
        <w:sz w:val="16"/>
        <w:szCs w:val="16"/>
        <w:lang w:val="en-US" w:eastAsia="de-DE"/>
      </w:rPr>
      <w:fldChar w:fldCharType="end"/>
    </w:r>
  </w:p>
  <w:p w:rsidR="00C60AC1" w:rsidRDefault="00C60AC1" w:rsidP="009C13A9">
    <w:pPr>
      <w:widowControl w:val="0"/>
      <w:pBdr>
        <w:bottom w:val="single" w:sz="6" w:space="1" w:color="auto"/>
      </w:pBdr>
      <w:tabs>
        <w:tab w:val="right" w:pos="9072"/>
      </w:tabs>
      <w:autoSpaceDE/>
      <w:autoSpaceDN/>
      <w:jc w:val="right"/>
      <w:rPr>
        <w:sz w:val="16"/>
        <w:szCs w:val="16"/>
        <w:lang w:eastAsia="de-DE"/>
      </w:rPr>
    </w:pPr>
    <w:r>
      <w:rPr>
        <w:sz w:val="16"/>
        <w:szCs w:val="16"/>
        <w:lang w:eastAsia="de-DE"/>
      </w:rPr>
      <w:fldChar w:fldCharType="begin"/>
    </w:r>
    <w:r>
      <w:rPr>
        <w:sz w:val="16"/>
        <w:szCs w:val="16"/>
        <w:lang w:eastAsia="de-DE"/>
      </w:rPr>
      <w:instrText xml:space="preserve"> STYLEREF  ES-Titre3  \* MERGEFORMAT </w:instrText>
    </w:r>
    <w:r>
      <w:rPr>
        <w:sz w:val="16"/>
        <w:szCs w:val="16"/>
        <w:lang w:eastAsia="de-DE"/>
      </w:rPr>
      <w:fldChar w:fldCharType="separate"/>
    </w:r>
    <w:r w:rsidR="00F12BAF">
      <w:rPr>
        <w:noProof/>
        <w:sz w:val="16"/>
        <w:szCs w:val="16"/>
        <w:lang w:eastAsia="de-DE"/>
      </w:rPr>
      <w:t>Section VI</w:t>
    </w:r>
    <w:r>
      <w:rPr>
        <w:sz w:val="16"/>
        <w:szCs w:val="16"/>
        <w:lang w:eastAsia="de-DE"/>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C859BD" w:rsidRDefault="00C60AC1" w:rsidP="00652F98">
    <w:pPr>
      <w:widowControl w:val="0"/>
      <w:pBdr>
        <w:bottom w:val="single" w:sz="6" w:space="1" w:color="auto"/>
      </w:pBdr>
      <w:tabs>
        <w:tab w:val="right" w:pos="9072"/>
      </w:tabs>
      <w:autoSpaceDE/>
      <w:autoSpaceDN/>
      <w:ind w:left="0" w:firstLine="0"/>
      <w:jc w:val="right"/>
      <w:rPr>
        <w:sz w:val="16"/>
        <w:szCs w:val="16"/>
        <w:lang w:val="en-US" w:eastAsia="de-DE"/>
      </w:rPr>
    </w:pPr>
    <w:r w:rsidRPr="002352BD">
      <w:rPr>
        <w:sz w:val="16"/>
        <w:szCs w:val="16"/>
        <w:lang w:val="en-US" w:eastAsia="de-DE"/>
      </w:rPr>
      <w:t xml:space="preserve">ES-TRIN </w:t>
    </w:r>
    <w:r>
      <w:rPr>
        <w:sz w:val="16"/>
        <w:szCs w:val="16"/>
        <w:lang w:val="en-US" w:eastAsia="de-DE"/>
      </w:rPr>
      <w:tab/>
    </w:r>
    <w:r w:rsidRPr="00C859BD">
      <w:rPr>
        <w:sz w:val="16"/>
        <w:szCs w:val="16"/>
      </w:rPr>
      <w:fldChar w:fldCharType="begin"/>
    </w:r>
    <w:r w:rsidRPr="00C859BD">
      <w:rPr>
        <w:sz w:val="16"/>
        <w:szCs w:val="16"/>
      </w:rPr>
      <w:instrText xml:space="preserve"> STYLEREF  ES-Titre2  \* MERGEFORMAT </w:instrText>
    </w:r>
    <w:r w:rsidRPr="00C859BD">
      <w:rPr>
        <w:sz w:val="16"/>
        <w:szCs w:val="16"/>
      </w:rPr>
      <w:fldChar w:fldCharType="separate"/>
    </w:r>
    <w:r w:rsidR="00F12BAF">
      <w:rPr>
        <w:noProof/>
        <w:sz w:val="16"/>
        <w:szCs w:val="16"/>
      </w:rPr>
      <w:t>Annex 6</w:t>
    </w:r>
    <w:r w:rsidR="00F12BAF">
      <w:rPr>
        <w:noProof/>
        <w:sz w:val="16"/>
        <w:szCs w:val="16"/>
      </w:rPr>
      <w:br/>
      <w:t>Engine parameter protocol</w:t>
    </w:r>
    <w:r w:rsidRPr="00C859BD">
      <w:rPr>
        <w:noProof/>
        <w:sz w:val="16"/>
        <w:szCs w:val="16"/>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42206B" w:rsidRDefault="00C60AC1" w:rsidP="009C13A9">
    <w:pPr>
      <w:widowControl w:val="0"/>
      <w:pBdr>
        <w:bottom w:val="single" w:sz="6" w:space="1" w:color="auto"/>
      </w:pBdr>
      <w:tabs>
        <w:tab w:val="right" w:pos="9072"/>
      </w:tabs>
      <w:autoSpaceDE/>
      <w:autoSpaceDN/>
      <w:jc w:val="right"/>
      <w:rPr>
        <w:sz w:val="16"/>
        <w:szCs w:val="16"/>
        <w:lang w:val="en-US" w:eastAsia="de-DE"/>
      </w:rPr>
    </w:pPr>
    <w:r w:rsidRPr="002352BD">
      <w:rPr>
        <w:sz w:val="16"/>
        <w:szCs w:val="16"/>
        <w:lang w:val="en-US" w:eastAsia="de-DE"/>
      </w:rPr>
      <w:t xml:space="preserve">ES-TRIN </w:t>
    </w:r>
    <w:r w:rsidRPr="002352BD">
      <w:rPr>
        <w:sz w:val="16"/>
        <w:szCs w:val="16"/>
        <w:lang w:val="en-US" w:eastAsia="de-DE"/>
      </w:rPr>
      <w:tab/>
    </w:r>
    <w:r w:rsidRPr="0042206B">
      <w:rPr>
        <w:sz w:val="16"/>
        <w:szCs w:val="16"/>
      </w:rPr>
      <w:fldChar w:fldCharType="begin"/>
    </w:r>
    <w:r w:rsidRPr="0042206B">
      <w:rPr>
        <w:sz w:val="16"/>
        <w:szCs w:val="16"/>
        <w:lang w:val="en-US"/>
      </w:rPr>
      <w:instrText xml:space="preserve"> STYLEREF  ES-Titre2  \* MERGEFORMAT </w:instrText>
    </w:r>
    <w:r w:rsidRPr="0042206B">
      <w:rPr>
        <w:sz w:val="16"/>
        <w:szCs w:val="16"/>
      </w:rPr>
      <w:fldChar w:fldCharType="separate"/>
    </w:r>
    <w:r w:rsidR="00F12BAF">
      <w:rPr>
        <w:noProof/>
        <w:sz w:val="16"/>
        <w:szCs w:val="16"/>
        <w:lang w:val="en-US"/>
      </w:rPr>
      <w:t>Annex 7</w:t>
    </w:r>
    <w:r w:rsidR="00F12BAF">
      <w:rPr>
        <w:noProof/>
        <w:sz w:val="16"/>
        <w:szCs w:val="16"/>
        <w:lang w:val="en-US"/>
      </w:rPr>
      <w:br/>
      <w:t>On-board sewage treatment plants</w:t>
    </w:r>
    <w:r w:rsidRPr="0042206B">
      <w:rPr>
        <w:noProof/>
        <w:sz w:val="16"/>
        <w:szCs w:val="16"/>
        <w:lang w:val="en-US" w:eastAsia="de-DE"/>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2352BD" w:rsidRDefault="00C60AC1" w:rsidP="009C13A9">
    <w:pPr>
      <w:widowControl w:val="0"/>
      <w:pBdr>
        <w:bottom w:val="single" w:sz="6" w:space="1" w:color="auto"/>
      </w:pBdr>
      <w:tabs>
        <w:tab w:val="right" w:pos="9072"/>
      </w:tabs>
      <w:autoSpaceDE/>
      <w:autoSpaceDN/>
      <w:jc w:val="right"/>
      <w:rPr>
        <w:sz w:val="16"/>
        <w:szCs w:val="16"/>
        <w:lang w:val="en-US" w:eastAsia="de-DE"/>
      </w:rPr>
    </w:pPr>
    <w:r w:rsidRPr="002352BD">
      <w:rPr>
        <w:sz w:val="16"/>
        <w:szCs w:val="16"/>
        <w:lang w:val="en-US" w:eastAsia="de-DE"/>
      </w:rPr>
      <w:t xml:space="preserve">ES-TRIN </w:t>
    </w:r>
    <w:r w:rsidRPr="002352BD">
      <w:rPr>
        <w:sz w:val="16"/>
        <w:szCs w:val="16"/>
        <w:lang w:val="en-US" w:eastAsia="de-DE"/>
      </w:rPr>
      <w:tab/>
    </w:r>
    <w:r>
      <w:fldChar w:fldCharType="begin"/>
    </w:r>
    <w:r w:rsidRPr="00101CB2">
      <w:rPr>
        <w:lang w:val="en-US"/>
      </w:rPr>
      <w:instrText xml:space="preserve"> STYLEREF  ES-Titre2  \* MERGEFORMAT </w:instrText>
    </w:r>
    <w:r>
      <w:fldChar w:fldCharType="separate"/>
    </w:r>
    <w:r w:rsidR="00F12BAF" w:rsidRPr="00F12BAF">
      <w:rPr>
        <w:noProof/>
        <w:sz w:val="16"/>
        <w:szCs w:val="16"/>
        <w:lang w:val="en-US" w:eastAsia="de-DE"/>
      </w:rPr>
      <w:t>Annex 7</w:t>
    </w:r>
    <w:r w:rsidR="00F12BAF" w:rsidRPr="00F12BAF">
      <w:rPr>
        <w:noProof/>
        <w:sz w:val="16"/>
        <w:szCs w:val="16"/>
        <w:lang w:val="en-US" w:eastAsia="de-DE"/>
      </w:rPr>
      <w:br/>
      <w:t>On-board sewage treatment plants</w:t>
    </w:r>
    <w:r>
      <w:rPr>
        <w:noProof/>
        <w:sz w:val="16"/>
        <w:szCs w:val="16"/>
        <w:lang w:val="en-US" w:eastAsia="de-DE"/>
      </w:rPr>
      <w:fldChar w:fldCharType="end"/>
    </w:r>
  </w:p>
  <w:p w:rsidR="00C60AC1" w:rsidRDefault="00C60AC1" w:rsidP="009C13A9">
    <w:pPr>
      <w:widowControl w:val="0"/>
      <w:pBdr>
        <w:bottom w:val="single" w:sz="6" w:space="1" w:color="auto"/>
      </w:pBdr>
      <w:tabs>
        <w:tab w:val="right" w:pos="9072"/>
      </w:tabs>
      <w:autoSpaceDE/>
      <w:autoSpaceDN/>
      <w:jc w:val="right"/>
      <w:rPr>
        <w:sz w:val="16"/>
        <w:szCs w:val="16"/>
        <w:lang w:eastAsia="de-DE"/>
      </w:rPr>
    </w:pPr>
    <w:r>
      <w:rPr>
        <w:sz w:val="16"/>
        <w:szCs w:val="16"/>
        <w:lang w:eastAsia="de-DE"/>
      </w:rPr>
      <w:fldChar w:fldCharType="begin"/>
    </w:r>
    <w:r>
      <w:rPr>
        <w:sz w:val="16"/>
        <w:szCs w:val="16"/>
        <w:lang w:eastAsia="de-DE"/>
      </w:rPr>
      <w:instrText xml:space="preserve"> STYLEREF  ES-Titre3  \* MERGEFORMAT </w:instrText>
    </w:r>
    <w:r>
      <w:rPr>
        <w:sz w:val="16"/>
        <w:szCs w:val="16"/>
        <w:lang w:eastAsia="de-DE"/>
      </w:rPr>
      <w:fldChar w:fldCharType="separate"/>
    </w:r>
    <w:r w:rsidR="00F12BAF">
      <w:rPr>
        <w:noProof/>
        <w:sz w:val="16"/>
        <w:szCs w:val="16"/>
        <w:lang w:eastAsia="de-DE"/>
      </w:rPr>
      <w:t>Section IV</w:t>
    </w:r>
    <w:r>
      <w:rPr>
        <w:sz w:val="16"/>
        <w:szCs w:val="16"/>
        <w:lang w:eastAsia="de-DE"/>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Default="00C60AC1"/>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2352BD" w:rsidRDefault="00C60AC1" w:rsidP="009C13A9">
    <w:pPr>
      <w:widowControl w:val="0"/>
      <w:pBdr>
        <w:bottom w:val="single" w:sz="6" w:space="1" w:color="auto"/>
      </w:pBdr>
      <w:tabs>
        <w:tab w:val="right" w:pos="14033"/>
      </w:tabs>
      <w:autoSpaceDE/>
      <w:autoSpaceDN/>
      <w:jc w:val="right"/>
      <w:rPr>
        <w:sz w:val="16"/>
        <w:szCs w:val="16"/>
        <w:lang w:val="en-US" w:eastAsia="de-DE"/>
      </w:rPr>
    </w:pPr>
    <w:r w:rsidRPr="002352BD">
      <w:rPr>
        <w:sz w:val="16"/>
        <w:szCs w:val="16"/>
        <w:lang w:val="en-US" w:eastAsia="de-DE"/>
      </w:rPr>
      <w:t xml:space="preserve">ES-TRIN </w:t>
    </w:r>
    <w:r w:rsidRPr="002352BD">
      <w:rPr>
        <w:sz w:val="16"/>
        <w:szCs w:val="16"/>
        <w:lang w:val="en-US" w:eastAsia="de-DE"/>
      </w:rPr>
      <w:tab/>
    </w:r>
    <w:r>
      <w:fldChar w:fldCharType="begin"/>
    </w:r>
    <w:r w:rsidRPr="00101CB2">
      <w:rPr>
        <w:lang w:val="en-US"/>
      </w:rPr>
      <w:instrText xml:space="preserve"> STYLEREF  ES-Titre2  \* MERGEFORMAT </w:instrText>
    </w:r>
    <w:r>
      <w:fldChar w:fldCharType="separate"/>
    </w:r>
    <w:r w:rsidR="00F12BAF" w:rsidRPr="00F12BAF">
      <w:rPr>
        <w:noProof/>
        <w:sz w:val="16"/>
        <w:szCs w:val="16"/>
        <w:lang w:val="en-US" w:eastAsia="de-DE"/>
      </w:rPr>
      <w:t>Annex 7</w:t>
    </w:r>
    <w:r w:rsidR="00F12BAF" w:rsidRPr="00F12BAF">
      <w:rPr>
        <w:noProof/>
        <w:sz w:val="16"/>
        <w:szCs w:val="16"/>
        <w:lang w:val="en-US" w:eastAsia="de-DE"/>
      </w:rPr>
      <w:br/>
      <w:t>On-board sewage treatment plants</w:t>
    </w:r>
    <w:r>
      <w:rPr>
        <w:noProof/>
        <w:sz w:val="16"/>
        <w:szCs w:val="16"/>
        <w:lang w:val="en-US" w:eastAsia="de-DE"/>
      </w:rPr>
      <w:fldChar w:fldCharType="end"/>
    </w:r>
  </w:p>
  <w:p w:rsidR="00C60AC1" w:rsidRDefault="00C60AC1" w:rsidP="009C13A9">
    <w:pPr>
      <w:widowControl w:val="0"/>
      <w:pBdr>
        <w:bottom w:val="single" w:sz="6" w:space="1" w:color="auto"/>
      </w:pBdr>
      <w:tabs>
        <w:tab w:val="right" w:pos="14033"/>
      </w:tabs>
      <w:autoSpaceDE/>
      <w:autoSpaceDN/>
      <w:jc w:val="right"/>
      <w:rPr>
        <w:sz w:val="16"/>
        <w:szCs w:val="16"/>
        <w:lang w:eastAsia="de-DE"/>
      </w:rPr>
    </w:pPr>
    <w:r>
      <w:rPr>
        <w:sz w:val="16"/>
        <w:szCs w:val="16"/>
        <w:lang w:eastAsia="de-DE"/>
      </w:rPr>
      <w:fldChar w:fldCharType="begin"/>
    </w:r>
    <w:r>
      <w:rPr>
        <w:sz w:val="16"/>
        <w:szCs w:val="16"/>
        <w:lang w:eastAsia="de-DE"/>
      </w:rPr>
      <w:instrText xml:space="preserve"> STYLEREF  ES-Titre3  \* MERGEFORMAT </w:instrText>
    </w:r>
    <w:r>
      <w:rPr>
        <w:sz w:val="16"/>
        <w:szCs w:val="16"/>
        <w:lang w:eastAsia="de-DE"/>
      </w:rPr>
      <w:fldChar w:fldCharType="separate"/>
    </w:r>
    <w:r w:rsidR="00F12BAF">
      <w:rPr>
        <w:noProof/>
        <w:sz w:val="16"/>
        <w:szCs w:val="16"/>
        <w:lang w:eastAsia="de-DE"/>
      </w:rPr>
      <w:t>Section V</w:t>
    </w:r>
    <w:r>
      <w:rPr>
        <w:sz w:val="16"/>
        <w:szCs w:val="16"/>
        <w:lang w:eastAsia="de-D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82224C" w:rsidRDefault="00C60AC1" w:rsidP="0082224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Default="00C60AC1"/>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Default="00C60AC1"/>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2352BD" w:rsidRDefault="00C60AC1" w:rsidP="009C13A9">
    <w:pPr>
      <w:widowControl w:val="0"/>
      <w:pBdr>
        <w:bottom w:val="single" w:sz="6" w:space="1" w:color="auto"/>
      </w:pBdr>
      <w:tabs>
        <w:tab w:val="right" w:pos="9072"/>
      </w:tabs>
      <w:autoSpaceDE/>
      <w:autoSpaceDN/>
      <w:jc w:val="right"/>
      <w:rPr>
        <w:sz w:val="16"/>
        <w:szCs w:val="16"/>
        <w:lang w:val="en-US" w:eastAsia="de-DE"/>
      </w:rPr>
    </w:pPr>
    <w:r w:rsidRPr="002352BD">
      <w:rPr>
        <w:sz w:val="16"/>
        <w:szCs w:val="16"/>
        <w:lang w:val="en-US" w:eastAsia="de-DE"/>
      </w:rPr>
      <w:t xml:space="preserve">ES-TRIN </w:t>
    </w:r>
    <w:r w:rsidRPr="002352BD">
      <w:rPr>
        <w:sz w:val="16"/>
        <w:szCs w:val="16"/>
        <w:lang w:val="en-US" w:eastAsia="de-DE"/>
      </w:rPr>
      <w:tab/>
    </w:r>
    <w:r>
      <w:fldChar w:fldCharType="begin"/>
    </w:r>
    <w:r w:rsidRPr="00101CB2">
      <w:rPr>
        <w:lang w:val="en-US"/>
      </w:rPr>
      <w:instrText xml:space="preserve"> STYLEREF  ES-Titre2  \* MERGEFORMAT </w:instrText>
    </w:r>
    <w:r>
      <w:fldChar w:fldCharType="separate"/>
    </w:r>
    <w:r w:rsidR="00F12BAF" w:rsidRPr="00F12BAF">
      <w:rPr>
        <w:noProof/>
        <w:sz w:val="16"/>
        <w:szCs w:val="16"/>
        <w:lang w:val="en-US" w:eastAsia="de-DE"/>
      </w:rPr>
      <w:t>Annex 7</w:t>
    </w:r>
    <w:r w:rsidR="00F12BAF" w:rsidRPr="00F12BAF">
      <w:rPr>
        <w:noProof/>
        <w:sz w:val="16"/>
        <w:szCs w:val="16"/>
        <w:lang w:val="en-US" w:eastAsia="de-DE"/>
      </w:rPr>
      <w:br/>
      <w:t>On-board sewage treatment plants</w:t>
    </w:r>
    <w:r>
      <w:rPr>
        <w:noProof/>
        <w:sz w:val="16"/>
        <w:szCs w:val="16"/>
        <w:lang w:val="en-US" w:eastAsia="de-DE"/>
      </w:rPr>
      <w:fldChar w:fldCharType="end"/>
    </w:r>
  </w:p>
  <w:p w:rsidR="00C60AC1" w:rsidRDefault="00C60AC1" w:rsidP="009C13A9">
    <w:pPr>
      <w:widowControl w:val="0"/>
      <w:pBdr>
        <w:bottom w:val="single" w:sz="6" w:space="1" w:color="auto"/>
      </w:pBdr>
      <w:tabs>
        <w:tab w:val="right" w:pos="9072"/>
      </w:tabs>
      <w:autoSpaceDE/>
      <w:autoSpaceDN/>
      <w:jc w:val="right"/>
      <w:rPr>
        <w:sz w:val="16"/>
        <w:szCs w:val="16"/>
        <w:lang w:eastAsia="de-DE"/>
      </w:rPr>
    </w:pPr>
    <w:r>
      <w:rPr>
        <w:sz w:val="16"/>
        <w:szCs w:val="16"/>
        <w:lang w:eastAsia="de-DE"/>
      </w:rPr>
      <w:fldChar w:fldCharType="begin"/>
    </w:r>
    <w:r>
      <w:rPr>
        <w:sz w:val="16"/>
        <w:szCs w:val="16"/>
        <w:lang w:eastAsia="de-DE"/>
      </w:rPr>
      <w:instrText xml:space="preserve"> STYLEREF  ES-Titre3  \* MERGEFORMAT </w:instrText>
    </w:r>
    <w:r>
      <w:rPr>
        <w:sz w:val="16"/>
        <w:szCs w:val="16"/>
        <w:lang w:eastAsia="de-DE"/>
      </w:rPr>
      <w:fldChar w:fldCharType="separate"/>
    </w:r>
    <w:r w:rsidR="00F12BAF">
      <w:rPr>
        <w:noProof/>
        <w:sz w:val="16"/>
        <w:szCs w:val="16"/>
        <w:lang w:eastAsia="de-DE"/>
      </w:rPr>
      <w:t>Section VI</w:t>
    </w:r>
    <w:r>
      <w:rPr>
        <w:sz w:val="16"/>
        <w:szCs w:val="16"/>
        <w:lang w:eastAsia="de-DE"/>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Default="00C60AC1"/>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Default="00C60AC1"/>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2352BD" w:rsidRDefault="00C60AC1" w:rsidP="009C13A9">
    <w:pPr>
      <w:widowControl w:val="0"/>
      <w:pBdr>
        <w:bottom w:val="single" w:sz="6" w:space="1" w:color="auto"/>
      </w:pBdr>
      <w:tabs>
        <w:tab w:val="right" w:pos="14033"/>
      </w:tabs>
      <w:autoSpaceDE/>
      <w:autoSpaceDN/>
      <w:jc w:val="right"/>
      <w:rPr>
        <w:sz w:val="16"/>
        <w:szCs w:val="16"/>
        <w:lang w:val="en-US" w:eastAsia="de-DE"/>
      </w:rPr>
    </w:pPr>
    <w:r w:rsidRPr="002352BD">
      <w:rPr>
        <w:sz w:val="16"/>
        <w:szCs w:val="16"/>
        <w:lang w:val="en-US" w:eastAsia="de-DE"/>
      </w:rPr>
      <w:t xml:space="preserve">ES-TRIN </w:t>
    </w:r>
    <w:r w:rsidRPr="002352BD">
      <w:rPr>
        <w:sz w:val="16"/>
        <w:szCs w:val="16"/>
        <w:lang w:val="en-US" w:eastAsia="de-DE"/>
      </w:rPr>
      <w:tab/>
    </w:r>
    <w:r>
      <w:fldChar w:fldCharType="begin"/>
    </w:r>
    <w:r w:rsidRPr="00101CB2">
      <w:rPr>
        <w:lang w:val="en-US"/>
      </w:rPr>
      <w:instrText xml:space="preserve"> STYLEREF  ES-Titre2  \* MERGEFORMAT </w:instrText>
    </w:r>
    <w:r>
      <w:fldChar w:fldCharType="separate"/>
    </w:r>
    <w:r w:rsidR="00F12BAF" w:rsidRPr="00F12BAF">
      <w:rPr>
        <w:noProof/>
        <w:sz w:val="16"/>
        <w:szCs w:val="16"/>
        <w:lang w:val="en-US" w:eastAsia="de-DE"/>
      </w:rPr>
      <w:t>Annex 7</w:t>
    </w:r>
    <w:r w:rsidR="00F12BAF" w:rsidRPr="00F12BAF">
      <w:rPr>
        <w:noProof/>
        <w:sz w:val="16"/>
        <w:szCs w:val="16"/>
        <w:lang w:val="en-US" w:eastAsia="de-DE"/>
      </w:rPr>
      <w:br/>
      <w:t>On-board sewage treatment plants</w:t>
    </w:r>
    <w:r>
      <w:rPr>
        <w:noProof/>
        <w:sz w:val="16"/>
        <w:szCs w:val="16"/>
        <w:lang w:val="en-US" w:eastAsia="de-DE"/>
      </w:rPr>
      <w:fldChar w:fldCharType="end"/>
    </w:r>
  </w:p>
  <w:p w:rsidR="00C60AC1" w:rsidRDefault="00C60AC1" w:rsidP="009C13A9">
    <w:pPr>
      <w:widowControl w:val="0"/>
      <w:pBdr>
        <w:bottom w:val="single" w:sz="6" w:space="1" w:color="auto"/>
      </w:pBdr>
      <w:tabs>
        <w:tab w:val="right" w:pos="14033"/>
      </w:tabs>
      <w:autoSpaceDE/>
      <w:autoSpaceDN/>
      <w:jc w:val="right"/>
      <w:rPr>
        <w:sz w:val="16"/>
        <w:szCs w:val="16"/>
        <w:lang w:eastAsia="de-DE"/>
      </w:rPr>
    </w:pPr>
    <w:r>
      <w:rPr>
        <w:sz w:val="16"/>
        <w:szCs w:val="16"/>
        <w:lang w:eastAsia="de-DE"/>
      </w:rPr>
      <w:fldChar w:fldCharType="begin"/>
    </w:r>
    <w:r>
      <w:rPr>
        <w:sz w:val="16"/>
        <w:szCs w:val="16"/>
        <w:lang w:eastAsia="de-DE"/>
      </w:rPr>
      <w:instrText xml:space="preserve"> STYLEREF  ES-Titre3  \* MERGEFORMAT </w:instrText>
    </w:r>
    <w:r>
      <w:rPr>
        <w:sz w:val="16"/>
        <w:szCs w:val="16"/>
        <w:lang w:eastAsia="de-DE"/>
      </w:rPr>
      <w:fldChar w:fldCharType="separate"/>
    </w:r>
    <w:r w:rsidR="00F12BAF">
      <w:rPr>
        <w:noProof/>
        <w:sz w:val="16"/>
        <w:szCs w:val="16"/>
        <w:lang w:eastAsia="de-DE"/>
      </w:rPr>
      <w:t>Section VII</w:t>
    </w:r>
    <w:r>
      <w:rPr>
        <w:sz w:val="16"/>
        <w:szCs w:val="16"/>
        <w:lang w:eastAsia="de-DE"/>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Default="00C60AC1"/>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C23950" w:rsidRDefault="00C60AC1" w:rsidP="009C13A9">
    <w:pPr>
      <w:widowControl w:val="0"/>
      <w:pBdr>
        <w:bottom w:val="single" w:sz="6" w:space="1" w:color="auto"/>
      </w:pBdr>
      <w:tabs>
        <w:tab w:val="right" w:pos="9072"/>
      </w:tabs>
      <w:autoSpaceDE/>
      <w:autoSpaceDN/>
      <w:jc w:val="right"/>
      <w:rPr>
        <w:sz w:val="16"/>
        <w:szCs w:val="16"/>
        <w:lang w:val="en-US" w:eastAsia="de-DE"/>
      </w:rPr>
    </w:pPr>
    <w:r w:rsidRPr="00C23950">
      <w:rPr>
        <w:sz w:val="16"/>
        <w:szCs w:val="16"/>
        <w:lang w:val="en-US" w:eastAsia="de-DE"/>
      </w:rPr>
      <w:t xml:space="preserve">ES-TRIN </w:t>
    </w:r>
    <w:r w:rsidRPr="00C23950">
      <w:rPr>
        <w:sz w:val="16"/>
        <w:szCs w:val="16"/>
        <w:lang w:val="en-US" w:eastAsia="de-DE"/>
      </w:rPr>
      <w:tab/>
    </w:r>
    <w:r>
      <w:fldChar w:fldCharType="begin"/>
    </w:r>
    <w:r w:rsidRPr="00101CB2">
      <w:rPr>
        <w:lang w:val="en-US"/>
      </w:rPr>
      <w:instrText xml:space="preserve"> STYLEREF  ES-Titre2  \* MERGEFORMAT </w:instrText>
    </w:r>
    <w:r>
      <w:fldChar w:fldCharType="separate"/>
    </w:r>
    <w:r w:rsidR="00F12BAF" w:rsidRPr="00F12BAF">
      <w:rPr>
        <w:noProof/>
        <w:sz w:val="16"/>
        <w:szCs w:val="16"/>
        <w:lang w:val="en-US" w:eastAsia="de-DE"/>
      </w:rPr>
      <w:t>Annex 7</w:t>
    </w:r>
    <w:r w:rsidR="00F12BAF" w:rsidRPr="00F12BAF">
      <w:rPr>
        <w:noProof/>
        <w:sz w:val="16"/>
        <w:szCs w:val="16"/>
        <w:lang w:val="en-US" w:eastAsia="de-DE"/>
      </w:rPr>
      <w:br/>
      <w:t>On-board sewage treatment plants</w:t>
    </w:r>
    <w:r>
      <w:rPr>
        <w:noProof/>
        <w:sz w:val="16"/>
        <w:szCs w:val="16"/>
        <w:lang w:val="en-US" w:eastAsia="de-DE"/>
      </w:rPr>
      <w:fldChar w:fldCharType="end"/>
    </w:r>
  </w:p>
  <w:p w:rsidR="00C60AC1" w:rsidRDefault="00C60AC1" w:rsidP="009C13A9">
    <w:pPr>
      <w:widowControl w:val="0"/>
      <w:pBdr>
        <w:bottom w:val="single" w:sz="6" w:space="1" w:color="auto"/>
      </w:pBdr>
      <w:tabs>
        <w:tab w:val="right" w:pos="9072"/>
      </w:tabs>
      <w:autoSpaceDE/>
      <w:autoSpaceDN/>
      <w:jc w:val="right"/>
      <w:rPr>
        <w:sz w:val="16"/>
        <w:szCs w:val="16"/>
        <w:lang w:eastAsia="de-DE"/>
      </w:rPr>
    </w:pPr>
    <w:r>
      <w:rPr>
        <w:sz w:val="16"/>
        <w:szCs w:val="16"/>
        <w:lang w:eastAsia="de-DE"/>
      </w:rPr>
      <w:fldChar w:fldCharType="begin"/>
    </w:r>
    <w:r>
      <w:rPr>
        <w:sz w:val="16"/>
        <w:szCs w:val="16"/>
        <w:lang w:eastAsia="de-DE"/>
      </w:rPr>
      <w:instrText xml:space="preserve"> STYLEREF  ES-Titre3  \* MERGEFORMAT </w:instrText>
    </w:r>
    <w:r>
      <w:rPr>
        <w:sz w:val="16"/>
        <w:szCs w:val="16"/>
        <w:lang w:eastAsia="de-DE"/>
      </w:rPr>
      <w:fldChar w:fldCharType="separate"/>
    </w:r>
    <w:r w:rsidR="00F12BAF">
      <w:rPr>
        <w:noProof/>
        <w:sz w:val="16"/>
        <w:szCs w:val="16"/>
        <w:lang w:eastAsia="de-DE"/>
      </w:rPr>
      <w:t>Section VIII</w:t>
    </w:r>
    <w:r>
      <w:rPr>
        <w:sz w:val="16"/>
        <w:szCs w:val="16"/>
        <w:lang w:eastAsia="de-DE"/>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2352BD" w:rsidRDefault="00C60AC1" w:rsidP="009C13A9">
    <w:pPr>
      <w:widowControl w:val="0"/>
      <w:pBdr>
        <w:bottom w:val="single" w:sz="6" w:space="1" w:color="auto"/>
      </w:pBdr>
      <w:tabs>
        <w:tab w:val="right" w:pos="9072"/>
      </w:tabs>
      <w:autoSpaceDE/>
      <w:autoSpaceDN/>
      <w:jc w:val="right"/>
      <w:rPr>
        <w:sz w:val="16"/>
        <w:szCs w:val="16"/>
        <w:lang w:val="en-US" w:eastAsia="de-DE"/>
      </w:rPr>
    </w:pPr>
    <w:r w:rsidRPr="002352BD">
      <w:rPr>
        <w:sz w:val="16"/>
        <w:szCs w:val="16"/>
        <w:lang w:val="en-US" w:eastAsia="de-DE"/>
      </w:rPr>
      <w:t xml:space="preserve">ES-TRIN </w:t>
    </w:r>
    <w:r w:rsidRPr="002352BD">
      <w:rPr>
        <w:sz w:val="16"/>
        <w:szCs w:val="16"/>
        <w:lang w:val="en-US" w:eastAsia="de-DE"/>
      </w:rPr>
      <w:tab/>
    </w:r>
    <w:r>
      <w:fldChar w:fldCharType="begin"/>
    </w:r>
    <w:r w:rsidRPr="00101CB2">
      <w:rPr>
        <w:lang w:val="en-US"/>
      </w:rPr>
      <w:instrText xml:space="preserve"> STYLEREF  ES-Titre2  \* MERGEFORMAT </w:instrText>
    </w:r>
    <w:r>
      <w:fldChar w:fldCharType="separate"/>
    </w:r>
    <w:r w:rsidRPr="001B3D1D">
      <w:rPr>
        <w:noProof/>
        <w:sz w:val="16"/>
        <w:szCs w:val="16"/>
        <w:lang w:val="en-US" w:eastAsia="de-DE"/>
      </w:rPr>
      <w:t>Annex 7</w:t>
    </w:r>
    <w:r w:rsidRPr="001B3D1D">
      <w:rPr>
        <w:noProof/>
        <w:sz w:val="16"/>
        <w:szCs w:val="16"/>
        <w:lang w:val="en-US" w:eastAsia="de-DE"/>
      </w:rPr>
      <w:br/>
      <w:t>On-board sewage treatment plants</w:t>
    </w:r>
    <w:r>
      <w:rPr>
        <w:noProof/>
        <w:sz w:val="16"/>
        <w:szCs w:val="16"/>
        <w:lang w:val="en-US" w:eastAsia="de-DE"/>
      </w:rPr>
      <w:fldChar w:fldCharType="end"/>
    </w:r>
  </w:p>
  <w:p w:rsidR="00C60AC1" w:rsidRDefault="00C60AC1" w:rsidP="009C13A9">
    <w:pPr>
      <w:widowControl w:val="0"/>
      <w:pBdr>
        <w:bottom w:val="single" w:sz="6" w:space="1" w:color="auto"/>
      </w:pBdr>
      <w:tabs>
        <w:tab w:val="right" w:pos="9072"/>
      </w:tabs>
      <w:autoSpaceDE/>
      <w:autoSpaceDN/>
      <w:jc w:val="right"/>
      <w:rPr>
        <w:sz w:val="16"/>
        <w:szCs w:val="16"/>
        <w:lang w:eastAsia="de-DE"/>
      </w:rPr>
    </w:pPr>
    <w:r>
      <w:rPr>
        <w:b/>
        <w:bCs/>
        <w:noProof/>
      </w:rPr>
      <w:fldChar w:fldCharType="begin"/>
    </w:r>
    <w:r>
      <w:rPr>
        <w:b/>
        <w:bCs/>
        <w:noProof/>
      </w:rPr>
      <w:instrText xml:space="preserve"> STYLEREF  "ES-Titre 3"  \* MERGEFORMAT </w:instrText>
    </w:r>
    <w:r>
      <w:rPr>
        <w:b/>
        <w:bCs/>
        <w:noProof/>
      </w:rPr>
      <w:fldChar w:fldCharType="separate"/>
    </w:r>
    <w:r>
      <w:rPr>
        <w:b/>
        <w:bCs/>
        <w:noProof/>
      </w:rPr>
      <w:t>Erreur ! Utilisez l'onglet Accueil pour appliquer ES-Titre 3 au texte que vous souhaitez faire apparaître ici.</w:t>
    </w:r>
    <w:r>
      <w:rPr>
        <w:b/>
        <w:bCs/>
        <w:noProof/>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F46C3C" w:rsidRDefault="00C60AC1" w:rsidP="001E2331">
    <w:pPr>
      <w:widowControl w:val="0"/>
      <w:pBdr>
        <w:bottom w:val="single" w:sz="6" w:space="1" w:color="auto"/>
      </w:pBdr>
      <w:tabs>
        <w:tab w:val="right" w:pos="9072"/>
      </w:tabs>
      <w:autoSpaceDE/>
      <w:autoSpaceDN/>
      <w:ind w:left="0" w:firstLine="0"/>
      <w:jc w:val="right"/>
      <w:rPr>
        <w:sz w:val="16"/>
        <w:szCs w:val="16"/>
        <w:lang w:val="en-US" w:eastAsia="de-DE"/>
      </w:rPr>
    </w:pPr>
    <w:r w:rsidRPr="00395A9E">
      <w:rPr>
        <w:sz w:val="16"/>
        <w:szCs w:val="16"/>
        <w:lang w:val="en-US" w:eastAsia="de-DE"/>
      </w:rPr>
      <w:t xml:space="preserve">ES-TRIN </w:t>
    </w:r>
    <w:r w:rsidRPr="00395A9E">
      <w:rPr>
        <w:sz w:val="16"/>
        <w:szCs w:val="16"/>
        <w:lang w:val="en-US" w:eastAsia="de-DE"/>
      </w:rPr>
      <w:tab/>
    </w:r>
    <w:r w:rsidRPr="00F46C3C">
      <w:rPr>
        <w:sz w:val="16"/>
        <w:szCs w:val="16"/>
      </w:rPr>
      <w:fldChar w:fldCharType="begin"/>
    </w:r>
    <w:r w:rsidRPr="00F46C3C">
      <w:rPr>
        <w:sz w:val="16"/>
        <w:szCs w:val="16"/>
        <w:lang w:val="en-US"/>
      </w:rPr>
      <w:instrText xml:space="preserve"> STYLEREF  ES-Titre2  \* MERGEFORMAT </w:instrText>
    </w:r>
    <w:r w:rsidRPr="00F46C3C">
      <w:rPr>
        <w:sz w:val="16"/>
        <w:szCs w:val="16"/>
      </w:rPr>
      <w:fldChar w:fldCharType="separate"/>
    </w:r>
    <w:r w:rsidR="00F12BAF">
      <w:rPr>
        <w:noProof/>
        <w:sz w:val="16"/>
        <w:szCs w:val="16"/>
        <w:lang w:val="en-US"/>
      </w:rPr>
      <w:t>Annex 8</w:t>
    </w:r>
    <w:r w:rsidR="00F12BAF">
      <w:rPr>
        <w:noProof/>
        <w:sz w:val="16"/>
        <w:szCs w:val="16"/>
        <w:lang w:val="en-US"/>
      </w:rPr>
      <w:br/>
      <w:t>Supplementary provisions applicable to craft operating</w:t>
    </w:r>
    <w:r w:rsidR="00F12BAF">
      <w:rPr>
        <w:noProof/>
        <w:sz w:val="16"/>
        <w:szCs w:val="16"/>
        <w:lang w:val="en-US"/>
      </w:rPr>
      <w:br/>
      <w:t>on fuels with a flashpoint equal to or lower than 55  C</w:t>
    </w:r>
    <w:r w:rsidRPr="00F46C3C">
      <w:rPr>
        <w:noProof/>
        <w:sz w:val="16"/>
        <w:szCs w:val="16"/>
        <w:lang w:val="en-US" w:eastAsia="de-DE"/>
      </w:rPr>
      <w:fldChar w:fldCharType="end"/>
    </w:r>
  </w:p>
  <w:p w:rsidR="00C60AC1" w:rsidRDefault="00C60AC1" w:rsidP="001E2331">
    <w:pPr>
      <w:widowControl w:val="0"/>
      <w:pBdr>
        <w:bottom w:val="single" w:sz="6" w:space="1" w:color="auto"/>
      </w:pBdr>
      <w:tabs>
        <w:tab w:val="right" w:pos="9072"/>
      </w:tabs>
      <w:autoSpaceDE/>
      <w:autoSpaceDN/>
      <w:ind w:left="0" w:firstLine="0"/>
      <w:jc w:val="right"/>
      <w:rPr>
        <w:sz w:val="16"/>
        <w:szCs w:val="16"/>
        <w:lang w:eastAsia="de-DE"/>
      </w:rPr>
    </w:pPr>
    <w:r>
      <w:rPr>
        <w:sz w:val="16"/>
        <w:szCs w:val="16"/>
        <w:lang w:eastAsia="de-DE"/>
      </w:rPr>
      <w:fldChar w:fldCharType="begin"/>
    </w:r>
    <w:r>
      <w:rPr>
        <w:sz w:val="16"/>
        <w:szCs w:val="16"/>
        <w:lang w:eastAsia="de-DE"/>
      </w:rPr>
      <w:instrText xml:space="preserve"> STYLEREF  ES-Titre3  \* MERGEFORMAT </w:instrText>
    </w:r>
    <w:r>
      <w:rPr>
        <w:sz w:val="16"/>
        <w:szCs w:val="16"/>
        <w:lang w:eastAsia="de-DE"/>
      </w:rPr>
      <w:fldChar w:fldCharType="separate"/>
    </w:r>
    <w:r w:rsidR="00F12BAF">
      <w:rPr>
        <w:noProof/>
        <w:sz w:val="16"/>
        <w:szCs w:val="16"/>
        <w:lang w:eastAsia="de-DE"/>
      </w:rPr>
      <w:t>Section I</w:t>
    </w:r>
    <w:r>
      <w:rPr>
        <w:sz w:val="16"/>
        <w:szCs w:val="16"/>
        <w:lang w:eastAsia="de-D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CA2865" w:rsidRDefault="00C60AC1" w:rsidP="004B2505">
    <w:pPr>
      <w:widowControl w:val="0"/>
      <w:pBdr>
        <w:bottom w:val="single" w:sz="4" w:space="1" w:color="auto"/>
      </w:pBdr>
      <w:tabs>
        <w:tab w:val="right" w:pos="9072"/>
      </w:tabs>
      <w:autoSpaceDE/>
      <w:autoSpaceDN/>
      <w:ind w:left="0" w:firstLine="0"/>
      <w:jc w:val="right"/>
      <w:rPr>
        <w:sz w:val="16"/>
        <w:szCs w:val="16"/>
        <w:lang w:eastAsia="de-DE"/>
      </w:rPr>
    </w:pPr>
    <w:r w:rsidRPr="00436930">
      <w:rPr>
        <w:sz w:val="16"/>
        <w:szCs w:val="16"/>
        <w:lang w:eastAsia="de-DE"/>
      </w:rPr>
      <w:t>ES-TRIN</w:t>
    </w:r>
    <w:r w:rsidRPr="00436930">
      <w:tab/>
    </w:r>
    <w:r>
      <w:rPr>
        <w:noProof/>
        <w:sz w:val="16"/>
        <w:szCs w:val="16"/>
      </w:rPr>
      <w:fldChar w:fldCharType="begin"/>
    </w:r>
    <w:r>
      <w:rPr>
        <w:noProof/>
        <w:sz w:val="16"/>
        <w:szCs w:val="16"/>
      </w:rPr>
      <w:instrText xml:space="preserve"> STYLEREF  ES-Titre2  \* MERGEFORMAT </w:instrText>
    </w:r>
    <w:r>
      <w:rPr>
        <w:noProof/>
        <w:sz w:val="16"/>
        <w:szCs w:val="16"/>
      </w:rPr>
      <w:fldChar w:fldCharType="separate"/>
    </w:r>
    <w:r w:rsidR="00F12BAF">
      <w:rPr>
        <w:noProof/>
        <w:sz w:val="16"/>
        <w:szCs w:val="16"/>
      </w:rPr>
      <w:t>Chapter 2</w:t>
    </w:r>
    <w:r w:rsidR="00F12BAF">
      <w:rPr>
        <w:noProof/>
        <w:sz w:val="16"/>
        <w:szCs w:val="16"/>
      </w:rPr>
      <w:br/>
      <w:t>Procedure</w:t>
    </w:r>
    <w:r>
      <w:rPr>
        <w:noProof/>
        <w:sz w:val="16"/>
        <w:szCs w:val="16"/>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395A9E" w:rsidRDefault="00C60AC1" w:rsidP="001E2331">
    <w:pPr>
      <w:widowControl w:val="0"/>
      <w:pBdr>
        <w:bottom w:val="single" w:sz="6" w:space="1" w:color="auto"/>
      </w:pBdr>
      <w:tabs>
        <w:tab w:val="right" w:pos="9072"/>
      </w:tabs>
      <w:autoSpaceDE/>
      <w:autoSpaceDN/>
      <w:ind w:left="0" w:firstLine="0"/>
      <w:jc w:val="right"/>
      <w:rPr>
        <w:sz w:val="16"/>
        <w:szCs w:val="16"/>
        <w:lang w:val="en-US" w:eastAsia="de-DE"/>
      </w:rPr>
    </w:pPr>
    <w:r w:rsidRPr="00395A9E">
      <w:rPr>
        <w:sz w:val="16"/>
        <w:szCs w:val="16"/>
        <w:lang w:val="en-US" w:eastAsia="de-DE"/>
      </w:rPr>
      <w:t xml:space="preserve">ES-TRIN </w:t>
    </w:r>
    <w:r w:rsidRPr="00395A9E">
      <w:rPr>
        <w:sz w:val="16"/>
        <w:szCs w:val="16"/>
        <w:lang w:val="en-US" w:eastAsia="de-DE"/>
      </w:rPr>
      <w:tab/>
    </w:r>
    <w:r>
      <w:fldChar w:fldCharType="begin"/>
    </w:r>
    <w:r w:rsidRPr="00101CB2">
      <w:rPr>
        <w:lang w:val="en-US"/>
      </w:rPr>
      <w:instrText xml:space="preserve"> STYLEREF  ES-Titre2  \* MERGEFORMAT </w:instrText>
    </w:r>
    <w:r>
      <w:fldChar w:fldCharType="separate"/>
    </w:r>
    <w:r w:rsidR="00F12BAF" w:rsidRPr="00F12BAF">
      <w:rPr>
        <w:noProof/>
        <w:sz w:val="16"/>
        <w:szCs w:val="16"/>
        <w:lang w:val="en-US" w:eastAsia="de-DE"/>
      </w:rPr>
      <w:t>Annex 7</w:t>
    </w:r>
    <w:r w:rsidR="00F12BAF" w:rsidRPr="00F12BAF">
      <w:rPr>
        <w:noProof/>
        <w:sz w:val="16"/>
        <w:szCs w:val="16"/>
        <w:lang w:val="en-US" w:eastAsia="de-DE"/>
      </w:rPr>
      <w:br/>
      <w:t>On-board sewage treatment plants</w:t>
    </w:r>
    <w:r>
      <w:rPr>
        <w:noProof/>
        <w:sz w:val="16"/>
        <w:szCs w:val="16"/>
        <w:lang w:val="en-US" w:eastAsia="de-DE"/>
      </w:rPr>
      <w:fldChar w:fldCharType="end"/>
    </w:r>
  </w:p>
  <w:p w:rsidR="00C60AC1" w:rsidRDefault="00C60AC1" w:rsidP="001E2331">
    <w:pPr>
      <w:widowControl w:val="0"/>
      <w:pBdr>
        <w:bottom w:val="single" w:sz="6" w:space="1" w:color="auto"/>
      </w:pBdr>
      <w:tabs>
        <w:tab w:val="right" w:pos="9072"/>
      </w:tabs>
      <w:autoSpaceDE/>
      <w:autoSpaceDN/>
      <w:ind w:left="0" w:firstLine="0"/>
      <w:jc w:val="right"/>
      <w:rPr>
        <w:sz w:val="16"/>
        <w:szCs w:val="16"/>
        <w:lang w:eastAsia="de-DE"/>
      </w:rPr>
    </w:pPr>
    <w:r>
      <w:rPr>
        <w:sz w:val="16"/>
        <w:szCs w:val="16"/>
        <w:lang w:eastAsia="de-DE"/>
      </w:rPr>
      <w:fldChar w:fldCharType="begin"/>
    </w:r>
    <w:r>
      <w:rPr>
        <w:sz w:val="16"/>
        <w:szCs w:val="16"/>
        <w:lang w:eastAsia="de-DE"/>
      </w:rPr>
      <w:instrText xml:space="preserve"> STYLEREF  ES-Titre3  \* MERGEFORMAT </w:instrText>
    </w:r>
    <w:r>
      <w:rPr>
        <w:sz w:val="16"/>
        <w:szCs w:val="16"/>
        <w:lang w:eastAsia="de-DE"/>
      </w:rPr>
      <w:fldChar w:fldCharType="separate"/>
    </w:r>
    <w:r w:rsidR="00F12BAF">
      <w:rPr>
        <w:noProof/>
        <w:sz w:val="16"/>
        <w:szCs w:val="16"/>
        <w:lang w:eastAsia="de-DE"/>
      </w:rPr>
      <w:t>Section IX</w:t>
    </w:r>
    <w:r>
      <w:rPr>
        <w:sz w:val="16"/>
        <w:szCs w:val="16"/>
        <w:lang w:eastAsia="de-DE"/>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F46C3C" w:rsidRDefault="00C60AC1" w:rsidP="001E2331">
    <w:pPr>
      <w:widowControl w:val="0"/>
      <w:pBdr>
        <w:bottom w:val="single" w:sz="6" w:space="1" w:color="auto"/>
      </w:pBdr>
      <w:tabs>
        <w:tab w:val="right" w:pos="9072"/>
      </w:tabs>
      <w:autoSpaceDE/>
      <w:autoSpaceDN/>
      <w:ind w:left="0" w:firstLine="0"/>
      <w:jc w:val="right"/>
      <w:rPr>
        <w:sz w:val="16"/>
        <w:szCs w:val="16"/>
        <w:lang w:val="en-US" w:eastAsia="de-DE"/>
      </w:rPr>
    </w:pPr>
    <w:r w:rsidRPr="0072529F">
      <w:rPr>
        <w:sz w:val="16"/>
        <w:szCs w:val="16"/>
        <w:lang w:val="en-US" w:eastAsia="de-DE"/>
      </w:rPr>
      <w:t xml:space="preserve">ES-TRIN </w:t>
    </w:r>
    <w:r w:rsidRPr="0072529F">
      <w:rPr>
        <w:sz w:val="16"/>
        <w:szCs w:val="16"/>
        <w:lang w:val="en-US" w:eastAsia="de-DE"/>
      </w:rPr>
      <w:tab/>
    </w:r>
    <w:r w:rsidRPr="00F46C3C">
      <w:rPr>
        <w:sz w:val="16"/>
        <w:szCs w:val="16"/>
      </w:rPr>
      <w:fldChar w:fldCharType="begin"/>
    </w:r>
    <w:r w:rsidRPr="00F46C3C">
      <w:rPr>
        <w:sz w:val="16"/>
        <w:szCs w:val="16"/>
        <w:lang w:val="en-US"/>
      </w:rPr>
      <w:instrText xml:space="preserve"> STYLEREF  ES-Titre2  \* MERGEFORMAT </w:instrText>
    </w:r>
    <w:r w:rsidRPr="00F46C3C">
      <w:rPr>
        <w:sz w:val="16"/>
        <w:szCs w:val="16"/>
      </w:rPr>
      <w:fldChar w:fldCharType="separate"/>
    </w:r>
    <w:r w:rsidR="00F12BAF">
      <w:rPr>
        <w:noProof/>
        <w:sz w:val="16"/>
        <w:szCs w:val="16"/>
        <w:lang w:val="en-US"/>
      </w:rPr>
      <w:t>Annex 8</w:t>
    </w:r>
    <w:r w:rsidR="00F12BAF">
      <w:rPr>
        <w:noProof/>
        <w:sz w:val="16"/>
        <w:szCs w:val="16"/>
        <w:lang w:val="en-US"/>
      </w:rPr>
      <w:br/>
      <w:t>Supplementary provisions applicable to craft operating</w:t>
    </w:r>
    <w:r w:rsidR="00F12BAF">
      <w:rPr>
        <w:noProof/>
        <w:sz w:val="16"/>
        <w:szCs w:val="16"/>
        <w:lang w:val="en-US"/>
      </w:rPr>
      <w:br/>
      <w:t>on fuels with a flashpoint equal to or lower than 55  C</w:t>
    </w:r>
    <w:r w:rsidRPr="00F46C3C">
      <w:rPr>
        <w:noProof/>
        <w:sz w:val="16"/>
        <w:szCs w:val="16"/>
        <w:lang w:val="en-US" w:eastAsia="de-DE"/>
      </w:rPr>
      <w:fldChar w:fldCharType="end"/>
    </w:r>
    <w:r>
      <w:rPr>
        <w:noProof/>
        <w:sz w:val="16"/>
        <w:szCs w:val="16"/>
        <w:lang w:val="en-US" w:eastAsia="de-DE"/>
      </w:rPr>
      <w:t xml:space="preserve"> - </w:t>
    </w:r>
    <w:r>
      <w:rPr>
        <w:noProof/>
        <w:sz w:val="16"/>
        <w:szCs w:val="16"/>
        <w:lang w:val="en-US" w:eastAsia="de-DE"/>
      </w:rPr>
      <w:fldChar w:fldCharType="begin"/>
    </w:r>
    <w:r>
      <w:rPr>
        <w:noProof/>
        <w:sz w:val="16"/>
        <w:szCs w:val="16"/>
        <w:lang w:val="en-US" w:eastAsia="de-DE"/>
      </w:rPr>
      <w:instrText xml:space="preserve"> STYLEREF  ES-Titre3  \* MERGEFORMAT </w:instrText>
    </w:r>
    <w:r>
      <w:rPr>
        <w:noProof/>
        <w:sz w:val="16"/>
        <w:szCs w:val="16"/>
        <w:lang w:val="en-US" w:eastAsia="de-DE"/>
      </w:rPr>
      <w:fldChar w:fldCharType="separate"/>
    </w:r>
    <w:r w:rsidR="00F12BAF">
      <w:rPr>
        <w:noProof/>
        <w:sz w:val="16"/>
        <w:szCs w:val="16"/>
        <w:lang w:val="en-US" w:eastAsia="de-DE"/>
      </w:rPr>
      <w:t>Section I</w:t>
    </w:r>
    <w:r>
      <w:rPr>
        <w:noProof/>
        <w:sz w:val="16"/>
        <w:szCs w:val="16"/>
        <w:lang w:val="en-US" w:eastAsia="de-DE"/>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767CBB" w:rsidRDefault="00C60AC1" w:rsidP="00D45887">
    <w:pPr>
      <w:widowControl w:val="0"/>
      <w:pBdr>
        <w:bottom w:val="single" w:sz="6" w:space="1" w:color="auto"/>
      </w:pBdr>
      <w:tabs>
        <w:tab w:val="right" w:pos="9072"/>
      </w:tabs>
      <w:autoSpaceDE/>
      <w:autoSpaceDN/>
      <w:ind w:left="0" w:firstLine="0"/>
      <w:jc w:val="right"/>
      <w:rPr>
        <w:sz w:val="16"/>
        <w:szCs w:val="16"/>
        <w:lang w:val="en-US" w:eastAsia="de-DE"/>
      </w:rPr>
    </w:pPr>
    <w:r w:rsidRPr="00767CBB">
      <w:rPr>
        <w:sz w:val="16"/>
        <w:szCs w:val="16"/>
        <w:lang w:val="en-US" w:eastAsia="de-DE"/>
      </w:rPr>
      <w:t xml:space="preserve">ES-TRIN </w:t>
    </w:r>
    <w:r w:rsidRPr="00767CBB">
      <w:rPr>
        <w:sz w:val="16"/>
        <w:szCs w:val="16"/>
        <w:lang w:val="en-US" w:eastAsia="de-DE"/>
      </w:rPr>
      <w:tab/>
    </w:r>
    <w:r>
      <w:rPr>
        <w:sz w:val="16"/>
        <w:szCs w:val="16"/>
        <w:lang w:eastAsia="de-DE"/>
      </w:rPr>
      <w:fldChar w:fldCharType="begin"/>
    </w:r>
    <w:r w:rsidRPr="00767CBB">
      <w:rPr>
        <w:sz w:val="16"/>
        <w:szCs w:val="16"/>
        <w:lang w:val="en-US" w:eastAsia="de-DE"/>
      </w:rPr>
      <w:instrText xml:space="preserve"> STYLEREF  Es-Titre_annexes  \* MERGEFORMAT </w:instrText>
    </w:r>
    <w:r>
      <w:rPr>
        <w:sz w:val="16"/>
        <w:szCs w:val="16"/>
        <w:lang w:eastAsia="de-DE"/>
      </w:rPr>
      <w:fldChar w:fldCharType="separate"/>
    </w:r>
    <w:r w:rsidR="00F12BAF">
      <w:rPr>
        <w:noProof/>
        <w:sz w:val="16"/>
        <w:szCs w:val="16"/>
        <w:lang w:val="en-US" w:eastAsia="de-DE"/>
      </w:rPr>
      <w:t>Instructions for the application of the technical Standard</w:t>
    </w:r>
    <w:r>
      <w:rPr>
        <w:sz w:val="16"/>
        <w:szCs w:val="16"/>
        <w:lang w:eastAsia="de-DE"/>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767CBB" w:rsidRDefault="00C60AC1" w:rsidP="00D45887">
    <w:pPr>
      <w:widowControl w:val="0"/>
      <w:pBdr>
        <w:bottom w:val="single" w:sz="6" w:space="1" w:color="auto"/>
      </w:pBdr>
      <w:tabs>
        <w:tab w:val="right" w:pos="9072"/>
      </w:tabs>
      <w:autoSpaceDE/>
      <w:autoSpaceDN/>
      <w:ind w:left="0" w:firstLine="0"/>
      <w:jc w:val="right"/>
      <w:rPr>
        <w:sz w:val="16"/>
        <w:szCs w:val="16"/>
        <w:lang w:val="en-US" w:eastAsia="de-DE"/>
      </w:rPr>
    </w:pPr>
    <w:r w:rsidRPr="00767CBB">
      <w:rPr>
        <w:sz w:val="16"/>
        <w:szCs w:val="16"/>
        <w:lang w:val="en-US" w:eastAsia="de-DE"/>
      </w:rPr>
      <w:t xml:space="preserve">ES-TRIN </w:t>
    </w:r>
    <w:r w:rsidRPr="00767CBB">
      <w:rPr>
        <w:sz w:val="16"/>
        <w:szCs w:val="16"/>
        <w:lang w:val="en-US" w:eastAsia="de-DE"/>
      </w:rPr>
      <w:tab/>
    </w:r>
    <w:r>
      <w:rPr>
        <w:sz w:val="16"/>
        <w:szCs w:val="16"/>
        <w:lang w:eastAsia="de-DE"/>
      </w:rPr>
      <w:fldChar w:fldCharType="begin"/>
    </w:r>
    <w:r w:rsidRPr="00767CBB">
      <w:rPr>
        <w:sz w:val="16"/>
        <w:szCs w:val="16"/>
        <w:lang w:val="en-US" w:eastAsia="de-DE"/>
      </w:rPr>
      <w:instrText xml:space="preserve"> STYLEREF  Es-Titre_annexes  \* MERGEFORMAT </w:instrText>
    </w:r>
    <w:r>
      <w:rPr>
        <w:sz w:val="16"/>
        <w:szCs w:val="16"/>
        <w:lang w:eastAsia="de-DE"/>
      </w:rPr>
      <w:fldChar w:fldCharType="separate"/>
    </w:r>
    <w:r w:rsidR="00F12BAF">
      <w:rPr>
        <w:noProof/>
        <w:sz w:val="16"/>
        <w:szCs w:val="16"/>
        <w:lang w:val="en-US" w:eastAsia="de-DE"/>
      </w:rPr>
      <w:t>Instructions for the application of the technical Standard</w:t>
    </w:r>
    <w:r>
      <w:rPr>
        <w:sz w:val="16"/>
        <w:szCs w:val="16"/>
        <w:lang w:eastAsia="de-DE"/>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5B46C9" w:rsidRDefault="00C60AC1" w:rsidP="00D45887">
    <w:pPr>
      <w:widowControl w:val="0"/>
      <w:pBdr>
        <w:bottom w:val="single" w:sz="6" w:space="1" w:color="auto"/>
      </w:pBdr>
      <w:tabs>
        <w:tab w:val="right" w:pos="9072"/>
      </w:tabs>
      <w:autoSpaceDE/>
      <w:autoSpaceDN/>
      <w:jc w:val="right"/>
      <w:rPr>
        <w:sz w:val="16"/>
        <w:szCs w:val="16"/>
        <w:lang w:val="en-US" w:eastAsia="de-DE"/>
      </w:rPr>
    </w:pPr>
    <w:r w:rsidRPr="009025E1">
      <w:rPr>
        <w:sz w:val="16"/>
        <w:szCs w:val="16"/>
        <w:lang w:val="en-US" w:eastAsia="de-DE"/>
      </w:rPr>
      <w:t xml:space="preserve">ES-TRIN </w:t>
    </w:r>
    <w:r w:rsidRPr="009025E1">
      <w:rPr>
        <w:sz w:val="16"/>
        <w:szCs w:val="16"/>
        <w:lang w:val="en-US" w:eastAsia="de-DE"/>
      </w:rPr>
      <w:tab/>
    </w:r>
    <w:r w:rsidRPr="00A84512">
      <w:rPr>
        <w:sz w:val="16"/>
        <w:szCs w:val="16"/>
        <w:lang w:eastAsia="de-DE"/>
      </w:rPr>
      <w:fldChar w:fldCharType="begin"/>
    </w:r>
    <w:r w:rsidRPr="00A84512">
      <w:rPr>
        <w:sz w:val="16"/>
        <w:szCs w:val="16"/>
        <w:lang w:val="en-GB" w:eastAsia="de-DE"/>
      </w:rPr>
      <w:instrText xml:space="preserve"> STYLEREF  ES-Titre2_ESI  \* MERGEFORMAT </w:instrText>
    </w:r>
    <w:r w:rsidRPr="00A84512">
      <w:rPr>
        <w:sz w:val="16"/>
        <w:szCs w:val="16"/>
        <w:lang w:eastAsia="de-DE"/>
      </w:rPr>
      <w:fldChar w:fldCharType="separate"/>
    </w:r>
    <w:r w:rsidR="00F12BAF" w:rsidRPr="00F12BAF">
      <w:rPr>
        <w:bCs/>
        <w:noProof/>
        <w:sz w:val="16"/>
        <w:szCs w:val="16"/>
        <w:lang w:val="en-US" w:eastAsia="de-DE"/>
      </w:rPr>
      <w:t>ESI-II-3</w:t>
    </w:r>
    <w:r w:rsidR="00F12BAF" w:rsidRPr="00F12BAF">
      <w:rPr>
        <w:bCs/>
        <w:noProof/>
        <w:sz w:val="16"/>
        <w:szCs w:val="16"/>
        <w:lang w:val="en-US" w:eastAsia="de-DE"/>
      </w:rPr>
      <w:br/>
      <w:t>Minimum prescribed forward speed</w:t>
    </w:r>
    <w:r w:rsidR="00F12BAF">
      <w:rPr>
        <w:noProof/>
        <w:sz w:val="16"/>
        <w:szCs w:val="16"/>
        <w:lang w:val="en-GB" w:eastAsia="de-DE"/>
      </w:rPr>
      <w:t>, stopping capacity and capacity for going astern</w:t>
    </w:r>
    <w:r w:rsidRPr="00A84512">
      <w:rPr>
        <w:sz w:val="16"/>
        <w:szCs w:val="16"/>
        <w:lang w:eastAsia="de-DE"/>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A84512" w:rsidRDefault="00C60AC1" w:rsidP="00D45887">
    <w:pPr>
      <w:widowControl w:val="0"/>
      <w:pBdr>
        <w:bottom w:val="single" w:sz="6" w:space="1" w:color="auto"/>
      </w:pBdr>
      <w:tabs>
        <w:tab w:val="right" w:pos="9072"/>
      </w:tabs>
      <w:autoSpaceDE/>
      <w:autoSpaceDN/>
      <w:jc w:val="right"/>
      <w:rPr>
        <w:sz w:val="16"/>
        <w:szCs w:val="16"/>
        <w:lang w:val="en-US" w:eastAsia="de-DE"/>
      </w:rPr>
    </w:pPr>
    <w:r w:rsidRPr="009025E1">
      <w:rPr>
        <w:sz w:val="16"/>
        <w:szCs w:val="16"/>
        <w:lang w:val="en-US" w:eastAsia="de-DE"/>
      </w:rPr>
      <w:t xml:space="preserve">ES-TRIN </w:t>
    </w:r>
    <w:r w:rsidRPr="009025E1">
      <w:rPr>
        <w:sz w:val="16"/>
        <w:szCs w:val="16"/>
        <w:lang w:val="en-US" w:eastAsia="de-DE"/>
      </w:rPr>
      <w:tab/>
    </w:r>
    <w:r w:rsidRPr="00A84512">
      <w:rPr>
        <w:sz w:val="16"/>
        <w:szCs w:val="16"/>
        <w:lang w:eastAsia="de-DE"/>
      </w:rPr>
      <w:fldChar w:fldCharType="begin"/>
    </w:r>
    <w:r w:rsidRPr="00A84512">
      <w:rPr>
        <w:sz w:val="16"/>
        <w:szCs w:val="16"/>
        <w:lang w:val="en-GB" w:eastAsia="de-DE"/>
      </w:rPr>
      <w:instrText xml:space="preserve"> STYLEREF  ES-Titre2_ESI  \* MERGEFORMAT </w:instrText>
    </w:r>
    <w:r w:rsidRPr="00A84512">
      <w:rPr>
        <w:sz w:val="16"/>
        <w:szCs w:val="16"/>
        <w:lang w:eastAsia="de-DE"/>
      </w:rPr>
      <w:fldChar w:fldCharType="separate"/>
    </w:r>
    <w:r w:rsidR="00F12BAF" w:rsidRPr="00F12BAF">
      <w:rPr>
        <w:bCs/>
        <w:noProof/>
        <w:sz w:val="16"/>
        <w:szCs w:val="16"/>
        <w:lang w:val="en-US" w:eastAsia="de-DE"/>
      </w:rPr>
      <w:t>ESI-II-3</w:t>
    </w:r>
    <w:r w:rsidR="00F12BAF" w:rsidRPr="00F12BAF">
      <w:rPr>
        <w:bCs/>
        <w:noProof/>
        <w:sz w:val="16"/>
        <w:szCs w:val="16"/>
        <w:lang w:val="en-US" w:eastAsia="de-DE"/>
      </w:rPr>
      <w:br/>
      <w:t>Minimum prescribed forward speed</w:t>
    </w:r>
    <w:r w:rsidR="00F12BAF">
      <w:rPr>
        <w:noProof/>
        <w:sz w:val="16"/>
        <w:szCs w:val="16"/>
        <w:lang w:val="en-GB" w:eastAsia="de-DE"/>
      </w:rPr>
      <w:t>, stopping capacity and capacity for going astern</w:t>
    </w:r>
    <w:r w:rsidRPr="00A84512">
      <w:rPr>
        <w:sz w:val="16"/>
        <w:szCs w:val="16"/>
        <w:lang w:eastAsia="de-DE"/>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5B46C9" w:rsidRDefault="00C60AC1" w:rsidP="00D45887">
    <w:pPr>
      <w:widowControl w:val="0"/>
      <w:pBdr>
        <w:bottom w:val="single" w:sz="6" w:space="1" w:color="auto"/>
      </w:pBdr>
      <w:tabs>
        <w:tab w:val="right" w:pos="9072"/>
      </w:tabs>
      <w:autoSpaceDE/>
      <w:autoSpaceDN/>
      <w:jc w:val="right"/>
      <w:rPr>
        <w:sz w:val="16"/>
        <w:szCs w:val="16"/>
        <w:lang w:val="en-US" w:eastAsia="de-DE"/>
      </w:rPr>
    </w:pPr>
    <w:r w:rsidRPr="005B46C9">
      <w:rPr>
        <w:sz w:val="16"/>
        <w:szCs w:val="16"/>
        <w:lang w:val="en-US" w:eastAsia="de-DE"/>
      </w:rPr>
      <w:t xml:space="preserve">ES-TRIN </w:t>
    </w:r>
    <w:r w:rsidRPr="005B46C9">
      <w:rPr>
        <w:sz w:val="16"/>
        <w:szCs w:val="16"/>
        <w:lang w:val="en-US" w:eastAsia="de-DE"/>
      </w:rPr>
      <w:tab/>
    </w:r>
    <w:r>
      <w:rPr>
        <w:sz w:val="16"/>
        <w:szCs w:val="16"/>
        <w:lang w:eastAsia="de-DE"/>
      </w:rPr>
      <w:fldChar w:fldCharType="begin"/>
    </w:r>
    <w:r w:rsidRPr="005B46C9">
      <w:rPr>
        <w:sz w:val="16"/>
        <w:szCs w:val="16"/>
        <w:lang w:val="en-US" w:eastAsia="de-DE"/>
      </w:rPr>
      <w:instrText xml:space="preserve"> STYLEREF  ES-Titre2_ESI  \* MERGEFORMAT </w:instrText>
    </w:r>
    <w:r>
      <w:rPr>
        <w:sz w:val="16"/>
        <w:szCs w:val="16"/>
        <w:lang w:eastAsia="de-DE"/>
      </w:rPr>
      <w:fldChar w:fldCharType="separate"/>
    </w:r>
    <w:r w:rsidR="00F12BAF" w:rsidRPr="00F12BAF">
      <w:rPr>
        <w:bCs/>
        <w:noProof/>
        <w:sz w:val="16"/>
        <w:szCs w:val="16"/>
        <w:lang w:val="en-US" w:eastAsia="de-DE"/>
      </w:rPr>
      <w:t>ESI-II-3</w:t>
    </w:r>
    <w:r w:rsidR="00F12BAF" w:rsidRPr="00F12BAF">
      <w:rPr>
        <w:bCs/>
        <w:noProof/>
        <w:sz w:val="16"/>
        <w:szCs w:val="16"/>
        <w:lang w:val="en-US" w:eastAsia="de-DE"/>
      </w:rPr>
      <w:br/>
      <w:t>Minimum prescribed forward speed,</w:t>
    </w:r>
    <w:r w:rsidR="00F12BAF" w:rsidRPr="00F12BAF">
      <w:rPr>
        <w:b/>
        <w:bCs/>
        <w:noProof/>
        <w:sz w:val="16"/>
        <w:szCs w:val="16"/>
        <w:lang w:val="en-US" w:eastAsia="de-DE"/>
      </w:rPr>
      <w:t xml:space="preserve"> </w:t>
    </w:r>
    <w:r w:rsidR="00F12BAF">
      <w:rPr>
        <w:noProof/>
        <w:sz w:val="16"/>
        <w:szCs w:val="16"/>
        <w:lang w:val="en-US" w:eastAsia="de-DE"/>
      </w:rPr>
      <w:t>stopping capacity and capacity for going astern</w:t>
    </w:r>
    <w:r>
      <w:rPr>
        <w:sz w:val="16"/>
        <w:szCs w:val="16"/>
        <w:lang w:eastAsia="de-DE"/>
      </w:rPr>
      <w:fldChar w:fldCharType="end"/>
    </w:r>
    <w:r w:rsidRPr="005B46C9">
      <w:rPr>
        <w:sz w:val="16"/>
        <w:szCs w:val="16"/>
        <w:lang w:val="en-US" w:eastAsia="de-DE"/>
      </w:rPr>
      <w:t xml:space="preserve"> </w:t>
    </w:r>
    <w:r>
      <w:rPr>
        <w:sz w:val="16"/>
        <w:szCs w:val="16"/>
        <w:lang w:val="en-US" w:eastAsia="de-DE"/>
      </w:rPr>
      <w:t>-</w:t>
    </w:r>
  </w:p>
  <w:p w:rsidR="00C60AC1" w:rsidRPr="004F47BB" w:rsidRDefault="00C60AC1" w:rsidP="00D45887">
    <w:pPr>
      <w:widowControl w:val="0"/>
      <w:pBdr>
        <w:bottom w:val="single" w:sz="6" w:space="1" w:color="auto"/>
      </w:pBdr>
      <w:tabs>
        <w:tab w:val="right" w:pos="9072"/>
      </w:tabs>
      <w:autoSpaceDE/>
      <w:autoSpaceDN/>
      <w:jc w:val="right"/>
      <w:rPr>
        <w:sz w:val="16"/>
        <w:szCs w:val="16"/>
        <w:lang w:eastAsia="de-DE"/>
      </w:rPr>
    </w:pPr>
    <w:r>
      <w:rPr>
        <w:sz w:val="16"/>
        <w:szCs w:val="16"/>
        <w:lang w:eastAsia="de-DE"/>
      </w:rPr>
      <w:fldChar w:fldCharType="begin"/>
    </w:r>
    <w:r>
      <w:rPr>
        <w:sz w:val="16"/>
        <w:szCs w:val="16"/>
        <w:lang w:eastAsia="de-DE"/>
      </w:rPr>
      <w:instrText xml:space="preserve"> STYLEREF  ES-Titre4  \* MERGEFORMAT </w:instrText>
    </w:r>
    <w:r>
      <w:rPr>
        <w:sz w:val="16"/>
        <w:szCs w:val="16"/>
        <w:lang w:eastAsia="de-DE"/>
      </w:rPr>
      <w:fldChar w:fldCharType="separate"/>
    </w:r>
    <w:r w:rsidR="00F12BAF">
      <w:rPr>
        <w:noProof/>
        <w:sz w:val="16"/>
        <w:szCs w:val="16"/>
        <w:lang w:eastAsia="de-DE"/>
      </w:rPr>
      <w:t>Annex 1 to instruction ESI-II-3</w:t>
    </w:r>
    <w:r>
      <w:rPr>
        <w:sz w:val="16"/>
        <w:szCs w:val="16"/>
        <w:lang w:eastAsia="de-DE"/>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5B46C9" w:rsidRDefault="00C60AC1" w:rsidP="00D45887">
    <w:pPr>
      <w:widowControl w:val="0"/>
      <w:pBdr>
        <w:bottom w:val="single" w:sz="6" w:space="1" w:color="auto"/>
      </w:pBdr>
      <w:tabs>
        <w:tab w:val="right" w:pos="9072"/>
      </w:tabs>
      <w:autoSpaceDE/>
      <w:autoSpaceDN/>
      <w:jc w:val="right"/>
      <w:rPr>
        <w:sz w:val="16"/>
        <w:szCs w:val="16"/>
        <w:lang w:val="en-US" w:eastAsia="de-DE"/>
      </w:rPr>
    </w:pPr>
    <w:r w:rsidRPr="005B46C9">
      <w:rPr>
        <w:sz w:val="16"/>
        <w:szCs w:val="16"/>
        <w:lang w:val="en-US" w:eastAsia="de-DE"/>
      </w:rPr>
      <w:t xml:space="preserve">ES-TRIN </w:t>
    </w:r>
    <w:r w:rsidRPr="005B46C9">
      <w:rPr>
        <w:sz w:val="16"/>
        <w:szCs w:val="16"/>
        <w:lang w:val="en-US" w:eastAsia="de-DE"/>
      </w:rPr>
      <w:tab/>
    </w:r>
    <w:r>
      <w:rPr>
        <w:sz w:val="16"/>
        <w:szCs w:val="16"/>
        <w:lang w:val="en-US" w:eastAsia="de-DE"/>
      </w:rPr>
      <w:fldChar w:fldCharType="begin"/>
    </w:r>
    <w:r w:rsidRPr="005B46C9">
      <w:rPr>
        <w:sz w:val="16"/>
        <w:szCs w:val="16"/>
        <w:lang w:val="en-US" w:eastAsia="de-DE"/>
      </w:rPr>
      <w:instrText xml:space="preserve"> STYLEREF  ES-Titre2_ESI  \* MERGEFORMAT </w:instrText>
    </w:r>
    <w:r>
      <w:rPr>
        <w:sz w:val="16"/>
        <w:szCs w:val="16"/>
        <w:lang w:val="en-US" w:eastAsia="de-DE"/>
      </w:rPr>
      <w:fldChar w:fldCharType="separate"/>
    </w:r>
    <w:r w:rsidR="00F12BAF" w:rsidRPr="00F12BAF">
      <w:rPr>
        <w:bCs/>
        <w:noProof/>
        <w:sz w:val="16"/>
        <w:szCs w:val="16"/>
        <w:lang w:val="en-US" w:eastAsia="de-DE"/>
      </w:rPr>
      <w:t>ESI-II-3</w:t>
    </w:r>
    <w:r w:rsidR="00F12BAF" w:rsidRPr="00F12BAF">
      <w:rPr>
        <w:bCs/>
        <w:noProof/>
        <w:sz w:val="16"/>
        <w:szCs w:val="16"/>
        <w:lang w:val="en-US" w:eastAsia="de-DE"/>
      </w:rPr>
      <w:br/>
      <w:t xml:space="preserve">Minimum prescribed forward speed, </w:t>
    </w:r>
    <w:r w:rsidR="00F12BAF">
      <w:rPr>
        <w:noProof/>
        <w:sz w:val="16"/>
        <w:szCs w:val="16"/>
        <w:lang w:val="en-US" w:eastAsia="de-DE"/>
      </w:rPr>
      <w:t>stopping capacity and capacity for going astern</w:t>
    </w:r>
    <w:r>
      <w:rPr>
        <w:sz w:val="16"/>
        <w:szCs w:val="16"/>
        <w:lang w:val="en-US" w:eastAsia="de-DE"/>
      </w:rPr>
      <w:fldChar w:fldCharType="end"/>
    </w:r>
    <w:r>
      <w:rPr>
        <w:sz w:val="16"/>
        <w:szCs w:val="16"/>
        <w:lang w:val="en-US" w:eastAsia="de-DE"/>
      </w:rPr>
      <w:t xml:space="preserve"> -</w:t>
    </w:r>
  </w:p>
  <w:p w:rsidR="00C60AC1" w:rsidRPr="004F47BB" w:rsidRDefault="00C60AC1" w:rsidP="00D45887">
    <w:pPr>
      <w:widowControl w:val="0"/>
      <w:pBdr>
        <w:bottom w:val="single" w:sz="6" w:space="1" w:color="auto"/>
      </w:pBdr>
      <w:tabs>
        <w:tab w:val="right" w:pos="9072"/>
      </w:tabs>
      <w:autoSpaceDE/>
      <w:autoSpaceDN/>
      <w:jc w:val="right"/>
      <w:rPr>
        <w:sz w:val="16"/>
        <w:szCs w:val="16"/>
        <w:lang w:eastAsia="de-DE"/>
      </w:rPr>
    </w:pPr>
    <w:r>
      <w:rPr>
        <w:sz w:val="16"/>
        <w:szCs w:val="16"/>
        <w:lang w:eastAsia="de-DE"/>
      </w:rPr>
      <w:fldChar w:fldCharType="begin"/>
    </w:r>
    <w:r>
      <w:rPr>
        <w:sz w:val="16"/>
        <w:szCs w:val="16"/>
        <w:lang w:eastAsia="de-DE"/>
      </w:rPr>
      <w:instrText xml:space="preserve"> STYLEREF  ES-Titre4  \* MERGEFORMAT </w:instrText>
    </w:r>
    <w:r>
      <w:rPr>
        <w:sz w:val="16"/>
        <w:szCs w:val="16"/>
        <w:lang w:eastAsia="de-DE"/>
      </w:rPr>
      <w:fldChar w:fldCharType="separate"/>
    </w:r>
    <w:r w:rsidR="00F12BAF">
      <w:rPr>
        <w:noProof/>
        <w:sz w:val="16"/>
        <w:szCs w:val="16"/>
        <w:lang w:eastAsia="de-DE"/>
      </w:rPr>
      <w:t>Annex 1 to instruction ESI-II-3</w:t>
    </w:r>
    <w:r>
      <w:rPr>
        <w:sz w:val="16"/>
        <w:szCs w:val="16"/>
        <w:lang w:eastAsia="de-DE"/>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5B46C9" w:rsidRDefault="00C60AC1" w:rsidP="005B46C9">
    <w:pPr>
      <w:widowControl w:val="0"/>
      <w:pBdr>
        <w:bottom w:val="single" w:sz="6" w:space="1" w:color="auto"/>
      </w:pBdr>
      <w:tabs>
        <w:tab w:val="right" w:pos="13892"/>
      </w:tabs>
      <w:autoSpaceDE/>
      <w:autoSpaceDN/>
      <w:jc w:val="right"/>
      <w:rPr>
        <w:sz w:val="16"/>
        <w:szCs w:val="16"/>
        <w:lang w:val="en-US" w:eastAsia="de-DE"/>
      </w:rPr>
    </w:pPr>
    <w:r w:rsidRPr="005B46C9">
      <w:rPr>
        <w:sz w:val="16"/>
        <w:szCs w:val="16"/>
        <w:lang w:val="en-US" w:eastAsia="de-DE"/>
      </w:rPr>
      <w:t xml:space="preserve">ES-TRIN </w:t>
    </w:r>
    <w:r w:rsidRPr="005B46C9">
      <w:rPr>
        <w:sz w:val="16"/>
        <w:szCs w:val="16"/>
        <w:lang w:val="en-US" w:eastAsia="de-DE"/>
      </w:rPr>
      <w:tab/>
    </w:r>
    <w:r>
      <w:rPr>
        <w:sz w:val="16"/>
        <w:szCs w:val="16"/>
        <w:lang w:val="en-US" w:eastAsia="de-DE"/>
      </w:rPr>
      <w:fldChar w:fldCharType="begin"/>
    </w:r>
    <w:r w:rsidRPr="005B46C9">
      <w:rPr>
        <w:sz w:val="16"/>
        <w:szCs w:val="16"/>
        <w:lang w:val="en-US" w:eastAsia="de-DE"/>
      </w:rPr>
      <w:instrText xml:space="preserve"> STYLEREF  ES-Titre2_ESI  \* MERGEFORMAT </w:instrText>
    </w:r>
    <w:r>
      <w:rPr>
        <w:sz w:val="16"/>
        <w:szCs w:val="16"/>
        <w:lang w:val="en-US" w:eastAsia="de-DE"/>
      </w:rPr>
      <w:fldChar w:fldCharType="separate"/>
    </w:r>
    <w:r w:rsidR="00F12BAF" w:rsidRPr="00F12BAF">
      <w:rPr>
        <w:bCs/>
        <w:noProof/>
        <w:sz w:val="16"/>
        <w:szCs w:val="16"/>
        <w:lang w:val="en-US" w:eastAsia="de-DE"/>
      </w:rPr>
      <w:t>ESI-II-3</w:t>
    </w:r>
    <w:r w:rsidR="00F12BAF" w:rsidRPr="00F12BAF">
      <w:rPr>
        <w:bCs/>
        <w:noProof/>
        <w:sz w:val="16"/>
        <w:szCs w:val="16"/>
        <w:lang w:val="en-US" w:eastAsia="de-DE"/>
      </w:rPr>
      <w:br/>
      <w:t xml:space="preserve">Minimum prescribed forward speed, </w:t>
    </w:r>
    <w:r w:rsidR="00F12BAF">
      <w:rPr>
        <w:noProof/>
        <w:sz w:val="16"/>
        <w:szCs w:val="16"/>
        <w:lang w:val="en-US" w:eastAsia="de-DE"/>
      </w:rPr>
      <w:t>stopping capacity and capacity for going astern</w:t>
    </w:r>
    <w:r>
      <w:rPr>
        <w:sz w:val="16"/>
        <w:szCs w:val="16"/>
        <w:lang w:val="en-US" w:eastAsia="de-DE"/>
      </w:rPr>
      <w:fldChar w:fldCharType="end"/>
    </w:r>
    <w:r>
      <w:rPr>
        <w:sz w:val="16"/>
        <w:szCs w:val="16"/>
        <w:lang w:val="en-US" w:eastAsia="de-DE"/>
      </w:rPr>
      <w:t xml:space="preserve"> -</w:t>
    </w:r>
  </w:p>
  <w:p w:rsidR="00C60AC1" w:rsidRPr="004F47BB" w:rsidRDefault="00C60AC1" w:rsidP="00D45887">
    <w:pPr>
      <w:widowControl w:val="0"/>
      <w:pBdr>
        <w:bottom w:val="single" w:sz="6" w:space="1" w:color="auto"/>
      </w:pBdr>
      <w:tabs>
        <w:tab w:val="right" w:pos="9072"/>
      </w:tabs>
      <w:autoSpaceDE/>
      <w:autoSpaceDN/>
      <w:jc w:val="right"/>
      <w:rPr>
        <w:sz w:val="16"/>
        <w:szCs w:val="16"/>
        <w:lang w:eastAsia="de-DE"/>
      </w:rPr>
    </w:pPr>
    <w:r>
      <w:rPr>
        <w:sz w:val="16"/>
        <w:szCs w:val="16"/>
        <w:lang w:eastAsia="de-DE"/>
      </w:rPr>
      <w:fldChar w:fldCharType="begin"/>
    </w:r>
    <w:r>
      <w:rPr>
        <w:sz w:val="16"/>
        <w:szCs w:val="16"/>
        <w:lang w:eastAsia="de-DE"/>
      </w:rPr>
      <w:instrText xml:space="preserve"> STYLEREF  ES-Titre4  \* MERGEFORMAT </w:instrText>
    </w:r>
    <w:r>
      <w:rPr>
        <w:sz w:val="16"/>
        <w:szCs w:val="16"/>
        <w:lang w:eastAsia="de-DE"/>
      </w:rPr>
      <w:fldChar w:fldCharType="separate"/>
    </w:r>
    <w:r w:rsidR="00F12BAF">
      <w:rPr>
        <w:noProof/>
        <w:sz w:val="16"/>
        <w:szCs w:val="16"/>
        <w:lang w:eastAsia="de-DE"/>
      </w:rPr>
      <w:t>Annex 1 to instruction ESI-II-3</w:t>
    </w:r>
    <w:r>
      <w:rPr>
        <w:sz w:val="16"/>
        <w:szCs w:val="16"/>
        <w:lang w:eastAsia="de-DE"/>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5B46C9" w:rsidRDefault="00C60AC1" w:rsidP="00D45887">
    <w:pPr>
      <w:widowControl w:val="0"/>
      <w:pBdr>
        <w:bottom w:val="single" w:sz="6" w:space="1" w:color="auto"/>
      </w:pBdr>
      <w:tabs>
        <w:tab w:val="right" w:pos="9072"/>
      </w:tabs>
      <w:autoSpaceDE/>
      <w:autoSpaceDN/>
      <w:jc w:val="right"/>
      <w:rPr>
        <w:sz w:val="16"/>
        <w:szCs w:val="16"/>
        <w:lang w:val="en-US" w:eastAsia="de-DE"/>
      </w:rPr>
    </w:pPr>
    <w:r w:rsidRPr="005B46C9">
      <w:rPr>
        <w:sz w:val="16"/>
        <w:szCs w:val="16"/>
        <w:lang w:val="en-US" w:eastAsia="de-DE"/>
      </w:rPr>
      <w:t xml:space="preserve">ES-TRIN </w:t>
    </w:r>
    <w:r w:rsidRPr="005B46C9">
      <w:rPr>
        <w:sz w:val="16"/>
        <w:szCs w:val="16"/>
        <w:lang w:val="en-US" w:eastAsia="de-DE"/>
      </w:rPr>
      <w:tab/>
    </w:r>
    <w:r w:rsidRPr="00CD0739">
      <w:rPr>
        <w:sz w:val="16"/>
        <w:szCs w:val="16"/>
        <w:lang w:val="en-US" w:eastAsia="de-DE"/>
      </w:rPr>
      <w:fldChar w:fldCharType="begin"/>
    </w:r>
    <w:r w:rsidRPr="005B46C9">
      <w:rPr>
        <w:sz w:val="16"/>
        <w:szCs w:val="16"/>
        <w:lang w:val="en-US" w:eastAsia="de-DE"/>
      </w:rPr>
      <w:instrText xml:space="preserve"> STYLEREF  ES-Titre2_ESI  \* MERGEFORMAT </w:instrText>
    </w:r>
    <w:r w:rsidRPr="00CD0739">
      <w:rPr>
        <w:sz w:val="16"/>
        <w:szCs w:val="16"/>
        <w:lang w:val="en-US" w:eastAsia="de-DE"/>
      </w:rPr>
      <w:fldChar w:fldCharType="separate"/>
    </w:r>
    <w:r w:rsidR="00F12BAF" w:rsidRPr="00F12BAF">
      <w:rPr>
        <w:bCs/>
        <w:noProof/>
        <w:sz w:val="16"/>
        <w:szCs w:val="16"/>
        <w:lang w:val="en-US" w:eastAsia="de-DE"/>
      </w:rPr>
      <w:t>ESI-II-3</w:t>
    </w:r>
    <w:r w:rsidR="00F12BAF" w:rsidRPr="00F12BAF">
      <w:rPr>
        <w:bCs/>
        <w:noProof/>
        <w:sz w:val="16"/>
        <w:szCs w:val="16"/>
        <w:lang w:val="en-US" w:eastAsia="de-DE"/>
      </w:rPr>
      <w:br/>
      <w:t xml:space="preserve">Minimum prescribed forward speed, </w:t>
    </w:r>
    <w:r w:rsidR="00F12BAF">
      <w:rPr>
        <w:noProof/>
        <w:sz w:val="16"/>
        <w:szCs w:val="16"/>
        <w:lang w:val="en-US" w:eastAsia="de-DE"/>
      </w:rPr>
      <w:t>stopping capacity and capacity for going astern</w:t>
    </w:r>
    <w:r w:rsidRPr="00CD0739">
      <w:rPr>
        <w:sz w:val="16"/>
        <w:szCs w:val="16"/>
        <w:lang w:val="en-US" w:eastAsia="de-DE"/>
      </w:rPr>
      <w:fldChar w:fldCharType="end"/>
    </w:r>
    <w:r w:rsidRPr="005B46C9">
      <w:rPr>
        <w:sz w:val="16"/>
        <w:szCs w:val="16"/>
        <w:lang w:val="en-US" w:eastAsia="de-DE"/>
      </w:rPr>
      <w:t xml:space="preserve"> –</w:t>
    </w:r>
  </w:p>
  <w:p w:rsidR="00C60AC1" w:rsidRPr="004F47BB" w:rsidRDefault="00C60AC1" w:rsidP="00D45887">
    <w:pPr>
      <w:widowControl w:val="0"/>
      <w:pBdr>
        <w:bottom w:val="single" w:sz="6" w:space="1" w:color="auto"/>
      </w:pBdr>
      <w:tabs>
        <w:tab w:val="right" w:pos="9072"/>
      </w:tabs>
      <w:autoSpaceDE/>
      <w:autoSpaceDN/>
      <w:jc w:val="right"/>
      <w:rPr>
        <w:sz w:val="16"/>
        <w:szCs w:val="16"/>
        <w:lang w:eastAsia="de-DE"/>
      </w:rPr>
    </w:pPr>
    <w:r>
      <w:rPr>
        <w:sz w:val="16"/>
        <w:szCs w:val="16"/>
        <w:lang w:eastAsia="de-DE"/>
      </w:rPr>
      <w:fldChar w:fldCharType="begin"/>
    </w:r>
    <w:r>
      <w:rPr>
        <w:sz w:val="16"/>
        <w:szCs w:val="16"/>
        <w:lang w:eastAsia="de-DE"/>
      </w:rPr>
      <w:instrText xml:space="preserve"> STYLEREF  ES-Titre4  \* MERGEFORMAT </w:instrText>
    </w:r>
    <w:r>
      <w:rPr>
        <w:sz w:val="16"/>
        <w:szCs w:val="16"/>
        <w:lang w:eastAsia="de-DE"/>
      </w:rPr>
      <w:fldChar w:fldCharType="separate"/>
    </w:r>
    <w:r w:rsidR="00F12BAF">
      <w:rPr>
        <w:noProof/>
        <w:sz w:val="16"/>
        <w:szCs w:val="16"/>
        <w:lang w:eastAsia="de-DE"/>
      </w:rPr>
      <w:t>Annex 2 to instruction ESI-II-3</w:t>
    </w:r>
    <w:r>
      <w:rPr>
        <w:sz w:val="16"/>
        <w:szCs w:val="16"/>
        <w:lang w:eastAsia="de-D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9A1D30" w:rsidRDefault="00C60AC1" w:rsidP="0010389F">
    <w:pPr>
      <w:pStyle w:val="Header"/>
      <w:pBdr>
        <w:bottom w:val="single" w:sz="4" w:space="1" w:color="auto"/>
      </w:pBdr>
      <w:tabs>
        <w:tab w:val="clear" w:pos="8306"/>
        <w:tab w:val="right" w:pos="9072"/>
      </w:tabs>
      <w:rPr>
        <w:sz w:val="16"/>
        <w:szCs w:val="16"/>
        <w:lang w:val="en-US"/>
      </w:rPr>
    </w:pPr>
    <w:r w:rsidRPr="009A1D30">
      <w:rPr>
        <w:sz w:val="16"/>
        <w:szCs w:val="16"/>
        <w:lang w:val="en-US" w:eastAsia="de-DE"/>
      </w:rPr>
      <w:t>ES-TRIN</w:t>
    </w:r>
    <w:r w:rsidRPr="009A1D30">
      <w:rPr>
        <w:sz w:val="16"/>
        <w:szCs w:val="16"/>
        <w:lang w:val="en-US"/>
      </w:rPr>
      <w:tab/>
      <w:t>Chapter 1</w:t>
    </w:r>
  </w:p>
  <w:p w:rsidR="00C60AC1" w:rsidRPr="009A1D30" w:rsidRDefault="00C60AC1" w:rsidP="0010389F">
    <w:pPr>
      <w:pStyle w:val="Header"/>
      <w:pBdr>
        <w:bottom w:val="single" w:sz="4" w:space="1" w:color="auto"/>
      </w:pBdr>
      <w:jc w:val="right"/>
      <w:rPr>
        <w:sz w:val="16"/>
        <w:szCs w:val="16"/>
        <w:lang w:val="en-US"/>
      </w:rPr>
    </w:pPr>
    <w:r>
      <w:rPr>
        <w:sz w:val="16"/>
        <w:szCs w:val="16"/>
        <w:lang w:val="en-US" w:eastAsia="de-DE"/>
      </w:rPr>
      <w:t>General</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5B46C9" w:rsidRDefault="00C60AC1" w:rsidP="00D45887">
    <w:pPr>
      <w:widowControl w:val="0"/>
      <w:pBdr>
        <w:bottom w:val="single" w:sz="6" w:space="1" w:color="auto"/>
      </w:pBdr>
      <w:tabs>
        <w:tab w:val="right" w:pos="9072"/>
      </w:tabs>
      <w:autoSpaceDE/>
      <w:autoSpaceDN/>
      <w:jc w:val="right"/>
      <w:rPr>
        <w:sz w:val="16"/>
        <w:szCs w:val="16"/>
        <w:lang w:val="en-US" w:eastAsia="de-DE"/>
      </w:rPr>
    </w:pPr>
    <w:r w:rsidRPr="005B46C9">
      <w:rPr>
        <w:sz w:val="16"/>
        <w:szCs w:val="16"/>
        <w:lang w:val="en-US" w:eastAsia="de-DE"/>
      </w:rPr>
      <w:t xml:space="preserve">ES-TRIN </w:t>
    </w:r>
    <w:r w:rsidRPr="005B46C9">
      <w:rPr>
        <w:sz w:val="16"/>
        <w:szCs w:val="16"/>
        <w:lang w:val="en-US" w:eastAsia="de-DE"/>
      </w:rPr>
      <w:tab/>
    </w:r>
    <w:r>
      <w:rPr>
        <w:sz w:val="16"/>
        <w:szCs w:val="16"/>
        <w:lang w:val="en-US" w:eastAsia="de-DE"/>
      </w:rPr>
      <w:fldChar w:fldCharType="begin"/>
    </w:r>
    <w:r w:rsidRPr="005B46C9">
      <w:rPr>
        <w:sz w:val="16"/>
        <w:szCs w:val="16"/>
        <w:lang w:val="en-US" w:eastAsia="de-DE"/>
      </w:rPr>
      <w:instrText xml:space="preserve"> STYLEREF  ES-Titre2_ESI  \* MERGEFORMAT </w:instrText>
    </w:r>
    <w:r>
      <w:rPr>
        <w:sz w:val="16"/>
        <w:szCs w:val="16"/>
        <w:lang w:val="en-US" w:eastAsia="de-DE"/>
      </w:rPr>
      <w:fldChar w:fldCharType="separate"/>
    </w:r>
    <w:r w:rsidR="00F12BAF" w:rsidRPr="00F12BAF">
      <w:rPr>
        <w:bCs/>
        <w:noProof/>
        <w:sz w:val="16"/>
        <w:szCs w:val="16"/>
        <w:lang w:val="en-US" w:eastAsia="de-DE"/>
      </w:rPr>
      <w:t>ESI-II-3</w:t>
    </w:r>
    <w:r w:rsidR="00F12BAF" w:rsidRPr="00F12BAF">
      <w:rPr>
        <w:bCs/>
        <w:noProof/>
        <w:sz w:val="16"/>
        <w:szCs w:val="16"/>
        <w:lang w:val="en-US" w:eastAsia="de-DE"/>
      </w:rPr>
      <w:br/>
      <w:t xml:space="preserve">Minimum prescribed forward speed, </w:t>
    </w:r>
    <w:r w:rsidR="00F12BAF">
      <w:rPr>
        <w:noProof/>
        <w:sz w:val="16"/>
        <w:szCs w:val="16"/>
        <w:lang w:val="en-US" w:eastAsia="de-DE"/>
      </w:rPr>
      <w:t>stopping capacity and capacity for going astern</w:t>
    </w:r>
    <w:r>
      <w:rPr>
        <w:sz w:val="16"/>
        <w:szCs w:val="16"/>
        <w:lang w:val="en-US" w:eastAsia="de-DE"/>
      </w:rPr>
      <w:fldChar w:fldCharType="end"/>
    </w:r>
    <w:r>
      <w:rPr>
        <w:sz w:val="16"/>
        <w:szCs w:val="16"/>
        <w:lang w:val="en-US" w:eastAsia="de-DE"/>
      </w:rPr>
      <w:t xml:space="preserve"> -</w:t>
    </w:r>
  </w:p>
  <w:p w:rsidR="00C60AC1" w:rsidRPr="004F47BB" w:rsidRDefault="00C60AC1" w:rsidP="00D45887">
    <w:pPr>
      <w:widowControl w:val="0"/>
      <w:pBdr>
        <w:bottom w:val="single" w:sz="6" w:space="1" w:color="auto"/>
      </w:pBdr>
      <w:tabs>
        <w:tab w:val="right" w:pos="9072"/>
      </w:tabs>
      <w:autoSpaceDE/>
      <w:autoSpaceDN/>
      <w:jc w:val="right"/>
      <w:rPr>
        <w:sz w:val="16"/>
        <w:szCs w:val="16"/>
        <w:lang w:eastAsia="de-DE"/>
      </w:rPr>
    </w:pPr>
    <w:r>
      <w:rPr>
        <w:sz w:val="16"/>
        <w:szCs w:val="16"/>
        <w:lang w:eastAsia="de-DE"/>
      </w:rPr>
      <w:fldChar w:fldCharType="begin"/>
    </w:r>
    <w:r>
      <w:rPr>
        <w:sz w:val="16"/>
        <w:szCs w:val="16"/>
        <w:lang w:eastAsia="de-DE"/>
      </w:rPr>
      <w:instrText xml:space="preserve"> STYLEREF  ES-Titre4  \* MERGEFORMAT </w:instrText>
    </w:r>
    <w:r>
      <w:rPr>
        <w:sz w:val="16"/>
        <w:szCs w:val="16"/>
        <w:lang w:eastAsia="de-DE"/>
      </w:rPr>
      <w:fldChar w:fldCharType="separate"/>
    </w:r>
    <w:r w:rsidR="00F12BAF">
      <w:rPr>
        <w:noProof/>
        <w:sz w:val="16"/>
        <w:szCs w:val="16"/>
        <w:lang w:eastAsia="de-DE"/>
      </w:rPr>
      <w:t>Annex 2 to instruction ESI-II-3</w:t>
    </w:r>
    <w:r>
      <w:rPr>
        <w:sz w:val="16"/>
        <w:szCs w:val="16"/>
        <w:lang w:eastAsia="de-DE"/>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5B46C9" w:rsidRDefault="00C60AC1" w:rsidP="00D45887">
    <w:pPr>
      <w:widowControl w:val="0"/>
      <w:pBdr>
        <w:bottom w:val="single" w:sz="6" w:space="1" w:color="auto"/>
      </w:pBdr>
      <w:tabs>
        <w:tab w:val="right" w:pos="9072"/>
      </w:tabs>
      <w:autoSpaceDE/>
      <w:autoSpaceDN/>
      <w:jc w:val="right"/>
      <w:rPr>
        <w:sz w:val="16"/>
        <w:szCs w:val="16"/>
        <w:lang w:val="en-US" w:eastAsia="de-DE"/>
      </w:rPr>
    </w:pPr>
    <w:r w:rsidRPr="005B46C9">
      <w:rPr>
        <w:sz w:val="16"/>
        <w:szCs w:val="16"/>
        <w:lang w:val="en-US" w:eastAsia="de-DE"/>
      </w:rPr>
      <w:t xml:space="preserve">ES-TRIN </w:t>
    </w:r>
    <w:r w:rsidRPr="005B46C9">
      <w:rPr>
        <w:sz w:val="16"/>
        <w:szCs w:val="16"/>
        <w:lang w:val="en-US" w:eastAsia="de-DE"/>
      </w:rPr>
      <w:tab/>
    </w:r>
    <w:r>
      <w:rPr>
        <w:sz w:val="16"/>
        <w:szCs w:val="16"/>
        <w:lang w:val="en-US" w:eastAsia="de-DE"/>
      </w:rPr>
      <w:fldChar w:fldCharType="begin"/>
    </w:r>
    <w:r w:rsidRPr="005B46C9">
      <w:rPr>
        <w:sz w:val="16"/>
        <w:szCs w:val="16"/>
        <w:lang w:val="en-US" w:eastAsia="de-DE"/>
      </w:rPr>
      <w:instrText xml:space="preserve"> STYLEREF  ES-Titre2_ESI  \* MERGEFORMAT </w:instrText>
    </w:r>
    <w:r>
      <w:rPr>
        <w:sz w:val="16"/>
        <w:szCs w:val="16"/>
        <w:lang w:val="en-US" w:eastAsia="de-DE"/>
      </w:rPr>
      <w:fldChar w:fldCharType="separate"/>
    </w:r>
    <w:r w:rsidR="00F12BAF" w:rsidRPr="00F12BAF">
      <w:rPr>
        <w:bCs/>
        <w:noProof/>
        <w:sz w:val="16"/>
        <w:szCs w:val="16"/>
        <w:lang w:val="en-US" w:eastAsia="de-DE"/>
      </w:rPr>
      <w:t>ESI-II-3</w:t>
    </w:r>
    <w:r w:rsidR="00F12BAF" w:rsidRPr="00F12BAF">
      <w:rPr>
        <w:bCs/>
        <w:noProof/>
        <w:sz w:val="16"/>
        <w:szCs w:val="16"/>
        <w:lang w:val="en-US" w:eastAsia="de-DE"/>
      </w:rPr>
      <w:br/>
      <w:t xml:space="preserve">Minimum prescribed forward speed, </w:t>
    </w:r>
    <w:r w:rsidR="00F12BAF">
      <w:rPr>
        <w:noProof/>
        <w:sz w:val="16"/>
        <w:szCs w:val="16"/>
        <w:lang w:val="en-US" w:eastAsia="de-DE"/>
      </w:rPr>
      <w:t>stopping capacity and capacity for going astern</w:t>
    </w:r>
    <w:r>
      <w:rPr>
        <w:sz w:val="16"/>
        <w:szCs w:val="16"/>
        <w:lang w:val="en-US" w:eastAsia="de-DE"/>
      </w:rPr>
      <w:fldChar w:fldCharType="end"/>
    </w:r>
    <w:r w:rsidRPr="005B46C9">
      <w:rPr>
        <w:sz w:val="16"/>
        <w:szCs w:val="16"/>
        <w:lang w:val="en-US" w:eastAsia="de-DE"/>
      </w:rPr>
      <w:t xml:space="preserve"> – </w:t>
    </w:r>
  </w:p>
  <w:p w:rsidR="00C60AC1" w:rsidRPr="009E63BD" w:rsidRDefault="00C60AC1" w:rsidP="00D45887">
    <w:pPr>
      <w:widowControl w:val="0"/>
      <w:pBdr>
        <w:bottom w:val="single" w:sz="6" w:space="1" w:color="auto"/>
      </w:pBdr>
      <w:tabs>
        <w:tab w:val="right" w:pos="9072"/>
      </w:tabs>
      <w:autoSpaceDE/>
      <w:autoSpaceDN/>
      <w:jc w:val="right"/>
      <w:rPr>
        <w:sz w:val="16"/>
        <w:szCs w:val="16"/>
        <w:lang w:val="en-US" w:eastAsia="de-DE"/>
      </w:rPr>
    </w:pPr>
    <w:r>
      <w:rPr>
        <w:sz w:val="16"/>
        <w:szCs w:val="16"/>
        <w:lang w:eastAsia="de-DE"/>
      </w:rPr>
      <w:fldChar w:fldCharType="begin"/>
    </w:r>
    <w:r w:rsidRPr="009E63BD">
      <w:rPr>
        <w:sz w:val="16"/>
        <w:szCs w:val="16"/>
        <w:lang w:val="en-US" w:eastAsia="de-DE"/>
      </w:rPr>
      <w:instrText xml:space="preserve"> STYLEREF  ES-Titre4  \* MERGEFORMAT </w:instrText>
    </w:r>
    <w:r>
      <w:rPr>
        <w:sz w:val="16"/>
        <w:szCs w:val="16"/>
        <w:lang w:eastAsia="de-DE"/>
      </w:rPr>
      <w:fldChar w:fldCharType="separate"/>
    </w:r>
    <w:r w:rsidR="00F12BAF">
      <w:rPr>
        <w:noProof/>
        <w:sz w:val="16"/>
        <w:szCs w:val="16"/>
        <w:lang w:val="en-US" w:eastAsia="de-DE"/>
      </w:rPr>
      <w:t>Appendix to Annex 2 to instruction ESI-II-3</w:t>
    </w:r>
    <w:r>
      <w:rPr>
        <w:sz w:val="16"/>
        <w:szCs w:val="16"/>
        <w:lang w:eastAsia="de-DE"/>
      </w:rPr>
      <w:fldChar w:fldCharType="end"/>
    </w:r>
    <w:r w:rsidRPr="009E63BD">
      <w:rPr>
        <w:sz w:val="16"/>
        <w:szCs w:val="16"/>
        <w:lang w:val="en-US" w:eastAsia="de-DE"/>
      </w:rPr>
      <w:t xml:space="preserve"> -</w:t>
    </w:r>
    <w:r>
      <w:rPr>
        <w:sz w:val="16"/>
        <w:szCs w:val="16"/>
        <w:lang w:val="en-US" w:eastAsia="de-DE"/>
      </w:rPr>
      <w:t xml:space="preserve"> </w:t>
    </w:r>
    <w:r>
      <w:rPr>
        <w:sz w:val="16"/>
        <w:szCs w:val="16"/>
        <w:lang w:eastAsia="de-DE"/>
      </w:rPr>
      <w:fldChar w:fldCharType="begin"/>
    </w:r>
    <w:r w:rsidRPr="009E63BD">
      <w:rPr>
        <w:sz w:val="16"/>
        <w:szCs w:val="16"/>
        <w:lang w:val="en-US" w:eastAsia="de-DE"/>
      </w:rPr>
      <w:instrText xml:space="preserve"> STYLEREF  ES-Titre4_pr_ESI_exple  \* MERGEFORMAT </w:instrText>
    </w:r>
    <w:r>
      <w:rPr>
        <w:sz w:val="16"/>
        <w:szCs w:val="16"/>
        <w:lang w:eastAsia="de-DE"/>
      </w:rPr>
      <w:fldChar w:fldCharType="separate"/>
    </w:r>
    <w:r w:rsidR="00F12BAF">
      <w:rPr>
        <w:noProof/>
        <w:sz w:val="16"/>
        <w:szCs w:val="16"/>
        <w:lang w:val="en-US" w:eastAsia="de-DE"/>
      </w:rPr>
      <w:t>Example II</w:t>
    </w:r>
    <w:r>
      <w:rPr>
        <w:sz w:val="16"/>
        <w:szCs w:val="16"/>
        <w:lang w:eastAsia="de-DE"/>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5B46C9" w:rsidRDefault="00C60AC1" w:rsidP="00D45887">
    <w:pPr>
      <w:widowControl w:val="0"/>
      <w:pBdr>
        <w:bottom w:val="single" w:sz="6" w:space="1" w:color="auto"/>
      </w:pBdr>
      <w:tabs>
        <w:tab w:val="right" w:pos="9072"/>
      </w:tabs>
      <w:autoSpaceDE/>
      <w:autoSpaceDN/>
      <w:jc w:val="right"/>
      <w:rPr>
        <w:sz w:val="16"/>
        <w:szCs w:val="16"/>
        <w:lang w:val="en-US" w:eastAsia="de-DE"/>
      </w:rPr>
    </w:pPr>
    <w:r w:rsidRPr="005B46C9">
      <w:rPr>
        <w:sz w:val="16"/>
        <w:szCs w:val="16"/>
        <w:lang w:val="en-US" w:eastAsia="de-DE"/>
      </w:rPr>
      <w:t xml:space="preserve">ES-TRIN </w:t>
    </w:r>
    <w:r w:rsidRPr="005B46C9">
      <w:rPr>
        <w:sz w:val="16"/>
        <w:szCs w:val="16"/>
        <w:lang w:val="en-US" w:eastAsia="de-DE"/>
      </w:rPr>
      <w:tab/>
    </w:r>
    <w:r>
      <w:rPr>
        <w:sz w:val="16"/>
        <w:szCs w:val="16"/>
        <w:lang w:val="en-US" w:eastAsia="de-DE"/>
      </w:rPr>
      <w:fldChar w:fldCharType="begin"/>
    </w:r>
    <w:r w:rsidRPr="005B46C9">
      <w:rPr>
        <w:sz w:val="16"/>
        <w:szCs w:val="16"/>
        <w:lang w:val="en-US" w:eastAsia="de-DE"/>
      </w:rPr>
      <w:instrText xml:space="preserve"> STYLEREF  ES-Titre2_ESI  \* MERGEFORMAT </w:instrText>
    </w:r>
    <w:r>
      <w:rPr>
        <w:sz w:val="16"/>
        <w:szCs w:val="16"/>
        <w:lang w:val="en-US" w:eastAsia="de-DE"/>
      </w:rPr>
      <w:fldChar w:fldCharType="separate"/>
    </w:r>
    <w:r w:rsidR="00F12BAF" w:rsidRPr="00F12BAF">
      <w:rPr>
        <w:bCs/>
        <w:noProof/>
        <w:sz w:val="16"/>
        <w:szCs w:val="16"/>
        <w:lang w:val="en-US" w:eastAsia="de-DE"/>
      </w:rPr>
      <w:t>ESI-II-3</w:t>
    </w:r>
    <w:r w:rsidR="00F12BAF" w:rsidRPr="00F12BAF">
      <w:rPr>
        <w:bCs/>
        <w:noProof/>
        <w:sz w:val="16"/>
        <w:szCs w:val="16"/>
        <w:lang w:val="en-US" w:eastAsia="de-DE"/>
      </w:rPr>
      <w:br/>
      <w:t xml:space="preserve">Minimum prescribed forward speed, </w:t>
    </w:r>
    <w:r w:rsidR="00F12BAF">
      <w:rPr>
        <w:noProof/>
        <w:sz w:val="16"/>
        <w:szCs w:val="16"/>
        <w:lang w:val="en-US" w:eastAsia="de-DE"/>
      </w:rPr>
      <w:t>stopping capacity and capacity for going astern</w:t>
    </w:r>
    <w:r>
      <w:rPr>
        <w:sz w:val="16"/>
        <w:szCs w:val="16"/>
        <w:lang w:val="en-US" w:eastAsia="de-DE"/>
      </w:rPr>
      <w:fldChar w:fldCharType="end"/>
    </w:r>
    <w:r w:rsidRPr="005B46C9">
      <w:rPr>
        <w:sz w:val="16"/>
        <w:szCs w:val="16"/>
        <w:lang w:val="en-US" w:eastAsia="de-DE"/>
      </w:rPr>
      <w:t xml:space="preserve"> </w:t>
    </w:r>
    <w:r>
      <w:rPr>
        <w:sz w:val="16"/>
        <w:szCs w:val="16"/>
        <w:lang w:val="en-US" w:eastAsia="de-DE"/>
      </w:rPr>
      <w:t>-</w:t>
    </w:r>
  </w:p>
  <w:p w:rsidR="00C60AC1" w:rsidRPr="00E846E9" w:rsidRDefault="00C60AC1" w:rsidP="00D45887">
    <w:pPr>
      <w:widowControl w:val="0"/>
      <w:pBdr>
        <w:bottom w:val="single" w:sz="6" w:space="1" w:color="auto"/>
      </w:pBdr>
      <w:tabs>
        <w:tab w:val="right" w:pos="9072"/>
      </w:tabs>
      <w:autoSpaceDE/>
      <w:autoSpaceDN/>
      <w:jc w:val="right"/>
      <w:rPr>
        <w:sz w:val="16"/>
        <w:szCs w:val="16"/>
        <w:lang w:val="en-US" w:eastAsia="de-DE"/>
      </w:rPr>
    </w:pPr>
    <w:r>
      <w:rPr>
        <w:sz w:val="16"/>
        <w:szCs w:val="16"/>
        <w:lang w:val="en-US" w:eastAsia="de-DE"/>
      </w:rPr>
      <w:fldChar w:fldCharType="begin"/>
    </w:r>
    <w:r>
      <w:rPr>
        <w:sz w:val="16"/>
        <w:szCs w:val="16"/>
        <w:lang w:val="en-US" w:eastAsia="de-DE"/>
      </w:rPr>
      <w:instrText xml:space="preserve"> STYLEREF  ES-Titre4  \* MERGEFORMAT </w:instrText>
    </w:r>
    <w:r>
      <w:rPr>
        <w:sz w:val="16"/>
        <w:szCs w:val="16"/>
        <w:lang w:val="en-US" w:eastAsia="de-DE"/>
      </w:rPr>
      <w:fldChar w:fldCharType="separate"/>
    </w:r>
    <w:r w:rsidR="00F12BAF">
      <w:rPr>
        <w:noProof/>
        <w:sz w:val="16"/>
        <w:szCs w:val="16"/>
        <w:lang w:val="en-US" w:eastAsia="de-DE"/>
      </w:rPr>
      <w:t>Appendix to Annex 2 to instruction ESI-II-3</w:t>
    </w:r>
    <w:r>
      <w:rPr>
        <w:sz w:val="16"/>
        <w:szCs w:val="16"/>
        <w:lang w:val="en-US" w:eastAsia="de-DE"/>
      </w:rPr>
      <w:fldChar w:fldCharType="end"/>
    </w:r>
    <w:r w:rsidRPr="00E846E9">
      <w:rPr>
        <w:sz w:val="16"/>
        <w:szCs w:val="16"/>
        <w:lang w:val="en-US" w:eastAsia="de-DE"/>
      </w:rPr>
      <w:t>–</w:t>
    </w:r>
    <w:r>
      <w:rPr>
        <w:sz w:val="16"/>
        <w:szCs w:val="16"/>
        <w:lang w:val="en-US" w:eastAsia="de-DE"/>
      </w:rPr>
      <w:fldChar w:fldCharType="begin"/>
    </w:r>
    <w:r>
      <w:rPr>
        <w:sz w:val="16"/>
        <w:szCs w:val="16"/>
        <w:lang w:val="en-US" w:eastAsia="de-DE"/>
      </w:rPr>
      <w:instrText xml:space="preserve"> STYLEREF  ES-Titre4_pr_ESI_exple  \* MERGEFORMAT </w:instrText>
    </w:r>
    <w:r>
      <w:rPr>
        <w:sz w:val="16"/>
        <w:szCs w:val="16"/>
        <w:lang w:val="en-US" w:eastAsia="de-DE"/>
      </w:rPr>
      <w:fldChar w:fldCharType="separate"/>
    </w:r>
    <w:r w:rsidR="00F12BAF">
      <w:rPr>
        <w:noProof/>
        <w:sz w:val="16"/>
        <w:szCs w:val="16"/>
        <w:lang w:val="en-US" w:eastAsia="de-DE"/>
      </w:rPr>
      <w:t>Example I</w:t>
    </w:r>
    <w:r>
      <w:rPr>
        <w:sz w:val="16"/>
        <w:szCs w:val="16"/>
        <w:lang w:val="en-US" w:eastAsia="de-DE"/>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5B46C9" w:rsidRDefault="00C60AC1" w:rsidP="00D45887">
    <w:pPr>
      <w:widowControl w:val="0"/>
      <w:pBdr>
        <w:bottom w:val="single" w:sz="6" w:space="1" w:color="auto"/>
      </w:pBdr>
      <w:tabs>
        <w:tab w:val="right" w:pos="9072"/>
      </w:tabs>
      <w:autoSpaceDE/>
      <w:autoSpaceDN/>
      <w:jc w:val="right"/>
      <w:rPr>
        <w:sz w:val="16"/>
        <w:szCs w:val="16"/>
        <w:lang w:val="en-US" w:eastAsia="de-DE"/>
      </w:rPr>
    </w:pPr>
    <w:r w:rsidRPr="005B46C9">
      <w:rPr>
        <w:sz w:val="16"/>
        <w:szCs w:val="16"/>
        <w:lang w:val="en-US" w:eastAsia="de-DE"/>
      </w:rPr>
      <w:t xml:space="preserve">ES-TRIN </w:t>
    </w:r>
    <w:r w:rsidRPr="005B46C9">
      <w:rPr>
        <w:sz w:val="16"/>
        <w:szCs w:val="16"/>
        <w:lang w:val="en-US" w:eastAsia="de-DE"/>
      </w:rPr>
      <w:tab/>
    </w:r>
    <w:r>
      <w:rPr>
        <w:sz w:val="16"/>
        <w:szCs w:val="16"/>
        <w:lang w:val="en-US" w:eastAsia="de-DE"/>
      </w:rPr>
      <w:fldChar w:fldCharType="begin"/>
    </w:r>
    <w:r w:rsidRPr="005B46C9">
      <w:rPr>
        <w:sz w:val="16"/>
        <w:szCs w:val="16"/>
        <w:lang w:val="en-US" w:eastAsia="de-DE"/>
      </w:rPr>
      <w:instrText xml:space="preserve"> STYLEREF  ES-Titre2_ESI  \* MERGEFORMAT </w:instrText>
    </w:r>
    <w:r>
      <w:rPr>
        <w:sz w:val="16"/>
        <w:szCs w:val="16"/>
        <w:lang w:val="en-US" w:eastAsia="de-DE"/>
      </w:rPr>
      <w:fldChar w:fldCharType="separate"/>
    </w:r>
    <w:r w:rsidR="00F12BAF" w:rsidRPr="00F12BAF">
      <w:rPr>
        <w:bCs/>
        <w:noProof/>
        <w:sz w:val="16"/>
        <w:szCs w:val="16"/>
        <w:lang w:val="en-US" w:eastAsia="de-DE"/>
      </w:rPr>
      <w:t>ESI-II-3</w:t>
    </w:r>
    <w:r w:rsidR="00F12BAF" w:rsidRPr="00F12BAF">
      <w:rPr>
        <w:bCs/>
        <w:noProof/>
        <w:sz w:val="16"/>
        <w:szCs w:val="16"/>
        <w:lang w:val="en-US" w:eastAsia="de-DE"/>
      </w:rPr>
      <w:br/>
      <w:t xml:space="preserve">Minimum prescribed forward speed, </w:t>
    </w:r>
    <w:r w:rsidR="00F12BAF">
      <w:rPr>
        <w:noProof/>
        <w:sz w:val="16"/>
        <w:szCs w:val="16"/>
        <w:lang w:val="en-US" w:eastAsia="de-DE"/>
      </w:rPr>
      <w:t>stopping capacity and capacity for going astern</w:t>
    </w:r>
    <w:r>
      <w:rPr>
        <w:sz w:val="16"/>
        <w:szCs w:val="16"/>
        <w:lang w:val="en-US" w:eastAsia="de-DE"/>
      </w:rPr>
      <w:fldChar w:fldCharType="end"/>
    </w:r>
    <w:r w:rsidRPr="005B46C9">
      <w:rPr>
        <w:sz w:val="16"/>
        <w:szCs w:val="16"/>
        <w:lang w:val="en-US" w:eastAsia="de-DE"/>
      </w:rPr>
      <w:t xml:space="preserve"> – </w:t>
    </w:r>
  </w:p>
  <w:p w:rsidR="00C60AC1" w:rsidRPr="006B7368" w:rsidRDefault="00C60AC1" w:rsidP="00D45887">
    <w:pPr>
      <w:widowControl w:val="0"/>
      <w:pBdr>
        <w:bottom w:val="single" w:sz="6" w:space="1" w:color="auto"/>
      </w:pBdr>
      <w:tabs>
        <w:tab w:val="right" w:pos="9072"/>
      </w:tabs>
      <w:autoSpaceDE/>
      <w:autoSpaceDN/>
      <w:jc w:val="right"/>
      <w:rPr>
        <w:sz w:val="16"/>
        <w:szCs w:val="16"/>
        <w:lang w:val="en-US" w:eastAsia="de-DE"/>
      </w:rPr>
    </w:pPr>
    <w:r>
      <w:rPr>
        <w:sz w:val="16"/>
        <w:szCs w:val="16"/>
        <w:lang w:eastAsia="de-DE"/>
      </w:rPr>
      <w:fldChar w:fldCharType="begin"/>
    </w:r>
    <w:r w:rsidRPr="006B7368">
      <w:rPr>
        <w:sz w:val="16"/>
        <w:szCs w:val="16"/>
        <w:lang w:val="en-US" w:eastAsia="de-DE"/>
      </w:rPr>
      <w:instrText xml:space="preserve"> STYLEREF  ES-Titre4  \* MERGEFORMAT </w:instrText>
    </w:r>
    <w:r>
      <w:rPr>
        <w:sz w:val="16"/>
        <w:szCs w:val="16"/>
        <w:lang w:eastAsia="de-DE"/>
      </w:rPr>
      <w:fldChar w:fldCharType="separate"/>
    </w:r>
    <w:r w:rsidR="00F12BAF">
      <w:rPr>
        <w:noProof/>
        <w:sz w:val="16"/>
        <w:szCs w:val="16"/>
        <w:lang w:val="en-US" w:eastAsia="de-DE"/>
      </w:rPr>
      <w:t>Appendix to Annex 2 to instruction ESI-II-3</w:t>
    </w:r>
    <w:r>
      <w:rPr>
        <w:sz w:val="16"/>
        <w:szCs w:val="16"/>
        <w:lang w:eastAsia="de-DE"/>
      </w:rPr>
      <w:fldChar w:fldCharType="end"/>
    </w:r>
    <w:r w:rsidRPr="006B7368">
      <w:rPr>
        <w:sz w:val="16"/>
        <w:szCs w:val="16"/>
        <w:lang w:val="en-US" w:eastAsia="de-DE"/>
      </w:rPr>
      <w:t xml:space="preserve"> - </w:t>
    </w:r>
    <w:r>
      <w:rPr>
        <w:sz w:val="16"/>
        <w:szCs w:val="16"/>
        <w:lang w:eastAsia="de-DE"/>
      </w:rPr>
      <w:fldChar w:fldCharType="begin"/>
    </w:r>
    <w:r w:rsidRPr="006B7368">
      <w:rPr>
        <w:sz w:val="16"/>
        <w:szCs w:val="16"/>
        <w:lang w:val="en-US" w:eastAsia="de-DE"/>
      </w:rPr>
      <w:instrText xml:space="preserve"> STYLEREF  ES-Titre4_pr_ESI_exple  \* MERGEFORMAT </w:instrText>
    </w:r>
    <w:r>
      <w:rPr>
        <w:sz w:val="16"/>
        <w:szCs w:val="16"/>
        <w:lang w:eastAsia="de-DE"/>
      </w:rPr>
      <w:fldChar w:fldCharType="separate"/>
    </w:r>
    <w:r w:rsidR="00F12BAF">
      <w:rPr>
        <w:noProof/>
        <w:sz w:val="16"/>
        <w:szCs w:val="16"/>
        <w:lang w:val="en-US" w:eastAsia="de-DE"/>
      </w:rPr>
      <w:t>Example II</w:t>
    </w:r>
    <w:r>
      <w:rPr>
        <w:sz w:val="16"/>
        <w:szCs w:val="16"/>
        <w:lang w:eastAsia="de-DE"/>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9025E1" w:rsidRDefault="00C60AC1" w:rsidP="00D45887">
    <w:pPr>
      <w:widowControl w:val="0"/>
      <w:pBdr>
        <w:bottom w:val="single" w:sz="6" w:space="1" w:color="auto"/>
      </w:pBdr>
      <w:tabs>
        <w:tab w:val="right" w:pos="9072"/>
      </w:tabs>
      <w:autoSpaceDE/>
      <w:autoSpaceDN/>
      <w:jc w:val="right"/>
      <w:rPr>
        <w:sz w:val="16"/>
        <w:szCs w:val="16"/>
        <w:lang w:val="en-US" w:eastAsia="de-DE"/>
      </w:rPr>
    </w:pPr>
    <w:r w:rsidRPr="009025E1">
      <w:rPr>
        <w:sz w:val="16"/>
        <w:szCs w:val="16"/>
        <w:lang w:val="en-US" w:eastAsia="de-DE"/>
      </w:rPr>
      <w:t xml:space="preserve">ES-TRIN </w:t>
    </w:r>
    <w:r w:rsidRPr="009025E1">
      <w:rPr>
        <w:sz w:val="16"/>
        <w:szCs w:val="16"/>
        <w:lang w:val="en-US" w:eastAsia="de-DE"/>
      </w:rPr>
      <w:tab/>
    </w:r>
    <w:r w:rsidRPr="005B46C9">
      <w:rPr>
        <w:sz w:val="16"/>
        <w:szCs w:val="16"/>
        <w:lang w:val="en-US" w:eastAsia="de-DE"/>
      </w:rPr>
      <w:fldChar w:fldCharType="begin"/>
    </w:r>
    <w:r w:rsidRPr="005B46C9">
      <w:rPr>
        <w:sz w:val="16"/>
        <w:szCs w:val="16"/>
        <w:lang w:val="en-US" w:eastAsia="de-DE"/>
      </w:rPr>
      <w:instrText xml:space="preserve"> STYLEREF  ES-Titre2_ESI  \* MERGEFORMAT </w:instrText>
    </w:r>
    <w:r w:rsidRPr="005B46C9">
      <w:rPr>
        <w:sz w:val="16"/>
        <w:szCs w:val="16"/>
        <w:lang w:val="en-US" w:eastAsia="de-DE"/>
      </w:rPr>
      <w:fldChar w:fldCharType="separate"/>
    </w:r>
    <w:r w:rsidR="00F12BAF" w:rsidRPr="00F12BAF">
      <w:rPr>
        <w:bCs/>
        <w:noProof/>
        <w:sz w:val="16"/>
        <w:szCs w:val="16"/>
        <w:lang w:val="en-US" w:eastAsia="de-DE"/>
      </w:rPr>
      <w:t>ESI-II-4</w:t>
    </w:r>
    <w:r w:rsidR="00F12BAF" w:rsidRPr="00F12BAF">
      <w:rPr>
        <w:bCs/>
        <w:noProof/>
        <w:sz w:val="16"/>
        <w:szCs w:val="16"/>
        <w:lang w:val="en-US" w:eastAsia="de-DE"/>
      </w:rPr>
      <w:br/>
      <w:t>Capacity for taking evasive action</w:t>
    </w:r>
    <w:r w:rsidR="00F12BAF">
      <w:rPr>
        <w:noProof/>
        <w:sz w:val="16"/>
        <w:szCs w:val="16"/>
        <w:lang w:val="en-US" w:eastAsia="de-DE"/>
      </w:rPr>
      <w:t xml:space="preserve"> and turning capacity</w:t>
    </w:r>
    <w:r w:rsidRPr="005B46C9">
      <w:rPr>
        <w:sz w:val="16"/>
        <w:szCs w:val="16"/>
        <w:lang w:val="en-US" w:eastAsia="de-DE"/>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5B46C9" w:rsidRDefault="00C60AC1" w:rsidP="00D45887">
    <w:pPr>
      <w:widowControl w:val="0"/>
      <w:pBdr>
        <w:bottom w:val="single" w:sz="6" w:space="1" w:color="auto"/>
      </w:pBdr>
      <w:tabs>
        <w:tab w:val="right" w:pos="9072"/>
      </w:tabs>
      <w:autoSpaceDE/>
      <w:autoSpaceDN/>
      <w:jc w:val="right"/>
      <w:rPr>
        <w:sz w:val="16"/>
        <w:szCs w:val="16"/>
        <w:lang w:val="en-US" w:eastAsia="de-DE"/>
      </w:rPr>
    </w:pPr>
    <w:r w:rsidRPr="009025E1">
      <w:rPr>
        <w:sz w:val="16"/>
        <w:szCs w:val="16"/>
        <w:lang w:val="en-US" w:eastAsia="de-DE"/>
      </w:rPr>
      <w:t xml:space="preserve">ES-TRIN </w:t>
    </w:r>
    <w:r w:rsidRPr="009025E1">
      <w:rPr>
        <w:sz w:val="16"/>
        <w:szCs w:val="16"/>
        <w:lang w:val="en-US" w:eastAsia="de-DE"/>
      </w:rPr>
      <w:tab/>
    </w:r>
    <w:r w:rsidRPr="005B46C9">
      <w:rPr>
        <w:sz w:val="16"/>
        <w:szCs w:val="16"/>
        <w:lang w:eastAsia="de-DE"/>
      </w:rPr>
      <w:fldChar w:fldCharType="begin"/>
    </w:r>
    <w:r w:rsidRPr="005B46C9">
      <w:rPr>
        <w:sz w:val="16"/>
        <w:szCs w:val="16"/>
        <w:lang w:val="en-GB" w:eastAsia="de-DE"/>
      </w:rPr>
      <w:instrText xml:space="preserve"> STYLEREF  ES-Titre2_ESI  \* MERGEFORMAT </w:instrText>
    </w:r>
    <w:r w:rsidRPr="005B46C9">
      <w:rPr>
        <w:sz w:val="16"/>
        <w:szCs w:val="16"/>
        <w:lang w:eastAsia="de-DE"/>
      </w:rPr>
      <w:fldChar w:fldCharType="separate"/>
    </w:r>
    <w:r w:rsidR="00F12BAF" w:rsidRPr="00F12BAF">
      <w:rPr>
        <w:bCs/>
        <w:noProof/>
        <w:sz w:val="16"/>
        <w:szCs w:val="16"/>
        <w:lang w:val="en-US" w:eastAsia="de-DE"/>
      </w:rPr>
      <w:t>ESI-II-4</w:t>
    </w:r>
    <w:r w:rsidR="00F12BAF" w:rsidRPr="00F12BAF">
      <w:rPr>
        <w:bCs/>
        <w:noProof/>
        <w:sz w:val="16"/>
        <w:szCs w:val="16"/>
        <w:lang w:val="en-US" w:eastAsia="de-DE"/>
      </w:rPr>
      <w:br/>
      <w:t>Capacity for taking evasive action</w:t>
    </w:r>
    <w:r w:rsidR="00F12BAF">
      <w:rPr>
        <w:noProof/>
        <w:sz w:val="16"/>
        <w:szCs w:val="16"/>
        <w:lang w:val="en-GB" w:eastAsia="de-DE"/>
      </w:rPr>
      <w:t xml:space="preserve"> and turning capacity</w:t>
    </w:r>
    <w:r w:rsidRPr="005B46C9">
      <w:rPr>
        <w:sz w:val="16"/>
        <w:szCs w:val="16"/>
        <w:lang w:eastAsia="de-DE"/>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9025E1" w:rsidRDefault="00C60AC1" w:rsidP="00D45887">
    <w:pPr>
      <w:widowControl w:val="0"/>
      <w:pBdr>
        <w:bottom w:val="single" w:sz="6" w:space="1" w:color="auto"/>
      </w:pBdr>
      <w:tabs>
        <w:tab w:val="right" w:pos="9072"/>
      </w:tabs>
      <w:autoSpaceDE/>
      <w:autoSpaceDN/>
      <w:jc w:val="right"/>
      <w:rPr>
        <w:sz w:val="16"/>
        <w:szCs w:val="16"/>
        <w:lang w:val="en-US" w:eastAsia="de-DE"/>
      </w:rPr>
    </w:pPr>
    <w:r w:rsidRPr="009025E1">
      <w:rPr>
        <w:sz w:val="16"/>
        <w:szCs w:val="16"/>
        <w:lang w:val="en-US" w:eastAsia="de-DE"/>
      </w:rPr>
      <w:t xml:space="preserve">ES-TRIN </w:t>
    </w:r>
    <w:r w:rsidRPr="009025E1">
      <w:rPr>
        <w:sz w:val="16"/>
        <w:szCs w:val="16"/>
        <w:lang w:val="en-US" w:eastAsia="de-DE"/>
      </w:rPr>
      <w:tab/>
    </w:r>
    <w:r>
      <w:rPr>
        <w:sz w:val="16"/>
        <w:szCs w:val="16"/>
        <w:lang w:eastAsia="de-DE"/>
      </w:rPr>
      <w:fldChar w:fldCharType="begin"/>
    </w:r>
    <w:r w:rsidRPr="009025E1">
      <w:rPr>
        <w:sz w:val="16"/>
        <w:szCs w:val="16"/>
        <w:lang w:val="en-US" w:eastAsia="de-DE"/>
      </w:rPr>
      <w:instrText xml:space="preserve"> STYLEREF  ES-Titre2  \* MERGEFORMAT </w:instrText>
    </w:r>
    <w:r>
      <w:rPr>
        <w:sz w:val="16"/>
        <w:szCs w:val="16"/>
        <w:lang w:eastAsia="de-DE"/>
      </w:rPr>
      <w:fldChar w:fldCharType="separate"/>
    </w:r>
    <w:r>
      <w:rPr>
        <w:noProof/>
        <w:sz w:val="16"/>
        <w:szCs w:val="16"/>
        <w:lang w:val="en-US" w:eastAsia="de-DE"/>
      </w:rPr>
      <w:t>Annex 8</w:t>
    </w:r>
    <w:r>
      <w:rPr>
        <w:noProof/>
        <w:sz w:val="16"/>
        <w:szCs w:val="16"/>
        <w:lang w:val="en-US" w:eastAsia="de-DE"/>
      </w:rPr>
      <w:br/>
      <w:t>Supplementary provisions applicable to craft operating</w:t>
    </w:r>
    <w:r>
      <w:rPr>
        <w:noProof/>
        <w:sz w:val="16"/>
        <w:szCs w:val="16"/>
        <w:lang w:val="en-US" w:eastAsia="de-DE"/>
      </w:rPr>
      <w:br/>
      <w:t>on fuels with a flashpoint equal to or lower than 55  C</w:t>
    </w:r>
    <w:r>
      <w:rPr>
        <w:sz w:val="16"/>
        <w:szCs w:val="16"/>
        <w:lang w:eastAsia="de-DE"/>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5B46C9" w:rsidRDefault="00C60AC1" w:rsidP="00D45887">
    <w:pPr>
      <w:widowControl w:val="0"/>
      <w:pBdr>
        <w:bottom w:val="single" w:sz="6" w:space="1" w:color="auto"/>
      </w:pBdr>
      <w:tabs>
        <w:tab w:val="right" w:pos="9072"/>
      </w:tabs>
      <w:autoSpaceDE/>
      <w:autoSpaceDN/>
      <w:jc w:val="right"/>
      <w:rPr>
        <w:sz w:val="16"/>
        <w:szCs w:val="16"/>
        <w:lang w:val="en-US" w:eastAsia="de-DE"/>
      </w:rPr>
    </w:pPr>
    <w:r w:rsidRPr="005B46C9">
      <w:rPr>
        <w:sz w:val="16"/>
        <w:szCs w:val="16"/>
        <w:lang w:val="en-US" w:eastAsia="de-DE"/>
      </w:rPr>
      <w:t xml:space="preserve">ES-TRIN </w:t>
    </w:r>
    <w:r w:rsidRPr="005B46C9">
      <w:rPr>
        <w:sz w:val="16"/>
        <w:szCs w:val="16"/>
        <w:lang w:val="en-US" w:eastAsia="de-DE"/>
      </w:rPr>
      <w:tab/>
    </w:r>
    <w:r w:rsidRPr="005B46C9">
      <w:rPr>
        <w:sz w:val="16"/>
        <w:szCs w:val="16"/>
        <w:lang w:eastAsia="de-DE"/>
      </w:rPr>
      <w:fldChar w:fldCharType="begin"/>
    </w:r>
    <w:r w:rsidRPr="005B46C9">
      <w:rPr>
        <w:sz w:val="16"/>
        <w:szCs w:val="16"/>
        <w:lang w:val="en-US" w:eastAsia="de-DE"/>
      </w:rPr>
      <w:instrText xml:space="preserve"> STYLEREF  ES-Titre2_ESI  \* MERGEFORMAT </w:instrText>
    </w:r>
    <w:r w:rsidRPr="005B46C9">
      <w:rPr>
        <w:sz w:val="16"/>
        <w:szCs w:val="16"/>
        <w:lang w:eastAsia="de-DE"/>
      </w:rPr>
      <w:fldChar w:fldCharType="separate"/>
    </w:r>
    <w:r w:rsidR="00F12BAF" w:rsidRPr="00F12BAF">
      <w:rPr>
        <w:bCs/>
        <w:noProof/>
        <w:sz w:val="16"/>
        <w:szCs w:val="16"/>
        <w:lang w:val="en-US" w:eastAsia="de-DE"/>
      </w:rPr>
      <w:t>ESI-II-4</w:t>
    </w:r>
    <w:r w:rsidR="00F12BAF" w:rsidRPr="00F12BAF">
      <w:rPr>
        <w:bCs/>
        <w:noProof/>
        <w:sz w:val="16"/>
        <w:szCs w:val="16"/>
        <w:lang w:val="en-US" w:eastAsia="de-DE"/>
      </w:rPr>
      <w:br/>
      <w:t>Capacity for taking evasive action</w:t>
    </w:r>
    <w:r w:rsidR="00F12BAF">
      <w:rPr>
        <w:noProof/>
        <w:sz w:val="16"/>
        <w:szCs w:val="16"/>
        <w:lang w:val="en-US" w:eastAsia="de-DE"/>
      </w:rPr>
      <w:t xml:space="preserve"> and turning capacity</w:t>
    </w:r>
    <w:r w:rsidRPr="005B46C9">
      <w:rPr>
        <w:sz w:val="16"/>
        <w:szCs w:val="16"/>
        <w:lang w:eastAsia="de-DE"/>
      </w:rPr>
      <w:fldChar w:fldCharType="end"/>
    </w:r>
    <w:r>
      <w:rPr>
        <w:sz w:val="16"/>
        <w:szCs w:val="16"/>
        <w:lang w:val="en-US" w:eastAsia="de-DE"/>
      </w:rPr>
      <w:t xml:space="preserve"> - </w:t>
    </w:r>
    <w:r>
      <w:rPr>
        <w:sz w:val="16"/>
        <w:szCs w:val="16"/>
        <w:lang w:val="en-US" w:eastAsia="de-DE"/>
      </w:rPr>
      <w:fldChar w:fldCharType="begin"/>
    </w:r>
    <w:r>
      <w:rPr>
        <w:sz w:val="16"/>
        <w:szCs w:val="16"/>
        <w:lang w:val="en-US" w:eastAsia="de-DE"/>
      </w:rPr>
      <w:instrText xml:space="preserve"> STYLEREF  ES-Titre4  \* MERGEFORMAT </w:instrText>
    </w:r>
    <w:r>
      <w:rPr>
        <w:sz w:val="16"/>
        <w:szCs w:val="16"/>
        <w:lang w:val="en-US" w:eastAsia="de-DE"/>
      </w:rPr>
      <w:fldChar w:fldCharType="separate"/>
    </w:r>
    <w:r w:rsidR="00F12BAF">
      <w:rPr>
        <w:noProof/>
        <w:sz w:val="16"/>
        <w:szCs w:val="16"/>
        <w:lang w:val="en-US" w:eastAsia="de-DE"/>
      </w:rPr>
      <w:t>Annex 1 to instruction ESI-II-4</w:t>
    </w:r>
    <w:r>
      <w:rPr>
        <w:sz w:val="16"/>
        <w:szCs w:val="16"/>
        <w:lang w:val="en-US" w:eastAsia="de-DE"/>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5B46C9" w:rsidRDefault="00C60AC1" w:rsidP="00D45887">
    <w:pPr>
      <w:widowControl w:val="0"/>
      <w:pBdr>
        <w:bottom w:val="single" w:sz="6" w:space="1" w:color="auto"/>
      </w:pBdr>
      <w:tabs>
        <w:tab w:val="right" w:pos="9072"/>
      </w:tabs>
      <w:autoSpaceDE/>
      <w:autoSpaceDN/>
      <w:jc w:val="right"/>
      <w:rPr>
        <w:sz w:val="16"/>
        <w:szCs w:val="16"/>
        <w:lang w:val="en-US" w:eastAsia="de-DE"/>
      </w:rPr>
    </w:pPr>
    <w:r w:rsidRPr="005B46C9">
      <w:rPr>
        <w:sz w:val="16"/>
        <w:szCs w:val="16"/>
        <w:lang w:val="en-US" w:eastAsia="de-DE"/>
      </w:rPr>
      <w:t xml:space="preserve">ES-TRIN </w:t>
    </w:r>
    <w:r w:rsidRPr="005B46C9">
      <w:rPr>
        <w:sz w:val="16"/>
        <w:szCs w:val="16"/>
        <w:lang w:val="en-US" w:eastAsia="de-DE"/>
      </w:rPr>
      <w:tab/>
    </w:r>
    <w:r w:rsidRPr="005B46C9">
      <w:rPr>
        <w:sz w:val="16"/>
        <w:szCs w:val="16"/>
        <w:lang w:eastAsia="de-DE"/>
      </w:rPr>
      <w:fldChar w:fldCharType="begin"/>
    </w:r>
    <w:r w:rsidRPr="005B46C9">
      <w:rPr>
        <w:sz w:val="16"/>
        <w:szCs w:val="16"/>
        <w:lang w:val="en-US" w:eastAsia="de-DE"/>
      </w:rPr>
      <w:instrText xml:space="preserve"> STYLEREF  ES-Titre2_ESI  \* MERGEFORMAT </w:instrText>
    </w:r>
    <w:r w:rsidRPr="005B46C9">
      <w:rPr>
        <w:sz w:val="16"/>
        <w:szCs w:val="16"/>
        <w:lang w:eastAsia="de-DE"/>
      </w:rPr>
      <w:fldChar w:fldCharType="separate"/>
    </w:r>
    <w:r w:rsidR="00F12BAF" w:rsidRPr="00F12BAF">
      <w:rPr>
        <w:bCs/>
        <w:noProof/>
        <w:sz w:val="16"/>
        <w:szCs w:val="16"/>
        <w:lang w:val="en-US" w:eastAsia="de-DE"/>
      </w:rPr>
      <w:t>ESI-II-4</w:t>
    </w:r>
    <w:r w:rsidR="00F12BAF" w:rsidRPr="00F12BAF">
      <w:rPr>
        <w:bCs/>
        <w:noProof/>
        <w:sz w:val="16"/>
        <w:szCs w:val="16"/>
        <w:lang w:val="en-US" w:eastAsia="de-DE"/>
      </w:rPr>
      <w:br/>
      <w:t>Capacity for taking evasive action</w:t>
    </w:r>
    <w:r w:rsidR="00F12BAF">
      <w:rPr>
        <w:noProof/>
        <w:sz w:val="16"/>
        <w:szCs w:val="16"/>
        <w:lang w:val="en-US" w:eastAsia="de-DE"/>
      </w:rPr>
      <w:t xml:space="preserve"> and turning capacity</w:t>
    </w:r>
    <w:r w:rsidRPr="005B46C9">
      <w:rPr>
        <w:sz w:val="16"/>
        <w:szCs w:val="16"/>
        <w:lang w:eastAsia="de-DE"/>
      </w:rPr>
      <w:fldChar w:fldCharType="end"/>
    </w:r>
    <w:r w:rsidRPr="005B46C9">
      <w:rPr>
        <w:sz w:val="16"/>
        <w:szCs w:val="16"/>
        <w:lang w:val="en-US" w:eastAsia="de-DE"/>
      </w:rPr>
      <w:t xml:space="preserve"> - </w:t>
    </w:r>
    <w:r>
      <w:rPr>
        <w:sz w:val="16"/>
        <w:szCs w:val="16"/>
        <w:lang w:val="en-US" w:eastAsia="de-DE"/>
      </w:rPr>
      <w:fldChar w:fldCharType="begin"/>
    </w:r>
    <w:r>
      <w:rPr>
        <w:sz w:val="16"/>
        <w:szCs w:val="16"/>
        <w:lang w:val="en-US" w:eastAsia="de-DE"/>
      </w:rPr>
      <w:instrText xml:space="preserve"> STYLEREF  ES-Titre4  \* MERGEFORMAT </w:instrText>
    </w:r>
    <w:r>
      <w:rPr>
        <w:sz w:val="16"/>
        <w:szCs w:val="16"/>
        <w:lang w:val="en-US" w:eastAsia="de-DE"/>
      </w:rPr>
      <w:fldChar w:fldCharType="separate"/>
    </w:r>
    <w:r w:rsidR="00F12BAF">
      <w:rPr>
        <w:noProof/>
        <w:sz w:val="16"/>
        <w:szCs w:val="16"/>
        <w:lang w:val="en-US" w:eastAsia="de-DE"/>
      </w:rPr>
      <w:t>Annex 2 to instruction ESI-II-4</w:t>
    </w:r>
    <w:r>
      <w:rPr>
        <w:sz w:val="16"/>
        <w:szCs w:val="16"/>
        <w:lang w:val="en-US" w:eastAsia="de-DE"/>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9025E1" w:rsidRDefault="00C60AC1" w:rsidP="00D45887">
    <w:pPr>
      <w:widowControl w:val="0"/>
      <w:pBdr>
        <w:bottom w:val="single" w:sz="6" w:space="1" w:color="auto"/>
      </w:pBdr>
      <w:tabs>
        <w:tab w:val="right" w:pos="9070"/>
      </w:tabs>
      <w:autoSpaceDE/>
      <w:autoSpaceDN/>
      <w:jc w:val="right"/>
      <w:rPr>
        <w:sz w:val="16"/>
        <w:szCs w:val="16"/>
        <w:lang w:val="en-US" w:eastAsia="de-DE"/>
      </w:rPr>
    </w:pPr>
    <w:r w:rsidRPr="009025E1">
      <w:rPr>
        <w:sz w:val="16"/>
        <w:szCs w:val="16"/>
        <w:lang w:val="en-US" w:eastAsia="de-DE"/>
      </w:rPr>
      <w:t>ES-TRIN</w:t>
    </w:r>
    <w:r w:rsidRPr="009025E1">
      <w:rPr>
        <w:lang w:val="en-US"/>
      </w:rPr>
      <w:tab/>
    </w:r>
    <w:r>
      <w:rPr>
        <w:sz w:val="16"/>
        <w:szCs w:val="16"/>
      </w:rPr>
      <w:fldChar w:fldCharType="begin"/>
    </w:r>
    <w:r w:rsidRPr="009025E1">
      <w:rPr>
        <w:sz w:val="16"/>
        <w:szCs w:val="16"/>
        <w:lang w:val="en-US"/>
      </w:rPr>
      <w:instrText xml:space="preserve"> STYLEREF  ES-Titre2  \* MERGEFORMAT </w:instrText>
    </w:r>
    <w:r>
      <w:rPr>
        <w:sz w:val="16"/>
        <w:szCs w:val="16"/>
      </w:rPr>
      <w:fldChar w:fldCharType="separate"/>
    </w:r>
    <w:r>
      <w:rPr>
        <w:noProof/>
        <w:sz w:val="16"/>
        <w:szCs w:val="16"/>
        <w:lang w:val="en-US"/>
      </w:rPr>
      <w:t>Annex 8</w:t>
    </w:r>
    <w:r>
      <w:rPr>
        <w:noProof/>
        <w:sz w:val="16"/>
        <w:szCs w:val="16"/>
        <w:lang w:val="en-US"/>
      </w:rPr>
      <w:br/>
      <w:t>Supplementary provisions applicable to craft operating</w:t>
    </w:r>
    <w:r>
      <w:rPr>
        <w:noProof/>
        <w:sz w:val="16"/>
        <w:szCs w:val="16"/>
        <w:lang w:val="en-US"/>
      </w:rPr>
      <w:br/>
      <w:t>on fuels with a flashpoint equal to or lower than 55  C</w:t>
    </w:r>
    <w:r>
      <w:rPr>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7957F9" w:rsidRDefault="00C60AC1" w:rsidP="004B2505">
    <w:pPr>
      <w:widowControl w:val="0"/>
      <w:pBdr>
        <w:bottom w:val="single" w:sz="4" w:space="1" w:color="auto"/>
      </w:pBdr>
      <w:tabs>
        <w:tab w:val="right" w:pos="9072"/>
      </w:tabs>
      <w:autoSpaceDE/>
      <w:autoSpaceDN/>
      <w:ind w:left="0" w:firstLine="0"/>
      <w:jc w:val="right"/>
      <w:rPr>
        <w:rFonts w:cs="Arial"/>
        <w:sz w:val="16"/>
        <w:szCs w:val="16"/>
        <w:lang w:val="en-US" w:eastAsia="de-DE"/>
      </w:rPr>
    </w:pPr>
    <w:r w:rsidRPr="00395A9E">
      <w:rPr>
        <w:sz w:val="16"/>
        <w:szCs w:val="16"/>
        <w:lang w:val="en-US" w:eastAsia="de-DE"/>
      </w:rPr>
      <w:t>ES-TRIN</w:t>
    </w:r>
    <w:r w:rsidRPr="00395A9E">
      <w:rPr>
        <w:sz w:val="16"/>
        <w:szCs w:val="16"/>
        <w:lang w:val="en-US" w:eastAsia="de-DE"/>
      </w:rPr>
      <w:tab/>
    </w:r>
    <w:r w:rsidRPr="007957F9">
      <w:rPr>
        <w:sz w:val="16"/>
        <w:szCs w:val="16"/>
      </w:rPr>
      <w:fldChar w:fldCharType="begin"/>
    </w:r>
    <w:r w:rsidRPr="007957F9">
      <w:rPr>
        <w:sz w:val="16"/>
        <w:szCs w:val="16"/>
        <w:lang w:val="en-US"/>
      </w:rPr>
      <w:instrText xml:space="preserve"> STYLEREF  ES-Titre2  \* MERGEFORMAT </w:instrText>
    </w:r>
    <w:r w:rsidRPr="007957F9">
      <w:rPr>
        <w:sz w:val="16"/>
        <w:szCs w:val="16"/>
      </w:rPr>
      <w:fldChar w:fldCharType="separate"/>
    </w:r>
    <w:r w:rsidR="00F12BAF" w:rsidRPr="00F12BAF">
      <w:rPr>
        <w:rFonts w:cs="Arial"/>
        <w:noProof/>
        <w:sz w:val="16"/>
        <w:szCs w:val="16"/>
        <w:lang w:val="en-US"/>
      </w:rPr>
      <w:t>Chapter 31</w:t>
    </w:r>
    <w:r w:rsidR="00F12BAF" w:rsidRPr="00F12BAF">
      <w:rPr>
        <w:rFonts w:cs="Arial"/>
        <w:noProof/>
        <w:sz w:val="16"/>
        <w:szCs w:val="16"/>
        <w:lang w:val="en-US"/>
      </w:rPr>
      <w:br/>
    </w:r>
    <w:r w:rsidR="00F12BAF">
      <w:rPr>
        <w:noProof/>
        <w:sz w:val="16"/>
        <w:szCs w:val="16"/>
        <w:lang w:val="en-US"/>
      </w:rPr>
      <w:t>Special provisions applicable to vessels sailing with minimum crew</w:t>
    </w:r>
    <w:r w:rsidRPr="007957F9">
      <w:rPr>
        <w:rFonts w:cs="Arial"/>
        <w:noProof/>
        <w:sz w:val="16"/>
        <w:szCs w:val="16"/>
        <w:lang w:val="en-US"/>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C30168" w:rsidRDefault="00C60AC1" w:rsidP="00D45887">
    <w:pPr>
      <w:widowControl w:val="0"/>
      <w:pBdr>
        <w:bottom w:val="single" w:sz="6" w:space="1" w:color="auto"/>
      </w:pBdr>
      <w:tabs>
        <w:tab w:val="right" w:pos="9072"/>
      </w:tabs>
      <w:autoSpaceDE/>
      <w:autoSpaceDN/>
      <w:jc w:val="right"/>
      <w:rPr>
        <w:sz w:val="16"/>
        <w:szCs w:val="16"/>
        <w:lang w:val="en-US" w:eastAsia="de-DE"/>
      </w:rPr>
    </w:pPr>
    <w:r w:rsidRPr="00C30168">
      <w:rPr>
        <w:sz w:val="16"/>
        <w:szCs w:val="16"/>
        <w:lang w:val="en-US" w:eastAsia="de-DE"/>
      </w:rPr>
      <w:t xml:space="preserve">ES-TRIN </w:t>
    </w:r>
    <w:r w:rsidRPr="00C30168">
      <w:rPr>
        <w:sz w:val="16"/>
        <w:szCs w:val="16"/>
        <w:lang w:val="en-US" w:eastAsia="de-DE"/>
      </w:rPr>
      <w:tab/>
    </w:r>
    <w:r>
      <w:rPr>
        <w:sz w:val="16"/>
        <w:szCs w:val="16"/>
        <w:lang w:eastAsia="de-DE"/>
      </w:rPr>
      <w:fldChar w:fldCharType="begin"/>
    </w:r>
    <w:r w:rsidRPr="00E846E9">
      <w:rPr>
        <w:sz w:val="16"/>
        <w:szCs w:val="16"/>
        <w:lang w:val="en-US" w:eastAsia="de-DE"/>
      </w:rPr>
      <w:instrText xml:space="preserve"> STYLEREF  ES-Titre2_ESI  \* MERGEFORMAT </w:instrText>
    </w:r>
    <w:r>
      <w:rPr>
        <w:sz w:val="16"/>
        <w:szCs w:val="16"/>
        <w:lang w:eastAsia="de-DE"/>
      </w:rPr>
      <w:fldChar w:fldCharType="separate"/>
    </w:r>
    <w:r w:rsidR="00F12BAF">
      <w:rPr>
        <w:noProof/>
        <w:sz w:val="16"/>
        <w:szCs w:val="16"/>
        <w:lang w:val="en-US" w:eastAsia="de-DE"/>
      </w:rPr>
      <w:t>ESI-II-9</w:t>
    </w:r>
    <w:r w:rsidR="00F12BAF">
      <w:rPr>
        <w:noProof/>
        <w:sz w:val="16"/>
        <w:szCs w:val="16"/>
        <w:lang w:val="en-US" w:eastAsia="de-DE"/>
      </w:rPr>
      <w:br/>
      <w:t>Special anchors with reduced mass</w:t>
    </w:r>
    <w:r>
      <w:rPr>
        <w:sz w:val="16"/>
        <w:szCs w:val="16"/>
        <w:lang w:eastAsia="de-DE"/>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9025E1" w:rsidRDefault="00C60AC1" w:rsidP="00D45887">
    <w:pPr>
      <w:widowControl w:val="0"/>
      <w:pBdr>
        <w:bottom w:val="single" w:sz="6" w:space="1" w:color="auto"/>
      </w:pBdr>
      <w:tabs>
        <w:tab w:val="right" w:pos="13892"/>
      </w:tabs>
      <w:autoSpaceDE/>
      <w:autoSpaceDN/>
      <w:ind w:left="0" w:firstLine="0"/>
      <w:jc w:val="right"/>
      <w:rPr>
        <w:sz w:val="16"/>
        <w:szCs w:val="16"/>
        <w:lang w:val="en-US" w:eastAsia="de-DE"/>
      </w:rPr>
    </w:pPr>
    <w:r w:rsidRPr="009025E1">
      <w:rPr>
        <w:sz w:val="16"/>
        <w:szCs w:val="16"/>
        <w:lang w:val="en-US" w:eastAsia="de-DE"/>
      </w:rPr>
      <w:t xml:space="preserve">ES-TRIN </w:t>
    </w:r>
    <w:r w:rsidRPr="009025E1">
      <w:rPr>
        <w:sz w:val="16"/>
        <w:szCs w:val="16"/>
        <w:lang w:val="en-US" w:eastAsia="de-DE"/>
      </w:rPr>
      <w:tab/>
    </w:r>
    <w:r>
      <w:rPr>
        <w:sz w:val="16"/>
        <w:szCs w:val="16"/>
        <w:lang w:eastAsia="de-DE"/>
      </w:rPr>
      <w:fldChar w:fldCharType="begin"/>
    </w:r>
    <w:r w:rsidRPr="00E846E9">
      <w:rPr>
        <w:sz w:val="16"/>
        <w:szCs w:val="16"/>
        <w:lang w:val="en-US" w:eastAsia="de-DE"/>
      </w:rPr>
      <w:instrText xml:space="preserve"> STYLEREF  ES-Titre2_ESI  \* MERGEFORMAT </w:instrText>
    </w:r>
    <w:r>
      <w:rPr>
        <w:sz w:val="16"/>
        <w:szCs w:val="16"/>
        <w:lang w:eastAsia="de-DE"/>
      </w:rPr>
      <w:fldChar w:fldCharType="separate"/>
    </w:r>
    <w:r w:rsidR="00F12BAF">
      <w:rPr>
        <w:noProof/>
        <w:sz w:val="16"/>
        <w:szCs w:val="16"/>
        <w:lang w:val="en-US" w:eastAsia="de-DE"/>
      </w:rPr>
      <w:t>ESI-II-9</w:t>
    </w:r>
    <w:r w:rsidR="00F12BAF">
      <w:rPr>
        <w:noProof/>
        <w:sz w:val="16"/>
        <w:szCs w:val="16"/>
        <w:lang w:val="en-US" w:eastAsia="de-DE"/>
      </w:rPr>
      <w:br/>
      <w:t>Special anchors with reduced mass</w:t>
    </w:r>
    <w:r>
      <w:rPr>
        <w:sz w:val="16"/>
        <w:szCs w:val="16"/>
        <w:lang w:eastAsia="de-DE"/>
      </w:rPr>
      <w:fldChar w:fldCharType="end"/>
    </w:r>
    <w:r w:rsidRPr="009025E1">
      <w:rPr>
        <w:sz w:val="16"/>
        <w:szCs w:val="16"/>
        <w:lang w:val="en-US" w:eastAsia="de-DE"/>
      </w:rPr>
      <w:t xml:space="preserve"> - </w:t>
    </w:r>
    <w:r>
      <w:rPr>
        <w:sz w:val="16"/>
        <w:szCs w:val="16"/>
        <w:lang w:val="en-US" w:eastAsia="de-DE"/>
      </w:rPr>
      <w:fldChar w:fldCharType="begin"/>
    </w:r>
    <w:r>
      <w:rPr>
        <w:sz w:val="16"/>
        <w:szCs w:val="16"/>
        <w:lang w:val="en-US" w:eastAsia="de-DE"/>
      </w:rPr>
      <w:instrText xml:space="preserve"> STYLEREF  ES-Titre4  \* MERGEFORMAT </w:instrText>
    </w:r>
    <w:r>
      <w:rPr>
        <w:sz w:val="16"/>
        <w:szCs w:val="16"/>
        <w:lang w:val="en-US" w:eastAsia="de-DE"/>
      </w:rPr>
      <w:fldChar w:fldCharType="separate"/>
    </w:r>
    <w:r w:rsidR="00F12BAF">
      <w:rPr>
        <w:noProof/>
        <w:sz w:val="16"/>
        <w:szCs w:val="16"/>
        <w:lang w:val="en-US" w:eastAsia="de-DE"/>
      </w:rPr>
      <w:t>Annex 1 to instruction ESI-II-9</w:t>
    </w:r>
    <w:r>
      <w:rPr>
        <w:sz w:val="16"/>
        <w:szCs w:val="16"/>
        <w:lang w:val="en-US" w:eastAsia="de-DE"/>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9025E1" w:rsidRDefault="00C60AC1" w:rsidP="00D45887">
    <w:pPr>
      <w:widowControl w:val="0"/>
      <w:pBdr>
        <w:bottom w:val="single" w:sz="6" w:space="1" w:color="auto"/>
      </w:pBdr>
      <w:tabs>
        <w:tab w:val="right" w:pos="9072"/>
      </w:tabs>
      <w:autoSpaceDE/>
      <w:autoSpaceDN/>
      <w:jc w:val="right"/>
      <w:rPr>
        <w:sz w:val="16"/>
        <w:szCs w:val="16"/>
        <w:lang w:val="en-US" w:eastAsia="de-DE"/>
      </w:rPr>
    </w:pPr>
    <w:r w:rsidRPr="009025E1">
      <w:rPr>
        <w:sz w:val="16"/>
        <w:szCs w:val="16"/>
        <w:lang w:val="en-US" w:eastAsia="de-DE"/>
      </w:rPr>
      <w:t xml:space="preserve">ES-TRIN </w:t>
    </w:r>
    <w:r w:rsidRPr="009025E1">
      <w:rPr>
        <w:sz w:val="16"/>
        <w:szCs w:val="16"/>
        <w:lang w:val="en-US" w:eastAsia="de-DE"/>
      </w:rPr>
      <w:tab/>
    </w:r>
    <w:r>
      <w:rPr>
        <w:sz w:val="16"/>
        <w:szCs w:val="16"/>
        <w:lang w:eastAsia="de-DE"/>
      </w:rPr>
      <w:fldChar w:fldCharType="begin"/>
    </w:r>
    <w:r w:rsidRPr="00E846E9">
      <w:rPr>
        <w:sz w:val="16"/>
        <w:szCs w:val="16"/>
        <w:lang w:val="en-US" w:eastAsia="de-DE"/>
      </w:rPr>
      <w:instrText xml:space="preserve"> STYLEREF  ES-Titre2_ESI  \* MERGEFORMAT </w:instrText>
    </w:r>
    <w:r>
      <w:rPr>
        <w:sz w:val="16"/>
        <w:szCs w:val="16"/>
        <w:lang w:eastAsia="de-DE"/>
      </w:rPr>
      <w:fldChar w:fldCharType="separate"/>
    </w:r>
    <w:r w:rsidR="00F12BAF">
      <w:rPr>
        <w:noProof/>
        <w:sz w:val="16"/>
        <w:szCs w:val="16"/>
        <w:lang w:val="en-US" w:eastAsia="de-DE"/>
      </w:rPr>
      <w:t>ESI-II-10</w:t>
    </w:r>
    <w:r w:rsidR="00F12BAF">
      <w:rPr>
        <w:noProof/>
        <w:sz w:val="16"/>
        <w:szCs w:val="16"/>
        <w:lang w:val="en-US" w:eastAsia="de-DE"/>
      </w:rPr>
      <w:br/>
      <w:t>Automatic pressurised water sprinklers</w:t>
    </w:r>
    <w:r>
      <w:rPr>
        <w:sz w:val="16"/>
        <w:szCs w:val="16"/>
        <w:lang w:eastAsia="de-DE"/>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C64DB8" w:rsidRDefault="00C60AC1" w:rsidP="00D45887">
    <w:pPr>
      <w:widowControl w:val="0"/>
      <w:pBdr>
        <w:bottom w:val="single" w:sz="6" w:space="1" w:color="auto"/>
      </w:pBdr>
      <w:tabs>
        <w:tab w:val="right" w:pos="9072"/>
      </w:tabs>
      <w:autoSpaceDE/>
      <w:autoSpaceDN/>
      <w:jc w:val="right"/>
      <w:rPr>
        <w:sz w:val="16"/>
        <w:szCs w:val="16"/>
        <w:lang w:val="en-US" w:eastAsia="de-DE"/>
      </w:rPr>
    </w:pPr>
    <w:r w:rsidRPr="00C64DB8">
      <w:rPr>
        <w:sz w:val="16"/>
        <w:szCs w:val="16"/>
        <w:lang w:val="en-US" w:eastAsia="de-DE"/>
      </w:rPr>
      <w:t xml:space="preserve">ES-TRIN </w:t>
    </w:r>
    <w:r w:rsidRPr="00C64DB8">
      <w:rPr>
        <w:sz w:val="16"/>
        <w:szCs w:val="16"/>
        <w:lang w:val="en-US" w:eastAsia="de-DE"/>
      </w:rPr>
      <w:tab/>
    </w:r>
    <w:r>
      <w:rPr>
        <w:sz w:val="16"/>
        <w:szCs w:val="16"/>
        <w:lang w:eastAsia="de-DE"/>
      </w:rPr>
      <w:fldChar w:fldCharType="begin"/>
    </w:r>
    <w:r>
      <w:rPr>
        <w:sz w:val="16"/>
        <w:szCs w:val="16"/>
        <w:lang w:eastAsia="de-DE"/>
      </w:rPr>
      <w:instrText xml:space="preserve"> STYLEREF  ES-Titre2_ESI  \* MERGEFORMAT </w:instrText>
    </w:r>
    <w:r>
      <w:rPr>
        <w:sz w:val="16"/>
        <w:szCs w:val="16"/>
        <w:lang w:eastAsia="de-DE"/>
      </w:rPr>
      <w:fldChar w:fldCharType="separate"/>
    </w:r>
    <w:r w:rsidR="00F12BAF">
      <w:rPr>
        <w:noProof/>
        <w:sz w:val="16"/>
        <w:szCs w:val="16"/>
        <w:lang w:eastAsia="de-DE"/>
      </w:rPr>
      <w:t>ESI-IV-1</w:t>
    </w:r>
    <w:r w:rsidR="00F12BAF">
      <w:rPr>
        <w:noProof/>
        <w:sz w:val="16"/>
        <w:szCs w:val="16"/>
        <w:lang w:eastAsia="de-DE"/>
      </w:rPr>
      <w:br/>
      <w:t>Application of transitional provisions</w:t>
    </w:r>
    <w:r>
      <w:rPr>
        <w:sz w:val="16"/>
        <w:szCs w:val="16"/>
        <w:lang w:eastAsia="de-DE"/>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9025E1" w:rsidRDefault="00C60AC1" w:rsidP="00D45887">
    <w:pPr>
      <w:widowControl w:val="0"/>
      <w:pBdr>
        <w:bottom w:val="single" w:sz="6" w:space="1" w:color="auto"/>
      </w:pBdr>
      <w:tabs>
        <w:tab w:val="right" w:pos="9070"/>
      </w:tabs>
      <w:autoSpaceDE/>
      <w:autoSpaceDN/>
      <w:jc w:val="right"/>
      <w:rPr>
        <w:sz w:val="16"/>
        <w:szCs w:val="16"/>
        <w:lang w:val="en-US" w:eastAsia="de-DE"/>
      </w:rPr>
    </w:pPr>
    <w:r w:rsidRPr="009025E1">
      <w:rPr>
        <w:sz w:val="16"/>
        <w:szCs w:val="16"/>
        <w:lang w:val="en-US" w:eastAsia="de-DE"/>
      </w:rPr>
      <w:t>ES-TRIN</w:t>
    </w:r>
    <w:r w:rsidRPr="009025E1">
      <w:rPr>
        <w:lang w:val="en-US"/>
      </w:rPr>
      <w:tab/>
    </w:r>
    <w:r>
      <w:rPr>
        <w:sz w:val="16"/>
        <w:szCs w:val="16"/>
      </w:rPr>
      <w:fldChar w:fldCharType="begin"/>
    </w:r>
    <w:r>
      <w:rPr>
        <w:sz w:val="16"/>
        <w:szCs w:val="16"/>
      </w:rPr>
      <w:instrText xml:space="preserve"> STYLEREF  ES-Titre2_ESI  \* MERGEFORMAT </w:instrText>
    </w:r>
    <w:r>
      <w:rPr>
        <w:sz w:val="16"/>
        <w:szCs w:val="16"/>
      </w:rPr>
      <w:fldChar w:fldCharType="separate"/>
    </w:r>
    <w:r w:rsidR="00F12BAF">
      <w:rPr>
        <w:noProof/>
        <w:sz w:val="16"/>
        <w:szCs w:val="16"/>
      </w:rPr>
      <w:t>ESI-IV-1</w:t>
    </w:r>
    <w:r w:rsidR="00F12BAF">
      <w:rPr>
        <w:noProof/>
        <w:sz w:val="16"/>
        <w:szCs w:val="16"/>
      </w:rPr>
      <w:br/>
      <w:t>Application of transitional provisions</w:t>
    </w:r>
    <w:r>
      <w:rPr>
        <w:sz w:val="16"/>
        <w:szCs w:val="1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D71B1A" w:rsidRDefault="00C60AC1" w:rsidP="00D71B1A">
    <w:pPr>
      <w:widowControl w:val="0"/>
      <w:pBdr>
        <w:bottom w:val="single" w:sz="6" w:space="1" w:color="auto"/>
      </w:pBdr>
      <w:tabs>
        <w:tab w:val="left" w:pos="8250"/>
        <w:tab w:val="right" w:pos="9070"/>
      </w:tabs>
      <w:autoSpaceDE/>
      <w:autoSpaceDN/>
      <w:rPr>
        <w:sz w:val="16"/>
        <w:szCs w:val="16"/>
        <w:lang w:val="en-US"/>
      </w:rPr>
    </w:pPr>
    <w:r w:rsidRPr="00436930">
      <w:rPr>
        <w:sz w:val="16"/>
        <w:szCs w:val="16"/>
        <w:lang w:eastAsia="de-DE"/>
      </w:rPr>
      <w:t>ES-TRIN</w:t>
    </w:r>
    <w:r w:rsidRPr="00436930">
      <w:tab/>
    </w:r>
    <w:r w:rsidRPr="00D71B1A">
      <w:rPr>
        <w:sz w:val="16"/>
        <w:szCs w:val="16"/>
        <w:lang w:val="en-US"/>
      </w:rPr>
      <w:t>Chapter 3</w:t>
    </w:r>
  </w:p>
  <w:p w:rsidR="00C60AC1" w:rsidRPr="00D71B1A" w:rsidRDefault="00C60AC1" w:rsidP="00AE58CD">
    <w:pPr>
      <w:widowControl w:val="0"/>
      <w:pBdr>
        <w:bottom w:val="single" w:sz="6" w:space="1" w:color="auto"/>
      </w:pBdr>
      <w:tabs>
        <w:tab w:val="right" w:pos="9070"/>
      </w:tabs>
      <w:autoSpaceDE/>
      <w:autoSpaceDN/>
      <w:jc w:val="right"/>
      <w:rPr>
        <w:sz w:val="16"/>
        <w:szCs w:val="16"/>
        <w:lang w:val="en-US" w:eastAsia="de-DE"/>
      </w:rPr>
    </w:pPr>
    <w:r w:rsidRPr="00D71B1A">
      <w:rPr>
        <w:sz w:val="16"/>
        <w:szCs w:val="16"/>
        <w:lang w:val="en-US" w:eastAsia="de-DE"/>
      </w:rPr>
      <w:t>Shipbuilding requirements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C62373" w:rsidRDefault="00C60AC1" w:rsidP="00C62373">
    <w:pPr>
      <w:widowControl w:val="0"/>
      <w:pBdr>
        <w:bottom w:val="single" w:sz="4" w:space="1" w:color="auto"/>
      </w:pBdr>
      <w:tabs>
        <w:tab w:val="right" w:pos="9072"/>
      </w:tabs>
      <w:autoSpaceDE/>
      <w:autoSpaceDN/>
      <w:ind w:left="0" w:firstLine="0"/>
      <w:jc w:val="right"/>
      <w:rPr>
        <w:rFonts w:cs="Arial"/>
        <w:noProof/>
        <w:sz w:val="16"/>
        <w:szCs w:val="16"/>
        <w:lang w:val="en-US"/>
      </w:rPr>
    </w:pPr>
    <w:r w:rsidRPr="00C62373">
      <w:rPr>
        <w:sz w:val="16"/>
        <w:szCs w:val="16"/>
        <w:lang w:val="en-US" w:eastAsia="de-DE"/>
      </w:rPr>
      <w:t>ES-TRIN</w:t>
    </w:r>
    <w:r w:rsidRPr="00C62373">
      <w:rPr>
        <w:sz w:val="16"/>
        <w:szCs w:val="16"/>
        <w:lang w:val="en-US" w:eastAsia="de-DE"/>
      </w:rPr>
      <w:tab/>
    </w:r>
    <w:r>
      <w:rPr>
        <w:rFonts w:cs="Arial"/>
        <w:noProof/>
        <w:sz w:val="16"/>
        <w:szCs w:val="16"/>
        <w:lang w:val="en-US"/>
      </w:rPr>
      <w:fldChar w:fldCharType="begin"/>
    </w:r>
    <w:r w:rsidRPr="00F46C3C">
      <w:rPr>
        <w:rFonts w:cs="Arial"/>
        <w:noProof/>
        <w:sz w:val="16"/>
        <w:szCs w:val="16"/>
        <w:lang w:val="en-US"/>
      </w:rPr>
      <w:instrText xml:space="preserve"> STYLEREF  ES-Titre2  \* MERGEFORMAT </w:instrText>
    </w:r>
    <w:r>
      <w:rPr>
        <w:rFonts w:cs="Arial"/>
        <w:noProof/>
        <w:sz w:val="16"/>
        <w:szCs w:val="16"/>
        <w:lang w:val="en-US"/>
      </w:rPr>
      <w:fldChar w:fldCharType="separate"/>
    </w:r>
    <w:r w:rsidR="00F12BAF">
      <w:rPr>
        <w:rFonts w:cs="Arial"/>
        <w:noProof/>
        <w:sz w:val="16"/>
        <w:szCs w:val="16"/>
        <w:lang w:val="en-US"/>
      </w:rPr>
      <w:t>Chapter 19</w:t>
    </w:r>
    <w:r w:rsidR="00F12BAF">
      <w:rPr>
        <w:rFonts w:cs="Arial"/>
        <w:noProof/>
        <w:sz w:val="16"/>
        <w:szCs w:val="16"/>
        <w:lang w:val="en-US"/>
      </w:rPr>
      <w:br/>
      <w:t>Special provisions applicable to passenger vessels</w:t>
    </w:r>
    <w:r>
      <w:rPr>
        <w:rFonts w:cs="Arial"/>
        <w:noProof/>
        <w:sz w:val="16"/>
        <w:szCs w:val="16"/>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AC1" w:rsidRPr="00C20E00" w:rsidRDefault="00C60AC1" w:rsidP="00DD1033">
    <w:pPr>
      <w:widowControl w:val="0"/>
      <w:pBdr>
        <w:bottom w:val="single" w:sz="6" w:space="1" w:color="auto"/>
      </w:pBdr>
      <w:tabs>
        <w:tab w:val="right" w:pos="14034"/>
      </w:tabs>
      <w:autoSpaceDE/>
      <w:autoSpaceDN/>
      <w:jc w:val="right"/>
      <w:rPr>
        <w:sz w:val="16"/>
        <w:szCs w:val="16"/>
        <w:lang w:val="en-US" w:eastAsia="de-DE"/>
      </w:rPr>
    </w:pPr>
    <w:r w:rsidRPr="001E2331">
      <w:rPr>
        <w:sz w:val="16"/>
        <w:szCs w:val="16"/>
        <w:lang w:val="en-US" w:eastAsia="de-DE"/>
      </w:rPr>
      <w:t>ES-TRIN</w:t>
    </w:r>
    <w:r w:rsidRPr="001E2331">
      <w:rPr>
        <w:lang w:val="en-US"/>
      </w:rPr>
      <w:tab/>
    </w:r>
    <w:r w:rsidRPr="00C20E00">
      <w:rPr>
        <w:sz w:val="16"/>
        <w:szCs w:val="16"/>
      </w:rPr>
      <w:fldChar w:fldCharType="begin"/>
    </w:r>
    <w:r w:rsidRPr="00C20E00">
      <w:rPr>
        <w:sz w:val="16"/>
        <w:szCs w:val="16"/>
      </w:rPr>
      <w:instrText xml:space="preserve"> STYLEREF  ES-Titre2  \* MERGEFORMAT </w:instrText>
    </w:r>
    <w:r w:rsidRPr="00C20E00">
      <w:rPr>
        <w:sz w:val="16"/>
        <w:szCs w:val="16"/>
      </w:rPr>
      <w:fldChar w:fldCharType="separate"/>
    </w:r>
    <w:r w:rsidR="00F12BAF" w:rsidRPr="00F12BAF">
      <w:rPr>
        <w:noProof/>
        <w:sz w:val="16"/>
        <w:szCs w:val="16"/>
        <w:lang w:val="en-US"/>
      </w:rPr>
      <w:t>Chapter 32</w:t>
    </w:r>
    <w:r w:rsidR="00F12BAF" w:rsidRPr="00F12BAF">
      <w:rPr>
        <w:noProof/>
        <w:sz w:val="16"/>
        <w:szCs w:val="16"/>
        <w:lang w:val="en-US"/>
      </w:rPr>
      <w:br/>
      <w:t>Transitional provisions for craft navigating on the Rhine (</w:t>
    </w:r>
    <w:r w:rsidR="00F12BAF">
      <w:rPr>
        <w:noProof/>
        <w:sz w:val="16"/>
        <w:szCs w:val="16"/>
      </w:rPr>
      <w:t>Zone R)</w:t>
    </w:r>
    <w:r w:rsidRPr="00C20E00">
      <w:rPr>
        <w:noProof/>
        <w:sz w:val="16"/>
        <w:szCs w:val="16"/>
      </w:rPr>
      <w:fldChar w:fldCharType="end"/>
    </w:r>
    <w:r w:rsidRPr="00C20E00">
      <w:rPr>
        <w:sz w:val="16"/>
        <w:szCs w:val="16"/>
        <w:lang w:val="en-US"/>
      </w:rPr>
      <w:t xml:space="preserve"> - </w:t>
    </w:r>
    <w:r>
      <w:rPr>
        <w:sz w:val="16"/>
        <w:szCs w:val="16"/>
        <w:lang w:val="en-US"/>
      </w:rPr>
      <w:fldChar w:fldCharType="begin"/>
    </w:r>
    <w:r>
      <w:rPr>
        <w:sz w:val="16"/>
        <w:szCs w:val="16"/>
        <w:lang w:val="en-US"/>
      </w:rPr>
      <w:instrText xml:space="preserve"> STYLEREF  ES-Titre3  \* MERGEFORMAT </w:instrText>
    </w:r>
    <w:r>
      <w:rPr>
        <w:sz w:val="16"/>
        <w:szCs w:val="16"/>
        <w:lang w:val="en-US"/>
      </w:rPr>
      <w:fldChar w:fldCharType="separate"/>
    </w:r>
    <w:r w:rsidR="00F12BAF">
      <w:rPr>
        <w:noProof/>
        <w:sz w:val="16"/>
        <w:szCs w:val="16"/>
        <w:lang w:val="en-US"/>
      </w:rPr>
      <w:t>Article 32.02</w:t>
    </w:r>
    <w:r>
      <w:rPr>
        <w:sz w:val="16"/>
        <w:szCs w:val="16"/>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1416"/>
        </w:tabs>
        <w:ind w:left="1416" w:hanging="708"/>
      </w:pPr>
      <w:rPr>
        <w:rFonts w:ascii="Times New Roman" w:hAnsi="Times New Roman" w:cs="Times New Roman"/>
      </w:rPr>
    </w:lvl>
  </w:abstractNum>
  <w:abstractNum w:abstractNumId="1" w15:restartNumberingAfterBreak="0">
    <w:nsid w:val="00000004"/>
    <w:multiLevelType w:val="multilevel"/>
    <w:tmpl w:val="00000004"/>
    <w:name w:val="WW8Num4"/>
    <w:lvl w:ilvl="0">
      <w:start w:val="2"/>
      <w:numFmt w:val="decimal"/>
      <w:pStyle w:val="jeveux"/>
      <w:lvlText w:val="%1."/>
      <w:lvlJc w:val="left"/>
      <w:pPr>
        <w:tabs>
          <w:tab w:val="num" w:pos="794"/>
        </w:tabs>
        <w:ind w:left="720" w:hanging="692"/>
      </w:pPr>
    </w:lvl>
    <w:lvl w:ilvl="1">
      <w:start w:val="9"/>
      <w:numFmt w:val="bullet"/>
      <w:lvlText w:val="-"/>
      <w:lvlJc w:val="left"/>
      <w:pPr>
        <w:tabs>
          <w:tab w:val="num" w:pos="794"/>
        </w:tabs>
        <w:ind w:left="1440" w:hanging="1412"/>
      </w:pPr>
      <w:rPr>
        <w:rFonts w:ascii="Times New Roman" w:hAnsi="Times New Roman" w:cs="Times New Roman"/>
      </w:rPr>
    </w:lvl>
    <w:lvl w:ilvl="2">
      <w:start w:val="1"/>
      <w:numFmt w:val="lowerRoman"/>
      <w:lvlText w:val="%3."/>
      <w:lvlJc w:val="left"/>
      <w:pPr>
        <w:tabs>
          <w:tab w:val="num" w:pos="794"/>
        </w:tabs>
        <w:ind w:left="2160" w:hanging="2132"/>
      </w:pPr>
    </w:lvl>
    <w:lvl w:ilvl="3">
      <w:start w:val="1"/>
      <w:numFmt w:val="decimal"/>
      <w:lvlText w:val="%4."/>
      <w:lvlJc w:val="left"/>
      <w:pPr>
        <w:tabs>
          <w:tab w:val="num" w:pos="794"/>
        </w:tabs>
        <w:ind w:left="2880" w:hanging="2852"/>
      </w:pPr>
    </w:lvl>
    <w:lvl w:ilvl="4">
      <w:start w:val="1"/>
      <w:numFmt w:val="lowerLetter"/>
      <w:lvlText w:val="%5."/>
      <w:lvlJc w:val="left"/>
      <w:pPr>
        <w:tabs>
          <w:tab w:val="num" w:pos="794"/>
        </w:tabs>
        <w:ind w:left="3600" w:hanging="3572"/>
      </w:pPr>
    </w:lvl>
    <w:lvl w:ilvl="5">
      <w:start w:val="1"/>
      <w:numFmt w:val="lowerRoman"/>
      <w:lvlText w:val="%6."/>
      <w:lvlJc w:val="left"/>
      <w:pPr>
        <w:tabs>
          <w:tab w:val="num" w:pos="794"/>
        </w:tabs>
        <w:ind w:left="4320" w:hanging="4292"/>
      </w:pPr>
    </w:lvl>
    <w:lvl w:ilvl="6">
      <w:start w:val="1"/>
      <w:numFmt w:val="decimal"/>
      <w:lvlText w:val="%7."/>
      <w:lvlJc w:val="left"/>
      <w:pPr>
        <w:tabs>
          <w:tab w:val="num" w:pos="794"/>
        </w:tabs>
        <w:ind w:left="5040" w:hanging="5012"/>
      </w:pPr>
    </w:lvl>
    <w:lvl w:ilvl="7">
      <w:start w:val="1"/>
      <w:numFmt w:val="lowerLetter"/>
      <w:lvlText w:val="%8."/>
      <w:lvlJc w:val="left"/>
      <w:pPr>
        <w:tabs>
          <w:tab w:val="num" w:pos="794"/>
        </w:tabs>
        <w:ind w:left="5760" w:hanging="5732"/>
      </w:pPr>
    </w:lvl>
    <w:lvl w:ilvl="8">
      <w:start w:val="1"/>
      <w:numFmt w:val="lowerRoman"/>
      <w:lvlText w:val="%9."/>
      <w:lvlJc w:val="left"/>
      <w:pPr>
        <w:tabs>
          <w:tab w:val="num" w:pos="794"/>
        </w:tabs>
        <w:ind w:left="6480" w:hanging="6452"/>
      </w:pPr>
    </w:lvl>
  </w:abstractNum>
  <w:abstractNum w:abstractNumId="2" w15:restartNumberingAfterBreak="0">
    <w:nsid w:val="0AFD4894"/>
    <w:multiLevelType w:val="singleLevel"/>
    <w:tmpl w:val="FAC02758"/>
    <w:name w:val="Tiret 0"/>
    <w:lvl w:ilvl="0">
      <w:start w:val="1"/>
      <w:numFmt w:val="bullet"/>
      <w:lvlRestart w:val="0"/>
      <w:lvlText w:val="–"/>
      <w:lvlJc w:val="left"/>
      <w:pPr>
        <w:tabs>
          <w:tab w:val="num" w:pos="850"/>
        </w:tabs>
        <w:ind w:left="850" w:hanging="850"/>
      </w:pPr>
    </w:lvl>
  </w:abstractNum>
  <w:abstractNum w:abstractNumId="3" w15:restartNumberingAfterBreak="0">
    <w:nsid w:val="137A65C0"/>
    <w:multiLevelType w:val="hybridMultilevel"/>
    <w:tmpl w:val="95C29EC0"/>
    <w:lvl w:ilvl="0" w:tplc="D292A33A">
      <w:numFmt w:val="bullet"/>
      <w:lvlText w:val=""/>
      <w:lvlJc w:val="left"/>
      <w:pPr>
        <w:ind w:left="720" w:hanging="360"/>
      </w:pPr>
      <w:rPr>
        <w:rFonts w:ascii="Symbol" w:eastAsia="Times New Roman" w:hAnsi="Symbol" w:cs="Aria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E21A42"/>
    <w:multiLevelType w:val="multilevel"/>
    <w:tmpl w:val="15C8F9F4"/>
    <w:lvl w:ilvl="0">
      <w:start w:val="1"/>
      <w:numFmt w:val="decimal"/>
      <w:lvlText w:val="%1."/>
      <w:lvlJc w:val="left"/>
      <w:pPr>
        <w:tabs>
          <w:tab w:val="num" w:pos="720"/>
        </w:tabs>
        <w:ind w:left="720" w:hanging="360"/>
      </w:pPr>
    </w:lvl>
    <w:lvl w:ilvl="1">
      <w:start w:val="1"/>
      <w:numFmt w:val="decimal"/>
      <w:isLgl/>
      <w:lvlText w:val="%1.%2"/>
      <w:lvlJc w:val="left"/>
      <w:pPr>
        <w:tabs>
          <w:tab w:val="num" w:pos="735"/>
        </w:tabs>
        <w:ind w:left="735" w:hanging="37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 w15:restartNumberingAfterBreak="0">
    <w:nsid w:val="20A057E8"/>
    <w:multiLevelType w:val="hybridMultilevel"/>
    <w:tmpl w:val="97A87118"/>
    <w:lvl w:ilvl="0" w:tplc="C61CCFA6">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633AA5"/>
    <w:multiLevelType w:val="singleLevel"/>
    <w:tmpl w:val="43740D98"/>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7" w15:restartNumberingAfterBreak="0">
    <w:nsid w:val="274F3331"/>
    <w:multiLevelType w:val="hybridMultilevel"/>
    <w:tmpl w:val="4B6CC5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DA1323F"/>
    <w:multiLevelType w:val="hybridMultilevel"/>
    <w:tmpl w:val="424A924C"/>
    <w:lvl w:ilvl="0" w:tplc="FFFFFFFF">
      <w:start w:val="14"/>
      <w:numFmt w:val="bullet"/>
      <w:lvlText w:val="-"/>
      <w:lvlJc w:val="left"/>
      <w:pPr>
        <w:ind w:left="720" w:hanging="360"/>
      </w:pPr>
      <w:rPr>
        <w:rFonts w:ascii="Arial" w:eastAsia="Times New Roman" w:hAnsi="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35374226"/>
    <w:multiLevelType w:val="multilevel"/>
    <w:tmpl w:val="D680A9BC"/>
    <w:lvl w:ilvl="0">
      <w:start w:val="2"/>
      <w:numFmt w:val="decimal"/>
      <w:lvlText w:val="%1."/>
      <w:lvlJc w:val="left"/>
      <w:pPr>
        <w:tabs>
          <w:tab w:val="num" w:pos="720"/>
        </w:tabs>
        <w:ind w:left="720" w:hanging="360"/>
      </w:pPr>
    </w:lvl>
    <w:lvl w:ilvl="1">
      <w:start w:val="1"/>
      <w:numFmt w:val="decimal"/>
      <w:isLgl/>
      <w:lvlText w:val="%1.%2"/>
      <w:lvlJc w:val="left"/>
      <w:pPr>
        <w:tabs>
          <w:tab w:val="num" w:pos="735"/>
        </w:tabs>
        <w:ind w:left="735" w:hanging="37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0" w15:restartNumberingAfterBreak="0">
    <w:nsid w:val="375E5176"/>
    <w:multiLevelType w:val="hybridMultilevel"/>
    <w:tmpl w:val="06228422"/>
    <w:lvl w:ilvl="0" w:tplc="F3F6B24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5233CE"/>
    <w:multiLevelType w:val="hybridMultilevel"/>
    <w:tmpl w:val="77BC0B34"/>
    <w:lvl w:ilvl="0" w:tplc="50424CEC">
      <w:start w:val="1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8043E9"/>
    <w:multiLevelType w:val="hybridMultilevel"/>
    <w:tmpl w:val="CBCA938C"/>
    <w:lvl w:ilvl="0" w:tplc="25A807C0">
      <w:start w:val="1"/>
      <w:numFmt w:val="decimal"/>
      <w:lvlText w:val="%1."/>
      <w:lvlJc w:val="left"/>
      <w:pPr>
        <w:ind w:left="930"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0665587"/>
    <w:multiLevelType w:val="hybridMultilevel"/>
    <w:tmpl w:val="ABDA506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5"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FFF5257"/>
    <w:multiLevelType w:val="singleLevel"/>
    <w:tmpl w:val="659A5DB2"/>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8" w15:restartNumberingAfterBreak="0">
    <w:nsid w:val="762A79C9"/>
    <w:multiLevelType w:val="hybridMultilevel"/>
    <w:tmpl w:val="0A4E9D96"/>
    <w:lvl w:ilvl="0" w:tplc="9BBCF40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84B2BA1"/>
    <w:multiLevelType w:val="singleLevel"/>
    <w:tmpl w:val="17AC9850"/>
    <w:name w:val="Bullet 1"/>
    <w:lvl w:ilvl="0">
      <w:start w:val="1"/>
      <w:numFmt w:val="lowerLetter"/>
      <w:lvlRestart w:val="0"/>
      <w:pStyle w:val="Bullet1"/>
      <w:lvlText w:val="%1)"/>
      <w:lvlJc w:val="left"/>
      <w:pPr>
        <w:tabs>
          <w:tab w:val="num" w:pos="1417"/>
        </w:tabs>
        <w:ind w:left="1417" w:hanging="567"/>
      </w:pPr>
      <w:rPr>
        <w:rFonts w:ascii="Times New Roman" w:eastAsia="Times New Roman" w:hAnsi="Times New Roman" w:cs="Times New Roman"/>
      </w:rPr>
    </w:lvl>
  </w:abstractNum>
  <w:abstractNum w:abstractNumId="20" w15:restartNumberingAfterBreak="0">
    <w:nsid w:val="7A61200C"/>
    <w:multiLevelType w:val="multilevel"/>
    <w:tmpl w:val="CC7C38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C7C61AB"/>
    <w:multiLevelType w:val="multilevel"/>
    <w:tmpl w:val="3F04EE72"/>
    <w:name w:val="0,5280224"/>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6"/>
  </w:num>
  <w:num w:numId="2">
    <w:abstractNumId w:val="15"/>
  </w:num>
  <w:num w:numId="3">
    <w:abstractNumId w:val="14"/>
  </w:num>
  <w:num w:numId="4">
    <w:abstractNumId w:val="17"/>
  </w:num>
  <w:num w:numId="5">
    <w:abstractNumId w:val="19"/>
  </w:num>
  <w:num w:numId="6">
    <w:abstractNumId w:val="6"/>
  </w:num>
  <w:num w:numId="7">
    <w:abstractNumId w:val="11"/>
  </w:num>
  <w:num w:numId="8">
    <w:abstractNumId w:val="5"/>
  </w:num>
  <w:num w:numId="9">
    <w:abstractNumId w:val="1"/>
  </w:num>
  <w:num w:numId="10">
    <w:abstractNumId w:val="20"/>
  </w:num>
  <w:num w:numId="11">
    <w:abstractNumId w:val="3"/>
  </w:num>
  <w:num w:numId="12">
    <w:abstractNumId w:val="7"/>
  </w:num>
  <w:num w:numId="13">
    <w:abstractNumId w:val="18"/>
  </w:num>
  <w:num w:numId="14">
    <w:abstractNumId w:val="10"/>
  </w:num>
  <w:num w:numId="15">
    <w:abstractNumId w:val="13"/>
  </w:num>
  <w:num w:numId="16">
    <w:abstractNumId w:val="8"/>
  </w:num>
  <w:num w:numId="17">
    <w:abstractNumId w:val="12"/>
  </w:num>
  <w:num w:numId="18">
    <w:abstractNumId w:val="0"/>
  </w:num>
  <w:num w:numId="19">
    <w:abstractNumId w:val="21"/>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trackRevisions/>
  <w:doNotTrackFormatting/>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3276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D96"/>
    <w:rsid w:val="000009AC"/>
    <w:rsid w:val="00001079"/>
    <w:rsid w:val="00001650"/>
    <w:rsid w:val="00002CF3"/>
    <w:rsid w:val="00003903"/>
    <w:rsid w:val="00006207"/>
    <w:rsid w:val="00007D56"/>
    <w:rsid w:val="00011E41"/>
    <w:rsid w:val="00014931"/>
    <w:rsid w:val="00014FF4"/>
    <w:rsid w:val="000153B3"/>
    <w:rsid w:val="00016542"/>
    <w:rsid w:val="00016B72"/>
    <w:rsid w:val="00017B11"/>
    <w:rsid w:val="00017C69"/>
    <w:rsid w:val="00020374"/>
    <w:rsid w:val="00020D02"/>
    <w:rsid w:val="000222E9"/>
    <w:rsid w:val="000225FB"/>
    <w:rsid w:val="000228A4"/>
    <w:rsid w:val="00022DFD"/>
    <w:rsid w:val="0002366B"/>
    <w:rsid w:val="000236CB"/>
    <w:rsid w:val="00025E87"/>
    <w:rsid w:val="000265D0"/>
    <w:rsid w:val="00031119"/>
    <w:rsid w:val="000323C7"/>
    <w:rsid w:val="000323F4"/>
    <w:rsid w:val="00033E56"/>
    <w:rsid w:val="00034331"/>
    <w:rsid w:val="00034977"/>
    <w:rsid w:val="00034CAA"/>
    <w:rsid w:val="00035837"/>
    <w:rsid w:val="0003592A"/>
    <w:rsid w:val="00035FE4"/>
    <w:rsid w:val="000403EC"/>
    <w:rsid w:val="000403F6"/>
    <w:rsid w:val="000418C9"/>
    <w:rsid w:val="00043377"/>
    <w:rsid w:val="00044E4F"/>
    <w:rsid w:val="00051641"/>
    <w:rsid w:val="000525EE"/>
    <w:rsid w:val="000526B5"/>
    <w:rsid w:val="000532D6"/>
    <w:rsid w:val="000536A6"/>
    <w:rsid w:val="000544E4"/>
    <w:rsid w:val="00054791"/>
    <w:rsid w:val="0005522B"/>
    <w:rsid w:val="00055419"/>
    <w:rsid w:val="000562CE"/>
    <w:rsid w:val="00056313"/>
    <w:rsid w:val="0005658E"/>
    <w:rsid w:val="00057037"/>
    <w:rsid w:val="0006083D"/>
    <w:rsid w:val="00060F09"/>
    <w:rsid w:val="00061B86"/>
    <w:rsid w:val="00063D84"/>
    <w:rsid w:val="00064BFC"/>
    <w:rsid w:val="00065064"/>
    <w:rsid w:val="00065CEE"/>
    <w:rsid w:val="00066459"/>
    <w:rsid w:val="000672C2"/>
    <w:rsid w:val="0006780B"/>
    <w:rsid w:val="00067BB9"/>
    <w:rsid w:val="00071AAC"/>
    <w:rsid w:val="00072057"/>
    <w:rsid w:val="00072882"/>
    <w:rsid w:val="0007393A"/>
    <w:rsid w:val="00074639"/>
    <w:rsid w:val="00074C87"/>
    <w:rsid w:val="00074E15"/>
    <w:rsid w:val="00077A58"/>
    <w:rsid w:val="00077A7F"/>
    <w:rsid w:val="000804D1"/>
    <w:rsid w:val="00080F6D"/>
    <w:rsid w:val="000813F1"/>
    <w:rsid w:val="00083340"/>
    <w:rsid w:val="00083603"/>
    <w:rsid w:val="00086CF5"/>
    <w:rsid w:val="00090862"/>
    <w:rsid w:val="00090EDC"/>
    <w:rsid w:val="0009266E"/>
    <w:rsid w:val="000928CC"/>
    <w:rsid w:val="00092AD1"/>
    <w:rsid w:val="00092FA7"/>
    <w:rsid w:val="00095462"/>
    <w:rsid w:val="0009596F"/>
    <w:rsid w:val="000A105C"/>
    <w:rsid w:val="000A13AD"/>
    <w:rsid w:val="000A15B3"/>
    <w:rsid w:val="000A1609"/>
    <w:rsid w:val="000A290B"/>
    <w:rsid w:val="000A2F1D"/>
    <w:rsid w:val="000A2F7F"/>
    <w:rsid w:val="000A399F"/>
    <w:rsid w:val="000A3F57"/>
    <w:rsid w:val="000A52E4"/>
    <w:rsid w:val="000A7601"/>
    <w:rsid w:val="000B2B59"/>
    <w:rsid w:val="000B35AC"/>
    <w:rsid w:val="000B4123"/>
    <w:rsid w:val="000B44A5"/>
    <w:rsid w:val="000B4982"/>
    <w:rsid w:val="000B4A23"/>
    <w:rsid w:val="000B4F66"/>
    <w:rsid w:val="000B60B9"/>
    <w:rsid w:val="000B68E7"/>
    <w:rsid w:val="000C0499"/>
    <w:rsid w:val="000C0B7A"/>
    <w:rsid w:val="000C1DB3"/>
    <w:rsid w:val="000C41E0"/>
    <w:rsid w:val="000C6892"/>
    <w:rsid w:val="000C6BE9"/>
    <w:rsid w:val="000D0F00"/>
    <w:rsid w:val="000D24E1"/>
    <w:rsid w:val="000D2654"/>
    <w:rsid w:val="000D3267"/>
    <w:rsid w:val="000D326E"/>
    <w:rsid w:val="000D3586"/>
    <w:rsid w:val="000D44AE"/>
    <w:rsid w:val="000D613C"/>
    <w:rsid w:val="000D6771"/>
    <w:rsid w:val="000D7607"/>
    <w:rsid w:val="000E1628"/>
    <w:rsid w:val="000E1B99"/>
    <w:rsid w:val="000E1F46"/>
    <w:rsid w:val="000E2CDC"/>
    <w:rsid w:val="000E30BB"/>
    <w:rsid w:val="000E49C3"/>
    <w:rsid w:val="000E4A73"/>
    <w:rsid w:val="000E5F8A"/>
    <w:rsid w:val="000E732C"/>
    <w:rsid w:val="000E7E11"/>
    <w:rsid w:val="000F09D4"/>
    <w:rsid w:val="000F1B69"/>
    <w:rsid w:val="000F215E"/>
    <w:rsid w:val="000F3425"/>
    <w:rsid w:val="000F3AFD"/>
    <w:rsid w:val="000F41DF"/>
    <w:rsid w:val="000F42F5"/>
    <w:rsid w:val="000F53DA"/>
    <w:rsid w:val="000F600A"/>
    <w:rsid w:val="000F6553"/>
    <w:rsid w:val="000F7006"/>
    <w:rsid w:val="00100EF1"/>
    <w:rsid w:val="00101CB2"/>
    <w:rsid w:val="00101D20"/>
    <w:rsid w:val="0010389F"/>
    <w:rsid w:val="0010666B"/>
    <w:rsid w:val="00106E92"/>
    <w:rsid w:val="001077F3"/>
    <w:rsid w:val="00107B2C"/>
    <w:rsid w:val="001107BF"/>
    <w:rsid w:val="001108EB"/>
    <w:rsid w:val="00110BC9"/>
    <w:rsid w:val="00111867"/>
    <w:rsid w:val="00113730"/>
    <w:rsid w:val="00114DA7"/>
    <w:rsid w:val="00116526"/>
    <w:rsid w:val="001171AE"/>
    <w:rsid w:val="001179E7"/>
    <w:rsid w:val="00117BDC"/>
    <w:rsid w:val="0012395A"/>
    <w:rsid w:val="001243C3"/>
    <w:rsid w:val="00124738"/>
    <w:rsid w:val="00124817"/>
    <w:rsid w:val="00124E9C"/>
    <w:rsid w:val="00125490"/>
    <w:rsid w:val="001257FE"/>
    <w:rsid w:val="001267B1"/>
    <w:rsid w:val="0012747B"/>
    <w:rsid w:val="0012781A"/>
    <w:rsid w:val="001317E7"/>
    <w:rsid w:val="00133108"/>
    <w:rsid w:val="00133F19"/>
    <w:rsid w:val="00135E26"/>
    <w:rsid w:val="001363D1"/>
    <w:rsid w:val="00136542"/>
    <w:rsid w:val="00136BFD"/>
    <w:rsid w:val="00137A45"/>
    <w:rsid w:val="00140690"/>
    <w:rsid w:val="00141B17"/>
    <w:rsid w:val="001427DF"/>
    <w:rsid w:val="0014563E"/>
    <w:rsid w:val="00145B96"/>
    <w:rsid w:val="001469B0"/>
    <w:rsid w:val="00147283"/>
    <w:rsid w:val="001476EC"/>
    <w:rsid w:val="00151656"/>
    <w:rsid w:val="00151AEA"/>
    <w:rsid w:val="00153AB4"/>
    <w:rsid w:val="001542BC"/>
    <w:rsid w:val="00154B30"/>
    <w:rsid w:val="00155AB8"/>
    <w:rsid w:val="00155D5C"/>
    <w:rsid w:val="00156207"/>
    <w:rsid w:val="00157062"/>
    <w:rsid w:val="001575C2"/>
    <w:rsid w:val="0016074C"/>
    <w:rsid w:val="00160E19"/>
    <w:rsid w:val="001610C7"/>
    <w:rsid w:val="00161AB6"/>
    <w:rsid w:val="00161BF6"/>
    <w:rsid w:val="0016282C"/>
    <w:rsid w:val="0016317F"/>
    <w:rsid w:val="0016337E"/>
    <w:rsid w:val="00163956"/>
    <w:rsid w:val="001640EF"/>
    <w:rsid w:val="00165024"/>
    <w:rsid w:val="00165F82"/>
    <w:rsid w:val="001662DB"/>
    <w:rsid w:val="00166C9D"/>
    <w:rsid w:val="00166DDA"/>
    <w:rsid w:val="0016731B"/>
    <w:rsid w:val="0016750C"/>
    <w:rsid w:val="001705E4"/>
    <w:rsid w:val="0017082D"/>
    <w:rsid w:val="00171478"/>
    <w:rsid w:val="00171AF1"/>
    <w:rsid w:val="00172F8E"/>
    <w:rsid w:val="001749C4"/>
    <w:rsid w:val="0017546E"/>
    <w:rsid w:val="00176095"/>
    <w:rsid w:val="0017630F"/>
    <w:rsid w:val="0017699E"/>
    <w:rsid w:val="00176B5A"/>
    <w:rsid w:val="00177969"/>
    <w:rsid w:val="00177CE4"/>
    <w:rsid w:val="001807CA"/>
    <w:rsid w:val="00181116"/>
    <w:rsid w:val="00181BB6"/>
    <w:rsid w:val="0018270B"/>
    <w:rsid w:val="0018359A"/>
    <w:rsid w:val="00183609"/>
    <w:rsid w:val="00183D1F"/>
    <w:rsid w:val="001851F8"/>
    <w:rsid w:val="001853EE"/>
    <w:rsid w:val="001856B5"/>
    <w:rsid w:val="001865DF"/>
    <w:rsid w:val="00190746"/>
    <w:rsid w:val="00190B8A"/>
    <w:rsid w:val="00191DB0"/>
    <w:rsid w:val="00192ED9"/>
    <w:rsid w:val="00194498"/>
    <w:rsid w:val="001958C0"/>
    <w:rsid w:val="00195D93"/>
    <w:rsid w:val="001964F8"/>
    <w:rsid w:val="00196FBC"/>
    <w:rsid w:val="00197723"/>
    <w:rsid w:val="00197F7A"/>
    <w:rsid w:val="001A16CD"/>
    <w:rsid w:val="001A19C2"/>
    <w:rsid w:val="001A409D"/>
    <w:rsid w:val="001A583E"/>
    <w:rsid w:val="001A6B1D"/>
    <w:rsid w:val="001A723F"/>
    <w:rsid w:val="001A7DAB"/>
    <w:rsid w:val="001B09F1"/>
    <w:rsid w:val="001B1AA7"/>
    <w:rsid w:val="001B2673"/>
    <w:rsid w:val="001B3D1D"/>
    <w:rsid w:val="001B4203"/>
    <w:rsid w:val="001B4DBC"/>
    <w:rsid w:val="001B500F"/>
    <w:rsid w:val="001B543F"/>
    <w:rsid w:val="001B5ABA"/>
    <w:rsid w:val="001B62AD"/>
    <w:rsid w:val="001B6FDF"/>
    <w:rsid w:val="001B7F10"/>
    <w:rsid w:val="001C1441"/>
    <w:rsid w:val="001C15FF"/>
    <w:rsid w:val="001C29FD"/>
    <w:rsid w:val="001C46BB"/>
    <w:rsid w:val="001C47D9"/>
    <w:rsid w:val="001C4EBD"/>
    <w:rsid w:val="001C4EBE"/>
    <w:rsid w:val="001C566A"/>
    <w:rsid w:val="001C5E10"/>
    <w:rsid w:val="001C7F2E"/>
    <w:rsid w:val="001D0FFC"/>
    <w:rsid w:val="001D190F"/>
    <w:rsid w:val="001D2AF7"/>
    <w:rsid w:val="001D2DFD"/>
    <w:rsid w:val="001D61F0"/>
    <w:rsid w:val="001D67AA"/>
    <w:rsid w:val="001D6819"/>
    <w:rsid w:val="001D71AA"/>
    <w:rsid w:val="001E1E3E"/>
    <w:rsid w:val="001E2331"/>
    <w:rsid w:val="001E24E0"/>
    <w:rsid w:val="001E2A58"/>
    <w:rsid w:val="001E33AF"/>
    <w:rsid w:val="001E4DDC"/>
    <w:rsid w:val="001E571A"/>
    <w:rsid w:val="001E577F"/>
    <w:rsid w:val="001E59A4"/>
    <w:rsid w:val="001E65D1"/>
    <w:rsid w:val="001E6F07"/>
    <w:rsid w:val="001E7C77"/>
    <w:rsid w:val="001F02E6"/>
    <w:rsid w:val="001F14D0"/>
    <w:rsid w:val="001F173C"/>
    <w:rsid w:val="001F199D"/>
    <w:rsid w:val="001F1A9D"/>
    <w:rsid w:val="001F1AC2"/>
    <w:rsid w:val="001F1CE5"/>
    <w:rsid w:val="001F4463"/>
    <w:rsid w:val="001F4766"/>
    <w:rsid w:val="001F7283"/>
    <w:rsid w:val="002004C3"/>
    <w:rsid w:val="00200817"/>
    <w:rsid w:val="00201BA8"/>
    <w:rsid w:val="00202533"/>
    <w:rsid w:val="002025EC"/>
    <w:rsid w:val="00203319"/>
    <w:rsid w:val="00203A7C"/>
    <w:rsid w:val="002043D6"/>
    <w:rsid w:val="00204E05"/>
    <w:rsid w:val="002052A6"/>
    <w:rsid w:val="00210A11"/>
    <w:rsid w:val="00211AAA"/>
    <w:rsid w:val="0021540A"/>
    <w:rsid w:val="0021687F"/>
    <w:rsid w:val="00216BFB"/>
    <w:rsid w:val="00217AA8"/>
    <w:rsid w:val="00220FB5"/>
    <w:rsid w:val="00221291"/>
    <w:rsid w:val="00222FDC"/>
    <w:rsid w:val="002233AD"/>
    <w:rsid w:val="00223F08"/>
    <w:rsid w:val="00225A33"/>
    <w:rsid w:val="00226293"/>
    <w:rsid w:val="00226336"/>
    <w:rsid w:val="00226353"/>
    <w:rsid w:val="00226A59"/>
    <w:rsid w:val="0022701F"/>
    <w:rsid w:val="00230288"/>
    <w:rsid w:val="00230625"/>
    <w:rsid w:val="00234B95"/>
    <w:rsid w:val="0023703A"/>
    <w:rsid w:val="0023707F"/>
    <w:rsid w:val="00237080"/>
    <w:rsid w:val="002404BE"/>
    <w:rsid w:val="00241CDC"/>
    <w:rsid w:val="002424B9"/>
    <w:rsid w:val="00242D8C"/>
    <w:rsid w:val="00242E51"/>
    <w:rsid w:val="002433BB"/>
    <w:rsid w:val="00243762"/>
    <w:rsid w:val="00243A81"/>
    <w:rsid w:val="00244AE3"/>
    <w:rsid w:val="00245091"/>
    <w:rsid w:val="00246883"/>
    <w:rsid w:val="002470D6"/>
    <w:rsid w:val="002506E7"/>
    <w:rsid w:val="00250DD7"/>
    <w:rsid w:val="00251454"/>
    <w:rsid w:val="0025243A"/>
    <w:rsid w:val="00253FD8"/>
    <w:rsid w:val="00254134"/>
    <w:rsid w:val="00256F6F"/>
    <w:rsid w:val="00257F0E"/>
    <w:rsid w:val="00260F40"/>
    <w:rsid w:val="002614C4"/>
    <w:rsid w:val="00261847"/>
    <w:rsid w:val="00262467"/>
    <w:rsid w:val="00263BAB"/>
    <w:rsid w:val="002647C0"/>
    <w:rsid w:val="0026577D"/>
    <w:rsid w:val="00266522"/>
    <w:rsid w:val="00270FEE"/>
    <w:rsid w:val="0027136B"/>
    <w:rsid w:val="00271B3E"/>
    <w:rsid w:val="00271E61"/>
    <w:rsid w:val="002722AA"/>
    <w:rsid w:val="002723EF"/>
    <w:rsid w:val="002725E7"/>
    <w:rsid w:val="00273268"/>
    <w:rsid w:val="00274B79"/>
    <w:rsid w:val="00274DBA"/>
    <w:rsid w:val="00274EE8"/>
    <w:rsid w:val="0027500D"/>
    <w:rsid w:val="00275065"/>
    <w:rsid w:val="00275ADD"/>
    <w:rsid w:val="00275FCF"/>
    <w:rsid w:val="00276993"/>
    <w:rsid w:val="00277E12"/>
    <w:rsid w:val="00277E63"/>
    <w:rsid w:val="002808E4"/>
    <w:rsid w:val="002816B8"/>
    <w:rsid w:val="002828C5"/>
    <w:rsid w:val="00283317"/>
    <w:rsid w:val="002836CA"/>
    <w:rsid w:val="00283723"/>
    <w:rsid w:val="00283BC6"/>
    <w:rsid w:val="00283D5F"/>
    <w:rsid w:val="00283E41"/>
    <w:rsid w:val="00284D7D"/>
    <w:rsid w:val="00286D03"/>
    <w:rsid w:val="00290108"/>
    <w:rsid w:val="00290368"/>
    <w:rsid w:val="002908AA"/>
    <w:rsid w:val="00291A42"/>
    <w:rsid w:val="00292101"/>
    <w:rsid w:val="00293067"/>
    <w:rsid w:val="002938DE"/>
    <w:rsid w:val="0029395D"/>
    <w:rsid w:val="00293D2C"/>
    <w:rsid w:val="0029453D"/>
    <w:rsid w:val="0029618E"/>
    <w:rsid w:val="00296858"/>
    <w:rsid w:val="002A0558"/>
    <w:rsid w:val="002A2E8E"/>
    <w:rsid w:val="002A3799"/>
    <w:rsid w:val="002A434E"/>
    <w:rsid w:val="002A46AD"/>
    <w:rsid w:val="002A624E"/>
    <w:rsid w:val="002A6D89"/>
    <w:rsid w:val="002A778C"/>
    <w:rsid w:val="002A7BC6"/>
    <w:rsid w:val="002B1925"/>
    <w:rsid w:val="002B1E93"/>
    <w:rsid w:val="002B22A4"/>
    <w:rsid w:val="002B2F9A"/>
    <w:rsid w:val="002B3AE0"/>
    <w:rsid w:val="002B4577"/>
    <w:rsid w:val="002B6B2C"/>
    <w:rsid w:val="002B715D"/>
    <w:rsid w:val="002C0BA5"/>
    <w:rsid w:val="002C0EB8"/>
    <w:rsid w:val="002C0F5F"/>
    <w:rsid w:val="002C32DD"/>
    <w:rsid w:val="002C3798"/>
    <w:rsid w:val="002C3FF7"/>
    <w:rsid w:val="002C44F2"/>
    <w:rsid w:val="002C527C"/>
    <w:rsid w:val="002C64B3"/>
    <w:rsid w:val="002D0F03"/>
    <w:rsid w:val="002D1826"/>
    <w:rsid w:val="002D2D76"/>
    <w:rsid w:val="002D3A91"/>
    <w:rsid w:val="002D3F17"/>
    <w:rsid w:val="002D46BA"/>
    <w:rsid w:val="002D4B83"/>
    <w:rsid w:val="002D4CEF"/>
    <w:rsid w:val="002D6150"/>
    <w:rsid w:val="002D7949"/>
    <w:rsid w:val="002E100D"/>
    <w:rsid w:val="002E24E2"/>
    <w:rsid w:val="002E3EAE"/>
    <w:rsid w:val="002E50EF"/>
    <w:rsid w:val="002E6352"/>
    <w:rsid w:val="002E65C8"/>
    <w:rsid w:val="002E6F15"/>
    <w:rsid w:val="002E752A"/>
    <w:rsid w:val="002E78A3"/>
    <w:rsid w:val="002F3A33"/>
    <w:rsid w:val="002F426E"/>
    <w:rsid w:val="002F5184"/>
    <w:rsid w:val="002F5DD8"/>
    <w:rsid w:val="002F6118"/>
    <w:rsid w:val="002F6788"/>
    <w:rsid w:val="002F718A"/>
    <w:rsid w:val="0030176A"/>
    <w:rsid w:val="00302C3E"/>
    <w:rsid w:val="003032D6"/>
    <w:rsid w:val="00305C85"/>
    <w:rsid w:val="00305CA8"/>
    <w:rsid w:val="003062AF"/>
    <w:rsid w:val="00310312"/>
    <w:rsid w:val="00311A98"/>
    <w:rsid w:val="003122DE"/>
    <w:rsid w:val="00312819"/>
    <w:rsid w:val="00312D29"/>
    <w:rsid w:val="00312E1A"/>
    <w:rsid w:val="00313B91"/>
    <w:rsid w:val="0031453E"/>
    <w:rsid w:val="00314706"/>
    <w:rsid w:val="0031552A"/>
    <w:rsid w:val="00316CE7"/>
    <w:rsid w:val="00320866"/>
    <w:rsid w:val="00320B64"/>
    <w:rsid w:val="00320EDC"/>
    <w:rsid w:val="003216FC"/>
    <w:rsid w:val="00321E38"/>
    <w:rsid w:val="003230FD"/>
    <w:rsid w:val="003232B5"/>
    <w:rsid w:val="00324388"/>
    <w:rsid w:val="00325D34"/>
    <w:rsid w:val="00326518"/>
    <w:rsid w:val="00326590"/>
    <w:rsid w:val="00327A49"/>
    <w:rsid w:val="0033095A"/>
    <w:rsid w:val="00330D4B"/>
    <w:rsid w:val="00330FC4"/>
    <w:rsid w:val="0033103A"/>
    <w:rsid w:val="00332197"/>
    <w:rsid w:val="00333A30"/>
    <w:rsid w:val="0033732B"/>
    <w:rsid w:val="00337F85"/>
    <w:rsid w:val="0034036D"/>
    <w:rsid w:val="0034064A"/>
    <w:rsid w:val="00340C95"/>
    <w:rsid w:val="00340F35"/>
    <w:rsid w:val="00342E23"/>
    <w:rsid w:val="00343F41"/>
    <w:rsid w:val="00343FC4"/>
    <w:rsid w:val="00344E11"/>
    <w:rsid w:val="003462BA"/>
    <w:rsid w:val="0034719E"/>
    <w:rsid w:val="003501F9"/>
    <w:rsid w:val="00350277"/>
    <w:rsid w:val="00350554"/>
    <w:rsid w:val="0035095C"/>
    <w:rsid w:val="0035236A"/>
    <w:rsid w:val="00354286"/>
    <w:rsid w:val="00354D10"/>
    <w:rsid w:val="003552BC"/>
    <w:rsid w:val="00355EBF"/>
    <w:rsid w:val="00356281"/>
    <w:rsid w:val="00357056"/>
    <w:rsid w:val="003604EF"/>
    <w:rsid w:val="00360C91"/>
    <w:rsid w:val="00360D41"/>
    <w:rsid w:val="00360E7D"/>
    <w:rsid w:val="00363591"/>
    <w:rsid w:val="00363895"/>
    <w:rsid w:val="00363D0C"/>
    <w:rsid w:val="00363D4F"/>
    <w:rsid w:val="00364496"/>
    <w:rsid w:val="00364497"/>
    <w:rsid w:val="00367800"/>
    <w:rsid w:val="00367B28"/>
    <w:rsid w:val="003712DE"/>
    <w:rsid w:val="00372479"/>
    <w:rsid w:val="0037277F"/>
    <w:rsid w:val="00373D7A"/>
    <w:rsid w:val="00374BB2"/>
    <w:rsid w:val="00375641"/>
    <w:rsid w:val="003765F8"/>
    <w:rsid w:val="00377B97"/>
    <w:rsid w:val="00380358"/>
    <w:rsid w:val="00380DE8"/>
    <w:rsid w:val="00382B0C"/>
    <w:rsid w:val="00383DE0"/>
    <w:rsid w:val="00384DFB"/>
    <w:rsid w:val="003854B9"/>
    <w:rsid w:val="003872C5"/>
    <w:rsid w:val="00390107"/>
    <w:rsid w:val="0039092B"/>
    <w:rsid w:val="003915AC"/>
    <w:rsid w:val="00391A9D"/>
    <w:rsid w:val="00392C41"/>
    <w:rsid w:val="00392DAE"/>
    <w:rsid w:val="00392E68"/>
    <w:rsid w:val="003930DB"/>
    <w:rsid w:val="00393255"/>
    <w:rsid w:val="00393E27"/>
    <w:rsid w:val="00394AE4"/>
    <w:rsid w:val="00395A9E"/>
    <w:rsid w:val="00396448"/>
    <w:rsid w:val="003968E4"/>
    <w:rsid w:val="003971A3"/>
    <w:rsid w:val="0039774B"/>
    <w:rsid w:val="00397B3B"/>
    <w:rsid w:val="00397B6A"/>
    <w:rsid w:val="00397C6F"/>
    <w:rsid w:val="003A01A0"/>
    <w:rsid w:val="003A3ED2"/>
    <w:rsid w:val="003A44F2"/>
    <w:rsid w:val="003A47CF"/>
    <w:rsid w:val="003A4DA0"/>
    <w:rsid w:val="003A635F"/>
    <w:rsid w:val="003A6400"/>
    <w:rsid w:val="003A6543"/>
    <w:rsid w:val="003A66B6"/>
    <w:rsid w:val="003B0440"/>
    <w:rsid w:val="003B0801"/>
    <w:rsid w:val="003B3A1A"/>
    <w:rsid w:val="003B7663"/>
    <w:rsid w:val="003B7C0C"/>
    <w:rsid w:val="003C13A6"/>
    <w:rsid w:val="003C34F5"/>
    <w:rsid w:val="003C7766"/>
    <w:rsid w:val="003D0163"/>
    <w:rsid w:val="003D0171"/>
    <w:rsid w:val="003D2554"/>
    <w:rsid w:val="003D29D8"/>
    <w:rsid w:val="003D2D08"/>
    <w:rsid w:val="003D2E2F"/>
    <w:rsid w:val="003D32C2"/>
    <w:rsid w:val="003D3AAC"/>
    <w:rsid w:val="003D4399"/>
    <w:rsid w:val="003D4DBF"/>
    <w:rsid w:val="003D5828"/>
    <w:rsid w:val="003D632C"/>
    <w:rsid w:val="003D6C19"/>
    <w:rsid w:val="003D6C36"/>
    <w:rsid w:val="003D7271"/>
    <w:rsid w:val="003D7B4A"/>
    <w:rsid w:val="003E0735"/>
    <w:rsid w:val="003E15C0"/>
    <w:rsid w:val="003E245C"/>
    <w:rsid w:val="003E3E06"/>
    <w:rsid w:val="003E4FF5"/>
    <w:rsid w:val="003E54E3"/>
    <w:rsid w:val="003E5D67"/>
    <w:rsid w:val="003E6750"/>
    <w:rsid w:val="003E6AE7"/>
    <w:rsid w:val="003E7493"/>
    <w:rsid w:val="003F06B0"/>
    <w:rsid w:val="003F0FEF"/>
    <w:rsid w:val="003F11EC"/>
    <w:rsid w:val="003F1736"/>
    <w:rsid w:val="003F1CB4"/>
    <w:rsid w:val="003F2595"/>
    <w:rsid w:val="003F30FB"/>
    <w:rsid w:val="003F3DE1"/>
    <w:rsid w:val="003F4728"/>
    <w:rsid w:val="003F4F82"/>
    <w:rsid w:val="003F558E"/>
    <w:rsid w:val="003F5E4D"/>
    <w:rsid w:val="003F616C"/>
    <w:rsid w:val="004004C5"/>
    <w:rsid w:val="00400D33"/>
    <w:rsid w:val="00401300"/>
    <w:rsid w:val="00402237"/>
    <w:rsid w:val="00404915"/>
    <w:rsid w:val="00404D6F"/>
    <w:rsid w:val="004055EA"/>
    <w:rsid w:val="00405894"/>
    <w:rsid w:val="004060E5"/>
    <w:rsid w:val="00406EDB"/>
    <w:rsid w:val="004076F6"/>
    <w:rsid w:val="00410582"/>
    <w:rsid w:val="00410C5D"/>
    <w:rsid w:val="00411A7D"/>
    <w:rsid w:val="004133CD"/>
    <w:rsid w:val="00413EA1"/>
    <w:rsid w:val="0041418C"/>
    <w:rsid w:val="00414479"/>
    <w:rsid w:val="004151B7"/>
    <w:rsid w:val="00415ECE"/>
    <w:rsid w:val="004171D0"/>
    <w:rsid w:val="00417419"/>
    <w:rsid w:val="0042206B"/>
    <w:rsid w:val="00422169"/>
    <w:rsid w:val="00424CE8"/>
    <w:rsid w:val="004262AC"/>
    <w:rsid w:val="004271FC"/>
    <w:rsid w:val="00430B47"/>
    <w:rsid w:val="00431542"/>
    <w:rsid w:val="00431553"/>
    <w:rsid w:val="004316CC"/>
    <w:rsid w:val="00433D99"/>
    <w:rsid w:val="00434691"/>
    <w:rsid w:val="00434B2A"/>
    <w:rsid w:val="00436033"/>
    <w:rsid w:val="00436930"/>
    <w:rsid w:val="00436EAF"/>
    <w:rsid w:val="00437A24"/>
    <w:rsid w:val="004405C3"/>
    <w:rsid w:val="00441E77"/>
    <w:rsid w:val="0044336D"/>
    <w:rsid w:val="0044416E"/>
    <w:rsid w:val="004446A0"/>
    <w:rsid w:val="0044624D"/>
    <w:rsid w:val="00447377"/>
    <w:rsid w:val="00450DA2"/>
    <w:rsid w:val="00451B55"/>
    <w:rsid w:val="00451D26"/>
    <w:rsid w:val="0045354D"/>
    <w:rsid w:val="004535B7"/>
    <w:rsid w:val="00454061"/>
    <w:rsid w:val="00455657"/>
    <w:rsid w:val="00460742"/>
    <w:rsid w:val="00461781"/>
    <w:rsid w:val="0046196E"/>
    <w:rsid w:val="00464998"/>
    <w:rsid w:val="0046569B"/>
    <w:rsid w:val="00465BBB"/>
    <w:rsid w:val="004678C0"/>
    <w:rsid w:val="004706D2"/>
    <w:rsid w:val="004734B5"/>
    <w:rsid w:val="00475311"/>
    <w:rsid w:val="00480E5E"/>
    <w:rsid w:val="00481591"/>
    <w:rsid w:val="00481A0E"/>
    <w:rsid w:val="00484710"/>
    <w:rsid w:val="004859E8"/>
    <w:rsid w:val="00486A70"/>
    <w:rsid w:val="00486EE9"/>
    <w:rsid w:val="00487BDA"/>
    <w:rsid w:val="00491AE4"/>
    <w:rsid w:val="004923DB"/>
    <w:rsid w:val="00493339"/>
    <w:rsid w:val="00493D4C"/>
    <w:rsid w:val="00495307"/>
    <w:rsid w:val="00495E37"/>
    <w:rsid w:val="00496E97"/>
    <w:rsid w:val="00496E9B"/>
    <w:rsid w:val="00497622"/>
    <w:rsid w:val="00497A37"/>
    <w:rsid w:val="004A0B6A"/>
    <w:rsid w:val="004A2F59"/>
    <w:rsid w:val="004A33BD"/>
    <w:rsid w:val="004A35FF"/>
    <w:rsid w:val="004A3862"/>
    <w:rsid w:val="004A6AD8"/>
    <w:rsid w:val="004A75F7"/>
    <w:rsid w:val="004A76B4"/>
    <w:rsid w:val="004B107C"/>
    <w:rsid w:val="004B1399"/>
    <w:rsid w:val="004B2505"/>
    <w:rsid w:val="004B26E2"/>
    <w:rsid w:val="004B5897"/>
    <w:rsid w:val="004B62D6"/>
    <w:rsid w:val="004B6F54"/>
    <w:rsid w:val="004B73D1"/>
    <w:rsid w:val="004B7750"/>
    <w:rsid w:val="004C02DF"/>
    <w:rsid w:val="004C123A"/>
    <w:rsid w:val="004C209B"/>
    <w:rsid w:val="004C2C5D"/>
    <w:rsid w:val="004C32BE"/>
    <w:rsid w:val="004C3399"/>
    <w:rsid w:val="004C4825"/>
    <w:rsid w:val="004C6446"/>
    <w:rsid w:val="004D1500"/>
    <w:rsid w:val="004D15B0"/>
    <w:rsid w:val="004D1B5D"/>
    <w:rsid w:val="004D26B9"/>
    <w:rsid w:val="004D2B3E"/>
    <w:rsid w:val="004D2C3E"/>
    <w:rsid w:val="004D3A30"/>
    <w:rsid w:val="004D4299"/>
    <w:rsid w:val="004D440A"/>
    <w:rsid w:val="004D56BE"/>
    <w:rsid w:val="004D727A"/>
    <w:rsid w:val="004E04FD"/>
    <w:rsid w:val="004E1AD0"/>
    <w:rsid w:val="004E2C9F"/>
    <w:rsid w:val="004E389F"/>
    <w:rsid w:val="004E3A15"/>
    <w:rsid w:val="004E3A98"/>
    <w:rsid w:val="004E499A"/>
    <w:rsid w:val="004E6822"/>
    <w:rsid w:val="004E78FC"/>
    <w:rsid w:val="004F0FED"/>
    <w:rsid w:val="004F13FC"/>
    <w:rsid w:val="004F159E"/>
    <w:rsid w:val="004F47BB"/>
    <w:rsid w:val="004F5E7B"/>
    <w:rsid w:val="004F634C"/>
    <w:rsid w:val="004F7EC9"/>
    <w:rsid w:val="00500018"/>
    <w:rsid w:val="00502B55"/>
    <w:rsid w:val="005034E6"/>
    <w:rsid w:val="005038C1"/>
    <w:rsid w:val="00505433"/>
    <w:rsid w:val="00505D66"/>
    <w:rsid w:val="0050629F"/>
    <w:rsid w:val="00511351"/>
    <w:rsid w:val="00511BF6"/>
    <w:rsid w:val="005123FE"/>
    <w:rsid w:val="005128B5"/>
    <w:rsid w:val="0051422F"/>
    <w:rsid w:val="005144F5"/>
    <w:rsid w:val="0051525C"/>
    <w:rsid w:val="005157A0"/>
    <w:rsid w:val="00521221"/>
    <w:rsid w:val="00522B8C"/>
    <w:rsid w:val="00530062"/>
    <w:rsid w:val="005306C4"/>
    <w:rsid w:val="0053082A"/>
    <w:rsid w:val="00533048"/>
    <w:rsid w:val="00533929"/>
    <w:rsid w:val="005344DA"/>
    <w:rsid w:val="00535E7C"/>
    <w:rsid w:val="005373DE"/>
    <w:rsid w:val="00537DD3"/>
    <w:rsid w:val="00540178"/>
    <w:rsid w:val="0054038A"/>
    <w:rsid w:val="00540EF2"/>
    <w:rsid w:val="0054153F"/>
    <w:rsid w:val="00541EB6"/>
    <w:rsid w:val="005420AD"/>
    <w:rsid w:val="00542260"/>
    <w:rsid w:val="00543E74"/>
    <w:rsid w:val="00544563"/>
    <w:rsid w:val="00546775"/>
    <w:rsid w:val="00546ED7"/>
    <w:rsid w:val="005475FE"/>
    <w:rsid w:val="00547F83"/>
    <w:rsid w:val="00550E01"/>
    <w:rsid w:val="00551E44"/>
    <w:rsid w:val="00552318"/>
    <w:rsid w:val="00553616"/>
    <w:rsid w:val="00554C94"/>
    <w:rsid w:val="00555661"/>
    <w:rsid w:val="00557306"/>
    <w:rsid w:val="00560299"/>
    <w:rsid w:val="0056114C"/>
    <w:rsid w:val="005612D9"/>
    <w:rsid w:val="00561878"/>
    <w:rsid w:val="00561953"/>
    <w:rsid w:val="0056242B"/>
    <w:rsid w:val="00562445"/>
    <w:rsid w:val="005625CE"/>
    <w:rsid w:val="00562D2E"/>
    <w:rsid w:val="0056385B"/>
    <w:rsid w:val="005645A5"/>
    <w:rsid w:val="00564EFE"/>
    <w:rsid w:val="005662C0"/>
    <w:rsid w:val="00567453"/>
    <w:rsid w:val="00570639"/>
    <w:rsid w:val="00570A92"/>
    <w:rsid w:val="005714D9"/>
    <w:rsid w:val="005716BB"/>
    <w:rsid w:val="00572BD3"/>
    <w:rsid w:val="00573261"/>
    <w:rsid w:val="005737CD"/>
    <w:rsid w:val="005739AB"/>
    <w:rsid w:val="00574385"/>
    <w:rsid w:val="00574D04"/>
    <w:rsid w:val="00576124"/>
    <w:rsid w:val="0057768B"/>
    <w:rsid w:val="005777D8"/>
    <w:rsid w:val="00577ECC"/>
    <w:rsid w:val="005833A6"/>
    <w:rsid w:val="005849A9"/>
    <w:rsid w:val="005852BA"/>
    <w:rsid w:val="0058606C"/>
    <w:rsid w:val="005901F3"/>
    <w:rsid w:val="00590CC7"/>
    <w:rsid w:val="00591E2F"/>
    <w:rsid w:val="005924FC"/>
    <w:rsid w:val="00594D75"/>
    <w:rsid w:val="00595AD9"/>
    <w:rsid w:val="00595EEB"/>
    <w:rsid w:val="0059704F"/>
    <w:rsid w:val="00597218"/>
    <w:rsid w:val="00597427"/>
    <w:rsid w:val="005A10B1"/>
    <w:rsid w:val="005A1994"/>
    <w:rsid w:val="005A25B4"/>
    <w:rsid w:val="005A3B52"/>
    <w:rsid w:val="005A3E0D"/>
    <w:rsid w:val="005A3F3C"/>
    <w:rsid w:val="005A3FE1"/>
    <w:rsid w:val="005A4E3E"/>
    <w:rsid w:val="005A6C74"/>
    <w:rsid w:val="005A78A5"/>
    <w:rsid w:val="005B0563"/>
    <w:rsid w:val="005B0967"/>
    <w:rsid w:val="005B0BB8"/>
    <w:rsid w:val="005B1B49"/>
    <w:rsid w:val="005B1BE0"/>
    <w:rsid w:val="005B2022"/>
    <w:rsid w:val="005B2F7E"/>
    <w:rsid w:val="005B46C9"/>
    <w:rsid w:val="005B594A"/>
    <w:rsid w:val="005B59CC"/>
    <w:rsid w:val="005B6102"/>
    <w:rsid w:val="005B6108"/>
    <w:rsid w:val="005B697A"/>
    <w:rsid w:val="005B79A9"/>
    <w:rsid w:val="005C1A91"/>
    <w:rsid w:val="005C1DF0"/>
    <w:rsid w:val="005C2A80"/>
    <w:rsid w:val="005C3492"/>
    <w:rsid w:val="005C3F09"/>
    <w:rsid w:val="005C5181"/>
    <w:rsid w:val="005C69BE"/>
    <w:rsid w:val="005C7859"/>
    <w:rsid w:val="005C7DB3"/>
    <w:rsid w:val="005D13EF"/>
    <w:rsid w:val="005D6684"/>
    <w:rsid w:val="005E15D4"/>
    <w:rsid w:val="005E285C"/>
    <w:rsid w:val="005E31C6"/>
    <w:rsid w:val="005E325D"/>
    <w:rsid w:val="005E4B2A"/>
    <w:rsid w:val="005E4CF8"/>
    <w:rsid w:val="005E4D81"/>
    <w:rsid w:val="005E5D49"/>
    <w:rsid w:val="005E7B71"/>
    <w:rsid w:val="005E7B83"/>
    <w:rsid w:val="005E7FBB"/>
    <w:rsid w:val="005F0AA2"/>
    <w:rsid w:val="005F2D46"/>
    <w:rsid w:val="005F5F39"/>
    <w:rsid w:val="005F6042"/>
    <w:rsid w:val="0060057A"/>
    <w:rsid w:val="00600BEE"/>
    <w:rsid w:val="00600FBC"/>
    <w:rsid w:val="00601459"/>
    <w:rsid w:val="00601723"/>
    <w:rsid w:val="0060175E"/>
    <w:rsid w:val="0060199F"/>
    <w:rsid w:val="006025D0"/>
    <w:rsid w:val="0060301E"/>
    <w:rsid w:val="006045A6"/>
    <w:rsid w:val="006058B1"/>
    <w:rsid w:val="00605BA5"/>
    <w:rsid w:val="00611BF5"/>
    <w:rsid w:val="00611E1B"/>
    <w:rsid w:val="00612D96"/>
    <w:rsid w:val="00613092"/>
    <w:rsid w:val="00613599"/>
    <w:rsid w:val="006136F0"/>
    <w:rsid w:val="006137DC"/>
    <w:rsid w:val="00615071"/>
    <w:rsid w:val="00615E63"/>
    <w:rsid w:val="006161E9"/>
    <w:rsid w:val="00620783"/>
    <w:rsid w:val="00620A37"/>
    <w:rsid w:val="00620CE7"/>
    <w:rsid w:val="00622329"/>
    <w:rsid w:val="00623DA7"/>
    <w:rsid w:val="0062583C"/>
    <w:rsid w:val="00626316"/>
    <w:rsid w:val="006316A9"/>
    <w:rsid w:val="006327E3"/>
    <w:rsid w:val="006329B6"/>
    <w:rsid w:val="00633C91"/>
    <w:rsid w:val="00633CC5"/>
    <w:rsid w:val="0063454C"/>
    <w:rsid w:val="0063563D"/>
    <w:rsid w:val="006371F5"/>
    <w:rsid w:val="00637424"/>
    <w:rsid w:val="00637A28"/>
    <w:rsid w:val="00640538"/>
    <w:rsid w:val="00640E02"/>
    <w:rsid w:val="0064343D"/>
    <w:rsid w:val="006435E7"/>
    <w:rsid w:val="00643C51"/>
    <w:rsid w:val="00647244"/>
    <w:rsid w:val="00647B13"/>
    <w:rsid w:val="006506DE"/>
    <w:rsid w:val="00650FA6"/>
    <w:rsid w:val="00651EFD"/>
    <w:rsid w:val="00652389"/>
    <w:rsid w:val="00652561"/>
    <w:rsid w:val="00652F98"/>
    <w:rsid w:val="00655841"/>
    <w:rsid w:val="00655F84"/>
    <w:rsid w:val="006560F0"/>
    <w:rsid w:val="00660718"/>
    <w:rsid w:val="00661999"/>
    <w:rsid w:val="00663421"/>
    <w:rsid w:val="0066397A"/>
    <w:rsid w:val="00665E41"/>
    <w:rsid w:val="00666810"/>
    <w:rsid w:val="00666A95"/>
    <w:rsid w:val="00666CE2"/>
    <w:rsid w:val="00666FAB"/>
    <w:rsid w:val="00670DA2"/>
    <w:rsid w:val="00671520"/>
    <w:rsid w:val="00672DB1"/>
    <w:rsid w:val="006753AE"/>
    <w:rsid w:val="0067550D"/>
    <w:rsid w:val="00675651"/>
    <w:rsid w:val="006757B1"/>
    <w:rsid w:val="00676205"/>
    <w:rsid w:val="00676E87"/>
    <w:rsid w:val="00676F45"/>
    <w:rsid w:val="00677052"/>
    <w:rsid w:val="006777B9"/>
    <w:rsid w:val="00680C50"/>
    <w:rsid w:val="00681851"/>
    <w:rsid w:val="0068347D"/>
    <w:rsid w:val="0068402B"/>
    <w:rsid w:val="0068412D"/>
    <w:rsid w:val="00684B1D"/>
    <w:rsid w:val="00684D07"/>
    <w:rsid w:val="00685350"/>
    <w:rsid w:val="00687B32"/>
    <w:rsid w:val="00690BD5"/>
    <w:rsid w:val="006919F7"/>
    <w:rsid w:val="006934E2"/>
    <w:rsid w:val="00694E6B"/>
    <w:rsid w:val="006953F9"/>
    <w:rsid w:val="006971A7"/>
    <w:rsid w:val="006A0231"/>
    <w:rsid w:val="006A1046"/>
    <w:rsid w:val="006A364B"/>
    <w:rsid w:val="006A4701"/>
    <w:rsid w:val="006A4BCB"/>
    <w:rsid w:val="006A5083"/>
    <w:rsid w:val="006A5337"/>
    <w:rsid w:val="006A5CDC"/>
    <w:rsid w:val="006A6A3E"/>
    <w:rsid w:val="006A6DF3"/>
    <w:rsid w:val="006A72C4"/>
    <w:rsid w:val="006B0330"/>
    <w:rsid w:val="006B0963"/>
    <w:rsid w:val="006B1D78"/>
    <w:rsid w:val="006B3499"/>
    <w:rsid w:val="006B3771"/>
    <w:rsid w:val="006B4919"/>
    <w:rsid w:val="006B5BE0"/>
    <w:rsid w:val="006B6215"/>
    <w:rsid w:val="006B7368"/>
    <w:rsid w:val="006B754E"/>
    <w:rsid w:val="006B78FD"/>
    <w:rsid w:val="006C043E"/>
    <w:rsid w:val="006C0C67"/>
    <w:rsid w:val="006C0C6B"/>
    <w:rsid w:val="006C1428"/>
    <w:rsid w:val="006C1A8C"/>
    <w:rsid w:val="006C6A9E"/>
    <w:rsid w:val="006C7BF8"/>
    <w:rsid w:val="006D01EA"/>
    <w:rsid w:val="006D1BF5"/>
    <w:rsid w:val="006D32EE"/>
    <w:rsid w:val="006D37CC"/>
    <w:rsid w:val="006D5A2D"/>
    <w:rsid w:val="006D617E"/>
    <w:rsid w:val="006D6907"/>
    <w:rsid w:val="006D6CF0"/>
    <w:rsid w:val="006E0BD7"/>
    <w:rsid w:val="006E12A3"/>
    <w:rsid w:val="006E2B32"/>
    <w:rsid w:val="006E472A"/>
    <w:rsid w:val="006E6F5E"/>
    <w:rsid w:val="006E6FB5"/>
    <w:rsid w:val="006E79EB"/>
    <w:rsid w:val="006F1CB2"/>
    <w:rsid w:val="006F2A90"/>
    <w:rsid w:val="006F3490"/>
    <w:rsid w:val="006F3EE0"/>
    <w:rsid w:val="006F454C"/>
    <w:rsid w:val="006F45C2"/>
    <w:rsid w:val="006F46CE"/>
    <w:rsid w:val="006F55F5"/>
    <w:rsid w:val="006F6077"/>
    <w:rsid w:val="00700D97"/>
    <w:rsid w:val="00701289"/>
    <w:rsid w:val="00701407"/>
    <w:rsid w:val="0070366C"/>
    <w:rsid w:val="00703E84"/>
    <w:rsid w:val="00703EC3"/>
    <w:rsid w:val="00704BED"/>
    <w:rsid w:val="00705506"/>
    <w:rsid w:val="007105A9"/>
    <w:rsid w:val="0071452F"/>
    <w:rsid w:val="007146BE"/>
    <w:rsid w:val="007161AA"/>
    <w:rsid w:val="00716655"/>
    <w:rsid w:val="007168AF"/>
    <w:rsid w:val="00716BAB"/>
    <w:rsid w:val="00716DF3"/>
    <w:rsid w:val="0071721E"/>
    <w:rsid w:val="007209AB"/>
    <w:rsid w:val="00720A75"/>
    <w:rsid w:val="007233FE"/>
    <w:rsid w:val="0072529F"/>
    <w:rsid w:val="0072538D"/>
    <w:rsid w:val="00725CA7"/>
    <w:rsid w:val="00725CFD"/>
    <w:rsid w:val="00725D4A"/>
    <w:rsid w:val="007261E0"/>
    <w:rsid w:val="00726252"/>
    <w:rsid w:val="007272E6"/>
    <w:rsid w:val="00727539"/>
    <w:rsid w:val="00727AB6"/>
    <w:rsid w:val="007304B2"/>
    <w:rsid w:val="007319C6"/>
    <w:rsid w:val="00731C25"/>
    <w:rsid w:val="00731F17"/>
    <w:rsid w:val="00731F7D"/>
    <w:rsid w:val="007328CD"/>
    <w:rsid w:val="00732D8B"/>
    <w:rsid w:val="00733121"/>
    <w:rsid w:val="007331B9"/>
    <w:rsid w:val="00734E85"/>
    <w:rsid w:val="00736797"/>
    <w:rsid w:val="00740060"/>
    <w:rsid w:val="00740370"/>
    <w:rsid w:val="007406CD"/>
    <w:rsid w:val="007407E1"/>
    <w:rsid w:val="00744CAC"/>
    <w:rsid w:val="00745362"/>
    <w:rsid w:val="00745DD2"/>
    <w:rsid w:val="007502D9"/>
    <w:rsid w:val="00750B56"/>
    <w:rsid w:val="00751A5B"/>
    <w:rsid w:val="00751C8D"/>
    <w:rsid w:val="007527F6"/>
    <w:rsid w:val="00752E3A"/>
    <w:rsid w:val="0075351F"/>
    <w:rsid w:val="00754A0C"/>
    <w:rsid w:val="0075615D"/>
    <w:rsid w:val="00756D4B"/>
    <w:rsid w:val="0075795F"/>
    <w:rsid w:val="00757CA5"/>
    <w:rsid w:val="00757DD1"/>
    <w:rsid w:val="0076247E"/>
    <w:rsid w:val="00763ADA"/>
    <w:rsid w:val="00765C6B"/>
    <w:rsid w:val="007670C0"/>
    <w:rsid w:val="00767591"/>
    <w:rsid w:val="00767E47"/>
    <w:rsid w:val="00770BDD"/>
    <w:rsid w:val="007711D6"/>
    <w:rsid w:val="007715DE"/>
    <w:rsid w:val="007718FA"/>
    <w:rsid w:val="00771FEA"/>
    <w:rsid w:val="007720D9"/>
    <w:rsid w:val="00772341"/>
    <w:rsid w:val="007724B5"/>
    <w:rsid w:val="0077255B"/>
    <w:rsid w:val="00773703"/>
    <w:rsid w:val="00776215"/>
    <w:rsid w:val="0077688D"/>
    <w:rsid w:val="00777BB9"/>
    <w:rsid w:val="00780CD7"/>
    <w:rsid w:val="0078121C"/>
    <w:rsid w:val="007828F7"/>
    <w:rsid w:val="00785862"/>
    <w:rsid w:val="00785C25"/>
    <w:rsid w:val="007873EA"/>
    <w:rsid w:val="007874ED"/>
    <w:rsid w:val="00790B09"/>
    <w:rsid w:val="00790FAC"/>
    <w:rsid w:val="00791104"/>
    <w:rsid w:val="00793782"/>
    <w:rsid w:val="007937E9"/>
    <w:rsid w:val="00794C91"/>
    <w:rsid w:val="007957F9"/>
    <w:rsid w:val="00795953"/>
    <w:rsid w:val="007A07BC"/>
    <w:rsid w:val="007A1B68"/>
    <w:rsid w:val="007A22A9"/>
    <w:rsid w:val="007A3786"/>
    <w:rsid w:val="007A4F84"/>
    <w:rsid w:val="007A532F"/>
    <w:rsid w:val="007A54F0"/>
    <w:rsid w:val="007A75B1"/>
    <w:rsid w:val="007A7CC3"/>
    <w:rsid w:val="007B4A3D"/>
    <w:rsid w:val="007B4EE9"/>
    <w:rsid w:val="007B50A6"/>
    <w:rsid w:val="007B5186"/>
    <w:rsid w:val="007B5B9D"/>
    <w:rsid w:val="007B6BC4"/>
    <w:rsid w:val="007C1DAC"/>
    <w:rsid w:val="007C20B4"/>
    <w:rsid w:val="007C381E"/>
    <w:rsid w:val="007C39F8"/>
    <w:rsid w:val="007C3DA3"/>
    <w:rsid w:val="007C4323"/>
    <w:rsid w:val="007C7C40"/>
    <w:rsid w:val="007C7F1D"/>
    <w:rsid w:val="007D2255"/>
    <w:rsid w:val="007D2961"/>
    <w:rsid w:val="007D2A57"/>
    <w:rsid w:val="007D30F6"/>
    <w:rsid w:val="007D3F2F"/>
    <w:rsid w:val="007D4191"/>
    <w:rsid w:val="007D5411"/>
    <w:rsid w:val="007E0A8B"/>
    <w:rsid w:val="007E11B9"/>
    <w:rsid w:val="007E1288"/>
    <w:rsid w:val="007E1D94"/>
    <w:rsid w:val="007E2368"/>
    <w:rsid w:val="007E2A1F"/>
    <w:rsid w:val="007E2E18"/>
    <w:rsid w:val="007E2EA9"/>
    <w:rsid w:val="007E3C4A"/>
    <w:rsid w:val="007E4031"/>
    <w:rsid w:val="007E5F4E"/>
    <w:rsid w:val="007E5FD5"/>
    <w:rsid w:val="007E6DEB"/>
    <w:rsid w:val="007E73DF"/>
    <w:rsid w:val="007F01CB"/>
    <w:rsid w:val="007F15F5"/>
    <w:rsid w:val="007F2627"/>
    <w:rsid w:val="007F3C26"/>
    <w:rsid w:val="007F3ED6"/>
    <w:rsid w:val="007F43E9"/>
    <w:rsid w:val="007F6CB7"/>
    <w:rsid w:val="008002BA"/>
    <w:rsid w:val="008011FF"/>
    <w:rsid w:val="00801D26"/>
    <w:rsid w:val="00801F1F"/>
    <w:rsid w:val="008029BC"/>
    <w:rsid w:val="00803B00"/>
    <w:rsid w:val="008041DE"/>
    <w:rsid w:val="00804611"/>
    <w:rsid w:val="00810360"/>
    <w:rsid w:val="00811428"/>
    <w:rsid w:val="0081172D"/>
    <w:rsid w:val="00813060"/>
    <w:rsid w:val="00814AF4"/>
    <w:rsid w:val="00815AA4"/>
    <w:rsid w:val="00816385"/>
    <w:rsid w:val="00816AA6"/>
    <w:rsid w:val="008204A2"/>
    <w:rsid w:val="00820E6F"/>
    <w:rsid w:val="00821291"/>
    <w:rsid w:val="0082144D"/>
    <w:rsid w:val="0082224C"/>
    <w:rsid w:val="00822C1C"/>
    <w:rsid w:val="008230FC"/>
    <w:rsid w:val="00823792"/>
    <w:rsid w:val="00824063"/>
    <w:rsid w:val="0082441A"/>
    <w:rsid w:val="00826B65"/>
    <w:rsid w:val="00826BEA"/>
    <w:rsid w:val="00830A4C"/>
    <w:rsid w:val="00830FC3"/>
    <w:rsid w:val="00831E50"/>
    <w:rsid w:val="00832531"/>
    <w:rsid w:val="00833229"/>
    <w:rsid w:val="008336A2"/>
    <w:rsid w:val="00833FB2"/>
    <w:rsid w:val="008355EA"/>
    <w:rsid w:val="008373D8"/>
    <w:rsid w:val="00837421"/>
    <w:rsid w:val="00837508"/>
    <w:rsid w:val="00840579"/>
    <w:rsid w:val="008415E3"/>
    <w:rsid w:val="0084166A"/>
    <w:rsid w:val="00841719"/>
    <w:rsid w:val="008418DC"/>
    <w:rsid w:val="00843010"/>
    <w:rsid w:val="008433CF"/>
    <w:rsid w:val="00843DE4"/>
    <w:rsid w:val="00843FFC"/>
    <w:rsid w:val="008446C0"/>
    <w:rsid w:val="00844E91"/>
    <w:rsid w:val="00845644"/>
    <w:rsid w:val="008456D8"/>
    <w:rsid w:val="00847826"/>
    <w:rsid w:val="00850AFF"/>
    <w:rsid w:val="00851A17"/>
    <w:rsid w:val="008525B2"/>
    <w:rsid w:val="00853731"/>
    <w:rsid w:val="0085414C"/>
    <w:rsid w:val="00857FC2"/>
    <w:rsid w:val="008612A9"/>
    <w:rsid w:val="008632BC"/>
    <w:rsid w:val="0086493E"/>
    <w:rsid w:val="00865CF5"/>
    <w:rsid w:val="0087027F"/>
    <w:rsid w:val="00871782"/>
    <w:rsid w:val="0087516F"/>
    <w:rsid w:val="00875A5A"/>
    <w:rsid w:val="008761B8"/>
    <w:rsid w:val="008761D9"/>
    <w:rsid w:val="008776B5"/>
    <w:rsid w:val="00877ACC"/>
    <w:rsid w:val="00877D5D"/>
    <w:rsid w:val="00880D4D"/>
    <w:rsid w:val="00881510"/>
    <w:rsid w:val="00884328"/>
    <w:rsid w:val="0088585A"/>
    <w:rsid w:val="00886F89"/>
    <w:rsid w:val="008872E2"/>
    <w:rsid w:val="00887B58"/>
    <w:rsid w:val="0089015B"/>
    <w:rsid w:val="00891292"/>
    <w:rsid w:val="0089219A"/>
    <w:rsid w:val="00893D5B"/>
    <w:rsid w:val="008941C5"/>
    <w:rsid w:val="00894579"/>
    <w:rsid w:val="00894C4D"/>
    <w:rsid w:val="008968E9"/>
    <w:rsid w:val="008A0873"/>
    <w:rsid w:val="008A12E7"/>
    <w:rsid w:val="008A1C93"/>
    <w:rsid w:val="008A2D08"/>
    <w:rsid w:val="008A3163"/>
    <w:rsid w:val="008A3881"/>
    <w:rsid w:val="008A407A"/>
    <w:rsid w:val="008A4941"/>
    <w:rsid w:val="008A5402"/>
    <w:rsid w:val="008A5ADA"/>
    <w:rsid w:val="008A6837"/>
    <w:rsid w:val="008A7C86"/>
    <w:rsid w:val="008B09D7"/>
    <w:rsid w:val="008B1036"/>
    <w:rsid w:val="008B1EFB"/>
    <w:rsid w:val="008B32A7"/>
    <w:rsid w:val="008B398D"/>
    <w:rsid w:val="008B4AC1"/>
    <w:rsid w:val="008B57A8"/>
    <w:rsid w:val="008B663C"/>
    <w:rsid w:val="008B75F9"/>
    <w:rsid w:val="008B7A80"/>
    <w:rsid w:val="008C0D48"/>
    <w:rsid w:val="008C2125"/>
    <w:rsid w:val="008C2B5C"/>
    <w:rsid w:val="008C2B7E"/>
    <w:rsid w:val="008C2C15"/>
    <w:rsid w:val="008C3BC2"/>
    <w:rsid w:val="008C3FE7"/>
    <w:rsid w:val="008C6F28"/>
    <w:rsid w:val="008C77AD"/>
    <w:rsid w:val="008D121C"/>
    <w:rsid w:val="008D134C"/>
    <w:rsid w:val="008D24FF"/>
    <w:rsid w:val="008D2608"/>
    <w:rsid w:val="008D2F29"/>
    <w:rsid w:val="008D2FD5"/>
    <w:rsid w:val="008D5508"/>
    <w:rsid w:val="008D5C11"/>
    <w:rsid w:val="008D5C65"/>
    <w:rsid w:val="008D7EA6"/>
    <w:rsid w:val="008E00AD"/>
    <w:rsid w:val="008E03B4"/>
    <w:rsid w:val="008E24ED"/>
    <w:rsid w:val="008E26B9"/>
    <w:rsid w:val="008E51B7"/>
    <w:rsid w:val="008E5D74"/>
    <w:rsid w:val="008E6308"/>
    <w:rsid w:val="008E7459"/>
    <w:rsid w:val="008E7AC7"/>
    <w:rsid w:val="008F109E"/>
    <w:rsid w:val="008F13FA"/>
    <w:rsid w:val="008F19E2"/>
    <w:rsid w:val="008F1AD2"/>
    <w:rsid w:val="008F1C00"/>
    <w:rsid w:val="008F266D"/>
    <w:rsid w:val="008F2A25"/>
    <w:rsid w:val="008F3331"/>
    <w:rsid w:val="008F4ECC"/>
    <w:rsid w:val="008F61AD"/>
    <w:rsid w:val="008F61C4"/>
    <w:rsid w:val="008F6CE0"/>
    <w:rsid w:val="008F7396"/>
    <w:rsid w:val="008F79A4"/>
    <w:rsid w:val="008F7E38"/>
    <w:rsid w:val="0090137B"/>
    <w:rsid w:val="00901928"/>
    <w:rsid w:val="00901A3D"/>
    <w:rsid w:val="00901D19"/>
    <w:rsid w:val="00902C47"/>
    <w:rsid w:val="00902FF6"/>
    <w:rsid w:val="00903243"/>
    <w:rsid w:val="009037F9"/>
    <w:rsid w:val="00903AFC"/>
    <w:rsid w:val="00903B0F"/>
    <w:rsid w:val="00905042"/>
    <w:rsid w:val="009058C5"/>
    <w:rsid w:val="009068C8"/>
    <w:rsid w:val="009069D6"/>
    <w:rsid w:val="0090753B"/>
    <w:rsid w:val="00910878"/>
    <w:rsid w:val="0091173E"/>
    <w:rsid w:val="00911763"/>
    <w:rsid w:val="00911CA4"/>
    <w:rsid w:val="00914055"/>
    <w:rsid w:val="0091718D"/>
    <w:rsid w:val="00917628"/>
    <w:rsid w:val="009209C3"/>
    <w:rsid w:val="00921670"/>
    <w:rsid w:val="00924267"/>
    <w:rsid w:val="00925755"/>
    <w:rsid w:val="009258CC"/>
    <w:rsid w:val="00925D41"/>
    <w:rsid w:val="0092687B"/>
    <w:rsid w:val="00927089"/>
    <w:rsid w:val="00930803"/>
    <w:rsid w:val="0093091E"/>
    <w:rsid w:val="00930A86"/>
    <w:rsid w:val="00931546"/>
    <w:rsid w:val="009315AF"/>
    <w:rsid w:val="009336F5"/>
    <w:rsid w:val="00934A8A"/>
    <w:rsid w:val="00935328"/>
    <w:rsid w:val="0093727C"/>
    <w:rsid w:val="00937D25"/>
    <w:rsid w:val="00937FBE"/>
    <w:rsid w:val="00940616"/>
    <w:rsid w:val="009413B2"/>
    <w:rsid w:val="0094200F"/>
    <w:rsid w:val="00943724"/>
    <w:rsid w:val="00943EAD"/>
    <w:rsid w:val="00944893"/>
    <w:rsid w:val="009448A3"/>
    <w:rsid w:val="0094532F"/>
    <w:rsid w:val="00946CF6"/>
    <w:rsid w:val="00947639"/>
    <w:rsid w:val="00947C5D"/>
    <w:rsid w:val="0095069D"/>
    <w:rsid w:val="009528A2"/>
    <w:rsid w:val="009538C7"/>
    <w:rsid w:val="00953E89"/>
    <w:rsid w:val="00954259"/>
    <w:rsid w:val="00955727"/>
    <w:rsid w:val="009614D4"/>
    <w:rsid w:val="009615E1"/>
    <w:rsid w:val="009616BC"/>
    <w:rsid w:val="00961889"/>
    <w:rsid w:val="0096207F"/>
    <w:rsid w:val="009622D2"/>
    <w:rsid w:val="00962A6A"/>
    <w:rsid w:val="009635C7"/>
    <w:rsid w:val="00963883"/>
    <w:rsid w:val="00963DA5"/>
    <w:rsid w:val="009667A5"/>
    <w:rsid w:val="00966FCF"/>
    <w:rsid w:val="00967046"/>
    <w:rsid w:val="009675EE"/>
    <w:rsid w:val="00971243"/>
    <w:rsid w:val="009732A1"/>
    <w:rsid w:val="00973DAA"/>
    <w:rsid w:val="0097552D"/>
    <w:rsid w:val="00975DEB"/>
    <w:rsid w:val="0097624C"/>
    <w:rsid w:val="00976343"/>
    <w:rsid w:val="009774A3"/>
    <w:rsid w:val="00977812"/>
    <w:rsid w:val="009805F2"/>
    <w:rsid w:val="00980973"/>
    <w:rsid w:val="00980F0D"/>
    <w:rsid w:val="0098261A"/>
    <w:rsid w:val="009827B2"/>
    <w:rsid w:val="00984930"/>
    <w:rsid w:val="00985D34"/>
    <w:rsid w:val="00986505"/>
    <w:rsid w:val="00986EBC"/>
    <w:rsid w:val="009870AF"/>
    <w:rsid w:val="009879C7"/>
    <w:rsid w:val="009942A5"/>
    <w:rsid w:val="00994EB3"/>
    <w:rsid w:val="00995717"/>
    <w:rsid w:val="00995B32"/>
    <w:rsid w:val="00995D3E"/>
    <w:rsid w:val="00996A5E"/>
    <w:rsid w:val="00996AC9"/>
    <w:rsid w:val="00996AD3"/>
    <w:rsid w:val="00997C0D"/>
    <w:rsid w:val="009A04A8"/>
    <w:rsid w:val="009A1D30"/>
    <w:rsid w:val="009A2117"/>
    <w:rsid w:val="009A25DA"/>
    <w:rsid w:val="009A3584"/>
    <w:rsid w:val="009A42BD"/>
    <w:rsid w:val="009A4333"/>
    <w:rsid w:val="009A4813"/>
    <w:rsid w:val="009A5D0A"/>
    <w:rsid w:val="009A628D"/>
    <w:rsid w:val="009A62D1"/>
    <w:rsid w:val="009B3495"/>
    <w:rsid w:val="009B46F3"/>
    <w:rsid w:val="009C0D3E"/>
    <w:rsid w:val="009C13A9"/>
    <w:rsid w:val="009C2468"/>
    <w:rsid w:val="009C2B58"/>
    <w:rsid w:val="009C3666"/>
    <w:rsid w:val="009C3A41"/>
    <w:rsid w:val="009C40EF"/>
    <w:rsid w:val="009C48EE"/>
    <w:rsid w:val="009C6A75"/>
    <w:rsid w:val="009C732E"/>
    <w:rsid w:val="009C7A31"/>
    <w:rsid w:val="009D025E"/>
    <w:rsid w:val="009D157A"/>
    <w:rsid w:val="009D1E89"/>
    <w:rsid w:val="009D3C72"/>
    <w:rsid w:val="009D3F76"/>
    <w:rsid w:val="009D7055"/>
    <w:rsid w:val="009E13C8"/>
    <w:rsid w:val="009E183E"/>
    <w:rsid w:val="009E1A19"/>
    <w:rsid w:val="009E2139"/>
    <w:rsid w:val="009E319F"/>
    <w:rsid w:val="009E363E"/>
    <w:rsid w:val="009E470B"/>
    <w:rsid w:val="009E63BD"/>
    <w:rsid w:val="009E6EE8"/>
    <w:rsid w:val="009E7498"/>
    <w:rsid w:val="009F0C0C"/>
    <w:rsid w:val="009F1809"/>
    <w:rsid w:val="009F1B50"/>
    <w:rsid w:val="009F1B54"/>
    <w:rsid w:val="009F1B9A"/>
    <w:rsid w:val="009F29CE"/>
    <w:rsid w:val="009F3675"/>
    <w:rsid w:val="009F398B"/>
    <w:rsid w:val="009F3E19"/>
    <w:rsid w:val="009F47FC"/>
    <w:rsid w:val="009F4DEA"/>
    <w:rsid w:val="009F4F31"/>
    <w:rsid w:val="009F52D9"/>
    <w:rsid w:val="009F642E"/>
    <w:rsid w:val="009F7329"/>
    <w:rsid w:val="00A00E58"/>
    <w:rsid w:val="00A012BC"/>
    <w:rsid w:val="00A01308"/>
    <w:rsid w:val="00A014D4"/>
    <w:rsid w:val="00A01DB8"/>
    <w:rsid w:val="00A02D3E"/>
    <w:rsid w:val="00A02E28"/>
    <w:rsid w:val="00A040C6"/>
    <w:rsid w:val="00A04850"/>
    <w:rsid w:val="00A0619C"/>
    <w:rsid w:val="00A06CEC"/>
    <w:rsid w:val="00A07DE6"/>
    <w:rsid w:val="00A104E3"/>
    <w:rsid w:val="00A11759"/>
    <w:rsid w:val="00A12356"/>
    <w:rsid w:val="00A14A3A"/>
    <w:rsid w:val="00A14F7B"/>
    <w:rsid w:val="00A151FE"/>
    <w:rsid w:val="00A15D4D"/>
    <w:rsid w:val="00A16748"/>
    <w:rsid w:val="00A167FC"/>
    <w:rsid w:val="00A174D5"/>
    <w:rsid w:val="00A17B2A"/>
    <w:rsid w:val="00A20258"/>
    <w:rsid w:val="00A2046F"/>
    <w:rsid w:val="00A2073E"/>
    <w:rsid w:val="00A21D74"/>
    <w:rsid w:val="00A22998"/>
    <w:rsid w:val="00A23DA0"/>
    <w:rsid w:val="00A240BC"/>
    <w:rsid w:val="00A2468B"/>
    <w:rsid w:val="00A24E4C"/>
    <w:rsid w:val="00A25015"/>
    <w:rsid w:val="00A259A9"/>
    <w:rsid w:val="00A26CDA"/>
    <w:rsid w:val="00A26ED8"/>
    <w:rsid w:val="00A31C24"/>
    <w:rsid w:val="00A31E1B"/>
    <w:rsid w:val="00A33E33"/>
    <w:rsid w:val="00A358D5"/>
    <w:rsid w:val="00A35901"/>
    <w:rsid w:val="00A35CE6"/>
    <w:rsid w:val="00A35D13"/>
    <w:rsid w:val="00A377FA"/>
    <w:rsid w:val="00A379E7"/>
    <w:rsid w:val="00A37BB7"/>
    <w:rsid w:val="00A40841"/>
    <w:rsid w:val="00A413C3"/>
    <w:rsid w:val="00A4153D"/>
    <w:rsid w:val="00A4271F"/>
    <w:rsid w:val="00A43F3C"/>
    <w:rsid w:val="00A44AC2"/>
    <w:rsid w:val="00A455C7"/>
    <w:rsid w:val="00A45A5D"/>
    <w:rsid w:val="00A46FFC"/>
    <w:rsid w:val="00A5038C"/>
    <w:rsid w:val="00A50F11"/>
    <w:rsid w:val="00A52415"/>
    <w:rsid w:val="00A525C5"/>
    <w:rsid w:val="00A5301C"/>
    <w:rsid w:val="00A5358D"/>
    <w:rsid w:val="00A535DE"/>
    <w:rsid w:val="00A53A13"/>
    <w:rsid w:val="00A547C6"/>
    <w:rsid w:val="00A54EF9"/>
    <w:rsid w:val="00A56366"/>
    <w:rsid w:val="00A56F16"/>
    <w:rsid w:val="00A57982"/>
    <w:rsid w:val="00A60727"/>
    <w:rsid w:val="00A60E37"/>
    <w:rsid w:val="00A610BD"/>
    <w:rsid w:val="00A61699"/>
    <w:rsid w:val="00A6196F"/>
    <w:rsid w:val="00A646F2"/>
    <w:rsid w:val="00A6484E"/>
    <w:rsid w:val="00A64FDC"/>
    <w:rsid w:val="00A6678B"/>
    <w:rsid w:val="00A667BC"/>
    <w:rsid w:val="00A669D0"/>
    <w:rsid w:val="00A66FB3"/>
    <w:rsid w:val="00A71BD8"/>
    <w:rsid w:val="00A71E4D"/>
    <w:rsid w:val="00A71FF0"/>
    <w:rsid w:val="00A727D8"/>
    <w:rsid w:val="00A746FA"/>
    <w:rsid w:val="00A74B09"/>
    <w:rsid w:val="00A74BA8"/>
    <w:rsid w:val="00A74BCF"/>
    <w:rsid w:val="00A76137"/>
    <w:rsid w:val="00A764BB"/>
    <w:rsid w:val="00A77DA6"/>
    <w:rsid w:val="00A8005B"/>
    <w:rsid w:val="00A83A54"/>
    <w:rsid w:val="00A84512"/>
    <w:rsid w:val="00A8532D"/>
    <w:rsid w:val="00A85C3D"/>
    <w:rsid w:val="00A86379"/>
    <w:rsid w:val="00A867CE"/>
    <w:rsid w:val="00A90B64"/>
    <w:rsid w:val="00A90F88"/>
    <w:rsid w:val="00A91702"/>
    <w:rsid w:val="00A936D2"/>
    <w:rsid w:val="00A938EB"/>
    <w:rsid w:val="00A94102"/>
    <w:rsid w:val="00A9523F"/>
    <w:rsid w:val="00A953D4"/>
    <w:rsid w:val="00A95D65"/>
    <w:rsid w:val="00A9660C"/>
    <w:rsid w:val="00A970F9"/>
    <w:rsid w:val="00A9727A"/>
    <w:rsid w:val="00AA0C8A"/>
    <w:rsid w:val="00AA2D9E"/>
    <w:rsid w:val="00AA3519"/>
    <w:rsid w:val="00AA4542"/>
    <w:rsid w:val="00AA5614"/>
    <w:rsid w:val="00AA5633"/>
    <w:rsid w:val="00AA6581"/>
    <w:rsid w:val="00AA6660"/>
    <w:rsid w:val="00AA6D97"/>
    <w:rsid w:val="00AB0F3C"/>
    <w:rsid w:val="00AB18EA"/>
    <w:rsid w:val="00AB1EBE"/>
    <w:rsid w:val="00AB2265"/>
    <w:rsid w:val="00AB2748"/>
    <w:rsid w:val="00AB2818"/>
    <w:rsid w:val="00AB3847"/>
    <w:rsid w:val="00AB38CE"/>
    <w:rsid w:val="00AB4321"/>
    <w:rsid w:val="00AB5CA0"/>
    <w:rsid w:val="00AB6D23"/>
    <w:rsid w:val="00AC00ED"/>
    <w:rsid w:val="00AC2B23"/>
    <w:rsid w:val="00AC39F0"/>
    <w:rsid w:val="00AC3F9A"/>
    <w:rsid w:val="00AC5510"/>
    <w:rsid w:val="00AC5CC1"/>
    <w:rsid w:val="00AC658E"/>
    <w:rsid w:val="00AC6621"/>
    <w:rsid w:val="00AD0020"/>
    <w:rsid w:val="00AD0736"/>
    <w:rsid w:val="00AD0A30"/>
    <w:rsid w:val="00AD0BF7"/>
    <w:rsid w:val="00AD0DF4"/>
    <w:rsid w:val="00AD176C"/>
    <w:rsid w:val="00AD18F9"/>
    <w:rsid w:val="00AD249E"/>
    <w:rsid w:val="00AD352C"/>
    <w:rsid w:val="00AD3773"/>
    <w:rsid w:val="00AD3E75"/>
    <w:rsid w:val="00AD5D50"/>
    <w:rsid w:val="00AD768F"/>
    <w:rsid w:val="00AD76BF"/>
    <w:rsid w:val="00AE0DE6"/>
    <w:rsid w:val="00AE129D"/>
    <w:rsid w:val="00AE2BF1"/>
    <w:rsid w:val="00AE3640"/>
    <w:rsid w:val="00AE3F86"/>
    <w:rsid w:val="00AE4667"/>
    <w:rsid w:val="00AE4E9D"/>
    <w:rsid w:val="00AE58CD"/>
    <w:rsid w:val="00AE65C4"/>
    <w:rsid w:val="00AE6FFC"/>
    <w:rsid w:val="00AE7B53"/>
    <w:rsid w:val="00AF03FB"/>
    <w:rsid w:val="00AF0659"/>
    <w:rsid w:val="00AF190A"/>
    <w:rsid w:val="00AF353E"/>
    <w:rsid w:val="00AF4AE5"/>
    <w:rsid w:val="00AF4C79"/>
    <w:rsid w:val="00AF5985"/>
    <w:rsid w:val="00B006DB"/>
    <w:rsid w:val="00B00825"/>
    <w:rsid w:val="00B012F3"/>
    <w:rsid w:val="00B021F4"/>
    <w:rsid w:val="00B0223D"/>
    <w:rsid w:val="00B02D51"/>
    <w:rsid w:val="00B030F8"/>
    <w:rsid w:val="00B0363E"/>
    <w:rsid w:val="00B04264"/>
    <w:rsid w:val="00B04291"/>
    <w:rsid w:val="00B04711"/>
    <w:rsid w:val="00B0625C"/>
    <w:rsid w:val="00B065DF"/>
    <w:rsid w:val="00B0682F"/>
    <w:rsid w:val="00B079AF"/>
    <w:rsid w:val="00B1298D"/>
    <w:rsid w:val="00B1384D"/>
    <w:rsid w:val="00B15090"/>
    <w:rsid w:val="00B15951"/>
    <w:rsid w:val="00B16341"/>
    <w:rsid w:val="00B165F6"/>
    <w:rsid w:val="00B165F7"/>
    <w:rsid w:val="00B17374"/>
    <w:rsid w:val="00B17F06"/>
    <w:rsid w:val="00B238CB"/>
    <w:rsid w:val="00B239F2"/>
    <w:rsid w:val="00B24980"/>
    <w:rsid w:val="00B2613D"/>
    <w:rsid w:val="00B267B5"/>
    <w:rsid w:val="00B2696E"/>
    <w:rsid w:val="00B27DE2"/>
    <w:rsid w:val="00B307EF"/>
    <w:rsid w:val="00B3156B"/>
    <w:rsid w:val="00B3315E"/>
    <w:rsid w:val="00B33A01"/>
    <w:rsid w:val="00B33A41"/>
    <w:rsid w:val="00B35C66"/>
    <w:rsid w:val="00B405CE"/>
    <w:rsid w:val="00B413A5"/>
    <w:rsid w:val="00B41586"/>
    <w:rsid w:val="00B430B9"/>
    <w:rsid w:val="00B4337C"/>
    <w:rsid w:val="00B45E42"/>
    <w:rsid w:val="00B50368"/>
    <w:rsid w:val="00B51484"/>
    <w:rsid w:val="00B51D33"/>
    <w:rsid w:val="00B534F4"/>
    <w:rsid w:val="00B54011"/>
    <w:rsid w:val="00B54C65"/>
    <w:rsid w:val="00B563E6"/>
    <w:rsid w:val="00B56EBB"/>
    <w:rsid w:val="00B56F4C"/>
    <w:rsid w:val="00B570E3"/>
    <w:rsid w:val="00B5757A"/>
    <w:rsid w:val="00B57D82"/>
    <w:rsid w:val="00B6033F"/>
    <w:rsid w:val="00B60D03"/>
    <w:rsid w:val="00B60D5F"/>
    <w:rsid w:val="00B61A40"/>
    <w:rsid w:val="00B628FA"/>
    <w:rsid w:val="00B6381D"/>
    <w:rsid w:val="00B6459E"/>
    <w:rsid w:val="00B65E04"/>
    <w:rsid w:val="00B66648"/>
    <w:rsid w:val="00B66E8F"/>
    <w:rsid w:val="00B6729C"/>
    <w:rsid w:val="00B70293"/>
    <w:rsid w:val="00B70FC2"/>
    <w:rsid w:val="00B722AB"/>
    <w:rsid w:val="00B72823"/>
    <w:rsid w:val="00B73D19"/>
    <w:rsid w:val="00B74390"/>
    <w:rsid w:val="00B75A70"/>
    <w:rsid w:val="00B760BB"/>
    <w:rsid w:val="00B761F2"/>
    <w:rsid w:val="00B769C2"/>
    <w:rsid w:val="00B8070E"/>
    <w:rsid w:val="00B80F57"/>
    <w:rsid w:val="00B814B8"/>
    <w:rsid w:val="00B81C6D"/>
    <w:rsid w:val="00B82B38"/>
    <w:rsid w:val="00B82C8E"/>
    <w:rsid w:val="00B82F01"/>
    <w:rsid w:val="00B86957"/>
    <w:rsid w:val="00B9093D"/>
    <w:rsid w:val="00B909CF"/>
    <w:rsid w:val="00B90A00"/>
    <w:rsid w:val="00B92309"/>
    <w:rsid w:val="00B92395"/>
    <w:rsid w:val="00B93114"/>
    <w:rsid w:val="00B95396"/>
    <w:rsid w:val="00B956B5"/>
    <w:rsid w:val="00B9641A"/>
    <w:rsid w:val="00BA0485"/>
    <w:rsid w:val="00BA0670"/>
    <w:rsid w:val="00BA095D"/>
    <w:rsid w:val="00BA1181"/>
    <w:rsid w:val="00BA2A05"/>
    <w:rsid w:val="00BA60E9"/>
    <w:rsid w:val="00BA6806"/>
    <w:rsid w:val="00BB1E7F"/>
    <w:rsid w:val="00BB2312"/>
    <w:rsid w:val="00BB3A91"/>
    <w:rsid w:val="00BB3D8E"/>
    <w:rsid w:val="00BB70D1"/>
    <w:rsid w:val="00BB7B04"/>
    <w:rsid w:val="00BB7C3F"/>
    <w:rsid w:val="00BC0599"/>
    <w:rsid w:val="00BC0C4F"/>
    <w:rsid w:val="00BC4D9C"/>
    <w:rsid w:val="00BC63D4"/>
    <w:rsid w:val="00BC7661"/>
    <w:rsid w:val="00BD3403"/>
    <w:rsid w:val="00BD3872"/>
    <w:rsid w:val="00BD4F1D"/>
    <w:rsid w:val="00BE2487"/>
    <w:rsid w:val="00BE2EE8"/>
    <w:rsid w:val="00BE4DE6"/>
    <w:rsid w:val="00BE7CE4"/>
    <w:rsid w:val="00BE7F3C"/>
    <w:rsid w:val="00BF049A"/>
    <w:rsid w:val="00BF0D6E"/>
    <w:rsid w:val="00BF3595"/>
    <w:rsid w:val="00BF43F6"/>
    <w:rsid w:val="00BF58F6"/>
    <w:rsid w:val="00BF5E65"/>
    <w:rsid w:val="00BF6FF9"/>
    <w:rsid w:val="00BF7CC1"/>
    <w:rsid w:val="00BF7ECB"/>
    <w:rsid w:val="00C00B6D"/>
    <w:rsid w:val="00C01A86"/>
    <w:rsid w:val="00C01A94"/>
    <w:rsid w:val="00C036E3"/>
    <w:rsid w:val="00C0534F"/>
    <w:rsid w:val="00C05A21"/>
    <w:rsid w:val="00C05B51"/>
    <w:rsid w:val="00C05BD4"/>
    <w:rsid w:val="00C05CA2"/>
    <w:rsid w:val="00C07595"/>
    <w:rsid w:val="00C076AB"/>
    <w:rsid w:val="00C1044D"/>
    <w:rsid w:val="00C13278"/>
    <w:rsid w:val="00C14847"/>
    <w:rsid w:val="00C1490B"/>
    <w:rsid w:val="00C1740E"/>
    <w:rsid w:val="00C20955"/>
    <w:rsid w:val="00C209A2"/>
    <w:rsid w:val="00C20E00"/>
    <w:rsid w:val="00C213FE"/>
    <w:rsid w:val="00C22BDF"/>
    <w:rsid w:val="00C22EEA"/>
    <w:rsid w:val="00C24D40"/>
    <w:rsid w:val="00C253AA"/>
    <w:rsid w:val="00C26BCA"/>
    <w:rsid w:val="00C26EBD"/>
    <w:rsid w:val="00C27ABC"/>
    <w:rsid w:val="00C31EF1"/>
    <w:rsid w:val="00C34F3E"/>
    <w:rsid w:val="00C36F08"/>
    <w:rsid w:val="00C40483"/>
    <w:rsid w:val="00C408A4"/>
    <w:rsid w:val="00C413F3"/>
    <w:rsid w:val="00C41535"/>
    <w:rsid w:val="00C421C8"/>
    <w:rsid w:val="00C42516"/>
    <w:rsid w:val="00C44D3C"/>
    <w:rsid w:val="00C45ABB"/>
    <w:rsid w:val="00C50120"/>
    <w:rsid w:val="00C509E3"/>
    <w:rsid w:val="00C50DA9"/>
    <w:rsid w:val="00C50E46"/>
    <w:rsid w:val="00C5222B"/>
    <w:rsid w:val="00C5225E"/>
    <w:rsid w:val="00C52DCC"/>
    <w:rsid w:val="00C5514F"/>
    <w:rsid w:val="00C551C2"/>
    <w:rsid w:val="00C55ACE"/>
    <w:rsid w:val="00C60AC1"/>
    <w:rsid w:val="00C6177E"/>
    <w:rsid w:val="00C61B17"/>
    <w:rsid w:val="00C62043"/>
    <w:rsid w:val="00C62373"/>
    <w:rsid w:val="00C62508"/>
    <w:rsid w:val="00C62D50"/>
    <w:rsid w:val="00C67B25"/>
    <w:rsid w:val="00C7029E"/>
    <w:rsid w:val="00C712D1"/>
    <w:rsid w:val="00C713F3"/>
    <w:rsid w:val="00C73999"/>
    <w:rsid w:val="00C77CDB"/>
    <w:rsid w:val="00C81966"/>
    <w:rsid w:val="00C825ED"/>
    <w:rsid w:val="00C83149"/>
    <w:rsid w:val="00C8379C"/>
    <w:rsid w:val="00C84555"/>
    <w:rsid w:val="00C85040"/>
    <w:rsid w:val="00C859BD"/>
    <w:rsid w:val="00C85C55"/>
    <w:rsid w:val="00C8674F"/>
    <w:rsid w:val="00C903F8"/>
    <w:rsid w:val="00C919D5"/>
    <w:rsid w:val="00C92875"/>
    <w:rsid w:val="00C92BD2"/>
    <w:rsid w:val="00C973E6"/>
    <w:rsid w:val="00CA1BCB"/>
    <w:rsid w:val="00CA2865"/>
    <w:rsid w:val="00CA40AB"/>
    <w:rsid w:val="00CA6E56"/>
    <w:rsid w:val="00CA7493"/>
    <w:rsid w:val="00CA7A6A"/>
    <w:rsid w:val="00CB03D0"/>
    <w:rsid w:val="00CB0FD2"/>
    <w:rsid w:val="00CB1C9C"/>
    <w:rsid w:val="00CB2AB9"/>
    <w:rsid w:val="00CB331B"/>
    <w:rsid w:val="00CB42C8"/>
    <w:rsid w:val="00CB4403"/>
    <w:rsid w:val="00CB46B8"/>
    <w:rsid w:val="00CB677F"/>
    <w:rsid w:val="00CB6B47"/>
    <w:rsid w:val="00CB6F16"/>
    <w:rsid w:val="00CC1FBB"/>
    <w:rsid w:val="00CC355E"/>
    <w:rsid w:val="00CC3810"/>
    <w:rsid w:val="00CC5991"/>
    <w:rsid w:val="00CC63E4"/>
    <w:rsid w:val="00CC6BC0"/>
    <w:rsid w:val="00CD00A1"/>
    <w:rsid w:val="00CD00A7"/>
    <w:rsid w:val="00CD1CE4"/>
    <w:rsid w:val="00CD247D"/>
    <w:rsid w:val="00CD2A33"/>
    <w:rsid w:val="00CD35C5"/>
    <w:rsid w:val="00CD383A"/>
    <w:rsid w:val="00CD5388"/>
    <w:rsid w:val="00CD654F"/>
    <w:rsid w:val="00CE138A"/>
    <w:rsid w:val="00CE1CF7"/>
    <w:rsid w:val="00CE26A4"/>
    <w:rsid w:val="00CE2A05"/>
    <w:rsid w:val="00CE2B61"/>
    <w:rsid w:val="00CE3053"/>
    <w:rsid w:val="00CE374D"/>
    <w:rsid w:val="00CE39BD"/>
    <w:rsid w:val="00CE3DCA"/>
    <w:rsid w:val="00CE3F9F"/>
    <w:rsid w:val="00CE405E"/>
    <w:rsid w:val="00CE452F"/>
    <w:rsid w:val="00CE497A"/>
    <w:rsid w:val="00CF24C2"/>
    <w:rsid w:val="00CF2764"/>
    <w:rsid w:val="00CF356B"/>
    <w:rsid w:val="00CF42AA"/>
    <w:rsid w:val="00CF4561"/>
    <w:rsid w:val="00CF4770"/>
    <w:rsid w:val="00CF4CA9"/>
    <w:rsid w:val="00CF5E0F"/>
    <w:rsid w:val="00CF6849"/>
    <w:rsid w:val="00CF6BAA"/>
    <w:rsid w:val="00CF6DA5"/>
    <w:rsid w:val="00D03A68"/>
    <w:rsid w:val="00D043A7"/>
    <w:rsid w:val="00D052FA"/>
    <w:rsid w:val="00D1009D"/>
    <w:rsid w:val="00D101D1"/>
    <w:rsid w:val="00D11A51"/>
    <w:rsid w:val="00D13599"/>
    <w:rsid w:val="00D1381D"/>
    <w:rsid w:val="00D14634"/>
    <w:rsid w:val="00D15054"/>
    <w:rsid w:val="00D170C0"/>
    <w:rsid w:val="00D17D4D"/>
    <w:rsid w:val="00D20B98"/>
    <w:rsid w:val="00D2125E"/>
    <w:rsid w:val="00D21324"/>
    <w:rsid w:val="00D229DB"/>
    <w:rsid w:val="00D2321E"/>
    <w:rsid w:val="00D24A21"/>
    <w:rsid w:val="00D24BFE"/>
    <w:rsid w:val="00D255D3"/>
    <w:rsid w:val="00D2598D"/>
    <w:rsid w:val="00D2603A"/>
    <w:rsid w:val="00D271A7"/>
    <w:rsid w:val="00D275BC"/>
    <w:rsid w:val="00D302B4"/>
    <w:rsid w:val="00D30332"/>
    <w:rsid w:val="00D30C93"/>
    <w:rsid w:val="00D321F1"/>
    <w:rsid w:val="00D329B3"/>
    <w:rsid w:val="00D32BB2"/>
    <w:rsid w:val="00D33F1C"/>
    <w:rsid w:val="00D34747"/>
    <w:rsid w:val="00D376CF"/>
    <w:rsid w:val="00D429D9"/>
    <w:rsid w:val="00D43EFE"/>
    <w:rsid w:val="00D45887"/>
    <w:rsid w:val="00D46600"/>
    <w:rsid w:val="00D47C81"/>
    <w:rsid w:val="00D51607"/>
    <w:rsid w:val="00D5230C"/>
    <w:rsid w:val="00D52D51"/>
    <w:rsid w:val="00D52D91"/>
    <w:rsid w:val="00D5367C"/>
    <w:rsid w:val="00D542D3"/>
    <w:rsid w:val="00D55E4A"/>
    <w:rsid w:val="00D5731E"/>
    <w:rsid w:val="00D639C2"/>
    <w:rsid w:val="00D64000"/>
    <w:rsid w:val="00D6489E"/>
    <w:rsid w:val="00D653B7"/>
    <w:rsid w:val="00D66948"/>
    <w:rsid w:val="00D71B1A"/>
    <w:rsid w:val="00D740C8"/>
    <w:rsid w:val="00D74433"/>
    <w:rsid w:val="00D750D4"/>
    <w:rsid w:val="00D80B34"/>
    <w:rsid w:val="00D81C05"/>
    <w:rsid w:val="00D81FCA"/>
    <w:rsid w:val="00D83801"/>
    <w:rsid w:val="00D84823"/>
    <w:rsid w:val="00D857F8"/>
    <w:rsid w:val="00D858AA"/>
    <w:rsid w:val="00D85981"/>
    <w:rsid w:val="00D85F67"/>
    <w:rsid w:val="00D86408"/>
    <w:rsid w:val="00D87E14"/>
    <w:rsid w:val="00D900D1"/>
    <w:rsid w:val="00D90C81"/>
    <w:rsid w:val="00D93FF7"/>
    <w:rsid w:val="00D94043"/>
    <w:rsid w:val="00D94C10"/>
    <w:rsid w:val="00D95E4A"/>
    <w:rsid w:val="00D96486"/>
    <w:rsid w:val="00DA0D55"/>
    <w:rsid w:val="00DA132B"/>
    <w:rsid w:val="00DA19EF"/>
    <w:rsid w:val="00DA2B2D"/>
    <w:rsid w:val="00DA3E23"/>
    <w:rsid w:val="00DA4114"/>
    <w:rsid w:val="00DA47A0"/>
    <w:rsid w:val="00DA53FD"/>
    <w:rsid w:val="00DA5DCE"/>
    <w:rsid w:val="00DA647E"/>
    <w:rsid w:val="00DA7C23"/>
    <w:rsid w:val="00DB01FA"/>
    <w:rsid w:val="00DB089C"/>
    <w:rsid w:val="00DB0A19"/>
    <w:rsid w:val="00DB1C3A"/>
    <w:rsid w:val="00DB3812"/>
    <w:rsid w:val="00DB419A"/>
    <w:rsid w:val="00DB447C"/>
    <w:rsid w:val="00DB5653"/>
    <w:rsid w:val="00DB6111"/>
    <w:rsid w:val="00DB6EC2"/>
    <w:rsid w:val="00DB7EFD"/>
    <w:rsid w:val="00DC065B"/>
    <w:rsid w:val="00DC11E8"/>
    <w:rsid w:val="00DC3959"/>
    <w:rsid w:val="00DC4D54"/>
    <w:rsid w:val="00DC50ED"/>
    <w:rsid w:val="00DC64E2"/>
    <w:rsid w:val="00DC7384"/>
    <w:rsid w:val="00DD1033"/>
    <w:rsid w:val="00DD1826"/>
    <w:rsid w:val="00DD2FE8"/>
    <w:rsid w:val="00DD3260"/>
    <w:rsid w:val="00DD3335"/>
    <w:rsid w:val="00DD423A"/>
    <w:rsid w:val="00DD4D9C"/>
    <w:rsid w:val="00DD58BC"/>
    <w:rsid w:val="00DD67C0"/>
    <w:rsid w:val="00DD67E3"/>
    <w:rsid w:val="00DD7924"/>
    <w:rsid w:val="00DD7C92"/>
    <w:rsid w:val="00DE01A2"/>
    <w:rsid w:val="00DE21D8"/>
    <w:rsid w:val="00DE2419"/>
    <w:rsid w:val="00DE404B"/>
    <w:rsid w:val="00DE4362"/>
    <w:rsid w:val="00DE4417"/>
    <w:rsid w:val="00DE454B"/>
    <w:rsid w:val="00DE524A"/>
    <w:rsid w:val="00DE66D2"/>
    <w:rsid w:val="00DE69C7"/>
    <w:rsid w:val="00DF02F2"/>
    <w:rsid w:val="00DF0694"/>
    <w:rsid w:val="00DF0B9E"/>
    <w:rsid w:val="00DF19D3"/>
    <w:rsid w:val="00DF2560"/>
    <w:rsid w:val="00DF5C3B"/>
    <w:rsid w:val="00DF6200"/>
    <w:rsid w:val="00DF6838"/>
    <w:rsid w:val="00E0003E"/>
    <w:rsid w:val="00E000F9"/>
    <w:rsid w:val="00E004CF"/>
    <w:rsid w:val="00E0050D"/>
    <w:rsid w:val="00E00F5E"/>
    <w:rsid w:val="00E01453"/>
    <w:rsid w:val="00E02548"/>
    <w:rsid w:val="00E02B7F"/>
    <w:rsid w:val="00E0338E"/>
    <w:rsid w:val="00E04086"/>
    <w:rsid w:val="00E04714"/>
    <w:rsid w:val="00E1027C"/>
    <w:rsid w:val="00E1060C"/>
    <w:rsid w:val="00E113D0"/>
    <w:rsid w:val="00E11F4C"/>
    <w:rsid w:val="00E1635F"/>
    <w:rsid w:val="00E17E0C"/>
    <w:rsid w:val="00E17E96"/>
    <w:rsid w:val="00E22349"/>
    <w:rsid w:val="00E223C8"/>
    <w:rsid w:val="00E23CED"/>
    <w:rsid w:val="00E24808"/>
    <w:rsid w:val="00E24BA6"/>
    <w:rsid w:val="00E24BFD"/>
    <w:rsid w:val="00E26B8F"/>
    <w:rsid w:val="00E30D59"/>
    <w:rsid w:val="00E3172D"/>
    <w:rsid w:val="00E31A5D"/>
    <w:rsid w:val="00E31D91"/>
    <w:rsid w:val="00E31E3E"/>
    <w:rsid w:val="00E32E30"/>
    <w:rsid w:val="00E35772"/>
    <w:rsid w:val="00E357FD"/>
    <w:rsid w:val="00E3601E"/>
    <w:rsid w:val="00E36B0E"/>
    <w:rsid w:val="00E370BE"/>
    <w:rsid w:val="00E374D6"/>
    <w:rsid w:val="00E41D8E"/>
    <w:rsid w:val="00E43E4C"/>
    <w:rsid w:val="00E44793"/>
    <w:rsid w:val="00E45F42"/>
    <w:rsid w:val="00E46F58"/>
    <w:rsid w:val="00E47CBC"/>
    <w:rsid w:val="00E5028E"/>
    <w:rsid w:val="00E51316"/>
    <w:rsid w:val="00E52B0E"/>
    <w:rsid w:val="00E53EE2"/>
    <w:rsid w:val="00E54523"/>
    <w:rsid w:val="00E54654"/>
    <w:rsid w:val="00E5665A"/>
    <w:rsid w:val="00E56841"/>
    <w:rsid w:val="00E56A84"/>
    <w:rsid w:val="00E60D45"/>
    <w:rsid w:val="00E61447"/>
    <w:rsid w:val="00E6144D"/>
    <w:rsid w:val="00E61C17"/>
    <w:rsid w:val="00E61D20"/>
    <w:rsid w:val="00E630F7"/>
    <w:rsid w:val="00E64406"/>
    <w:rsid w:val="00E65F26"/>
    <w:rsid w:val="00E66500"/>
    <w:rsid w:val="00E66C5C"/>
    <w:rsid w:val="00E67DA4"/>
    <w:rsid w:val="00E75A70"/>
    <w:rsid w:val="00E75CE6"/>
    <w:rsid w:val="00E767BB"/>
    <w:rsid w:val="00E777ED"/>
    <w:rsid w:val="00E77F1F"/>
    <w:rsid w:val="00E834CD"/>
    <w:rsid w:val="00E836FE"/>
    <w:rsid w:val="00E846E9"/>
    <w:rsid w:val="00E852A7"/>
    <w:rsid w:val="00E865A1"/>
    <w:rsid w:val="00E86B69"/>
    <w:rsid w:val="00E87BD8"/>
    <w:rsid w:val="00E90895"/>
    <w:rsid w:val="00E91938"/>
    <w:rsid w:val="00E9195A"/>
    <w:rsid w:val="00E92F73"/>
    <w:rsid w:val="00E959CB"/>
    <w:rsid w:val="00E9735B"/>
    <w:rsid w:val="00E976ED"/>
    <w:rsid w:val="00EA03BA"/>
    <w:rsid w:val="00EA1478"/>
    <w:rsid w:val="00EA2183"/>
    <w:rsid w:val="00EA62EB"/>
    <w:rsid w:val="00EA770F"/>
    <w:rsid w:val="00EB3292"/>
    <w:rsid w:val="00EB36FC"/>
    <w:rsid w:val="00EB50AB"/>
    <w:rsid w:val="00EB56AC"/>
    <w:rsid w:val="00EB5848"/>
    <w:rsid w:val="00EB6D1A"/>
    <w:rsid w:val="00EB78D3"/>
    <w:rsid w:val="00EB7F5F"/>
    <w:rsid w:val="00EC07E8"/>
    <w:rsid w:val="00EC0A82"/>
    <w:rsid w:val="00EC0E7D"/>
    <w:rsid w:val="00EC1301"/>
    <w:rsid w:val="00EC2B81"/>
    <w:rsid w:val="00EC68C9"/>
    <w:rsid w:val="00ED0C30"/>
    <w:rsid w:val="00ED1418"/>
    <w:rsid w:val="00ED1CB3"/>
    <w:rsid w:val="00ED1EFF"/>
    <w:rsid w:val="00ED22AF"/>
    <w:rsid w:val="00ED26E0"/>
    <w:rsid w:val="00ED26ED"/>
    <w:rsid w:val="00ED2F51"/>
    <w:rsid w:val="00ED32CF"/>
    <w:rsid w:val="00ED3ED8"/>
    <w:rsid w:val="00ED4701"/>
    <w:rsid w:val="00ED4C15"/>
    <w:rsid w:val="00ED7069"/>
    <w:rsid w:val="00EE0BE4"/>
    <w:rsid w:val="00EE1038"/>
    <w:rsid w:val="00EE2CD3"/>
    <w:rsid w:val="00EE3555"/>
    <w:rsid w:val="00EE4183"/>
    <w:rsid w:val="00EE4E3D"/>
    <w:rsid w:val="00EE5AAD"/>
    <w:rsid w:val="00EE658F"/>
    <w:rsid w:val="00EE69C0"/>
    <w:rsid w:val="00EE7E64"/>
    <w:rsid w:val="00EF09D4"/>
    <w:rsid w:val="00EF2D8E"/>
    <w:rsid w:val="00EF2F61"/>
    <w:rsid w:val="00EF32EE"/>
    <w:rsid w:val="00EF34B7"/>
    <w:rsid w:val="00EF49C3"/>
    <w:rsid w:val="00EF4E24"/>
    <w:rsid w:val="00F01F72"/>
    <w:rsid w:val="00F02F7A"/>
    <w:rsid w:val="00F0412C"/>
    <w:rsid w:val="00F0431F"/>
    <w:rsid w:val="00F04611"/>
    <w:rsid w:val="00F0492F"/>
    <w:rsid w:val="00F04CAF"/>
    <w:rsid w:val="00F06174"/>
    <w:rsid w:val="00F075FB"/>
    <w:rsid w:val="00F11663"/>
    <w:rsid w:val="00F11EA9"/>
    <w:rsid w:val="00F12269"/>
    <w:rsid w:val="00F12BAF"/>
    <w:rsid w:val="00F1380E"/>
    <w:rsid w:val="00F13BF9"/>
    <w:rsid w:val="00F14E8B"/>
    <w:rsid w:val="00F15337"/>
    <w:rsid w:val="00F15601"/>
    <w:rsid w:val="00F164D6"/>
    <w:rsid w:val="00F22A09"/>
    <w:rsid w:val="00F244EB"/>
    <w:rsid w:val="00F25585"/>
    <w:rsid w:val="00F26734"/>
    <w:rsid w:val="00F30085"/>
    <w:rsid w:val="00F33226"/>
    <w:rsid w:val="00F33F55"/>
    <w:rsid w:val="00F35B3D"/>
    <w:rsid w:val="00F36844"/>
    <w:rsid w:val="00F37017"/>
    <w:rsid w:val="00F40BDA"/>
    <w:rsid w:val="00F41CBD"/>
    <w:rsid w:val="00F421ED"/>
    <w:rsid w:val="00F424D4"/>
    <w:rsid w:val="00F44F66"/>
    <w:rsid w:val="00F451B9"/>
    <w:rsid w:val="00F452A9"/>
    <w:rsid w:val="00F46634"/>
    <w:rsid w:val="00F46772"/>
    <w:rsid w:val="00F46C3C"/>
    <w:rsid w:val="00F47726"/>
    <w:rsid w:val="00F50AA4"/>
    <w:rsid w:val="00F50FB5"/>
    <w:rsid w:val="00F51060"/>
    <w:rsid w:val="00F51304"/>
    <w:rsid w:val="00F5473D"/>
    <w:rsid w:val="00F548A5"/>
    <w:rsid w:val="00F551E2"/>
    <w:rsid w:val="00F55D2A"/>
    <w:rsid w:val="00F601C0"/>
    <w:rsid w:val="00F611DE"/>
    <w:rsid w:val="00F6236E"/>
    <w:rsid w:val="00F62827"/>
    <w:rsid w:val="00F62C54"/>
    <w:rsid w:val="00F6371D"/>
    <w:rsid w:val="00F64273"/>
    <w:rsid w:val="00F645F6"/>
    <w:rsid w:val="00F64DF2"/>
    <w:rsid w:val="00F65D96"/>
    <w:rsid w:val="00F66147"/>
    <w:rsid w:val="00F6695F"/>
    <w:rsid w:val="00F670A2"/>
    <w:rsid w:val="00F67253"/>
    <w:rsid w:val="00F67D58"/>
    <w:rsid w:val="00F71051"/>
    <w:rsid w:val="00F71681"/>
    <w:rsid w:val="00F716DC"/>
    <w:rsid w:val="00F72ACC"/>
    <w:rsid w:val="00F73EE2"/>
    <w:rsid w:val="00F742D5"/>
    <w:rsid w:val="00F7449C"/>
    <w:rsid w:val="00F759D4"/>
    <w:rsid w:val="00F76783"/>
    <w:rsid w:val="00F76D36"/>
    <w:rsid w:val="00F7713D"/>
    <w:rsid w:val="00F77872"/>
    <w:rsid w:val="00F83422"/>
    <w:rsid w:val="00F83FA6"/>
    <w:rsid w:val="00F84244"/>
    <w:rsid w:val="00F84742"/>
    <w:rsid w:val="00F87682"/>
    <w:rsid w:val="00F90F15"/>
    <w:rsid w:val="00F9107C"/>
    <w:rsid w:val="00F91288"/>
    <w:rsid w:val="00F91AFF"/>
    <w:rsid w:val="00F92563"/>
    <w:rsid w:val="00F935C7"/>
    <w:rsid w:val="00F9422E"/>
    <w:rsid w:val="00F9609C"/>
    <w:rsid w:val="00F9734D"/>
    <w:rsid w:val="00FA096B"/>
    <w:rsid w:val="00FA1840"/>
    <w:rsid w:val="00FA2A5B"/>
    <w:rsid w:val="00FA2BFC"/>
    <w:rsid w:val="00FA4437"/>
    <w:rsid w:val="00FA47C1"/>
    <w:rsid w:val="00FA4ADC"/>
    <w:rsid w:val="00FA4C58"/>
    <w:rsid w:val="00FA4DE2"/>
    <w:rsid w:val="00FA5168"/>
    <w:rsid w:val="00FA61F4"/>
    <w:rsid w:val="00FB0A98"/>
    <w:rsid w:val="00FB0DBF"/>
    <w:rsid w:val="00FB16BC"/>
    <w:rsid w:val="00FB3089"/>
    <w:rsid w:val="00FB4201"/>
    <w:rsid w:val="00FB55E9"/>
    <w:rsid w:val="00FB64C5"/>
    <w:rsid w:val="00FC00FF"/>
    <w:rsid w:val="00FC013F"/>
    <w:rsid w:val="00FC0393"/>
    <w:rsid w:val="00FC0ED4"/>
    <w:rsid w:val="00FC2E1B"/>
    <w:rsid w:val="00FC3016"/>
    <w:rsid w:val="00FC3227"/>
    <w:rsid w:val="00FC3759"/>
    <w:rsid w:val="00FC52C1"/>
    <w:rsid w:val="00FC574B"/>
    <w:rsid w:val="00FC5BBF"/>
    <w:rsid w:val="00FC5FF6"/>
    <w:rsid w:val="00FC64E2"/>
    <w:rsid w:val="00FC6C7F"/>
    <w:rsid w:val="00FC746F"/>
    <w:rsid w:val="00FD13C1"/>
    <w:rsid w:val="00FD1E75"/>
    <w:rsid w:val="00FD3D3D"/>
    <w:rsid w:val="00FD55F0"/>
    <w:rsid w:val="00FD5887"/>
    <w:rsid w:val="00FD6754"/>
    <w:rsid w:val="00FD690D"/>
    <w:rsid w:val="00FD7D54"/>
    <w:rsid w:val="00FE10D2"/>
    <w:rsid w:val="00FE3EAB"/>
    <w:rsid w:val="00FE3FE9"/>
    <w:rsid w:val="00FE4BA1"/>
    <w:rsid w:val="00FE79CB"/>
    <w:rsid w:val="00FE7BE7"/>
    <w:rsid w:val="00FE7D73"/>
    <w:rsid w:val="00FF03A3"/>
    <w:rsid w:val="00FF0E37"/>
    <w:rsid w:val="00FF18B9"/>
    <w:rsid w:val="00FF4813"/>
    <w:rsid w:val="00FF4A81"/>
    <w:rsid w:val="00FF5044"/>
    <w:rsid w:val="00FF6A33"/>
    <w:rsid w:val="00FF7340"/>
    <w:rsid w:val="00FF78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5:docId w15:val="{8A95D000-33E8-4239-9C98-7D15AD5C8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4244"/>
    <w:pPr>
      <w:autoSpaceDE w:val="0"/>
      <w:autoSpaceDN w:val="0"/>
      <w:ind w:left="425" w:hanging="425"/>
      <w:jc w:val="both"/>
    </w:pPr>
    <w:rPr>
      <w:rFonts w:ascii="Arial" w:hAnsi="Arial"/>
      <w:szCs w:val="24"/>
    </w:rPr>
  </w:style>
  <w:style w:type="paragraph" w:styleId="Heading1">
    <w:name w:val="heading 1"/>
    <w:basedOn w:val="Normal"/>
    <w:next w:val="Text1"/>
    <w:link w:val="Heading1Char"/>
    <w:qFormat/>
    <w:rsid w:val="00475311"/>
    <w:pPr>
      <w:keepNext/>
      <w:numPr>
        <w:numId w:val="1"/>
      </w:numPr>
      <w:spacing w:before="360"/>
      <w:outlineLvl w:val="0"/>
    </w:pPr>
    <w:rPr>
      <w:rFonts w:ascii="Cambria" w:hAnsi="Cambria"/>
      <w:b/>
      <w:bCs/>
      <w:kern w:val="32"/>
      <w:sz w:val="32"/>
      <w:szCs w:val="32"/>
    </w:rPr>
  </w:style>
  <w:style w:type="paragraph" w:styleId="Heading2">
    <w:name w:val="heading 2"/>
    <w:basedOn w:val="Normal"/>
    <w:next w:val="Text2"/>
    <w:link w:val="Heading2Char"/>
    <w:qFormat/>
    <w:rsid w:val="00475311"/>
    <w:pPr>
      <w:keepNext/>
      <w:numPr>
        <w:ilvl w:val="1"/>
        <w:numId w:val="1"/>
      </w:numPr>
      <w:outlineLvl w:val="1"/>
    </w:pPr>
    <w:rPr>
      <w:rFonts w:ascii="Cambria" w:hAnsi="Cambria"/>
      <w:b/>
      <w:bCs/>
      <w:i/>
      <w:iCs/>
      <w:sz w:val="28"/>
      <w:szCs w:val="28"/>
    </w:rPr>
  </w:style>
  <w:style w:type="paragraph" w:styleId="Heading3">
    <w:name w:val="heading 3"/>
    <w:basedOn w:val="Normal"/>
    <w:next w:val="Text3"/>
    <w:link w:val="Heading3Char"/>
    <w:qFormat/>
    <w:rsid w:val="00475311"/>
    <w:pPr>
      <w:keepNext/>
      <w:numPr>
        <w:ilvl w:val="2"/>
        <w:numId w:val="1"/>
      </w:numPr>
      <w:outlineLvl w:val="2"/>
    </w:pPr>
    <w:rPr>
      <w:rFonts w:ascii="Cambria" w:hAnsi="Cambria"/>
      <w:b/>
      <w:bCs/>
      <w:sz w:val="26"/>
      <w:szCs w:val="26"/>
    </w:rPr>
  </w:style>
  <w:style w:type="paragraph" w:styleId="Heading4">
    <w:name w:val="heading 4"/>
    <w:basedOn w:val="Normal"/>
    <w:next w:val="Text4"/>
    <w:link w:val="Heading4Char"/>
    <w:qFormat/>
    <w:rsid w:val="00475311"/>
    <w:pPr>
      <w:keepNext/>
      <w:numPr>
        <w:ilvl w:val="3"/>
        <w:numId w:val="1"/>
      </w:numPr>
      <w:outlineLvl w:val="3"/>
    </w:pPr>
    <w:rPr>
      <w:rFonts w:ascii="Calibri" w:hAnsi="Calibri"/>
      <w:b/>
      <w:bCs/>
      <w:sz w:val="28"/>
      <w:szCs w:val="28"/>
    </w:rPr>
  </w:style>
  <w:style w:type="paragraph" w:styleId="Heading5">
    <w:name w:val="heading 5"/>
    <w:basedOn w:val="Normal"/>
    <w:next w:val="Normal"/>
    <w:link w:val="Heading5Char"/>
    <w:qFormat/>
    <w:rsid w:val="00475311"/>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475311"/>
    <w:pPr>
      <w:spacing w:before="240" w:after="60"/>
      <w:outlineLvl w:val="5"/>
    </w:pPr>
    <w:rPr>
      <w:rFonts w:ascii="Calibri" w:hAnsi="Calibri"/>
      <w:b/>
      <w:bCs/>
      <w:szCs w:val="20"/>
    </w:rPr>
  </w:style>
  <w:style w:type="paragraph" w:styleId="Heading7">
    <w:name w:val="heading 7"/>
    <w:basedOn w:val="Normal"/>
    <w:next w:val="Normal"/>
    <w:link w:val="Heading7Char"/>
    <w:qFormat/>
    <w:rsid w:val="00475311"/>
    <w:pPr>
      <w:spacing w:before="240" w:after="60"/>
      <w:outlineLvl w:val="6"/>
    </w:pPr>
    <w:rPr>
      <w:rFonts w:ascii="Calibri" w:hAnsi="Calibri"/>
    </w:rPr>
  </w:style>
  <w:style w:type="paragraph" w:styleId="Heading8">
    <w:name w:val="heading 8"/>
    <w:basedOn w:val="Normal"/>
    <w:next w:val="Normal"/>
    <w:link w:val="Heading8Char"/>
    <w:qFormat/>
    <w:rsid w:val="00475311"/>
    <w:pPr>
      <w:spacing w:before="240" w:after="60"/>
      <w:outlineLvl w:val="7"/>
    </w:pPr>
    <w:rPr>
      <w:rFonts w:ascii="Calibri" w:hAnsi="Calibri"/>
      <w:i/>
      <w:iCs/>
    </w:rPr>
  </w:style>
  <w:style w:type="paragraph" w:styleId="Heading9">
    <w:name w:val="heading 9"/>
    <w:basedOn w:val="Normal"/>
    <w:next w:val="Normal"/>
    <w:link w:val="Heading9Char"/>
    <w:qFormat/>
    <w:rsid w:val="00475311"/>
    <w:pPr>
      <w:spacing w:before="240" w:after="60"/>
      <w:outlineLvl w:val="8"/>
    </w:pPr>
    <w:rPr>
      <w:rFonts w:ascii="Cambria" w:hAnsi="Cambri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5311"/>
    <w:rPr>
      <w:rFonts w:ascii="Cambria" w:hAnsi="Cambria"/>
      <w:b/>
      <w:bCs/>
      <w:kern w:val="32"/>
      <w:sz w:val="32"/>
      <w:szCs w:val="32"/>
    </w:rPr>
  </w:style>
  <w:style w:type="character" w:customStyle="1" w:styleId="Heading2Char">
    <w:name w:val="Heading 2 Char"/>
    <w:link w:val="Heading2"/>
    <w:rsid w:val="00475311"/>
    <w:rPr>
      <w:rFonts w:ascii="Cambria" w:hAnsi="Cambria"/>
      <w:b/>
      <w:bCs/>
      <w:i/>
      <w:iCs/>
      <w:sz w:val="28"/>
      <w:szCs w:val="28"/>
    </w:rPr>
  </w:style>
  <w:style w:type="character" w:customStyle="1" w:styleId="Heading3Char">
    <w:name w:val="Heading 3 Char"/>
    <w:link w:val="Heading3"/>
    <w:rsid w:val="00475311"/>
    <w:rPr>
      <w:rFonts w:ascii="Cambria" w:hAnsi="Cambria"/>
      <w:b/>
      <w:bCs/>
      <w:sz w:val="26"/>
      <w:szCs w:val="26"/>
    </w:rPr>
  </w:style>
  <w:style w:type="character" w:customStyle="1" w:styleId="Heading4Char">
    <w:name w:val="Heading 4 Char"/>
    <w:link w:val="Heading4"/>
    <w:rsid w:val="00475311"/>
    <w:rPr>
      <w:b/>
      <w:bCs/>
      <w:sz w:val="28"/>
      <w:szCs w:val="28"/>
    </w:rPr>
  </w:style>
  <w:style w:type="character" w:customStyle="1" w:styleId="Heading5Char">
    <w:name w:val="Heading 5 Char"/>
    <w:link w:val="Heading5"/>
    <w:uiPriority w:val="9"/>
    <w:rsid w:val="00475311"/>
    <w:rPr>
      <w:b/>
      <w:bCs/>
      <w:i/>
      <w:iCs/>
      <w:sz w:val="26"/>
      <w:szCs w:val="26"/>
    </w:rPr>
  </w:style>
  <w:style w:type="character" w:customStyle="1" w:styleId="Heading6Char">
    <w:name w:val="Heading 6 Char"/>
    <w:link w:val="Heading6"/>
    <w:uiPriority w:val="9"/>
    <w:rsid w:val="00475311"/>
    <w:rPr>
      <w:b/>
      <w:bCs/>
    </w:rPr>
  </w:style>
  <w:style w:type="character" w:customStyle="1" w:styleId="Heading7Char">
    <w:name w:val="Heading 7 Char"/>
    <w:link w:val="Heading7"/>
    <w:uiPriority w:val="9"/>
    <w:rsid w:val="00475311"/>
    <w:rPr>
      <w:sz w:val="24"/>
      <w:szCs w:val="24"/>
    </w:rPr>
  </w:style>
  <w:style w:type="character" w:customStyle="1" w:styleId="Heading8Char">
    <w:name w:val="Heading 8 Char"/>
    <w:link w:val="Heading8"/>
    <w:uiPriority w:val="9"/>
    <w:rsid w:val="00475311"/>
    <w:rPr>
      <w:i/>
      <w:iCs/>
      <w:sz w:val="24"/>
      <w:szCs w:val="24"/>
    </w:rPr>
  </w:style>
  <w:style w:type="character" w:customStyle="1" w:styleId="Heading9Char">
    <w:name w:val="Heading 9 Char"/>
    <w:link w:val="Heading9"/>
    <w:uiPriority w:val="9"/>
    <w:rsid w:val="00475311"/>
    <w:rPr>
      <w:rFonts w:ascii="Cambria" w:eastAsia="Times New Roman" w:hAnsi="Cambria" w:cs="Times New Roman"/>
    </w:rPr>
  </w:style>
  <w:style w:type="paragraph" w:customStyle="1" w:styleId="Text1">
    <w:name w:val="Text 1"/>
    <w:basedOn w:val="Normal"/>
    <w:rsid w:val="00475311"/>
    <w:pPr>
      <w:ind w:left="851"/>
    </w:pPr>
  </w:style>
  <w:style w:type="paragraph" w:customStyle="1" w:styleId="Text2">
    <w:name w:val="Text 2"/>
    <w:basedOn w:val="Normal"/>
    <w:uiPriority w:val="99"/>
    <w:rsid w:val="00475311"/>
    <w:pPr>
      <w:ind w:left="851"/>
    </w:pPr>
  </w:style>
  <w:style w:type="paragraph" w:customStyle="1" w:styleId="Text3">
    <w:name w:val="Text 3"/>
    <w:basedOn w:val="Normal"/>
    <w:uiPriority w:val="99"/>
    <w:rsid w:val="00475311"/>
    <w:pPr>
      <w:ind w:left="851"/>
    </w:pPr>
  </w:style>
  <w:style w:type="paragraph" w:customStyle="1" w:styleId="Text4">
    <w:name w:val="Text 4"/>
    <w:basedOn w:val="Normal"/>
    <w:uiPriority w:val="99"/>
    <w:rsid w:val="00475311"/>
    <w:pPr>
      <w:ind w:left="851"/>
    </w:pPr>
  </w:style>
  <w:style w:type="paragraph" w:customStyle="1" w:styleId="Annexetitreacte">
    <w:name w:val="Annexe titre (acte)"/>
    <w:basedOn w:val="Normal"/>
    <w:next w:val="Normal"/>
    <w:rsid w:val="00475311"/>
    <w:pPr>
      <w:jc w:val="center"/>
    </w:pPr>
    <w:rPr>
      <w:b/>
      <w:bCs/>
      <w:u w:val="single"/>
    </w:rPr>
  </w:style>
  <w:style w:type="paragraph" w:customStyle="1" w:styleId="Annexetitreexposglobal">
    <w:name w:val="Annexe titre (exposé global)"/>
    <w:basedOn w:val="Normal"/>
    <w:next w:val="Normal"/>
    <w:uiPriority w:val="99"/>
    <w:rsid w:val="00475311"/>
    <w:pPr>
      <w:jc w:val="center"/>
    </w:pPr>
    <w:rPr>
      <w:b/>
      <w:bCs/>
      <w:u w:val="single"/>
    </w:rPr>
  </w:style>
  <w:style w:type="paragraph" w:customStyle="1" w:styleId="Annexetitreexpos">
    <w:name w:val="Annexe titre (exposé)"/>
    <w:basedOn w:val="Normal"/>
    <w:next w:val="Normal"/>
    <w:uiPriority w:val="99"/>
    <w:rsid w:val="00475311"/>
    <w:pPr>
      <w:jc w:val="center"/>
    </w:pPr>
    <w:rPr>
      <w:b/>
      <w:bCs/>
      <w:u w:val="single"/>
    </w:rPr>
  </w:style>
  <w:style w:type="paragraph" w:customStyle="1" w:styleId="Annexetitrefichefinacte">
    <w:name w:val="Annexe titre (fiche fin. acte)"/>
    <w:basedOn w:val="Normal"/>
    <w:next w:val="Normal"/>
    <w:uiPriority w:val="99"/>
    <w:rsid w:val="00475311"/>
    <w:pPr>
      <w:jc w:val="center"/>
    </w:pPr>
    <w:rPr>
      <w:b/>
      <w:bCs/>
      <w:u w:val="single"/>
    </w:rPr>
  </w:style>
  <w:style w:type="paragraph" w:customStyle="1" w:styleId="Annexetitrefichefinglobale">
    <w:name w:val="Annexe titre (fiche fin. globale)"/>
    <w:basedOn w:val="Normal"/>
    <w:next w:val="Normal"/>
    <w:uiPriority w:val="99"/>
    <w:rsid w:val="00475311"/>
    <w:pPr>
      <w:jc w:val="center"/>
    </w:pPr>
    <w:rPr>
      <w:b/>
      <w:bCs/>
      <w:u w:val="single"/>
    </w:rPr>
  </w:style>
  <w:style w:type="paragraph" w:customStyle="1" w:styleId="Annexetitreglobale">
    <w:name w:val="Annexe titre (globale)"/>
    <w:basedOn w:val="Normal"/>
    <w:next w:val="Normal"/>
    <w:uiPriority w:val="99"/>
    <w:rsid w:val="00475311"/>
    <w:pPr>
      <w:jc w:val="center"/>
    </w:pPr>
    <w:rPr>
      <w:b/>
      <w:bCs/>
      <w:u w:val="single"/>
    </w:rPr>
  </w:style>
  <w:style w:type="paragraph" w:customStyle="1" w:styleId="Applicationdirecte">
    <w:name w:val="Application directe"/>
    <w:basedOn w:val="Normal"/>
    <w:next w:val="Fait"/>
    <w:uiPriority w:val="99"/>
    <w:rsid w:val="00475311"/>
    <w:pPr>
      <w:spacing w:before="480"/>
    </w:pPr>
  </w:style>
  <w:style w:type="paragraph" w:customStyle="1" w:styleId="Fait">
    <w:name w:val="Fait à"/>
    <w:basedOn w:val="Normal"/>
    <w:next w:val="Institutionquisigne"/>
    <w:uiPriority w:val="99"/>
    <w:rsid w:val="00475311"/>
    <w:pPr>
      <w:keepNext/>
    </w:pPr>
  </w:style>
  <w:style w:type="paragraph" w:customStyle="1" w:styleId="Institutionquisigne">
    <w:name w:val="Institution qui signe"/>
    <w:basedOn w:val="Normal"/>
    <w:next w:val="Personnequisigne"/>
    <w:uiPriority w:val="99"/>
    <w:rsid w:val="00475311"/>
    <w:pPr>
      <w:keepNext/>
      <w:tabs>
        <w:tab w:val="left" w:pos="4253"/>
      </w:tabs>
      <w:spacing w:before="720"/>
    </w:pPr>
    <w:rPr>
      <w:i/>
      <w:iCs/>
    </w:rPr>
  </w:style>
  <w:style w:type="paragraph" w:customStyle="1" w:styleId="Personnequisigne">
    <w:name w:val="Personne qui signe"/>
    <w:basedOn w:val="Normal"/>
    <w:next w:val="Institutionquisigne"/>
    <w:uiPriority w:val="99"/>
    <w:rsid w:val="00475311"/>
    <w:pPr>
      <w:tabs>
        <w:tab w:val="left" w:pos="4253"/>
      </w:tabs>
      <w:jc w:val="left"/>
    </w:pPr>
    <w:rPr>
      <w:i/>
      <w:iCs/>
    </w:rPr>
  </w:style>
  <w:style w:type="paragraph" w:styleId="Caption">
    <w:name w:val="caption"/>
    <w:basedOn w:val="Normal"/>
    <w:next w:val="Normal"/>
    <w:uiPriority w:val="99"/>
    <w:qFormat/>
    <w:rsid w:val="00475311"/>
    <w:rPr>
      <w:b/>
      <w:bCs/>
    </w:rPr>
  </w:style>
  <w:style w:type="paragraph" w:customStyle="1" w:styleId="ChapterTitle">
    <w:name w:val="ChapterTitle"/>
    <w:basedOn w:val="Normal"/>
    <w:next w:val="Normal"/>
    <w:uiPriority w:val="99"/>
    <w:rsid w:val="00475311"/>
    <w:pPr>
      <w:keepNext/>
      <w:spacing w:after="360"/>
      <w:jc w:val="center"/>
    </w:pPr>
    <w:rPr>
      <w:b/>
      <w:bCs/>
      <w:sz w:val="32"/>
      <w:szCs w:val="32"/>
    </w:rPr>
  </w:style>
  <w:style w:type="character" w:styleId="CommentReference">
    <w:name w:val="annotation reference"/>
    <w:uiPriority w:val="99"/>
    <w:rsid w:val="00475311"/>
    <w:rPr>
      <w:sz w:val="16"/>
      <w:szCs w:val="16"/>
    </w:rPr>
  </w:style>
  <w:style w:type="paragraph" w:styleId="CommentText">
    <w:name w:val="annotation text"/>
    <w:basedOn w:val="Normal"/>
    <w:link w:val="CommentTextChar"/>
    <w:uiPriority w:val="99"/>
    <w:rsid w:val="00475311"/>
    <w:rPr>
      <w:szCs w:val="20"/>
    </w:rPr>
  </w:style>
  <w:style w:type="character" w:customStyle="1" w:styleId="CommentTextChar">
    <w:name w:val="Comment Text Char"/>
    <w:link w:val="CommentText"/>
    <w:uiPriority w:val="99"/>
    <w:rsid w:val="00475311"/>
    <w:rPr>
      <w:rFonts w:ascii="Times New Roman" w:hAnsi="Times New Roman" w:cs="Times New Roman"/>
      <w:sz w:val="20"/>
      <w:szCs w:val="20"/>
    </w:rPr>
  </w:style>
  <w:style w:type="paragraph" w:customStyle="1" w:styleId="Confidence">
    <w:name w:val="Confidence"/>
    <w:basedOn w:val="Normal"/>
    <w:next w:val="Normal"/>
    <w:uiPriority w:val="99"/>
    <w:rsid w:val="00475311"/>
    <w:pPr>
      <w:spacing w:before="360"/>
      <w:jc w:val="center"/>
    </w:pPr>
  </w:style>
  <w:style w:type="paragraph" w:customStyle="1" w:styleId="Corrigendum">
    <w:name w:val="Corrigendum"/>
    <w:basedOn w:val="Normal"/>
    <w:next w:val="Normal"/>
    <w:uiPriority w:val="99"/>
    <w:rsid w:val="00475311"/>
    <w:pPr>
      <w:spacing w:after="240"/>
      <w:jc w:val="left"/>
    </w:pPr>
  </w:style>
  <w:style w:type="paragraph" w:customStyle="1" w:styleId="Emission">
    <w:name w:val="Emission"/>
    <w:basedOn w:val="Normal"/>
    <w:next w:val="Rfrenceinstitutionelle"/>
    <w:uiPriority w:val="99"/>
    <w:rsid w:val="00475311"/>
    <w:pPr>
      <w:ind w:left="5103"/>
      <w:jc w:val="left"/>
    </w:pPr>
  </w:style>
  <w:style w:type="paragraph" w:customStyle="1" w:styleId="Rfrenceinstitutionelle">
    <w:name w:val="Référence institutionelle"/>
    <w:basedOn w:val="Normal"/>
    <w:next w:val="Statut"/>
    <w:uiPriority w:val="99"/>
    <w:rsid w:val="00475311"/>
    <w:pPr>
      <w:spacing w:after="240"/>
      <w:ind w:left="5103"/>
      <w:jc w:val="left"/>
    </w:pPr>
  </w:style>
  <w:style w:type="paragraph" w:customStyle="1" w:styleId="Statut">
    <w:name w:val="Statut"/>
    <w:basedOn w:val="Normal"/>
    <w:next w:val="Typedudocument"/>
    <w:uiPriority w:val="99"/>
    <w:rsid w:val="00475311"/>
    <w:pPr>
      <w:spacing w:before="360"/>
      <w:jc w:val="center"/>
    </w:pPr>
  </w:style>
  <w:style w:type="paragraph" w:customStyle="1" w:styleId="Typedudocument">
    <w:name w:val="Type du document"/>
    <w:basedOn w:val="Normal"/>
    <w:next w:val="Datedadoption"/>
    <w:uiPriority w:val="99"/>
    <w:rsid w:val="00475311"/>
    <w:pPr>
      <w:spacing w:before="360"/>
      <w:jc w:val="center"/>
    </w:pPr>
    <w:rPr>
      <w:b/>
      <w:bCs/>
    </w:rPr>
  </w:style>
  <w:style w:type="paragraph" w:customStyle="1" w:styleId="Datedadoption">
    <w:name w:val="Date d'adoption"/>
    <w:basedOn w:val="Normal"/>
    <w:next w:val="Titreobjet"/>
    <w:uiPriority w:val="99"/>
    <w:rsid w:val="00475311"/>
    <w:pPr>
      <w:spacing w:before="360"/>
      <w:jc w:val="center"/>
    </w:pPr>
    <w:rPr>
      <w:b/>
      <w:bCs/>
    </w:rPr>
  </w:style>
  <w:style w:type="paragraph" w:customStyle="1" w:styleId="Titreobjet">
    <w:name w:val="Titre objet"/>
    <w:basedOn w:val="Normal"/>
    <w:next w:val="Sous-titreobjet"/>
    <w:uiPriority w:val="99"/>
    <w:rsid w:val="00475311"/>
    <w:pPr>
      <w:spacing w:before="360" w:after="360"/>
      <w:jc w:val="center"/>
    </w:pPr>
    <w:rPr>
      <w:b/>
      <w:bCs/>
    </w:rPr>
  </w:style>
  <w:style w:type="paragraph" w:customStyle="1" w:styleId="Sous-titreobjet">
    <w:name w:val="Sous-titre objet"/>
    <w:basedOn w:val="Titreobjet"/>
    <w:uiPriority w:val="99"/>
    <w:rsid w:val="00475311"/>
    <w:pPr>
      <w:spacing w:before="0" w:after="0"/>
    </w:pPr>
  </w:style>
  <w:style w:type="paragraph" w:customStyle="1" w:styleId="Exposdesmotifstitre">
    <w:name w:val="Exposé des motifs titre"/>
    <w:basedOn w:val="Normal"/>
    <w:next w:val="Normal"/>
    <w:uiPriority w:val="99"/>
    <w:rsid w:val="00475311"/>
    <w:pPr>
      <w:jc w:val="center"/>
    </w:pPr>
    <w:rPr>
      <w:b/>
      <w:bCs/>
      <w:u w:val="single"/>
    </w:rPr>
  </w:style>
  <w:style w:type="paragraph" w:customStyle="1" w:styleId="Exposdesmotifstitreglobal">
    <w:name w:val="Exposé des motifs titre (global)"/>
    <w:basedOn w:val="Normal"/>
    <w:next w:val="Normal"/>
    <w:uiPriority w:val="99"/>
    <w:rsid w:val="00475311"/>
    <w:pPr>
      <w:jc w:val="center"/>
    </w:pPr>
    <w:rPr>
      <w:b/>
      <w:bCs/>
      <w:u w:val="single"/>
    </w:rPr>
  </w:style>
  <w:style w:type="paragraph" w:customStyle="1" w:styleId="FichedimpactPMEtitre">
    <w:name w:val="Fiche d'impact PME titre"/>
    <w:basedOn w:val="Normal"/>
    <w:next w:val="Normal"/>
    <w:uiPriority w:val="99"/>
    <w:rsid w:val="00475311"/>
    <w:pPr>
      <w:jc w:val="center"/>
    </w:pPr>
    <w:rPr>
      <w:b/>
      <w:bCs/>
    </w:rPr>
  </w:style>
  <w:style w:type="paragraph" w:customStyle="1" w:styleId="Fichefinanciretextetable">
    <w:name w:val="Fiche financière texte (table)"/>
    <w:basedOn w:val="Normal"/>
    <w:uiPriority w:val="99"/>
    <w:rsid w:val="00475311"/>
    <w:pPr>
      <w:jc w:val="left"/>
    </w:pPr>
    <w:rPr>
      <w:szCs w:val="20"/>
    </w:rPr>
  </w:style>
  <w:style w:type="paragraph" w:customStyle="1" w:styleId="Fichefinanciretitre">
    <w:name w:val="Fiche financière titre"/>
    <w:basedOn w:val="Normal"/>
    <w:next w:val="Normal"/>
    <w:uiPriority w:val="99"/>
    <w:rsid w:val="00475311"/>
    <w:pPr>
      <w:jc w:val="center"/>
    </w:pPr>
    <w:rPr>
      <w:b/>
      <w:bCs/>
      <w:u w:val="single"/>
    </w:rPr>
  </w:style>
  <w:style w:type="paragraph" w:customStyle="1" w:styleId="Fichefinanciretitreactetable">
    <w:name w:val="Fiche financière titre (acte table)"/>
    <w:basedOn w:val="Normal"/>
    <w:next w:val="Normal"/>
    <w:uiPriority w:val="99"/>
    <w:rsid w:val="00475311"/>
    <w:pPr>
      <w:jc w:val="center"/>
    </w:pPr>
    <w:rPr>
      <w:b/>
      <w:bCs/>
      <w:sz w:val="40"/>
      <w:szCs w:val="40"/>
    </w:rPr>
  </w:style>
  <w:style w:type="paragraph" w:customStyle="1" w:styleId="Fichefinanciretitreacte">
    <w:name w:val="Fiche financière titre (acte)"/>
    <w:basedOn w:val="Normal"/>
    <w:next w:val="Normal"/>
    <w:uiPriority w:val="99"/>
    <w:rsid w:val="00475311"/>
    <w:pPr>
      <w:jc w:val="center"/>
    </w:pPr>
    <w:rPr>
      <w:b/>
      <w:bCs/>
      <w:u w:val="single"/>
    </w:rPr>
  </w:style>
  <w:style w:type="paragraph" w:customStyle="1" w:styleId="Fichefinanciretitretable">
    <w:name w:val="Fiche financière titre (table)"/>
    <w:basedOn w:val="Normal"/>
    <w:uiPriority w:val="99"/>
    <w:rsid w:val="00475311"/>
    <w:pPr>
      <w:jc w:val="center"/>
    </w:pPr>
    <w:rPr>
      <w:b/>
      <w:bCs/>
      <w:sz w:val="40"/>
      <w:szCs w:val="40"/>
    </w:rPr>
  </w:style>
  <w:style w:type="paragraph" w:styleId="Footer">
    <w:name w:val="footer"/>
    <w:basedOn w:val="Normal"/>
    <w:link w:val="FooterChar"/>
    <w:rsid w:val="00475311"/>
    <w:pPr>
      <w:tabs>
        <w:tab w:val="center" w:pos="4536"/>
        <w:tab w:val="right" w:pos="9072"/>
      </w:tabs>
      <w:spacing w:before="360"/>
      <w:jc w:val="left"/>
    </w:pPr>
  </w:style>
  <w:style w:type="character" w:customStyle="1" w:styleId="FooterChar">
    <w:name w:val="Footer Char"/>
    <w:link w:val="Footer"/>
    <w:rsid w:val="00475311"/>
    <w:rPr>
      <w:rFonts w:ascii="Times New Roman" w:hAnsi="Times New Roman" w:cs="Times New Roman"/>
      <w:sz w:val="24"/>
      <w:szCs w:val="24"/>
    </w:rPr>
  </w:style>
  <w:style w:type="character" w:styleId="FootnoteReference">
    <w:name w:val="footnote reference"/>
    <w:qFormat/>
    <w:rsid w:val="00475311"/>
    <w:rPr>
      <w:vertAlign w:val="superscript"/>
    </w:rPr>
  </w:style>
  <w:style w:type="paragraph" w:styleId="FootnoteText">
    <w:name w:val="footnote text"/>
    <w:aliases w:val="Fußnotentext Zchn,Car Car Car Zchn,Car Car Car Car Car Car Car Car Car Zchn, Car Car Car Zchn, Car Car Car Car Car Car Car Car Car Zchn, Car Car Car, Car Car Car Car Car Car Car Car Car,Car Car Car,Car Car Car Car Car Car Car Car Car"/>
    <w:basedOn w:val="Normal"/>
    <w:link w:val="FootnoteTextChar"/>
    <w:qFormat/>
    <w:rsid w:val="00475311"/>
    <w:rPr>
      <w:szCs w:val="20"/>
    </w:rPr>
  </w:style>
  <w:style w:type="character" w:customStyle="1" w:styleId="FootnoteTextChar">
    <w:name w:val="Footnote Text Char"/>
    <w:aliases w:val="Fußnotentext Zchn Char,Car Car Car Zchn Char,Car Car Car Car Car Car Car Car Car Zchn Char, Car Car Car Zchn Char, Car Car Car Car Car Car Car Car Car Zchn Char, Car Car Car Char, Car Car Car Car Car Car Car Car Car Char"/>
    <w:link w:val="FootnoteText"/>
    <w:rsid w:val="00475311"/>
    <w:rPr>
      <w:rFonts w:ascii="Times New Roman" w:hAnsi="Times New Roman" w:cs="Times New Roman"/>
      <w:sz w:val="20"/>
      <w:szCs w:val="20"/>
    </w:rPr>
  </w:style>
  <w:style w:type="paragraph" w:customStyle="1" w:styleId="Formuledadoption">
    <w:name w:val="Formule d'adoption"/>
    <w:basedOn w:val="Normal"/>
    <w:next w:val="Titrearticle"/>
    <w:uiPriority w:val="99"/>
    <w:rsid w:val="00475311"/>
    <w:pPr>
      <w:keepNext/>
    </w:pPr>
  </w:style>
  <w:style w:type="paragraph" w:customStyle="1" w:styleId="Titrearticle">
    <w:name w:val="Titre article"/>
    <w:basedOn w:val="Normal"/>
    <w:next w:val="Normal"/>
    <w:rsid w:val="00475311"/>
    <w:pPr>
      <w:keepNext/>
      <w:spacing w:before="360"/>
      <w:jc w:val="center"/>
    </w:pPr>
    <w:rPr>
      <w:i/>
      <w:iCs/>
    </w:rPr>
  </w:style>
  <w:style w:type="paragraph" w:styleId="Header">
    <w:name w:val="header"/>
    <w:aliases w:val="numéro de page"/>
    <w:basedOn w:val="Normal"/>
    <w:link w:val="HeaderChar"/>
    <w:rsid w:val="00475311"/>
    <w:pPr>
      <w:tabs>
        <w:tab w:val="right" w:pos="8306"/>
      </w:tabs>
    </w:pPr>
  </w:style>
  <w:style w:type="character" w:customStyle="1" w:styleId="HeaderChar">
    <w:name w:val="Header Char"/>
    <w:aliases w:val="numéro de page Char"/>
    <w:link w:val="Header"/>
    <w:rsid w:val="00475311"/>
    <w:rPr>
      <w:rFonts w:ascii="Times New Roman" w:hAnsi="Times New Roman" w:cs="Times New Roman"/>
      <w:sz w:val="24"/>
      <w:szCs w:val="24"/>
    </w:rPr>
  </w:style>
  <w:style w:type="paragraph" w:customStyle="1" w:styleId="Institutionquiagit">
    <w:name w:val="Institution qui agit"/>
    <w:basedOn w:val="Normal"/>
    <w:next w:val="Normal"/>
    <w:uiPriority w:val="99"/>
    <w:rsid w:val="00475311"/>
    <w:pPr>
      <w:keepNext/>
      <w:spacing w:before="600"/>
    </w:pPr>
  </w:style>
  <w:style w:type="paragraph" w:customStyle="1" w:styleId="Langue">
    <w:name w:val="Langue"/>
    <w:basedOn w:val="Normal"/>
    <w:next w:val="Rfrenceinterne"/>
    <w:uiPriority w:val="99"/>
    <w:rsid w:val="00475311"/>
    <w:pPr>
      <w:spacing w:after="600"/>
      <w:jc w:val="center"/>
    </w:pPr>
    <w:rPr>
      <w:b/>
      <w:bCs/>
      <w:caps/>
    </w:rPr>
  </w:style>
  <w:style w:type="paragraph" w:customStyle="1" w:styleId="Rfrenceinterne">
    <w:name w:val="Référence interne"/>
    <w:basedOn w:val="Normal"/>
    <w:next w:val="Nomdelinstitution"/>
    <w:uiPriority w:val="99"/>
    <w:rsid w:val="00475311"/>
    <w:pPr>
      <w:spacing w:after="600"/>
      <w:jc w:val="center"/>
    </w:pPr>
    <w:rPr>
      <w:b/>
      <w:bCs/>
    </w:rPr>
  </w:style>
  <w:style w:type="paragraph" w:customStyle="1" w:styleId="Nomdelinstitution">
    <w:name w:val="Nom de l'institution"/>
    <w:basedOn w:val="Normal"/>
    <w:next w:val="Emission"/>
    <w:uiPriority w:val="99"/>
    <w:rsid w:val="00475311"/>
    <w:pPr>
      <w:jc w:val="left"/>
    </w:pPr>
    <w:rPr>
      <w:rFonts w:cs="Arial"/>
    </w:rPr>
  </w:style>
  <w:style w:type="paragraph" w:customStyle="1" w:styleId="Langueoriginale">
    <w:name w:val="Langue originale"/>
    <w:basedOn w:val="Normal"/>
    <w:next w:val="Phrasefinale"/>
    <w:uiPriority w:val="99"/>
    <w:rsid w:val="00475311"/>
    <w:pPr>
      <w:spacing w:before="360"/>
      <w:jc w:val="center"/>
    </w:pPr>
    <w:rPr>
      <w:caps/>
    </w:rPr>
  </w:style>
  <w:style w:type="paragraph" w:customStyle="1" w:styleId="Phrasefinale">
    <w:name w:val="Phrase finale"/>
    <w:basedOn w:val="Normal"/>
    <w:next w:val="Normal"/>
    <w:uiPriority w:val="99"/>
    <w:rsid w:val="00475311"/>
    <w:pPr>
      <w:spacing w:before="360"/>
      <w:jc w:val="center"/>
    </w:pPr>
  </w:style>
  <w:style w:type="paragraph" w:customStyle="1" w:styleId="ManualHeading1">
    <w:name w:val="Manual Heading 1"/>
    <w:basedOn w:val="Heading1"/>
    <w:next w:val="Text1"/>
    <w:uiPriority w:val="99"/>
    <w:rsid w:val="00475311"/>
    <w:pPr>
      <w:tabs>
        <w:tab w:val="clear" w:pos="850"/>
        <w:tab w:val="num" w:pos="851"/>
      </w:tabs>
      <w:ind w:left="851" w:hanging="851"/>
    </w:pPr>
  </w:style>
  <w:style w:type="paragraph" w:customStyle="1" w:styleId="ManualHeading2">
    <w:name w:val="Manual Heading 2"/>
    <w:basedOn w:val="Heading2"/>
    <w:next w:val="Text2"/>
    <w:uiPriority w:val="99"/>
    <w:rsid w:val="00475311"/>
    <w:pPr>
      <w:tabs>
        <w:tab w:val="clear" w:pos="850"/>
        <w:tab w:val="num" w:pos="851"/>
      </w:tabs>
      <w:ind w:left="851" w:hanging="851"/>
    </w:pPr>
  </w:style>
  <w:style w:type="paragraph" w:customStyle="1" w:styleId="ManualHeading3">
    <w:name w:val="Manual Heading 3"/>
    <w:basedOn w:val="Heading3"/>
    <w:next w:val="Text3"/>
    <w:uiPriority w:val="99"/>
    <w:rsid w:val="00475311"/>
    <w:pPr>
      <w:tabs>
        <w:tab w:val="clear" w:pos="850"/>
        <w:tab w:val="num" w:pos="851"/>
      </w:tabs>
    </w:pPr>
  </w:style>
  <w:style w:type="paragraph" w:customStyle="1" w:styleId="ManualHeading4">
    <w:name w:val="Manual Heading 4"/>
    <w:basedOn w:val="Heading4"/>
    <w:next w:val="Text4"/>
    <w:uiPriority w:val="99"/>
    <w:rsid w:val="00475311"/>
    <w:pPr>
      <w:tabs>
        <w:tab w:val="clear" w:pos="850"/>
        <w:tab w:val="num" w:pos="851"/>
      </w:tabs>
    </w:pPr>
  </w:style>
  <w:style w:type="paragraph" w:customStyle="1" w:styleId="ManualNumPar1">
    <w:name w:val="Manual NumPar 1"/>
    <w:basedOn w:val="Normal"/>
    <w:next w:val="Text1"/>
    <w:rsid w:val="00475311"/>
    <w:pPr>
      <w:ind w:left="851" w:hanging="851"/>
    </w:pPr>
  </w:style>
  <w:style w:type="paragraph" w:customStyle="1" w:styleId="ManualNumPar2">
    <w:name w:val="Manual NumPar 2"/>
    <w:basedOn w:val="Normal"/>
    <w:next w:val="Text2"/>
    <w:uiPriority w:val="99"/>
    <w:rsid w:val="00475311"/>
    <w:pPr>
      <w:ind w:left="851" w:hanging="851"/>
    </w:pPr>
  </w:style>
  <w:style w:type="paragraph" w:customStyle="1" w:styleId="ManualNumPar3">
    <w:name w:val="Manual NumPar 3"/>
    <w:basedOn w:val="Normal"/>
    <w:next w:val="Text3"/>
    <w:uiPriority w:val="99"/>
    <w:rsid w:val="00475311"/>
    <w:pPr>
      <w:ind w:left="851" w:hanging="851"/>
    </w:pPr>
  </w:style>
  <w:style w:type="paragraph" w:customStyle="1" w:styleId="ManualNumPar4">
    <w:name w:val="Manual NumPar 4"/>
    <w:basedOn w:val="Normal"/>
    <w:next w:val="Text4"/>
    <w:uiPriority w:val="99"/>
    <w:rsid w:val="00475311"/>
    <w:pPr>
      <w:ind w:left="851" w:hanging="851"/>
    </w:pPr>
  </w:style>
  <w:style w:type="character" w:customStyle="1" w:styleId="Marker">
    <w:name w:val="Marker"/>
    <w:uiPriority w:val="99"/>
    <w:rsid w:val="00475311"/>
    <w:rPr>
      <w:color w:val="0000FF"/>
    </w:rPr>
  </w:style>
  <w:style w:type="paragraph" w:customStyle="1" w:styleId="NormalCentered">
    <w:name w:val="Normal Centered"/>
    <w:basedOn w:val="Normal"/>
    <w:rsid w:val="00475311"/>
    <w:pPr>
      <w:jc w:val="center"/>
    </w:pPr>
  </w:style>
  <w:style w:type="paragraph" w:customStyle="1" w:styleId="NormalLeft">
    <w:name w:val="Normal Left"/>
    <w:basedOn w:val="Normal"/>
    <w:rsid w:val="00475311"/>
    <w:pPr>
      <w:jc w:val="left"/>
    </w:pPr>
  </w:style>
  <w:style w:type="paragraph" w:customStyle="1" w:styleId="NormalRight">
    <w:name w:val="Normal Right"/>
    <w:basedOn w:val="Normal"/>
    <w:uiPriority w:val="99"/>
    <w:rsid w:val="00475311"/>
    <w:pPr>
      <w:jc w:val="right"/>
    </w:pPr>
  </w:style>
  <w:style w:type="paragraph" w:customStyle="1" w:styleId="NumPar1">
    <w:name w:val="NumPar 1"/>
    <w:basedOn w:val="Normal"/>
    <w:next w:val="Text1"/>
    <w:rsid w:val="00475311"/>
    <w:pPr>
      <w:numPr>
        <w:numId w:val="2"/>
      </w:numPr>
    </w:pPr>
  </w:style>
  <w:style w:type="paragraph" w:customStyle="1" w:styleId="NumPar2">
    <w:name w:val="NumPar 2"/>
    <w:basedOn w:val="Normal"/>
    <w:next w:val="Text2"/>
    <w:rsid w:val="00475311"/>
    <w:pPr>
      <w:numPr>
        <w:ilvl w:val="1"/>
        <w:numId w:val="2"/>
      </w:numPr>
    </w:pPr>
  </w:style>
  <w:style w:type="paragraph" w:customStyle="1" w:styleId="NumPar3">
    <w:name w:val="NumPar 3"/>
    <w:basedOn w:val="Normal"/>
    <w:next w:val="Text3"/>
    <w:rsid w:val="00475311"/>
    <w:pPr>
      <w:numPr>
        <w:ilvl w:val="2"/>
        <w:numId w:val="2"/>
      </w:numPr>
    </w:pPr>
  </w:style>
  <w:style w:type="paragraph" w:customStyle="1" w:styleId="NumPar4">
    <w:name w:val="NumPar 4"/>
    <w:basedOn w:val="Normal"/>
    <w:next w:val="Text4"/>
    <w:rsid w:val="00475311"/>
    <w:pPr>
      <w:numPr>
        <w:ilvl w:val="3"/>
        <w:numId w:val="2"/>
      </w:numPr>
    </w:pPr>
  </w:style>
  <w:style w:type="paragraph" w:customStyle="1" w:styleId="Objetexterne">
    <w:name w:val="Objet externe"/>
    <w:basedOn w:val="Normal"/>
    <w:next w:val="Normal"/>
    <w:uiPriority w:val="99"/>
    <w:rsid w:val="00475311"/>
    <w:rPr>
      <w:i/>
      <w:iCs/>
      <w:caps/>
    </w:rPr>
  </w:style>
  <w:style w:type="character" w:styleId="PageNumber">
    <w:name w:val="page number"/>
    <w:rsid w:val="00475311"/>
  </w:style>
  <w:style w:type="paragraph" w:customStyle="1" w:styleId="PartTitle">
    <w:name w:val="PartTitle"/>
    <w:basedOn w:val="Normal"/>
    <w:next w:val="ChapterTitle"/>
    <w:uiPriority w:val="99"/>
    <w:rsid w:val="00475311"/>
    <w:pPr>
      <w:keepNext/>
      <w:pageBreakBefore/>
      <w:spacing w:after="360"/>
      <w:jc w:val="center"/>
    </w:pPr>
    <w:rPr>
      <w:b/>
      <w:bCs/>
      <w:sz w:val="36"/>
      <w:szCs w:val="36"/>
    </w:rPr>
  </w:style>
  <w:style w:type="paragraph" w:customStyle="1" w:styleId="Point0">
    <w:name w:val="Point 0"/>
    <w:basedOn w:val="Normal"/>
    <w:uiPriority w:val="99"/>
    <w:rsid w:val="00475311"/>
    <w:pPr>
      <w:ind w:left="851" w:hanging="851"/>
    </w:pPr>
  </w:style>
  <w:style w:type="paragraph" w:customStyle="1" w:styleId="Point1">
    <w:name w:val="Point 1"/>
    <w:basedOn w:val="Normal"/>
    <w:rsid w:val="00475311"/>
    <w:pPr>
      <w:ind w:left="1418" w:hanging="567"/>
    </w:pPr>
  </w:style>
  <w:style w:type="paragraph" w:customStyle="1" w:styleId="Point2">
    <w:name w:val="Point 2"/>
    <w:basedOn w:val="Normal"/>
    <w:uiPriority w:val="99"/>
    <w:rsid w:val="00475311"/>
    <w:pPr>
      <w:ind w:left="1985" w:hanging="567"/>
    </w:pPr>
  </w:style>
  <w:style w:type="paragraph" w:customStyle="1" w:styleId="Point3">
    <w:name w:val="Point 3"/>
    <w:basedOn w:val="Normal"/>
    <w:uiPriority w:val="99"/>
    <w:rsid w:val="00475311"/>
    <w:pPr>
      <w:ind w:left="2552" w:hanging="567"/>
    </w:pPr>
  </w:style>
  <w:style w:type="paragraph" w:customStyle="1" w:styleId="Point4">
    <w:name w:val="Point 4"/>
    <w:basedOn w:val="Normal"/>
    <w:uiPriority w:val="99"/>
    <w:rsid w:val="00475311"/>
    <w:pPr>
      <w:ind w:left="3119" w:hanging="567"/>
    </w:pPr>
  </w:style>
  <w:style w:type="paragraph" w:customStyle="1" w:styleId="PointDouble0">
    <w:name w:val="PointDouble 0"/>
    <w:basedOn w:val="Normal"/>
    <w:uiPriority w:val="99"/>
    <w:rsid w:val="00475311"/>
    <w:pPr>
      <w:tabs>
        <w:tab w:val="left" w:pos="851"/>
      </w:tabs>
      <w:ind w:left="1418" w:hanging="1418"/>
    </w:pPr>
  </w:style>
  <w:style w:type="paragraph" w:customStyle="1" w:styleId="PointDouble1">
    <w:name w:val="PointDouble 1"/>
    <w:basedOn w:val="Normal"/>
    <w:uiPriority w:val="99"/>
    <w:rsid w:val="00475311"/>
    <w:pPr>
      <w:tabs>
        <w:tab w:val="left" w:pos="1418"/>
      </w:tabs>
      <w:ind w:left="1985" w:hanging="1134"/>
    </w:pPr>
  </w:style>
  <w:style w:type="paragraph" w:customStyle="1" w:styleId="PointDouble2">
    <w:name w:val="PointDouble 2"/>
    <w:basedOn w:val="Normal"/>
    <w:uiPriority w:val="99"/>
    <w:rsid w:val="00475311"/>
    <w:pPr>
      <w:tabs>
        <w:tab w:val="left" w:pos="1985"/>
      </w:tabs>
      <w:ind w:left="2552" w:hanging="1134"/>
    </w:pPr>
  </w:style>
  <w:style w:type="paragraph" w:customStyle="1" w:styleId="PointDouble3">
    <w:name w:val="PointDouble 3"/>
    <w:basedOn w:val="Normal"/>
    <w:uiPriority w:val="99"/>
    <w:rsid w:val="00475311"/>
    <w:pPr>
      <w:tabs>
        <w:tab w:val="left" w:pos="2552"/>
      </w:tabs>
      <w:ind w:left="3119" w:hanging="1134"/>
    </w:pPr>
  </w:style>
  <w:style w:type="paragraph" w:customStyle="1" w:styleId="PointDouble4">
    <w:name w:val="PointDouble 4"/>
    <w:basedOn w:val="Normal"/>
    <w:uiPriority w:val="99"/>
    <w:rsid w:val="00475311"/>
    <w:pPr>
      <w:tabs>
        <w:tab w:val="left" w:pos="3119"/>
      </w:tabs>
      <w:ind w:left="3686" w:hanging="1134"/>
    </w:pPr>
  </w:style>
  <w:style w:type="paragraph" w:customStyle="1" w:styleId="PointTriple0">
    <w:name w:val="PointTriple 0"/>
    <w:basedOn w:val="Normal"/>
    <w:uiPriority w:val="99"/>
    <w:rsid w:val="00475311"/>
    <w:pPr>
      <w:tabs>
        <w:tab w:val="left" w:pos="851"/>
        <w:tab w:val="left" w:pos="1418"/>
      </w:tabs>
      <w:ind w:left="1985" w:hanging="1985"/>
    </w:pPr>
  </w:style>
  <w:style w:type="paragraph" w:customStyle="1" w:styleId="PointTriple1">
    <w:name w:val="PointTriple 1"/>
    <w:basedOn w:val="Normal"/>
    <w:uiPriority w:val="99"/>
    <w:rsid w:val="00475311"/>
    <w:pPr>
      <w:tabs>
        <w:tab w:val="left" w:pos="1418"/>
        <w:tab w:val="left" w:pos="1985"/>
      </w:tabs>
      <w:ind w:left="2552" w:hanging="1701"/>
    </w:pPr>
  </w:style>
  <w:style w:type="paragraph" w:customStyle="1" w:styleId="PointTriple2">
    <w:name w:val="PointTriple 2"/>
    <w:basedOn w:val="Normal"/>
    <w:uiPriority w:val="99"/>
    <w:rsid w:val="00475311"/>
    <w:pPr>
      <w:tabs>
        <w:tab w:val="left" w:pos="1985"/>
        <w:tab w:val="left" w:pos="2552"/>
      </w:tabs>
      <w:ind w:left="3119" w:hanging="1701"/>
    </w:pPr>
  </w:style>
  <w:style w:type="paragraph" w:customStyle="1" w:styleId="PointTriple3">
    <w:name w:val="PointTriple 3"/>
    <w:basedOn w:val="Normal"/>
    <w:uiPriority w:val="99"/>
    <w:rsid w:val="00475311"/>
    <w:pPr>
      <w:tabs>
        <w:tab w:val="left" w:pos="2552"/>
        <w:tab w:val="left" w:pos="3119"/>
      </w:tabs>
      <w:ind w:left="3686" w:hanging="1701"/>
    </w:pPr>
  </w:style>
  <w:style w:type="paragraph" w:customStyle="1" w:styleId="PointTriple4">
    <w:name w:val="PointTriple 4"/>
    <w:basedOn w:val="Normal"/>
    <w:uiPriority w:val="99"/>
    <w:rsid w:val="00475311"/>
    <w:pPr>
      <w:tabs>
        <w:tab w:val="left" w:pos="3119"/>
        <w:tab w:val="left" w:pos="3686"/>
      </w:tabs>
      <w:ind w:left="4253" w:hanging="1701"/>
    </w:pPr>
  </w:style>
  <w:style w:type="paragraph" w:customStyle="1" w:styleId="Prliminairetitre">
    <w:name w:val="Préliminaire titre"/>
    <w:basedOn w:val="Normal"/>
    <w:next w:val="Normal"/>
    <w:uiPriority w:val="99"/>
    <w:rsid w:val="00475311"/>
    <w:pPr>
      <w:spacing w:before="360" w:after="360"/>
      <w:jc w:val="center"/>
    </w:pPr>
    <w:rPr>
      <w:b/>
      <w:bCs/>
    </w:rPr>
  </w:style>
  <w:style w:type="paragraph" w:customStyle="1" w:styleId="Prliminairetype">
    <w:name w:val="Préliminaire type"/>
    <w:basedOn w:val="Normal"/>
    <w:next w:val="Normal"/>
    <w:uiPriority w:val="99"/>
    <w:rsid w:val="00475311"/>
    <w:pPr>
      <w:spacing w:before="360"/>
      <w:jc w:val="center"/>
    </w:pPr>
    <w:rPr>
      <w:b/>
      <w:bCs/>
    </w:rPr>
  </w:style>
  <w:style w:type="paragraph" w:customStyle="1" w:styleId="QuotedNumPar">
    <w:name w:val="Quoted NumPar"/>
    <w:basedOn w:val="Normal"/>
    <w:uiPriority w:val="99"/>
    <w:rsid w:val="00475311"/>
    <w:pPr>
      <w:ind w:left="1418" w:hanging="567"/>
    </w:pPr>
  </w:style>
  <w:style w:type="paragraph" w:customStyle="1" w:styleId="QuotedText">
    <w:name w:val="Quoted Text"/>
    <w:basedOn w:val="Normal"/>
    <w:uiPriority w:val="99"/>
    <w:rsid w:val="00475311"/>
    <w:pPr>
      <w:ind w:left="1418"/>
    </w:pPr>
  </w:style>
  <w:style w:type="paragraph" w:customStyle="1" w:styleId="Rfrenceinterinstitutionelle">
    <w:name w:val="Référence interinstitutionelle"/>
    <w:basedOn w:val="Normal"/>
    <w:next w:val="Statut"/>
    <w:uiPriority w:val="99"/>
    <w:rsid w:val="00475311"/>
    <w:pPr>
      <w:ind w:left="5103"/>
      <w:jc w:val="left"/>
    </w:pPr>
  </w:style>
  <w:style w:type="paragraph" w:customStyle="1" w:styleId="SectionTitle">
    <w:name w:val="SectionTitle"/>
    <w:basedOn w:val="Normal"/>
    <w:next w:val="Heading1"/>
    <w:uiPriority w:val="99"/>
    <w:rsid w:val="00475311"/>
    <w:pPr>
      <w:keepNext/>
      <w:spacing w:after="360"/>
      <w:jc w:val="center"/>
    </w:pPr>
    <w:rPr>
      <w:b/>
      <w:bCs/>
      <w:smallCaps/>
      <w:sz w:val="28"/>
      <w:szCs w:val="28"/>
    </w:rPr>
  </w:style>
  <w:style w:type="paragraph" w:customStyle="1" w:styleId="TableTitle">
    <w:name w:val="Table Title"/>
    <w:basedOn w:val="Normal"/>
    <w:next w:val="Normal"/>
    <w:uiPriority w:val="99"/>
    <w:rsid w:val="00475311"/>
    <w:pPr>
      <w:jc w:val="center"/>
    </w:pPr>
    <w:rPr>
      <w:b/>
      <w:bCs/>
    </w:rPr>
  </w:style>
  <w:style w:type="paragraph" w:customStyle="1" w:styleId="Tiret0">
    <w:name w:val="Tiret 0"/>
    <w:basedOn w:val="Point0"/>
    <w:uiPriority w:val="99"/>
    <w:rsid w:val="00475311"/>
  </w:style>
  <w:style w:type="paragraph" w:customStyle="1" w:styleId="Tiret1">
    <w:name w:val="Tiret 1"/>
    <w:basedOn w:val="Point1"/>
    <w:uiPriority w:val="99"/>
    <w:rsid w:val="00475311"/>
  </w:style>
  <w:style w:type="paragraph" w:customStyle="1" w:styleId="Tiret2">
    <w:name w:val="Tiret 2"/>
    <w:basedOn w:val="Point2"/>
    <w:uiPriority w:val="99"/>
    <w:rsid w:val="00475311"/>
  </w:style>
  <w:style w:type="paragraph" w:customStyle="1" w:styleId="Tiret3">
    <w:name w:val="Tiret 3"/>
    <w:basedOn w:val="Point3"/>
    <w:uiPriority w:val="99"/>
    <w:rsid w:val="00475311"/>
  </w:style>
  <w:style w:type="paragraph" w:customStyle="1" w:styleId="Tiret4">
    <w:name w:val="Tiret 4"/>
    <w:basedOn w:val="Point4"/>
    <w:uiPriority w:val="99"/>
    <w:rsid w:val="00475311"/>
  </w:style>
  <w:style w:type="paragraph" w:styleId="TOAHeading">
    <w:name w:val="toa heading"/>
    <w:basedOn w:val="Normal"/>
    <w:next w:val="Normal"/>
    <w:uiPriority w:val="99"/>
    <w:rsid w:val="00475311"/>
    <w:rPr>
      <w:rFonts w:cs="Arial"/>
      <w:b/>
      <w:bCs/>
    </w:rPr>
  </w:style>
  <w:style w:type="paragraph" w:styleId="TOC1">
    <w:name w:val="toc 1"/>
    <w:next w:val="Normal"/>
    <w:uiPriority w:val="39"/>
    <w:rsid w:val="00FC3016"/>
    <w:pPr>
      <w:tabs>
        <w:tab w:val="right" w:leader="dot" w:pos="9072"/>
      </w:tabs>
      <w:spacing w:before="200" w:after="100"/>
      <w:ind w:left="-142" w:right="567" w:hanging="142"/>
      <w:jc w:val="both"/>
    </w:pPr>
    <w:rPr>
      <w:rFonts w:ascii="Arial" w:hAnsi="Arial"/>
      <w:b/>
      <w:bCs/>
      <w:caps/>
    </w:rPr>
  </w:style>
  <w:style w:type="paragraph" w:styleId="TOC2">
    <w:name w:val="toc 2"/>
    <w:next w:val="Normal"/>
    <w:uiPriority w:val="39"/>
    <w:rsid w:val="00FC3016"/>
    <w:pPr>
      <w:spacing w:before="100"/>
      <w:ind w:left="85" w:right="567" w:hanging="142"/>
      <w:jc w:val="both"/>
    </w:pPr>
    <w:rPr>
      <w:rFonts w:ascii="Arial" w:hAnsi="Arial"/>
      <w:smallCaps/>
    </w:rPr>
  </w:style>
  <w:style w:type="paragraph" w:styleId="TOC3">
    <w:name w:val="toc 3"/>
    <w:next w:val="Normal"/>
    <w:uiPriority w:val="39"/>
    <w:rsid w:val="00FC3016"/>
    <w:pPr>
      <w:tabs>
        <w:tab w:val="right" w:leader="dot" w:pos="9072"/>
      </w:tabs>
      <w:ind w:left="142" w:right="567" w:hanging="142"/>
      <w:jc w:val="both"/>
    </w:pPr>
    <w:rPr>
      <w:rFonts w:ascii="Arial" w:hAnsi="Arial"/>
      <w:i/>
      <w:iCs/>
    </w:rPr>
  </w:style>
  <w:style w:type="paragraph" w:styleId="TOC4">
    <w:name w:val="toc 4"/>
    <w:basedOn w:val="Normal"/>
    <w:next w:val="Normal"/>
    <w:uiPriority w:val="39"/>
    <w:rsid w:val="00980F0D"/>
    <w:pPr>
      <w:ind w:left="600"/>
      <w:jc w:val="left"/>
    </w:pPr>
    <w:rPr>
      <w:szCs w:val="18"/>
    </w:rPr>
  </w:style>
  <w:style w:type="paragraph" w:styleId="TOC5">
    <w:name w:val="toc 5"/>
    <w:basedOn w:val="Normal"/>
    <w:next w:val="Normal"/>
    <w:uiPriority w:val="39"/>
    <w:rsid w:val="00475311"/>
    <w:pPr>
      <w:ind w:left="800"/>
      <w:jc w:val="left"/>
    </w:pPr>
    <w:rPr>
      <w:rFonts w:ascii="Calibri" w:hAnsi="Calibri"/>
      <w:sz w:val="18"/>
      <w:szCs w:val="18"/>
    </w:rPr>
  </w:style>
  <w:style w:type="paragraph" w:styleId="TOC6">
    <w:name w:val="toc 6"/>
    <w:basedOn w:val="Normal"/>
    <w:next w:val="Normal"/>
    <w:uiPriority w:val="39"/>
    <w:rsid w:val="00475311"/>
    <w:pPr>
      <w:ind w:left="1000"/>
      <w:jc w:val="left"/>
    </w:pPr>
    <w:rPr>
      <w:rFonts w:ascii="Calibri" w:hAnsi="Calibri"/>
      <w:sz w:val="18"/>
      <w:szCs w:val="18"/>
    </w:rPr>
  </w:style>
  <w:style w:type="paragraph" w:styleId="TOC7">
    <w:name w:val="toc 7"/>
    <w:basedOn w:val="Normal"/>
    <w:next w:val="Normal"/>
    <w:uiPriority w:val="39"/>
    <w:rsid w:val="00475311"/>
    <w:pPr>
      <w:ind w:left="1200"/>
      <w:jc w:val="left"/>
    </w:pPr>
    <w:rPr>
      <w:rFonts w:ascii="Calibri" w:hAnsi="Calibri"/>
      <w:sz w:val="18"/>
      <w:szCs w:val="18"/>
    </w:rPr>
  </w:style>
  <w:style w:type="paragraph" w:styleId="TOC8">
    <w:name w:val="toc 8"/>
    <w:basedOn w:val="Normal"/>
    <w:next w:val="Normal"/>
    <w:uiPriority w:val="39"/>
    <w:rsid w:val="00475311"/>
    <w:pPr>
      <w:ind w:left="1400"/>
      <w:jc w:val="left"/>
    </w:pPr>
    <w:rPr>
      <w:rFonts w:ascii="Calibri" w:hAnsi="Calibri"/>
      <w:sz w:val="18"/>
      <w:szCs w:val="18"/>
    </w:rPr>
  </w:style>
  <w:style w:type="paragraph" w:styleId="TOC9">
    <w:name w:val="toc 9"/>
    <w:basedOn w:val="Normal"/>
    <w:next w:val="Normal"/>
    <w:uiPriority w:val="39"/>
    <w:rsid w:val="00475311"/>
    <w:pPr>
      <w:ind w:left="1600"/>
      <w:jc w:val="left"/>
    </w:pPr>
    <w:rPr>
      <w:rFonts w:ascii="Calibri" w:hAnsi="Calibri"/>
      <w:sz w:val="18"/>
      <w:szCs w:val="18"/>
    </w:rPr>
  </w:style>
  <w:style w:type="paragraph" w:styleId="TOCHeading">
    <w:name w:val="TOC Heading"/>
    <w:basedOn w:val="Normal"/>
    <w:next w:val="Normal"/>
    <w:uiPriority w:val="39"/>
    <w:qFormat/>
    <w:rsid w:val="00475311"/>
    <w:pPr>
      <w:spacing w:after="240"/>
      <w:jc w:val="center"/>
    </w:pPr>
    <w:rPr>
      <w:b/>
      <w:bCs/>
      <w:sz w:val="28"/>
      <w:szCs w:val="28"/>
    </w:rPr>
  </w:style>
  <w:style w:type="paragraph" w:customStyle="1" w:styleId="Considrant">
    <w:name w:val="Considérant"/>
    <w:basedOn w:val="Normal"/>
    <w:rsid w:val="00475311"/>
    <w:pPr>
      <w:numPr>
        <w:numId w:val="3"/>
      </w:numPr>
    </w:pPr>
  </w:style>
  <w:style w:type="paragraph" w:customStyle="1" w:styleId="Confidentialit">
    <w:name w:val="Confidentialité"/>
    <w:basedOn w:val="Normal"/>
    <w:next w:val="Statut"/>
    <w:uiPriority w:val="99"/>
    <w:rsid w:val="00475311"/>
    <w:pPr>
      <w:spacing w:before="240" w:after="240"/>
      <w:ind w:left="5103"/>
    </w:pPr>
    <w:rPr>
      <w:u w:val="single"/>
    </w:rPr>
  </w:style>
  <w:style w:type="paragraph" w:customStyle="1" w:styleId="ManualConsidrant">
    <w:name w:val="Manual Considérant"/>
    <w:basedOn w:val="Normal"/>
    <w:uiPriority w:val="99"/>
    <w:rsid w:val="00475311"/>
    <w:pPr>
      <w:ind w:left="709" w:hanging="709"/>
    </w:pPr>
  </w:style>
  <w:style w:type="paragraph" w:customStyle="1" w:styleId="FooterLandscape">
    <w:name w:val="FooterLandscape"/>
    <w:basedOn w:val="Footer"/>
    <w:uiPriority w:val="99"/>
    <w:rsid w:val="00475311"/>
    <w:pPr>
      <w:tabs>
        <w:tab w:val="clear" w:pos="4536"/>
        <w:tab w:val="clear" w:pos="9072"/>
        <w:tab w:val="center" w:pos="7002"/>
        <w:tab w:val="right" w:pos="14005"/>
      </w:tabs>
    </w:pPr>
  </w:style>
  <w:style w:type="paragraph" w:customStyle="1" w:styleId="Titredumodificateur">
    <w:name w:val="Titre du modificateur"/>
    <w:basedOn w:val="Normal"/>
    <w:next w:val="Annexetitrefichefinacte"/>
    <w:uiPriority w:val="99"/>
    <w:rsid w:val="00475311"/>
    <w:pPr>
      <w:spacing w:before="240" w:after="60"/>
      <w:jc w:val="left"/>
    </w:pPr>
    <w:rPr>
      <w:b/>
      <w:bCs/>
      <w:lang w:val="en-US"/>
    </w:rPr>
  </w:style>
  <w:style w:type="paragraph" w:customStyle="1" w:styleId="Referencedumodificateur">
    <w:name w:val="Reference du modificateur"/>
    <w:basedOn w:val="Normal"/>
    <w:next w:val="Annexetitrefichefinglobale"/>
    <w:uiPriority w:val="99"/>
    <w:rsid w:val="00475311"/>
    <w:pPr>
      <w:jc w:val="left"/>
    </w:pPr>
    <w:rPr>
      <w:lang w:val="en-US"/>
    </w:rPr>
  </w:style>
  <w:style w:type="character" w:styleId="Hyperlink">
    <w:name w:val="Hyperlink"/>
    <w:uiPriority w:val="99"/>
    <w:unhideWhenUsed/>
    <w:rsid w:val="00225A33"/>
    <w:rPr>
      <w:b/>
      <w:bCs/>
      <w:color w:val="002579"/>
      <w:u w:val="single"/>
    </w:rPr>
  </w:style>
  <w:style w:type="paragraph" w:styleId="BodyText">
    <w:name w:val="Body Text"/>
    <w:basedOn w:val="Normal"/>
    <w:link w:val="BodyTextChar"/>
    <w:rsid w:val="00225A33"/>
    <w:pPr>
      <w:keepNext/>
      <w:tabs>
        <w:tab w:val="left" w:pos="709"/>
      </w:tabs>
      <w:autoSpaceDE/>
      <w:autoSpaceDN/>
      <w:spacing w:line="360" w:lineRule="auto"/>
      <w:jc w:val="left"/>
    </w:pPr>
    <w:rPr>
      <w:lang w:val="en-GB" w:eastAsia="de-DE"/>
    </w:rPr>
  </w:style>
  <w:style w:type="character" w:customStyle="1" w:styleId="BodyTextChar">
    <w:name w:val="Body Text Char"/>
    <w:link w:val="BodyText"/>
    <w:rsid w:val="00225A33"/>
    <w:rPr>
      <w:rFonts w:ascii="Arial" w:hAnsi="Arial"/>
      <w:szCs w:val="24"/>
      <w:lang w:val="en-GB" w:eastAsia="de-DE"/>
    </w:rPr>
  </w:style>
  <w:style w:type="paragraph" w:styleId="CommentSubject">
    <w:name w:val="annotation subject"/>
    <w:basedOn w:val="CommentText"/>
    <w:next w:val="CommentText"/>
    <w:link w:val="CommentSubjectChar"/>
    <w:unhideWhenUsed/>
    <w:rsid w:val="00034CAA"/>
    <w:rPr>
      <w:b/>
      <w:bCs/>
    </w:rPr>
  </w:style>
  <w:style w:type="character" w:customStyle="1" w:styleId="CommentSubjectChar">
    <w:name w:val="Comment Subject Char"/>
    <w:link w:val="CommentSubject"/>
    <w:rsid w:val="00034CAA"/>
    <w:rPr>
      <w:rFonts w:ascii="Times New Roman" w:hAnsi="Times New Roman" w:cs="Times New Roman"/>
      <w:b/>
      <w:bCs/>
      <w:sz w:val="20"/>
      <w:szCs w:val="20"/>
    </w:rPr>
  </w:style>
  <w:style w:type="paragraph" w:styleId="Revision">
    <w:name w:val="Revision"/>
    <w:hidden/>
    <w:uiPriority w:val="99"/>
    <w:semiHidden/>
    <w:rsid w:val="00034CAA"/>
    <w:rPr>
      <w:rFonts w:ascii="Times New Roman" w:hAnsi="Times New Roman"/>
      <w:sz w:val="24"/>
      <w:szCs w:val="24"/>
    </w:rPr>
  </w:style>
  <w:style w:type="paragraph" w:styleId="BalloonText">
    <w:name w:val="Balloon Text"/>
    <w:basedOn w:val="Normal"/>
    <w:link w:val="BalloonTextChar"/>
    <w:unhideWhenUsed/>
    <w:rsid w:val="00034CAA"/>
    <w:rPr>
      <w:rFonts w:ascii="Tahoma" w:hAnsi="Tahoma"/>
      <w:sz w:val="16"/>
      <w:szCs w:val="16"/>
    </w:rPr>
  </w:style>
  <w:style w:type="character" w:customStyle="1" w:styleId="BalloonTextChar">
    <w:name w:val="Balloon Text Char"/>
    <w:link w:val="BalloonText"/>
    <w:rsid w:val="00034CAA"/>
    <w:rPr>
      <w:rFonts w:ascii="Tahoma" w:hAnsi="Tahoma" w:cs="Tahoma"/>
      <w:sz w:val="16"/>
      <w:szCs w:val="16"/>
    </w:rPr>
  </w:style>
  <w:style w:type="paragraph" w:styleId="BodyText3">
    <w:name w:val="Body Text 3"/>
    <w:basedOn w:val="Normal"/>
    <w:link w:val="BodyText3Char"/>
    <w:unhideWhenUsed/>
    <w:rsid w:val="00B5757A"/>
    <w:rPr>
      <w:sz w:val="16"/>
      <w:szCs w:val="16"/>
    </w:rPr>
  </w:style>
  <w:style w:type="character" w:customStyle="1" w:styleId="BodyText3Char">
    <w:name w:val="Body Text 3 Char"/>
    <w:link w:val="BodyText3"/>
    <w:uiPriority w:val="99"/>
    <w:rsid w:val="00B5757A"/>
    <w:rPr>
      <w:rFonts w:ascii="Times New Roman" w:hAnsi="Times New Roman"/>
      <w:sz w:val="16"/>
      <w:szCs w:val="16"/>
    </w:rPr>
  </w:style>
  <w:style w:type="paragraph" w:styleId="BodyTextIndent3">
    <w:name w:val="Body Text Indent 3"/>
    <w:basedOn w:val="Normal"/>
    <w:link w:val="BodyTextIndent3Char"/>
    <w:unhideWhenUsed/>
    <w:rsid w:val="00364497"/>
    <w:pPr>
      <w:ind w:left="283"/>
    </w:pPr>
    <w:rPr>
      <w:sz w:val="16"/>
      <w:szCs w:val="16"/>
    </w:rPr>
  </w:style>
  <w:style w:type="character" w:customStyle="1" w:styleId="BodyTextIndent3Char">
    <w:name w:val="Body Text Indent 3 Char"/>
    <w:link w:val="BodyTextIndent3"/>
    <w:uiPriority w:val="99"/>
    <w:rsid w:val="00364497"/>
    <w:rPr>
      <w:rFonts w:ascii="Times New Roman" w:hAnsi="Times New Roman"/>
      <w:sz w:val="16"/>
      <w:szCs w:val="16"/>
    </w:rPr>
  </w:style>
  <w:style w:type="paragraph" w:styleId="ListParagraph">
    <w:name w:val="List Paragraph"/>
    <w:basedOn w:val="Normal"/>
    <w:uiPriority w:val="34"/>
    <w:qFormat/>
    <w:rsid w:val="00F0492F"/>
    <w:pPr>
      <w:autoSpaceDE/>
      <w:autoSpaceDN/>
      <w:ind w:left="720"/>
      <w:jc w:val="left"/>
    </w:pPr>
    <w:rPr>
      <w:rFonts w:ascii="Calibri" w:eastAsia="Calibri" w:hAnsi="Calibri" w:cs="Calibri"/>
      <w:sz w:val="22"/>
      <w:szCs w:val="22"/>
      <w:lang w:eastAsia="en-US"/>
    </w:rPr>
  </w:style>
  <w:style w:type="character" w:styleId="FollowedHyperlink">
    <w:name w:val="FollowedHyperlink"/>
    <w:aliases w:val="Fußnotentext Zchn Car,Car Car Car Zchn Car,Car Car Car Car Car Car Car Car Car Zchn Car, Car Car Car Zchn Car, Car Car Car Car Car Car Car Car Car Zchn Car, Car Car Car Car"/>
    <w:unhideWhenUsed/>
    <w:rsid w:val="00E976ED"/>
    <w:rPr>
      <w:color w:val="800080"/>
      <w:u w:val="single"/>
    </w:rPr>
  </w:style>
  <w:style w:type="paragraph" w:customStyle="1" w:styleId="ES-intro">
    <w:name w:val="ES-intro"/>
    <w:basedOn w:val="Normal"/>
    <w:link w:val="ES-introCar"/>
    <w:qFormat/>
    <w:rsid w:val="00465BBB"/>
    <w:pPr>
      <w:overflowPunct w:val="0"/>
      <w:adjustRightInd w:val="0"/>
      <w:spacing w:line="360" w:lineRule="auto"/>
      <w:textAlignment w:val="baseline"/>
    </w:pPr>
    <w:rPr>
      <w:rFonts w:eastAsia="Calibri"/>
      <w:szCs w:val="20"/>
      <w:lang w:val="en-US" w:eastAsia="en-US"/>
    </w:rPr>
  </w:style>
  <w:style w:type="character" w:customStyle="1" w:styleId="ES-introCar">
    <w:name w:val="ES-intro Car"/>
    <w:link w:val="ES-intro"/>
    <w:rsid w:val="00465BBB"/>
    <w:rPr>
      <w:rFonts w:ascii="Arial" w:eastAsia="Calibri" w:hAnsi="Arial"/>
      <w:lang w:val="en-US" w:eastAsia="en-US"/>
    </w:rPr>
  </w:style>
  <w:style w:type="paragraph" w:customStyle="1" w:styleId="ES-Titre1">
    <w:name w:val="ES-Titre1"/>
    <w:basedOn w:val="Normal"/>
    <w:link w:val="ES-Titre1Car"/>
    <w:qFormat/>
    <w:rsid w:val="00A84512"/>
    <w:pPr>
      <w:overflowPunct w:val="0"/>
      <w:adjustRightInd w:val="0"/>
      <w:spacing w:line="240" w:lineRule="atLeast"/>
      <w:ind w:left="0" w:firstLine="0"/>
      <w:jc w:val="center"/>
      <w:textAlignment w:val="baseline"/>
    </w:pPr>
    <w:rPr>
      <w:rFonts w:eastAsia="Calibri" w:cs="Arial"/>
      <w:b/>
      <w:color w:val="000000"/>
      <w:sz w:val="28"/>
      <w:szCs w:val="32"/>
      <w:lang w:val="en-US" w:eastAsia="en-US"/>
    </w:rPr>
  </w:style>
  <w:style w:type="paragraph" w:customStyle="1" w:styleId="ES-Titre2">
    <w:name w:val="ES-Titre2"/>
    <w:basedOn w:val="Normal"/>
    <w:link w:val="ES-Titre2Car"/>
    <w:qFormat/>
    <w:rsid w:val="009C13A9"/>
    <w:pPr>
      <w:pageBreakBefore/>
      <w:overflowPunct w:val="0"/>
      <w:adjustRightInd w:val="0"/>
      <w:spacing w:line="240" w:lineRule="atLeast"/>
      <w:ind w:left="0" w:firstLine="0"/>
      <w:jc w:val="center"/>
      <w:textAlignment w:val="baseline"/>
    </w:pPr>
    <w:rPr>
      <w:rFonts w:eastAsia="Calibri" w:cs="Arial"/>
      <w:b/>
      <w:i/>
      <w:caps/>
      <w:sz w:val="24"/>
      <w:szCs w:val="28"/>
      <w:lang w:val="en-US" w:eastAsia="en-US"/>
    </w:rPr>
  </w:style>
  <w:style w:type="character" w:customStyle="1" w:styleId="ES-Titre1Car">
    <w:name w:val="ES-Titre1 Car"/>
    <w:link w:val="ES-Titre1"/>
    <w:rsid w:val="00A84512"/>
    <w:rPr>
      <w:rFonts w:ascii="Arial" w:eastAsia="Calibri" w:hAnsi="Arial" w:cs="Arial"/>
      <w:b/>
      <w:color w:val="000000"/>
      <w:sz w:val="28"/>
      <w:szCs w:val="32"/>
      <w:lang w:val="en-US" w:eastAsia="en-US"/>
    </w:rPr>
  </w:style>
  <w:style w:type="paragraph" w:customStyle="1" w:styleId="ES-Titre3">
    <w:name w:val="ES-Titre3"/>
    <w:basedOn w:val="Normal"/>
    <w:link w:val="ES-Titre3Car"/>
    <w:qFormat/>
    <w:rsid w:val="00944893"/>
    <w:pPr>
      <w:overflowPunct w:val="0"/>
      <w:adjustRightInd w:val="0"/>
      <w:spacing w:line="240" w:lineRule="exact"/>
      <w:ind w:left="0" w:firstLine="0"/>
      <w:jc w:val="center"/>
      <w:textAlignment w:val="baseline"/>
    </w:pPr>
    <w:rPr>
      <w:rFonts w:eastAsia="Calibri"/>
      <w:b/>
      <w:sz w:val="22"/>
      <w:szCs w:val="22"/>
      <w:lang w:eastAsia="en-US"/>
    </w:rPr>
  </w:style>
  <w:style w:type="character" w:customStyle="1" w:styleId="ES-Titre2Car">
    <w:name w:val="ES-Titre2 Car"/>
    <w:link w:val="ES-Titre2"/>
    <w:rsid w:val="009C13A9"/>
    <w:rPr>
      <w:rFonts w:ascii="Arial" w:eastAsia="Calibri" w:hAnsi="Arial" w:cs="Arial"/>
      <w:b/>
      <w:i/>
      <w:caps/>
      <w:sz w:val="24"/>
      <w:szCs w:val="28"/>
      <w:lang w:val="en-US" w:eastAsia="en-US"/>
    </w:rPr>
  </w:style>
  <w:style w:type="character" w:customStyle="1" w:styleId="ES-Titre3Car">
    <w:name w:val="ES-Titre3 Car"/>
    <w:link w:val="ES-Titre3"/>
    <w:rsid w:val="00944893"/>
    <w:rPr>
      <w:rFonts w:ascii="Arial" w:eastAsia="Calibri" w:hAnsi="Arial"/>
      <w:b/>
      <w:sz w:val="22"/>
      <w:szCs w:val="22"/>
      <w:lang w:eastAsia="en-US"/>
    </w:rPr>
  </w:style>
  <w:style w:type="paragraph" w:customStyle="1" w:styleId="TNR1">
    <w:name w:val="TNR1"/>
    <w:basedOn w:val="Normal"/>
    <w:rsid w:val="00A06CEC"/>
    <w:pPr>
      <w:tabs>
        <w:tab w:val="left" w:pos="284"/>
        <w:tab w:val="left" w:pos="454"/>
        <w:tab w:val="left" w:pos="680"/>
        <w:tab w:val="left" w:pos="907"/>
      </w:tabs>
      <w:overflowPunct w:val="0"/>
      <w:adjustRightInd w:val="0"/>
      <w:ind w:left="0" w:hanging="284"/>
      <w:textAlignment w:val="baseline"/>
    </w:pPr>
    <w:rPr>
      <w:rFonts w:ascii="Times New Roman" w:hAnsi="Times New Roman"/>
      <w:sz w:val="24"/>
      <w:szCs w:val="20"/>
    </w:rPr>
  </w:style>
  <w:style w:type="paragraph" w:customStyle="1" w:styleId="N1">
    <w:name w:val="N1"/>
    <w:basedOn w:val="Normal"/>
    <w:rsid w:val="00A06CEC"/>
    <w:pPr>
      <w:tabs>
        <w:tab w:val="left" w:pos="284"/>
        <w:tab w:val="left" w:pos="454"/>
        <w:tab w:val="left" w:pos="680"/>
      </w:tabs>
      <w:overflowPunct w:val="0"/>
      <w:adjustRightInd w:val="0"/>
      <w:spacing w:line="240" w:lineRule="exact"/>
      <w:ind w:left="0" w:hanging="284"/>
      <w:textAlignment w:val="baseline"/>
    </w:pPr>
    <w:rPr>
      <w:rFonts w:ascii="Times New Roman" w:hAnsi="Times New Roman"/>
      <w:sz w:val="24"/>
      <w:szCs w:val="20"/>
    </w:rPr>
  </w:style>
  <w:style w:type="paragraph" w:customStyle="1" w:styleId="EStiret">
    <w:name w:val="ES_tiret"/>
    <w:basedOn w:val="Normal"/>
    <w:qFormat/>
    <w:rsid w:val="00E65F26"/>
    <w:pPr>
      <w:spacing w:before="60" w:line="240" w:lineRule="atLeast"/>
      <w:ind w:left="1417"/>
    </w:pPr>
    <w:rPr>
      <w:noProof/>
      <w:snapToGrid w:val="0"/>
      <w:color w:val="000000"/>
      <w:lang w:bidi="fr-FR"/>
    </w:rPr>
  </w:style>
  <w:style w:type="paragraph" w:customStyle="1" w:styleId="TNRA">
    <w:name w:val="TNRA"/>
    <w:basedOn w:val="TNR1"/>
    <w:rsid w:val="000B4F66"/>
    <w:pPr>
      <w:ind w:left="284"/>
    </w:pPr>
  </w:style>
  <w:style w:type="numbering" w:customStyle="1" w:styleId="Aucuneliste1">
    <w:name w:val="Aucune liste1"/>
    <w:next w:val="NoList"/>
    <w:semiHidden/>
    <w:unhideWhenUsed/>
    <w:rsid w:val="00973DAA"/>
  </w:style>
  <w:style w:type="paragraph" w:styleId="BodyTextIndent">
    <w:name w:val="Body Text Indent"/>
    <w:basedOn w:val="Normal"/>
    <w:link w:val="BodyTextIndentChar"/>
    <w:unhideWhenUsed/>
    <w:rsid w:val="00F51060"/>
    <w:pPr>
      <w:spacing w:after="120"/>
      <w:ind w:left="283"/>
    </w:pPr>
  </w:style>
  <w:style w:type="character" w:customStyle="1" w:styleId="BodyTextIndentChar">
    <w:name w:val="Body Text Indent Char"/>
    <w:link w:val="BodyTextIndent"/>
    <w:uiPriority w:val="99"/>
    <w:rsid w:val="00F51060"/>
    <w:rPr>
      <w:rFonts w:ascii="Arial" w:hAnsi="Arial"/>
      <w:szCs w:val="24"/>
    </w:rPr>
  </w:style>
  <w:style w:type="paragraph" w:customStyle="1" w:styleId="Retraitcorpsdetexte22">
    <w:name w:val="Retrait corps de texte 22"/>
    <w:basedOn w:val="Normal"/>
    <w:rsid w:val="00B73D19"/>
    <w:pPr>
      <w:widowControl w:val="0"/>
      <w:tabs>
        <w:tab w:val="left" w:pos="709"/>
      </w:tabs>
      <w:suppressAutoHyphens/>
      <w:autoSpaceDE/>
      <w:autoSpaceDN/>
      <w:spacing w:line="240" w:lineRule="atLeast"/>
      <w:ind w:left="426" w:firstLine="0"/>
      <w:jc w:val="left"/>
    </w:pPr>
    <w:rPr>
      <w:rFonts w:cs="Arial"/>
      <w:szCs w:val="20"/>
      <w:lang w:val="de-DE" w:eastAsia="zh-CN"/>
    </w:rPr>
  </w:style>
  <w:style w:type="table" w:styleId="TableGrid">
    <w:name w:val="Table Grid"/>
    <w:basedOn w:val="TableNormal"/>
    <w:uiPriority w:val="59"/>
    <w:rsid w:val="00083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rp">
    <w:name w:val="T1_rp"/>
    <w:basedOn w:val="Normal"/>
    <w:rsid w:val="00226A59"/>
    <w:pPr>
      <w:widowControl w:val="0"/>
      <w:tabs>
        <w:tab w:val="left" w:pos="567"/>
      </w:tabs>
      <w:adjustRightInd w:val="0"/>
      <w:spacing w:line="240" w:lineRule="atLeast"/>
      <w:ind w:left="567" w:hanging="567"/>
    </w:pPr>
    <w:rPr>
      <w:rFonts w:ascii="Times New Roman" w:eastAsia="Batang" w:hAnsi="Times New Roman" w:cs="Arial"/>
      <w:sz w:val="24"/>
      <w:szCs w:val="20"/>
      <w:lang w:val="nl-NL" w:eastAsia="nl-NL"/>
    </w:rPr>
  </w:style>
  <w:style w:type="paragraph" w:customStyle="1" w:styleId="ESchgras">
    <w:name w:val="ES_ch_gras"/>
    <w:basedOn w:val="Normal"/>
    <w:qFormat/>
    <w:rsid w:val="00151656"/>
    <w:pPr>
      <w:spacing w:line="240" w:lineRule="atLeast"/>
      <w:ind w:left="567" w:hanging="567"/>
    </w:pPr>
    <w:rPr>
      <w:rFonts w:cs="Arial"/>
      <w:b/>
      <w:color w:val="000000"/>
      <w:szCs w:val="20"/>
    </w:rPr>
  </w:style>
  <w:style w:type="paragraph" w:customStyle="1" w:styleId="ESch">
    <w:name w:val="ES_ch"/>
    <w:basedOn w:val="Normal"/>
    <w:qFormat/>
    <w:rsid w:val="00AE4E9D"/>
    <w:pPr>
      <w:spacing w:line="240" w:lineRule="atLeast"/>
      <w:ind w:left="567" w:hanging="567"/>
    </w:pPr>
  </w:style>
  <w:style w:type="paragraph" w:customStyle="1" w:styleId="ESlet">
    <w:name w:val="ES_let"/>
    <w:basedOn w:val="Normal"/>
    <w:qFormat/>
    <w:rsid w:val="00511BF6"/>
    <w:pPr>
      <w:spacing w:before="60" w:line="240" w:lineRule="atLeast"/>
      <w:ind w:left="992"/>
    </w:pPr>
  </w:style>
  <w:style w:type="paragraph" w:customStyle="1" w:styleId="ESletpar">
    <w:name w:val="ES_let_par"/>
    <w:basedOn w:val="Normal"/>
    <w:qFormat/>
    <w:rsid w:val="009058C5"/>
    <w:pPr>
      <w:spacing w:before="60" w:line="240" w:lineRule="atLeast"/>
      <w:ind w:left="992" w:firstLine="0"/>
    </w:pPr>
    <w:rPr>
      <w:lang w:eastAsia="de-DE"/>
    </w:rPr>
  </w:style>
  <w:style w:type="paragraph" w:customStyle="1" w:styleId="ESchpar">
    <w:name w:val="ES_ch_par"/>
    <w:basedOn w:val="Normal"/>
    <w:qFormat/>
    <w:rsid w:val="00321E38"/>
    <w:pPr>
      <w:spacing w:line="240" w:lineRule="atLeast"/>
      <w:ind w:left="567" w:firstLine="0"/>
    </w:pPr>
  </w:style>
  <w:style w:type="paragraph" w:customStyle="1" w:styleId="ESgauche">
    <w:name w:val="ES_gauche"/>
    <w:basedOn w:val="Normal"/>
    <w:qFormat/>
    <w:rsid w:val="00111867"/>
    <w:pPr>
      <w:spacing w:line="240" w:lineRule="atLeast"/>
      <w:ind w:left="0" w:firstLine="0"/>
    </w:pPr>
    <w:rPr>
      <w:noProof/>
      <w:lang w:bidi="fr-FR"/>
    </w:rPr>
  </w:style>
  <w:style w:type="paragraph" w:customStyle="1" w:styleId="ESletgauche">
    <w:name w:val="ES_let_gauche"/>
    <w:basedOn w:val="ESch"/>
    <w:qFormat/>
    <w:rsid w:val="001F173C"/>
    <w:pPr>
      <w:spacing w:before="60"/>
    </w:pPr>
  </w:style>
  <w:style w:type="paragraph" w:customStyle="1" w:styleId="ESletlong">
    <w:name w:val="ES_let_long"/>
    <w:basedOn w:val="ESlet"/>
    <w:qFormat/>
    <w:rsid w:val="00BD4F1D"/>
    <w:pPr>
      <w:spacing w:before="0"/>
    </w:pPr>
  </w:style>
  <w:style w:type="table" w:customStyle="1" w:styleId="Grilledutableau1">
    <w:name w:val="Grille du tableau1"/>
    <w:basedOn w:val="TableNormal"/>
    <w:next w:val="TableGrid"/>
    <w:uiPriority w:val="59"/>
    <w:rsid w:val="00973DA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Marker">
    <w:name w:val="CR Marker"/>
    <w:uiPriority w:val="99"/>
    <w:rsid w:val="00973DAA"/>
    <w:rPr>
      <w:rFonts w:ascii="Wingdings" w:hAnsi="Wingdings" w:cs="Wingdings"/>
    </w:rPr>
  </w:style>
  <w:style w:type="character" w:customStyle="1" w:styleId="CRRefNum">
    <w:name w:val="CR RefNum"/>
    <w:uiPriority w:val="99"/>
    <w:rsid w:val="00973DAA"/>
    <w:rPr>
      <w:vertAlign w:val="subscript"/>
    </w:rPr>
  </w:style>
  <w:style w:type="paragraph" w:customStyle="1" w:styleId="CRSeparator">
    <w:name w:val="CR Separator"/>
    <w:basedOn w:val="Normal"/>
    <w:next w:val="Normal"/>
    <w:uiPriority w:val="99"/>
    <w:rsid w:val="00973DAA"/>
    <w:pPr>
      <w:keepNext/>
      <w:pBdr>
        <w:top w:val="single" w:sz="4" w:space="1" w:color="auto"/>
      </w:pBdr>
      <w:ind w:left="0" w:firstLine="0"/>
    </w:pPr>
    <w:rPr>
      <w:rFonts w:ascii="Times New Roman" w:hAnsi="Times New Roman"/>
      <w:sz w:val="24"/>
      <w:lang w:eastAsia="en-GB"/>
    </w:rPr>
  </w:style>
  <w:style w:type="paragraph" w:customStyle="1" w:styleId="CM1">
    <w:name w:val="CM1"/>
    <w:basedOn w:val="Normal"/>
    <w:next w:val="Normal"/>
    <w:uiPriority w:val="99"/>
    <w:rsid w:val="00973DAA"/>
    <w:pPr>
      <w:adjustRightInd w:val="0"/>
      <w:ind w:left="0" w:firstLine="0"/>
      <w:jc w:val="left"/>
    </w:pPr>
    <w:rPr>
      <w:rFonts w:ascii="Times New Roman" w:eastAsia="Calibri" w:hAnsi="Times New Roman"/>
      <w:sz w:val="24"/>
    </w:rPr>
  </w:style>
  <w:style w:type="paragraph" w:customStyle="1" w:styleId="CM3">
    <w:name w:val="CM3"/>
    <w:basedOn w:val="Normal"/>
    <w:next w:val="Normal"/>
    <w:uiPriority w:val="99"/>
    <w:rsid w:val="00973DAA"/>
    <w:pPr>
      <w:adjustRightInd w:val="0"/>
      <w:ind w:left="0" w:firstLine="0"/>
      <w:jc w:val="left"/>
    </w:pPr>
    <w:rPr>
      <w:rFonts w:ascii="Times New Roman" w:eastAsia="Calibri" w:hAnsi="Times New Roman"/>
      <w:sz w:val="24"/>
    </w:rPr>
  </w:style>
  <w:style w:type="paragraph" w:customStyle="1" w:styleId="CM4">
    <w:name w:val="CM4"/>
    <w:basedOn w:val="Normal"/>
    <w:next w:val="Normal"/>
    <w:uiPriority w:val="99"/>
    <w:rsid w:val="00973DAA"/>
    <w:pPr>
      <w:adjustRightInd w:val="0"/>
      <w:ind w:left="0" w:firstLine="0"/>
      <w:jc w:val="left"/>
    </w:pPr>
    <w:rPr>
      <w:rFonts w:ascii="Times New Roman" w:eastAsia="Calibri" w:hAnsi="Times New Roman"/>
      <w:sz w:val="24"/>
    </w:rPr>
  </w:style>
  <w:style w:type="paragraph" w:customStyle="1" w:styleId="EStiretpar">
    <w:name w:val="ES_tiret_par"/>
    <w:basedOn w:val="EStiret"/>
    <w:qFormat/>
    <w:rsid w:val="00124738"/>
    <w:pPr>
      <w:ind w:left="1418" w:firstLine="0"/>
    </w:pPr>
  </w:style>
  <w:style w:type="paragraph" w:customStyle="1" w:styleId="Esletgauchepar">
    <w:name w:val="Es_let_gauche_par"/>
    <w:basedOn w:val="ESletgauche"/>
    <w:qFormat/>
    <w:rsid w:val="00BF049A"/>
    <w:pPr>
      <w:ind w:firstLine="0"/>
    </w:pPr>
    <w:rPr>
      <w:lang w:val="de-DE"/>
    </w:rPr>
  </w:style>
  <w:style w:type="paragraph" w:styleId="PlainText">
    <w:name w:val="Plain Text"/>
    <w:basedOn w:val="Normal"/>
    <w:link w:val="PlainTextChar"/>
    <w:unhideWhenUsed/>
    <w:rsid w:val="00E0050D"/>
    <w:pPr>
      <w:autoSpaceDE/>
      <w:autoSpaceDN/>
      <w:ind w:left="0" w:firstLine="0"/>
      <w:jc w:val="left"/>
    </w:pPr>
    <w:rPr>
      <w:rFonts w:ascii="Calibri" w:eastAsia="Calibri" w:hAnsi="Calibri"/>
      <w:sz w:val="22"/>
      <w:szCs w:val="21"/>
      <w:lang w:eastAsia="en-US"/>
    </w:rPr>
  </w:style>
  <w:style w:type="character" w:customStyle="1" w:styleId="PlainTextChar">
    <w:name w:val="Plain Text Char"/>
    <w:link w:val="PlainText"/>
    <w:rsid w:val="00E0050D"/>
    <w:rPr>
      <w:rFonts w:eastAsia="Calibri"/>
      <w:sz w:val="22"/>
      <w:szCs w:val="21"/>
      <w:lang w:eastAsia="en-US"/>
    </w:rPr>
  </w:style>
  <w:style w:type="paragraph" w:customStyle="1" w:styleId="ES-Titre3a">
    <w:name w:val="ES-Titre3a"/>
    <w:basedOn w:val="ES-Titre3"/>
    <w:qFormat/>
    <w:rsid w:val="001E2331"/>
    <w:rPr>
      <w:i/>
    </w:rPr>
  </w:style>
  <w:style w:type="paragraph" w:customStyle="1" w:styleId="Es-Titreannexes">
    <w:name w:val="Es-Titre_annexes"/>
    <w:basedOn w:val="Normal"/>
    <w:qFormat/>
    <w:rsid w:val="001E2331"/>
    <w:pPr>
      <w:spacing w:before="40" w:line="220" w:lineRule="atLeast"/>
      <w:jc w:val="center"/>
    </w:pPr>
    <w:rPr>
      <w:rFonts w:ascii="Arial Gras" w:hAnsi="Arial Gras" w:cs="Arial"/>
      <w:b/>
      <w:caps/>
      <w:color w:val="000000"/>
      <w:sz w:val="40"/>
    </w:rPr>
  </w:style>
  <w:style w:type="paragraph" w:customStyle="1" w:styleId="ESintro">
    <w:name w:val="ES_intro"/>
    <w:basedOn w:val="Normal"/>
    <w:qFormat/>
    <w:rsid w:val="001E2331"/>
    <w:pPr>
      <w:spacing w:line="240" w:lineRule="atLeast"/>
      <w:jc w:val="center"/>
    </w:pPr>
    <w:rPr>
      <w:b/>
      <w:caps/>
      <w:sz w:val="24"/>
    </w:rPr>
  </w:style>
  <w:style w:type="paragraph" w:customStyle="1" w:styleId="ESletgauche075">
    <w:name w:val="ES_let_gauche0_75"/>
    <w:basedOn w:val="ESletgauche"/>
    <w:qFormat/>
    <w:rsid w:val="001E2331"/>
    <w:pPr>
      <w:ind w:left="426" w:hanging="426"/>
    </w:pPr>
  </w:style>
  <w:style w:type="character" w:customStyle="1" w:styleId="msoins0">
    <w:name w:val="msoins0"/>
    <w:rsid w:val="001E2331"/>
  </w:style>
  <w:style w:type="paragraph" w:customStyle="1" w:styleId="BlockQuotation">
    <w:name w:val="Block Quotation"/>
    <w:basedOn w:val="Normal"/>
    <w:rsid w:val="001E2331"/>
    <w:pPr>
      <w:widowControl w:val="0"/>
      <w:tabs>
        <w:tab w:val="left" w:pos="1701"/>
        <w:tab w:val="left" w:pos="2694"/>
      </w:tabs>
      <w:autoSpaceDE/>
      <w:autoSpaceDN/>
      <w:ind w:left="284" w:right="-482" w:hanging="284"/>
      <w:jc w:val="left"/>
    </w:pPr>
    <w:rPr>
      <w:rFonts w:ascii="Times New Roman" w:hAnsi="Times New Roman"/>
      <w:b/>
      <w:bCs/>
      <w:i/>
      <w:iCs/>
      <w:snapToGrid w:val="0"/>
      <w:szCs w:val="20"/>
      <w:lang w:val="de-DE"/>
    </w:rPr>
  </w:style>
  <w:style w:type="paragraph" w:customStyle="1" w:styleId="ES-Titre3prchap32">
    <w:name w:val="ES-Titre3_pr_chap32"/>
    <w:basedOn w:val="ES-Titre3"/>
    <w:qFormat/>
    <w:rsid w:val="001E2331"/>
    <w:rPr>
      <w:lang w:val="de-DE"/>
    </w:rPr>
  </w:style>
  <w:style w:type="paragraph" w:styleId="NormalIndent">
    <w:name w:val="Normal Indent"/>
    <w:basedOn w:val="Normal"/>
    <w:rsid w:val="009C13A9"/>
    <w:pPr>
      <w:overflowPunct w:val="0"/>
      <w:adjustRightInd w:val="0"/>
      <w:spacing w:line="240" w:lineRule="exact"/>
      <w:ind w:left="708" w:firstLine="0"/>
      <w:textAlignment w:val="baseline"/>
    </w:pPr>
    <w:rPr>
      <w:rFonts w:ascii="Times New Roman" w:hAnsi="Times New Roman"/>
      <w:sz w:val="24"/>
    </w:rPr>
  </w:style>
  <w:style w:type="paragraph" w:customStyle="1" w:styleId="N4">
    <w:name w:val="N4"/>
    <w:basedOn w:val="Normal"/>
    <w:rsid w:val="009C13A9"/>
    <w:pPr>
      <w:tabs>
        <w:tab w:val="left" w:pos="284"/>
        <w:tab w:val="left" w:pos="454"/>
        <w:tab w:val="left" w:pos="680"/>
        <w:tab w:val="left" w:pos="1021"/>
      </w:tabs>
      <w:overflowPunct w:val="0"/>
      <w:adjustRightInd w:val="0"/>
      <w:ind w:left="0" w:firstLine="0"/>
      <w:textAlignment w:val="baseline"/>
    </w:pPr>
    <w:rPr>
      <w:rFonts w:ascii="Times New Roman" w:hAnsi="Times New Roman"/>
      <w:sz w:val="22"/>
      <w:szCs w:val="20"/>
    </w:rPr>
  </w:style>
  <w:style w:type="paragraph" w:customStyle="1" w:styleId="N2">
    <w:name w:val="N2"/>
    <w:basedOn w:val="Normal"/>
    <w:rsid w:val="009C13A9"/>
    <w:pPr>
      <w:tabs>
        <w:tab w:val="left" w:pos="-340"/>
        <w:tab w:val="left" w:pos="284"/>
        <w:tab w:val="left" w:pos="454"/>
        <w:tab w:val="left" w:pos="680"/>
        <w:tab w:val="left" w:pos="1418"/>
      </w:tabs>
      <w:overflowPunct w:val="0"/>
      <w:adjustRightInd w:val="0"/>
      <w:ind w:left="0" w:hanging="1134"/>
      <w:textAlignment w:val="baseline"/>
    </w:pPr>
    <w:rPr>
      <w:rFonts w:ascii="Times New Roman" w:hAnsi="Times New Roman"/>
      <w:sz w:val="22"/>
      <w:szCs w:val="20"/>
    </w:rPr>
  </w:style>
  <w:style w:type="paragraph" w:customStyle="1" w:styleId="N3">
    <w:name w:val="N3"/>
    <w:basedOn w:val="Normal"/>
    <w:rsid w:val="009C13A9"/>
    <w:pPr>
      <w:tabs>
        <w:tab w:val="left" w:pos="170"/>
      </w:tabs>
      <w:overflowPunct w:val="0"/>
      <w:adjustRightInd w:val="0"/>
      <w:spacing w:line="240" w:lineRule="exact"/>
      <w:ind w:left="0" w:firstLine="0"/>
      <w:jc w:val="left"/>
      <w:textAlignment w:val="baseline"/>
    </w:pPr>
    <w:rPr>
      <w:rFonts w:ascii="Times New Roman" w:hAnsi="Times New Roman"/>
      <w:sz w:val="22"/>
      <w:szCs w:val="20"/>
    </w:rPr>
  </w:style>
  <w:style w:type="character" w:customStyle="1" w:styleId="En-tteCar1">
    <w:name w:val="En-tête Car1"/>
    <w:aliases w:val="numéro de page Car"/>
    <w:rsid w:val="009C13A9"/>
    <w:rPr>
      <w:lang w:val="fr-FR" w:eastAsia="fr-FR" w:bidi="ar-SA"/>
    </w:rPr>
  </w:style>
  <w:style w:type="character" w:styleId="Strong">
    <w:name w:val="Strong"/>
    <w:qFormat/>
    <w:rsid w:val="009C13A9"/>
    <w:rPr>
      <w:b/>
      <w:bCs/>
    </w:rPr>
  </w:style>
  <w:style w:type="paragraph" w:styleId="EndnoteText">
    <w:name w:val="endnote text"/>
    <w:basedOn w:val="Normal"/>
    <w:link w:val="EndnoteTextChar"/>
    <w:rsid w:val="009C13A9"/>
    <w:pPr>
      <w:autoSpaceDE/>
      <w:autoSpaceDN/>
      <w:ind w:left="0" w:firstLine="0"/>
    </w:pPr>
    <w:rPr>
      <w:snapToGrid w:val="0"/>
      <w:szCs w:val="20"/>
      <w:lang w:val="de-DE"/>
    </w:rPr>
  </w:style>
  <w:style w:type="character" w:customStyle="1" w:styleId="EndnoteTextChar">
    <w:name w:val="Endnote Text Char"/>
    <w:link w:val="EndnoteText"/>
    <w:rsid w:val="009C13A9"/>
    <w:rPr>
      <w:rFonts w:ascii="Arial" w:hAnsi="Arial"/>
      <w:snapToGrid w:val="0"/>
      <w:lang w:val="de-DE"/>
    </w:rPr>
  </w:style>
  <w:style w:type="paragraph" w:customStyle="1" w:styleId="Annex2Nummer">
    <w:name w:val="Annex2_Nummer"/>
    <w:basedOn w:val="Normal"/>
    <w:rsid w:val="009C13A9"/>
    <w:pPr>
      <w:tabs>
        <w:tab w:val="left" w:pos="425"/>
        <w:tab w:val="left" w:pos="851"/>
        <w:tab w:val="left" w:pos="1276"/>
        <w:tab w:val="left" w:pos="1701"/>
        <w:tab w:val="left" w:pos="2126"/>
      </w:tabs>
      <w:overflowPunct w:val="0"/>
      <w:adjustRightInd w:val="0"/>
      <w:spacing w:before="240"/>
      <w:textAlignment w:val="baseline"/>
    </w:pPr>
    <w:rPr>
      <w:rFonts w:ascii="Times New Roman" w:hAnsi="Times New Roman"/>
      <w:sz w:val="24"/>
      <w:lang w:val="de-DE"/>
    </w:rPr>
  </w:style>
  <w:style w:type="paragraph" w:customStyle="1" w:styleId="Normal0">
    <w:name w:val="[Normal]"/>
    <w:rsid w:val="009C13A9"/>
    <w:pPr>
      <w:autoSpaceDE w:val="0"/>
      <w:autoSpaceDN w:val="0"/>
      <w:adjustRightInd w:val="0"/>
    </w:pPr>
    <w:rPr>
      <w:rFonts w:ascii="Arial" w:hAnsi="Arial" w:cs="Arial"/>
      <w:snapToGrid w:val="0"/>
      <w:lang w:val="de-DE"/>
    </w:rPr>
  </w:style>
  <w:style w:type="paragraph" w:customStyle="1" w:styleId="Annex2Texteng">
    <w:name w:val="Annex2_Text_eng"/>
    <w:basedOn w:val="Annex2Nummer"/>
    <w:rsid w:val="009C13A9"/>
    <w:pPr>
      <w:tabs>
        <w:tab w:val="clear" w:pos="425"/>
        <w:tab w:val="clear" w:pos="851"/>
        <w:tab w:val="clear" w:pos="1276"/>
        <w:tab w:val="clear" w:pos="1701"/>
        <w:tab w:val="clear" w:pos="2126"/>
        <w:tab w:val="left" w:pos="454"/>
        <w:tab w:val="left" w:pos="907"/>
        <w:tab w:val="left" w:pos="1361"/>
        <w:tab w:val="left" w:pos="1814"/>
      </w:tabs>
      <w:spacing w:before="0"/>
    </w:pPr>
    <w:rPr>
      <w:snapToGrid w:val="0"/>
    </w:rPr>
  </w:style>
  <w:style w:type="paragraph" w:customStyle="1" w:styleId="Titres">
    <w:name w:val="Titres"/>
    <w:basedOn w:val="Normal"/>
    <w:rsid w:val="009C13A9"/>
    <w:pPr>
      <w:overflowPunct w:val="0"/>
      <w:adjustRightInd w:val="0"/>
      <w:spacing w:line="240" w:lineRule="exact"/>
      <w:ind w:left="0" w:firstLine="0"/>
      <w:jc w:val="center"/>
      <w:textAlignment w:val="baseline"/>
    </w:pPr>
    <w:rPr>
      <w:rFonts w:ascii="Times New Roman" w:hAnsi="Times New Roman"/>
      <w:snapToGrid w:val="0"/>
      <w:sz w:val="24"/>
      <w:szCs w:val="20"/>
    </w:rPr>
  </w:style>
  <w:style w:type="paragraph" w:customStyle="1" w:styleId="N7">
    <w:name w:val="N7"/>
    <w:basedOn w:val="Normal"/>
    <w:rsid w:val="009C13A9"/>
    <w:pPr>
      <w:tabs>
        <w:tab w:val="left" w:pos="284"/>
      </w:tabs>
      <w:overflowPunct w:val="0"/>
      <w:adjustRightInd w:val="0"/>
      <w:ind w:left="0" w:hanging="397"/>
      <w:textAlignment w:val="baseline"/>
    </w:pPr>
    <w:rPr>
      <w:rFonts w:ascii="Times New Roman" w:hAnsi="Times New Roman"/>
      <w:snapToGrid w:val="0"/>
      <w:sz w:val="22"/>
      <w:szCs w:val="20"/>
    </w:rPr>
  </w:style>
  <w:style w:type="table" w:customStyle="1" w:styleId="Grilledutableau11">
    <w:name w:val="Grille du tableau11"/>
    <w:basedOn w:val="TableNormal"/>
    <w:next w:val="TableGrid"/>
    <w:rsid w:val="009C13A9"/>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ZchnZchn">
    <w:name w:val="Car Zchn Zchn"/>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CarCar2Car">
    <w:name w:val="Car Car2 Car"/>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1">
    <w:name w:val="1_"/>
    <w:basedOn w:val="BodyTextIndent2"/>
    <w:rsid w:val="009C13A9"/>
    <w:pPr>
      <w:tabs>
        <w:tab w:val="left" w:pos="426"/>
      </w:tabs>
      <w:spacing w:after="0" w:line="240" w:lineRule="atLeast"/>
      <w:ind w:left="426" w:hanging="426"/>
      <w:jc w:val="both"/>
    </w:pPr>
    <w:rPr>
      <w:rFonts w:ascii="Arial" w:hAnsi="Arial" w:cs="Arial"/>
      <w:sz w:val="20"/>
      <w:szCs w:val="20"/>
    </w:rPr>
  </w:style>
  <w:style w:type="paragraph" w:styleId="BodyTextIndent2">
    <w:name w:val="Body Text Indent 2"/>
    <w:basedOn w:val="Normal"/>
    <w:link w:val="BodyTextIndent2Char"/>
    <w:rsid w:val="009C13A9"/>
    <w:pPr>
      <w:autoSpaceDE/>
      <w:autoSpaceDN/>
      <w:spacing w:after="120" w:line="480" w:lineRule="auto"/>
      <w:ind w:left="283" w:firstLine="0"/>
      <w:jc w:val="left"/>
    </w:pPr>
    <w:rPr>
      <w:rFonts w:ascii="Times New Roman" w:hAnsi="Times New Roman"/>
      <w:snapToGrid w:val="0"/>
      <w:sz w:val="24"/>
      <w:lang w:val="de-DE"/>
    </w:rPr>
  </w:style>
  <w:style w:type="character" w:customStyle="1" w:styleId="BodyTextIndent2Char">
    <w:name w:val="Body Text Indent 2 Char"/>
    <w:link w:val="BodyTextIndent2"/>
    <w:rsid w:val="009C13A9"/>
    <w:rPr>
      <w:rFonts w:ascii="Times New Roman" w:hAnsi="Times New Roman"/>
      <w:snapToGrid w:val="0"/>
      <w:sz w:val="24"/>
      <w:szCs w:val="24"/>
      <w:lang w:val="de-DE"/>
    </w:rPr>
  </w:style>
  <w:style w:type="paragraph" w:styleId="Title">
    <w:name w:val="Title"/>
    <w:basedOn w:val="Normal"/>
    <w:link w:val="TitleChar"/>
    <w:qFormat/>
    <w:rsid w:val="009C13A9"/>
    <w:pPr>
      <w:autoSpaceDE/>
      <w:autoSpaceDN/>
      <w:ind w:left="0" w:firstLine="0"/>
      <w:jc w:val="center"/>
    </w:pPr>
    <w:rPr>
      <w:b/>
      <w:bCs/>
      <w:snapToGrid w:val="0"/>
      <w:sz w:val="22"/>
      <w:szCs w:val="22"/>
      <w:lang w:val="de-DE"/>
    </w:rPr>
  </w:style>
  <w:style w:type="character" w:customStyle="1" w:styleId="TitleChar">
    <w:name w:val="Title Char"/>
    <w:link w:val="Title"/>
    <w:rsid w:val="009C13A9"/>
    <w:rPr>
      <w:rFonts w:ascii="Arial" w:hAnsi="Arial"/>
      <w:b/>
      <w:bCs/>
      <w:snapToGrid w:val="0"/>
      <w:sz w:val="22"/>
      <w:szCs w:val="22"/>
      <w:lang w:val="de-DE"/>
    </w:rPr>
  </w:style>
  <w:style w:type="paragraph" w:customStyle="1" w:styleId="bijschrift">
    <w:name w:val="bijschrift"/>
    <w:basedOn w:val="Normal"/>
    <w:rsid w:val="009C13A9"/>
    <w:pPr>
      <w:widowControl w:val="0"/>
      <w:overflowPunct w:val="0"/>
      <w:adjustRightInd w:val="0"/>
      <w:ind w:left="0" w:firstLine="0"/>
      <w:jc w:val="left"/>
      <w:textAlignment w:val="baseline"/>
    </w:pPr>
    <w:rPr>
      <w:rFonts w:ascii="Times New Roman" w:hAnsi="Times New Roman"/>
      <w:snapToGrid w:val="0"/>
      <w:sz w:val="24"/>
      <w:lang w:val="nl"/>
    </w:rPr>
  </w:style>
  <w:style w:type="paragraph" w:customStyle="1" w:styleId="TNRa0">
    <w:name w:val="TNRa"/>
    <w:basedOn w:val="TNR1"/>
    <w:rsid w:val="009C13A9"/>
    <w:pPr>
      <w:widowControl w:val="0"/>
      <w:tabs>
        <w:tab w:val="clear" w:pos="284"/>
        <w:tab w:val="clear" w:pos="454"/>
        <w:tab w:val="clear" w:pos="680"/>
        <w:tab w:val="clear" w:pos="907"/>
      </w:tabs>
      <w:ind w:left="284"/>
    </w:pPr>
    <w:rPr>
      <w:snapToGrid w:val="0"/>
      <w:szCs w:val="24"/>
      <w:lang w:val="de-DE"/>
    </w:rPr>
  </w:style>
  <w:style w:type="paragraph" w:customStyle="1" w:styleId="abstab">
    <w:name w:val="abstab"/>
    <w:basedOn w:val="Normal"/>
    <w:rsid w:val="009C13A9"/>
    <w:pPr>
      <w:overflowPunct w:val="0"/>
      <w:adjustRightInd w:val="0"/>
      <w:ind w:left="0" w:firstLine="0"/>
      <w:jc w:val="left"/>
      <w:textAlignment w:val="baseline"/>
    </w:pPr>
    <w:rPr>
      <w:rFonts w:ascii="CG Times" w:hAnsi="CG Times" w:cs="CG Times"/>
      <w:snapToGrid w:val="0"/>
      <w:sz w:val="16"/>
      <w:szCs w:val="16"/>
      <w:lang w:val="de-DE"/>
    </w:rPr>
  </w:style>
  <w:style w:type="character" w:customStyle="1" w:styleId="tw4winMark">
    <w:name w:val="tw4winMark"/>
    <w:rsid w:val="009C13A9"/>
    <w:rPr>
      <w:rFonts w:ascii="Courier New" w:hAnsi="Courier New" w:cs="Courier New"/>
      <w:vanish/>
      <w:color w:val="800080"/>
      <w:sz w:val="24"/>
      <w:szCs w:val="24"/>
      <w:vertAlign w:val="subscript"/>
    </w:rPr>
  </w:style>
  <w:style w:type="character" w:customStyle="1" w:styleId="tw4winError">
    <w:name w:val="tw4winError"/>
    <w:rsid w:val="009C13A9"/>
    <w:rPr>
      <w:rFonts w:ascii="Courier New" w:hAnsi="Courier New" w:cs="Courier New"/>
      <w:color w:val="00FF00"/>
      <w:sz w:val="40"/>
      <w:szCs w:val="40"/>
    </w:rPr>
  </w:style>
  <w:style w:type="character" w:customStyle="1" w:styleId="tw4winTerm">
    <w:name w:val="tw4winTerm"/>
    <w:rsid w:val="009C13A9"/>
    <w:rPr>
      <w:color w:val="0000FF"/>
    </w:rPr>
  </w:style>
  <w:style w:type="character" w:customStyle="1" w:styleId="tw4winPopup">
    <w:name w:val="tw4winPopup"/>
    <w:rsid w:val="009C13A9"/>
    <w:rPr>
      <w:rFonts w:ascii="Courier New" w:hAnsi="Courier New" w:cs="Courier New"/>
      <w:noProof/>
      <w:color w:val="008000"/>
    </w:rPr>
  </w:style>
  <w:style w:type="character" w:customStyle="1" w:styleId="tw4winJump">
    <w:name w:val="tw4winJump"/>
    <w:rsid w:val="009C13A9"/>
    <w:rPr>
      <w:rFonts w:ascii="Courier New" w:hAnsi="Courier New" w:cs="Courier New"/>
      <w:noProof/>
      <w:color w:val="008080"/>
    </w:rPr>
  </w:style>
  <w:style w:type="character" w:customStyle="1" w:styleId="tw4winExternal">
    <w:name w:val="tw4winExternal"/>
    <w:rsid w:val="009C13A9"/>
    <w:rPr>
      <w:rFonts w:ascii="Courier New" w:hAnsi="Courier New" w:cs="Courier New"/>
      <w:noProof/>
      <w:color w:val="808080"/>
    </w:rPr>
  </w:style>
  <w:style w:type="character" w:customStyle="1" w:styleId="tw4winInternal">
    <w:name w:val="tw4winInternal"/>
    <w:rsid w:val="009C13A9"/>
    <w:rPr>
      <w:rFonts w:ascii="Courier New" w:hAnsi="Courier New" w:cs="Courier New"/>
      <w:noProof/>
      <w:color w:val="FF0000"/>
    </w:rPr>
  </w:style>
  <w:style w:type="character" w:customStyle="1" w:styleId="DONOTTRANSLATE">
    <w:name w:val="DO_NOT_TRANSLATE"/>
    <w:rsid w:val="009C13A9"/>
    <w:rPr>
      <w:rFonts w:ascii="Courier New" w:hAnsi="Courier New" w:cs="Courier New"/>
      <w:noProof/>
      <w:color w:val="800000"/>
    </w:rPr>
  </w:style>
  <w:style w:type="paragraph" w:customStyle="1" w:styleId="Brieftext11">
    <w:name w:val="Brieftext_11"/>
    <w:basedOn w:val="Normal"/>
    <w:rsid w:val="009C13A9"/>
    <w:pPr>
      <w:widowControl w:val="0"/>
      <w:autoSpaceDE/>
      <w:autoSpaceDN/>
      <w:spacing w:line="360" w:lineRule="auto"/>
      <w:ind w:left="0" w:firstLine="0"/>
      <w:jc w:val="left"/>
    </w:pPr>
    <w:rPr>
      <w:rFonts w:ascii="Times New Roman" w:hAnsi="Times New Roman"/>
      <w:snapToGrid w:val="0"/>
      <w:sz w:val="24"/>
      <w:lang w:val="de-DE"/>
    </w:rPr>
  </w:style>
  <w:style w:type="paragraph" w:customStyle="1" w:styleId="Res1">
    <w:name w:val="Res_1"/>
    <w:basedOn w:val="Normal"/>
    <w:rsid w:val="009C13A9"/>
    <w:pPr>
      <w:overflowPunct w:val="0"/>
      <w:adjustRightInd w:val="0"/>
      <w:spacing w:line="240" w:lineRule="exact"/>
      <w:textAlignment w:val="baseline"/>
    </w:pPr>
    <w:rPr>
      <w:rFonts w:cs="Arial"/>
      <w:i/>
      <w:iCs/>
      <w:snapToGrid w:val="0"/>
      <w:sz w:val="22"/>
      <w:szCs w:val="22"/>
      <w:lang w:val="de-DE"/>
    </w:rPr>
  </w:style>
  <w:style w:type="paragraph" w:customStyle="1" w:styleId="Res1texttmnr">
    <w:name w:val="Res_1_text_tmnr"/>
    <w:basedOn w:val="Normal"/>
    <w:rsid w:val="009C13A9"/>
    <w:pPr>
      <w:tabs>
        <w:tab w:val="left" w:pos="851"/>
      </w:tabs>
      <w:overflowPunct w:val="0"/>
      <w:adjustRightInd w:val="0"/>
      <w:spacing w:line="240" w:lineRule="atLeast"/>
      <w:ind w:left="850"/>
      <w:textAlignment w:val="baseline"/>
    </w:pPr>
    <w:rPr>
      <w:rFonts w:ascii="Times New Roman" w:hAnsi="Times New Roman"/>
      <w:snapToGrid w:val="0"/>
      <w:sz w:val="24"/>
      <w:lang w:val="de-DE"/>
    </w:rPr>
  </w:style>
  <w:style w:type="paragraph" w:customStyle="1" w:styleId="Liege">
    <w:name w:val="Liege"/>
    <w:basedOn w:val="Res1texttmnr"/>
    <w:rsid w:val="009C13A9"/>
    <w:pPr>
      <w:ind w:left="1134" w:firstLine="0"/>
    </w:pPr>
  </w:style>
  <w:style w:type="paragraph" w:customStyle="1" w:styleId="10">
    <w:name w:val="1"/>
    <w:rsid w:val="009C13A9"/>
    <w:pPr>
      <w:tabs>
        <w:tab w:val="left" w:pos="454"/>
      </w:tabs>
      <w:overflowPunct w:val="0"/>
      <w:autoSpaceDE w:val="0"/>
      <w:autoSpaceDN w:val="0"/>
      <w:adjustRightInd w:val="0"/>
      <w:spacing w:line="240" w:lineRule="exact"/>
      <w:ind w:left="454" w:hanging="454"/>
      <w:textAlignment w:val="baseline"/>
    </w:pPr>
    <w:rPr>
      <w:rFonts w:ascii="Times New Roman" w:hAnsi="Times New Roman"/>
      <w:sz w:val="24"/>
      <w:szCs w:val="24"/>
    </w:rPr>
  </w:style>
  <w:style w:type="paragraph" w:customStyle="1" w:styleId="3">
    <w:name w:val="3"/>
    <w:rsid w:val="009C13A9"/>
    <w:pPr>
      <w:tabs>
        <w:tab w:val="left" w:pos="680"/>
      </w:tabs>
      <w:overflowPunct w:val="0"/>
      <w:autoSpaceDE w:val="0"/>
      <w:autoSpaceDN w:val="0"/>
      <w:adjustRightInd w:val="0"/>
      <w:spacing w:line="240" w:lineRule="exact"/>
      <w:ind w:left="680" w:hanging="680"/>
      <w:textAlignment w:val="baseline"/>
    </w:pPr>
    <w:rPr>
      <w:rFonts w:ascii="Times New Roman" w:hAnsi="Times New Roman"/>
      <w:sz w:val="24"/>
      <w:szCs w:val="24"/>
    </w:rPr>
  </w:style>
  <w:style w:type="paragraph" w:customStyle="1" w:styleId="4">
    <w:name w:val="4"/>
    <w:rsid w:val="009C13A9"/>
    <w:pPr>
      <w:tabs>
        <w:tab w:val="left" w:pos="907"/>
      </w:tabs>
      <w:overflowPunct w:val="0"/>
      <w:autoSpaceDE w:val="0"/>
      <w:autoSpaceDN w:val="0"/>
      <w:adjustRightInd w:val="0"/>
      <w:spacing w:line="240" w:lineRule="exact"/>
      <w:ind w:left="907" w:hanging="907"/>
      <w:textAlignment w:val="baseline"/>
    </w:pPr>
    <w:rPr>
      <w:rFonts w:ascii="Times New Roman" w:hAnsi="Times New Roman"/>
      <w:sz w:val="24"/>
      <w:szCs w:val="24"/>
    </w:rPr>
  </w:style>
  <w:style w:type="paragraph" w:customStyle="1" w:styleId="5">
    <w:name w:val="5"/>
    <w:rsid w:val="009C13A9"/>
    <w:pPr>
      <w:tabs>
        <w:tab w:val="left" w:pos="1134"/>
      </w:tabs>
      <w:overflowPunct w:val="0"/>
      <w:autoSpaceDE w:val="0"/>
      <w:autoSpaceDN w:val="0"/>
      <w:adjustRightInd w:val="0"/>
      <w:spacing w:line="240" w:lineRule="exact"/>
      <w:ind w:left="1134" w:hanging="1134"/>
      <w:textAlignment w:val="baseline"/>
    </w:pPr>
    <w:rPr>
      <w:rFonts w:ascii="Times New Roman" w:hAnsi="Times New Roman"/>
      <w:sz w:val="24"/>
      <w:szCs w:val="24"/>
    </w:rPr>
  </w:style>
  <w:style w:type="paragraph" w:customStyle="1" w:styleId="6">
    <w:name w:val="6"/>
    <w:rsid w:val="009C13A9"/>
    <w:pPr>
      <w:tabs>
        <w:tab w:val="left" w:pos="284"/>
      </w:tabs>
      <w:overflowPunct w:val="0"/>
      <w:autoSpaceDE w:val="0"/>
      <w:autoSpaceDN w:val="0"/>
      <w:adjustRightInd w:val="0"/>
      <w:spacing w:line="240" w:lineRule="exact"/>
      <w:ind w:left="284" w:hanging="284"/>
      <w:textAlignment w:val="baseline"/>
    </w:pPr>
    <w:rPr>
      <w:rFonts w:ascii="Times New Roman" w:hAnsi="Times New Roman"/>
      <w:sz w:val="24"/>
      <w:szCs w:val="24"/>
    </w:rPr>
  </w:style>
  <w:style w:type="paragraph" w:customStyle="1" w:styleId="7">
    <w:name w:val="7"/>
    <w:rsid w:val="009C13A9"/>
    <w:pPr>
      <w:tabs>
        <w:tab w:val="left" w:pos="454"/>
        <w:tab w:val="left" w:pos="907"/>
      </w:tabs>
      <w:overflowPunct w:val="0"/>
      <w:autoSpaceDE w:val="0"/>
      <w:autoSpaceDN w:val="0"/>
      <w:adjustRightInd w:val="0"/>
      <w:spacing w:line="240" w:lineRule="exact"/>
      <w:ind w:left="907" w:hanging="454"/>
      <w:textAlignment w:val="baseline"/>
    </w:pPr>
    <w:rPr>
      <w:rFonts w:ascii="Times New Roman" w:hAnsi="Times New Roman"/>
      <w:sz w:val="24"/>
      <w:szCs w:val="24"/>
    </w:rPr>
  </w:style>
  <w:style w:type="paragraph" w:customStyle="1" w:styleId="8">
    <w:name w:val="8"/>
    <w:rsid w:val="009C13A9"/>
    <w:pPr>
      <w:tabs>
        <w:tab w:val="left" w:pos="907"/>
        <w:tab w:val="left" w:pos="1361"/>
      </w:tabs>
      <w:overflowPunct w:val="0"/>
      <w:autoSpaceDE w:val="0"/>
      <w:autoSpaceDN w:val="0"/>
      <w:adjustRightInd w:val="0"/>
      <w:spacing w:line="240" w:lineRule="exact"/>
      <w:ind w:left="1361" w:hanging="454"/>
      <w:textAlignment w:val="baseline"/>
    </w:pPr>
    <w:rPr>
      <w:rFonts w:ascii="Times New Roman" w:hAnsi="Times New Roman"/>
      <w:sz w:val="24"/>
      <w:szCs w:val="24"/>
    </w:rPr>
  </w:style>
  <w:style w:type="paragraph" w:customStyle="1" w:styleId="Paragraphe11">
    <w:name w:val="Paragraphe 11"/>
    <w:rsid w:val="009C13A9"/>
    <w:pPr>
      <w:tabs>
        <w:tab w:val="left" w:pos="454"/>
      </w:tabs>
      <w:overflowPunct w:val="0"/>
      <w:autoSpaceDE w:val="0"/>
      <w:autoSpaceDN w:val="0"/>
      <w:adjustRightInd w:val="0"/>
      <w:spacing w:line="240" w:lineRule="exact"/>
      <w:ind w:left="454" w:hanging="454"/>
      <w:textAlignment w:val="baseline"/>
    </w:pPr>
    <w:rPr>
      <w:rFonts w:ascii="Times New Roman" w:hAnsi="Times New Roman"/>
      <w:sz w:val="24"/>
      <w:szCs w:val="24"/>
    </w:rPr>
  </w:style>
  <w:style w:type="paragraph" w:customStyle="1" w:styleId="Paragraphe12">
    <w:name w:val="Paragraphe 12"/>
    <w:rsid w:val="009C13A9"/>
    <w:pPr>
      <w:tabs>
        <w:tab w:val="left" w:pos="454"/>
      </w:tabs>
      <w:overflowPunct w:val="0"/>
      <w:autoSpaceDE w:val="0"/>
      <w:autoSpaceDN w:val="0"/>
      <w:adjustRightInd w:val="0"/>
      <w:spacing w:line="240" w:lineRule="exact"/>
      <w:ind w:left="454" w:hanging="454"/>
      <w:textAlignment w:val="baseline"/>
    </w:pPr>
    <w:rPr>
      <w:rFonts w:ascii="Times New Roman" w:hAnsi="Times New Roman"/>
      <w:sz w:val="24"/>
      <w:szCs w:val="24"/>
    </w:rPr>
  </w:style>
  <w:style w:type="paragraph" w:customStyle="1" w:styleId="I1">
    <w:name w:val="I1"/>
    <w:rsid w:val="009C13A9"/>
    <w:pPr>
      <w:tabs>
        <w:tab w:val="left" w:pos="57"/>
        <w:tab w:val="left" w:pos="1077"/>
      </w:tabs>
      <w:overflowPunct w:val="0"/>
      <w:autoSpaceDE w:val="0"/>
      <w:autoSpaceDN w:val="0"/>
      <w:adjustRightInd w:val="0"/>
      <w:spacing w:line="240" w:lineRule="exact"/>
      <w:ind w:left="1077" w:hanging="340"/>
      <w:textAlignment w:val="baseline"/>
    </w:pPr>
    <w:rPr>
      <w:rFonts w:ascii="Times New Roman" w:hAnsi="Times New Roman"/>
      <w:sz w:val="24"/>
      <w:szCs w:val="24"/>
    </w:rPr>
  </w:style>
  <w:style w:type="paragraph" w:customStyle="1" w:styleId="I2">
    <w:name w:val="I2"/>
    <w:rsid w:val="009C13A9"/>
    <w:pPr>
      <w:tabs>
        <w:tab w:val="left" w:pos="1077"/>
      </w:tabs>
      <w:overflowPunct w:val="0"/>
      <w:autoSpaceDE w:val="0"/>
      <w:autoSpaceDN w:val="0"/>
      <w:adjustRightInd w:val="0"/>
      <w:spacing w:line="240" w:lineRule="exact"/>
      <w:ind w:left="1077" w:hanging="454"/>
      <w:textAlignment w:val="baseline"/>
    </w:pPr>
    <w:rPr>
      <w:rFonts w:ascii="Times New Roman" w:hAnsi="Times New Roman"/>
      <w:sz w:val="24"/>
      <w:szCs w:val="24"/>
    </w:rPr>
  </w:style>
  <w:style w:type="paragraph" w:customStyle="1" w:styleId="I3">
    <w:name w:val="I3"/>
    <w:rsid w:val="009C13A9"/>
    <w:pPr>
      <w:tabs>
        <w:tab w:val="left" w:pos="1077"/>
      </w:tabs>
      <w:overflowPunct w:val="0"/>
      <w:autoSpaceDE w:val="0"/>
      <w:autoSpaceDN w:val="0"/>
      <w:adjustRightInd w:val="0"/>
      <w:spacing w:line="240" w:lineRule="exact"/>
      <w:ind w:left="1077" w:hanging="510"/>
      <w:textAlignment w:val="baseline"/>
    </w:pPr>
    <w:rPr>
      <w:rFonts w:ascii="Times New Roman" w:hAnsi="Times New Roman"/>
      <w:sz w:val="24"/>
      <w:szCs w:val="24"/>
    </w:rPr>
  </w:style>
  <w:style w:type="paragraph" w:customStyle="1" w:styleId="GT">
    <w:name w:val="GT"/>
    <w:rsid w:val="009C13A9"/>
    <w:pPr>
      <w:tabs>
        <w:tab w:val="left" w:pos="1344"/>
      </w:tabs>
      <w:overflowPunct w:val="0"/>
      <w:autoSpaceDE w:val="0"/>
      <w:autoSpaceDN w:val="0"/>
      <w:adjustRightInd w:val="0"/>
      <w:spacing w:line="240" w:lineRule="exact"/>
      <w:ind w:left="1344" w:hanging="1344"/>
      <w:textAlignment w:val="baseline"/>
    </w:pPr>
    <w:rPr>
      <w:rFonts w:ascii="Times New Roman" w:hAnsi="Times New Roman"/>
      <w:sz w:val="24"/>
      <w:szCs w:val="24"/>
    </w:rPr>
  </w:style>
  <w:style w:type="paragraph" w:customStyle="1" w:styleId="GF">
    <w:name w:val="GF"/>
    <w:rsid w:val="009C13A9"/>
    <w:pPr>
      <w:tabs>
        <w:tab w:val="left" w:pos="1824"/>
      </w:tabs>
      <w:overflowPunct w:val="0"/>
      <w:autoSpaceDE w:val="0"/>
      <w:autoSpaceDN w:val="0"/>
      <w:adjustRightInd w:val="0"/>
      <w:spacing w:line="240" w:lineRule="exact"/>
      <w:ind w:left="1826" w:hanging="1826"/>
      <w:jc w:val="both"/>
      <w:textAlignment w:val="baseline"/>
    </w:pPr>
    <w:rPr>
      <w:rFonts w:ascii="Times New Roman" w:hAnsi="Times New Roman"/>
      <w:sz w:val="24"/>
      <w:szCs w:val="24"/>
    </w:rPr>
  </w:style>
  <w:style w:type="paragraph" w:customStyle="1" w:styleId="Paragraphe19">
    <w:name w:val="Paragraphe 19"/>
    <w:rsid w:val="009C13A9"/>
    <w:pPr>
      <w:tabs>
        <w:tab w:val="left" w:pos="1344"/>
        <w:tab w:val="left" w:pos="1632"/>
      </w:tabs>
      <w:overflowPunct w:val="0"/>
      <w:autoSpaceDE w:val="0"/>
      <w:autoSpaceDN w:val="0"/>
      <w:adjustRightInd w:val="0"/>
      <w:spacing w:line="300" w:lineRule="exact"/>
      <w:ind w:left="1344" w:right="38" w:hanging="576"/>
      <w:jc w:val="both"/>
      <w:textAlignment w:val="baseline"/>
    </w:pPr>
    <w:rPr>
      <w:rFonts w:ascii="Times New Roman" w:hAnsi="Times New Roman"/>
      <w:sz w:val="24"/>
      <w:szCs w:val="24"/>
    </w:rPr>
  </w:style>
  <w:style w:type="paragraph" w:customStyle="1" w:styleId="TNR7">
    <w:name w:val="TNR7"/>
    <w:basedOn w:val="TNR1"/>
    <w:rsid w:val="009C13A9"/>
    <w:pPr>
      <w:tabs>
        <w:tab w:val="clear" w:pos="907"/>
        <w:tab w:val="left" w:pos="-284"/>
        <w:tab w:val="left" w:pos="1021"/>
      </w:tabs>
      <w:spacing w:line="240" w:lineRule="exact"/>
      <w:ind w:hanging="397"/>
    </w:pPr>
    <w:rPr>
      <w:szCs w:val="24"/>
    </w:rPr>
  </w:style>
  <w:style w:type="paragraph" w:customStyle="1" w:styleId="a">
    <w:name w:val="a_"/>
    <w:basedOn w:val="BodyTextIndent2"/>
    <w:rsid w:val="009C13A9"/>
    <w:pPr>
      <w:tabs>
        <w:tab w:val="left" w:pos="426"/>
        <w:tab w:val="left" w:pos="709"/>
      </w:tabs>
      <w:spacing w:after="0" w:line="240" w:lineRule="atLeast"/>
      <w:ind w:left="709" w:hanging="709"/>
      <w:jc w:val="both"/>
    </w:pPr>
    <w:rPr>
      <w:rFonts w:ascii="Arial" w:hAnsi="Arial" w:cs="Arial"/>
      <w:snapToGrid/>
      <w:sz w:val="20"/>
      <w:szCs w:val="20"/>
    </w:rPr>
  </w:style>
  <w:style w:type="paragraph" w:styleId="ListBullet">
    <w:name w:val="List Bullet"/>
    <w:basedOn w:val="Normal"/>
    <w:autoRedefine/>
    <w:rsid w:val="009C13A9"/>
    <w:pPr>
      <w:widowControl w:val="0"/>
      <w:tabs>
        <w:tab w:val="left" w:pos="851"/>
      </w:tabs>
      <w:autoSpaceDE/>
      <w:autoSpaceDN/>
      <w:spacing w:before="40"/>
      <w:ind w:left="850"/>
    </w:pPr>
    <w:rPr>
      <w:rFonts w:cs="Arial"/>
      <w:szCs w:val="20"/>
      <w:lang w:val="de-DE"/>
    </w:rPr>
  </w:style>
  <w:style w:type="paragraph" w:customStyle="1" w:styleId="en-ttes">
    <w:name w:val="en-têtes"/>
    <w:basedOn w:val="Header"/>
    <w:rsid w:val="009C13A9"/>
    <w:pPr>
      <w:tabs>
        <w:tab w:val="clear" w:pos="8306"/>
        <w:tab w:val="right" w:pos="851"/>
        <w:tab w:val="center" w:pos="4252"/>
        <w:tab w:val="right" w:pos="8504"/>
      </w:tabs>
      <w:overflowPunct w:val="0"/>
      <w:adjustRightInd w:val="0"/>
      <w:ind w:left="0" w:hanging="397"/>
      <w:jc w:val="center"/>
      <w:textAlignment w:val="baseline"/>
    </w:pPr>
    <w:rPr>
      <w:rFonts w:ascii="Times New Roman" w:hAnsi="Times New Roman"/>
      <w:sz w:val="22"/>
      <w:szCs w:val="22"/>
    </w:rPr>
  </w:style>
  <w:style w:type="paragraph" w:customStyle="1" w:styleId="N5">
    <w:name w:val="N5"/>
    <w:basedOn w:val="Normal"/>
    <w:rsid w:val="009C13A9"/>
    <w:pPr>
      <w:tabs>
        <w:tab w:val="left" w:pos="284"/>
      </w:tabs>
      <w:overflowPunct w:val="0"/>
      <w:adjustRightInd w:val="0"/>
      <w:ind w:left="0" w:firstLine="0"/>
      <w:jc w:val="left"/>
      <w:textAlignment w:val="baseline"/>
    </w:pPr>
    <w:rPr>
      <w:rFonts w:ascii="Times New Roman" w:hAnsi="Times New Roman"/>
      <w:sz w:val="22"/>
      <w:szCs w:val="22"/>
    </w:rPr>
  </w:style>
  <w:style w:type="paragraph" w:customStyle="1" w:styleId="N6">
    <w:name w:val="N6"/>
    <w:basedOn w:val="N5"/>
    <w:rsid w:val="009C13A9"/>
    <w:pPr>
      <w:tabs>
        <w:tab w:val="left" w:pos="794"/>
        <w:tab w:val="left" w:pos="1191"/>
        <w:tab w:val="left" w:leader="dot" w:pos="7371"/>
      </w:tabs>
    </w:pPr>
  </w:style>
  <w:style w:type="paragraph" w:customStyle="1" w:styleId="N8">
    <w:name w:val="N8"/>
    <w:basedOn w:val="N7"/>
    <w:rsid w:val="009C13A9"/>
    <w:pPr>
      <w:ind w:firstLine="0"/>
      <w:jc w:val="center"/>
    </w:pPr>
    <w:rPr>
      <w:snapToGrid/>
      <w:sz w:val="20"/>
    </w:rPr>
  </w:style>
  <w:style w:type="paragraph" w:customStyle="1" w:styleId="T1">
    <w:name w:val="T1"/>
    <w:basedOn w:val="Normal"/>
    <w:rsid w:val="009C13A9"/>
    <w:pPr>
      <w:tabs>
        <w:tab w:val="left" w:pos="425"/>
      </w:tabs>
      <w:overflowPunct w:val="0"/>
      <w:adjustRightInd w:val="0"/>
      <w:spacing w:line="240" w:lineRule="atLeast"/>
      <w:textAlignment w:val="baseline"/>
    </w:pPr>
    <w:rPr>
      <w:rFonts w:ascii="Times New Roman" w:hAnsi="Times New Roman"/>
      <w:sz w:val="24"/>
      <w:lang w:val="de-DE"/>
    </w:rPr>
  </w:style>
  <w:style w:type="paragraph" w:customStyle="1" w:styleId="Style1">
    <w:name w:val="Style1"/>
    <w:basedOn w:val="T1"/>
    <w:rsid w:val="009C13A9"/>
    <w:pPr>
      <w:tabs>
        <w:tab w:val="left" w:pos="851"/>
      </w:tabs>
      <w:spacing w:before="80"/>
      <w:ind w:left="850"/>
    </w:pPr>
  </w:style>
  <w:style w:type="paragraph" w:customStyle="1" w:styleId="T1a">
    <w:name w:val="T1a"/>
    <w:basedOn w:val="T1"/>
    <w:next w:val="Style1"/>
    <w:rsid w:val="009C13A9"/>
    <w:pPr>
      <w:tabs>
        <w:tab w:val="left" w:pos="851"/>
      </w:tabs>
      <w:spacing w:before="80"/>
      <w:ind w:left="850"/>
    </w:pPr>
  </w:style>
  <w:style w:type="paragraph" w:customStyle="1" w:styleId="To">
    <w:name w:val="To"/>
    <w:basedOn w:val="Normal"/>
    <w:rsid w:val="009C13A9"/>
    <w:pPr>
      <w:overflowPunct w:val="0"/>
      <w:adjustRightInd w:val="0"/>
      <w:spacing w:line="240" w:lineRule="atLeast"/>
      <w:ind w:left="0" w:firstLine="0"/>
      <w:textAlignment w:val="baseline"/>
    </w:pPr>
    <w:rPr>
      <w:rFonts w:ascii="Times New Roman" w:hAnsi="Times New Roman"/>
      <w:sz w:val="24"/>
      <w:lang w:val="de-DE"/>
    </w:rPr>
  </w:style>
  <w:style w:type="paragraph" w:styleId="BlockText">
    <w:name w:val="Block Text"/>
    <w:basedOn w:val="Normal"/>
    <w:rsid w:val="009C13A9"/>
    <w:pPr>
      <w:pBdr>
        <w:top w:val="double" w:sz="6" w:space="3" w:color="auto"/>
        <w:left w:val="double" w:sz="6" w:space="3" w:color="auto"/>
        <w:bottom w:val="double" w:sz="6" w:space="3" w:color="auto"/>
        <w:right w:val="double" w:sz="6" w:space="3" w:color="auto"/>
      </w:pBdr>
      <w:shd w:val="pct10" w:color="auto" w:fill="auto"/>
      <w:overflowPunct w:val="0"/>
      <w:adjustRightInd w:val="0"/>
      <w:ind w:left="2410" w:right="2125" w:firstLine="0"/>
      <w:jc w:val="center"/>
    </w:pPr>
    <w:rPr>
      <w:rFonts w:cs="Arial"/>
      <w:b/>
      <w:bCs/>
      <w:sz w:val="22"/>
      <w:szCs w:val="22"/>
      <w:lang w:val="de-DE"/>
    </w:rPr>
  </w:style>
  <w:style w:type="paragraph" w:customStyle="1" w:styleId="c1">
    <w:name w:val="c1"/>
    <w:basedOn w:val="Normal"/>
    <w:rsid w:val="009C13A9"/>
    <w:pPr>
      <w:autoSpaceDE/>
      <w:autoSpaceDN/>
      <w:spacing w:line="240" w:lineRule="atLeast"/>
      <w:ind w:left="0" w:firstLine="0"/>
      <w:jc w:val="center"/>
    </w:pPr>
    <w:rPr>
      <w:rFonts w:ascii="Times New Roman" w:hAnsi="Times New Roman"/>
      <w:sz w:val="24"/>
      <w:lang w:val="de-DE"/>
    </w:rPr>
  </w:style>
  <w:style w:type="paragraph" w:customStyle="1" w:styleId="Brieftext10">
    <w:name w:val="Brieftext_10"/>
    <w:basedOn w:val="Normal"/>
    <w:rsid w:val="009C13A9"/>
    <w:pPr>
      <w:widowControl w:val="0"/>
      <w:suppressAutoHyphens/>
      <w:autoSpaceDE/>
      <w:autoSpaceDN/>
      <w:spacing w:line="360" w:lineRule="auto"/>
      <w:ind w:left="0" w:firstLine="0"/>
      <w:jc w:val="left"/>
    </w:pPr>
    <w:rPr>
      <w:rFonts w:ascii="Times New Roman" w:hAnsi="Times New Roman"/>
      <w:szCs w:val="20"/>
      <w:lang w:val="de-DE"/>
    </w:rPr>
  </w:style>
  <w:style w:type="paragraph" w:customStyle="1" w:styleId="Retraitcorpsdetexte21">
    <w:name w:val="Retrait corps de texte 21"/>
    <w:basedOn w:val="Normal"/>
    <w:rsid w:val="009C13A9"/>
    <w:pPr>
      <w:tabs>
        <w:tab w:val="left" w:pos="1418"/>
      </w:tabs>
      <w:suppressAutoHyphens/>
      <w:autoSpaceDE/>
      <w:autoSpaceDN/>
      <w:spacing w:before="120"/>
      <w:ind w:left="1418" w:hanging="1418"/>
    </w:pPr>
    <w:rPr>
      <w:rFonts w:ascii="Times New Roman" w:hAnsi="Times New Roman"/>
      <w:snapToGrid w:val="0"/>
      <w:szCs w:val="20"/>
      <w:lang w:val="de-DE"/>
    </w:rPr>
  </w:style>
  <w:style w:type="paragraph" w:customStyle="1" w:styleId="N10">
    <w:name w:val="N10"/>
    <w:basedOn w:val="Normal"/>
    <w:rsid w:val="009C13A9"/>
    <w:pPr>
      <w:tabs>
        <w:tab w:val="left" w:pos="284"/>
        <w:tab w:val="left" w:pos="567"/>
        <w:tab w:val="left" w:pos="680"/>
        <w:tab w:val="left" w:pos="1021"/>
      </w:tabs>
      <w:overflowPunct w:val="0"/>
      <w:adjustRightInd w:val="0"/>
      <w:ind w:left="568" w:hanging="284"/>
      <w:textAlignment w:val="baseline"/>
    </w:pPr>
    <w:rPr>
      <w:rFonts w:ascii="Tms Rmn" w:hAnsi="Tms Rmn" w:cs="Tms Rmn"/>
      <w:snapToGrid w:val="0"/>
      <w:sz w:val="22"/>
      <w:szCs w:val="22"/>
    </w:rPr>
  </w:style>
  <w:style w:type="paragraph" w:customStyle="1" w:styleId="titr1">
    <w:name w:val="titr1"/>
    <w:basedOn w:val="BodyTextIndent"/>
    <w:rsid w:val="009C13A9"/>
    <w:pPr>
      <w:tabs>
        <w:tab w:val="left" w:pos="425"/>
      </w:tabs>
      <w:autoSpaceDE/>
      <w:autoSpaceDN/>
      <w:spacing w:after="0" w:line="240" w:lineRule="atLeast"/>
      <w:ind w:left="425"/>
      <w:outlineLvl w:val="0"/>
    </w:pPr>
    <w:rPr>
      <w:rFonts w:cs="Arial"/>
      <w:b/>
      <w:bCs/>
      <w:snapToGrid w:val="0"/>
      <w:sz w:val="22"/>
      <w:szCs w:val="22"/>
    </w:rPr>
  </w:style>
  <w:style w:type="paragraph" w:customStyle="1" w:styleId="Titra">
    <w:name w:val="Titr_a"/>
    <w:basedOn w:val="BodyTextIndent"/>
    <w:rsid w:val="009C13A9"/>
    <w:pPr>
      <w:tabs>
        <w:tab w:val="left" w:pos="851"/>
      </w:tabs>
      <w:autoSpaceDE/>
      <w:autoSpaceDN/>
      <w:spacing w:after="0" w:line="240" w:lineRule="atLeast"/>
      <w:ind w:left="850"/>
      <w:outlineLvl w:val="0"/>
    </w:pPr>
    <w:rPr>
      <w:rFonts w:cs="Arial"/>
      <w:snapToGrid w:val="0"/>
      <w:szCs w:val="20"/>
    </w:rPr>
  </w:style>
  <w:style w:type="paragraph" w:customStyle="1" w:styleId="Titrtiret">
    <w:name w:val="Titr_tiret"/>
    <w:basedOn w:val="BodyTextIndent"/>
    <w:rsid w:val="009C13A9"/>
    <w:pPr>
      <w:tabs>
        <w:tab w:val="left" w:pos="1276"/>
      </w:tabs>
      <w:autoSpaceDE/>
      <w:autoSpaceDN/>
      <w:spacing w:before="80" w:after="0" w:line="240" w:lineRule="atLeast"/>
      <w:ind w:left="1276"/>
    </w:pPr>
    <w:rPr>
      <w:rFonts w:cs="Arial"/>
      <w:snapToGrid w:val="0"/>
      <w:szCs w:val="20"/>
    </w:rPr>
  </w:style>
  <w:style w:type="paragraph" w:customStyle="1" w:styleId="Taa">
    <w:name w:val="Taa"/>
    <w:basedOn w:val="Normal"/>
    <w:rsid w:val="009C13A9"/>
    <w:pPr>
      <w:tabs>
        <w:tab w:val="left" w:pos="1276"/>
      </w:tabs>
      <w:overflowPunct w:val="0"/>
      <w:adjustRightInd w:val="0"/>
      <w:spacing w:line="240" w:lineRule="exact"/>
      <w:ind w:left="1276"/>
      <w:textAlignment w:val="baseline"/>
    </w:pPr>
    <w:rPr>
      <w:rFonts w:ascii="Times New Roman" w:hAnsi="Times New Roman"/>
      <w:sz w:val="24"/>
      <w:lang w:val="de-DE"/>
    </w:rPr>
  </w:style>
  <w:style w:type="paragraph" w:customStyle="1" w:styleId="Ta">
    <w:name w:val="Ta"/>
    <w:basedOn w:val="Normal"/>
    <w:rsid w:val="009C13A9"/>
    <w:pPr>
      <w:tabs>
        <w:tab w:val="left" w:pos="851"/>
      </w:tabs>
      <w:autoSpaceDE/>
      <w:autoSpaceDN/>
      <w:spacing w:line="240" w:lineRule="atLeast"/>
      <w:ind w:left="850"/>
      <w:jc w:val="left"/>
    </w:pPr>
    <w:rPr>
      <w:rFonts w:cs="Arial"/>
      <w:i/>
      <w:iCs/>
      <w:sz w:val="22"/>
      <w:szCs w:val="22"/>
      <w:lang w:val="de-DE"/>
    </w:rPr>
  </w:style>
  <w:style w:type="paragraph" w:customStyle="1" w:styleId="Annex2Artikel">
    <w:name w:val="Annex2_Artikel"/>
    <w:basedOn w:val="Normal"/>
    <w:rsid w:val="009C13A9"/>
    <w:pPr>
      <w:widowControl w:val="0"/>
      <w:tabs>
        <w:tab w:val="left" w:pos="454"/>
        <w:tab w:val="left" w:pos="907"/>
        <w:tab w:val="left" w:pos="1361"/>
        <w:tab w:val="left" w:pos="1814"/>
      </w:tabs>
      <w:overflowPunct w:val="0"/>
      <w:adjustRightInd w:val="0"/>
      <w:spacing w:before="480" w:line="240" w:lineRule="exact"/>
      <w:ind w:left="0" w:firstLine="0"/>
      <w:jc w:val="center"/>
      <w:textAlignment w:val="baseline"/>
    </w:pPr>
    <w:rPr>
      <w:rFonts w:ascii="Times New Roman" w:hAnsi="Times New Roman"/>
      <w:b/>
      <w:bCs/>
      <w:sz w:val="24"/>
      <w:lang w:val="de-DE"/>
    </w:rPr>
  </w:style>
  <w:style w:type="paragraph" w:customStyle="1" w:styleId="Annex2Artikelberschrift">
    <w:name w:val="Annex2_Artikel_Überschrift"/>
    <w:basedOn w:val="Normal"/>
    <w:rsid w:val="009C13A9"/>
    <w:pPr>
      <w:widowControl w:val="0"/>
      <w:tabs>
        <w:tab w:val="left" w:pos="454"/>
        <w:tab w:val="left" w:pos="907"/>
        <w:tab w:val="left" w:pos="1361"/>
        <w:tab w:val="left" w:pos="1814"/>
      </w:tabs>
      <w:overflowPunct w:val="0"/>
      <w:adjustRightInd w:val="0"/>
      <w:spacing w:before="240" w:line="240" w:lineRule="exact"/>
      <w:ind w:left="0" w:firstLine="0"/>
      <w:jc w:val="center"/>
      <w:textAlignment w:val="baseline"/>
    </w:pPr>
    <w:rPr>
      <w:rFonts w:ascii="Times New Roman" w:hAnsi="Times New Roman"/>
      <w:i/>
      <w:iCs/>
      <w:sz w:val="24"/>
      <w:lang w:val="de-DE"/>
    </w:rPr>
  </w:style>
  <w:style w:type="paragraph" w:customStyle="1" w:styleId="T1fr">
    <w:name w:val="T1fr"/>
    <w:basedOn w:val="T1"/>
    <w:rsid w:val="009C13A9"/>
    <w:pPr>
      <w:tabs>
        <w:tab w:val="clear" w:pos="425"/>
        <w:tab w:val="left" w:pos="851"/>
      </w:tabs>
      <w:overflowPunct/>
      <w:autoSpaceDE/>
      <w:autoSpaceDN/>
      <w:adjustRightInd/>
      <w:ind w:left="850"/>
      <w:textAlignment w:val="auto"/>
    </w:pPr>
    <w:rPr>
      <w:lang w:val="fr-FR"/>
    </w:rPr>
  </w:style>
  <w:style w:type="paragraph" w:customStyle="1" w:styleId="Tafr">
    <w:name w:val="Ta_fr"/>
    <w:basedOn w:val="T1"/>
    <w:rsid w:val="009C13A9"/>
    <w:pPr>
      <w:tabs>
        <w:tab w:val="clear" w:pos="425"/>
        <w:tab w:val="left" w:pos="851"/>
      </w:tabs>
      <w:overflowPunct/>
      <w:autoSpaceDE/>
      <w:autoSpaceDN/>
      <w:adjustRightInd/>
      <w:spacing w:before="60"/>
      <w:ind w:left="1276"/>
      <w:textAlignment w:val="auto"/>
    </w:pPr>
    <w:rPr>
      <w:lang w:val="fr-FR"/>
    </w:rPr>
  </w:style>
  <w:style w:type="paragraph" w:customStyle="1" w:styleId="T1n">
    <w:name w:val="T1n"/>
    <w:basedOn w:val="T1"/>
    <w:rsid w:val="009C13A9"/>
    <w:pPr>
      <w:tabs>
        <w:tab w:val="clear" w:pos="425"/>
        <w:tab w:val="left" w:pos="851"/>
      </w:tabs>
      <w:ind w:left="850"/>
    </w:pPr>
    <w:rPr>
      <w:lang w:val="fr-FR"/>
    </w:rPr>
  </w:style>
  <w:style w:type="paragraph" w:customStyle="1" w:styleId="T1gr">
    <w:name w:val="T_1gr"/>
    <w:basedOn w:val="Normal"/>
    <w:rsid w:val="009C13A9"/>
    <w:pPr>
      <w:tabs>
        <w:tab w:val="left" w:pos="567"/>
      </w:tabs>
      <w:autoSpaceDE/>
      <w:autoSpaceDN/>
      <w:spacing w:line="240" w:lineRule="atLeast"/>
      <w:ind w:left="567" w:hanging="567"/>
    </w:pPr>
    <w:rPr>
      <w:rFonts w:cs="Arial"/>
      <w:b/>
      <w:bCs/>
      <w:snapToGrid w:val="0"/>
      <w:szCs w:val="20"/>
    </w:rPr>
  </w:style>
  <w:style w:type="paragraph" w:customStyle="1" w:styleId="T1rent">
    <w:name w:val="T_1rent"/>
    <w:basedOn w:val="Normal"/>
    <w:rsid w:val="009C13A9"/>
    <w:pPr>
      <w:autoSpaceDE/>
      <w:autoSpaceDN/>
      <w:spacing w:line="240" w:lineRule="atLeast"/>
      <w:ind w:left="567" w:firstLine="0"/>
    </w:pPr>
    <w:rPr>
      <w:rFonts w:cs="Arial"/>
      <w:snapToGrid w:val="0"/>
      <w:szCs w:val="20"/>
    </w:rPr>
  </w:style>
  <w:style w:type="paragraph" w:customStyle="1" w:styleId="textetableau">
    <w:name w:val="texte tableau"/>
    <w:basedOn w:val="Normal"/>
    <w:rsid w:val="009C13A9"/>
    <w:pPr>
      <w:tabs>
        <w:tab w:val="left" w:pos="1418"/>
      </w:tabs>
      <w:autoSpaceDE/>
      <w:autoSpaceDN/>
      <w:spacing w:before="40" w:after="40" w:line="220" w:lineRule="exact"/>
      <w:ind w:left="0" w:firstLine="0"/>
    </w:pPr>
    <w:rPr>
      <w:bCs/>
      <w:iCs/>
      <w:szCs w:val="20"/>
      <w:lang w:val="en-GB" w:eastAsia="en-US"/>
    </w:rPr>
  </w:style>
  <w:style w:type="paragraph" w:customStyle="1" w:styleId="Lignedobjet">
    <w:name w:val="Ligne d'objet"/>
    <w:basedOn w:val="Normal"/>
    <w:rsid w:val="009C13A9"/>
    <w:pPr>
      <w:tabs>
        <w:tab w:val="left" w:pos="284"/>
      </w:tabs>
      <w:overflowPunct w:val="0"/>
      <w:adjustRightInd w:val="0"/>
      <w:ind w:left="0" w:firstLine="0"/>
      <w:textAlignment w:val="baseline"/>
    </w:pPr>
    <w:rPr>
      <w:szCs w:val="20"/>
    </w:rPr>
  </w:style>
  <w:style w:type="paragraph" w:styleId="NormalWeb">
    <w:name w:val="Normal (Web)"/>
    <w:basedOn w:val="Normal"/>
    <w:rsid w:val="009C13A9"/>
    <w:pPr>
      <w:autoSpaceDE/>
      <w:autoSpaceDN/>
      <w:spacing w:before="101" w:after="101"/>
      <w:ind w:left="453" w:right="352" w:firstLine="0"/>
      <w:jc w:val="left"/>
    </w:pPr>
    <w:rPr>
      <w:rFonts w:ascii="Times New Roman" w:eastAsia="Batang" w:hAnsi="Times New Roman"/>
      <w:sz w:val="19"/>
      <w:szCs w:val="19"/>
      <w:lang w:eastAsia="ko-KR"/>
    </w:rPr>
  </w:style>
  <w:style w:type="paragraph" w:customStyle="1" w:styleId="ZchnZchn">
    <w:name w:val="Zchn Zchn"/>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styleId="BodyText2">
    <w:name w:val="Body Text 2"/>
    <w:basedOn w:val="Normal"/>
    <w:link w:val="BodyText2Char"/>
    <w:rsid w:val="009C13A9"/>
    <w:pPr>
      <w:autoSpaceDE/>
      <w:autoSpaceDN/>
      <w:spacing w:after="120" w:line="480" w:lineRule="auto"/>
      <w:ind w:left="0" w:firstLine="0"/>
      <w:jc w:val="left"/>
    </w:pPr>
    <w:rPr>
      <w:rFonts w:ascii="Times New Roman" w:hAnsi="Times New Roman"/>
      <w:snapToGrid w:val="0"/>
      <w:sz w:val="24"/>
      <w:lang w:val="de-DE"/>
    </w:rPr>
  </w:style>
  <w:style w:type="character" w:customStyle="1" w:styleId="BodyText2Char">
    <w:name w:val="Body Text 2 Char"/>
    <w:link w:val="BodyText2"/>
    <w:rsid w:val="009C13A9"/>
    <w:rPr>
      <w:rFonts w:ascii="Times New Roman" w:hAnsi="Times New Roman"/>
      <w:snapToGrid w:val="0"/>
      <w:sz w:val="24"/>
      <w:szCs w:val="24"/>
      <w:lang w:val="de-DE"/>
    </w:rPr>
  </w:style>
  <w:style w:type="paragraph" w:customStyle="1" w:styleId="Textkrper-Einzug3">
    <w:name w:val="Textkörper-Einzug 3"/>
    <w:basedOn w:val="Normal"/>
    <w:rsid w:val="009C13A9"/>
    <w:pPr>
      <w:widowControl w:val="0"/>
      <w:tabs>
        <w:tab w:val="left" w:pos="426"/>
      </w:tabs>
      <w:overflowPunct w:val="0"/>
      <w:adjustRightInd w:val="0"/>
      <w:ind w:left="426" w:hanging="426"/>
      <w:textAlignment w:val="baseline"/>
    </w:pPr>
    <w:rPr>
      <w:rFonts w:cs="Arial"/>
      <w:i/>
      <w:iCs/>
      <w:szCs w:val="20"/>
    </w:rPr>
  </w:style>
  <w:style w:type="paragraph" w:customStyle="1" w:styleId="CarCarCarCarCar">
    <w:name w:val="Car Car Car Car Car"/>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a1">
    <w:name w:val="a1"/>
    <w:basedOn w:val="Normal"/>
    <w:rsid w:val="009C13A9"/>
    <w:pPr>
      <w:tabs>
        <w:tab w:val="left" w:pos="851"/>
      </w:tabs>
      <w:autoSpaceDE/>
      <w:autoSpaceDN/>
      <w:spacing w:line="240" w:lineRule="atLeast"/>
      <w:ind w:left="850"/>
    </w:pPr>
    <w:rPr>
      <w:rFonts w:ascii="Times New Roman" w:hAnsi="Times New Roman"/>
      <w:snapToGrid w:val="0"/>
      <w:sz w:val="24"/>
      <w:lang w:val="de-DE"/>
    </w:rPr>
  </w:style>
  <w:style w:type="paragraph" w:customStyle="1" w:styleId="Text1Char">
    <w:name w:val="Text1 Char"/>
    <w:aliases w:val="5 Char,BriefText1 Char"/>
    <w:basedOn w:val="Normal"/>
    <w:rsid w:val="009C13A9"/>
    <w:pPr>
      <w:autoSpaceDE/>
      <w:autoSpaceDN/>
      <w:spacing w:after="120" w:line="360" w:lineRule="auto"/>
      <w:ind w:left="0" w:firstLine="0"/>
      <w:jc w:val="left"/>
    </w:pPr>
    <w:rPr>
      <w:rFonts w:ascii="Arial Narrow" w:hAnsi="Arial Narrow"/>
      <w:snapToGrid w:val="0"/>
      <w:sz w:val="22"/>
      <w:szCs w:val="22"/>
      <w:lang w:val="de-DE"/>
    </w:rPr>
  </w:style>
  <w:style w:type="paragraph" w:customStyle="1" w:styleId="1berschriftTF">
    <w:name w:val="1.Überschrift TF"/>
    <w:basedOn w:val="Normal"/>
    <w:rsid w:val="009C13A9"/>
    <w:pPr>
      <w:autoSpaceDE/>
      <w:autoSpaceDN/>
      <w:ind w:left="0" w:firstLine="0"/>
      <w:jc w:val="left"/>
    </w:pPr>
    <w:rPr>
      <w:rFonts w:ascii="Arial Narrow" w:hAnsi="Arial Narrow"/>
      <w:snapToGrid w:val="0"/>
      <w:sz w:val="22"/>
      <w:szCs w:val="22"/>
      <w:lang w:val="de-DE"/>
    </w:rPr>
  </w:style>
  <w:style w:type="paragraph" w:styleId="Subtitle">
    <w:name w:val="Subtitle"/>
    <w:basedOn w:val="Normal"/>
    <w:link w:val="SubtitleChar"/>
    <w:qFormat/>
    <w:rsid w:val="009C13A9"/>
    <w:pPr>
      <w:tabs>
        <w:tab w:val="left" w:pos="851"/>
        <w:tab w:val="left" w:pos="1560"/>
      </w:tabs>
      <w:autoSpaceDE/>
      <w:autoSpaceDN/>
      <w:spacing w:line="240" w:lineRule="atLeast"/>
      <w:ind w:left="0" w:firstLine="0"/>
      <w:jc w:val="center"/>
    </w:pPr>
    <w:rPr>
      <w:b/>
      <w:bCs/>
      <w:snapToGrid w:val="0"/>
      <w:sz w:val="28"/>
      <w:szCs w:val="28"/>
      <w:lang w:val="de-DE"/>
    </w:rPr>
  </w:style>
  <w:style w:type="character" w:customStyle="1" w:styleId="SubtitleChar">
    <w:name w:val="Subtitle Char"/>
    <w:link w:val="Subtitle"/>
    <w:rsid w:val="009C13A9"/>
    <w:rPr>
      <w:rFonts w:ascii="Arial" w:hAnsi="Arial"/>
      <w:b/>
      <w:bCs/>
      <w:snapToGrid w:val="0"/>
      <w:sz w:val="28"/>
      <w:szCs w:val="28"/>
      <w:lang w:val="de-DE"/>
    </w:rPr>
  </w:style>
  <w:style w:type="paragraph" w:customStyle="1" w:styleId="t60">
    <w:name w:val="t60"/>
    <w:basedOn w:val="Normal"/>
    <w:rsid w:val="009C13A9"/>
    <w:pPr>
      <w:autoSpaceDE/>
      <w:autoSpaceDN/>
      <w:spacing w:line="200" w:lineRule="atLeast"/>
      <w:ind w:left="0" w:firstLine="0"/>
      <w:jc w:val="left"/>
    </w:pPr>
    <w:rPr>
      <w:rFonts w:ascii="Times New Roman" w:hAnsi="Times New Roman"/>
      <w:snapToGrid w:val="0"/>
      <w:sz w:val="24"/>
      <w:lang w:val="de-DE"/>
    </w:rPr>
  </w:style>
  <w:style w:type="character" w:styleId="LineNumber">
    <w:name w:val="line number"/>
    <w:basedOn w:val="DefaultParagraphFont"/>
    <w:rsid w:val="009C13A9"/>
  </w:style>
  <w:style w:type="paragraph" w:customStyle="1" w:styleId="Annex2Buchstabe">
    <w:name w:val="Annex2_Buchstabe"/>
    <w:basedOn w:val="Normal"/>
    <w:rsid w:val="009C13A9"/>
    <w:pPr>
      <w:tabs>
        <w:tab w:val="left" w:pos="454"/>
        <w:tab w:val="left" w:pos="907"/>
        <w:tab w:val="left" w:pos="1361"/>
        <w:tab w:val="left" w:pos="1814"/>
      </w:tabs>
      <w:overflowPunct w:val="0"/>
      <w:adjustRightInd w:val="0"/>
      <w:spacing w:after="80"/>
      <w:ind w:left="908" w:hanging="454"/>
      <w:textAlignment w:val="baseline"/>
    </w:pPr>
    <w:rPr>
      <w:rFonts w:ascii="Times New Roman" w:hAnsi="Times New Roman"/>
      <w:sz w:val="24"/>
      <w:lang w:val="en-GB"/>
    </w:rPr>
  </w:style>
  <w:style w:type="paragraph" w:customStyle="1" w:styleId="aa">
    <w:name w:val="aa"/>
    <w:basedOn w:val="Annex2Buchstabe"/>
    <w:rsid w:val="009C13A9"/>
    <w:pPr>
      <w:tabs>
        <w:tab w:val="clear" w:pos="454"/>
        <w:tab w:val="clear" w:pos="907"/>
        <w:tab w:val="clear" w:pos="1361"/>
        <w:tab w:val="clear" w:pos="1814"/>
        <w:tab w:val="left" w:pos="425"/>
        <w:tab w:val="left" w:pos="851"/>
        <w:tab w:val="left" w:pos="1276"/>
        <w:tab w:val="left" w:pos="1701"/>
        <w:tab w:val="left" w:pos="2126"/>
      </w:tabs>
      <w:spacing w:before="120" w:after="0" w:line="240" w:lineRule="atLeast"/>
      <w:ind w:left="850" w:hanging="425"/>
    </w:pPr>
  </w:style>
  <w:style w:type="paragraph" w:customStyle="1" w:styleId="Standard">
    <w:name w:val="Standard"/>
    <w:rsid w:val="009C13A9"/>
    <w:pPr>
      <w:widowControl w:val="0"/>
      <w:overflowPunct w:val="0"/>
      <w:autoSpaceDE w:val="0"/>
      <w:autoSpaceDN w:val="0"/>
      <w:adjustRightInd w:val="0"/>
      <w:jc w:val="both"/>
      <w:textAlignment w:val="baseline"/>
    </w:pPr>
    <w:rPr>
      <w:rFonts w:ascii="CG Times (W1)" w:hAnsi="CG Times (W1)"/>
      <w:snapToGrid w:val="0"/>
      <w:sz w:val="24"/>
      <w:szCs w:val="24"/>
      <w:lang w:val="en-US"/>
    </w:rPr>
  </w:style>
  <w:style w:type="paragraph" w:customStyle="1" w:styleId="rad111">
    <w:name w:val="rad1.11"/>
    <w:basedOn w:val="Normal"/>
    <w:rsid w:val="009C13A9"/>
    <w:pPr>
      <w:tabs>
        <w:tab w:val="left" w:pos="284"/>
        <w:tab w:val="left" w:pos="454"/>
        <w:tab w:val="left" w:pos="709"/>
      </w:tabs>
      <w:autoSpaceDE/>
      <w:autoSpaceDN/>
      <w:spacing w:line="240" w:lineRule="exact"/>
      <w:ind w:left="0" w:hanging="567"/>
    </w:pPr>
    <w:rPr>
      <w:rFonts w:ascii="Times New Roman" w:hAnsi="Times New Roman"/>
      <w:snapToGrid w:val="0"/>
      <w:sz w:val="24"/>
    </w:rPr>
  </w:style>
  <w:style w:type="paragraph" w:customStyle="1" w:styleId="rad1">
    <w:name w:val="rad1"/>
    <w:aliases w:val="11"/>
    <w:basedOn w:val="Normal"/>
    <w:rsid w:val="009C13A9"/>
    <w:pPr>
      <w:tabs>
        <w:tab w:val="left" w:pos="284"/>
        <w:tab w:val="left" w:pos="454"/>
        <w:tab w:val="left" w:pos="709"/>
      </w:tabs>
      <w:autoSpaceDE/>
      <w:autoSpaceDN/>
      <w:spacing w:line="240" w:lineRule="exact"/>
      <w:ind w:left="0" w:hanging="567"/>
    </w:pPr>
    <w:rPr>
      <w:rFonts w:ascii="Times New Roman" w:hAnsi="Times New Roman"/>
      <w:sz w:val="24"/>
    </w:rPr>
  </w:style>
  <w:style w:type="paragraph" w:customStyle="1" w:styleId="N12">
    <w:name w:val="N12"/>
    <w:basedOn w:val="Normal"/>
    <w:rsid w:val="009C13A9"/>
    <w:pPr>
      <w:tabs>
        <w:tab w:val="left" w:pos="284"/>
      </w:tabs>
      <w:overflowPunct w:val="0"/>
      <w:adjustRightInd w:val="0"/>
      <w:spacing w:line="240" w:lineRule="atLeast"/>
      <w:ind w:left="0" w:firstLine="0"/>
      <w:jc w:val="center"/>
      <w:textAlignment w:val="baseline"/>
    </w:pPr>
    <w:rPr>
      <w:rFonts w:ascii="Times New Roman" w:hAnsi="Times New Roman"/>
      <w:sz w:val="16"/>
      <w:szCs w:val="20"/>
    </w:rPr>
  </w:style>
  <w:style w:type="paragraph" w:customStyle="1" w:styleId="rad1note">
    <w:name w:val="rad1.note"/>
    <w:basedOn w:val="Normal"/>
    <w:rsid w:val="009C13A9"/>
    <w:pPr>
      <w:tabs>
        <w:tab w:val="left" w:pos="284"/>
        <w:tab w:val="left" w:pos="454"/>
        <w:tab w:val="left" w:pos="709"/>
      </w:tabs>
      <w:overflowPunct w:val="0"/>
      <w:adjustRightInd w:val="0"/>
      <w:spacing w:line="240" w:lineRule="exact"/>
      <w:ind w:left="284" w:hanging="284"/>
      <w:textAlignment w:val="baseline"/>
    </w:pPr>
    <w:rPr>
      <w:rFonts w:ascii="Times New Roman" w:hAnsi="Times New Roman"/>
      <w:sz w:val="24"/>
      <w:szCs w:val="20"/>
    </w:rPr>
  </w:style>
  <w:style w:type="paragraph" w:customStyle="1" w:styleId="Hoofdgedeelte">
    <w:name w:val="Hoofdgedeelte"/>
    <w:basedOn w:val="Normal"/>
    <w:rsid w:val="009C13A9"/>
    <w:pPr>
      <w:widowControl w:val="0"/>
      <w:autoSpaceDE/>
      <w:autoSpaceDN/>
      <w:ind w:left="0" w:firstLine="0"/>
      <w:jc w:val="left"/>
    </w:pPr>
    <w:rPr>
      <w:rFonts w:ascii="Times" w:hAnsi="Times"/>
      <w:sz w:val="24"/>
      <w:lang w:val="en-US"/>
    </w:rPr>
  </w:style>
  <w:style w:type="paragraph" w:customStyle="1" w:styleId="CarCar1">
    <w:name w:val="Car Car1"/>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CarCarCar1">
    <w:name w:val="Car Car Car1"/>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CarCarCar1CarCar">
    <w:name w:val="Car Car Car1 Car Car"/>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CarCar2CarCarCar">
    <w:name w:val="Car Car2 Car Car Car"/>
    <w:basedOn w:val="Normal"/>
    <w:rsid w:val="009C13A9"/>
    <w:pPr>
      <w:autoSpaceDE/>
      <w:autoSpaceDN/>
      <w:ind w:left="0" w:firstLine="0"/>
      <w:jc w:val="left"/>
    </w:pPr>
    <w:rPr>
      <w:rFonts w:ascii="Times New Roman" w:hAnsi="Times New Roman"/>
      <w:sz w:val="24"/>
      <w:lang w:val="pl-PL" w:eastAsia="pl-PL"/>
    </w:rPr>
  </w:style>
  <w:style w:type="numbering" w:customStyle="1" w:styleId="Aucuneliste11">
    <w:name w:val="Aucune liste11"/>
    <w:next w:val="NoList"/>
    <w:uiPriority w:val="99"/>
    <w:semiHidden/>
    <w:unhideWhenUsed/>
    <w:rsid w:val="009C13A9"/>
  </w:style>
  <w:style w:type="character" w:customStyle="1" w:styleId="WW8Num1z0">
    <w:name w:val="WW8Num1z0"/>
    <w:rsid w:val="009C13A9"/>
    <w:rPr>
      <w:rFonts w:cs="Times New Roman"/>
    </w:rPr>
  </w:style>
  <w:style w:type="character" w:customStyle="1" w:styleId="WW8Num2z0">
    <w:name w:val="WW8Num2z0"/>
    <w:rsid w:val="009C13A9"/>
    <w:rPr>
      <w:rFonts w:cs="Times New Roman"/>
    </w:rPr>
  </w:style>
  <w:style w:type="character" w:customStyle="1" w:styleId="Absatz-Standardschriftart1">
    <w:name w:val="Absatz-Standardschriftart1"/>
    <w:rsid w:val="009C13A9"/>
  </w:style>
  <w:style w:type="character" w:customStyle="1" w:styleId="WW-Absatz-Standardschriftart">
    <w:name w:val="WW-Absatz-Standardschriftart"/>
    <w:rsid w:val="009C13A9"/>
  </w:style>
  <w:style w:type="character" w:customStyle="1" w:styleId="WW-Absatz-Standardschriftart1">
    <w:name w:val="WW-Absatz-Standardschriftart1"/>
    <w:rsid w:val="009C13A9"/>
  </w:style>
  <w:style w:type="character" w:customStyle="1" w:styleId="WW-Absatz-Standardschriftart11">
    <w:name w:val="WW-Absatz-Standardschriftart11"/>
    <w:rsid w:val="009C13A9"/>
  </w:style>
  <w:style w:type="character" w:customStyle="1" w:styleId="WW-Absatz-Standardschriftart111">
    <w:name w:val="WW-Absatz-Standardschriftart111"/>
    <w:rsid w:val="009C13A9"/>
  </w:style>
  <w:style w:type="character" w:customStyle="1" w:styleId="WW-Absatz-Standardschriftart1111">
    <w:name w:val="WW-Absatz-Standardschriftart1111"/>
    <w:rsid w:val="009C13A9"/>
  </w:style>
  <w:style w:type="character" w:customStyle="1" w:styleId="WW-Absatz-Standardschriftart11111">
    <w:name w:val="WW-Absatz-Standardschriftart11111"/>
    <w:rsid w:val="009C13A9"/>
  </w:style>
  <w:style w:type="character" w:customStyle="1" w:styleId="WW-Absatz-Standardschriftart111111">
    <w:name w:val="WW-Absatz-Standardschriftart111111"/>
    <w:rsid w:val="009C13A9"/>
  </w:style>
  <w:style w:type="character" w:customStyle="1" w:styleId="WW-Absatz-Standardschriftart1111111">
    <w:name w:val="WW-Absatz-Standardschriftart1111111"/>
    <w:rsid w:val="009C13A9"/>
  </w:style>
  <w:style w:type="character" w:customStyle="1" w:styleId="WW-Absatz-Standardschriftart11111111">
    <w:name w:val="WW-Absatz-Standardschriftart11111111"/>
    <w:rsid w:val="009C13A9"/>
  </w:style>
  <w:style w:type="character" w:customStyle="1" w:styleId="WW-Absatz-Standardschriftart111111111">
    <w:name w:val="WW-Absatz-Standardschriftart111111111"/>
    <w:rsid w:val="009C13A9"/>
  </w:style>
  <w:style w:type="character" w:customStyle="1" w:styleId="WW8Num3z0">
    <w:name w:val="WW8Num3z0"/>
    <w:rsid w:val="009C13A9"/>
    <w:rPr>
      <w:rFonts w:cs="Times New Roman"/>
    </w:rPr>
  </w:style>
  <w:style w:type="character" w:customStyle="1" w:styleId="WW8Num4z0">
    <w:name w:val="WW8Num4z0"/>
    <w:rsid w:val="009C13A9"/>
    <w:rPr>
      <w:rFonts w:ascii="Times New Roman" w:eastAsia="Times New Roman" w:hAnsi="Times New Roman"/>
    </w:rPr>
  </w:style>
  <w:style w:type="character" w:customStyle="1" w:styleId="WW8Num4z1">
    <w:name w:val="WW8Num4z1"/>
    <w:rsid w:val="009C13A9"/>
    <w:rPr>
      <w:rFonts w:ascii="Courier New" w:hAnsi="Courier New"/>
    </w:rPr>
  </w:style>
  <w:style w:type="character" w:customStyle="1" w:styleId="WW8Num4z2">
    <w:name w:val="WW8Num4z2"/>
    <w:rsid w:val="009C13A9"/>
    <w:rPr>
      <w:rFonts w:ascii="Wingdings" w:hAnsi="Wingdings"/>
    </w:rPr>
  </w:style>
  <w:style w:type="character" w:customStyle="1" w:styleId="WW8Num4z3">
    <w:name w:val="WW8Num4z3"/>
    <w:rsid w:val="009C13A9"/>
    <w:rPr>
      <w:rFonts w:ascii="Symbol" w:hAnsi="Symbol"/>
    </w:rPr>
  </w:style>
  <w:style w:type="character" w:customStyle="1" w:styleId="WW8Num5z0">
    <w:name w:val="WW8Num5z0"/>
    <w:rsid w:val="009C13A9"/>
    <w:rPr>
      <w:rFonts w:ascii="Arial" w:eastAsia="Times New Roman" w:hAnsi="Arial"/>
    </w:rPr>
  </w:style>
  <w:style w:type="character" w:customStyle="1" w:styleId="WW8Num5z1">
    <w:name w:val="WW8Num5z1"/>
    <w:rsid w:val="009C13A9"/>
    <w:rPr>
      <w:rFonts w:ascii="Courier New" w:hAnsi="Courier New"/>
    </w:rPr>
  </w:style>
  <w:style w:type="character" w:customStyle="1" w:styleId="WW8Num5z2">
    <w:name w:val="WW8Num5z2"/>
    <w:rsid w:val="009C13A9"/>
    <w:rPr>
      <w:rFonts w:ascii="Wingdings" w:hAnsi="Wingdings"/>
    </w:rPr>
  </w:style>
  <w:style w:type="character" w:customStyle="1" w:styleId="WW8Num5z3">
    <w:name w:val="WW8Num5z3"/>
    <w:rsid w:val="009C13A9"/>
    <w:rPr>
      <w:rFonts w:ascii="Symbol" w:hAnsi="Symbol"/>
    </w:rPr>
  </w:style>
  <w:style w:type="character" w:customStyle="1" w:styleId="Policepardfaut1">
    <w:name w:val="Police par défaut1"/>
    <w:rsid w:val="009C13A9"/>
  </w:style>
  <w:style w:type="character" w:customStyle="1" w:styleId="Caractresdenotedebasdepage">
    <w:name w:val="Caractères de note de bas de page"/>
    <w:rsid w:val="009C13A9"/>
    <w:rPr>
      <w:rFonts w:cs="Times New Roman"/>
      <w:vertAlign w:val="superscript"/>
    </w:rPr>
  </w:style>
  <w:style w:type="character" w:customStyle="1" w:styleId="Marquedecommentaire1">
    <w:name w:val="Marque de commentaire1"/>
    <w:rsid w:val="009C13A9"/>
    <w:rPr>
      <w:rFonts w:cs="Times New Roman"/>
      <w:sz w:val="16"/>
      <w:szCs w:val="16"/>
    </w:rPr>
  </w:style>
  <w:style w:type="character" w:customStyle="1" w:styleId="VO-Text-AbsnachNrChar">
    <w:name w:val="VO-Text-Abs nach Nr Char"/>
    <w:rsid w:val="009C13A9"/>
    <w:rPr>
      <w:rFonts w:ascii="Arial" w:hAnsi="Arial" w:cs="Times New Roman"/>
      <w:b/>
      <w:bCs/>
      <w:sz w:val="24"/>
      <w:szCs w:val="24"/>
      <w:lang w:val="de-DE" w:eastAsia="ar-SA" w:bidi="ar-SA"/>
    </w:rPr>
  </w:style>
  <w:style w:type="character" w:customStyle="1" w:styleId="TextkrperCharCarCar">
    <w:name w:val="Textkörper Char Car Car"/>
    <w:rsid w:val="009C13A9"/>
    <w:rPr>
      <w:rFonts w:ascii="Arial" w:hAnsi="Arial" w:cs="Times New Roman"/>
      <w:b/>
      <w:sz w:val="24"/>
      <w:szCs w:val="24"/>
      <w:lang w:val="de-DE" w:eastAsia="ar-SA" w:bidi="ar-SA"/>
    </w:rPr>
  </w:style>
  <w:style w:type="character" w:styleId="Emphasis">
    <w:name w:val="Emphasis"/>
    <w:qFormat/>
    <w:rsid w:val="009C13A9"/>
    <w:rPr>
      <w:rFonts w:cs="Times New Roman"/>
      <w:i/>
      <w:iCs/>
    </w:rPr>
  </w:style>
  <w:style w:type="character" w:customStyle="1" w:styleId="error">
    <w:name w:val="error"/>
    <w:rsid w:val="009C13A9"/>
    <w:rPr>
      <w:rFonts w:cs="Times New Roman"/>
    </w:rPr>
  </w:style>
  <w:style w:type="character" w:customStyle="1" w:styleId="longtext1">
    <w:name w:val="long_text1"/>
    <w:rsid w:val="009C13A9"/>
    <w:rPr>
      <w:rFonts w:cs="Times New Roman"/>
      <w:sz w:val="20"/>
      <w:szCs w:val="20"/>
    </w:rPr>
  </w:style>
  <w:style w:type="character" w:customStyle="1" w:styleId="CarCar">
    <w:name w:val="Car Car"/>
    <w:rsid w:val="009C13A9"/>
    <w:rPr>
      <w:rFonts w:ascii="Consolas" w:hAnsi="Consolas" w:cs="Times New Roman"/>
      <w:sz w:val="21"/>
      <w:szCs w:val="21"/>
    </w:rPr>
  </w:style>
  <w:style w:type="character" w:customStyle="1" w:styleId="WW-Caractresdenotedebasdepage">
    <w:name w:val="WW-Caractères de note de bas de page"/>
    <w:rsid w:val="009C13A9"/>
    <w:rPr>
      <w:rFonts w:cs="Times New Roman"/>
      <w:vertAlign w:val="superscript"/>
    </w:rPr>
  </w:style>
  <w:style w:type="character" w:customStyle="1" w:styleId="Caractresdenotedefin">
    <w:name w:val="Caractères de note de fin"/>
    <w:rsid w:val="009C13A9"/>
    <w:rPr>
      <w:vertAlign w:val="superscript"/>
    </w:rPr>
  </w:style>
  <w:style w:type="character" w:customStyle="1" w:styleId="WW-Caractresdenotedefin">
    <w:name w:val="WW-Caractères de note de fin"/>
    <w:rsid w:val="009C13A9"/>
  </w:style>
  <w:style w:type="character" w:styleId="EndnoteReference">
    <w:name w:val="endnote reference"/>
    <w:rsid w:val="009C13A9"/>
    <w:rPr>
      <w:vertAlign w:val="superscript"/>
    </w:rPr>
  </w:style>
  <w:style w:type="character" w:customStyle="1" w:styleId="Caractresdenumrotation">
    <w:name w:val="Caractères de numérotation"/>
    <w:rsid w:val="009C13A9"/>
  </w:style>
  <w:style w:type="paragraph" w:customStyle="1" w:styleId="Titre1">
    <w:name w:val="Titre1"/>
    <w:basedOn w:val="Normal"/>
    <w:next w:val="BodyText"/>
    <w:rsid w:val="009C13A9"/>
    <w:pPr>
      <w:keepNext/>
      <w:suppressAutoHyphens/>
      <w:autoSpaceDE/>
      <w:autoSpaceDN/>
      <w:spacing w:before="240" w:after="120"/>
      <w:ind w:left="0" w:firstLine="0"/>
      <w:jc w:val="left"/>
    </w:pPr>
    <w:rPr>
      <w:rFonts w:ascii="Liberation Sans" w:eastAsia="Lucida Sans Unicode" w:hAnsi="Liberation Sans" w:cs="Tahoma"/>
      <w:sz w:val="28"/>
      <w:szCs w:val="28"/>
      <w:lang w:val="nl-NL" w:eastAsia="ar-SA"/>
    </w:rPr>
  </w:style>
  <w:style w:type="paragraph" w:styleId="List">
    <w:name w:val="List"/>
    <w:basedOn w:val="BodyText"/>
    <w:rsid w:val="009C13A9"/>
    <w:pPr>
      <w:keepNext w:val="0"/>
      <w:tabs>
        <w:tab w:val="clear" w:pos="709"/>
      </w:tabs>
      <w:suppressAutoHyphens/>
      <w:ind w:left="0" w:firstLine="0"/>
    </w:pPr>
    <w:rPr>
      <w:rFonts w:ascii="Liberation Sans" w:hAnsi="Liberation Sans" w:cs="Tahoma"/>
      <w:b/>
      <w:sz w:val="24"/>
      <w:lang w:val="de-DE" w:eastAsia="ar-SA"/>
    </w:rPr>
  </w:style>
  <w:style w:type="paragraph" w:customStyle="1" w:styleId="Lgende1">
    <w:name w:val="Légende1"/>
    <w:basedOn w:val="Normal"/>
    <w:next w:val="Normal"/>
    <w:rsid w:val="009C13A9"/>
    <w:pPr>
      <w:suppressAutoHyphens/>
      <w:autoSpaceDE/>
      <w:autoSpaceDN/>
      <w:spacing w:before="120" w:after="120"/>
      <w:ind w:left="0" w:firstLine="0"/>
      <w:jc w:val="left"/>
    </w:pPr>
    <w:rPr>
      <w:rFonts w:ascii="Times New Roman" w:hAnsi="Times New Roman"/>
      <w:b/>
      <w:bCs/>
      <w:szCs w:val="20"/>
      <w:lang w:val="de-DE" w:eastAsia="ar-SA"/>
    </w:rPr>
  </w:style>
  <w:style w:type="paragraph" w:customStyle="1" w:styleId="Index">
    <w:name w:val="Index"/>
    <w:basedOn w:val="Normal"/>
    <w:rsid w:val="009C13A9"/>
    <w:pPr>
      <w:suppressLineNumbers/>
      <w:suppressAutoHyphens/>
      <w:autoSpaceDE/>
      <w:autoSpaceDN/>
      <w:ind w:left="0" w:firstLine="0"/>
      <w:jc w:val="left"/>
    </w:pPr>
    <w:rPr>
      <w:rFonts w:ascii="Liberation Sans" w:hAnsi="Liberation Sans" w:cs="Tahoma"/>
      <w:sz w:val="24"/>
      <w:lang w:val="nl-NL" w:eastAsia="ar-SA"/>
    </w:rPr>
  </w:style>
  <w:style w:type="paragraph" w:customStyle="1" w:styleId="CarCar1CharCarCarZchnZchnChar">
    <w:name w:val="Car Car1 Char Car Car Zchn Zchn Char"/>
    <w:basedOn w:val="Normal"/>
    <w:rsid w:val="009C13A9"/>
    <w:pPr>
      <w:suppressAutoHyphens/>
      <w:autoSpaceDE/>
      <w:autoSpaceDN/>
      <w:ind w:left="0" w:firstLine="0"/>
      <w:jc w:val="left"/>
    </w:pPr>
    <w:rPr>
      <w:rFonts w:ascii="Times New Roman" w:hAnsi="Times New Roman"/>
      <w:sz w:val="24"/>
      <w:lang w:val="pl-PL" w:eastAsia="ar-SA"/>
    </w:rPr>
  </w:style>
  <w:style w:type="paragraph" w:customStyle="1" w:styleId="Explorateurdedocument1">
    <w:name w:val="Explorateur de document1"/>
    <w:basedOn w:val="Normal"/>
    <w:rsid w:val="009C13A9"/>
    <w:pPr>
      <w:shd w:val="clear" w:color="auto" w:fill="000080"/>
      <w:suppressAutoHyphens/>
      <w:autoSpaceDE/>
      <w:autoSpaceDN/>
      <w:ind w:left="0" w:firstLine="0"/>
      <w:jc w:val="left"/>
    </w:pPr>
    <w:rPr>
      <w:rFonts w:ascii="Times New Roman" w:hAnsi="Times New Roman"/>
      <w:szCs w:val="20"/>
      <w:lang w:val="nl-NL" w:eastAsia="ar-SA"/>
    </w:rPr>
  </w:style>
  <w:style w:type="paragraph" w:customStyle="1" w:styleId="Anlage">
    <w:name w:val="Anlage"/>
    <w:basedOn w:val="Normal"/>
    <w:rsid w:val="009C13A9"/>
    <w:pPr>
      <w:suppressAutoHyphens/>
      <w:autoSpaceDE/>
      <w:autoSpaceDN/>
      <w:spacing w:before="240"/>
      <w:ind w:left="1134" w:hanging="1134"/>
      <w:jc w:val="left"/>
    </w:pPr>
    <w:rPr>
      <w:rFonts w:ascii="Times New Roman" w:hAnsi="Times New Roman"/>
      <w:sz w:val="24"/>
      <w:lang w:val="de-DE" w:eastAsia="ar-SA"/>
    </w:rPr>
  </w:style>
  <w:style w:type="paragraph" w:customStyle="1" w:styleId="Betrifft">
    <w:name w:val="Betrifft"/>
    <w:basedOn w:val="Normal"/>
    <w:rsid w:val="009C13A9"/>
    <w:pPr>
      <w:suppressAutoHyphens/>
      <w:autoSpaceDE/>
      <w:autoSpaceDN/>
      <w:spacing w:before="480"/>
      <w:ind w:left="0" w:firstLine="0"/>
      <w:jc w:val="left"/>
    </w:pPr>
    <w:rPr>
      <w:rFonts w:ascii="Times New Roman" w:hAnsi="Times New Roman"/>
      <w:sz w:val="24"/>
      <w:lang w:val="de-DE" w:eastAsia="ar-SA"/>
    </w:rPr>
  </w:style>
  <w:style w:type="paragraph" w:customStyle="1" w:styleId="Bezug">
    <w:name w:val="Bezug"/>
    <w:basedOn w:val="Normal"/>
    <w:rsid w:val="009C13A9"/>
    <w:pPr>
      <w:suppressAutoHyphens/>
      <w:autoSpaceDE/>
      <w:autoSpaceDN/>
      <w:spacing w:before="240"/>
      <w:ind w:left="0" w:firstLine="0"/>
      <w:jc w:val="left"/>
    </w:pPr>
    <w:rPr>
      <w:rFonts w:ascii="Times New Roman" w:hAnsi="Times New Roman"/>
      <w:sz w:val="24"/>
      <w:lang w:val="de-DE" w:eastAsia="ar-SA"/>
    </w:rPr>
  </w:style>
  <w:style w:type="paragraph" w:customStyle="1" w:styleId="Hier">
    <w:name w:val="Hier"/>
    <w:basedOn w:val="Normal"/>
    <w:rsid w:val="009C13A9"/>
    <w:pPr>
      <w:tabs>
        <w:tab w:val="left" w:pos="284"/>
      </w:tabs>
      <w:suppressAutoHyphens/>
      <w:autoSpaceDE/>
      <w:autoSpaceDN/>
      <w:ind w:left="284" w:hanging="284"/>
      <w:jc w:val="left"/>
    </w:pPr>
    <w:rPr>
      <w:rFonts w:ascii="Times New Roman" w:hAnsi="Times New Roman"/>
      <w:sz w:val="24"/>
      <w:lang w:val="de-DE" w:eastAsia="ar-SA"/>
    </w:rPr>
  </w:style>
  <w:style w:type="paragraph" w:customStyle="1" w:styleId="yyx">
    <w:name w:val="yyx"/>
    <w:basedOn w:val="Normal"/>
    <w:rsid w:val="009C13A9"/>
    <w:pPr>
      <w:suppressAutoHyphens/>
      <w:autoSpaceDE/>
      <w:autoSpaceDN/>
      <w:spacing w:line="360" w:lineRule="auto"/>
      <w:ind w:left="0" w:firstLine="0"/>
      <w:jc w:val="left"/>
    </w:pPr>
    <w:rPr>
      <w:rFonts w:ascii="Times New Roman" w:hAnsi="Times New Roman"/>
      <w:b/>
      <w:sz w:val="24"/>
      <w:lang w:val="de-DE" w:eastAsia="ar-SA"/>
    </w:rPr>
  </w:style>
  <w:style w:type="paragraph" w:customStyle="1" w:styleId="Nverborgen">
    <w:name w:val="Nverborgen"/>
    <w:basedOn w:val="Normal"/>
    <w:next w:val="Normal"/>
    <w:rsid w:val="009C13A9"/>
    <w:pPr>
      <w:suppressAutoHyphens/>
      <w:autoSpaceDE/>
      <w:autoSpaceDN/>
      <w:spacing w:line="360" w:lineRule="auto"/>
      <w:ind w:left="0" w:hanging="567"/>
      <w:jc w:val="left"/>
    </w:pPr>
    <w:rPr>
      <w:rFonts w:ascii="Times New Roman" w:hAnsi="Times New Roman"/>
      <w:sz w:val="24"/>
      <w:lang w:val="de-DE" w:eastAsia="ar-SA"/>
    </w:rPr>
  </w:style>
  <w:style w:type="paragraph" w:customStyle="1" w:styleId="Verborgen">
    <w:name w:val="Verborgen"/>
    <w:basedOn w:val="Normal"/>
    <w:next w:val="Normal"/>
    <w:rsid w:val="009C13A9"/>
    <w:pPr>
      <w:suppressAutoHyphens/>
      <w:autoSpaceDE/>
      <w:autoSpaceDN/>
      <w:spacing w:after="360" w:line="360" w:lineRule="auto"/>
      <w:ind w:left="0" w:hanging="567"/>
      <w:jc w:val="left"/>
    </w:pPr>
    <w:rPr>
      <w:rFonts w:ascii="Times New Roman" w:hAnsi="Times New Roman"/>
      <w:vanish/>
      <w:color w:val="0000FF"/>
      <w:sz w:val="24"/>
      <w:lang w:val="de-DE" w:eastAsia="ar-SA"/>
    </w:rPr>
  </w:style>
  <w:style w:type="paragraph" w:customStyle="1" w:styleId="Salutations1">
    <w:name w:val="Salutations1"/>
    <w:basedOn w:val="Normal"/>
    <w:next w:val="Normal"/>
    <w:rsid w:val="009C13A9"/>
    <w:pPr>
      <w:suppressAutoHyphens/>
      <w:autoSpaceDE/>
      <w:autoSpaceDN/>
      <w:spacing w:before="720" w:line="360" w:lineRule="auto"/>
      <w:ind w:left="0" w:firstLine="0"/>
      <w:jc w:val="left"/>
    </w:pPr>
    <w:rPr>
      <w:rFonts w:ascii="Times New Roman" w:hAnsi="Times New Roman"/>
      <w:sz w:val="24"/>
      <w:lang w:val="de-DE" w:eastAsia="ar-SA"/>
    </w:rPr>
  </w:style>
  <w:style w:type="paragraph" w:customStyle="1" w:styleId="c4">
    <w:name w:val="c4"/>
    <w:basedOn w:val="Normal"/>
    <w:rsid w:val="009C13A9"/>
    <w:pPr>
      <w:suppressAutoHyphens/>
      <w:autoSpaceDE/>
      <w:autoSpaceDN/>
      <w:spacing w:line="240" w:lineRule="atLeast"/>
      <w:ind w:left="0" w:firstLine="0"/>
      <w:jc w:val="center"/>
    </w:pPr>
    <w:rPr>
      <w:rFonts w:ascii="Times New Roman" w:hAnsi="Times New Roman"/>
      <w:sz w:val="24"/>
      <w:szCs w:val="20"/>
      <w:lang w:val="de-DE" w:eastAsia="ar-SA"/>
    </w:rPr>
  </w:style>
  <w:style w:type="paragraph" w:customStyle="1" w:styleId="p4">
    <w:name w:val="p4"/>
    <w:basedOn w:val="Normal"/>
    <w:rsid w:val="009C13A9"/>
    <w:pPr>
      <w:tabs>
        <w:tab w:val="left" w:pos="720"/>
      </w:tabs>
      <w:suppressAutoHyphens/>
      <w:autoSpaceDE/>
      <w:autoSpaceDN/>
      <w:spacing w:line="220" w:lineRule="atLeast"/>
      <w:ind w:left="0" w:firstLine="0"/>
    </w:pPr>
    <w:rPr>
      <w:rFonts w:ascii="Times New Roman" w:hAnsi="Times New Roman"/>
      <w:sz w:val="24"/>
      <w:szCs w:val="20"/>
      <w:lang w:val="de-DE" w:eastAsia="ar-SA"/>
    </w:rPr>
  </w:style>
  <w:style w:type="paragraph" w:customStyle="1" w:styleId="c2">
    <w:name w:val="c2"/>
    <w:basedOn w:val="Normal"/>
    <w:rsid w:val="009C13A9"/>
    <w:pPr>
      <w:suppressAutoHyphens/>
      <w:autoSpaceDE/>
      <w:autoSpaceDN/>
      <w:spacing w:line="240" w:lineRule="atLeast"/>
      <w:ind w:left="0" w:firstLine="0"/>
      <w:jc w:val="center"/>
    </w:pPr>
    <w:rPr>
      <w:rFonts w:ascii="Times New Roman" w:hAnsi="Times New Roman"/>
      <w:sz w:val="24"/>
      <w:szCs w:val="20"/>
      <w:lang w:val="de-DE" w:eastAsia="ar-SA"/>
    </w:rPr>
  </w:style>
  <w:style w:type="paragraph" w:customStyle="1" w:styleId="p9">
    <w:name w:val="p9"/>
    <w:basedOn w:val="Normal"/>
    <w:rsid w:val="009C13A9"/>
    <w:pPr>
      <w:tabs>
        <w:tab w:val="left" w:pos="1060"/>
      </w:tabs>
      <w:suppressAutoHyphens/>
      <w:autoSpaceDE/>
      <w:autoSpaceDN/>
      <w:spacing w:line="240" w:lineRule="atLeast"/>
      <w:ind w:left="1440" w:firstLine="1008"/>
      <w:jc w:val="left"/>
    </w:pPr>
    <w:rPr>
      <w:rFonts w:ascii="Times New Roman" w:hAnsi="Times New Roman"/>
      <w:sz w:val="24"/>
      <w:szCs w:val="20"/>
      <w:lang w:val="de-DE" w:eastAsia="ar-SA"/>
    </w:rPr>
  </w:style>
  <w:style w:type="paragraph" w:customStyle="1" w:styleId="p5">
    <w:name w:val="p5"/>
    <w:basedOn w:val="Normal"/>
    <w:rsid w:val="009C13A9"/>
    <w:pPr>
      <w:tabs>
        <w:tab w:val="left" w:pos="720"/>
      </w:tabs>
      <w:suppressAutoHyphens/>
      <w:autoSpaceDE/>
      <w:autoSpaceDN/>
      <w:spacing w:line="240" w:lineRule="atLeast"/>
      <w:ind w:left="0" w:firstLine="0"/>
      <w:jc w:val="left"/>
    </w:pPr>
    <w:rPr>
      <w:rFonts w:ascii="Times New Roman" w:hAnsi="Times New Roman"/>
      <w:sz w:val="24"/>
      <w:szCs w:val="20"/>
      <w:lang w:val="de-DE" w:eastAsia="ar-SA"/>
    </w:rPr>
  </w:style>
  <w:style w:type="paragraph" w:customStyle="1" w:styleId="p10">
    <w:name w:val="p10"/>
    <w:basedOn w:val="Normal"/>
    <w:rsid w:val="009C13A9"/>
    <w:pPr>
      <w:tabs>
        <w:tab w:val="left" w:pos="240"/>
        <w:tab w:val="left" w:pos="500"/>
      </w:tabs>
      <w:suppressAutoHyphens/>
      <w:autoSpaceDE/>
      <w:autoSpaceDN/>
      <w:spacing w:line="240" w:lineRule="atLeast"/>
      <w:ind w:left="1440" w:firstLine="288"/>
    </w:pPr>
    <w:rPr>
      <w:rFonts w:ascii="Times New Roman" w:hAnsi="Times New Roman"/>
      <w:sz w:val="24"/>
      <w:szCs w:val="20"/>
      <w:lang w:val="de-DE" w:eastAsia="ar-SA"/>
    </w:rPr>
  </w:style>
  <w:style w:type="paragraph" w:customStyle="1" w:styleId="p11">
    <w:name w:val="p11"/>
    <w:basedOn w:val="Normal"/>
    <w:rsid w:val="009C13A9"/>
    <w:pPr>
      <w:tabs>
        <w:tab w:val="left" w:pos="720"/>
      </w:tabs>
      <w:suppressAutoHyphens/>
      <w:autoSpaceDE/>
      <w:autoSpaceDN/>
      <w:spacing w:line="220" w:lineRule="atLeast"/>
      <w:ind w:left="0" w:firstLine="0"/>
    </w:pPr>
    <w:rPr>
      <w:rFonts w:ascii="Times New Roman" w:hAnsi="Times New Roman"/>
      <w:sz w:val="24"/>
      <w:szCs w:val="20"/>
      <w:lang w:val="de-DE" w:eastAsia="ar-SA"/>
    </w:rPr>
  </w:style>
  <w:style w:type="paragraph" w:customStyle="1" w:styleId="p12">
    <w:name w:val="p12"/>
    <w:basedOn w:val="Normal"/>
    <w:rsid w:val="009C13A9"/>
    <w:pPr>
      <w:tabs>
        <w:tab w:val="left" w:pos="720"/>
      </w:tabs>
      <w:suppressAutoHyphens/>
      <w:autoSpaceDE/>
      <w:autoSpaceDN/>
      <w:spacing w:line="240" w:lineRule="atLeast"/>
      <w:ind w:left="0" w:firstLine="0"/>
      <w:jc w:val="left"/>
    </w:pPr>
    <w:rPr>
      <w:rFonts w:ascii="Times New Roman" w:hAnsi="Times New Roman"/>
      <w:sz w:val="24"/>
      <w:szCs w:val="20"/>
      <w:lang w:val="de-DE" w:eastAsia="ar-SA"/>
    </w:rPr>
  </w:style>
  <w:style w:type="paragraph" w:customStyle="1" w:styleId="p14">
    <w:name w:val="p14"/>
    <w:basedOn w:val="Normal"/>
    <w:rsid w:val="009C13A9"/>
    <w:pPr>
      <w:tabs>
        <w:tab w:val="left" w:pos="260"/>
        <w:tab w:val="left" w:pos="540"/>
      </w:tabs>
      <w:suppressAutoHyphens/>
      <w:autoSpaceDE/>
      <w:autoSpaceDN/>
      <w:spacing w:line="220" w:lineRule="atLeast"/>
      <w:ind w:left="864" w:hanging="576"/>
      <w:jc w:val="left"/>
    </w:pPr>
    <w:rPr>
      <w:rFonts w:ascii="Times New Roman" w:hAnsi="Times New Roman"/>
      <w:sz w:val="24"/>
      <w:szCs w:val="20"/>
      <w:lang w:val="de-DE" w:eastAsia="ar-SA"/>
    </w:rPr>
  </w:style>
  <w:style w:type="paragraph" w:customStyle="1" w:styleId="p15">
    <w:name w:val="p15"/>
    <w:basedOn w:val="Normal"/>
    <w:rsid w:val="009C13A9"/>
    <w:pPr>
      <w:tabs>
        <w:tab w:val="left" w:pos="260"/>
      </w:tabs>
      <w:suppressAutoHyphens/>
      <w:autoSpaceDE/>
      <w:autoSpaceDN/>
      <w:spacing w:line="240" w:lineRule="atLeast"/>
      <w:ind w:left="1152" w:hanging="288"/>
      <w:jc w:val="left"/>
    </w:pPr>
    <w:rPr>
      <w:rFonts w:ascii="Times New Roman" w:hAnsi="Times New Roman"/>
      <w:sz w:val="24"/>
      <w:szCs w:val="20"/>
      <w:lang w:val="de-DE" w:eastAsia="ar-SA"/>
    </w:rPr>
  </w:style>
  <w:style w:type="paragraph" w:customStyle="1" w:styleId="p7">
    <w:name w:val="p7"/>
    <w:basedOn w:val="Normal"/>
    <w:rsid w:val="009C13A9"/>
    <w:pPr>
      <w:tabs>
        <w:tab w:val="left" w:pos="260"/>
      </w:tabs>
      <w:suppressAutoHyphens/>
      <w:autoSpaceDE/>
      <w:autoSpaceDN/>
      <w:spacing w:line="220" w:lineRule="atLeast"/>
      <w:ind w:left="1152" w:hanging="288"/>
    </w:pPr>
    <w:rPr>
      <w:rFonts w:ascii="Times New Roman" w:hAnsi="Times New Roman"/>
      <w:sz w:val="24"/>
      <w:szCs w:val="20"/>
      <w:lang w:val="de-DE" w:eastAsia="ar-SA"/>
    </w:rPr>
  </w:style>
  <w:style w:type="paragraph" w:customStyle="1" w:styleId="p16">
    <w:name w:val="p16"/>
    <w:basedOn w:val="Normal"/>
    <w:rsid w:val="009C13A9"/>
    <w:pPr>
      <w:tabs>
        <w:tab w:val="left" w:pos="520"/>
      </w:tabs>
      <w:suppressAutoHyphens/>
      <w:autoSpaceDE/>
      <w:autoSpaceDN/>
      <w:spacing w:line="240" w:lineRule="atLeast"/>
      <w:ind w:left="1440" w:firstLine="576"/>
      <w:jc w:val="left"/>
    </w:pPr>
    <w:rPr>
      <w:rFonts w:ascii="Times New Roman" w:hAnsi="Times New Roman"/>
      <w:sz w:val="24"/>
      <w:szCs w:val="20"/>
      <w:lang w:val="de-DE" w:eastAsia="ar-SA"/>
    </w:rPr>
  </w:style>
  <w:style w:type="paragraph" w:customStyle="1" w:styleId="c18">
    <w:name w:val="c18"/>
    <w:basedOn w:val="Normal"/>
    <w:rsid w:val="009C13A9"/>
    <w:pPr>
      <w:suppressAutoHyphens/>
      <w:autoSpaceDE/>
      <w:autoSpaceDN/>
      <w:spacing w:line="240" w:lineRule="atLeast"/>
      <w:ind w:left="0" w:firstLine="0"/>
      <w:jc w:val="center"/>
    </w:pPr>
    <w:rPr>
      <w:rFonts w:ascii="Times New Roman" w:hAnsi="Times New Roman"/>
      <w:sz w:val="24"/>
      <w:szCs w:val="20"/>
      <w:lang w:val="de-DE" w:eastAsia="ar-SA"/>
    </w:rPr>
  </w:style>
  <w:style w:type="paragraph" w:customStyle="1" w:styleId="t17">
    <w:name w:val="t17"/>
    <w:basedOn w:val="Normal"/>
    <w:rsid w:val="009C13A9"/>
    <w:pPr>
      <w:suppressAutoHyphens/>
      <w:autoSpaceDE/>
      <w:autoSpaceDN/>
      <w:spacing w:line="240" w:lineRule="atLeast"/>
      <w:ind w:left="0" w:firstLine="0"/>
      <w:jc w:val="left"/>
    </w:pPr>
    <w:rPr>
      <w:rFonts w:ascii="Times New Roman" w:hAnsi="Times New Roman"/>
      <w:sz w:val="24"/>
      <w:szCs w:val="20"/>
      <w:lang w:val="de-DE" w:eastAsia="ar-SA"/>
    </w:rPr>
  </w:style>
  <w:style w:type="paragraph" w:customStyle="1" w:styleId="p19">
    <w:name w:val="p19"/>
    <w:basedOn w:val="Normal"/>
    <w:rsid w:val="009C13A9"/>
    <w:pPr>
      <w:tabs>
        <w:tab w:val="left" w:pos="280"/>
        <w:tab w:val="left" w:pos="520"/>
      </w:tabs>
      <w:suppressAutoHyphens/>
      <w:autoSpaceDE/>
      <w:autoSpaceDN/>
      <w:spacing w:line="220" w:lineRule="atLeast"/>
      <w:ind w:left="1152" w:hanging="288"/>
      <w:jc w:val="left"/>
    </w:pPr>
    <w:rPr>
      <w:rFonts w:ascii="Times New Roman" w:hAnsi="Times New Roman"/>
      <w:sz w:val="24"/>
      <w:szCs w:val="20"/>
      <w:lang w:val="de-DE" w:eastAsia="ar-SA"/>
    </w:rPr>
  </w:style>
  <w:style w:type="paragraph" w:customStyle="1" w:styleId="p21">
    <w:name w:val="p21"/>
    <w:basedOn w:val="Normal"/>
    <w:rsid w:val="009C13A9"/>
    <w:pPr>
      <w:tabs>
        <w:tab w:val="left" w:pos="2480"/>
      </w:tabs>
      <w:suppressAutoHyphens/>
      <w:autoSpaceDE/>
      <w:autoSpaceDN/>
      <w:spacing w:line="240" w:lineRule="atLeast"/>
      <w:ind w:left="1040" w:firstLine="0"/>
    </w:pPr>
    <w:rPr>
      <w:rFonts w:ascii="Times New Roman" w:hAnsi="Times New Roman"/>
      <w:sz w:val="24"/>
      <w:szCs w:val="20"/>
      <w:lang w:val="de-DE" w:eastAsia="ar-SA"/>
    </w:rPr>
  </w:style>
  <w:style w:type="paragraph" w:customStyle="1" w:styleId="p8">
    <w:name w:val="p8"/>
    <w:basedOn w:val="Normal"/>
    <w:rsid w:val="009C13A9"/>
    <w:pPr>
      <w:tabs>
        <w:tab w:val="left" w:pos="520"/>
      </w:tabs>
      <w:suppressAutoHyphens/>
      <w:autoSpaceDE/>
      <w:autoSpaceDN/>
      <w:spacing w:line="220" w:lineRule="atLeast"/>
      <w:ind w:left="864" w:hanging="576"/>
      <w:jc w:val="left"/>
    </w:pPr>
    <w:rPr>
      <w:rFonts w:ascii="Times New Roman" w:hAnsi="Times New Roman"/>
      <w:sz w:val="24"/>
      <w:szCs w:val="20"/>
      <w:lang w:val="de-DE" w:eastAsia="ar-SA"/>
    </w:rPr>
  </w:style>
  <w:style w:type="paragraph" w:customStyle="1" w:styleId="c3">
    <w:name w:val="c3"/>
    <w:basedOn w:val="Normal"/>
    <w:rsid w:val="009C13A9"/>
    <w:pPr>
      <w:suppressAutoHyphens/>
      <w:autoSpaceDE/>
      <w:autoSpaceDN/>
      <w:spacing w:line="240" w:lineRule="atLeast"/>
      <w:ind w:left="0" w:firstLine="0"/>
      <w:jc w:val="center"/>
    </w:pPr>
    <w:rPr>
      <w:rFonts w:ascii="Times New Roman" w:hAnsi="Times New Roman"/>
      <w:sz w:val="24"/>
      <w:szCs w:val="20"/>
      <w:lang w:val="de-DE" w:eastAsia="ar-SA"/>
    </w:rPr>
  </w:style>
  <w:style w:type="paragraph" w:customStyle="1" w:styleId="p13">
    <w:name w:val="p13"/>
    <w:basedOn w:val="Normal"/>
    <w:rsid w:val="009C13A9"/>
    <w:pPr>
      <w:tabs>
        <w:tab w:val="left" w:pos="260"/>
      </w:tabs>
      <w:suppressAutoHyphens/>
      <w:autoSpaceDE/>
      <w:autoSpaceDN/>
      <w:spacing w:line="220" w:lineRule="atLeast"/>
      <w:ind w:left="1180" w:firstLine="0"/>
    </w:pPr>
    <w:rPr>
      <w:rFonts w:ascii="Times New Roman" w:hAnsi="Times New Roman"/>
      <w:sz w:val="24"/>
      <w:szCs w:val="20"/>
      <w:lang w:val="de-DE" w:eastAsia="ar-SA"/>
    </w:rPr>
  </w:style>
  <w:style w:type="paragraph" w:customStyle="1" w:styleId="p20">
    <w:name w:val="p20"/>
    <w:basedOn w:val="Normal"/>
    <w:rsid w:val="009C13A9"/>
    <w:pPr>
      <w:tabs>
        <w:tab w:val="left" w:pos="780"/>
      </w:tabs>
      <w:suppressAutoHyphens/>
      <w:autoSpaceDE/>
      <w:autoSpaceDN/>
      <w:spacing w:line="220" w:lineRule="atLeast"/>
      <w:ind w:left="0" w:firstLine="0"/>
      <w:jc w:val="left"/>
    </w:pPr>
    <w:rPr>
      <w:rFonts w:ascii="Times New Roman" w:hAnsi="Times New Roman"/>
      <w:sz w:val="24"/>
      <w:szCs w:val="20"/>
      <w:lang w:val="de-DE" w:eastAsia="ar-SA"/>
    </w:rPr>
  </w:style>
  <w:style w:type="paragraph" w:customStyle="1" w:styleId="c15">
    <w:name w:val="c15"/>
    <w:basedOn w:val="Normal"/>
    <w:rsid w:val="009C13A9"/>
    <w:pPr>
      <w:suppressAutoHyphens/>
      <w:autoSpaceDE/>
      <w:autoSpaceDN/>
      <w:spacing w:line="240" w:lineRule="atLeast"/>
      <w:ind w:left="0" w:firstLine="0"/>
      <w:jc w:val="center"/>
    </w:pPr>
    <w:rPr>
      <w:rFonts w:ascii="Times New Roman" w:hAnsi="Times New Roman"/>
      <w:sz w:val="24"/>
      <w:szCs w:val="20"/>
      <w:lang w:val="de-DE" w:eastAsia="ar-SA"/>
    </w:rPr>
  </w:style>
  <w:style w:type="paragraph" w:customStyle="1" w:styleId="p22">
    <w:name w:val="p22"/>
    <w:basedOn w:val="Normal"/>
    <w:rsid w:val="009C13A9"/>
    <w:pPr>
      <w:tabs>
        <w:tab w:val="left" w:pos="520"/>
        <w:tab w:val="left" w:pos="1060"/>
      </w:tabs>
      <w:suppressAutoHyphens/>
      <w:autoSpaceDE/>
      <w:autoSpaceDN/>
      <w:spacing w:line="220" w:lineRule="atLeast"/>
      <w:ind w:left="432" w:hanging="432"/>
    </w:pPr>
    <w:rPr>
      <w:rFonts w:ascii="Times New Roman" w:hAnsi="Times New Roman"/>
      <w:sz w:val="24"/>
      <w:szCs w:val="20"/>
      <w:lang w:val="de-DE" w:eastAsia="ar-SA"/>
    </w:rPr>
  </w:style>
  <w:style w:type="paragraph" w:customStyle="1" w:styleId="p26">
    <w:name w:val="p26"/>
    <w:basedOn w:val="Normal"/>
    <w:rsid w:val="009C13A9"/>
    <w:pPr>
      <w:tabs>
        <w:tab w:val="left" w:pos="520"/>
      </w:tabs>
      <w:suppressAutoHyphens/>
      <w:autoSpaceDE/>
      <w:autoSpaceDN/>
      <w:spacing w:line="240" w:lineRule="atLeast"/>
      <w:ind w:left="864" w:hanging="576"/>
    </w:pPr>
    <w:rPr>
      <w:rFonts w:ascii="Times New Roman" w:hAnsi="Times New Roman"/>
      <w:sz w:val="24"/>
      <w:szCs w:val="20"/>
      <w:lang w:val="de-DE" w:eastAsia="ar-SA"/>
    </w:rPr>
  </w:style>
  <w:style w:type="paragraph" w:customStyle="1" w:styleId="p31">
    <w:name w:val="p31"/>
    <w:basedOn w:val="Normal"/>
    <w:rsid w:val="009C13A9"/>
    <w:pPr>
      <w:tabs>
        <w:tab w:val="left" w:pos="260"/>
        <w:tab w:val="left" w:pos="540"/>
      </w:tabs>
      <w:suppressAutoHyphens/>
      <w:autoSpaceDE/>
      <w:autoSpaceDN/>
      <w:spacing w:line="220" w:lineRule="atLeast"/>
      <w:ind w:left="1440" w:firstLine="288"/>
    </w:pPr>
    <w:rPr>
      <w:rFonts w:ascii="Times New Roman" w:hAnsi="Times New Roman"/>
      <w:sz w:val="24"/>
      <w:szCs w:val="20"/>
      <w:lang w:val="de-DE" w:eastAsia="ar-SA"/>
    </w:rPr>
  </w:style>
  <w:style w:type="paragraph" w:customStyle="1" w:styleId="p32">
    <w:name w:val="p32"/>
    <w:basedOn w:val="Normal"/>
    <w:rsid w:val="009C13A9"/>
    <w:pPr>
      <w:tabs>
        <w:tab w:val="left" w:pos="280"/>
      </w:tabs>
      <w:suppressAutoHyphens/>
      <w:autoSpaceDE/>
      <w:autoSpaceDN/>
      <w:spacing w:line="220" w:lineRule="atLeast"/>
      <w:ind w:left="1152" w:hanging="288"/>
      <w:jc w:val="left"/>
    </w:pPr>
    <w:rPr>
      <w:rFonts w:ascii="Times New Roman" w:hAnsi="Times New Roman"/>
      <w:sz w:val="24"/>
      <w:szCs w:val="20"/>
      <w:lang w:val="de-DE" w:eastAsia="ar-SA"/>
    </w:rPr>
  </w:style>
  <w:style w:type="paragraph" w:customStyle="1" w:styleId="p33">
    <w:name w:val="p33"/>
    <w:basedOn w:val="Normal"/>
    <w:rsid w:val="009C13A9"/>
    <w:pPr>
      <w:tabs>
        <w:tab w:val="left" w:pos="260"/>
      </w:tabs>
      <w:suppressAutoHyphens/>
      <w:autoSpaceDE/>
      <w:autoSpaceDN/>
      <w:spacing w:line="240" w:lineRule="atLeast"/>
      <w:ind w:left="1440" w:firstLine="288"/>
    </w:pPr>
    <w:rPr>
      <w:rFonts w:ascii="Times New Roman" w:hAnsi="Times New Roman"/>
      <w:sz w:val="24"/>
      <w:szCs w:val="20"/>
      <w:lang w:val="de-DE" w:eastAsia="ar-SA"/>
    </w:rPr>
  </w:style>
  <w:style w:type="paragraph" w:customStyle="1" w:styleId="p36">
    <w:name w:val="p36"/>
    <w:basedOn w:val="Normal"/>
    <w:rsid w:val="009C13A9"/>
    <w:pPr>
      <w:tabs>
        <w:tab w:val="left" w:pos="280"/>
      </w:tabs>
      <w:suppressAutoHyphens/>
      <w:autoSpaceDE/>
      <w:autoSpaceDN/>
      <w:spacing w:line="220" w:lineRule="atLeast"/>
      <w:ind w:left="1152" w:hanging="288"/>
    </w:pPr>
    <w:rPr>
      <w:rFonts w:ascii="Times New Roman" w:hAnsi="Times New Roman"/>
      <w:sz w:val="24"/>
      <w:szCs w:val="20"/>
      <w:lang w:val="de-DE" w:eastAsia="ar-SA"/>
    </w:rPr>
  </w:style>
  <w:style w:type="paragraph" w:customStyle="1" w:styleId="p39">
    <w:name w:val="p39"/>
    <w:basedOn w:val="Normal"/>
    <w:rsid w:val="009C13A9"/>
    <w:pPr>
      <w:tabs>
        <w:tab w:val="left" w:pos="280"/>
      </w:tabs>
      <w:suppressAutoHyphens/>
      <w:autoSpaceDE/>
      <w:autoSpaceDN/>
      <w:spacing w:line="220" w:lineRule="atLeast"/>
      <w:ind w:left="1152" w:hanging="288"/>
    </w:pPr>
    <w:rPr>
      <w:rFonts w:ascii="Times New Roman" w:hAnsi="Times New Roman"/>
      <w:sz w:val="24"/>
      <w:szCs w:val="20"/>
      <w:lang w:val="de-DE" w:eastAsia="ar-SA"/>
    </w:rPr>
  </w:style>
  <w:style w:type="paragraph" w:customStyle="1" w:styleId="c6">
    <w:name w:val="c6"/>
    <w:basedOn w:val="Normal"/>
    <w:rsid w:val="009C13A9"/>
    <w:pPr>
      <w:suppressAutoHyphens/>
      <w:autoSpaceDE/>
      <w:autoSpaceDN/>
      <w:spacing w:line="240" w:lineRule="atLeast"/>
      <w:ind w:left="0" w:firstLine="0"/>
      <w:jc w:val="center"/>
    </w:pPr>
    <w:rPr>
      <w:rFonts w:ascii="Times New Roman" w:hAnsi="Times New Roman"/>
      <w:sz w:val="24"/>
      <w:szCs w:val="20"/>
      <w:lang w:val="de-DE" w:eastAsia="ar-SA"/>
    </w:rPr>
  </w:style>
  <w:style w:type="paragraph" w:customStyle="1" w:styleId="p28">
    <w:name w:val="p28"/>
    <w:basedOn w:val="Normal"/>
    <w:rsid w:val="009C13A9"/>
    <w:pPr>
      <w:tabs>
        <w:tab w:val="left" w:pos="720"/>
      </w:tabs>
      <w:suppressAutoHyphens/>
      <w:autoSpaceDE/>
      <w:autoSpaceDN/>
      <w:spacing w:line="220" w:lineRule="atLeast"/>
      <w:ind w:left="0" w:firstLine="0"/>
    </w:pPr>
    <w:rPr>
      <w:rFonts w:ascii="Times New Roman" w:hAnsi="Times New Roman"/>
      <w:sz w:val="24"/>
      <w:szCs w:val="20"/>
      <w:lang w:val="de-DE" w:eastAsia="ar-SA"/>
    </w:rPr>
  </w:style>
  <w:style w:type="paragraph" w:customStyle="1" w:styleId="c56">
    <w:name w:val="c56"/>
    <w:basedOn w:val="Normal"/>
    <w:rsid w:val="009C13A9"/>
    <w:pPr>
      <w:suppressAutoHyphens/>
      <w:autoSpaceDE/>
      <w:autoSpaceDN/>
      <w:spacing w:line="240" w:lineRule="atLeast"/>
      <w:ind w:left="0" w:firstLine="0"/>
      <w:jc w:val="center"/>
    </w:pPr>
    <w:rPr>
      <w:rFonts w:ascii="Times New Roman" w:hAnsi="Times New Roman"/>
      <w:sz w:val="24"/>
      <w:szCs w:val="20"/>
      <w:lang w:val="de-DE" w:eastAsia="ar-SA"/>
    </w:rPr>
  </w:style>
  <w:style w:type="paragraph" w:customStyle="1" w:styleId="c66">
    <w:name w:val="c66"/>
    <w:basedOn w:val="Normal"/>
    <w:rsid w:val="009C13A9"/>
    <w:pPr>
      <w:suppressAutoHyphens/>
      <w:autoSpaceDE/>
      <w:autoSpaceDN/>
      <w:spacing w:line="240" w:lineRule="atLeast"/>
      <w:ind w:left="0" w:firstLine="0"/>
      <w:jc w:val="center"/>
    </w:pPr>
    <w:rPr>
      <w:rFonts w:ascii="Times New Roman" w:hAnsi="Times New Roman"/>
      <w:sz w:val="24"/>
      <w:szCs w:val="20"/>
      <w:lang w:val="de-DE" w:eastAsia="ar-SA"/>
    </w:rPr>
  </w:style>
  <w:style w:type="paragraph" w:customStyle="1" w:styleId="p52">
    <w:name w:val="p52"/>
    <w:basedOn w:val="Normal"/>
    <w:rsid w:val="009C13A9"/>
    <w:pPr>
      <w:tabs>
        <w:tab w:val="left" w:pos="720"/>
      </w:tabs>
      <w:suppressAutoHyphens/>
      <w:autoSpaceDE/>
      <w:autoSpaceDN/>
      <w:spacing w:line="220" w:lineRule="atLeast"/>
      <w:ind w:left="0" w:firstLine="0"/>
    </w:pPr>
    <w:rPr>
      <w:rFonts w:ascii="Times New Roman" w:hAnsi="Times New Roman"/>
      <w:sz w:val="24"/>
      <w:szCs w:val="20"/>
      <w:lang w:val="de-DE" w:eastAsia="ar-SA"/>
    </w:rPr>
  </w:style>
  <w:style w:type="paragraph" w:customStyle="1" w:styleId="c62">
    <w:name w:val="c62"/>
    <w:basedOn w:val="Normal"/>
    <w:rsid w:val="009C13A9"/>
    <w:pPr>
      <w:suppressAutoHyphens/>
      <w:autoSpaceDE/>
      <w:autoSpaceDN/>
      <w:spacing w:line="240" w:lineRule="atLeast"/>
      <w:ind w:left="0" w:firstLine="0"/>
      <w:jc w:val="center"/>
    </w:pPr>
    <w:rPr>
      <w:rFonts w:ascii="Times New Roman" w:hAnsi="Times New Roman"/>
      <w:sz w:val="24"/>
      <w:szCs w:val="20"/>
      <w:lang w:val="de-DE" w:eastAsia="ar-SA"/>
    </w:rPr>
  </w:style>
  <w:style w:type="paragraph" w:customStyle="1" w:styleId="c84">
    <w:name w:val="c84"/>
    <w:basedOn w:val="Normal"/>
    <w:rsid w:val="009C13A9"/>
    <w:pPr>
      <w:suppressAutoHyphens/>
      <w:autoSpaceDE/>
      <w:autoSpaceDN/>
      <w:spacing w:line="240" w:lineRule="atLeast"/>
      <w:ind w:left="0" w:firstLine="0"/>
      <w:jc w:val="center"/>
    </w:pPr>
    <w:rPr>
      <w:rFonts w:ascii="Times New Roman" w:hAnsi="Times New Roman"/>
      <w:sz w:val="24"/>
      <w:szCs w:val="20"/>
      <w:lang w:val="de-DE" w:eastAsia="ar-SA"/>
    </w:rPr>
  </w:style>
  <w:style w:type="paragraph" w:customStyle="1" w:styleId="p1">
    <w:name w:val="p1"/>
    <w:basedOn w:val="Normal"/>
    <w:rsid w:val="009C13A9"/>
    <w:pPr>
      <w:tabs>
        <w:tab w:val="left" w:pos="280"/>
      </w:tabs>
      <w:suppressAutoHyphens/>
      <w:autoSpaceDE/>
      <w:autoSpaceDN/>
      <w:spacing w:line="220" w:lineRule="atLeast"/>
      <w:ind w:left="1440" w:firstLine="288"/>
    </w:pPr>
    <w:rPr>
      <w:rFonts w:ascii="Times New Roman" w:hAnsi="Times New Roman"/>
      <w:sz w:val="24"/>
      <w:szCs w:val="20"/>
      <w:lang w:val="de-DE" w:eastAsia="ar-SA"/>
    </w:rPr>
  </w:style>
  <w:style w:type="paragraph" w:customStyle="1" w:styleId="p2">
    <w:name w:val="p2"/>
    <w:basedOn w:val="Normal"/>
    <w:rsid w:val="009C13A9"/>
    <w:pPr>
      <w:tabs>
        <w:tab w:val="left" w:pos="1700"/>
      </w:tabs>
      <w:suppressAutoHyphens/>
      <w:autoSpaceDE/>
      <w:autoSpaceDN/>
      <w:spacing w:line="340" w:lineRule="atLeast"/>
      <w:ind w:left="288" w:hanging="1728"/>
    </w:pPr>
    <w:rPr>
      <w:rFonts w:ascii="Times New Roman" w:hAnsi="Times New Roman"/>
      <w:sz w:val="24"/>
      <w:szCs w:val="20"/>
      <w:lang w:val="de-DE" w:eastAsia="ar-SA"/>
    </w:rPr>
  </w:style>
  <w:style w:type="paragraph" w:customStyle="1" w:styleId="VO-Textohne">
    <w:name w:val="VO-Text ohne"/>
    <w:basedOn w:val="Normal"/>
    <w:rsid w:val="009C13A9"/>
    <w:pPr>
      <w:suppressAutoHyphens/>
      <w:autoSpaceDE/>
      <w:autoSpaceDN/>
      <w:spacing w:before="120"/>
      <w:ind w:firstLine="0"/>
    </w:pPr>
    <w:rPr>
      <w:bCs/>
      <w:sz w:val="22"/>
      <w:szCs w:val="20"/>
      <w:lang w:val="de-DE" w:eastAsia="ar-SA"/>
    </w:rPr>
  </w:style>
  <w:style w:type="paragraph" w:customStyle="1" w:styleId="Commentaire2">
    <w:name w:val="Commentaire2"/>
    <w:basedOn w:val="Normal"/>
    <w:rsid w:val="009C13A9"/>
    <w:pPr>
      <w:suppressAutoHyphens/>
      <w:autoSpaceDE/>
      <w:autoSpaceDN/>
      <w:ind w:left="0" w:firstLine="0"/>
      <w:jc w:val="left"/>
    </w:pPr>
    <w:rPr>
      <w:szCs w:val="20"/>
      <w:lang w:val="de-DE" w:eastAsia="ar-SA"/>
    </w:rPr>
  </w:style>
  <w:style w:type="paragraph" w:customStyle="1" w:styleId="VO-Text-AbsnachNr">
    <w:name w:val="VO-Text-Abs nach Nr"/>
    <w:basedOn w:val="Normal"/>
    <w:rsid w:val="009C13A9"/>
    <w:pPr>
      <w:tabs>
        <w:tab w:val="left" w:pos="992"/>
        <w:tab w:val="left" w:pos="1418"/>
      </w:tabs>
      <w:suppressAutoHyphens/>
      <w:autoSpaceDE/>
      <w:autoSpaceDN/>
      <w:spacing w:before="120"/>
      <w:ind w:left="992" w:hanging="567"/>
    </w:pPr>
    <w:rPr>
      <w:b/>
      <w:bCs/>
      <w:sz w:val="22"/>
      <w:lang w:val="de-DE" w:eastAsia="ar-SA"/>
    </w:rPr>
  </w:style>
  <w:style w:type="paragraph" w:customStyle="1" w:styleId="VO-TextEinzug">
    <w:name w:val="VO-Text Einzug"/>
    <w:basedOn w:val="VO-Text-AbsnachNr"/>
    <w:rsid w:val="009C13A9"/>
    <w:pPr>
      <w:ind w:firstLine="0"/>
    </w:pPr>
  </w:style>
  <w:style w:type="paragraph" w:customStyle="1" w:styleId="TNR1Tab">
    <w:name w:val="TNR1Tab"/>
    <w:basedOn w:val="TNR1"/>
    <w:rsid w:val="009C13A9"/>
    <w:pPr>
      <w:widowControl w:val="0"/>
      <w:tabs>
        <w:tab w:val="clear" w:pos="907"/>
        <w:tab w:val="left" w:pos="1021"/>
      </w:tabs>
      <w:suppressAutoHyphens/>
      <w:overflowPunct/>
      <w:autoSpaceDE/>
      <w:autoSpaceDN/>
      <w:adjustRightInd/>
      <w:spacing w:line="240" w:lineRule="exact"/>
      <w:ind w:left="284" w:right="57"/>
      <w:textAlignment w:val="auto"/>
    </w:pPr>
    <w:rPr>
      <w:sz w:val="20"/>
      <w:lang w:val="de-DE" w:eastAsia="ar-SA"/>
    </w:rPr>
  </w:style>
  <w:style w:type="paragraph" w:customStyle="1" w:styleId="TNRATab">
    <w:name w:val="TNRATab"/>
    <w:basedOn w:val="TNR1Tab"/>
    <w:rsid w:val="009C13A9"/>
    <w:pPr>
      <w:tabs>
        <w:tab w:val="left" w:pos="568"/>
      </w:tabs>
      <w:ind w:left="568" w:hanging="283"/>
    </w:pPr>
  </w:style>
  <w:style w:type="paragraph" w:customStyle="1" w:styleId="Corpsdetexte21">
    <w:name w:val="Corps de texte 21"/>
    <w:basedOn w:val="Normal"/>
    <w:rsid w:val="009C13A9"/>
    <w:pPr>
      <w:widowControl w:val="0"/>
      <w:tabs>
        <w:tab w:val="left" w:pos="851"/>
      </w:tabs>
      <w:suppressAutoHyphens/>
      <w:overflowPunct w:val="0"/>
      <w:autoSpaceDN/>
      <w:ind w:left="365" w:firstLine="0"/>
      <w:textAlignment w:val="baseline"/>
    </w:pPr>
    <w:rPr>
      <w:rFonts w:ascii="CG Times (W1)" w:hAnsi="CG Times (W1)"/>
      <w:sz w:val="24"/>
      <w:szCs w:val="20"/>
      <w:lang w:val="en-US" w:eastAsia="ar-SA"/>
    </w:rPr>
  </w:style>
  <w:style w:type="paragraph" w:customStyle="1" w:styleId="Retraitcorpsdetexte31">
    <w:name w:val="Retrait corps de texte 31"/>
    <w:basedOn w:val="Normal"/>
    <w:rsid w:val="009C13A9"/>
    <w:pPr>
      <w:suppressAutoHyphens/>
      <w:autoSpaceDE/>
      <w:autoSpaceDN/>
      <w:spacing w:after="120" w:line="360" w:lineRule="auto"/>
      <w:ind w:left="283" w:firstLine="0"/>
      <w:jc w:val="left"/>
    </w:pPr>
    <w:rPr>
      <w:rFonts w:ascii="Times New Roman" w:hAnsi="Times New Roman"/>
      <w:sz w:val="16"/>
      <w:szCs w:val="16"/>
      <w:lang w:val="de-DE" w:eastAsia="ar-SA"/>
    </w:rPr>
  </w:style>
  <w:style w:type="paragraph" w:customStyle="1" w:styleId="u1">
    <w:name w:val="u1"/>
    <w:basedOn w:val="Normal"/>
    <w:rsid w:val="009C13A9"/>
    <w:pPr>
      <w:keepNext/>
      <w:keepLines/>
      <w:tabs>
        <w:tab w:val="left" w:pos="851"/>
        <w:tab w:val="left" w:pos="1134"/>
        <w:tab w:val="left" w:pos="1418"/>
      </w:tabs>
      <w:suppressAutoHyphens/>
      <w:autoSpaceDE/>
      <w:autoSpaceDN/>
      <w:spacing w:before="720" w:line="240" w:lineRule="atLeast"/>
      <w:ind w:left="851" w:hanging="851"/>
    </w:pPr>
    <w:rPr>
      <w:rFonts w:ascii="Times New Roman" w:hAnsi="Times New Roman"/>
      <w:b/>
      <w:sz w:val="24"/>
      <w:szCs w:val="20"/>
      <w:lang w:val="de-DE" w:eastAsia="ar-SA"/>
    </w:rPr>
  </w:style>
  <w:style w:type="paragraph" w:customStyle="1" w:styleId="u2">
    <w:name w:val="u2"/>
    <w:basedOn w:val="Normal"/>
    <w:rsid w:val="009C13A9"/>
    <w:pPr>
      <w:keepNext/>
      <w:keepLines/>
      <w:tabs>
        <w:tab w:val="left" w:pos="851"/>
        <w:tab w:val="left" w:pos="1134"/>
        <w:tab w:val="left" w:pos="1418"/>
      </w:tabs>
      <w:suppressAutoHyphens/>
      <w:autoSpaceDE/>
      <w:autoSpaceDN/>
      <w:spacing w:before="240" w:line="240" w:lineRule="atLeast"/>
      <w:ind w:left="851" w:hanging="851"/>
    </w:pPr>
    <w:rPr>
      <w:rFonts w:ascii="Times New Roman" w:hAnsi="Times New Roman"/>
      <w:b/>
      <w:sz w:val="24"/>
      <w:szCs w:val="20"/>
      <w:lang w:val="de-DE" w:eastAsia="ar-SA"/>
    </w:rPr>
  </w:style>
  <w:style w:type="paragraph" w:customStyle="1" w:styleId="Retraitcorpsdetexte23">
    <w:name w:val="Retrait corps de texte 23"/>
    <w:basedOn w:val="Normal"/>
    <w:rsid w:val="009C13A9"/>
    <w:pPr>
      <w:widowControl w:val="0"/>
      <w:tabs>
        <w:tab w:val="left" w:pos="284"/>
      </w:tabs>
      <w:suppressAutoHyphens/>
      <w:autoSpaceDE/>
      <w:autoSpaceDN/>
      <w:ind w:left="284" w:hanging="284"/>
      <w:jc w:val="left"/>
    </w:pPr>
    <w:rPr>
      <w:rFonts w:ascii="Times New Roman" w:hAnsi="Times New Roman"/>
      <w:i/>
      <w:sz w:val="24"/>
      <w:szCs w:val="20"/>
      <w:lang w:val="de-DE" w:eastAsia="ar-SA"/>
    </w:rPr>
  </w:style>
  <w:style w:type="paragraph" w:customStyle="1" w:styleId="Formatvorlage1">
    <w:name w:val="Formatvorlage1"/>
    <w:basedOn w:val="Normal"/>
    <w:rsid w:val="009C13A9"/>
    <w:pPr>
      <w:tabs>
        <w:tab w:val="left" w:pos="851"/>
      </w:tabs>
      <w:suppressAutoHyphens/>
      <w:overflowPunct w:val="0"/>
      <w:autoSpaceDN/>
      <w:spacing w:before="120"/>
      <w:ind w:left="850"/>
      <w:textAlignment w:val="baseline"/>
    </w:pPr>
    <w:rPr>
      <w:bCs/>
      <w:iCs/>
      <w:szCs w:val="20"/>
      <w:lang w:eastAsia="ar-SA"/>
    </w:rPr>
  </w:style>
  <w:style w:type="paragraph" w:customStyle="1" w:styleId="Corpsdetexte31">
    <w:name w:val="Corps de texte 31"/>
    <w:basedOn w:val="Normal"/>
    <w:rsid w:val="009C13A9"/>
    <w:pPr>
      <w:suppressAutoHyphens/>
      <w:overflowPunct w:val="0"/>
      <w:autoSpaceDN/>
      <w:spacing w:before="40" w:after="40"/>
      <w:ind w:left="0" w:firstLine="0"/>
      <w:jc w:val="left"/>
      <w:textAlignment w:val="baseline"/>
    </w:pPr>
    <w:rPr>
      <w:szCs w:val="20"/>
      <w:lang w:val="nl-NL" w:eastAsia="ar-SA"/>
    </w:rPr>
  </w:style>
  <w:style w:type="paragraph" w:customStyle="1" w:styleId="Grundtext">
    <w:name w:val="Grundtext"/>
    <w:rsid w:val="009C13A9"/>
    <w:pPr>
      <w:tabs>
        <w:tab w:val="left" w:pos="720"/>
        <w:tab w:val="left" w:pos="1440"/>
        <w:tab w:val="left" w:pos="2160"/>
        <w:tab w:val="left" w:pos="2880"/>
        <w:tab w:val="left" w:pos="3600"/>
        <w:tab w:val="left" w:pos="4320"/>
        <w:tab w:val="left" w:pos="5040"/>
        <w:tab w:val="left" w:pos="5760"/>
      </w:tabs>
      <w:suppressAutoHyphens/>
      <w:spacing w:after="240" w:line="240" w:lineRule="atLeast"/>
    </w:pPr>
    <w:rPr>
      <w:rFonts w:ascii="Times New Roman" w:eastAsia="Arial" w:hAnsi="Times New Roman"/>
      <w:color w:val="000000"/>
      <w:sz w:val="24"/>
      <w:lang w:val="de-DE" w:eastAsia="ar-SA"/>
    </w:rPr>
  </w:style>
  <w:style w:type="paragraph" w:customStyle="1" w:styleId="Normalcentr1">
    <w:name w:val="Normal centré1"/>
    <w:basedOn w:val="Normal"/>
    <w:rsid w:val="009C13A9"/>
    <w:pPr>
      <w:suppressAutoHyphens/>
      <w:autoSpaceDE/>
      <w:autoSpaceDN/>
      <w:spacing w:before="60" w:after="60"/>
      <w:ind w:left="427" w:right="57" w:hanging="370"/>
      <w:jc w:val="left"/>
    </w:pPr>
    <w:rPr>
      <w:szCs w:val="20"/>
      <w:lang w:val="de-DE" w:eastAsia="ar-SA"/>
    </w:rPr>
  </w:style>
  <w:style w:type="paragraph" w:customStyle="1" w:styleId="BlockText2">
    <w:name w:val="Block Text2"/>
    <w:basedOn w:val="Normal"/>
    <w:rsid w:val="009C13A9"/>
    <w:pPr>
      <w:widowControl w:val="0"/>
      <w:tabs>
        <w:tab w:val="left" w:pos="648"/>
      </w:tabs>
      <w:suppressAutoHyphens/>
      <w:overflowPunct w:val="0"/>
      <w:autoSpaceDN/>
      <w:ind w:left="709" w:right="142" w:hanging="567"/>
      <w:textAlignment w:val="baseline"/>
    </w:pPr>
    <w:rPr>
      <w:rFonts w:ascii="CG Times (W1)" w:hAnsi="CG Times (W1)"/>
      <w:sz w:val="24"/>
      <w:szCs w:val="20"/>
      <w:lang w:val="en-US" w:eastAsia="ar-SA"/>
    </w:rPr>
  </w:style>
  <w:style w:type="paragraph" w:customStyle="1" w:styleId="BlockText3">
    <w:name w:val="Block Text3"/>
    <w:basedOn w:val="Normal"/>
    <w:rsid w:val="009C13A9"/>
    <w:pPr>
      <w:widowControl w:val="0"/>
      <w:tabs>
        <w:tab w:val="left" w:pos="648"/>
      </w:tabs>
      <w:suppressAutoHyphens/>
      <w:overflowPunct w:val="0"/>
      <w:autoSpaceDN/>
      <w:ind w:left="648" w:right="143" w:hanging="506"/>
      <w:jc w:val="left"/>
      <w:textAlignment w:val="baseline"/>
    </w:pPr>
    <w:rPr>
      <w:rFonts w:ascii="CG Times (W1)" w:hAnsi="CG Times (W1)"/>
      <w:sz w:val="24"/>
      <w:szCs w:val="20"/>
      <w:lang w:val="en-US" w:eastAsia="ar-SA"/>
    </w:rPr>
  </w:style>
  <w:style w:type="paragraph" w:customStyle="1" w:styleId="BlockText1">
    <w:name w:val="Block Text1"/>
    <w:basedOn w:val="Normal"/>
    <w:rsid w:val="009C13A9"/>
    <w:pPr>
      <w:widowControl w:val="0"/>
      <w:tabs>
        <w:tab w:val="left" w:pos="720"/>
      </w:tabs>
      <w:suppressAutoHyphens/>
      <w:overflowPunct w:val="0"/>
      <w:autoSpaceDN/>
      <w:ind w:left="360" w:right="143" w:firstLine="0"/>
      <w:textAlignment w:val="baseline"/>
    </w:pPr>
    <w:rPr>
      <w:rFonts w:ascii="CG Times (W1)" w:hAnsi="CG Times (W1)"/>
      <w:sz w:val="24"/>
      <w:szCs w:val="20"/>
      <w:lang w:val="en-US" w:eastAsia="ar-SA"/>
    </w:rPr>
  </w:style>
  <w:style w:type="paragraph" w:customStyle="1" w:styleId="berschrift71">
    <w:name w:val="Überschrift 71"/>
    <w:basedOn w:val="Normal"/>
    <w:next w:val="Normal"/>
    <w:rsid w:val="009C13A9"/>
    <w:pPr>
      <w:keepNext/>
      <w:widowControl w:val="0"/>
      <w:suppressAutoHyphens/>
      <w:overflowPunct w:val="0"/>
      <w:autoSpaceDN/>
      <w:ind w:left="81" w:right="143" w:firstLine="61"/>
      <w:jc w:val="center"/>
      <w:textAlignment w:val="baseline"/>
    </w:pPr>
    <w:rPr>
      <w:rFonts w:ascii="CG Times (W1)" w:hAnsi="CG Times (W1)"/>
      <w:b/>
      <w:sz w:val="24"/>
      <w:szCs w:val="20"/>
      <w:u w:val="single"/>
      <w:lang w:val="en-US" w:eastAsia="ar-SA"/>
    </w:rPr>
  </w:style>
  <w:style w:type="paragraph" w:customStyle="1" w:styleId="Corpsdetexte2">
    <w:name w:val="Corps de texte2"/>
    <w:basedOn w:val="Normal"/>
    <w:rsid w:val="009C13A9"/>
    <w:pPr>
      <w:widowControl w:val="0"/>
      <w:suppressAutoHyphens/>
      <w:overflowPunct w:val="0"/>
      <w:autoSpaceDN/>
      <w:spacing w:line="340" w:lineRule="atLeast"/>
      <w:ind w:left="0" w:firstLine="0"/>
      <w:textAlignment w:val="baseline"/>
    </w:pPr>
    <w:rPr>
      <w:rFonts w:ascii="Times New Roman" w:hAnsi="Times New Roman"/>
      <w:sz w:val="24"/>
      <w:szCs w:val="20"/>
      <w:lang w:val="de-DE" w:eastAsia="ar-SA"/>
    </w:rPr>
  </w:style>
  <w:style w:type="paragraph" w:customStyle="1" w:styleId="Pres1">
    <w:name w:val="P_res1"/>
    <w:basedOn w:val="TNR1"/>
    <w:rsid w:val="009C13A9"/>
    <w:pPr>
      <w:tabs>
        <w:tab w:val="clear" w:pos="907"/>
        <w:tab w:val="left" w:pos="851"/>
        <w:tab w:val="left" w:pos="1021"/>
      </w:tabs>
      <w:suppressAutoHyphens/>
      <w:overflowPunct/>
      <w:autoSpaceDE/>
      <w:autoSpaceDN/>
      <w:adjustRightInd/>
      <w:spacing w:after="80"/>
      <w:ind w:left="851" w:hanging="425"/>
      <w:textAlignment w:val="auto"/>
    </w:pPr>
    <w:rPr>
      <w:lang w:val="de-DE" w:eastAsia="ar-SA"/>
    </w:rPr>
  </w:style>
  <w:style w:type="paragraph" w:customStyle="1" w:styleId="Presa">
    <w:name w:val="P_res_a"/>
    <w:basedOn w:val="TNRA"/>
    <w:rsid w:val="009C13A9"/>
    <w:pPr>
      <w:tabs>
        <w:tab w:val="clear" w:pos="907"/>
        <w:tab w:val="left" w:pos="1021"/>
        <w:tab w:val="left" w:pos="1276"/>
      </w:tabs>
      <w:suppressAutoHyphens/>
      <w:autoSpaceDN/>
      <w:adjustRightInd/>
      <w:spacing w:after="80" w:line="240" w:lineRule="exact"/>
      <w:ind w:left="1276" w:hanging="425"/>
    </w:pPr>
    <w:rPr>
      <w:lang w:val="de-DE" w:eastAsia="ar-SA"/>
    </w:rPr>
  </w:style>
  <w:style w:type="paragraph" w:customStyle="1" w:styleId="Prestiret">
    <w:name w:val="P_res_tiret"/>
    <w:basedOn w:val="TNRA"/>
    <w:rsid w:val="009C13A9"/>
    <w:pPr>
      <w:tabs>
        <w:tab w:val="clear" w:pos="907"/>
        <w:tab w:val="left" w:pos="1021"/>
        <w:tab w:val="left" w:pos="1560"/>
      </w:tabs>
      <w:suppressAutoHyphens/>
      <w:autoSpaceDN/>
      <w:adjustRightInd/>
      <w:spacing w:line="240" w:lineRule="exact"/>
      <w:ind w:left="1560"/>
    </w:pPr>
    <w:rPr>
      <w:lang w:val="de-DE" w:eastAsia="ar-SA"/>
    </w:rPr>
  </w:style>
  <w:style w:type="paragraph" w:customStyle="1" w:styleId="Corpsdetexte1">
    <w:name w:val="Corps de texte1"/>
    <w:basedOn w:val="Normal"/>
    <w:rsid w:val="009C13A9"/>
    <w:pPr>
      <w:widowControl w:val="0"/>
      <w:suppressAutoHyphens/>
      <w:overflowPunct w:val="0"/>
      <w:autoSpaceDN/>
      <w:spacing w:line="340" w:lineRule="atLeast"/>
      <w:ind w:left="0" w:firstLine="0"/>
      <w:textAlignment w:val="baseline"/>
    </w:pPr>
    <w:rPr>
      <w:rFonts w:ascii="Times New Roman" w:hAnsi="Times New Roman"/>
      <w:sz w:val="24"/>
      <w:szCs w:val="20"/>
      <w:lang w:val="de-DE" w:eastAsia="ar-SA"/>
    </w:rPr>
  </w:style>
  <w:style w:type="paragraph" w:customStyle="1" w:styleId="Sty1">
    <w:name w:val="Sty_1"/>
    <w:basedOn w:val="BodyText"/>
    <w:rsid w:val="009C13A9"/>
    <w:pPr>
      <w:keepNext w:val="0"/>
      <w:tabs>
        <w:tab w:val="clear" w:pos="709"/>
        <w:tab w:val="left" w:pos="567"/>
      </w:tabs>
      <w:suppressAutoHyphens/>
      <w:autoSpaceDE w:val="0"/>
      <w:spacing w:line="240" w:lineRule="auto"/>
      <w:ind w:left="567" w:hanging="567"/>
      <w:jc w:val="both"/>
    </w:pPr>
    <w:rPr>
      <w:rFonts w:cs="Arial"/>
      <w:lang w:val="de-DE" w:eastAsia="ar-SA"/>
    </w:rPr>
  </w:style>
  <w:style w:type="paragraph" w:customStyle="1" w:styleId="Standard1">
    <w:name w:val="Standard1"/>
    <w:rsid w:val="009C13A9"/>
    <w:pPr>
      <w:widowControl w:val="0"/>
      <w:suppressAutoHyphens/>
      <w:overflowPunct w:val="0"/>
      <w:autoSpaceDE w:val="0"/>
      <w:jc w:val="both"/>
      <w:textAlignment w:val="baseline"/>
    </w:pPr>
    <w:rPr>
      <w:rFonts w:ascii="CG Times (W1)" w:eastAsia="Arial" w:hAnsi="CG Times (W1)"/>
      <w:sz w:val="24"/>
      <w:lang w:val="en-US" w:eastAsia="ar-SA"/>
    </w:rPr>
  </w:style>
  <w:style w:type="paragraph" w:customStyle="1" w:styleId="Kopfzeile1">
    <w:name w:val="Kopfzeile1"/>
    <w:basedOn w:val="Standard1"/>
    <w:rsid w:val="009C13A9"/>
    <w:pPr>
      <w:tabs>
        <w:tab w:val="center" w:pos="4819"/>
        <w:tab w:val="right" w:pos="9071"/>
      </w:tabs>
    </w:pPr>
  </w:style>
  <w:style w:type="paragraph" w:customStyle="1" w:styleId="BodyTextIndent21">
    <w:name w:val="Body Text Indent 21"/>
    <w:basedOn w:val="Normal"/>
    <w:rsid w:val="009C13A9"/>
    <w:pPr>
      <w:widowControl w:val="0"/>
      <w:tabs>
        <w:tab w:val="left" w:pos="426"/>
      </w:tabs>
      <w:suppressAutoHyphens/>
      <w:autoSpaceDE/>
      <w:autoSpaceDN/>
      <w:spacing w:line="240" w:lineRule="atLeast"/>
      <w:ind w:left="426" w:hanging="426"/>
    </w:pPr>
    <w:rPr>
      <w:szCs w:val="20"/>
      <w:lang w:val="de-DE" w:eastAsia="ar-SA"/>
    </w:rPr>
  </w:style>
  <w:style w:type="paragraph" w:customStyle="1" w:styleId="FreytagText">
    <w:name w:val="FreytagText"/>
    <w:basedOn w:val="Normal"/>
    <w:rsid w:val="009C13A9"/>
    <w:pPr>
      <w:tabs>
        <w:tab w:val="left" w:pos="709"/>
        <w:tab w:val="left" w:pos="1134"/>
        <w:tab w:val="left" w:pos="1559"/>
        <w:tab w:val="left" w:pos="2126"/>
        <w:tab w:val="left" w:pos="2835"/>
        <w:tab w:val="left" w:pos="3544"/>
        <w:tab w:val="left" w:pos="4253"/>
        <w:tab w:val="left" w:pos="4961"/>
        <w:tab w:val="left" w:pos="5670"/>
        <w:tab w:val="left" w:pos="6379"/>
        <w:tab w:val="left" w:pos="7088"/>
      </w:tabs>
      <w:suppressAutoHyphens/>
      <w:autoSpaceDE/>
      <w:autoSpaceDN/>
      <w:spacing w:line="360" w:lineRule="auto"/>
      <w:ind w:left="0" w:firstLine="0"/>
    </w:pPr>
    <w:rPr>
      <w:spacing w:val="8"/>
      <w:sz w:val="22"/>
      <w:szCs w:val="20"/>
      <w:lang w:val="de-DE" w:eastAsia="ar-SA"/>
    </w:rPr>
  </w:style>
  <w:style w:type="paragraph" w:customStyle="1" w:styleId="Rad11">
    <w:name w:val="Rad1.1"/>
    <w:basedOn w:val="Normal"/>
    <w:rsid w:val="009C13A9"/>
    <w:pPr>
      <w:tabs>
        <w:tab w:val="left" w:pos="284"/>
        <w:tab w:val="left" w:pos="454"/>
        <w:tab w:val="left" w:pos="709"/>
      </w:tabs>
      <w:suppressAutoHyphens/>
      <w:autoSpaceDE/>
      <w:autoSpaceDN/>
      <w:spacing w:line="240" w:lineRule="exact"/>
      <w:ind w:left="0" w:hanging="426"/>
    </w:pPr>
    <w:rPr>
      <w:rFonts w:ascii="Times New Roman" w:hAnsi="Times New Roman"/>
      <w:sz w:val="24"/>
      <w:szCs w:val="20"/>
      <w:lang w:eastAsia="ar-SA"/>
    </w:rPr>
  </w:style>
  <w:style w:type="paragraph" w:customStyle="1" w:styleId="Par1">
    <w:name w:val="Par_1"/>
    <w:basedOn w:val="Normal"/>
    <w:rsid w:val="009C13A9"/>
    <w:pPr>
      <w:tabs>
        <w:tab w:val="left" w:pos="482"/>
      </w:tabs>
      <w:suppressAutoHyphens/>
      <w:autoSpaceDE/>
      <w:autoSpaceDN/>
      <w:spacing w:before="40" w:after="40"/>
      <w:ind w:left="482" w:right="57"/>
    </w:pPr>
    <w:rPr>
      <w:szCs w:val="20"/>
      <w:lang w:val="de-DE" w:eastAsia="ar-SA"/>
    </w:rPr>
  </w:style>
  <w:style w:type="paragraph" w:customStyle="1" w:styleId="t62">
    <w:name w:val="t62"/>
    <w:basedOn w:val="Normal"/>
    <w:rsid w:val="009C13A9"/>
    <w:pPr>
      <w:suppressAutoHyphens/>
      <w:autoSpaceDE/>
      <w:autoSpaceDN/>
      <w:spacing w:line="240" w:lineRule="atLeast"/>
      <w:ind w:left="0" w:firstLine="0"/>
      <w:jc w:val="left"/>
    </w:pPr>
    <w:rPr>
      <w:rFonts w:ascii="Times New Roman" w:hAnsi="Times New Roman"/>
      <w:sz w:val="24"/>
      <w:szCs w:val="20"/>
      <w:lang w:val="de-DE" w:eastAsia="ar-SA"/>
    </w:rPr>
  </w:style>
  <w:style w:type="paragraph" w:customStyle="1" w:styleId="p17">
    <w:name w:val="p17"/>
    <w:basedOn w:val="Normal"/>
    <w:rsid w:val="009C13A9"/>
    <w:pPr>
      <w:tabs>
        <w:tab w:val="left" w:pos="280"/>
      </w:tabs>
      <w:suppressAutoHyphens/>
      <w:autoSpaceDE/>
      <w:autoSpaceDN/>
      <w:spacing w:line="200" w:lineRule="atLeast"/>
      <w:ind w:left="1440" w:firstLine="288"/>
      <w:jc w:val="left"/>
    </w:pPr>
    <w:rPr>
      <w:rFonts w:ascii="Times New Roman" w:hAnsi="Times New Roman"/>
      <w:sz w:val="24"/>
      <w:szCs w:val="20"/>
      <w:lang w:val="de-DE" w:eastAsia="ar-SA"/>
    </w:rPr>
  </w:style>
  <w:style w:type="paragraph" w:customStyle="1" w:styleId="p67">
    <w:name w:val="p67"/>
    <w:basedOn w:val="Normal"/>
    <w:rsid w:val="009C13A9"/>
    <w:pPr>
      <w:tabs>
        <w:tab w:val="left" w:pos="660"/>
      </w:tabs>
      <w:suppressAutoHyphens/>
      <w:autoSpaceDE/>
      <w:autoSpaceDN/>
      <w:spacing w:line="200" w:lineRule="atLeast"/>
      <w:ind w:left="780" w:firstLine="0"/>
      <w:jc w:val="left"/>
    </w:pPr>
    <w:rPr>
      <w:rFonts w:ascii="Times New Roman" w:hAnsi="Times New Roman"/>
      <w:sz w:val="24"/>
      <w:szCs w:val="20"/>
      <w:lang w:val="de-DE" w:eastAsia="ar-SA"/>
    </w:rPr>
  </w:style>
  <w:style w:type="paragraph" w:customStyle="1" w:styleId="ai">
    <w:name w:val="ai"/>
    <w:basedOn w:val="Normal"/>
    <w:rsid w:val="009C13A9"/>
    <w:pPr>
      <w:tabs>
        <w:tab w:val="left" w:pos="425"/>
      </w:tabs>
      <w:suppressAutoHyphens/>
      <w:autoSpaceDE/>
      <w:autoSpaceDN/>
      <w:spacing w:line="240" w:lineRule="atLeast"/>
    </w:pPr>
    <w:rPr>
      <w:rFonts w:cs="Arial"/>
      <w:bCs/>
      <w:i/>
      <w:sz w:val="22"/>
      <w:lang w:val="de-DE" w:eastAsia="ar-SA"/>
    </w:rPr>
  </w:style>
  <w:style w:type="paragraph" w:customStyle="1" w:styleId="aai">
    <w:name w:val="aai"/>
    <w:basedOn w:val="Normal"/>
    <w:rsid w:val="009C13A9"/>
    <w:pPr>
      <w:tabs>
        <w:tab w:val="left" w:pos="851"/>
      </w:tabs>
      <w:suppressAutoHyphens/>
      <w:autoSpaceDE/>
      <w:autoSpaceDN/>
      <w:spacing w:line="240" w:lineRule="atLeast"/>
      <w:ind w:left="850"/>
    </w:pPr>
    <w:rPr>
      <w:rFonts w:cs="Arial"/>
      <w:bCs/>
      <w:i/>
      <w:sz w:val="22"/>
      <w:lang w:val="de-DE" w:eastAsia="ar-SA"/>
    </w:rPr>
  </w:style>
  <w:style w:type="paragraph" w:customStyle="1" w:styleId="achi">
    <w:name w:val="achi"/>
    <w:basedOn w:val="aa"/>
    <w:rsid w:val="009C13A9"/>
    <w:pPr>
      <w:widowControl w:val="0"/>
      <w:tabs>
        <w:tab w:val="clear" w:pos="425"/>
        <w:tab w:val="clear" w:pos="851"/>
        <w:tab w:val="clear" w:pos="1701"/>
        <w:tab w:val="clear" w:pos="2126"/>
        <w:tab w:val="left" w:pos="284"/>
        <w:tab w:val="left" w:pos="454"/>
        <w:tab w:val="left" w:pos="680"/>
        <w:tab w:val="left" w:pos="1021"/>
        <w:tab w:val="left" w:pos="1559"/>
      </w:tabs>
      <w:suppressAutoHyphens/>
      <w:autoSpaceDN/>
      <w:adjustRightInd/>
      <w:spacing w:before="0"/>
      <w:ind w:left="1560" w:hanging="709"/>
    </w:pPr>
    <w:rPr>
      <w:szCs w:val="20"/>
      <w:lang w:val="de-DE" w:eastAsia="ar-SA"/>
    </w:rPr>
  </w:style>
  <w:style w:type="paragraph" w:customStyle="1" w:styleId="xl39">
    <w:name w:val="xl39"/>
    <w:basedOn w:val="Normal"/>
    <w:rsid w:val="009C13A9"/>
    <w:pPr>
      <w:suppressAutoHyphens/>
      <w:autoSpaceDE/>
      <w:autoSpaceDN/>
      <w:spacing w:before="100" w:after="100"/>
      <w:ind w:left="0" w:firstLine="0"/>
      <w:jc w:val="center"/>
    </w:pPr>
    <w:rPr>
      <w:rFonts w:cs="Arial"/>
      <w:b/>
      <w:bCs/>
      <w:sz w:val="24"/>
      <w:lang w:eastAsia="ar-SA"/>
    </w:rPr>
  </w:style>
  <w:style w:type="paragraph" w:customStyle="1" w:styleId="Textedebulles1">
    <w:name w:val="Texte de bulles1"/>
    <w:basedOn w:val="Normal"/>
    <w:rsid w:val="009C13A9"/>
    <w:pPr>
      <w:suppressAutoHyphens/>
      <w:overflowPunct w:val="0"/>
      <w:autoSpaceDN/>
      <w:ind w:left="0" w:firstLine="0"/>
      <w:textAlignment w:val="baseline"/>
    </w:pPr>
    <w:rPr>
      <w:rFonts w:ascii="Times New Roman" w:hAnsi="Times New Roman"/>
      <w:sz w:val="16"/>
      <w:szCs w:val="16"/>
      <w:lang w:eastAsia="ar-SA"/>
    </w:rPr>
  </w:style>
  <w:style w:type="paragraph" w:customStyle="1" w:styleId="Text10">
    <w:name w:val="Text1"/>
    <w:basedOn w:val="Normal"/>
    <w:rsid w:val="009C13A9"/>
    <w:pPr>
      <w:suppressAutoHyphens/>
      <w:autoSpaceDE/>
      <w:autoSpaceDN/>
      <w:spacing w:after="120" w:line="360" w:lineRule="auto"/>
      <w:ind w:left="0" w:firstLine="0"/>
      <w:jc w:val="left"/>
    </w:pPr>
    <w:rPr>
      <w:rFonts w:ascii="Arial Narrow" w:hAnsi="Arial Narrow"/>
      <w:sz w:val="22"/>
      <w:szCs w:val="22"/>
      <w:lang w:val="de-DE" w:eastAsia="ar-SA"/>
    </w:rPr>
  </w:style>
  <w:style w:type="paragraph" w:customStyle="1" w:styleId="Default">
    <w:name w:val="Default"/>
    <w:rsid w:val="009C13A9"/>
    <w:pPr>
      <w:widowControl w:val="0"/>
      <w:suppressAutoHyphens/>
      <w:autoSpaceDE w:val="0"/>
    </w:pPr>
    <w:rPr>
      <w:rFonts w:ascii="EU Albertina" w:eastAsia="Arial" w:hAnsi="EU Albertina" w:cs="EU Albertina"/>
      <w:color w:val="000000"/>
      <w:sz w:val="24"/>
      <w:szCs w:val="24"/>
      <w:lang w:val="de-DE" w:eastAsia="ar-SA"/>
    </w:rPr>
  </w:style>
  <w:style w:type="paragraph" w:customStyle="1" w:styleId="CM204">
    <w:name w:val="CM204"/>
    <w:basedOn w:val="Default"/>
    <w:next w:val="Default"/>
    <w:rsid w:val="009C13A9"/>
    <w:pPr>
      <w:spacing w:after="173"/>
    </w:pPr>
    <w:rPr>
      <w:color w:val="auto"/>
    </w:rPr>
  </w:style>
  <w:style w:type="paragraph" w:customStyle="1" w:styleId="CM202">
    <w:name w:val="CM202"/>
    <w:basedOn w:val="Default"/>
    <w:next w:val="Default"/>
    <w:rsid w:val="009C13A9"/>
    <w:pPr>
      <w:spacing w:after="298"/>
    </w:pPr>
    <w:rPr>
      <w:color w:val="auto"/>
    </w:rPr>
  </w:style>
  <w:style w:type="paragraph" w:customStyle="1" w:styleId="CM209">
    <w:name w:val="CM209"/>
    <w:basedOn w:val="Normal"/>
    <w:next w:val="Normal"/>
    <w:rsid w:val="009C13A9"/>
    <w:pPr>
      <w:widowControl w:val="0"/>
      <w:suppressAutoHyphens/>
      <w:autoSpaceDN/>
      <w:spacing w:after="513"/>
      <w:ind w:left="0" w:firstLine="0"/>
      <w:jc w:val="left"/>
    </w:pPr>
    <w:rPr>
      <w:rFonts w:ascii="EU Albertina" w:hAnsi="EU Albertina"/>
      <w:sz w:val="24"/>
      <w:lang w:val="de-DE" w:eastAsia="ar-SA"/>
    </w:rPr>
  </w:style>
  <w:style w:type="paragraph" w:customStyle="1" w:styleId="CM208">
    <w:name w:val="CM208"/>
    <w:basedOn w:val="Default"/>
    <w:next w:val="Default"/>
    <w:rsid w:val="009C13A9"/>
    <w:pPr>
      <w:spacing w:after="240"/>
    </w:pPr>
    <w:rPr>
      <w:color w:val="auto"/>
    </w:rPr>
  </w:style>
  <w:style w:type="paragraph" w:customStyle="1" w:styleId="CM62">
    <w:name w:val="CM62"/>
    <w:basedOn w:val="Default"/>
    <w:next w:val="Default"/>
    <w:rsid w:val="009C13A9"/>
    <w:pPr>
      <w:spacing w:line="188" w:lineRule="atLeast"/>
    </w:pPr>
    <w:rPr>
      <w:color w:val="auto"/>
    </w:rPr>
  </w:style>
  <w:style w:type="paragraph" w:customStyle="1" w:styleId="CM215">
    <w:name w:val="CM215"/>
    <w:basedOn w:val="Default"/>
    <w:next w:val="Default"/>
    <w:rsid w:val="009C13A9"/>
    <w:pPr>
      <w:spacing w:after="613"/>
    </w:pPr>
    <w:rPr>
      <w:color w:val="auto"/>
    </w:rPr>
  </w:style>
  <w:style w:type="paragraph" w:customStyle="1" w:styleId="Formatvorlageberschrift212ptNichtKursivLinks0cmErsteZeil">
    <w:name w:val="Formatvorlage Überschrift 2 + 12 pt Nicht Kursiv Links:  0 cm Erste Zeil..."/>
    <w:basedOn w:val="Heading2"/>
    <w:rsid w:val="009C13A9"/>
    <w:pPr>
      <w:numPr>
        <w:ilvl w:val="0"/>
        <w:numId w:val="0"/>
      </w:numPr>
      <w:tabs>
        <w:tab w:val="left" w:pos="720"/>
      </w:tabs>
      <w:suppressAutoHyphens/>
      <w:autoSpaceDE/>
      <w:autoSpaceDN/>
      <w:spacing w:before="240" w:after="120"/>
      <w:ind w:left="720" w:hanging="720"/>
      <w:jc w:val="left"/>
    </w:pPr>
    <w:rPr>
      <w:rFonts w:ascii="Arial" w:hAnsi="Arial"/>
      <w:i w:val="0"/>
      <w:iCs w:val="0"/>
      <w:sz w:val="24"/>
      <w:szCs w:val="20"/>
      <w:lang w:val="de-DE" w:eastAsia="ar-SA"/>
    </w:rPr>
  </w:style>
  <w:style w:type="paragraph" w:customStyle="1" w:styleId="CarCar1CharCarCarZchnZchnCharCharChar">
    <w:name w:val="Car Car1 Char Car Car Zchn Zchn Char Char Char"/>
    <w:basedOn w:val="Normal"/>
    <w:rsid w:val="009C13A9"/>
    <w:pPr>
      <w:suppressAutoHyphens/>
      <w:autoSpaceDE/>
      <w:autoSpaceDN/>
      <w:ind w:left="0" w:firstLine="0"/>
      <w:jc w:val="left"/>
    </w:pPr>
    <w:rPr>
      <w:rFonts w:ascii="Times New Roman" w:hAnsi="Times New Roman"/>
      <w:sz w:val="24"/>
      <w:lang w:val="pl-PL" w:eastAsia="ar-SA"/>
    </w:rPr>
  </w:style>
  <w:style w:type="paragraph" w:customStyle="1" w:styleId="CarCar11">
    <w:name w:val="Car Car11"/>
    <w:basedOn w:val="Normal"/>
    <w:rsid w:val="009C13A9"/>
    <w:pPr>
      <w:suppressAutoHyphens/>
      <w:autoSpaceDE/>
      <w:autoSpaceDN/>
      <w:ind w:left="0" w:firstLine="0"/>
      <w:jc w:val="left"/>
    </w:pPr>
    <w:rPr>
      <w:rFonts w:ascii="Times New Roman" w:hAnsi="Times New Roman"/>
      <w:sz w:val="24"/>
      <w:lang w:val="pl-PL" w:eastAsia="ar-SA"/>
    </w:rPr>
  </w:style>
  <w:style w:type="paragraph" w:customStyle="1" w:styleId="Bo1">
    <w:name w:val="Bo1"/>
    <w:basedOn w:val="Normal"/>
    <w:rsid w:val="009C13A9"/>
    <w:pPr>
      <w:suppressAutoHyphens/>
      <w:autoSpaceDE/>
      <w:autoSpaceDN/>
      <w:spacing w:line="240" w:lineRule="atLeast"/>
      <w:ind w:left="1134" w:hanging="709"/>
    </w:pPr>
    <w:rPr>
      <w:rFonts w:ascii="Times New Roman" w:hAnsi="Times New Roman"/>
      <w:b/>
      <w:sz w:val="22"/>
      <w:lang w:val="de-DE" w:eastAsia="ar-SA"/>
    </w:rPr>
  </w:style>
  <w:style w:type="paragraph" w:customStyle="1" w:styleId="Bo11">
    <w:name w:val="Bo1_1"/>
    <w:basedOn w:val="Normal"/>
    <w:rsid w:val="009C13A9"/>
    <w:pPr>
      <w:tabs>
        <w:tab w:val="left" w:pos="1134"/>
      </w:tabs>
      <w:suppressAutoHyphens/>
      <w:overflowPunct w:val="0"/>
      <w:autoSpaceDN/>
      <w:spacing w:line="240" w:lineRule="atLeast"/>
      <w:ind w:left="1134" w:hanging="709"/>
      <w:textAlignment w:val="baseline"/>
    </w:pPr>
    <w:rPr>
      <w:rFonts w:ascii="Times New Roman" w:hAnsi="Times New Roman"/>
      <w:sz w:val="24"/>
      <w:lang w:val="de-DE" w:eastAsia="ar-SA"/>
    </w:rPr>
  </w:style>
  <w:style w:type="paragraph" w:customStyle="1" w:styleId="RetraitPremireligne">
    <w:name w:val="Retrait_Première_ligne"/>
    <w:basedOn w:val="Normal"/>
    <w:rsid w:val="009C13A9"/>
    <w:pPr>
      <w:suppressAutoHyphens/>
      <w:autoSpaceDE/>
      <w:autoSpaceDN/>
      <w:spacing w:line="240" w:lineRule="atLeast"/>
      <w:ind w:left="0" w:firstLine="425"/>
    </w:pPr>
    <w:rPr>
      <w:rFonts w:cs="Arial"/>
      <w:szCs w:val="20"/>
      <w:lang w:eastAsia="ar-SA"/>
    </w:rPr>
  </w:style>
  <w:style w:type="paragraph" w:customStyle="1" w:styleId="Textebrut1">
    <w:name w:val="Texte brut1"/>
    <w:basedOn w:val="Normal"/>
    <w:rsid w:val="009C13A9"/>
    <w:pPr>
      <w:suppressAutoHyphens/>
      <w:autoSpaceDE/>
      <w:autoSpaceDN/>
      <w:ind w:left="0" w:firstLine="0"/>
      <w:jc w:val="left"/>
    </w:pPr>
    <w:rPr>
      <w:rFonts w:ascii="Consolas" w:hAnsi="Consolas"/>
      <w:sz w:val="21"/>
      <w:szCs w:val="21"/>
      <w:lang w:val="de-DE" w:eastAsia="ar-SA"/>
    </w:rPr>
  </w:style>
  <w:style w:type="paragraph" w:customStyle="1" w:styleId="ED1">
    <w:name w:val="ED1"/>
    <w:basedOn w:val="Normal"/>
    <w:rsid w:val="009C13A9"/>
    <w:pPr>
      <w:suppressAutoHyphens/>
      <w:autoSpaceDE/>
      <w:autoSpaceDN/>
    </w:pPr>
    <w:rPr>
      <w:rFonts w:ascii="Times New Roman" w:hAnsi="Times New Roman"/>
      <w:sz w:val="24"/>
      <w:lang w:eastAsia="ar-SA"/>
    </w:rPr>
  </w:style>
  <w:style w:type="paragraph" w:customStyle="1" w:styleId="Commentaire1">
    <w:name w:val="Commentaire1"/>
    <w:basedOn w:val="Normal"/>
    <w:rsid w:val="009C13A9"/>
    <w:pPr>
      <w:suppressAutoHyphens/>
      <w:autoSpaceDE/>
      <w:autoSpaceDN/>
      <w:ind w:left="0" w:firstLine="0"/>
      <w:jc w:val="left"/>
    </w:pPr>
    <w:rPr>
      <w:szCs w:val="20"/>
      <w:lang w:val="de-DE" w:eastAsia="ar-SA"/>
    </w:rPr>
  </w:style>
  <w:style w:type="paragraph" w:customStyle="1" w:styleId="Contenudetableau">
    <w:name w:val="Contenu de tableau"/>
    <w:basedOn w:val="Normal"/>
    <w:rsid w:val="009C13A9"/>
    <w:pPr>
      <w:suppressLineNumbers/>
      <w:suppressAutoHyphens/>
      <w:autoSpaceDE/>
      <w:autoSpaceDN/>
      <w:ind w:left="0" w:firstLine="0"/>
      <w:jc w:val="left"/>
    </w:pPr>
    <w:rPr>
      <w:rFonts w:ascii="Times New Roman" w:hAnsi="Times New Roman"/>
      <w:sz w:val="24"/>
      <w:lang w:val="nl-NL" w:eastAsia="ar-SA"/>
    </w:rPr>
  </w:style>
  <w:style w:type="paragraph" w:customStyle="1" w:styleId="Titredetableau">
    <w:name w:val="Titre de tableau"/>
    <w:basedOn w:val="Contenudetableau"/>
    <w:rsid w:val="009C13A9"/>
    <w:pPr>
      <w:jc w:val="center"/>
    </w:pPr>
    <w:rPr>
      <w:b/>
      <w:bCs/>
    </w:rPr>
  </w:style>
  <w:style w:type="numbering" w:customStyle="1" w:styleId="Aucuneliste111">
    <w:name w:val="Aucune liste111"/>
    <w:next w:val="NoList"/>
    <w:semiHidden/>
    <w:rsid w:val="009C13A9"/>
  </w:style>
  <w:style w:type="paragraph" w:customStyle="1" w:styleId="CarCar1Car">
    <w:name w:val="Car Car1 Car"/>
    <w:basedOn w:val="Normal"/>
    <w:rsid w:val="009C13A9"/>
    <w:pPr>
      <w:widowControl w:val="0"/>
      <w:autoSpaceDE/>
      <w:autoSpaceDN/>
      <w:ind w:left="0" w:firstLine="0"/>
      <w:jc w:val="left"/>
    </w:pPr>
    <w:rPr>
      <w:rFonts w:ascii="Times New Roman" w:hAnsi="Times New Roman"/>
      <w:snapToGrid w:val="0"/>
      <w:szCs w:val="20"/>
      <w:lang w:val="pl-PL" w:eastAsia="pl-PL"/>
    </w:rPr>
  </w:style>
  <w:style w:type="paragraph" w:styleId="DocumentMap">
    <w:name w:val="Document Map"/>
    <w:basedOn w:val="Normal"/>
    <w:link w:val="DocumentMapChar"/>
    <w:rsid w:val="009C13A9"/>
    <w:pPr>
      <w:shd w:val="clear" w:color="auto" w:fill="000080"/>
      <w:autoSpaceDE/>
      <w:autoSpaceDN/>
      <w:ind w:left="0" w:firstLine="0"/>
      <w:jc w:val="left"/>
    </w:pPr>
    <w:rPr>
      <w:rFonts w:ascii="Tahoma" w:hAnsi="Tahoma"/>
      <w:szCs w:val="20"/>
    </w:rPr>
  </w:style>
  <w:style w:type="character" w:customStyle="1" w:styleId="DocumentMapChar">
    <w:name w:val="Document Map Char"/>
    <w:link w:val="DocumentMap"/>
    <w:rsid w:val="009C13A9"/>
    <w:rPr>
      <w:rFonts w:ascii="Tahoma" w:hAnsi="Tahoma"/>
      <w:shd w:val="clear" w:color="auto" w:fill="000080"/>
    </w:rPr>
  </w:style>
  <w:style w:type="character" w:customStyle="1" w:styleId="CarCar2">
    <w:name w:val="Car Car2"/>
    <w:rsid w:val="009C13A9"/>
    <w:rPr>
      <w:lang w:val="fr-FR" w:eastAsia="fr-FR" w:bidi="ar-SA"/>
    </w:rPr>
  </w:style>
  <w:style w:type="numbering" w:customStyle="1" w:styleId="Aucuneliste2">
    <w:name w:val="Aucune liste2"/>
    <w:next w:val="NoList"/>
    <w:semiHidden/>
    <w:rsid w:val="009C13A9"/>
  </w:style>
  <w:style w:type="paragraph" w:customStyle="1" w:styleId="Sprechblasentext">
    <w:name w:val="Sprechblasentext"/>
    <w:basedOn w:val="Normal"/>
    <w:rsid w:val="009C13A9"/>
    <w:pPr>
      <w:autoSpaceDE/>
      <w:autoSpaceDN/>
      <w:ind w:left="0" w:firstLine="0"/>
      <w:jc w:val="left"/>
    </w:pPr>
    <w:rPr>
      <w:rFonts w:ascii="Tahoma" w:hAnsi="Tahoma" w:cs="Tahoma"/>
      <w:snapToGrid w:val="0"/>
      <w:sz w:val="16"/>
      <w:szCs w:val="16"/>
      <w:lang w:val="de-DE"/>
    </w:rPr>
  </w:style>
  <w:style w:type="paragraph" w:styleId="List2">
    <w:name w:val="List 2"/>
    <w:basedOn w:val="Normal"/>
    <w:rsid w:val="009C13A9"/>
    <w:pPr>
      <w:autoSpaceDE/>
      <w:autoSpaceDN/>
      <w:ind w:left="566" w:hanging="283"/>
      <w:jc w:val="left"/>
    </w:pPr>
    <w:rPr>
      <w:rFonts w:ascii="Times New Roman" w:hAnsi="Times New Roman"/>
      <w:sz w:val="24"/>
    </w:rPr>
  </w:style>
  <w:style w:type="paragraph" w:styleId="List3">
    <w:name w:val="List 3"/>
    <w:basedOn w:val="Normal"/>
    <w:rsid w:val="009C13A9"/>
    <w:pPr>
      <w:autoSpaceDE/>
      <w:autoSpaceDN/>
      <w:ind w:left="849" w:hanging="283"/>
      <w:jc w:val="left"/>
    </w:pPr>
    <w:rPr>
      <w:rFonts w:ascii="Times New Roman" w:hAnsi="Times New Roman"/>
      <w:sz w:val="24"/>
    </w:rPr>
  </w:style>
  <w:style w:type="paragraph" w:styleId="ListContinue2">
    <w:name w:val="List Continue 2"/>
    <w:basedOn w:val="Normal"/>
    <w:rsid w:val="009C13A9"/>
    <w:pPr>
      <w:autoSpaceDE/>
      <w:autoSpaceDN/>
      <w:spacing w:after="120"/>
      <w:ind w:left="566" w:firstLine="0"/>
      <w:jc w:val="left"/>
    </w:pPr>
    <w:rPr>
      <w:rFonts w:ascii="Times New Roman" w:hAnsi="Times New Roman"/>
      <w:sz w:val="24"/>
    </w:rPr>
  </w:style>
  <w:style w:type="table" w:customStyle="1" w:styleId="Grilledutableau111">
    <w:name w:val="Grille du tableau111"/>
    <w:basedOn w:val="TableNormal"/>
    <w:next w:val="TableGrid"/>
    <w:rsid w:val="009C13A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arCarCarCarCarCarCarCarCarCarCarCarCarCarCar">
    <w:name w:val="Car Car1 Car Car Car Car Car Car Car Car Car Car Car Car Car Car Car Car"/>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Sprechblasentext1">
    <w:name w:val="Sprechblasentext1"/>
    <w:basedOn w:val="Normal"/>
    <w:semiHidden/>
    <w:rsid w:val="009C13A9"/>
    <w:pPr>
      <w:autoSpaceDE/>
      <w:autoSpaceDN/>
      <w:ind w:left="0" w:firstLine="0"/>
      <w:jc w:val="left"/>
    </w:pPr>
    <w:rPr>
      <w:rFonts w:ascii="Tahoma" w:hAnsi="Tahoma"/>
      <w:sz w:val="16"/>
      <w:szCs w:val="16"/>
      <w:lang w:val="de-DE" w:eastAsia="de-DE"/>
    </w:rPr>
  </w:style>
  <w:style w:type="paragraph" w:customStyle="1" w:styleId="CarCar1CarCarCarCarCarCarCarCarCarCarCarZchnZchn">
    <w:name w:val="Car Car1 Car Car Car Car Car Car Car Car Car Car Car Zchn Zchn"/>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CarCar1CarCarCarCarCarCarCarCarCarCarCarZchnZchnCarCarZchnZchn">
    <w:name w:val="Car Car1 Car Car Car Car Car Car Car Car Car Car Car Zchn Zchn Car Car Zchn Zchn"/>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sprechblasentext0">
    <w:name w:val="sprechblasentext"/>
    <w:basedOn w:val="Normal"/>
    <w:rsid w:val="009C13A9"/>
    <w:pPr>
      <w:autoSpaceDE/>
      <w:autoSpaceDN/>
      <w:snapToGrid w:val="0"/>
      <w:ind w:left="0" w:firstLine="0"/>
      <w:jc w:val="left"/>
    </w:pPr>
    <w:rPr>
      <w:rFonts w:ascii="Tahoma" w:hAnsi="Tahoma" w:cs="Tahoma"/>
      <w:sz w:val="16"/>
      <w:szCs w:val="16"/>
    </w:rPr>
  </w:style>
  <w:style w:type="paragraph" w:customStyle="1" w:styleId="CarCar1CarCarCarCarCarCarCarCarCarCarCarZchnZchnCarCarCarCarCar">
    <w:name w:val="Car Car1 Car Car Car Car Car Car Car Car Car Car Car Zchn Zchn Car Car Car Car Car"/>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CarCar1CarCarCarCarCarCar">
    <w:name w:val="Car Car1 Car Car Car Car Car Car"/>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CarCar1CarCarCarCarCarCarCarCarCarCarCarZchnZchnCarCarCarCarCarCarCarCarCarCarCarCarCarCarCarCarCar">
    <w:name w:val="Car Car1 Car Car Car Car Car Car Car Car Car Car Car Zchn Zchn Car Car Car Car Car Car Car Car Car Car Car Car Car Car Car Car Car"/>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character" w:customStyle="1" w:styleId="msoins1">
    <w:name w:val="msoins"/>
    <w:rsid w:val="009C13A9"/>
  </w:style>
  <w:style w:type="paragraph" w:customStyle="1" w:styleId="CarCar1CarCarCarCarCarCarCarCarCarCarCarCarCar">
    <w:name w:val="Car Car1 Car Car Car Car Car Car Car Car Car Car Car Car Car"/>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numbering" w:customStyle="1" w:styleId="Aucuneliste1111">
    <w:name w:val="Aucune liste1111"/>
    <w:next w:val="NoList"/>
    <w:semiHidden/>
    <w:rsid w:val="009C13A9"/>
  </w:style>
  <w:style w:type="paragraph" w:customStyle="1" w:styleId="Sprechblasentext2">
    <w:name w:val="Sprechblasentext2"/>
    <w:basedOn w:val="Normal"/>
    <w:rsid w:val="009C13A9"/>
    <w:pPr>
      <w:autoSpaceDE/>
      <w:autoSpaceDN/>
      <w:ind w:left="0" w:firstLine="0"/>
      <w:jc w:val="left"/>
    </w:pPr>
    <w:rPr>
      <w:rFonts w:ascii="Times New Roman" w:hAnsi="Times New Roman"/>
      <w:sz w:val="16"/>
      <w:szCs w:val="16"/>
      <w:lang w:val="de-DE"/>
    </w:rPr>
  </w:style>
  <w:style w:type="table" w:customStyle="1" w:styleId="Grilledutableau1111">
    <w:name w:val="Grille du tableau1111"/>
    <w:basedOn w:val="TableNormal"/>
    <w:next w:val="TableGrid"/>
    <w:rsid w:val="009C13A9"/>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basedOn w:val="Normal"/>
    <w:next w:val="Normal"/>
    <w:rsid w:val="009C13A9"/>
    <w:pPr>
      <w:autoSpaceDE/>
      <w:autoSpaceDN/>
      <w:spacing w:after="160" w:line="240" w:lineRule="exact"/>
      <w:ind w:left="0" w:firstLine="0"/>
      <w:jc w:val="left"/>
    </w:pPr>
    <w:rPr>
      <w:rFonts w:ascii="Times New Roman" w:hAnsi="Times New Roman"/>
      <w:snapToGrid w:val="0"/>
      <w:sz w:val="24"/>
      <w:lang w:val="en-US"/>
    </w:rPr>
  </w:style>
  <w:style w:type="paragraph" w:customStyle="1" w:styleId="CarCar1CarCarCarCarCarCarCarCarCarCarCarZchnZchnCarCarCarCarCarCarCarCarCarCarCarCarCarCarCarCarCarCarCarCarCar">
    <w:name w:val="Car Car1 Car Car Car Car Car Car Car Car Car Car Car Zchn Zchn Car Car Car Car Car Car Car Car Car Car Car Car Car Car Car Car Car Car Car Car Car"/>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CarCar1CarCarCarCar">
    <w:name w:val="Car Car1 Car Car Car Car"/>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CarCar1CarCarCarCarCarCarCarCarCarCar">
    <w:name w:val="Car Car1 Car Car Car Car Car Car Car Car Car Car"/>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CarCar1CarCarCarCarCarCarCarCarCarCarCarCar">
    <w:name w:val="Car Car1 Car Car Car Car Car Car Car Car Car Car Car Car"/>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CarCar1CarCarCarCarCarCarCarCarCarCarCarZchnZchnCarCarCarCarCarCarCarCarCarCarCarCarCarCarCarCarCarCarCarCarCarCarCarCarCarCar">
    <w:name w:val="Car Car1 Car Car Car Car Car Car Car Car Car Car Car Zchn Zchn Car Car Car Car Car Car Car Car Car Car Car Car Car Car Car Car Car Car Car Car Car Car Car Car Car Car"/>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CarCar1CarCarCarCarCarCarCarCarCarCarCarCarCarCarCar">
    <w:name w:val="Car Car1 Car Car Car Car Car Car Car Car Car Car Car Car Car Car Car"/>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paragraph" w:customStyle="1" w:styleId="ZchnZchnCarCarCarCarCarCarCar">
    <w:name w:val="Zchn Zchn Car Car Car Car Car Car Car"/>
    <w:basedOn w:val="Normal"/>
    <w:next w:val="Normal"/>
    <w:rsid w:val="009C13A9"/>
    <w:pPr>
      <w:autoSpaceDE/>
      <w:autoSpaceDN/>
      <w:spacing w:after="160" w:line="240" w:lineRule="exact"/>
      <w:ind w:left="0" w:firstLine="0"/>
      <w:jc w:val="left"/>
    </w:pPr>
    <w:rPr>
      <w:rFonts w:ascii="Tahoma" w:hAnsi="Tahoma"/>
      <w:sz w:val="24"/>
      <w:szCs w:val="20"/>
      <w:lang w:val="en-US" w:eastAsia="en-US"/>
    </w:rPr>
  </w:style>
  <w:style w:type="numbering" w:customStyle="1" w:styleId="Aucuneliste3">
    <w:name w:val="Aucune liste3"/>
    <w:next w:val="NoList"/>
    <w:semiHidden/>
    <w:rsid w:val="009C13A9"/>
  </w:style>
  <w:style w:type="paragraph" w:customStyle="1" w:styleId="Normal1">
    <w:name w:val="Normal1"/>
    <w:basedOn w:val="Normal"/>
    <w:rsid w:val="009C13A9"/>
    <w:pPr>
      <w:autoSpaceDE/>
      <w:autoSpaceDN/>
      <w:ind w:left="0" w:firstLine="0"/>
      <w:jc w:val="left"/>
    </w:pPr>
    <w:rPr>
      <w:rFonts w:ascii="Times New Roman" w:hAnsi="Times New Roman"/>
      <w:color w:val="000000"/>
      <w:szCs w:val="20"/>
      <w:lang w:val="pl-PL" w:eastAsia="pl-PL"/>
    </w:rPr>
  </w:style>
  <w:style w:type="numbering" w:customStyle="1" w:styleId="Aucuneliste4">
    <w:name w:val="Aucune liste4"/>
    <w:next w:val="NoList"/>
    <w:semiHidden/>
    <w:rsid w:val="009C13A9"/>
  </w:style>
  <w:style w:type="table" w:customStyle="1" w:styleId="Grilledutableau2">
    <w:name w:val="Grille du tableau2"/>
    <w:basedOn w:val="TableNormal"/>
    <w:next w:val="TableGrid"/>
    <w:rsid w:val="009C13A9"/>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NoList"/>
    <w:uiPriority w:val="99"/>
    <w:semiHidden/>
    <w:unhideWhenUsed/>
    <w:rsid w:val="009C13A9"/>
  </w:style>
  <w:style w:type="numbering" w:customStyle="1" w:styleId="Aucuneliste112">
    <w:name w:val="Aucune liste112"/>
    <w:next w:val="NoList"/>
    <w:semiHidden/>
    <w:rsid w:val="009C13A9"/>
  </w:style>
  <w:style w:type="numbering" w:customStyle="1" w:styleId="Aucuneliste21">
    <w:name w:val="Aucune liste21"/>
    <w:next w:val="NoList"/>
    <w:semiHidden/>
    <w:rsid w:val="009C13A9"/>
  </w:style>
  <w:style w:type="table" w:customStyle="1" w:styleId="Grilledutableau12">
    <w:name w:val="Grille du tableau12"/>
    <w:basedOn w:val="TableNormal"/>
    <w:next w:val="TableGrid"/>
    <w:rsid w:val="009C13A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2">
    <w:name w:val="Aucune liste1112"/>
    <w:next w:val="NoList"/>
    <w:semiHidden/>
    <w:rsid w:val="009C13A9"/>
  </w:style>
  <w:style w:type="table" w:customStyle="1" w:styleId="Grilledutableau112">
    <w:name w:val="Grille du tableau112"/>
    <w:basedOn w:val="TableNormal"/>
    <w:next w:val="TableGrid"/>
    <w:rsid w:val="009C13A9"/>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NoList"/>
    <w:semiHidden/>
    <w:rsid w:val="009C13A9"/>
  </w:style>
  <w:style w:type="numbering" w:customStyle="1" w:styleId="Aucuneliste5">
    <w:name w:val="Aucune liste5"/>
    <w:next w:val="NoList"/>
    <w:semiHidden/>
    <w:rsid w:val="009C13A9"/>
  </w:style>
  <w:style w:type="table" w:customStyle="1" w:styleId="Grilledutableau3">
    <w:name w:val="Grille du tableau3"/>
    <w:basedOn w:val="TableNormal"/>
    <w:next w:val="TableGrid"/>
    <w:rsid w:val="009C13A9"/>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NoList"/>
    <w:uiPriority w:val="99"/>
    <w:semiHidden/>
    <w:unhideWhenUsed/>
    <w:rsid w:val="009C13A9"/>
  </w:style>
  <w:style w:type="numbering" w:customStyle="1" w:styleId="Aucuneliste113">
    <w:name w:val="Aucune liste113"/>
    <w:next w:val="NoList"/>
    <w:semiHidden/>
    <w:rsid w:val="009C13A9"/>
  </w:style>
  <w:style w:type="numbering" w:customStyle="1" w:styleId="Aucuneliste22">
    <w:name w:val="Aucune liste22"/>
    <w:next w:val="NoList"/>
    <w:semiHidden/>
    <w:rsid w:val="009C13A9"/>
  </w:style>
  <w:style w:type="table" w:customStyle="1" w:styleId="Grilledutableau13">
    <w:name w:val="Grille du tableau13"/>
    <w:basedOn w:val="TableNormal"/>
    <w:next w:val="TableGrid"/>
    <w:rsid w:val="009C13A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3">
    <w:name w:val="Aucune liste1113"/>
    <w:next w:val="NoList"/>
    <w:semiHidden/>
    <w:rsid w:val="009C13A9"/>
  </w:style>
  <w:style w:type="table" w:customStyle="1" w:styleId="Grilledutableau113">
    <w:name w:val="Grille du tableau113"/>
    <w:basedOn w:val="TableNormal"/>
    <w:next w:val="TableGrid"/>
    <w:rsid w:val="009C13A9"/>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2">
    <w:name w:val="Aucune liste32"/>
    <w:next w:val="NoList"/>
    <w:semiHidden/>
    <w:rsid w:val="009C13A9"/>
  </w:style>
  <w:style w:type="paragraph" w:customStyle="1" w:styleId="Esannch">
    <w:name w:val="Es_ann_ch"/>
    <w:basedOn w:val="Normal"/>
    <w:qFormat/>
    <w:rsid w:val="009C13A9"/>
    <w:pPr>
      <w:spacing w:line="240" w:lineRule="atLeast"/>
    </w:pPr>
    <w:rPr>
      <w:rFonts w:cs="Arial"/>
      <w:color w:val="000000"/>
      <w:lang w:val="nl-NL"/>
    </w:rPr>
  </w:style>
  <w:style w:type="paragraph" w:customStyle="1" w:styleId="Esanngauche">
    <w:name w:val="Es_ann_gauche"/>
    <w:basedOn w:val="Normal"/>
    <w:qFormat/>
    <w:rsid w:val="009C13A9"/>
    <w:pPr>
      <w:tabs>
        <w:tab w:val="left" w:leader="dot" w:pos="9072"/>
      </w:tabs>
      <w:spacing w:line="240" w:lineRule="atLeast"/>
      <w:ind w:left="0" w:firstLine="0"/>
    </w:pPr>
    <w:rPr>
      <w:rFonts w:cs="Arial"/>
      <w:lang w:val="nl-NL"/>
    </w:rPr>
  </w:style>
  <w:style w:type="paragraph" w:customStyle="1" w:styleId="ESannexetitrearticle">
    <w:name w:val="ES_annexe_titre_article"/>
    <w:basedOn w:val="Normal"/>
    <w:qFormat/>
    <w:rsid w:val="009C13A9"/>
    <w:pPr>
      <w:spacing w:line="240" w:lineRule="atLeast"/>
      <w:ind w:left="0" w:firstLine="0"/>
      <w:jc w:val="center"/>
    </w:pPr>
    <w:rPr>
      <w:rFonts w:cs="Arial"/>
      <w:b/>
      <w:noProof/>
      <w:lang w:val="nl-NL"/>
    </w:rPr>
  </w:style>
  <w:style w:type="paragraph" w:customStyle="1" w:styleId="ESannexelet">
    <w:name w:val="ES_annexe_let"/>
    <w:basedOn w:val="Normal"/>
    <w:qFormat/>
    <w:rsid w:val="009C13A9"/>
    <w:pPr>
      <w:spacing w:before="60" w:line="240" w:lineRule="atLeast"/>
      <w:ind w:left="851"/>
    </w:pPr>
    <w:rPr>
      <w:rFonts w:cs="Arial"/>
      <w:noProof/>
      <w:szCs w:val="22"/>
      <w:lang w:val="nl-NL" w:eastAsia="zh-CN"/>
    </w:rPr>
  </w:style>
  <w:style w:type="paragraph" w:customStyle="1" w:styleId="ESannexechpar">
    <w:name w:val="ES_annexe_ch_par"/>
    <w:basedOn w:val="ESchpar"/>
    <w:qFormat/>
    <w:rsid w:val="009C13A9"/>
    <w:pPr>
      <w:ind w:left="426"/>
    </w:pPr>
    <w:rPr>
      <w:lang w:eastAsia="nl-NL"/>
    </w:rPr>
  </w:style>
  <w:style w:type="paragraph" w:customStyle="1" w:styleId="Esannexeletgauch">
    <w:name w:val="Es_annexe_let_gauch"/>
    <w:basedOn w:val="Normal"/>
    <w:qFormat/>
    <w:rsid w:val="009C13A9"/>
    <w:pPr>
      <w:spacing w:before="60" w:line="240" w:lineRule="atLeast"/>
    </w:pPr>
    <w:rPr>
      <w:rFonts w:cs="Arial"/>
      <w:noProof/>
      <w:szCs w:val="22"/>
      <w:lang w:val="nl-NL"/>
    </w:rPr>
  </w:style>
  <w:style w:type="table" w:styleId="MediumGrid1-Accent2">
    <w:name w:val="Medium Grid 1 Accent 2"/>
    <w:basedOn w:val="TableNormal"/>
    <w:uiPriority w:val="67"/>
    <w:rsid w:val="009C13A9"/>
    <w:rPr>
      <w:rFonts w:eastAsia="Calibri"/>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Bullet0">
    <w:name w:val="Bullet 0"/>
    <w:basedOn w:val="Normal"/>
    <w:rsid w:val="009C13A9"/>
    <w:pPr>
      <w:numPr>
        <w:numId w:val="4"/>
      </w:numPr>
      <w:autoSpaceDE/>
      <w:autoSpaceDN/>
      <w:spacing w:before="120" w:after="120"/>
    </w:pPr>
    <w:rPr>
      <w:rFonts w:ascii="Times New Roman" w:hAnsi="Times New Roman"/>
      <w:sz w:val="24"/>
      <w:lang w:val="en-GB" w:eastAsia="en-US"/>
    </w:rPr>
  </w:style>
  <w:style w:type="paragraph" w:customStyle="1" w:styleId="Bullet1">
    <w:name w:val="Bullet 1"/>
    <w:basedOn w:val="Normal"/>
    <w:rsid w:val="009C13A9"/>
    <w:pPr>
      <w:numPr>
        <w:numId w:val="5"/>
      </w:numPr>
      <w:autoSpaceDE/>
      <w:autoSpaceDN/>
      <w:spacing w:before="120" w:after="120"/>
    </w:pPr>
    <w:rPr>
      <w:rFonts w:ascii="Times New Roman" w:hAnsi="Times New Roman"/>
      <w:sz w:val="24"/>
      <w:lang w:val="en-GB" w:eastAsia="en-US"/>
    </w:rPr>
  </w:style>
  <w:style w:type="paragraph" w:customStyle="1" w:styleId="Bullet2">
    <w:name w:val="Bullet 2"/>
    <w:basedOn w:val="Normal"/>
    <w:rsid w:val="009C13A9"/>
    <w:pPr>
      <w:numPr>
        <w:numId w:val="6"/>
      </w:numPr>
      <w:autoSpaceDE/>
      <w:autoSpaceDN/>
      <w:spacing w:before="120" w:after="120"/>
    </w:pPr>
    <w:rPr>
      <w:rFonts w:ascii="Times New Roman" w:hAnsi="Times New Roman"/>
      <w:sz w:val="24"/>
      <w:lang w:val="en-GB" w:eastAsia="en-US"/>
    </w:rPr>
  </w:style>
  <w:style w:type="character" w:styleId="PlaceholderText">
    <w:name w:val="Placeholder Text"/>
    <w:basedOn w:val="DefaultParagraphFont"/>
    <w:uiPriority w:val="99"/>
    <w:semiHidden/>
    <w:rsid w:val="00395A9E"/>
    <w:rPr>
      <w:color w:val="808080"/>
    </w:rPr>
  </w:style>
  <w:style w:type="numbering" w:customStyle="1" w:styleId="Aucuneliste6">
    <w:name w:val="Aucune liste6"/>
    <w:next w:val="NoList"/>
    <w:uiPriority w:val="99"/>
    <w:semiHidden/>
    <w:unhideWhenUsed/>
    <w:rsid w:val="005C7DB3"/>
  </w:style>
  <w:style w:type="paragraph" w:customStyle="1" w:styleId="jeveux">
    <w:name w:val="je_veux"/>
    <w:basedOn w:val="Normal"/>
    <w:rsid w:val="005C7DB3"/>
    <w:pPr>
      <w:numPr>
        <w:numId w:val="9"/>
      </w:numPr>
      <w:tabs>
        <w:tab w:val="left" w:pos="425"/>
        <w:tab w:val="left" w:pos="6237"/>
      </w:tabs>
      <w:suppressAutoHyphens/>
      <w:autoSpaceDE/>
      <w:autoSpaceDN/>
      <w:spacing w:before="120"/>
    </w:pPr>
    <w:rPr>
      <w:rFonts w:ascii="Times New Roman" w:hAnsi="Times New Roman"/>
      <w:snapToGrid w:val="0"/>
      <w:sz w:val="24"/>
      <w:lang w:val="nl-NL"/>
    </w:rPr>
  </w:style>
  <w:style w:type="paragraph" w:customStyle="1" w:styleId="Gemiddeldraster1-accent21">
    <w:name w:val="Gemiddeld raster 1 - accent 21"/>
    <w:basedOn w:val="Normal"/>
    <w:uiPriority w:val="99"/>
    <w:qFormat/>
    <w:rsid w:val="005C7DB3"/>
    <w:pPr>
      <w:autoSpaceDE/>
      <w:autoSpaceDN/>
      <w:spacing w:after="200" w:line="276" w:lineRule="auto"/>
      <w:ind w:left="720" w:firstLine="0"/>
      <w:contextualSpacing/>
      <w:jc w:val="left"/>
    </w:pPr>
    <w:rPr>
      <w:rFonts w:ascii="Calibri" w:eastAsia="Calibri" w:hAnsi="Calibri"/>
      <w:sz w:val="22"/>
      <w:szCs w:val="22"/>
      <w:lang w:val="nl-NL" w:eastAsia="en-US"/>
    </w:rPr>
  </w:style>
  <w:style w:type="paragraph" w:customStyle="1" w:styleId="Chiffregras">
    <w:name w:val="Chiffre_gras"/>
    <w:basedOn w:val="Normal"/>
    <w:qFormat/>
    <w:rsid w:val="005C7DB3"/>
    <w:pPr>
      <w:adjustRightInd w:val="0"/>
      <w:spacing w:line="240" w:lineRule="atLeast"/>
      <w:ind w:left="709" w:hanging="709"/>
      <w:outlineLvl w:val="0"/>
    </w:pPr>
    <w:rPr>
      <w:rFonts w:ascii="Times New Roman" w:eastAsia="Calibri" w:hAnsi="Times New Roman"/>
      <w:b/>
      <w:bCs/>
      <w:sz w:val="24"/>
      <w:lang w:val="de-DE" w:eastAsia="en-US"/>
    </w:rPr>
  </w:style>
  <w:style w:type="paragraph" w:customStyle="1" w:styleId="Chiffrepar">
    <w:name w:val="Chiffre_par"/>
    <w:basedOn w:val="Normal"/>
    <w:qFormat/>
    <w:rsid w:val="005C7DB3"/>
    <w:pPr>
      <w:adjustRightInd w:val="0"/>
      <w:spacing w:line="240" w:lineRule="atLeast"/>
      <w:ind w:left="709" w:firstLine="0"/>
    </w:pPr>
    <w:rPr>
      <w:rFonts w:ascii="Times New Roman" w:eastAsia="Calibri" w:hAnsi="Times New Roman"/>
      <w:sz w:val="24"/>
      <w:lang w:val="de-DE" w:eastAsia="en-US"/>
    </w:rPr>
  </w:style>
  <w:style w:type="paragraph" w:customStyle="1" w:styleId="Chiffre">
    <w:name w:val="Chiffre"/>
    <w:basedOn w:val="Normal"/>
    <w:qFormat/>
    <w:rsid w:val="005C7DB3"/>
    <w:pPr>
      <w:adjustRightInd w:val="0"/>
      <w:spacing w:line="240" w:lineRule="atLeast"/>
      <w:ind w:left="709" w:hanging="709"/>
    </w:pPr>
    <w:rPr>
      <w:rFonts w:ascii="Times New Roman" w:eastAsia="Calibri" w:hAnsi="Times New Roman"/>
      <w:sz w:val="24"/>
      <w:lang w:val="de-DE" w:eastAsia="en-US"/>
    </w:rPr>
  </w:style>
  <w:style w:type="paragraph" w:customStyle="1" w:styleId="chiffrelettre">
    <w:name w:val="chiffre_lettre"/>
    <w:basedOn w:val="Normal"/>
    <w:qFormat/>
    <w:rsid w:val="005C7DB3"/>
    <w:pPr>
      <w:adjustRightInd w:val="0"/>
      <w:spacing w:before="60" w:line="240" w:lineRule="atLeast"/>
      <w:ind w:left="1134"/>
    </w:pPr>
    <w:rPr>
      <w:rFonts w:ascii="Times New Roman" w:eastAsia="Calibri" w:hAnsi="Times New Roman"/>
      <w:sz w:val="24"/>
      <w:lang w:val="de-DE" w:eastAsia="en-US"/>
    </w:rPr>
  </w:style>
  <w:style w:type="paragraph" w:customStyle="1" w:styleId="Esann8ch">
    <w:name w:val="Es_ann8_ch"/>
    <w:basedOn w:val="Normal"/>
    <w:qFormat/>
    <w:rsid w:val="00A94102"/>
    <w:pPr>
      <w:spacing w:line="240" w:lineRule="atLeast"/>
      <w:ind w:left="851" w:hanging="851"/>
    </w:pPr>
    <w:rPr>
      <w:rFonts w:eastAsia="Calibri" w:cs="Arial"/>
      <w:color w:val="000000"/>
      <w:szCs w:val="20"/>
      <w:lang w:eastAsia="en-US"/>
    </w:rPr>
  </w:style>
  <w:style w:type="paragraph" w:customStyle="1" w:styleId="Esann8chgras">
    <w:name w:val="Es_ann8_ch_gras"/>
    <w:basedOn w:val="ESchgras"/>
    <w:qFormat/>
    <w:rsid w:val="00A94102"/>
    <w:pPr>
      <w:ind w:left="851" w:hanging="851"/>
    </w:pPr>
  </w:style>
  <w:style w:type="paragraph" w:customStyle="1" w:styleId="Esann8titrechap">
    <w:name w:val="Es_ann8_titre_chap"/>
    <w:basedOn w:val="Esann8chgras"/>
    <w:qFormat/>
    <w:rsid w:val="00A94102"/>
    <w:pPr>
      <w:jc w:val="center"/>
    </w:pPr>
  </w:style>
  <w:style w:type="paragraph" w:customStyle="1" w:styleId="Esann8let">
    <w:name w:val="Es_ann8_let"/>
    <w:basedOn w:val="Esann8ch"/>
    <w:qFormat/>
    <w:rsid w:val="008632BC"/>
    <w:pPr>
      <w:spacing w:before="60"/>
      <w:ind w:left="1276" w:hanging="425"/>
    </w:pPr>
  </w:style>
  <w:style w:type="paragraph" w:customStyle="1" w:styleId="Esann8chpar">
    <w:name w:val="Es_ann8_ch_par"/>
    <w:basedOn w:val="Esann8ch"/>
    <w:qFormat/>
    <w:rsid w:val="00ED22AF"/>
    <w:pPr>
      <w:ind w:firstLine="0"/>
    </w:pPr>
  </w:style>
  <w:style w:type="character" w:customStyle="1" w:styleId="hps">
    <w:name w:val="hps"/>
    <w:basedOn w:val="DefaultParagraphFont"/>
    <w:rsid w:val="00A26ED8"/>
  </w:style>
  <w:style w:type="character" w:customStyle="1" w:styleId="atn">
    <w:name w:val="atn"/>
    <w:basedOn w:val="DefaultParagraphFont"/>
    <w:rsid w:val="00A26ED8"/>
  </w:style>
  <w:style w:type="numbering" w:customStyle="1" w:styleId="Aucuneliste7">
    <w:name w:val="Aucune liste7"/>
    <w:next w:val="NoList"/>
    <w:uiPriority w:val="99"/>
    <w:semiHidden/>
    <w:unhideWhenUsed/>
    <w:rsid w:val="001D0FFC"/>
  </w:style>
  <w:style w:type="paragraph" w:customStyle="1" w:styleId="tbl-norm">
    <w:name w:val="tbl-norm"/>
    <w:basedOn w:val="Normal"/>
    <w:rsid w:val="003D29D8"/>
    <w:pPr>
      <w:autoSpaceDE/>
      <w:autoSpaceDN/>
      <w:spacing w:before="100" w:beforeAutospacing="1" w:after="100" w:afterAutospacing="1"/>
      <w:ind w:left="0" w:firstLine="0"/>
      <w:jc w:val="left"/>
    </w:pPr>
    <w:rPr>
      <w:rFonts w:ascii="Times New Roman" w:hAnsi="Times New Roman"/>
      <w:sz w:val="24"/>
    </w:rPr>
  </w:style>
  <w:style w:type="paragraph" w:customStyle="1" w:styleId="norm">
    <w:name w:val="norm"/>
    <w:basedOn w:val="Normal"/>
    <w:rsid w:val="003D29D8"/>
    <w:pPr>
      <w:autoSpaceDE/>
      <w:autoSpaceDN/>
      <w:spacing w:before="100" w:beforeAutospacing="1" w:after="100" w:afterAutospacing="1"/>
      <w:ind w:left="0" w:firstLine="0"/>
      <w:jc w:val="left"/>
    </w:pPr>
    <w:rPr>
      <w:rFonts w:ascii="Times New Roman" w:hAnsi="Times New Roman"/>
      <w:sz w:val="24"/>
    </w:rPr>
  </w:style>
  <w:style w:type="table" w:customStyle="1" w:styleId="Grilledutableau14">
    <w:name w:val="Grille du tableau14"/>
    <w:basedOn w:val="TableNormal"/>
    <w:next w:val="TableGrid"/>
    <w:rsid w:val="004F47BB"/>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4">
    <w:name w:val="Grille du tableau114"/>
    <w:basedOn w:val="TableNormal"/>
    <w:next w:val="TableGrid"/>
    <w:rsid w:val="004F47B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2">
    <w:name w:val="Grille du tableau1112"/>
    <w:basedOn w:val="TableNormal"/>
    <w:next w:val="TableGrid"/>
    <w:rsid w:val="004F47BB"/>
    <w:rPr>
      <w:rFonts w:ascii="Times New Roman" w:hAnsi="Times New Roman"/>
      <w:snapToGrid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chdecale">
    <w:name w:val="ES_ch_decale"/>
    <w:basedOn w:val="Normal"/>
    <w:qFormat/>
    <w:rsid w:val="004F47BB"/>
    <w:pPr>
      <w:tabs>
        <w:tab w:val="left" w:pos="567"/>
        <w:tab w:val="left" w:pos="1418"/>
      </w:tabs>
      <w:autoSpaceDE/>
      <w:autoSpaceDN/>
      <w:spacing w:line="240" w:lineRule="atLeast"/>
      <w:ind w:left="1418" w:hanging="851"/>
    </w:pPr>
  </w:style>
  <w:style w:type="paragraph" w:customStyle="1" w:styleId="ESchdecalepar">
    <w:name w:val="ES_ch_decale_par"/>
    <w:basedOn w:val="ESchdecale"/>
    <w:qFormat/>
    <w:rsid w:val="004F47BB"/>
    <w:pPr>
      <w:tabs>
        <w:tab w:val="clear" w:pos="567"/>
      </w:tabs>
      <w:ind w:firstLine="0"/>
    </w:pPr>
    <w:rPr>
      <w:noProof/>
    </w:rPr>
  </w:style>
  <w:style w:type="paragraph" w:customStyle="1" w:styleId="ESletparettab">
    <w:name w:val="ES_let_par_et_tab"/>
    <w:basedOn w:val="ESletpar"/>
    <w:qFormat/>
    <w:rsid w:val="004F47BB"/>
    <w:pPr>
      <w:tabs>
        <w:tab w:val="left" w:pos="2552"/>
        <w:tab w:val="left" w:pos="2977"/>
        <w:tab w:val="left" w:pos="3402"/>
      </w:tabs>
      <w:ind w:left="1418" w:hanging="426"/>
    </w:pPr>
  </w:style>
  <w:style w:type="paragraph" w:customStyle="1" w:styleId="IS1cm">
    <w:name w:val="IS_1cm"/>
    <w:basedOn w:val="Normal"/>
    <w:link w:val="IS1cmCar"/>
    <w:rsid w:val="004F47BB"/>
    <w:pPr>
      <w:tabs>
        <w:tab w:val="left" w:pos="567"/>
      </w:tabs>
      <w:overflowPunct w:val="0"/>
      <w:adjustRightInd w:val="0"/>
      <w:spacing w:line="240" w:lineRule="atLeast"/>
      <w:ind w:left="567" w:hanging="567"/>
      <w:textAlignment w:val="baseline"/>
    </w:pPr>
    <w:rPr>
      <w:szCs w:val="20"/>
      <w:lang w:val="de-DE"/>
    </w:rPr>
  </w:style>
  <w:style w:type="character" w:customStyle="1" w:styleId="IS1cmCar">
    <w:name w:val="IS_1cm Car"/>
    <w:link w:val="IS1cm"/>
    <w:rsid w:val="004F47BB"/>
    <w:rPr>
      <w:rFonts w:ascii="Arial" w:hAnsi="Arial"/>
      <w:lang w:val="de-DE"/>
    </w:rPr>
  </w:style>
  <w:style w:type="paragraph" w:customStyle="1" w:styleId="IS1cmg075cm">
    <w:name w:val="IS_1cmg_0_75cm"/>
    <w:basedOn w:val="IS1cm"/>
    <w:rsid w:val="004F47BB"/>
    <w:pPr>
      <w:tabs>
        <w:tab w:val="clear" w:pos="567"/>
        <w:tab w:val="left" w:pos="992"/>
      </w:tabs>
      <w:ind w:left="992" w:hanging="425"/>
    </w:pPr>
  </w:style>
  <w:style w:type="paragraph" w:customStyle="1" w:styleId="IS175cm">
    <w:name w:val="IS_175cm"/>
    <w:basedOn w:val="Normal"/>
    <w:rsid w:val="004F47BB"/>
    <w:pPr>
      <w:tabs>
        <w:tab w:val="left" w:pos="1418"/>
      </w:tabs>
      <w:overflowPunct w:val="0"/>
      <w:adjustRightInd w:val="0"/>
      <w:spacing w:line="240" w:lineRule="atLeast"/>
      <w:ind w:left="1417"/>
      <w:jc w:val="left"/>
      <w:textAlignment w:val="baseline"/>
    </w:pPr>
    <w:rPr>
      <w:szCs w:val="20"/>
      <w:lang w:val="de-DE"/>
    </w:rPr>
  </w:style>
  <w:style w:type="paragraph" w:customStyle="1" w:styleId="ES-Titre2ESI">
    <w:name w:val="ES-Titre2_ESI"/>
    <w:basedOn w:val="ES-Titre2"/>
    <w:qFormat/>
    <w:rsid w:val="004F47BB"/>
    <w:pPr>
      <w:pageBreakBefore w:val="0"/>
    </w:pPr>
  </w:style>
  <w:style w:type="paragraph" w:customStyle="1" w:styleId="ES-Titre4prESIexple">
    <w:name w:val="ES-Titre4_pr_ESI_exple"/>
    <w:basedOn w:val="ES-Titre3prchap32"/>
    <w:qFormat/>
    <w:rsid w:val="005B46C9"/>
  </w:style>
  <w:style w:type="paragraph" w:customStyle="1" w:styleId="ES-Titre4">
    <w:name w:val="ES-Titre4"/>
    <w:basedOn w:val="ES-Titre3"/>
    <w:qFormat/>
    <w:rsid w:val="00C859BD"/>
    <w:rPr>
      <w:lang w:val="en-US"/>
    </w:rPr>
  </w:style>
  <w:style w:type="paragraph" w:customStyle="1" w:styleId="ES-Titre4a">
    <w:name w:val="ES-Titre4a"/>
    <w:basedOn w:val="ES-Titre3a"/>
    <w:qFormat/>
    <w:rsid w:val="00C859BD"/>
    <w:rPr>
      <w:lang w:val="en-US"/>
    </w:rPr>
  </w:style>
  <w:style w:type="paragraph" w:customStyle="1" w:styleId="Eschlettre">
    <w:name w:val="Es_ch_lettre"/>
    <w:basedOn w:val="ESch"/>
    <w:qFormat/>
    <w:rsid w:val="00505433"/>
    <w:pPr>
      <w:tabs>
        <w:tab w:val="left" w:pos="567"/>
      </w:tabs>
      <w:ind w:left="992" w:hanging="992"/>
    </w:pPr>
    <w:rPr>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2696">
      <w:bodyDiv w:val="1"/>
      <w:marLeft w:val="0"/>
      <w:marRight w:val="0"/>
      <w:marTop w:val="0"/>
      <w:marBottom w:val="0"/>
      <w:divBdr>
        <w:top w:val="none" w:sz="0" w:space="0" w:color="auto"/>
        <w:left w:val="none" w:sz="0" w:space="0" w:color="auto"/>
        <w:bottom w:val="none" w:sz="0" w:space="0" w:color="auto"/>
        <w:right w:val="none" w:sz="0" w:space="0" w:color="auto"/>
      </w:divBdr>
    </w:div>
    <w:div w:id="116535451">
      <w:bodyDiv w:val="1"/>
      <w:marLeft w:val="0"/>
      <w:marRight w:val="0"/>
      <w:marTop w:val="0"/>
      <w:marBottom w:val="0"/>
      <w:divBdr>
        <w:top w:val="none" w:sz="0" w:space="0" w:color="auto"/>
        <w:left w:val="none" w:sz="0" w:space="0" w:color="auto"/>
        <w:bottom w:val="none" w:sz="0" w:space="0" w:color="auto"/>
        <w:right w:val="none" w:sz="0" w:space="0" w:color="auto"/>
      </w:divBdr>
    </w:div>
    <w:div w:id="444081102">
      <w:bodyDiv w:val="1"/>
      <w:marLeft w:val="0"/>
      <w:marRight w:val="0"/>
      <w:marTop w:val="0"/>
      <w:marBottom w:val="0"/>
      <w:divBdr>
        <w:top w:val="none" w:sz="0" w:space="0" w:color="auto"/>
        <w:left w:val="none" w:sz="0" w:space="0" w:color="auto"/>
        <w:bottom w:val="none" w:sz="0" w:space="0" w:color="auto"/>
        <w:right w:val="none" w:sz="0" w:space="0" w:color="auto"/>
      </w:divBdr>
    </w:div>
    <w:div w:id="877932533">
      <w:bodyDiv w:val="1"/>
      <w:marLeft w:val="0"/>
      <w:marRight w:val="0"/>
      <w:marTop w:val="0"/>
      <w:marBottom w:val="0"/>
      <w:divBdr>
        <w:top w:val="none" w:sz="0" w:space="0" w:color="auto"/>
        <w:left w:val="none" w:sz="0" w:space="0" w:color="auto"/>
        <w:bottom w:val="none" w:sz="0" w:space="0" w:color="auto"/>
        <w:right w:val="none" w:sz="0" w:space="0" w:color="auto"/>
      </w:divBdr>
    </w:div>
    <w:div w:id="920331382">
      <w:bodyDiv w:val="1"/>
      <w:marLeft w:val="0"/>
      <w:marRight w:val="0"/>
      <w:marTop w:val="0"/>
      <w:marBottom w:val="0"/>
      <w:divBdr>
        <w:top w:val="none" w:sz="0" w:space="0" w:color="auto"/>
        <w:left w:val="none" w:sz="0" w:space="0" w:color="auto"/>
        <w:bottom w:val="none" w:sz="0" w:space="0" w:color="auto"/>
        <w:right w:val="none" w:sz="0" w:space="0" w:color="auto"/>
      </w:divBdr>
    </w:div>
    <w:div w:id="959919701">
      <w:bodyDiv w:val="1"/>
      <w:marLeft w:val="0"/>
      <w:marRight w:val="0"/>
      <w:marTop w:val="0"/>
      <w:marBottom w:val="0"/>
      <w:divBdr>
        <w:top w:val="none" w:sz="0" w:space="0" w:color="auto"/>
        <w:left w:val="none" w:sz="0" w:space="0" w:color="auto"/>
        <w:bottom w:val="none" w:sz="0" w:space="0" w:color="auto"/>
        <w:right w:val="none" w:sz="0" w:space="0" w:color="auto"/>
      </w:divBdr>
    </w:div>
    <w:div w:id="1067725200">
      <w:bodyDiv w:val="1"/>
      <w:marLeft w:val="0"/>
      <w:marRight w:val="0"/>
      <w:marTop w:val="0"/>
      <w:marBottom w:val="0"/>
      <w:divBdr>
        <w:top w:val="none" w:sz="0" w:space="0" w:color="auto"/>
        <w:left w:val="none" w:sz="0" w:space="0" w:color="auto"/>
        <w:bottom w:val="none" w:sz="0" w:space="0" w:color="auto"/>
        <w:right w:val="none" w:sz="0" w:space="0" w:color="auto"/>
      </w:divBdr>
    </w:div>
    <w:div w:id="1266574180">
      <w:bodyDiv w:val="1"/>
      <w:marLeft w:val="0"/>
      <w:marRight w:val="0"/>
      <w:marTop w:val="0"/>
      <w:marBottom w:val="0"/>
      <w:divBdr>
        <w:top w:val="none" w:sz="0" w:space="0" w:color="auto"/>
        <w:left w:val="none" w:sz="0" w:space="0" w:color="auto"/>
        <w:bottom w:val="none" w:sz="0" w:space="0" w:color="auto"/>
        <w:right w:val="none" w:sz="0" w:space="0" w:color="auto"/>
      </w:divBdr>
    </w:div>
    <w:div w:id="1841234259">
      <w:bodyDiv w:val="1"/>
      <w:marLeft w:val="0"/>
      <w:marRight w:val="0"/>
      <w:marTop w:val="0"/>
      <w:marBottom w:val="0"/>
      <w:divBdr>
        <w:top w:val="none" w:sz="0" w:space="0" w:color="auto"/>
        <w:left w:val="none" w:sz="0" w:space="0" w:color="auto"/>
        <w:bottom w:val="none" w:sz="0" w:space="0" w:color="auto"/>
        <w:right w:val="none" w:sz="0" w:space="0" w:color="auto"/>
      </w:divBdr>
    </w:div>
    <w:div w:id="1843202567">
      <w:bodyDiv w:val="1"/>
      <w:marLeft w:val="0"/>
      <w:marRight w:val="0"/>
      <w:marTop w:val="0"/>
      <w:marBottom w:val="0"/>
      <w:divBdr>
        <w:top w:val="none" w:sz="0" w:space="0" w:color="auto"/>
        <w:left w:val="none" w:sz="0" w:space="0" w:color="auto"/>
        <w:bottom w:val="none" w:sz="0" w:space="0" w:color="auto"/>
        <w:right w:val="none" w:sz="0" w:space="0" w:color="auto"/>
      </w:divBdr>
    </w:div>
    <w:div w:id="1918395660">
      <w:bodyDiv w:val="1"/>
      <w:marLeft w:val="0"/>
      <w:marRight w:val="0"/>
      <w:marTop w:val="0"/>
      <w:marBottom w:val="0"/>
      <w:divBdr>
        <w:top w:val="none" w:sz="0" w:space="0" w:color="auto"/>
        <w:left w:val="none" w:sz="0" w:space="0" w:color="auto"/>
        <w:bottom w:val="none" w:sz="0" w:space="0" w:color="auto"/>
        <w:right w:val="none" w:sz="0" w:space="0" w:color="auto"/>
      </w:divBdr>
    </w:div>
    <w:div w:id="212002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48.xml"/><Relationship Id="rId21" Type="http://schemas.openxmlformats.org/officeDocument/2006/relationships/image" Target="media/image3.jpeg"/><Relationship Id="rId42" Type="http://schemas.openxmlformats.org/officeDocument/2006/relationships/header" Target="header19.xml"/><Relationship Id="rId47" Type="http://schemas.openxmlformats.org/officeDocument/2006/relationships/footer" Target="footer11.xml"/><Relationship Id="rId63" Type="http://schemas.openxmlformats.org/officeDocument/2006/relationships/footer" Target="footer14.xml"/><Relationship Id="rId68" Type="http://schemas.openxmlformats.org/officeDocument/2006/relationships/footer" Target="footer15.xml"/><Relationship Id="rId84" Type="http://schemas.openxmlformats.org/officeDocument/2006/relationships/header" Target="header33.xml"/><Relationship Id="rId89" Type="http://schemas.openxmlformats.org/officeDocument/2006/relationships/footer" Target="footer25.xml"/><Relationship Id="rId112" Type="http://schemas.openxmlformats.org/officeDocument/2006/relationships/footer" Target="footer34.xml"/><Relationship Id="rId133" Type="http://schemas.openxmlformats.org/officeDocument/2006/relationships/footer" Target="footer39.xml"/><Relationship Id="rId138" Type="http://schemas.openxmlformats.org/officeDocument/2006/relationships/header" Target="header60.xml"/><Relationship Id="rId16" Type="http://schemas.openxmlformats.org/officeDocument/2006/relationships/header" Target="header4.xml"/><Relationship Id="rId107" Type="http://schemas.openxmlformats.org/officeDocument/2006/relationships/header" Target="header43.xml"/><Relationship Id="rId11" Type="http://schemas.openxmlformats.org/officeDocument/2006/relationships/header" Target="header2.xml"/><Relationship Id="rId32" Type="http://schemas.openxmlformats.org/officeDocument/2006/relationships/header" Target="header13.xml"/><Relationship Id="rId37" Type="http://schemas.openxmlformats.org/officeDocument/2006/relationships/footer" Target="footer7.xml"/><Relationship Id="rId53" Type="http://schemas.openxmlformats.org/officeDocument/2006/relationships/image" Target="media/image10.wmf"/><Relationship Id="rId58" Type="http://schemas.openxmlformats.org/officeDocument/2006/relationships/image" Target="media/image15.jpeg"/><Relationship Id="rId74" Type="http://schemas.openxmlformats.org/officeDocument/2006/relationships/header" Target="header28.xml"/><Relationship Id="rId79" Type="http://schemas.openxmlformats.org/officeDocument/2006/relationships/footer" Target="footer20.xml"/><Relationship Id="rId102" Type="http://schemas.openxmlformats.org/officeDocument/2006/relationships/header" Target="header40.xml"/><Relationship Id="rId123" Type="http://schemas.openxmlformats.org/officeDocument/2006/relationships/footer" Target="footer37.xml"/><Relationship Id="rId128" Type="http://schemas.openxmlformats.org/officeDocument/2006/relationships/header" Target="header55.xml"/><Relationship Id="rId144" Type="http://schemas.openxmlformats.org/officeDocument/2006/relationships/header" Target="header62.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6.xml"/><Relationship Id="rId95" Type="http://schemas.openxmlformats.org/officeDocument/2006/relationships/footer" Target="footer28.xml"/><Relationship Id="rId22" Type="http://schemas.openxmlformats.org/officeDocument/2006/relationships/image" Target="media/image4.png"/><Relationship Id="rId27" Type="http://schemas.openxmlformats.org/officeDocument/2006/relationships/footer" Target="footer4.xml"/><Relationship Id="rId43" Type="http://schemas.openxmlformats.org/officeDocument/2006/relationships/image" Target="media/image7.wmf"/><Relationship Id="rId48" Type="http://schemas.openxmlformats.org/officeDocument/2006/relationships/header" Target="header22.xml"/><Relationship Id="rId64" Type="http://schemas.openxmlformats.org/officeDocument/2006/relationships/image" Target="media/image19.png"/><Relationship Id="rId69" Type="http://schemas.openxmlformats.org/officeDocument/2006/relationships/header" Target="header25.xml"/><Relationship Id="rId113" Type="http://schemas.openxmlformats.org/officeDocument/2006/relationships/footer" Target="footer35.xml"/><Relationship Id="rId118" Type="http://schemas.openxmlformats.org/officeDocument/2006/relationships/footer" Target="footer36.xml"/><Relationship Id="rId134" Type="http://schemas.openxmlformats.org/officeDocument/2006/relationships/header" Target="header58.xml"/><Relationship Id="rId139" Type="http://schemas.openxmlformats.org/officeDocument/2006/relationships/image" Target="media/image30.jpeg"/><Relationship Id="rId80" Type="http://schemas.openxmlformats.org/officeDocument/2006/relationships/header" Target="header31.xml"/><Relationship Id="rId85" Type="http://schemas.openxmlformats.org/officeDocument/2006/relationships/footer" Target="footer23.xm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1.xml"/><Relationship Id="rId59" Type="http://schemas.openxmlformats.org/officeDocument/2006/relationships/image" Target="media/image16.jpeg"/><Relationship Id="rId67" Type="http://schemas.openxmlformats.org/officeDocument/2006/relationships/header" Target="header24.xml"/><Relationship Id="rId103" Type="http://schemas.openxmlformats.org/officeDocument/2006/relationships/footer" Target="footer30.xml"/><Relationship Id="rId108" Type="http://schemas.openxmlformats.org/officeDocument/2006/relationships/footer" Target="footer32.xml"/><Relationship Id="rId116" Type="http://schemas.openxmlformats.org/officeDocument/2006/relationships/header" Target="header47.xml"/><Relationship Id="rId124" Type="http://schemas.openxmlformats.org/officeDocument/2006/relationships/header" Target="header51.xml"/><Relationship Id="rId129" Type="http://schemas.openxmlformats.org/officeDocument/2006/relationships/image" Target="media/image29.wmf"/><Relationship Id="rId137" Type="http://schemas.openxmlformats.org/officeDocument/2006/relationships/footer" Target="footer41.xml"/><Relationship Id="rId20" Type="http://schemas.openxmlformats.org/officeDocument/2006/relationships/header" Target="header7.xml"/><Relationship Id="rId41" Type="http://schemas.openxmlformats.org/officeDocument/2006/relationships/footer" Target="footer9.xml"/><Relationship Id="rId54" Type="http://schemas.openxmlformats.org/officeDocument/2006/relationships/image" Target="media/image11.wmf"/><Relationship Id="rId62" Type="http://schemas.openxmlformats.org/officeDocument/2006/relationships/header" Target="header23.xml"/><Relationship Id="rId70" Type="http://schemas.openxmlformats.org/officeDocument/2006/relationships/header" Target="header26.xml"/><Relationship Id="rId75" Type="http://schemas.openxmlformats.org/officeDocument/2006/relationships/header" Target="header29.xml"/><Relationship Id="rId83" Type="http://schemas.openxmlformats.org/officeDocument/2006/relationships/footer" Target="footer22.xml"/><Relationship Id="rId88" Type="http://schemas.openxmlformats.org/officeDocument/2006/relationships/footer" Target="footer24.xml"/><Relationship Id="rId91" Type="http://schemas.openxmlformats.org/officeDocument/2006/relationships/footer" Target="footer26.xml"/><Relationship Id="rId96" Type="http://schemas.openxmlformats.org/officeDocument/2006/relationships/image" Target="media/image22.jpg"/><Relationship Id="rId111" Type="http://schemas.openxmlformats.org/officeDocument/2006/relationships/footer" Target="footer33.xml"/><Relationship Id="rId132" Type="http://schemas.openxmlformats.org/officeDocument/2006/relationships/header" Target="header57.xml"/><Relationship Id="rId140" Type="http://schemas.openxmlformats.org/officeDocument/2006/relationships/image" Target="media/image31.png"/><Relationship Id="rId145"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footer" Target="footer12.xml"/><Relationship Id="rId57" Type="http://schemas.openxmlformats.org/officeDocument/2006/relationships/image" Target="media/image14.wmf"/><Relationship Id="rId106" Type="http://schemas.openxmlformats.org/officeDocument/2006/relationships/footer" Target="footer31.xml"/><Relationship Id="rId114" Type="http://schemas.openxmlformats.org/officeDocument/2006/relationships/image" Target="media/image26.wmf"/><Relationship Id="rId119" Type="http://schemas.openxmlformats.org/officeDocument/2006/relationships/image" Target="media/image27.emf"/><Relationship Id="rId127" Type="http://schemas.openxmlformats.org/officeDocument/2006/relationships/header" Target="header54.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image" Target="media/image9.wmf"/><Relationship Id="rId60" Type="http://schemas.openxmlformats.org/officeDocument/2006/relationships/image" Target="media/image17.png"/><Relationship Id="rId65" Type="http://schemas.openxmlformats.org/officeDocument/2006/relationships/image" Target="media/image20.png"/><Relationship Id="rId73" Type="http://schemas.openxmlformats.org/officeDocument/2006/relationships/footer" Target="footer17.xml"/><Relationship Id="rId78" Type="http://schemas.openxmlformats.org/officeDocument/2006/relationships/header" Target="header30.xml"/><Relationship Id="rId81" Type="http://schemas.openxmlformats.org/officeDocument/2006/relationships/header" Target="header32.xml"/><Relationship Id="rId86" Type="http://schemas.openxmlformats.org/officeDocument/2006/relationships/header" Target="header34.xml"/><Relationship Id="rId94" Type="http://schemas.openxmlformats.org/officeDocument/2006/relationships/header" Target="header38.xml"/><Relationship Id="rId99" Type="http://schemas.openxmlformats.org/officeDocument/2006/relationships/image" Target="media/image25.png"/><Relationship Id="rId101" Type="http://schemas.openxmlformats.org/officeDocument/2006/relationships/footer" Target="footer29.xml"/><Relationship Id="rId122" Type="http://schemas.openxmlformats.org/officeDocument/2006/relationships/header" Target="header50.xml"/><Relationship Id="rId130" Type="http://schemas.openxmlformats.org/officeDocument/2006/relationships/header" Target="header56.xml"/><Relationship Id="rId135" Type="http://schemas.openxmlformats.org/officeDocument/2006/relationships/footer" Target="footer40.xml"/><Relationship Id="rId143" Type="http://schemas.openxmlformats.org/officeDocument/2006/relationships/footer" Target="footer42.xml"/><Relationship Id="rId148" Type="http://schemas.openxmlformats.org/officeDocument/2006/relationships/header" Target="header64.xml"/><Relationship Id="rId4" Type="http://schemas.openxmlformats.org/officeDocument/2006/relationships/settings" Target="settings.xml"/><Relationship Id="rId9" Type="http://schemas.openxmlformats.org/officeDocument/2006/relationships/hyperlink" Target="mailto:infoline@mcga.gov.uk" TargetMode="External"/><Relationship Id="rId13" Type="http://schemas.openxmlformats.org/officeDocument/2006/relationships/footer" Target="footer2.xml"/><Relationship Id="rId18" Type="http://schemas.openxmlformats.org/officeDocument/2006/relationships/image" Target="media/image2.wmf"/><Relationship Id="rId39" Type="http://schemas.openxmlformats.org/officeDocument/2006/relationships/footer" Target="footer8.xml"/><Relationship Id="rId109" Type="http://schemas.openxmlformats.org/officeDocument/2006/relationships/header" Target="header44.xml"/><Relationship Id="rId34" Type="http://schemas.openxmlformats.org/officeDocument/2006/relationships/header" Target="header15.xml"/><Relationship Id="rId50" Type="http://schemas.openxmlformats.org/officeDocument/2006/relationships/footer" Target="footer13.xml"/><Relationship Id="rId55" Type="http://schemas.openxmlformats.org/officeDocument/2006/relationships/image" Target="media/image12.wmf"/><Relationship Id="rId76" Type="http://schemas.openxmlformats.org/officeDocument/2006/relationships/footer" Target="footer18.xml"/><Relationship Id="rId97" Type="http://schemas.openxmlformats.org/officeDocument/2006/relationships/image" Target="media/image23.jpg"/><Relationship Id="rId104" Type="http://schemas.openxmlformats.org/officeDocument/2006/relationships/header" Target="header41.xml"/><Relationship Id="rId120" Type="http://schemas.openxmlformats.org/officeDocument/2006/relationships/image" Target="media/image28.wmf"/><Relationship Id="rId125" Type="http://schemas.openxmlformats.org/officeDocument/2006/relationships/header" Target="header52.xml"/><Relationship Id="rId141" Type="http://schemas.openxmlformats.org/officeDocument/2006/relationships/image" Target="media/image32.png"/><Relationship Id="rId146" Type="http://schemas.openxmlformats.org/officeDocument/2006/relationships/header" Target="header63.xml"/><Relationship Id="rId7" Type="http://schemas.openxmlformats.org/officeDocument/2006/relationships/endnotes" Target="endnotes.xml"/><Relationship Id="rId71" Type="http://schemas.openxmlformats.org/officeDocument/2006/relationships/footer" Target="footer16.xml"/><Relationship Id="rId92" Type="http://schemas.openxmlformats.org/officeDocument/2006/relationships/header" Target="header37.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image" Target="media/image5.jpeg"/><Relationship Id="rId40" Type="http://schemas.openxmlformats.org/officeDocument/2006/relationships/header" Target="header18.xml"/><Relationship Id="rId45" Type="http://schemas.openxmlformats.org/officeDocument/2006/relationships/footer" Target="footer10.xml"/><Relationship Id="rId66" Type="http://schemas.openxmlformats.org/officeDocument/2006/relationships/image" Target="media/image21.emf"/><Relationship Id="rId87" Type="http://schemas.openxmlformats.org/officeDocument/2006/relationships/header" Target="header35.xml"/><Relationship Id="rId110" Type="http://schemas.openxmlformats.org/officeDocument/2006/relationships/header" Target="header45.xml"/><Relationship Id="rId115" Type="http://schemas.openxmlformats.org/officeDocument/2006/relationships/header" Target="header46.xml"/><Relationship Id="rId131" Type="http://schemas.openxmlformats.org/officeDocument/2006/relationships/footer" Target="footer38.xml"/><Relationship Id="rId136" Type="http://schemas.openxmlformats.org/officeDocument/2006/relationships/header" Target="header59.xml"/><Relationship Id="rId61" Type="http://schemas.openxmlformats.org/officeDocument/2006/relationships/image" Target="media/image18.png"/><Relationship Id="rId82" Type="http://schemas.openxmlformats.org/officeDocument/2006/relationships/footer" Target="footer21.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footer" Target="footer6.xml"/><Relationship Id="rId56" Type="http://schemas.openxmlformats.org/officeDocument/2006/relationships/image" Target="media/image13.wmf"/><Relationship Id="rId77" Type="http://schemas.openxmlformats.org/officeDocument/2006/relationships/footer" Target="footer19.xml"/><Relationship Id="rId100" Type="http://schemas.openxmlformats.org/officeDocument/2006/relationships/header" Target="header39.xml"/><Relationship Id="rId105" Type="http://schemas.openxmlformats.org/officeDocument/2006/relationships/header" Target="header42.xml"/><Relationship Id="rId126" Type="http://schemas.openxmlformats.org/officeDocument/2006/relationships/header" Target="header53.xml"/><Relationship Id="rId147"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media/image8.wmf"/><Relationship Id="rId72" Type="http://schemas.openxmlformats.org/officeDocument/2006/relationships/header" Target="header27.xml"/><Relationship Id="rId93" Type="http://schemas.openxmlformats.org/officeDocument/2006/relationships/footer" Target="footer27.xml"/><Relationship Id="rId98" Type="http://schemas.openxmlformats.org/officeDocument/2006/relationships/image" Target="media/image24.png"/><Relationship Id="rId121" Type="http://schemas.openxmlformats.org/officeDocument/2006/relationships/header" Target="header49.xml"/><Relationship Id="rId142" Type="http://schemas.openxmlformats.org/officeDocument/2006/relationships/header" Target="header61.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EN/AUTO/?uri=uriserv:OJ.L_.2016.252.01.0053.01.ENG&amp;toc=OJ:L:2016:252:T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gisWrite\COM.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236A1-350A-4B72-A03D-81D4F2B01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
  <TotalTime>0</TotalTime>
  <Pages>524</Pages>
  <Words>124777</Words>
  <Characters>711230</Characters>
  <Application>Microsoft Office Word</Application>
  <DocSecurity>0</DocSecurity>
  <Lines>5926</Lines>
  <Paragraphs>1668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FR</vt:lpstr>
      <vt:lpstr>FR</vt:lpstr>
      <vt:lpstr>FR</vt:lpstr>
    </vt:vector>
  </TitlesOfParts>
  <Company/>
  <LinksUpToDate>false</LinksUpToDate>
  <CharactersWithSpaces>834339</CharactersWithSpaces>
  <SharedDoc>false</SharedDoc>
  <HLinks>
    <vt:vector size="1992" baseType="variant">
      <vt:variant>
        <vt:i4>1179700</vt:i4>
      </vt:variant>
      <vt:variant>
        <vt:i4>1988</vt:i4>
      </vt:variant>
      <vt:variant>
        <vt:i4>0</vt:i4>
      </vt:variant>
      <vt:variant>
        <vt:i4>5</vt:i4>
      </vt:variant>
      <vt:variant>
        <vt:lpwstr/>
      </vt:variant>
      <vt:variant>
        <vt:lpwstr>_Toc413918250</vt:lpwstr>
      </vt:variant>
      <vt:variant>
        <vt:i4>1245236</vt:i4>
      </vt:variant>
      <vt:variant>
        <vt:i4>1982</vt:i4>
      </vt:variant>
      <vt:variant>
        <vt:i4>0</vt:i4>
      </vt:variant>
      <vt:variant>
        <vt:i4>5</vt:i4>
      </vt:variant>
      <vt:variant>
        <vt:lpwstr/>
      </vt:variant>
      <vt:variant>
        <vt:lpwstr>_Toc413918249</vt:lpwstr>
      </vt:variant>
      <vt:variant>
        <vt:i4>1245236</vt:i4>
      </vt:variant>
      <vt:variant>
        <vt:i4>1976</vt:i4>
      </vt:variant>
      <vt:variant>
        <vt:i4>0</vt:i4>
      </vt:variant>
      <vt:variant>
        <vt:i4>5</vt:i4>
      </vt:variant>
      <vt:variant>
        <vt:lpwstr/>
      </vt:variant>
      <vt:variant>
        <vt:lpwstr>_Toc413918248</vt:lpwstr>
      </vt:variant>
      <vt:variant>
        <vt:i4>1245236</vt:i4>
      </vt:variant>
      <vt:variant>
        <vt:i4>1970</vt:i4>
      </vt:variant>
      <vt:variant>
        <vt:i4>0</vt:i4>
      </vt:variant>
      <vt:variant>
        <vt:i4>5</vt:i4>
      </vt:variant>
      <vt:variant>
        <vt:lpwstr/>
      </vt:variant>
      <vt:variant>
        <vt:lpwstr>_Toc413918247</vt:lpwstr>
      </vt:variant>
      <vt:variant>
        <vt:i4>1245236</vt:i4>
      </vt:variant>
      <vt:variant>
        <vt:i4>1964</vt:i4>
      </vt:variant>
      <vt:variant>
        <vt:i4>0</vt:i4>
      </vt:variant>
      <vt:variant>
        <vt:i4>5</vt:i4>
      </vt:variant>
      <vt:variant>
        <vt:lpwstr/>
      </vt:variant>
      <vt:variant>
        <vt:lpwstr>_Toc413918246</vt:lpwstr>
      </vt:variant>
      <vt:variant>
        <vt:i4>1245236</vt:i4>
      </vt:variant>
      <vt:variant>
        <vt:i4>1958</vt:i4>
      </vt:variant>
      <vt:variant>
        <vt:i4>0</vt:i4>
      </vt:variant>
      <vt:variant>
        <vt:i4>5</vt:i4>
      </vt:variant>
      <vt:variant>
        <vt:lpwstr/>
      </vt:variant>
      <vt:variant>
        <vt:lpwstr>_Toc413918245</vt:lpwstr>
      </vt:variant>
      <vt:variant>
        <vt:i4>1245236</vt:i4>
      </vt:variant>
      <vt:variant>
        <vt:i4>1952</vt:i4>
      </vt:variant>
      <vt:variant>
        <vt:i4>0</vt:i4>
      </vt:variant>
      <vt:variant>
        <vt:i4>5</vt:i4>
      </vt:variant>
      <vt:variant>
        <vt:lpwstr/>
      </vt:variant>
      <vt:variant>
        <vt:lpwstr>_Toc413918244</vt:lpwstr>
      </vt:variant>
      <vt:variant>
        <vt:i4>1245236</vt:i4>
      </vt:variant>
      <vt:variant>
        <vt:i4>1946</vt:i4>
      </vt:variant>
      <vt:variant>
        <vt:i4>0</vt:i4>
      </vt:variant>
      <vt:variant>
        <vt:i4>5</vt:i4>
      </vt:variant>
      <vt:variant>
        <vt:lpwstr/>
      </vt:variant>
      <vt:variant>
        <vt:lpwstr>_Toc413918243</vt:lpwstr>
      </vt:variant>
      <vt:variant>
        <vt:i4>1245236</vt:i4>
      </vt:variant>
      <vt:variant>
        <vt:i4>1940</vt:i4>
      </vt:variant>
      <vt:variant>
        <vt:i4>0</vt:i4>
      </vt:variant>
      <vt:variant>
        <vt:i4>5</vt:i4>
      </vt:variant>
      <vt:variant>
        <vt:lpwstr/>
      </vt:variant>
      <vt:variant>
        <vt:lpwstr>_Toc413918242</vt:lpwstr>
      </vt:variant>
      <vt:variant>
        <vt:i4>1245236</vt:i4>
      </vt:variant>
      <vt:variant>
        <vt:i4>1934</vt:i4>
      </vt:variant>
      <vt:variant>
        <vt:i4>0</vt:i4>
      </vt:variant>
      <vt:variant>
        <vt:i4>5</vt:i4>
      </vt:variant>
      <vt:variant>
        <vt:lpwstr/>
      </vt:variant>
      <vt:variant>
        <vt:lpwstr>_Toc413918241</vt:lpwstr>
      </vt:variant>
      <vt:variant>
        <vt:i4>1245236</vt:i4>
      </vt:variant>
      <vt:variant>
        <vt:i4>1928</vt:i4>
      </vt:variant>
      <vt:variant>
        <vt:i4>0</vt:i4>
      </vt:variant>
      <vt:variant>
        <vt:i4>5</vt:i4>
      </vt:variant>
      <vt:variant>
        <vt:lpwstr/>
      </vt:variant>
      <vt:variant>
        <vt:lpwstr>_Toc413918240</vt:lpwstr>
      </vt:variant>
      <vt:variant>
        <vt:i4>1310772</vt:i4>
      </vt:variant>
      <vt:variant>
        <vt:i4>1922</vt:i4>
      </vt:variant>
      <vt:variant>
        <vt:i4>0</vt:i4>
      </vt:variant>
      <vt:variant>
        <vt:i4>5</vt:i4>
      </vt:variant>
      <vt:variant>
        <vt:lpwstr/>
      </vt:variant>
      <vt:variant>
        <vt:lpwstr>_Toc413918239</vt:lpwstr>
      </vt:variant>
      <vt:variant>
        <vt:i4>1310772</vt:i4>
      </vt:variant>
      <vt:variant>
        <vt:i4>1916</vt:i4>
      </vt:variant>
      <vt:variant>
        <vt:i4>0</vt:i4>
      </vt:variant>
      <vt:variant>
        <vt:i4>5</vt:i4>
      </vt:variant>
      <vt:variant>
        <vt:lpwstr/>
      </vt:variant>
      <vt:variant>
        <vt:lpwstr>_Toc413918238</vt:lpwstr>
      </vt:variant>
      <vt:variant>
        <vt:i4>1310772</vt:i4>
      </vt:variant>
      <vt:variant>
        <vt:i4>1910</vt:i4>
      </vt:variant>
      <vt:variant>
        <vt:i4>0</vt:i4>
      </vt:variant>
      <vt:variant>
        <vt:i4>5</vt:i4>
      </vt:variant>
      <vt:variant>
        <vt:lpwstr/>
      </vt:variant>
      <vt:variant>
        <vt:lpwstr>_Toc413918237</vt:lpwstr>
      </vt:variant>
      <vt:variant>
        <vt:i4>1310772</vt:i4>
      </vt:variant>
      <vt:variant>
        <vt:i4>1904</vt:i4>
      </vt:variant>
      <vt:variant>
        <vt:i4>0</vt:i4>
      </vt:variant>
      <vt:variant>
        <vt:i4>5</vt:i4>
      </vt:variant>
      <vt:variant>
        <vt:lpwstr/>
      </vt:variant>
      <vt:variant>
        <vt:lpwstr>_Toc413918236</vt:lpwstr>
      </vt:variant>
      <vt:variant>
        <vt:i4>1310772</vt:i4>
      </vt:variant>
      <vt:variant>
        <vt:i4>1898</vt:i4>
      </vt:variant>
      <vt:variant>
        <vt:i4>0</vt:i4>
      </vt:variant>
      <vt:variant>
        <vt:i4>5</vt:i4>
      </vt:variant>
      <vt:variant>
        <vt:lpwstr/>
      </vt:variant>
      <vt:variant>
        <vt:lpwstr>_Toc413918235</vt:lpwstr>
      </vt:variant>
      <vt:variant>
        <vt:i4>1310772</vt:i4>
      </vt:variant>
      <vt:variant>
        <vt:i4>1892</vt:i4>
      </vt:variant>
      <vt:variant>
        <vt:i4>0</vt:i4>
      </vt:variant>
      <vt:variant>
        <vt:i4>5</vt:i4>
      </vt:variant>
      <vt:variant>
        <vt:lpwstr/>
      </vt:variant>
      <vt:variant>
        <vt:lpwstr>_Toc413918234</vt:lpwstr>
      </vt:variant>
      <vt:variant>
        <vt:i4>1310772</vt:i4>
      </vt:variant>
      <vt:variant>
        <vt:i4>1886</vt:i4>
      </vt:variant>
      <vt:variant>
        <vt:i4>0</vt:i4>
      </vt:variant>
      <vt:variant>
        <vt:i4>5</vt:i4>
      </vt:variant>
      <vt:variant>
        <vt:lpwstr/>
      </vt:variant>
      <vt:variant>
        <vt:lpwstr>_Toc413918233</vt:lpwstr>
      </vt:variant>
      <vt:variant>
        <vt:i4>1310772</vt:i4>
      </vt:variant>
      <vt:variant>
        <vt:i4>1880</vt:i4>
      </vt:variant>
      <vt:variant>
        <vt:i4>0</vt:i4>
      </vt:variant>
      <vt:variant>
        <vt:i4>5</vt:i4>
      </vt:variant>
      <vt:variant>
        <vt:lpwstr/>
      </vt:variant>
      <vt:variant>
        <vt:lpwstr>_Toc413918232</vt:lpwstr>
      </vt:variant>
      <vt:variant>
        <vt:i4>1310772</vt:i4>
      </vt:variant>
      <vt:variant>
        <vt:i4>1874</vt:i4>
      </vt:variant>
      <vt:variant>
        <vt:i4>0</vt:i4>
      </vt:variant>
      <vt:variant>
        <vt:i4>5</vt:i4>
      </vt:variant>
      <vt:variant>
        <vt:lpwstr/>
      </vt:variant>
      <vt:variant>
        <vt:lpwstr>_Toc413918231</vt:lpwstr>
      </vt:variant>
      <vt:variant>
        <vt:i4>1310772</vt:i4>
      </vt:variant>
      <vt:variant>
        <vt:i4>1868</vt:i4>
      </vt:variant>
      <vt:variant>
        <vt:i4>0</vt:i4>
      </vt:variant>
      <vt:variant>
        <vt:i4>5</vt:i4>
      </vt:variant>
      <vt:variant>
        <vt:lpwstr/>
      </vt:variant>
      <vt:variant>
        <vt:lpwstr>_Toc413918230</vt:lpwstr>
      </vt:variant>
      <vt:variant>
        <vt:i4>1376308</vt:i4>
      </vt:variant>
      <vt:variant>
        <vt:i4>1862</vt:i4>
      </vt:variant>
      <vt:variant>
        <vt:i4>0</vt:i4>
      </vt:variant>
      <vt:variant>
        <vt:i4>5</vt:i4>
      </vt:variant>
      <vt:variant>
        <vt:lpwstr/>
      </vt:variant>
      <vt:variant>
        <vt:lpwstr>_Toc413918229</vt:lpwstr>
      </vt:variant>
      <vt:variant>
        <vt:i4>1376308</vt:i4>
      </vt:variant>
      <vt:variant>
        <vt:i4>1856</vt:i4>
      </vt:variant>
      <vt:variant>
        <vt:i4>0</vt:i4>
      </vt:variant>
      <vt:variant>
        <vt:i4>5</vt:i4>
      </vt:variant>
      <vt:variant>
        <vt:lpwstr/>
      </vt:variant>
      <vt:variant>
        <vt:lpwstr>_Toc413918228</vt:lpwstr>
      </vt:variant>
      <vt:variant>
        <vt:i4>1376308</vt:i4>
      </vt:variant>
      <vt:variant>
        <vt:i4>1850</vt:i4>
      </vt:variant>
      <vt:variant>
        <vt:i4>0</vt:i4>
      </vt:variant>
      <vt:variant>
        <vt:i4>5</vt:i4>
      </vt:variant>
      <vt:variant>
        <vt:lpwstr/>
      </vt:variant>
      <vt:variant>
        <vt:lpwstr>_Toc413918227</vt:lpwstr>
      </vt:variant>
      <vt:variant>
        <vt:i4>1376308</vt:i4>
      </vt:variant>
      <vt:variant>
        <vt:i4>1844</vt:i4>
      </vt:variant>
      <vt:variant>
        <vt:i4>0</vt:i4>
      </vt:variant>
      <vt:variant>
        <vt:i4>5</vt:i4>
      </vt:variant>
      <vt:variant>
        <vt:lpwstr/>
      </vt:variant>
      <vt:variant>
        <vt:lpwstr>_Toc413918226</vt:lpwstr>
      </vt:variant>
      <vt:variant>
        <vt:i4>1376308</vt:i4>
      </vt:variant>
      <vt:variant>
        <vt:i4>1838</vt:i4>
      </vt:variant>
      <vt:variant>
        <vt:i4>0</vt:i4>
      </vt:variant>
      <vt:variant>
        <vt:i4>5</vt:i4>
      </vt:variant>
      <vt:variant>
        <vt:lpwstr/>
      </vt:variant>
      <vt:variant>
        <vt:lpwstr>_Toc413918225</vt:lpwstr>
      </vt:variant>
      <vt:variant>
        <vt:i4>1376308</vt:i4>
      </vt:variant>
      <vt:variant>
        <vt:i4>1832</vt:i4>
      </vt:variant>
      <vt:variant>
        <vt:i4>0</vt:i4>
      </vt:variant>
      <vt:variant>
        <vt:i4>5</vt:i4>
      </vt:variant>
      <vt:variant>
        <vt:lpwstr/>
      </vt:variant>
      <vt:variant>
        <vt:lpwstr>_Toc413918224</vt:lpwstr>
      </vt:variant>
      <vt:variant>
        <vt:i4>1376308</vt:i4>
      </vt:variant>
      <vt:variant>
        <vt:i4>1826</vt:i4>
      </vt:variant>
      <vt:variant>
        <vt:i4>0</vt:i4>
      </vt:variant>
      <vt:variant>
        <vt:i4>5</vt:i4>
      </vt:variant>
      <vt:variant>
        <vt:lpwstr/>
      </vt:variant>
      <vt:variant>
        <vt:lpwstr>_Toc413918223</vt:lpwstr>
      </vt:variant>
      <vt:variant>
        <vt:i4>1376308</vt:i4>
      </vt:variant>
      <vt:variant>
        <vt:i4>1820</vt:i4>
      </vt:variant>
      <vt:variant>
        <vt:i4>0</vt:i4>
      </vt:variant>
      <vt:variant>
        <vt:i4>5</vt:i4>
      </vt:variant>
      <vt:variant>
        <vt:lpwstr/>
      </vt:variant>
      <vt:variant>
        <vt:lpwstr>_Toc413918222</vt:lpwstr>
      </vt:variant>
      <vt:variant>
        <vt:i4>1376308</vt:i4>
      </vt:variant>
      <vt:variant>
        <vt:i4>1814</vt:i4>
      </vt:variant>
      <vt:variant>
        <vt:i4>0</vt:i4>
      </vt:variant>
      <vt:variant>
        <vt:i4>5</vt:i4>
      </vt:variant>
      <vt:variant>
        <vt:lpwstr/>
      </vt:variant>
      <vt:variant>
        <vt:lpwstr>_Toc413918221</vt:lpwstr>
      </vt:variant>
      <vt:variant>
        <vt:i4>1376308</vt:i4>
      </vt:variant>
      <vt:variant>
        <vt:i4>1808</vt:i4>
      </vt:variant>
      <vt:variant>
        <vt:i4>0</vt:i4>
      </vt:variant>
      <vt:variant>
        <vt:i4>5</vt:i4>
      </vt:variant>
      <vt:variant>
        <vt:lpwstr/>
      </vt:variant>
      <vt:variant>
        <vt:lpwstr>_Toc413918220</vt:lpwstr>
      </vt:variant>
      <vt:variant>
        <vt:i4>1441844</vt:i4>
      </vt:variant>
      <vt:variant>
        <vt:i4>1802</vt:i4>
      </vt:variant>
      <vt:variant>
        <vt:i4>0</vt:i4>
      </vt:variant>
      <vt:variant>
        <vt:i4>5</vt:i4>
      </vt:variant>
      <vt:variant>
        <vt:lpwstr/>
      </vt:variant>
      <vt:variant>
        <vt:lpwstr>_Toc413918219</vt:lpwstr>
      </vt:variant>
      <vt:variant>
        <vt:i4>1441844</vt:i4>
      </vt:variant>
      <vt:variant>
        <vt:i4>1796</vt:i4>
      </vt:variant>
      <vt:variant>
        <vt:i4>0</vt:i4>
      </vt:variant>
      <vt:variant>
        <vt:i4>5</vt:i4>
      </vt:variant>
      <vt:variant>
        <vt:lpwstr/>
      </vt:variant>
      <vt:variant>
        <vt:lpwstr>_Toc413918218</vt:lpwstr>
      </vt:variant>
      <vt:variant>
        <vt:i4>1441844</vt:i4>
      </vt:variant>
      <vt:variant>
        <vt:i4>1790</vt:i4>
      </vt:variant>
      <vt:variant>
        <vt:i4>0</vt:i4>
      </vt:variant>
      <vt:variant>
        <vt:i4>5</vt:i4>
      </vt:variant>
      <vt:variant>
        <vt:lpwstr/>
      </vt:variant>
      <vt:variant>
        <vt:lpwstr>_Toc413918217</vt:lpwstr>
      </vt:variant>
      <vt:variant>
        <vt:i4>1441844</vt:i4>
      </vt:variant>
      <vt:variant>
        <vt:i4>1784</vt:i4>
      </vt:variant>
      <vt:variant>
        <vt:i4>0</vt:i4>
      </vt:variant>
      <vt:variant>
        <vt:i4>5</vt:i4>
      </vt:variant>
      <vt:variant>
        <vt:lpwstr/>
      </vt:variant>
      <vt:variant>
        <vt:lpwstr>_Toc413918216</vt:lpwstr>
      </vt:variant>
      <vt:variant>
        <vt:i4>1441844</vt:i4>
      </vt:variant>
      <vt:variant>
        <vt:i4>1778</vt:i4>
      </vt:variant>
      <vt:variant>
        <vt:i4>0</vt:i4>
      </vt:variant>
      <vt:variant>
        <vt:i4>5</vt:i4>
      </vt:variant>
      <vt:variant>
        <vt:lpwstr/>
      </vt:variant>
      <vt:variant>
        <vt:lpwstr>_Toc413918215</vt:lpwstr>
      </vt:variant>
      <vt:variant>
        <vt:i4>1441844</vt:i4>
      </vt:variant>
      <vt:variant>
        <vt:i4>1772</vt:i4>
      </vt:variant>
      <vt:variant>
        <vt:i4>0</vt:i4>
      </vt:variant>
      <vt:variant>
        <vt:i4>5</vt:i4>
      </vt:variant>
      <vt:variant>
        <vt:lpwstr/>
      </vt:variant>
      <vt:variant>
        <vt:lpwstr>_Toc413918214</vt:lpwstr>
      </vt:variant>
      <vt:variant>
        <vt:i4>1441844</vt:i4>
      </vt:variant>
      <vt:variant>
        <vt:i4>1766</vt:i4>
      </vt:variant>
      <vt:variant>
        <vt:i4>0</vt:i4>
      </vt:variant>
      <vt:variant>
        <vt:i4>5</vt:i4>
      </vt:variant>
      <vt:variant>
        <vt:lpwstr/>
      </vt:variant>
      <vt:variant>
        <vt:lpwstr>_Toc413918213</vt:lpwstr>
      </vt:variant>
      <vt:variant>
        <vt:i4>1441844</vt:i4>
      </vt:variant>
      <vt:variant>
        <vt:i4>1760</vt:i4>
      </vt:variant>
      <vt:variant>
        <vt:i4>0</vt:i4>
      </vt:variant>
      <vt:variant>
        <vt:i4>5</vt:i4>
      </vt:variant>
      <vt:variant>
        <vt:lpwstr/>
      </vt:variant>
      <vt:variant>
        <vt:lpwstr>_Toc413918212</vt:lpwstr>
      </vt:variant>
      <vt:variant>
        <vt:i4>1441844</vt:i4>
      </vt:variant>
      <vt:variant>
        <vt:i4>1754</vt:i4>
      </vt:variant>
      <vt:variant>
        <vt:i4>0</vt:i4>
      </vt:variant>
      <vt:variant>
        <vt:i4>5</vt:i4>
      </vt:variant>
      <vt:variant>
        <vt:lpwstr/>
      </vt:variant>
      <vt:variant>
        <vt:lpwstr>_Toc413918211</vt:lpwstr>
      </vt:variant>
      <vt:variant>
        <vt:i4>1441844</vt:i4>
      </vt:variant>
      <vt:variant>
        <vt:i4>1748</vt:i4>
      </vt:variant>
      <vt:variant>
        <vt:i4>0</vt:i4>
      </vt:variant>
      <vt:variant>
        <vt:i4>5</vt:i4>
      </vt:variant>
      <vt:variant>
        <vt:lpwstr/>
      </vt:variant>
      <vt:variant>
        <vt:lpwstr>_Toc413918210</vt:lpwstr>
      </vt:variant>
      <vt:variant>
        <vt:i4>1507380</vt:i4>
      </vt:variant>
      <vt:variant>
        <vt:i4>1742</vt:i4>
      </vt:variant>
      <vt:variant>
        <vt:i4>0</vt:i4>
      </vt:variant>
      <vt:variant>
        <vt:i4>5</vt:i4>
      </vt:variant>
      <vt:variant>
        <vt:lpwstr/>
      </vt:variant>
      <vt:variant>
        <vt:lpwstr>_Toc413918209</vt:lpwstr>
      </vt:variant>
      <vt:variant>
        <vt:i4>1507380</vt:i4>
      </vt:variant>
      <vt:variant>
        <vt:i4>1736</vt:i4>
      </vt:variant>
      <vt:variant>
        <vt:i4>0</vt:i4>
      </vt:variant>
      <vt:variant>
        <vt:i4>5</vt:i4>
      </vt:variant>
      <vt:variant>
        <vt:lpwstr/>
      </vt:variant>
      <vt:variant>
        <vt:lpwstr>_Toc413918208</vt:lpwstr>
      </vt:variant>
      <vt:variant>
        <vt:i4>1507380</vt:i4>
      </vt:variant>
      <vt:variant>
        <vt:i4>1730</vt:i4>
      </vt:variant>
      <vt:variant>
        <vt:i4>0</vt:i4>
      </vt:variant>
      <vt:variant>
        <vt:i4>5</vt:i4>
      </vt:variant>
      <vt:variant>
        <vt:lpwstr/>
      </vt:variant>
      <vt:variant>
        <vt:lpwstr>_Toc413918207</vt:lpwstr>
      </vt:variant>
      <vt:variant>
        <vt:i4>1507380</vt:i4>
      </vt:variant>
      <vt:variant>
        <vt:i4>1724</vt:i4>
      </vt:variant>
      <vt:variant>
        <vt:i4>0</vt:i4>
      </vt:variant>
      <vt:variant>
        <vt:i4>5</vt:i4>
      </vt:variant>
      <vt:variant>
        <vt:lpwstr/>
      </vt:variant>
      <vt:variant>
        <vt:lpwstr>_Toc413918206</vt:lpwstr>
      </vt:variant>
      <vt:variant>
        <vt:i4>1507380</vt:i4>
      </vt:variant>
      <vt:variant>
        <vt:i4>1718</vt:i4>
      </vt:variant>
      <vt:variant>
        <vt:i4>0</vt:i4>
      </vt:variant>
      <vt:variant>
        <vt:i4>5</vt:i4>
      </vt:variant>
      <vt:variant>
        <vt:lpwstr/>
      </vt:variant>
      <vt:variant>
        <vt:lpwstr>_Toc413918205</vt:lpwstr>
      </vt:variant>
      <vt:variant>
        <vt:i4>1507380</vt:i4>
      </vt:variant>
      <vt:variant>
        <vt:i4>1712</vt:i4>
      </vt:variant>
      <vt:variant>
        <vt:i4>0</vt:i4>
      </vt:variant>
      <vt:variant>
        <vt:i4>5</vt:i4>
      </vt:variant>
      <vt:variant>
        <vt:lpwstr/>
      </vt:variant>
      <vt:variant>
        <vt:lpwstr>_Toc413918204</vt:lpwstr>
      </vt:variant>
      <vt:variant>
        <vt:i4>1507380</vt:i4>
      </vt:variant>
      <vt:variant>
        <vt:i4>1706</vt:i4>
      </vt:variant>
      <vt:variant>
        <vt:i4>0</vt:i4>
      </vt:variant>
      <vt:variant>
        <vt:i4>5</vt:i4>
      </vt:variant>
      <vt:variant>
        <vt:lpwstr/>
      </vt:variant>
      <vt:variant>
        <vt:lpwstr>_Toc413918203</vt:lpwstr>
      </vt:variant>
      <vt:variant>
        <vt:i4>1507380</vt:i4>
      </vt:variant>
      <vt:variant>
        <vt:i4>1700</vt:i4>
      </vt:variant>
      <vt:variant>
        <vt:i4>0</vt:i4>
      </vt:variant>
      <vt:variant>
        <vt:i4>5</vt:i4>
      </vt:variant>
      <vt:variant>
        <vt:lpwstr/>
      </vt:variant>
      <vt:variant>
        <vt:lpwstr>_Toc413918202</vt:lpwstr>
      </vt:variant>
      <vt:variant>
        <vt:i4>1507380</vt:i4>
      </vt:variant>
      <vt:variant>
        <vt:i4>1694</vt:i4>
      </vt:variant>
      <vt:variant>
        <vt:i4>0</vt:i4>
      </vt:variant>
      <vt:variant>
        <vt:i4>5</vt:i4>
      </vt:variant>
      <vt:variant>
        <vt:lpwstr/>
      </vt:variant>
      <vt:variant>
        <vt:lpwstr>_Toc413918201</vt:lpwstr>
      </vt:variant>
      <vt:variant>
        <vt:i4>1507380</vt:i4>
      </vt:variant>
      <vt:variant>
        <vt:i4>1688</vt:i4>
      </vt:variant>
      <vt:variant>
        <vt:i4>0</vt:i4>
      </vt:variant>
      <vt:variant>
        <vt:i4>5</vt:i4>
      </vt:variant>
      <vt:variant>
        <vt:lpwstr/>
      </vt:variant>
      <vt:variant>
        <vt:lpwstr>_Toc413918200</vt:lpwstr>
      </vt:variant>
      <vt:variant>
        <vt:i4>1966135</vt:i4>
      </vt:variant>
      <vt:variant>
        <vt:i4>1682</vt:i4>
      </vt:variant>
      <vt:variant>
        <vt:i4>0</vt:i4>
      </vt:variant>
      <vt:variant>
        <vt:i4>5</vt:i4>
      </vt:variant>
      <vt:variant>
        <vt:lpwstr/>
      </vt:variant>
      <vt:variant>
        <vt:lpwstr>_Toc413918199</vt:lpwstr>
      </vt:variant>
      <vt:variant>
        <vt:i4>1966135</vt:i4>
      </vt:variant>
      <vt:variant>
        <vt:i4>1676</vt:i4>
      </vt:variant>
      <vt:variant>
        <vt:i4>0</vt:i4>
      </vt:variant>
      <vt:variant>
        <vt:i4>5</vt:i4>
      </vt:variant>
      <vt:variant>
        <vt:lpwstr/>
      </vt:variant>
      <vt:variant>
        <vt:lpwstr>_Toc413918198</vt:lpwstr>
      </vt:variant>
      <vt:variant>
        <vt:i4>1966135</vt:i4>
      </vt:variant>
      <vt:variant>
        <vt:i4>1670</vt:i4>
      </vt:variant>
      <vt:variant>
        <vt:i4>0</vt:i4>
      </vt:variant>
      <vt:variant>
        <vt:i4>5</vt:i4>
      </vt:variant>
      <vt:variant>
        <vt:lpwstr/>
      </vt:variant>
      <vt:variant>
        <vt:lpwstr>_Toc413918197</vt:lpwstr>
      </vt:variant>
      <vt:variant>
        <vt:i4>1966135</vt:i4>
      </vt:variant>
      <vt:variant>
        <vt:i4>1664</vt:i4>
      </vt:variant>
      <vt:variant>
        <vt:i4>0</vt:i4>
      </vt:variant>
      <vt:variant>
        <vt:i4>5</vt:i4>
      </vt:variant>
      <vt:variant>
        <vt:lpwstr/>
      </vt:variant>
      <vt:variant>
        <vt:lpwstr>_Toc413918196</vt:lpwstr>
      </vt:variant>
      <vt:variant>
        <vt:i4>1966135</vt:i4>
      </vt:variant>
      <vt:variant>
        <vt:i4>1658</vt:i4>
      </vt:variant>
      <vt:variant>
        <vt:i4>0</vt:i4>
      </vt:variant>
      <vt:variant>
        <vt:i4>5</vt:i4>
      </vt:variant>
      <vt:variant>
        <vt:lpwstr/>
      </vt:variant>
      <vt:variant>
        <vt:lpwstr>_Toc413918195</vt:lpwstr>
      </vt:variant>
      <vt:variant>
        <vt:i4>1966135</vt:i4>
      </vt:variant>
      <vt:variant>
        <vt:i4>1652</vt:i4>
      </vt:variant>
      <vt:variant>
        <vt:i4>0</vt:i4>
      </vt:variant>
      <vt:variant>
        <vt:i4>5</vt:i4>
      </vt:variant>
      <vt:variant>
        <vt:lpwstr/>
      </vt:variant>
      <vt:variant>
        <vt:lpwstr>_Toc413918194</vt:lpwstr>
      </vt:variant>
      <vt:variant>
        <vt:i4>1966135</vt:i4>
      </vt:variant>
      <vt:variant>
        <vt:i4>1646</vt:i4>
      </vt:variant>
      <vt:variant>
        <vt:i4>0</vt:i4>
      </vt:variant>
      <vt:variant>
        <vt:i4>5</vt:i4>
      </vt:variant>
      <vt:variant>
        <vt:lpwstr/>
      </vt:variant>
      <vt:variant>
        <vt:lpwstr>_Toc413918193</vt:lpwstr>
      </vt:variant>
      <vt:variant>
        <vt:i4>1966135</vt:i4>
      </vt:variant>
      <vt:variant>
        <vt:i4>1640</vt:i4>
      </vt:variant>
      <vt:variant>
        <vt:i4>0</vt:i4>
      </vt:variant>
      <vt:variant>
        <vt:i4>5</vt:i4>
      </vt:variant>
      <vt:variant>
        <vt:lpwstr/>
      </vt:variant>
      <vt:variant>
        <vt:lpwstr>_Toc413918192</vt:lpwstr>
      </vt:variant>
      <vt:variant>
        <vt:i4>1966135</vt:i4>
      </vt:variant>
      <vt:variant>
        <vt:i4>1634</vt:i4>
      </vt:variant>
      <vt:variant>
        <vt:i4>0</vt:i4>
      </vt:variant>
      <vt:variant>
        <vt:i4>5</vt:i4>
      </vt:variant>
      <vt:variant>
        <vt:lpwstr/>
      </vt:variant>
      <vt:variant>
        <vt:lpwstr>_Toc413918191</vt:lpwstr>
      </vt:variant>
      <vt:variant>
        <vt:i4>1966135</vt:i4>
      </vt:variant>
      <vt:variant>
        <vt:i4>1628</vt:i4>
      </vt:variant>
      <vt:variant>
        <vt:i4>0</vt:i4>
      </vt:variant>
      <vt:variant>
        <vt:i4>5</vt:i4>
      </vt:variant>
      <vt:variant>
        <vt:lpwstr/>
      </vt:variant>
      <vt:variant>
        <vt:lpwstr>_Toc413918190</vt:lpwstr>
      </vt:variant>
      <vt:variant>
        <vt:i4>2031671</vt:i4>
      </vt:variant>
      <vt:variant>
        <vt:i4>1622</vt:i4>
      </vt:variant>
      <vt:variant>
        <vt:i4>0</vt:i4>
      </vt:variant>
      <vt:variant>
        <vt:i4>5</vt:i4>
      </vt:variant>
      <vt:variant>
        <vt:lpwstr/>
      </vt:variant>
      <vt:variant>
        <vt:lpwstr>_Toc413918189</vt:lpwstr>
      </vt:variant>
      <vt:variant>
        <vt:i4>2031671</vt:i4>
      </vt:variant>
      <vt:variant>
        <vt:i4>1616</vt:i4>
      </vt:variant>
      <vt:variant>
        <vt:i4>0</vt:i4>
      </vt:variant>
      <vt:variant>
        <vt:i4>5</vt:i4>
      </vt:variant>
      <vt:variant>
        <vt:lpwstr/>
      </vt:variant>
      <vt:variant>
        <vt:lpwstr>_Toc413918188</vt:lpwstr>
      </vt:variant>
      <vt:variant>
        <vt:i4>2031671</vt:i4>
      </vt:variant>
      <vt:variant>
        <vt:i4>1610</vt:i4>
      </vt:variant>
      <vt:variant>
        <vt:i4>0</vt:i4>
      </vt:variant>
      <vt:variant>
        <vt:i4>5</vt:i4>
      </vt:variant>
      <vt:variant>
        <vt:lpwstr/>
      </vt:variant>
      <vt:variant>
        <vt:lpwstr>_Toc413918187</vt:lpwstr>
      </vt:variant>
      <vt:variant>
        <vt:i4>2031671</vt:i4>
      </vt:variant>
      <vt:variant>
        <vt:i4>1604</vt:i4>
      </vt:variant>
      <vt:variant>
        <vt:i4>0</vt:i4>
      </vt:variant>
      <vt:variant>
        <vt:i4>5</vt:i4>
      </vt:variant>
      <vt:variant>
        <vt:lpwstr/>
      </vt:variant>
      <vt:variant>
        <vt:lpwstr>_Toc413918186</vt:lpwstr>
      </vt:variant>
      <vt:variant>
        <vt:i4>2031671</vt:i4>
      </vt:variant>
      <vt:variant>
        <vt:i4>1598</vt:i4>
      </vt:variant>
      <vt:variant>
        <vt:i4>0</vt:i4>
      </vt:variant>
      <vt:variant>
        <vt:i4>5</vt:i4>
      </vt:variant>
      <vt:variant>
        <vt:lpwstr/>
      </vt:variant>
      <vt:variant>
        <vt:lpwstr>_Toc413918185</vt:lpwstr>
      </vt:variant>
      <vt:variant>
        <vt:i4>2031671</vt:i4>
      </vt:variant>
      <vt:variant>
        <vt:i4>1592</vt:i4>
      </vt:variant>
      <vt:variant>
        <vt:i4>0</vt:i4>
      </vt:variant>
      <vt:variant>
        <vt:i4>5</vt:i4>
      </vt:variant>
      <vt:variant>
        <vt:lpwstr/>
      </vt:variant>
      <vt:variant>
        <vt:lpwstr>_Toc413918184</vt:lpwstr>
      </vt:variant>
      <vt:variant>
        <vt:i4>2031671</vt:i4>
      </vt:variant>
      <vt:variant>
        <vt:i4>1586</vt:i4>
      </vt:variant>
      <vt:variant>
        <vt:i4>0</vt:i4>
      </vt:variant>
      <vt:variant>
        <vt:i4>5</vt:i4>
      </vt:variant>
      <vt:variant>
        <vt:lpwstr/>
      </vt:variant>
      <vt:variant>
        <vt:lpwstr>_Toc413918183</vt:lpwstr>
      </vt:variant>
      <vt:variant>
        <vt:i4>2031671</vt:i4>
      </vt:variant>
      <vt:variant>
        <vt:i4>1580</vt:i4>
      </vt:variant>
      <vt:variant>
        <vt:i4>0</vt:i4>
      </vt:variant>
      <vt:variant>
        <vt:i4>5</vt:i4>
      </vt:variant>
      <vt:variant>
        <vt:lpwstr/>
      </vt:variant>
      <vt:variant>
        <vt:lpwstr>_Toc413918182</vt:lpwstr>
      </vt:variant>
      <vt:variant>
        <vt:i4>2031671</vt:i4>
      </vt:variant>
      <vt:variant>
        <vt:i4>1574</vt:i4>
      </vt:variant>
      <vt:variant>
        <vt:i4>0</vt:i4>
      </vt:variant>
      <vt:variant>
        <vt:i4>5</vt:i4>
      </vt:variant>
      <vt:variant>
        <vt:lpwstr/>
      </vt:variant>
      <vt:variant>
        <vt:lpwstr>_Toc413918181</vt:lpwstr>
      </vt:variant>
      <vt:variant>
        <vt:i4>2031671</vt:i4>
      </vt:variant>
      <vt:variant>
        <vt:i4>1568</vt:i4>
      </vt:variant>
      <vt:variant>
        <vt:i4>0</vt:i4>
      </vt:variant>
      <vt:variant>
        <vt:i4>5</vt:i4>
      </vt:variant>
      <vt:variant>
        <vt:lpwstr/>
      </vt:variant>
      <vt:variant>
        <vt:lpwstr>_Toc413918180</vt:lpwstr>
      </vt:variant>
      <vt:variant>
        <vt:i4>1048631</vt:i4>
      </vt:variant>
      <vt:variant>
        <vt:i4>1562</vt:i4>
      </vt:variant>
      <vt:variant>
        <vt:i4>0</vt:i4>
      </vt:variant>
      <vt:variant>
        <vt:i4>5</vt:i4>
      </vt:variant>
      <vt:variant>
        <vt:lpwstr/>
      </vt:variant>
      <vt:variant>
        <vt:lpwstr>_Toc413918179</vt:lpwstr>
      </vt:variant>
      <vt:variant>
        <vt:i4>1048631</vt:i4>
      </vt:variant>
      <vt:variant>
        <vt:i4>1556</vt:i4>
      </vt:variant>
      <vt:variant>
        <vt:i4>0</vt:i4>
      </vt:variant>
      <vt:variant>
        <vt:i4>5</vt:i4>
      </vt:variant>
      <vt:variant>
        <vt:lpwstr/>
      </vt:variant>
      <vt:variant>
        <vt:lpwstr>_Toc413918178</vt:lpwstr>
      </vt:variant>
      <vt:variant>
        <vt:i4>1048631</vt:i4>
      </vt:variant>
      <vt:variant>
        <vt:i4>1550</vt:i4>
      </vt:variant>
      <vt:variant>
        <vt:i4>0</vt:i4>
      </vt:variant>
      <vt:variant>
        <vt:i4>5</vt:i4>
      </vt:variant>
      <vt:variant>
        <vt:lpwstr/>
      </vt:variant>
      <vt:variant>
        <vt:lpwstr>_Toc413918177</vt:lpwstr>
      </vt:variant>
      <vt:variant>
        <vt:i4>1048631</vt:i4>
      </vt:variant>
      <vt:variant>
        <vt:i4>1544</vt:i4>
      </vt:variant>
      <vt:variant>
        <vt:i4>0</vt:i4>
      </vt:variant>
      <vt:variant>
        <vt:i4>5</vt:i4>
      </vt:variant>
      <vt:variant>
        <vt:lpwstr/>
      </vt:variant>
      <vt:variant>
        <vt:lpwstr>_Toc413918176</vt:lpwstr>
      </vt:variant>
      <vt:variant>
        <vt:i4>1048631</vt:i4>
      </vt:variant>
      <vt:variant>
        <vt:i4>1538</vt:i4>
      </vt:variant>
      <vt:variant>
        <vt:i4>0</vt:i4>
      </vt:variant>
      <vt:variant>
        <vt:i4>5</vt:i4>
      </vt:variant>
      <vt:variant>
        <vt:lpwstr/>
      </vt:variant>
      <vt:variant>
        <vt:lpwstr>_Toc413918175</vt:lpwstr>
      </vt:variant>
      <vt:variant>
        <vt:i4>1048631</vt:i4>
      </vt:variant>
      <vt:variant>
        <vt:i4>1532</vt:i4>
      </vt:variant>
      <vt:variant>
        <vt:i4>0</vt:i4>
      </vt:variant>
      <vt:variant>
        <vt:i4>5</vt:i4>
      </vt:variant>
      <vt:variant>
        <vt:lpwstr/>
      </vt:variant>
      <vt:variant>
        <vt:lpwstr>_Toc413918174</vt:lpwstr>
      </vt:variant>
      <vt:variant>
        <vt:i4>1048631</vt:i4>
      </vt:variant>
      <vt:variant>
        <vt:i4>1526</vt:i4>
      </vt:variant>
      <vt:variant>
        <vt:i4>0</vt:i4>
      </vt:variant>
      <vt:variant>
        <vt:i4>5</vt:i4>
      </vt:variant>
      <vt:variant>
        <vt:lpwstr/>
      </vt:variant>
      <vt:variant>
        <vt:lpwstr>_Toc413918173</vt:lpwstr>
      </vt:variant>
      <vt:variant>
        <vt:i4>1048631</vt:i4>
      </vt:variant>
      <vt:variant>
        <vt:i4>1520</vt:i4>
      </vt:variant>
      <vt:variant>
        <vt:i4>0</vt:i4>
      </vt:variant>
      <vt:variant>
        <vt:i4>5</vt:i4>
      </vt:variant>
      <vt:variant>
        <vt:lpwstr/>
      </vt:variant>
      <vt:variant>
        <vt:lpwstr>_Toc413918172</vt:lpwstr>
      </vt:variant>
      <vt:variant>
        <vt:i4>1048631</vt:i4>
      </vt:variant>
      <vt:variant>
        <vt:i4>1514</vt:i4>
      </vt:variant>
      <vt:variant>
        <vt:i4>0</vt:i4>
      </vt:variant>
      <vt:variant>
        <vt:i4>5</vt:i4>
      </vt:variant>
      <vt:variant>
        <vt:lpwstr/>
      </vt:variant>
      <vt:variant>
        <vt:lpwstr>_Toc413918171</vt:lpwstr>
      </vt:variant>
      <vt:variant>
        <vt:i4>1048631</vt:i4>
      </vt:variant>
      <vt:variant>
        <vt:i4>1508</vt:i4>
      </vt:variant>
      <vt:variant>
        <vt:i4>0</vt:i4>
      </vt:variant>
      <vt:variant>
        <vt:i4>5</vt:i4>
      </vt:variant>
      <vt:variant>
        <vt:lpwstr/>
      </vt:variant>
      <vt:variant>
        <vt:lpwstr>_Toc413918170</vt:lpwstr>
      </vt:variant>
      <vt:variant>
        <vt:i4>1114167</vt:i4>
      </vt:variant>
      <vt:variant>
        <vt:i4>1502</vt:i4>
      </vt:variant>
      <vt:variant>
        <vt:i4>0</vt:i4>
      </vt:variant>
      <vt:variant>
        <vt:i4>5</vt:i4>
      </vt:variant>
      <vt:variant>
        <vt:lpwstr/>
      </vt:variant>
      <vt:variant>
        <vt:lpwstr>_Toc413918169</vt:lpwstr>
      </vt:variant>
      <vt:variant>
        <vt:i4>1114167</vt:i4>
      </vt:variant>
      <vt:variant>
        <vt:i4>1496</vt:i4>
      </vt:variant>
      <vt:variant>
        <vt:i4>0</vt:i4>
      </vt:variant>
      <vt:variant>
        <vt:i4>5</vt:i4>
      </vt:variant>
      <vt:variant>
        <vt:lpwstr/>
      </vt:variant>
      <vt:variant>
        <vt:lpwstr>_Toc413918168</vt:lpwstr>
      </vt:variant>
      <vt:variant>
        <vt:i4>1114167</vt:i4>
      </vt:variant>
      <vt:variant>
        <vt:i4>1490</vt:i4>
      </vt:variant>
      <vt:variant>
        <vt:i4>0</vt:i4>
      </vt:variant>
      <vt:variant>
        <vt:i4>5</vt:i4>
      </vt:variant>
      <vt:variant>
        <vt:lpwstr/>
      </vt:variant>
      <vt:variant>
        <vt:lpwstr>_Toc413918167</vt:lpwstr>
      </vt:variant>
      <vt:variant>
        <vt:i4>1114167</vt:i4>
      </vt:variant>
      <vt:variant>
        <vt:i4>1484</vt:i4>
      </vt:variant>
      <vt:variant>
        <vt:i4>0</vt:i4>
      </vt:variant>
      <vt:variant>
        <vt:i4>5</vt:i4>
      </vt:variant>
      <vt:variant>
        <vt:lpwstr/>
      </vt:variant>
      <vt:variant>
        <vt:lpwstr>_Toc413918166</vt:lpwstr>
      </vt:variant>
      <vt:variant>
        <vt:i4>1114167</vt:i4>
      </vt:variant>
      <vt:variant>
        <vt:i4>1478</vt:i4>
      </vt:variant>
      <vt:variant>
        <vt:i4>0</vt:i4>
      </vt:variant>
      <vt:variant>
        <vt:i4>5</vt:i4>
      </vt:variant>
      <vt:variant>
        <vt:lpwstr/>
      </vt:variant>
      <vt:variant>
        <vt:lpwstr>_Toc413918165</vt:lpwstr>
      </vt:variant>
      <vt:variant>
        <vt:i4>1114167</vt:i4>
      </vt:variant>
      <vt:variant>
        <vt:i4>1472</vt:i4>
      </vt:variant>
      <vt:variant>
        <vt:i4>0</vt:i4>
      </vt:variant>
      <vt:variant>
        <vt:i4>5</vt:i4>
      </vt:variant>
      <vt:variant>
        <vt:lpwstr/>
      </vt:variant>
      <vt:variant>
        <vt:lpwstr>_Toc413918164</vt:lpwstr>
      </vt:variant>
      <vt:variant>
        <vt:i4>1114167</vt:i4>
      </vt:variant>
      <vt:variant>
        <vt:i4>1466</vt:i4>
      </vt:variant>
      <vt:variant>
        <vt:i4>0</vt:i4>
      </vt:variant>
      <vt:variant>
        <vt:i4>5</vt:i4>
      </vt:variant>
      <vt:variant>
        <vt:lpwstr/>
      </vt:variant>
      <vt:variant>
        <vt:lpwstr>_Toc413918163</vt:lpwstr>
      </vt:variant>
      <vt:variant>
        <vt:i4>1114167</vt:i4>
      </vt:variant>
      <vt:variant>
        <vt:i4>1460</vt:i4>
      </vt:variant>
      <vt:variant>
        <vt:i4>0</vt:i4>
      </vt:variant>
      <vt:variant>
        <vt:i4>5</vt:i4>
      </vt:variant>
      <vt:variant>
        <vt:lpwstr/>
      </vt:variant>
      <vt:variant>
        <vt:lpwstr>_Toc413918162</vt:lpwstr>
      </vt:variant>
      <vt:variant>
        <vt:i4>1114167</vt:i4>
      </vt:variant>
      <vt:variant>
        <vt:i4>1454</vt:i4>
      </vt:variant>
      <vt:variant>
        <vt:i4>0</vt:i4>
      </vt:variant>
      <vt:variant>
        <vt:i4>5</vt:i4>
      </vt:variant>
      <vt:variant>
        <vt:lpwstr/>
      </vt:variant>
      <vt:variant>
        <vt:lpwstr>_Toc413918161</vt:lpwstr>
      </vt:variant>
      <vt:variant>
        <vt:i4>1114167</vt:i4>
      </vt:variant>
      <vt:variant>
        <vt:i4>1448</vt:i4>
      </vt:variant>
      <vt:variant>
        <vt:i4>0</vt:i4>
      </vt:variant>
      <vt:variant>
        <vt:i4>5</vt:i4>
      </vt:variant>
      <vt:variant>
        <vt:lpwstr/>
      </vt:variant>
      <vt:variant>
        <vt:lpwstr>_Toc413918160</vt:lpwstr>
      </vt:variant>
      <vt:variant>
        <vt:i4>1179703</vt:i4>
      </vt:variant>
      <vt:variant>
        <vt:i4>1442</vt:i4>
      </vt:variant>
      <vt:variant>
        <vt:i4>0</vt:i4>
      </vt:variant>
      <vt:variant>
        <vt:i4>5</vt:i4>
      </vt:variant>
      <vt:variant>
        <vt:lpwstr/>
      </vt:variant>
      <vt:variant>
        <vt:lpwstr>_Toc413918159</vt:lpwstr>
      </vt:variant>
      <vt:variant>
        <vt:i4>1179703</vt:i4>
      </vt:variant>
      <vt:variant>
        <vt:i4>1436</vt:i4>
      </vt:variant>
      <vt:variant>
        <vt:i4>0</vt:i4>
      </vt:variant>
      <vt:variant>
        <vt:i4>5</vt:i4>
      </vt:variant>
      <vt:variant>
        <vt:lpwstr/>
      </vt:variant>
      <vt:variant>
        <vt:lpwstr>_Toc413918158</vt:lpwstr>
      </vt:variant>
      <vt:variant>
        <vt:i4>1179703</vt:i4>
      </vt:variant>
      <vt:variant>
        <vt:i4>1430</vt:i4>
      </vt:variant>
      <vt:variant>
        <vt:i4>0</vt:i4>
      </vt:variant>
      <vt:variant>
        <vt:i4>5</vt:i4>
      </vt:variant>
      <vt:variant>
        <vt:lpwstr/>
      </vt:variant>
      <vt:variant>
        <vt:lpwstr>_Toc413918157</vt:lpwstr>
      </vt:variant>
      <vt:variant>
        <vt:i4>1179703</vt:i4>
      </vt:variant>
      <vt:variant>
        <vt:i4>1424</vt:i4>
      </vt:variant>
      <vt:variant>
        <vt:i4>0</vt:i4>
      </vt:variant>
      <vt:variant>
        <vt:i4>5</vt:i4>
      </vt:variant>
      <vt:variant>
        <vt:lpwstr/>
      </vt:variant>
      <vt:variant>
        <vt:lpwstr>_Toc413918156</vt:lpwstr>
      </vt:variant>
      <vt:variant>
        <vt:i4>1179703</vt:i4>
      </vt:variant>
      <vt:variant>
        <vt:i4>1418</vt:i4>
      </vt:variant>
      <vt:variant>
        <vt:i4>0</vt:i4>
      </vt:variant>
      <vt:variant>
        <vt:i4>5</vt:i4>
      </vt:variant>
      <vt:variant>
        <vt:lpwstr/>
      </vt:variant>
      <vt:variant>
        <vt:lpwstr>_Toc413918155</vt:lpwstr>
      </vt:variant>
      <vt:variant>
        <vt:i4>1179703</vt:i4>
      </vt:variant>
      <vt:variant>
        <vt:i4>1412</vt:i4>
      </vt:variant>
      <vt:variant>
        <vt:i4>0</vt:i4>
      </vt:variant>
      <vt:variant>
        <vt:i4>5</vt:i4>
      </vt:variant>
      <vt:variant>
        <vt:lpwstr/>
      </vt:variant>
      <vt:variant>
        <vt:lpwstr>_Toc413918154</vt:lpwstr>
      </vt:variant>
      <vt:variant>
        <vt:i4>1179703</vt:i4>
      </vt:variant>
      <vt:variant>
        <vt:i4>1406</vt:i4>
      </vt:variant>
      <vt:variant>
        <vt:i4>0</vt:i4>
      </vt:variant>
      <vt:variant>
        <vt:i4>5</vt:i4>
      </vt:variant>
      <vt:variant>
        <vt:lpwstr/>
      </vt:variant>
      <vt:variant>
        <vt:lpwstr>_Toc413918153</vt:lpwstr>
      </vt:variant>
      <vt:variant>
        <vt:i4>1179703</vt:i4>
      </vt:variant>
      <vt:variant>
        <vt:i4>1400</vt:i4>
      </vt:variant>
      <vt:variant>
        <vt:i4>0</vt:i4>
      </vt:variant>
      <vt:variant>
        <vt:i4>5</vt:i4>
      </vt:variant>
      <vt:variant>
        <vt:lpwstr/>
      </vt:variant>
      <vt:variant>
        <vt:lpwstr>_Toc413918152</vt:lpwstr>
      </vt:variant>
      <vt:variant>
        <vt:i4>1179703</vt:i4>
      </vt:variant>
      <vt:variant>
        <vt:i4>1394</vt:i4>
      </vt:variant>
      <vt:variant>
        <vt:i4>0</vt:i4>
      </vt:variant>
      <vt:variant>
        <vt:i4>5</vt:i4>
      </vt:variant>
      <vt:variant>
        <vt:lpwstr/>
      </vt:variant>
      <vt:variant>
        <vt:lpwstr>_Toc413918151</vt:lpwstr>
      </vt:variant>
      <vt:variant>
        <vt:i4>1179703</vt:i4>
      </vt:variant>
      <vt:variant>
        <vt:i4>1388</vt:i4>
      </vt:variant>
      <vt:variant>
        <vt:i4>0</vt:i4>
      </vt:variant>
      <vt:variant>
        <vt:i4>5</vt:i4>
      </vt:variant>
      <vt:variant>
        <vt:lpwstr/>
      </vt:variant>
      <vt:variant>
        <vt:lpwstr>_Toc413918150</vt:lpwstr>
      </vt:variant>
      <vt:variant>
        <vt:i4>1245239</vt:i4>
      </vt:variant>
      <vt:variant>
        <vt:i4>1382</vt:i4>
      </vt:variant>
      <vt:variant>
        <vt:i4>0</vt:i4>
      </vt:variant>
      <vt:variant>
        <vt:i4>5</vt:i4>
      </vt:variant>
      <vt:variant>
        <vt:lpwstr/>
      </vt:variant>
      <vt:variant>
        <vt:lpwstr>_Toc413918149</vt:lpwstr>
      </vt:variant>
      <vt:variant>
        <vt:i4>1245239</vt:i4>
      </vt:variant>
      <vt:variant>
        <vt:i4>1376</vt:i4>
      </vt:variant>
      <vt:variant>
        <vt:i4>0</vt:i4>
      </vt:variant>
      <vt:variant>
        <vt:i4>5</vt:i4>
      </vt:variant>
      <vt:variant>
        <vt:lpwstr/>
      </vt:variant>
      <vt:variant>
        <vt:lpwstr>_Toc413918148</vt:lpwstr>
      </vt:variant>
      <vt:variant>
        <vt:i4>1245239</vt:i4>
      </vt:variant>
      <vt:variant>
        <vt:i4>1370</vt:i4>
      </vt:variant>
      <vt:variant>
        <vt:i4>0</vt:i4>
      </vt:variant>
      <vt:variant>
        <vt:i4>5</vt:i4>
      </vt:variant>
      <vt:variant>
        <vt:lpwstr/>
      </vt:variant>
      <vt:variant>
        <vt:lpwstr>_Toc413918147</vt:lpwstr>
      </vt:variant>
      <vt:variant>
        <vt:i4>1245239</vt:i4>
      </vt:variant>
      <vt:variant>
        <vt:i4>1364</vt:i4>
      </vt:variant>
      <vt:variant>
        <vt:i4>0</vt:i4>
      </vt:variant>
      <vt:variant>
        <vt:i4>5</vt:i4>
      </vt:variant>
      <vt:variant>
        <vt:lpwstr/>
      </vt:variant>
      <vt:variant>
        <vt:lpwstr>_Toc413918146</vt:lpwstr>
      </vt:variant>
      <vt:variant>
        <vt:i4>1245239</vt:i4>
      </vt:variant>
      <vt:variant>
        <vt:i4>1358</vt:i4>
      </vt:variant>
      <vt:variant>
        <vt:i4>0</vt:i4>
      </vt:variant>
      <vt:variant>
        <vt:i4>5</vt:i4>
      </vt:variant>
      <vt:variant>
        <vt:lpwstr/>
      </vt:variant>
      <vt:variant>
        <vt:lpwstr>_Toc413918145</vt:lpwstr>
      </vt:variant>
      <vt:variant>
        <vt:i4>1245239</vt:i4>
      </vt:variant>
      <vt:variant>
        <vt:i4>1352</vt:i4>
      </vt:variant>
      <vt:variant>
        <vt:i4>0</vt:i4>
      </vt:variant>
      <vt:variant>
        <vt:i4>5</vt:i4>
      </vt:variant>
      <vt:variant>
        <vt:lpwstr/>
      </vt:variant>
      <vt:variant>
        <vt:lpwstr>_Toc413918144</vt:lpwstr>
      </vt:variant>
      <vt:variant>
        <vt:i4>1245239</vt:i4>
      </vt:variant>
      <vt:variant>
        <vt:i4>1346</vt:i4>
      </vt:variant>
      <vt:variant>
        <vt:i4>0</vt:i4>
      </vt:variant>
      <vt:variant>
        <vt:i4>5</vt:i4>
      </vt:variant>
      <vt:variant>
        <vt:lpwstr/>
      </vt:variant>
      <vt:variant>
        <vt:lpwstr>_Toc413918143</vt:lpwstr>
      </vt:variant>
      <vt:variant>
        <vt:i4>1245239</vt:i4>
      </vt:variant>
      <vt:variant>
        <vt:i4>1340</vt:i4>
      </vt:variant>
      <vt:variant>
        <vt:i4>0</vt:i4>
      </vt:variant>
      <vt:variant>
        <vt:i4>5</vt:i4>
      </vt:variant>
      <vt:variant>
        <vt:lpwstr/>
      </vt:variant>
      <vt:variant>
        <vt:lpwstr>_Toc413918142</vt:lpwstr>
      </vt:variant>
      <vt:variant>
        <vt:i4>1245239</vt:i4>
      </vt:variant>
      <vt:variant>
        <vt:i4>1334</vt:i4>
      </vt:variant>
      <vt:variant>
        <vt:i4>0</vt:i4>
      </vt:variant>
      <vt:variant>
        <vt:i4>5</vt:i4>
      </vt:variant>
      <vt:variant>
        <vt:lpwstr/>
      </vt:variant>
      <vt:variant>
        <vt:lpwstr>_Toc413918141</vt:lpwstr>
      </vt:variant>
      <vt:variant>
        <vt:i4>1245239</vt:i4>
      </vt:variant>
      <vt:variant>
        <vt:i4>1328</vt:i4>
      </vt:variant>
      <vt:variant>
        <vt:i4>0</vt:i4>
      </vt:variant>
      <vt:variant>
        <vt:i4>5</vt:i4>
      </vt:variant>
      <vt:variant>
        <vt:lpwstr/>
      </vt:variant>
      <vt:variant>
        <vt:lpwstr>_Toc413918140</vt:lpwstr>
      </vt:variant>
      <vt:variant>
        <vt:i4>1310775</vt:i4>
      </vt:variant>
      <vt:variant>
        <vt:i4>1322</vt:i4>
      </vt:variant>
      <vt:variant>
        <vt:i4>0</vt:i4>
      </vt:variant>
      <vt:variant>
        <vt:i4>5</vt:i4>
      </vt:variant>
      <vt:variant>
        <vt:lpwstr/>
      </vt:variant>
      <vt:variant>
        <vt:lpwstr>_Toc413918139</vt:lpwstr>
      </vt:variant>
      <vt:variant>
        <vt:i4>1310775</vt:i4>
      </vt:variant>
      <vt:variant>
        <vt:i4>1316</vt:i4>
      </vt:variant>
      <vt:variant>
        <vt:i4>0</vt:i4>
      </vt:variant>
      <vt:variant>
        <vt:i4>5</vt:i4>
      </vt:variant>
      <vt:variant>
        <vt:lpwstr/>
      </vt:variant>
      <vt:variant>
        <vt:lpwstr>_Toc413918138</vt:lpwstr>
      </vt:variant>
      <vt:variant>
        <vt:i4>1310775</vt:i4>
      </vt:variant>
      <vt:variant>
        <vt:i4>1310</vt:i4>
      </vt:variant>
      <vt:variant>
        <vt:i4>0</vt:i4>
      </vt:variant>
      <vt:variant>
        <vt:i4>5</vt:i4>
      </vt:variant>
      <vt:variant>
        <vt:lpwstr/>
      </vt:variant>
      <vt:variant>
        <vt:lpwstr>_Toc413918137</vt:lpwstr>
      </vt:variant>
      <vt:variant>
        <vt:i4>1310775</vt:i4>
      </vt:variant>
      <vt:variant>
        <vt:i4>1304</vt:i4>
      </vt:variant>
      <vt:variant>
        <vt:i4>0</vt:i4>
      </vt:variant>
      <vt:variant>
        <vt:i4>5</vt:i4>
      </vt:variant>
      <vt:variant>
        <vt:lpwstr/>
      </vt:variant>
      <vt:variant>
        <vt:lpwstr>_Toc413918136</vt:lpwstr>
      </vt:variant>
      <vt:variant>
        <vt:i4>1310775</vt:i4>
      </vt:variant>
      <vt:variant>
        <vt:i4>1298</vt:i4>
      </vt:variant>
      <vt:variant>
        <vt:i4>0</vt:i4>
      </vt:variant>
      <vt:variant>
        <vt:i4>5</vt:i4>
      </vt:variant>
      <vt:variant>
        <vt:lpwstr/>
      </vt:variant>
      <vt:variant>
        <vt:lpwstr>_Toc413918135</vt:lpwstr>
      </vt:variant>
      <vt:variant>
        <vt:i4>1310775</vt:i4>
      </vt:variant>
      <vt:variant>
        <vt:i4>1292</vt:i4>
      </vt:variant>
      <vt:variant>
        <vt:i4>0</vt:i4>
      </vt:variant>
      <vt:variant>
        <vt:i4>5</vt:i4>
      </vt:variant>
      <vt:variant>
        <vt:lpwstr/>
      </vt:variant>
      <vt:variant>
        <vt:lpwstr>_Toc413918134</vt:lpwstr>
      </vt:variant>
      <vt:variant>
        <vt:i4>1310775</vt:i4>
      </vt:variant>
      <vt:variant>
        <vt:i4>1286</vt:i4>
      </vt:variant>
      <vt:variant>
        <vt:i4>0</vt:i4>
      </vt:variant>
      <vt:variant>
        <vt:i4>5</vt:i4>
      </vt:variant>
      <vt:variant>
        <vt:lpwstr/>
      </vt:variant>
      <vt:variant>
        <vt:lpwstr>_Toc413918133</vt:lpwstr>
      </vt:variant>
      <vt:variant>
        <vt:i4>1310775</vt:i4>
      </vt:variant>
      <vt:variant>
        <vt:i4>1280</vt:i4>
      </vt:variant>
      <vt:variant>
        <vt:i4>0</vt:i4>
      </vt:variant>
      <vt:variant>
        <vt:i4>5</vt:i4>
      </vt:variant>
      <vt:variant>
        <vt:lpwstr/>
      </vt:variant>
      <vt:variant>
        <vt:lpwstr>_Toc413918132</vt:lpwstr>
      </vt:variant>
      <vt:variant>
        <vt:i4>1310775</vt:i4>
      </vt:variant>
      <vt:variant>
        <vt:i4>1274</vt:i4>
      </vt:variant>
      <vt:variant>
        <vt:i4>0</vt:i4>
      </vt:variant>
      <vt:variant>
        <vt:i4>5</vt:i4>
      </vt:variant>
      <vt:variant>
        <vt:lpwstr/>
      </vt:variant>
      <vt:variant>
        <vt:lpwstr>_Toc413918131</vt:lpwstr>
      </vt:variant>
      <vt:variant>
        <vt:i4>1310775</vt:i4>
      </vt:variant>
      <vt:variant>
        <vt:i4>1268</vt:i4>
      </vt:variant>
      <vt:variant>
        <vt:i4>0</vt:i4>
      </vt:variant>
      <vt:variant>
        <vt:i4>5</vt:i4>
      </vt:variant>
      <vt:variant>
        <vt:lpwstr/>
      </vt:variant>
      <vt:variant>
        <vt:lpwstr>_Toc413918130</vt:lpwstr>
      </vt:variant>
      <vt:variant>
        <vt:i4>1376311</vt:i4>
      </vt:variant>
      <vt:variant>
        <vt:i4>1262</vt:i4>
      </vt:variant>
      <vt:variant>
        <vt:i4>0</vt:i4>
      </vt:variant>
      <vt:variant>
        <vt:i4>5</vt:i4>
      </vt:variant>
      <vt:variant>
        <vt:lpwstr/>
      </vt:variant>
      <vt:variant>
        <vt:lpwstr>_Toc413918129</vt:lpwstr>
      </vt:variant>
      <vt:variant>
        <vt:i4>1376311</vt:i4>
      </vt:variant>
      <vt:variant>
        <vt:i4>1256</vt:i4>
      </vt:variant>
      <vt:variant>
        <vt:i4>0</vt:i4>
      </vt:variant>
      <vt:variant>
        <vt:i4>5</vt:i4>
      </vt:variant>
      <vt:variant>
        <vt:lpwstr/>
      </vt:variant>
      <vt:variant>
        <vt:lpwstr>_Toc413918128</vt:lpwstr>
      </vt:variant>
      <vt:variant>
        <vt:i4>1376311</vt:i4>
      </vt:variant>
      <vt:variant>
        <vt:i4>1250</vt:i4>
      </vt:variant>
      <vt:variant>
        <vt:i4>0</vt:i4>
      </vt:variant>
      <vt:variant>
        <vt:i4>5</vt:i4>
      </vt:variant>
      <vt:variant>
        <vt:lpwstr/>
      </vt:variant>
      <vt:variant>
        <vt:lpwstr>_Toc413918127</vt:lpwstr>
      </vt:variant>
      <vt:variant>
        <vt:i4>1376311</vt:i4>
      </vt:variant>
      <vt:variant>
        <vt:i4>1244</vt:i4>
      </vt:variant>
      <vt:variant>
        <vt:i4>0</vt:i4>
      </vt:variant>
      <vt:variant>
        <vt:i4>5</vt:i4>
      </vt:variant>
      <vt:variant>
        <vt:lpwstr/>
      </vt:variant>
      <vt:variant>
        <vt:lpwstr>_Toc413918126</vt:lpwstr>
      </vt:variant>
      <vt:variant>
        <vt:i4>1376311</vt:i4>
      </vt:variant>
      <vt:variant>
        <vt:i4>1238</vt:i4>
      </vt:variant>
      <vt:variant>
        <vt:i4>0</vt:i4>
      </vt:variant>
      <vt:variant>
        <vt:i4>5</vt:i4>
      </vt:variant>
      <vt:variant>
        <vt:lpwstr/>
      </vt:variant>
      <vt:variant>
        <vt:lpwstr>_Toc413918125</vt:lpwstr>
      </vt:variant>
      <vt:variant>
        <vt:i4>1376311</vt:i4>
      </vt:variant>
      <vt:variant>
        <vt:i4>1232</vt:i4>
      </vt:variant>
      <vt:variant>
        <vt:i4>0</vt:i4>
      </vt:variant>
      <vt:variant>
        <vt:i4>5</vt:i4>
      </vt:variant>
      <vt:variant>
        <vt:lpwstr/>
      </vt:variant>
      <vt:variant>
        <vt:lpwstr>_Toc413918124</vt:lpwstr>
      </vt:variant>
      <vt:variant>
        <vt:i4>1376311</vt:i4>
      </vt:variant>
      <vt:variant>
        <vt:i4>1226</vt:i4>
      </vt:variant>
      <vt:variant>
        <vt:i4>0</vt:i4>
      </vt:variant>
      <vt:variant>
        <vt:i4>5</vt:i4>
      </vt:variant>
      <vt:variant>
        <vt:lpwstr/>
      </vt:variant>
      <vt:variant>
        <vt:lpwstr>_Toc413918123</vt:lpwstr>
      </vt:variant>
      <vt:variant>
        <vt:i4>1376311</vt:i4>
      </vt:variant>
      <vt:variant>
        <vt:i4>1220</vt:i4>
      </vt:variant>
      <vt:variant>
        <vt:i4>0</vt:i4>
      </vt:variant>
      <vt:variant>
        <vt:i4>5</vt:i4>
      </vt:variant>
      <vt:variant>
        <vt:lpwstr/>
      </vt:variant>
      <vt:variant>
        <vt:lpwstr>_Toc413918122</vt:lpwstr>
      </vt:variant>
      <vt:variant>
        <vt:i4>1376311</vt:i4>
      </vt:variant>
      <vt:variant>
        <vt:i4>1214</vt:i4>
      </vt:variant>
      <vt:variant>
        <vt:i4>0</vt:i4>
      </vt:variant>
      <vt:variant>
        <vt:i4>5</vt:i4>
      </vt:variant>
      <vt:variant>
        <vt:lpwstr/>
      </vt:variant>
      <vt:variant>
        <vt:lpwstr>_Toc413918121</vt:lpwstr>
      </vt:variant>
      <vt:variant>
        <vt:i4>1376311</vt:i4>
      </vt:variant>
      <vt:variant>
        <vt:i4>1208</vt:i4>
      </vt:variant>
      <vt:variant>
        <vt:i4>0</vt:i4>
      </vt:variant>
      <vt:variant>
        <vt:i4>5</vt:i4>
      </vt:variant>
      <vt:variant>
        <vt:lpwstr/>
      </vt:variant>
      <vt:variant>
        <vt:lpwstr>_Toc413918120</vt:lpwstr>
      </vt:variant>
      <vt:variant>
        <vt:i4>1441847</vt:i4>
      </vt:variant>
      <vt:variant>
        <vt:i4>1202</vt:i4>
      </vt:variant>
      <vt:variant>
        <vt:i4>0</vt:i4>
      </vt:variant>
      <vt:variant>
        <vt:i4>5</vt:i4>
      </vt:variant>
      <vt:variant>
        <vt:lpwstr/>
      </vt:variant>
      <vt:variant>
        <vt:lpwstr>_Toc413918119</vt:lpwstr>
      </vt:variant>
      <vt:variant>
        <vt:i4>1441847</vt:i4>
      </vt:variant>
      <vt:variant>
        <vt:i4>1196</vt:i4>
      </vt:variant>
      <vt:variant>
        <vt:i4>0</vt:i4>
      </vt:variant>
      <vt:variant>
        <vt:i4>5</vt:i4>
      </vt:variant>
      <vt:variant>
        <vt:lpwstr/>
      </vt:variant>
      <vt:variant>
        <vt:lpwstr>_Toc413918118</vt:lpwstr>
      </vt:variant>
      <vt:variant>
        <vt:i4>1441847</vt:i4>
      </vt:variant>
      <vt:variant>
        <vt:i4>1190</vt:i4>
      </vt:variant>
      <vt:variant>
        <vt:i4>0</vt:i4>
      </vt:variant>
      <vt:variant>
        <vt:i4>5</vt:i4>
      </vt:variant>
      <vt:variant>
        <vt:lpwstr/>
      </vt:variant>
      <vt:variant>
        <vt:lpwstr>_Toc413918117</vt:lpwstr>
      </vt:variant>
      <vt:variant>
        <vt:i4>1441847</vt:i4>
      </vt:variant>
      <vt:variant>
        <vt:i4>1184</vt:i4>
      </vt:variant>
      <vt:variant>
        <vt:i4>0</vt:i4>
      </vt:variant>
      <vt:variant>
        <vt:i4>5</vt:i4>
      </vt:variant>
      <vt:variant>
        <vt:lpwstr/>
      </vt:variant>
      <vt:variant>
        <vt:lpwstr>_Toc413918116</vt:lpwstr>
      </vt:variant>
      <vt:variant>
        <vt:i4>1441847</vt:i4>
      </vt:variant>
      <vt:variant>
        <vt:i4>1178</vt:i4>
      </vt:variant>
      <vt:variant>
        <vt:i4>0</vt:i4>
      </vt:variant>
      <vt:variant>
        <vt:i4>5</vt:i4>
      </vt:variant>
      <vt:variant>
        <vt:lpwstr/>
      </vt:variant>
      <vt:variant>
        <vt:lpwstr>_Toc413918115</vt:lpwstr>
      </vt:variant>
      <vt:variant>
        <vt:i4>1441847</vt:i4>
      </vt:variant>
      <vt:variant>
        <vt:i4>1172</vt:i4>
      </vt:variant>
      <vt:variant>
        <vt:i4>0</vt:i4>
      </vt:variant>
      <vt:variant>
        <vt:i4>5</vt:i4>
      </vt:variant>
      <vt:variant>
        <vt:lpwstr/>
      </vt:variant>
      <vt:variant>
        <vt:lpwstr>_Toc413918114</vt:lpwstr>
      </vt:variant>
      <vt:variant>
        <vt:i4>1441847</vt:i4>
      </vt:variant>
      <vt:variant>
        <vt:i4>1166</vt:i4>
      </vt:variant>
      <vt:variant>
        <vt:i4>0</vt:i4>
      </vt:variant>
      <vt:variant>
        <vt:i4>5</vt:i4>
      </vt:variant>
      <vt:variant>
        <vt:lpwstr/>
      </vt:variant>
      <vt:variant>
        <vt:lpwstr>_Toc413918113</vt:lpwstr>
      </vt:variant>
      <vt:variant>
        <vt:i4>1441847</vt:i4>
      </vt:variant>
      <vt:variant>
        <vt:i4>1160</vt:i4>
      </vt:variant>
      <vt:variant>
        <vt:i4>0</vt:i4>
      </vt:variant>
      <vt:variant>
        <vt:i4>5</vt:i4>
      </vt:variant>
      <vt:variant>
        <vt:lpwstr/>
      </vt:variant>
      <vt:variant>
        <vt:lpwstr>_Toc413918112</vt:lpwstr>
      </vt:variant>
      <vt:variant>
        <vt:i4>1441847</vt:i4>
      </vt:variant>
      <vt:variant>
        <vt:i4>1154</vt:i4>
      </vt:variant>
      <vt:variant>
        <vt:i4>0</vt:i4>
      </vt:variant>
      <vt:variant>
        <vt:i4>5</vt:i4>
      </vt:variant>
      <vt:variant>
        <vt:lpwstr/>
      </vt:variant>
      <vt:variant>
        <vt:lpwstr>_Toc413918111</vt:lpwstr>
      </vt:variant>
      <vt:variant>
        <vt:i4>1441847</vt:i4>
      </vt:variant>
      <vt:variant>
        <vt:i4>1148</vt:i4>
      </vt:variant>
      <vt:variant>
        <vt:i4>0</vt:i4>
      </vt:variant>
      <vt:variant>
        <vt:i4>5</vt:i4>
      </vt:variant>
      <vt:variant>
        <vt:lpwstr/>
      </vt:variant>
      <vt:variant>
        <vt:lpwstr>_Toc413918110</vt:lpwstr>
      </vt:variant>
      <vt:variant>
        <vt:i4>1507383</vt:i4>
      </vt:variant>
      <vt:variant>
        <vt:i4>1142</vt:i4>
      </vt:variant>
      <vt:variant>
        <vt:i4>0</vt:i4>
      </vt:variant>
      <vt:variant>
        <vt:i4>5</vt:i4>
      </vt:variant>
      <vt:variant>
        <vt:lpwstr/>
      </vt:variant>
      <vt:variant>
        <vt:lpwstr>_Toc413918109</vt:lpwstr>
      </vt:variant>
      <vt:variant>
        <vt:i4>1507383</vt:i4>
      </vt:variant>
      <vt:variant>
        <vt:i4>1136</vt:i4>
      </vt:variant>
      <vt:variant>
        <vt:i4>0</vt:i4>
      </vt:variant>
      <vt:variant>
        <vt:i4>5</vt:i4>
      </vt:variant>
      <vt:variant>
        <vt:lpwstr/>
      </vt:variant>
      <vt:variant>
        <vt:lpwstr>_Toc413918108</vt:lpwstr>
      </vt:variant>
      <vt:variant>
        <vt:i4>1507383</vt:i4>
      </vt:variant>
      <vt:variant>
        <vt:i4>1130</vt:i4>
      </vt:variant>
      <vt:variant>
        <vt:i4>0</vt:i4>
      </vt:variant>
      <vt:variant>
        <vt:i4>5</vt:i4>
      </vt:variant>
      <vt:variant>
        <vt:lpwstr/>
      </vt:variant>
      <vt:variant>
        <vt:lpwstr>_Toc413918107</vt:lpwstr>
      </vt:variant>
      <vt:variant>
        <vt:i4>1507383</vt:i4>
      </vt:variant>
      <vt:variant>
        <vt:i4>1124</vt:i4>
      </vt:variant>
      <vt:variant>
        <vt:i4>0</vt:i4>
      </vt:variant>
      <vt:variant>
        <vt:i4>5</vt:i4>
      </vt:variant>
      <vt:variant>
        <vt:lpwstr/>
      </vt:variant>
      <vt:variant>
        <vt:lpwstr>_Toc413918106</vt:lpwstr>
      </vt:variant>
      <vt:variant>
        <vt:i4>1507383</vt:i4>
      </vt:variant>
      <vt:variant>
        <vt:i4>1118</vt:i4>
      </vt:variant>
      <vt:variant>
        <vt:i4>0</vt:i4>
      </vt:variant>
      <vt:variant>
        <vt:i4>5</vt:i4>
      </vt:variant>
      <vt:variant>
        <vt:lpwstr/>
      </vt:variant>
      <vt:variant>
        <vt:lpwstr>_Toc413918105</vt:lpwstr>
      </vt:variant>
      <vt:variant>
        <vt:i4>1507383</vt:i4>
      </vt:variant>
      <vt:variant>
        <vt:i4>1112</vt:i4>
      </vt:variant>
      <vt:variant>
        <vt:i4>0</vt:i4>
      </vt:variant>
      <vt:variant>
        <vt:i4>5</vt:i4>
      </vt:variant>
      <vt:variant>
        <vt:lpwstr/>
      </vt:variant>
      <vt:variant>
        <vt:lpwstr>_Toc413918104</vt:lpwstr>
      </vt:variant>
      <vt:variant>
        <vt:i4>1507383</vt:i4>
      </vt:variant>
      <vt:variant>
        <vt:i4>1106</vt:i4>
      </vt:variant>
      <vt:variant>
        <vt:i4>0</vt:i4>
      </vt:variant>
      <vt:variant>
        <vt:i4>5</vt:i4>
      </vt:variant>
      <vt:variant>
        <vt:lpwstr/>
      </vt:variant>
      <vt:variant>
        <vt:lpwstr>_Toc413918103</vt:lpwstr>
      </vt:variant>
      <vt:variant>
        <vt:i4>1507383</vt:i4>
      </vt:variant>
      <vt:variant>
        <vt:i4>1100</vt:i4>
      </vt:variant>
      <vt:variant>
        <vt:i4>0</vt:i4>
      </vt:variant>
      <vt:variant>
        <vt:i4>5</vt:i4>
      </vt:variant>
      <vt:variant>
        <vt:lpwstr/>
      </vt:variant>
      <vt:variant>
        <vt:lpwstr>_Toc413918102</vt:lpwstr>
      </vt:variant>
      <vt:variant>
        <vt:i4>1507383</vt:i4>
      </vt:variant>
      <vt:variant>
        <vt:i4>1094</vt:i4>
      </vt:variant>
      <vt:variant>
        <vt:i4>0</vt:i4>
      </vt:variant>
      <vt:variant>
        <vt:i4>5</vt:i4>
      </vt:variant>
      <vt:variant>
        <vt:lpwstr/>
      </vt:variant>
      <vt:variant>
        <vt:lpwstr>_Toc413918101</vt:lpwstr>
      </vt:variant>
      <vt:variant>
        <vt:i4>1507383</vt:i4>
      </vt:variant>
      <vt:variant>
        <vt:i4>1088</vt:i4>
      </vt:variant>
      <vt:variant>
        <vt:i4>0</vt:i4>
      </vt:variant>
      <vt:variant>
        <vt:i4>5</vt:i4>
      </vt:variant>
      <vt:variant>
        <vt:lpwstr/>
      </vt:variant>
      <vt:variant>
        <vt:lpwstr>_Toc413918100</vt:lpwstr>
      </vt:variant>
      <vt:variant>
        <vt:i4>1966134</vt:i4>
      </vt:variant>
      <vt:variant>
        <vt:i4>1082</vt:i4>
      </vt:variant>
      <vt:variant>
        <vt:i4>0</vt:i4>
      </vt:variant>
      <vt:variant>
        <vt:i4>5</vt:i4>
      </vt:variant>
      <vt:variant>
        <vt:lpwstr/>
      </vt:variant>
      <vt:variant>
        <vt:lpwstr>_Toc413918099</vt:lpwstr>
      </vt:variant>
      <vt:variant>
        <vt:i4>1966134</vt:i4>
      </vt:variant>
      <vt:variant>
        <vt:i4>1076</vt:i4>
      </vt:variant>
      <vt:variant>
        <vt:i4>0</vt:i4>
      </vt:variant>
      <vt:variant>
        <vt:i4>5</vt:i4>
      </vt:variant>
      <vt:variant>
        <vt:lpwstr/>
      </vt:variant>
      <vt:variant>
        <vt:lpwstr>_Toc413918098</vt:lpwstr>
      </vt:variant>
      <vt:variant>
        <vt:i4>1966134</vt:i4>
      </vt:variant>
      <vt:variant>
        <vt:i4>1070</vt:i4>
      </vt:variant>
      <vt:variant>
        <vt:i4>0</vt:i4>
      </vt:variant>
      <vt:variant>
        <vt:i4>5</vt:i4>
      </vt:variant>
      <vt:variant>
        <vt:lpwstr/>
      </vt:variant>
      <vt:variant>
        <vt:lpwstr>_Toc413918097</vt:lpwstr>
      </vt:variant>
      <vt:variant>
        <vt:i4>1966134</vt:i4>
      </vt:variant>
      <vt:variant>
        <vt:i4>1064</vt:i4>
      </vt:variant>
      <vt:variant>
        <vt:i4>0</vt:i4>
      </vt:variant>
      <vt:variant>
        <vt:i4>5</vt:i4>
      </vt:variant>
      <vt:variant>
        <vt:lpwstr/>
      </vt:variant>
      <vt:variant>
        <vt:lpwstr>_Toc413918096</vt:lpwstr>
      </vt:variant>
      <vt:variant>
        <vt:i4>1966134</vt:i4>
      </vt:variant>
      <vt:variant>
        <vt:i4>1058</vt:i4>
      </vt:variant>
      <vt:variant>
        <vt:i4>0</vt:i4>
      </vt:variant>
      <vt:variant>
        <vt:i4>5</vt:i4>
      </vt:variant>
      <vt:variant>
        <vt:lpwstr/>
      </vt:variant>
      <vt:variant>
        <vt:lpwstr>_Toc413918095</vt:lpwstr>
      </vt:variant>
      <vt:variant>
        <vt:i4>1966134</vt:i4>
      </vt:variant>
      <vt:variant>
        <vt:i4>1052</vt:i4>
      </vt:variant>
      <vt:variant>
        <vt:i4>0</vt:i4>
      </vt:variant>
      <vt:variant>
        <vt:i4>5</vt:i4>
      </vt:variant>
      <vt:variant>
        <vt:lpwstr/>
      </vt:variant>
      <vt:variant>
        <vt:lpwstr>_Toc413918094</vt:lpwstr>
      </vt:variant>
      <vt:variant>
        <vt:i4>1966134</vt:i4>
      </vt:variant>
      <vt:variant>
        <vt:i4>1046</vt:i4>
      </vt:variant>
      <vt:variant>
        <vt:i4>0</vt:i4>
      </vt:variant>
      <vt:variant>
        <vt:i4>5</vt:i4>
      </vt:variant>
      <vt:variant>
        <vt:lpwstr/>
      </vt:variant>
      <vt:variant>
        <vt:lpwstr>_Toc413918093</vt:lpwstr>
      </vt:variant>
      <vt:variant>
        <vt:i4>1966134</vt:i4>
      </vt:variant>
      <vt:variant>
        <vt:i4>1040</vt:i4>
      </vt:variant>
      <vt:variant>
        <vt:i4>0</vt:i4>
      </vt:variant>
      <vt:variant>
        <vt:i4>5</vt:i4>
      </vt:variant>
      <vt:variant>
        <vt:lpwstr/>
      </vt:variant>
      <vt:variant>
        <vt:lpwstr>_Toc413918092</vt:lpwstr>
      </vt:variant>
      <vt:variant>
        <vt:i4>1966134</vt:i4>
      </vt:variant>
      <vt:variant>
        <vt:i4>1034</vt:i4>
      </vt:variant>
      <vt:variant>
        <vt:i4>0</vt:i4>
      </vt:variant>
      <vt:variant>
        <vt:i4>5</vt:i4>
      </vt:variant>
      <vt:variant>
        <vt:lpwstr/>
      </vt:variant>
      <vt:variant>
        <vt:lpwstr>_Toc413918091</vt:lpwstr>
      </vt:variant>
      <vt:variant>
        <vt:i4>1966134</vt:i4>
      </vt:variant>
      <vt:variant>
        <vt:i4>1028</vt:i4>
      </vt:variant>
      <vt:variant>
        <vt:i4>0</vt:i4>
      </vt:variant>
      <vt:variant>
        <vt:i4>5</vt:i4>
      </vt:variant>
      <vt:variant>
        <vt:lpwstr/>
      </vt:variant>
      <vt:variant>
        <vt:lpwstr>_Toc413918090</vt:lpwstr>
      </vt:variant>
      <vt:variant>
        <vt:i4>2031670</vt:i4>
      </vt:variant>
      <vt:variant>
        <vt:i4>1022</vt:i4>
      </vt:variant>
      <vt:variant>
        <vt:i4>0</vt:i4>
      </vt:variant>
      <vt:variant>
        <vt:i4>5</vt:i4>
      </vt:variant>
      <vt:variant>
        <vt:lpwstr/>
      </vt:variant>
      <vt:variant>
        <vt:lpwstr>_Toc413918089</vt:lpwstr>
      </vt:variant>
      <vt:variant>
        <vt:i4>2031670</vt:i4>
      </vt:variant>
      <vt:variant>
        <vt:i4>1016</vt:i4>
      </vt:variant>
      <vt:variant>
        <vt:i4>0</vt:i4>
      </vt:variant>
      <vt:variant>
        <vt:i4>5</vt:i4>
      </vt:variant>
      <vt:variant>
        <vt:lpwstr/>
      </vt:variant>
      <vt:variant>
        <vt:lpwstr>_Toc413918088</vt:lpwstr>
      </vt:variant>
      <vt:variant>
        <vt:i4>2031670</vt:i4>
      </vt:variant>
      <vt:variant>
        <vt:i4>1010</vt:i4>
      </vt:variant>
      <vt:variant>
        <vt:i4>0</vt:i4>
      </vt:variant>
      <vt:variant>
        <vt:i4>5</vt:i4>
      </vt:variant>
      <vt:variant>
        <vt:lpwstr/>
      </vt:variant>
      <vt:variant>
        <vt:lpwstr>_Toc413918087</vt:lpwstr>
      </vt:variant>
      <vt:variant>
        <vt:i4>2031670</vt:i4>
      </vt:variant>
      <vt:variant>
        <vt:i4>1004</vt:i4>
      </vt:variant>
      <vt:variant>
        <vt:i4>0</vt:i4>
      </vt:variant>
      <vt:variant>
        <vt:i4>5</vt:i4>
      </vt:variant>
      <vt:variant>
        <vt:lpwstr/>
      </vt:variant>
      <vt:variant>
        <vt:lpwstr>_Toc413918086</vt:lpwstr>
      </vt:variant>
      <vt:variant>
        <vt:i4>2031670</vt:i4>
      </vt:variant>
      <vt:variant>
        <vt:i4>998</vt:i4>
      </vt:variant>
      <vt:variant>
        <vt:i4>0</vt:i4>
      </vt:variant>
      <vt:variant>
        <vt:i4>5</vt:i4>
      </vt:variant>
      <vt:variant>
        <vt:lpwstr/>
      </vt:variant>
      <vt:variant>
        <vt:lpwstr>_Toc413918085</vt:lpwstr>
      </vt:variant>
      <vt:variant>
        <vt:i4>2031670</vt:i4>
      </vt:variant>
      <vt:variant>
        <vt:i4>992</vt:i4>
      </vt:variant>
      <vt:variant>
        <vt:i4>0</vt:i4>
      </vt:variant>
      <vt:variant>
        <vt:i4>5</vt:i4>
      </vt:variant>
      <vt:variant>
        <vt:lpwstr/>
      </vt:variant>
      <vt:variant>
        <vt:lpwstr>_Toc413918084</vt:lpwstr>
      </vt:variant>
      <vt:variant>
        <vt:i4>2031670</vt:i4>
      </vt:variant>
      <vt:variant>
        <vt:i4>986</vt:i4>
      </vt:variant>
      <vt:variant>
        <vt:i4>0</vt:i4>
      </vt:variant>
      <vt:variant>
        <vt:i4>5</vt:i4>
      </vt:variant>
      <vt:variant>
        <vt:lpwstr/>
      </vt:variant>
      <vt:variant>
        <vt:lpwstr>_Toc413918083</vt:lpwstr>
      </vt:variant>
      <vt:variant>
        <vt:i4>2031670</vt:i4>
      </vt:variant>
      <vt:variant>
        <vt:i4>980</vt:i4>
      </vt:variant>
      <vt:variant>
        <vt:i4>0</vt:i4>
      </vt:variant>
      <vt:variant>
        <vt:i4>5</vt:i4>
      </vt:variant>
      <vt:variant>
        <vt:lpwstr/>
      </vt:variant>
      <vt:variant>
        <vt:lpwstr>_Toc413918082</vt:lpwstr>
      </vt:variant>
      <vt:variant>
        <vt:i4>2031670</vt:i4>
      </vt:variant>
      <vt:variant>
        <vt:i4>974</vt:i4>
      </vt:variant>
      <vt:variant>
        <vt:i4>0</vt:i4>
      </vt:variant>
      <vt:variant>
        <vt:i4>5</vt:i4>
      </vt:variant>
      <vt:variant>
        <vt:lpwstr/>
      </vt:variant>
      <vt:variant>
        <vt:lpwstr>_Toc413918081</vt:lpwstr>
      </vt:variant>
      <vt:variant>
        <vt:i4>2031670</vt:i4>
      </vt:variant>
      <vt:variant>
        <vt:i4>968</vt:i4>
      </vt:variant>
      <vt:variant>
        <vt:i4>0</vt:i4>
      </vt:variant>
      <vt:variant>
        <vt:i4>5</vt:i4>
      </vt:variant>
      <vt:variant>
        <vt:lpwstr/>
      </vt:variant>
      <vt:variant>
        <vt:lpwstr>_Toc413918080</vt:lpwstr>
      </vt:variant>
      <vt:variant>
        <vt:i4>1048630</vt:i4>
      </vt:variant>
      <vt:variant>
        <vt:i4>962</vt:i4>
      </vt:variant>
      <vt:variant>
        <vt:i4>0</vt:i4>
      </vt:variant>
      <vt:variant>
        <vt:i4>5</vt:i4>
      </vt:variant>
      <vt:variant>
        <vt:lpwstr/>
      </vt:variant>
      <vt:variant>
        <vt:lpwstr>_Toc413918079</vt:lpwstr>
      </vt:variant>
      <vt:variant>
        <vt:i4>1048630</vt:i4>
      </vt:variant>
      <vt:variant>
        <vt:i4>956</vt:i4>
      </vt:variant>
      <vt:variant>
        <vt:i4>0</vt:i4>
      </vt:variant>
      <vt:variant>
        <vt:i4>5</vt:i4>
      </vt:variant>
      <vt:variant>
        <vt:lpwstr/>
      </vt:variant>
      <vt:variant>
        <vt:lpwstr>_Toc413918078</vt:lpwstr>
      </vt:variant>
      <vt:variant>
        <vt:i4>1048630</vt:i4>
      </vt:variant>
      <vt:variant>
        <vt:i4>950</vt:i4>
      </vt:variant>
      <vt:variant>
        <vt:i4>0</vt:i4>
      </vt:variant>
      <vt:variant>
        <vt:i4>5</vt:i4>
      </vt:variant>
      <vt:variant>
        <vt:lpwstr/>
      </vt:variant>
      <vt:variant>
        <vt:lpwstr>_Toc413918077</vt:lpwstr>
      </vt:variant>
      <vt:variant>
        <vt:i4>1048630</vt:i4>
      </vt:variant>
      <vt:variant>
        <vt:i4>944</vt:i4>
      </vt:variant>
      <vt:variant>
        <vt:i4>0</vt:i4>
      </vt:variant>
      <vt:variant>
        <vt:i4>5</vt:i4>
      </vt:variant>
      <vt:variant>
        <vt:lpwstr/>
      </vt:variant>
      <vt:variant>
        <vt:lpwstr>_Toc413918076</vt:lpwstr>
      </vt:variant>
      <vt:variant>
        <vt:i4>1048630</vt:i4>
      </vt:variant>
      <vt:variant>
        <vt:i4>938</vt:i4>
      </vt:variant>
      <vt:variant>
        <vt:i4>0</vt:i4>
      </vt:variant>
      <vt:variant>
        <vt:i4>5</vt:i4>
      </vt:variant>
      <vt:variant>
        <vt:lpwstr/>
      </vt:variant>
      <vt:variant>
        <vt:lpwstr>_Toc413918075</vt:lpwstr>
      </vt:variant>
      <vt:variant>
        <vt:i4>1048630</vt:i4>
      </vt:variant>
      <vt:variant>
        <vt:i4>932</vt:i4>
      </vt:variant>
      <vt:variant>
        <vt:i4>0</vt:i4>
      </vt:variant>
      <vt:variant>
        <vt:i4>5</vt:i4>
      </vt:variant>
      <vt:variant>
        <vt:lpwstr/>
      </vt:variant>
      <vt:variant>
        <vt:lpwstr>_Toc413918074</vt:lpwstr>
      </vt:variant>
      <vt:variant>
        <vt:i4>1048630</vt:i4>
      </vt:variant>
      <vt:variant>
        <vt:i4>926</vt:i4>
      </vt:variant>
      <vt:variant>
        <vt:i4>0</vt:i4>
      </vt:variant>
      <vt:variant>
        <vt:i4>5</vt:i4>
      </vt:variant>
      <vt:variant>
        <vt:lpwstr/>
      </vt:variant>
      <vt:variant>
        <vt:lpwstr>_Toc413918073</vt:lpwstr>
      </vt:variant>
      <vt:variant>
        <vt:i4>1048630</vt:i4>
      </vt:variant>
      <vt:variant>
        <vt:i4>920</vt:i4>
      </vt:variant>
      <vt:variant>
        <vt:i4>0</vt:i4>
      </vt:variant>
      <vt:variant>
        <vt:i4>5</vt:i4>
      </vt:variant>
      <vt:variant>
        <vt:lpwstr/>
      </vt:variant>
      <vt:variant>
        <vt:lpwstr>_Toc413918072</vt:lpwstr>
      </vt:variant>
      <vt:variant>
        <vt:i4>1048630</vt:i4>
      </vt:variant>
      <vt:variant>
        <vt:i4>914</vt:i4>
      </vt:variant>
      <vt:variant>
        <vt:i4>0</vt:i4>
      </vt:variant>
      <vt:variant>
        <vt:i4>5</vt:i4>
      </vt:variant>
      <vt:variant>
        <vt:lpwstr/>
      </vt:variant>
      <vt:variant>
        <vt:lpwstr>_Toc413918071</vt:lpwstr>
      </vt:variant>
      <vt:variant>
        <vt:i4>1048630</vt:i4>
      </vt:variant>
      <vt:variant>
        <vt:i4>908</vt:i4>
      </vt:variant>
      <vt:variant>
        <vt:i4>0</vt:i4>
      </vt:variant>
      <vt:variant>
        <vt:i4>5</vt:i4>
      </vt:variant>
      <vt:variant>
        <vt:lpwstr/>
      </vt:variant>
      <vt:variant>
        <vt:lpwstr>_Toc413918070</vt:lpwstr>
      </vt:variant>
      <vt:variant>
        <vt:i4>1114166</vt:i4>
      </vt:variant>
      <vt:variant>
        <vt:i4>902</vt:i4>
      </vt:variant>
      <vt:variant>
        <vt:i4>0</vt:i4>
      </vt:variant>
      <vt:variant>
        <vt:i4>5</vt:i4>
      </vt:variant>
      <vt:variant>
        <vt:lpwstr/>
      </vt:variant>
      <vt:variant>
        <vt:lpwstr>_Toc413918069</vt:lpwstr>
      </vt:variant>
      <vt:variant>
        <vt:i4>1114166</vt:i4>
      </vt:variant>
      <vt:variant>
        <vt:i4>896</vt:i4>
      </vt:variant>
      <vt:variant>
        <vt:i4>0</vt:i4>
      </vt:variant>
      <vt:variant>
        <vt:i4>5</vt:i4>
      </vt:variant>
      <vt:variant>
        <vt:lpwstr/>
      </vt:variant>
      <vt:variant>
        <vt:lpwstr>_Toc413918068</vt:lpwstr>
      </vt:variant>
      <vt:variant>
        <vt:i4>1114166</vt:i4>
      </vt:variant>
      <vt:variant>
        <vt:i4>890</vt:i4>
      </vt:variant>
      <vt:variant>
        <vt:i4>0</vt:i4>
      </vt:variant>
      <vt:variant>
        <vt:i4>5</vt:i4>
      </vt:variant>
      <vt:variant>
        <vt:lpwstr/>
      </vt:variant>
      <vt:variant>
        <vt:lpwstr>_Toc413918067</vt:lpwstr>
      </vt:variant>
      <vt:variant>
        <vt:i4>1114166</vt:i4>
      </vt:variant>
      <vt:variant>
        <vt:i4>884</vt:i4>
      </vt:variant>
      <vt:variant>
        <vt:i4>0</vt:i4>
      </vt:variant>
      <vt:variant>
        <vt:i4>5</vt:i4>
      </vt:variant>
      <vt:variant>
        <vt:lpwstr/>
      </vt:variant>
      <vt:variant>
        <vt:lpwstr>_Toc413918066</vt:lpwstr>
      </vt:variant>
      <vt:variant>
        <vt:i4>1114166</vt:i4>
      </vt:variant>
      <vt:variant>
        <vt:i4>878</vt:i4>
      </vt:variant>
      <vt:variant>
        <vt:i4>0</vt:i4>
      </vt:variant>
      <vt:variant>
        <vt:i4>5</vt:i4>
      </vt:variant>
      <vt:variant>
        <vt:lpwstr/>
      </vt:variant>
      <vt:variant>
        <vt:lpwstr>_Toc413918065</vt:lpwstr>
      </vt:variant>
      <vt:variant>
        <vt:i4>1114166</vt:i4>
      </vt:variant>
      <vt:variant>
        <vt:i4>872</vt:i4>
      </vt:variant>
      <vt:variant>
        <vt:i4>0</vt:i4>
      </vt:variant>
      <vt:variant>
        <vt:i4>5</vt:i4>
      </vt:variant>
      <vt:variant>
        <vt:lpwstr/>
      </vt:variant>
      <vt:variant>
        <vt:lpwstr>_Toc413918064</vt:lpwstr>
      </vt:variant>
      <vt:variant>
        <vt:i4>1114166</vt:i4>
      </vt:variant>
      <vt:variant>
        <vt:i4>866</vt:i4>
      </vt:variant>
      <vt:variant>
        <vt:i4>0</vt:i4>
      </vt:variant>
      <vt:variant>
        <vt:i4>5</vt:i4>
      </vt:variant>
      <vt:variant>
        <vt:lpwstr/>
      </vt:variant>
      <vt:variant>
        <vt:lpwstr>_Toc413918063</vt:lpwstr>
      </vt:variant>
      <vt:variant>
        <vt:i4>1114166</vt:i4>
      </vt:variant>
      <vt:variant>
        <vt:i4>860</vt:i4>
      </vt:variant>
      <vt:variant>
        <vt:i4>0</vt:i4>
      </vt:variant>
      <vt:variant>
        <vt:i4>5</vt:i4>
      </vt:variant>
      <vt:variant>
        <vt:lpwstr/>
      </vt:variant>
      <vt:variant>
        <vt:lpwstr>_Toc413918062</vt:lpwstr>
      </vt:variant>
      <vt:variant>
        <vt:i4>1114166</vt:i4>
      </vt:variant>
      <vt:variant>
        <vt:i4>854</vt:i4>
      </vt:variant>
      <vt:variant>
        <vt:i4>0</vt:i4>
      </vt:variant>
      <vt:variant>
        <vt:i4>5</vt:i4>
      </vt:variant>
      <vt:variant>
        <vt:lpwstr/>
      </vt:variant>
      <vt:variant>
        <vt:lpwstr>_Toc413918061</vt:lpwstr>
      </vt:variant>
      <vt:variant>
        <vt:i4>1114166</vt:i4>
      </vt:variant>
      <vt:variant>
        <vt:i4>848</vt:i4>
      </vt:variant>
      <vt:variant>
        <vt:i4>0</vt:i4>
      </vt:variant>
      <vt:variant>
        <vt:i4>5</vt:i4>
      </vt:variant>
      <vt:variant>
        <vt:lpwstr/>
      </vt:variant>
      <vt:variant>
        <vt:lpwstr>_Toc413918060</vt:lpwstr>
      </vt:variant>
      <vt:variant>
        <vt:i4>1179702</vt:i4>
      </vt:variant>
      <vt:variant>
        <vt:i4>842</vt:i4>
      </vt:variant>
      <vt:variant>
        <vt:i4>0</vt:i4>
      </vt:variant>
      <vt:variant>
        <vt:i4>5</vt:i4>
      </vt:variant>
      <vt:variant>
        <vt:lpwstr/>
      </vt:variant>
      <vt:variant>
        <vt:lpwstr>_Toc413918059</vt:lpwstr>
      </vt:variant>
      <vt:variant>
        <vt:i4>1179702</vt:i4>
      </vt:variant>
      <vt:variant>
        <vt:i4>836</vt:i4>
      </vt:variant>
      <vt:variant>
        <vt:i4>0</vt:i4>
      </vt:variant>
      <vt:variant>
        <vt:i4>5</vt:i4>
      </vt:variant>
      <vt:variant>
        <vt:lpwstr/>
      </vt:variant>
      <vt:variant>
        <vt:lpwstr>_Toc413918058</vt:lpwstr>
      </vt:variant>
      <vt:variant>
        <vt:i4>1179702</vt:i4>
      </vt:variant>
      <vt:variant>
        <vt:i4>830</vt:i4>
      </vt:variant>
      <vt:variant>
        <vt:i4>0</vt:i4>
      </vt:variant>
      <vt:variant>
        <vt:i4>5</vt:i4>
      </vt:variant>
      <vt:variant>
        <vt:lpwstr/>
      </vt:variant>
      <vt:variant>
        <vt:lpwstr>_Toc413918057</vt:lpwstr>
      </vt:variant>
      <vt:variant>
        <vt:i4>1179702</vt:i4>
      </vt:variant>
      <vt:variant>
        <vt:i4>824</vt:i4>
      </vt:variant>
      <vt:variant>
        <vt:i4>0</vt:i4>
      </vt:variant>
      <vt:variant>
        <vt:i4>5</vt:i4>
      </vt:variant>
      <vt:variant>
        <vt:lpwstr/>
      </vt:variant>
      <vt:variant>
        <vt:lpwstr>_Toc413918056</vt:lpwstr>
      </vt:variant>
      <vt:variant>
        <vt:i4>1179702</vt:i4>
      </vt:variant>
      <vt:variant>
        <vt:i4>818</vt:i4>
      </vt:variant>
      <vt:variant>
        <vt:i4>0</vt:i4>
      </vt:variant>
      <vt:variant>
        <vt:i4>5</vt:i4>
      </vt:variant>
      <vt:variant>
        <vt:lpwstr/>
      </vt:variant>
      <vt:variant>
        <vt:lpwstr>_Toc413918055</vt:lpwstr>
      </vt:variant>
      <vt:variant>
        <vt:i4>1179702</vt:i4>
      </vt:variant>
      <vt:variant>
        <vt:i4>812</vt:i4>
      </vt:variant>
      <vt:variant>
        <vt:i4>0</vt:i4>
      </vt:variant>
      <vt:variant>
        <vt:i4>5</vt:i4>
      </vt:variant>
      <vt:variant>
        <vt:lpwstr/>
      </vt:variant>
      <vt:variant>
        <vt:lpwstr>_Toc413918054</vt:lpwstr>
      </vt:variant>
      <vt:variant>
        <vt:i4>1179702</vt:i4>
      </vt:variant>
      <vt:variant>
        <vt:i4>806</vt:i4>
      </vt:variant>
      <vt:variant>
        <vt:i4>0</vt:i4>
      </vt:variant>
      <vt:variant>
        <vt:i4>5</vt:i4>
      </vt:variant>
      <vt:variant>
        <vt:lpwstr/>
      </vt:variant>
      <vt:variant>
        <vt:lpwstr>_Toc413918053</vt:lpwstr>
      </vt:variant>
      <vt:variant>
        <vt:i4>1179702</vt:i4>
      </vt:variant>
      <vt:variant>
        <vt:i4>800</vt:i4>
      </vt:variant>
      <vt:variant>
        <vt:i4>0</vt:i4>
      </vt:variant>
      <vt:variant>
        <vt:i4>5</vt:i4>
      </vt:variant>
      <vt:variant>
        <vt:lpwstr/>
      </vt:variant>
      <vt:variant>
        <vt:lpwstr>_Toc413918052</vt:lpwstr>
      </vt:variant>
      <vt:variant>
        <vt:i4>1179702</vt:i4>
      </vt:variant>
      <vt:variant>
        <vt:i4>794</vt:i4>
      </vt:variant>
      <vt:variant>
        <vt:i4>0</vt:i4>
      </vt:variant>
      <vt:variant>
        <vt:i4>5</vt:i4>
      </vt:variant>
      <vt:variant>
        <vt:lpwstr/>
      </vt:variant>
      <vt:variant>
        <vt:lpwstr>_Toc413918051</vt:lpwstr>
      </vt:variant>
      <vt:variant>
        <vt:i4>1179702</vt:i4>
      </vt:variant>
      <vt:variant>
        <vt:i4>788</vt:i4>
      </vt:variant>
      <vt:variant>
        <vt:i4>0</vt:i4>
      </vt:variant>
      <vt:variant>
        <vt:i4>5</vt:i4>
      </vt:variant>
      <vt:variant>
        <vt:lpwstr/>
      </vt:variant>
      <vt:variant>
        <vt:lpwstr>_Toc413918050</vt:lpwstr>
      </vt:variant>
      <vt:variant>
        <vt:i4>1245238</vt:i4>
      </vt:variant>
      <vt:variant>
        <vt:i4>782</vt:i4>
      </vt:variant>
      <vt:variant>
        <vt:i4>0</vt:i4>
      </vt:variant>
      <vt:variant>
        <vt:i4>5</vt:i4>
      </vt:variant>
      <vt:variant>
        <vt:lpwstr/>
      </vt:variant>
      <vt:variant>
        <vt:lpwstr>_Toc413918049</vt:lpwstr>
      </vt:variant>
      <vt:variant>
        <vt:i4>1245238</vt:i4>
      </vt:variant>
      <vt:variant>
        <vt:i4>776</vt:i4>
      </vt:variant>
      <vt:variant>
        <vt:i4>0</vt:i4>
      </vt:variant>
      <vt:variant>
        <vt:i4>5</vt:i4>
      </vt:variant>
      <vt:variant>
        <vt:lpwstr/>
      </vt:variant>
      <vt:variant>
        <vt:lpwstr>_Toc413918048</vt:lpwstr>
      </vt:variant>
      <vt:variant>
        <vt:i4>1245238</vt:i4>
      </vt:variant>
      <vt:variant>
        <vt:i4>770</vt:i4>
      </vt:variant>
      <vt:variant>
        <vt:i4>0</vt:i4>
      </vt:variant>
      <vt:variant>
        <vt:i4>5</vt:i4>
      </vt:variant>
      <vt:variant>
        <vt:lpwstr/>
      </vt:variant>
      <vt:variant>
        <vt:lpwstr>_Toc413918047</vt:lpwstr>
      </vt:variant>
      <vt:variant>
        <vt:i4>1245238</vt:i4>
      </vt:variant>
      <vt:variant>
        <vt:i4>764</vt:i4>
      </vt:variant>
      <vt:variant>
        <vt:i4>0</vt:i4>
      </vt:variant>
      <vt:variant>
        <vt:i4>5</vt:i4>
      </vt:variant>
      <vt:variant>
        <vt:lpwstr/>
      </vt:variant>
      <vt:variant>
        <vt:lpwstr>_Toc413918046</vt:lpwstr>
      </vt:variant>
      <vt:variant>
        <vt:i4>1245238</vt:i4>
      </vt:variant>
      <vt:variant>
        <vt:i4>758</vt:i4>
      </vt:variant>
      <vt:variant>
        <vt:i4>0</vt:i4>
      </vt:variant>
      <vt:variant>
        <vt:i4>5</vt:i4>
      </vt:variant>
      <vt:variant>
        <vt:lpwstr/>
      </vt:variant>
      <vt:variant>
        <vt:lpwstr>_Toc413918045</vt:lpwstr>
      </vt:variant>
      <vt:variant>
        <vt:i4>1245238</vt:i4>
      </vt:variant>
      <vt:variant>
        <vt:i4>752</vt:i4>
      </vt:variant>
      <vt:variant>
        <vt:i4>0</vt:i4>
      </vt:variant>
      <vt:variant>
        <vt:i4>5</vt:i4>
      </vt:variant>
      <vt:variant>
        <vt:lpwstr/>
      </vt:variant>
      <vt:variant>
        <vt:lpwstr>_Toc413918044</vt:lpwstr>
      </vt:variant>
      <vt:variant>
        <vt:i4>1245238</vt:i4>
      </vt:variant>
      <vt:variant>
        <vt:i4>746</vt:i4>
      </vt:variant>
      <vt:variant>
        <vt:i4>0</vt:i4>
      </vt:variant>
      <vt:variant>
        <vt:i4>5</vt:i4>
      </vt:variant>
      <vt:variant>
        <vt:lpwstr/>
      </vt:variant>
      <vt:variant>
        <vt:lpwstr>_Toc413918043</vt:lpwstr>
      </vt:variant>
      <vt:variant>
        <vt:i4>1245238</vt:i4>
      </vt:variant>
      <vt:variant>
        <vt:i4>740</vt:i4>
      </vt:variant>
      <vt:variant>
        <vt:i4>0</vt:i4>
      </vt:variant>
      <vt:variant>
        <vt:i4>5</vt:i4>
      </vt:variant>
      <vt:variant>
        <vt:lpwstr/>
      </vt:variant>
      <vt:variant>
        <vt:lpwstr>_Toc413918042</vt:lpwstr>
      </vt:variant>
      <vt:variant>
        <vt:i4>1245238</vt:i4>
      </vt:variant>
      <vt:variant>
        <vt:i4>734</vt:i4>
      </vt:variant>
      <vt:variant>
        <vt:i4>0</vt:i4>
      </vt:variant>
      <vt:variant>
        <vt:i4>5</vt:i4>
      </vt:variant>
      <vt:variant>
        <vt:lpwstr/>
      </vt:variant>
      <vt:variant>
        <vt:lpwstr>_Toc413918041</vt:lpwstr>
      </vt:variant>
      <vt:variant>
        <vt:i4>1245238</vt:i4>
      </vt:variant>
      <vt:variant>
        <vt:i4>728</vt:i4>
      </vt:variant>
      <vt:variant>
        <vt:i4>0</vt:i4>
      </vt:variant>
      <vt:variant>
        <vt:i4>5</vt:i4>
      </vt:variant>
      <vt:variant>
        <vt:lpwstr/>
      </vt:variant>
      <vt:variant>
        <vt:lpwstr>_Toc413918040</vt:lpwstr>
      </vt:variant>
      <vt:variant>
        <vt:i4>1310774</vt:i4>
      </vt:variant>
      <vt:variant>
        <vt:i4>722</vt:i4>
      </vt:variant>
      <vt:variant>
        <vt:i4>0</vt:i4>
      </vt:variant>
      <vt:variant>
        <vt:i4>5</vt:i4>
      </vt:variant>
      <vt:variant>
        <vt:lpwstr/>
      </vt:variant>
      <vt:variant>
        <vt:lpwstr>_Toc413918039</vt:lpwstr>
      </vt:variant>
      <vt:variant>
        <vt:i4>1310774</vt:i4>
      </vt:variant>
      <vt:variant>
        <vt:i4>716</vt:i4>
      </vt:variant>
      <vt:variant>
        <vt:i4>0</vt:i4>
      </vt:variant>
      <vt:variant>
        <vt:i4>5</vt:i4>
      </vt:variant>
      <vt:variant>
        <vt:lpwstr/>
      </vt:variant>
      <vt:variant>
        <vt:lpwstr>_Toc413918038</vt:lpwstr>
      </vt:variant>
      <vt:variant>
        <vt:i4>1310774</vt:i4>
      </vt:variant>
      <vt:variant>
        <vt:i4>710</vt:i4>
      </vt:variant>
      <vt:variant>
        <vt:i4>0</vt:i4>
      </vt:variant>
      <vt:variant>
        <vt:i4>5</vt:i4>
      </vt:variant>
      <vt:variant>
        <vt:lpwstr/>
      </vt:variant>
      <vt:variant>
        <vt:lpwstr>_Toc413918037</vt:lpwstr>
      </vt:variant>
      <vt:variant>
        <vt:i4>1310774</vt:i4>
      </vt:variant>
      <vt:variant>
        <vt:i4>704</vt:i4>
      </vt:variant>
      <vt:variant>
        <vt:i4>0</vt:i4>
      </vt:variant>
      <vt:variant>
        <vt:i4>5</vt:i4>
      </vt:variant>
      <vt:variant>
        <vt:lpwstr/>
      </vt:variant>
      <vt:variant>
        <vt:lpwstr>_Toc413918036</vt:lpwstr>
      </vt:variant>
      <vt:variant>
        <vt:i4>1310774</vt:i4>
      </vt:variant>
      <vt:variant>
        <vt:i4>698</vt:i4>
      </vt:variant>
      <vt:variant>
        <vt:i4>0</vt:i4>
      </vt:variant>
      <vt:variant>
        <vt:i4>5</vt:i4>
      </vt:variant>
      <vt:variant>
        <vt:lpwstr/>
      </vt:variant>
      <vt:variant>
        <vt:lpwstr>_Toc413918035</vt:lpwstr>
      </vt:variant>
      <vt:variant>
        <vt:i4>1310774</vt:i4>
      </vt:variant>
      <vt:variant>
        <vt:i4>692</vt:i4>
      </vt:variant>
      <vt:variant>
        <vt:i4>0</vt:i4>
      </vt:variant>
      <vt:variant>
        <vt:i4>5</vt:i4>
      </vt:variant>
      <vt:variant>
        <vt:lpwstr/>
      </vt:variant>
      <vt:variant>
        <vt:lpwstr>_Toc413918034</vt:lpwstr>
      </vt:variant>
      <vt:variant>
        <vt:i4>1310774</vt:i4>
      </vt:variant>
      <vt:variant>
        <vt:i4>686</vt:i4>
      </vt:variant>
      <vt:variant>
        <vt:i4>0</vt:i4>
      </vt:variant>
      <vt:variant>
        <vt:i4>5</vt:i4>
      </vt:variant>
      <vt:variant>
        <vt:lpwstr/>
      </vt:variant>
      <vt:variant>
        <vt:lpwstr>_Toc413918033</vt:lpwstr>
      </vt:variant>
      <vt:variant>
        <vt:i4>1310774</vt:i4>
      </vt:variant>
      <vt:variant>
        <vt:i4>680</vt:i4>
      </vt:variant>
      <vt:variant>
        <vt:i4>0</vt:i4>
      </vt:variant>
      <vt:variant>
        <vt:i4>5</vt:i4>
      </vt:variant>
      <vt:variant>
        <vt:lpwstr/>
      </vt:variant>
      <vt:variant>
        <vt:lpwstr>_Toc413918032</vt:lpwstr>
      </vt:variant>
      <vt:variant>
        <vt:i4>1310774</vt:i4>
      </vt:variant>
      <vt:variant>
        <vt:i4>674</vt:i4>
      </vt:variant>
      <vt:variant>
        <vt:i4>0</vt:i4>
      </vt:variant>
      <vt:variant>
        <vt:i4>5</vt:i4>
      </vt:variant>
      <vt:variant>
        <vt:lpwstr/>
      </vt:variant>
      <vt:variant>
        <vt:lpwstr>_Toc413918031</vt:lpwstr>
      </vt:variant>
      <vt:variant>
        <vt:i4>1310774</vt:i4>
      </vt:variant>
      <vt:variant>
        <vt:i4>668</vt:i4>
      </vt:variant>
      <vt:variant>
        <vt:i4>0</vt:i4>
      </vt:variant>
      <vt:variant>
        <vt:i4>5</vt:i4>
      </vt:variant>
      <vt:variant>
        <vt:lpwstr/>
      </vt:variant>
      <vt:variant>
        <vt:lpwstr>_Toc413918030</vt:lpwstr>
      </vt:variant>
      <vt:variant>
        <vt:i4>1376310</vt:i4>
      </vt:variant>
      <vt:variant>
        <vt:i4>662</vt:i4>
      </vt:variant>
      <vt:variant>
        <vt:i4>0</vt:i4>
      </vt:variant>
      <vt:variant>
        <vt:i4>5</vt:i4>
      </vt:variant>
      <vt:variant>
        <vt:lpwstr/>
      </vt:variant>
      <vt:variant>
        <vt:lpwstr>_Toc413918029</vt:lpwstr>
      </vt:variant>
      <vt:variant>
        <vt:i4>1376310</vt:i4>
      </vt:variant>
      <vt:variant>
        <vt:i4>656</vt:i4>
      </vt:variant>
      <vt:variant>
        <vt:i4>0</vt:i4>
      </vt:variant>
      <vt:variant>
        <vt:i4>5</vt:i4>
      </vt:variant>
      <vt:variant>
        <vt:lpwstr/>
      </vt:variant>
      <vt:variant>
        <vt:lpwstr>_Toc413918028</vt:lpwstr>
      </vt:variant>
      <vt:variant>
        <vt:i4>1376310</vt:i4>
      </vt:variant>
      <vt:variant>
        <vt:i4>650</vt:i4>
      </vt:variant>
      <vt:variant>
        <vt:i4>0</vt:i4>
      </vt:variant>
      <vt:variant>
        <vt:i4>5</vt:i4>
      </vt:variant>
      <vt:variant>
        <vt:lpwstr/>
      </vt:variant>
      <vt:variant>
        <vt:lpwstr>_Toc413918027</vt:lpwstr>
      </vt:variant>
      <vt:variant>
        <vt:i4>1376310</vt:i4>
      </vt:variant>
      <vt:variant>
        <vt:i4>644</vt:i4>
      </vt:variant>
      <vt:variant>
        <vt:i4>0</vt:i4>
      </vt:variant>
      <vt:variant>
        <vt:i4>5</vt:i4>
      </vt:variant>
      <vt:variant>
        <vt:lpwstr/>
      </vt:variant>
      <vt:variant>
        <vt:lpwstr>_Toc413918026</vt:lpwstr>
      </vt:variant>
      <vt:variant>
        <vt:i4>1376310</vt:i4>
      </vt:variant>
      <vt:variant>
        <vt:i4>638</vt:i4>
      </vt:variant>
      <vt:variant>
        <vt:i4>0</vt:i4>
      </vt:variant>
      <vt:variant>
        <vt:i4>5</vt:i4>
      </vt:variant>
      <vt:variant>
        <vt:lpwstr/>
      </vt:variant>
      <vt:variant>
        <vt:lpwstr>_Toc413918025</vt:lpwstr>
      </vt:variant>
      <vt:variant>
        <vt:i4>1376310</vt:i4>
      </vt:variant>
      <vt:variant>
        <vt:i4>632</vt:i4>
      </vt:variant>
      <vt:variant>
        <vt:i4>0</vt:i4>
      </vt:variant>
      <vt:variant>
        <vt:i4>5</vt:i4>
      </vt:variant>
      <vt:variant>
        <vt:lpwstr/>
      </vt:variant>
      <vt:variant>
        <vt:lpwstr>_Toc413918024</vt:lpwstr>
      </vt:variant>
      <vt:variant>
        <vt:i4>1376310</vt:i4>
      </vt:variant>
      <vt:variant>
        <vt:i4>626</vt:i4>
      </vt:variant>
      <vt:variant>
        <vt:i4>0</vt:i4>
      </vt:variant>
      <vt:variant>
        <vt:i4>5</vt:i4>
      </vt:variant>
      <vt:variant>
        <vt:lpwstr/>
      </vt:variant>
      <vt:variant>
        <vt:lpwstr>_Toc413918023</vt:lpwstr>
      </vt:variant>
      <vt:variant>
        <vt:i4>1376310</vt:i4>
      </vt:variant>
      <vt:variant>
        <vt:i4>620</vt:i4>
      </vt:variant>
      <vt:variant>
        <vt:i4>0</vt:i4>
      </vt:variant>
      <vt:variant>
        <vt:i4>5</vt:i4>
      </vt:variant>
      <vt:variant>
        <vt:lpwstr/>
      </vt:variant>
      <vt:variant>
        <vt:lpwstr>_Toc413918022</vt:lpwstr>
      </vt:variant>
      <vt:variant>
        <vt:i4>1376310</vt:i4>
      </vt:variant>
      <vt:variant>
        <vt:i4>614</vt:i4>
      </vt:variant>
      <vt:variant>
        <vt:i4>0</vt:i4>
      </vt:variant>
      <vt:variant>
        <vt:i4>5</vt:i4>
      </vt:variant>
      <vt:variant>
        <vt:lpwstr/>
      </vt:variant>
      <vt:variant>
        <vt:lpwstr>_Toc413918021</vt:lpwstr>
      </vt:variant>
      <vt:variant>
        <vt:i4>1376310</vt:i4>
      </vt:variant>
      <vt:variant>
        <vt:i4>608</vt:i4>
      </vt:variant>
      <vt:variant>
        <vt:i4>0</vt:i4>
      </vt:variant>
      <vt:variant>
        <vt:i4>5</vt:i4>
      </vt:variant>
      <vt:variant>
        <vt:lpwstr/>
      </vt:variant>
      <vt:variant>
        <vt:lpwstr>_Toc413918020</vt:lpwstr>
      </vt:variant>
      <vt:variant>
        <vt:i4>1441846</vt:i4>
      </vt:variant>
      <vt:variant>
        <vt:i4>602</vt:i4>
      </vt:variant>
      <vt:variant>
        <vt:i4>0</vt:i4>
      </vt:variant>
      <vt:variant>
        <vt:i4>5</vt:i4>
      </vt:variant>
      <vt:variant>
        <vt:lpwstr/>
      </vt:variant>
      <vt:variant>
        <vt:lpwstr>_Toc413918019</vt:lpwstr>
      </vt:variant>
      <vt:variant>
        <vt:i4>1441846</vt:i4>
      </vt:variant>
      <vt:variant>
        <vt:i4>596</vt:i4>
      </vt:variant>
      <vt:variant>
        <vt:i4>0</vt:i4>
      </vt:variant>
      <vt:variant>
        <vt:i4>5</vt:i4>
      </vt:variant>
      <vt:variant>
        <vt:lpwstr/>
      </vt:variant>
      <vt:variant>
        <vt:lpwstr>_Toc413918018</vt:lpwstr>
      </vt:variant>
      <vt:variant>
        <vt:i4>1441846</vt:i4>
      </vt:variant>
      <vt:variant>
        <vt:i4>590</vt:i4>
      </vt:variant>
      <vt:variant>
        <vt:i4>0</vt:i4>
      </vt:variant>
      <vt:variant>
        <vt:i4>5</vt:i4>
      </vt:variant>
      <vt:variant>
        <vt:lpwstr/>
      </vt:variant>
      <vt:variant>
        <vt:lpwstr>_Toc413918017</vt:lpwstr>
      </vt:variant>
      <vt:variant>
        <vt:i4>1441846</vt:i4>
      </vt:variant>
      <vt:variant>
        <vt:i4>584</vt:i4>
      </vt:variant>
      <vt:variant>
        <vt:i4>0</vt:i4>
      </vt:variant>
      <vt:variant>
        <vt:i4>5</vt:i4>
      </vt:variant>
      <vt:variant>
        <vt:lpwstr/>
      </vt:variant>
      <vt:variant>
        <vt:lpwstr>_Toc413918016</vt:lpwstr>
      </vt:variant>
      <vt:variant>
        <vt:i4>1441846</vt:i4>
      </vt:variant>
      <vt:variant>
        <vt:i4>578</vt:i4>
      </vt:variant>
      <vt:variant>
        <vt:i4>0</vt:i4>
      </vt:variant>
      <vt:variant>
        <vt:i4>5</vt:i4>
      </vt:variant>
      <vt:variant>
        <vt:lpwstr/>
      </vt:variant>
      <vt:variant>
        <vt:lpwstr>_Toc413918015</vt:lpwstr>
      </vt:variant>
      <vt:variant>
        <vt:i4>1441846</vt:i4>
      </vt:variant>
      <vt:variant>
        <vt:i4>572</vt:i4>
      </vt:variant>
      <vt:variant>
        <vt:i4>0</vt:i4>
      </vt:variant>
      <vt:variant>
        <vt:i4>5</vt:i4>
      </vt:variant>
      <vt:variant>
        <vt:lpwstr/>
      </vt:variant>
      <vt:variant>
        <vt:lpwstr>_Toc413918014</vt:lpwstr>
      </vt:variant>
      <vt:variant>
        <vt:i4>1441846</vt:i4>
      </vt:variant>
      <vt:variant>
        <vt:i4>566</vt:i4>
      </vt:variant>
      <vt:variant>
        <vt:i4>0</vt:i4>
      </vt:variant>
      <vt:variant>
        <vt:i4>5</vt:i4>
      </vt:variant>
      <vt:variant>
        <vt:lpwstr/>
      </vt:variant>
      <vt:variant>
        <vt:lpwstr>_Toc413918013</vt:lpwstr>
      </vt:variant>
      <vt:variant>
        <vt:i4>1441846</vt:i4>
      </vt:variant>
      <vt:variant>
        <vt:i4>560</vt:i4>
      </vt:variant>
      <vt:variant>
        <vt:i4>0</vt:i4>
      </vt:variant>
      <vt:variant>
        <vt:i4>5</vt:i4>
      </vt:variant>
      <vt:variant>
        <vt:lpwstr/>
      </vt:variant>
      <vt:variant>
        <vt:lpwstr>_Toc413918012</vt:lpwstr>
      </vt:variant>
      <vt:variant>
        <vt:i4>1441846</vt:i4>
      </vt:variant>
      <vt:variant>
        <vt:i4>554</vt:i4>
      </vt:variant>
      <vt:variant>
        <vt:i4>0</vt:i4>
      </vt:variant>
      <vt:variant>
        <vt:i4>5</vt:i4>
      </vt:variant>
      <vt:variant>
        <vt:lpwstr/>
      </vt:variant>
      <vt:variant>
        <vt:lpwstr>_Toc413918011</vt:lpwstr>
      </vt:variant>
      <vt:variant>
        <vt:i4>1441846</vt:i4>
      </vt:variant>
      <vt:variant>
        <vt:i4>548</vt:i4>
      </vt:variant>
      <vt:variant>
        <vt:i4>0</vt:i4>
      </vt:variant>
      <vt:variant>
        <vt:i4>5</vt:i4>
      </vt:variant>
      <vt:variant>
        <vt:lpwstr/>
      </vt:variant>
      <vt:variant>
        <vt:lpwstr>_Toc413918010</vt:lpwstr>
      </vt:variant>
      <vt:variant>
        <vt:i4>1507382</vt:i4>
      </vt:variant>
      <vt:variant>
        <vt:i4>542</vt:i4>
      </vt:variant>
      <vt:variant>
        <vt:i4>0</vt:i4>
      </vt:variant>
      <vt:variant>
        <vt:i4>5</vt:i4>
      </vt:variant>
      <vt:variant>
        <vt:lpwstr/>
      </vt:variant>
      <vt:variant>
        <vt:lpwstr>_Toc413918009</vt:lpwstr>
      </vt:variant>
      <vt:variant>
        <vt:i4>1507382</vt:i4>
      </vt:variant>
      <vt:variant>
        <vt:i4>536</vt:i4>
      </vt:variant>
      <vt:variant>
        <vt:i4>0</vt:i4>
      </vt:variant>
      <vt:variant>
        <vt:i4>5</vt:i4>
      </vt:variant>
      <vt:variant>
        <vt:lpwstr/>
      </vt:variant>
      <vt:variant>
        <vt:lpwstr>_Toc413918008</vt:lpwstr>
      </vt:variant>
      <vt:variant>
        <vt:i4>1507382</vt:i4>
      </vt:variant>
      <vt:variant>
        <vt:i4>530</vt:i4>
      </vt:variant>
      <vt:variant>
        <vt:i4>0</vt:i4>
      </vt:variant>
      <vt:variant>
        <vt:i4>5</vt:i4>
      </vt:variant>
      <vt:variant>
        <vt:lpwstr/>
      </vt:variant>
      <vt:variant>
        <vt:lpwstr>_Toc413918007</vt:lpwstr>
      </vt:variant>
      <vt:variant>
        <vt:i4>1507382</vt:i4>
      </vt:variant>
      <vt:variant>
        <vt:i4>524</vt:i4>
      </vt:variant>
      <vt:variant>
        <vt:i4>0</vt:i4>
      </vt:variant>
      <vt:variant>
        <vt:i4>5</vt:i4>
      </vt:variant>
      <vt:variant>
        <vt:lpwstr/>
      </vt:variant>
      <vt:variant>
        <vt:lpwstr>_Toc413918006</vt:lpwstr>
      </vt:variant>
      <vt:variant>
        <vt:i4>1507382</vt:i4>
      </vt:variant>
      <vt:variant>
        <vt:i4>518</vt:i4>
      </vt:variant>
      <vt:variant>
        <vt:i4>0</vt:i4>
      </vt:variant>
      <vt:variant>
        <vt:i4>5</vt:i4>
      </vt:variant>
      <vt:variant>
        <vt:lpwstr/>
      </vt:variant>
      <vt:variant>
        <vt:lpwstr>_Toc413918005</vt:lpwstr>
      </vt:variant>
      <vt:variant>
        <vt:i4>1507382</vt:i4>
      </vt:variant>
      <vt:variant>
        <vt:i4>512</vt:i4>
      </vt:variant>
      <vt:variant>
        <vt:i4>0</vt:i4>
      </vt:variant>
      <vt:variant>
        <vt:i4>5</vt:i4>
      </vt:variant>
      <vt:variant>
        <vt:lpwstr/>
      </vt:variant>
      <vt:variant>
        <vt:lpwstr>_Toc413918004</vt:lpwstr>
      </vt:variant>
      <vt:variant>
        <vt:i4>1507382</vt:i4>
      </vt:variant>
      <vt:variant>
        <vt:i4>506</vt:i4>
      </vt:variant>
      <vt:variant>
        <vt:i4>0</vt:i4>
      </vt:variant>
      <vt:variant>
        <vt:i4>5</vt:i4>
      </vt:variant>
      <vt:variant>
        <vt:lpwstr/>
      </vt:variant>
      <vt:variant>
        <vt:lpwstr>_Toc413918003</vt:lpwstr>
      </vt:variant>
      <vt:variant>
        <vt:i4>1507382</vt:i4>
      </vt:variant>
      <vt:variant>
        <vt:i4>500</vt:i4>
      </vt:variant>
      <vt:variant>
        <vt:i4>0</vt:i4>
      </vt:variant>
      <vt:variant>
        <vt:i4>5</vt:i4>
      </vt:variant>
      <vt:variant>
        <vt:lpwstr/>
      </vt:variant>
      <vt:variant>
        <vt:lpwstr>_Toc413918002</vt:lpwstr>
      </vt:variant>
      <vt:variant>
        <vt:i4>1507382</vt:i4>
      </vt:variant>
      <vt:variant>
        <vt:i4>494</vt:i4>
      </vt:variant>
      <vt:variant>
        <vt:i4>0</vt:i4>
      </vt:variant>
      <vt:variant>
        <vt:i4>5</vt:i4>
      </vt:variant>
      <vt:variant>
        <vt:lpwstr/>
      </vt:variant>
      <vt:variant>
        <vt:lpwstr>_Toc413918001</vt:lpwstr>
      </vt:variant>
      <vt:variant>
        <vt:i4>1507382</vt:i4>
      </vt:variant>
      <vt:variant>
        <vt:i4>488</vt:i4>
      </vt:variant>
      <vt:variant>
        <vt:i4>0</vt:i4>
      </vt:variant>
      <vt:variant>
        <vt:i4>5</vt:i4>
      </vt:variant>
      <vt:variant>
        <vt:lpwstr/>
      </vt:variant>
      <vt:variant>
        <vt:lpwstr>_Toc413918000</vt:lpwstr>
      </vt:variant>
      <vt:variant>
        <vt:i4>1114175</vt:i4>
      </vt:variant>
      <vt:variant>
        <vt:i4>482</vt:i4>
      </vt:variant>
      <vt:variant>
        <vt:i4>0</vt:i4>
      </vt:variant>
      <vt:variant>
        <vt:i4>5</vt:i4>
      </vt:variant>
      <vt:variant>
        <vt:lpwstr/>
      </vt:variant>
      <vt:variant>
        <vt:lpwstr>_Toc413917999</vt:lpwstr>
      </vt:variant>
      <vt:variant>
        <vt:i4>1114175</vt:i4>
      </vt:variant>
      <vt:variant>
        <vt:i4>476</vt:i4>
      </vt:variant>
      <vt:variant>
        <vt:i4>0</vt:i4>
      </vt:variant>
      <vt:variant>
        <vt:i4>5</vt:i4>
      </vt:variant>
      <vt:variant>
        <vt:lpwstr/>
      </vt:variant>
      <vt:variant>
        <vt:lpwstr>_Toc413917998</vt:lpwstr>
      </vt:variant>
      <vt:variant>
        <vt:i4>1114175</vt:i4>
      </vt:variant>
      <vt:variant>
        <vt:i4>470</vt:i4>
      </vt:variant>
      <vt:variant>
        <vt:i4>0</vt:i4>
      </vt:variant>
      <vt:variant>
        <vt:i4>5</vt:i4>
      </vt:variant>
      <vt:variant>
        <vt:lpwstr/>
      </vt:variant>
      <vt:variant>
        <vt:lpwstr>_Toc413917997</vt:lpwstr>
      </vt:variant>
      <vt:variant>
        <vt:i4>1114175</vt:i4>
      </vt:variant>
      <vt:variant>
        <vt:i4>464</vt:i4>
      </vt:variant>
      <vt:variant>
        <vt:i4>0</vt:i4>
      </vt:variant>
      <vt:variant>
        <vt:i4>5</vt:i4>
      </vt:variant>
      <vt:variant>
        <vt:lpwstr/>
      </vt:variant>
      <vt:variant>
        <vt:lpwstr>_Toc413917996</vt:lpwstr>
      </vt:variant>
      <vt:variant>
        <vt:i4>1114175</vt:i4>
      </vt:variant>
      <vt:variant>
        <vt:i4>458</vt:i4>
      </vt:variant>
      <vt:variant>
        <vt:i4>0</vt:i4>
      </vt:variant>
      <vt:variant>
        <vt:i4>5</vt:i4>
      </vt:variant>
      <vt:variant>
        <vt:lpwstr/>
      </vt:variant>
      <vt:variant>
        <vt:lpwstr>_Toc413917995</vt:lpwstr>
      </vt:variant>
      <vt:variant>
        <vt:i4>1114175</vt:i4>
      </vt:variant>
      <vt:variant>
        <vt:i4>452</vt:i4>
      </vt:variant>
      <vt:variant>
        <vt:i4>0</vt:i4>
      </vt:variant>
      <vt:variant>
        <vt:i4>5</vt:i4>
      </vt:variant>
      <vt:variant>
        <vt:lpwstr/>
      </vt:variant>
      <vt:variant>
        <vt:lpwstr>_Toc413917994</vt:lpwstr>
      </vt:variant>
      <vt:variant>
        <vt:i4>1114175</vt:i4>
      </vt:variant>
      <vt:variant>
        <vt:i4>446</vt:i4>
      </vt:variant>
      <vt:variant>
        <vt:i4>0</vt:i4>
      </vt:variant>
      <vt:variant>
        <vt:i4>5</vt:i4>
      </vt:variant>
      <vt:variant>
        <vt:lpwstr/>
      </vt:variant>
      <vt:variant>
        <vt:lpwstr>_Toc413917993</vt:lpwstr>
      </vt:variant>
      <vt:variant>
        <vt:i4>1114175</vt:i4>
      </vt:variant>
      <vt:variant>
        <vt:i4>440</vt:i4>
      </vt:variant>
      <vt:variant>
        <vt:i4>0</vt:i4>
      </vt:variant>
      <vt:variant>
        <vt:i4>5</vt:i4>
      </vt:variant>
      <vt:variant>
        <vt:lpwstr/>
      </vt:variant>
      <vt:variant>
        <vt:lpwstr>_Toc413917992</vt:lpwstr>
      </vt:variant>
      <vt:variant>
        <vt:i4>1114175</vt:i4>
      </vt:variant>
      <vt:variant>
        <vt:i4>434</vt:i4>
      </vt:variant>
      <vt:variant>
        <vt:i4>0</vt:i4>
      </vt:variant>
      <vt:variant>
        <vt:i4>5</vt:i4>
      </vt:variant>
      <vt:variant>
        <vt:lpwstr/>
      </vt:variant>
      <vt:variant>
        <vt:lpwstr>_Toc413917991</vt:lpwstr>
      </vt:variant>
      <vt:variant>
        <vt:i4>1114175</vt:i4>
      </vt:variant>
      <vt:variant>
        <vt:i4>428</vt:i4>
      </vt:variant>
      <vt:variant>
        <vt:i4>0</vt:i4>
      </vt:variant>
      <vt:variant>
        <vt:i4>5</vt:i4>
      </vt:variant>
      <vt:variant>
        <vt:lpwstr/>
      </vt:variant>
      <vt:variant>
        <vt:lpwstr>_Toc413917990</vt:lpwstr>
      </vt:variant>
      <vt:variant>
        <vt:i4>1048639</vt:i4>
      </vt:variant>
      <vt:variant>
        <vt:i4>422</vt:i4>
      </vt:variant>
      <vt:variant>
        <vt:i4>0</vt:i4>
      </vt:variant>
      <vt:variant>
        <vt:i4>5</vt:i4>
      </vt:variant>
      <vt:variant>
        <vt:lpwstr/>
      </vt:variant>
      <vt:variant>
        <vt:lpwstr>_Toc413917989</vt:lpwstr>
      </vt:variant>
      <vt:variant>
        <vt:i4>1048639</vt:i4>
      </vt:variant>
      <vt:variant>
        <vt:i4>416</vt:i4>
      </vt:variant>
      <vt:variant>
        <vt:i4>0</vt:i4>
      </vt:variant>
      <vt:variant>
        <vt:i4>5</vt:i4>
      </vt:variant>
      <vt:variant>
        <vt:lpwstr/>
      </vt:variant>
      <vt:variant>
        <vt:lpwstr>_Toc413917988</vt:lpwstr>
      </vt:variant>
      <vt:variant>
        <vt:i4>1048639</vt:i4>
      </vt:variant>
      <vt:variant>
        <vt:i4>410</vt:i4>
      </vt:variant>
      <vt:variant>
        <vt:i4>0</vt:i4>
      </vt:variant>
      <vt:variant>
        <vt:i4>5</vt:i4>
      </vt:variant>
      <vt:variant>
        <vt:lpwstr/>
      </vt:variant>
      <vt:variant>
        <vt:lpwstr>_Toc413917987</vt:lpwstr>
      </vt:variant>
      <vt:variant>
        <vt:i4>1048639</vt:i4>
      </vt:variant>
      <vt:variant>
        <vt:i4>404</vt:i4>
      </vt:variant>
      <vt:variant>
        <vt:i4>0</vt:i4>
      </vt:variant>
      <vt:variant>
        <vt:i4>5</vt:i4>
      </vt:variant>
      <vt:variant>
        <vt:lpwstr/>
      </vt:variant>
      <vt:variant>
        <vt:lpwstr>_Toc413917986</vt:lpwstr>
      </vt:variant>
      <vt:variant>
        <vt:i4>1048639</vt:i4>
      </vt:variant>
      <vt:variant>
        <vt:i4>398</vt:i4>
      </vt:variant>
      <vt:variant>
        <vt:i4>0</vt:i4>
      </vt:variant>
      <vt:variant>
        <vt:i4>5</vt:i4>
      </vt:variant>
      <vt:variant>
        <vt:lpwstr/>
      </vt:variant>
      <vt:variant>
        <vt:lpwstr>_Toc413917985</vt:lpwstr>
      </vt:variant>
      <vt:variant>
        <vt:i4>1048639</vt:i4>
      </vt:variant>
      <vt:variant>
        <vt:i4>392</vt:i4>
      </vt:variant>
      <vt:variant>
        <vt:i4>0</vt:i4>
      </vt:variant>
      <vt:variant>
        <vt:i4>5</vt:i4>
      </vt:variant>
      <vt:variant>
        <vt:lpwstr/>
      </vt:variant>
      <vt:variant>
        <vt:lpwstr>_Toc413917984</vt:lpwstr>
      </vt:variant>
      <vt:variant>
        <vt:i4>1048639</vt:i4>
      </vt:variant>
      <vt:variant>
        <vt:i4>386</vt:i4>
      </vt:variant>
      <vt:variant>
        <vt:i4>0</vt:i4>
      </vt:variant>
      <vt:variant>
        <vt:i4>5</vt:i4>
      </vt:variant>
      <vt:variant>
        <vt:lpwstr/>
      </vt:variant>
      <vt:variant>
        <vt:lpwstr>_Toc413917983</vt:lpwstr>
      </vt:variant>
      <vt:variant>
        <vt:i4>1048639</vt:i4>
      </vt:variant>
      <vt:variant>
        <vt:i4>380</vt:i4>
      </vt:variant>
      <vt:variant>
        <vt:i4>0</vt:i4>
      </vt:variant>
      <vt:variant>
        <vt:i4>5</vt:i4>
      </vt:variant>
      <vt:variant>
        <vt:lpwstr/>
      </vt:variant>
      <vt:variant>
        <vt:lpwstr>_Toc413917982</vt:lpwstr>
      </vt:variant>
      <vt:variant>
        <vt:i4>1048639</vt:i4>
      </vt:variant>
      <vt:variant>
        <vt:i4>374</vt:i4>
      </vt:variant>
      <vt:variant>
        <vt:i4>0</vt:i4>
      </vt:variant>
      <vt:variant>
        <vt:i4>5</vt:i4>
      </vt:variant>
      <vt:variant>
        <vt:lpwstr/>
      </vt:variant>
      <vt:variant>
        <vt:lpwstr>_Toc413917981</vt:lpwstr>
      </vt:variant>
      <vt:variant>
        <vt:i4>1048639</vt:i4>
      </vt:variant>
      <vt:variant>
        <vt:i4>368</vt:i4>
      </vt:variant>
      <vt:variant>
        <vt:i4>0</vt:i4>
      </vt:variant>
      <vt:variant>
        <vt:i4>5</vt:i4>
      </vt:variant>
      <vt:variant>
        <vt:lpwstr/>
      </vt:variant>
      <vt:variant>
        <vt:lpwstr>_Toc413917980</vt:lpwstr>
      </vt:variant>
      <vt:variant>
        <vt:i4>2031679</vt:i4>
      </vt:variant>
      <vt:variant>
        <vt:i4>362</vt:i4>
      </vt:variant>
      <vt:variant>
        <vt:i4>0</vt:i4>
      </vt:variant>
      <vt:variant>
        <vt:i4>5</vt:i4>
      </vt:variant>
      <vt:variant>
        <vt:lpwstr/>
      </vt:variant>
      <vt:variant>
        <vt:lpwstr>_Toc413917979</vt:lpwstr>
      </vt:variant>
      <vt:variant>
        <vt:i4>2031679</vt:i4>
      </vt:variant>
      <vt:variant>
        <vt:i4>356</vt:i4>
      </vt:variant>
      <vt:variant>
        <vt:i4>0</vt:i4>
      </vt:variant>
      <vt:variant>
        <vt:i4>5</vt:i4>
      </vt:variant>
      <vt:variant>
        <vt:lpwstr/>
      </vt:variant>
      <vt:variant>
        <vt:lpwstr>_Toc413917978</vt:lpwstr>
      </vt:variant>
      <vt:variant>
        <vt:i4>2031679</vt:i4>
      </vt:variant>
      <vt:variant>
        <vt:i4>350</vt:i4>
      </vt:variant>
      <vt:variant>
        <vt:i4>0</vt:i4>
      </vt:variant>
      <vt:variant>
        <vt:i4>5</vt:i4>
      </vt:variant>
      <vt:variant>
        <vt:lpwstr/>
      </vt:variant>
      <vt:variant>
        <vt:lpwstr>_Toc413917977</vt:lpwstr>
      </vt:variant>
      <vt:variant>
        <vt:i4>2031679</vt:i4>
      </vt:variant>
      <vt:variant>
        <vt:i4>344</vt:i4>
      </vt:variant>
      <vt:variant>
        <vt:i4>0</vt:i4>
      </vt:variant>
      <vt:variant>
        <vt:i4>5</vt:i4>
      </vt:variant>
      <vt:variant>
        <vt:lpwstr/>
      </vt:variant>
      <vt:variant>
        <vt:lpwstr>_Toc413917976</vt:lpwstr>
      </vt:variant>
      <vt:variant>
        <vt:i4>2031679</vt:i4>
      </vt:variant>
      <vt:variant>
        <vt:i4>338</vt:i4>
      </vt:variant>
      <vt:variant>
        <vt:i4>0</vt:i4>
      </vt:variant>
      <vt:variant>
        <vt:i4>5</vt:i4>
      </vt:variant>
      <vt:variant>
        <vt:lpwstr/>
      </vt:variant>
      <vt:variant>
        <vt:lpwstr>_Toc413917975</vt:lpwstr>
      </vt:variant>
      <vt:variant>
        <vt:i4>2031679</vt:i4>
      </vt:variant>
      <vt:variant>
        <vt:i4>332</vt:i4>
      </vt:variant>
      <vt:variant>
        <vt:i4>0</vt:i4>
      </vt:variant>
      <vt:variant>
        <vt:i4>5</vt:i4>
      </vt:variant>
      <vt:variant>
        <vt:lpwstr/>
      </vt:variant>
      <vt:variant>
        <vt:lpwstr>_Toc413917974</vt:lpwstr>
      </vt:variant>
      <vt:variant>
        <vt:i4>2031679</vt:i4>
      </vt:variant>
      <vt:variant>
        <vt:i4>326</vt:i4>
      </vt:variant>
      <vt:variant>
        <vt:i4>0</vt:i4>
      </vt:variant>
      <vt:variant>
        <vt:i4>5</vt:i4>
      </vt:variant>
      <vt:variant>
        <vt:lpwstr/>
      </vt:variant>
      <vt:variant>
        <vt:lpwstr>_Toc413917973</vt:lpwstr>
      </vt:variant>
      <vt:variant>
        <vt:i4>2031679</vt:i4>
      </vt:variant>
      <vt:variant>
        <vt:i4>320</vt:i4>
      </vt:variant>
      <vt:variant>
        <vt:i4>0</vt:i4>
      </vt:variant>
      <vt:variant>
        <vt:i4>5</vt:i4>
      </vt:variant>
      <vt:variant>
        <vt:lpwstr/>
      </vt:variant>
      <vt:variant>
        <vt:lpwstr>_Toc413917972</vt:lpwstr>
      </vt:variant>
      <vt:variant>
        <vt:i4>2031679</vt:i4>
      </vt:variant>
      <vt:variant>
        <vt:i4>314</vt:i4>
      </vt:variant>
      <vt:variant>
        <vt:i4>0</vt:i4>
      </vt:variant>
      <vt:variant>
        <vt:i4>5</vt:i4>
      </vt:variant>
      <vt:variant>
        <vt:lpwstr/>
      </vt:variant>
      <vt:variant>
        <vt:lpwstr>_Toc413917971</vt:lpwstr>
      </vt:variant>
      <vt:variant>
        <vt:i4>2031679</vt:i4>
      </vt:variant>
      <vt:variant>
        <vt:i4>308</vt:i4>
      </vt:variant>
      <vt:variant>
        <vt:i4>0</vt:i4>
      </vt:variant>
      <vt:variant>
        <vt:i4>5</vt:i4>
      </vt:variant>
      <vt:variant>
        <vt:lpwstr/>
      </vt:variant>
      <vt:variant>
        <vt:lpwstr>_Toc413917970</vt:lpwstr>
      </vt:variant>
      <vt:variant>
        <vt:i4>1966143</vt:i4>
      </vt:variant>
      <vt:variant>
        <vt:i4>302</vt:i4>
      </vt:variant>
      <vt:variant>
        <vt:i4>0</vt:i4>
      </vt:variant>
      <vt:variant>
        <vt:i4>5</vt:i4>
      </vt:variant>
      <vt:variant>
        <vt:lpwstr/>
      </vt:variant>
      <vt:variant>
        <vt:lpwstr>_Toc413917969</vt:lpwstr>
      </vt:variant>
      <vt:variant>
        <vt:i4>1966143</vt:i4>
      </vt:variant>
      <vt:variant>
        <vt:i4>296</vt:i4>
      </vt:variant>
      <vt:variant>
        <vt:i4>0</vt:i4>
      </vt:variant>
      <vt:variant>
        <vt:i4>5</vt:i4>
      </vt:variant>
      <vt:variant>
        <vt:lpwstr/>
      </vt:variant>
      <vt:variant>
        <vt:lpwstr>_Toc413917968</vt:lpwstr>
      </vt:variant>
      <vt:variant>
        <vt:i4>1966143</vt:i4>
      </vt:variant>
      <vt:variant>
        <vt:i4>290</vt:i4>
      </vt:variant>
      <vt:variant>
        <vt:i4>0</vt:i4>
      </vt:variant>
      <vt:variant>
        <vt:i4>5</vt:i4>
      </vt:variant>
      <vt:variant>
        <vt:lpwstr/>
      </vt:variant>
      <vt:variant>
        <vt:lpwstr>_Toc413917967</vt:lpwstr>
      </vt:variant>
      <vt:variant>
        <vt:i4>1966143</vt:i4>
      </vt:variant>
      <vt:variant>
        <vt:i4>284</vt:i4>
      </vt:variant>
      <vt:variant>
        <vt:i4>0</vt:i4>
      </vt:variant>
      <vt:variant>
        <vt:i4>5</vt:i4>
      </vt:variant>
      <vt:variant>
        <vt:lpwstr/>
      </vt:variant>
      <vt:variant>
        <vt:lpwstr>_Toc413917966</vt:lpwstr>
      </vt:variant>
      <vt:variant>
        <vt:i4>1966143</vt:i4>
      </vt:variant>
      <vt:variant>
        <vt:i4>278</vt:i4>
      </vt:variant>
      <vt:variant>
        <vt:i4>0</vt:i4>
      </vt:variant>
      <vt:variant>
        <vt:i4>5</vt:i4>
      </vt:variant>
      <vt:variant>
        <vt:lpwstr/>
      </vt:variant>
      <vt:variant>
        <vt:lpwstr>_Toc413917965</vt:lpwstr>
      </vt:variant>
      <vt:variant>
        <vt:i4>1966143</vt:i4>
      </vt:variant>
      <vt:variant>
        <vt:i4>272</vt:i4>
      </vt:variant>
      <vt:variant>
        <vt:i4>0</vt:i4>
      </vt:variant>
      <vt:variant>
        <vt:i4>5</vt:i4>
      </vt:variant>
      <vt:variant>
        <vt:lpwstr/>
      </vt:variant>
      <vt:variant>
        <vt:lpwstr>_Toc413917964</vt:lpwstr>
      </vt:variant>
      <vt:variant>
        <vt:i4>1966143</vt:i4>
      </vt:variant>
      <vt:variant>
        <vt:i4>266</vt:i4>
      </vt:variant>
      <vt:variant>
        <vt:i4>0</vt:i4>
      </vt:variant>
      <vt:variant>
        <vt:i4>5</vt:i4>
      </vt:variant>
      <vt:variant>
        <vt:lpwstr/>
      </vt:variant>
      <vt:variant>
        <vt:lpwstr>_Toc413917963</vt:lpwstr>
      </vt:variant>
      <vt:variant>
        <vt:i4>1966143</vt:i4>
      </vt:variant>
      <vt:variant>
        <vt:i4>260</vt:i4>
      </vt:variant>
      <vt:variant>
        <vt:i4>0</vt:i4>
      </vt:variant>
      <vt:variant>
        <vt:i4>5</vt:i4>
      </vt:variant>
      <vt:variant>
        <vt:lpwstr/>
      </vt:variant>
      <vt:variant>
        <vt:lpwstr>_Toc413917962</vt:lpwstr>
      </vt:variant>
      <vt:variant>
        <vt:i4>1966143</vt:i4>
      </vt:variant>
      <vt:variant>
        <vt:i4>254</vt:i4>
      </vt:variant>
      <vt:variant>
        <vt:i4>0</vt:i4>
      </vt:variant>
      <vt:variant>
        <vt:i4>5</vt:i4>
      </vt:variant>
      <vt:variant>
        <vt:lpwstr/>
      </vt:variant>
      <vt:variant>
        <vt:lpwstr>_Toc413917961</vt:lpwstr>
      </vt:variant>
      <vt:variant>
        <vt:i4>1966143</vt:i4>
      </vt:variant>
      <vt:variant>
        <vt:i4>248</vt:i4>
      </vt:variant>
      <vt:variant>
        <vt:i4>0</vt:i4>
      </vt:variant>
      <vt:variant>
        <vt:i4>5</vt:i4>
      </vt:variant>
      <vt:variant>
        <vt:lpwstr/>
      </vt:variant>
      <vt:variant>
        <vt:lpwstr>_Toc413917960</vt:lpwstr>
      </vt:variant>
      <vt:variant>
        <vt:i4>1900607</vt:i4>
      </vt:variant>
      <vt:variant>
        <vt:i4>242</vt:i4>
      </vt:variant>
      <vt:variant>
        <vt:i4>0</vt:i4>
      </vt:variant>
      <vt:variant>
        <vt:i4>5</vt:i4>
      </vt:variant>
      <vt:variant>
        <vt:lpwstr/>
      </vt:variant>
      <vt:variant>
        <vt:lpwstr>_Toc413917959</vt:lpwstr>
      </vt:variant>
      <vt:variant>
        <vt:i4>1900607</vt:i4>
      </vt:variant>
      <vt:variant>
        <vt:i4>236</vt:i4>
      </vt:variant>
      <vt:variant>
        <vt:i4>0</vt:i4>
      </vt:variant>
      <vt:variant>
        <vt:i4>5</vt:i4>
      </vt:variant>
      <vt:variant>
        <vt:lpwstr/>
      </vt:variant>
      <vt:variant>
        <vt:lpwstr>_Toc413917958</vt:lpwstr>
      </vt:variant>
      <vt:variant>
        <vt:i4>1900607</vt:i4>
      </vt:variant>
      <vt:variant>
        <vt:i4>230</vt:i4>
      </vt:variant>
      <vt:variant>
        <vt:i4>0</vt:i4>
      </vt:variant>
      <vt:variant>
        <vt:i4>5</vt:i4>
      </vt:variant>
      <vt:variant>
        <vt:lpwstr/>
      </vt:variant>
      <vt:variant>
        <vt:lpwstr>_Toc413917957</vt:lpwstr>
      </vt:variant>
      <vt:variant>
        <vt:i4>1900607</vt:i4>
      </vt:variant>
      <vt:variant>
        <vt:i4>224</vt:i4>
      </vt:variant>
      <vt:variant>
        <vt:i4>0</vt:i4>
      </vt:variant>
      <vt:variant>
        <vt:i4>5</vt:i4>
      </vt:variant>
      <vt:variant>
        <vt:lpwstr/>
      </vt:variant>
      <vt:variant>
        <vt:lpwstr>_Toc413917956</vt:lpwstr>
      </vt:variant>
      <vt:variant>
        <vt:i4>1900607</vt:i4>
      </vt:variant>
      <vt:variant>
        <vt:i4>218</vt:i4>
      </vt:variant>
      <vt:variant>
        <vt:i4>0</vt:i4>
      </vt:variant>
      <vt:variant>
        <vt:i4>5</vt:i4>
      </vt:variant>
      <vt:variant>
        <vt:lpwstr/>
      </vt:variant>
      <vt:variant>
        <vt:lpwstr>_Toc413917955</vt:lpwstr>
      </vt:variant>
      <vt:variant>
        <vt:i4>1900607</vt:i4>
      </vt:variant>
      <vt:variant>
        <vt:i4>212</vt:i4>
      </vt:variant>
      <vt:variant>
        <vt:i4>0</vt:i4>
      </vt:variant>
      <vt:variant>
        <vt:i4>5</vt:i4>
      </vt:variant>
      <vt:variant>
        <vt:lpwstr/>
      </vt:variant>
      <vt:variant>
        <vt:lpwstr>_Toc413917954</vt:lpwstr>
      </vt:variant>
      <vt:variant>
        <vt:i4>1900607</vt:i4>
      </vt:variant>
      <vt:variant>
        <vt:i4>206</vt:i4>
      </vt:variant>
      <vt:variant>
        <vt:i4>0</vt:i4>
      </vt:variant>
      <vt:variant>
        <vt:i4>5</vt:i4>
      </vt:variant>
      <vt:variant>
        <vt:lpwstr/>
      </vt:variant>
      <vt:variant>
        <vt:lpwstr>_Toc413917953</vt:lpwstr>
      </vt:variant>
      <vt:variant>
        <vt:i4>1900607</vt:i4>
      </vt:variant>
      <vt:variant>
        <vt:i4>200</vt:i4>
      </vt:variant>
      <vt:variant>
        <vt:i4>0</vt:i4>
      </vt:variant>
      <vt:variant>
        <vt:i4>5</vt:i4>
      </vt:variant>
      <vt:variant>
        <vt:lpwstr/>
      </vt:variant>
      <vt:variant>
        <vt:lpwstr>_Toc413917952</vt:lpwstr>
      </vt:variant>
      <vt:variant>
        <vt:i4>1900607</vt:i4>
      </vt:variant>
      <vt:variant>
        <vt:i4>194</vt:i4>
      </vt:variant>
      <vt:variant>
        <vt:i4>0</vt:i4>
      </vt:variant>
      <vt:variant>
        <vt:i4>5</vt:i4>
      </vt:variant>
      <vt:variant>
        <vt:lpwstr/>
      </vt:variant>
      <vt:variant>
        <vt:lpwstr>_Toc413917951</vt:lpwstr>
      </vt:variant>
      <vt:variant>
        <vt:i4>1900607</vt:i4>
      </vt:variant>
      <vt:variant>
        <vt:i4>188</vt:i4>
      </vt:variant>
      <vt:variant>
        <vt:i4>0</vt:i4>
      </vt:variant>
      <vt:variant>
        <vt:i4>5</vt:i4>
      </vt:variant>
      <vt:variant>
        <vt:lpwstr/>
      </vt:variant>
      <vt:variant>
        <vt:lpwstr>_Toc413917950</vt:lpwstr>
      </vt:variant>
      <vt:variant>
        <vt:i4>1835071</vt:i4>
      </vt:variant>
      <vt:variant>
        <vt:i4>182</vt:i4>
      </vt:variant>
      <vt:variant>
        <vt:i4>0</vt:i4>
      </vt:variant>
      <vt:variant>
        <vt:i4>5</vt:i4>
      </vt:variant>
      <vt:variant>
        <vt:lpwstr/>
      </vt:variant>
      <vt:variant>
        <vt:lpwstr>_Toc413917949</vt:lpwstr>
      </vt:variant>
      <vt:variant>
        <vt:i4>1835071</vt:i4>
      </vt:variant>
      <vt:variant>
        <vt:i4>176</vt:i4>
      </vt:variant>
      <vt:variant>
        <vt:i4>0</vt:i4>
      </vt:variant>
      <vt:variant>
        <vt:i4>5</vt:i4>
      </vt:variant>
      <vt:variant>
        <vt:lpwstr/>
      </vt:variant>
      <vt:variant>
        <vt:lpwstr>_Toc413917948</vt:lpwstr>
      </vt:variant>
      <vt:variant>
        <vt:i4>1835071</vt:i4>
      </vt:variant>
      <vt:variant>
        <vt:i4>170</vt:i4>
      </vt:variant>
      <vt:variant>
        <vt:i4>0</vt:i4>
      </vt:variant>
      <vt:variant>
        <vt:i4>5</vt:i4>
      </vt:variant>
      <vt:variant>
        <vt:lpwstr/>
      </vt:variant>
      <vt:variant>
        <vt:lpwstr>_Toc413917947</vt:lpwstr>
      </vt:variant>
      <vt:variant>
        <vt:i4>1835071</vt:i4>
      </vt:variant>
      <vt:variant>
        <vt:i4>164</vt:i4>
      </vt:variant>
      <vt:variant>
        <vt:i4>0</vt:i4>
      </vt:variant>
      <vt:variant>
        <vt:i4>5</vt:i4>
      </vt:variant>
      <vt:variant>
        <vt:lpwstr/>
      </vt:variant>
      <vt:variant>
        <vt:lpwstr>_Toc413917946</vt:lpwstr>
      </vt:variant>
      <vt:variant>
        <vt:i4>1835071</vt:i4>
      </vt:variant>
      <vt:variant>
        <vt:i4>158</vt:i4>
      </vt:variant>
      <vt:variant>
        <vt:i4>0</vt:i4>
      </vt:variant>
      <vt:variant>
        <vt:i4>5</vt:i4>
      </vt:variant>
      <vt:variant>
        <vt:lpwstr/>
      </vt:variant>
      <vt:variant>
        <vt:lpwstr>_Toc413917945</vt:lpwstr>
      </vt:variant>
      <vt:variant>
        <vt:i4>1835071</vt:i4>
      </vt:variant>
      <vt:variant>
        <vt:i4>152</vt:i4>
      </vt:variant>
      <vt:variant>
        <vt:i4>0</vt:i4>
      </vt:variant>
      <vt:variant>
        <vt:i4>5</vt:i4>
      </vt:variant>
      <vt:variant>
        <vt:lpwstr/>
      </vt:variant>
      <vt:variant>
        <vt:lpwstr>_Toc413917944</vt:lpwstr>
      </vt:variant>
      <vt:variant>
        <vt:i4>1835071</vt:i4>
      </vt:variant>
      <vt:variant>
        <vt:i4>146</vt:i4>
      </vt:variant>
      <vt:variant>
        <vt:i4>0</vt:i4>
      </vt:variant>
      <vt:variant>
        <vt:i4>5</vt:i4>
      </vt:variant>
      <vt:variant>
        <vt:lpwstr/>
      </vt:variant>
      <vt:variant>
        <vt:lpwstr>_Toc413917943</vt:lpwstr>
      </vt:variant>
      <vt:variant>
        <vt:i4>1835071</vt:i4>
      </vt:variant>
      <vt:variant>
        <vt:i4>140</vt:i4>
      </vt:variant>
      <vt:variant>
        <vt:i4>0</vt:i4>
      </vt:variant>
      <vt:variant>
        <vt:i4>5</vt:i4>
      </vt:variant>
      <vt:variant>
        <vt:lpwstr/>
      </vt:variant>
      <vt:variant>
        <vt:lpwstr>_Toc413917942</vt:lpwstr>
      </vt:variant>
      <vt:variant>
        <vt:i4>1835071</vt:i4>
      </vt:variant>
      <vt:variant>
        <vt:i4>134</vt:i4>
      </vt:variant>
      <vt:variant>
        <vt:i4>0</vt:i4>
      </vt:variant>
      <vt:variant>
        <vt:i4>5</vt:i4>
      </vt:variant>
      <vt:variant>
        <vt:lpwstr/>
      </vt:variant>
      <vt:variant>
        <vt:lpwstr>_Toc413917941</vt:lpwstr>
      </vt:variant>
      <vt:variant>
        <vt:i4>1835071</vt:i4>
      </vt:variant>
      <vt:variant>
        <vt:i4>128</vt:i4>
      </vt:variant>
      <vt:variant>
        <vt:i4>0</vt:i4>
      </vt:variant>
      <vt:variant>
        <vt:i4>5</vt:i4>
      </vt:variant>
      <vt:variant>
        <vt:lpwstr/>
      </vt:variant>
      <vt:variant>
        <vt:lpwstr>_Toc413917940</vt:lpwstr>
      </vt:variant>
      <vt:variant>
        <vt:i4>1769535</vt:i4>
      </vt:variant>
      <vt:variant>
        <vt:i4>122</vt:i4>
      </vt:variant>
      <vt:variant>
        <vt:i4>0</vt:i4>
      </vt:variant>
      <vt:variant>
        <vt:i4>5</vt:i4>
      </vt:variant>
      <vt:variant>
        <vt:lpwstr/>
      </vt:variant>
      <vt:variant>
        <vt:lpwstr>_Toc413917939</vt:lpwstr>
      </vt:variant>
      <vt:variant>
        <vt:i4>1769535</vt:i4>
      </vt:variant>
      <vt:variant>
        <vt:i4>116</vt:i4>
      </vt:variant>
      <vt:variant>
        <vt:i4>0</vt:i4>
      </vt:variant>
      <vt:variant>
        <vt:i4>5</vt:i4>
      </vt:variant>
      <vt:variant>
        <vt:lpwstr/>
      </vt:variant>
      <vt:variant>
        <vt:lpwstr>_Toc413917938</vt:lpwstr>
      </vt:variant>
      <vt:variant>
        <vt:i4>1769535</vt:i4>
      </vt:variant>
      <vt:variant>
        <vt:i4>110</vt:i4>
      </vt:variant>
      <vt:variant>
        <vt:i4>0</vt:i4>
      </vt:variant>
      <vt:variant>
        <vt:i4>5</vt:i4>
      </vt:variant>
      <vt:variant>
        <vt:lpwstr/>
      </vt:variant>
      <vt:variant>
        <vt:lpwstr>_Toc413917937</vt:lpwstr>
      </vt:variant>
      <vt:variant>
        <vt:i4>1769535</vt:i4>
      </vt:variant>
      <vt:variant>
        <vt:i4>104</vt:i4>
      </vt:variant>
      <vt:variant>
        <vt:i4>0</vt:i4>
      </vt:variant>
      <vt:variant>
        <vt:i4>5</vt:i4>
      </vt:variant>
      <vt:variant>
        <vt:lpwstr/>
      </vt:variant>
      <vt:variant>
        <vt:lpwstr>_Toc413917936</vt:lpwstr>
      </vt:variant>
      <vt:variant>
        <vt:i4>1769535</vt:i4>
      </vt:variant>
      <vt:variant>
        <vt:i4>98</vt:i4>
      </vt:variant>
      <vt:variant>
        <vt:i4>0</vt:i4>
      </vt:variant>
      <vt:variant>
        <vt:i4>5</vt:i4>
      </vt:variant>
      <vt:variant>
        <vt:lpwstr/>
      </vt:variant>
      <vt:variant>
        <vt:lpwstr>_Toc413917935</vt:lpwstr>
      </vt:variant>
      <vt:variant>
        <vt:i4>1769535</vt:i4>
      </vt:variant>
      <vt:variant>
        <vt:i4>92</vt:i4>
      </vt:variant>
      <vt:variant>
        <vt:i4>0</vt:i4>
      </vt:variant>
      <vt:variant>
        <vt:i4>5</vt:i4>
      </vt:variant>
      <vt:variant>
        <vt:lpwstr/>
      </vt:variant>
      <vt:variant>
        <vt:lpwstr>_Toc413917934</vt:lpwstr>
      </vt:variant>
      <vt:variant>
        <vt:i4>1769535</vt:i4>
      </vt:variant>
      <vt:variant>
        <vt:i4>86</vt:i4>
      </vt:variant>
      <vt:variant>
        <vt:i4>0</vt:i4>
      </vt:variant>
      <vt:variant>
        <vt:i4>5</vt:i4>
      </vt:variant>
      <vt:variant>
        <vt:lpwstr/>
      </vt:variant>
      <vt:variant>
        <vt:lpwstr>_Toc413917933</vt:lpwstr>
      </vt:variant>
      <vt:variant>
        <vt:i4>1769535</vt:i4>
      </vt:variant>
      <vt:variant>
        <vt:i4>80</vt:i4>
      </vt:variant>
      <vt:variant>
        <vt:i4>0</vt:i4>
      </vt:variant>
      <vt:variant>
        <vt:i4>5</vt:i4>
      </vt:variant>
      <vt:variant>
        <vt:lpwstr/>
      </vt:variant>
      <vt:variant>
        <vt:lpwstr>_Toc413917932</vt:lpwstr>
      </vt:variant>
      <vt:variant>
        <vt:i4>1769535</vt:i4>
      </vt:variant>
      <vt:variant>
        <vt:i4>74</vt:i4>
      </vt:variant>
      <vt:variant>
        <vt:i4>0</vt:i4>
      </vt:variant>
      <vt:variant>
        <vt:i4>5</vt:i4>
      </vt:variant>
      <vt:variant>
        <vt:lpwstr/>
      </vt:variant>
      <vt:variant>
        <vt:lpwstr>_Toc413917931</vt:lpwstr>
      </vt:variant>
      <vt:variant>
        <vt:i4>1769535</vt:i4>
      </vt:variant>
      <vt:variant>
        <vt:i4>68</vt:i4>
      </vt:variant>
      <vt:variant>
        <vt:i4>0</vt:i4>
      </vt:variant>
      <vt:variant>
        <vt:i4>5</vt:i4>
      </vt:variant>
      <vt:variant>
        <vt:lpwstr/>
      </vt:variant>
      <vt:variant>
        <vt:lpwstr>_Toc413917930</vt:lpwstr>
      </vt:variant>
      <vt:variant>
        <vt:i4>1703999</vt:i4>
      </vt:variant>
      <vt:variant>
        <vt:i4>62</vt:i4>
      </vt:variant>
      <vt:variant>
        <vt:i4>0</vt:i4>
      </vt:variant>
      <vt:variant>
        <vt:i4>5</vt:i4>
      </vt:variant>
      <vt:variant>
        <vt:lpwstr/>
      </vt:variant>
      <vt:variant>
        <vt:lpwstr>_Toc413917929</vt:lpwstr>
      </vt:variant>
      <vt:variant>
        <vt:i4>1703999</vt:i4>
      </vt:variant>
      <vt:variant>
        <vt:i4>56</vt:i4>
      </vt:variant>
      <vt:variant>
        <vt:i4>0</vt:i4>
      </vt:variant>
      <vt:variant>
        <vt:i4>5</vt:i4>
      </vt:variant>
      <vt:variant>
        <vt:lpwstr/>
      </vt:variant>
      <vt:variant>
        <vt:lpwstr>_Toc413917928</vt:lpwstr>
      </vt:variant>
      <vt:variant>
        <vt:i4>1703999</vt:i4>
      </vt:variant>
      <vt:variant>
        <vt:i4>50</vt:i4>
      </vt:variant>
      <vt:variant>
        <vt:i4>0</vt:i4>
      </vt:variant>
      <vt:variant>
        <vt:i4>5</vt:i4>
      </vt:variant>
      <vt:variant>
        <vt:lpwstr/>
      </vt:variant>
      <vt:variant>
        <vt:lpwstr>_Toc413917927</vt:lpwstr>
      </vt:variant>
      <vt:variant>
        <vt:i4>1703999</vt:i4>
      </vt:variant>
      <vt:variant>
        <vt:i4>44</vt:i4>
      </vt:variant>
      <vt:variant>
        <vt:i4>0</vt:i4>
      </vt:variant>
      <vt:variant>
        <vt:i4>5</vt:i4>
      </vt:variant>
      <vt:variant>
        <vt:lpwstr/>
      </vt:variant>
      <vt:variant>
        <vt:lpwstr>_Toc413917926</vt:lpwstr>
      </vt:variant>
      <vt:variant>
        <vt:i4>1703999</vt:i4>
      </vt:variant>
      <vt:variant>
        <vt:i4>38</vt:i4>
      </vt:variant>
      <vt:variant>
        <vt:i4>0</vt:i4>
      </vt:variant>
      <vt:variant>
        <vt:i4>5</vt:i4>
      </vt:variant>
      <vt:variant>
        <vt:lpwstr/>
      </vt:variant>
      <vt:variant>
        <vt:lpwstr>_Toc413917925</vt:lpwstr>
      </vt:variant>
      <vt:variant>
        <vt:i4>1703999</vt:i4>
      </vt:variant>
      <vt:variant>
        <vt:i4>32</vt:i4>
      </vt:variant>
      <vt:variant>
        <vt:i4>0</vt:i4>
      </vt:variant>
      <vt:variant>
        <vt:i4>5</vt:i4>
      </vt:variant>
      <vt:variant>
        <vt:lpwstr/>
      </vt:variant>
      <vt:variant>
        <vt:lpwstr>_Toc413917924</vt:lpwstr>
      </vt:variant>
      <vt:variant>
        <vt:i4>1703999</vt:i4>
      </vt:variant>
      <vt:variant>
        <vt:i4>26</vt:i4>
      </vt:variant>
      <vt:variant>
        <vt:i4>0</vt:i4>
      </vt:variant>
      <vt:variant>
        <vt:i4>5</vt:i4>
      </vt:variant>
      <vt:variant>
        <vt:lpwstr/>
      </vt:variant>
      <vt:variant>
        <vt:lpwstr>_Toc413917923</vt:lpwstr>
      </vt:variant>
      <vt:variant>
        <vt:i4>1703999</vt:i4>
      </vt:variant>
      <vt:variant>
        <vt:i4>20</vt:i4>
      </vt:variant>
      <vt:variant>
        <vt:i4>0</vt:i4>
      </vt:variant>
      <vt:variant>
        <vt:i4>5</vt:i4>
      </vt:variant>
      <vt:variant>
        <vt:lpwstr/>
      </vt:variant>
      <vt:variant>
        <vt:lpwstr>_Toc413917922</vt:lpwstr>
      </vt:variant>
      <vt:variant>
        <vt:i4>1703999</vt:i4>
      </vt:variant>
      <vt:variant>
        <vt:i4>14</vt:i4>
      </vt:variant>
      <vt:variant>
        <vt:i4>0</vt:i4>
      </vt:variant>
      <vt:variant>
        <vt:i4>5</vt:i4>
      </vt:variant>
      <vt:variant>
        <vt:lpwstr/>
      </vt:variant>
      <vt:variant>
        <vt:lpwstr>_Toc413917921</vt:lpwstr>
      </vt:variant>
      <vt:variant>
        <vt:i4>1703999</vt:i4>
      </vt:variant>
      <vt:variant>
        <vt:i4>8</vt:i4>
      </vt:variant>
      <vt:variant>
        <vt:i4>0</vt:i4>
      </vt:variant>
      <vt:variant>
        <vt:i4>5</vt:i4>
      </vt:variant>
      <vt:variant>
        <vt:lpwstr/>
      </vt:variant>
      <vt:variant>
        <vt:lpwstr>_Toc413917920</vt:lpwstr>
      </vt:variant>
      <vt:variant>
        <vt:i4>1638463</vt:i4>
      </vt:variant>
      <vt:variant>
        <vt:i4>2</vt:i4>
      </vt:variant>
      <vt:variant>
        <vt:i4>0</vt:i4>
      </vt:variant>
      <vt:variant>
        <vt:i4>5</vt:i4>
      </vt:variant>
      <vt:variant>
        <vt:lpwstr/>
      </vt:variant>
      <vt:variant>
        <vt:lpwstr>_Toc413917919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Doris Guth</dc:creator>
  <cp:lastModifiedBy>David Unsworth</cp:lastModifiedBy>
  <cp:revision>2</cp:revision>
  <cp:lastPrinted>2018-02-27T14:51:00Z</cp:lastPrinted>
  <dcterms:created xsi:type="dcterms:W3CDTF">2018-08-06T13:37:00Z</dcterms:created>
  <dcterms:modified xsi:type="dcterms:W3CDTF">2018-08-06T13:37:00Z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ies>
</file>